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AE8DFD" w14:textId="0377527E" w:rsidR="007001A8" w:rsidRDefault="00BD6A85" w:rsidP="00C143B8">
      <w:pPr>
        <w:rPr>
          <w:rFonts w:ascii="Arial" w:hAnsi="Arial" w:cs="Arial"/>
          <w:b/>
          <w:color w:val="ED7D31" w:themeColor="accent2"/>
          <w:sz w:val="48"/>
          <w:szCs w:val="48"/>
          <w:lang w:val="en-US"/>
        </w:rPr>
      </w:pPr>
      <w:bookmarkStart w:id="0" w:name="_Toc41647453"/>
      <w:bookmarkStart w:id="1" w:name="_Toc51140577"/>
      <w:r>
        <w:rPr>
          <w:rFonts w:ascii="Arial" w:hAnsi="Arial" w:cs="Arial"/>
          <w:b/>
          <w:noProof/>
          <w:color w:val="ED7D31" w:themeColor="accent2"/>
          <w:sz w:val="48"/>
          <w:szCs w:val="48"/>
          <w:lang w:val="en-US"/>
        </w:rPr>
        <w:drawing>
          <wp:anchor distT="0" distB="0" distL="114300" distR="114300" simplePos="0" relativeHeight="251996160" behindDoc="0" locked="0" layoutInCell="1" allowOverlap="1" wp14:anchorId="13A46360" wp14:editId="5E9F28D2">
            <wp:simplePos x="0" y="0"/>
            <wp:positionH relativeFrom="column">
              <wp:posOffset>-457200</wp:posOffset>
            </wp:positionH>
            <wp:positionV relativeFrom="paragraph">
              <wp:posOffset>-449580</wp:posOffset>
            </wp:positionV>
            <wp:extent cx="7554595" cy="10677525"/>
            <wp:effectExtent l="0" t="0" r="8255" b="9525"/>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8" cstate="email">
                      <a:extLst>
                        <a:ext uri="{28A0092B-C50C-407E-A947-70E740481C1C}">
                          <a14:useLocalDpi xmlns:a14="http://schemas.microsoft.com/office/drawing/2010/main"/>
                        </a:ext>
                      </a:extLst>
                    </a:blip>
                    <a:stretch>
                      <a:fillRect/>
                    </a:stretch>
                  </pic:blipFill>
                  <pic:spPr>
                    <a:xfrm>
                      <a:off x="0" y="0"/>
                      <a:ext cx="7554595" cy="10677525"/>
                    </a:xfrm>
                    <a:prstGeom prst="rect">
                      <a:avLst/>
                    </a:prstGeom>
                  </pic:spPr>
                </pic:pic>
              </a:graphicData>
            </a:graphic>
            <wp14:sizeRelH relativeFrom="page">
              <wp14:pctWidth>0</wp14:pctWidth>
            </wp14:sizeRelH>
            <wp14:sizeRelV relativeFrom="page">
              <wp14:pctHeight>0</wp14:pctHeight>
            </wp14:sizeRelV>
          </wp:anchor>
        </w:drawing>
      </w:r>
    </w:p>
    <w:p w14:paraId="3CE25E1E" w14:textId="02CD6918" w:rsidR="00051FCC" w:rsidRDefault="00051FCC" w:rsidP="007F0B86">
      <w:pPr>
        <w:jc w:val="center"/>
        <w:rPr>
          <w:rFonts w:ascii="Arial" w:hAnsi="Arial" w:cs="Arial"/>
          <w:b/>
          <w:color w:val="ED7D31" w:themeColor="accent2"/>
          <w:sz w:val="48"/>
          <w:szCs w:val="48"/>
          <w:lang w:val="en-US"/>
        </w:rPr>
      </w:pPr>
    </w:p>
    <w:p w14:paraId="5A67730B" w14:textId="70797CAF" w:rsidR="009708E4" w:rsidRDefault="009708E4" w:rsidP="009708E4">
      <w:pPr>
        <w:rPr>
          <w:color w:val="FFFFFF" w:themeColor="background1"/>
        </w:rPr>
      </w:pPr>
    </w:p>
    <w:p w14:paraId="084B8A71" w14:textId="6C2AE4F3" w:rsidR="007F0B86" w:rsidRDefault="00B96681" w:rsidP="008032D3">
      <w:pPr>
        <w:tabs>
          <w:tab w:val="right" w:pos="10466"/>
        </w:tabs>
        <w:jc w:val="right"/>
        <w:rPr>
          <w:rFonts w:ascii="Arial" w:hAnsi="Arial" w:cs="Arial"/>
          <w:color w:val="ED7D31" w:themeColor="accent2"/>
          <w:sz w:val="50"/>
          <w:szCs w:val="50"/>
          <w:lang w:val="en-US"/>
        </w:rPr>
      </w:pPr>
      <w:r>
        <w:rPr>
          <w:rFonts w:ascii="Arial" w:hAnsi="Arial" w:cs="Arial"/>
          <w:color w:val="ED7D31" w:themeColor="accent2"/>
          <w:sz w:val="50"/>
          <w:szCs w:val="50"/>
          <w:lang w:val="en-US"/>
        </w:rPr>
        <w:tab/>
      </w:r>
    </w:p>
    <w:p w14:paraId="7E6DD145" w14:textId="77777777" w:rsidR="00BD7307" w:rsidRDefault="00BD7307" w:rsidP="00151673">
      <w:pPr>
        <w:rPr>
          <w:rFonts w:ascii="Arial" w:hAnsi="Arial" w:cs="Arial"/>
          <w:color w:val="ED7D31" w:themeColor="accent2"/>
          <w:sz w:val="50"/>
          <w:szCs w:val="50"/>
          <w:lang w:val="en-US"/>
        </w:rPr>
      </w:pPr>
    </w:p>
    <w:p w14:paraId="5CCD56F6" w14:textId="449E2A66" w:rsidR="00BD7307" w:rsidRDefault="00BD7307" w:rsidP="00151673">
      <w:pPr>
        <w:jc w:val="right"/>
        <w:rPr>
          <w:rFonts w:ascii="Arial" w:hAnsi="Arial" w:cs="Arial"/>
          <w:color w:val="ED7D31" w:themeColor="accent2"/>
          <w:sz w:val="50"/>
          <w:szCs w:val="50"/>
          <w:lang w:val="en-US"/>
        </w:rPr>
        <w:sectPr w:rsidR="00BD7307" w:rsidSect="00C143B8">
          <w:headerReference w:type="default" r:id="rId9"/>
          <w:footerReference w:type="even" r:id="rId10"/>
          <w:footerReference w:type="default" r:id="rId11"/>
          <w:footerReference w:type="first" r:id="rId12"/>
          <w:pgSz w:w="11906" w:h="16838"/>
          <w:pgMar w:top="720" w:right="720" w:bottom="720" w:left="720" w:header="709" w:footer="709" w:gutter="0"/>
          <w:cols w:space="708"/>
          <w:titlePg/>
          <w:docGrid w:linePitch="360"/>
        </w:sectPr>
      </w:pPr>
    </w:p>
    <w:p w14:paraId="2297C4D0" w14:textId="3BE81F8D" w:rsidR="00BD7307" w:rsidRDefault="00701189" w:rsidP="00BD7307">
      <w:pPr>
        <w:jc w:val="both"/>
        <w:rPr>
          <w:rFonts w:ascii="Arial" w:hAnsi="Arial" w:cs="Arial"/>
          <w:b/>
          <w:color w:val="ED7D31" w:themeColor="accent2"/>
          <w:sz w:val="32"/>
          <w:szCs w:val="32"/>
          <w:lang w:val="en-US"/>
        </w:rPr>
      </w:pPr>
      <w:r>
        <w:rPr>
          <w:rFonts w:ascii="Arial" w:hAnsi="Arial" w:cs="Arial"/>
          <w:b/>
          <w:noProof/>
          <w:color w:val="ED7D31" w:themeColor="accent2"/>
          <w:sz w:val="32"/>
          <w:szCs w:val="32"/>
          <w:lang w:val="en-US"/>
        </w:rPr>
        <w:lastRenderedPageBreak/>
        <mc:AlternateContent>
          <mc:Choice Requires="wps">
            <w:drawing>
              <wp:anchor distT="0" distB="0" distL="114300" distR="114300" simplePos="0" relativeHeight="251669503" behindDoc="0" locked="0" layoutInCell="1" allowOverlap="1" wp14:anchorId="0E9CF0DC" wp14:editId="0416AF4E">
                <wp:simplePos x="0" y="0"/>
                <wp:positionH relativeFrom="margin">
                  <wp:align>center</wp:align>
                </wp:positionH>
                <wp:positionV relativeFrom="margin">
                  <wp:align>center</wp:align>
                </wp:positionV>
                <wp:extent cx="6718300" cy="9001388"/>
                <wp:effectExtent l="0" t="0" r="12700" b="15875"/>
                <wp:wrapNone/>
                <wp:docPr id="24" name="Rounded Rectangle 24"/>
                <wp:cNvGraphicFramePr/>
                <a:graphic xmlns:a="http://schemas.openxmlformats.org/drawingml/2006/main">
                  <a:graphicData uri="http://schemas.microsoft.com/office/word/2010/wordprocessingShape">
                    <wps:wsp>
                      <wps:cNvSpPr/>
                      <wps:spPr>
                        <a:xfrm>
                          <a:off x="0" y="0"/>
                          <a:ext cx="6718300" cy="9001388"/>
                        </a:xfrm>
                        <a:prstGeom prst="roundRect">
                          <a:avLst>
                            <a:gd name="adj" fmla="val 3434"/>
                          </a:avLst>
                        </a:prstGeom>
                        <a:solidFill>
                          <a:schemeClr val="bg1"/>
                        </a:solidFill>
                        <a:ln>
                          <a:solidFill>
                            <a:srgbClr val="FABB9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1797720" id="Rounded Rectangle 24" o:spid="_x0000_s1026" style="position:absolute;margin-left:0;margin-top:0;width:529pt;height:708.75pt;z-index:251669503;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arcsize="2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" fillcolor="white [3212]" strokecolor="#fabb9e" strokeweight="1pt">
                <v:stroke joinstyle="miter"/>
                <w10:wrap anchorx="margin" anchory="margin"/>
              </v:roundrect>
            </w:pict>
          </mc:Fallback>
        </mc:AlternateContent>
      </w:r>
      <w:r>
        <w:rPr>
          <w:rFonts w:ascii="Arial" w:hAnsi="Arial" w:cs="Arial"/>
          <w:b/>
          <w:noProof/>
          <w:color w:val="ED7D31" w:themeColor="accent2"/>
          <w:sz w:val="32"/>
          <w:szCs w:val="32"/>
          <w:lang w:val="en-US"/>
        </w:rPr>
        <w:drawing>
          <wp:anchor distT="0" distB="0" distL="114300" distR="114300" simplePos="0" relativeHeight="251696128" behindDoc="1" locked="0" layoutInCell="1" allowOverlap="1" wp14:anchorId="7E64D90A" wp14:editId="41236E41">
            <wp:simplePos x="0" y="0"/>
            <wp:positionH relativeFrom="margin">
              <wp:align>center</wp:align>
            </wp:positionH>
            <wp:positionV relativeFrom="paragraph">
              <wp:posOffset>-1080770</wp:posOffset>
            </wp:positionV>
            <wp:extent cx="7920000" cy="11194214"/>
            <wp:effectExtent l="0" t="0" r="508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email">
                      <a:extLst>
                        <a:ext uri="{28A0092B-C50C-407E-A947-70E740481C1C}">
                          <a14:useLocalDpi xmlns:a14="http://schemas.microsoft.com/office/drawing/2010/main"/>
                        </a:ext>
                      </a:extLst>
                    </a:blip>
                    <a:stretch>
                      <a:fillRect/>
                    </a:stretch>
                  </pic:blipFill>
                  <pic:spPr>
                    <a:xfrm>
                      <a:off x="0" y="0"/>
                      <a:ext cx="7920000" cy="11194214"/>
                    </a:xfrm>
                    <a:prstGeom prst="rect">
                      <a:avLst/>
                    </a:prstGeom>
                  </pic:spPr>
                </pic:pic>
              </a:graphicData>
            </a:graphic>
            <wp14:sizeRelH relativeFrom="page">
              <wp14:pctWidth>0</wp14:pctWidth>
            </wp14:sizeRelH>
            <wp14:sizeRelV relativeFrom="page">
              <wp14:pctHeight>0</wp14:pctHeight>
            </wp14:sizeRelV>
          </wp:anchor>
        </w:drawing>
      </w:r>
    </w:p>
    <w:p w14:paraId="2D0416AA" w14:textId="083A001C" w:rsidR="00BD7307" w:rsidRDefault="00BD7307" w:rsidP="00BD7307">
      <w:pPr>
        <w:jc w:val="both"/>
        <w:rPr>
          <w:rFonts w:ascii="Arial" w:hAnsi="Arial" w:cs="Arial"/>
          <w:b/>
          <w:color w:val="ED7D31" w:themeColor="accent2"/>
          <w:sz w:val="32"/>
          <w:szCs w:val="32"/>
          <w:lang w:val="en-US"/>
        </w:rPr>
      </w:pPr>
    </w:p>
    <w:p w14:paraId="0583A546" w14:textId="3422DA2F" w:rsidR="00B847C9" w:rsidRDefault="002D02C8" w:rsidP="00BD7307">
      <w:pPr>
        <w:jc w:val="both"/>
        <w:rPr>
          <w:rFonts w:ascii="Arial" w:hAnsi="Arial" w:cs="Arial"/>
          <w:b/>
          <w:color w:val="ED7D31" w:themeColor="accent2"/>
          <w:sz w:val="32"/>
          <w:szCs w:val="32"/>
          <w:lang w:val="en-US"/>
        </w:rPr>
      </w:pPr>
      <w:r>
        <w:rPr>
          <w:rFonts w:ascii="Arial" w:hAnsi="Arial" w:cs="Arial"/>
          <w:b/>
          <w:noProof/>
          <w:color w:val="ED7D31" w:themeColor="accent2"/>
          <w:sz w:val="24"/>
          <w:szCs w:val="24"/>
          <w:lang w:val="en-US"/>
        </w:rPr>
        <w:drawing>
          <wp:anchor distT="0" distB="0" distL="114300" distR="114300" simplePos="0" relativeHeight="251698176" behindDoc="0" locked="0" layoutInCell="1" allowOverlap="1" wp14:anchorId="5BBCD753" wp14:editId="358B20F0">
            <wp:simplePos x="0" y="0"/>
            <wp:positionH relativeFrom="margin">
              <wp:posOffset>2337435</wp:posOffset>
            </wp:positionH>
            <wp:positionV relativeFrom="paragraph">
              <wp:posOffset>19050</wp:posOffset>
            </wp:positionV>
            <wp:extent cx="1970405" cy="1265555"/>
            <wp:effectExtent l="0" t="0" r="0"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4" cstate="email">
                      <a:extLst>
                        <a:ext uri="{28A0092B-C50C-407E-A947-70E740481C1C}">
                          <a14:useLocalDpi xmlns:a14="http://schemas.microsoft.com/office/drawing/2010/main"/>
                        </a:ext>
                      </a:extLst>
                    </a:blip>
                    <a:stretch>
                      <a:fillRect/>
                    </a:stretch>
                  </pic:blipFill>
                  <pic:spPr>
                    <a:xfrm>
                      <a:off x="0" y="0"/>
                      <a:ext cx="1970405" cy="1265555"/>
                    </a:xfrm>
                    <a:prstGeom prst="rect">
                      <a:avLst/>
                    </a:prstGeom>
                  </pic:spPr>
                </pic:pic>
              </a:graphicData>
            </a:graphic>
            <wp14:sizeRelH relativeFrom="page">
              <wp14:pctWidth>0</wp14:pctWidth>
            </wp14:sizeRelH>
            <wp14:sizeRelV relativeFrom="page">
              <wp14:pctHeight>0</wp14:pctHeight>
            </wp14:sizeRelV>
          </wp:anchor>
        </w:drawing>
      </w:r>
    </w:p>
    <w:p w14:paraId="6CD58345" w14:textId="2C4ACF8C" w:rsidR="00BD7307" w:rsidRDefault="00BD7307" w:rsidP="00BD7307">
      <w:pPr>
        <w:jc w:val="both"/>
        <w:rPr>
          <w:rFonts w:ascii="Arial" w:hAnsi="Arial" w:cs="Arial"/>
          <w:b/>
          <w:color w:val="ED7D31" w:themeColor="accent2"/>
          <w:sz w:val="32"/>
          <w:szCs w:val="32"/>
          <w:lang w:val="en-US"/>
        </w:rPr>
      </w:pPr>
    </w:p>
    <w:p w14:paraId="3C779792" w14:textId="04A40C1C" w:rsidR="00BD7307" w:rsidRDefault="00BD7307" w:rsidP="00BD7307">
      <w:pPr>
        <w:jc w:val="both"/>
        <w:rPr>
          <w:rFonts w:ascii="Arial" w:hAnsi="Arial" w:cs="Arial"/>
          <w:b/>
          <w:color w:val="ED7D31" w:themeColor="accent2"/>
          <w:sz w:val="32"/>
          <w:szCs w:val="32"/>
          <w:lang w:val="en-US"/>
        </w:rPr>
      </w:pPr>
    </w:p>
    <w:p w14:paraId="3B7E84C0" w14:textId="24F43CD5" w:rsidR="00DE55B3" w:rsidRDefault="00DE55B3" w:rsidP="00BD7307">
      <w:pPr>
        <w:jc w:val="both"/>
        <w:rPr>
          <w:rFonts w:ascii="Arial" w:hAnsi="Arial" w:cs="Arial"/>
          <w:b/>
          <w:color w:val="ED7D31" w:themeColor="accent2"/>
          <w:sz w:val="32"/>
          <w:szCs w:val="32"/>
          <w:lang w:val="en-US"/>
        </w:rPr>
      </w:pPr>
    </w:p>
    <w:p w14:paraId="3FE26252" w14:textId="65B54EC5" w:rsidR="00DE55B3" w:rsidRDefault="00DE55B3" w:rsidP="00BD7307">
      <w:pPr>
        <w:jc w:val="both"/>
        <w:rPr>
          <w:rFonts w:ascii="Arial" w:hAnsi="Arial" w:cs="Arial"/>
          <w:b/>
          <w:color w:val="ED7D31" w:themeColor="accent2"/>
          <w:sz w:val="32"/>
          <w:szCs w:val="32"/>
          <w:lang w:val="en-US"/>
        </w:rPr>
      </w:pPr>
    </w:p>
    <w:p w14:paraId="19468781" w14:textId="2DF13EE4" w:rsidR="00DE55B3" w:rsidRDefault="00DE55B3" w:rsidP="00BD7307">
      <w:pPr>
        <w:jc w:val="both"/>
        <w:rPr>
          <w:rFonts w:ascii="Arial" w:hAnsi="Arial" w:cs="Arial"/>
          <w:b/>
          <w:color w:val="ED7D31" w:themeColor="accent2"/>
          <w:sz w:val="32"/>
          <w:szCs w:val="32"/>
          <w:lang w:val="en-US"/>
        </w:rPr>
      </w:pPr>
    </w:p>
    <w:p w14:paraId="5DC9164E" w14:textId="22AF148F" w:rsidR="00DE55B3" w:rsidRDefault="00DE55B3" w:rsidP="00BD7307">
      <w:pPr>
        <w:jc w:val="both"/>
        <w:rPr>
          <w:rFonts w:ascii="Arial" w:hAnsi="Arial" w:cs="Arial"/>
          <w:b/>
          <w:color w:val="ED7D31" w:themeColor="accent2"/>
          <w:sz w:val="32"/>
          <w:szCs w:val="32"/>
          <w:lang w:val="en-US"/>
        </w:rPr>
      </w:pPr>
    </w:p>
    <w:p w14:paraId="1A379E89" w14:textId="459FCDE4" w:rsidR="00B96681" w:rsidRDefault="002D02C8" w:rsidP="00BD7307">
      <w:pPr>
        <w:jc w:val="both"/>
        <w:rPr>
          <w:rFonts w:ascii="Arial" w:hAnsi="Arial" w:cs="Arial"/>
          <w:b/>
          <w:sz w:val="32"/>
          <w:szCs w:val="32"/>
          <w:lang w:val="en-US"/>
        </w:rPr>
      </w:pPr>
      <w:r>
        <w:rPr>
          <w:rFonts w:ascii="Arial" w:hAnsi="Arial" w:cs="Arial"/>
          <w:b/>
          <w:noProof/>
          <w:color w:val="ED7D31" w:themeColor="accent2"/>
          <w:sz w:val="32"/>
          <w:szCs w:val="32"/>
          <w:lang w:val="en-US"/>
        </w:rPr>
        <mc:AlternateContent>
          <mc:Choice Requires="wps">
            <w:drawing>
              <wp:anchor distT="0" distB="0" distL="114300" distR="114300" simplePos="0" relativeHeight="251697152" behindDoc="0" locked="0" layoutInCell="1" allowOverlap="1" wp14:anchorId="696F4FD7" wp14:editId="0D25607D">
                <wp:simplePos x="0" y="0"/>
                <wp:positionH relativeFrom="margin">
                  <wp:posOffset>158750</wp:posOffset>
                </wp:positionH>
                <wp:positionV relativeFrom="paragraph">
                  <wp:posOffset>22860</wp:posOffset>
                </wp:positionV>
                <wp:extent cx="6321425" cy="6781800"/>
                <wp:effectExtent l="0" t="0" r="3175" b="0"/>
                <wp:wrapNone/>
                <wp:docPr id="26" name="Text Box 26"/>
                <wp:cNvGraphicFramePr/>
                <a:graphic xmlns:a="http://schemas.openxmlformats.org/drawingml/2006/main">
                  <a:graphicData uri="http://schemas.microsoft.com/office/word/2010/wordprocessingShape">
                    <wps:wsp>
                      <wps:cNvSpPr txBox="1"/>
                      <wps:spPr>
                        <a:xfrm>
                          <a:off x="0" y="0"/>
                          <a:ext cx="6321425" cy="6781800"/>
                        </a:xfrm>
                        <a:prstGeom prst="rect">
                          <a:avLst/>
                        </a:prstGeom>
                        <a:solidFill>
                          <a:schemeClr val="lt1"/>
                        </a:solidFill>
                        <a:ln w="6350">
                          <a:noFill/>
                        </a:ln>
                      </wps:spPr>
                      <wps:txbx>
                        <w:txbxContent>
                          <w:p w14:paraId="59AB0ED6" w14:textId="1E9B7A34" w:rsidR="00D15FD8" w:rsidRPr="00E7313E" w:rsidRDefault="00D15FD8" w:rsidP="00701189">
                            <w:pPr>
                              <w:spacing w:line="276" w:lineRule="auto"/>
                              <w:rPr>
                                <w:rFonts w:ascii="Arial" w:hAnsi="Arial" w:cs="Arial"/>
                                <w:b/>
                                <w:bCs/>
                                <w:sz w:val="20"/>
                                <w:szCs w:val="20"/>
                              </w:rPr>
                            </w:pPr>
                            <w:r w:rsidRPr="00E7313E">
                              <w:rPr>
                                <w:rFonts w:ascii="Arial" w:hAnsi="Arial" w:cs="Arial"/>
                                <w:b/>
                                <w:bCs/>
                                <w:sz w:val="20"/>
                                <w:szCs w:val="20"/>
                              </w:rPr>
                              <w:t>GUIDE on Advancing Fiscal Transparency for Development 2022</w:t>
                            </w:r>
                          </w:p>
                          <w:p w14:paraId="12650854" w14:textId="77777777" w:rsidR="00D15FD8" w:rsidRPr="00E7313E" w:rsidRDefault="00D15FD8" w:rsidP="00701189">
                            <w:pPr>
                              <w:spacing w:line="276" w:lineRule="auto"/>
                              <w:rPr>
                                <w:rFonts w:ascii="Arial" w:hAnsi="Arial" w:cs="Arial"/>
                                <w:sz w:val="20"/>
                                <w:szCs w:val="20"/>
                              </w:rPr>
                            </w:pPr>
                          </w:p>
                          <w:p w14:paraId="48FD3729" w14:textId="4FAE45EB" w:rsidR="00D15FD8" w:rsidRPr="00E7313E" w:rsidRDefault="00D15FD8" w:rsidP="00701189">
                            <w:pPr>
                              <w:spacing w:line="276" w:lineRule="auto"/>
                              <w:rPr>
                                <w:rFonts w:ascii="Arial" w:hAnsi="Arial" w:cs="Arial"/>
                                <w:b/>
                                <w:bCs/>
                                <w:sz w:val="20"/>
                                <w:szCs w:val="20"/>
                              </w:rPr>
                            </w:pPr>
                            <w:r w:rsidRPr="00E7313E">
                              <w:rPr>
                                <w:rFonts w:ascii="Arial" w:hAnsi="Arial" w:cs="Arial"/>
                                <w:b/>
                                <w:bCs/>
                                <w:sz w:val="20"/>
                                <w:szCs w:val="20"/>
                              </w:rPr>
                              <w:t>Written by:</w:t>
                            </w:r>
                          </w:p>
                          <w:p w14:paraId="6BBD1D56" w14:textId="77777777" w:rsidR="00D15FD8" w:rsidRPr="00E7313E" w:rsidRDefault="00D15FD8" w:rsidP="00701189">
                            <w:pPr>
                              <w:spacing w:line="276" w:lineRule="auto"/>
                              <w:rPr>
                                <w:rFonts w:ascii="Arial" w:hAnsi="Arial" w:cs="Arial"/>
                                <w:b/>
                                <w:bCs/>
                                <w:sz w:val="20"/>
                                <w:szCs w:val="20"/>
                              </w:rPr>
                            </w:pPr>
                          </w:p>
                          <w:p w14:paraId="353A0606" w14:textId="57AF866B" w:rsidR="00D15FD8" w:rsidRPr="00E7313E" w:rsidRDefault="00D15FD8">
                            <w:pPr>
                              <w:pStyle w:val="ListParagraph"/>
                              <w:numPr>
                                <w:ilvl w:val="0"/>
                                <w:numId w:val="5"/>
                              </w:numPr>
                              <w:spacing w:line="276" w:lineRule="auto"/>
                              <w:rPr>
                                <w:rFonts w:ascii="Arial" w:hAnsi="Arial" w:cs="Arial"/>
                                <w:b/>
                                <w:bCs/>
                                <w:color w:val="ED5625"/>
                                <w:sz w:val="20"/>
                                <w:szCs w:val="20"/>
                              </w:rPr>
                            </w:pPr>
                            <w:r w:rsidRPr="00E7313E">
                              <w:rPr>
                                <w:rFonts w:ascii="Arial" w:hAnsi="Arial" w:cs="Arial"/>
                                <w:b/>
                                <w:bCs/>
                                <w:color w:val="ED5625"/>
                                <w:sz w:val="20"/>
                                <w:szCs w:val="20"/>
                              </w:rPr>
                              <w:t>Raquel Ferreira, Senior Technical Advisor.</w:t>
                            </w:r>
                          </w:p>
                          <w:p w14:paraId="0E05DDC3" w14:textId="77777777" w:rsidR="00D15FD8" w:rsidRPr="00E7313E" w:rsidRDefault="00D15FD8" w:rsidP="00701189">
                            <w:pPr>
                              <w:pStyle w:val="ListParagraph"/>
                              <w:spacing w:line="276" w:lineRule="auto"/>
                              <w:ind w:left="360"/>
                              <w:rPr>
                                <w:rFonts w:ascii="Arial" w:hAnsi="Arial" w:cs="Arial"/>
                                <w:sz w:val="20"/>
                                <w:szCs w:val="20"/>
                              </w:rPr>
                            </w:pPr>
                            <w:r w:rsidRPr="00E7313E">
                              <w:rPr>
                                <w:rFonts w:ascii="Arial" w:hAnsi="Arial" w:cs="Arial"/>
                                <w:sz w:val="20"/>
                                <w:szCs w:val="20"/>
                              </w:rPr>
                              <w:t>raquel.ferreira@fiscaltransparency.net</w:t>
                            </w:r>
                          </w:p>
                          <w:p w14:paraId="1219438E" w14:textId="03C48EEA" w:rsidR="00D15FD8" w:rsidRPr="00E7313E" w:rsidRDefault="00D15FD8">
                            <w:pPr>
                              <w:pStyle w:val="ListParagraph"/>
                              <w:numPr>
                                <w:ilvl w:val="0"/>
                                <w:numId w:val="5"/>
                              </w:numPr>
                              <w:spacing w:line="276" w:lineRule="auto"/>
                              <w:rPr>
                                <w:rFonts w:ascii="Arial" w:hAnsi="Arial" w:cs="Arial"/>
                                <w:b/>
                                <w:bCs/>
                                <w:color w:val="ED5625"/>
                                <w:sz w:val="20"/>
                                <w:szCs w:val="20"/>
                              </w:rPr>
                            </w:pPr>
                            <w:r w:rsidRPr="00E7313E">
                              <w:rPr>
                                <w:rFonts w:ascii="Arial" w:hAnsi="Arial" w:cs="Arial"/>
                                <w:b/>
                                <w:bCs/>
                                <w:color w:val="ED5625"/>
                                <w:sz w:val="20"/>
                                <w:szCs w:val="20"/>
                              </w:rPr>
                              <w:t>Juan Pablo Guerrero, Network Director.</w:t>
                            </w:r>
                          </w:p>
                          <w:p w14:paraId="6E415D86" w14:textId="77777777" w:rsidR="00D15FD8" w:rsidRPr="00E7313E" w:rsidRDefault="00D15FD8" w:rsidP="00701189">
                            <w:pPr>
                              <w:pStyle w:val="ListParagraph"/>
                              <w:spacing w:line="276" w:lineRule="auto"/>
                              <w:ind w:left="360"/>
                              <w:rPr>
                                <w:rFonts w:ascii="Arial" w:hAnsi="Arial" w:cs="Arial"/>
                                <w:sz w:val="20"/>
                                <w:szCs w:val="20"/>
                              </w:rPr>
                            </w:pPr>
                            <w:r w:rsidRPr="00E7313E">
                              <w:rPr>
                                <w:rFonts w:ascii="Arial" w:hAnsi="Arial" w:cs="Arial"/>
                                <w:sz w:val="20"/>
                                <w:szCs w:val="20"/>
                              </w:rPr>
                              <w:t>guerrero@fiscaltransparency.net</w:t>
                            </w:r>
                          </w:p>
                          <w:p w14:paraId="5CADCDB2" w14:textId="77777777" w:rsidR="00D15FD8" w:rsidRPr="00E7313E" w:rsidRDefault="00D15FD8" w:rsidP="00701189">
                            <w:pPr>
                              <w:spacing w:line="276" w:lineRule="auto"/>
                              <w:rPr>
                                <w:rFonts w:ascii="Arial" w:hAnsi="Arial" w:cs="Arial"/>
                                <w:sz w:val="20"/>
                                <w:szCs w:val="20"/>
                              </w:rPr>
                            </w:pPr>
                          </w:p>
                          <w:p w14:paraId="12B914C9" w14:textId="2CEECE40" w:rsidR="00D15FD8" w:rsidRPr="00E7313E" w:rsidRDefault="00D15FD8" w:rsidP="002D02C8">
                            <w:pPr>
                              <w:spacing w:line="276" w:lineRule="auto"/>
                              <w:jc w:val="both"/>
                              <w:rPr>
                                <w:rFonts w:ascii="Arial" w:hAnsi="Arial" w:cs="Arial"/>
                                <w:sz w:val="20"/>
                                <w:szCs w:val="20"/>
                              </w:rPr>
                            </w:pPr>
                            <w:r w:rsidRPr="00E7313E">
                              <w:rPr>
                                <w:rFonts w:ascii="Arial" w:hAnsi="Arial" w:cs="Arial"/>
                                <w:sz w:val="20"/>
                                <w:szCs w:val="20"/>
                              </w:rPr>
                              <w:t xml:space="preserve">With gratitude to Maureen </w:t>
                            </w:r>
                            <w:proofErr w:type="spellStart"/>
                            <w:r w:rsidRPr="00E7313E">
                              <w:rPr>
                                <w:rFonts w:ascii="Arial" w:hAnsi="Arial" w:cs="Arial"/>
                                <w:sz w:val="20"/>
                                <w:szCs w:val="20"/>
                              </w:rPr>
                              <w:t>Duguran</w:t>
                            </w:r>
                            <w:proofErr w:type="spellEnd"/>
                            <w:r w:rsidRPr="00E7313E">
                              <w:rPr>
                                <w:rFonts w:ascii="Arial" w:hAnsi="Arial" w:cs="Arial"/>
                                <w:sz w:val="20"/>
                                <w:szCs w:val="20"/>
                              </w:rPr>
                              <w:t xml:space="preserve"> for the creative design and layout of this knowledge product, under the supervision of Marianne Fabian, GIFT Communications and Outreach Coordinator</w:t>
                            </w:r>
                            <w:r>
                              <w:rPr>
                                <w:rFonts w:ascii="Arial" w:hAnsi="Arial" w:cs="Arial"/>
                                <w:sz w:val="20"/>
                                <w:szCs w:val="20"/>
                              </w:rPr>
                              <w:t>.</w:t>
                            </w:r>
                          </w:p>
                          <w:p w14:paraId="615F24CE" w14:textId="77777777" w:rsidR="00D15FD8" w:rsidRPr="00E7313E" w:rsidRDefault="00D15FD8" w:rsidP="002D02C8">
                            <w:pPr>
                              <w:spacing w:line="276" w:lineRule="auto"/>
                              <w:jc w:val="both"/>
                              <w:rPr>
                                <w:rFonts w:ascii="Arial" w:hAnsi="Arial" w:cs="Arial"/>
                                <w:sz w:val="20"/>
                                <w:szCs w:val="20"/>
                              </w:rPr>
                            </w:pPr>
                          </w:p>
                          <w:p w14:paraId="1A13DF1C" w14:textId="250849EC" w:rsidR="00D15FD8" w:rsidRPr="00E7313E" w:rsidRDefault="00D15FD8" w:rsidP="002D02C8">
                            <w:pPr>
                              <w:spacing w:line="276" w:lineRule="auto"/>
                              <w:jc w:val="both"/>
                              <w:rPr>
                                <w:rFonts w:ascii="Arial" w:hAnsi="Arial" w:cs="Arial"/>
                                <w:sz w:val="20"/>
                                <w:szCs w:val="20"/>
                              </w:rPr>
                            </w:pPr>
                            <w:r w:rsidRPr="00E7313E">
                              <w:rPr>
                                <w:rFonts w:ascii="Arial" w:hAnsi="Arial" w:cs="Arial"/>
                                <w:sz w:val="20"/>
                                <w:szCs w:val="20"/>
                              </w:rPr>
                              <w:t>Disclaimer: The views expressed in this guide are those of the authors. The authors are safe to assume that the advice and information in this guide are believed to be true and accurate at the date of publication. Neither the authors give a warranty, expressed or implied, with respect to the material contained herein or for any errors or omissions that may have been made.</w:t>
                            </w:r>
                          </w:p>
                          <w:p w14:paraId="0762FAB6" w14:textId="77777777" w:rsidR="00D15FD8" w:rsidRPr="00E7313E" w:rsidRDefault="00D15FD8" w:rsidP="00701189">
                            <w:pPr>
                              <w:spacing w:line="276" w:lineRule="auto"/>
                              <w:rPr>
                                <w:rFonts w:ascii="Arial" w:hAnsi="Arial" w:cs="Arial"/>
                                <w:sz w:val="20"/>
                                <w:szCs w:val="20"/>
                              </w:rPr>
                            </w:pPr>
                          </w:p>
                          <w:p w14:paraId="7B38BACE" w14:textId="77777777" w:rsidR="00D15FD8" w:rsidRPr="00E7313E" w:rsidRDefault="00D15FD8" w:rsidP="00701189">
                            <w:pPr>
                              <w:spacing w:line="276" w:lineRule="auto"/>
                              <w:rPr>
                                <w:rFonts w:ascii="Arial" w:hAnsi="Arial" w:cs="Arial"/>
                                <w:b/>
                                <w:bCs/>
                                <w:sz w:val="20"/>
                                <w:szCs w:val="20"/>
                              </w:rPr>
                            </w:pPr>
                            <w:r w:rsidRPr="00E7313E">
                              <w:rPr>
                                <w:rFonts w:ascii="Arial" w:hAnsi="Arial" w:cs="Arial"/>
                                <w:b/>
                                <w:bCs/>
                                <w:sz w:val="20"/>
                                <w:szCs w:val="20"/>
                              </w:rPr>
                              <w:t>Acknowledgments</w:t>
                            </w:r>
                          </w:p>
                          <w:p w14:paraId="4A6374DC" w14:textId="77777777" w:rsidR="00D15FD8" w:rsidRPr="00E7313E" w:rsidRDefault="00D15FD8" w:rsidP="00701189">
                            <w:pPr>
                              <w:spacing w:line="276" w:lineRule="auto"/>
                              <w:rPr>
                                <w:rFonts w:ascii="Arial" w:hAnsi="Arial" w:cs="Arial"/>
                                <w:sz w:val="20"/>
                                <w:szCs w:val="20"/>
                              </w:rPr>
                            </w:pPr>
                          </w:p>
                          <w:p w14:paraId="6486F7DB" w14:textId="77777777" w:rsidR="00D15FD8" w:rsidRPr="00E7313E" w:rsidRDefault="00D15FD8" w:rsidP="002D02C8">
                            <w:pPr>
                              <w:spacing w:line="276" w:lineRule="auto"/>
                              <w:jc w:val="both"/>
                              <w:rPr>
                                <w:rFonts w:ascii="Arial" w:hAnsi="Arial" w:cs="Arial"/>
                                <w:sz w:val="20"/>
                                <w:szCs w:val="20"/>
                              </w:rPr>
                            </w:pPr>
                            <w:r w:rsidRPr="00E7313E">
                              <w:rPr>
                                <w:rFonts w:ascii="Arial" w:hAnsi="Arial" w:cs="Arial"/>
                                <w:sz w:val="20"/>
                                <w:szCs w:val="20"/>
                              </w:rPr>
                              <w:t xml:space="preserve">We would like to graciously thank the United States Department of State for funding the Advancing Fiscal Transparency for Development online course, on which this Guide is based. Additionally, we would also like to thank the partners and members of the GIFT network for tirelessly providing their extensive expertise, knowledge and experience in advancing fiscal transparency policies, thereby greatly enriching the content of this Guide. </w:t>
                            </w:r>
                          </w:p>
                          <w:p w14:paraId="28DF87E4" w14:textId="77777777" w:rsidR="00D15FD8" w:rsidRPr="00E7313E" w:rsidRDefault="00D15FD8" w:rsidP="002D02C8">
                            <w:pPr>
                              <w:spacing w:line="276" w:lineRule="auto"/>
                              <w:jc w:val="both"/>
                              <w:rPr>
                                <w:rFonts w:ascii="Arial" w:hAnsi="Arial" w:cs="Arial"/>
                                <w:sz w:val="20"/>
                                <w:szCs w:val="20"/>
                              </w:rPr>
                            </w:pPr>
                          </w:p>
                          <w:p w14:paraId="226D0EEC" w14:textId="5CB5FD4A" w:rsidR="00D15FD8" w:rsidRDefault="00D15FD8" w:rsidP="002D02C8">
                            <w:pPr>
                              <w:spacing w:line="276" w:lineRule="auto"/>
                              <w:jc w:val="both"/>
                              <w:rPr>
                                <w:rFonts w:ascii="Arial" w:hAnsi="Arial" w:cs="Arial"/>
                                <w:sz w:val="20"/>
                                <w:szCs w:val="20"/>
                              </w:rPr>
                            </w:pPr>
                            <w:r w:rsidRPr="00E7313E">
                              <w:rPr>
                                <w:rFonts w:ascii="Arial" w:hAnsi="Arial" w:cs="Arial"/>
                                <w:sz w:val="20"/>
                                <w:szCs w:val="20"/>
                              </w:rPr>
                              <w:t xml:space="preserve">A special note of gratitude goes to the International Budget </w:t>
                            </w:r>
                            <w:r w:rsidRPr="003256AD">
                              <w:rPr>
                                <w:rFonts w:ascii="Arial" w:hAnsi="Arial" w:cs="Arial"/>
                                <w:sz w:val="20"/>
                                <w:szCs w:val="20"/>
                              </w:rPr>
                              <w:t xml:space="preserve">Partnership (IBP), the </w:t>
                            </w:r>
                            <w:r w:rsidRPr="00E7313E">
                              <w:rPr>
                                <w:rFonts w:ascii="Arial" w:hAnsi="Arial" w:cs="Arial"/>
                                <w:sz w:val="20"/>
                                <w:szCs w:val="20"/>
                              </w:rPr>
                              <w:t>administrative host of GIFT, an organization working side by side with GIFT in advancing fiscal transparency, accountability and public participation in fiscal policies.</w:t>
                            </w:r>
                          </w:p>
                          <w:p w14:paraId="4CC2F1B3" w14:textId="6DBF367E" w:rsidR="00D15FD8" w:rsidRDefault="00D15FD8" w:rsidP="002D02C8">
                            <w:pPr>
                              <w:spacing w:line="276" w:lineRule="auto"/>
                              <w:jc w:val="both"/>
                              <w:rPr>
                                <w:rFonts w:ascii="Arial" w:hAnsi="Arial" w:cs="Arial"/>
                                <w:sz w:val="20"/>
                                <w:szCs w:val="20"/>
                              </w:rPr>
                            </w:pPr>
                          </w:p>
                          <w:p w14:paraId="5B9A7123" w14:textId="77777777" w:rsidR="00D15FD8" w:rsidRPr="00E7313E" w:rsidRDefault="00D15FD8" w:rsidP="002D02C8">
                            <w:pPr>
                              <w:spacing w:line="276" w:lineRule="auto"/>
                              <w:jc w:val="both"/>
                              <w:rPr>
                                <w:rFonts w:ascii="Arial" w:hAnsi="Arial" w:cs="Arial"/>
                                <w:sz w:val="20"/>
                                <w:szCs w:val="20"/>
                              </w:rPr>
                            </w:pPr>
                          </w:p>
                          <w:p w14:paraId="37809D5E" w14:textId="77777777" w:rsidR="00D15FD8" w:rsidRDefault="00D15FD8" w:rsidP="00701189">
                            <w:pPr>
                              <w:spacing w:line="276" w:lineRule="auto"/>
                              <w:rPr>
                                <w:rFonts w:ascii="Arial" w:hAnsi="Arial" w:cs="Arial"/>
                                <w:sz w:val="24"/>
                                <w:szCs w:val="24"/>
                              </w:rPr>
                            </w:pPr>
                          </w:p>
                          <w:p w14:paraId="456EA619" w14:textId="52ED5892" w:rsidR="00D15FD8" w:rsidRDefault="00D15FD8" w:rsidP="00E7313E">
                            <w:pPr>
                              <w:spacing w:line="276" w:lineRule="auto"/>
                              <w:jc w:val="center"/>
                              <w:rPr>
                                <w:rFonts w:ascii="Arial" w:eastAsia="Arial" w:hAnsi="Arial" w:cs="Arial"/>
                                <w:bCs/>
                                <w:color w:val="16988A"/>
                                <w:sz w:val="20"/>
                                <w:szCs w:val="20"/>
                              </w:rPr>
                            </w:pPr>
                            <w:r w:rsidRPr="00A75DAA">
                              <w:rPr>
                                <w:rFonts w:ascii="Arial" w:eastAsia="Arial" w:hAnsi="Arial" w:cs="Arial"/>
                                <w:bCs/>
                                <w:color w:val="16988A"/>
                                <w:sz w:val="20"/>
                                <w:szCs w:val="20"/>
                              </w:rPr>
                              <w:t>©</w:t>
                            </w:r>
                            <w:r w:rsidRPr="00A75DAA">
                              <w:rPr>
                                <w:color w:val="16988A"/>
                                <w:sz w:val="28"/>
                                <w:szCs w:val="28"/>
                              </w:rPr>
                              <w:t xml:space="preserve"> </w:t>
                            </w:r>
                            <w:r w:rsidRPr="00A75DAA">
                              <w:rPr>
                                <w:rFonts w:ascii="Arial" w:eastAsia="Arial" w:hAnsi="Arial" w:cs="Arial"/>
                                <w:bCs/>
                                <w:color w:val="16988A"/>
                                <w:sz w:val="20"/>
                                <w:szCs w:val="20"/>
                              </w:rPr>
                              <w:t>The generic images used in this Guide are the property of the International Budget Partnership (IBP), developed by its program, the Global Initiative for Fiscal Transparency (GIFT) network. Any reuse of these images requires citing the source or the permission of GIFT/IBP.</w:t>
                            </w:r>
                          </w:p>
                          <w:p w14:paraId="766BAD55" w14:textId="469858C2" w:rsidR="00D15FD8" w:rsidRDefault="00D15FD8" w:rsidP="00E7313E">
                            <w:pPr>
                              <w:spacing w:line="276" w:lineRule="auto"/>
                              <w:jc w:val="center"/>
                              <w:rPr>
                                <w:rFonts w:ascii="Arial" w:eastAsia="Arial" w:hAnsi="Arial" w:cs="Arial"/>
                                <w:bCs/>
                                <w:color w:val="16988A"/>
                                <w:sz w:val="20"/>
                                <w:szCs w:val="20"/>
                              </w:rPr>
                            </w:pPr>
                          </w:p>
                          <w:p w14:paraId="5D91D720" w14:textId="77777777" w:rsidR="00D15FD8" w:rsidRPr="00E7313E" w:rsidRDefault="00D15FD8" w:rsidP="00E7313E">
                            <w:pPr>
                              <w:spacing w:line="276" w:lineRule="auto"/>
                              <w:jc w:val="center"/>
                              <w:rPr>
                                <w:rFonts w:ascii="Arial" w:eastAsia="Arial" w:hAnsi="Arial" w:cs="Arial"/>
                                <w:bCs/>
                                <w:color w:val="16988A"/>
                                <w:sz w:val="20"/>
                                <w:szCs w:val="20"/>
                              </w:rPr>
                            </w:pPr>
                          </w:p>
                          <w:p w14:paraId="1ADBF63B" w14:textId="77777777" w:rsidR="00D15FD8" w:rsidRPr="00E7313E" w:rsidRDefault="00D15FD8" w:rsidP="00E7313E">
                            <w:pPr>
                              <w:spacing w:line="276" w:lineRule="auto"/>
                              <w:jc w:val="center"/>
                              <w:rPr>
                                <w:rFonts w:ascii="Arial" w:hAnsi="Arial" w:cs="Arial"/>
                                <w:b/>
                                <w:bCs/>
                                <w:sz w:val="20"/>
                                <w:szCs w:val="20"/>
                              </w:rPr>
                            </w:pPr>
                            <w:r w:rsidRPr="00E7313E">
                              <w:rPr>
                                <w:rFonts w:ascii="Arial" w:hAnsi="Arial" w:cs="Arial"/>
                                <w:b/>
                                <w:bCs/>
                                <w:color w:val="ED5625"/>
                                <w:sz w:val="20"/>
                                <w:szCs w:val="20"/>
                              </w:rPr>
                              <w:t>Global Initiative for Fiscal Transparency</w:t>
                            </w:r>
                          </w:p>
                          <w:p w14:paraId="16887324" w14:textId="43FE0978" w:rsidR="00D15FD8" w:rsidRPr="00E7313E" w:rsidRDefault="00D15FD8" w:rsidP="00E7313E">
                            <w:pPr>
                              <w:spacing w:line="276" w:lineRule="auto"/>
                              <w:jc w:val="center"/>
                              <w:rPr>
                                <w:rFonts w:ascii="Arial" w:hAnsi="Arial" w:cs="Arial"/>
                                <w:sz w:val="20"/>
                                <w:szCs w:val="20"/>
                              </w:rPr>
                            </w:pPr>
                            <w:r w:rsidRPr="00E7313E">
                              <w:rPr>
                                <w:rFonts w:ascii="Arial" w:hAnsi="Arial" w:cs="Arial"/>
                                <w:sz w:val="20"/>
                                <w:szCs w:val="20"/>
                              </w:rPr>
                              <w:t>www.fiscaltransparency.net   |   info@fiscaltransparency.net    | @fiscaltrans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6F4FD7" id="_x0000_t202" coordsize="21600,21600" o:spt="202" path="m,l,21600r21600,l21600,xe">
                <v:stroke joinstyle="miter"/>
                <v:path gradientshapeok="t" o:connecttype="rect"/>
              </v:shapetype>
              <v:shape id="Text Box 26" o:spid="_x0000_s1026" type="#_x0000_t202" style="position:absolute;left:0;text-align:left;margin-left:12.5pt;margin-top:1.8pt;width:497.75pt;height:534pt;z-index:251697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" fillcolor="white [3201]" stroked="f" strokeweight=".5pt">
                <v:textbox>
                  <w:txbxContent>
                    <w:p w14:paraId="59AB0ED6" w14:textId="1E9B7A34" w:rsidR="00D15FD8" w:rsidRPr="00E7313E" w:rsidRDefault="00D15FD8" w:rsidP="00701189">
                      <w:pPr>
                        <w:spacing w:line="276" w:lineRule="auto"/>
                        <w:rPr>
                          <w:rFonts w:ascii="Arial" w:hAnsi="Arial" w:cs="Arial"/>
                          <w:b/>
                          <w:bCs/>
                          <w:sz w:val="20"/>
                          <w:szCs w:val="20"/>
                        </w:rPr>
                      </w:pPr>
                      <w:r w:rsidRPr="00E7313E">
                        <w:rPr>
                          <w:rFonts w:ascii="Arial" w:hAnsi="Arial" w:cs="Arial"/>
                          <w:b/>
                          <w:bCs/>
                          <w:sz w:val="20"/>
                          <w:szCs w:val="20"/>
                        </w:rPr>
                        <w:t>GUIDE on Advancing Fiscal Transparency for Development 2022</w:t>
                      </w:r>
                    </w:p>
                    <w:p w14:paraId="12650854" w14:textId="77777777" w:rsidR="00D15FD8" w:rsidRPr="00E7313E" w:rsidRDefault="00D15FD8" w:rsidP="00701189">
                      <w:pPr>
                        <w:spacing w:line="276" w:lineRule="auto"/>
                        <w:rPr>
                          <w:rFonts w:ascii="Arial" w:hAnsi="Arial" w:cs="Arial"/>
                          <w:sz w:val="20"/>
                          <w:szCs w:val="20"/>
                        </w:rPr>
                      </w:pPr>
                    </w:p>
                    <w:p w14:paraId="48FD3729" w14:textId="4FAE45EB" w:rsidR="00D15FD8" w:rsidRPr="00E7313E" w:rsidRDefault="00D15FD8" w:rsidP="00701189">
                      <w:pPr>
                        <w:spacing w:line="276" w:lineRule="auto"/>
                        <w:rPr>
                          <w:rFonts w:ascii="Arial" w:hAnsi="Arial" w:cs="Arial"/>
                          <w:b/>
                          <w:bCs/>
                          <w:sz w:val="20"/>
                          <w:szCs w:val="20"/>
                        </w:rPr>
                      </w:pPr>
                      <w:r w:rsidRPr="00E7313E">
                        <w:rPr>
                          <w:rFonts w:ascii="Arial" w:hAnsi="Arial" w:cs="Arial"/>
                          <w:b/>
                          <w:bCs/>
                          <w:sz w:val="20"/>
                          <w:szCs w:val="20"/>
                        </w:rPr>
                        <w:t>Written by:</w:t>
                      </w:r>
                    </w:p>
                    <w:p w14:paraId="6BBD1D56" w14:textId="77777777" w:rsidR="00D15FD8" w:rsidRPr="00E7313E" w:rsidRDefault="00D15FD8" w:rsidP="00701189">
                      <w:pPr>
                        <w:spacing w:line="276" w:lineRule="auto"/>
                        <w:rPr>
                          <w:rFonts w:ascii="Arial" w:hAnsi="Arial" w:cs="Arial"/>
                          <w:b/>
                          <w:bCs/>
                          <w:sz w:val="20"/>
                          <w:szCs w:val="20"/>
                        </w:rPr>
                      </w:pPr>
                    </w:p>
                    <w:p w14:paraId="353A0606" w14:textId="57AF866B" w:rsidR="00D15FD8" w:rsidRPr="00E7313E" w:rsidRDefault="00D15FD8">
                      <w:pPr>
                        <w:pStyle w:val="ListParagraph"/>
                        <w:numPr>
                          <w:ilvl w:val="0"/>
                          <w:numId w:val="5"/>
                        </w:numPr>
                        <w:spacing w:line="276" w:lineRule="auto"/>
                        <w:rPr>
                          <w:rFonts w:ascii="Arial" w:hAnsi="Arial" w:cs="Arial"/>
                          <w:b/>
                          <w:bCs/>
                          <w:color w:val="ED5625"/>
                          <w:sz w:val="20"/>
                          <w:szCs w:val="20"/>
                        </w:rPr>
                      </w:pPr>
                      <w:r w:rsidRPr="00E7313E">
                        <w:rPr>
                          <w:rFonts w:ascii="Arial" w:hAnsi="Arial" w:cs="Arial"/>
                          <w:b/>
                          <w:bCs/>
                          <w:color w:val="ED5625"/>
                          <w:sz w:val="20"/>
                          <w:szCs w:val="20"/>
                        </w:rPr>
                        <w:t>Raquel Ferreira, Senior Technical Advisor.</w:t>
                      </w:r>
                    </w:p>
                    <w:p w14:paraId="0E05DDC3" w14:textId="77777777" w:rsidR="00D15FD8" w:rsidRPr="00E7313E" w:rsidRDefault="00D15FD8" w:rsidP="00701189">
                      <w:pPr>
                        <w:pStyle w:val="ListParagraph"/>
                        <w:spacing w:line="276" w:lineRule="auto"/>
                        <w:ind w:left="360"/>
                        <w:rPr>
                          <w:rFonts w:ascii="Arial" w:hAnsi="Arial" w:cs="Arial"/>
                          <w:sz w:val="20"/>
                          <w:szCs w:val="20"/>
                        </w:rPr>
                      </w:pPr>
                      <w:r w:rsidRPr="00E7313E">
                        <w:rPr>
                          <w:rFonts w:ascii="Arial" w:hAnsi="Arial" w:cs="Arial"/>
                          <w:sz w:val="20"/>
                          <w:szCs w:val="20"/>
                        </w:rPr>
                        <w:t>raquel.ferreira@fiscaltransparency.net</w:t>
                      </w:r>
                    </w:p>
                    <w:p w14:paraId="1219438E" w14:textId="03C48EEA" w:rsidR="00D15FD8" w:rsidRPr="00E7313E" w:rsidRDefault="00D15FD8">
                      <w:pPr>
                        <w:pStyle w:val="ListParagraph"/>
                        <w:numPr>
                          <w:ilvl w:val="0"/>
                          <w:numId w:val="5"/>
                        </w:numPr>
                        <w:spacing w:line="276" w:lineRule="auto"/>
                        <w:rPr>
                          <w:rFonts w:ascii="Arial" w:hAnsi="Arial" w:cs="Arial"/>
                          <w:b/>
                          <w:bCs/>
                          <w:color w:val="ED5625"/>
                          <w:sz w:val="20"/>
                          <w:szCs w:val="20"/>
                        </w:rPr>
                      </w:pPr>
                      <w:r w:rsidRPr="00E7313E">
                        <w:rPr>
                          <w:rFonts w:ascii="Arial" w:hAnsi="Arial" w:cs="Arial"/>
                          <w:b/>
                          <w:bCs/>
                          <w:color w:val="ED5625"/>
                          <w:sz w:val="20"/>
                          <w:szCs w:val="20"/>
                        </w:rPr>
                        <w:t>Juan Pablo Guerrero, Network Director.</w:t>
                      </w:r>
                    </w:p>
                    <w:p w14:paraId="6E415D86" w14:textId="77777777" w:rsidR="00D15FD8" w:rsidRPr="00E7313E" w:rsidRDefault="00D15FD8" w:rsidP="00701189">
                      <w:pPr>
                        <w:pStyle w:val="ListParagraph"/>
                        <w:spacing w:line="276" w:lineRule="auto"/>
                        <w:ind w:left="360"/>
                        <w:rPr>
                          <w:rFonts w:ascii="Arial" w:hAnsi="Arial" w:cs="Arial"/>
                          <w:sz w:val="20"/>
                          <w:szCs w:val="20"/>
                        </w:rPr>
                      </w:pPr>
                      <w:r w:rsidRPr="00E7313E">
                        <w:rPr>
                          <w:rFonts w:ascii="Arial" w:hAnsi="Arial" w:cs="Arial"/>
                          <w:sz w:val="20"/>
                          <w:szCs w:val="20"/>
                        </w:rPr>
                        <w:t>guerrero@fiscaltransparency.net</w:t>
                      </w:r>
                    </w:p>
                    <w:p w14:paraId="5CADCDB2" w14:textId="77777777" w:rsidR="00D15FD8" w:rsidRPr="00E7313E" w:rsidRDefault="00D15FD8" w:rsidP="00701189">
                      <w:pPr>
                        <w:spacing w:line="276" w:lineRule="auto"/>
                        <w:rPr>
                          <w:rFonts w:ascii="Arial" w:hAnsi="Arial" w:cs="Arial"/>
                          <w:sz w:val="20"/>
                          <w:szCs w:val="20"/>
                        </w:rPr>
                      </w:pPr>
                    </w:p>
                    <w:p w14:paraId="12B914C9" w14:textId="2CEECE40" w:rsidR="00D15FD8" w:rsidRPr="00E7313E" w:rsidRDefault="00D15FD8" w:rsidP="002D02C8">
                      <w:pPr>
                        <w:spacing w:line="276" w:lineRule="auto"/>
                        <w:jc w:val="both"/>
                        <w:rPr>
                          <w:rFonts w:ascii="Arial" w:hAnsi="Arial" w:cs="Arial"/>
                          <w:sz w:val="20"/>
                          <w:szCs w:val="20"/>
                        </w:rPr>
                      </w:pPr>
                      <w:r w:rsidRPr="00E7313E">
                        <w:rPr>
                          <w:rFonts w:ascii="Arial" w:hAnsi="Arial" w:cs="Arial"/>
                          <w:sz w:val="20"/>
                          <w:szCs w:val="20"/>
                        </w:rPr>
                        <w:t xml:space="preserve">With gratitude to Maureen </w:t>
                      </w:r>
                      <w:proofErr w:type="spellStart"/>
                      <w:r w:rsidRPr="00E7313E">
                        <w:rPr>
                          <w:rFonts w:ascii="Arial" w:hAnsi="Arial" w:cs="Arial"/>
                          <w:sz w:val="20"/>
                          <w:szCs w:val="20"/>
                        </w:rPr>
                        <w:t>Duguran</w:t>
                      </w:r>
                      <w:proofErr w:type="spellEnd"/>
                      <w:r w:rsidRPr="00E7313E">
                        <w:rPr>
                          <w:rFonts w:ascii="Arial" w:hAnsi="Arial" w:cs="Arial"/>
                          <w:sz w:val="20"/>
                          <w:szCs w:val="20"/>
                        </w:rPr>
                        <w:t xml:space="preserve"> for the creative design and layout of this knowledge product, under the supervision of Marianne Fabian, GIFT Communications and Outreach Coordinator</w:t>
                      </w:r>
                      <w:r>
                        <w:rPr>
                          <w:rFonts w:ascii="Arial" w:hAnsi="Arial" w:cs="Arial"/>
                          <w:sz w:val="20"/>
                          <w:szCs w:val="20"/>
                        </w:rPr>
                        <w:t>.</w:t>
                      </w:r>
                    </w:p>
                    <w:p w14:paraId="615F24CE" w14:textId="77777777" w:rsidR="00D15FD8" w:rsidRPr="00E7313E" w:rsidRDefault="00D15FD8" w:rsidP="002D02C8">
                      <w:pPr>
                        <w:spacing w:line="276" w:lineRule="auto"/>
                        <w:jc w:val="both"/>
                        <w:rPr>
                          <w:rFonts w:ascii="Arial" w:hAnsi="Arial" w:cs="Arial"/>
                          <w:sz w:val="20"/>
                          <w:szCs w:val="20"/>
                        </w:rPr>
                      </w:pPr>
                    </w:p>
                    <w:p w14:paraId="1A13DF1C" w14:textId="250849EC" w:rsidR="00D15FD8" w:rsidRPr="00E7313E" w:rsidRDefault="00D15FD8" w:rsidP="002D02C8">
                      <w:pPr>
                        <w:spacing w:line="276" w:lineRule="auto"/>
                        <w:jc w:val="both"/>
                        <w:rPr>
                          <w:rFonts w:ascii="Arial" w:hAnsi="Arial" w:cs="Arial"/>
                          <w:sz w:val="20"/>
                          <w:szCs w:val="20"/>
                        </w:rPr>
                      </w:pPr>
                      <w:r w:rsidRPr="00E7313E">
                        <w:rPr>
                          <w:rFonts w:ascii="Arial" w:hAnsi="Arial" w:cs="Arial"/>
                          <w:sz w:val="20"/>
                          <w:szCs w:val="20"/>
                        </w:rPr>
                        <w:t>Disclaimer: The views expressed in this guide are those of the authors. The authors are safe to assume that the advice and information in this guide are believed to be true and accurate at the date of publication. Neither the authors give a warranty, expressed or implied, with respect to the material contained herein or for any errors or omissions that may have been made.</w:t>
                      </w:r>
                    </w:p>
                    <w:p w14:paraId="0762FAB6" w14:textId="77777777" w:rsidR="00D15FD8" w:rsidRPr="00E7313E" w:rsidRDefault="00D15FD8" w:rsidP="00701189">
                      <w:pPr>
                        <w:spacing w:line="276" w:lineRule="auto"/>
                        <w:rPr>
                          <w:rFonts w:ascii="Arial" w:hAnsi="Arial" w:cs="Arial"/>
                          <w:sz w:val="20"/>
                          <w:szCs w:val="20"/>
                        </w:rPr>
                      </w:pPr>
                    </w:p>
                    <w:p w14:paraId="7B38BACE" w14:textId="77777777" w:rsidR="00D15FD8" w:rsidRPr="00E7313E" w:rsidRDefault="00D15FD8" w:rsidP="00701189">
                      <w:pPr>
                        <w:spacing w:line="276" w:lineRule="auto"/>
                        <w:rPr>
                          <w:rFonts w:ascii="Arial" w:hAnsi="Arial" w:cs="Arial"/>
                          <w:b/>
                          <w:bCs/>
                          <w:sz w:val="20"/>
                          <w:szCs w:val="20"/>
                        </w:rPr>
                      </w:pPr>
                      <w:r w:rsidRPr="00E7313E">
                        <w:rPr>
                          <w:rFonts w:ascii="Arial" w:hAnsi="Arial" w:cs="Arial"/>
                          <w:b/>
                          <w:bCs/>
                          <w:sz w:val="20"/>
                          <w:szCs w:val="20"/>
                        </w:rPr>
                        <w:t>Acknowledgments</w:t>
                      </w:r>
                    </w:p>
                    <w:p w14:paraId="4A6374DC" w14:textId="77777777" w:rsidR="00D15FD8" w:rsidRPr="00E7313E" w:rsidRDefault="00D15FD8" w:rsidP="00701189">
                      <w:pPr>
                        <w:spacing w:line="276" w:lineRule="auto"/>
                        <w:rPr>
                          <w:rFonts w:ascii="Arial" w:hAnsi="Arial" w:cs="Arial"/>
                          <w:sz w:val="20"/>
                          <w:szCs w:val="20"/>
                        </w:rPr>
                      </w:pPr>
                    </w:p>
                    <w:p w14:paraId="6486F7DB" w14:textId="77777777" w:rsidR="00D15FD8" w:rsidRPr="00E7313E" w:rsidRDefault="00D15FD8" w:rsidP="002D02C8">
                      <w:pPr>
                        <w:spacing w:line="276" w:lineRule="auto"/>
                        <w:jc w:val="both"/>
                        <w:rPr>
                          <w:rFonts w:ascii="Arial" w:hAnsi="Arial" w:cs="Arial"/>
                          <w:sz w:val="20"/>
                          <w:szCs w:val="20"/>
                        </w:rPr>
                      </w:pPr>
                      <w:r w:rsidRPr="00E7313E">
                        <w:rPr>
                          <w:rFonts w:ascii="Arial" w:hAnsi="Arial" w:cs="Arial"/>
                          <w:sz w:val="20"/>
                          <w:szCs w:val="20"/>
                        </w:rPr>
                        <w:t xml:space="preserve">We would like to graciously thank the United States Department of State for funding the Advancing Fiscal Transparency for Development online course, on which this Guide is based. Additionally, we would also like to thank the partners and members of the GIFT network for tirelessly providing their extensive expertise, knowledge and experience in advancing fiscal transparency policies, thereby greatly enriching the content of this Guide. </w:t>
                      </w:r>
                    </w:p>
                    <w:p w14:paraId="28DF87E4" w14:textId="77777777" w:rsidR="00D15FD8" w:rsidRPr="00E7313E" w:rsidRDefault="00D15FD8" w:rsidP="002D02C8">
                      <w:pPr>
                        <w:spacing w:line="276" w:lineRule="auto"/>
                        <w:jc w:val="both"/>
                        <w:rPr>
                          <w:rFonts w:ascii="Arial" w:hAnsi="Arial" w:cs="Arial"/>
                          <w:sz w:val="20"/>
                          <w:szCs w:val="20"/>
                        </w:rPr>
                      </w:pPr>
                    </w:p>
                    <w:p w14:paraId="226D0EEC" w14:textId="5CB5FD4A" w:rsidR="00D15FD8" w:rsidRDefault="00D15FD8" w:rsidP="002D02C8">
                      <w:pPr>
                        <w:spacing w:line="276" w:lineRule="auto"/>
                        <w:jc w:val="both"/>
                        <w:rPr>
                          <w:rFonts w:ascii="Arial" w:hAnsi="Arial" w:cs="Arial"/>
                          <w:sz w:val="20"/>
                          <w:szCs w:val="20"/>
                        </w:rPr>
                      </w:pPr>
                      <w:r w:rsidRPr="00E7313E">
                        <w:rPr>
                          <w:rFonts w:ascii="Arial" w:hAnsi="Arial" w:cs="Arial"/>
                          <w:sz w:val="20"/>
                          <w:szCs w:val="20"/>
                        </w:rPr>
                        <w:t xml:space="preserve">A special note of gratitude goes to the International Budget </w:t>
                      </w:r>
                      <w:r w:rsidRPr="003256AD">
                        <w:rPr>
                          <w:rFonts w:ascii="Arial" w:hAnsi="Arial" w:cs="Arial"/>
                          <w:sz w:val="20"/>
                          <w:szCs w:val="20"/>
                        </w:rPr>
                        <w:t xml:space="preserve">Partnership (IBP), the </w:t>
                      </w:r>
                      <w:r w:rsidRPr="00E7313E">
                        <w:rPr>
                          <w:rFonts w:ascii="Arial" w:hAnsi="Arial" w:cs="Arial"/>
                          <w:sz w:val="20"/>
                          <w:szCs w:val="20"/>
                        </w:rPr>
                        <w:t>administrative host of GIFT, an organization working side by side with GIFT in advancing fiscal transparency, accountability and public participation in fiscal policies.</w:t>
                      </w:r>
                    </w:p>
                    <w:p w14:paraId="4CC2F1B3" w14:textId="6DBF367E" w:rsidR="00D15FD8" w:rsidRDefault="00D15FD8" w:rsidP="002D02C8">
                      <w:pPr>
                        <w:spacing w:line="276" w:lineRule="auto"/>
                        <w:jc w:val="both"/>
                        <w:rPr>
                          <w:rFonts w:ascii="Arial" w:hAnsi="Arial" w:cs="Arial"/>
                          <w:sz w:val="20"/>
                          <w:szCs w:val="20"/>
                        </w:rPr>
                      </w:pPr>
                    </w:p>
                    <w:p w14:paraId="5B9A7123" w14:textId="77777777" w:rsidR="00D15FD8" w:rsidRPr="00E7313E" w:rsidRDefault="00D15FD8" w:rsidP="002D02C8">
                      <w:pPr>
                        <w:spacing w:line="276" w:lineRule="auto"/>
                        <w:jc w:val="both"/>
                        <w:rPr>
                          <w:rFonts w:ascii="Arial" w:hAnsi="Arial" w:cs="Arial"/>
                          <w:sz w:val="20"/>
                          <w:szCs w:val="20"/>
                        </w:rPr>
                      </w:pPr>
                    </w:p>
                    <w:p w14:paraId="37809D5E" w14:textId="77777777" w:rsidR="00D15FD8" w:rsidRDefault="00D15FD8" w:rsidP="00701189">
                      <w:pPr>
                        <w:spacing w:line="276" w:lineRule="auto"/>
                        <w:rPr>
                          <w:rFonts w:ascii="Arial" w:hAnsi="Arial" w:cs="Arial"/>
                          <w:sz w:val="24"/>
                          <w:szCs w:val="24"/>
                        </w:rPr>
                      </w:pPr>
                    </w:p>
                    <w:p w14:paraId="456EA619" w14:textId="52ED5892" w:rsidR="00D15FD8" w:rsidRDefault="00D15FD8" w:rsidP="00E7313E">
                      <w:pPr>
                        <w:spacing w:line="276" w:lineRule="auto"/>
                        <w:jc w:val="center"/>
                        <w:rPr>
                          <w:rFonts w:ascii="Arial" w:eastAsia="Arial" w:hAnsi="Arial" w:cs="Arial"/>
                          <w:bCs/>
                          <w:color w:val="16988A"/>
                          <w:sz w:val="20"/>
                          <w:szCs w:val="20"/>
                        </w:rPr>
                      </w:pPr>
                      <w:r w:rsidRPr="00A75DAA">
                        <w:rPr>
                          <w:rFonts w:ascii="Arial" w:eastAsia="Arial" w:hAnsi="Arial" w:cs="Arial"/>
                          <w:bCs/>
                          <w:color w:val="16988A"/>
                          <w:sz w:val="20"/>
                          <w:szCs w:val="20"/>
                        </w:rPr>
                        <w:t>©</w:t>
                      </w:r>
                      <w:r w:rsidRPr="00A75DAA">
                        <w:rPr>
                          <w:color w:val="16988A"/>
                          <w:sz w:val="28"/>
                          <w:szCs w:val="28"/>
                        </w:rPr>
                        <w:t xml:space="preserve"> </w:t>
                      </w:r>
                      <w:r w:rsidRPr="00A75DAA">
                        <w:rPr>
                          <w:rFonts w:ascii="Arial" w:eastAsia="Arial" w:hAnsi="Arial" w:cs="Arial"/>
                          <w:bCs/>
                          <w:color w:val="16988A"/>
                          <w:sz w:val="20"/>
                          <w:szCs w:val="20"/>
                        </w:rPr>
                        <w:t>The generic images used in this Guide are the property of the International Budget Partnership (IBP), developed by its program, the Global Initiative for Fiscal Transparency (GIFT) network. Any reuse of these images requires citing the source or the permission of GIFT/IBP.</w:t>
                      </w:r>
                    </w:p>
                    <w:p w14:paraId="766BAD55" w14:textId="469858C2" w:rsidR="00D15FD8" w:rsidRDefault="00D15FD8" w:rsidP="00E7313E">
                      <w:pPr>
                        <w:spacing w:line="276" w:lineRule="auto"/>
                        <w:jc w:val="center"/>
                        <w:rPr>
                          <w:rFonts w:ascii="Arial" w:eastAsia="Arial" w:hAnsi="Arial" w:cs="Arial"/>
                          <w:bCs/>
                          <w:color w:val="16988A"/>
                          <w:sz w:val="20"/>
                          <w:szCs w:val="20"/>
                        </w:rPr>
                      </w:pPr>
                    </w:p>
                    <w:p w14:paraId="5D91D720" w14:textId="77777777" w:rsidR="00D15FD8" w:rsidRPr="00E7313E" w:rsidRDefault="00D15FD8" w:rsidP="00E7313E">
                      <w:pPr>
                        <w:spacing w:line="276" w:lineRule="auto"/>
                        <w:jc w:val="center"/>
                        <w:rPr>
                          <w:rFonts w:ascii="Arial" w:eastAsia="Arial" w:hAnsi="Arial" w:cs="Arial"/>
                          <w:bCs/>
                          <w:color w:val="16988A"/>
                          <w:sz w:val="20"/>
                          <w:szCs w:val="20"/>
                        </w:rPr>
                      </w:pPr>
                    </w:p>
                    <w:p w14:paraId="1ADBF63B" w14:textId="77777777" w:rsidR="00D15FD8" w:rsidRPr="00E7313E" w:rsidRDefault="00D15FD8" w:rsidP="00E7313E">
                      <w:pPr>
                        <w:spacing w:line="276" w:lineRule="auto"/>
                        <w:jc w:val="center"/>
                        <w:rPr>
                          <w:rFonts w:ascii="Arial" w:hAnsi="Arial" w:cs="Arial"/>
                          <w:b/>
                          <w:bCs/>
                          <w:sz w:val="20"/>
                          <w:szCs w:val="20"/>
                        </w:rPr>
                      </w:pPr>
                      <w:r w:rsidRPr="00E7313E">
                        <w:rPr>
                          <w:rFonts w:ascii="Arial" w:hAnsi="Arial" w:cs="Arial"/>
                          <w:b/>
                          <w:bCs/>
                          <w:color w:val="ED5625"/>
                          <w:sz w:val="20"/>
                          <w:szCs w:val="20"/>
                        </w:rPr>
                        <w:t>Global Initiative for Fiscal Transparency</w:t>
                      </w:r>
                    </w:p>
                    <w:p w14:paraId="16887324" w14:textId="43FE0978" w:rsidR="00D15FD8" w:rsidRPr="00E7313E" w:rsidRDefault="00D15FD8" w:rsidP="00E7313E">
                      <w:pPr>
                        <w:spacing w:line="276" w:lineRule="auto"/>
                        <w:jc w:val="center"/>
                        <w:rPr>
                          <w:rFonts w:ascii="Arial" w:hAnsi="Arial" w:cs="Arial"/>
                          <w:sz w:val="20"/>
                          <w:szCs w:val="20"/>
                        </w:rPr>
                      </w:pPr>
                      <w:r w:rsidRPr="00E7313E">
                        <w:rPr>
                          <w:rFonts w:ascii="Arial" w:hAnsi="Arial" w:cs="Arial"/>
                          <w:sz w:val="20"/>
                          <w:szCs w:val="20"/>
                        </w:rPr>
                        <w:t>www.fiscaltransparency.net   |   info@fiscaltransparency.net    | @fiscaltrans</w:t>
                      </w:r>
                    </w:p>
                  </w:txbxContent>
                </v:textbox>
                <w10:wrap anchorx="margin"/>
              </v:shape>
            </w:pict>
          </mc:Fallback>
        </mc:AlternateContent>
      </w:r>
    </w:p>
    <w:p w14:paraId="4D11E785" w14:textId="26302DD1" w:rsidR="00E77BA3" w:rsidRDefault="00E77BA3" w:rsidP="00DE55B3">
      <w:pPr>
        <w:jc w:val="both"/>
        <w:rPr>
          <w:rFonts w:ascii="Arial" w:hAnsi="Arial" w:cs="Arial"/>
          <w:b/>
          <w:color w:val="ED7D31" w:themeColor="accent2"/>
          <w:sz w:val="24"/>
          <w:szCs w:val="24"/>
        </w:rPr>
        <w:sectPr w:rsidR="00E77BA3" w:rsidSect="003625BA">
          <w:pgSz w:w="11906" w:h="16838"/>
          <w:pgMar w:top="1702" w:right="720" w:bottom="1098" w:left="720" w:header="709" w:footer="709" w:gutter="0"/>
          <w:pgNumType w:fmt="upperRoman" w:start="1"/>
          <w:cols w:space="708"/>
          <w:titlePg/>
          <w:docGrid w:linePitch="360"/>
        </w:sectPr>
      </w:pPr>
    </w:p>
    <w:p w14:paraId="5D592830" w14:textId="390341CE" w:rsidR="00D25CE6" w:rsidRDefault="00E73363" w:rsidP="00E73363">
      <w:pPr>
        <w:rPr>
          <w:rFonts w:eastAsiaTheme="minorEastAsia" w:cstheme="minorBidi"/>
          <w:noProof/>
          <w:sz w:val="24"/>
          <w:szCs w:val="24"/>
          <w:lang w:val="en-PH"/>
        </w:rPr>
      </w:pPr>
      <w:r>
        <w:rPr>
          <w:rFonts w:ascii="Arial" w:hAnsi="Arial" w:cs="Arial"/>
          <w:noProof/>
          <w:color w:val="ED7D31" w:themeColor="accent2"/>
          <w:sz w:val="50"/>
          <w:szCs w:val="50"/>
          <w:lang w:val="en-US"/>
        </w:rPr>
        <w:lastRenderedPageBreak/>
        <w:drawing>
          <wp:anchor distT="0" distB="0" distL="114300" distR="114300" simplePos="0" relativeHeight="251617230" behindDoc="0" locked="0" layoutInCell="1" allowOverlap="1" wp14:anchorId="33CEE827" wp14:editId="1CEC2FCB">
            <wp:simplePos x="0" y="0"/>
            <wp:positionH relativeFrom="page">
              <wp:posOffset>-190005</wp:posOffset>
            </wp:positionH>
            <wp:positionV relativeFrom="paragraph">
              <wp:posOffset>-1330152</wp:posOffset>
            </wp:positionV>
            <wp:extent cx="7908966" cy="1917738"/>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7914909" cy="1919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058B">
        <w:rPr>
          <w:rFonts w:ascii="Arial" w:hAnsi="Arial" w:cs="Arial"/>
          <w:noProof/>
          <w:color w:val="ED7D31" w:themeColor="accent2"/>
          <w:sz w:val="50"/>
          <w:szCs w:val="50"/>
          <w:lang w:val="en-US"/>
        </w:rPr>
        <mc:AlternateContent>
          <mc:Choice Requires="wps">
            <w:drawing>
              <wp:anchor distT="0" distB="0" distL="114300" distR="114300" simplePos="0" relativeHeight="251700224" behindDoc="0" locked="0" layoutInCell="1" allowOverlap="1" wp14:anchorId="1854316E" wp14:editId="1DD2E2D4">
                <wp:simplePos x="0" y="0"/>
                <wp:positionH relativeFrom="column">
                  <wp:posOffset>1607820</wp:posOffset>
                </wp:positionH>
                <wp:positionV relativeFrom="paragraph">
                  <wp:posOffset>-496461</wp:posOffset>
                </wp:positionV>
                <wp:extent cx="4335518" cy="646386"/>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335518" cy="646386"/>
                        </a:xfrm>
                        <a:prstGeom prst="rect">
                          <a:avLst/>
                        </a:prstGeom>
                        <a:noFill/>
                        <a:ln w="6350">
                          <a:noFill/>
                        </a:ln>
                      </wps:spPr>
                      <wps:txbx>
                        <w:txbxContent>
                          <w:p w14:paraId="1AEAC702" w14:textId="0863895D" w:rsidR="00D15FD8" w:rsidRPr="0098058B" w:rsidRDefault="00D15FD8">
                            <w:pPr>
                              <w:rPr>
                                <w:rFonts w:ascii="Arial" w:hAnsi="Arial" w:cs="Arial"/>
                                <w:b/>
                                <w:bCs/>
                                <w:color w:val="FFFFFF" w:themeColor="background1"/>
                                <w:sz w:val="80"/>
                                <w:szCs w:val="80"/>
                                <w:lang w:val="en-US"/>
                              </w:rPr>
                            </w:pPr>
                            <w:r w:rsidRPr="0098058B">
                              <w:rPr>
                                <w:rFonts w:ascii="Arial" w:hAnsi="Arial" w:cs="Arial"/>
                                <w:b/>
                                <w:bCs/>
                                <w:color w:val="FFFFFF" w:themeColor="background1"/>
                                <w:sz w:val="80"/>
                                <w:szCs w:val="80"/>
                                <w:lang w:val="en-US"/>
                              </w:rPr>
                              <w:t>CONTENT</w:t>
                            </w:r>
                            <w:r>
                              <w:rPr>
                                <w:rFonts w:ascii="Arial" w:hAnsi="Arial" w:cs="Arial"/>
                                <w:b/>
                                <w:bCs/>
                                <w:color w:val="FFFFFF" w:themeColor="background1"/>
                                <w:sz w:val="80"/>
                                <w:szCs w:val="80"/>
                                <w:lang w:val="en-U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54316E" id="Text Box 30" o:spid="_x0000_s1027" type="#_x0000_t202" style="position:absolute;margin-left:126.6pt;margin-top:-39.1pt;width:341.4pt;height:50.9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" filled="f" stroked="f" strokeweight=".5pt">
                <v:textbox>
                  <w:txbxContent>
                    <w:p w14:paraId="1AEAC702" w14:textId="0863895D" w:rsidR="00D15FD8" w:rsidRPr="0098058B" w:rsidRDefault="00D15FD8">
                      <w:pPr>
                        <w:rPr>
                          <w:rFonts w:ascii="Arial" w:hAnsi="Arial" w:cs="Arial"/>
                          <w:b/>
                          <w:bCs/>
                          <w:color w:val="FFFFFF" w:themeColor="background1"/>
                          <w:sz w:val="80"/>
                          <w:szCs w:val="80"/>
                          <w:lang w:val="en-US"/>
                        </w:rPr>
                      </w:pPr>
                      <w:r w:rsidRPr="0098058B">
                        <w:rPr>
                          <w:rFonts w:ascii="Arial" w:hAnsi="Arial" w:cs="Arial"/>
                          <w:b/>
                          <w:bCs/>
                          <w:color w:val="FFFFFF" w:themeColor="background1"/>
                          <w:sz w:val="80"/>
                          <w:szCs w:val="80"/>
                          <w:lang w:val="en-US"/>
                        </w:rPr>
                        <w:t>CONTENT</w:t>
                      </w:r>
                      <w:r>
                        <w:rPr>
                          <w:rFonts w:ascii="Arial" w:hAnsi="Arial" w:cs="Arial"/>
                          <w:b/>
                          <w:bCs/>
                          <w:color w:val="FFFFFF" w:themeColor="background1"/>
                          <w:sz w:val="80"/>
                          <w:szCs w:val="80"/>
                          <w:lang w:val="en-US"/>
                        </w:rPr>
                        <w:t>S</w:t>
                      </w:r>
                    </w:p>
                  </w:txbxContent>
                </v:textbox>
              </v:shape>
            </w:pict>
          </mc:Fallback>
        </mc:AlternateContent>
      </w:r>
    </w:p>
    <w:p w14:paraId="7D75F99D" w14:textId="77777777" w:rsidR="00E73363" w:rsidRDefault="00E73363" w:rsidP="00F24CC8">
      <w:pPr>
        <w:pStyle w:val="TOC1"/>
      </w:pPr>
    </w:p>
    <w:p w14:paraId="461C736C" w14:textId="77777777" w:rsidR="00E73363" w:rsidRDefault="00E73363" w:rsidP="00F24CC8">
      <w:pPr>
        <w:pStyle w:val="TOC1"/>
      </w:pPr>
    </w:p>
    <w:p w14:paraId="1A3732D3" w14:textId="18C1D8BC" w:rsidR="00330914" w:rsidRPr="00F24CC8" w:rsidRDefault="00AC4DF7" w:rsidP="00F24CC8">
      <w:pPr>
        <w:pStyle w:val="TOC1"/>
        <w:rPr>
          <w:rFonts w:eastAsiaTheme="minorEastAsia"/>
          <w:sz w:val="24"/>
          <w:szCs w:val="24"/>
          <w:lang w:val="en-SG" w:eastAsia="en-GB"/>
        </w:rPr>
      </w:pPr>
      <w:hyperlink w:anchor="_PREFACE" w:history="1">
        <w:r w:rsidR="00330914" w:rsidRPr="00F24CC8">
          <w:rPr>
            <w:rStyle w:val="Hyperlink"/>
            <w:color w:val="ED5625"/>
            <w:u w:val="none"/>
          </w:rPr>
          <w:t>PREFACE</w:t>
        </w:r>
        <w:r w:rsidR="00330914" w:rsidRPr="00F24CC8">
          <w:rPr>
            <w:rStyle w:val="Hyperlink"/>
            <w:webHidden/>
            <w:color w:val="ED5625"/>
            <w:u w:val="none"/>
          </w:rPr>
          <w:tab/>
        </w:r>
        <w:r w:rsidR="00995BBF" w:rsidRPr="00F24CC8">
          <w:rPr>
            <w:rStyle w:val="Hyperlink"/>
            <w:webHidden/>
            <w:color w:val="ED5625"/>
            <w:u w:val="none"/>
          </w:rPr>
          <w:t>VII</w:t>
        </w:r>
      </w:hyperlink>
    </w:p>
    <w:p w14:paraId="52A57FE0" w14:textId="2E71833F" w:rsidR="00330914" w:rsidRPr="00F24CC8" w:rsidRDefault="00AC4DF7" w:rsidP="00F24CC8">
      <w:pPr>
        <w:pStyle w:val="TOC1"/>
        <w:rPr>
          <w:rFonts w:eastAsiaTheme="minorEastAsia"/>
          <w:sz w:val="24"/>
          <w:szCs w:val="24"/>
          <w:lang w:val="en-SG" w:eastAsia="en-GB"/>
        </w:rPr>
      </w:pPr>
      <w:hyperlink w:anchor="_ACRONYMS" w:history="1">
        <w:r w:rsidR="00330914" w:rsidRPr="00F24CC8">
          <w:rPr>
            <w:rStyle w:val="Hyperlink"/>
            <w:color w:val="ED5625"/>
            <w:u w:val="none"/>
          </w:rPr>
          <w:t>ACRONYMS</w:t>
        </w:r>
        <w:r w:rsidR="00330914" w:rsidRPr="00F24CC8">
          <w:rPr>
            <w:rStyle w:val="Hyperlink"/>
            <w:webHidden/>
            <w:color w:val="ED5625"/>
            <w:u w:val="none"/>
          </w:rPr>
          <w:tab/>
        </w:r>
        <w:r w:rsidR="00995BBF" w:rsidRPr="00F24CC8">
          <w:rPr>
            <w:rStyle w:val="Hyperlink"/>
            <w:webHidden/>
            <w:color w:val="ED5625"/>
            <w:u w:val="none"/>
          </w:rPr>
          <w:t>VIII</w:t>
        </w:r>
      </w:hyperlink>
    </w:p>
    <w:p w14:paraId="32278932" w14:textId="427C1A38" w:rsidR="00330914" w:rsidRPr="00F24CC8" w:rsidRDefault="00AC4DF7" w:rsidP="00F24CC8">
      <w:pPr>
        <w:pStyle w:val="TOC1"/>
        <w:rPr>
          <w:rFonts w:eastAsiaTheme="minorEastAsia"/>
          <w:sz w:val="24"/>
          <w:szCs w:val="24"/>
          <w:lang w:val="en-SG" w:eastAsia="en-GB"/>
        </w:rPr>
      </w:pPr>
      <w:hyperlink w:anchor="_OVERVIEW" w:history="1">
        <w:r w:rsidR="00330914" w:rsidRPr="00F24CC8">
          <w:rPr>
            <w:rStyle w:val="Hyperlink"/>
            <w:color w:val="ED5625"/>
            <w:u w:val="none"/>
          </w:rPr>
          <w:t>OVERVIEW</w:t>
        </w:r>
        <w:r w:rsidR="00330914" w:rsidRPr="00F24CC8">
          <w:rPr>
            <w:rStyle w:val="Hyperlink"/>
            <w:webHidden/>
            <w:color w:val="ED5625"/>
            <w:u w:val="none"/>
          </w:rPr>
          <w:tab/>
        </w:r>
        <w:r w:rsidR="00995BBF" w:rsidRPr="00F24CC8">
          <w:rPr>
            <w:rStyle w:val="Hyperlink"/>
            <w:webHidden/>
            <w:color w:val="ED5625"/>
            <w:u w:val="none"/>
          </w:rPr>
          <w:t>1</w:t>
        </w:r>
      </w:hyperlink>
    </w:p>
    <w:p w14:paraId="31C70E51" w14:textId="7C360EAC" w:rsidR="00330914" w:rsidRPr="007358B3" w:rsidRDefault="00AC4DF7" w:rsidP="005201E1">
      <w:pPr>
        <w:pStyle w:val="TOC2"/>
        <w:ind w:left="720"/>
        <w:rPr>
          <w:rFonts w:ascii="Arial" w:eastAsiaTheme="minorEastAsia" w:hAnsi="Arial" w:cs="Arial"/>
          <w:b w:val="0"/>
          <w:bCs w:val="0"/>
          <w:noProof/>
          <w:color w:val="69557F"/>
          <w:sz w:val="20"/>
          <w:szCs w:val="20"/>
          <w:lang w:val="en-SG" w:eastAsia="en-GB"/>
        </w:rPr>
      </w:pPr>
      <w:hyperlink w:anchor="_Objective" w:history="1">
        <w:r w:rsidR="00330914" w:rsidRPr="007358B3">
          <w:rPr>
            <w:rStyle w:val="Hyperlink"/>
            <w:rFonts w:ascii="Arial" w:hAnsi="Arial" w:cs="Arial"/>
            <w:b w:val="0"/>
            <w:bCs w:val="0"/>
            <w:noProof/>
            <w:color w:val="69557F"/>
            <w:sz w:val="20"/>
            <w:szCs w:val="20"/>
            <w:u w:val="none"/>
            <w:lang w:val="en-US" w:eastAsia="zh-CN"/>
          </w:rPr>
          <w:t>Objective</w:t>
        </w:r>
        <w:r w:rsidR="00330914" w:rsidRPr="007358B3">
          <w:rPr>
            <w:rStyle w:val="Hyperlink"/>
            <w:rFonts w:ascii="Arial" w:hAnsi="Arial" w:cs="Arial"/>
            <w:b w:val="0"/>
            <w:bCs w:val="0"/>
            <w:noProof/>
            <w:webHidden/>
            <w:color w:val="69557F"/>
            <w:sz w:val="20"/>
            <w:szCs w:val="20"/>
            <w:u w:val="none"/>
          </w:rPr>
          <w:tab/>
        </w:r>
        <w:r w:rsidR="00995BBF" w:rsidRPr="007358B3">
          <w:rPr>
            <w:rStyle w:val="Hyperlink"/>
            <w:rFonts w:ascii="Arial" w:hAnsi="Arial" w:cs="Arial"/>
            <w:b w:val="0"/>
            <w:bCs w:val="0"/>
            <w:noProof/>
            <w:webHidden/>
            <w:color w:val="69557F"/>
            <w:sz w:val="20"/>
            <w:szCs w:val="20"/>
            <w:u w:val="none"/>
          </w:rPr>
          <w:t>1</w:t>
        </w:r>
      </w:hyperlink>
    </w:p>
    <w:p w14:paraId="3C7D1A62" w14:textId="28BB4C09" w:rsidR="00330914" w:rsidRPr="007358B3" w:rsidRDefault="00AC4DF7" w:rsidP="005201E1">
      <w:pPr>
        <w:pStyle w:val="TOC2"/>
        <w:ind w:left="720"/>
        <w:rPr>
          <w:rFonts w:ascii="Arial" w:eastAsiaTheme="minorEastAsia" w:hAnsi="Arial" w:cs="Arial"/>
          <w:b w:val="0"/>
          <w:bCs w:val="0"/>
          <w:noProof/>
          <w:color w:val="69557F"/>
          <w:sz w:val="20"/>
          <w:szCs w:val="20"/>
          <w:lang w:val="en-SG" w:eastAsia="en-GB"/>
        </w:rPr>
      </w:pPr>
      <w:hyperlink w:anchor="_Modules" w:history="1">
        <w:r w:rsidR="00330914" w:rsidRPr="007358B3">
          <w:rPr>
            <w:rStyle w:val="Hyperlink"/>
            <w:rFonts w:ascii="Arial" w:hAnsi="Arial" w:cs="Arial"/>
            <w:b w:val="0"/>
            <w:bCs w:val="0"/>
            <w:noProof/>
            <w:color w:val="69557F"/>
            <w:sz w:val="20"/>
            <w:szCs w:val="20"/>
            <w:u w:val="none"/>
            <w:lang w:val="en-US" w:eastAsia="zh-CN"/>
          </w:rPr>
          <w:t>Modules</w:t>
        </w:r>
        <w:r w:rsidR="00330914" w:rsidRPr="007358B3">
          <w:rPr>
            <w:rStyle w:val="Hyperlink"/>
            <w:rFonts w:ascii="Arial" w:hAnsi="Arial" w:cs="Arial"/>
            <w:b w:val="0"/>
            <w:bCs w:val="0"/>
            <w:noProof/>
            <w:webHidden/>
            <w:color w:val="69557F"/>
            <w:sz w:val="20"/>
            <w:szCs w:val="20"/>
            <w:u w:val="none"/>
          </w:rPr>
          <w:tab/>
        </w:r>
        <w:r w:rsidR="00995BBF" w:rsidRPr="007358B3">
          <w:rPr>
            <w:rStyle w:val="Hyperlink"/>
            <w:rFonts w:ascii="Arial" w:hAnsi="Arial" w:cs="Arial"/>
            <w:b w:val="0"/>
            <w:bCs w:val="0"/>
            <w:noProof/>
            <w:webHidden/>
            <w:color w:val="69557F"/>
            <w:sz w:val="20"/>
            <w:szCs w:val="20"/>
            <w:u w:val="none"/>
          </w:rPr>
          <w:t>2</w:t>
        </w:r>
      </w:hyperlink>
    </w:p>
    <w:p w14:paraId="2669FD17" w14:textId="1F1F425F" w:rsidR="00330914" w:rsidRPr="005201E1" w:rsidRDefault="00AC4DF7" w:rsidP="005201E1">
      <w:pPr>
        <w:pStyle w:val="TOC2"/>
        <w:ind w:left="720"/>
        <w:rPr>
          <w:rFonts w:ascii="Arial" w:eastAsiaTheme="minorEastAsia" w:hAnsi="Arial" w:cs="Arial"/>
          <w:b w:val="0"/>
          <w:bCs w:val="0"/>
          <w:noProof/>
          <w:color w:val="68547E"/>
          <w:sz w:val="24"/>
          <w:szCs w:val="24"/>
          <w:lang w:val="en-SG" w:eastAsia="en-GB"/>
        </w:rPr>
      </w:pPr>
      <w:hyperlink w:anchor="_Limitations_of_the" w:history="1">
        <w:r w:rsidR="00330914" w:rsidRPr="007358B3">
          <w:rPr>
            <w:rStyle w:val="Hyperlink"/>
            <w:rFonts w:ascii="Arial" w:hAnsi="Arial" w:cs="Arial"/>
            <w:b w:val="0"/>
            <w:bCs w:val="0"/>
            <w:noProof/>
            <w:color w:val="69557F"/>
            <w:sz w:val="20"/>
            <w:szCs w:val="20"/>
            <w:u w:val="none"/>
            <w:lang w:val="en-US" w:eastAsia="zh-CN"/>
          </w:rPr>
          <w:t>Limitations of the Guide</w:t>
        </w:r>
        <w:r w:rsidR="00330914" w:rsidRPr="007358B3">
          <w:rPr>
            <w:rStyle w:val="Hyperlink"/>
            <w:rFonts w:ascii="Arial" w:hAnsi="Arial" w:cs="Arial"/>
            <w:b w:val="0"/>
            <w:bCs w:val="0"/>
            <w:noProof/>
            <w:webHidden/>
            <w:color w:val="69557F"/>
            <w:sz w:val="20"/>
            <w:szCs w:val="20"/>
            <w:u w:val="none"/>
          </w:rPr>
          <w:tab/>
        </w:r>
        <w:r w:rsidR="00995BBF" w:rsidRPr="007358B3">
          <w:rPr>
            <w:rStyle w:val="Hyperlink"/>
            <w:rFonts w:ascii="Arial" w:hAnsi="Arial" w:cs="Arial"/>
            <w:b w:val="0"/>
            <w:bCs w:val="0"/>
            <w:noProof/>
            <w:webHidden/>
            <w:color w:val="69557F"/>
            <w:sz w:val="20"/>
            <w:szCs w:val="20"/>
            <w:u w:val="none"/>
          </w:rPr>
          <w:t>3</w:t>
        </w:r>
      </w:hyperlink>
    </w:p>
    <w:p w14:paraId="4B1F2CE1" w14:textId="1DF5B93F" w:rsidR="00330914" w:rsidRPr="00F24CC8" w:rsidRDefault="00AC4DF7" w:rsidP="00F24CC8">
      <w:pPr>
        <w:pStyle w:val="TOC1"/>
        <w:rPr>
          <w:rFonts w:eastAsiaTheme="minorEastAsia"/>
          <w:sz w:val="24"/>
          <w:szCs w:val="24"/>
          <w:lang w:val="en-SG" w:eastAsia="en-GB"/>
        </w:rPr>
      </w:pPr>
      <w:hyperlink w:anchor="_MODULE_1:_An" w:history="1">
        <w:r w:rsidR="00330914" w:rsidRPr="00F24CC8">
          <w:rPr>
            <w:rStyle w:val="Hyperlink"/>
            <w:color w:val="ED5625"/>
            <w:u w:val="none"/>
          </w:rPr>
          <w:t>MODULE 1: An Introduction to Fiscal Transparency</w:t>
        </w:r>
        <w:r w:rsidR="00330914" w:rsidRPr="00F24CC8">
          <w:rPr>
            <w:rStyle w:val="Hyperlink"/>
            <w:webHidden/>
            <w:color w:val="ED5625"/>
            <w:u w:val="none"/>
          </w:rPr>
          <w:tab/>
        </w:r>
        <w:r w:rsidR="00995BBF" w:rsidRPr="00F24CC8">
          <w:rPr>
            <w:rStyle w:val="Hyperlink"/>
            <w:webHidden/>
            <w:color w:val="ED5625"/>
            <w:u w:val="none"/>
          </w:rPr>
          <w:t>5</w:t>
        </w:r>
      </w:hyperlink>
    </w:p>
    <w:p w14:paraId="06097F32" w14:textId="1D710713" w:rsidR="00330914" w:rsidRPr="00F24CC8" w:rsidRDefault="00AC4DF7" w:rsidP="00F24CC8">
      <w:pPr>
        <w:pStyle w:val="TOC1"/>
        <w:ind w:left="720"/>
        <w:rPr>
          <w:rFonts w:eastAsiaTheme="minorEastAsia"/>
          <w:sz w:val="24"/>
          <w:szCs w:val="24"/>
          <w:lang w:val="en-SG" w:eastAsia="en-GB"/>
        </w:rPr>
      </w:pPr>
      <w:hyperlink w:anchor="_Module_objectives" w:history="1">
        <w:r w:rsidR="00330914" w:rsidRPr="00F24CC8">
          <w:rPr>
            <w:rStyle w:val="Hyperlink"/>
            <w:b w:val="0"/>
            <w:bCs w:val="0"/>
            <w:color w:val="69557F"/>
            <w:u w:val="none"/>
          </w:rPr>
          <w:t>Module objectives</w:t>
        </w:r>
        <w:r w:rsidR="00330914" w:rsidRPr="00F24CC8">
          <w:rPr>
            <w:rStyle w:val="Hyperlink"/>
            <w:b w:val="0"/>
            <w:bCs w:val="0"/>
            <w:webHidden/>
            <w:color w:val="69557F"/>
            <w:u w:val="none"/>
          </w:rPr>
          <w:tab/>
        </w:r>
        <w:r w:rsidR="00995BBF" w:rsidRPr="00F24CC8">
          <w:rPr>
            <w:rStyle w:val="Hyperlink"/>
            <w:b w:val="0"/>
            <w:bCs w:val="0"/>
            <w:webHidden/>
            <w:color w:val="69557F"/>
            <w:u w:val="none"/>
          </w:rPr>
          <w:t>6</w:t>
        </w:r>
      </w:hyperlink>
    </w:p>
    <w:p w14:paraId="35615145" w14:textId="1EDFE29E" w:rsidR="00330914" w:rsidRPr="00F24CC8" w:rsidRDefault="00AC4DF7" w:rsidP="00F24CC8">
      <w:pPr>
        <w:pStyle w:val="TOC1"/>
        <w:ind w:left="720"/>
        <w:rPr>
          <w:rFonts w:eastAsiaTheme="minorEastAsia"/>
          <w:sz w:val="24"/>
          <w:szCs w:val="24"/>
          <w:lang w:val="en-SG" w:eastAsia="en-GB"/>
        </w:rPr>
      </w:pPr>
      <w:hyperlink w:anchor="_Defining_fiscal_transparency" w:history="1">
        <w:r w:rsidR="00330914" w:rsidRPr="00F24CC8">
          <w:rPr>
            <w:rStyle w:val="Hyperlink"/>
            <w:b w:val="0"/>
            <w:bCs w:val="0"/>
            <w:color w:val="69557F"/>
            <w:u w:val="none"/>
          </w:rPr>
          <w:t>Defining fiscal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6</w:t>
        </w:r>
      </w:hyperlink>
    </w:p>
    <w:p w14:paraId="341DFE0B" w14:textId="0C13E263" w:rsidR="00330914" w:rsidRPr="00F24CC8" w:rsidRDefault="00AC4DF7" w:rsidP="00F24CC8">
      <w:pPr>
        <w:pStyle w:val="TOC1"/>
        <w:ind w:left="720"/>
        <w:rPr>
          <w:rFonts w:eastAsiaTheme="minorEastAsia"/>
          <w:sz w:val="24"/>
          <w:szCs w:val="24"/>
          <w:lang w:val="en-SG" w:eastAsia="en-GB"/>
        </w:rPr>
      </w:pPr>
      <w:hyperlink w:anchor="_The_importance_of" w:history="1">
        <w:r w:rsidR="00330914" w:rsidRPr="00F24CC8">
          <w:rPr>
            <w:rStyle w:val="Hyperlink"/>
            <w:b w:val="0"/>
            <w:bCs w:val="0"/>
            <w:color w:val="69557F"/>
            <w:u w:val="none"/>
          </w:rPr>
          <w:t>The importance of fiscal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10</w:t>
        </w:r>
      </w:hyperlink>
    </w:p>
    <w:p w14:paraId="0205B2B0" w14:textId="0E841161" w:rsidR="00330914" w:rsidRPr="00F24CC8" w:rsidRDefault="00AC4DF7" w:rsidP="00F24CC8">
      <w:pPr>
        <w:pStyle w:val="TOC1"/>
        <w:ind w:left="720"/>
        <w:rPr>
          <w:rFonts w:eastAsiaTheme="minorEastAsia"/>
          <w:sz w:val="24"/>
          <w:szCs w:val="24"/>
          <w:lang w:val="en-SG" w:eastAsia="en-GB"/>
        </w:rPr>
      </w:pPr>
      <w:hyperlink w:anchor="_Fiscal_transparency_and" w:history="1">
        <w:r w:rsidR="00330914" w:rsidRPr="00F24CC8">
          <w:rPr>
            <w:rStyle w:val="Hyperlink"/>
            <w:b w:val="0"/>
            <w:bCs w:val="0"/>
            <w:color w:val="69557F"/>
            <w:u w:val="none"/>
          </w:rPr>
          <w:t>Fiscal transparency and improved PFM outcomes</w:t>
        </w:r>
        <w:r w:rsidR="00330914" w:rsidRPr="00F24CC8">
          <w:rPr>
            <w:rStyle w:val="Hyperlink"/>
            <w:b w:val="0"/>
            <w:bCs w:val="0"/>
            <w:webHidden/>
            <w:color w:val="69557F"/>
            <w:u w:val="none"/>
          </w:rPr>
          <w:tab/>
        </w:r>
        <w:r w:rsidR="00995BBF" w:rsidRPr="00F24CC8">
          <w:rPr>
            <w:rStyle w:val="Hyperlink"/>
            <w:b w:val="0"/>
            <w:bCs w:val="0"/>
            <w:webHidden/>
            <w:color w:val="69557F"/>
            <w:u w:val="none"/>
          </w:rPr>
          <w:t>16</w:t>
        </w:r>
      </w:hyperlink>
    </w:p>
    <w:p w14:paraId="6B8A7801" w14:textId="651203E0" w:rsidR="00330914" w:rsidRPr="00F24CC8" w:rsidRDefault="00AC4DF7" w:rsidP="00F24CC8">
      <w:pPr>
        <w:pStyle w:val="TOC1"/>
        <w:ind w:left="720"/>
        <w:rPr>
          <w:rFonts w:eastAsiaTheme="minorEastAsia"/>
          <w:sz w:val="24"/>
          <w:szCs w:val="24"/>
          <w:lang w:val="en-SG" w:eastAsia="en-GB"/>
        </w:rPr>
      </w:pPr>
      <w:hyperlink w:anchor="_Examples_from_the" w:history="1">
        <w:r w:rsidR="00330914" w:rsidRPr="00F24CC8">
          <w:rPr>
            <w:rStyle w:val="Hyperlink"/>
            <w:b w:val="0"/>
            <w:bCs w:val="0"/>
            <w:color w:val="69557F"/>
            <w:u w:val="none"/>
          </w:rPr>
          <w:t>Examples from the field</w:t>
        </w:r>
        <w:r w:rsidR="00330914" w:rsidRPr="00F24CC8">
          <w:rPr>
            <w:rStyle w:val="Hyperlink"/>
            <w:b w:val="0"/>
            <w:bCs w:val="0"/>
            <w:webHidden/>
            <w:color w:val="69557F"/>
            <w:u w:val="none"/>
          </w:rPr>
          <w:tab/>
        </w:r>
        <w:r w:rsidR="00995BBF" w:rsidRPr="00F24CC8">
          <w:rPr>
            <w:rStyle w:val="Hyperlink"/>
            <w:b w:val="0"/>
            <w:bCs w:val="0"/>
            <w:webHidden/>
            <w:color w:val="69557F"/>
            <w:u w:val="none"/>
          </w:rPr>
          <w:t>21</w:t>
        </w:r>
      </w:hyperlink>
    </w:p>
    <w:p w14:paraId="4827E8B8" w14:textId="365C9844" w:rsidR="00330914" w:rsidRPr="00F24CC8" w:rsidRDefault="00AC4DF7" w:rsidP="00F24CC8">
      <w:pPr>
        <w:pStyle w:val="TOC1"/>
        <w:ind w:left="720"/>
        <w:rPr>
          <w:rFonts w:eastAsiaTheme="minorEastAsia"/>
          <w:sz w:val="24"/>
          <w:szCs w:val="24"/>
          <w:lang w:val="en-SG" w:eastAsia="en-GB"/>
        </w:rPr>
      </w:pPr>
      <w:hyperlink w:anchor="_Fiscal_transparency_norms" w:history="1">
        <w:r w:rsidR="00330914" w:rsidRPr="00F24CC8">
          <w:rPr>
            <w:rStyle w:val="Hyperlink"/>
            <w:b w:val="0"/>
            <w:bCs w:val="0"/>
            <w:color w:val="69557F"/>
            <w:u w:val="none"/>
          </w:rPr>
          <w:t>Fiscal transparency norms and standards</w:t>
        </w:r>
        <w:r w:rsidR="00330914" w:rsidRPr="00F24CC8">
          <w:rPr>
            <w:rStyle w:val="Hyperlink"/>
            <w:b w:val="0"/>
            <w:bCs w:val="0"/>
            <w:webHidden/>
            <w:color w:val="69557F"/>
            <w:u w:val="none"/>
          </w:rPr>
          <w:tab/>
        </w:r>
        <w:r w:rsidR="00995BBF" w:rsidRPr="00F24CC8">
          <w:rPr>
            <w:rStyle w:val="Hyperlink"/>
            <w:b w:val="0"/>
            <w:bCs w:val="0"/>
            <w:webHidden/>
            <w:color w:val="69557F"/>
            <w:u w:val="none"/>
          </w:rPr>
          <w:t>23</w:t>
        </w:r>
      </w:hyperlink>
    </w:p>
    <w:p w14:paraId="0120C205" w14:textId="38EA637C" w:rsidR="00330914" w:rsidRPr="00F24CC8" w:rsidRDefault="00AC4DF7" w:rsidP="00F24CC8">
      <w:pPr>
        <w:pStyle w:val="TOC1"/>
        <w:rPr>
          <w:rFonts w:eastAsiaTheme="minorEastAsia"/>
          <w:sz w:val="24"/>
          <w:szCs w:val="24"/>
          <w:lang w:val="en-SG" w:eastAsia="en-GB"/>
        </w:rPr>
      </w:pPr>
      <w:hyperlink w:anchor="_Module_2:_External" w:history="1">
        <w:r w:rsidR="00330914" w:rsidRPr="00F24CC8">
          <w:rPr>
            <w:rStyle w:val="Hyperlink"/>
            <w:color w:val="ED5625"/>
            <w:u w:val="none"/>
          </w:rPr>
          <w:t>Module 2: External Actors in Fiscal Transparency, Public Participation, and Accountability</w:t>
        </w:r>
        <w:r w:rsidR="00330914" w:rsidRPr="00F24CC8">
          <w:rPr>
            <w:rStyle w:val="Hyperlink"/>
            <w:webHidden/>
            <w:color w:val="ED5625"/>
            <w:u w:val="none"/>
          </w:rPr>
          <w:tab/>
        </w:r>
        <w:r w:rsidR="00995BBF" w:rsidRPr="00F24CC8">
          <w:rPr>
            <w:rStyle w:val="Hyperlink"/>
            <w:webHidden/>
            <w:color w:val="ED5625"/>
            <w:u w:val="none"/>
          </w:rPr>
          <w:t>53</w:t>
        </w:r>
      </w:hyperlink>
    </w:p>
    <w:p w14:paraId="60BFE0A1" w14:textId="6B68CCFE" w:rsidR="00330914" w:rsidRPr="00F24CC8" w:rsidRDefault="00AC4DF7" w:rsidP="00F24CC8">
      <w:pPr>
        <w:pStyle w:val="TOC1"/>
        <w:ind w:left="720"/>
        <w:rPr>
          <w:rFonts w:eastAsiaTheme="minorEastAsia"/>
          <w:sz w:val="24"/>
          <w:szCs w:val="24"/>
          <w:lang w:val="en-SG" w:eastAsia="en-GB"/>
        </w:rPr>
      </w:pPr>
      <w:hyperlink w:anchor="_Module_objectives_1" w:history="1">
        <w:r w:rsidR="00330914" w:rsidRPr="00F24CC8">
          <w:rPr>
            <w:rStyle w:val="Hyperlink"/>
            <w:b w:val="0"/>
            <w:bCs w:val="0"/>
            <w:color w:val="69557F"/>
            <w:u w:val="none"/>
          </w:rPr>
          <w:t>Module objectives</w:t>
        </w:r>
        <w:r w:rsidR="00330914" w:rsidRPr="00F24CC8">
          <w:rPr>
            <w:rStyle w:val="Hyperlink"/>
            <w:b w:val="0"/>
            <w:bCs w:val="0"/>
            <w:webHidden/>
            <w:color w:val="69557F"/>
            <w:u w:val="none"/>
          </w:rPr>
          <w:tab/>
        </w:r>
        <w:r w:rsidR="00995BBF" w:rsidRPr="00F24CC8">
          <w:rPr>
            <w:rStyle w:val="Hyperlink"/>
            <w:b w:val="0"/>
            <w:bCs w:val="0"/>
            <w:webHidden/>
            <w:color w:val="69557F"/>
            <w:u w:val="none"/>
          </w:rPr>
          <w:t>54</w:t>
        </w:r>
      </w:hyperlink>
    </w:p>
    <w:p w14:paraId="3C195DC7" w14:textId="1F8B611E" w:rsidR="00330914" w:rsidRPr="00F24CC8" w:rsidRDefault="00AC4DF7" w:rsidP="00F24CC8">
      <w:pPr>
        <w:pStyle w:val="TOC1"/>
        <w:ind w:left="720"/>
        <w:rPr>
          <w:rFonts w:eastAsiaTheme="minorEastAsia"/>
          <w:sz w:val="24"/>
          <w:szCs w:val="24"/>
          <w:lang w:val="en-SG" w:eastAsia="en-GB"/>
        </w:rPr>
      </w:pPr>
      <w:hyperlink w:anchor="_Key_actors_for" w:history="1">
        <w:r w:rsidR="00330914" w:rsidRPr="00F24CC8">
          <w:rPr>
            <w:rStyle w:val="Hyperlink"/>
            <w:b w:val="0"/>
            <w:bCs w:val="0"/>
            <w:color w:val="69557F"/>
            <w:u w:val="none"/>
          </w:rPr>
          <w:t>Key actors for fiscal transparency, public participation, and accountability</w:t>
        </w:r>
        <w:r w:rsidR="00330914" w:rsidRPr="00F24CC8">
          <w:rPr>
            <w:rStyle w:val="Hyperlink"/>
            <w:b w:val="0"/>
            <w:bCs w:val="0"/>
            <w:webHidden/>
            <w:color w:val="69557F"/>
            <w:u w:val="none"/>
          </w:rPr>
          <w:tab/>
        </w:r>
        <w:r w:rsidR="00995BBF" w:rsidRPr="00F24CC8">
          <w:rPr>
            <w:rStyle w:val="Hyperlink"/>
            <w:b w:val="0"/>
            <w:bCs w:val="0"/>
            <w:webHidden/>
            <w:color w:val="69557F"/>
            <w:u w:val="none"/>
          </w:rPr>
          <w:t>54</w:t>
        </w:r>
      </w:hyperlink>
    </w:p>
    <w:p w14:paraId="69C164A0" w14:textId="18417457" w:rsidR="00330914" w:rsidRPr="00F24CC8" w:rsidRDefault="00AC4DF7" w:rsidP="00F24CC8">
      <w:pPr>
        <w:pStyle w:val="TOC1"/>
        <w:ind w:left="720"/>
        <w:rPr>
          <w:rFonts w:eastAsiaTheme="minorEastAsia"/>
          <w:sz w:val="24"/>
          <w:szCs w:val="24"/>
          <w:lang w:val="en-SG" w:eastAsia="en-GB"/>
        </w:rPr>
      </w:pPr>
      <w:hyperlink w:anchor="_Oversight_institutions:_Legislature" w:history="1">
        <w:r w:rsidR="00330914" w:rsidRPr="00F24CC8">
          <w:rPr>
            <w:rStyle w:val="Hyperlink"/>
            <w:b w:val="0"/>
            <w:bCs w:val="0"/>
            <w:color w:val="69557F"/>
            <w:u w:val="none"/>
          </w:rPr>
          <w:t>Oversight institutions: Legislatures</w:t>
        </w:r>
        <w:r w:rsidR="00330914" w:rsidRPr="00F24CC8">
          <w:rPr>
            <w:rStyle w:val="Hyperlink"/>
            <w:b w:val="0"/>
            <w:bCs w:val="0"/>
            <w:webHidden/>
            <w:color w:val="69557F"/>
            <w:u w:val="none"/>
          </w:rPr>
          <w:tab/>
        </w:r>
        <w:r w:rsidR="00995BBF" w:rsidRPr="00F24CC8">
          <w:rPr>
            <w:rStyle w:val="Hyperlink"/>
            <w:b w:val="0"/>
            <w:bCs w:val="0"/>
            <w:webHidden/>
            <w:color w:val="69557F"/>
            <w:u w:val="none"/>
          </w:rPr>
          <w:t>61</w:t>
        </w:r>
      </w:hyperlink>
    </w:p>
    <w:p w14:paraId="130DC0B0" w14:textId="1776F1A0" w:rsidR="00330914" w:rsidRPr="00F24CC8" w:rsidRDefault="00AC4DF7" w:rsidP="00F24CC8">
      <w:pPr>
        <w:pStyle w:val="TOC1"/>
        <w:ind w:left="720"/>
        <w:rPr>
          <w:rFonts w:eastAsiaTheme="minorEastAsia"/>
          <w:sz w:val="24"/>
          <w:szCs w:val="24"/>
          <w:lang w:val="en-SG" w:eastAsia="en-GB"/>
        </w:rPr>
      </w:pPr>
      <w:hyperlink w:anchor="_Oversight_Institutions:_Supreme" w:history="1">
        <w:r w:rsidR="00330914" w:rsidRPr="00F24CC8">
          <w:rPr>
            <w:rStyle w:val="Hyperlink"/>
            <w:b w:val="0"/>
            <w:bCs w:val="0"/>
            <w:color w:val="69557F"/>
            <w:u w:val="none"/>
          </w:rPr>
          <w:t>Oversight Institutions: Supreme audit institutions</w:t>
        </w:r>
        <w:r w:rsidR="00330914" w:rsidRPr="00F24CC8">
          <w:rPr>
            <w:rStyle w:val="Hyperlink"/>
            <w:b w:val="0"/>
            <w:bCs w:val="0"/>
            <w:webHidden/>
            <w:color w:val="69557F"/>
            <w:u w:val="none"/>
          </w:rPr>
          <w:tab/>
        </w:r>
        <w:r w:rsidR="00995BBF" w:rsidRPr="00F24CC8">
          <w:rPr>
            <w:rStyle w:val="Hyperlink"/>
            <w:b w:val="0"/>
            <w:bCs w:val="0"/>
            <w:webHidden/>
            <w:color w:val="69557F"/>
            <w:u w:val="none"/>
          </w:rPr>
          <w:t>72</w:t>
        </w:r>
      </w:hyperlink>
    </w:p>
    <w:p w14:paraId="3B9E8EBB" w14:textId="4343C68B" w:rsidR="00330914" w:rsidRPr="00F24CC8" w:rsidRDefault="00AC4DF7" w:rsidP="00F24CC8">
      <w:pPr>
        <w:pStyle w:val="TOC1"/>
        <w:ind w:left="720"/>
        <w:rPr>
          <w:rFonts w:eastAsiaTheme="minorEastAsia"/>
          <w:sz w:val="24"/>
          <w:szCs w:val="24"/>
          <w:lang w:val="en-SG" w:eastAsia="en-GB"/>
        </w:rPr>
      </w:pPr>
      <w:hyperlink w:anchor="_Public_participation" w:history="1">
        <w:r w:rsidR="00330914" w:rsidRPr="00F24CC8">
          <w:rPr>
            <w:rStyle w:val="Hyperlink"/>
            <w:b w:val="0"/>
            <w:bCs w:val="0"/>
            <w:color w:val="69557F"/>
            <w:u w:val="none"/>
          </w:rPr>
          <w:t>Public participation</w:t>
        </w:r>
        <w:r w:rsidR="00330914" w:rsidRPr="00F24CC8">
          <w:rPr>
            <w:rStyle w:val="Hyperlink"/>
            <w:b w:val="0"/>
            <w:bCs w:val="0"/>
            <w:webHidden/>
            <w:color w:val="69557F"/>
            <w:u w:val="none"/>
          </w:rPr>
          <w:tab/>
        </w:r>
        <w:r w:rsidR="00995BBF" w:rsidRPr="00F24CC8">
          <w:rPr>
            <w:rStyle w:val="Hyperlink"/>
            <w:b w:val="0"/>
            <w:bCs w:val="0"/>
            <w:webHidden/>
            <w:color w:val="69557F"/>
            <w:u w:val="none"/>
          </w:rPr>
          <w:t>80</w:t>
        </w:r>
      </w:hyperlink>
    </w:p>
    <w:p w14:paraId="09EB95DD" w14:textId="49F1EB7F" w:rsidR="00330914" w:rsidRPr="005201E1" w:rsidRDefault="00AC4DF7" w:rsidP="00F24CC8">
      <w:pPr>
        <w:pStyle w:val="TOC1"/>
        <w:ind w:left="720"/>
        <w:rPr>
          <w:rFonts w:eastAsiaTheme="minorEastAsia"/>
          <w:color w:val="auto"/>
          <w:sz w:val="24"/>
          <w:szCs w:val="24"/>
          <w:lang w:val="en-SG" w:eastAsia="en-GB"/>
        </w:rPr>
      </w:pPr>
      <w:hyperlink w:anchor="_Examples_from_the_1" w:history="1">
        <w:r w:rsidR="00330914" w:rsidRPr="00F24CC8">
          <w:rPr>
            <w:rStyle w:val="Hyperlink"/>
            <w:b w:val="0"/>
            <w:bCs w:val="0"/>
            <w:color w:val="69557F"/>
            <w:u w:val="none"/>
          </w:rPr>
          <w:t>Examples from the field</w:t>
        </w:r>
        <w:r w:rsidR="00330914" w:rsidRPr="00F24CC8">
          <w:rPr>
            <w:rStyle w:val="Hyperlink"/>
            <w:b w:val="0"/>
            <w:bCs w:val="0"/>
            <w:webHidden/>
            <w:color w:val="69557F"/>
            <w:u w:val="none"/>
          </w:rPr>
          <w:tab/>
        </w:r>
        <w:r w:rsidR="00995BBF" w:rsidRPr="00F24CC8">
          <w:rPr>
            <w:rStyle w:val="Hyperlink"/>
            <w:b w:val="0"/>
            <w:bCs w:val="0"/>
            <w:webHidden/>
            <w:color w:val="69557F"/>
            <w:u w:val="none"/>
          </w:rPr>
          <w:t>97</w:t>
        </w:r>
      </w:hyperlink>
    </w:p>
    <w:p w14:paraId="2DE0F037" w14:textId="67EB2E8E" w:rsidR="00330914" w:rsidRPr="00F24CC8" w:rsidRDefault="00AC4DF7" w:rsidP="00F24CC8">
      <w:pPr>
        <w:pStyle w:val="TOC1"/>
        <w:rPr>
          <w:rFonts w:eastAsiaTheme="minorEastAsia"/>
          <w:sz w:val="24"/>
          <w:szCs w:val="24"/>
          <w:lang w:val="en-SG" w:eastAsia="en-GB"/>
        </w:rPr>
      </w:pPr>
      <w:hyperlink w:anchor="_Module_3:_Fiscal" w:history="1">
        <w:r w:rsidR="00330914" w:rsidRPr="00F24CC8">
          <w:rPr>
            <w:rStyle w:val="Hyperlink"/>
            <w:color w:val="ED5625"/>
            <w:u w:val="none"/>
          </w:rPr>
          <w:t>Module 3: Fiscal Transparency Information Disclosures and Standards</w:t>
        </w:r>
        <w:r w:rsidR="00330914" w:rsidRPr="00F24CC8">
          <w:rPr>
            <w:rStyle w:val="Hyperlink"/>
            <w:webHidden/>
            <w:color w:val="ED5625"/>
            <w:u w:val="none"/>
          </w:rPr>
          <w:tab/>
        </w:r>
        <w:r w:rsidR="00995BBF" w:rsidRPr="00F24CC8">
          <w:rPr>
            <w:rStyle w:val="Hyperlink"/>
            <w:webHidden/>
            <w:color w:val="ED5625"/>
            <w:u w:val="none"/>
          </w:rPr>
          <w:t>101</w:t>
        </w:r>
      </w:hyperlink>
    </w:p>
    <w:p w14:paraId="296C38E9" w14:textId="38D46B2E" w:rsidR="00330914" w:rsidRPr="00F24CC8" w:rsidRDefault="00AC4DF7" w:rsidP="00F24CC8">
      <w:pPr>
        <w:pStyle w:val="TOC1"/>
        <w:ind w:left="720"/>
        <w:rPr>
          <w:rFonts w:eastAsiaTheme="minorEastAsia"/>
          <w:sz w:val="24"/>
          <w:szCs w:val="24"/>
          <w:lang w:val="en-SG" w:eastAsia="en-GB"/>
        </w:rPr>
      </w:pPr>
      <w:hyperlink w:anchor="_Module_objectives_2" w:history="1">
        <w:r w:rsidR="00330914" w:rsidRPr="00F24CC8">
          <w:rPr>
            <w:rStyle w:val="Hyperlink"/>
            <w:b w:val="0"/>
            <w:bCs w:val="0"/>
            <w:color w:val="69557F"/>
            <w:u w:val="none"/>
          </w:rPr>
          <w:t>Module objectives</w:t>
        </w:r>
        <w:r w:rsidR="00330914" w:rsidRPr="00F24CC8">
          <w:rPr>
            <w:rStyle w:val="Hyperlink"/>
            <w:b w:val="0"/>
            <w:bCs w:val="0"/>
            <w:webHidden/>
            <w:color w:val="69557F"/>
            <w:u w:val="none"/>
          </w:rPr>
          <w:tab/>
        </w:r>
        <w:r w:rsidR="00995BBF" w:rsidRPr="00F24CC8">
          <w:rPr>
            <w:rStyle w:val="Hyperlink"/>
            <w:b w:val="0"/>
            <w:bCs w:val="0"/>
            <w:webHidden/>
            <w:color w:val="69557F"/>
            <w:u w:val="none"/>
          </w:rPr>
          <w:t>102</w:t>
        </w:r>
      </w:hyperlink>
    </w:p>
    <w:p w14:paraId="37D00EB3" w14:textId="28D6251C" w:rsidR="00330914" w:rsidRPr="00F24CC8" w:rsidRDefault="00AC4DF7" w:rsidP="00F24CC8">
      <w:pPr>
        <w:pStyle w:val="TOC1"/>
        <w:ind w:left="720"/>
        <w:rPr>
          <w:rFonts w:eastAsiaTheme="minorEastAsia"/>
          <w:sz w:val="24"/>
          <w:szCs w:val="24"/>
          <w:lang w:val="en-SG" w:eastAsia="en-GB"/>
        </w:rPr>
      </w:pPr>
      <w:hyperlink w:anchor="_The_role_of" w:history="1">
        <w:r w:rsidR="00330914" w:rsidRPr="00F24CC8">
          <w:rPr>
            <w:rStyle w:val="Hyperlink"/>
            <w:b w:val="0"/>
            <w:bCs w:val="0"/>
            <w:color w:val="69557F"/>
            <w:u w:val="none"/>
          </w:rPr>
          <w:t>The role of the executive in the fiscal policy cycle</w:t>
        </w:r>
        <w:r w:rsidR="00330914" w:rsidRPr="00F24CC8">
          <w:rPr>
            <w:rStyle w:val="Hyperlink"/>
            <w:b w:val="0"/>
            <w:bCs w:val="0"/>
            <w:webHidden/>
            <w:color w:val="69557F"/>
            <w:u w:val="none"/>
          </w:rPr>
          <w:tab/>
        </w:r>
        <w:r w:rsidR="00995BBF" w:rsidRPr="00F24CC8">
          <w:rPr>
            <w:rStyle w:val="Hyperlink"/>
            <w:b w:val="0"/>
            <w:bCs w:val="0"/>
            <w:webHidden/>
            <w:color w:val="69557F"/>
            <w:u w:val="none"/>
          </w:rPr>
          <w:t>102</w:t>
        </w:r>
      </w:hyperlink>
    </w:p>
    <w:p w14:paraId="372A5A5A" w14:textId="3F943EDD" w:rsidR="00330914" w:rsidRPr="00F24CC8" w:rsidRDefault="00AC4DF7" w:rsidP="00F24CC8">
      <w:pPr>
        <w:pStyle w:val="TOC1"/>
        <w:ind w:left="720"/>
        <w:rPr>
          <w:rFonts w:eastAsiaTheme="minorEastAsia"/>
          <w:sz w:val="24"/>
          <w:szCs w:val="24"/>
          <w:lang w:val="en-SG" w:eastAsia="en-GB"/>
        </w:rPr>
      </w:pPr>
      <w:hyperlink w:anchor="_Legal_framework_and" w:history="1">
        <w:r w:rsidR="00330914" w:rsidRPr="00F24CC8">
          <w:rPr>
            <w:rStyle w:val="Hyperlink"/>
            <w:b w:val="0"/>
            <w:bCs w:val="0"/>
            <w:color w:val="69557F"/>
            <w:u w:val="none"/>
          </w:rPr>
          <w:t>Legal framework and effective fiscal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105</w:t>
        </w:r>
      </w:hyperlink>
    </w:p>
    <w:p w14:paraId="634FF7C6" w14:textId="6BA2A889" w:rsidR="00330914" w:rsidRPr="00F24CC8" w:rsidRDefault="00AC4DF7" w:rsidP="00F24CC8">
      <w:pPr>
        <w:pStyle w:val="TOC1"/>
        <w:ind w:left="720"/>
        <w:rPr>
          <w:rFonts w:eastAsiaTheme="minorEastAsia"/>
          <w:sz w:val="24"/>
          <w:szCs w:val="24"/>
          <w:lang w:val="en-SG" w:eastAsia="en-GB"/>
        </w:rPr>
      </w:pPr>
      <w:hyperlink w:anchor="_Processes_and_tools" w:history="1">
        <w:r w:rsidR="00330914" w:rsidRPr="00F24CC8">
          <w:rPr>
            <w:rStyle w:val="Hyperlink"/>
            <w:b w:val="0"/>
            <w:bCs w:val="0"/>
            <w:color w:val="69557F"/>
            <w:u w:val="none"/>
          </w:rPr>
          <w:t>Processes and tools for fiscal reports</w:t>
        </w:r>
        <w:r w:rsidR="00330914" w:rsidRPr="00F24CC8">
          <w:rPr>
            <w:rStyle w:val="Hyperlink"/>
            <w:b w:val="0"/>
            <w:bCs w:val="0"/>
            <w:webHidden/>
            <w:color w:val="69557F"/>
            <w:u w:val="none"/>
          </w:rPr>
          <w:tab/>
        </w:r>
        <w:r w:rsidR="00995BBF" w:rsidRPr="00F24CC8">
          <w:rPr>
            <w:rStyle w:val="Hyperlink"/>
            <w:b w:val="0"/>
            <w:bCs w:val="0"/>
            <w:webHidden/>
            <w:color w:val="69557F"/>
            <w:u w:val="none"/>
          </w:rPr>
          <w:t>117</w:t>
        </w:r>
      </w:hyperlink>
    </w:p>
    <w:p w14:paraId="69A96271" w14:textId="7CD9967A" w:rsidR="00330914" w:rsidRPr="00F24CC8" w:rsidRDefault="00AC4DF7" w:rsidP="00F24CC8">
      <w:pPr>
        <w:pStyle w:val="TOC1"/>
        <w:ind w:left="720"/>
        <w:rPr>
          <w:rFonts w:eastAsiaTheme="minorEastAsia"/>
          <w:sz w:val="24"/>
          <w:szCs w:val="24"/>
          <w:lang w:val="en-SG" w:eastAsia="en-GB"/>
        </w:rPr>
      </w:pPr>
      <w:hyperlink w:anchor="_Revenue_transparency" w:history="1">
        <w:r w:rsidR="00330914" w:rsidRPr="00F24CC8">
          <w:rPr>
            <w:rStyle w:val="Hyperlink"/>
            <w:b w:val="0"/>
            <w:bCs w:val="0"/>
            <w:color w:val="69557F"/>
            <w:u w:val="none"/>
          </w:rPr>
          <w:t>Revenue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139</w:t>
        </w:r>
      </w:hyperlink>
    </w:p>
    <w:p w14:paraId="46DAACB8" w14:textId="060F8052" w:rsidR="00330914" w:rsidRPr="00F24CC8" w:rsidRDefault="00AC4DF7" w:rsidP="00F24CC8">
      <w:pPr>
        <w:pStyle w:val="TOC1"/>
        <w:ind w:left="720"/>
        <w:rPr>
          <w:rFonts w:eastAsiaTheme="minorEastAsia"/>
          <w:sz w:val="24"/>
          <w:szCs w:val="24"/>
          <w:lang w:val="en-SG" w:eastAsia="en-GB"/>
        </w:rPr>
      </w:pPr>
      <w:hyperlink w:anchor="_Measuring_fiscal_transparency" w:history="1">
        <w:r w:rsidR="00330914" w:rsidRPr="00F24CC8">
          <w:rPr>
            <w:rStyle w:val="Hyperlink"/>
            <w:b w:val="0"/>
            <w:bCs w:val="0"/>
            <w:color w:val="69557F"/>
            <w:u w:val="none"/>
          </w:rPr>
          <w:t>Measuring fiscal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154</w:t>
        </w:r>
      </w:hyperlink>
    </w:p>
    <w:p w14:paraId="1193E6B9" w14:textId="68F28739" w:rsidR="00330914" w:rsidRPr="00F24CC8" w:rsidRDefault="00AC4DF7" w:rsidP="00F24CC8">
      <w:pPr>
        <w:pStyle w:val="TOC1"/>
        <w:ind w:left="720"/>
        <w:rPr>
          <w:rFonts w:eastAsiaTheme="minorEastAsia"/>
          <w:sz w:val="24"/>
          <w:szCs w:val="24"/>
          <w:lang w:val="en-SG" w:eastAsia="en-GB"/>
        </w:rPr>
      </w:pPr>
      <w:hyperlink w:anchor="_Examples_from_the_2" w:history="1">
        <w:r w:rsidR="00330914" w:rsidRPr="00F24CC8">
          <w:rPr>
            <w:rStyle w:val="Hyperlink"/>
            <w:b w:val="0"/>
            <w:bCs w:val="0"/>
            <w:color w:val="69557F"/>
            <w:u w:val="none"/>
          </w:rPr>
          <w:t>Examples from the field</w:t>
        </w:r>
        <w:r w:rsidR="00330914" w:rsidRPr="00F24CC8">
          <w:rPr>
            <w:rStyle w:val="Hyperlink"/>
            <w:b w:val="0"/>
            <w:bCs w:val="0"/>
            <w:webHidden/>
            <w:color w:val="69557F"/>
            <w:u w:val="none"/>
          </w:rPr>
          <w:tab/>
        </w:r>
        <w:r w:rsidR="00995BBF" w:rsidRPr="00F24CC8">
          <w:rPr>
            <w:rStyle w:val="Hyperlink"/>
            <w:b w:val="0"/>
            <w:bCs w:val="0"/>
            <w:webHidden/>
            <w:color w:val="69557F"/>
            <w:u w:val="none"/>
          </w:rPr>
          <w:t>163</w:t>
        </w:r>
      </w:hyperlink>
    </w:p>
    <w:p w14:paraId="7206F8F5" w14:textId="7F8B8DAA" w:rsidR="00330914" w:rsidRPr="00F24CC8" w:rsidRDefault="00AC4DF7" w:rsidP="00F24CC8">
      <w:pPr>
        <w:pStyle w:val="TOC1"/>
        <w:rPr>
          <w:rFonts w:eastAsiaTheme="minorEastAsia"/>
          <w:sz w:val="24"/>
          <w:szCs w:val="24"/>
          <w:lang w:val="en-SG" w:eastAsia="en-GB"/>
        </w:rPr>
      </w:pPr>
      <w:hyperlink w:anchor="_Module_4:_Internal" w:history="1">
        <w:r w:rsidR="00330914" w:rsidRPr="00F24CC8">
          <w:rPr>
            <w:rStyle w:val="Hyperlink"/>
            <w:color w:val="ED5625"/>
            <w:u w:val="none"/>
          </w:rPr>
          <w:t>Module 4: Internal Systems and Digital Tools for Better Implementation</w:t>
        </w:r>
        <w:r w:rsidR="00330914" w:rsidRPr="00F24CC8">
          <w:rPr>
            <w:rStyle w:val="Hyperlink"/>
            <w:webHidden/>
            <w:color w:val="ED5625"/>
            <w:u w:val="none"/>
          </w:rPr>
          <w:tab/>
        </w:r>
        <w:r w:rsidR="00995BBF" w:rsidRPr="00F24CC8">
          <w:rPr>
            <w:rStyle w:val="Hyperlink"/>
            <w:webHidden/>
            <w:color w:val="ED5625"/>
            <w:u w:val="none"/>
          </w:rPr>
          <w:t>171</w:t>
        </w:r>
      </w:hyperlink>
    </w:p>
    <w:p w14:paraId="1089C039" w14:textId="0E2F4AA0" w:rsidR="00330914" w:rsidRPr="00F24CC8" w:rsidRDefault="00AC4DF7" w:rsidP="00F24CC8">
      <w:pPr>
        <w:pStyle w:val="TOC1"/>
        <w:ind w:left="720"/>
        <w:rPr>
          <w:rFonts w:eastAsiaTheme="minorEastAsia"/>
          <w:sz w:val="24"/>
          <w:szCs w:val="24"/>
          <w:lang w:val="en-SG" w:eastAsia="en-GB"/>
        </w:rPr>
      </w:pPr>
      <w:hyperlink w:anchor="_Module_objectives_3" w:history="1">
        <w:r w:rsidR="00330914" w:rsidRPr="00F24CC8">
          <w:rPr>
            <w:rStyle w:val="Hyperlink"/>
            <w:b w:val="0"/>
            <w:bCs w:val="0"/>
            <w:color w:val="69557F"/>
            <w:u w:val="none"/>
          </w:rPr>
          <w:t>Module objectives</w:t>
        </w:r>
        <w:r w:rsidR="00330914" w:rsidRPr="00F24CC8">
          <w:rPr>
            <w:rStyle w:val="Hyperlink"/>
            <w:b w:val="0"/>
            <w:bCs w:val="0"/>
            <w:webHidden/>
            <w:color w:val="69557F"/>
            <w:u w:val="none"/>
          </w:rPr>
          <w:tab/>
        </w:r>
        <w:r w:rsidR="00995BBF" w:rsidRPr="00F24CC8">
          <w:rPr>
            <w:rStyle w:val="Hyperlink"/>
            <w:b w:val="0"/>
            <w:bCs w:val="0"/>
            <w:webHidden/>
            <w:color w:val="69557F"/>
            <w:u w:val="none"/>
          </w:rPr>
          <w:t>172</w:t>
        </w:r>
      </w:hyperlink>
    </w:p>
    <w:p w14:paraId="0FA00FDE" w14:textId="2800E51A" w:rsidR="00330914" w:rsidRPr="00F24CC8" w:rsidRDefault="00AC4DF7" w:rsidP="00F24CC8">
      <w:pPr>
        <w:pStyle w:val="TOC1"/>
        <w:ind w:left="720"/>
        <w:rPr>
          <w:rFonts w:eastAsiaTheme="minorEastAsia"/>
          <w:sz w:val="24"/>
          <w:szCs w:val="24"/>
          <w:lang w:val="en-SG" w:eastAsia="en-GB"/>
        </w:rPr>
      </w:pPr>
      <w:hyperlink w:anchor="_Information_systems_and" w:history="1">
        <w:r w:rsidR="00330914" w:rsidRPr="00F24CC8">
          <w:rPr>
            <w:rStyle w:val="Hyperlink"/>
            <w:b w:val="0"/>
            <w:bCs w:val="0"/>
            <w:color w:val="69557F"/>
            <w:u w:val="none"/>
          </w:rPr>
          <w:t>Information systems and digital tools for fiscal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172</w:t>
        </w:r>
      </w:hyperlink>
    </w:p>
    <w:p w14:paraId="22DE4727" w14:textId="2F1AE966" w:rsidR="00330914" w:rsidRPr="00F24CC8" w:rsidRDefault="00AC4DF7" w:rsidP="00F24CC8">
      <w:pPr>
        <w:pStyle w:val="TOC1"/>
        <w:ind w:left="720"/>
        <w:rPr>
          <w:rFonts w:eastAsiaTheme="minorEastAsia"/>
          <w:sz w:val="24"/>
          <w:szCs w:val="24"/>
          <w:lang w:val="en-SG" w:eastAsia="en-GB"/>
        </w:rPr>
      </w:pPr>
      <w:hyperlink w:anchor="_Financial_management_information" w:history="1">
        <w:r w:rsidR="00330914" w:rsidRPr="00F24CC8">
          <w:rPr>
            <w:rStyle w:val="Hyperlink"/>
            <w:b w:val="0"/>
            <w:bCs w:val="0"/>
            <w:color w:val="69557F"/>
            <w:u w:val="none"/>
          </w:rPr>
          <w:t>Financial management information systems (FMISs)</w:t>
        </w:r>
        <w:r w:rsidR="00330914" w:rsidRPr="00F24CC8">
          <w:rPr>
            <w:rStyle w:val="Hyperlink"/>
            <w:b w:val="0"/>
            <w:bCs w:val="0"/>
            <w:webHidden/>
            <w:color w:val="69557F"/>
            <w:u w:val="none"/>
          </w:rPr>
          <w:tab/>
        </w:r>
        <w:r w:rsidR="00995BBF" w:rsidRPr="00F24CC8">
          <w:rPr>
            <w:rStyle w:val="Hyperlink"/>
            <w:b w:val="0"/>
            <w:bCs w:val="0"/>
            <w:webHidden/>
            <w:color w:val="69557F"/>
            <w:u w:val="none"/>
          </w:rPr>
          <w:t>174</w:t>
        </w:r>
      </w:hyperlink>
    </w:p>
    <w:p w14:paraId="630ED9D2" w14:textId="764F2CD8" w:rsidR="00330914" w:rsidRPr="00F24CC8" w:rsidRDefault="00AC4DF7" w:rsidP="00F24CC8">
      <w:pPr>
        <w:pStyle w:val="TOC1"/>
        <w:ind w:left="720"/>
        <w:rPr>
          <w:rFonts w:eastAsiaTheme="minorEastAsia"/>
          <w:sz w:val="24"/>
          <w:szCs w:val="24"/>
          <w:lang w:val="en-SG" w:eastAsia="en-GB"/>
        </w:rPr>
      </w:pPr>
      <w:hyperlink w:anchor="_Open_data_movements" w:history="1">
        <w:r w:rsidR="00330914" w:rsidRPr="00F24CC8">
          <w:rPr>
            <w:rStyle w:val="Hyperlink"/>
            <w:b w:val="0"/>
            <w:bCs w:val="0"/>
            <w:color w:val="69557F"/>
            <w:u w:val="none"/>
          </w:rPr>
          <w:t>Open data movements and tools</w:t>
        </w:r>
        <w:r w:rsidR="00330914" w:rsidRPr="00F24CC8">
          <w:rPr>
            <w:rStyle w:val="Hyperlink"/>
            <w:b w:val="0"/>
            <w:bCs w:val="0"/>
            <w:webHidden/>
            <w:color w:val="69557F"/>
            <w:u w:val="none"/>
          </w:rPr>
          <w:tab/>
        </w:r>
        <w:r w:rsidR="00995BBF" w:rsidRPr="00F24CC8">
          <w:rPr>
            <w:rStyle w:val="Hyperlink"/>
            <w:b w:val="0"/>
            <w:bCs w:val="0"/>
            <w:webHidden/>
            <w:color w:val="69557F"/>
            <w:u w:val="none"/>
          </w:rPr>
          <w:t>185</w:t>
        </w:r>
      </w:hyperlink>
    </w:p>
    <w:p w14:paraId="41308950" w14:textId="34C374E6" w:rsidR="00330914" w:rsidRPr="00F24CC8" w:rsidRDefault="00AC4DF7" w:rsidP="00F24CC8">
      <w:pPr>
        <w:pStyle w:val="TOC1"/>
        <w:ind w:left="720"/>
        <w:rPr>
          <w:rFonts w:eastAsiaTheme="minorEastAsia"/>
          <w:sz w:val="24"/>
          <w:szCs w:val="24"/>
          <w:lang w:val="en-SG" w:eastAsia="en-GB"/>
        </w:rPr>
      </w:pPr>
      <w:hyperlink w:anchor="_Further_lessons_learnt" w:history="1">
        <w:r w:rsidR="00330914" w:rsidRPr="00F24CC8">
          <w:rPr>
            <w:rStyle w:val="Hyperlink"/>
            <w:b w:val="0"/>
            <w:bCs w:val="0"/>
            <w:color w:val="69557F"/>
            <w:u w:val="none"/>
          </w:rPr>
          <w:t>Further lessons learnt from studies on digital tools for fiscal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206</w:t>
        </w:r>
      </w:hyperlink>
    </w:p>
    <w:p w14:paraId="7E108784" w14:textId="3EEEBD2A" w:rsidR="00330914" w:rsidRPr="005201E1" w:rsidRDefault="00AC4DF7" w:rsidP="00F24CC8">
      <w:pPr>
        <w:pStyle w:val="TOC1"/>
        <w:ind w:left="720"/>
        <w:rPr>
          <w:rFonts w:eastAsiaTheme="minorEastAsia"/>
          <w:color w:val="auto"/>
          <w:sz w:val="24"/>
          <w:szCs w:val="24"/>
          <w:lang w:val="en-SG" w:eastAsia="en-GB"/>
        </w:rPr>
      </w:pPr>
      <w:hyperlink w:anchor="_Examples_from_the_3" w:history="1">
        <w:r w:rsidR="00330914" w:rsidRPr="00F24CC8">
          <w:rPr>
            <w:rStyle w:val="Hyperlink"/>
            <w:b w:val="0"/>
            <w:bCs w:val="0"/>
            <w:color w:val="69557F"/>
            <w:u w:val="none"/>
          </w:rPr>
          <w:t>Examples from the field</w:t>
        </w:r>
        <w:r w:rsidR="00330914" w:rsidRPr="00F24CC8">
          <w:rPr>
            <w:rStyle w:val="Hyperlink"/>
            <w:b w:val="0"/>
            <w:bCs w:val="0"/>
            <w:webHidden/>
            <w:color w:val="69557F"/>
            <w:u w:val="none"/>
          </w:rPr>
          <w:tab/>
        </w:r>
        <w:r w:rsidR="00995BBF" w:rsidRPr="00F24CC8">
          <w:rPr>
            <w:rStyle w:val="Hyperlink"/>
            <w:b w:val="0"/>
            <w:bCs w:val="0"/>
            <w:webHidden/>
            <w:color w:val="69557F"/>
            <w:u w:val="none"/>
          </w:rPr>
          <w:t>209</w:t>
        </w:r>
      </w:hyperlink>
    </w:p>
    <w:p w14:paraId="5B2BE1C4" w14:textId="53663A57" w:rsidR="00330914" w:rsidRPr="00F24CC8" w:rsidRDefault="00AC4DF7" w:rsidP="00F24CC8">
      <w:pPr>
        <w:pStyle w:val="TOC1"/>
        <w:rPr>
          <w:rFonts w:eastAsiaTheme="minorEastAsia"/>
          <w:sz w:val="24"/>
          <w:szCs w:val="24"/>
          <w:lang w:val="en-SG" w:eastAsia="en-GB"/>
        </w:rPr>
      </w:pPr>
      <w:hyperlink w:anchor="_Module_5:_Actions" w:history="1">
        <w:r w:rsidR="00330914" w:rsidRPr="00F24CC8">
          <w:rPr>
            <w:rStyle w:val="Hyperlink"/>
            <w:color w:val="ED5625"/>
            <w:u w:val="none"/>
          </w:rPr>
          <w:t>Module 5: Actions towards advancing fiscal transparency (reforms and other measures)</w:t>
        </w:r>
        <w:r w:rsidR="00330914" w:rsidRPr="00F24CC8">
          <w:rPr>
            <w:rStyle w:val="Hyperlink"/>
            <w:webHidden/>
            <w:color w:val="ED5625"/>
            <w:u w:val="none"/>
          </w:rPr>
          <w:tab/>
        </w:r>
        <w:r w:rsidR="00995BBF" w:rsidRPr="00F24CC8">
          <w:rPr>
            <w:rStyle w:val="Hyperlink"/>
            <w:webHidden/>
            <w:color w:val="ED5625"/>
            <w:u w:val="none"/>
          </w:rPr>
          <w:t>213</w:t>
        </w:r>
      </w:hyperlink>
    </w:p>
    <w:p w14:paraId="3D80FE23" w14:textId="1D49DD2B" w:rsidR="00330914" w:rsidRPr="00F24CC8" w:rsidRDefault="00AC4DF7" w:rsidP="00F24CC8">
      <w:pPr>
        <w:pStyle w:val="TOC1"/>
        <w:ind w:left="720"/>
        <w:rPr>
          <w:rFonts w:eastAsiaTheme="minorEastAsia"/>
          <w:sz w:val="24"/>
          <w:szCs w:val="24"/>
          <w:lang w:val="en-SG" w:eastAsia="en-GB"/>
        </w:rPr>
      </w:pPr>
      <w:hyperlink w:anchor="_Module_objectives_4" w:history="1">
        <w:r w:rsidR="00330914" w:rsidRPr="00F24CC8">
          <w:rPr>
            <w:rStyle w:val="Hyperlink"/>
            <w:b w:val="0"/>
            <w:bCs w:val="0"/>
            <w:color w:val="69557F"/>
            <w:u w:val="none"/>
          </w:rPr>
          <w:t>Module objectives</w:t>
        </w:r>
        <w:r w:rsidR="00330914" w:rsidRPr="00F24CC8">
          <w:rPr>
            <w:rStyle w:val="Hyperlink"/>
            <w:b w:val="0"/>
            <w:bCs w:val="0"/>
            <w:webHidden/>
            <w:color w:val="69557F"/>
            <w:u w:val="none"/>
          </w:rPr>
          <w:tab/>
        </w:r>
        <w:r w:rsidR="00995BBF" w:rsidRPr="00F24CC8">
          <w:rPr>
            <w:rStyle w:val="Hyperlink"/>
            <w:b w:val="0"/>
            <w:bCs w:val="0"/>
            <w:webHidden/>
            <w:color w:val="69557F"/>
            <w:u w:val="none"/>
          </w:rPr>
          <w:t>214</w:t>
        </w:r>
      </w:hyperlink>
    </w:p>
    <w:p w14:paraId="18A247B4" w14:textId="1CE1D2A7" w:rsidR="00330914" w:rsidRPr="00F24CC8" w:rsidRDefault="00AC4DF7" w:rsidP="00F24CC8">
      <w:pPr>
        <w:pStyle w:val="TOC1"/>
        <w:ind w:left="720"/>
        <w:rPr>
          <w:rFonts w:eastAsiaTheme="minorEastAsia"/>
          <w:sz w:val="24"/>
          <w:szCs w:val="24"/>
          <w:lang w:val="en-SG" w:eastAsia="en-GB"/>
        </w:rPr>
      </w:pPr>
      <w:hyperlink w:anchor="_The_global_status" w:history="1">
        <w:r w:rsidR="00330914" w:rsidRPr="00F24CC8">
          <w:rPr>
            <w:rStyle w:val="Hyperlink"/>
            <w:b w:val="0"/>
            <w:bCs w:val="0"/>
            <w:color w:val="69557F"/>
            <w:u w:val="none"/>
          </w:rPr>
          <w:t>The global status of fiscal transparency</w:t>
        </w:r>
        <w:r w:rsidR="00330914" w:rsidRPr="00F24CC8">
          <w:rPr>
            <w:rStyle w:val="Hyperlink"/>
            <w:b w:val="0"/>
            <w:bCs w:val="0"/>
            <w:webHidden/>
            <w:color w:val="69557F"/>
            <w:u w:val="none"/>
          </w:rPr>
          <w:tab/>
        </w:r>
        <w:r w:rsidR="00995BBF" w:rsidRPr="00F24CC8">
          <w:rPr>
            <w:rStyle w:val="Hyperlink"/>
            <w:b w:val="0"/>
            <w:bCs w:val="0"/>
            <w:webHidden/>
            <w:color w:val="69557F"/>
            <w:u w:val="none"/>
          </w:rPr>
          <w:t>214</w:t>
        </w:r>
      </w:hyperlink>
    </w:p>
    <w:p w14:paraId="7D2D77B6" w14:textId="7D346D6D" w:rsidR="00330914" w:rsidRPr="00F24CC8" w:rsidRDefault="00AC4DF7" w:rsidP="00F24CC8">
      <w:pPr>
        <w:pStyle w:val="TOC1"/>
        <w:ind w:left="720"/>
        <w:rPr>
          <w:rFonts w:eastAsiaTheme="minorEastAsia"/>
          <w:sz w:val="24"/>
          <w:szCs w:val="24"/>
          <w:lang w:val="en-SG" w:eastAsia="en-GB"/>
        </w:rPr>
      </w:pPr>
      <w:hyperlink w:anchor="_Public_financial_management" w:history="1">
        <w:r w:rsidR="00330914" w:rsidRPr="00F24CC8">
          <w:rPr>
            <w:rStyle w:val="Hyperlink"/>
            <w:b w:val="0"/>
            <w:bCs w:val="0"/>
            <w:color w:val="69557F"/>
            <w:u w:val="none"/>
          </w:rPr>
          <w:t>Public financial management and fiscal transparency reforms</w:t>
        </w:r>
        <w:r w:rsidR="00330914" w:rsidRPr="00F24CC8">
          <w:rPr>
            <w:rStyle w:val="Hyperlink"/>
            <w:b w:val="0"/>
            <w:bCs w:val="0"/>
            <w:webHidden/>
            <w:color w:val="69557F"/>
            <w:u w:val="none"/>
          </w:rPr>
          <w:tab/>
        </w:r>
        <w:r w:rsidR="00995BBF" w:rsidRPr="00F24CC8">
          <w:rPr>
            <w:rStyle w:val="Hyperlink"/>
            <w:b w:val="0"/>
            <w:bCs w:val="0"/>
            <w:webHidden/>
            <w:color w:val="69557F"/>
            <w:u w:val="none"/>
          </w:rPr>
          <w:t>215</w:t>
        </w:r>
      </w:hyperlink>
    </w:p>
    <w:p w14:paraId="164BFF6B" w14:textId="4B067CA0" w:rsidR="00330914" w:rsidRPr="00F24CC8" w:rsidRDefault="00AC4DF7" w:rsidP="00F24CC8">
      <w:pPr>
        <w:pStyle w:val="TOC1"/>
        <w:ind w:left="720"/>
        <w:rPr>
          <w:rFonts w:eastAsiaTheme="minorEastAsia"/>
          <w:sz w:val="24"/>
          <w:szCs w:val="24"/>
          <w:lang w:val="en-SG" w:eastAsia="en-GB"/>
        </w:rPr>
      </w:pPr>
      <w:hyperlink w:anchor="_Examples_from_the_4" w:history="1">
        <w:r w:rsidR="00330914" w:rsidRPr="00F24CC8">
          <w:rPr>
            <w:rStyle w:val="Hyperlink"/>
            <w:b w:val="0"/>
            <w:bCs w:val="0"/>
            <w:color w:val="69557F"/>
            <w:u w:val="none"/>
          </w:rPr>
          <w:t>Examples from the field</w:t>
        </w:r>
        <w:r w:rsidR="00330914" w:rsidRPr="00F24CC8">
          <w:rPr>
            <w:rStyle w:val="Hyperlink"/>
            <w:b w:val="0"/>
            <w:bCs w:val="0"/>
            <w:webHidden/>
            <w:color w:val="69557F"/>
            <w:u w:val="none"/>
          </w:rPr>
          <w:tab/>
        </w:r>
        <w:r w:rsidR="00995BBF" w:rsidRPr="00F24CC8">
          <w:rPr>
            <w:rStyle w:val="Hyperlink"/>
            <w:b w:val="0"/>
            <w:bCs w:val="0"/>
            <w:webHidden/>
            <w:color w:val="69557F"/>
            <w:u w:val="none"/>
          </w:rPr>
          <w:t>237</w:t>
        </w:r>
      </w:hyperlink>
    </w:p>
    <w:p w14:paraId="0DD5A566" w14:textId="7A6F88B0" w:rsidR="00330914" w:rsidRPr="00F24CC8" w:rsidRDefault="00AC4DF7" w:rsidP="00F24CC8">
      <w:pPr>
        <w:pStyle w:val="TOC1"/>
        <w:rPr>
          <w:rStyle w:val="Hyperlink"/>
          <w:color w:val="ED5625"/>
          <w:u w:val="none"/>
        </w:rPr>
      </w:pPr>
      <w:hyperlink w:anchor="_REFERENCES_1" w:history="1">
        <w:r w:rsidR="00330914" w:rsidRPr="00F24CC8">
          <w:rPr>
            <w:rStyle w:val="Hyperlink"/>
            <w:color w:val="ED5625"/>
            <w:u w:val="none"/>
          </w:rPr>
          <w:t>REFERENCES</w:t>
        </w:r>
        <w:r w:rsidR="00330914" w:rsidRPr="00F24CC8">
          <w:rPr>
            <w:rStyle w:val="Hyperlink"/>
            <w:webHidden/>
            <w:color w:val="ED5625"/>
            <w:u w:val="none"/>
          </w:rPr>
          <w:tab/>
        </w:r>
        <w:r w:rsidR="00995BBF" w:rsidRPr="00F24CC8">
          <w:rPr>
            <w:rStyle w:val="Hyperlink"/>
            <w:webHidden/>
            <w:color w:val="ED5625"/>
            <w:u w:val="none"/>
          </w:rPr>
          <w:t>241</w:t>
        </w:r>
      </w:hyperlink>
    </w:p>
    <w:p w14:paraId="1003D864" w14:textId="7E913A3C" w:rsidR="009820E7" w:rsidRPr="005201E1" w:rsidRDefault="009820E7" w:rsidP="009820E7">
      <w:pPr>
        <w:rPr>
          <w:rFonts w:ascii="Arial" w:hAnsi="Arial" w:cs="Arial"/>
          <w:noProof/>
          <w:lang w:val="en-US"/>
        </w:rPr>
      </w:pPr>
    </w:p>
    <w:p w14:paraId="2473FBB2" w14:textId="79217F86" w:rsidR="009820E7" w:rsidRPr="005201E1" w:rsidRDefault="009820E7" w:rsidP="009820E7">
      <w:pPr>
        <w:rPr>
          <w:rFonts w:ascii="Arial" w:hAnsi="Arial" w:cs="Arial"/>
          <w:b/>
          <w:bCs/>
          <w:noProof/>
          <w:color w:val="F16D24"/>
          <w:sz w:val="20"/>
          <w:szCs w:val="20"/>
          <w:lang w:val="en-US"/>
        </w:rPr>
      </w:pPr>
      <w:r w:rsidRPr="005201E1">
        <w:rPr>
          <w:rFonts w:ascii="Arial" w:hAnsi="Arial" w:cs="Arial"/>
          <w:b/>
          <w:bCs/>
          <w:noProof/>
          <w:color w:val="F16D24"/>
          <w:sz w:val="20"/>
          <w:szCs w:val="20"/>
          <w:lang w:val="en-US"/>
        </w:rPr>
        <w:t>List of Tables</w:t>
      </w:r>
    </w:p>
    <w:p w14:paraId="7C60B487" w14:textId="3DE8C33F" w:rsidR="009820E7" w:rsidRPr="00F24CC8" w:rsidRDefault="00AC4DF7" w:rsidP="00F24CC8">
      <w:pPr>
        <w:pStyle w:val="TOC3"/>
        <w:ind w:left="720"/>
        <w:rPr>
          <w:rFonts w:eastAsiaTheme="minorEastAsia"/>
          <w:sz w:val="24"/>
          <w:szCs w:val="24"/>
          <w:lang w:val="en-SG" w:eastAsia="en-GB"/>
        </w:rPr>
      </w:pPr>
      <w:hyperlink w:anchor="_Table_1.1._Evidence" w:history="1">
        <w:r w:rsidR="009820E7" w:rsidRPr="00F24CC8">
          <w:rPr>
            <w:rStyle w:val="Hyperlink"/>
            <w:color w:val="69557F"/>
            <w:u w:val="none"/>
          </w:rPr>
          <w:t>Table 1.1. Evidence of the benefits of fiscal transparency</w:t>
        </w:r>
        <w:r w:rsidR="009820E7" w:rsidRPr="00F24CC8">
          <w:rPr>
            <w:rStyle w:val="Hyperlink"/>
            <w:webHidden/>
            <w:color w:val="69557F"/>
            <w:u w:val="none"/>
          </w:rPr>
          <w:tab/>
        </w:r>
        <w:r w:rsidR="00995BBF" w:rsidRPr="00F24CC8">
          <w:rPr>
            <w:rStyle w:val="Hyperlink"/>
            <w:webHidden/>
            <w:color w:val="69557F"/>
            <w:u w:val="none"/>
          </w:rPr>
          <w:t>19</w:t>
        </w:r>
      </w:hyperlink>
    </w:p>
    <w:p w14:paraId="38394DA0" w14:textId="59BA3CC7" w:rsidR="009820E7" w:rsidRPr="00F24CC8" w:rsidRDefault="00AC4DF7" w:rsidP="00F24CC8">
      <w:pPr>
        <w:pStyle w:val="TOC3"/>
        <w:ind w:left="720"/>
        <w:rPr>
          <w:rFonts w:eastAsiaTheme="minorEastAsia"/>
          <w:sz w:val="24"/>
          <w:szCs w:val="24"/>
          <w:lang w:val="en-SG" w:eastAsia="en-GB"/>
        </w:rPr>
      </w:pPr>
      <w:hyperlink w:anchor="_Table_2.1._GIFT" w:history="1">
        <w:r w:rsidR="009820E7" w:rsidRPr="00F24CC8">
          <w:rPr>
            <w:rStyle w:val="Hyperlink"/>
            <w:color w:val="69557F"/>
            <w:u w:val="none"/>
          </w:rPr>
          <w:t>Table 2.1. GIFT Public Participation Spectrum</w:t>
        </w:r>
        <w:r w:rsidR="009820E7" w:rsidRPr="00F24CC8">
          <w:rPr>
            <w:rStyle w:val="Hyperlink"/>
            <w:webHidden/>
            <w:color w:val="69557F"/>
            <w:u w:val="none"/>
          </w:rPr>
          <w:tab/>
        </w:r>
        <w:r w:rsidR="00995BBF" w:rsidRPr="00F24CC8">
          <w:rPr>
            <w:rStyle w:val="Hyperlink"/>
            <w:webHidden/>
            <w:color w:val="69557F"/>
            <w:u w:val="none"/>
          </w:rPr>
          <w:t>92</w:t>
        </w:r>
      </w:hyperlink>
    </w:p>
    <w:p w14:paraId="0963C5A0" w14:textId="1F67D5B7" w:rsidR="009820E7" w:rsidRPr="00F24CC8" w:rsidRDefault="00AC4DF7" w:rsidP="00F24CC8">
      <w:pPr>
        <w:pStyle w:val="TOC3"/>
        <w:ind w:left="720"/>
        <w:rPr>
          <w:rFonts w:eastAsiaTheme="minorEastAsia"/>
          <w:sz w:val="24"/>
          <w:szCs w:val="24"/>
          <w:lang w:val="en-SG" w:eastAsia="en-GB"/>
        </w:rPr>
      </w:pPr>
      <w:hyperlink w:anchor="_Table_2.2._Common" w:history="1">
        <w:r w:rsidR="009820E7" w:rsidRPr="00F24CC8">
          <w:rPr>
            <w:rStyle w:val="Hyperlink"/>
            <w:color w:val="69557F"/>
            <w:u w:val="none"/>
          </w:rPr>
          <w:t>Table 2.2. Common objections and responses to increased public participation in fiscal policy</w:t>
        </w:r>
        <w:r w:rsidR="009820E7" w:rsidRPr="00F24CC8">
          <w:rPr>
            <w:rStyle w:val="Hyperlink"/>
            <w:webHidden/>
            <w:color w:val="69557F"/>
            <w:u w:val="none"/>
          </w:rPr>
          <w:tab/>
        </w:r>
        <w:r w:rsidR="00995BBF" w:rsidRPr="00F24CC8">
          <w:rPr>
            <w:rStyle w:val="Hyperlink"/>
            <w:webHidden/>
            <w:color w:val="69557F"/>
            <w:u w:val="none"/>
          </w:rPr>
          <w:t>96</w:t>
        </w:r>
      </w:hyperlink>
    </w:p>
    <w:p w14:paraId="2B139357" w14:textId="04255F53" w:rsidR="009820E7" w:rsidRPr="00F24CC8" w:rsidRDefault="00AC4DF7" w:rsidP="00F24CC8">
      <w:pPr>
        <w:pStyle w:val="TOC3"/>
        <w:ind w:left="720"/>
        <w:rPr>
          <w:rFonts w:eastAsiaTheme="minorEastAsia"/>
          <w:sz w:val="24"/>
          <w:szCs w:val="24"/>
          <w:lang w:val="en-SG" w:eastAsia="en-GB"/>
        </w:rPr>
      </w:pPr>
      <w:hyperlink w:anchor="_Table_3.1._General" w:history="1">
        <w:r w:rsidR="009820E7" w:rsidRPr="00F24CC8">
          <w:rPr>
            <w:rStyle w:val="Hyperlink"/>
            <w:color w:val="69557F"/>
            <w:u w:val="none"/>
          </w:rPr>
          <w:t>Table 3.1. General Government</w:t>
        </w:r>
        <w:r w:rsidR="009820E7" w:rsidRPr="00F24CC8">
          <w:rPr>
            <w:rStyle w:val="Hyperlink"/>
            <w:webHidden/>
            <w:color w:val="69557F"/>
            <w:u w:val="none"/>
          </w:rPr>
          <w:tab/>
        </w:r>
        <w:r w:rsidR="00995BBF" w:rsidRPr="00F24CC8">
          <w:rPr>
            <w:rStyle w:val="Hyperlink"/>
            <w:webHidden/>
            <w:color w:val="69557F"/>
            <w:u w:val="none"/>
          </w:rPr>
          <w:t>111</w:t>
        </w:r>
      </w:hyperlink>
    </w:p>
    <w:p w14:paraId="29083C96" w14:textId="4BFCDF38" w:rsidR="009820E7" w:rsidRPr="00F24CC8" w:rsidRDefault="00AC4DF7" w:rsidP="00F24CC8">
      <w:pPr>
        <w:pStyle w:val="TOC3"/>
        <w:ind w:left="720"/>
        <w:rPr>
          <w:rFonts w:eastAsiaTheme="minorEastAsia"/>
          <w:sz w:val="24"/>
          <w:szCs w:val="24"/>
          <w:lang w:val="en-SG" w:eastAsia="en-GB"/>
        </w:rPr>
      </w:pPr>
      <w:hyperlink w:anchor="_Table_3.2._Extrabudgetary" w:history="1">
        <w:r w:rsidR="009820E7" w:rsidRPr="00F24CC8">
          <w:rPr>
            <w:rStyle w:val="Hyperlink"/>
            <w:color w:val="69557F"/>
            <w:u w:val="none"/>
          </w:rPr>
          <w:t>Table 3.2. Extrabudgetary funds</w:t>
        </w:r>
        <w:r w:rsidR="009820E7" w:rsidRPr="00F24CC8">
          <w:rPr>
            <w:rStyle w:val="Hyperlink"/>
            <w:webHidden/>
            <w:color w:val="69557F"/>
            <w:u w:val="none"/>
          </w:rPr>
          <w:tab/>
        </w:r>
        <w:r w:rsidR="00995BBF" w:rsidRPr="00F24CC8">
          <w:rPr>
            <w:rStyle w:val="Hyperlink"/>
            <w:webHidden/>
            <w:color w:val="69557F"/>
            <w:u w:val="none"/>
          </w:rPr>
          <w:t>112</w:t>
        </w:r>
      </w:hyperlink>
    </w:p>
    <w:p w14:paraId="3C090103" w14:textId="5170B902" w:rsidR="009820E7" w:rsidRPr="00F24CC8" w:rsidRDefault="00AC4DF7" w:rsidP="00F24CC8">
      <w:pPr>
        <w:pStyle w:val="TOC3"/>
        <w:ind w:left="720"/>
        <w:rPr>
          <w:rFonts w:eastAsiaTheme="minorEastAsia"/>
          <w:sz w:val="24"/>
          <w:szCs w:val="24"/>
          <w:lang w:val="en-SG" w:eastAsia="en-GB"/>
        </w:rPr>
      </w:pPr>
      <w:hyperlink w:anchor="_Table_3.3._Public" w:history="1">
        <w:r w:rsidR="009820E7" w:rsidRPr="00F24CC8">
          <w:rPr>
            <w:rStyle w:val="Hyperlink"/>
            <w:color w:val="69557F"/>
            <w:u w:val="none"/>
          </w:rPr>
          <w:t xml:space="preserve">Table 3.3. </w:t>
        </w:r>
        <w:r w:rsidR="009820E7" w:rsidRPr="00F24CC8">
          <w:rPr>
            <w:rStyle w:val="Hyperlink"/>
            <w:color w:val="69557F"/>
            <w:u w:val="none"/>
            <w:lang w:val="en-ZA"/>
          </w:rPr>
          <w:t>Public corporations</w:t>
        </w:r>
        <w:r w:rsidR="009820E7" w:rsidRPr="00F24CC8">
          <w:rPr>
            <w:rStyle w:val="Hyperlink"/>
            <w:webHidden/>
            <w:color w:val="69557F"/>
            <w:u w:val="none"/>
          </w:rPr>
          <w:tab/>
        </w:r>
        <w:r w:rsidR="00995BBF" w:rsidRPr="00F24CC8">
          <w:rPr>
            <w:rStyle w:val="Hyperlink"/>
            <w:webHidden/>
            <w:color w:val="69557F"/>
            <w:u w:val="none"/>
          </w:rPr>
          <w:t>113</w:t>
        </w:r>
      </w:hyperlink>
    </w:p>
    <w:p w14:paraId="5FD053C3" w14:textId="41D2B779" w:rsidR="009820E7" w:rsidRPr="00F24CC8" w:rsidRDefault="00AC4DF7" w:rsidP="00F24CC8">
      <w:pPr>
        <w:pStyle w:val="TOC3"/>
        <w:ind w:left="720"/>
        <w:rPr>
          <w:rFonts w:eastAsiaTheme="minorEastAsia"/>
          <w:sz w:val="24"/>
          <w:szCs w:val="24"/>
          <w:lang w:val="en-SG" w:eastAsia="en-GB"/>
        </w:rPr>
      </w:pPr>
      <w:hyperlink w:anchor="_Table_3.4._Pre-budget" w:history="1">
        <w:r w:rsidR="009820E7" w:rsidRPr="00F24CC8">
          <w:rPr>
            <w:rStyle w:val="Hyperlink"/>
            <w:color w:val="69557F"/>
            <w:u w:val="none"/>
          </w:rPr>
          <w:t>Table 3.4. Pre-budget statement</w:t>
        </w:r>
        <w:r w:rsidR="009820E7" w:rsidRPr="00F24CC8">
          <w:rPr>
            <w:rStyle w:val="Hyperlink"/>
            <w:webHidden/>
            <w:color w:val="69557F"/>
            <w:u w:val="none"/>
          </w:rPr>
          <w:tab/>
        </w:r>
        <w:r w:rsidR="00995BBF" w:rsidRPr="00F24CC8">
          <w:rPr>
            <w:rStyle w:val="Hyperlink"/>
            <w:webHidden/>
            <w:color w:val="69557F"/>
            <w:u w:val="none"/>
          </w:rPr>
          <w:t>119</w:t>
        </w:r>
      </w:hyperlink>
    </w:p>
    <w:p w14:paraId="506ABD9C" w14:textId="266F2721" w:rsidR="00121AD8" w:rsidRPr="00F24CC8" w:rsidRDefault="00AC4DF7" w:rsidP="00F24CC8">
      <w:pPr>
        <w:pStyle w:val="TOC3"/>
        <w:ind w:left="720"/>
        <w:rPr>
          <w:rFonts w:eastAsiaTheme="minorEastAsia"/>
          <w:sz w:val="24"/>
          <w:szCs w:val="24"/>
          <w:lang w:val="en-SG" w:eastAsia="en-GB"/>
        </w:rPr>
      </w:pPr>
      <w:hyperlink w:anchor="_Table_3.5._Executive’s" w:history="1">
        <w:r w:rsidR="00121AD8" w:rsidRPr="00F24CC8">
          <w:rPr>
            <w:rStyle w:val="Hyperlink"/>
            <w:color w:val="69557F"/>
            <w:u w:val="none"/>
          </w:rPr>
          <w:t>Table 3.5. Executive’s budget proposal (Draft budget)</w:t>
        </w:r>
        <w:r w:rsidR="00121AD8" w:rsidRPr="00F24CC8">
          <w:rPr>
            <w:rStyle w:val="Hyperlink"/>
            <w:webHidden/>
            <w:color w:val="69557F"/>
            <w:u w:val="none"/>
          </w:rPr>
          <w:tab/>
          <w:t>121</w:t>
        </w:r>
      </w:hyperlink>
    </w:p>
    <w:p w14:paraId="562A5600" w14:textId="5F440B1A" w:rsidR="009820E7" w:rsidRPr="00F24CC8" w:rsidRDefault="00AC4DF7" w:rsidP="00F24CC8">
      <w:pPr>
        <w:pStyle w:val="TOC3"/>
        <w:ind w:left="720"/>
        <w:rPr>
          <w:rFonts w:eastAsiaTheme="minorEastAsia"/>
          <w:sz w:val="24"/>
          <w:szCs w:val="24"/>
          <w:lang w:val="en-SG" w:eastAsia="en-GB"/>
        </w:rPr>
      </w:pPr>
      <w:hyperlink w:anchor="_Table_3.6._Citizen’s" w:history="1">
        <w:r w:rsidR="009820E7" w:rsidRPr="00F24CC8">
          <w:rPr>
            <w:rStyle w:val="Hyperlink"/>
            <w:color w:val="69557F"/>
            <w:u w:val="none"/>
          </w:rPr>
          <w:t>Table 3.6. Citizen’s budget</w:t>
        </w:r>
        <w:r w:rsidR="009820E7" w:rsidRPr="00F24CC8">
          <w:rPr>
            <w:rStyle w:val="Hyperlink"/>
            <w:webHidden/>
            <w:color w:val="69557F"/>
            <w:u w:val="none"/>
          </w:rPr>
          <w:tab/>
        </w:r>
        <w:r w:rsidR="00995BBF" w:rsidRPr="00F24CC8">
          <w:rPr>
            <w:rStyle w:val="Hyperlink"/>
            <w:webHidden/>
            <w:color w:val="69557F"/>
            <w:u w:val="none"/>
          </w:rPr>
          <w:t>125</w:t>
        </w:r>
      </w:hyperlink>
    </w:p>
    <w:p w14:paraId="31322900" w14:textId="42644D92" w:rsidR="009820E7" w:rsidRPr="00F24CC8" w:rsidRDefault="00AC4DF7" w:rsidP="00F24CC8">
      <w:pPr>
        <w:pStyle w:val="TOC3"/>
        <w:ind w:left="720"/>
        <w:rPr>
          <w:rFonts w:eastAsiaTheme="minorEastAsia"/>
          <w:sz w:val="24"/>
          <w:szCs w:val="24"/>
          <w:lang w:val="en-SG" w:eastAsia="en-GB"/>
        </w:rPr>
      </w:pPr>
      <w:hyperlink w:anchor="_Table_3.7._Enacted" w:history="1">
        <w:r w:rsidR="009820E7" w:rsidRPr="00F24CC8">
          <w:rPr>
            <w:rStyle w:val="Hyperlink"/>
            <w:color w:val="69557F"/>
            <w:u w:val="none"/>
          </w:rPr>
          <w:t>Table 3.7. Enacted budget</w:t>
        </w:r>
        <w:r w:rsidR="009820E7" w:rsidRPr="00F24CC8">
          <w:rPr>
            <w:rStyle w:val="Hyperlink"/>
            <w:webHidden/>
            <w:color w:val="69557F"/>
            <w:u w:val="none"/>
          </w:rPr>
          <w:tab/>
        </w:r>
        <w:r w:rsidR="00995BBF" w:rsidRPr="00F24CC8">
          <w:rPr>
            <w:rStyle w:val="Hyperlink"/>
            <w:webHidden/>
            <w:color w:val="69557F"/>
            <w:u w:val="none"/>
          </w:rPr>
          <w:t>126</w:t>
        </w:r>
      </w:hyperlink>
    </w:p>
    <w:p w14:paraId="6C5BA729" w14:textId="7DDA4C00" w:rsidR="009820E7" w:rsidRPr="00F24CC8" w:rsidRDefault="00AC4DF7" w:rsidP="00F24CC8">
      <w:pPr>
        <w:pStyle w:val="TOC3"/>
        <w:ind w:left="720"/>
        <w:rPr>
          <w:rFonts w:eastAsiaTheme="minorEastAsia"/>
          <w:sz w:val="24"/>
          <w:szCs w:val="24"/>
          <w:lang w:val="en-SG" w:eastAsia="en-GB"/>
        </w:rPr>
      </w:pPr>
      <w:hyperlink w:anchor="_Table_3.8._Pre-execution" w:history="1">
        <w:r w:rsidR="009820E7" w:rsidRPr="00F24CC8">
          <w:rPr>
            <w:rStyle w:val="Hyperlink"/>
            <w:color w:val="69557F"/>
            <w:u w:val="none"/>
          </w:rPr>
          <w:t>Table 3.8. Pre-execution budget profiles / Cash-flow forecasts</w:t>
        </w:r>
        <w:r w:rsidR="009820E7" w:rsidRPr="00F24CC8">
          <w:rPr>
            <w:rStyle w:val="Hyperlink"/>
            <w:webHidden/>
            <w:color w:val="69557F"/>
            <w:u w:val="none"/>
          </w:rPr>
          <w:tab/>
        </w:r>
        <w:r w:rsidR="00995BBF" w:rsidRPr="00F24CC8">
          <w:rPr>
            <w:rStyle w:val="Hyperlink"/>
            <w:webHidden/>
            <w:color w:val="69557F"/>
            <w:u w:val="none"/>
          </w:rPr>
          <w:t>127</w:t>
        </w:r>
      </w:hyperlink>
    </w:p>
    <w:p w14:paraId="1328B8A6" w14:textId="11453F4D" w:rsidR="009820E7" w:rsidRPr="00F24CC8" w:rsidRDefault="00AC4DF7" w:rsidP="00F24CC8">
      <w:pPr>
        <w:pStyle w:val="TOC3"/>
        <w:ind w:left="720"/>
        <w:rPr>
          <w:rFonts w:eastAsiaTheme="minorEastAsia"/>
          <w:sz w:val="24"/>
          <w:szCs w:val="24"/>
          <w:lang w:val="en-SG" w:eastAsia="en-GB"/>
        </w:rPr>
      </w:pPr>
      <w:hyperlink w:anchor="_Table_3.9._In-year" w:history="1">
        <w:r w:rsidR="009820E7" w:rsidRPr="00F24CC8">
          <w:rPr>
            <w:rStyle w:val="Hyperlink"/>
            <w:color w:val="69557F"/>
            <w:u w:val="none"/>
          </w:rPr>
          <w:t>Table 3.9. In-year budget execution reports</w:t>
        </w:r>
        <w:r w:rsidR="009820E7" w:rsidRPr="00F24CC8">
          <w:rPr>
            <w:rStyle w:val="Hyperlink"/>
            <w:webHidden/>
            <w:color w:val="69557F"/>
            <w:u w:val="none"/>
          </w:rPr>
          <w:tab/>
        </w:r>
        <w:r w:rsidR="00995BBF" w:rsidRPr="00F24CC8">
          <w:rPr>
            <w:rStyle w:val="Hyperlink"/>
            <w:webHidden/>
            <w:color w:val="69557F"/>
            <w:u w:val="none"/>
          </w:rPr>
          <w:t>128</w:t>
        </w:r>
      </w:hyperlink>
    </w:p>
    <w:p w14:paraId="3F94AA0C" w14:textId="71C063D5" w:rsidR="009820E7" w:rsidRPr="00F24CC8" w:rsidRDefault="00AC4DF7" w:rsidP="00F24CC8">
      <w:pPr>
        <w:pStyle w:val="TOC3"/>
        <w:ind w:left="720"/>
        <w:rPr>
          <w:rFonts w:eastAsiaTheme="minorEastAsia"/>
          <w:sz w:val="24"/>
          <w:szCs w:val="24"/>
          <w:lang w:val="en-SG" w:eastAsia="en-GB"/>
        </w:rPr>
      </w:pPr>
      <w:hyperlink w:anchor="_Table_3.10._Mid-year" w:history="1">
        <w:r w:rsidR="009820E7" w:rsidRPr="00F24CC8">
          <w:rPr>
            <w:rStyle w:val="Hyperlink"/>
            <w:color w:val="69557F"/>
            <w:u w:val="none"/>
          </w:rPr>
          <w:t>Table 3.10. Mid-year review / Implementation report</w:t>
        </w:r>
        <w:r w:rsidR="009820E7" w:rsidRPr="00F24CC8">
          <w:rPr>
            <w:rStyle w:val="Hyperlink"/>
            <w:webHidden/>
            <w:color w:val="69557F"/>
            <w:u w:val="none"/>
          </w:rPr>
          <w:tab/>
        </w:r>
        <w:r w:rsidR="00995BBF" w:rsidRPr="00F24CC8">
          <w:rPr>
            <w:rStyle w:val="Hyperlink"/>
            <w:webHidden/>
            <w:color w:val="69557F"/>
            <w:u w:val="none"/>
          </w:rPr>
          <w:t>129</w:t>
        </w:r>
      </w:hyperlink>
    </w:p>
    <w:p w14:paraId="454C5A09" w14:textId="725DD421" w:rsidR="009820E7" w:rsidRPr="00F24CC8" w:rsidRDefault="00AC4DF7" w:rsidP="00F24CC8">
      <w:pPr>
        <w:pStyle w:val="TOC3"/>
        <w:ind w:left="720"/>
        <w:rPr>
          <w:rFonts w:eastAsiaTheme="minorEastAsia"/>
          <w:sz w:val="24"/>
          <w:szCs w:val="24"/>
          <w:lang w:val="en-SG" w:eastAsia="en-GB"/>
        </w:rPr>
      </w:pPr>
      <w:hyperlink w:anchor="_Table_3.11._Supplementary" w:history="1">
        <w:r w:rsidR="009820E7" w:rsidRPr="00F24CC8">
          <w:rPr>
            <w:rStyle w:val="Hyperlink"/>
            <w:color w:val="69557F"/>
            <w:u w:val="none"/>
          </w:rPr>
          <w:t>Table 3.11. Supplementary budget</w:t>
        </w:r>
        <w:r w:rsidR="009820E7" w:rsidRPr="00F24CC8">
          <w:rPr>
            <w:rStyle w:val="Hyperlink"/>
            <w:webHidden/>
            <w:color w:val="69557F"/>
            <w:u w:val="none"/>
          </w:rPr>
          <w:tab/>
        </w:r>
        <w:r w:rsidR="00995BBF" w:rsidRPr="00F24CC8">
          <w:rPr>
            <w:rStyle w:val="Hyperlink"/>
            <w:webHidden/>
            <w:color w:val="69557F"/>
            <w:u w:val="none"/>
          </w:rPr>
          <w:t>130</w:t>
        </w:r>
      </w:hyperlink>
    </w:p>
    <w:p w14:paraId="1D26F6A5" w14:textId="331D9A71" w:rsidR="009820E7" w:rsidRPr="00F24CC8" w:rsidRDefault="00AC4DF7" w:rsidP="00F24CC8">
      <w:pPr>
        <w:pStyle w:val="TOC3"/>
        <w:ind w:left="720"/>
        <w:rPr>
          <w:rFonts w:eastAsiaTheme="minorEastAsia"/>
          <w:sz w:val="24"/>
          <w:szCs w:val="24"/>
          <w:lang w:val="en-SG" w:eastAsia="en-GB"/>
        </w:rPr>
      </w:pPr>
      <w:hyperlink w:anchor="_Table_3.12._Year-end" w:history="1">
        <w:r w:rsidR="009820E7" w:rsidRPr="00F24CC8">
          <w:rPr>
            <w:rStyle w:val="Hyperlink"/>
            <w:color w:val="69557F"/>
            <w:u w:val="none"/>
          </w:rPr>
          <w:t>Table 3.12. Year-end report</w:t>
        </w:r>
        <w:r w:rsidR="009820E7" w:rsidRPr="00F24CC8">
          <w:rPr>
            <w:rStyle w:val="Hyperlink"/>
            <w:webHidden/>
            <w:color w:val="69557F"/>
            <w:u w:val="none"/>
          </w:rPr>
          <w:tab/>
        </w:r>
        <w:r w:rsidR="00995BBF" w:rsidRPr="00F24CC8">
          <w:rPr>
            <w:rStyle w:val="Hyperlink"/>
            <w:webHidden/>
            <w:color w:val="69557F"/>
            <w:u w:val="none"/>
          </w:rPr>
          <w:t>131</w:t>
        </w:r>
      </w:hyperlink>
    </w:p>
    <w:p w14:paraId="7AD0D694" w14:textId="2EF374ED" w:rsidR="009820E7" w:rsidRPr="00F24CC8" w:rsidRDefault="00AC4DF7" w:rsidP="00F24CC8">
      <w:pPr>
        <w:pStyle w:val="TOC3"/>
        <w:ind w:left="720"/>
        <w:rPr>
          <w:rFonts w:eastAsiaTheme="minorEastAsia"/>
          <w:sz w:val="24"/>
          <w:szCs w:val="24"/>
          <w:lang w:val="en-SG" w:eastAsia="en-GB"/>
        </w:rPr>
      </w:pPr>
      <w:hyperlink w:anchor="_Table_3.13._Audit" w:history="1">
        <w:r w:rsidR="009820E7" w:rsidRPr="00F24CC8">
          <w:rPr>
            <w:rStyle w:val="Hyperlink"/>
            <w:color w:val="69557F"/>
            <w:u w:val="none"/>
          </w:rPr>
          <w:t>Table 3.13. Audit report</w:t>
        </w:r>
        <w:r w:rsidR="009820E7" w:rsidRPr="00F24CC8">
          <w:rPr>
            <w:rStyle w:val="Hyperlink"/>
            <w:webHidden/>
            <w:color w:val="69557F"/>
            <w:u w:val="none"/>
          </w:rPr>
          <w:tab/>
        </w:r>
        <w:r w:rsidR="00995BBF" w:rsidRPr="00F24CC8">
          <w:rPr>
            <w:rStyle w:val="Hyperlink"/>
            <w:webHidden/>
            <w:color w:val="69557F"/>
            <w:u w:val="none"/>
          </w:rPr>
          <w:t>132</w:t>
        </w:r>
      </w:hyperlink>
    </w:p>
    <w:p w14:paraId="38C4E646" w14:textId="2B652E20" w:rsidR="009820E7" w:rsidRPr="00F24CC8" w:rsidRDefault="00AC4DF7" w:rsidP="00F24CC8">
      <w:pPr>
        <w:pStyle w:val="TOC3"/>
        <w:ind w:left="720"/>
        <w:rPr>
          <w:rFonts w:eastAsiaTheme="minorEastAsia"/>
          <w:sz w:val="24"/>
          <w:szCs w:val="24"/>
          <w:lang w:val="en-SG" w:eastAsia="en-GB"/>
        </w:rPr>
      </w:pPr>
      <w:hyperlink w:anchor="_Table_3.14._Long-term" w:history="1">
        <w:r w:rsidR="009820E7" w:rsidRPr="00F24CC8">
          <w:rPr>
            <w:rStyle w:val="Hyperlink"/>
            <w:color w:val="69557F"/>
            <w:u w:val="none"/>
          </w:rPr>
          <w:t>Table 3.14. Long-term report</w:t>
        </w:r>
        <w:r w:rsidR="009820E7" w:rsidRPr="00F24CC8">
          <w:rPr>
            <w:rStyle w:val="Hyperlink"/>
            <w:webHidden/>
            <w:color w:val="69557F"/>
            <w:u w:val="none"/>
          </w:rPr>
          <w:tab/>
        </w:r>
        <w:r w:rsidR="00995BBF" w:rsidRPr="00F24CC8">
          <w:rPr>
            <w:rStyle w:val="Hyperlink"/>
            <w:webHidden/>
            <w:color w:val="69557F"/>
            <w:u w:val="none"/>
          </w:rPr>
          <w:t>133</w:t>
        </w:r>
      </w:hyperlink>
    </w:p>
    <w:p w14:paraId="0727096C" w14:textId="178DE320" w:rsidR="009820E7" w:rsidRPr="00F24CC8" w:rsidRDefault="00AC4DF7" w:rsidP="00F24CC8">
      <w:pPr>
        <w:pStyle w:val="TOC3"/>
        <w:ind w:left="720"/>
        <w:rPr>
          <w:rFonts w:eastAsiaTheme="minorEastAsia"/>
          <w:sz w:val="24"/>
          <w:szCs w:val="24"/>
          <w:lang w:val="en-SG" w:eastAsia="en-GB"/>
        </w:rPr>
      </w:pPr>
      <w:hyperlink w:anchor="_Table_4.1._Levels" w:history="1">
        <w:r w:rsidR="009820E7" w:rsidRPr="00F24CC8">
          <w:rPr>
            <w:rStyle w:val="Hyperlink"/>
            <w:color w:val="69557F"/>
            <w:u w:val="none"/>
          </w:rPr>
          <w:t xml:space="preserve">Table 4.1. </w:t>
        </w:r>
        <w:r w:rsidR="009820E7" w:rsidRPr="00F24CC8">
          <w:rPr>
            <w:rStyle w:val="Hyperlink"/>
            <w:color w:val="69557F"/>
            <w:u w:val="none"/>
            <w:lang w:val="en-ZA"/>
          </w:rPr>
          <w:t>Levels of data openness</w:t>
        </w:r>
        <w:r w:rsidR="009820E7" w:rsidRPr="00F24CC8">
          <w:rPr>
            <w:rStyle w:val="Hyperlink"/>
            <w:webHidden/>
            <w:color w:val="69557F"/>
            <w:u w:val="none"/>
          </w:rPr>
          <w:tab/>
        </w:r>
        <w:r w:rsidR="00995BBF" w:rsidRPr="00F24CC8">
          <w:rPr>
            <w:rStyle w:val="Hyperlink"/>
            <w:webHidden/>
            <w:color w:val="69557F"/>
            <w:u w:val="none"/>
          </w:rPr>
          <w:t>189</w:t>
        </w:r>
      </w:hyperlink>
    </w:p>
    <w:p w14:paraId="15263CE8" w14:textId="7FA139D7" w:rsidR="009820E7" w:rsidRPr="005201E1" w:rsidRDefault="009820E7" w:rsidP="009820E7">
      <w:pPr>
        <w:rPr>
          <w:rFonts w:ascii="Arial" w:hAnsi="Arial" w:cs="Arial"/>
          <w:noProof/>
          <w:color w:val="68547E"/>
          <w:lang w:val="en-US"/>
        </w:rPr>
      </w:pPr>
    </w:p>
    <w:p w14:paraId="6734E37D" w14:textId="4932B435" w:rsidR="009820E7" w:rsidRPr="005201E1" w:rsidRDefault="009820E7" w:rsidP="009820E7">
      <w:pPr>
        <w:rPr>
          <w:rFonts w:ascii="Arial" w:hAnsi="Arial" w:cs="Arial"/>
          <w:b/>
          <w:bCs/>
          <w:noProof/>
          <w:color w:val="F16D24"/>
          <w:sz w:val="20"/>
          <w:szCs w:val="20"/>
          <w:lang w:val="en-US"/>
        </w:rPr>
      </w:pPr>
      <w:r w:rsidRPr="005201E1">
        <w:rPr>
          <w:rFonts w:ascii="Arial" w:hAnsi="Arial" w:cs="Arial"/>
          <w:b/>
          <w:bCs/>
          <w:noProof/>
          <w:color w:val="F16D24"/>
          <w:sz w:val="20"/>
          <w:szCs w:val="20"/>
          <w:lang w:val="en-US"/>
        </w:rPr>
        <w:t>List of Figures</w:t>
      </w:r>
    </w:p>
    <w:p w14:paraId="2F574934" w14:textId="06F765FA" w:rsidR="009820E7" w:rsidRPr="00F24CC8" w:rsidRDefault="00AC4DF7" w:rsidP="00F24CC8">
      <w:pPr>
        <w:pStyle w:val="TOC3"/>
        <w:ind w:left="720"/>
        <w:rPr>
          <w:rFonts w:eastAsiaTheme="minorEastAsia"/>
          <w:sz w:val="24"/>
          <w:szCs w:val="24"/>
          <w:lang w:val="en-SG" w:eastAsia="en-GB"/>
        </w:rPr>
      </w:pPr>
      <w:hyperlink w:anchor="_Figure_1.1._Fiscal" w:history="1">
        <w:r w:rsidR="009820E7" w:rsidRPr="00F24CC8">
          <w:rPr>
            <w:rStyle w:val="Hyperlink"/>
            <w:color w:val="69557F"/>
            <w:u w:val="none"/>
          </w:rPr>
          <w:t>Figure 1.1. Fiscal policy cycle</w:t>
        </w:r>
        <w:r w:rsidR="009820E7" w:rsidRPr="00F24CC8">
          <w:rPr>
            <w:rStyle w:val="Hyperlink"/>
            <w:webHidden/>
            <w:color w:val="69557F"/>
            <w:u w:val="none"/>
          </w:rPr>
          <w:tab/>
        </w:r>
        <w:r w:rsidR="00995BBF" w:rsidRPr="00F24CC8">
          <w:rPr>
            <w:rStyle w:val="Hyperlink"/>
            <w:webHidden/>
            <w:color w:val="69557F"/>
            <w:u w:val="none"/>
          </w:rPr>
          <w:t>12</w:t>
        </w:r>
      </w:hyperlink>
    </w:p>
    <w:p w14:paraId="1162EB2A" w14:textId="2AC7D3B4" w:rsidR="009820E7" w:rsidRPr="00F24CC8" w:rsidRDefault="00AC4DF7" w:rsidP="00F24CC8">
      <w:pPr>
        <w:pStyle w:val="TOC3"/>
        <w:ind w:left="720"/>
        <w:rPr>
          <w:rFonts w:eastAsiaTheme="minorEastAsia"/>
          <w:sz w:val="24"/>
          <w:szCs w:val="24"/>
          <w:lang w:val="en-SG" w:eastAsia="en-GB"/>
        </w:rPr>
      </w:pPr>
      <w:hyperlink w:anchor="_Figure_1.2._Theory" w:history="1">
        <w:r w:rsidR="009820E7" w:rsidRPr="00F24CC8">
          <w:rPr>
            <w:rStyle w:val="Hyperlink"/>
            <w:color w:val="69557F"/>
            <w:u w:val="none"/>
          </w:rPr>
          <w:t>Figure 1.2. Theory of change: From fiscal transparency to policy impact</w:t>
        </w:r>
        <w:r w:rsidR="009820E7" w:rsidRPr="00F24CC8">
          <w:rPr>
            <w:rStyle w:val="Hyperlink"/>
            <w:webHidden/>
            <w:color w:val="69557F"/>
            <w:u w:val="none"/>
          </w:rPr>
          <w:tab/>
        </w:r>
        <w:r w:rsidR="00995BBF" w:rsidRPr="00F24CC8">
          <w:rPr>
            <w:rStyle w:val="Hyperlink"/>
            <w:webHidden/>
            <w:color w:val="69557F"/>
            <w:u w:val="none"/>
          </w:rPr>
          <w:t>16</w:t>
        </w:r>
      </w:hyperlink>
    </w:p>
    <w:p w14:paraId="4091C087" w14:textId="3A24E48F" w:rsidR="009820E7" w:rsidRPr="00F24CC8" w:rsidRDefault="00AC4DF7" w:rsidP="00F24CC8">
      <w:pPr>
        <w:pStyle w:val="TOC3"/>
        <w:ind w:left="720"/>
        <w:rPr>
          <w:rFonts w:eastAsiaTheme="minorEastAsia"/>
          <w:sz w:val="24"/>
          <w:szCs w:val="24"/>
          <w:lang w:val="en-SG" w:eastAsia="en-GB"/>
        </w:rPr>
      </w:pPr>
      <w:hyperlink w:anchor="_Figure_2.1._GIFT" w:history="1">
        <w:r w:rsidR="009820E7" w:rsidRPr="00F24CC8">
          <w:rPr>
            <w:rStyle w:val="Hyperlink"/>
            <w:color w:val="69557F"/>
            <w:u w:val="none"/>
          </w:rPr>
          <w:t>Figure 2.1. GIFT Principles of Public Participation in Fiscal Policies</w:t>
        </w:r>
        <w:r w:rsidR="009820E7" w:rsidRPr="00F24CC8">
          <w:rPr>
            <w:rStyle w:val="Hyperlink"/>
            <w:webHidden/>
            <w:color w:val="69557F"/>
            <w:u w:val="none"/>
          </w:rPr>
          <w:tab/>
        </w:r>
        <w:r w:rsidR="00995BBF" w:rsidRPr="00F24CC8">
          <w:rPr>
            <w:rStyle w:val="Hyperlink"/>
            <w:webHidden/>
            <w:color w:val="69557F"/>
            <w:u w:val="none"/>
          </w:rPr>
          <w:t>88</w:t>
        </w:r>
      </w:hyperlink>
    </w:p>
    <w:p w14:paraId="6C57D3E6" w14:textId="4DDB0B15" w:rsidR="009820E7" w:rsidRPr="00F24CC8" w:rsidRDefault="00AC4DF7" w:rsidP="00F24CC8">
      <w:pPr>
        <w:pStyle w:val="TOC3"/>
        <w:ind w:left="720"/>
        <w:rPr>
          <w:rFonts w:eastAsiaTheme="minorEastAsia"/>
          <w:sz w:val="24"/>
          <w:szCs w:val="24"/>
          <w:lang w:val="en-SG" w:eastAsia="en-GB"/>
        </w:rPr>
      </w:pPr>
      <w:hyperlink w:anchor="_Figure_3.1._The" w:history="1">
        <w:r w:rsidR="009820E7" w:rsidRPr="00F24CC8">
          <w:rPr>
            <w:rStyle w:val="Hyperlink"/>
            <w:color w:val="69557F"/>
            <w:u w:val="none"/>
          </w:rPr>
          <w:t>Figure 3.1. The public sector</w:t>
        </w:r>
        <w:r w:rsidR="009820E7" w:rsidRPr="00F24CC8">
          <w:rPr>
            <w:rStyle w:val="Hyperlink"/>
            <w:webHidden/>
            <w:color w:val="69557F"/>
            <w:u w:val="none"/>
          </w:rPr>
          <w:tab/>
        </w:r>
        <w:r w:rsidR="00995BBF" w:rsidRPr="00F24CC8">
          <w:rPr>
            <w:rStyle w:val="Hyperlink"/>
            <w:webHidden/>
            <w:color w:val="69557F"/>
            <w:u w:val="none"/>
          </w:rPr>
          <w:t>110</w:t>
        </w:r>
      </w:hyperlink>
    </w:p>
    <w:p w14:paraId="5C5AA3CF" w14:textId="370783D7" w:rsidR="009820E7" w:rsidRPr="00F24CC8" w:rsidRDefault="00AC4DF7" w:rsidP="00F24CC8">
      <w:pPr>
        <w:pStyle w:val="TOC3"/>
        <w:ind w:left="720"/>
        <w:rPr>
          <w:rFonts w:eastAsiaTheme="minorEastAsia"/>
          <w:sz w:val="24"/>
          <w:szCs w:val="24"/>
          <w:lang w:val="en-SG" w:eastAsia="en-GB"/>
        </w:rPr>
      </w:pPr>
      <w:hyperlink w:anchor="_Figure_3.2._Open" w:history="1">
        <w:r w:rsidR="009820E7" w:rsidRPr="00F24CC8">
          <w:rPr>
            <w:rStyle w:val="Hyperlink"/>
            <w:color w:val="69557F"/>
            <w:u w:val="none"/>
          </w:rPr>
          <w:t>Figure 3.2. Open data</w:t>
        </w:r>
        <w:r w:rsidR="009820E7" w:rsidRPr="00F24CC8">
          <w:rPr>
            <w:rStyle w:val="Hyperlink"/>
            <w:webHidden/>
            <w:color w:val="69557F"/>
            <w:u w:val="none"/>
          </w:rPr>
          <w:tab/>
        </w:r>
        <w:r w:rsidR="00995BBF" w:rsidRPr="00F24CC8">
          <w:rPr>
            <w:rStyle w:val="Hyperlink"/>
            <w:webHidden/>
            <w:color w:val="69557F"/>
            <w:u w:val="none"/>
          </w:rPr>
          <w:t>138</w:t>
        </w:r>
      </w:hyperlink>
    </w:p>
    <w:p w14:paraId="0BC3CDB7" w14:textId="10BA2F66" w:rsidR="009820E7" w:rsidRPr="00F24CC8" w:rsidRDefault="00AC4DF7" w:rsidP="00F24CC8">
      <w:pPr>
        <w:pStyle w:val="TOC3"/>
        <w:ind w:left="720"/>
        <w:rPr>
          <w:rFonts w:eastAsiaTheme="minorEastAsia"/>
          <w:sz w:val="24"/>
          <w:szCs w:val="24"/>
          <w:lang w:val="en-SG" w:eastAsia="en-GB"/>
        </w:rPr>
      </w:pPr>
      <w:hyperlink w:anchor="_Figure_3.3._Reasons" w:history="1">
        <w:r w:rsidR="009820E7" w:rsidRPr="00F24CC8">
          <w:rPr>
            <w:rStyle w:val="Hyperlink"/>
            <w:color w:val="69557F"/>
            <w:u w:val="none"/>
          </w:rPr>
          <w:t>Figure 3.3. Reasons taxes are imposed</w:t>
        </w:r>
        <w:r w:rsidR="009820E7" w:rsidRPr="00F24CC8">
          <w:rPr>
            <w:rStyle w:val="Hyperlink"/>
            <w:webHidden/>
            <w:color w:val="69557F"/>
            <w:u w:val="none"/>
          </w:rPr>
          <w:tab/>
        </w:r>
        <w:r w:rsidR="00995BBF" w:rsidRPr="00F24CC8">
          <w:rPr>
            <w:rStyle w:val="Hyperlink"/>
            <w:webHidden/>
            <w:color w:val="69557F"/>
            <w:u w:val="none"/>
          </w:rPr>
          <w:t>141</w:t>
        </w:r>
      </w:hyperlink>
    </w:p>
    <w:p w14:paraId="566B1079" w14:textId="296A932F" w:rsidR="005201E1" w:rsidRPr="00F24CC8" w:rsidRDefault="00AC4DF7" w:rsidP="00F24CC8">
      <w:pPr>
        <w:pStyle w:val="TOC3"/>
        <w:ind w:left="720"/>
        <w:rPr>
          <w:rFonts w:eastAsiaTheme="minorEastAsia"/>
          <w:sz w:val="24"/>
          <w:szCs w:val="24"/>
          <w:lang w:val="en-SG" w:eastAsia="en-GB"/>
        </w:rPr>
      </w:pPr>
      <w:hyperlink w:anchor="_Figure_3.4._GIFT" w:history="1">
        <w:r w:rsidR="005201E1" w:rsidRPr="00F24CC8">
          <w:rPr>
            <w:rStyle w:val="Hyperlink"/>
            <w:color w:val="69557F"/>
            <w:u w:val="none"/>
          </w:rPr>
          <w:t>Figure 3.4. GIFT Transparency Principles for Tax Policy and Administration</w:t>
        </w:r>
        <w:r w:rsidR="005201E1" w:rsidRPr="00F24CC8">
          <w:rPr>
            <w:rStyle w:val="Hyperlink"/>
            <w:webHidden/>
            <w:color w:val="69557F"/>
            <w:u w:val="none"/>
          </w:rPr>
          <w:tab/>
        </w:r>
        <w:r w:rsidR="00995BBF" w:rsidRPr="00F24CC8">
          <w:rPr>
            <w:rStyle w:val="Hyperlink"/>
            <w:webHidden/>
            <w:color w:val="69557F"/>
            <w:u w:val="none"/>
          </w:rPr>
          <w:t>148</w:t>
        </w:r>
      </w:hyperlink>
    </w:p>
    <w:p w14:paraId="66EF72DB" w14:textId="42A78E73" w:rsidR="005201E1" w:rsidRPr="00F24CC8" w:rsidRDefault="00AC4DF7" w:rsidP="00F24CC8">
      <w:pPr>
        <w:pStyle w:val="TOC3"/>
        <w:ind w:left="720"/>
        <w:rPr>
          <w:rFonts w:eastAsiaTheme="minorEastAsia"/>
          <w:sz w:val="24"/>
          <w:szCs w:val="24"/>
          <w:lang w:val="en-SG" w:eastAsia="en-GB"/>
        </w:rPr>
      </w:pPr>
      <w:hyperlink w:anchor="_Figure_3.5._OECD" w:history="1">
        <w:r w:rsidR="005201E1" w:rsidRPr="00F24CC8">
          <w:rPr>
            <w:rStyle w:val="Hyperlink"/>
            <w:color w:val="69557F"/>
            <w:u w:val="none"/>
          </w:rPr>
          <w:t>Figure 3.5. OECD principles of Budgetary Governance</w:t>
        </w:r>
        <w:r w:rsidR="005201E1" w:rsidRPr="00F24CC8">
          <w:rPr>
            <w:rStyle w:val="Hyperlink"/>
            <w:webHidden/>
            <w:color w:val="69557F"/>
            <w:u w:val="none"/>
          </w:rPr>
          <w:tab/>
        </w:r>
        <w:r w:rsidR="00995BBF" w:rsidRPr="00F24CC8">
          <w:rPr>
            <w:rStyle w:val="Hyperlink"/>
            <w:webHidden/>
            <w:color w:val="69557F"/>
            <w:u w:val="none"/>
          </w:rPr>
          <w:t>158</w:t>
        </w:r>
      </w:hyperlink>
    </w:p>
    <w:p w14:paraId="6BA6E00C" w14:textId="358D02F9" w:rsidR="005201E1" w:rsidRPr="00F24CC8" w:rsidRDefault="00AC4DF7" w:rsidP="00F24CC8">
      <w:pPr>
        <w:pStyle w:val="TOC3"/>
        <w:ind w:left="720"/>
        <w:rPr>
          <w:rFonts w:eastAsiaTheme="minorEastAsia"/>
          <w:sz w:val="24"/>
          <w:szCs w:val="24"/>
          <w:lang w:val="en-SG" w:eastAsia="en-GB"/>
        </w:rPr>
      </w:pPr>
      <w:hyperlink w:anchor="_Figure_4.1._FMIS" w:history="1">
        <w:r w:rsidR="005201E1" w:rsidRPr="00F24CC8">
          <w:rPr>
            <w:rStyle w:val="Hyperlink"/>
            <w:color w:val="69557F"/>
            <w:u w:val="none"/>
          </w:rPr>
          <w:t>Figure 4.1. FMIS</w:t>
        </w:r>
        <w:r w:rsidR="005201E1" w:rsidRPr="00F24CC8">
          <w:rPr>
            <w:rStyle w:val="Hyperlink"/>
            <w:webHidden/>
            <w:color w:val="69557F"/>
            <w:u w:val="none"/>
          </w:rPr>
          <w:tab/>
        </w:r>
        <w:r w:rsidR="00995BBF" w:rsidRPr="00F24CC8">
          <w:rPr>
            <w:rStyle w:val="Hyperlink"/>
            <w:webHidden/>
            <w:color w:val="69557F"/>
            <w:u w:val="none"/>
          </w:rPr>
          <w:t>178</w:t>
        </w:r>
      </w:hyperlink>
    </w:p>
    <w:p w14:paraId="0A2EB9E3" w14:textId="0798EDCB" w:rsidR="005201E1" w:rsidRPr="00F24CC8" w:rsidRDefault="00AC4DF7" w:rsidP="00F24CC8">
      <w:pPr>
        <w:pStyle w:val="TOC3"/>
        <w:ind w:left="720"/>
        <w:rPr>
          <w:rFonts w:eastAsiaTheme="minorEastAsia"/>
          <w:sz w:val="24"/>
          <w:szCs w:val="24"/>
          <w:lang w:val="en-SG" w:eastAsia="en-GB"/>
        </w:rPr>
      </w:pPr>
      <w:hyperlink w:anchor="_Figure_4.2._Open" w:history="1">
        <w:r w:rsidR="005201E1" w:rsidRPr="00F24CC8">
          <w:rPr>
            <w:rStyle w:val="Hyperlink"/>
            <w:color w:val="69557F"/>
            <w:u w:val="none"/>
          </w:rPr>
          <w:t>Figure 4.2. Open data</w:t>
        </w:r>
        <w:r w:rsidR="005201E1" w:rsidRPr="00F24CC8">
          <w:rPr>
            <w:rStyle w:val="Hyperlink"/>
            <w:webHidden/>
            <w:color w:val="69557F"/>
            <w:u w:val="none"/>
          </w:rPr>
          <w:tab/>
        </w:r>
        <w:r w:rsidR="00995BBF" w:rsidRPr="00F24CC8">
          <w:rPr>
            <w:rStyle w:val="Hyperlink"/>
            <w:webHidden/>
            <w:color w:val="69557F"/>
            <w:u w:val="none"/>
          </w:rPr>
          <w:t>186</w:t>
        </w:r>
      </w:hyperlink>
    </w:p>
    <w:p w14:paraId="3D9DE440" w14:textId="14F957B2" w:rsidR="005201E1" w:rsidRPr="00F24CC8" w:rsidRDefault="00AC4DF7" w:rsidP="00F24CC8">
      <w:pPr>
        <w:pStyle w:val="TOC3"/>
        <w:ind w:left="720"/>
        <w:rPr>
          <w:rFonts w:eastAsiaTheme="minorEastAsia"/>
          <w:sz w:val="24"/>
          <w:szCs w:val="24"/>
          <w:lang w:val="en-SG" w:eastAsia="en-GB"/>
        </w:rPr>
      </w:pPr>
      <w:hyperlink w:anchor="_Figure_4.3._Benefits" w:history="1">
        <w:r w:rsidR="005201E1" w:rsidRPr="00F24CC8">
          <w:rPr>
            <w:rStyle w:val="Hyperlink"/>
            <w:color w:val="69557F"/>
            <w:u w:val="none"/>
          </w:rPr>
          <w:t>Figure 4.3. Benefits of Open data</w:t>
        </w:r>
        <w:r w:rsidR="005201E1" w:rsidRPr="00F24CC8">
          <w:rPr>
            <w:rStyle w:val="Hyperlink"/>
            <w:webHidden/>
            <w:color w:val="69557F"/>
            <w:u w:val="none"/>
          </w:rPr>
          <w:tab/>
        </w:r>
        <w:r w:rsidR="00995BBF" w:rsidRPr="00F24CC8">
          <w:rPr>
            <w:rStyle w:val="Hyperlink"/>
            <w:webHidden/>
            <w:color w:val="69557F"/>
            <w:u w:val="none"/>
          </w:rPr>
          <w:t>191</w:t>
        </w:r>
      </w:hyperlink>
    </w:p>
    <w:p w14:paraId="53A887C7" w14:textId="4EC62C1A" w:rsidR="005201E1" w:rsidRPr="00F24CC8" w:rsidRDefault="00AC4DF7" w:rsidP="00F24CC8">
      <w:pPr>
        <w:pStyle w:val="TOC3"/>
        <w:ind w:left="720"/>
        <w:rPr>
          <w:rFonts w:eastAsiaTheme="minorEastAsia"/>
          <w:sz w:val="24"/>
          <w:szCs w:val="24"/>
          <w:lang w:val="en-SG" w:eastAsia="en-GB"/>
        </w:rPr>
      </w:pPr>
      <w:hyperlink w:anchor="_Figure_5.1._Stages" w:history="1">
        <w:r w:rsidR="005201E1" w:rsidRPr="00F24CC8">
          <w:rPr>
            <w:rStyle w:val="Hyperlink"/>
            <w:color w:val="69557F"/>
            <w:u w:val="none"/>
          </w:rPr>
          <w:t>Figure 5.1. Stages of PFM reform</w:t>
        </w:r>
        <w:r w:rsidR="005201E1" w:rsidRPr="00F24CC8">
          <w:rPr>
            <w:rStyle w:val="Hyperlink"/>
            <w:webHidden/>
            <w:color w:val="69557F"/>
            <w:u w:val="none"/>
          </w:rPr>
          <w:tab/>
        </w:r>
        <w:r w:rsidR="00995BBF" w:rsidRPr="00F24CC8">
          <w:rPr>
            <w:rStyle w:val="Hyperlink"/>
            <w:webHidden/>
            <w:color w:val="69557F"/>
            <w:u w:val="none"/>
          </w:rPr>
          <w:t>216</w:t>
        </w:r>
      </w:hyperlink>
    </w:p>
    <w:p w14:paraId="39382C06" w14:textId="036DCCDD" w:rsidR="009820E7" w:rsidRPr="005201E1" w:rsidRDefault="009820E7" w:rsidP="005201E1">
      <w:pPr>
        <w:rPr>
          <w:rFonts w:ascii="Arial" w:hAnsi="Arial" w:cs="Arial"/>
          <w:noProof/>
          <w:lang w:val="en-US"/>
        </w:rPr>
      </w:pPr>
    </w:p>
    <w:p w14:paraId="2658FF85" w14:textId="48056684" w:rsidR="005201E1" w:rsidRPr="005201E1" w:rsidRDefault="005201E1" w:rsidP="009820E7">
      <w:pPr>
        <w:rPr>
          <w:rFonts w:ascii="Arial" w:hAnsi="Arial" w:cs="Arial"/>
          <w:b/>
          <w:bCs/>
          <w:noProof/>
          <w:color w:val="F16D24"/>
          <w:sz w:val="20"/>
          <w:szCs w:val="20"/>
          <w:lang w:val="en-US"/>
        </w:rPr>
      </w:pPr>
      <w:r w:rsidRPr="005201E1">
        <w:rPr>
          <w:rFonts w:ascii="Arial" w:hAnsi="Arial" w:cs="Arial"/>
          <w:b/>
          <w:bCs/>
          <w:noProof/>
          <w:color w:val="F16D24"/>
          <w:sz w:val="20"/>
          <w:szCs w:val="20"/>
          <w:lang w:val="en-US"/>
        </w:rPr>
        <w:t>List of Boxes</w:t>
      </w:r>
    </w:p>
    <w:p w14:paraId="232D5B17" w14:textId="2F943374" w:rsidR="005201E1" w:rsidRPr="00F24CC8" w:rsidRDefault="00AC4DF7" w:rsidP="00F24CC8">
      <w:pPr>
        <w:pStyle w:val="TOC3"/>
        <w:ind w:left="720"/>
        <w:rPr>
          <w:rStyle w:val="Hyperlink"/>
          <w:color w:val="69557F"/>
          <w:u w:val="none"/>
        </w:rPr>
      </w:pPr>
      <w:hyperlink w:anchor="_Box_1.1._A" w:history="1">
        <w:r w:rsidR="005201E1" w:rsidRPr="00F24CC8">
          <w:rPr>
            <w:rStyle w:val="Hyperlink"/>
            <w:color w:val="69557F"/>
            <w:u w:val="none"/>
          </w:rPr>
          <w:t>Box 1.1. A summary of GIFT’s 10 high-level principles</w:t>
        </w:r>
        <w:r w:rsidR="005201E1" w:rsidRPr="00F24CC8">
          <w:rPr>
            <w:rStyle w:val="Hyperlink"/>
            <w:webHidden/>
            <w:color w:val="69557F"/>
            <w:u w:val="none"/>
          </w:rPr>
          <w:tab/>
        </w:r>
        <w:r w:rsidR="00995BBF" w:rsidRPr="00F24CC8">
          <w:rPr>
            <w:rStyle w:val="Hyperlink"/>
            <w:webHidden/>
            <w:color w:val="69557F"/>
            <w:u w:val="none"/>
          </w:rPr>
          <w:t>28</w:t>
        </w:r>
      </w:hyperlink>
    </w:p>
    <w:p w14:paraId="482B6767" w14:textId="6765FCC8" w:rsidR="005201E1" w:rsidRPr="00F24CC8" w:rsidRDefault="00AC4DF7" w:rsidP="00F24CC8">
      <w:pPr>
        <w:pStyle w:val="TOC3"/>
        <w:ind w:left="720"/>
        <w:rPr>
          <w:rFonts w:eastAsiaTheme="minorEastAsia"/>
          <w:sz w:val="24"/>
          <w:szCs w:val="24"/>
          <w:lang w:val="en-SG" w:eastAsia="en-GB"/>
        </w:rPr>
      </w:pPr>
      <w:hyperlink w:anchor="_Box_2.1._Independent" w:history="1">
        <w:r w:rsidR="005201E1" w:rsidRPr="00F24CC8">
          <w:rPr>
            <w:rStyle w:val="Hyperlink"/>
            <w:color w:val="69557F"/>
            <w:u w:val="none"/>
          </w:rPr>
          <w:t>Box 2.1. Independent fiscal institutions</w:t>
        </w:r>
        <w:r w:rsidR="005201E1" w:rsidRPr="00F24CC8">
          <w:rPr>
            <w:rStyle w:val="Hyperlink"/>
            <w:webHidden/>
            <w:color w:val="69557F"/>
            <w:u w:val="none"/>
          </w:rPr>
          <w:tab/>
        </w:r>
        <w:r w:rsidR="00995BBF" w:rsidRPr="00F24CC8">
          <w:rPr>
            <w:rStyle w:val="Hyperlink"/>
            <w:webHidden/>
            <w:color w:val="69557F"/>
            <w:u w:val="none"/>
          </w:rPr>
          <w:t>70</w:t>
        </w:r>
      </w:hyperlink>
    </w:p>
    <w:p w14:paraId="442AB6BB" w14:textId="7E751AF2" w:rsidR="005201E1" w:rsidRPr="00F24CC8" w:rsidRDefault="00AC4DF7" w:rsidP="00F24CC8">
      <w:pPr>
        <w:pStyle w:val="TOC3"/>
        <w:ind w:left="720"/>
        <w:rPr>
          <w:rFonts w:eastAsiaTheme="minorEastAsia"/>
          <w:sz w:val="24"/>
          <w:szCs w:val="24"/>
          <w:lang w:val="en-SG" w:eastAsia="en-GB"/>
        </w:rPr>
      </w:pPr>
      <w:hyperlink w:anchor="_Box_2.2._Peer" w:history="1">
        <w:r w:rsidR="005201E1" w:rsidRPr="00F24CC8">
          <w:rPr>
            <w:rStyle w:val="Hyperlink"/>
            <w:color w:val="69557F"/>
            <w:u w:val="none"/>
          </w:rPr>
          <w:t>Box 2.2. Peer learning</w:t>
        </w:r>
        <w:r w:rsidR="005201E1" w:rsidRPr="00F24CC8">
          <w:rPr>
            <w:rStyle w:val="Hyperlink"/>
            <w:webHidden/>
            <w:color w:val="69557F"/>
            <w:u w:val="none"/>
          </w:rPr>
          <w:tab/>
        </w:r>
        <w:r w:rsidR="00995BBF" w:rsidRPr="00F24CC8">
          <w:rPr>
            <w:rStyle w:val="Hyperlink"/>
            <w:webHidden/>
            <w:color w:val="69557F"/>
            <w:u w:val="none"/>
          </w:rPr>
          <w:t>71</w:t>
        </w:r>
      </w:hyperlink>
    </w:p>
    <w:p w14:paraId="0A620E3D" w14:textId="10BCD421" w:rsidR="005201E1" w:rsidRPr="00F24CC8" w:rsidRDefault="00AC4DF7" w:rsidP="00F24CC8">
      <w:pPr>
        <w:pStyle w:val="TOC3"/>
        <w:ind w:left="720"/>
        <w:rPr>
          <w:rFonts w:eastAsiaTheme="minorEastAsia"/>
          <w:sz w:val="24"/>
          <w:szCs w:val="24"/>
          <w:lang w:val="en-SG" w:eastAsia="en-GB"/>
        </w:rPr>
      </w:pPr>
      <w:hyperlink w:anchor="_Box_2.3._The" w:history="1">
        <w:r w:rsidR="005201E1" w:rsidRPr="00F24CC8">
          <w:rPr>
            <w:rStyle w:val="Hyperlink"/>
            <w:color w:val="69557F"/>
            <w:u w:val="none"/>
          </w:rPr>
          <w:t>Box 2.3. The Fiscal Openness Accelerator (FOA) Project</w:t>
        </w:r>
        <w:r w:rsidR="005201E1" w:rsidRPr="00F24CC8">
          <w:rPr>
            <w:rStyle w:val="Hyperlink"/>
            <w:webHidden/>
            <w:color w:val="69557F"/>
            <w:u w:val="none"/>
          </w:rPr>
          <w:tab/>
        </w:r>
        <w:r w:rsidR="00995BBF" w:rsidRPr="00F24CC8">
          <w:rPr>
            <w:rStyle w:val="Hyperlink"/>
            <w:webHidden/>
            <w:color w:val="69557F"/>
            <w:u w:val="none"/>
          </w:rPr>
          <w:t>85</w:t>
        </w:r>
      </w:hyperlink>
    </w:p>
    <w:p w14:paraId="6EC8E863" w14:textId="0E7C12FA" w:rsidR="005201E1" w:rsidRPr="00F24CC8" w:rsidRDefault="00AC4DF7" w:rsidP="00F24CC8">
      <w:pPr>
        <w:pStyle w:val="TOC3"/>
        <w:ind w:left="720"/>
        <w:rPr>
          <w:rFonts w:eastAsiaTheme="minorEastAsia"/>
          <w:sz w:val="24"/>
          <w:szCs w:val="24"/>
          <w:lang w:val="en-SG" w:eastAsia="en-GB"/>
        </w:rPr>
      </w:pPr>
      <w:hyperlink w:anchor="_Box_2.4._Norms" w:history="1">
        <w:r w:rsidR="005201E1" w:rsidRPr="00F24CC8">
          <w:rPr>
            <w:rStyle w:val="Hyperlink"/>
            <w:color w:val="69557F"/>
            <w:u w:val="none"/>
          </w:rPr>
          <w:t>Box 2.4. Norms and standards on public participation pertaining to specific actors/sectors</w:t>
        </w:r>
        <w:r w:rsidR="005201E1" w:rsidRPr="00F24CC8">
          <w:rPr>
            <w:rStyle w:val="Hyperlink"/>
            <w:webHidden/>
            <w:color w:val="69557F"/>
            <w:u w:val="none"/>
          </w:rPr>
          <w:tab/>
        </w:r>
        <w:r w:rsidR="00995BBF" w:rsidRPr="00F24CC8">
          <w:rPr>
            <w:rStyle w:val="Hyperlink"/>
            <w:webHidden/>
            <w:color w:val="69557F"/>
            <w:u w:val="none"/>
          </w:rPr>
          <w:t>89</w:t>
        </w:r>
      </w:hyperlink>
    </w:p>
    <w:p w14:paraId="7D648481" w14:textId="5245A09E" w:rsidR="005201E1" w:rsidRPr="00F24CC8" w:rsidRDefault="00AC4DF7" w:rsidP="00F24CC8">
      <w:pPr>
        <w:pStyle w:val="TOC3"/>
        <w:ind w:left="720"/>
        <w:rPr>
          <w:rStyle w:val="Hyperlink"/>
          <w:color w:val="69557F"/>
          <w:u w:val="none"/>
        </w:rPr>
      </w:pPr>
      <w:hyperlink w:anchor="_Box_3.1._Tax" w:history="1">
        <w:r w:rsidR="005201E1" w:rsidRPr="00F24CC8">
          <w:rPr>
            <w:rStyle w:val="Hyperlink"/>
            <w:color w:val="69557F"/>
            <w:u w:val="none"/>
          </w:rPr>
          <w:t>Box 3.1. Tax gaps</w:t>
        </w:r>
        <w:r w:rsidR="005201E1" w:rsidRPr="00F24CC8">
          <w:rPr>
            <w:rStyle w:val="Hyperlink"/>
            <w:webHidden/>
            <w:color w:val="69557F"/>
            <w:u w:val="none"/>
          </w:rPr>
          <w:tab/>
        </w:r>
        <w:r w:rsidR="00995BBF" w:rsidRPr="00F24CC8">
          <w:rPr>
            <w:rStyle w:val="Hyperlink"/>
            <w:webHidden/>
            <w:color w:val="69557F"/>
            <w:u w:val="none"/>
          </w:rPr>
          <w:t>143</w:t>
        </w:r>
      </w:hyperlink>
    </w:p>
    <w:p w14:paraId="6285A592" w14:textId="6BB134AC" w:rsidR="005201E1" w:rsidRPr="00F24CC8" w:rsidRDefault="00AC4DF7" w:rsidP="00F24CC8">
      <w:pPr>
        <w:pStyle w:val="TOC3"/>
        <w:ind w:left="720"/>
        <w:rPr>
          <w:rFonts w:eastAsiaTheme="minorEastAsia"/>
          <w:sz w:val="24"/>
          <w:szCs w:val="24"/>
          <w:lang w:val="en-SG" w:eastAsia="en-GB"/>
        </w:rPr>
      </w:pPr>
      <w:hyperlink w:anchor="_Box_4.1._Open" w:history="1">
        <w:r w:rsidR="005201E1" w:rsidRPr="00F24CC8">
          <w:rPr>
            <w:rStyle w:val="Hyperlink"/>
            <w:color w:val="69557F"/>
            <w:u w:val="none"/>
          </w:rPr>
          <w:t>Box 4.1. Open data standards</w:t>
        </w:r>
        <w:r w:rsidR="005201E1" w:rsidRPr="00F24CC8">
          <w:rPr>
            <w:rStyle w:val="Hyperlink"/>
            <w:webHidden/>
            <w:color w:val="69557F"/>
            <w:u w:val="none"/>
          </w:rPr>
          <w:tab/>
        </w:r>
        <w:r w:rsidR="00995BBF" w:rsidRPr="00F24CC8">
          <w:rPr>
            <w:rStyle w:val="Hyperlink"/>
            <w:webHidden/>
            <w:color w:val="69557F"/>
            <w:u w:val="none"/>
          </w:rPr>
          <w:t>194</w:t>
        </w:r>
      </w:hyperlink>
    </w:p>
    <w:p w14:paraId="3C2DB28C" w14:textId="34D99B6D" w:rsidR="005201E1" w:rsidRPr="00F24CC8" w:rsidRDefault="00AC4DF7" w:rsidP="00F24CC8">
      <w:pPr>
        <w:pStyle w:val="TOC3"/>
        <w:ind w:left="720"/>
        <w:rPr>
          <w:rFonts w:eastAsiaTheme="minorEastAsia"/>
          <w:sz w:val="24"/>
          <w:szCs w:val="24"/>
          <w:lang w:val="en-SG" w:eastAsia="en-GB"/>
        </w:rPr>
      </w:pPr>
      <w:hyperlink w:anchor="_Box_4.2._Open" w:history="1">
        <w:r w:rsidR="005201E1" w:rsidRPr="00F24CC8">
          <w:rPr>
            <w:rStyle w:val="Hyperlink"/>
            <w:color w:val="69557F"/>
            <w:u w:val="none"/>
          </w:rPr>
          <w:t>Box 4.2. Open Government Data Toolkit</w:t>
        </w:r>
        <w:r w:rsidR="005201E1" w:rsidRPr="00F24CC8">
          <w:rPr>
            <w:rStyle w:val="Hyperlink"/>
            <w:webHidden/>
            <w:color w:val="69557F"/>
            <w:u w:val="none"/>
          </w:rPr>
          <w:tab/>
        </w:r>
        <w:r w:rsidR="00995BBF" w:rsidRPr="00F24CC8">
          <w:rPr>
            <w:rStyle w:val="Hyperlink"/>
            <w:webHidden/>
            <w:color w:val="69557F"/>
            <w:u w:val="none"/>
          </w:rPr>
          <w:t>196</w:t>
        </w:r>
      </w:hyperlink>
    </w:p>
    <w:p w14:paraId="40277CE7" w14:textId="19820C67" w:rsidR="005201E1" w:rsidRPr="00F24CC8" w:rsidRDefault="00AC4DF7" w:rsidP="00F24CC8">
      <w:pPr>
        <w:pStyle w:val="TOC3"/>
        <w:ind w:left="720"/>
        <w:rPr>
          <w:rFonts w:eastAsiaTheme="minorEastAsia"/>
          <w:sz w:val="24"/>
          <w:szCs w:val="24"/>
          <w:lang w:val="en-SG" w:eastAsia="en-GB"/>
        </w:rPr>
      </w:pPr>
      <w:hyperlink w:anchor="_Box_4.3._Open" w:history="1">
        <w:r w:rsidR="005201E1" w:rsidRPr="00F24CC8">
          <w:rPr>
            <w:rStyle w:val="Hyperlink"/>
            <w:color w:val="69557F"/>
            <w:u w:val="none"/>
          </w:rPr>
          <w:t>Box 4.3. Open Data Tutorial</w:t>
        </w:r>
        <w:r w:rsidR="005201E1" w:rsidRPr="00F24CC8">
          <w:rPr>
            <w:rStyle w:val="Hyperlink"/>
            <w:webHidden/>
            <w:color w:val="69557F"/>
            <w:u w:val="none"/>
          </w:rPr>
          <w:tab/>
        </w:r>
        <w:r w:rsidR="00995BBF" w:rsidRPr="00F24CC8">
          <w:rPr>
            <w:rStyle w:val="Hyperlink"/>
            <w:webHidden/>
            <w:color w:val="69557F"/>
            <w:u w:val="none"/>
          </w:rPr>
          <w:t>198</w:t>
        </w:r>
      </w:hyperlink>
    </w:p>
    <w:p w14:paraId="45EF6DCE" w14:textId="06F4D09F" w:rsidR="005201E1" w:rsidRPr="00F24CC8" w:rsidRDefault="00AC4DF7" w:rsidP="00F24CC8">
      <w:pPr>
        <w:pStyle w:val="TOC3"/>
        <w:ind w:left="720"/>
        <w:rPr>
          <w:rFonts w:eastAsiaTheme="minorEastAsia"/>
          <w:sz w:val="24"/>
          <w:szCs w:val="24"/>
          <w:lang w:val="en-SG" w:eastAsia="en-GB"/>
        </w:rPr>
      </w:pPr>
      <w:hyperlink w:anchor="_Box_4.4._Fiscal" w:history="1">
        <w:r w:rsidR="005201E1" w:rsidRPr="00F24CC8">
          <w:rPr>
            <w:rStyle w:val="Hyperlink"/>
            <w:color w:val="69557F"/>
            <w:u w:val="none"/>
          </w:rPr>
          <w:t>Box 4.4. Fiscal transparency portals</w:t>
        </w:r>
        <w:r w:rsidR="005201E1" w:rsidRPr="00F24CC8">
          <w:rPr>
            <w:rStyle w:val="Hyperlink"/>
            <w:webHidden/>
            <w:color w:val="69557F"/>
            <w:u w:val="none"/>
          </w:rPr>
          <w:tab/>
        </w:r>
        <w:r w:rsidR="00995BBF" w:rsidRPr="00F24CC8">
          <w:rPr>
            <w:rStyle w:val="Hyperlink"/>
            <w:webHidden/>
            <w:color w:val="69557F"/>
            <w:u w:val="none"/>
          </w:rPr>
          <w:t>199</w:t>
        </w:r>
      </w:hyperlink>
    </w:p>
    <w:p w14:paraId="0D54410B" w14:textId="3AA6C4F3" w:rsidR="005201E1" w:rsidRPr="00F24CC8" w:rsidRDefault="00AC4DF7" w:rsidP="00F24CC8">
      <w:pPr>
        <w:pStyle w:val="TOC3"/>
        <w:ind w:left="720"/>
        <w:rPr>
          <w:rFonts w:eastAsiaTheme="minorEastAsia"/>
          <w:sz w:val="24"/>
          <w:szCs w:val="24"/>
          <w:lang w:val="en-SG" w:eastAsia="en-GB"/>
        </w:rPr>
      </w:pPr>
      <w:hyperlink w:anchor="_Box_4.5._User-centered" w:history="1">
        <w:r w:rsidR="005201E1" w:rsidRPr="00F24CC8">
          <w:rPr>
            <w:rStyle w:val="Hyperlink"/>
            <w:color w:val="69557F"/>
            <w:u w:val="none"/>
          </w:rPr>
          <w:t>Box 4.5. User-centered development</w:t>
        </w:r>
        <w:r w:rsidR="005201E1" w:rsidRPr="00F24CC8">
          <w:rPr>
            <w:rStyle w:val="Hyperlink"/>
            <w:webHidden/>
            <w:color w:val="69557F"/>
            <w:u w:val="none"/>
          </w:rPr>
          <w:tab/>
        </w:r>
        <w:r w:rsidR="00995BBF" w:rsidRPr="00F24CC8">
          <w:rPr>
            <w:rStyle w:val="Hyperlink"/>
            <w:webHidden/>
            <w:color w:val="69557F"/>
            <w:u w:val="none"/>
          </w:rPr>
          <w:t>201</w:t>
        </w:r>
      </w:hyperlink>
    </w:p>
    <w:p w14:paraId="550B01B2" w14:textId="27F203CB" w:rsidR="005201E1" w:rsidRPr="00F24CC8" w:rsidRDefault="005201E1" w:rsidP="009F1090">
      <w:pPr>
        <w:rPr>
          <w:rFonts w:ascii="Arial" w:hAnsi="Arial" w:cs="Arial"/>
          <w:color w:val="69557F"/>
          <w:sz w:val="44"/>
          <w:szCs w:val="44"/>
        </w:rPr>
      </w:pPr>
    </w:p>
    <w:p w14:paraId="7E75DC14" w14:textId="77777777" w:rsidR="009F1090" w:rsidRPr="00F24CC8" w:rsidRDefault="009F1090" w:rsidP="009F1090">
      <w:pPr>
        <w:rPr>
          <w:rFonts w:ascii="Arial" w:hAnsi="Arial" w:cs="Arial"/>
          <w:b/>
          <w:color w:val="69557F"/>
          <w:sz w:val="44"/>
          <w:szCs w:val="44"/>
        </w:rPr>
        <w:sectPr w:rsidR="009F1090" w:rsidRPr="00F24CC8" w:rsidSect="003625BA">
          <w:pgSz w:w="11906" w:h="16838"/>
          <w:pgMar w:top="1702" w:right="720" w:bottom="1098" w:left="720" w:header="709" w:footer="709" w:gutter="0"/>
          <w:pgNumType w:fmt="upperRoman" w:start="2"/>
          <w:cols w:space="708"/>
          <w:titlePg/>
          <w:docGrid w:linePitch="360"/>
        </w:sectPr>
      </w:pPr>
    </w:p>
    <w:p w14:paraId="41A24809" w14:textId="6B6EEA27" w:rsidR="006B05E4" w:rsidRDefault="0076503E" w:rsidP="00E77BA3">
      <w:pPr>
        <w:rPr>
          <w:rFonts w:eastAsia="Calibri" w:cs="Calibri"/>
          <w:color w:val="404040"/>
          <w:sz w:val="21"/>
          <w:lang w:val="en-US"/>
        </w:rPr>
      </w:pPr>
      <w:r>
        <w:rPr>
          <w:rFonts w:eastAsia="Calibri" w:cs="Calibri"/>
          <w:noProof/>
          <w:color w:val="404040"/>
          <w:sz w:val="21"/>
          <w:lang w:val="en-US"/>
        </w:rPr>
        <w:lastRenderedPageBreak/>
        <w:drawing>
          <wp:anchor distT="0" distB="0" distL="114300" distR="114300" simplePos="0" relativeHeight="251701248" behindDoc="1" locked="0" layoutInCell="1" allowOverlap="1" wp14:anchorId="3BF852F0" wp14:editId="450EEAF9">
            <wp:simplePos x="0" y="0"/>
            <wp:positionH relativeFrom="margin">
              <wp:posOffset>-504190</wp:posOffset>
            </wp:positionH>
            <wp:positionV relativeFrom="paragraph">
              <wp:posOffset>-457091</wp:posOffset>
            </wp:positionV>
            <wp:extent cx="7910944" cy="1749972"/>
            <wp:effectExtent l="0" t="0" r="1270" b="317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7910944" cy="1749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ED7D31" w:themeColor="accent2"/>
          <w:sz w:val="50"/>
          <w:szCs w:val="50"/>
          <w:lang w:val="en-US"/>
        </w:rPr>
        <mc:AlternateContent>
          <mc:Choice Requires="wps">
            <w:drawing>
              <wp:anchor distT="0" distB="0" distL="114300" distR="114300" simplePos="0" relativeHeight="251703296" behindDoc="0" locked="0" layoutInCell="1" allowOverlap="1" wp14:anchorId="41694FE9" wp14:editId="35A18C0C">
                <wp:simplePos x="0" y="0"/>
                <wp:positionH relativeFrom="column">
                  <wp:posOffset>1581785</wp:posOffset>
                </wp:positionH>
                <wp:positionV relativeFrom="paragraph">
                  <wp:posOffset>-8540</wp:posOffset>
                </wp:positionV>
                <wp:extent cx="4335145" cy="86614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335145" cy="866140"/>
                        </a:xfrm>
                        <a:prstGeom prst="rect">
                          <a:avLst/>
                        </a:prstGeom>
                        <a:noFill/>
                        <a:ln w="6350">
                          <a:noFill/>
                        </a:ln>
                      </wps:spPr>
                      <wps:txbx>
                        <w:txbxContent>
                          <w:p w14:paraId="7615CF33" w14:textId="773F77A2" w:rsidR="00D15FD8" w:rsidRPr="003543F3" w:rsidRDefault="00D15FD8" w:rsidP="003543F3">
                            <w:pPr>
                              <w:pStyle w:val="Heading1"/>
                              <w:rPr>
                                <w:rFonts w:ascii="Arial" w:hAnsi="Arial" w:cs="Arial"/>
                                <w:b/>
                                <w:bCs/>
                                <w:color w:val="FFFFFF" w:themeColor="background1"/>
                                <w:sz w:val="80"/>
                                <w:szCs w:val="80"/>
                                <w:lang w:val="en-US"/>
                              </w:rPr>
                            </w:pPr>
                            <w:bookmarkStart w:id="2" w:name="_PREFACE"/>
                            <w:bookmarkStart w:id="3" w:name="_Toc115369963"/>
                            <w:bookmarkStart w:id="4" w:name="_Toc115729038"/>
                            <w:bookmarkStart w:id="5" w:name="_Toc115877684"/>
                            <w:bookmarkStart w:id="6" w:name="_Toc116056968"/>
                            <w:bookmarkStart w:id="7" w:name="_Toc123828076"/>
                            <w:bookmarkStart w:id="8" w:name="_Toc123828286"/>
                            <w:bookmarkStart w:id="9" w:name="_Toc123828482"/>
                            <w:bookmarkStart w:id="10" w:name="_Toc123912509"/>
                            <w:bookmarkStart w:id="11" w:name="_Toc123912768"/>
                            <w:bookmarkStart w:id="12" w:name="_Toc123912995"/>
                            <w:bookmarkStart w:id="13" w:name="_Toc123913942"/>
                            <w:bookmarkStart w:id="14" w:name="_Toc125566561"/>
                            <w:bookmarkEnd w:id="2"/>
                            <w:r w:rsidRPr="003543F3">
                              <w:rPr>
                                <w:rFonts w:ascii="Arial" w:hAnsi="Arial" w:cs="Arial"/>
                                <w:b/>
                                <w:bCs/>
                                <w:color w:val="FFFFFF" w:themeColor="background1"/>
                                <w:sz w:val="80"/>
                                <w:szCs w:val="80"/>
                                <w:lang w:val="en-US"/>
                              </w:rPr>
                              <w:t>PREFACE</w:t>
                            </w:r>
                            <w:bookmarkEnd w:id="3"/>
                            <w:bookmarkEnd w:id="4"/>
                            <w:bookmarkEnd w:id="5"/>
                            <w:bookmarkEnd w:id="6"/>
                            <w:bookmarkEnd w:id="7"/>
                            <w:bookmarkEnd w:id="8"/>
                            <w:bookmarkEnd w:id="9"/>
                            <w:bookmarkEnd w:id="10"/>
                            <w:bookmarkEnd w:id="11"/>
                            <w:bookmarkEnd w:id="12"/>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694FE9" id="Text Box 32" o:spid="_x0000_s1028" type="#_x0000_t202" style="position:absolute;margin-left:124.55pt;margin-top:-.65pt;width:341.35pt;height:68.2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" filled="f" stroked="f" strokeweight=".5pt">
                <v:textbox>
                  <w:txbxContent>
                    <w:p w14:paraId="7615CF33" w14:textId="773F77A2" w:rsidR="00D15FD8" w:rsidRPr="003543F3" w:rsidRDefault="00D15FD8" w:rsidP="003543F3">
                      <w:pPr>
                        <w:pStyle w:val="Heading1"/>
                        <w:rPr>
                          <w:rFonts w:ascii="Arial" w:hAnsi="Arial" w:cs="Arial"/>
                          <w:b/>
                          <w:bCs/>
                          <w:color w:val="FFFFFF" w:themeColor="background1"/>
                          <w:sz w:val="80"/>
                          <w:szCs w:val="80"/>
                          <w:lang w:val="en-US"/>
                        </w:rPr>
                      </w:pPr>
                      <w:bookmarkStart w:id="15" w:name="_PREFACE"/>
                      <w:bookmarkStart w:id="16" w:name="_Toc115369963"/>
                      <w:bookmarkStart w:id="17" w:name="_Toc115729038"/>
                      <w:bookmarkStart w:id="18" w:name="_Toc115877684"/>
                      <w:bookmarkStart w:id="19" w:name="_Toc116056968"/>
                      <w:bookmarkStart w:id="20" w:name="_Toc123828076"/>
                      <w:bookmarkStart w:id="21" w:name="_Toc123828286"/>
                      <w:bookmarkStart w:id="22" w:name="_Toc123828482"/>
                      <w:bookmarkStart w:id="23" w:name="_Toc123912509"/>
                      <w:bookmarkStart w:id="24" w:name="_Toc123912768"/>
                      <w:bookmarkStart w:id="25" w:name="_Toc123912995"/>
                      <w:bookmarkStart w:id="26" w:name="_Toc123913942"/>
                      <w:bookmarkStart w:id="27" w:name="_Toc125566561"/>
                      <w:bookmarkEnd w:id="15"/>
                      <w:r w:rsidRPr="003543F3">
                        <w:rPr>
                          <w:rFonts w:ascii="Arial" w:hAnsi="Arial" w:cs="Arial"/>
                          <w:b/>
                          <w:bCs/>
                          <w:color w:val="FFFFFF" w:themeColor="background1"/>
                          <w:sz w:val="80"/>
                          <w:szCs w:val="80"/>
                          <w:lang w:val="en-US"/>
                        </w:rPr>
                        <w:t>PREFACE</w:t>
                      </w:r>
                      <w:bookmarkEnd w:id="16"/>
                      <w:bookmarkEnd w:id="17"/>
                      <w:bookmarkEnd w:id="18"/>
                      <w:bookmarkEnd w:id="19"/>
                      <w:bookmarkEnd w:id="20"/>
                      <w:bookmarkEnd w:id="21"/>
                      <w:bookmarkEnd w:id="22"/>
                      <w:bookmarkEnd w:id="23"/>
                      <w:bookmarkEnd w:id="24"/>
                      <w:bookmarkEnd w:id="25"/>
                      <w:bookmarkEnd w:id="26"/>
                      <w:bookmarkEnd w:id="27"/>
                    </w:p>
                  </w:txbxContent>
                </v:textbox>
              </v:shape>
            </w:pict>
          </mc:Fallback>
        </mc:AlternateContent>
      </w:r>
    </w:p>
    <w:p w14:paraId="4C8EB151" w14:textId="77777777" w:rsidR="00256ED6" w:rsidRDefault="00256ED6" w:rsidP="00E77BA3">
      <w:pPr>
        <w:rPr>
          <w:rFonts w:eastAsia="Calibri" w:cs="Calibri"/>
          <w:color w:val="404040"/>
          <w:lang w:val="en-US"/>
        </w:rPr>
      </w:pPr>
    </w:p>
    <w:p w14:paraId="68C492E8" w14:textId="77777777" w:rsidR="004A5199" w:rsidRDefault="004A5199" w:rsidP="00721D56">
      <w:pPr>
        <w:jc w:val="both"/>
        <w:rPr>
          <w:rFonts w:eastAsia="Calibri" w:cs="Calibri"/>
          <w:color w:val="404040"/>
          <w:sz w:val="21"/>
          <w:szCs w:val="21"/>
          <w:lang w:val="en-US"/>
        </w:rPr>
      </w:pPr>
    </w:p>
    <w:p w14:paraId="5F2BA553" w14:textId="77777777" w:rsidR="004A5199" w:rsidRDefault="004A5199" w:rsidP="00721D56">
      <w:pPr>
        <w:jc w:val="both"/>
        <w:rPr>
          <w:rFonts w:eastAsia="Calibri" w:cs="Calibri"/>
          <w:color w:val="404040"/>
          <w:sz w:val="21"/>
          <w:szCs w:val="21"/>
          <w:lang w:val="en-US"/>
        </w:rPr>
      </w:pPr>
    </w:p>
    <w:p w14:paraId="456FC45A" w14:textId="77777777" w:rsidR="004A5199" w:rsidRDefault="004A5199" w:rsidP="00721D56">
      <w:pPr>
        <w:jc w:val="both"/>
        <w:rPr>
          <w:rFonts w:eastAsia="Calibri" w:cs="Calibri"/>
          <w:color w:val="404040"/>
          <w:sz w:val="21"/>
          <w:szCs w:val="21"/>
          <w:lang w:val="en-US"/>
        </w:rPr>
      </w:pPr>
    </w:p>
    <w:p w14:paraId="238C1D2E" w14:textId="77777777" w:rsidR="004A5199" w:rsidRDefault="004A5199" w:rsidP="00721D56">
      <w:pPr>
        <w:jc w:val="both"/>
        <w:rPr>
          <w:rFonts w:eastAsia="Calibri" w:cs="Calibri"/>
          <w:color w:val="404040"/>
          <w:sz w:val="21"/>
          <w:szCs w:val="21"/>
          <w:lang w:val="en-US"/>
        </w:rPr>
      </w:pPr>
    </w:p>
    <w:p w14:paraId="5C1347B9" w14:textId="77777777" w:rsidR="004A5199" w:rsidRDefault="004A5199" w:rsidP="00721D56">
      <w:pPr>
        <w:jc w:val="both"/>
        <w:rPr>
          <w:rFonts w:eastAsia="Calibri" w:cs="Calibri"/>
          <w:color w:val="404040"/>
          <w:sz w:val="21"/>
          <w:szCs w:val="21"/>
          <w:lang w:val="en-US"/>
        </w:rPr>
      </w:pPr>
    </w:p>
    <w:p w14:paraId="67DCB7B8" w14:textId="77777777" w:rsidR="009C182B" w:rsidRDefault="009C182B" w:rsidP="004A5199">
      <w:pPr>
        <w:spacing w:line="276" w:lineRule="auto"/>
        <w:jc w:val="both"/>
        <w:rPr>
          <w:rFonts w:ascii="Arial" w:eastAsia="Calibri" w:hAnsi="Arial" w:cs="Arial"/>
          <w:color w:val="404040"/>
          <w:sz w:val="24"/>
          <w:szCs w:val="24"/>
          <w:lang w:val="en-US"/>
        </w:rPr>
      </w:pPr>
    </w:p>
    <w:p w14:paraId="787D5B6B" w14:textId="77777777" w:rsidR="0076503E" w:rsidRDefault="0076503E" w:rsidP="004A5199">
      <w:pPr>
        <w:spacing w:line="276" w:lineRule="auto"/>
        <w:jc w:val="both"/>
        <w:rPr>
          <w:rFonts w:ascii="Arial" w:eastAsia="Calibri" w:hAnsi="Arial" w:cs="Arial"/>
          <w:color w:val="404040"/>
          <w:sz w:val="21"/>
          <w:szCs w:val="21"/>
          <w:lang w:val="en-US"/>
        </w:rPr>
      </w:pPr>
    </w:p>
    <w:p w14:paraId="3BC3A68F" w14:textId="43D5B494" w:rsidR="00502506" w:rsidRPr="003625BA" w:rsidRDefault="008F122F" w:rsidP="004A5199">
      <w:pPr>
        <w:spacing w:line="276" w:lineRule="auto"/>
        <w:jc w:val="both"/>
        <w:rPr>
          <w:rFonts w:ascii="Arial" w:eastAsia="Calibri" w:hAnsi="Arial" w:cs="Arial"/>
          <w:color w:val="404040"/>
          <w:sz w:val="21"/>
          <w:szCs w:val="21"/>
          <w:lang w:val="en-US"/>
        </w:rPr>
      </w:pPr>
      <w:r w:rsidRPr="003625BA">
        <w:rPr>
          <w:rFonts w:ascii="Arial" w:eastAsia="Calibri" w:hAnsi="Arial" w:cs="Arial"/>
          <w:color w:val="404040"/>
          <w:sz w:val="21"/>
          <w:szCs w:val="21"/>
          <w:lang w:val="en-US"/>
        </w:rPr>
        <w:t>The Global Initiative for Fiscal Transparency</w:t>
      </w:r>
      <w:r w:rsidR="00502506" w:rsidRPr="003625BA">
        <w:rPr>
          <w:rFonts w:ascii="Arial" w:eastAsia="Calibri" w:hAnsi="Arial" w:cs="Arial"/>
          <w:color w:val="404040"/>
          <w:sz w:val="21"/>
          <w:szCs w:val="21"/>
          <w:lang w:val="en-US"/>
        </w:rPr>
        <w:t xml:space="preserve"> (GIFT)</w:t>
      </w:r>
      <w:r w:rsidRPr="003625BA">
        <w:rPr>
          <w:rFonts w:ascii="Arial" w:eastAsia="Calibri" w:hAnsi="Arial" w:cs="Arial"/>
          <w:color w:val="404040"/>
          <w:sz w:val="21"/>
          <w:szCs w:val="21"/>
          <w:lang w:val="en-US"/>
        </w:rPr>
        <w:t xml:space="preserve"> is an action network established in 2011 to achieve sustained and measurable improvements in fiscal transparency and inclusive participation by advancing global norms, peer-learning, collaborative assistance and promoting the use of digital tools. Comprised of over 50 members, it brings together ministries of finance, civil society organizations, international finan</w:t>
      </w:r>
      <w:r w:rsidR="00502506" w:rsidRPr="003625BA">
        <w:rPr>
          <w:rFonts w:ascii="Arial" w:eastAsia="Calibri" w:hAnsi="Arial" w:cs="Arial"/>
          <w:color w:val="404040"/>
          <w:sz w:val="21"/>
          <w:szCs w:val="21"/>
          <w:lang w:val="en-US"/>
        </w:rPr>
        <w:t>cial institutions and other stakeholders, and facilitates meaningful dialogue to find, share and advance solutions to challenges in fiscal openness.</w:t>
      </w:r>
    </w:p>
    <w:p w14:paraId="3D3C15EF" w14:textId="77777777" w:rsidR="0009207C" w:rsidRPr="003625BA" w:rsidRDefault="0009207C" w:rsidP="004A5199">
      <w:pPr>
        <w:spacing w:line="276" w:lineRule="auto"/>
        <w:rPr>
          <w:rFonts w:ascii="Arial" w:eastAsia="Calibri" w:hAnsi="Arial" w:cs="Arial"/>
          <w:color w:val="404040"/>
          <w:sz w:val="21"/>
          <w:szCs w:val="21"/>
          <w:lang w:val="en-US"/>
        </w:rPr>
      </w:pPr>
    </w:p>
    <w:p w14:paraId="6CB4F00E" w14:textId="77777777" w:rsidR="009B454D" w:rsidRPr="003625BA" w:rsidRDefault="00502506" w:rsidP="004A5199">
      <w:pPr>
        <w:spacing w:after="200" w:line="276" w:lineRule="auto"/>
        <w:jc w:val="both"/>
        <w:rPr>
          <w:rFonts w:ascii="Arial" w:eastAsia="Calibri" w:hAnsi="Arial" w:cs="Arial"/>
          <w:color w:val="404040"/>
          <w:sz w:val="21"/>
          <w:szCs w:val="21"/>
          <w:lang w:val="en-ZA"/>
        </w:rPr>
      </w:pPr>
      <w:r w:rsidRPr="003625BA">
        <w:rPr>
          <w:rFonts w:ascii="Arial" w:eastAsia="Calibri" w:hAnsi="Arial" w:cs="Arial"/>
          <w:color w:val="404040"/>
          <w:sz w:val="21"/>
          <w:szCs w:val="21"/>
          <w:lang w:val="en-US"/>
        </w:rPr>
        <w:t>In 2021, GIFT launched the Advancing Fiscal Transparency for Development (</w:t>
      </w:r>
      <w:proofErr w:type="spellStart"/>
      <w:r w:rsidRPr="003625BA">
        <w:rPr>
          <w:rFonts w:ascii="Arial" w:eastAsia="Calibri" w:hAnsi="Arial" w:cs="Arial"/>
          <w:color w:val="404040"/>
          <w:sz w:val="21"/>
          <w:szCs w:val="21"/>
          <w:lang w:val="en-US"/>
        </w:rPr>
        <w:t>AFTx</w:t>
      </w:r>
      <w:proofErr w:type="spellEnd"/>
      <w:r w:rsidRPr="003625BA">
        <w:rPr>
          <w:rFonts w:ascii="Arial" w:eastAsia="Calibri" w:hAnsi="Arial" w:cs="Arial"/>
          <w:color w:val="404040"/>
          <w:sz w:val="21"/>
          <w:szCs w:val="21"/>
          <w:lang w:val="en-US"/>
        </w:rPr>
        <w:t>) online course fund</w:t>
      </w:r>
      <w:r w:rsidR="00207FEB" w:rsidRPr="003625BA">
        <w:rPr>
          <w:rFonts w:ascii="Arial" w:eastAsia="Calibri" w:hAnsi="Arial" w:cs="Arial"/>
          <w:color w:val="404040"/>
          <w:sz w:val="21"/>
          <w:szCs w:val="21"/>
          <w:lang w:val="en-US"/>
        </w:rPr>
        <w:t xml:space="preserve">ed by </w:t>
      </w:r>
      <w:r w:rsidRPr="003625BA">
        <w:rPr>
          <w:rFonts w:ascii="Arial" w:eastAsia="Calibri" w:hAnsi="Arial" w:cs="Arial"/>
          <w:color w:val="404040"/>
          <w:sz w:val="21"/>
          <w:szCs w:val="21"/>
          <w:lang w:val="en-US"/>
        </w:rPr>
        <w:t xml:space="preserve">the United States Department of State. </w:t>
      </w:r>
      <w:r w:rsidR="008F122F" w:rsidRPr="003625BA">
        <w:rPr>
          <w:rFonts w:ascii="Arial" w:eastAsia="Calibri" w:hAnsi="Arial" w:cs="Arial"/>
          <w:color w:val="404040"/>
          <w:sz w:val="21"/>
          <w:szCs w:val="21"/>
          <w:lang w:val="en-US"/>
        </w:rPr>
        <w:t xml:space="preserve">This Guide </w:t>
      </w:r>
      <w:r w:rsidR="00151673" w:rsidRPr="003625BA">
        <w:rPr>
          <w:rFonts w:ascii="Arial" w:eastAsia="Calibri" w:hAnsi="Arial" w:cs="Arial"/>
          <w:color w:val="404040"/>
          <w:sz w:val="21"/>
          <w:szCs w:val="21"/>
          <w:lang w:val="en-US"/>
        </w:rPr>
        <w:t>is based</w:t>
      </w:r>
      <w:r w:rsidRPr="003625BA">
        <w:rPr>
          <w:rFonts w:ascii="Arial" w:eastAsia="Calibri" w:hAnsi="Arial" w:cs="Arial"/>
          <w:color w:val="404040"/>
          <w:sz w:val="21"/>
          <w:szCs w:val="21"/>
          <w:lang w:val="en-US"/>
        </w:rPr>
        <w:t xml:space="preserve"> on the information presented in the online course,</w:t>
      </w:r>
      <w:r w:rsidR="008F122F" w:rsidRPr="003625BA">
        <w:rPr>
          <w:rFonts w:ascii="Arial" w:eastAsia="Calibri" w:hAnsi="Arial" w:cs="Arial"/>
          <w:color w:val="404040"/>
          <w:sz w:val="21"/>
          <w:szCs w:val="21"/>
          <w:lang w:val="en-US"/>
        </w:rPr>
        <w:t xml:space="preserve"> designed to assist countries in advancing and institutionalizing improvements in fiscal transparency. It covers what fiscal transparency means; why it is important; who the key actors are; best practice norms and standards; how it is measured as well as how it can be enhanced. </w:t>
      </w:r>
      <w:r w:rsidR="008F122F" w:rsidRPr="003625BA">
        <w:rPr>
          <w:rFonts w:ascii="Arial" w:eastAsia="Calibri" w:hAnsi="Arial" w:cs="Arial"/>
          <w:color w:val="404040"/>
          <w:sz w:val="21"/>
          <w:szCs w:val="21"/>
          <w:lang w:val="en-ZA"/>
        </w:rPr>
        <w:t> </w:t>
      </w:r>
      <w:r w:rsidR="008D28D5" w:rsidRPr="003625BA">
        <w:rPr>
          <w:rFonts w:ascii="Arial" w:eastAsia="Calibri" w:hAnsi="Arial" w:cs="Arial"/>
          <w:color w:val="404040"/>
          <w:sz w:val="21"/>
          <w:szCs w:val="21"/>
          <w:lang w:val="en-ZA"/>
        </w:rPr>
        <w:t xml:space="preserve">Importantly, it shows that advancing fiscal transparency </w:t>
      </w:r>
      <w:r w:rsidR="00094671" w:rsidRPr="003625BA">
        <w:rPr>
          <w:rFonts w:ascii="Arial" w:eastAsia="Calibri" w:hAnsi="Arial" w:cs="Arial"/>
          <w:color w:val="404040"/>
          <w:sz w:val="21"/>
          <w:szCs w:val="21"/>
          <w:lang w:val="en-ZA"/>
        </w:rPr>
        <w:t>requires</w:t>
      </w:r>
      <w:r w:rsidR="008D28D5" w:rsidRPr="003625BA">
        <w:rPr>
          <w:rFonts w:ascii="Arial" w:eastAsia="Calibri" w:hAnsi="Arial" w:cs="Arial"/>
          <w:color w:val="404040"/>
          <w:sz w:val="21"/>
          <w:szCs w:val="21"/>
          <w:lang w:val="en-ZA"/>
        </w:rPr>
        <w:t xml:space="preserve"> better coordination within budget authorities and</w:t>
      </w:r>
      <w:r w:rsidR="00E5467F" w:rsidRPr="003625BA">
        <w:rPr>
          <w:rFonts w:ascii="Arial" w:eastAsia="Calibri" w:hAnsi="Arial" w:cs="Arial"/>
          <w:color w:val="404040"/>
          <w:sz w:val="21"/>
          <w:szCs w:val="21"/>
          <w:lang w:val="en-ZA"/>
        </w:rPr>
        <w:t xml:space="preserve"> between </w:t>
      </w:r>
      <w:r w:rsidR="008D28D5" w:rsidRPr="003625BA">
        <w:rPr>
          <w:rFonts w:ascii="Arial" w:eastAsia="Calibri" w:hAnsi="Arial" w:cs="Arial"/>
          <w:color w:val="404040"/>
          <w:sz w:val="21"/>
          <w:szCs w:val="21"/>
          <w:lang w:val="en-ZA"/>
        </w:rPr>
        <w:t xml:space="preserve">these and budget execution units, </w:t>
      </w:r>
      <w:r w:rsidR="00201E35" w:rsidRPr="003625BA">
        <w:rPr>
          <w:rFonts w:ascii="Arial" w:eastAsia="Calibri" w:hAnsi="Arial" w:cs="Arial"/>
          <w:color w:val="404040"/>
          <w:sz w:val="21"/>
          <w:szCs w:val="21"/>
          <w:lang w:val="en-ZA"/>
        </w:rPr>
        <w:t xml:space="preserve">as well as </w:t>
      </w:r>
      <w:r w:rsidR="008D28D5" w:rsidRPr="003625BA">
        <w:rPr>
          <w:rFonts w:ascii="Arial" w:eastAsia="Calibri" w:hAnsi="Arial" w:cs="Arial"/>
          <w:color w:val="404040"/>
          <w:sz w:val="21"/>
          <w:szCs w:val="21"/>
          <w:lang w:val="en-ZA"/>
        </w:rPr>
        <w:t>a</w:t>
      </w:r>
      <w:r w:rsidR="00721D56" w:rsidRPr="003625BA">
        <w:rPr>
          <w:rFonts w:ascii="Arial" w:eastAsia="Calibri" w:hAnsi="Arial" w:cs="Arial"/>
          <w:color w:val="404040"/>
          <w:sz w:val="21"/>
          <w:szCs w:val="21"/>
          <w:lang w:val="en-ZA"/>
        </w:rPr>
        <w:t>n enhanced</w:t>
      </w:r>
      <w:r w:rsidR="008D28D5" w:rsidRPr="003625BA">
        <w:rPr>
          <w:rFonts w:ascii="Arial" w:eastAsia="Calibri" w:hAnsi="Arial" w:cs="Arial"/>
          <w:color w:val="404040"/>
          <w:sz w:val="21"/>
          <w:szCs w:val="21"/>
          <w:lang w:val="en-ZA"/>
        </w:rPr>
        <w:t xml:space="preserve"> linkage between budget implementation and the consecution of the objectives of development programs. </w:t>
      </w:r>
      <w:r w:rsidR="00094671" w:rsidRPr="003625BA">
        <w:rPr>
          <w:rFonts w:ascii="Arial" w:eastAsia="Calibri" w:hAnsi="Arial" w:cs="Arial"/>
          <w:color w:val="404040"/>
          <w:sz w:val="21"/>
          <w:szCs w:val="21"/>
          <w:lang w:val="en-ZA"/>
        </w:rPr>
        <w:t xml:space="preserve">This </w:t>
      </w:r>
      <w:r w:rsidR="00721D56" w:rsidRPr="003625BA">
        <w:rPr>
          <w:rFonts w:ascii="Arial" w:eastAsia="Calibri" w:hAnsi="Arial" w:cs="Arial"/>
          <w:color w:val="404040"/>
          <w:sz w:val="21"/>
          <w:szCs w:val="21"/>
          <w:lang w:val="en-ZA"/>
        </w:rPr>
        <w:t xml:space="preserve">facilitates </w:t>
      </w:r>
      <w:r w:rsidR="00094671" w:rsidRPr="003625BA">
        <w:rPr>
          <w:rFonts w:ascii="Arial" w:eastAsia="Calibri" w:hAnsi="Arial" w:cs="Arial"/>
          <w:color w:val="404040"/>
          <w:sz w:val="21"/>
          <w:szCs w:val="21"/>
          <w:lang w:val="en-ZA"/>
        </w:rPr>
        <w:t>increase</w:t>
      </w:r>
      <w:r w:rsidR="00721D56" w:rsidRPr="003625BA">
        <w:rPr>
          <w:rFonts w:ascii="Arial" w:eastAsia="Calibri" w:hAnsi="Arial" w:cs="Arial"/>
          <w:color w:val="404040"/>
          <w:sz w:val="21"/>
          <w:szCs w:val="21"/>
          <w:lang w:val="en-ZA"/>
        </w:rPr>
        <w:t>d</w:t>
      </w:r>
      <w:r w:rsidR="00094671" w:rsidRPr="003625BA">
        <w:rPr>
          <w:rFonts w:ascii="Arial" w:eastAsia="Calibri" w:hAnsi="Arial" w:cs="Arial"/>
          <w:color w:val="404040"/>
          <w:sz w:val="21"/>
          <w:szCs w:val="21"/>
          <w:lang w:val="en-ZA"/>
        </w:rPr>
        <w:t xml:space="preserve"> efficiency and effectiveness in the use of public resources, with an enhanced impact of the budget, which explains the connection between institutional efforts to advance fiscal transparency and development. This </w:t>
      </w:r>
      <w:r w:rsidR="00721D56" w:rsidRPr="003625BA">
        <w:rPr>
          <w:rFonts w:ascii="Arial" w:eastAsia="Calibri" w:hAnsi="Arial" w:cs="Arial"/>
          <w:color w:val="404040"/>
          <w:sz w:val="21"/>
          <w:szCs w:val="21"/>
          <w:lang w:val="en-ZA"/>
        </w:rPr>
        <w:t xml:space="preserve">Guide </w:t>
      </w:r>
      <w:r w:rsidR="00094671" w:rsidRPr="003625BA">
        <w:rPr>
          <w:rFonts w:ascii="Arial" w:eastAsia="Calibri" w:hAnsi="Arial" w:cs="Arial"/>
          <w:color w:val="404040"/>
          <w:sz w:val="21"/>
          <w:szCs w:val="21"/>
          <w:lang w:val="en-ZA"/>
        </w:rPr>
        <w:t>make</w:t>
      </w:r>
      <w:r w:rsidR="00721D56" w:rsidRPr="003625BA">
        <w:rPr>
          <w:rFonts w:ascii="Arial" w:eastAsia="Calibri" w:hAnsi="Arial" w:cs="Arial"/>
          <w:color w:val="404040"/>
          <w:sz w:val="21"/>
          <w:szCs w:val="21"/>
          <w:lang w:val="en-ZA"/>
        </w:rPr>
        <w:t>s</w:t>
      </w:r>
      <w:r w:rsidR="00094671" w:rsidRPr="003625BA">
        <w:rPr>
          <w:rFonts w:ascii="Arial" w:eastAsia="Calibri" w:hAnsi="Arial" w:cs="Arial"/>
          <w:color w:val="404040"/>
          <w:sz w:val="21"/>
          <w:szCs w:val="21"/>
          <w:lang w:val="en-ZA"/>
        </w:rPr>
        <w:t xml:space="preserve"> the case that fiscal transparency and participation can become drivers of development.   </w:t>
      </w:r>
      <w:r w:rsidR="008D28D5" w:rsidRPr="003625BA">
        <w:rPr>
          <w:rFonts w:ascii="Arial" w:eastAsia="Calibri" w:hAnsi="Arial" w:cs="Arial"/>
          <w:color w:val="404040"/>
          <w:sz w:val="21"/>
          <w:szCs w:val="21"/>
          <w:lang w:val="en-ZA"/>
        </w:rPr>
        <w:t xml:space="preserve"> </w:t>
      </w:r>
    </w:p>
    <w:p w14:paraId="2323865F" w14:textId="3ABFD757" w:rsidR="008F122F" w:rsidRPr="003625BA" w:rsidRDefault="008F122F" w:rsidP="004A5199">
      <w:pPr>
        <w:spacing w:after="200" w:line="276" w:lineRule="auto"/>
        <w:jc w:val="both"/>
        <w:rPr>
          <w:rFonts w:ascii="Arial" w:eastAsia="Calibri" w:hAnsi="Arial" w:cs="Arial"/>
          <w:color w:val="404040"/>
          <w:sz w:val="21"/>
          <w:szCs w:val="21"/>
          <w:lang w:val="en-ZA"/>
        </w:rPr>
      </w:pPr>
      <w:r w:rsidRPr="003625BA">
        <w:rPr>
          <w:rFonts w:ascii="Arial" w:eastAsia="Calibri" w:hAnsi="Arial" w:cs="Arial"/>
          <w:color w:val="404040"/>
          <w:sz w:val="21"/>
          <w:szCs w:val="21"/>
          <w:lang w:val="en-US"/>
        </w:rPr>
        <w:t xml:space="preserve">To do this, it draws on the unique diversity of the GIFT network, utilizing expertise from international organizations, including the International Budget Partnership, where GIFT is housed; International Monetary Fund; World Bank; Public Expenditure and Financial Accountability Secretariat; Organization for Economic Co-operation and Development; International Federation of Accountants; </w:t>
      </w:r>
      <w:r w:rsidRPr="003625BA">
        <w:rPr>
          <w:rFonts w:ascii="Arial" w:eastAsia="Calibri" w:hAnsi="Arial" w:cs="Arial"/>
          <w:color w:val="404040"/>
          <w:sz w:val="21"/>
          <w:szCs w:val="21"/>
        </w:rPr>
        <w:t>Collaborative </w:t>
      </w:r>
      <w:r w:rsidRPr="003625BA">
        <w:rPr>
          <w:rFonts w:ascii="Arial" w:eastAsia="Calibri" w:hAnsi="Arial" w:cs="Arial"/>
          <w:bCs/>
          <w:color w:val="404040"/>
          <w:sz w:val="21"/>
          <w:szCs w:val="21"/>
        </w:rPr>
        <w:t>Africa</w:t>
      </w:r>
      <w:r w:rsidRPr="003625BA">
        <w:rPr>
          <w:rFonts w:ascii="Arial" w:eastAsia="Calibri" w:hAnsi="Arial" w:cs="Arial"/>
          <w:color w:val="404040"/>
          <w:sz w:val="21"/>
          <w:szCs w:val="21"/>
        </w:rPr>
        <w:t> Budget Reform Initiative; and the Extractive Industries Transparency Initiative</w:t>
      </w:r>
      <w:r w:rsidRPr="003625BA">
        <w:rPr>
          <w:rFonts w:ascii="Arial" w:eastAsia="Calibri" w:hAnsi="Arial" w:cs="Arial"/>
          <w:color w:val="404040"/>
          <w:sz w:val="21"/>
          <w:szCs w:val="21"/>
          <w:lang w:val="en-US"/>
        </w:rPr>
        <w:t xml:space="preserve"> as well as the knowledge and experience of GIFT steward practitioners that have advanced fiscal transparency policies and practices in their respective countries, thereby providing opportunities for peer learning emanating from the numerous examples of concrete steps that countries have taken to successfully increase fiscal transparency.  </w:t>
      </w:r>
      <w:r w:rsidRPr="003625BA">
        <w:rPr>
          <w:rFonts w:ascii="Arial" w:eastAsia="Calibri" w:hAnsi="Arial" w:cs="Arial"/>
          <w:color w:val="404040"/>
          <w:sz w:val="21"/>
          <w:szCs w:val="21"/>
          <w:lang w:val="en-ZA"/>
        </w:rPr>
        <w:t> </w:t>
      </w:r>
    </w:p>
    <w:p w14:paraId="1AFD9A61" w14:textId="7740ED6E" w:rsidR="002C155E" w:rsidRPr="003625BA" w:rsidRDefault="00502506" w:rsidP="002C155E">
      <w:pPr>
        <w:spacing w:after="200" w:line="276" w:lineRule="auto"/>
        <w:jc w:val="both"/>
        <w:rPr>
          <w:rFonts w:ascii="Arial" w:eastAsia="Calibri" w:hAnsi="Arial" w:cs="Arial"/>
          <w:color w:val="404040"/>
          <w:sz w:val="21"/>
          <w:szCs w:val="21"/>
          <w:lang w:val="en-US"/>
        </w:rPr>
      </w:pPr>
      <w:r w:rsidRPr="003625BA">
        <w:rPr>
          <w:rFonts w:ascii="Arial" w:eastAsia="Calibri" w:hAnsi="Arial" w:cs="Arial"/>
          <w:color w:val="404040"/>
          <w:sz w:val="21"/>
          <w:szCs w:val="21"/>
          <w:lang w:val="en-US"/>
        </w:rPr>
        <w:t>The Guide</w:t>
      </w:r>
      <w:r w:rsidR="008F122F" w:rsidRPr="003625BA">
        <w:rPr>
          <w:rFonts w:ascii="Arial" w:eastAsia="Calibri" w:hAnsi="Arial" w:cs="Arial"/>
          <w:color w:val="404040"/>
          <w:sz w:val="21"/>
          <w:szCs w:val="21"/>
          <w:lang w:val="en-US"/>
        </w:rPr>
        <w:t xml:space="preserve"> take</w:t>
      </w:r>
      <w:r w:rsidRPr="003625BA">
        <w:rPr>
          <w:rFonts w:ascii="Arial" w:eastAsia="Calibri" w:hAnsi="Arial" w:cs="Arial"/>
          <w:color w:val="404040"/>
          <w:sz w:val="21"/>
          <w:szCs w:val="21"/>
          <w:lang w:val="en-US"/>
        </w:rPr>
        <w:t>s</w:t>
      </w:r>
      <w:r w:rsidR="008F122F" w:rsidRPr="003625BA">
        <w:rPr>
          <w:rFonts w:ascii="Arial" w:eastAsia="Calibri" w:hAnsi="Arial" w:cs="Arial"/>
          <w:color w:val="404040"/>
          <w:sz w:val="21"/>
          <w:szCs w:val="21"/>
          <w:lang w:val="en-US"/>
        </w:rPr>
        <w:t xml:space="preserve"> </w:t>
      </w:r>
      <w:r w:rsidR="00A05318" w:rsidRPr="003625BA">
        <w:rPr>
          <w:rFonts w:ascii="Arial" w:eastAsia="Calibri" w:hAnsi="Arial" w:cs="Arial"/>
          <w:color w:val="404040"/>
          <w:sz w:val="21"/>
          <w:szCs w:val="21"/>
          <w:lang w:val="en-US"/>
        </w:rPr>
        <w:t>readers</w:t>
      </w:r>
      <w:r w:rsidR="008F122F" w:rsidRPr="003625BA">
        <w:rPr>
          <w:rFonts w:ascii="Arial" w:eastAsia="Calibri" w:hAnsi="Arial" w:cs="Arial"/>
          <w:color w:val="404040"/>
          <w:sz w:val="21"/>
          <w:szCs w:val="21"/>
          <w:lang w:val="en-US"/>
        </w:rPr>
        <w:t xml:space="preserve"> through a range of issues critical to establishing fiscal transparency as part of good governance. </w:t>
      </w:r>
      <w:r w:rsidR="00A05318" w:rsidRPr="003625BA">
        <w:rPr>
          <w:rFonts w:ascii="Arial" w:eastAsia="Calibri" w:hAnsi="Arial" w:cs="Arial"/>
          <w:color w:val="404040"/>
          <w:sz w:val="21"/>
          <w:szCs w:val="21"/>
          <w:lang w:val="en-US"/>
        </w:rPr>
        <w:t>I</w:t>
      </w:r>
      <w:r w:rsidR="008F122F" w:rsidRPr="003625BA">
        <w:rPr>
          <w:rFonts w:ascii="Arial" w:eastAsia="Calibri" w:hAnsi="Arial" w:cs="Arial"/>
          <w:color w:val="404040"/>
          <w:sz w:val="21"/>
          <w:szCs w:val="21"/>
          <w:lang w:val="en-US"/>
        </w:rPr>
        <w:t>ssues explore</w:t>
      </w:r>
      <w:r w:rsidR="00A05318" w:rsidRPr="003625BA">
        <w:rPr>
          <w:rFonts w:ascii="Arial" w:eastAsia="Calibri" w:hAnsi="Arial" w:cs="Arial"/>
          <w:color w:val="404040"/>
          <w:sz w:val="21"/>
          <w:szCs w:val="21"/>
          <w:lang w:val="en-US"/>
        </w:rPr>
        <w:t>d, include</w:t>
      </w:r>
      <w:r w:rsidR="008F122F" w:rsidRPr="003625BA">
        <w:rPr>
          <w:rFonts w:ascii="Arial" w:eastAsia="Calibri" w:hAnsi="Arial" w:cs="Arial"/>
          <w:color w:val="404040"/>
          <w:sz w:val="21"/>
          <w:szCs w:val="21"/>
          <w:lang w:val="en-US"/>
        </w:rPr>
        <w:t xml:space="preserve"> how key actors interoperate in a fiscal ecosystem using fiscal transparency to actively contribute to </w:t>
      </w:r>
      <w:r w:rsidR="002C155E" w:rsidRPr="003625BA">
        <w:rPr>
          <w:rFonts w:ascii="Arial" w:eastAsia="Calibri" w:hAnsi="Arial" w:cs="Arial"/>
          <w:color w:val="404040"/>
          <w:sz w:val="21"/>
          <w:szCs w:val="21"/>
          <w:lang w:val="en-US"/>
        </w:rPr>
        <w:t>and participate in fiscal policy; different technical tools available to facilitate it, the role of non-technical factors and the obstacles often faced in advancing it, together with the actions that can be taken to overcome these obstacles and take advantage of windows of opportunity for advancing it.</w:t>
      </w:r>
      <w:r w:rsidR="002C155E" w:rsidRPr="003625BA">
        <w:rPr>
          <w:rFonts w:ascii="Arial" w:eastAsia="Calibri" w:hAnsi="Arial" w:cs="Arial"/>
          <w:color w:val="404040"/>
          <w:sz w:val="21"/>
          <w:szCs w:val="21"/>
          <w:lang w:val="en-ZA"/>
        </w:rPr>
        <w:t> </w:t>
      </w:r>
    </w:p>
    <w:p w14:paraId="5605203E" w14:textId="012D9764" w:rsidR="00256ED6" w:rsidRPr="003625BA" w:rsidRDefault="008F122F" w:rsidP="004A5199">
      <w:pPr>
        <w:spacing w:after="200" w:line="276" w:lineRule="auto"/>
        <w:jc w:val="both"/>
        <w:rPr>
          <w:rFonts w:ascii="Arial" w:eastAsia="Calibri" w:hAnsi="Arial" w:cs="Arial"/>
          <w:color w:val="16988A"/>
          <w:sz w:val="21"/>
          <w:szCs w:val="21"/>
          <w:lang w:val="en-US"/>
        </w:rPr>
      </w:pPr>
      <w:r w:rsidRPr="003625BA">
        <w:rPr>
          <w:rFonts w:ascii="Arial" w:eastAsia="Calibri" w:hAnsi="Arial" w:cs="Arial"/>
          <w:color w:val="404040"/>
          <w:sz w:val="21"/>
          <w:szCs w:val="21"/>
          <w:lang w:val="en-US"/>
        </w:rPr>
        <w:t xml:space="preserve">Along with the general learning content, </w:t>
      </w:r>
      <w:r w:rsidR="00A05318" w:rsidRPr="003625BA">
        <w:rPr>
          <w:rFonts w:ascii="Arial" w:eastAsia="Calibri" w:hAnsi="Arial" w:cs="Arial"/>
          <w:color w:val="404040"/>
          <w:sz w:val="21"/>
          <w:szCs w:val="21"/>
          <w:lang w:val="en-US"/>
        </w:rPr>
        <w:t>this guide</w:t>
      </w:r>
      <w:r w:rsidRPr="003625BA">
        <w:rPr>
          <w:rFonts w:ascii="Arial" w:eastAsia="Calibri" w:hAnsi="Arial" w:cs="Arial"/>
          <w:color w:val="404040"/>
          <w:sz w:val="21"/>
          <w:szCs w:val="21"/>
          <w:lang w:val="en-US"/>
        </w:rPr>
        <w:t xml:space="preserve"> provid</w:t>
      </w:r>
      <w:r w:rsidR="00A05318" w:rsidRPr="003625BA">
        <w:rPr>
          <w:rFonts w:ascii="Arial" w:eastAsia="Calibri" w:hAnsi="Arial" w:cs="Arial"/>
          <w:color w:val="404040"/>
          <w:sz w:val="21"/>
          <w:szCs w:val="21"/>
          <w:lang w:val="en-US"/>
        </w:rPr>
        <w:t>es</w:t>
      </w:r>
      <w:r w:rsidRPr="003625BA">
        <w:rPr>
          <w:rFonts w:ascii="Arial" w:eastAsia="Calibri" w:hAnsi="Arial" w:cs="Arial"/>
          <w:color w:val="404040"/>
          <w:sz w:val="21"/>
          <w:szCs w:val="21"/>
          <w:lang w:val="en-US"/>
        </w:rPr>
        <w:t xml:space="preserve"> numerous links to organizations and many documents. </w:t>
      </w:r>
      <w:r w:rsidR="00E5467F" w:rsidRPr="003625BA">
        <w:rPr>
          <w:rFonts w:ascii="Arial" w:eastAsia="Calibri" w:hAnsi="Arial" w:cs="Arial"/>
          <w:color w:val="404040"/>
          <w:sz w:val="21"/>
          <w:szCs w:val="21"/>
          <w:lang w:val="en-US"/>
        </w:rPr>
        <w:t>We</w:t>
      </w:r>
      <w:r w:rsidRPr="003625BA">
        <w:rPr>
          <w:rFonts w:ascii="Arial" w:eastAsia="Calibri" w:hAnsi="Arial" w:cs="Arial"/>
          <w:color w:val="404040"/>
          <w:sz w:val="21"/>
          <w:szCs w:val="21"/>
          <w:lang w:val="en-US"/>
        </w:rPr>
        <w:t xml:space="preserve"> encourage you to bookmark these sites, read the materials we provide and save them for the future. </w:t>
      </w:r>
      <w:r w:rsidR="00FE565E" w:rsidRPr="00FE565E">
        <w:rPr>
          <w:rFonts w:eastAsia="Calibri" w:cs="Calibri"/>
          <w:color w:val="404040"/>
          <w:sz w:val="21"/>
          <w:szCs w:val="21"/>
          <w:lang w:val="en-US"/>
        </w:rPr>
        <w:t>﻿</w:t>
      </w:r>
      <w:r w:rsidR="00FE565E" w:rsidRPr="00FE565E">
        <w:rPr>
          <w:rFonts w:ascii="Arial" w:eastAsia="Calibri" w:hAnsi="Arial" w:cs="Arial"/>
          <w:color w:val="404040"/>
          <w:sz w:val="21"/>
          <w:szCs w:val="21"/>
          <w:lang w:val="en-US"/>
        </w:rPr>
        <w:t>As effective fiscal transparency involves not only governments but also other key actors in the fiscal ecosystem, we recommend this Guide to key officials and technical teams from ministries of finance and line-ministries budget execution units; as well as representatives from civil society organizations, legislature finance committee researchers and support staff, supreme audit institutions and donor representatives.</w:t>
      </w:r>
      <w:r w:rsidR="00FE565E">
        <w:rPr>
          <w:rFonts w:ascii="Arial" w:eastAsia="Calibri" w:hAnsi="Arial" w:cs="Arial"/>
          <w:color w:val="404040"/>
          <w:sz w:val="21"/>
          <w:szCs w:val="21"/>
          <w:lang w:val="en-US"/>
        </w:rPr>
        <w:t xml:space="preserve"> </w:t>
      </w:r>
      <w:r w:rsidR="00207FEB" w:rsidRPr="003625BA">
        <w:rPr>
          <w:rFonts w:ascii="Arial" w:eastAsia="Calibri" w:hAnsi="Arial" w:cs="Arial"/>
          <w:color w:val="404040"/>
          <w:sz w:val="21"/>
          <w:szCs w:val="21"/>
          <w:lang w:val="en-US"/>
        </w:rPr>
        <w:t>Members of the general public will benefit from it too. Indeed, advancing</w:t>
      </w:r>
      <w:r w:rsidRPr="003625BA">
        <w:rPr>
          <w:rFonts w:ascii="Arial" w:eastAsia="Calibri" w:hAnsi="Arial" w:cs="Arial"/>
          <w:color w:val="404040"/>
          <w:sz w:val="21"/>
          <w:szCs w:val="21"/>
          <w:lang w:val="en-US"/>
        </w:rPr>
        <w:t xml:space="preserve"> fiscal transparency </w:t>
      </w:r>
      <w:r w:rsidR="00207FEB" w:rsidRPr="003625BA">
        <w:rPr>
          <w:rFonts w:ascii="Arial" w:eastAsia="Calibri" w:hAnsi="Arial" w:cs="Arial"/>
          <w:color w:val="404040"/>
          <w:sz w:val="21"/>
          <w:szCs w:val="21"/>
          <w:lang w:val="en-US"/>
        </w:rPr>
        <w:t xml:space="preserve">for development </w:t>
      </w:r>
      <w:r w:rsidRPr="003625BA">
        <w:rPr>
          <w:rFonts w:ascii="Arial" w:eastAsia="Calibri" w:hAnsi="Arial" w:cs="Arial"/>
          <w:color w:val="404040"/>
          <w:sz w:val="21"/>
          <w:szCs w:val="21"/>
          <w:lang w:val="en-US"/>
        </w:rPr>
        <w:t>is truly a global effort</w:t>
      </w:r>
      <w:r w:rsidR="00207FEB" w:rsidRPr="003625BA">
        <w:rPr>
          <w:rFonts w:ascii="Arial" w:eastAsia="Calibri" w:hAnsi="Arial" w:cs="Arial"/>
          <w:color w:val="404040"/>
          <w:sz w:val="21"/>
          <w:szCs w:val="21"/>
          <w:lang w:val="en-US"/>
        </w:rPr>
        <w:t xml:space="preserve">, that you </w:t>
      </w:r>
      <w:r w:rsidR="00A05318" w:rsidRPr="003625BA">
        <w:rPr>
          <w:rFonts w:ascii="Arial" w:eastAsia="Calibri" w:hAnsi="Arial" w:cs="Arial"/>
          <w:color w:val="404040"/>
          <w:sz w:val="21"/>
          <w:szCs w:val="21"/>
          <w:lang w:val="en-US"/>
        </w:rPr>
        <w:t>are</w:t>
      </w:r>
      <w:r w:rsidR="00626DB4" w:rsidRPr="003625BA">
        <w:rPr>
          <w:rFonts w:ascii="Arial" w:eastAsia="Calibri" w:hAnsi="Arial" w:cs="Arial"/>
          <w:color w:val="404040"/>
          <w:sz w:val="21"/>
          <w:szCs w:val="21"/>
          <w:lang w:val="en-US"/>
        </w:rPr>
        <w:t xml:space="preserve"> encourage</w:t>
      </w:r>
      <w:r w:rsidR="00A05318" w:rsidRPr="003625BA">
        <w:rPr>
          <w:rFonts w:ascii="Arial" w:eastAsia="Calibri" w:hAnsi="Arial" w:cs="Arial"/>
          <w:color w:val="404040"/>
          <w:sz w:val="21"/>
          <w:szCs w:val="21"/>
          <w:lang w:val="en-US"/>
        </w:rPr>
        <w:t>d to</w:t>
      </w:r>
      <w:r w:rsidR="00626DB4" w:rsidRPr="003625BA">
        <w:rPr>
          <w:rFonts w:ascii="Arial" w:eastAsia="Calibri" w:hAnsi="Arial" w:cs="Arial"/>
          <w:color w:val="404040"/>
          <w:sz w:val="21"/>
          <w:szCs w:val="21"/>
          <w:lang w:val="en-US"/>
        </w:rPr>
        <w:t xml:space="preserve"> join!</w:t>
      </w:r>
      <w:r w:rsidR="00256ED6" w:rsidRPr="003625BA">
        <w:rPr>
          <w:rFonts w:ascii="Arial" w:eastAsia="Calibri" w:hAnsi="Arial" w:cs="Arial"/>
          <w:color w:val="16988A"/>
          <w:sz w:val="21"/>
          <w:szCs w:val="21"/>
          <w:lang w:val="en-US"/>
        </w:rPr>
        <w:tab/>
      </w:r>
      <w:r w:rsidR="00256ED6" w:rsidRPr="003625BA">
        <w:rPr>
          <w:rFonts w:ascii="Arial" w:eastAsia="Calibri" w:hAnsi="Arial" w:cs="Arial"/>
          <w:color w:val="16988A"/>
          <w:sz w:val="21"/>
          <w:szCs w:val="21"/>
          <w:lang w:val="en-US"/>
        </w:rPr>
        <w:tab/>
      </w:r>
      <w:r w:rsidR="00256ED6" w:rsidRPr="003625BA">
        <w:rPr>
          <w:rFonts w:ascii="Arial" w:eastAsia="Calibri" w:hAnsi="Arial" w:cs="Arial"/>
          <w:color w:val="16988A"/>
          <w:sz w:val="21"/>
          <w:szCs w:val="21"/>
          <w:lang w:val="en-US"/>
        </w:rPr>
        <w:tab/>
      </w:r>
      <w:r w:rsidR="00256ED6" w:rsidRPr="003625BA">
        <w:rPr>
          <w:rFonts w:ascii="Arial" w:eastAsia="Calibri" w:hAnsi="Arial" w:cs="Arial"/>
          <w:color w:val="16988A"/>
          <w:sz w:val="21"/>
          <w:szCs w:val="21"/>
          <w:lang w:val="en-US"/>
        </w:rPr>
        <w:tab/>
      </w:r>
      <w:r w:rsidR="00256ED6" w:rsidRPr="003625BA">
        <w:rPr>
          <w:rFonts w:ascii="Arial" w:eastAsia="Calibri" w:hAnsi="Arial" w:cs="Arial"/>
          <w:color w:val="16988A"/>
          <w:sz w:val="21"/>
          <w:szCs w:val="21"/>
          <w:lang w:val="en-US"/>
        </w:rPr>
        <w:tab/>
      </w:r>
      <w:r w:rsidR="00256ED6" w:rsidRPr="003625BA">
        <w:rPr>
          <w:rFonts w:ascii="Arial" w:eastAsia="Calibri" w:hAnsi="Arial" w:cs="Arial"/>
          <w:color w:val="16988A"/>
          <w:sz w:val="21"/>
          <w:szCs w:val="21"/>
          <w:lang w:val="en-US"/>
        </w:rPr>
        <w:tab/>
      </w:r>
      <w:r w:rsidR="00256ED6" w:rsidRPr="003625BA">
        <w:rPr>
          <w:rFonts w:ascii="Arial" w:eastAsia="Calibri" w:hAnsi="Arial" w:cs="Arial"/>
          <w:color w:val="16988A"/>
          <w:sz w:val="21"/>
          <w:szCs w:val="21"/>
          <w:lang w:val="en-US"/>
        </w:rPr>
        <w:tab/>
      </w:r>
      <w:r w:rsidR="00256ED6" w:rsidRPr="003625BA">
        <w:rPr>
          <w:rFonts w:ascii="Arial" w:eastAsia="Calibri" w:hAnsi="Arial" w:cs="Arial"/>
          <w:color w:val="16988A"/>
          <w:sz w:val="21"/>
          <w:szCs w:val="21"/>
          <w:lang w:val="en-US"/>
        </w:rPr>
        <w:tab/>
      </w:r>
    </w:p>
    <w:p w14:paraId="596757C9" w14:textId="420EC670" w:rsidR="003A1BD2" w:rsidRPr="003625BA" w:rsidRDefault="009916B4" w:rsidP="004A5199">
      <w:pPr>
        <w:spacing w:line="276" w:lineRule="auto"/>
        <w:jc w:val="both"/>
        <w:rPr>
          <w:rFonts w:ascii="Arial" w:eastAsia="Calibri" w:hAnsi="Arial" w:cs="Arial"/>
          <w:b/>
          <w:color w:val="16988A"/>
          <w:sz w:val="21"/>
          <w:szCs w:val="21"/>
          <w:lang w:val="es-ES"/>
        </w:rPr>
      </w:pPr>
      <w:r w:rsidRPr="003625BA">
        <w:rPr>
          <w:rFonts w:ascii="Arial" w:eastAsia="Calibri" w:hAnsi="Arial" w:cs="Arial"/>
          <w:b/>
          <w:color w:val="16988A"/>
          <w:sz w:val="21"/>
          <w:szCs w:val="21"/>
          <w:lang w:val="es-ES"/>
        </w:rPr>
        <w:t xml:space="preserve">Raquel Ferreira &amp; </w:t>
      </w:r>
      <w:r w:rsidR="003A1BD2" w:rsidRPr="003625BA">
        <w:rPr>
          <w:rFonts w:ascii="Arial" w:eastAsia="Calibri" w:hAnsi="Arial" w:cs="Arial"/>
          <w:b/>
          <w:color w:val="16988A"/>
          <w:sz w:val="21"/>
          <w:szCs w:val="21"/>
          <w:lang w:val="es-ES"/>
        </w:rPr>
        <w:t>Juan Pablo Guerrero</w:t>
      </w:r>
    </w:p>
    <w:p w14:paraId="6FB7F3C9" w14:textId="77777777" w:rsidR="002F6D8F" w:rsidRPr="004A5199" w:rsidRDefault="002F6D8F" w:rsidP="003A1BD2">
      <w:pPr>
        <w:spacing w:after="200"/>
        <w:rPr>
          <w:rFonts w:eastAsia="Calibri" w:cs="Calibri"/>
          <w:b/>
          <w:iCs/>
          <w:color w:val="404040"/>
          <w:sz w:val="21"/>
          <w:lang w:val="es-ES"/>
        </w:rPr>
        <w:sectPr w:rsidR="002F6D8F" w:rsidRPr="004A5199" w:rsidSect="003625BA">
          <w:pgSz w:w="11906" w:h="16838"/>
          <w:pgMar w:top="720" w:right="720" w:bottom="450" w:left="720" w:header="709" w:footer="709" w:gutter="0"/>
          <w:pgNumType w:fmt="upperRoman" w:start="7"/>
          <w:cols w:space="708"/>
          <w:titlePg/>
          <w:docGrid w:linePitch="360"/>
        </w:sectPr>
      </w:pPr>
    </w:p>
    <w:p w14:paraId="271B9290" w14:textId="1B0139B2" w:rsidR="002F6D8F" w:rsidRDefault="0076503E" w:rsidP="002F6D8F">
      <w:pPr>
        <w:jc w:val="center"/>
        <w:rPr>
          <w:rFonts w:cstheme="minorHAnsi"/>
          <w:b/>
          <w:color w:val="FF5500"/>
          <w:sz w:val="24"/>
        </w:rPr>
      </w:pPr>
      <w:r>
        <w:rPr>
          <w:rFonts w:cstheme="minorHAnsi"/>
          <w:b/>
          <w:noProof/>
          <w:color w:val="FF5500"/>
          <w:sz w:val="24"/>
          <w:lang w:val="en-US"/>
        </w:rPr>
        <w:lastRenderedPageBreak/>
        <w:drawing>
          <wp:anchor distT="0" distB="0" distL="114300" distR="114300" simplePos="0" relativeHeight="251707392" behindDoc="1" locked="0" layoutInCell="1" allowOverlap="1" wp14:anchorId="56442A4D" wp14:editId="26E43108">
            <wp:simplePos x="0" y="0"/>
            <wp:positionH relativeFrom="column">
              <wp:posOffset>-488315</wp:posOffset>
            </wp:positionH>
            <wp:positionV relativeFrom="paragraph">
              <wp:posOffset>-1076184</wp:posOffset>
            </wp:positionV>
            <wp:extent cx="7693572" cy="1884741"/>
            <wp:effectExtent l="0" t="0" r="317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7693572" cy="18847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65D3">
        <w:rPr>
          <w:rFonts w:ascii="Arial" w:hAnsi="Arial" w:cs="Arial"/>
          <w:noProof/>
          <w:color w:val="ED7D31" w:themeColor="accent2"/>
          <w:sz w:val="50"/>
          <w:szCs w:val="50"/>
          <w:lang w:val="en-US"/>
        </w:rPr>
        <mc:AlternateContent>
          <mc:Choice Requires="wps">
            <w:drawing>
              <wp:anchor distT="0" distB="0" distL="114300" distR="114300" simplePos="0" relativeHeight="251709440" behindDoc="0" locked="0" layoutInCell="1" allowOverlap="1" wp14:anchorId="57F5FDC3" wp14:editId="774974EA">
                <wp:simplePos x="0" y="0"/>
                <wp:positionH relativeFrom="column">
                  <wp:posOffset>1591836</wp:posOffset>
                </wp:positionH>
                <wp:positionV relativeFrom="paragraph">
                  <wp:posOffset>-575310</wp:posOffset>
                </wp:positionV>
                <wp:extent cx="4335145" cy="834981"/>
                <wp:effectExtent l="0" t="0" r="0" b="0"/>
                <wp:wrapNone/>
                <wp:docPr id="36" name="Text Box 36"/>
                <wp:cNvGraphicFramePr/>
                <a:graphic xmlns:a="http://schemas.openxmlformats.org/drawingml/2006/main">
                  <a:graphicData uri="http://schemas.microsoft.com/office/word/2010/wordprocessingShape">
                    <wps:wsp>
                      <wps:cNvSpPr txBox="1"/>
                      <wps:spPr>
                        <a:xfrm>
                          <a:off x="0" y="0"/>
                          <a:ext cx="4335145" cy="834981"/>
                        </a:xfrm>
                        <a:prstGeom prst="rect">
                          <a:avLst/>
                        </a:prstGeom>
                        <a:noFill/>
                        <a:ln w="6350">
                          <a:noFill/>
                        </a:ln>
                      </wps:spPr>
                      <wps:txbx>
                        <w:txbxContent>
                          <w:p w14:paraId="3F88ADFB" w14:textId="417036A9" w:rsidR="00D15FD8" w:rsidRPr="003543F3" w:rsidRDefault="00D15FD8" w:rsidP="003543F3">
                            <w:pPr>
                              <w:pStyle w:val="Heading1"/>
                              <w:rPr>
                                <w:rFonts w:ascii="Arial" w:hAnsi="Arial" w:cs="Arial"/>
                                <w:b/>
                                <w:bCs/>
                                <w:color w:val="FFFFFF" w:themeColor="background1"/>
                                <w:sz w:val="80"/>
                                <w:szCs w:val="80"/>
                                <w:lang w:val="en-US"/>
                              </w:rPr>
                            </w:pPr>
                            <w:bookmarkStart w:id="28" w:name="_ACRONYMS"/>
                            <w:bookmarkStart w:id="29" w:name="_Toc115369965"/>
                            <w:bookmarkStart w:id="30" w:name="_Toc115729040"/>
                            <w:bookmarkStart w:id="31" w:name="_Toc115877686"/>
                            <w:bookmarkStart w:id="32" w:name="_Toc116056970"/>
                            <w:bookmarkStart w:id="33" w:name="_Toc123828077"/>
                            <w:bookmarkStart w:id="34" w:name="_Toc123828287"/>
                            <w:bookmarkStart w:id="35" w:name="_Toc123828483"/>
                            <w:bookmarkStart w:id="36" w:name="_Toc123912510"/>
                            <w:bookmarkStart w:id="37" w:name="_Toc123912769"/>
                            <w:bookmarkStart w:id="38" w:name="_Toc123912996"/>
                            <w:bookmarkStart w:id="39" w:name="_Toc123913943"/>
                            <w:bookmarkStart w:id="40" w:name="_Toc125566562"/>
                            <w:bookmarkEnd w:id="28"/>
                            <w:r w:rsidRPr="003543F3">
                              <w:rPr>
                                <w:rFonts w:ascii="Arial" w:hAnsi="Arial" w:cs="Arial"/>
                                <w:b/>
                                <w:bCs/>
                                <w:color w:val="FFFFFF" w:themeColor="background1"/>
                                <w:sz w:val="80"/>
                                <w:szCs w:val="80"/>
                                <w:lang w:val="en-US"/>
                              </w:rPr>
                              <w:t>ACRONYMS</w:t>
                            </w:r>
                            <w:bookmarkEnd w:id="29"/>
                            <w:bookmarkEnd w:id="30"/>
                            <w:bookmarkEnd w:id="31"/>
                            <w:bookmarkEnd w:id="32"/>
                            <w:bookmarkEnd w:id="33"/>
                            <w:bookmarkEnd w:id="34"/>
                            <w:bookmarkEnd w:id="35"/>
                            <w:bookmarkEnd w:id="36"/>
                            <w:bookmarkEnd w:id="37"/>
                            <w:bookmarkEnd w:id="38"/>
                            <w:bookmarkEnd w:id="39"/>
                            <w:bookmarkEnd w:id="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F5FDC3" id="Text Box 36" o:spid="_x0000_s1029" type="#_x0000_t202" style="position:absolute;left:0;text-align:left;margin-left:125.35pt;margin-top:-45.3pt;width:341.35pt;height:65.7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" filled="f" stroked="f" strokeweight=".5pt">
                <v:textbox>
                  <w:txbxContent>
                    <w:p w14:paraId="3F88ADFB" w14:textId="417036A9" w:rsidR="00D15FD8" w:rsidRPr="003543F3" w:rsidRDefault="00D15FD8" w:rsidP="003543F3">
                      <w:pPr>
                        <w:pStyle w:val="Heading1"/>
                        <w:rPr>
                          <w:rFonts w:ascii="Arial" w:hAnsi="Arial" w:cs="Arial"/>
                          <w:b/>
                          <w:bCs/>
                          <w:color w:val="FFFFFF" w:themeColor="background1"/>
                          <w:sz w:val="80"/>
                          <w:szCs w:val="80"/>
                          <w:lang w:val="en-US"/>
                        </w:rPr>
                      </w:pPr>
                      <w:bookmarkStart w:id="41" w:name="_ACRONYMS"/>
                      <w:bookmarkStart w:id="42" w:name="_Toc115369965"/>
                      <w:bookmarkStart w:id="43" w:name="_Toc115729040"/>
                      <w:bookmarkStart w:id="44" w:name="_Toc115877686"/>
                      <w:bookmarkStart w:id="45" w:name="_Toc116056970"/>
                      <w:bookmarkStart w:id="46" w:name="_Toc123828077"/>
                      <w:bookmarkStart w:id="47" w:name="_Toc123828287"/>
                      <w:bookmarkStart w:id="48" w:name="_Toc123828483"/>
                      <w:bookmarkStart w:id="49" w:name="_Toc123912510"/>
                      <w:bookmarkStart w:id="50" w:name="_Toc123912769"/>
                      <w:bookmarkStart w:id="51" w:name="_Toc123912996"/>
                      <w:bookmarkStart w:id="52" w:name="_Toc123913943"/>
                      <w:bookmarkStart w:id="53" w:name="_Toc125566562"/>
                      <w:bookmarkEnd w:id="41"/>
                      <w:r w:rsidRPr="003543F3">
                        <w:rPr>
                          <w:rFonts w:ascii="Arial" w:hAnsi="Arial" w:cs="Arial"/>
                          <w:b/>
                          <w:bCs/>
                          <w:color w:val="FFFFFF" w:themeColor="background1"/>
                          <w:sz w:val="80"/>
                          <w:szCs w:val="80"/>
                          <w:lang w:val="en-US"/>
                        </w:rPr>
                        <w:t>ACRONYMS</w:t>
                      </w:r>
                      <w:bookmarkEnd w:id="42"/>
                      <w:bookmarkEnd w:id="43"/>
                      <w:bookmarkEnd w:id="44"/>
                      <w:bookmarkEnd w:id="45"/>
                      <w:bookmarkEnd w:id="46"/>
                      <w:bookmarkEnd w:id="47"/>
                      <w:bookmarkEnd w:id="48"/>
                      <w:bookmarkEnd w:id="49"/>
                      <w:bookmarkEnd w:id="50"/>
                      <w:bookmarkEnd w:id="51"/>
                      <w:bookmarkEnd w:id="52"/>
                      <w:bookmarkEnd w:id="53"/>
                    </w:p>
                  </w:txbxContent>
                </v:textbox>
              </v:shape>
            </w:pict>
          </mc:Fallback>
        </mc:AlternateContent>
      </w:r>
    </w:p>
    <w:p w14:paraId="7364C279" w14:textId="634778A1" w:rsidR="00B46860" w:rsidRDefault="00B46860" w:rsidP="003A1BD2">
      <w:pPr>
        <w:spacing w:after="200"/>
        <w:rPr>
          <w:rFonts w:eastAsia="Calibri" w:cs="Calibri"/>
          <w:b/>
          <w:i/>
          <w:color w:val="404040"/>
          <w:sz w:val="21"/>
        </w:rPr>
      </w:pPr>
    </w:p>
    <w:p w14:paraId="26A43302" w14:textId="77777777" w:rsidR="00B46860" w:rsidRPr="00B46860" w:rsidRDefault="00B46860" w:rsidP="00B46860">
      <w:pPr>
        <w:rPr>
          <w:rFonts w:eastAsia="Calibri" w:cs="Calibri"/>
          <w:sz w:val="21"/>
        </w:rPr>
      </w:pPr>
    </w:p>
    <w:p w14:paraId="7E03FDA8" w14:textId="77777777" w:rsidR="00B46860" w:rsidRPr="00B46860" w:rsidRDefault="00B46860" w:rsidP="00B46860">
      <w:pPr>
        <w:rPr>
          <w:rFonts w:eastAsia="Calibri" w:cs="Calibri"/>
          <w:sz w:val="21"/>
        </w:rPr>
      </w:pPr>
    </w:p>
    <w:p w14:paraId="499B0163" w14:textId="444F328F" w:rsidR="00B46860" w:rsidRDefault="00B46860" w:rsidP="00B46860">
      <w:pPr>
        <w:rPr>
          <w:rFonts w:eastAsia="Calibri" w:cs="Calibri"/>
          <w:sz w:val="21"/>
        </w:rPr>
      </w:pPr>
    </w:p>
    <w:tbl>
      <w:tblPr>
        <w:tblStyle w:val="GridTable4-Accent61"/>
        <w:tblW w:w="0" w:type="auto"/>
        <w:tblCellMar>
          <w:top w:w="113" w:type="dxa"/>
          <w:bottom w:w="113" w:type="dxa"/>
        </w:tblCellMar>
        <w:tblLook w:val="04A0" w:firstRow="1" w:lastRow="0" w:firstColumn="1" w:lastColumn="0" w:noHBand="0" w:noVBand="1"/>
      </w:tblPr>
      <w:tblGrid>
        <w:gridCol w:w="2972"/>
        <w:gridCol w:w="7484"/>
      </w:tblGrid>
      <w:tr w:rsidR="000420EC" w14:paraId="510179D5" w14:textId="77777777" w:rsidTr="00AA32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456" w:type="dxa"/>
            <w:gridSpan w:val="2"/>
          </w:tcPr>
          <w:p w14:paraId="481E647A" w14:textId="77777777" w:rsidR="000420EC" w:rsidRDefault="000420EC" w:rsidP="00B46860">
            <w:pPr>
              <w:rPr>
                <w:rFonts w:cs="Calibri"/>
                <w:sz w:val="21"/>
              </w:rPr>
            </w:pPr>
          </w:p>
        </w:tc>
      </w:tr>
      <w:tr w:rsidR="00D962B4" w14:paraId="1F4BC0A6"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10043330" w14:textId="3F76C8CB" w:rsidR="00D962B4" w:rsidRPr="006A2E09" w:rsidRDefault="00D962B4" w:rsidP="00B46860">
            <w:pPr>
              <w:rPr>
                <w:rFonts w:ascii="Arial" w:hAnsi="Arial" w:cs="Arial"/>
                <w:color w:val="16988A"/>
                <w:sz w:val="24"/>
                <w:szCs w:val="24"/>
              </w:rPr>
            </w:pPr>
            <w:proofErr w:type="spellStart"/>
            <w:r>
              <w:rPr>
                <w:rFonts w:ascii="Arial" w:hAnsi="Arial" w:cs="Arial"/>
                <w:color w:val="16988A"/>
                <w:sz w:val="24"/>
                <w:szCs w:val="24"/>
              </w:rPr>
              <w:t>AFTx</w:t>
            </w:r>
            <w:proofErr w:type="spellEnd"/>
          </w:p>
        </w:tc>
        <w:tc>
          <w:tcPr>
            <w:tcW w:w="7484" w:type="dxa"/>
          </w:tcPr>
          <w:p w14:paraId="0C2C6C84" w14:textId="33EC0C0E" w:rsidR="00D962B4" w:rsidRPr="002F7AF5" w:rsidRDefault="00D962B4" w:rsidP="00D962B4">
            <w:pP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D962B4">
              <w:rPr>
                <w:rFonts w:ascii="Arial" w:hAnsi="Arial" w:cs="Arial"/>
                <w:bCs/>
                <w:sz w:val="24"/>
                <w:szCs w:val="24"/>
                <w:lang w:val="en-NZ"/>
              </w:rPr>
              <w:t>Advancing Fiscal Transparency for Development online course</w:t>
            </w:r>
          </w:p>
        </w:tc>
      </w:tr>
      <w:tr w:rsidR="000420EC" w14:paraId="00EAEC57"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40ABAE3B" w14:textId="41B7762D"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CIPFA</w:t>
            </w:r>
          </w:p>
        </w:tc>
        <w:tc>
          <w:tcPr>
            <w:tcW w:w="7484" w:type="dxa"/>
          </w:tcPr>
          <w:p w14:paraId="1547DCB6" w14:textId="21CB9DB7" w:rsidR="000420EC" w:rsidRDefault="000420EC" w:rsidP="00B46860">
            <w:pPr>
              <w:cnfStyle w:val="000000000000" w:firstRow="0" w:lastRow="0" w:firstColumn="0" w:lastColumn="0" w:oddVBand="0" w:evenVBand="0" w:oddHBand="0" w:evenHBand="0" w:firstRowFirstColumn="0" w:firstRowLastColumn="0" w:lastRowFirstColumn="0" w:lastRowLastColumn="0"/>
              <w:rPr>
                <w:rFonts w:cs="Calibri"/>
                <w:sz w:val="21"/>
              </w:rPr>
            </w:pPr>
            <w:r w:rsidRPr="002F7AF5">
              <w:rPr>
                <w:rFonts w:ascii="Arial" w:hAnsi="Arial" w:cs="Arial"/>
                <w:bCs/>
                <w:sz w:val="24"/>
                <w:szCs w:val="24"/>
              </w:rPr>
              <w:t>Chartered Institute of Public Finance and Accountancy</w:t>
            </w:r>
          </w:p>
        </w:tc>
      </w:tr>
      <w:tr w:rsidR="0092792D" w14:paraId="21D4D431"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30296B46" w14:textId="0384D4F4" w:rsidR="0092792D" w:rsidRPr="006A2E09" w:rsidRDefault="0092792D" w:rsidP="00B46860">
            <w:pPr>
              <w:rPr>
                <w:rFonts w:ascii="Arial" w:hAnsi="Arial" w:cs="Arial"/>
                <w:color w:val="16988A"/>
                <w:sz w:val="24"/>
                <w:szCs w:val="24"/>
              </w:rPr>
            </w:pPr>
            <w:r>
              <w:rPr>
                <w:rFonts w:ascii="Arial" w:hAnsi="Arial" w:cs="Arial"/>
                <w:color w:val="16988A"/>
                <w:sz w:val="24"/>
                <w:szCs w:val="24"/>
              </w:rPr>
              <w:t>COFOG</w:t>
            </w:r>
          </w:p>
        </w:tc>
        <w:tc>
          <w:tcPr>
            <w:tcW w:w="7484" w:type="dxa"/>
          </w:tcPr>
          <w:p w14:paraId="40052E7A" w14:textId="4F3F0E9A" w:rsidR="0092792D" w:rsidRPr="002F7AF5" w:rsidRDefault="0092792D"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3C7F">
              <w:rPr>
                <w:rFonts w:ascii="Arial" w:hAnsi="Arial" w:cs="Arial"/>
                <w:sz w:val="24"/>
                <w:szCs w:val="24"/>
                <w:lang w:val="en-NZ"/>
              </w:rPr>
              <w:t>U</w:t>
            </w:r>
            <w:r w:rsidR="0040401D">
              <w:rPr>
                <w:rFonts w:ascii="Arial" w:hAnsi="Arial" w:cs="Arial"/>
                <w:sz w:val="24"/>
                <w:szCs w:val="24"/>
                <w:lang w:val="en-NZ"/>
              </w:rPr>
              <w:t xml:space="preserve">nited </w:t>
            </w:r>
            <w:r w:rsidRPr="003C3C7F">
              <w:rPr>
                <w:rFonts w:ascii="Arial" w:hAnsi="Arial" w:cs="Arial"/>
                <w:sz w:val="24"/>
                <w:szCs w:val="24"/>
                <w:lang w:val="en-NZ"/>
              </w:rPr>
              <w:t>N</w:t>
            </w:r>
            <w:r w:rsidR="0040401D">
              <w:rPr>
                <w:rFonts w:ascii="Arial" w:hAnsi="Arial" w:cs="Arial"/>
                <w:sz w:val="24"/>
                <w:szCs w:val="24"/>
                <w:lang w:val="en-NZ"/>
              </w:rPr>
              <w:t>ations</w:t>
            </w:r>
            <w:r w:rsidR="00D5090A">
              <w:rPr>
                <w:rFonts w:ascii="Arial" w:hAnsi="Arial" w:cs="Arial"/>
                <w:sz w:val="24"/>
                <w:szCs w:val="24"/>
                <w:lang w:val="en-NZ"/>
              </w:rPr>
              <w:t>’</w:t>
            </w:r>
            <w:r w:rsidRPr="003C3C7F">
              <w:rPr>
                <w:rFonts w:ascii="Arial" w:hAnsi="Arial" w:cs="Arial"/>
                <w:sz w:val="24"/>
                <w:szCs w:val="24"/>
                <w:lang w:val="en-NZ"/>
              </w:rPr>
              <w:t xml:space="preserve"> Classification of the Functions of Government</w:t>
            </w:r>
          </w:p>
        </w:tc>
      </w:tr>
      <w:tr w:rsidR="00A94392" w14:paraId="36BC55D5"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22065B47" w14:textId="719822D1" w:rsidR="00A94392" w:rsidRPr="006A2E09" w:rsidRDefault="00A94392" w:rsidP="00B46860">
            <w:pPr>
              <w:rPr>
                <w:rFonts w:ascii="Arial" w:hAnsi="Arial" w:cs="Arial"/>
                <w:color w:val="16988A"/>
                <w:sz w:val="24"/>
                <w:szCs w:val="24"/>
              </w:rPr>
            </w:pPr>
            <w:proofErr w:type="spellStart"/>
            <w:r>
              <w:rPr>
                <w:rFonts w:ascii="Arial" w:hAnsi="Arial" w:cs="Arial"/>
                <w:color w:val="16988A"/>
                <w:sz w:val="24"/>
                <w:szCs w:val="24"/>
              </w:rPr>
              <w:t>CoST</w:t>
            </w:r>
            <w:proofErr w:type="spellEnd"/>
          </w:p>
        </w:tc>
        <w:tc>
          <w:tcPr>
            <w:tcW w:w="7484" w:type="dxa"/>
          </w:tcPr>
          <w:p w14:paraId="68E866CB" w14:textId="5D994CC3" w:rsidR="00A94392" w:rsidRPr="002F7AF5" w:rsidRDefault="00A94392"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94392">
              <w:rPr>
                <w:rFonts w:ascii="Arial" w:hAnsi="Arial" w:cs="Arial"/>
                <w:sz w:val="24"/>
                <w:szCs w:val="24"/>
              </w:rPr>
              <w:t>Construction Sector Transparency Initiative</w:t>
            </w:r>
          </w:p>
        </w:tc>
      </w:tr>
      <w:tr w:rsidR="000420EC" w14:paraId="633EB548"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4F797E40" w14:textId="16C45209"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CSO</w:t>
            </w:r>
            <w:r w:rsidRPr="006A2E09">
              <w:rPr>
                <w:rFonts w:ascii="Arial" w:hAnsi="Arial" w:cs="Arial"/>
                <w:color w:val="16988A"/>
                <w:sz w:val="24"/>
                <w:szCs w:val="24"/>
              </w:rPr>
              <w:tab/>
            </w:r>
          </w:p>
        </w:tc>
        <w:tc>
          <w:tcPr>
            <w:tcW w:w="7484" w:type="dxa"/>
          </w:tcPr>
          <w:p w14:paraId="02ED4362" w14:textId="76B48806" w:rsidR="000420EC" w:rsidRDefault="000420EC" w:rsidP="00B46860">
            <w:pPr>
              <w:cnfStyle w:val="000000000000" w:firstRow="0" w:lastRow="0" w:firstColumn="0" w:lastColumn="0" w:oddVBand="0" w:evenVBand="0" w:oddHBand="0" w:evenHBand="0" w:firstRowFirstColumn="0" w:firstRowLastColumn="0" w:lastRowFirstColumn="0" w:lastRowLastColumn="0"/>
              <w:rPr>
                <w:rFonts w:cs="Calibri"/>
                <w:sz w:val="21"/>
              </w:rPr>
            </w:pPr>
            <w:r w:rsidRPr="002F7AF5">
              <w:rPr>
                <w:rFonts w:ascii="Arial" w:hAnsi="Arial" w:cs="Arial"/>
                <w:sz w:val="24"/>
                <w:szCs w:val="24"/>
              </w:rPr>
              <w:t>Civil society organization</w:t>
            </w:r>
          </w:p>
        </w:tc>
      </w:tr>
      <w:tr w:rsidR="000420EC" w14:paraId="46A0E950"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77BD6B37" w14:textId="38864EA8"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EITI</w:t>
            </w:r>
            <w:r w:rsidRPr="006A2E09">
              <w:rPr>
                <w:rFonts w:ascii="Arial" w:hAnsi="Arial" w:cs="Arial"/>
                <w:color w:val="16988A"/>
                <w:sz w:val="24"/>
                <w:szCs w:val="24"/>
              </w:rPr>
              <w:tab/>
            </w:r>
          </w:p>
        </w:tc>
        <w:tc>
          <w:tcPr>
            <w:tcW w:w="7484" w:type="dxa"/>
          </w:tcPr>
          <w:p w14:paraId="38C70894" w14:textId="6AC50D99" w:rsidR="000420EC" w:rsidRDefault="000420EC" w:rsidP="00B46860">
            <w:pPr>
              <w:cnfStyle w:val="000000000000" w:firstRow="0" w:lastRow="0" w:firstColumn="0" w:lastColumn="0" w:oddVBand="0" w:evenVBand="0" w:oddHBand="0" w:evenHBand="0" w:firstRowFirstColumn="0" w:firstRowLastColumn="0" w:lastRowFirstColumn="0" w:lastRowLastColumn="0"/>
              <w:rPr>
                <w:rFonts w:cs="Calibri"/>
                <w:sz w:val="21"/>
              </w:rPr>
            </w:pPr>
            <w:r w:rsidRPr="002F7AF5">
              <w:rPr>
                <w:rFonts w:ascii="Arial" w:hAnsi="Arial" w:cs="Arial"/>
                <w:sz w:val="24"/>
                <w:szCs w:val="24"/>
              </w:rPr>
              <w:t>Extractive Industries Transparency Initiative</w:t>
            </w:r>
          </w:p>
        </w:tc>
      </w:tr>
      <w:tr w:rsidR="000F1D7A" w14:paraId="3CF31820"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193280EE" w14:textId="70143683" w:rsidR="000F1D7A" w:rsidRPr="006A2E09" w:rsidRDefault="000F1D7A" w:rsidP="00B46860">
            <w:pPr>
              <w:rPr>
                <w:rFonts w:ascii="Arial" w:hAnsi="Arial" w:cs="Arial"/>
                <w:color w:val="16988A"/>
                <w:sz w:val="24"/>
                <w:szCs w:val="24"/>
              </w:rPr>
            </w:pPr>
            <w:r>
              <w:rPr>
                <w:rFonts w:ascii="Arial" w:hAnsi="Arial" w:cs="Arial"/>
                <w:color w:val="16988A"/>
                <w:sz w:val="24"/>
                <w:szCs w:val="24"/>
              </w:rPr>
              <w:t>FMIS</w:t>
            </w:r>
          </w:p>
        </w:tc>
        <w:tc>
          <w:tcPr>
            <w:tcW w:w="7484" w:type="dxa"/>
          </w:tcPr>
          <w:p w14:paraId="4188ECD9" w14:textId="2B3F278C" w:rsidR="000F1D7A" w:rsidRPr="002F7AF5" w:rsidRDefault="000F1D7A" w:rsidP="000F1D7A">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F1D7A">
              <w:rPr>
                <w:rFonts w:ascii="Arial" w:hAnsi="Arial" w:cs="Arial"/>
                <w:sz w:val="24"/>
                <w:szCs w:val="24"/>
              </w:rPr>
              <w:t>Financial Management Information System</w:t>
            </w:r>
          </w:p>
        </w:tc>
      </w:tr>
      <w:tr w:rsidR="000420EC" w14:paraId="1E39B099"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262369D9" w14:textId="3FD12406"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FTE</w:t>
            </w:r>
          </w:p>
        </w:tc>
        <w:tc>
          <w:tcPr>
            <w:tcW w:w="7484" w:type="dxa"/>
          </w:tcPr>
          <w:p w14:paraId="37A05DC2" w14:textId="6E81E783" w:rsidR="000420EC" w:rsidRDefault="000420EC" w:rsidP="00B46860">
            <w:pPr>
              <w:cnfStyle w:val="000000000000" w:firstRow="0" w:lastRow="0" w:firstColumn="0" w:lastColumn="0" w:oddVBand="0" w:evenVBand="0" w:oddHBand="0" w:evenHBand="0" w:firstRowFirstColumn="0" w:firstRowLastColumn="0" w:lastRowFirstColumn="0" w:lastRowLastColumn="0"/>
              <w:rPr>
                <w:rFonts w:cs="Calibri"/>
                <w:sz w:val="21"/>
              </w:rPr>
            </w:pPr>
            <w:r w:rsidRPr="002F7AF5">
              <w:rPr>
                <w:rFonts w:ascii="Arial" w:hAnsi="Arial" w:cs="Arial"/>
                <w:sz w:val="24"/>
                <w:szCs w:val="24"/>
              </w:rPr>
              <w:t>Fiscal Transparency Evaluation</w:t>
            </w:r>
          </w:p>
        </w:tc>
      </w:tr>
      <w:tr w:rsidR="000420EC" w14:paraId="70F05168"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26389E3F" w14:textId="7A3CA5B2"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FTR</w:t>
            </w:r>
          </w:p>
        </w:tc>
        <w:tc>
          <w:tcPr>
            <w:tcW w:w="7484" w:type="dxa"/>
          </w:tcPr>
          <w:p w14:paraId="651BA75C" w14:textId="2B63C21B" w:rsidR="000420EC" w:rsidRDefault="000420EC" w:rsidP="00B46860">
            <w:pPr>
              <w:cnfStyle w:val="000000000000" w:firstRow="0" w:lastRow="0" w:firstColumn="0" w:lastColumn="0" w:oddVBand="0" w:evenVBand="0" w:oddHBand="0" w:evenHBand="0" w:firstRowFirstColumn="0" w:firstRowLastColumn="0" w:lastRowFirstColumn="0" w:lastRowLastColumn="0"/>
              <w:rPr>
                <w:rFonts w:cs="Calibri"/>
                <w:sz w:val="21"/>
              </w:rPr>
            </w:pPr>
            <w:r w:rsidRPr="002F7AF5">
              <w:rPr>
                <w:rFonts w:ascii="Arial" w:hAnsi="Arial" w:cs="Arial"/>
                <w:sz w:val="24"/>
                <w:szCs w:val="24"/>
              </w:rPr>
              <w:t>Fiscal Transparency Report</w:t>
            </w:r>
          </w:p>
        </w:tc>
      </w:tr>
      <w:tr w:rsidR="000420EC" w14:paraId="77C1436C"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4E6FEC94" w14:textId="343E988F"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GDP</w:t>
            </w:r>
            <w:r w:rsidRPr="006A2E09">
              <w:rPr>
                <w:rFonts w:ascii="Arial" w:hAnsi="Arial" w:cs="Arial"/>
                <w:color w:val="16988A"/>
                <w:sz w:val="24"/>
                <w:szCs w:val="24"/>
              </w:rPr>
              <w:tab/>
            </w:r>
          </w:p>
        </w:tc>
        <w:tc>
          <w:tcPr>
            <w:tcW w:w="7484" w:type="dxa"/>
          </w:tcPr>
          <w:p w14:paraId="36D3D5E3" w14:textId="2470258A" w:rsidR="000420EC" w:rsidRDefault="000420EC" w:rsidP="00B46860">
            <w:pPr>
              <w:cnfStyle w:val="000000000000" w:firstRow="0" w:lastRow="0" w:firstColumn="0" w:lastColumn="0" w:oddVBand="0" w:evenVBand="0" w:oddHBand="0" w:evenHBand="0" w:firstRowFirstColumn="0" w:firstRowLastColumn="0" w:lastRowFirstColumn="0" w:lastRowLastColumn="0"/>
              <w:rPr>
                <w:rFonts w:cs="Calibri"/>
                <w:sz w:val="21"/>
              </w:rPr>
            </w:pPr>
            <w:r w:rsidRPr="002F7AF5">
              <w:rPr>
                <w:rFonts w:ascii="Arial" w:hAnsi="Arial" w:cs="Arial"/>
                <w:sz w:val="24"/>
                <w:szCs w:val="24"/>
              </w:rPr>
              <w:t>Gross domestic product</w:t>
            </w:r>
          </w:p>
        </w:tc>
      </w:tr>
      <w:tr w:rsidR="0092792D" w14:paraId="7BA465E1"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691BC11C" w14:textId="62283C21" w:rsidR="0092792D" w:rsidRPr="006A2E09" w:rsidRDefault="00E00B16" w:rsidP="00B46860">
            <w:pPr>
              <w:rPr>
                <w:rFonts w:ascii="Arial" w:hAnsi="Arial" w:cs="Arial"/>
                <w:color w:val="16988A"/>
                <w:sz w:val="24"/>
                <w:szCs w:val="24"/>
              </w:rPr>
            </w:pPr>
            <w:r>
              <w:rPr>
                <w:rFonts w:ascii="Arial" w:hAnsi="Arial" w:cs="Arial"/>
                <w:color w:val="16988A"/>
                <w:sz w:val="24"/>
                <w:szCs w:val="24"/>
              </w:rPr>
              <w:t>GDDS</w:t>
            </w:r>
          </w:p>
        </w:tc>
        <w:tc>
          <w:tcPr>
            <w:tcW w:w="7484" w:type="dxa"/>
          </w:tcPr>
          <w:p w14:paraId="68CC2B42" w14:textId="191BE3A8" w:rsidR="0092792D" w:rsidRPr="002F7AF5" w:rsidRDefault="00E00B16"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00B16">
              <w:rPr>
                <w:rFonts w:ascii="Arial" w:hAnsi="Arial" w:cs="Arial"/>
                <w:iCs/>
                <w:sz w:val="24"/>
                <w:szCs w:val="24"/>
                <w:lang w:val="en-NZ"/>
              </w:rPr>
              <w:t>General Data Dissemination System</w:t>
            </w:r>
          </w:p>
        </w:tc>
      </w:tr>
      <w:tr w:rsidR="000420EC" w14:paraId="311A8326" w14:textId="77777777" w:rsidTr="006A2E09">
        <w:tc>
          <w:tcPr>
            <w:cnfStyle w:val="001000000000" w:firstRow="0" w:lastRow="0" w:firstColumn="1" w:lastColumn="0" w:oddVBand="0" w:evenVBand="0" w:oddHBand="0" w:evenHBand="0" w:firstRowFirstColumn="0" w:firstRowLastColumn="0" w:lastRowFirstColumn="0" w:lastRowLastColumn="0"/>
            <w:tcW w:w="2972" w:type="dxa"/>
          </w:tcPr>
          <w:p w14:paraId="4C447DE5" w14:textId="4792531D"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GFS</w:t>
            </w:r>
          </w:p>
        </w:tc>
        <w:tc>
          <w:tcPr>
            <w:tcW w:w="7484" w:type="dxa"/>
          </w:tcPr>
          <w:p w14:paraId="7A9E972D" w14:textId="17FD3A98" w:rsidR="000420EC" w:rsidRDefault="000420EC" w:rsidP="00B46860">
            <w:pPr>
              <w:cnfStyle w:val="000000000000" w:firstRow="0" w:lastRow="0" w:firstColumn="0" w:lastColumn="0" w:oddVBand="0" w:evenVBand="0" w:oddHBand="0" w:evenHBand="0" w:firstRowFirstColumn="0" w:firstRowLastColumn="0" w:lastRowFirstColumn="0" w:lastRowLastColumn="0"/>
              <w:rPr>
                <w:rFonts w:cs="Calibri"/>
                <w:sz w:val="21"/>
              </w:rPr>
            </w:pPr>
            <w:r w:rsidRPr="002F7AF5">
              <w:rPr>
                <w:rFonts w:ascii="Arial" w:hAnsi="Arial" w:cs="Arial"/>
                <w:sz w:val="24"/>
                <w:szCs w:val="24"/>
              </w:rPr>
              <w:t>Government Finance Statistics</w:t>
            </w:r>
          </w:p>
        </w:tc>
      </w:tr>
      <w:tr w:rsidR="000420EC" w14:paraId="58DA370B"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0A77D6A4" w14:textId="6613AA6D"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GIFT</w:t>
            </w:r>
            <w:r w:rsidRPr="006A2E09">
              <w:rPr>
                <w:rFonts w:ascii="Arial" w:hAnsi="Arial" w:cs="Arial"/>
                <w:color w:val="16988A"/>
                <w:sz w:val="24"/>
                <w:szCs w:val="24"/>
              </w:rPr>
              <w:tab/>
            </w:r>
          </w:p>
        </w:tc>
        <w:tc>
          <w:tcPr>
            <w:tcW w:w="7484" w:type="dxa"/>
          </w:tcPr>
          <w:p w14:paraId="3271F53F" w14:textId="651BFD88"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Global Initiative for Fiscal Transparency</w:t>
            </w:r>
          </w:p>
        </w:tc>
      </w:tr>
      <w:tr w:rsidR="00A23153" w14:paraId="2D05A3EA"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32E6E5E1" w14:textId="34F10AEB" w:rsidR="00A23153" w:rsidRDefault="00A23153" w:rsidP="00B46860">
            <w:pPr>
              <w:rPr>
                <w:rFonts w:ascii="Arial" w:hAnsi="Arial" w:cs="Arial"/>
                <w:color w:val="16988A"/>
                <w:sz w:val="24"/>
                <w:szCs w:val="24"/>
              </w:rPr>
            </w:pPr>
            <w:r>
              <w:rPr>
                <w:rFonts w:ascii="Arial" w:hAnsi="Arial" w:cs="Arial"/>
                <w:color w:val="16988A"/>
                <w:sz w:val="24"/>
                <w:szCs w:val="24"/>
              </w:rPr>
              <w:t>GPS</w:t>
            </w:r>
          </w:p>
        </w:tc>
        <w:tc>
          <w:tcPr>
            <w:tcW w:w="7484" w:type="dxa"/>
          </w:tcPr>
          <w:p w14:paraId="5F0DBC82" w14:textId="5D272A5A" w:rsidR="00A23153" w:rsidRPr="002624AA" w:rsidRDefault="00A23153"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23153">
              <w:rPr>
                <w:rFonts w:ascii="Arial" w:hAnsi="Arial" w:cs="Arial"/>
                <w:sz w:val="24"/>
                <w:szCs w:val="24"/>
              </w:rPr>
              <w:t>Global Positioning System</w:t>
            </w:r>
          </w:p>
        </w:tc>
      </w:tr>
      <w:tr w:rsidR="002624AA" w14:paraId="79A0F992"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F658493" w14:textId="6CDC0D83" w:rsidR="002624AA" w:rsidRPr="006A2E09" w:rsidRDefault="002624AA" w:rsidP="00B46860">
            <w:pPr>
              <w:rPr>
                <w:rFonts w:ascii="Arial" w:hAnsi="Arial" w:cs="Arial"/>
                <w:color w:val="16988A"/>
                <w:sz w:val="24"/>
                <w:szCs w:val="24"/>
              </w:rPr>
            </w:pPr>
            <w:r>
              <w:rPr>
                <w:rFonts w:ascii="Arial" w:hAnsi="Arial" w:cs="Arial"/>
                <w:color w:val="16988A"/>
                <w:sz w:val="24"/>
                <w:szCs w:val="24"/>
              </w:rPr>
              <w:t>IATI</w:t>
            </w:r>
          </w:p>
        </w:tc>
        <w:tc>
          <w:tcPr>
            <w:tcW w:w="7484" w:type="dxa"/>
          </w:tcPr>
          <w:p w14:paraId="549BD757" w14:textId="1B5A90F2" w:rsidR="002624AA" w:rsidRPr="002F7AF5" w:rsidRDefault="002624AA"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624AA">
              <w:rPr>
                <w:rFonts w:ascii="Arial" w:hAnsi="Arial" w:cs="Arial"/>
                <w:sz w:val="24"/>
                <w:szCs w:val="24"/>
              </w:rPr>
              <w:t>International Aid Transparency Initiative</w:t>
            </w:r>
          </w:p>
        </w:tc>
      </w:tr>
      <w:tr w:rsidR="00DB3A87" w14:paraId="60B9CE9D"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D18FFE9" w14:textId="73CE2538" w:rsidR="00DB3A87" w:rsidRDefault="00DB3A87" w:rsidP="00B46860">
            <w:pPr>
              <w:rPr>
                <w:rFonts w:ascii="Arial" w:hAnsi="Arial" w:cs="Arial"/>
                <w:color w:val="16988A"/>
                <w:sz w:val="24"/>
                <w:szCs w:val="24"/>
              </w:rPr>
            </w:pPr>
            <w:r>
              <w:rPr>
                <w:rFonts w:ascii="Arial" w:hAnsi="Arial" w:cs="Arial"/>
                <w:color w:val="16988A"/>
                <w:sz w:val="24"/>
                <w:szCs w:val="24"/>
              </w:rPr>
              <w:t>IFMIS</w:t>
            </w:r>
          </w:p>
        </w:tc>
        <w:tc>
          <w:tcPr>
            <w:tcW w:w="7484" w:type="dxa"/>
          </w:tcPr>
          <w:p w14:paraId="231E6949" w14:textId="210E3D42" w:rsidR="00DB3A87" w:rsidRPr="002624AA" w:rsidRDefault="00DB3A87"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lang w:val="en-NZ"/>
              </w:rPr>
              <w:t xml:space="preserve">Integrated </w:t>
            </w:r>
            <w:r w:rsidRPr="00DB3A87">
              <w:rPr>
                <w:rFonts w:ascii="Arial" w:hAnsi="Arial" w:cs="Arial"/>
                <w:sz w:val="24"/>
                <w:szCs w:val="24"/>
                <w:lang w:val="en-NZ"/>
              </w:rPr>
              <w:t>Financial Management Information System</w:t>
            </w:r>
          </w:p>
        </w:tc>
      </w:tr>
      <w:tr w:rsidR="000420EC" w14:paraId="019FB51A"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66C830EE" w14:textId="2235925A"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IBP</w:t>
            </w:r>
          </w:p>
        </w:tc>
        <w:tc>
          <w:tcPr>
            <w:tcW w:w="7484" w:type="dxa"/>
          </w:tcPr>
          <w:p w14:paraId="290A0CF4" w14:textId="3E2411AB"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International Budget Partnership</w:t>
            </w:r>
          </w:p>
        </w:tc>
      </w:tr>
      <w:tr w:rsidR="009266A7" w14:paraId="62280703"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B52CB0B" w14:textId="33DD8232" w:rsidR="009266A7" w:rsidRPr="006A2E09" w:rsidRDefault="009266A7" w:rsidP="00B46860">
            <w:pPr>
              <w:rPr>
                <w:rFonts w:ascii="Arial" w:hAnsi="Arial" w:cs="Arial"/>
                <w:color w:val="16988A"/>
                <w:sz w:val="24"/>
                <w:szCs w:val="24"/>
              </w:rPr>
            </w:pPr>
            <w:r>
              <w:rPr>
                <w:rFonts w:ascii="Arial" w:hAnsi="Arial" w:cs="Arial"/>
                <w:color w:val="16988A"/>
                <w:sz w:val="24"/>
                <w:szCs w:val="24"/>
              </w:rPr>
              <w:t>ICT</w:t>
            </w:r>
          </w:p>
        </w:tc>
        <w:tc>
          <w:tcPr>
            <w:tcW w:w="7484" w:type="dxa"/>
          </w:tcPr>
          <w:p w14:paraId="124452C5" w14:textId="4AFCB5DB" w:rsidR="009266A7" w:rsidRPr="002F7AF5" w:rsidRDefault="009266A7" w:rsidP="009266A7">
            <w:pP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9266A7">
              <w:rPr>
                <w:rFonts w:ascii="Arial" w:hAnsi="Arial" w:cs="Arial"/>
                <w:bCs/>
                <w:sz w:val="24"/>
                <w:szCs w:val="24"/>
              </w:rPr>
              <w:t>Information and communication technolog</w:t>
            </w:r>
            <w:r>
              <w:rPr>
                <w:rFonts w:ascii="Arial" w:hAnsi="Arial" w:cs="Arial"/>
                <w:bCs/>
                <w:sz w:val="24"/>
                <w:szCs w:val="24"/>
              </w:rPr>
              <w:t>y</w:t>
            </w:r>
          </w:p>
        </w:tc>
      </w:tr>
      <w:tr w:rsidR="000420EC" w14:paraId="5D621F56"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2C5B75C4" w14:textId="3FDC15D4"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IFAC</w:t>
            </w:r>
            <w:r w:rsidRPr="006A2E09">
              <w:rPr>
                <w:rFonts w:ascii="Arial" w:hAnsi="Arial" w:cs="Arial"/>
                <w:color w:val="16988A"/>
                <w:sz w:val="24"/>
                <w:szCs w:val="24"/>
              </w:rPr>
              <w:tab/>
            </w:r>
          </w:p>
        </w:tc>
        <w:tc>
          <w:tcPr>
            <w:tcW w:w="7484" w:type="dxa"/>
          </w:tcPr>
          <w:p w14:paraId="4BC19AF2" w14:textId="79E3C836"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bCs/>
                <w:sz w:val="24"/>
                <w:szCs w:val="24"/>
              </w:rPr>
              <w:t>International Federation of Accountants</w:t>
            </w:r>
          </w:p>
        </w:tc>
      </w:tr>
      <w:tr w:rsidR="000420EC" w14:paraId="50F13606"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4A0F2745" w14:textId="5FEE56DF"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IFPP</w:t>
            </w:r>
          </w:p>
        </w:tc>
        <w:tc>
          <w:tcPr>
            <w:tcW w:w="7484" w:type="dxa"/>
          </w:tcPr>
          <w:p w14:paraId="42625204" w14:textId="5654AFDE" w:rsidR="000420EC" w:rsidRPr="000420EC"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bCs/>
                <w:sz w:val="24"/>
                <w:szCs w:val="24"/>
              </w:rPr>
              <w:t>INTOSAI Framework of Professional Pronouncements</w:t>
            </w:r>
          </w:p>
        </w:tc>
      </w:tr>
      <w:tr w:rsidR="000420EC" w14:paraId="3A734162"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332DDA79" w14:textId="77A5D74E"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IMF</w:t>
            </w:r>
            <w:r w:rsidRPr="006A2E09">
              <w:rPr>
                <w:rFonts w:ascii="Arial" w:hAnsi="Arial" w:cs="Arial"/>
                <w:color w:val="16988A"/>
                <w:sz w:val="24"/>
                <w:szCs w:val="24"/>
              </w:rPr>
              <w:tab/>
            </w:r>
          </w:p>
        </w:tc>
        <w:tc>
          <w:tcPr>
            <w:tcW w:w="7484" w:type="dxa"/>
          </w:tcPr>
          <w:p w14:paraId="01231898" w14:textId="110633C2"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2F7AF5">
              <w:rPr>
                <w:rFonts w:ascii="Arial" w:hAnsi="Arial" w:cs="Arial"/>
                <w:sz w:val="24"/>
                <w:szCs w:val="24"/>
              </w:rPr>
              <w:t>International Monetary Fund</w:t>
            </w:r>
          </w:p>
        </w:tc>
      </w:tr>
      <w:tr w:rsidR="000420EC" w14:paraId="7665262E"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4AA54465" w14:textId="418A4326"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INTOSAI</w:t>
            </w:r>
          </w:p>
        </w:tc>
        <w:tc>
          <w:tcPr>
            <w:tcW w:w="7484" w:type="dxa"/>
          </w:tcPr>
          <w:p w14:paraId="413DAEBB" w14:textId="099EE9EF"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International Organization of Supreme Audit Institutions</w:t>
            </w:r>
          </w:p>
        </w:tc>
      </w:tr>
      <w:tr w:rsidR="000420EC" w14:paraId="325AA555"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4C149FB" w14:textId="45DB30F0"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IPAP</w:t>
            </w:r>
            <w:r w:rsidRPr="006A2E09">
              <w:rPr>
                <w:rFonts w:ascii="Arial" w:hAnsi="Arial" w:cs="Arial"/>
                <w:color w:val="16988A"/>
                <w:sz w:val="24"/>
                <w:szCs w:val="24"/>
              </w:rPr>
              <w:tab/>
            </w:r>
          </w:p>
        </w:tc>
        <w:tc>
          <w:tcPr>
            <w:tcW w:w="7484" w:type="dxa"/>
          </w:tcPr>
          <w:p w14:paraId="16400DB5" w14:textId="2E82E300"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International Association for Public Participation</w:t>
            </w:r>
          </w:p>
        </w:tc>
      </w:tr>
      <w:tr w:rsidR="000420EC" w14:paraId="66CAE3CB"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002629D2" w14:textId="77FEB509"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lastRenderedPageBreak/>
              <w:t>IPSAS</w:t>
            </w:r>
            <w:r w:rsidRPr="006A2E09">
              <w:rPr>
                <w:rFonts w:ascii="Arial" w:hAnsi="Arial" w:cs="Arial"/>
                <w:color w:val="16988A"/>
                <w:sz w:val="24"/>
                <w:szCs w:val="24"/>
              </w:rPr>
              <w:tab/>
            </w:r>
          </w:p>
        </w:tc>
        <w:tc>
          <w:tcPr>
            <w:tcW w:w="7484" w:type="dxa"/>
          </w:tcPr>
          <w:p w14:paraId="531EFC89" w14:textId="3CC4DD31" w:rsidR="000420EC" w:rsidRPr="002F7AF5" w:rsidRDefault="000420EC" w:rsidP="00BF509C">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 xml:space="preserve">International Public Sector Accounting Standards </w:t>
            </w:r>
          </w:p>
        </w:tc>
      </w:tr>
      <w:tr w:rsidR="00383CA1" w14:paraId="5F71937A"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DFEAB32" w14:textId="5C33ACD0" w:rsidR="00383CA1" w:rsidRPr="006A2E09" w:rsidRDefault="00383CA1" w:rsidP="00B46860">
            <w:pPr>
              <w:rPr>
                <w:rFonts w:ascii="Arial" w:hAnsi="Arial" w:cs="Arial"/>
                <w:color w:val="16988A"/>
                <w:sz w:val="24"/>
                <w:szCs w:val="24"/>
              </w:rPr>
            </w:pPr>
            <w:r>
              <w:rPr>
                <w:rFonts w:ascii="Arial" w:hAnsi="Arial" w:cs="Arial"/>
                <w:color w:val="16988A"/>
                <w:sz w:val="24"/>
                <w:szCs w:val="24"/>
              </w:rPr>
              <w:t>ISO</w:t>
            </w:r>
          </w:p>
        </w:tc>
        <w:tc>
          <w:tcPr>
            <w:tcW w:w="7484" w:type="dxa"/>
          </w:tcPr>
          <w:p w14:paraId="0DFA894A" w14:textId="36B662D2" w:rsidR="00383CA1" w:rsidRPr="002F7AF5" w:rsidRDefault="00383CA1"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83CA1">
              <w:rPr>
                <w:rFonts w:ascii="Arial" w:hAnsi="Arial" w:cs="Arial"/>
                <w:sz w:val="24"/>
                <w:szCs w:val="24"/>
              </w:rPr>
              <w:t>International Organization for Standardization</w:t>
            </w:r>
          </w:p>
        </w:tc>
      </w:tr>
      <w:tr w:rsidR="000420EC" w14:paraId="33B0CA8D"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434DA252" w14:textId="3EF8C80B"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ISSAI</w:t>
            </w:r>
            <w:r w:rsidRPr="006A2E09">
              <w:rPr>
                <w:rFonts w:ascii="Arial" w:hAnsi="Arial" w:cs="Arial"/>
                <w:color w:val="16988A"/>
                <w:sz w:val="24"/>
                <w:szCs w:val="24"/>
              </w:rPr>
              <w:tab/>
            </w:r>
          </w:p>
        </w:tc>
        <w:tc>
          <w:tcPr>
            <w:tcW w:w="7484" w:type="dxa"/>
          </w:tcPr>
          <w:p w14:paraId="1458F4B7" w14:textId="19BE5CBE"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International Standards of Supreme Audit Institutions</w:t>
            </w:r>
          </w:p>
        </w:tc>
      </w:tr>
      <w:tr w:rsidR="00505B84" w14:paraId="541637D8"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0F473555" w14:textId="694E488D" w:rsidR="00505B84" w:rsidRDefault="00505B84" w:rsidP="00B46860">
            <w:pPr>
              <w:rPr>
                <w:rFonts w:ascii="Arial" w:hAnsi="Arial" w:cs="Arial"/>
                <w:color w:val="16988A"/>
                <w:sz w:val="24"/>
                <w:szCs w:val="24"/>
              </w:rPr>
            </w:pPr>
            <w:r>
              <w:rPr>
                <w:rFonts w:ascii="Arial" w:hAnsi="Arial" w:cs="Arial"/>
                <w:color w:val="16988A"/>
                <w:sz w:val="24"/>
                <w:szCs w:val="24"/>
              </w:rPr>
              <w:t>MTBF</w:t>
            </w:r>
          </w:p>
        </w:tc>
        <w:tc>
          <w:tcPr>
            <w:tcW w:w="7484" w:type="dxa"/>
          </w:tcPr>
          <w:p w14:paraId="39D5A48B" w14:textId="28A1D2D2" w:rsidR="00505B84" w:rsidRPr="00480205" w:rsidRDefault="00505B84"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05B84">
              <w:rPr>
                <w:rFonts w:ascii="Arial" w:hAnsi="Arial" w:cs="Arial"/>
                <w:sz w:val="24"/>
                <w:szCs w:val="24"/>
                <w:lang w:val="en-NZ"/>
              </w:rPr>
              <w:t>Medium-term budget framework</w:t>
            </w:r>
          </w:p>
        </w:tc>
      </w:tr>
      <w:tr w:rsidR="00480205" w14:paraId="514ADC82"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49E4036A" w14:textId="552AE17D" w:rsidR="00480205" w:rsidRPr="006A2E09" w:rsidRDefault="00480205" w:rsidP="00B46860">
            <w:pPr>
              <w:rPr>
                <w:rFonts w:ascii="Arial" w:hAnsi="Arial" w:cs="Arial"/>
                <w:color w:val="16988A"/>
                <w:sz w:val="24"/>
                <w:szCs w:val="24"/>
              </w:rPr>
            </w:pPr>
            <w:r>
              <w:rPr>
                <w:rFonts w:ascii="Arial" w:hAnsi="Arial" w:cs="Arial"/>
                <w:color w:val="16988A"/>
                <w:sz w:val="24"/>
                <w:szCs w:val="24"/>
              </w:rPr>
              <w:t>MTFF</w:t>
            </w:r>
          </w:p>
        </w:tc>
        <w:tc>
          <w:tcPr>
            <w:tcW w:w="7484" w:type="dxa"/>
          </w:tcPr>
          <w:p w14:paraId="4B63DE10" w14:textId="4BBFAF1F" w:rsidR="00480205" w:rsidRPr="002F7AF5" w:rsidRDefault="00480205"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80205">
              <w:rPr>
                <w:rFonts w:ascii="Arial" w:hAnsi="Arial" w:cs="Arial"/>
                <w:sz w:val="24"/>
                <w:szCs w:val="24"/>
              </w:rPr>
              <w:t>Medium</w:t>
            </w:r>
            <w:r w:rsidR="006B34AD">
              <w:rPr>
                <w:rFonts w:ascii="Arial" w:hAnsi="Arial" w:cs="Arial"/>
                <w:sz w:val="24"/>
                <w:szCs w:val="24"/>
              </w:rPr>
              <w:t>-</w:t>
            </w:r>
            <w:r w:rsidR="00634F41" w:rsidRPr="00480205">
              <w:rPr>
                <w:rFonts w:ascii="Arial" w:hAnsi="Arial" w:cs="Arial"/>
                <w:sz w:val="24"/>
                <w:szCs w:val="24"/>
              </w:rPr>
              <w:t>term fiscal framework</w:t>
            </w:r>
          </w:p>
        </w:tc>
      </w:tr>
      <w:tr w:rsidR="00FA2620" w14:paraId="7BF19C5B"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098BB2FF" w14:textId="77A58BE8" w:rsidR="00FA2620" w:rsidRPr="006A2E09" w:rsidRDefault="00FA2620" w:rsidP="00B46860">
            <w:pPr>
              <w:rPr>
                <w:rFonts w:ascii="Arial" w:hAnsi="Arial" w:cs="Arial"/>
                <w:color w:val="16988A"/>
                <w:sz w:val="24"/>
                <w:szCs w:val="24"/>
              </w:rPr>
            </w:pPr>
            <w:r>
              <w:rPr>
                <w:rFonts w:ascii="Arial" w:hAnsi="Arial" w:cs="Arial"/>
                <w:color w:val="16988A"/>
                <w:sz w:val="24"/>
                <w:szCs w:val="24"/>
              </w:rPr>
              <w:t>OBI</w:t>
            </w:r>
          </w:p>
        </w:tc>
        <w:tc>
          <w:tcPr>
            <w:tcW w:w="7484" w:type="dxa"/>
          </w:tcPr>
          <w:p w14:paraId="4F5E9E74" w14:textId="2442A32D" w:rsidR="00FA2620" w:rsidRPr="002F7AF5" w:rsidRDefault="00FA2620"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Open Budget Index</w:t>
            </w:r>
          </w:p>
        </w:tc>
      </w:tr>
      <w:tr w:rsidR="000420EC" w14:paraId="27B25D60"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47E3363C" w14:textId="0021190A"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OBS</w:t>
            </w:r>
          </w:p>
        </w:tc>
        <w:tc>
          <w:tcPr>
            <w:tcW w:w="7484" w:type="dxa"/>
          </w:tcPr>
          <w:p w14:paraId="72A4648D" w14:textId="7367CB31"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Open Budget Survey</w:t>
            </w:r>
          </w:p>
        </w:tc>
      </w:tr>
      <w:tr w:rsidR="005F1702" w14:paraId="1A54EAEE"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7A8510AC" w14:textId="343F2D0A" w:rsidR="005F1702" w:rsidRPr="006A2E09" w:rsidRDefault="005F1702" w:rsidP="00B46860">
            <w:pPr>
              <w:rPr>
                <w:rFonts w:ascii="Arial" w:hAnsi="Arial" w:cs="Arial"/>
                <w:color w:val="16988A"/>
                <w:sz w:val="24"/>
                <w:szCs w:val="24"/>
              </w:rPr>
            </w:pPr>
            <w:r>
              <w:rPr>
                <w:rFonts w:ascii="Arial" w:hAnsi="Arial" w:cs="Arial"/>
                <w:color w:val="16988A"/>
                <w:sz w:val="24"/>
                <w:szCs w:val="24"/>
              </w:rPr>
              <w:t>OCDS</w:t>
            </w:r>
          </w:p>
        </w:tc>
        <w:tc>
          <w:tcPr>
            <w:tcW w:w="7484" w:type="dxa"/>
          </w:tcPr>
          <w:p w14:paraId="5DDDA021" w14:textId="47644D99" w:rsidR="005F1702" w:rsidRPr="002F7AF5" w:rsidRDefault="005F1702"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5F1702">
              <w:rPr>
                <w:rFonts w:ascii="Arial" w:hAnsi="Arial" w:cs="Arial"/>
                <w:sz w:val="24"/>
                <w:szCs w:val="24"/>
              </w:rPr>
              <w:t>Open Contracting Data Standard</w:t>
            </w:r>
          </w:p>
        </w:tc>
      </w:tr>
      <w:tr w:rsidR="00F2115D" w14:paraId="43FFDD01"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7995C5F0" w14:textId="1BAFF9CB" w:rsidR="00F2115D" w:rsidRDefault="00F2115D" w:rsidP="00B46860">
            <w:pPr>
              <w:rPr>
                <w:rFonts w:ascii="Arial" w:hAnsi="Arial" w:cs="Arial"/>
                <w:color w:val="16988A"/>
                <w:sz w:val="24"/>
                <w:szCs w:val="24"/>
              </w:rPr>
            </w:pPr>
            <w:r>
              <w:rPr>
                <w:rFonts w:ascii="Arial" w:hAnsi="Arial" w:cs="Arial"/>
                <w:color w:val="16988A"/>
                <w:sz w:val="24"/>
                <w:szCs w:val="24"/>
              </w:rPr>
              <w:t>OCP</w:t>
            </w:r>
          </w:p>
        </w:tc>
        <w:tc>
          <w:tcPr>
            <w:tcW w:w="7484" w:type="dxa"/>
          </w:tcPr>
          <w:p w14:paraId="01D7846C" w14:textId="097BDBC2" w:rsidR="00F2115D" w:rsidRPr="00622D24" w:rsidRDefault="00F2115D"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Open Contracting Partnership </w:t>
            </w:r>
          </w:p>
        </w:tc>
      </w:tr>
      <w:tr w:rsidR="00622D24" w14:paraId="7A680733"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4E48A3DC" w14:textId="3331C0D3" w:rsidR="00622D24" w:rsidRPr="006A2E09" w:rsidRDefault="00622D24" w:rsidP="00B46860">
            <w:pPr>
              <w:rPr>
                <w:rFonts w:ascii="Arial" w:hAnsi="Arial" w:cs="Arial"/>
                <w:color w:val="16988A"/>
                <w:sz w:val="24"/>
                <w:szCs w:val="24"/>
              </w:rPr>
            </w:pPr>
            <w:r>
              <w:rPr>
                <w:rFonts w:ascii="Arial" w:hAnsi="Arial" w:cs="Arial"/>
                <w:color w:val="16988A"/>
                <w:sz w:val="24"/>
                <w:szCs w:val="24"/>
              </w:rPr>
              <w:t>ODA</w:t>
            </w:r>
          </w:p>
        </w:tc>
        <w:tc>
          <w:tcPr>
            <w:tcW w:w="7484" w:type="dxa"/>
          </w:tcPr>
          <w:p w14:paraId="53C2FCC6" w14:textId="244B3F63" w:rsidR="00622D24" w:rsidRPr="002F7AF5" w:rsidRDefault="00622D24"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22D24">
              <w:rPr>
                <w:rFonts w:ascii="Arial" w:hAnsi="Arial" w:cs="Arial"/>
                <w:sz w:val="24"/>
                <w:szCs w:val="24"/>
              </w:rPr>
              <w:t>Official development assistance</w:t>
            </w:r>
          </w:p>
        </w:tc>
      </w:tr>
      <w:tr w:rsidR="000420EC" w14:paraId="140C6826"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2627D72B" w14:textId="1C3BB623"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OECD</w:t>
            </w:r>
            <w:r w:rsidRPr="006A2E09">
              <w:rPr>
                <w:rFonts w:ascii="Arial" w:hAnsi="Arial" w:cs="Arial"/>
                <w:color w:val="16988A"/>
                <w:sz w:val="24"/>
                <w:szCs w:val="24"/>
              </w:rPr>
              <w:tab/>
            </w:r>
          </w:p>
        </w:tc>
        <w:tc>
          <w:tcPr>
            <w:tcW w:w="7484" w:type="dxa"/>
          </w:tcPr>
          <w:p w14:paraId="6176579F" w14:textId="638D25B0"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Organization for Economic Co-operation and Development</w:t>
            </w:r>
          </w:p>
        </w:tc>
      </w:tr>
      <w:tr w:rsidR="000420EC" w14:paraId="68201DFC"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5538734" w14:textId="3A966A0D"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OGP</w:t>
            </w:r>
          </w:p>
        </w:tc>
        <w:tc>
          <w:tcPr>
            <w:tcW w:w="7484" w:type="dxa"/>
          </w:tcPr>
          <w:p w14:paraId="0076C996" w14:textId="42458CD8"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Open Government Partnership</w:t>
            </w:r>
          </w:p>
        </w:tc>
      </w:tr>
      <w:tr w:rsidR="00D1008F" w14:paraId="09E0C838"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1A27C0CC" w14:textId="6507B13E" w:rsidR="00D1008F" w:rsidRPr="006A2E09" w:rsidRDefault="00D1008F" w:rsidP="00B46860">
            <w:pPr>
              <w:rPr>
                <w:rFonts w:ascii="Arial" w:hAnsi="Arial" w:cs="Arial"/>
                <w:color w:val="16988A"/>
                <w:sz w:val="24"/>
                <w:szCs w:val="24"/>
              </w:rPr>
            </w:pPr>
            <w:r>
              <w:rPr>
                <w:rFonts w:ascii="Arial" w:hAnsi="Arial" w:cs="Arial"/>
                <w:color w:val="16988A"/>
                <w:sz w:val="24"/>
                <w:szCs w:val="24"/>
              </w:rPr>
              <w:t>PDF</w:t>
            </w:r>
          </w:p>
        </w:tc>
        <w:tc>
          <w:tcPr>
            <w:tcW w:w="7484" w:type="dxa"/>
          </w:tcPr>
          <w:p w14:paraId="021C11BA" w14:textId="48277DDD" w:rsidR="00D1008F" w:rsidRPr="002F7AF5" w:rsidRDefault="00D1008F"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1008F">
              <w:rPr>
                <w:rFonts w:ascii="Arial" w:hAnsi="Arial" w:cs="Arial"/>
                <w:sz w:val="24"/>
                <w:szCs w:val="24"/>
              </w:rPr>
              <w:t>Portable Document Format</w:t>
            </w:r>
          </w:p>
        </w:tc>
      </w:tr>
      <w:tr w:rsidR="000420EC" w14:paraId="1F542F44"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675BB911" w14:textId="3EB12F88"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PEFA</w:t>
            </w:r>
            <w:r w:rsidRPr="006A2E09">
              <w:rPr>
                <w:rFonts w:ascii="Arial" w:hAnsi="Arial" w:cs="Arial"/>
                <w:color w:val="16988A"/>
                <w:sz w:val="24"/>
                <w:szCs w:val="24"/>
              </w:rPr>
              <w:tab/>
            </w:r>
          </w:p>
        </w:tc>
        <w:tc>
          <w:tcPr>
            <w:tcW w:w="7484" w:type="dxa"/>
          </w:tcPr>
          <w:p w14:paraId="44D7A14F" w14:textId="197E8A05"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Public Expenditure and Financial Accountability </w:t>
            </w:r>
          </w:p>
        </w:tc>
      </w:tr>
      <w:tr w:rsidR="000420EC" w14:paraId="201CEB5B"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0EAFAE21" w14:textId="1BF3BF06"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 xml:space="preserve">PFM </w:t>
            </w:r>
            <w:r w:rsidRPr="006A2E09">
              <w:rPr>
                <w:rFonts w:ascii="Arial" w:hAnsi="Arial" w:cs="Arial"/>
                <w:color w:val="16988A"/>
                <w:sz w:val="24"/>
                <w:szCs w:val="24"/>
              </w:rPr>
              <w:tab/>
            </w:r>
          </w:p>
        </w:tc>
        <w:tc>
          <w:tcPr>
            <w:tcW w:w="7484" w:type="dxa"/>
          </w:tcPr>
          <w:p w14:paraId="04B7F41F" w14:textId="078D5D90"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Public financial management</w:t>
            </w:r>
          </w:p>
        </w:tc>
      </w:tr>
      <w:tr w:rsidR="00D907A3" w14:paraId="092513F8"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2F529B55" w14:textId="477796CF" w:rsidR="00D907A3" w:rsidRDefault="00D907A3" w:rsidP="00B46860">
            <w:pPr>
              <w:rPr>
                <w:rFonts w:ascii="Arial" w:hAnsi="Arial" w:cs="Arial"/>
                <w:color w:val="16988A"/>
                <w:sz w:val="24"/>
                <w:szCs w:val="24"/>
              </w:rPr>
            </w:pPr>
            <w:r>
              <w:rPr>
                <w:rFonts w:ascii="Arial" w:hAnsi="Arial" w:cs="Arial"/>
                <w:color w:val="16988A"/>
                <w:sz w:val="24"/>
                <w:szCs w:val="24"/>
              </w:rPr>
              <w:t>PIMA</w:t>
            </w:r>
          </w:p>
        </w:tc>
        <w:tc>
          <w:tcPr>
            <w:tcW w:w="7484" w:type="dxa"/>
          </w:tcPr>
          <w:p w14:paraId="0F1DE69F" w14:textId="3DF8B56D" w:rsidR="00D907A3" w:rsidRPr="004C1E29" w:rsidRDefault="00D907A3" w:rsidP="004C1E2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907A3">
              <w:rPr>
                <w:rFonts w:ascii="Arial" w:hAnsi="Arial" w:cs="Arial"/>
                <w:sz w:val="24"/>
                <w:szCs w:val="24"/>
              </w:rPr>
              <w:t>Public Investment Management Assessment</w:t>
            </w:r>
          </w:p>
        </w:tc>
      </w:tr>
      <w:tr w:rsidR="004C1E29" w14:paraId="6512AE30"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B86E2DE" w14:textId="5B9F6978" w:rsidR="004C1E29" w:rsidRPr="006A2E09" w:rsidRDefault="004C1E29" w:rsidP="00B46860">
            <w:pPr>
              <w:rPr>
                <w:rFonts w:ascii="Arial" w:hAnsi="Arial" w:cs="Arial"/>
                <w:color w:val="16988A"/>
                <w:sz w:val="24"/>
                <w:szCs w:val="24"/>
              </w:rPr>
            </w:pPr>
            <w:r>
              <w:rPr>
                <w:rFonts w:ascii="Arial" w:hAnsi="Arial" w:cs="Arial"/>
                <w:color w:val="16988A"/>
                <w:sz w:val="24"/>
                <w:szCs w:val="24"/>
              </w:rPr>
              <w:t>PPP</w:t>
            </w:r>
          </w:p>
        </w:tc>
        <w:tc>
          <w:tcPr>
            <w:tcW w:w="7484" w:type="dxa"/>
          </w:tcPr>
          <w:p w14:paraId="60BA45C0" w14:textId="55AF560A" w:rsidR="004C1E29" w:rsidRPr="002F7AF5" w:rsidRDefault="004C1E29" w:rsidP="004C1E29">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C1E29">
              <w:rPr>
                <w:rFonts w:ascii="Arial" w:hAnsi="Arial" w:cs="Arial"/>
                <w:sz w:val="24"/>
                <w:szCs w:val="24"/>
              </w:rPr>
              <w:t>Public Private Partnership</w:t>
            </w:r>
          </w:p>
        </w:tc>
      </w:tr>
      <w:tr w:rsidR="00997491" w14:paraId="6794E816"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24DEAE55" w14:textId="57F9CF76" w:rsidR="00997491" w:rsidRPr="006A2E09" w:rsidRDefault="00997491" w:rsidP="00B46860">
            <w:pPr>
              <w:rPr>
                <w:rFonts w:ascii="Arial" w:hAnsi="Arial" w:cs="Arial"/>
                <w:color w:val="16988A"/>
                <w:sz w:val="24"/>
                <w:szCs w:val="24"/>
              </w:rPr>
            </w:pPr>
            <w:r>
              <w:rPr>
                <w:rFonts w:ascii="Arial" w:hAnsi="Arial" w:cs="Arial"/>
                <w:color w:val="16988A"/>
                <w:sz w:val="24"/>
                <w:szCs w:val="24"/>
              </w:rPr>
              <w:t>ROSC</w:t>
            </w:r>
          </w:p>
        </w:tc>
        <w:tc>
          <w:tcPr>
            <w:tcW w:w="7484" w:type="dxa"/>
          </w:tcPr>
          <w:p w14:paraId="0DD2B5CB" w14:textId="7F8CCCC9" w:rsidR="00997491" w:rsidRPr="002F7AF5" w:rsidRDefault="00997491" w:rsidP="0099749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7491">
              <w:rPr>
                <w:rFonts w:ascii="Arial" w:hAnsi="Arial" w:cs="Arial"/>
                <w:sz w:val="24"/>
                <w:szCs w:val="24"/>
              </w:rPr>
              <w:t>Report on the Observance of Standards and Codes</w:t>
            </w:r>
          </w:p>
        </w:tc>
      </w:tr>
      <w:tr w:rsidR="000420EC" w14:paraId="0246725E"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14F9B1D6" w14:textId="4E2576A8"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SAI</w:t>
            </w:r>
            <w:r w:rsidRPr="006A2E09">
              <w:rPr>
                <w:rFonts w:ascii="Arial" w:hAnsi="Arial" w:cs="Arial"/>
                <w:color w:val="16988A"/>
                <w:sz w:val="24"/>
                <w:szCs w:val="24"/>
              </w:rPr>
              <w:tab/>
            </w:r>
          </w:p>
        </w:tc>
        <w:tc>
          <w:tcPr>
            <w:tcW w:w="7484" w:type="dxa"/>
          </w:tcPr>
          <w:p w14:paraId="4A282CAB" w14:textId="72F94B58"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Supreme audit institution</w:t>
            </w:r>
          </w:p>
        </w:tc>
      </w:tr>
      <w:tr w:rsidR="0092792D" w14:paraId="4CFD3016"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75C431E2" w14:textId="23CC0DEC" w:rsidR="0092792D" w:rsidRPr="006A2E09" w:rsidRDefault="0092792D" w:rsidP="00B46860">
            <w:pPr>
              <w:rPr>
                <w:rFonts w:ascii="Arial" w:hAnsi="Arial" w:cs="Arial"/>
                <w:color w:val="16988A"/>
                <w:sz w:val="24"/>
                <w:szCs w:val="24"/>
              </w:rPr>
            </w:pPr>
            <w:r>
              <w:rPr>
                <w:rFonts w:ascii="Arial" w:hAnsi="Arial" w:cs="Arial"/>
                <w:color w:val="16988A"/>
                <w:sz w:val="24"/>
                <w:szCs w:val="24"/>
              </w:rPr>
              <w:t>SDDS</w:t>
            </w:r>
          </w:p>
        </w:tc>
        <w:tc>
          <w:tcPr>
            <w:tcW w:w="7484" w:type="dxa"/>
          </w:tcPr>
          <w:p w14:paraId="02BAA29E" w14:textId="2D049E56" w:rsidR="0092792D" w:rsidRPr="002F7AF5" w:rsidRDefault="0092792D"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3C7F">
              <w:rPr>
                <w:rFonts w:ascii="Arial" w:hAnsi="Arial" w:cs="Arial"/>
                <w:sz w:val="24"/>
                <w:szCs w:val="24"/>
                <w:lang w:val="en-ZA"/>
              </w:rPr>
              <w:t>Special Data Dissemination Standard</w:t>
            </w:r>
          </w:p>
        </w:tc>
      </w:tr>
      <w:tr w:rsidR="000420EC" w14:paraId="04F3E6F2"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B75CE4B" w14:textId="7F11568D" w:rsidR="000420EC" w:rsidRPr="006A2E09" w:rsidRDefault="000420EC" w:rsidP="00B46860">
            <w:pPr>
              <w:rPr>
                <w:rFonts w:ascii="Arial" w:hAnsi="Arial" w:cs="Arial"/>
                <w:color w:val="16988A"/>
                <w:sz w:val="24"/>
                <w:szCs w:val="24"/>
              </w:rPr>
            </w:pPr>
            <w:r w:rsidRPr="006A2E09">
              <w:rPr>
                <w:rFonts w:ascii="Arial" w:hAnsi="Arial" w:cs="Arial"/>
                <w:color w:val="16988A"/>
                <w:sz w:val="24"/>
                <w:szCs w:val="24"/>
              </w:rPr>
              <w:t>SDGs</w:t>
            </w:r>
            <w:r w:rsidRPr="006A2E09">
              <w:rPr>
                <w:rFonts w:ascii="Arial" w:hAnsi="Arial" w:cs="Arial"/>
                <w:color w:val="16988A"/>
                <w:sz w:val="24"/>
                <w:szCs w:val="24"/>
              </w:rPr>
              <w:tab/>
            </w:r>
          </w:p>
        </w:tc>
        <w:tc>
          <w:tcPr>
            <w:tcW w:w="7484" w:type="dxa"/>
          </w:tcPr>
          <w:p w14:paraId="517808BC" w14:textId="77705E19" w:rsidR="000420EC" w:rsidRPr="002F7AF5" w:rsidRDefault="000420EC" w:rsidP="00B46860">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2F7AF5">
              <w:rPr>
                <w:rFonts w:ascii="Arial" w:hAnsi="Arial" w:cs="Arial"/>
                <w:sz w:val="24"/>
                <w:szCs w:val="24"/>
              </w:rPr>
              <w:t>Sustainable Development Goals</w:t>
            </w:r>
          </w:p>
        </w:tc>
      </w:tr>
      <w:tr w:rsidR="00AA3258" w14:paraId="4369D059"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0C189F33" w14:textId="1B6C7851" w:rsidR="00AA3258" w:rsidRDefault="00AA3258" w:rsidP="00AA3258">
            <w:pPr>
              <w:rPr>
                <w:rFonts w:ascii="Arial" w:hAnsi="Arial" w:cs="Arial"/>
                <w:color w:val="16988A"/>
                <w:sz w:val="24"/>
                <w:szCs w:val="24"/>
              </w:rPr>
            </w:pPr>
            <w:r>
              <w:rPr>
                <w:rFonts w:ascii="Arial" w:hAnsi="Arial" w:cs="Arial"/>
                <w:color w:val="16988A"/>
                <w:sz w:val="24"/>
                <w:szCs w:val="24"/>
              </w:rPr>
              <w:t>NGO</w:t>
            </w:r>
          </w:p>
        </w:tc>
        <w:tc>
          <w:tcPr>
            <w:tcW w:w="7484" w:type="dxa"/>
          </w:tcPr>
          <w:p w14:paraId="27A0159C" w14:textId="2B506E74" w:rsidR="00AA3258" w:rsidRPr="009D694C" w:rsidRDefault="00AA3258" w:rsidP="00AA325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Non-governmental organization</w:t>
            </w:r>
          </w:p>
        </w:tc>
      </w:tr>
      <w:tr w:rsidR="00AA3258" w14:paraId="578124CF"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3D30F39D" w14:textId="1C337CEF" w:rsidR="00AA3258" w:rsidRPr="006A2E09" w:rsidRDefault="00AA3258" w:rsidP="00AA3258">
            <w:pPr>
              <w:rPr>
                <w:rFonts w:ascii="Arial" w:hAnsi="Arial" w:cs="Arial"/>
                <w:color w:val="16988A"/>
                <w:sz w:val="24"/>
                <w:szCs w:val="24"/>
              </w:rPr>
            </w:pPr>
            <w:r>
              <w:rPr>
                <w:rFonts w:ascii="Arial" w:hAnsi="Arial" w:cs="Arial"/>
                <w:color w:val="16988A"/>
                <w:sz w:val="24"/>
                <w:szCs w:val="24"/>
              </w:rPr>
              <w:t>TADAT</w:t>
            </w:r>
          </w:p>
        </w:tc>
        <w:tc>
          <w:tcPr>
            <w:tcW w:w="7484" w:type="dxa"/>
          </w:tcPr>
          <w:p w14:paraId="19FE9AB0" w14:textId="1CC7A539" w:rsidR="00AA3258" w:rsidRPr="002F7AF5" w:rsidRDefault="00AA3258" w:rsidP="00AA325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D694C">
              <w:rPr>
                <w:rFonts w:ascii="Arial" w:hAnsi="Arial" w:cs="Arial"/>
                <w:sz w:val="24"/>
                <w:szCs w:val="24"/>
              </w:rPr>
              <w:t>Tax Administration Diagnostic Assessment Tool</w:t>
            </w:r>
          </w:p>
        </w:tc>
      </w:tr>
      <w:tr w:rsidR="003E5236" w14:paraId="01F68A55"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751BD416" w14:textId="01439F1D" w:rsidR="003E5236" w:rsidRDefault="003E5236" w:rsidP="00AA3258">
            <w:pPr>
              <w:rPr>
                <w:rFonts w:ascii="Arial" w:hAnsi="Arial" w:cs="Arial"/>
                <w:color w:val="16988A"/>
                <w:sz w:val="24"/>
                <w:szCs w:val="24"/>
              </w:rPr>
            </w:pPr>
            <w:r>
              <w:rPr>
                <w:rFonts w:ascii="Arial" w:hAnsi="Arial" w:cs="Arial"/>
                <w:color w:val="16988A"/>
                <w:sz w:val="24"/>
                <w:szCs w:val="24"/>
              </w:rPr>
              <w:t>UCD</w:t>
            </w:r>
          </w:p>
        </w:tc>
        <w:tc>
          <w:tcPr>
            <w:tcW w:w="7484" w:type="dxa"/>
          </w:tcPr>
          <w:p w14:paraId="47A4379E" w14:textId="3D1A15BE" w:rsidR="003E5236" w:rsidRPr="00AA3258" w:rsidRDefault="003E5236" w:rsidP="00AA325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236">
              <w:rPr>
                <w:rFonts w:ascii="Arial" w:hAnsi="Arial" w:cs="Arial"/>
                <w:sz w:val="24"/>
                <w:szCs w:val="24"/>
              </w:rPr>
              <w:t>User-centered design</w:t>
            </w:r>
          </w:p>
        </w:tc>
      </w:tr>
      <w:tr w:rsidR="00AA3258" w14:paraId="6A280FC4"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59747B5C" w14:textId="5104908F" w:rsidR="00AA3258" w:rsidRPr="006A2E09" w:rsidRDefault="00AA3258" w:rsidP="00AA3258">
            <w:pPr>
              <w:rPr>
                <w:rFonts w:ascii="Arial" w:hAnsi="Arial" w:cs="Arial"/>
                <w:color w:val="16988A"/>
                <w:sz w:val="24"/>
                <w:szCs w:val="24"/>
              </w:rPr>
            </w:pPr>
            <w:r>
              <w:rPr>
                <w:rFonts w:ascii="Arial" w:hAnsi="Arial" w:cs="Arial"/>
                <w:color w:val="16988A"/>
                <w:sz w:val="24"/>
                <w:szCs w:val="24"/>
              </w:rPr>
              <w:t>USAID</w:t>
            </w:r>
          </w:p>
        </w:tc>
        <w:tc>
          <w:tcPr>
            <w:tcW w:w="7484" w:type="dxa"/>
          </w:tcPr>
          <w:p w14:paraId="64AD5F26" w14:textId="16691722" w:rsidR="00AA3258" w:rsidRPr="002F7AF5" w:rsidRDefault="00AA3258" w:rsidP="00AA325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3258">
              <w:rPr>
                <w:rFonts w:ascii="Arial" w:hAnsi="Arial" w:cs="Arial"/>
                <w:sz w:val="24"/>
                <w:szCs w:val="24"/>
              </w:rPr>
              <w:t>United States Agency for International Development</w:t>
            </w:r>
          </w:p>
        </w:tc>
      </w:tr>
      <w:tr w:rsidR="00AA3258" w14:paraId="2ABD9575" w14:textId="77777777" w:rsidTr="00AA3258">
        <w:tc>
          <w:tcPr>
            <w:cnfStyle w:val="001000000000" w:firstRow="0" w:lastRow="0" w:firstColumn="1" w:lastColumn="0" w:oddVBand="0" w:evenVBand="0" w:oddHBand="0" w:evenHBand="0" w:firstRowFirstColumn="0" w:firstRowLastColumn="0" w:lastRowFirstColumn="0" w:lastRowLastColumn="0"/>
            <w:tcW w:w="2972" w:type="dxa"/>
          </w:tcPr>
          <w:p w14:paraId="4AB130E1" w14:textId="64BE10DA" w:rsidR="00AA3258" w:rsidRDefault="00AA3258" w:rsidP="00AA3258">
            <w:pPr>
              <w:rPr>
                <w:rFonts w:ascii="Arial" w:hAnsi="Arial" w:cs="Arial"/>
                <w:color w:val="16988A"/>
                <w:sz w:val="24"/>
                <w:szCs w:val="24"/>
              </w:rPr>
            </w:pPr>
            <w:r>
              <w:rPr>
                <w:rFonts w:ascii="Arial" w:hAnsi="Arial" w:cs="Arial"/>
                <w:color w:val="16988A"/>
                <w:sz w:val="24"/>
                <w:szCs w:val="24"/>
              </w:rPr>
              <w:t>VFM</w:t>
            </w:r>
          </w:p>
        </w:tc>
        <w:tc>
          <w:tcPr>
            <w:tcW w:w="7484" w:type="dxa"/>
          </w:tcPr>
          <w:p w14:paraId="0AAD05A1" w14:textId="5346A9C6" w:rsidR="00AA3258" w:rsidRDefault="00AA3258" w:rsidP="00AA3258">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Value for money</w:t>
            </w:r>
          </w:p>
        </w:tc>
      </w:tr>
    </w:tbl>
    <w:p w14:paraId="34618C03" w14:textId="3850E92C" w:rsidR="000420EC" w:rsidRPr="002F7AF5" w:rsidRDefault="000420EC" w:rsidP="002F7AF5">
      <w:pPr>
        <w:rPr>
          <w:rFonts w:ascii="Arial" w:eastAsia="Calibri" w:hAnsi="Arial" w:cs="Arial"/>
          <w:sz w:val="24"/>
          <w:szCs w:val="24"/>
        </w:rPr>
        <w:sectPr w:rsidR="000420EC" w:rsidRPr="002F7AF5" w:rsidSect="003625BA">
          <w:pgSz w:w="11906" w:h="16838"/>
          <w:pgMar w:top="1702" w:right="720" w:bottom="1098" w:left="720" w:header="709" w:footer="709" w:gutter="0"/>
          <w:pgNumType w:fmt="upperRoman" w:start="8"/>
          <w:cols w:space="708"/>
          <w:titlePg/>
          <w:docGrid w:linePitch="360"/>
        </w:sectPr>
      </w:pPr>
    </w:p>
    <w:p w14:paraId="3E68E971" w14:textId="6C91732F" w:rsidR="00A05318" w:rsidRDefault="0076503E" w:rsidP="00E26202">
      <w:pPr>
        <w:spacing w:after="120"/>
        <w:rPr>
          <w:rFonts w:eastAsiaTheme="majorEastAsia" w:cs="Calibri"/>
          <w:b/>
          <w:color w:val="FF5100"/>
          <w:spacing w:val="6"/>
          <w:sz w:val="36"/>
          <w:szCs w:val="36"/>
          <w:lang w:val="en-US" w:eastAsia="zh-CN"/>
        </w:rPr>
      </w:pPr>
      <w:r>
        <w:rPr>
          <w:rFonts w:eastAsiaTheme="majorEastAsia" w:cs="Calibri"/>
          <w:b/>
          <w:noProof/>
          <w:color w:val="FF5100"/>
          <w:spacing w:val="6"/>
          <w:sz w:val="36"/>
          <w:szCs w:val="36"/>
          <w:lang w:val="en-US"/>
        </w:rPr>
        <w:lastRenderedPageBreak/>
        <w:drawing>
          <wp:anchor distT="0" distB="0" distL="114300" distR="114300" simplePos="0" relativeHeight="251688959" behindDoc="0" locked="0" layoutInCell="1" allowOverlap="1" wp14:anchorId="5262BB8C" wp14:editId="094063FD">
            <wp:simplePos x="0" y="0"/>
            <wp:positionH relativeFrom="column">
              <wp:posOffset>-502920</wp:posOffset>
            </wp:positionH>
            <wp:positionV relativeFrom="paragraph">
              <wp:posOffset>-1076184</wp:posOffset>
            </wp:positionV>
            <wp:extent cx="7864966" cy="190762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7864966" cy="19076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65D3">
        <w:rPr>
          <w:rFonts w:ascii="Arial" w:hAnsi="Arial" w:cs="Arial"/>
          <w:noProof/>
          <w:color w:val="ED7D31" w:themeColor="accent2"/>
          <w:sz w:val="50"/>
          <w:szCs w:val="50"/>
          <w:lang w:val="en-US"/>
        </w:rPr>
        <mc:AlternateContent>
          <mc:Choice Requires="wps">
            <w:drawing>
              <wp:anchor distT="0" distB="0" distL="114300" distR="114300" simplePos="0" relativeHeight="251711488" behindDoc="0" locked="0" layoutInCell="1" allowOverlap="1" wp14:anchorId="17B0AF33" wp14:editId="4A9011CB">
                <wp:simplePos x="0" y="0"/>
                <wp:positionH relativeFrom="column">
                  <wp:posOffset>1575544</wp:posOffset>
                </wp:positionH>
                <wp:positionV relativeFrom="paragraph">
                  <wp:posOffset>-559435</wp:posOffset>
                </wp:positionV>
                <wp:extent cx="4335145" cy="850747"/>
                <wp:effectExtent l="0" t="0" r="0" b="0"/>
                <wp:wrapNone/>
                <wp:docPr id="38" name="Text Box 38"/>
                <wp:cNvGraphicFramePr/>
                <a:graphic xmlns:a="http://schemas.openxmlformats.org/drawingml/2006/main">
                  <a:graphicData uri="http://schemas.microsoft.com/office/word/2010/wordprocessingShape">
                    <wps:wsp>
                      <wps:cNvSpPr txBox="1"/>
                      <wps:spPr>
                        <a:xfrm>
                          <a:off x="0" y="0"/>
                          <a:ext cx="4335145" cy="850747"/>
                        </a:xfrm>
                        <a:prstGeom prst="rect">
                          <a:avLst/>
                        </a:prstGeom>
                        <a:noFill/>
                        <a:ln w="6350">
                          <a:noFill/>
                        </a:ln>
                      </wps:spPr>
                      <wps:txbx>
                        <w:txbxContent>
                          <w:p w14:paraId="3010B749" w14:textId="3C8C10B5" w:rsidR="00D15FD8" w:rsidRPr="003543F3" w:rsidRDefault="00D15FD8" w:rsidP="003543F3">
                            <w:pPr>
                              <w:pStyle w:val="Heading1"/>
                              <w:rPr>
                                <w:rFonts w:ascii="Arial" w:hAnsi="Arial" w:cs="Arial"/>
                                <w:b/>
                                <w:bCs/>
                                <w:color w:val="FFFFFF" w:themeColor="background1"/>
                                <w:sz w:val="80"/>
                                <w:szCs w:val="80"/>
                                <w:lang w:val="en-US"/>
                              </w:rPr>
                            </w:pPr>
                            <w:bookmarkStart w:id="54" w:name="_OVERVIEW"/>
                            <w:bookmarkStart w:id="55" w:name="_Toc115369966"/>
                            <w:bookmarkStart w:id="56" w:name="_Toc115729041"/>
                            <w:bookmarkStart w:id="57" w:name="_Toc115877687"/>
                            <w:bookmarkStart w:id="58" w:name="_Toc116056971"/>
                            <w:bookmarkStart w:id="59" w:name="_Toc123828078"/>
                            <w:bookmarkStart w:id="60" w:name="_Toc123828288"/>
                            <w:bookmarkStart w:id="61" w:name="_Toc123828484"/>
                            <w:bookmarkStart w:id="62" w:name="_Toc123912511"/>
                            <w:bookmarkStart w:id="63" w:name="_Toc123912770"/>
                            <w:bookmarkStart w:id="64" w:name="_Toc123912997"/>
                            <w:bookmarkStart w:id="65" w:name="_Toc123913944"/>
                            <w:bookmarkStart w:id="66" w:name="_Toc125566563"/>
                            <w:bookmarkEnd w:id="54"/>
                            <w:r w:rsidRPr="003543F3">
                              <w:rPr>
                                <w:rFonts w:ascii="Arial" w:hAnsi="Arial" w:cs="Arial"/>
                                <w:b/>
                                <w:bCs/>
                                <w:color w:val="FFFFFF" w:themeColor="background1"/>
                                <w:sz w:val="80"/>
                                <w:szCs w:val="80"/>
                                <w:lang w:val="en-US"/>
                              </w:rPr>
                              <w:t>OVERVIEW</w:t>
                            </w:r>
                            <w:bookmarkEnd w:id="55"/>
                            <w:bookmarkEnd w:id="56"/>
                            <w:bookmarkEnd w:id="57"/>
                            <w:bookmarkEnd w:id="58"/>
                            <w:bookmarkEnd w:id="59"/>
                            <w:bookmarkEnd w:id="60"/>
                            <w:bookmarkEnd w:id="61"/>
                            <w:bookmarkEnd w:id="62"/>
                            <w:bookmarkEnd w:id="63"/>
                            <w:bookmarkEnd w:id="64"/>
                            <w:bookmarkEnd w:id="65"/>
                            <w:bookmarkEnd w:id="6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B0AF33" id="Text Box 38" o:spid="_x0000_s1030" type="#_x0000_t202" style="position:absolute;margin-left:124.05pt;margin-top:-44.05pt;width:341.35pt;height:67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" filled="f" stroked="f" strokeweight=".5pt">
                <v:textbox>
                  <w:txbxContent>
                    <w:p w14:paraId="3010B749" w14:textId="3C8C10B5" w:rsidR="00D15FD8" w:rsidRPr="003543F3" w:rsidRDefault="00D15FD8" w:rsidP="003543F3">
                      <w:pPr>
                        <w:pStyle w:val="Heading1"/>
                        <w:rPr>
                          <w:rFonts w:ascii="Arial" w:hAnsi="Arial" w:cs="Arial"/>
                          <w:b/>
                          <w:bCs/>
                          <w:color w:val="FFFFFF" w:themeColor="background1"/>
                          <w:sz w:val="80"/>
                          <w:szCs w:val="80"/>
                          <w:lang w:val="en-US"/>
                        </w:rPr>
                      </w:pPr>
                      <w:bookmarkStart w:id="67" w:name="_OVERVIEW"/>
                      <w:bookmarkStart w:id="68" w:name="_Toc115369966"/>
                      <w:bookmarkStart w:id="69" w:name="_Toc115729041"/>
                      <w:bookmarkStart w:id="70" w:name="_Toc115877687"/>
                      <w:bookmarkStart w:id="71" w:name="_Toc116056971"/>
                      <w:bookmarkStart w:id="72" w:name="_Toc123828078"/>
                      <w:bookmarkStart w:id="73" w:name="_Toc123828288"/>
                      <w:bookmarkStart w:id="74" w:name="_Toc123828484"/>
                      <w:bookmarkStart w:id="75" w:name="_Toc123912511"/>
                      <w:bookmarkStart w:id="76" w:name="_Toc123912770"/>
                      <w:bookmarkStart w:id="77" w:name="_Toc123912997"/>
                      <w:bookmarkStart w:id="78" w:name="_Toc123913944"/>
                      <w:bookmarkStart w:id="79" w:name="_Toc125566563"/>
                      <w:bookmarkEnd w:id="67"/>
                      <w:r w:rsidRPr="003543F3">
                        <w:rPr>
                          <w:rFonts w:ascii="Arial" w:hAnsi="Arial" w:cs="Arial"/>
                          <w:b/>
                          <w:bCs/>
                          <w:color w:val="FFFFFF" w:themeColor="background1"/>
                          <w:sz w:val="80"/>
                          <w:szCs w:val="80"/>
                          <w:lang w:val="en-US"/>
                        </w:rPr>
                        <w:t>OVERVIEW</w:t>
                      </w:r>
                      <w:bookmarkEnd w:id="68"/>
                      <w:bookmarkEnd w:id="69"/>
                      <w:bookmarkEnd w:id="70"/>
                      <w:bookmarkEnd w:id="71"/>
                      <w:bookmarkEnd w:id="72"/>
                      <w:bookmarkEnd w:id="73"/>
                      <w:bookmarkEnd w:id="74"/>
                      <w:bookmarkEnd w:id="75"/>
                      <w:bookmarkEnd w:id="76"/>
                      <w:bookmarkEnd w:id="77"/>
                      <w:bookmarkEnd w:id="78"/>
                      <w:bookmarkEnd w:id="79"/>
                    </w:p>
                  </w:txbxContent>
                </v:textbox>
              </v:shape>
            </w:pict>
          </mc:Fallback>
        </mc:AlternateContent>
      </w:r>
    </w:p>
    <w:p w14:paraId="3D099846" w14:textId="77777777" w:rsidR="003365D3" w:rsidRDefault="003365D3" w:rsidP="00E26202">
      <w:pPr>
        <w:spacing w:after="120"/>
        <w:rPr>
          <w:rFonts w:eastAsiaTheme="majorEastAsia" w:cs="Calibri"/>
          <w:b/>
          <w:color w:val="FF5100"/>
          <w:spacing w:val="6"/>
          <w:sz w:val="36"/>
          <w:szCs w:val="36"/>
          <w:lang w:val="en-US" w:eastAsia="zh-CN"/>
        </w:rPr>
      </w:pPr>
      <w:bookmarkStart w:id="80" w:name="_Toc86657999"/>
    </w:p>
    <w:p w14:paraId="4FF7A15F" w14:textId="77777777" w:rsidR="003365D3" w:rsidRDefault="003365D3" w:rsidP="00E26202">
      <w:pPr>
        <w:spacing w:after="120"/>
        <w:rPr>
          <w:rFonts w:eastAsiaTheme="majorEastAsia" w:cs="Calibri"/>
          <w:b/>
          <w:color w:val="FF5100"/>
          <w:spacing w:val="6"/>
          <w:sz w:val="36"/>
          <w:szCs w:val="36"/>
          <w:lang w:val="en-US" w:eastAsia="zh-CN"/>
        </w:rPr>
      </w:pPr>
    </w:p>
    <w:p w14:paraId="538C314A" w14:textId="2C1DA223" w:rsidR="006B05E4" w:rsidRDefault="008032D3" w:rsidP="00AE4650">
      <w:pPr>
        <w:pStyle w:val="Heading2"/>
        <w:rPr>
          <w:rFonts w:ascii="Arial" w:hAnsi="Arial" w:cs="Arial"/>
          <w:b/>
          <w:bCs/>
          <w:color w:val="ED5625"/>
          <w:sz w:val="36"/>
          <w:szCs w:val="36"/>
          <w:lang w:val="en-US" w:eastAsia="zh-CN"/>
        </w:rPr>
      </w:pPr>
      <w:bookmarkStart w:id="81" w:name="_REFERENCES"/>
      <w:bookmarkStart w:id="82" w:name="_Objective"/>
      <w:bookmarkStart w:id="83" w:name="_Toc115369967"/>
      <w:bookmarkStart w:id="84" w:name="_Toc115729042"/>
      <w:bookmarkStart w:id="85" w:name="_Toc115877688"/>
      <w:bookmarkStart w:id="86" w:name="_Toc116056972"/>
      <w:bookmarkStart w:id="87" w:name="_Toc123913945"/>
      <w:bookmarkStart w:id="88" w:name="_Toc125566564"/>
      <w:bookmarkEnd w:id="81"/>
      <w:bookmarkEnd w:id="82"/>
      <w:r w:rsidRPr="00AE4650">
        <w:rPr>
          <w:rFonts w:ascii="Arial" w:hAnsi="Arial" w:cs="Arial"/>
          <w:b/>
          <w:bCs/>
          <w:color w:val="ED5625"/>
          <w:sz w:val="36"/>
          <w:szCs w:val="36"/>
          <w:lang w:val="en-US" w:eastAsia="zh-CN"/>
        </w:rPr>
        <w:t>O</w:t>
      </w:r>
      <w:r w:rsidR="006B05E4" w:rsidRPr="00AE4650">
        <w:rPr>
          <w:rFonts w:ascii="Arial" w:hAnsi="Arial" w:cs="Arial"/>
          <w:b/>
          <w:bCs/>
          <w:color w:val="ED5625"/>
          <w:sz w:val="36"/>
          <w:szCs w:val="36"/>
          <w:lang w:val="en-US" w:eastAsia="zh-CN"/>
        </w:rPr>
        <w:t>bjective</w:t>
      </w:r>
      <w:bookmarkEnd w:id="80"/>
      <w:bookmarkEnd w:id="83"/>
      <w:bookmarkEnd w:id="84"/>
      <w:bookmarkEnd w:id="85"/>
      <w:bookmarkEnd w:id="86"/>
      <w:bookmarkEnd w:id="87"/>
      <w:bookmarkEnd w:id="88"/>
    </w:p>
    <w:p w14:paraId="1650F815" w14:textId="740BC294" w:rsidR="00183443" w:rsidRDefault="00183443" w:rsidP="00183443">
      <w:pPr>
        <w:rPr>
          <w:lang w:val="en-US" w:eastAsia="zh-CN"/>
        </w:rPr>
      </w:pPr>
      <w:r>
        <w:rPr>
          <w:noProof/>
          <w:lang w:val="en-US"/>
        </w:rPr>
        <mc:AlternateContent>
          <mc:Choice Requires="wps">
            <w:drawing>
              <wp:anchor distT="0" distB="0" distL="114300" distR="114300" simplePos="0" relativeHeight="251714560" behindDoc="0" locked="0" layoutInCell="1" allowOverlap="1" wp14:anchorId="186285CF" wp14:editId="1BF4660B">
                <wp:simplePos x="0" y="0"/>
                <wp:positionH relativeFrom="column">
                  <wp:posOffset>-10160</wp:posOffset>
                </wp:positionH>
                <wp:positionV relativeFrom="paragraph">
                  <wp:posOffset>121019</wp:posOffset>
                </wp:positionV>
                <wp:extent cx="6634717" cy="0"/>
                <wp:effectExtent l="0" t="12700" r="20320" b="12700"/>
                <wp:wrapNone/>
                <wp:docPr id="42" name="Straight Connector 42"/>
                <wp:cNvGraphicFramePr/>
                <a:graphic xmlns:a="http://schemas.openxmlformats.org/drawingml/2006/main">
                  <a:graphicData uri="http://schemas.microsoft.com/office/word/2010/wordprocessingShape">
                    <wps:wsp>
                      <wps:cNvCnPr/>
                      <wps:spPr>
                        <a:xfrm>
                          <a:off x="0" y="0"/>
                          <a:ext cx="6634717" cy="0"/>
                        </a:xfrm>
                        <a:prstGeom prst="line">
                          <a:avLst/>
                        </a:prstGeom>
                        <a:ln w="19050">
                          <a:solidFill>
                            <a:srgbClr val="ED562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5488B859" id="Straight Connector 42"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8pt,9.55pt" to="521.6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" strokecolor="#ed5625" strokeweight="1.5pt">
                <v:stroke joinstyle="miter"/>
              </v:line>
            </w:pict>
          </mc:Fallback>
        </mc:AlternateContent>
      </w:r>
    </w:p>
    <w:p w14:paraId="6FBD8764" w14:textId="77777777" w:rsidR="00AE4650" w:rsidRPr="00AE4650" w:rsidRDefault="00AE4650" w:rsidP="00AE4650">
      <w:pPr>
        <w:rPr>
          <w:lang w:val="en-US" w:eastAsia="zh-CN"/>
        </w:rPr>
      </w:pPr>
    </w:p>
    <w:p w14:paraId="52B64D00" w14:textId="408C4C51" w:rsidR="008032D3" w:rsidRPr="003543F3" w:rsidRDefault="006B05E4" w:rsidP="003543F3">
      <w:pPr>
        <w:spacing w:line="276" w:lineRule="auto"/>
        <w:jc w:val="both"/>
        <w:textAlignment w:val="baseline"/>
        <w:rPr>
          <w:rFonts w:ascii="Arial" w:eastAsia="Times New Roman" w:hAnsi="Arial" w:cs="Arial"/>
          <w:color w:val="000000" w:themeColor="text1"/>
          <w:sz w:val="24"/>
          <w:szCs w:val="24"/>
          <w:lang w:val="en-US" w:eastAsia="en-ZA"/>
        </w:rPr>
      </w:pPr>
      <w:r w:rsidRPr="003543F3">
        <w:rPr>
          <w:rFonts w:ascii="Arial" w:eastAsia="Times New Roman" w:hAnsi="Arial" w:cs="Arial"/>
          <w:color w:val="000000" w:themeColor="text1"/>
          <w:sz w:val="24"/>
          <w:szCs w:val="24"/>
          <w:lang w:val="en-US" w:eastAsia="en-ZA"/>
        </w:rPr>
        <w:t xml:space="preserve">This </w:t>
      </w:r>
      <w:r w:rsidR="008032D3" w:rsidRPr="003543F3">
        <w:rPr>
          <w:rFonts w:ascii="Arial" w:eastAsia="Times New Roman" w:hAnsi="Arial" w:cs="Arial"/>
          <w:color w:val="000000" w:themeColor="text1"/>
          <w:sz w:val="24"/>
          <w:szCs w:val="24"/>
          <w:lang w:val="en-US" w:eastAsia="en-ZA"/>
        </w:rPr>
        <w:t>Guide</w:t>
      </w:r>
      <w:r w:rsidRPr="003543F3">
        <w:rPr>
          <w:rFonts w:ascii="Arial" w:eastAsia="Times New Roman" w:hAnsi="Arial" w:cs="Arial"/>
          <w:color w:val="000000" w:themeColor="text1"/>
          <w:sz w:val="24"/>
          <w:szCs w:val="24"/>
          <w:lang w:val="en-US" w:eastAsia="en-ZA"/>
        </w:rPr>
        <w:t xml:space="preserve"> aims to provide knowledge and resources for advancing fiscal transparency</w:t>
      </w:r>
      <w:r w:rsidR="00A05318" w:rsidRPr="003543F3">
        <w:rPr>
          <w:rFonts w:ascii="Arial" w:eastAsia="Times New Roman" w:hAnsi="Arial" w:cs="Arial"/>
          <w:color w:val="000000" w:themeColor="text1"/>
          <w:sz w:val="24"/>
          <w:szCs w:val="24"/>
          <w:lang w:val="en-US" w:eastAsia="en-ZA"/>
        </w:rPr>
        <w:t>, including</w:t>
      </w:r>
      <w:r w:rsidRPr="003543F3">
        <w:rPr>
          <w:rFonts w:ascii="Arial" w:eastAsia="Times New Roman" w:hAnsi="Arial" w:cs="Arial"/>
          <w:color w:val="000000" w:themeColor="text1"/>
          <w:sz w:val="24"/>
          <w:szCs w:val="24"/>
          <w:lang w:val="en-US" w:eastAsia="en-ZA"/>
        </w:rPr>
        <w:t xml:space="preserve"> frameworks, research, tools and detailed explanations towards making fiscal information more open and accessible across stakeholders. </w:t>
      </w:r>
      <w:r w:rsidR="00E5467F" w:rsidRPr="003543F3">
        <w:rPr>
          <w:rFonts w:ascii="Arial" w:eastAsia="Times New Roman" w:hAnsi="Arial" w:cs="Arial"/>
          <w:color w:val="000000" w:themeColor="text1"/>
          <w:sz w:val="24"/>
          <w:szCs w:val="24"/>
          <w:lang w:val="en-US" w:eastAsia="en-ZA"/>
        </w:rPr>
        <w:t xml:space="preserve">Related to this, this guide </w:t>
      </w:r>
      <w:r w:rsidR="00770B0B" w:rsidRPr="003543F3">
        <w:rPr>
          <w:rFonts w:ascii="Arial" w:eastAsia="Times New Roman" w:hAnsi="Arial" w:cs="Arial"/>
          <w:color w:val="000000" w:themeColor="text1"/>
          <w:sz w:val="24"/>
          <w:szCs w:val="24"/>
          <w:lang w:val="en-US" w:eastAsia="en-ZA"/>
        </w:rPr>
        <w:t xml:space="preserve">helps readers </w:t>
      </w:r>
      <w:r w:rsidR="00E5467F" w:rsidRPr="003543F3">
        <w:rPr>
          <w:rFonts w:ascii="Arial" w:eastAsia="Times New Roman" w:hAnsi="Arial" w:cs="Arial"/>
          <w:color w:val="000000" w:themeColor="text1"/>
          <w:sz w:val="24"/>
          <w:szCs w:val="24"/>
          <w:lang w:val="en-US" w:eastAsia="en-ZA"/>
        </w:rPr>
        <w:t xml:space="preserve">to understand that </w:t>
      </w:r>
      <w:r w:rsidR="00770B0B" w:rsidRPr="003543F3">
        <w:rPr>
          <w:rFonts w:ascii="Arial" w:eastAsia="Times New Roman" w:hAnsi="Arial" w:cs="Arial"/>
          <w:color w:val="000000" w:themeColor="text1"/>
          <w:sz w:val="24"/>
          <w:szCs w:val="24"/>
          <w:lang w:val="en-US" w:eastAsia="en-ZA"/>
        </w:rPr>
        <w:t>fiscal transparency c</w:t>
      </w:r>
      <w:r w:rsidR="00E5467F" w:rsidRPr="003543F3">
        <w:rPr>
          <w:rFonts w:ascii="Arial" w:eastAsia="Times New Roman" w:hAnsi="Arial" w:cs="Arial"/>
          <w:color w:val="000000" w:themeColor="text1"/>
          <w:sz w:val="24"/>
          <w:szCs w:val="24"/>
          <w:lang w:val="en-US" w:eastAsia="en-ZA"/>
        </w:rPr>
        <w:t xml:space="preserve">an be a driver </w:t>
      </w:r>
      <w:r w:rsidR="0002642C" w:rsidRPr="003543F3">
        <w:rPr>
          <w:rFonts w:ascii="Arial" w:eastAsia="Times New Roman" w:hAnsi="Arial" w:cs="Arial"/>
          <w:color w:val="000000" w:themeColor="text1"/>
          <w:sz w:val="24"/>
          <w:szCs w:val="24"/>
          <w:lang w:val="en-US" w:eastAsia="en-ZA"/>
        </w:rPr>
        <w:t xml:space="preserve">for </w:t>
      </w:r>
      <w:r w:rsidR="00E5467F" w:rsidRPr="003543F3">
        <w:rPr>
          <w:rFonts w:ascii="Arial" w:eastAsia="Times New Roman" w:hAnsi="Arial" w:cs="Arial"/>
          <w:color w:val="000000" w:themeColor="text1"/>
          <w:sz w:val="24"/>
          <w:szCs w:val="24"/>
          <w:lang w:val="en-US" w:eastAsia="en-ZA"/>
        </w:rPr>
        <w:t xml:space="preserve">development. </w:t>
      </w:r>
    </w:p>
    <w:p w14:paraId="2E525D42" w14:textId="77777777" w:rsidR="008032D3" w:rsidRPr="003543F3" w:rsidRDefault="008032D3" w:rsidP="003543F3">
      <w:pPr>
        <w:spacing w:line="276" w:lineRule="auto"/>
        <w:jc w:val="both"/>
        <w:textAlignment w:val="baseline"/>
        <w:rPr>
          <w:rFonts w:ascii="Arial" w:eastAsia="Times New Roman" w:hAnsi="Arial" w:cs="Arial"/>
          <w:color w:val="000000" w:themeColor="text1"/>
          <w:sz w:val="24"/>
          <w:szCs w:val="24"/>
          <w:lang w:val="en-US" w:eastAsia="en-ZA"/>
        </w:rPr>
      </w:pPr>
    </w:p>
    <w:p w14:paraId="624A7257" w14:textId="1B274512" w:rsidR="008032D3" w:rsidRPr="003543F3" w:rsidRDefault="006B05E4" w:rsidP="003543F3">
      <w:pPr>
        <w:spacing w:line="276" w:lineRule="auto"/>
        <w:jc w:val="both"/>
        <w:textAlignment w:val="baseline"/>
        <w:rPr>
          <w:rFonts w:ascii="Arial" w:eastAsia="Times New Roman" w:hAnsi="Arial" w:cs="Arial"/>
          <w:color w:val="000000" w:themeColor="text1"/>
          <w:sz w:val="24"/>
          <w:szCs w:val="24"/>
          <w:lang w:val="en-ZA" w:eastAsia="en-ZA"/>
        </w:rPr>
      </w:pPr>
      <w:r w:rsidRPr="003543F3">
        <w:rPr>
          <w:rFonts w:ascii="Arial" w:eastAsia="Times New Roman" w:hAnsi="Arial" w:cs="Arial"/>
          <w:color w:val="000000" w:themeColor="text1"/>
          <w:sz w:val="24"/>
          <w:szCs w:val="24"/>
          <w:lang w:val="en-US" w:eastAsia="en-ZA"/>
        </w:rPr>
        <w:t xml:space="preserve">It is expected that </w:t>
      </w:r>
      <w:r w:rsidR="008032D3" w:rsidRPr="003543F3">
        <w:rPr>
          <w:rFonts w:ascii="Arial" w:eastAsia="Times New Roman" w:hAnsi="Arial" w:cs="Arial"/>
          <w:color w:val="000000" w:themeColor="text1"/>
          <w:sz w:val="24"/>
          <w:szCs w:val="24"/>
          <w:lang w:val="en-US" w:eastAsia="en-ZA"/>
        </w:rPr>
        <w:t>through this Guide</w:t>
      </w:r>
      <w:r w:rsidRPr="003543F3">
        <w:rPr>
          <w:rFonts w:ascii="Arial" w:eastAsia="Times New Roman" w:hAnsi="Arial" w:cs="Arial"/>
          <w:color w:val="000000" w:themeColor="text1"/>
          <w:sz w:val="24"/>
          <w:szCs w:val="24"/>
          <w:lang w:val="en-US" w:eastAsia="en-ZA"/>
        </w:rPr>
        <w:t xml:space="preserve">, </w:t>
      </w:r>
      <w:r w:rsidR="00A05318" w:rsidRPr="003543F3">
        <w:rPr>
          <w:rFonts w:ascii="Arial" w:eastAsia="Times New Roman" w:hAnsi="Arial" w:cs="Arial"/>
          <w:color w:val="000000" w:themeColor="text1"/>
          <w:sz w:val="24"/>
          <w:szCs w:val="24"/>
          <w:lang w:val="en-US" w:eastAsia="en-ZA"/>
        </w:rPr>
        <w:t>readers</w:t>
      </w:r>
      <w:r w:rsidRPr="003543F3">
        <w:rPr>
          <w:rFonts w:ascii="Arial" w:eastAsia="Times New Roman" w:hAnsi="Arial" w:cs="Arial"/>
          <w:color w:val="000000" w:themeColor="text1"/>
          <w:sz w:val="24"/>
          <w:szCs w:val="24"/>
          <w:lang w:val="en-US" w:eastAsia="en-ZA"/>
        </w:rPr>
        <w:t xml:space="preserve"> will not only gain theoretical knowledge on enhancing fiscal transparency, but will also see fiscal transparency in action, gaining practical knowledge from the vast experience of others.</w:t>
      </w:r>
      <w:r w:rsidRPr="003543F3">
        <w:rPr>
          <w:rFonts w:ascii="Arial" w:eastAsia="Times New Roman" w:hAnsi="Arial" w:cs="Arial"/>
          <w:color w:val="000000" w:themeColor="text1"/>
          <w:sz w:val="24"/>
          <w:szCs w:val="24"/>
          <w:lang w:val="en-ZA" w:eastAsia="en-ZA"/>
        </w:rPr>
        <w:t> </w:t>
      </w:r>
      <w:r w:rsidR="008032D3" w:rsidRPr="003543F3">
        <w:rPr>
          <w:rFonts w:ascii="Arial" w:eastAsia="Times New Roman" w:hAnsi="Arial" w:cs="Arial"/>
          <w:color w:val="000000" w:themeColor="text1"/>
          <w:sz w:val="24"/>
          <w:szCs w:val="24"/>
          <w:lang w:val="en-US" w:eastAsia="en-ZA"/>
        </w:rPr>
        <w:t xml:space="preserve">Examples of strong budget transparency are found in nearly all regions of the world, demonstrating that it is possible to achieve in diverse country contexts. It is thus within </w:t>
      </w:r>
      <w:r w:rsidR="00A05318" w:rsidRPr="003543F3">
        <w:rPr>
          <w:rFonts w:ascii="Arial" w:eastAsia="Times New Roman" w:hAnsi="Arial" w:cs="Arial"/>
          <w:color w:val="000000" w:themeColor="text1"/>
          <w:sz w:val="24"/>
          <w:szCs w:val="24"/>
          <w:lang w:val="en-US" w:eastAsia="en-ZA"/>
        </w:rPr>
        <w:t>everyone’s</w:t>
      </w:r>
      <w:r w:rsidR="008032D3" w:rsidRPr="003543F3">
        <w:rPr>
          <w:rFonts w:ascii="Arial" w:eastAsia="Times New Roman" w:hAnsi="Arial" w:cs="Arial"/>
          <w:color w:val="000000" w:themeColor="text1"/>
          <w:sz w:val="24"/>
          <w:szCs w:val="24"/>
          <w:lang w:val="en-US" w:eastAsia="en-ZA"/>
        </w:rPr>
        <w:t xml:space="preserve"> reach! </w:t>
      </w:r>
      <w:r w:rsidR="008032D3" w:rsidRPr="003543F3">
        <w:rPr>
          <w:rFonts w:ascii="Arial" w:eastAsia="Times New Roman" w:hAnsi="Arial" w:cs="Arial"/>
          <w:color w:val="000000" w:themeColor="text1"/>
          <w:sz w:val="24"/>
          <w:szCs w:val="24"/>
          <w:lang w:val="en-ZA" w:eastAsia="en-ZA"/>
        </w:rPr>
        <w:t> </w:t>
      </w:r>
    </w:p>
    <w:p w14:paraId="4FBB8923" w14:textId="6CBEE18E" w:rsidR="008032D3" w:rsidRPr="003543F3" w:rsidRDefault="008032D3" w:rsidP="003543F3">
      <w:pPr>
        <w:spacing w:line="276" w:lineRule="auto"/>
        <w:jc w:val="both"/>
        <w:textAlignment w:val="baseline"/>
        <w:rPr>
          <w:rFonts w:ascii="Arial" w:eastAsia="Times New Roman" w:hAnsi="Arial" w:cs="Arial"/>
          <w:color w:val="000000" w:themeColor="text1"/>
          <w:sz w:val="24"/>
          <w:szCs w:val="24"/>
          <w:lang w:val="en-ZA" w:eastAsia="en-ZA"/>
        </w:rPr>
      </w:pPr>
    </w:p>
    <w:p w14:paraId="23BDE91C" w14:textId="0F44DAD5" w:rsidR="008032D3" w:rsidRPr="003543F3" w:rsidRDefault="008032D3" w:rsidP="003543F3">
      <w:pPr>
        <w:spacing w:line="276" w:lineRule="auto"/>
        <w:textAlignment w:val="baseline"/>
        <w:rPr>
          <w:rFonts w:ascii="Arial" w:eastAsia="Times New Roman" w:hAnsi="Arial" w:cs="Arial"/>
          <w:color w:val="000000" w:themeColor="text1"/>
          <w:sz w:val="24"/>
          <w:szCs w:val="24"/>
          <w:lang w:val="en-ZA" w:eastAsia="en-ZA"/>
        </w:rPr>
      </w:pPr>
      <w:r w:rsidRPr="003543F3">
        <w:rPr>
          <w:rFonts w:ascii="Arial" w:eastAsia="Times New Roman" w:hAnsi="Arial" w:cs="Arial"/>
          <w:color w:val="000000" w:themeColor="text1"/>
          <w:sz w:val="24"/>
          <w:szCs w:val="24"/>
          <w:lang w:val="en-US" w:eastAsia="en-ZA"/>
        </w:rPr>
        <w:t xml:space="preserve">By the end of this Guide, </w:t>
      </w:r>
      <w:r w:rsidR="00A05318" w:rsidRPr="003543F3">
        <w:rPr>
          <w:rFonts w:ascii="Arial" w:eastAsia="Times New Roman" w:hAnsi="Arial" w:cs="Arial"/>
          <w:color w:val="000000" w:themeColor="text1"/>
          <w:sz w:val="24"/>
          <w:szCs w:val="24"/>
          <w:lang w:val="en-US" w:eastAsia="en-ZA"/>
        </w:rPr>
        <w:t xml:space="preserve">readers </w:t>
      </w:r>
      <w:r w:rsidRPr="003543F3">
        <w:rPr>
          <w:rFonts w:ascii="Arial" w:eastAsia="Times New Roman" w:hAnsi="Arial" w:cs="Arial"/>
          <w:color w:val="000000" w:themeColor="text1"/>
          <w:sz w:val="24"/>
          <w:szCs w:val="24"/>
          <w:lang w:val="en-US" w:eastAsia="en-ZA"/>
        </w:rPr>
        <w:t>will be able to:</w:t>
      </w:r>
      <w:r w:rsidRPr="003543F3">
        <w:rPr>
          <w:rFonts w:ascii="Arial" w:eastAsia="Times New Roman" w:hAnsi="Arial" w:cs="Arial"/>
          <w:color w:val="000000" w:themeColor="text1"/>
          <w:sz w:val="24"/>
          <w:szCs w:val="24"/>
          <w:lang w:val="en-ZA" w:eastAsia="en-ZA"/>
        </w:rPr>
        <w:t> </w:t>
      </w:r>
    </w:p>
    <w:p w14:paraId="65CF815F"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Identify the linkages between fiscal transparency and improved public policies, budget management and fiscal performance.      </w:t>
      </w:r>
    </w:p>
    <w:p w14:paraId="64A2FD17"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Identify the various global norms and standards on fiscal transparency, public participation and accountability and understand how these norms complement each other. </w:t>
      </w:r>
    </w:p>
    <w:p w14:paraId="5BD4448E"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Identify the role of key actors, including the executive, legislature and supreme audit institution, in fiscal transparency. </w:t>
      </w:r>
    </w:p>
    <w:p w14:paraId="7956D652"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Recognize the role of public participation for a better use of public resources. </w:t>
      </w:r>
    </w:p>
    <w:p w14:paraId="136906B8"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Recognize processes and gain knowledge on the use of tools for effective improvements in fiscal transparency. </w:t>
      </w:r>
    </w:p>
    <w:p w14:paraId="3F338F4B"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Explain the importance of publishing fiscal information that responds to users’ needs. </w:t>
      </w:r>
    </w:p>
    <w:p w14:paraId="380D10E8"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Recognize the political framework and the institutional settings in which fiscal transparency progresses and regresses, including the accountability ecosystem in which it operates, and the political opportunities and challenges it faces. </w:t>
      </w:r>
    </w:p>
    <w:p w14:paraId="684E53E5"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Identify the leadership, coordination, and capacity required to improve fiscal transparency. </w:t>
      </w:r>
    </w:p>
    <w:p w14:paraId="1FF55A33"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State the role of local conditions in designing and implementing actions aimed at increasing fiscal transparency. </w:t>
      </w:r>
    </w:p>
    <w:p w14:paraId="2292207C" w14:textId="77777777"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Identify issues relevant to the prioritization, sequencing of actions and sustainability of fiscal transparency. </w:t>
      </w:r>
    </w:p>
    <w:p w14:paraId="5AF4F33C" w14:textId="375B0FD2"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US" w:eastAsia="en-ZA"/>
        </w:rPr>
      </w:pPr>
      <w:r w:rsidRPr="003543F3">
        <w:rPr>
          <w:rFonts w:ascii="Arial" w:eastAsia="Times New Roman" w:hAnsi="Arial" w:cs="Arial"/>
          <w:sz w:val="24"/>
          <w:szCs w:val="24"/>
          <w:lang w:val="en-US" w:eastAsia="en-ZA"/>
        </w:rPr>
        <w:t xml:space="preserve">Analyze the challenges of advancing fiscal transparency in </w:t>
      </w:r>
      <w:r w:rsidR="00A05318" w:rsidRPr="003543F3">
        <w:rPr>
          <w:rFonts w:ascii="Arial" w:eastAsia="Times New Roman" w:hAnsi="Arial" w:cs="Arial"/>
          <w:sz w:val="24"/>
          <w:szCs w:val="24"/>
          <w:lang w:val="en-US" w:eastAsia="en-ZA"/>
        </w:rPr>
        <w:t>different</w:t>
      </w:r>
      <w:r w:rsidRPr="003543F3">
        <w:rPr>
          <w:rFonts w:ascii="Arial" w:eastAsia="Times New Roman" w:hAnsi="Arial" w:cs="Arial"/>
          <w:sz w:val="24"/>
          <w:szCs w:val="24"/>
          <w:lang w:val="en-US" w:eastAsia="en-ZA"/>
        </w:rPr>
        <w:t xml:space="preserve"> country </w:t>
      </w:r>
      <w:r w:rsidR="00AE638D">
        <w:rPr>
          <w:rFonts w:ascii="Arial" w:eastAsia="Times New Roman" w:hAnsi="Arial" w:cs="Arial"/>
          <w:sz w:val="24"/>
          <w:szCs w:val="24"/>
          <w:lang w:val="en-US" w:eastAsia="en-ZA"/>
        </w:rPr>
        <w:t xml:space="preserve">contexts </w:t>
      </w:r>
      <w:r w:rsidRPr="003543F3">
        <w:rPr>
          <w:rFonts w:ascii="Arial" w:eastAsia="Times New Roman" w:hAnsi="Arial" w:cs="Arial"/>
          <w:sz w:val="24"/>
          <w:szCs w:val="24"/>
          <w:lang w:val="en-US" w:eastAsia="en-ZA"/>
        </w:rPr>
        <w:t>from various perspectives.</w:t>
      </w:r>
    </w:p>
    <w:p w14:paraId="49004CB0" w14:textId="75D7CABD" w:rsidR="008032D3" w:rsidRPr="003543F3" w:rsidRDefault="008032D3" w:rsidP="0040401D">
      <w:pPr>
        <w:numPr>
          <w:ilvl w:val="0"/>
          <w:numId w:val="2"/>
        </w:numPr>
        <w:spacing w:line="276" w:lineRule="auto"/>
        <w:jc w:val="both"/>
        <w:textAlignment w:val="baseline"/>
        <w:rPr>
          <w:rFonts w:ascii="Arial" w:eastAsia="Times New Roman" w:hAnsi="Arial" w:cs="Arial"/>
          <w:sz w:val="24"/>
          <w:szCs w:val="24"/>
          <w:lang w:val="en-ZA" w:eastAsia="en-ZA"/>
        </w:rPr>
      </w:pPr>
      <w:r w:rsidRPr="003543F3">
        <w:rPr>
          <w:rFonts w:ascii="Arial" w:eastAsia="Times New Roman" w:hAnsi="Arial" w:cs="Arial"/>
          <w:sz w:val="24"/>
          <w:szCs w:val="24"/>
          <w:lang w:val="en-US" w:eastAsia="en-ZA"/>
        </w:rPr>
        <w:t>Work with relevant stakeholders in analyzing, planning, coordinating and taking action in advancing fiscal transparency</w:t>
      </w:r>
      <w:r w:rsidRPr="003543F3">
        <w:rPr>
          <w:rFonts w:ascii="Arial" w:eastAsia="Times New Roman" w:hAnsi="Arial" w:cs="Arial"/>
          <w:sz w:val="24"/>
          <w:szCs w:val="24"/>
          <w:lang w:val="en-ZA" w:eastAsia="en-ZA"/>
        </w:rPr>
        <w:t xml:space="preserve">.  </w:t>
      </w:r>
    </w:p>
    <w:p w14:paraId="7289989D" w14:textId="5E62DD2B" w:rsidR="00770B0B" w:rsidRPr="003543F3" w:rsidRDefault="00770B0B" w:rsidP="0040401D">
      <w:pPr>
        <w:numPr>
          <w:ilvl w:val="0"/>
          <w:numId w:val="2"/>
        </w:numPr>
        <w:spacing w:line="276" w:lineRule="auto"/>
        <w:jc w:val="both"/>
        <w:textAlignment w:val="baseline"/>
        <w:rPr>
          <w:rFonts w:ascii="Arial" w:eastAsia="Times New Roman" w:hAnsi="Arial" w:cs="Arial"/>
          <w:sz w:val="24"/>
          <w:szCs w:val="24"/>
          <w:lang w:val="en-ZA" w:eastAsia="en-ZA"/>
        </w:rPr>
      </w:pPr>
      <w:r w:rsidRPr="003543F3">
        <w:rPr>
          <w:rFonts w:ascii="Arial" w:eastAsia="Times New Roman" w:hAnsi="Arial" w:cs="Arial"/>
          <w:sz w:val="24"/>
          <w:szCs w:val="24"/>
          <w:lang w:val="en-ZA" w:eastAsia="en-ZA"/>
        </w:rPr>
        <w:t>Understand the positive linkage between fiscal transparency</w:t>
      </w:r>
      <w:r w:rsidR="00201E35" w:rsidRPr="003543F3">
        <w:rPr>
          <w:rFonts w:ascii="Arial" w:eastAsia="Times New Roman" w:hAnsi="Arial" w:cs="Arial"/>
          <w:sz w:val="24"/>
          <w:szCs w:val="24"/>
          <w:lang w:val="en-ZA" w:eastAsia="en-ZA"/>
        </w:rPr>
        <w:t xml:space="preserve">, efficiency and effectiveness in the use of public resources </w:t>
      </w:r>
      <w:r w:rsidRPr="003543F3">
        <w:rPr>
          <w:rFonts w:ascii="Arial" w:eastAsia="Times New Roman" w:hAnsi="Arial" w:cs="Arial"/>
          <w:sz w:val="24"/>
          <w:szCs w:val="24"/>
          <w:lang w:val="en-ZA" w:eastAsia="en-ZA"/>
        </w:rPr>
        <w:t xml:space="preserve">and </w:t>
      </w:r>
      <w:r w:rsidR="00201E35" w:rsidRPr="003543F3">
        <w:rPr>
          <w:rFonts w:ascii="Arial" w:eastAsia="Times New Roman" w:hAnsi="Arial" w:cs="Arial"/>
          <w:sz w:val="24"/>
          <w:szCs w:val="24"/>
          <w:lang w:val="en-ZA" w:eastAsia="en-ZA"/>
        </w:rPr>
        <w:t xml:space="preserve">ultimately </w:t>
      </w:r>
      <w:r w:rsidRPr="003543F3">
        <w:rPr>
          <w:rFonts w:ascii="Arial" w:eastAsia="Times New Roman" w:hAnsi="Arial" w:cs="Arial"/>
          <w:sz w:val="24"/>
          <w:szCs w:val="24"/>
          <w:lang w:val="en-ZA" w:eastAsia="en-ZA"/>
        </w:rPr>
        <w:t xml:space="preserve">development </w:t>
      </w:r>
      <w:r w:rsidR="00201E35" w:rsidRPr="003543F3">
        <w:rPr>
          <w:rFonts w:ascii="Arial" w:eastAsia="Times New Roman" w:hAnsi="Arial" w:cs="Arial"/>
          <w:sz w:val="24"/>
          <w:szCs w:val="24"/>
          <w:lang w:val="en-ZA" w:eastAsia="en-ZA"/>
        </w:rPr>
        <w:t xml:space="preserve">outcomes. </w:t>
      </w:r>
    </w:p>
    <w:p w14:paraId="3A4A7930" w14:textId="6885082D" w:rsidR="00183443" w:rsidRPr="00183443" w:rsidRDefault="00C373A6" w:rsidP="00183443">
      <w:pPr>
        <w:pStyle w:val="Heading2"/>
        <w:rPr>
          <w:rFonts w:ascii="Arial" w:hAnsi="Arial" w:cs="Arial"/>
          <w:b/>
          <w:bCs/>
          <w:color w:val="ED5625"/>
          <w:sz w:val="36"/>
          <w:szCs w:val="36"/>
          <w:lang w:val="en-US" w:eastAsia="zh-CN"/>
        </w:rPr>
      </w:pPr>
      <w:bookmarkStart w:id="89" w:name="_Modules"/>
      <w:bookmarkStart w:id="90" w:name="_Toc115369968"/>
      <w:bookmarkStart w:id="91" w:name="_Toc115729043"/>
      <w:bookmarkStart w:id="92" w:name="_Toc115877689"/>
      <w:bookmarkStart w:id="93" w:name="_Toc116056973"/>
      <w:bookmarkStart w:id="94" w:name="_Toc123913946"/>
      <w:bookmarkStart w:id="95" w:name="_Toc125566565"/>
      <w:bookmarkEnd w:id="89"/>
      <w:r w:rsidRPr="00AE4650">
        <w:rPr>
          <w:rFonts w:ascii="Arial" w:hAnsi="Arial" w:cs="Arial"/>
          <w:b/>
          <w:bCs/>
          <w:color w:val="ED5625"/>
          <w:sz w:val="36"/>
          <w:szCs w:val="36"/>
          <w:lang w:val="en-US" w:eastAsia="zh-CN"/>
        </w:rPr>
        <w:lastRenderedPageBreak/>
        <w:t>Modules</w:t>
      </w:r>
      <w:bookmarkEnd w:id="90"/>
      <w:bookmarkEnd w:id="91"/>
      <w:bookmarkEnd w:id="92"/>
      <w:bookmarkEnd w:id="93"/>
      <w:bookmarkEnd w:id="94"/>
      <w:bookmarkEnd w:id="95"/>
    </w:p>
    <w:p w14:paraId="70233FBC" w14:textId="6372A074" w:rsidR="00183443" w:rsidRPr="00183443" w:rsidRDefault="00183443" w:rsidP="00183443">
      <w:pPr>
        <w:rPr>
          <w:lang w:val="en-US" w:eastAsia="zh-CN"/>
        </w:rPr>
      </w:pPr>
      <w:r>
        <w:rPr>
          <w:noProof/>
          <w:lang w:val="en-US"/>
        </w:rPr>
        <mc:AlternateContent>
          <mc:Choice Requires="wps">
            <w:drawing>
              <wp:anchor distT="0" distB="0" distL="114300" distR="114300" simplePos="0" relativeHeight="251716608" behindDoc="0" locked="0" layoutInCell="1" allowOverlap="1" wp14:anchorId="44E49D58" wp14:editId="77856BBD">
                <wp:simplePos x="0" y="0"/>
                <wp:positionH relativeFrom="column">
                  <wp:posOffset>-10160</wp:posOffset>
                </wp:positionH>
                <wp:positionV relativeFrom="paragraph">
                  <wp:posOffset>121019</wp:posOffset>
                </wp:positionV>
                <wp:extent cx="6634717" cy="0"/>
                <wp:effectExtent l="0" t="12700" r="20320" b="12700"/>
                <wp:wrapNone/>
                <wp:docPr id="43" name="Straight Connector 43"/>
                <wp:cNvGraphicFramePr/>
                <a:graphic xmlns:a="http://schemas.openxmlformats.org/drawingml/2006/main">
                  <a:graphicData uri="http://schemas.microsoft.com/office/word/2010/wordprocessingShape">
                    <wps:wsp>
                      <wps:cNvCnPr/>
                      <wps:spPr>
                        <a:xfrm>
                          <a:off x="0" y="0"/>
                          <a:ext cx="6634717" cy="0"/>
                        </a:xfrm>
                        <a:prstGeom prst="line">
                          <a:avLst/>
                        </a:prstGeom>
                        <a:ln w="19050">
                          <a:solidFill>
                            <a:srgbClr val="ED562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7713A93D" id="Straight Connector 43"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8pt,9.55pt" to="521.6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" strokecolor="#ed5625" strokeweight="1.5pt">
                <v:stroke joinstyle="miter"/>
              </v:line>
            </w:pict>
          </mc:Fallback>
        </mc:AlternateContent>
      </w:r>
    </w:p>
    <w:p w14:paraId="0219F83E" w14:textId="5684A7F8" w:rsidR="00AE4650" w:rsidRPr="00AE4650" w:rsidRDefault="0039257C" w:rsidP="00AE4650">
      <w:pPr>
        <w:rPr>
          <w:lang w:val="en-US" w:eastAsia="zh-CN"/>
        </w:rPr>
      </w:pPr>
      <w:r>
        <w:rPr>
          <w:rFonts w:ascii="Arial" w:eastAsia="Times New Roman" w:hAnsi="Arial" w:cs="Arial"/>
          <w:noProof/>
          <w:color w:val="000000" w:themeColor="text1"/>
          <w:sz w:val="24"/>
          <w:szCs w:val="24"/>
          <w:lang w:val="en-US"/>
        </w:rPr>
        <mc:AlternateContent>
          <mc:Choice Requires="wps">
            <w:drawing>
              <wp:anchor distT="0" distB="0" distL="114300" distR="114300" simplePos="0" relativeHeight="251779072" behindDoc="0" locked="0" layoutInCell="1" allowOverlap="1" wp14:anchorId="3A2CB5FA" wp14:editId="41FCA36F">
                <wp:simplePos x="0" y="0"/>
                <wp:positionH relativeFrom="column">
                  <wp:posOffset>2327564</wp:posOffset>
                </wp:positionH>
                <wp:positionV relativeFrom="paragraph">
                  <wp:posOffset>175780</wp:posOffset>
                </wp:positionV>
                <wp:extent cx="4361873" cy="6677890"/>
                <wp:effectExtent l="0" t="0" r="0" b="2540"/>
                <wp:wrapNone/>
                <wp:docPr id="51" name="Text Box 51"/>
                <wp:cNvGraphicFramePr/>
                <a:graphic xmlns:a="http://schemas.openxmlformats.org/drawingml/2006/main">
                  <a:graphicData uri="http://schemas.microsoft.com/office/word/2010/wordprocessingShape">
                    <wps:wsp>
                      <wps:cNvSpPr txBox="1"/>
                      <wps:spPr>
                        <a:xfrm>
                          <a:off x="0" y="0"/>
                          <a:ext cx="4361873" cy="6677890"/>
                        </a:xfrm>
                        <a:prstGeom prst="rect">
                          <a:avLst/>
                        </a:prstGeom>
                        <a:solidFill>
                          <a:schemeClr val="lt1"/>
                        </a:solidFill>
                        <a:ln w="6350">
                          <a:noFill/>
                        </a:ln>
                      </wps:spPr>
                      <wps:txbx>
                        <w:txbxContent>
                          <w:p w14:paraId="70BE3373" w14:textId="77777777" w:rsidR="00D15FD8" w:rsidRPr="003543F3" w:rsidRDefault="00D15FD8" w:rsidP="0039257C">
                            <w:pPr>
                              <w:spacing w:line="276" w:lineRule="auto"/>
                              <w:jc w:val="both"/>
                              <w:textAlignment w:val="baseline"/>
                              <w:rPr>
                                <w:rFonts w:ascii="Arial" w:eastAsia="Times New Roman" w:hAnsi="Arial" w:cs="Arial"/>
                                <w:color w:val="000000" w:themeColor="text1"/>
                                <w:sz w:val="24"/>
                                <w:szCs w:val="24"/>
                                <w:lang w:val="en-ZA" w:eastAsia="en-ZA"/>
                              </w:rPr>
                            </w:pPr>
                            <w:r w:rsidRPr="003543F3">
                              <w:rPr>
                                <w:rFonts w:ascii="Arial" w:eastAsia="Times New Roman" w:hAnsi="Arial" w:cs="Arial"/>
                                <w:color w:val="000000" w:themeColor="text1"/>
                                <w:sz w:val="24"/>
                                <w:szCs w:val="24"/>
                                <w:lang w:val="en-US" w:eastAsia="en-ZA"/>
                              </w:rPr>
                              <w:t>This Guide consists of five modules. Modules 1 to 3 explore the basics of fiscal transparency, including what it is, who the key actors are and what is expected from each of them, as well as what it means to attain sufficient levels of fiscal transparency.</w:t>
                            </w:r>
                            <w:r w:rsidRPr="003543F3">
                              <w:rPr>
                                <w:rFonts w:ascii="Arial" w:eastAsia="Times New Roman" w:hAnsi="Arial" w:cs="Arial"/>
                                <w:color w:val="000000" w:themeColor="text1"/>
                                <w:sz w:val="24"/>
                                <w:szCs w:val="24"/>
                                <w:lang w:val="en-ZA" w:eastAsia="en-ZA"/>
                              </w:rPr>
                              <w:t> T</w:t>
                            </w:r>
                            <w:r w:rsidRPr="003543F3">
                              <w:rPr>
                                <w:rFonts w:ascii="Arial" w:eastAsia="Times New Roman" w:hAnsi="Arial" w:cs="Arial"/>
                                <w:color w:val="000000" w:themeColor="text1"/>
                                <w:sz w:val="24"/>
                                <w:szCs w:val="24"/>
                                <w:lang w:val="en-US" w:eastAsia="en-ZA"/>
                              </w:rPr>
                              <w:t>he last two modules build on this by examining the newest tools facilitating fiscal transparency, in the digital age; as well as the non-technical factors that have great bearing on the potential success of fiscal transparency initiatives. The Guide culminates with potential actions being put forward to overcome commonly encountered obstacles and to take advantage of windows of opportunity for enhancing fiscal transparency.</w:t>
                            </w:r>
                            <w:r w:rsidRPr="003543F3">
                              <w:rPr>
                                <w:rFonts w:ascii="Arial" w:eastAsia="Times New Roman" w:hAnsi="Arial" w:cs="Arial"/>
                                <w:color w:val="000000" w:themeColor="text1"/>
                                <w:sz w:val="24"/>
                                <w:szCs w:val="24"/>
                                <w:lang w:val="en-ZA" w:eastAsia="en-ZA"/>
                              </w:rPr>
                              <w:t> </w:t>
                            </w:r>
                          </w:p>
                          <w:p w14:paraId="4BC8A921" w14:textId="77777777" w:rsidR="00D15FD8" w:rsidRPr="003543F3" w:rsidRDefault="00D15FD8" w:rsidP="0039257C">
                            <w:pPr>
                              <w:spacing w:line="276" w:lineRule="auto"/>
                              <w:jc w:val="both"/>
                              <w:textAlignment w:val="baseline"/>
                              <w:rPr>
                                <w:rFonts w:ascii="Arial" w:eastAsia="Times New Roman" w:hAnsi="Arial" w:cs="Arial"/>
                                <w:color w:val="000000" w:themeColor="text1"/>
                                <w:sz w:val="24"/>
                                <w:szCs w:val="24"/>
                                <w:lang w:val="en-ZA" w:eastAsia="en-ZA"/>
                              </w:rPr>
                            </w:pPr>
                          </w:p>
                          <w:p w14:paraId="6C0D359F" w14:textId="77777777" w:rsidR="00D15FD8" w:rsidRPr="0039257C" w:rsidRDefault="00D15FD8" w:rsidP="0039257C">
                            <w:pPr>
                              <w:spacing w:line="276" w:lineRule="auto"/>
                              <w:textAlignment w:val="baseline"/>
                              <w:rPr>
                                <w:rFonts w:ascii="Arial" w:eastAsia="Times New Roman" w:hAnsi="Arial" w:cs="Arial"/>
                                <w:b/>
                                <w:bCs/>
                                <w:color w:val="ED5625"/>
                                <w:sz w:val="24"/>
                                <w:szCs w:val="24"/>
                                <w:lang w:val="en-ZA" w:eastAsia="en-ZA"/>
                              </w:rPr>
                            </w:pPr>
                            <w:r w:rsidRPr="0039257C">
                              <w:rPr>
                                <w:rFonts w:ascii="Arial" w:eastAsia="Times New Roman" w:hAnsi="Arial" w:cs="Arial"/>
                                <w:b/>
                                <w:bCs/>
                                <w:color w:val="ED5625"/>
                                <w:sz w:val="24"/>
                                <w:szCs w:val="24"/>
                                <w:lang w:val="en-ZA" w:eastAsia="en-ZA"/>
                              </w:rPr>
                              <w:t>The modules are organized as follows:</w:t>
                            </w:r>
                          </w:p>
                          <w:p w14:paraId="51CEFE69" w14:textId="77777777" w:rsidR="00D15FD8" w:rsidRPr="003543F3" w:rsidRDefault="00D15FD8" w:rsidP="0039257C">
                            <w:pPr>
                              <w:spacing w:line="276" w:lineRule="auto"/>
                              <w:textAlignment w:val="baseline"/>
                              <w:rPr>
                                <w:rFonts w:ascii="Arial" w:eastAsia="Times New Roman" w:hAnsi="Arial" w:cs="Arial"/>
                                <w:color w:val="000000" w:themeColor="text1"/>
                                <w:sz w:val="24"/>
                                <w:szCs w:val="24"/>
                                <w:lang w:val="en-ZA" w:eastAsia="en-ZA"/>
                              </w:rPr>
                            </w:pPr>
                          </w:p>
                          <w:p w14:paraId="0D02E07C" w14:textId="77777777" w:rsidR="00D15FD8" w:rsidRPr="00AE4650" w:rsidRDefault="00D15FD8">
                            <w:pPr>
                              <w:pStyle w:val="ListParagraph"/>
                              <w:numPr>
                                <w:ilvl w:val="0"/>
                                <w:numId w:val="3"/>
                              </w:numPr>
                              <w:spacing w:line="276" w:lineRule="auto"/>
                              <w:ind w:left="270" w:hanging="27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 xml:space="preserve">An introduction to </w:t>
                            </w:r>
                            <w:r w:rsidRPr="00F24CC8">
                              <w:rPr>
                                <w:rFonts w:ascii="Arial" w:eastAsia="Arial" w:hAnsi="Arial" w:cs="Arial"/>
                                <w:b/>
                                <w:color w:val="69557F"/>
                                <w:sz w:val="24"/>
                                <w:szCs w:val="24"/>
                                <w:lang w:val="en-US"/>
                              </w:rPr>
                              <w:t>fiscal t</w:t>
                            </w:r>
                            <w:r w:rsidRPr="00AE4650">
                              <w:rPr>
                                <w:rFonts w:ascii="Arial" w:eastAsia="Arial" w:hAnsi="Arial" w:cs="Arial"/>
                                <w:b/>
                                <w:color w:val="69557F"/>
                                <w:sz w:val="24"/>
                                <w:szCs w:val="24"/>
                                <w:lang w:val="en-US"/>
                              </w:rPr>
                              <w:t>ransparency</w:t>
                            </w:r>
                          </w:p>
                          <w:p w14:paraId="426A9C76" w14:textId="77777777" w:rsidR="00D15FD8" w:rsidRPr="003543F3" w:rsidRDefault="00D15FD8" w:rsidP="0039257C">
                            <w:pPr>
                              <w:tabs>
                                <w:tab w:val="left" w:pos="270"/>
                              </w:tabs>
                              <w:spacing w:line="276" w:lineRule="auto"/>
                              <w:ind w:left="270"/>
                              <w:jc w:val="both"/>
                              <w:rPr>
                                <w:rFonts w:ascii="Arial" w:eastAsia="Arial" w:hAnsi="Arial" w:cs="Arial"/>
                                <w:color w:val="000000"/>
                                <w:sz w:val="24"/>
                                <w:szCs w:val="24"/>
                                <w:lang w:val="en-US"/>
                              </w:rPr>
                            </w:pPr>
                            <w:r w:rsidRPr="003543F3">
                              <w:rPr>
                                <w:rFonts w:ascii="Arial" w:eastAsia="Arial" w:hAnsi="Arial" w:cs="Arial"/>
                                <w:color w:val="000000"/>
                                <w:sz w:val="24"/>
                                <w:szCs w:val="24"/>
                                <w:lang w:val="en-US"/>
                              </w:rPr>
                              <w:t>This module introduces the concept of fiscal transparency for development. As part of this, it explains what fiscal transparency is, why it matters as a part of good governance, what benefits can be gleaned from it across a range of evidence as well as the norms and standards that assist in achieving it.</w:t>
                            </w:r>
                          </w:p>
                          <w:p w14:paraId="0F01232D" w14:textId="77777777" w:rsidR="00D15FD8" w:rsidRPr="003543F3" w:rsidRDefault="00D15FD8" w:rsidP="0039257C">
                            <w:pPr>
                              <w:tabs>
                                <w:tab w:val="left" w:pos="270"/>
                              </w:tabs>
                              <w:spacing w:line="276" w:lineRule="auto"/>
                              <w:ind w:left="270"/>
                              <w:jc w:val="both"/>
                              <w:rPr>
                                <w:rFonts w:ascii="Arial" w:eastAsia="Arial" w:hAnsi="Arial" w:cs="Arial"/>
                                <w:color w:val="000000"/>
                                <w:sz w:val="24"/>
                                <w:szCs w:val="24"/>
                                <w:lang w:val="en-US"/>
                              </w:rPr>
                            </w:pPr>
                          </w:p>
                          <w:p w14:paraId="44086360" w14:textId="77777777" w:rsidR="00D15FD8" w:rsidRDefault="00D15FD8" w:rsidP="0039257C">
                            <w:pPr>
                              <w:spacing w:line="276" w:lineRule="auto"/>
                              <w:ind w:left="720" w:hanging="72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 xml:space="preserve">2. External actors in fiscal transparency, public </w:t>
                            </w:r>
                          </w:p>
                          <w:p w14:paraId="39AF33B0" w14:textId="225F7B42" w:rsidR="00D15FD8" w:rsidRPr="00AE4650" w:rsidRDefault="00D15FD8" w:rsidP="002F7AF5">
                            <w:pPr>
                              <w:spacing w:line="276" w:lineRule="auto"/>
                              <w:ind w:left="720" w:hanging="45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participation and accountability</w:t>
                            </w:r>
                          </w:p>
                          <w:p w14:paraId="115EC593" w14:textId="225F7B42" w:rsidR="00D15FD8" w:rsidRPr="003625BA" w:rsidRDefault="00D15FD8" w:rsidP="003625BA">
                            <w:pPr>
                              <w:tabs>
                                <w:tab w:val="left" w:pos="270"/>
                              </w:tabs>
                              <w:spacing w:line="276" w:lineRule="auto"/>
                              <w:ind w:left="270"/>
                              <w:jc w:val="both"/>
                              <w:rPr>
                                <w:rFonts w:ascii="Arial" w:eastAsia="Arial" w:hAnsi="Arial" w:cs="Arial"/>
                                <w:color w:val="000000"/>
                                <w:sz w:val="24"/>
                                <w:szCs w:val="24"/>
                                <w:lang w:val="en-US"/>
                              </w:rPr>
                            </w:pPr>
                            <w:r w:rsidRPr="003625BA">
                              <w:rPr>
                                <w:rFonts w:ascii="Arial" w:eastAsia="Arial" w:hAnsi="Arial" w:cs="Arial"/>
                                <w:color w:val="000000"/>
                                <w:sz w:val="24"/>
                                <w:szCs w:val="24"/>
                                <w:lang w:val="en-US"/>
                              </w:rPr>
                              <w:t xml:space="preserve">This module identifies the key actors for fiscal transparency.  It then focuses on those outside of the executive, examining their roles and how they can contribute to and use fiscal transparency to actively participate in open budgetary processes, and to judge the government’s performance in order to hold it accountable for its management of public resources.  </w:t>
                            </w:r>
                          </w:p>
                          <w:p w14:paraId="7BCE5BAF"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p>
                          <w:p w14:paraId="36A04D20" w14:textId="77777777" w:rsidR="00D15FD8" w:rsidRPr="00AE4650" w:rsidRDefault="00D15FD8">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Fiscal transparency information disclosures and standards</w:t>
                            </w:r>
                          </w:p>
                          <w:p w14:paraId="3EBB848A"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r w:rsidRPr="003543F3">
                              <w:rPr>
                                <w:rFonts w:ascii="Arial" w:eastAsia="Times New Roman" w:hAnsi="Arial" w:cs="Arial"/>
                                <w:color w:val="313131"/>
                                <w:sz w:val="24"/>
                                <w:szCs w:val="24"/>
                                <w:lang w:val="en-US"/>
                              </w:rPr>
                              <w:t>This module focuses on the executive’s role as the key actor in advancing fiscal transparency for development, including its central role in providing information that meets fiscal transparency standards and how its success in doing so can be measured using fiscal transparency assessments.</w:t>
                            </w:r>
                          </w:p>
                          <w:p w14:paraId="3AD879A6"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p>
                          <w:p w14:paraId="1DBFB524" w14:textId="77777777" w:rsidR="00D15FD8" w:rsidRPr="00AE4650" w:rsidRDefault="00D15FD8">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Internal systems and digital tools for better implementation</w:t>
                            </w:r>
                          </w:p>
                          <w:p w14:paraId="5E94E5C4"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r w:rsidRPr="003543F3">
                              <w:rPr>
                                <w:rFonts w:ascii="Arial" w:eastAsia="Times New Roman" w:hAnsi="Arial" w:cs="Arial"/>
                                <w:color w:val="313131"/>
                                <w:sz w:val="24"/>
                                <w:szCs w:val="24"/>
                                <w:lang w:val="en-US"/>
                              </w:rPr>
                              <w:t>This module examines how information systems, including financial management information systems, and a variety of other digital tools can facilitate the achievement of, and lead to improved fiscal transparency.</w:t>
                            </w:r>
                          </w:p>
                          <w:p w14:paraId="113F792E" w14:textId="77777777" w:rsidR="00D15FD8" w:rsidRPr="00AE4650" w:rsidRDefault="00D15FD8" w:rsidP="0039257C">
                            <w:pPr>
                              <w:tabs>
                                <w:tab w:val="left" w:pos="360"/>
                              </w:tabs>
                              <w:spacing w:line="276" w:lineRule="auto"/>
                              <w:ind w:left="270"/>
                              <w:jc w:val="both"/>
                              <w:rPr>
                                <w:rFonts w:ascii="Arial" w:eastAsia="Times New Roman" w:hAnsi="Arial" w:cs="Arial"/>
                                <w:color w:val="69557F"/>
                                <w:sz w:val="24"/>
                                <w:szCs w:val="24"/>
                                <w:lang w:val="en-US"/>
                              </w:rPr>
                            </w:pPr>
                          </w:p>
                          <w:p w14:paraId="4B189F8B" w14:textId="77777777" w:rsidR="00D15FD8" w:rsidRPr="0039257C" w:rsidRDefault="00D15FD8">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39257C">
                              <w:rPr>
                                <w:rFonts w:ascii="Arial" w:eastAsia="Arial" w:hAnsi="Arial" w:cs="Arial"/>
                                <w:b/>
                                <w:color w:val="69557F"/>
                                <w:sz w:val="24"/>
                                <w:szCs w:val="24"/>
                                <w:lang w:val="en-US"/>
                              </w:rPr>
                              <w:t>Actions towards advancing fiscal transparency (reforms and other measures)</w:t>
                            </w:r>
                          </w:p>
                          <w:p w14:paraId="0AAD7C6E"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r w:rsidRPr="003543F3">
                              <w:rPr>
                                <w:rFonts w:ascii="Arial" w:eastAsia="Times New Roman" w:hAnsi="Arial" w:cs="Arial"/>
                                <w:color w:val="313131"/>
                                <w:sz w:val="24"/>
                                <w:szCs w:val="24"/>
                                <w:lang w:val="en-US"/>
                              </w:rPr>
                              <w:t>At this point, readers would have an understanding of the technical knowledge and tools available for advancing fiscal transparency. This module then focuses on the non-technical factors, that often facilitate or hamper fiscal transparency advancements. From the GIFT network experience, practical actions/reforms are put forward that can potentially be taken to overcome obstacles and take advantage of opportunities to establish and/or enhance fiscal transparency.</w:t>
                            </w:r>
                          </w:p>
                          <w:p w14:paraId="2D3C3B40"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CB5FA" id="Text Box 51" o:spid="_x0000_s1031" type="#_x0000_t202" style="position:absolute;margin-left:183.25pt;margin-top:13.85pt;width:343.45pt;height:525.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" fillcolor="white [3201]" stroked="f" strokeweight=".5pt">
                <v:textbox>
                  <w:txbxContent>
                    <w:p w14:paraId="70BE3373" w14:textId="77777777" w:rsidR="00D15FD8" w:rsidRPr="003543F3" w:rsidRDefault="00D15FD8" w:rsidP="0039257C">
                      <w:pPr>
                        <w:spacing w:line="276" w:lineRule="auto"/>
                        <w:jc w:val="both"/>
                        <w:textAlignment w:val="baseline"/>
                        <w:rPr>
                          <w:rFonts w:ascii="Arial" w:eastAsia="Times New Roman" w:hAnsi="Arial" w:cs="Arial"/>
                          <w:color w:val="000000" w:themeColor="text1"/>
                          <w:sz w:val="24"/>
                          <w:szCs w:val="24"/>
                          <w:lang w:val="en-ZA" w:eastAsia="en-ZA"/>
                        </w:rPr>
                      </w:pPr>
                      <w:r w:rsidRPr="003543F3">
                        <w:rPr>
                          <w:rFonts w:ascii="Arial" w:eastAsia="Times New Roman" w:hAnsi="Arial" w:cs="Arial"/>
                          <w:color w:val="000000" w:themeColor="text1"/>
                          <w:sz w:val="24"/>
                          <w:szCs w:val="24"/>
                          <w:lang w:val="en-US" w:eastAsia="en-ZA"/>
                        </w:rPr>
                        <w:t>This Guide consists of five modules. Modules 1 to 3 explore the basics of fiscal transparency, including what it is, who the key actors are and what is expected from each of them, as well as what it means to attain sufficient levels of fiscal transparency.</w:t>
                      </w:r>
                      <w:r w:rsidRPr="003543F3">
                        <w:rPr>
                          <w:rFonts w:ascii="Arial" w:eastAsia="Times New Roman" w:hAnsi="Arial" w:cs="Arial"/>
                          <w:color w:val="000000" w:themeColor="text1"/>
                          <w:sz w:val="24"/>
                          <w:szCs w:val="24"/>
                          <w:lang w:val="en-ZA" w:eastAsia="en-ZA"/>
                        </w:rPr>
                        <w:t> T</w:t>
                      </w:r>
                      <w:r w:rsidRPr="003543F3">
                        <w:rPr>
                          <w:rFonts w:ascii="Arial" w:eastAsia="Times New Roman" w:hAnsi="Arial" w:cs="Arial"/>
                          <w:color w:val="000000" w:themeColor="text1"/>
                          <w:sz w:val="24"/>
                          <w:szCs w:val="24"/>
                          <w:lang w:val="en-US" w:eastAsia="en-ZA"/>
                        </w:rPr>
                        <w:t>he last two modules build on this by examining the newest tools facilitating fiscal transparency, in the digital age; as well as the non-technical factors that have great bearing on the potential success of fiscal transparency initiatives. The Guide culminates with potential actions being put forward to overcome commonly encountered obstacles and to take advantage of windows of opportunity for enhancing fiscal transparency.</w:t>
                      </w:r>
                      <w:r w:rsidRPr="003543F3">
                        <w:rPr>
                          <w:rFonts w:ascii="Arial" w:eastAsia="Times New Roman" w:hAnsi="Arial" w:cs="Arial"/>
                          <w:color w:val="000000" w:themeColor="text1"/>
                          <w:sz w:val="24"/>
                          <w:szCs w:val="24"/>
                          <w:lang w:val="en-ZA" w:eastAsia="en-ZA"/>
                        </w:rPr>
                        <w:t> </w:t>
                      </w:r>
                    </w:p>
                    <w:p w14:paraId="4BC8A921" w14:textId="77777777" w:rsidR="00D15FD8" w:rsidRPr="003543F3" w:rsidRDefault="00D15FD8" w:rsidP="0039257C">
                      <w:pPr>
                        <w:spacing w:line="276" w:lineRule="auto"/>
                        <w:jc w:val="both"/>
                        <w:textAlignment w:val="baseline"/>
                        <w:rPr>
                          <w:rFonts w:ascii="Arial" w:eastAsia="Times New Roman" w:hAnsi="Arial" w:cs="Arial"/>
                          <w:color w:val="000000" w:themeColor="text1"/>
                          <w:sz w:val="24"/>
                          <w:szCs w:val="24"/>
                          <w:lang w:val="en-ZA" w:eastAsia="en-ZA"/>
                        </w:rPr>
                      </w:pPr>
                    </w:p>
                    <w:p w14:paraId="6C0D359F" w14:textId="77777777" w:rsidR="00D15FD8" w:rsidRPr="0039257C" w:rsidRDefault="00D15FD8" w:rsidP="0039257C">
                      <w:pPr>
                        <w:spacing w:line="276" w:lineRule="auto"/>
                        <w:textAlignment w:val="baseline"/>
                        <w:rPr>
                          <w:rFonts w:ascii="Arial" w:eastAsia="Times New Roman" w:hAnsi="Arial" w:cs="Arial"/>
                          <w:b/>
                          <w:bCs/>
                          <w:color w:val="ED5625"/>
                          <w:sz w:val="24"/>
                          <w:szCs w:val="24"/>
                          <w:lang w:val="en-ZA" w:eastAsia="en-ZA"/>
                        </w:rPr>
                      </w:pPr>
                      <w:r w:rsidRPr="0039257C">
                        <w:rPr>
                          <w:rFonts w:ascii="Arial" w:eastAsia="Times New Roman" w:hAnsi="Arial" w:cs="Arial"/>
                          <w:b/>
                          <w:bCs/>
                          <w:color w:val="ED5625"/>
                          <w:sz w:val="24"/>
                          <w:szCs w:val="24"/>
                          <w:lang w:val="en-ZA" w:eastAsia="en-ZA"/>
                        </w:rPr>
                        <w:t>The modules are organized as follows:</w:t>
                      </w:r>
                    </w:p>
                    <w:p w14:paraId="51CEFE69" w14:textId="77777777" w:rsidR="00D15FD8" w:rsidRPr="003543F3" w:rsidRDefault="00D15FD8" w:rsidP="0039257C">
                      <w:pPr>
                        <w:spacing w:line="276" w:lineRule="auto"/>
                        <w:textAlignment w:val="baseline"/>
                        <w:rPr>
                          <w:rFonts w:ascii="Arial" w:eastAsia="Times New Roman" w:hAnsi="Arial" w:cs="Arial"/>
                          <w:color w:val="000000" w:themeColor="text1"/>
                          <w:sz w:val="24"/>
                          <w:szCs w:val="24"/>
                          <w:lang w:val="en-ZA" w:eastAsia="en-ZA"/>
                        </w:rPr>
                      </w:pPr>
                    </w:p>
                    <w:p w14:paraId="0D02E07C" w14:textId="77777777" w:rsidR="00D15FD8" w:rsidRPr="00AE4650" w:rsidRDefault="00D15FD8">
                      <w:pPr>
                        <w:pStyle w:val="ListParagraph"/>
                        <w:numPr>
                          <w:ilvl w:val="0"/>
                          <w:numId w:val="3"/>
                        </w:numPr>
                        <w:spacing w:line="276" w:lineRule="auto"/>
                        <w:ind w:left="270" w:hanging="27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 xml:space="preserve">An introduction to </w:t>
                      </w:r>
                      <w:r w:rsidRPr="00F24CC8">
                        <w:rPr>
                          <w:rFonts w:ascii="Arial" w:eastAsia="Arial" w:hAnsi="Arial" w:cs="Arial"/>
                          <w:b/>
                          <w:color w:val="69557F"/>
                          <w:sz w:val="24"/>
                          <w:szCs w:val="24"/>
                          <w:lang w:val="en-US"/>
                        </w:rPr>
                        <w:t>fiscal t</w:t>
                      </w:r>
                      <w:r w:rsidRPr="00AE4650">
                        <w:rPr>
                          <w:rFonts w:ascii="Arial" w:eastAsia="Arial" w:hAnsi="Arial" w:cs="Arial"/>
                          <w:b/>
                          <w:color w:val="69557F"/>
                          <w:sz w:val="24"/>
                          <w:szCs w:val="24"/>
                          <w:lang w:val="en-US"/>
                        </w:rPr>
                        <w:t>ransparency</w:t>
                      </w:r>
                    </w:p>
                    <w:p w14:paraId="426A9C76" w14:textId="77777777" w:rsidR="00D15FD8" w:rsidRPr="003543F3" w:rsidRDefault="00D15FD8" w:rsidP="0039257C">
                      <w:pPr>
                        <w:tabs>
                          <w:tab w:val="left" w:pos="270"/>
                        </w:tabs>
                        <w:spacing w:line="276" w:lineRule="auto"/>
                        <w:ind w:left="270"/>
                        <w:jc w:val="both"/>
                        <w:rPr>
                          <w:rFonts w:ascii="Arial" w:eastAsia="Arial" w:hAnsi="Arial" w:cs="Arial"/>
                          <w:color w:val="000000"/>
                          <w:sz w:val="24"/>
                          <w:szCs w:val="24"/>
                          <w:lang w:val="en-US"/>
                        </w:rPr>
                      </w:pPr>
                      <w:r w:rsidRPr="003543F3">
                        <w:rPr>
                          <w:rFonts w:ascii="Arial" w:eastAsia="Arial" w:hAnsi="Arial" w:cs="Arial"/>
                          <w:color w:val="000000"/>
                          <w:sz w:val="24"/>
                          <w:szCs w:val="24"/>
                          <w:lang w:val="en-US"/>
                        </w:rPr>
                        <w:t>This module introduces the concept of fiscal transparency for development. As part of this, it explains what fiscal transparency is, why it matters as a part of good governance, what benefits can be gleaned from it across a range of evidence as well as the norms and standards that assist in achieving it.</w:t>
                      </w:r>
                    </w:p>
                    <w:p w14:paraId="0F01232D" w14:textId="77777777" w:rsidR="00D15FD8" w:rsidRPr="003543F3" w:rsidRDefault="00D15FD8" w:rsidP="0039257C">
                      <w:pPr>
                        <w:tabs>
                          <w:tab w:val="left" w:pos="270"/>
                        </w:tabs>
                        <w:spacing w:line="276" w:lineRule="auto"/>
                        <w:ind w:left="270"/>
                        <w:jc w:val="both"/>
                        <w:rPr>
                          <w:rFonts w:ascii="Arial" w:eastAsia="Arial" w:hAnsi="Arial" w:cs="Arial"/>
                          <w:color w:val="000000"/>
                          <w:sz w:val="24"/>
                          <w:szCs w:val="24"/>
                          <w:lang w:val="en-US"/>
                        </w:rPr>
                      </w:pPr>
                    </w:p>
                    <w:p w14:paraId="44086360" w14:textId="77777777" w:rsidR="00D15FD8" w:rsidRDefault="00D15FD8" w:rsidP="0039257C">
                      <w:pPr>
                        <w:spacing w:line="276" w:lineRule="auto"/>
                        <w:ind w:left="720" w:hanging="72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 xml:space="preserve">2. External actors in fiscal transparency, public </w:t>
                      </w:r>
                    </w:p>
                    <w:p w14:paraId="39AF33B0" w14:textId="225F7B42" w:rsidR="00D15FD8" w:rsidRPr="00AE4650" w:rsidRDefault="00D15FD8" w:rsidP="002F7AF5">
                      <w:pPr>
                        <w:spacing w:line="276" w:lineRule="auto"/>
                        <w:ind w:left="720" w:hanging="45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participation and accountability</w:t>
                      </w:r>
                    </w:p>
                    <w:p w14:paraId="115EC593" w14:textId="225F7B42" w:rsidR="00D15FD8" w:rsidRPr="003625BA" w:rsidRDefault="00D15FD8" w:rsidP="003625BA">
                      <w:pPr>
                        <w:tabs>
                          <w:tab w:val="left" w:pos="270"/>
                        </w:tabs>
                        <w:spacing w:line="276" w:lineRule="auto"/>
                        <w:ind w:left="270"/>
                        <w:jc w:val="both"/>
                        <w:rPr>
                          <w:rFonts w:ascii="Arial" w:eastAsia="Arial" w:hAnsi="Arial" w:cs="Arial"/>
                          <w:color w:val="000000"/>
                          <w:sz w:val="24"/>
                          <w:szCs w:val="24"/>
                          <w:lang w:val="en-US"/>
                        </w:rPr>
                      </w:pPr>
                      <w:r w:rsidRPr="003625BA">
                        <w:rPr>
                          <w:rFonts w:ascii="Arial" w:eastAsia="Arial" w:hAnsi="Arial" w:cs="Arial"/>
                          <w:color w:val="000000"/>
                          <w:sz w:val="24"/>
                          <w:szCs w:val="24"/>
                          <w:lang w:val="en-US"/>
                        </w:rPr>
                        <w:t xml:space="preserve">This module identifies the key actors for fiscal transparency.  It then focuses on those outside of the executive, examining their roles and how they can contribute to and use fiscal transparency to actively participate in open budgetary processes, and to judge the government’s performance in order to hold it accountable for its management of public resources.  </w:t>
                      </w:r>
                    </w:p>
                    <w:p w14:paraId="7BCE5BAF"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p>
                    <w:p w14:paraId="36A04D20" w14:textId="77777777" w:rsidR="00D15FD8" w:rsidRPr="00AE4650" w:rsidRDefault="00D15FD8">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Fiscal transparency information disclosures and standards</w:t>
                      </w:r>
                    </w:p>
                    <w:p w14:paraId="3EBB848A"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r w:rsidRPr="003543F3">
                        <w:rPr>
                          <w:rFonts w:ascii="Arial" w:eastAsia="Times New Roman" w:hAnsi="Arial" w:cs="Arial"/>
                          <w:color w:val="313131"/>
                          <w:sz w:val="24"/>
                          <w:szCs w:val="24"/>
                          <w:lang w:val="en-US"/>
                        </w:rPr>
                        <w:t>This module focuses on the executive’s role as the key actor in advancing fiscal transparency for development, including its central role in providing information that meets fiscal transparency standards and how its success in doing so can be measured using fiscal transparency assessments.</w:t>
                      </w:r>
                    </w:p>
                    <w:p w14:paraId="3AD879A6"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p>
                    <w:p w14:paraId="1DBFB524" w14:textId="77777777" w:rsidR="00D15FD8" w:rsidRPr="00AE4650" w:rsidRDefault="00D15FD8">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Internal systems and digital tools for better implementation</w:t>
                      </w:r>
                    </w:p>
                    <w:p w14:paraId="5E94E5C4"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r w:rsidRPr="003543F3">
                        <w:rPr>
                          <w:rFonts w:ascii="Arial" w:eastAsia="Times New Roman" w:hAnsi="Arial" w:cs="Arial"/>
                          <w:color w:val="313131"/>
                          <w:sz w:val="24"/>
                          <w:szCs w:val="24"/>
                          <w:lang w:val="en-US"/>
                        </w:rPr>
                        <w:t>This module examines how information systems, including financial management information systems, and a variety of other digital tools can facilitate the achievement of, and lead to improved fiscal transparency.</w:t>
                      </w:r>
                    </w:p>
                    <w:p w14:paraId="113F792E" w14:textId="77777777" w:rsidR="00D15FD8" w:rsidRPr="00AE4650" w:rsidRDefault="00D15FD8" w:rsidP="0039257C">
                      <w:pPr>
                        <w:tabs>
                          <w:tab w:val="left" w:pos="360"/>
                        </w:tabs>
                        <w:spacing w:line="276" w:lineRule="auto"/>
                        <w:ind w:left="270"/>
                        <w:jc w:val="both"/>
                        <w:rPr>
                          <w:rFonts w:ascii="Arial" w:eastAsia="Times New Roman" w:hAnsi="Arial" w:cs="Arial"/>
                          <w:color w:val="69557F"/>
                          <w:sz w:val="24"/>
                          <w:szCs w:val="24"/>
                          <w:lang w:val="en-US"/>
                        </w:rPr>
                      </w:pPr>
                    </w:p>
                    <w:p w14:paraId="4B189F8B" w14:textId="77777777" w:rsidR="00D15FD8" w:rsidRPr="0039257C" w:rsidRDefault="00D15FD8">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39257C">
                        <w:rPr>
                          <w:rFonts w:ascii="Arial" w:eastAsia="Arial" w:hAnsi="Arial" w:cs="Arial"/>
                          <w:b/>
                          <w:color w:val="69557F"/>
                          <w:sz w:val="24"/>
                          <w:szCs w:val="24"/>
                          <w:lang w:val="en-US"/>
                        </w:rPr>
                        <w:t>Actions towards advancing fiscal transparency (reforms and other measures)</w:t>
                      </w:r>
                    </w:p>
                    <w:p w14:paraId="0AAD7C6E" w14:textId="77777777" w:rsidR="00D15FD8" w:rsidRPr="003543F3" w:rsidRDefault="00D15FD8" w:rsidP="0039257C">
                      <w:pPr>
                        <w:tabs>
                          <w:tab w:val="left" w:pos="360"/>
                        </w:tabs>
                        <w:spacing w:line="276" w:lineRule="auto"/>
                        <w:ind w:left="270"/>
                        <w:jc w:val="both"/>
                        <w:rPr>
                          <w:rFonts w:ascii="Arial" w:eastAsia="Times New Roman" w:hAnsi="Arial" w:cs="Arial"/>
                          <w:color w:val="313131"/>
                          <w:sz w:val="24"/>
                          <w:szCs w:val="24"/>
                          <w:lang w:val="en-US"/>
                        </w:rPr>
                      </w:pPr>
                      <w:r w:rsidRPr="003543F3">
                        <w:rPr>
                          <w:rFonts w:ascii="Arial" w:eastAsia="Times New Roman" w:hAnsi="Arial" w:cs="Arial"/>
                          <w:color w:val="313131"/>
                          <w:sz w:val="24"/>
                          <w:szCs w:val="24"/>
                          <w:lang w:val="en-US"/>
                        </w:rPr>
                        <w:t>At this point, readers would have an understanding of the technical knowledge and tools available for advancing fiscal transparency. This module then focuses on the non-technical factors, that often facilitate or hamper fiscal transparency advancements. From the GIFT network experience, practical actions/reforms are put forward that can potentially be taken to overcome obstacles and take advantage of opportunities to establish and/or enhance fiscal transparency.</w:t>
                      </w:r>
                    </w:p>
                    <w:p w14:paraId="2D3C3B40" w14:textId="77777777" w:rsidR="00D15FD8" w:rsidRDefault="00D15FD8"/>
                  </w:txbxContent>
                </v:textbox>
              </v:shape>
            </w:pict>
          </mc:Fallback>
        </mc:AlternateContent>
      </w:r>
      <w:r w:rsidR="00A00894">
        <w:rPr>
          <w:rFonts w:ascii="Arial" w:eastAsia="Times New Roman" w:hAnsi="Arial" w:cs="Arial"/>
          <w:noProof/>
          <w:color w:val="000000" w:themeColor="text1"/>
          <w:sz w:val="24"/>
          <w:szCs w:val="24"/>
          <w:lang w:val="en-US"/>
        </w:rPr>
        <w:drawing>
          <wp:anchor distT="0" distB="0" distL="114300" distR="114300" simplePos="0" relativeHeight="251773952" behindDoc="1" locked="0" layoutInCell="1" allowOverlap="1" wp14:anchorId="08DC04D6" wp14:editId="46C6E792">
            <wp:simplePos x="0" y="0"/>
            <wp:positionH relativeFrom="column">
              <wp:posOffset>0</wp:posOffset>
            </wp:positionH>
            <wp:positionV relativeFrom="paragraph">
              <wp:posOffset>175260</wp:posOffset>
            </wp:positionV>
            <wp:extent cx="2146935" cy="1207135"/>
            <wp:effectExtent l="0" t="0" r="0" b="0"/>
            <wp:wrapThrough wrapText="bothSides">
              <wp:wrapPolygon edited="0">
                <wp:start x="0" y="0"/>
                <wp:lineTo x="0" y="21361"/>
                <wp:lineTo x="21466" y="21361"/>
                <wp:lineTo x="21466"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9" cstate="email">
                      <a:extLst>
                        <a:ext uri="{28A0092B-C50C-407E-A947-70E740481C1C}">
                          <a14:useLocalDpi xmlns:a14="http://schemas.microsoft.com/office/drawing/2010/main"/>
                        </a:ext>
                      </a:extLst>
                    </a:blip>
                    <a:stretch>
                      <a:fillRect/>
                    </a:stretch>
                  </pic:blipFill>
                  <pic:spPr>
                    <a:xfrm>
                      <a:off x="0" y="0"/>
                      <a:ext cx="2146935" cy="1207135"/>
                    </a:xfrm>
                    <a:prstGeom prst="rect">
                      <a:avLst/>
                    </a:prstGeom>
                  </pic:spPr>
                </pic:pic>
              </a:graphicData>
            </a:graphic>
            <wp14:sizeRelH relativeFrom="page">
              <wp14:pctWidth>0</wp14:pctWidth>
            </wp14:sizeRelH>
            <wp14:sizeRelV relativeFrom="page">
              <wp14:pctHeight>0</wp14:pctHeight>
            </wp14:sizeRelV>
          </wp:anchor>
        </w:drawing>
      </w:r>
    </w:p>
    <w:p w14:paraId="34B4CAF6" w14:textId="5AF90D0D" w:rsidR="006C28BC" w:rsidRDefault="006C28BC" w:rsidP="003543F3">
      <w:pPr>
        <w:spacing w:line="276" w:lineRule="auto"/>
        <w:jc w:val="both"/>
        <w:textAlignment w:val="baseline"/>
        <w:rPr>
          <w:rFonts w:ascii="Arial" w:eastAsia="Times New Roman" w:hAnsi="Arial" w:cs="Arial"/>
          <w:color w:val="000000" w:themeColor="text1"/>
          <w:sz w:val="24"/>
          <w:szCs w:val="24"/>
          <w:lang w:val="en-US" w:eastAsia="en-ZA"/>
        </w:rPr>
      </w:pPr>
    </w:p>
    <w:p w14:paraId="6A8BCFA8" w14:textId="600B66C8" w:rsidR="006C28BC" w:rsidRDefault="006C28BC" w:rsidP="003543F3">
      <w:pPr>
        <w:spacing w:line="276" w:lineRule="auto"/>
        <w:jc w:val="both"/>
        <w:textAlignment w:val="baseline"/>
        <w:rPr>
          <w:rFonts w:ascii="Arial" w:eastAsia="Times New Roman" w:hAnsi="Arial" w:cs="Arial"/>
          <w:color w:val="000000" w:themeColor="text1"/>
          <w:sz w:val="24"/>
          <w:szCs w:val="24"/>
          <w:lang w:val="en-US" w:eastAsia="en-ZA"/>
        </w:rPr>
      </w:pPr>
    </w:p>
    <w:p w14:paraId="34B6359B" w14:textId="0519EBB5" w:rsidR="00A00894" w:rsidRDefault="00A00894" w:rsidP="003543F3">
      <w:pPr>
        <w:spacing w:line="276" w:lineRule="auto"/>
        <w:jc w:val="both"/>
        <w:textAlignment w:val="baseline"/>
        <w:rPr>
          <w:rFonts w:ascii="Arial" w:eastAsia="Times New Roman" w:hAnsi="Arial" w:cs="Arial"/>
          <w:color w:val="000000" w:themeColor="text1"/>
          <w:sz w:val="24"/>
          <w:szCs w:val="24"/>
          <w:lang w:val="en-US" w:eastAsia="en-ZA"/>
        </w:rPr>
      </w:pPr>
    </w:p>
    <w:p w14:paraId="454DC4DD" w14:textId="30A1F2E6" w:rsidR="00A00894" w:rsidRDefault="00A00894" w:rsidP="003543F3">
      <w:pPr>
        <w:spacing w:line="276" w:lineRule="auto"/>
        <w:jc w:val="both"/>
        <w:textAlignment w:val="baseline"/>
        <w:rPr>
          <w:rFonts w:ascii="Arial" w:eastAsia="Times New Roman" w:hAnsi="Arial" w:cs="Arial"/>
          <w:color w:val="000000" w:themeColor="text1"/>
          <w:sz w:val="24"/>
          <w:szCs w:val="24"/>
          <w:lang w:val="en-US" w:eastAsia="en-ZA"/>
        </w:rPr>
      </w:pPr>
    </w:p>
    <w:p w14:paraId="5F20A4BC" w14:textId="6797D785" w:rsidR="00A00894" w:rsidRDefault="00A00894" w:rsidP="003543F3">
      <w:pPr>
        <w:spacing w:line="276" w:lineRule="auto"/>
        <w:jc w:val="both"/>
        <w:textAlignment w:val="baseline"/>
        <w:rPr>
          <w:rFonts w:ascii="Arial" w:eastAsia="Times New Roman" w:hAnsi="Arial" w:cs="Arial"/>
          <w:color w:val="000000" w:themeColor="text1"/>
          <w:sz w:val="24"/>
          <w:szCs w:val="24"/>
          <w:lang w:val="en-US" w:eastAsia="en-ZA"/>
        </w:rPr>
      </w:pPr>
    </w:p>
    <w:p w14:paraId="350AE877" w14:textId="1833D057" w:rsidR="00A00894" w:rsidRDefault="00A00894" w:rsidP="003543F3">
      <w:pPr>
        <w:spacing w:line="276" w:lineRule="auto"/>
        <w:jc w:val="both"/>
        <w:textAlignment w:val="baseline"/>
        <w:rPr>
          <w:rFonts w:ascii="Arial" w:eastAsia="Times New Roman" w:hAnsi="Arial" w:cs="Arial"/>
          <w:color w:val="000000" w:themeColor="text1"/>
          <w:sz w:val="24"/>
          <w:szCs w:val="24"/>
          <w:lang w:val="en-US" w:eastAsia="en-ZA"/>
        </w:rPr>
      </w:pPr>
    </w:p>
    <w:p w14:paraId="4ED3E192" w14:textId="6A1627B7" w:rsidR="00A00894"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r>
        <w:rPr>
          <w:rFonts w:ascii="Arial" w:eastAsia="Times New Roman" w:hAnsi="Arial" w:cs="Arial"/>
          <w:noProof/>
          <w:color w:val="000000" w:themeColor="text1"/>
          <w:sz w:val="24"/>
          <w:szCs w:val="24"/>
          <w:lang w:val="en-US"/>
        </w:rPr>
        <w:drawing>
          <wp:anchor distT="0" distB="0" distL="114300" distR="114300" simplePos="0" relativeHeight="251774976" behindDoc="0" locked="0" layoutInCell="1" allowOverlap="1" wp14:anchorId="468A4601" wp14:editId="37F40769">
            <wp:simplePos x="0" y="0"/>
            <wp:positionH relativeFrom="column">
              <wp:posOffset>-981</wp:posOffset>
            </wp:positionH>
            <wp:positionV relativeFrom="paragraph">
              <wp:posOffset>115397</wp:posOffset>
            </wp:positionV>
            <wp:extent cx="2144046" cy="1206000"/>
            <wp:effectExtent l="0" t="0" r="2540" b="635"/>
            <wp:wrapThrough wrapText="bothSides">
              <wp:wrapPolygon edited="0">
                <wp:start x="0" y="0"/>
                <wp:lineTo x="0" y="21384"/>
                <wp:lineTo x="21498" y="21384"/>
                <wp:lineTo x="21498"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0" cstate="email">
                      <a:extLst>
                        <a:ext uri="{28A0092B-C50C-407E-A947-70E740481C1C}">
                          <a14:useLocalDpi xmlns:a14="http://schemas.microsoft.com/office/drawing/2010/main"/>
                        </a:ext>
                      </a:extLst>
                    </a:blip>
                    <a:stretch>
                      <a:fillRect/>
                    </a:stretch>
                  </pic:blipFill>
                  <pic:spPr>
                    <a:xfrm>
                      <a:off x="0" y="0"/>
                      <a:ext cx="2144046" cy="1206000"/>
                    </a:xfrm>
                    <a:prstGeom prst="rect">
                      <a:avLst/>
                    </a:prstGeom>
                  </pic:spPr>
                </pic:pic>
              </a:graphicData>
            </a:graphic>
            <wp14:sizeRelH relativeFrom="page">
              <wp14:pctWidth>0</wp14:pctWidth>
            </wp14:sizeRelH>
            <wp14:sizeRelV relativeFrom="page">
              <wp14:pctHeight>0</wp14:pctHeight>
            </wp14:sizeRelV>
          </wp:anchor>
        </w:drawing>
      </w:r>
    </w:p>
    <w:p w14:paraId="5FB64B8B" w14:textId="05807C7A"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2889D852" w14:textId="55445141"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69B64003" w14:textId="0EB4EC27"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36C4CB33" w14:textId="3927F8AB"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3D0D4087" w14:textId="2A1A3C01"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53AD57FC" w14:textId="2735458D"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1582BB3E" w14:textId="22156F1C"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r>
        <w:rPr>
          <w:rFonts w:ascii="Arial" w:eastAsia="Times New Roman" w:hAnsi="Arial" w:cs="Arial"/>
          <w:noProof/>
          <w:color w:val="000000" w:themeColor="text1"/>
          <w:sz w:val="24"/>
          <w:szCs w:val="24"/>
          <w:lang w:val="en-US"/>
        </w:rPr>
        <w:drawing>
          <wp:anchor distT="0" distB="0" distL="114300" distR="114300" simplePos="0" relativeHeight="251776000" behindDoc="1" locked="0" layoutInCell="1" allowOverlap="1" wp14:anchorId="3AFF69BC" wp14:editId="5BB74B53">
            <wp:simplePos x="0" y="0"/>
            <wp:positionH relativeFrom="column">
              <wp:posOffset>-7678</wp:posOffset>
            </wp:positionH>
            <wp:positionV relativeFrom="paragraph">
              <wp:posOffset>34463</wp:posOffset>
            </wp:positionV>
            <wp:extent cx="2144046" cy="1206000"/>
            <wp:effectExtent l="0" t="0" r="2540" b="635"/>
            <wp:wrapTight wrapText="bothSides">
              <wp:wrapPolygon edited="0">
                <wp:start x="0" y="0"/>
                <wp:lineTo x="0" y="21384"/>
                <wp:lineTo x="21498" y="21384"/>
                <wp:lineTo x="2149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1" cstate="email">
                      <a:extLst>
                        <a:ext uri="{28A0092B-C50C-407E-A947-70E740481C1C}">
                          <a14:useLocalDpi xmlns:a14="http://schemas.microsoft.com/office/drawing/2010/main"/>
                        </a:ext>
                      </a:extLst>
                    </a:blip>
                    <a:stretch>
                      <a:fillRect/>
                    </a:stretch>
                  </pic:blipFill>
                  <pic:spPr>
                    <a:xfrm>
                      <a:off x="0" y="0"/>
                      <a:ext cx="2144046" cy="1206000"/>
                    </a:xfrm>
                    <a:prstGeom prst="rect">
                      <a:avLst/>
                    </a:prstGeom>
                  </pic:spPr>
                </pic:pic>
              </a:graphicData>
            </a:graphic>
            <wp14:sizeRelH relativeFrom="page">
              <wp14:pctWidth>0</wp14:pctWidth>
            </wp14:sizeRelH>
            <wp14:sizeRelV relativeFrom="page">
              <wp14:pctHeight>0</wp14:pctHeight>
            </wp14:sizeRelV>
          </wp:anchor>
        </w:drawing>
      </w:r>
    </w:p>
    <w:p w14:paraId="2460546E" w14:textId="584618C0"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2648BF7A" w14:textId="7D8760AC"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58A951E9" w14:textId="1232B7D8"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22A7CD2F" w14:textId="0B1D9452"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6A786F72" w14:textId="3EF7E20C"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3B8AB6EC" w14:textId="3D7DE3F6"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r>
        <w:rPr>
          <w:rFonts w:ascii="Arial" w:eastAsia="Times New Roman" w:hAnsi="Arial" w:cs="Arial"/>
          <w:noProof/>
          <w:color w:val="000000" w:themeColor="text1"/>
          <w:sz w:val="24"/>
          <w:szCs w:val="24"/>
          <w:lang w:val="en-US"/>
        </w:rPr>
        <w:drawing>
          <wp:anchor distT="0" distB="0" distL="114300" distR="114300" simplePos="0" relativeHeight="251777024" behindDoc="1" locked="0" layoutInCell="1" allowOverlap="1" wp14:anchorId="4921B6BB" wp14:editId="740FA9AA">
            <wp:simplePos x="0" y="0"/>
            <wp:positionH relativeFrom="column">
              <wp:posOffset>-38851</wp:posOffset>
            </wp:positionH>
            <wp:positionV relativeFrom="paragraph">
              <wp:posOffset>184785</wp:posOffset>
            </wp:positionV>
            <wp:extent cx="2162810" cy="1216660"/>
            <wp:effectExtent l="0" t="0" r="0" b="2540"/>
            <wp:wrapTight wrapText="bothSides">
              <wp:wrapPolygon edited="0">
                <wp:start x="0" y="0"/>
                <wp:lineTo x="0" y="21420"/>
                <wp:lineTo x="21435" y="21420"/>
                <wp:lineTo x="2143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2" cstate="email">
                      <a:extLst>
                        <a:ext uri="{28A0092B-C50C-407E-A947-70E740481C1C}">
                          <a14:useLocalDpi xmlns:a14="http://schemas.microsoft.com/office/drawing/2010/main"/>
                        </a:ext>
                      </a:extLst>
                    </a:blip>
                    <a:stretch>
                      <a:fillRect/>
                    </a:stretch>
                  </pic:blipFill>
                  <pic:spPr>
                    <a:xfrm>
                      <a:off x="0" y="0"/>
                      <a:ext cx="2162810" cy="1216660"/>
                    </a:xfrm>
                    <a:prstGeom prst="rect">
                      <a:avLst/>
                    </a:prstGeom>
                  </pic:spPr>
                </pic:pic>
              </a:graphicData>
            </a:graphic>
            <wp14:sizeRelH relativeFrom="page">
              <wp14:pctWidth>0</wp14:pctWidth>
            </wp14:sizeRelH>
            <wp14:sizeRelV relativeFrom="page">
              <wp14:pctHeight>0</wp14:pctHeight>
            </wp14:sizeRelV>
          </wp:anchor>
        </w:drawing>
      </w:r>
    </w:p>
    <w:p w14:paraId="1490CBAA" w14:textId="22E5D2C1"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26A023E6" w14:textId="46553D97"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26D196D2" w14:textId="34338ACF"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2C03B1ED" w14:textId="460C0336"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7C1BC4CB" w14:textId="195364BC"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1A00B787" w14:textId="5104BFD5"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53BCC8FF" w14:textId="4D7B8659"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r>
        <w:rPr>
          <w:rFonts w:ascii="Arial" w:eastAsia="Times New Roman" w:hAnsi="Arial" w:cs="Arial"/>
          <w:noProof/>
          <w:color w:val="000000" w:themeColor="text1"/>
          <w:sz w:val="24"/>
          <w:szCs w:val="24"/>
          <w:lang w:val="en-US"/>
        </w:rPr>
        <w:drawing>
          <wp:anchor distT="0" distB="0" distL="114300" distR="114300" simplePos="0" relativeHeight="251778048" behindDoc="1" locked="0" layoutInCell="1" allowOverlap="1" wp14:anchorId="5076FD1E" wp14:editId="0FB73CAC">
            <wp:simplePos x="0" y="0"/>
            <wp:positionH relativeFrom="column">
              <wp:posOffset>-42430</wp:posOffset>
            </wp:positionH>
            <wp:positionV relativeFrom="paragraph">
              <wp:posOffset>160770</wp:posOffset>
            </wp:positionV>
            <wp:extent cx="2162810" cy="1216660"/>
            <wp:effectExtent l="0" t="0" r="0" b="2540"/>
            <wp:wrapTight wrapText="bothSides">
              <wp:wrapPolygon edited="0">
                <wp:start x="0" y="0"/>
                <wp:lineTo x="0" y="21420"/>
                <wp:lineTo x="21435" y="21420"/>
                <wp:lineTo x="2143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cstate="email">
                      <a:extLst>
                        <a:ext uri="{28A0092B-C50C-407E-A947-70E740481C1C}">
                          <a14:useLocalDpi xmlns:a14="http://schemas.microsoft.com/office/drawing/2010/main"/>
                        </a:ext>
                      </a:extLst>
                    </a:blip>
                    <a:stretch>
                      <a:fillRect/>
                    </a:stretch>
                  </pic:blipFill>
                  <pic:spPr>
                    <a:xfrm>
                      <a:off x="0" y="0"/>
                      <a:ext cx="2162810" cy="1216660"/>
                    </a:xfrm>
                    <a:prstGeom prst="rect">
                      <a:avLst/>
                    </a:prstGeom>
                  </pic:spPr>
                </pic:pic>
              </a:graphicData>
            </a:graphic>
            <wp14:sizeRelH relativeFrom="page">
              <wp14:pctWidth>0</wp14:pctWidth>
            </wp14:sizeRelH>
            <wp14:sizeRelV relativeFrom="page">
              <wp14:pctHeight>0</wp14:pctHeight>
            </wp14:sizeRelV>
          </wp:anchor>
        </w:drawing>
      </w:r>
    </w:p>
    <w:p w14:paraId="69C17CE9" w14:textId="570BA71D"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7AC83708" w14:textId="77777777"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49B3EFD9" w14:textId="77777777"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403AC388" w14:textId="77777777"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325B08AE" w14:textId="77777777" w:rsidR="0039257C" w:rsidRDefault="0039257C" w:rsidP="003543F3">
      <w:pPr>
        <w:spacing w:line="276" w:lineRule="auto"/>
        <w:jc w:val="both"/>
        <w:textAlignment w:val="baseline"/>
        <w:rPr>
          <w:rFonts w:ascii="Arial" w:eastAsia="Times New Roman" w:hAnsi="Arial" w:cs="Arial"/>
          <w:color w:val="000000" w:themeColor="text1"/>
          <w:sz w:val="24"/>
          <w:szCs w:val="24"/>
          <w:lang w:val="en-US" w:eastAsia="en-ZA"/>
        </w:rPr>
      </w:pPr>
    </w:p>
    <w:p w14:paraId="1837E4A8" w14:textId="69211026" w:rsidR="006B05E4" w:rsidRPr="003543F3" w:rsidRDefault="006B05E4" w:rsidP="0039257C">
      <w:pPr>
        <w:spacing w:line="276" w:lineRule="auto"/>
        <w:jc w:val="both"/>
        <w:rPr>
          <w:rFonts w:ascii="Arial" w:eastAsia="Times New Roman" w:hAnsi="Arial" w:cs="Arial"/>
          <w:color w:val="313131"/>
          <w:sz w:val="24"/>
          <w:szCs w:val="24"/>
          <w:lang w:val="en-US"/>
        </w:rPr>
      </w:pPr>
    </w:p>
    <w:p w14:paraId="1F016D0D" w14:textId="77777777" w:rsidR="00D53999" w:rsidRPr="003543F3" w:rsidRDefault="00D53999" w:rsidP="003543F3">
      <w:pPr>
        <w:tabs>
          <w:tab w:val="left" w:pos="360"/>
        </w:tabs>
        <w:spacing w:line="276" w:lineRule="auto"/>
        <w:ind w:left="270"/>
        <w:jc w:val="both"/>
        <w:rPr>
          <w:rFonts w:ascii="Arial" w:eastAsia="Times New Roman" w:hAnsi="Arial" w:cs="Arial"/>
          <w:color w:val="313131"/>
          <w:sz w:val="24"/>
          <w:szCs w:val="24"/>
          <w:lang w:val="en-US"/>
        </w:rPr>
      </w:pPr>
    </w:p>
    <w:p w14:paraId="334BC059" w14:textId="453C2D77" w:rsidR="006B05E4" w:rsidRPr="00AE4650" w:rsidRDefault="006B05E4" w:rsidP="002F7AF5">
      <w:pPr>
        <w:pStyle w:val="ListParagraph"/>
        <w:numPr>
          <w:ilvl w:val="0"/>
          <w:numId w:val="4"/>
        </w:numPr>
        <w:spacing w:line="276" w:lineRule="auto"/>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t>Fiscal transparency information disclosures and standards</w:t>
      </w:r>
    </w:p>
    <w:p w14:paraId="50EDF090" w14:textId="7F2D09C9" w:rsidR="00B46860" w:rsidRPr="003625BA" w:rsidRDefault="00BA3208" w:rsidP="002F7AF5">
      <w:pPr>
        <w:tabs>
          <w:tab w:val="left" w:pos="540"/>
        </w:tabs>
        <w:spacing w:line="276" w:lineRule="auto"/>
        <w:ind w:left="540"/>
        <w:jc w:val="both"/>
        <w:rPr>
          <w:rFonts w:ascii="Arial" w:eastAsia="Times New Roman" w:hAnsi="Arial" w:cs="Arial"/>
          <w:sz w:val="24"/>
          <w:szCs w:val="24"/>
          <w:lang w:val="en-US"/>
        </w:rPr>
      </w:pPr>
      <w:r w:rsidRPr="003625BA">
        <w:rPr>
          <w:rFonts w:ascii="Arial" w:eastAsia="Times New Roman" w:hAnsi="Arial" w:cs="Arial"/>
          <w:sz w:val="24"/>
          <w:szCs w:val="24"/>
          <w:lang w:val="en-US"/>
        </w:rPr>
        <w:t xml:space="preserve">This module </w:t>
      </w:r>
      <w:r w:rsidR="00570759" w:rsidRPr="003625BA">
        <w:rPr>
          <w:rFonts w:ascii="Arial" w:eastAsia="Times New Roman" w:hAnsi="Arial" w:cs="Arial"/>
          <w:sz w:val="24"/>
          <w:szCs w:val="24"/>
          <w:lang w:val="en-US"/>
        </w:rPr>
        <w:t>focus</w:t>
      </w:r>
      <w:r w:rsidRPr="003625BA">
        <w:rPr>
          <w:rFonts w:ascii="Arial" w:eastAsia="Times New Roman" w:hAnsi="Arial" w:cs="Arial"/>
          <w:sz w:val="24"/>
          <w:szCs w:val="24"/>
          <w:lang w:val="en-US"/>
        </w:rPr>
        <w:t>es</w:t>
      </w:r>
      <w:r w:rsidR="00570759" w:rsidRPr="003625BA">
        <w:rPr>
          <w:rFonts w:ascii="Arial" w:eastAsia="Times New Roman" w:hAnsi="Arial" w:cs="Arial"/>
          <w:sz w:val="24"/>
          <w:szCs w:val="24"/>
          <w:lang w:val="en-US"/>
        </w:rPr>
        <w:t xml:space="preserve"> on the executive’s role as the key actor in advancing fiscal transparency for development, including its </w:t>
      </w:r>
      <w:r w:rsidR="00D53999" w:rsidRPr="003625BA">
        <w:rPr>
          <w:rFonts w:ascii="Arial" w:eastAsia="Times New Roman" w:hAnsi="Arial" w:cs="Arial"/>
          <w:sz w:val="24"/>
          <w:szCs w:val="24"/>
          <w:lang w:val="en-US"/>
        </w:rPr>
        <w:t xml:space="preserve">central role in providing information that meets fiscal transparency standards and how </w:t>
      </w:r>
      <w:r w:rsidRPr="003625BA">
        <w:rPr>
          <w:rFonts w:ascii="Arial" w:eastAsia="Times New Roman" w:hAnsi="Arial" w:cs="Arial"/>
          <w:sz w:val="24"/>
          <w:szCs w:val="24"/>
          <w:lang w:val="en-US"/>
        </w:rPr>
        <w:t>its</w:t>
      </w:r>
      <w:r w:rsidR="00570759" w:rsidRPr="003625BA">
        <w:rPr>
          <w:rFonts w:ascii="Arial" w:eastAsia="Times New Roman" w:hAnsi="Arial" w:cs="Arial"/>
          <w:sz w:val="24"/>
          <w:szCs w:val="24"/>
          <w:lang w:val="en-US"/>
        </w:rPr>
        <w:t xml:space="preserve"> success </w:t>
      </w:r>
      <w:r w:rsidRPr="003625BA">
        <w:rPr>
          <w:rFonts w:ascii="Arial" w:eastAsia="Times New Roman" w:hAnsi="Arial" w:cs="Arial"/>
          <w:sz w:val="24"/>
          <w:szCs w:val="24"/>
          <w:lang w:val="en-US"/>
        </w:rPr>
        <w:t>in doing so can be</w:t>
      </w:r>
      <w:r w:rsidR="00D53999" w:rsidRPr="003625BA">
        <w:rPr>
          <w:rFonts w:ascii="Arial" w:eastAsia="Times New Roman" w:hAnsi="Arial" w:cs="Arial"/>
          <w:sz w:val="24"/>
          <w:szCs w:val="24"/>
          <w:lang w:val="en-US"/>
        </w:rPr>
        <w:t xml:space="preserve"> measured using fiscal transparency assessments.</w:t>
      </w:r>
    </w:p>
    <w:p w14:paraId="7DDD4D84" w14:textId="77777777" w:rsidR="00B46860" w:rsidRPr="003625BA" w:rsidRDefault="00B46860">
      <w:pPr>
        <w:spacing w:after="160" w:line="259" w:lineRule="auto"/>
        <w:rPr>
          <w:rFonts w:ascii="Arial" w:eastAsia="Times New Roman" w:hAnsi="Arial" w:cs="Arial"/>
          <w:sz w:val="24"/>
          <w:szCs w:val="24"/>
          <w:lang w:val="en-US"/>
        </w:rPr>
      </w:pPr>
      <w:r w:rsidRPr="003625BA">
        <w:rPr>
          <w:rFonts w:ascii="Arial" w:eastAsia="Times New Roman" w:hAnsi="Arial" w:cs="Arial"/>
          <w:sz w:val="24"/>
          <w:szCs w:val="24"/>
          <w:lang w:val="en-US"/>
        </w:rPr>
        <w:br w:type="page"/>
      </w:r>
    </w:p>
    <w:p w14:paraId="24D1D314" w14:textId="6A3273ED" w:rsidR="00D53999" w:rsidRPr="00AE4650" w:rsidRDefault="00D53999">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AE4650">
        <w:rPr>
          <w:rFonts w:ascii="Arial" w:eastAsia="Arial" w:hAnsi="Arial" w:cs="Arial"/>
          <w:b/>
          <w:color w:val="69557F"/>
          <w:sz w:val="24"/>
          <w:szCs w:val="24"/>
          <w:lang w:val="en-US"/>
        </w:rPr>
        <w:lastRenderedPageBreak/>
        <w:t>Internal systems and digital tools for better implementation</w:t>
      </w:r>
    </w:p>
    <w:p w14:paraId="2C963F2A" w14:textId="0896269F" w:rsidR="00821B52" w:rsidRPr="003625BA" w:rsidRDefault="00212901" w:rsidP="003543F3">
      <w:pPr>
        <w:tabs>
          <w:tab w:val="left" w:pos="360"/>
        </w:tabs>
        <w:spacing w:line="276" w:lineRule="auto"/>
        <w:ind w:left="270"/>
        <w:jc w:val="both"/>
        <w:rPr>
          <w:rFonts w:ascii="Arial" w:eastAsia="Times New Roman" w:hAnsi="Arial" w:cs="Arial"/>
          <w:sz w:val="24"/>
          <w:szCs w:val="24"/>
          <w:lang w:val="en-US"/>
        </w:rPr>
      </w:pPr>
      <w:r w:rsidRPr="003625BA">
        <w:rPr>
          <w:rFonts w:ascii="Arial" w:eastAsia="Times New Roman" w:hAnsi="Arial" w:cs="Arial"/>
          <w:sz w:val="24"/>
          <w:szCs w:val="24"/>
          <w:lang w:val="en-US"/>
        </w:rPr>
        <w:t xml:space="preserve">This module examines </w:t>
      </w:r>
      <w:r w:rsidR="00821B52" w:rsidRPr="003625BA">
        <w:rPr>
          <w:rFonts w:ascii="Arial" w:eastAsia="Times New Roman" w:hAnsi="Arial" w:cs="Arial"/>
          <w:sz w:val="24"/>
          <w:szCs w:val="24"/>
          <w:lang w:val="en-US"/>
        </w:rPr>
        <w:t>how information systems</w:t>
      </w:r>
      <w:r w:rsidRPr="003625BA">
        <w:rPr>
          <w:rFonts w:ascii="Arial" w:eastAsia="Times New Roman" w:hAnsi="Arial" w:cs="Arial"/>
          <w:sz w:val="24"/>
          <w:szCs w:val="24"/>
          <w:lang w:val="en-US"/>
        </w:rPr>
        <w:t>, including financial management information systems,</w:t>
      </w:r>
      <w:r w:rsidR="00821B52" w:rsidRPr="003625BA">
        <w:rPr>
          <w:rFonts w:ascii="Arial" w:eastAsia="Times New Roman" w:hAnsi="Arial" w:cs="Arial"/>
          <w:sz w:val="24"/>
          <w:szCs w:val="24"/>
          <w:lang w:val="en-US"/>
        </w:rPr>
        <w:t xml:space="preserve"> and </w:t>
      </w:r>
      <w:r w:rsidRPr="003625BA">
        <w:rPr>
          <w:rFonts w:ascii="Arial" w:eastAsia="Times New Roman" w:hAnsi="Arial" w:cs="Arial"/>
          <w:sz w:val="24"/>
          <w:szCs w:val="24"/>
          <w:lang w:val="en-US"/>
        </w:rPr>
        <w:t xml:space="preserve">a variety of other </w:t>
      </w:r>
      <w:r w:rsidR="00821B52" w:rsidRPr="003625BA">
        <w:rPr>
          <w:rFonts w:ascii="Arial" w:eastAsia="Times New Roman" w:hAnsi="Arial" w:cs="Arial"/>
          <w:sz w:val="24"/>
          <w:szCs w:val="24"/>
          <w:lang w:val="en-US"/>
        </w:rPr>
        <w:t xml:space="preserve">digital tools can facilitate </w:t>
      </w:r>
      <w:r w:rsidR="00570759" w:rsidRPr="003625BA">
        <w:rPr>
          <w:rFonts w:ascii="Arial" w:eastAsia="Times New Roman" w:hAnsi="Arial" w:cs="Arial"/>
          <w:sz w:val="24"/>
          <w:szCs w:val="24"/>
          <w:lang w:val="en-US"/>
        </w:rPr>
        <w:t xml:space="preserve">the achievement of, </w:t>
      </w:r>
      <w:r w:rsidR="00821B52" w:rsidRPr="003625BA">
        <w:rPr>
          <w:rFonts w:ascii="Arial" w:eastAsia="Times New Roman" w:hAnsi="Arial" w:cs="Arial"/>
          <w:sz w:val="24"/>
          <w:szCs w:val="24"/>
          <w:lang w:val="en-US"/>
        </w:rPr>
        <w:t>and lead to improved fiscal transparency.</w:t>
      </w:r>
    </w:p>
    <w:p w14:paraId="18A37FE1" w14:textId="77777777" w:rsidR="00821B52" w:rsidRPr="00AE4650" w:rsidRDefault="00821B52" w:rsidP="003543F3">
      <w:pPr>
        <w:tabs>
          <w:tab w:val="left" w:pos="360"/>
        </w:tabs>
        <w:spacing w:line="276" w:lineRule="auto"/>
        <w:ind w:left="270"/>
        <w:jc w:val="both"/>
        <w:rPr>
          <w:rFonts w:ascii="Arial" w:eastAsia="Times New Roman" w:hAnsi="Arial" w:cs="Arial"/>
          <w:color w:val="69557F"/>
          <w:sz w:val="24"/>
          <w:szCs w:val="24"/>
          <w:lang w:val="en-US"/>
        </w:rPr>
      </w:pPr>
    </w:p>
    <w:p w14:paraId="3FDFC006" w14:textId="4AC03FA7" w:rsidR="00D53999" w:rsidRPr="0039257C" w:rsidRDefault="00D53999">
      <w:pPr>
        <w:pStyle w:val="ListParagraph"/>
        <w:numPr>
          <w:ilvl w:val="0"/>
          <w:numId w:val="4"/>
        </w:numPr>
        <w:spacing w:line="276" w:lineRule="auto"/>
        <w:ind w:left="270" w:hanging="270"/>
        <w:jc w:val="both"/>
        <w:rPr>
          <w:rFonts w:ascii="Arial" w:eastAsia="Arial" w:hAnsi="Arial" w:cs="Arial"/>
          <w:b/>
          <w:color w:val="69557F"/>
          <w:sz w:val="24"/>
          <w:szCs w:val="24"/>
          <w:lang w:val="en-US"/>
        </w:rPr>
      </w:pPr>
      <w:r w:rsidRPr="0039257C">
        <w:rPr>
          <w:rFonts w:ascii="Arial" w:eastAsia="Arial" w:hAnsi="Arial" w:cs="Arial"/>
          <w:b/>
          <w:color w:val="69557F"/>
          <w:sz w:val="24"/>
          <w:szCs w:val="24"/>
          <w:lang w:val="en-US"/>
        </w:rPr>
        <w:t>Actions towards advancing fiscal transparency (reforms and other measures)</w:t>
      </w:r>
    </w:p>
    <w:p w14:paraId="2D6E8EC8" w14:textId="6D0C1ABD" w:rsidR="00D0248B" w:rsidRPr="003625BA" w:rsidRDefault="00570759" w:rsidP="0039257C">
      <w:pPr>
        <w:tabs>
          <w:tab w:val="left" w:pos="360"/>
        </w:tabs>
        <w:spacing w:line="276" w:lineRule="auto"/>
        <w:ind w:left="270"/>
        <w:jc w:val="both"/>
        <w:rPr>
          <w:rFonts w:ascii="Arial" w:eastAsia="Times New Roman" w:hAnsi="Arial" w:cs="Arial"/>
          <w:sz w:val="24"/>
          <w:szCs w:val="24"/>
          <w:lang w:val="en-US"/>
        </w:rPr>
      </w:pPr>
      <w:r w:rsidRPr="003625BA">
        <w:rPr>
          <w:rFonts w:ascii="Arial" w:eastAsia="Times New Roman" w:hAnsi="Arial" w:cs="Arial"/>
          <w:sz w:val="24"/>
          <w:szCs w:val="24"/>
          <w:lang w:val="en-US"/>
        </w:rPr>
        <w:t xml:space="preserve">At this point, </w:t>
      </w:r>
      <w:r w:rsidR="00212901" w:rsidRPr="003625BA">
        <w:rPr>
          <w:rFonts w:ascii="Arial" w:eastAsia="Times New Roman" w:hAnsi="Arial" w:cs="Arial"/>
          <w:sz w:val="24"/>
          <w:szCs w:val="24"/>
          <w:lang w:val="en-US"/>
        </w:rPr>
        <w:t>readers</w:t>
      </w:r>
      <w:r w:rsidRPr="003625BA">
        <w:rPr>
          <w:rFonts w:ascii="Arial" w:eastAsia="Times New Roman" w:hAnsi="Arial" w:cs="Arial"/>
          <w:sz w:val="24"/>
          <w:szCs w:val="24"/>
          <w:lang w:val="en-US"/>
        </w:rPr>
        <w:t xml:space="preserve"> would have an understanding of the technical knowledge and tools </w:t>
      </w:r>
      <w:r w:rsidR="00105633" w:rsidRPr="003625BA">
        <w:rPr>
          <w:rFonts w:ascii="Arial" w:eastAsia="Times New Roman" w:hAnsi="Arial" w:cs="Arial"/>
          <w:sz w:val="24"/>
          <w:szCs w:val="24"/>
          <w:lang w:val="en-US"/>
        </w:rPr>
        <w:t xml:space="preserve">available for </w:t>
      </w:r>
      <w:r w:rsidRPr="003625BA">
        <w:rPr>
          <w:rFonts w:ascii="Arial" w:eastAsia="Times New Roman" w:hAnsi="Arial" w:cs="Arial"/>
          <w:sz w:val="24"/>
          <w:szCs w:val="24"/>
          <w:lang w:val="en-US"/>
        </w:rPr>
        <w:t>advanc</w:t>
      </w:r>
      <w:r w:rsidR="00105633" w:rsidRPr="003625BA">
        <w:rPr>
          <w:rFonts w:ascii="Arial" w:eastAsia="Times New Roman" w:hAnsi="Arial" w:cs="Arial"/>
          <w:sz w:val="24"/>
          <w:szCs w:val="24"/>
          <w:lang w:val="en-US"/>
        </w:rPr>
        <w:t>ing</w:t>
      </w:r>
      <w:r w:rsidRPr="003625BA">
        <w:rPr>
          <w:rFonts w:ascii="Arial" w:eastAsia="Times New Roman" w:hAnsi="Arial" w:cs="Arial"/>
          <w:sz w:val="24"/>
          <w:szCs w:val="24"/>
          <w:lang w:val="en-US"/>
        </w:rPr>
        <w:t xml:space="preserve"> fiscal transparency. </w:t>
      </w:r>
      <w:r w:rsidR="00212901" w:rsidRPr="003625BA">
        <w:rPr>
          <w:rFonts w:ascii="Arial" w:eastAsia="Times New Roman" w:hAnsi="Arial" w:cs="Arial"/>
          <w:sz w:val="24"/>
          <w:szCs w:val="24"/>
          <w:lang w:val="en-US"/>
        </w:rPr>
        <w:t xml:space="preserve">This </w:t>
      </w:r>
      <w:r w:rsidRPr="003625BA">
        <w:rPr>
          <w:rFonts w:ascii="Arial" w:eastAsia="Times New Roman" w:hAnsi="Arial" w:cs="Arial"/>
          <w:sz w:val="24"/>
          <w:szCs w:val="24"/>
          <w:lang w:val="en-US"/>
        </w:rPr>
        <w:t xml:space="preserve">module </w:t>
      </w:r>
      <w:r w:rsidR="00AA2E21" w:rsidRPr="003625BA">
        <w:rPr>
          <w:rFonts w:ascii="Arial" w:eastAsia="Times New Roman" w:hAnsi="Arial" w:cs="Arial"/>
          <w:sz w:val="24"/>
          <w:szCs w:val="24"/>
          <w:lang w:val="en-US"/>
        </w:rPr>
        <w:t xml:space="preserve">then </w:t>
      </w:r>
      <w:r w:rsidR="00212901" w:rsidRPr="003625BA">
        <w:rPr>
          <w:rFonts w:ascii="Arial" w:eastAsia="Times New Roman" w:hAnsi="Arial" w:cs="Arial"/>
          <w:sz w:val="24"/>
          <w:szCs w:val="24"/>
          <w:lang w:val="en-US"/>
        </w:rPr>
        <w:t>focuses on</w:t>
      </w:r>
      <w:r w:rsidRPr="003625BA">
        <w:rPr>
          <w:rFonts w:ascii="Arial" w:eastAsia="Times New Roman" w:hAnsi="Arial" w:cs="Arial"/>
          <w:sz w:val="24"/>
          <w:szCs w:val="24"/>
          <w:lang w:val="en-US"/>
        </w:rPr>
        <w:t xml:space="preserve"> the non-technical factors, that often facilitate or hamper fiscal transparency advancements. From the GIFT network experience, </w:t>
      </w:r>
      <w:r w:rsidR="00212901" w:rsidRPr="003625BA">
        <w:rPr>
          <w:rFonts w:ascii="Arial" w:eastAsia="Times New Roman" w:hAnsi="Arial" w:cs="Arial"/>
          <w:sz w:val="24"/>
          <w:szCs w:val="24"/>
          <w:lang w:val="en-US"/>
        </w:rPr>
        <w:t>practical</w:t>
      </w:r>
      <w:r w:rsidRPr="003625BA">
        <w:rPr>
          <w:rFonts w:ascii="Arial" w:eastAsia="Times New Roman" w:hAnsi="Arial" w:cs="Arial"/>
          <w:sz w:val="24"/>
          <w:szCs w:val="24"/>
          <w:lang w:val="en-US"/>
        </w:rPr>
        <w:t xml:space="preserve"> </w:t>
      </w:r>
      <w:r w:rsidR="00821B52" w:rsidRPr="003625BA">
        <w:rPr>
          <w:rFonts w:ascii="Arial" w:eastAsia="Times New Roman" w:hAnsi="Arial" w:cs="Arial"/>
          <w:sz w:val="24"/>
          <w:szCs w:val="24"/>
          <w:lang w:val="en-US"/>
        </w:rPr>
        <w:t xml:space="preserve">actions/reforms </w:t>
      </w:r>
      <w:r w:rsidR="00212901" w:rsidRPr="003625BA">
        <w:rPr>
          <w:rFonts w:ascii="Arial" w:eastAsia="Times New Roman" w:hAnsi="Arial" w:cs="Arial"/>
          <w:sz w:val="24"/>
          <w:szCs w:val="24"/>
          <w:lang w:val="en-US"/>
        </w:rPr>
        <w:t xml:space="preserve">are put forward </w:t>
      </w:r>
      <w:r w:rsidRPr="003625BA">
        <w:rPr>
          <w:rFonts w:ascii="Arial" w:eastAsia="Times New Roman" w:hAnsi="Arial" w:cs="Arial"/>
          <w:sz w:val="24"/>
          <w:szCs w:val="24"/>
          <w:lang w:val="en-US"/>
        </w:rPr>
        <w:t xml:space="preserve">that can </w:t>
      </w:r>
      <w:r w:rsidR="00212901" w:rsidRPr="003625BA">
        <w:rPr>
          <w:rFonts w:ascii="Arial" w:eastAsia="Times New Roman" w:hAnsi="Arial" w:cs="Arial"/>
          <w:sz w:val="24"/>
          <w:szCs w:val="24"/>
          <w:lang w:val="en-US"/>
        </w:rPr>
        <w:t xml:space="preserve">potentially </w:t>
      </w:r>
      <w:r w:rsidRPr="003625BA">
        <w:rPr>
          <w:rFonts w:ascii="Arial" w:eastAsia="Times New Roman" w:hAnsi="Arial" w:cs="Arial"/>
          <w:sz w:val="24"/>
          <w:szCs w:val="24"/>
          <w:lang w:val="en-US"/>
        </w:rPr>
        <w:t xml:space="preserve">be taken to </w:t>
      </w:r>
      <w:r w:rsidR="00D02235" w:rsidRPr="003625BA">
        <w:rPr>
          <w:rFonts w:ascii="Arial" w:eastAsia="Times New Roman" w:hAnsi="Arial" w:cs="Arial"/>
          <w:sz w:val="24"/>
          <w:szCs w:val="24"/>
          <w:lang w:val="en-US"/>
        </w:rPr>
        <w:t>overcome obstacles and take advantage of opportunities to establish and/or enhance fiscal transparency</w:t>
      </w:r>
      <w:r w:rsidR="00821B52" w:rsidRPr="003625BA">
        <w:rPr>
          <w:rFonts w:ascii="Arial" w:eastAsia="Times New Roman" w:hAnsi="Arial" w:cs="Arial"/>
          <w:sz w:val="24"/>
          <w:szCs w:val="24"/>
          <w:lang w:val="en-US"/>
        </w:rPr>
        <w:t>.</w:t>
      </w:r>
    </w:p>
    <w:p w14:paraId="739F4ADD" w14:textId="28433695" w:rsidR="00D0248B" w:rsidRDefault="00D0248B" w:rsidP="00821B52">
      <w:pPr>
        <w:tabs>
          <w:tab w:val="left" w:pos="360"/>
        </w:tabs>
        <w:spacing w:line="276" w:lineRule="auto"/>
        <w:ind w:left="270"/>
        <w:jc w:val="both"/>
        <w:rPr>
          <w:rFonts w:eastAsia="Times New Roman" w:cs="Calibri"/>
          <w:color w:val="313131"/>
          <w:lang w:val="en-US"/>
        </w:rPr>
      </w:pPr>
    </w:p>
    <w:p w14:paraId="5BAC307F" w14:textId="05895692" w:rsidR="00821B52" w:rsidRDefault="00821B52" w:rsidP="00AE4650">
      <w:pPr>
        <w:pStyle w:val="Heading2"/>
        <w:rPr>
          <w:rFonts w:ascii="Arial" w:hAnsi="Arial" w:cs="Arial"/>
          <w:b/>
          <w:bCs/>
          <w:color w:val="ED5625"/>
          <w:sz w:val="36"/>
          <w:szCs w:val="36"/>
          <w:lang w:val="en-US" w:eastAsia="zh-CN"/>
        </w:rPr>
      </w:pPr>
      <w:bookmarkStart w:id="96" w:name="_Limitations_of_the"/>
      <w:bookmarkStart w:id="97" w:name="_Toc115369969"/>
      <w:bookmarkStart w:id="98" w:name="_Toc115729044"/>
      <w:bookmarkStart w:id="99" w:name="_Toc115877690"/>
      <w:bookmarkStart w:id="100" w:name="_Toc116056974"/>
      <w:bookmarkStart w:id="101" w:name="_Toc123913947"/>
      <w:bookmarkStart w:id="102" w:name="_Toc125566566"/>
      <w:bookmarkEnd w:id="96"/>
      <w:r w:rsidRPr="00AE4650">
        <w:rPr>
          <w:rFonts w:ascii="Arial" w:hAnsi="Arial" w:cs="Arial"/>
          <w:b/>
          <w:bCs/>
          <w:color w:val="ED5625"/>
          <w:sz w:val="36"/>
          <w:szCs w:val="36"/>
          <w:lang w:val="en-US" w:eastAsia="zh-CN"/>
        </w:rPr>
        <w:t>Limitations of the Guide</w:t>
      </w:r>
      <w:bookmarkEnd w:id="97"/>
      <w:bookmarkEnd w:id="98"/>
      <w:bookmarkEnd w:id="99"/>
      <w:bookmarkEnd w:id="100"/>
      <w:bookmarkEnd w:id="101"/>
      <w:bookmarkEnd w:id="102"/>
    </w:p>
    <w:p w14:paraId="41E162CD" w14:textId="2C4E63BF" w:rsidR="00183443" w:rsidRPr="00183443" w:rsidRDefault="00183443" w:rsidP="00183443">
      <w:pPr>
        <w:rPr>
          <w:lang w:val="en-US" w:eastAsia="zh-CN"/>
        </w:rPr>
      </w:pPr>
      <w:r>
        <w:rPr>
          <w:noProof/>
          <w:lang w:val="en-US"/>
        </w:rPr>
        <mc:AlternateContent>
          <mc:Choice Requires="wps">
            <w:drawing>
              <wp:anchor distT="0" distB="0" distL="114300" distR="114300" simplePos="0" relativeHeight="251718656" behindDoc="0" locked="0" layoutInCell="1" allowOverlap="1" wp14:anchorId="31446F94" wp14:editId="297944BA">
                <wp:simplePos x="0" y="0"/>
                <wp:positionH relativeFrom="column">
                  <wp:posOffset>-10160</wp:posOffset>
                </wp:positionH>
                <wp:positionV relativeFrom="paragraph">
                  <wp:posOffset>121019</wp:posOffset>
                </wp:positionV>
                <wp:extent cx="6634717" cy="0"/>
                <wp:effectExtent l="0" t="12700" r="20320" b="12700"/>
                <wp:wrapNone/>
                <wp:docPr id="44" name="Straight Connector 44"/>
                <wp:cNvGraphicFramePr/>
                <a:graphic xmlns:a="http://schemas.openxmlformats.org/drawingml/2006/main">
                  <a:graphicData uri="http://schemas.microsoft.com/office/word/2010/wordprocessingShape">
                    <wps:wsp>
                      <wps:cNvCnPr/>
                      <wps:spPr>
                        <a:xfrm>
                          <a:off x="0" y="0"/>
                          <a:ext cx="6634717" cy="0"/>
                        </a:xfrm>
                        <a:prstGeom prst="line">
                          <a:avLst/>
                        </a:prstGeom>
                        <a:ln w="19050">
                          <a:solidFill>
                            <a:srgbClr val="ED562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39F4256E" id="Straight Connector 44"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8pt,9.55pt" to="521.6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" strokecolor="#ed5625" strokeweight="1.5pt">
                <v:stroke joinstyle="miter"/>
              </v:line>
            </w:pict>
          </mc:Fallback>
        </mc:AlternateContent>
      </w:r>
    </w:p>
    <w:p w14:paraId="3C81B9BB" w14:textId="77777777" w:rsidR="00AE4650" w:rsidRPr="00AE4650" w:rsidRDefault="00AE4650" w:rsidP="00AE4650">
      <w:pPr>
        <w:rPr>
          <w:lang w:val="en-US" w:eastAsia="zh-CN"/>
        </w:rPr>
      </w:pPr>
    </w:p>
    <w:p w14:paraId="5A46C8AB" w14:textId="03DE8475" w:rsidR="00D31448" w:rsidRPr="00AE4650" w:rsidRDefault="00D31448" w:rsidP="00AE4650">
      <w:pPr>
        <w:spacing w:line="276" w:lineRule="auto"/>
        <w:jc w:val="both"/>
        <w:textAlignment w:val="baseline"/>
        <w:rPr>
          <w:rFonts w:ascii="Arial" w:eastAsia="Times New Roman" w:hAnsi="Arial" w:cs="Arial"/>
          <w:color w:val="000000" w:themeColor="text1"/>
          <w:sz w:val="24"/>
          <w:szCs w:val="24"/>
          <w:lang w:val="en-US" w:eastAsia="en-ZA"/>
        </w:rPr>
      </w:pPr>
      <w:r w:rsidRPr="00AE4650">
        <w:rPr>
          <w:rFonts w:ascii="Arial" w:eastAsia="Times New Roman" w:hAnsi="Arial" w:cs="Arial"/>
          <w:color w:val="000000" w:themeColor="text1"/>
          <w:sz w:val="24"/>
          <w:szCs w:val="24"/>
          <w:lang w:val="en-US" w:eastAsia="en-ZA"/>
        </w:rPr>
        <w:t>This Guide presents standard knowledge and tools for advancing fiscal transparency. It also provides summaries of practical examples and experiences from GIFT network partners and practitioners</w:t>
      </w:r>
      <w:r w:rsidR="00105633" w:rsidRPr="00AE4650">
        <w:rPr>
          <w:rFonts w:ascii="Arial" w:eastAsia="Times New Roman" w:hAnsi="Arial" w:cs="Arial"/>
          <w:color w:val="000000" w:themeColor="text1"/>
          <w:sz w:val="24"/>
          <w:szCs w:val="24"/>
          <w:lang w:val="en-US" w:eastAsia="en-ZA"/>
        </w:rPr>
        <w:t>. These experiences are</w:t>
      </w:r>
      <w:r w:rsidRPr="00AE4650">
        <w:rPr>
          <w:rFonts w:ascii="Arial" w:eastAsia="Times New Roman" w:hAnsi="Arial" w:cs="Arial"/>
          <w:color w:val="000000" w:themeColor="text1"/>
          <w:sz w:val="24"/>
          <w:szCs w:val="24"/>
          <w:lang w:val="en-US" w:eastAsia="en-ZA"/>
        </w:rPr>
        <w:t xml:space="preserve"> incorporated throughout each module to complement the theoretical content, ensuring that </w:t>
      </w:r>
      <w:r w:rsidR="00B34063" w:rsidRPr="00AE4650">
        <w:rPr>
          <w:rFonts w:ascii="Arial" w:eastAsia="Times New Roman" w:hAnsi="Arial" w:cs="Arial"/>
          <w:color w:val="000000" w:themeColor="text1"/>
          <w:sz w:val="24"/>
          <w:szCs w:val="24"/>
          <w:lang w:val="en-US" w:eastAsia="en-ZA"/>
        </w:rPr>
        <w:t xml:space="preserve">readers </w:t>
      </w:r>
      <w:r w:rsidRPr="00AE4650">
        <w:rPr>
          <w:rFonts w:ascii="Arial" w:eastAsia="Times New Roman" w:hAnsi="Arial" w:cs="Arial"/>
          <w:color w:val="000000" w:themeColor="text1"/>
          <w:sz w:val="24"/>
          <w:szCs w:val="24"/>
          <w:lang w:val="en-US" w:eastAsia="en-ZA"/>
        </w:rPr>
        <w:t>can see how fiscal transparency has been applied in practice by a range of actors in different countries</w:t>
      </w:r>
      <w:r w:rsidR="00C523B8" w:rsidRPr="00AE4650">
        <w:rPr>
          <w:rFonts w:ascii="Arial" w:eastAsia="Times New Roman" w:hAnsi="Arial" w:cs="Arial"/>
          <w:color w:val="000000" w:themeColor="text1"/>
          <w:sz w:val="24"/>
          <w:szCs w:val="24"/>
          <w:lang w:val="en-US" w:eastAsia="en-ZA"/>
        </w:rPr>
        <w:t>,</w:t>
      </w:r>
      <w:r w:rsidRPr="00AE4650">
        <w:rPr>
          <w:rFonts w:ascii="Arial" w:eastAsia="Times New Roman" w:hAnsi="Arial" w:cs="Arial"/>
          <w:color w:val="000000" w:themeColor="text1"/>
          <w:sz w:val="24"/>
          <w:szCs w:val="24"/>
          <w:lang w:val="en-US" w:eastAsia="en-ZA"/>
        </w:rPr>
        <w:t xml:space="preserve"> in various geographical regions. </w:t>
      </w:r>
    </w:p>
    <w:p w14:paraId="384AFDF1" w14:textId="77777777" w:rsidR="00D31448" w:rsidRPr="00AE4650" w:rsidRDefault="00D31448" w:rsidP="00AE4650">
      <w:pPr>
        <w:spacing w:line="276" w:lineRule="auto"/>
        <w:jc w:val="both"/>
        <w:textAlignment w:val="baseline"/>
        <w:rPr>
          <w:rFonts w:ascii="Arial" w:eastAsia="Times New Roman" w:hAnsi="Arial" w:cs="Arial"/>
          <w:color w:val="000000" w:themeColor="text1"/>
          <w:sz w:val="24"/>
          <w:szCs w:val="24"/>
          <w:lang w:val="en-US" w:eastAsia="en-ZA"/>
        </w:rPr>
      </w:pPr>
    </w:p>
    <w:p w14:paraId="2B9BB0A9" w14:textId="2FC643D7" w:rsidR="00D31448" w:rsidRPr="00AE4650" w:rsidRDefault="006F418B" w:rsidP="00AE4650">
      <w:pPr>
        <w:spacing w:line="276" w:lineRule="auto"/>
        <w:jc w:val="both"/>
        <w:textAlignment w:val="baseline"/>
        <w:rPr>
          <w:rFonts w:ascii="Arial" w:eastAsia="Times New Roman" w:hAnsi="Arial" w:cs="Arial"/>
          <w:color w:val="000000" w:themeColor="text1"/>
          <w:sz w:val="24"/>
          <w:szCs w:val="24"/>
          <w:lang w:val="en-US" w:eastAsia="en-ZA"/>
        </w:rPr>
      </w:pPr>
      <w:r w:rsidRPr="00AE4650">
        <w:rPr>
          <w:rFonts w:ascii="Arial" w:eastAsia="Times New Roman" w:hAnsi="Arial" w:cs="Arial"/>
          <w:color w:val="000000" w:themeColor="text1"/>
          <w:sz w:val="24"/>
          <w:szCs w:val="24"/>
          <w:lang w:val="en-US" w:eastAsia="en-ZA"/>
        </w:rPr>
        <w:t>For a more comprehensive learning experience</w:t>
      </w:r>
      <w:r w:rsidR="00417A27" w:rsidRPr="00AE4650">
        <w:rPr>
          <w:rFonts w:ascii="Arial" w:eastAsia="Times New Roman" w:hAnsi="Arial" w:cs="Arial"/>
          <w:color w:val="000000" w:themeColor="text1"/>
          <w:sz w:val="24"/>
          <w:szCs w:val="24"/>
          <w:lang w:val="en-US" w:eastAsia="en-ZA"/>
        </w:rPr>
        <w:t>,</w:t>
      </w:r>
      <w:r w:rsidRPr="00AE4650">
        <w:rPr>
          <w:rFonts w:ascii="Arial" w:eastAsia="Times New Roman" w:hAnsi="Arial" w:cs="Arial"/>
          <w:color w:val="000000" w:themeColor="text1"/>
          <w:sz w:val="24"/>
          <w:szCs w:val="24"/>
          <w:lang w:val="en-US" w:eastAsia="en-ZA"/>
        </w:rPr>
        <w:t xml:space="preserve"> the Advancing Fiscal Transparency for Development online course </w:t>
      </w:r>
      <w:r w:rsidR="00B34063" w:rsidRPr="00AE4650">
        <w:rPr>
          <w:rFonts w:ascii="Arial" w:eastAsia="Times New Roman" w:hAnsi="Arial" w:cs="Arial"/>
          <w:color w:val="000000" w:themeColor="text1"/>
          <w:sz w:val="24"/>
          <w:szCs w:val="24"/>
          <w:lang w:val="en-US" w:eastAsia="en-ZA"/>
        </w:rPr>
        <w:t>is recommended</w:t>
      </w:r>
      <w:r w:rsidR="00105633" w:rsidRPr="00AE4650">
        <w:rPr>
          <w:rFonts w:ascii="Arial" w:eastAsia="Times New Roman" w:hAnsi="Arial" w:cs="Arial"/>
          <w:color w:val="000000" w:themeColor="text1"/>
          <w:sz w:val="24"/>
          <w:szCs w:val="24"/>
          <w:lang w:val="en-US" w:eastAsia="en-ZA"/>
        </w:rPr>
        <w:t xml:space="preserve">, where the </w:t>
      </w:r>
      <w:r w:rsidRPr="00AE4650">
        <w:rPr>
          <w:rFonts w:ascii="Arial" w:eastAsia="Times New Roman" w:hAnsi="Arial" w:cs="Arial"/>
          <w:color w:val="000000" w:themeColor="text1"/>
          <w:sz w:val="24"/>
          <w:szCs w:val="24"/>
          <w:lang w:val="en-US" w:eastAsia="en-ZA"/>
        </w:rPr>
        <w:t>information provided in this Guide</w:t>
      </w:r>
      <w:r w:rsidR="00105633" w:rsidRPr="00AE4650">
        <w:rPr>
          <w:rFonts w:ascii="Arial" w:eastAsia="Times New Roman" w:hAnsi="Arial" w:cs="Arial"/>
          <w:color w:val="000000" w:themeColor="text1"/>
          <w:sz w:val="24"/>
          <w:szCs w:val="24"/>
          <w:lang w:val="en-US" w:eastAsia="en-ZA"/>
        </w:rPr>
        <w:t xml:space="preserve"> is presented in a user</w:t>
      </w:r>
      <w:r w:rsidR="00536F2B">
        <w:rPr>
          <w:rFonts w:ascii="Arial" w:eastAsia="Times New Roman" w:hAnsi="Arial" w:cs="Arial"/>
          <w:color w:val="000000" w:themeColor="text1"/>
          <w:sz w:val="24"/>
          <w:szCs w:val="24"/>
          <w:lang w:val="en-US" w:eastAsia="en-ZA"/>
        </w:rPr>
        <w:t>-</w:t>
      </w:r>
      <w:r w:rsidR="00105633" w:rsidRPr="00AE4650">
        <w:rPr>
          <w:rFonts w:ascii="Arial" w:eastAsia="Times New Roman" w:hAnsi="Arial" w:cs="Arial"/>
          <w:color w:val="000000" w:themeColor="text1"/>
          <w:sz w:val="24"/>
          <w:szCs w:val="24"/>
          <w:lang w:val="en-US" w:eastAsia="en-ZA"/>
        </w:rPr>
        <w:t>friendly manner in video recordings. T</w:t>
      </w:r>
      <w:r w:rsidRPr="00AE4650">
        <w:rPr>
          <w:rFonts w:ascii="Arial" w:eastAsia="Times New Roman" w:hAnsi="Arial" w:cs="Arial"/>
          <w:color w:val="000000" w:themeColor="text1"/>
          <w:sz w:val="24"/>
          <w:szCs w:val="24"/>
          <w:lang w:val="en-US" w:eastAsia="en-ZA"/>
        </w:rPr>
        <w:t xml:space="preserve">he course </w:t>
      </w:r>
      <w:r w:rsidR="00105633" w:rsidRPr="00AE4650">
        <w:rPr>
          <w:rFonts w:ascii="Arial" w:eastAsia="Times New Roman" w:hAnsi="Arial" w:cs="Arial"/>
          <w:color w:val="000000" w:themeColor="text1"/>
          <w:sz w:val="24"/>
          <w:szCs w:val="24"/>
          <w:lang w:val="en-US" w:eastAsia="en-ZA"/>
        </w:rPr>
        <w:t xml:space="preserve">also </w:t>
      </w:r>
      <w:r w:rsidRPr="00AE4650">
        <w:rPr>
          <w:rFonts w:ascii="Arial" w:eastAsia="Times New Roman" w:hAnsi="Arial" w:cs="Arial"/>
          <w:color w:val="000000" w:themeColor="text1"/>
          <w:sz w:val="24"/>
          <w:szCs w:val="24"/>
          <w:lang w:val="en-US" w:eastAsia="en-ZA"/>
        </w:rPr>
        <w:t>contains comprehensive recordings of practical experiences as told directly by fiscal transparency practitioners and experts, a webinar per module where</w:t>
      </w:r>
      <w:r w:rsidRPr="00AE4650">
        <w:rPr>
          <w:rFonts w:ascii="Arial" w:eastAsia="Times New Roman" w:hAnsi="Arial" w:cs="Arial"/>
          <w:sz w:val="24"/>
          <w:szCs w:val="24"/>
          <w:lang w:val="en-US"/>
        </w:rPr>
        <w:t xml:space="preserve"> </w:t>
      </w:r>
      <w:r w:rsidRPr="00AE4650">
        <w:rPr>
          <w:rFonts w:ascii="Arial" w:eastAsia="Times New Roman" w:hAnsi="Arial" w:cs="Arial"/>
          <w:color w:val="000000" w:themeColor="text1"/>
          <w:sz w:val="24"/>
          <w:szCs w:val="24"/>
          <w:lang w:val="en-US" w:eastAsia="en-ZA"/>
        </w:rPr>
        <w:t>knowledgeable senior experts from highly regarded institutions engag</w:t>
      </w:r>
      <w:r w:rsidR="00932C40" w:rsidRPr="00AE4650">
        <w:rPr>
          <w:rFonts w:ascii="Arial" w:eastAsia="Times New Roman" w:hAnsi="Arial" w:cs="Arial"/>
          <w:color w:val="000000" w:themeColor="text1"/>
          <w:sz w:val="24"/>
          <w:szCs w:val="24"/>
          <w:lang w:val="en-US" w:eastAsia="en-ZA"/>
        </w:rPr>
        <w:t>e</w:t>
      </w:r>
      <w:r w:rsidRPr="00AE4650">
        <w:rPr>
          <w:rFonts w:ascii="Arial" w:eastAsia="Times New Roman" w:hAnsi="Arial" w:cs="Arial"/>
          <w:color w:val="000000" w:themeColor="text1"/>
          <w:sz w:val="24"/>
          <w:szCs w:val="24"/>
          <w:lang w:val="en-US" w:eastAsia="en-ZA"/>
        </w:rPr>
        <w:t xml:space="preserve"> on pertinent module topics, </w:t>
      </w:r>
      <w:r w:rsidR="00B34063" w:rsidRPr="00AE4650">
        <w:rPr>
          <w:rFonts w:ascii="Arial" w:eastAsia="Times New Roman" w:hAnsi="Arial" w:cs="Arial"/>
          <w:color w:val="000000" w:themeColor="text1"/>
          <w:sz w:val="24"/>
          <w:szCs w:val="24"/>
          <w:lang w:val="en-US" w:eastAsia="en-ZA"/>
        </w:rPr>
        <w:t xml:space="preserve">as well as </w:t>
      </w:r>
      <w:r w:rsidR="00932C40" w:rsidRPr="00AE4650">
        <w:rPr>
          <w:rFonts w:ascii="Arial" w:eastAsia="Times New Roman" w:hAnsi="Arial" w:cs="Arial"/>
          <w:color w:val="000000" w:themeColor="text1"/>
          <w:sz w:val="24"/>
          <w:szCs w:val="24"/>
          <w:lang w:val="en-US" w:eastAsia="en-ZA"/>
        </w:rPr>
        <w:t xml:space="preserve">progress assessments in </w:t>
      </w:r>
      <w:r w:rsidRPr="00AE4650">
        <w:rPr>
          <w:rFonts w:ascii="Arial" w:eastAsia="Times New Roman" w:hAnsi="Arial" w:cs="Arial"/>
          <w:color w:val="000000" w:themeColor="text1"/>
          <w:sz w:val="24"/>
          <w:szCs w:val="24"/>
          <w:lang w:val="en-US" w:eastAsia="en-ZA"/>
        </w:rPr>
        <w:t>line with a continuous learning experience framework</w:t>
      </w:r>
      <w:r w:rsidR="00FD33B7" w:rsidRPr="00AE4650">
        <w:rPr>
          <w:rFonts w:ascii="Arial" w:eastAsia="Times New Roman" w:hAnsi="Arial" w:cs="Arial"/>
          <w:color w:val="000000" w:themeColor="text1"/>
          <w:sz w:val="24"/>
          <w:szCs w:val="24"/>
          <w:lang w:val="en-US" w:eastAsia="en-ZA"/>
        </w:rPr>
        <w:t xml:space="preserve">, </w:t>
      </w:r>
      <w:r w:rsidR="00932C40" w:rsidRPr="00AE4650">
        <w:rPr>
          <w:rFonts w:ascii="Arial" w:eastAsia="Times New Roman" w:hAnsi="Arial" w:cs="Arial"/>
          <w:color w:val="000000" w:themeColor="text1"/>
          <w:sz w:val="24"/>
          <w:szCs w:val="24"/>
          <w:lang w:val="en-US" w:eastAsia="en-ZA"/>
        </w:rPr>
        <w:t xml:space="preserve">culminating in those </w:t>
      </w:r>
      <w:r w:rsidR="00FD33B7" w:rsidRPr="00AE4650">
        <w:rPr>
          <w:rFonts w:ascii="Arial" w:eastAsia="Times New Roman" w:hAnsi="Arial" w:cs="Arial"/>
          <w:color w:val="000000" w:themeColor="text1"/>
          <w:sz w:val="24"/>
          <w:szCs w:val="24"/>
          <w:lang w:val="en-US" w:eastAsia="en-ZA"/>
        </w:rPr>
        <w:t xml:space="preserve">course </w:t>
      </w:r>
      <w:r w:rsidR="00932C40" w:rsidRPr="00AE4650">
        <w:rPr>
          <w:rFonts w:ascii="Arial" w:eastAsia="Times New Roman" w:hAnsi="Arial" w:cs="Arial"/>
          <w:color w:val="000000" w:themeColor="text1"/>
          <w:sz w:val="24"/>
          <w:szCs w:val="24"/>
          <w:lang w:val="en-US" w:eastAsia="en-ZA"/>
        </w:rPr>
        <w:t>participants that successfully complete a post-course quiz</w:t>
      </w:r>
      <w:r w:rsidR="00FD33B7" w:rsidRPr="00AE4650">
        <w:rPr>
          <w:rFonts w:ascii="Arial" w:eastAsia="Times New Roman" w:hAnsi="Arial" w:cs="Arial"/>
          <w:color w:val="000000" w:themeColor="text1"/>
          <w:sz w:val="24"/>
          <w:szCs w:val="24"/>
          <w:lang w:val="en-US" w:eastAsia="en-ZA"/>
        </w:rPr>
        <w:t>,</w:t>
      </w:r>
      <w:r w:rsidR="00932C40" w:rsidRPr="00AE4650">
        <w:rPr>
          <w:rFonts w:ascii="Arial" w:eastAsia="Times New Roman" w:hAnsi="Arial" w:cs="Arial"/>
          <w:color w:val="000000" w:themeColor="text1"/>
          <w:sz w:val="24"/>
          <w:szCs w:val="24"/>
          <w:lang w:val="en-US" w:eastAsia="en-ZA"/>
        </w:rPr>
        <w:t xml:space="preserve"> receiving a course certificate.</w:t>
      </w:r>
    </w:p>
    <w:p w14:paraId="4E26796B" w14:textId="59AD629C" w:rsidR="00932C40" w:rsidRPr="00AE4650" w:rsidRDefault="00932C40" w:rsidP="00AE4650">
      <w:pPr>
        <w:spacing w:line="276" w:lineRule="auto"/>
        <w:jc w:val="both"/>
        <w:textAlignment w:val="baseline"/>
        <w:rPr>
          <w:rFonts w:ascii="Arial" w:eastAsia="Times New Roman" w:hAnsi="Arial" w:cs="Arial"/>
          <w:color w:val="000000" w:themeColor="text1"/>
          <w:sz w:val="24"/>
          <w:szCs w:val="24"/>
          <w:lang w:val="en-US" w:eastAsia="en-ZA"/>
        </w:rPr>
      </w:pPr>
    </w:p>
    <w:p w14:paraId="59C5F27F" w14:textId="3370B8E0" w:rsidR="00932C40" w:rsidRPr="00AE4650" w:rsidRDefault="00FD33B7" w:rsidP="00AE4650">
      <w:pPr>
        <w:spacing w:line="276" w:lineRule="auto"/>
        <w:jc w:val="both"/>
        <w:textAlignment w:val="baseline"/>
        <w:rPr>
          <w:rFonts w:ascii="Arial" w:eastAsia="Times New Roman" w:hAnsi="Arial" w:cs="Arial"/>
          <w:color w:val="000000" w:themeColor="text1"/>
          <w:sz w:val="24"/>
          <w:szCs w:val="24"/>
          <w:lang w:val="en-US" w:eastAsia="en-ZA"/>
        </w:rPr>
      </w:pPr>
      <w:r w:rsidRPr="00AE4650">
        <w:rPr>
          <w:rFonts w:ascii="Arial" w:eastAsia="Times New Roman" w:hAnsi="Arial" w:cs="Arial"/>
          <w:color w:val="000000" w:themeColor="text1"/>
          <w:sz w:val="24"/>
          <w:szCs w:val="24"/>
          <w:lang w:val="en-US" w:eastAsia="en-ZA"/>
        </w:rPr>
        <w:t>In addition, t</w:t>
      </w:r>
      <w:r w:rsidR="00932C40" w:rsidRPr="00AE4650">
        <w:rPr>
          <w:rFonts w:ascii="Arial" w:eastAsia="Times New Roman" w:hAnsi="Arial" w:cs="Arial"/>
          <w:color w:val="000000" w:themeColor="text1"/>
          <w:sz w:val="24"/>
          <w:szCs w:val="24"/>
          <w:lang w:val="en-US" w:eastAsia="en-ZA"/>
        </w:rPr>
        <w:t xml:space="preserve">he successful implementation of the Guide and Course contents will largely depend on resource capabilities and local contexts. It is of paramount importance that fiscal transparency actions/reforms are customized to the </w:t>
      </w:r>
      <w:r w:rsidR="00AA2E21" w:rsidRPr="00AE4650">
        <w:rPr>
          <w:rFonts w:ascii="Arial" w:eastAsia="Times New Roman" w:hAnsi="Arial" w:cs="Arial"/>
          <w:color w:val="000000" w:themeColor="text1"/>
          <w:sz w:val="24"/>
          <w:szCs w:val="24"/>
          <w:lang w:val="en-US" w:eastAsia="en-ZA"/>
        </w:rPr>
        <w:t xml:space="preserve">local </w:t>
      </w:r>
      <w:r w:rsidR="00932C40" w:rsidRPr="00AE4650">
        <w:rPr>
          <w:rFonts w:ascii="Arial" w:eastAsia="Times New Roman" w:hAnsi="Arial" w:cs="Arial"/>
          <w:color w:val="000000" w:themeColor="text1"/>
          <w:sz w:val="24"/>
          <w:szCs w:val="24"/>
          <w:lang w:val="en-US" w:eastAsia="en-ZA"/>
        </w:rPr>
        <w:t xml:space="preserve">context and </w:t>
      </w:r>
      <w:r w:rsidR="00AA2E21" w:rsidRPr="00AE4650">
        <w:rPr>
          <w:rFonts w:ascii="Arial" w:eastAsia="Times New Roman" w:hAnsi="Arial" w:cs="Arial"/>
          <w:color w:val="000000" w:themeColor="text1"/>
          <w:sz w:val="24"/>
          <w:szCs w:val="24"/>
          <w:lang w:val="en-US" w:eastAsia="en-ZA"/>
        </w:rPr>
        <w:t xml:space="preserve">target community </w:t>
      </w:r>
      <w:r w:rsidR="00932C40" w:rsidRPr="00AE4650">
        <w:rPr>
          <w:rFonts w:ascii="Arial" w:eastAsia="Times New Roman" w:hAnsi="Arial" w:cs="Arial"/>
          <w:color w:val="000000" w:themeColor="text1"/>
          <w:sz w:val="24"/>
          <w:szCs w:val="24"/>
          <w:lang w:val="en-US" w:eastAsia="en-ZA"/>
        </w:rPr>
        <w:t xml:space="preserve">expectations. </w:t>
      </w:r>
    </w:p>
    <w:p w14:paraId="5D33A9A6" w14:textId="77777777" w:rsidR="00D31448" w:rsidRPr="00D31448" w:rsidRDefault="00D31448" w:rsidP="00D31448">
      <w:pPr>
        <w:jc w:val="both"/>
        <w:textAlignment w:val="baseline"/>
        <w:rPr>
          <w:rFonts w:eastAsia="Times New Roman" w:cs="Calibri"/>
          <w:color w:val="000000" w:themeColor="text1"/>
          <w:sz w:val="26"/>
          <w:szCs w:val="26"/>
          <w:lang w:val="en-US" w:eastAsia="en-ZA"/>
        </w:rPr>
      </w:pPr>
    </w:p>
    <w:p w14:paraId="1F2E801E" w14:textId="47867833" w:rsidR="00E070F4" w:rsidRPr="00D31448" w:rsidRDefault="00E070F4" w:rsidP="00D31448">
      <w:pPr>
        <w:jc w:val="both"/>
        <w:textAlignment w:val="baseline"/>
        <w:rPr>
          <w:rFonts w:eastAsia="Times New Roman" w:cs="Calibri"/>
          <w:color w:val="000000" w:themeColor="text1"/>
          <w:sz w:val="26"/>
          <w:szCs w:val="26"/>
          <w:lang w:val="en-US" w:eastAsia="en-ZA"/>
        </w:rPr>
      </w:pPr>
    </w:p>
    <w:p w14:paraId="004ABC8C" w14:textId="189C4ACA" w:rsidR="002F6D8F" w:rsidRDefault="002F6D8F" w:rsidP="00A772EE">
      <w:pPr>
        <w:jc w:val="center"/>
        <w:rPr>
          <w:rFonts w:ascii="Arial" w:hAnsi="Arial" w:cs="Arial"/>
          <w:b/>
          <w:color w:val="ED7D31" w:themeColor="accent2"/>
          <w:sz w:val="44"/>
          <w:szCs w:val="44"/>
        </w:rPr>
      </w:pPr>
    </w:p>
    <w:p w14:paraId="3EEDE6D9" w14:textId="14089E3E" w:rsidR="00F95B51" w:rsidRDefault="00F95B51" w:rsidP="00A772EE">
      <w:pPr>
        <w:jc w:val="center"/>
        <w:rPr>
          <w:rFonts w:ascii="Arial" w:hAnsi="Arial" w:cs="Arial"/>
          <w:b/>
          <w:color w:val="ED7D31" w:themeColor="accent2"/>
          <w:sz w:val="44"/>
          <w:szCs w:val="44"/>
        </w:rPr>
      </w:pPr>
    </w:p>
    <w:p w14:paraId="29AB63ED" w14:textId="5C23BE97" w:rsidR="00F95B51" w:rsidRDefault="00F95B51" w:rsidP="00A772EE">
      <w:pPr>
        <w:jc w:val="center"/>
        <w:rPr>
          <w:rFonts w:ascii="Arial" w:hAnsi="Arial" w:cs="Arial"/>
          <w:b/>
          <w:color w:val="ED7D31" w:themeColor="accent2"/>
          <w:sz w:val="44"/>
          <w:szCs w:val="44"/>
        </w:rPr>
      </w:pPr>
    </w:p>
    <w:p w14:paraId="62538616" w14:textId="10E3BDF8" w:rsidR="00F95B51" w:rsidRDefault="00F95B51" w:rsidP="00A772EE">
      <w:pPr>
        <w:jc w:val="center"/>
        <w:rPr>
          <w:rFonts w:ascii="Arial" w:hAnsi="Arial" w:cs="Arial"/>
          <w:b/>
          <w:color w:val="ED7D31" w:themeColor="accent2"/>
          <w:sz w:val="44"/>
          <w:szCs w:val="44"/>
        </w:rPr>
      </w:pPr>
    </w:p>
    <w:p w14:paraId="0BFB94CF" w14:textId="2303E630" w:rsidR="00F95B51" w:rsidRDefault="00F95B51" w:rsidP="00A772EE">
      <w:pPr>
        <w:jc w:val="center"/>
        <w:rPr>
          <w:rFonts w:ascii="Arial" w:hAnsi="Arial" w:cs="Arial"/>
          <w:b/>
          <w:color w:val="ED7D31" w:themeColor="accent2"/>
          <w:sz w:val="44"/>
          <w:szCs w:val="44"/>
        </w:rPr>
      </w:pPr>
    </w:p>
    <w:p w14:paraId="4433BBEC" w14:textId="599B99DB" w:rsidR="00F95B51" w:rsidRDefault="00F95B51" w:rsidP="00A772EE">
      <w:pPr>
        <w:jc w:val="center"/>
        <w:rPr>
          <w:rFonts w:ascii="Arial" w:hAnsi="Arial" w:cs="Arial"/>
          <w:b/>
          <w:color w:val="ED7D31" w:themeColor="accent2"/>
          <w:sz w:val="44"/>
          <w:szCs w:val="44"/>
        </w:rPr>
      </w:pPr>
    </w:p>
    <w:p w14:paraId="416A5574" w14:textId="1FB5108B" w:rsidR="00F95B51" w:rsidRDefault="00F95B51" w:rsidP="00A772EE">
      <w:pPr>
        <w:jc w:val="center"/>
        <w:rPr>
          <w:rFonts w:ascii="Arial" w:hAnsi="Arial" w:cs="Arial"/>
          <w:b/>
          <w:color w:val="ED7D31" w:themeColor="accent2"/>
          <w:sz w:val="44"/>
          <w:szCs w:val="44"/>
        </w:rPr>
      </w:pPr>
    </w:p>
    <w:p w14:paraId="00487666" w14:textId="5414A36C" w:rsidR="00F95B51" w:rsidRDefault="00F95B51" w:rsidP="00A772EE">
      <w:pPr>
        <w:jc w:val="center"/>
        <w:rPr>
          <w:rFonts w:ascii="Arial" w:hAnsi="Arial" w:cs="Arial"/>
          <w:b/>
          <w:color w:val="ED7D31" w:themeColor="accent2"/>
          <w:sz w:val="44"/>
          <w:szCs w:val="44"/>
        </w:rPr>
      </w:pPr>
    </w:p>
    <w:p w14:paraId="36CE447F" w14:textId="078602DF" w:rsidR="00F95B51" w:rsidRDefault="00F95B51" w:rsidP="00A772EE">
      <w:pPr>
        <w:jc w:val="center"/>
        <w:rPr>
          <w:rFonts w:ascii="Arial" w:hAnsi="Arial" w:cs="Arial"/>
          <w:b/>
          <w:color w:val="ED7D31" w:themeColor="accent2"/>
          <w:sz w:val="44"/>
          <w:szCs w:val="44"/>
        </w:rPr>
      </w:pPr>
    </w:p>
    <w:p w14:paraId="3B28ECDE" w14:textId="7421AB95" w:rsidR="00F95B51" w:rsidRDefault="00F95B51" w:rsidP="00A772EE">
      <w:pPr>
        <w:jc w:val="center"/>
        <w:rPr>
          <w:rFonts w:ascii="Arial" w:hAnsi="Arial" w:cs="Arial"/>
          <w:b/>
          <w:color w:val="ED7D31" w:themeColor="accent2"/>
          <w:sz w:val="44"/>
          <w:szCs w:val="44"/>
        </w:rPr>
      </w:pPr>
    </w:p>
    <w:p w14:paraId="4AC076ED" w14:textId="29EF7858" w:rsidR="00F95B51" w:rsidRDefault="00F95B51" w:rsidP="00A772EE">
      <w:pPr>
        <w:jc w:val="center"/>
        <w:rPr>
          <w:rFonts w:ascii="Arial" w:hAnsi="Arial" w:cs="Arial"/>
          <w:b/>
          <w:color w:val="ED7D31" w:themeColor="accent2"/>
          <w:sz w:val="44"/>
          <w:szCs w:val="44"/>
        </w:rPr>
      </w:pPr>
    </w:p>
    <w:p w14:paraId="62E89B4A" w14:textId="47B46E42" w:rsidR="00F95B51" w:rsidRDefault="00F95B51" w:rsidP="00A772EE">
      <w:pPr>
        <w:jc w:val="center"/>
        <w:rPr>
          <w:rFonts w:ascii="Arial" w:hAnsi="Arial" w:cs="Arial"/>
          <w:b/>
          <w:color w:val="ED7D31" w:themeColor="accent2"/>
          <w:sz w:val="44"/>
          <w:szCs w:val="44"/>
        </w:rPr>
      </w:pPr>
    </w:p>
    <w:p w14:paraId="6FF6AAE6" w14:textId="69585FF1" w:rsidR="00F95B51" w:rsidRDefault="00F95B51" w:rsidP="00A772EE">
      <w:pPr>
        <w:jc w:val="center"/>
        <w:rPr>
          <w:rFonts w:ascii="Arial" w:hAnsi="Arial" w:cs="Arial"/>
          <w:b/>
          <w:color w:val="ED7D31" w:themeColor="accent2"/>
          <w:sz w:val="44"/>
          <w:szCs w:val="44"/>
        </w:rPr>
      </w:pPr>
    </w:p>
    <w:p w14:paraId="7E658E64" w14:textId="0C646CF4" w:rsidR="00F95B51" w:rsidRDefault="00F95B51" w:rsidP="00A772EE">
      <w:pPr>
        <w:jc w:val="center"/>
        <w:rPr>
          <w:rFonts w:ascii="Arial" w:hAnsi="Arial" w:cs="Arial"/>
          <w:b/>
          <w:color w:val="ED7D31" w:themeColor="accent2"/>
          <w:sz w:val="44"/>
          <w:szCs w:val="44"/>
        </w:rPr>
      </w:pPr>
    </w:p>
    <w:p w14:paraId="03B48A76" w14:textId="4F25A8C9" w:rsidR="00F95B51" w:rsidRDefault="00F95B51" w:rsidP="00A772EE">
      <w:pPr>
        <w:jc w:val="center"/>
        <w:rPr>
          <w:rFonts w:ascii="Arial" w:hAnsi="Arial" w:cs="Arial"/>
          <w:b/>
          <w:color w:val="ED7D31" w:themeColor="accent2"/>
          <w:sz w:val="44"/>
          <w:szCs w:val="44"/>
        </w:rPr>
      </w:pPr>
    </w:p>
    <w:p w14:paraId="72C8FA90" w14:textId="3CBC9E74" w:rsidR="00F95B51" w:rsidRDefault="00F95B51" w:rsidP="00A772EE">
      <w:pPr>
        <w:jc w:val="center"/>
        <w:rPr>
          <w:rFonts w:ascii="Arial" w:hAnsi="Arial" w:cs="Arial"/>
          <w:b/>
          <w:color w:val="ED7D31" w:themeColor="accent2"/>
          <w:sz w:val="44"/>
          <w:szCs w:val="44"/>
        </w:rPr>
      </w:pPr>
    </w:p>
    <w:p w14:paraId="2B178D4D" w14:textId="77777777" w:rsidR="00F95B51" w:rsidRDefault="00F95B51" w:rsidP="00A772EE">
      <w:pPr>
        <w:jc w:val="center"/>
        <w:rPr>
          <w:rFonts w:ascii="Arial" w:hAnsi="Arial" w:cs="Arial"/>
          <w:b/>
          <w:color w:val="ED7D31" w:themeColor="accent2"/>
          <w:sz w:val="44"/>
          <w:szCs w:val="44"/>
        </w:rPr>
      </w:pPr>
    </w:p>
    <w:p w14:paraId="0E09FA4B" w14:textId="77777777" w:rsidR="00F95B51" w:rsidRDefault="00F95B51" w:rsidP="00F95B51">
      <w:pPr>
        <w:spacing w:line="276" w:lineRule="auto"/>
        <w:jc w:val="center"/>
      </w:pPr>
      <w:r w:rsidRPr="003625BA">
        <w:rPr>
          <w:rFonts w:ascii="Arial" w:hAnsi="Arial" w:cs="Arial"/>
          <w:i/>
          <w:iCs/>
          <w:color w:val="19998C"/>
          <w:sz w:val="26"/>
          <w:szCs w:val="26"/>
          <w:lang w:val="en-US"/>
        </w:rPr>
        <w:t>“This page intentionally left blank”</w:t>
      </w:r>
    </w:p>
    <w:p w14:paraId="64E3E36C" w14:textId="77777777" w:rsidR="00F95B51" w:rsidRDefault="00F95B51" w:rsidP="00A772EE">
      <w:pPr>
        <w:jc w:val="center"/>
        <w:rPr>
          <w:rFonts w:ascii="Arial" w:hAnsi="Arial" w:cs="Arial"/>
          <w:b/>
          <w:color w:val="ED7D31" w:themeColor="accent2"/>
          <w:sz w:val="44"/>
          <w:szCs w:val="44"/>
        </w:rPr>
      </w:pPr>
    </w:p>
    <w:p w14:paraId="6F6ADDBF" w14:textId="40FB1516" w:rsidR="00767F47" w:rsidRDefault="00767F47" w:rsidP="00A772EE">
      <w:pPr>
        <w:jc w:val="center"/>
        <w:rPr>
          <w:rFonts w:ascii="Arial" w:hAnsi="Arial" w:cs="Arial"/>
          <w:b/>
          <w:color w:val="ED7D31" w:themeColor="accent2"/>
          <w:sz w:val="44"/>
          <w:szCs w:val="44"/>
        </w:rPr>
        <w:sectPr w:rsidR="00767F47" w:rsidSect="006615ED">
          <w:pgSz w:w="11906" w:h="16838"/>
          <w:pgMar w:top="1702" w:right="720" w:bottom="1098" w:left="720" w:header="709" w:footer="709" w:gutter="0"/>
          <w:pgNumType w:start="1"/>
          <w:cols w:space="708"/>
          <w:titlePg/>
          <w:docGrid w:linePitch="360"/>
        </w:sectPr>
      </w:pPr>
    </w:p>
    <w:p w14:paraId="5187DA38" w14:textId="37BF2CED" w:rsidR="00ED114B" w:rsidRDefault="00767F47" w:rsidP="00ED114B">
      <w:pPr>
        <w:jc w:val="center"/>
        <w:rPr>
          <w:rFonts w:cs="Calibri"/>
          <w:color w:val="ED7D31" w:themeColor="accent2"/>
        </w:rPr>
      </w:pPr>
      <w:bookmarkStart w:id="103" w:name="_Toc103698939"/>
      <w:bookmarkEnd w:id="0"/>
      <w:bookmarkEnd w:id="1"/>
      <w:r>
        <w:rPr>
          <w:rFonts w:cs="Calibri"/>
          <w:noProof/>
          <w:color w:val="ED7D31" w:themeColor="accent2"/>
          <w:lang w:val="en-US"/>
        </w:rPr>
        <w:lastRenderedPageBreak/>
        <w:drawing>
          <wp:anchor distT="0" distB="0" distL="114300" distR="114300" simplePos="0" relativeHeight="251719680" behindDoc="0" locked="0" layoutInCell="1" allowOverlap="1" wp14:anchorId="0163FB60" wp14:editId="07498A02">
            <wp:simplePos x="0" y="0"/>
            <wp:positionH relativeFrom="margin">
              <wp:align>center</wp:align>
            </wp:positionH>
            <wp:positionV relativeFrom="paragraph">
              <wp:posOffset>-571500</wp:posOffset>
            </wp:positionV>
            <wp:extent cx="7560000" cy="10685389"/>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4" cstate="email">
                      <a:extLst>
                        <a:ext uri="{28A0092B-C50C-407E-A947-70E740481C1C}">
                          <a14:useLocalDpi xmlns:a14="http://schemas.microsoft.com/office/drawing/2010/main"/>
                        </a:ext>
                      </a:extLst>
                    </a:blip>
                    <a:stretch>
                      <a:fillRect/>
                    </a:stretch>
                  </pic:blipFill>
                  <pic:spPr>
                    <a:xfrm>
                      <a:off x="0" y="0"/>
                      <a:ext cx="7560000" cy="10685389"/>
                    </a:xfrm>
                    <a:prstGeom prst="rect">
                      <a:avLst/>
                    </a:prstGeom>
                  </pic:spPr>
                </pic:pic>
              </a:graphicData>
            </a:graphic>
            <wp14:sizeRelH relativeFrom="page">
              <wp14:pctWidth>0</wp14:pctWidth>
            </wp14:sizeRelH>
            <wp14:sizeRelV relativeFrom="page">
              <wp14:pctHeight>0</wp14:pctHeight>
            </wp14:sizeRelV>
          </wp:anchor>
        </w:drawing>
      </w:r>
    </w:p>
    <w:p w14:paraId="027CD7DE" w14:textId="3B92ED19" w:rsidR="00ED114B" w:rsidRDefault="00ED114B" w:rsidP="00F541A6">
      <w:pPr>
        <w:pStyle w:val="Heading1"/>
        <w:spacing w:after="120"/>
        <w:rPr>
          <w:rFonts w:ascii="Calibri" w:hAnsi="Calibri" w:cs="Calibri"/>
          <w:color w:val="ED7D31" w:themeColor="accent2"/>
        </w:rPr>
      </w:pPr>
    </w:p>
    <w:p w14:paraId="16B5189F" w14:textId="5CDB951D" w:rsidR="00ED114B" w:rsidRDefault="00ED114B" w:rsidP="00F541A6">
      <w:pPr>
        <w:pStyle w:val="Heading1"/>
        <w:spacing w:after="120"/>
        <w:rPr>
          <w:rFonts w:ascii="Calibri" w:hAnsi="Calibri" w:cs="Calibri"/>
          <w:color w:val="ED7D31" w:themeColor="accent2"/>
        </w:rPr>
      </w:pPr>
    </w:p>
    <w:p w14:paraId="4F0F361E" w14:textId="3C2B5478" w:rsidR="00ED114B" w:rsidRDefault="002812E5">
      <w:pPr>
        <w:spacing w:after="160" w:line="259" w:lineRule="auto"/>
        <w:rPr>
          <w:rFonts w:eastAsiaTheme="majorEastAsia" w:cs="Calibri"/>
          <w:color w:val="ED7D31" w:themeColor="accent2"/>
          <w:sz w:val="32"/>
          <w:szCs w:val="32"/>
        </w:rPr>
      </w:pPr>
      <w:r>
        <w:rPr>
          <w:rFonts w:cs="Calibri"/>
          <w:noProof/>
          <w:color w:val="ED7D31" w:themeColor="accent2"/>
          <w:lang w:val="en-US"/>
        </w:rPr>
        <mc:AlternateContent>
          <mc:Choice Requires="wps">
            <w:drawing>
              <wp:anchor distT="0" distB="0" distL="114300" distR="114300" simplePos="0" relativeHeight="251868671" behindDoc="1" locked="0" layoutInCell="1" allowOverlap="1" wp14:anchorId="5ED6745C" wp14:editId="7C94FE1A">
                <wp:simplePos x="0" y="0"/>
                <wp:positionH relativeFrom="column">
                  <wp:posOffset>1908941</wp:posOffset>
                </wp:positionH>
                <wp:positionV relativeFrom="paragraph">
                  <wp:posOffset>2394870</wp:posOffset>
                </wp:positionV>
                <wp:extent cx="4381500" cy="825500"/>
                <wp:effectExtent l="0" t="0" r="0" b="0"/>
                <wp:wrapNone/>
                <wp:docPr id="276" name="Text Box 276"/>
                <wp:cNvGraphicFramePr/>
                <a:graphic xmlns:a="http://schemas.openxmlformats.org/drawingml/2006/main">
                  <a:graphicData uri="http://schemas.microsoft.com/office/word/2010/wordprocessingShape">
                    <wps:wsp>
                      <wps:cNvSpPr txBox="1"/>
                      <wps:spPr>
                        <a:xfrm>
                          <a:off x="0" y="0"/>
                          <a:ext cx="4381500" cy="825500"/>
                        </a:xfrm>
                        <a:prstGeom prst="rect">
                          <a:avLst/>
                        </a:prstGeom>
                        <a:noFill/>
                        <a:ln w="6350">
                          <a:noFill/>
                        </a:ln>
                      </wps:spPr>
                      <wps:txbx>
                        <w:txbxContent>
                          <w:p w14:paraId="29533C0B" w14:textId="0DA58FFF" w:rsidR="00D15FD8" w:rsidRPr="00EB0AA3" w:rsidRDefault="00D15FD8" w:rsidP="00EB0AA3">
                            <w:pPr>
                              <w:pStyle w:val="Heading1"/>
                              <w:rPr>
                                <w:rFonts w:ascii="Arial" w:hAnsi="Arial" w:cs="Arial"/>
                                <w:color w:val="FFFFFF" w:themeColor="background1"/>
                                <w:lang w:val="en-US"/>
                              </w:rPr>
                            </w:pPr>
                            <w:bookmarkStart w:id="104" w:name="_MODULE_1:_An"/>
                            <w:bookmarkStart w:id="105" w:name="_Toc115877691"/>
                            <w:bookmarkStart w:id="106" w:name="_Toc116056975"/>
                            <w:bookmarkStart w:id="107" w:name="_Toc123828082"/>
                            <w:bookmarkStart w:id="108" w:name="_Toc123828292"/>
                            <w:bookmarkStart w:id="109" w:name="_Toc123828488"/>
                            <w:bookmarkStart w:id="110" w:name="_Toc123912515"/>
                            <w:bookmarkStart w:id="111" w:name="_Toc123912774"/>
                            <w:bookmarkStart w:id="112" w:name="_Toc123913001"/>
                            <w:bookmarkStart w:id="113" w:name="_Toc123913948"/>
                            <w:bookmarkStart w:id="114" w:name="_Toc125566567"/>
                            <w:bookmarkEnd w:id="104"/>
                            <w:r w:rsidRPr="00EB0AA3">
                              <w:rPr>
                                <w:rFonts w:ascii="Arial" w:hAnsi="Arial" w:cs="Arial"/>
                                <w:color w:val="FFFFFF" w:themeColor="background1"/>
                                <w:lang w:val="en-US"/>
                              </w:rPr>
                              <w:t>MODULE 1: An Introduction to Fiscal Transparency</w:t>
                            </w:r>
                            <w:bookmarkEnd w:id="105"/>
                            <w:bookmarkEnd w:id="106"/>
                            <w:bookmarkEnd w:id="107"/>
                            <w:bookmarkEnd w:id="108"/>
                            <w:bookmarkEnd w:id="109"/>
                            <w:bookmarkEnd w:id="110"/>
                            <w:bookmarkEnd w:id="111"/>
                            <w:bookmarkEnd w:id="112"/>
                            <w:bookmarkEnd w:id="113"/>
                            <w:bookmarkEnd w:id="1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D6745C" id="Text Box 276" o:spid="_x0000_s1032" type="#_x0000_t202" style="position:absolute;margin-left:150.3pt;margin-top:188.55pt;width:345pt;height:65pt;z-index:-2514478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" filled="f" stroked="f" strokeweight=".5pt">
                <v:textbox>
                  <w:txbxContent>
                    <w:p w14:paraId="29533C0B" w14:textId="0DA58FFF" w:rsidR="00D15FD8" w:rsidRPr="00EB0AA3" w:rsidRDefault="00D15FD8" w:rsidP="00EB0AA3">
                      <w:pPr>
                        <w:pStyle w:val="Heading1"/>
                        <w:rPr>
                          <w:rFonts w:ascii="Arial" w:hAnsi="Arial" w:cs="Arial"/>
                          <w:color w:val="FFFFFF" w:themeColor="background1"/>
                          <w:lang w:val="en-US"/>
                        </w:rPr>
                      </w:pPr>
                      <w:bookmarkStart w:id="115" w:name="_MODULE_1:_An"/>
                      <w:bookmarkStart w:id="116" w:name="_Toc115877691"/>
                      <w:bookmarkStart w:id="117" w:name="_Toc116056975"/>
                      <w:bookmarkStart w:id="118" w:name="_Toc123828082"/>
                      <w:bookmarkStart w:id="119" w:name="_Toc123828292"/>
                      <w:bookmarkStart w:id="120" w:name="_Toc123828488"/>
                      <w:bookmarkStart w:id="121" w:name="_Toc123912515"/>
                      <w:bookmarkStart w:id="122" w:name="_Toc123912774"/>
                      <w:bookmarkStart w:id="123" w:name="_Toc123913001"/>
                      <w:bookmarkStart w:id="124" w:name="_Toc123913948"/>
                      <w:bookmarkStart w:id="125" w:name="_Toc125566567"/>
                      <w:bookmarkEnd w:id="115"/>
                      <w:r w:rsidRPr="00EB0AA3">
                        <w:rPr>
                          <w:rFonts w:ascii="Arial" w:hAnsi="Arial" w:cs="Arial"/>
                          <w:color w:val="FFFFFF" w:themeColor="background1"/>
                          <w:lang w:val="en-US"/>
                        </w:rPr>
                        <w:t>MODULE 1: An Introduction to Fiscal Transparency</w:t>
                      </w:r>
                      <w:bookmarkEnd w:id="116"/>
                      <w:bookmarkEnd w:id="117"/>
                      <w:bookmarkEnd w:id="118"/>
                      <w:bookmarkEnd w:id="119"/>
                      <w:bookmarkEnd w:id="120"/>
                      <w:bookmarkEnd w:id="121"/>
                      <w:bookmarkEnd w:id="122"/>
                      <w:bookmarkEnd w:id="123"/>
                      <w:bookmarkEnd w:id="124"/>
                      <w:bookmarkEnd w:id="125"/>
                    </w:p>
                  </w:txbxContent>
                </v:textbox>
              </v:shape>
            </w:pict>
          </mc:Fallback>
        </mc:AlternateContent>
      </w:r>
      <w:r w:rsidR="00ED114B">
        <w:rPr>
          <w:rFonts w:cs="Calibri"/>
          <w:color w:val="ED7D31" w:themeColor="accent2"/>
        </w:rPr>
        <w:br w:type="page"/>
      </w:r>
    </w:p>
    <w:p w14:paraId="19BEB3DA" w14:textId="7FDE71AB" w:rsidR="007F0B86" w:rsidRPr="00ED63F9" w:rsidRDefault="007F0B86" w:rsidP="00ED63F9">
      <w:pPr>
        <w:pStyle w:val="Heading1"/>
        <w:rPr>
          <w:rFonts w:ascii="Arial" w:hAnsi="Arial" w:cs="Arial"/>
          <w:b/>
          <w:bCs/>
          <w:color w:val="16988A"/>
          <w:sz w:val="44"/>
          <w:szCs w:val="44"/>
        </w:rPr>
      </w:pPr>
      <w:bookmarkStart w:id="126" w:name="_Module_objectives"/>
      <w:bookmarkStart w:id="127" w:name="_Toc115369970"/>
      <w:bookmarkStart w:id="128" w:name="_Toc115729045"/>
      <w:bookmarkStart w:id="129" w:name="_Toc115877692"/>
      <w:bookmarkStart w:id="130" w:name="_Toc116056976"/>
      <w:bookmarkStart w:id="131" w:name="_Toc123913949"/>
      <w:bookmarkStart w:id="132" w:name="_Toc125566568"/>
      <w:bookmarkEnd w:id="126"/>
      <w:r w:rsidRPr="00ED63F9">
        <w:rPr>
          <w:rFonts w:ascii="Arial" w:hAnsi="Arial" w:cs="Arial"/>
          <w:b/>
          <w:bCs/>
          <w:color w:val="16988A"/>
          <w:sz w:val="44"/>
          <w:szCs w:val="44"/>
        </w:rPr>
        <w:lastRenderedPageBreak/>
        <w:t xml:space="preserve">Module </w:t>
      </w:r>
      <w:r w:rsidR="00B321EB">
        <w:rPr>
          <w:rFonts w:ascii="Arial" w:hAnsi="Arial" w:cs="Arial"/>
          <w:b/>
          <w:bCs/>
          <w:color w:val="16988A"/>
          <w:sz w:val="44"/>
          <w:szCs w:val="44"/>
        </w:rPr>
        <w:t>o</w:t>
      </w:r>
      <w:r w:rsidRPr="00ED63F9">
        <w:rPr>
          <w:rFonts w:ascii="Arial" w:hAnsi="Arial" w:cs="Arial"/>
          <w:b/>
          <w:bCs/>
          <w:color w:val="16988A"/>
          <w:sz w:val="44"/>
          <w:szCs w:val="44"/>
        </w:rPr>
        <w:t>bjectives</w:t>
      </w:r>
      <w:bookmarkEnd w:id="103"/>
      <w:bookmarkEnd w:id="127"/>
      <w:bookmarkEnd w:id="128"/>
      <w:bookmarkEnd w:id="129"/>
      <w:bookmarkEnd w:id="130"/>
      <w:bookmarkEnd w:id="131"/>
      <w:bookmarkEnd w:id="132"/>
    </w:p>
    <w:p w14:paraId="497137E8" w14:textId="77777777" w:rsidR="00ED63F9" w:rsidRDefault="00ED63F9" w:rsidP="002F7AF5">
      <w:pPr>
        <w:spacing w:line="276" w:lineRule="auto"/>
        <w:jc w:val="both"/>
        <w:rPr>
          <w:rFonts w:ascii="Arial" w:hAnsi="Arial" w:cs="Arial"/>
          <w:sz w:val="24"/>
          <w:szCs w:val="24"/>
        </w:rPr>
      </w:pPr>
    </w:p>
    <w:p w14:paraId="75B249F1" w14:textId="3C8A0A49" w:rsidR="00DC6663" w:rsidRPr="00ED63F9" w:rsidRDefault="00DC6663" w:rsidP="002F7AF5">
      <w:pPr>
        <w:spacing w:line="276" w:lineRule="auto"/>
        <w:jc w:val="both"/>
        <w:rPr>
          <w:rFonts w:ascii="Arial" w:hAnsi="Arial" w:cs="Arial"/>
          <w:sz w:val="24"/>
          <w:szCs w:val="24"/>
        </w:rPr>
      </w:pPr>
      <w:r w:rsidRPr="00ED63F9">
        <w:rPr>
          <w:rFonts w:ascii="Arial" w:hAnsi="Arial" w:cs="Arial"/>
          <w:sz w:val="24"/>
          <w:szCs w:val="24"/>
        </w:rPr>
        <w:t>The main objective of this module is to introduce the concept of fiscal transparency</w:t>
      </w:r>
      <w:r w:rsidR="00201E35" w:rsidRPr="00ED63F9">
        <w:rPr>
          <w:rFonts w:ascii="Arial" w:hAnsi="Arial" w:cs="Arial"/>
          <w:sz w:val="24"/>
          <w:szCs w:val="24"/>
        </w:rPr>
        <w:t xml:space="preserve"> for development</w:t>
      </w:r>
      <w:r w:rsidR="00C92B42" w:rsidRPr="00ED63F9">
        <w:rPr>
          <w:rFonts w:ascii="Arial" w:hAnsi="Arial" w:cs="Arial"/>
          <w:sz w:val="24"/>
          <w:szCs w:val="24"/>
        </w:rPr>
        <w:t xml:space="preserve">, by explaining </w:t>
      </w:r>
      <w:r w:rsidRPr="00ED63F9">
        <w:rPr>
          <w:rFonts w:ascii="Arial" w:hAnsi="Arial" w:cs="Arial"/>
          <w:sz w:val="24"/>
          <w:szCs w:val="24"/>
        </w:rPr>
        <w:t xml:space="preserve">what fiscal transparency is; </w:t>
      </w:r>
      <w:r w:rsidR="00F250B7" w:rsidRPr="00ED63F9">
        <w:rPr>
          <w:rFonts w:ascii="Arial" w:hAnsi="Arial" w:cs="Arial"/>
          <w:sz w:val="24"/>
          <w:szCs w:val="24"/>
        </w:rPr>
        <w:t xml:space="preserve">why it </w:t>
      </w:r>
      <w:r w:rsidR="00561982" w:rsidRPr="00ED63F9">
        <w:rPr>
          <w:rFonts w:ascii="Arial" w:hAnsi="Arial" w:cs="Arial"/>
          <w:sz w:val="24"/>
          <w:szCs w:val="24"/>
        </w:rPr>
        <w:t>matters</w:t>
      </w:r>
      <w:r w:rsidR="00F250B7" w:rsidRPr="00ED63F9">
        <w:rPr>
          <w:rFonts w:ascii="Arial" w:hAnsi="Arial" w:cs="Arial"/>
          <w:sz w:val="24"/>
          <w:szCs w:val="24"/>
        </w:rPr>
        <w:t xml:space="preserve">; </w:t>
      </w:r>
      <w:r w:rsidRPr="00ED63F9">
        <w:rPr>
          <w:rFonts w:ascii="Arial" w:hAnsi="Arial" w:cs="Arial"/>
          <w:sz w:val="24"/>
          <w:szCs w:val="24"/>
        </w:rPr>
        <w:t>wh</w:t>
      </w:r>
      <w:r w:rsidR="00F250B7" w:rsidRPr="00ED63F9">
        <w:rPr>
          <w:rFonts w:ascii="Arial" w:hAnsi="Arial" w:cs="Arial"/>
          <w:sz w:val="24"/>
          <w:szCs w:val="24"/>
        </w:rPr>
        <w:t xml:space="preserve">at evidence </w:t>
      </w:r>
      <w:r w:rsidR="00ED0127" w:rsidRPr="00ED63F9">
        <w:rPr>
          <w:rFonts w:ascii="Arial" w:hAnsi="Arial" w:cs="Arial"/>
          <w:sz w:val="24"/>
          <w:szCs w:val="24"/>
        </w:rPr>
        <w:t>shows</w:t>
      </w:r>
      <w:r w:rsidR="00576E0E" w:rsidRPr="00ED63F9">
        <w:rPr>
          <w:rFonts w:ascii="Arial" w:hAnsi="Arial" w:cs="Arial"/>
          <w:sz w:val="24"/>
          <w:szCs w:val="24"/>
        </w:rPr>
        <w:t xml:space="preserve"> </w:t>
      </w:r>
      <w:r w:rsidR="0097172E" w:rsidRPr="00ED63F9">
        <w:rPr>
          <w:rFonts w:ascii="Arial" w:hAnsi="Arial" w:cs="Arial"/>
          <w:sz w:val="24"/>
          <w:szCs w:val="24"/>
        </w:rPr>
        <w:t>regarding its benefits</w:t>
      </w:r>
      <w:r w:rsidRPr="00ED63F9">
        <w:rPr>
          <w:rFonts w:ascii="Arial" w:hAnsi="Arial" w:cs="Arial"/>
          <w:sz w:val="24"/>
          <w:szCs w:val="24"/>
        </w:rPr>
        <w:t xml:space="preserve">; and </w:t>
      </w:r>
      <w:proofErr w:type="gramStart"/>
      <w:r w:rsidR="00F250B7" w:rsidRPr="00ED63F9">
        <w:rPr>
          <w:rFonts w:ascii="Arial" w:hAnsi="Arial" w:cs="Arial"/>
          <w:sz w:val="24"/>
          <w:szCs w:val="24"/>
        </w:rPr>
        <w:t>finally</w:t>
      </w:r>
      <w:proofErr w:type="gramEnd"/>
      <w:r w:rsidR="00F250B7" w:rsidRPr="00ED63F9">
        <w:rPr>
          <w:rFonts w:ascii="Arial" w:hAnsi="Arial" w:cs="Arial"/>
          <w:sz w:val="24"/>
          <w:szCs w:val="24"/>
        </w:rPr>
        <w:t xml:space="preserve"> </w:t>
      </w:r>
      <w:r w:rsidRPr="00ED63F9">
        <w:rPr>
          <w:rFonts w:ascii="Arial" w:hAnsi="Arial" w:cs="Arial"/>
          <w:sz w:val="24"/>
          <w:szCs w:val="24"/>
        </w:rPr>
        <w:t>what the norms and standards are</w:t>
      </w:r>
      <w:r w:rsidR="0097172E" w:rsidRPr="00ED63F9">
        <w:rPr>
          <w:rFonts w:ascii="Arial" w:hAnsi="Arial" w:cs="Arial"/>
          <w:sz w:val="24"/>
          <w:szCs w:val="24"/>
        </w:rPr>
        <w:t>,</w:t>
      </w:r>
      <w:r w:rsidRPr="00ED63F9">
        <w:rPr>
          <w:rFonts w:ascii="Arial" w:hAnsi="Arial" w:cs="Arial"/>
          <w:sz w:val="24"/>
          <w:szCs w:val="24"/>
        </w:rPr>
        <w:t xml:space="preserve"> for achieving it.</w:t>
      </w:r>
    </w:p>
    <w:p w14:paraId="5DA5B382" w14:textId="3D0B776E" w:rsidR="00263915" w:rsidRPr="002F7AF5" w:rsidRDefault="00D947B1" w:rsidP="002F7AF5">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799870" behindDoc="1" locked="0" layoutInCell="1" allowOverlap="1" wp14:anchorId="4F263A65" wp14:editId="1108BFC4">
            <wp:simplePos x="0" y="0"/>
            <wp:positionH relativeFrom="column">
              <wp:posOffset>-241300</wp:posOffset>
            </wp:positionH>
            <wp:positionV relativeFrom="paragraph">
              <wp:posOffset>71120</wp:posOffset>
            </wp:positionV>
            <wp:extent cx="6134100" cy="1308100"/>
            <wp:effectExtent l="0" t="0" r="0" b="0"/>
            <wp:wrapNone/>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Picture 1627"/>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6134100" cy="1308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6351C1" w14:textId="5172017E" w:rsidR="000A5034" w:rsidRDefault="002E3C38" w:rsidP="002F7AF5">
      <w:pPr>
        <w:spacing w:line="276" w:lineRule="auto"/>
        <w:jc w:val="both"/>
      </w:pPr>
      <w:bookmarkStart w:id="133" w:name="_Toc115369971"/>
      <w:bookmarkStart w:id="134" w:name="_Toc115729046"/>
      <w:bookmarkStart w:id="135" w:name="_Toc115877693"/>
      <w:bookmarkStart w:id="136" w:name="_Toc116056977"/>
      <w:r>
        <w:rPr>
          <w:rFonts w:ascii="Arial" w:hAnsi="Arial" w:cs="Arial"/>
          <w:b/>
          <w:bCs/>
          <w:noProof/>
          <w:color w:val="ED5625"/>
          <w:lang w:val="en-US"/>
        </w:rPr>
        <mc:AlternateContent>
          <mc:Choice Requires="wps">
            <w:drawing>
              <wp:anchor distT="0" distB="0" distL="114300" distR="114300" simplePos="0" relativeHeight="251721728" behindDoc="0" locked="0" layoutInCell="1" allowOverlap="1" wp14:anchorId="7B6BD582" wp14:editId="220692DD">
                <wp:simplePos x="0" y="0"/>
                <wp:positionH relativeFrom="column">
                  <wp:posOffset>962025</wp:posOffset>
                </wp:positionH>
                <wp:positionV relativeFrom="paragraph">
                  <wp:posOffset>182880</wp:posOffset>
                </wp:positionV>
                <wp:extent cx="4163695" cy="5905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4163695" cy="590550"/>
                        </a:xfrm>
                        <a:prstGeom prst="rect">
                          <a:avLst/>
                        </a:prstGeom>
                        <a:noFill/>
                        <a:ln w="6350">
                          <a:noFill/>
                        </a:ln>
                      </wps:spPr>
                      <wps:txbx>
                        <w:txbxContent>
                          <w:p w14:paraId="36CC7D12" w14:textId="5B0A918A" w:rsidR="00D15FD8" w:rsidRPr="0098111D" w:rsidRDefault="00D15FD8" w:rsidP="006841D0">
                            <w:pPr>
                              <w:pStyle w:val="Heading1"/>
                              <w:rPr>
                                <w:rFonts w:ascii="Arial" w:hAnsi="Arial" w:cs="Arial"/>
                                <w:b/>
                                <w:bCs/>
                                <w:color w:val="FFFFFF" w:themeColor="background1"/>
                                <w:sz w:val="38"/>
                                <w:szCs w:val="38"/>
                              </w:rPr>
                            </w:pPr>
                            <w:bookmarkStart w:id="137" w:name="_Defining_fiscal_transparency"/>
                            <w:bookmarkStart w:id="138" w:name="_Toc115369972"/>
                            <w:bookmarkStart w:id="139" w:name="_Toc115729047"/>
                            <w:bookmarkStart w:id="140" w:name="_Toc115877694"/>
                            <w:bookmarkStart w:id="141" w:name="_Toc116056978"/>
                            <w:bookmarkStart w:id="142" w:name="_Toc123828490"/>
                            <w:bookmarkStart w:id="143" w:name="_Toc123913950"/>
                            <w:bookmarkStart w:id="144" w:name="_Toc125566569"/>
                            <w:bookmarkEnd w:id="137"/>
                            <w:r w:rsidRPr="0098111D">
                              <w:rPr>
                                <w:rFonts w:ascii="Arial" w:hAnsi="Arial" w:cs="Arial"/>
                                <w:b/>
                                <w:bCs/>
                                <w:color w:val="FFFFFF" w:themeColor="background1"/>
                                <w:sz w:val="38"/>
                                <w:szCs w:val="38"/>
                              </w:rPr>
                              <w:t>Defining fiscal transparency</w:t>
                            </w:r>
                            <w:bookmarkEnd w:id="138"/>
                            <w:bookmarkEnd w:id="139"/>
                            <w:bookmarkEnd w:id="140"/>
                            <w:bookmarkEnd w:id="141"/>
                            <w:bookmarkEnd w:id="142"/>
                            <w:bookmarkEnd w:id="143"/>
                            <w:bookmarkEnd w:id="14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6BD582" id="Text Box 49" o:spid="_x0000_s1033" type="#_x0000_t202" style="position:absolute;left:0;text-align:left;margin-left:75.75pt;margin-top:14.4pt;width:327.85pt;height:46.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" filled="f" stroked="f" strokeweight=".5pt">
                <v:textbox>
                  <w:txbxContent>
                    <w:p w14:paraId="36CC7D12" w14:textId="5B0A918A" w:rsidR="00D15FD8" w:rsidRPr="0098111D" w:rsidRDefault="00D15FD8" w:rsidP="006841D0">
                      <w:pPr>
                        <w:pStyle w:val="Heading1"/>
                        <w:rPr>
                          <w:rFonts w:ascii="Arial" w:hAnsi="Arial" w:cs="Arial"/>
                          <w:b/>
                          <w:bCs/>
                          <w:color w:val="FFFFFF" w:themeColor="background1"/>
                          <w:sz w:val="38"/>
                          <w:szCs w:val="38"/>
                        </w:rPr>
                      </w:pPr>
                      <w:bookmarkStart w:id="145" w:name="_Defining_fiscal_transparency"/>
                      <w:bookmarkStart w:id="146" w:name="_Toc115369972"/>
                      <w:bookmarkStart w:id="147" w:name="_Toc115729047"/>
                      <w:bookmarkStart w:id="148" w:name="_Toc115877694"/>
                      <w:bookmarkStart w:id="149" w:name="_Toc116056978"/>
                      <w:bookmarkStart w:id="150" w:name="_Toc123828490"/>
                      <w:bookmarkStart w:id="151" w:name="_Toc123913950"/>
                      <w:bookmarkStart w:id="152" w:name="_Toc125566569"/>
                      <w:bookmarkEnd w:id="145"/>
                      <w:r w:rsidRPr="0098111D">
                        <w:rPr>
                          <w:rFonts w:ascii="Arial" w:hAnsi="Arial" w:cs="Arial"/>
                          <w:b/>
                          <w:bCs/>
                          <w:color w:val="FFFFFF" w:themeColor="background1"/>
                          <w:sz w:val="38"/>
                          <w:szCs w:val="38"/>
                        </w:rPr>
                        <w:t>Defining fiscal transparency</w:t>
                      </w:r>
                      <w:bookmarkEnd w:id="146"/>
                      <w:bookmarkEnd w:id="147"/>
                      <w:bookmarkEnd w:id="148"/>
                      <w:bookmarkEnd w:id="149"/>
                      <w:bookmarkEnd w:id="150"/>
                      <w:bookmarkEnd w:id="151"/>
                      <w:bookmarkEnd w:id="152"/>
                    </w:p>
                  </w:txbxContent>
                </v:textbox>
              </v:shape>
            </w:pict>
          </mc:Fallback>
        </mc:AlternateContent>
      </w:r>
      <w:bookmarkEnd w:id="133"/>
      <w:bookmarkEnd w:id="134"/>
      <w:bookmarkEnd w:id="135"/>
      <w:bookmarkEnd w:id="136"/>
      <w:r w:rsidR="002F7AF5">
        <w:rPr>
          <w:rFonts w:ascii="Arial" w:hAnsi="Arial" w:cs="Arial"/>
          <w:b/>
          <w:bCs/>
          <w:noProof/>
          <w:color w:val="ED5625"/>
          <w:lang w:val="en-US"/>
        </w:rPr>
        <mc:AlternateContent>
          <mc:Choice Requires="wps">
            <w:drawing>
              <wp:anchor distT="0" distB="0" distL="114300" distR="114300" simplePos="0" relativeHeight="251722752" behindDoc="0" locked="0" layoutInCell="1" allowOverlap="1" wp14:anchorId="3360400C" wp14:editId="07764867">
                <wp:simplePos x="0" y="0"/>
                <wp:positionH relativeFrom="column">
                  <wp:posOffset>250825</wp:posOffset>
                </wp:positionH>
                <wp:positionV relativeFrom="paragraph">
                  <wp:posOffset>185420</wp:posOffset>
                </wp:positionV>
                <wp:extent cx="492125" cy="5905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92125" cy="590550"/>
                        </a:xfrm>
                        <a:prstGeom prst="rect">
                          <a:avLst/>
                        </a:prstGeom>
                        <a:noFill/>
                        <a:ln w="6350">
                          <a:noFill/>
                        </a:ln>
                      </wps:spPr>
                      <wps:txbx>
                        <w:txbxContent>
                          <w:p w14:paraId="43375AA3" w14:textId="11C662C1" w:rsidR="00D15FD8" w:rsidRPr="007C7920" w:rsidRDefault="00D15FD8" w:rsidP="007C7920">
                            <w:pP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r w:rsidRPr="007C7920">
                              <w:rPr>
                                <w:rFonts w:ascii="Arial" w:hAnsi="Arial" w:cs="Arial"/>
                                <w:b/>
                                <w:bCs/>
                                <w:color w:val="FFFFFF" w:themeColor="background1"/>
                                <w:sz w:val="72"/>
                                <w:szCs w:val="72"/>
                                <w:lang w:val="en-US"/>
                              </w:rPr>
                              <w:t>1</w:t>
                            </w:r>
                          </w:p>
                          <w:p w14:paraId="48D7C100"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60400C" id="Text Box 50" o:spid="_x0000_s1034" type="#_x0000_t202" style="position:absolute;left:0;text-align:left;margin-left:19.75pt;margin-top:14.6pt;width:38.75pt;height:46.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" filled="f" stroked="f" strokeweight=".5pt">
                <v:textbox>
                  <w:txbxContent>
                    <w:p w14:paraId="43375AA3" w14:textId="11C662C1" w:rsidR="00D15FD8" w:rsidRPr="007C7920" w:rsidRDefault="00D15FD8" w:rsidP="007C7920">
                      <w:pP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r w:rsidRPr="007C7920">
                        <w:rPr>
                          <w:rFonts w:ascii="Arial" w:hAnsi="Arial" w:cs="Arial"/>
                          <w:b/>
                          <w:bCs/>
                          <w:color w:val="FFFFFF" w:themeColor="background1"/>
                          <w:sz w:val="72"/>
                          <w:szCs w:val="72"/>
                          <w:lang w:val="en-US"/>
                        </w:rPr>
                        <w:t>1</w:t>
                      </w:r>
                    </w:p>
                    <w:p w14:paraId="48D7C100" w14:textId="77777777" w:rsidR="00D15FD8" w:rsidRDefault="00D15FD8"/>
                  </w:txbxContent>
                </v:textbox>
              </v:shape>
            </w:pict>
          </mc:Fallback>
        </mc:AlternateContent>
      </w:r>
    </w:p>
    <w:p w14:paraId="6C41E044" w14:textId="64B4312F" w:rsidR="000A5034" w:rsidRDefault="000A5034" w:rsidP="002F7AF5">
      <w:pPr>
        <w:pStyle w:val="Heading1"/>
        <w:spacing w:line="276" w:lineRule="auto"/>
        <w:rPr>
          <w:rFonts w:ascii="Arial" w:hAnsi="Arial" w:cs="Arial"/>
          <w:b/>
          <w:bCs/>
          <w:color w:val="ED5625"/>
        </w:rPr>
      </w:pPr>
      <w:bookmarkStart w:id="153" w:name="_Toc103698940"/>
    </w:p>
    <w:p w14:paraId="225CAE11" w14:textId="5852ED6D" w:rsidR="000A5034" w:rsidRPr="002F7AF5" w:rsidRDefault="000A5034" w:rsidP="002F7AF5">
      <w:pPr>
        <w:pStyle w:val="Heading1"/>
        <w:spacing w:line="276" w:lineRule="auto"/>
        <w:rPr>
          <w:rFonts w:ascii="Arial" w:hAnsi="Arial" w:cs="Arial"/>
          <w:b/>
          <w:bCs/>
          <w:color w:val="ED5625"/>
          <w:sz w:val="24"/>
          <w:szCs w:val="24"/>
        </w:rPr>
      </w:pPr>
    </w:p>
    <w:bookmarkEnd w:id="153"/>
    <w:p w14:paraId="4C9A44B7" w14:textId="77777777" w:rsidR="006841D0" w:rsidRPr="006841D0" w:rsidRDefault="006841D0" w:rsidP="002F7AF5">
      <w:pPr>
        <w:pStyle w:val="NormalWeb"/>
        <w:shd w:val="clear" w:color="auto" w:fill="FFFFFF"/>
        <w:spacing w:before="120" w:after="120" w:line="276" w:lineRule="auto"/>
        <w:jc w:val="both"/>
        <w:rPr>
          <w:rFonts w:ascii="Arial" w:hAnsi="Arial" w:cs="Arial"/>
          <w:iCs/>
          <w:lang w:val="en-ZA"/>
        </w:rPr>
      </w:pPr>
    </w:p>
    <w:p w14:paraId="3FCAD15F" w14:textId="16D45512" w:rsidR="002F7AF5" w:rsidRDefault="00045042" w:rsidP="002F7AF5">
      <w:pPr>
        <w:pStyle w:val="NormalWeb"/>
        <w:shd w:val="clear" w:color="auto" w:fill="FFFFFF"/>
        <w:spacing w:before="120" w:after="120" w:line="276" w:lineRule="auto"/>
        <w:jc w:val="both"/>
        <w:rPr>
          <w:rFonts w:ascii="Arial" w:hAnsi="Arial" w:cs="Arial"/>
          <w:iCs/>
          <w:lang w:val="en-ZA"/>
        </w:rPr>
      </w:pPr>
      <w:r w:rsidRPr="006841D0">
        <w:rPr>
          <w:rFonts w:ascii="Arial" w:hAnsi="Arial" w:cs="Arial"/>
          <w:iCs/>
          <w:lang w:val="en-ZA"/>
        </w:rPr>
        <w:t>At the core of fiscal transparency are questions about the availability and quality of information related to public finances.</w:t>
      </w:r>
    </w:p>
    <w:p w14:paraId="6AD05B65" w14:textId="77777777" w:rsidR="002F7AF5" w:rsidRPr="006841D0" w:rsidRDefault="002F7AF5" w:rsidP="002F7AF5">
      <w:pPr>
        <w:pStyle w:val="NormalWeb"/>
        <w:shd w:val="clear" w:color="auto" w:fill="FFFFFF"/>
        <w:spacing w:before="120" w:after="120" w:line="276" w:lineRule="auto"/>
        <w:jc w:val="both"/>
        <w:rPr>
          <w:rFonts w:ascii="Arial" w:hAnsi="Arial" w:cs="Arial"/>
          <w:iCs/>
          <w:lang w:val="en-ZA"/>
        </w:rPr>
      </w:pPr>
    </w:p>
    <w:p w14:paraId="7766F1B2" w14:textId="757DC011" w:rsidR="009C2A36" w:rsidRPr="007C283F" w:rsidRDefault="009C2A36">
      <w:pPr>
        <w:pStyle w:val="Heading2"/>
        <w:numPr>
          <w:ilvl w:val="1"/>
          <w:numId w:val="3"/>
        </w:numPr>
        <w:rPr>
          <w:rFonts w:ascii="Arial" w:hAnsi="Arial" w:cs="Arial"/>
          <w:b/>
          <w:bCs/>
          <w:color w:val="16988A"/>
          <w:sz w:val="36"/>
          <w:szCs w:val="36"/>
        </w:rPr>
      </w:pPr>
      <w:bookmarkStart w:id="154" w:name="_Toc115369973"/>
      <w:bookmarkStart w:id="155" w:name="_Toc115729048"/>
      <w:bookmarkStart w:id="156" w:name="_Toc115877695"/>
      <w:bookmarkStart w:id="157" w:name="_Toc116056979"/>
      <w:bookmarkStart w:id="158" w:name="_Toc119794415"/>
      <w:bookmarkStart w:id="159" w:name="_Toc123204396"/>
      <w:bookmarkStart w:id="160" w:name="_Toc123216482"/>
      <w:bookmarkStart w:id="161" w:name="_Toc123217322"/>
      <w:bookmarkStart w:id="162" w:name="_Toc123913295"/>
      <w:bookmarkStart w:id="163" w:name="_Toc123913951"/>
      <w:bookmarkStart w:id="164" w:name="_Toc125495779"/>
      <w:bookmarkStart w:id="165" w:name="_Toc125566570"/>
      <w:r w:rsidRPr="007C283F">
        <w:rPr>
          <w:rFonts w:ascii="Arial" w:hAnsi="Arial" w:cs="Arial"/>
          <w:b/>
          <w:bCs/>
          <w:color w:val="16988A"/>
          <w:sz w:val="36"/>
          <w:szCs w:val="36"/>
        </w:rPr>
        <w:t xml:space="preserve">Availability and </w:t>
      </w:r>
      <w:r w:rsidR="00B321EB" w:rsidRPr="007C283F">
        <w:rPr>
          <w:rFonts w:ascii="Arial" w:hAnsi="Arial" w:cs="Arial"/>
          <w:b/>
          <w:bCs/>
          <w:color w:val="16988A"/>
          <w:sz w:val="36"/>
          <w:szCs w:val="36"/>
        </w:rPr>
        <w:t>q</w:t>
      </w:r>
      <w:r w:rsidRPr="007C283F">
        <w:rPr>
          <w:rFonts w:ascii="Arial" w:hAnsi="Arial" w:cs="Arial"/>
          <w:b/>
          <w:bCs/>
          <w:color w:val="16988A"/>
          <w:sz w:val="36"/>
          <w:szCs w:val="36"/>
        </w:rPr>
        <w:t xml:space="preserve">uality of </w:t>
      </w:r>
      <w:r w:rsidR="00B321EB" w:rsidRPr="007C283F">
        <w:rPr>
          <w:rFonts w:ascii="Arial" w:hAnsi="Arial" w:cs="Arial"/>
          <w:b/>
          <w:bCs/>
          <w:color w:val="16988A"/>
          <w:sz w:val="36"/>
          <w:szCs w:val="36"/>
        </w:rPr>
        <w:t>i</w:t>
      </w:r>
      <w:r w:rsidRPr="007C283F">
        <w:rPr>
          <w:rFonts w:ascii="Arial" w:hAnsi="Arial" w:cs="Arial"/>
          <w:b/>
          <w:bCs/>
          <w:color w:val="16988A"/>
          <w:sz w:val="36"/>
          <w:szCs w:val="36"/>
        </w:rPr>
        <w:t>nformation</w:t>
      </w:r>
      <w:bookmarkEnd w:id="154"/>
      <w:bookmarkEnd w:id="155"/>
      <w:bookmarkEnd w:id="156"/>
      <w:bookmarkEnd w:id="157"/>
      <w:bookmarkEnd w:id="158"/>
      <w:bookmarkEnd w:id="159"/>
      <w:bookmarkEnd w:id="160"/>
      <w:bookmarkEnd w:id="161"/>
      <w:bookmarkEnd w:id="162"/>
      <w:bookmarkEnd w:id="163"/>
      <w:bookmarkEnd w:id="164"/>
      <w:bookmarkEnd w:id="165"/>
    </w:p>
    <w:p w14:paraId="02D2523F" w14:textId="028A9DDC" w:rsidR="006841D0" w:rsidRDefault="006841D0" w:rsidP="006841D0">
      <w:pPr>
        <w:spacing w:line="276" w:lineRule="auto"/>
        <w:jc w:val="both"/>
        <w:rPr>
          <w:rFonts w:ascii="Arial" w:hAnsi="Arial" w:cs="Arial"/>
          <w:iCs/>
          <w:sz w:val="24"/>
          <w:szCs w:val="24"/>
        </w:rPr>
      </w:pPr>
    </w:p>
    <w:p w14:paraId="27091DD3" w14:textId="1167D597" w:rsidR="00045042" w:rsidRPr="006841D0" w:rsidRDefault="009C051F" w:rsidP="006841D0">
      <w:pPr>
        <w:spacing w:line="276" w:lineRule="auto"/>
        <w:jc w:val="both"/>
        <w:rPr>
          <w:rFonts w:ascii="Arial" w:hAnsi="Arial" w:cs="Arial"/>
          <w:iCs/>
          <w:sz w:val="24"/>
          <w:szCs w:val="24"/>
          <w:lang w:val="en-US"/>
        </w:rPr>
      </w:pPr>
      <w:r w:rsidRPr="006841D0">
        <w:rPr>
          <w:rFonts w:ascii="Arial" w:hAnsi="Arial" w:cs="Arial"/>
          <w:iCs/>
          <w:sz w:val="24"/>
          <w:szCs w:val="24"/>
        </w:rPr>
        <w:t xml:space="preserve">Fiscal transparency is defined in </w:t>
      </w:r>
      <w:hyperlink r:id="rId26" w:history="1">
        <w:r w:rsidRPr="006841D0">
          <w:rPr>
            <w:rStyle w:val="Hyperlink"/>
            <w:rFonts w:ascii="Arial" w:hAnsi="Arial" w:cs="Arial"/>
            <w:iCs/>
            <w:sz w:val="24"/>
            <w:szCs w:val="24"/>
          </w:rPr>
          <w:t>GIFT’s High-level transparency principles</w:t>
        </w:r>
      </w:hyperlink>
      <w:r w:rsidRPr="006841D0">
        <w:rPr>
          <w:rFonts w:ascii="Arial" w:hAnsi="Arial" w:cs="Arial"/>
          <w:iCs/>
          <w:sz w:val="24"/>
          <w:szCs w:val="24"/>
        </w:rPr>
        <w:t xml:space="preserve"> as the openness toward the public at large about government structure and functions, fiscal, public sector accounts, and projections. It involves ready access to reliable, comprehensive, timely, understandable, and internationally comparable information on government activities so that the electorate and financial markets can accurately assess the government’s financial position and the true costs and benefits of government activities, including their present and future economic and social implications.</w:t>
      </w:r>
      <w:r w:rsidRPr="006841D0">
        <w:rPr>
          <w:rFonts w:ascii="Arial" w:hAnsi="Arial" w:cs="Arial"/>
          <w:iCs/>
          <w:sz w:val="24"/>
          <w:szCs w:val="24"/>
          <w:lang w:val="en-US"/>
        </w:rPr>
        <w:t xml:space="preserve"> (</w:t>
      </w:r>
      <w:proofErr w:type="spellStart"/>
      <w:r w:rsidRPr="006841D0">
        <w:rPr>
          <w:rFonts w:ascii="Arial" w:hAnsi="Arial" w:cs="Arial"/>
          <w:iCs/>
          <w:sz w:val="24"/>
          <w:szCs w:val="24"/>
          <w:lang w:val="en-US"/>
        </w:rPr>
        <w:t>Kopits</w:t>
      </w:r>
      <w:proofErr w:type="spellEnd"/>
      <w:r w:rsidRPr="006841D0">
        <w:rPr>
          <w:rFonts w:ascii="Arial" w:hAnsi="Arial" w:cs="Arial"/>
          <w:iCs/>
          <w:sz w:val="24"/>
          <w:szCs w:val="24"/>
          <w:lang w:val="en-US"/>
        </w:rPr>
        <w:t xml:space="preserve"> and Craig, 1998, Transparency in Government Operations, IMF Occasional Paper No. 158 (Washington: International Monetary Fund). </w:t>
      </w:r>
    </w:p>
    <w:p w14:paraId="184CF112" w14:textId="49684FBE" w:rsidR="00045042" w:rsidRPr="006841D0" w:rsidRDefault="00045042" w:rsidP="006841D0">
      <w:pPr>
        <w:spacing w:line="276" w:lineRule="auto"/>
        <w:jc w:val="both"/>
        <w:rPr>
          <w:rFonts w:ascii="Arial" w:hAnsi="Arial" w:cs="Arial"/>
          <w:iCs/>
          <w:sz w:val="24"/>
          <w:szCs w:val="24"/>
          <w:lang w:val="en-US"/>
        </w:rPr>
      </w:pPr>
    </w:p>
    <w:p w14:paraId="58A7812E" w14:textId="6DC69554" w:rsidR="009C051F" w:rsidRPr="006841D0" w:rsidRDefault="00887C7D" w:rsidP="006841D0">
      <w:pPr>
        <w:spacing w:line="276" w:lineRule="auto"/>
        <w:jc w:val="both"/>
        <w:rPr>
          <w:rFonts w:ascii="Arial" w:hAnsi="Arial" w:cs="Arial"/>
          <w:iCs/>
          <w:sz w:val="24"/>
          <w:szCs w:val="24"/>
          <w:lang w:val="en-US"/>
        </w:rPr>
      </w:pPr>
      <w:r w:rsidRPr="006841D0">
        <w:rPr>
          <w:rFonts w:ascii="Arial" w:hAnsi="Arial" w:cs="Arial"/>
          <w:iCs/>
          <w:sz w:val="24"/>
          <w:szCs w:val="24"/>
          <w:lang w:val="en-ZA"/>
        </w:rPr>
        <w:t xml:space="preserve">This is in line with the definition </w:t>
      </w:r>
      <w:r w:rsidR="00760EFC" w:rsidRPr="006841D0">
        <w:rPr>
          <w:rFonts w:ascii="Arial" w:hAnsi="Arial" w:cs="Arial"/>
          <w:iCs/>
          <w:sz w:val="24"/>
          <w:szCs w:val="24"/>
          <w:lang w:val="en-ZA"/>
        </w:rPr>
        <w:t xml:space="preserve">included </w:t>
      </w:r>
      <w:r w:rsidRPr="006841D0">
        <w:rPr>
          <w:rFonts w:ascii="Arial" w:hAnsi="Arial" w:cs="Arial"/>
          <w:iCs/>
          <w:sz w:val="24"/>
          <w:szCs w:val="24"/>
          <w:lang w:val="en-ZA"/>
        </w:rPr>
        <w:t>in the International Monetary Fund’s (IMF)</w:t>
      </w:r>
      <w:r w:rsidR="00D37601" w:rsidRPr="006D36A1">
        <w:t xml:space="preserve"> </w:t>
      </w:r>
      <w:hyperlink r:id="rId27" w:history="1">
        <w:r w:rsidR="00D37601" w:rsidRPr="00D37601">
          <w:rPr>
            <w:rStyle w:val="Hyperlink"/>
            <w:rFonts w:ascii="Arial" w:hAnsi="Arial" w:cs="Arial"/>
            <w:iCs/>
            <w:sz w:val="24"/>
            <w:szCs w:val="24"/>
            <w:lang w:val="en-US"/>
          </w:rPr>
          <w:t>Fiscal Transparency Handbook</w:t>
        </w:r>
      </w:hyperlink>
      <w:r w:rsidRPr="006841D0">
        <w:rPr>
          <w:rFonts w:ascii="Arial" w:hAnsi="Arial" w:cs="Arial"/>
          <w:iCs/>
          <w:sz w:val="24"/>
          <w:szCs w:val="24"/>
          <w:lang w:val="en-US"/>
        </w:rPr>
        <w:t xml:space="preserve"> (2018), where fiscal transparency refers to the information available to the public about the government’s fiscal policymaking</w:t>
      </w:r>
      <w:r w:rsidRPr="006841D0">
        <w:rPr>
          <w:rFonts w:ascii="Arial" w:hAnsi="Arial" w:cs="Arial"/>
          <w:iCs/>
          <w:sz w:val="24"/>
          <w:szCs w:val="24"/>
          <w:vertAlign w:val="superscript"/>
          <w:lang w:val="en-US"/>
        </w:rPr>
        <w:footnoteReference w:id="1"/>
      </w:r>
      <w:r w:rsidRPr="006841D0">
        <w:rPr>
          <w:rFonts w:ascii="Arial" w:hAnsi="Arial" w:cs="Arial"/>
          <w:iCs/>
          <w:sz w:val="24"/>
          <w:szCs w:val="24"/>
          <w:lang w:val="en-US"/>
        </w:rPr>
        <w:t xml:space="preserve"> process. It refers to the clarity, reliability, frequency, timeliness, and relevance of public fiscal reporting and the openness of such information.</w:t>
      </w:r>
    </w:p>
    <w:p w14:paraId="288F2758" w14:textId="7B8FE26F" w:rsidR="00045042" w:rsidRPr="006841D0" w:rsidRDefault="00045042" w:rsidP="006841D0">
      <w:pPr>
        <w:spacing w:line="276" w:lineRule="auto"/>
        <w:jc w:val="both"/>
        <w:rPr>
          <w:rFonts w:ascii="Arial" w:hAnsi="Arial" w:cs="Arial"/>
          <w:iCs/>
          <w:sz w:val="24"/>
          <w:szCs w:val="24"/>
          <w:lang w:val="en-ZA"/>
        </w:rPr>
      </w:pPr>
    </w:p>
    <w:p w14:paraId="2DDBBDE6" w14:textId="1887DE3D" w:rsidR="00045042" w:rsidRPr="006841D0" w:rsidRDefault="00045042" w:rsidP="006841D0">
      <w:pPr>
        <w:spacing w:line="276" w:lineRule="auto"/>
        <w:jc w:val="both"/>
        <w:rPr>
          <w:rFonts w:ascii="Arial" w:hAnsi="Arial" w:cs="Arial"/>
          <w:iCs/>
          <w:sz w:val="24"/>
          <w:szCs w:val="24"/>
        </w:rPr>
      </w:pPr>
      <w:r w:rsidRPr="006841D0">
        <w:rPr>
          <w:rFonts w:ascii="Arial" w:hAnsi="Arial" w:cs="Arial"/>
          <w:iCs/>
          <w:sz w:val="24"/>
          <w:szCs w:val="24"/>
        </w:rPr>
        <w:t xml:space="preserve">In practice, fiscal transparency means that the public has a right to know everything about public resources, including how funds are raised, managed, allocated and to what ends they are used. </w:t>
      </w:r>
    </w:p>
    <w:p w14:paraId="743B4FA0" w14:textId="77777777" w:rsidR="00447863" w:rsidRPr="006841D0" w:rsidRDefault="00447863" w:rsidP="006841D0">
      <w:pPr>
        <w:spacing w:line="276" w:lineRule="auto"/>
        <w:jc w:val="both"/>
        <w:rPr>
          <w:rFonts w:ascii="Arial" w:hAnsi="Arial" w:cs="Arial"/>
          <w:iCs/>
          <w:sz w:val="24"/>
          <w:szCs w:val="24"/>
        </w:rPr>
      </w:pPr>
    </w:p>
    <w:p w14:paraId="222EC1EB" w14:textId="0C901F7A" w:rsidR="009F1090" w:rsidRDefault="00353936" w:rsidP="009F1090">
      <w:pPr>
        <w:spacing w:line="276" w:lineRule="auto"/>
        <w:jc w:val="both"/>
        <w:rPr>
          <w:rFonts w:ascii="Arial" w:hAnsi="Arial" w:cs="Arial"/>
          <w:iCs/>
          <w:sz w:val="24"/>
          <w:szCs w:val="24"/>
        </w:rPr>
      </w:pPr>
      <w:r w:rsidRPr="006841D0">
        <w:rPr>
          <w:rFonts w:ascii="Arial" w:hAnsi="Arial" w:cs="Arial"/>
          <w:iCs/>
          <w:sz w:val="24"/>
          <w:szCs w:val="24"/>
        </w:rPr>
        <w:t xml:space="preserve">Two elements are key in this definition: the availability and the quality of the information about public resources. </w:t>
      </w:r>
    </w:p>
    <w:p w14:paraId="101446AB" w14:textId="4A428879" w:rsidR="0072142F" w:rsidRDefault="0072142F" w:rsidP="009F1090">
      <w:pPr>
        <w:spacing w:line="276" w:lineRule="auto"/>
        <w:jc w:val="both"/>
        <w:rPr>
          <w:rFonts w:ascii="Arial" w:hAnsi="Arial" w:cs="Arial"/>
          <w:iCs/>
          <w:sz w:val="24"/>
          <w:szCs w:val="24"/>
        </w:rPr>
      </w:pPr>
    </w:p>
    <w:p w14:paraId="757A66E7" w14:textId="2A78A01D" w:rsidR="0072142F" w:rsidRDefault="0072142F" w:rsidP="009F1090">
      <w:pPr>
        <w:spacing w:line="276" w:lineRule="auto"/>
        <w:jc w:val="both"/>
        <w:rPr>
          <w:rFonts w:ascii="Arial" w:hAnsi="Arial" w:cs="Arial"/>
          <w:iCs/>
          <w:sz w:val="24"/>
          <w:szCs w:val="24"/>
        </w:rPr>
      </w:pPr>
    </w:p>
    <w:p w14:paraId="70A3458F" w14:textId="48A5BCDD" w:rsidR="00F60921" w:rsidRDefault="00F60921" w:rsidP="009F1090">
      <w:pPr>
        <w:spacing w:line="276" w:lineRule="auto"/>
        <w:jc w:val="both"/>
        <w:rPr>
          <w:rFonts w:ascii="Arial" w:hAnsi="Arial" w:cs="Arial"/>
          <w:iCs/>
          <w:sz w:val="24"/>
          <w:szCs w:val="24"/>
        </w:rPr>
      </w:pPr>
    </w:p>
    <w:p w14:paraId="3B508BF9" w14:textId="064B1DA8" w:rsidR="00BD3DD8" w:rsidRDefault="00BD3DD8" w:rsidP="00BD3DD8">
      <w:pPr>
        <w:rPr>
          <w:rFonts w:ascii="Arial" w:hAnsi="Arial" w:cs="Arial"/>
          <w:iCs/>
          <w:sz w:val="24"/>
          <w:szCs w:val="24"/>
        </w:rPr>
      </w:pPr>
    </w:p>
    <w:p w14:paraId="0DBC97BD" w14:textId="56CF5DAE" w:rsidR="009F1090" w:rsidRPr="006159F0" w:rsidRDefault="006A7095" w:rsidP="006159F0">
      <w:pPr>
        <w:pStyle w:val="Heading2"/>
        <w:numPr>
          <w:ilvl w:val="1"/>
          <w:numId w:val="3"/>
        </w:numPr>
        <w:rPr>
          <w:rFonts w:ascii="Arial" w:hAnsi="Arial" w:cs="Arial"/>
          <w:b/>
          <w:bCs/>
          <w:color w:val="16988A"/>
          <w:sz w:val="36"/>
          <w:szCs w:val="36"/>
        </w:rPr>
      </w:pPr>
      <w:bookmarkStart w:id="166" w:name="_Toc119794416"/>
      <w:bookmarkStart w:id="167" w:name="_Toc123204397"/>
      <w:bookmarkStart w:id="168" w:name="_Toc123216483"/>
      <w:bookmarkStart w:id="169" w:name="_Toc123217323"/>
      <w:bookmarkStart w:id="170" w:name="_Toc123913296"/>
      <w:bookmarkStart w:id="171" w:name="_Toc123913952"/>
      <w:bookmarkStart w:id="172" w:name="_Toc125495780"/>
      <w:bookmarkStart w:id="173" w:name="_Toc125566571"/>
      <w:r w:rsidRPr="006159F0">
        <w:rPr>
          <w:rFonts w:ascii="Arial" w:hAnsi="Arial" w:cs="Arial"/>
          <w:b/>
          <w:bCs/>
          <w:color w:val="16988A"/>
          <w:sz w:val="36"/>
          <w:szCs w:val="36"/>
        </w:rPr>
        <w:lastRenderedPageBreak/>
        <w:t xml:space="preserve">Information </w:t>
      </w:r>
      <w:r w:rsidR="00D37601">
        <w:rPr>
          <w:rFonts w:ascii="Arial" w:hAnsi="Arial" w:cs="Arial"/>
          <w:b/>
          <w:bCs/>
          <w:color w:val="16988A"/>
          <w:sz w:val="36"/>
          <w:szCs w:val="36"/>
        </w:rPr>
        <w:t>a</w:t>
      </w:r>
      <w:r w:rsidR="00D37601" w:rsidRPr="006159F0">
        <w:rPr>
          <w:rFonts w:ascii="Arial" w:hAnsi="Arial" w:cs="Arial"/>
          <w:b/>
          <w:bCs/>
          <w:color w:val="16988A"/>
          <w:sz w:val="36"/>
          <w:szCs w:val="36"/>
        </w:rPr>
        <w:t>vailability</w:t>
      </w:r>
      <w:bookmarkEnd w:id="166"/>
      <w:bookmarkEnd w:id="167"/>
      <w:bookmarkEnd w:id="168"/>
      <w:bookmarkEnd w:id="169"/>
      <w:bookmarkEnd w:id="170"/>
      <w:bookmarkEnd w:id="171"/>
      <w:bookmarkEnd w:id="172"/>
      <w:bookmarkEnd w:id="173"/>
    </w:p>
    <w:p w14:paraId="7DA5E4DF" w14:textId="3EC43022" w:rsidR="00BD3DD8" w:rsidRDefault="0072142F" w:rsidP="002F7AF5">
      <w:pPr>
        <w:spacing w:line="276" w:lineRule="auto"/>
      </w:pPr>
      <w:r>
        <w:rPr>
          <w:rFonts w:ascii="Arial" w:hAnsi="Arial" w:cs="Arial"/>
          <w:iCs/>
          <w:noProof/>
          <w:sz w:val="24"/>
          <w:szCs w:val="24"/>
          <w:lang w:val="en-US"/>
        </w:rPr>
        <w:drawing>
          <wp:anchor distT="0" distB="0" distL="114300" distR="114300" simplePos="0" relativeHeight="251723776" behindDoc="1" locked="0" layoutInCell="1" allowOverlap="1" wp14:anchorId="27610CB2" wp14:editId="16DE2401">
            <wp:simplePos x="0" y="0"/>
            <wp:positionH relativeFrom="column">
              <wp:posOffset>105410</wp:posOffset>
            </wp:positionH>
            <wp:positionV relativeFrom="paragraph">
              <wp:posOffset>122555</wp:posOffset>
            </wp:positionV>
            <wp:extent cx="984250" cy="984250"/>
            <wp:effectExtent l="0" t="0" r="6350" b="6350"/>
            <wp:wrapTight wrapText="bothSides">
              <wp:wrapPolygon edited="0">
                <wp:start x="8640" y="0"/>
                <wp:lineTo x="6968" y="836"/>
                <wp:lineTo x="1672" y="4181"/>
                <wp:lineTo x="1115" y="6410"/>
                <wp:lineTo x="0" y="9476"/>
                <wp:lineTo x="0" y="21461"/>
                <wp:lineTo x="12821" y="21461"/>
                <wp:lineTo x="13935" y="20903"/>
                <wp:lineTo x="18116" y="18395"/>
                <wp:lineTo x="20903" y="13935"/>
                <wp:lineTo x="21461" y="9476"/>
                <wp:lineTo x="20346" y="6410"/>
                <wp:lineTo x="19788" y="4181"/>
                <wp:lineTo x="14493" y="836"/>
                <wp:lineTo x="12821" y="0"/>
                <wp:lineTo x="864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email">
                      <a:extLst>
                        <a:ext uri="{28A0092B-C50C-407E-A947-70E740481C1C}">
                          <a14:useLocalDpi xmlns:a14="http://schemas.microsoft.com/office/drawing/2010/main"/>
                        </a:ext>
                      </a:extLst>
                    </a:blip>
                    <a:stretch>
                      <a:fillRect/>
                    </a:stretch>
                  </pic:blipFill>
                  <pic:spPr>
                    <a:xfrm>
                      <a:off x="0" y="0"/>
                      <a:ext cx="984250" cy="984250"/>
                    </a:xfrm>
                    <a:prstGeom prst="rect">
                      <a:avLst/>
                    </a:prstGeom>
                  </pic:spPr>
                </pic:pic>
              </a:graphicData>
            </a:graphic>
            <wp14:sizeRelH relativeFrom="page">
              <wp14:pctWidth>0</wp14:pctWidth>
            </wp14:sizeRelH>
            <wp14:sizeRelV relativeFrom="page">
              <wp14:pctHeight>0</wp14:pctHeight>
            </wp14:sizeRelV>
          </wp:anchor>
        </w:drawing>
      </w:r>
    </w:p>
    <w:p w14:paraId="524A482D" w14:textId="44A15539" w:rsidR="00BD3DD8" w:rsidRPr="0072142F" w:rsidRDefault="0072142F" w:rsidP="002F7AF5">
      <w:pPr>
        <w:spacing w:after="160" w:line="276" w:lineRule="auto"/>
        <w:contextualSpacing/>
        <w:jc w:val="both"/>
        <w:rPr>
          <w:rFonts w:ascii="Arial" w:hAnsi="Arial" w:cs="Arial"/>
          <w:sz w:val="24"/>
          <w:szCs w:val="24"/>
          <w:lang w:val="en-ZA"/>
        </w:rPr>
      </w:pPr>
      <w:r>
        <w:rPr>
          <w:rFonts w:ascii="Arial" w:hAnsi="Arial" w:cs="Arial"/>
          <w:iCs/>
          <w:sz w:val="24"/>
          <w:szCs w:val="24"/>
        </w:rPr>
        <w:t xml:space="preserve"> </w:t>
      </w:r>
      <w:hyperlink r:id="rId29" w:history="1">
        <w:r w:rsidR="00BD3DD8" w:rsidRPr="0072142F">
          <w:rPr>
            <w:rStyle w:val="Hyperlink"/>
            <w:rFonts w:ascii="Arial" w:hAnsi="Arial" w:cs="Arial"/>
            <w:iCs/>
            <w:sz w:val="24"/>
            <w:szCs w:val="24"/>
          </w:rPr>
          <w:t>GIFT’s High-level transparency principle 1</w:t>
        </w:r>
      </w:hyperlink>
      <w:r w:rsidR="00BD3DD8" w:rsidRPr="0072142F">
        <w:rPr>
          <w:rFonts w:ascii="Arial" w:hAnsi="Arial" w:cs="Arial"/>
          <w:iCs/>
          <w:sz w:val="24"/>
          <w:szCs w:val="24"/>
        </w:rPr>
        <w:t xml:space="preserve"> </w:t>
      </w:r>
      <w:r w:rsidR="00BD3DD8" w:rsidRPr="0072142F">
        <w:rPr>
          <w:rFonts w:ascii="Arial" w:hAnsi="Arial" w:cs="Arial"/>
          <w:iCs/>
          <w:sz w:val="24"/>
          <w:szCs w:val="24"/>
          <w:lang w:val="en-US"/>
        </w:rPr>
        <w:t>sets the foundation for the definition of fiscal transparency by stating that</w:t>
      </w:r>
      <w:proofErr w:type="gramStart"/>
      <w:r w:rsidR="00BD3DD8" w:rsidRPr="0072142F">
        <w:rPr>
          <w:rFonts w:ascii="Arial" w:hAnsi="Arial" w:cs="Arial"/>
          <w:iCs/>
          <w:sz w:val="24"/>
          <w:szCs w:val="24"/>
          <w:lang w:val="en-US"/>
        </w:rPr>
        <w:t>:  “</w:t>
      </w:r>
      <w:proofErr w:type="gramEnd"/>
      <w:r w:rsidR="00BD3DD8" w:rsidRPr="0072142F">
        <w:rPr>
          <w:rFonts w:ascii="Arial" w:hAnsi="Arial" w:cs="Arial"/>
          <w:i/>
          <w:iCs/>
          <w:sz w:val="24"/>
          <w:szCs w:val="24"/>
        </w:rPr>
        <w:t>Everyone has the right to seek, receive and impart information on fiscal policies</w:t>
      </w:r>
      <w:r w:rsidR="00BD3DD8" w:rsidRPr="0072142F">
        <w:rPr>
          <w:rFonts w:ascii="Arial" w:hAnsi="Arial" w:cs="Arial"/>
          <w:iCs/>
          <w:sz w:val="24"/>
          <w:szCs w:val="24"/>
        </w:rPr>
        <w:t>.” No-one should be</w:t>
      </w:r>
      <w:r w:rsidR="00BD3DD8" w:rsidRPr="0072142F">
        <w:rPr>
          <w:rFonts w:ascii="Arial" w:hAnsi="Arial" w:cs="Arial"/>
          <w:sz w:val="24"/>
          <w:szCs w:val="24"/>
          <w:lang w:val="en-US"/>
        </w:rPr>
        <w:t xml:space="preserve"> excluded on any basis, for</w:t>
      </w:r>
      <w:r>
        <w:rPr>
          <w:rFonts w:ascii="Arial" w:hAnsi="Arial" w:cs="Arial"/>
          <w:sz w:val="24"/>
          <w:szCs w:val="24"/>
          <w:lang w:val="en-US"/>
        </w:rPr>
        <w:t xml:space="preserve"> </w:t>
      </w:r>
      <w:r w:rsidR="00BD3DD8" w:rsidRPr="0072142F">
        <w:rPr>
          <w:rFonts w:ascii="Arial" w:hAnsi="Arial" w:cs="Arial"/>
          <w:sz w:val="24"/>
          <w:szCs w:val="24"/>
          <w:lang w:val="en-US"/>
        </w:rPr>
        <w:t xml:space="preserve">example </w:t>
      </w:r>
      <w:r w:rsidR="00BD3DD8" w:rsidRPr="0072142F">
        <w:rPr>
          <w:rFonts w:ascii="Arial" w:hAnsi="Arial" w:cs="Arial"/>
          <w:sz w:val="24"/>
          <w:szCs w:val="24"/>
          <w:lang w:val="en-ZA"/>
        </w:rPr>
        <w:t xml:space="preserve">it is not relevant if people are citizens of a particular country or not. </w:t>
      </w:r>
    </w:p>
    <w:p w14:paraId="356A7CCC" w14:textId="77777777" w:rsidR="0072142F" w:rsidRPr="0072142F" w:rsidRDefault="0072142F" w:rsidP="002F7AF5">
      <w:pPr>
        <w:spacing w:after="160" w:line="276" w:lineRule="auto"/>
        <w:jc w:val="both"/>
        <w:rPr>
          <w:rFonts w:ascii="Arial" w:hAnsi="Arial" w:cs="Arial"/>
          <w:sz w:val="24"/>
          <w:szCs w:val="24"/>
          <w:lang w:val="en-US"/>
        </w:rPr>
      </w:pPr>
    </w:p>
    <w:p w14:paraId="07170DC6" w14:textId="082CB00C" w:rsidR="00BD3DD8" w:rsidRPr="0072142F" w:rsidRDefault="00BD3DD8" w:rsidP="002F7AF5">
      <w:pPr>
        <w:spacing w:after="160" w:line="276" w:lineRule="auto"/>
        <w:jc w:val="both"/>
        <w:rPr>
          <w:rFonts w:ascii="Arial" w:hAnsi="Arial" w:cs="Arial"/>
          <w:sz w:val="24"/>
          <w:szCs w:val="24"/>
          <w:lang w:val="en-US"/>
        </w:rPr>
      </w:pPr>
      <w:r w:rsidRPr="0072142F">
        <w:rPr>
          <w:rFonts w:ascii="Arial" w:hAnsi="Arial" w:cs="Arial"/>
          <w:sz w:val="24"/>
          <w:szCs w:val="24"/>
          <w:lang w:val="en-US"/>
        </w:rPr>
        <w:t xml:space="preserve">In order to fulfil this requirement of making fiscal information available to the public, governments naturally need to be able to document fiscal policies, have record keeping systems in place, as well as the ability and will to publish the information emanating from these systems. </w:t>
      </w:r>
    </w:p>
    <w:p w14:paraId="1A782286" w14:textId="6D5FEDAB" w:rsidR="00BD3DD8" w:rsidRDefault="00BD3DD8" w:rsidP="002F7AF5">
      <w:pPr>
        <w:spacing w:after="160" w:line="276" w:lineRule="auto"/>
        <w:jc w:val="both"/>
        <w:rPr>
          <w:rFonts w:ascii="Arial" w:hAnsi="Arial" w:cs="Arial"/>
          <w:sz w:val="24"/>
          <w:szCs w:val="24"/>
          <w:lang w:val="en-US"/>
        </w:rPr>
      </w:pPr>
      <w:r w:rsidRPr="0072142F">
        <w:rPr>
          <w:rFonts w:ascii="Arial" w:hAnsi="Arial" w:cs="Arial"/>
          <w:sz w:val="24"/>
          <w:szCs w:val="24"/>
          <w:lang w:val="en-US"/>
        </w:rPr>
        <w:t xml:space="preserve">Making information available, is however not enough, it needs to meet quality considerations to be accessible and usable. </w:t>
      </w:r>
    </w:p>
    <w:p w14:paraId="142DB475" w14:textId="77777777" w:rsidR="002F7AF5" w:rsidRPr="0072142F" w:rsidRDefault="002F7AF5" w:rsidP="002F7AF5">
      <w:pPr>
        <w:spacing w:after="160" w:line="276" w:lineRule="auto"/>
        <w:jc w:val="both"/>
        <w:rPr>
          <w:rFonts w:ascii="Arial" w:hAnsi="Arial" w:cs="Arial"/>
          <w:sz w:val="24"/>
          <w:szCs w:val="24"/>
          <w:lang w:val="en-US"/>
        </w:rPr>
      </w:pPr>
    </w:p>
    <w:p w14:paraId="2F37251B" w14:textId="20313704" w:rsidR="00D4002C" w:rsidRDefault="00D4002C" w:rsidP="002F7AF5">
      <w:pPr>
        <w:pStyle w:val="Heading2"/>
        <w:numPr>
          <w:ilvl w:val="1"/>
          <w:numId w:val="3"/>
        </w:numPr>
        <w:spacing w:line="276" w:lineRule="auto"/>
        <w:rPr>
          <w:rFonts w:ascii="Arial" w:hAnsi="Arial" w:cs="Arial"/>
          <w:b/>
          <w:bCs/>
          <w:color w:val="16988A"/>
          <w:sz w:val="36"/>
          <w:szCs w:val="36"/>
        </w:rPr>
      </w:pPr>
      <w:bookmarkStart w:id="174" w:name="_Toc115369974"/>
      <w:bookmarkStart w:id="175" w:name="_Toc115729049"/>
      <w:bookmarkStart w:id="176" w:name="_Toc115877696"/>
      <w:bookmarkStart w:id="177" w:name="_Toc116056980"/>
      <w:bookmarkStart w:id="178" w:name="_Toc119794417"/>
      <w:bookmarkStart w:id="179" w:name="_Toc123204398"/>
      <w:bookmarkStart w:id="180" w:name="_Toc123216484"/>
      <w:bookmarkStart w:id="181" w:name="_Toc123217324"/>
      <w:bookmarkStart w:id="182" w:name="_Toc123913297"/>
      <w:bookmarkStart w:id="183" w:name="_Toc123913953"/>
      <w:bookmarkStart w:id="184" w:name="_Toc125495781"/>
      <w:bookmarkStart w:id="185" w:name="_Toc125566572"/>
      <w:r w:rsidRPr="0072142F">
        <w:rPr>
          <w:rFonts w:ascii="Arial" w:hAnsi="Arial" w:cs="Arial"/>
          <w:b/>
          <w:bCs/>
          <w:color w:val="16988A"/>
          <w:sz w:val="36"/>
          <w:szCs w:val="36"/>
        </w:rPr>
        <w:t xml:space="preserve">Quality of </w:t>
      </w:r>
      <w:bookmarkEnd w:id="174"/>
      <w:bookmarkEnd w:id="175"/>
      <w:bookmarkEnd w:id="176"/>
      <w:bookmarkEnd w:id="177"/>
      <w:r w:rsidR="00D37601">
        <w:rPr>
          <w:rFonts w:ascii="Arial" w:hAnsi="Arial" w:cs="Arial"/>
          <w:b/>
          <w:bCs/>
          <w:color w:val="16988A"/>
          <w:sz w:val="36"/>
          <w:szCs w:val="36"/>
        </w:rPr>
        <w:t>i</w:t>
      </w:r>
      <w:r w:rsidR="00D37601" w:rsidRPr="0072142F">
        <w:rPr>
          <w:rFonts w:ascii="Arial" w:hAnsi="Arial" w:cs="Arial"/>
          <w:b/>
          <w:bCs/>
          <w:color w:val="16988A"/>
          <w:sz w:val="36"/>
          <w:szCs w:val="36"/>
        </w:rPr>
        <w:t>nformation</w:t>
      </w:r>
      <w:bookmarkEnd w:id="178"/>
      <w:bookmarkEnd w:id="179"/>
      <w:bookmarkEnd w:id="180"/>
      <w:bookmarkEnd w:id="181"/>
      <w:bookmarkEnd w:id="182"/>
      <w:bookmarkEnd w:id="183"/>
      <w:bookmarkEnd w:id="184"/>
      <w:bookmarkEnd w:id="185"/>
    </w:p>
    <w:p w14:paraId="1AE3A198" w14:textId="77777777" w:rsidR="0072142F" w:rsidRPr="0072142F" w:rsidRDefault="0072142F" w:rsidP="002F7AF5">
      <w:pPr>
        <w:spacing w:line="276" w:lineRule="auto"/>
      </w:pPr>
    </w:p>
    <w:p w14:paraId="488F1FFF" w14:textId="4A339D3D" w:rsidR="009C051F" w:rsidRDefault="00CB69AB" w:rsidP="002F7AF5">
      <w:pPr>
        <w:spacing w:after="160" w:line="276" w:lineRule="auto"/>
        <w:jc w:val="both"/>
        <w:rPr>
          <w:rFonts w:ascii="Arial" w:hAnsi="Arial" w:cs="Arial"/>
          <w:bCs/>
          <w:sz w:val="24"/>
          <w:szCs w:val="24"/>
          <w:lang w:val="en-ZA"/>
        </w:rPr>
      </w:pPr>
      <w:r>
        <w:rPr>
          <w:rFonts w:ascii="Arial" w:hAnsi="Arial" w:cs="Arial"/>
          <w:bCs/>
          <w:noProof/>
          <w:sz w:val="24"/>
          <w:szCs w:val="24"/>
          <w:lang w:val="en-US"/>
        </w:rPr>
        <mc:AlternateContent>
          <mc:Choice Requires="wps">
            <w:drawing>
              <wp:anchor distT="0" distB="0" distL="114300" distR="114300" simplePos="0" relativeHeight="251724800" behindDoc="0" locked="0" layoutInCell="1" allowOverlap="1" wp14:anchorId="57211272" wp14:editId="358C63EA">
                <wp:simplePos x="0" y="0"/>
                <wp:positionH relativeFrom="column">
                  <wp:posOffset>7034</wp:posOffset>
                </wp:positionH>
                <wp:positionV relativeFrom="paragraph">
                  <wp:posOffset>683993</wp:posOffset>
                </wp:positionV>
                <wp:extent cx="6668086" cy="351692"/>
                <wp:effectExtent l="0" t="0" r="0" b="4445"/>
                <wp:wrapNone/>
                <wp:docPr id="53" name="Rounded Rectangle 53"/>
                <wp:cNvGraphicFramePr/>
                <a:graphic xmlns:a="http://schemas.openxmlformats.org/drawingml/2006/main">
                  <a:graphicData uri="http://schemas.microsoft.com/office/word/2010/wordprocessingShape">
                    <wps:wsp>
                      <wps:cNvSpPr/>
                      <wps:spPr>
                        <a:xfrm>
                          <a:off x="0" y="0"/>
                          <a:ext cx="6668086" cy="351692"/>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4A59D764" id="Rounded Rectangle 53" o:spid="_x0000_s1026" style="position:absolute;margin-left:.55pt;margin-top:53.85pt;width:525.05pt;height:27.7pt;z-index:251724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" fillcolor="#16988a" stroked="f" strokeweight="1pt">
                <v:stroke joinstyle="miter"/>
              </v:roundrect>
            </w:pict>
          </mc:Fallback>
        </mc:AlternateContent>
      </w:r>
      <w:r w:rsidR="00C75BCA" w:rsidRPr="0072142F">
        <w:rPr>
          <w:rFonts w:ascii="Arial" w:hAnsi="Arial" w:cs="Arial"/>
          <w:bCs/>
          <w:sz w:val="24"/>
          <w:szCs w:val="24"/>
          <w:lang w:val="en-ZA"/>
        </w:rPr>
        <w:t>Quality of information considerations referred to in the definition of fiscal transparency are critical for available information to be accessible and usable by different audiences. These considerations include that information is</w:t>
      </w:r>
      <w:r w:rsidR="00AD4F07" w:rsidRPr="0072142F">
        <w:rPr>
          <w:rFonts w:ascii="Arial" w:hAnsi="Arial" w:cs="Arial"/>
          <w:bCs/>
          <w:sz w:val="24"/>
          <w:szCs w:val="24"/>
          <w:lang w:val="en-ZA"/>
        </w:rPr>
        <w:t>:</w:t>
      </w:r>
    </w:p>
    <w:p w14:paraId="30C16581" w14:textId="392402CE" w:rsidR="00CB69AB" w:rsidRDefault="00CB69AB" w:rsidP="00CB69AB">
      <w:pPr>
        <w:spacing w:line="276" w:lineRule="auto"/>
        <w:jc w:val="both"/>
        <w:rPr>
          <w:rFonts w:ascii="Arial" w:hAnsi="Arial" w:cs="Arial"/>
          <w:bCs/>
          <w:sz w:val="24"/>
          <w:szCs w:val="24"/>
          <w:lang w:val="en-ZA"/>
        </w:rPr>
      </w:pPr>
      <w:r>
        <w:rPr>
          <w:rFonts w:ascii="Arial" w:hAnsi="Arial" w:cs="Arial"/>
          <w:bCs/>
          <w:noProof/>
          <w:sz w:val="24"/>
          <w:szCs w:val="24"/>
          <w:lang w:val="en-US"/>
        </w:rPr>
        <mc:AlternateContent>
          <mc:Choice Requires="wps">
            <w:drawing>
              <wp:anchor distT="0" distB="0" distL="114300" distR="114300" simplePos="0" relativeHeight="251725824" behindDoc="0" locked="0" layoutInCell="1" allowOverlap="1" wp14:anchorId="030BB97B" wp14:editId="15E899DB">
                <wp:simplePos x="0" y="0"/>
                <wp:positionH relativeFrom="margin">
                  <wp:posOffset>685165</wp:posOffset>
                </wp:positionH>
                <wp:positionV relativeFrom="paragraph">
                  <wp:posOffset>19587</wp:posOffset>
                </wp:positionV>
                <wp:extent cx="5274945" cy="2667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5274945" cy="266700"/>
                        </a:xfrm>
                        <a:prstGeom prst="rect">
                          <a:avLst/>
                        </a:prstGeom>
                        <a:noFill/>
                        <a:ln w="6350">
                          <a:noFill/>
                        </a:ln>
                      </wps:spPr>
                      <wps:txbx>
                        <w:txbxContent>
                          <w:p w14:paraId="288DA22E" w14:textId="67B8FF47" w:rsidR="00D15FD8" w:rsidRPr="00CB69AB" w:rsidRDefault="00D15FD8" w:rsidP="00CB69AB">
                            <w:pPr>
                              <w:jc w:val="center"/>
                              <w:rPr>
                                <w:rFonts w:ascii="Arial" w:hAnsi="Arial" w:cs="Arial"/>
                                <w:i/>
                                <w:iCs/>
                                <w:color w:val="FFFFFF" w:themeColor="background1"/>
                                <w:sz w:val="24"/>
                                <w:szCs w:val="24"/>
                                <w:lang w:val="en-US"/>
                              </w:rPr>
                            </w:pPr>
                            <w:r w:rsidRPr="00CB69AB">
                              <w:rPr>
                                <w:rFonts w:ascii="Arial" w:hAnsi="Arial" w:cs="Arial"/>
                                <w:i/>
                                <w:iCs/>
                                <w:color w:val="FFFFFF" w:themeColor="background1"/>
                                <w:sz w:val="24"/>
                                <w:szCs w:val="24"/>
                                <w:lang w:val="en-US"/>
                              </w:rPr>
                              <w:t>Reliable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BB97B" id="Text Box 54" o:spid="_x0000_s1035" type="#_x0000_t202" style="position:absolute;left:0;text-align:left;margin-left:53.95pt;margin-top:1.55pt;width:415.35pt;height:21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" filled="f" stroked="f" strokeweight=".5pt">
                <v:textbox>
                  <w:txbxContent>
                    <w:p w14:paraId="288DA22E" w14:textId="67B8FF47" w:rsidR="00D15FD8" w:rsidRPr="00CB69AB" w:rsidRDefault="00D15FD8" w:rsidP="00CB69AB">
                      <w:pPr>
                        <w:jc w:val="center"/>
                        <w:rPr>
                          <w:rFonts w:ascii="Arial" w:hAnsi="Arial" w:cs="Arial"/>
                          <w:i/>
                          <w:iCs/>
                          <w:color w:val="FFFFFF" w:themeColor="background1"/>
                          <w:sz w:val="24"/>
                          <w:szCs w:val="24"/>
                          <w:lang w:val="en-US"/>
                        </w:rPr>
                      </w:pPr>
                      <w:r w:rsidRPr="00CB69AB">
                        <w:rPr>
                          <w:rFonts w:ascii="Arial" w:hAnsi="Arial" w:cs="Arial"/>
                          <w:i/>
                          <w:iCs/>
                          <w:color w:val="FFFFFF" w:themeColor="background1"/>
                          <w:sz w:val="24"/>
                          <w:szCs w:val="24"/>
                          <w:lang w:val="en-US"/>
                        </w:rPr>
                        <w:t>Reliable</w:t>
                      </w:r>
                    </w:p>
                  </w:txbxContent>
                </v:textbox>
                <w10:wrap anchorx="margin"/>
              </v:shape>
            </w:pict>
          </mc:Fallback>
        </mc:AlternateContent>
      </w:r>
    </w:p>
    <w:p w14:paraId="28982E6B" w14:textId="77777777" w:rsidR="00CB69AB" w:rsidRPr="00CB69AB" w:rsidRDefault="00CB69AB" w:rsidP="00CB69AB">
      <w:pPr>
        <w:spacing w:line="276" w:lineRule="auto"/>
        <w:jc w:val="both"/>
        <w:rPr>
          <w:rFonts w:ascii="Arial" w:hAnsi="Arial" w:cs="Arial"/>
          <w:sz w:val="24"/>
          <w:szCs w:val="24"/>
        </w:rPr>
      </w:pPr>
    </w:p>
    <w:p w14:paraId="192F2A39" w14:textId="6EE6A351" w:rsidR="000D01C1" w:rsidRPr="00CB69AB" w:rsidRDefault="00AD4F07">
      <w:pPr>
        <w:pStyle w:val="ListParagraph"/>
        <w:numPr>
          <w:ilvl w:val="0"/>
          <w:numId w:val="1"/>
        </w:numPr>
        <w:spacing w:line="276" w:lineRule="auto"/>
        <w:jc w:val="both"/>
        <w:rPr>
          <w:rFonts w:ascii="Arial" w:hAnsi="Arial" w:cs="Arial"/>
          <w:sz w:val="24"/>
          <w:szCs w:val="24"/>
        </w:rPr>
      </w:pPr>
      <w:r w:rsidRPr="0072142F">
        <w:rPr>
          <w:rFonts w:ascii="Arial" w:hAnsi="Arial" w:cs="Arial"/>
          <w:sz w:val="24"/>
          <w:szCs w:val="24"/>
        </w:rPr>
        <w:t xml:space="preserve">Extent to which reports are an accurate representation of government’s fiscal operations and finances. Reliable information requires that controls are in place </w:t>
      </w:r>
      <w:r w:rsidR="00352EA7" w:rsidRPr="0072142F">
        <w:rPr>
          <w:rFonts w:ascii="Arial" w:hAnsi="Arial" w:cs="Arial"/>
          <w:sz w:val="24"/>
          <w:szCs w:val="24"/>
        </w:rPr>
        <w:t>for</w:t>
      </w:r>
      <w:r w:rsidRPr="0072142F">
        <w:rPr>
          <w:rFonts w:ascii="Arial" w:hAnsi="Arial" w:cs="Arial"/>
          <w:sz w:val="24"/>
          <w:szCs w:val="24"/>
        </w:rPr>
        <w:t xml:space="preserve"> the generation and publication of fiscal information, including through the adoption of internationally recognized </w:t>
      </w:r>
      <w:r w:rsidR="00760EFC" w:rsidRPr="0072142F">
        <w:rPr>
          <w:rFonts w:ascii="Arial" w:hAnsi="Arial" w:cs="Arial"/>
          <w:sz w:val="24"/>
          <w:szCs w:val="24"/>
        </w:rPr>
        <w:t xml:space="preserve">reporting, </w:t>
      </w:r>
      <w:r w:rsidRPr="0072142F">
        <w:rPr>
          <w:rFonts w:ascii="Arial" w:hAnsi="Arial" w:cs="Arial"/>
          <w:sz w:val="24"/>
          <w:szCs w:val="24"/>
        </w:rPr>
        <w:t xml:space="preserve">accounting </w:t>
      </w:r>
      <w:r w:rsidR="00760EFC" w:rsidRPr="0072142F">
        <w:rPr>
          <w:rFonts w:ascii="Arial" w:hAnsi="Arial" w:cs="Arial"/>
          <w:sz w:val="24"/>
          <w:szCs w:val="24"/>
        </w:rPr>
        <w:t xml:space="preserve">and auditing </w:t>
      </w:r>
      <w:r w:rsidRPr="0072142F">
        <w:rPr>
          <w:rFonts w:ascii="Arial" w:hAnsi="Arial" w:cs="Arial"/>
          <w:sz w:val="24"/>
          <w:szCs w:val="24"/>
        </w:rPr>
        <w:t>standards</w:t>
      </w:r>
      <w:r w:rsidR="00352EA7" w:rsidRPr="0072142F">
        <w:rPr>
          <w:rFonts w:ascii="Arial" w:hAnsi="Arial" w:cs="Arial"/>
          <w:sz w:val="24"/>
          <w:szCs w:val="24"/>
        </w:rPr>
        <w:t>,</w:t>
      </w:r>
      <w:r w:rsidRPr="0072142F">
        <w:rPr>
          <w:rFonts w:ascii="Arial" w:hAnsi="Arial" w:cs="Arial"/>
          <w:sz w:val="24"/>
          <w:szCs w:val="24"/>
        </w:rPr>
        <w:t xml:space="preserve"> that certify information quality.</w:t>
      </w:r>
      <w:r w:rsidRPr="0072142F">
        <w:rPr>
          <w:rFonts w:ascii="Arial" w:eastAsiaTheme="minorEastAsia" w:hAnsi="Arial" w:cs="Arial"/>
          <w:sz w:val="24"/>
          <w:szCs w:val="24"/>
          <w:lang w:val="en-US" w:eastAsia="zh-CN"/>
        </w:rPr>
        <w:t xml:space="preserve"> </w:t>
      </w:r>
    </w:p>
    <w:p w14:paraId="21144F2B" w14:textId="3ADC8507" w:rsidR="00CB69AB" w:rsidRPr="00CB69AB" w:rsidRDefault="00CB69AB" w:rsidP="00CB69AB">
      <w:pPr>
        <w:spacing w:line="276" w:lineRule="auto"/>
        <w:jc w:val="both"/>
        <w:rPr>
          <w:rFonts w:ascii="Arial" w:hAnsi="Arial" w:cs="Arial"/>
          <w:sz w:val="24"/>
          <w:szCs w:val="24"/>
        </w:rPr>
      </w:pPr>
      <w:r>
        <w:rPr>
          <w:rFonts w:ascii="Arial" w:hAnsi="Arial" w:cs="Arial"/>
          <w:bCs/>
          <w:noProof/>
          <w:sz w:val="24"/>
          <w:szCs w:val="24"/>
          <w:lang w:val="en-US"/>
        </w:rPr>
        <mc:AlternateContent>
          <mc:Choice Requires="wps">
            <w:drawing>
              <wp:anchor distT="0" distB="0" distL="114300" distR="114300" simplePos="0" relativeHeight="251727872" behindDoc="0" locked="0" layoutInCell="1" allowOverlap="1" wp14:anchorId="63E5C425" wp14:editId="72E61604">
                <wp:simplePos x="0" y="0"/>
                <wp:positionH relativeFrom="column">
                  <wp:posOffset>0</wp:posOffset>
                </wp:positionH>
                <wp:positionV relativeFrom="paragraph">
                  <wp:posOffset>81915</wp:posOffset>
                </wp:positionV>
                <wp:extent cx="6667500" cy="351155"/>
                <wp:effectExtent l="0" t="0" r="0" b="4445"/>
                <wp:wrapNone/>
                <wp:docPr id="55" name="Rounded Rectangle 55"/>
                <wp:cNvGraphicFramePr/>
                <a:graphic xmlns:a="http://schemas.openxmlformats.org/drawingml/2006/main">
                  <a:graphicData uri="http://schemas.microsoft.com/office/word/2010/wordprocessingShape">
                    <wps:wsp>
                      <wps:cNvSpPr/>
                      <wps:spPr>
                        <a:xfrm>
                          <a:off x="0" y="0"/>
                          <a:ext cx="6667500" cy="351155"/>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58E97BF7" id="Rounded Rectangle 55" o:spid="_x0000_s1026" style="position:absolute;margin-left:0;margin-top:6.45pt;width:525pt;height:27.6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" fillcolor="#16988a" stroked="f" strokeweight="1pt">
                <v:stroke joinstyle="miter"/>
              </v:roundrect>
            </w:pict>
          </mc:Fallback>
        </mc:AlternateContent>
      </w:r>
      <w:r>
        <w:rPr>
          <w:rFonts w:ascii="Arial" w:hAnsi="Arial" w:cs="Arial"/>
          <w:bCs/>
          <w:noProof/>
          <w:sz w:val="24"/>
          <w:szCs w:val="24"/>
          <w:lang w:val="en-US"/>
        </w:rPr>
        <mc:AlternateContent>
          <mc:Choice Requires="wps">
            <w:drawing>
              <wp:anchor distT="0" distB="0" distL="114300" distR="114300" simplePos="0" relativeHeight="251728896" behindDoc="0" locked="0" layoutInCell="1" allowOverlap="1" wp14:anchorId="7C6B87F5" wp14:editId="476C63B9">
                <wp:simplePos x="0" y="0"/>
                <wp:positionH relativeFrom="margin">
                  <wp:posOffset>678180</wp:posOffset>
                </wp:positionH>
                <wp:positionV relativeFrom="paragraph">
                  <wp:posOffset>123727</wp:posOffset>
                </wp:positionV>
                <wp:extent cx="5274945" cy="2667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274945" cy="266700"/>
                        </a:xfrm>
                        <a:prstGeom prst="rect">
                          <a:avLst/>
                        </a:prstGeom>
                        <a:noFill/>
                        <a:ln w="6350">
                          <a:noFill/>
                        </a:ln>
                      </wps:spPr>
                      <wps:txbx>
                        <w:txbxContent>
                          <w:p w14:paraId="537D6026" w14:textId="1314E2C0"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Comprehensive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B87F5" id="Text Box 56" o:spid="_x0000_s1036" type="#_x0000_t202" style="position:absolute;left:0;text-align:left;margin-left:53.4pt;margin-top:9.75pt;width:415.35pt;height:21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" filled="f" stroked="f" strokeweight=".5pt">
                <v:textbox>
                  <w:txbxContent>
                    <w:p w14:paraId="537D6026" w14:textId="1314E2C0"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Comprehensive</w:t>
                      </w:r>
                    </w:p>
                  </w:txbxContent>
                </v:textbox>
                <w10:wrap anchorx="margin"/>
              </v:shape>
            </w:pict>
          </mc:Fallback>
        </mc:AlternateContent>
      </w:r>
    </w:p>
    <w:p w14:paraId="4B269A97" w14:textId="77777777" w:rsidR="00CB69AB" w:rsidRPr="00CB69AB" w:rsidRDefault="00CB69AB" w:rsidP="00CB69AB">
      <w:pPr>
        <w:pStyle w:val="ListParagraph"/>
        <w:spacing w:before="120" w:line="276" w:lineRule="auto"/>
        <w:jc w:val="both"/>
        <w:rPr>
          <w:rFonts w:ascii="Arial" w:hAnsi="Arial" w:cs="Arial"/>
          <w:sz w:val="24"/>
          <w:szCs w:val="24"/>
        </w:rPr>
      </w:pPr>
    </w:p>
    <w:p w14:paraId="6C35DA0F" w14:textId="6BD9E1A9" w:rsidR="00CB69AB" w:rsidRPr="00CB69AB" w:rsidRDefault="00760EFC">
      <w:pPr>
        <w:pStyle w:val="ListParagraph"/>
        <w:numPr>
          <w:ilvl w:val="0"/>
          <w:numId w:val="1"/>
        </w:numPr>
        <w:spacing w:before="120" w:line="276" w:lineRule="auto"/>
        <w:jc w:val="both"/>
        <w:rPr>
          <w:rFonts w:ascii="Arial" w:hAnsi="Arial" w:cs="Arial"/>
          <w:sz w:val="24"/>
          <w:szCs w:val="24"/>
        </w:rPr>
      </w:pPr>
      <w:r w:rsidRPr="0072142F">
        <w:rPr>
          <w:rFonts w:ascii="Arial" w:hAnsi="Arial" w:cs="Arial"/>
          <w:sz w:val="24"/>
          <w:szCs w:val="24"/>
        </w:rPr>
        <w:t>Published fiscal in</w:t>
      </w:r>
      <w:r w:rsidR="009B180A" w:rsidRPr="0072142F">
        <w:rPr>
          <w:rFonts w:ascii="Arial" w:hAnsi="Arial" w:cs="Arial"/>
          <w:sz w:val="24"/>
          <w:szCs w:val="24"/>
        </w:rPr>
        <w:t>formation should cover the entire public sector to enable observers to assess the government’s financial position</w:t>
      </w:r>
      <w:r w:rsidR="00352EA7" w:rsidRPr="0072142F">
        <w:rPr>
          <w:rFonts w:ascii="Arial" w:hAnsi="Arial" w:cs="Arial"/>
          <w:sz w:val="24"/>
          <w:szCs w:val="24"/>
        </w:rPr>
        <w:t>;</w:t>
      </w:r>
      <w:r w:rsidRPr="0072142F">
        <w:rPr>
          <w:rFonts w:ascii="Arial" w:hAnsi="Arial" w:cs="Arial"/>
          <w:sz w:val="24"/>
          <w:szCs w:val="24"/>
        </w:rPr>
        <w:t xml:space="preserve"> and be provided over time</w:t>
      </w:r>
      <w:r w:rsidR="009B180A" w:rsidRPr="0072142F">
        <w:rPr>
          <w:rFonts w:ascii="Arial" w:hAnsi="Arial" w:cs="Arial"/>
          <w:sz w:val="24"/>
          <w:szCs w:val="24"/>
        </w:rPr>
        <w:t>. </w:t>
      </w:r>
      <w:r w:rsidR="000D01C1" w:rsidRPr="0072142F">
        <w:rPr>
          <w:rFonts w:ascii="Arial" w:hAnsi="Arial" w:cs="Arial"/>
          <w:sz w:val="24"/>
          <w:szCs w:val="24"/>
        </w:rPr>
        <w:t>The public sector</w:t>
      </w:r>
      <w:r w:rsidR="000D01C1" w:rsidRPr="0072142F">
        <w:rPr>
          <w:rFonts w:ascii="Arial" w:hAnsi="Arial" w:cs="Arial"/>
          <w:sz w:val="24"/>
          <w:szCs w:val="24"/>
          <w:vertAlign w:val="superscript"/>
        </w:rPr>
        <w:footnoteReference w:id="2"/>
      </w:r>
      <w:r w:rsidR="000D01C1" w:rsidRPr="0072142F">
        <w:rPr>
          <w:rFonts w:ascii="Arial" w:hAnsi="Arial" w:cs="Arial"/>
          <w:sz w:val="24"/>
          <w:szCs w:val="24"/>
        </w:rPr>
        <w:t xml:space="preserve"> is comprised of a number of government units, each with their own roles and responsibilities. For fiscal transparency, information must be comprehensively provided on each and every one of these units, individually and collectively, such that one can gain a holistic understanding of the workings of the executive branch</w:t>
      </w:r>
      <w:r w:rsidR="00E65B86" w:rsidRPr="0072142F">
        <w:rPr>
          <w:rFonts w:ascii="Arial" w:hAnsi="Arial" w:cs="Arial"/>
          <w:sz w:val="24"/>
          <w:szCs w:val="24"/>
        </w:rPr>
        <w:t xml:space="preserve"> of government</w:t>
      </w:r>
      <w:r w:rsidR="000D01C1" w:rsidRPr="0072142F">
        <w:rPr>
          <w:rFonts w:ascii="Arial" w:hAnsi="Arial" w:cs="Arial"/>
          <w:sz w:val="24"/>
          <w:szCs w:val="24"/>
        </w:rPr>
        <w:t xml:space="preserve">. Some of these units are fully funded from the executive branch’s central budget, some are partially funded, and others have completely separate budgets. Budget transparency relates to the units that are funded from the central budget, referring to the publication of full information across the complete budget cycle, from a pre-budget statement, through to the proposed and approved budgets, in-year and annual fiscal outturn reports, and audit reports. Fiscal transparency includes budget transparency, and in addition, requires that quality information is made available on government units that have separate budgets. This is because units that have </w:t>
      </w:r>
      <w:r w:rsidR="000D01C1" w:rsidRPr="0072142F">
        <w:rPr>
          <w:rFonts w:ascii="Arial" w:hAnsi="Arial" w:cs="Arial"/>
          <w:sz w:val="24"/>
          <w:szCs w:val="24"/>
        </w:rPr>
        <w:lastRenderedPageBreak/>
        <w:t>separate budgets can perform specific tasks for the government at non-market related prices and/or may be subsidized by the government to undertake functions that the government provides guarantees for, among other functions. Fiscal transparency ensures that the fiscal position of the whole of government can be assessed including the fiscal risks that institutions with separate budgets may be posing.</w:t>
      </w:r>
      <w:r w:rsidRPr="0072142F">
        <w:rPr>
          <w:rFonts w:ascii="Arial" w:eastAsiaTheme="minorEastAsia" w:hAnsi="Arial" w:cs="Arial"/>
          <w:sz w:val="24"/>
          <w:szCs w:val="24"/>
          <w:lang w:val="en-US" w:eastAsia="zh-CN"/>
        </w:rPr>
        <w:t xml:space="preserve"> F</w:t>
      </w:r>
      <w:r w:rsidRPr="0072142F">
        <w:rPr>
          <w:rFonts w:ascii="Arial" w:hAnsi="Arial" w:cs="Arial"/>
          <w:sz w:val="24"/>
          <w:szCs w:val="24"/>
          <w:lang w:val="en-US"/>
        </w:rPr>
        <w:t>iscal data should also be provided over time, that is, multi-year information should be published in respect of the past, present and future</w:t>
      </w:r>
      <w:r w:rsidR="00E81F6D" w:rsidRPr="0072142F">
        <w:rPr>
          <w:rFonts w:ascii="Arial" w:hAnsi="Arial" w:cs="Arial"/>
          <w:sz w:val="24"/>
          <w:szCs w:val="24"/>
          <w:lang w:val="en-US"/>
        </w:rPr>
        <w:t xml:space="preserve"> (</w:t>
      </w:r>
      <w:r w:rsidRPr="0072142F">
        <w:rPr>
          <w:rFonts w:ascii="Arial" w:hAnsi="Arial" w:cs="Arial"/>
          <w:sz w:val="24"/>
          <w:szCs w:val="24"/>
          <w:lang w:val="en-US"/>
        </w:rPr>
        <w:t>estimates on the future trajectory of public finances</w:t>
      </w:r>
      <w:r w:rsidR="00E81F6D" w:rsidRPr="0072142F">
        <w:rPr>
          <w:rFonts w:ascii="Arial" w:hAnsi="Arial" w:cs="Arial"/>
          <w:sz w:val="24"/>
          <w:szCs w:val="24"/>
          <w:lang w:val="en-US"/>
        </w:rPr>
        <w:t>)</w:t>
      </w:r>
      <w:r w:rsidRPr="0072142F">
        <w:rPr>
          <w:rFonts w:ascii="Arial" w:hAnsi="Arial" w:cs="Arial"/>
          <w:sz w:val="24"/>
          <w:szCs w:val="24"/>
          <w:lang w:val="en-US"/>
        </w:rPr>
        <w:t xml:space="preserve">. </w:t>
      </w:r>
      <w:r w:rsidRPr="0072142F">
        <w:rPr>
          <w:rFonts w:ascii="Arial" w:hAnsi="Arial" w:cs="Arial"/>
          <w:sz w:val="24"/>
          <w:szCs w:val="24"/>
          <w:lang w:val="en-GB"/>
        </w:rPr>
        <w:t xml:space="preserve">This is because budget decisions made in an annual budget process have consequences for future years; while events anticipated to occur in future years also </w:t>
      </w:r>
      <w:r w:rsidR="00E81F6D" w:rsidRPr="0072142F">
        <w:rPr>
          <w:rFonts w:ascii="Arial" w:hAnsi="Arial" w:cs="Arial"/>
          <w:sz w:val="24"/>
          <w:szCs w:val="24"/>
          <w:lang w:val="en-GB"/>
        </w:rPr>
        <w:t>have bearing on</w:t>
      </w:r>
      <w:r w:rsidRPr="0072142F">
        <w:rPr>
          <w:rFonts w:ascii="Arial" w:hAnsi="Arial" w:cs="Arial"/>
          <w:sz w:val="24"/>
          <w:szCs w:val="24"/>
          <w:lang w:val="en-GB"/>
        </w:rPr>
        <w:t xml:space="preserve"> current budgets.</w:t>
      </w:r>
    </w:p>
    <w:p w14:paraId="13D8C11D" w14:textId="3CDA517A" w:rsidR="00CB69AB" w:rsidRDefault="00CB69AB" w:rsidP="00CB69AB">
      <w:pPr>
        <w:spacing w:before="120" w:line="276" w:lineRule="auto"/>
        <w:jc w:val="both"/>
        <w:rPr>
          <w:rFonts w:ascii="Arial" w:hAnsi="Arial" w:cs="Arial"/>
          <w:sz w:val="24"/>
          <w:szCs w:val="24"/>
        </w:rPr>
      </w:pPr>
      <w:r>
        <w:rPr>
          <w:rFonts w:ascii="Arial" w:hAnsi="Arial" w:cs="Arial"/>
          <w:bCs/>
          <w:noProof/>
          <w:sz w:val="24"/>
          <w:szCs w:val="24"/>
          <w:lang w:val="en-US"/>
        </w:rPr>
        <mc:AlternateContent>
          <mc:Choice Requires="wps">
            <w:drawing>
              <wp:anchor distT="0" distB="0" distL="114300" distR="114300" simplePos="0" relativeHeight="251731968" behindDoc="0" locked="0" layoutInCell="1" allowOverlap="1" wp14:anchorId="50496EFE" wp14:editId="1841F1D5">
                <wp:simplePos x="0" y="0"/>
                <wp:positionH relativeFrom="margin">
                  <wp:posOffset>678873</wp:posOffset>
                </wp:positionH>
                <wp:positionV relativeFrom="paragraph">
                  <wp:posOffset>139815</wp:posOffset>
                </wp:positionV>
                <wp:extent cx="5274945" cy="309592"/>
                <wp:effectExtent l="0" t="0" r="0" b="0"/>
                <wp:wrapNone/>
                <wp:docPr id="58" name="Text Box 58"/>
                <wp:cNvGraphicFramePr/>
                <a:graphic xmlns:a="http://schemas.openxmlformats.org/drawingml/2006/main">
                  <a:graphicData uri="http://schemas.microsoft.com/office/word/2010/wordprocessingShape">
                    <wps:wsp>
                      <wps:cNvSpPr txBox="1"/>
                      <wps:spPr>
                        <a:xfrm>
                          <a:off x="0" y="0"/>
                          <a:ext cx="5274945" cy="309592"/>
                        </a:xfrm>
                        <a:prstGeom prst="rect">
                          <a:avLst/>
                        </a:prstGeom>
                        <a:noFill/>
                        <a:ln w="6350">
                          <a:noFill/>
                        </a:ln>
                      </wps:spPr>
                      <wps:txbx>
                        <w:txbxContent>
                          <w:p w14:paraId="41E20951" w14:textId="0A0F849B"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Timely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96EFE" id="Text Box 58" o:spid="_x0000_s1037" type="#_x0000_t202" style="position:absolute;left:0;text-align:left;margin-left:53.45pt;margin-top:11pt;width:415.35pt;height:24.4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" filled="f" stroked="f" strokeweight=".5pt">
                <v:textbox>
                  <w:txbxContent>
                    <w:p w14:paraId="41E20951" w14:textId="0A0F849B"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Timely</w:t>
                      </w:r>
                    </w:p>
                  </w:txbxContent>
                </v:textbox>
                <w10:wrap anchorx="margin"/>
              </v:shape>
            </w:pict>
          </mc:Fallback>
        </mc:AlternateContent>
      </w:r>
      <w:r>
        <w:rPr>
          <w:rFonts w:ascii="Arial" w:hAnsi="Arial" w:cs="Arial"/>
          <w:bCs/>
          <w:noProof/>
          <w:sz w:val="24"/>
          <w:szCs w:val="24"/>
          <w:lang w:val="en-US"/>
        </w:rPr>
        <mc:AlternateContent>
          <mc:Choice Requires="wps">
            <w:drawing>
              <wp:anchor distT="0" distB="0" distL="114300" distR="114300" simplePos="0" relativeHeight="251730944" behindDoc="0" locked="0" layoutInCell="1" allowOverlap="1" wp14:anchorId="59E8A7B3" wp14:editId="1F39835E">
                <wp:simplePos x="0" y="0"/>
                <wp:positionH relativeFrom="column">
                  <wp:posOffset>0</wp:posOffset>
                </wp:positionH>
                <wp:positionV relativeFrom="paragraph">
                  <wp:posOffset>94713</wp:posOffset>
                </wp:positionV>
                <wp:extent cx="6667500" cy="351155"/>
                <wp:effectExtent l="0" t="0" r="0" b="4445"/>
                <wp:wrapNone/>
                <wp:docPr id="57" name="Rounded Rectangle 57"/>
                <wp:cNvGraphicFramePr/>
                <a:graphic xmlns:a="http://schemas.openxmlformats.org/drawingml/2006/main">
                  <a:graphicData uri="http://schemas.microsoft.com/office/word/2010/wordprocessingShape">
                    <wps:wsp>
                      <wps:cNvSpPr/>
                      <wps:spPr>
                        <a:xfrm>
                          <a:off x="0" y="0"/>
                          <a:ext cx="6667500" cy="351155"/>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4ED1ABF2" id="Rounded Rectangle 57" o:spid="_x0000_s1026" style="position:absolute;margin-left:0;margin-top:7.45pt;width:525pt;height:27.65pt;z-index:251730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" fillcolor="#16988a" stroked="f" strokeweight="1pt">
                <v:stroke joinstyle="miter"/>
              </v:roundrect>
            </w:pict>
          </mc:Fallback>
        </mc:AlternateContent>
      </w:r>
    </w:p>
    <w:p w14:paraId="1E748FB0" w14:textId="77777777" w:rsidR="00CB69AB" w:rsidRPr="00CB69AB" w:rsidRDefault="00CB69AB" w:rsidP="00CB69AB">
      <w:pPr>
        <w:spacing w:before="120" w:line="276" w:lineRule="auto"/>
        <w:jc w:val="both"/>
        <w:rPr>
          <w:rFonts w:ascii="Arial" w:hAnsi="Arial" w:cs="Arial"/>
          <w:sz w:val="16"/>
          <w:szCs w:val="16"/>
        </w:rPr>
      </w:pPr>
    </w:p>
    <w:p w14:paraId="71F97034" w14:textId="73AF9F34" w:rsidR="00CB69AB" w:rsidRPr="00CB69AB" w:rsidRDefault="00567E6C">
      <w:pPr>
        <w:pStyle w:val="ListParagraph"/>
        <w:numPr>
          <w:ilvl w:val="0"/>
          <w:numId w:val="1"/>
        </w:numPr>
        <w:spacing w:before="120" w:line="276" w:lineRule="auto"/>
        <w:jc w:val="both"/>
        <w:rPr>
          <w:rFonts w:ascii="Arial" w:hAnsi="Arial" w:cs="Arial"/>
          <w:sz w:val="24"/>
          <w:szCs w:val="24"/>
        </w:rPr>
      </w:pPr>
      <w:r w:rsidRPr="0072142F">
        <w:rPr>
          <w:rFonts w:ascii="Arial" w:hAnsi="Arial" w:cs="Arial"/>
          <w:sz w:val="24"/>
          <w:szCs w:val="24"/>
        </w:rPr>
        <w:t>T</w:t>
      </w:r>
      <w:r w:rsidR="00174B65" w:rsidRPr="0072142F">
        <w:rPr>
          <w:rFonts w:ascii="Arial" w:hAnsi="Arial" w:cs="Arial"/>
          <w:sz w:val="24"/>
          <w:szCs w:val="24"/>
          <w:lang w:val="en-ZA"/>
        </w:rPr>
        <w:t xml:space="preserve">he time lag between the production and </w:t>
      </w:r>
      <w:r w:rsidRPr="0072142F">
        <w:rPr>
          <w:rFonts w:ascii="Arial" w:hAnsi="Arial" w:cs="Arial"/>
          <w:sz w:val="24"/>
          <w:szCs w:val="24"/>
          <w:lang w:val="en-ZA"/>
        </w:rPr>
        <w:t xml:space="preserve">the </w:t>
      </w:r>
      <w:r w:rsidR="00174B65" w:rsidRPr="0072142F">
        <w:rPr>
          <w:rFonts w:ascii="Arial" w:hAnsi="Arial" w:cs="Arial"/>
          <w:sz w:val="24"/>
          <w:szCs w:val="24"/>
          <w:lang w:val="en-ZA"/>
        </w:rPr>
        <w:t>publication of fiscal reports</w:t>
      </w:r>
      <w:r w:rsidRPr="0072142F">
        <w:rPr>
          <w:rFonts w:ascii="Arial" w:hAnsi="Arial" w:cs="Arial"/>
          <w:sz w:val="24"/>
          <w:szCs w:val="24"/>
          <w:lang w:val="en-ZA"/>
        </w:rPr>
        <w:t>, should be as short as possible, at times non-existent, with reports</w:t>
      </w:r>
      <w:r w:rsidRPr="0072142F">
        <w:rPr>
          <w:rFonts w:ascii="Arial" w:hAnsi="Arial" w:cs="Arial"/>
          <w:sz w:val="24"/>
          <w:szCs w:val="24"/>
          <w:lang w:val="en-US"/>
        </w:rPr>
        <w:t xml:space="preserve"> published</w:t>
      </w:r>
      <w:r w:rsidR="00174B65" w:rsidRPr="0072142F">
        <w:rPr>
          <w:rFonts w:ascii="Arial" w:hAnsi="Arial" w:cs="Arial"/>
          <w:sz w:val="24"/>
          <w:szCs w:val="24"/>
          <w:lang w:val="en-US"/>
        </w:rPr>
        <w:t xml:space="preserve"> in real time</w:t>
      </w:r>
      <w:r w:rsidRPr="0072142F">
        <w:rPr>
          <w:rFonts w:ascii="Arial" w:hAnsi="Arial" w:cs="Arial"/>
          <w:sz w:val="24"/>
          <w:szCs w:val="24"/>
          <w:lang w:val="en-US"/>
        </w:rPr>
        <w:t xml:space="preserve">. </w:t>
      </w:r>
      <w:r w:rsidR="00174B65" w:rsidRPr="0072142F">
        <w:rPr>
          <w:rFonts w:ascii="Arial" w:hAnsi="Arial" w:cs="Arial"/>
          <w:sz w:val="24"/>
          <w:szCs w:val="24"/>
          <w:lang w:val="en-US"/>
        </w:rPr>
        <w:t xml:space="preserve">International </w:t>
      </w:r>
      <w:r w:rsidR="000B54EF" w:rsidRPr="0072142F">
        <w:rPr>
          <w:rFonts w:ascii="Arial" w:hAnsi="Arial" w:cs="Arial"/>
          <w:sz w:val="24"/>
          <w:szCs w:val="24"/>
          <w:lang w:val="en-US"/>
        </w:rPr>
        <w:t xml:space="preserve">good practice </w:t>
      </w:r>
      <w:r w:rsidR="00174B65" w:rsidRPr="0072142F">
        <w:rPr>
          <w:rFonts w:ascii="Arial" w:hAnsi="Arial" w:cs="Arial"/>
          <w:sz w:val="24"/>
          <w:szCs w:val="24"/>
          <w:lang w:val="en-US"/>
        </w:rPr>
        <w:t xml:space="preserve">norms and standards provide guidance in respect of reasonable </w:t>
      </w:r>
      <w:r w:rsidR="00B967CD" w:rsidRPr="0072142F">
        <w:rPr>
          <w:rFonts w:ascii="Arial" w:hAnsi="Arial" w:cs="Arial"/>
          <w:sz w:val="24"/>
          <w:szCs w:val="24"/>
          <w:lang w:val="en-US"/>
        </w:rPr>
        <w:t xml:space="preserve">publication </w:t>
      </w:r>
      <w:r w:rsidR="00174B65" w:rsidRPr="0072142F">
        <w:rPr>
          <w:rFonts w:ascii="Arial" w:hAnsi="Arial" w:cs="Arial"/>
          <w:sz w:val="24"/>
          <w:szCs w:val="24"/>
          <w:lang w:val="en-US"/>
        </w:rPr>
        <w:t xml:space="preserve">timelines </w:t>
      </w:r>
      <w:r w:rsidR="000B54EF" w:rsidRPr="0072142F">
        <w:rPr>
          <w:rFonts w:ascii="Arial" w:hAnsi="Arial" w:cs="Arial"/>
          <w:sz w:val="24"/>
          <w:szCs w:val="24"/>
          <w:lang w:val="en-US"/>
        </w:rPr>
        <w:t>for</w:t>
      </w:r>
      <w:r w:rsidR="00040480" w:rsidRPr="0072142F">
        <w:rPr>
          <w:rFonts w:ascii="Arial" w:hAnsi="Arial" w:cs="Arial"/>
          <w:sz w:val="24"/>
          <w:szCs w:val="24"/>
          <w:lang w:val="en-US"/>
        </w:rPr>
        <w:t xml:space="preserve"> </w:t>
      </w:r>
      <w:r w:rsidR="00174B65" w:rsidRPr="0072142F">
        <w:rPr>
          <w:rFonts w:ascii="Arial" w:hAnsi="Arial" w:cs="Arial"/>
          <w:sz w:val="24"/>
          <w:szCs w:val="24"/>
          <w:lang w:val="en-US"/>
        </w:rPr>
        <w:t xml:space="preserve">different </w:t>
      </w:r>
      <w:r w:rsidR="00B967CD" w:rsidRPr="0072142F">
        <w:rPr>
          <w:rFonts w:ascii="Arial" w:hAnsi="Arial" w:cs="Arial"/>
          <w:sz w:val="24"/>
          <w:szCs w:val="24"/>
          <w:lang w:val="en-US"/>
        </w:rPr>
        <w:t xml:space="preserve">fiscal </w:t>
      </w:r>
      <w:r w:rsidR="00174B65" w:rsidRPr="0072142F">
        <w:rPr>
          <w:rFonts w:ascii="Arial" w:hAnsi="Arial" w:cs="Arial"/>
          <w:sz w:val="24"/>
          <w:szCs w:val="24"/>
          <w:lang w:val="en-US"/>
        </w:rPr>
        <w:t>reports. Reports should also be published</w:t>
      </w:r>
      <w:r w:rsidR="00887C7D" w:rsidRPr="0072142F">
        <w:rPr>
          <w:rFonts w:ascii="Arial" w:hAnsi="Arial" w:cs="Arial"/>
          <w:sz w:val="24"/>
          <w:szCs w:val="24"/>
          <w:lang w:val="en-US"/>
        </w:rPr>
        <w:t xml:space="preserve"> regularly, with a frequency/periodicity that </w:t>
      </w:r>
      <w:r w:rsidR="00174B65" w:rsidRPr="0072142F">
        <w:rPr>
          <w:rFonts w:ascii="Arial" w:hAnsi="Arial" w:cs="Arial"/>
          <w:sz w:val="24"/>
          <w:szCs w:val="24"/>
          <w:lang w:val="en-US"/>
        </w:rPr>
        <w:t>allow</w:t>
      </w:r>
      <w:r w:rsidR="00887C7D" w:rsidRPr="0072142F">
        <w:rPr>
          <w:rFonts w:ascii="Arial" w:hAnsi="Arial" w:cs="Arial"/>
          <w:sz w:val="24"/>
          <w:szCs w:val="24"/>
          <w:lang w:val="en-US"/>
        </w:rPr>
        <w:t>s</w:t>
      </w:r>
      <w:r w:rsidR="00174B65" w:rsidRPr="0072142F">
        <w:rPr>
          <w:rFonts w:ascii="Arial" w:hAnsi="Arial" w:cs="Arial"/>
          <w:sz w:val="24"/>
          <w:szCs w:val="24"/>
          <w:lang w:val="en-US"/>
        </w:rPr>
        <w:t xml:space="preserve"> observers to understand the evolution of public finances</w:t>
      </w:r>
      <w:r w:rsidR="00887C7D" w:rsidRPr="0072142F">
        <w:rPr>
          <w:rFonts w:ascii="Arial" w:hAnsi="Arial" w:cs="Arial"/>
          <w:sz w:val="24"/>
          <w:szCs w:val="24"/>
          <w:lang w:val="en-US"/>
        </w:rPr>
        <w:t xml:space="preserve"> over time</w:t>
      </w:r>
      <w:r w:rsidR="004A5226" w:rsidRPr="0072142F">
        <w:rPr>
          <w:rFonts w:ascii="Arial" w:hAnsi="Arial" w:cs="Arial"/>
          <w:sz w:val="24"/>
          <w:szCs w:val="24"/>
          <w:lang w:val="en-US"/>
        </w:rPr>
        <w:t>.</w:t>
      </w:r>
    </w:p>
    <w:p w14:paraId="337B9596" w14:textId="3C4FF480" w:rsidR="00CB69AB" w:rsidRPr="00CB69AB" w:rsidRDefault="00CB69AB" w:rsidP="00CB69AB">
      <w:pPr>
        <w:spacing w:before="120" w:line="276" w:lineRule="auto"/>
        <w:ind w:left="360"/>
        <w:jc w:val="both"/>
        <w:rPr>
          <w:rFonts w:ascii="Arial" w:hAnsi="Arial" w:cs="Arial"/>
          <w:sz w:val="24"/>
          <w:szCs w:val="24"/>
        </w:rPr>
      </w:pPr>
      <w:r>
        <w:rPr>
          <w:rFonts w:ascii="Arial" w:hAnsi="Arial" w:cs="Arial"/>
          <w:bCs/>
          <w:noProof/>
          <w:sz w:val="24"/>
          <w:szCs w:val="24"/>
          <w:lang w:val="en-US"/>
        </w:rPr>
        <mc:AlternateContent>
          <mc:Choice Requires="wps">
            <w:drawing>
              <wp:anchor distT="0" distB="0" distL="114300" distR="114300" simplePos="0" relativeHeight="251734016" behindDoc="0" locked="0" layoutInCell="1" allowOverlap="1" wp14:anchorId="25DC7712" wp14:editId="639CABC4">
                <wp:simplePos x="0" y="0"/>
                <wp:positionH relativeFrom="column">
                  <wp:posOffset>0</wp:posOffset>
                </wp:positionH>
                <wp:positionV relativeFrom="paragraph">
                  <wp:posOffset>71120</wp:posOffset>
                </wp:positionV>
                <wp:extent cx="6667500" cy="351155"/>
                <wp:effectExtent l="0" t="0" r="0" b="4445"/>
                <wp:wrapNone/>
                <wp:docPr id="59" name="Rounded Rectangle 59"/>
                <wp:cNvGraphicFramePr/>
                <a:graphic xmlns:a="http://schemas.openxmlformats.org/drawingml/2006/main">
                  <a:graphicData uri="http://schemas.microsoft.com/office/word/2010/wordprocessingShape">
                    <wps:wsp>
                      <wps:cNvSpPr/>
                      <wps:spPr>
                        <a:xfrm>
                          <a:off x="0" y="0"/>
                          <a:ext cx="6667500" cy="351155"/>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172F5F58" id="Rounded Rectangle 59" o:spid="_x0000_s1026" style="position:absolute;margin-left:0;margin-top:5.6pt;width:525pt;height:27.65pt;z-index:251734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" fillcolor="#16988a" stroked="f" strokeweight="1pt">
                <v:stroke joinstyle="miter"/>
              </v:roundrect>
            </w:pict>
          </mc:Fallback>
        </mc:AlternateContent>
      </w:r>
      <w:r>
        <w:rPr>
          <w:rFonts w:ascii="Arial" w:hAnsi="Arial" w:cs="Arial"/>
          <w:bCs/>
          <w:noProof/>
          <w:sz w:val="24"/>
          <w:szCs w:val="24"/>
          <w:lang w:val="en-US"/>
        </w:rPr>
        <mc:AlternateContent>
          <mc:Choice Requires="wps">
            <w:drawing>
              <wp:anchor distT="0" distB="0" distL="114300" distR="114300" simplePos="0" relativeHeight="251735040" behindDoc="0" locked="0" layoutInCell="1" allowOverlap="1" wp14:anchorId="04A60F9D" wp14:editId="4B28F27A">
                <wp:simplePos x="0" y="0"/>
                <wp:positionH relativeFrom="margin">
                  <wp:posOffset>678180</wp:posOffset>
                </wp:positionH>
                <wp:positionV relativeFrom="paragraph">
                  <wp:posOffset>112932</wp:posOffset>
                </wp:positionV>
                <wp:extent cx="5274945" cy="2667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5274945" cy="266700"/>
                        </a:xfrm>
                        <a:prstGeom prst="rect">
                          <a:avLst/>
                        </a:prstGeom>
                        <a:noFill/>
                        <a:ln w="6350">
                          <a:noFill/>
                        </a:ln>
                      </wps:spPr>
                      <wps:txbx>
                        <w:txbxContent>
                          <w:p w14:paraId="486F0307" w14:textId="3371EEC1"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Understandable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60F9D" id="Text Box 60" o:spid="_x0000_s1038" type="#_x0000_t202" style="position:absolute;left:0;text-align:left;margin-left:53.4pt;margin-top:8.9pt;width:415.35pt;height:21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" filled="f" stroked="f" strokeweight=".5pt">
                <v:textbox>
                  <w:txbxContent>
                    <w:p w14:paraId="486F0307" w14:textId="3371EEC1"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Understandable</w:t>
                      </w:r>
                    </w:p>
                  </w:txbxContent>
                </v:textbox>
                <w10:wrap anchorx="margin"/>
              </v:shape>
            </w:pict>
          </mc:Fallback>
        </mc:AlternateContent>
      </w:r>
    </w:p>
    <w:p w14:paraId="0C68BA0C" w14:textId="55D159BA" w:rsidR="00CB69AB" w:rsidRPr="00235103" w:rsidRDefault="00CB69AB" w:rsidP="00CB69AB">
      <w:pPr>
        <w:spacing w:before="120" w:line="276" w:lineRule="auto"/>
        <w:jc w:val="both"/>
        <w:rPr>
          <w:rFonts w:ascii="Arial" w:hAnsi="Arial" w:cs="Arial"/>
          <w:sz w:val="16"/>
          <w:szCs w:val="16"/>
        </w:rPr>
      </w:pPr>
    </w:p>
    <w:p w14:paraId="31A9A4E5" w14:textId="0B958302" w:rsidR="004A5226" w:rsidRPr="00CB69AB" w:rsidRDefault="00174B65">
      <w:pPr>
        <w:pStyle w:val="ListParagraph"/>
        <w:numPr>
          <w:ilvl w:val="0"/>
          <w:numId w:val="1"/>
        </w:numPr>
        <w:spacing w:before="120" w:line="276" w:lineRule="auto"/>
        <w:jc w:val="both"/>
        <w:rPr>
          <w:rFonts w:ascii="Arial" w:hAnsi="Arial" w:cs="Arial"/>
          <w:sz w:val="24"/>
          <w:szCs w:val="24"/>
        </w:rPr>
      </w:pPr>
      <w:r w:rsidRPr="0072142F">
        <w:rPr>
          <w:rFonts w:ascii="Arial" w:hAnsi="Arial" w:cs="Arial"/>
          <w:sz w:val="24"/>
          <w:szCs w:val="24"/>
          <w:lang w:val="en-US"/>
        </w:rPr>
        <w:t xml:space="preserve">Fiscal reports should be </w:t>
      </w:r>
      <w:r w:rsidR="00887C7D" w:rsidRPr="0072142F">
        <w:rPr>
          <w:rFonts w:ascii="Arial" w:hAnsi="Arial" w:cs="Arial"/>
          <w:sz w:val="24"/>
          <w:szCs w:val="24"/>
          <w:lang w:val="en-US"/>
        </w:rPr>
        <w:t xml:space="preserve">clear such that they are </w:t>
      </w:r>
      <w:r w:rsidRPr="0072142F">
        <w:rPr>
          <w:rFonts w:ascii="Arial" w:hAnsi="Arial" w:cs="Arial"/>
          <w:sz w:val="24"/>
          <w:szCs w:val="24"/>
          <w:lang w:val="en-US"/>
        </w:rPr>
        <w:t>easily understood by users</w:t>
      </w:r>
      <w:r w:rsidR="00887C7D" w:rsidRPr="0072142F">
        <w:rPr>
          <w:rFonts w:ascii="Arial" w:hAnsi="Arial" w:cs="Arial"/>
          <w:sz w:val="24"/>
          <w:szCs w:val="24"/>
          <w:lang w:val="en-US"/>
        </w:rPr>
        <w:t>. This means</w:t>
      </w:r>
      <w:r w:rsidRPr="0072142F">
        <w:rPr>
          <w:rFonts w:ascii="Arial" w:hAnsi="Arial" w:cs="Arial"/>
          <w:sz w:val="24"/>
          <w:szCs w:val="24"/>
          <w:lang w:val="en-US"/>
        </w:rPr>
        <w:t xml:space="preserve"> that information needs to be published in different formats, catering to the ability of various users.</w:t>
      </w:r>
      <w:r w:rsidR="00887C7D" w:rsidRPr="0072142F">
        <w:rPr>
          <w:rFonts w:ascii="Arial" w:hAnsi="Arial" w:cs="Arial"/>
          <w:sz w:val="24"/>
          <w:szCs w:val="24"/>
          <w:lang w:val="en-ZA"/>
        </w:rPr>
        <w:t xml:space="preserve"> </w:t>
      </w:r>
      <w:r w:rsidR="00AA5AAE" w:rsidRPr="0072142F">
        <w:rPr>
          <w:rFonts w:ascii="Arial" w:hAnsi="Arial" w:cs="Arial"/>
          <w:sz w:val="24"/>
          <w:szCs w:val="24"/>
          <w:lang w:val="en-ZA"/>
        </w:rPr>
        <w:t>I</w:t>
      </w:r>
      <w:r w:rsidR="004A5226" w:rsidRPr="0072142F">
        <w:rPr>
          <w:rFonts w:ascii="Arial" w:hAnsi="Arial" w:cs="Arial"/>
          <w:sz w:val="24"/>
          <w:szCs w:val="24"/>
          <w:lang w:val="en-ZA"/>
        </w:rPr>
        <w:t xml:space="preserve">nformation provided should </w:t>
      </w:r>
      <w:r w:rsidR="00AA5AAE" w:rsidRPr="0072142F">
        <w:rPr>
          <w:rFonts w:ascii="Arial" w:hAnsi="Arial" w:cs="Arial"/>
          <w:sz w:val="24"/>
          <w:szCs w:val="24"/>
          <w:lang w:val="en-ZA"/>
        </w:rPr>
        <w:t>also be relevant, that is</w:t>
      </w:r>
      <w:r w:rsidR="00040480" w:rsidRPr="0072142F">
        <w:rPr>
          <w:rFonts w:ascii="Arial" w:hAnsi="Arial" w:cs="Arial"/>
          <w:sz w:val="24"/>
          <w:szCs w:val="24"/>
          <w:lang w:val="en-ZA"/>
        </w:rPr>
        <w:t>, it should</w:t>
      </w:r>
      <w:r w:rsidR="00AA5AAE" w:rsidRPr="0072142F">
        <w:rPr>
          <w:rFonts w:ascii="Arial" w:hAnsi="Arial" w:cs="Arial"/>
          <w:sz w:val="24"/>
          <w:szCs w:val="24"/>
          <w:lang w:val="en-ZA"/>
        </w:rPr>
        <w:t xml:space="preserve"> </w:t>
      </w:r>
      <w:r w:rsidR="004A5226" w:rsidRPr="0072142F">
        <w:rPr>
          <w:rFonts w:ascii="Arial" w:hAnsi="Arial" w:cs="Arial"/>
          <w:sz w:val="24"/>
          <w:szCs w:val="24"/>
          <w:lang w:val="en-ZA"/>
        </w:rPr>
        <w:t>provide users with the information they need to make effective decisions.</w:t>
      </w:r>
    </w:p>
    <w:p w14:paraId="01CFA6A4" w14:textId="487A0D35" w:rsidR="00CB69AB" w:rsidRPr="00CB69AB" w:rsidRDefault="00CB69AB" w:rsidP="00CB69AB">
      <w:pPr>
        <w:pStyle w:val="ListParagraph"/>
        <w:spacing w:before="120" w:line="276" w:lineRule="auto"/>
        <w:jc w:val="both"/>
        <w:rPr>
          <w:rFonts w:ascii="Arial" w:hAnsi="Arial" w:cs="Arial"/>
          <w:sz w:val="24"/>
          <w:szCs w:val="24"/>
        </w:rPr>
      </w:pPr>
      <w:r>
        <w:rPr>
          <w:rFonts w:ascii="Arial" w:hAnsi="Arial" w:cs="Arial"/>
          <w:bCs/>
          <w:noProof/>
          <w:sz w:val="24"/>
          <w:szCs w:val="24"/>
          <w:lang w:val="en-US"/>
        </w:rPr>
        <mc:AlternateContent>
          <mc:Choice Requires="wps">
            <w:drawing>
              <wp:anchor distT="0" distB="0" distL="114300" distR="114300" simplePos="0" relativeHeight="251737088" behindDoc="0" locked="0" layoutInCell="1" allowOverlap="1" wp14:anchorId="6BC87443" wp14:editId="0562681F">
                <wp:simplePos x="0" y="0"/>
                <wp:positionH relativeFrom="column">
                  <wp:posOffset>0</wp:posOffset>
                </wp:positionH>
                <wp:positionV relativeFrom="paragraph">
                  <wp:posOffset>100965</wp:posOffset>
                </wp:positionV>
                <wp:extent cx="6667500" cy="351155"/>
                <wp:effectExtent l="0" t="0" r="0" b="4445"/>
                <wp:wrapNone/>
                <wp:docPr id="61" name="Rounded Rectangle 61"/>
                <wp:cNvGraphicFramePr/>
                <a:graphic xmlns:a="http://schemas.openxmlformats.org/drawingml/2006/main">
                  <a:graphicData uri="http://schemas.microsoft.com/office/word/2010/wordprocessingShape">
                    <wps:wsp>
                      <wps:cNvSpPr/>
                      <wps:spPr>
                        <a:xfrm>
                          <a:off x="0" y="0"/>
                          <a:ext cx="6667500" cy="351155"/>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7597D176" id="Rounded Rectangle 61" o:spid="_x0000_s1026" style="position:absolute;margin-left:0;margin-top:7.95pt;width:525pt;height:27.65pt;z-index:2517370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" fillcolor="#16988a" stroked="f" strokeweight="1pt">
                <v:stroke joinstyle="miter"/>
              </v:roundrect>
            </w:pict>
          </mc:Fallback>
        </mc:AlternateContent>
      </w:r>
      <w:r>
        <w:rPr>
          <w:rFonts w:ascii="Arial" w:hAnsi="Arial" w:cs="Arial"/>
          <w:bCs/>
          <w:noProof/>
          <w:sz w:val="24"/>
          <w:szCs w:val="24"/>
          <w:lang w:val="en-US"/>
        </w:rPr>
        <mc:AlternateContent>
          <mc:Choice Requires="wps">
            <w:drawing>
              <wp:anchor distT="0" distB="0" distL="114300" distR="114300" simplePos="0" relativeHeight="251738112" behindDoc="0" locked="0" layoutInCell="1" allowOverlap="1" wp14:anchorId="088A763E" wp14:editId="381FD34C">
                <wp:simplePos x="0" y="0"/>
                <wp:positionH relativeFrom="margin">
                  <wp:posOffset>678180</wp:posOffset>
                </wp:positionH>
                <wp:positionV relativeFrom="paragraph">
                  <wp:posOffset>142777</wp:posOffset>
                </wp:positionV>
                <wp:extent cx="5274945" cy="2667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5274945" cy="266700"/>
                        </a:xfrm>
                        <a:prstGeom prst="rect">
                          <a:avLst/>
                        </a:prstGeom>
                        <a:noFill/>
                        <a:ln w="6350">
                          <a:noFill/>
                        </a:ln>
                      </wps:spPr>
                      <wps:txbx>
                        <w:txbxContent>
                          <w:p w14:paraId="08A99D0A" w14:textId="45A0AFAC"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Internationally comparable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A763E" id="Text Box 62" o:spid="_x0000_s1039" type="#_x0000_t202" style="position:absolute;left:0;text-align:left;margin-left:53.4pt;margin-top:11.25pt;width:415.35pt;height:21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0DMwIAAFs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" filled="f" stroked="f" strokeweight=".5pt">
                <v:textbox>
                  <w:txbxContent>
                    <w:p w14:paraId="08A99D0A" w14:textId="45A0AFAC" w:rsidR="00D15FD8" w:rsidRPr="00CB69AB" w:rsidRDefault="00D15FD8" w:rsidP="00CB69AB">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Internationally comparable</w:t>
                      </w:r>
                    </w:p>
                  </w:txbxContent>
                </v:textbox>
                <w10:wrap anchorx="margin"/>
              </v:shape>
            </w:pict>
          </mc:Fallback>
        </mc:AlternateContent>
      </w:r>
    </w:p>
    <w:p w14:paraId="407C0944" w14:textId="0FE0E943" w:rsidR="00CB69AB" w:rsidRPr="00CB69AB" w:rsidRDefault="00CB69AB" w:rsidP="00CB69AB">
      <w:pPr>
        <w:spacing w:before="120" w:line="276" w:lineRule="auto"/>
        <w:jc w:val="both"/>
        <w:rPr>
          <w:rFonts w:ascii="Arial" w:hAnsi="Arial" w:cs="Arial"/>
          <w:sz w:val="16"/>
          <w:szCs w:val="16"/>
        </w:rPr>
      </w:pPr>
    </w:p>
    <w:p w14:paraId="2E18DCCA" w14:textId="6CAC503B" w:rsidR="00263915" w:rsidRPr="0072142F" w:rsidRDefault="00887C7D">
      <w:pPr>
        <w:pStyle w:val="ListParagraph"/>
        <w:numPr>
          <w:ilvl w:val="0"/>
          <w:numId w:val="1"/>
        </w:numPr>
        <w:spacing w:before="120" w:line="276" w:lineRule="auto"/>
        <w:jc w:val="both"/>
        <w:rPr>
          <w:rFonts w:ascii="Arial" w:hAnsi="Arial" w:cs="Arial"/>
          <w:bCs/>
          <w:iCs/>
          <w:sz w:val="24"/>
          <w:szCs w:val="24"/>
          <w:lang w:val="en-US"/>
        </w:rPr>
      </w:pPr>
      <w:r w:rsidRPr="0072142F">
        <w:rPr>
          <w:rFonts w:ascii="Arial" w:hAnsi="Arial" w:cs="Arial"/>
          <w:bCs/>
          <w:iCs/>
          <w:sz w:val="24"/>
          <w:szCs w:val="24"/>
          <w:lang w:val="en-US"/>
        </w:rPr>
        <w:t xml:space="preserve">Information should </w:t>
      </w:r>
      <w:r w:rsidR="004A5226" w:rsidRPr="0072142F">
        <w:rPr>
          <w:rFonts w:ascii="Arial" w:hAnsi="Arial" w:cs="Arial"/>
          <w:bCs/>
          <w:iCs/>
          <w:sz w:val="24"/>
          <w:szCs w:val="24"/>
          <w:lang w:val="en-US"/>
        </w:rPr>
        <w:t xml:space="preserve">be </w:t>
      </w:r>
      <w:r w:rsidR="00782D0E" w:rsidRPr="0072142F">
        <w:rPr>
          <w:rFonts w:ascii="Arial" w:hAnsi="Arial" w:cs="Arial"/>
          <w:bCs/>
          <w:iCs/>
          <w:sz w:val="24"/>
          <w:szCs w:val="24"/>
          <w:lang w:val="en-US"/>
        </w:rPr>
        <w:t xml:space="preserve">compiled </w:t>
      </w:r>
      <w:r w:rsidR="00B967CD" w:rsidRPr="0072142F">
        <w:rPr>
          <w:rFonts w:ascii="Arial" w:hAnsi="Arial" w:cs="Arial"/>
          <w:bCs/>
          <w:iCs/>
          <w:sz w:val="24"/>
          <w:szCs w:val="24"/>
          <w:lang w:val="en-US"/>
        </w:rPr>
        <w:t>using internationally accepted definitions</w:t>
      </w:r>
      <w:r w:rsidR="00000B9C" w:rsidRPr="0072142F">
        <w:rPr>
          <w:rFonts w:ascii="Arial" w:hAnsi="Arial" w:cs="Arial"/>
          <w:bCs/>
          <w:iCs/>
          <w:sz w:val="24"/>
          <w:szCs w:val="24"/>
          <w:lang w:val="en-US"/>
        </w:rPr>
        <w:t xml:space="preserve"> and standards</w:t>
      </w:r>
      <w:r w:rsidR="004A5226" w:rsidRPr="0072142F">
        <w:rPr>
          <w:rFonts w:ascii="Arial" w:hAnsi="Arial" w:cs="Arial"/>
          <w:bCs/>
          <w:iCs/>
          <w:sz w:val="24"/>
          <w:szCs w:val="24"/>
          <w:lang w:val="en-US"/>
        </w:rPr>
        <w:t xml:space="preserve">, </w:t>
      </w:r>
      <w:r w:rsidR="00782D0E" w:rsidRPr="0072142F">
        <w:rPr>
          <w:rFonts w:ascii="Arial" w:hAnsi="Arial" w:cs="Arial"/>
          <w:bCs/>
          <w:iCs/>
          <w:sz w:val="24"/>
          <w:szCs w:val="24"/>
          <w:lang w:val="en-US"/>
        </w:rPr>
        <w:t xml:space="preserve">facilitating understanding and </w:t>
      </w:r>
      <w:r w:rsidR="004A5226" w:rsidRPr="0072142F">
        <w:rPr>
          <w:rFonts w:ascii="Arial" w:hAnsi="Arial" w:cs="Arial"/>
          <w:bCs/>
          <w:iCs/>
          <w:sz w:val="24"/>
          <w:szCs w:val="24"/>
          <w:lang w:val="en-US"/>
        </w:rPr>
        <w:t>comparab</w:t>
      </w:r>
      <w:r w:rsidR="00782D0E" w:rsidRPr="0072142F">
        <w:rPr>
          <w:rFonts w:ascii="Arial" w:hAnsi="Arial" w:cs="Arial"/>
          <w:bCs/>
          <w:iCs/>
          <w:sz w:val="24"/>
          <w:szCs w:val="24"/>
          <w:lang w:val="en-US"/>
        </w:rPr>
        <w:t>ility</w:t>
      </w:r>
      <w:r w:rsidR="004A5226" w:rsidRPr="0072142F">
        <w:rPr>
          <w:rFonts w:ascii="Arial" w:hAnsi="Arial" w:cs="Arial"/>
          <w:bCs/>
          <w:iCs/>
          <w:sz w:val="24"/>
          <w:szCs w:val="24"/>
          <w:lang w:val="en-US"/>
        </w:rPr>
        <w:t xml:space="preserve"> </w:t>
      </w:r>
      <w:r w:rsidR="00B967CD" w:rsidRPr="0072142F">
        <w:rPr>
          <w:rFonts w:ascii="Arial" w:hAnsi="Arial" w:cs="Arial"/>
          <w:bCs/>
          <w:iCs/>
          <w:sz w:val="24"/>
          <w:szCs w:val="24"/>
          <w:lang w:val="en-US"/>
        </w:rPr>
        <w:t>across</w:t>
      </w:r>
      <w:r w:rsidR="004A5226" w:rsidRPr="0072142F">
        <w:rPr>
          <w:rFonts w:ascii="Arial" w:hAnsi="Arial" w:cs="Arial"/>
          <w:bCs/>
          <w:iCs/>
          <w:sz w:val="24"/>
          <w:szCs w:val="24"/>
          <w:lang w:val="en-US"/>
        </w:rPr>
        <w:t xml:space="preserve"> all</w:t>
      </w:r>
      <w:r w:rsidR="00B967CD" w:rsidRPr="0072142F">
        <w:rPr>
          <w:rFonts w:ascii="Arial" w:hAnsi="Arial" w:cs="Arial"/>
          <w:bCs/>
          <w:iCs/>
          <w:sz w:val="24"/>
          <w:szCs w:val="24"/>
          <w:lang w:val="en-US"/>
        </w:rPr>
        <w:t xml:space="preserve"> institutions using th</w:t>
      </w:r>
      <w:r w:rsidR="00782D0E" w:rsidRPr="0072142F">
        <w:rPr>
          <w:rFonts w:ascii="Arial" w:hAnsi="Arial" w:cs="Arial"/>
          <w:bCs/>
          <w:iCs/>
          <w:sz w:val="24"/>
          <w:szCs w:val="24"/>
          <w:lang w:val="en-US"/>
        </w:rPr>
        <w:t>e same</w:t>
      </w:r>
      <w:r w:rsidR="00B967CD" w:rsidRPr="0072142F">
        <w:rPr>
          <w:rFonts w:ascii="Arial" w:hAnsi="Arial" w:cs="Arial"/>
          <w:bCs/>
          <w:iCs/>
          <w:sz w:val="24"/>
          <w:szCs w:val="24"/>
          <w:lang w:val="en-US"/>
        </w:rPr>
        <w:t xml:space="preserve"> standards</w:t>
      </w:r>
      <w:r w:rsidR="00000B9C" w:rsidRPr="0072142F">
        <w:rPr>
          <w:rFonts w:ascii="Arial" w:hAnsi="Arial" w:cs="Arial"/>
          <w:bCs/>
          <w:iCs/>
          <w:sz w:val="24"/>
          <w:szCs w:val="24"/>
          <w:lang w:val="en-US"/>
        </w:rPr>
        <w:t>,</w:t>
      </w:r>
      <w:r w:rsidR="004A5226" w:rsidRPr="0072142F">
        <w:rPr>
          <w:rFonts w:ascii="Arial" w:hAnsi="Arial" w:cs="Arial"/>
          <w:bCs/>
          <w:iCs/>
          <w:sz w:val="24"/>
          <w:szCs w:val="24"/>
          <w:lang w:val="en-US"/>
        </w:rPr>
        <w:t xml:space="preserve"> thereby</w:t>
      </w:r>
      <w:r w:rsidR="00B967CD" w:rsidRPr="0072142F">
        <w:rPr>
          <w:rFonts w:ascii="Arial" w:hAnsi="Arial" w:cs="Arial"/>
          <w:bCs/>
          <w:iCs/>
          <w:sz w:val="24"/>
          <w:szCs w:val="24"/>
          <w:lang w:val="en-US"/>
        </w:rPr>
        <w:t xml:space="preserve"> facilitating independent evaluation.</w:t>
      </w:r>
      <w:r w:rsidRPr="0072142F">
        <w:rPr>
          <w:rFonts w:ascii="Arial" w:hAnsi="Arial" w:cs="Arial"/>
          <w:bCs/>
          <w:iCs/>
          <w:sz w:val="24"/>
          <w:szCs w:val="24"/>
          <w:lang w:val="en-US"/>
        </w:rPr>
        <w:t xml:space="preserve"> </w:t>
      </w:r>
    </w:p>
    <w:p w14:paraId="25F56CAB" w14:textId="7784832E" w:rsidR="00353936" w:rsidRPr="004D77B2" w:rsidRDefault="00263915" w:rsidP="009B454D">
      <w:pPr>
        <w:spacing w:after="160" w:line="259" w:lineRule="auto"/>
        <w:rPr>
          <w:rFonts w:cs="Calibri"/>
          <w:color w:val="ED7D31" w:themeColor="accent2"/>
          <w:sz w:val="28"/>
          <w:szCs w:val="28"/>
        </w:rPr>
      </w:pPr>
      <w:r>
        <w:rPr>
          <w:bCs/>
          <w:iCs/>
          <w:lang w:val="en-US"/>
        </w:rPr>
        <w:br w:type="page"/>
      </w:r>
    </w:p>
    <w:p w14:paraId="3CF0D78B" w14:textId="66C4851A" w:rsidR="00C523B8" w:rsidRDefault="00C54862">
      <w:pPr>
        <w:pStyle w:val="Heading2"/>
        <w:numPr>
          <w:ilvl w:val="1"/>
          <w:numId w:val="3"/>
        </w:numPr>
        <w:rPr>
          <w:rFonts w:ascii="Arial" w:hAnsi="Arial" w:cs="Arial"/>
          <w:b/>
          <w:bCs/>
          <w:color w:val="16988A"/>
          <w:sz w:val="36"/>
          <w:szCs w:val="36"/>
        </w:rPr>
      </w:pPr>
      <w:bookmarkStart w:id="186" w:name="_Toc115369975"/>
      <w:bookmarkStart w:id="187" w:name="_Toc115729050"/>
      <w:bookmarkStart w:id="188" w:name="_Toc115877697"/>
      <w:bookmarkStart w:id="189" w:name="_Toc116056981"/>
      <w:bookmarkStart w:id="190" w:name="_Toc119794418"/>
      <w:bookmarkStart w:id="191" w:name="_Toc123204399"/>
      <w:bookmarkStart w:id="192" w:name="_Toc123216485"/>
      <w:bookmarkStart w:id="193" w:name="_Toc123217325"/>
      <w:bookmarkStart w:id="194" w:name="_Toc123913298"/>
      <w:bookmarkStart w:id="195" w:name="_Toc123913954"/>
      <w:bookmarkStart w:id="196" w:name="_Toc125495782"/>
      <w:bookmarkStart w:id="197" w:name="_Toc125566573"/>
      <w:r w:rsidRPr="00A2328F">
        <w:rPr>
          <w:rFonts w:ascii="Arial" w:hAnsi="Arial" w:cs="Arial"/>
          <w:b/>
          <w:bCs/>
          <w:color w:val="16988A"/>
          <w:sz w:val="36"/>
          <w:szCs w:val="36"/>
        </w:rPr>
        <w:lastRenderedPageBreak/>
        <w:t>T</w:t>
      </w:r>
      <w:r w:rsidR="004A5226" w:rsidRPr="00A2328F">
        <w:rPr>
          <w:rFonts w:ascii="Arial" w:hAnsi="Arial" w:cs="Arial"/>
          <w:b/>
          <w:bCs/>
          <w:color w:val="16988A"/>
          <w:sz w:val="36"/>
          <w:szCs w:val="36"/>
        </w:rPr>
        <w:t xml:space="preserve">he </w:t>
      </w:r>
      <w:r w:rsidR="00C80B27">
        <w:rPr>
          <w:rFonts w:ascii="Arial" w:hAnsi="Arial" w:cs="Arial"/>
          <w:b/>
          <w:bCs/>
          <w:color w:val="16988A"/>
          <w:sz w:val="36"/>
          <w:szCs w:val="36"/>
        </w:rPr>
        <w:t>p</w:t>
      </w:r>
      <w:r w:rsidR="00A2328F" w:rsidRPr="00A2328F">
        <w:rPr>
          <w:rFonts w:ascii="Arial" w:hAnsi="Arial" w:cs="Arial"/>
          <w:b/>
          <w:bCs/>
          <w:color w:val="16988A"/>
          <w:sz w:val="36"/>
          <w:szCs w:val="36"/>
        </w:rPr>
        <w:t xml:space="preserve">ublic </w:t>
      </w:r>
      <w:r w:rsidR="00C80B27">
        <w:rPr>
          <w:rFonts w:ascii="Arial" w:hAnsi="Arial" w:cs="Arial"/>
          <w:b/>
          <w:bCs/>
          <w:color w:val="16988A"/>
          <w:sz w:val="36"/>
          <w:szCs w:val="36"/>
        </w:rPr>
        <w:t>r</w:t>
      </w:r>
      <w:r w:rsidR="00A2328F" w:rsidRPr="00A2328F">
        <w:rPr>
          <w:rFonts w:ascii="Arial" w:hAnsi="Arial" w:cs="Arial"/>
          <w:b/>
          <w:bCs/>
          <w:color w:val="16988A"/>
          <w:sz w:val="36"/>
          <w:szCs w:val="36"/>
        </w:rPr>
        <w:t xml:space="preserve">elationship </w:t>
      </w:r>
      <w:r w:rsidR="00C80B27">
        <w:rPr>
          <w:rFonts w:ascii="Arial" w:hAnsi="Arial" w:cs="Arial"/>
          <w:b/>
          <w:bCs/>
          <w:color w:val="16988A"/>
          <w:sz w:val="36"/>
          <w:szCs w:val="36"/>
        </w:rPr>
        <w:t>w</w:t>
      </w:r>
      <w:r w:rsidR="00A2328F" w:rsidRPr="00A2328F">
        <w:rPr>
          <w:rFonts w:ascii="Arial" w:hAnsi="Arial" w:cs="Arial"/>
          <w:b/>
          <w:bCs/>
          <w:color w:val="16988A"/>
          <w:sz w:val="36"/>
          <w:szCs w:val="36"/>
        </w:rPr>
        <w:t xml:space="preserve">ith </w:t>
      </w:r>
      <w:r w:rsidR="00C80B27">
        <w:rPr>
          <w:rFonts w:ascii="Arial" w:hAnsi="Arial" w:cs="Arial"/>
          <w:b/>
          <w:bCs/>
          <w:color w:val="16988A"/>
          <w:sz w:val="36"/>
          <w:szCs w:val="36"/>
        </w:rPr>
        <w:t>g</w:t>
      </w:r>
      <w:r w:rsidR="00A2328F" w:rsidRPr="00A2328F">
        <w:rPr>
          <w:rFonts w:ascii="Arial" w:hAnsi="Arial" w:cs="Arial"/>
          <w:b/>
          <w:bCs/>
          <w:color w:val="16988A"/>
          <w:sz w:val="36"/>
          <w:szCs w:val="36"/>
        </w:rPr>
        <w:t>overnment</w:t>
      </w:r>
      <w:bookmarkEnd w:id="186"/>
      <w:bookmarkEnd w:id="187"/>
      <w:bookmarkEnd w:id="188"/>
      <w:bookmarkEnd w:id="189"/>
      <w:bookmarkEnd w:id="190"/>
      <w:bookmarkEnd w:id="191"/>
      <w:bookmarkEnd w:id="192"/>
      <w:bookmarkEnd w:id="193"/>
      <w:bookmarkEnd w:id="194"/>
      <w:bookmarkEnd w:id="195"/>
      <w:bookmarkEnd w:id="196"/>
      <w:bookmarkEnd w:id="197"/>
      <w:r w:rsidR="00A2328F" w:rsidRPr="00A2328F">
        <w:rPr>
          <w:rFonts w:ascii="Arial" w:hAnsi="Arial" w:cs="Arial"/>
          <w:b/>
          <w:bCs/>
          <w:color w:val="16988A"/>
          <w:sz w:val="36"/>
          <w:szCs w:val="36"/>
        </w:rPr>
        <w:t xml:space="preserve"> </w:t>
      </w:r>
    </w:p>
    <w:p w14:paraId="66A77EDA" w14:textId="77777777" w:rsidR="00A2328F" w:rsidRPr="00A2328F" w:rsidRDefault="00A2328F" w:rsidP="00A2328F"/>
    <w:p w14:paraId="7F77B4F3" w14:textId="502286EA" w:rsidR="00B70FBF" w:rsidRDefault="00B3053D" w:rsidP="00A2328F">
      <w:pPr>
        <w:spacing w:after="160" w:line="276" w:lineRule="auto"/>
        <w:contextualSpacing/>
        <w:jc w:val="both"/>
        <w:rPr>
          <w:rFonts w:ascii="Arial" w:hAnsi="Arial" w:cs="Arial"/>
          <w:sz w:val="24"/>
          <w:szCs w:val="24"/>
        </w:rPr>
      </w:pPr>
      <w:r w:rsidRPr="00A2328F">
        <w:rPr>
          <w:rFonts w:ascii="Arial" w:hAnsi="Arial" w:cs="Arial"/>
          <w:sz w:val="24"/>
          <w:szCs w:val="24"/>
          <w:lang w:val="en-US"/>
        </w:rPr>
        <w:t>Fiscal transparency is about the public’s relationship with the government</w:t>
      </w:r>
      <w:r w:rsidR="005F5A62" w:rsidRPr="00A2328F">
        <w:rPr>
          <w:rFonts w:ascii="Arial" w:hAnsi="Arial" w:cs="Arial"/>
          <w:sz w:val="24"/>
          <w:szCs w:val="24"/>
          <w:lang w:val="en-US"/>
        </w:rPr>
        <w:t>, whether the public has the information required to be able to effectively engage with government</w:t>
      </w:r>
      <w:r w:rsidR="00DB013A" w:rsidRPr="00A2328F">
        <w:rPr>
          <w:rFonts w:ascii="Arial" w:hAnsi="Arial" w:cs="Arial"/>
          <w:sz w:val="24"/>
          <w:szCs w:val="24"/>
          <w:lang w:val="en-US"/>
        </w:rPr>
        <w:t>.</w:t>
      </w:r>
      <w:r w:rsidR="00E65B86" w:rsidRPr="00A2328F">
        <w:rPr>
          <w:rFonts w:ascii="Arial" w:hAnsi="Arial" w:cs="Arial"/>
          <w:sz w:val="24"/>
          <w:szCs w:val="24"/>
          <w:lang w:val="en-US"/>
        </w:rPr>
        <w:t xml:space="preserve"> For </w:t>
      </w:r>
      <w:r w:rsidR="005F5A62" w:rsidRPr="00A2328F">
        <w:rPr>
          <w:rFonts w:ascii="Arial" w:hAnsi="Arial" w:cs="Arial"/>
          <w:sz w:val="24"/>
          <w:szCs w:val="24"/>
          <w:lang w:val="en-US"/>
        </w:rPr>
        <w:t xml:space="preserve">fiscal transparency to </w:t>
      </w:r>
      <w:r w:rsidR="00E65B86" w:rsidRPr="00A2328F">
        <w:rPr>
          <w:rFonts w:ascii="Arial" w:hAnsi="Arial" w:cs="Arial"/>
          <w:sz w:val="24"/>
          <w:szCs w:val="24"/>
          <w:lang w:val="en-US"/>
        </w:rPr>
        <w:t xml:space="preserve">have impact, </w:t>
      </w:r>
      <w:r w:rsidR="005F5A62" w:rsidRPr="00A2328F">
        <w:rPr>
          <w:rFonts w:ascii="Arial" w:hAnsi="Arial" w:cs="Arial"/>
          <w:sz w:val="24"/>
          <w:szCs w:val="24"/>
          <w:lang w:val="en-US"/>
        </w:rPr>
        <w:t>it needs</w:t>
      </w:r>
      <w:r w:rsidR="00DB013A" w:rsidRPr="00A2328F">
        <w:rPr>
          <w:rFonts w:ascii="Arial" w:hAnsi="Arial" w:cs="Arial"/>
          <w:sz w:val="24"/>
          <w:szCs w:val="24"/>
          <w:lang w:val="en-US"/>
        </w:rPr>
        <w:t xml:space="preserve"> to be </w:t>
      </w:r>
      <w:r w:rsidR="00E65B86" w:rsidRPr="00A2328F">
        <w:rPr>
          <w:rFonts w:ascii="Arial" w:hAnsi="Arial" w:cs="Arial"/>
          <w:sz w:val="24"/>
          <w:szCs w:val="24"/>
          <w:lang w:val="en-US"/>
        </w:rPr>
        <w:t xml:space="preserve">meaningful. </w:t>
      </w:r>
      <w:r w:rsidR="00DB013A" w:rsidRPr="00A2328F">
        <w:rPr>
          <w:rFonts w:ascii="Arial" w:hAnsi="Arial" w:cs="Arial"/>
          <w:sz w:val="24"/>
          <w:szCs w:val="24"/>
          <w:lang w:val="en-US"/>
        </w:rPr>
        <w:t>Indeed, a</w:t>
      </w:r>
      <w:r w:rsidR="00DB013A" w:rsidRPr="00A2328F">
        <w:rPr>
          <w:rFonts w:ascii="Arial" w:hAnsi="Arial" w:cs="Arial"/>
          <w:sz w:val="24"/>
          <w:szCs w:val="24"/>
        </w:rPr>
        <w:t>t GIFT, it’s often expressed that fiscal transparency that is not used, is useless!</w:t>
      </w:r>
      <w:r w:rsidR="00562821" w:rsidRPr="00A2328F">
        <w:rPr>
          <w:rFonts w:ascii="Arial" w:hAnsi="Arial" w:cs="Arial"/>
          <w:sz w:val="24"/>
          <w:szCs w:val="24"/>
        </w:rPr>
        <w:t xml:space="preserve"> </w:t>
      </w:r>
    </w:p>
    <w:p w14:paraId="579E9DA4" w14:textId="54D19AF4" w:rsidR="00890E32" w:rsidRDefault="00D06A91" w:rsidP="00A2328F">
      <w:pPr>
        <w:spacing w:after="160"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64478" behindDoc="1" locked="0" layoutInCell="1" allowOverlap="1" wp14:anchorId="28485E8E" wp14:editId="5FCF4E12">
            <wp:simplePos x="0" y="0"/>
            <wp:positionH relativeFrom="margin">
              <wp:posOffset>1183005</wp:posOffset>
            </wp:positionH>
            <wp:positionV relativeFrom="paragraph">
              <wp:posOffset>111125</wp:posOffset>
            </wp:positionV>
            <wp:extent cx="4279900" cy="2171700"/>
            <wp:effectExtent l="0" t="0" r="0" b="0"/>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427990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B74345" w14:textId="0E725FCB" w:rsidR="00B70FBF" w:rsidRDefault="00B70FBF" w:rsidP="00A2328F">
      <w:pPr>
        <w:spacing w:after="160" w:line="276" w:lineRule="auto"/>
        <w:contextualSpacing/>
        <w:jc w:val="both"/>
        <w:rPr>
          <w:rFonts w:ascii="Arial" w:hAnsi="Arial" w:cs="Arial"/>
          <w:sz w:val="24"/>
          <w:szCs w:val="24"/>
        </w:rPr>
      </w:pPr>
    </w:p>
    <w:p w14:paraId="6CD00FE6" w14:textId="77777777" w:rsidR="00890E32" w:rsidRPr="00A2328F" w:rsidRDefault="00890E32" w:rsidP="00A2328F">
      <w:pPr>
        <w:spacing w:after="160" w:line="276" w:lineRule="auto"/>
        <w:contextualSpacing/>
        <w:jc w:val="both"/>
        <w:rPr>
          <w:rFonts w:ascii="Arial" w:hAnsi="Arial" w:cs="Arial"/>
          <w:sz w:val="24"/>
          <w:szCs w:val="24"/>
        </w:rPr>
      </w:pPr>
    </w:p>
    <w:p w14:paraId="044EB3D9"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6D0993C3"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180398F7"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49C29A1F"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605E9AEC"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77C6CA8F"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177855FC"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756E3463"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7181BB2E" w14:textId="77777777" w:rsidR="00D06A91" w:rsidRDefault="00D06A91" w:rsidP="00A2328F">
      <w:pPr>
        <w:spacing w:after="160" w:line="276" w:lineRule="auto"/>
        <w:contextualSpacing/>
        <w:jc w:val="both"/>
        <w:rPr>
          <w:rFonts w:ascii="Arial" w:hAnsi="Arial" w:cs="Arial"/>
          <w:b/>
          <w:bCs/>
          <w:color w:val="ED5625"/>
          <w:sz w:val="24"/>
          <w:szCs w:val="24"/>
          <w:lang w:val="en-US"/>
        </w:rPr>
      </w:pPr>
    </w:p>
    <w:p w14:paraId="2B66E4E4" w14:textId="52DFDF2E" w:rsidR="00890E32" w:rsidRPr="00890E32" w:rsidRDefault="00C54862" w:rsidP="00A2328F">
      <w:pPr>
        <w:spacing w:after="160" w:line="276" w:lineRule="auto"/>
        <w:contextualSpacing/>
        <w:jc w:val="both"/>
        <w:rPr>
          <w:rFonts w:ascii="Arial" w:hAnsi="Arial" w:cs="Arial"/>
          <w:b/>
          <w:bCs/>
          <w:color w:val="ED5625"/>
          <w:sz w:val="24"/>
          <w:szCs w:val="24"/>
          <w:lang w:val="en-US"/>
        </w:rPr>
      </w:pPr>
      <w:r w:rsidRPr="00890E32">
        <w:rPr>
          <w:rFonts w:ascii="Arial" w:hAnsi="Arial" w:cs="Arial"/>
          <w:b/>
          <w:bCs/>
          <w:color w:val="ED5625"/>
          <w:sz w:val="24"/>
          <w:szCs w:val="24"/>
          <w:lang w:val="en-US"/>
        </w:rPr>
        <w:t>K</w:t>
      </w:r>
      <w:r w:rsidR="00E65B86" w:rsidRPr="00890E32">
        <w:rPr>
          <w:rFonts w:ascii="Arial" w:hAnsi="Arial" w:cs="Arial"/>
          <w:b/>
          <w:bCs/>
          <w:color w:val="ED5625"/>
          <w:sz w:val="24"/>
          <w:szCs w:val="24"/>
          <w:lang w:val="en-US"/>
        </w:rPr>
        <w:t>ey questions</w:t>
      </w:r>
      <w:r w:rsidRPr="00890E32">
        <w:rPr>
          <w:rFonts w:ascii="Arial" w:hAnsi="Arial" w:cs="Arial"/>
          <w:b/>
          <w:bCs/>
          <w:color w:val="ED5625"/>
          <w:sz w:val="24"/>
          <w:szCs w:val="24"/>
          <w:lang w:val="en-US"/>
        </w:rPr>
        <w:t xml:space="preserve"> in this regard</w:t>
      </w:r>
      <w:r w:rsidR="00E65B86" w:rsidRPr="00890E32">
        <w:rPr>
          <w:rFonts w:ascii="Arial" w:hAnsi="Arial" w:cs="Arial"/>
          <w:b/>
          <w:bCs/>
          <w:color w:val="ED5625"/>
          <w:sz w:val="24"/>
          <w:szCs w:val="24"/>
          <w:lang w:val="en-US"/>
        </w:rPr>
        <w:t>, includ</w:t>
      </w:r>
      <w:r w:rsidRPr="00890E32">
        <w:rPr>
          <w:rFonts w:ascii="Arial" w:hAnsi="Arial" w:cs="Arial"/>
          <w:b/>
          <w:bCs/>
          <w:color w:val="ED5625"/>
          <w:sz w:val="24"/>
          <w:szCs w:val="24"/>
          <w:lang w:val="en-US"/>
        </w:rPr>
        <w:t>e</w:t>
      </w:r>
      <w:r w:rsidR="00E65B86" w:rsidRPr="00890E32">
        <w:rPr>
          <w:rFonts w:ascii="Arial" w:hAnsi="Arial" w:cs="Arial"/>
          <w:b/>
          <w:bCs/>
          <w:color w:val="ED5625"/>
          <w:sz w:val="24"/>
          <w:szCs w:val="24"/>
          <w:lang w:val="en-US"/>
        </w:rPr>
        <w:t>:</w:t>
      </w:r>
    </w:p>
    <w:p w14:paraId="0DBE5799" w14:textId="77777777" w:rsidR="00890E32" w:rsidRPr="00890E32" w:rsidRDefault="00E65B86">
      <w:pPr>
        <w:pStyle w:val="ListParagraph"/>
        <w:numPr>
          <w:ilvl w:val="0"/>
          <w:numId w:val="6"/>
        </w:numPr>
        <w:spacing w:after="160" w:line="276" w:lineRule="auto"/>
        <w:contextualSpacing/>
        <w:jc w:val="both"/>
        <w:rPr>
          <w:rFonts w:ascii="Arial" w:hAnsi="Arial" w:cs="Arial"/>
          <w:sz w:val="24"/>
          <w:szCs w:val="24"/>
          <w:lang w:val="en-ZA"/>
        </w:rPr>
      </w:pPr>
      <w:r w:rsidRPr="00890E32">
        <w:rPr>
          <w:rFonts w:ascii="Arial" w:hAnsi="Arial" w:cs="Arial"/>
          <w:sz w:val="24"/>
          <w:szCs w:val="24"/>
          <w:lang w:val="en-US"/>
        </w:rPr>
        <w:t>H</w:t>
      </w:r>
      <w:r w:rsidR="00B3053D" w:rsidRPr="00890E32">
        <w:rPr>
          <w:rFonts w:ascii="Arial" w:hAnsi="Arial" w:cs="Arial"/>
          <w:sz w:val="24"/>
          <w:szCs w:val="24"/>
          <w:lang w:val="en-ZA"/>
        </w:rPr>
        <w:t xml:space="preserve">ow easily </w:t>
      </w:r>
      <w:r w:rsidR="00C54862" w:rsidRPr="00890E32">
        <w:rPr>
          <w:rFonts w:ascii="Arial" w:hAnsi="Arial" w:cs="Arial"/>
          <w:sz w:val="24"/>
          <w:szCs w:val="24"/>
          <w:lang w:val="en-ZA"/>
        </w:rPr>
        <w:t xml:space="preserve">can </w:t>
      </w:r>
      <w:r w:rsidR="00B3053D" w:rsidRPr="00890E32">
        <w:rPr>
          <w:rFonts w:ascii="Arial" w:hAnsi="Arial" w:cs="Arial"/>
          <w:sz w:val="24"/>
          <w:szCs w:val="24"/>
          <w:lang w:val="en-ZA"/>
        </w:rPr>
        <w:t xml:space="preserve">a member of the public </w:t>
      </w:r>
      <w:r w:rsidR="00B70FBF" w:rsidRPr="00890E32">
        <w:rPr>
          <w:rFonts w:ascii="Arial" w:hAnsi="Arial" w:cs="Arial"/>
          <w:sz w:val="24"/>
          <w:szCs w:val="24"/>
          <w:lang w:val="en-ZA"/>
        </w:rPr>
        <w:t xml:space="preserve">access and then </w:t>
      </w:r>
      <w:r w:rsidR="00DB013A" w:rsidRPr="00890E32">
        <w:rPr>
          <w:rFonts w:ascii="Arial" w:hAnsi="Arial" w:cs="Arial"/>
          <w:sz w:val="24"/>
          <w:szCs w:val="24"/>
          <w:lang w:val="en-ZA"/>
        </w:rPr>
        <w:t>use</w:t>
      </w:r>
      <w:r w:rsidR="00AA5AAE" w:rsidRPr="00890E32">
        <w:rPr>
          <w:rFonts w:ascii="Arial" w:hAnsi="Arial" w:cs="Arial"/>
          <w:sz w:val="24"/>
          <w:szCs w:val="24"/>
          <w:lang w:val="en-ZA"/>
        </w:rPr>
        <w:t xml:space="preserve"> fiscal</w:t>
      </w:r>
      <w:r w:rsidR="00B3053D" w:rsidRPr="00890E32">
        <w:rPr>
          <w:rFonts w:ascii="Arial" w:hAnsi="Arial" w:cs="Arial"/>
          <w:sz w:val="24"/>
          <w:szCs w:val="24"/>
          <w:lang w:val="en-ZA"/>
        </w:rPr>
        <w:t xml:space="preserve"> information</w:t>
      </w:r>
      <w:r w:rsidR="00DB013A" w:rsidRPr="00890E32">
        <w:rPr>
          <w:rFonts w:ascii="Arial" w:hAnsi="Arial" w:cs="Arial"/>
          <w:sz w:val="24"/>
          <w:szCs w:val="24"/>
          <w:lang w:val="en-ZA"/>
        </w:rPr>
        <w:t xml:space="preserve"> to </w:t>
      </w:r>
      <w:r w:rsidR="00B3053D" w:rsidRPr="00890E32">
        <w:rPr>
          <w:rFonts w:ascii="Arial" w:hAnsi="Arial" w:cs="Arial"/>
          <w:sz w:val="24"/>
          <w:szCs w:val="24"/>
          <w:lang w:val="en-ZA"/>
        </w:rPr>
        <w:t>influence and hold government accountable for its fiscal policy decisions?</w:t>
      </w:r>
    </w:p>
    <w:p w14:paraId="669B25F1" w14:textId="77777777" w:rsidR="00890E32" w:rsidRPr="00890E32" w:rsidRDefault="00B3053D">
      <w:pPr>
        <w:pStyle w:val="ListParagraph"/>
        <w:numPr>
          <w:ilvl w:val="0"/>
          <w:numId w:val="6"/>
        </w:numPr>
        <w:spacing w:after="160" w:line="276" w:lineRule="auto"/>
        <w:contextualSpacing/>
        <w:jc w:val="both"/>
        <w:rPr>
          <w:rFonts w:ascii="Arial" w:hAnsi="Arial" w:cs="Arial"/>
          <w:sz w:val="24"/>
          <w:szCs w:val="24"/>
          <w:lang w:val="en-US"/>
        </w:rPr>
      </w:pPr>
      <w:r w:rsidRPr="00890E32">
        <w:rPr>
          <w:rFonts w:ascii="Arial" w:hAnsi="Arial" w:cs="Arial"/>
          <w:sz w:val="24"/>
          <w:szCs w:val="24"/>
          <w:lang w:val="en-US"/>
        </w:rPr>
        <w:t>Does a person not in public office have the information needed to be able to form an opinion on how government is raising revenue</w:t>
      </w:r>
      <w:r w:rsidR="00C54862" w:rsidRPr="00890E32">
        <w:rPr>
          <w:rFonts w:ascii="Arial" w:hAnsi="Arial" w:cs="Arial"/>
          <w:sz w:val="24"/>
          <w:szCs w:val="24"/>
          <w:lang w:val="en-US"/>
        </w:rPr>
        <w:t>,</w:t>
      </w:r>
      <w:r w:rsidRPr="00890E32">
        <w:rPr>
          <w:rFonts w:ascii="Arial" w:hAnsi="Arial" w:cs="Arial"/>
          <w:sz w:val="24"/>
          <w:szCs w:val="24"/>
          <w:lang w:val="en-US"/>
        </w:rPr>
        <w:t xml:space="preserve"> and how the government intends to use </w:t>
      </w:r>
      <w:r w:rsidR="00C54862" w:rsidRPr="00890E32">
        <w:rPr>
          <w:rFonts w:ascii="Arial" w:hAnsi="Arial" w:cs="Arial"/>
          <w:sz w:val="24"/>
          <w:szCs w:val="24"/>
          <w:lang w:val="en-US"/>
        </w:rPr>
        <w:t>it</w:t>
      </w:r>
      <w:r w:rsidRPr="00890E32">
        <w:rPr>
          <w:rFonts w:ascii="Arial" w:hAnsi="Arial" w:cs="Arial"/>
          <w:sz w:val="24"/>
          <w:szCs w:val="24"/>
          <w:lang w:val="en-US"/>
        </w:rPr>
        <w:t xml:space="preserve"> to deliver goods and services?</w:t>
      </w:r>
    </w:p>
    <w:p w14:paraId="4718DBF7" w14:textId="266376BC" w:rsidR="00C54862" w:rsidRDefault="00B3053D">
      <w:pPr>
        <w:pStyle w:val="ListParagraph"/>
        <w:numPr>
          <w:ilvl w:val="0"/>
          <w:numId w:val="6"/>
        </w:numPr>
        <w:spacing w:after="160" w:line="276" w:lineRule="auto"/>
        <w:contextualSpacing/>
        <w:jc w:val="both"/>
        <w:rPr>
          <w:rFonts w:ascii="Arial" w:hAnsi="Arial" w:cs="Arial"/>
          <w:sz w:val="24"/>
          <w:szCs w:val="24"/>
          <w:lang w:val="en-US"/>
        </w:rPr>
      </w:pPr>
      <w:r w:rsidRPr="00890E32">
        <w:rPr>
          <w:rFonts w:ascii="Arial" w:hAnsi="Arial" w:cs="Arial"/>
          <w:sz w:val="24"/>
          <w:szCs w:val="24"/>
          <w:lang w:val="en-US"/>
        </w:rPr>
        <w:t xml:space="preserve">Does this person know what the government ultimately aims to achieve, by delivering these goods and services, in the form of broader economic, social and other developmental outputs and outcomes; and importantly whether it has achieved what it set out to achieve once it has implemented its policies? </w:t>
      </w:r>
    </w:p>
    <w:p w14:paraId="50CEC052" w14:textId="77777777" w:rsidR="00890E32" w:rsidRPr="00890E32" w:rsidRDefault="00890E32" w:rsidP="00890E32">
      <w:pPr>
        <w:pStyle w:val="ListParagraph"/>
        <w:spacing w:after="160" w:line="276" w:lineRule="auto"/>
        <w:contextualSpacing/>
        <w:jc w:val="both"/>
        <w:rPr>
          <w:rFonts w:ascii="Arial" w:hAnsi="Arial" w:cs="Arial"/>
          <w:sz w:val="24"/>
          <w:szCs w:val="24"/>
          <w:lang w:val="en-US"/>
        </w:rPr>
      </w:pPr>
    </w:p>
    <w:p w14:paraId="479CE816" w14:textId="122E8749" w:rsidR="00AA5AAE" w:rsidRDefault="00E65B86" w:rsidP="00A2328F">
      <w:pPr>
        <w:spacing w:before="120" w:after="160" w:line="276" w:lineRule="auto"/>
        <w:jc w:val="both"/>
        <w:rPr>
          <w:rFonts w:ascii="Arial" w:hAnsi="Arial" w:cs="Arial"/>
          <w:i/>
          <w:sz w:val="24"/>
          <w:szCs w:val="24"/>
          <w:lang w:val="en-ZA"/>
        </w:rPr>
      </w:pPr>
      <w:r w:rsidRPr="00A2328F">
        <w:rPr>
          <w:rFonts w:ascii="Arial" w:hAnsi="Arial" w:cs="Arial"/>
          <w:sz w:val="24"/>
          <w:szCs w:val="24"/>
          <w:lang w:val="en-US"/>
        </w:rPr>
        <w:t xml:space="preserve">This brings three concepts to the fore that are important </w:t>
      </w:r>
      <w:r w:rsidR="00AA5AAE" w:rsidRPr="00A2328F">
        <w:rPr>
          <w:rFonts w:ascii="Arial" w:hAnsi="Arial" w:cs="Arial"/>
          <w:sz w:val="24"/>
          <w:szCs w:val="24"/>
          <w:lang w:val="en-US"/>
        </w:rPr>
        <w:t>for</w:t>
      </w:r>
      <w:r w:rsidRPr="00A2328F">
        <w:rPr>
          <w:rFonts w:ascii="Arial" w:hAnsi="Arial" w:cs="Arial"/>
          <w:sz w:val="24"/>
          <w:szCs w:val="24"/>
          <w:lang w:val="en-US"/>
        </w:rPr>
        <w:t xml:space="preserve"> fiscal transparency </w:t>
      </w:r>
      <w:r w:rsidR="00AA5AAE" w:rsidRPr="00A2328F">
        <w:rPr>
          <w:rFonts w:ascii="Arial" w:hAnsi="Arial" w:cs="Arial"/>
          <w:sz w:val="24"/>
          <w:szCs w:val="24"/>
          <w:lang w:val="en-US"/>
        </w:rPr>
        <w:t>to be</w:t>
      </w:r>
      <w:r w:rsidRPr="00A2328F">
        <w:rPr>
          <w:rFonts w:ascii="Arial" w:hAnsi="Arial" w:cs="Arial"/>
          <w:sz w:val="24"/>
          <w:szCs w:val="24"/>
          <w:lang w:val="en-US"/>
        </w:rPr>
        <w:t xml:space="preserve"> meaningful</w:t>
      </w:r>
      <w:r w:rsidR="00DB013A" w:rsidRPr="00A2328F">
        <w:rPr>
          <w:rFonts w:ascii="Arial" w:hAnsi="Arial" w:cs="Arial"/>
          <w:sz w:val="24"/>
          <w:szCs w:val="24"/>
          <w:lang w:val="en-US"/>
        </w:rPr>
        <w:t>, they are</w:t>
      </w:r>
      <w:r w:rsidR="00AA5AAE" w:rsidRPr="00A2328F">
        <w:rPr>
          <w:rFonts w:ascii="Arial" w:hAnsi="Arial" w:cs="Arial"/>
          <w:sz w:val="24"/>
          <w:szCs w:val="24"/>
          <w:lang w:val="en-US"/>
        </w:rPr>
        <w:t xml:space="preserve"> </w:t>
      </w:r>
      <w:r w:rsidRPr="00A2328F">
        <w:rPr>
          <w:rFonts w:ascii="Arial" w:hAnsi="Arial" w:cs="Arial"/>
          <w:sz w:val="24"/>
          <w:szCs w:val="24"/>
          <w:lang w:val="en-ZA"/>
        </w:rPr>
        <w:t>public participation; fiscal openness; and accountability</w:t>
      </w:r>
      <w:r w:rsidR="00DB013A" w:rsidRPr="00A2328F">
        <w:rPr>
          <w:rFonts w:ascii="Arial" w:hAnsi="Arial" w:cs="Arial"/>
          <w:sz w:val="24"/>
          <w:szCs w:val="24"/>
          <w:lang w:val="en-ZA"/>
        </w:rPr>
        <w:t>:</w:t>
      </w:r>
      <w:r w:rsidR="00AA5AAE" w:rsidRPr="00A2328F">
        <w:rPr>
          <w:rFonts w:ascii="Arial" w:hAnsi="Arial" w:cs="Arial"/>
          <w:i/>
          <w:sz w:val="24"/>
          <w:szCs w:val="24"/>
          <w:lang w:val="en-ZA"/>
        </w:rPr>
        <w:t xml:space="preserve"> </w:t>
      </w:r>
    </w:p>
    <w:p w14:paraId="1E08BA89" w14:textId="61251DCE" w:rsidR="00ED546D" w:rsidRPr="00ED546D" w:rsidRDefault="00ED546D" w:rsidP="00A2328F">
      <w:pPr>
        <w:spacing w:before="120" w:after="160" w:line="276" w:lineRule="auto"/>
        <w:jc w:val="both"/>
        <w:rPr>
          <w:rFonts w:ascii="Arial" w:hAnsi="Arial" w:cs="Arial"/>
          <w:iCs/>
          <w:sz w:val="24"/>
          <w:szCs w:val="24"/>
          <w:lang w:val="en-ZA"/>
        </w:rPr>
      </w:pPr>
      <w:r w:rsidRPr="00ED546D">
        <w:rPr>
          <w:rFonts w:ascii="Arial" w:hAnsi="Arial" w:cs="Arial"/>
          <w:bCs/>
          <w:noProof/>
          <w:color w:val="82C9A0"/>
          <w:sz w:val="24"/>
          <w:szCs w:val="24"/>
          <w:lang w:val="en-US"/>
        </w:rPr>
        <mc:AlternateContent>
          <mc:Choice Requires="wps">
            <w:drawing>
              <wp:anchor distT="0" distB="0" distL="114300" distR="114300" simplePos="0" relativeHeight="251740160" behindDoc="0" locked="0" layoutInCell="1" allowOverlap="1" wp14:anchorId="67F554B4" wp14:editId="7D8F2E74">
                <wp:simplePos x="0" y="0"/>
                <wp:positionH relativeFrom="column">
                  <wp:posOffset>0</wp:posOffset>
                </wp:positionH>
                <wp:positionV relativeFrom="paragraph">
                  <wp:posOffset>-635</wp:posOffset>
                </wp:positionV>
                <wp:extent cx="6667500" cy="351155"/>
                <wp:effectExtent l="0" t="0" r="0" b="4445"/>
                <wp:wrapNone/>
                <wp:docPr id="192" name="Rounded Rectangle 192"/>
                <wp:cNvGraphicFramePr/>
                <a:graphic xmlns:a="http://schemas.openxmlformats.org/drawingml/2006/main">
                  <a:graphicData uri="http://schemas.microsoft.com/office/word/2010/wordprocessingShape">
                    <wps:wsp>
                      <wps:cNvSpPr/>
                      <wps:spPr>
                        <a:xfrm>
                          <a:off x="0" y="0"/>
                          <a:ext cx="6667500" cy="351155"/>
                        </a:xfrm>
                        <a:prstGeom prst="round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4E55204D" id="Rounded Rectangle 192" o:spid="_x0000_s1026" style="position:absolute;margin-left:0;margin-top:-.05pt;width:525pt;height:27.65pt;z-index:251740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" fillcolor="#f27e20" stroked="f" strokeweight="1pt">
                <v:stroke joinstyle="miter"/>
              </v:roundrect>
            </w:pict>
          </mc:Fallback>
        </mc:AlternateContent>
      </w:r>
      <w:r>
        <w:rPr>
          <w:rFonts w:ascii="Arial" w:hAnsi="Arial" w:cs="Arial"/>
          <w:bCs/>
          <w:noProof/>
          <w:sz w:val="24"/>
          <w:szCs w:val="24"/>
          <w:lang w:val="en-US"/>
        </w:rPr>
        <mc:AlternateContent>
          <mc:Choice Requires="wps">
            <w:drawing>
              <wp:anchor distT="0" distB="0" distL="114300" distR="114300" simplePos="0" relativeHeight="251741184" behindDoc="0" locked="0" layoutInCell="1" allowOverlap="1" wp14:anchorId="51D1E6EF" wp14:editId="78F60648">
                <wp:simplePos x="0" y="0"/>
                <wp:positionH relativeFrom="margin">
                  <wp:posOffset>678180</wp:posOffset>
                </wp:positionH>
                <wp:positionV relativeFrom="paragraph">
                  <wp:posOffset>40640</wp:posOffset>
                </wp:positionV>
                <wp:extent cx="5274945" cy="266700"/>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5274945" cy="266700"/>
                        </a:xfrm>
                        <a:prstGeom prst="rect">
                          <a:avLst/>
                        </a:prstGeom>
                        <a:noFill/>
                        <a:ln w="6350">
                          <a:noFill/>
                        </a:ln>
                      </wps:spPr>
                      <wps:txbx>
                        <w:txbxContent>
                          <w:p w14:paraId="4FE8EA64" w14:textId="73410AD9" w:rsidR="00D15FD8" w:rsidRPr="00ED546D" w:rsidRDefault="00D15FD8" w:rsidP="00ED546D">
                            <w:pPr>
                              <w:jc w:val="center"/>
                              <w:rPr>
                                <w:rFonts w:ascii="Arial" w:hAnsi="Arial" w:cs="Arial"/>
                                <w:i/>
                                <w:iCs/>
                                <w:color w:val="FFFFFF" w:themeColor="background1"/>
                                <w:sz w:val="24"/>
                                <w:szCs w:val="24"/>
                                <w:lang w:val="en-US"/>
                              </w:rPr>
                            </w:pPr>
                            <w:r w:rsidRPr="00ED546D">
                              <w:rPr>
                                <w:rFonts w:ascii="Arial" w:hAnsi="Arial" w:cs="Arial"/>
                                <w:i/>
                                <w:iCs/>
                                <w:color w:val="FFFFFF" w:themeColor="background1"/>
                                <w:sz w:val="24"/>
                                <w:szCs w:val="24"/>
                                <w:lang w:val="en-US"/>
                              </w:rPr>
                              <w:t xml:space="preserve">Public </w:t>
                            </w:r>
                            <w:r>
                              <w:rPr>
                                <w:rFonts w:ascii="Arial" w:hAnsi="Arial" w:cs="Arial"/>
                                <w:i/>
                                <w:iCs/>
                                <w:color w:val="FFFFFF" w:themeColor="background1"/>
                                <w:sz w:val="24"/>
                                <w:szCs w:val="24"/>
                                <w:lang w:val="en-US"/>
                              </w:rPr>
                              <w:t>p</w:t>
                            </w:r>
                            <w:r w:rsidRPr="00ED546D">
                              <w:rPr>
                                <w:rFonts w:ascii="Arial" w:hAnsi="Arial" w:cs="Arial"/>
                                <w:i/>
                                <w:iCs/>
                                <w:color w:val="FFFFFF" w:themeColor="background1"/>
                                <w:sz w:val="24"/>
                                <w:szCs w:val="24"/>
                                <w:lang w:val="en-US"/>
                              </w:rPr>
                              <w:t>articipation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1E6EF" id="Text Box 193" o:spid="_x0000_s1040" type="#_x0000_t202" style="position:absolute;left:0;text-align:left;margin-left:53.4pt;margin-top:3.2pt;width:415.35pt;height:21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" filled="f" stroked="f" strokeweight=".5pt">
                <v:textbox>
                  <w:txbxContent>
                    <w:p w14:paraId="4FE8EA64" w14:textId="73410AD9" w:rsidR="00D15FD8" w:rsidRPr="00ED546D" w:rsidRDefault="00D15FD8" w:rsidP="00ED546D">
                      <w:pPr>
                        <w:jc w:val="center"/>
                        <w:rPr>
                          <w:rFonts w:ascii="Arial" w:hAnsi="Arial" w:cs="Arial"/>
                          <w:i/>
                          <w:iCs/>
                          <w:color w:val="FFFFFF" w:themeColor="background1"/>
                          <w:sz w:val="24"/>
                          <w:szCs w:val="24"/>
                          <w:lang w:val="en-US"/>
                        </w:rPr>
                      </w:pPr>
                      <w:r w:rsidRPr="00ED546D">
                        <w:rPr>
                          <w:rFonts w:ascii="Arial" w:hAnsi="Arial" w:cs="Arial"/>
                          <w:i/>
                          <w:iCs/>
                          <w:color w:val="FFFFFF" w:themeColor="background1"/>
                          <w:sz w:val="24"/>
                          <w:szCs w:val="24"/>
                          <w:lang w:val="en-US"/>
                        </w:rPr>
                        <w:t xml:space="preserve">Public </w:t>
                      </w:r>
                      <w:r>
                        <w:rPr>
                          <w:rFonts w:ascii="Arial" w:hAnsi="Arial" w:cs="Arial"/>
                          <w:i/>
                          <w:iCs/>
                          <w:color w:val="FFFFFF" w:themeColor="background1"/>
                          <w:sz w:val="24"/>
                          <w:szCs w:val="24"/>
                          <w:lang w:val="en-US"/>
                        </w:rPr>
                        <w:t>p</w:t>
                      </w:r>
                      <w:r w:rsidRPr="00ED546D">
                        <w:rPr>
                          <w:rFonts w:ascii="Arial" w:hAnsi="Arial" w:cs="Arial"/>
                          <w:i/>
                          <w:iCs/>
                          <w:color w:val="FFFFFF" w:themeColor="background1"/>
                          <w:sz w:val="24"/>
                          <w:szCs w:val="24"/>
                          <w:lang w:val="en-US"/>
                        </w:rPr>
                        <w:t>articipation</w:t>
                      </w:r>
                    </w:p>
                  </w:txbxContent>
                </v:textbox>
                <w10:wrap anchorx="margin"/>
              </v:shape>
            </w:pict>
          </mc:Fallback>
        </mc:AlternateContent>
      </w:r>
    </w:p>
    <w:p w14:paraId="28098D0B" w14:textId="77777777" w:rsidR="00AD63A0" w:rsidRDefault="00AD63A0" w:rsidP="00890E32">
      <w:pPr>
        <w:spacing w:line="276" w:lineRule="auto"/>
        <w:jc w:val="both"/>
        <w:rPr>
          <w:rFonts w:ascii="Arial" w:hAnsi="Arial" w:cs="Arial"/>
          <w:i/>
          <w:sz w:val="24"/>
          <w:szCs w:val="24"/>
        </w:rPr>
      </w:pPr>
    </w:p>
    <w:p w14:paraId="475E0919" w14:textId="14A028A2" w:rsidR="00235103" w:rsidRPr="009E0715" w:rsidRDefault="00AA5AAE">
      <w:pPr>
        <w:pStyle w:val="ListParagraph"/>
        <w:numPr>
          <w:ilvl w:val="0"/>
          <w:numId w:val="8"/>
        </w:numPr>
        <w:spacing w:line="276" w:lineRule="auto"/>
        <w:jc w:val="both"/>
        <w:rPr>
          <w:rFonts w:ascii="Arial" w:hAnsi="Arial" w:cs="Arial"/>
          <w:sz w:val="24"/>
          <w:szCs w:val="24"/>
        </w:rPr>
      </w:pPr>
      <w:r w:rsidRPr="009E0715">
        <w:rPr>
          <w:rFonts w:ascii="Arial" w:hAnsi="Arial" w:cs="Arial"/>
          <w:sz w:val="24"/>
          <w:szCs w:val="24"/>
        </w:rPr>
        <w:t xml:space="preserve">The variety of ways in which the general public interact directly with public authorities with respect to the design, implementation and review of public policies by any form of communication. </w:t>
      </w:r>
      <w:r w:rsidR="005F5A62" w:rsidRPr="009E0715">
        <w:rPr>
          <w:rFonts w:ascii="Arial" w:hAnsi="Arial" w:cs="Arial"/>
          <w:sz w:val="24"/>
          <w:szCs w:val="24"/>
        </w:rPr>
        <w:t xml:space="preserve">Public participation </w:t>
      </w:r>
      <w:r w:rsidR="00E630BC" w:rsidRPr="009E0715">
        <w:rPr>
          <w:rFonts w:ascii="Arial" w:hAnsi="Arial" w:cs="Arial"/>
          <w:sz w:val="24"/>
          <w:szCs w:val="24"/>
        </w:rPr>
        <w:t>provides</w:t>
      </w:r>
      <w:r w:rsidR="005F5A62" w:rsidRPr="009E0715">
        <w:rPr>
          <w:rFonts w:ascii="Arial" w:hAnsi="Arial" w:cs="Arial"/>
          <w:sz w:val="24"/>
          <w:szCs w:val="24"/>
        </w:rPr>
        <w:t xml:space="preserve"> those outside of the executive </w:t>
      </w:r>
      <w:r w:rsidR="00E630BC" w:rsidRPr="009E0715">
        <w:rPr>
          <w:rFonts w:ascii="Arial" w:hAnsi="Arial" w:cs="Arial"/>
          <w:sz w:val="24"/>
          <w:szCs w:val="24"/>
        </w:rPr>
        <w:t>with opportunities where their voices can be heard</w:t>
      </w:r>
      <w:r w:rsidR="005F5A62" w:rsidRPr="009E0715">
        <w:rPr>
          <w:rFonts w:ascii="Arial" w:hAnsi="Arial" w:cs="Arial"/>
          <w:sz w:val="24"/>
          <w:szCs w:val="24"/>
        </w:rPr>
        <w:t>.</w:t>
      </w:r>
    </w:p>
    <w:p w14:paraId="5F437DD4" w14:textId="08879BF0" w:rsidR="003D6379" w:rsidRDefault="003D6379">
      <w:pPr>
        <w:spacing w:after="160" w:line="259" w:lineRule="auto"/>
        <w:rPr>
          <w:rFonts w:ascii="Arial" w:hAnsi="Arial" w:cs="Arial"/>
          <w:sz w:val="24"/>
          <w:szCs w:val="24"/>
        </w:rPr>
      </w:pPr>
      <w:r>
        <w:rPr>
          <w:rFonts w:ascii="Arial" w:hAnsi="Arial" w:cs="Arial"/>
          <w:sz w:val="24"/>
          <w:szCs w:val="24"/>
        </w:rPr>
        <w:br w:type="page"/>
      </w:r>
    </w:p>
    <w:p w14:paraId="557602A7" w14:textId="7DFB72F2" w:rsidR="00235103" w:rsidRPr="00235103" w:rsidRDefault="003D6379" w:rsidP="00890E32">
      <w:pPr>
        <w:spacing w:line="276" w:lineRule="auto"/>
        <w:jc w:val="both"/>
        <w:rPr>
          <w:rFonts w:ascii="Arial" w:hAnsi="Arial" w:cs="Arial"/>
          <w:sz w:val="24"/>
          <w:szCs w:val="24"/>
        </w:rPr>
      </w:pPr>
      <w:r>
        <w:rPr>
          <w:rFonts w:ascii="Arial" w:hAnsi="Arial" w:cs="Arial"/>
          <w:bCs/>
          <w:noProof/>
          <w:sz w:val="24"/>
          <w:szCs w:val="24"/>
          <w:lang w:val="en-US"/>
        </w:rPr>
        <w:lastRenderedPageBreak/>
        <mc:AlternateContent>
          <mc:Choice Requires="wps">
            <w:drawing>
              <wp:anchor distT="0" distB="0" distL="114300" distR="114300" simplePos="0" relativeHeight="251744256" behindDoc="0" locked="0" layoutInCell="1" allowOverlap="1" wp14:anchorId="6E563865" wp14:editId="30560CB1">
                <wp:simplePos x="0" y="0"/>
                <wp:positionH relativeFrom="margin">
                  <wp:posOffset>714067</wp:posOffset>
                </wp:positionH>
                <wp:positionV relativeFrom="paragraph">
                  <wp:posOffset>16548</wp:posOffset>
                </wp:positionV>
                <wp:extent cx="5274945" cy="266700"/>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5274945" cy="266700"/>
                        </a:xfrm>
                        <a:prstGeom prst="rect">
                          <a:avLst/>
                        </a:prstGeom>
                        <a:noFill/>
                        <a:ln w="6350">
                          <a:noFill/>
                        </a:ln>
                      </wps:spPr>
                      <wps:txbx>
                        <w:txbxContent>
                          <w:p w14:paraId="655F73F1" w14:textId="3DB5D893" w:rsidR="00D15FD8" w:rsidRPr="00ED546D" w:rsidRDefault="00D15FD8" w:rsidP="00ED546D">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Openness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63865" id="Text Box 195" o:spid="_x0000_s1041" type="#_x0000_t202" style="position:absolute;left:0;text-align:left;margin-left:56.25pt;margin-top:1.3pt;width:415.35pt;height:21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" filled="f" stroked="f" strokeweight=".5pt">
                <v:textbox>
                  <w:txbxContent>
                    <w:p w14:paraId="655F73F1" w14:textId="3DB5D893" w:rsidR="00D15FD8" w:rsidRPr="00ED546D" w:rsidRDefault="00D15FD8" w:rsidP="00ED546D">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Openness</w:t>
                      </w:r>
                    </w:p>
                  </w:txbxContent>
                </v:textbox>
                <w10:wrap anchorx="margin"/>
              </v:shape>
            </w:pict>
          </mc:Fallback>
        </mc:AlternateContent>
      </w:r>
      <w:r w:rsidRPr="00ED546D">
        <w:rPr>
          <w:rFonts w:ascii="Arial" w:hAnsi="Arial" w:cs="Arial"/>
          <w:bCs/>
          <w:noProof/>
          <w:color w:val="82C9A0"/>
          <w:sz w:val="24"/>
          <w:szCs w:val="24"/>
          <w:lang w:val="en-US"/>
        </w:rPr>
        <mc:AlternateContent>
          <mc:Choice Requires="wps">
            <w:drawing>
              <wp:anchor distT="0" distB="0" distL="114300" distR="114300" simplePos="0" relativeHeight="251743232" behindDoc="0" locked="0" layoutInCell="1" allowOverlap="1" wp14:anchorId="2CCD828F" wp14:editId="0FA560AC">
                <wp:simplePos x="0" y="0"/>
                <wp:positionH relativeFrom="margin">
                  <wp:align>left</wp:align>
                </wp:positionH>
                <wp:positionV relativeFrom="paragraph">
                  <wp:posOffset>2118</wp:posOffset>
                </wp:positionV>
                <wp:extent cx="6667500" cy="351155"/>
                <wp:effectExtent l="0" t="0" r="0" b="0"/>
                <wp:wrapNone/>
                <wp:docPr id="194" name="Rounded Rectangle 194"/>
                <wp:cNvGraphicFramePr/>
                <a:graphic xmlns:a="http://schemas.openxmlformats.org/drawingml/2006/main">
                  <a:graphicData uri="http://schemas.microsoft.com/office/word/2010/wordprocessingShape">
                    <wps:wsp>
                      <wps:cNvSpPr/>
                      <wps:spPr>
                        <a:xfrm>
                          <a:off x="0" y="0"/>
                          <a:ext cx="6667500" cy="351155"/>
                        </a:xfrm>
                        <a:prstGeom prst="round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12D202D0" id="Rounded Rectangle 194" o:spid="_x0000_s1026" style="position:absolute;margin-left:0;margin-top:.15pt;width:525pt;height:27.65pt;z-index:251743232;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" fillcolor="#f27e20" stroked="f" strokeweight="1pt">
                <v:stroke joinstyle="miter"/>
                <w10:wrap anchorx="margin"/>
              </v:roundrect>
            </w:pict>
          </mc:Fallback>
        </mc:AlternateContent>
      </w:r>
    </w:p>
    <w:p w14:paraId="03FEE9E4" w14:textId="0D688678" w:rsidR="00ED546D" w:rsidRPr="00890E32" w:rsidRDefault="00ED546D" w:rsidP="00890E32">
      <w:pPr>
        <w:spacing w:line="276" w:lineRule="auto"/>
        <w:jc w:val="both"/>
        <w:rPr>
          <w:rFonts w:ascii="Arial" w:hAnsi="Arial" w:cs="Arial"/>
          <w:sz w:val="24"/>
          <w:szCs w:val="24"/>
        </w:rPr>
      </w:pPr>
    </w:p>
    <w:p w14:paraId="188490C6" w14:textId="40D6EF81" w:rsidR="00ED546D" w:rsidRPr="007B0E2F" w:rsidRDefault="00AA5AAE">
      <w:pPr>
        <w:pStyle w:val="ListParagraph"/>
        <w:numPr>
          <w:ilvl w:val="0"/>
          <w:numId w:val="8"/>
        </w:numPr>
        <w:spacing w:line="276" w:lineRule="auto"/>
        <w:jc w:val="both"/>
        <w:rPr>
          <w:rFonts w:ascii="Arial" w:hAnsi="Arial" w:cs="Arial"/>
          <w:sz w:val="24"/>
          <w:szCs w:val="24"/>
        </w:rPr>
      </w:pPr>
      <w:r w:rsidRPr="007B0E2F">
        <w:rPr>
          <w:rFonts w:ascii="Arial" w:hAnsi="Arial" w:cs="Arial"/>
          <w:sz w:val="24"/>
          <w:szCs w:val="24"/>
        </w:rPr>
        <w:t>The a</w:t>
      </w:r>
      <w:r w:rsidR="00516830" w:rsidRPr="007B0E2F">
        <w:rPr>
          <w:rFonts w:ascii="Arial" w:hAnsi="Arial" w:cs="Arial"/>
          <w:sz w:val="24"/>
          <w:szCs w:val="24"/>
        </w:rPr>
        <w:t>vailability of quality information (fiscal transparency) in combination with opportunities for direct participation in fiscal policy</w:t>
      </w:r>
      <w:r w:rsidR="00B3053D" w:rsidRPr="007B0E2F">
        <w:rPr>
          <w:rFonts w:ascii="Arial" w:hAnsi="Arial" w:cs="Arial"/>
          <w:sz w:val="24"/>
          <w:szCs w:val="24"/>
        </w:rPr>
        <w:t xml:space="preserve"> (public participation)</w:t>
      </w:r>
      <w:r w:rsidR="00516830" w:rsidRPr="007B0E2F">
        <w:rPr>
          <w:rFonts w:ascii="Arial" w:hAnsi="Arial" w:cs="Arial"/>
          <w:sz w:val="24"/>
          <w:szCs w:val="24"/>
        </w:rPr>
        <w:t xml:space="preserve">, </w:t>
      </w:r>
      <w:r w:rsidR="00DB013A" w:rsidRPr="007B0E2F">
        <w:rPr>
          <w:rFonts w:ascii="Arial" w:hAnsi="Arial" w:cs="Arial"/>
          <w:sz w:val="24"/>
          <w:szCs w:val="24"/>
        </w:rPr>
        <w:t>such</w:t>
      </w:r>
      <w:r w:rsidR="00516830" w:rsidRPr="007B0E2F">
        <w:rPr>
          <w:rFonts w:ascii="Arial" w:hAnsi="Arial" w:cs="Arial"/>
          <w:sz w:val="24"/>
          <w:szCs w:val="24"/>
        </w:rPr>
        <w:t xml:space="preserve"> </w:t>
      </w:r>
      <w:r w:rsidRPr="007B0E2F">
        <w:rPr>
          <w:rFonts w:ascii="Arial" w:hAnsi="Arial" w:cs="Arial"/>
          <w:sz w:val="24"/>
          <w:szCs w:val="24"/>
        </w:rPr>
        <w:t>that fiscal transparency</w:t>
      </w:r>
      <w:r w:rsidR="00516830" w:rsidRPr="007B0E2F">
        <w:rPr>
          <w:rFonts w:ascii="Arial" w:hAnsi="Arial" w:cs="Arial"/>
          <w:sz w:val="24"/>
          <w:szCs w:val="24"/>
        </w:rPr>
        <w:t xml:space="preserve"> can be </w:t>
      </w:r>
      <w:r w:rsidRPr="007B0E2F">
        <w:rPr>
          <w:rFonts w:ascii="Arial" w:hAnsi="Arial" w:cs="Arial"/>
          <w:sz w:val="24"/>
          <w:szCs w:val="24"/>
        </w:rPr>
        <w:t xml:space="preserve">used by the public </w:t>
      </w:r>
      <w:r w:rsidR="00516830" w:rsidRPr="007B0E2F">
        <w:rPr>
          <w:rFonts w:ascii="Arial" w:hAnsi="Arial" w:cs="Arial"/>
          <w:sz w:val="24"/>
          <w:szCs w:val="24"/>
        </w:rPr>
        <w:t xml:space="preserve">to </w:t>
      </w:r>
      <w:r w:rsidRPr="007B0E2F">
        <w:rPr>
          <w:rFonts w:ascii="Arial" w:hAnsi="Arial" w:cs="Arial"/>
          <w:sz w:val="24"/>
          <w:szCs w:val="24"/>
        </w:rPr>
        <w:t>influence and hold governments accountable for their fiscal policy decisions.</w:t>
      </w:r>
      <w:r w:rsidR="00DE1E5B" w:rsidRPr="007B0E2F">
        <w:rPr>
          <w:rFonts w:ascii="Arial" w:hAnsi="Arial" w:cs="Arial"/>
          <w:sz w:val="24"/>
          <w:szCs w:val="24"/>
        </w:rPr>
        <w:t xml:space="preserve"> </w:t>
      </w:r>
    </w:p>
    <w:p w14:paraId="10AEFAF6" w14:textId="77777777" w:rsidR="00AD63A0" w:rsidRPr="00235103" w:rsidRDefault="00AD63A0" w:rsidP="00890E32">
      <w:pPr>
        <w:spacing w:line="276" w:lineRule="auto"/>
        <w:jc w:val="both"/>
        <w:rPr>
          <w:rFonts w:ascii="Arial" w:hAnsi="Arial" w:cs="Arial"/>
          <w:sz w:val="24"/>
          <w:szCs w:val="24"/>
        </w:rPr>
      </w:pPr>
    </w:p>
    <w:p w14:paraId="55E57BF2" w14:textId="17C6F500" w:rsidR="00ED546D" w:rsidRPr="00890E32" w:rsidRDefault="00ED546D" w:rsidP="00890E32">
      <w:pPr>
        <w:spacing w:line="276" w:lineRule="auto"/>
        <w:jc w:val="both"/>
        <w:rPr>
          <w:rFonts w:ascii="Arial" w:hAnsi="Arial" w:cs="Arial"/>
          <w:sz w:val="24"/>
          <w:szCs w:val="24"/>
        </w:rPr>
      </w:pPr>
      <w:r w:rsidRPr="00ED546D">
        <w:rPr>
          <w:rFonts w:ascii="Arial" w:hAnsi="Arial" w:cs="Arial"/>
          <w:bCs/>
          <w:noProof/>
          <w:color w:val="82C9A0"/>
          <w:sz w:val="24"/>
          <w:szCs w:val="24"/>
          <w:lang w:val="en-US"/>
        </w:rPr>
        <mc:AlternateContent>
          <mc:Choice Requires="wps">
            <w:drawing>
              <wp:anchor distT="0" distB="0" distL="114300" distR="114300" simplePos="0" relativeHeight="251746304" behindDoc="0" locked="0" layoutInCell="1" allowOverlap="1" wp14:anchorId="46B1CDE0" wp14:editId="6840A81A">
                <wp:simplePos x="0" y="0"/>
                <wp:positionH relativeFrom="column">
                  <wp:posOffset>0</wp:posOffset>
                </wp:positionH>
                <wp:positionV relativeFrom="paragraph">
                  <wp:posOffset>0</wp:posOffset>
                </wp:positionV>
                <wp:extent cx="6667500" cy="351155"/>
                <wp:effectExtent l="0" t="0" r="0" b="4445"/>
                <wp:wrapNone/>
                <wp:docPr id="196" name="Rounded Rectangle 196"/>
                <wp:cNvGraphicFramePr/>
                <a:graphic xmlns:a="http://schemas.openxmlformats.org/drawingml/2006/main">
                  <a:graphicData uri="http://schemas.microsoft.com/office/word/2010/wordprocessingShape">
                    <wps:wsp>
                      <wps:cNvSpPr/>
                      <wps:spPr>
                        <a:xfrm>
                          <a:off x="0" y="0"/>
                          <a:ext cx="6667500" cy="351155"/>
                        </a:xfrm>
                        <a:prstGeom prst="round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7936C09C" id="Rounded Rectangle 196" o:spid="_x0000_s1026" style="position:absolute;margin-left:0;margin-top:0;width:525pt;height:27.65pt;z-index:251746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" fillcolor="#f27e20" stroked="f" strokeweight="1pt">
                <v:stroke joinstyle="miter"/>
              </v:roundrect>
            </w:pict>
          </mc:Fallback>
        </mc:AlternateContent>
      </w:r>
      <w:r>
        <w:rPr>
          <w:rFonts w:ascii="Arial" w:hAnsi="Arial" w:cs="Arial"/>
          <w:bCs/>
          <w:noProof/>
          <w:sz w:val="24"/>
          <w:szCs w:val="24"/>
          <w:lang w:val="en-US"/>
        </w:rPr>
        <mc:AlternateContent>
          <mc:Choice Requires="wps">
            <w:drawing>
              <wp:anchor distT="0" distB="0" distL="114300" distR="114300" simplePos="0" relativeHeight="251747328" behindDoc="0" locked="0" layoutInCell="1" allowOverlap="1" wp14:anchorId="19DD8B9A" wp14:editId="634146B8">
                <wp:simplePos x="0" y="0"/>
                <wp:positionH relativeFrom="margin">
                  <wp:posOffset>678180</wp:posOffset>
                </wp:positionH>
                <wp:positionV relativeFrom="paragraph">
                  <wp:posOffset>41275</wp:posOffset>
                </wp:positionV>
                <wp:extent cx="5274945" cy="26670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5274945" cy="266700"/>
                        </a:xfrm>
                        <a:prstGeom prst="rect">
                          <a:avLst/>
                        </a:prstGeom>
                        <a:noFill/>
                        <a:ln w="6350">
                          <a:noFill/>
                        </a:ln>
                      </wps:spPr>
                      <wps:txbx>
                        <w:txbxContent>
                          <w:p w14:paraId="5FD0C4CF" w14:textId="529CCE82" w:rsidR="00D15FD8" w:rsidRPr="00ED546D" w:rsidRDefault="00D15FD8" w:rsidP="00ED546D">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Accountability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D8B9A" id="Text Box 197" o:spid="_x0000_s1042" type="#_x0000_t202" style="position:absolute;left:0;text-align:left;margin-left:53.4pt;margin-top:3.25pt;width:415.35pt;height:21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" filled="f" stroked="f" strokeweight=".5pt">
                <v:textbox>
                  <w:txbxContent>
                    <w:p w14:paraId="5FD0C4CF" w14:textId="529CCE82" w:rsidR="00D15FD8" w:rsidRPr="00ED546D" w:rsidRDefault="00D15FD8" w:rsidP="00ED546D">
                      <w:pPr>
                        <w:jc w:val="center"/>
                        <w:rPr>
                          <w:rFonts w:ascii="Arial" w:hAnsi="Arial" w:cs="Arial"/>
                          <w:i/>
                          <w:iCs/>
                          <w:color w:val="FFFFFF" w:themeColor="background1"/>
                          <w:sz w:val="24"/>
                          <w:szCs w:val="24"/>
                          <w:lang w:val="en-US"/>
                        </w:rPr>
                      </w:pPr>
                      <w:r>
                        <w:rPr>
                          <w:rFonts w:ascii="Arial" w:hAnsi="Arial" w:cs="Arial"/>
                          <w:i/>
                          <w:iCs/>
                          <w:color w:val="FFFFFF" w:themeColor="background1"/>
                          <w:sz w:val="24"/>
                          <w:szCs w:val="24"/>
                          <w:lang w:val="en-US"/>
                        </w:rPr>
                        <w:t>Accountability</w:t>
                      </w:r>
                    </w:p>
                  </w:txbxContent>
                </v:textbox>
                <w10:wrap anchorx="margin"/>
              </v:shape>
            </w:pict>
          </mc:Fallback>
        </mc:AlternateContent>
      </w:r>
    </w:p>
    <w:p w14:paraId="5A5DA4F4" w14:textId="77777777" w:rsidR="00DB013A" w:rsidRPr="00A2328F" w:rsidRDefault="00DB013A" w:rsidP="00A2328F">
      <w:pPr>
        <w:pStyle w:val="ListParagraph"/>
        <w:spacing w:line="276" w:lineRule="auto"/>
        <w:jc w:val="both"/>
        <w:rPr>
          <w:rFonts w:ascii="Arial" w:hAnsi="Arial" w:cs="Arial"/>
          <w:sz w:val="24"/>
          <w:szCs w:val="24"/>
        </w:rPr>
      </w:pPr>
    </w:p>
    <w:p w14:paraId="2F704D03" w14:textId="77777777" w:rsidR="00AD63A0" w:rsidRPr="00235103" w:rsidRDefault="00AD63A0" w:rsidP="00890E32">
      <w:pPr>
        <w:spacing w:line="276" w:lineRule="auto"/>
        <w:jc w:val="both"/>
        <w:rPr>
          <w:rFonts w:ascii="Arial" w:hAnsi="Arial" w:cs="Arial"/>
          <w:i/>
          <w:sz w:val="24"/>
          <w:szCs w:val="24"/>
        </w:rPr>
      </w:pPr>
    </w:p>
    <w:p w14:paraId="3BD2AA40" w14:textId="64AB425E" w:rsidR="00516830" w:rsidRPr="007B0E2F" w:rsidRDefault="00516830">
      <w:pPr>
        <w:pStyle w:val="ListParagraph"/>
        <w:numPr>
          <w:ilvl w:val="0"/>
          <w:numId w:val="8"/>
        </w:numPr>
        <w:spacing w:line="276" w:lineRule="auto"/>
        <w:jc w:val="both"/>
        <w:rPr>
          <w:rFonts w:ascii="Arial" w:hAnsi="Arial" w:cs="Arial"/>
          <w:sz w:val="24"/>
          <w:szCs w:val="24"/>
        </w:rPr>
      </w:pPr>
      <w:r w:rsidRPr="007B0E2F">
        <w:rPr>
          <w:rFonts w:ascii="Arial" w:hAnsi="Arial" w:cs="Arial"/>
          <w:sz w:val="24"/>
          <w:szCs w:val="24"/>
        </w:rPr>
        <w:t xml:space="preserve">An obligation </w:t>
      </w:r>
      <w:r w:rsidR="00AA5AAE" w:rsidRPr="007B0E2F">
        <w:rPr>
          <w:rFonts w:ascii="Arial" w:hAnsi="Arial" w:cs="Arial"/>
          <w:sz w:val="24"/>
          <w:szCs w:val="24"/>
        </w:rPr>
        <w:t xml:space="preserve">for </w:t>
      </w:r>
      <w:r w:rsidR="007D0BB5" w:rsidRPr="007B0E2F">
        <w:rPr>
          <w:rFonts w:ascii="Arial" w:hAnsi="Arial" w:cs="Arial"/>
          <w:sz w:val="24"/>
          <w:szCs w:val="24"/>
        </w:rPr>
        <w:t xml:space="preserve">all public servants and authorities in charge of public resources, </w:t>
      </w:r>
      <w:r w:rsidRPr="007B0E2F">
        <w:rPr>
          <w:rFonts w:ascii="Arial" w:hAnsi="Arial" w:cs="Arial"/>
          <w:sz w:val="24"/>
          <w:szCs w:val="24"/>
        </w:rPr>
        <w:t xml:space="preserve">to report, explain and be answerable for </w:t>
      </w:r>
      <w:r w:rsidR="00DB013A" w:rsidRPr="007B0E2F">
        <w:rPr>
          <w:rFonts w:ascii="Arial" w:hAnsi="Arial" w:cs="Arial"/>
          <w:sz w:val="24"/>
          <w:szCs w:val="24"/>
        </w:rPr>
        <w:t xml:space="preserve">the </w:t>
      </w:r>
      <w:r w:rsidRPr="007B0E2F">
        <w:rPr>
          <w:rFonts w:ascii="Arial" w:hAnsi="Arial" w:cs="Arial"/>
          <w:sz w:val="24"/>
          <w:szCs w:val="24"/>
        </w:rPr>
        <w:t>resulting consequences</w:t>
      </w:r>
      <w:r w:rsidR="00DB013A" w:rsidRPr="007B0E2F">
        <w:rPr>
          <w:rFonts w:ascii="Arial" w:hAnsi="Arial" w:cs="Arial"/>
          <w:sz w:val="24"/>
          <w:szCs w:val="24"/>
        </w:rPr>
        <w:t xml:space="preserve"> of decisions taken and implemented</w:t>
      </w:r>
      <w:r w:rsidRPr="007B0E2F">
        <w:rPr>
          <w:rFonts w:ascii="Arial" w:hAnsi="Arial" w:cs="Arial"/>
          <w:sz w:val="24"/>
          <w:szCs w:val="24"/>
        </w:rPr>
        <w:t xml:space="preserve">. </w:t>
      </w:r>
      <w:r w:rsidR="00DB013A" w:rsidRPr="007B0E2F">
        <w:rPr>
          <w:rFonts w:ascii="Arial" w:hAnsi="Arial" w:cs="Arial"/>
          <w:sz w:val="24"/>
          <w:szCs w:val="24"/>
          <w:lang w:val="en-US"/>
        </w:rPr>
        <w:t xml:space="preserve">In the public sector, there is a chain of command of accountability relationships, and there should </w:t>
      </w:r>
      <w:r w:rsidR="00B70FBF" w:rsidRPr="007B0E2F">
        <w:rPr>
          <w:rFonts w:ascii="Arial" w:hAnsi="Arial" w:cs="Arial"/>
          <w:sz w:val="24"/>
          <w:szCs w:val="24"/>
          <w:lang w:val="en-US"/>
        </w:rPr>
        <w:t xml:space="preserve">be </w:t>
      </w:r>
      <w:r w:rsidR="00DB013A" w:rsidRPr="007B0E2F">
        <w:rPr>
          <w:rFonts w:ascii="Arial" w:hAnsi="Arial" w:cs="Arial"/>
          <w:sz w:val="24"/>
          <w:szCs w:val="24"/>
          <w:lang w:val="en-US"/>
        </w:rPr>
        <w:t>control</w:t>
      </w:r>
      <w:r w:rsidR="00B70FBF" w:rsidRPr="007B0E2F">
        <w:rPr>
          <w:rFonts w:ascii="Arial" w:hAnsi="Arial" w:cs="Arial"/>
          <w:sz w:val="24"/>
          <w:szCs w:val="24"/>
          <w:lang w:val="en-US"/>
        </w:rPr>
        <w:t>s</w:t>
      </w:r>
      <w:r w:rsidR="00DB013A" w:rsidRPr="007B0E2F">
        <w:rPr>
          <w:rFonts w:ascii="Arial" w:hAnsi="Arial" w:cs="Arial"/>
          <w:sz w:val="24"/>
          <w:szCs w:val="24"/>
          <w:lang w:val="en-US"/>
        </w:rPr>
        <w:t xml:space="preserve"> and sanctions. These can be within governments or external to it, with checks and balances, and the separation of powers. Besides internal control systems and practices, unelected public officials are generally accountable to elected political decision makers, who are in turn accountable to legislatures, and ultimately, to voters</w:t>
      </w:r>
      <w:r w:rsidRPr="007B0E2F">
        <w:rPr>
          <w:rFonts w:ascii="Arial" w:hAnsi="Arial" w:cs="Arial"/>
          <w:sz w:val="24"/>
          <w:szCs w:val="24"/>
        </w:rPr>
        <w:t>.</w:t>
      </w:r>
    </w:p>
    <w:p w14:paraId="4F785712" w14:textId="77777777" w:rsidR="00AD63A0" w:rsidRDefault="00AD63A0" w:rsidP="00890E32">
      <w:pPr>
        <w:spacing w:line="276" w:lineRule="auto"/>
        <w:jc w:val="both"/>
        <w:rPr>
          <w:rFonts w:ascii="Arial" w:hAnsi="Arial" w:cs="Arial"/>
          <w:sz w:val="24"/>
          <w:szCs w:val="24"/>
        </w:rPr>
      </w:pPr>
    </w:p>
    <w:p w14:paraId="7ED1E557" w14:textId="17D61C37" w:rsidR="00AA5AAE" w:rsidRPr="00AD63A0" w:rsidRDefault="00AD63A0" w:rsidP="00AD63A0">
      <w:pPr>
        <w:spacing w:line="276" w:lineRule="auto"/>
        <w:jc w:val="both"/>
        <w:rPr>
          <w:rFonts w:ascii="Arial" w:hAnsi="Arial" w:cs="Arial"/>
          <w:sz w:val="24"/>
          <w:szCs w:val="24"/>
        </w:rPr>
      </w:pPr>
      <w:r>
        <w:rPr>
          <w:noProof/>
          <w:lang w:val="en-US"/>
        </w:rPr>
        <mc:AlternateContent>
          <mc:Choice Requires="wps">
            <w:drawing>
              <wp:anchor distT="0" distB="0" distL="114300" distR="114300" simplePos="0" relativeHeight="251749376" behindDoc="0" locked="0" layoutInCell="1" allowOverlap="1" wp14:anchorId="21012830" wp14:editId="191DF4A1">
                <wp:simplePos x="0" y="0"/>
                <wp:positionH relativeFrom="column">
                  <wp:posOffset>0</wp:posOffset>
                </wp:positionH>
                <wp:positionV relativeFrom="paragraph">
                  <wp:posOffset>12065</wp:posOffset>
                </wp:positionV>
                <wp:extent cx="6634717" cy="0"/>
                <wp:effectExtent l="0" t="12700" r="20320" b="12700"/>
                <wp:wrapNone/>
                <wp:docPr id="198" name="Straight Connector 198"/>
                <wp:cNvGraphicFramePr/>
                <a:graphic xmlns:a="http://schemas.openxmlformats.org/drawingml/2006/main">
                  <a:graphicData uri="http://schemas.microsoft.com/office/word/2010/wordprocessingShape">
                    <wps:wsp>
                      <wps:cNvCnPr/>
                      <wps:spPr>
                        <a:xfrm>
                          <a:off x="0" y="0"/>
                          <a:ext cx="6634717" cy="0"/>
                        </a:xfrm>
                        <a:prstGeom prst="line">
                          <a:avLst/>
                        </a:prstGeom>
                        <a:ln w="19050">
                          <a:solidFill>
                            <a:srgbClr val="16988A"/>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2D8B601C" id="Straight Connector 198"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0,.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" strokecolor="#16988a" strokeweight="1.5pt">
                <v:stroke joinstyle="miter"/>
              </v:line>
            </w:pict>
          </mc:Fallback>
        </mc:AlternateContent>
      </w:r>
    </w:p>
    <w:p w14:paraId="09DCC65C" w14:textId="3D1C7EDB" w:rsidR="00516830" w:rsidRPr="00A2328F" w:rsidRDefault="00226EA5" w:rsidP="00A2328F">
      <w:pPr>
        <w:spacing w:after="160" w:line="276" w:lineRule="auto"/>
        <w:contextualSpacing/>
        <w:jc w:val="both"/>
        <w:rPr>
          <w:rFonts w:ascii="Arial" w:hAnsi="Arial" w:cs="Arial"/>
          <w:sz w:val="24"/>
          <w:szCs w:val="24"/>
          <w:lang w:val="en-US"/>
        </w:rPr>
      </w:pPr>
      <w:r w:rsidRPr="00A2328F">
        <w:rPr>
          <w:rFonts w:ascii="Arial" w:hAnsi="Arial" w:cs="Arial"/>
          <w:sz w:val="24"/>
          <w:szCs w:val="24"/>
          <w:lang w:val="en-US"/>
        </w:rPr>
        <w:t xml:space="preserve">As such, </w:t>
      </w:r>
      <w:r w:rsidR="00516830" w:rsidRPr="00A2328F">
        <w:rPr>
          <w:rFonts w:ascii="Arial" w:hAnsi="Arial" w:cs="Arial"/>
          <w:sz w:val="24"/>
          <w:szCs w:val="24"/>
          <w:lang w:val="en-US"/>
        </w:rPr>
        <w:t>quality information</w:t>
      </w:r>
      <w:r w:rsidRPr="00A2328F">
        <w:rPr>
          <w:rFonts w:ascii="Arial" w:hAnsi="Arial" w:cs="Arial"/>
          <w:sz w:val="24"/>
          <w:szCs w:val="24"/>
          <w:lang w:val="en-US"/>
        </w:rPr>
        <w:t xml:space="preserve"> </w:t>
      </w:r>
      <w:r w:rsidR="00B30D2F" w:rsidRPr="00A2328F">
        <w:rPr>
          <w:rFonts w:ascii="Arial" w:hAnsi="Arial" w:cs="Arial"/>
          <w:sz w:val="24"/>
          <w:szCs w:val="24"/>
          <w:lang w:val="en-US"/>
        </w:rPr>
        <w:t xml:space="preserve">should be available </w:t>
      </w:r>
      <w:r w:rsidRPr="00A2328F">
        <w:rPr>
          <w:rFonts w:ascii="Arial" w:hAnsi="Arial" w:cs="Arial"/>
          <w:sz w:val="24"/>
          <w:szCs w:val="24"/>
          <w:lang w:val="en-US"/>
        </w:rPr>
        <w:t>(fiscal transparency)</w:t>
      </w:r>
      <w:r w:rsidR="00516830" w:rsidRPr="00A2328F">
        <w:rPr>
          <w:rFonts w:ascii="Arial" w:hAnsi="Arial" w:cs="Arial"/>
          <w:sz w:val="24"/>
          <w:szCs w:val="24"/>
          <w:lang w:val="en-US"/>
        </w:rPr>
        <w:t xml:space="preserve"> for the public to be </w:t>
      </w:r>
      <w:r w:rsidR="00E630BC" w:rsidRPr="00A2328F">
        <w:rPr>
          <w:rFonts w:ascii="Arial" w:hAnsi="Arial" w:cs="Arial"/>
          <w:sz w:val="24"/>
          <w:szCs w:val="24"/>
          <w:lang w:val="en-US"/>
        </w:rPr>
        <w:t xml:space="preserve">sufficiently informed to be able to </w:t>
      </w:r>
      <w:r w:rsidR="00516830" w:rsidRPr="00A2328F">
        <w:rPr>
          <w:rFonts w:ascii="Arial" w:hAnsi="Arial" w:cs="Arial"/>
          <w:sz w:val="24"/>
          <w:szCs w:val="24"/>
          <w:lang w:val="en-US"/>
        </w:rPr>
        <w:t xml:space="preserve">engage in </w:t>
      </w:r>
      <w:r w:rsidR="00E630BC" w:rsidRPr="00A2328F">
        <w:rPr>
          <w:rFonts w:ascii="Arial" w:hAnsi="Arial" w:cs="Arial"/>
          <w:sz w:val="24"/>
          <w:szCs w:val="24"/>
          <w:lang w:val="en-US"/>
        </w:rPr>
        <w:t xml:space="preserve">effective </w:t>
      </w:r>
      <w:r w:rsidR="00516830" w:rsidRPr="00A2328F">
        <w:rPr>
          <w:rFonts w:ascii="Arial" w:hAnsi="Arial" w:cs="Arial"/>
          <w:sz w:val="24"/>
          <w:szCs w:val="24"/>
          <w:lang w:val="en-US"/>
        </w:rPr>
        <w:t xml:space="preserve">discussions and deliberations, while public participation is required for </w:t>
      </w:r>
      <w:r w:rsidR="00E630BC" w:rsidRPr="00A2328F">
        <w:rPr>
          <w:rFonts w:ascii="Arial" w:hAnsi="Arial" w:cs="Arial"/>
          <w:sz w:val="24"/>
          <w:szCs w:val="24"/>
          <w:lang w:val="en-US"/>
        </w:rPr>
        <w:t>them</w:t>
      </w:r>
      <w:r w:rsidR="00516830" w:rsidRPr="00A2328F">
        <w:rPr>
          <w:rFonts w:ascii="Arial" w:hAnsi="Arial" w:cs="Arial"/>
          <w:sz w:val="24"/>
          <w:szCs w:val="24"/>
          <w:lang w:val="en-US"/>
        </w:rPr>
        <w:t xml:space="preserve"> to have a</w:t>
      </w:r>
      <w:r w:rsidR="00E630BC" w:rsidRPr="00A2328F">
        <w:rPr>
          <w:rFonts w:ascii="Arial" w:hAnsi="Arial" w:cs="Arial"/>
          <w:sz w:val="24"/>
          <w:szCs w:val="24"/>
          <w:lang w:val="en-US"/>
        </w:rPr>
        <w:t>n opportunity to use this information to have a</w:t>
      </w:r>
      <w:r w:rsidR="00516830" w:rsidRPr="00A2328F">
        <w:rPr>
          <w:rFonts w:ascii="Arial" w:hAnsi="Arial" w:cs="Arial"/>
          <w:sz w:val="24"/>
          <w:szCs w:val="24"/>
          <w:lang w:val="en-US"/>
        </w:rPr>
        <w:t xml:space="preserve"> say on how government </w:t>
      </w:r>
      <w:r w:rsidR="00E630BC" w:rsidRPr="00A2328F">
        <w:rPr>
          <w:rFonts w:ascii="Arial" w:hAnsi="Arial" w:cs="Arial"/>
          <w:sz w:val="24"/>
          <w:szCs w:val="24"/>
          <w:lang w:val="en-US"/>
        </w:rPr>
        <w:t xml:space="preserve">raises and </w:t>
      </w:r>
      <w:r w:rsidR="00516830" w:rsidRPr="00A2328F">
        <w:rPr>
          <w:rFonts w:ascii="Arial" w:hAnsi="Arial" w:cs="Arial"/>
          <w:sz w:val="24"/>
          <w:szCs w:val="24"/>
          <w:lang w:val="en-US"/>
        </w:rPr>
        <w:t xml:space="preserve">uses scarce resources to achieve societal goals. Public participation can thus be seen as </w:t>
      </w:r>
      <w:r w:rsidRPr="00A2328F">
        <w:rPr>
          <w:rFonts w:ascii="Arial" w:hAnsi="Arial" w:cs="Arial"/>
          <w:sz w:val="24"/>
          <w:szCs w:val="24"/>
          <w:lang w:val="en-US"/>
        </w:rPr>
        <w:t>a necessary</w:t>
      </w:r>
      <w:r w:rsidR="00516830" w:rsidRPr="00A2328F">
        <w:rPr>
          <w:rFonts w:ascii="Arial" w:hAnsi="Arial" w:cs="Arial"/>
          <w:sz w:val="24"/>
          <w:szCs w:val="24"/>
          <w:lang w:val="en-US"/>
        </w:rPr>
        <w:t xml:space="preserve"> link in the </w:t>
      </w:r>
      <w:r w:rsidRPr="00A2328F">
        <w:rPr>
          <w:rFonts w:ascii="Arial" w:hAnsi="Arial" w:cs="Arial"/>
          <w:sz w:val="24"/>
          <w:szCs w:val="24"/>
          <w:lang w:val="en-US"/>
        </w:rPr>
        <w:t xml:space="preserve">causal </w:t>
      </w:r>
      <w:r w:rsidR="00516830" w:rsidRPr="00A2328F">
        <w:rPr>
          <w:rFonts w:ascii="Arial" w:hAnsi="Arial" w:cs="Arial"/>
          <w:sz w:val="24"/>
          <w:szCs w:val="24"/>
          <w:lang w:val="en-US"/>
        </w:rPr>
        <w:t>chain between fiscal transparency and more effective accountability for public financial management</w:t>
      </w:r>
      <w:r w:rsidR="00B70FBF" w:rsidRPr="00A2328F">
        <w:rPr>
          <w:rFonts w:ascii="Arial" w:hAnsi="Arial" w:cs="Arial"/>
          <w:sz w:val="24"/>
          <w:szCs w:val="24"/>
          <w:lang w:val="en-US"/>
        </w:rPr>
        <w:t xml:space="preserve"> </w:t>
      </w:r>
      <w:r w:rsidR="00B70FBF" w:rsidRPr="00A2328F">
        <w:rPr>
          <w:rFonts w:ascii="Arial" w:hAnsi="Arial" w:cs="Arial"/>
          <w:sz w:val="24"/>
          <w:szCs w:val="24"/>
        </w:rPr>
        <w:t>(PFM)</w:t>
      </w:r>
      <w:r w:rsidR="00516830" w:rsidRPr="00A2328F">
        <w:rPr>
          <w:rFonts w:ascii="Arial" w:hAnsi="Arial" w:cs="Arial"/>
          <w:sz w:val="24"/>
          <w:szCs w:val="24"/>
          <w:lang w:val="en-US"/>
        </w:rPr>
        <w:t xml:space="preserve">, and ultimately better fiscal and development outcomes. </w:t>
      </w:r>
    </w:p>
    <w:p w14:paraId="72CD86B9" w14:textId="6637041B" w:rsidR="00B3053D" w:rsidRPr="00A2328F" w:rsidRDefault="00B3053D" w:rsidP="00A2328F">
      <w:pPr>
        <w:spacing w:after="160" w:line="276" w:lineRule="auto"/>
        <w:ind w:left="284"/>
        <w:contextualSpacing/>
        <w:jc w:val="both"/>
        <w:rPr>
          <w:rFonts w:ascii="Arial" w:hAnsi="Arial" w:cs="Arial"/>
          <w:sz w:val="24"/>
          <w:szCs w:val="24"/>
          <w:lang w:val="en-US"/>
        </w:rPr>
      </w:pPr>
    </w:p>
    <w:p w14:paraId="6B296899" w14:textId="05770A33" w:rsidR="00E42228" w:rsidRPr="00D06A91" w:rsidRDefault="0025313C" w:rsidP="00D06A91">
      <w:pPr>
        <w:spacing w:line="276" w:lineRule="auto"/>
        <w:jc w:val="both"/>
        <w:rPr>
          <w:rFonts w:ascii="Arial" w:hAnsi="Arial" w:cs="Arial"/>
          <w:sz w:val="24"/>
          <w:szCs w:val="24"/>
        </w:rPr>
      </w:pPr>
      <w:r w:rsidRPr="00A2328F">
        <w:rPr>
          <w:rFonts w:ascii="Arial" w:hAnsi="Arial" w:cs="Arial"/>
          <w:sz w:val="24"/>
          <w:szCs w:val="24"/>
        </w:rPr>
        <w:t xml:space="preserve">Throughout the 5 modules of this </w:t>
      </w:r>
      <w:r w:rsidR="00226EA5" w:rsidRPr="00A2328F">
        <w:rPr>
          <w:rFonts w:ascii="Arial" w:hAnsi="Arial" w:cs="Arial"/>
          <w:sz w:val="24"/>
          <w:szCs w:val="24"/>
        </w:rPr>
        <w:t>Guide,</w:t>
      </w:r>
      <w:r w:rsidRPr="00A2328F">
        <w:rPr>
          <w:rFonts w:ascii="Arial" w:hAnsi="Arial" w:cs="Arial"/>
          <w:sz w:val="24"/>
          <w:szCs w:val="24"/>
        </w:rPr>
        <w:t xml:space="preserve"> the concepts</w:t>
      </w:r>
      <w:r w:rsidR="00E630BC" w:rsidRPr="00A2328F">
        <w:rPr>
          <w:rFonts w:ascii="Arial" w:hAnsi="Arial" w:cs="Arial"/>
          <w:sz w:val="24"/>
          <w:szCs w:val="24"/>
        </w:rPr>
        <w:t xml:space="preserve"> emanating from the definition of fiscal transparency</w:t>
      </w:r>
      <w:r w:rsidRPr="00A2328F">
        <w:rPr>
          <w:rFonts w:ascii="Arial" w:hAnsi="Arial" w:cs="Arial"/>
          <w:sz w:val="24"/>
          <w:szCs w:val="24"/>
        </w:rPr>
        <w:t xml:space="preserve"> will be unpacked</w:t>
      </w:r>
      <w:r w:rsidR="008E0F4C" w:rsidRPr="00A2328F">
        <w:rPr>
          <w:rFonts w:ascii="Arial" w:hAnsi="Arial" w:cs="Arial"/>
          <w:sz w:val="24"/>
          <w:szCs w:val="24"/>
        </w:rPr>
        <w:t xml:space="preserve"> </w:t>
      </w:r>
      <w:r w:rsidR="00226EA5" w:rsidRPr="00A2328F">
        <w:rPr>
          <w:rFonts w:ascii="Arial" w:hAnsi="Arial" w:cs="Arial"/>
          <w:sz w:val="24"/>
          <w:szCs w:val="24"/>
        </w:rPr>
        <w:t xml:space="preserve">together with </w:t>
      </w:r>
      <w:r w:rsidRPr="00A2328F">
        <w:rPr>
          <w:rFonts w:ascii="Arial" w:hAnsi="Arial" w:cs="Arial"/>
          <w:sz w:val="24"/>
          <w:szCs w:val="24"/>
        </w:rPr>
        <w:t xml:space="preserve">their practical application </w:t>
      </w:r>
      <w:r w:rsidR="00226EA5" w:rsidRPr="00A2328F">
        <w:rPr>
          <w:rFonts w:ascii="Arial" w:hAnsi="Arial" w:cs="Arial"/>
          <w:sz w:val="24"/>
          <w:szCs w:val="24"/>
        </w:rPr>
        <w:t>enabling readers to g</w:t>
      </w:r>
      <w:r w:rsidR="008E0F4C" w:rsidRPr="00A2328F">
        <w:rPr>
          <w:rFonts w:ascii="Arial" w:hAnsi="Arial" w:cs="Arial"/>
          <w:sz w:val="24"/>
          <w:szCs w:val="24"/>
        </w:rPr>
        <w:t>ain</w:t>
      </w:r>
      <w:r w:rsidR="00226EA5" w:rsidRPr="00A2328F">
        <w:rPr>
          <w:rFonts w:ascii="Arial" w:hAnsi="Arial" w:cs="Arial"/>
          <w:sz w:val="24"/>
          <w:szCs w:val="24"/>
        </w:rPr>
        <w:t xml:space="preserve"> </w:t>
      </w:r>
      <w:r w:rsidRPr="00A2328F">
        <w:rPr>
          <w:rFonts w:ascii="Arial" w:hAnsi="Arial" w:cs="Arial"/>
          <w:sz w:val="24"/>
          <w:szCs w:val="24"/>
        </w:rPr>
        <w:t xml:space="preserve">a holistic </w:t>
      </w:r>
      <w:r w:rsidR="00226EA5" w:rsidRPr="00A2328F">
        <w:rPr>
          <w:rFonts w:ascii="Arial" w:hAnsi="Arial" w:cs="Arial"/>
          <w:sz w:val="24"/>
          <w:szCs w:val="24"/>
        </w:rPr>
        <w:t>understanding</w:t>
      </w:r>
      <w:r w:rsidRPr="00A2328F">
        <w:rPr>
          <w:rFonts w:ascii="Arial" w:hAnsi="Arial" w:cs="Arial"/>
          <w:sz w:val="24"/>
          <w:szCs w:val="24"/>
        </w:rPr>
        <w:t xml:space="preserve"> of what fiscal transparency</w:t>
      </w:r>
      <w:r w:rsidR="00EC4366" w:rsidRPr="00A2328F">
        <w:rPr>
          <w:rFonts w:ascii="Arial" w:hAnsi="Arial" w:cs="Arial"/>
          <w:sz w:val="24"/>
          <w:szCs w:val="24"/>
        </w:rPr>
        <w:t xml:space="preserve"> </w:t>
      </w:r>
      <w:r w:rsidRPr="00A2328F">
        <w:rPr>
          <w:rFonts w:ascii="Arial" w:hAnsi="Arial" w:cs="Arial"/>
          <w:sz w:val="24"/>
          <w:szCs w:val="24"/>
        </w:rPr>
        <w:t>means and entails.</w:t>
      </w:r>
    </w:p>
    <w:p w14:paraId="78744037" w14:textId="158783C3" w:rsidR="00D06A91" w:rsidRDefault="00D947B1" w:rsidP="00235103">
      <w:pPr>
        <w:spacing w:after="160" w:line="259" w:lineRule="auto"/>
        <w:rPr>
          <w:rFonts w:asciiTheme="minorHAnsi" w:hAnsiTheme="minorHAnsi" w:cstheme="minorBidi"/>
        </w:rPr>
      </w:pPr>
      <w:r>
        <w:rPr>
          <w:rFonts w:ascii="Arial" w:hAnsi="Arial" w:cs="Arial"/>
          <w:b/>
          <w:bCs/>
          <w:noProof/>
          <w:color w:val="ED5625"/>
          <w:lang w:val="en-US"/>
        </w:rPr>
        <w:drawing>
          <wp:anchor distT="0" distB="0" distL="114300" distR="114300" simplePos="0" relativeHeight="254800894" behindDoc="1" locked="0" layoutInCell="1" allowOverlap="1" wp14:anchorId="0EDDA6D4" wp14:editId="320F9E89">
            <wp:simplePos x="0" y="0"/>
            <wp:positionH relativeFrom="column">
              <wp:posOffset>-508000</wp:posOffset>
            </wp:positionH>
            <wp:positionV relativeFrom="paragraph">
              <wp:posOffset>96520</wp:posOffset>
            </wp:positionV>
            <wp:extent cx="6645910" cy="1320800"/>
            <wp:effectExtent l="0" t="0" r="0" b="0"/>
            <wp:wrapNone/>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Picture 1653"/>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645910" cy="132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F786E8" w14:textId="13C26A6B" w:rsidR="00235103" w:rsidRDefault="00235103" w:rsidP="00235103">
      <w:pPr>
        <w:spacing w:after="160" w:line="259" w:lineRule="auto"/>
        <w:rPr>
          <w:rFonts w:asciiTheme="minorHAnsi" w:hAnsiTheme="minorHAnsi" w:cstheme="minorBidi"/>
        </w:rPr>
      </w:pPr>
      <w:r>
        <w:rPr>
          <w:rFonts w:ascii="Arial" w:hAnsi="Arial" w:cs="Arial"/>
          <w:b/>
          <w:bCs/>
          <w:noProof/>
          <w:color w:val="ED5625"/>
          <w:lang w:val="en-US"/>
        </w:rPr>
        <mc:AlternateContent>
          <mc:Choice Requires="wps">
            <w:drawing>
              <wp:anchor distT="0" distB="0" distL="114300" distR="114300" simplePos="0" relativeHeight="251752448" behindDoc="0" locked="0" layoutInCell="1" allowOverlap="1" wp14:anchorId="23EB881C" wp14:editId="21CF62FF">
                <wp:simplePos x="0" y="0"/>
                <wp:positionH relativeFrom="column">
                  <wp:posOffset>946248</wp:posOffset>
                </wp:positionH>
                <wp:positionV relativeFrom="paragraph">
                  <wp:posOffset>142875</wp:posOffset>
                </wp:positionV>
                <wp:extent cx="5289452" cy="59055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5289452" cy="590550"/>
                        </a:xfrm>
                        <a:prstGeom prst="rect">
                          <a:avLst/>
                        </a:prstGeom>
                        <a:noFill/>
                        <a:ln w="6350">
                          <a:noFill/>
                        </a:ln>
                      </wps:spPr>
                      <wps:txbx>
                        <w:txbxContent>
                          <w:p w14:paraId="2442DF8D" w14:textId="7D2FE2BE" w:rsidR="00D15FD8" w:rsidRPr="002F6BBA" w:rsidRDefault="00D15FD8" w:rsidP="00235103">
                            <w:pPr>
                              <w:pStyle w:val="Heading1"/>
                              <w:rPr>
                                <w:rFonts w:ascii="Arial" w:hAnsi="Arial" w:cs="Arial"/>
                                <w:b/>
                                <w:bCs/>
                                <w:color w:val="FFFFFF" w:themeColor="background1"/>
                                <w:sz w:val="38"/>
                                <w:szCs w:val="38"/>
                                <w:lang w:val="en-US"/>
                              </w:rPr>
                            </w:pPr>
                            <w:bookmarkStart w:id="198" w:name="_The_importance_of"/>
                            <w:bookmarkStart w:id="199" w:name="_Toc115729051"/>
                            <w:bookmarkStart w:id="200" w:name="_Toc115877698"/>
                            <w:bookmarkStart w:id="201" w:name="_Toc116056982"/>
                            <w:bookmarkStart w:id="202" w:name="_Toc123828089"/>
                            <w:bookmarkStart w:id="203" w:name="_Toc123828299"/>
                            <w:bookmarkStart w:id="204" w:name="_Toc123828495"/>
                            <w:bookmarkStart w:id="205" w:name="_Toc123912522"/>
                            <w:bookmarkStart w:id="206" w:name="_Toc123912781"/>
                            <w:bookmarkStart w:id="207" w:name="_Toc123913008"/>
                            <w:bookmarkStart w:id="208" w:name="_Toc123913955"/>
                            <w:bookmarkStart w:id="209" w:name="_Toc125566574"/>
                            <w:bookmarkEnd w:id="198"/>
                            <w:r w:rsidRPr="002F6BBA">
                              <w:rPr>
                                <w:rFonts w:ascii="Arial" w:hAnsi="Arial" w:cs="Arial"/>
                                <w:b/>
                                <w:bCs/>
                                <w:color w:val="FFFFFF" w:themeColor="background1"/>
                                <w:sz w:val="38"/>
                                <w:szCs w:val="38"/>
                                <w:lang w:val="en-US"/>
                              </w:rPr>
                              <w:t>The importance of fiscal transparency</w:t>
                            </w:r>
                            <w:bookmarkEnd w:id="199"/>
                            <w:bookmarkEnd w:id="200"/>
                            <w:bookmarkEnd w:id="201"/>
                            <w:bookmarkEnd w:id="202"/>
                            <w:bookmarkEnd w:id="203"/>
                            <w:bookmarkEnd w:id="204"/>
                            <w:bookmarkEnd w:id="205"/>
                            <w:bookmarkEnd w:id="206"/>
                            <w:bookmarkEnd w:id="207"/>
                            <w:bookmarkEnd w:id="208"/>
                            <w:bookmarkEnd w:id="20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B881C" id="Text Box 199" o:spid="_x0000_s1043" type="#_x0000_t202" style="position:absolute;margin-left:74.5pt;margin-top:11.25pt;width:416.5pt;height:4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" filled="f" stroked="f" strokeweight=".5pt">
                <v:textbox>
                  <w:txbxContent>
                    <w:p w14:paraId="2442DF8D" w14:textId="7D2FE2BE" w:rsidR="00D15FD8" w:rsidRPr="002F6BBA" w:rsidRDefault="00D15FD8" w:rsidP="00235103">
                      <w:pPr>
                        <w:pStyle w:val="Heading1"/>
                        <w:rPr>
                          <w:rFonts w:ascii="Arial" w:hAnsi="Arial" w:cs="Arial"/>
                          <w:b/>
                          <w:bCs/>
                          <w:color w:val="FFFFFF" w:themeColor="background1"/>
                          <w:sz w:val="38"/>
                          <w:szCs w:val="38"/>
                          <w:lang w:val="en-US"/>
                        </w:rPr>
                      </w:pPr>
                      <w:bookmarkStart w:id="210" w:name="_The_importance_of"/>
                      <w:bookmarkStart w:id="211" w:name="_Toc115729051"/>
                      <w:bookmarkStart w:id="212" w:name="_Toc115877698"/>
                      <w:bookmarkStart w:id="213" w:name="_Toc116056982"/>
                      <w:bookmarkStart w:id="214" w:name="_Toc123828089"/>
                      <w:bookmarkStart w:id="215" w:name="_Toc123828299"/>
                      <w:bookmarkStart w:id="216" w:name="_Toc123828495"/>
                      <w:bookmarkStart w:id="217" w:name="_Toc123912522"/>
                      <w:bookmarkStart w:id="218" w:name="_Toc123912781"/>
                      <w:bookmarkStart w:id="219" w:name="_Toc123913008"/>
                      <w:bookmarkStart w:id="220" w:name="_Toc123913955"/>
                      <w:bookmarkStart w:id="221" w:name="_Toc125566574"/>
                      <w:bookmarkEnd w:id="210"/>
                      <w:r w:rsidRPr="002F6BBA">
                        <w:rPr>
                          <w:rFonts w:ascii="Arial" w:hAnsi="Arial" w:cs="Arial"/>
                          <w:b/>
                          <w:bCs/>
                          <w:color w:val="FFFFFF" w:themeColor="background1"/>
                          <w:sz w:val="38"/>
                          <w:szCs w:val="38"/>
                          <w:lang w:val="en-US"/>
                        </w:rPr>
                        <w:t>The importance of fiscal transparency</w:t>
                      </w:r>
                      <w:bookmarkEnd w:id="211"/>
                      <w:bookmarkEnd w:id="212"/>
                      <w:bookmarkEnd w:id="213"/>
                      <w:bookmarkEnd w:id="214"/>
                      <w:bookmarkEnd w:id="215"/>
                      <w:bookmarkEnd w:id="216"/>
                      <w:bookmarkEnd w:id="217"/>
                      <w:bookmarkEnd w:id="218"/>
                      <w:bookmarkEnd w:id="219"/>
                      <w:bookmarkEnd w:id="220"/>
                      <w:bookmarkEnd w:id="221"/>
                    </w:p>
                  </w:txbxContent>
                </v:textbox>
              </v:shape>
            </w:pict>
          </mc:Fallback>
        </mc:AlternateContent>
      </w:r>
      <w:r>
        <w:rPr>
          <w:rFonts w:ascii="Arial" w:hAnsi="Arial" w:cs="Arial"/>
          <w:b/>
          <w:bCs/>
          <w:noProof/>
          <w:color w:val="ED5625"/>
          <w:lang w:val="en-US"/>
        </w:rPr>
        <mc:AlternateContent>
          <mc:Choice Requires="wps">
            <w:drawing>
              <wp:anchor distT="0" distB="0" distL="114300" distR="114300" simplePos="0" relativeHeight="251753472" behindDoc="0" locked="0" layoutInCell="1" allowOverlap="1" wp14:anchorId="05A1BCAF" wp14:editId="187BCEBC">
                <wp:simplePos x="0" y="0"/>
                <wp:positionH relativeFrom="column">
                  <wp:posOffset>213360</wp:posOffset>
                </wp:positionH>
                <wp:positionV relativeFrom="paragraph">
                  <wp:posOffset>141605</wp:posOffset>
                </wp:positionV>
                <wp:extent cx="492125" cy="59055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492125" cy="590550"/>
                        </a:xfrm>
                        <a:prstGeom prst="rect">
                          <a:avLst/>
                        </a:prstGeom>
                        <a:noFill/>
                        <a:ln w="6350">
                          <a:noFill/>
                        </a:ln>
                      </wps:spPr>
                      <wps:txbx>
                        <w:txbxContent>
                          <w:p w14:paraId="34024038" w14:textId="1B7B420A" w:rsidR="00D15FD8" w:rsidRPr="007C7920" w:rsidRDefault="00D15FD8" w:rsidP="007C7920">
                            <w:pPr>
                              <w:jc w:val="center"/>
                              <w:rPr>
                                <w:rFonts w:ascii="Arial" w:hAnsi="Arial" w:cs="Arial"/>
                                <w:b/>
                                <w:bCs/>
                                <w:color w:val="FFFFFF" w:themeColor="background1"/>
                                <w:sz w:val="72"/>
                                <w:szCs w:val="72"/>
                                <w:lang w:val="en-US"/>
                              </w:rPr>
                            </w:pPr>
                            <w:r w:rsidRPr="007C7920">
                              <w:rPr>
                                <w:rFonts w:ascii="Arial" w:hAnsi="Arial" w:cs="Arial"/>
                                <w:b/>
                                <w:bCs/>
                                <w:color w:val="FFFFFF" w:themeColor="background1"/>
                                <w:sz w:val="72"/>
                                <w:szCs w:val="7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A1BCAF" id="Text Box 200" o:spid="_x0000_s1044" type="#_x0000_t202" style="position:absolute;margin-left:16.8pt;margin-top:11.15pt;width:38.75pt;height:46.5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" filled="f" stroked="f" strokeweight=".5pt">
                <v:textbox>
                  <w:txbxContent>
                    <w:p w14:paraId="34024038" w14:textId="1B7B420A" w:rsidR="00D15FD8" w:rsidRPr="007C7920" w:rsidRDefault="00D15FD8" w:rsidP="007C7920">
                      <w:pPr>
                        <w:jc w:val="center"/>
                        <w:rPr>
                          <w:rFonts w:ascii="Arial" w:hAnsi="Arial" w:cs="Arial"/>
                          <w:b/>
                          <w:bCs/>
                          <w:color w:val="FFFFFF" w:themeColor="background1"/>
                          <w:sz w:val="72"/>
                          <w:szCs w:val="72"/>
                          <w:lang w:val="en-US"/>
                        </w:rPr>
                      </w:pPr>
                      <w:r w:rsidRPr="007C7920">
                        <w:rPr>
                          <w:rFonts w:ascii="Arial" w:hAnsi="Arial" w:cs="Arial"/>
                          <w:b/>
                          <w:bCs/>
                          <w:color w:val="FFFFFF" w:themeColor="background1"/>
                          <w:sz w:val="72"/>
                          <w:szCs w:val="72"/>
                          <w:lang w:val="en-US"/>
                        </w:rPr>
                        <w:t>2</w:t>
                      </w:r>
                    </w:p>
                  </w:txbxContent>
                </v:textbox>
              </v:shape>
            </w:pict>
          </mc:Fallback>
        </mc:AlternateContent>
      </w:r>
    </w:p>
    <w:p w14:paraId="2EB01536" w14:textId="77777777" w:rsidR="00235103" w:rsidRPr="00235103" w:rsidRDefault="00235103" w:rsidP="00235103">
      <w:pPr>
        <w:rPr>
          <w:rFonts w:asciiTheme="minorHAnsi" w:hAnsiTheme="minorHAnsi" w:cstheme="minorBidi"/>
        </w:rPr>
      </w:pPr>
    </w:p>
    <w:p w14:paraId="5D9822D3" w14:textId="77777777" w:rsidR="00235103" w:rsidRPr="00235103" w:rsidRDefault="00235103" w:rsidP="00235103">
      <w:pPr>
        <w:rPr>
          <w:rFonts w:asciiTheme="minorHAnsi" w:hAnsiTheme="minorHAnsi" w:cstheme="minorBidi"/>
        </w:rPr>
      </w:pPr>
    </w:p>
    <w:p w14:paraId="42363FD4" w14:textId="77777777" w:rsidR="00235103" w:rsidRPr="00235103" w:rsidRDefault="00235103" w:rsidP="00235103">
      <w:pPr>
        <w:rPr>
          <w:rFonts w:asciiTheme="minorHAnsi" w:hAnsiTheme="minorHAnsi" w:cstheme="minorBidi"/>
        </w:rPr>
      </w:pPr>
    </w:p>
    <w:p w14:paraId="262D867F" w14:textId="77777777" w:rsidR="00235103" w:rsidRPr="00235103" w:rsidRDefault="00235103" w:rsidP="00235103">
      <w:pPr>
        <w:rPr>
          <w:rFonts w:asciiTheme="minorHAnsi" w:hAnsiTheme="minorHAnsi" w:cstheme="minorBidi"/>
        </w:rPr>
      </w:pPr>
    </w:p>
    <w:p w14:paraId="3E9D353A" w14:textId="77777777" w:rsidR="00235103" w:rsidRPr="00235103" w:rsidRDefault="00235103" w:rsidP="00235103">
      <w:pPr>
        <w:rPr>
          <w:rFonts w:asciiTheme="minorHAnsi" w:hAnsiTheme="minorHAnsi" w:cstheme="minorBidi"/>
        </w:rPr>
      </w:pPr>
    </w:p>
    <w:p w14:paraId="302BA32C" w14:textId="77777777" w:rsidR="00D06A91" w:rsidRDefault="00D06A91" w:rsidP="00235103">
      <w:pPr>
        <w:spacing w:after="160" w:line="276" w:lineRule="auto"/>
        <w:rPr>
          <w:rFonts w:ascii="Arial" w:hAnsi="Arial" w:cs="Arial"/>
          <w:sz w:val="24"/>
          <w:szCs w:val="24"/>
        </w:rPr>
      </w:pPr>
    </w:p>
    <w:p w14:paraId="6B280321" w14:textId="7F43DDDA" w:rsidR="00235103" w:rsidRDefault="00235103" w:rsidP="00CF6C76">
      <w:pPr>
        <w:spacing w:after="160" w:line="276" w:lineRule="auto"/>
        <w:jc w:val="both"/>
        <w:rPr>
          <w:rFonts w:ascii="Arial" w:hAnsi="Arial" w:cs="Arial"/>
          <w:sz w:val="24"/>
          <w:szCs w:val="24"/>
        </w:rPr>
      </w:pPr>
      <w:r w:rsidRPr="00235103">
        <w:rPr>
          <w:rFonts w:ascii="Arial" w:hAnsi="Arial" w:cs="Arial"/>
          <w:sz w:val="24"/>
          <w:szCs w:val="24"/>
        </w:rPr>
        <w:t>Fiscal transparency operates with</w:t>
      </w:r>
      <w:r w:rsidR="00833605">
        <w:rPr>
          <w:rFonts w:ascii="Arial" w:hAnsi="Arial" w:cs="Arial"/>
          <w:sz w:val="24"/>
          <w:szCs w:val="24"/>
        </w:rPr>
        <w:t>in</w:t>
      </w:r>
      <w:r w:rsidRPr="00235103">
        <w:rPr>
          <w:rFonts w:ascii="Arial" w:hAnsi="Arial" w:cs="Arial"/>
          <w:sz w:val="24"/>
          <w:szCs w:val="24"/>
        </w:rPr>
        <w:t xml:space="preserve"> the PFM system, </w:t>
      </w:r>
      <w:r w:rsidR="002D6263">
        <w:rPr>
          <w:rFonts w:ascii="Arial" w:hAnsi="Arial" w:cs="Arial"/>
          <w:sz w:val="24"/>
          <w:szCs w:val="24"/>
        </w:rPr>
        <w:t>it</w:t>
      </w:r>
      <w:r w:rsidRPr="00235103">
        <w:rPr>
          <w:rFonts w:ascii="Arial" w:hAnsi="Arial" w:cs="Arial"/>
          <w:sz w:val="24"/>
          <w:szCs w:val="24"/>
        </w:rPr>
        <w:t xml:space="preserve"> </w:t>
      </w:r>
      <w:r w:rsidR="00833605" w:rsidRPr="00235103">
        <w:rPr>
          <w:rFonts w:ascii="Arial" w:hAnsi="Arial" w:cs="Arial"/>
          <w:sz w:val="24"/>
          <w:szCs w:val="24"/>
        </w:rPr>
        <w:t xml:space="preserve">is </w:t>
      </w:r>
      <w:r w:rsidRPr="00235103">
        <w:rPr>
          <w:rFonts w:ascii="Arial" w:hAnsi="Arial" w:cs="Arial"/>
          <w:sz w:val="24"/>
          <w:szCs w:val="24"/>
        </w:rPr>
        <w:t>important at all stages of the fiscal policy cycle, and key in holding the executive accountable for its performance in managing public finances.</w:t>
      </w:r>
    </w:p>
    <w:p w14:paraId="69A2EC9A" w14:textId="77777777" w:rsidR="00CF6C76" w:rsidRDefault="00CF6C76" w:rsidP="00CF6C76">
      <w:pPr>
        <w:spacing w:after="160" w:line="276" w:lineRule="auto"/>
        <w:jc w:val="both"/>
        <w:rPr>
          <w:rFonts w:ascii="Arial" w:hAnsi="Arial" w:cs="Arial"/>
          <w:sz w:val="24"/>
          <w:szCs w:val="24"/>
        </w:rPr>
      </w:pPr>
    </w:p>
    <w:p w14:paraId="2CE769D9" w14:textId="1326809B" w:rsidR="00D06A91" w:rsidRDefault="00D06A91" w:rsidP="00235103">
      <w:pPr>
        <w:spacing w:after="160" w:line="276" w:lineRule="auto"/>
        <w:rPr>
          <w:rFonts w:ascii="Arial" w:hAnsi="Arial" w:cs="Arial"/>
          <w:sz w:val="24"/>
          <w:szCs w:val="24"/>
        </w:rPr>
      </w:pPr>
    </w:p>
    <w:p w14:paraId="47207AE6" w14:textId="77777777" w:rsidR="00D06A91" w:rsidRDefault="00D06A91" w:rsidP="00235103">
      <w:pPr>
        <w:spacing w:after="160" w:line="276" w:lineRule="auto"/>
        <w:rPr>
          <w:rFonts w:ascii="Arial" w:hAnsi="Arial" w:cs="Arial"/>
          <w:sz w:val="24"/>
          <w:szCs w:val="24"/>
        </w:rPr>
      </w:pPr>
    </w:p>
    <w:p w14:paraId="7810141B" w14:textId="6170E248" w:rsidR="00235103" w:rsidRPr="00235103" w:rsidRDefault="00235103">
      <w:pPr>
        <w:pStyle w:val="Heading2"/>
        <w:numPr>
          <w:ilvl w:val="1"/>
          <w:numId w:val="7"/>
        </w:numPr>
        <w:rPr>
          <w:rFonts w:ascii="Arial" w:hAnsi="Arial" w:cs="Arial"/>
          <w:b/>
          <w:bCs/>
          <w:color w:val="16988A"/>
          <w:sz w:val="36"/>
          <w:szCs w:val="36"/>
        </w:rPr>
      </w:pPr>
      <w:bookmarkStart w:id="222" w:name="_Toc115729052"/>
      <w:bookmarkStart w:id="223" w:name="_Toc115877699"/>
      <w:bookmarkStart w:id="224" w:name="_Toc116056983"/>
      <w:bookmarkStart w:id="225" w:name="_Toc119794420"/>
      <w:bookmarkStart w:id="226" w:name="_Toc123204401"/>
      <w:bookmarkStart w:id="227" w:name="_Toc123216487"/>
      <w:bookmarkStart w:id="228" w:name="_Toc123217327"/>
      <w:bookmarkStart w:id="229" w:name="_Toc123913300"/>
      <w:bookmarkStart w:id="230" w:name="_Toc123913956"/>
      <w:bookmarkStart w:id="231" w:name="_Toc125495784"/>
      <w:bookmarkStart w:id="232" w:name="_Toc125566575"/>
      <w:r w:rsidRPr="00235103">
        <w:rPr>
          <w:rFonts w:ascii="Arial" w:hAnsi="Arial" w:cs="Arial"/>
          <w:b/>
          <w:bCs/>
          <w:color w:val="16988A"/>
          <w:sz w:val="36"/>
          <w:szCs w:val="36"/>
        </w:rPr>
        <w:lastRenderedPageBreak/>
        <w:t>Fiscal transparency and public financial management</w:t>
      </w:r>
      <w:bookmarkEnd w:id="222"/>
      <w:bookmarkEnd w:id="223"/>
      <w:bookmarkEnd w:id="224"/>
      <w:bookmarkEnd w:id="225"/>
      <w:bookmarkEnd w:id="226"/>
      <w:bookmarkEnd w:id="227"/>
      <w:bookmarkEnd w:id="228"/>
      <w:bookmarkEnd w:id="229"/>
      <w:bookmarkEnd w:id="230"/>
      <w:bookmarkEnd w:id="231"/>
      <w:bookmarkEnd w:id="232"/>
      <w:r w:rsidRPr="00235103">
        <w:rPr>
          <w:rFonts w:ascii="Arial" w:hAnsi="Arial" w:cs="Arial"/>
          <w:b/>
          <w:bCs/>
          <w:color w:val="16988A"/>
          <w:sz w:val="36"/>
          <w:szCs w:val="36"/>
        </w:rPr>
        <w:t xml:space="preserve"> </w:t>
      </w:r>
    </w:p>
    <w:p w14:paraId="797C8FDC" w14:textId="77777777" w:rsidR="00235103" w:rsidRDefault="00235103" w:rsidP="00235103">
      <w:pPr>
        <w:pStyle w:val="NoSpacing"/>
        <w:spacing w:line="276" w:lineRule="auto"/>
        <w:jc w:val="both"/>
        <w:rPr>
          <w:rFonts w:ascii="Arial" w:hAnsi="Arial" w:cs="Arial"/>
          <w:lang w:val="en-NZ"/>
        </w:rPr>
      </w:pPr>
    </w:p>
    <w:p w14:paraId="1BE03E41" w14:textId="5A4210EB" w:rsidR="00235103" w:rsidRPr="00235103" w:rsidRDefault="00235103" w:rsidP="00235103">
      <w:pPr>
        <w:pStyle w:val="NoSpacing"/>
        <w:spacing w:line="276" w:lineRule="auto"/>
        <w:jc w:val="both"/>
        <w:rPr>
          <w:rFonts w:ascii="Arial" w:hAnsi="Arial" w:cs="Arial"/>
          <w:lang w:val="en-NZ"/>
        </w:rPr>
      </w:pPr>
      <w:r w:rsidRPr="00235103">
        <w:rPr>
          <w:rFonts w:ascii="Arial" w:hAnsi="Arial" w:cs="Arial"/>
          <w:lang w:val="en-NZ"/>
        </w:rPr>
        <w:t>PFM refers to the financial systems through which governments implement policies to achieve public goals. As defined by the Public Expenditure and Financial Accountability (PEFA), the PFM system comprises:</w:t>
      </w:r>
    </w:p>
    <w:p w14:paraId="04C11391" w14:textId="00EE4D99" w:rsidR="00235103" w:rsidRPr="00235103" w:rsidRDefault="00235103">
      <w:pPr>
        <w:pStyle w:val="ListParagraph"/>
        <w:numPr>
          <w:ilvl w:val="0"/>
          <w:numId w:val="1"/>
        </w:numPr>
        <w:spacing w:line="276" w:lineRule="auto"/>
        <w:rPr>
          <w:rFonts w:ascii="Arial" w:hAnsi="Arial" w:cs="Arial"/>
          <w:sz w:val="24"/>
          <w:szCs w:val="24"/>
        </w:rPr>
      </w:pPr>
      <w:r w:rsidRPr="00235103">
        <w:rPr>
          <w:rFonts w:ascii="Arial" w:hAnsi="Arial" w:cs="Arial"/>
          <w:sz w:val="24"/>
          <w:szCs w:val="24"/>
        </w:rPr>
        <w:t>reliable budgets;</w:t>
      </w:r>
    </w:p>
    <w:p w14:paraId="7E184DE1" w14:textId="43A76A7B" w:rsidR="00235103" w:rsidRPr="00235103" w:rsidRDefault="00235103">
      <w:pPr>
        <w:pStyle w:val="ListParagraph"/>
        <w:numPr>
          <w:ilvl w:val="0"/>
          <w:numId w:val="1"/>
        </w:numPr>
        <w:spacing w:line="276" w:lineRule="auto"/>
        <w:rPr>
          <w:rFonts w:ascii="Arial" w:hAnsi="Arial" w:cs="Arial"/>
          <w:sz w:val="24"/>
          <w:szCs w:val="24"/>
        </w:rPr>
      </w:pPr>
      <w:r w:rsidRPr="00235103">
        <w:rPr>
          <w:rFonts w:ascii="Arial" w:hAnsi="Arial" w:cs="Arial"/>
          <w:sz w:val="24"/>
          <w:szCs w:val="24"/>
        </w:rPr>
        <w:t>transparent public finances;</w:t>
      </w:r>
    </w:p>
    <w:p w14:paraId="0570B763" w14:textId="65E20CC6" w:rsidR="00235103" w:rsidRPr="00235103" w:rsidRDefault="00235103">
      <w:pPr>
        <w:pStyle w:val="ListParagraph"/>
        <w:numPr>
          <w:ilvl w:val="0"/>
          <w:numId w:val="1"/>
        </w:numPr>
        <w:spacing w:line="276" w:lineRule="auto"/>
        <w:rPr>
          <w:rFonts w:ascii="Arial" w:hAnsi="Arial" w:cs="Arial"/>
          <w:sz w:val="24"/>
          <w:szCs w:val="24"/>
        </w:rPr>
      </w:pPr>
      <w:r w:rsidRPr="00235103">
        <w:rPr>
          <w:rFonts w:ascii="Arial" w:hAnsi="Arial" w:cs="Arial"/>
          <w:sz w:val="24"/>
          <w:szCs w:val="24"/>
        </w:rPr>
        <w:t>management of assets and liabilities;</w:t>
      </w:r>
    </w:p>
    <w:p w14:paraId="5038142D" w14:textId="0AFE1F20" w:rsidR="00235103" w:rsidRPr="00235103" w:rsidRDefault="00235103">
      <w:pPr>
        <w:pStyle w:val="ListParagraph"/>
        <w:numPr>
          <w:ilvl w:val="0"/>
          <w:numId w:val="1"/>
        </w:numPr>
        <w:spacing w:line="276" w:lineRule="auto"/>
        <w:rPr>
          <w:rFonts w:ascii="Arial" w:hAnsi="Arial" w:cs="Arial"/>
          <w:sz w:val="24"/>
          <w:szCs w:val="24"/>
        </w:rPr>
      </w:pPr>
      <w:r w:rsidRPr="00235103">
        <w:rPr>
          <w:rFonts w:ascii="Arial" w:hAnsi="Arial" w:cs="Arial"/>
          <w:sz w:val="24"/>
          <w:szCs w:val="24"/>
        </w:rPr>
        <w:t>policy-based fiscal strategy and budgeting;</w:t>
      </w:r>
    </w:p>
    <w:p w14:paraId="126AD991" w14:textId="177FB713" w:rsidR="00235103" w:rsidRPr="00235103" w:rsidRDefault="00235103">
      <w:pPr>
        <w:pStyle w:val="ListParagraph"/>
        <w:numPr>
          <w:ilvl w:val="0"/>
          <w:numId w:val="1"/>
        </w:numPr>
        <w:spacing w:line="276" w:lineRule="auto"/>
        <w:rPr>
          <w:rFonts w:ascii="Arial" w:hAnsi="Arial" w:cs="Arial"/>
          <w:sz w:val="24"/>
          <w:szCs w:val="24"/>
        </w:rPr>
      </w:pPr>
      <w:r w:rsidRPr="00235103">
        <w:rPr>
          <w:rFonts w:ascii="Arial" w:hAnsi="Arial" w:cs="Arial"/>
          <w:sz w:val="24"/>
          <w:szCs w:val="24"/>
        </w:rPr>
        <w:t>predictability and control in budget execution;</w:t>
      </w:r>
    </w:p>
    <w:p w14:paraId="282953A3" w14:textId="17028E51" w:rsidR="00235103" w:rsidRPr="00235103" w:rsidRDefault="00235103">
      <w:pPr>
        <w:pStyle w:val="ListParagraph"/>
        <w:numPr>
          <w:ilvl w:val="0"/>
          <w:numId w:val="1"/>
        </w:numPr>
        <w:spacing w:line="276" w:lineRule="auto"/>
        <w:rPr>
          <w:rFonts w:ascii="Arial" w:hAnsi="Arial" w:cs="Arial"/>
          <w:sz w:val="24"/>
          <w:szCs w:val="24"/>
        </w:rPr>
      </w:pPr>
      <w:r w:rsidRPr="00235103">
        <w:rPr>
          <w:rFonts w:ascii="Arial" w:hAnsi="Arial" w:cs="Arial"/>
          <w:sz w:val="24"/>
          <w:szCs w:val="24"/>
        </w:rPr>
        <w:t>accounting and reporting;</w:t>
      </w:r>
    </w:p>
    <w:p w14:paraId="547A6463" w14:textId="338FDC57" w:rsidR="00235103" w:rsidRPr="00235103" w:rsidRDefault="00776287">
      <w:pPr>
        <w:pStyle w:val="ListParagraph"/>
        <w:numPr>
          <w:ilvl w:val="0"/>
          <w:numId w:val="1"/>
        </w:numPr>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1754496" behindDoc="1" locked="0" layoutInCell="1" allowOverlap="1" wp14:anchorId="07EF0604" wp14:editId="5FF9766A">
            <wp:simplePos x="0" y="0"/>
            <wp:positionH relativeFrom="column">
              <wp:posOffset>-457200</wp:posOffset>
            </wp:positionH>
            <wp:positionV relativeFrom="paragraph">
              <wp:posOffset>285604</wp:posOffset>
            </wp:positionV>
            <wp:extent cx="7540039" cy="101523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7540039" cy="10152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103" w:rsidRPr="00235103">
        <w:rPr>
          <w:rFonts w:ascii="Arial" w:hAnsi="Arial" w:cs="Arial"/>
          <w:sz w:val="24"/>
          <w:szCs w:val="24"/>
        </w:rPr>
        <w:t xml:space="preserve">and external scrutiny and audit. </w:t>
      </w:r>
    </w:p>
    <w:p w14:paraId="766A1170" w14:textId="302D9156" w:rsidR="00235103" w:rsidRDefault="00235103" w:rsidP="00235103">
      <w:pPr>
        <w:spacing w:line="276" w:lineRule="auto"/>
        <w:rPr>
          <w:rFonts w:ascii="Arial" w:hAnsi="Arial" w:cs="Arial"/>
          <w:sz w:val="24"/>
          <w:szCs w:val="24"/>
        </w:rPr>
      </w:pPr>
    </w:p>
    <w:p w14:paraId="5937C12D" w14:textId="08C00FEC" w:rsidR="00776287" w:rsidRDefault="00776287" w:rsidP="00235103">
      <w:pPr>
        <w:spacing w:line="276" w:lineRule="auto"/>
        <w:rPr>
          <w:rFonts w:ascii="Arial" w:hAnsi="Arial" w:cs="Arial"/>
          <w:sz w:val="24"/>
          <w:szCs w:val="24"/>
        </w:rPr>
      </w:pPr>
    </w:p>
    <w:p w14:paraId="12869BC3" w14:textId="3C679079" w:rsidR="00776287" w:rsidRPr="00235103" w:rsidRDefault="00776287" w:rsidP="00235103">
      <w:pPr>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57568" behindDoc="0" locked="0" layoutInCell="1" allowOverlap="1" wp14:anchorId="1A7D9A6B" wp14:editId="276CFD98">
                <wp:simplePos x="0" y="0"/>
                <wp:positionH relativeFrom="column">
                  <wp:posOffset>1468581</wp:posOffset>
                </wp:positionH>
                <wp:positionV relativeFrom="paragraph">
                  <wp:posOffset>91209</wp:posOffset>
                </wp:positionV>
                <wp:extent cx="5059795" cy="475200"/>
                <wp:effectExtent l="0" t="0" r="0" b="0"/>
                <wp:wrapNone/>
                <wp:docPr id="7" name="Text Box 7"/>
                <wp:cNvGraphicFramePr/>
                <a:graphic xmlns:a="http://schemas.openxmlformats.org/drawingml/2006/main">
                  <a:graphicData uri="http://schemas.microsoft.com/office/word/2010/wordprocessingShape">
                    <wps:wsp>
                      <wps:cNvSpPr txBox="1"/>
                      <wps:spPr>
                        <a:xfrm>
                          <a:off x="0" y="0"/>
                          <a:ext cx="5059795" cy="475200"/>
                        </a:xfrm>
                        <a:prstGeom prst="rect">
                          <a:avLst/>
                        </a:prstGeom>
                        <a:noFill/>
                        <a:ln w="6350">
                          <a:noFill/>
                        </a:ln>
                      </wps:spPr>
                      <wps:txbx>
                        <w:txbxContent>
                          <w:p w14:paraId="41DB58C6" w14:textId="77777777" w:rsidR="00D15FD8" w:rsidRPr="004541FE" w:rsidRDefault="00D15FD8" w:rsidP="00776287">
                            <w:pPr>
                              <w:spacing w:line="276" w:lineRule="auto"/>
                              <w:rPr>
                                <w:rFonts w:ascii="Arial" w:hAnsi="Arial" w:cs="Arial"/>
                                <w:b/>
                                <w:bCs/>
                                <w:color w:val="FFFFFF" w:themeColor="background1"/>
                                <w:sz w:val="32"/>
                                <w:szCs w:val="32"/>
                              </w:rPr>
                            </w:pPr>
                            <w:r w:rsidRPr="004541FE">
                              <w:rPr>
                                <w:rFonts w:ascii="Arial" w:hAnsi="Arial" w:cs="Arial"/>
                                <w:b/>
                                <w:bCs/>
                                <w:color w:val="FFFFFF" w:themeColor="background1"/>
                                <w:sz w:val="32"/>
                                <w:szCs w:val="32"/>
                              </w:rPr>
                              <w:t xml:space="preserve">According to the IMF’s course on PFM: </w:t>
                            </w:r>
                          </w:p>
                          <w:p w14:paraId="536784E9" w14:textId="77777777" w:rsidR="00D15FD8" w:rsidRPr="00776287" w:rsidRDefault="00D15FD8">
                            <w:pPr>
                              <w:rPr>
                                <w:rFonts w:ascii="Arial" w:hAnsi="Arial" w:cs="Arial"/>
                                <w:b/>
                                <w:bCs/>
                                <w:color w:val="FFFFFF" w:themeColor="background1"/>
                                <w:sz w:val="36"/>
                                <w:szCs w:val="3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7D9A6B" id="Text Box 7" o:spid="_x0000_s1045" type="#_x0000_t202" style="position:absolute;margin-left:115.65pt;margin-top:7.2pt;width:398.4pt;height:37.4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" filled="f" stroked="f" strokeweight=".5pt">
                <v:textbox>
                  <w:txbxContent>
                    <w:p w14:paraId="41DB58C6" w14:textId="77777777" w:rsidR="00D15FD8" w:rsidRPr="004541FE" w:rsidRDefault="00D15FD8" w:rsidP="00776287">
                      <w:pPr>
                        <w:spacing w:line="276" w:lineRule="auto"/>
                        <w:rPr>
                          <w:rFonts w:ascii="Arial" w:hAnsi="Arial" w:cs="Arial"/>
                          <w:b/>
                          <w:bCs/>
                          <w:color w:val="FFFFFF" w:themeColor="background1"/>
                          <w:sz w:val="32"/>
                          <w:szCs w:val="32"/>
                        </w:rPr>
                      </w:pPr>
                      <w:r w:rsidRPr="004541FE">
                        <w:rPr>
                          <w:rFonts w:ascii="Arial" w:hAnsi="Arial" w:cs="Arial"/>
                          <w:b/>
                          <w:bCs/>
                          <w:color w:val="FFFFFF" w:themeColor="background1"/>
                          <w:sz w:val="32"/>
                          <w:szCs w:val="32"/>
                        </w:rPr>
                        <w:t xml:space="preserve">According to the IMF’s course on PFM: </w:t>
                      </w:r>
                    </w:p>
                    <w:p w14:paraId="536784E9" w14:textId="77777777" w:rsidR="00D15FD8" w:rsidRPr="00776287" w:rsidRDefault="00D15FD8">
                      <w:pPr>
                        <w:rPr>
                          <w:rFonts w:ascii="Arial" w:hAnsi="Arial" w:cs="Arial"/>
                          <w:b/>
                          <w:bCs/>
                          <w:color w:val="FFFFFF" w:themeColor="background1"/>
                          <w:sz w:val="36"/>
                          <w:szCs w:val="36"/>
                          <w:u w:val="single"/>
                        </w:rPr>
                      </w:pPr>
                    </w:p>
                  </w:txbxContent>
                </v:textbox>
              </v:shape>
            </w:pict>
          </mc:Fallback>
        </mc:AlternateContent>
      </w:r>
    </w:p>
    <w:p w14:paraId="207A5B62" w14:textId="0E8EBBB2" w:rsidR="00776287" w:rsidRDefault="00776287" w:rsidP="00235103">
      <w:pPr>
        <w:spacing w:line="276" w:lineRule="auto"/>
        <w:rPr>
          <w:rFonts w:ascii="Arial" w:hAnsi="Arial" w:cs="Arial"/>
          <w:sz w:val="24"/>
          <w:szCs w:val="24"/>
        </w:rPr>
      </w:pPr>
    </w:p>
    <w:p w14:paraId="3F5136CD" w14:textId="675024F1" w:rsidR="00776287" w:rsidRDefault="00776287" w:rsidP="00235103">
      <w:pPr>
        <w:spacing w:line="276" w:lineRule="auto"/>
        <w:rPr>
          <w:rFonts w:ascii="Arial" w:hAnsi="Arial" w:cs="Arial"/>
          <w:sz w:val="24"/>
          <w:szCs w:val="24"/>
        </w:rPr>
      </w:pPr>
    </w:p>
    <w:p w14:paraId="64A51C7A" w14:textId="11AE25DB" w:rsidR="00776287" w:rsidRDefault="00776287" w:rsidP="00235103">
      <w:pPr>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56544" behindDoc="0" locked="0" layoutInCell="1" allowOverlap="1" wp14:anchorId="34B49D2E" wp14:editId="30883D30">
                <wp:simplePos x="0" y="0"/>
                <wp:positionH relativeFrom="column">
                  <wp:posOffset>69850</wp:posOffset>
                </wp:positionH>
                <wp:positionV relativeFrom="paragraph">
                  <wp:posOffset>39255</wp:posOffset>
                </wp:positionV>
                <wp:extent cx="6459335" cy="1939636"/>
                <wp:effectExtent l="0" t="0" r="0" b="0"/>
                <wp:wrapNone/>
                <wp:docPr id="6" name="Text Box 6"/>
                <wp:cNvGraphicFramePr/>
                <a:graphic xmlns:a="http://schemas.openxmlformats.org/drawingml/2006/main">
                  <a:graphicData uri="http://schemas.microsoft.com/office/word/2010/wordprocessingShape">
                    <wps:wsp>
                      <wps:cNvSpPr txBox="1"/>
                      <wps:spPr>
                        <a:xfrm>
                          <a:off x="0" y="0"/>
                          <a:ext cx="6459335" cy="1939636"/>
                        </a:xfrm>
                        <a:prstGeom prst="rect">
                          <a:avLst/>
                        </a:prstGeom>
                        <a:noFill/>
                        <a:ln w="6350">
                          <a:noFill/>
                        </a:ln>
                      </wps:spPr>
                      <wps:txbx>
                        <w:txbxContent>
                          <w:p w14:paraId="68B15DD9" w14:textId="77777777" w:rsidR="00D15FD8" w:rsidRPr="00776287" w:rsidRDefault="00D15FD8" w:rsidP="00776287">
                            <w:pPr>
                              <w:pStyle w:val="NoSpacing"/>
                              <w:spacing w:line="276" w:lineRule="auto"/>
                              <w:ind w:left="360" w:right="386"/>
                              <w:jc w:val="both"/>
                              <w:rPr>
                                <w:rFonts w:ascii="Arial" w:hAnsi="Arial" w:cs="Arial"/>
                                <w:i/>
                                <w:color w:val="FFFFFF" w:themeColor="background1"/>
                              </w:rPr>
                            </w:pPr>
                            <w:r w:rsidRPr="00776287">
                              <w:rPr>
                                <w:rFonts w:ascii="Arial" w:hAnsi="Arial" w:cs="Arial"/>
                                <w:i/>
                                <w:color w:val="FFFFFF" w:themeColor="background1"/>
                              </w:rPr>
                              <w:t xml:space="preserve">“Simply put, public financial management, or PFM, is how governments manage their resources, public finances. It refers to laws, organizations, systems, and procedures that are required for a government to implement fiscal policy well. In other words, PFM is about the institutions that make fiscal policy work. We refer to PFM institutions as tangible, concrete, budget institutions. For example, the organization and operations of the Ministry of Finance or line ministries, or a supreme audit institution. </w:t>
                            </w:r>
                            <w:proofErr w:type="gramStart"/>
                            <w:r w:rsidRPr="00776287">
                              <w:rPr>
                                <w:rFonts w:ascii="Arial" w:hAnsi="Arial" w:cs="Arial"/>
                                <w:i/>
                                <w:color w:val="FFFFFF" w:themeColor="background1"/>
                              </w:rPr>
                              <w:t>But,</w:t>
                            </w:r>
                            <w:proofErr w:type="gramEnd"/>
                            <w:r w:rsidRPr="00776287">
                              <w:rPr>
                                <w:rFonts w:ascii="Arial" w:hAnsi="Arial" w:cs="Arial"/>
                                <w:i/>
                                <w:color w:val="FFFFFF" w:themeColor="background1"/>
                              </w:rPr>
                              <w:t xml:space="preserve"> we also refer to institutions as a set of laws, procedures, and frameworks. These exist to ensure that the government manages their finances well. This could be a law, or regulation, and sometimes even the Constitution.” </w:t>
                            </w:r>
                          </w:p>
                          <w:p w14:paraId="7A629972" w14:textId="77777777" w:rsidR="00D15FD8" w:rsidRPr="00776287" w:rsidRDefault="00D15FD8">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49D2E" id="Text Box 6" o:spid="_x0000_s1046" type="#_x0000_t202" style="position:absolute;margin-left:5.5pt;margin-top:3.1pt;width:508.6pt;height:152.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" filled="f" stroked="f" strokeweight=".5pt">
                <v:textbox>
                  <w:txbxContent>
                    <w:p w14:paraId="68B15DD9" w14:textId="77777777" w:rsidR="00D15FD8" w:rsidRPr="00776287" w:rsidRDefault="00D15FD8" w:rsidP="00776287">
                      <w:pPr>
                        <w:pStyle w:val="NoSpacing"/>
                        <w:spacing w:line="276" w:lineRule="auto"/>
                        <w:ind w:left="360" w:right="386"/>
                        <w:jc w:val="both"/>
                        <w:rPr>
                          <w:rFonts w:ascii="Arial" w:hAnsi="Arial" w:cs="Arial"/>
                          <w:i/>
                          <w:color w:val="FFFFFF" w:themeColor="background1"/>
                        </w:rPr>
                      </w:pPr>
                      <w:r w:rsidRPr="00776287">
                        <w:rPr>
                          <w:rFonts w:ascii="Arial" w:hAnsi="Arial" w:cs="Arial"/>
                          <w:i/>
                          <w:color w:val="FFFFFF" w:themeColor="background1"/>
                        </w:rPr>
                        <w:t xml:space="preserve">“Simply put, public financial management, or PFM, is how governments manage their resources, public finances. It refers to laws, organizations, systems, and procedures that are required for a government to implement fiscal policy well. In other words, PFM is about the institutions that make fiscal policy work. We refer to PFM institutions as tangible, concrete, budget institutions. For example, the organization and operations of the Ministry of Finance or line ministries, or a supreme audit institution. </w:t>
                      </w:r>
                      <w:proofErr w:type="gramStart"/>
                      <w:r w:rsidRPr="00776287">
                        <w:rPr>
                          <w:rFonts w:ascii="Arial" w:hAnsi="Arial" w:cs="Arial"/>
                          <w:i/>
                          <w:color w:val="FFFFFF" w:themeColor="background1"/>
                        </w:rPr>
                        <w:t>But,</w:t>
                      </w:r>
                      <w:proofErr w:type="gramEnd"/>
                      <w:r w:rsidRPr="00776287">
                        <w:rPr>
                          <w:rFonts w:ascii="Arial" w:hAnsi="Arial" w:cs="Arial"/>
                          <w:i/>
                          <w:color w:val="FFFFFF" w:themeColor="background1"/>
                        </w:rPr>
                        <w:t xml:space="preserve"> we also refer to institutions as a set of laws, procedures, and frameworks. These exist to ensure that the government manages their finances well. This could be a law, or regulation, and sometimes even the Constitution.” </w:t>
                      </w:r>
                    </w:p>
                    <w:p w14:paraId="7A629972" w14:textId="77777777" w:rsidR="00D15FD8" w:rsidRPr="00776287" w:rsidRDefault="00D15FD8">
                      <w:pPr>
                        <w:rPr>
                          <w:color w:val="FFFFFF" w:themeColor="background1"/>
                        </w:rPr>
                      </w:pPr>
                    </w:p>
                  </w:txbxContent>
                </v:textbox>
              </v:shape>
            </w:pict>
          </mc:Fallback>
        </mc:AlternateContent>
      </w:r>
    </w:p>
    <w:p w14:paraId="67BC9E86" w14:textId="1D96060E" w:rsidR="00776287" w:rsidRDefault="00776287" w:rsidP="00235103">
      <w:pPr>
        <w:spacing w:line="276" w:lineRule="auto"/>
        <w:rPr>
          <w:rFonts w:ascii="Arial" w:hAnsi="Arial" w:cs="Arial"/>
          <w:sz w:val="24"/>
          <w:szCs w:val="24"/>
        </w:rPr>
      </w:pPr>
    </w:p>
    <w:p w14:paraId="73735295" w14:textId="1159F7DC" w:rsidR="00776287" w:rsidRDefault="00776287" w:rsidP="00235103">
      <w:pPr>
        <w:spacing w:line="276" w:lineRule="auto"/>
        <w:rPr>
          <w:rFonts w:ascii="Arial" w:hAnsi="Arial" w:cs="Arial"/>
          <w:sz w:val="24"/>
          <w:szCs w:val="24"/>
        </w:rPr>
      </w:pPr>
    </w:p>
    <w:p w14:paraId="2C3777BB" w14:textId="58FABDE0" w:rsidR="00776287" w:rsidRDefault="00776287" w:rsidP="00235103">
      <w:pPr>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55520" behindDoc="0" locked="0" layoutInCell="1" allowOverlap="1" wp14:anchorId="1676B9A3" wp14:editId="5D47602F">
                <wp:simplePos x="0" y="0"/>
                <wp:positionH relativeFrom="column">
                  <wp:posOffset>69273</wp:posOffset>
                </wp:positionH>
                <wp:positionV relativeFrom="paragraph">
                  <wp:posOffset>156788</wp:posOffset>
                </wp:positionV>
                <wp:extent cx="6460146" cy="1302328"/>
                <wp:effectExtent l="0" t="0" r="4445" b="6350"/>
                <wp:wrapNone/>
                <wp:docPr id="5" name="Rectangle 5"/>
                <wp:cNvGraphicFramePr/>
                <a:graphic xmlns:a="http://schemas.openxmlformats.org/drawingml/2006/main">
                  <a:graphicData uri="http://schemas.microsoft.com/office/word/2010/wordprocessingShape">
                    <wps:wsp>
                      <wps:cNvSpPr/>
                      <wps:spPr>
                        <a:xfrm>
                          <a:off x="0" y="0"/>
                          <a:ext cx="6460146" cy="1302328"/>
                        </a:xfrm>
                        <a:prstGeom prst="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24569312" id="Rectangle 5" o:spid="_x0000_s1026" style="position:absolute;margin-left:5.45pt;margin-top:12.35pt;width:508.65pt;height:102.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" fillcolor="#16988a" stroked="f" strokeweight="1pt"/>
            </w:pict>
          </mc:Fallback>
        </mc:AlternateContent>
      </w:r>
    </w:p>
    <w:p w14:paraId="7C122048" w14:textId="247AD044" w:rsidR="00776287" w:rsidRDefault="00776287" w:rsidP="00235103">
      <w:pPr>
        <w:spacing w:line="276" w:lineRule="auto"/>
        <w:rPr>
          <w:rFonts w:ascii="Arial" w:hAnsi="Arial" w:cs="Arial"/>
          <w:sz w:val="24"/>
          <w:szCs w:val="24"/>
        </w:rPr>
      </w:pPr>
    </w:p>
    <w:p w14:paraId="25B30750" w14:textId="69FA8F7D" w:rsidR="00776287" w:rsidRDefault="00776287" w:rsidP="00235103">
      <w:pPr>
        <w:spacing w:line="276" w:lineRule="auto"/>
        <w:rPr>
          <w:rFonts w:ascii="Arial" w:hAnsi="Arial" w:cs="Arial"/>
          <w:sz w:val="24"/>
          <w:szCs w:val="24"/>
        </w:rPr>
      </w:pPr>
    </w:p>
    <w:p w14:paraId="1EAF6F61" w14:textId="234B7ED5" w:rsidR="00776287" w:rsidRDefault="00776287" w:rsidP="00235103">
      <w:pPr>
        <w:spacing w:line="276" w:lineRule="auto"/>
        <w:rPr>
          <w:rFonts w:ascii="Arial" w:hAnsi="Arial" w:cs="Arial"/>
          <w:sz w:val="24"/>
          <w:szCs w:val="24"/>
        </w:rPr>
      </w:pPr>
    </w:p>
    <w:p w14:paraId="71BC5691" w14:textId="77777777" w:rsidR="00776287" w:rsidRDefault="00776287" w:rsidP="00235103">
      <w:pPr>
        <w:spacing w:line="276" w:lineRule="auto"/>
        <w:rPr>
          <w:rFonts w:ascii="Arial" w:hAnsi="Arial" w:cs="Arial"/>
          <w:sz w:val="24"/>
          <w:szCs w:val="24"/>
        </w:rPr>
      </w:pPr>
    </w:p>
    <w:p w14:paraId="1CE5EE2E" w14:textId="5BD546BA" w:rsidR="00776287" w:rsidRDefault="00776287" w:rsidP="00235103">
      <w:pPr>
        <w:spacing w:line="276" w:lineRule="auto"/>
        <w:rPr>
          <w:rFonts w:ascii="Arial" w:hAnsi="Arial" w:cs="Arial"/>
          <w:sz w:val="24"/>
          <w:szCs w:val="24"/>
        </w:rPr>
      </w:pPr>
    </w:p>
    <w:p w14:paraId="5F5E9DD2" w14:textId="77777777" w:rsidR="00776287" w:rsidRDefault="00776287" w:rsidP="00235103">
      <w:pPr>
        <w:spacing w:line="276" w:lineRule="auto"/>
        <w:rPr>
          <w:rFonts w:ascii="Arial" w:hAnsi="Arial" w:cs="Arial"/>
          <w:sz w:val="24"/>
          <w:szCs w:val="24"/>
        </w:rPr>
      </w:pPr>
    </w:p>
    <w:p w14:paraId="1C434388" w14:textId="77777777" w:rsidR="00235103" w:rsidRPr="00235103" w:rsidRDefault="00235103" w:rsidP="00235103">
      <w:pPr>
        <w:pStyle w:val="NoSpacing"/>
        <w:spacing w:line="276" w:lineRule="auto"/>
        <w:jc w:val="both"/>
        <w:rPr>
          <w:rFonts w:ascii="Arial" w:hAnsi="Arial" w:cs="Arial"/>
        </w:rPr>
      </w:pPr>
    </w:p>
    <w:p w14:paraId="5B826909" w14:textId="26D46EDF" w:rsidR="00235103" w:rsidRDefault="00235103" w:rsidP="00235103">
      <w:pPr>
        <w:pStyle w:val="NoSpacing"/>
        <w:spacing w:line="276" w:lineRule="auto"/>
        <w:jc w:val="both"/>
        <w:rPr>
          <w:rFonts w:ascii="Arial" w:hAnsi="Arial" w:cs="Arial"/>
        </w:rPr>
      </w:pPr>
      <w:r w:rsidRPr="00235103">
        <w:rPr>
          <w:rFonts w:ascii="Arial" w:hAnsi="Arial" w:cs="Arial"/>
        </w:rPr>
        <w:t>At the heart of PFM is the relationship between the public and the government. This relationship centers on the idea of there being an agreement, or what political experts call a “social contract” between the state and the public who are governed, but ultimately retain collective ownership of public resources. In this ‘contract’ the public contribute to collective resources while the government acts on their behalf, being entrusted with these resources and consequently expected to use them for collective wellbeing. Fiscal transparency is key in this relationship as it is the way in which governments provide information</w:t>
      </w:r>
      <w:r w:rsidRPr="00235103">
        <w:rPr>
          <w:rFonts w:ascii="Arial" w:hAnsi="Arial" w:cs="Arial"/>
          <w:lang w:val="en-NZ"/>
        </w:rPr>
        <w:t xml:space="preserve"> on the use of public resources</w:t>
      </w:r>
      <w:r w:rsidRPr="00235103">
        <w:rPr>
          <w:rFonts w:ascii="Arial" w:hAnsi="Arial" w:cs="Arial"/>
        </w:rPr>
        <w:t xml:space="preserve"> to those who ultimately own the collective resources and are governed, including in respect of </w:t>
      </w:r>
      <w:r w:rsidRPr="00235103">
        <w:rPr>
          <w:rFonts w:ascii="Arial" w:hAnsi="Arial" w:cs="Arial"/>
          <w:lang w:val="en-NZ"/>
        </w:rPr>
        <w:t xml:space="preserve">policies, goals and implementation results. </w:t>
      </w:r>
      <w:r w:rsidRPr="00235103">
        <w:rPr>
          <w:rFonts w:ascii="Arial" w:hAnsi="Arial" w:cs="Arial"/>
        </w:rPr>
        <w:t>Access to information is a precondition for public participation and for the public to be able to take informed decisions regarding basic needs, safety, and any other public services necessary for their wellbeing. As such, fiscal transparency is key in PFM, enabling all stakeholders to be well informed and able to participate in government’s management of public finances.</w:t>
      </w:r>
    </w:p>
    <w:p w14:paraId="3EAE3455" w14:textId="2DD60BDF" w:rsidR="00EC39A1" w:rsidRDefault="00EC39A1" w:rsidP="00235103">
      <w:pPr>
        <w:pStyle w:val="NoSpacing"/>
        <w:spacing w:line="276" w:lineRule="auto"/>
        <w:jc w:val="both"/>
        <w:rPr>
          <w:rFonts w:ascii="Arial" w:hAnsi="Arial" w:cs="Arial"/>
        </w:rPr>
      </w:pPr>
    </w:p>
    <w:p w14:paraId="079226A2" w14:textId="3995F634" w:rsidR="00EC39A1" w:rsidRDefault="00EC39A1" w:rsidP="00235103">
      <w:pPr>
        <w:pStyle w:val="NoSpacing"/>
        <w:spacing w:line="276" w:lineRule="auto"/>
        <w:jc w:val="both"/>
        <w:rPr>
          <w:rFonts w:ascii="Arial" w:hAnsi="Arial" w:cs="Arial"/>
        </w:rPr>
      </w:pPr>
    </w:p>
    <w:p w14:paraId="4912EA74" w14:textId="77777777" w:rsidR="00EC39A1" w:rsidRDefault="00EC39A1" w:rsidP="00235103">
      <w:pPr>
        <w:pStyle w:val="NoSpacing"/>
        <w:spacing w:line="276" w:lineRule="auto"/>
        <w:jc w:val="both"/>
        <w:rPr>
          <w:rFonts w:ascii="Arial" w:hAnsi="Arial" w:cs="Arial"/>
        </w:rPr>
      </w:pPr>
    </w:p>
    <w:p w14:paraId="586C8260" w14:textId="77777777" w:rsidR="00ED34F0" w:rsidRPr="00235103" w:rsidRDefault="00ED34F0" w:rsidP="00235103">
      <w:pPr>
        <w:pStyle w:val="NoSpacing"/>
        <w:spacing w:line="276" w:lineRule="auto"/>
        <w:jc w:val="both"/>
        <w:rPr>
          <w:rFonts w:ascii="Arial" w:hAnsi="Arial" w:cs="Arial"/>
        </w:rPr>
      </w:pPr>
    </w:p>
    <w:p w14:paraId="029A724B" w14:textId="787CD051" w:rsidR="00D013B8" w:rsidRPr="00830D5F" w:rsidRDefault="00D013B8">
      <w:pPr>
        <w:pStyle w:val="Heading2"/>
        <w:numPr>
          <w:ilvl w:val="1"/>
          <w:numId w:val="7"/>
        </w:numPr>
        <w:rPr>
          <w:rFonts w:ascii="Arial" w:hAnsi="Arial" w:cs="Arial"/>
          <w:b/>
          <w:bCs/>
          <w:color w:val="16988A"/>
          <w:sz w:val="36"/>
          <w:szCs w:val="36"/>
        </w:rPr>
      </w:pPr>
      <w:bookmarkStart w:id="233" w:name="_Toc115369978"/>
      <w:bookmarkStart w:id="234" w:name="_Toc115729053"/>
      <w:bookmarkStart w:id="235" w:name="_Toc115877700"/>
      <w:bookmarkStart w:id="236" w:name="_Toc116056984"/>
      <w:bookmarkStart w:id="237" w:name="_Toc119794421"/>
      <w:bookmarkStart w:id="238" w:name="_Toc123204402"/>
      <w:bookmarkStart w:id="239" w:name="_Toc123216488"/>
      <w:bookmarkStart w:id="240" w:name="_Toc123217328"/>
      <w:bookmarkStart w:id="241" w:name="_Toc123913301"/>
      <w:bookmarkStart w:id="242" w:name="_Toc123913957"/>
      <w:bookmarkStart w:id="243" w:name="_Toc125495785"/>
      <w:bookmarkStart w:id="244" w:name="_Toc125566576"/>
      <w:r w:rsidRPr="00830D5F">
        <w:rPr>
          <w:rFonts w:ascii="Arial" w:hAnsi="Arial" w:cs="Arial"/>
          <w:b/>
          <w:bCs/>
          <w:color w:val="16988A"/>
          <w:sz w:val="36"/>
          <w:szCs w:val="36"/>
        </w:rPr>
        <w:lastRenderedPageBreak/>
        <w:t>Fiscal transparency along the fiscal policy cycle</w:t>
      </w:r>
      <w:bookmarkEnd w:id="233"/>
      <w:bookmarkEnd w:id="234"/>
      <w:bookmarkEnd w:id="235"/>
      <w:bookmarkEnd w:id="236"/>
      <w:bookmarkEnd w:id="237"/>
      <w:bookmarkEnd w:id="238"/>
      <w:bookmarkEnd w:id="239"/>
      <w:bookmarkEnd w:id="240"/>
      <w:bookmarkEnd w:id="241"/>
      <w:bookmarkEnd w:id="242"/>
      <w:bookmarkEnd w:id="243"/>
      <w:bookmarkEnd w:id="244"/>
    </w:p>
    <w:p w14:paraId="6A5BB696" w14:textId="77777777" w:rsidR="00830D5F" w:rsidRPr="00F60921" w:rsidRDefault="00830D5F" w:rsidP="00DE09C3">
      <w:pPr>
        <w:spacing w:after="160" w:line="259" w:lineRule="auto"/>
        <w:contextualSpacing/>
        <w:jc w:val="both"/>
        <w:rPr>
          <w:rFonts w:ascii="Arial" w:eastAsiaTheme="minorEastAsia" w:hAnsi="Arial" w:cs="Arial"/>
          <w:sz w:val="24"/>
          <w:szCs w:val="24"/>
          <w:lang w:val="en-US"/>
        </w:rPr>
      </w:pPr>
    </w:p>
    <w:p w14:paraId="67D47B5B" w14:textId="6FB9A403" w:rsidR="00074A7D" w:rsidRPr="00830D5F" w:rsidRDefault="00074A7D" w:rsidP="00830D5F">
      <w:pPr>
        <w:spacing w:after="160" w:line="276" w:lineRule="auto"/>
        <w:contextualSpacing/>
        <w:jc w:val="both"/>
        <w:rPr>
          <w:rFonts w:ascii="Arial" w:eastAsiaTheme="minorEastAsia" w:hAnsi="Arial" w:cs="Arial"/>
          <w:sz w:val="24"/>
          <w:szCs w:val="24"/>
          <w:lang w:val="en-US"/>
        </w:rPr>
      </w:pPr>
      <w:r w:rsidRPr="00830D5F">
        <w:rPr>
          <w:rFonts w:ascii="Arial" w:eastAsiaTheme="minorEastAsia" w:hAnsi="Arial" w:cs="Arial"/>
          <w:sz w:val="24"/>
          <w:szCs w:val="24"/>
          <w:lang w:val="en-US"/>
        </w:rPr>
        <w:t>Fiscal trans</w:t>
      </w:r>
      <w:r w:rsidR="009500ED">
        <w:rPr>
          <w:rFonts w:ascii="Arial" w:eastAsiaTheme="minorEastAsia" w:hAnsi="Arial" w:cs="Arial"/>
          <w:sz w:val="24"/>
          <w:szCs w:val="24"/>
          <w:lang w:val="en-US"/>
        </w:rPr>
        <w:t>parency</w:t>
      </w:r>
      <w:r w:rsidRPr="00830D5F">
        <w:rPr>
          <w:rFonts w:ascii="Arial" w:eastAsiaTheme="minorEastAsia" w:hAnsi="Arial" w:cs="Arial"/>
          <w:sz w:val="24"/>
          <w:szCs w:val="24"/>
          <w:lang w:val="en-US"/>
        </w:rPr>
        <w:t xml:space="preserve"> </w:t>
      </w:r>
      <w:r w:rsidR="009B18FE" w:rsidRPr="00830D5F">
        <w:rPr>
          <w:rFonts w:ascii="Arial" w:eastAsiaTheme="minorEastAsia" w:hAnsi="Arial" w:cs="Arial"/>
          <w:sz w:val="24"/>
          <w:szCs w:val="24"/>
          <w:lang w:val="en-US"/>
        </w:rPr>
        <w:t xml:space="preserve">and openness </w:t>
      </w:r>
      <w:proofErr w:type="gramStart"/>
      <w:r w:rsidRPr="00830D5F">
        <w:rPr>
          <w:rFonts w:ascii="Arial" w:eastAsiaTheme="minorEastAsia" w:hAnsi="Arial" w:cs="Arial"/>
          <w:sz w:val="24"/>
          <w:szCs w:val="24"/>
          <w:lang w:val="en-US"/>
        </w:rPr>
        <w:t>involves</w:t>
      </w:r>
      <w:proofErr w:type="gramEnd"/>
      <w:r w:rsidRPr="00830D5F">
        <w:rPr>
          <w:rFonts w:ascii="Arial" w:eastAsiaTheme="minorEastAsia" w:hAnsi="Arial" w:cs="Arial"/>
          <w:sz w:val="24"/>
          <w:szCs w:val="24"/>
          <w:lang w:val="en-US"/>
        </w:rPr>
        <w:t xml:space="preserve"> different stakeholders, in various ways, throughout the </w:t>
      </w:r>
      <w:r w:rsidR="009B18FE" w:rsidRPr="00830D5F">
        <w:rPr>
          <w:rFonts w:ascii="Arial" w:eastAsiaTheme="minorEastAsia" w:hAnsi="Arial" w:cs="Arial"/>
          <w:sz w:val="24"/>
          <w:szCs w:val="24"/>
          <w:lang w:val="en-US"/>
        </w:rPr>
        <w:t xml:space="preserve">different stages of the </w:t>
      </w:r>
      <w:r w:rsidRPr="00830D5F">
        <w:rPr>
          <w:rFonts w:ascii="Arial" w:eastAsiaTheme="minorEastAsia" w:hAnsi="Arial" w:cs="Arial"/>
          <w:sz w:val="24"/>
          <w:szCs w:val="24"/>
          <w:lang w:val="en-US"/>
        </w:rPr>
        <w:t>fiscal policy cycle</w:t>
      </w:r>
      <w:r w:rsidR="00C90E1F" w:rsidRPr="00830D5F">
        <w:rPr>
          <w:rFonts w:ascii="Arial" w:eastAsiaTheme="minorEastAsia" w:hAnsi="Arial" w:cs="Arial"/>
          <w:sz w:val="24"/>
          <w:szCs w:val="24"/>
          <w:lang w:val="en-US"/>
        </w:rPr>
        <w:t xml:space="preserve">. </w:t>
      </w:r>
      <w:r w:rsidRPr="00830D5F">
        <w:rPr>
          <w:rFonts w:ascii="Arial" w:eastAsiaTheme="minorEastAsia" w:hAnsi="Arial" w:cs="Arial"/>
          <w:sz w:val="24"/>
          <w:szCs w:val="24"/>
          <w:lang w:val="en-US"/>
        </w:rPr>
        <w:t>The fiscal policy cycle can be divided into four stages</w:t>
      </w:r>
      <w:r w:rsidR="009B18FE" w:rsidRPr="00830D5F">
        <w:rPr>
          <w:rFonts w:ascii="Arial" w:eastAsiaTheme="minorEastAsia" w:hAnsi="Arial" w:cs="Arial"/>
          <w:sz w:val="24"/>
          <w:szCs w:val="24"/>
          <w:lang w:val="en-US"/>
        </w:rPr>
        <w:t xml:space="preserve"> as shown in the diagram below.</w:t>
      </w:r>
      <w:r w:rsidR="00C90E1F" w:rsidRPr="00830D5F">
        <w:rPr>
          <w:rFonts w:ascii="Arial" w:eastAsiaTheme="minorEastAsia" w:hAnsi="Arial" w:cs="Arial"/>
          <w:sz w:val="24"/>
          <w:szCs w:val="24"/>
          <w:lang w:val="en-US"/>
        </w:rPr>
        <w:t xml:space="preserve"> </w:t>
      </w:r>
      <w:r w:rsidR="00682A0B" w:rsidRPr="00830D5F">
        <w:rPr>
          <w:rFonts w:ascii="Arial" w:eastAsiaTheme="minorEastAsia" w:hAnsi="Arial" w:cs="Arial"/>
          <w:sz w:val="24"/>
          <w:szCs w:val="24"/>
          <w:lang w:val="en-US"/>
        </w:rPr>
        <w:t>Fiscal transparency</w:t>
      </w:r>
      <w:r w:rsidR="00C90E1F" w:rsidRPr="00830D5F">
        <w:rPr>
          <w:rFonts w:ascii="Arial" w:eastAsiaTheme="minorEastAsia" w:hAnsi="Arial" w:cs="Arial"/>
          <w:sz w:val="24"/>
          <w:szCs w:val="24"/>
          <w:lang w:val="en-US"/>
        </w:rPr>
        <w:t xml:space="preserve"> is a critical element for the effectiveness of each stage</w:t>
      </w:r>
      <w:r w:rsidR="00A75300" w:rsidRPr="00830D5F">
        <w:rPr>
          <w:rFonts w:ascii="Arial" w:eastAsiaTheme="minorEastAsia" w:hAnsi="Arial" w:cs="Arial"/>
          <w:sz w:val="24"/>
          <w:szCs w:val="24"/>
          <w:lang w:val="en-US"/>
        </w:rPr>
        <w:t>, as described briefly below</w:t>
      </w:r>
      <w:r w:rsidR="00C90E1F" w:rsidRPr="00830D5F">
        <w:rPr>
          <w:rFonts w:ascii="Arial" w:eastAsiaTheme="minorEastAsia" w:hAnsi="Arial" w:cs="Arial"/>
          <w:sz w:val="24"/>
          <w:szCs w:val="24"/>
          <w:lang w:val="en-US"/>
        </w:rPr>
        <w:t>.</w:t>
      </w:r>
    </w:p>
    <w:p w14:paraId="53732731" w14:textId="1AC79CB7" w:rsidR="00E461AA" w:rsidRDefault="00E461AA" w:rsidP="00DE09C3">
      <w:pPr>
        <w:spacing w:after="160" w:line="259" w:lineRule="auto"/>
        <w:contextualSpacing/>
        <w:jc w:val="both"/>
        <w:rPr>
          <w:rFonts w:asciiTheme="minorHAnsi" w:eastAsiaTheme="minorEastAsia" w:hAnsiTheme="minorHAnsi" w:cstheme="minorBidi"/>
          <w:lang w:val="en-US"/>
        </w:rPr>
      </w:pPr>
    </w:p>
    <w:p w14:paraId="2135FD7B" w14:textId="78562F1D" w:rsidR="00E461AA" w:rsidRPr="002F6BBA" w:rsidRDefault="00E461AA" w:rsidP="003625BA">
      <w:pPr>
        <w:pStyle w:val="Heading3"/>
        <w:jc w:val="center"/>
        <w:rPr>
          <w:rFonts w:ascii="Arial" w:eastAsiaTheme="minorEastAsia" w:hAnsi="Arial" w:cs="Arial"/>
          <w:b/>
          <w:bCs/>
          <w:color w:val="69557F"/>
          <w:sz w:val="20"/>
          <w:szCs w:val="20"/>
          <w:lang w:val="en-US"/>
        </w:rPr>
      </w:pPr>
      <w:bookmarkStart w:id="245" w:name="_Figure_1.1._Fiscal"/>
      <w:bookmarkStart w:id="246" w:name="_Toc123215314"/>
      <w:bookmarkStart w:id="247" w:name="_Toc123217329"/>
      <w:bookmarkStart w:id="248" w:name="_Toc123913302"/>
      <w:bookmarkStart w:id="249" w:name="_Toc123913958"/>
      <w:bookmarkStart w:id="250" w:name="_Toc125566577"/>
      <w:bookmarkEnd w:id="245"/>
      <w:r w:rsidRPr="002F6BBA">
        <w:rPr>
          <w:rFonts w:ascii="Arial" w:eastAsiaTheme="minorEastAsia" w:hAnsi="Arial" w:cs="Arial"/>
          <w:b/>
          <w:bCs/>
          <w:color w:val="69557F"/>
          <w:sz w:val="20"/>
          <w:szCs w:val="20"/>
          <w:lang w:val="en-US"/>
        </w:rPr>
        <w:t>Figure 1.</w:t>
      </w:r>
      <w:r w:rsidR="00281BF5" w:rsidRPr="002F6BBA">
        <w:rPr>
          <w:rFonts w:ascii="Arial" w:eastAsiaTheme="minorEastAsia" w:hAnsi="Arial" w:cs="Arial"/>
          <w:b/>
          <w:bCs/>
          <w:color w:val="69557F"/>
          <w:sz w:val="20"/>
          <w:szCs w:val="20"/>
          <w:lang w:val="en-US"/>
        </w:rPr>
        <w:t>1</w:t>
      </w:r>
      <w:r w:rsidR="00FF397A">
        <w:rPr>
          <w:rFonts w:ascii="Arial" w:eastAsiaTheme="minorEastAsia" w:hAnsi="Arial" w:cs="Arial"/>
          <w:b/>
          <w:bCs/>
          <w:color w:val="69557F"/>
          <w:sz w:val="20"/>
          <w:szCs w:val="20"/>
          <w:lang w:val="en-US"/>
        </w:rPr>
        <w:t>.</w:t>
      </w:r>
      <w:r w:rsidR="00281BF5" w:rsidRPr="002F6BBA">
        <w:rPr>
          <w:rFonts w:ascii="Arial" w:eastAsiaTheme="minorEastAsia" w:hAnsi="Arial" w:cs="Arial"/>
          <w:b/>
          <w:bCs/>
          <w:color w:val="69557F"/>
          <w:sz w:val="20"/>
          <w:szCs w:val="20"/>
          <w:lang w:val="en-US"/>
        </w:rPr>
        <w:t xml:space="preserve"> </w:t>
      </w:r>
      <w:r w:rsidRPr="002F6BBA">
        <w:rPr>
          <w:rFonts w:ascii="Arial" w:eastAsiaTheme="minorEastAsia" w:hAnsi="Arial" w:cs="Arial"/>
          <w:b/>
          <w:bCs/>
          <w:color w:val="69557F"/>
          <w:sz w:val="20"/>
          <w:szCs w:val="20"/>
          <w:lang w:val="en-US"/>
        </w:rPr>
        <w:t>Fiscal policy cycle</w:t>
      </w:r>
      <w:bookmarkEnd w:id="246"/>
      <w:bookmarkEnd w:id="247"/>
      <w:bookmarkEnd w:id="248"/>
      <w:bookmarkEnd w:id="249"/>
      <w:bookmarkEnd w:id="250"/>
    </w:p>
    <w:p w14:paraId="6E118E4D" w14:textId="46B3C337" w:rsidR="00830D5F" w:rsidRDefault="0009614E" w:rsidP="00DE09C3">
      <w:pPr>
        <w:spacing w:after="160" w:line="259" w:lineRule="auto"/>
        <w:contextualSpacing/>
        <w:jc w:val="both"/>
        <w:rPr>
          <w:rFonts w:asciiTheme="minorHAnsi" w:eastAsiaTheme="minorEastAsia" w:hAnsiTheme="minorHAnsi" w:cstheme="minorBidi"/>
          <w:lang w:val="en-US"/>
        </w:rPr>
      </w:pPr>
      <w:r w:rsidRPr="0075486F">
        <w:rPr>
          <w:rFonts w:asciiTheme="minorHAnsi" w:eastAsiaTheme="minorEastAsia" w:hAnsiTheme="minorHAnsi" w:cstheme="minorBidi"/>
          <w:noProof/>
          <w:lang w:val="en-US"/>
        </w:rPr>
        <mc:AlternateContent>
          <mc:Choice Requires="wps">
            <w:drawing>
              <wp:anchor distT="45720" distB="45720" distL="114300" distR="114300" simplePos="0" relativeHeight="251687936" behindDoc="0" locked="0" layoutInCell="1" allowOverlap="1" wp14:anchorId="23BFCC76" wp14:editId="4B633410">
                <wp:simplePos x="0" y="0"/>
                <wp:positionH relativeFrom="column">
                  <wp:posOffset>-41910</wp:posOffset>
                </wp:positionH>
                <wp:positionV relativeFrom="paragraph">
                  <wp:posOffset>247650</wp:posOffset>
                </wp:positionV>
                <wp:extent cx="6718300" cy="1634490"/>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1634490"/>
                        </a:xfrm>
                        <a:prstGeom prst="rect">
                          <a:avLst/>
                        </a:prstGeom>
                        <a:noFill/>
                        <a:ln w="9525">
                          <a:noFill/>
                          <a:miter lim="800000"/>
                          <a:headEnd/>
                          <a:tailEnd/>
                        </a:ln>
                      </wps:spPr>
                      <wps:txbx>
                        <w:txbxContent>
                          <w:p w14:paraId="7751C729" w14:textId="39F056A3" w:rsidR="00D15FD8" w:rsidRPr="00830D5F" w:rsidRDefault="00D15FD8" w:rsidP="00830D5F">
                            <w:pPr>
                              <w:spacing w:line="276" w:lineRule="auto"/>
                              <w:jc w:val="both"/>
                              <w:rPr>
                                <w:rFonts w:ascii="Arial" w:hAnsi="Arial" w:cs="Arial"/>
                                <w:sz w:val="20"/>
                                <w:szCs w:val="20"/>
                              </w:rPr>
                            </w:pPr>
                            <w:r w:rsidRPr="00830D5F">
                              <w:rPr>
                                <w:rFonts w:ascii="Arial" w:hAnsi="Arial" w:cs="Arial"/>
                                <w:sz w:val="20"/>
                                <w:szCs w:val="20"/>
                                <w:lang w:val="en-US"/>
                              </w:rPr>
                              <w:t>At the end of a fiscal year, parliamentarians, with the assistance of other actors, need to review and assure the reasonableness and appropriateness of the executive’s actual spending and other results. The legislature needs to have a full picture of the previous fiscal year, both from a financial and non-financial performance or outcomes perspective, to scrutinize the executive’s financial management from planning, to the allocation of resources to declared priorities, to the evaluation of the results these decisions generated. The executive’s year-end report is its key accountability document, containing accounts of its activities, including all of its revenue and spending activities. This report should be accompanied by an audit from the supreme audit institution for independent assurance. Legislative scrutiny of audit findings assists in ensuring that public funds have been used for the purposes intended, and that policies achieve their intended results.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FCC76" id="Text Box 2" o:spid="_x0000_s1047" type="#_x0000_t202" style="position:absolute;left:0;text-align:left;margin-left:-3.3pt;margin-top:19.5pt;width:529pt;height:128.7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" filled="f" stroked="f">
                <v:textbox>
                  <w:txbxContent>
                    <w:p w14:paraId="7751C729" w14:textId="39F056A3" w:rsidR="00D15FD8" w:rsidRPr="00830D5F" w:rsidRDefault="00D15FD8" w:rsidP="00830D5F">
                      <w:pPr>
                        <w:spacing w:line="276" w:lineRule="auto"/>
                        <w:jc w:val="both"/>
                        <w:rPr>
                          <w:rFonts w:ascii="Arial" w:hAnsi="Arial" w:cs="Arial"/>
                          <w:sz w:val="20"/>
                          <w:szCs w:val="20"/>
                        </w:rPr>
                      </w:pPr>
                      <w:r w:rsidRPr="00830D5F">
                        <w:rPr>
                          <w:rFonts w:ascii="Arial" w:hAnsi="Arial" w:cs="Arial"/>
                          <w:sz w:val="20"/>
                          <w:szCs w:val="20"/>
                          <w:lang w:val="en-US"/>
                        </w:rPr>
                        <w:t>At the end of a fiscal year, parliamentarians, with the assistance of other actors, need to review and assure the reasonableness and appropriateness of the executive’s actual spending and other results. The legislature needs to have a full picture of the previous fiscal year, both from a financial and non-financial performance or outcomes perspective, to scrutinize the executive’s financial management from planning, to the allocation of resources to declared priorities, to the evaluation of the results these decisions generated. The executive’s year-end report is its key accountability document, containing accounts of its activities, including all of its revenue and spending activities. This report should be accompanied by an audit from the supreme audit institution for independent assurance. Legislative scrutiny of audit findings assists in ensuring that public funds have been used for the purposes intended, and that policies achieve their intended results.</w:t>
                      </w:r>
                    </w:p>
                  </w:txbxContent>
                </v:textbox>
                <w10:wrap type="square"/>
              </v:shape>
            </w:pict>
          </mc:Fallback>
        </mc:AlternateContent>
      </w:r>
    </w:p>
    <w:p w14:paraId="489803FE" w14:textId="2F2D0145" w:rsidR="00830D5F" w:rsidRDefault="0009614E" w:rsidP="00DE09C3">
      <w:pPr>
        <w:spacing w:after="160" w:line="259" w:lineRule="auto"/>
        <w:contextualSpacing/>
        <w:jc w:val="both"/>
        <w:rPr>
          <w:rFonts w:asciiTheme="minorHAnsi" w:eastAsiaTheme="minorEastAsia" w:hAnsiTheme="minorHAnsi" w:cstheme="minorBidi"/>
          <w:lang w:val="en-US"/>
        </w:rPr>
      </w:pPr>
      <w:r>
        <w:rPr>
          <w:rFonts w:asciiTheme="minorHAnsi" w:eastAsiaTheme="minorEastAsia" w:hAnsiTheme="minorHAnsi" w:cstheme="minorBidi"/>
          <w:noProof/>
          <w:lang w:val="en-US"/>
        </w:rPr>
        <mc:AlternateContent>
          <mc:Choice Requires="wps">
            <w:drawing>
              <wp:anchor distT="0" distB="0" distL="114300" distR="114300" simplePos="0" relativeHeight="251772928" behindDoc="0" locked="0" layoutInCell="1" allowOverlap="1" wp14:anchorId="6591713C" wp14:editId="72E50F9C">
                <wp:simplePos x="0" y="0"/>
                <wp:positionH relativeFrom="column">
                  <wp:posOffset>690880</wp:posOffset>
                </wp:positionH>
                <wp:positionV relativeFrom="paragraph">
                  <wp:posOffset>1809404</wp:posOffset>
                </wp:positionV>
                <wp:extent cx="110836" cy="223763"/>
                <wp:effectExtent l="12700" t="0" r="16510" b="5080"/>
                <wp:wrapNone/>
                <wp:docPr id="28" name="Down Arrow 28"/>
                <wp:cNvGraphicFramePr/>
                <a:graphic xmlns:a="http://schemas.openxmlformats.org/drawingml/2006/main">
                  <a:graphicData uri="http://schemas.microsoft.com/office/word/2010/wordprocessingShape">
                    <wps:wsp>
                      <wps:cNvSpPr/>
                      <wps:spPr>
                        <a:xfrm rot="12086384">
                          <a:off x="0" y="0"/>
                          <a:ext cx="110836" cy="223763"/>
                        </a:xfrm>
                        <a:prstGeom prst="downArrow">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type w14:anchorId="62CE71C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8" o:spid="_x0000_s1026" type="#_x0000_t67" style="position:absolute;margin-left:54.4pt;margin-top:142.45pt;width:8.75pt;height:17.6pt;rotation:-10391406fd;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" adj="16250" fillcolor="#16988a" stroked="f" strokeweight="1pt"/>
            </w:pict>
          </mc:Fallback>
        </mc:AlternateContent>
      </w:r>
      <w:r>
        <w:rPr>
          <w:rFonts w:asciiTheme="minorHAnsi" w:eastAsiaTheme="minorEastAsia" w:hAnsiTheme="minorHAnsi" w:cstheme="minorBidi"/>
          <w:noProof/>
          <w:lang w:val="en-US"/>
        </w:rPr>
        <mc:AlternateContent>
          <mc:Choice Requires="wps">
            <w:drawing>
              <wp:anchor distT="0" distB="0" distL="114300" distR="114300" simplePos="0" relativeHeight="251766784" behindDoc="0" locked="0" layoutInCell="1" allowOverlap="1" wp14:anchorId="5FCF7156" wp14:editId="2BBCC3DF">
                <wp:simplePos x="0" y="0"/>
                <wp:positionH relativeFrom="column">
                  <wp:posOffset>5803900</wp:posOffset>
                </wp:positionH>
                <wp:positionV relativeFrom="paragraph">
                  <wp:posOffset>1822970</wp:posOffset>
                </wp:positionV>
                <wp:extent cx="110836" cy="223763"/>
                <wp:effectExtent l="25400" t="12700" r="29210" b="0"/>
                <wp:wrapNone/>
                <wp:docPr id="22" name="Down Arrow 22"/>
                <wp:cNvGraphicFramePr/>
                <a:graphic xmlns:a="http://schemas.openxmlformats.org/drawingml/2006/main">
                  <a:graphicData uri="http://schemas.microsoft.com/office/word/2010/wordprocessingShape">
                    <wps:wsp>
                      <wps:cNvSpPr/>
                      <wps:spPr>
                        <a:xfrm rot="20108931">
                          <a:off x="0" y="0"/>
                          <a:ext cx="110836" cy="223763"/>
                        </a:xfrm>
                        <a:prstGeom prst="downArrow">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 w14:anchorId="3DFE63CB" id="Down Arrow 22" o:spid="_x0000_s1026" type="#_x0000_t67" style="position:absolute;margin-left:457pt;margin-top:143.55pt;width:8.75pt;height:17.6pt;rotation:-1628645fd;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" adj="16250" fillcolor="#f8a133" stroked="f" strokeweight="1pt"/>
            </w:pict>
          </mc:Fallback>
        </mc:AlternateContent>
      </w:r>
      <w:r>
        <w:rPr>
          <w:rFonts w:asciiTheme="minorHAnsi" w:eastAsiaTheme="minorEastAsia" w:hAnsiTheme="minorHAnsi" w:cstheme="minorBidi"/>
          <w:noProof/>
          <w:lang w:val="en-US"/>
        </w:rPr>
        <mc:AlternateContent>
          <mc:Choice Requires="wps">
            <w:drawing>
              <wp:anchor distT="0" distB="0" distL="114300" distR="114300" simplePos="0" relativeHeight="251748351" behindDoc="1" locked="0" layoutInCell="1" allowOverlap="1" wp14:anchorId="6560A6BC" wp14:editId="27A6B24F">
                <wp:simplePos x="0" y="0"/>
                <wp:positionH relativeFrom="margin">
                  <wp:posOffset>-42718</wp:posOffset>
                </wp:positionH>
                <wp:positionV relativeFrom="paragraph">
                  <wp:posOffset>62750</wp:posOffset>
                </wp:positionV>
                <wp:extent cx="6719743" cy="1633855"/>
                <wp:effectExtent l="12700" t="12700" r="11430" b="17145"/>
                <wp:wrapNone/>
                <wp:docPr id="11" name="Rounded Rectangle 11"/>
                <wp:cNvGraphicFramePr/>
                <a:graphic xmlns:a="http://schemas.openxmlformats.org/drawingml/2006/main">
                  <a:graphicData uri="http://schemas.microsoft.com/office/word/2010/wordprocessingShape">
                    <wps:wsp>
                      <wps:cNvSpPr/>
                      <wps:spPr>
                        <a:xfrm>
                          <a:off x="0" y="0"/>
                          <a:ext cx="6719743" cy="1633855"/>
                        </a:xfrm>
                        <a:prstGeom prst="roundRect">
                          <a:avLst>
                            <a:gd name="adj" fmla="val 5318"/>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B22DA7F" id="Rounded Rectangle 11" o:spid="_x0000_s1026" style="position:absolute;margin-left:-3.35pt;margin-top:4.95pt;width:529.1pt;height:128.65pt;z-index:-2515681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4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" filled="f" strokecolor="#16988a" strokeweight="2.25pt">
                <v:stroke joinstyle="miter"/>
                <w10:wrap anchorx="margin"/>
              </v:roundrect>
            </w:pict>
          </mc:Fallback>
        </mc:AlternateContent>
      </w:r>
    </w:p>
    <w:p w14:paraId="6746DC10" w14:textId="162D7E8C" w:rsidR="00830D5F" w:rsidRDefault="00830D5F" w:rsidP="00DE09C3">
      <w:pPr>
        <w:spacing w:after="160" w:line="259" w:lineRule="auto"/>
        <w:contextualSpacing/>
        <w:jc w:val="both"/>
        <w:rPr>
          <w:rFonts w:asciiTheme="minorHAnsi" w:eastAsiaTheme="minorEastAsia" w:hAnsiTheme="minorHAnsi" w:cstheme="minorBidi"/>
          <w:lang w:val="en-US"/>
        </w:rPr>
      </w:pPr>
    </w:p>
    <w:p w14:paraId="4214E96E" w14:textId="6E451D0B" w:rsidR="00830D5F" w:rsidRDefault="0009614E" w:rsidP="00DE09C3">
      <w:pPr>
        <w:spacing w:after="160" w:line="259" w:lineRule="auto"/>
        <w:contextualSpacing/>
        <w:jc w:val="both"/>
        <w:rPr>
          <w:rFonts w:asciiTheme="minorHAnsi" w:eastAsiaTheme="minorEastAsia" w:hAnsiTheme="minorHAnsi" w:cstheme="minorBidi"/>
          <w:lang w:val="en-US"/>
        </w:rPr>
      </w:pPr>
      <w:r>
        <w:rPr>
          <w:rFonts w:asciiTheme="minorHAnsi" w:eastAsiaTheme="minorEastAsia" w:hAnsiTheme="minorHAnsi" w:cstheme="minorBidi"/>
          <w:noProof/>
          <w:lang w:val="en-US"/>
        </w:rPr>
        <mc:AlternateContent>
          <mc:Choice Requires="wps">
            <w:drawing>
              <wp:anchor distT="0" distB="0" distL="114300" distR="114300" simplePos="0" relativeHeight="251762688" behindDoc="1" locked="0" layoutInCell="1" allowOverlap="1" wp14:anchorId="328FCDF0" wp14:editId="54DDC124">
                <wp:simplePos x="0" y="0"/>
                <wp:positionH relativeFrom="margin">
                  <wp:posOffset>5041265</wp:posOffset>
                </wp:positionH>
                <wp:positionV relativeFrom="paragraph">
                  <wp:posOffset>40640</wp:posOffset>
                </wp:positionV>
                <wp:extent cx="1635125" cy="3575050"/>
                <wp:effectExtent l="12700" t="12700" r="15875" b="19050"/>
                <wp:wrapNone/>
                <wp:docPr id="16" name="Rounded Rectangle 16"/>
                <wp:cNvGraphicFramePr/>
                <a:graphic xmlns:a="http://schemas.openxmlformats.org/drawingml/2006/main">
                  <a:graphicData uri="http://schemas.microsoft.com/office/word/2010/wordprocessingShape">
                    <wps:wsp>
                      <wps:cNvSpPr/>
                      <wps:spPr>
                        <a:xfrm>
                          <a:off x="0" y="0"/>
                          <a:ext cx="1635125" cy="3575050"/>
                        </a:xfrm>
                        <a:prstGeom prst="roundRect">
                          <a:avLst>
                            <a:gd name="adj" fmla="val 5318"/>
                          </a:avLst>
                        </a:prstGeom>
                        <a:noFill/>
                        <a:ln w="28575">
                          <a:solidFill>
                            <a:srgbClr val="F8A1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5E74E53" id="Rounded Rectangle 16" o:spid="_x0000_s1026" style="position:absolute;margin-left:396.95pt;margin-top:3.2pt;width:128.75pt;height:281.5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4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" filled="f" strokecolor="#f8a133" strokeweight="2.25pt">
                <v:stroke joinstyle="miter"/>
                <w10:wrap anchorx="margin"/>
              </v:roundrect>
            </w:pict>
          </mc:Fallback>
        </mc:AlternateContent>
      </w:r>
      <w:r w:rsidRPr="0075486F">
        <w:rPr>
          <w:rFonts w:asciiTheme="minorHAnsi" w:eastAsiaTheme="minorEastAsia" w:hAnsiTheme="minorHAnsi" w:cstheme="minorBidi"/>
          <w:noProof/>
          <w:lang w:val="en-US"/>
        </w:rPr>
        <mc:AlternateContent>
          <mc:Choice Requires="wps">
            <w:drawing>
              <wp:anchor distT="45720" distB="45720" distL="114300" distR="114300" simplePos="0" relativeHeight="251685888" behindDoc="0" locked="0" layoutInCell="1" allowOverlap="1" wp14:anchorId="284F38C2" wp14:editId="628B8FA9">
                <wp:simplePos x="0" y="0"/>
                <wp:positionH relativeFrom="column">
                  <wp:posOffset>5041900</wp:posOffset>
                </wp:positionH>
                <wp:positionV relativeFrom="paragraph">
                  <wp:posOffset>41910</wp:posOffset>
                </wp:positionV>
                <wp:extent cx="1633855" cy="34772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3855" cy="3477260"/>
                        </a:xfrm>
                        <a:prstGeom prst="rect">
                          <a:avLst/>
                        </a:prstGeom>
                        <a:noFill/>
                        <a:ln w="9525">
                          <a:noFill/>
                          <a:miter lim="800000"/>
                          <a:headEnd/>
                          <a:tailEnd/>
                        </a:ln>
                      </wps:spPr>
                      <wps:txbx>
                        <w:txbxContent>
                          <w:p w14:paraId="0078D18F" w14:textId="71B38326" w:rsidR="00D15FD8" w:rsidRPr="00830D5F" w:rsidRDefault="00D15FD8" w:rsidP="00830D5F">
                            <w:pPr>
                              <w:jc w:val="both"/>
                              <w:rPr>
                                <w:rFonts w:ascii="Arial" w:hAnsi="Arial" w:cs="Arial"/>
                                <w:sz w:val="20"/>
                                <w:szCs w:val="20"/>
                              </w:rPr>
                            </w:pPr>
                            <w:r w:rsidRPr="00830D5F">
                              <w:rPr>
                                <w:rFonts w:ascii="Arial" w:hAnsi="Arial" w:cs="Arial"/>
                                <w:sz w:val="20"/>
                                <w:szCs w:val="20"/>
                                <w:lang w:val="en-US"/>
                              </w:rPr>
                              <w:t>Fiscal policy is formulated by the executive branch. As the principal actor in this stage, the executive undertakes its planning to develop fiscal policy and budget proposals, however, for best results, the executive should not perform this task singlehandedly, but rather be sure to involve other stakeholders, such that informed decisions can be taken. To allow other actors to perform their roles, the executive needs to provide them with quality information. This stage normally culminates with the executive tabling the budget in the legislature.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F38C2" id="_x0000_s1048" type="#_x0000_t202" style="position:absolute;left:0;text-align:left;margin-left:397pt;margin-top:3.3pt;width:128.65pt;height:273.8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" filled="f" stroked="f">
                <v:textbox>
                  <w:txbxContent>
                    <w:p w14:paraId="0078D18F" w14:textId="71B38326" w:rsidR="00D15FD8" w:rsidRPr="00830D5F" w:rsidRDefault="00D15FD8" w:rsidP="00830D5F">
                      <w:pPr>
                        <w:jc w:val="both"/>
                        <w:rPr>
                          <w:rFonts w:ascii="Arial" w:hAnsi="Arial" w:cs="Arial"/>
                          <w:sz w:val="20"/>
                          <w:szCs w:val="20"/>
                        </w:rPr>
                      </w:pPr>
                      <w:r w:rsidRPr="00830D5F">
                        <w:rPr>
                          <w:rFonts w:ascii="Arial" w:hAnsi="Arial" w:cs="Arial"/>
                          <w:sz w:val="20"/>
                          <w:szCs w:val="20"/>
                          <w:lang w:val="en-US"/>
                        </w:rPr>
                        <w:t>Fiscal policy is formulated by the executive branch. As the principal actor in this stage, the executive undertakes its planning to develop fiscal policy and budget proposals, however, for best results, the executive should not perform this task singlehandedly, but rather be sure to involve other stakeholders, such that informed decisions can be taken. To allow other actors to perform their roles, the executive needs to provide them with quality information. This stage normally culminates with the executive tabling the budget in the legislature.</w:t>
                      </w:r>
                    </w:p>
                  </w:txbxContent>
                </v:textbox>
                <w10:wrap type="square"/>
              </v:shape>
            </w:pict>
          </mc:Fallback>
        </mc:AlternateContent>
      </w:r>
      <w:r w:rsidRPr="0075486F">
        <w:rPr>
          <w:rFonts w:asciiTheme="minorHAnsi" w:eastAsiaTheme="minorEastAsia" w:hAnsiTheme="minorHAnsi" w:cstheme="minorBidi"/>
          <w:noProof/>
          <w:lang w:val="en-US"/>
        </w:rPr>
        <mc:AlternateContent>
          <mc:Choice Requires="wps">
            <w:drawing>
              <wp:anchor distT="45720" distB="45720" distL="114300" distR="114300" simplePos="0" relativeHeight="251692032" behindDoc="0" locked="0" layoutInCell="1" allowOverlap="1" wp14:anchorId="59D30F4F" wp14:editId="7186EC19">
                <wp:simplePos x="0" y="0"/>
                <wp:positionH relativeFrom="column">
                  <wp:posOffset>-42545</wp:posOffset>
                </wp:positionH>
                <wp:positionV relativeFrom="paragraph">
                  <wp:posOffset>42545</wp:posOffset>
                </wp:positionV>
                <wp:extent cx="1634490" cy="2465705"/>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90" cy="2465705"/>
                        </a:xfrm>
                        <a:prstGeom prst="rect">
                          <a:avLst/>
                        </a:prstGeom>
                        <a:noFill/>
                        <a:ln w="9525">
                          <a:noFill/>
                          <a:miter lim="800000"/>
                          <a:headEnd/>
                          <a:tailEnd/>
                        </a:ln>
                      </wps:spPr>
                      <wps:txbx>
                        <w:txbxContent>
                          <w:p w14:paraId="41156643" w14:textId="77BED969" w:rsidR="00D15FD8" w:rsidRPr="00830D5F" w:rsidRDefault="00D15FD8" w:rsidP="00830D5F">
                            <w:pPr>
                              <w:spacing w:line="276" w:lineRule="auto"/>
                              <w:jc w:val="both"/>
                              <w:rPr>
                                <w:rFonts w:ascii="Arial" w:hAnsi="Arial" w:cs="Arial"/>
                                <w:sz w:val="20"/>
                                <w:szCs w:val="20"/>
                              </w:rPr>
                            </w:pPr>
                            <w:r w:rsidRPr="00830D5F">
                              <w:rPr>
                                <w:rFonts w:ascii="Arial" w:hAnsi="Arial" w:cs="Arial"/>
                                <w:sz w:val="20"/>
                                <w:szCs w:val="20"/>
                                <w:lang w:val="en-US"/>
                              </w:rPr>
                              <w:t>During implementation, the executive should make quality information available on its progress. This is to enable it, and other actors, to monitor the progress being made, focusing on the quality of implementation to see whether goals are being reached, whilst guarding against the possible mismanagement of public resources.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30F4F" id="_x0000_s1049" type="#_x0000_t202" style="position:absolute;left:0;text-align:left;margin-left:-3.35pt;margin-top:3.35pt;width:128.7pt;height:194.1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" filled="f" stroked="f">
                <v:textbox>
                  <w:txbxContent>
                    <w:p w14:paraId="41156643" w14:textId="77BED969" w:rsidR="00D15FD8" w:rsidRPr="00830D5F" w:rsidRDefault="00D15FD8" w:rsidP="00830D5F">
                      <w:pPr>
                        <w:spacing w:line="276" w:lineRule="auto"/>
                        <w:jc w:val="both"/>
                        <w:rPr>
                          <w:rFonts w:ascii="Arial" w:hAnsi="Arial" w:cs="Arial"/>
                          <w:sz w:val="20"/>
                          <w:szCs w:val="20"/>
                        </w:rPr>
                      </w:pPr>
                      <w:r w:rsidRPr="00830D5F">
                        <w:rPr>
                          <w:rFonts w:ascii="Arial" w:hAnsi="Arial" w:cs="Arial"/>
                          <w:sz w:val="20"/>
                          <w:szCs w:val="20"/>
                          <w:lang w:val="en-US"/>
                        </w:rPr>
                        <w:t>During implementation, the executive should make quality information available on its progress. This is to enable it, and other actors, to monitor the progress being made, focusing on the quality of implementation to see whether goals are being reached, whilst guarding against the possible mismanagement of public resources.</w:t>
                      </w:r>
                    </w:p>
                  </w:txbxContent>
                </v:textbox>
                <w10:wrap type="square"/>
              </v:shape>
            </w:pict>
          </mc:Fallback>
        </mc:AlternateContent>
      </w:r>
      <w:r>
        <w:rPr>
          <w:rFonts w:asciiTheme="minorHAnsi" w:eastAsiaTheme="minorEastAsia" w:hAnsiTheme="minorHAnsi" w:cstheme="minorBidi"/>
          <w:noProof/>
          <w:lang w:val="en-US"/>
        </w:rPr>
        <mc:AlternateContent>
          <mc:Choice Requires="wps">
            <w:drawing>
              <wp:anchor distT="0" distB="0" distL="114300" distR="114300" simplePos="0" relativeHeight="251760640" behindDoc="1" locked="0" layoutInCell="1" allowOverlap="1" wp14:anchorId="14A1E736" wp14:editId="4A5FDF05">
                <wp:simplePos x="0" y="0"/>
                <wp:positionH relativeFrom="margin">
                  <wp:posOffset>-43180</wp:posOffset>
                </wp:positionH>
                <wp:positionV relativeFrom="paragraph">
                  <wp:posOffset>41390</wp:posOffset>
                </wp:positionV>
                <wp:extent cx="1635125" cy="3575050"/>
                <wp:effectExtent l="12700" t="12700" r="15875" b="19050"/>
                <wp:wrapNone/>
                <wp:docPr id="13" name="Rounded Rectangle 13"/>
                <wp:cNvGraphicFramePr/>
                <a:graphic xmlns:a="http://schemas.openxmlformats.org/drawingml/2006/main">
                  <a:graphicData uri="http://schemas.microsoft.com/office/word/2010/wordprocessingShape">
                    <wps:wsp>
                      <wps:cNvSpPr/>
                      <wps:spPr>
                        <a:xfrm>
                          <a:off x="0" y="0"/>
                          <a:ext cx="1635125" cy="3575050"/>
                        </a:xfrm>
                        <a:prstGeom prst="roundRect">
                          <a:avLst>
                            <a:gd name="adj" fmla="val 5318"/>
                          </a:avLst>
                        </a:prstGeom>
                        <a:noFill/>
                        <a:ln w="28575">
                          <a:solidFill>
                            <a:srgbClr val="ED56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AD5838D" id="Rounded Rectangle 13" o:spid="_x0000_s1026" style="position:absolute;margin-left:-3.4pt;margin-top:3.25pt;width:128.75pt;height:281.5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4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" filled="f" strokecolor="#ed5625" strokeweight="2.25pt">
                <v:stroke joinstyle="miter"/>
                <w10:wrap anchorx="margin"/>
              </v:roundrect>
            </w:pict>
          </mc:Fallback>
        </mc:AlternateContent>
      </w:r>
    </w:p>
    <w:p w14:paraId="1808BFF8" w14:textId="6C9686B6" w:rsidR="0075486F" w:rsidRDefault="009E0715" w:rsidP="00DE09C3">
      <w:pPr>
        <w:spacing w:after="160" w:line="259" w:lineRule="auto"/>
        <w:contextualSpacing/>
        <w:jc w:val="both"/>
        <w:rPr>
          <w:rFonts w:asciiTheme="minorHAnsi" w:eastAsiaTheme="minorEastAsia" w:hAnsiTheme="minorHAnsi" w:cstheme="minorBidi"/>
          <w:lang w:val="en-US"/>
        </w:rPr>
      </w:pPr>
      <w:r>
        <w:rPr>
          <w:rFonts w:asciiTheme="minorHAnsi" w:eastAsiaTheme="minorEastAsia" w:hAnsiTheme="minorHAnsi" w:cstheme="minorBidi"/>
          <w:noProof/>
          <w:lang w:val="en-US"/>
        </w:rPr>
        <w:drawing>
          <wp:anchor distT="0" distB="0" distL="114300" distR="114300" simplePos="0" relativeHeight="251763712" behindDoc="1" locked="0" layoutInCell="1" allowOverlap="1" wp14:anchorId="1E786822" wp14:editId="30E33E2D">
            <wp:simplePos x="0" y="0"/>
            <wp:positionH relativeFrom="margin">
              <wp:posOffset>1708785</wp:posOffset>
            </wp:positionH>
            <wp:positionV relativeFrom="paragraph">
              <wp:posOffset>39427</wp:posOffset>
            </wp:positionV>
            <wp:extent cx="3227705" cy="3227705"/>
            <wp:effectExtent l="0" t="0" r="0" b="0"/>
            <wp:wrapThrough wrapText="bothSides">
              <wp:wrapPolygon edited="0">
                <wp:start x="9944" y="595"/>
                <wp:lineTo x="9264" y="935"/>
                <wp:lineTo x="7819" y="1870"/>
                <wp:lineTo x="7734" y="2210"/>
                <wp:lineTo x="4674" y="4844"/>
                <wp:lineTo x="3655" y="6204"/>
                <wp:lineTo x="1615" y="7564"/>
                <wp:lineTo x="1275" y="7904"/>
                <wp:lineTo x="425" y="8839"/>
                <wp:lineTo x="255" y="10284"/>
                <wp:lineTo x="595" y="11644"/>
                <wp:lineTo x="595" y="11813"/>
                <wp:lineTo x="3485" y="14363"/>
                <wp:lineTo x="4504" y="15723"/>
                <wp:lineTo x="7394" y="18443"/>
                <wp:lineTo x="8159" y="19802"/>
                <wp:lineTo x="8244" y="20057"/>
                <wp:lineTo x="9604" y="20737"/>
                <wp:lineTo x="10114" y="20907"/>
                <wp:lineTo x="11049" y="20907"/>
                <wp:lineTo x="11474" y="20737"/>
                <wp:lineTo x="12918" y="19972"/>
                <wp:lineTo x="13768" y="18443"/>
                <wp:lineTo x="15553" y="17083"/>
                <wp:lineTo x="17083" y="15723"/>
                <wp:lineTo x="18018" y="14363"/>
                <wp:lineTo x="20907" y="11813"/>
                <wp:lineTo x="20907" y="11644"/>
                <wp:lineTo x="21247" y="10284"/>
                <wp:lineTo x="21077" y="8924"/>
                <wp:lineTo x="20397" y="8074"/>
                <wp:lineTo x="19887" y="7564"/>
                <wp:lineTo x="17933" y="6204"/>
                <wp:lineTo x="16913" y="4844"/>
                <wp:lineTo x="13343" y="1870"/>
                <wp:lineTo x="11898" y="935"/>
                <wp:lineTo x="11219" y="595"/>
                <wp:lineTo x="9944" y="595"/>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3" cstate="email">
                      <a:extLst>
                        <a:ext uri="{28A0092B-C50C-407E-A947-70E740481C1C}">
                          <a14:useLocalDpi xmlns:a14="http://schemas.microsoft.com/office/drawing/2010/main"/>
                        </a:ext>
                      </a:extLst>
                    </a:blip>
                    <a:stretch>
                      <a:fillRect/>
                    </a:stretch>
                  </pic:blipFill>
                  <pic:spPr>
                    <a:xfrm>
                      <a:off x="0" y="0"/>
                      <a:ext cx="3227705" cy="3227705"/>
                    </a:xfrm>
                    <a:prstGeom prst="rect">
                      <a:avLst/>
                    </a:prstGeom>
                  </pic:spPr>
                </pic:pic>
              </a:graphicData>
            </a:graphic>
            <wp14:sizeRelH relativeFrom="page">
              <wp14:pctWidth>0</wp14:pctWidth>
            </wp14:sizeRelH>
            <wp14:sizeRelV relativeFrom="page">
              <wp14:pctHeight>0</wp14:pctHeight>
            </wp14:sizeRelV>
          </wp:anchor>
        </w:drawing>
      </w:r>
    </w:p>
    <w:p w14:paraId="2DD5FA06" w14:textId="693A65E3" w:rsidR="0075486F" w:rsidRDefault="0075486F" w:rsidP="00DE09C3">
      <w:pPr>
        <w:spacing w:after="160" w:line="259" w:lineRule="auto"/>
        <w:contextualSpacing/>
        <w:jc w:val="both"/>
        <w:rPr>
          <w:rFonts w:asciiTheme="minorHAnsi" w:eastAsiaTheme="minorEastAsia" w:hAnsiTheme="minorHAnsi" w:cstheme="minorBidi"/>
          <w:lang w:val="en-US"/>
        </w:rPr>
      </w:pPr>
    </w:p>
    <w:p w14:paraId="5B5670F3" w14:textId="74E5D967" w:rsidR="0075486F" w:rsidRDefault="0075486F" w:rsidP="00DE09C3">
      <w:pPr>
        <w:spacing w:after="160" w:line="259" w:lineRule="auto"/>
        <w:contextualSpacing/>
        <w:jc w:val="both"/>
        <w:rPr>
          <w:rFonts w:asciiTheme="minorHAnsi" w:eastAsiaTheme="minorEastAsia" w:hAnsiTheme="minorHAnsi" w:cstheme="minorBidi"/>
          <w:lang w:val="en-US"/>
        </w:rPr>
      </w:pPr>
    </w:p>
    <w:p w14:paraId="16BD4B8F" w14:textId="4EC825BC" w:rsidR="0075486F" w:rsidRDefault="0075486F" w:rsidP="00DE09C3">
      <w:pPr>
        <w:spacing w:after="160" w:line="259" w:lineRule="auto"/>
        <w:contextualSpacing/>
        <w:jc w:val="both"/>
        <w:rPr>
          <w:rFonts w:asciiTheme="minorHAnsi" w:eastAsiaTheme="minorEastAsia" w:hAnsiTheme="minorHAnsi" w:cstheme="minorBidi"/>
          <w:lang w:val="en-US"/>
        </w:rPr>
      </w:pPr>
    </w:p>
    <w:p w14:paraId="45114B77" w14:textId="60F53994" w:rsidR="0075486F" w:rsidRDefault="0075486F" w:rsidP="00DE09C3">
      <w:pPr>
        <w:spacing w:after="160" w:line="259" w:lineRule="auto"/>
        <w:contextualSpacing/>
        <w:jc w:val="both"/>
        <w:rPr>
          <w:rFonts w:asciiTheme="minorHAnsi" w:eastAsiaTheme="minorEastAsia" w:hAnsiTheme="minorHAnsi" w:cstheme="minorBidi"/>
          <w:lang w:val="en-US"/>
        </w:rPr>
      </w:pPr>
    </w:p>
    <w:p w14:paraId="0B175892" w14:textId="76FBA21B" w:rsidR="009B18FE" w:rsidRDefault="009B18FE" w:rsidP="00DE09C3">
      <w:pPr>
        <w:spacing w:after="160" w:line="259" w:lineRule="auto"/>
        <w:contextualSpacing/>
        <w:jc w:val="both"/>
        <w:rPr>
          <w:rFonts w:asciiTheme="minorHAnsi" w:eastAsiaTheme="minorEastAsia" w:hAnsiTheme="minorHAnsi" w:cstheme="minorBidi"/>
          <w:lang w:val="en-US"/>
        </w:rPr>
      </w:pPr>
    </w:p>
    <w:p w14:paraId="11B3E2B2" w14:textId="56819B7B" w:rsidR="008926B6" w:rsidRDefault="008926B6" w:rsidP="00DE09C3">
      <w:pPr>
        <w:spacing w:after="160" w:line="259" w:lineRule="auto"/>
        <w:contextualSpacing/>
        <w:jc w:val="both"/>
        <w:rPr>
          <w:rFonts w:asciiTheme="minorHAnsi" w:eastAsiaTheme="minorEastAsia" w:hAnsiTheme="minorHAnsi" w:cstheme="minorBidi"/>
          <w:lang w:val="en-US"/>
        </w:rPr>
      </w:pPr>
    </w:p>
    <w:p w14:paraId="44CDC3BC" w14:textId="398C90E9" w:rsidR="009B18FE" w:rsidRDefault="009B18FE" w:rsidP="009B18FE">
      <w:pPr>
        <w:spacing w:after="160" w:line="259" w:lineRule="auto"/>
        <w:contextualSpacing/>
        <w:jc w:val="center"/>
        <w:rPr>
          <w:rFonts w:asciiTheme="minorHAnsi" w:eastAsiaTheme="minorEastAsia" w:hAnsiTheme="minorHAnsi" w:cstheme="minorBidi"/>
          <w:lang w:val="en-US"/>
        </w:rPr>
      </w:pPr>
    </w:p>
    <w:p w14:paraId="090D32F6" w14:textId="251E7805" w:rsidR="00074A7D" w:rsidRDefault="00074A7D" w:rsidP="00DE09C3">
      <w:pPr>
        <w:spacing w:after="160" w:line="259" w:lineRule="auto"/>
        <w:contextualSpacing/>
        <w:jc w:val="both"/>
        <w:rPr>
          <w:rFonts w:asciiTheme="minorHAnsi" w:eastAsiaTheme="minorEastAsia" w:hAnsiTheme="minorHAnsi" w:cstheme="minorBidi"/>
          <w:lang w:val="en-US"/>
        </w:rPr>
      </w:pPr>
    </w:p>
    <w:p w14:paraId="459C802D" w14:textId="6F7CE794" w:rsidR="0075486F" w:rsidRDefault="0075486F" w:rsidP="00DE09C3">
      <w:pPr>
        <w:spacing w:after="160" w:line="259" w:lineRule="auto"/>
        <w:contextualSpacing/>
        <w:jc w:val="both"/>
        <w:rPr>
          <w:rFonts w:asciiTheme="minorHAnsi" w:eastAsiaTheme="minorEastAsia" w:hAnsiTheme="minorHAnsi" w:cstheme="minorBidi"/>
          <w:lang w:val="en-US"/>
        </w:rPr>
      </w:pPr>
    </w:p>
    <w:p w14:paraId="1B02EA0E" w14:textId="7886C6D7" w:rsidR="0075486F" w:rsidRDefault="0075486F" w:rsidP="00DE09C3">
      <w:pPr>
        <w:spacing w:after="160" w:line="259" w:lineRule="auto"/>
        <w:contextualSpacing/>
        <w:jc w:val="both"/>
        <w:rPr>
          <w:rFonts w:asciiTheme="minorHAnsi" w:eastAsiaTheme="minorEastAsia" w:hAnsiTheme="minorHAnsi" w:cstheme="minorBidi"/>
          <w:lang w:val="en-US"/>
        </w:rPr>
      </w:pPr>
    </w:p>
    <w:p w14:paraId="506FB0AF" w14:textId="3E632A8A" w:rsidR="0075486F" w:rsidRDefault="0075486F" w:rsidP="008926B6">
      <w:pPr>
        <w:spacing w:after="160" w:line="259" w:lineRule="auto"/>
        <w:contextualSpacing/>
        <w:jc w:val="center"/>
        <w:rPr>
          <w:rFonts w:asciiTheme="minorHAnsi" w:eastAsiaTheme="minorEastAsia" w:hAnsiTheme="minorHAnsi" w:cstheme="minorBidi"/>
          <w:lang w:val="en-US"/>
        </w:rPr>
      </w:pPr>
    </w:p>
    <w:p w14:paraId="0E2CE6DC" w14:textId="6585BA41" w:rsidR="008926B6" w:rsidRDefault="008926B6" w:rsidP="00DE09C3">
      <w:pPr>
        <w:spacing w:after="160" w:line="259" w:lineRule="auto"/>
        <w:contextualSpacing/>
        <w:jc w:val="both"/>
        <w:rPr>
          <w:rFonts w:asciiTheme="minorHAnsi" w:eastAsiaTheme="minorEastAsia" w:hAnsiTheme="minorHAnsi" w:cstheme="minorBidi"/>
          <w:lang w:val="en-US"/>
        </w:rPr>
      </w:pPr>
    </w:p>
    <w:p w14:paraId="37D088B5" w14:textId="042B1007" w:rsidR="008926B6" w:rsidRDefault="0009614E" w:rsidP="00DE09C3">
      <w:pPr>
        <w:spacing w:after="160" w:line="259" w:lineRule="auto"/>
        <w:contextualSpacing/>
        <w:jc w:val="both"/>
        <w:rPr>
          <w:rFonts w:asciiTheme="minorHAnsi" w:eastAsiaTheme="minorEastAsia" w:hAnsiTheme="minorHAnsi" w:cstheme="minorBidi"/>
          <w:lang w:val="en-US"/>
        </w:rPr>
      </w:pPr>
      <w:r>
        <w:rPr>
          <w:rFonts w:asciiTheme="minorHAnsi" w:eastAsiaTheme="minorEastAsia" w:hAnsiTheme="minorHAnsi" w:cstheme="minorBidi"/>
          <w:noProof/>
          <w:lang w:val="en-US"/>
        </w:rPr>
        <mc:AlternateContent>
          <mc:Choice Requires="wps">
            <w:drawing>
              <wp:anchor distT="0" distB="0" distL="114300" distR="114300" simplePos="0" relativeHeight="251770880" behindDoc="0" locked="0" layoutInCell="1" allowOverlap="1" wp14:anchorId="2977590C" wp14:editId="1E465234">
                <wp:simplePos x="0" y="0"/>
                <wp:positionH relativeFrom="column">
                  <wp:posOffset>692727</wp:posOffset>
                </wp:positionH>
                <wp:positionV relativeFrom="paragraph">
                  <wp:posOffset>114243</wp:posOffset>
                </wp:positionV>
                <wp:extent cx="110836" cy="223763"/>
                <wp:effectExtent l="25400" t="0" r="29210" b="5080"/>
                <wp:wrapNone/>
                <wp:docPr id="25" name="Down Arrow 25"/>
                <wp:cNvGraphicFramePr/>
                <a:graphic xmlns:a="http://schemas.openxmlformats.org/drawingml/2006/main">
                  <a:graphicData uri="http://schemas.microsoft.com/office/word/2010/wordprocessingShape">
                    <wps:wsp>
                      <wps:cNvSpPr/>
                      <wps:spPr>
                        <a:xfrm rot="9162202">
                          <a:off x="0" y="0"/>
                          <a:ext cx="110836" cy="223763"/>
                        </a:xfrm>
                        <a:prstGeom prst="downArrow">
                          <a:avLst/>
                        </a:prstGeom>
                        <a:solidFill>
                          <a:srgbClr val="ED562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 w14:anchorId="29EEBBAC" id="Down Arrow 25" o:spid="_x0000_s1026" type="#_x0000_t67" style="position:absolute;margin-left:54.55pt;margin-top:9pt;width:8.75pt;height:17.6pt;rotation:10007568fd;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" adj="16250" fillcolor="#ed5625" stroked="f" strokeweight="1pt"/>
            </w:pict>
          </mc:Fallback>
        </mc:AlternateContent>
      </w:r>
      <w:r>
        <w:rPr>
          <w:rFonts w:asciiTheme="minorHAnsi" w:eastAsiaTheme="minorEastAsia" w:hAnsiTheme="minorHAnsi" w:cstheme="minorBidi"/>
          <w:noProof/>
          <w:lang w:val="en-US"/>
        </w:rPr>
        <mc:AlternateContent>
          <mc:Choice Requires="wps">
            <w:drawing>
              <wp:anchor distT="0" distB="0" distL="114300" distR="114300" simplePos="0" relativeHeight="251768832" behindDoc="0" locked="0" layoutInCell="1" allowOverlap="1" wp14:anchorId="4B0539D1" wp14:editId="5333EA2E">
                <wp:simplePos x="0" y="0"/>
                <wp:positionH relativeFrom="column">
                  <wp:posOffset>5801995</wp:posOffset>
                </wp:positionH>
                <wp:positionV relativeFrom="paragraph">
                  <wp:posOffset>124345</wp:posOffset>
                </wp:positionV>
                <wp:extent cx="110836" cy="223763"/>
                <wp:effectExtent l="25400" t="12700" r="3810" b="0"/>
                <wp:wrapNone/>
                <wp:docPr id="23" name="Down Arrow 23"/>
                <wp:cNvGraphicFramePr/>
                <a:graphic xmlns:a="http://schemas.openxmlformats.org/drawingml/2006/main">
                  <a:graphicData uri="http://schemas.microsoft.com/office/word/2010/wordprocessingShape">
                    <wps:wsp>
                      <wps:cNvSpPr/>
                      <wps:spPr>
                        <a:xfrm rot="1305746">
                          <a:off x="0" y="0"/>
                          <a:ext cx="110836" cy="223763"/>
                        </a:xfrm>
                        <a:prstGeom prst="downArrow">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 w14:anchorId="67F4DEFC" id="Down Arrow 23" o:spid="_x0000_s1026" type="#_x0000_t67" style="position:absolute;margin-left:456.85pt;margin-top:9.8pt;width:8.75pt;height:17.6pt;rotation:1426223fd;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" adj="16250" fillcolor="#82c9a0" stroked="f" strokeweight="1pt"/>
            </w:pict>
          </mc:Fallback>
        </mc:AlternateContent>
      </w:r>
    </w:p>
    <w:p w14:paraId="29A316F2" w14:textId="4DF3A23C" w:rsidR="00E461AA" w:rsidRDefault="0009614E" w:rsidP="00DE09C3">
      <w:pPr>
        <w:spacing w:after="160" w:line="259" w:lineRule="auto"/>
        <w:contextualSpacing/>
        <w:jc w:val="both"/>
        <w:rPr>
          <w:rFonts w:asciiTheme="minorHAnsi" w:eastAsiaTheme="minorEastAsia" w:hAnsiTheme="minorHAnsi" w:cstheme="minorBidi"/>
          <w:lang w:val="en-US"/>
        </w:rPr>
      </w:pPr>
      <w:r w:rsidRPr="0075486F">
        <w:rPr>
          <w:rFonts w:asciiTheme="minorHAnsi" w:eastAsiaTheme="minorEastAsia" w:hAnsiTheme="minorHAnsi" w:cstheme="minorBidi"/>
          <w:noProof/>
          <w:lang w:val="en-US"/>
        </w:rPr>
        <mc:AlternateContent>
          <mc:Choice Requires="wps">
            <w:drawing>
              <wp:anchor distT="45720" distB="45720" distL="114300" distR="114300" simplePos="0" relativeHeight="251689984" behindDoc="0" locked="0" layoutInCell="1" allowOverlap="1" wp14:anchorId="6F877E96" wp14:editId="4B76EE01">
                <wp:simplePos x="0" y="0"/>
                <wp:positionH relativeFrom="column">
                  <wp:posOffset>-43180</wp:posOffset>
                </wp:positionH>
                <wp:positionV relativeFrom="paragraph">
                  <wp:posOffset>264160</wp:posOffset>
                </wp:positionV>
                <wp:extent cx="6718935" cy="84455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935" cy="844550"/>
                        </a:xfrm>
                        <a:prstGeom prst="rect">
                          <a:avLst/>
                        </a:prstGeom>
                        <a:noFill/>
                        <a:ln w="9525">
                          <a:noFill/>
                          <a:miter lim="800000"/>
                          <a:headEnd/>
                          <a:tailEnd/>
                        </a:ln>
                      </wps:spPr>
                      <wps:txbx>
                        <w:txbxContent>
                          <w:p w14:paraId="7DD3BEA7" w14:textId="26D83DAE" w:rsidR="00D15FD8" w:rsidRPr="0009614E" w:rsidRDefault="00D15FD8" w:rsidP="0009614E">
                            <w:pPr>
                              <w:spacing w:line="276" w:lineRule="auto"/>
                              <w:rPr>
                                <w:rFonts w:ascii="Arial" w:hAnsi="Arial" w:cs="Arial"/>
                                <w:sz w:val="20"/>
                                <w:szCs w:val="20"/>
                              </w:rPr>
                            </w:pPr>
                            <w:r w:rsidRPr="0009614E">
                              <w:rPr>
                                <w:rFonts w:ascii="Arial" w:hAnsi="Arial" w:cs="Arial"/>
                                <w:sz w:val="20"/>
                                <w:szCs w:val="20"/>
                                <w:lang w:val="en-US"/>
                              </w:rPr>
                              <w:t>The legislature is tasked with approving fiscal policy. Parliamentarians are the ultimate representatives of the public and responsible for providing the government with informed consent for its raising and spending of public funds. The legislature requires fiscal transparency to perform its role and also facilitates fiscal transparency, by itself making information available to other actors.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77E96" id="_x0000_s1050" type="#_x0000_t202" style="position:absolute;left:0;text-align:left;margin-left:-3.4pt;margin-top:20.8pt;width:529.05pt;height:66.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" filled="f" stroked="f">
                <v:textbox>
                  <w:txbxContent>
                    <w:p w14:paraId="7DD3BEA7" w14:textId="26D83DAE" w:rsidR="00D15FD8" w:rsidRPr="0009614E" w:rsidRDefault="00D15FD8" w:rsidP="0009614E">
                      <w:pPr>
                        <w:spacing w:line="276" w:lineRule="auto"/>
                        <w:rPr>
                          <w:rFonts w:ascii="Arial" w:hAnsi="Arial" w:cs="Arial"/>
                          <w:sz w:val="20"/>
                          <w:szCs w:val="20"/>
                        </w:rPr>
                      </w:pPr>
                      <w:r w:rsidRPr="0009614E">
                        <w:rPr>
                          <w:rFonts w:ascii="Arial" w:hAnsi="Arial" w:cs="Arial"/>
                          <w:sz w:val="20"/>
                          <w:szCs w:val="20"/>
                          <w:lang w:val="en-US"/>
                        </w:rPr>
                        <w:t>The legislature is tasked with approving fiscal policy. Parliamentarians are the ultimate representatives of the public and responsible for providing the government with informed consent for its raising and spending of public funds. The legislature requires fiscal transparency to perform its role and also facilitates fiscal transparency, by itself making information available to other actors.</w:t>
                      </w:r>
                    </w:p>
                  </w:txbxContent>
                </v:textbox>
                <w10:wrap type="square"/>
              </v:shape>
            </w:pict>
          </mc:Fallback>
        </mc:AlternateContent>
      </w:r>
      <w:r>
        <w:rPr>
          <w:rFonts w:asciiTheme="minorHAnsi" w:eastAsiaTheme="minorEastAsia" w:hAnsiTheme="minorHAnsi" w:cstheme="minorBidi"/>
          <w:noProof/>
          <w:lang w:val="en-US"/>
        </w:rPr>
        <mc:AlternateContent>
          <mc:Choice Requires="wps">
            <w:drawing>
              <wp:anchor distT="0" distB="0" distL="114300" distR="114300" simplePos="0" relativeHeight="251765760" behindDoc="1" locked="0" layoutInCell="1" allowOverlap="1" wp14:anchorId="2835A788" wp14:editId="37454EDF">
                <wp:simplePos x="0" y="0"/>
                <wp:positionH relativeFrom="margin">
                  <wp:posOffset>-42545</wp:posOffset>
                </wp:positionH>
                <wp:positionV relativeFrom="paragraph">
                  <wp:posOffset>262486</wp:posOffset>
                </wp:positionV>
                <wp:extent cx="6718935" cy="776489"/>
                <wp:effectExtent l="12700" t="12700" r="12065" b="11430"/>
                <wp:wrapNone/>
                <wp:docPr id="19" name="Rounded Rectangle 19"/>
                <wp:cNvGraphicFramePr/>
                <a:graphic xmlns:a="http://schemas.openxmlformats.org/drawingml/2006/main">
                  <a:graphicData uri="http://schemas.microsoft.com/office/word/2010/wordprocessingShape">
                    <wps:wsp>
                      <wps:cNvSpPr/>
                      <wps:spPr>
                        <a:xfrm>
                          <a:off x="0" y="0"/>
                          <a:ext cx="6718935" cy="776489"/>
                        </a:xfrm>
                        <a:prstGeom prst="roundRect">
                          <a:avLst>
                            <a:gd name="adj" fmla="val 5318"/>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59030C3" id="Rounded Rectangle 19" o:spid="_x0000_s1026" style="position:absolute;margin-left:-3.35pt;margin-top:20.65pt;width:529.05pt;height:61.15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4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" filled="f" strokecolor="#82c9a0" strokeweight="2.25pt">
                <v:stroke joinstyle="miter"/>
                <w10:wrap anchorx="margin"/>
              </v:roundrect>
            </w:pict>
          </mc:Fallback>
        </mc:AlternateContent>
      </w:r>
    </w:p>
    <w:p w14:paraId="749A8E8D" w14:textId="23ECE4C2" w:rsidR="0075486F" w:rsidRPr="009E0715" w:rsidRDefault="00C77504">
      <w:pPr>
        <w:pStyle w:val="Heading2"/>
        <w:numPr>
          <w:ilvl w:val="1"/>
          <w:numId w:val="7"/>
        </w:numPr>
        <w:rPr>
          <w:rFonts w:ascii="Arial" w:hAnsi="Arial" w:cs="Arial"/>
          <w:b/>
          <w:bCs/>
          <w:color w:val="16988A"/>
          <w:sz w:val="36"/>
          <w:szCs w:val="36"/>
        </w:rPr>
      </w:pPr>
      <w:bookmarkStart w:id="251" w:name="_Toc115369979"/>
      <w:bookmarkStart w:id="252" w:name="_Toc115729054"/>
      <w:bookmarkStart w:id="253" w:name="_Toc115877701"/>
      <w:bookmarkStart w:id="254" w:name="_Toc116056985"/>
      <w:bookmarkStart w:id="255" w:name="_Toc119794422"/>
      <w:bookmarkStart w:id="256" w:name="_Toc123204403"/>
      <w:bookmarkStart w:id="257" w:name="_Toc123216490"/>
      <w:bookmarkStart w:id="258" w:name="_Toc123217330"/>
      <w:bookmarkStart w:id="259" w:name="_Toc123913303"/>
      <w:bookmarkStart w:id="260" w:name="_Toc123913959"/>
      <w:bookmarkStart w:id="261" w:name="_Toc125495787"/>
      <w:bookmarkStart w:id="262" w:name="_Toc125566578"/>
      <w:r w:rsidRPr="009E0715">
        <w:rPr>
          <w:rFonts w:ascii="Arial" w:hAnsi="Arial" w:cs="Arial"/>
          <w:b/>
          <w:bCs/>
          <w:color w:val="16988A"/>
          <w:sz w:val="36"/>
          <w:szCs w:val="36"/>
        </w:rPr>
        <w:lastRenderedPageBreak/>
        <w:t xml:space="preserve">Publication </w:t>
      </w:r>
      <w:r w:rsidR="009E0715">
        <w:rPr>
          <w:rFonts w:ascii="Arial" w:hAnsi="Arial" w:cs="Arial"/>
          <w:b/>
          <w:bCs/>
          <w:color w:val="16988A"/>
          <w:sz w:val="36"/>
          <w:szCs w:val="36"/>
        </w:rPr>
        <w:t>o</w:t>
      </w:r>
      <w:r w:rsidR="009E0715" w:rsidRPr="009E0715">
        <w:rPr>
          <w:rFonts w:ascii="Arial" w:hAnsi="Arial" w:cs="Arial"/>
          <w:b/>
          <w:bCs/>
          <w:color w:val="16988A"/>
          <w:sz w:val="36"/>
          <w:szCs w:val="36"/>
        </w:rPr>
        <w:t xml:space="preserve">f </w:t>
      </w:r>
      <w:r w:rsidR="00565ED4">
        <w:rPr>
          <w:rFonts w:ascii="Arial" w:hAnsi="Arial" w:cs="Arial"/>
          <w:b/>
          <w:bCs/>
          <w:color w:val="16988A"/>
          <w:sz w:val="36"/>
          <w:szCs w:val="36"/>
        </w:rPr>
        <w:t>k</w:t>
      </w:r>
      <w:r w:rsidR="009E0715" w:rsidRPr="009E0715">
        <w:rPr>
          <w:rFonts w:ascii="Arial" w:hAnsi="Arial" w:cs="Arial"/>
          <w:b/>
          <w:bCs/>
          <w:color w:val="16988A"/>
          <w:sz w:val="36"/>
          <w:szCs w:val="36"/>
        </w:rPr>
        <w:t xml:space="preserve">ey </w:t>
      </w:r>
      <w:r w:rsidR="00565ED4">
        <w:rPr>
          <w:rFonts w:ascii="Arial" w:hAnsi="Arial" w:cs="Arial"/>
          <w:b/>
          <w:bCs/>
          <w:color w:val="16988A"/>
          <w:sz w:val="36"/>
          <w:szCs w:val="36"/>
        </w:rPr>
        <w:t>f</w:t>
      </w:r>
      <w:r w:rsidR="009E0715" w:rsidRPr="009E0715">
        <w:rPr>
          <w:rFonts w:ascii="Arial" w:hAnsi="Arial" w:cs="Arial"/>
          <w:b/>
          <w:bCs/>
          <w:color w:val="16988A"/>
          <w:sz w:val="36"/>
          <w:szCs w:val="36"/>
        </w:rPr>
        <w:t xml:space="preserve">iscal </w:t>
      </w:r>
      <w:bookmarkEnd w:id="251"/>
      <w:bookmarkEnd w:id="252"/>
      <w:bookmarkEnd w:id="253"/>
      <w:bookmarkEnd w:id="254"/>
      <w:r w:rsidR="00565ED4">
        <w:rPr>
          <w:rFonts w:ascii="Arial" w:hAnsi="Arial" w:cs="Arial"/>
          <w:b/>
          <w:bCs/>
          <w:color w:val="16988A"/>
          <w:sz w:val="36"/>
          <w:szCs w:val="36"/>
        </w:rPr>
        <w:t>i</w:t>
      </w:r>
      <w:r w:rsidR="00565ED4" w:rsidRPr="009E0715">
        <w:rPr>
          <w:rFonts w:ascii="Arial" w:hAnsi="Arial" w:cs="Arial"/>
          <w:b/>
          <w:bCs/>
          <w:color w:val="16988A"/>
          <w:sz w:val="36"/>
          <w:szCs w:val="36"/>
        </w:rPr>
        <w:t>nformation</w:t>
      </w:r>
      <w:bookmarkEnd w:id="255"/>
      <w:bookmarkEnd w:id="256"/>
      <w:bookmarkEnd w:id="257"/>
      <w:bookmarkEnd w:id="258"/>
      <w:bookmarkEnd w:id="259"/>
      <w:bookmarkEnd w:id="260"/>
      <w:bookmarkEnd w:id="261"/>
      <w:bookmarkEnd w:id="262"/>
    </w:p>
    <w:p w14:paraId="582FD80D" w14:textId="42211669" w:rsidR="009E0715" w:rsidRDefault="00216F4A" w:rsidP="005A1E02">
      <w:pPr>
        <w:jc w:val="both"/>
        <w:rPr>
          <w:lang w:val="en-US"/>
        </w:rPr>
      </w:pPr>
      <w:r>
        <w:rPr>
          <w:rFonts w:ascii="Arial" w:hAnsi="Arial" w:cs="Arial"/>
          <w:noProof/>
          <w:sz w:val="24"/>
          <w:szCs w:val="24"/>
          <w:lang w:val="en-US"/>
        </w:rPr>
        <w:drawing>
          <wp:anchor distT="0" distB="0" distL="114300" distR="114300" simplePos="0" relativeHeight="251780096" behindDoc="1" locked="0" layoutInCell="1" allowOverlap="1" wp14:anchorId="5B67D0F9" wp14:editId="3ADB9151">
            <wp:simplePos x="0" y="0"/>
            <wp:positionH relativeFrom="column">
              <wp:posOffset>3810</wp:posOffset>
            </wp:positionH>
            <wp:positionV relativeFrom="paragraph">
              <wp:posOffset>168910</wp:posOffset>
            </wp:positionV>
            <wp:extent cx="2992120" cy="1812290"/>
            <wp:effectExtent l="0" t="0" r="0" b="0"/>
            <wp:wrapThrough wrapText="bothSides">
              <wp:wrapPolygon edited="0">
                <wp:start x="688" y="681"/>
                <wp:lineTo x="413" y="4087"/>
                <wp:lineTo x="413" y="19299"/>
                <wp:lineTo x="825" y="20662"/>
                <wp:lineTo x="21316" y="20662"/>
                <wp:lineTo x="21453" y="19299"/>
                <wp:lineTo x="21453" y="1362"/>
                <wp:lineTo x="21316" y="681"/>
                <wp:lineTo x="688" y="681"/>
              </wp:wrapPolygon>
            </wp:wrapThrough>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rotWithShape="1">
                    <a:blip r:embed="rId34" cstate="email">
                      <a:extLst>
                        <a:ext uri="{28A0092B-C50C-407E-A947-70E740481C1C}">
                          <a14:useLocalDpi xmlns:a14="http://schemas.microsoft.com/office/drawing/2010/main"/>
                        </a:ext>
                      </a:extLst>
                    </a:blip>
                    <a:srcRect l="-1"/>
                    <a:stretch/>
                  </pic:blipFill>
                  <pic:spPr bwMode="auto">
                    <a:xfrm>
                      <a:off x="0" y="0"/>
                      <a:ext cx="2992120" cy="1812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B62F65" w14:textId="3FFF7F38" w:rsidR="002F7813" w:rsidRPr="009E0715" w:rsidRDefault="005A1E02" w:rsidP="009E0715">
      <w:pPr>
        <w:spacing w:line="276" w:lineRule="auto"/>
        <w:jc w:val="both"/>
        <w:rPr>
          <w:rFonts w:ascii="Arial" w:hAnsi="Arial" w:cs="Arial"/>
          <w:sz w:val="24"/>
          <w:szCs w:val="24"/>
          <w:lang w:val="en-US"/>
        </w:rPr>
      </w:pPr>
      <w:r w:rsidRPr="009E0715">
        <w:rPr>
          <w:rFonts w:ascii="Arial" w:hAnsi="Arial" w:cs="Arial"/>
          <w:sz w:val="24"/>
          <w:szCs w:val="24"/>
          <w:lang w:val="en-US"/>
        </w:rPr>
        <w:t>F</w:t>
      </w:r>
      <w:r w:rsidR="00097CDE" w:rsidRPr="009E0715">
        <w:rPr>
          <w:rFonts w:ascii="Arial" w:hAnsi="Arial" w:cs="Arial"/>
          <w:sz w:val="24"/>
          <w:szCs w:val="24"/>
          <w:lang w:val="en-US"/>
        </w:rPr>
        <w:t>iscal transparency</w:t>
      </w:r>
      <w:r w:rsidR="00D4035A" w:rsidRPr="009E0715">
        <w:rPr>
          <w:rFonts w:ascii="Arial" w:hAnsi="Arial" w:cs="Arial"/>
          <w:sz w:val="24"/>
          <w:szCs w:val="24"/>
          <w:lang w:val="en-US"/>
        </w:rPr>
        <w:t xml:space="preserve"> </w:t>
      </w:r>
      <w:r w:rsidRPr="009E0715">
        <w:rPr>
          <w:rFonts w:ascii="Arial" w:hAnsi="Arial" w:cs="Arial"/>
          <w:sz w:val="24"/>
          <w:szCs w:val="24"/>
          <w:lang w:val="en-US"/>
        </w:rPr>
        <w:t xml:space="preserve">should enable meaningful public engagement </w:t>
      </w:r>
      <w:r w:rsidR="001B2B75" w:rsidRPr="009E0715">
        <w:rPr>
          <w:rFonts w:ascii="Arial" w:hAnsi="Arial" w:cs="Arial"/>
          <w:sz w:val="24"/>
          <w:szCs w:val="24"/>
          <w:lang w:val="en-US"/>
        </w:rPr>
        <w:t>throughout</w:t>
      </w:r>
      <w:r w:rsidRPr="009E0715">
        <w:rPr>
          <w:rFonts w:ascii="Arial" w:hAnsi="Arial" w:cs="Arial"/>
          <w:sz w:val="24"/>
          <w:szCs w:val="24"/>
          <w:lang w:val="en-US"/>
        </w:rPr>
        <w:t xml:space="preserve"> the fiscal policy cycle. For this, the publication of key fiscal information</w:t>
      </w:r>
      <w:r w:rsidR="00A26FE8" w:rsidRPr="009E0715">
        <w:rPr>
          <w:rFonts w:ascii="Arial" w:hAnsi="Arial" w:cs="Arial"/>
          <w:sz w:val="24"/>
          <w:szCs w:val="24"/>
          <w:lang w:val="en-US"/>
        </w:rPr>
        <w:t xml:space="preserve"> </w:t>
      </w:r>
      <w:r w:rsidRPr="009E0715">
        <w:rPr>
          <w:rFonts w:ascii="Arial" w:hAnsi="Arial" w:cs="Arial"/>
          <w:sz w:val="24"/>
          <w:szCs w:val="24"/>
          <w:lang w:val="en-US"/>
        </w:rPr>
        <w:t xml:space="preserve">is required, including that pertaining to </w:t>
      </w:r>
      <w:r w:rsidR="008A288F" w:rsidRPr="009E0715">
        <w:rPr>
          <w:rFonts w:ascii="Arial" w:hAnsi="Arial" w:cs="Arial"/>
          <w:sz w:val="24"/>
          <w:szCs w:val="24"/>
          <w:lang w:val="en-US"/>
        </w:rPr>
        <w:t xml:space="preserve">projections of </w:t>
      </w:r>
      <w:r w:rsidRPr="009E0715">
        <w:rPr>
          <w:rFonts w:ascii="Arial" w:hAnsi="Arial" w:cs="Arial"/>
          <w:sz w:val="24"/>
          <w:szCs w:val="24"/>
          <w:lang w:val="en-US"/>
        </w:rPr>
        <w:t>macroeconomic variables; government revenue; public expenditure</w:t>
      </w:r>
      <w:r w:rsidR="00A26FE8" w:rsidRPr="009E0715">
        <w:rPr>
          <w:rFonts w:ascii="Arial" w:hAnsi="Arial" w:cs="Arial"/>
          <w:sz w:val="24"/>
          <w:szCs w:val="24"/>
          <w:lang w:val="en-US"/>
        </w:rPr>
        <w:t>; as well as the associated targeted</w:t>
      </w:r>
      <w:r w:rsidRPr="009E0715">
        <w:rPr>
          <w:rFonts w:ascii="Arial" w:hAnsi="Arial" w:cs="Arial"/>
          <w:sz w:val="24"/>
          <w:szCs w:val="24"/>
          <w:lang w:val="en-US"/>
        </w:rPr>
        <w:t xml:space="preserve"> outputs</w:t>
      </w:r>
      <w:r w:rsidR="00A26FE8" w:rsidRPr="009E0715">
        <w:rPr>
          <w:rFonts w:ascii="Arial" w:hAnsi="Arial" w:cs="Arial"/>
          <w:sz w:val="24"/>
          <w:szCs w:val="24"/>
          <w:lang w:val="en-US"/>
        </w:rPr>
        <w:t xml:space="preserve">, </w:t>
      </w:r>
      <w:r w:rsidRPr="009E0715">
        <w:rPr>
          <w:rFonts w:ascii="Arial" w:hAnsi="Arial" w:cs="Arial"/>
          <w:sz w:val="24"/>
          <w:szCs w:val="24"/>
          <w:lang w:val="en-US"/>
        </w:rPr>
        <w:t>outcomes</w:t>
      </w:r>
      <w:r w:rsidR="00A26FE8" w:rsidRPr="009E0715">
        <w:rPr>
          <w:rFonts w:ascii="Arial" w:hAnsi="Arial" w:cs="Arial"/>
          <w:sz w:val="24"/>
          <w:szCs w:val="24"/>
          <w:lang w:val="en-US"/>
        </w:rPr>
        <w:t xml:space="preserve"> and impact</w:t>
      </w:r>
      <w:r w:rsidRPr="009E0715">
        <w:rPr>
          <w:rFonts w:ascii="Arial" w:hAnsi="Arial" w:cs="Arial"/>
          <w:sz w:val="24"/>
          <w:szCs w:val="24"/>
          <w:lang w:val="en-US"/>
        </w:rPr>
        <w:t xml:space="preserve">. This information assists the </w:t>
      </w:r>
      <w:r w:rsidR="00D4035A" w:rsidRPr="009E0715">
        <w:rPr>
          <w:rFonts w:ascii="Arial" w:hAnsi="Arial" w:cs="Arial"/>
          <w:sz w:val="24"/>
          <w:szCs w:val="24"/>
          <w:lang w:val="en-US"/>
        </w:rPr>
        <w:t xml:space="preserve">public </w:t>
      </w:r>
      <w:r w:rsidRPr="009E0715">
        <w:rPr>
          <w:rFonts w:ascii="Arial" w:hAnsi="Arial" w:cs="Arial"/>
          <w:sz w:val="24"/>
          <w:szCs w:val="24"/>
          <w:lang w:val="en-US"/>
        </w:rPr>
        <w:t xml:space="preserve">to </w:t>
      </w:r>
      <w:r w:rsidR="00D4035A" w:rsidRPr="009E0715">
        <w:rPr>
          <w:rFonts w:ascii="Arial" w:hAnsi="Arial" w:cs="Arial"/>
          <w:sz w:val="24"/>
          <w:szCs w:val="24"/>
          <w:lang w:val="en-US"/>
        </w:rPr>
        <w:t xml:space="preserve">understand how </w:t>
      </w:r>
      <w:r w:rsidRPr="009E0715">
        <w:rPr>
          <w:rFonts w:ascii="Arial" w:hAnsi="Arial" w:cs="Arial"/>
          <w:sz w:val="24"/>
          <w:szCs w:val="24"/>
          <w:lang w:val="en-US"/>
        </w:rPr>
        <w:t>governments</w:t>
      </w:r>
      <w:r w:rsidR="004541FE">
        <w:rPr>
          <w:rFonts w:ascii="Arial" w:hAnsi="Arial" w:cs="Arial"/>
          <w:sz w:val="24"/>
          <w:szCs w:val="24"/>
          <w:lang w:val="en-US"/>
        </w:rPr>
        <w:t xml:space="preserve"> </w:t>
      </w:r>
      <w:r w:rsidR="001B2B75" w:rsidRPr="009E0715">
        <w:rPr>
          <w:rFonts w:ascii="Arial" w:hAnsi="Arial" w:cs="Arial"/>
          <w:sz w:val="24"/>
          <w:szCs w:val="24"/>
          <w:lang w:val="en-US"/>
        </w:rPr>
        <w:t xml:space="preserve">aim to </w:t>
      </w:r>
      <w:r w:rsidRPr="009E0715">
        <w:rPr>
          <w:rFonts w:ascii="Arial" w:hAnsi="Arial" w:cs="Arial"/>
          <w:sz w:val="24"/>
          <w:szCs w:val="24"/>
          <w:lang w:val="en-US"/>
        </w:rPr>
        <w:t xml:space="preserve">raise </w:t>
      </w:r>
      <w:r w:rsidR="00D4035A" w:rsidRPr="009E0715">
        <w:rPr>
          <w:rFonts w:ascii="Arial" w:hAnsi="Arial" w:cs="Arial"/>
          <w:sz w:val="24"/>
          <w:szCs w:val="24"/>
          <w:lang w:val="en-US"/>
        </w:rPr>
        <w:t>revenue</w:t>
      </w:r>
      <w:r w:rsidRPr="009E0715">
        <w:rPr>
          <w:rFonts w:ascii="Arial" w:hAnsi="Arial" w:cs="Arial"/>
          <w:sz w:val="24"/>
          <w:szCs w:val="24"/>
          <w:lang w:val="en-US"/>
        </w:rPr>
        <w:t xml:space="preserve">, </w:t>
      </w:r>
      <w:r w:rsidR="00D4035A" w:rsidRPr="009E0715">
        <w:rPr>
          <w:rFonts w:ascii="Arial" w:hAnsi="Arial" w:cs="Arial"/>
          <w:sz w:val="24"/>
          <w:szCs w:val="24"/>
          <w:lang w:val="en-US"/>
        </w:rPr>
        <w:t>spent</w:t>
      </w:r>
      <w:r w:rsidRPr="009E0715">
        <w:rPr>
          <w:rFonts w:ascii="Arial" w:hAnsi="Arial" w:cs="Arial"/>
          <w:sz w:val="24"/>
          <w:szCs w:val="24"/>
          <w:lang w:val="en-US"/>
        </w:rPr>
        <w:t xml:space="preserve"> it</w:t>
      </w:r>
      <w:r w:rsidR="00D4035A" w:rsidRPr="009E0715">
        <w:rPr>
          <w:rFonts w:ascii="Arial" w:hAnsi="Arial" w:cs="Arial"/>
          <w:sz w:val="24"/>
          <w:szCs w:val="24"/>
          <w:lang w:val="en-US"/>
        </w:rPr>
        <w:t>, and towards what end.</w:t>
      </w:r>
      <w:r w:rsidR="00097CDE" w:rsidRPr="009E0715">
        <w:rPr>
          <w:rFonts w:ascii="Arial" w:hAnsi="Arial" w:cs="Arial"/>
          <w:sz w:val="24"/>
          <w:szCs w:val="24"/>
          <w:lang w:val="en-US"/>
        </w:rPr>
        <w:t xml:space="preserve"> </w:t>
      </w:r>
    </w:p>
    <w:p w14:paraId="4FA2C063" w14:textId="553FD278" w:rsidR="00794020" w:rsidRPr="009E0715" w:rsidRDefault="00A915EA" w:rsidP="009E0715">
      <w:pPr>
        <w:spacing w:line="276" w:lineRule="auto"/>
        <w:jc w:val="both"/>
        <w:rPr>
          <w:rFonts w:ascii="Arial" w:hAnsi="Arial" w:cs="Arial"/>
          <w:sz w:val="24"/>
          <w:szCs w:val="24"/>
        </w:rPr>
      </w:pPr>
      <w:r w:rsidRPr="00ED546D">
        <w:rPr>
          <w:rFonts w:ascii="Arial" w:hAnsi="Arial" w:cs="Arial"/>
          <w:bCs/>
          <w:noProof/>
          <w:color w:val="82C9A0"/>
          <w:sz w:val="24"/>
          <w:szCs w:val="24"/>
          <w:lang w:val="en-US"/>
        </w:rPr>
        <mc:AlternateContent>
          <mc:Choice Requires="wps">
            <w:drawing>
              <wp:anchor distT="0" distB="0" distL="114300" distR="114300" simplePos="0" relativeHeight="251783168" behindDoc="0" locked="0" layoutInCell="1" allowOverlap="1" wp14:anchorId="45128EF8" wp14:editId="44FAACA6">
                <wp:simplePos x="0" y="0"/>
                <wp:positionH relativeFrom="column">
                  <wp:posOffset>694835</wp:posOffset>
                </wp:positionH>
                <wp:positionV relativeFrom="paragraph">
                  <wp:posOffset>149225</wp:posOffset>
                </wp:positionV>
                <wp:extent cx="4173220" cy="457200"/>
                <wp:effectExtent l="0" t="0" r="5080" b="0"/>
                <wp:wrapNone/>
                <wp:docPr id="204" name="Rounded Rectangle 204"/>
                <wp:cNvGraphicFramePr/>
                <a:graphic xmlns:a="http://schemas.openxmlformats.org/drawingml/2006/main">
                  <a:graphicData uri="http://schemas.microsoft.com/office/word/2010/wordprocessingShape">
                    <wps:wsp>
                      <wps:cNvSpPr/>
                      <wps:spPr>
                        <a:xfrm>
                          <a:off x="0" y="0"/>
                          <a:ext cx="4173220" cy="457200"/>
                        </a:xfrm>
                        <a:prstGeom prst="round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C5A71C5" id="Rounded Rectangle 204" o:spid="_x0000_s1026" style="position:absolute;margin-left:54.7pt;margin-top:11.75pt;width:328.6pt;height:3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" fillcolor="#f27e20" stroked="f" strokeweight="1pt">
                <v:stroke joinstyle="miter"/>
              </v:roundrect>
            </w:pict>
          </mc:Fallback>
        </mc:AlternateContent>
      </w:r>
      <w:r>
        <w:rPr>
          <w:rFonts w:ascii="Arial" w:hAnsi="Arial" w:cs="Arial"/>
          <w:noProof/>
          <w:sz w:val="24"/>
          <w:szCs w:val="24"/>
          <w:lang w:val="en-US"/>
        </w:rPr>
        <w:drawing>
          <wp:anchor distT="0" distB="0" distL="114300" distR="114300" simplePos="0" relativeHeight="251781120" behindDoc="1" locked="0" layoutInCell="1" allowOverlap="1" wp14:anchorId="5B9092A5" wp14:editId="30A146B0">
            <wp:simplePos x="0" y="0"/>
            <wp:positionH relativeFrom="column">
              <wp:posOffset>107315</wp:posOffset>
            </wp:positionH>
            <wp:positionV relativeFrom="paragraph">
              <wp:posOffset>50655</wp:posOffset>
            </wp:positionV>
            <wp:extent cx="558165" cy="595630"/>
            <wp:effectExtent l="0" t="0" r="0" b="0"/>
            <wp:wrapTight wrapText="bothSides">
              <wp:wrapPolygon edited="0">
                <wp:start x="983" y="1842"/>
                <wp:lineTo x="983" y="20264"/>
                <wp:lineTo x="19659" y="20264"/>
                <wp:lineTo x="20150" y="19343"/>
                <wp:lineTo x="18184" y="1842"/>
                <wp:lineTo x="983" y="1842"/>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58165" cy="595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75DAAD" w14:textId="0C7A256E" w:rsidR="00A915EA" w:rsidRPr="00A915EA" w:rsidRDefault="00A915EA" w:rsidP="00A915EA">
      <w:pPr>
        <w:spacing w:after="160" w:line="276" w:lineRule="auto"/>
        <w:contextualSpacing/>
        <w:jc w:val="both"/>
        <w:rPr>
          <w:rFonts w:ascii="Arial" w:hAnsi="Arial" w:cs="Arial"/>
          <w:sz w:val="24"/>
          <w:szCs w:val="24"/>
          <w:lang w:val="en-US"/>
        </w:rPr>
      </w:pPr>
      <w:r>
        <w:rPr>
          <w:rFonts w:ascii="Arial" w:hAnsi="Arial" w:cs="Arial"/>
          <w:bCs/>
          <w:noProof/>
          <w:color w:val="82C9A0"/>
          <w:sz w:val="24"/>
          <w:szCs w:val="24"/>
          <w:lang w:val="en-US"/>
        </w:rPr>
        <mc:AlternateContent>
          <mc:Choice Requires="wps">
            <w:drawing>
              <wp:anchor distT="0" distB="0" distL="114300" distR="114300" simplePos="0" relativeHeight="251784192" behindDoc="0" locked="0" layoutInCell="1" allowOverlap="1" wp14:anchorId="0BC48A57" wp14:editId="040EB559">
                <wp:simplePos x="0" y="0"/>
                <wp:positionH relativeFrom="column">
                  <wp:posOffset>781050</wp:posOffset>
                </wp:positionH>
                <wp:positionV relativeFrom="paragraph">
                  <wp:posOffset>33800</wp:posOffset>
                </wp:positionV>
                <wp:extent cx="3923665" cy="356235"/>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3923665" cy="356235"/>
                        </a:xfrm>
                        <a:prstGeom prst="rect">
                          <a:avLst/>
                        </a:prstGeom>
                        <a:noFill/>
                        <a:ln w="6350">
                          <a:noFill/>
                        </a:ln>
                      </wps:spPr>
                      <wps:txbx>
                        <w:txbxContent>
                          <w:p w14:paraId="48C4B79F" w14:textId="3B52428D" w:rsidR="00D15FD8" w:rsidRPr="002B605B" w:rsidRDefault="00D15FD8" w:rsidP="00ED34F0">
                            <w:pPr>
                              <w:pStyle w:val="ListParagraph"/>
                              <w:ind w:left="360"/>
                              <w:rPr>
                                <w:rFonts w:ascii="Arial" w:hAnsi="Arial" w:cs="Arial"/>
                                <w:b/>
                                <w:bCs/>
                                <w:color w:val="FFFFFF" w:themeColor="background1"/>
                                <w:sz w:val="24"/>
                                <w:szCs w:val="24"/>
                                <w:lang w:val="en-US"/>
                              </w:rPr>
                            </w:pPr>
                            <w:r w:rsidRPr="002B605B">
                              <w:rPr>
                                <w:rFonts w:ascii="Arial" w:hAnsi="Arial" w:cs="Arial"/>
                                <w:b/>
                                <w:bCs/>
                                <w:color w:val="FFFFFF" w:themeColor="background1"/>
                                <w:sz w:val="24"/>
                                <w:szCs w:val="24"/>
                                <w:lang w:val="en-US"/>
                              </w:rPr>
                              <w:t xml:space="preserve">Macroeconomic </w:t>
                            </w:r>
                            <w:r>
                              <w:rPr>
                                <w:rFonts w:ascii="Arial" w:hAnsi="Arial" w:cs="Arial"/>
                                <w:b/>
                                <w:bCs/>
                                <w:color w:val="FFFFFF" w:themeColor="background1"/>
                                <w:sz w:val="24"/>
                                <w:szCs w:val="24"/>
                                <w:lang w:val="en-US"/>
                              </w:rPr>
                              <w:t>p</w:t>
                            </w:r>
                            <w:r w:rsidRPr="002B605B">
                              <w:rPr>
                                <w:rFonts w:ascii="Arial" w:hAnsi="Arial" w:cs="Arial"/>
                                <w:b/>
                                <w:bCs/>
                                <w:color w:val="FFFFFF" w:themeColor="background1"/>
                                <w:sz w:val="24"/>
                                <w:szCs w:val="24"/>
                                <w:lang w:val="en-US"/>
                              </w:rPr>
                              <w:t>rojections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C48A57" id="Text Box 205" o:spid="_x0000_s1051" type="#_x0000_t202" style="position:absolute;left:0;text-align:left;margin-left:61.5pt;margin-top:2.65pt;width:308.95pt;height:28.0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" filled="f" stroked="f" strokeweight=".5pt">
                <v:textbox>
                  <w:txbxContent>
                    <w:p w14:paraId="48C4B79F" w14:textId="3B52428D" w:rsidR="00D15FD8" w:rsidRPr="002B605B" w:rsidRDefault="00D15FD8" w:rsidP="00ED34F0">
                      <w:pPr>
                        <w:pStyle w:val="ListParagraph"/>
                        <w:ind w:left="360"/>
                        <w:rPr>
                          <w:rFonts w:ascii="Arial" w:hAnsi="Arial" w:cs="Arial"/>
                          <w:b/>
                          <w:bCs/>
                          <w:color w:val="FFFFFF" w:themeColor="background1"/>
                          <w:sz w:val="24"/>
                          <w:szCs w:val="24"/>
                          <w:lang w:val="en-US"/>
                        </w:rPr>
                      </w:pPr>
                      <w:r w:rsidRPr="002B605B">
                        <w:rPr>
                          <w:rFonts w:ascii="Arial" w:hAnsi="Arial" w:cs="Arial"/>
                          <w:b/>
                          <w:bCs/>
                          <w:color w:val="FFFFFF" w:themeColor="background1"/>
                          <w:sz w:val="24"/>
                          <w:szCs w:val="24"/>
                          <w:lang w:val="en-US"/>
                        </w:rPr>
                        <w:t xml:space="preserve">Macroeconomic </w:t>
                      </w:r>
                      <w:r>
                        <w:rPr>
                          <w:rFonts w:ascii="Arial" w:hAnsi="Arial" w:cs="Arial"/>
                          <w:b/>
                          <w:bCs/>
                          <w:color w:val="FFFFFF" w:themeColor="background1"/>
                          <w:sz w:val="24"/>
                          <w:szCs w:val="24"/>
                          <w:lang w:val="en-US"/>
                        </w:rPr>
                        <w:t>p</w:t>
                      </w:r>
                      <w:r w:rsidRPr="002B605B">
                        <w:rPr>
                          <w:rFonts w:ascii="Arial" w:hAnsi="Arial" w:cs="Arial"/>
                          <w:b/>
                          <w:bCs/>
                          <w:color w:val="FFFFFF" w:themeColor="background1"/>
                          <w:sz w:val="24"/>
                          <w:szCs w:val="24"/>
                          <w:lang w:val="en-US"/>
                        </w:rPr>
                        <w:t>rojections</w:t>
                      </w:r>
                    </w:p>
                  </w:txbxContent>
                </v:textbox>
              </v:shape>
            </w:pict>
          </mc:Fallback>
        </mc:AlternateContent>
      </w:r>
    </w:p>
    <w:p w14:paraId="33322888" w14:textId="5FAE4ED3" w:rsidR="00A915EA" w:rsidRPr="00A915EA" w:rsidRDefault="00A915EA" w:rsidP="00A915EA">
      <w:pPr>
        <w:spacing w:after="160" w:line="276" w:lineRule="auto"/>
        <w:ind w:left="360"/>
        <w:contextualSpacing/>
        <w:jc w:val="both"/>
        <w:rPr>
          <w:rFonts w:ascii="Arial" w:hAnsi="Arial" w:cs="Arial"/>
          <w:sz w:val="24"/>
          <w:szCs w:val="24"/>
          <w:lang w:val="en-US"/>
        </w:rPr>
      </w:pPr>
    </w:p>
    <w:p w14:paraId="79E2E1E5" w14:textId="77777777" w:rsidR="00A915EA" w:rsidRDefault="00A915EA" w:rsidP="00A915EA">
      <w:pPr>
        <w:spacing w:after="160" w:line="276" w:lineRule="auto"/>
        <w:contextualSpacing/>
        <w:jc w:val="both"/>
        <w:rPr>
          <w:rFonts w:ascii="Arial" w:hAnsi="Arial" w:cs="Arial"/>
          <w:sz w:val="24"/>
          <w:szCs w:val="24"/>
          <w:lang w:val="en-US"/>
        </w:rPr>
      </w:pPr>
    </w:p>
    <w:p w14:paraId="5344F61D" w14:textId="0F8968D9" w:rsidR="00794020" w:rsidRDefault="00565ED4" w:rsidP="00A915EA">
      <w:pPr>
        <w:spacing w:after="160" w:line="276" w:lineRule="auto"/>
        <w:contextualSpacing/>
        <w:jc w:val="both"/>
        <w:rPr>
          <w:rFonts w:ascii="Arial" w:hAnsi="Arial" w:cs="Arial"/>
          <w:sz w:val="24"/>
          <w:szCs w:val="24"/>
          <w:lang w:val="en-GB"/>
        </w:rPr>
      </w:pPr>
      <w:r>
        <w:rPr>
          <w:rFonts w:ascii="Arial" w:hAnsi="Arial" w:cs="Arial"/>
          <w:sz w:val="24"/>
          <w:szCs w:val="24"/>
          <w:lang w:val="en-US"/>
        </w:rPr>
        <w:t>T</w:t>
      </w:r>
      <w:r w:rsidR="00DE09C3" w:rsidRPr="00A915EA">
        <w:rPr>
          <w:rFonts w:ascii="Arial" w:hAnsi="Arial" w:cs="Arial"/>
          <w:sz w:val="24"/>
          <w:szCs w:val="24"/>
          <w:lang w:val="en-US"/>
        </w:rPr>
        <w:t xml:space="preserve">he projected values of key macroeconomic variables </w:t>
      </w:r>
      <w:r w:rsidR="00344861" w:rsidRPr="00A915EA">
        <w:rPr>
          <w:rFonts w:ascii="Arial" w:hAnsi="Arial" w:cs="Arial"/>
          <w:sz w:val="24"/>
          <w:szCs w:val="24"/>
          <w:lang w:val="en-US"/>
        </w:rPr>
        <w:t>including</w:t>
      </w:r>
      <w:r w:rsidR="00DE09C3" w:rsidRPr="00A915EA">
        <w:rPr>
          <w:rFonts w:ascii="Arial" w:hAnsi="Arial" w:cs="Arial"/>
          <w:sz w:val="24"/>
          <w:szCs w:val="24"/>
          <w:lang w:val="en-US"/>
        </w:rPr>
        <w:t xml:space="preserve"> gross domestic product</w:t>
      </w:r>
      <w:r w:rsidR="00794020" w:rsidRPr="00A915EA">
        <w:rPr>
          <w:rFonts w:ascii="Arial" w:hAnsi="Arial" w:cs="Arial"/>
          <w:sz w:val="24"/>
          <w:szCs w:val="24"/>
          <w:lang w:val="en-US"/>
        </w:rPr>
        <w:t xml:space="preserve"> (</w:t>
      </w:r>
      <w:r w:rsidR="00097CDE" w:rsidRPr="00A915EA">
        <w:rPr>
          <w:rFonts w:ascii="Arial" w:hAnsi="Arial" w:cs="Arial"/>
          <w:sz w:val="24"/>
          <w:szCs w:val="24"/>
          <w:lang w:val="en-US"/>
        </w:rPr>
        <w:t>measure of economic growth</w:t>
      </w:r>
      <w:r w:rsidR="00794020" w:rsidRPr="00A915EA">
        <w:rPr>
          <w:rFonts w:ascii="Arial" w:hAnsi="Arial" w:cs="Arial"/>
          <w:sz w:val="24"/>
          <w:szCs w:val="24"/>
          <w:lang w:val="en-US"/>
        </w:rPr>
        <w:t>)</w:t>
      </w:r>
      <w:r w:rsidR="00097CDE" w:rsidRPr="00A915EA">
        <w:rPr>
          <w:rFonts w:ascii="Arial" w:hAnsi="Arial" w:cs="Arial"/>
          <w:sz w:val="24"/>
          <w:szCs w:val="24"/>
          <w:lang w:val="en-US"/>
        </w:rPr>
        <w:t>; employment/unemployment growth rate</w:t>
      </w:r>
      <w:r w:rsidR="00794020" w:rsidRPr="00A915EA">
        <w:rPr>
          <w:rFonts w:ascii="Arial" w:hAnsi="Arial" w:cs="Arial"/>
          <w:sz w:val="24"/>
          <w:szCs w:val="24"/>
          <w:lang w:val="en-US"/>
        </w:rPr>
        <w:t>s</w:t>
      </w:r>
      <w:r w:rsidR="00097CDE" w:rsidRPr="00A915EA">
        <w:rPr>
          <w:rFonts w:ascii="Arial" w:hAnsi="Arial" w:cs="Arial"/>
          <w:sz w:val="24"/>
          <w:szCs w:val="24"/>
          <w:lang w:val="en-US"/>
        </w:rPr>
        <w:t xml:space="preserve">; interest rates; </w:t>
      </w:r>
      <w:r w:rsidR="00DE09C3" w:rsidRPr="00A915EA">
        <w:rPr>
          <w:rFonts w:ascii="Arial" w:hAnsi="Arial" w:cs="Arial"/>
          <w:sz w:val="24"/>
          <w:szCs w:val="24"/>
          <w:lang w:val="en-US"/>
        </w:rPr>
        <w:t>inflation</w:t>
      </w:r>
      <w:r w:rsidR="00794020" w:rsidRPr="00A915EA">
        <w:rPr>
          <w:rFonts w:ascii="Arial" w:hAnsi="Arial" w:cs="Arial"/>
          <w:sz w:val="24"/>
          <w:szCs w:val="24"/>
          <w:lang w:val="en-US"/>
        </w:rPr>
        <w:t xml:space="preserve"> rates;</w:t>
      </w:r>
      <w:r w:rsidR="00DE09C3" w:rsidRPr="00A915EA">
        <w:rPr>
          <w:rFonts w:ascii="Arial" w:hAnsi="Arial" w:cs="Arial"/>
          <w:sz w:val="24"/>
          <w:szCs w:val="24"/>
          <w:lang w:val="en-US"/>
        </w:rPr>
        <w:t xml:space="preserve"> </w:t>
      </w:r>
      <w:r w:rsidR="00794020" w:rsidRPr="00A915EA">
        <w:rPr>
          <w:rFonts w:ascii="Arial" w:hAnsi="Arial" w:cs="Arial"/>
          <w:sz w:val="24"/>
          <w:szCs w:val="24"/>
          <w:lang w:val="en-US"/>
        </w:rPr>
        <w:t>exchange rates;</w:t>
      </w:r>
      <w:r w:rsidR="00DE09C3" w:rsidRPr="00A915EA">
        <w:rPr>
          <w:rFonts w:ascii="Arial" w:hAnsi="Arial" w:cs="Arial"/>
          <w:sz w:val="24"/>
          <w:szCs w:val="24"/>
          <w:lang w:val="en-US"/>
        </w:rPr>
        <w:t xml:space="preserve"> and the balance of payments</w:t>
      </w:r>
      <w:r w:rsidR="00837287" w:rsidRPr="00A915EA">
        <w:rPr>
          <w:rFonts w:ascii="Arial" w:hAnsi="Arial" w:cs="Arial"/>
          <w:sz w:val="24"/>
          <w:szCs w:val="24"/>
          <w:lang w:val="en-US"/>
        </w:rPr>
        <w:t xml:space="preserve"> </w:t>
      </w:r>
      <w:r w:rsidR="00C20BDA" w:rsidRPr="00A915EA">
        <w:rPr>
          <w:rFonts w:ascii="Arial" w:hAnsi="Arial" w:cs="Arial"/>
          <w:sz w:val="24"/>
          <w:szCs w:val="24"/>
          <w:lang w:val="en-US"/>
        </w:rPr>
        <w:t>(i</w:t>
      </w:r>
      <w:r w:rsidR="00837287" w:rsidRPr="00A915EA">
        <w:rPr>
          <w:rFonts w:ascii="Arial" w:hAnsi="Arial" w:cs="Arial"/>
          <w:sz w:val="24"/>
          <w:szCs w:val="24"/>
          <w:lang w:val="en-US"/>
        </w:rPr>
        <w:t>nternational financial transactions made by the residents of a country)</w:t>
      </w:r>
      <w:r w:rsidR="00C20BDA" w:rsidRPr="00A915EA">
        <w:rPr>
          <w:rFonts w:ascii="Arial" w:hAnsi="Arial" w:cs="Arial"/>
          <w:sz w:val="24"/>
          <w:szCs w:val="24"/>
          <w:lang w:val="en-US"/>
        </w:rPr>
        <w:t>.</w:t>
      </w:r>
      <w:r w:rsidR="00794020" w:rsidRPr="00A915EA">
        <w:rPr>
          <w:rFonts w:ascii="Arial" w:hAnsi="Arial" w:cs="Arial"/>
          <w:sz w:val="24"/>
          <w:szCs w:val="24"/>
          <w:lang w:val="en-US"/>
        </w:rPr>
        <w:t xml:space="preserve"> These projections form the basis</w:t>
      </w:r>
      <w:r w:rsidR="00794020" w:rsidRPr="00A915EA">
        <w:rPr>
          <w:rFonts w:ascii="Arial" w:hAnsi="Arial" w:cs="Arial"/>
          <w:sz w:val="24"/>
          <w:szCs w:val="24"/>
          <w:lang w:val="en-GB"/>
        </w:rPr>
        <w:t xml:space="preserve"> for the calculations of key fiscal indicator forecasts, that </w:t>
      </w:r>
      <w:r w:rsidR="009446C8" w:rsidRPr="00A915EA">
        <w:rPr>
          <w:rFonts w:ascii="Arial" w:hAnsi="Arial" w:cs="Arial"/>
          <w:sz w:val="24"/>
          <w:szCs w:val="24"/>
          <w:lang w:val="en-US"/>
        </w:rPr>
        <w:t xml:space="preserve">provide information </w:t>
      </w:r>
      <w:r w:rsidR="00D75CD2" w:rsidRPr="00A915EA">
        <w:rPr>
          <w:rFonts w:ascii="Arial" w:hAnsi="Arial" w:cs="Arial"/>
          <w:sz w:val="24"/>
          <w:szCs w:val="24"/>
          <w:lang w:val="en-US"/>
        </w:rPr>
        <w:t>on the projected state of the economy, including on the quantum of collective resources that the government will likely have available</w:t>
      </w:r>
      <w:r w:rsidR="00344861" w:rsidRPr="00A915EA">
        <w:rPr>
          <w:rFonts w:ascii="Arial" w:hAnsi="Arial" w:cs="Arial"/>
          <w:sz w:val="24"/>
          <w:szCs w:val="24"/>
          <w:lang w:val="en-US"/>
        </w:rPr>
        <w:t xml:space="preserve"> </w:t>
      </w:r>
      <w:r w:rsidR="00166938" w:rsidRPr="00A915EA">
        <w:rPr>
          <w:rFonts w:ascii="Arial" w:hAnsi="Arial" w:cs="Arial"/>
          <w:sz w:val="24"/>
          <w:szCs w:val="24"/>
          <w:lang w:val="en-US"/>
        </w:rPr>
        <w:t>to it</w:t>
      </w:r>
      <w:r w:rsidR="00794020" w:rsidRPr="00A915EA">
        <w:rPr>
          <w:rFonts w:ascii="Arial" w:hAnsi="Arial" w:cs="Arial"/>
          <w:sz w:val="24"/>
          <w:szCs w:val="24"/>
          <w:lang w:val="en-US"/>
        </w:rPr>
        <w:t>,</w:t>
      </w:r>
      <w:r w:rsidR="00166938" w:rsidRPr="00A915EA">
        <w:rPr>
          <w:rFonts w:ascii="Arial" w:hAnsi="Arial" w:cs="Arial"/>
          <w:sz w:val="24"/>
          <w:szCs w:val="24"/>
          <w:lang w:val="en-US"/>
        </w:rPr>
        <w:t xml:space="preserve"> essentially the resources within </w:t>
      </w:r>
      <w:r w:rsidR="00D75CD2" w:rsidRPr="00A915EA">
        <w:rPr>
          <w:rFonts w:ascii="Arial" w:hAnsi="Arial" w:cs="Arial"/>
          <w:sz w:val="24"/>
          <w:szCs w:val="24"/>
          <w:lang w:val="en-US"/>
        </w:rPr>
        <w:t>which fiscal policy choices can be made</w:t>
      </w:r>
      <w:r w:rsidR="00344861" w:rsidRPr="00A915EA">
        <w:rPr>
          <w:rFonts w:ascii="Arial" w:hAnsi="Arial" w:cs="Arial"/>
          <w:sz w:val="24"/>
          <w:szCs w:val="24"/>
          <w:lang w:val="en-US"/>
        </w:rPr>
        <w:t xml:space="preserve">. </w:t>
      </w:r>
      <w:r w:rsidR="00D7594D" w:rsidRPr="00A915EA">
        <w:rPr>
          <w:rFonts w:ascii="Arial" w:hAnsi="Arial" w:cs="Arial"/>
          <w:sz w:val="24"/>
          <w:szCs w:val="24"/>
          <w:lang w:val="en-US"/>
        </w:rPr>
        <w:t xml:space="preserve">They also </w:t>
      </w:r>
      <w:r w:rsidR="00344861" w:rsidRPr="00A915EA">
        <w:rPr>
          <w:rFonts w:ascii="Arial" w:hAnsi="Arial" w:cs="Arial"/>
          <w:sz w:val="24"/>
          <w:szCs w:val="24"/>
          <w:lang w:val="en-US"/>
        </w:rPr>
        <w:t>provide vital information on fiscal policy</w:t>
      </w:r>
      <w:r w:rsidR="00D75CD2" w:rsidRPr="00A915EA">
        <w:rPr>
          <w:rFonts w:ascii="Arial" w:hAnsi="Arial" w:cs="Arial"/>
          <w:sz w:val="24"/>
          <w:szCs w:val="24"/>
          <w:lang w:val="en-US"/>
        </w:rPr>
        <w:t xml:space="preserve"> needs</w:t>
      </w:r>
      <w:r w:rsidR="00344861" w:rsidRPr="00A915EA">
        <w:rPr>
          <w:rFonts w:ascii="Arial" w:hAnsi="Arial" w:cs="Arial"/>
          <w:sz w:val="24"/>
          <w:szCs w:val="24"/>
          <w:lang w:val="en-US"/>
        </w:rPr>
        <w:t xml:space="preserve">, providing inputs into the budget </w:t>
      </w:r>
      <w:r w:rsidR="00D75CD2" w:rsidRPr="00A915EA">
        <w:rPr>
          <w:rFonts w:ascii="Arial" w:hAnsi="Arial" w:cs="Arial"/>
          <w:sz w:val="24"/>
          <w:szCs w:val="24"/>
          <w:lang w:val="en-US"/>
        </w:rPr>
        <w:t xml:space="preserve">choices </w:t>
      </w:r>
      <w:r w:rsidR="00344861" w:rsidRPr="00A915EA">
        <w:rPr>
          <w:rFonts w:ascii="Arial" w:hAnsi="Arial" w:cs="Arial"/>
          <w:sz w:val="24"/>
          <w:szCs w:val="24"/>
          <w:lang w:val="en-US"/>
        </w:rPr>
        <w:t xml:space="preserve">to be taken, for instance fiscal policies may be targeted to deal with </w:t>
      </w:r>
      <w:r w:rsidR="009446C8" w:rsidRPr="00A915EA">
        <w:rPr>
          <w:rFonts w:ascii="Arial" w:hAnsi="Arial" w:cs="Arial"/>
          <w:sz w:val="24"/>
          <w:szCs w:val="24"/>
          <w:lang w:val="en-US"/>
        </w:rPr>
        <w:t>unemployment</w:t>
      </w:r>
      <w:r w:rsidR="00344861" w:rsidRPr="00A915EA">
        <w:rPr>
          <w:rFonts w:ascii="Arial" w:hAnsi="Arial" w:cs="Arial"/>
          <w:sz w:val="24"/>
          <w:szCs w:val="24"/>
          <w:lang w:val="en-US"/>
        </w:rPr>
        <w:t>,</w:t>
      </w:r>
      <w:r w:rsidR="009446C8" w:rsidRPr="00A915EA">
        <w:rPr>
          <w:rFonts w:ascii="Arial" w:hAnsi="Arial" w:cs="Arial"/>
          <w:sz w:val="24"/>
          <w:szCs w:val="24"/>
          <w:lang w:val="en-US"/>
        </w:rPr>
        <w:t xml:space="preserve"> inflation</w:t>
      </w:r>
      <w:r w:rsidR="00344861" w:rsidRPr="00A915EA">
        <w:rPr>
          <w:rFonts w:ascii="Arial" w:hAnsi="Arial" w:cs="Arial"/>
          <w:sz w:val="24"/>
          <w:szCs w:val="24"/>
          <w:lang w:val="en-US"/>
        </w:rPr>
        <w:t xml:space="preserve"> or to stimulate economic growth in particular sectors</w:t>
      </w:r>
      <w:r w:rsidR="00794020" w:rsidRPr="00A915EA">
        <w:rPr>
          <w:rFonts w:ascii="Arial" w:hAnsi="Arial" w:cs="Arial"/>
          <w:sz w:val="24"/>
          <w:szCs w:val="24"/>
          <w:lang w:val="en-US"/>
        </w:rPr>
        <w:t xml:space="preserve">. Transparency in this area provides the basis for oversight institutions and the public to be able to understand, participate, and oversee budgetary processes. For instance, </w:t>
      </w:r>
      <w:r w:rsidR="00D7594D" w:rsidRPr="00A915EA">
        <w:rPr>
          <w:rFonts w:ascii="Arial" w:hAnsi="Arial" w:cs="Arial"/>
          <w:sz w:val="24"/>
          <w:szCs w:val="24"/>
          <w:lang w:val="en-US"/>
        </w:rPr>
        <w:t xml:space="preserve">if macroeconomic projections are found to be </w:t>
      </w:r>
      <w:r w:rsidR="00794020" w:rsidRPr="00A915EA">
        <w:rPr>
          <w:rFonts w:ascii="Arial" w:hAnsi="Arial" w:cs="Arial"/>
          <w:sz w:val="24"/>
          <w:szCs w:val="24"/>
          <w:lang w:val="en-GB"/>
        </w:rPr>
        <w:t xml:space="preserve">unrealistic </w:t>
      </w:r>
      <w:r w:rsidR="00D7594D" w:rsidRPr="00A915EA">
        <w:rPr>
          <w:rFonts w:ascii="Arial" w:hAnsi="Arial" w:cs="Arial"/>
          <w:sz w:val="24"/>
          <w:szCs w:val="24"/>
          <w:lang w:val="en-GB"/>
        </w:rPr>
        <w:t xml:space="preserve">it </w:t>
      </w:r>
      <w:r w:rsidR="00794020" w:rsidRPr="00A915EA">
        <w:rPr>
          <w:rFonts w:ascii="Arial" w:hAnsi="Arial" w:cs="Arial"/>
          <w:sz w:val="24"/>
          <w:szCs w:val="24"/>
          <w:lang w:val="en-GB"/>
        </w:rPr>
        <w:t>may mean that budgets are not funded in reality and as such are not implementable.</w:t>
      </w:r>
    </w:p>
    <w:p w14:paraId="17C7AB06" w14:textId="7FCD1052" w:rsidR="00A915EA" w:rsidRDefault="006B3CD5" w:rsidP="00A915EA">
      <w:pPr>
        <w:spacing w:after="160" w:line="276" w:lineRule="auto"/>
        <w:contextualSpacing/>
        <w:jc w:val="both"/>
        <w:rPr>
          <w:rFonts w:ascii="Arial" w:hAnsi="Arial" w:cs="Arial"/>
          <w:sz w:val="24"/>
          <w:szCs w:val="24"/>
          <w:lang w:val="en-GB"/>
        </w:rPr>
      </w:pPr>
      <w:r>
        <w:rPr>
          <w:rFonts w:ascii="Arial" w:hAnsi="Arial" w:cs="Arial"/>
          <w:noProof/>
          <w:sz w:val="24"/>
          <w:szCs w:val="24"/>
          <w:lang w:val="en-US"/>
        </w:rPr>
        <w:drawing>
          <wp:anchor distT="0" distB="0" distL="114300" distR="114300" simplePos="0" relativeHeight="251785216" behindDoc="1" locked="0" layoutInCell="1" allowOverlap="1" wp14:anchorId="2ED919B5" wp14:editId="261CBB8D">
            <wp:simplePos x="0" y="0"/>
            <wp:positionH relativeFrom="column">
              <wp:posOffset>109887</wp:posOffset>
            </wp:positionH>
            <wp:positionV relativeFrom="paragraph">
              <wp:posOffset>202565</wp:posOffset>
            </wp:positionV>
            <wp:extent cx="551662" cy="597600"/>
            <wp:effectExtent l="0" t="0" r="0" b="0"/>
            <wp:wrapTight wrapText="bothSides">
              <wp:wrapPolygon edited="0">
                <wp:start x="8461" y="0"/>
                <wp:lineTo x="498" y="7804"/>
                <wp:lineTo x="4977" y="15609"/>
                <wp:lineTo x="2488" y="20200"/>
                <wp:lineTo x="17917" y="20200"/>
                <wp:lineTo x="15429" y="16068"/>
                <wp:lineTo x="15429" y="15609"/>
                <wp:lineTo x="20903" y="8264"/>
                <wp:lineTo x="12442" y="0"/>
                <wp:lineTo x="8461"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51662" cy="59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20FC7" w14:textId="7D94F9F8" w:rsidR="00A915EA" w:rsidRPr="00A915EA" w:rsidRDefault="002B605B" w:rsidP="00A915EA">
      <w:pPr>
        <w:spacing w:after="160" w:line="276" w:lineRule="auto"/>
        <w:contextualSpacing/>
        <w:jc w:val="both"/>
        <w:rPr>
          <w:rFonts w:ascii="Arial" w:hAnsi="Arial" w:cs="Arial"/>
          <w:sz w:val="24"/>
          <w:szCs w:val="24"/>
          <w:lang w:val="en-US"/>
        </w:rPr>
      </w:pPr>
      <w:r>
        <w:rPr>
          <w:rFonts w:ascii="Arial" w:hAnsi="Arial" w:cs="Arial"/>
          <w:bCs/>
          <w:noProof/>
          <w:color w:val="82C9A0"/>
          <w:sz w:val="24"/>
          <w:szCs w:val="24"/>
          <w:lang w:val="en-US"/>
        </w:rPr>
        <mc:AlternateContent>
          <mc:Choice Requires="wps">
            <w:drawing>
              <wp:anchor distT="0" distB="0" distL="114300" distR="114300" simplePos="0" relativeHeight="251788288" behindDoc="0" locked="0" layoutInCell="1" allowOverlap="1" wp14:anchorId="2A3EE2FF" wp14:editId="765D45E1">
                <wp:simplePos x="0" y="0"/>
                <wp:positionH relativeFrom="column">
                  <wp:posOffset>803275</wp:posOffset>
                </wp:positionH>
                <wp:positionV relativeFrom="paragraph">
                  <wp:posOffset>156210</wp:posOffset>
                </wp:positionV>
                <wp:extent cx="3923665" cy="356235"/>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3923665" cy="356235"/>
                        </a:xfrm>
                        <a:prstGeom prst="rect">
                          <a:avLst/>
                        </a:prstGeom>
                        <a:noFill/>
                        <a:ln w="6350">
                          <a:noFill/>
                        </a:ln>
                      </wps:spPr>
                      <wps:txbx>
                        <w:txbxContent>
                          <w:p w14:paraId="78F821C8" w14:textId="11DB4D41" w:rsidR="00D15FD8" w:rsidRPr="002B605B" w:rsidRDefault="00D15FD8" w:rsidP="00ED34F0">
                            <w:pPr>
                              <w:pStyle w:val="ListParagraph"/>
                              <w:ind w:left="360"/>
                              <w:rPr>
                                <w:rFonts w:ascii="Arial" w:hAnsi="Arial" w:cs="Arial"/>
                                <w:b/>
                                <w:bCs/>
                                <w:color w:val="FFFFFF" w:themeColor="background1"/>
                                <w:sz w:val="24"/>
                                <w:szCs w:val="24"/>
                                <w:lang w:val="en-US"/>
                              </w:rPr>
                            </w:pPr>
                            <w:r w:rsidRPr="002B605B">
                              <w:rPr>
                                <w:rFonts w:ascii="Arial" w:hAnsi="Arial" w:cs="Arial"/>
                                <w:b/>
                                <w:bCs/>
                                <w:color w:val="FFFFFF" w:themeColor="background1"/>
                                <w:sz w:val="24"/>
                                <w:szCs w:val="24"/>
                                <w:lang w:val="en-US"/>
                              </w:rPr>
                              <w:t xml:space="preserve">Revenue </w:t>
                            </w:r>
                            <w:r>
                              <w:rPr>
                                <w:rFonts w:ascii="Arial" w:hAnsi="Arial" w:cs="Arial"/>
                                <w:b/>
                                <w:bCs/>
                                <w:color w:val="FFFFFF" w:themeColor="background1"/>
                                <w:sz w:val="24"/>
                                <w:szCs w:val="24"/>
                                <w:lang w:val="en-US"/>
                              </w:rPr>
                              <w:t>p</w:t>
                            </w:r>
                            <w:r w:rsidRPr="002B605B">
                              <w:rPr>
                                <w:rFonts w:ascii="Arial" w:hAnsi="Arial" w:cs="Arial"/>
                                <w:b/>
                                <w:bCs/>
                                <w:color w:val="FFFFFF" w:themeColor="background1"/>
                                <w:sz w:val="24"/>
                                <w:szCs w:val="24"/>
                                <w:lang w:val="en-US"/>
                              </w:rPr>
                              <w:t>rojections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EE2FF" id="Text Box 208" o:spid="_x0000_s1052" type="#_x0000_t202" style="position:absolute;left:0;text-align:left;margin-left:63.25pt;margin-top:12.3pt;width:308.95pt;height:28.0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" filled="f" stroked="f" strokeweight=".5pt">
                <v:textbox>
                  <w:txbxContent>
                    <w:p w14:paraId="78F821C8" w14:textId="11DB4D41" w:rsidR="00D15FD8" w:rsidRPr="002B605B" w:rsidRDefault="00D15FD8" w:rsidP="00ED34F0">
                      <w:pPr>
                        <w:pStyle w:val="ListParagraph"/>
                        <w:ind w:left="360"/>
                        <w:rPr>
                          <w:rFonts w:ascii="Arial" w:hAnsi="Arial" w:cs="Arial"/>
                          <w:b/>
                          <w:bCs/>
                          <w:color w:val="FFFFFF" w:themeColor="background1"/>
                          <w:sz w:val="24"/>
                          <w:szCs w:val="24"/>
                          <w:lang w:val="en-US"/>
                        </w:rPr>
                      </w:pPr>
                      <w:r w:rsidRPr="002B605B">
                        <w:rPr>
                          <w:rFonts w:ascii="Arial" w:hAnsi="Arial" w:cs="Arial"/>
                          <w:b/>
                          <w:bCs/>
                          <w:color w:val="FFFFFF" w:themeColor="background1"/>
                          <w:sz w:val="24"/>
                          <w:szCs w:val="24"/>
                          <w:lang w:val="en-US"/>
                        </w:rPr>
                        <w:t xml:space="preserve">Revenue </w:t>
                      </w:r>
                      <w:r>
                        <w:rPr>
                          <w:rFonts w:ascii="Arial" w:hAnsi="Arial" w:cs="Arial"/>
                          <w:b/>
                          <w:bCs/>
                          <w:color w:val="FFFFFF" w:themeColor="background1"/>
                          <w:sz w:val="24"/>
                          <w:szCs w:val="24"/>
                          <w:lang w:val="en-US"/>
                        </w:rPr>
                        <w:t>p</w:t>
                      </w:r>
                      <w:r w:rsidRPr="002B605B">
                        <w:rPr>
                          <w:rFonts w:ascii="Arial" w:hAnsi="Arial" w:cs="Arial"/>
                          <w:b/>
                          <w:bCs/>
                          <w:color w:val="FFFFFF" w:themeColor="background1"/>
                          <w:sz w:val="24"/>
                          <w:szCs w:val="24"/>
                          <w:lang w:val="en-US"/>
                        </w:rPr>
                        <w:t>rojections</w:t>
                      </w:r>
                    </w:p>
                  </w:txbxContent>
                </v:textbox>
              </v:shape>
            </w:pict>
          </mc:Fallback>
        </mc:AlternateContent>
      </w:r>
      <w:r w:rsidR="006B3CD5" w:rsidRPr="00ED546D">
        <w:rPr>
          <w:rFonts w:ascii="Arial" w:hAnsi="Arial" w:cs="Arial"/>
          <w:bCs/>
          <w:noProof/>
          <w:color w:val="82C9A0"/>
          <w:sz w:val="24"/>
          <w:szCs w:val="24"/>
          <w:lang w:val="en-US"/>
        </w:rPr>
        <mc:AlternateContent>
          <mc:Choice Requires="wps">
            <w:drawing>
              <wp:anchor distT="0" distB="0" distL="114300" distR="114300" simplePos="0" relativeHeight="251787264" behindDoc="0" locked="0" layoutInCell="1" allowOverlap="1" wp14:anchorId="20F80C6A" wp14:editId="5746A9C9">
                <wp:simplePos x="0" y="0"/>
                <wp:positionH relativeFrom="column">
                  <wp:posOffset>716915</wp:posOffset>
                </wp:positionH>
                <wp:positionV relativeFrom="paragraph">
                  <wp:posOffset>57150</wp:posOffset>
                </wp:positionV>
                <wp:extent cx="4173220" cy="457200"/>
                <wp:effectExtent l="0" t="0" r="5080" b="0"/>
                <wp:wrapNone/>
                <wp:docPr id="207" name="Rounded Rectangle 207"/>
                <wp:cNvGraphicFramePr/>
                <a:graphic xmlns:a="http://schemas.openxmlformats.org/drawingml/2006/main">
                  <a:graphicData uri="http://schemas.microsoft.com/office/word/2010/wordprocessingShape">
                    <wps:wsp>
                      <wps:cNvSpPr/>
                      <wps:spPr>
                        <a:xfrm>
                          <a:off x="0" y="0"/>
                          <a:ext cx="4173220" cy="457200"/>
                        </a:xfrm>
                        <a:prstGeom prst="round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4962FBA" id="Rounded Rectangle 207" o:spid="_x0000_s1026" style="position:absolute;margin-left:56.45pt;margin-top:4.5pt;width:328.6pt;height:3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" fillcolor="#f27e20" stroked="f" strokeweight="1pt">
                <v:stroke joinstyle="miter"/>
              </v:roundrect>
            </w:pict>
          </mc:Fallback>
        </mc:AlternateContent>
      </w:r>
    </w:p>
    <w:p w14:paraId="2169A50F" w14:textId="77777777" w:rsidR="00794020" w:rsidRPr="009E0715" w:rsidRDefault="00794020" w:rsidP="009E0715">
      <w:pPr>
        <w:pStyle w:val="ListParagraph"/>
        <w:spacing w:after="160" w:line="276" w:lineRule="auto"/>
        <w:contextualSpacing/>
        <w:jc w:val="both"/>
        <w:rPr>
          <w:rFonts w:ascii="Arial" w:hAnsi="Arial" w:cs="Arial"/>
          <w:sz w:val="24"/>
          <w:szCs w:val="24"/>
          <w:lang w:val="en-US"/>
        </w:rPr>
      </w:pPr>
    </w:p>
    <w:p w14:paraId="50834585" w14:textId="7F8B4713" w:rsidR="006B3CD5" w:rsidRDefault="006B3CD5" w:rsidP="006B3CD5">
      <w:pPr>
        <w:spacing w:after="160" w:line="276" w:lineRule="auto"/>
        <w:contextualSpacing/>
        <w:jc w:val="both"/>
        <w:rPr>
          <w:rFonts w:ascii="Arial" w:hAnsi="Arial" w:cs="Arial"/>
          <w:sz w:val="24"/>
          <w:szCs w:val="24"/>
          <w:lang w:val="en-US"/>
        </w:rPr>
      </w:pPr>
    </w:p>
    <w:p w14:paraId="4E3281ED" w14:textId="2FA71C91" w:rsidR="0012477A" w:rsidRPr="006B3CD5" w:rsidRDefault="00980844" w:rsidP="006B3CD5">
      <w:pPr>
        <w:spacing w:after="160" w:line="276" w:lineRule="auto"/>
        <w:contextualSpacing/>
        <w:jc w:val="both"/>
        <w:rPr>
          <w:rFonts w:ascii="Arial" w:hAnsi="Arial" w:cs="Arial"/>
          <w:sz w:val="24"/>
          <w:szCs w:val="24"/>
          <w:lang w:val="en-US"/>
        </w:rPr>
      </w:pPr>
      <w:r w:rsidRPr="006B3CD5">
        <w:rPr>
          <w:rFonts w:ascii="Arial" w:hAnsi="Arial" w:cs="Arial"/>
          <w:sz w:val="24"/>
          <w:szCs w:val="24"/>
          <w:lang w:val="en-US"/>
        </w:rPr>
        <w:t xml:space="preserve">Governments raise revenue to generate the resources required to meet </w:t>
      </w:r>
      <w:r w:rsidR="001C384E" w:rsidRPr="006B3CD5">
        <w:rPr>
          <w:rFonts w:ascii="Arial" w:hAnsi="Arial" w:cs="Arial"/>
          <w:sz w:val="24"/>
          <w:szCs w:val="24"/>
          <w:lang w:val="en-US"/>
        </w:rPr>
        <w:t>societal</w:t>
      </w:r>
      <w:r w:rsidR="00FD0708" w:rsidRPr="006B3CD5">
        <w:rPr>
          <w:rFonts w:ascii="Arial" w:hAnsi="Arial" w:cs="Arial"/>
          <w:sz w:val="24"/>
          <w:szCs w:val="24"/>
          <w:lang w:val="en-US"/>
        </w:rPr>
        <w:t xml:space="preserve"> </w:t>
      </w:r>
      <w:r w:rsidRPr="006B3CD5">
        <w:rPr>
          <w:rFonts w:ascii="Arial" w:hAnsi="Arial" w:cs="Arial"/>
          <w:sz w:val="24"/>
          <w:szCs w:val="24"/>
          <w:lang w:val="en-US"/>
        </w:rPr>
        <w:t>collective needs</w:t>
      </w:r>
      <w:r w:rsidR="001C384E" w:rsidRPr="006B3CD5">
        <w:rPr>
          <w:rFonts w:ascii="Arial" w:hAnsi="Arial" w:cs="Arial"/>
          <w:sz w:val="24"/>
          <w:szCs w:val="24"/>
          <w:lang w:val="en-US"/>
        </w:rPr>
        <w:t xml:space="preserve">, generally through taxation, borrowing, and/or other alternative sources such as donor funding and revenue derived from natural resources. Governments make choices regarding the share of revenue to be generated from each revenue source, and well as from different components within these sources. For instance, when </w:t>
      </w:r>
      <w:r w:rsidR="00106F6E" w:rsidRPr="006B3CD5">
        <w:rPr>
          <w:rFonts w:ascii="Arial" w:hAnsi="Arial" w:cs="Arial"/>
          <w:sz w:val="24"/>
          <w:szCs w:val="24"/>
          <w:lang w:val="en-US"/>
        </w:rPr>
        <w:t>levying</w:t>
      </w:r>
      <w:r w:rsidR="001C384E" w:rsidRPr="006B3CD5">
        <w:rPr>
          <w:rFonts w:ascii="Arial" w:hAnsi="Arial" w:cs="Arial"/>
          <w:sz w:val="24"/>
          <w:szCs w:val="24"/>
          <w:lang w:val="en-US"/>
        </w:rPr>
        <w:t xml:space="preserve"> taxes, choices include the types of taxes to impose, their rates, their application, as well as whether any exemptions will be applied. Based on these revenue policy choices, governments will have either more or less fiscal space (capacity a government has to increase spending without risking its own fiscal sustainability). The different weights given to the costs or benefits of raising taxes, of increasing debt, or offering</w:t>
      </w:r>
      <w:r w:rsidR="00FB7443" w:rsidRPr="006B3CD5">
        <w:rPr>
          <w:rFonts w:ascii="Arial" w:hAnsi="Arial" w:cs="Arial"/>
          <w:sz w:val="24"/>
          <w:szCs w:val="24"/>
          <w:lang w:val="en-US"/>
        </w:rPr>
        <w:t>/</w:t>
      </w:r>
      <w:r w:rsidR="001C384E" w:rsidRPr="006B3CD5">
        <w:rPr>
          <w:rFonts w:ascii="Arial" w:hAnsi="Arial" w:cs="Arial"/>
          <w:sz w:val="24"/>
          <w:szCs w:val="24"/>
          <w:lang w:val="en-US"/>
        </w:rPr>
        <w:t xml:space="preserve">eliminating exemptions also show what other priorities the government is addressing through the use of its </w:t>
      </w:r>
      <w:r w:rsidR="00106F6E" w:rsidRPr="006B3CD5">
        <w:rPr>
          <w:rFonts w:ascii="Arial" w:hAnsi="Arial" w:cs="Arial"/>
          <w:sz w:val="24"/>
          <w:szCs w:val="24"/>
          <w:lang w:val="en-US"/>
        </w:rPr>
        <w:t>revenue</w:t>
      </w:r>
      <w:r w:rsidR="001C384E" w:rsidRPr="006B3CD5">
        <w:rPr>
          <w:rFonts w:ascii="Arial" w:hAnsi="Arial" w:cs="Arial"/>
          <w:sz w:val="24"/>
          <w:szCs w:val="24"/>
          <w:lang w:val="en-US"/>
        </w:rPr>
        <w:t xml:space="preserve"> policies. For instance, a government can use tax policies to shape and influence society</w:t>
      </w:r>
      <w:r w:rsidR="00106F6E" w:rsidRPr="006B3CD5">
        <w:rPr>
          <w:rFonts w:ascii="Arial" w:hAnsi="Arial" w:cs="Arial"/>
          <w:sz w:val="24"/>
          <w:szCs w:val="24"/>
          <w:lang w:val="en-US"/>
        </w:rPr>
        <w:t xml:space="preserve"> by</w:t>
      </w:r>
      <w:r w:rsidR="001C384E" w:rsidRPr="006B3CD5">
        <w:rPr>
          <w:rFonts w:ascii="Arial" w:hAnsi="Arial" w:cs="Arial"/>
          <w:sz w:val="24"/>
          <w:szCs w:val="24"/>
          <w:lang w:val="en-US"/>
        </w:rPr>
        <w:t xml:space="preserve"> subscribing to a regressive or progressive tax system (a progressive tax is one that overall charges higher rates of tax on a person as their income or wealth rises with the aim of redistributing income from the rich to </w:t>
      </w:r>
      <w:r w:rsidR="001C384E" w:rsidRPr="006B3CD5">
        <w:rPr>
          <w:rFonts w:ascii="Arial" w:hAnsi="Arial" w:cs="Arial"/>
          <w:sz w:val="24"/>
          <w:szCs w:val="24"/>
          <w:lang w:val="en-US"/>
        </w:rPr>
        <w:lastRenderedPageBreak/>
        <w:t xml:space="preserve">the poor). </w:t>
      </w:r>
      <w:r w:rsidR="00E008C3" w:rsidRPr="006B3CD5">
        <w:rPr>
          <w:rFonts w:ascii="Arial" w:hAnsi="Arial" w:cs="Arial"/>
          <w:sz w:val="24"/>
          <w:szCs w:val="24"/>
          <w:lang w:val="en-US"/>
        </w:rPr>
        <w:t xml:space="preserve">Revenue transparency is </w:t>
      </w:r>
      <w:r w:rsidRPr="006B3CD5">
        <w:rPr>
          <w:rFonts w:ascii="Arial" w:hAnsi="Arial" w:cs="Arial"/>
          <w:sz w:val="24"/>
          <w:szCs w:val="24"/>
          <w:lang w:val="en-US"/>
        </w:rPr>
        <w:t xml:space="preserve">thus </w:t>
      </w:r>
      <w:r w:rsidR="00CB33F5" w:rsidRPr="006B3CD5">
        <w:rPr>
          <w:rFonts w:ascii="Arial" w:hAnsi="Arial" w:cs="Arial"/>
          <w:sz w:val="24"/>
          <w:szCs w:val="24"/>
          <w:lang w:val="en-US"/>
        </w:rPr>
        <w:t xml:space="preserve">necessary for </w:t>
      </w:r>
      <w:r w:rsidR="00E008C3" w:rsidRPr="006B3CD5">
        <w:rPr>
          <w:rFonts w:ascii="Arial" w:hAnsi="Arial" w:cs="Arial"/>
          <w:sz w:val="24"/>
          <w:szCs w:val="24"/>
          <w:lang w:val="en-US"/>
        </w:rPr>
        <w:t>the public to form a</w:t>
      </w:r>
      <w:r w:rsidR="00FD0708" w:rsidRPr="006B3CD5">
        <w:rPr>
          <w:rFonts w:ascii="Arial" w:hAnsi="Arial" w:cs="Arial"/>
          <w:sz w:val="24"/>
          <w:szCs w:val="24"/>
          <w:lang w:val="en-US"/>
        </w:rPr>
        <w:t xml:space="preserve"> better</w:t>
      </w:r>
      <w:r w:rsidR="00E008C3" w:rsidRPr="006B3CD5">
        <w:rPr>
          <w:rFonts w:ascii="Arial" w:hAnsi="Arial" w:cs="Arial"/>
          <w:sz w:val="24"/>
          <w:szCs w:val="24"/>
          <w:lang w:val="en-US"/>
        </w:rPr>
        <w:t xml:space="preserve"> understanding of the resources available to meet collective needs</w:t>
      </w:r>
      <w:r w:rsidR="009D2370" w:rsidRPr="006B3CD5">
        <w:rPr>
          <w:rFonts w:ascii="Arial" w:hAnsi="Arial" w:cs="Arial"/>
          <w:sz w:val="24"/>
          <w:szCs w:val="24"/>
          <w:lang w:val="en-US"/>
        </w:rPr>
        <w:t xml:space="preserve"> </w:t>
      </w:r>
      <w:r w:rsidR="0012477A" w:rsidRPr="006B3CD5">
        <w:rPr>
          <w:rFonts w:ascii="Arial" w:hAnsi="Arial" w:cs="Arial"/>
          <w:sz w:val="24"/>
          <w:szCs w:val="24"/>
          <w:lang w:val="en-US"/>
        </w:rPr>
        <w:t>as well as</w:t>
      </w:r>
      <w:r w:rsidR="009D2370" w:rsidRPr="006B3CD5">
        <w:rPr>
          <w:rFonts w:ascii="Arial" w:hAnsi="Arial" w:cs="Arial"/>
          <w:sz w:val="24"/>
          <w:szCs w:val="24"/>
          <w:lang w:val="en-US"/>
        </w:rPr>
        <w:t xml:space="preserve"> to more broadly understand the government’s fiscal policy objectives</w:t>
      </w:r>
      <w:r w:rsidR="00E008C3" w:rsidRPr="006B3CD5">
        <w:rPr>
          <w:rFonts w:ascii="Arial" w:hAnsi="Arial" w:cs="Arial"/>
          <w:sz w:val="24"/>
          <w:szCs w:val="24"/>
          <w:lang w:val="en-US"/>
        </w:rPr>
        <w:t xml:space="preserve">. </w:t>
      </w:r>
      <w:r w:rsidR="00CD2726" w:rsidRPr="006B3CD5">
        <w:rPr>
          <w:rFonts w:ascii="Arial" w:hAnsi="Arial" w:cs="Arial"/>
          <w:sz w:val="24"/>
          <w:szCs w:val="24"/>
          <w:lang w:val="en-US"/>
        </w:rPr>
        <w:t>Fiscal</w:t>
      </w:r>
      <w:r w:rsidR="001C384E" w:rsidRPr="006B3CD5">
        <w:rPr>
          <w:rFonts w:ascii="Arial" w:hAnsi="Arial" w:cs="Arial"/>
          <w:sz w:val="24"/>
          <w:szCs w:val="24"/>
          <w:lang w:val="en-US"/>
        </w:rPr>
        <w:t xml:space="preserve"> transparency is a</w:t>
      </w:r>
      <w:r w:rsidR="00CD2726" w:rsidRPr="006B3CD5">
        <w:rPr>
          <w:rFonts w:ascii="Arial" w:hAnsi="Arial" w:cs="Arial"/>
          <w:sz w:val="24"/>
          <w:szCs w:val="24"/>
          <w:lang w:val="en-US"/>
        </w:rPr>
        <w:t>lso a</w:t>
      </w:r>
      <w:r w:rsidR="001C384E" w:rsidRPr="006B3CD5">
        <w:rPr>
          <w:rFonts w:ascii="Arial" w:hAnsi="Arial" w:cs="Arial"/>
          <w:sz w:val="24"/>
          <w:szCs w:val="24"/>
          <w:lang w:val="en-US"/>
        </w:rPr>
        <w:t xml:space="preserve">n essential driver of tax compliance because when the public </w:t>
      </w:r>
      <w:r w:rsidR="00106F6E" w:rsidRPr="006B3CD5">
        <w:rPr>
          <w:rFonts w:ascii="Arial" w:hAnsi="Arial" w:cs="Arial"/>
          <w:sz w:val="24"/>
          <w:szCs w:val="24"/>
          <w:lang w:val="en-US"/>
        </w:rPr>
        <w:t xml:space="preserve">understand how their government is raising revenue and how this revenue is being used </w:t>
      </w:r>
      <w:r w:rsidR="001C384E" w:rsidRPr="006B3CD5">
        <w:rPr>
          <w:rFonts w:ascii="Arial" w:hAnsi="Arial" w:cs="Arial"/>
          <w:sz w:val="24"/>
          <w:szCs w:val="24"/>
          <w:lang w:val="en-US"/>
        </w:rPr>
        <w:t xml:space="preserve">efficiently and effectively, they are </w:t>
      </w:r>
      <w:r w:rsidR="00106F6E" w:rsidRPr="006B3CD5">
        <w:rPr>
          <w:rFonts w:ascii="Arial" w:hAnsi="Arial" w:cs="Arial"/>
          <w:sz w:val="24"/>
          <w:szCs w:val="24"/>
          <w:lang w:val="en-US"/>
        </w:rPr>
        <w:t>generally willing to pay more taxes</w:t>
      </w:r>
      <w:r w:rsidR="001C384E" w:rsidRPr="006B3CD5">
        <w:rPr>
          <w:rFonts w:ascii="Arial" w:hAnsi="Arial" w:cs="Arial"/>
          <w:sz w:val="24"/>
          <w:szCs w:val="24"/>
          <w:lang w:val="en-US"/>
        </w:rPr>
        <w:t>.</w:t>
      </w:r>
    </w:p>
    <w:p w14:paraId="382A9E05" w14:textId="2BA1D08F" w:rsidR="00CD2726" w:rsidRDefault="002B605B" w:rsidP="002B605B">
      <w:pPr>
        <w:spacing w:after="160"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1789312" behindDoc="1" locked="0" layoutInCell="1" allowOverlap="1" wp14:anchorId="618EC0CF" wp14:editId="72B1957D">
            <wp:simplePos x="0" y="0"/>
            <wp:positionH relativeFrom="column">
              <wp:posOffset>74930</wp:posOffset>
            </wp:positionH>
            <wp:positionV relativeFrom="paragraph">
              <wp:posOffset>123825</wp:posOffset>
            </wp:positionV>
            <wp:extent cx="573405" cy="596900"/>
            <wp:effectExtent l="0" t="0" r="0" b="0"/>
            <wp:wrapTight wrapText="bothSides">
              <wp:wrapPolygon edited="0">
                <wp:start x="10525" y="0"/>
                <wp:lineTo x="0" y="3217"/>
                <wp:lineTo x="0" y="4136"/>
                <wp:lineTo x="2870" y="8272"/>
                <wp:lineTo x="957" y="15626"/>
                <wp:lineTo x="4306" y="20221"/>
                <wp:lineTo x="4784" y="21140"/>
                <wp:lineTo x="16744" y="21140"/>
                <wp:lineTo x="20093" y="17923"/>
                <wp:lineTo x="20571" y="16545"/>
                <wp:lineTo x="18179" y="15626"/>
                <wp:lineTo x="21050" y="7353"/>
                <wp:lineTo x="12917" y="0"/>
                <wp:lineTo x="10525"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73405" cy="59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14E290" w14:textId="21911431" w:rsidR="002B605B" w:rsidRPr="002B605B" w:rsidRDefault="002B605B" w:rsidP="002B605B">
      <w:pPr>
        <w:spacing w:after="160" w:line="276" w:lineRule="auto"/>
        <w:contextualSpacing/>
        <w:jc w:val="both"/>
        <w:rPr>
          <w:rFonts w:ascii="Arial" w:hAnsi="Arial" w:cs="Arial"/>
          <w:sz w:val="24"/>
          <w:szCs w:val="24"/>
          <w:lang w:val="en-US"/>
        </w:rPr>
      </w:pPr>
      <w:r>
        <w:rPr>
          <w:rFonts w:ascii="Arial" w:hAnsi="Arial" w:cs="Arial"/>
          <w:bCs/>
          <w:noProof/>
          <w:color w:val="82C9A0"/>
          <w:sz w:val="24"/>
          <w:szCs w:val="24"/>
          <w:lang w:val="en-US"/>
        </w:rPr>
        <mc:AlternateContent>
          <mc:Choice Requires="wps">
            <w:drawing>
              <wp:anchor distT="0" distB="0" distL="114300" distR="114300" simplePos="0" relativeHeight="251792384" behindDoc="0" locked="0" layoutInCell="1" allowOverlap="1" wp14:anchorId="1BD2123A" wp14:editId="1EAEA7E8">
                <wp:simplePos x="0" y="0"/>
                <wp:positionH relativeFrom="column">
                  <wp:posOffset>803910</wp:posOffset>
                </wp:positionH>
                <wp:positionV relativeFrom="paragraph">
                  <wp:posOffset>39370</wp:posOffset>
                </wp:positionV>
                <wp:extent cx="4092197" cy="45720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4092197" cy="457200"/>
                        </a:xfrm>
                        <a:prstGeom prst="rect">
                          <a:avLst/>
                        </a:prstGeom>
                        <a:noFill/>
                        <a:ln w="6350">
                          <a:noFill/>
                        </a:ln>
                      </wps:spPr>
                      <wps:txbx>
                        <w:txbxContent>
                          <w:p w14:paraId="4DB41C1E" w14:textId="4967A4F7" w:rsidR="00D15FD8" w:rsidRPr="002B605B" w:rsidRDefault="00D15FD8" w:rsidP="00ED34F0">
                            <w:pPr>
                              <w:pStyle w:val="ListParagraph"/>
                              <w:ind w:left="360"/>
                              <w:rPr>
                                <w:rFonts w:ascii="Arial" w:hAnsi="Arial" w:cs="Arial"/>
                                <w:b/>
                                <w:bCs/>
                                <w:color w:val="FFFFFF" w:themeColor="background1"/>
                                <w:sz w:val="24"/>
                                <w:szCs w:val="24"/>
                                <w:lang w:val="en-US"/>
                              </w:rPr>
                            </w:pPr>
                            <w:r w:rsidRPr="002B605B">
                              <w:rPr>
                                <w:rFonts w:ascii="Arial" w:hAnsi="Arial" w:cs="Arial"/>
                                <w:b/>
                                <w:bCs/>
                                <w:color w:val="FFFFFF" w:themeColor="background1"/>
                                <w:sz w:val="24"/>
                                <w:szCs w:val="24"/>
                                <w:lang w:val="en-US"/>
                              </w:rPr>
                              <w:t>Public expenditure and targeted outputs, outcomes and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2123A" id="Text Box 211" o:spid="_x0000_s1053" type="#_x0000_t202" style="position:absolute;left:0;text-align:left;margin-left:63.3pt;margin-top:3.1pt;width:322.2pt;height:3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" filled="f" stroked="f" strokeweight=".5pt">
                <v:textbox>
                  <w:txbxContent>
                    <w:p w14:paraId="4DB41C1E" w14:textId="4967A4F7" w:rsidR="00D15FD8" w:rsidRPr="002B605B" w:rsidRDefault="00D15FD8" w:rsidP="00ED34F0">
                      <w:pPr>
                        <w:pStyle w:val="ListParagraph"/>
                        <w:ind w:left="360"/>
                        <w:rPr>
                          <w:rFonts w:ascii="Arial" w:hAnsi="Arial" w:cs="Arial"/>
                          <w:b/>
                          <w:bCs/>
                          <w:color w:val="FFFFFF" w:themeColor="background1"/>
                          <w:sz w:val="24"/>
                          <w:szCs w:val="24"/>
                          <w:lang w:val="en-US"/>
                        </w:rPr>
                      </w:pPr>
                      <w:r w:rsidRPr="002B605B">
                        <w:rPr>
                          <w:rFonts w:ascii="Arial" w:hAnsi="Arial" w:cs="Arial"/>
                          <w:b/>
                          <w:bCs/>
                          <w:color w:val="FFFFFF" w:themeColor="background1"/>
                          <w:sz w:val="24"/>
                          <w:szCs w:val="24"/>
                          <w:lang w:val="en-US"/>
                        </w:rPr>
                        <w:t>Public expenditure and targeted outputs, outcomes and impact</w:t>
                      </w:r>
                    </w:p>
                  </w:txbxContent>
                </v:textbox>
              </v:shape>
            </w:pict>
          </mc:Fallback>
        </mc:AlternateContent>
      </w:r>
      <w:r w:rsidRPr="00ED546D">
        <w:rPr>
          <w:rFonts w:ascii="Arial" w:hAnsi="Arial" w:cs="Arial"/>
          <w:bCs/>
          <w:noProof/>
          <w:color w:val="82C9A0"/>
          <w:sz w:val="24"/>
          <w:szCs w:val="24"/>
          <w:lang w:val="en-US"/>
        </w:rPr>
        <mc:AlternateContent>
          <mc:Choice Requires="wps">
            <w:drawing>
              <wp:anchor distT="0" distB="0" distL="114300" distR="114300" simplePos="0" relativeHeight="251791360" behindDoc="0" locked="0" layoutInCell="1" allowOverlap="1" wp14:anchorId="6BADFF16" wp14:editId="5F9DD939">
                <wp:simplePos x="0" y="0"/>
                <wp:positionH relativeFrom="column">
                  <wp:posOffset>718185</wp:posOffset>
                </wp:positionH>
                <wp:positionV relativeFrom="paragraph">
                  <wp:posOffset>29950</wp:posOffset>
                </wp:positionV>
                <wp:extent cx="4173220" cy="457200"/>
                <wp:effectExtent l="0" t="0" r="5080" b="0"/>
                <wp:wrapNone/>
                <wp:docPr id="210" name="Rounded Rectangle 210"/>
                <wp:cNvGraphicFramePr/>
                <a:graphic xmlns:a="http://schemas.openxmlformats.org/drawingml/2006/main">
                  <a:graphicData uri="http://schemas.microsoft.com/office/word/2010/wordprocessingShape">
                    <wps:wsp>
                      <wps:cNvSpPr/>
                      <wps:spPr>
                        <a:xfrm>
                          <a:off x="0" y="0"/>
                          <a:ext cx="4173220" cy="457200"/>
                        </a:xfrm>
                        <a:prstGeom prst="round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FC703F2" id="Rounded Rectangle 210" o:spid="_x0000_s1026" style="position:absolute;margin-left:56.55pt;margin-top:2.35pt;width:328.6pt;height:3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" fillcolor="#f27e20" stroked="f" strokeweight="1pt">
                <v:stroke joinstyle="miter"/>
              </v:roundrect>
            </w:pict>
          </mc:Fallback>
        </mc:AlternateContent>
      </w:r>
    </w:p>
    <w:p w14:paraId="747BCCBB" w14:textId="0D8E2C20" w:rsidR="002B605B" w:rsidRPr="002B605B" w:rsidRDefault="002B605B" w:rsidP="002B605B">
      <w:pPr>
        <w:pStyle w:val="ListParagraph"/>
        <w:spacing w:after="160" w:line="276" w:lineRule="auto"/>
        <w:contextualSpacing/>
        <w:jc w:val="both"/>
        <w:rPr>
          <w:rFonts w:ascii="Arial" w:hAnsi="Arial" w:cs="Arial"/>
          <w:sz w:val="24"/>
          <w:szCs w:val="24"/>
        </w:rPr>
      </w:pPr>
    </w:p>
    <w:p w14:paraId="5CCDEF01" w14:textId="7C10C92E" w:rsidR="002B605B" w:rsidRDefault="002B605B" w:rsidP="002B605B">
      <w:pPr>
        <w:spacing w:after="160" w:line="276" w:lineRule="auto"/>
        <w:contextualSpacing/>
        <w:jc w:val="both"/>
        <w:rPr>
          <w:rFonts w:ascii="Arial" w:hAnsi="Arial" w:cs="Arial"/>
          <w:sz w:val="24"/>
          <w:szCs w:val="24"/>
        </w:rPr>
      </w:pPr>
    </w:p>
    <w:p w14:paraId="45CE5240" w14:textId="33305420" w:rsidR="00562821" w:rsidRPr="002B605B" w:rsidRDefault="00DE09C3" w:rsidP="002B605B">
      <w:pPr>
        <w:spacing w:after="160" w:line="276" w:lineRule="auto"/>
        <w:contextualSpacing/>
        <w:jc w:val="both"/>
        <w:rPr>
          <w:rFonts w:ascii="Arial" w:hAnsi="Arial" w:cs="Arial"/>
          <w:sz w:val="24"/>
          <w:szCs w:val="24"/>
        </w:rPr>
      </w:pPr>
      <w:r w:rsidRPr="002B605B">
        <w:rPr>
          <w:rFonts w:ascii="Arial" w:hAnsi="Arial" w:cs="Arial"/>
          <w:sz w:val="24"/>
          <w:szCs w:val="24"/>
        </w:rPr>
        <w:t xml:space="preserve">Governments raise revenue to pay for the goods and services they are </w:t>
      </w:r>
      <w:r w:rsidR="006C6C29" w:rsidRPr="002B605B">
        <w:rPr>
          <w:rFonts w:ascii="Arial" w:hAnsi="Arial" w:cs="Arial"/>
          <w:sz w:val="24"/>
          <w:szCs w:val="24"/>
        </w:rPr>
        <w:t>mandated to</w:t>
      </w:r>
      <w:r w:rsidRPr="002B605B">
        <w:rPr>
          <w:rFonts w:ascii="Arial" w:hAnsi="Arial" w:cs="Arial"/>
          <w:sz w:val="24"/>
          <w:szCs w:val="24"/>
        </w:rPr>
        <w:t xml:space="preserve"> deliver to </w:t>
      </w:r>
      <w:r w:rsidR="006C6C29" w:rsidRPr="002B605B">
        <w:rPr>
          <w:rFonts w:ascii="Arial" w:hAnsi="Arial" w:cs="Arial"/>
          <w:sz w:val="24"/>
          <w:szCs w:val="24"/>
        </w:rPr>
        <w:t>the public</w:t>
      </w:r>
      <w:r w:rsidRPr="002B605B">
        <w:rPr>
          <w:rFonts w:ascii="Arial" w:hAnsi="Arial" w:cs="Arial"/>
          <w:sz w:val="24"/>
          <w:szCs w:val="24"/>
        </w:rPr>
        <w:t xml:space="preserve">, </w:t>
      </w:r>
      <w:r w:rsidR="006C6C29" w:rsidRPr="002B605B">
        <w:rPr>
          <w:rFonts w:ascii="Arial" w:hAnsi="Arial" w:cs="Arial"/>
          <w:sz w:val="24"/>
          <w:szCs w:val="24"/>
        </w:rPr>
        <w:t>especially</w:t>
      </w:r>
      <w:r w:rsidRPr="002B605B">
        <w:rPr>
          <w:rFonts w:ascii="Arial" w:hAnsi="Arial" w:cs="Arial"/>
          <w:sz w:val="24"/>
          <w:szCs w:val="24"/>
        </w:rPr>
        <w:t xml:space="preserve"> those that lead to a country’s growth and development. </w:t>
      </w:r>
      <w:r w:rsidR="009C2413" w:rsidRPr="002B605B">
        <w:rPr>
          <w:rFonts w:ascii="Arial" w:hAnsi="Arial" w:cs="Arial"/>
          <w:sz w:val="24"/>
          <w:szCs w:val="24"/>
        </w:rPr>
        <w:t>R</w:t>
      </w:r>
      <w:r w:rsidRPr="002B605B">
        <w:rPr>
          <w:rFonts w:ascii="Arial" w:hAnsi="Arial" w:cs="Arial"/>
          <w:sz w:val="24"/>
          <w:szCs w:val="24"/>
        </w:rPr>
        <w:t>evenue</w:t>
      </w:r>
      <w:r w:rsidR="009C2413" w:rsidRPr="002B605B">
        <w:rPr>
          <w:rFonts w:ascii="Arial" w:hAnsi="Arial" w:cs="Arial"/>
          <w:sz w:val="24"/>
          <w:szCs w:val="24"/>
        </w:rPr>
        <w:t>s</w:t>
      </w:r>
      <w:r w:rsidRPr="002B605B">
        <w:rPr>
          <w:rFonts w:ascii="Arial" w:hAnsi="Arial" w:cs="Arial"/>
          <w:sz w:val="24"/>
          <w:szCs w:val="24"/>
        </w:rPr>
        <w:t xml:space="preserve"> raised </w:t>
      </w:r>
      <w:r w:rsidR="009C2413" w:rsidRPr="002B605B">
        <w:rPr>
          <w:rFonts w:ascii="Arial" w:hAnsi="Arial" w:cs="Arial"/>
          <w:sz w:val="24"/>
          <w:szCs w:val="24"/>
        </w:rPr>
        <w:t>should be</w:t>
      </w:r>
      <w:r w:rsidRPr="002B605B">
        <w:rPr>
          <w:rFonts w:ascii="Arial" w:hAnsi="Arial" w:cs="Arial"/>
          <w:sz w:val="24"/>
          <w:szCs w:val="24"/>
        </w:rPr>
        <w:t xml:space="preserve"> spent in the most efficient and effective manner towards the achievement of desired societal </w:t>
      </w:r>
      <w:r w:rsidR="00D4035A" w:rsidRPr="002B605B">
        <w:rPr>
          <w:rFonts w:ascii="Arial" w:hAnsi="Arial" w:cs="Arial"/>
          <w:sz w:val="24"/>
          <w:szCs w:val="24"/>
        </w:rPr>
        <w:t>outputs (what is being produced/delivered)</w:t>
      </w:r>
      <w:r w:rsidR="00A26FE8" w:rsidRPr="002B605B">
        <w:rPr>
          <w:rFonts w:ascii="Arial" w:hAnsi="Arial" w:cs="Arial"/>
          <w:sz w:val="24"/>
          <w:szCs w:val="24"/>
        </w:rPr>
        <w:t>,</w:t>
      </w:r>
      <w:r w:rsidR="00D4035A" w:rsidRPr="002B605B">
        <w:rPr>
          <w:rFonts w:ascii="Arial" w:hAnsi="Arial" w:cs="Arial"/>
          <w:sz w:val="24"/>
          <w:szCs w:val="24"/>
        </w:rPr>
        <w:t xml:space="preserve"> outcomes (what one wishes to achieve by producing those outputs)</w:t>
      </w:r>
      <w:r w:rsidR="00A26FE8" w:rsidRPr="002B605B">
        <w:rPr>
          <w:rFonts w:ascii="Arial" w:hAnsi="Arial" w:cs="Arial"/>
          <w:sz w:val="24"/>
          <w:szCs w:val="24"/>
        </w:rPr>
        <w:t>, and impact goals</w:t>
      </w:r>
      <w:r w:rsidRPr="002B605B">
        <w:rPr>
          <w:rFonts w:ascii="Arial" w:hAnsi="Arial" w:cs="Arial"/>
          <w:sz w:val="24"/>
          <w:szCs w:val="24"/>
        </w:rPr>
        <w:t xml:space="preserve">. The desired </w:t>
      </w:r>
      <w:r w:rsidR="00A26FE8" w:rsidRPr="002B605B">
        <w:rPr>
          <w:rFonts w:ascii="Arial" w:hAnsi="Arial" w:cs="Arial"/>
          <w:sz w:val="24"/>
          <w:szCs w:val="24"/>
        </w:rPr>
        <w:t>goals</w:t>
      </w:r>
      <w:r w:rsidRPr="002B605B">
        <w:rPr>
          <w:rFonts w:ascii="Arial" w:hAnsi="Arial" w:cs="Arial"/>
          <w:sz w:val="24"/>
          <w:szCs w:val="24"/>
        </w:rPr>
        <w:t xml:space="preserve"> differ from country to country</w:t>
      </w:r>
      <w:r w:rsidR="00B351B8" w:rsidRPr="002B605B">
        <w:rPr>
          <w:rFonts w:ascii="Arial" w:hAnsi="Arial" w:cs="Arial"/>
          <w:sz w:val="24"/>
          <w:szCs w:val="24"/>
        </w:rPr>
        <w:t xml:space="preserve"> and over time</w:t>
      </w:r>
      <w:r w:rsidRPr="002B605B">
        <w:rPr>
          <w:rFonts w:ascii="Arial" w:hAnsi="Arial" w:cs="Arial"/>
          <w:sz w:val="24"/>
          <w:szCs w:val="24"/>
        </w:rPr>
        <w:t>, depending on country unique contexts and the public thus requires the opportunity to be able to contribute to the debate not only regarding how revenue will be raised, but equally importantly on what the revenue raised will be spent on and whether the goods and services delivered meet their needs.</w:t>
      </w:r>
      <w:r w:rsidR="00D4035A" w:rsidRPr="002B605B">
        <w:rPr>
          <w:rFonts w:ascii="Arial" w:hAnsi="Arial" w:cs="Arial"/>
          <w:sz w:val="24"/>
          <w:szCs w:val="24"/>
        </w:rPr>
        <w:t xml:space="preserve"> </w:t>
      </w:r>
      <w:r w:rsidR="00D4035A" w:rsidRPr="002B605B">
        <w:rPr>
          <w:rFonts w:ascii="Arial" w:hAnsi="Arial" w:cs="Arial"/>
          <w:sz w:val="24"/>
          <w:szCs w:val="24"/>
          <w:lang w:val="en-US"/>
        </w:rPr>
        <w:t>Fiscal transparency thus requires governments to make available detailed financial and nonfinancial (performance) information for all its inputs; activities; outputs; together with the targeted outcomes and the expected impact of a particular government program in key development areas</w:t>
      </w:r>
      <w:r w:rsidR="001B2B75" w:rsidRPr="002B605B">
        <w:rPr>
          <w:rFonts w:ascii="Arial" w:hAnsi="Arial" w:cs="Arial"/>
          <w:sz w:val="24"/>
          <w:szCs w:val="24"/>
          <w:lang w:val="en-US"/>
        </w:rPr>
        <w:t>.</w:t>
      </w:r>
    </w:p>
    <w:p w14:paraId="1BB1FA96" w14:textId="16EEC701" w:rsidR="001B2B75" w:rsidRDefault="001B2B75">
      <w:pPr>
        <w:pStyle w:val="Heading2"/>
        <w:numPr>
          <w:ilvl w:val="1"/>
          <w:numId w:val="7"/>
        </w:numPr>
        <w:rPr>
          <w:rFonts w:ascii="Arial" w:hAnsi="Arial" w:cs="Arial"/>
          <w:b/>
          <w:bCs/>
          <w:color w:val="16988A"/>
          <w:sz w:val="36"/>
          <w:szCs w:val="36"/>
        </w:rPr>
      </w:pPr>
      <w:bookmarkStart w:id="263" w:name="_Toc115369980"/>
      <w:bookmarkStart w:id="264" w:name="_Toc115729055"/>
      <w:bookmarkStart w:id="265" w:name="_Toc115877702"/>
      <w:bookmarkStart w:id="266" w:name="_Toc116056986"/>
      <w:bookmarkStart w:id="267" w:name="_Toc119794423"/>
      <w:bookmarkStart w:id="268" w:name="_Toc123204404"/>
      <w:bookmarkStart w:id="269" w:name="_Toc123216491"/>
      <w:bookmarkStart w:id="270" w:name="_Toc123217331"/>
      <w:bookmarkStart w:id="271" w:name="_Toc123913304"/>
      <w:bookmarkStart w:id="272" w:name="_Toc123913960"/>
      <w:bookmarkStart w:id="273" w:name="_Toc125495788"/>
      <w:bookmarkStart w:id="274" w:name="_Toc125566579"/>
      <w:r w:rsidRPr="00B941A2">
        <w:rPr>
          <w:rFonts w:ascii="Arial" w:hAnsi="Arial" w:cs="Arial"/>
          <w:b/>
          <w:bCs/>
          <w:color w:val="16988A"/>
          <w:sz w:val="36"/>
          <w:szCs w:val="36"/>
        </w:rPr>
        <w:t xml:space="preserve">Performance </w:t>
      </w:r>
      <w:r w:rsidR="00B941A2">
        <w:rPr>
          <w:rFonts w:ascii="Arial" w:hAnsi="Arial" w:cs="Arial"/>
          <w:b/>
          <w:bCs/>
          <w:color w:val="16988A"/>
          <w:sz w:val="36"/>
          <w:szCs w:val="36"/>
        </w:rPr>
        <w:t>a</w:t>
      </w:r>
      <w:r w:rsidR="00B941A2" w:rsidRPr="00B941A2">
        <w:rPr>
          <w:rFonts w:ascii="Arial" w:hAnsi="Arial" w:cs="Arial"/>
          <w:b/>
          <w:bCs/>
          <w:color w:val="16988A"/>
          <w:sz w:val="36"/>
          <w:szCs w:val="36"/>
        </w:rPr>
        <w:t xml:space="preserve">nd </w:t>
      </w:r>
      <w:r w:rsidR="00565ED4">
        <w:rPr>
          <w:rFonts w:ascii="Arial" w:hAnsi="Arial" w:cs="Arial"/>
          <w:b/>
          <w:bCs/>
          <w:color w:val="16988A"/>
          <w:sz w:val="36"/>
          <w:szCs w:val="36"/>
        </w:rPr>
        <w:t>a</w:t>
      </w:r>
      <w:r w:rsidR="00B941A2" w:rsidRPr="00B941A2">
        <w:rPr>
          <w:rFonts w:ascii="Arial" w:hAnsi="Arial" w:cs="Arial"/>
          <w:b/>
          <w:bCs/>
          <w:color w:val="16988A"/>
          <w:sz w:val="36"/>
          <w:szCs w:val="36"/>
        </w:rPr>
        <w:t xml:space="preserve">ccountability </w:t>
      </w:r>
      <w:r w:rsidR="00B941A2">
        <w:rPr>
          <w:rFonts w:ascii="Arial" w:hAnsi="Arial" w:cs="Arial"/>
          <w:b/>
          <w:bCs/>
          <w:color w:val="16988A"/>
          <w:sz w:val="36"/>
          <w:szCs w:val="36"/>
        </w:rPr>
        <w:t>o</w:t>
      </w:r>
      <w:r w:rsidR="00B941A2" w:rsidRPr="00B941A2">
        <w:rPr>
          <w:rFonts w:ascii="Arial" w:hAnsi="Arial" w:cs="Arial"/>
          <w:b/>
          <w:bCs/>
          <w:color w:val="16988A"/>
          <w:sz w:val="36"/>
          <w:szCs w:val="36"/>
        </w:rPr>
        <w:t xml:space="preserve">f </w:t>
      </w:r>
      <w:r w:rsidR="00565ED4">
        <w:rPr>
          <w:rFonts w:ascii="Arial" w:hAnsi="Arial" w:cs="Arial"/>
          <w:b/>
          <w:bCs/>
          <w:color w:val="16988A"/>
          <w:sz w:val="36"/>
          <w:szCs w:val="36"/>
        </w:rPr>
        <w:t>p</w:t>
      </w:r>
      <w:r w:rsidR="00B941A2" w:rsidRPr="00B941A2">
        <w:rPr>
          <w:rFonts w:ascii="Arial" w:hAnsi="Arial" w:cs="Arial"/>
          <w:b/>
          <w:bCs/>
          <w:color w:val="16988A"/>
          <w:sz w:val="36"/>
          <w:szCs w:val="36"/>
        </w:rPr>
        <w:t xml:space="preserve">ublic </w:t>
      </w:r>
      <w:r w:rsidR="00565ED4">
        <w:rPr>
          <w:rFonts w:ascii="Arial" w:hAnsi="Arial" w:cs="Arial"/>
          <w:b/>
          <w:bCs/>
          <w:color w:val="16988A"/>
          <w:sz w:val="36"/>
          <w:szCs w:val="36"/>
        </w:rPr>
        <w:t>a</w:t>
      </w:r>
      <w:r w:rsidR="00B941A2" w:rsidRPr="00B941A2">
        <w:rPr>
          <w:rFonts w:ascii="Arial" w:hAnsi="Arial" w:cs="Arial"/>
          <w:b/>
          <w:bCs/>
          <w:color w:val="16988A"/>
          <w:sz w:val="36"/>
          <w:szCs w:val="36"/>
        </w:rPr>
        <w:t>uthorities</w:t>
      </w:r>
      <w:bookmarkEnd w:id="263"/>
      <w:bookmarkEnd w:id="264"/>
      <w:bookmarkEnd w:id="265"/>
      <w:bookmarkEnd w:id="266"/>
      <w:bookmarkEnd w:id="267"/>
      <w:bookmarkEnd w:id="268"/>
      <w:bookmarkEnd w:id="269"/>
      <w:bookmarkEnd w:id="270"/>
      <w:bookmarkEnd w:id="271"/>
      <w:bookmarkEnd w:id="272"/>
      <w:bookmarkEnd w:id="273"/>
      <w:bookmarkEnd w:id="274"/>
    </w:p>
    <w:p w14:paraId="5A544402" w14:textId="2E661FD4" w:rsidR="00B941A2" w:rsidRPr="00B941A2" w:rsidRDefault="00B941A2" w:rsidP="00B941A2"/>
    <w:p w14:paraId="7C4330F7" w14:textId="738FA154" w:rsidR="00DB33C9" w:rsidRPr="00B941A2" w:rsidRDefault="00A26FE8" w:rsidP="0070745B">
      <w:pPr>
        <w:spacing w:after="160" w:line="259" w:lineRule="auto"/>
        <w:contextualSpacing/>
        <w:jc w:val="both"/>
        <w:rPr>
          <w:rFonts w:ascii="Arial" w:hAnsi="Arial" w:cs="Arial"/>
          <w:sz w:val="24"/>
          <w:szCs w:val="24"/>
          <w:lang w:val="en-US"/>
        </w:rPr>
      </w:pPr>
      <w:r w:rsidRPr="00B941A2">
        <w:rPr>
          <w:rFonts w:ascii="Arial" w:hAnsi="Arial" w:cs="Arial"/>
          <w:sz w:val="24"/>
          <w:szCs w:val="24"/>
          <w:lang w:val="en-US"/>
        </w:rPr>
        <w:t xml:space="preserve">The publication of </w:t>
      </w:r>
      <w:r w:rsidR="009B3A9D" w:rsidRPr="00B941A2">
        <w:rPr>
          <w:rFonts w:ascii="Arial" w:hAnsi="Arial" w:cs="Arial"/>
          <w:sz w:val="24"/>
          <w:szCs w:val="24"/>
          <w:lang w:val="en-US"/>
        </w:rPr>
        <w:t xml:space="preserve">financial and non-financial </w:t>
      </w:r>
      <w:r w:rsidRPr="00B941A2">
        <w:rPr>
          <w:rFonts w:ascii="Arial" w:hAnsi="Arial" w:cs="Arial"/>
          <w:sz w:val="24"/>
          <w:szCs w:val="24"/>
          <w:lang w:val="en-US"/>
        </w:rPr>
        <w:t>projections</w:t>
      </w:r>
      <w:r w:rsidR="009B3A9D" w:rsidRPr="00B941A2">
        <w:rPr>
          <w:rFonts w:ascii="Arial" w:hAnsi="Arial" w:cs="Arial"/>
          <w:sz w:val="24"/>
          <w:szCs w:val="24"/>
          <w:lang w:val="en-US"/>
        </w:rPr>
        <w:t xml:space="preserve"> </w:t>
      </w:r>
      <w:r w:rsidRPr="00B941A2">
        <w:rPr>
          <w:rFonts w:ascii="Arial" w:hAnsi="Arial" w:cs="Arial"/>
          <w:sz w:val="24"/>
          <w:szCs w:val="24"/>
          <w:lang w:val="en-US"/>
        </w:rPr>
        <w:t>form</w:t>
      </w:r>
      <w:r w:rsidR="009535CC" w:rsidRPr="00B941A2">
        <w:rPr>
          <w:rFonts w:ascii="Arial" w:hAnsi="Arial" w:cs="Arial"/>
          <w:sz w:val="24"/>
          <w:szCs w:val="24"/>
          <w:lang w:val="en-US"/>
        </w:rPr>
        <w:t>s</w:t>
      </w:r>
      <w:r w:rsidRPr="00B941A2">
        <w:rPr>
          <w:rFonts w:ascii="Arial" w:hAnsi="Arial" w:cs="Arial"/>
          <w:sz w:val="24"/>
          <w:szCs w:val="24"/>
          <w:lang w:val="en-US"/>
        </w:rPr>
        <w:t xml:space="preserve"> the basis for the public being able to </w:t>
      </w:r>
      <w:r w:rsidR="009535CC" w:rsidRPr="00B941A2">
        <w:rPr>
          <w:rFonts w:ascii="Arial" w:hAnsi="Arial" w:cs="Arial"/>
          <w:sz w:val="24"/>
          <w:szCs w:val="24"/>
          <w:lang w:val="en-US"/>
        </w:rPr>
        <w:t xml:space="preserve">participate in budgetary processes and then to </w:t>
      </w:r>
      <w:r w:rsidRPr="00B941A2">
        <w:rPr>
          <w:rFonts w:ascii="Arial" w:hAnsi="Arial" w:cs="Arial"/>
          <w:sz w:val="24"/>
          <w:szCs w:val="24"/>
          <w:lang w:val="en-US"/>
        </w:rPr>
        <w:t>hold the government accountable for its actions, by</w:t>
      </w:r>
      <w:r w:rsidR="00DB33C9" w:rsidRPr="00B941A2">
        <w:rPr>
          <w:rFonts w:ascii="Arial" w:hAnsi="Arial" w:cs="Arial"/>
          <w:sz w:val="24"/>
          <w:szCs w:val="24"/>
          <w:lang w:val="en-US"/>
        </w:rPr>
        <w:t xml:space="preserve"> enabling them to </w:t>
      </w:r>
      <w:r w:rsidRPr="00B941A2">
        <w:rPr>
          <w:rFonts w:ascii="Arial" w:hAnsi="Arial" w:cs="Arial"/>
          <w:sz w:val="24"/>
          <w:szCs w:val="24"/>
          <w:lang w:val="en-US"/>
        </w:rPr>
        <w:t xml:space="preserve">have an understanding and to form expectations regarding how resources are to be raised and spent; what specific outcomes are expected to emanate from public expenditure; as well as how these outcomes are expected </w:t>
      </w:r>
      <w:r w:rsidR="00FB7443" w:rsidRPr="00B941A2">
        <w:rPr>
          <w:rFonts w:ascii="Arial" w:hAnsi="Arial" w:cs="Arial"/>
          <w:sz w:val="24"/>
          <w:szCs w:val="24"/>
          <w:lang w:val="en-US"/>
        </w:rPr>
        <w:t xml:space="preserve">to </w:t>
      </w:r>
      <w:r w:rsidRPr="00B941A2">
        <w:rPr>
          <w:rFonts w:ascii="Arial" w:hAnsi="Arial" w:cs="Arial"/>
          <w:sz w:val="24"/>
          <w:szCs w:val="24"/>
          <w:lang w:val="en-US"/>
        </w:rPr>
        <w:t xml:space="preserve">have societal impact. </w:t>
      </w:r>
    </w:p>
    <w:p w14:paraId="4F0E2EAA" w14:textId="7A754E36" w:rsidR="009535CC" w:rsidRPr="00B941A2" w:rsidRDefault="00C20BA1" w:rsidP="0070745B">
      <w:pPr>
        <w:spacing w:after="160" w:line="259"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1800576" behindDoc="1" locked="0" layoutInCell="1" allowOverlap="1" wp14:anchorId="167B70E2" wp14:editId="5868ED70">
            <wp:simplePos x="0" y="0"/>
            <wp:positionH relativeFrom="column">
              <wp:posOffset>-75565</wp:posOffset>
            </wp:positionH>
            <wp:positionV relativeFrom="paragraph">
              <wp:posOffset>175147</wp:posOffset>
            </wp:positionV>
            <wp:extent cx="2556510" cy="254508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2556510" cy="2545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DA827" w14:textId="5888CB19" w:rsidR="0070745B" w:rsidRPr="00B941A2" w:rsidRDefault="0070745B" w:rsidP="00F60921">
      <w:pPr>
        <w:spacing w:after="160" w:line="276" w:lineRule="auto"/>
        <w:contextualSpacing/>
        <w:jc w:val="both"/>
        <w:rPr>
          <w:rFonts w:ascii="Arial" w:hAnsi="Arial" w:cs="Arial"/>
          <w:sz w:val="24"/>
          <w:szCs w:val="24"/>
          <w:lang w:val="en-ZA"/>
        </w:rPr>
      </w:pPr>
      <w:r w:rsidRPr="00B941A2">
        <w:rPr>
          <w:rFonts w:ascii="Arial" w:hAnsi="Arial" w:cs="Arial"/>
          <w:sz w:val="24"/>
          <w:szCs w:val="24"/>
          <w:lang w:val="en-US"/>
        </w:rPr>
        <w:t xml:space="preserve">Fiscal transparency is </w:t>
      </w:r>
      <w:r w:rsidR="00DB33C9" w:rsidRPr="00B941A2">
        <w:rPr>
          <w:rFonts w:ascii="Arial" w:hAnsi="Arial" w:cs="Arial"/>
          <w:sz w:val="24"/>
          <w:szCs w:val="24"/>
          <w:lang w:val="en-US"/>
        </w:rPr>
        <w:t xml:space="preserve">then </w:t>
      </w:r>
      <w:r w:rsidRPr="00B941A2">
        <w:rPr>
          <w:rFonts w:ascii="Arial" w:hAnsi="Arial" w:cs="Arial"/>
          <w:sz w:val="24"/>
          <w:szCs w:val="24"/>
          <w:lang w:val="en-US"/>
        </w:rPr>
        <w:t xml:space="preserve">required for the public to </w:t>
      </w:r>
      <w:r w:rsidR="00DB33C9" w:rsidRPr="00B941A2">
        <w:rPr>
          <w:rFonts w:ascii="Arial" w:hAnsi="Arial" w:cs="Arial"/>
          <w:sz w:val="24"/>
          <w:szCs w:val="24"/>
          <w:lang w:val="en-US"/>
        </w:rPr>
        <w:t>be able</w:t>
      </w:r>
      <w:r w:rsidRPr="00B941A2">
        <w:rPr>
          <w:rFonts w:ascii="Arial" w:hAnsi="Arial" w:cs="Arial"/>
          <w:sz w:val="24"/>
          <w:szCs w:val="24"/>
          <w:lang w:val="en-US"/>
        </w:rPr>
        <w:t xml:space="preserve"> to judge the government’s </w:t>
      </w:r>
      <w:r w:rsidR="0090446A" w:rsidRPr="00B941A2">
        <w:rPr>
          <w:rFonts w:ascii="Arial" w:hAnsi="Arial" w:cs="Arial"/>
          <w:sz w:val="24"/>
          <w:szCs w:val="24"/>
          <w:lang w:val="en-US"/>
        </w:rPr>
        <w:t xml:space="preserve">actual </w:t>
      </w:r>
      <w:r w:rsidRPr="00B941A2">
        <w:rPr>
          <w:rFonts w:ascii="Arial" w:hAnsi="Arial" w:cs="Arial"/>
          <w:sz w:val="24"/>
          <w:szCs w:val="24"/>
          <w:lang w:val="en-US"/>
        </w:rPr>
        <w:t xml:space="preserve">performance. </w:t>
      </w:r>
      <w:r w:rsidRPr="00B941A2">
        <w:rPr>
          <w:rFonts w:ascii="Arial" w:hAnsi="Arial" w:cs="Arial"/>
          <w:sz w:val="24"/>
          <w:szCs w:val="24"/>
          <w:lang w:val="en-ZA"/>
        </w:rPr>
        <w:t>Once the budget</w:t>
      </w:r>
      <w:r w:rsidR="00DB33C9" w:rsidRPr="00B941A2">
        <w:rPr>
          <w:rFonts w:ascii="Arial" w:hAnsi="Arial" w:cs="Arial"/>
          <w:sz w:val="24"/>
          <w:szCs w:val="24"/>
          <w:lang w:val="en-ZA"/>
        </w:rPr>
        <w:t>, and fiscal policy more widely,</w:t>
      </w:r>
      <w:r w:rsidRPr="00B941A2">
        <w:rPr>
          <w:rFonts w:ascii="Arial" w:hAnsi="Arial" w:cs="Arial"/>
          <w:sz w:val="24"/>
          <w:szCs w:val="24"/>
          <w:lang w:val="en-ZA"/>
        </w:rPr>
        <w:t xml:space="preserve"> is implemented, </w:t>
      </w:r>
      <w:r w:rsidRPr="00B941A2">
        <w:rPr>
          <w:rFonts w:ascii="Arial" w:hAnsi="Arial" w:cs="Arial"/>
          <w:sz w:val="24"/>
          <w:szCs w:val="24"/>
          <w:lang w:val="en-US"/>
        </w:rPr>
        <w:t xml:space="preserve">actual comparative financial and non-financial (performance) </w:t>
      </w:r>
      <w:r w:rsidRPr="00B941A2">
        <w:rPr>
          <w:rFonts w:ascii="Arial" w:hAnsi="Arial" w:cs="Arial"/>
          <w:sz w:val="24"/>
          <w:szCs w:val="24"/>
          <w:lang w:val="en-ZA"/>
        </w:rPr>
        <w:t xml:space="preserve">information </w:t>
      </w:r>
      <w:r w:rsidR="009B3A9D" w:rsidRPr="00B941A2">
        <w:rPr>
          <w:rFonts w:ascii="Arial" w:hAnsi="Arial" w:cs="Arial"/>
          <w:sz w:val="24"/>
          <w:szCs w:val="24"/>
          <w:lang w:val="en-ZA"/>
        </w:rPr>
        <w:t xml:space="preserve">should be published </w:t>
      </w:r>
      <w:r w:rsidRPr="00B941A2">
        <w:rPr>
          <w:rFonts w:ascii="Arial" w:hAnsi="Arial" w:cs="Arial"/>
          <w:sz w:val="24"/>
          <w:szCs w:val="24"/>
          <w:lang w:val="en-ZA"/>
        </w:rPr>
        <w:t xml:space="preserve">on what has actually transpired thereby allowing comparisons of actuals to </w:t>
      </w:r>
      <w:r w:rsidR="00DB33C9" w:rsidRPr="00B941A2">
        <w:rPr>
          <w:rFonts w:ascii="Arial" w:hAnsi="Arial" w:cs="Arial"/>
          <w:sz w:val="24"/>
          <w:szCs w:val="24"/>
        </w:rPr>
        <w:t xml:space="preserve">targets, </w:t>
      </w:r>
      <w:r w:rsidR="009B3A9D" w:rsidRPr="00B941A2">
        <w:rPr>
          <w:rFonts w:ascii="Arial" w:hAnsi="Arial" w:cs="Arial"/>
          <w:sz w:val="24"/>
          <w:szCs w:val="24"/>
        </w:rPr>
        <w:t>enabling</w:t>
      </w:r>
      <w:r w:rsidR="00DB33C9" w:rsidRPr="00B941A2">
        <w:rPr>
          <w:rFonts w:ascii="Arial" w:hAnsi="Arial" w:cs="Arial"/>
          <w:sz w:val="24"/>
          <w:szCs w:val="24"/>
        </w:rPr>
        <w:t xml:space="preserve"> one to follow the money and assess whether the government achieved what it set out to achieve</w:t>
      </w:r>
      <w:r w:rsidR="00DB33C9" w:rsidRPr="00B941A2">
        <w:rPr>
          <w:rFonts w:ascii="Arial" w:hAnsi="Arial" w:cs="Arial"/>
          <w:sz w:val="24"/>
          <w:szCs w:val="24"/>
          <w:lang w:val="en-ZA"/>
        </w:rPr>
        <w:t xml:space="preserve">. </w:t>
      </w:r>
      <w:r w:rsidR="009B3A9D" w:rsidRPr="00B941A2">
        <w:rPr>
          <w:rFonts w:ascii="Arial" w:hAnsi="Arial" w:cs="Arial"/>
          <w:sz w:val="24"/>
          <w:szCs w:val="24"/>
          <w:lang w:val="en-ZA"/>
        </w:rPr>
        <w:t>Importantly, t</w:t>
      </w:r>
      <w:r w:rsidR="00DB33C9" w:rsidRPr="00B941A2">
        <w:rPr>
          <w:rFonts w:ascii="Arial" w:hAnsi="Arial" w:cs="Arial"/>
          <w:sz w:val="24"/>
          <w:szCs w:val="24"/>
          <w:lang w:val="en-ZA"/>
        </w:rPr>
        <w:t>he production of this information</w:t>
      </w:r>
      <w:r w:rsidR="009B3A9D" w:rsidRPr="00B941A2">
        <w:rPr>
          <w:rFonts w:ascii="Arial" w:hAnsi="Arial" w:cs="Arial"/>
          <w:sz w:val="24"/>
          <w:szCs w:val="24"/>
          <w:lang w:val="en-ZA"/>
        </w:rPr>
        <w:t>,</w:t>
      </w:r>
      <w:r w:rsidR="00DB33C9" w:rsidRPr="00B941A2">
        <w:rPr>
          <w:rFonts w:ascii="Arial" w:hAnsi="Arial" w:cs="Arial"/>
          <w:sz w:val="24"/>
          <w:szCs w:val="24"/>
          <w:lang w:val="en-ZA"/>
        </w:rPr>
        <w:t xml:space="preserve"> </w:t>
      </w:r>
      <w:r w:rsidR="00DB33C9" w:rsidRPr="00B941A2">
        <w:rPr>
          <w:rFonts w:ascii="Arial" w:hAnsi="Arial" w:cs="Arial"/>
          <w:sz w:val="24"/>
          <w:szCs w:val="24"/>
          <w:lang w:val="en-US"/>
        </w:rPr>
        <w:t xml:space="preserve">also enables government officials to do a self-assessment of government’s performance. For example, </w:t>
      </w:r>
      <w:r w:rsidR="0090446A" w:rsidRPr="00B941A2">
        <w:rPr>
          <w:rFonts w:ascii="Arial" w:hAnsi="Arial" w:cs="Arial"/>
          <w:sz w:val="24"/>
          <w:szCs w:val="24"/>
          <w:lang w:val="en-US"/>
        </w:rPr>
        <w:t xml:space="preserve">if </w:t>
      </w:r>
      <w:r w:rsidR="00DB33C9" w:rsidRPr="00B941A2">
        <w:rPr>
          <w:rFonts w:ascii="Arial" w:hAnsi="Arial" w:cs="Arial"/>
          <w:sz w:val="24"/>
          <w:szCs w:val="24"/>
          <w:lang w:val="en-US"/>
        </w:rPr>
        <w:t>a government allocate</w:t>
      </w:r>
      <w:r w:rsidR="0090446A" w:rsidRPr="00B941A2">
        <w:rPr>
          <w:rFonts w:ascii="Arial" w:hAnsi="Arial" w:cs="Arial"/>
          <w:sz w:val="24"/>
          <w:szCs w:val="24"/>
          <w:lang w:val="en-US"/>
        </w:rPr>
        <w:t>s</w:t>
      </w:r>
      <w:r w:rsidR="00DB33C9" w:rsidRPr="00B941A2">
        <w:rPr>
          <w:rFonts w:ascii="Arial" w:hAnsi="Arial" w:cs="Arial"/>
          <w:sz w:val="24"/>
          <w:szCs w:val="24"/>
          <w:lang w:val="en-US"/>
        </w:rPr>
        <w:t xml:space="preserve"> money </w:t>
      </w:r>
      <w:r w:rsidR="009B3A9D" w:rsidRPr="00B941A2">
        <w:rPr>
          <w:rFonts w:ascii="Arial" w:hAnsi="Arial" w:cs="Arial"/>
          <w:sz w:val="24"/>
          <w:szCs w:val="24"/>
          <w:lang w:val="en-US"/>
        </w:rPr>
        <w:t xml:space="preserve">in its budget </w:t>
      </w:r>
      <w:r w:rsidR="00DB33C9" w:rsidRPr="00B941A2">
        <w:rPr>
          <w:rFonts w:ascii="Arial" w:hAnsi="Arial" w:cs="Arial"/>
          <w:sz w:val="24"/>
          <w:szCs w:val="24"/>
          <w:lang w:val="en-US"/>
        </w:rPr>
        <w:t>to build one hundred colleges, aiming at upskilling a group of people in order to reduce unemployment and ultimately contribute to economic growth</w:t>
      </w:r>
      <w:r w:rsidR="00BB5B8D" w:rsidRPr="00B941A2">
        <w:rPr>
          <w:rFonts w:ascii="Arial" w:hAnsi="Arial" w:cs="Arial"/>
          <w:sz w:val="24"/>
          <w:szCs w:val="24"/>
          <w:lang w:val="en-US"/>
        </w:rPr>
        <w:t>, o</w:t>
      </w:r>
      <w:r w:rsidR="009B3A9D" w:rsidRPr="00B941A2">
        <w:rPr>
          <w:rFonts w:ascii="Arial" w:hAnsi="Arial" w:cs="Arial"/>
          <w:sz w:val="24"/>
          <w:szCs w:val="24"/>
          <w:lang w:val="en-US"/>
        </w:rPr>
        <w:t xml:space="preserve">nce budget implementation begins, information is required to firstly see whether the government raised the revenue to cover the budget allocation and then to see if colleges </w:t>
      </w:r>
      <w:r w:rsidR="0090446A" w:rsidRPr="00B941A2">
        <w:rPr>
          <w:rFonts w:ascii="Arial" w:hAnsi="Arial" w:cs="Arial"/>
          <w:sz w:val="24"/>
          <w:szCs w:val="24"/>
          <w:lang w:val="en-US"/>
        </w:rPr>
        <w:t>were</w:t>
      </w:r>
      <w:r w:rsidR="009B3A9D" w:rsidRPr="00B941A2">
        <w:rPr>
          <w:rFonts w:ascii="Arial" w:hAnsi="Arial" w:cs="Arial"/>
          <w:sz w:val="24"/>
          <w:szCs w:val="24"/>
          <w:lang w:val="en-US"/>
        </w:rPr>
        <w:t xml:space="preserve"> actually </w:t>
      </w:r>
      <w:r w:rsidR="00755962">
        <w:rPr>
          <w:rFonts w:ascii="Arial" w:hAnsi="Arial" w:cs="Arial"/>
          <w:sz w:val="24"/>
          <w:szCs w:val="24"/>
          <w:lang w:val="en-US"/>
        </w:rPr>
        <w:t>built</w:t>
      </w:r>
      <w:r w:rsidR="009B3A9D" w:rsidRPr="00B941A2">
        <w:rPr>
          <w:rFonts w:ascii="Arial" w:hAnsi="Arial" w:cs="Arial"/>
          <w:sz w:val="24"/>
          <w:szCs w:val="24"/>
          <w:lang w:val="en-US"/>
        </w:rPr>
        <w:t xml:space="preserve"> within the budget and time limit set. Later,</w:t>
      </w:r>
      <w:r w:rsidR="00BB5B8D" w:rsidRPr="00B941A2">
        <w:rPr>
          <w:rFonts w:ascii="Arial" w:hAnsi="Arial" w:cs="Arial"/>
          <w:sz w:val="24"/>
          <w:szCs w:val="24"/>
          <w:lang w:val="en-US"/>
        </w:rPr>
        <w:t xml:space="preserve"> </w:t>
      </w:r>
      <w:r w:rsidR="00BB5B8D" w:rsidRPr="00B941A2">
        <w:rPr>
          <w:rFonts w:ascii="Arial" w:hAnsi="Arial" w:cs="Arial"/>
          <w:sz w:val="24"/>
          <w:szCs w:val="24"/>
          <w:lang w:val="en-US"/>
        </w:rPr>
        <w:lastRenderedPageBreak/>
        <w:t>additional</w:t>
      </w:r>
      <w:r w:rsidR="009B3A9D" w:rsidRPr="00B941A2">
        <w:rPr>
          <w:rFonts w:ascii="Arial" w:hAnsi="Arial" w:cs="Arial"/>
          <w:sz w:val="24"/>
          <w:szCs w:val="24"/>
          <w:lang w:val="en-US"/>
        </w:rPr>
        <w:t xml:space="preserve"> information will also be required to see whether the building of colleges actually contributed to enhanced skills levels and consequently to economic growth. Fiscal transparency empowers the public to ask key questions and </w:t>
      </w:r>
      <w:r w:rsidR="009535CC" w:rsidRPr="00B941A2">
        <w:rPr>
          <w:rFonts w:ascii="Arial" w:hAnsi="Arial" w:cs="Arial"/>
          <w:sz w:val="24"/>
          <w:szCs w:val="24"/>
          <w:lang w:val="en-US"/>
        </w:rPr>
        <w:t>assists them in determining</w:t>
      </w:r>
      <w:r w:rsidR="009B3A9D" w:rsidRPr="00B941A2">
        <w:rPr>
          <w:rFonts w:ascii="Arial" w:hAnsi="Arial" w:cs="Arial"/>
          <w:sz w:val="24"/>
          <w:szCs w:val="24"/>
          <w:lang w:val="en-US"/>
        </w:rPr>
        <w:t xml:space="preserve"> whether the executive has fulfilled its commitments. </w:t>
      </w:r>
    </w:p>
    <w:p w14:paraId="42B2C205" w14:textId="5A685E31" w:rsidR="00DB33C9" w:rsidRPr="00B941A2" w:rsidRDefault="00DB33C9" w:rsidP="00F60921">
      <w:pPr>
        <w:spacing w:after="160" w:line="276" w:lineRule="auto"/>
        <w:contextualSpacing/>
        <w:jc w:val="both"/>
        <w:rPr>
          <w:rFonts w:ascii="Arial" w:hAnsi="Arial" w:cs="Arial"/>
          <w:sz w:val="24"/>
          <w:szCs w:val="24"/>
          <w:lang w:val="en-ZA"/>
        </w:rPr>
      </w:pPr>
    </w:p>
    <w:p w14:paraId="21F91857" w14:textId="77C29ABB" w:rsidR="0020176D" w:rsidRDefault="00191BF8" w:rsidP="00F60921">
      <w:pPr>
        <w:spacing w:after="160" w:line="276" w:lineRule="auto"/>
        <w:contextualSpacing/>
        <w:jc w:val="both"/>
        <w:rPr>
          <w:rFonts w:ascii="Arial" w:hAnsi="Arial" w:cs="Arial"/>
          <w:sz w:val="24"/>
          <w:szCs w:val="24"/>
          <w:lang w:val="en-US"/>
        </w:rPr>
      </w:pPr>
      <w:r w:rsidRPr="00ED34F0">
        <w:rPr>
          <w:rFonts w:ascii="Arial" w:hAnsi="Arial" w:cs="Arial"/>
          <w:sz w:val="24"/>
          <w:szCs w:val="24"/>
          <w:lang w:val="en-US"/>
        </w:rPr>
        <w:t xml:space="preserve">Fiscal transparency is </w:t>
      </w:r>
      <w:r w:rsidR="004D77B2" w:rsidRPr="00ED34F0">
        <w:rPr>
          <w:rFonts w:ascii="Arial" w:hAnsi="Arial" w:cs="Arial"/>
          <w:sz w:val="24"/>
          <w:szCs w:val="24"/>
          <w:lang w:val="en-US"/>
        </w:rPr>
        <w:t xml:space="preserve">also a </w:t>
      </w:r>
      <w:r w:rsidRPr="00ED34F0">
        <w:rPr>
          <w:rFonts w:ascii="Arial" w:hAnsi="Arial" w:cs="Arial"/>
          <w:sz w:val="24"/>
          <w:szCs w:val="24"/>
          <w:lang w:val="en-US"/>
        </w:rPr>
        <w:t xml:space="preserve">precondition for key oversight institutions </w:t>
      </w:r>
      <w:r w:rsidR="00BB5B8D" w:rsidRPr="00ED34F0">
        <w:rPr>
          <w:rFonts w:ascii="Arial" w:hAnsi="Arial" w:cs="Arial"/>
          <w:sz w:val="24"/>
          <w:szCs w:val="24"/>
          <w:lang w:val="en-US"/>
        </w:rPr>
        <w:t>including the legislature and the</w:t>
      </w:r>
      <w:r w:rsidR="009535CC" w:rsidRPr="00ED34F0">
        <w:rPr>
          <w:rFonts w:ascii="Arial" w:hAnsi="Arial" w:cs="Arial"/>
          <w:sz w:val="24"/>
          <w:szCs w:val="24"/>
          <w:lang w:val="en-US"/>
        </w:rPr>
        <w:t xml:space="preserve"> supreme audit institution </w:t>
      </w:r>
      <w:r w:rsidRPr="00ED34F0">
        <w:rPr>
          <w:rFonts w:ascii="Arial" w:hAnsi="Arial" w:cs="Arial"/>
          <w:sz w:val="24"/>
          <w:szCs w:val="24"/>
          <w:lang w:val="en-US"/>
        </w:rPr>
        <w:t xml:space="preserve">to </w:t>
      </w:r>
      <w:r w:rsidR="009535CC" w:rsidRPr="00ED34F0">
        <w:rPr>
          <w:rFonts w:ascii="Arial" w:hAnsi="Arial" w:cs="Arial"/>
          <w:sz w:val="24"/>
          <w:szCs w:val="24"/>
          <w:lang w:val="en-US"/>
        </w:rPr>
        <w:t>fulfil their main function of overseeing the executive’s performance</w:t>
      </w:r>
      <w:r w:rsidR="009535CC" w:rsidRPr="0020176D">
        <w:rPr>
          <w:rFonts w:ascii="Arial" w:hAnsi="Arial" w:cs="Arial"/>
          <w:b/>
          <w:bCs/>
          <w:i/>
          <w:iCs/>
          <w:color w:val="16988A"/>
          <w:sz w:val="24"/>
          <w:szCs w:val="24"/>
          <w:lang w:val="en-US"/>
        </w:rPr>
        <w:t>.</w:t>
      </w:r>
    </w:p>
    <w:p w14:paraId="7379659B" w14:textId="098F554C" w:rsidR="00C459A4" w:rsidRPr="00ED34F0" w:rsidRDefault="009535CC" w:rsidP="00ED34F0">
      <w:pPr>
        <w:spacing w:after="160" w:line="276" w:lineRule="auto"/>
        <w:contextualSpacing/>
        <w:jc w:val="both"/>
        <w:rPr>
          <w:rFonts w:ascii="Arial" w:hAnsi="Arial" w:cs="Arial"/>
          <w:sz w:val="24"/>
          <w:szCs w:val="24"/>
          <w:lang w:val="en-US"/>
        </w:rPr>
      </w:pPr>
      <w:r w:rsidRPr="00B941A2">
        <w:rPr>
          <w:rFonts w:ascii="Arial" w:hAnsi="Arial" w:cs="Arial"/>
          <w:sz w:val="24"/>
          <w:szCs w:val="24"/>
          <w:lang w:val="en-US"/>
        </w:rPr>
        <w:t>For instance, supreme audit institutions</w:t>
      </w:r>
      <w:r w:rsidR="00BB5B8D" w:rsidRPr="00B941A2">
        <w:rPr>
          <w:rFonts w:ascii="Arial" w:hAnsi="Arial" w:cs="Arial"/>
          <w:sz w:val="24"/>
          <w:szCs w:val="24"/>
          <w:lang w:val="en-US"/>
        </w:rPr>
        <w:t xml:space="preserve"> (SAIs)</w:t>
      </w:r>
      <w:r w:rsidRPr="00B941A2">
        <w:rPr>
          <w:rFonts w:ascii="Arial" w:hAnsi="Arial" w:cs="Arial"/>
          <w:sz w:val="24"/>
          <w:szCs w:val="24"/>
          <w:lang w:val="en-US"/>
        </w:rPr>
        <w:t xml:space="preserve"> require </w:t>
      </w:r>
      <w:r w:rsidR="00C92B42" w:rsidRPr="00B941A2">
        <w:rPr>
          <w:rFonts w:ascii="Arial" w:hAnsi="Arial" w:cs="Arial"/>
          <w:sz w:val="24"/>
          <w:szCs w:val="24"/>
          <w:lang w:val="en-US"/>
        </w:rPr>
        <w:t xml:space="preserve">the executive to provide them with </w:t>
      </w:r>
      <w:r w:rsidR="00191BF8" w:rsidRPr="00B941A2">
        <w:rPr>
          <w:rFonts w:ascii="Arial" w:hAnsi="Arial" w:cs="Arial"/>
          <w:sz w:val="24"/>
          <w:szCs w:val="24"/>
          <w:lang w:val="en-US"/>
        </w:rPr>
        <w:t xml:space="preserve">detailed and consolidated data </w:t>
      </w:r>
      <w:r w:rsidR="00C92B42" w:rsidRPr="00B941A2">
        <w:rPr>
          <w:rFonts w:ascii="Arial" w:hAnsi="Arial" w:cs="Arial"/>
          <w:sz w:val="24"/>
          <w:szCs w:val="24"/>
          <w:lang w:val="en-US"/>
        </w:rPr>
        <w:t xml:space="preserve">such that they can </w:t>
      </w:r>
      <w:r w:rsidR="00191BF8" w:rsidRPr="00B941A2">
        <w:rPr>
          <w:rFonts w:ascii="Arial" w:hAnsi="Arial" w:cs="Arial"/>
          <w:sz w:val="24"/>
          <w:szCs w:val="24"/>
          <w:lang w:val="en-US"/>
        </w:rPr>
        <w:t>conduct audits using internationally-recognized auditing standards</w:t>
      </w:r>
      <w:r w:rsidR="00C92B42" w:rsidRPr="00B941A2">
        <w:rPr>
          <w:rFonts w:ascii="Arial" w:hAnsi="Arial" w:cs="Arial"/>
          <w:sz w:val="24"/>
          <w:szCs w:val="24"/>
          <w:lang w:val="en-US"/>
        </w:rPr>
        <w:t xml:space="preserve">, </w:t>
      </w:r>
      <w:r w:rsidR="00191BF8" w:rsidRPr="00B941A2">
        <w:rPr>
          <w:rFonts w:ascii="Arial" w:hAnsi="Arial" w:cs="Arial"/>
          <w:sz w:val="24"/>
          <w:szCs w:val="24"/>
          <w:lang w:val="en-US"/>
        </w:rPr>
        <w:t>fundamental to financial accountability</w:t>
      </w:r>
      <w:r w:rsidR="00FB7443" w:rsidRPr="00B941A2">
        <w:rPr>
          <w:rFonts w:ascii="Arial" w:hAnsi="Arial" w:cs="Arial"/>
          <w:sz w:val="24"/>
          <w:szCs w:val="24"/>
          <w:lang w:val="en-US"/>
        </w:rPr>
        <w:t>.</w:t>
      </w:r>
      <w:r w:rsidR="00BB5B8D" w:rsidRPr="00B941A2">
        <w:rPr>
          <w:rFonts w:ascii="Arial" w:hAnsi="Arial" w:cs="Arial"/>
          <w:sz w:val="24"/>
          <w:szCs w:val="24"/>
          <w:lang w:val="en-US"/>
        </w:rPr>
        <w:t xml:space="preserve"> T</w:t>
      </w:r>
      <w:r w:rsidR="00191BF8" w:rsidRPr="00B941A2">
        <w:rPr>
          <w:rFonts w:ascii="Arial" w:hAnsi="Arial" w:cs="Arial"/>
          <w:sz w:val="24"/>
          <w:szCs w:val="24"/>
          <w:lang w:val="en-US"/>
        </w:rPr>
        <w:t>he legislature is</w:t>
      </w:r>
      <w:r w:rsidR="00BB5B8D" w:rsidRPr="00B941A2">
        <w:rPr>
          <w:rFonts w:ascii="Arial" w:hAnsi="Arial" w:cs="Arial"/>
          <w:sz w:val="24"/>
          <w:szCs w:val="24"/>
          <w:lang w:val="en-US"/>
        </w:rPr>
        <w:t>,</w:t>
      </w:r>
      <w:r w:rsidR="00191BF8" w:rsidRPr="00B941A2">
        <w:rPr>
          <w:rFonts w:ascii="Arial" w:hAnsi="Arial" w:cs="Arial"/>
          <w:sz w:val="24"/>
          <w:szCs w:val="24"/>
          <w:lang w:val="en-US"/>
        </w:rPr>
        <w:t xml:space="preserve"> </w:t>
      </w:r>
      <w:r w:rsidR="00BB5B8D" w:rsidRPr="00B941A2">
        <w:rPr>
          <w:rFonts w:ascii="Arial" w:hAnsi="Arial" w:cs="Arial"/>
          <w:sz w:val="24"/>
          <w:szCs w:val="24"/>
          <w:lang w:val="en-US"/>
        </w:rPr>
        <w:t xml:space="preserve">in turn, </w:t>
      </w:r>
      <w:r w:rsidR="00191BF8" w:rsidRPr="00B941A2">
        <w:rPr>
          <w:rFonts w:ascii="Arial" w:hAnsi="Arial" w:cs="Arial"/>
          <w:sz w:val="24"/>
          <w:szCs w:val="24"/>
          <w:lang w:val="en-US"/>
        </w:rPr>
        <w:t xml:space="preserve">the key institution vested with the authority to </w:t>
      </w:r>
      <w:r w:rsidR="004B6D28" w:rsidRPr="00B941A2">
        <w:rPr>
          <w:rFonts w:ascii="Arial" w:hAnsi="Arial" w:cs="Arial"/>
          <w:sz w:val="24"/>
          <w:szCs w:val="24"/>
          <w:lang w:val="en-US"/>
        </w:rPr>
        <w:t xml:space="preserve">approve budgets and to </w:t>
      </w:r>
      <w:r w:rsidR="00191BF8" w:rsidRPr="00B941A2">
        <w:rPr>
          <w:rFonts w:ascii="Arial" w:hAnsi="Arial" w:cs="Arial"/>
          <w:sz w:val="24"/>
          <w:szCs w:val="24"/>
          <w:lang w:val="en-US"/>
        </w:rPr>
        <w:t>hold the executive to account for its stewardship of public resources</w:t>
      </w:r>
      <w:r w:rsidR="00C92B42" w:rsidRPr="00B941A2">
        <w:rPr>
          <w:rFonts w:ascii="Arial" w:hAnsi="Arial" w:cs="Arial"/>
          <w:sz w:val="24"/>
          <w:szCs w:val="24"/>
          <w:lang w:val="en-US"/>
        </w:rPr>
        <w:t>, requiring significant information to perform this function</w:t>
      </w:r>
      <w:r w:rsidR="00191BF8" w:rsidRPr="00B941A2">
        <w:rPr>
          <w:rFonts w:ascii="Arial" w:hAnsi="Arial" w:cs="Arial"/>
          <w:sz w:val="24"/>
          <w:szCs w:val="24"/>
          <w:lang w:val="en-US"/>
        </w:rPr>
        <w:t>.</w:t>
      </w:r>
      <w:r w:rsidR="00C92B42" w:rsidRPr="00B941A2">
        <w:rPr>
          <w:rFonts w:ascii="Arial" w:hAnsi="Arial" w:cs="Arial"/>
          <w:sz w:val="24"/>
          <w:szCs w:val="24"/>
          <w:lang w:val="en-US"/>
        </w:rPr>
        <w:t xml:space="preserve"> </w:t>
      </w:r>
      <w:r w:rsidR="00DE09C3" w:rsidRPr="00B941A2">
        <w:rPr>
          <w:rFonts w:ascii="Arial" w:hAnsi="Arial" w:cs="Arial"/>
          <w:sz w:val="24"/>
          <w:szCs w:val="24"/>
          <w:lang w:val="en-US"/>
        </w:rPr>
        <w:t>A lack of fiscal transparency can undermine accountability as it provides opportunities for the misappropriation of public funds, including through corrupt activities.</w:t>
      </w:r>
      <w:r w:rsidR="00C92B42" w:rsidRPr="00B941A2">
        <w:rPr>
          <w:rFonts w:ascii="Arial" w:hAnsi="Arial" w:cs="Arial"/>
          <w:sz w:val="24"/>
          <w:szCs w:val="24"/>
          <w:lang w:val="en-US"/>
        </w:rPr>
        <w:t xml:space="preserve"> </w:t>
      </w:r>
    </w:p>
    <w:p w14:paraId="78FCE33C" w14:textId="516370EB" w:rsidR="00ED34F0" w:rsidRDefault="0066064A" w:rsidP="00ED34F0">
      <w:pPr>
        <w:spacing w:after="160" w:line="276" w:lineRule="auto"/>
        <w:contextualSpacing/>
        <w:jc w:val="both"/>
        <w:rPr>
          <w:rFonts w:ascii="Arial" w:hAnsi="Arial" w:cs="Arial"/>
          <w:sz w:val="24"/>
          <w:szCs w:val="24"/>
        </w:rPr>
      </w:pPr>
      <w:r w:rsidRPr="00ED34F0">
        <w:rPr>
          <w:rFonts w:ascii="Arial" w:hAnsi="Arial" w:cs="Arial"/>
          <w:noProof/>
          <w:sz w:val="24"/>
          <w:szCs w:val="24"/>
          <w:lang w:val="en-US"/>
        </w:rPr>
        <w:drawing>
          <wp:anchor distT="0" distB="0" distL="114300" distR="114300" simplePos="0" relativeHeight="251801600" behindDoc="1" locked="0" layoutInCell="1" allowOverlap="1" wp14:anchorId="4CA288ED" wp14:editId="2955D933">
            <wp:simplePos x="0" y="0"/>
            <wp:positionH relativeFrom="margin">
              <wp:align>center</wp:align>
            </wp:positionH>
            <wp:positionV relativeFrom="paragraph">
              <wp:posOffset>199390</wp:posOffset>
            </wp:positionV>
            <wp:extent cx="3740150" cy="353187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3740150" cy="3531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C92190" w14:textId="1D75F5CD" w:rsidR="0066064A" w:rsidRDefault="0066064A" w:rsidP="00F60921">
      <w:pPr>
        <w:spacing w:after="160" w:line="276" w:lineRule="auto"/>
        <w:contextualSpacing/>
        <w:jc w:val="both"/>
        <w:rPr>
          <w:rFonts w:ascii="Arial" w:hAnsi="Arial" w:cs="Arial"/>
          <w:sz w:val="24"/>
          <w:szCs w:val="24"/>
        </w:rPr>
      </w:pPr>
    </w:p>
    <w:p w14:paraId="47F76F98" w14:textId="77777777" w:rsidR="0066064A" w:rsidRDefault="0066064A" w:rsidP="00F60921">
      <w:pPr>
        <w:spacing w:after="160" w:line="276" w:lineRule="auto"/>
        <w:contextualSpacing/>
        <w:jc w:val="both"/>
        <w:rPr>
          <w:rFonts w:ascii="Arial" w:hAnsi="Arial" w:cs="Arial"/>
          <w:sz w:val="24"/>
          <w:szCs w:val="24"/>
        </w:rPr>
      </w:pPr>
    </w:p>
    <w:p w14:paraId="42B4D760" w14:textId="77777777" w:rsidR="0066064A" w:rsidRDefault="0066064A" w:rsidP="00F60921">
      <w:pPr>
        <w:spacing w:after="160" w:line="276" w:lineRule="auto"/>
        <w:contextualSpacing/>
        <w:jc w:val="both"/>
        <w:rPr>
          <w:rFonts w:ascii="Arial" w:hAnsi="Arial" w:cs="Arial"/>
          <w:sz w:val="24"/>
          <w:szCs w:val="24"/>
        </w:rPr>
      </w:pPr>
    </w:p>
    <w:p w14:paraId="4C4AC687" w14:textId="77777777" w:rsidR="0066064A" w:rsidRDefault="0066064A" w:rsidP="00F60921">
      <w:pPr>
        <w:spacing w:after="160" w:line="276" w:lineRule="auto"/>
        <w:contextualSpacing/>
        <w:jc w:val="both"/>
        <w:rPr>
          <w:rFonts w:ascii="Arial" w:hAnsi="Arial" w:cs="Arial"/>
          <w:sz w:val="24"/>
          <w:szCs w:val="24"/>
        </w:rPr>
      </w:pPr>
    </w:p>
    <w:p w14:paraId="370B0760" w14:textId="77777777" w:rsidR="0066064A" w:rsidRDefault="0066064A" w:rsidP="00F60921">
      <w:pPr>
        <w:spacing w:after="160" w:line="276" w:lineRule="auto"/>
        <w:contextualSpacing/>
        <w:jc w:val="both"/>
        <w:rPr>
          <w:rFonts w:ascii="Arial" w:hAnsi="Arial" w:cs="Arial"/>
          <w:sz w:val="24"/>
          <w:szCs w:val="24"/>
        </w:rPr>
      </w:pPr>
    </w:p>
    <w:p w14:paraId="106A2FF4" w14:textId="77777777" w:rsidR="0066064A" w:rsidRDefault="0066064A" w:rsidP="00F60921">
      <w:pPr>
        <w:spacing w:after="160" w:line="276" w:lineRule="auto"/>
        <w:contextualSpacing/>
        <w:jc w:val="both"/>
        <w:rPr>
          <w:rFonts w:ascii="Arial" w:hAnsi="Arial" w:cs="Arial"/>
          <w:sz w:val="24"/>
          <w:szCs w:val="24"/>
        </w:rPr>
      </w:pPr>
    </w:p>
    <w:p w14:paraId="265D1D59" w14:textId="77777777" w:rsidR="0066064A" w:rsidRDefault="0066064A" w:rsidP="00F60921">
      <w:pPr>
        <w:spacing w:after="160" w:line="276" w:lineRule="auto"/>
        <w:contextualSpacing/>
        <w:jc w:val="both"/>
        <w:rPr>
          <w:rFonts w:ascii="Arial" w:hAnsi="Arial" w:cs="Arial"/>
          <w:sz w:val="24"/>
          <w:szCs w:val="24"/>
        </w:rPr>
      </w:pPr>
    </w:p>
    <w:p w14:paraId="5278D57D" w14:textId="77777777" w:rsidR="0066064A" w:rsidRDefault="0066064A" w:rsidP="00F60921">
      <w:pPr>
        <w:spacing w:after="160" w:line="276" w:lineRule="auto"/>
        <w:contextualSpacing/>
        <w:jc w:val="both"/>
        <w:rPr>
          <w:rFonts w:ascii="Arial" w:hAnsi="Arial" w:cs="Arial"/>
          <w:sz w:val="24"/>
          <w:szCs w:val="24"/>
        </w:rPr>
      </w:pPr>
    </w:p>
    <w:p w14:paraId="09E1637D" w14:textId="77777777" w:rsidR="0066064A" w:rsidRDefault="0066064A" w:rsidP="00F60921">
      <w:pPr>
        <w:spacing w:after="160" w:line="276" w:lineRule="auto"/>
        <w:contextualSpacing/>
        <w:jc w:val="both"/>
        <w:rPr>
          <w:rFonts w:ascii="Arial" w:hAnsi="Arial" w:cs="Arial"/>
          <w:sz w:val="24"/>
          <w:szCs w:val="24"/>
        </w:rPr>
      </w:pPr>
    </w:p>
    <w:p w14:paraId="282BEDE9" w14:textId="77777777" w:rsidR="0066064A" w:rsidRDefault="0066064A" w:rsidP="00F60921">
      <w:pPr>
        <w:spacing w:after="160" w:line="276" w:lineRule="auto"/>
        <w:contextualSpacing/>
        <w:jc w:val="both"/>
        <w:rPr>
          <w:rFonts w:ascii="Arial" w:hAnsi="Arial" w:cs="Arial"/>
          <w:sz w:val="24"/>
          <w:szCs w:val="24"/>
        </w:rPr>
      </w:pPr>
    </w:p>
    <w:p w14:paraId="5D3D08D6" w14:textId="77777777" w:rsidR="0066064A" w:rsidRDefault="0066064A" w:rsidP="00F60921">
      <w:pPr>
        <w:spacing w:after="160" w:line="276" w:lineRule="auto"/>
        <w:contextualSpacing/>
        <w:jc w:val="both"/>
        <w:rPr>
          <w:rFonts w:ascii="Arial" w:hAnsi="Arial" w:cs="Arial"/>
          <w:sz w:val="24"/>
          <w:szCs w:val="24"/>
        </w:rPr>
      </w:pPr>
    </w:p>
    <w:p w14:paraId="6182E8CA" w14:textId="77777777" w:rsidR="0066064A" w:rsidRDefault="0066064A" w:rsidP="00F60921">
      <w:pPr>
        <w:spacing w:after="160" w:line="276" w:lineRule="auto"/>
        <w:contextualSpacing/>
        <w:jc w:val="both"/>
        <w:rPr>
          <w:rFonts w:ascii="Arial" w:hAnsi="Arial" w:cs="Arial"/>
          <w:sz w:val="24"/>
          <w:szCs w:val="24"/>
        </w:rPr>
      </w:pPr>
    </w:p>
    <w:p w14:paraId="31327BCC" w14:textId="77777777" w:rsidR="0066064A" w:rsidRDefault="0066064A" w:rsidP="00F60921">
      <w:pPr>
        <w:spacing w:after="160" w:line="276" w:lineRule="auto"/>
        <w:contextualSpacing/>
        <w:jc w:val="both"/>
        <w:rPr>
          <w:rFonts w:ascii="Arial" w:hAnsi="Arial" w:cs="Arial"/>
          <w:sz w:val="24"/>
          <w:szCs w:val="24"/>
        </w:rPr>
      </w:pPr>
    </w:p>
    <w:p w14:paraId="15143BEB" w14:textId="77777777" w:rsidR="0066064A" w:rsidRDefault="0066064A" w:rsidP="00F60921">
      <w:pPr>
        <w:spacing w:after="160" w:line="276" w:lineRule="auto"/>
        <w:contextualSpacing/>
        <w:jc w:val="both"/>
        <w:rPr>
          <w:rFonts w:ascii="Arial" w:hAnsi="Arial" w:cs="Arial"/>
          <w:sz w:val="24"/>
          <w:szCs w:val="24"/>
        </w:rPr>
      </w:pPr>
    </w:p>
    <w:p w14:paraId="282CC1E0" w14:textId="77777777" w:rsidR="0066064A" w:rsidRDefault="0066064A" w:rsidP="00F60921">
      <w:pPr>
        <w:spacing w:after="160" w:line="276" w:lineRule="auto"/>
        <w:contextualSpacing/>
        <w:jc w:val="both"/>
        <w:rPr>
          <w:rFonts w:ascii="Arial" w:hAnsi="Arial" w:cs="Arial"/>
          <w:sz w:val="24"/>
          <w:szCs w:val="24"/>
        </w:rPr>
      </w:pPr>
    </w:p>
    <w:p w14:paraId="6DF3F705" w14:textId="77777777" w:rsidR="0066064A" w:rsidRDefault="0066064A" w:rsidP="00F60921">
      <w:pPr>
        <w:spacing w:after="160" w:line="276" w:lineRule="auto"/>
        <w:contextualSpacing/>
        <w:jc w:val="both"/>
        <w:rPr>
          <w:rFonts w:ascii="Arial" w:hAnsi="Arial" w:cs="Arial"/>
          <w:sz w:val="24"/>
          <w:szCs w:val="24"/>
        </w:rPr>
      </w:pPr>
    </w:p>
    <w:p w14:paraId="5E8F47B7" w14:textId="77777777" w:rsidR="0066064A" w:rsidRDefault="0066064A" w:rsidP="00F60921">
      <w:pPr>
        <w:spacing w:after="160" w:line="276" w:lineRule="auto"/>
        <w:contextualSpacing/>
        <w:jc w:val="both"/>
        <w:rPr>
          <w:rFonts w:ascii="Arial" w:hAnsi="Arial" w:cs="Arial"/>
          <w:sz w:val="24"/>
          <w:szCs w:val="24"/>
        </w:rPr>
      </w:pPr>
    </w:p>
    <w:p w14:paraId="7507C5EE" w14:textId="77777777" w:rsidR="0066064A" w:rsidRDefault="0066064A" w:rsidP="00F60921">
      <w:pPr>
        <w:spacing w:after="160" w:line="276" w:lineRule="auto"/>
        <w:contextualSpacing/>
        <w:jc w:val="both"/>
        <w:rPr>
          <w:rFonts w:ascii="Arial" w:hAnsi="Arial" w:cs="Arial"/>
          <w:sz w:val="24"/>
          <w:szCs w:val="24"/>
        </w:rPr>
      </w:pPr>
    </w:p>
    <w:p w14:paraId="025036C5" w14:textId="77777777" w:rsidR="00D51A98" w:rsidRDefault="00D51A98" w:rsidP="00F60921">
      <w:pPr>
        <w:spacing w:after="160" w:line="276" w:lineRule="auto"/>
        <w:contextualSpacing/>
        <w:jc w:val="both"/>
        <w:rPr>
          <w:rFonts w:ascii="Arial" w:hAnsi="Arial" w:cs="Arial"/>
          <w:sz w:val="24"/>
          <w:szCs w:val="24"/>
        </w:rPr>
      </w:pPr>
    </w:p>
    <w:p w14:paraId="1F0B0504" w14:textId="5F52B0A9" w:rsidR="00DE09C3" w:rsidRDefault="00E74E63" w:rsidP="00F60921">
      <w:pPr>
        <w:spacing w:after="160" w:line="276" w:lineRule="auto"/>
        <w:contextualSpacing/>
        <w:jc w:val="both"/>
        <w:rPr>
          <w:rFonts w:ascii="Arial" w:hAnsi="Arial" w:cs="Arial"/>
          <w:sz w:val="24"/>
          <w:szCs w:val="24"/>
          <w:lang w:val="en-US"/>
        </w:rPr>
      </w:pPr>
      <w:r w:rsidRPr="00B941A2">
        <w:rPr>
          <w:rFonts w:ascii="Arial" w:hAnsi="Arial" w:cs="Arial"/>
          <w:sz w:val="24"/>
          <w:szCs w:val="24"/>
        </w:rPr>
        <w:t>Experience has however show</w:t>
      </w:r>
      <w:r w:rsidR="0090446A" w:rsidRPr="00B941A2">
        <w:rPr>
          <w:rFonts w:ascii="Arial" w:hAnsi="Arial" w:cs="Arial"/>
          <w:sz w:val="24"/>
          <w:szCs w:val="24"/>
        </w:rPr>
        <w:t>n</w:t>
      </w:r>
      <w:r w:rsidRPr="00B941A2">
        <w:rPr>
          <w:rFonts w:ascii="Arial" w:hAnsi="Arial" w:cs="Arial"/>
          <w:sz w:val="24"/>
          <w:szCs w:val="24"/>
        </w:rPr>
        <w:t xml:space="preserve"> that the disclosure of information, while a necessary condition</w:t>
      </w:r>
      <w:r w:rsidR="00FB7443" w:rsidRPr="00B941A2">
        <w:rPr>
          <w:rFonts w:ascii="Arial" w:hAnsi="Arial" w:cs="Arial"/>
          <w:sz w:val="24"/>
          <w:szCs w:val="24"/>
        </w:rPr>
        <w:t>,</w:t>
      </w:r>
      <w:r w:rsidRPr="00B941A2">
        <w:rPr>
          <w:rFonts w:ascii="Arial" w:hAnsi="Arial" w:cs="Arial"/>
          <w:sz w:val="24"/>
          <w:szCs w:val="24"/>
        </w:rPr>
        <w:t xml:space="preserve"> is not a sufficient condition for accountability. Attention </w:t>
      </w:r>
      <w:r w:rsidR="00191BF8" w:rsidRPr="00B941A2">
        <w:rPr>
          <w:rFonts w:ascii="Arial" w:hAnsi="Arial" w:cs="Arial"/>
          <w:sz w:val="24"/>
          <w:szCs w:val="24"/>
        </w:rPr>
        <w:t xml:space="preserve">has </w:t>
      </w:r>
      <w:r w:rsidRPr="00B941A2">
        <w:rPr>
          <w:rFonts w:ascii="Arial" w:hAnsi="Arial" w:cs="Arial"/>
          <w:sz w:val="24"/>
          <w:szCs w:val="24"/>
        </w:rPr>
        <w:t xml:space="preserve">consequently increasingly shifted </w:t>
      </w:r>
      <w:r w:rsidR="005D096F" w:rsidRPr="00B941A2">
        <w:rPr>
          <w:rFonts w:ascii="Arial" w:hAnsi="Arial" w:cs="Arial"/>
          <w:sz w:val="24"/>
          <w:szCs w:val="24"/>
        </w:rPr>
        <w:t xml:space="preserve">beyond fiscal transparency </w:t>
      </w:r>
      <w:r w:rsidRPr="00B941A2">
        <w:rPr>
          <w:rFonts w:ascii="Arial" w:hAnsi="Arial" w:cs="Arial"/>
          <w:sz w:val="24"/>
          <w:szCs w:val="24"/>
        </w:rPr>
        <w:t xml:space="preserve">to translating disclosure into more effective accountability by means of greater public engagement on fiscal management. </w:t>
      </w:r>
      <w:r w:rsidR="000E4CA6" w:rsidRPr="00B941A2">
        <w:rPr>
          <w:rFonts w:ascii="Arial" w:hAnsi="Arial" w:cs="Arial"/>
          <w:sz w:val="24"/>
          <w:szCs w:val="24"/>
          <w:lang w:val="en-US"/>
        </w:rPr>
        <w:t>The role of oversight institutions and p</w:t>
      </w:r>
      <w:r w:rsidR="00DE09C3" w:rsidRPr="00B941A2">
        <w:rPr>
          <w:rFonts w:ascii="Arial" w:hAnsi="Arial" w:cs="Arial"/>
          <w:sz w:val="24"/>
          <w:szCs w:val="24"/>
          <w:lang w:val="en-US"/>
        </w:rPr>
        <w:t xml:space="preserve">ublic participation is discussed in </w:t>
      </w:r>
      <w:r w:rsidR="000E4CA6" w:rsidRPr="00B941A2">
        <w:rPr>
          <w:rFonts w:ascii="Arial" w:hAnsi="Arial" w:cs="Arial"/>
          <w:sz w:val="24"/>
          <w:szCs w:val="24"/>
          <w:lang w:val="en-US"/>
        </w:rPr>
        <w:t xml:space="preserve">detail in </w:t>
      </w:r>
      <w:r w:rsidR="00DE09C3" w:rsidRPr="00B941A2">
        <w:rPr>
          <w:rFonts w:ascii="Arial" w:hAnsi="Arial" w:cs="Arial"/>
          <w:sz w:val="24"/>
          <w:szCs w:val="24"/>
          <w:lang w:val="en-US"/>
        </w:rPr>
        <w:t>Module 2.</w:t>
      </w:r>
    </w:p>
    <w:p w14:paraId="0BF422BC" w14:textId="02147DFA" w:rsidR="00D06A91" w:rsidRDefault="00D06A91" w:rsidP="00F60921">
      <w:pPr>
        <w:spacing w:after="160" w:line="276" w:lineRule="auto"/>
        <w:contextualSpacing/>
        <w:jc w:val="both"/>
        <w:rPr>
          <w:rFonts w:ascii="Arial" w:hAnsi="Arial" w:cs="Arial"/>
          <w:sz w:val="24"/>
          <w:szCs w:val="24"/>
          <w:lang w:val="en-US"/>
        </w:rPr>
      </w:pPr>
    </w:p>
    <w:p w14:paraId="67319937" w14:textId="7A1F91B6" w:rsidR="002D2105" w:rsidRDefault="002D2105" w:rsidP="00F60921">
      <w:pPr>
        <w:spacing w:after="160" w:line="276" w:lineRule="auto"/>
        <w:contextualSpacing/>
        <w:jc w:val="both"/>
        <w:rPr>
          <w:rFonts w:ascii="Arial" w:hAnsi="Arial" w:cs="Arial"/>
          <w:sz w:val="24"/>
          <w:szCs w:val="24"/>
          <w:lang w:val="en-US"/>
        </w:rPr>
      </w:pPr>
    </w:p>
    <w:p w14:paraId="2825FC3D" w14:textId="544A7338" w:rsidR="002D2105" w:rsidRDefault="002D2105" w:rsidP="00F60921">
      <w:pPr>
        <w:spacing w:after="160" w:line="276" w:lineRule="auto"/>
        <w:contextualSpacing/>
        <w:jc w:val="both"/>
        <w:rPr>
          <w:rFonts w:ascii="Arial" w:hAnsi="Arial" w:cs="Arial"/>
          <w:sz w:val="24"/>
          <w:szCs w:val="24"/>
          <w:lang w:val="en-US"/>
        </w:rPr>
      </w:pPr>
    </w:p>
    <w:p w14:paraId="47331AFD" w14:textId="69D1CC0E" w:rsidR="002D2105" w:rsidRDefault="002D2105" w:rsidP="00F60921">
      <w:pPr>
        <w:spacing w:after="160" w:line="276" w:lineRule="auto"/>
        <w:contextualSpacing/>
        <w:jc w:val="both"/>
        <w:rPr>
          <w:rFonts w:ascii="Arial" w:hAnsi="Arial" w:cs="Arial"/>
          <w:sz w:val="24"/>
          <w:szCs w:val="24"/>
          <w:lang w:val="en-US"/>
        </w:rPr>
      </w:pPr>
    </w:p>
    <w:p w14:paraId="1B11C0CC" w14:textId="77777777" w:rsidR="002D2105" w:rsidRDefault="002D2105" w:rsidP="00F60921">
      <w:pPr>
        <w:spacing w:after="160" w:line="276" w:lineRule="auto"/>
        <w:contextualSpacing/>
        <w:jc w:val="both"/>
        <w:rPr>
          <w:rFonts w:ascii="Arial" w:hAnsi="Arial" w:cs="Arial"/>
          <w:sz w:val="24"/>
          <w:szCs w:val="24"/>
          <w:lang w:val="en-US"/>
        </w:rPr>
      </w:pPr>
    </w:p>
    <w:p w14:paraId="2C115BAC" w14:textId="144B0FC2" w:rsidR="00EC39A1" w:rsidRDefault="00EC39A1" w:rsidP="00F60921">
      <w:pPr>
        <w:spacing w:after="160" w:line="276" w:lineRule="auto"/>
        <w:contextualSpacing/>
        <w:jc w:val="both"/>
        <w:rPr>
          <w:rFonts w:ascii="Arial" w:hAnsi="Arial" w:cs="Arial"/>
          <w:sz w:val="24"/>
          <w:szCs w:val="24"/>
          <w:lang w:val="en-US"/>
        </w:rPr>
      </w:pPr>
    </w:p>
    <w:p w14:paraId="68F307FF" w14:textId="43FAD498" w:rsidR="00EC39A1" w:rsidRDefault="00EC39A1" w:rsidP="00F60921">
      <w:pPr>
        <w:spacing w:after="160" w:line="276" w:lineRule="auto"/>
        <w:contextualSpacing/>
        <w:jc w:val="both"/>
        <w:rPr>
          <w:rFonts w:ascii="Arial" w:hAnsi="Arial" w:cs="Arial"/>
          <w:sz w:val="24"/>
          <w:szCs w:val="24"/>
          <w:lang w:val="en-US"/>
        </w:rPr>
      </w:pPr>
    </w:p>
    <w:p w14:paraId="08BA9D45" w14:textId="37674D29" w:rsidR="00EC39A1" w:rsidRDefault="002D2105" w:rsidP="00F60921">
      <w:pPr>
        <w:spacing w:after="160" w:line="276" w:lineRule="auto"/>
        <w:contextualSpacing/>
        <w:jc w:val="both"/>
        <w:rPr>
          <w:rFonts w:ascii="Arial" w:hAnsi="Arial" w:cs="Arial"/>
          <w:sz w:val="24"/>
          <w:szCs w:val="24"/>
          <w:lang w:val="en-US"/>
        </w:rPr>
      </w:pPr>
      <w:r>
        <w:rPr>
          <w:rFonts w:ascii="Arial" w:hAnsi="Arial" w:cs="Arial"/>
          <w:b/>
          <w:bCs/>
          <w:noProof/>
          <w:color w:val="ED5625"/>
          <w:lang w:val="en-US"/>
        </w:rPr>
        <w:lastRenderedPageBreak/>
        <mc:AlternateContent>
          <mc:Choice Requires="wps">
            <w:drawing>
              <wp:anchor distT="0" distB="0" distL="114300" distR="114300" simplePos="0" relativeHeight="251795456" behindDoc="0" locked="0" layoutInCell="1" allowOverlap="1" wp14:anchorId="1B8AC3FB" wp14:editId="5C6B9769">
                <wp:simplePos x="0" y="0"/>
                <wp:positionH relativeFrom="column">
                  <wp:posOffset>1092200</wp:posOffset>
                </wp:positionH>
                <wp:positionV relativeFrom="paragraph">
                  <wp:posOffset>-8255</wp:posOffset>
                </wp:positionV>
                <wp:extent cx="4521200" cy="775335"/>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4521200" cy="775335"/>
                        </a:xfrm>
                        <a:prstGeom prst="rect">
                          <a:avLst/>
                        </a:prstGeom>
                        <a:noFill/>
                        <a:ln w="6350">
                          <a:noFill/>
                        </a:ln>
                      </wps:spPr>
                      <wps:txbx>
                        <w:txbxContent>
                          <w:p w14:paraId="377E13D0" w14:textId="3F615153" w:rsidR="00D15FD8" w:rsidRPr="002F6BBA" w:rsidRDefault="00D15FD8" w:rsidP="00AE2962">
                            <w:pPr>
                              <w:pStyle w:val="Heading1"/>
                              <w:rPr>
                                <w:rFonts w:ascii="Arial" w:hAnsi="Arial" w:cs="Arial"/>
                                <w:b/>
                                <w:bCs/>
                                <w:color w:val="FFFFFF" w:themeColor="background1"/>
                                <w:sz w:val="38"/>
                                <w:szCs w:val="38"/>
                                <w:lang w:val="en-US"/>
                              </w:rPr>
                            </w:pPr>
                            <w:bookmarkStart w:id="275" w:name="_Fiscal_transparency_and"/>
                            <w:bookmarkStart w:id="276" w:name="_Toc115729056"/>
                            <w:bookmarkStart w:id="277" w:name="_Toc115877703"/>
                            <w:bookmarkStart w:id="278" w:name="_Toc116056987"/>
                            <w:bookmarkStart w:id="279" w:name="_Toc123828095"/>
                            <w:bookmarkStart w:id="280" w:name="_Toc123828305"/>
                            <w:bookmarkStart w:id="281" w:name="_Toc123828501"/>
                            <w:bookmarkStart w:id="282" w:name="_Toc123912528"/>
                            <w:bookmarkStart w:id="283" w:name="_Toc123912787"/>
                            <w:bookmarkStart w:id="284" w:name="_Toc123913014"/>
                            <w:bookmarkStart w:id="285" w:name="_Toc123913961"/>
                            <w:bookmarkStart w:id="286" w:name="_Toc125566580"/>
                            <w:bookmarkEnd w:id="275"/>
                            <w:r w:rsidRPr="002F6BBA">
                              <w:rPr>
                                <w:rFonts w:ascii="Arial" w:hAnsi="Arial" w:cs="Arial"/>
                                <w:b/>
                                <w:bCs/>
                                <w:color w:val="FFFFFF" w:themeColor="background1"/>
                                <w:sz w:val="38"/>
                                <w:szCs w:val="38"/>
                                <w:lang w:val="en-US"/>
                              </w:rPr>
                              <w:t>Fiscal transparency and improved PFM outcomes</w:t>
                            </w:r>
                            <w:bookmarkEnd w:id="276"/>
                            <w:bookmarkEnd w:id="277"/>
                            <w:bookmarkEnd w:id="278"/>
                            <w:bookmarkEnd w:id="279"/>
                            <w:bookmarkEnd w:id="280"/>
                            <w:bookmarkEnd w:id="281"/>
                            <w:bookmarkEnd w:id="282"/>
                            <w:bookmarkEnd w:id="283"/>
                            <w:bookmarkEnd w:id="284"/>
                            <w:bookmarkEnd w:id="285"/>
                            <w:bookmarkEnd w:id="28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AC3FB" id="Text Box 213" o:spid="_x0000_s1054" type="#_x0000_t202" style="position:absolute;left:0;text-align:left;margin-left:86pt;margin-top:-.65pt;width:356pt;height:61.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" filled="f" stroked="f" strokeweight=".5pt">
                <v:textbox>
                  <w:txbxContent>
                    <w:p w14:paraId="377E13D0" w14:textId="3F615153" w:rsidR="00D15FD8" w:rsidRPr="002F6BBA" w:rsidRDefault="00D15FD8" w:rsidP="00AE2962">
                      <w:pPr>
                        <w:pStyle w:val="Heading1"/>
                        <w:rPr>
                          <w:rFonts w:ascii="Arial" w:hAnsi="Arial" w:cs="Arial"/>
                          <w:b/>
                          <w:bCs/>
                          <w:color w:val="FFFFFF" w:themeColor="background1"/>
                          <w:sz w:val="38"/>
                          <w:szCs w:val="38"/>
                          <w:lang w:val="en-US"/>
                        </w:rPr>
                      </w:pPr>
                      <w:bookmarkStart w:id="287" w:name="_Fiscal_transparency_and"/>
                      <w:bookmarkStart w:id="288" w:name="_Toc115729056"/>
                      <w:bookmarkStart w:id="289" w:name="_Toc115877703"/>
                      <w:bookmarkStart w:id="290" w:name="_Toc116056987"/>
                      <w:bookmarkStart w:id="291" w:name="_Toc123828095"/>
                      <w:bookmarkStart w:id="292" w:name="_Toc123828305"/>
                      <w:bookmarkStart w:id="293" w:name="_Toc123828501"/>
                      <w:bookmarkStart w:id="294" w:name="_Toc123912528"/>
                      <w:bookmarkStart w:id="295" w:name="_Toc123912787"/>
                      <w:bookmarkStart w:id="296" w:name="_Toc123913014"/>
                      <w:bookmarkStart w:id="297" w:name="_Toc123913961"/>
                      <w:bookmarkStart w:id="298" w:name="_Toc125566580"/>
                      <w:bookmarkEnd w:id="287"/>
                      <w:r w:rsidRPr="002F6BBA">
                        <w:rPr>
                          <w:rFonts w:ascii="Arial" w:hAnsi="Arial" w:cs="Arial"/>
                          <w:b/>
                          <w:bCs/>
                          <w:color w:val="FFFFFF" w:themeColor="background1"/>
                          <w:sz w:val="38"/>
                          <w:szCs w:val="38"/>
                          <w:lang w:val="en-US"/>
                        </w:rPr>
                        <w:t>Fiscal transparency and improved PFM outcomes</w:t>
                      </w:r>
                      <w:bookmarkEnd w:id="288"/>
                      <w:bookmarkEnd w:id="289"/>
                      <w:bookmarkEnd w:id="290"/>
                      <w:bookmarkEnd w:id="291"/>
                      <w:bookmarkEnd w:id="292"/>
                      <w:bookmarkEnd w:id="293"/>
                      <w:bookmarkEnd w:id="294"/>
                      <w:bookmarkEnd w:id="295"/>
                      <w:bookmarkEnd w:id="296"/>
                      <w:bookmarkEnd w:id="297"/>
                      <w:bookmarkEnd w:id="298"/>
                    </w:p>
                  </w:txbxContent>
                </v:textbox>
              </v:shape>
            </w:pict>
          </mc:Fallback>
        </mc:AlternateContent>
      </w:r>
      <w:r>
        <w:rPr>
          <w:rFonts w:ascii="Arial" w:hAnsi="Arial" w:cs="Arial"/>
          <w:b/>
          <w:bCs/>
          <w:noProof/>
          <w:color w:val="ED5625"/>
          <w:lang w:val="en-US"/>
        </w:rPr>
        <mc:AlternateContent>
          <mc:Choice Requires="wps">
            <w:drawing>
              <wp:anchor distT="0" distB="0" distL="114300" distR="114300" simplePos="0" relativeHeight="251796480" behindDoc="0" locked="0" layoutInCell="1" allowOverlap="1" wp14:anchorId="0481E133" wp14:editId="1107FD22">
                <wp:simplePos x="0" y="0"/>
                <wp:positionH relativeFrom="column">
                  <wp:posOffset>368300</wp:posOffset>
                </wp:positionH>
                <wp:positionV relativeFrom="paragraph">
                  <wp:posOffset>122555</wp:posOffset>
                </wp:positionV>
                <wp:extent cx="492125" cy="593725"/>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492125" cy="593725"/>
                        </a:xfrm>
                        <a:prstGeom prst="rect">
                          <a:avLst/>
                        </a:prstGeom>
                        <a:noFill/>
                        <a:ln w="6350">
                          <a:noFill/>
                        </a:ln>
                      </wps:spPr>
                      <wps:txbx>
                        <w:txbxContent>
                          <w:p w14:paraId="5588A0D7" w14:textId="4FA14A55" w:rsidR="00D15FD8" w:rsidRPr="007C7920" w:rsidRDefault="00D15FD8">
                            <w:pPr>
                              <w:pStyle w:val="ListParagraph"/>
                              <w:numPr>
                                <w:ilvl w:val="0"/>
                                <w:numId w:val="10"/>
                              </w:numPr>
                              <w:jc w:val="center"/>
                              <w:rPr>
                                <w:rFonts w:ascii="Arial" w:hAnsi="Arial" w:cs="Arial"/>
                                <w:b/>
                                <w:bCs/>
                                <w:color w:val="FFFFFF" w:themeColor="background1"/>
                                <w:sz w:val="72"/>
                                <w:szCs w:val="72"/>
                                <w:lang w:val="en-US"/>
                              </w:rPr>
                            </w:pPr>
                            <w:r w:rsidRPr="007C7920">
                              <w:rPr>
                                <w:rFonts w:ascii="Arial" w:hAnsi="Arial" w:cs="Arial"/>
                                <w:b/>
                                <w:bCs/>
                                <w:color w:val="FFFFFF" w:themeColor="background1"/>
                                <w:sz w:val="72"/>
                                <w:szCs w:val="7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81E133" id="Text Box 214" o:spid="_x0000_s1055" type="#_x0000_t202" style="position:absolute;left:0;text-align:left;margin-left:29pt;margin-top:9.65pt;width:38.75pt;height:46.7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" filled="f" stroked="f" strokeweight=".5pt">
                <v:textbox>
                  <w:txbxContent>
                    <w:p w14:paraId="5588A0D7" w14:textId="4FA14A55" w:rsidR="00D15FD8" w:rsidRPr="007C7920" w:rsidRDefault="00D15FD8">
                      <w:pPr>
                        <w:pStyle w:val="ListParagraph"/>
                        <w:numPr>
                          <w:ilvl w:val="0"/>
                          <w:numId w:val="10"/>
                        </w:numPr>
                        <w:jc w:val="center"/>
                        <w:rPr>
                          <w:rFonts w:ascii="Arial" w:hAnsi="Arial" w:cs="Arial"/>
                          <w:b/>
                          <w:bCs/>
                          <w:color w:val="FFFFFF" w:themeColor="background1"/>
                          <w:sz w:val="72"/>
                          <w:szCs w:val="72"/>
                          <w:lang w:val="en-US"/>
                        </w:rPr>
                      </w:pPr>
                      <w:r w:rsidRPr="007C7920">
                        <w:rPr>
                          <w:rFonts w:ascii="Arial" w:hAnsi="Arial" w:cs="Arial"/>
                          <w:b/>
                          <w:bCs/>
                          <w:color w:val="FFFFFF" w:themeColor="background1"/>
                          <w:sz w:val="72"/>
                          <w:szCs w:val="72"/>
                          <w:lang w:val="en-US"/>
                        </w:rPr>
                        <w:t>3</w:t>
                      </w:r>
                    </w:p>
                  </w:txbxContent>
                </v:textbox>
              </v:shape>
            </w:pict>
          </mc:Fallback>
        </mc:AlternateContent>
      </w:r>
      <w:r>
        <w:rPr>
          <w:noProof/>
          <w:lang w:val="en-US"/>
        </w:rPr>
        <w:drawing>
          <wp:anchor distT="0" distB="0" distL="114300" distR="114300" simplePos="0" relativeHeight="254801918" behindDoc="1" locked="0" layoutInCell="1" allowOverlap="1" wp14:anchorId="29A64C97" wp14:editId="64246503">
            <wp:simplePos x="0" y="0"/>
            <wp:positionH relativeFrom="column">
              <wp:posOffset>-191770</wp:posOffset>
            </wp:positionH>
            <wp:positionV relativeFrom="paragraph">
              <wp:posOffset>-278130</wp:posOffset>
            </wp:positionV>
            <wp:extent cx="6186170" cy="1371600"/>
            <wp:effectExtent l="0" t="0" r="0" b="0"/>
            <wp:wrapNone/>
            <wp:docPr id="2636" name="Picture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 name="Picture 2636"/>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618617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84A4F7" w14:textId="17765195" w:rsidR="00EC39A1" w:rsidRDefault="00EC39A1" w:rsidP="00F60921">
      <w:pPr>
        <w:spacing w:after="160" w:line="276" w:lineRule="auto"/>
        <w:contextualSpacing/>
        <w:jc w:val="both"/>
        <w:rPr>
          <w:rFonts w:ascii="Arial" w:hAnsi="Arial" w:cs="Arial"/>
          <w:sz w:val="24"/>
          <w:szCs w:val="24"/>
          <w:lang w:val="en-US"/>
        </w:rPr>
      </w:pPr>
    </w:p>
    <w:p w14:paraId="6A073B88" w14:textId="025A308C" w:rsidR="00EC39A1" w:rsidRDefault="00EC39A1" w:rsidP="00F60921">
      <w:pPr>
        <w:spacing w:after="160" w:line="276" w:lineRule="auto"/>
        <w:contextualSpacing/>
        <w:jc w:val="both"/>
        <w:rPr>
          <w:rFonts w:ascii="Arial" w:hAnsi="Arial" w:cs="Arial"/>
          <w:sz w:val="24"/>
          <w:szCs w:val="24"/>
          <w:lang w:val="en-US"/>
        </w:rPr>
      </w:pPr>
    </w:p>
    <w:p w14:paraId="6F712E74" w14:textId="77777777" w:rsidR="00EC39A1" w:rsidRPr="00B941A2" w:rsidRDefault="00EC39A1" w:rsidP="00F60921">
      <w:pPr>
        <w:spacing w:after="160" w:line="276" w:lineRule="auto"/>
        <w:contextualSpacing/>
        <w:jc w:val="both"/>
        <w:rPr>
          <w:rFonts w:ascii="Arial" w:hAnsi="Arial" w:cs="Arial"/>
          <w:sz w:val="24"/>
          <w:szCs w:val="24"/>
          <w:lang w:val="en-US"/>
        </w:rPr>
      </w:pPr>
    </w:p>
    <w:p w14:paraId="1950887A" w14:textId="438921B6" w:rsidR="002D2105" w:rsidRDefault="002D2105" w:rsidP="00D06A91">
      <w:pPr>
        <w:spacing w:after="160" w:line="276" w:lineRule="auto"/>
        <w:rPr>
          <w:lang w:val="en-US"/>
        </w:rPr>
      </w:pPr>
    </w:p>
    <w:p w14:paraId="05AF03EE" w14:textId="6C752F63" w:rsidR="001931D1" w:rsidRDefault="001931D1" w:rsidP="007C7920">
      <w:pPr>
        <w:spacing w:line="276" w:lineRule="auto"/>
        <w:jc w:val="both"/>
        <w:rPr>
          <w:rFonts w:ascii="Arial" w:hAnsi="Arial" w:cs="Arial"/>
          <w:sz w:val="24"/>
          <w:szCs w:val="24"/>
          <w:lang w:val="en-US"/>
        </w:rPr>
      </w:pPr>
      <w:r w:rsidRPr="007C7920">
        <w:rPr>
          <w:rFonts w:ascii="Arial" w:hAnsi="Arial" w:cs="Arial"/>
          <w:sz w:val="24"/>
          <w:szCs w:val="24"/>
          <w:lang w:val="en-US"/>
        </w:rPr>
        <w:t>The previous sections defined fiscal transparency and spoke to its importance. This section builds on this by examining the benefits of fiscal transparency and consequently why the key actors involved in it, would seek to strengthen it</w:t>
      </w:r>
      <w:r w:rsidR="00114E97" w:rsidRPr="007C7920">
        <w:rPr>
          <w:rFonts w:ascii="Arial" w:hAnsi="Arial" w:cs="Arial"/>
          <w:sz w:val="24"/>
          <w:szCs w:val="24"/>
          <w:lang w:val="en-US"/>
        </w:rPr>
        <w:t>.</w:t>
      </w:r>
      <w:r w:rsidRPr="007C7920">
        <w:rPr>
          <w:rFonts w:ascii="Arial" w:hAnsi="Arial" w:cs="Arial"/>
          <w:sz w:val="24"/>
          <w:szCs w:val="24"/>
          <w:lang w:val="en-US"/>
        </w:rPr>
        <w:t xml:space="preserve"> </w:t>
      </w:r>
    </w:p>
    <w:p w14:paraId="322C9BEC" w14:textId="77777777" w:rsidR="0029425D" w:rsidRDefault="0029425D" w:rsidP="007C7920">
      <w:pPr>
        <w:spacing w:line="276" w:lineRule="auto"/>
        <w:jc w:val="both"/>
        <w:rPr>
          <w:rFonts w:ascii="Arial" w:hAnsi="Arial" w:cs="Arial"/>
          <w:sz w:val="24"/>
          <w:szCs w:val="24"/>
          <w:lang w:val="en-US"/>
        </w:rPr>
      </w:pPr>
    </w:p>
    <w:p w14:paraId="1E40E775" w14:textId="1C073D35" w:rsidR="00497D82" w:rsidRDefault="00114E97">
      <w:pPr>
        <w:pStyle w:val="Heading2"/>
        <w:numPr>
          <w:ilvl w:val="1"/>
          <w:numId w:val="14"/>
        </w:numPr>
        <w:tabs>
          <w:tab w:val="left" w:pos="4739"/>
        </w:tabs>
        <w:rPr>
          <w:rFonts w:ascii="Arial" w:hAnsi="Arial" w:cs="Arial"/>
          <w:b/>
          <w:bCs/>
          <w:color w:val="16988A"/>
          <w:sz w:val="36"/>
          <w:szCs w:val="36"/>
        </w:rPr>
      </w:pPr>
      <w:bookmarkStart w:id="299" w:name="_Toc115369982"/>
      <w:bookmarkStart w:id="300" w:name="_Toc115729057"/>
      <w:bookmarkStart w:id="301" w:name="_Toc115877704"/>
      <w:bookmarkStart w:id="302" w:name="_Toc116056988"/>
      <w:bookmarkStart w:id="303" w:name="_Toc119794425"/>
      <w:bookmarkStart w:id="304" w:name="_Toc123204406"/>
      <w:bookmarkStart w:id="305" w:name="_Toc123216493"/>
      <w:bookmarkStart w:id="306" w:name="_Toc123217333"/>
      <w:bookmarkStart w:id="307" w:name="_Toc123913306"/>
      <w:bookmarkStart w:id="308" w:name="_Toc123913962"/>
      <w:bookmarkStart w:id="309" w:name="_Toc125495790"/>
      <w:bookmarkStart w:id="310" w:name="_Toc125566581"/>
      <w:r w:rsidRPr="007C7920">
        <w:rPr>
          <w:rFonts w:ascii="Arial" w:hAnsi="Arial" w:cs="Arial"/>
          <w:b/>
          <w:bCs/>
          <w:color w:val="16988A"/>
          <w:sz w:val="36"/>
          <w:szCs w:val="36"/>
        </w:rPr>
        <w:t>T</w:t>
      </w:r>
      <w:r w:rsidR="00497D82" w:rsidRPr="007C7920">
        <w:rPr>
          <w:rFonts w:ascii="Arial" w:hAnsi="Arial" w:cs="Arial"/>
          <w:b/>
          <w:bCs/>
          <w:color w:val="16988A"/>
          <w:sz w:val="36"/>
          <w:szCs w:val="36"/>
        </w:rPr>
        <w:t xml:space="preserve">heory of </w:t>
      </w:r>
      <w:r w:rsidR="00C459A4">
        <w:rPr>
          <w:rFonts w:ascii="Arial" w:hAnsi="Arial" w:cs="Arial"/>
          <w:b/>
          <w:bCs/>
          <w:color w:val="16988A"/>
          <w:sz w:val="36"/>
          <w:szCs w:val="36"/>
        </w:rPr>
        <w:t>c</w:t>
      </w:r>
      <w:r w:rsidR="00497D82" w:rsidRPr="007C7920">
        <w:rPr>
          <w:rFonts w:ascii="Arial" w:hAnsi="Arial" w:cs="Arial"/>
          <w:b/>
          <w:bCs/>
          <w:color w:val="16988A"/>
          <w:sz w:val="36"/>
          <w:szCs w:val="36"/>
        </w:rPr>
        <w:t>hange</w:t>
      </w:r>
      <w:bookmarkEnd w:id="299"/>
      <w:bookmarkEnd w:id="300"/>
      <w:bookmarkEnd w:id="301"/>
      <w:bookmarkEnd w:id="302"/>
      <w:bookmarkEnd w:id="303"/>
      <w:bookmarkEnd w:id="304"/>
      <w:bookmarkEnd w:id="305"/>
      <w:bookmarkEnd w:id="306"/>
      <w:bookmarkEnd w:id="307"/>
      <w:bookmarkEnd w:id="308"/>
      <w:bookmarkEnd w:id="309"/>
      <w:bookmarkEnd w:id="310"/>
      <w:r w:rsidR="007C7920">
        <w:rPr>
          <w:rFonts w:ascii="Arial" w:hAnsi="Arial" w:cs="Arial"/>
          <w:b/>
          <w:bCs/>
          <w:color w:val="16988A"/>
          <w:sz w:val="36"/>
          <w:szCs w:val="36"/>
        </w:rPr>
        <w:tab/>
      </w:r>
    </w:p>
    <w:p w14:paraId="0F244FA4" w14:textId="77777777" w:rsidR="007C7920" w:rsidRPr="007C7920" w:rsidRDefault="007C7920" w:rsidP="007C7920"/>
    <w:p w14:paraId="2AAFFBEE" w14:textId="28ADCA04" w:rsidR="00497D82" w:rsidRPr="003625BA" w:rsidRDefault="00497D82" w:rsidP="003625BA">
      <w:pPr>
        <w:pStyle w:val="Heading3"/>
        <w:jc w:val="center"/>
        <w:rPr>
          <w:rFonts w:ascii="Arial" w:hAnsi="Arial" w:cs="Arial"/>
          <w:b/>
          <w:bCs/>
          <w:sz w:val="20"/>
          <w:szCs w:val="20"/>
          <w:lang w:val="en-US"/>
        </w:rPr>
      </w:pPr>
      <w:bookmarkStart w:id="311" w:name="_Figure_1.2._Theory"/>
      <w:bookmarkStart w:id="312" w:name="_Toc123217334"/>
      <w:bookmarkStart w:id="313" w:name="_Toc123913307"/>
      <w:bookmarkStart w:id="314" w:name="_Toc123913963"/>
      <w:bookmarkStart w:id="315" w:name="_Toc125566582"/>
      <w:bookmarkEnd w:id="311"/>
      <w:r w:rsidRPr="003625BA">
        <w:rPr>
          <w:rFonts w:ascii="Arial" w:hAnsi="Arial" w:cs="Arial"/>
          <w:b/>
          <w:bCs/>
          <w:color w:val="69557F"/>
          <w:sz w:val="20"/>
          <w:szCs w:val="20"/>
          <w:lang w:val="en-US"/>
        </w:rPr>
        <w:t>Figure 1.2</w:t>
      </w:r>
      <w:r w:rsidR="00FF397A">
        <w:rPr>
          <w:rFonts w:ascii="Arial" w:hAnsi="Arial" w:cs="Arial"/>
          <w:b/>
          <w:bCs/>
          <w:color w:val="69557F"/>
          <w:sz w:val="20"/>
          <w:szCs w:val="20"/>
          <w:lang w:val="en-US"/>
        </w:rPr>
        <w:t>.</w:t>
      </w:r>
      <w:r w:rsidR="00281BF5">
        <w:rPr>
          <w:rFonts w:ascii="Arial" w:hAnsi="Arial" w:cs="Arial"/>
          <w:b/>
          <w:bCs/>
          <w:color w:val="69557F"/>
          <w:sz w:val="20"/>
          <w:szCs w:val="20"/>
          <w:lang w:val="en-US"/>
        </w:rPr>
        <w:t xml:space="preserve"> </w:t>
      </w:r>
      <w:r w:rsidRPr="003625BA">
        <w:rPr>
          <w:rFonts w:ascii="Arial" w:hAnsi="Arial" w:cs="Arial"/>
          <w:b/>
          <w:bCs/>
          <w:color w:val="69557F"/>
          <w:sz w:val="20"/>
          <w:szCs w:val="20"/>
          <w:lang w:val="en-US"/>
        </w:rPr>
        <w:t>Theory of change: From fiscal transparency to policy impact</w:t>
      </w:r>
      <w:bookmarkEnd w:id="312"/>
      <w:bookmarkEnd w:id="313"/>
      <w:bookmarkEnd w:id="314"/>
      <w:bookmarkEnd w:id="315"/>
    </w:p>
    <w:p w14:paraId="0F314B2C" w14:textId="23FB39B0" w:rsidR="00497D82" w:rsidRDefault="008F024A" w:rsidP="00497D82">
      <w:pPr>
        <w:jc w:val="both"/>
        <w:rPr>
          <w:lang w:val="en-US"/>
        </w:rPr>
      </w:pPr>
      <w:r>
        <w:rPr>
          <w:noProof/>
          <w:lang w:val="en-US"/>
        </w:rPr>
        <w:drawing>
          <wp:anchor distT="0" distB="0" distL="114300" distR="114300" simplePos="0" relativeHeight="251797504" behindDoc="1" locked="0" layoutInCell="1" allowOverlap="1" wp14:anchorId="101A5CCF" wp14:editId="210AA557">
            <wp:simplePos x="0" y="0"/>
            <wp:positionH relativeFrom="margin">
              <wp:posOffset>267970</wp:posOffset>
            </wp:positionH>
            <wp:positionV relativeFrom="paragraph">
              <wp:posOffset>158115</wp:posOffset>
            </wp:positionV>
            <wp:extent cx="6109970" cy="2927350"/>
            <wp:effectExtent l="0" t="0" r="0" b="0"/>
            <wp:wrapTight wrapText="bothSides">
              <wp:wrapPolygon edited="0">
                <wp:start x="10416" y="469"/>
                <wp:lineTo x="10192" y="1968"/>
                <wp:lineTo x="9832" y="2343"/>
                <wp:lineTo x="9922" y="2999"/>
                <wp:lineTo x="17914" y="3655"/>
                <wp:lineTo x="11449" y="4030"/>
                <wp:lineTo x="11449" y="4967"/>
                <wp:lineTo x="17689" y="5154"/>
                <wp:lineTo x="7812" y="5904"/>
                <wp:lineTo x="7812" y="6560"/>
                <wp:lineTo x="6869" y="6841"/>
                <wp:lineTo x="6914" y="8153"/>
                <wp:lineTo x="6196" y="9652"/>
                <wp:lineTo x="5433" y="10870"/>
                <wp:lineTo x="5343" y="11151"/>
                <wp:lineTo x="5343" y="11714"/>
                <wp:lineTo x="7812" y="12651"/>
                <wp:lineTo x="9473" y="12651"/>
                <wp:lineTo x="5028" y="13307"/>
                <wp:lineTo x="5028" y="13963"/>
                <wp:lineTo x="2963" y="14150"/>
                <wp:lineTo x="2918" y="14712"/>
                <wp:lineTo x="3367" y="15649"/>
                <wp:lineTo x="2829" y="17149"/>
                <wp:lineTo x="1616" y="18367"/>
                <wp:lineTo x="180" y="19398"/>
                <wp:lineTo x="224" y="20054"/>
                <wp:lineTo x="4086" y="20148"/>
                <wp:lineTo x="853" y="20522"/>
                <wp:lineTo x="135" y="20710"/>
                <wp:lineTo x="224" y="21459"/>
                <wp:lineTo x="494" y="21459"/>
                <wp:lineTo x="10147" y="21272"/>
                <wp:lineTo x="12661" y="21085"/>
                <wp:lineTo x="12571" y="20148"/>
                <wp:lineTo x="12841" y="18648"/>
                <wp:lineTo x="14457" y="17149"/>
                <wp:lineTo x="14771" y="15649"/>
                <wp:lineTo x="14996" y="14150"/>
                <wp:lineTo x="15669" y="14150"/>
                <wp:lineTo x="16792" y="13213"/>
                <wp:lineTo x="16747" y="12651"/>
                <wp:lineTo x="17016" y="11151"/>
                <wp:lineTo x="18722" y="9746"/>
                <wp:lineTo x="18767" y="9652"/>
                <wp:lineTo x="19081" y="8340"/>
                <wp:lineTo x="19081" y="8153"/>
                <wp:lineTo x="19306" y="6653"/>
                <wp:lineTo x="20293" y="6653"/>
                <wp:lineTo x="21281" y="5904"/>
                <wp:lineTo x="21236" y="5154"/>
                <wp:lineTo x="21461" y="3655"/>
                <wp:lineTo x="21551" y="2530"/>
                <wp:lineTo x="20563" y="2436"/>
                <wp:lineTo x="21191" y="2062"/>
                <wp:lineTo x="21057" y="469"/>
                <wp:lineTo x="10416" y="469"/>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6109970" cy="292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3569F" w14:textId="55A487D1" w:rsidR="00497D82" w:rsidRDefault="00497D82" w:rsidP="007C7920">
      <w:pPr>
        <w:rPr>
          <w:lang w:val="en-US"/>
        </w:rPr>
      </w:pPr>
    </w:p>
    <w:p w14:paraId="32E78510" w14:textId="77777777" w:rsidR="00497D82" w:rsidRDefault="00497D82" w:rsidP="00497D82">
      <w:pPr>
        <w:jc w:val="both"/>
        <w:rPr>
          <w:lang w:val="en-US"/>
        </w:rPr>
      </w:pPr>
    </w:p>
    <w:p w14:paraId="21A2F4A1" w14:textId="5DD76AA6" w:rsidR="00497D82" w:rsidRDefault="00497D82" w:rsidP="00C77504">
      <w:pPr>
        <w:rPr>
          <w:lang w:val="en-US"/>
        </w:rPr>
      </w:pPr>
    </w:p>
    <w:p w14:paraId="7726C67B" w14:textId="77777777" w:rsidR="007C7920" w:rsidRDefault="007C7920" w:rsidP="00497D82">
      <w:pPr>
        <w:spacing w:after="160" w:line="259" w:lineRule="auto"/>
        <w:contextualSpacing/>
        <w:jc w:val="both"/>
      </w:pPr>
    </w:p>
    <w:p w14:paraId="04572734" w14:textId="77777777" w:rsidR="007C7920" w:rsidRDefault="007C7920" w:rsidP="00497D82">
      <w:pPr>
        <w:spacing w:after="160" w:line="259" w:lineRule="auto"/>
        <w:contextualSpacing/>
        <w:jc w:val="both"/>
      </w:pPr>
    </w:p>
    <w:p w14:paraId="54DB33EF" w14:textId="77777777" w:rsidR="007C7920" w:rsidRDefault="007C7920" w:rsidP="00497D82">
      <w:pPr>
        <w:spacing w:after="160" w:line="259" w:lineRule="auto"/>
        <w:contextualSpacing/>
        <w:jc w:val="both"/>
      </w:pPr>
    </w:p>
    <w:p w14:paraId="3639BF49" w14:textId="77777777" w:rsidR="007C7920" w:rsidRDefault="007C7920" w:rsidP="00497D82">
      <w:pPr>
        <w:spacing w:after="160" w:line="259" w:lineRule="auto"/>
        <w:contextualSpacing/>
        <w:jc w:val="both"/>
      </w:pPr>
    </w:p>
    <w:p w14:paraId="2F43490C" w14:textId="77777777" w:rsidR="007C7920" w:rsidRDefault="007C7920" w:rsidP="00497D82">
      <w:pPr>
        <w:spacing w:after="160" w:line="259" w:lineRule="auto"/>
        <w:contextualSpacing/>
        <w:jc w:val="both"/>
      </w:pPr>
    </w:p>
    <w:p w14:paraId="58433D8C" w14:textId="77777777" w:rsidR="007C7920" w:rsidRDefault="007C7920" w:rsidP="00497D82">
      <w:pPr>
        <w:spacing w:after="160" w:line="259" w:lineRule="auto"/>
        <w:contextualSpacing/>
        <w:jc w:val="both"/>
      </w:pPr>
    </w:p>
    <w:p w14:paraId="72A32C55" w14:textId="77777777" w:rsidR="007C7920" w:rsidRDefault="007C7920" w:rsidP="00497D82">
      <w:pPr>
        <w:spacing w:after="160" w:line="259" w:lineRule="auto"/>
        <w:contextualSpacing/>
        <w:jc w:val="both"/>
      </w:pPr>
    </w:p>
    <w:p w14:paraId="0EE3DC7D" w14:textId="77777777" w:rsidR="007C7920" w:rsidRDefault="007C7920" w:rsidP="00497D82">
      <w:pPr>
        <w:spacing w:after="160" w:line="259" w:lineRule="auto"/>
        <w:contextualSpacing/>
        <w:jc w:val="both"/>
      </w:pPr>
    </w:p>
    <w:p w14:paraId="2F04FF58" w14:textId="77777777" w:rsidR="007C7920" w:rsidRDefault="007C7920" w:rsidP="00497D82">
      <w:pPr>
        <w:spacing w:after="160" w:line="259" w:lineRule="auto"/>
        <w:contextualSpacing/>
        <w:jc w:val="both"/>
      </w:pPr>
    </w:p>
    <w:p w14:paraId="2B54A7D3" w14:textId="77777777" w:rsidR="007C7920" w:rsidRDefault="007C7920" w:rsidP="00497D82">
      <w:pPr>
        <w:spacing w:after="160" w:line="259" w:lineRule="auto"/>
        <w:contextualSpacing/>
        <w:jc w:val="both"/>
      </w:pPr>
    </w:p>
    <w:p w14:paraId="2E5892CC" w14:textId="77777777" w:rsidR="007C7920" w:rsidRDefault="007C7920" w:rsidP="00497D82">
      <w:pPr>
        <w:spacing w:after="160" w:line="259" w:lineRule="auto"/>
        <w:contextualSpacing/>
        <w:jc w:val="both"/>
      </w:pPr>
    </w:p>
    <w:p w14:paraId="1E539DCD" w14:textId="77777777" w:rsidR="007C7920" w:rsidRDefault="007C7920" w:rsidP="00497D82">
      <w:pPr>
        <w:spacing w:after="160" w:line="259" w:lineRule="auto"/>
        <w:contextualSpacing/>
        <w:jc w:val="both"/>
      </w:pPr>
    </w:p>
    <w:p w14:paraId="1AFACDD9" w14:textId="77777777" w:rsidR="007C7920" w:rsidRDefault="007C7920" w:rsidP="00497D82">
      <w:pPr>
        <w:spacing w:after="160" w:line="259" w:lineRule="auto"/>
        <w:contextualSpacing/>
        <w:jc w:val="both"/>
      </w:pPr>
    </w:p>
    <w:p w14:paraId="7BCF38BB" w14:textId="77777777" w:rsidR="007C7920" w:rsidRDefault="007C7920" w:rsidP="00497D82">
      <w:pPr>
        <w:spacing w:after="160" w:line="259" w:lineRule="auto"/>
        <w:contextualSpacing/>
        <w:jc w:val="both"/>
      </w:pPr>
    </w:p>
    <w:p w14:paraId="1F68DA5D" w14:textId="22B7AF5D" w:rsidR="00430903" w:rsidRPr="007C7920" w:rsidRDefault="00497D82" w:rsidP="007C7920">
      <w:pPr>
        <w:spacing w:after="160" w:line="276" w:lineRule="auto"/>
        <w:contextualSpacing/>
        <w:jc w:val="both"/>
        <w:rPr>
          <w:rFonts w:ascii="Arial" w:hAnsi="Arial" w:cs="Arial"/>
          <w:sz w:val="24"/>
          <w:szCs w:val="24"/>
        </w:rPr>
      </w:pPr>
      <w:r w:rsidRPr="007C7920">
        <w:rPr>
          <w:rFonts w:ascii="Arial" w:hAnsi="Arial" w:cs="Arial"/>
          <w:sz w:val="24"/>
          <w:szCs w:val="24"/>
        </w:rPr>
        <w:t xml:space="preserve">The logic behind the theory of change is that access to </w:t>
      </w:r>
      <w:r w:rsidR="000640E9" w:rsidRPr="007C7920">
        <w:rPr>
          <w:rFonts w:ascii="Arial" w:hAnsi="Arial" w:cs="Arial"/>
          <w:sz w:val="24"/>
          <w:szCs w:val="24"/>
        </w:rPr>
        <w:t xml:space="preserve">quality </w:t>
      </w:r>
      <w:r w:rsidRPr="007C7920">
        <w:rPr>
          <w:rFonts w:ascii="Arial" w:hAnsi="Arial" w:cs="Arial"/>
          <w:sz w:val="24"/>
          <w:szCs w:val="24"/>
        </w:rPr>
        <w:t xml:space="preserve">fiscal information is needed </w:t>
      </w:r>
      <w:r w:rsidR="000640E9" w:rsidRPr="007C7920">
        <w:rPr>
          <w:rFonts w:ascii="Arial" w:hAnsi="Arial" w:cs="Arial"/>
          <w:sz w:val="24"/>
          <w:szCs w:val="24"/>
        </w:rPr>
        <w:t xml:space="preserve">for those outside the executive </w:t>
      </w:r>
      <w:r w:rsidRPr="007C7920">
        <w:rPr>
          <w:rFonts w:ascii="Arial" w:hAnsi="Arial" w:cs="Arial"/>
          <w:sz w:val="24"/>
          <w:szCs w:val="24"/>
        </w:rPr>
        <w:t xml:space="preserve">to </w:t>
      </w:r>
      <w:r w:rsidR="00C44590" w:rsidRPr="007C7920">
        <w:rPr>
          <w:rFonts w:ascii="Arial" w:hAnsi="Arial" w:cs="Arial"/>
          <w:sz w:val="24"/>
          <w:szCs w:val="24"/>
        </w:rPr>
        <w:t xml:space="preserve">be able to </w:t>
      </w:r>
      <w:r w:rsidR="000640E9" w:rsidRPr="007C7920">
        <w:rPr>
          <w:rFonts w:ascii="Arial" w:hAnsi="Arial" w:cs="Arial"/>
          <w:sz w:val="24"/>
          <w:szCs w:val="24"/>
        </w:rPr>
        <w:t>engage in any meaningful debate on how government determines fiscal policy and then implements it</w:t>
      </w:r>
      <w:r w:rsidR="00C10A1A" w:rsidRPr="007C7920">
        <w:rPr>
          <w:rFonts w:ascii="Arial" w:hAnsi="Arial" w:cs="Arial"/>
          <w:sz w:val="24"/>
          <w:szCs w:val="24"/>
        </w:rPr>
        <w:t>, that is</w:t>
      </w:r>
      <w:r w:rsidR="00C44590" w:rsidRPr="007C7920">
        <w:rPr>
          <w:rFonts w:ascii="Arial" w:hAnsi="Arial" w:cs="Arial"/>
          <w:sz w:val="24"/>
          <w:szCs w:val="24"/>
        </w:rPr>
        <w:t>,</w:t>
      </w:r>
      <w:r w:rsidR="00C10A1A" w:rsidRPr="007C7920">
        <w:rPr>
          <w:rFonts w:ascii="Arial" w:hAnsi="Arial" w:cs="Arial"/>
          <w:sz w:val="24"/>
          <w:szCs w:val="24"/>
        </w:rPr>
        <w:t xml:space="preserve"> </w:t>
      </w:r>
      <w:r w:rsidR="00C44590" w:rsidRPr="007C7920">
        <w:rPr>
          <w:rFonts w:ascii="Arial" w:hAnsi="Arial" w:cs="Arial"/>
          <w:sz w:val="24"/>
          <w:szCs w:val="24"/>
        </w:rPr>
        <w:t xml:space="preserve">it allows them </w:t>
      </w:r>
      <w:r w:rsidR="00C10A1A" w:rsidRPr="007C7920">
        <w:rPr>
          <w:rFonts w:ascii="Arial" w:hAnsi="Arial" w:cs="Arial"/>
          <w:sz w:val="24"/>
          <w:szCs w:val="24"/>
          <w:lang w:val="en-US"/>
        </w:rPr>
        <w:t xml:space="preserve">to contribute to policy decisions on revenues and spending, and </w:t>
      </w:r>
      <w:r w:rsidR="00C44590" w:rsidRPr="007C7920">
        <w:rPr>
          <w:rFonts w:ascii="Arial" w:hAnsi="Arial" w:cs="Arial"/>
          <w:sz w:val="24"/>
          <w:szCs w:val="24"/>
          <w:lang w:val="en-US"/>
        </w:rPr>
        <w:t>to check</w:t>
      </w:r>
      <w:r w:rsidR="00C10A1A" w:rsidRPr="007C7920">
        <w:rPr>
          <w:rFonts w:ascii="Arial" w:hAnsi="Arial" w:cs="Arial"/>
          <w:sz w:val="24"/>
          <w:szCs w:val="24"/>
          <w:lang w:val="en-US"/>
        </w:rPr>
        <w:t xml:space="preserve"> budget implementation </w:t>
      </w:r>
      <w:r w:rsidR="00C44590" w:rsidRPr="007C7920">
        <w:rPr>
          <w:rFonts w:ascii="Arial" w:hAnsi="Arial" w:cs="Arial"/>
          <w:sz w:val="24"/>
          <w:szCs w:val="24"/>
          <w:lang w:val="en-US"/>
        </w:rPr>
        <w:t xml:space="preserve">with the aim of </w:t>
      </w:r>
      <w:r w:rsidR="00C10A1A" w:rsidRPr="007C7920">
        <w:rPr>
          <w:rFonts w:ascii="Arial" w:hAnsi="Arial" w:cs="Arial"/>
          <w:sz w:val="24"/>
          <w:szCs w:val="24"/>
          <w:lang w:val="en-US"/>
        </w:rPr>
        <w:t>ensur</w:t>
      </w:r>
      <w:r w:rsidR="00C44590" w:rsidRPr="007C7920">
        <w:rPr>
          <w:rFonts w:ascii="Arial" w:hAnsi="Arial" w:cs="Arial"/>
          <w:sz w:val="24"/>
          <w:szCs w:val="24"/>
          <w:lang w:val="en-US"/>
        </w:rPr>
        <w:t>ing that</w:t>
      </w:r>
      <w:r w:rsidR="00C10A1A" w:rsidRPr="007C7920">
        <w:rPr>
          <w:rFonts w:ascii="Arial" w:hAnsi="Arial" w:cs="Arial"/>
          <w:sz w:val="24"/>
          <w:szCs w:val="24"/>
          <w:lang w:val="en-US"/>
        </w:rPr>
        <w:t xml:space="preserve"> budget plans are implemented</w:t>
      </w:r>
      <w:r w:rsidR="00ED6A1B" w:rsidRPr="007C7920">
        <w:rPr>
          <w:rFonts w:ascii="Arial" w:hAnsi="Arial" w:cs="Arial"/>
          <w:sz w:val="24"/>
          <w:szCs w:val="24"/>
          <w:lang w:val="en-US"/>
        </w:rPr>
        <w:t>,</w:t>
      </w:r>
      <w:r w:rsidR="00C10A1A" w:rsidRPr="007C7920">
        <w:rPr>
          <w:rFonts w:ascii="Arial" w:hAnsi="Arial" w:cs="Arial"/>
          <w:sz w:val="24"/>
          <w:szCs w:val="24"/>
          <w:lang w:val="en-US"/>
        </w:rPr>
        <w:t xml:space="preserve"> and that public spending delivers results</w:t>
      </w:r>
      <w:r w:rsidR="000640E9" w:rsidRPr="007C7920">
        <w:rPr>
          <w:rFonts w:ascii="Arial" w:hAnsi="Arial" w:cs="Arial"/>
          <w:sz w:val="24"/>
          <w:szCs w:val="24"/>
        </w:rPr>
        <w:t xml:space="preserve">. </w:t>
      </w:r>
      <w:r w:rsidRPr="007C7920">
        <w:rPr>
          <w:rFonts w:ascii="Arial" w:hAnsi="Arial" w:cs="Arial"/>
          <w:sz w:val="24"/>
          <w:szCs w:val="24"/>
        </w:rPr>
        <w:t xml:space="preserve"> </w:t>
      </w:r>
      <w:r w:rsidR="00430903" w:rsidRPr="007C7920">
        <w:rPr>
          <w:rFonts w:ascii="Arial" w:hAnsi="Arial" w:cs="Arial"/>
          <w:sz w:val="24"/>
          <w:szCs w:val="24"/>
        </w:rPr>
        <w:t xml:space="preserve">It also assists </w:t>
      </w:r>
      <w:r w:rsidR="000640E9" w:rsidRPr="007C7920">
        <w:rPr>
          <w:rFonts w:ascii="Arial" w:hAnsi="Arial" w:cs="Arial"/>
          <w:sz w:val="24"/>
          <w:szCs w:val="24"/>
        </w:rPr>
        <w:t xml:space="preserve">public officials within </w:t>
      </w:r>
      <w:r w:rsidR="00C44590" w:rsidRPr="007C7920">
        <w:rPr>
          <w:rFonts w:ascii="Arial" w:hAnsi="Arial" w:cs="Arial"/>
          <w:sz w:val="24"/>
          <w:szCs w:val="24"/>
        </w:rPr>
        <w:t xml:space="preserve">the executive, </w:t>
      </w:r>
      <w:r w:rsidR="00ED6A1B" w:rsidRPr="007C7920">
        <w:rPr>
          <w:rFonts w:ascii="Arial" w:hAnsi="Arial" w:cs="Arial"/>
          <w:sz w:val="24"/>
          <w:szCs w:val="24"/>
        </w:rPr>
        <w:t>for instance,</w:t>
      </w:r>
      <w:r w:rsidR="00C44590" w:rsidRPr="007C7920">
        <w:rPr>
          <w:rFonts w:ascii="Arial" w:hAnsi="Arial" w:cs="Arial"/>
          <w:sz w:val="24"/>
          <w:szCs w:val="24"/>
        </w:rPr>
        <w:t xml:space="preserve"> those outside the ministry of finance</w:t>
      </w:r>
      <w:r w:rsidR="00ED6A1B" w:rsidRPr="007C7920">
        <w:rPr>
          <w:rFonts w:ascii="Arial" w:hAnsi="Arial" w:cs="Arial"/>
          <w:sz w:val="24"/>
          <w:szCs w:val="24"/>
        </w:rPr>
        <w:t>,</w:t>
      </w:r>
      <w:r w:rsidR="00C44590" w:rsidRPr="007C7920">
        <w:rPr>
          <w:rFonts w:ascii="Arial" w:hAnsi="Arial" w:cs="Arial"/>
          <w:sz w:val="24"/>
          <w:szCs w:val="24"/>
        </w:rPr>
        <w:t xml:space="preserve"> in understanding and contributing to the development </w:t>
      </w:r>
      <w:r w:rsidR="00ED6A1B" w:rsidRPr="007C7920">
        <w:rPr>
          <w:rFonts w:ascii="Arial" w:hAnsi="Arial" w:cs="Arial"/>
          <w:sz w:val="24"/>
          <w:szCs w:val="24"/>
        </w:rPr>
        <w:t xml:space="preserve">and implementation </w:t>
      </w:r>
      <w:r w:rsidR="00C44590" w:rsidRPr="007C7920">
        <w:rPr>
          <w:rFonts w:ascii="Arial" w:hAnsi="Arial" w:cs="Arial"/>
          <w:sz w:val="24"/>
          <w:szCs w:val="24"/>
        </w:rPr>
        <w:t>of fiscal policy goals. Fiscal transparency assist</w:t>
      </w:r>
      <w:r w:rsidR="00BB5B8D" w:rsidRPr="007C7920">
        <w:rPr>
          <w:rFonts w:ascii="Arial" w:hAnsi="Arial" w:cs="Arial"/>
          <w:sz w:val="24"/>
          <w:szCs w:val="24"/>
        </w:rPr>
        <w:t>s</w:t>
      </w:r>
      <w:r w:rsidR="00C44590" w:rsidRPr="007C7920">
        <w:rPr>
          <w:rFonts w:ascii="Arial" w:hAnsi="Arial" w:cs="Arial"/>
          <w:sz w:val="24"/>
          <w:szCs w:val="24"/>
        </w:rPr>
        <w:t xml:space="preserve"> the </w:t>
      </w:r>
      <w:r w:rsidR="000640E9" w:rsidRPr="007C7920">
        <w:rPr>
          <w:rFonts w:ascii="Arial" w:hAnsi="Arial" w:cs="Arial"/>
          <w:sz w:val="24"/>
          <w:szCs w:val="24"/>
        </w:rPr>
        <w:t xml:space="preserve">executive </w:t>
      </w:r>
      <w:r w:rsidR="00430903" w:rsidRPr="007C7920">
        <w:rPr>
          <w:rFonts w:ascii="Arial" w:hAnsi="Arial" w:cs="Arial"/>
          <w:sz w:val="24"/>
          <w:szCs w:val="24"/>
        </w:rPr>
        <w:t xml:space="preserve">in doing self-assessments of </w:t>
      </w:r>
      <w:r w:rsidR="007F7FF2" w:rsidRPr="007C7920">
        <w:rPr>
          <w:rFonts w:ascii="Arial" w:hAnsi="Arial" w:cs="Arial"/>
          <w:sz w:val="24"/>
          <w:szCs w:val="24"/>
        </w:rPr>
        <w:t>government’s</w:t>
      </w:r>
      <w:r w:rsidR="00430903" w:rsidRPr="007C7920">
        <w:rPr>
          <w:rFonts w:ascii="Arial" w:hAnsi="Arial" w:cs="Arial"/>
          <w:sz w:val="24"/>
          <w:szCs w:val="24"/>
        </w:rPr>
        <w:t xml:space="preserve"> progress</w:t>
      </w:r>
      <w:r w:rsidR="007F7FF2" w:rsidRPr="007C7920">
        <w:rPr>
          <w:rFonts w:ascii="Arial" w:hAnsi="Arial" w:cs="Arial"/>
          <w:sz w:val="24"/>
          <w:szCs w:val="24"/>
        </w:rPr>
        <w:t xml:space="preserve"> in reaching its goals</w:t>
      </w:r>
      <w:r w:rsidR="00430903" w:rsidRPr="007C7920">
        <w:rPr>
          <w:rFonts w:ascii="Arial" w:hAnsi="Arial" w:cs="Arial"/>
          <w:sz w:val="24"/>
          <w:szCs w:val="24"/>
        </w:rPr>
        <w:t xml:space="preserve">, and </w:t>
      </w:r>
      <w:r w:rsidR="007F7FF2" w:rsidRPr="007C7920">
        <w:rPr>
          <w:rFonts w:ascii="Arial" w:hAnsi="Arial" w:cs="Arial"/>
          <w:sz w:val="24"/>
          <w:szCs w:val="24"/>
        </w:rPr>
        <w:t>in</w:t>
      </w:r>
      <w:r w:rsidR="00430903" w:rsidRPr="007C7920">
        <w:rPr>
          <w:rFonts w:ascii="Arial" w:hAnsi="Arial" w:cs="Arial"/>
          <w:sz w:val="24"/>
          <w:szCs w:val="24"/>
        </w:rPr>
        <w:t xml:space="preserve"> </w:t>
      </w:r>
      <w:r w:rsidR="007F7FF2" w:rsidRPr="007C7920">
        <w:rPr>
          <w:rFonts w:ascii="Arial" w:hAnsi="Arial" w:cs="Arial"/>
          <w:sz w:val="24"/>
          <w:szCs w:val="24"/>
        </w:rPr>
        <w:t xml:space="preserve">managing </w:t>
      </w:r>
      <w:r w:rsidR="00F83090" w:rsidRPr="007C7920">
        <w:rPr>
          <w:rFonts w:ascii="Arial" w:hAnsi="Arial" w:cs="Arial"/>
          <w:sz w:val="24"/>
          <w:szCs w:val="24"/>
        </w:rPr>
        <w:t>its</w:t>
      </w:r>
      <w:r w:rsidR="007F7FF2" w:rsidRPr="007C7920">
        <w:rPr>
          <w:rFonts w:ascii="Arial" w:hAnsi="Arial" w:cs="Arial"/>
          <w:sz w:val="24"/>
          <w:szCs w:val="24"/>
        </w:rPr>
        <w:t xml:space="preserve"> own performance</w:t>
      </w:r>
      <w:r w:rsidR="00430903" w:rsidRPr="007C7920">
        <w:rPr>
          <w:rFonts w:ascii="Arial" w:hAnsi="Arial" w:cs="Arial"/>
          <w:sz w:val="24"/>
          <w:szCs w:val="24"/>
        </w:rPr>
        <w:t xml:space="preserve">, where necessary. </w:t>
      </w:r>
    </w:p>
    <w:p w14:paraId="78B7DDF6" w14:textId="77777777" w:rsidR="000640E9" w:rsidRPr="007C7920" w:rsidRDefault="000640E9" w:rsidP="007C7920">
      <w:pPr>
        <w:spacing w:after="160" w:line="276" w:lineRule="auto"/>
        <w:contextualSpacing/>
        <w:jc w:val="both"/>
        <w:rPr>
          <w:rFonts w:ascii="Arial" w:hAnsi="Arial" w:cs="Arial"/>
          <w:sz w:val="24"/>
          <w:szCs w:val="24"/>
        </w:rPr>
      </w:pPr>
    </w:p>
    <w:p w14:paraId="26E0BDB5" w14:textId="0F4A40B7" w:rsidR="00497D82" w:rsidRPr="007C7920" w:rsidRDefault="00497D82" w:rsidP="007C7920">
      <w:pPr>
        <w:spacing w:after="160" w:line="276" w:lineRule="auto"/>
        <w:contextualSpacing/>
        <w:jc w:val="both"/>
        <w:rPr>
          <w:rFonts w:ascii="Arial" w:hAnsi="Arial" w:cs="Arial"/>
          <w:sz w:val="24"/>
          <w:szCs w:val="24"/>
        </w:rPr>
      </w:pPr>
      <w:r w:rsidRPr="007C7920">
        <w:rPr>
          <w:rFonts w:ascii="Arial" w:hAnsi="Arial" w:cs="Arial"/>
          <w:sz w:val="24"/>
          <w:szCs w:val="24"/>
        </w:rPr>
        <w:t xml:space="preserve">While quality information is required for the public to be able to engage in discussions and deliberations, public participation provides opportunities for these discussions to take place, allowing society to have a say on how the government uses scarce resources to achieve societal goals. </w:t>
      </w:r>
      <w:r w:rsidR="007F7FF2" w:rsidRPr="007C7920">
        <w:rPr>
          <w:rFonts w:ascii="Arial" w:hAnsi="Arial" w:cs="Arial"/>
          <w:sz w:val="24"/>
          <w:szCs w:val="24"/>
          <w:lang w:val="en-US"/>
        </w:rPr>
        <w:t xml:space="preserve">Public participation opportunities can </w:t>
      </w:r>
      <w:r w:rsidR="001931D1" w:rsidRPr="007C7920">
        <w:rPr>
          <w:rFonts w:ascii="Arial" w:hAnsi="Arial" w:cs="Arial"/>
          <w:sz w:val="24"/>
          <w:szCs w:val="24"/>
          <w:lang w:val="en-US"/>
        </w:rPr>
        <w:t xml:space="preserve">take place through a variety of mechanisms, </w:t>
      </w:r>
      <w:r w:rsidR="007F7FF2" w:rsidRPr="007C7920">
        <w:rPr>
          <w:rFonts w:ascii="Arial" w:hAnsi="Arial" w:cs="Arial"/>
          <w:sz w:val="24"/>
          <w:szCs w:val="24"/>
          <w:lang w:val="en-US"/>
        </w:rPr>
        <w:t>be</w:t>
      </w:r>
      <w:r w:rsidR="00430903" w:rsidRPr="007C7920">
        <w:rPr>
          <w:rFonts w:ascii="Arial" w:hAnsi="Arial" w:cs="Arial"/>
          <w:sz w:val="24"/>
          <w:szCs w:val="24"/>
          <w:lang w:val="en-US"/>
        </w:rPr>
        <w:t xml:space="preserve"> formal or informal, government-led or public-led processes</w:t>
      </w:r>
      <w:r w:rsidR="007F7FF2" w:rsidRPr="007C7920">
        <w:rPr>
          <w:rFonts w:ascii="Arial" w:hAnsi="Arial" w:cs="Arial"/>
          <w:sz w:val="24"/>
          <w:szCs w:val="24"/>
          <w:lang w:val="en-US"/>
        </w:rPr>
        <w:t>, with</w:t>
      </w:r>
      <w:r w:rsidR="00430903" w:rsidRPr="007C7920">
        <w:rPr>
          <w:rFonts w:ascii="Arial" w:hAnsi="Arial" w:cs="Arial"/>
          <w:sz w:val="24"/>
          <w:szCs w:val="24"/>
          <w:lang w:val="en-US"/>
        </w:rPr>
        <w:t xml:space="preserve"> members of the public </w:t>
      </w:r>
      <w:r w:rsidR="007F7FF2" w:rsidRPr="007C7920">
        <w:rPr>
          <w:rFonts w:ascii="Arial" w:hAnsi="Arial" w:cs="Arial"/>
          <w:sz w:val="24"/>
          <w:szCs w:val="24"/>
          <w:lang w:val="en-US"/>
        </w:rPr>
        <w:t xml:space="preserve">acting </w:t>
      </w:r>
      <w:r w:rsidR="00430903" w:rsidRPr="007C7920">
        <w:rPr>
          <w:rFonts w:ascii="Arial" w:hAnsi="Arial" w:cs="Arial"/>
          <w:sz w:val="24"/>
          <w:szCs w:val="24"/>
          <w:lang w:val="en-US"/>
        </w:rPr>
        <w:t>individually or collectively.</w:t>
      </w:r>
      <w:r w:rsidR="001931D1" w:rsidRPr="007C7920">
        <w:rPr>
          <w:rFonts w:ascii="Arial" w:hAnsi="Arial" w:cs="Arial"/>
          <w:sz w:val="24"/>
          <w:szCs w:val="24"/>
          <w:lang w:val="en-US"/>
        </w:rPr>
        <w:t xml:space="preserve"> </w:t>
      </w:r>
      <w:r w:rsidR="007F7FF2" w:rsidRPr="007C7920">
        <w:rPr>
          <w:rFonts w:ascii="Arial" w:hAnsi="Arial" w:cs="Arial"/>
          <w:sz w:val="24"/>
          <w:szCs w:val="24"/>
          <w:lang w:val="en-US"/>
        </w:rPr>
        <w:t xml:space="preserve">Public participation </w:t>
      </w:r>
      <w:r w:rsidR="00B6168D" w:rsidRPr="007C7920">
        <w:rPr>
          <w:rFonts w:ascii="Arial" w:hAnsi="Arial" w:cs="Arial"/>
          <w:sz w:val="24"/>
          <w:szCs w:val="24"/>
          <w:lang w:val="en-US"/>
        </w:rPr>
        <w:t>efforts</w:t>
      </w:r>
      <w:r w:rsidR="007F7FF2" w:rsidRPr="007C7920">
        <w:rPr>
          <w:rFonts w:ascii="Arial" w:hAnsi="Arial" w:cs="Arial"/>
          <w:sz w:val="24"/>
          <w:szCs w:val="24"/>
          <w:lang w:val="en-US"/>
        </w:rPr>
        <w:t xml:space="preserve"> should </w:t>
      </w:r>
      <w:r w:rsidR="00ED6A1B" w:rsidRPr="007C7920">
        <w:rPr>
          <w:rFonts w:ascii="Arial" w:hAnsi="Arial" w:cs="Arial"/>
          <w:sz w:val="24"/>
          <w:szCs w:val="24"/>
          <w:lang w:val="en-US"/>
        </w:rPr>
        <w:t xml:space="preserve">be </w:t>
      </w:r>
      <w:r w:rsidR="007F7FF2" w:rsidRPr="007C7920">
        <w:rPr>
          <w:rFonts w:ascii="Arial" w:hAnsi="Arial" w:cs="Arial"/>
          <w:sz w:val="24"/>
          <w:szCs w:val="24"/>
          <w:lang w:val="en-US"/>
        </w:rPr>
        <w:t>inclu</w:t>
      </w:r>
      <w:r w:rsidR="00ED6A1B" w:rsidRPr="007C7920">
        <w:rPr>
          <w:rFonts w:ascii="Arial" w:hAnsi="Arial" w:cs="Arial"/>
          <w:sz w:val="24"/>
          <w:szCs w:val="24"/>
          <w:lang w:val="en-US"/>
        </w:rPr>
        <w:t>sive, allowing voices from a diverse spectrum to be heard, particularly marginalized grou</w:t>
      </w:r>
      <w:r w:rsidR="00B6168D" w:rsidRPr="007C7920">
        <w:rPr>
          <w:rFonts w:ascii="Arial" w:hAnsi="Arial" w:cs="Arial"/>
          <w:sz w:val="24"/>
          <w:szCs w:val="24"/>
          <w:lang w:val="en-US"/>
        </w:rPr>
        <w:t xml:space="preserve">ps, </w:t>
      </w:r>
      <w:r w:rsidR="007F7FF2" w:rsidRPr="007C7920">
        <w:rPr>
          <w:rFonts w:ascii="Arial" w:hAnsi="Arial" w:cs="Arial"/>
          <w:sz w:val="24"/>
          <w:szCs w:val="24"/>
          <w:lang w:val="en-US"/>
        </w:rPr>
        <w:t xml:space="preserve">reaching out to them </w:t>
      </w:r>
      <w:r w:rsidR="001931D1" w:rsidRPr="007C7920">
        <w:rPr>
          <w:rFonts w:ascii="Arial" w:hAnsi="Arial" w:cs="Arial"/>
          <w:sz w:val="24"/>
          <w:szCs w:val="24"/>
          <w:lang w:val="en-US"/>
        </w:rPr>
        <w:t xml:space="preserve">with the aim of </w:t>
      </w:r>
      <w:r w:rsidR="007F7FF2" w:rsidRPr="007C7920">
        <w:rPr>
          <w:rFonts w:ascii="Arial" w:hAnsi="Arial" w:cs="Arial"/>
          <w:sz w:val="24"/>
          <w:szCs w:val="24"/>
          <w:lang w:val="en-US"/>
        </w:rPr>
        <w:t>serv</w:t>
      </w:r>
      <w:r w:rsidR="001931D1" w:rsidRPr="007C7920">
        <w:rPr>
          <w:rFonts w:ascii="Arial" w:hAnsi="Arial" w:cs="Arial"/>
          <w:sz w:val="24"/>
          <w:szCs w:val="24"/>
          <w:lang w:val="en-US"/>
        </w:rPr>
        <w:t>ing</w:t>
      </w:r>
      <w:r w:rsidR="007F7FF2" w:rsidRPr="007C7920">
        <w:rPr>
          <w:rFonts w:ascii="Arial" w:hAnsi="Arial" w:cs="Arial"/>
          <w:sz w:val="24"/>
          <w:szCs w:val="24"/>
          <w:lang w:val="en-US"/>
        </w:rPr>
        <w:t xml:space="preserve"> them </w:t>
      </w:r>
      <w:r w:rsidR="007F7FF2" w:rsidRPr="007C7920">
        <w:rPr>
          <w:rFonts w:ascii="Arial" w:hAnsi="Arial" w:cs="Arial"/>
          <w:sz w:val="24"/>
          <w:szCs w:val="24"/>
          <w:lang w:val="en-US"/>
        </w:rPr>
        <w:lastRenderedPageBreak/>
        <w:t xml:space="preserve">better. </w:t>
      </w:r>
      <w:r w:rsidR="001931D1" w:rsidRPr="007C7920">
        <w:rPr>
          <w:rFonts w:ascii="Arial" w:hAnsi="Arial" w:cs="Arial"/>
          <w:sz w:val="24"/>
          <w:szCs w:val="24"/>
          <w:lang w:val="en-US"/>
        </w:rPr>
        <w:t>W</w:t>
      </w:r>
      <w:r w:rsidR="00430903" w:rsidRPr="007C7920">
        <w:rPr>
          <w:rFonts w:ascii="Arial" w:hAnsi="Arial" w:cs="Arial"/>
          <w:sz w:val="24"/>
          <w:szCs w:val="24"/>
          <w:lang w:val="en-US"/>
        </w:rPr>
        <w:t>ell informed members of the public can engage in meaningful deliberations</w:t>
      </w:r>
      <w:r w:rsidR="001931D1" w:rsidRPr="007C7920">
        <w:rPr>
          <w:rFonts w:ascii="Arial" w:hAnsi="Arial" w:cs="Arial"/>
          <w:sz w:val="24"/>
          <w:szCs w:val="24"/>
          <w:lang w:val="en-US"/>
        </w:rPr>
        <w:t xml:space="preserve">, </w:t>
      </w:r>
      <w:r w:rsidR="00430903" w:rsidRPr="007C7920">
        <w:rPr>
          <w:rFonts w:ascii="Arial" w:hAnsi="Arial" w:cs="Arial"/>
          <w:sz w:val="24"/>
          <w:szCs w:val="24"/>
          <w:lang w:val="en-US"/>
        </w:rPr>
        <w:t>potential</w:t>
      </w:r>
      <w:r w:rsidR="001931D1" w:rsidRPr="007C7920">
        <w:rPr>
          <w:rFonts w:ascii="Arial" w:hAnsi="Arial" w:cs="Arial"/>
          <w:sz w:val="24"/>
          <w:szCs w:val="24"/>
          <w:lang w:val="en-US"/>
        </w:rPr>
        <w:t xml:space="preserve">ly enhancing </w:t>
      </w:r>
      <w:r w:rsidR="00430903" w:rsidRPr="007C7920">
        <w:rPr>
          <w:rFonts w:ascii="Arial" w:hAnsi="Arial" w:cs="Arial"/>
          <w:sz w:val="24"/>
          <w:szCs w:val="24"/>
          <w:lang w:val="en-US"/>
        </w:rPr>
        <w:t xml:space="preserve">the formulation and implementation of government budgets. </w:t>
      </w:r>
      <w:r w:rsidR="007F7FF2" w:rsidRPr="007C7920">
        <w:rPr>
          <w:rFonts w:ascii="Arial" w:hAnsi="Arial" w:cs="Arial"/>
          <w:sz w:val="24"/>
          <w:szCs w:val="24"/>
        </w:rPr>
        <w:t>Public participation</w:t>
      </w:r>
      <w:r w:rsidRPr="007C7920">
        <w:rPr>
          <w:rFonts w:ascii="Arial" w:hAnsi="Arial" w:cs="Arial"/>
          <w:sz w:val="24"/>
          <w:szCs w:val="24"/>
        </w:rPr>
        <w:t xml:space="preserve"> helps ensure that budget trade-offs—limited resource availability means that increases in spending in some areas are at the expense of spending in other areas—are in the public interest, and that fiscal policy implementation challenges are resolved over time. This is based on the fundamental premise that the executive branch simply cannot do everything on its own. Fiscal transparency helps ensure that public policy decisions are informed and that governments can take better decisions and implement them with the support of informed social actors that demand, and then use information to advocate for social change, engage with, and hold governments to account. Public participation can be seen as a link in the chain between fiscal transparency and more effective accountability for </w:t>
      </w:r>
      <w:r w:rsidR="001931D1" w:rsidRPr="007C7920">
        <w:rPr>
          <w:rFonts w:ascii="Arial" w:hAnsi="Arial" w:cs="Arial"/>
          <w:sz w:val="24"/>
          <w:szCs w:val="24"/>
        </w:rPr>
        <w:t>PFM</w:t>
      </w:r>
      <w:r w:rsidRPr="007C7920">
        <w:rPr>
          <w:rFonts w:ascii="Arial" w:hAnsi="Arial" w:cs="Arial"/>
          <w:sz w:val="24"/>
          <w:szCs w:val="24"/>
        </w:rPr>
        <w:t xml:space="preserve">. </w:t>
      </w:r>
    </w:p>
    <w:p w14:paraId="74277BF3" w14:textId="77777777" w:rsidR="00497D82" w:rsidRPr="007C7920" w:rsidRDefault="00497D82" w:rsidP="007C7920">
      <w:pPr>
        <w:spacing w:after="160" w:line="276" w:lineRule="auto"/>
        <w:contextualSpacing/>
        <w:jc w:val="both"/>
        <w:rPr>
          <w:rFonts w:ascii="Arial" w:hAnsi="Arial" w:cs="Arial"/>
          <w:sz w:val="24"/>
          <w:szCs w:val="24"/>
        </w:rPr>
      </w:pPr>
    </w:p>
    <w:p w14:paraId="2D95BB00" w14:textId="093866DD" w:rsidR="00350390" w:rsidRDefault="00497D82" w:rsidP="007C7920">
      <w:pPr>
        <w:spacing w:after="160" w:line="276" w:lineRule="auto"/>
        <w:contextualSpacing/>
        <w:jc w:val="both"/>
        <w:rPr>
          <w:rFonts w:ascii="Arial" w:hAnsi="Arial" w:cs="Arial"/>
          <w:sz w:val="24"/>
          <w:szCs w:val="24"/>
        </w:rPr>
      </w:pPr>
      <w:r w:rsidRPr="007C7920">
        <w:rPr>
          <w:rFonts w:ascii="Arial" w:hAnsi="Arial" w:cs="Arial"/>
          <w:sz w:val="24"/>
          <w:szCs w:val="24"/>
        </w:rPr>
        <w:t>Fiscal transparency</w:t>
      </w:r>
      <w:r w:rsidR="007F7FF2" w:rsidRPr="007C7920">
        <w:rPr>
          <w:rFonts w:ascii="Arial" w:hAnsi="Arial" w:cs="Arial"/>
          <w:sz w:val="24"/>
          <w:szCs w:val="24"/>
        </w:rPr>
        <w:t xml:space="preserve"> </w:t>
      </w:r>
      <w:r w:rsidRPr="007C7920">
        <w:rPr>
          <w:rFonts w:ascii="Arial" w:hAnsi="Arial" w:cs="Arial"/>
          <w:sz w:val="24"/>
          <w:szCs w:val="24"/>
        </w:rPr>
        <w:t xml:space="preserve">provides </w:t>
      </w:r>
      <w:r w:rsidR="00B6168D" w:rsidRPr="007C7920">
        <w:rPr>
          <w:rFonts w:ascii="Arial" w:hAnsi="Arial" w:cs="Arial"/>
          <w:sz w:val="24"/>
          <w:szCs w:val="24"/>
        </w:rPr>
        <w:t xml:space="preserve">independent </w:t>
      </w:r>
      <w:r w:rsidRPr="007C7920">
        <w:rPr>
          <w:rFonts w:ascii="Arial" w:hAnsi="Arial" w:cs="Arial"/>
          <w:sz w:val="24"/>
          <w:szCs w:val="24"/>
        </w:rPr>
        <w:t xml:space="preserve">oversight institutions including parliaments, </w:t>
      </w:r>
      <w:r w:rsidR="00BB5B8D" w:rsidRPr="007C7920">
        <w:rPr>
          <w:rFonts w:ascii="Arial" w:hAnsi="Arial" w:cs="Arial"/>
          <w:sz w:val="24"/>
          <w:szCs w:val="24"/>
        </w:rPr>
        <w:t>SAIs</w:t>
      </w:r>
      <w:r w:rsidRPr="007C7920">
        <w:rPr>
          <w:rFonts w:ascii="Arial" w:hAnsi="Arial" w:cs="Arial"/>
          <w:sz w:val="24"/>
          <w:szCs w:val="24"/>
        </w:rPr>
        <w:t xml:space="preserve">, and the public with the information they need to </w:t>
      </w:r>
      <w:r w:rsidR="00200595" w:rsidRPr="007C7920">
        <w:rPr>
          <w:rFonts w:ascii="Arial" w:hAnsi="Arial" w:cs="Arial"/>
          <w:sz w:val="24"/>
          <w:szCs w:val="24"/>
        </w:rPr>
        <w:t>check if</w:t>
      </w:r>
      <w:r w:rsidR="00200595" w:rsidRPr="007C7920">
        <w:rPr>
          <w:rFonts w:ascii="Arial" w:hAnsi="Arial" w:cs="Arial"/>
          <w:sz w:val="24"/>
          <w:szCs w:val="24"/>
          <w:lang w:val="en-US"/>
        </w:rPr>
        <w:t xml:space="preserve"> budget decisions proposed by the executive and approved by the legislature are implemented as intended and deliver results</w:t>
      </w:r>
      <w:r w:rsidR="00200595" w:rsidRPr="007C7920">
        <w:rPr>
          <w:rFonts w:ascii="Arial" w:hAnsi="Arial" w:cs="Arial"/>
          <w:sz w:val="24"/>
          <w:szCs w:val="24"/>
        </w:rPr>
        <w:t>.</w:t>
      </w:r>
    </w:p>
    <w:p w14:paraId="53CEDD70" w14:textId="77777777" w:rsidR="00D06A91" w:rsidRDefault="00D06A91" w:rsidP="007C7920">
      <w:pPr>
        <w:spacing w:after="160" w:line="276" w:lineRule="auto"/>
        <w:contextualSpacing/>
        <w:jc w:val="both"/>
        <w:rPr>
          <w:rFonts w:ascii="Arial" w:hAnsi="Arial" w:cs="Arial"/>
          <w:sz w:val="24"/>
          <w:szCs w:val="24"/>
        </w:rPr>
      </w:pPr>
    </w:p>
    <w:p w14:paraId="16B5FF4A" w14:textId="1AEC9EB2" w:rsidR="0043476B" w:rsidRDefault="0043476B" w:rsidP="007C7920">
      <w:pPr>
        <w:spacing w:after="160"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820032" behindDoc="0" locked="0" layoutInCell="1" allowOverlap="1" wp14:anchorId="3781CA11" wp14:editId="02E49E5B">
                <wp:simplePos x="0" y="0"/>
                <wp:positionH relativeFrom="margin">
                  <wp:align>center</wp:align>
                </wp:positionH>
                <wp:positionV relativeFrom="paragraph">
                  <wp:posOffset>77597</wp:posOffset>
                </wp:positionV>
                <wp:extent cx="6705600" cy="5930900"/>
                <wp:effectExtent l="0" t="0" r="0" b="0"/>
                <wp:wrapNone/>
                <wp:docPr id="226" name="Rounded Rectangle 226"/>
                <wp:cNvGraphicFramePr/>
                <a:graphic xmlns:a="http://schemas.openxmlformats.org/drawingml/2006/main">
                  <a:graphicData uri="http://schemas.microsoft.com/office/word/2010/wordprocessingShape">
                    <wps:wsp>
                      <wps:cNvSpPr/>
                      <wps:spPr>
                        <a:xfrm>
                          <a:off x="0" y="0"/>
                          <a:ext cx="6705600" cy="5930900"/>
                        </a:xfrm>
                        <a:prstGeom prst="roundRect">
                          <a:avLst>
                            <a:gd name="adj" fmla="val 1841"/>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C50FBCA" id="Rounded Rectangle 226" o:spid="_x0000_s1026" style="position:absolute;margin-left:0;margin-top:6.1pt;width:528pt;height:467pt;z-index:2518200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2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" fillcolor="#16988a" stroked="f" strokeweight="1pt">
                <v:stroke joinstyle="miter"/>
                <w10:wrap anchorx="margin"/>
              </v:roundrect>
            </w:pict>
          </mc:Fallback>
        </mc:AlternateContent>
      </w:r>
    </w:p>
    <w:p w14:paraId="6E956C13" w14:textId="3299B9C5" w:rsidR="0043476B" w:rsidRDefault="0043476B" w:rsidP="007C7920">
      <w:pPr>
        <w:spacing w:after="160"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822080" behindDoc="0" locked="0" layoutInCell="1" allowOverlap="1" wp14:anchorId="189A5905" wp14:editId="179BC0F5">
                <wp:simplePos x="0" y="0"/>
                <wp:positionH relativeFrom="margin">
                  <wp:align>center</wp:align>
                </wp:positionH>
                <wp:positionV relativeFrom="paragraph">
                  <wp:posOffset>34163</wp:posOffset>
                </wp:positionV>
                <wp:extent cx="6376035" cy="5621875"/>
                <wp:effectExtent l="0" t="0" r="0" b="4445"/>
                <wp:wrapNone/>
                <wp:docPr id="227" name="Rounded Rectangle 227"/>
                <wp:cNvGraphicFramePr/>
                <a:graphic xmlns:a="http://schemas.openxmlformats.org/drawingml/2006/main">
                  <a:graphicData uri="http://schemas.microsoft.com/office/word/2010/wordprocessingShape">
                    <wps:wsp>
                      <wps:cNvSpPr/>
                      <wps:spPr>
                        <a:xfrm>
                          <a:off x="0" y="0"/>
                          <a:ext cx="6376035" cy="5621875"/>
                        </a:xfrm>
                        <a:prstGeom prst="roundRect">
                          <a:avLst>
                            <a:gd name="adj" fmla="val 1132"/>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DAF603D" id="Rounded Rectangle 227" o:spid="_x0000_s1026" style="position:absolute;margin-left:0;margin-top:2.7pt;width:502.05pt;height:442.65pt;z-index:251822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" fillcolor="white [3212]" stroked="f" strokeweight="1pt">
                <v:stroke joinstyle="miter"/>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1827200" behindDoc="0" locked="0" layoutInCell="1" allowOverlap="1" wp14:anchorId="5AE76DD5" wp14:editId="650965D4">
                <wp:simplePos x="0" y="0"/>
                <wp:positionH relativeFrom="column">
                  <wp:posOffset>2163953</wp:posOffset>
                </wp:positionH>
                <wp:positionV relativeFrom="paragraph">
                  <wp:posOffset>192659</wp:posOffset>
                </wp:positionV>
                <wp:extent cx="4205605" cy="3803777"/>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4205605" cy="3803777"/>
                        </a:xfrm>
                        <a:prstGeom prst="rect">
                          <a:avLst/>
                        </a:prstGeom>
                        <a:noFill/>
                        <a:ln w="6350">
                          <a:noFill/>
                        </a:ln>
                      </wps:spPr>
                      <wps:txbx>
                        <w:txbxContent>
                          <w:p w14:paraId="6E83E856" w14:textId="77777777" w:rsidR="00D15FD8" w:rsidRPr="0043476B" w:rsidRDefault="00D15FD8" w:rsidP="00546A2A">
                            <w:pPr>
                              <w:pStyle w:val="ListParagraph"/>
                              <w:numPr>
                                <w:ilvl w:val="0"/>
                                <w:numId w:val="13"/>
                              </w:numPr>
                              <w:spacing w:line="276" w:lineRule="auto"/>
                              <w:jc w:val="both"/>
                              <w:rPr>
                                <w:color w:val="000000" w:themeColor="text1"/>
                              </w:rPr>
                            </w:pPr>
                            <w:r w:rsidRPr="0043476B">
                              <w:rPr>
                                <w:rFonts w:ascii="Arial" w:hAnsi="Arial" w:cs="Arial"/>
                                <w:color w:val="000000" w:themeColor="text1"/>
                                <w:sz w:val="24"/>
                                <w:szCs w:val="24"/>
                                <w:lang w:val="en-US"/>
                              </w:rPr>
                              <w:t>In the fiscal policy cycle, legislatures approve government plans for raising revenue and spending public funds, and require quality information to effectively do so.</w:t>
                            </w:r>
                          </w:p>
                          <w:p w14:paraId="35B1512C" w14:textId="77777777" w:rsidR="00D15FD8" w:rsidRDefault="00D15FD8" w:rsidP="00546A2A">
                            <w:pPr>
                              <w:spacing w:line="276" w:lineRule="auto"/>
                              <w:ind w:left="360" w:hanging="360"/>
                              <w:jc w:val="both"/>
                            </w:pPr>
                          </w:p>
                          <w:p w14:paraId="16F5D931" w14:textId="47571CA2" w:rsidR="00D15FD8" w:rsidRPr="0043476B" w:rsidRDefault="00D15FD8" w:rsidP="00546A2A">
                            <w:pPr>
                              <w:pStyle w:val="ListParagraph"/>
                              <w:numPr>
                                <w:ilvl w:val="0"/>
                                <w:numId w:val="12"/>
                              </w:numPr>
                              <w:spacing w:line="276" w:lineRule="auto"/>
                              <w:jc w:val="both"/>
                              <w:rPr>
                                <w:color w:val="000000" w:themeColor="text1"/>
                              </w:rPr>
                            </w:pPr>
                            <w:r w:rsidRPr="0043476B">
                              <w:rPr>
                                <w:rFonts w:ascii="Arial" w:hAnsi="Arial" w:cs="Arial"/>
                                <w:color w:val="000000" w:themeColor="text1"/>
                                <w:sz w:val="24"/>
                                <w:szCs w:val="24"/>
                                <w:lang w:val="en-US"/>
                              </w:rPr>
                              <w:t>SAIs, on the other hand, require quality information to effectively conduct audits to gauge whether public accounts are accurate and reliable, whether funds were used in accordance with the law, and whether public spending was efficient and effective.</w:t>
                            </w:r>
                          </w:p>
                          <w:p w14:paraId="73F2432C" w14:textId="77777777" w:rsidR="00D15FD8" w:rsidRPr="0043476B" w:rsidRDefault="00D15FD8" w:rsidP="00546A2A">
                            <w:pPr>
                              <w:pStyle w:val="ListParagraph"/>
                              <w:spacing w:line="276" w:lineRule="auto"/>
                              <w:ind w:left="360"/>
                              <w:jc w:val="both"/>
                              <w:rPr>
                                <w:color w:val="000000" w:themeColor="text1"/>
                              </w:rPr>
                            </w:pPr>
                          </w:p>
                          <w:p w14:paraId="297DD844" w14:textId="3007E466" w:rsidR="00D15FD8" w:rsidRPr="0043476B" w:rsidRDefault="00D15FD8" w:rsidP="00546A2A">
                            <w:pPr>
                              <w:pStyle w:val="ListParagraph"/>
                              <w:numPr>
                                <w:ilvl w:val="0"/>
                                <w:numId w:val="12"/>
                              </w:numPr>
                              <w:spacing w:line="276" w:lineRule="auto"/>
                              <w:jc w:val="both"/>
                              <w:rPr>
                                <w:color w:val="000000" w:themeColor="text1"/>
                              </w:rPr>
                            </w:pPr>
                            <w:r w:rsidRPr="0043476B">
                              <w:rPr>
                                <w:rFonts w:ascii="Arial" w:hAnsi="Arial" w:cs="Arial"/>
                                <w:color w:val="000000" w:themeColor="text1"/>
                                <w:sz w:val="24"/>
                                <w:szCs w:val="24"/>
                                <w:lang w:val="en-US"/>
                              </w:rPr>
                              <w:t>Legislatures should also monitor budget implementation and support the work of SAIs by reviewing audit reports and tracking the executive’s progress in implementing audit recommendations.</w:t>
                            </w:r>
                          </w:p>
                          <w:p w14:paraId="44DD192D" w14:textId="77777777" w:rsidR="00D15FD8" w:rsidRPr="0043476B" w:rsidRDefault="00D15FD8" w:rsidP="00546A2A">
                            <w:pPr>
                              <w:pStyle w:val="ListParagraph"/>
                              <w:jc w:val="both"/>
                              <w:rPr>
                                <w:color w:val="000000" w:themeColor="text1"/>
                              </w:rPr>
                            </w:pPr>
                          </w:p>
                          <w:p w14:paraId="144AE0AD" w14:textId="166CCC59" w:rsidR="00D15FD8" w:rsidRPr="0043476B" w:rsidRDefault="00D15FD8" w:rsidP="00546A2A">
                            <w:pPr>
                              <w:pStyle w:val="ListParagraph"/>
                              <w:numPr>
                                <w:ilvl w:val="0"/>
                                <w:numId w:val="12"/>
                              </w:numPr>
                              <w:spacing w:line="276" w:lineRule="auto"/>
                              <w:jc w:val="both"/>
                              <w:rPr>
                                <w:color w:val="000000" w:themeColor="text1"/>
                              </w:rPr>
                            </w:pPr>
                            <w:r w:rsidRPr="0043476B">
                              <w:rPr>
                                <w:rFonts w:ascii="Arial" w:hAnsi="Arial" w:cs="Arial"/>
                                <w:color w:val="000000" w:themeColor="text1"/>
                                <w:sz w:val="24"/>
                                <w:szCs w:val="24"/>
                                <w:lang w:val="en-US"/>
                              </w:rPr>
                              <w:t>The public too, has key roles in holding the executive accountable for its management of public funds.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76DD5" id="Text Box 230" o:spid="_x0000_s1056" type="#_x0000_t202" style="position:absolute;left:0;text-align:left;margin-left:170.4pt;margin-top:15.15pt;width:331.15pt;height:29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" filled="f" stroked="f" strokeweight=".5pt">
                <v:textbox>
                  <w:txbxContent>
                    <w:p w14:paraId="6E83E856" w14:textId="77777777" w:rsidR="00D15FD8" w:rsidRPr="0043476B" w:rsidRDefault="00D15FD8" w:rsidP="00546A2A">
                      <w:pPr>
                        <w:pStyle w:val="ListParagraph"/>
                        <w:numPr>
                          <w:ilvl w:val="0"/>
                          <w:numId w:val="13"/>
                        </w:numPr>
                        <w:spacing w:line="276" w:lineRule="auto"/>
                        <w:jc w:val="both"/>
                        <w:rPr>
                          <w:color w:val="000000" w:themeColor="text1"/>
                        </w:rPr>
                      </w:pPr>
                      <w:r w:rsidRPr="0043476B">
                        <w:rPr>
                          <w:rFonts w:ascii="Arial" w:hAnsi="Arial" w:cs="Arial"/>
                          <w:color w:val="000000" w:themeColor="text1"/>
                          <w:sz w:val="24"/>
                          <w:szCs w:val="24"/>
                          <w:lang w:val="en-US"/>
                        </w:rPr>
                        <w:t>In the fiscal policy cycle, legislatures approve government plans for raising revenue and spending public funds, and require quality information to effectively do so.</w:t>
                      </w:r>
                    </w:p>
                    <w:p w14:paraId="35B1512C" w14:textId="77777777" w:rsidR="00D15FD8" w:rsidRDefault="00D15FD8" w:rsidP="00546A2A">
                      <w:pPr>
                        <w:spacing w:line="276" w:lineRule="auto"/>
                        <w:ind w:left="360" w:hanging="360"/>
                        <w:jc w:val="both"/>
                      </w:pPr>
                    </w:p>
                    <w:p w14:paraId="16F5D931" w14:textId="47571CA2" w:rsidR="00D15FD8" w:rsidRPr="0043476B" w:rsidRDefault="00D15FD8" w:rsidP="00546A2A">
                      <w:pPr>
                        <w:pStyle w:val="ListParagraph"/>
                        <w:numPr>
                          <w:ilvl w:val="0"/>
                          <w:numId w:val="12"/>
                        </w:numPr>
                        <w:spacing w:line="276" w:lineRule="auto"/>
                        <w:jc w:val="both"/>
                        <w:rPr>
                          <w:color w:val="000000" w:themeColor="text1"/>
                        </w:rPr>
                      </w:pPr>
                      <w:r w:rsidRPr="0043476B">
                        <w:rPr>
                          <w:rFonts w:ascii="Arial" w:hAnsi="Arial" w:cs="Arial"/>
                          <w:color w:val="000000" w:themeColor="text1"/>
                          <w:sz w:val="24"/>
                          <w:szCs w:val="24"/>
                          <w:lang w:val="en-US"/>
                        </w:rPr>
                        <w:t>SAIs, on the other hand, require quality information to effectively conduct audits to gauge whether public accounts are accurate and reliable, whether funds were used in accordance with the law, and whether public spending was efficient and effective.</w:t>
                      </w:r>
                    </w:p>
                    <w:p w14:paraId="73F2432C" w14:textId="77777777" w:rsidR="00D15FD8" w:rsidRPr="0043476B" w:rsidRDefault="00D15FD8" w:rsidP="00546A2A">
                      <w:pPr>
                        <w:pStyle w:val="ListParagraph"/>
                        <w:spacing w:line="276" w:lineRule="auto"/>
                        <w:ind w:left="360"/>
                        <w:jc w:val="both"/>
                        <w:rPr>
                          <w:color w:val="000000" w:themeColor="text1"/>
                        </w:rPr>
                      </w:pPr>
                    </w:p>
                    <w:p w14:paraId="297DD844" w14:textId="3007E466" w:rsidR="00D15FD8" w:rsidRPr="0043476B" w:rsidRDefault="00D15FD8" w:rsidP="00546A2A">
                      <w:pPr>
                        <w:pStyle w:val="ListParagraph"/>
                        <w:numPr>
                          <w:ilvl w:val="0"/>
                          <w:numId w:val="12"/>
                        </w:numPr>
                        <w:spacing w:line="276" w:lineRule="auto"/>
                        <w:jc w:val="both"/>
                        <w:rPr>
                          <w:color w:val="000000" w:themeColor="text1"/>
                        </w:rPr>
                      </w:pPr>
                      <w:r w:rsidRPr="0043476B">
                        <w:rPr>
                          <w:rFonts w:ascii="Arial" w:hAnsi="Arial" w:cs="Arial"/>
                          <w:color w:val="000000" w:themeColor="text1"/>
                          <w:sz w:val="24"/>
                          <w:szCs w:val="24"/>
                          <w:lang w:val="en-US"/>
                        </w:rPr>
                        <w:t>Legislatures should also monitor budget implementation and support the work of SAIs by reviewing audit reports and tracking the executive’s progress in implementing audit recommendations.</w:t>
                      </w:r>
                    </w:p>
                    <w:p w14:paraId="44DD192D" w14:textId="77777777" w:rsidR="00D15FD8" w:rsidRPr="0043476B" w:rsidRDefault="00D15FD8" w:rsidP="00546A2A">
                      <w:pPr>
                        <w:pStyle w:val="ListParagraph"/>
                        <w:jc w:val="both"/>
                        <w:rPr>
                          <w:color w:val="000000" w:themeColor="text1"/>
                        </w:rPr>
                      </w:pPr>
                    </w:p>
                    <w:p w14:paraId="144AE0AD" w14:textId="166CCC59" w:rsidR="00D15FD8" w:rsidRPr="0043476B" w:rsidRDefault="00D15FD8" w:rsidP="00546A2A">
                      <w:pPr>
                        <w:pStyle w:val="ListParagraph"/>
                        <w:numPr>
                          <w:ilvl w:val="0"/>
                          <w:numId w:val="12"/>
                        </w:numPr>
                        <w:spacing w:line="276" w:lineRule="auto"/>
                        <w:jc w:val="both"/>
                        <w:rPr>
                          <w:color w:val="000000" w:themeColor="text1"/>
                        </w:rPr>
                      </w:pPr>
                      <w:r w:rsidRPr="0043476B">
                        <w:rPr>
                          <w:rFonts w:ascii="Arial" w:hAnsi="Arial" w:cs="Arial"/>
                          <w:color w:val="000000" w:themeColor="text1"/>
                          <w:sz w:val="24"/>
                          <w:szCs w:val="24"/>
                          <w:lang w:val="en-US"/>
                        </w:rPr>
                        <w:t>The public too, has key roles in holding the executive accountable for its management of public funds.</w:t>
                      </w:r>
                    </w:p>
                  </w:txbxContent>
                </v:textbox>
              </v:shape>
            </w:pict>
          </mc:Fallback>
        </mc:AlternateContent>
      </w:r>
    </w:p>
    <w:p w14:paraId="7E39AB0A" w14:textId="75B4519A" w:rsidR="0043476B" w:rsidRDefault="0043476B" w:rsidP="007C7920">
      <w:pPr>
        <w:spacing w:after="160" w:line="276" w:lineRule="auto"/>
        <w:contextualSpacing/>
        <w:jc w:val="both"/>
        <w:rPr>
          <w:rFonts w:ascii="Arial" w:hAnsi="Arial" w:cs="Arial"/>
          <w:sz w:val="24"/>
          <w:szCs w:val="24"/>
        </w:rPr>
      </w:pPr>
    </w:p>
    <w:p w14:paraId="5A894136" w14:textId="20F5A44A" w:rsidR="0043476B" w:rsidRDefault="0043476B" w:rsidP="007C7920">
      <w:pPr>
        <w:spacing w:after="160" w:line="276" w:lineRule="auto"/>
        <w:contextualSpacing/>
        <w:jc w:val="both"/>
        <w:rPr>
          <w:rFonts w:ascii="Arial" w:hAnsi="Arial" w:cs="Arial"/>
          <w:sz w:val="24"/>
          <w:szCs w:val="24"/>
        </w:rPr>
      </w:pPr>
    </w:p>
    <w:p w14:paraId="78F2FCA5" w14:textId="248FADA7" w:rsidR="0043476B" w:rsidRDefault="0043476B" w:rsidP="007C7920">
      <w:pPr>
        <w:spacing w:after="160" w:line="276" w:lineRule="auto"/>
        <w:contextualSpacing/>
        <w:jc w:val="both"/>
        <w:rPr>
          <w:rFonts w:ascii="Arial" w:hAnsi="Arial" w:cs="Arial"/>
          <w:sz w:val="24"/>
          <w:szCs w:val="24"/>
        </w:rPr>
      </w:pPr>
    </w:p>
    <w:p w14:paraId="6EE0BA80" w14:textId="30E38458" w:rsidR="0043476B" w:rsidRDefault="00806E6D" w:rsidP="007C7920">
      <w:pPr>
        <w:spacing w:after="160"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823104" behindDoc="1" locked="0" layoutInCell="1" allowOverlap="1" wp14:anchorId="5974D6EF" wp14:editId="24592A8D">
            <wp:simplePos x="0" y="0"/>
            <wp:positionH relativeFrom="margin">
              <wp:posOffset>236855</wp:posOffset>
            </wp:positionH>
            <wp:positionV relativeFrom="paragraph">
              <wp:posOffset>178943</wp:posOffset>
            </wp:positionV>
            <wp:extent cx="2059940" cy="2059940"/>
            <wp:effectExtent l="0" t="0" r="0" b="0"/>
            <wp:wrapTight wrapText="bothSides">
              <wp:wrapPolygon edited="0">
                <wp:start x="10121" y="400"/>
                <wp:lineTo x="9189" y="799"/>
                <wp:lineTo x="7457" y="2131"/>
                <wp:lineTo x="7457" y="2797"/>
                <wp:lineTo x="6792" y="3063"/>
                <wp:lineTo x="4528" y="4794"/>
                <wp:lineTo x="2930" y="7058"/>
                <wp:lineTo x="1998" y="7191"/>
                <wp:lineTo x="266" y="8523"/>
                <wp:lineTo x="266" y="11319"/>
                <wp:lineTo x="400" y="11852"/>
                <wp:lineTo x="2397" y="13450"/>
                <wp:lineTo x="3063" y="13450"/>
                <wp:lineTo x="4261" y="15581"/>
                <wp:lineTo x="6925" y="17711"/>
                <wp:lineTo x="8123" y="19842"/>
                <wp:lineTo x="9322" y="20641"/>
                <wp:lineTo x="9455" y="20908"/>
                <wp:lineTo x="11586" y="20908"/>
                <wp:lineTo x="11719" y="20641"/>
                <wp:lineTo x="13051" y="19842"/>
                <wp:lineTo x="14649" y="17711"/>
                <wp:lineTo x="17312" y="15581"/>
                <wp:lineTo x="18510" y="13450"/>
                <wp:lineTo x="19043" y="13450"/>
                <wp:lineTo x="21041" y="11719"/>
                <wp:lineTo x="21307" y="8656"/>
                <wp:lineTo x="19309" y="7191"/>
                <wp:lineTo x="18510" y="7058"/>
                <wp:lineTo x="17179" y="4794"/>
                <wp:lineTo x="14915" y="3196"/>
                <wp:lineTo x="14116" y="2397"/>
                <wp:lineTo x="11852" y="799"/>
                <wp:lineTo x="10920" y="400"/>
                <wp:lineTo x="10121" y="40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2" cstate="email">
                      <a:extLst>
                        <a:ext uri="{28A0092B-C50C-407E-A947-70E740481C1C}">
                          <a14:useLocalDpi xmlns:a14="http://schemas.microsoft.com/office/drawing/2010/main"/>
                        </a:ext>
                      </a:extLst>
                    </a:blip>
                    <a:stretch>
                      <a:fillRect/>
                    </a:stretch>
                  </pic:blipFill>
                  <pic:spPr>
                    <a:xfrm>
                      <a:off x="0" y="0"/>
                      <a:ext cx="2059940" cy="2059940"/>
                    </a:xfrm>
                    <a:prstGeom prst="rect">
                      <a:avLst/>
                    </a:prstGeom>
                  </pic:spPr>
                </pic:pic>
              </a:graphicData>
            </a:graphic>
            <wp14:sizeRelH relativeFrom="page">
              <wp14:pctWidth>0</wp14:pctWidth>
            </wp14:sizeRelH>
            <wp14:sizeRelV relativeFrom="page">
              <wp14:pctHeight>0</wp14:pctHeight>
            </wp14:sizeRelV>
          </wp:anchor>
        </w:drawing>
      </w:r>
    </w:p>
    <w:p w14:paraId="79203A57" w14:textId="47352268" w:rsidR="0043476B" w:rsidRDefault="0043476B" w:rsidP="007C7920">
      <w:pPr>
        <w:spacing w:after="160" w:line="276" w:lineRule="auto"/>
        <w:contextualSpacing/>
        <w:jc w:val="both"/>
        <w:rPr>
          <w:rFonts w:ascii="Arial" w:hAnsi="Arial" w:cs="Arial"/>
          <w:sz w:val="24"/>
          <w:szCs w:val="24"/>
        </w:rPr>
      </w:pPr>
    </w:p>
    <w:p w14:paraId="7BA0CB52" w14:textId="15874E7E" w:rsidR="0043476B" w:rsidRDefault="0043476B" w:rsidP="007C7920">
      <w:pPr>
        <w:spacing w:after="160" w:line="276" w:lineRule="auto"/>
        <w:contextualSpacing/>
        <w:jc w:val="both"/>
        <w:rPr>
          <w:rFonts w:ascii="Arial" w:hAnsi="Arial" w:cs="Arial"/>
          <w:sz w:val="24"/>
          <w:szCs w:val="24"/>
        </w:rPr>
      </w:pPr>
    </w:p>
    <w:p w14:paraId="6EEF7A42" w14:textId="57CF4FB9" w:rsidR="0043476B" w:rsidRDefault="0043476B" w:rsidP="007C7920">
      <w:pPr>
        <w:spacing w:after="160" w:line="276" w:lineRule="auto"/>
        <w:contextualSpacing/>
        <w:jc w:val="both"/>
        <w:rPr>
          <w:rFonts w:ascii="Arial" w:hAnsi="Arial" w:cs="Arial"/>
          <w:sz w:val="24"/>
          <w:szCs w:val="24"/>
        </w:rPr>
      </w:pPr>
    </w:p>
    <w:p w14:paraId="44108326" w14:textId="65716123" w:rsidR="0043476B" w:rsidRDefault="0043476B" w:rsidP="007C7920">
      <w:pPr>
        <w:spacing w:after="160" w:line="276" w:lineRule="auto"/>
        <w:contextualSpacing/>
        <w:jc w:val="both"/>
        <w:rPr>
          <w:rFonts w:ascii="Arial" w:hAnsi="Arial" w:cs="Arial"/>
          <w:sz w:val="24"/>
          <w:szCs w:val="24"/>
        </w:rPr>
      </w:pPr>
    </w:p>
    <w:p w14:paraId="0D46873E" w14:textId="24C6A2A7" w:rsidR="0043476B" w:rsidRDefault="0043476B" w:rsidP="007C7920">
      <w:pPr>
        <w:spacing w:after="160" w:line="276" w:lineRule="auto"/>
        <w:contextualSpacing/>
        <w:jc w:val="both"/>
        <w:rPr>
          <w:rFonts w:ascii="Arial" w:hAnsi="Arial" w:cs="Arial"/>
          <w:sz w:val="24"/>
          <w:szCs w:val="24"/>
        </w:rPr>
      </w:pPr>
    </w:p>
    <w:p w14:paraId="6C505C1A" w14:textId="3421B2DC" w:rsidR="0043476B" w:rsidRDefault="0043476B" w:rsidP="007C7920">
      <w:pPr>
        <w:spacing w:after="160" w:line="276" w:lineRule="auto"/>
        <w:contextualSpacing/>
        <w:jc w:val="both"/>
        <w:rPr>
          <w:rFonts w:ascii="Arial" w:hAnsi="Arial" w:cs="Arial"/>
          <w:sz w:val="24"/>
          <w:szCs w:val="24"/>
        </w:rPr>
      </w:pPr>
    </w:p>
    <w:p w14:paraId="726B4028" w14:textId="79D25B01" w:rsidR="0043476B" w:rsidRDefault="0043476B" w:rsidP="007C7920">
      <w:pPr>
        <w:spacing w:after="160" w:line="276" w:lineRule="auto"/>
        <w:contextualSpacing/>
        <w:jc w:val="both"/>
        <w:rPr>
          <w:rFonts w:ascii="Arial" w:hAnsi="Arial" w:cs="Arial"/>
          <w:sz w:val="24"/>
          <w:szCs w:val="24"/>
        </w:rPr>
      </w:pPr>
    </w:p>
    <w:p w14:paraId="0552B9FB" w14:textId="0485509C" w:rsidR="0043476B" w:rsidRDefault="0043476B" w:rsidP="007C7920">
      <w:pPr>
        <w:spacing w:after="160" w:line="276" w:lineRule="auto"/>
        <w:contextualSpacing/>
        <w:jc w:val="both"/>
        <w:rPr>
          <w:rFonts w:ascii="Arial" w:hAnsi="Arial" w:cs="Arial"/>
          <w:sz w:val="24"/>
          <w:szCs w:val="24"/>
        </w:rPr>
      </w:pPr>
    </w:p>
    <w:p w14:paraId="38FE36C9" w14:textId="55464800" w:rsidR="0043476B" w:rsidRDefault="0043476B" w:rsidP="007C7920">
      <w:pPr>
        <w:spacing w:after="160" w:line="276" w:lineRule="auto"/>
        <w:contextualSpacing/>
        <w:jc w:val="both"/>
        <w:rPr>
          <w:rFonts w:ascii="Arial" w:hAnsi="Arial" w:cs="Arial"/>
          <w:sz w:val="24"/>
          <w:szCs w:val="24"/>
        </w:rPr>
      </w:pPr>
    </w:p>
    <w:p w14:paraId="13049C9B" w14:textId="720EF64D" w:rsidR="0043476B" w:rsidRDefault="0043476B" w:rsidP="007C7920">
      <w:pPr>
        <w:spacing w:after="160" w:line="276" w:lineRule="auto"/>
        <w:contextualSpacing/>
        <w:jc w:val="both"/>
        <w:rPr>
          <w:rFonts w:ascii="Arial" w:hAnsi="Arial" w:cs="Arial"/>
          <w:sz w:val="24"/>
          <w:szCs w:val="24"/>
        </w:rPr>
      </w:pPr>
    </w:p>
    <w:p w14:paraId="055EAF23" w14:textId="13C3E406" w:rsidR="0043476B" w:rsidRDefault="0043476B" w:rsidP="007C7920">
      <w:pPr>
        <w:spacing w:after="160" w:line="276" w:lineRule="auto"/>
        <w:contextualSpacing/>
        <w:jc w:val="both"/>
        <w:rPr>
          <w:rFonts w:ascii="Arial" w:hAnsi="Arial" w:cs="Arial"/>
          <w:sz w:val="24"/>
          <w:szCs w:val="24"/>
        </w:rPr>
      </w:pPr>
    </w:p>
    <w:p w14:paraId="491565B9" w14:textId="3DBE923E" w:rsidR="0043476B" w:rsidRDefault="0043476B" w:rsidP="007C7920">
      <w:pPr>
        <w:spacing w:after="160" w:line="276" w:lineRule="auto"/>
        <w:contextualSpacing/>
        <w:jc w:val="both"/>
        <w:rPr>
          <w:rFonts w:ascii="Arial" w:hAnsi="Arial" w:cs="Arial"/>
          <w:sz w:val="24"/>
          <w:szCs w:val="24"/>
        </w:rPr>
      </w:pPr>
    </w:p>
    <w:p w14:paraId="08E6DBEC" w14:textId="53FC467B" w:rsidR="0043476B" w:rsidRDefault="0043476B" w:rsidP="007C7920">
      <w:pPr>
        <w:spacing w:after="160" w:line="276" w:lineRule="auto"/>
        <w:contextualSpacing/>
        <w:jc w:val="both"/>
        <w:rPr>
          <w:rFonts w:ascii="Arial" w:hAnsi="Arial" w:cs="Arial"/>
          <w:sz w:val="24"/>
          <w:szCs w:val="24"/>
        </w:rPr>
      </w:pPr>
    </w:p>
    <w:p w14:paraId="6DD18281" w14:textId="79B41A43" w:rsidR="0043476B" w:rsidRDefault="0043476B" w:rsidP="007C7920">
      <w:pPr>
        <w:spacing w:after="160" w:line="276" w:lineRule="auto"/>
        <w:contextualSpacing/>
        <w:jc w:val="both"/>
        <w:rPr>
          <w:rFonts w:ascii="Arial" w:hAnsi="Arial" w:cs="Arial"/>
          <w:sz w:val="24"/>
          <w:szCs w:val="24"/>
        </w:rPr>
      </w:pPr>
    </w:p>
    <w:p w14:paraId="26867544" w14:textId="735AA4ED" w:rsidR="0043476B" w:rsidRDefault="007B28F7" w:rsidP="007C7920">
      <w:pPr>
        <w:spacing w:after="160"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558334" behindDoc="0" locked="0" layoutInCell="1" allowOverlap="1" wp14:anchorId="0E97C57E" wp14:editId="5E364D63">
                <wp:simplePos x="0" y="0"/>
                <wp:positionH relativeFrom="margin">
                  <wp:posOffset>266700</wp:posOffset>
                </wp:positionH>
                <wp:positionV relativeFrom="paragraph">
                  <wp:posOffset>170815</wp:posOffset>
                </wp:positionV>
                <wp:extent cx="6123305" cy="1524000"/>
                <wp:effectExtent l="0" t="0" r="0" b="0"/>
                <wp:wrapNone/>
                <wp:docPr id="453" name="Text Box 453"/>
                <wp:cNvGraphicFramePr/>
                <a:graphic xmlns:a="http://schemas.openxmlformats.org/drawingml/2006/main">
                  <a:graphicData uri="http://schemas.microsoft.com/office/word/2010/wordprocessingShape">
                    <wps:wsp>
                      <wps:cNvSpPr txBox="1"/>
                      <wps:spPr>
                        <a:xfrm>
                          <a:off x="0" y="0"/>
                          <a:ext cx="6123305" cy="1524000"/>
                        </a:xfrm>
                        <a:prstGeom prst="rect">
                          <a:avLst/>
                        </a:prstGeom>
                        <a:noFill/>
                        <a:ln w="6350">
                          <a:noFill/>
                        </a:ln>
                      </wps:spPr>
                      <wps:txbx>
                        <w:txbxContent>
                          <w:p w14:paraId="6C6F3537" w14:textId="42513334" w:rsidR="00D15FD8" w:rsidRPr="007B28F7" w:rsidRDefault="00D15FD8" w:rsidP="007B28F7">
                            <w:pPr>
                              <w:spacing w:after="160" w:line="276" w:lineRule="auto"/>
                              <w:contextualSpacing/>
                              <w:jc w:val="both"/>
                              <w:rPr>
                                <w:rFonts w:ascii="Arial" w:hAnsi="Arial" w:cs="Arial"/>
                                <w:sz w:val="24"/>
                                <w:szCs w:val="24"/>
                              </w:rPr>
                            </w:pPr>
                            <w:r w:rsidRPr="007B28F7">
                              <w:rPr>
                                <w:rFonts w:ascii="Arial" w:hAnsi="Arial" w:cs="Arial"/>
                                <w:sz w:val="24"/>
                                <w:szCs w:val="24"/>
                              </w:rPr>
                              <w:t xml:space="preserve">When those outside the executive, especially those that participated in the </w:t>
                            </w:r>
                            <w:r w:rsidRPr="007B28F7">
                              <w:rPr>
                                <w:rFonts w:ascii="Arial" w:hAnsi="Arial" w:cs="Arial"/>
                                <w:sz w:val="24"/>
                                <w:szCs w:val="24"/>
                                <w:lang w:val="en-US"/>
                              </w:rPr>
                              <w:t>design and implementation of fiscal policies, receive quality information on budget outcomes, they can compare what was achieved against expectations, and use this knowledge to assist in holding the government accountable for its use of public funds. Fiscal transparency also reduces the executive’s informational advantage making it more likely that it will undertake its programs in line with campaign promises and publicly released plans, knowing that its progress is being monitored by the public.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7C57E" id="Text Box 453" o:spid="_x0000_s1057" type="#_x0000_t202" style="position:absolute;left:0;text-align:left;margin-left:21pt;margin-top:13.45pt;width:482.15pt;height:120pt;z-index:2525583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" filled="f" stroked="f" strokeweight=".5pt">
                <v:textbox>
                  <w:txbxContent>
                    <w:p w14:paraId="6C6F3537" w14:textId="42513334" w:rsidR="00D15FD8" w:rsidRPr="007B28F7" w:rsidRDefault="00D15FD8" w:rsidP="007B28F7">
                      <w:pPr>
                        <w:spacing w:after="160" w:line="276" w:lineRule="auto"/>
                        <w:contextualSpacing/>
                        <w:jc w:val="both"/>
                        <w:rPr>
                          <w:rFonts w:ascii="Arial" w:hAnsi="Arial" w:cs="Arial"/>
                          <w:sz w:val="24"/>
                          <w:szCs w:val="24"/>
                        </w:rPr>
                      </w:pPr>
                      <w:r w:rsidRPr="007B28F7">
                        <w:rPr>
                          <w:rFonts w:ascii="Arial" w:hAnsi="Arial" w:cs="Arial"/>
                          <w:sz w:val="24"/>
                          <w:szCs w:val="24"/>
                        </w:rPr>
                        <w:t xml:space="preserve">When those outside the executive, especially those that participated in the </w:t>
                      </w:r>
                      <w:r w:rsidRPr="007B28F7">
                        <w:rPr>
                          <w:rFonts w:ascii="Arial" w:hAnsi="Arial" w:cs="Arial"/>
                          <w:sz w:val="24"/>
                          <w:szCs w:val="24"/>
                          <w:lang w:val="en-US"/>
                        </w:rPr>
                        <w:t>design and implementation of fiscal policies, receive quality information on budget outcomes, they can compare what was achieved against expectations, and use this knowledge to assist in holding the government accountable for its use of public funds. Fiscal transparency also reduces the executive’s informational advantage making it more likely that it will undertake its programs in line with campaign promises and publicly released plans, knowing that its progress is being monitored by the public.</w:t>
                      </w:r>
                    </w:p>
                  </w:txbxContent>
                </v:textbox>
                <w10:wrap anchorx="margin"/>
              </v:shape>
            </w:pict>
          </mc:Fallback>
        </mc:AlternateContent>
      </w:r>
    </w:p>
    <w:p w14:paraId="2C56CC06" w14:textId="18DDCFCF" w:rsidR="0043476B" w:rsidRDefault="0043476B" w:rsidP="007C7920">
      <w:pPr>
        <w:spacing w:after="160" w:line="276" w:lineRule="auto"/>
        <w:contextualSpacing/>
        <w:jc w:val="both"/>
        <w:rPr>
          <w:rFonts w:ascii="Arial" w:hAnsi="Arial" w:cs="Arial"/>
          <w:sz w:val="24"/>
          <w:szCs w:val="24"/>
        </w:rPr>
      </w:pPr>
    </w:p>
    <w:p w14:paraId="763D2CD0" w14:textId="77777777" w:rsidR="00806E6D" w:rsidRDefault="00806E6D" w:rsidP="007C7920">
      <w:pPr>
        <w:spacing w:after="160" w:line="276" w:lineRule="auto"/>
        <w:contextualSpacing/>
        <w:jc w:val="both"/>
        <w:rPr>
          <w:rFonts w:ascii="Arial" w:hAnsi="Arial" w:cs="Arial"/>
          <w:sz w:val="24"/>
          <w:szCs w:val="24"/>
          <w:lang w:val="en-US"/>
        </w:rPr>
      </w:pPr>
    </w:p>
    <w:p w14:paraId="19268333" w14:textId="77777777" w:rsidR="007B28F7" w:rsidRDefault="007B28F7" w:rsidP="007C7920">
      <w:pPr>
        <w:spacing w:after="160" w:line="276" w:lineRule="auto"/>
        <w:contextualSpacing/>
        <w:jc w:val="both"/>
        <w:rPr>
          <w:rFonts w:ascii="Arial" w:hAnsi="Arial" w:cs="Arial"/>
          <w:sz w:val="24"/>
          <w:szCs w:val="24"/>
        </w:rPr>
      </w:pPr>
    </w:p>
    <w:p w14:paraId="6299FDD8" w14:textId="77777777" w:rsidR="007B28F7" w:rsidRDefault="007B28F7" w:rsidP="007C7920">
      <w:pPr>
        <w:spacing w:after="160" w:line="276" w:lineRule="auto"/>
        <w:contextualSpacing/>
        <w:jc w:val="both"/>
        <w:rPr>
          <w:rFonts w:ascii="Arial" w:hAnsi="Arial" w:cs="Arial"/>
          <w:sz w:val="24"/>
          <w:szCs w:val="24"/>
        </w:rPr>
      </w:pPr>
    </w:p>
    <w:p w14:paraId="33E1D26B" w14:textId="77777777" w:rsidR="007B28F7" w:rsidRDefault="007B28F7" w:rsidP="007C7920">
      <w:pPr>
        <w:spacing w:after="160" w:line="276" w:lineRule="auto"/>
        <w:contextualSpacing/>
        <w:jc w:val="both"/>
        <w:rPr>
          <w:rFonts w:ascii="Arial" w:hAnsi="Arial" w:cs="Arial"/>
          <w:sz w:val="24"/>
          <w:szCs w:val="24"/>
        </w:rPr>
      </w:pPr>
    </w:p>
    <w:p w14:paraId="5C656382" w14:textId="77777777" w:rsidR="007B28F7" w:rsidRDefault="007B28F7" w:rsidP="007C7920">
      <w:pPr>
        <w:spacing w:after="160" w:line="276" w:lineRule="auto"/>
        <w:contextualSpacing/>
        <w:jc w:val="both"/>
        <w:rPr>
          <w:rFonts w:ascii="Arial" w:hAnsi="Arial" w:cs="Arial"/>
          <w:sz w:val="24"/>
          <w:szCs w:val="24"/>
        </w:rPr>
      </w:pPr>
    </w:p>
    <w:p w14:paraId="08BB9035" w14:textId="77777777" w:rsidR="007B28F7" w:rsidRDefault="007B28F7" w:rsidP="007C7920">
      <w:pPr>
        <w:spacing w:after="160" w:line="276" w:lineRule="auto"/>
        <w:contextualSpacing/>
        <w:jc w:val="both"/>
        <w:rPr>
          <w:rFonts w:ascii="Arial" w:hAnsi="Arial" w:cs="Arial"/>
          <w:sz w:val="24"/>
          <w:szCs w:val="24"/>
        </w:rPr>
      </w:pPr>
    </w:p>
    <w:p w14:paraId="3740B5F7" w14:textId="77777777" w:rsidR="007B28F7" w:rsidRDefault="007B28F7" w:rsidP="007C7920">
      <w:pPr>
        <w:spacing w:after="160" w:line="276" w:lineRule="auto"/>
        <w:contextualSpacing/>
        <w:jc w:val="both"/>
        <w:rPr>
          <w:rFonts w:ascii="Arial" w:hAnsi="Arial" w:cs="Arial"/>
          <w:sz w:val="24"/>
          <w:szCs w:val="24"/>
        </w:rPr>
      </w:pPr>
    </w:p>
    <w:p w14:paraId="018C5811" w14:textId="31664CFD" w:rsidR="00D06A91" w:rsidRDefault="00D06A91" w:rsidP="007C7920">
      <w:pPr>
        <w:spacing w:after="160" w:line="276" w:lineRule="auto"/>
        <w:contextualSpacing/>
        <w:jc w:val="both"/>
        <w:rPr>
          <w:rFonts w:ascii="Arial" w:hAnsi="Arial" w:cs="Arial"/>
          <w:sz w:val="24"/>
          <w:szCs w:val="24"/>
        </w:rPr>
      </w:pPr>
    </w:p>
    <w:p w14:paraId="79A2DD33" w14:textId="0A136E94" w:rsidR="001454D0" w:rsidRDefault="0042443F" w:rsidP="007C7920">
      <w:pPr>
        <w:spacing w:after="160" w:line="276" w:lineRule="auto"/>
        <w:contextualSpacing/>
        <w:jc w:val="both"/>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5169534" behindDoc="0" locked="0" layoutInCell="1" allowOverlap="1" wp14:anchorId="68FCD01E" wp14:editId="03292E8E">
                <wp:simplePos x="0" y="0"/>
                <wp:positionH relativeFrom="column">
                  <wp:posOffset>3543300</wp:posOffset>
                </wp:positionH>
                <wp:positionV relativeFrom="paragraph">
                  <wp:posOffset>-198755</wp:posOffset>
                </wp:positionV>
                <wp:extent cx="1625600" cy="228600"/>
                <wp:effectExtent l="0" t="0" r="0" b="0"/>
                <wp:wrapNone/>
                <wp:docPr id="2754" name="Text Box 2754"/>
                <wp:cNvGraphicFramePr/>
                <a:graphic xmlns:a="http://schemas.openxmlformats.org/drawingml/2006/main">
                  <a:graphicData uri="http://schemas.microsoft.com/office/word/2010/wordprocessingShape">
                    <wps:wsp>
                      <wps:cNvSpPr txBox="1"/>
                      <wps:spPr>
                        <a:xfrm>
                          <a:off x="0" y="0"/>
                          <a:ext cx="1625600" cy="228600"/>
                        </a:xfrm>
                        <a:prstGeom prst="rect">
                          <a:avLst/>
                        </a:prstGeom>
                        <a:solidFill>
                          <a:schemeClr val="lt1"/>
                        </a:solidFill>
                        <a:ln w="6350">
                          <a:noFill/>
                        </a:ln>
                      </wps:spPr>
                      <wps:txbx>
                        <w:txbxContent>
                          <w:p w14:paraId="2D3CB856" w14:textId="6B37EB15" w:rsidR="00D15FD8" w:rsidRPr="0042443F"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INCREASED 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CD01E" id="Text Box 2754" o:spid="_x0000_s1058" type="#_x0000_t202" style="position:absolute;left:0;text-align:left;margin-left:279pt;margin-top:-15.65pt;width:128pt;height:18pt;z-index:25516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" fillcolor="white [3201]" stroked="f" strokeweight=".5pt">
                <v:textbox>
                  <w:txbxContent>
                    <w:p w14:paraId="2D3CB856" w14:textId="6B37EB15" w:rsidR="00D15FD8" w:rsidRPr="0042443F"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INCREASED VALUE</w:t>
                      </w:r>
                    </w:p>
                  </w:txbxContent>
                </v:textbox>
              </v:shape>
            </w:pict>
          </mc:Fallback>
        </mc:AlternateContent>
      </w:r>
      <w:r>
        <w:rPr>
          <w:noProof/>
          <w:sz w:val="16"/>
          <w:szCs w:val="16"/>
          <w:lang w:val="en-US"/>
        </w:rPr>
        <w:drawing>
          <wp:anchor distT="0" distB="0" distL="114300" distR="114300" simplePos="0" relativeHeight="255162366" behindDoc="0" locked="0" layoutInCell="1" allowOverlap="1" wp14:anchorId="04F28A3A" wp14:editId="13A38577">
            <wp:simplePos x="0" y="0"/>
            <wp:positionH relativeFrom="margin">
              <wp:align>center</wp:align>
            </wp:positionH>
            <wp:positionV relativeFrom="paragraph">
              <wp:posOffset>5080</wp:posOffset>
            </wp:positionV>
            <wp:extent cx="4038600" cy="19812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038600"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710183" w14:textId="04851D9A" w:rsidR="0042443F" w:rsidRDefault="0042443F" w:rsidP="007C7920">
      <w:pPr>
        <w:spacing w:after="160" w:line="276" w:lineRule="auto"/>
        <w:contextualSpacing/>
        <w:jc w:val="both"/>
        <w:rPr>
          <w:rFonts w:ascii="Arial" w:hAnsi="Arial" w:cs="Arial"/>
          <w:sz w:val="24"/>
          <w:szCs w:val="24"/>
        </w:rPr>
      </w:pPr>
    </w:p>
    <w:p w14:paraId="5218E2D8" w14:textId="77777777" w:rsidR="0042443F" w:rsidRDefault="0042443F" w:rsidP="007C7920">
      <w:pPr>
        <w:spacing w:after="160" w:line="276" w:lineRule="auto"/>
        <w:contextualSpacing/>
        <w:jc w:val="both"/>
        <w:rPr>
          <w:rFonts w:ascii="Arial" w:hAnsi="Arial" w:cs="Arial"/>
          <w:sz w:val="24"/>
          <w:szCs w:val="24"/>
        </w:rPr>
      </w:pPr>
    </w:p>
    <w:p w14:paraId="22B25874" w14:textId="0950F788" w:rsidR="0042443F" w:rsidRDefault="0042443F" w:rsidP="007C7920">
      <w:pPr>
        <w:spacing w:after="160" w:line="276" w:lineRule="auto"/>
        <w:contextualSpacing/>
        <w:jc w:val="both"/>
        <w:rPr>
          <w:rFonts w:ascii="Arial" w:hAnsi="Arial" w:cs="Arial"/>
          <w:sz w:val="24"/>
          <w:szCs w:val="24"/>
        </w:rPr>
      </w:pPr>
    </w:p>
    <w:p w14:paraId="7D65D59C" w14:textId="77777777" w:rsidR="0042443F" w:rsidRDefault="0042443F" w:rsidP="007C7920">
      <w:pPr>
        <w:spacing w:after="160" w:line="276" w:lineRule="auto"/>
        <w:contextualSpacing/>
        <w:jc w:val="both"/>
        <w:rPr>
          <w:rFonts w:ascii="Arial" w:hAnsi="Arial" w:cs="Arial"/>
          <w:sz w:val="24"/>
          <w:szCs w:val="24"/>
        </w:rPr>
      </w:pPr>
    </w:p>
    <w:p w14:paraId="6B8CE389" w14:textId="5A7E78AB" w:rsidR="0042443F" w:rsidRDefault="0042443F" w:rsidP="007C7920">
      <w:pPr>
        <w:spacing w:after="160" w:line="276" w:lineRule="auto"/>
        <w:contextualSpacing/>
        <w:jc w:val="both"/>
        <w:rPr>
          <w:rFonts w:ascii="Arial" w:hAnsi="Arial" w:cs="Arial"/>
          <w:sz w:val="24"/>
          <w:szCs w:val="24"/>
        </w:rPr>
      </w:pPr>
    </w:p>
    <w:p w14:paraId="41FB8FA7" w14:textId="58EC5C57" w:rsidR="0042443F" w:rsidRDefault="0042443F" w:rsidP="007C7920">
      <w:pPr>
        <w:spacing w:after="160" w:line="276" w:lineRule="auto"/>
        <w:contextualSpacing/>
        <w:jc w:val="both"/>
        <w:rPr>
          <w:rFonts w:ascii="Arial" w:hAnsi="Arial" w:cs="Arial"/>
          <w:sz w:val="24"/>
          <w:szCs w:val="24"/>
        </w:rPr>
      </w:pPr>
    </w:p>
    <w:p w14:paraId="4C33B6B0" w14:textId="77777777" w:rsidR="0042443F" w:rsidRDefault="0042443F" w:rsidP="007C7920">
      <w:pPr>
        <w:spacing w:after="160" w:line="276" w:lineRule="auto"/>
        <w:contextualSpacing/>
        <w:jc w:val="both"/>
        <w:rPr>
          <w:rFonts w:ascii="Arial" w:hAnsi="Arial" w:cs="Arial"/>
          <w:sz w:val="24"/>
          <w:szCs w:val="24"/>
        </w:rPr>
      </w:pPr>
    </w:p>
    <w:p w14:paraId="162EA699" w14:textId="68D0D8CA" w:rsidR="0042443F" w:rsidRDefault="0042443F" w:rsidP="007C7920">
      <w:pPr>
        <w:spacing w:after="160" w:line="276" w:lineRule="auto"/>
        <w:contextualSpacing/>
        <w:jc w:val="both"/>
        <w:rPr>
          <w:rFonts w:ascii="Arial" w:hAnsi="Arial" w:cs="Arial"/>
          <w:sz w:val="24"/>
          <w:szCs w:val="24"/>
        </w:rPr>
      </w:pPr>
    </w:p>
    <w:p w14:paraId="77F7CE64" w14:textId="66273B1B" w:rsidR="0042443F" w:rsidRDefault="0042443F" w:rsidP="007C7920">
      <w:pPr>
        <w:spacing w:after="160"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5167486" behindDoc="0" locked="0" layoutInCell="1" allowOverlap="1" wp14:anchorId="7EC1B43C" wp14:editId="5553B5AE">
                <wp:simplePos x="0" y="0"/>
                <wp:positionH relativeFrom="column">
                  <wp:posOffset>4330700</wp:posOffset>
                </wp:positionH>
                <wp:positionV relativeFrom="paragraph">
                  <wp:posOffset>146685</wp:posOffset>
                </wp:positionV>
                <wp:extent cx="1181100" cy="5334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181100" cy="533400"/>
                        </a:xfrm>
                        <a:prstGeom prst="rect">
                          <a:avLst/>
                        </a:prstGeom>
                        <a:solidFill>
                          <a:schemeClr val="lt1"/>
                        </a:solidFill>
                        <a:ln w="6350">
                          <a:noFill/>
                        </a:ln>
                      </wps:spPr>
                      <wps:txbx>
                        <w:txbxContent>
                          <w:p w14:paraId="52CF5F0E" w14:textId="223FF48A" w:rsidR="00D15FD8"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BETTER</w:t>
                            </w:r>
                          </w:p>
                          <w:p w14:paraId="0A9515CC" w14:textId="68F654B8" w:rsidR="00D15FD8"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GOVERNMENT</w:t>
                            </w:r>
                          </w:p>
                          <w:p w14:paraId="4D1CF57A" w14:textId="15C88087" w:rsidR="00D15FD8" w:rsidRPr="0042443F"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1B43C" id="Text Box 48" o:spid="_x0000_s1059" type="#_x0000_t202" style="position:absolute;left:0;text-align:left;margin-left:341pt;margin-top:11.55pt;width:93pt;height:42pt;z-index:255167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" fillcolor="white [3201]" stroked="f" strokeweight=".5pt">
                <v:textbox>
                  <w:txbxContent>
                    <w:p w14:paraId="52CF5F0E" w14:textId="223FF48A" w:rsidR="00D15FD8"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BETTER</w:t>
                      </w:r>
                    </w:p>
                    <w:p w14:paraId="0A9515CC" w14:textId="68F654B8" w:rsidR="00D15FD8"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GOVERNMENT</w:t>
                      </w:r>
                    </w:p>
                    <w:p w14:paraId="4D1CF57A" w14:textId="15C88087" w:rsidR="00D15FD8" w:rsidRPr="0042443F"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SERVICES</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5165438" behindDoc="0" locked="0" layoutInCell="1" allowOverlap="1" wp14:anchorId="3B6CCBD3" wp14:editId="4504DF2F">
                <wp:simplePos x="0" y="0"/>
                <wp:positionH relativeFrom="column">
                  <wp:posOffset>3251200</wp:posOffset>
                </wp:positionH>
                <wp:positionV relativeFrom="paragraph">
                  <wp:posOffset>146685</wp:posOffset>
                </wp:positionV>
                <wp:extent cx="1130300" cy="3937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chemeClr val="lt1"/>
                        </a:solidFill>
                        <a:ln w="6350">
                          <a:noFill/>
                        </a:ln>
                      </wps:spPr>
                      <wps:txbx>
                        <w:txbxContent>
                          <w:p w14:paraId="5F73A6EA" w14:textId="531D1FB5" w:rsidR="00D15FD8"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LOWER</w:t>
                            </w:r>
                          </w:p>
                          <w:p w14:paraId="1F5643DD" w14:textId="0F3B26C8" w:rsidR="00D15FD8" w:rsidRPr="0042443F"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CORRUPTION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CCBD3" id="Text Box 40" o:spid="_x0000_s1060" type="#_x0000_t202" style="position:absolute;left:0;text-align:left;margin-left:256pt;margin-top:11.55pt;width:89pt;height:31pt;z-index:255165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" fillcolor="white [3201]" stroked="f" strokeweight=".5pt">
                <v:textbox>
                  <w:txbxContent>
                    <w:p w14:paraId="5F73A6EA" w14:textId="531D1FB5" w:rsidR="00D15FD8"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LOWER</w:t>
                      </w:r>
                    </w:p>
                    <w:p w14:paraId="1F5643DD" w14:textId="0F3B26C8" w:rsidR="00D15FD8" w:rsidRPr="0042443F" w:rsidRDefault="00D15FD8" w:rsidP="0042443F">
                      <w:pPr>
                        <w:jc w:val="center"/>
                        <w:rPr>
                          <w:rFonts w:ascii="Arial" w:hAnsi="Arial" w:cs="Arial"/>
                          <w:b/>
                          <w:bCs/>
                          <w:color w:val="16988A"/>
                          <w:sz w:val="20"/>
                          <w:szCs w:val="20"/>
                          <w:lang w:val="en-US"/>
                        </w:rPr>
                      </w:pPr>
                      <w:r>
                        <w:rPr>
                          <w:rFonts w:ascii="Arial" w:hAnsi="Arial" w:cs="Arial"/>
                          <w:b/>
                          <w:bCs/>
                          <w:color w:val="16988A"/>
                          <w:sz w:val="20"/>
                          <w:szCs w:val="20"/>
                          <w:lang w:val="en-US"/>
                        </w:rPr>
                        <w:t>CORRUPTION</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5163390" behindDoc="0" locked="0" layoutInCell="1" allowOverlap="1" wp14:anchorId="283FB8E2" wp14:editId="3321E264">
                <wp:simplePos x="0" y="0"/>
                <wp:positionH relativeFrom="column">
                  <wp:posOffset>914400</wp:posOffset>
                </wp:positionH>
                <wp:positionV relativeFrom="paragraph">
                  <wp:posOffset>19685</wp:posOffset>
                </wp:positionV>
                <wp:extent cx="1943100" cy="2667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943100" cy="266700"/>
                        </a:xfrm>
                        <a:prstGeom prst="rect">
                          <a:avLst/>
                        </a:prstGeom>
                        <a:solidFill>
                          <a:schemeClr val="lt1"/>
                        </a:solidFill>
                        <a:ln w="6350">
                          <a:noFill/>
                        </a:ln>
                      </wps:spPr>
                      <wps:txbx>
                        <w:txbxContent>
                          <w:p w14:paraId="40F3772E" w14:textId="35BECE3C" w:rsidR="00D15FD8" w:rsidRPr="0042443F" w:rsidRDefault="00D15FD8" w:rsidP="0042443F">
                            <w:pPr>
                              <w:jc w:val="center"/>
                              <w:rPr>
                                <w:rFonts w:ascii="Arial" w:hAnsi="Arial" w:cs="Arial"/>
                                <w:b/>
                                <w:bCs/>
                                <w:color w:val="16988A"/>
                                <w:sz w:val="20"/>
                                <w:szCs w:val="20"/>
                                <w:lang w:val="en-US"/>
                              </w:rPr>
                            </w:pPr>
                            <w:r w:rsidRPr="0042443F">
                              <w:rPr>
                                <w:rFonts w:ascii="Arial" w:hAnsi="Arial" w:cs="Arial"/>
                                <w:b/>
                                <w:bCs/>
                                <w:color w:val="16988A"/>
                                <w:sz w:val="20"/>
                                <w:szCs w:val="20"/>
                                <w:lang w:val="en-US"/>
                              </w:rPr>
                              <w:t>FISCAL TRANSPARENCY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3FB8E2" id="Text Box 34" o:spid="_x0000_s1061" type="#_x0000_t202" style="position:absolute;left:0;text-align:left;margin-left:1in;margin-top:1.55pt;width:153pt;height:21pt;z-index:2551633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" fillcolor="white [3201]" stroked="f" strokeweight=".5pt">
                <v:textbox>
                  <w:txbxContent>
                    <w:p w14:paraId="40F3772E" w14:textId="35BECE3C" w:rsidR="00D15FD8" w:rsidRPr="0042443F" w:rsidRDefault="00D15FD8" w:rsidP="0042443F">
                      <w:pPr>
                        <w:jc w:val="center"/>
                        <w:rPr>
                          <w:rFonts w:ascii="Arial" w:hAnsi="Arial" w:cs="Arial"/>
                          <w:b/>
                          <w:bCs/>
                          <w:color w:val="16988A"/>
                          <w:sz w:val="20"/>
                          <w:szCs w:val="20"/>
                          <w:lang w:val="en-US"/>
                        </w:rPr>
                      </w:pPr>
                      <w:r w:rsidRPr="0042443F">
                        <w:rPr>
                          <w:rFonts w:ascii="Arial" w:hAnsi="Arial" w:cs="Arial"/>
                          <w:b/>
                          <w:bCs/>
                          <w:color w:val="16988A"/>
                          <w:sz w:val="20"/>
                          <w:szCs w:val="20"/>
                          <w:lang w:val="en-US"/>
                        </w:rPr>
                        <w:t>FISCAL TRANSPARENCY</w:t>
                      </w:r>
                    </w:p>
                  </w:txbxContent>
                </v:textbox>
              </v:shape>
            </w:pict>
          </mc:Fallback>
        </mc:AlternateContent>
      </w:r>
    </w:p>
    <w:p w14:paraId="2E8E72E4" w14:textId="791821D5" w:rsidR="0042443F" w:rsidRDefault="0042443F" w:rsidP="007C7920">
      <w:pPr>
        <w:spacing w:after="160" w:line="276" w:lineRule="auto"/>
        <w:contextualSpacing/>
        <w:jc w:val="both"/>
        <w:rPr>
          <w:rFonts w:ascii="Arial" w:hAnsi="Arial" w:cs="Arial"/>
          <w:sz w:val="24"/>
          <w:szCs w:val="24"/>
        </w:rPr>
      </w:pPr>
    </w:p>
    <w:p w14:paraId="2E8E7D7A" w14:textId="77777777" w:rsidR="0042443F" w:rsidRDefault="0042443F" w:rsidP="007C7920">
      <w:pPr>
        <w:spacing w:after="160" w:line="276" w:lineRule="auto"/>
        <w:contextualSpacing/>
        <w:jc w:val="both"/>
        <w:rPr>
          <w:rFonts w:ascii="Arial" w:hAnsi="Arial" w:cs="Arial"/>
          <w:sz w:val="24"/>
          <w:szCs w:val="24"/>
        </w:rPr>
      </w:pPr>
    </w:p>
    <w:p w14:paraId="772CFD84" w14:textId="77777777" w:rsidR="0042443F" w:rsidRDefault="0042443F" w:rsidP="007C7920">
      <w:pPr>
        <w:spacing w:after="160" w:line="276" w:lineRule="auto"/>
        <w:contextualSpacing/>
        <w:jc w:val="both"/>
        <w:rPr>
          <w:rFonts w:ascii="Arial" w:hAnsi="Arial" w:cs="Arial"/>
          <w:sz w:val="24"/>
          <w:szCs w:val="24"/>
        </w:rPr>
      </w:pPr>
    </w:p>
    <w:p w14:paraId="65EA219A" w14:textId="71918876" w:rsidR="002D0588" w:rsidRPr="007B28F7" w:rsidRDefault="00A0411C" w:rsidP="007C7920">
      <w:pPr>
        <w:spacing w:after="160" w:line="276" w:lineRule="auto"/>
        <w:contextualSpacing/>
        <w:jc w:val="both"/>
        <w:rPr>
          <w:rFonts w:ascii="Arial" w:hAnsi="Arial" w:cs="Arial"/>
          <w:sz w:val="24"/>
          <w:szCs w:val="24"/>
          <w:lang w:val="en-US"/>
        </w:rPr>
      </w:pPr>
      <w:r>
        <w:rPr>
          <w:rFonts w:ascii="Arial" w:hAnsi="Arial" w:cs="Arial"/>
          <w:sz w:val="24"/>
          <w:szCs w:val="24"/>
        </w:rPr>
        <w:t xml:space="preserve">As </w:t>
      </w:r>
      <w:r w:rsidR="00200595" w:rsidRPr="007C7920">
        <w:rPr>
          <w:rFonts w:ascii="Arial" w:hAnsi="Arial" w:cs="Arial"/>
          <w:sz w:val="24"/>
          <w:szCs w:val="24"/>
        </w:rPr>
        <w:t>show</w:t>
      </w:r>
      <w:r w:rsidR="00BB5B8D" w:rsidRPr="007C7920">
        <w:rPr>
          <w:rFonts w:ascii="Arial" w:hAnsi="Arial" w:cs="Arial"/>
          <w:sz w:val="24"/>
          <w:szCs w:val="24"/>
        </w:rPr>
        <w:t>n by a growing body of evidence, discussed in the section below,</w:t>
      </w:r>
      <w:r w:rsidR="00306D31" w:rsidRPr="007C7920">
        <w:rPr>
          <w:rFonts w:ascii="Arial" w:hAnsi="Arial" w:cs="Arial"/>
          <w:sz w:val="24"/>
          <w:szCs w:val="24"/>
          <w:lang w:val="en-US"/>
        </w:rPr>
        <w:t xml:space="preserve"> fiscal openness </w:t>
      </w:r>
      <w:r w:rsidR="00332E7A" w:rsidRPr="007C7920">
        <w:rPr>
          <w:rFonts w:ascii="Arial" w:hAnsi="Arial" w:cs="Arial"/>
          <w:sz w:val="24"/>
          <w:szCs w:val="24"/>
          <w:lang w:val="en-US"/>
        </w:rPr>
        <w:t xml:space="preserve">and robust independent oversight leads to </w:t>
      </w:r>
      <w:r w:rsidR="00332E7A" w:rsidRPr="00350390">
        <w:rPr>
          <w:rFonts w:ascii="Arial" w:hAnsi="Arial" w:cs="Arial"/>
          <w:b/>
          <w:bCs/>
          <w:color w:val="16988A"/>
          <w:sz w:val="24"/>
          <w:szCs w:val="24"/>
          <w:lang w:val="en-US"/>
        </w:rPr>
        <w:t>more revenue</w:t>
      </w:r>
      <w:r w:rsidR="00332E7A" w:rsidRPr="007C7920">
        <w:rPr>
          <w:rFonts w:ascii="Arial" w:hAnsi="Arial" w:cs="Arial"/>
          <w:sz w:val="24"/>
          <w:szCs w:val="24"/>
          <w:lang w:val="en-US"/>
        </w:rPr>
        <w:t xml:space="preserve">, </w:t>
      </w:r>
      <w:r w:rsidR="00332E7A" w:rsidRPr="00350390">
        <w:rPr>
          <w:rFonts w:ascii="Arial" w:hAnsi="Arial" w:cs="Arial"/>
          <w:b/>
          <w:bCs/>
          <w:color w:val="16988A"/>
          <w:sz w:val="24"/>
          <w:szCs w:val="24"/>
          <w:lang w:val="en-US"/>
        </w:rPr>
        <w:t>lower corruption</w:t>
      </w:r>
      <w:r w:rsidR="00332E7A" w:rsidRPr="007C7920">
        <w:rPr>
          <w:rFonts w:ascii="Arial" w:hAnsi="Arial" w:cs="Arial"/>
          <w:sz w:val="24"/>
          <w:szCs w:val="24"/>
          <w:lang w:val="en-US"/>
        </w:rPr>
        <w:t xml:space="preserve">, </w:t>
      </w:r>
      <w:r w:rsidR="00332E7A" w:rsidRPr="00350390">
        <w:rPr>
          <w:rFonts w:ascii="Arial" w:hAnsi="Arial" w:cs="Arial"/>
          <w:b/>
          <w:bCs/>
          <w:color w:val="16988A"/>
          <w:sz w:val="24"/>
          <w:szCs w:val="24"/>
          <w:lang w:val="en-US"/>
        </w:rPr>
        <w:t>and generally better government services</w:t>
      </w:r>
      <w:r w:rsidR="00332E7A" w:rsidRPr="007C7920">
        <w:rPr>
          <w:rFonts w:ascii="Arial" w:hAnsi="Arial" w:cs="Arial"/>
          <w:sz w:val="24"/>
          <w:szCs w:val="24"/>
          <w:lang w:val="en-US"/>
        </w:rPr>
        <w:t>, towards</w:t>
      </w:r>
      <w:r w:rsidR="007F7FF2" w:rsidRPr="007C7920">
        <w:rPr>
          <w:rFonts w:ascii="Arial" w:hAnsi="Arial" w:cs="Arial"/>
          <w:sz w:val="24"/>
          <w:szCs w:val="24"/>
          <w:lang w:val="en-US"/>
        </w:rPr>
        <w:t xml:space="preserve"> improved human development outcomes, such as those contained in the United Nations’ Sustainable Development Goals</w:t>
      </w:r>
      <w:r w:rsidR="002D0588" w:rsidRPr="007C7920">
        <w:rPr>
          <w:rFonts w:ascii="Arial" w:hAnsi="Arial" w:cs="Arial"/>
          <w:sz w:val="24"/>
          <w:szCs w:val="24"/>
          <w:lang w:val="en-US"/>
        </w:rPr>
        <w:t xml:space="preserve"> (</w:t>
      </w:r>
      <w:r w:rsidR="007F7FF2" w:rsidRPr="007C7920">
        <w:rPr>
          <w:rFonts w:ascii="Arial" w:hAnsi="Arial" w:cs="Arial"/>
          <w:sz w:val="24"/>
          <w:szCs w:val="24"/>
          <w:lang w:val="en-US"/>
        </w:rPr>
        <w:t>SDGs</w:t>
      </w:r>
      <w:r w:rsidR="002D0588" w:rsidRPr="007C7920">
        <w:rPr>
          <w:rFonts w:ascii="Arial" w:hAnsi="Arial" w:cs="Arial"/>
          <w:sz w:val="24"/>
          <w:szCs w:val="24"/>
          <w:lang w:val="en-US"/>
        </w:rPr>
        <w:t xml:space="preserve">). </w:t>
      </w:r>
      <w:r w:rsidR="001931D1" w:rsidRPr="007C7920">
        <w:rPr>
          <w:rFonts w:ascii="Arial" w:hAnsi="Arial" w:cs="Arial"/>
          <w:sz w:val="24"/>
          <w:szCs w:val="24"/>
        </w:rPr>
        <w:t>Fiscal transparency</w:t>
      </w:r>
      <w:r w:rsidR="00497D82" w:rsidRPr="007C7920">
        <w:rPr>
          <w:rFonts w:ascii="Arial" w:hAnsi="Arial" w:cs="Arial"/>
          <w:sz w:val="24"/>
          <w:szCs w:val="24"/>
        </w:rPr>
        <w:t xml:space="preserve"> is critical for evaluating the degree to which governmental commitments to developmental goals</w:t>
      </w:r>
      <w:r w:rsidR="001931D1" w:rsidRPr="007C7920">
        <w:rPr>
          <w:rFonts w:ascii="Arial" w:hAnsi="Arial" w:cs="Arial"/>
          <w:sz w:val="24"/>
          <w:szCs w:val="24"/>
        </w:rPr>
        <w:t xml:space="preserve">, such as the SDGs, </w:t>
      </w:r>
      <w:r w:rsidR="00497D82" w:rsidRPr="007C7920">
        <w:rPr>
          <w:rFonts w:ascii="Arial" w:hAnsi="Arial" w:cs="Arial"/>
          <w:sz w:val="24"/>
          <w:szCs w:val="24"/>
        </w:rPr>
        <w:t xml:space="preserve">are supported by adequate resources. Transparent and inclusive fiscal policy supports healthy public finances, better fiscal outcomes and more responsive, effective and equitable public policies. </w:t>
      </w:r>
    </w:p>
    <w:p w14:paraId="18DC426F" w14:textId="77777777" w:rsidR="002D0588" w:rsidRPr="007C7920" w:rsidRDefault="002D0588" w:rsidP="007C7920">
      <w:pPr>
        <w:spacing w:after="160" w:line="276" w:lineRule="auto"/>
        <w:contextualSpacing/>
        <w:jc w:val="both"/>
        <w:rPr>
          <w:rFonts w:ascii="Arial" w:hAnsi="Arial" w:cs="Arial"/>
          <w:sz w:val="24"/>
          <w:szCs w:val="24"/>
        </w:rPr>
      </w:pPr>
    </w:p>
    <w:p w14:paraId="48106102" w14:textId="53121012" w:rsidR="00E8029F" w:rsidRDefault="002D0588" w:rsidP="007C7920">
      <w:pPr>
        <w:spacing w:after="160" w:line="276" w:lineRule="auto"/>
        <w:contextualSpacing/>
        <w:jc w:val="both"/>
        <w:rPr>
          <w:rFonts w:ascii="Arial" w:hAnsi="Arial" w:cs="Arial"/>
          <w:sz w:val="24"/>
          <w:szCs w:val="24"/>
          <w:lang w:val="en-US"/>
        </w:rPr>
      </w:pPr>
      <w:r w:rsidRPr="007C7920">
        <w:rPr>
          <w:rFonts w:ascii="Arial" w:hAnsi="Arial" w:cs="Arial"/>
          <w:sz w:val="24"/>
          <w:szCs w:val="24"/>
        </w:rPr>
        <w:t xml:space="preserve">In a nutshell, </w:t>
      </w:r>
      <w:r w:rsidR="00FA690E" w:rsidRPr="007C7920">
        <w:rPr>
          <w:rFonts w:ascii="Arial" w:hAnsi="Arial" w:cs="Arial"/>
          <w:sz w:val="24"/>
          <w:szCs w:val="24"/>
          <w:lang w:val="en-US"/>
        </w:rPr>
        <w:t xml:space="preserve">the theory of change advocates that </w:t>
      </w:r>
      <w:r w:rsidR="0058140C" w:rsidRPr="007C7920">
        <w:rPr>
          <w:rFonts w:ascii="Arial" w:hAnsi="Arial" w:cs="Arial"/>
          <w:sz w:val="24"/>
          <w:szCs w:val="24"/>
        </w:rPr>
        <w:t>having access to quality information on public finances empowers stakeholders to provide feedback to influence fiscal policy formulation and resource allocation</w:t>
      </w:r>
      <w:r w:rsidR="00504165" w:rsidRPr="007C7920">
        <w:rPr>
          <w:rFonts w:ascii="Arial" w:hAnsi="Arial" w:cs="Arial"/>
          <w:sz w:val="24"/>
          <w:szCs w:val="24"/>
          <w:lang w:val="en-US"/>
        </w:rPr>
        <w:t xml:space="preserve"> leading to improved budget management</w:t>
      </w:r>
      <w:r w:rsidR="00504165" w:rsidRPr="007C7920">
        <w:rPr>
          <w:rFonts w:ascii="Arial" w:hAnsi="Arial" w:cs="Arial"/>
          <w:sz w:val="24"/>
          <w:szCs w:val="24"/>
        </w:rPr>
        <w:t xml:space="preserve">. </w:t>
      </w:r>
      <w:r w:rsidR="0058140C" w:rsidRPr="007C7920">
        <w:rPr>
          <w:rFonts w:ascii="Arial" w:hAnsi="Arial" w:cs="Arial"/>
          <w:sz w:val="24"/>
          <w:szCs w:val="24"/>
        </w:rPr>
        <w:t xml:space="preserve">Fiscal transparency coupled with effective public participation is vital to enhance inclusiveness, enabling all actors, including traditionally excluded and vulnerable groups and individuals, to have a voice in fiscal policy that affect their interests and living standards. Clarity about the use of public resources is necessary to hold public representatives and officials accountable for their effectiveness and efficiency. Fiscal transparency thus fosters trust in society and helps create a culture where people’s views and interests are respected, helping ensure that </w:t>
      </w:r>
      <w:r w:rsidR="0058140C" w:rsidRPr="007C7920">
        <w:rPr>
          <w:rFonts w:ascii="Arial" w:hAnsi="Arial" w:cs="Arial"/>
          <w:sz w:val="24"/>
          <w:szCs w:val="24"/>
          <w:lang w:val="en-US"/>
        </w:rPr>
        <w:t>better public choices are made</w:t>
      </w:r>
      <w:r w:rsidR="0058140C" w:rsidRPr="007C7920">
        <w:rPr>
          <w:rFonts w:ascii="Arial" w:hAnsi="Arial" w:cs="Arial"/>
          <w:sz w:val="24"/>
          <w:szCs w:val="24"/>
        </w:rPr>
        <w:t xml:space="preserve"> and that public funds are used with integrity and high standards</w:t>
      </w:r>
      <w:r w:rsidR="00504165" w:rsidRPr="007C7920">
        <w:rPr>
          <w:rFonts w:ascii="Arial" w:hAnsi="Arial" w:cs="Arial"/>
          <w:sz w:val="24"/>
          <w:szCs w:val="24"/>
        </w:rPr>
        <w:t>,</w:t>
      </w:r>
      <w:r w:rsidR="0058140C" w:rsidRPr="007C7920">
        <w:rPr>
          <w:rFonts w:ascii="Arial" w:hAnsi="Arial" w:cs="Arial"/>
          <w:sz w:val="24"/>
          <w:szCs w:val="24"/>
        </w:rPr>
        <w:t xml:space="preserve"> enhancing</w:t>
      </w:r>
      <w:r w:rsidR="0058140C" w:rsidRPr="007C7920">
        <w:rPr>
          <w:rFonts w:ascii="Arial" w:hAnsi="Arial" w:cs="Arial"/>
          <w:sz w:val="24"/>
          <w:szCs w:val="24"/>
          <w:lang w:val="en-US"/>
        </w:rPr>
        <w:t xml:space="preserve"> government efficiency and effectiveness</w:t>
      </w:r>
      <w:r w:rsidR="00A71D59" w:rsidRPr="007C7920">
        <w:rPr>
          <w:rFonts w:ascii="Arial" w:hAnsi="Arial" w:cs="Arial"/>
          <w:sz w:val="24"/>
          <w:szCs w:val="24"/>
          <w:lang w:val="en-US"/>
        </w:rPr>
        <w:t>, towards the achievement of its developmental goals</w:t>
      </w:r>
      <w:r w:rsidR="0058140C" w:rsidRPr="007C7920">
        <w:rPr>
          <w:rFonts w:ascii="Arial" w:hAnsi="Arial" w:cs="Arial"/>
          <w:sz w:val="24"/>
          <w:szCs w:val="24"/>
          <w:lang w:val="en-US"/>
        </w:rPr>
        <w:t>.</w:t>
      </w:r>
    </w:p>
    <w:p w14:paraId="76FF7361" w14:textId="77777777" w:rsidR="004D3466" w:rsidRPr="007C7920" w:rsidRDefault="004D3466" w:rsidP="007C7920">
      <w:pPr>
        <w:spacing w:after="160" w:line="276" w:lineRule="auto"/>
        <w:contextualSpacing/>
        <w:jc w:val="both"/>
        <w:rPr>
          <w:rFonts w:ascii="Arial" w:hAnsi="Arial" w:cs="Arial"/>
          <w:sz w:val="24"/>
          <w:szCs w:val="24"/>
          <w:lang w:val="en-US"/>
        </w:rPr>
      </w:pPr>
    </w:p>
    <w:p w14:paraId="314B3F8D" w14:textId="17BD349A" w:rsidR="00CC0377" w:rsidRDefault="000D7A7C" w:rsidP="001454D0">
      <w:pPr>
        <w:pStyle w:val="Heading2"/>
        <w:numPr>
          <w:ilvl w:val="1"/>
          <w:numId w:val="11"/>
        </w:numPr>
        <w:spacing w:line="276" w:lineRule="auto"/>
        <w:ind w:left="720" w:hanging="720"/>
        <w:rPr>
          <w:rFonts w:ascii="Arial" w:hAnsi="Arial" w:cs="Arial"/>
          <w:b/>
          <w:bCs/>
          <w:color w:val="16988A"/>
          <w:sz w:val="36"/>
          <w:szCs w:val="36"/>
        </w:rPr>
      </w:pPr>
      <w:bookmarkStart w:id="316" w:name="_Toc115729058"/>
      <w:bookmarkStart w:id="317" w:name="_Toc115877705"/>
      <w:bookmarkStart w:id="318" w:name="_Toc116056989"/>
      <w:bookmarkStart w:id="319" w:name="_Toc119794426"/>
      <w:bookmarkStart w:id="320" w:name="_Toc123204407"/>
      <w:bookmarkStart w:id="321" w:name="_Toc123216495"/>
      <w:bookmarkStart w:id="322" w:name="_Toc123217335"/>
      <w:bookmarkStart w:id="323" w:name="_Toc123913308"/>
      <w:bookmarkStart w:id="324" w:name="_Toc123913964"/>
      <w:bookmarkStart w:id="325" w:name="_Toc125495792"/>
      <w:bookmarkStart w:id="326" w:name="_Toc125566583"/>
      <w:bookmarkStart w:id="327" w:name="_Toc115369983"/>
      <w:r w:rsidRPr="007C7920">
        <w:rPr>
          <w:rFonts w:ascii="Arial" w:hAnsi="Arial" w:cs="Arial"/>
          <w:b/>
          <w:bCs/>
          <w:color w:val="16988A"/>
          <w:sz w:val="36"/>
          <w:szCs w:val="36"/>
        </w:rPr>
        <w:t>Evidence of l</w:t>
      </w:r>
      <w:r w:rsidR="00504165" w:rsidRPr="007C7920">
        <w:rPr>
          <w:rFonts w:ascii="Arial" w:hAnsi="Arial" w:cs="Arial"/>
          <w:b/>
          <w:bCs/>
          <w:color w:val="16988A"/>
          <w:sz w:val="36"/>
          <w:szCs w:val="36"/>
        </w:rPr>
        <w:t>inkages between fiscal transparency an</w:t>
      </w:r>
      <w:r w:rsidR="003C4707">
        <w:rPr>
          <w:rFonts w:ascii="Arial" w:hAnsi="Arial" w:cs="Arial"/>
          <w:b/>
          <w:bCs/>
          <w:color w:val="16988A"/>
          <w:sz w:val="36"/>
          <w:szCs w:val="36"/>
        </w:rPr>
        <w:t xml:space="preserve">d </w:t>
      </w:r>
      <w:r w:rsidR="006A1BEE">
        <w:rPr>
          <w:rFonts w:ascii="Arial" w:hAnsi="Arial" w:cs="Arial"/>
          <w:b/>
          <w:bCs/>
          <w:color w:val="16988A"/>
          <w:sz w:val="36"/>
          <w:szCs w:val="36"/>
        </w:rPr>
        <w:t xml:space="preserve">             </w:t>
      </w:r>
      <w:r w:rsidR="003C4707">
        <w:rPr>
          <w:rFonts w:ascii="Arial" w:hAnsi="Arial" w:cs="Arial"/>
          <w:b/>
          <w:bCs/>
          <w:color w:val="16988A"/>
          <w:sz w:val="36"/>
          <w:szCs w:val="36"/>
        </w:rPr>
        <w:t>P</w:t>
      </w:r>
      <w:r w:rsidR="003C4707" w:rsidRPr="007C7920">
        <w:rPr>
          <w:rFonts w:ascii="Arial" w:hAnsi="Arial" w:cs="Arial"/>
          <w:b/>
          <w:bCs/>
          <w:color w:val="16988A"/>
          <w:sz w:val="36"/>
          <w:szCs w:val="36"/>
        </w:rPr>
        <w:t>FM outcomes</w:t>
      </w:r>
      <w:bookmarkEnd w:id="316"/>
      <w:bookmarkEnd w:id="317"/>
      <w:bookmarkEnd w:id="318"/>
      <w:bookmarkEnd w:id="319"/>
      <w:bookmarkEnd w:id="320"/>
      <w:bookmarkEnd w:id="321"/>
      <w:bookmarkEnd w:id="322"/>
      <w:bookmarkEnd w:id="323"/>
      <w:bookmarkEnd w:id="324"/>
      <w:bookmarkEnd w:id="325"/>
      <w:bookmarkEnd w:id="326"/>
      <w:r w:rsidR="003C4707">
        <w:rPr>
          <w:rFonts w:ascii="Arial" w:hAnsi="Arial" w:cs="Arial"/>
          <w:b/>
          <w:bCs/>
          <w:color w:val="16988A"/>
          <w:sz w:val="36"/>
          <w:szCs w:val="36"/>
        </w:rPr>
        <w:t xml:space="preserve">                     </w:t>
      </w:r>
      <w:bookmarkEnd w:id="327"/>
    </w:p>
    <w:p w14:paraId="60A476D1" w14:textId="77777777" w:rsidR="003C4707" w:rsidRPr="003C4707" w:rsidRDefault="003C4707" w:rsidP="003C4707">
      <w:pPr>
        <w:spacing w:line="276" w:lineRule="auto"/>
        <w:rPr>
          <w:rFonts w:ascii="Arial" w:hAnsi="Arial" w:cs="Arial"/>
          <w:sz w:val="24"/>
          <w:szCs w:val="24"/>
        </w:rPr>
      </w:pPr>
    </w:p>
    <w:p w14:paraId="706DE3D5" w14:textId="4D157539" w:rsidR="00FF2988" w:rsidRPr="00FE565E" w:rsidRDefault="0035124A" w:rsidP="00FE565E">
      <w:pPr>
        <w:spacing w:after="160" w:line="276" w:lineRule="auto"/>
        <w:contextualSpacing/>
        <w:jc w:val="both"/>
        <w:rPr>
          <w:rFonts w:asciiTheme="minorHAnsi" w:hAnsiTheme="minorHAnsi" w:cstheme="minorBidi"/>
        </w:rPr>
      </w:pPr>
      <w:r w:rsidRPr="003C4707">
        <w:rPr>
          <w:rFonts w:ascii="Arial" w:hAnsi="Arial" w:cs="Arial"/>
          <w:sz w:val="24"/>
          <w:szCs w:val="24"/>
          <w:lang w:val="en-US"/>
        </w:rPr>
        <w:t xml:space="preserve">The link between </w:t>
      </w:r>
      <w:r w:rsidRPr="003C4707">
        <w:rPr>
          <w:rFonts w:ascii="Arial" w:hAnsi="Arial" w:cs="Arial"/>
          <w:sz w:val="24"/>
          <w:szCs w:val="24"/>
        </w:rPr>
        <w:t xml:space="preserve">fiscal transparency and improved PFM </w:t>
      </w:r>
      <w:r w:rsidR="000D7A7C" w:rsidRPr="003C4707">
        <w:rPr>
          <w:rFonts w:ascii="Arial" w:hAnsi="Arial" w:cs="Arial"/>
          <w:sz w:val="24"/>
          <w:szCs w:val="24"/>
        </w:rPr>
        <w:t xml:space="preserve">and development </w:t>
      </w:r>
      <w:r w:rsidRPr="003C4707">
        <w:rPr>
          <w:rFonts w:ascii="Arial" w:hAnsi="Arial" w:cs="Arial"/>
          <w:sz w:val="24"/>
          <w:szCs w:val="24"/>
        </w:rPr>
        <w:t xml:space="preserve">outcomes has been the subject of </w:t>
      </w:r>
      <w:r w:rsidR="005F560A" w:rsidRPr="003C4707">
        <w:rPr>
          <w:rFonts w:ascii="Arial" w:hAnsi="Arial" w:cs="Arial"/>
          <w:sz w:val="24"/>
          <w:szCs w:val="24"/>
        </w:rPr>
        <w:t>several</w:t>
      </w:r>
      <w:r w:rsidRPr="003C4707">
        <w:rPr>
          <w:rFonts w:ascii="Arial" w:hAnsi="Arial" w:cs="Arial"/>
          <w:sz w:val="24"/>
          <w:szCs w:val="24"/>
        </w:rPr>
        <w:t xml:space="preserve"> studies over the years</w:t>
      </w:r>
      <w:r w:rsidR="000D7A7C" w:rsidRPr="003C4707">
        <w:rPr>
          <w:rFonts w:ascii="Arial" w:hAnsi="Arial" w:cs="Arial"/>
          <w:sz w:val="24"/>
          <w:szCs w:val="24"/>
        </w:rPr>
        <w:t xml:space="preserve">, with evidence generally showing a positive association between fiscal transparency and improved fiscal policy outcomes, governance, </w:t>
      </w:r>
      <w:r w:rsidR="003D1CFC" w:rsidRPr="003C4707">
        <w:rPr>
          <w:rFonts w:ascii="Arial" w:hAnsi="Arial" w:cs="Arial"/>
          <w:sz w:val="24"/>
          <w:szCs w:val="24"/>
        </w:rPr>
        <w:t>as well as</w:t>
      </w:r>
      <w:r w:rsidR="000D7A7C" w:rsidRPr="003C4707">
        <w:rPr>
          <w:rFonts w:ascii="Arial" w:hAnsi="Arial" w:cs="Arial"/>
          <w:sz w:val="24"/>
          <w:szCs w:val="24"/>
        </w:rPr>
        <w:t xml:space="preserve"> socio-economic and human development indicators. </w:t>
      </w:r>
      <w:r w:rsidR="003D1CFC" w:rsidRPr="003C4707">
        <w:rPr>
          <w:rFonts w:ascii="Arial" w:hAnsi="Arial" w:cs="Arial"/>
          <w:sz w:val="24"/>
          <w:szCs w:val="24"/>
        </w:rPr>
        <w:t>Some</w:t>
      </w:r>
      <w:r w:rsidR="000D7A7C" w:rsidRPr="003C4707">
        <w:rPr>
          <w:rFonts w:ascii="Arial" w:hAnsi="Arial" w:cs="Arial"/>
          <w:sz w:val="24"/>
          <w:szCs w:val="24"/>
        </w:rPr>
        <w:t xml:space="preserve"> studies credibly identify causal effects in the form of reduced corruption, enhanced electoral accountability, and improved resource allocation. The evidence highlights how specific and locally relevant disclosures, especially on budget </w:t>
      </w:r>
      <w:r w:rsidR="000D7A7C" w:rsidRPr="003C4707">
        <w:rPr>
          <w:rFonts w:ascii="Arial" w:hAnsi="Arial" w:cs="Arial"/>
          <w:sz w:val="24"/>
          <w:szCs w:val="24"/>
        </w:rPr>
        <w:lastRenderedPageBreak/>
        <w:t xml:space="preserve">execution and audits, can improve governance outcomes. </w:t>
      </w:r>
      <w:r w:rsidR="00044CEF" w:rsidRPr="003C4707">
        <w:rPr>
          <w:rFonts w:ascii="Arial" w:hAnsi="Arial" w:cs="Arial"/>
          <w:sz w:val="24"/>
          <w:szCs w:val="24"/>
        </w:rPr>
        <w:t>Some</w:t>
      </w:r>
      <w:r w:rsidR="00473849" w:rsidRPr="003C4707">
        <w:rPr>
          <w:rFonts w:ascii="Arial" w:hAnsi="Arial" w:cs="Arial"/>
          <w:sz w:val="24"/>
          <w:szCs w:val="24"/>
        </w:rPr>
        <w:t xml:space="preserve"> </w:t>
      </w:r>
      <w:r w:rsidR="005A14B8" w:rsidRPr="003C4707">
        <w:rPr>
          <w:rFonts w:ascii="Arial" w:hAnsi="Arial" w:cs="Arial"/>
          <w:sz w:val="24"/>
          <w:szCs w:val="24"/>
        </w:rPr>
        <w:t xml:space="preserve">of the findings </w:t>
      </w:r>
      <w:r w:rsidR="005D096F" w:rsidRPr="003C4707">
        <w:rPr>
          <w:rFonts w:ascii="Arial" w:hAnsi="Arial" w:cs="Arial"/>
          <w:sz w:val="24"/>
          <w:szCs w:val="24"/>
        </w:rPr>
        <w:t xml:space="preserve">of selected </w:t>
      </w:r>
      <w:r w:rsidR="00473849" w:rsidRPr="003C4707">
        <w:rPr>
          <w:rFonts w:ascii="Arial" w:hAnsi="Arial" w:cs="Arial"/>
          <w:sz w:val="24"/>
          <w:szCs w:val="24"/>
        </w:rPr>
        <w:t>studies are summarised in the table below</w:t>
      </w:r>
      <w:r w:rsidR="0025329B" w:rsidRPr="003C4707">
        <w:rPr>
          <w:rFonts w:ascii="Arial" w:hAnsi="Arial" w:cs="Arial"/>
          <w:sz w:val="24"/>
          <w:szCs w:val="24"/>
        </w:rPr>
        <w:t xml:space="preserve"> </w:t>
      </w:r>
      <w:r w:rsidR="0005658B" w:rsidRPr="003C4707">
        <w:rPr>
          <w:rFonts w:ascii="Arial" w:hAnsi="Arial" w:cs="Arial"/>
          <w:sz w:val="24"/>
          <w:szCs w:val="24"/>
        </w:rPr>
        <w:t xml:space="preserve">to illustrate </w:t>
      </w:r>
      <w:r w:rsidR="003D1CFC" w:rsidRPr="003C4707">
        <w:rPr>
          <w:rFonts w:ascii="Arial" w:hAnsi="Arial" w:cs="Arial"/>
          <w:sz w:val="24"/>
          <w:szCs w:val="24"/>
        </w:rPr>
        <w:t xml:space="preserve">some of </w:t>
      </w:r>
      <w:r w:rsidR="0005658B" w:rsidRPr="003C4707">
        <w:rPr>
          <w:rFonts w:ascii="Arial" w:hAnsi="Arial" w:cs="Arial"/>
          <w:sz w:val="24"/>
          <w:szCs w:val="24"/>
        </w:rPr>
        <w:t>the practical benefits of fiscal transparency</w:t>
      </w:r>
      <w:r w:rsidR="0027636F" w:rsidRPr="003C4707">
        <w:rPr>
          <w:rFonts w:ascii="Arial" w:hAnsi="Arial" w:cs="Arial"/>
          <w:sz w:val="24"/>
          <w:szCs w:val="24"/>
        </w:rPr>
        <w:t xml:space="preserve">. </w:t>
      </w:r>
    </w:p>
    <w:p w14:paraId="5DDCBAAB" w14:textId="147C59DC" w:rsidR="00826F0E" w:rsidRPr="003625BA" w:rsidRDefault="00826F0E" w:rsidP="003625BA">
      <w:pPr>
        <w:pStyle w:val="Heading3"/>
        <w:jc w:val="center"/>
        <w:rPr>
          <w:rFonts w:ascii="Arial" w:hAnsi="Arial" w:cs="Arial"/>
          <w:b/>
          <w:bCs/>
          <w:color w:val="ED5625"/>
          <w:sz w:val="20"/>
          <w:szCs w:val="20"/>
          <w:lang w:val="en-US"/>
        </w:rPr>
      </w:pPr>
      <w:bookmarkStart w:id="328" w:name="_Table_1.1._Evidence"/>
      <w:bookmarkStart w:id="329" w:name="_Toc123216496"/>
      <w:bookmarkStart w:id="330" w:name="_Toc123217336"/>
      <w:bookmarkStart w:id="331" w:name="_Toc123913965"/>
      <w:bookmarkStart w:id="332" w:name="_Toc125566584"/>
      <w:bookmarkEnd w:id="328"/>
      <w:r w:rsidRPr="003625BA">
        <w:rPr>
          <w:rFonts w:ascii="Arial" w:hAnsi="Arial" w:cs="Arial"/>
          <w:b/>
          <w:bCs/>
          <w:color w:val="ED5625"/>
          <w:sz w:val="20"/>
          <w:szCs w:val="20"/>
          <w:lang w:val="en-US"/>
        </w:rPr>
        <w:t xml:space="preserve">Table </w:t>
      </w:r>
      <w:r w:rsidR="0065711A" w:rsidRPr="003625BA">
        <w:rPr>
          <w:rFonts w:ascii="Arial" w:hAnsi="Arial" w:cs="Arial"/>
          <w:b/>
          <w:bCs/>
          <w:color w:val="ED5625"/>
          <w:sz w:val="20"/>
          <w:szCs w:val="20"/>
          <w:lang w:val="en-US"/>
        </w:rPr>
        <w:t>1.1</w:t>
      </w:r>
      <w:r w:rsidR="007A1144">
        <w:rPr>
          <w:rFonts w:ascii="Arial" w:hAnsi="Arial" w:cs="Arial"/>
          <w:b/>
          <w:bCs/>
          <w:color w:val="ED5625"/>
          <w:sz w:val="20"/>
          <w:szCs w:val="20"/>
          <w:lang w:val="en-US"/>
        </w:rPr>
        <w:t>.</w:t>
      </w:r>
      <w:r w:rsidR="0065711A" w:rsidRPr="003625BA">
        <w:rPr>
          <w:rFonts w:ascii="Arial" w:hAnsi="Arial" w:cs="Arial"/>
          <w:b/>
          <w:bCs/>
          <w:color w:val="ED5625"/>
          <w:sz w:val="20"/>
          <w:szCs w:val="20"/>
          <w:lang w:val="en-US"/>
        </w:rPr>
        <w:t xml:space="preserve"> </w:t>
      </w:r>
      <w:r w:rsidRPr="003625BA">
        <w:rPr>
          <w:rFonts w:ascii="Arial" w:hAnsi="Arial" w:cs="Arial"/>
          <w:b/>
          <w:bCs/>
          <w:color w:val="ED5625"/>
          <w:sz w:val="20"/>
          <w:szCs w:val="20"/>
          <w:lang w:val="en-US"/>
        </w:rPr>
        <w:t>Evidence of the benefits of fiscal transparency</w:t>
      </w:r>
      <w:bookmarkEnd w:id="329"/>
      <w:bookmarkEnd w:id="330"/>
      <w:bookmarkEnd w:id="331"/>
      <w:bookmarkEnd w:id="332"/>
    </w:p>
    <w:p w14:paraId="3178C237" w14:textId="77777777" w:rsidR="006D7074" w:rsidRPr="003625BA" w:rsidRDefault="006D7074" w:rsidP="003625BA">
      <w:pPr>
        <w:spacing w:after="160" w:line="259" w:lineRule="auto"/>
        <w:contextualSpacing/>
        <w:jc w:val="center"/>
        <w:rPr>
          <w:rFonts w:ascii="Arial" w:hAnsi="Arial" w:cs="Arial"/>
          <w:b/>
          <w:bCs/>
          <w:color w:val="F26D24"/>
          <w:sz w:val="20"/>
          <w:szCs w:val="20"/>
          <w:lang w:val="en-US"/>
        </w:rPr>
      </w:pPr>
    </w:p>
    <w:tbl>
      <w:tblPr>
        <w:tblW w:w="0" w:type="auto"/>
        <w:tblCellMar>
          <w:top w:w="284" w:type="dxa"/>
          <w:bottom w:w="284" w:type="dxa"/>
        </w:tblCellMar>
        <w:tblLook w:val="04A0" w:firstRow="1" w:lastRow="0" w:firstColumn="1" w:lastColumn="0" w:noHBand="0" w:noVBand="1"/>
      </w:tblPr>
      <w:tblGrid>
        <w:gridCol w:w="2689"/>
        <w:gridCol w:w="7767"/>
      </w:tblGrid>
      <w:tr w:rsidR="006A1BEE" w:rsidRPr="00600972" w14:paraId="24094632" w14:textId="77777777" w:rsidTr="00363DC1">
        <w:trPr>
          <w:trHeight w:val="574"/>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69557F"/>
          </w:tcPr>
          <w:p w14:paraId="3AFA8D51" w14:textId="47572FCB" w:rsidR="00D5650D" w:rsidRPr="003625BA" w:rsidRDefault="00504165" w:rsidP="003D6379">
            <w:pPr>
              <w:spacing w:after="160" w:line="276" w:lineRule="auto"/>
              <w:contextualSpacing/>
              <w:jc w:val="center"/>
              <w:rPr>
                <w:rFonts w:ascii="Roboto" w:hAnsi="Roboto" w:cs="Arial"/>
                <w:color w:val="FFFFFF" w:themeColor="background1"/>
                <w:sz w:val="20"/>
                <w:szCs w:val="20"/>
              </w:rPr>
            </w:pPr>
            <w:r w:rsidRPr="003625BA">
              <w:rPr>
                <w:rFonts w:ascii="Roboto" w:hAnsi="Roboto" w:cs="Arial"/>
                <w:color w:val="FFFFFF" w:themeColor="background1"/>
                <w:sz w:val="20"/>
                <w:szCs w:val="20"/>
              </w:rPr>
              <w:t>Expected impact of fiscal transparency</w:t>
            </w:r>
            <w:r w:rsidRPr="003625BA">
              <w:rPr>
                <w:rStyle w:val="FootnoteReference"/>
                <w:rFonts w:ascii="Roboto" w:hAnsi="Roboto" w:cs="Arial"/>
                <w:color w:val="FFFFFF" w:themeColor="background1"/>
                <w:sz w:val="20"/>
                <w:szCs w:val="20"/>
              </w:rPr>
              <w:footnoteReference w:id="3"/>
            </w:r>
            <w:r w:rsidR="000D7A7C" w:rsidRPr="003625BA">
              <w:rPr>
                <w:rFonts w:ascii="Roboto" w:hAnsi="Roboto" w:cs="Arial"/>
                <w:color w:val="FFFFFF" w:themeColor="background1"/>
                <w:sz w:val="20"/>
                <w:szCs w:val="20"/>
              </w:rPr>
              <w:t xml:space="preserve"> </w:t>
            </w:r>
            <w:r w:rsidR="000D7A7C" w:rsidRPr="003625BA">
              <w:rPr>
                <w:rStyle w:val="FootnoteReference"/>
                <w:rFonts w:ascii="Roboto" w:hAnsi="Roboto" w:cs="Arial"/>
                <w:color w:val="FFFFFF" w:themeColor="background1"/>
                <w:sz w:val="20"/>
                <w:szCs w:val="20"/>
              </w:rPr>
              <w:footnoteReference w:id="4"/>
            </w:r>
          </w:p>
        </w:tc>
        <w:tc>
          <w:tcPr>
            <w:tcW w:w="7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69557F"/>
          </w:tcPr>
          <w:p w14:paraId="390C32E5" w14:textId="22EA26FA" w:rsidR="00504165" w:rsidRPr="003625BA" w:rsidRDefault="00112667" w:rsidP="003C4707">
            <w:pPr>
              <w:spacing w:after="160" w:line="276" w:lineRule="auto"/>
              <w:contextualSpacing/>
              <w:rPr>
                <w:rFonts w:ascii="Roboto" w:hAnsi="Roboto" w:cs="Arial"/>
                <w:color w:val="FFFFFF" w:themeColor="background1"/>
                <w:sz w:val="20"/>
                <w:szCs w:val="20"/>
              </w:rPr>
            </w:pPr>
            <w:r w:rsidRPr="003625BA">
              <w:rPr>
                <w:rFonts w:ascii="Roboto" w:hAnsi="Roboto" w:cs="Arial"/>
                <w:noProof/>
                <w:color w:val="FFFFFF" w:themeColor="background1"/>
                <w:sz w:val="20"/>
                <w:szCs w:val="20"/>
                <w:lang w:val="en-US"/>
              </w:rPr>
              <mc:AlternateContent>
                <mc:Choice Requires="wps">
                  <w:drawing>
                    <wp:anchor distT="0" distB="0" distL="114300" distR="114300" simplePos="0" relativeHeight="251799552" behindDoc="0" locked="0" layoutInCell="1" allowOverlap="1" wp14:anchorId="70D5D9A0" wp14:editId="6006F315">
                      <wp:simplePos x="0" y="0"/>
                      <wp:positionH relativeFrom="column">
                        <wp:posOffset>1382395</wp:posOffset>
                      </wp:positionH>
                      <wp:positionV relativeFrom="paragraph">
                        <wp:posOffset>66675</wp:posOffset>
                      </wp:positionV>
                      <wp:extent cx="2360930" cy="358775"/>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2360930" cy="358775"/>
                              </a:xfrm>
                              <a:prstGeom prst="rect">
                                <a:avLst/>
                              </a:prstGeom>
                              <a:noFill/>
                              <a:ln w="6350">
                                <a:noFill/>
                              </a:ln>
                            </wps:spPr>
                            <wps:txbx>
                              <w:txbxContent>
                                <w:p w14:paraId="11F5EF42" w14:textId="17B500E0" w:rsidR="00D15FD8" w:rsidRPr="003625BA" w:rsidRDefault="00D15FD8" w:rsidP="006A1BEE">
                                  <w:pPr>
                                    <w:jc w:val="center"/>
                                    <w:rPr>
                                      <w:rFonts w:ascii="Roboto" w:hAnsi="Roboto" w:cs="Arial"/>
                                      <w:color w:val="FFFFFF" w:themeColor="background1"/>
                                      <w:sz w:val="20"/>
                                      <w:szCs w:val="20"/>
                                    </w:rPr>
                                  </w:pPr>
                                  <w:r w:rsidRPr="003625BA">
                                    <w:rPr>
                                      <w:rFonts w:ascii="Roboto" w:hAnsi="Roboto" w:cs="Arial"/>
                                      <w:b/>
                                      <w:color w:val="FFFFFF" w:themeColor="background1"/>
                                      <w:sz w:val="20"/>
                                      <w:szCs w:val="20"/>
                                    </w:rPr>
                                    <w:t>Mechanism at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5D9A0" id="Text Box 220" o:spid="_x0000_s1062" type="#_x0000_t202" style="position:absolute;margin-left:108.85pt;margin-top:5.25pt;width:185.9pt;height:28.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" filled="f" stroked="f" strokeweight=".5pt">
                      <v:textbox>
                        <w:txbxContent>
                          <w:p w14:paraId="11F5EF42" w14:textId="17B500E0" w:rsidR="00D15FD8" w:rsidRPr="003625BA" w:rsidRDefault="00D15FD8" w:rsidP="006A1BEE">
                            <w:pPr>
                              <w:jc w:val="center"/>
                              <w:rPr>
                                <w:rFonts w:ascii="Roboto" w:hAnsi="Roboto" w:cs="Arial"/>
                                <w:color w:val="FFFFFF" w:themeColor="background1"/>
                                <w:sz w:val="20"/>
                                <w:szCs w:val="20"/>
                              </w:rPr>
                            </w:pPr>
                            <w:r w:rsidRPr="003625BA">
                              <w:rPr>
                                <w:rFonts w:ascii="Roboto" w:hAnsi="Roboto" w:cs="Arial"/>
                                <w:b/>
                                <w:color w:val="FFFFFF" w:themeColor="background1"/>
                                <w:sz w:val="20"/>
                                <w:szCs w:val="20"/>
                              </w:rPr>
                              <w:t>Mechanism at work</w:t>
                            </w:r>
                          </w:p>
                        </w:txbxContent>
                      </v:textbox>
                    </v:shape>
                  </w:pict>
                </mc:Fallback>
              </mc:AlternateContent>
            </w:r>
            <w:r w:rsidR="006A1BEE" w:rsidRPr="003625BA">
              <w:rPr>
                <w:rFonts w:ascii="Roboto" w:hAnsi="Roboto" w:cs="Arial"/>
                <w:noProof/>
                <w:color w:val="FFFFFF" w:themeColor="background1"/>
                <w:sz w:val="20"/>
                <w:szCs w:val="20"/>
                <w:lang w:val="en-US"/>
              </w:rPr>
              <w:drawing>
                <wp:anchor distT="0" distB="0" distL="114300" distR="114300" simplePos="0" relativeHeight="251798528" behindDoc="1" locked="0" layoutInCell="1" allowOverlap="1" wp14:anchorId="56D0A61F" wp14:editId="708C4D52">
                  <wp:simplePos x="0" y="0"/>
                  <wp:positionH relativeFrom="column">
                    <wp:posOffset>1383310</wp:posOffset>
                  </wp:positionH>
                  <wp:positionV relativeFrom="paragraph">
                    <wp:posOffset>313</wp:posOffset>
                  </wp:positionV>
                  <wp:extent cx="370205" cy="370205"/>
                  <wp:effectExtent l="0" t="0" r="0" b="0"/>
                  <wp:wrapTight wrapText="bothSides">
                    <wp:wrapPolygon edited="0">
                      <wp:start x="7410" y="0"/>
                      <wp:lineTo x="741" y="4446"/>
                      <wp:lineTo x="0" y="11856"/>
                      <wp:lineTo x="4446" y="19266"/>
                      <wp:lineTo x="7410" y="20748"/>
                      <wp:lineTo x="13338" y="20748"/>
                      <wp:lineTo x="15561" y="19266"/>
                      <wp:lineTo x="19266" y="14820"/>
                      <wp:lineTo x="20007" y="11856"/>
                      <wp:lineTo x="19266" y="4446"/>
                      <wp:lineTo x="13338" y="0"/>
                      <wp:lineTo x="741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370205" cy="370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47A1" w:rsidRPr="00600972" w14:paraId="3D5C1C9C" w14:textId="77777777" w:rsidTr="00363DC1">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7E20"/>
          </w:tcPr>
          <w:p w14:paraId="218EDBF7" w14:textId="77777777" w:rsidR="00FF2988" w:rsidRPr="003625BA" w:rsidRDefault="00504165" w:rsidP="00B72EC4">
            <w:pPr>
              <w:spacing w:after="160" w:line="276" w:lineRule="auto"/>
              <w:contextualSpacing/>
              <w:rPr>
                <w:rFonts w:ascii="Roboto" w:hAnsi="Roboto" w:cs="Arial"/>
                <w:bCs/>
                <w:color w:val="FFFFFF" w:themeColor="background1"/>
                <w:sz w:val="20"/>
                <w:szCs w:val="20"/>
              </w:rPr>
            </w:pPr>
            <w:r w:rsidRPr="003625BA">
              <w:rPr>
                <w:rFonts w:ascii="Roboto" w:hAnsi="Roboto" w:cs="Arial"/>
                <w:bCs/>
                <w:color w:val="FFFFFF" w:themeColor="background1"/>
                <w:sz w:val="20"/>
                <w:szCs w:val="20"/>
              </w:rPr>
              <w:t xml:space="preserve">Higher tax </w:t>
            </w:r>
          </w:p>
          <w:p w14:paraId="57A723B6" w14:textId="141C6D04" w:rsidR="00504165" w:rsidRPr="003625BA" w:rsidRDefault="00504165" w:rsidP="00B72EC4">
            <w:pPr>
              <w:spacing w:after="160" w:line="276" w:lineRule="auto"/>
              <w:contextualSpacing/>
              <w:rPr>
                <w:rFonts w:ascii="Roboto" w:hAnsi="Roboto" w:cs="Arial"/>
                <w:bCs/>
                <w:color w:val="FFFFFF" w:themeColor="background1"/>
                <w:sz w:val="20"/>
                <w:szCs w:val="20"/>
              </w:rPr>
            </w:pPr>
            <w:r w:rsidRPr="003625BA">
              <w:rPr>
                <w:rFonts w:ascii="Roboto" w:hAnsi="Roboto" w:cs="Arial"/>
                <w:bCs/>
                <w:color w:val="FFFFFF" w:themeColor="background1"/>
                <w:sz w:val="20"/>
                <w:szCs w:val="20"/>
              </w:rPr>
              <w:t>collection</w:t>
            </w:r>
            <w:r w:rsidRPr="003625BA">
              <w:rPr>
                <w:rStyle w:val="FootnoteReference"/>
                <w:rFonts w:ascii="Roboto" w:hAnsi="Roboto" w:cs="Arial"/>
                <w:bCs/>
                <w:color w:val="FFFFFF" w:themeColor="background1"/>
                <w:sz w:val="20"/>
                <w:szCs w:val="20"/>
              </w:rPr>
              <w:footnoteReference w:id="5"/>
            </w:r>
            <w:r w:rsidR="003F3300" w:rsidRPr="003625BA">
              <w:rPr>
                <w:rFonts w:ascii="Roboto" w:hAnsi="Roboto" w:cs="Arial"/>
                <w:bCs/>
                <w:color w:val="FFFFFF" w:themeColor="background1"/>
                <w:sz w:val="20"/>
                <w:szCs w:val="20"/>
              </w:rPr>
              <w:t xml:space="preserve"> </w:t>
            </w:r>
            <w:r w:rsidR="003F3300" w:rsidRPr="003625BA">
              <w:rPr>
                <w:rStyle w:val="FootnoteReference"/>
                <w:rFonts w:ascii="Roboto" w:hAnsi="Roboto" w:cs="Arial"/>
                <w:bCs/>
                <w:color w:val="FFFFFF" w:themeColor="background1"/>
                <w:sz w:val="20"/>
                <w:szCs w:val="20"/>
              </w:rPr>
              <w:footnoteReference w:id="6"/>
            </w:r>
            <w:r w:rsidR="00AE0E65" w:rsidRPr="003625BA">
              <w:rPr>
                <w:rFonts w:ascii="Roboto" w:hAnsi="Roboto" w:cs="Arial"/>
                <w:bCs/>
                <w:color w:val="FFFFFF" w:themeColor="background1"/>
                <w:sz w:val="20"/>
                <w:szCs w:val="20"/>
              </w:rPr>
              <w:t xml:space="preserve"> </w:t>
            </w:r>
            <w:r w:rsidR="004D347D" w:rsidRPr="003625BA">
              <w:rPr>
                <w:rStyle w:val="FootnoteReference"/>
                <w:rFonts w:ascii="Roboto" w:hAnsi="Roboto" w:cs="Arial"/>
                <w:bCs/>
                <w:color w:val="FFFFFF" w:themeColor="background1"/>
                <w:sz w:val="20"/>
                <w:szCs w:val="20"/>
              </w:rPr>
              <w:footnoteReference w:id="7"/>
            </w:r>
          </w:p>
          <w:p w14:paraId="12D6BF30" w14:textId="685A0741" w:rsidR="007910CC" w:rsidRPr="003625BA" w:rsidRDefault="007910CC" w:rsidP="00FF2988">
            <w:pPr>
              <w:spacing w:after="160" w:line="276" w:lineRule="auto"/>
              <w:contextualSpacing/>
              <w:rPr>
                <w:rFonts w:ascii="Roboto" w:hAnsi="Roboto" w:cs="Arial"/>
                <w:bCs/>
                <w:color w:val="FFFFFF" w:themeColor="background1"/>
                <w:sz w:val="20"/>
                <w:szCs w:val="20"/>
              </w:rPr>
            </w:pPr>
          </w:p>
        </w:tc>
        <w:tc>
          <w:tcPr>
            <w:tcW w:w="7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E4D5" w:themeFill="accent2" w:themeFillTint="33"/>
          </w:tcPr>
          <w:p w14:paraId="537151CE" w14:textId="4C69D6E0" w:rsidR="00264960" w:rsidRPr="003625BA" w:rsidRDefault="00504165" w:rsidP="00E45093">
            <w:pPr>
              <w:spacing w:after="160" w:line="276" w:lineRule="auto"/>
              <w:ind w:left="173" w:right="148"/>
              <w:contextualSpacing/>
              <w:jc w:val="both"/>
              <w:rPr>
                <w:rFonts w:ascii="Roboto" w:hAnsi="Roboto" w:cs="Arial"/>
                <w:sz w:val="20"/>
                <w:szCs w:val="20"/>
              </w:rPr>
            </w:pPr>
            <w:r w:rsidRPr="003625BA">
              <w:rPr>
                <w:rFonts w:ascii="Roboto" w:hAnsi="Roboto" w:cs="Arial"/>
                <w:sz w:val="20"/>
                <w:szCs w:val="20"/>
              </w:rPr>
              <w:t xml:space="preserve">When governments are more inclusive and transparent, citizens have greater trust in them, and are more willing to pay their taxes, which can reduce enforcement costs and increase collections. </w:t>
            </w:r>
          </w:p>
        </w:tc>
      </w:tr>
      <w:tr w:rsidR="006A1BEE" w:rsidRPr="00600972" w14:paraId="20EE3772" w14:textId="77777777" w:rsidTr="00363DC1">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7E20"/>
          </w:tcPr>
          <w:p w14:paraId="11C25F2C" w14:textId="701B412D" w:rsidR="00504165" w:rsidRPr="003625BA" w:rsidRDefault="00504165" w:rsidP="00B72EC4">
            <w:pPr>
              <w:spacing w:after="160" w:line="276" w:lineRule="auto"/>
              <w:contextualSpacing/>
              <w:rPr>
                <w:rFonts w:ascii="Roboto" w:hAnsi="Roboto" w:cs="Arial"/>
                <w:bCs/>
                <w:color w:val="FFFFFF" w:themeColor="background1"/>
                <w:sz w:val="20"/>
                <w:szCs w:val="20"/>
              </w:rPr>
            </w:pPr>
            <w:r w:rsidRPr="003625BA">
              <w:rPr>
                <w:rFonts w:ascii="Roboto" w:hAnsi="Roboto" w:cs="Arial"/>
                <w:bCs/>
                <w:color w:val="FFFFFF" w:themeColor="background1"/>
                <w:sz w:val="20"/>
                <w:szCs w:val="20"/>
              </w:rPr>
              <w:t>Increased demand for sovereign debt and lower borrowing costs</w:t>
            </w:r>
            <w:r w:rsidRPr="003625BA">
              <w:rPr>
                <w:rStyle w:val="FootnoteReference"/>
                <w:rFonts w:ascii="Roboto" w:hAnsi="Roboto" w:cs="Arial"/>
                <w:bCs/>
                <w:color w:val="FFFFFF" w:themeColor="background1"/>
                <w:sz w:val="20"/>
                <w:szCs w:val="20"/>
              </w:rPr>
              <w:footnoteReference w:id="8"/>
            </w:r>
            <w:r w:rsidR="00B56F24" w:rsidRPr="003625BA">
              <w:rPr>
                <w:rFonts w:ascii="Roboto" w:hAnsi="Roboto" w:cs="Arial"/>
                <w:bCs/>
                <w:color w:val="FFFFFF" w:themeColor="background1"/>
                <w:sz w:val="20"/>
                <w:szCs w:val="20"/>
              </w:rPr>
              <w:t xml:space="preserve"> </w:t>
            </w:r>
            <w:r w:rsidRPr="003625BA">
              <w:rPr>
                <w:rStyle w:val="FootnoteReference"/>
                <w:rFonts w:ascii="Roboto" w:hAnsi="Roboto" w:cs="Arial"/>
                <w:bCs/>
                <w:color w:val="FFFFFF" w:themeColor="background1"/>
                <w:sz w:val="20"/>
                <w:szCs w:val="20"/>
              </w:rPr>
              <w:footnoteReference w:id="9"/>
            </w:r>
          </w:p>
        </w:tc>
        <w:tc>
          <w:tcPr>
            <w:tcW w:w="7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E4D5" w:themeFill="accent2" w:themeFillTint="33"/>
          </w:tcPr>
          <w:p w14:paraId="68C9CDEF" w14:textId="2CFB3E1D" w:rsidR="00264960" w:rsidRPr="003625BA" w:rsidRDefault="00AC6ACC" w:rsidP="00E45093">
            <w:pPr>
              <w:spacing w:after="160" w:line="276" w:lineRule="auto"/>
              <w:ind w:left="173" w:right="148"/>
              <w:contextualSpacing/>
              <w:jc w:val="both"/>
              <w:rPr>
                <w:rFonts w:ascii="Roboto" w:hAnsi="Roboto" w:cs="Arial"/>
                <w:sz w:val="20"/>
                <w:szCs w:val="20"/>
              </w:rPr>
            </w:pPr>
            <w:r w:rsidRPr="003625BA">
              <w:rPr>
                <w:rFonts w:ascii="Roboto" w:hAnsi="Roboto" w:cs="Arial"/>
                <w:sz w:val="20"/>
                <w:szCs w:val="20"/>
              </w:rPr>
              <w:t xml:space="preserve">The amount that lenders are willing to lend and to charge borrowers for doing so, largely depends on the risk associated with that lending. A lack of fiscal transparency creates uncertainty and increases risk perceptions. A lack of transparency also increases the cost of monitoring a country, and monitoring influences a country’s </w:t>
            </w:r>
            <w:proofErr w:type="spellStart"/>
            <w:r w:rsidR="00882D38" w:rsidRPr="003625BA">
              <w:rPr>
                <w:rFonts w:ascii="Roboto" w:hAnsi="Roboto" w:cs="Arial"/>
                <w:sz w:val="20"/>
                <w:szCs w:val="20"/>
              </w:rPr>
              <w:t>behavior</w:t>
            </w:r>
            <w:proofErr w:type="spellEnd"/>
            <w:r w:rsidRPr="003625BA">
              <w:rPr>
                <w:rFonts w:ascii="Roboto" w:hAnsi="Roboto" w:cs="Arial"/>
                <w:sz w:val="20"/>
                <w:szCs w:val="20"/>
              </w:rPr>
              <w:t>, which in turn affects its credit spreads</w:t>
            </w:r>
            <w:r w:rsidR="00504165" w:rsidRPr="003625BA">
              <w:rPr>
                <w:rFonts w:ascii="Roboto" w:hAnsi="Roboto" w:cs="Arial"/>
                <w:sz w:val="20"/>
                <w:szCs w:val="20"/>
              </w:rPr>
              <w:t xml:space="preserve">. </w:t>
            </w:r>
          </w:p>
        </w:tc>
      </w:tr>
      <w:tr w:rsidR="00504165" w:rsidRPr="00600972" w14:paraId="4A817387" w14:textId="77777777" w:rsidTr="00363DC1">
        <w:trPr>
          <w:trHeight w:val="614"/>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7E20"/>
          </w:tcPr>
          <w:p w14:paraId="1A0AEF68" w14:textId="212D13E8" w:rsidR="00504165" w:rsidRPr="003625BA" w:rsidRDefault="00504165" w:rsidP="00B72EC4">
            <w:pPr>
              <w:spacing w:after="160" w:line="276" w:lineRule="auto"/>
              <w:contextualSpacing/>
              <w:rPr>
                <w:rFonts w:ascii="Roboto" w:hAnsi="Roboto" w:cs="Arial"/>
                <w:color w:val="FFFFFF" w:themeColor="background1"/>
                <w:sz w:val="20"/>
                <w:szCs w:val="20"/>
              </w:rPr>
            </w:pPr>
            <w:r w:rsidRPr="003625BA">
              <w:rPr>
                <w:rFonts w:ascii="Roboto" w:hAnsi="Roboto" w:cs="Arial"/>
                <w:bCs/>
                <w:color w:val="FFFFFF" w:themeColor="background1"/>
                <w:sz w:val="20"/>
                <w:szCs w:val="20"/>
              </w:rPr>
              <w:t>Lower misallocations and capture</w:t>
            </w:r>
            <w:r w:rsidR="00B56F24" w:rsidRPr="003625BA">
              <w:rPr>
                <w:rFonts w:ascii="Roboto" w:hAnsi="Roboto" w:cs="Arial"/>
                <w:color w:val="FFFFFF" w:themeColor="background1"/>
                <w:sz w:val="20"/>
                <w:szCs w:val="20"/>
                <w:vertAlign w:val="superscript"/>
              </w:rPr>
              <w:footnoteReference w:id="10"/>
            </w:r>
            <w:r w:rsidR="00B56F24" w:rsidRPr="003625BA">
              <w:rPr>
                <w:rFonts w:ascii="Roboto" w:hAnsi="Roboto" w:cs="Arial"/>
                <w:color w:val="FFFFFF" w:themeColor="background1"/>
                <w:sz w:val="20"/>
                <w:szCs w:val="20"/>
              </w:rPr>
              <w:t xml:space="preserve"> </w:t>
            </w:r>
            <w:r w:rsidR="00F11A17" w:rsidRPr="003625BA">
              <w:rPr>
                <w:rStyle w:val="FootnoteReference"/>
                <w:rFonts w:ascii="Roboto" w:hAnsi="Roboto" w:cs="Arial"/>
                <w:color w:val="FFFFFF" w:themeColor="background1"/>
                <w:sz w:val="20"/>
                <w:szCs w:val="20"/>
              </w:rPr>
              <w:footnoteReference w:id="11"/>
            </w:r>
            <w:r w:rsidR="00F11A17" w:rsidRPr="003625BA">
              <w:rPr>
                <w:rFonts w:ascii="Roboto" w:hAnsi="Roboto" w:cs="Arial"/>
                <w:color w:val="FFFFFF" w:themeColor="background1"/>
                <w:sz w:val="20"/>
                <w:szCs w:val="20"/>
              </w:rPr>
              <w:t xml:space="preserve"> </w:t>
            </w:r>
            <w:r w:rsidR="006E4516" w:rsidRPr="003625BA">
              <w:rPr>
                <w:rFonts w:ascii="Roboto" w:hAnsi="Roboto" w:cs="Arial"/>
                <w:color w:val="FFFFFF" w:themeColor="background1"/>
                <w:sz w:val="20"/>
                <w:szCs w:val="20"/>
                <w:vertAlign w:val="superscript"/>
              </w:rPr>
              <w:t>1</w:t>
            </w:r>
            <w:r w:rsidR="00F11A17" w:rsidRPr="003625BA">
              <w:rPr>
                <w:rFonts w:ascii="Roboto" w:hAnsi="Roboto" w:cs="Arial"/>
                <w:color w:val="FFFFFF" w:themeColor="background1"/>
                <w:sz w:val="20"/>
                <w:szCs w:val="20"/>
                <w:vertAlign w:val="superscript"/>
              </w:rPr>
              <w:t>2</w:t>
            </w:r>
            <w:r w:rsidR="006E4516" w:rsidRPr="003625BA">
              <w:rPr>
                <w:rFonts w:ascii="Roboto" w:hAnsi="Roboto" w:cs="Arial"/>
                <w:color w:val="FFFFFF" w:themeColor="background1"/>
                <w:sz w:val="20"/>
                <w:szCs w:val="20"/>
                <w:vertAlign w:val="superscript"/>
              </w:rPr>
              <w:t xml:space="preserve"> 1</w:t>
            </w:r>
            <w:r w:rsidR="00F11A17" w:rsidRPr="003625BA">
              <w:rPr>
                <w:rFonts w:ascii="Roboto" w:hAnsi="Roboto" w:cs="Arial"/>
                <w:color w:val="FFFFFF" w:themeColor="background1"/>
                <w:sz w:val="20"/>
                <w:szCs w:val="20"/>
                <w:vertAlign w:val="superscript"/>
              </w:rPr>
              <w:t>3</w:t>
            </w:r>
          </w:p>
          <w:p w14:paraId="7B1814F5" w14:textId="77777777" w:rsidR="007910CC" w:rsidRPr="003625BA" w:rsidRDefault="007910CC" w:rsidP="00FF2988">
            <w:pPr>
              <w:spacing w:after="160" w:line="276" w:lineRule="auto"/>
              <w:contextualSpacing/>
              <w:rPr>
                <w:rFonts w:ascii="Roboto" w:hAnsi="Roboto" w:cs="Arial"/>
                <w:color w:val="FFFFFF" w:themeColor="background1"/>
                <w:sz w:val="20"/>
                <w:szCs w:val="20"/>
              </w:rPr>
            </w:pPr>
          </w:p>
          <w:p w14:paraId="6DD1E049" w14:textId="1F761A30" w:rsidR="007910CC" w:rsidRPr="003625BA" w:rsidRDefault="007910CC" w:rsidP="00FF2988">
            <w:pPr>
              <w:spacing w:after="160" w:line="276" w:lineRule="auto"/>
              <w:contextualSpacing/>
              <w:rPr>
                <w:rFonts w:ascii="Roboto" w:hAnsi="Roboto" w:cs="Arial"/>
                <w:bCs/>
                <w:color w:val="FFFFFF" w:themeColor="background1"/>
                <w:sz w:val="20"/>
                <w:szCs w:val="20"/>
              </w:rPr>
            </w:pPr>
          </w:p>
        </w:tc>
        <w:tc>
          <w:tcPr>
            <w:tcW w:w="7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E4D5" w:themeFill="accent2" w:themeFillTint="33"/>
          </w:tcPr>
          <w:p w14:paraId="2796427D" w14:textId="7D23E5FC" w:rsidR="00F11A17" w:rsidRPr="003625BA" w:rsidRDefault="00B56F24" w:rsidP="00E45093">
            <w:pPr>
              <w:spacing w:after="160" w:line="276" w:lineRule="auto"/>
              <w:ind w:left="173" w:right="148"/>
              <w:contextualSpacing/>
              <w:jc w:val="both"/>
              <w:rPr>
                <w:rFonts w:ascii="Roboto" w:hAnsi="Roboto" w:cs="Arial"/>
                <w:sz w:val="20"/>
                <w:szCs w:val="20"/>
              </w:rPr>
            </w:pPr>
            <w:r w:rsidRPr="003625BA">
              <w:rPr>
                <w:rFonts w:ascii="Roboto" w:hAnsi="Roboto" w:cs="Arial"/>
                <w:sz w:val="20"/>
                <w:szCs w:val="20"/>
              </w:rPr>
              <w:t xml:space="preserve">Budget information disclosure can reduce misallocations and promote accountability by helping oversight institutions to hold governments to account, as well as by incentivizing citizens to monitor governments, and public officials to refrain from corrupt </w:t>
            </w:r>
            <w:proofErr w:type="spellStart"/>
            <w:r w:rsidR="00882D38" w:rsidRPr="003625BA">
              <w:rPr>
                <w:rFonts w:ascii="Roboto" w:hAnsi="Roboto" w:cs="Arial"/>
                <w:sz w:val="20"/>
                <w:szCs w:val="20"/>
              </w:rPr>
              <w:t>behavior</w:t>
            </w:r>
            <w:proofErr w:type="spellEnd"/>
            <w:r w:rsidRPr="003625BA">
              <w:rPr>
                <w:rFonts w:ascii="Roboto" w:hAnsi="Roboto" w:cs="Arial"/>
                <w:sz w:val="20"/>
                <w:szCs w:val="20"/>
              </w:rPr>
              <w:t xml:space="preserve">. Public access to information can be a powerful deterrent to the capture of funds at the local level, as the public knows the budgets allocated to the local </w:t>
            </w:r>
            <w:proofErr w:type="gramStart"/>
            <w:r w:rsidRPr="003625BA">
              <w:rPr>
                <w:rFonts w:ascii="Roboto" w:hAnsi="Roboto" w:cs="Arial"/>
                <w:sz w:val="20"/>
                <w:szCs w:val="20"/>
              </w:rPr>
              <w:t>projects</w:t>
            </w:r>
            <w:proofErr w:type="gramEnd"/>
            <w:r w:rsidRPr="003625BA">
              <w:rPr>
                <w:rFonts w:ascii="Roboto" w:hAnsi="Roboto" w:cs="Arial"/>
                <w:sz w:val="20"/>
                <w:szCs w:val="20"/>
              </w:rPr>
              <w:t xml:space="preserve"> they have an interest in, as well as the anticipated outputs/outcomes of these projects. They can then closely monitor actual progress on these projects. Also, when officials know they are being closely monitored, they are less likely to engage in corrupt activities. </w:t>
            </w:r>
            <w:r w:rsidR="00CE58FA" w:rsidRPr="003625BA">
              <w:rPr>
                <w:rFonts w:ascii="Roboto" w:hAnsi="Roboto" w:cs="Arial"/>
                <w:sz w:val="20"/>
                <w:szCs w:val="20"/>
              </w:rPr>
              <w:t xml:space="preserve">For instance, regarding procurement transparency, it has been found that more </w:t>
            </w:r>
            <w:r w:rsidR="007910CC" w:rsidRPr="003625BA">
              <w:rPr>
                <w:rFonts w:ascii="Roboto" w:hAnsi="Roboto" w:cs="Arial"/>
                <w:sz w:val="20"/>
                <w:szCs w:val="20"/>
              </w:rPr>
              <w:t>disclosure, especially during the call for tenders, improves monitoring by bidding firms</w:t>
            </w:r>
            <w:r w:rsidR="00F11A17" w:rsidRPr="003625BA">
              <w:rPr>
                <w:rFonts w:ascii="Roboto" w:hAnsi="Roboto" w:cs="Arial"/>
                <w:sz w:val="20"/>
                <w:szCs w:val="20"/>
              </w:rPr>
              <w:t xml:space="preserve">, thereby </w:t>
            </w:r>
            <w:r w:rsidR="007910CC" w:rsidRPr="003625BA">
              <w:rPr>
                <w:rFonts w:ascii="Roboto" w:hAnsi="Roboto" w:cs="Arial"/>
                <w:sz w:val="20"/>
                <w:szCs w:val="20"/>
              </w:rPr>
              <w:t>reduc</w:t>
            </w:r>
            <w:r w:rsidR="00F11A17" w:rsidRPr="003625BA">
              <w:rPr>
                <w:rFonts w:ascii="Roboto" w:hAnsi="Roboto" w:cs="Arial"/>
                <w:sz w:val="20"/>
                <w:szCs w:val="20"/>
              </w:rPr>
              <w:t>ing</w:t>
            </w:r>
            <w:r w:rsidR="007910CC" w:rsidRPr="003625BA">
              <w:rPr>
                <w:rFonts w:ascii="Roboto" w:hAnsi="Roboto" w:cs="Arial"/>
                <w:sz w:val="20"/>
                <w:szCs w:val="20"/>
              </w:rPr>
              <w:t xml:space="preserve"> a contracting organization’s share of contracts awarded on the basis of a single bid</w:t>
            </w:r>
            <w:r w:rsidR="0044304D" w:rsidRPr="003625BA">
              <w:rPr>
                <w:rFonts w:ascii="Roboto" w:hAnsi="Roboto" w:cs="Arial"/>
                <w:sz w:val="20"/>
                <w:szCs w:val="20"/>
              </w:rPr>
              <w:t xml:space="preserve"> and </w:t>
            </w:r>
            <w:r w:rsidR="007910CC" w:rsidRPr="003625BA">
              <w:rPr>
                <w:rFonts w:ascii="Roboto" w:hAnsi="Roboto" w:cs="Arial"/>
                <w:sz w:val="20"/>
                <w:szCs w:val="20"/>
              </w:rPr>
              <w:t xml:space="preserve">the likelihood of corrupt </w:t>
            </w:r>
            <w:proofErr w:type="spellStart"/>
            <w:r w:rsidR="007910CC" w:rsidRPr="003625BA">
              <w:rPr>
                <w:rFonts w:ascii="Roboto" w:hAnsi="Roboto" w:cs="Arial"/>
                <w:sz w:val="20"/>
                <w:szCs w:val="20"/>
              </w:rPr>
              <w:t>behavior</w:t>
            </w:r>
            <w:proofErr w:type="spellEnd"/>
            <w:r w:rsidR="007910CC" w:rsidRPr="003625BA">
              <w:rPr>
                <w:rFonts w:ascii="Roboto" w:hAnsi="Roboto" w:cs="Arial"/>
                <w:sz w:val="20"/>
                <w:szCs w:val="20"/>
              </w:rPr>
              <w:t>. A</w:t>
            </w:r>
            <w:r w:rsidR="0044304D" w:rsidRPr="003625BA">
              <w:rPr>
                <w:rFonts w:ascii="Roboto" w:hAnsi="Roboto" w:cs="Arial"/>
                <w:sz w:val="20"/>
                <w:szCs w:val="20"/>
              </w:rPr>
              <w:t>lso</w:t>
            </w:r>
            <w:r w:rsidR="0025329B" w:rsidRPr="003625BA">
              <w:rPr>
                <w:rFonts w:ascii="Roboto" w:hAnsi="Roboto" w:cs="Arial"/>
                <w:sz w:val="20"/>
                <w:szCs w:val="20"/>
              </w:rPr>
              <w:t>,</w:t>
            </w:r>
            <w:r w:rsidR="0044304D" w:rsidRPr="003625BA">
              <w:rPr>
                <w:rFonts w:ascii="Roboto" w:hAnsi="Roboto" w:cs="Arial"/>
                <w:sz w:val="20"/>
                <w:szCs w:val="20"/>
              </w:rPr>
              <w:t xml:space="preserve"> given that</w:t>
            </w:r>
            <w:r w:rsidR="007910CC" w:rsidRPr="003625BA">
              <w:rPr>
                <w:rFonts w:ascii="Roboto" w:hAnsi="Roboto" w:cs="Arial"/>
                <w:sz w:val="20"/>
                <w:szCs w:val="20"/>
              </w:rPr>
              <w:t xml:space="preserve"> single bidder contracts are on average more expensive, </w:t>
            </w:r>
            <w:r w:rsidR="00F11A17" w:rsidRPr="003625BA">
              <w:rPr>
                <w:rFonts w:ascii="Roboto" w:hAnsi="Roboto" w:cs="Arial"/>
                <w:sz w:val="20"/>
                <w:szCs w:val="20"/>
              </w:rPr>
              <w:t>this</w:t>
            </w:r>
            <w:r w:rsidR="007910CC" w:rsidRPr="003625BA">
              <w:rPr>
                <w:rFonts w:ascii="Roboto" w:hAnsi="Roboto" w:cs="Arial"/>
                <w:sz w:val="20"/>
                <w:szCs w:val="20"/>
              </w:rPr>
              <w:t xml:space="preserve"> </w:t>
            </w:r>
            <w:r w:rsidR="00F11A17" w:rsidRPr="003625BA">
              <w:rPr>
                <w:rFonts w:ascii="Roboto" w:hAnsi="Roboto" w:cs="Arial"/>
                <w:sz w:val="20"/>
                <w:szCs w:val="20"/>
              </w:rPr>
              <w:t>can lead to significant</w:t>
            </w:r>
            <w:r w:rsidR="007910CC" w:rsidRPr="003625BA">
              <w:rPr>
                <w:rFonts w:ascii="Roboto" w:hAnsi="Roboto" w:cs="Arial"/>
                <w:sz w:val="20"/>
                <w:szCs w:val="20"/>
              </w:rPr>
              <w:t xml:space="preserve"> potential savings.</w:t>
            </w:r>
          </w:p>
        </w:tc>
      </w:tr>
      <w:tr w:rsidR="00112667" w:rsidRPr="00600972" w14:paraId="0586E698" w14:textId="77777777" w:rsidTr="00363DC1">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69557F"/>
          </w:tcPr>
          <w:p w14:paraId="1633B719" w14:textId="278D25CD" w:rsidR="00112667" w:rsidRPr="003625BA" w:rsidRDefault="00112667" w:rsidP="00112667">
            <w:pPr>
              <w:spacing w:after="160" w:line="276" w:lineRule="auto"/>
              <w:contextualSpacing/>
              <w:jc w:val="center"/>
              <w:rPr>
                <w:rFonts w:ascii="Roboto" w:hAnsi="Roboto" w:cs="Arial"/>
                <w:bCs/>
                <w:color w:val="16988A"/>
                <w:sz w:val="20"/>
                <w:szCs w:val="20"/>
              </w:rPr>
            </w:pPr>
            <w:r w:rsidRPr="003625BA">
              <w:rPr>
                <w:rFonts w:ascii="Roboto" w:hAnsi="Roboto" w:cs="Arial"/>
                <w:color w:val="FFFFFF" w:themeColor="background1"/>
                <w:sz w:val="20"/>
                <w:szCs w:val="20"/>
              </w:rPr>
              <w:lastRenderedPageBreak/>
              <w:t xml:space="preserve">Expected impact of fiscal transparency </w:t>
            </w:r>
          </w:p>
        </w:tc>
        <w:tc>
          <w:tcPr>
            <w:tcW w:w="7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69557F"/>
          </w:tcPr>
          <w:p w14:paraId="5903E577" w14:textId="29B8D065" w:rsidR="00112667" w:rsidRPr="003C4707" w:rsidRDefault="00112667" w:rsidP="00112667">
            <w:pPr>
              <w:spacing w:after="160" w:line="276" w:lineRule="auto"/>
              <w:contextualSpacing/>
              <w:jc w:val="both"/>
              <w:rPr>
                <w:rFonts w:ascii="Arial" w:hAnsi="Arial" w:cs="Arial"/>
                <w:sz w:val="24"/>
                <w:szCs w:val="24"/>
              </w:rPr>
            </w:pPr>
            <w:r>
              <w:rPr>
                <w:rFonts w:ascii="Arial" w:hAnsi="Arial" w:cs="Arial"/>
                <w:noProof/>
                <w:color w:val="FFFFFF" w:themeColor="background1"/>
                <w:sz w:val="24"/>
                <w:szCs w:val="24"/>
                <w:lang w:val="en-US"/>
              </w:rPr>
              <mc:AlternateContent>
                <mc:Choice Requires="wps">
                  <w:drawing>
                    <wp:anchor distT="0" distB="0" distL="114300" distR="114300" simplePos="0" relativeHeight="252562430" behindDoc="0" locked="0" layoutInCell="1" allowOverlap="1" wp14:anchorId="02FCB698" wp14:editId="714590B0">
                      <wp:simplePos x="0" y="0"/>
                      <wp:positionH relativeFrom="column">
                        <wp:posOffset>1651635</wp:posOffset>
                      </wp:positionH>
                      <wp:positionV relativeFrom="paragraph">
                        <wp:posOffset>160655</wp:posOffset>
                      </wp:positionV>
                      <wp:extent cx="1751330" cy="358775"/>
                      <wp:effectExtent l="0" t="0" r="0" b="0"/>
                      <wp:wrapNone/>
                      <wp:docPr id="472" name="Text Box 472"/>
                      <wp:cNvGraphicFramePr/>
                      <a:graphic xmlns:a="http://schemas.openxmlformats.org/drawingml/2006/main">
                        <a:graphicData uri="http://schemas.microsoft.com/office/word/2010/wordprocessingShape">
                          <wps:wsp>
                            <wps:cNvSpPr txBox="1"/>
                            <wps:spPr>
                              <a:xfrm>
                                <a:off x="0" y="0"/>
                                <a:ext cx="1751330" cy="358775"/>
                              </a:xfrm>
                              <a:prstGeom prst="rect">
                                <a:avLst/>
                              </a:prstGeom>
                              <a:noFill/>
                              <a:ln w="6350">
                                <a:noFill/>
                              </a:ln>
                            </wps:spPr>
                            <wps:txbx>
                              <w:txbxContent>
                                <w:p w14:paraId="55F3E504" w14:textId="77777777" w:rsidR="00D15FD8" w:rsidRPr="003625BA" w:rsidRDefault="00D15FD8" w:rsidP="00112667">
                                  <w:pPr>
                                    <w:jc w:val="center"/>
                                    <w:rPr>
                                      <w:rFonts w:ascii="Roboto" w:hAnsi="Roboto" w:cs="Arial"/>
                                      <w:color w:val="FFFFFF" w:themeColor="background1"/>
                                      <w:sz w:val="20"/>
                                      <w:szCs w:val="20"/>
                                    </w:rPr>
                                  </w:pPr>
                                  <w:r w:rsidRPr="003625BA">
                                    <w:rPr>
                                      <w:rFonts w:ascii="Roboto" w:hAnsi="Roboto" w:cs="Arial"/>
                                      <w:b/>
                                      <w:color w:val="FFFFFF" w:themeColor="background1"/>
                                      <w:sz w:val="20"/>
                                      <w:szCs w:val="20"/>
                                    </w:rPr>
                                    <w:t>Mechanism at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CB698" id="Text Box 472" o:spid="_x0000_s1063" type="#_x0000_t202" style="position:absolute;left:0;text-align:left;margin-left:130.05pt;margin-top:12.65pt;width:137.9pt;height:28.25pt;z-index:252562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" filled="f" stroked="f" strokeweight=".5pt">
                      <v:textbox>
                        <w:txbxContent>
                          <w:p w14:paraId="55F3E504" w14:textId="77777777" w:rsidR="00D15FD8" w:rsidRPr="003625BA" w:rsidRDefault="00D15FD8" w:rsidP="00112667">
                            <w:pPr>
                              <w:jc w:val="center"/>
                              <w:rPr>
                                <w:rFonts w:ascii="Roboto" w:hAnsi="Roboto" w:cs="Arial"/>
                                <w:color w:val="FFFFFF" w:themeColor="background1"/>
                                <w:sz w:val="20"/>
                                <w:szCs w:val="20"/>
                              </w:rPr>
                            </w:pPr>
                            <w:r w:rsidRPr="003625BA">
                              <w:rPr>
                                <w:rFonts w:ascii="Roboto" w:hAnsi="Roboto" w:cs="Arial"/>
                                <w:b/>
                                <w:color w:val="FFFFFF" w:themeColor="background1"/>
                                <w:sz w:val="20"/>
                                <w:szCs w:val="20"/>
                              </w:rPr>
                              <w:t>Mechanism at work</w:t>
                            </w:r>
                          </w:p>
                        </w:txbxContent>
                      </v:textbox>
                    </v:shape>
                  </w:pict>
                </mc:Fallback>
              </mc:AlternateContent>
            </w:r>
            <w:r>
              <w:rPr>
                <w:rFonts w:ascii="Arial" w:hAnsi="Arial" w:cs="Arial"/>
                <w:noProof/>
                <w:color w:val="FFFFFF" w:themeColor="background1"/>
                <w:sz w:val="24"/>
                <w:szCs w:val="24"/>
                <w:lang w:val="en-US"/>
              </w:rPr>
              <w:drawing>
                <wp:anchor distT="0" distB="0" distL="114300" distR="114300" simplePos="0" relativeHeight="252561406" behindDoc="1" locked="0" layoutInCell="1" allowOverlap="1" wp14:anchorId="51142D02" wp14:editId="0B9C861B">
                  <wp:simplePos x="0" y="0"/>
                  <wp:positionH relativeFrom="column">
                    <wp:posOffset>1372235</wp:posOffset>
                  </wp:positionH>
                  <wp:positionV relativeFrom="paragraph">
                    <wp:posOffset>99695</wp:posOffset>
                  </wp:positionV>
                  <wp:extent cx="370205" cy="370205"/>
                  <wp:effectExtent l="0" t="0" r="0" b="0"/>
                  <wp:wrapTight wrapText="bothSides">
                    <wp:wrapPolygon edited="0">
                      <wp:start x="7410" y="0"/>
                      <wp:lineTo x="1482" y="2964"/>
                      <wp:lineTo x="741" y="11115"/>
                      <wp:lineTo x="2223" y="15561"/>
                      <wp:lineTo x="5187" y="19266"/>
                      <wp:lineTo x="7410" y="20748"/>
                      <wp:lineTo x="14079" y="20748"/>
                      <wp:lineTo x="15561" y="19266"/>
                      <wp:lineTo x="19266" y="14820"/>
                      <wp:lineTo x="20748" y="11856"/>
                      <wp:lineTo x="20007" y="4446"/>
                      <wp:lineTo x="14079" y="0"/>
                      <wp:lineTo x="7410" y="0"/>
                    </wp:wrapPolygon>
                  </wp:wrapTight>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370205" cy="370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2667" w:rsidRPr="00600972" w14:paraId="50131CD3" w14:textId="77777777" w:rsidTr="00363DC1">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7E20"/>
          </w:tcPr>
          <w:p w14:paraId="0FA46CF2" w14:textId="725C02B7" w:rsidR="00112667" w:rsidRPr="003625BA" w:rsidRDefault="00112667" w:rsidP="008E3225">
            <w:pPr>
              <w:spacing w:after="160" w:line="276" w:lineRule="auto"/>
              <w:contextualSpacing/>
              <w:rPr>
                <w:rFonts w:ascii="Roboto" w:hAnsi="Roboto" w:cs="Arial"/>
                <w:color w:val="FFFFFF" w:themeColor="background1"/>
                <w:sz w:val="20"/>
                <w:szCs w:val="20"/>
              </w:rPr>
            </w:pPr>
            <w:r w:rsidRPr="003625BA">
              <w:rPr>
                <w:rFonts w:ascii="Roboto" w:hAnsi="Roboto" w:cs="Arial"/>
                <w:bCs/>
                <w:color w:val="FFFFFF" w:themeColor="background1"/>
                <w:sz w:val="20"/>
                <w:szCs w:val="20"/>
              </w:rPr>
              <w:t>Greater electoral accountability of public institutions</w:t>
            </w:r>
            <w:r w:rsidRPr="003625BA">
              <w:rPr>
                <w:rStyle w:val="FootnoteReference"/>
                <w:rFonts w:ascii="Roboto" w:hAnsi="Roboto" w:cs="Arial"/>
                <w:bCs/>
                <w:color w:val="FFFFFF" w:themeColor="background1"/>
                <w:sz w:val="20"/>
                <w:szCs w:val="20"/>
              </w:rPr>
              <w:footnoteReference w:id="12"/>
            </w:r>
            <w:r w:rsidRPr="003625BA">
              <w:rPr>
                <w:rFonts w:ascii="Roboto" w:hAnsi="Roboto" w:cs="Arial"/>
                <w:color w:val="FFFFFF" w:themeColor="background1"/>
                <w:sz w:val="20"/>
                <w:szCs w:val="20"/>
              </w:rPr>
              <w:t xml:space="preserve"> </w:t>
            </w:r>
            <w:r w:rsidRPr="003625BA">
              <w:rPr>
                <w:rFonts w:ascii="Roboto" w:hAnsi="Roboto" w:cs="Arial"/>
                <w:color w:val="FFFFFF" w:themeColor="background1"/>
                <w:sz w:val="20"/>
                <w:szCs w:val="20"/>
                <w:vertAlign w:val="superscript"/>
              </w:rPr>
              <w:footnoteReference w:id="13"/>
            </w:r>
            <w:r w:rsidRPr="003625BA">
              <w:rPr>
                <w:rFonts w:ascii="Roboto" w:hAnsi="Roboto" w:cs="Arial"/>
                <w:color w:val="FFFFFF" w:themeColor="background1"/>
                <w:sz w:val="20"/>
                <w:szCs w:val="20"/>
              </w:rPr>
              <w:t xml:space="preserve"> </w:t>
            </w:r>
            <w:r w:rsidRPr="003625BA">
              <w:rPr>
                <w:rFonts w:ascii="Roboto" w:hAnsi="Roboto" w:cs="Arial"/>
                <w:color w:val="FFFFFF" w:themeColor="background1"/>
                <w:sz w:val="20"/>
                <w:szCs w:val="20"/>
                <w:vertAlign w:val="superscript"/>
              </w:rPr>
              <w:footnoteReference w:id="14"/>
            </w:r>
            <w:r w:rsidRPr="003625BA">
              <w:rPr>
                <w:rFonts w:ascii="Roboto" w:hAnsi="Roboto" w:cs="Arial"/>
                <w:color w:val="FFFFFF" w:themeColor="background1"/>
                <w:sz w:val="20"/>
                <w:szCs w:val="20"/>
              </w:rPr>
              <w:t xml:space="preserve"> </w:t>
            </w:r>
            <w:r w:rsidRPr="003625BA">
              <w:rPr>
                <w:rStyle w:val="FootnoteReference"/>
                <w:rFonts w:ascii="Roboto" w:hAnsi="Roboto" w:cs="Arial"/>
                <w:color w:val="FFFFFF" w:themeColor="background1"/>
                <w:sz w:val="20"/>
                <w:szCs w:val="20"/>
              </w:rPr>
              <w:footnoteReference w:id="15"/>
            </w:r>
          </w:p>
          <w:p w14:paraId="6339CBC5" w14:textId="56E4E1C3" w:rsidR="00112667" w:rsidRPr="003625BA" w:rsidRDefault="00112667" w:rsidP="00112667">
            <w:pPr>
              <w:spacing w:after="160" w:line="276" w:lineRule="auto"/>
              <w:contextualSpacing/>
              <w:rPr>
                <w:rFonts w:ascii="Roboto" w:hAnsi="Roboto" w:cs="Arial"/>
                <w:bCs/>
                <w:color w:val="FFFFFF" w:themeColor="background1"/>
                <w:sz w:val="20"/>
                <w:szCs w:val="20"/>
              </w:rPr>
            </w:pPr>
          </w:p>
        </w:tc>
        <w:tc>
          <w:tcPr>
            <w:tcW w:w="7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E4D5" w:themeFill="accent2" w:themeFillTint="33"/>
          </w:tcPr>
          <w:p w14:paraId="3B4B3A94" w14:textId="4561FEF9" w:rsidR="00112667" w:rsidRPr="003625BA" w:rsidRDefault="00112667" w:rsidP="00E45093">
            <w:pPr>
              <w:spacing w:after="160" w:line="276" w:lineRule="auto"/>
              <w:ind w:left="173" w:right="148"/>
              <w:contextualSpacing/>
              <w:jc w:val="both"/>
              <w:rPr>
                <w:rFonts w:ascii="Roboto" w:hAnsi="Roboto" w:cs="Arial"/>
                <w:sz w:val="20"/>
                <w:szCs w:val="20"/>
              </w:rPr>
            </w:pPr>
            <w:r w:rsidRPr="003625BA">
              <w:rPr>
                <w:rFonts w:ascii="Roboto" w:hAnsi="Roboto" w:cs="Arial"/>
                <w:sz w:val="20"/>
                <w:szCs w:val="20"/>
              </w:rPr>
              <w:t xml:space="preserve">When information regarding the performance of public institutions is made publicly available, media, interest groups, and concerned communities are likely to use this information to exert pressure on public authorities to respond, explain, justify and eventually correct themselves. This raises the costs of continuing to provide poor institutional performance records. For instance, the undertaking of random, external audits by independent institutions, accompanied by the publication of timely audit reports, is likely to reduce corruption and enhance electoral accountability, especially where the public dissemination of these reports is supported by local media. Random audits reduce corruption, predominantly by increasing the chances of a police crackdown or a conviction in court. The effectiveness of external audits is however reduced where auditors lack independence, and where auditees can anticipate the timing of audits relative to elections, or otherwise adjust their </w:t>
            </w:r>
            <w:proofErr w:type="spellStart"/>
            <w:r w:rsidR="00882D38" w:rsidRPr="003625BA">
              <w:rPr>
                <w:rFonts w:ascii="Roboto" w:hAnsi="Roboto" w:cs="Arial"/>
                <w:sz w:val="20"/>
                <w:szCs w:val="20"/>
              </w:rPr>
              <w:t>behavior</w:t>
            </w:r>
            <w:proofErr w:type="spellEnd"/>
            <w:r w:rsidRPr="003625BA">
              <w:rPr>
                <w:rFonts w:ascii="Roboto" w:hAnsi="Roboto" w:cs="Arial"/>
                <w:sz w:val="20"/>
                <w:szCs w:val="20"/>
              </w:rPr>
              <w:t xml:space="preserve"> strategically to weaken the detection or consequences of poor governance.</w:t>
            </w:r>
          </w:p>
        </w:tc>
      </w:tr>
      <w:tr w:rsidR="00112667" w:rsidRPr="00600972" w14:paraId="3F204C59" w14:textId="77777777" w:rsidTr="00363DC1">
        <w:trPr>
          <w:trHeight w:val="3875"/>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7E20"/>
          </w:tcPr>
          <w:p w14:paraId="0845BB6C" w14:textId="317E8D6F" w:rsidR="00112667" w:rsidRPr="003625BA" w:rsidRDefault="00112667" w:rsidP="008E3225">
            <w:pPr>
              <w:spacing w:after="160" w:line="276" w:lineRule="auto"/>
              <w:contextualSpacing/>
              <w:rPr>
                <w:rFonts w:ascii="Roboto" w:hAnsi="Roboto" w:cs="Arial"/>
                <w:bCs/>
                <w:color w:val="FFFFFF" w:themeColor="background1"/>
                <w:sz w:val="20"/>
                <w:szCs w:val="20"/>
              </w:rPr>
            </w:pPr>
            <w:r w:rsidRPr="003625BA">
              <w:rPr>
                <w:rFonts w:ascii="Roboto" w:hAnsi="Roboto" w:cs="Arial"/>
                <w:bCs/>
                <w:color w:val="FFFFFF" w:themeColor="background1"/>
                <w:sz w:val="20"/>
                <w:szCs w:val="20"/>
              </w:rPr>
              <w:t>Budget credibility</w:t>
            </w:r>
            <w:r w:rsidRPr="003625BA">
              <w:rPr>
                <w:rStyle w:val="FootnoteReference"/>
                <w:rFonts w:ascii="Roboto" w:hAnsi="Roboto" w:cs="Arial"/>
                <w:bCs/>
                <w:color w:val="FFFFFF" w:themeColor="background1"/>
                <w:sz w:val="20"/>
                <w:szCs w:val="20"/>
              </w:rPr>
              <w:footnoteReference w:id="16"/>
            </w:r>
            <w:r w:rsidRPr="003625BA">
              <w:rPr>
                <w:rFonts w:ascii="Roboto" w:hAnsi="Roboto" w:cs="Arial"/>
                <w:bCs/>
                <w:color w:val="FFFFFF" w:themeColor="background1"/>
                <w:sz w:val="20"/>
                <w:szCs w:val="20"/>
              </w:rPr>
              <w:t xml:space="preserve"> and improved development outcomes</w:t>
            </w:r>
            <w:r w:rsidRPr="003625BA">
              <w:rPr>
                <w:rFonts w:ascii="Roboto" w:hAnsi="Roboto" w:cs="Arial"/>
                <w:bCs/>
                <w:color w:val="FFFFFF" w:themeColor="background1"/>
                <w:sz w:val="20"/>
                <w:szCs w:val="20"/>
                <w:vertAlign w:val="superscript"/>
              </w:rPr>
              <w:footnoteReference w:id="17"/>
            </w:r>
            <w:r w:rsidRPr="003625BA">
              <w:rPr>
                <w:rFonts w:ascii="Roboto" w:hAnsi="Roboto" w:cs="Arial"/>
                <w:bCs/>
                <w:color w:val="FFFFFF" w:themeColor="background1"/>
                <w:sz w:val="20"/>
                <w:szCs w:val="20"/>
              </w:rPr>
              <w:t xml:space="preserve"> </w:t>
            </w:r>
            <w:r w:rsidRPr="003625BA">
              <w:rPr>
                <w:rFonts w:ascii="Roboto" w:hAnsi="Roboto" w:cs="Arial"/>
                <w:bCs/>
                <w:color w:val="FFFFFF" w:themeColor="background1"/>
                <w:sz w:val="20"/>
                <w:szCs w:val="20"/>
                <w:vertAlign w:val="superscript"/>
              </w:rPr>
              <w:footnoteReference w:id="18"/>
            </w:r>
            <w:r w:rsidRPr="003625BA">
              <w:rPr>
                <w:rFonts w:ascii="Roboto" w:hAnsi="Roboto" w:cs="Arial"/>
                <w:bCs/>
                <w:color w:val="FFFFFF" w:themeColor="background1"/>
                <w:sz w:val="20"/>
                <w:szCs w:val="20"/>
              </w:rPr>
              <w:t xml:space="preserve"> </w:t>
            </w:r>
            <w:r w:rsidRPr="003625BA">
              <w:rPr>
                <w:rFonts w:ascii="Roboto" w:hAnsi="Roboto" w:cs="Arial"/>
                <w:bCs/>
                <w:color w:val="FFFFFF" w:themeColor="background1"/>
                <w:sz w:val="20"/>
                <w:szCs w:val="20"/>
                <w:vertAlign w:val="superscript"/>
              </w:rPr>
              <w:footnoteReference w:id="19"/>
            </w:r>
            <w:r w:rsidRPr="003625BA">
              <w:rPr>
                <w:rFonts w:ascii="Roboto" w:hAnsi="Roboto" w:cs="Arial"/>
                <w:bCs/>
                <w:color w:val="FFFFFF" w:themeColor="background1"/>
                <w:sz w:val="20"/>
                <w:szCs w:val="20"/>
              </w:rPr>
              <w:t xml:space="preserve"> </w:t>
            </w:r>
            <w:r w:rsidRPr="003625BA">
              <w:rPr>
                <w:rStyle w:val="FootnoteReference"/>
                <w:rFonts w:ascii="Roboto" w:hAnsi="Roboto" w:cs="Arial"/>
                <w:bCs/>
                <w:color w:val="FFFFFF" w:themeColor="background1"/>
                <w:sz w:val="20"/>
                <w:szCs w:val="20"/>
              </w:rPr>
              <w:footnoteReference w:id="20"/>
            </w:r>
          </w:p>
        </w:tc>
        <w:tc>
          <w:tcPr>
            <w:tcW w:w="7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E4D5" w:themeFill="accent2" w:themeFillTint="33"/>
          </w:tcPr>
          <w:p w14:paraId="7633DFDE" w14:textId="1F00C5F6" w:rsidR="00112667" w:rsidRPr="003625BA" w:rsidRDefault="00112667" w:rsidP="00E45093">
            <w:pPr>
              <w:spacing w:after="160" w:line="276" w:lineRule="auto"/>
              <w:ind w:left="173" w:right="148"/>
              <w:contextualSpacing/>
              <w:jc w:val="both"/>
              <w:rPr>
                <w:rFonts w:ascii="Roboto" w:hAnsi="Roboto" w:cs="Arial"/>
                <w:sz w:val="20"/>
                <w:szCs w:val="20"/>
              </w:rPr>
            </w:pPr>
            <w:r w:rsidRPr="003625BA">
              <w:rPr>
                <w:rFonts w:ascii="Roboto" w:hAnsi="Roboto" w:cs="Arial"/>
                <w:sz w:val="20"/>
                <w:szCs w:val="20"/>
              </w:rPr>
              <w:t xml:space="preserve">Fiscal transparency reduces the government’s informational advantage making it more likely that it will implement and undertake its programs in line with its publicly released plans/projections as contained in its budgets, as it is aware that its progress is being monitored by the public. Fiscal transparency coupled with public participation can lead to improved development outcomes, as it empowers the public to not only understand the priorities that the government is pursuing but also to contribute to these choices, by providing the government with feedback. As such, government policies are more likely to be appropriately designed to meet the public’s needs and consequently to lead to enhanced developmental outcomes. For example, studies have found that fiscal transparency is associated with higher budget execution rates in the health and the education sectors, and better projections of GDP growth and inflation. </w:t>
            </w:r>
          </w:p>
        </w:tc>
      </w:tr>
    </w:tbl>
    <w:p w14:paraId="2FE76796" w14:textId="77777777" w:rsidR="00381F1B" w:rsidRDefault="00381F1B" w:rsidP="00B579A7">
      <w:pPr>
        <w:spacing w:after="160" w:line="259" w:lineRule="auto"/>
        <w:contextualSpacing/>
        <w:jc w:val="both"/>
        <w:rPr>
          <w:rFonts w:asciiTheme="minorHAnsi" w:hAnsiTheme="minorHAnsi" w:cstheme="minorBidi"/>
        </w:rPr>
      </w:pPr>
    </w:p>
    <w:p w14:paraId="4A23F5D5" w14:textId="77777777" w:rsidR="00275588" w:rsidRDefault="00275588" w:rsidP="00B579A7">
      <w:pPr>
        <w:spacing w:after="160" w:line="259" w:lineRule="auto"/>
        <w:contextualSpacing/>
        <w:jc w:val="both"/>
        <w:rPr>
          <w:rFonts w:asciiTheme="minorHAnsi" w:hAnsiTheme="minorHAnsi" w:cstheme="minorBidi"/>
        </w:rPr>
      </w:pPr>
    </w:p>
    <w:p w14:paraId="768F21E1" w14:textId="4F577C90" w:rsidR="001A7720" w:rsidRDefault="001A7720" w:rsidP="00B579A7">
      <w:pPr>
        <w:spacing w:after="160" w:line="259" w:lineRule="auto"/>
        <w:contextualSpacing/>
        <w:jc w:val="both"/>
        <w:rPr>
          <w:rFonts w:asciiTheme="minorHAnsi" w:hAnsiTheme="minorHAnsi" w:cstheme="minorBidi"/>
        </w:rPr>
      </w:pPr>
    </w:p>
    <w:p w14:paraId="6A5273B5" w14:textId="782DC6F5" w:rsidR="00F97CAF" w:rsidRDefault="00F97CAF" w:rsidP="00B579A7">
      <w:pPr>
        <w:spacing w:after="160" w:line="259" w:lineRule="auto"/>
        <w:contextualSpacing/>
        <w:jc w:val="both"/>
        <w:rPr>
          <w:rFonts w:asciiTheme="minorHAnsi" w:hAnsiTheme="minorHAnsi" w:cstheme="minorBidi"/>
        </w:rPr>
      </w:pPr>
    </w:p>
    <w:p w14:paraId="0F36ADE7" w14:textId="77777777" w:rsidR="00F97CAF" w:rsidRDefault="00F97CAF" w:rsidP="00B579A7">
      <w:pPr>
        <w:spacing w:after="160" w:line="259" w:lineRule="auto"/>
        <w:contextualSpacing/>
        <w:jc w:val="both"/>
        <w:rPr>
          <w:rFonts w:asciiTheme="minorHAnsi" w:hAnsiTheme="minorHAnsi" w:cstheme="minorBidi"/>
        </w:rPr>
      </w:pPr>
    </w:p>
    <w:p w14:paraId="39EFA1C0" w14:textId="4D72CBF7" w:rsidR="00275588" w:rsidRDefault="00275588" w:rsidP="00B579A7">
      <w:pPr>
        <w:spacing w:after="160" w:line="259" w:lineRule="auto"/>
        <w:contextualSpacing/>
        <w:jc w:val="both"/>
        <w:rPr>
          <w:rFonts w:asciiTheme="minorHAnsi" w:hAnsiTheme="minorHAnsi" w:cstheme="minorBidi"/>
        </w:rPr>
      </w:pPr>
    </w:p>
    <w:p w14:paraId="4807911B" w14:textId="77777777" w:rsidR="009C755B" w:rsidRDefault="009C755B" w:rsidP="00B579A7">
      <w:pPr>
        <w:spacing w:after="160" w:line="259" w:lineRule="auto"/>
        <w:contextualSpacing/>
        <w:jc w:val="both"/>
        <w:rPr>
          <w:rFonts w:asciiTheme="minorHAnsi" w:hAnsiTheme="minorHAnsi" w:cstheme="minorBidi"/>
        </w:rPr>
      </w:pPr>
    </w:p>
    <w:p w14:paraId="6B0C92D7" w14:textId="716AFA84" w:rsidR="009D47A1" w:rsidRDefault="00275588" w:rsidP="00CC122D">
      <w:pPr>
        <w:spacing w:after="160" w:line="259" w:lineRule="auto"/>
        <w:contextualSpacing/>
        <w:jc w:val="both"/>
        <w:rPr>
          <w:rFonts w:asciiTheme="minorHAnsi" w:hAnsiTheme="minorHAnsi" w:cstheme="minorBidi"/>
          <w:lang w:val="en-US"/>
        </w:rPr>
      </w:pPr>
      <w:r>
        <w:rPr>
          <w:rFonts w:asciiTheme="minorHAnsi" w:hAnsiTheme="minorHAnsi" w:cstheme="minorBidi"/>
          <w:noProof/>
          <w:lang w:val="en-US"/>
        </w:rPr>
        <w:lastRenderedPageBreak/>
        <w:drawing>
          <wp:anchor distT="0" distB="0" distL="114300" distR="114300" simplePos="0" relativeHeight="254802942" behindDoc="1" locked="0" layoutInCell="1" allowOverlap="1" wp14:anchorId="7A25443A" wp14:editId="21452BC0">
            <wp:simplePos x="0" y="0"/>
            <wp:positionH relativeFrom="column">
              <wp:posOffset>-381000</wp:posOffset>
            </wp:positionH>
            <wp:positionV relativeFrom="paragraph">
              <wp:posOffset>-83294</wp:posOffset>
            </wp:positionV>
            <wp:extent cx="6645910" cy="1371600"/>
            <wp:effectExtent l="0" t="0" r="0" b="0"/>
            <wp:wrapNone/>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 name="Picture 2668"/>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664591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423C47" w14:textId="092BE905" w:rsidR="00194A03" w:rsidRDefault="00E45093" w:rsidP="00CC122D">
      <w:pPr>
        <w:spacing w:after="160" w:line="259" w:lineRule="auto"/>
        <w:contextualSpacing/>
        <w:jc w:val="both"/>
        <w:rPr>
          <w:rFonts w:asciiTheme="minorHAnsi" w:hAnsiTheme="minorHAnsi" w:cstheme="minorBidi"/>
          <w:lang w:val="en-US"/>
        </w:rPr>
      </w:pPr>
      <w:r>
        <w:rPr>
          <w:rFonts w:ascii="Arial" w:hAnsi="Arial" w:cs="Arial"/>
          <w:b/>
          <w:bCs/>
          <w:noProof/>
          <w:color w:val="ED5625"/>
          <w:lang w:val="en-US"/>
        </w:rPr>
        <mc:AlternateContent>
          <mc:Choice Requires="wps">
            <w:drawing>
              <wp:anchor distT="0" distB="0" distL="114300" distR="114300" simplePos="0" relativeHeight="254806014" behindDoc="0" locked="0" layoutInCell="1" allowOverlap="1" wp14:anchorId="61BAFE8D" wp14:editId="18FC297E">
                <wp:simplePos x="0" y="0"/>
                <wp:positionH relativeFrom="column">
                  <wp:posOffset>342900</wp:posOffset>
                </wp:positionH>
                <wp:positionV relativeFrom="paragraph">
                  <wp:posOffset>65405</wp:posOffset>
                </wp:positionV>
                <wp:extent cx="492125" cy="593725"/>
                <wp:effectExtent l="0" t="0" r="0" b="0"/>
                <wp:wrapNone/>
                <wp:docPr id="2670" name="Text Box 2670"/>
                <wp:cNvGraphicFramePr/>
                <a:graphic xmlns:a="http://schemas.openxmlformats.org/drawingml/2006/main">
                  <a:graphicData uri="http://schemas.microsoft.com/office/word/2010/wordprocessingShape">
                    <wps:wsp>
                      <wps:cNvSpPr txBox="1"/>
                      <wps:spPr>
                        <a:xfrm>
                          <a:off x="0" y="0"/>
                          <a:ext cx="492125" cy="593725"/>
                        </a:xfrm>
                        <a:prstGeom prst="rect">
                          <a:avLst/>
                        </a:prstGeom>
                        <a:noFill/>
                        <a:ln w="6350">
                          <a:noFill/>
                        </a:ln>
                      </wps:spPr>
                      <wps:txbx>
                        <w:txbxContent>
                          <w:p w14:paraId="24789A05" w14:textId="66761DFD" w:rsidR="00D15FD8" w:rsidRPr="003625BA" w:rsidRDefault="00D15FD8" w:rsidP="00362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AFE8D" id="Text Box 2670" o:spid="_x0000_s1064" type="#_x0000_t202" style="position:absolute;left:0;text-align:left;margin-left:27pt;margin-top:5.15pt;width:38.75pt;height:46.75pt;z-index:2548060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" filled="f" stroked="f" strokeweight=".5pt">
                <v:textbox>
                  <w:txbxContent>
                    <w:p w14:paraId="24789A05" w14:textId="66761DFD" w:rsidR="00D15FD8" w:rsidRPr="003625BA" w:rsidRDefault="00D15FD8" w:rsidP="00362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4</w:t>
                      </w:r>
                    </w:p>
                  </w:txbxContent>
                </v:textbox>
              </v:shape>
            </w:pict>
          </mc:Fallback>
        </mc:AlternateContent>
      </w:r>
      <w:r>
        <w:rPr>
          <w:rFonts w:ascii="Arial" w:hAnsi="Arial" w:cs="Arial"/>
          <w:b/>
          <w:bCs/>
          <w:noProof/>
          <w:color w:val="ED5625"/>
          <w:lang w:val="en-US"/>
        </w:rPr>
        <mc:AlternateContent>
          <mc:Choice Requires="wps">
            <w:drawing>
              <wp:anchor distT="0" distB="0" distL="114300" distR="114300" simplePos="0" relativeHeight="254804990" behindDoc="0" locked="0" layoutInCell="1" allowOverlap="1" wp14:anchorId="5780E10E" wp14:editId="67524D6B">
                <wp:simplePos x="0" y="0"/>
                <wp:positionH relativeFrom="column">
                  <wp:posOffset>1153160</wp:posOffset>
                </wp:positionH>
                <wp:positionV relativeFrom="paragraph">
                  <wp:posOffset>71011</wp:posOffset>
                </wp:positionV>
                <wp:extent cx="4120515" cy="775335"/>
                <wp:effectExtent l="0" t="0" r="0" b="0"/>
                <wp:wrapNone/>
                <wp:docPr id="2669" name="Text Box 2669"/>
                <wp:cNvGraphicFramePr/>
                <a:graphic xmlns:a="http://schemas.openxmlformats.org/drawingml/2006/main">
                  <a:graphicData uri="http://schemas.microsoft.com/office/word/2010/wordprocessingShape">
                    <wps:wsp>
                      <wps:cNvSpPr txBox="1"/>
                      <wps:spPr>
                        <a:xfrm>
                          <a:off x="0" y="0"/>
                          <a:ext cx="4120515" cy="775335"/>
                        </a:xfrm>
                        <a:prstGeom prst="rect">
                          <a:avLst/>
                        </a:prstGeom>
                        <a:noFill/>
                        <a:ln w="6350">
                          <a:noFill/>
                        </a:ln>
                      </wps:spPr>
                      <wps:txbx>
                        <w:txbxContent>
                          <w:p w14:paraId="373FAA1A" w14:textId="6CE0C857" w:rsidR="00D15FD8" w:rsidRPr="0053337F" w:rsidRDefault="00D15FD8" w:rsidP="00275588">
                            <w:pPr>
                              <w:pStyle w:val="Heading1"/>
                              <w:rPr>
                                <w:rFonts w:ascii="Arial" w:hAnsi="Arial" w:cs="Arial"/>
                                <w:b/>
                                <w:bCs/>
                                <w:color w:val="FFFFFF" w:themeColor="background1"/>
                                <w:sz w:val="38"/>
                                <w:szCs w:val="38"/>
                                <w:lang w:val="en-US"/>
                              </w:rPr>
                            </w:pPr>
                            <w:bookmarkStart w:id="333" w:name="_Examples_from_the"/>
                            <w:bookmarkStart w:id="334" w:name="_Toc123828100"/>
                            <w:bookmarkStart w:id="335" w:name="_Toc123828310"/>
                            <w:bookmarkStart w:id="336" w:name="_Toc123828506"/>
                            <w:bookmarkStart w:id="337" w:name="_Toc123912533"/>
                            <w:bookmarkStart w:id="338" w:name="_Toc123912792"/>
                            <w:bookmarkStart w:id="339" w:name="_Toc123913019"/>
                            <w:bookmarkStart w:id="340" w:name="_Toc123913966"/>
                            <w:bookmarkStart w:id="341" w:name="_Toc125566585"/>
                            <w:bookmarkEnd w:id="333"/>
                            <w:r w:rsidRPr="0053337F">
                              <w:rPr>
                                <w:rFonts w:ascii="Arial" w:hAnsi="Arial" w:cs="Arial"/>
                                <w:b/>
                                <w:bCs/>
                                <w:color w:val="FFFFFF" w:themeColor="background1"/>
                                <w:sz w:val="38"/>
                                <w:szCs w:val="38"/>
                                <w:lang w:val="en-US"/>
                              </w:rPr>
                              <w:t>Examples from the field</w:t>
                            </w:r>
                            <w:bookmarkEnd w:id="334"/>
                            <w:bookmarkEnd w:id="335"/>
                            <w:bookmarkEnd w:id="336"/>
                            <w:bookmarkEnd w:id="337"/>
                            <w:bookmarkEnd w:id="338"/>
                            <w:bookmarkEnd w:id="339"/>
                            <w:bookmarkEnd w:id="340"/>
                            <w:bookmarkEnd w:id="3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0E10E" id="Text Box 2669" o:spid="_x0000_s1065" type="#_x0000_t202" style="position:absolute;left:0;text-align:left;margin-left:90.8pt;margin-top:5.6pt;width:324.45pt;height:61.05pt;z-index:254804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" filled="f" stroked="f" strokeweight=".5pt">
                <v:textbox>
                  <w:txbxContent>
                    <w:p w14:paraId="373FAA1A" w14:textId="6CE0C857" w:rsidR="00D15FD8" w:rsidRPr="0053337F" w:rsidRDefault="00D15FD8" w:rsidP="00275588">
                      <w:pPr>
                        <w:pStyle w:val="Heading1"/>
                        <w:rPr>
                          <w:rFonts w:ascii="Arial" w:hAnsi="Arial" w:cs="Arial"/>
                          <w:b/>
                          <w:bCs/>
                          <w:color w:val="FFFFFF" w:themeColor="background1"/>
                          <w:sz w:val="38"/>
                          <w:szCs w:val="38"/>
                          <w:lang w:val="en-US"/>
                        </w:rPr>
                      </w:pPr>
                      <w:bookmarkStart w:id="342" w:name="_Examples_from_the"/>
                      <w:bookmarkStart w:id="343" w:name="_Toc123828100"/>
                      <w:bookmarkStart w:id="344" w:name="_Toc123828310"/>
                      <w:bookmarkStart w:id="345" w:name="_Toc123828506"/>
                      <w:bookmarkStart w:id="346" w:name="_Toc123912533"/>
                      <w:bookmarkStart w:id="347" w:name="_Toc123912792"/>
                      <w:bookmarkStart w:id="348" w:name="_Toc123913019"/>
                      <w:bookmarkStart w:id="349" w:name="_Toc123913966"/>
                      <w:bookmarkStart w:id="350" w:name="_Toc125566585"/>
                      <w:bookmarkEnd w:id="342"/>
                      <w:r w:rsidRPr="0053337F">
                        <w:rPr>
                          <w:rFonts w:ascii="Arial" w:hAnsi="Arial" w:cs="Arial"/>
                          <w:b/>
                          <w:bCs/>
                          <w:color w:val="FFFFFF" w:themeColor="background1"/>
                          <w:sz w:val="38"/>
                          <w:szCs w:val="38"/>
                          <w:lang w:val="en-US"/>
                        </w:rPr>
                        <w:t>Examples from the field</w:t>
                      </w:r>
                      <w:bookmarkEnd w:id="343"/>
                      <w:bookmarkEnd w:id="344"/>
                      <w:bookmarkEnd w:id="345"/>
                      <w:bookmarkEnd w:id="346"/>
                      <w:bookmarkEnd w:id="347"/>
                      <w:bookmarkEnd w:id="348"/>
                      <w:bookmarkEnd w:id="349"/>
                      <w:bookmarkEnd w:id="350"/>
                    </w:p>
                  </w:txbxContent>
                </v:textbox>
              </v:shape>
            </w:pict>
          </mc:Fallback>
        </mc:AlternateContent>
      </w:r>
    </w:p>
    <w:p w14:paraId="153A9A28" w14:textId="5D67428E" w:rsidR="00A611A0" w:rsidRDefault="00A611A0" w:rsidP="00CC122D">
      <w:pPr>
        <w:spacing w:after="160" w:line="259" w:lineRule="auto"/>
        <w:contextualSpacing/>
        <w:jc w:val="both"/>
        <w:rPr>
          <w:rFonts w:asciiTheme="minorHAnsi" w:hAnsiTheme="minorHAnsi" w:cstheme="minorBidi"/>
          <w:lang w:val="en-US"/>
        </w:rPr>
      </w:pPr>
    </w:p>
    <w:p w14:paraId="4F9F118A" w14:textId="77777777" w:rsidR="00275588" w:rsidRDefault="00275588" w:rsidP="00CC122D">
      <w:pPr>
        <w:spacing w:after="160" w:line="259" w:lineRule="auto"/>
        <w:contextualSpacing/>
        <w:jc w:val="both"/>
      </w:pPr>
    </w:p>
    <w:p w14:paraId="54F85DB5" w14:textId="77777777" w:rsidR="00275588" w:rsidRDefault="00275588" w:rsidP="00CC122D">
      <w:pPr>
        <w:spacing w:after="160" w:line="259" w:lineRule="auto"/>
        <w:contextualSpacing/>
        <w:jc w:val="both"/>
      </w:pPr>
    </w:p>
    <w:p w14:paraId="605CE66D" w14:textId="77777777" w:rsidR="00275588" w:rsidRDefault="00275588" w:rsidP="00CC122D">
      <w:pPr>
        <w:spacing w:after="160" w:line="259" w:lineRule="auto"/>
        <w:contextualSpacing/>
        <w:jc w:val="both"/>
      </w:pPr>
    </w:p>
    <w:p w14:paraId="27A6075B" w14:textId="77777777" w:rsidR="00275588" w:rsidRDefault="00275588" w:rsidP="00CC122D">
      <w:pPr>
        <w:spacing w:after="160" w:line="259" w:lineRule="auto"/>
        <w:contextualSpacing/>
        <w:jc w:val="both"/>
      </w:pPr>
    </w:p>
    <w:p w14:paraId="7FD9C2D9" w14:textId="5A0A13E7" w:rsidR="00275588" w:rsidRDefault="00E45093" w:rsidP="00CC122D">
      <w:pPr>
        <w:spacing w:after="160" w:line="259" w:lineRule="auto"/>
        <w:contextualSpacing/>
        <w:jc w:val="both"/>
      </w:pPr>
      <w:r>
        <w:rPr>
          <w:noProof/>
          <w:lang w:val="en-US"/>
        </w:rPr>
        <w:drawing>
          <wp:anchor distT="0" distB="0" distL="114300" distR="114300" simplePos="0" relativeHeight="251829248" behindDoc="1" locked="0" layoutInCell="1" allowOverlap="1" wp14:anchorId="6B3017D3" wp14:editId="569A7CF8">
            <wp:simplePos x="0" y="0"/>
            <wp:positionH relativeFrom="column">
              <wp:posOffset>339725</wp:posOffset>
            </wp:positionH>
            <wp:positionV relativeFrom="paragraph">
              <wp:posOffset>24656</wp:posOffset>
            </wp:positionV>
            <wp:extent cx="711200" cy="473710"/>
            <wp:effectExtent l="177800" t="114300" r="114300" b="173990"/>
            <wp:wrapTight wrapText="bothSides">
              <wp:wrapPolygon edited="0">
                <wp:start x="0" y="-5212"/>
                <wp:lineTo x="-5400" y="-4054"/>
                <wp:lineTo x="-5400" y="14477"/>
                <wp:lineTo x="-4629" y="24322"/>
                <wp:lineTo x="-771" y="27796"/>
                <wp:lineTo x="-386" y="28954"/>
                <wp:lineTo x="19286" y="28954"/>
                <wp:lineTo x="19671" y="27796"/>
                <wp:lineTo x="23914" y="23743"/>
                <wp:lineTo x="24686" y="5212"/>
                <wp:lineTo x="19286" y="-3475"/>
                <wp:lineTo x="18900" y="-5212"/>
                <wp:lineTo x="0" y="-5212"/>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711200" cy="473710"/>
                    </a:xfrm>
                    <a:prstGeom prst="rect">
                      <a:avLst/>
                    </a:prstGeom>
                    <a:ln w="38100" cap="sq">
                      <a:noFill/>
                      <a:miter lim="800000"/>
                    </a:ln>
                    <a:effectLst>
                      <a:outerShdw blurRad="168900" dist="38100" dir="8100000" sx="103000" sy="103000" algn="tr" rotWithShape="0">
                        <a:schemeClr val="accent2">
                          <a:lumMod val="50000"/>
                          <a:alpha val="23000"/>
                        </a:schemeClr>
                      </a:outerShdw>
                    </a:effectLst>
                  </pic:spPr>
                </pic:pic>
              </a:graphicData>
            </a:graphic>
            <wp14:sizeRelH relativeFrom="page">
              <wp14:pctWidth>0</wp14:pctWidth>
            </wp14:sizeRelH>
            <wp14:sizeRelV relativeFrom="page">
              <wp14:pctHeight>0</wp14:pctHeight>
            </wp14:sizeRelV>
          </wp:anchor>
        </w:drawing>
      </w:r>
    </w:p>
    <w:p w14:paraId="47DDA438" w14:textId="4DF2A9DA" w:rsidR="00194A03" w:rsidRDefault="006159F0" w:rsidP="00CC122D">
      <w:pPr>
        <w:spacing w:after="160" w:line="259" w:lineRule="auto"/>
        <w:contextualSpacing/>
        <w:jc w:val="both"/>
        <w:rPr>
          <w:rFonts w:asciiTheme="minorHAnsi" w:hAnsiTheme="minorHAnsi" w:cstheme="minorBidi"/>
          <w:lang w:val="en-US"/>
        </w:rPr>
      </w:pPr>
      <w:r>
        <w:rPr>
          <w:noProof/>
          <w:lang w:val="en-US"/>
        </w:rPr>
        <mc:AlternateContent>
          <mc:Choice Requires="wps">
            <w:drawing>
              <wp:anchor distT="0" distB="0" distL="114300" distR="114300" simplePos="0" relativeHeight="251830272" behindDoc="0" locked="0" layoutInCell="1" allowOverlap="1" wp14:anchorId="668EB8CE" wp14:editId="1C60D85C">
                <wp:simplePos x="0" y="0"/>
                <wp:positionH relativeFrom="column">
                  <wp:posOffset>1155700</wp:posOffset>
                </wp:positionH>
                <wp:positionV relativeFrom="paragraph">
                  <wp:posOffset>24809</wp:posOffset>
                </wp:positionV>
                <wp:extent cx="4448175" cy="372110"/>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4448175" cy="372110"/>
                        </a:xfrm>
                        <a:prstGeom prst="rect">
                          <a:avLst/>
                        </a:prstGeom>
                        <a:solidFill>
                          <a:schemeClr val="lt1"/>
                        </a:solidFill>
                        <a:ln w="6350">
                          <a:noFill/>
                        </a:ln>
                      </wps:spPr>
                      <wps:txbx>
                        <w:txbxContent>
                          <w:p w14:paraId="16CA53A3" w14:textId="16B52C5C" w:rsidR="00D15FD8" w:rsidRPr="004D5D12" w:rsidRDefault="00D15FD8" w:rsidP="006159F0">
                            <w:pPr>
                              <w:pStyle w:val="Heading2"/>
                              <w:rPr>
                                <w:rFonts w:ascii="Arial" w:hAnsi="Arial" w:cs="Arial"/>
                                <w:b/>
                                <w:bCs/>
                                <w:color w:val="16988A"/>
                              </w:rPr>
                            </w:pPr>
                            <w:bookmarkStart w:id="351" w:name="_Toc119794428"/>
                            <w:bookmarkStart w:id="352" w:name="_Toc123204410"/>
                            <w:bookmarkStart w:id="353" w:name="_Toc123216499"/>
                            <w:bookmarkStart w:id="354" w:name="_Toc123217339"/>
                            <w:bookmarkStart w:id="355" w:name="_Toc123828101"/>
                            <w:bookmarkStart w:id="356" w:name="_Toc123828311"/>
                            <w:bookmarkStart w:id="357" w:name="_Toc123828507"/>
                            <w:bookmarkStart w:id="358" w:name="_Toc123912534"/>
                            <w:bookmarkStart w:id="359" w:name="_Toc123912793"/>
                            <w:bookmarkStart w:id="360" w:name="_Toc123913020"/>
                            <w:bookmarkStart w:id="361" w:name="_Toc123913311"/>
                            <w:bookmarkStart w:id="362" w:name="_Toc123913967"/>
                            <w:bookmarkStart w:id="363" w:name="_Toc125495795"/>
                            <w:bookmarkStart w:id="364" w:name="_Toc125566586"/>
                            <w:r w:rsidRPr="004D5D12">
                              <w:rPr>
                                <w:rFonts w:ascii="Arial" w:hAnsi="Arial" w:cs="Arial"/>
                                <w:b/>
                                <w:bCs/>
                                <w:color w:val="16988A"/>
                              </w:rPr>
                              <w:t>Fiscal Transparency Journey in Indonesia</w:t>
                            </w:r>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14:paraId="251C390E" w14:textId="77777777" w:rsidR="00D15FD8" w:rsidRPr="006159F0" w:rsidRDefault="00D15FD8" w:rsidP="006159F0">
                            <w:pPr>
                              <w:pStyle w:val="Heading2"/>
                              <w:rPr>
                                <w:rFonts w:ascii="Arial" w:hAnsi="Arial" w:cs="Arial"/>
                                <w:b/>
                                <w:bCs/>
                                <w:color w:val="16988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EB8CE" id="Text Box 236" o:spid="_x0000_s1066" type="#_x0000_t202" style="position:absolute;left:0;text-align:left;margin-left:91pt;margin-top:1.95pt;width:350.25pt;height:29.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" fillcolor="white [3201]" stroked="f" strokeweight=".5pt">
                <v:textbox>
                  <w:txbxContent>
                    <w:p w14:paraId="16CA53A3" w14:textId="16B52C5C" w:rsidR="00D15FD8" w:rsidRPr="004D5D12" w:rsidRDefault="00D15FD8" w:rsidP="006159F0">
                      <w:pPr>
                        <w:pStyle w:val="Heading2"/>
                        <w:rPr>
                          <w:rFonts w:ascii="Arial" w:hAnsi="Arial" w:cs="Arial"/>
                          <w:b/>
                          <w:bCs/>
                          <w:color w:val="16988A"/>
                        </w:rPr>
                      </w:pPr>
                      <w:bookmarkStart w:id="365" w:name="_Toc119794428"/>
                      <w:bookmarkStart w:id="366" w:name="_Toc123204410"/>
                      <w:bookmarkStart w:id="367" w:name="_Toc123216499"/>
                      <w:bookmarkStart w:id="368" w:name="_Toc123217339"/>
                      <w:bookmarkStart w:id="369" w:name="_Toc123828101"/>
                      <w:bookmarkStart w:id="370" w:name="_Toc123828311"/>
                      <w:bookmarkStart w:id="371" w:name="_Toc123828507"/>
                      <w:bookmarkStart w:id="372" w:name="_Toc123912534"/>
                      <w:bookmarkStart w:id="373" w:name="_Toc123912793"/>
                      <w:bookmarkStart w:id="374" w:name="_Toc123913020"/>
                      <w:bookmarkStart w:id="375" w:name="_Toc123913311"/>
                      <w:bookmarkStart w:id="376" w:name="_Toc123913967"/>
                      <w:bookmarkStart w:id="377" w:name="_Toc125495795"/>
                      <w:bookmarkStart w:id="378" w:name="_Toc125566586"/>
                      <w:r w:rsidRPr="004D5D12">
                        <w:rPr>
                          <w:rFonts w:ascii="Arial" w:hAnsi="Arial" w:cs="Arial"/>
                          <w:b/>
                          <w:bCs/>
                          <w:color w:val="16988A"/>
                        </w:rPr>
                        <w:t>Fiscal Transparency Journey in Indonesia</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14:paraId="251C390E" w14:textId="77777777" w:rsidR="00D15FD8" w:rsidRPr="006159F0" w:rsidRDefault="00D15FD8" w:rsidP="006159F0">
                      <w:pPr>
                        <w:pStyle w:val="Heading2"/>
                        <w:rPr>
                          <w:rFonts w:ascii="Arial" w:hAnsi="Arial" w:cs="Arial"/>
                          <w:b/>
                          <w:bCs/>
                          <w:color w:val="16988A"/>
                          <w:sz w:val="24"/>
                          <w:szCs w:val="24"/>
                        </w:rPr>
                      </w:pPr>
                    </w:p>
                  </w:txbxContent>
                </v:textbox>
              </v:shape>
            </w:pict>
          </mc:Fallback>
        </mc:AlternateContent>
      </w:r>
      <w:r w:rsidR="00EF3B23">
        <w:fldChar w:fldCharType="begin"/>
      </w:r>
      <w:r w:rsidR="00EF3B23">
        <w:instrText xml:space="preserve"> INCLUDEPICTURE "https://upload.wikimedia.org/wikipedia/commons/thumb/9/9f/Flag_of_Indonesia.svg/510px-Flag_of_Indonesia.svg.png" \* MERGEFORMATINET </w:instrText>
      </w:r>
      <w:r w:rsidR="00EF3B23">
        <w:fldChar w:fldCharType="end"/>
      </w:r>
    </w:p>
    <w:p w14:paraId="72010CDB" w14:textId="364A6A29" w:rsidR="00194A03" w:rsidRDefault="00194A03" w:rsidP="00CC122D">
      <w:pPr>
        <w:spacing w:after="160" w:line="259" w:lineRule="auto"/>
        <w:contextualSpacing/>
        <w:jc w:val="both"/>
        <w:rPr>
          <w:rFonts w:asciiTheme="minorHAnsi" w:hAnsiTheme="minorHAnsi" w:cstheme="minorBidi"/>
          <w:lang w:val="en-US"/>
        </w:rPr>
      </w:pPr>
    </w:p>
    <w:p w14:paraId="451F6D95" w14:textId="5FD78022" w:rsidR="00194A03" w:rsidRDefault="00E45093" w:rsidP="00CC122D">
      <w:pPr>
        <w:spacing w:after="160" w:line="259" w:lineRule="auto"/>
        <w:contextualSpacing/>
        <w:jc w:val="both"/>
        <w:rPr>
          <w:rFonts w:asciiTheme="minorHAnsi" w:hAnsiTheme="minorHAnsi" w:cstheme="minorBidi"/>
          <w:lang w:val="en-US"/>
        </w:rPr>
      </w:pPr>
      <w:r>
        <w:rPr>
          <w:rFonts w:ascii="Arial" w:hAnsi="Arial" w:cs="Arial"/>
          <w:iCs/>
          <w:noProof/>
          <w:sz w:val="24"/>
          <w:szCs w:val="24"/>
          <w:lang w:val="en-US"/>
        </w:rPr>
        <mc:AlternateContent>
          <mc:Choice Requires="wps">
            <w:drawing>
              <wp:anchor distT="0" distB="0" distL="114300" distR="114300" simplePos="0" relativeHeight="255328254" behindDoc="0" locked="0" layoutInCell="1" allowOverlap="1" wp14:anchorId="1330444D" wp14:editId="5C45FED8">
                <wp:simplePos x="0" y="0"/>
                <wp:positionH relativeFrom="column">
                  <wp:posOffset>134620</wp:posOffset>
                </wp:positionH>
                <wp:positionV relativeFrom="paragraph">
                  <wp:posOffset>37356</wp:posOffset>
                </wp:positionV>
                <wp:extent cx="1118870" cy="254000"/>
                <wp:effectExtent l="0" t="0" r="0" b="0"/>
                <wp:wrapSquare wrapText="bothSides"/>
                <wp:docPr id="107" name="Text Box 107"/>
                <wp:cNvGraphicFramePr/>
                <a:graphic xmlns:a="http://schemas.openxmlformats.org/drawingml/2006/main">
                  <a:graphicData uri="http://schemas.microsoft.com/office/word/2010/wordprocessingShape">
                    <wps:wsp>
                      <wps:cNvSpPr txBox="1"/>
                      <wps:spPr>
                        <a:xfrm>
                          <a:off x="0" y="0"/>
                          <a:ext cx="1118870" cy="254000"/>
                        </a:xfrm>
                        <a:prstGeom prst="rect">
                          <a:avLst/>
                        </a:prstGeom>
                        <a:solidFill>
                          <a:schemeClr val="lt1"/>
                        </a:solidFill>
                        <a:ln w="6350">
                          <a:noFill/>
                        </a:ln>
                      </wps:spPr>
                      <wps:txbx>
                        <w:txbxContent>
                          <w:p w14:paraId="2A5D0E35" w14:textId="23B71ADD" w:rsidR="00D15FD8" w:rsidRPr="00E45093" w:rsidRDefault="00D15FD8" w:rsidP="00E45093">
                            <w:pPr>
                              <w:jc w:val="center"/>
                              <w:rPr>
                                <w:rFonts w:ascii="Arial" w:hAnsi="Arial" w:cs="Arial"/>
                                <w:b/>
                                <w:bCs/>
                                <w:color w:val="16988A"/>
                                <w:sz w:val="20"/>
                                <w:szCs w:val="20"/>
                                <w:lang w:val="en-US"/>
                              </w:rPr>
                            </w:pPr>
                            <w:r>
                              <w:rPr>
                                <w:rFonts w:ascii="Arial" w:hAnsi="Arial" w:cs="Arial"/>
                                <w:b/>
                                <w:bCs/>
                                <w:color w:val="16988A"/>
                                <w:sz w:val="20"/>
                                <w:szCs w:val="20"/>
                                <w:lang w:val="en-US"/>
                              </w:rPr>
                              <w:t>Indonesia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0444D" id="Text Box 107" o:spid="_x0000_s1067" type="#_x0000_t202" style="position:absolute;left:0;text-align:left;margin-left:10.6pt;margin-top:2.95pt;width:88.1pt;height:20pt;z-index:25532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" fillcolor="white [3201]" stroked="f" strokeweight=".5pt">
                <v:textbox>
                  <w:txbxContent>
                    <w:p w14:paraId="2A5D0E35" w14:textId="23B71ADD" w:rsidR="00D15FD8" w:rsidRPr="00E45093" w:rsidRDefault="00D15FD8" w:rsidP="00E45093">
                      <w:pPr>
                        <w:jc w:val="center"/>
                        <w:rPr>
                          <w:rFonts w:ascii="Arial" w:hAnsi="Arial" w:cs="Arial"/>
                          <w:b/>
                          <w:bCs/>
                          <w:color w:val="16988A"/>
                          <w:sz w:val="20"/>
                          <w:szCs w:val="20"/>
                          <w:lang w:val="en-US"/>
                        </w:rPr>
                      </w:pPr>
                      <w:r>
                        <w:rPr>
                          <w:rFonts w:ascii="Arial" w:hAnsi="Arial" w:cs="Arial"/>
                          <w:b/>
                          <w:bCs/>
                          <w:color w:val="16988A"/>
                          <w:sz w:val="20"/>
                          <w:szCs w:val="20"/>
                          <w:lang w:val="en-US"/>
                        </w:rPr>
                        <w:t>Indonesia</w:t>
                      </w:r>
                    </w:p>
                  </w:txbxContent>
                </v:textbox>
                <w10:wrap type="square"/>
              </v:shape>
            </w:pict>
          </mc:Fallback>
        </mc:AlternateContent>
      </w:r>
    </w:p>
    <w:p w14:paraId="20A4BB87" w14:textId="5C713183" w:rsidR="00EF3B23" w:rsidRDefault="00EF3B23" w:rsidP="00CC122D">
      <w:pPr>
        <w:spacing w:after="160" w:line="259" w:lineRule="auto"/>
        <w:contextualSpacing/>
        <w:jc w:val="both"/>
        <w:rPr>
          <w:rFonts w:asciiTheme="minorHAnsi" w:hAnsiTheme="minorHAnsi" w:cstheme="minorBidi"/>
          <w:lang w:val="en-US"/>
        </w:rPr>
      </w:pPr>
    </w:p>
    <w:p w14:paraId="284F03A8" w14:textId="3ABBFD24" w:rsidR="00904083" w:rsidRDefault="00EF3B23" w:rsidP="00EF3B23">
      <w:pPr>
        <w:spacing w:after="160" w:line="276" w:lineRule="auto"/>
        <w:contextualSpacing/>
        <w:jc w:val="both"/>
        <w:rPr>
          <w:rFonts w:ascii="Arial" w:hAnsi="Arial" w:cs="Arial"/>
          <w:sz w:val="24"/>
          <w:szCs w:val="24"/>
          <w:lang w:val="en-US"/>
        </w:rPr>
      </w:pPr>
      <w:r w:rsidRPr="00EF3B23">
        <w:rPr>
          <w:rFonts w:ascii="Arial" w:hAnsi="Arial" w:cs="Arial"/>
          <w:sz w:val="24"/>
          <w:szCs w:val="24"/>
          <w:lang w:val="en-US"/>
        </w:rPr>
        <w:t xml:space="preserve">As measured, for the first time in the International Budget Partnership’s (IBP) Open Budget Survey of 2006, Indonesia had limited levels of fiscal transparency. The government and others actors, such as civil society, however pressed for fiscal transparency reforms aiming at increasing accountability and decreasing corruption. These reforms were successful, with Indonesia attaining sufficient levels of fiscal transparency by the 2012 Survey. </w:t>
      </w:r>
    </w:p>
    <w:p w14:paraId="506AB2E1" w14:textId="195639E5" w:rsidR="00904083" w:rsidRDefault="00275588" w:rsidP="00EF3B23">
      <w:pPr>
        <w:spacing w:after="160"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2565502" behindDoc="0" locked="0" layoutInCell="1" allowOverlap="1" wp14:anchorId="6DF9DDA6" wp14:editId="3A8F0044">
            <wp:simplePos x="0" y="0"/>
            <wp:positionH relativeFrom="column">
              <wp:posOffset>-10795</wp:posOffset>
            </wp:positionH>
            <wp:positionV relativeFrom="paragraph">
              <wp:posOffset>153670</wp:posOffset>
            </wp:positionV>
            <wp:extent cx="582930" cy="410210"/>
            <wp:effectExtent l="0" t="0" r="1270" b="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2566526" behindDoc="0" locked="0" layoutInCell="1" allowOverlap="1" wp14:anchorId="3C032ED5" wp14:editId="1BF7D2B2">
                <wp:simplePos x="0" y="0"/>
                <wp:positionH relativeFrom="column">
                  <wp:posOffset>647065</wp:posOffset>
                </wp:positionH>
                <wp:positionV relativeFrom="paragraph">
                  <wp:posOffset>186055</wp:posOffset>
                </wp:positionV>
                <wp:extent cx="1028700" cy="355600"/>
                <wp:effectExtent l="0" t="0" r="0" b="0"/>
                <wp:wrapSquare wrapText="bothSides"/>
                <wp:docPr id="488" name="Rounded Rectangle 488"/>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EC92E3B" id="Rounded Rectangle 488" o:spid="_x0000_s1026" style="position:absolute;margin-left:50.95pt;margin-top:14.65pt;width:81pt;height:28pt;z-index:252566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" fillcolor="#16988a" stroked="f" strokeweight="1pt">
                <v:stroke joinstyle="miter"/>
                <w10:wrap type="square"/>
              </v:roundrect>
            </w:pict>
          </mc:Fallback>
        </mc:AlternateContent>
      </w:r>
    </w:p>
    <w:p w14:paraId="7AB33670" w14:textId="5DA0A448" w:rsidR="00194A03" w:rsidRDefault="0066064A" w:rsidP="00EF3B23">
      <w:pPr>
        <w:spacing w:after="160"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2567550" behindDoc="0" locked="0" layoutInCell="1" allowOverlap="1" wp14:anchorId="5AA06806" wp14:editId="4007629E">
                <wp:simplePos x="0" y="0"/>
                <wp:positionH relativeFrom="column">
                  <wp:posOffset>647700</wp:posOffset>
                </wp:positionH>
                <wp:positionV relativeFrom="paragraph">
                  <wp:posOffset>20955</wp:posOffset>
                </wp:positionV>
                <wp:extent cx="1028700" cy="292100"/>
                <wp:effectExtent l="0" t="0" r="0" b="0"/>
                <wp:wrapNone/>
                <wp:docPr id="502" name="Text Box 502"/>
                <wp:cNvGraphicFramePr/>
                <a:graphic xmlns:a="http://schemas.openxmlformats.org/drawingml/2006/main">
                  <a:graphicData uri="http://schemas.microsoft.com/office/word/2010/wordprocessingShape">
                    <wps:wsp>
                      <wps:cNvSpPr txBox="1"/>
                      <wps:spPr>
                        <a:xfrm>
                          <a:off x="0" y="0"/>
                          <a:ext cx="1028700" cy="292100"/>
                        </a:xfrm>
                        <a:prstGeom prst="rect">
                          <a:avLst/>
                        </a:prstGeom>
                        <a:noFill/>
                        <a:ln w="6350">
                          <a:noFill/>
                        </a:ln>
                      </wps:spPr>
                      <wps:txbx>
                        <w:txbxContent>
                          <w:p w14:paraId="26881684" w14:textId="1D43C0C0" w:rsidR="00D15FD8" w:rsidRPr="00904083" w:rsidRDefault="00AC4DF7" w:rsidP="00904083">
                            <w:pPr>
                              <w:jc w:val="center"/>
                              <w:rPr>
                                <w:b/>
                                <w:bCs/>
                                <w:color w:val="FFFFFF" w:themeColor="background1"/>
                                <w:u w:val="single"/>
                              </w:rPr>
                            </w:pPr>
                            <w:hyperlink r:id="rId48" w:history="1">
                              <w:r w:rsidR="00D15FD8" w:rsidRPr="00904083">
                                <w:rPr>
                                  <w:rStyle w:val="Hyperlink"/>
                                  <w:rFonts w:ascii="Arial" w:hAnsi="Arial" w:cs="Arial"/>
                                  <w:b/>
                                  <w:bCs/>
                                  <w:color w:val="FFFFFF" w:themeColor="background1"/>
                                  <w:sz w:val="24"/>
                                  <w:szCs w:val="24"/>
                                </w:rPr>
                                <w:t>Watch</w:t>
                              </w:r>
                            </w:hyperlink>
                            <w:r w:rsidR="00D15FD8" w:rsidRPr="00904083">
                              <w:rPr>
                                <w:rFonts w:ascii="Arial" w:hAnsi="Arial" w:cs="Arial"/>
                                <w:b/>
                                <w:bCs/>
                                <w:color w:val="FFFFFF" w:themeColor="background1"/>
                                <w:sz w:val="24"/>
                                <w:szCs w:val="24"/>
                                <w:u w:val="single"/>
                                <w:lang w:val="en-US"/>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A06806" id="Text Box 502" o:spid="_x0000_s1068" type="#_x0000_t202" style="position:absolute;left:0;text-align:left;margin-left:51pt;margin-top:1.65pt;width:81pt;height:23pt;z-index:2525675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" filled="f" stroked="f" strokeweight=".5pt">
                <v:textbox>
                  <w:txbxContent>
                    <w:p w14:paraId="26881684" w14:textId="1D43C0C0" w:rsidR="00D15FD8" w:rsidRPr="00904083" w:rsidRDefault="00AC4DF7" w:rsidP="00904083">
                      <w:pPr>
                        <w:jc w:val="center"/>
                        <w:rPr>
                          <w:b/>
                          <w:bCs/>
                          <w:color w:val="FFFFFF" w:themeColor="background1"/>
                          <w:u w:val="single"/>
                        </w:rPr>
                      </w:pPr>
                      <w:hyperlink r:id="rId49" w:history="1">
                        <w:r w:rsidR="00D15FD8" w:rsidRPr="00904083">
                          <w:rPr>
                            <w:rStyle w:val="Hyperlink"/>
                            <w:rFonts w:ascii="Arial" w:hAnsi="Arial" w:cs="Arial"/>
                            <w:b/>
                            <w:bCs/>
                            <w:color w:val="FFFFFF" w:themeColor="background1"/>
                            <w:sz w:val="24"/>
                            <w:szCs w:val="24"/>
                          </w:rPr>
                          <w:t>Watch</w:t>
                        </w:r>
                      </w:hyperlink>
                      <w:r w:rsidR="00D15FD8" w:rsidRPr="00904083">
                        <w:rPr>
                          <w:rFonts w:ascii="Arial" w:hAnsi="Arial" w:cs="Arial"/>
                          <w:b/>
                          <w:bCs/>
                          <w:color w:val="FFFFFF" w:themeColor="background1"/>
                          <w:sz w:val="24"/>
                          <w:szCs w:val="24"/>
                          <w:u w:val="single"/>
                          <w:lang w:val="en-US"/>
                        </w:rPr>
                        <w:t xml:space="preserve"> here</w:t>
                      </w:r>
                    </w:p>
                  </w:txbxContent>
                </v:textbox>
              </v:shape>
            </w:pict>
          </mc:Fallback>
        </mc:AlternateContent>
      </w:r>
      <w:r w:rsidR="00EF3B23" w:rsidRPr="00EF3B23">
        <w:rPr>
          <w:rFonts w:ascii="Arial" w:hAnsi="Arial" w:cs="Arial"/>
          <w:sz w:val="24"/>
          <w:szCs w:val="24"/>
          <w:lang w:val="en-US"/>
        </w:rPr>
        <w:t xml:space="preserve">In April 2021, Sri </w:t>
      </w:r>
      <w:proofErr w:type="spellStart"/>
      <w:r w:rsidR="00EF3B23" w:rsidRPr="00EF3B23">
        <w:rPr>
          <w:rFonts w:ascii="Arial" w:hAnsi="Arial" w:cs="Arial"/>
          <w:sz w:val="24"/>
          <w:szCs w:val="24"/>
          <w:lang w:val="en-US"/>
        </w:rPr>
        <w:t>Mulyani</w:t>
      </w:r>
      <w:proofErr w:type="spellEnd"/>
      <w:r w:rsidR="00EF3B23" w:rsidRPr="00EF3B23">
        <w:rPr>
          <w:rFonts w:ascii="Arial" w:hAnsi="Arial" w:cs="Arial"/>
          <w:sz w:val="24"/>
          <w:szCs w:val="24"/>
          <w:lang w:val="en-US"/>
        </w:rPr>
        <w:t xml:space="preserve"> </w:t>
      </w:r>
      <w:proofErr w:type="spellStart"/>
      <w:r w:rsidR="00EF3B23" w:rsidRPr="00EF3B23">
        <w:rPr>
          <w:rFonts w:ascii="Arial" w:hAnsi="Arial" w:cs="Arial"/>
          <w:sz w:val="24"/>
          <w:szCs w:val="24"/>
          <w:lang w:val="en-US"/>
        </w:rPr>
        <w:t>Indrawati</w:t>
      </w:r>
      <w:proofErr w:type="spellEnd"/>
      <w:r w:rsidR="00EF3B23" w:rsidRPr="00EF3B23">
        <w:rPr>
          <w:rFonts w:ascii="Arial" w:hAnsi="Arial" w:cs="Arial"/>
          <w:sz w:val="24"/>
          <w:szCs w:val="24"/>
          <w:lang w:val="en-US"/>
        </w:rPr>
        <w:t xml:space="preserve">, Minister of Finance of the Republic of Indonesia, documented this journey in a testimonial </w:t>
      </w:r>
      <w:hyperlink r:id="rId50" w:history="1">
        <w:r w:rsidR="00E41E99" w:rsidRPr="00514936">
          <w:rPr>
            <w:rStyle w:val="Hyperlink"/>
            <w:rFonts w:ascii="Arial" w:hAnsi="Arial" w:cs="Arial"/>
            <w:sz w:val="24"/>
            <w:szCs w:val="24"/>
          </w:rPr>
          <w:t>video</w:t>
        </w:r>
      </w:hyperlink>
      <w:r w:rsidR="00EF3B23" w:rsidRPr="00EF3B23">
        <w:rPr>
          <w:rFonts w:ascii="Arial" w:hAnsi="Arial" w:cs="Arial"/>
          <w:sz w:val="24"/>
          <w:szCs w:val="24"/>
          <w:lang w:val="en-US"/>
        </w:rPr>
        <w:t xml:space="preserve"> sharing key lessons and insights from the mainstreaming of fiscal transparency, public participation, and accountability practices in the public sector of Indonesia. She explained that the 1997/98 financial crises devastated the Indonesian economy, and that enhanced fiscal policy management was required to overcome this, with fiscal transparency being a key component. Key reforms undertaken included establishing a legal basis for fiscal transparency, developing frameworks and systems as well as institutionalizing fiscal transparency in all of the stages of the fiscal policy cycle as a basis for continually engaging key stakeholders outside of the executive, including parliament, the SAI, civil society, and the general public. The Minister also emphasized the need to continually work towards maintaining and improving fiscal transparency, including through the use of the media and digital tools. She concludes by iterating that fiscal transparency in key for public trust, and that public trust and credibility are in turn critical for managing public finance in an accountable, effective, and efficient manner.</w:t>
      </w:r>
    </w:p>
    <w:p w14:paraId="30E3133F" w14:textId="7CC43C5B" w:rsidR="00EF3B23" w:rsidRDefault="004D5D12" w:rsidP="00EF3B23">
      <w:pPr>
        <w:spacing w:after="160" w:line="276" w:lineRule="auto"/>
        <w:contextualSpacing/>
        <w:jc w:val="both"/>
        <w:rPr>
          <w:rFonts w:ascii="Arial" w:hAnsi="Arial" w:cs="Arial"/>
          <w:sz w:val="24"/>
          <w:szCs w:val="24"/>
          <w:lang w:val="en-US"/>
        </w:rPr>
      </w:pPr>
      <w:r>
        <w:rPr>
          <w:noProof/>
          <w:lang w:val="en-US"/>
        </w:rPr>
        <mc:AlternateContent>
          <mc:Choice Requires="wps">
            <w:drawing>
              <wp:anchor distT="0" distB="0" distL="114300" distR="114300" simplePos="0" relativeHeight="251833344" behindDoc="0" locked="0" layoutInCell="1" allowOverlap="1" wp14:anchorId="6E1FBEF8" wp14:editId="366F69FE">
                <wp:simplePos x="0" y="0"/>
                <wp:positionH relativeFrom="column">
                  <wp:posOffset>1148080</wp:posOffset>
                </wp:positionH>
                <wp:positionV relativeFrom="paragraph">
                  <wp:posOffset>118272</wp:posOffset>
                </wp:positionV>
                <wp:extent cx="5514975" cy="489098"/>
                <wp:effectExtent l="0" t="0" r="9525" b="6350"/>
                <wp:wrapNone/>
                <wp:docPr id="238" name="Text Box 238"/>
                <wp:cNvGraphicFramePr/>
                <a:graphic xmlns:a="http://schemas.openxmlformats.org/drawingml/2006/main">
                  <a:graphicData uri="http://schemas.microsoft.com/office/word/2010/wordprocessingShape">
                    <wps:wsp>
                      <wps:cNvSpPr txBox="1"/>
                      <wps:spPr>
                        <a:xfrm>
                          <a:off x="0" y="0"/>
                          <a:ext cx="5514975" cy="489098"/>
                        </a:xfrm>
                        <a:prstGeom prst="rect">
                          <a:avLst/>
                        </a:prstGeom>
                        <a:solidFill>
                          <a:schemeClr val="lt1"/>
                        </a:solidFill>
                        <a:ln w="6350">
                          <a:noFill/>
                        </a:ln>
                      </wps:spPr>
                      <wps:txbx>
                        <w:txbxContent>
                          <w:p w14:paraId="64C40517" w14:textId="267D449D" w:rsidR="00D15FD8" w:rsidRPr="004D5D12" w:rsidRDefault="00D15FD8" w:rsidP="006159F0">
                            <w:pPr>
                              <w:pStyle w:val="Heading2"/>
                              <w:rPr>
                                <w:rFonts w:ascii="Arial" w:hAnsi="Arial" w:cs="Arial"/>
                                <w:b/>
                                <w:bCs/>
                                <w:color w:val="16988A"/>
                              </w:rPr>
                            </w:pPr>
                            <w:bookmarkStart w:id="379" w:name="_Toc119794429"/>
                            <w:bookmarkStart w:id="380" w:name="_Toc123204411"/>
                            <w:bookmarkStart w:id="381" w:name="_Toc123216500"/>
                            <w:bookmarkStart w:id="382" w:name="_Toc123217340"/>
                            <w:bookmarkStart w:id="383" w:name="_Toc123828102"/>
                            <w:bookmarkStart w:id="384" w:name="_Toc123828312"/>
                            <w:bookmarkStart w:id="385" w:name="_Toc123828508"/>
                            <w:bookmarkStart w:id="386" w:name="_Toc123912535"/>
                            <w:bookmarkStart w:id="387" w:name="_Toc123912794"/>
                            <w:bookmarkStart w:id="388" w:name="_Toc123913021"/>
                            <w:bookmarkStart w:id="389" w:name="_Toc123913312"/>
                            <w:bookmarkStart w:id="390" w:name="_Toc123913968"/>
                            <w:bookmarkStart w:id="391" w:name="_Toc125495796"/>
                            <w:bookmarkStart w:id="392" w:name="_Toc125566587"/>
                            <w:r w:rsidRPr="004D5D12">
                              <w:rPr>
                                <w:rFonts w:ascii="Arial" w:hAnsi="Arial" w:cs="Arial"/>
                                <w:b/>
                                <w:bCs/>
                                <w:color w:val="16988A"/>
                              </w:rPr>
                              <w:t>Fiscal transparency as a tool for building trust: An example from Mexico</w:t>
                            </w:r>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FBEF8" id="Text Box 238" o:spid="_x0000_s1069" type="#_x0000_t202" style="position:absolute;left:0;text-align:left;margin-left:90.4pt;margin-top:9.3pt;width:434.25pt;height:3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" fillcolor="white [3201]" stroked="f" strokeweight=".5pt">
                <v:textbox>
                  <w:txbxContent>
                    <w:p w14:paraId="64C40517" w14:textId="267D449D" w:rsidR="00D15FD8" w:rsidRPr="004D5D12" w:rsidRDefault="00D15FD8" w:rsidP="006159F0">
                      <w:pPr>
                        <w:pStyle w:val="Heading2"/>
                        <w:rPr>
                          <w:rFonts w:ascii="Arial" w:hAnsi="Arial" w:cs="Arial"/>
                          <w:b/>
                          <w:bCs/>
                          <w:color w:val="16988A"/>
                        </w:rPr>
                      </w:pPr>
                      <w:bookmarkStart w:id="393" w:name="_Toc119794429"/>
                      <w:bookmarkStart w:id="394" w:name="_Toc123204411"/>
                      <w:bookmarkStart w:id="395" w:name="_Toc123216500"/>
                      <w:bookmarkStart w:id="396" w:name="_Toc123217340"/>
                      <w:bookmarkStart w:id="397" w:name="_Toc123828102"/>
                      <w:bookmarkStart w:id="398" w:name="_Toc123828312"/>
                      <w:bookmarkStart w:id="399" w:name="_Toc123828508"/>
                      <w:bookmarkStart w:id="400" w:name="_Toc123912535"/>
                      <w:bookmarkStart w:id="401" w:name="_Toc123912794"/>
                      <w:bookmarkStart w:id="402" w:name="_Toc123913021"/>
                      <w:bookmarkStart w:id="403" w:name="_Toc123913312"/>
                      <w:bookmarkStart w:id="404" w:name="_Toc123913968"/>
                      <w:bookmarkStart w:id="405" w:name="_Toc125495796"/>
                      <w:bookmarkStart w:id="406" w:name="_Toc125566587"/>
                      <w:r w:rsidRPr="004D5D12">
                        <w:rPr>
                          <w:rFonts w:ascii="Arial" w:hAnsi="Arial" w:cs="Arial"/>
                          <w:b/>
                          <w:bCs/>
                          <w:color w:val="16988A"/>
                        </w:rPr>
                        <w:t>Fiscal transparency as a tool for building trust: An example from Mexico</w: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txbxContent>
                </v:textbox>
              </v:shape>
            </w:pict>
          </mc:Fallback>
        </mc:AlternateContent>
      </w:r>
      <w:r w:rsidR="00EF3B23">
        <w:rPr>
          <w:noProof/>
          <w:lang w:val="en-US"/>
        </w:rPr>
        <w:drawing>
          <wp:anchor distT="0" distB="0" distL="114300" distR="114300" simplePos="0" relativeHeight="251831296" behindDoc="1" locked="0" layoutInCell="1" allowOverlap="1" wp14:anchorId="330DE8E0" wp14:editId="51D5A6E5">
            <wp:simplePos x="0" y="0"/>
            <wp:positionH relativeFrom="column">
              <wp:posOffset>320675</wp:posOffset>
            </wp:positionH>
            <wp:positionV relativeFrom="paragraph">
              <wp:posOffset>153670</wp:posOffset>
            </wp:positionV>
            <wp:extent cx="757155" cy="432000"/>
            <wp:effectExtent l="177800" t="101600" r="106680" b="177800"/>
            <wp:wrapTight wrapText="bothSides">
              <wp:wrapPolygon edited="0">
                <wp:start x="-1812" y="-5082"/>
                <wp:lineTo x="-5074" y="-3812"/>
                <wp:lineTo x="-5074" y="21600"/>
                <wp:lineTo x="-3262" y="26682"/>
                <wp:lineTo x="725" y="28588"/>
                <wp:lineTo x="1087" y="29859"/>
                <wp:lineTo x="18121" y="29859"/>
                <wp:lineTo x="18483" y="28588"/>
                <wp:lineTo x="22470" y="26682"/>
                <wp:lineTo x="24282" y="17153"/>
                <wp:lineTo x="24282" y="6353"/>
                <wp:lineTo x="21383" y="-3176"/>
                <wp:lineTo x="21020" y="-5082"/>
                <wp:lineTo x="-1812" y="-5082"/>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757155" cy="432000"/>
                    </a:xfrm>
                    <a:prstGeom prst="rect">
                      <a:avLst/>
                    </a:prstGeom>
                    <a:noFill/>
                    <a:ln>
                      <a:noFill/>
                    </a:ln>
                    <a:effectLst>
                      <a:outerShdw blurRad="165100" dist="38100" dir="8100000" sx="103000" sy="103000" algn="tr" rotWithShape="0">
                        <a:schemeClr val="accent2">
                          <a:lumMod val="50000"/>
                          <a:alpha val="23000"/>
                        </a:schemeClr>
                      </a:outerShdw>
                    </a:effectLst>
                  </pic:spPr>
                </pic:pic>
              </a:graphicData>
            </a:graphic>
            <wp14:sizeRelH relativeFrom="page">
              <wp14:pctWidth>0</wp14:pctWidth>
            </wp14:sizeRelH>
            <wp14:sizeRelV relativeFrom="page">
              <wp14:pctHeight>0</wp14:pctHeight>
            </wp14:sizeRelV>
          </wp:anchor>
        </w:drawing>
      </w:r>
    </w:p>
    <w:p w14:paraId="71D4292D" w14:textId="3A73850E" w:rsidR="00EF3B23" w:rsidRPr="00EF3B23" w:rsidRDefault="00EF3B23" w:rsidP="00EF3B23">
      <w:pPr>
        <w:spacing w:after="160" w:line="276" w:lineRule="auto"/>
        <w:contextualSpacing/>
        <w:jc w:val="both"/>
        <w:rPr>
          <w:rFonts w:ascii="Arial" w:hAnsi="Arial" w:cs="Arial"/>
          <w:sz w:val="24"/>
          <w:szCs w:val="24"/>
          <w:lang w:val="en-US"/>
        </w:rPr>
      </w:pPr>
      <w:r>
        <w:fldChar w:fldCharType="begin"/>
      </w:r>
      <w:r>
        <w:instrText xml:space="preserve"> INCLUDEPICTURE "https://upload.wikimedia.org/wikipedia/commons/thumb/f/fc/Flag_of_Mexico.svg/510px-Flag_of_Mexico.svg.png" \* MERGEFORMATINET </w:instrText>
      </w:r>
      <w:r>
        <w:fldChar w:fldCharType="end"/>
      </w:r>
    </w:p>
    <w:p w14:paraId="4D7B2AA6" w14:textId="5C140DB3" w:rsidR="00194A03" w:rsidRDefault="00194A03" w:rsidP="00CC122D">
      <w:pPr>
        <w:spacing w:after="160" w:line="259" w:lineRule="auto"/>
        <w:contextualSpacing/>
        <w:jc w:val="both"/>
        <w:rPr>
          <w:rFonts w:asciiTheme="minorHAnsi" w:hAnsiTheme="minorHAnsi" w:cstheme="minorBidi"/>
          <w:lang w:val="en-US"/>
        </w:rPr>
      </w:pPr>
    </w:p>
    <w:p w14:paraId="2A0215A9" w14:textId="085E79BA" w:rsidR="00194A03" w:rsidRDefault="00E45093" w:rsidP="00CC122D">
      <w:pPr>
        <w:spacing w:after="160" w:line="259" w:lineRule="auto"/>
        <w:contextualSpacing/>
        <w:jc w:val="both"/>
        <w:rPr>
          <w:rFonts w:asciiTheme="minorHAnsi" w:hAnsiTheme="minorHAnsi" w:cstheme="minorBidi"/>
          <w:lang w:val="en-US"/>
        </w:rPr>
      </w:pPr>
      <w:r>
        <w:rPr>
          <w:rFonts w:ascii="Arial" w:hAnsi="Arial" w:cs="Arial"/>
          <w:iCs/>
          <w:noProof/>
          <w:sz w:val="24"/>
          <w:szCs w:val="24"/>
          <w:lang w:val="en-US"/>
        </w:rPr>
        <mc:AlternateContent>
          <mc:Choice Requires="wps">
            <w:drawing>
              <wp:anchor distT="0" distB="0" distL="114300" distR="114300" simplePos="0" relativeHeight="255326206" behindDoc="0" locked="0" layoutInCell="1" allowOverlap="1" wp14:anchorId="2B216D3D" wp14:editId="252227C9">
                <wp:simplePos x="0" y="0"/>
                <wp:positionH relativeFrom="column">
                  <wp:posOffset>144780</wp:posOffset>
                </wp:positionH>
                <wp:positionV relativeFrom="paragraph">
                  <wp:posOffset>50691</wp:posOffset>
                </wp:positionV>
                <wp:extent cx="1118870" cy="254000"/>
                <wp:effectExtent l="0" t="0" r="0" b="0"/>
                <wp:wrapSquare wrapText="bothSides"/>
                <wp:docPr id="104" name="Text Box 104"/>
                <wp:cNvGraphicFramePr/>
                <a:graphic xmlns:a="http://schemas.openxmlformats.org/drawingml/2006/main">
                  <a:graphicData uri="http://schemas.microsoft.com/office/word/2010/wordprocessingShape">
                    <wps:wsp>
                      <wps:cNvSpPr txBox="1"/>
                      <wps:spPr>
                        <a:xfrm>
                          <a:off x="0" y="0"/>
                          <a:ext cx="1118870" cy="254000"/>
                        </a:xfrm>
                        <a:prstGeom prst="rect">
                          <a:avLst/>
                        </a:prstGeom>
                        <a:solidFill>
                          <a:schemeClr val="lt1"/>
                        </a:solidFill>
                        <a:ln w="6350">
                          <a:noFill/>
                        </a:ln>
                      </wps:spPr>
                      <wps:txbx>
                        <w:txbxContent>
                          <w:p w14:paraId="678B7D0E" w14:textId="767F376B" w:rsidR="00D15FD8" w:rsidRPr="00E45093" w:rsidRDefault="00D15FD8" w:rsidP="00E45093">
                            <w:pPr>
                              <w:jc w:val="center"/>
                              <w:rPr>
                                <w:rFonts w:ascii="Arial" w:hAnsi="Arial" w:cs="Arial"/>
                                <w:b/>
                                <w:bCs/>
                                <w:color w:val="16988A"/>
                                <w:sz w:val="20"/>
                                <w:szCs w:val="20"/>
                                <w:lang w:val="en-US"/>
                              </w:rPr>
                            </w:pPr>
                            <w:r>
                              <w:rPr>
                                <w:rFonts w:ascii="Arial" w:hAnsi="Arial" w:cs="Arial"/>
                                <w:b/>
                                <w:bCs/>
                                <w:color w:val="16988A"/>
                                <w:sz w:val="20"/>
                                <w:szCs w:val="20"/>
                                <w:lang w:val="en-US"/>
                              </w:rPr>
                              <w:t>Mexico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16D3D" id="Text Box 104" o:spid="_x0000_s1070" type="#_x0000_t202" style="position:absolute;left:0;text-align:left;margin-left:11.4pt;margin-top:4pt;width:88.1pt;height:20pt;z-index:255326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" fillcolor="white [3201]" stroked="f" strokeweight=".5pt">
                <v:textbox>
                  <w:txbxContent>
                    <w:p w14:paraId="678B7D0E" w14:textId="767F376B" w:rsidR="00D15FD8" w:rsidRPr="00E45093" w:rsidRDefault="00D15FD8" w:rsidP="00E45093">
                      <w:pPr>
                        <w:jc w:val="center"/>
                        <w:rPr>
                          <w:rFonts w:ascii="Arial" w:hAnsi="Arial" w:cs="Arial"/>
                          <w:b/>
                          <w:bCs/>
                          <w:color w:val="16988A"/>
                          <w:sz w:val="20"/>
                          <w:szCs w:val="20"/>
                          <w:lang w:val="en-US"/>
                        </w:rPr>
                      </w:pPr>
                      <w:r>
                        <w:rPr>
                          <w:rFonts w:ascii="Arial" w:hAnsi="Arial" w:cs="Arial"/>
                          <w:b/>
                          <w:bCs/>
                          <w:color w:val="16988A"/>
                          <w:sz w:val="20"/>
                          <w:szCs w:val="20"/>
                          <w:lang w:val="en-US"/>
                        </w:rPr>
                        <w:t>Mexico</w:t>
                      </w:r>
                    </w:p>
                  </w:txbxContent>
                </v:textbox>
                <w10:wrap type="square"/>
              </v:shape>
            </w:pict>
          </mc:Fallback>
        </mc:AlternateContent>
      </w:r>
    </w:p>
    <w:p w14:paraId="1F3E2CC1" w14:textId="77777777" w:rsidR="00E45093" w:rsidRDefault="00E45093" w:rsidP="00EF3B23">
      <w:pPr>
        <w:spacing w:after="160" w:line="276" w:lineRule="auto"/>
        <w:contextualSpacing/>
        <w:jc w:val="both"/>
        <w:rPr>
          <w:rFonts w:ascii="Arial" w:hAnsi="Arial" w:cs="Arial"/>
          <w:sz w:val="24"/>
          <w:szCs w:val="24"/>
          <w:lang w:val="en-US"/>
        </w:rPr>
      </w:pPr>
    </w:p>
    <w:p w14:paraId="7FA0DAE5" w14:textId="2005F2BE" w:rsidR="00EF3B23" w:rsidRPr="00EF3B23" w:rsidRDefault="00EF3B23" w:rsidP="00EF3B23">
      <w:pPr>
        <w:spacing w:after="160" w:line="276" w:lineRule="auto"/>
        <w:contextualSpacing/>
        <w:jc w:val="both"/>
        <w:rPr>
          <w:rFonts w:ascii="Arial" w:hAnsi="Arial" w:cs="Arial"/>
          <w:sz w:val="24"/>
          <w:szCs w:val="24"/>
          <w:lang w:val="en-US"/>
        </w:rPr>
      </w:pPr>
      <w:r w:rsidRPr="00EF3B23">
        <w:rPr>
          <w:rFonts w:ascii="Arial" w:hAnsi="Arial" w:cs="Arial"/>
          <w:sz w:val="24"/>
          <w:szCs w:val="24"/>
          <w:lang w:val="en-US"/>
        </w:rPr>
        <w:t xml:space="preserve">A key benefit of fiscal transparency is that it enables non-governmental actors to assist government in fiscal policy/budgetary design, and implementation; and then in holding it accountable. This enhances the efficiency and effectiveness of fiscal policies. </w:t>
      </w:r>
    </w:p>
    <w:p w14:paraId="58FA8617" w14:textId="117CDC37" w:rsidR="00EF3B23" w:rsidRPr="00EF3B23" w:rsidRDefault="00275588" w:rsidP="00EF3B23">
      <w:pPr>
        <w:spacing w:after="160"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901822" behindDoc="0" locked="0" layoutInCell="1" allowOverlap="1" wp14:anchorId="2F3B483F" wp14:editId="3E2981FA">
            <wp:simplePos x="0" y="0"/>
            <wp:positionH relativeFrom="column">
              <wp:posOffset>0</wp:posOffset>
            </wp:positionH>
            <wp:positionV relativeFrom="paragraph">
              <wp:posOffset>130175</wp:posOffset>
            </wp:positionV>
            <wp:extent cx="582930" cy="410210"/>
            <wp:effectExtent l="0" t="0" r="127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902846" behindDoc="0" locked="0" layoutInCell="1" allowOverlap="1" wp14:anchorId="4F1CE757" wp14:editId="73CA4783">
                <wp:simplePos x="0" y="0"/>
                <wp:positionH relativeFrom="column">
                  <wp:posOffset>658495</wp:posOffset>
                </wp:positionH>
                <wp:positionV relativeFrom="paragraph">
                  <wp:posOffset>188595</wp:posOffset>
                </wp:positionV>
                <wp:extent cx="1028700" cy="355600"/>
                <wp:effectExtent l="0" t="0" r="0" b="0"/>
                <wp:wrapSquare wrapText="bothSides"/>
                <wp:docPr id="4" name="Rounded Rectangle 4"/>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048F35B" id="Rounded Rectangle 4" o:spid="_x0000_s1026" style="position:absolute;margin-left:51.85pt;margin-top:14.85pt;width:81pt;height:28pt;z-index:253902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" fillcolor="#16988a" stroked="f" strokeweight="1pt">
                <v:stroke joinstyle="miter"/>
                <w10:wrap type="square"/>
              </v:roundrect>
            </w:pict>
          </mc:Fallback>
        </mc:AlternateContent>
      </w:r>
    </w:p>
    <w:p w14:paraId="248A3556" w14:textId="36C5E83C" w:rsidR="00194A03" w:rsidRPr="00EF3B23" w:rsidRDefault="00275588" w:rsidP="00EF3B23">
      <w:pPr>
        <w:spacing w:after="160"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903870" behindDoc="0" locked="0" layoutInCell="1" allowOverlap="1" wp14:anchorId="67B61D1B" wp14:editId="02A5077D">
                <wp:simplePos x="0" y="0"/>
                <wp:positionH relativeFrom="column">
                  <wp:posOffset>668655</wp:posOffset>
                </wp:positionH>
                <wp:positionV relativeFrom="paragraph">
                  <wp:posOffset>22225</wp:posOffset>
                </wp:positionV>
                <wp:extent cx="1033145" cy="279400"/>
                <wp:effectExtent l="0" t="0" r="0" b="0"/>
                <wp:wrapNone/>
                <wp:docPr id="563" name="Text Box 563"/>
                <wp:cNvGraphicFramePr/>
                <a:graphic xmlns:a="http://schemas.openxmlformats.org/drawingml/2006/main">
                  <a:graphicData uri="http://schemas.microsoft.com/office/word/2010/wordprocessingShape">
                    <wps:wsp>
                      <wps:cNvSpPr txBox="1"/>
                      <wps:spPr>
                        <a:xfrm>
                          <a:off x="0" y="0"/>
                          <a:ext cx="1033145" cy="279400"/>
                        </a:xfrm>
                        <a:prstGeom prst="rect">
                          <a:avLst/>
                        </a:prstGeom>
                        <a:noFill/>
                        <a:ln w="6350">
                          <a:noFill/>
                        </a:ln>
                      </wps:spPr>
                      <wps:txbx>
                        <w:txbxContent>
                          <w:p w14:paraId="0F4C2D2D" w14:textId="4D5A5458" w:rsidR="00D15FD8" w:rsidRPr="00904083" w:rsidRDefault="00AC4DF7" w:rsidP="00904083">
                            <w:pPr>
                              <w:jc w:val="center"/>
                              <w:rPr>
                                <w:b/>
                                <w:bCs/>
                                <w:color w:val="FFFFFF" w:themeColor="background1"/>
                                <w:u w:val="single"/>
                              </w:rPr>
                            </w:pPr>
                            <w:hyperlink r:id="rId52" w:history="1">
                              <w:r w:rsidR="00D15FD8" w:rsidRPr="00904083">
                                <w:rPr>
                                  <w:rStyle w:val="Hyperlink"/>
                                  <w:rFonts w:ascii="Arial" w:hAnsi="Arial" w:cs="Arial"/>
                                  <w:b/>
                                  <w:bCs/>
                                  <w:color w:val="FFFFFF" w:themeColor="background1"/>
                                  <w:sz w:val="24"/>
                                  <w:szCs w:val="24"/>
                                </w:rPr>
                                <w:t>Watch</w:t>
                              </w:r>
                            </w:hyperlink>
                            <w:r w:rsidR="00D15FD8" w:rsidRPr="00904083">
                              <w:rPr>
                                <w:rFonts w:ascii="Arial" w:hAnsi="Arial" w:cs="Arial"/>
                                <w:b/>
                                <w:bCs/>
                                <w:color w:val="FFFFFF" w:themeColor="background1"/>
                                <w:sz w:val="24"/>
                                <w:szCs w:val="24"/>
                                <w:u w:val="single"/>
                                <w:lang w:val="en-US"/>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B61D1B" id="Text Box 563" o:spid="_x0000_s1071" type="#_x0000_t202" style="position:absolute;left:0;text-align:left;margin-left:52.65pt;margin-top:1.75pt;width:81.35pt;height:22pt;z-index:2539038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" filled="f" stroked="f" strokeweight=".5pt">
                <v:textbox>
                  <w:txbxContent>
                    <w:p w14:paraId="0F4C2D2D" w14:textId="4D5A5458" w:rsidR="00D15FD8" w:rsidRPr="00904083" w:rsidRDefault="00AC4DF7" w:rsidP="00904083">
                      <w:pPr>
                        <w:jc w:val="center"/>
                        <w:rPr>
                          <w:b/>
                          <w:bCs/>
                          <w:color w:val="FFFFFF" w:themeColor="background1"/>
                          <w:u w:val="single"/>
                        </w:rPr>
                      </w:pPr>
                      <w:hyperlink r:id="rId53" w:history="1">
                        <w:r w:rsidR="00D15FD8" w:rsidRPr="00904083">
                          <w:rPr>
                            <w:rStyle w:val="Hyperlink"/>
                            <w:rFonts w:ascii="Arial" w:hAnsi="Arial" w:cs="Arial"/>
                            <w:b/>
                            <w:bCs/>
                            <w:color w:val="FFFFFF" w:themeColor="background1"/>
                            <w:sz w:val="24"/>
                            <w:szCs w:val="24"/>
                          </w:rPr>
                          <w:t>Watch</w:t>
                        </w:r>
                      </w:hyperlink>
                      <w:r w:rsidR="00D15FD8" w:rsidRPr="00904083">
                        <w:rPr>
                          <w:rFonts w:ascii="Arial" w:hAnsi="Arial" w:cs="Arial"/>
                          <w:b/>
                          <w:bCs/>
                          <w:color w:val="FFFFFF" w:themeColor="background1"/>
                          <w:sz w:val="24"/>
                          <w:szCs w:val="24"/>
                          <w:u w:val="single"/>
                          <w:lang w:val="en-US"/>
                        </w:rPr>
                        <w:t xml:space="preserve"> here</w:t>
                      </w:r>
                    </w:p>
                  </w:txbxContent>
                </v:textbox>
              </v:shape>
            </w:pict>
          </mc:Fallback>
        </mc:AlternateContent>
      </w:r>
      <w:r w:rsidR="00EF3B23" w:rsidRPr="00EF3B23">
        <w:rPr>
          <w:rFonts w:ascii="Arial" w:hAnsi="Arial" w:cs="Arial"/>
          <w:sz w:val="24"/>
          <w:szCs w:val="24"/>
          <w:lang w:val="en-US"/>
        </w:rPr>
        <w:t xml:space="preserve">An </w:t>
      </w:r>
      <w:hyperlink r:id="rId54" w:history="1">
        <w:r w:rsidR="00E41E99" w:rsidRPr="00E41E99">
          <w:rPr>
            <w:rStyle w:val="Hyperlink"/>
            <w:rFonts w:ascii="Arial" w:hAnsi="Arial" w:cs="Arial"/>
            <w:sz w:val="24"/>
            <w:szCs w:val="24"/>
          </w:rPr>
          <w:t>example</w:t>
        </w:r>
      </w:hyperlink>
      <w:r w:rsidR="00EF3B23" w:rsidRPr="00EF3B23">
        <w:rPr>
          <w:rFonts w:ascii="Arial" w:hAnsi="Arial" w:cs="Arial"/>
          <w:sz w:val="24"/>
          <w:szCs w:val="24"/>
          <w:lang w:val="en-US"/>
        </w:rPr>
        <w:t xml:space="preserve"> of this is provided by seeing how civil society and other non-governmental actors in Mexico were able to analyze fiscal information to show inequalities in a farm subsidies program, and by doing so, greatly assisted in the rectification of the problems identified. In brief, a civil society group, called </w:t>
      </w:r>
      <w:proofErr w:type="spellStart"/>
      <w:r w:rsidR="00EF3B23" w:rsidRPr="00EF3B23">
        <w:rPr>
          <w:rFonts w:ascii="Arial" w:hAnsi="Arial" w:cs="Arial"/>
          <w:sz w:val="24"/>
          <w:szCs w:val="24"/>
          <w:lang w:val="en-US"/>
        </w:rPr>
        <w:t>Fundar</w:t>
      </w:r>
      <w:proofErr w:type="spellEnd"/>
      <w:r w:rsidR="00EF3B23" w:rsidRPr="00EF3B23">
        <w:rPr>
          <w:rFonts w:ascii="Arial" w:hAnsi="Arial" w:cs="Arial"/>
          <w:sz w:val="24"/>
          <w:szCs w:val="24"/>
          <w:lang w:val="en-US"/>
        </w:rPr>
        <w:t xml:space="preserve">, worked with other institutions to develop an online database on government farm subsidies. One of the key problems brought to light by this database was the way in which funds were distributed, although the government claimed </w:t>
      </w:r>
      <w:r w:rsidR="00EF3B23" w:rsidRPr="00EF3B23">
        <w:rPr>
          <w:rFonts w:ascii="Arial" w:hAnsi="Arial" w:cs="Arial"/>
          <w:sz w:val="24"/>
          <w:szCs w:val="24"/>
          <w:lang w:val="en-US"/>
        </w:rPr>
        <w:lastRenderedPageBreak/>
        <w:t xml:space="preserve">that the farm subsidy program targeted the neediest farmers, the data revealed that a small group of wealthy farmers received most of the subsidy funds over time, with the first 10 percent of recipients having received over 80 percent of the entire allocation for farm subsidies. The government responded to the publicity generated by </w:t>
      </w:r>
      <w:proofErr w:type="spellStart"/>
      <w:r w:rsidR="00EF3B23" w:rsidRPr="00EF3B23">
        <w:rPr>
          <w:rFonts w:ascii="Arial" w:hAnsi="Arial" w:cs="Arial"/>
          <w:sz w:val="24"/>
          <w:szCs w:val="24"/>
          <w:lang w:val="en-US"/>
        </w:rPr>
        <w:t>Fundar</w:t>
      </w:r>
      <w:proofErr w:type="spellEnd"/>
      <w:r w:rsidR="00EF3B23" w:rsidRPr="00EF3B23">
        <w:rPr>
          <w:rFonts w:ascii="Arial" w:hAnsi="Arial" w:cs="Arial"/>
          <w:sz w:val="24"/>
          <w:szCs w:val="24"/>
          <w:lang w:val="en-US"/>
        </w:rPr>
        <w:t xml:space="preserve"> with the assistance of the media in this regard, by implementing important reforms including capping payments to individuals and increasing the amount provided to smaller, poo</w:t>
      </w:r>
      <w:r w:rsidR="00C63592">
        <w:rPr>
          <w:rFonts w:ascii="Arial" w:hAnsi="Arial" w:cs="Arial"/>
          <w:sz w:val="24"/>
          <w:szCs w:val="24"/>
          <w:lang w:val="en-US"/>
        </w:rPr>
        <w:t>r</w:t>
      </w:r>
      <w:r w:rsidR="00EF3B23" w:rsidRPr="00EF3B23">
        <w:rPr>
          <w:rFonts w:ascii="Arial" w:hAnsi="Arial" w:cs="Arial"/>
          <w:sz w:val="24"/>
          <w:szCs w:val="24"/>
          <w:lang w:val="en-US"/>
        </w:rPr>
        <w:t>er farmers. Public officials responsible for program operations were also questioned in the Mexican Senate, with several being removed from office.</w:t>
      </w:r>
    </w:p>
    <w:p w14:paraId="06F1A1C6" w14:textId="1621C046" w:rsidR="00194A03" w:rsidRDefault="0089204A" w:rsidP="00CC122D">
      <w:pPr>
        <w:spacing w:after="160" w:line="259" w:lineRule="auto"/>
        <w:contextualSpacing/>
        <w:jc w:val="both"/>
        <w:rPr>
          <w:rFonts w:asciiTheme="minorHAnsi" w:hAnsiTheme="minorHAnsi" w:cstheme="minorBidi"/>
          <w:lang w:val="en-US"/>
        </w:rPr>
      </w:pPr>
      <w:r>
        <w:rPr>
          <w:noProof/>
          <w:lang w:val="en-US"/>
        </w:rPr>
        <mc:AlternateContent>
          <mc:Choice Requires="wps">
            <w:drawing>
              <wp:anchor distT="0" distB="0" distL="114300" distR="114300" simplePos="0" relativeHeight="251836416" behindDoc="0" locked="0" layoutInCell="1" allowOverlap="1" wp14:anchorId="7F933C1E" wp14:editId="0F651E83">
                <wp:simplePos x="0" y="0"/>
                <wp:positionH relativeFrom="column">
                  <wp:posOffset>1158949</wp:posOffset>
                </wp:positionH>
                <wp:positionV relativeFrom="paragraph">
                  <wp:posOffset>87940</wp:posOffset>
                </wp:positionV>
                <wp:extent cx="5514975" cy="574158"/>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5514975" cy="574158"/>
                        </a:xfrm>
                        <a:prstGeom prst="rect">
                          <a:avLst/>
                        </a:prstGeom>
                        <a:noFill/>
                        <a:ln w="6350">
                          <a:noFill/>
                        </a:ln>
                      </wps:spPr>
                      <wps:txbx>
                        <w:txbxContent>
                          <w:p w14:paraId="5905A80A" w14:textId="5872EF9B" w:rsidR="00D15FD8" w:rsidRPr="004D5D12" w:rsidRDefault="00D15FD8" w:rsidP="006159F0">
                            <w:pPr>
                              <w:pStyle w:val="Heading2"/>
                              <w:spacing w:line="276" w:lineRule="auto"/>
                              <w:rPr>
                                <w:rFonts w:ascii="Arial" w:hAnsi="Arial" w:cs="Arial"/>
                                <w:b/>
                                <w:bCs/>
                                <w:color w:val="16988A"/>
                              </w:rPr>
                            </w:pPr>
                            <w:bookmarkStart w:id="407" w:name="_Toc119794430"/>
                            <w:bookmarkStart w:id="408" w:name="_Toc123204412"/>
                            <w:bookmarkStart w:id="409" w:name="_Toc123216501"/>
                            <w:bookmarkStart w:id="410" w:name="_Toc123217341"/>
                            <w:bookmarkStart w:id="411" w:name="_Toc123828103"/>
                            <w:bookmarkStart w:id="412" w:name="_Toc123828313"/>
                            <w:bookmarkStart w:id="413" w:name="_Toc123828509"/>
                            <w:bookmarkStart w:id="414" w:name="_Toc123912536"/>
                            <w:bookmarkStart w:id="415" w:name="_Toc123912795"/>
                            <w:bookmarkStart w:id="416" w:name="_Toc123913022"/>
                            <w:bookmarkStart w:id="417" w:name="_Toc123913313"/>
                            <w:bookmarkStart w:id="418" w:name="_Toc123913969"/>
                            <w:bookmarkStart w:id="419" w:name="_Toc125495797"/>
                            <w:bookmarkStart w:id="420" w:name="_Toc125566588"/>
                            <w:r w:rsidRPr="004D5D12">
                              <w:rPr>
                                <w:rFonts w:ascii="Arial" w:hAnsi="Arial" w:cs="Arial"/>
                                <w:b/>
                                <w:bCs/>
                                <w:color w:val="16988A"/>
                              </w:rPr>
                              <w:t>Reflection from a governmental perspective on the benefits of advancing fiscal transparency: An example from the Philippines</w:t>
                            </w:r>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33C1E" id="Text Box 240" o:spid="_x0000_s1072" type="#_x0000_t202" style="position:absolute;left:0;text-align:left;margin-left:91.25pt;margin-top:6.9pt;width:434.25pt;height:45.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" filled="f" stroked="f" strokeweight=".5pt">
                <v:textbox>
                  <w:txbxContent>
                    <w:p w14:paraId="5905A80A" w14:textId="5872EF9B" w:rsidR="00D15FD8" w:rsidRPr="004D5D12" w:rsidRDefault="00D15FD8" w:rsidP="006159F0">
                      <w:pPr>
                        <w:pStyle w:val="Heading2"/>
                        <w:spacing w:line="276" w:lineRule="auto"/>
                        <w:rPr>
                          <w:rFonts w:ascii="Arial" w:hAnsi="Arial" w:cs="Arial"/>
                          <w:b/>
                          <w:bCs/>
                          <w:color w:val="16988A"/>
                        </w:rPr>
                      </w:pPr>
                      <w:bookmarkStart w:id="421" w:name="_Toc119794430"/>
                      <w:bookmarkStart w:id="422" w:name="_Toc123204412"/>
                      <w:bookmarkStart w:id="423" w:name="_Toc123216501"/>
                      <w:bookmarkStart w:id="424" w:name="_Toc123217341"/>
                      <w:bookmarkStart w:id="425" w:name="_Toc123828103"/>
                      <w:bookmarkStart w:id="426" w:name="_Toc123828313"/>
                      <w:bookmarkStart w:id="427" w:name="_Toc123828509"/>
                      <w:bookmarkStart w:id="428" w:name="_Toc123912536"/>
                      <w:bookmarkStart w:id="429" w:name="_Toc123912795"/>
                      <w:bookmarkStart w:id="430" w:name="_Toc123913022"/>
                      <w:bookmarkStart w:id="431" w:name="_Toc123913313"/>
                      <w:bookmarkStart w:id="432" w:name="_Toc123913969"/>
                      <w:bookmarkStart w:id="433" w:name="_Toc125495797"/>
                      <w:bookmarkStart w:id="434" w:name="_Toc125566588"/>
                      <w:r w:rsidRPr="004D5D12">
                        <w:rPr>
                          <w:rFonts w:ascii="Arial" w:hAnsi="Arial" w:cs="Arial"/>
                          <w:b/>
                          <w:bCs/>
                          <w:color w:val="16988A"/>
                        </w:rPr>
                        <w:t>Reflection from a governmental perspective on the benefits of advancing fiscal transparency: An example from the Philippines</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txbxContent>
                </v:textbox>
              </v:shape>
            </w:pict>
          </mc:Fallback>
        </mc:AlternateContent>
      </w:r>
      <w:r w:rsidR="00EF3B23">
        <w:rPr>
          <w:noProof/>
          <w:lang w:val="en-US"/>
        </w:rPr>
        <w:drawing>
          <wp:anchor distT="0" distB="0" distL="114300" distR="114300" simplePos="0" relativeHeight="251834368" behindDoc="1" locked="0" layoutInCell="1" allowOverlap="1" wp14:anchorId="67500B96" wp14:editId="3DCE7A7D">
            <wp:simplePos x="0" y="0"/>
            <wp:positionH relativeFrom="column">
              <wp:posOffset>263525</wp:posOffset>
            </wp:positionH>
            <wp:positionV relativeFrom="paragraph">
              <wp:posOffset>133985</wp:posOffset>
            </wp:positionV>
            <wp:extent cx="852034" cy="424800"/>
            <wp:effectExtent l="190500" t="101600" r="100965" b="160020"/>
            <wp:wrapTight wrapText="bothSides">
              <wp:wrapPolygon edited="0">
                <wp:start x="-1611" y="-5174"/>
                <wp:lineTo x="-4510" y="-3880"/>
                <wp:lineTo x="-4832" y="21341"/>
                <wp:lineTo x="-2255" y="27162"/>
                <wp:lineTo x="-1611" y="29102"/>
                <wp:lineTo x="20940" y="29102"/>
                <wp:lineTo x="21906" y="27162"/>
                <wp:lineTo x="23839" y="17461"/>
                <wp:lineTo x="23839" y="6467"/>
                <wp:lineTo x="21262" y="-3234"/>
                <wp:lineTo x="20940" y="-5174"/>
                <wp:lineTo x="-1611" y="-5174"/>
              </wp:wrapPolygon>
            </wp:wrapTight>
            <wp:docPr id="239" name="Picture 239" descr="Flag of the Philip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g of the Philippines"/>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852034" cy="424800"/>
                    </a:xfrm>
                    <a:prstGeom prst="rect">
                      <a:avLst/>
                    </a:prstGeom>
                    <a:noFill/>
                    <a:ln>
                      <a:noFill/>
                    </a:ln>
                    <a:effectLst>
                      <a:outerShdw blurRad="165100" dist="38100" dir="8100000" sx="103000" sy="103000" algn="tr" rotWithShape="0">
                        <a:schemeClr val="accent2">
                          <a:lumMod val="50000"/>
                          <a:alpha val="23000"/>
                        </a:schemeClr>
                      </a:outerShdw>
                    </a:effectLst>
                  </pic:spPr>
                </pic:pic>
              </a:graphicData>
            </a:graphic>
            <wp14:sizeRelH relativeFrom="page">
              <wp14:pctWidth>0</wp14:pctWidth>
            </wp14:sizeRelH>
            <wp14:sizeRelV relativeFrom="page">
              <wp14:pctHeight>0</wp14:pctHeight>
            </wp14:sizeRelV>
          </wp:anchor>
        </w:drawing>
      </w:r>
      <w:r w:rsidR="00EF3B23">
        <w:fldChar w:fldCharType="begin"/>
      </w:r>
      <w:r w:rsidR="00EF3B23">
        <w:instrText xml:space="preserve"> INCLUDEPICTURE "https://cdn.britannica.com/73/3473-004-6E573BFA/Flag-Philippines.jpg" \* MERGEFORMATINET </w:instrText>
      </w:r>
      <w:r w:rsidR="00EF3B23">
        <w:fldChar w:fldCharType="end"/>
      </w:r>
    </w:p>
    <w:p w14:paraId="3BCD40D5" w14:textId="01DB12C2" w:rsidR="00194A03" w:rsidRDefault="00194A03" w:rsidP="00CC122D">
      <w:pPr>
        <w:spacing w:after="160" w:line="259" w:lineRule="auto"/>
        <w:contextualSpacing/>
        <w:jc w:val="both"/>
        <w:rPr>
          <w:rFonts w:asciiTheme="minorHAnsi" w:hAnsiTheme="minorHAnsi" w:cstheme="minorBidi"/>
          <w:lang w:val="en-US"/>
        </w:rPr>
      </w:pPr>
    </w:p>
    <w:p w14:paraId="5940A692" w14:textId="5A70DF15" w:rsidR="00194A03" w:rsidRDefault="00194A03" w:rsidP="00CC122D">
      <w:pPr>
        <w:spacing w:after="160" w:line="259" w:lineRule="auto"/>
        <w:contextualSpacing/>
        <w:jc w:val="both"/>
        <w:rPr>
          <w:rFonts w:asciiTheme="minorHAnsi" w:hAnsiTheme="minorHAnsi" w:cstheme="minorBidi"/>
          <w:lang w:val="en-US"/>
        </w:rPr>
      </w:pPr>
    </w:p>
    <w:p w14:paraId="064D53D7" w14:textId="6F2BF623" w:rsidR="00EF3B23" w:rsidRDefault="00E45093" w:rsidP="00CC122D">
      <w:pPr>
        <w:spacing w:after="160" w:line="259" w:lineRule="auto"/>
        <w:contextualSpacing/>
        <w:jc w:val="both"/>
        <w:rPr>
          <w:rFonts w:asciiTheme="minorHAnsi" w:hAnsiTheme="minorHAnsi" w:cstheme="minorBidi"/>
          <w:lang w:val="en-US"/>
        </w:rPr>
      </w:pPr>
      <w:r>
        <w:rPr>
          <w:rFonts w:ascii="Arial" w:hAnsi="Arial" w:cs="Arial"/>
          <w:iCs/>
          <w:noProof/>
          <w:sz w:val="24"/>
          <w:szCs w:val="24"/>
          <w:lang w:val="en-US"/>
        </w:rPr>
        <mc:AlternateContent>
          <mc:Choice Requires="wps">
            <w:drawing>
              <wp:anchor distT="0" distB="0" distL="114300" distR="114300" simplePos="0" relativeHeight="255324158" behindDoc="0" locked="0" layoutInCell="1" allowOverlap="1" wp14:anchorId="0FD9AFCA" wp14:editId="406E2057">
                <wp:simplePos x="0" y="0"/>
                <wp:positionH relativeFrom="column">
                  <wp:posOffset>123190</wp:posOffset>
                </wp:positionH>
                <wp:positionV relativeFrom="paragraph">
                  <wp:posOffset>62756</wp:posOffset>
                </wp:positionV>
                <wp:extent cx="1118870" cy="254000"/>
                <wp:effectExtent l="0" t="0" r="0" b="0"/>
                <wp:wrapSquare wrapText="bothSides"/>
                <wp:docPr id="97" name="Text Box 97"/>
                <wp:cNvGraphicFramePr/>
                <a:graphic xmlns:a="http://schemas.openxmlformats.org/drawingml/2006/main">
                  <a:graphicData uri="http://schemas.microsoft.com/office/word/2010/wordprocessingShape">
                    <wps:wsp>
                      <wps:cNvSpPr txBox="1"/>
                      <wps:spPr>
                        <a:xfrm>
                          <a:off x="0" y="0"/>
                          <a:ext cx="1118870" cy="254000"/>
                        </a:xfrm>
                        <a:prstGeom prst="rect">
                          <a:avLst/>
                        </a:prstGeom>
                        <a:solidFill>
                          <a:schemeClr val="lt1"/>
                        </a:solidFill>
                        <a:ln w="6350">
                          <a:noFill/>
                        </a:ln>
                      </wps:spPr>
                      <wps:txbx>
                        <w:txbxContent>
                          <w:p w14:paraId="30745BBA" w14:textId="643AE774" w:rsidR="00D15FD8" w:rsidRPr="00E45093" w:rsidRDefault="00D15FD8" w:rsidP="00E45093">
                            <w:pPr>
                              <w:jc w:val="center"/>
                              <w:rPr>
                                <w:rFonts w:ascii="Arial" w:hAnsi="Arial" w:cs="Arial"/>
                                <w:b/>
                                <w:bCs/>
                                <w:color w:val="16988A"/>
                                <w:sz w:val="20"/>
                                <w:szCs w:val="20"/>
                                <w:lang w:val="en-US"/>
                              </w:rPr>
                            </w:pPr>
                            <w:r w:rsidRPr="00E45093">
                              <w:rPr>
                                <w:rFonts w:ascii="Arial" w:hAnsi="Arial" w:cs="Arial"/>
                                <w:b/>
                                <w:bCs/>
                                <w:color w:val="16988A"/>
                                <w:sz w:val="20"/>
                                <w:szCs w:val="20"/>
                                <w:lang w:val="en-US"/>
                              </w:rPr>
                              <w:t>Philippines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9AFCA" id="Text Box 97" o:spid="_x0000_s1073" type="#_x0000_t202" style="position:absolute;left:0;text-align:left;margin-left:9.7pt;margin-top:4.95pt;width:88.1pt;height:20pt;z-index:25532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" fillcolor="white [3201]" stroked="f" strokeweight=".5pt">
                <v:textbox>
                  <w:txbxContent>
                    <w:p w14:paraId="30745BBA" w14:textId="643AE774" w:rsidR="00D15FD8" w:rsidRPr="00E45093" w:rsidRDefault="00D15FD8" w:rsidP="00E45093">
                      <w:pPr>
                        <w:jc w:val="center"/>
                        <w:rPr>
                          <w:rFonts w:ascii="Arial" w:hAnsi="Arial" w:cs="Arial"/>
                          <w:b/>
                          <w:bCs/>
                          <w:color w:val="16988A"/>
                          <w:sz w:val="20"/>
                          <w:szCs w:val="20"/>
                          <w:lang w:val="en-US"/>
                        </w:rPr>
                      </w:pPr>
                      <w:r w:rsidRPr="00E45093">
                        <w:rPr>
                          <w:rFonts w:ascii="Arial" w:hAnsi="Arial" w:cs="Arial"/>
                          <w:b/>
                          <w:bCs/>
                          <w:color w:val="16988A"/>
                          <w:sz w:val="20"/>
                          <w:szCs w:val="20"/>
                          <w:lang w:val="en-US"/>
                        </w:rPr>
                        <w:t>Philippines</w:t>
                      </w:r>
                    </w:p>
                  </w:txbxContent>
                </v:textbox>
                <w10:wrap type="square"/>
              </v:shape>
            </w:pict>
          </mc:Fallback>
        </mc:AlternateContent>
      </w:r>
    </w:p>
    <w:p w14:paraId="6B10389B" w14:textId="77777777" w:rsidR="00E45093" w:rsidRDefault="00E45093" w:rsidP="00EF3B23">
      <w:pPr>
        <w:spacing w:after="160" w:line="276" w:lineRule="auto"/>
        <w:contextualSpacing/>
        <w:jc w:val="both"/>
        <w:rPr>
          <w:rFonts w:ascii="Arial" w:hAnsi="Arial" w:cs="Arial"/>
          <w:sz w:val="24"/>
          <w:szCs w:val="24"/>
          <w:lang w:val="en-US"/>
        </w:rPr>
      </w:pPr>
    </w:p>
    <w:p w14:paraId="022CB5E5" w14:textId="3BAAB326" w:rsidR="00EF3B23" w:rsidRPr="00EF3B23" w:rsidRDefault="00E94948" w:rsidP="00EF3B23">
      <w:pPr>
        <w:spacing w:after="160"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907966" behindDoc="0" locked="0" layoutInCell="1" allowOverlap="1" wp14:anchorId="18325F70" wp14:editId="697FEE4A">
                <wp:simplePos x="0" y="0"/>
                <wp:positionH relativeFrom="column">
                  <wp:posOffset>5637530</wp:posOffset>
                </wp:positionH>
                <wp:positionV relativeFrom="paragraph">
                  <wp:posOffset>493536</wp:posOffset>
                </wp:positionV>
                <wp:extent cx="1033145" cy="292100"/>
                <wp:effectExtent l="0" t="0" r="0" b="0"/>
                <wp:wrapNone/>
                <wp:docPr id="568" name="Text Box 568"/>
                <wp:cNvGraphicFramePr/>
                <a:graphic xmlns:a="http://schemas.openxmlformats.org/drawingml/2006/main">
                  <a:graphicData uri="http://schemas.microsoft.com/office/word/2010/wordprocessingShape">
                    <wps:wsp>
                      <wps:cNvSpPr txBox="1"/>
                      <wps:spPr>
                        <a:xfrm>
                          <a:off x="0" y="0"/>
                          <a:ext cx="1033145" cy="292100"/>
                        </a:xfrm>
                        <a:prstGeom prst="rect">
                          <a:avLst/>
                        </a:prstGeom>
                        <a:noFill/>
                        <a:ln w="6350">
                          <a:noFill/>
                        </a:ln>
                      </wps:spPr>
                      <wps:txbx>
                        <w:txbxContent>
                          <w:p w14:paraId="4C607A90" w14:textId="0E7685EE" w:rsidR="00D15FD8" w:rsidRPr="00514936" w:rsidRDefault="00AC4DF7" w:rsidP="00514936">
                            <w:pPr>
                              <w:jc w:val="center"/>
                              <w:rPr>
                                <w:b/>
                                <w:bCs/>
                                <w:color w:val="FFFFFF" w:themeColor="background1"/>
                                <w:u w:val="single"/>
                              </w:rPr>
                            </w:pPr>
                            <w:hyperlink r:id="rId56" w:history="1">
                              <w:r w:rsidR="00D15FD8" w:rsidRPr="00514936">
                                <w:rPr>
                                  <w:rStyle w:val="Hyperlink"/>
                                  <w:rFonts w:ascii="Arial" w:hAnsi="Arial" w:cs="Arial"/>
                                  <w:b/>
                                  <w:bCs/>
                                  <w:color w:val="FFFFFF" w:themeColor="background1"/>
                                  <w:sz w:val="24"/>
                                  <w:szCs w:val="24"/>
                                </w:rPr>
                                <w:t>Watch</w:t>
                              </w:r>
                            </w:hyperlink>
                            <w:r w:rsidR="00D15FD8" w:rsidRPr="00514936">
                              <w:rPr>
                                <w:rFonts w:ascii="Arial" w:hAnsi="Arial" w:cs="Arial"/>
                                <w:b/>
                                <w:bCs/>
                                <w:color w:val="FFFFFF" w:themeColor="background1"/>
                                <w:sz w:val="24"/>
                                <w:szCs w:val="24"/>
                                <w:u w:val="single"/>
                                <w:lang w:val="en-US"/>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325F70" id="Text Box 568" o:spid="_x0000_s1074" type="#_x0000_t202" style="position:absolute;left:0;text-align:left;margin-left:443.9pt;margin-top:38.85pt;width:81.35pt;height:23pt;z-index:2539079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" filled="f" stroked="f" strokeweight=".5pt">
                <v:textbox>
                  <w:txbxContent>
                    <w:p w14:paraId="4C607A90" w14:textId="0E7685EE" w:rsidR="00D15FD8" w:rsidRPr="00514936" w:rsidRDefault="00AC4DF7" w:rsidP="00514936">
                      <w:pPr>
                        <w:jc w:val="center"/>
                        <w:rPr>
                          <w:b/>
                          <w:bCs/>
                          <w:color w:val="FFFFFF" w:themeColor="background1"/>
                          <w:u w:val="single"/>
                        </w:rPr>
                      </w:pPr>
                      <w:hyperlink r:id="rId57" w:history="1">
                        <w:r w:rsidR="00D15FD8" w:rsidRPr="00514936">
                          <w:rPr>
                            <w:rStyle w:val="Hyperlink"/>
                            <w:rFonts w:ascii="Arial" w:hAnsi="Arial" w:cs="Arial"/>
                            <w:b/>
                            <w:bCs/>
                            <w:color w:val="FFFFFF" w:themeColor="background1"/>
                            <w:sz w:val="24"/>
                            <w:szCs w:val="24"/>
                          </w:rPr>
                          <w:t>Watch</w:t>
                        </w:r>
                      </w:hyperlink>
                      <w:r w:rsidR="00D15FD8" w:rsidRPr="00514936">
                        <w:rPr>
                          <w:rFonts w:ascii="Arial" w:hAnsi="Arial" w:cs="Arial"/>
                          <w:b/>
                          <w:bCs/>
                          <w:color w:val="FFFFFF" w:themeColor="background1"/>
                          <w:sz w:val="24"/>
                          <w:szCs w:val="24"/>
                          <w:u w:val="single"/>
                          <w:lang w:val="en-US"/>
                        </w:rPr>
                        <w:t xml:space="preserve"> here</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906942" behindDoc="0" locked="0" layoutInCell="1" allowOverlap="1" wp14:anchorId="118F195F" wp14:editId="2976CD93">
                <wp:simplePos x="0" y="0"/>
                <wp:positionH relativeFrom="column">
                  <wp:posOffset>5641340</wp:posOffset>
                </wp:positionH>
                <wp:positionV relativeFrom="paragraph">
                  <wp:posOffset>473710</wp:posOffset>
                </wp:positionV>
                <wp:extent cx="1028700" cy="355600"/>
                <wp:effectExtent l="0" t="0" r="0" b="0"/>
                <wp:wrapSquare wrapText="bothSides"/>
                <wp:docPr id="64" name="Rounded Rectangle 64"/>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70DC487" id="Rounded Rectangle 64" o:spid="_x0000_s1026" style="position:absolute;margin-left:444.2pt;margin-top:37.3pt;width:81pt;height:28pt;z-index:253906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3905918" behindDoc="0" locked="0" layoutInCell="1" allowOverlap="1" wp14:anchorId="61B2896F" wp14:editId="0D928739">
            <wp:simplePos x="0" y="0"/>
            <wp:positionH relativeFrom="column">
              <wp:posOffset>4982986</wp:posOffset>
            </wp:positionH>
            <wp:positionV relativeFrom="paragraph">
              <wp:posOffset>440902</wp:posOffset>
            </wp:positionV>
            <wp:extent cx="582930" cy="410210"/>
            <wp:effectExtent l="0" t="0" r="127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3B23" w:rsidRPr="00EF3B23">
        <w:rPr>
          <w:rFonts w:ascii="Arial" w:hAnsi="Arial" w:cs="Arial"/>
          <w:sz w:val="24"/>
          <w:szCs w:val="24"/>
          <w:lang w:val="en-US"/>
        </w:rPr>
        <w:t>The Philippines is one of the top performing countries in fiscal transparency. This was, however, no</w:t>
      </w:r>
      <w:r w:rsidR="001B369F">
        <w:rPr>
          <w:rFonts w:ascii="Arial" w:hAnsi="Arial" w:cs="Arial"/>
          <w:sz w:val="24"/>
          <w:szCs w:val="24"/>
          <w:lang w:val="en-US"/>
        </w:rPr>
        <w:t>t</w:t>
      </w:r>
      <w:r w:rsidR="00EF3B23" w:rsidRPr="00EF3B23">
        <w:rPr>
          <w:rFonts w:ascii="Arial" w:hAnsi="Arial" w:cs="Arial"/>
          <w:sz w:val="24"/>
          <w:szCs w:val="24"/>
          <w:lang w:val="en-US"/>
        </w:rPr>
        <w:t xml:space="preserve"> always the case. Florencio “Butch” Abad, former Secretary of the Philippine Department of Budget and Management (2010-16) reflected in an </w:t>
      </w:r>
      <w:hyperlink r:id="rId58" w:history="1">
        <w:r w:rsidR="00E41E99" w:rsidRPr="00E41E99">
          <w:rPr>
            <w:rStyle w:val="Hyperlink"/>
            <w:rFonts w:ascii="Arial" w:hAnsi="Arial" w:cs="Arial"/>
            <w:sz w:val="24"/>
            <w:szCs w:val="24"/>
          </w:rPr>
          <w:t>interview</w:t>
        </w:r>
      </w:hyperlink>
      <w:r w:rsidR="00EF3B23" w:rsidRPr="00EF3B23">
        <w:rPr>
          <w:rFonts w:ascii="Arial" w:hAnsi="Arial" w:cs="Arial"/>
          <w:sz w:val="24"/>
          <w:szCs w:val="24"/>
          <w:lang w:val="en-US"/>
        </w:rPr>
        <w:t xml:space="preserve"> in 2021 on the Philippine experience in advancing fiscal transparency reforms, providing key lessons. </w:t>
      </w:r>
    </w:p>
    <w:p w14:paraId="38852FA1" w14:textId="77777777" w:rsidR="00514936" w:rsidRDefault="00514936" w:rsidP="00E93CE5">
      <w:pPr>
        <w:spacing w:after="160" w:line="276" w:lineRule="auto"/>
        <w:contextualSpacing/>
        <w:jc w:val="both"/>
        <w:rPr>
          <w:rFonts w:ascii="Arial" w:hAnsi="Arial" w:cs="Arial"/>
          <w:sz w:val="24"/>
          <w:szCs w:val="24"/>
          <w:lang w:val="en-US"/>
        </w:rPr>
      </w:pPr>
    </w:p>
    <w:p w14:paraId="39E566C9" w14:textId="78AACD47" w:rsidR="00601849" w:rsidRDefault="00EF3B23" w:rsidP="00514936">
      <w:pPr>
        <w:spacing w:after="160" w:line="276" w:lineRule="auto"/>
        <w:contextualSpacing/>
        <w:jc w:val="both"/>
        <w:rPr>
          <w:rFonts w:ascii="Arial" w:hAnsi="Arial" w:cs="Arial"/>
          <w:sz w:val="24"/>
          <w:szCs w:val="24"/>
          <w:lang w:val="en-US"/>
        </w:rPr>
      </w:pPr>
      <w:r w:rsidRPr="00EF3B23">
        <w:rPr>
          <w:rFonts w:ascii="Arial" w:hAnsi="Arial" w:cs="Arial"/>
          <w:sz w:val="24"/>
          <w:szCs w:val="24"/>
          <w:lang w:val="en-US"/>
        </w:rPr>
        <w:t>In brief, the Aquino Administration came into office in 2010, needing to deal with the previous administration’s issues of corruption and inability to deal with a growing problem of inequality and poverty. The public had a general distrust in government. The Aquino Administration used fiscal transparency and public participation as key tools in the government’s quest to improve the lives of Filipinos. The budget was opened up to the public in a comprehensive, yet understandable manner, people were asked to scrutinize it and to provide their feedback to the executive. The government also used fiscal transparency to do self-assessments of their own performance. Political leadership and commitment to fiscal transparency ensured that the Philippines climbed rapidly in the IBP’s Open Budget Survey. Through fiscal transparency, the government was, among others, able to build trust levels, make better, informed choices, and importantly access the international capital required to fund these choices. Governance reforms were at the heart of discussions with multilateral agencies, creditors, and credit rating agencies, with strong efforts made to improve in global governance indices with the aim of restoring trust in the Philippine government. Within a few years, credit rating agencies rated the Philippines investment grade, paving the way for cheaper loans and substantial growth in foreign direct investments, funding the enhancement of the country’s developmental outcomes.</w:t>
      </w:r>
    </w:p>
    <w:p w14:paraId="4B92088A" w14:textId="2F8C30AA" w:rsidR="001A7720" w:rsidRDefault="001A7720" w:rsidP="00514936">
      <w:pPr>
        <w:spacing w:after="160" w:line="276" w:lineRule="auto"/>
        <w:contextualSpacing/>
        <w:jc w:val="both"/>
        <w:rPr>
          <w:rFonts w:ascii="Arial" w:hAnsi="Arial" w:cs="Arial"/>
          <w:sz w:val="24"/>
          <w:szCs w:val="24"/>
          <w:lang w:val="en-US"/>
        </w:rPr>
      </w:pPr>
    </w:p>
    <w:p w14:paraId="3033BDC1" w14:textId="3644BFF5" w:rsidR="001A7720" w:rsidRDefault="001A7720" w:rsidP="00514936">
      <w:pPr>
        <w:spacing w:after="160" w:line="276" w:lineRule="auto"/>
        <w:contextualSpacing/>
        <w:jc w:val="both"/>
        <w:rPr>
          <w:rFonts w:ascii="Arial" w:hAnsi="Arial" w:cs="Arial"/>
          <w:sz w:val="24"/>
          <w:szCs w:val="24"/>
          <w:lang w:val="en-US"/>
        </w:rPr>
      </w:pPr>
    </w:p>
    <w:p w14:paraId="0684DB92" w14:textId="0D951DBF" w:rsidR="001A7720" w:rsidRDefault="001A7720" w:rsidP="00514936">
      <w:pPr>
        <w:spacing w:after="160" w:line="276" w:lineRule="auto"/>
        <w:contextualSpacing/>
        <w:jc w:val="both"/>
        <w:rPr>
          <w:rFonts w:ascii="Arial" w:hAnsi="Arial" w:cs="Arial"/>
          <w:sz w:val="24"/>
          <w:szCs w:val="24"/>
          <w:lang w:val="en-US"/>
        </w:rPr>
      </w:pPr>
    </w:p>
    <w:p w14:paraId="2CA2E6A7" w14:textId="1CDAB710" w:rsidR="001A7720" w:rsidRDefault="001A7720" w:rsidP="00514936">
      <w:pPr>
        <w:spacing w:after="160" w:line="276" w:lineRule="auto"/>
        <w:contextualSpacing/>
        <w:jc w:val="both"/>
        <w:rPr>
          <w:rFonts w:ascii="Arial" w:hAnsi="Arial" w:cs="Arial"/>
          <w:sz w:val="24"/>
          <w:szCs w:val="24"/>
          <w:lang w:val="en-US"/>
        </w:rPr>
      </w:pPr>
    </w:p>
    <w:p w14:paraId="0DADA3E0" w14:textId="2BEEABB8" w:rsidR="001A7720" w:rsidRDefault="001A7720" w:rsidP="00514936">
      <w:pPr>
        <w:spacing w:after="160" w:line="276" w:lineRule="auto"/>
        <w:contextualSpacing/>
        <w:jc w:val="both"/>
        <w:rPr>
          <w:rFonts w:ascii="Arial" w:hAnsi="Arial" w:cs="Arial"/>
          <w:sz w:val="24"/>
          <w:szCs w:val="24"/>
          <w:lang w:val="en-US"/>
        </w:rPr>
      </w:pPr>
    </w:p>
    <w:p w14:paraId="7E3E816A" w14:textId="27531C92" w:rsidR="001A7720" w:rsidRDefault="001A7720" w:rsidP="00514936">
      <w:pPr>
        <w:spacing w:after="160" w:line="276" w:lineRule="auto"/>
        <w:contextualSpacing/>
        <w:jc w:val="both"/>
        <w:rPr>
          <w:rFonts w:ascii="Arial" w:hAnsi="Arial" w:cs="Arial"/>
          <w:sz w:val="24"/>
          <w:szCs w:val="24"/>
          <w:lang w:val="en-US"/>
        </w:rPr>
      </w:pPr>
    </w:p>
    <w:p w14:paraId="3A7BD9B1" w14:textId="688A00FB" w:rsidR="001A7720" w:rsidRDefault="001A7720" w:rsidP="00514936">
      <w:pPr>
        <w:spacing w:after="160" w:line="276" w:lineRule="auto"/>
        <w:contextualSpacing/>
        <w:jc w:val="both"/>
        <w:rPr>
          <w:rFonts w:ascii="Arial" w:hAnsi="Arial" w:cs="Arial"/>
          <w:sz w:val="24"/>
          <w:szCs w:val="24"/>
          <w:lang w:val="en-US"/>
        </w:rPr>
      </w:pPr>
    </w:p>
    <w:p w14:paraId="11548A0F" w14:textId="540C8139" w:rsidR="001A7720" w:rsidRDefault="001A7720" w:rsidP="00514936">
      <w:pPr>
        <w:spacing w:after="160" w:line="276" w:lineRule="auto"/>
        <w:contextualSpacing/>
        <w:jc w:val="both"/>
        <w:rPr>
          <w:rFonts w:ascii="Arial" w:hAnsi="Arial" w:cs="Arial"/>
          <w:sz w:val="24"/>
          <w:szCs w:val="24"/>
          <w:lang w:val="en-US"/>
        </w:rPr>
      </w:pPr>
    </w:p>
    <w:p w14:paraId="7EC65566" w14:textId="463B3F07" w:rsidR="001A7720" w:rsidRDefault="001A7720" w:rsidP="00514936">
      <w:pPr>
        <w:spacing w:after="160" w:line="276" w:lineRule="auto"/>
        <w:contextualSpacing/>
        <w:jc w:val="both"/>
        <w:rPr>
          <w:rFonts w:ascii="Arial" w:hAnsi="Arial" w:cs="Arial"/>
          <w:sz w:val="24"/>
          <w:szCs w:val="24"/>
          <w:lang w:val="en-US"/>
        </w:rPr>
      </w:pPr>
    </w:p>
    <w:p w14:paraId="69EDC615" w14:textId="6679975F" w:rsidR="001A7720" w:rsidRDefault="001A7720" w:rsidP="00514936">
      <w:pPr>
        <w:spacing w:after="160" w:line="276" w:lineRule="auto"/>
        <w:contextualSpacing/>
        <w:jc w:val="both"/>
        <w:rPr>
          <w:rFonts w:ascii="Arial" w:hAnsi="Arial" w:cs="Arial"/>
          <w:sz w:val="24"/>
          <w:szCs w:val="24"/>
          <w:lang w:val="en-US"/>
        </w:rPr>
      </w:pPr>
    </w:p>
    <w:p w14:paraId="61B110BE" w14:textId="5738BC86" w:rsidR="001A7720" w:rsidRDefault="001A7720" w:rsidP="00514936">
      <w:pPr>
        <w:spacing w:after="160" w:line="276" w:lineRule="auto"/>
        <w:contextualSpacing/>
        <w:jc w:val="both"/>
        <w:rPr>
          <w:rFonts w:ascii="Arial" w:hAnsi="Arial" w:cs="Arial"/>
          <w:sz w:val="24"/>
          <w:szCs w:val="24"/>
          <w:lang w:val="en-US"/>
        </w:rPr>
      </w:pPr>
    </w:p>
    <w:p w14:paraId="36A54D67" w14:textId="77777777" w:rsidR="001A7720" w:rsidRPr="00E93CE5" w:rsidRDefault="001A7720" w:rsidP="00514936">
      <w:pPr>
        <w:spacing w:after="160" w:line="276" w:lineRule="auto"/>
        <w:contextualSpacing/>
        <w:jc w:val="both"/>
        <w:rPr>
          <w:rFonts w:ascii="Arial" w:hAnsi="Arial" w:cs="Arial"/>
          <w:sz w:val="24"/>
          <w:szCs w:val="24"/>
          <w:lang w:val="en-US"/>
        </w:rPr>
      </w:pPr>
    </w:p>
    <w:p w14:paraId="77E512F8" w14:textId="6AA85233" w:rsidR="0065226A" w:rsidRDefault="00BF3EC0" w:rsidP="00514936">
      <w:pPr>
        <w:spacing w:after="160" w:line="276" w:lineRule="auto"/>
        <w:contextualSpacing/>
        <w:jc w:val="both"/>
        <w:rPr>
          <w:rFonts w:asciiTheme="minorHAnsi" w:hAnsiTheme="minorHAnsi" w:cstheme="minorBidi"/>
          <w:lang w:val="en-US"/>
        </w:rPr>
      </w:pPr>
      <w:r>
        <w:rPr>
          <w:rFonts w:asciiTheme="minorHAnsi" w:hAnsiTheme="minorHAnsi" w:cstheme="minorBidi"/>
          <w:noProof/>
          <w:lang w:val="en-US"/>
        </w:rPr>
        <w:lastRenderedPageBreak/>
        <w:drawing>
          <wp:anchor distT="0" distB="0" distL="114300" distR="114300" simplePos="0" relativeHeight="254807038" behindDoc="1" locked="0" layoutInCell="1" allowOverlap="1" wp14:anchorId="0FFF8A9B" wp14:editId="6D002332">
            <wp:simplePos x="0" y="0"/>
            <wp:positionH relativeFrom="column">
              <wp:posOffset>-266700</wp:posOffset>
            </wp:positionH>
            <wp:positionV relativeFrom="paragraph">
              <wp:posOffset>115570</wp:posOffset>
            </wp:positionV>
            <wp:extent cx="6645910" cy="1371600"/>
            <wp:effectExtent l="0" t="0" r="0" b="0"/>
            <wp:wrapNone/>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Picture 267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664591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7BD04E" w14:textId="0CE2DCA3" w:rsidR="0065226A" w:rsidRDefault="0053337F" w:rsidP="00514936">
      <w:pPr>
        <w:spacing w:after="160" w:line="276" w:lineRule="auto"/>
        <w:contextualSpacing/>
        <w:jc w:val="both"/>
        <w:rPr>
          <w:rFonts w:asciiTheme="minorHAnsi" w:hAnsiTheme="minorHAnsi" w:cstheme="minorBidi"/>
          <w:lang w:val="en-US"/>
        </w:rPr>
      </w:pPr>
      <w:r>
        <w:rPr>
          <w:rFonts w:ascii="Arial" w:hAnsi="Arial" w:cs="Arial"/>
          <w:b/>
          <w:bCs/>
          <w:noProof/>
          <w:color w:val="ED5625"/>
          <w:lang w:val="en-US"/>
        </w:rPr>
        <mc:AlternateContent>
          <mc:Choice Requires="wps">
            <w:drawing>
              <wp:anchor distT="0" distB="0" distL="114300" distR="114300" simplePos="0" relativeHeight="251838464" behindDoc="0" locked="0" layoutInCell="1" allowOverlap="1" wp14:anchorId="38BD621C" wp14:editId="5F87EBD4">
                <wp:simplePos x="0" y="0"/>
                <wp:positionH relativeFrom="column">
                  <wp:posOffset>1219200</wp:posOffset>
                </wp:positionH>
                <wp:positionV relativeFrom="paragraph">
                  <wp:posOffset>121920</wp:posOffset>
                </wp:positionV>
                <wp:extent cx="4635500" cy="825500"/>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4635500" cy="825500"/>
                        </a:xfrm>
                        <a:prstGeom prst="rect">
                          <a:avLst/>
                        </a:prstGeom>
                        <a:noFill/>
                        <a:ln w="6350">
                          <a:noFill/>
                        </a:ln>
                      </wps:spPr>
                      <wps:txbx>
                        <w:txbxContent>
                          <w:p w14:paraId="299026B2" w14:textId="15FF1C8F" w:rsidR="00D15FD8" w:rsidRPr="0053337F" w:rsidRDefault="00D15FD8" w:rsidP="004E50CA">
                            <w:pPr>
                              <w:pStyle w:val="Heading1"/>
                              <w:rPr>
                                <w:rFonts w:ascii="Arial" w:hAnsi="Arial" w:cs="Arial"/>
                                <w:b/>
                                <w:bCs/>
                                <w:color w:val="FFFFFF" w:themeColor="background1"/>
                                <w:sz w:val="38"/>
                                <w:szCs w:val="38"/>
                                <w:lang w:val="en-US"/>
                              </w:rPr>
                            </w:pPr>
                            <w:bookmarkStart w:id="435" w:name="_Fiscal_transparency_norms"/>
                            <w:bookmarkStart w:id="436" w:name="_Toc115729059"/>
                            <w:bookmarkStart w:id="437" w:name="_Toc115877706"/>
                            <w:bookmarkStart w:id="438" w:name="_Toc116056990"/>
                            <w:bookmarkStart w:id="439" w:name="_Toc123828104"/>
                            <w:bookmarkStart w:id="440" w:name="_Toc123828314"/>
                            <w:bookmarkStart w:id="441" w:name="_Toc123828510"/>
                            <w:bookmarkStart w:id="442" w:name="_Toc123912537"/>
                            <w:bookmarkStart w:id="443" w:name="_Toc123912796"/>
                            <w:bookmarkStart w:id="444" w:name="_Toc123913023"/>
                            <w:bookmarkStart w:id="445" w:name="_Toc123913970"/>
                            <w:bookmarkStart w:id="446" w:name="_Toc125566589"/>
                            <w:bookmarkEnd w:id="435"/>
                            <w:r w:rsidRPr="0053337F">
                              <w:rPr>
                                <w:rFonts w:ascii="Arial" w:hAnsi="Arial" w:cs="Arial"/>
                                <w:b/>
                                <w:bCs/>
                                <w:color w:val="FFFFFF" w:themeColor="background1"/>
                                <w:sz w:val="38"/>
                                <w:szCs w:val="38"/>
                                <w:lang w:val="en-US"/>
                              </w:rPr>
                              <w:t>Fiscal transparency norms and standards</w:t>
                            </w:r>
                            <w:bookmarkEnd w:id="436"/>
                            <w:bookmarkEnd w:id="437"/>
                            <w:bookmarkEnd w:id="438"/>
                            <w:bookmarkEnd w:id="439"/>
                            <w:bookmarkEnd w:id="440"/>
                            <w:bookmarkEnd w:id="441"/>
                            <w:bookmarkEnd w:id="442"/>
                            <w:bookmarkEnd w:id="443"/>
                            <w:bookmarkEnd w:id="444"/>
                            <w:bookmarkEnd w:id="445"/>
                            <w:bookmarkEnd w:id="44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D621C" id="Text Box 241" o:spid="_x0000_s1075" type="#_x0000_t202" style="position:absolute;left:0;text-align:left;margin-left:96pt;margin-top:9.6pt;width:365pt;height:6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" filled="f" stroked="f" strokeweight=".5pt">
                <v:textbox>
                  <w:txbxContent>
                    <w:p w14:paraId="299026B2" w14:textId="15FF1C8F" w:rsidR="00D15FD8" w:rsidRPr="0053337F" w:rsidRDefault="00D15FD8" w:rsidP="004E50CA">
                      <w:pPr>
                        <w:pStyle w:val="Heading1"/>
                        <w:rPr>
                          <w:rFonts w:ascii="Arial" w:hAnsi="Arial" w:cs="Arial"/>
                          <w:b/>
                          <w:bCs/>
                          <w:color w:val="FFFFFF" w:themeColor="background1"/>
                          <w:sz w:val="38"/>
                          <w:szCs w:val="38"/>
                          <w:lang w:val="en-US"/>
                        </w:rPr>
                      </w:pPr>
                      <w:bookmarkStart w:id="447" w:name="_Fiscal_transparency_norms"/>
                      <w:bookmarkStart w:id="448" w:name="_Toc115729059"/>
                      <w:bookmarkStart w:id="449" w:name="_Toc115877706"/>
                      <w:bookmarkStart w:id="450" w:name="_Toc116056990"/>
                      <w:bookmarkStart w:id="451" w:name="_Toc123828104"/>
                      <w:bookmarkStart w:id="452" w:name="_Toc123828314"/>
                      <w:bookmarkStart w:id="453" w:name="_Toc123828510"/>
                      <w:bookmarkStart w:id="454" w:name="_Toc123912537"/>
                      <w:bookmarkStart w:id="455" w:name="_Toc123912796"/>
                      <w:bookmarkStart w:id="456" w:name="_Toc123913023"/>
                      <w:bookmarkStart w:id="457" w:name="_Toc123913970"/>
                      <w:bookmarkStart w:id="458" w:name="_Toc125566589"/>
                      <w:bookmarkEnd w:id="447"/>
                      <w:r w:rsidRPr="0053337F">
                        <w:rPr>
                          <w:rFonts w:ascii="Arial" w:hAnsi="Arial" w:cs="Arial"/>
                          <w:b/>
                          <w:bCs/>
                          <w:color w:val="FFFFFF" w:themeColor="background1"/>
                          <w:sz w:val="38"/>
                          <w:szCs w:val="38"/>
                          <w:lang w:val="en-US"/>
                        </w:rPr>
                        <w:t>Fiscal transparency norms and standards</w:t>
                      </w:r>
                      <w:bookmarkEnd w:id="448"/>
                      <w:bookmarkEnd w:id="449"/>
                      <w:bookmarkEnd w:id="450"/>
                      <w:bookmarkEnd w:id="451"/>
                      <w:bookmarkEnd w:id="452"/>
                      <w:bookmarkEnd w:id="453"/>
                      <w:bookmarkEnd w:id="454"/>
                      <w:bookmarkEnd w:id="455"/>
                      <w:bookmarkEnd w:id="456"/>
                      <w:bookmarkEnd w:id="457"/>
                      <w:bookmarkEnd w:id="458"/>
                    </w:p>
                  </w:txbxContent>
                </v:textbox>
              </v:shape>
            </w:pict>
          </mc:Fallback>
        </mc:AlternateContent>
      </w:r>
    </w:p>
    <w:p w14:paraId="1D3D792C" w14:textId="4D107EF2" w:rsidR="0065226A" w:rsidRDefault="00BF3EC0" w:rsidP="00514936">
      <w:pPr>
        <w:spacing w:after="160" w:line="276" w:lineRule="auto"/>
        <w:contextualSpacing/>
        <w:jc w:val="both"/>
        <w:rPr>
          <w:rFonts w:asciiTheme="minorHAnsi" w:hAnsiTheme="minorHAnsi" w:cstheme="minorBidi"/>
          <w:lang w:val="en-US"/>
        </w:rPr>
      </w:pPr>
      <w:r>
        <w:rPr>
          <w:rFonts w:ascii="Arial" w:hAnsi="Arial" w:cs="Arial"/>
          <w:b/>
          <w:bCs/>
          <w:noProof/>
          <w:color w:val="ED5625"/>
          <w:lang w:val="en-US"/>
        </w:rPr>
        <mc:AlternateContent>
          <mc:Choice Requires="wps">
            <w:drawing>
              <wp:anchor distT="0" distB="0" distL="114300" distR="114300" simplePos="0" relativeHeight="251839488" behindDoc="0" locked="0" layoutInCell="1" allowOverlap="1" wp14:anchorId="74EA290F" wp14:editId="579EF44D">
                <wp:simplePos x="0" y="0"/>
                <wp:positionH relativeFrom="column">
                  <wp:posOffset>452755</wp:posOffset>
                </wp:positionH>
                <wp:positionV relativeFrom="paragraph">
                  <wp:posOffset>53340</wp:posOffset>
                </wp:positionV>
                <wp:extent cx="492125" cy="593725"/>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492125" cy="593725"/>
                        </a:xfrm>
                        <a:prstGeom prst="rect">
                          <a:avLst/>
                        </a:prstGeom>
                        <a:noFill/>
                        <a:ln w="6350">
                          <a:noFill/>
                        </a:ln>
                      </wps:spPr>
                      <wps:txbx>
                        <w:txbxContent>
                          <w:p w14:paraId="1A293197" w14:textId="5C6968D9" w:rsidR="00D15FD8" w:rsidRPr="003625BA" w:rsidRDefault="00D15FD8" w:rsidP="00362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EA290F" id="Text Box 242" o:spid="_x0000_s1076" type="#_x0000_t202" style="position:absolute;left:0;text-align:left;margin-left:35.65pt;margin-top:4.2pt;width:38.75pt;height:46.75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" filled="f" stroked="f" strokeweight=".5pt">
                <v:textbox>
                  <w:txbxContent>
                    <w:p w14:paraId="1A293197" w14:textId="5C6968D9" w:rsidR="00D15FD8" w:rsidRPr="003625BA" w:rsidRDefault="00D15FD8" w:rsidP="00362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v:textbox>
              </v:shape>
            </w:pict>
          </mc:Fallback>
        </mc:AlternateContent>
      </w:r>
    </w:p>
    <w:p w14:paraId="6E1AD22E" w14:textId="77777777" w:rsidR="0065226A" w:rsidRDefault="0065226A" w:rsidP="00514936">
      <w:pPr>
        <w:spacing w:after="160" w:line="276" w:lineRule="auto"/>
        <w:contextualSpacing/>
        <w:jc w:val="both"/>
        <w:rPr>
          <w:rFonts w:asciiTheme="minorHAnsi" w:hAnsiTheme="minorHAnsi" w:cstheme="minorBidi"/>
          <w:lang w:val="en-US"/>
        </w:rPr>
      </w:pPr>
    </w:p>
    <w:p w14:paraId="53B97469" w14:textId="77777777" w:rsidR="0065226A" w:rsidRDefault="0065226A" w:rsidP="00514936">
      <w:pPr>
        <w:spacing w:after="160" w:line="276" w:lineRule="auto"/>
        <w:contextualSpacing/>
        <w:jc w:val="both"/>
        <w:rPr>
          <w:rFonts w:asciiTheme="minorHAnsi" w:hAnsiTheme="minorHAnsi" w:cstheme="minorBidi"/>
          <w:lang w:val="en-US"/>
        </w:rPr>
      </w:pPr>
    </w:p>
    <w:p w14:paraId="687F4CDC" w14:textId="77777777" w:rsidR="0065226A" w:rsidRDefault="0065226A" w:rsidP="00514936">
      <w:pPr>
        <w:spacing w:after="160" w:line="276" w:lineRule="auto"/>
        <w:contextualSpacing/>
        <w:jc w:val="both"/>
        <w:rPr>
          <w:rFonts w:asciiTheme="minorHAnsi" w:hAnsiTheme="minorHAnsi" w:cstheme="minorBidi"/>
          <w:lang w:val="en-US"/>
        </w:rPr>
      </w:pPr>
    </w:p>
    <w:p w14:paraId="4B135F5F" w14:textId="77777777" w:rsidR="00BF3EC0" w:rsidRDefault="00BF3EC0" w:rsidP="00514936">
      <w:pPr>
        <w:spacing w:after="160" w:line="276" w:lineRule="auto"/>
        <w:contextualSpacing/>
        <w:jc w:val="both"/>
        <w:rPr>
          <w:rFonts w:asciiTheme="minorHAnsi" w:hAnsiTheme="minorHAnsi" w:cstheme="minorBidi"/>
          <w:lang w:val="en-US"/>
        </w:rPr>
      </w:pPr>
    </w:p>
    <w:p w14:paraId="344C66EF" w14:textId="77777777" w:rsidR="0065226A" w:rsidRDefault="0065226A" w:rsidP="000F5147">
      <w:pPr>
        <w:spacing w:after="160" w:line="259" w:lineRule="auto"/>
        <w:contextualSpacing/>
        <w:jc w:val="both"/>
        <w:rPr>
          <w:rFonts w:asciiTheme="minorHAnsi" w:hAnsiTheme="minorHAnsi" w:cstheme="minorBidi"/>
          <w:lang w:val="en-US"/>
        </w:rPr>
      </w:pPr>
    </w:p>
    <w:p w14:paraId="5963B7F4" w14:textId="5BDB8804" w:rsidR="00514936" w:rsidRDefault="00683160" w:rsidP="0029425D">
      <w:pPr>
        <w:spacing w:after="160" w:line="276" w:lineRule="auto"/>
        <w:contextualSpacing/>
        <w:jc w:val="both"/>
        <w:rPr>
          <w:rFonts w:ascii="Arial" w:hAnsi="Arial" w:cs="Arial"/>
          <w:sz w:val="24"/>
          <w:szCs w:val="24"/>
          <w:lang w:val="en-US"/>
        </w:rPr>
      </w:pPr>
      <w:r w:rsidRPr="0029425D">
        <w:rPr>
          <w:rFonts w:ascii="Arial" w:hAnsi="Arial" w:cs="Arial"/>
          <w:sz w:val="24"/>
          <w:szCs w:val="24"/>
          <w:lang w:val="en-US"/>
        </w:rPr>
        <w:t>T</w:t>
      </w:r>
      <w:r w:rsidR="000F5147" w:rsidRPr="0029425D">
        <w:rPr>
          <w:rFonts w:ascii="Arial" w:hAnsi="Arial" w:cs="Arial"/>
          <w:sz w:val="24"/>
          <w:szCs w:val="24"/>
          <w:lang w:val="en-US"/>
        </w:rPr>
        <w:t xml:space="preserve">he potential </w:t>
      </w:r>
      <w:r w:rsidR="00670711" w:rsidRPr="0029425D">
        <w:rPr>
          <w:rFonts w:ascii="Arial" w:hAnsi="Arial" w:cs="Arial"/>
          <w:sz w:val="24"/>
          <w:szCs w:val="24"/>
          <w:lang w:val="en-US"/>
        </w:rPr>
        <w:t xml:space="preserve">beneficial </w:t>
      </w:r>
      <w:r w:rsidR="000F5147" w:rsidRPr="0029425D">
        <w:rPr>
          <w:rFonts w:ascii="Arial" w:hAnsi="Arial" w:cs="Arial"/>
          <w:sz w:val="24"/>
          <w:szCs w:val="24"/>
          <w:lang w:val="en-US"/>
        </w:rPr>
        <w:t xml:space="preserve">impact of </w:t>
      </w:r>
      <w:r w:rsidRPr="0029425D">
        <w:rPr>
          <w:rFonts w:ascii="Arial" w:hAnsi="Arial" w:cs="Arial"/>
          <w:sz w:val="24"/>
          <w:szCs w:val="24"/>
          <w:lang w:val="en-US"/>
        </w:rPr>
        <w:t xml:space="preserve">fiscal </w:t>
      </w:r>
      <w:r w:rsidR="000F5147" w:rsidRPr="0029425D">
        <w:rPr>
          <w:rFonts w:ascii="Arial" w:hAnsi="Arial" w:cs="Arial"/>
          <w:sz w:val="24"/>
          <w:szCs w:val="24"/>
          <w:lang w:val="en-US"/>
        </w:rPr>
        <w:t xml:space="preserve">transparency in fiscal matters has over the years led to </w:t>
      </w:r>
      <w:r w:rsidRPr="0029425D">
        <w:rPr>
          <w:rFonts w:ascii="Arial" w:hAnsi="Arial" w:cs="Arial"/>
          <w:sz w:val="24"/>
          <w:szCs w:val="24"/>
          <w:lang w:val="en-US"/>
        </w:rPr>
        <w:t xml:space="preserve">the development of </w:t>
      </w:r>
      <w:r w:rsidR="000F5147" w:rsidRPr="0029425D">
        <w:rPr>
          <w:rFonts w:ascii="Arial" w:hAnsi="Arial" w:cs="Arial"/>
          <w:sz w:val="24"/>
          <w:szCs w:val="24"/>
          <w:lang w:val="en-US"/>
        </w:rPr>
        <w:t xml:space="preserve">a </w:t>
      </w:r>
      <w:r w:rsidR="00670711" w:rsidRPr="0029425D">
        <w:rPr>
          <w:rFonts w:ascii="Arial" w:hAnsi="Arial" w:cs="Arial"/>
          <w:sz w:val="24"/>
          <w:szCs w:val="24"/>
          <w:lang w:val="en-US"/>
        </w:rPr>
        <w:t>multiplicity</w:t>
      </w:r>
      <w:r w:rsidR="000F5147" w:rsidRPr="0029425D">
        <w:rPr>
          <w:rFonts w:ascii="Arial" w:hAnsi="Arial" w:cs="Arial"/>
          <w:sz w:val="24"/>
          <w:szCs w:val="24"/>
          <w:lang w:val="en-US"/>
        </w:rPr>
        <w:t xml:space="preserve"> of international </w:t>
      </w:r>
      <w:r w:rsidR="00F74D2D" w:rsidRPr="0029425D">
        <w:rPr>
          <w:rFonts w:ascii="Arial" w:hAnsi="Arial" w:cs="Arial"/>
          <w:sz w:val="24"/>
          <w:szCs w:val="24"/>
          <w:lang w:val="en-US"/>
        </w:rPr>
        <w:t xml:space="preserve">norms </w:t>
      </w:r>
      <w:r w:rsidR="000F5147" w:rsidRPr="0029425D">
        <w:rPr>
          <w:rFonts w:ascii="Arial" w:hAnsi="Arial" w:cs="Arial"/>
          <w:sz w:val="24"/>
          <w:szCs w:val="24"/>
          <w:lang w:val="en-US"/>
        </w:rPr>
        <w:t xml:space="preserve">and </w:t>
      </w:r>
      <w:r w:rsidR="00F74D2D" w:rsidRPr="0029425D">
        <w:rPr>
          <w:rFonts w:ascii="Arial" w:hAnsi="Arial" w:cs="Arial"/>
          <w:sz w:val="24"/>
          <w:szCs w:val="24"/>
          <w:lang w:val="en-US"/>
        </w:rPr>
        <w:t xml:space="preserve">standards </w:t>
      </w:r>
      <w:r w:rsidR="001C2584" w:rsidRPr="0029425D">
        <w:rPr>
          <w:rFonts w:ascii="Arial" w:hAnsi="Arial" w:cs="Arial"/>
          <w:sz w:val="24"/>
          <w:szCs w:val="24"/>
          <w:lang w:val="en-US"/>
        </w:rPr>
        <w:t xml:space="preserve">on </w:t>
      </w:r>
      <w:r w:rsidRPr="0029425D">
        <w:rPr>
          <w:rFonts w:ascii="Arial" w:hAnsi="Arial" w:cs="Arial"/>
          <w:sz w:val="24"/>
          <w:szCs w:val="24"/>
          <w:lang w:val="en-US"/>
        </w:rPr>
        <w:t>the matter</w:t>
      </w:r>
      <w:r w:rsidR="000F5147" w:rsidRPr="0029425D">
        <w:rPr>
          <w:rFonts w:ascii="Arial" w:hAnsi="Arial" w:cs="Arial"/>
          <w:sz w:val="24"/>
          <w:szCs w:val="24"/>
          <w:lang w:val="en-US"/>
        </w:rPr>
        <w:t>.</w:t>
      </w:r>
      <w:r w:rsidR="00670711" w:rsidRPr="0029425D">
        <w:rPr>
          <w:rFonts w:ascii="Arial" w:hAnsi="Arial" w:cs="Arial"/>
          <w:sz w:val="24"/>
          <w:szCs w:val="24"/>
          <w:lang w:val="en-US"/>
        </w:rPr>
        <w:t xml:space="preserve"> </w:t>
      </w:r>
      <w:r w:rsidRPr="0029425D">
        <w:rPr>
          <w:rFonts w:ascii="Arial" w:hAnsi="Arial" w:cs="Arial"/>
          <w:sz w:val="24"/>
          <w:szCs w:val="24"/>
          <w:lang w:val="en-US"/>
        </w:rPr>
        <w:t>N</w:t>
      </w:r>
      <w:r w:rsidR="00F74D2D" w:rsidRPr="0029425D">
        <w:rPr>
          <w:rFonts w:ascii="Arial" w:hAnsi="Arial" w:cs="Arial"/>
          <w:sz w:val="24"/>
          <w:szCs w:val="24"/>
          <w:lang w:val="en-US"/>
        </w:rPr>
        <w:t xml:space="preserve">orms and standards on fiscal transparency have often </w:t>
      </w:r>
      <w:r w:rsidRPr="0029425D">
        <w:rPr>
          <w:rFonts w:ascii="Arial" w:hAnsi="Arial" w:cs="Arial"/>
          <w:sz w:val="24"/>
          <w:szCs w:val="24"/>
          <w:lang w:val="en-US"/>
        </w:rPr>
        <w:t xml:space="preserve">also </w:t>
      </w:r>
      <w:r w:rsidR="00F74D2D" w:rsidRPr="0029425D">
        <w:rPr>
          <w:rFonts w:ascii="Arial" w:hAnsi="Arial" w:cs="Arial"/>
          <w:sz w:val="24"/>
          <w:szCs w:val="24"/>
          <w:lang w:val="en-US"/>
        </w:rPr>
        <w:t xml:space="preserve">been incorporated into standard-setting exercises that </w:t>
      </w:r>
      <w:r w:rsidR="00D00C6E" w:rsidRPr="0029425D">
        <w:rPr>
          <w:rFonts w:ascii="Arial" w:hAnsi="Arial" w:cs="Arial"/>
          <w:sz w:val="24"/>
          <w:szCs w:val="24"/>
          <w:lang w:val="en-US"/>
        </w:rPr>
        <w:t>go beyond</w:t>
      </w:r>
      <w:r w:rsidR="00F74D2D" w:rsidRPr="0029425D">
        <w:rPr>
          <w:rFonts w:ascii="Arial" w:hAnsi="Arial" w:cs="Arial"/>
          <w:sz w:val="24"/>
          <w:szCs w:val="24"/>
          <w:lang w:val="en-US"/>
        </w:rPr>
        <w:t xml:space="preserve"> fiscal transparency.</w:t>
      </w:r>
    </w:p>
    <w:p w14:paraId="790FCBAF" w14:textId="77777777" w:rsidR="00D45339" w:rsidRPr="00D45339" w:rsidRDefault="00D45339" w:rsidP="00D45339">
      <w:pPr>
        <w:pStyle w:val="ListParagraph"/>
        <w:keepNext/>
        <w:keepLines/>
        <w:numPr>
          <w:ilvl w:val="0"/>
          <w:numId w:val="15"/>
        </w:numPr>
        <w:spacing w:before="40"/>
        <w:outlineLvl w:val="1"/>
        <w:rPr>
          <w:rFonts w:ascii="Arial" w:eastAsiaTheme="majorEastAsia" w:hAnsi="Arial" w:cs="Arial"/>
          <w:b/>
          <w:bCs/>
          <w:vanish/>
          <w:color w:val="16988A"/>
          <w:sz w:val="36"/>
          <w:szCs w:val="36"/>
        </w:rPr>
      </w:pPr>
      <w:bookmarkStart w:id="459" w:name="_Toc123204414"/>
      <w:bookmarkStart w:id="460" w:name="_Toc123215326"/>
      <w:bookmarkStart w:id="461" w:name="_Toc123216503"/>
      <w:bookmarkStart w:id="462" w:name="_Toc123217343"/>
      <w:bookmarkStart w:id="463" w:name="_Toc123913315"/>
      <w:bookmarkStart w:id="464" w:name="_Toc123913971"/>
      <w:bookmarkStart w:id="465" w:name="_Toc125495799"/>
      <w:bookmarkStart w:id="466" w:name="_Toc125566590"/>
      <w:bookmarkStart w:id="467" w:name="_Toc115369985"/>
      <w:bookmarkStart w:id="468" w:name="_Toc115729060"/>
      <w:bookmarkStart w:id="469" w:name="_Toc115877707"/>
      <w:bookmarkStart w:id="470" w:name="_Toc116056991"/>
      <w:bookmarkStart w:id="471" w:name="_Toc119794432"/>
      <w:bookmarkEnd w:id="459"/>
      <w:bookmarkEnd w:id="460"/>
      <w:bookmarkEnd w:id="461"/>
      <w:bookmarkEnd w:id="462"/>
      <w:bookmarkEnd w:id="463"/>
      <w:bookmarkEnd w:id="464"/>
      <w:bookmarkEnd w:id="465"/>
      <w:bookmarkEnd w:id="466"/>
    </w:p>
    <w:p w14:paraId="736E1B55" w14:textId="77777777" w:rsidR="00D45339" w:rsidRPr="00D45339" w:rsidRDefault="00D45339" w:rsidP="00D45339">
      <w:pPr>
        <w:pStyle w:val="ListParagraph"/>
        <w:keepNext/>
        <w:keepLines/>
        <w:numPr>
          <w:ilvl w:val="0"/>
          <w:numId w:val="15"/>
        </w:numPr>
        <w:spacing w:before="40"/>
        <w:outlineLvl w:val="1"/>
        <w:rPr>
          <w:rFonts w:ascii="Arial" w:eastAsiaTheme="majorEastAsia" w:hAnsi="Arial" w:cs="Arial"/>
          <w:b/>
          <w:bCs/>
          <w:vanish/>
          <w:color w:val="16988A"/>
          <w:sz w:val="36"/>
          <w:szCs w:val="36"/>
        </w:rPr>
      </w:pPr>
      <w:bookmarkStart w:id="472" w:name="_Toc123204415"/>
      <w:bookmarkStart w:id="473" w:name="_Toc123215327"/>
      <w:bookmarkStart w:id="474" w:name="_Toc123216504"/>
      <w:bookmarkStart w:id="475" w:name="_Toc123217344"/>
      <w:bookmarkStart w:id="476" w:name="_Toc123913316"/>
      <w:bookmarkStart w:id="477" w:name="_Toc123913972"/>
      <w:bookmarkStart w:id="478" w:name="_Toc125495800"/>
      <w:bookmarkStart w:id="479" w:name="_Toc125566591"/>
      <w:bookmarkEnd w:id="472"/>
      <w:bookmarkEnd w:id="473"/>
      <w:bookmarkEnd w:id="474"/>
      <w:bookmarkEnd w:id="475"/>
      <w:bookmarkEnd w:id="476"/>
      <w:bookmarkEnd w:id="477"/>
      <w:bookmarkEnd w:id="478"/>
      <w:bookmarkEnd w:id="479"/>
    </w:p>
    <w:p w14:paraId="63BD53C0" w14:textId="66115BF6" w:rsidR="004C1BD7" w:rsidRDefault="0029425D">
      <w:pPr>
        <w:pStyle w:val="Heading2"/>
        <w:numPr>
          <w:ilvl w:val="1"/>
          <w:numId w:val="15"/>
        </w:numPr>
        <w:rPr>
          <w:rFonts w:ascii="Arial" w:hAnsi="Arial" w:cs="Arial"/>
          <w:b/>
          <w:bCs/>
          <w:color w:val="16988A"/>
          <w:sz w:val="36"/>
          <w:szCs w:val="36"/>
        </w:rPr>
      </w:pPr>
      <w:bookmarkStart w:id="480" w:name="_Toc123204416"/>
      <w:bookmarkStart w:id="481" w:name="_Toc123216505"/>
      <w:bookmarkStart w:id="482" w:name="_Toc123217345"/>
      <w:bookmarkStart w:id="483" w:name="_Toc123913317"/>
      <w:bookmarkStart w:id="484" w:name="_Toc123913973"/>
      <w:bookmarkStart w:id="485" w:name="_Toc125495801"/>
      <w:bookmarkStart w:id="486" w:name="_Toc125566592"/>
      <w:r w:rsidRPr="0029425D">
        <w:rPr>
          <w:rFonts w:ascii="Arial" w:hAnsi="Arial" w:cs="Arial"/>
          <w:b/>
          <w:bCs/>
          <w:color w:val="16988A"/>
          <w:sz w:val="36"/>
          <w:szCs w:val="36"/>
        </w:rPr>
        <w:t xml:space="preserve">Standard </w:t>
      </w:r>
      <w:r w:rsidR="000F4F83">
        <w:rPr>
          <w:rFonts w:ascii="Arial" w:hAnsi="Arial" w:cs="Arial"/>
          <w:b/>
          <w:bCs/>
          <w:color w:val="16988A"/>
          <w:sz w:val="36"/>
          <w:szCs w:val="36"/>
        </w:rPr>
        <w:t>b</w:t>
      </w:r>
      <w:r w:rsidRPr="0029425D">
        <w:rPr>
          <w:rFonts w:ascii="Arial" w:hAnsi="Arial" w:cs="Arial"/>
          <w:b/>
          <w:bCs/>
          <w:color w:val="16988A"/>
          <w:sz w:val="36"/>
          <w:szCs w:val="36"/>
        </w:rPr>
        <w:t xml:space="preserve">earers </w:t>
      </w:r>
      <w:r>
        <w:rPr>
          <w:rFonts w:ascii="Arial" w:hAnsi="Arial" w:cs="Arial"/>
          <w:b/>
          <w:bCs/>
          <w:color w:val="16988A"/>
          <w:sz w:val="36"/>
          <w:szCs w:val="36"/>
        </w:rPr>
        <w:t>f</w:t>
      </w:r>
      <w:r w:rsidRPr="0029425D">
        <w:rPr>
          <w:rFonts w:ascii="Arial" w:hAnsi="Arial" w:cs="Arial"/>
          <w:b/>
          <w:bCs/>
          <w:color w:val="16988A"/>
          <w:sz w:val="36"/>
          <w:szCs w:val="36"/>
        </w:rPr>
        <w:t xml:space="preserve">or </w:t>
      </w:r>
      <w:r w:rsidR="000F4F83">
        <w:rPr>
          <w:rFonts w:ascii="Arial" w:hAnsi="Arial" w:cs="Arial"/>
          <w:b/>
          <w:bCs/>
          <w:color w:val="16988A"/>
          <w:sz w:val="36"/>
          <w:szCs w:val="36"/>
        </w:rPr>
        <w:t>n</w:t>
      </w:r>
      <w:r w:rsidRPr="0029425D">
        <w:rPr>
          <w:rFonts w:ascii="Arial" w:hAnsi="Arial" w:cs="Arial"/>
          <w:b/>
          <w:bCs/>
          <w:color w:val="16988A"/>
          <w:sz w:val="36"/>
          <w:szCs w:val="36"/>
        </w:rPr>
        <w:t xml:space="preserve">orms </w:t>
      </w:r>
      <w:r>
        <w:rPr>
          <w:rFonts w:ascii="Arial" w:hAnsi="Arial" w:cs="Arial"/>
          <w:b/>
          <w:bCs/>
          <w:color w:val="16988A"/>
          <w:sz w:val="36"/>
          <w:szCs w:val="36"/>
        </w:rPr>
        <w:t>a</w:t>
      </w:r>
      <w:r w:rsidRPr="0029425D">
        <w:rPr>
          <w:rFonts w:ascii="Arial" w:hAnsi="Arial" w:cs="Arial"/>
          <w:b/>
          <w:bCs/>
          <w:color w:val="16988A"/>
          <w:sz w:val="36"/>
          <w:szCs w:val="36"/>
        </w:rPr>
        <w:t xml:space="preserve">nd </w:t>
      </w:r>
      <w:r w:rsidR="000F4F83">
        <w:rPr>
          <w:rFonts w:ascii="Arial" w:hAnsi="Arial" w:cs="Arial"/>
          <w:b/>
          <w:bCs/>
          <w:color w:val="16988A"/>
          <w:sz w:val="36"/>
          <w:szCs w:val="36"/>
        </w:rPr>
        <w:t>s</w:t>
      </w:r>
      <w:r w:rsidRPr="0029425D">
        <w:rPr>
          <w:rFonts w:ascii="Arial" w:hAnsi="Arial" w:cs="Arial"/>
          <w:b/>
          <w:bCs/>
          <w:color w:val="16988A"/>
          <w:sz w:val="36"/>
          <w:szCs w:val="36"/>
        </w:rPr>
        <w:t>tandards</w:t>
      </w:r>
      <w:bookmarkEnd w:id="467"/>
      <w:bookmarkEnd w:id="468"/>
      <w:bookmarkEnd w:id="469"/>
      <w:bookmarkEnd w:id="470"/>
      <w:bookmarkEnd w:id="471"/>
      <w:bookmarkEnd w:id="480"/>
      <w:bookmarkEnd w:id="481"/>
      <w:bookmarkEnd w:id="482"/>
      <w:bookmarkEnd w:id="483"/>
      <w:bookmarkEnd w:id="484"/>
      <w:bookmarkEnd w:id="485"/>
      <w:bookmarkEnd w:id="486"/>
    </w:p>
    <w:p w14:paraId="372DEABD" w14:textId="77777777" w:rsidR="0029425D" w:rsidRPr="0029425D" w:rsidRDefault="0029425D" w:rsidP="0029425D"/>
    <w:p w14:paraId="10E1918A" w14:textId="38704040" w:rsidR="0046236C" w:rsidRPr="0029425D" w:rsidRDefault="004C1BD7" w:rsidP="0029425D">
      <w:pPr>
        <w:spacing w:after="160" w:line="276" w:lineRule="auto"/>
        <w:contextualSpacing/>
        <w:jc w:val="both"/>
        <w:rPr>
          <w:rFonts w:ascii="Arial" w:hAnsi="Arial" w:cs="Arial"/>
          <w:sz w:val="24"/>
          <w:szCs w:val="24"/>
          <w:lang w:val="en-US"/>
        </w:rPr>
      </w:pPr>
      <w:r w:rsidRPr="0029425D">
        <w:rPr>
          <w:rFonts w:ascii="Arial" w:hAnsi="Arial" w:cs="Arial"/>
          <w:sz w:val="24"/>
          <w:szCs w:val="24"/>
          <w:lang w:val="en-US"/>
        </w:rPr>
        <w:t>N</w:t>
      </w:r>
      <w:r w:rsidR="007B7B48" w:rsidRPr="0029425D">
        <w:rPr>
          <w:rFonts w:ascii="Arial" w:hAnsi="Arial" w:cs="Arial"/>
          <w:sz w:val="24"/>
          <w:szCs w:val="24"/>
          <w:lang w:val="en-US"/>
        </w:rPr>
        <w:t xml:space="preserve">orms and standards </w:t>
      </w:r>
      <w:r w:rsidRPr="0029425D">
        <w:rPr>
          <w:rFonts w:ascii="Arial" w:hAnsi="Arial" w:cs="Arial"/>
          <w:sz w:val="24"/>
          <w:szCs w:val="24"/>
          <w:lang w:val="en-US"/>
        </w:rPr>
        <w:t xml:space="preserve">provide assistance </w:t>
      </w:r>
      <w:r w:rsidRPr="0029425D">
        <w:rPr>
          <w:rFonts w:ascii="Arial" w:hAnsi="Arial" w:cs="Arial"/>
          <w:sz w:val="24"/>
          <w:szCs w:val="24"/>
          <w:lang w:val="en-ZA"/>
        </w:rPr>
        <w:t xml:space="preserve">to various </w:t>
      </w:r>
      <w:r w:rsidR="000E77BE" w:rsidRPr="0029425D">
        <w:rPr>
          <w:rFonts w:ascii="Arial" w:hAnsi="Arial" w:cs="Arial"/>
          <w:sz w:val="24"/>
          <w:szCs w:val="24"/>
          <w:lang w:val="en-ZA"/>
        </w:rPr>
        <w:t>actors</w:t>
      </w:r>
      <w:r w:rsidRPr="0029425D">
        <w:rPr>
          <w:rFonts w:ascii="Arial" w:hAnsi="Arial" w:cs="Arial"/>
          <w:sz w:val="24"/>
          <w:szCs w:val="24"/>
          <w:lang w:val="en-ZA"/>
        </w:rPr>
        <w:t xml:space="preserve"> in the form of detailed and specific guidelines for practices that are subscribed to by institutions with recognized authority</w:t>
      </w:r>
      <w:r w:rsidR="007B7B48" w:rsidRPr="0029425D">
        <w:rPr>
          <w:rFonts w:ascii="Arial" w:hAnsi="Arial" w:cs="Arial"/>
          <w:sz w:val="24"/>
          <w:szCs w:val="24"/>
          <w:lang w:val="en-US"/>
        </w:rPr>
        <w:t xml:space="preserve">. With respect to fiscal transparency, international standard setters include the </w:t>
      </w:r>
      <w:hyperlink r:id="rId60" w:history="1">
        <w:r w:rsidR="003605E6" w:rsidRPr="0029425D">
          <w:rPr>
            <w:rStyle w:val="Hyperlink"/>
            <w:rFonts w:ascii="Arial" w:hAnsi="Arial" w:cs="Arial"/>
            <w:sz w:val="24"/>
            <w:szCs w:val="24"/>
            <w:lang w:val="en-ZA"/>
          </w:rPr>
          <w:t>Global Initiative for Fiscal Transparency</w:t>
        </w:r>
      </w:hyperlink>
      <w:r w:rsidR="003605E6" w:rsidRPr="0029425D">
        <w:rPr>
          <w:rFonts w:ascii="Arial" w:hAnsi="Arial" w:cs="Arial"/>
          <w:sz w:val="24"/>
          <w:szCs w:val="24"/>
        </w:rPr>
        <w:t xml:space="preserve"> (GIFT)</w:t>
      </w:r>
      <w:r w:rsidR="00E902E8" w:rsidRPr="0029425D">
        <w:rPr>
          <w:rFonts w:ascii="Arial" w:hAnsi="Arial" w:cs="Arial"/>
          <w:sz w:val="24"/>
          <w:szCs w:val="24"/>
        </w:rPr>
        <w:t>;</w:t>
      </w:r>
      <w:r w:rsidR="0046236C" w:rsidRPr="0029425D">
        <w:rPr>
          <w:rFonts w:ascii="Arial" w:hAnsi="Arial" w:cs="Arial"/>
          <w:sz w:val="24"/>
          <w:szCs w:val="24"/>
        </w:rPr>
        <w:t xml:space="preserve"> the</w:t>
      </w:r>
      <w:r w:rsidR="003605E6" w:rsidRPr="0029425D">
        <w:rPr>
          <w:rFonts w:ascii="Arial" w:hAnsi="Arial" w:cs="Arial"/>
          <w:sz w:val="24"/>
          <w:szCs w:val="24"/>
        </w:rPr>
        <w:t xml:space="preserve"> </w:t>
      </w:r>
      <w:hyperlink r:id="rId61" w:history="1">
        <w:r w:rsidR="007B7B48" w:rsidRPr="0029425D">
          <w:rPr>
            <w:rStyle w:val="Hyperlink"/>
            <w:rFonts w:ascii="Arial" w:hAnsi="Arial" w:cs="Arial"/>
            <w:sz w:val="24"/>
            <w:szCs w:val="24"/>
            <w:lang w:val="en-US"/>
          </w:rPr>
          <w:t>International Monetary Fund</w:t>
        </w:r>
      </w:hyperlink>
      <w:r w:rsidR="007B7B48" w:rsidRPr="0029425D">
        <w:rPr>
          <w:rFonts w:ascii="Arial" w:hAnsi="Arial" w:cs="Arial"/>
          <w:sz w:val="24"/>
          <w:szCs w:val="24"/>
          <w:lang w:val="en-US"/>
        </w:rPr>
        <w:t xml:space="preserve"> (IMF)</w:t>
      </w:r>
      <w:r w:rsidR="00E902E8" w:rsidRPr="0029425D">
        <w:rPr>
          <w:rFonts w:ascii="Arial" w:hAnsi="Arial" w:cs="Arial"/>
          <w:sz w:val="24"/>
          <w:szCs w:val="24"/>
          <w:lang w:val="en-US"/>
        </w:rPr>
        <w:t>;</w:t>
      </w:r>
      <w:r w:rsidR="007B7B48" w:rsidRPr="0029425D">
        <w:rPr>
          <w:rFonts w:ascii="Arial" w:hAnsi="Arial" w:cs="Arial"/>
          <w:sz w:val="24"/>
          <w:szCs w:val="24"/>
          <w:lang w:val="en-US"/>
        </w:rPr>
        <w:t xml:space="preserve"> the </w:t>
      </w:r>
      <w:hyperlink r:id="rId62" w:history="1">
        <w:r w:rsidR="003605E6" w:rsidRPr="0029425D">
          <w:rPr>
            <w:rStyle w:val="Hyperlink"/>
            <w:rFonts w:ascii="Arial" w:hAnsi="Arial" w:cs="Arial"/>
            <w:sz w:val="24"/>
            <w:szCs w:val="24"/>
            <w:lang w:val="en-US"/>
          </w:rPr>
          <w:t>Organization for Economic Co-operation and Development</w:t>
        </w:r>
      </w:hyperlink>
      <w:r w:rsidR="003605E6" w:rsidRPr="0029425D">
        <w:rPr>
          <w:rFonts w:ascii="Arial" w:hAnsi="Arial" w:cs="Arial"/>
          <w:sz w:val="24"/>
          <w:szCs w:val="24"/>
          <w:lang w:val="en-US"/>
        </w:rPr>
        <w:t xml:space="preserve"> (OECD)</w:t>
      </w:r>
      <w:r w:rsidR="00E902E8" w:rsidRPr="0029425D">
        <w:rPr>
          <w:rFonts w:ascii="Arial" w:hAnsi="Arial" w:cs="Arial"/>
          <w:sz w:val="24"/>
          <w:szCs w:val="24"/>
          <w:lang w:val="en-US"/>
        </w:rPr>
        <w:t>;</w:t>
      </w:r>
      <w:r w:rsidR="0046236C" w:rsidRPr="0029425D">
        <w:rPr>
          <w:rFonts w:ascii="Arial" w:hAnsi="Arial" w:cs="Arial"/>
          <w:sz w:val="24"/>
          <w:szCs w:val="24"/>
          <w:lang w:val="en-US"/>
        </w:rPr>
        <w:t xml:space="preserve"> the </w:t>
      </w:r>
      <w:hyperlink r:id="rId63" w:history="1">
        <w:r w:rsidR="0046236C" w:rsidRPr="0029425D">
          <w:rPr>
            <w:rStyle w:val="Hyperlink"/>
            <w:rFonts w:ascii="Arial" w:hAnsi="Arial" w:cs="Arial"/>
            <w:sz w:val="24"/>
            <w:szCs w:val="24"/>
            <w:lang w:val="en-ZA"/>
          </w:rPr>
          <w:t>Public Expenditure and Financial Accountability</w:t>
        </w:r>
      </w:hyperlink>
      <w:r w:rsidR="0046236C" w:rsidRPr="0029425D">
        <w:rPr>
          <w:rFonts w:ascii="Arial" w:hAnsi="Arial" w:cs="Arial"/>
          <w:sz w:val="24"/>
          <w:szCs w:val="24"/>
          <w:lang w:val="en-ZA"/>
        </w:rPr>
        <w:t xml:space="preserve"> (PEFA) program</w:t>
      </w:r>
      <w:r w:rsidR="00E902E8" w:rsidRPr="0029425D">
        <w:rPr>
          <w:rFonts w:ascii="Arial" w:hAnsi="Arial" w:cs="Arial"/>
          <w:sz w:val="24"/>
          <w:szCs w:val="24"/>
          <w:lang w:val="en-ZA"/>
        </w:rPr>
        <w:t>;</w:t>
      </w:r>
      <w:r w:rsidR="0046236C" w:rsidRPr="0029425D">
        <w:rPr>
          <w:rFonts w:ascii="Arial" w:hAnsi="Arial" w:cs="Arial"/>
          <w:sz w:val="24"/>
          <w:szCs w:val="24"/>
          <w:lang w:val="en-US"/>
        </w:rPr>
        <w:t xml:space="preserve"> the </w:t>
      </w:r>
      <w:hyperlink r:id="rId64" w:history="1">
        <w:r w:rsidR="007B7B48" w:rsidRPr="0029425D">
          <w:rPr>
            <w:rStyle w:val="Hyperlink"/>
            <w:rFonts w:ascii="Arial" w:hAnsi="Arial" w:cs="Arial"/>
            <w:sz w:val="24"/>
            <w:szCs w:val="24"/>
            <w:lang w:val="en-US"/>
          </w:rPr>
          <w:t>International Public Sector Accounting Standards Board</w:t>
        </w:r>
      </w:hyperlink>
      <w:r w:rsidR="007B7B48" w:rsidRPr="0029425D">
        <w:rPr>
          <w:rFonts w:ascii="Arial" w:hAnsi="Arial" w:cs="Arial"/>
          <w:sz w:val="24"/>
          <w:szCs w:val="24"/>
          <w:lang w:val="en-US"/>
        </w:rPr>
        <w:t xml:space="preserve"> (IPSAS)</w:t>
      </w:r>
      <w:r w:rsidR="00E902E8" w:rsidRPr="0029425D">
        <w:rPr>
          <w:rFonts w:ascii="Arial" w:hAnsi="Arial" w:cs="Arial"/>
          <w:sz w:val="24"/>
          <w:szCs w:val="24"/>
          <w:lang w:val="en-US"/>
        </w:rPr>
        <w:t>;</w:t>
      </w:r>
      <w:r w:rsidR="007B7B48" w:rsidRPr="0029425D">
        <w:rPr>
          <w:rFonts w:ascii="Arial" w:hAnsi="Arial" w:cs="Arial"/>
          <w:sz w:val="24"/>
          <w:szCs w:val="24"/>
          <w:lang w:val="en-US"/>
        </w:rPr>
        <w:t xml:space="preserve"> </w:t>
      </w:r>
      <w:r w:rsidR="0046236C" w:rsidRPr="0029425D">
        <w:rPr>
          <w:rFonts w:ascii="Arial" w:hAnsi="Arial" w:cs="Arial"/>
          <w:sz w:val="24"/>
          <w:szCs w:val="24"/>
          <w:lang w:val="en-US"/>
        </w:rPr>
        <w:t xml:space="preserve">and the </w:t>
      </w:r>
      <w:hyperlink r:id="rId65" w:history="1">
        <w:r w:rsidR="007B7B48" w:rsidRPr="0029425D">
          <w:rPr>
            <w:rStyle w:val="Hyperlink"/>
            <w:rFonts w:ascii="Arial" w:hAnsi="Arial" w:cs="Arial"/>
            <w:sz w:val="24"/>
            <w:szCs w:val="24"/>
          </w:rPr>
          <w:t>International Organization of Supreme Audit Institutions</w:t>
        </w:r>
      </w:hyperlink>
      <w:r w:rsidR="007B7B48" w:rsidRPr="0029425D">
        <w:rPr>
          <w:rFonts w:ascii="Arial" w:hAnsi="Arial" w:cs="Arial"/>
          <w:sz w:val="24"/>
          <w:szCs w:val="24"/>
          <w:lang w:val="en-US"/>
        </w:rPr>
        <w:t xml:space="preserve"> (INTOSAI)</w:t>
      </w:r>
      <w:r w:rsidR="0046236C" w:rsidRPr="0029425D">
        <w:rPr>
          <w:rFonts w:ascii="Arial" w:hAnsi="Arial" w:cs="Arial"/>
          <w:sz w:val="24"/>
          <w:szCs w:val="24"/>
          <w:lang w:val="en-US"/>
        </w:rPr>
        <w:t>.</w:t>
      </w:r>
      <w:r w:rsidR="0046236C" w:rsidRPr="0029425D">
        <w:rPr>
          <w:rFonts w:ascii="Arial" w:eastAsia="DengXian" w:hAnsi="Arial" w:cs="Arial"/>
          <w:sz w:val="24"/>
          <w:szCs w:val="24"/>
          <w:lang w:val="en-ZA" w:eastAsia="zh-CN"/>
        </w:rPr>
        <w:t xml:space="preserve"> </w:t>
      </w:r>
      <w:r w:rsidR="0046236C" w:rsidRPr="0029425D">
        <w:rPr>
          <w:rFonts w:ascii="Arial" w:hAnsi="Arial" w:cs="Arial"/>
          <w:sz w:val="24"/>
          <w:szCs w:val="24"/>
          <w:lang w:val="en-ZA"/>
        </w:rPr>
        <w:t xml:space="preserve">International civil society organizations have also developed </w:t>
      </w:r>
      <w:r w:rsidR="000E77BE" w:rsidRPr="0029425D">
        <w:rPr>
          <w:rFonts w:ascii="Arial" w:hAnsi="Arial" w:cs="Arial"/>
          <w:sz w:val="24"/>
          <w:szCs w:val="24"/>
          <w:lang w:val="en-ZA"/>
        </w:rPr>
        <w:t xml:space="preserve">fiscal transparency </w:t>
      </w:r>
      <w:r w:rsidR="0046236C" w:rsidRPr="0029425D">
        <w:rPr>
          <w:rFonts w:ascii="Arial" w:hAnsi="Arial" w:cs="Arial"/>
          <w:sz w:val="24"/>
          <w:szCs w:val="24"/>
          <w:lang w:val="en-ZA"/>
        </w:rPr>
        <w:t xml:space="preserve">measurements that have become standards, including </w:t>
      </w:r>
      <w:hyperlink r:id="rId66" w:history="1">
        <w:r w:rsidR="0046236C" w:rsidRPr="0029425D">
          <w:rPr>
            <w:rStyle w:val="Hyperlink"/>
            <w:rFonts w:ascii="Arial" w:hAnsi="Arial" w:cs="Arial"/>
            <w:sz w:val="24"/>
            <w:szCs w:val="24"/>
            <w:lang w:val="en-ZA"/>
          </w:rPr>
          <w:t>Transparency International</w:t>
        </w:r>
      </w:hyperlink>
      <w:r w:rsidR="0046236C" w:rsidRPr="0029425D">
        <w:rPr>
          <w:rFonts w:ascii="Arial" w:hAnsi="Arial" w:cs="Arial"/>
          <w:sz w:val="24"/>
          <w:szCs w:val="24"/>
          <w:lang w:val="en-ZA"/>
        </w:rPr>
        <w:t xml:space="preserve"> and the </w:t>
      </w:r>
      <w:hyperlink r:id="rId67" w:history="1">
        <w:r w:rsidR="0046236C" w:rsidRPr="0029425D">
          <w:rPr>
            <w:rStyle w:val="Hyperlink"/>
            <w:rFonts w:ascii="Arial" w:hAnsi="Arial" w:cs="Arial"/>
            <w:sz w:val="24"/>
            <w:szCs w:val="24"/>
            <w:lang w:val="en-ZA"/>
          </w:rPr>
          <w:t>International Budget Partnership</w:t>
        </w:r>
      </w:hyperlink>
      <w:r w:rsidR="0046236C" w:rsidRPr="0029425D">
        <w:rPr>
          <w:rFonts w:ascii="Arial" w:hAnsi="Arial" w:cs="Arial"/>
          <w:sz w:val="24"/>
          <w:szCs w:val="24"/>
          <w:lang w:val="en-ZA"/>
        </w:rPr>
        <w:t xml:space="preserve"> (IBP).</w:t>
      </w:r>
    </w:p>
    <w:p w14:paraId="44389919" w14:textId="455DBBE1" w:rsidR="0046236C" w:rsidRDefault="000A4E28" w:rsidP="0029425D">
      <w:pPr>
        <w:spacing w:after="160"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1840512" behindDoc="0" locked="0" layoutInCell="1" allowOverlap="1" wp14:anchorId="130F0979" wp14:editId="26CA981E">
            <wp:simplePos x="0" y="0"/>
            <wp:positionH relativeFrom="margin">
              <wp:posOffset>488950</wp:posOffset>
            </wp:positionH>
            <wp:positionV relativeFrom="paragraph">
              <wp:posOffset>16510</wp:posOffset>
            </wp:positionV>
            <wp:extent cx="5667375" cy="1752600"/>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667375" cy="175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82682D" w14:textId="215AFBB9" w:rsidR="000A4E28" w:rsidRDefault="000A4E28" w:rsidP="0029425D">
      <w:pPr>
        <w:spacing w:after="160" w:line="276" w:lineRule="auto"/>
        <w:contextualSpacing/>
        <w:jc w:val="both"/>
        <w:rPr>
          <w:rFonts w:ascii="Arial" w:hAnsi="Arial" w:cs="Arial"/>
          <w:sz w:val="24"/>
          <w:szCs w:val="24"/>
          <w:lang w:val="en-US"/>
        </w:rPr>
      </w:pPr>
    </w:p>
    <w:p w14:paraId="2B020235" w14:textId="77777777" w:rsidR="000A4E28" w:rsidRPr="0029425D" w:rsidRDefault="000A4E28" w:rsidP="0029425D">
      <w:pPr>
        <w:spacing w:after="160" w:line="276" w:lineRule="auto"/>
        <w:contextualSpacing/>
        <w:jc w:val="both"/>
        <w:rPr>
          <w:rFonts w:ascii="Arial" w:hAnsi="Arial" w:cs="Arial"/>
          <w:sz w:val="24"/>
          <w:szCs w:val="24"/>
          <w:lang w:val="en-US"/>
        </w:rPr>
      </w:pPr>
    </w:p>
    <w:p w14:paraId="409FC10B" w14:textId="77777777" w:rsidR="000A4E28" w:rsidRDefault="000A4E28" w:rsidP="0029425D">
      <w:pPr>
        <w:spacing w:after="160" w:line="276" w:lineRule="auto"/>
        <w:contextualSpacing/>
        <w:jc w:val="both"/>
        <w:rPr>
          <w:rFonts w:ascii="Arial" w:hAnsi="Arial" w:cs="Arial"/>
          <w:sz w:val="24"/>
          <w:szCs w:val="24"/>
          <w:lang w:val="en-US"/>
        </w:rPr>
      </w:pPr>
    </w:p>
    <w:p w14:paraId="43A9B5C0" w14:textId="77777777" w:rsidR="000A4E28" w:rsidRDefault="000A4E28" w:rsidP="0029425D">
      <w:pPr>
        <w:spacing w:after="160" w:line="276" w:lineRule="auto"/>
        <w:contextualSpacing/>
        <w:jc w:val="both"/>
        <w:rPr>
          <w:rFonts w:ascii="Arial" w:hAnsi="Arial" w:cs="Arial"/>
          <w:sz w:val="24"/>
          <w:szCs w:val="24"/>
          <w:lang w:val="en-US"/>
        </w:rPr>
      </w:pPr>
    </w:p>
    <w:p w14:paraId="1E2F21D9" w14:textId="77777777" w:rsidR="000A4E28" w:rsidRDefault="000A4E28" w:rsidP="0029425D">
      <w:pPr>
        <w:spacing w:after="160" w:line="276" w:lineRule="auto"/>
        <w:contextualSpacing/>
        <w:jc w:val="both"/>
        <w:rPr>
          <w:rFonts w:ascii="Arial" w:hAnsi="Arial" w:cs="Arial"/>
          <w:sz w:val="24"/>
          <w:szCs w:val="24"/>
          <w:lang w:val="en-US"/>
        </w:rPr>
      </w:pPr>
    </w:p>
    <w:p w14:paraId="4EF480B5" w14:textId="77777777" w:rsidR="000A4E28" w:rsidRDefault="000A4E28" w:rsidP="0029425D">
      <w:pPr>
        <w:spacing w:after="160" w:line="276" w:lineRule="auto"/>
        <w:contextualSpacing/>
        <w:jc w:val="both"/>
        <w:rPr>
          <w:rFonts w:ascii="Arial" w:hAnsi="Arial" w:cs="Arial"/>
          <w:sz w:val="24"/>
          <w:szCs w:val="24"/>
          <w:lang w:val="en-US"/>
        </w:rPr>
      </w:pPr>
    </w:p>
    <w:p w14:paraId="66E3FBBA" w14:textId="77777777" w:rsidR="000A4E28" w:rsidRDefault="000A4E28" w:rsidP="0029425D">
      <w:pPr>
        <w:spacing w:after="160" w:line="276" w:lineRule="auto"/>
        <w:contextualSpacing/>
        <w:jc w:val="both"/>
        <w:rPr>
          <w:rFonts w:ascii="Arial" w:hAnsi="Arial" w:cs="Arial"/>
          <w:sz w:val="24"/>
          <w:szCs w:val="24"/>
          <w:lang w:val="en-US"/>
        </w:rPr>
      </w:pPr>
    </w:p>
    <w:p w14:paraId="6572D5DF" w14:textId="351C2FBC" w:rsidR="000A4E28" w:rsidRDefault="000A4E28" w:rsidP="0029425D">
      <w:pPr>
        <w:spacing w:after="160" w:line="276" w:lineRule="auto"/>
        <w:contextualSpacing/>
        <w:jc w:val="both"/>
        <w:rPr>
          <w:rFonts w:ascii="Arial" w:hAnsi="Arial" w:cs="Arial"/>
          <w:sz w:val="24"/>
          <w:szCs w:val="24"/>
          <w:lang w:val="en-US"/>
        </w:rPr>
      </w:pPr>
    </w:p>
    <w:p w14:paraId="7535DAF8" w14:textId="735B854C" w:rsidR="00773125" w:rsidRDefault="000A4E28" w:rsidP="0029425D">
      <w:pPr>
        <w:spacing w:after="160" w:line="276" w:lineRule="auto"/>
        <w:contextualSpacing/>
        <w:jc w:val="both"/>
        <w:rPr>
          <w:rFonts w:ascii="Arial" w:hAnsi="Arial" w:cs="Arial"/>
          <w:sz w:val="24"/>
          <w:szCs w:val="24"/>
          <w:lang w:val="en-US"/>
        </w:rPr>
      </w:pPr>
      <w:r>
        <w:rPr>
          <w:rFonts w:ascii="Arial" w:hAnsi="Arial" w:cs="Arial"/>
          <w:sz w:val="24"/>
          <w:szCs w:val="24"/>
          <w:lang w:val="en-US"/>
        </w:rPr>
        <w:t>N</w:t>
      </w:r>
      <w:r w:rsidR="000F5147" w:rsidRPr="0029425D">
        <w:rPr>
          <w:rFonts w:ascii="Arial" w:hAnsi="Arial" w:cs="Arial"/>
          <w:sz w:val="24"/>
          <w:szCs w:val="24"/>
          <w:lang w:val="en-US"/>
        </w:rPr>
        <w:t>umerous global norms and standards</w:t>
      </w:r>
      <w:r w:rsidR="000F5147" w:rsidRPr="0029425D">
        <w:rPr>
          <w:rFonts w:ascii="Arial" w:hAnsi="Arial" w:cs="Arial"/>
          <w:sz w:val="24"/>
          <w:szCs w:val="24"/>
          <w:lang w:val="en-ZA"/>
        </w:rPr>
        <w:t xml:space="preserve"> </w:t>
      </w:r>
      <w:r w:rsidR="00826E1B" w:rsidRPr="0029425D">
        <w:rPr>
          <w:rFonts w:ascii="Arial" w:hAnsi="Arial" w:cs="Arial"/>
          <w:sz w:val="24"/>
          <w:szCs w:val="24"/>
          <w:lang w:val="en-ZA"/>
        </w:rPr>
        <w:t xml:space="preserve">have been developed </w:t>
      </w:r>
      <w:r w:rsidR="007B7B48" w:rsidRPr="0029425D">
        <w:rPr>
          <w:rFonts w:ascii="Arial" w:hAnsi="Arial" w:cs="Arial"/>
          <w:sz w:val="24"/>
          <w:szCs w:val="24"/>
          <w:lang w:val="en-ZA"/>
        </w:rPr>
        <w:t xml:space="preserve">by </w:t>
      </w:r>
      <w:r w:rsidR="00811045" w:rsidRPr="0029425D">
        <w:rPr>
          <w:rFonts w:ascii="Arial" w:hAnsi="Arial" w:cs="Arial"/>
          <w:sz w:val="24"/>
          <w:szCs w:val="24"/>
          <w:lang w:val="en-ZA"/>
        </w:rPr>
        <w:t xml:space="preserve">these </w:t>
      </w:r>
      <w:r w:rsidR="007B7B48" w:rsidRPr="0029425D">
        <w:rPr>
          <w:rFonts w:ascii="Arial" w:hAnsi="Arial" w:cs="Arial"/>
          <w:sz w:val="24"/>
          <w:szCs w:val="24"/>
          <w:lang w:val="en-ZA"/>
        </w:rPr>
        <w:t xml:space="preserve">international organisations over the years </w:t>
      </w:r>
      <w:r w:rsidR="000F5147" w:rsidRPr="0029425D">
        <w:rPr>
          <w:rFonts w:ascii="Arial" w:hAnsi="Arial" w:cs="Arial"/>
          <w:sz w:val="24"/>
          <w:szCs w:val="24"/>
          <w:lang w:val="en-US"/>
        </w:rPr>
        <w:t>to</w:t>
      </w:r>
      <w:r w:rsidR="000E77BE" w:rsidRPr="0029425D">
        <w:rPr>
          <w:rFonts w:ascii="Arial" w:hAnsi="Arial" w:cs="Arial"/>
          <w:sz w:val="24"/>
          <w:szCs w:val="24"/>
          <w:lang w:val="en-US"/>
        </w:rPr>
        <w:t xml:space="preserve"> guide policy makers and other key actors</w:t>
      </w:r>
      <w:r w:rsidR="000F5147" w:rsidRPr="0029425D">
        <w:rPr>
          <w:rFonts w:ascii="Arial" w:hAnsi="Arial" w:cs="Arial"/>
          <w:sz w:val="24"/>
          <w:szCs w:val="24"/>
          <w:lang w:val="en-US"/>
        </w:rPr>
        <w:t xml:space="preserve"> in fiscal policy in their efforts to improve fiscal transparency, participation and accountability.</w:t>
      </w:r>
      <w:r w:rsidR="00811045" w:rsidRPr="0029425D">
        <w:rPr>
          <w:rFonts w:ascii="Arial" w:hAnsi="Arial" w:cs="Arial"/>
          <w:sz w:val="24"/>
          <w:szCs w:val="24"/>
          <w:lang w:val="en-US"/>
        </w:rPr>
        <w:t xml:space="preserve"> A number of governments have </w:t>
      </w:r>
      <w:r w:rsidR="002C5FA6" w:rsidRPr="0029425D">
        <w:rPr>
          <w:rFonts w:ascii="Arial" w:hAnsi="Arial" w:cs="Arial"/>
          <w:sz w:val="24"/>
          <w:szCs w:val="24"/>
          <w:lang w:val="en-US"/>
        </w:rPr>
        <w:t xml:space="preserve">also </w:t>
      </w:r>
      <w:r w:rsidR="00811045" w:rsidRPr="0029425D">
        <w:rPr>
          <w:rFonts w:ascii="Arial" w:hAnsi="Arial" w:cs="Arial"/>
          <w:sz w:val="24"/>
          <w:szCs w:val="24"/>
          <w:lang w:val="en-US"/>
        </w:rPr>
        <w:t>over time translated these developed norms, principles and instruments into domestic laws, regulations and practices.</w:t>
      </w:r>
    </w:p>
    <w:p w14:paraId="5CD90C04" w14:textId="77777777" w:rsidR="00773125" w:rsidRDefault="00773125" w:rsidP="0029425D">
      <w:pPr>
        <w:spacing w:after="160" w:line="276" w:lineRule="auto"/>
        <w:contextualSpacing/>
        <w:jc w:val="both"/>
        <w:rPr>
          <w:rFonts w:ascii="Arial" w:hAnsi="Arial" w:cs="Arial"/>
          <w:sz w:val="24"/>
          <w:szCs w:val="24"/>
          <w:lang w:val="en-US"/>
        </w:rPr>
      </w:pPr>
    </w:p>
    <w:p w14:paraId="476B41A3" w14:textId="77777777" w:rsidR="00773125" w:rsidRDefault="000E77BE" w:rsidP="0029425D">
      <w:pPr>
        <w:spacing w:after="160" w:line="276" w:lineRule="auto"/>
        <w:contextualSpacing/>
        <w:jc w:val="both"/>
        <w:rPr>
          <w:rFonts w:ascii="Arial" w:hAnsi="Arial" w:cs="Arial"/>
          <w:color w:val="16988A"/>
          <w:sz w:val="24"/>
          <w:szCs w:val="24"/>
          <w:lang w:val="en-US"/>
        </w:rPr>
      </w:pPr>
      <w:r w:rsidRPr="00773125">
        <w:rPr>
          <w:rFonts w:ascii="Arial" w:hAnsi="Arial" w:cs="Arial"/>
          <w:b/>
          <w:bCs/>
          <w:color w:val="16988A"/>
          <w:sz w:val="24"/>
          <w:szCs w:val="24"/>
          <w:lang w:val="en-US"/>
        </w:rPr>
        <w:t>Examples of norms and standards include</w:t>
      </w:r>
      <w:r w:rsidR="00773125" w:rsidRPr="00773125">
        <w:rPr>
          <w:rFonts w:ascii="Arial" w:hAnsi="Arial" w:cs="Arial"/>
          <w:b/>
          <w:bCs/>
          <w:color w:val="16988A"/>
          <w:sz w:val="24"/>
          <w:szCs w:val="24"/>
          <w:lang w:val="en-US"/>
        </w:rPr>
        <w:t>:</w:t>
      </w:r>
    </w:p>
    <w:p w14:paraId="417C1D14" w14:textId="2FC6E63C" w:rsidR="00773125" w:rsidRDefault="00381F1B" w:rsidP="0029425D">
      <w:pPr>
        <w:spacing w:after="160" w:line="276" w:lineRule="auto"/>
        <w:contextualSpacing/>
        <w:jc w:val="both"/>
        <w:rPr>
          <w:rFonts w:ascii="Arial" w:hAnsi="Arial" w:cs="Arial"/>
          <w:color w:val="16988A"/>
          <w:sz w:val="24"/>
          <w:szCs w:val="24"/>
          <w:lang w:val="en-US"/>
        </w:rPr>
      </w:pPr>
      <w:r>
        <w:rPr>
          <w:rFonts w:ascii="Arial" w:hAnsi="Arial" w:cs="Arial"/>
          <w:noProof/>
          <w:color w:val="16988A"/>
          <w:sz w:val="24"/>
          <w:szCs w:val="24"/>
          <w:lang w:val="en-US"/>
        </w:rPr>
        <mc:AlternateContent>
          <mc:Choice Requires="wps">
            <w:drawing>
              <wp:anchor distT="0" distB="0" distL="114300" distR="114300" simplePos="0" relativeHeight="251862016" behindDoc="0" locked="0" layoutInCell="1" allowOverlap="1" wp14:anchorId="14A6242C" wp14:editId="14C9CB51">
                <wp:simplePos x="0" y="0"/>
                <wp:positionH relativeFrom="column">
                  <wp:posOffset>21590</wp:posOffset>
                </wp:positionH>
                <wp:positionV relativeFrom="paragraph">
                  <wp:posOffset>160020</wp:posOffset>
                </wp:positionV>
                <wp:extent cx="523875" cy="523875"/>
                <wp:effectExtent l="0" t="0" r="0" b="0"/>
                <wp:wrapNone/>
                <wp:docPr id="260" name="Oval 260"/>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2F1B8A34" id="Oval 260" o:spid="_x0000_s1026" style="position:absolute;margin-left:1.7pt;margin-top:12.6pt;width:41.25pt;height:41.2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" fillcolor="white [3212]" stroked="f" strokeweight="1pt">
                <v:stroke joinstyle="miter"/>
              </v:oval>
            </w:pict>
          </mc:Fallback>
        </mc:AlternateContent>
      </w:r>
      <w:r>
        <w:rPr>
          <w:rFonts w:ascii="Arial" w:hAnsi="Arial" w:cs="Arial"/>
          <w:noProof/>
          <w:color w:val="16988A"/>
          <w:sz w:val="24"/>
          <w:szCs w:val="24"/>
          <w:lang w:val="en-US"/>
        </w:rPr>
        <w:drawing>
          <wp:anchor distT="0" distB="0" distL="114300" distR="114300" simplePos="0" relativeHeight="251863040" behindDoc="0" locked="0" layoutInCell="1" allowOverlap="1" wp14:anchorId="3CDE848F" wp14:editId="0403F7CB">
            <wp:simplePos x="0" y="0"/>
            <wp:positionH relativeFrom="column">
              <wp:posOffset>76200</wp:posOffset>
            </wp:positionH>
            <wp:positionV relativeFrom="paragraph">
              <wp:posOffset>217170</wp:posOffset>
            </wp:positionV>
            <wp:extent cx="393065" cy="409575"/>
            <wp:effectExtent l="0" t="0" r="635"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393065" cy="40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E9261" w14:textId="723C3A7B" w:rsidR="00773125" w:rsidRDefault="00381F1B" w:rsidP="0029425D">
      <w:pPr>
        <w:spacing w:after="160" w:line="276" w:lineRule="auto"/>
        <w:contextualSpacing/>
        <w:jc w:val="both"/>
        <w:rPr>
          <w:rFonts w:ascii="Arial" w:hAnsi="Arial" w:cs="Arial"/>
          <w:color w:val="16988A"/>
          <w:sz w:val="24"/>
          <w:szCs w:val="24"/>
          <w:lang w:val="en-US"/>
        </w:rPr>
      </w:pPr>
      <w:r>
        <w:rPr>
          <w:rFonts w:ascii="Arial" w:hAnsi="Arial" w:cs="Arial"/>
          <w:noProof/>
          <w:color w:val="16988A"/>
          <w:sz w:val="24"/>
          <w:szCs w:val="24"/>
          <w:lang w:val="en-US"/>
        </w:rPr>
        <mc:AlternateContent>
          <mc:Choice Requires="wps">
            <w:drawing>
              <wp:anchor distT="0" distB="0" distL="114300" distR="114300" simplePos="0" relativeHeight="251843584" behindDoc="0" locked="0" layoutInCell="1" allowOverlap="1" wp14:anchorId="2E6D56C8" wp14:editId="725F9A1E">
                <wp:simplePos x="0" y="0"/>
                <wp:positionH relativeFrom="column">
                  <wp:posOffset>544830</wp:posOffset>
                </wp:positionH>
                <wp:positionV relativeFrom="paragraph">
                  <wp:posOffset>76200</wp:posOffset>
                </wp:positionV>
                <wp:extent cx="6067425" cy="30480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6067425" cy="304800"/>
                        </a:xfrm>
                        <a:prstGeom prst="rect">
                          <a:avLst/>
                        </a:prstGeom>
                        <a:noFill/>
                        <a:ln w="6350">
                          <a:noFill/>
                        </a:ln>
                      </wps:spPr>
                      <wps:txbx>
                        <w:txbxContent>
                          <w:p w14:paraId="3AB79774" w14:textId="4FB38FF7" w:rsidR="00D15FD8" w:rsidRPr="00B22FCF" w:rsidRDefault="00D15FD8" w:rsidP="00B22FCF">
                            <w:pPr>
                              <w:rPr>
                                <w:color w:val="FFFFFF" w:themeColor="background1"/>
                              </w:rPr>
                            </w:pPr>
                            <w:r w:rsidRPr="00B22FCF">
                              <w:rPr>
                                <w:rFonts w:ascii="Arial" w:hAnsi="Arial" w:cs="Arial"/>
                                <w:color w:val="FFFFFF" w:themeColor="background1"/>
                                <w:lang w:val="en-US"/>
                              </w:rPr>
                              <w:t xml:space="preserve">GIFT’s </w:t>
                            </w:r>
                            <w:hyperlink r:id="rId70" w:history="1">
                              <w:r w:rsidRPr="00B22FCF">
                                <w:rPr>
                                  <w:rStyle w:val="Hyperlink"/>
                                  <w:rFonts w:ascii="Arial" w:hAnsi="Arial" w:cs="Arial"/>
                                  <w:color w:val="FFFFFF" w:themeColor="background1"/>
                                  <w:lang w:val="en-ZA"/>
                                </w:rPr>
                                <w:t>High-level principles on Fiscal Transparency, Participation and Accountability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6D56C8" id="Text Box 247" o:spid="_x0000_s1077" type="#_x0000_t202" style="position:absolute;left:0;text-align:left;margin-left:42.9pt;margin-top:6pt;width:477.75pt;height:24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" filled="f" stroked="f" strokeweight=".5pt">
                <v:textbox>
                  <w:txbxContent>
                    <w:p w14:paraId="3AB79774" w14:textId="4FB38FF7" w:rsidR="00D15FD8" w:rsidRPr="00B22FCF" w:rsidRDefault="00D15FD8" w:rsidP="00B22FCF">
                      <w:pPr>
                        <w:rPr>
                          <w:color w:val="FFFFFF" w:themeColor="background1"/>
                        </w:rPr>
                      </w:pPr>
                      <w:r w:rsidRPr="00B22FCF">
                        <w:rPr>
                          <w:rFonts w:ascii="Arial" w:hAnsi="Arial" w:cs="Arial"/>
                          <w:color w:val="FFFFFF" w:themeColor="background1"/>
                          <w:lang w:val="en-US"/>
                        </w:rPr>
                        <w:t xml:space="preserve">GIFT’s </w:t>
                      </w:r>
                      <w:hyperlink r:id="rId71" w:history="1">
                        <w:r w:rsidRPr="00B22FCF">
                          <w:rPr>
                            <w:rStyle w:val="Hyperlink"/>
                            <w:rFonts w:ascii="Arial" w:hAnsi="Arial" w:cs="Arial"/>
                            <w:color w:val="FFFFFF" w:themeColor="background1"/>
                            <w:lang w:val="en-ZA"/>
                          </w:rPr>
                          <w:t>High-level principles on Fiscal Transparency, Participation and Accountability</w:t>
                        </w:r>
                      </w:hyperlink>
                    </w:p>
                  </w:txbxContent>
                </v:textbox>
              </v:shape>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1842560" behindDoc="0" locked="0" layoutInCell="1" allowOverlap="1" wp14:anchorId="755C134C" wp14:editId="0B9C6ADC">
                <wp:simplePos x="0" y="0"/>
                <wp:positionH relativeFrom="column">
                  <wp:posOffset>343734</wp:posOffset>
                </wp:positionH>
                <wp:positionV relativeFrom="paragraph">
                  <wp:posOffset>8454</wp:posOffset>
                </wp:positionV>
                <wp:extent cx="6240961" cy="428625"/>
                <wp:effectExtent l="0" t="0" r="0" b="3175"/>
                <wp:wrapNone/>
                <wp:docPr id="246" name="Rounded Rectangle 246"/>
                <wp:cNvGraphicFramePr/>
                <a:graphic xmlns:a="http://schemas.openxmlformats.org/drawingml/2006/main">
                  <a:graphicData uri="http://schemas.microsoft.com/office/word/2010/wordprocessingShape">
                    <wps:wsp>
                      <wps:cNvSpPr/>
                      <wps:spPr>
                        <a:xfrm>
                          <a:off x="0" y="0"/>
                          <a:ext cx="6240961" cy="428625"/>
                        </a:xfrm>
                        <a:prstGeom prst="roundRect">
                          <a:avLst>
                            <a:gd name="adj" fmla="val 8667"/>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CEFAAC5" id="Rounded Rectangle 246" o:spid="_x0000_s1026" style="position:absolute;margin-left:27.05pt;margin-top:.65pt;width:491.4pt;height:33.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" fillcolor="#16988a" stroked="f" strokeweight="1pt">
                <v:stroke joinstyle="miter"/>
              </v:roundrect>
            </w:pict>
          </mc:Fallback>
        </mc:AlternateContent>
      </w:r>
    </w:p>
    <w:p w14:paraId="62B0A95A" w14:textId="0F609E63" w:rsidR="00773125" w:rsidRDefault="00773125" w:rsidP="0029425D">
      <w:pPr>
        <w:spacing w:after="160" w:line="276" w:lineRule="auto"/>
        <w:contextualSpacing/>
        <w:jc w:val="both"/>
        <w:rPr>
          <w:rFonts w:ascii="Arial" w:hAnsi="Arial" w:cs="Arial"/>
          <w:color w:val="16988A"/>
          <w:sz w:val="24"/>
          <w:szCs w:val="24"/>
          <w:lang w:val="en-US"/>
        </w:rPr>
      </w:pPr>
    </w:p>
    <w:p w14:paraId="5D26E5FC" w14:textId="7ABDE8D1" w:rsidR="00773125" w:rsidRDefault="00773125" w:rsidP="0029425D">
      <w:pPr>
        <w:spacing w:after="160" w:line="276" w:lineRule="auto"/>
        <w:contextualSpacing/>
        <w:jc w:val="both"/>
        <w:rPr>
          <w:rFonts w:ascii="Arial" w:hAnsi="Arial" w:cs="Arial"/>
          <w:color w:val="16988A"/>
          <w:sz w:val="24"/>
          <w:szCs w:val="24"/>
          <w:lang w:val="en-US"/>
        </w:rPr>
      </w:pPr>
    </w:p>
    <w:p w14:paraId="044F47CD" w14:textId="6D3BF853" w:rsidR="00B22FCF" w:rsidRDefault="00D85090" w:rsidP="0029425D">
      <w:pPr>
        <w:spacing w:after="160" w:line="276" w:lineRule="auto"/>
        <w:contextualSpacing/>
        <w:jc w:val="both"/>
        <w:rPr>
          <w:rFonts w:ascii="Arial" w:hAnsi="Arial" w:cs="Arial"/>
          <w:sz w:val="24"/>
          <w:szCs w:val="24"/>
          <w:lang w:val="en-US"/>
        </w:rPr>
      </w:pPr>
      <w:r>
        <w:rPr>
          <w:rFonts w:ascii="Arial" w:hAnsi="Arial" w:cs="Arial"/>
          <w:noProof/>
          <w:color w:val="16988A"/>
          <w:sz w:val="24"/>
          <w:szCs w:val="24"/>
          <w:lang w:val="en-US"/>
        </w:rPr>
        <mc:AlternateContent>
          <mc:Choice Requires="wps">
            <w:drawing>
              <wp:anchor distT="0" distB="0" distL="114300" distR="114300" simplePos="0" relativeHeight="251847680" behindDoc="0" locked="0" layoutInCell="1" allowOverlap="1" wp14:anchorId="5144B85C" wp14:editId="53E8A088">
                <wp:simplePos x="0" y="0"/>
                <wp:positionH relativeFrom="column">
                  <wp:posOffset>330200</wp:posOffset>
                </wp:positionH>
                <wp:positionV relativeFrom="paragraph">
                  <wp:posOffset>36830</wp:posOffset>
                </wp:positionV>
                <wp:extent cx="6257925" cy="428625"/>
                <wp:effectExtent l="0" t="0" r="3175" b="3175"/>
                <wp:wrapNone/>
                <wp:docPr id="249" name="Rounded Rectangle 249"/>
                <wp:cNvGraphicFramePr/>
                <a:graphic xmlns:a="http://schemas.openxmlformats.org/drawingml/2006/main">
                  <a:graphicData uri="http://schemas.microsoft.com/office/word/2010/wordprocessingShape">
                    <wps:wsp>
                      <wps:cNvSpPr/>
                      <wps:spPr>
                        <a:xfrm>
                          <a:off x="0" y="0"/>
                          <a:ext cx="6257925" cy="428625"/>
                        </a:xfrm>
                        <a:prstGeom prst="roundRect">
                          <a:avLst>
                            <a:gd name="adj" fmla="val 8667"/>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ABF646E" id="Rounded Rectangle 249" o:spid="_x0000_s1026" style="position:absolute;margin-left:26pt;margin-top:2.9pt;width:492.75pt;height:33.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" fillcolor="#16988a" stroked="f" strokeweight="1pt">
                <v:stroke joinstyle="miter"/>
              </v:roundrect>
            </w:pict>
          </mc:Fallback>
        </mc:AlternateContent>
      </w:r>
      <w:r w:rsidR="00111867">
        <w:rPr>
          <w:rFonts w:ascii="Arial" w:hAnsi="Arial" w:cs="Arial"/>
          <w:noProof/>
          <w:color w:val="16988A"/>
          <w:sz w:val="24"/>
          <w:szCs w:val="24"/>
          <w:lang w:val="en-US"/>
        </w:rPr>
        <w:drawing>
          <wp:anchor distT="0" distB="0" distL="114300" distR="114300" simplePos="0" relativeHeight="251866112" behindDoc="0" locked="0" layoutInCell="1" allowOverlap="1" wp14:anchorId="4DD8A047" wp14:editId="7AA9D6F5">
            <wp:simplePos x="0" y="0"/>
            <wp:positionH relativeFrom="column">
              <wp:posOffset>67945</wp:posOffset>
            </wp:positionH>
            <wp:positionV relativeFrom="paragraph">
              <wp:posOffset>46355</wp:posOffset>
            </wp:positionV>
            <wp:extent cx="393700" cy="410210"/>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39370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1867">
        <w:rPr>
          <w:rFonts w:ascii="Arial" w:hAnsi="Arial" w:cs="Arial"/>
          <w:noProof/>
          <w:color w:val="16988A"/>
          <w:sz w:val="24"/>
          <w:szCs w:val="24"/>
          <w:lang w:val="en-US"/>
        </w:rPr>
        <mc:AlternateContent>
          <mc:Choice Requires="wps">
            <w:drawing>
              <wp:anchor distT="0" distB="0" distL="114300" distR="114300" simplePos="0" relativeHeight="251865088" behindDoc="0" locked="0" layoutInCell="1" allowOverlap="1" wp14:anchorId="79022D44" wp14:editId="319B1F83">
                <wp:simplePos x="0" y="0"/>
                <wp:positionH relativeFrom="column">
                  <wp:posOffset>4445</wp:posOffset>
                </wp:positionH>
                <wp:positionV relativeFrom="paragraph">
                  <wp:posOffset>-6985</wp:posOffset>
                </wp:positionV>
                <wp:extent cx="523875" cy="523875"/>
                <wp:effectExtent l="0" t="0" r="0" b="0"/>
                <wp:wrapNone/>
                <wp:docPr id="261" name="Oval 261"/>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4E636107" id="Oval 261" o:spid="_x0000_s1026" style="position:absolute;margin-left:.35pt;margin-top:-.55pt;width:41.25pt;height:41.25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" fillcolor="white [3212]" stroked="f" strokeweight="1pt">
                <v:stroke joinstyle="miter"/>
              </v:oval>
            </w:pict>
          </mc:Fallback>
        </mc:AlternateContent>
      </w:r>
      <w:r w:rsidR="00111867">
        <w:rPr>
          <w:rFonts w:ascii="Arial" w:hAnsi="Arial" w:cs="Arial"/>
          <w:noProof/>
          <w:color w:val="16988A"/>
          <w:sz w:val="24"/>
          <w:szCs w:val="24"/>
          <w:lang w:val="en-US"/>
        </w:rPr>
        <mc:AlternateContent>
          <mc:Choice Requires="wps">
            <w:drawing>
              <wp:anchor distT="0" distB="0" distL="114300" distR="114300" simplePos="0" relativeHeight="251848704" behindDoc="0" locked="0" layoutInCell="1" allowOverlap="1" wp14:anchorId="3DD067D6" wp14:editId="45F97531">
                <wp:simplePos x="0" y="0"/>
                <wp:positionH relativeFrom="column">
                  <wp:posOffset>519430</wp:posOffset>
                </wp:positionH>
                <wp:positionV relativeFrom="paragraph">
                  <wp:posOffset>91440</wp:posOffset>
                </wp:positionV>
                <wp:extent cx="6067425" cy="304800"/>
                <wp:effectExtent l="0" t="0" r="0" b="0"/>
                <wp:wrapNone/>
                <wp:docPr id="250" name="Text Box 250"/>
                <wp:cNvGraphicFramePr/>
                <a:graphic xmlns:a="http://schemas.openxmlformats.org/drawingml/2006/main">
                  <a:graphicData uri="http://schemas.microsoft.com/office/word/2010/wordprocessingShape">
                    <wps:wsp>
                      <wps:cNvSpPr txBox="1"/>
                      <wps:spPr>
                        <a:xfrm>
                          <a:off x="0" y="0"/>
                          <a:ext cx="6067425" cy="304800"/>
                        </a:xfrm>
                        <a:prstGeom prst="rect">
                          <a:avLst/>
                        </a:prstGeom>
                        <a:noFill/>
                        <a:ln w="6350">
                          <a:noFill/>
                        </a:ln>
                      </wps:spPr>
                      <wps:txbx>
                        <w:txbxContent>
                          <w:p w14:paraId="3A78862A" w14:textId="013A1E20" w:rsidR="00D15FD8" w:rsidRPr="00B22FCF" w:rsidRDefault="00D15FD8" w:rsidP="00B22FCF">
                            <w:pPr>
                              <w:rPr>
                                <w:color w:val="FFFFFF" w:themeColor="background1"/>
                              </w:rPr>
                            </w:pPr>
                            <w:r w:rsidRPr="00B22FCF">
                              <w:rPr>
                                <w:rFonts w:ascii="Arial" w:hAnsi="Arial" w:cs="Arial"/>
                                <w:color w:val="FFFFFF" w:themeColor="background1"/>
                                <w:lang w:val="en-ZA"/>
                              </w:rPr>
                              <w:t xml:space="preserve">IMF’s </w:t>
                            </w:r>
                            <w:hyperlink r:id="rId73" w:history="1">
                              <w:r w:rsidRPr="00B22FCF">
                                <w:rPr>
                                  <w:rStyle w:val="Hyperlink"/>
                                  <w:rFonts w:ascii="Arial" w:hAnsi="Arial" w:cs="Arial"/>
                                  <w:color w:val="FFFFFF" w:themeColor="background1"/>
                                </w:rPr>
                                <w:t>Fiscal Transparency Code</w:t>
                              </w:r>
                            </w:hyperlink>
                            <w:r w:rsidRPr="00B22FCF">
                              <w:rPr>
                                <w:rFonts w:ascii="Arial" w:hAnsi="Arial" w:cs="Arial"/>
                                <w:color w:val="FFFFFF" w:themeColor="background1"/>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D067D6" id="Text Box 250" o:spid="_x0000_s1078" type="#_x0000_t202" style="position:absolute;left:0;text-align:left;margin-left:40.9pt;margin-top:7.2pt;width:477.75pt;height:24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" filled="f" stroked="f" strokeweight=".5pt">
                <v:textbox>
                  <w:txbxContent>
                    <w:p w14:paraId="3A78862A" w14:textId="013A1E20" w:rsidR="00D15FD8" w:rsidRPr="00B22FCF" w:rsidRDefault="00D15FD8" w:rsidP="00B22FCF">
                      <w:pPr>
                        <w:rPr>
                          <w:color w:val="FFFFFF" w:themeColor="background1"/>
                        </w:rPr>
                      </w:pPr>
                      <w:r w:rsidRPr="00B22FCF">
                        <w:rPr>
                          <w:rFonts w:ascii="Arial" w:hAnsi="Arial" w:cs="Arial"/>
                          <w:color w:val="FFFFFF" w:themeColor="background1"/>
                          <w:lang w:val="en-ZA"/>
                        </w:rPr>
                        <w:t xml:space="preserve">IMF’s </w:t>
                      </w:r>
                      <w:hyperlink r:id="rId74" w:history="1">
                        <w:r w:rsidRPr="00B22FCF">
                          <w:rPr>
                            <w:rStyle w:val="Hyperlink"/>
                            <w:rFonts w:ascii="Arial" w:hAnsi="Arial" w:cs="Arial"/>
                            <w:color w:val="FFFFFF" w:themeColor="background1"/>
                          </w:rPr>
                          <w:t>Fiscal Transparency Code</w:t>
                        </w:r>
                      </w:hyperlink>
                      <w:r w:rsidRPr="00B22FCF">
                        <w:rPr>
                          <w:rFonts w:ascii="Arial" w:hAnsi="Arial" w:cs="Arial"/>
                          <w:color w:val="FFFFFF" w:themeColor="background1"/>
                        </w:rPr>
                        <w:t xml:space="preserve"> (2019)</w:t>
                      </w:r>
                    </w:p>
                  </w:txbxContent>
                </v:textbox>
              </v:shape>
            </w:pict>
          </mc:Fallback>
        </mc:AlternateContent>
      </w:r>
    </w:p>
    <w:p w14:paraId="4C5812E9" w14:textId="0D3A3ABD" w:rsidR="00B22FCF" w:rsidRDefault="00B22FCF" w:rsidP="0029425D">
      <w:pPr>
        <w:spacing w:after="160" w:line="276" w:lineRule="auto"/>
        <w:contextualSpacing/>
        <w:jc w:val="both"/>
        <w:rPr>
          <w:rFonts w:ascii="Arial" w:hAnsi="Arial" w:cs="Arial"/>
          <w:sz w:val="24"/>
          <w:szCs w:val="24"/>
          <w:lang w:val="en-US"/>
        </w:rPr>
      </w:pPr>
    </w:p>
    <w:p w14:paraId="75698F14" w14:textId="0DDDFBB5" w:rsidR="00B22FCF" w:rsidRDefault="00B22FCF" w:rsidP="0029425D">
      <w:pPr>
        <w:spacing w:after="160" w:line="276" w:lineRule="auto"/>
        <w:contextualSpacing/>
        <w:jc w:val="both"/>
        <w:rPr>
          <w:rFonts w:ascii="Arial" w:hAnsi="Arial" w:cs="Arial"/>
          <w:sz w:val="24"/>
          <w:szCs w:val="24"/>
          <w:lang w:val="en-US"/>
        </w:rPr>
      </w:pPr>
    </w:p>
    <w:p w14:paraId="20A1274E" w14:textId="5CCEDEDC" w:rsidR="00B22FCF" w:rsidRDefault="00381F1B" w:rsidP="0029425D">
      <w:pPr>
        <w:spacing w:after="160" w:line="276" w:lineRule="auto"/>
        <w:contextualSpacing/>
        <w:jc w:val="both"/>
        <w:rPr>
          <w:rFonts w:ascii="Arial" w:hAnsi="Arial" w:cs="Arial"/>
          <w:sz w:val="24"/>
          <w:szCs w:val="24"/>
          <w:lang w:val="en-US"/>
        </w:rPr>
      </w:pPr>
      <w:r>
        <w:rPr>
          <w:rFonts w:ascii="Arial" w:hAnsi="Arial" w:cs="Arial"/>
          <w:noProof/>
          <w:color w:val="16988A"/>
          <w:sz w:val="24"/>
          <w:szCs w:val="24"/>
          <w:lang w:val="en-US"/>
        </w:rPr>
        <w:drawing>
          <wp:anchor distT="0" distB="0" distL="114300" distR="114300" simplePos="0" relativeHeight="251869184" behindDoc="0" locked="0" layoutInCell="1" allowOverlap="1" wp14:anchorId="6AFD7B17" wp14:editId="1D31DDFD">
            <wp:simplePos x="0" y="0"/>
            <wp:positionH relativeFrom="column">
              <wp:posOffset>62230</wp:posOffset>
            </wp:positionH>
            <wp:positionV relativeFrom="paragraph">
              <wp:posOffset>82550</wp:posOffset>
            </wp:positionV>
            <wp:extent cx="393700" cy="410210"/>
            <wp:effectExtent l="0" t="0" r="0"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39370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16988A"/>
          <w:sz w:val="24"/>
          <w:szCs w:val="24"/>
          <w:lang w:val="en-US"/>
        </w:rPr>
        <mc:AlternateContent>
          <mc:Choice Requires="wps">
            <w:drawing>
              <wp:anchor distT="0" distB="0" distL="114300" distR="114300" simplePos="0" relativeHeight="251868160" behindDoc="0" locked="0" layoutInCell="1" allowOverlap="1" wp14:anchorId="09D460D7" wp14:editId="50BA7BF2">
                <wp:simplePos x="0" y="0"/>
                <wp:positionH relativeFrom="column">
                  <wp:posOffset>-1270</wp:posOffset>
                </wp:positionH>
                <wp:positionV relativeFrom="paragraph">
                  <wp:posOffset>33020</wp:posOffset>
                </wp:positionV>
                <wp:extent cx="523875" cy="523875"/>
                <wp:effectExtent l="0" t="0" r="0" b="0"/>
                <wp:wrapNone/>
                <wp:docPr id="262" name="Oval 262"/>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40A87108" id="Oval 262" o:spid="_x0000_s1026" style="position:absolute;margin-left:-.1pt;margin-top:2.6pt;width:41.25pt;height:41.25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" fillcolor="white [3212]" stroked="f" strokeweight="1pt">
                <v:stroke joinstyle="miter"/>
              </v:oval>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1852800" behindDoc="0" locked="0" layoutInCell="1" allowOverlap="1" wp14:anchorId="08144CB4" wp14:editId="6C388E5D">
                <wp:simplePos x="0" y="0"/>
                <wp:positionH relativeFrom="column">
                  <wp:posOffset>522605</wp:posOffset>
                </wp:positionH>
                <wp:positionV relativeFrom="paragraph">
                  <wp:posOffset>136525</wp:posOffset>
                </wp:positionV>
                <wp:extent cx="6067425" cy="304800"/>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6067425" cy="304800"/>
                        </a:xfrm>
                        <a:prstGeom prst="rect">
                          <a:avLst/>
                        </a:prstGeom>
                        <a:noFill/>
                        <a:ln w="6350">
                          <a:noFill/>
                        </a:ln>
                      </wps:spPr>
                      <wps:txbx>
                        <w:txbxContent>
                          <w:p w14:paraId="43D77928" w14:textId="7B4ECA13" w:rsidR="00D15FD8" w:rsidRPr="00B22FCF" w:rsidRDefault="00D15FD8" w:rsidP="00B22FCF">
                            <w:pPr>
                              <w:rPr>
                                <w:color w:val="FFFFFF" w:themeColor="background1"/>
                              </w:rPr>
                            </w:pPr>
                            <w:r w:rsidRPr="00B22FCF">
                              <w:rPr>
                                <w:rFonts w:ascii="Arial" w:hAnsi="Arial" w:cs="Arial"/>
                                <w:color w:val="FFFFFF" w:themeColor="background1"/>
                              </w:rPr>
                              <w:t xml:space="preserve">OECD’s </w:t>
                            </w:r>
                            <w:hyperlink r:id="rId75" w:history="1">
                              <w:r w:rsidRPr="00B22FCF">
                                <w:rPr>
                                  <w:rStyle w:val="Hyperlink"/>
                                  <w:rFonts w:ascii="Arial" w:hAnsi="Arial" w:cs="Arial"/>
                                  <w:color w:val="FFFFFF" w:themeColor="background1"/>
                                </w:rPr>
                                <w:t>Budget Transparency Toolkit</w:t>
                              </w:r>
                            </w:hyperlink>
                            <w:r w:rsidRPr="00B22FCF">
                              <w:rPr>
                                <w:rFonts w:ascii="Arial" w:hAnsi="Arial" w:cs="Arial"/>
                                <w:color w:val="FFFFFF" w:themeColor="background1"/>
                                <w:u w:val="single"/>
                              </w:rPr>
                              <w:t xml:space="preserve"> </w:t>
                            </w:r>
                            <w:r w:rsidRPr="00B22FCF">
                              <w:rPr>
                                <w:rFonts w:ascii="Arial" w:hAnsi="Arial" w:cs="Arial"/>
                                <w:color w:val="FFFFFF" w:themeColor="background1"/>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144CB4" id="Text Box 252" o:spid="_x0000_s1079" type="#_x0000_t202" style="position:absolute;left:0;text-align:left;margin-left:41.15pt;margin-top:10.75pt;width:477.75pt;height:24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" filled="f" stroked="f" strokeweight=".5pt">
                <v:textbox>
                  <w:txbxContent>
                    <w:p w14:paraId="43D77928" w14:textId="7B4ECA13" w:rsidR="00D15FD8" w:rsidRPr="00B22FCF" w:rsidRDefault="00D15FD8" w:rsidP="00B22FCF">
                      <w:pPr>
                        <w:rPr>
                          <w:color w:val="FFFFFF" w:themeColor="background1"/>
                        </w:rPr>
                      </w:pPr>
                      <w:r w:rsidRPr="00B22FCF">
                        <w:rPr>
                          <w:rFonts w:ascii="Arial" w:hAnsi="Arial" w:cs="Arial"/>
                          <w:color w:val="FFFFFF" w:themeColor="background1"/>
                        </w:rPr>
                        <w:t xml:space="preserve">OECD’s </w:t>
                      </w:r>
                      <w:hyperlink r:id="rId76" w:history="1">
                        <w:r w:rsidRPr="00B22FCF">
                          <w:rPr>
                            <w:rStyle w:val="Hyperlink"/>
                            <w:rFonts w:ascii="Arial" w:hAnsi="Arial" w:cs="Arial"/>
                            <w:color w:val="FFFFFF" w:themeColor="background1"/>
                          </w:rPr>
                          <w:t>Budget Transparency Toolkit</w:t>
                        </w:r>
                      </w:hyperlink>
                      <w:r w:rsidRPr="00B22FCF">
                        <w:rPr>
                          <w:rFonts w:ascii="Arial" w:hAnsi="Arial" w:cs="Arial"/>
                          <w:color w:val="FFFFFF" w:themeColor="background1"/>
                          <w:u w:val="single"/>
                        </w:rPr>
                        <w:t xml:space="preserve"> </w:t>
                      </w:r>
                      <w:r w:rsidRPr="00B22FCF">
                        <w:rPr>
                          <w:rFonts w:ascii="Arial" w:hAnsi="Arial" w:cs="Arial"/>
                          <w:color w:val="FFFFFF" w:themeColor="background1"/>
                        </w:rPr>
                        <w:t>(2017)</w:t>
                      </w:r>
                    </w:p>
                  </w:txbxContent>
                </v:textbox>
              </v:shape>
            </w:pict>
          </mc:Fallback>
        </mc:AlternateContent>
      </w:r>
      <w:r w:rsidR="00111867">
        <w:rPr>
          <w:rFonts w:ascii="Arial" w:hAnsi="Arial" w:cs="Arial"/>
          <w:noProof/>
          <w:color w:val="16988A"/>
          <w:sz w:val="24"/>
          <w:szCs w:val="24"/>
          <w:lang w:val="en-US"/>
        </w:rPr>
        <mc:AlternateContent>
          <mc:Choice Requires="wps">
            <w:drawing>
              <wp:anchor distT="0" distB="0" distL="114300" distR="114300" simplePos="0" relativeHeight="251851776" behindDoc="0" locked="0" layoutInCell="1" allowOverlap="1" wp14:anchorId="459DD904" wp14:editId="6A3AC8DC">
                <wp:simplePos x="0" y="0"/>
                <wp:positionH relativeFrom="column">
                  <wp:posOffset>342900</wp:posOffset>
                </wp:positionH>
                <wp:positionV relativeFrom="paragraph">
                  <wp:posOffset>85215</wp:posOffset>
                </wp:positionV>
                <wp:extent cx="6245225" cy="428625"/>
                <wp:effectExtent l="0" t="0" r="3175" b="3175"/>
                <wp:wrapNone/>
                <wp:docPr id="251" name="Rounded Rectangle 251"/>
                <wp:cNvGraphicFramePr/>
                <a:graphic xmlns:a="http://schemas.openxmlformats.org/drawingml/2006/main">
                  <a:graphicData uri="http://schemas.microsoft.com/office/word/2010/wordprocessingShape">
                    <wps:wsp>
                      <wps:cNvSpPr/>
                      <wps:spPr>
                        <a:xfrm>
                          <a:off x="0" y="0"/>
                          <a:ext cx="6245225" cy="428625"/>
                        </a:xfrm>
                        <a:prstGeom prst="roundRect">
                          <a:avLst>
                            <a:gd name="adj" fmla="val 8667"/>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D5CF65D" id="Rounded Rectangle 251" o:spid="_x0000_s1026" style="position:absolute;margin-left:27pt;margin-top:6.7pt;width:491.75pt;height:33.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" fillcolor="#16988a" stroked="f" strokeweight="1pt">
                <v:stroke joinstyle="miter"/>
              </v:roundrect>
            </w:pict>
          </mc:Fallback>
        </mc:AlternateContent>
      </w:r>
    </w:p>
    <w:p w14:paraId="0C76E710" w14:textId="22171517" w:rsidR="00B22FCF" w:rsidRDefault="00B22FCF" w:rsidP="0029425D">
      <w:pPr>
        <w:spacing w:after="160" w:line="276" w:lineRule="auto"/>
        <w:contextualSpacing/>
        <w:jc w:val="both"/>
        <w:rPr>
          <w:rFonts w:ascii="Arial" w:hAnsi="Arial" w:cs="Arial"/>
          <w:sz w:val="24"/>
          <w:szCs w:val="24"/>
          <w:lang w:val="en-US"/>
        </w:rPr>
      </w:pPr>
    </w:p>
    <w:p w14:paraId="1A07C759" w14:textId="0EC2A8A1" w:rsidR="00B22FCF" w:rsidRDefault="00B22FCF" w:rsidP="0029425D">
      <w:pPr>
        <w:spacing w:after="160" w:line="276" w:lineRule="auto"/>
        <w:contextualSpacing/>
        <w:jc w:val="both"/>
        <w:rPr>
          <w:rFonts w:ascii="Arial" w:hAnsi="Arial" w:cs="Arial"/>
          <w:sz w:val="24"/>
          <w:szCs w:val="24"/>
          <w:lang w:val="en-US"/>
        </w:rPr>
      </w:pPr>
    </w:p>
    <w:p w14:paraId="7A1F824C" w14:textId="6F5EF377" w:rsidR="00B22FCF" w:rsidRDefault="00381F1B" w:rsidP="0029425D">
      <w:pPr>
        <w:spacing w:after="160" w:line="276" w:lineRule="auto"/>
        <w:contextualSpacing/>
        <w:jc w:val="both"/>
        <w:rPr>
          <w:rFonts w:ascii="Arial" w:hAnsi="Arial" w:cs="Arial"/>
          <w:sz w:val="24"/>
          <w:szCs w:val="24"/>
          <w:lang w:val="en-US"/>
        </w:rPr>
      </w:pPr>
      <w:r>
        <w:rPr>
          <w:rFonts w:ascii="Arial" w:hAnsi="Arial" w:cs="Arial"/>
          <w:noProof/>
          <w:color w:val="16988A"/>
          <w:sz w:val="24"/>
          <w:szCs w:val="24"/>
          <w:lang w:val="en-US"/>
        </w:rPr>
        <mc:AlternateContent>
          <mc:Choice Requires="wps">
            <w:drawing>
              <wp:anchor distT="0" distB="0" distL="114300" distR="114300" simplePos="0" relativeHeight="251856896" behindDoc="0" locked="0" layoutInCell="1" allowOverlap="1" wp14:anchorId="1BA20DA5" wp14:editId="76848287">
                <wp:simplePos x="0" y="0"/>
                <wp:positionH relativeFrom="column">
                  <wp:posOffset>542925</wp:posOffset>
                </wp:positionH>
                <wp:positionV relativeFrom="paragraph">
                  <wp:posOffset>191770</wp:posOffset>
                </wp:positionV>
                <wp:extent cx="6067425" cy="285750"/>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6067425" cy="285750"/>
                        </a:xfrm>
                        <a:prstGeom prst="rect">
                          <a:avLst/>
                        </a:prstGeom>
                        <a:noFill/>
                        <a:ln w="6350">
                          <a:noFill/>
                        </a:ln>
                      </wps:spPr>
                      <wps:txbx>
                        <w:txbxContent>
                          <w:p w14:paraId="4C831B0E" w14:textId="02A90094" w:rsidR="00D15FD8" w:rsidRPr="00B22FCF" w:rsidRDefault="00D15FD8" w:rsidP="00B22FCF">
                            <w:pPr>
                              <w:rPr>
                                <w:color w:val="FFFFFF" w:themeColor="background1"/>
                              </w:rPr>
                            </w:pPr>
                            <w:r w:rsidRPr="00B22FCF">
                              <w:rPr>
                                <w:rFonts w:ascii="Arial" w:hAnsi="Arial" w:cs="Arial"/>
                                <w:color w:val="FFFFFF" w:themeColor="background1"/>
                                <w:lang w:val="en-ZA"/>
                              </w:rPr>
                              <w:t xml:space="preserve">IPSAS Board’s </w:t>
                            </w:r>
                            <w:hyperlink r:id="rId77" w:history="1">
                              <w:r w:rsidRPr="00B22FCF">
                                <w:rPr>
                                  <w:rStyle w:val="Hyperlink"/>
                                  <w:rFonts w:ascii="Arial" w:hAnsi="Arial" w:cs="Arial"/>
                                  <w:color w:val="FFFFFF" w:themeColor="background1"/>
                                  <w:lang w:val="en-ZA"/>
                                </w:rPr>
                                <w:t>Handbook on International Public Sector Accounting Pronouncements</w:t>
                              </w:r>
                            </w:hyperlink>
                            <w:r w:rsidRPr="00B22FCF">
                              <w:rPr>
                                <w:rFonts w:ascii="Arial" w:hAnsi="Arial" w:cs="Arial"/>
                                <w:color w:val="FFFFFF" w:themeColor="background1"/>
                                <w:lang w:val="en-ZA"/>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20DA5" id="Text Box 255" o:spid="_x0000_s1080" type="#_x0000_t202" style="position:absolute;left:0;text-align:left;margin-left:42.75pt;margin-top:15.1pt;width:477.75pt;height:2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" filled="f" stroked="f" strokeweight=".5pt">
                <v:textbox>
                  <w:txbxContent>
                    <w:p w14:paraId="4C831B0E" w14:textId="02A90094" w:rsidR="00D15FD8" w:rsidRPr="00B22FCF" w:rsidRDefault="00D15FD8" w:rsidP="00B22FCF">
                      <w:pPr>
                        <w:rPr>
                          <w:color w:val="FFFFFF" w:themeColor="background1"/>
                        </w:rPr>
                      </w:pPr>
                      <w:r w:rsidRPr="00B22FCF">
                        <w:rPr>
                          <w:rFonts w:ascii="Arial" w:hAnsi="Arial" w:cs="Arial"/>
                          <w:color w:val="FFFFFF" w:themeColor="background1"/>
                          <w:lang w:val="en-ZA"/>
                        </w:rPr>
                        <w:t xml:space="preserve">IPSAS Board’s </w:t>
                      </w:r>
                      <w:hyperlink r:id="rId78" w:history="1">
                        <w:r w:rsidRPr="00B22FCF">
                          <w:rPr>
                            <w:rStyle w:val="Hyperlink"/>
                            <w:rFonts w:ascii="Arial" w:hAnsi="Arial" w:cs="Arial"/>
                            <w:color w:val="FFFFFF" w:themeColor="background1"/>
                            <w:lang w:val="en-ZA"/>
                          </w:rPr>
                          <w:t>Handbook on International Public Sector Accounting Pronouncements</w:t>
                        </w:r>
                      </w:hyperlink>
                      <w:r w:rsidRPr="00B22FCF">
                        <w:rPr>
                          <w:rFonts w:ascii="Arial" w:hAnsi="Arial" w:cs="Arial"/>
                          <w:color w:val="FFFFFF" w:themeColor="background1"/>
                          <w:lang w:val="en-ZA"/>
                        </w:rPr>
                        <w:t xml:space="preserve"> (2022)</w:t>
                      </w:r>
                    </w:p>
                  </w:txbxContent>
                </v:textbox>
              </v:shape>
            </w:pict>
          </mc:Fallback>
        </mc:AlternateContent>
      </w:r>
      <w:r>
        <w:rPr>
          <w:rFonts w:ascii="Arial" w:hAnsi="Arial" w:cs="Arial"/>
          <w:noProof/>
          <w:color w:val="16988A"/>
          <w:sz w:val="24"/>
          <w:szCs w:val="24"/>
          <w:lang w:val="en-US"/>
        </w:rPr>
        <w:drawing>
          <wp:anchor distT="0" distB="0" distL="114300" distR="114300" simplePos="0" relativeHeight="251872256" behindDoc="0" locked="0" layoutInCell="1" allowOverlap="1" wp14:anchorId="4FBED93D" wp14:editId="36625C87">
            <wp:simplePos x="0" y="0"/>
            <wp:positionH relativeFrom="column">
              <wp:posOffset>84455</wp:posOffset>
            </wp:positionH>
            <wp:positionV relativeFrom="paragraph">
              <wp:posOffset>105410</wp:posOffset>
            </wp:positionV>
            <wp:extent cx="393700" cy="410210"/>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39370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16988A"/>
          <w:sz w:val="24"/>
          <w:szCs w:val="24"/>
          <w:lang w:val="en-US"/>
        </w:rPr>
        <mc:AlternateContent>
          <mc:Choice Requires="wps">
            <w:drawing>
              <wp:anchor distT="0" distB="0" distL="114300" distR="114300" simplePos="0" relativeHeight="251871232" behindDoc="0" locked="0" layoutInCell="1" allowOverlap="1" wp14:anchorId="00B95553" wp14:editId="65CE4CBA">
                <wp:simplePos x="0" y="0"/>
                <wp:positionH relativeFrom="column">
                  <wp:posOffset>20955</wp:posOffset>
                </wp:positionH>
                <wp:positionV relativeFrom="paragraph">
                  <wp:posOffset>62230</wp:posOffset>
                </wp:positionV>
                <wp:extent cx="523875" cy="523875"/>
                <wp:effectExtent l="0" t="0" r="0" b="0"/>
                <wp:wrapNone/>
                <wp:docPr id="263" name="Oval 263"/>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3B36843A" id="Oval 263" o:spid="_x0000_s1026" style="position:absolute;margin-left:1.65pt;margin-top:4.9pt;width:41.25pt;height:41.25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" fillcolor="white [3212]" stroked="f" strokeweight="1pt">
                <v:stroke joinstyle="miter"/>
              </v:oval>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1855872" behindDoc="0" locked="0" layoutInCell="1" allowOverlap="1" wp14:anchorId="1FF696BC" wp14:editId="0D44CB82">
                <wp:simplePos x="0" y="0"/>
                <wp:positionH relativeFrom="column">
                  <wp:posOffset>368300</wp:posOffset>
                </wp:positionH>
                <wp:positionV relativeFrom="paragraph">
                  <wp:posOffset>113155</wp:posOffset>
                </wp:positionV>
                <wp:extent cx="6219825" cy="427990"/>
                <wp:effectExtent l="0" t="0" r="3175" b="3810"/>
                <wp:wrapNone/>
                <wp:docPr id="254" name="Rounded Rectangle 254"/>
                <wp:cNvGraphicFramePr/>
                <a:graphic xmlns:a="http://schemas.openxmlformats.org/drawingml/2006/main">
                  <a:graphicData uri="http://schemas.microsoft.com/office/word/2010/wordprocessingShape">
                    <wps:wsp>
                      <wps:cNvSpPr/>
                      <wps:spPr>
                        <a:xfrm>
                          <a:off x="0" y="0"/>
                          <a:ext cx="6219825" cy="427990"/>
                        </a:xfrm>
                        <a:prstGeom prst="roundRect">
                          <a:avLst>
                            <a:gd name="adj" fmla="val 8667"/>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46A4B31" id="Rounded Rectangle 254" o:spid="_x0000_s1026" style="position:absolute;margin-left:29pt;margin-top:8.9pt;width:489.75pt;height:33.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" fillcolor="#16988a" stroked="f" strokeweight="1pt">
                <v:stroke joinstyle="miter"/>
              </v:roundrect>
            </w:pict>
          </mc:Fallback>
        </mc:AlternateContent>
      </w:r>
    </w:p>
    <w:p w14:paraId="3304223F" w14:textId="20358CE9" w:rsidR="00B22FCF" w:rsidRDefault="00B22FCF" w:rsidP="0029425D">
      <w:pPr>
        <w:spacing w:after="160" w:line="276" w:lineRule="auto"/>
        <w:contextualSpacing/>
        <w:jc w:val="both"/>
        <w:rPr>
          <w:rFonts w:ascii="Arial" w:hAnsi="Arial" w:cs="Arial"/>
          <w:sz w:val="24"/>
          <w:szCs w:val="24"/>
          <w:lang w:val="en-US"/>
        </w:rPr>
      </w:pPr>
    </w:p>
    <w:p w14:paraId="36FB8EC2" w14:textId="0D0E16FD" w:rsidR="00B22FCF" w:rsidRDefault="00B22FCF" w:rsidP="0029425D">
      <w:pPr>
        <w:spacing w:after="160" w:line="276" w:lineRule="auto"/>
        <w:contextualSpacing/>
        <w:jc w:val="both"/>
        <w:rPr>
          <w:rFonts w:ascii="Arial" w:hAnsi="Arial" w:cs="Arial"/>
          <w:sz w:val="24"/>
          <w:szCs w:val="24"/>
          <w:lang w:val="en-US"/>
        </w:rPr>
      </w:pPr>
    </w:p>
    <w:p w14:paraId="04A93226" w14:textId="0E7346BE" w:rsidR="00B22FCF" w:rsidRDefault="00381F1B" w:rsidP="0029425D">
      <w:pPr>
        <w:spacing w:after="160" w:line="276" w:lineRule="auto"/>
        <w:contextualSpacing/>
        <w:jc w:val="both"/>
        <w:rPr>
          <w:rFonts w:ascii="Arial" w:hAnsi="Arial" w:cs="Arial"/>
          <w:sz w:val="24"/>
          <w:szCs w:val="24"/>
          <w:lang w:val="en-US"/>
        </w:rPr>
      </w:pPr>
      <w:r>
        <w:rPr>
          <w:rFonts w:ascii="Arial" w:hAnsi="Arial" w:cs="Arial"/>
          <w:noProof/>
          <w:color w:val="16988A"/>
          <w:sz w:val="24"/>
          <w:szCs w:val="24"/>
          <w:lang w:val="en-US"/>
        </w:rPr>
        <mc:AlternateContent>
          <mc:Choice Requires="wps">
            <w:drawing>
              <wp:anchor distT="0" distB="0" distL="114300" distR="114300" simplePos="0" relativeHeight="251859968" behindDoc="0" locked="0" layoutInCell="1" allowOverlap="1" wp14:anchorId="25D0CC97" wp14:editId="6F35D4CE">
                <wp:simplePos x="0" y="0"/>
                <wp:positionH relativeFrom="column">
                  <wp:posOffset>368300</wp:posOffset>
                </wp:positionH>
                <wp:positionV relativeFrom="paragraph">
                  <wp:posOffset>148590</wp:posOffset>
                </wp:positionV>
                <wp:extent cx="6219825" cy="428625"/>
                <wp:effectExtent l="0" t="0" r="3175" b="3175"/>
                <wp:wrapNone/>
                <wp:docPr id="257" name="Rounded Rectangle 257"/>
                <wp:cNvGraphicFramePr/>
                <a:graphic xmlns:a="http://schemas.openxmlformats.org/drawingml/2006/main">
                  <a:graphicData uri="http://schemas.microsoft.com/office/word/2010/wordprocessingShape">
                    <wps:wsp>
                      <wps:cNvSpPr/>
                      <wps:spPr>
                        <a:xfrm>
                          <a:off x="0" y="0"/>
                          <a:ext cx="6219825" cy="428625"/>
                        </a:xfrm>
                        <a:prstGeom prst="roundRect">
                          <a:avLst>
                            <a:gd name="adj" fmla="val 8667"/>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A254139" id="Rounded Rectangle 257" o:spid="_x0000_s1026" style="position:absolute;margin-left:29pt;margin-top:11.7pt;width:489.75pt;height:33.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" fillcolor="#16988a" stroked="f" strokeweight="1pt">
                <v:stroke joinstyle="miter"/>
              </v:roundrect>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1874304" behindDoc="0" locked="0" layoutInCell="1" allowOverlap="1" wp14:anchorId="55D760E5" wp14:editId="1E9FB029">
                <wp:simplePos x="0" y="0"/>
                <wp:positionH relativeFrom="column">
                  <wp:posOffset>27305</wp:posOffset>
                </wp:positionH>
                <wp:positionV relativeFrom="paragraph">
                  <wp:posOffset>96520</wp:posOffset>
                </wp:positionV>
                <wp:extent cx="523875" cy="523875"/>
                <wp:effectExtent l="0" t="0" r="0" b="0"/>
                <wp:wrapNone/>
                <wp:docPr id="264" name="Oval 264"/>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135B741A" id="Oval 264" o:spid="_x0000_s1026" style="position:absolute;margin-left:2.15pt;margin-top:7.6pt;width:41.25pt;height:41.2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" fillcolor="white [3212]" stroked="f" strokeweight="1pt">
                <v:stroke joinstyle="miter"/>
              </v:oval>
            </w:pict>
          </mc:Fallback>
        </mc:AlternateContent>
      </w:r>
      <w:r>
        <w:rPr>
          <w:rFonts w:ascii="Arial" w:hAnsi="Arial" w:cs="Arial"/>
          <w:noProof/>
          <w:color w:val="16988A"/>
          <w:sz w:val="24"/>
          <w:szCs w:val="24"/>
          <w:lang w:val="en-US"/>
        </w:rPr>
        <w:drawing>
          <wp:anchor distT="0" distB="0" distL="114300" distR="114300" simplePos="0" relativeHeight="251875328" behindDoc="0" locked="0" layoutInCell="1" allowOverlap="1" wp14:anchorId="220DDC62" wp14:editId="157C32E0">
            <wp:simplePos x="0" y="0"/>
            <wp:positionH relativeFrom="column">
              <wp:posOffset>97155</wp:posOffset>
            </wp:positionH>
            <wp:positionV relativeFrom="paragraph">
              <wp:posOffset>144905</wp:posOffset>
            </wp:positionV>
            <wp:extent cx="393700" cy="410210"/>
            <wp:effectExtent l="0" t="0" r="0"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39370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1C081B" w14:textId="2A8DC5A0" w:rsidR="00B22FCF" w:rsidRDefault="00111867" w:rsidP="0029425D">
      <w:pPr>
        <w:spacing w:after="160" w:line="276" w:lineRule="auto"/>
        <w:contextualSpacing/>
        <w:jc w:val="both"/>
        <w:rPr>
          <w:rFonts w:ascii="Arial" w:hAnsi="Arial" w:cs="Arial"/>
          <w:sz w:val="24"/>
          <w:szCs w:val="24"/>
          <w:lang w:val="en-US"/>
        </w:rPr>
      </w:pPr>
      <w:r>
        <w:rPr>
          <w:rFonts w:ascii="Arial" w:hAnsi="Arial" w:cs="Arial"/>
          <w:noProof/>
          <w:color w:val="16988A"/>
          <w:sz w:val="24"/>
          <w:szCs w:val="24"/>
          <w:lang w:val="en-US"/>
        </w:rPr>
        <mc:AlternateContent>
          <mc:Choice Requires="wps">
            <w:drawing>
              <wp:anchor distT="0" distB="0" distL="114300" distR="114300" simplePos="0" relativeHeight="251860992" behindDoc="0" locked="0" layoutInCell="1" allowOverlap="1" wp14:anchorId="41047DC6" wp14:editId="364AE0D4">
                <wp:simplePos x="0" y="0"/>
                <wp:positionH relativeFrom="column">
                  <wp:posOffset>548005</wp:posOffset>
                </wp:positionH>
                <wp:positionV relativeFrom="paragraph">
                  <wp:posOffset>7110</wp:posOffset>
                </wp:positionV>
                <wp:extent cx="6067425" cy="304800"/>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6067425" cy="304800"/>
                        </a:xfrm>
                        <a:prstGeom prst="rect">
                          <a:avLst/>
                        </a:prstGeom>
                        <a:noFill/>
                        <a:ln w="6350">
                          <a:noFill/>
                        </a:ln>
                      </wps:spPr>
                      <wps:txbx>
                        <w:txbxContent>
                          <w:p w14:paraId="14EDCCA1" w14:textId="6C16794E" w:rsidR="00D15FD8" w:rsidRPr="00B22FCF" w:rsidRDefault="00D15FD8" w:rsidP="00B22FCF">
                            <w:pPr>
                              <w:rPr>
                                <w:color w:val="FFFFFF" w:themeColor="background1"/>
                              </w:rPr>
                            </w:pPr>
                            <w:r w:rsidRPr="00B22FCF">
                              <w:rPr>
                                <w:rFonts w:ascii="Arial" w:hAnsi="Arial" w:cs="Arial"/>
                                <w:color w:val="FFFFFF" w:themeColor="background1"/>
                                <w:lang w:val="en-ZA"/>
                              </w:rPr>
                              <w:t xml:space="preserve">INTOSAI’s </w:t>
                            </w:r>
                            <w:hyperlink r:id="rId79" w:history="1">
                              <w:r w:rsidRPr="00B22FCF">
                                <w:rPr>
                                  <w:rStyle w:val="Hyperlink"/>
                                  <w:rFonts w:ascii="Arial" w:hAnsi="Arial" w:cs="Arial"/>
                                  <w:color w:val="FFFFFF" w:themeColor="background1"/>
                                  <w:lang w:val="en-ZA"/>
                                </w:rPr>
                                <w:t>Framework of Professional Pronouncements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047DC6" id="Text Box 258" o:spid="_x0000_s1081" type="#_x0000_t202" style="position:absolute;left:0;text-align:left;margin-left:43.15pt;margin-top:.55pt;width:477.75pt;height:24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" filled="f" stroked="f" strokeweight=".5pt">
                <v:textbox>
                  <w:txbxContent>
                    <w:p w14:paraId="14EDCCA1" w14:textId="6C16794E" w:rsidR="00D15FD8" w:rsidRPr="00B22FCF" w:rsidRDefault="00D15FD8" w:rsidP="00B22FCF">
                      <w:pPr>
                        <w:rPr>
                          <w:color w:val="FFFFFF" w:themeColor="background1"/>
                        </w:rPr>
                      </w:pPr>
                      <w:r w:rsidRPr="00B22FCF">
                        <w:rPr>
                          <w:rFonts w:ascii="Arial" w:hAnsi="Arial" w:cs="Arial"/>
                          <w:color w:val="FFFFFF" w:themeColor="background1"/>
                          <w:lang w:val="en-ZA"/>
                        </w:rPr>
                        <w:t xml:space="preserve">INTOSAI’s </w:t>
                      </w:r>
                      <w:hyperlink r:id="rId80" w:history="1">
                        <w:r w:rsidRPr="00B22FCF">
                          <w:rPr>
                            <w:rStyle w:val="Hyperlink"/>
                            <w:rFonts w:ascii="Arial" w:hAnsi="Arial" w:cs="Arial"/>
                            <w:color w:val="FFFFFF" w:themeColor="background1"/>
                            <w:lang w:val="en-ZA"/>
                          </w:rPr>
                          <w:t>Framework of Professional Pronouncements</w:t>
                        </w:r>
                      </w:hyperlink>
                    </w:p>
                  </w:txbxContent>
                </v:textbox>
              </v:shape>
            </w:pict>
          </mc:Fallback>
        </mc:AlternateContent>
      </w:r>
    </w:p>
    <w:p w14:paraId="10F690DB" w14:textId="77777777" w:rsidR="00B22FCF" w:rsidRDefault="00B22FCF" w:rsidP="0029425D">
      <w:pPr>
        <w:spacing w:after="160" w:line="276" w:lineRule="auto"/>
        <w:contextualSpacing/>
        <w:jc w:val="both"/>
        <w:rPr>
          <w:rFonts w:ascii="Arial" w:hAnsi="Arial" w:cs="Arial"/>
          <w:sz w:val="24"/>
          <w:szCs w:val="24"/>
          <w:lang w:val="en-US"/>
        </w:rPr>
      </w:pPr>
    </w:p>
    <w:p w14:paraId="59A0ABF7" w14:textId="77777777" w:rsidR="00B22FCF" w:rsidRPr="0029425D" w:rsidRDefault="00B22FCF" w:rsidP="0029425D">
      <w:pPr>
        <w:spacing w:after="160" w:line="276" w:lineRule="auto"/>
        <w:contextualSpacing/>
        <w:jc w:val="both"/>
        <w:rPr>
          <w:rFonts w:ascii="Arial" w:hAnsi="Arial" w:cs="Arial"/>
          <w:sz w:val="24"/>
          <w:szCs w:val="24"/>
          <w:lang w:val="en-US"/>
        </w:rPr>
      </w:pPr>
    </w:p>
    <w:p w14:paraId="319E267D" w14:textId="167F3A09" w:rsidR="0090299D" w:rsidRDefault="00C02B09" w:rsidP="0029425D">
      <w:pPr>
        <w:spacing w:after="160" w:line="276" w:lineRule="auto"/>
        <w:contextualSpacing/>
        <w:jc w:val="both"/>
        <w:rPr>
          <w:rFonts w:ascii="Arial" w:hAnsi="Arial" w:cs="Arial"/>
          <w:sz w:val="24"/>
          <w:szCs w:val="24"/>
          <w:lang w:val="en-US"/>
        </w:rPr>
      </w:pPr>
      <w:r w:rsidRPr="0029425D">
        <w:rPr>
          <w:rFonts w:ascii="Arial" w:hAnsi="Arial" w:cs="Arial"/>
          <w:sz w:val="24"/>
          <w:szCs w:val="24"/>
          <w:lang w:val="en-US"/>
        </w:rPr>
        <w:t>Several organizations have also developed independent diagnostic</w:t>
      </w:r>
      <w:r w:rsidR="008330D9" w:rsidRPr="0029425D">
        <w:rPr>
          <w:rFonts w:ascii="Arial" w:hAnsi="Arial" w:cs="Arial"/>
          <w:sz w:val="24"/>
          <w:szCs w:val="24"/>
          <w:lang w:val="en-US"/>
        </w:rPr>
        <w:t xml:space="preserve"> </w:t>
      </w:r>
      <w:r w:rsidRPr="0029425D">
        <w:rPr>
          <w:rFonts w:ascii="Arial" w:hAnsi="Arial" w:cs="Arial"/>
          <w:sz w:val="24"/>
          <w:szCs w:val="24"/>
          <w:lang w:val="en-US"/>
        </w:rPr>
        <w:t xml:space="preserve">assessment tools to gauge the levels of fiscal transparency against these standards and norms. For instance, </w:t>
      </w:r>
      <w:r w:rsidR="008330D9" w:rsidRPr="0029425D">
        <w:rPr>
          <w:rFonts w:ascii="Arial" w:hAnsi="Arial" w:cs="Arial"/>
          <w:sz w:val="24"/>
          <w:szCs w:val="24"/>
        </w:rPr>
        <w:t>the IBP’s</w:t>
      </w:r>
      <w:r w:rsidR="008330D9" w:rsidRPr="0029425D">
        <w:rPr>
          <w:rFonts w:ascii="Arial" w:hAnsi="Arial" w:cs="Arial"/>
          <w:b/>
          <w:sz w:val="24"/>
          <w:szCs w:val="24"/>
        </w:rPr>
        <w:t xml:space="preserve"> </w:t>
      </w:r>
      <w:hyperlink r:id="rId81" w:history="1">
        <w:r w:rsidR="008330D9" w:rsidRPr="0029425D">
          <w:rPr>
            <w:rStyle w:val="Hyperlink"/>
            <w:rFonts w:ascii="Arial" w:hAnsi="Arial" w:cs="Arial"/>
            <w:sz w:val="24"/>
            <w:szCs w:val="24"/>
          </w:rPr>
          <w:t>Open Budget Survey</w:t>
        </w:r>
      </w:hyperlink>
      <w:r w:rsidR="008330D9" w:rsidRPr="0029425D">
        <w:rPr>
          <w:rFonts w:ascii="Arial" w:hAnsi="Arial" w:cs="Arial"/>
          <w:sz w:val="24"/>
          <w:szCs w:val="24"/>
          <w:u w:val="single"/>
        </w:rPr>
        <w:t xml:space="preserve"> </w:t>
      </w:r>
      <w:r w:rsidR="008330D9" w:rsidRPr="0029425D">
        <w:rPr>
          <w:rFonts w:ascii="Arial" w:hAnsi="Arial" w:cs="Arial"/>
          <w:sz w:val="24"/>
          <w:szCs w:val="24"/>
        </w:rPr>
        <w:t>(OBS) is an independent global survey on budget transparency conducted every two years</w:t>
      </w:r>
      <w:r w:rsidR="00E902E8" w:rsidRPr="0029425D">
        <w:rPr>
          <w:rFonts w:ascii="Arial" w:hAnsi="Arial" w:cs="Arial"/>
          <w:sz w:val="24"/>
          <w:szCs w:val="24"/>
        </w:rPr>
        <w:t>;</w:t>
      </w:r>
      <w:r w:rsidR="008330D9" w:rsidRPr="0029425D">
        <w:rPr>
          <w:rFonts w:ascii="Arial" w:hAnsi="Arial" w:cs="Arial"/>
          <w:sz w:val="24"/>
          <w:szCs w:val="24"/>
        </w:rPr>
        <w:t xml:space="preserve"> </w:t>
      </w:r>
      <w:hyperlink r:id="rId82" w:history="1">
        <w:r w:rsidRPr="0029425D">
          <w:rPr>
            <w:rStyle w:val="Hyperlink"/>
            <w:rFonts w:ascii="Arial" w:hAnsi="Arial" w:cs="Arial"/>
            <w:sz w:val="24"/>
            <w:szCs w:val="24"/>
            <w:lang w:val="en-US"/>
          </w:rPr>
          <w:t>Fiscal Transparency Evaluations</w:t>
        </w:r>
      </w:hyperlink>
      <w:r w:rsidRPr="0029425D">
        <w:rPr>
          <w:rFonts w:ascii="Arial" w:hAnsi="Arial" w:cs="Arial"/>
          <w:sz w:val="24"/>
          <w:szCs w:val="24"/>
          <w:lang w:val="en-US"/>
        </w:rPr>
        <w:t xml:space="preserve"> (FTEs) </w:t>
      </w:r>
      <w:r w:rsidR="006D65E8" w:rsidRPr="0029425D">
        <w:rPr>
          <w:rFonts w:ascii="Arial" w:hAnsi="Arial" w:cs="Arial"/>
          <w:sz w:val="24"/>
          <w:szCs w:val="24"/>
        </w:rPr>
        <w:t xml:space="preserve">are the IMF’s principal fiscal transparency diagnostic tool, </w:t>
      </w:r>
      <w:r w:rsidRPr="0029425D">
        <w:rPr>
          <w:rFonts w:ascii="Arial" w:hAnsi="Arial" w:cs="Arial"/>
          <w:sz w:val="24"/>
          <w:szCs w:val="24"/>
          <w:lang w:val="en-US"/>
        </w:rPr>
        <w:t>assess</w:t>
      </w:r>
      <w:r w:rsidR="006D65E8" w:rsidRPr="0029425D">
        <w:rPr>
          <w:rFonts w:ascii="Arial" w:hAnsi="Arial" w:cs="Arial"/>
          <w:sz w:val="24"/>
          <w:szCs w:val="24"/>
          <w:lang w:val="en-US"/>
        </w:rPr>
        <w:t>ing</w:t>
      </w:r>
      <w:r w:rsidRPr="0029425D">
        <w:rPr>
          <w:rFonts w:ascii="Arial" w:hAnsi="Arial" w:cs="Arial"/>
          <w:sz w:val="24"/>
          <w:szCs w:val="24"/>
          <w:lang w:val="en-US"/>
        </w:rPr>
        <w:t xml:space="preserve"> country practices against the</w:t>
      </w:r>
      <w:r w:rsidR="008330D9" w:rsidRPr="0029425D">
        <w:rPr>
          <w:rFonts w:ascii="Arial" w:hAnsi="Arial" w:cs="Arial"/>
          <w:sz w:val="24"/>
          <w:szCs w:val="24"/>
          <w:lang w:val="en-US"/>
        </w:rPr>
        <w:t xml:space="preserve"> Fiscal Transparency Code</w:t>
      </w:r>
      <w:r w:rsidR="000F78C8" w:rsidRPr="0029425D">
        <w:rPr>
          <w:rFonts w:ascii="Arial" w:hAnsi="Arial" w:cs="Arial"/>
          <w:sz w:val="24"/>
          <w:szCs w:val="24"/>
        </w:rPr>
        <w:t>;</w:t>
      </w:r>
      <w:r w:rsidRPr="0029425D">
        <w:rPr>
          <w:rFonts w:ascii="Arial" w:hAnsi="Arial" w:cs="Arial"/>
          <w:sz w:val="24"/>
          <w:szCs w:val="24"/>
        </w:rPr>
        <w:t xml:space="preserve"> </w:t>
      </w:r>
      <w:r w:rsidRPr="0029425D">
        <w:rPr>
          <w:rFonts w:ascii="Arial" w:hAnsi="Arial" w:cs="Arial"/>
          <w:sz w:val="24"/>
          <w:szCs w:val="24"/>
          <w:lang w:val="en-US"/>
        </w:rPr>
        <w:t xml:space="preserve"> </w:t>
      </w:r>
      <w:r w:rsidR="00E902E8" w:rsidRPr="0029425D">
        <w:rPr>
          <w:rFonts w:ascii="Arial" w:hAnsi="Arial" w:cs="Arial"/>
          <w:sz w:val="24"/>
          <w:szCs w:val="24"/>
          <w:lang w:val="en-US"/>
        </w:rPr>
        <w:t xml:space="preserve">the </w:t>
      </w:r>
      <w:r w:rsidRPr="0029425D">
        <w:rPr>
          <w:rFonts w:ascii="Arial" w:hAnsi="Arial" w:cs="Arial"/>
          <w:sz w:val="24"/>
          <w:szCs w:val="24"/>
          <w:lang w:val="en-US"/>
        </w:rPr>
        <w:t>PEFA</w:t>
      </w:r>
      <w:r w:rsidR="00E902E8" w:rsidRPr="0029425D">
        <w:rPr>
          <w:rFonts w:ascii="Arial" w:hAnsi="Arial" w:cs="Arial"/>
          <w:sz w:val="24"/>
          <w:szCs w:val="24"/>
          <w:lang w:val="en-US"/>
        </w:rPr>
        <w:t xml:space="preserve"> </w:t>
      </w:r>
      <w:r w:rsidR="00E902E8" w:rsidRPr="0029425D">
        <w:rPr>
          <w:rFonts w:ascii="Arial" w:hAnsi="Arial" w:cs="Arial"/>
          <w:sz w:val="24"/>
          <w:szCs w:val="24"/>
          <w:lang w:val="en-ZA"/>
        </w:rPr>
        <w:t>secretariat</w:t>
      </w:r>
      <w:r w:rsidRPr="0029425D">
        <w:rPr>
          <w:rFonts w:ascii="Arial" w:hAnsi="Arial" w:cs="Arial"/>
          <w:sz w:val="24"/>
          <w:szCs w:val="24"/>
          <w:lang w:val="en-US"/>
        </w:rPr>
        <w:t xml:space="preserve">’s </w:t>
      </w:r>
      <w:hyperlink r:id="rId83" w:history="1">
        <w:r w:rsidRPr="0029425D">
          <w:rPr>
            <w:rStyle w:val="Hyperlink"/>
            <w:rFonts w:ascii="Arial" w:hAnsi="Arial" w:cs="Arial"/>
            <w:sz w:val="24"/>
            <w:szCs w:val="24"/>
          </w:rPr>
          <w:t>Framework for assessing public financial management</w:t>
        </w:r>
      </w:hyperlink>
      <w:r w:rsidRPr="0029425D">
        <w:rPr>
          <w:rFonts w:ascii="Arial" w:hAnsi="Arial" w:cs="Arial"/>
          <w:sz w:val="24"/>
          <w:szCs w:val="24"/>
        </w:rPr>
        <w:t xml:space="preserve"> (2016) provides a framework for assessing and reporting on the strengths and weaknesses of PFM </w:t>
      </w:r>
      <w:r w:rsidR="00E902E8" w:rsidRPr="0029425D">
        <w:rPr>
          <w:rFonts w:ascii="Arial" w:hAnsi="Arial" w:cs="Arial"/>
          <w:sz w:val="24"/>
          <w:szCs w:val="24"/>
        </w:rPr>
        <w:t xml:space="preserve">systems </w:t>
      </w:r>
      <w:r w:rsidRPr="0029425D">
        <w:rPr>
          <w:rFonts w:ascii="Arial" w:hAnsi="Arial" w:cs="Arial"/>
          <w:sz w:val="24"/>
          <w:szCs w:val="24"/>
        </w:rPr>
        <w:t>using quantitative indicators to measure performance</w:t>
      </w:r>
      <w:r w:rsidR="000F78C8" w:rsidRPr="0029425D">
        <w:rPr>
          <w:rFonts w:ascii="Arial" w:hAnsi="Arial" w:cs="Arial"/>
          <w:sz w:val="24"/>
          <w:szCs w:val="24"/>
        </w:rPr>
        <w:t xml:space="preserve">; </w:t>
      </w:r>
      <w:r w:rsidR="00FD6452" w:rsidRPr="0029425D">
        <w:rPr>
          <w:rFonts w:ascii="Arial" w:hAnsi="Arial" w:cs="Arial"/>
          <w:sz w:val="24"/>
          <w:szCs w:val="24"/>
          <w:lang w:val="en-US"/>
        </w:rPr>
        <w:t>and t</w:t>
      </w:r>
      <w:r w:rsidR="0072006A" w:rsidRPr="0029425D">
        <w:rPr>
          <w:rFonts w:ascii="Arial" w:hAnsi="Arial" w:cs="Arial"/>
          <w:sz w:val="24"/>
          <w:szCs w:val="24"/>
          <w:lang w:val="en-US"/>
        </w:rPr>
        <w:t>he U</w:t>
      </w:r>
      <w:r w:rsidR="00744301">
        <w:rPr>
          <w:rFonts w:ascii="Arial" w:hAnsi="Arial" w:cs="Arial"/>
          <w:sz w:val="24"/>
          <w:szCs w:val="24"/>
          <w:lang w:val="en-US"/>
        </w:rPr>
        <w:t>nited States</w:t>
      </w:r>
      <w:r w:rsidR="0072006A" w:rsidRPr="0029425D">
        <w:rPr>
          <w:rFonts w:ascii="Arial" w:hAnsi="Arial" w:cs="Arial"/>
          <w:sz w:val="24"/>
          <w:szCs w:val="24"/>
          <w:lang w:val="en-US"/>
        </w:rPr>
        <w:t xml:space="preserve"> Department of State’s</w:t>
      </w:r>
      <w:r w:rsidR="0072006A" w:rsidRPr="0029425D">
        <w:rPr>
          <w:rFonts w:ascii="Arial" w:hAnsi="Arial" w:cs="Arial"/>
          <w:sz w:val="24"/>
          <w:szCs w:val="24"/>
        </w:rPr>
        <w:t xml:space="preserve"> </w:t>
      </w:r>
      <w:r w:rsidR="00EC143D" w:rsidRPr="0029425D">
        <w:rPr>
          <w:rFonts w:ascii="Arial" w:hAnsi="Arial" w:cs="Arial"/>
          <w:sz w:val="24"/>
          <w:szCs w:val="24"/>
        </w:rPr>
        <w:t xml:space="preserve">annual </w:t>
      </w:r>
      <w:r w:rsidR="0072006A" w:rsidRPr="0029425D">
        <w:rPr>
          <w:rFonts w:ascii="Arial" w:hAnsi="Arial" w:cs="Arial"/>
          <w:sz w:val="24"/>
          <w:szCs w:val="24"/>
        </w:rPr>
        <w:t xml:space="preserve">fiscal transparency review process </w:t>
      </w:r>
      <w:r w:rsidR="00E902E8" w:rsidRPr="0029425D">
        <w:rPr>
          <w:rFonts w:ascii="Arial" w:hAnsi="Arial" w:cs="Arial"/>
          <w:sz w:val="24"/>
          <w:szCs w:val="24"/>
        </w:rPr>
        <w:t>results in the publication of</w:t>
      </w:r>
      <w:r w:rsidR="00EC143D" w:rsidRPr="0029425D">
        <w:rPr>
          <w:rFonts w:ascii="Arial" w:hAnsi="Arial" w:cs="Arial"/>
          <w:sz w:val="24"/>
          <w:szCs w:val="24"/>
        </w:rPr>
        <w:t xml:space="preserve"> </w:t>
      </w:r>
      <w:hyperlink r:id="rId84" w:history="1">
        <w:r w:rsidR="00E902E8" w:rsidRPr="0029425D">
          <w:rPr>
            <w:rStyle w:val="Hyperlink"/>
            <w:rFonts w:ascii="Arial" w:hAnsi="Arial" w:cs="Arial"/>
            <w:sz w:val="24"/>
            <w:szCs w:val="24"/>
            <w:lang w:val="en-US"/>
          </w:rPr>
          <w:t>Fiscal Transparency Reports</w:t>
        </w:r>
      </w:hyperlink>
      <w:r w:rsidR="00E902E8" w:rsidRPr="0029425D">
        <w:rPr>
          <w:rFonts w:ascii="Arial" w:hAnsi="Arial" w:cs="Arial"/>
          <w:sz w:val="24"/>
          <w:szCs w:val="24"/>
          <w:lang w:val="en-US"/>
        </w:rPr>
        <w:t xml:space="preserve"> (FTRs) </w:t>
      </w:r>
      <w:r w:rsidR="00E902E8" w:rsidRPr="0029425D">
        <w:rPr>
          <w:rFonts w:ascii="Arial" w:hAnsi="Arial" w:cs="Arial"/>
          <w:sz w:val="24"/>
          <w:szCs w:val="24"/>
        </w:rPr>
        <w:t xml:space="preserve">that show </w:t>
      </w:r>
      <w:r w:rsidR="0072006A" w:rsidRPr="0029425D">
        <w:rPr>
          <w:rFonts w:ascii="Arial" w:hAnsi="Arial" w:cs="Arial"/>
          <w:sz w:val="24"/>
          <w:szCs w:val="24"/>
        </w:rPr>
        <w:t>whether governments meet minimum requirements of fiscal transparency</w:t>
      </w:r>
      <w:r w:rsidR="00E902E8" w:rsidRPr="0029425D">
        <w:rPr>
          <w:rFonts w:ascii="Arial" w:hAnsi="Arial" w:cs="Arial"/>
          <w:sz w:val="24"/>
          <w:szCs w:val="24"/>
        </w:rPr>
        <w:t>.</w:t>
      </w:r>
      <w:r w:rsidR="0072006A" w:rsidRPr="0029425D">
        <w:rPr>
          <w:rFonts w:ascii="Arial" w:hAnsi="Arial" w:cs="Arial"/>
          <w:sz w:val="24"/>
          <w:szCs w:val="24"/>
        </w:rPr>
        <w:t xml:space="preserve"> </w:t>
      </w:r>
      <w:r w:rsidR="0072006A" w:rsidRPr="0029425D">
        <w:rPr>
          <w:rFonts w:ascii="Arial" w:hAnsi="Arial" w:cs="Arial"/>
          <w:sz w:val="24"/>
          <w:szCs w:val="24"/>
          <w:lang w:val="en-US"/>
        </w:rPr>
        <w:t xml:space="preserve">Fiscal transparency assessments are discussed </w:t>
      </w:r>
      <w:r w:rsidR="00EC143D" w:rsidRPr="0029425D">
        <w:rPr>
          <w:rFonts w:ascii="Arial" w:hAnsi="Arial" w:cs="Arial"/>
          <w:sz w:val="24"/>
          <w:szCs w:val="24"/>
          <w:lang w:val="en-US"/>
        </w:rPr>
        <w:t>in detail</w:t>
      </w:r>
      <w:r w:rsidR="000F78C8" w:rsidRPr="0029425D">
        <w:rPr>
          <w:rFonts w:ascii="Arial" w:hAnsi="Arial" w:cs="Arial"/>
          <w:sz w:val="24"/>
          <w:szCs w:val="24"/>
          <w:lang w:val="en-US"/>
        </w:rPr>
        <w:t xml:space="preserve"> </w:t>
      </w:r>
      <w:r w:rsidR="0072006A" w:rsidRPr="0029425D">
        <w:rPr>
          <w:rFonts w:ascii="Arial" w:hAnsi="Arial" w:cs="Arial"/>
          <w:sz w:val="24"/>
          <w:szCs w:val="24"/>
          <w:lang w:val="en-US"/>
        </w:rPr>
        <w:t>in Module 3.</w:t>
      </w:r>
    </w:p>
    <w:p w14:paraId="58276AA1" w14:textId="77777777" w:rsidR="00514936" w:rsidRPr="0029425D" w:rsidRDefault="00514936" w:rsidP="0029425D">
      <w:pPr>
        <w:spacing w:after="160" w:line="276" w:lineRule="auto"/>
        <w:contextualSpacing/>
        <w:jc w:val="both"/>
        <w:rPr>
          <w:rFonts w:ascii="Arial" w:hAnsi="Arial" w:cs="Arial"/>
          <w:sz w:val="24"/>
          <w:szCs w:val="24"/>
          <w:lang w:val="en-US"/>
        </w:rPr>
      </w:pPr>
    </w:p>
    <w:p w14:paraId="3A82A1B8" w14:textId="2F1792C9" w:rsidR="00E902E8" w:rsidRDefault="00851617">
      <w:pPr>
        <w:pStyle w:val="Heading2"/>
        <w:numPr>
          <w:ilvl w:val="1"/>
          <w:numId w:val="15"/>
        </w:numPr>
        <w:rPr>
          <w:rFonts w:ascii="Arial" w:hAnsi="Arial" w:cs="Arial"/>
          <w:b/>
          <w:bCs/>
          <w:color w:val="16988A"/>
          <w:sz w:val="36"/>
          <w:szCs w:val="36"/>
        </w:rPr>
      </w:pPr>
      <w:bookmarkStart w:id="487" w:name="_Toc115369986"/>
      <w:bookmarkStart w:id="488" w:name="_Toc115729061"/>
      <w:bookmarkStart w:id="489" w:name="_Toc115877708"/>
      <w:bookmarkStart w:id="490" w:name="_Toc116056992"/>
      <w:bookmarkStart w:id="491" w:name="_Toc119794433"/>
      <w:bookmarkStart w:id="492" w:name="_Toc123204417"/>
      <w:bookmarkStart w:id="493" w:name="_Toc123216506"/>
      <w:bookmarkStart w:id="494" w:name="_Toc123217346"/>
      <w:bookmarkStart w:id="495" w:name="_Toc123913318"/>
      <w:bookmarkStart w:id="496" w:name="_Toc123913974"/>
      <w:bookmarkStart w:id="497" w:name="_Toc125495802"/>
      <w:bookmarkStart w:id="498" w:name="_Toc125566593"/>
      <w:r w:rsidRPr="00111867">
        <w:rPr>
          <w:rFonts w:ascii="Arial" w:hAnsi="Arial" w:cs="Arial"/>
          <w:b/>
          <w:bCs/>
          <w:color w:val="16988A"/>
          <w:sz w:val="36"/>
          <w:szCs w:val="36"/>
        </w:rPr>
        <w:t xml:space="preserve">The GIFT </w:t>
      </w:r>
      <w:proofErr w:type="gramStart"/>
      <w:r w:rsidR="006355D5">
        <w:rPr>
          <w:rFonts w:ascii="Arial" w:hAnsi="Arial" w:cs="Arial"/>
          <w:b/>
          <w:bCs/>
          <w:color w:val="16988A"/>
          <w:sz w:val="36"/>
          <w:szCs w:val="36"/>
        </w:rPr>
        <w:t>n</w:t>
      </w:r>
      <w:r w:rsidRPr="00111867">
        <w:rPr>
          <w:rFonts w:ascii="Arial" w:hAnsi="Arial" w:cs="Arial"/>
          <w:b/>
          <w:bCs/>
          <w:color w:val="16988A"/>
          <w:sz w:val="36"/>
          <w:szCs w:val="36"/>
        </w:rPr>
        <w:t>etwork</w:t>
      </w:r>
      <w:bookmarkEnd w:id="487"/>
      <w:bookmarkEnd w:id="488"/>
      <w:bookmarkEnd w:id="489"/>
      <w:bookmarkEnd w:id="490"/>
      <w:bookmarkEnd w:id="491"/>
      <w:bookmarkEnd w:id="492"/>
      <w:bookmarkEnd w:id="493"/>
      <w:bookmarkEnd w:id="494"/>
      <w:bookmarkEnd w:id="495"/>
      <w:bookmarkEnd w:id="496"/>
      <w:bookmarkEnd w:id="497"/>
      <w:bookmarkEnd w:id="498"/>
      <w:proofErr w:type="gramEnd"/>
    </w:p>
    <w:p w14:paraId="12AE6F9A" w14:textId="77777777" w:rsidR="00514936" w:rsidRPr="00514936" w:rsidRDefault="00514936" w:rsidP="00514936"/>
    <w:p w14:paraId="49EA883C" w14:textId="499AFFB5" w:rsidR="00E2144A" w:rsidRPr="00E2144A" w:rsidRDefault="00BF3EC0" w:rsidP="00E2144A">
      <w:r w:rsidRPr="00767E38">
        <w:rPr>
          <w:rFonts w:ascii="Arial" w:hAnsi="Arial" w:cs="Arial"/>
          <w:noProof/>
          <w:sz w:val="24"/>
          <w:szCs w:val="24"/>
          <w:lang w:val="en-US"/>
        </w:rPr>
        <w:drawing>
          <wp:anchor distT="0" distB="0" distL="114300" distR="114300" simplePos="0" relativeHeight="251876352" behindDoc="0" locked="0" layoutInCell="1" allowOverlap="1" wp14:anchorId="26324174" wp14:editId="62D076AA">
            <wp:simplePos x="0" y="0"/>
            <wp:positionH relativeFrom="column">
              <wp:posOffset>0</wp:posOffset>
            </wp:positionH>
            <wp:positionV relativeFrom="paragraph">
              <wp:posOffset>174625</wp:posOffset>
            </wp:positionV>
            <wp:extent cx="1791970" cy="1151890"/>
            <wp:effectExtent l="0" t="0" r="0" b="381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85" cstate="email">
                      <a:extLst>
                        <a:ext uri="{28A0092B-C50C-407E-A947-70E740481C1C}">
                          <a14:useLocalDpi xmlns:a14="http://schemas.microsoft.com/office/drawing/2010/main"/>
                        </a:ext>
                      </a:extLst>
                    </a:blip>
                    <a:stretch>
                      <a:fillRect/>
                    </a:stretch>
                  </pic:blipFill>
                  <pic:spPr>
                    <a:xfrm>
                      <a:off x="0" y="0"/>
                      <a:ext cx="1791970" cy="1151890"/>
                    </a:xfrm>
                    <a:prstGeom prst="rect">
                      <a:avLst/>
                    </a:prstGeom>
                  </pic:spPr>
                </pic:pic>
              </a:graphicData>
            </a:graphic>
            <wp14:sizeRelH relativeFrom="page">
              <wp14:pctWidth>0</wp14:pctWidth>
            </wp14:sizeRelH>
            <wp14:sizeRelV relativeFrom="page">
              <wp14:pctHeight>0</wp14:pctHeight>
            </wp14:sizeRelV>
          </wp:anchor>
        </w:drawing>
      </w:r>
    </w:p>
    <w:p w14:paraId="04B8030A" w14:textId="78900EF7" w:rsidR="00C60CA7" w:rsidRPr="00767E38" w:rsidRDefault="00AC4DF7" w:rsidP="00767E38">
      <w:pPr>
        <w:spacing w:before="120" w:after="120" w:line="276" w:lineRule="auto"/>
        <w:contextualSpacing/>
        <w:jc w:val="both"/>
        <w:rPr>
          <w:rFonts w:ascii="Arial" w:hAnsi="Arial" w:cs="Arial"/>
          <w:sz w:val="24"/>
          <w:szCs w:val="24"/>
          <w:lang w:val="en-US"/>
        </w:rPr>
      </w:pPr>
      <w:hyperlink r:id="rId86" w:history="1">
        <w:r w:rsidR="00D835E6" w:rsidRPr="00767E38">
          <w:rPr>
            <w:rStyle w:val="Hyperlink"/>
            <w:rFonts w:ascii="Arial" w:hAnsi="Arial" w:cs="Arial"/>
            <w:sz w:val="24"/>
            <w:szCs w:val="24"/>
            <w:lang w:val="en-US"/>
          </w:rPr>
          <w:t>GIFT</w:t>
        </w:r>
      </w:hyperlink>
      <w:r w:rsidR="00D835E6" w:rsidRPr="00767E38">
        <w:rPr>
          <w:rFonts w:ascii="Arial" w:hAnsi="Arial" w:cs="Arial"/>
          <w:sz w:val="24"/>
          <w:szCs w:val="24"/>
          <w:lang w:val="en-US"/>
        </w:rPr>
        <w:t xml:space="preserve"> was established </w:t>
      </w:r>
      <w:r w:rsidR="00C60CA7" w:rsidRPr="00767E38">
        <w:rPr>
          <w:rFonts w:ascii="Arial" w:hAnsi="Arial" w:cs="Arial"/>
          <w:sz w:val="24"/>
          <w:szCs w:val="24"/>
          <w:lang w:val="en-US"/>
        </w:rPr>
        <w:t xml:space="preserve">as an action network </w:t>
      </w:r>
      <w:r w:rsidR="00D835E6" w:rsidRPr="00767E38">
        <w:rPr>
          <w:rFonts w:ascii="Arial" w:hAnsi="Arial" w:cs="Arial"/>
          <w:sz w:val="24"/>
          <w:szCs w:val="24"/>
          <w:lang w:val="en-US"/>
        </w:rPr>
        <w:t xml:space="preserve">in 2011 by IBP, the World Bank, IMF and the budget ministries of Brazil and the Philippines, </w:t>
      </w:r>
      <w:r w:rsidR="00C60CA7" w:rsidRPr="00767E38">
        <w:rPr>
          <w:rFonts w:ascii="Arial" w:hAnsi="Arial" w:cs="Arial"/>
          <w:sz w:val="24"/>
          <w:szCs w:val="24"/>
          <w:lang w:val="en-US"/>
        </w:rPr>
        <w:t xml:space="preserve">to achieve sustained and measurable improvements in fiscal transparency and inclusive participation by advancing global norms, peer-learning, collaborative assistance and promoting the use of digital tools. </w:t>
      </w:r>
    </w:p>
    <w:p w14:paraId="69632885" w14:textId="1D94F3D6" w:rsidR="00D835E6" w:rsidRPr="00767E38" w:rsidRDefault="00D835E6" w:rsidP="00767E38">
      <w:pPr>
        <w:spacing w:before="120" w:after="120" w:line="276" w:lineRule="auto"/>
        <w:contextualSpacing/>
        <w:jc w:val="both"/>
        <w:rPr>
          <w:rFonts w:ascii="Arial" w:hAnsi="Arial" w:cs="Arial"/>
          <w:sz w:val="24"/>
          <w:szCs w:val="24"/>
        </w:rPr>
      </w:pPr>
    </w:p>
    <w:p w14:paraId="3256F70F" w14:textId="4A8CF4AE" w:rsidR="00C60CA7" w:rsidRPr="00767E38" w:rsidRDefault="00D835E6" w:rsidP="00767E38">
      <w:pPr>
        <w:spacing w:before="120" w:after="120" w:line="276" w:lineRule="auto"/>
        <w:contextualSpacing/>
        <w:jc w:val="both"/>
        <w:rPr>
          <w:rFonts w:ascii="Arial" w:hAnsi="Arial" w:cs="Arial"/>
          <w:sz w:val="24"/>
          <w:szCs w:val="24"/>
          <w:lang w:val="en-US"/>
        </w:rPr>
      </w:pPr>
      <w:r w:rsidRPr="00767E38">
        <w:rPr>
          <w:rFonts w:ascii="Arial" w:hAnsi="Arial" w:cs="Arial"/>
          <w:sz w:val="24"/>
          <w:szCs w:val="24"/>
          <w:lang w:val="en-US"/>
        </w:rPr>
        <w:t xml:space="preserve">The GIFT network is formed by ministries of finance, civil society organizations (CSOs), international financial institutions, budget specialized organizations, and donors, all key actors in the world of fiscal transparency. The network is </w:t>
      </w:r>
      <w:r w:rsidR="00303E5B" w:rsidRPr="00767E38">
        <w:rPr>
          <w:rFonts w:ascii="Arial" w:hAnsi="Arial" w:cs="Arial"/>
          <w:sz w:val="24"/>
          <w:szCs w:val="24"/>
          <w:lang w:val="en-US"/>
        </w:rPr>
        <w:t xml:space="preserve">currently </w:t>
      </w:r>
      <w:r w:rsidRPr="00767E38">
        <w:rPr>
          <w:rFonts w:ascii="Arial" w:hAnsi="Arial" w:cs="Arial"/>
          <w:sz w:val="24"/>
          <w:szCs w:val="24"/>
          <w:lang w:val="en-US"/>
        </w:rPr>
        <w:t xml:space="preserve">comprised of </w:t>
      </w:r>
      <w:r w:rsidR="00303E5B" w:rsidRPr="00767E38">
        <w:rPr>
          <w:rFonts w:ascii="Arial" w:hAnsi="Arial" w:cs="Arial"/>
          <w:sz w:val="24"/>
          <w:szCs w:val="24"/>
          <w:lang w:val="en-US"/>
        </w:rPr>
        <w:t>over</w:t>
      </w:r>
      <w:r w:rsidRPr="00767E38">
        <w:rPr>
          <w:rFonts w:ascii="Arial" w:hAnsi="Arial" w:cs="Arial"/>
          <w:sz w:val="24"/>
          <w:szCs w:val="24"/>
          <w:lang w:val="en-US"/>
        </w:rPr>
        <w:t xml:space="preserve"> </w:t>
      </w:r>
      <w:r w:rsidR="00303E5B" w:rsidRPr="00767E38">
        <w:rPr>
          <w:rFonts w:ascii="Arial" w:hAnsi="Arial" w:cs="Arial"/>
          <w:sz w:val="24"/>
          <w:szCs w:val="24"/>
          <w:lang w:val="en-US"/>
        </w:rPr>
        <w:t xml:space="preserve">50 members, including the </w:t>
      </w:r>
      <w:r w:rsidRPr="00767E38">
        <w:rPr>
          <w:rFonts w:ascii="Arial" w:hAnsi="Arial" w:cs="Arial"/>
          <w:sz w:val="24"/>
          <w:szCs w:val="24"/>
          <w:lang w:val="en-US"/>
        </w:rPr>
        <w:t>most influential actors in the field that set fiscal transparency norms and standards, as well as those that practically implement these principles at government level.</w:t>
      </w:r>
    </w:p>
    <w:p w14:paraId="75C39483" w14:textId="77777777" w:rsidR="00C60CA7" w:rsidRPr="00767E38" w:rsidRDefault="00C60CA7" w:rsidP="00767E38">
      <w:pPr>
        <w:spacing w:before="120" w:after="120" w:line="276" w:lineRule="auto"/>
        <w:contextualSpacing/>
        <w:jc w:val="both"/>
        <w:rPr>
          <w:rFonts w:ascii="Arial" w:hAnsi="Arial" w:cs="Arial"/>
          <w:sz w:val="24"/>
          <w:szCs w:val="24"/>
          <w:lang w:val="en-US"/>
        </w:rPr>
      </w:pPr>
    </w:p>
    <w:p w14:paraId="5B050B7C" w14:textId="4B3EF7C1" w:rsidR="00BF3EC0" w:rsidRPr="00767E38" w:rsidRDefault="00C60CA7" w:rsidP="00767E38">
      <w:pPr>
        <w:spacing w:before="120" w:after="120" w:line="276" w:lineRule="auto"/>
        <w:contextualSpacing/>
        <w:jc w:val="both"/>
        <w:rPr>
          <w:rFonts w:ascii="Arial" w:hAnsi="Arial" w:cs="Arial"/>
          <w:sz w:val="24"/>
          <w:szCs w:val="24"/>
          <w:lang w:val="en-US"/>
        </w:rPr>
      </w:pPr>
      <w:r w:rsidRPr="00767E38">
        <w:rPr>
          <w:rFonts w:ascii="Arial" w:hAnsi="Arial" w:cs="Arial"/>
          <w:sz w:val="24"/>
          <w:szCs w:val="24"/>
          <w:lang w:val="en-US"/>
        </w:rPr>
        <w:t>T</w:t>
      </w:r>
      <w:r w:rsidR="00D835E6" w:rsidRPr="00767E38">
        <w:rPr>
          <w:rFonts w:ascii="Arial" w:hAnsi="Arial" w:cs="Arial"/>
          <w:sz w:val="24"/>
          <w:szCs w:val="24"/>
          <w:lang w:val="en-US"/>
        </w:rPr>
        <w:t xml:space="preserve">he network effectively provides a space where </w:t>
      </w:r>
      <w:r w:rsidR="00303E5B" w:rsidRPr="00767E38">
        <w:rPr>
          <w:rFonts w:ascii="Arial" w:hAnsi="Arial" w:cs="Arial"/>
          <w:sz w:val="24"/>
          <w:szCs w:val="24"/>
          <w:lang w:val="en-US"/>
        </w:rPr>
        <w:t>these institutions</w:t>
      </w:r>
      <w:r w:rsidR="00D835E6" w:rsidRPr="00767E38">
        <w:rPr>
          <w:rFonts w:ascii="Arial" w:hAnsi="Arial" w:cs="Arial"/>
          <w:sz w:val="24"/>
          <w:szCs w:val="24"/>
          <w:lang w:val="en-US"/>
        </w:rPr>
        <w:t xml:space="preserve"> can </w:t>
      </w:r>
      <w:r w:rsidR="00FB6BE6" w:rsidRPr="00767E38">
        <w:rPr>
          <w:rFonts w:ascii="Arial" w:hAnsi="Arial" w:cs="Arial"/>
          <w:sz w:val="24"/>
          <w:szCs w:val="24"/>
          <w:lang w:val="en-US"/>
        </w:rPr>
        <w:t xml:space="preserve">engage in dialogue, </w:t>
      </w:r>
      <w:r w:rsidR="00D835E6" w:rsidRPr="00767E38">
        <w:rPr>
          <w:rFonts w:ascii="Arial" w:hAnsi="Arial" w:cs="Arial"/>
          <w:sz w:val="24"/>
          <w:szCs w:val="24"/>
          <w:lang w:val="en-US"/>
        </w:rPr>
        <w:t>work</w:t>
      </w:r>
      <w:r w:rsidR="00FB6BE6" w:rsidRPr="00767E38">
        <w:rPr>
          <w:rFonts w:ascii="Arial" w:hAnsi="Arial" w:cs="Arial"/>
          <w:sz w:val="24"/>
          <w:szCs w:val="24"/>
          <w:lang w:val="en-US"/>
        </w:rPr>
        <w:t>ing</w:t>
      </w:r>
      <w:r w:rsidRPr="00767E38">
        <w:rPr>
          <w:rFonts w:ascii="Arial" w:hAnsi="Arial" w:cs="Arial"/>
          <w:sz w:val="24"/>
          <w:szCs w:val="24"/>
          <w:lang w:val="en-US"/>
        </w:rPr>
        <w:t xml:space="preserve"> together </w:t>
      </w:r>
      <w:r w:rsidR="00D835E6" w:rsidRPr="00767E38">
        <w:rPr>
          <w:rFonts w:ascii="Arial" w:hAnsi="Arial" w:cs="Arial"/>
          <w:sz w:val="24"/>
          <w:szCs w:val="24"/>
          <w:lang w:val="en-US"/>
        </w:rPr>
        <w:t xml:space="preserve">to </w:t>
      </w:r>
      <w:r w:rsidR="00303E5B" w:rsidRPr="00767E38">
        <w:rPr>
          <w:rFonts w:ascii="Arial" w:hAnsi="Arial" w:cs="Arial"/>
          <w:sz w:val="24"/>
          <w:szCs w:val="24"/>
          <w:lang w:val="en-US"/>
        </w:rPr>
        <w:t xml:space="preserve">find, share and advance solutions to challenges in fiscal openness. </w:t>
      </w:r>
      <w:r w:rsidRPr="00767E38">
        <w:rPr>
          <w:rFonts w:ascii="Arial" w:hAnsi="Arial" w:cs="Arial"/>
          <w:sz w:val="24"/>
          <w:szCs w:val="24"/>
          <w:lang w:val="en-US"/>
        </w:rPr>
        <w:t xml:space="preserve">GIFT members, stewards, are represented by </w:t>
      </w:r>
      <w:r w:rsidR="00D53265" w:rsidRPr="00767E38">
        <w:rPr>
          <w:rFonts w:ascii="Arial" w:hAnsi="Arial" w:cs="Arial"/>
          <w:sz w:val="24"/>
          <w:szCs w:val="24"/>
          <w:lang w:val="en-US"/>
        </w:rPr>
        <w:t>individuals</w:t>
      </w:r>
      <w:r w:rsidRPr="00767E38">
        <w:rPr>
          <w:rFonts w:ascii="Arial" w:hAnsi="Arial" w:cs="Arial"/>
          <w:sz w:val="24"/>
          <w:szCs w:val="24"/>
          <w:lang w:val="en-US"/>
        </w:rPr>
        <w:t xml:space="preserve"> who strongly believe in the importance of fiscal transparency and public participation</w:t>
      </w:r>
      <w:r w:rsidR="00FB6BE6" w:rsidRPr="00767E38">
        <w:rPr>
          <w:rFonts w:ascii="Arial" w:hAnsi="Arial" w:cs="Arial"/>
          <w:sz w:val="24"/>
          <w:szCs w:val="24"/>
          <w:lang w:val="en-US"/>
        </w:rPr>
        <w:t xml:space="preserve"> - r</w:t>
      </w:r>
      <w:r w:rsidRPr="00767E38">
        <w:rPr>
          <w:rFonts w:ascii="Arial" w:hAnsi="Arial" w:cs="Arial"/>
          <w:sz w:val="24"/>
          <w:szCs w:val="24"/>
          <w:lang w:val="en-US"/>
        </w:rPr>
        <w:t xml:space="preserve">esilient, convinced, committed </w:t>
      </w:r>
      <w:r w:rsidR="00D53265" w:rsidRPr="00767E38">
        <w:rPr>
          <w:rFonts w:ascii="Arial" w:hAnsi="Arial" w:cs="Arial"/>
          <w:sz w:val="24"/>
          <w:szCs w:val="24"/>
          <w:lang w:val="en-US"/>
        </w:rPr>
        <w:t>individuals</w:t>
      </w:r>
      <w:r w:rsidRPr="00767E38">
        <w:rPr>
          <w:rFonts w:ascii="Arial" w:hAnsi="Arial" w:cs="Arial"/>
          <w:sz w:val="24"/>
          <w:szCs w:val="24"/>
          <w:lang w:val="en-US"/>
        </w:rPr>
        <w:t xml:space="preserve"> that support, challenge, and encourage each other, </w:t>
      </w:r>
      <w:r w:rsidR="00237ECC" w:rsidRPr="00767E38">
        <w:rPr>
          <w:rFonts w:ascii="Arial" w:hAnsi="Arial" w:cs="Arial"/>
          <w:sz w:val="24"/>
          <w:szCs w:val="24"/>
          <w:lang w:val="en-US"/>
        </w:rPr>
        <w:t xml:space="preserve">providing rich experiences that </w:t>
      </w:r>
      <w:r w:rsidRPr="00767E38">
        <w:rPr>
          <w:rFonts w:ascii="Arial" w:hAnsi="Arial" w:cs="Arial"/>
          <w:sz w:val="24"/>
          <w:szCs w:val="24"/>
          <w:lang w:val="en-US"/>
        </w:rPr>
        <w:t>enabl</w:t>
      </w:r>
      <w:r w:rsidR="00237ECC" w:rsidRPr="00767E38">
        <w:rPr>
          <w:rFonts w:ascii="Arial" w:hAnsi="Arial" w:cs="Arial"/>
          <w:sz w:val="24"/>
          <w:szCs w:val="24"/>
          <w:lang w:val="en-US"/>
        </w:rPr>
        <w:t>e</w:t>
      </w:r>
      <w:r w:rsidRPr="00767E38">
        <w:rPr>
          <w:rFonts w:ascii="Arial" w:hAnsi="Arial" w:cs="Arial"/>
          <w:sz w:val="24"/>
          <w:szCs w:val="24"/>
          <w:lang w:val="en-US"/>
        </w:rPr>
        <w:t xml:space="preserve"> learning to take place in a truthful, frank setting.  </w:t>
      </w:r>
    </w:p>
    <w:p w14:paraId="60777F29" w14:textId="378172E8" w:rsidR="00F6185F" w:rsidRPr="00E2144A" w:rsidRDefault="00F6185F">
      <w:pPr>
        <w:pStyle w:val="Heading2"/>
        <w:numPr>
          <w:ilvl w:val="1"/>
          <w:numId w:val="15"/>
        </w:numPr>
        <w:rPr>
          <w:rFonts w:ascii="Arial" w:hAnsi="Arial" w:cs="Arial"/>
          <w:b/>
          <w:bCs/>
          <w:color w:val="16988A"/>
          <w:sz w:val="36"/>
          <w:szCs w:val="36"/>
        </w:rPr>
      </w:pPr>
      <w:bookmarkStart w:id="499" w:name="_Toc115369987"/>
      <w:bookmarkStart w:id="500" w:name="_Toc115729062"/>
      <w:bookmarkStart w:id="501" w:name="_Toc115877709"/>
      <w:bookmarkStart w:id="502" w:name="_Toc116056993"/>
      <w:bookmarkStart w:id="503" w:name="_Toc119794434"/>
      <w:bookmarkStart w:id="504" w:name="_Toc123204418"/>
      <w:bookmarkStart w:id="505" w:name="_Toc123216507"/>
      <w:bookmarkStart w:id="506" w:name="_Toc123217347"/>
      <w:bookmarkStart w:id="507" w:name="_Toc123913319"/>
      <w:bookmarkStart w:id="508" w:name="_Toc123913975"/>
      <w:bookmarkStart w:id="509" w:name="_Toc125495803"/>
      <w:bookmarkStart w:id="510" w:name="_Toc125566594"/>
      <w:r w:rsidRPr="00E2144A">
        <w:rPr>
          <w:rFonts w:ascii="Arial" w:hAnsi="Arial" w:cs="Arial"/>
          <w:b/>
          <w:bCs/>
          <w:color w:val="16988A"/>
          <w:sz w:val="36"/>
          <w:szCs w:val="36"/>
        </w:rPr>
        <w:lastRenderedPageBreak/>
        <w:t xml:space="preserve">GIFT’s </w:t>
      </w:r>
      <w:r w:rsidR="005851DD">
        <w:rPr>
          <w:rFonts w:ascii="Arial" w:hAnsi="Arial" w:cs="Arial"/>
          <w:b/>
          <w:bCs/>
          <w:color w:val="16988A"/>
          <w:sz w:val="36"/>
          <w:szCs w:val="36"/>
        </w:rPr>
        <w:t>c</w:t>
      </w:r>
      <w:r w:rsidR="00E2144A" w:rsidRPr="00E2144A">
        <w:rPr>
          <w:rFonts w:ascii="Arial" w:hAnsi="Arial" w:cs="Arial"/>
          <w:b/>
          <w:bCs/>
          <w:color w:val="16988A"/>
          <w:sz w:val="36"/>
          <w:szCs w:val="36"/>
        </w:rPr>
        <w:t xml:space="preserve">ontribution </w:t>
      </w:r>
      <w:r w:rsidR="00E2144A">
        <w:rPr>
          <w:rFonts w:ascii="Arial" w:hAnsi="Arial" w:cs="Arial"/>
          <w:b/>
          <w:bCs/>
          <w:color w:val="16988A"/>
          <w:sz w:val="36"/>
          <w:szCs w:val="36"/>
        </w:rPr>
        <w:t>t</w:t>
      </w:r>
      <w:r w:rsidR="00E2144A" w:rsidRPr="00E2144A">
        <w:rPr>
          <w:rFonts w:ascii="Arial" w:hAnsi="Arial" w:cs="Arial"/>
          <w:b/>
          <w:bCs/>
          <w:color w:val="16988A"/>
          <w:sz w:val="36"/>
          <w:szCs w:val="36"/>
        </w:rPr>
        <w:t xml:space="preserve">o </w:t>
      </w:r>
      <w:r w:rsidR="005851DD">
        <w:rPr>
          <w:rFonts w:ascii="Arial" w:hAnsi="Arial" w:cs="Arial"/>
          <w:b/>
          <w:bCs/>
          <w:color w:val="16988A"/>
          <w:sz w:val="36"/>
          <w:szCs w:val="36"/>
        </w:rPr>
        <w:t>n</w:t>
      </w:r>
      <w:r w:rsidR="00E2144A" w:rsidRPr="00E2144A">
        <w:rPr>
          <w:rFonts w:ascii="Arial" w:hAnsi="Arial" w:cs="Arial"/>
          <w:b/>
          <w:bCs/>
          <w:color w:val="16988A"/>
          <w:sz w:val="36"/>
          <w:szCs w:val="36"/>
        </w:rPr>
        <w:t xml:space="preserve">orms </w:t>
      </w:r>
      <w:r w:rsidR="00E2144A">
        <w:rPr>
          <w:rFonts w:ascii="Arial" w:hAnsi="Arial" w:cs="Arial"/>
          <w:b/>
          <w:bCs/>
          <w:color w:val="16988A"/>
          <w:sz w:val="36"/>
          <w:szCs w:val="36"/>
        </w:rPr>
        <w:t>a</w:t>
      </w:r>
      <w:r w:rsidR="00E2144A" w:rsidRPr="00E2144A">
        <w:rPr>
          <w:rFonts w:ascii="Arial" w:hAnsi="Arial" w:cs="Arial"/>
          <w:b/>
          <w:bCs/>
          <w:color w:val="16988A"/>
          <w:sz w:val="36"/>
          <w:szCs w:val="36"/>
        </w:rPr>
        <w:t xml:space="preserve">nd </w:t>
      </w:r>
      <w:r w:rsidR="003B5A79">
        <w:rPr>
          <w:rFonts w:ascii="Arial" w:hAnsi="Arial" w:cs="Arial"/>
          <w:b/>
          <w:bCs/>
          <w:color w:val="16988A"/>
          <w:sz w:val="36"/>
          <w:szCs w:val="36"/>
        </w:rPr>
        <w:t>s</w:t>
      </w:r>
      <w:r w:rsidR="00E2144A" w:rsidRPr="00E2144A">
        <w:rPr>
          <w:rFonts w:ascii="Arial" w:hAnsi="Arial" w:cs="Arial"/>
          <w:b/>
          <w:bCs/>
          <w:color w:val="16988A"/>
          <w:sz w:val="36"/>
          <w:szCs w:val="36"/>
        </w:rPr>
        <w:t>tandards</w:t>
      </w:r>
      <w:bookmarkEnd w:id="499"/>
      <w:bookmarkEnd w:id="500"/>
      <w:bookmarkEnd w:id="501"/>
      <w:bookmarkEnd w:id="502"/>
      <w:bookmarkEnd w:id="503"/>
      <w:bookmarkEnd w:id="504"/>
      <w:bookmarkEnd w:id="505"/>
      <w:bookmarkEnd w:id="506"/>
      <w:bookmarkEnd w:id="507"/>
      <w:bookmarkEnd w:id="508"/>
      <w:bookmarkEnd w:id="509"/>
      <w:bookmarkEnd w:id="510"/>
    </w:p>
    <w:p w14:paraId="05E53B89" w14:textId="77777777" w:rsidR="00E2144A" w:rsidRDefault="00E2144A" w:rsidP="00E2144A">
      <w:pPr>
        <w:spacing w:after="160" w:line="276" w:lineRule="auto"/>
        <w:contextualSpacing/>
        <w:jc w:val="both"/>
        <w:rPr>
          <w:rFonts w:ascii="Arial" w:hAnsi="Arial" w:cs="Arial"/>
          <w:sz w:val="24"/>
          <w:szCs w:val="24"/>
          <w:lang w:val="en-US"/>
        </w:rPr>
      </w:pPr>
    </w:p>
    <w:p w14:paraId="37453E52" w14:textId="6448B79A" w:rsidR="00593811" w:rsidRDefault="00811045" w:rsidP="00E2144A">
      <w:pPr>
        <w:spacing w:after="160" w:line="276" w:lineRule="auto"/>
        <w:contextualSpacing/>
        <w:jc w:val="both"/>
        <w:rPr>
          <w:rFonts w:ascii="Arial" w:hAnsi="Arial" w:cs="Arial"/>
          <w:sz w:val="24"/>
          <w:szCs w:val="24"/>
          <w:lang w:val="en-US"/>
        </w:rPr>
      </w:pPr>
      <w:r w:rsidRPr="00E2144A">
        <w:rPr>
          <w:rFonts w:ascii="Arial" w:hAnsi="Arial" w:cs="Arial"/>
          <w:sz w:val="24"/>
          <w:szCs w:val="24"/>
          <w:lang w:val="en-US"/>
        </w:rPr>
        <w:t xml:space="preserve">One of the network’s first initiatives was to review the plethora of international standards and norms on fiscal transparency for comprehensiveness and consistency. </w:t>
      </w:r>
    </w:p>
    <w:p w14:paraId="54B87B37" w14:textId="3EB3632C" w:rsidR="00BF3EC0" w:rsidRDefault="00BF3EC0" w:rsidP="00E2144A">
      <w:pPr>
        <w:spacing w:after="160" w:line="276" w:lineRule="auto"/>
        <w:contextualSpacing/>
        <w:jc w:val="both"/>
        <w:rPr>
          <w:rFonts w:ascii="Arial" w:hAnsi="Arial" w:cs="Arial"/>
          <w:sz w:val="24"/>
          <w:szCs w:val="24"/>
          <w:lang w:val="en-US"/>
        </w:rPr>
      </w:pPr>
    </w:p>
    <w:p w14:paraId="05474783" w14:textId="541B8468" w:rsidR="007D471A" w:rsidRDefault="007D471A" w:rsidP="00E2144A">
      <w:pPr>
        <w:spacing w:after="160"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879424" behindDoc="1" locked="0" layoutInCell="1" allowOverlap="1" wp14:anchorId="06D90D4D" wp14:editId="5A34AC5E">
            <wp:simplePos x="0" y="0"/>
            <wp:positionH relativeFrom="margin">
              <wp:posOffset>-447040</wp:posOffset>
            </wp:positionH>
            <wp:positionV relativeFrom="paragraph">
              <wp:posOffset>36195</wp:posOffset>
            </wp:positionV>
            <wp:extent cx="7540039" cy="1015233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7540039" cy="10152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186378" w14:textId="07FD93BB" w:rsidR="007D471A" w:rsidRPr="00E2144A" w:rsidRDefault="007D471A" w:rsidP="00E2144A">
      <w:pPr>
        <w:spacing w:after="160"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882496" behindDoc="0" locked="0" layoutInCell="1" allowOverlap="1" wp14:anchorId="1FB60F82" wp14:editId="17478555">
                <wp:simplePos x="0" y="0"/>
                <wp:positionH relativeFrom="column">
                  <wp:posOffset>1397000</wp:posOffset>
                </wp:positionH>
                <wp:positionV relativeFrom="paragraph">
                  <wp:posOffset>158751</wp:posOffset>
                </wp:positionV>
                <wp:extent cx="5138420" cy="736600"/>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5138420" cy="736600"/>
                        </a:xfrm>
                        <a:prstGeom prst="rect">
                          <a:avLst/>
                        </a:prstGeom>
                        <a:noFill/>
                        <a:ln w="6350">
                          <a:noFill/>
                        </a:ln>
                      </wps:spPr>
                      <wps:txbx>
                        <w:txbxContent>
                          <w:p w14:paraId="27E0D74F" w14:textId="57CEDB96" w:rsidR="00D15FD8" w:rsidRPr="007D471A" w:rsidRDefault="00D15FD8" w:rsidP="007D471A">
                            <w:pPr>
                              <w:spacing w:line="276" w:lineRule="auto"/>
                              <w:rPr>
                                <w:rFonts w:ascii="Arial" w:hAnsi="Arial" w:cs="Arial"/>
                                <w:b/>
                                <w:bCs/>
                                <w:color w:val="FFFFFF" w:themeColor="background1"/>
                                <w:sz w:val="24"/>
                                <w:szCs w:val="24"/>
                              </w:rPr>
                            </w:pPr>
                            <w:r w:rsidRPr="007D471A" w:rsidDel="006355D5">
                              <w:rPr>
                                <w:rFonts w:ascii="Arial" w:hAnsi="Arial" w:cs="Arial"/>
                                <w:b/>
                                <w:bCs/>
                                <w:color w:val="FFFFFF" w:themeColor="background1"/>
                                <w:sz w:val="24"/>
                                <w:szCs w:val="24"/>
                              </w:rPr>
                              <w:t xml:space="preserve">This prompted the development in 2012 of the </w:t>
                            </w:r>
                            <w:hyperlink r:id="rId87" w:history="1">
                              <w:r w:rsidRPr="007D471A" w:rsidDel="006355D5">
                                <w:rPr>
                                  <w:rStyle w:val="Hyperlink"/>
                                  <w:rFonts w:ascii="Arial" w:hAnsi="Arial" w:cs="Arial"/>
                                  <w:b/>
                                  <w:bCs/>
                                  <w:color w:val="FFFFFF" w:themeColor="background1"/>
                                  <w:sz w:val="24"/>
                                  <w:szCs w:val="24"/>
                                  <w:lang w:val="en-US"/>
                                </w:rPr>
                                <w:t>High-Level Principles on Fiscal Transparency, Participation and Accountability</w:t>
                              </w:r>
                            </w:hyperlink>
                            <w:r w:rsidRPr="007D471A" w:rsidDel="006355D5">
                              <w:rPr>
                                <w:rFonts w:ascii="Arial" w:hAnsi="Arial" w:cs="Arial"/>
                                <w:b/>
                                <w:bCs/>
                                <w:color w:val="FFFFFF" w:themeColor="background1"/>
                                <w:sz w:val="24"/>
                                <w:szCs w:val="24"/>
                              </w:rPr>
                              <w:t>, 10 principles that were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60F82" id="Text Box 215" o:spid="_x0000_s1082" type="#_x0000_t202" style="position:absolute;left:0;text-align:left;margin-left:110pt;margin-top:12.5pt;width:404.6pt;height:5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" filled="f" stroked="f" strokeweight=".5pt">
                <v:textbox>
                  <w:txbxContent>
                    <w:p w14:paraId="27E0D74F" w14:textId="57CEDB96" w:rsidR="00D15FD8" w:rsidRPr="007D471A" w:rsidRDefault="00D15FD8" w:rsidP="007D471A">
                      <w:pPr>
                        <w:spacing w:line="276" w:lineRule="auto"/>
                        <w:rPr>
                          <w:rFonts w:ascii="Arial" w:hAnsi="Arial" w:cs="Arial"/>
                          <w:b/>
                          <w:bCs/>
                          <w:color w:val="FFFFFF" w:themeColor="background1"/>
                          <w:sz w:val="24"/>
                          <w:szCs w:val="24"/>
                        </w:rPr>
                      </w:pPr>
                      <w:r w:rsidRPr="007D471A" w:rsidDel="006355D5">
                        <w:rPr>
                          <w:rFonts w:ascii="Arial" w:hAnsi="Arial" w:cs="Arial"/>
                          <w:b/>
                          <w:bCs/>
                          <w:color w:val="FFFFFF" w:themeColor="background1"/>
                          <w:sz w:val="24"/>
                          <w:szCs w:val="24"/>
                        </w:rPr>
                        <w:t xml:space="preserve">This prompted the development in 2012 of the </w:t>
                      </w:r>
                      <w:hyperlink r:id="rId88" w:history="1">
                        <w:r w:rsidRPr="007D471A" w:rsidDel="006355D5">
                          <w:rPr>
                            <w:rStyle w:val="Hyperlink"/>
                            <w:rFonts w:ascii="Arial" w:hAnsi="Arial" w:cs="Arial"/>
                            <w:b/>
                            <w:bCs/>
                            <w:color w:val="FFFFFF" w:themeColor="background1"/>
                            <w:sz w:val="24"/>
                            <w:szCs w:val="24"/>
                            <w:lang w:val="en-US"/>
                          </w:rPr>
                          <w:t>High-Level Principles on Fiscal Transparency, Participation and Accountability</w:t>
                        </w:r>
                      </w:hyperlink>
                      <w:r w:rsidRPr="007D471A" w:rsidDel="006355D5">
                        <w:rPr>
                          <w:rFonts w:ascii="Arial" w:hAnsi="Arial" w:cs="Arial"/>
                          <w:b/>
                          <w:bCs/>
                          <w:color w:val="FFFFFF" w:themeColor="background1"/>
                          <w:sz w:val="24"/>
                          <w:szCs w:val="24"/>
                        </w:rPr>
                        <w:t>, 10 principles that were</w:t>
                      </w:r>
                    </w:p>
                  </w:txbxContent>
                </v:textbox>
              </v:shape>
            </w:pict>
          </mc:Fallback>
        </mc:AlternateContent>
      </w:r>
    </w:p>
    <w:p w14:paraId="6C77C5E8" w14:textId="418BA2D6" w:rsidR="00354D4C" w:rsidRPr="00E2144A" w:rsidRDefault="00354D4C" w:rsidP="00E2144A">
      <w:pPr>
        <w:spacing w:after="160" w:line="276" w:lineRule="auto"/>
        <w:contextualSpacing/>
        <w:jc w:val="both"/>
        <w:rPr>
          <w:rFonts w:ascii="Arial" w:hAnsi="Arial" w:cs="Arial"/>
          <w:sz w:val="24"/>
          <w:szCs w:val="24"/>
        </w:rPr>
      </w:pPr>
    </w:p>
    <w:p w14:paraId="0AFE58BA" w14:textId="1C8B74D3" w:rsidR="007D471A" w:rsidRDefault="007D471A" w:rsidP="00E2144A">
      <w:pPr>
        <w:spacing w:after="160" w:line="276" w:lineRule="auto"/>
        <w:contextualSpacing/>
        <w:jc w:val="both"/>
        <w:rPr>
          <w:rFonts w:ascii="Arial" w:hAnsi="Arial" w:cs="Arial"/>
          <w:sz w:val="24"/>
          <w:szCs w:val="24"/>
          <w:lang w:val="en-US"/>
        </w:rPr>
      </w:pPr>
    </w:p>
    <w:p w14:paraId="1031FE10" w14:textId="74F58CAD" w:rsidR="007D471A" w:rsidRDefault="007D471A" w:rsidP="00E2144A">
      <w:pPr>
        <w:spacing w:after="160" w:line="276" w:lineRule="auto"/>
        <w:contextualSpacing/>
        <w:jc w:val="both"/>
        <w:rPr>
          <w:rFonts w:ascii="Arial" w:hAnsi="Arial" w:cs="Arial"/>
          <w:sz w:val="24"/>
          <w:szCs w:val="24"/>
          <w:lang w:val="en-US"/>
        </w:rPr>
      </w:pPr>
    </w:p>
    <w:p w14:paraId="4D2AA169" w14:textId="4C4A9DEC" w:rsidR="007D471A" w:rsidRDefault="007D471A" w:rsidP="00E2144A">
      <w:pPr>
        <w:spacing w:after="160"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1881472" behindDoc="0" locked="0" layoutInCell="1" allowOverlap="1" wp14:anchorId="518660F2" wp14:editId="17694B2A">
                <wp:simplePos x="0" y="0"/>
                <wp:positionH relativeFrom="column">
                  <wp:posOffset>152400</wp:posOffset>
                </wp:positionH>
                <wp:positionV relativeFrom="paragraph">
                  <wp:posOffset>92075</wp:posOffset>
                </wp:positionV>
                <wp:extent cx="6319520" cy="914400"/>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6319520" cy="914400"/>
                        </a:xfrm>
                        <a:prstGeom prst="rect">
                          <a:avLst/>
                        </a:prstGeom>
                        <a:noFill/>
                        <a:ln w="6350">
                          <a:noFill/>
                        </a:ln>
                      </wps:spPr>
                      <wps:txbx>
                        <w:txbxContent>
                          <w:p w14:paraId="12504720" w14:textId="34227519" w:rsidR="00D15FD8" w:rsidRPr="00776287" w:rsidRDefault="00D15FD8" w:rsidP="00514936">
                            <w:pPr>
                              <w:spacing w:line="276" w:lineRule="auto"/>
                              <w:jc w:val="both"/>
                              <w:rPr>
                                <w:color w:val="FFFFFF" w:themeColor="background1"/>
                              </w:rPr>
                            </w:pPr>
                            <w:r w:rsidRPr="007D471A" w:rsidDel="006355D5">
                              <w:rPr>
                                <w:rFonts w:ascii="Arial" w:eastAsiaTheme="minorEastAsia" w:hAnsi="Arial" w:cs="Arial"/>
                                <w:i/>
                                <w:color w:val="FFFFFF" w:themeColor="background1"/>
                                <w:sz w:val="24"/>
                                <w:szCs w:val="24"/>
                                <w:lang w:val="en-US"/>
                              </w:rPr>
                              <w:t>‘…intended to guide policy makers and all other stakeholders in fiscal policy in their efforts to improve fiscal transparency, participation and accountability, and to help promote improvements in the coverage, consistency and coherence of the existing standards and norms for fiscal transparency</w:t>
                            </w:r>
                            <w:r>
                              <w:rPr>
                                <w:rFonts w:ascii="Arial" w:eastAsiaTheme="minorEastAsia" w:hAnsi="Arial" w:cs="Arial"/>
                                <w:i/>
                                <w:color w:val="FFFFFF" w:themeColor="background1"/>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660F2" id="Text Box 201" o:spid="_x0000_s1083" type="#_x0000_t202" style="position:absolute;left:0;text-align:left;margin-left:12pt;margin-top:7.25pt;width:497.6pt;height:1in;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" filled="f" stroked="f" strokeweight=".5pt">
                <v:textbox>
                  <w:txbxContent>
                    <w:p w14:paraId="12504720" w14:textId="34227519" w:rsidR="00D15FD8" w:rsidRPr="00776287" w:rsidRDefault="00D15FD8" w:rsidP="00514936">
                      <w:pPr>
                        <w:spacing w:line="276" w:lineRule="auto"/>
                        <w:jc w:val="both"/>
                        <w:rPr>
                          <w:color w:val="FFFFFF" w:themeColor="background1"/>
                        </w:rPr>
                      </w:pPr>
                      <w:r w:rsidRPr="007D471A" w:rsidDel="006355D5">
                        <w:rPr>
                          <w:rFonts w:ascii="Arial" w:eastAsiaTheme="minorEastAsia" w:hAnsi="Arial" w:cs="Arial"/>
                          <w:i/>
                          <w:color w:val="FFFFFF" w:themeColor="background1"/>
                          <w:sz w:val="24"/>
                          <w:szCs w:val="24"/>
                          <w:lang w:val="en-US"/>
                        </w:rPr>
                        <w:t>‘…intended to guide policy makers and all other stakeholders in fiscal policy in their efforts to improve fiscal transparency, participation and accountability, and to help promote improvements in the coverage, consistency and coherence of the existing standards and norms for fiscal transparency</w:t>
                      </w:r>
                      <w:r>
                        <w:rPr>
                          <w:rFonts w:ascii="Arial" w:eastAsiaTheme="minorEastAsia" w:hAnsi="Arial" w:cs="Arial"/>
                          <w:i/>
                          <w:color w:val="FFFFFF" w:themeColor="background1"/>
                          <w:sz w:val="24"/>
                          <w:szCs w:val="24"/>
                          <w:lang w:val="en-US"/>
                        </w:rPr>
                        <w:t>.’</w:t>
                      </w:r>
                    </w:p>
                  </w:txbxContent>
                </v:textbox>
              </v:shape>
            </w:pict>
          </mc:Fallback>
        </mc:AlternateContent>
      </w:r>
    </w:p>
    <w:p w14:paraId="61D9F5C7" w14:textId="2589239A" w:rsidR="007D471A" w:rsidRDefault="007D471A" w:rsidP="00E2144A">
      <w:pPr>
        <w:spacing w:after="160" w:line="276" w:lineRule="auto"/>
        <w:contextualSpacing/>
        <w:jc w:val="both"/>
        <w:rPr>
          <w:rFonts w:ascii="Arial" w:hAnsi="Arial" w:cs="Arial"/>
          <w:sz w:val="24"/>
          <w:szCs w:val="24"/>
          <w:lang w:val="en-US"/>
        </w:rPr>
      </w:pPr>
    </w:p>
    <w:p w14:paraId="58F73932" w14:textId="3BC14A6B" w:rsidR="007D471A" w:rsidRDefault="007D471A" w:rsidP="00E2144A">
      <w:pPr>
        <w:spacing w:after="160" w:line="276" w:lineRule="auto"/>
        <w:contextualSpacing/>
        <w:jc w:val="both"/>
        <w:rPr>
          <w:rFonts w:ascii="Arial" w:hAnsi="Arial" w:cs="Arial"/>
          <w:sz w:val="24"/>
          <w:szCs w:val="24"/>
          <w:lang w:val="en-US"/>
        </w:rPr>
      </w:pPr>
    </w:p>
    <w:p w14:paraId="5BAF13AD" w14:textId="6833E8C5" w:rsidR="007D471A" w:rsidRDefault="007D471A" w:rsidP="00E2144A">
      <w:pPr>
        <w:spacing w:after="160" w:line="276" w:lineRule="auto"/>
        <w:contextualSpacing/>
        <w:jc w:val="both"/>
        <w:rPr>
          <w:rFonts w:ascii="Arial" w:hAnsi="Arial" w:cs="Arial"/>
          <w:sz w:val="24"/>
          <w:szCs w:val="24"/>
          <w:lang w:val="en-US"/>
        </w:rPr>
      </w:pPr>
    </w:p>
    <w:p w14:paraId="26880ECE" w14:textId="6EF69BC8" w:rsidR="007D471A" w:rsidRDefault="007D471A" w:rsidP="00E2144A">
      <w:pPr>
        <w:spacing w:after="160" w:line="276" w:lineRule="auto"/>
        <w:contextualSpacing/>
        <w:jc w:val="both"/>
        <w:rPr>
          <w:rFonts w:ascii="Arial" w:hAnsi="Arial" w:cs="Arial"/>
          <w:sz w:val="24"/>
          <w:szCs w:val="24"/>
          <w:lang w:val="en-US"/>
        </w:rPr>
      </w:pPr>
    </w:p>
    <w:p w14:paraId="1BE37BA3" w14:textId="1FB313F7" w:rsidR="007D471A" w:rsidRDefault="007D471A" w:rsidP="00514936">
      <w:pPr>
        <w:tabs>
          <w:tab w:val="center" w:pos="5233"/>
        </w:tabs>
        <w:spacing w:after="160"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1892736" behindDoc="1" locked="0" layoutInCell="1" allowOverlap="1" wp14:anchorId="3484FD0D" wp14:editId="5BD62E5D">
            <wp:simplePos x="0" y="0"/>
            <wp:positionH relativeFrom="column">
              <wp:posOffset>5869940</wp:posOffset>
            </wp:positionH>
            <wp:positionV relativeFrom="paragraph">
              <wp:posOffset>205740</wp:posOffset>
            </wp:positionV>
            <wp:extent cx="684000" cy="684000"/>
            <wp:effectExtent l="0" t="0" r="1905" b="1905"/>
            <wp:wrapTight wrapText="bothSides">
              <wp:wrapPolygon edited="0">
                <wp:start x="8825" y="0"/>
                <wp:lineTo x="6017" y="1203"/>
                <wp:lineTo x="401" y="5214"/>
                <wp:lineTo x="0" y="9627"/>
                <wp:lineTo x="0" y="21259"/>
                <wp:lineTo x="12033" y="21259"/>
                <wp:lineTo x="16847" y="19655"/>
                <wp:lineTo x="21259" y="14039"/>
                <wp:lineTo x="21259" y="9627"/>
                <wp:lineTo x="20858" y="5214"/>
                <wp:lineTo x="15643" y="1203"/>
                <wp:lineTo x="12435" y="0"/>
                <wp:lineTo x="8825"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89" cstate="email">
                      <a:extLst>
                        <a:ext uri="{28A0092B-C50C-407E-A947-70E740481C1C}">
                          <a14:useLocalDpi xmlns:a14="http://schemas.microsoft.com/office/drawing/2010/main"/>
                        </a:ext>
                      </a:extLst>
                    </a:blip>
                    <a:stretch>
                      <a:fillRect/>
                    </a:stretch>
                  </pic:blipFill>
                  <pic:spPr>
                    <a:xfrm>
                      <a:off x="0" y="0"/>
                      <a:ext cx="684000" cy="68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91712" behindDoc="1" locked="0" layoutInCell="1" allowOverlap="1" wp14:anchorId="4018C9FF" wp14:editId="46D2E936">
            <wp:simplePos x="0" y="0"/>
            <wp:positionH relativeFrom="column">
              <wp:posOffset>5181600</wp:posOffset>
            </wp:positionH>
            <wp:positionV relativeFrom="paragraph">
              <wp:posOffset>207645</wp:posOffset>
            </wp:positionV>
            <wp:extent cx="683895" cy="683895"/>
            <wp:effectExtent l="0" t="0" r="1905" b="1905"/>
            <wp:wrapTight wrapText="bothSides">
              <wp:wrapPolygon edited="0">
                <wp:start x="8825" y="0"/>
                <wp:lineTo x="6017" y="1203"/>
                <wp:lineTo x="401" y="5214"/>
                <wp:lineTo x="0" y="9627"/>
                <wp:lineTo x="0" y="21259"/>
                <wp:lineTo x="12033" y="21259"/>
                <wp:lineTo x="16847" y="19655"/>
                <wp:lineTo x="21259" y="14039"/>
                <wp:lineTo x="21259" y="9627"/>
                <wp:lineTo x="20858" y="5214"/>
                <wp:lineTo x="15643" y="1203"/>
                <wp:lineTo x="12435" y="0"/>
                <wp:lineTo x="8825"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90" cstate="email">
                      <a:extLst>
                        <a:ext uri="{28A0092B-C50C-407E-A947-70E740481C1C}">
                          <a14:useLocalDpi xmlns:a14="http://schemas.microsoft.com/office/drawing/2010/main"/>
                        </a:ext>
                      </a:extLst>
                    </a:blip>
                    <a:stretch>
                      <a:fillRect/>
                    </a:stretch>
                  </pic:blipFill>
                  <pic:spPr>
                    <a:xfrm>
                      <a:off x="0" y="0"/>
                      <a:ext cx="683895" cy="683895"/>
                    </a:xfrm>
                    <a:prstGeom prst="rect">
                      <a:avLst/>
                    </a:prstGeom>
                  </pic:spPr>
                </pic:pic>
              </a:graphicData>
            </a:graphic>
            <wp14:sizeRelH relativeFrom="page">
              <wp14:pctWidth>0</wp14:pctWidth>
            </wp14:sizeRelH>
            <wp14:sizeRelV relativeFrom="page">
              <wp14:pctHeight>0</wp14:pctHeight>
            </wp14:sizeRelV>
          </wp:anchor>
        </w:drawing>
      </w:r>
      <w:r w:rsidR="006355D5">
        <w:rPr>
          <w:rFonts w:ascii="Arial" w:hAnsi="Arial" w:cs="Arial"/>
          <w:sz w:val="24"/>
          <w:szCs w:val="24"/>
          <w:lang w:val="en-US"/>
        </w:rPr>
        <w:tab/>
      </w:r>
    </w:p>
    <w:p w14:paraId="7D938A08" w14:textId="1AEC0098" w:rsidR="007D471A" w:rsidRDefault="007D471A" w:rsidP="00E2144A">
      <w:pPr>
        <w:spacing w:after="160"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1890688" behindDoc="1" locked="0" layoutInCell="1" allowOverlap="1" wp14:anchorId="787BF0F6" wp14:editId="1E66A2D1">
            <wp:simplePos x="0" y="0"/>
            <wp:positionH relativeFrom="column">
              <wp:posOffset>4529455</wp:posOffset>
            </wp:positionH>
            <wp:positionV relativeFrom="paragraph">
              <wp:posOffset>41910</wp:posOffset>
            </wp:positionV>
            <wp:extent cx="648000" cy="6480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91" cstate="email">
                      <a:extLst>
                        <a:ext uri="{28A0092B-C50C-407E-A947-70E740481C1C}">
                          <a14:useLocalDpi xmlns:a14="http://schemas.microsoft.com/office/drawing/2010/main"/>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89664" behindDoc="1" locked="0" layoutInCell="1" allowOverlap="1" wp14:anchorId="66A7D345" wp14:editId="10685E66">
            <wp:simplePos x="0" y="0"/>
            <wp:positionH relativeFrom="column">
              <wp:posOffset>3881755</wp:posOffset>
            </wp:positionH>
            <wp:positionV relativeFrom="paragraph">
              <wp:posOffset>42545</wp:posOffset>
            </wp:positionV>
            <wp:extent cx="648000" cy="6480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92" cstate="email">
                      <a:extLst>
                        <a:ext uri="{28A0092B-C50C-407E-A947-70E740481C1C}">
                          <a14:useLocalDpi xmlns:a14="http://schemas.microsoft.com/office/drawing/2010/main"/>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88640" behindDoc="1" locked="0" layoutInCell="1" allowOverlap="1" wp14:anchorId="04B8357E" wp14:editId="4DC7D626">
            <wp:simplePos x="0" y="0"/>
            <wp:positionH relativeFrom="column">
              <wp:posOffset>3234055</wp:posOffset>
            </wp:positionH>
            <wp:positionV relativeFrom="paragraph">
              <wp:posOffset>42545</wp:posOffset>
            </wp:positionV>
            <wp:extent cx="648000" cy="6480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93" cstate="email">
                      <a:extLst>
                        <a:ext uri="{28A0092B-C50C-407E-A947-70E740481C1C}">
                          <a14:useLocalDpi xmlns:a14="http://schemas.microsoft.com/office/drawing/2010/main"/>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87616" behindDoc="1" locked="0" layoutInCell="1" allowOverlap="1" wp14:anchorId="585C30AE" wp14:editId="6E865C33">
            <wp:simplePos x="0" y="0"/>
            <wp:positionH relativeFrom="column">
              <wp:posOffset>2586355</wp:posOffset>
            </wp:positionH>
            <wp:positionV relativeFrom="paragraph">
              <wp:posOffset>41910</wp:posOffset>
            </wp:positionV>
            <wp:extent cx="648000" cy="6480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94" cstate="email">
                      <a:extLst>
                        <a:ext uri="{28A0092B-C50C-407E-A947-70E740481C1C}">
                          <a14:useLocalDpi xmlns:a14="http://schemas.microsoft.com/office/drawing/2010/main"/>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86592" behindDoc="1" locked="0" layoutInCell="1" allowOverlap="1" wp14:anchorId="68EA67CB" wp14:editId="6F97FAA5">
            <wp:simplePos x="0" y="0"/>
            <wp:positionH relativeFrom="column">
              <wp:posOffset>1938655</wp:posOffset>
            </wp:positionH>
            <wp:positionV relativeFrom="paragraph">
              <wp:posOffset>42545</wp:posOffset>
            </wp:positionV>
            <wp:extent cx="648000" cy="6480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95" cstate="email">
                      <a:extLst>
                        <a:ext uri="{28A0092B-C50C-407E-A947-70E740481C1C}">
                          <a14:useLocalDpi xmlns:a14="http://schemas.microsoft.com/office/drawing/2010/main"/>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85568" behindDoc="1" locked="0" layoutInCell="1" allowOverlap="1" wp14:anchorId="2C81BAB1" wp14:editId="13260214">
            <wp:simplePos x="0" y="0"/>
            <wp:positionH relativeFrom="column">
              <wp:posOffset>1290955</wp:posOffset>
            </wp:positionH>
            <wp:positionV relativeFrom="paragraph">
              <wp:posOffset>43815</wp:posOffset>
            </wp:positionV>
            <wp:extent cx="648000" cy="6480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96" cstate="email">
                      <a:extLst>
                        <a:ext uri="{28A0092B-C50C-407E-A947-70E740481C1C}">
                          <a14:useLocalDpi xmlns:a14="http://schemas.microsoft.com/office/drawing/2010/main"/>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84544" behindDoc="1" locked="0" layoutInCell="1" allowOverlap="1" wp14:anchorId="6102E049" wp14:editId="7628F850">
            <wp:simplePos x="0" y="0"/>
            <wp:positionH relativeFrom="column">
              <wp:posOffset>643890</wp:posOffset>
            </wp:positionH>
            <wp:positionV relativeFrom="paragraph">
              <wp:posOffset>42545</wp:posOffset>
            </wp:positionV>
            <wp:extent cx="647700" cy="6477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97" cstate="email">
                      <a:extLst>
                        <a:ext uri="{28A0092B-C50C-407E-A947-70E740481C1C}">
                          <a14:useLocalDpi xmlns:a14="http://schemas.microsoft.com/office/drawing/2010/main"/>
                        </a:ext>
                      </a:extLst>
                    </a:blip>
                    <a:stretch>
                      <a:fillRect/>
                    </a:stretch>
                  </pic:blipFill>
                  <pic:spPr>
                    <a:xfrm>
                      <a:off x="0" y="0"/>
                      <a:ext cx="647700" cy="6477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1883520" behindDoc="1" locked="0" layoutInCell="1" allowOverlap="1" wp14:anchorId="417775AC" wp14:editId="3B79BC08">
            <wp:simplePos x="0" y="0"/>
            <wp:positionH relativeFrom="column">
              <wp:posOffset>0</wp:posOffset>
            </wp:positionH>
            <wp:positionV relativeFrom="paragraph">
              <wp:posOffset>41910</wp:posOffset>
            </wp:positionV>
            <wp:extent cx="648000" cy="648000"/>
            <wp:effectExtent l="0" t="0" r="0" b="0"/>
            <wp:wrapTight wrapText="bothSides">
              <wp:wrapPolygon edited="0">
                <wp:start x="8894" y="0"/>
                <wp:lineTo x="5929" y="847"/>
                <wp:lineTo x="0" y="5082"/>
                <wp:lineTo x="0" y="21176"/>
                <wp:lineTo x="12282" y="21176"/>
                <wp:lineTo x="14400" y="20753"/>
                <wp:lineTo x="21176" y="15671"/>
                <wp:lineTo x="21176" y="5082"/>
                <wp:lineTo x="15247" y="847"/>
                <wp:lineTo x="12282" y="0"/>
                <wp:lineTo x="8894"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98" cstate="email">
                      <a:extLst>
                        <a:ext uri="{28A0092B-C50C-407E-A947-70E740481C1C}">
                          <a14:useLocalDpi xmlns:a14="http://schemas.microsoft.com/office/drawing/2010/main"/>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p>
    <w:p w14:paraId="0B80EC95" w14:textId="2863A977" w:rsidR="00FC50D3" w:rsidRDefault="00FC50D3" w:rsidP="00E2144A">
      <w:pPr>
        <w:spacing w:after="160" w:line="276" w:lineRule="auto"/>
        <w:contextualSpacing/>
        <w:jc w:val="both"/>
        <w:rPr>
          <w:rFonts w:ascii="Arial" w:hAnsi="Arial" w:cs="Arial"/>
          <w:sz w:val="24"/>
          <w:szCs w:val="24"/>
        </w:rPr>
      </w:pPr>
      <w:r w:rsidRPr="00E2144A">
        <w:rPr>
          <w:rFonts w:ascii="Arial" w:hAnsi="Arial" w:cs="Arial"/>
          <w:sz w:val="24"/>
          <w:szCs w:val="24"/>
          <w:lang w:val="en-US"/>
        </w:rPr>
        <w:t xml:space="preserve">In 2018, an </w:t>
      </w:r>
      <w:hyperlink r:id="rId99" w:history="1">
        <w:r w:rsidRPr="0092562F">
          <w:rPr>
            <w:rStyle w:val="Hyperlink"/>
            <w:rFonts w:ascii="Arial" w:hAnsi="Arial" w:cs="Arial"/>
            <w:sz w:val="24"/>
            <w:szCs w:val="24"/>
            <w:lang w:val="en-US"/>
          </w:rPr>
          <w:t>Expanded Version of the High-Level Principles on Fiscal Transparency, Participatio</w:t>
        </w:r>
        <w:r w:rsidR="00FB6BE6" w:rsidRPr="0092562F">
          <w:rPr>
            <w:rStyle w:val="Hyperlink"/>
            <w:rFonts w:ascii="Arial" w:hAnsi="Arial" w:cs="Arial"/>
            <w:sz w:val="24"/>
            <w:szCs w:val="24"/>
            <w:lang w:val="en-US"/>
          </w:rPr>
          <w:t>n and Accountability</w:t>
        </w:r>
      </w:hyperlink>
      <w:r w:rsidR="00FB6BE6" w:rsidRPr="00E2144A">
        <w:rPr>
          <w:rFonts w:ascii="Arial" w:hAnsi="Arial" w:cs="Arial"/>
          <w:sz w:val="24"/>
          <w:szCs w:val="24"/>
          <w:lang w:val="en-US"/>
        </w:rPr>
        <w:t xml:space="preserve"> was issued, </w:t>
      </w:r>
      <w:r w:rsidRPr="00E2144A">
        <w:rPr>
          <w:rFonts w:ascii="Arial" w:hAnsi="Arial" w:cs="Arial"/>
          <w:sz w:val="24"/>
          <w:szCs w:val="24"/>
          <w:lang w:val="en-US"/>
        </w:rPr>
        <w:t xml:space="preserve">explaining the role played by the GIFT High-Level Principles since 2012 in promoting greater fiscal transparency globally, as well as setting out the relationship between each of the high-level principles and the corresponding standards, norms, assessments, and country practices to which they relate. This version allows </w:t>
      </w:r>
      <w:r w:rsidR="00E21283" w:rsidRPr="00E2144A">
        <w:rPr>
          <w:rFonts w:ascii="Arial" w:hAnsi="Arial" w:cs="Arial"/>
          <w:sz w:val="24"/>
          <w:szCs w:val="24"/>
          <w:lang w:val="en-US"/>
        </w:rPr>
        <w:t xml:space="preserve">one to get </w:t>
      </w:r>
      <w:r w:rsidRPr="00E2144A">
        <w:rPr>
          <w:rFonts w:ascii="Arial" w:hAnsi="Arial" w:cs="Arial"/>
          <w:sz w:val="24"/>
          <w:szCs w:val="24"/>
          <w:lang w:val="en-US"/>
        </w:rPr>
        <w:t xml:space="preserve">a quick overview of the multiplicity of instruments in relation to each other and </w:t>
      </w:r>
      <w:r w:rsidR="00FB6BE6" w:rsidRPr="00E2144A">
        <w:rPr>
          <w:rFonts w:ascii="Arial" w:hAnsi="Arial" w:cs="Arial"/>
          <w:sz w:val="24"/>
          <w:szCs w:val="24"/>
          <w:lang w:val="en-US"/>
        </w:rPr>
        <w:t xml:space="preserve">to </w:t>
      </w:r>
      <w:r w:rsidRPr="00E2144A">
        <w:rPr>
          <w:rFonts w:ascii="Arial" w:hAnsi="Arial" w:cs="Arial"/>
          <w:sz w:val="24"/>
          <w:szCs w:val="24"/>
          <w:lang w:val="en-US"/>
        </w:rPr>
        <w:t>find effective entry points to more detailed sources of information and guidance</w:t>
      </w:r>
      <w:r w:rsidR="003F5DE8" w:rsidRPr="00E2144A">
        <w:rPr>
          <w:rFonts w:ascii="Arial" w:hAnsi="Arial" w:cs="Arial"/>
          <w:sz w:val="24"/>
          <w:szCs w:val="24"/>
        </w:rPr>
        <w:t>.</w:t>
      </w:r>
    </w:p>
    <w:p w14:paraId="092C16C3" w14:textId="0178A74D" w:rsidR="006355D5" w:rsidRDefault="006355D5" w:rsidP="00E2144A">
      <w:pPr>
        <w:spacing w:after="160" w:line="276" w:lineRule="auto"/>
        <w:contextualSpacing/>
        <w:jc w:val="both"/>
        <w:rPr>
          <w:rFonts w:ascii="Arial" w:hAnsi="Arial" w:cs="Arial"/>
          <w:sz w:val="24"/>
          <w:szCs w:val="24"/>
        </w:rPr>
      </w:pPr>
    </w:p>
    <w:p w14:paraId="0CB6DA11" w14:textId="5DD86E48" w:rsidR="00FE565E" w:rsidRDefault="00FE565E" w:rsidP="00E2144A">
      <w:pPr>
        <w:spacing w:after="160" w:line="276" w:lineRule="auto"/>
        <w:contextualSpacing/>
        <w:jc w:val="both"/>
        <w:rPr>
          <w:rFonts w:ascii="Arial" w:hAnsi="Arial" w:cs="Arial"/>
          <w:sz w:val="24"/>
          <w:szCs w:val="24"/>
        </w:rPr>
      </w:pPr>
    </w:p>
    <w:p w14:paraId="530B96A9" w14:textId="7E9FB319" w:rsidR="00FE565E" w:rsidRDefault="00FE565E" w:rsidP="00E2144A">
      <w:pPr>
        <w:spacing w:after="160" w:line="276" w:lineRule="auto"/>
        <w:contextualSpacing/>
        <w:jc w:val="both"/>
        <w:rPr>
          <w:rFonts w:ascii="Arial" w:hAnsi="Arial" w:cs="Arial"/>
          <w:sz w:val="24"/>
          <w:szCs w:val="24"/>
        </w:rPr>
      </w:pPr>
    </w:p>
    <w:p w14:paraId="4FA6C0E4" w14:textId="4B42B994" w:rsidR="00FE565E" w:rsidRDefault="00FE565E" w:rsidP="00E2144A">
      <w:pPr>
        <w:spacing w:after="160" w:line="276" w:lineRule="auto"/>
        <w:contextualSpacing/>
        <w:jc w:val="both"/>
        <w:rPr>
          <w:rFonts w:ascii="Arial" w:hAnsi="Arial" w:cs="Arial"/>
          <w:sz w:val="24"/>
          <w:szCs w:val="24"/>
        </w:rPr>
      </w:pPr>
    </w:p>
    <w:p w14:paraId="59D638EF" w14:textId="0A52FE52" w:rsidR="00FE565E" w:rsidRDefault="00FE565E" w:rsidP="00E2144A">
      <w:pPr>
        <w:spacing w:after="160" w:line="276" w:lineRule="auto"/>
        <w:contextualSpacing/>
        <w:jc w:val="both"/>
        <w:rPr>
          <w:rFonts w:ascii="Arial" w:hAnsi="Arial" w:cs="Arial"/>
          <w:sz w:val="24"/>
          <w:szCs w:val="24"/>
        </w:rPr>
      </w:pPr>
    </w:p>
    <w:p w14:paraId="2CF34CEF" w14:textId="0CDB28B2" w:rsidR="00FE565E" w:rsidRDefault="00FE565E" w:rsidP="00E2144A">
      <w:pPr>
        <w:spacing w:after="160" w:line="276" w:lineRule="auto"/>
        <w:contextualSpacing/>
        <w:jc w:val="both"/>
        <w:rPr>
          <w:rFonts w:ascii="Arial" w:hAnsi="Arial" w:cs="Arial"/>
          <w:sz w:val="24"/>
          <w:szCs w:val="24"/>
        </w:rPr>
      </w:pPr>
    </w:p>
    <w:p w14:paraId="4EB4ED29" w14:textId="0DFB1617" w:rsidR="00FE565E" w:rsidRDefault="00FE565E" w:rsidP="00E2144A">
      <w:pPr>
        <w:spacing w:after="160" w:line="276" w:lineRule="auto"/>
        <w:contextualSpacing/>
        <w:jc w:val="both"/>
        <w:rPr>
          <w:rFonts w:ascii="Arial" w:hAnsi="Arial" w:cs="Arial"/>
          <w:sz w:val="24"/>
          <w:szCs w:val="24"/>
        </w:rPr>
      </w:pPr>
    </w:p>
    <w:p w14:paraId="748B1BD0" w14:textId="17B6E1E4" w:rsidR="00FE565E" w:rsidRDefault="00FE565E" w:rsidP="00E2144A">
      <w:pPr>
        <w:spacing w:after="160" w:line="276" w:lineRule="auto"/>
        <w:contextualSpacing/>
        <w:jc w:val="both"/>
        <w:rPr>
          <w:rFonts w:ascii="Arial" w:hAnsi="Arial" w:cs="Arial"/>
          <w:sz w:val="24"/>
          <w:szCs w:val="24"/>
        </w:rPr>
      </w:pPr>
    </w:p>
    <w:p w14:paraId="5E04ADE2" w14:textId="748FB0EF" w:rsidR="00FE565E" w:rsidRDefault="00FE565E" w:rsidP="00E2144A">
      <w:pPr>
        <w:spacing w:after="160" w:line="276" w:lineRule="auto"/>
        <w:contextualSpacing/>
        <w:jc w:val="both"/>
        <w:rPr>
          <w:rFonts w:ascii="Arial" w:hAnsi="Arial" w:cs="Arial"/>
          <w:sz w:val="24"/>
          <w:szCs w:val="24"/>
        </w:rPr>
      </w:pPr>
    </w:p>
    <w:p w14:paraId="4783A800" w14:textId="20D0E67D" w:rsidR="00FE565E" w:rsidRDefault="00FE565E" w:rsidP="00E2144A">
      <w:pPr>
        <w:spacing w:after="160" w:line="276" w:lineRule="auto"/>
        <w:contextualSpacing/>
        <w:jc w:val="both"/>
        <w:rPr>
          <w:rFonts w:ascii="Arial" w:hAnsi="Arial" w:cs="Arial"/>
          <w:sz w:val="24"/>
          <w:szCs w:val="24"/>
        </w:rPr>
      </w:pPr>
    </w:p>
    <w:p w14:paraId="0926FEC3" w14:textId="38083EE8" w:rsidR="00FE565E" w:rsidRDefault="00FE565E" w:rsidP="00E2144A">
      <w:pPr>
        <w:spacing w:after="160" w:line="276" w:lineRule="auto"/>
        <w:contextualSpacing/>
        <w:jc w:val="both"/>
        <w:rPr>
          <w:rFonts w:ascii="Arial" w:hAnsi="Arial" w:cs="Arial"/>
          <w:sz w:val="24"/>
          <w:szCs w:val="24"/>
        </w:rPr>
      </w:pPr>
    </w:p>
    <w:p w14:paraId="2F62095F" w14:textId="5F0E591A" w:rsidR="00FE565E" w:rsidRDefault="00FE565E" w:rsidP="00E2144A">
      <w:pPr>
        <w:spacing w:after="160" w:line="276" w:lineRule="auto"/>
        <w:contextualSpacing/>
        <w:jc w:val="both"/>
        <w:rPr>
          <w:rFonts w:ascii="Arial" w:hAnsi="Arial" w:cs="Arial"/>
          <w:sz w:val="24"/>
          <w:szCs w:val="24"/>
        </w:rPr>
      </w:pPr>
    </w:p>
    <w:p w14:paraId="447D213F" w14:textId="0F714FD2" w:rsidR="00FE565E" w:rsidRDefault="00FE565E" w:rsidP="00E2144A">
      <w:pPr>
        <w:spacing w:after="160" w:line="276" w:lineRule="auto"/>
        <w:contextualSpacing/>
        <w:jc w:val="both"/>
        <w:rPr>
          <w:rFonts w:ascii="Arial" w:hAnsi="Arial" w:cs="Arial"/>
          <w:sz w:val="24"/>
          <w:szCs w:val="24"/>
        </w:rPr>
      </w:pPr>
    </w:p>
    <w:p w14:paraId="090FEE47" w14:textId="4334DC1B" w:rsidR="00FE565E" w:rsidRDefault="00FE565E" w:rsidP="00E2144A">
      <w:pPr>
        <w:spacing w:after="160" w:line="276" w:lineRule="auto"/>
        <w:contextualSpacing/>
        <w:jc w:val="both"/>
        <w:rPr>
          <w:rFonts w:ascii="Arial" w:hAnsi="Arial" w:cs="Arial"/>
          <w:sz w:val="24"/>
          <w:szCs w:val="24"/>
        </w:rPr>
      </w:pPr>
    </w:p>
    <w:p w14:paraId="5DECC821" w14:textId="5FC68F66" w:rsidR="00FE565E" w:rsidRDefault="00FE565E" w:rsidP="00E2144A">
      <w:pPr>
        <w:spacing w:after="160" w:line="276" w:lineRule="auto"/>
        <w:contextualSpacing/>
        <w:jc w:val="both"/>
        <w:rPr>
          <w:rFonts w:ascii="Arial" w:hAnsi="Arial" w:cs="Arial"/>
          <w:sz w:val="24"/>
          <w:szCs w:val="24"/>
        </w:rPr>
      </w:pPr>
    </w:p>
    <w:p w14:paraId="5F782E18" w14:textId="208D3A18" w:rsidR="00FE565E" w:rsidRDefault="00FE565E" w:rsidP="00E2144A">
      <w:pPr>
        <w:spacing w:after="160" w:line="276" w:lineRule="auto"/>
        <w:contextualSpacing/>
        <w:jc w:val="both"/>
        <w:rPr>
          <w:rFonts w:ascii="Arial" w:hAnsi="Arial" w:cs="Arial"/>
          <w:sz w:val="24"/>
          <w:szCs w:val="24"/>
        </w:rPr>
      </w:pPr>
    </w:p>
    <w:p w14:paraId="64FA695B" w14:textId="75A8C290" w:rsidR="00FE565E" w:rsidRDefault="00FE565E" w:rsidP="00E2144A">
      <w:pPr>
        <w:spacing w:after="160" w:line="276" w:lineRule="auto"/>
        <w:contextualSpacing/>
        <w:jc w:val="both"/>
        <w:rPr>
          <w:rFonts w:ascii="Arial" w:hAnsi="Arial" w:cs="Arial"/>
          <w:sz w:val="24"/>
          <w:szCs w:val="24"/>
        </w:rPr>
      </w:pPr>
    </w:p>
    <w:p w14:paraId="37846D3E" w14:textId="77777777" w:rsidR="00FE565E" w:rsidRPr="00E2144A" w:rsidRDefault="00FE565E" w:rsidP="00E2144A">
      <w:pPr>
        <w:spacing w:after="160" w:line="276" w:lineRule="auto"/>
        <w:contextualSpacing/>
        <w:jc w:val="both"/>
        <w:rPr>
          <w:rFonts w:ascii="Arial" w:hAnsi="Arial" w:cs="Arial"/>
          <w:sz w:val="24"/>
          <w:szCs w:val="24"/>
        </w:rPr>
      </w:pPr>
    </w:p>
    <w:p w14:paraId="22DBC92C" w14:textId="3B3A778F" w:rsidR="00FC50D3" w:rsidRDefault="006355D5" w:rsidP="00FE565E">
      <w:pPr>
        <w:spacing w:after="160" w:line="259" w:lineRule="auto"/>
        <w:contextualSpacing/>
        <w:jc w:val="center"/>
        <w:rPr>
          <w:rFonts w:ascii="Arial" w:hAnsi="Arial" w:cs="Arial"/>
          <w:b/>
          <w:bCs/>
          <w:color w:val="69557F"/>
          <w:sz w:val="20"/>
          <w:szCs w:val="20"/>
          <w:lang w:val="en-US"/>
        </w:rPr>
      </w:pPr>
      <w:r w:rsidRPr="0053337F">
        <w:rPr>
          <w:rFonts w:ascii="Arial" w:hAnsi="Arial" w:cs="Arial"/>
          <w:b/>
          <w:bCs/>
          <w:color w:val="69557F"/>
          <w:sz w:val="20"/>
          <w:szCs w:val="20"/>
          <w:lang w:val="en-US"/>
        </w:rPr>
        <w:lastRenderedPageBreak/>
        <w:t>Figure 1.3. Hierarchy of principles, norms and standards, and assessments of country practices</w:t>
      </w:r>
    </w:p>
    <w:p w14:paraId="4D09863C" w14:textId="77777777" w:rsidR="00FE565E" w:rsidRPr="00FE565E" w:rsidRDefault="00FE565E" w:rsidP="00FE565E">
      <w:pPr>
        <w:spacing w:after="160" w:line="259" w:lineRule="auto"/>
        <w:contextualSpacing/>
        <w:jc w:val="center"/>
        <w:rPr>
          <w:rFonts w:ascii="Arial" w:hAnsi="Arial" w:cs="Arial"/>
          <w:b/>
          <w:bCs/>
          <w:color w:val="69557F"/>
          <w:sz w:val="20"/>
          <w:szCs w:val="20"/>
          <w:lang w:val="en-US"/>
        </w:rPr>
      </w:pPr>
    </w:p>
    <w:p w14:paraId="4237F38D" w14:textId="6FC5FBE9" w:rsidR="00FC50D3" w:rsidRPr="00E2144A" w:rsidRDefault="00D51A98" w:rsidP="00E2144A">
      <w:pPr>
        <w:spacing w:after="160" w:line="276" w:lineRule="auto"/>
        <w:contextualSpacing/>
        <w:jc w:val="both"/>
        <w:rPr>
          <w:rFonts w:ascii="Arial" w:hAnsi="Arial" w:cs="Arial"/>
          <w:sz w:val="24"/>
          <w:szCs w:val="24"/>
          <w:lang w:val="en-US"/>
        </w:rPr>
      </w:pPr>
      <w:r w:rsidRPr="004112AF">
        <w:rPr>
          <w:rFonts w:asciiTheme="minorHAnsi" w:hAnsiTheme="minorHAnsi" w:cstheme="minorBidi"/>
          <w:noProof/>
          <w:lang w:val="en-US"/>
        </w:rPr>
        <w:drawing>
          <wp:anchor distT="0" distB="0" distL="114300" distR="114300" simplePos="0" relativeHeight="251877376" behindDoc="0" locked="0" layoutInCell="1" allowOverlap="1" wp14:anchorId="1760FE5A" wp14:editId="0C6FE540">
            <wp:simplePos x="0" y="0"/>
            <wp:positionH relativeFrom="column">
              <wp:posOffset>-236855</wp:posOffset>
            </wp:positionH>
            <wp:positionV relativeFrom="paragraph">
              <wp:posOffset>123059</wp:posOffset>
            </wp:positionV>
            <wp:extent cx="2963545" cy="32943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email">
                      <a:extLst>
                        <a:ext uri="{28A0092B-C50C-407E-A947-70E740481C1C}">
                          <a14:useLocalDpi xmlns:a14="http://schemas.microsoft.com/office/drawing/2010/main"/>
                        </a:ext>
                      </a:extLst>
                    </a:blip>
                    <a:srcRect t="-3872" r="3557" b="-11718"/>
                    <a:stretch/>
                  </pic:blipFill>
                  <pic:spPr bwMode="auto">
                    <a:xfrm>
                      <a:off x="0" y="0"/>
                      <a:ext cx="2963545" cy="329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0D3" w:rsidRPr="00E2144A">
        <w:rPr>
          <w:rFonts w:ascii="Arial" w:hAnsi="Arial" w:cs="Arial"/>
          <w:sz w:val="24"/>
          <w:szCs w:val="24"/>
          <w:lang w:val="en-US"/>
        </w:rPr>
        <w:t xml:space="preserve">GIFT’s contribution to norms and standards is illustrated in the diagram below where the GIFT High-Level Principles on Fiscal Transparency, Participation and Accountability sit at the top of a hierarchy of principles, norms and standards, and assessments of country practices. Importantly, the </w:t>
      </w:r>
      <w:r w:rsidR="00E21283" w:rsidRPr="00E2144A">
        <w:rPr>
          <w:rFonts w:ascii="Arial" w:hAnsi="Arial" w:cs="Arial"/>
          <w:sz w:val="24"/>
          <w:szCs w:val="24"/>
          <w:lang w:val="en-US"/>
        </w:rPr>
        <w:t>e</w:t>
      </w:r>
      <w:r w:rsidR="00FC50D3" w:rsidRPr="00E2144A">
        <w:rPr>
          <w:rFonts w:ascii="Arial" w:hAnsi="Arial" w:cs="Arial"/>
          <w:sz w:val="24"/>
          <w:szCs w:val="24"/>
          <w:lang w:val="en-US"/>
        </w:rPr>
        <w:t>xpanded version also captured the major changes that took place to international fiscal transparency standards and assessment tools after the issuance of the High-level principles in 2012, that is from 2012 to 2018.</w:t>
      </w:r>
    </w:p>
    <w:p w14:paraId="369E2DE0" w14:textId="4D0B144A" w:rsidR="00FC50D3" w:rsidRDefault="00FC50D3" w:rsidP="003F5DE8">
      <w:pPr>
        <w:spacing w:after="160" w:line="259" w:lineRule="auto"/>
        <w:contextualSpacing/>
        <w:jc w:val="both"/>
        <w:rPr>
          <w:rFonts w:asciiTheme="minorHAnsi" w:hAnsiTheme="minorHAnsi" w:cstheme="minorBidi"/>
          <w:lang w:val="en-US"/>
        </w:rPr>
      </w:pPr>
    </w:p>
    <w:p w14:paraId="2E4E891A" w14:textId="2BF3D73A" w:rsidR="003F5DE8" w:rsidRDefault="00214283" w:rsidP="00D32756">
      <w:pPr>
        <w:spacing w:after="160" w:line="276" w:lineRule="auto"/>
        <w:contextualSpacing/>
        <w:jc w:val="both"/>
        <w:rPr>
          <w:rFonts w:ascii="Arial" w:hAnsi="Arial" w:cs="Arial"/>
          <w:sz w:val="24"/>
          <w:szCs w:val="24"/>
        </w:rPr>
      </w:pPr>
      <w:r w:rsidRPr="00E2144A">
        <w:rPr>
          <w:rFonts w:ascii="Arial" w:hAnsi="Arial" w:cs="Arial"/>
          <w:sz w:val="24"/>
          <w:szCs w:val="24"/>
        </w:rPr>
        <w:t>T</w:t>
      </w:r>
      <w:r w:rsidR="00632B60" w:rsidRPr="00E2144A">
        <w:rPr>
          <w:rFonts w:ascii="Arial" w:hAnsi="Arial" w:cs="Arial"/>
          <w:sz w:val="24"/>
          <w:szCs w:val="24"/>
        </w:rPr>
        <w:t xml:space="preserve">he </w:t>
      </w:r>
      <w:r w:rsidR="00C71002" w:rsidRPr="00E2144A">
        <w:rPr>
          <w:rFonts w:ascii="Arial" w:hAnsi="Arial" w:cs="Arial"/>
          <w:sz w:val="24"/>
          <w:szCs w:val="24"/>
        </w:rPr>
        <w:t>Expanded v</w:t>
      </w:r>
      <w:r w:rsidR="00CA7854" w:rsidRPr="00E2144A">
        <w:rPr>
          <w:rFonts w:ascii="Arial" w:hAnsi="Arial" w:cs="Arial"/>
          <w:sz w:val="24"/>
          <w:szCs w:val="24"/>
        </w:rPr>
        <w:t xml:space="preserve">ersion of the </w:t>
      </w:r>
      <w:r w:rsidR="00C71002" w:rsidRPr="00E2144A">
        <w:rPr>
          <w:rFonts w:ascii="Arial" w:hAnsi="Arial" w:cs="Arial"/>
          <w:sz w:val="24"/>
          <w:szCs w:val="24"/>
        </w:rPr>
        <w:t>high-level principles</w:t>
      </w:r>
      <w:r w:rsidR="000C3D59" w:rsidRPr="00E2144A">
        <w:rPr>
          <w:rFonts w:ascii="Arial" w:hAnsi="Arial" w:cs="Arial"/>
          <w:sz w:val="24"/>
          <w:szCs w:val="24"/>
        </w:rPr>
        <w:t xml:space="preserve"> </w:t>
      </w:r>
      <w:r w:rsidR="00CA7854" w:rsidRPr="00E2144A">
        <w:rPr>
          <w:rFonts w:ascii="Arial" w:hAnsi="Arial" w:cs="Arial"/>
          <w:sz w:val="24"/>
          <w:szCs w:val="24"/>
        </w:rPr>
        <w:t xml:space="preserve">also </w:t>
      </w:r>
      <w:r w:rsidR="00632B60" w:rsidRPr="00E2144A">
        <w:rPr>
          <w:rFonts w:ascii="Arial" w:hAnsi="Arial" w:cs="Arial"/>
          <w:sz w:val="24"/>
          <w:szCs w:val="24"/>
        </w:rPr>
        <w:t>provide</w:t>
      </w:r>
      <w:r w:rsidR="00CA7854" w:rsidRPr="00E2144A">
        <w:rPr>
          <w:rFonts w:ascii="Arial" w:hAnsi="Arial" w:cs="Arial"/>
          <w:sz w:val="24"/>
          <w:szCs w:val="24"/>
        </w:rPr>
        <w:t>s</w:t>
      </w:r>
      <w:r w:rsidR="00632B60" w:rsidRPr="00E2144A">
        <w:rPr>
          <w:rFonts w:ascii="Arial" w:hAnsi="Arial" w:cs="Arial"/>
          <w:sz w:val="24"/>
          <w:szCs w:val="24"/>
        </w:rPr>
        <w:t xml:space="preserve"> </w:t>
      </w:r>
      <w:r w:rsidR="00ED5594" w:rsidRPr="00E2144A">
        <w:rPr>
          <w:rFonts w:ascii="Arial" w:hAnsi="Arial" w:cs="Arial"/>
          <w:sz w:val="24"/>
          <w:szCs w:val="24"/>
        </w:rPr>
        <w:t xml:space="preserve">a </w:t>
      </w:r>
      <w:r w:rsidR="00632B60" w:rsidRPr="00E2144A">
        <w:rPr>
          <w:rFonts w:ascii="Arial" w:hAnsi="Arial" w:cs="Arial"/>
          <w:sz w:val="24"/>
          <w:szCs w:val="24"/>
        </w:rPr>
        <w:t>useful map</w:t>
      </w:r>
      <w:r w:rsidRPr="00E2144A">
        <w:rPr>
          <w:rFonts w:ascii="Arial" w:hAnsi="Arial" w:cs="Arial"/>
          <w:sz w:val="24"/>
          <w:szCs w:val="24"/>
        </w:rPr>
        <w:t xml:space="preserve"> </w:t>
      </w:r>
      <w:r w:rsidR="00DB0CEE" w:rsidRPr="00E2144A">
        <w:rPr>
          <w:rFonts w:ascii="Arial" w:hAnsi="Arial" w:cs="Arial"/>
          <w:sz w:val="24"/>
          <w:szCs w:val="24"/>
        </w:rPr>
        <w:t>of international fiscal transparency instruments</w:t>
      </w:r>
      <w:r w:rsidR="005C2CDE" w:rsidRPr="00E2144A">
        <w:rPr>
          <w:rFonts w:ascii="Arial" w:hAnsi="Arial" w:cs="Arial"/>
          <w:sz w:val="24"/>
          <w:szCs w:val="24"/>
        </w:rPr>
        <w:t xml:space="preserve">. </w:t>
      </w:r>
      <w:r w:rsidR="00ED5594" w:rsidRPr="00E2144A">
        <w:rPr>
          <w:rFonts w:ascii="Arial" w:hAnsi="Arial" w:cs="Arial"/>
          <w:sz w:val="24"/>
          <w:szCs w:val="24"/>
        </w:rPr>
        <w:t>The map</w:t>
      </w:r>
      <w:r w:rsidR="005C2CDE" w:rsidRPr="00E2144A">
        <w:rPr>
          <w:rFonts w:ascii="Arial" w:hAnsi="Arial" w:cs="Arial"/>
          <w:sz w:val="24"/>
          <w:szCs w:val="24"/>
        </w:rPr>
        <w:t xml:space="preserve"> contains</w:t>
      </w:r>
      <w:r w:rsidR="00632B60" w:rsidRPr="00E2144A">
        <w:rPr>
          <w:rFonts w:ascii="Arial" w:hAnsi="Arial" w:cs="Arial"/>
          <w:sz w:val="24"/>
          <w:szCs w:val="24"/>
        </w:rPr>
        <w:t xml:space="preserve"> hyperlinks that can be used to easily access</w:t>
      </w:r>
      <w:r w:rsidR="005C2CDE" w:rsidRPr="00E2144A">
        <w:rPr>
          <w:rFonts w:ascii="Arial" w:hAnsi="Arial" w:cs="Arial"/>
          <w:sz w:val="24"/>
          <w:szCs w:val="24"/>
        </w:rPr>
        <w:t xml:space="preserve"> </w:t>
      </w:r>
      <w:r w:rsidR="00632B60" w:rsidRPr="00E2144A">
        <w:rPr>
          <w:rFonts w:ascii="Arial" w:hAnsi="Arial" w:cs="Arial"/>
          <w:sz w:val="24"/>
          <w:szCs w:val="24"/>
        </w:rPr>
        <w:t xml:space="preserve">the different </w:t>
      </w:r>
      <w:r w:rsidR="005C2CDE" w:rsidRPr="00E2144A">
        <w:rPr>
          <w:rFonts w:ascii="Arial" w:hAnsi="Arial" w:cs="Arial"/>
          <w:sz w:val="24"/>
          <w:szCs w:val="24"/>
        </w:rPr>
        <w:t xml:space="preserve">documents providing </w:t>
      </w:r>
      <w:r w:rsidR="00632B60" w:rsidRPr="00E2144A">
        <w:rPr>
          <w:rFonts w:ascii="Arial" w:hAnsi="Arial" w:cs="Arial"/>
          <w:sz w:val="24"/>
          <w:szCs w:val="24"/>
        </w:rPr>
        <w:t xml:space="preserve">international standards in the </w:t>
      </w:r>
      <w:r w:rsidR="005C2CDE" w:rsidRPr="00E2144A">
        <w:rPr>
          <w:rFonts w:ascii="Arial" w:hAnsi="Arial" w:cs="Arial"/>
          <w:sz w:val="24"/>
          <w:szCs w:val="24"/>
        </w:rPr>
        <w:t>following three</w:t>
      </w:r>
      <w:r w:rsidR="00632B60" w:rsidRPr="00E2144A">
        <w:rPr>
          <w:rFonts w:ascii="Arial" w:hAnsi="Arial" w:cs="Arial"/>
          <w:sz w:val="24"/>
          <w:szCs w:val="24"/>
        </w:rPr>
        <w:t xml:space="preserve"> domains (some standards apply to more than one domain)</w:t>
      </w:r>
      <w:r w:rsidR="005C2CDE" w:rsidRPr="00E2144A">
        <w:rPr>
          <w:rFonts w:ascii="Arial" w:hAnsi="Arial" w:cs="Arial"/>
          <w:sz w:val="24"/>
          <w:szCs w:val="24"/>
        </w:rPr>
        <w:t>:</w:t>
      </w:r>
    </w:p>
    <w:p w14:paraId="642C19CC" w14:textId="38432F81" w:rsidR="00D32756" w:rsidRDefault="003A22E7" w:rsidP="00E2144A">
      <w:pPr>
        <w:spacing w:after="160" w:line="276" w:lineRule="auto"/>
        <w:ind w:left="360"/>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897856" behindDoc="0" locked="0" layoutInCell="1" allowOverlap="1" wp14:anchorId="6FB99DC4" wp14:editId="1372FE36">
                <wp:simplePos x="0" y="0"/>
                <wp:positionH relativeFrom="column">
                  <wp:posOffset>25400</wp:posOffset>
                </wp:positionH>
                <wp:positionV relativeFrom="paragraph">
                  <wp:posOffset>697865</wp:posOffset>
                </wp:positionV>
                <wp:extent cx="6604000" cy="330200"/>
                <wp:effectExtent l="12700" t="12700" r="12700" b="12700"/>
                <wp:wrapNone/>
                <wp:docPr id="269" name="Rounded Rectangle 269"/>
                <wp:cNvGraphicFramePr/>
                <a:graphic xmlns:a="http://schemas.openxmlformats.org/drawingml/2006/main">
                  <a:graphicData uri="http://schemas.microsoft.com/office/word/2010/wordprocessingShape">
                    <wps:wsp>
                      <wps:cNvSpPr/>
                      <wps:spPr>
                        <a:xfrm>
                          <a:off x="0" y="0"/>
                          <a:ext cx="6604000" cy="330200"/>
                        </a:xfrm>
                        <a:prstGeom prst="roundRect">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F9C1FAC" id="Rounded Rectangle 269" o:spid="_x0000_s1026" style="position:absolute;margin-left:2pt;margin-top:54.95pt;width:520pt;height:2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" filled="f" strokecolor="#16988a" strokeweight="2.25pt">
                <v:stroke joinstyle="miter"/>
              </v:roundrect>
            </w:pict>
          </mc:Fallback>
        </mc:AlternateContent>
      </w:r>
      <w:r>
        <w:rPr>
          <w:noProof/>
          <w:lang w:val="en-US"/>
        </w:rPr>
        <mc:AlternateContent>
          <mc:Choice Requires="wps">
            <w:drawing>
              <wp:anchor distT="0" distB="0" distL="114300" distR="114300" simplePos="0" relativeHeight="251899904" behindDoc="0" locked="0" layoutInCell="1" allowOverlap="1" wp14:anchorId="428A65B1" wp14:editId="4DCB3131">
                <wp:simplePos x="0" y="0"/>
                <wp:positionH relativeFrom="column">
                  <wp:posOffset>25400</wp:posOffset>
                </wp:positionH>
                <wp:positionV relativeFrom="paragraph">
                  <wp:posOffset>709930</wp:posOffset>
                </wp:positionV>
                <wp:extent cx="1828800" cy="1828800"/>
                <wp:effectExtent l="0" t="0" r="0" b="0"/>
                <wp:wrapSquare wrapText="bothSides"/>
                <wp:docPr id="270" name="Text Box 2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22FB93E" w14:textId="65219C9E" w:rsidR="00D15FD8" w:rsidRPr="00D32756" w:rsidRDefault="00D15FD8">
                            <w:pPr>
                              <w:pStyle w:val="ListParagraph"/>
                              <w:numPr>
                                <w:ilvl w:val="0"/>
                                <w:numId w:val="16"/>
                              </w:numPr>
                              <w:spacing w:line="276" w:lineRule="auto"/>
                              <w:jc w:val="both"/>
                              <w:rPr>
                                <w:rFonts w:ascii="Arial" w:hAnsi="Arial" w:cs="Arial"/>
                                <w:b/>
                                <w:bCs/>
                                <w:color w:val="16988A"/>
                              </w:rPr>
                            </w:pPr>
                            <w:r w:rsidRPr="00D32756">
                              <w:rPr>
                                <w:rFonts w:ascii="Arial" w:hAnsi="Arial" w:cs="Arial"/>
                                <w:b/>
                                <w:bCs/>
                                <w:color w:val="16988A"/>
                                <w:sz w:val="24"/>
                                <w:szCs w:val="24"/>
                                <w:lang w:val="en-US"/>
                              </w:rPr>
                              <w:t>Public participation in fiscal policy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8A65B1" id="Text Box 270" o:spid="_x0000_s1084" type="#_x0000_t202" style="position:absolute;left:0;text-align:left;margin-left:2pt;margin-top:55.9pt;width:2in;height:2in;z-index:251899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" filled="f" stroked="f" strokeweight=".5pt">
                <v:textbox style="mso-fit-shape-to-text:t">
                  <w:txbxContent>
                    <w:p w14:paraId="422FB93E" w14:textId="65219C9E" w:rsidR="00D15FD8" w:rsidRPr="00D32756" w:rsidRDefault="00D15FD8">
                      <w:pPr>
                        <w:pStyle w:val="ListParagraph"/>
                        <w:numPr>
                          <w:ilvl w:val="0"/>
                          <w:numId w:val="16"/>
                        </w:numPr>
                        <w:spacing w:line="276" w:lineRule="auto"/>
                        <w:jc w:val="both"/>
                        <w:rPr>
                          <w:rFonts w:ascii="Arial" w:hAnsi="Arial" w:cs="Arial"/>
                          <w:b/>
                          <w:bCs/>
                          <w:color w:val="16988A"/>
                        </w:rPr>
                      </w:pPr>
                      <w:r w:rsidRPr="00D32756">
                        <w:rPr>
                          <w:rFonts w:ascii="Arial" w:hAnsi="Arial" w:cs="Arial"/>
                          <w:b/>
                          <w:bCs/>
                          <w:color w:val="16988A"/>
                          <w:sz w:val="24"/>
                          <w:szCs w:val="24"/>
                          <w:lang w:val="en-US"/>
                        </w:rPr>
                        <w:t>Public participation in fiscal policy</w:t>
                      </w:r>
                    </w:p>
                  </w:txbxContent>
                </v:textbox>
                <w10:wrap type="square"/>
              </v:shape>
            </w:pict>
          </mc:Fallback>
        </mc:AlternateContent>
      </w:r>
      <w:r>
        <w:rPr>
          <w:rFonts w:ascii="Arial" w:hAnsi="Arial" w:cs="Arial"/>
          <w:noProof/>
          <w:sz w:val="24"/>
          <w:szCs w:val="24"/>
          <w:lang w:val="en-US"/>
        </w:rPr>
        <mc:AlternateContent>
          <mc:Choice Requires="wps">
            <w:drawing>
              <wp:anchor distT="0" distB="0" distL="114300" distR="114300" simplePos="0" relativeHeight="251893760" behindDoc="0" locked="0" layoutInCell="1" allowOverlap="1" wp14:anchorId="3508BB76" wp14:editId="66B14D63">
                <wp:simplePos x="0" y="0"/>
                <wp:positionH relativeFrom="column">
                  <wp:posOffset>25400</wp:posOffset>
                </wp:positionH>
                <wp:positionV relativeFrom="paragraph">
                  <wp:posOffset>177165</wp:posOffset>
                </wp:positionV>
                <wp:extent cx="6604000" cy="330200"/>
                <wp:effectExtent l="12700" t="12700" r="12700" b="12700"/>
                <wp:wrapSquare wrapText="bothSides"/>
                <wp:docPr id="267" name="Rounded Rectangle 267"/>
                <wp:cNvGraphicFramePr/>
                <a:graphic xmlns:a="http://schemas.openxmlformats.org/drawingml/2006/main">
                  <a:graphicData uri="http://schemas.microsoft.com/office/word/2010/wordprocessingShape">
                    <wps:wsp>
                      <wps:cNvSpPr/>
                      <wps:spPr>
                        <a:xfrm>
                          <a:off x="0" y="0"/>
                          <a:ext cx="6604000" cy="330200"/>
                        </a:xfrm>
                        <a:prstGeom prst="roundRect">
                          <a:avLst/>
                        </a:prstGeom>
                        <a:noFill/>
                        <a:ln w="28575">
                          <a:solidFill>
                            <a:srgbClr val="ED56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FFEFAC7" id="Rounded Rectangle 267" o:spid="_x0000_s1026" style="position:absolute;margin-left:2pt;margin-top:13.95pt;width:520pt;height:2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" filled="f" strokecolor="#ed5625" strokeweight="2.25pt">
                <v:stroke joinstyle="miter"/>
                <w10:wrap type="square"/>
              </v:roundrect>
            </w:pict>
          </mc:Fallback>
        </mc:AlternateContent>
      </w:r>
      <w:r>
        <w:rPr>
          <w:noProof/>
          <w:lang w:val="en-US"/>
        </w:rPr>
        <mc:AlternateContent>
          <mc:Choice Requires="wps">
            <w:drawing>
              <wp:anchor distT="0" distB="0" distL="114300" distR="114300" simplePos="0" relativeHeight="251895808" behindDoc="0" locked="0" layoutInCell="1" allowOverlap="1" wp14:anchorId="0E443167" wp14:editId="3AF2C115">
                <wp:simplePos x="0" y="0"/>
                <wp:positionH relativeFrom="column">
                  <wp:posOffset>20955</wp:posOffset>
                </wp:positionH>
                <wp:positionV relativeFrom="paragraph">
                  <wp:posOffset>206375</wp:posOffset>
                </wp:positionV>
                <wp:extent cx="1828800" cy="1828800"/>
                <wp:effectExtent l="0" t="0" r="0" b="0"/>
                <wp:wrapSquare wrapText="bothSides"/>
                <wp:docPr id="268" name="Text Box 2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BA498EF" w14:textId="77777777" w:rsidR="00D15FD8" w:rsidRPr="00D32756" w:rsidRDefault="00D15FD8">
                            <w:pPr>
                              <w:pStyle w:val="ListParagraph"/>
                              <w:numPr>
                                <w:ilvl w:val="0"/>
                                <w:numId w:val="16"/>
                              </w:numPr>
                              <w:spacing w:line="276" w:lineRule="auto"/>
                              <w:jc w:val="both"/>
                              <w:rPr>
                                <w:rFonts w:ascii="Arial" w:hAnsi="Arial" w:cs="Arial"/>
                                <w:b/>
                                <w:bCs/>
                                <w:color w:val="ED5625"/>
                              </w:rPr>
                            </w:pPr>
                            <w:r w:rsidRPr="00D32756">
                              <w:rPr>
                                <w:rFonts w:ascii="Arial" w:hAnsi="Arial" w:cs="Arial"/>
                                <w:b/>
                                <w:bCs/>
                                <w:color w:val="ED5625"/>
                                <w:sz w:val="24"/>
                                <w:szCs w:val="24"/>
                              </w:rPr>
                              <w:t>Disclosure of fiscal information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443167" id="Text Box 268" o:spid="_x0000_s1085" type="#_x0000_t202" style="position:absolute;left:0;text-align:left;margin-left:1.65pt;margin-top:16.25pt;width:2in;height:2in;z-index:251895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" filled="f" stroked="f" strokeweight=".5pt">
                <v:textbox style="mso-fit-shape-to-text:t">
                  <w:txbxContent>
                    <w:p w14:paraId="5BA498EF" w14:textId="77777777" w:rsidR="00D15FD8" w:rsidRPr="00D32756" w:rsidRDefault="00D15FD8">
                      <w:pPr>
                        <w:pStyle w:val="ListParagraph"/>
                        <w:numPr>
                          <w:ilvl w:val="0"/>
                          <w:numId w:val="16"/>
                        </w:numPr>
                        <w:spacing w:line="276" w:lineRule="auto"/>
                        <w:jc w:val="both"/>
                        <w:rPr>
                          <w:rFonts w:ascii="Arial" w:hAnsi="Arial" w:cs="Arial"/>
                          <w:b/>
                          <w:bCs/>
                          <w:color w:val="ED5625"/>
                        </w:rPr>
                      </w:pPr>
                      <w:r w:rsidRPr="00D32756">
                        <w:rPr>
                          <w:rFonts w:ascii="Arial" w:hAnsi="Arial" w:cs="Arial"/>
                          <w:b/>
                          <w:bCs/>
                          <w:color w:val="ED5625"/>
                          <w:sz w:val="24"/>
                          <w:szCs w:val="24"/>
                        </w:rPr>
                        <w:t>Disclosure of fiscal information</w:t>
                      </w:r>
                    </w:p>
                  </w:txbxContent>
                </v:textbox>
                <w10:wrap type="square"/>
              </v:shape>
            </w:pict>
          </mc:Fallback>
        </mc:AlternateContent>
      </w:r>
    </w:p>
    <w:p w14:paraId="47FEFB2C" w14:textId="146320F3" w:rsidR="00D32756" w:rsidRDefault="00D32756" w:rsidP="00E2144A">
      <w:pPr>
        <w:spacing w:after="160" w:line="276" w:lineRule="auto"/>
        <w:ind w:left="360"/>
        <w:contextualSpacing/>
        <w:jc w:val="both"/>
        <w:rPr>
          <w:rFonts w:ascii="Arial" w:hAnsi="Arial" w:cs="Arial"/>
          <w:sz w:val="24"/>
          <w:szCs w:val="24"/>
        </w:rPr>
      </w:pPr>
    </w:p>
    <w:p w14:paraId="617E7990" w14:textId="65AE4B41" w:rsidR="00D32756" w:rsidRDefault="00D32756" w:rsidP="00E2144A">
      <w:pPr>
        <w:spacing w:after="160" w:line="276" w:lineRule="auto"/>
        <w:ind w:left="360"/>
        <w:contextualSpacing/>
        <w:jc w:val="both"/>
        <w:rPr>
          <w:rFonts w:ascii="Arial" w:hAnsi="Arial" w:cs="Arial"/>
          <w:sz w:val="24"/>
          <w:szCs w:val="24"/>
        </w:rPr>
      </w:pPr>
    </w:p>
    <w:p w14:paraId="46035B68" w14:textId="033E743D" w:rsidR="00D32756" w:rsidRDefault="003A22E7" w:rsidP="00E2144A">
      <w:pPr>
        <w:spacing w:after="160" w:line="276" w:lineRule="auto"/>
        <w:ind w:left="360"/>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01952" behindDoc="0" locked="0" layoutInCell="1" allowOverlap="1" wp14:anchorId="5021A294" wp14:editId="68151E11">
                <wp:simplePos x="0" y="0"/>
                <wp:positionH relativeFrom="column">
                  <wp:posOffset>25400</wp:posOffset>
                </wp:positionH>
                <wp:positionV relativeFrom="paragraph">
                  <wp:posOffset>93980</wp:posOffset>
                </wp:positionV>
                <wp:extent cx="6604000" cy="330200"/>
                <wp:effectExtent l="12700" t="12700" r="12700" b="12700"/>
                <wp:wrapNone/>
                <wp:docPr id="271" name="Rounded Rectangle 271"/>
                <wp:cNvGraphicFramePr/>
                <a:graphic xmlns:a="http://schemas.openxmlformats.org/drawingml/2006/main">
                  <a:graphicData uri="http://schemas.microsoft.com/office/word/2010/wordprocessingShape">
                    <wps:wsp>
                      <wps:cNvSpPr/>
                      <wps:spPr>
                        <a:xfrm>
                          <a:off x="0" y="0"/>
                          <a:ext cx="6604000" cy="330200"/>
                        </a:xfrm>
                        <a:prstGeom prst="roundRect">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8142516" id="Rounded Rectangle 271" o:spid="_x0000_s1026" style="position:absolute;margin-left:2pt;margin-top:7.4pt;width:520pt;height:2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" filled="f" strokecolor="#69557f" strokeweight="2.25pt">
                <v:stroke joinstyle="miter"/>
              </v:roundrect>
            </w:pict>
          </mc:Fallback>
        </mc:AlternateContent>
      </w:r>
      <w:r>
        <w:rPr>
          <w:noProof/>
          <w:lang w:val="en-US"/>
        </w:rPr>
        <mc:AlternateContent>
          <mc:Choice Requires="wps">
            <w:drawing>
              <wp:anchor distT="0" distB="0" distL="114300" distR="114300" simplePos="0" relativeHeight="251904000" behindDoc="0" locked="0" layoutInCell="1" allowOverlap="1" wp14:anchorId="4417FBAA" wp14:editId="3855DF72">
                <wp:simplePos x="0" y="0"/>
                <wp:positionH relativeFrom="column">
                  <wp:posOffset>25400</wp:posOffset>
                </wp:positionH>
                <wp:positionV relativeFrom="paragraph">
                  <wp:posOffset>106045</wp:posOffset>
                </wp:positionV>
                <wp:extent cx="1828800" cy="1828800"/>
                <wp:effectExtent l="0" t="0" r="0" b="0"/>
                <wp:wrapSquare wrapText="bothSides"/>
                <wp:docPr id="272" name="Text Box 2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39FC468" w14:textId="5703DA9F" w:rsidR="00D15FD8" w:rsidRPr="00D32756" w:rsidRDefault="00D15FD8">
                            <w:pPr>
                              <w:pStyle w:val="ListParagraph"/>
                              <w:numPr>
                                <w:ilvl w:val="0"/>
                                <w:numId w:val="16"/>
                              </w:numPr>
                              <w:spacing w:line="276" w:lineRule="auto"/>
                              <w:jc w:val="both"/>
                              <w:rPr>
                                <w:rFonts w:ascii="Arial" w:hAnsi="Arial" w:cs="Arial"/>
                                <w:b/>
                                <w:bCs/>
                                <w:color w:val="69557F"/>
                              </w:rPr>
                            </w:pPr>
                            <w:r w:rsidRPr="00D32756">
                              <w:rPr>
                                <w:rFonts w:ascii="Arial" w:hAnsi="Arial" w:cs="Arial"/>
                                <w:b/>
                                <w:bCs/>
                                <w:color w:val="69557F"/>
                                <w:sz w:val="24"/>
                                <w:szCs w:val="24"/>
                                <w:lang w:val="en-US"/>
                              </w:rPr>
                              <w:t>Oversight of fiscal policy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17FBAA" id="Text Box 272" o:spid="_x0000_s1086" type="#_x0000_t202" style="position:absolute;left:0;text-align:left;margin-left:2pt;margin-top:8.35pt;width:2in;height:2in;z-index:251904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" filled="f" stroked="f" strokeweight=".5pt">
                <v:textbox style="mso-fit-shape-to-text:t">
                  <w:txbxContent>
                    <w:p w14:paraId="139FC468" w14:textId="5703DA9F" w:rsidR="00D15FD8" w:rsidRPr="00D32756" w:rsidRDefault="00D15FD8">
                      <w:pPr>
                        <w:pStyle w:val="ListParagraph"/>
                        <w:numPr>
                          <w:ilvl w:val="0"/>
                          <w:numId w:val="16"/>
                        </w:numPr>
                        <w:spacing w:line="276" w:lineRule="auto"/>
                        <w:jc w:val="both"/>
                        <w:rPr>
                          <w:rFonts w:ascii="Arial" w:hAnsi="Arial" w:cs="Arial"/>
                          <w:b/>
                          <w:bCs/>
                          <w:color w:val="69557F"/>
                        </w:rPr>
                      </w:pPr>
                      <w:r w:rsidRPr="00D32756">
                        <w:rPr>
                          <w:rFonts w:ascii="Arial" w:hAnsi="Arial" w:cs="Arial"/>
                          <w:b/>
                          <w:bCs/>
                          <w:color w:val="69557F"/>
                          <w:sz w:val="24"/>
                          <w:szCs w:val="24"/>
                          <w:lang w:val="en-US"/>
                        </w:rPr>
                        <w:t>Oversight of fiscal policy</w:t>
                      </w:r>
                    </w:p>
                  </w:txbxContent>
                </v:textbox>
                <w10:wrap type="square"/>
              </v:shape>
            </w:pict>
          </mc:Fallback>
        </mc:AlternateContent>
      </w:r>
    </w:p>
    <w:p w14:paraId="5EF27175" w14:textId="47F61DF7" w:rsidR="003A22E7" w:rsidRDefault="003A22E7" w:rsidP="003A22E7">
      <w:pPr>
        <w:spacing w:after="160" w:line="276" w:lineRule="auto"/>
        <w:contextualSpacing/>
        <w:jc w:val="both"/>
        <w:rPr>
          <w:rFonts w:ascii="Arial" w:hAnsi="Arial" w:cs="Arial"/>
          <w:sz w:val="24"/>
          <w:szCs w:val="24"/>
        </w:rPr>
      </w:pPr>
    </w:p>
    <w:p w14:paraId="47E86A17" w14:textId="7846D797" w:rsidR="003A22E7" w:rsidRPr="00D32756" w:rsidRDefault="003A22E7" w:rsidP="003A22E7">
      <w:pPr>
        <w:spacing w:after="160" w:line="276" w:lineRule="auto"/>
        <w:contextualSpacing/>
        <w:jc w:val="both"/>
        <w:rPr>
          <w:rFonts w:ascii="Arial" w:hAnsi="Arial" w:cs="Arial"/>
          <w:sz w:val="24"/>
          <w:szCs w:val="24"/>
          <w:lang w:val="en-US"/>
        </w:rPr>
      </w:pPr>
    </w:p>
    <w:p w14:paraId="66F0BCFF" w14:textId="2E456D3A" w:rsidR="00CA7854" w:rsidRPr="00E2144A" w:rsidRDefault="00D80549" w:rsidP="00E2144A">
      <w:pPr>
        <w:spacing w:line="276" w:lineRule="auto"/>
        <w:jc w:val="both"/>
        <w:rPr>
          <w:rFonts w:ascii="Arial" w:hAnsi="Arial" w:cs="Arial"/>
          <w:sz w:val="24"/>
          <w:szCs w:val="24"/>
        </w:rPr>
      </w:pPr>
      <w:r w:rsidRPr="00E2144A">
        <w:rPr>
          <w:rFonts w:ascii="Arial" w:hAnsi="Arial" w:cs="Arial"/>
          <w:sz w:val="24"/>
          <w:szCs w:val="24"/>
        </w:rPr>
        <w:t>Principles are at a level of generality that can be applied across all countries, irrespective of constitutional arrangements, type or structure of government, variety of organisational arrangements and relationships, or level of development or capacity. They focus on functions rather than prescribing specific institutional forms. The standards, norms and assessment instruments above which the Principles sit are where graduated approaches are increasingly being developed to recognize diversity in country circumstances.</w:t>
      </w:r>
      <w:r w:rsidR="00CA7854" w:rsidRPr="00E2144A">
        <w:rPr>
          <w:rFonts w:ascii="Arial" w:hAnsi="Arial" w:cs="Arial"/>
          <w:sz w:val="24"/>
          <w:szCs w:val="24"/>
        </w:rPr>
        <w:t xml:space="preserve"> </w:t>
      </w:r>
    </w:p>
    <w:p w14:paraId="3CA64E96" w14:textId="1E57736C" w:rsidR="00CA7854" w:rsidRPr="00E2144A" w:rsidRDefault="00CA7854" w:rsidP="00E2144A">
      <w:pPr>
        <w:spacing w:line="276" w:lineRule="auto"/>
        <w:jc w:val="both"/>
        <w:rPr>
          <w:rFonts w:ascii="Arial" w:hAnsi="Arial" w:cs="Arial"/>
          <w:sz w:val="24"/>
          <w:szCs w:val="24"/>
        </w:rPr>
      </w:pPr>
    </w:p>
    <w:p w14:paraId="075FA5BE" w14:textId="4AC1A83F" w:rsidR="00ED5594" w:rsidRPr="00E2144A" w:rsidRDefault="00ED5594" w:rsidP="00E2144A">
      <w:pPr>
        <w:spacing w:line="276" w:lineRule="auto"/>
        <w:jc w:val="both"/>
        <w:rPr>
          <w:rFonts w:ascii="Arial" w:hAnsi="Arial" w:cs="Arial"/>
          <w:sz w:val="24"/>
          <w:szCs w:val="24"/>
        </w:rPr>
      </w:pPr>
      <w:r w:rsidRPr="00E2144A">
        <w:rPr>
          <w:rFonts w:ascii="Arial" w:hAnsi="Arial" w:cs="Arial"/>
          <w:sz w:val="24"/>
          <w:szCs w:val="24"/>
        </w:rPr>
        <w:t xml:space="preserve">In addition to information on fiscal transparency standards and norms, the </w:t>
      </w:r>
      <w:r w:rsidR="00E21283" w:rsidRPr="00E2144A">
        <w:rPr>
          <w:rFonts w:ascii="Arial" w:hAnsi="Arial" w:cs="Arial"/>
          <w:sz w:val="24"/>
          <w:szCs w:val="24"/>
        </w:rPr>
        <w:t>expanded v</w:t>
      </w:r>
      <w:r w:rsidRPr="00E2144A">
        <w:rPr>
          <w:rFonts w:ascii="Arial" w:hAnsi="Arial" w:cs="Arial"/>
          <w:sz w:val="24"/>
          <w:szCs w:val="24"/>
        </w:rPr>
        <w:t xml:space="preserve">ersion </w:t>
      </w:r>
      <w:r w:rsidR="00C71002" w:rsidRPr="00E2144A">
        <w:rPr>
          <w:rFonts w:ascii="Arial" w:hAnsi="Arial" w:cs="Arial"/>
          <w:sz w:val="24"/>
          <w:szCs w:val="24"/>
        </w:rPr>
        <w:t xml:space="preserve">of the high-level principles </w:t>
      </w:r>
      <w:r w:rsidRPr="00E2144A">
        <w:rPr>
          <w:rFonts w:ascii="Arial" w:hAnsi="Arial" w:cs="Arial"/>
          <w:sz w:val="24"/>
          <w:szCs w:val="24"/>
        </w:rPr>
        <w:t xml:space="preserve">also contains information on country practices, references to good practice in selected countries, and links to published reports assessing country practices. As such, together with the sources of further information and guidance, it can be used as a starting point for further investigation into the full range of issues relating to fiscal transparency, public participation or accountability.  </w:t>
      </w:r>
    </w:p>
    <w:p w14:paraId="34C4E7E2" w14:textId="03D126DC" w:rsidR="006717D6" w:rsidRPr="00593811" w:rsidRDefault="003A22E7" w:rsidP="00593811">
      <w:pPr>
        <w:spacing w:line="276" w:lineRule="auto"/>
        <w:jc w:val="both"/>
        <w:rPr>
          <w:rFonts w:ascii="Arial" w:hAnsi="Arial" w:cs="Arial"/>
          <w:sz w:val="24"/>
          <w:szCs w:val="24"/>
        </w:rPr>
      </w:pPr>
      <w:r>
        <w:rPr>
          <w:noProof/>
          <w:lang w:val="en-US"/>
        </w:rPr>
        <w:lastRenderedPageBreak/>
        <w:drawing>
          <wp:anchor distT="0" distB="0" distL="114300" distR="114300" simplePos="0" relativeHeight="251905024" behindDoc="0" locked="0" layoutInCell="1" allowOverlap="1" wp14:anchorId="5F9136C3" wp14:editId="4996D111">
            <wp:simplePos x="0" y="0"/>
            <wp:positionH relativeFrom="column">
              <wp:posOffset>25400</wp:posOffset>
            </wp:positionH>
            <wp:positionV relativeFrom="paragraph">
              <wp:posOffset>57150</wp:posOffset>
            </wp:positionV>
            <wp:extent cx="1200785" cy="1600200"/>
            <wp:effectExtent l="38100" t="38100" r="94615" b="8890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200785" cy="1600200"/>
                    </a:xfrm>
                    <a:prstGeom prst="rect">
                      <a:avLst/>
                    </a:prstGeom>
                    <a:noFill/>
                    <a:ln>
                      <a:solidFill>
                        <a:schemeClr val="bg2">
                          <a:lumMod val="90000"/>
                        </a:schemeClr>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"https://assets.oecdcode.org/covers/340/g2g82a3c.jpg" \* MERGEFORMATINET </w:instrText>
      </w:r>
      <w:r>
        <w:fldChar w:fldCharType="end"/>
      </w:r>
      <w:r w:rsidRPr="003A22E7">
        <w:t xml:space="preserve"> </w:t>
      </w:r>
    </w:p>
    <w:p w14:paraId="5F6F5B06" w14:textId="0DD37235" w:rsidR="00B706F6" w:rsidRDefault="00214283" w:rsidP="00B706F6">
      <w:pPr>
        <w:spacing w:line="276" w:lineRule="auto"/>
        <w:jc w:val="both"/>
        <w:rPr>
          <w:rFonts w:ascii="Arial" w:hAnsi="Arial" w:cs="Arial"/>
          <w:sz w:val="24"/>
          <w:szCs w:val="24"/>
        </w:rPr>
      </w:pPr>
      <w:r w:rsidRPr="00593811">
        <w:rPr>
          <w:rFonts w:ascii="Arial" w:hAnsi="Arial" w:cs="Arial"/>
          <w:sz w:val="24"/>
          <w:szCs w:val="24"/>
        </w:rPr>
        <w:t xml:space="preserve">The OECD’s </w:t>
      </w:r>
      <w:hyperlink r:id="rId102" w:history="1">
        <w:r w:rsidRPr="00593811">
          <w:rPr>
            <w:rStyle w:val="Hyperlink"/>
            <w:rFonts w:ascii="Arial" w:eastAsia="Calibri" w:hAnsi="Arial" w:cs="Arial"/>
            <w:sz w:val="24"/>
            <w:szCs w:val="24"/>
          </w:rPr>
          <w:t>Budget Transparency Toolkit</w:t>
        </w:r>
      </w:hyperlink>
      <w:r w:rsidRPr="003A22E7">
        <w:rPr>
          <w:rStyle w:val="Hyperlink"/>
          <w:rFonts w:ascii="Arial" w:hAnsi="Arial" w:cs="Arial"/>
          <w:sz w:val="24"/>
          <w:szCs w:val="24"/>
          <w:u w:val="none"/>
        </w:rPr>
        <w:t xml:space="preserve"> </w:t>
      </w:r>
      <w:r w:rsidRPr="00593811">
        <w:rPr>
          <w:rStyle w:val="Hyperlink"/>
          <w:rFonts w:ascii="Arial" w:hAnsi="Arial" w:cs="Arial"/>
          <w:color w:val="auto"/>
          <w:sz w:val="24"/>
          <w:szCs w:val="24"/>
          <w:u w:val="none"/>
        </w:rPr>
        <w:t>(2017</w:t>
      </w:r>
      <w:r w:rsidR="000D31F6" w:rsidRPr="00593811">
        <w:rPr>
          <w:rStyle w:val="Hyperlink"/>
          <w:rFonts w:ascii="Arial" w:hAnsi="Arial" w:cs="Arial"/>
          <w:color w:val="auto"/>
          <w:sz w:val="24"/>
          <w:szCs w:val="24"/>
          <w:u w:val="none"/>
        </w:rPr>
        <w:t>)</w:t>
      </w:r>
      <w:r w:rsidR="005757CC" w:rsidRPr="00593811">
        <w:rPr>
          <w:rFonts w:ascii="Arial" w:hAnsi="Arial" w:cs="Arial"/>
          <w:sz w:val="24"/>
          <w:szCs w:val="24"/>
        </w:rPr>
        <w:t xml:space="preserve">, designed with the participation of the GIFT Network, </w:t>
      </w:r>
      <w:r w:rsidR="000D31F6" w:rsidRPr="00593811">
        <w:rPr>
          <w:rFonts w:ascii="Arial" w:hAnsi="Arial" w:cs="Arial"/>
          <w:sz w:val="24"/>
          <w:szCs w:val="24"/>
          <w:lang w:val="en-ZA"/>
        </w:rPr>
        <w:t xml:space="preserve">provides an alternative way of navigating through the various global fiscal transparency institutions, standards, and guidance materials, using a structure based around five key areas. This Toolkit and the </w:t>
      </w:r>
      <w:r w:rsidR="00E21283" w:rsidRPr="00593811">
        <w:rPr>
          <w:rFonts w:ascii="Arial" w:hAnsi="Arial" w:cs="Arial"/>
          <w:sz w:val="24"/>
          <w:szCs w:val="24"/>
          <w:lang w:val="en-ZA"/>
        </w:rPr>
        <w:t>GIFT’s e</w:t>
      </w:r>
      <w:r w:rsidR="000D31F6" w:rsidRPr="00593811">
        <w:rPr>
          <w:rFonts w:ascii="Arial" w:hAnsi="Arial" w:cs="Arial"/>
          <w:sz w:val="24"/>
          <w:szCs w:val="24"/>
          <w:lang w:val="en-ZA"/>
        </w:rPr>
        <w:t xml:space="preserve">xpanded </w:t>
      </w:r>
      <w:r w:rsidR="00E21283" w:rsidRPr="00593811">
        <w:rPr>
          <w:rFonts w:ascii="Arial" w:hAnsi="Arial" w:cs="Arial"/>
          <w:sz w:val="24"/>
          <w:szCs w:val="24"/>
          <w:lang w:val="en-ZA"/>
        </w:rPr>
        <w:t>v</w:t>
      </w:r>
      <w:r w:rsidR="000D31F6" w:rsidRPr="00593811">
        <w:rPr>
          <w:rFonts w:ascii="Arial" w:hAnsi="Arial" w:cs="Arial"/>
          <w:sz w:val="24"/>
          <w:szCs w:val="24"/>
          <w:lang w:val="en-ZA"/>
        </w:rPr>
        <w:t>ersion of the high-level principles are complementary. They use different organizing frameworks to cover a similar body of international fiscal transparency instruments</w:t>
      </w:r>
      <w:r w:rsidR="005757CC" w:rsidRPr="00593811">
        <w:rPr>
          <w:rFonts w:ascii="Arial" w:hAnsi="Arial" w:cs="Arial"/>
          <w:sz w:val="24"/>
          <w:szCs w:val="24"/>
        </w:rPr>
        <w:t>.</w:t>
      </w:r>
    </w:p>
    <w:p w14:paraId="6A8A1739" w14:textId="77777777" w:rsidR="003A22E7" w:rsidRPr="00593811" w:rsidRDefault="003A22E7" w:rsidP="00B706F6">
      <w:pPr>
        <w:spacing w:line="276" w:lineRule="auto"/>
        <w:jc w:val="both"/>
        <w:rPr>
          <w:rFonts w:ascii="Arial" w:hAnsi="Arial" w:cs="Arial"/>
          <w:sz w:val="24"/>
          <w:szCs w:val="24"/>
        </w:rPr>
      </w:pPr>
    </w:p>
    <w:p w14:paraId="785D061A" w14:textId="5237A400" w:rsidR="000D31F6" w:rsidRDefault="00593811">
      <w:pPr>
        <w:pStyle w:val="Heading2"/>
        <w:numPr>
          <w:ilvl w:val="1"/>
          <w:numId w:val="15"/>
        </w:numPr>
        <w:spacing w:line="276" w:lineRule="auto"/>
        <w:rPr>
          <w:rFonts w:ascii="Arial" w:hAnsi="Arial" w:cs="Arial"/>
          <w:b/>
          <w:bCs/>
          <w:color w:val="16988A"/>
          <w:sz w:val="36"/>
          <w:szCs w:val="36"/>
        </w:rPr>
      </w:pPr>
      <w:bookmarkStart w:id="511" w:name="_Toc115369988"/>
      <w:r w:rsidRPr="00593811">
        <w:rPr>
          <w:rFonts w:ascii="Arial" w:hAnsi="Arial" w:cs="Arial"/>
          <w:b/>
          <w:bCs/>
          <w:color w:val="16988A"/>
          <w:sz w:val="36"/>
          <w:szCs w:val="36"/>
        </w:rPr>
        <w:t xml:space="preserve"> </w:t>
      </w:r>
      <w:bookmarkStart w:id="512" w:name="_Toc115729063"/>
      <w:bookmarkStart w:id="513" w:name="_Toc115877710"/>
      <w:bookmarkStart w:id="514" w:name="_Toc116056994"/>
      <w:bookmarkStart w:id="515" w:name="_Toc119794435"/>
      <w:bookmarkStart w:id="516" w:name="_Toc123204419"/>
      <w:bookmarkStart w:id="517" w:name="_Toc123216508"/>
      <w:bookmarkStart w:id="518" w:name="_Toc123217348"/>
      <w:bookmarkStart w:id="519" w:name="_Toc123913320"/>
      <w:bookmarkStart w:id="520" w:name="_Toc123913976"/>
      <w:bookmarkStart w:id="521" w:name="_Toc125495804"/>
      <w:bookmarkStart w:id="522" w:name="_Toc125566595"/>
      <w:r w:rsidR="00247682" w:rsidRPr="00593811">
        <w:rPr>
          <w:rFonts w:ascii="Arial" w:hAnsi="Arial" w:cs="Arial"/>
          <w:b/>
          <w:bCs/>
          <w:color w:val="16988A"/>
          <w:sz w:val="36"/>
          <w:szCs w:val="36"/>
        </w:rPr>
        <w:t xml:space="preserve">A summary of </w:t>
      </w:r>
      <w:r w:rsidR="000D31F6" w:rsidRPr="00593811">
        <w:rPr>
          <w:rFonts w:ascii="Arial" w:hAnsi="Arial" w:cs="Arial"/>
          <w:b/>
          <w:bCs/>
          <w:color w:val="16988A"/>
          <w:sz w:val="36"/>
          <w:szCs w:val="36"/>
        </w:rPr>
        <w:t>GIFT's high-level principles</w:t>
      </w:r>
      <w:bookmarkEnd w:id="511"/>
      <w:bookmarkEnd w:id="512"/>
      <w:bookmarkEnd w:id="513"/>
      <w:bookmarkEnd w:id="514"/>
      <w:bookmarkEnd w:id="515"/>
      <w:bookmarkEnd w:id="516"/>
      <w:bookmarkEnd w:id="517"/>
      <w:bookmarkEnd w:id="518"/>
      <w:bookmarkEnd w:id="519"/>
      <w:bookmarkEnd w:id="520"/>
      <w:bookmarkEnd w:id="521"/>
      <w:bookmarkEnd w:id="522"/>
      <w:r w:rsidR="00247682" w:rsidRPr="00593811">
        <w:rPr>
          <w:rFonts w:ascii="Arial" w:hAnsi="Arial" w:cs="Arial"/>
          <w:b/>
          <w:bCs/>
          <w:color w:val="16988A"/>
          <w:sz w:val="36"/>
          <w:szCs w:val="36"/>
        </w:rPr>
        <w:t xml:space="preserve"> </w:t>
      </w:r>
    </w:p>
    <w:p w14:paraId="0255501D" w14:textId="77777777" w:rsidR="00593811" w:rsidRPr="00593811" w:rsidRDefault="00593811" w:rsidP="00B706F6">
      <w:pPr>
        <w:spacing w:line="276" w:lineRule="auto"/>
      </w:pPr>
    </w:p>
    <w:p w14:paraId="2D7FDE29" w14:textId="3A8DDB10" w:rsidR="003D7CCB" w:rsidRDefault="00C71002" w:rsidP="00350435">
      <w:pPr>
        <w:spacing w:line="276" w:lineRule="auto"/>
        <w:jc w:val="both"/>
        <w:rPr>
          <w:rFonts w:ascii="Arial" w:hAnsi="Arial" w:cs="Arial"/>
          <w:sz w:val="24"/>
          <w:szCs w:val="24"/>
        </w:rPr>
      </w:pPr>
      <w:r w:rsidRPr="00B706F6">
        <w:rPr>
          <w:rFonts w:ascii="Arial" w:hAnsi="Arial" w:cs="Arial"/>
          <w:sz w:val="24"/>
          <w:szCs w:val="24"/>
        </w:rPr>
        <w:t xml:space="preserve">In the </w:t>
      </w:r>
      <w:r w:rsidR="00BD2F16">
        <w:rPr>
          <w:rFonts w:ascii="Arial" w:hAnsi="Arial" w:cs="Arial"/>
          <w:sz w:val="24"/>
          <w:szCs w:val="24"/>
        </w:rPr>
        <w:t>box</w:t>
      </w:r>
      <w:r w:rsidRPr="00B706F6">
        <w:rPr>
          <w:rFonts w:ascii="Arial" w:hAnsi="Arial" w:cs="Arial"/>
          <w:sz w:val="24"/>
          <w:szCs w:val="24"/>
        </w:rPr>
        <w:t xml:space="preserve"> that follows, </w:t>
      </w:r>
      <w:r w:rsidR="00B17563" w:rsidRPr="00B706F6">
        <w:rPr>
          <w:rFonts w:ascii="Arial" w:hAnsi="Arial" w:cs="Arial"/>
          <w:sz w:val="24"/>
          <w:szCs w:val="24"/>
        </w:rPr>
        <w:t xml:space="preserve">each one of </w:t>
      </w:r>
      <w:r w:rsidR="00505111" w:rsidRPr="00B706F6">
        <w:rPr>
          <w:rFonts w:ascii="Arial" w:hAnsi="Arial" w:cs="Arial"/>
          <w:sz w:val="24"/>
          <w:szCs w:val="24"/>
        </w:rPr>
        <w:t>GIFT’s</w:t>
      </w:r>
      <w:r w:rsidR="00B17563" w:rsidRPr="00B706F6">
        <w:rPr>
          <w:rFonts w:ascii="Arial" w:hAnsi="Arial" w:cs="Arial"/>
          <w:sz w:val="24"/>
          <w:szCs w:val="24"/>
        </w:rPr>
        <w:t xml:space="preserve"> 10 </w:t>
      </w:r>
      <w:r w:rsidR="00505111" w:rsidRPr="00B706F6">
        <w:rPr>
          <w:rFonts w:ascii="Arial" w:hAnsi="Arial" w:cs="Arial"/>
          <w:sz w:val="24"/>
          <w:szCs w:val="24"/>
        </w:rPr>
        <w:t xml:space="preserve">high level </w:t>
      </w:r>
      <w:r w:rsidR="00B17563" w:rsidRPr="00B706F6">
        <w:rPr>
          <w:rFonts w:ascii="Arial" w:hAnsi="Arial" w:cs="Arial"/>
          <w:sz w:val="24"/>
          <w:szCs w:val="24"/>
        </w:rPr>
        <w:t xml:space="preserve">principles </w:t>
      </w:r>
      <w:r w:rsidR="00B30D2F" w:rsidRPr="00B706F6">
        <w:rPr>
          <w:rFonts w:ascii="Arial" w:hAnsi="Arial" w:cs="Arial"/>
          <w:sz w:val="24"/>
          <w:szCs w:val="24"/>
        </w:rPr>
        <w:t>is</w:t>
      </w:r>
      <w:r w:rsidR="00B17563" w:rsidRPr="00B706F6">
        <w:rPr>
          <w:rFonts w:ascii="Arial" w:hAnsi="Arial" w:cs="Arial"/>
          <w:sz w:val="24"/>
          <w:szCs w:val="24"/>
        </w:rPr>
        <w:t xml:space="preserve"> set out together with </w:t>
      </w:r>
      <w:r w:rsidR="00505111" w:rsidRPr="00B706F6">
        <w:rPr>
          <w:rFonts w:ascii="Arial" w:hAnsi="Arial" w:cs="Arial"/>
          <w:sz w:val="24"/>
          <w:szCs w:val="24"/>
        </w:rPr>
        <w:t>the</w:t>
      </w:r>
      <w:r w:rsidR="00B17563" w:rsidRPr="00B706F6">
        <w:rPr>
          <w:rFonts w:ascii="Arial" w:hAnsi="Arial" w:cs="Arial"/>
          <w:sz w:val="24"/>
          <w:szCs w:val="24"/>
        </w:rPr>
        <w:t xml:space="preserve"> rationale</w:t>
      </w:r>
      <w:r w:rsidR="00505111" w:rsidRPr="00B706F6">
        <w:rPr>
          <w:rFonts w:ascii="Arial" w:hAnsi="Arial" w:cs="Arial"/>
          <w:sz w:val="24"/>
          <w:szCs w:val="24"/>
        </w:rPr>
        <w:t xml:space="preserve"> underlying it. A</w:t>
      </w:r>
      <w:r w:rsidR="00B17563" w:rsidRPr="00B706F6">
        <w:rPr>
          <w:rFonts w:ascii="Arial" w:hAnsi="Arial" w:cs="Arial"/>
          <w:sz w:val="24"/>
          <w:szCs w:val="24"/>
        </w:rPr>
        <w:t xml:space="preserve"> </w:t>
      </w:r>
      <w:r w:rsidR="00434E53" w:rsidRPr="00B706F6">
        <w:rPr>
          <w:rFonts w:ascii="Arial" w:hAnsi="Arial" w:cs="Arial"/>
          <w:sz w:val="24"/>
          <w:szCs w:val="24"/>
        </w:rPr>
        <w:t xml:space="preserve">summarised version </w:t>
      </w:r>
      <w:r w:rsidRPr="00B706F6">
        <w:rPr>
          <w:rFonts w:ascii="Arial" w:hAnsi="Arial" w:cs="Arial"/>
          <w:sz w:val="24"/>
          <w:szCs w:val="24"/>
        </w:rPr>
        <w:t xml:space="preserve">of the </w:t>
      </w:r>
      <w:r w:rsidR="00434E53" w:rsidRPr="00B706F6">
        <w:rPr>
          <w:rFonts w:ascii="Arial" w:hAnsi="Arial" w:cs="Arial"/>
          <w:sz w:val="24"/>
          <w:szCs w:val="24"/>
        </w:rPr>
        <w:t xml:space="preserve">norms and standards </w:t>
      </w:r>
      <w:r w:rsidR="00057FE0" w:rsidRPr="00B706F6">
        <w:rPr>
          <w:rFonts w:ascii="Arial" w:hAnsi="Arial" w:cs="Arial"/>
          <w:sz w:val="24"/>
          <w:szCs w:val="24"/>
        </w:rPr>
        <w:t>contained in the e</w:t>
      </w:r>
      <w:r w:rsidRPr="00B706F6">
        <w:rPr>
          <w:rFonts w:ascii="Arial" w:hAnsi="Arial" w:cs="Arial"/>
          <w:sz w:val="24"/>
          <w:szCs w:val="24"/>
        </w:rPr>
        <w:t xml:space="preserve">xpanded </w:t>
      </w:r>
      <w:r w:rsidR="00057FE0" w:rsidRPr="00B706F6">
        <w:rPr>
          <w:rFonts w:ascii="Arial" w:hAnsi="Arial" w:cs="Arial"/>
          <w:sz w:val="24"/>
          <w:szCs w:val="24"/>
        </w:rPr>
        <w:t>v</w:t>
      </w:r>
      <w:r w:rsidRPr="00B706F6">
        <w:rPr>
          <w:rFonts w:ascii="Arial" w:hAnsi="Arial" w:cs="Arial"/>
          <w:sz w:val="24"/>
          <w:szCs w:val="24"/>
        </w:rPr>
        <w:t>ersion of the high-level principles</w:t>
      </w:r>
      <w:r w:rsidR="00434E53" w:rsidRPr="00B706F6">
        <w:rPr>
          <w:rFonts w:ascii="Arial" w:hAnsi="Arial" w:cs="Arial"/>
          <w:sz w:val="24"/>
          <w:szCs w:val="24"/>
        </w:rPr>
        <w:t xml:space="preserve"> is </w:t>
      </w:r>
      <w:r w:rsidR="00505111" w:rsidRPr="00B706F6">
        <w:rPr>
          <w:rFonts w:ascii="Arial" w:hAnsi="Arial" w:cs="Arial"/>
          <w:sz w:val="24"/>
          <w:szCs w:val="24"/>
        </w:rPr>
        <w:t xml:space="preserve">also </w:t>
      </w:r>
      <w:r w:rsidR="00434E53" w:rsidRPr="00B706F6">
        <w:rPr>
          <w:rFonts w:ascii="Arial" w:hAnsi="Arial" w:cs="Arial"/>
          <w:sz w:val="24"/>
          <w:szCs w:val="24"/>
        </w:rPr>
        <w:t xml:space="preserve">provided </w:t>
      </w:r>
      <w:r w:rsidR="00AF09BF" w:rsidRPr="00B706F6">
        <w:rPr>
          <w:rFonts w:ascii="Arial" w:hAnsi="Arial" w:cs="Arial"/>
          <w:sz w:val="24"/>
          <w:szCs w:val="24"/>
        </w:rPr>
        <w:t xml:space="preserve">with hyperlinks to the applicable documents, </w:t>
      </w:r>
      <w:r w:rsidR="000D31F6" w:rsidRPr="00B706F6">
        <w:rPr>
          <w:rFonts w:ascii="Arial" w:hAnsi="Arial" w:cs="Arial"/>
          <w:sz w:val="24"/>
          <w:szCs w:val="24"/>
        </w:rPr>
        <w:t>providing</w:t>
      </w:r>
      <w:r w:rsidR="00434E53" w:rsidRPr="00B706F6">
        <w:rPr>
          <w:rFonts w:ascii="Arial" w:hAnsi="Arial" w:cs="Arial"/>
          <w:sz w:val="24"/>
          <w:szCs w:val="24"/>
        </w:rPr>
        <w:t xml:space="preserve"> a snapshot </w:t>
      </w:r>
      <w:r w:rsidR="00311CB0" w:rsidRPr="00B706F6">
        <w:rPr>
          <w:rFonts w:ascii="Arial" w:hAnsi="Arial" w:cs="Arial"/>
          <w:sz w:val="24"/>
          <w:szCs w:val="24"/>
        </w:rPr>
        <w:t>of</w:t>
      </w:r>
      <w:r w:rsidR="00434E53" w:rsidRPr="00B706F6">
        <w:rPr>
          <w:rFonts w:ascii="Arial" w:hAnsi="Arial" w:cs="Arial"/>
          <w:sz w:val="24"/>
          <w:szCs w:val="24"/>
        </w:rPr>
        <w:t xml:space="preserve"> each </w:t>
      </w:r>
      <w:r w:rsidRPr="00B706F6">
        <w:rPr>
          <w:rFonts w:ascii="Arial" w:hAnsi="Arial" w:cs="Arial"/>
          <w:sz w:val="24"/>
          <w:szCs w:val="24"/>
        </w:rPr>
        <w:t>principle.</w:t>
      </w:r>
      <w:r w:rsidR="000D31F6" w:rsidRPr="00B706F6">
        <w:rPr>
          <w:rFonts w:ascii="Arial" w:hAnsi="Arial" w:cs="Arial"/>
          <w:sz w:val="24"/>
          <w:szCs w:val="24"/>
        </w:rPr>
        <w:t xml:space="preserve"> </w:t>
      </w:r>
      <w:r w:rsidR="00434E53" w:rsidRPr="00B706F6">
        <w:rPr>
          <w:rFonts w:ascii="Arial" w:hAnsi="Arial" w:cs="Arial"/>
          <w:sz w:val="24"/>
          <w:szCs w:val="24"/>
        </w:rPr>
        <w:t xml:space="preserve">References to standards have been updated in cases where standards were revised </w:t>
      </w:r>
      <w:r w:rsidR="004C5289" w:rsidRPr="00B706F6">
        <w:rPr>
          <w:rFonts w:ascii="Arial" w:hAnsi="Arial" w:cs="Arial"/>
          <w:sz w:val="24"/>
          <w:szCs w:val="24"/>
        </w:rPr>
        <w:t>subsequent to the publ</w:t>
      </w:r>
      <w:r w:rsidR="009F1438" w:rsidRPr="00B706F6">
        <w:rPr>
          <w:rFonts w:ascii="Arial" w:hAnsi="Arial" w:cs="Arial"/>
          <w:sz w:val="24"/>
          <w:szCs w:val="24"/>
        </w:rPr>
        <w:t xml:space="preserve">ication of the </w:t>
      </w:r>
      <w:r w:rsidR="00057FE0" w:rsidRPr="00B706F6">
        <w:rPr>
          <w:rFonts w:ascii="Arial" w:hAnsi="Arial" w:cs="Arial"/>
          <w:sz w:val="24"/>
          <w:szCs w:val="24"/>
        </w:rPr>
        <w:t>e</w:t>
      </w:r>
      <w:r w:rsidR="004C5289" w:rsidRPr="00B706F6">
        <w:rPr>
          <w:rFonts w:ascii="Arial" w:hAnsi="Arial" w:cs="Arial"/>
          <w:sz w:val="24"/>
          <w:szCs w:val="24"/>
        </w:rPr>
        <w:t>xpanded version</w:t>
      </w:r>
      <w:r w:rsidR="009F1438" w:rsidRPr="00B706F6">
        <w:rPr>
          <w:rFonts w:ascii="Arial" w:hAnsi="Arial" w:cs="Arial"/>
          <w:sz w:val="24"/>
          <w:szCs w:val="24"/>
        </w:rPr>
        <w:t xml:space="preserve"> of the high-level principles</w:t>
      </w:r>
      <w:r w:rsidR="004C5289" w:rsidRPr="00B706F6">
        <w:rPr>
          <w:rFonts w:ascii="Arial" w:hAnsi="Arial" w:cs="Arial"/>
          <w:sz w:val="24"/>
          <w:szCs w:val="24"/>
        </w:rPr>
        <w:t xml:space="preserve"> in</w:t>
      </w:r>
      <w:r w:rsidR="00434E53" w:rsidRPr="00B706F6">
        <w:rPr>
          <w:rFonts w:ascii="Arial" w:hAnsi="Arial" w:cs="Arial"/>
          <w:sz w:val="24"/>
          <w:szCs w:val="24"/>
        </w:rPr>
        <w:t xml:space="preserve"> 2018. The </w:t>
      </w:r>
      <w:r w:rsidR="00057FE0" w:rsidRPr="00B706F6">
        <w:rPr>
          <w:rFonts w:ascii="Arial" w:hAnsi="Arial" w:cs="Arial"/>
          <w:sz w:val="24"/>
          <w:szCs w:val="24"/>
        </w:rPr>
        <w:t>e</w:t>
      </w:r>
      <w:r w:rsidR="00434E53" w:rsidRPr="00B706F6">
        <w:rPr>
          <w:rFonts w:ascii="Arial" w:hAnsi="Arial" w:cs="Arial"/>
          <w:sz w:val="24"/>
          <w:szCs w:val="24"/>
        </w:rPr>
        <w:t>xpanded version should be consulted for country practices a</w:t>
      </w:r>
      <w:r w:rsidR="00505111" w:rsidRPr="00B706F6">
        <w:rPr>
          <w:rFonts w:ascii="Arial" w:hAnsi="Arial" w:cs="Arial"/>
          <w:sz w:val="24"/>
          <w:szCs w:val="24"/>
        </w:rPr>
        <w:t xml:space="preserve">s well as </w:t>
      </w:r>
      <w:r w:rsidR="001A10FB" w:rsidRPr="00B706F6">
        <w:rPr>
          <w:rFonts w:ascii="Arial" w:hAnsi="Arial" w:cs="Arial"/>
          <w:sz w:val="24"/>
          <w:szCs w:val="24"/>
        </w:rPr>
        <w:t xml:space="preserve">for </w:t>
      </w:r>
      <w:r w:rsidR="00434E53" w:rsidRPr="00B706F6">
        <w:rPr>
          <w:rFonts w:ascii="Arial" w:hAnsi="Arial" w:cs="Arial"/>
          <w:sz w:val="24"/>
          <w:szCs w:val="24"/>
        </w:rPr>
        <w:t xml:space="preserve">further readings </w:t>
      </w:r>
      <w:r w:rsidR="00311CB0" w:rsidRPr="00B706F6">
        <w:rPr>
          <w:rFonts w:ascii="Arial" w:hAnsi="Arial" w:cs="Arial"/>
          <w:sz w:val="24"/>
          <w:szCs w:val="24"/>
        </w:rPr>
        <w:t>on each principle</w:t>
      </w:r>
      <w:r w:rsidR="00C6004E">
        <w:rPr>
          <w:rFonts w:ascii="Arial" w:hAnsi="Arial" w:cs="Arial"/>
          <w:sz w:val="24"/>
          <w:szCs w:val="24"/>
        </w:rPr>
        <w:t>.</w:t>
      </w:r>
    </w:p>
    <w:p w14:paraId="6F19B878" w14:textId="77777777" w:rsidR="003D7CCB" w:rsidRDefault="003D7CCB">
      <w:pPr>
        <w:spacing w:after="160" w:line="259" w:lineRule="auto"/>
        <w:rPr>
          <w:rFonts w:ascii="Arial" w:hAnsi="Arial" w:cs="Arial"/>
          <w:sz w:val="24"/>
          <w:szCs w:val="24"/>
        </w:rPr>
      </w:pPr>
      <w:r>
        <w:rPr>
          <w:rFonts w:ascii="Arial" w:hAnsi="Arial" w:cs="Arial"/>
          <w:sz w:val="24"/>
          <w:szCs w:val="24"/>
        </w:rPr>
        <w:br w:type="page"/>
      </w:r>
    </w:p>
    <w:p w14:paraId="62FA61FC" w14:textId="77777777" w:rsidR="00203FAB" w:rsidRDefault="00203FAB" w:rsidP="00350435">
      <w:pPr>
        <w:spacing w:line="276" w:lineRule="auto"/>
        <w:jc w:val="both"/>
        <w:rPr>
          <w:rFonts w:ascii="Arial" w:hAnsi="Arial" w:cs="Arial"/>
          <w:sz w:val="24"/>
          <w:szCs w:val="24"/>
        </w:rPr>
        <w:sectPr w:rsidR="00203FAB" w:rsidSect="002F7AF5">
          <w:pgSz w:w="11906" w:h="16838" w:code="9"/>
          <w:pgMar w:top="914" w:right="720" w:bottom="720" w:left="720" w:header="709" w:footer="709" w:gutter="0"/>
          <w:cols w:space="708"/>
          <w:titlePg/>
          <w:docGrid w:linePitch="360"/>
        </w:sectPr>
      </w:pPr>
    </w:p>
    <w:bookmarkStart w:id="523" w:name="_Box_1.1._A"/>
    <w:bookmarkStart w:id="524" w:name="_Toc123217349"/>
    <w:bookmarkStart w:id="525" w:name="_Toc123913977"/>
    <w:bookmarkStart w:id="526" w:name="_Toc125566596"/>
    <w:bookmarkEnd w:id="523"/>
    <w:p w14:paraId="44471B07" w14:textId="794E428C" w:rsidR="005F79AB" w:rsidRPr="006E243A" w:rsidRDefault="004B1809" w:rsidP="005F79AB">
      <w:pPr>
        <w:pStyle w:val="Heading3"/>
        <w:jc w:val="center"/>
        <w:rPr>
          <w:rFonts w:ascii="Arial" w:hAnsi="Arial" w:cs="Arial"/>
          <w:b/>
          <w:bCs/>
          <w:color w:val="19998C"/>
          <w:sz w:val="26"/>
          <w:szCs w:val="26"/>
        </w:rPr>
      </w:pPr>
      <w:r w:rsidRPr="006E243A">
        <w:rPr>
          <w:rFonts w:ascii="Arial" w:hAnsi="Arial" w:cs="Arial"/>
          <w:b/>
          <w:bCs/>
          <w:noProof/>
          <w:color w:val="19998C"/>
          <w:sz w:val="26"/>
          <w:szCs w:val="26"/>
          <w:lang w:val="en-US"/>
        </w:rPr>
        <w:lastRenderedPageBreak/>
        <mc:AlternateContent>
          <mc:Choice Requires="wps">
            <w:drawing>
              <wp:anchor distT="0" distB="0" distL="114300" distR="114300" simplePos="0" relativeHeight="251642854" behindDoc="1" locked="0" layoutInCell="1" allowOverlap="1" wp14:anchorId="1173A28C" wp14:editId="791208BB">
                <wp:simplePos x="0" y="0"/>
                <wp:positionH relativeFrom="margin">
                  <wp:posOffset>-508000</wp:posOffset>
                </wp:positionH>
                <wp:positionV relativeFrom="margin">
                  <wp:posOffset>-114300</wp:posOffset>
                </wp:positionV>
                <wp:extent cx="9855835" cy="5972400"/>
                <wp:effectExtent l="12700" t="12700" r="12065" b="9525"/>
                <wp:wrapNone/>
                <wp:docPr id="2584" name="Rectangle 2584"/>
                <wp:cNvGraphicFramePr/>
                <a:graphic xmlns:a="http://schemas.openxmlformats.org/drawingml/2006/main">
                  <a:graphicData uri="http://schemas.microsoft.com/office/word/2010/wordprocessingShape">
                    <wps:wsp>
                      <wps:cNvSpPr/>
                      <wps:spPr>
                        <a:xfrm>
                          <a:off x="0" y="0"/>
                          <a:ext cx="9855835"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610E0DC7" id="Rectangle 2584" o:spid="_x0000_s1026" style="position:absolute;margin-left:-40pt;margin-top:-9pt;width:776.05pt;height:470.25pt;z-index:-25167362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" fillcolor="#f2f2f2 [3052]" strokecolor="#16988a" strokeweight="1.5pt">
                <w10:wrap anchorx="margin" anchory="margin"/>
              </v:rect>
            </w:pict>
          </mc:Fallback>
        </mc:AlternateContent>
      </w:r>
      <w:r w:rsidRPr="006E243A">
        <w:rPr>
          <w:rFonts w:ascii="Arial" w:hAnsi="Arial" w:cs="Arial"/>
          <w:b/>
          <w:bCs/>
          <w:noProof/>
          <w:color w:val="19998C"/>
          <w:sz w:val="26"/>
          <w:szCs w:val="26"/>
          <w:lang w:val="en-US"/>
        </w:rPr>
        <w:drawing>
          <wp:anchor distT="0" distB="0" distL="114300" distR="114300" simplePos="0" relativeHeight="253581310" behindDoc="1" locked="0" layoutInCell="1" allowOverlap="1" wp14:anchorId="1A7141B3" wp14:editId="31937F61">
            <wp:simplePos x="0" y="0"/>
            <wp:positionH relativeFrom="column">
              <wp:posOffset>-317500</wp:posOffset>
            </wp:positionH>
            <wp:positionV relativeFrom="paragraph">
              <wp:posOffset>241300</wp:posOffset>
            </wp:positionV>
            <wp:extent cx="3059430" cy="611505"/>
            <wp:effectExtent l="0" t="0" r="0" b="0"/>
            <wp:wrapTight wrapText="bothSides">
              <wp:wrapPolygon edited="0">
                <wp:start x="1614" y="1346"/>
                <wp:lineTo x="1076" y="3589"/>
                <wp:lineTo x="359" y="7626"/>
                <wp:lineTo x="359" y="9421"/>
                <wp:lineTo x="538" y="17495"/>
                <wp:lineTo x="1704" y="19738"/>
                <wp:lineTo x="20533" y="19738"/>
                <wp:lineTo x="20623" y="18841"/>
                <wp:lineTo x="21071" y="16598"/>
                <wp:lineTo x="21340" y="3140"/>
                <wp:lineTo x="19726" y="2692"/>
                <wp:lineTo x="2690" y="1346"/>
                <wp:lineTo x="1614" y="1346"/>
              </wp:wrapPolygon>
            </wp:wrapTight>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_Icon_titles_quarterof1920-01.png"/>
                    <pic:cNvPicPr/>
                  </pic:nvPicPr>
                  <pic:blipFill>
                    <a:blip r:embed="rId103" cstate="email">
                      <a:extLst>
                        <a:ext uri="{28A0092B-C50C-407E-A947-70E740481C1C}">
                          <a14:useLocalDpi xmlns:a14="http://schemas.microsoft.com/office/drawing/2010/main"/>
                        </a:ext>
                      </a:extLst>
                    </a:blip>
                    <a:stretch>
                      <a:fillRect/>
                    </a:stretch>
                  </pic:blipFill>
                  <pic:spPr>
                    <a:xfrm>
                      <a:off x="0" y="0"/>
                      <a:ext cx="3059430" cy="611505"/>
                    </a:xfrm>
                    <a:prstGeom prst="rect">
                      <a:avLst/>
                    </a:prstGeom>
                  </pic:spPr>
                </pic:pic>
              </a:graphicData>
            </a:graphic>
            <wp14:sizeRelH relativeFrom="page">
              <wp14:pctWidth>0</wp14:pctWidth>
            </wp14:sizeRelH>
            <wp14:sizeRelV relativeFrom="page">
              <wp14:pctHeight>0</wp14:pctHeight>
            </wp14:sizeRelV>
          </wp:anchor>
        </w:drawing>
      </w:r>
      <w:r w:rsidR="00504323" w:rsidRPr="006E243A">
        <w:rPr>
          <w:rFonts w:ascii="Arial" w:hAnsi="Arial" w:cs="Arial"/>
          <w:b/>
          <w:bCs/>
          <w:color w:val="19998C"/>
          <w:sz w:val="26"/>
          <w:szCs w:val="26"/>
        </w:rPr>
        <w:t xml:space="preserve">Box </w:t>
      </w:r>
      <w:r w:rsidR="0065711A" w:rsidRPr="006E243A">
        <w:rPr>
          <w:rFonts w:ascii="Arial" w:hAnsi="Arial" w:cs="Arial"/>
          <w:b/>
          <w:bCs/>
          <w:color w:val="19998C"/>
          <w:sz w:val="26"/>
          <w:szCs w:val="26"/>
        </w:rPr>
        <w:t>1.1</w:t>
      </w:r>
      <w:r w:rsidR="00BF5298">
        <w:rPr>
          <w:rFonts w:ascii="Arial" w:hAnsi="Arial" w:cs="Arial"/>
          <w:b/>
          <w:bCs/>
          <w:color w:val="19998C"/>
          <w:sz w:val="26"/>
          <w:szCs w:val="26"/>
        </w:rPr>
        <w:t>.</w:t>
      </w:r>
      <w:r w:rsidR="0065711A" w:rsidRPr="006E243A">
        <w:rPr>
          <w:rFonts w:ascii="Arial" w:hAnsi="Arial" w:cs="Arial"/>
          <w:b/>
          <w:bCs/>
          <w:color w:val="19998C"/>
          <w:sz w:val="26"/>
          <w:szCs w:val="26"/>
        </w:rPr>
        <w:t xml:space="preserve"> </w:t>
      </w:r>
      <w:r w:rsidR="00504323" w:rsidRPr="006E243A">
        <w:rPr>
          <w:rFonts w:ascii="Arial" w:hAnsi="Arial" w:cs="Arial"/>
          <w:b/>
          <w:bCs/>
          <w:color w:val="19998C"/>
          <w:sz w:val="26"/>
          <w:szCs w:val="26"/>
        </w:rPr>
        <w:t>A summary of GIFT’s 10 high-level principles</w:t>
      </w:r>
      <w:bookmarkEnd w:id="524"/>
      <w:bookmarkEnd w:id="525"/>
      <w:bookmarkEnd w:id="526"/>
    </w:p>
    <w:p w14:paraId="6F6B69F1" w14:textId="0341F9BD" w:rsidR="00203FAB" w:rsidRDefault="00203FAB"/>
    <w:p w14:paraId="06CC47DA" w14:textId="042CA58B" w:rsidR="00203FAB" w:rsidRDefault="00203FAB" w:rsidP="002D14C0"/>
    <w:p w14:paraId="65ED2F10" w14:textId="6679B1D8" w:rsidR="00203FAB" w:rsidRDefault="00203FAB" w:rsidP="002D14C0"/>
    <w:p w14:paraId="573373D8" w14:textId="46349AC0" w:rsidR="00203FAB" w:rsidRDefault="004B1809" w:rsidP="002D14C0">
      <w:r>
        <w:rPr>
          <w:rFonts w:ascii="Roboto" w:hAnsi="Roboto"/>
          <w:noProof/>
          <w:lang w:val="en-US"/>
        </w:rPr>
        <mc:AlternateContent>
          <mc:Choice Requires="wps">
            <w:drawing>
              <wp:anchor distT="0" distB="0" distL="114300" distR="114300" simplePos="0" relativeHeight="253581821" behindDoc="0" locked="0" layoutInCell="1" allowOverlap="1" wp14:anchorId="38007E3D" wp14:editId="551CE6E2">
                <wp:simplePos x="0" y="0"/>
                <wp:positionH relativeFrom="column">
                  <wp:posOffset>-317500</wp:posOffset>
                </wp:positionH>
                <wp:positionV relativeFrom="paragraph">
                  <wp:posOffset>176530</wp:posOffset>
                </wp:positionV>
                <wp:extent cx="9461500" cy="889000"/>
                <wp:effectExtent l="0" t="0" r="12700" b="12700"/>
                <wp:wrapNone/>
                <wp:docPr id="1864" name="Rounded Rectangle 1864"/>
                <wp:cNvGraphicFramePr/>
                <a:graphic xmlns:a="http://schemas.openxmlformats.org/drawingml/2006/main">
                  <a:graphicData uri="http://schemas.microsoft.com/office/word/2010/wordprocessingShape">
                    <wps:wsp>
                      <wps:cNvSpPr/>
                      <wps:spPr>
                        <a:xfrm>
                          <a:off x="0" y="0"/>
                          <a:ext cx="9461500" cy="889000"/>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E882138" id="Rounded Rectangle 1864" o:spid="_x0000_s1026" style="position:absolute;margin-left:-25pt;margin-top:13.9pt;width:745pt;height:70pt;z-index:253581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" filled="f" strokecolor="#f26c21" strokeweight="1pt">
                <v:stroke joinstyle="miter"/>
              </v:roundrect>
            </w:pict>
          </mc:Fallback>
        </mc:AlternateContent>
      </w:r>
      <w:r>
        <w:rPr>
          <w:rFonts w:ascii="Roboto" w:hAnsi="Roboto"/>
          <w:noProof/>
          <w:lang w:val="en-US"/>
        </w:rPr>
        <mc:AlternateContent>
          <mc:Choice Requires="wps">
            <w:drawing>
              <wp:anchor distT="0" distB="0" distL="114300" distR="114300" simplePos="0" relativeHeight="253582334" behindDoc="0" locked="0" layoutInCell="1" allowOverlap="1" wp14:anchorId="0D1B8631" wp14:editId="5A85ABCE">
                <wp:simplePos x="0" y="0"/>
                <wp:positionH relativeFrom="column">
                  <wp:posOffset>-203200</wp:posOffset>
                </wp:positionH>
                <wp:positionV relativeFrom="paragraph">
                  <wp:posOffset>227330</wp:posOffset>
                </wp:positionV>
                <wp:extent cx="9220200" cy="800100"/>
                <wp:effectExtent l="0" t="0" r="0" b="0"/>
                <wp:wrapNone/>
                <wp:docPr id="1865" name="Text Box 1865"/>
                <wp:cNvGraphicFramePr/>
                <a:graphic xmlns:a="http://schemas.openxmlformats.org/drawingml/2006/main">
                  <a:graphicData uri="http://schemas.microsoft.com/office/word/2010/wordprocessingShape">
                    <wps:wsp>
                      <wps:cNvSpPr txBox="1"/>
                      <wps:spPr>
                        <a:xfrm>
                          <a:off x="0" y="0"/>
                          <a:ext cx="9220200" cy="8001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3BDE642F" w14:textId="77777777" w:rsidR="00D15FD8" w:rsidRPr="00581669" w:rsidRDefault="00D15FD8" w:rsidP="002D14C0">
                            <w:pPr>
                              <w:spacing w:line="360" w:lineRule="auto"/>
                              <w:jc w:val="both"/>
                              <w:rPr>
                                <w:rFonts w:ascii="Roboto" w:hAnsi="Roboto"/>
                                <w:b/>
                                <w:color w:val="F26C21"/>
                                <w:sz w:val="20"/>
                                <w:szCs w:val="20"/>
                              </w:rPr>
                            </w:pPr>
                            <w:r w:rsidRPr="00581669">
                              <w:rPr>
                                <w:rFonts w:ascii="Roboto" w:hAnsi="Roboto"/>
                                <w:b/>
                                <w:color w:val="F26C21"/>
                                <w:sz w:val="20"/>
                                <w:szCs w:val="20"/>
                              </w:rPr>
                              <w:t xml:space="preserve">Everyone has the right to seek, receive and impart information on fiscal policies. To help guarantee this right, national legal systems should establish a clear presumption in </w:t>
                            </w:r>
                            <w:proofErr w:type="spellStart"/>
                            <w:r w:rsidRPr="00581669">
                              <w:rPr>
                                <w:rFonts w:ascii="Roboto" w:hAnsi="Roboto"/>
                                <w:b/>
                                <w:color w:val="F26C21"/>
                                <w:sz w:val="20"/>
                                <w:szCs w:val="20"/>
                              </w:rPr>
                              <w:t>favor</w:t>
                            </w:r>
                            <w:proofErr w:type="spellEnd"/>
                            <w:r w:rsidRPr="00581669">
                              <w:rPr>
                                <w:rFonts w:ascii="Roboto" w:hAnsi="Roboto"/>
                                <w:b/>
                                <w:color w:val="F26C21"/>
                                <w:sz w:val="20"/>
                                <w:szCs w:val="20"/>
                              </w:rPr>
                              <w:t xml:space="preserve"> of the public availability of fiscal information without discrimination. Exceptions should be limited in nature, clearly set out in the legal framework, and subject to challenge through low-cost, independent and timely review mechanisms.</w:t>
                            </w:r>
                          </w:p>
                          <w:p w14:paraId="5DB62AE6" w14:textId="77777777" w:rsidR="00D15FD8" w:rsidRPr="00581669" w:rsidRDefault="00D15FD8">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B8631" id="Text Box 1865" o:spid="_x0000_s1087" type="#_x0000_t202" style="position:absolute;margin-left:-16pt;margin-top:17.9pt;width:726pt;height:63pt;z-index:253582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" filled="f" stroked="f" strokeweight="1pt">
                <v:textbox>
                  <w:txbxContent>
                    <w:p w14:paraId="3BDE642F" w14:textId="77777777" w:rsidR="00D15FD8" w:rsidRPr="00581669" w:rsidRDefault="00D15FD8" w:rsidP="002D14C0">
                      <w:pPr>
                        <w:spacing w:line="360" w:lineRule="auto"/>
                        <w:jc w:val="both"/>
                        <w:rPr>
                          <w:rFonts w:ascii="Roboto" w:hAnsi="Roboto"/>
                          <w:b/>
                          <w:color w:val="F26C21"/>
                          <w:sz w:val="20"/>
                          <w:szCs w:val="20"/>
                        </w:rPr>
                      </w:pPr>
                      <w:r w:rsidRPr="00581669">
                        <w:rPr>
                          <w:rFonts w:ascii="Roboto" w:hAnsi="Roboto"/>
                          <w:b/>
                          <w:color w:val="F26C21"/>
                          <w:sz w:val="20"/>
                          <w:szCs w:val="20"/>
                        </w:rPr>
                        <w:t xml:space="preserve">Everyone has the right to seek, receive and impart information on fiscal policies. To help guarantee this right, national legal systems should establish a clear presumption in </w:t>
                      </w:r>
                      <w:proofErr w:type="spellStart"/>
                      <w:r w:rsidRPr="00581669">
                        <w:rPr>
                          <w:rFonts w:ascii="Roboto" w:hAnsi="Roboto"/>
                          <w:b/>
                          <w:color w:val="F26C21"/>
                          <w:sz w:val="20"/>
                          <w:szCs w:val="20"/>
                        </w:rPr>
                        <w:t>favor</w:t>
                      </w:r>
                      <w:proofErr w:type="spellEnd"/>
                      <w:r w:rsidRPr="00581669">
                        <w:rPr>
                          <w:rFonts w:ascii="Roboto" w:hAnsi="Roboto"/>
                          <w:b/>
                          <w:color w:val="F26C21"/>
                          <w:sz w:val="20"/>
                          <w:szCs w:val="20"/>
                        </w:rPr>
                        <w:t xml:space="preserve"> of the public availability of fiscal information without discrimination. Exceptions should be limited in nature, clearly set out in the legal framework, and subject to challenge through low-cost, independent and timely review mechanisms.</w:t>
                      </w:r>
                    </w:p>
                    <w:p w14:paraId="5DB62AE6" w14:textId="77777777" w:rsidR="00D15FD8" w:rsidRPr="00581669" w:rsidRDefault="00D15FD8">
                      <w:pPr>
                        <w:rPr>
                          <w:sz w:val="20"/>
                          <w:szCs w:val="20"/>
                        </w:rPr>
                      </w:pPr>
                    </w:p>
                  </w:txbxContent>
                </v:textbox>
              </v:shape>
            </w:pict>
          </mc:Fallback>
        </mc:AlternateContent>
      </w:r>
    </w:p>
    <w:p w14:paraId="6BF0090C" w14:textId="6D88CA77" w:rsidR="00203FAB" w:rsidRDefault="00203FAB" w:rsidP="002D14C0">
      <w:pPr>
        <w:spacing w:line="360" w:lineRule="auto"/>
        <w:jc w:val="both"/>
        <w:rPr>
          <w:rFonts w:ascii="Roboto" w:hAnsi="Roboto"/>
        </w:rPr>
      </w:pPr>
    </w:p>
    <w:p w14:paraId="7297FA8E" w14:textId="3BE2F402" w:rsidR="00203FAB" w:rsidRDefault="00203FAB" w:rsidP="002D14C0">
      <w:pPr>
        <w:spacing w:line="360" w:lineRule="auto"/>
        <w:jc w:val="both"/>
        <w:rPr>
          <w:rFonts w:ascii="Roboto" w:hAnsi="Roboto"/>
        </w:rPr>
      </w:pPr>
    </w:p>
    <w:p w14:paraId="4B741AB0" w14:textId="07C786AC" w:rsidR="00203FAB" w:rsidRDefault="00203FAB" w:rsidP="002D14C0">
      <w:pPr>
        <w:spacing w:line="360" w:lineRule="auto"/>
        <w:jc w:val="both"/>
        <w:rPr>
          <w:rFonts w:ascii="Roboto" w:hAnsi="Roboto"/>
        </w:rPr>
      </w:pPr>
    </w:p>
    <w:p w14:paraId="4030AA94" w14:textId="1F058481" w:rsidR="00203FAB" w:rsidRDefault="004B1809" w:rsidP="002D14C0">
      <w:pPr>
        <w:spacing w:line="360" w:lineRule="auto"/>
        <w:jc w:val="both"/>
        <w:rPr>
          <w:rFonts w:ascii="Roboto" w:hAnsi="Roboto"/>
        </w:rPr>
      </w:pPr>
      <w:r>
        <w:rPr>
          <w:rFonts w:ascii="Roboto" w:hAnsi="Roboto"/>
          <w:noProof/>
          <w:lang w:val="en-US"/>
        </w:rPr>
        <w:drawing>
          <wp:anchor distT="0" distB="0" distL="114300" distR="114300" simplePos="0" relativeHeight="253584382" behindDoc="1" locked="0" layoutInCell="1" allowOverlap="1" wp14:anchorId="03F2CECB" wp14:editId="2441BE6A">
            <wp:simplePos x="0" y="0"/>
            <wp:positionH relativeFrom="column">
              <wp:posOffset>11430</wp:posOffset>
            </wp:positionH>
            <wp:positionV relativeFrom="paragraph">
              <wp:posOffset>98425</wp:posOffset>
            </wp:positionV>
            <wp:extent cx="8882380" cy="287655"/>
            <wp:effectExtent l="0" t="0" r="0" b="0"/>
            <wp:wrapTight wrapText="bothSides">
              <wp:wrapPolygon edited="0">
                <wp:start x="185" y="7629"/>
                <wp:lineTo x="185" y="13351"/>
                <wp:lineTo x="21341" y="13351"/>
                <wp:lineTo x="21341" y="7629"/>
                <wp:lineTo x="185" y="7629"/>
              </wp:wrapPolygon>
            </wp:wrapTight>
            <wp:docPr id="1968" name="Pictur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p>
    <w:p w14:paraId="260CC509" w14:textId="178ECC42" w:rsidR="00203FAB" w:rsidRDefault="006352BC" w:rsidP="002D14C0">
      <w:pPr>
        <w:spacing w:line="360" w:lineRule="auto"/>
        <w:jc w:val="both"/>
        <w:rPr>
          <w:rFonts w:ascii="Roboto" w:hAnsi="Roboto"/>
        </w:rPr>
      </w:pPr>
      <w:r>
        <w:rPr>
          <w:rFonts w:ascii="Roboto" w:hAnsi="Roboto"/>
          <w:noProof/>
          <w:lang w:val="en-US"/>
        </w:rPr>
        <mc:AlternateContent>
          <mc:Choice Requires="wps">
            <w:drawing>
              <wp:anchor distT="0" distB="0" distL="114300" distR="114300" simplePos="0" relativeHeight="253585406" behindDoc="0" locked="0" layoutInCell="1" allowOverlap="1" wp14:anchorId="6E135D60" wp14:editId="6CC7B730">
                <wp:simplePos x="0" y="0"/>
                <wp:positionH relativeFrom="column">
                  <wp:posOffset>-190500</wp:posOffset>
                </wp:positionH>
                <wp:positionV relativeFrom="paragraph">
                  <wp:posOffset>259715</wp:posOffset>
                </wp:positionV>
                <wp:extent cx="2620800" cy="3304800"/>
                <wp:effectExtent l="12700" t="12700" r="8255" b="10160"/>
                <wp:wrapNone/>
                <wp:docPr id="1893" name="Rounded Rectangle 1893"/>
                <wp:cNvGraphicFramePr/>
                <a:graphic xmlns:a="http://schemas.openxmlformats.org/drawingml/2006/main">
                  <a:graphicData uri="http://schemas.microsoft.com/office/word/2010/wordprocessingShape">
                    <wps:wsp>
                      <wps:cNvSpPr/>
                      <wps:spPr>
                        <a:xfrm>
                          <a:off x="0" y="0"/>
                          <a:ext cx="2620800" cy="3304800"/>
                        </a:xfrm>
                        <a:prstGeom prst="roundRect">
                          <a:avLst>
                            <a:gd name="adj" fmla="val 8928"/>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2A50B"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135D60" id="Rounded Rectangle 1893" o:spid="_x0000_s1088" style="position:absolute;left:0;text-align:left;margin-left:-15pt;margin-top:20.45pt;width:206.35pt;height:260.2pt;z-index:253585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" filled="f" strokecolor="white [3212]" strokeweight="1.5pt">
                <v:stroke joinstyle="miter"/>
                <v:textbox>
                  <w:txbxContent>
                    <w:p w14:paraId="6D12A50B" w14:textId="77777777" w:rsidR="00D15FD8" w:rsidRDefault="00D15FD8" w:rsidP="002D14C0"/>
                  </w:txbxContent>
                </v:textbox>
              </v:roundrect>
            </w:pict>
          </mc:Fallback>
        </mc:AlternateContent>
      </w:r>
      <w:r>
        <w:rPr>
          <w:rFonts w:ascii="Roboto" w:hAnsi="Roboto"/>
          <w:noProof/>
          <w:lang w:val="en-US"/>
        </w:rPr>
        <mc:AlternateContent>
          <mc:Choice Requires="wps">
            <w:drawing>
              <wp:anchor distT="0" distB="0" distL="114300" distR="114300" simplePos="0" relativeHeight="253580286" behindDoc="0" locked="0" layoutInCell="1" allowOverlap="1" wp14:anchorId="19CB5676" wp14:editId="02F1C21C">
                <wp:simplePos x="0" y="0"/>
                <wp:positionH relativeFrom="column">
                  <wp:posOffset>-317500</wp:posOffset>
                </wp:positionH>
                <wp:positionV relativeFrom="paragraph">
                  <wp:posOffset>132715</wp:posOffset>
                </wp:positionV>
                <wp:extent cx="2876550" cy="3557905"/>
                <wp:effectExtent l="0" t="0" r="6350" b="0"/>
                <wp:wrapNone/>
                <wp:docPr id="1905" name="Rounded Rectangle 1905"/>
                <wp:cNvGraphicFramePr/>
                <a:graphic xmlns:a="http://schemas.openxmlformats.org/drawingml/2006/main">
                  <a:graphicData uri="http://schemas.microsoft.com/office/word/2010/wordprocessingShape">
                    <wps:wsp>
                      <wps:cNvSpPr/>
                      <wps:spPr>
                        <a:xfrm>
                          <a:off x="0" y="0"/>
                          <a:ext cx="2876550" cy="3557905"/>
                        </a:xfrm>
                        <a:prstGeom prst="roundRect">
                          <a:avLst>
                            <a:gd name="adj" fmla="val 9603"/>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54B0A"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B5676" id="Rounded Rectangle 1905" o:spid="_x0000_s1089" style="position:absolute;left:0;text-align:left;margin-left:-25pt;margin-top:10.45pt;width:226.5pt;height:280.15pt;z-index:253580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" fillcolor="#1e9a8c" stroked="f" strokeweight="1pt">
                <v:stroke joinstyle="miter"/>
                <v:textbox>
                  <w:txbxContent>
                    <w:p w14:paraId="7B154B0A" w14:textId="77777777" w:rsidR="00D15FD8" w:rsidRDefault="00D15FD8" w:rsidP="002D14C0">
                      <w:pPr>
                        <w:jc w:val="center"/>
                      </w:pPr>
                    </w:p>
                  </w:txbxContent>
                </v:textbox>
              </v:roundrect>
            </w:pict>
          </mc:Fallback>
        </mc:AlternateContent>
      </w:r>
      <w:r w:rsidR="004B1809">
        <w:rPr>
          <w:rFonts w:ascii="Roboto" w:hAnsi="Roboto"/>
          <w:noProof/>
          <w:lang w:val="en-US"/>
        </w:rPr>
        <mc:AlternateContent>
          <mc:Choice Requires="wps">
            <w:drawing>
              <wp:anchor distT="0" distB="0" distL="114300" distR="114300" simplePos="0" relativeHeight="253589502" behindDoc="0" locked="0" layoutInCell="1" allowOverlap="1" wp14:anchorId="044C59AF" wp14:editId="6F3E4652">
                <wp:simplePos x="0" y="0"/>
                <wp:positionH relativeFrom="column">
                  <wp:posOffset>2623185</wp:posOffset>
                </wp:positionH>
                <wp:positionV relativeFrom="paragraph">
                  <wp:posOffset>58420</wp:posOffset>
                </wp:positionV>
                <wp:extent cx="5367655" cy="304800"/>
                <wp:effectExtent l="0" t="0" r="0" b="0"/>
                <wp:wrapNone/>
                <wp:docPr id="1906" name="Text Box 1906"/>
                <wp:cNvGraphicFramePr/>
                <a:graphic xmlns:a="http://schemas.openxmlformats.org/drawingml/2006/main">
                  <a:graphicData uri="http://schemas.microsoft.com/office/word/2010/wordprocessingShape">
                    <wps:wsp>
                      <wps:cNvSpPr txBox="1"/>
                      <wps:spPr>
                        <a:xfrm>
                          <a:off x="0" y="0"/>
                          <a:ext cx="5367655" cy="304800"/>
                        </a:xfrm>
                        <a:prstGeom prst="rect">
                          <a:avLst/>
                        </a:prstGeom>
                        <a:noFill/>
                        <a:ln w="6350">
                          <a:noFill/>
                        </a:ln>
                      </wps:spPr>
                      <wps:txbx>
                        <w:txbxContent>
                          <w:p w14:paraId="649629C4"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6FCD21F0" w14:textId="77777777" w:rsidR="00D15FD8" w:rsidRPr="00FA2526"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4C59AF" id="Text Box 1906" o:spid="_x0000_s1090" type="#_x0000_t202" style="position:absolute;left:0;text-align:left;margin-left:206.55pt;margin-top:4.6pt;width:422.65pt;height:24pt;z-index:2535895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" filled="f" stroked="f" strokeweight=".5pt">
                <v:textbox>
                  <w:txbxContent>
                    <w:p w14:paraId="649629C4"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6FCD21F0" w14:textId="77777777" w:rsidR="00D15FD8" w:rsidRPr="00FA2526" w:rsidRDefault="00D15FD8"/>
                  </w:txbxContent>
                </v:textbox>
              </v:shape>
            </w:pict>
          </mc:Fallback>
        </mc:AlternateContent>
      </w:r>
    </w:p>
    <w:p w14:paraId="52EFB8DE" w14:textId="03E606CA" w:rsidR="00203FAB" w:rsidRDefault="00B40DFA" w:rsidP="002D14C0">
      <w:pPr>
        <w:spacing w:line="360" w:lineRule="auto"/>
        <w:jc w:val="both"/>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32350" behindDoc="0" locked="0" layoutInCell="1" allowOverlap="1" wp14:anchorId="71DFE34B" wp14:editId="027C6A34">
                <wp:simplePos x="0" y="0"/>
                <wp:positionH relativeFrom="column">
                  <wp:posOffset>-3627120</wp:posOffset>
                </wp:positionH>
                <wp:positionV relativeFrom="paragraph">
                  <wp:posOffset>453390</wp:posOffset>
                </wp:positionV>
                <wp:extent cx="5976620" cy="252095"/>
                <wp:effectExtent l="0" t="0" r="0" b="0"/>
                <wp:wrapNone/>
                <wp:docPr id="2805" name="Text Box 2805"/>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3D430B1D" w14:textId="449CE398" w:rsidR="00D15FD8" w:rsidRPr="00B40DFA" w:rsidRDefault="00D15FD8" w:rsidP="00CB4860">
                            <w:pPr>
                              <w:jc w:val="right"/>
                              <w:rPr>
                                <w:rFonts w:ascii="Arial" w:hAnsi="Arial" w:cs="Arial"/>
                                <w:iCs/>
                                <w:color w:val="000000" w:themeColor="text1"/>
                                <w:lang w:val="en-US"/>
                              </w:rPr>
                            </w:pPr>
                            <w:r w:rsidRPr="00B40DFA">
                              <w:rPr>
                                <w:rFonts w:ascii="Arial" w:hAnsi="Arial" w:cs="Arial"/>
                                <w:iCs/>
                                <w:color w:val="000000" w:themeColor="text1"/>
                                <w:sz w:val="20"/>
                                <w:szCs w:val="20"/>
                                <w:lang w:val="en-US"/>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DFE34B" id="Text Box 2805" o:spid="_x0000_s1091" type="#_x0000_t202" style="position:absolute;left:0;text-align:left;margin-left:-285.6pt;margin-top:35.7pt;width:470.6pt;height:19.85pt;rotation:90;z-index:2553323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" filled="f" stroked="f" strokeweight=".5pt">
                <v:textbox>
                  <w:txbxContent>
                    <w:p w14:paraId="3D430B1D" w14:textId="449CE398" w:rsidR="00D15FD8" w:rsidRPr="00B40DFA" w:rsidRDefault="00D15FD8" w:rsidP="00CB4860">
                      <w:pPr>
                        <w:jc w:val="right"/>
                        <w:rPr>
                          <w:rFonts w:ascii="Arial" w:hAnsi="Arial" w:cs="Arial"/>
                          <w:iCs/>
                          <w:color w:val="000000" w:themeColor="text1"/>
                          <w:lang w:val="en-US"/>
                        </w:rPr>
                      </w:pPr>
                      <w:r w:rsidRPr="00B40DFA">
                        <w:rPr>
                          <w:rFonts w:ascii="Arial" w:hAnsi="Arial" w:cs="Arial"/>
                          <w:iCs/>
                          <w:color w:val="000000" w:themeColor="text1"/>
                          <w:sz w:val="20"/>
                          <w:szCs w:val="20"/>
                          <w:lang w:val="en-US"/>
                        </w:rPr>
                        <w:t>28</w:t>
                      </w:r>
                    </w:p>
                  </w:txbxContent>
                </v:textbox>
              </v:shape>
            </w:pict>
          </mc:Fallback>
        </mc:AlternateContent>
      </w:r>
      <w:r w:rsidR="006348C8">
        <w:rPr>
          <w:rFonts w:ascii="Roboto" w:hAnsi="Roboto"/>
          <w:noProof/>
          <w:lang w:val="en-US"/>
        </w:rPr>
        <w:drawing>
          <wp:anchor distT="0" distB="0" distL="114300" distR="114300" simplePos="0" relativeHeight="253586430" behindDoc="1" locked="0" layoutInCell="1" allowOverlap="1" wp14:anchorId="220D09BB" wp14:editId="3454E75A">
            <wp:simplePos x="0" y="0"/>
            <wp:positionH relativeFrom="column">
              <wp:posOffset>371475</wp:posOffset>
            </wp:positionH>
            <wp:positionV relativeFrom="paragraph">
              <wp:posOffset>191770</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r w:rsidR="006348C8">
        <w:rPr>
          <w:rFonts w:ascii="Roboto" w:hAnsi="Roboto"/>
          <w:noProof/>
          <w:lang w:val="en-US"/>
        </w:rPr>
        <mc:AlternateContent>
          <mc:Choice Requires="wps">
            <w:drawing>
              <wp:anchor distT="0" distB="0" distL="114300" distR="114300" simplePos="0" relativeHeight="253588478" behindDoc="0" locked="0" layoutInCell="1" allowOverlap="1" wp14:anchorId="20808DCA" wp14:editId="383C3373">
                <wp:simplePos x="0" y="0"/>
                <wp:positionH relativeFrom="column">
                  <wp:posOffset>-88900</wp:posOffset>
                </wp:positionH>
                <wp:positionV relativeFrom="paragraph">
                  <wp:posOffset>593090</wp:posOffset>
                </wp:positionV>
                <wp:extent cx="2454275" cy="2616200"/>
                <wp:effectExtent l="0" t="0" r="0" b="0"/>
                <wp:wrapNone/>
                <wp:docPr id="1901" name="Text Box 1901"/>
                <wp:cNvGraphicFramePr/>
                <a:graphic xmlns:a="http://schemas.openxmlformats.org/drawingml/2006/main">
                  <a:graphicData uri="http://schemas.microsoft.com/office/word/2010/wordprocessingShape">
                    <wps:wsp>
                      <wps:cNvSpPr txBox="1"/>
                      <wps:spPr>
                        <a:xfrm>
                          <a:off x="0" y="0"/>
                          <a:ext cx="2454275" cy="2616200"/>
                        </a:xfrm>
                        <a:prstGeom prst="rect">
                          <a:avLst/>
                        </a:prstGeom>
                        <a:noFill/>
                        <a:ln w="6350">
                          <a:noFill/>
                        </a:ln>
                      </wps:spPr>
                      <wps:txbx>
                        <w:txbxContent>
                          <w:p w14:paraId="1DC199D0" w14:textId="77777777" w:rsidR="00D15FD8" w:rsidRPr="003625BA" w:rsidRDefault="00D15FD8" w:rsidP="003625BA">
                            <w:pPr>
                              <w:spacing w:line="300" w:lineRule="atLeast"/>
                              <w:rPr>
                                <w:rFonts w:ascii="Roboto" w:hAnsi="Roboto"/>
                                <w:color w:val="FFFFFF" w:themeColor="background1"/>
                                <w:sz w:val="20"/>
                                <w:szCs w:val="20"/>
                              </w:rPr>
                            </w:pPr>
                            <w:r w:rsidRPr="003625BA">
                              <w:rPr>
                                <w:rFonts w:ascii="Roboto" w:hAnsi="Roboto" w:cs="AppleSystemUIFont"/>
                                <w:color w:val="FFFFFF" w:themeColor="background1"/>
                                <w:sz w:val="20"/>
                                <w:szCs w:val="20"/>
                              </w:rPr>
                              <w:t>Access to information is required for the public to get information on things that concern them; to make informed decisions; and to be able to hold the government accountable for fiscal management. Access to information is a precondition for meaningful public participation in fiscal policy. The right to fiscal information is an important guarantor of the public’s ability to obtain information in practice. There are however limits to this right, such as privacy considerations.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08DCA" id="Text Box 1901" o:spid="_x0000_s1092" type="#_x0000_t202" style="position:absolute;left:0;text-align:left;margin-left:-7pt;margin-top:46.7pt;width:193.25pt;height:206pt;z-index:25358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" filled="f" stroked="f" strokeweight=".5pt">
                <v:textbox>
                  <w:txbxContent>
                    <w:p w14:paraId="1DC199D0" w14:textId="77777777" w:rsidR="00D15FD8" w:rsidRPr="003625BA" w:rsidRDefault="00D15FD8" w:rsidP="003625BA">
                      <w:pPr>
                        <w:spacing w:line="300" w:lineRule="atLeast"/>
                        <w:rPr>
                          <w:rFonts w:ascii="Roboto" w:hAnsi="Roboto"/>
                          <w:color w:val="FFFFFF" w:themeColor="background1"/>
                          <w:sz w:val="20"/>
                          <w:szCs w:val="20"/>
                        </w:rPr>
                      </w:pPr>
                      <w:r w:rsidRPr="003625BA">
                        <w:rPr>
                          <w:rFonts w:ascii="Roboto" w:hAnsi="Roboto" w:cs="AppleSystemUIFont"/>
                          <w:color w:val="FFFFFF" w:themeColor="background1"/>
                          <w:sz w:val="20"/>
                          <w:szCs w:val="20"/>
                        </w:rPr>
                        <w:t>Access to information is required for the public to get information on things that concern them; to make informed decisions; and to be able to hold the government accountable for fiscal management. Access to information is a precondition for meaningful public participation in fiscal policy. The right to fiscal information is an important guarantor of the public’s ability to obtain information in practice. There are however limits to this right, such as privacy considerations.</w:t>
                      </w:r>
                    </w:p>
                  </w:txbxContent>
                </v:textbox>
              </v:shape>
            </w:pict>
          </mc:Fallback>
        </mc:AlternateContent>
      </w:r>
      <w:r w:rsidR="006348C8">
        <w:rPr>
          <w:rFonts w:ascii="Roboto" w:hAnsi="Roboto"/>
          <w:noProof/>
          <w:lang w:val="en-US"/>
        </w:rPr>
        <mc:AlternateContent>
          <mc:Choice Requires="wps">
            <w:drawing>
              <wp:anchor distT="0" distB="0" distL="114300" distR="114300" simplePos="0" relativeHeight="253587454" behindDoc="0" locked="0" layoutInCell="1" allowOverlap="1" wp14:anchorId="7F532088" wp14:editId="788E8EC0">
                <wp:simplePos x="0" y="0"/>
                <wp:positionH relativeFrom="column">
                  <wp:posOffset>636270</wp:posOffset>
                </wp:positionH>
                <wp:positionV relativeFrom="paragraph">
                  <wp:posOffset>224155</wp:posOffset>
                </wp:positionV>
                <wp:extent cx="1337310" cy="317500"/>
                <wp:effectExtent l="0" t="0" r="0" b="0"/>
                <wp:wrapNone/>
                <wp:docPr id="1904" name="Text Box 1904"/>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708FA3F9"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32088" id="Text Box 1904" o:spid="_x0000_s1093" type="#_x0000_t202" style="position:absolute;left:0;text-align:left;margin-left:50.1pt;margin-top:17.65pt;width:105.3pt;height:25pt;z-index:253587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" filled="f" stroked="f" strokeweight=".5pt">
                <v:textbox>
                  <w:txbxContent>
                    <w:p w14:paraId="708FA3F9"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004B1809">
        <w:rPr>
          <w:rFonts w:ascii="Roboto" w:hAnsi="Roboto"/>
          <w:noProof/>
          <w:lang w:val="en-US"/>
        </w:rPr>
        <mc:AlternateContent>
          <mc:Choice Requires="wps">
            <w:drawing>
              <wp:anchor distT="0" distB="0" distL="114300" distR="114300" simplePos="0" relativeHeight="253590526" behindDoc="0" locked="0" layoutInCell="1" allowOverlap="1" wp14:anchorId="62D9EBF9" wp14:editId="10076300">
                <wp:simplePos x="0" y="0"/>
                <wp:positionH relativeFrom="column">
                  <wp:posOffset>2565400</wp:posOffset>
                </wp:positionH>
                <wp:positionV relativeFrom="paragraph">
                  <wp:posOffset>46990</wp:posOffset>
                </wp:positionV>
                <wp:extent cx="6578600" cy="3521075"/>
                <wp:effectExtent l="0" t="0" r="0" b="0"/>
                <wp:wrapNone/>
                <wp:docPr id="1907" name="Text Box 1907"/>
                <wp:cNvGraphicFramePr/>
                <a:graphic xmlns:a="http://schemas.openxmlformats.org/drawingml/2006/main">
                  <a:graphicData uri="http://schemas.microsoft.com/office/word/2010/wordprocessingShape">
                    <wps:wsp>
                      <wps:cNvSpPr txBox="1"/>
                      <wps:spPr>
                        <a:xfrm>
                          <a:off x="0" y="0"/>
                          <a:ext cx="6578600" cy="3521075"/>
                        </a:xfrm>
                        <a:prstGeom prst="rect">
                          <a:avLst/>
                        </a:prstGeom>
                        <a:noFill/>
                        <a:ln w="6350">
                          <a:noFill/>
                        </a:ln>
                      </wps:spPr>
                      <wps:txbx>
                        <w:txbxContent>
                          <w:p w14:paraId="1491C4FA" w14:textId="7C828A29" w:rsidR="00D15FD8" w:rsidRPr="00FA2526" w:rsidRDefault="00D15FD8" w:rsidP="002D14C0">
                            <w:pPr>
                              <w:suppressOverlap/>
                              <w:rPr>
                                <w:rFonts w:ascii="Roboto" w:eastAsia="Calibri" w:hAnsi="Roboto" w:cs="Calibri"/>
                                <w:color w:val="404040" w:themeColor="text1" w:themeTint="BF"/>
                                <w:sz w:val="20"/>
                                <w:szCs w:val="20"/>
                              </w:rPr>
                            </w:pPr>
                            <w:r w:rsidRPr="00FA2526">
                              <w:rPr>
                                <w:rFonts w:ascii="Roboto" w:eastAsia="Calibri" w:hAnsi="Roboto" w:cs="Calibri"/>
                                <w:b/>
                                <w:color w:val="1E9A8C"/>
                                <w:sz w:val="20"/>
                                <w:szCs w:val="20"/>
                              </w:rPr>
                              <w:t>IMF</w:t>
                            </w:r>
                            <w:r w:rsidRPr="00FA2526">
                              <w:rPr>
                                <w:rFonts w:ascii="Roboto" w:eastAsia="Calibri" w:hAnsi="Roboto" w:cs="Calibri"/>
                                <w:color w:val="1E9A8C"/>
                                <w:sz w:val="20"/>
                                <w:szCs w:val="20"/>
                              </w:rPr>
                              <w:t xml:space="preserve">: </w:t>
                            </w:r>
                            <w:hyperlink r:id="rId106" w:history="1">
                              <w:r w:rsidRPr="00FA52FF">
                                <w:rPr>
                                  <w:rStyle w:val="Hyperlink"/>
                                  <w:rFonts w:ascii="Roboto" w:eastAsia="Calibri" w:hAnsi="Roboto" w:cs="Calibri"/>
                                  <w:color w:val="F26C21"/>
                                  <w:sz w:val="20"/>
                                  <w:szCs w:val="20"/>
                                </w:rPr>
                                <w:t>Fiscal Transparency Code</w:t>
                              </w:r>
                            </w:hyperlink>
                            <w:r w:rsidRPr="00FA2526">
                              <w:rPr>
                                <w:rFonts w:ascii="Roboto" w:hAnsi="Roboto"/>
                                <w:color w:val="F26C21"/>
                                <w:sz w:val="20"/>
                                <w:szCs w:val="20"/>
                                <w:u w:val="single"/>
                              </w:rPr>
                              <w:t xml:space="preserve"> </w:t>
                            </w:r>
                            <w:r w:rsidRPr="00FA2526">
                              <w:rPr>
                                <w:rFonts w:ascii="Roboto" w:eastAsia="Calibri" w:hAnsi="Roboto" w:cs="Calibri"/>
                                <w:color w:val="404040" w:themeColor="text1" w:themeTint="BF"/>
                                <w:sz w:val="20"/>
                                <w:szCs w:val="20"/>
                              </w:rPr>
                              <w:t>(2019): Information should be disclosed to the public in respect of 4 pillars:</w:t>
                            </w:r>
                          </w:p>
                          <w:p w14:paraId="373E741A"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Fiscal reporting</w:t>
                            </w:r>
                          </w:p>
                          <w:p w14:paraId="71F8D5A5"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Fiscal forecasting and budgeting</w:t>
                            </w:r>
                          </w:p>
                          <w:p w14:paraId="722910BA"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Fiscal risk analysis and management</w:t>
                            </w:r>
                          </w:p>
                          <w:p w14:paraId="2C739E17"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Resource revenue management</w:t>
                            </w:r>
                          </w:p>
                          <w:p w14:paraId="6A84AF32" w14:textId="77777777" w:rsidR="00D15FD8" w:rsidRPr="00FA2526" w:rsidRDefault="00D15FD8" w:rsidP="002D14C0">
                            <w:pPr>
                              <w:ind w:left="340"/>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w:t>
                            </w:r>
                            <w:hyperlink r:id="rId107" w:history="1">
                              <w:r w:rsidRPr="00FA2526">
                                <w:rPr>
                                  <w:rStyle w:val="Hyperlink"/>
                                  <w:rFonts w:ascii="Roboto" w:eastAsia="Calibri" w:hAnsi="Roboto" w:cs="Calibri"/>
                                  <w:color w:val="F26C21"/>
                                  <w:sz w:val="20"/>
                                  <w:szCs w:val="20"/>
                                </w:rPr>
                                <w:t>Manual on Fiscal Transparency</w:t>
                              </w:r>
                            </w:hyperlink>
                            <w:r w:rsidRPr="00FA2526">
                              <w:rPr>
                                <w:rFonts w:ascii="Roboto" w:eastAsia="Calibri" w:hAnsi="Roboto" w:cs="Calibri"/>
                                <w:color w:val="F26C21"/>
                                <w:sz w:val="20"/>
                                <w:szCs w:val="20"/>
                              </w:rPr>
                              <w:t xml:space="preserve"> </w:t>
                            </w:r>
                            <w:r w:rsidRPr="00FA2526">
                              <w:rPr>
                                <w:rFonts w:ascii="Roboto" w:eastAsia="Calibri" w:hAnsi="Roboto" w:cs="Calibri"/>
                                <w:color w:val="404040" w:themeColor="text1" w:themeTint="BF"/>
                                <w:sz w:val="20"/>
                                <w:szCs w:val="20"/>
                              </w:rPr>
                              <w:t xml:space="preserve">(2007) and </w:t>
                            </w:r>
                            <w:hyperlink r:id="rId108" w:history="1">
                              <w:r w:rsidRPr="00FA2526">
                                <w:rPr>
                                  <w:rStyle w:val="Hyperlink"/>
                                  <w:rFonts w:ascii="Roboto" w:eastAsia="Calibri" w:hAnsi="Roboto" w:cs="Calibri"/>
                                  <w:color w:val="F26C21"/>
                                  <w:sz w:val="20"/>
                                  <w:szCs w:val="20"/>
                                </w:rPr>
                                <w:t>Fiscal Transparency Handbook</w:t>
                              </w:r>
                            </w:hyperlink>
                            <w:r w:rsidRPr="00FA2526">
                              <w:rPr>
                                <w:rFonts w:ascii="Roboto" w:eastAsia="Calibri" w:hAnsi="Roboto" w:cs="Calibri"/>
                                <w:color w:val="F26C21"/>
                                <w:sz w:val="20"/>
                                <w:szCs w:val="20"/>
                              </w:rPr>
                              <w:t xml:space="preserve"> </w:t>
                            </w:r>
                            <w:r w:rsidRPr="00FA2526">
                              <w:rPr>
                                <w:rFonts w:ascii="Roboto" w:eastAsia="Calibri" w:hAnsi="Roboto" w:cs="Calibri"/>
                                <w:color w:val="404040" w:themeColor="text1" w:themeTint="BF"/>
                                <w:sz w:val="20"/>
                                <w:szCs w:val="20"/>
                              </w:rPr>
                              <w:t>(2018) provide guidance on the Code's implementation].</w:t>
                            </w:r>
                          </w:p>
                          <w:p w14:paraId="7F41FF01" w14:textId="77777777" w:rsidR="00D15FD8" w:rsidRPr="00FA2526" w:rsidRDefault="00D15FD8" w:rsidP="002D14C0">
                            <w:pPr>
                              <w:rPr>
                                <w:rFonts w:ascii="Roboto" w:hAnsi="Roboto"/>
                                <w:sz w:val="20"/>
                                <w:szCs w:val="20"/>
                              </w:rPr>
                            </w:pPr>
                          </w:p>
                          <w:p w14:paraId="21E0D482" w14:textId="77777777" w:rsidR="00D15FD8" w:rsidRPr="00FA2526" w:rsidRDefault="00D15FD8" w:rsidP="002D14C0">
                            <w:pPr>
                              <w:suppressOverlap/>
                              <w:rPr>
                                <w:rFonts w:ascii="Roboto" w:eastAsia="Calibri" w:hAnsi="Roboto" w:cs="Calibri"/>
                                <w:color w:val="1E9A8C"/>
                                <w:sz w:val="20"/>
                                <w:szCs w:val="20"/>
                              </w:rPr>
                            </w:pPr>
                            <w:r w:rsidRPr="00FA2526">
                              <w:rPr>
                                <w:rFonts w:ascii="Roboto" w:eastAsia="Calibri" w:hAnsi="Roboto" w:cs="Calibri"/>
                                <w:b/>
                                <w:color w:val="1E9A8C"/>
                                <w:sz w:val="20"/>
                                <w:szCs w:val="20"/>
                              </w:rPr>
                              <w:t>OECD</w:t>
                            </w:r>
                            <w:r w:rsidRPr="00FA2526">
                              <w:rPr>
                                <w:rFonts w:ascii="Roboto" w:eastAsia="Calibri" w:hAnsi="Roboto" w:cs="Calibri"/>
                                <w:color w:val="1E9A8C"/>
                                <w:sz w:val="20"/>
                                <w:szCs w:val="20"/>
                              </w:rPr>
                              <w:t xml:space="preserve">: </w:t>
                            </w:r>
                          </w:p>
                          <w:p w14:paraId="49453E8A" w14:textId="77777777" w:rsidR="00D15FD8" w:rsidRPr="00FA2526" w:rsidRDefault="00AC4DF7" w:rsidP="00601849">
                            <w:pPr>
                              <w:pStyle w:val="ListParagraph"/>
                              <w:numPr>
                                <w:ilvl w:val="0"/>
                                <w:numId w:val="20"/>
                              </w:numPr>
                              <w:ind w:left="308" w:hanging="308"/>
                              <w:suppressOverlap/>
                              <w:rPr>
                                <w:rFonts w:ascii="Roboto" w:hAnsi="Roboto" w:cstheme="minorBidi"/>
                                <w:color w:val="404040" w:themeColor="text1" w:themeTint="BF"/>
                                <w:sz w:val="20"/>
                                <w:szCs w:val="20"/>
                                <w:lang w:val="en-ZA"/>
                              </w:rPr>
                            </w:pPr>
                            <w:hyperlink r:id="rId109" w:history="1">
                              <w:r w:rsidR="00D15FD8" w:rsidRPr="00FA2526">
                                <w:rPr>
                                  <w:rStyle w:val="Hyperlink"/>
                                  <w:rFonts w:ascii="Roboto" w:eastAsia="Calibri" w:hAnsi="Roboto" w:cs="Calibri"/>
                                  <w:bCs/>
                                  <w:iCs/>
                                  <w:color w:val="F26C21"/>
                                  <w:sz w:val="20"/>
                                  <w:szCs w:val="20"/>
                                </w:rPr>
                                <w:t>Best Practices for Budget Transparency</w:t>
                              </w:r>
                            </w:hyperlink>
                            <w:r w:rsidR="00D15FD8" w:rsidRPr="00FA2526">
                              <w:rPr>
                                <w:rFonts w:ascii="Roboto" w:eastAsia="Calibri" w:hAnsi="Roboto" w:cs="Calibri"/>
                                <w:bCs/>
                                <w:iCs/>
                                <w:color w:val="F26C21"/>
                                <w:sz w:val="20"/>
                                <w:szCs w:val="20"/>
                              </w:rPr>
                              <w:t xml:space="preserve"> </w:t>
                            </w:r>
                            <w:r w:rsidR="00D15FD8" w:rsidRPr="00FA2526">
                              <w:rPr>
                                <w:rFonts w:ascii="Roboto" w:eastAsia="Calibri" w:hAnsi="Roboto" w:cs="Calibri"/>
                                <w:bCs/>
                                <w:iCs/>
                                <w:color w:val="404040" w:themeColor="text1" w:themeTint="BF"/>
                                <w:sz w:val="20"/>
                                <w:szCs w:val="20"/>
                              </w:rPr>
                              <w:t>(2002):</w:t>
                            </w:r>
                            <w:r w:rsidR="00D15FD8" w:rsidRPr="00FA2526">
                              <w:rPr>
                                <w:rFonts w:ascii="Roboto" w:hAnsi="Roboto" w:cstheme="minorBidi"/>
                                <w:color w:val="404040" w:themeColor="text1" w:themeTint="BF"/>
                                <w:sz w:val="20"/>
                                <w:szCs w:val="20"/>
                              </w:rPr>
                              <w:t xml:space="preserve"> Defines budget transparency as “the full disclosure of all relevant fiscal information in a timely and systematic manner” and is comprised of </w:t>
                            </w:r>
                            <w:r w:rsidR="00D15FD8" w:rsidRPr="00FA2526">
                              <w:rPr>
                                <w:rFonts w:ascii="Roboto" w:hAnsi="Roboto" w:cstheme="minorBidi"/>
                                <w:color w:val="404040" w:themeColor="text1" w:themeTint="BF"/>
                                <w:sz w:val="20"/>
                                <w:szCs w:val="20"/>
                                <w:lang w:val="en-ZA"/>
                              </w:rPr>
                              <w:t>3 parts:</w:t>
                            </w:r>
                          </w:p>
                          <w:p w14:paraId="007D20A2" w14:textId="77777777" w:rsidR="00D15FD8" w:rsidRPr="00FA2526" w:rsidRDefault="00D15FD8" w:rsidP="00601849">
                            <w:pPr>
                              <w:pStyle w:val="ListParagraph"/>
                              <w:numPr>
                                <w:ilvl w:val="0"/>
                                <w:numId w:val="19"/>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Principal budget reports that governments should produce with their general content</w:t>
                            </w:r>
                          </w:p>
                          <w:p w14:paraId="5B599AED" w14:textId="77777777" w:rsidR="00D15FD8" w:rsidRPr="00FA2526" w:rsidRDefault="00D15FD8" w:rsidP="00601849">
                            <w:pPr>
                              <w:pStyle w:val="ListParagraph"/>
                              <w:numPr>
                                <w:ilvl w:val="0"/>
                                <w:numId w:val="19"/>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Specific disclosures such as economic assumptions, financial assets and liabilities, and contingent liabilities to be contained in the reports, including both financial and non-financial performance information</w:t>
                            </w:r>
                          </w:p>
                          <w:p w14:paraId="17995928" w14:textId="77777777" w:rsidR="00D15FD8" w:rsidRPr="00FA2526" w:rsidRDefault="00D15FD8" w:rsidP="00601849">
                            <w:pPr>
                              <w:pStyle w:val="ListParagraph"/>
                              <w:numPr>
                                <w:ilvl w:val="0"/>
                                <w:numId w:val="19"/>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Practices for ensuring the quality and integrity of the reports</w:t>
                            </w:r>
                          </w:p>
                          <w:p w14:paraId="70FE176A" w14:textId="537871EF" w:rsidR="00D15FD8" w:rsidRPr="00FA2526" w:rsidRDefault="00D15FD8" w:rsidP="002D14C0">
                            <w:pPr>
                              <w:spacing w:line="259" w:lineRule="auto"/>
                              <w:ind w:left="308"/>
                              <w:suppressOverlap/>
                              <w:rPr>
                                <w:rFonts w:ascii="Roboto" w:eastAsia="Calibri" w:hAnsi="Roboto" w:cs="Calibri"/>
                                <w:color w:val="404040" w:themeColor="text1" w:themeTint="BF"/>
                                <w:sz w:val="20"/>
                                <w:szCs w:val="20"/>
                              </w:rPr>
                            </w:pPr>
                            <w:r w:rsidRPr="00FA2526">
                              <w:rPr>
                                <w:rFonts w:ascii="Roboto" w:hAnsi="Roboto"/>
                                <w:bCs/>
                                <w:iCs/>
                                <w:color w:val="404040" w:themeColor="text1" w:themeTint="BF"/>
                                <w:sz w:val="20"/>
                                <w:szCs w:val="20"/>
                              </w:rPr>
                              <w:t>Since 2015, the Best Practices have been embodied and updated within the </w:t>
                            </w:r>
                            <w:hyperlink r:id="rId110" w:history="1">
                              <w:r w:rsidRPr="00B54041">
                                <w:rPr>
                                  <w:rStyle w:val="Hyperlink"/>
                                  <w:rFonts w:ascii="Roboto" w:eastAsia="Calibri" w:hAnsi="Roboto" w:cs="Calibri"/>
                                  <w:bCs/>
                                  <w:iCs/>
                                  <w:color w:val="F26C21"/>
                                  <w:sz w:val="20"/>
                                  <w:szCs w:val="20"/>
                                </w:rPr>
                                <w:t>Recommendation of the Council on Budgetary Governance</w:t>
                              </w:r>
                            </w:hyperlink>
                            <w:r w:rsidRPr="00FA2526">
                              <w:rPr>
                                <w:rFonts w:ascii="Roboto" w:hAnsi="Roboto"/>
                                <w:bCs/>
                                <w:iCs/>
                                <w:color w:val="404040" w:themeColor="text1" w:themeTint="BF"/>
                                <w:sz w:val="20"/>
                                <w:szCs w:val="20"/>
                              </w:rPr>
                              <w:t xml:space="preserve">, which </w:t>
                            </w:r>
                            <w:r w:rsidRPr="00FA2526">
                              <w:rPr>
                                <w:rFonts w:ascii="Roboto" w:eastAsia="Calibri" w:hAnsi="Roboto" w:cs="Calibri"/>
                                <w:bCs/>
                                <w:iCs/>
                                <w:color w:val="404040" w:themeColor="text1" w:themeTint="BF"/>
                                <w:sz w:val="20"/>
                                <w:szCs w:val="20"/>
                              </w:rPr>
                              <w:t>set out ten Budget Principles, presenting an overview of how various aspects of budgeting should inter-connect to form a coherent and effective system. Introduced a principle of participative and inclusive budgetary debate. </w:t>
                            </w:r>
                            <w:r w:rsidRPr="00FA2526">
                              <w:rPr>
                                <w:rFonts w:ascii="Roboto" w:eastAsia="Calibri" w:hAnsi="Roboto" w:cs="Calibri"/>
                                <w:b/>
                                <w:color w:val="404040" w:themeColor="text1" w:themeTint="BF"/>
                                <w:sz w:val="20"/>
                                <w:szCs w:val="20"/>
                              </w:rPr>
                              <w:t xml:space="preserve"> </w:t>
                            </w:r>
                          </w:p>
                          <w:p w14:paraId="5ED52D13" w14:textId="77777777" w:rsidR="00D15FD8" w:rsidRPr="00FA2526"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9EBF9" id="Text Box 1907" o:spid="_x0000_s1094" type="#_x0000_t202" style="position:absolute;left:0;text-align:left;margin-left:202pt;margin-top:3.7pt;width:518pt;height:277.25pt;z-index:253590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" filled="f" stroked="f" strokeweight=".5pt">
                <v:textbox>
                  <w:txbxContent>
                    <w:p w14:paraId="1491C4FA" w14:textId="7C828A29" w:rsidR="00D15FD8" w:rsidRPr="00FA2526" w:rsidRDefault="00D15FD8" w:rsidP="002D14C0">
                      <w:pPr>
                        <w:suppressOverlap/>
                        <w:rPr>
                          <w:rFonts w:ascii="Roboto" w:eastAsia="Calibri" w:hAnsi="Roboto" w:cs="Calibri"/>
                          <w:color w:val="404040" w:themeColor="text1" w:themeTint="BF"/>
                          <w:sz w:val="20"/>
                          <w:szCs w:val="20"/>
                        </w:rPr>
                      </w:pPr>
                      <w:r w:rsidRPr="00FA2526">
                        <w:rPr>
                          <w:rFonts w:ascii="Roboto" w:eastAsia="Calibri" w:hAnsi="Roboto" w:cs="Calibri"/>
                          <w:b/>
                          <w:color w:val="1E9A8C"/>
                          <w:sz w:val="20"/>
                          <w:szCs w:val="20"/>
                        </w:rPr>
                        <w:t>IMF</w:t>
                      </w:r>
                      <w:r w:rsidRPr="00FA2526">
                        <w:rPr>
                          <w:rFonts w:ascii="Roboto" w:eastAsia="Calibri" w:hAnsi="Roboto" w:cs="Calibri"/>
                          <w:color w:val="1E9A8C"/>
                          <w:sz w:val="20"/>
                          <w:szCs w:val="20"/>
                        </w:rPr>
                        <w:t xml:space="preserve">: </w:t>
                      </w:r>
                      <w:hyperlink r:id="rId111" w:history="1">
                        <w:r w:rsidRPr="00FA52FF">
                          <w:rPr>
                            <w:rStyle w:val="Hyperlink"/>
                            <w:rFonts w:ascii="Roboto" w:eastAsia="Calibri" w:hAnsi="Roboto" w:cs="Calibri"/>
                            <w:color w:val="F26C21"/>
                            <w:sz w:val="20"/>
                            <w:szCs w:val="20"/>
                          </w:rPr>
                          <w:t>Fiscal Transparency Code</w:t>
                        </w:r>
                      </w:hyperlink>
                      <w:r w:rsidRPr="00FA2526">
                        <w:rPr>
                          <w:rFonts w:ascii="Roboto" w:hAnsi="Roboto"/>
                          <w:color w:val="F26C21"/>
                          <w:sz w:val="20"/>
                          <w:szCs w:val="20"/>
                          <w:u w:val="single"/>
                        </w:rPr>
                        <w:t xml:space="preserve"> </w:t>
                      </w:r>
                      <w:r w:rsidRPr="00FA2526">
                        <w:rPr>
                          <w:rFonts w:ascii="Roboto" w:eastAsia="Calibri" w:hAnsi="Roboto" w:cs="Calibri"/>
                          <w:color w:val="404040" w:themeColor="text1" w:themeTint="BF"/>
                          <w:sz w:val="20"/>
                          <w:szCs w:val="20"/>
                        </w:rPr>
                        <w:t>(2019): Information should be disclosed to the public in respect of 4 pillars:</w:t>
                      </w:r>
                    </w:p>
                    <w:p w14:paraId="373E741A"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Fiscal reporting</w:t>
                      </w:r>
                    </w:p>
                    <w:p w14:paraId="71F8D5A5"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Fiscal forecasting and budgeting</w:t>
                      </w:r>
                    </w:p>
                    <w:p w14:paraId="722910BA"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Fiscal risk analysis and management</w:t>
                      </w:r>
                    </w:p>
                    <w:p w14:paraId="2C739E17" w14:textId="77777777" w:rsidR="00D15FD8" w:rsidRPr="00FA2526" w:rsidRDefault="00D15FD8" w:rsidP="00601849">
                      <w:pPr>
                        <w:pStyle w:val="ListParagraph"/>
                        <w:numPr>
                          <w:ilvl w:val="0"/>
                          <w:numId w:val="18"/>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Resource revenue management</w:t>
                      </w:r>
                    </w:p>
                    <w:p w14:paraId="6A84AF32" w14:textId="77777777" w:rsidR="00D15FD8" w:rsidRPr="00FA2526" w:rsidRDefault="00D15FD8" w:rsidP="002D14C0">
                      <w:pPr>
                        <w:ind w:left="340"/>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w:t>
                      </w:r>
                      <w:hyperlink r:id="rId112" w:history="1">
                        <w:r w:rsidRPr="00FA2526">
                          <w:rPr>
                            <w:rStyle w:val="Hyperlink"/>
                            <w:rFonts w:ascii="Roboto" w:eastAsia="Calibri" w:hAnsi="Roboto" w:cs="Calibri"/>
                            <w:color w:val="F26C21"/>
                            <w:sz w:val="20"/>
                            <w:szCs w:val="20"/>
                          </w:rPr>
                          <w:t>Manual on Fiscal Transparency</w:t>
                        </w:r>
                      </w:hyperlink>
                      <w:r w:rsidRPr="00FA2526">
                        <w:rPr>
                          <w:rFonts w:ascii="Roboto" w:eastAsia="Calibri" w:hAnsi="Roboto" w:cs="Calibri"/>
                          <w:color w:val="F26C21"/>
                          <w:sz w:val="20"/>
                          <w:szCs w:val="20"/>
                        </w:rPr>
                        <w:t xml:space="preserve"> </w:t>
                      </w:r>
                      <w:r w:rsidRPr="00FA2526">
                        <w:rPr>
                          <w:rFonts w:ascii="Roboto" w:eastAsia="Calibri" w:hAnsi="Roboto" w:cs="Calibri"/>
                          <w:color w:val="404040" w:themeColor="text1" w:themeTint="BF"/>
                          <w:sz w:val="20"/>
                          <w:szCs w:val="20"/>
                        </w:rPr>
                        <w:t xml:space="preserve">(2007) and </w:t>
                      </w:r>
                      <w:hyperlink r:id="rId113" w:history="1">
                        <w:r w:rsidRPr="00FA2526">
                          <w:rPr>
                            <w:rStyle w:val="Hyperlink"/>
                            <w:rFonts w:ascii="Roboto" w:eastAsia="Calibri" w:hAnsi="Roboto" w:cs="Calibri"/>
                            <w:color w:val="F26C21"/>
                            <w:sz w:val="20"/>
                            <w:szCs w:val="20"/>
                          </w:rPr>
                          <w:t>Fiscal Transparency Handbook</w:t>
                        </w:r>
                      </w:hyperlink>
                      <w:r w:rsidRPr="00FA2526">
                        <w:rPr>
                          <w:rFonts w:ascii="Roboto" w:eastAsia="Calibri" w:hAnsi="Roboto" w:cs="Calibri"/>
                          <w:color w:val="F26C21"/>
                          <w:sz w:val="20"/>
                          <w:szCs w:val="20"/>
                        </w:rPr>
                        <w:t xml:space="preserve"> </w:t>
                      </w:r>
                      <w:r w:rsidRPr="00FA2526">
                        <w:rPr>
                          <w:rFonts w:ascii="Roboto" w:eastAsia="Calibri" w:hAnsi="Roboto" w:cs="Calibri"/>
                          <w:color w:val="404040" w:themeColor="text1" w:themeTint="BF"/>
                          <w:sz w:val="20"/>
                          <w:szCs w:val="20"/>
                        </w:rPr>
                        <w:t>(2018) provide guidance on the Code's implementation].</w:t>
                      </w:r>
                    </w:p>
                    <w:p w14:paraId="7F41FF01" w14:textId="77777777" w:rsidR="00D15FD8" w:rsidRPr="00FA2526" w:rsidRDefault="00D15FD8" w:rsidP="002D14C0">
                      <w:pPr>
                        <w:rPr>
                          <w:rFonts w:ascii="Roboto" w:hAnsi="Roboto"/>
                          <w:sz w:val="20"/>
                          <w:szCs w:val="20"/>
                        </w:rPr>
                      </w:pPr>
                    </w:p>
                    <w:p w14:paraId="21E0D482" w14:textId="77777777" w:rsidR="00D15FD8" w:rsidRPr="00FA2526" w:rsidRDefault="00D15FD8" w:rsidP="002D14C0">
                      <w:pPr>
                        <w:suppressOverlap/>
                        <w:rPr>
                          <w:rFonts w:ascii="Roboto" w:eastAsia="Calibri" w:hAnsi="Roboto" w:cs="Calibri"/>
                          <w:color w:val="1E9A8C"/>
                          <w:sz w:val="20"/>
                          <w:szCs w:val="20"/>
                        </w:rPr>
                      </w:pPr>
                      <w:r w:rsidRPr="00FA2526">
                        <w:rPr>
                          <w:rFonts w:ascii="Roboto" w:eastAsia="Calibri" w:hAnsi="Roboto" w:cs="Calibri"/>
                          <w:b/>
                          <w:color w:val="1E9A8C"/>
                          <w:sz w:val="20"/>
                          <w:szCs w:val="20"/>
                        </w:rPr>
                        <w:t>OECD</w:t>
                      </w:r>
                      <w:r w:rsidRPr="00FA2526">
                        <w:rPr>
                          <w:rFonts w:ascii="Roboto" w:eastAsia="Calibri" w:hAnsi="Roboto" w:cs="Calibri"/>
                          <w:color w:val="1E9A8C"/>
                          <w:sz w:val="20"/>
                          <w:szCs w:val="20"/>
                        </w:rPr>
                        <w:t xml:space="preserve">: </w:t>
                      </w:r>
                    </w:p>
                    <w:p w14:paraId="49453E8A" w14:textId="77777777" w:rsidR="00D15FD8" w:rsidRPr="00FA2526" w:rsidRDefault="00AC4DF7" w:rsidP="00601849">
                      <w:pPr>
                        <w:pStyle w:val="ListParagraph"/>
                        <w:numPr>
                          <w:ilvl w:val="0"/>
                          <w:numId w:val="20"/>
                        </w:numPr>
                        <w:ind w:left="308" w:hanging="308"/>
                        <w:suppressOverlap/>
                        <w:rPr>
                          <w:rFonts w:ascii="Roboto" w:hAnsi="Roboto" w:cstheme="minorBidi"/>
                          <w:color w:val="404040" w:themeColor="text1" w:themeTint="BF"/>
                          <w:sz w:val="20"/>
                          <w:szCs w:val="20"/>
                          <w:lang w:val="en-ZA"/>
                        </w:rPr>
                      </w:pPr>
                      <w:hyperlink r:id="rId114" w:history="1">
                        <w:r w:rsidR="00D15FD8" w:rsidRPr="00FA2526">
                          <w:rPr>
                            <w:rStyle w:val="Hyperlink"/>
                            <w:rFonts w:ascii="Roboto" w:eastAsia="Calibri" w:hAnsi="Roboto" w:cs="Calibri"/>
                            <w:bCs/>
                            <w:iCs/>
                            <w:color w:val="F26C21"/>
                            <w:sz w:val="20"/>
                            <w:szCs w:val="20"/>
                          </w:rPr>
                          <w:t>Best Practices for Budget Transparency</w:t>
                        </w:r>
                      </w:hyperlink>
                      <w:r w:rsidR="00D15FD8" w:rsidRPr="00FA2526">
                        <w:rPr>
                          <w:rFonts w:ascii="Roboto" w:eastAsia="Calibri" w:hAnsi="Roboto" w:cs="Calibri"/>
                          <w:bCs/>
                          <w:iCs/>
                          <w:color w:val="F26C21"/>
                          <w:sz w:val="20"/>
                          <w:szCs w:val="20"/>
                        </w:rPr>
                        <w:t xml:space="preserve"> </w:t>
                      </w:r>
                      <w:r w:rsidR="00D15FD8" w:rsidRPr="00FA2526">
                        <w:rPr>
                          <w:rFonts w:ascii="Roboto" w:eastAsia="Calibri" w:hAnsi="Roboto" w:cs="Calibri"/>
                          <w:bCs/>
                          <w:iCs/>
                          <w:color w:val="404040" w:themeColor="text1" w:themeTint="BF"/>
                          <w:sz w:val="20"/>
                          <w:szCs w:val="20"/>
                        </w:rPr>
                        <w:t>(2002):</w:t>
                      </w:r>
                      <w:r w:rsidR="00D15FD8" w:rsidRPr="00FA2526">
                        <w:rPr>
                          <w:rFonts w:ascii="Roboto" w:hAnsi="Roboto" w:cstheme="minorBidi"/>
                          <w:color w:val="404040" w:themeColor="text1" w:themeTint="BF"/>
                          <w:sz w:val="20"/>
                          <w:szCs w:val="20"/>
                        </w:rPr>
                        <w:t xml:space="preserve"> Defines budget transparency as “the full disclosure of all relevant fiscal information in a timely and systematic manner” and is comprised of </w:t>
                      </w:r>
                      <w:r w:rsidR="00D15FD8" w:rsidRPr="00FA2526">
                        <w:rPr>
                          <w:rFonts w:ascii="Roboto" w:hAnsi="Roboto" w:cstheme="minorBidi"/>
                          <w:color w:val="404040" w:themeColor="text1" w:themeTint="BF"/>
                          <w:sz w:val="20"/>
                          <w:szCs w:val="20"/>
                          <w:lang w:val="en-ZA"/>
                        </w:rPr>
                        <w:t>3 parts:</w:t>
                      </w:r>
                    </w:p>
                    <w:p w14:paraId="007D20A2" w14:textId="77777777" w:rsidR="00D15FD8" w:rsidRPr="00FA2526" w:rsidRDefault="00D15FD8" w:rsidP="00601849">
                      <w:pPr>
                        <w:pStyle w:val="ListParagraph"/>
                        <w:numPr>
                          <w:ilvl w:val="0"/>
                          <w:numId w:val="19"/>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Principal budget reports that governments should produce with their general content</w:t>
                      </w:r>
                    </w:p>
                    <w:p w14:paraId="5B599AED" w14:textId="77777777" w:rsidR="00D15FD8" w:rsidRPr="00FA2526" w:rsidRDefault="00D15FD8" w:rsidP="00601849">
                      <w:pPr>
                        <w:pStyle w:val="ListParagraph"/>
                        <w:numPr>
                          <w:ilvl w:val="0"/>
                          <w:numId w:val="19"/>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Specific disclosures such as economic assumptions, financial assets and liabilities, and contingent liabilities to be contained in the reports, including both financial and non-financial performance information</w:t>
                      </w:r>
                    </w:p>
                    <w:p w14:paraId="17995928" w14:textId="77777777" w:rsidR="00D15FD8" w:rsidRPr="00FA2526" w:rsidRDefault="00D15FD8" w:rsidP="00601849">
                      <w:pPr>
                        <w:pStyle w:val="ListParagraph"/>
                        <w:numPr>
                          <w:ilvl w:val="0"/>
                          <w:numId w:val="19"/>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Practices for ensuring the quality and integrity of the reports</w:t>
                      </w:r>
                    </w:p>
                    <w:p w14:paraId="70FE176A" w14:textId="537871EF" w:rsidR="00D15FD8" w:rsidRPr="00FA2526" w:rsidRDefault="00D15FD8" w:rsidP="002D14C0">
                      <w:pPr>
                        <w:spacing w:line="259" w:lineRule="auto"/>
                        <w:ind w:left="308"/>
                        <w:suppressOverlap/>
                        <w:rPr>
                          <w:rFonts w:ascii="Roboto" w:eastAsia="Calibri" w:hAnsi="Roboto" w:cs="Calibri"/>
                          <w:color w:val="404040" w:themeColor="text1" w:themeTint="BF"/>
                          <w:sz w:val="20"/>
                          <w:szCs w:val="20"/>
                        </w:rPr>
                      </w:pPr>
                      <w:r w:rsidRPr="00FA2526">
                        <w:rPr>
                          <w:rFonts w:ascii="Roboto" w:hAnsi="Roboto"/>
                          <w:bCs/>
                          <w:iCs/>
                          <w:color w:val="404040" w:themeColor="text1" w:themeTint="BF"/>
                          <w:sz w:val="20"/>
                          <w:szCs w:val="20"/>
                        </w:rPr>
                        <w:t>Since 2015, the Best Practices have been embodied and updated within the </w:t>
                      </w:r>
                      <w:hyperlink r:id="rId115" w:history="1">
                        <w:r w:rsidRPr="00B54041">
                          <w:rPr>
                            <w:rStyle w:val="Hyperlink"/>
                            <w:rFonts w:ascii="Roboto" w:eastAsia="Calibri" w:hAnsi="Roboto" w:cs="Calibri"/>
                            <w:bCs/>
                            <w:iCs/>
                            <w:color w:val="F26C21"/>
                            <w:sz w:val="20"/>
                            <w:szCs w:val="20"/>
                          </w:rPr>
                          <w:t>Recommendation of the Council on Budgetary Governance</w:t>
                        </w:r>
                      </w:hyperlink>
                      <w:r w:rsidRPr="00FA2526">
                        <w:rPr>
                          <w:rFonts w:ascii="Roboto" w:hAnsi="Roboto"/>
                          <w:bCs/>
                          <w:iCs/>
                          <w:color w:val="404040" w:themeColor="text1" w:themeTint="BF"/>
                          <w:sz w:val="20"/>
                          <w:szCs w:val="20"/>
                        </w:rPr>
                        <w:t xml:space="preserve">, which </w:t>
                      </w:r>
                      <w:r w:rsidRPr="00FA2526">
                        <w:rPr>
                          <w:rFonts w:ascii="Roboto" w:eastAsia="Calibri" w:hAnsi="Roboto" w:cs="Calibri"/>
                          <w:bCs/>
                          <w:iCs/>
                          <w:color w:val="404040" w:themeColor="text1" w:themeTint="BF"/>
                          <w:sz w:val="20"/>
                          <w:szCs w:val="20"/>
                        </w:rPr>
                        <w:t>set out ten Budget Principles, presenting an overview of how various aspects of budgeting should inter-connect to form a coherent and effective system. Introduced a principle of participative and inclusive budgetary debate. </w:t>
                      </w:r>
                      <w:r w:rsidRPr="00FA2526">
                        <w:rPr>
                          <w:rFonts w:ascii="Roboto" w:eastAsia="Calibri" w:hAnsi="Roboto" w:cs="Calibri"/>
                          <w:b/>
                          <w:color w:val="404040" w:themeColor="text1" w:themeTint="BF"/>
                          <w:sz w:val="20"/>
                          <w:szCs w:val="20"/>
                        </w:rPr>
                        <w:t xml:space="preserve"> </w:t>
                      </w:r>
                    </w:p>
                    <w:p w14:paraId="5ED52D13" w14:textId="77777777" w:rsidR="00D15FD8" w:rsidRPr="00FA2526" w:rsidRDefault="00D15FD8" w:rsidP="002D14C0">
                      <w:pPr>
                        <w:rPr>
                          <w:rFonts w:ascii="Roboto" w:hAnsi="Roboto"/>
                          <w:sz w:val="20"/>
                          <w:szCs w:val="20"/>
                        </w:rPr>
                      </w:pPr>
                    </w:p>
                  </w:txbxContent>
                </v:textbox>
              </v:shape>
            </w:pict>
          </mc:Fallback>
        </mc:AlternateContent>
      </w:r>
    </w:p>
    <w:p w14:paraId="51940B3E" w14:textId="7AAFB0AB" w:rsidR="00203FAB" w:rsidRDefault="00B40DFA"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30302" behindDoc="0" locked="0" layoutInCell="1" allowOverlap="1" wp14:anchorId="1CC1047D" wp14:editId="066DA53C">
                <wp:simplePos x="0" y="0"/>
                <wp:positionH relativeFrom="column">
                  <wp:posOffset>6512160</wp:posOffset>
                </wp:positionH>
                <wp:positionV relativeFrom="paragraph">
                  <wp:posOffset>188228</wp:posOffset>
                </wp:positionV>
                <wp:extent cx="5977200" cy="252096"/>
                <wp:effectExtent l="4762" t="0" r="0" b="0"/>
                <wp:wrapNone/>
                <wp:docPr id="2803" name="Text Box 2803"/>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16E8A5FA" w14:textId="77777777" w:rsidR="00D15FD8" w:rsidRDefault="00AC4DF7" w:rsidP="00B40DFA">
                            <w:pPr>
                              <w:spacing w:line="264" w:lineRule="auto"/>
                              <w:rPr>
                                <w:i/>
                                <w:color w:val="ED7D31" w:themeColor="accent2"/>
                                <w:sz w:val="20"/>
                                <w:szCs w:val="20"/>
                              </w:rPr>
                            </w:pPr>
                            <w:sdt>
                              <w:sdtPr>
                                <w:rPr>
                                  <w:i/>
                                  <w:color w:val="ED7D31" w:themeColor="accent2"/>
                                  <w:sz w:val="20"/>
                                  <w:szCs w:val="20"/>
                                </w:rPr>
                                <w:alias w:val="Title"/>
                                <w:id w:val="-923182980"/>
                                <w:placeholder>
                                  <w:docPart w:val="6A245D200525D341A3530F1428ECAB5E"/>
                                </w:placeholder>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29892C2B"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C1047D" id="Text Box 2803" o:spid="_x0000_s1095" type="#_x0000_t202" style="position:absolute;margin-left:512.75pt;margin-top:14.8pt;width:470.65pt;height:19.85pt;rotation:90;z-index:2553303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" fillcolor="white [3201]" stroked="f" strokeweight=".5pt">
                <v:textbox>
                  <w:txbxContent>
                    <w:p w14:paraId="16E8A5FA" w14:textId="77777777" w:rsidR="00D15FD8" w:rsidRDefault="00AC4DF7" w:rsidP="00B40DFA">
                      <w:pPr>
                        <w:spacing w:line="264" w:lineRule="auto"/>
                        <w:rPr>
                          <w:i/>
                          <w:color w:val="ED7D31" w:themeColor="accent2"/>
                          <w:sz w:val="20"/>
                          <w:szCs w:val="20"/>
                        </w:rPr>
                      </w:pPr>
                      <w:sdt>
                        <w:sdtPr>
                          <w:rPr>
                            <w:i/>
                            <w:color w:val="ED7D31" w:themeColor="accent2"/>
                            <w:sz w:val="20"/>
                            <w:szCs w:val="20"/>
                          </w:rPr>
                          <w:alias w:val="Title"/>
                          <w:id w:val="-923182980"/>
                          <w:placeholder>
                            <w:docPart w:val="6A245D200525D341A3530F1428ECAB5E"/>
                          </w:placeholder>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29892C2B" w14:textId="77777777" w:rsidR="00D15FD8" w:rsidRDefault="00D15FD8"/>
                  </w:txbxContent>
                </v:textbox>
              </v:shape>
            </w:pict>
          </mc:Fallback>
        </mc:AlternateContent>
      </w:r>
    </w:p>
    <w:p w14:paraId="37802742" w14:textId="17ADA350" w:rsidR="00203FAB" w:rsidRDefault="00203FAB" w:rsidP="002D14C0">
      <w:pPr>
        <w:rPr>
          <w:rFonts w:ascii="Roboto" w:hAnsi="Roboto"/>
        </w:rPr>
      </w:pPr>
      <w:r>
        <w:rPr>
          <w:rFonts w:ascii="Roboto" w:hAnsi="Roboto"/>
        </w:rPr>
        <w:t xml:space="preserve">                                                                                                     </w:t>
      </w:r>
    </w:p>
    <w:p w14:paraId="4A6EF1BB" w14:textId="4B475C77" w:rsidR="00203FAB" w:rsidRDefault="00203FAB" w:rsidP="002D14C0">
      <w:pPr>
        <w:rPr>
          <w:rFonts w:ascii="Roboto" w:hAnsi="Roboto"/>
        </w:rPr>
      </w:pPr>
    </w:p>
    <w:p w14:paraId="1D3C7C36" w14:textId="5FDF63C5" w:rsidR="00203FAB" w:rsidRDefault="00203FAB" w:rsidP="002D14C0">
      <w:pPr>
        <w:rPr>
          <w:rFonts w:ascii="Roboto" w:hAnsi="Roboto"/>
        </w:rPr>
      </w:pPr>
    </w:p>
    <w:p w14:paraId="3475DEF6" w14:textId="610388BF" w:rsidR="00203FAB" w:rsidRDefault="00203FAB" w:rsidP="002D14C0">
      <w:pPr>
        <w:rPr>
          <w:rFonts w:ascii="Roboto" w:hAnsi="Roboto"/>
        </w:rPr>
      </w:pPr>
    </w:p>
    <w:p w14:paraId="28F757D0" w14:textId="77777777" w:rsidR="00203FAB" w:rsidRDefault="00203FAB" w:rsidP="002D14C0">
      <w:pPr>
        <w:rPr>
          <w:rFonts w:ascii="Roboto" w:hAnsi="Roboto"/>
        </w:rPr>
      </w:pPr>
    </w:p>
    <w:p w14:paraId="33F0953D" w14:textId="66DDA617" w:rsidR="00203FAB" w:rsidRDefault="00203FAB" w:rsidP="002D14C0">
      <w:pPr>
        <w:rPr>
          <w:rFonts w:ascii="Roboto" w:hAnsi="Roboto"/>
        </w:rPr>
      </w:pPr>
    </w:p>
    <w:p w14:paraId="2F9A145C" w14:textId="0D6DB44A" w:rsidR="00203FAB" w:rsidRDefault="00203FAB" w:rsidP="002D14C0">
      <w:pPr>
        <w:rPr>
          <w:rFonts w:ascii="Roboto" w:hAnsi="Roboto"/>
        </w:rPr>
      </w:pPr>
    </w:p>
    <w:p w14:paraId="450BE709" w14:textId="38E3C097" w:rsidR="00203FAB" w:rsidRDefault="00203FAB" w:rsidP="002D14C0">
      <w:pPr>
        <w:rPr>
          <w:rFonts w:ascii="Roboto" w:hAnsi="Roboto"/>
        </w:rPr>
      </w:pPr>
    </w:p>
    <w:p w14:paraId="74AB2766" w14:textId="15D2C154" w:rsidR="00203FAB" w:rsidRDefault="00203FAB" w:rsidP="002D14C0">
      <w:pPr>
        <w:rPr>
          <w:rFonts w:ascii="Roboto" w:hAnsi="Roboto"/>
        </w:rPr>
      </w:pPr>
    </w:p>
    <w:p w14:paraId="651359CE" w14:textId="27A69B06" w:rsidR="00203FAB" w:rsidRDefault="00203FAB" w:rsidP="002D14C0">
      <w:pPr>
        <w:rPr>
          <w:rFonts w:ascii="Roboto" w:hAnsi="Roboto"/>
        </w:rPr>
      </w:pPr>
    </w:p>
    <w:p w14:paraId="32692774" w14:textId="3851EC40" w:rsidR="00203FAB" w:rsidRDefault="00203FAB" w:rsidP="002D14C0">
      <w:pPr>
        <w:rPr>
          <w:rFonts w:ascii="Roboto" w:hAnsi="Roboto"/>
        </w:rPr>
      </w:pPr>
    </w:p>
    <w:p w14:paraId="071B4B09" w14:textId="77777777" w:rsidR="00203FAB" w:rsidRDefault="00203FAB" w:rsidP="002D14C0">
      <w:pPr>
        <w:rPr>
          <w:rFonts w:ascii="Roboto" w:hAnsi="Roboto"/>
        </w:rPr>
      </w:pPr>
    </w:p>
    <w:p w14:paraId="3D1A4D18" w14:textId="60A59C00" w:rsidR="00203FAB" w:rsidRDefault="00203FAB" w:rsidP="002D14C0">
      <w:pPr>
        <w:rPr>
          <w:rFonts w:ascii="Roboto" w:hAnsi="Roboto"/>
        </w:rPr>
      </w:pPr>
    </w:p>
    <w:p w14:paraId="38DA7ADF" w14:textId="07710A98" w:rsidR="00203FAB" w:rsidRPr="00A14DEF" w:rsidRDefault="007773FC" w:rsidP="002D14C0">
      <w:pPr>
        <w:rPr>
          <w:rFonts w:ascii="Roboto" w:hAnsi="Roboto"/>
        </w:rPr>
      </w:pPr>
      <w:r>
        <w:rPr>
          <w:rFonts w:ascii="Roboto" w:hAnsi="Roboto"/>
        </w:rPr>
        <w:br w:type="page"/>
      </w:r>
    </w:p>
    <w:p w14:paraId="30A891FB" w14:textId="02AE488B" w:rsidR="00203FAB" w:rsidRPr="00A14DEF"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33726" behindDoc="0" locked="0" layoutInCell="1" allowOverlap="1" wp14:anchorId="27E86F59" wp14:editId="127F3C80">
                <wp:simplePos x="0" y="0"/>
                <wp:positionH relativeFrom="column">
                  <wp:posOffset>-236483</wp:posOffset>
                </wp:positionH>
                <wp:positionV relativeFrom="paragraph">
                  <wp:posOffset>-504497</wp:posOffset>
                </wp:positionV>
                <wp:extent cx="3878317" cy="268014"/>
                <wp:effectExtent l="0" t="0" r="0" b="0"/>
                <wp:wrapNone/>
                <wp:docPr id="367" name="Rectangle 367"/>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63AD8F8C" id="Rectangle 367" o:spid="_x0000_s1026" style="position:absolute;margin-left:-18.6pt;margin-top:-39.7pt;width:305.4pt;height:21.1pt;z-index:2554337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" fillcolor="white [3212]" stroked="f" strokeweight="1pt"/>
            </w:pict>
          </mc:Fallback>
        </mc:AlternateContent>
      </w:r>
      <w:r w:rsidR="005F79AB">
        <w:rPr>
          <w:rFonts w:ascii="Roboto" w:hAnsi="Roboto"/>
          <w:noProof/>
          <w:lang w:val="en-US"/>
        </w:rPr>
        <mc:AlternateContent>
          <mc:Choice Requires="wps">
            <w:drawing>
              <wp:anchor distT="0" distB="0" distL="114300" distR="114300" simplePos="0" relativeHeight="253591550" behindDoc="0" locked="0" layoutInCell="1" allowOverlap="1" wp14:anchorId="67337DF6" wp14:editId="368E3AB9">
                <wp:simplePos x="0" y="0"/>
                <wp:positionH relativeFrom="margin">
                  <wp:align>center</wp:align>
                </wp:positionH>
                <wp:positionV relativeFrom="margin">
                  <wp:align>center</wp:align>
                </wp:positionV>
                <wp:extent cx="8817610" cy="5575300"/>
                <wp:effectExtent l="0" t="0" r="0" b="0"/>
                <wp:wrapNone/>
                <wp:docPr id="1908" name="Text Box 1908"/>
                <wp:cNvGraphicFramePr/>
                <a:graphic xmlns:a="http://schemas.openxmlformats.org/drawingml/2006/main">
                  <a:graphicData uri="http://schemas.microsoft.com/office/word/2010/wordprocessingShape">
                    <wps:wsp>
                      <wps:cNvSpPr txBox="1"/>
                      <wps:spPr>
                        <a:xfrm>
                          <a:off x="0" y="0"/>
                          <a:ext cx="8817610" cy="5575300"/>
                        </a:xfrm>
                        <a:prstGeom prst="rect">
                          <a:avLst/>
                        </a:prstGeom>
                        <a:noFill/>
                        <a:ln w="6350">
                          <a:noFill/>
                        </a:ln>
                      </wps:spPr>
                      <wps:txbx>
                        <w:txbxContent>
                          <w:p w14:paraId="318E6AEB" w14:textId="2B77F6E1" w:rsidR="00D15FD8" w:rsidRPr="001E4E87" w:rsidRDefault="00AC4DF7" w:rsidP="00601849">
                            <w:pPr>
                              <w:pStyle w:val="ListParagraph"/>
                              <w:numPr>
                                <w:ilvl w:val="0"/>
                                <w:numId w:val="22"/>
                              </w:numPr>
                              <w:spacing w:line="259" w:lineRule="auto"/>
                              <w:ind w:left="308" w:hanging="308"/>
                              <w:suppressOverlap/>
                              <w:rPr>
                                <w:rStyle w:val="Hyperlink"/>
                                <w:rFonts w:ascii="Roboto" w:hAnsi="Roboto"/>
                                <w:sz w:val="20"/>
                                <w:szCs w:val="20"/>
                              </w:rPr>
                            </w:pPr>
                            <w:hyperlink r:id="rId116" w:history="1">
                              <w:r w:rsidR="00D15FD8" w:rsidRPr="001311FB">
                                <w:rPr>
                                  <w:rStyle w:val="Hyperlink"/>
                                  <w:rFonts w:ascii="Roboto" w:eastAsia="Calibri" w:hAnsi="Roboto" w:cs="Calibri"/>
                                  <w:bCs/>
                                  <w:color w:val="F26C21"/>
                                  <w:sz w:val="20"/>
                                  <w:szCs w:val="20"/>
                                </w:rPr>
                                <w:t>Budget Transparency Toolkit</w:t>
                              </w:r>
                            </w:hyperlink>
                            <w:r w:rsidR="00D15FD8" w:rsidRPr="001E4E87">
                              <w:rPr>
                                <w:rFonts w:ascii="Roboto" w:hAnsi="Roboto"/>
                                <w:color w:val="F26C21"/>
                                <w:sz w:val="20"/>
                                <w:szCs w:val="20"/>
                              </w:rPr>
                              <w:t xml:space="preserve"> </w:t>
                            </w:r>
                            <w:r w:rsidR="00D15FD8" w:rsidRPr="001E4E87">
                              <w:rPr>
                                <w:rFonts w:ascii="Roboto" w:hAnsi="Roboto" w:cstheme="minorBidi"/>
                                <w:color w:val="404040" w:themeColor="text1" w:themeTint="BF"/>
                                <w:sz w:val="20"/>
                                <w:szCs w:val="20"/>
                              </w:rPr>
                              <w:t>(2017): Includes a section devoted to providing useful budget related documents during the annual cycle and including the right</w:t>
                            </w:r>
                            <w:r w:rsidR="00D15FD8">
                              <w:rPr>
                                <w:rFonts w:ascii="Roboto" w:hAnsi="Roboto" w:cstheme="minorBidi"/>
                                <w:color w:val="404040" w:themeColor="text1" w:themeTint="BF"/>
                                <w:sz w:val="20"/>
                                <w:szCs w:val="20"/>
                              </w:rPr>
                              <w:t xml:space="preserve"> to </w:t>
                            </w:r>
                            <w:r w:rsidR="00D15FD8" w:rsidRPr="001E4E87">
                              <w:rPr>
                                <w:rFonts w:ascii="Roboto" w:hAnsi="Roboto" w:cstheme="minorBidi"/>
                                <w:color w:val="404040" w:themeColor="text1" w:themeTint="BF"/>
                                <w:sz w:val="20"/>
                                <w:szCs w:val="20"/>
                              </w:rPr>
                              <w:t>financial information in budget related documents. On publication of budget documents, it recommends that official documents should provide a useful overview of the fiscal activities of the public sector in a regular and timely manner, to inform better scrutiny and decision-making throughout the budget</w:t>
                            </w:r>
                            <w:r w:rsidR="00D15FD8">
                              <w:rPr>
                                <w:rFonts w:ascii="Roboto" w:hAnsi="Roboto" w:cstheme="minorBidi"/>
                                <w:color w:val="404040" w:themeColor="text1" w:themeTint="BF"/>
                                <w:sz w:val="20"/>
                                <w:szCs w:val="20"/>
                              </w:rPr>
                              <w:t xml:space="preserve"> </w:t>
                            </w:r>
                            <w:r w:rsidR="00D15FD8" w:rsidRPr="001E4E87">
                              <w:rPr>
                                <w:rFonts w:ascii="Roboto" w:hAnsi="Roboto" w:cstheme="minorBidi"/>
                                <w:color w:val="404040" w:themeColor="text1" w:themeTint="BF"/>
                                <w:sz w:val="20"/>
                                <w:szCs w:val="20"/>
                              </w:rPr>
                              <w:t>cycle.</w:t>
                            </w:r>
                            <w:r w:rsidR="00D15FD8" w:rsidRPr="001E4E87">
                              <w:rPr>
                                <w:rStyle w:val="Hyperlink"/>
                                <w:rFonts w:ascii="Roboto" w:hAnsi="Roboto"/>
                                <w:sz w:val="20"/>
                                <w:szCs w:val="20"/>
                              </w:rPr>
                              <w:t xml:space="preserve"> </w:t>
                            </w:r>
                          </w:p>
                          <w:p w14:paraId="3FA87D08" w14:textId="77777777" w:rsidR="00D15FD8" w:rsidRDefault="00D15FD8" w:rsidP="002D14C0">
                            <w:pPr>
                              <w:spacing w:line="259" w:lineRule="auto"/>
                              <w:suppressOverlap/>
                              <w:rPr>
                                <w:rFonts w:ascii="Roboto" w:eastAsia="Calibri" w:hAnsi="Roboto" w:cs="Calibri"/>
                                <w:b/>
                                <w:color w:val="1E9A8C"/>
                                <w:sz w:val="20"/>
                                <w:szCs w:val="20"/>
                              </w:rPr>
                            </w:pPr>
                          </w:p>
                          <w:p w14:paraId="3DD17692" w14:textId="77777777" w:rsidR="00D15FD8" w:rsidRPr="00FA2526" w:rsidRDefault="00D15FD8" w:rsidP="002D14C0">
                            <w:pPr>
                              <w:spacing w:line="259" w:lineRule="auto"/>
                              <w:suppressOverlap/>
                              <w:rPr>
                                <w:rFonts w:ascii="Roboto" w:eastAsia="Calibri" w:hAnsi="Roboto" w:cs="Calibri"/>
                                <w:color w:val="404040" w:themeColor="text1" w:themeTint="BF"/>
                                <w:sz w:val="20"/>
                                <w:szCs w:val="20"/>
                              </w:rPr>
                            </w:pPr>
                            <w:r w:rsidRPr="00A14DEF">
                              <w:rPr>
                                <w:rFonts w:ascii="Roboto" w:eastAsia="Calibri" w:hAnsi="Roboto" w:cs="Calibri"/>
                                <w:b/>
                                <w:color w:val="1E9A8C"/>
                                <w:sz w:val="20"/>
                                <w:szCs w:val="20"/>
                              </w:rPr>
                              <w:t>Inter-Parliamentary Union</w:t>
                            </w:r>
                            <w:r w:rsidRPr="00B54707">
                              <w:rPr>
                                <w:rFonts w:ascii="Roboto" w:eastAsia="Calibri" w:hAnsi="Roboto" w:cs="Calibri"/>
                                <w:b/>
                                <w:color w:val="1E9A8C"/>
                                <w:sz w:val="20"/>
                                <w:szCs w:val="20"/>
                              </w:rPr>
                              <w:t>:</w:t>
                            </w:r>
                            <w:r w:rsidRPr="00B54707">
                              <w:rPr>
                                <w:rFonts w:ascii="Roboto" w:eastAsia="Calibri" w:hAnsi="Roboto" w:cs="Calibri"/>
                                <w:i/>
                                <w:color w:val="F26C21"/>
                                <w:sz w:val="20"/>
                                <w:szCs w:val="20"/>
                              </w:rPr>
                              <w:t xml:space="preserve"> </w:t>
                            </w:r>
                            <w:hyperlink r:id="rId117" w:history="1">
                              <w:r w:rsidRPr="00A14DEF">
                                <w:rPr>
                                  <w:rStyle w:val="Hyperlink"/>
                                  <w:rFonts w:ascii="Roboto" w:eastAsia="Calibri" w:hAnsi="Roboto" w:cs="Calibri"/>
                                  <w:color w:val="F26C21"/>
                                  <w:sz w:val="20"/>
                                  <w:szCs w:val="20"/>
                                </w:rPr>
                                <w:t>P</w:t>
                              </w:r>
                              <w:r w:rsidRPr="00A14DEF">
                                <w:rPr>
                                  <w:rStyle w:val="Hyperlink"/>
                                  <w:rFonts w:ascii="Roboto" w:eastAsia="Calibri" w:hAnsi="Roboto" w:cs="Calibri"/>
                                  <w:bCs/>
                                  <w:color w:val="F26C21"/>
                                  <w:sz w:val="20"/>
                                  <w:szCs w:val="20"/>
                                </w:rPr>
                                <w:t>arliament And Democracy In The Twenty-First Century: A Guide to Good Practice</w:t>
                              </w:r>
                            </w:hyperlink>
                            <w:r w:rsidRPr="00FA2526">
                              <w:rPr>
                                <w:rFonts w:ascii="Roboto" w:eastAsia="Calibri" w:hAnsi="Roboto" w:cs="Calibri"/>
                                <w:bCs/>
                                <w:color w:val="404040" w:themeColor="text1" w:themeTint="BF"/>
                                <w:sz w:val="20"/>
                                <w:szCs w:val="20"/>
                              </w:rPr>
                              <w:t>: Stipulates that</w:t>
                            </w:r>
                            <w:r w:rsidRPr="00FA2526">
                              <w:rPr>
                                <w:rFonts w:ascii="Roboto" w:eastAsia="Calibri" w:hAnsi="Roboto" w:cs="Calibri"/>
                                <w:bCs/>
                                <w:i/>
                                <w:color w:val="404040" w:themeColor="text1" w:themeTint="BF"/>
                                <w:sz w:val="20"/>
                                <w:szCs w:val="20"/>
                              </w:rPr>
                              <w:t xml:space="preserve"> </w:t>
                            </w:r>
                            <w:r w:rsidRPr="00FA2526">
                              <w:rPr>
                                <w:rFonts w:ascii="Roboto" w:eastAsia="Calibri" w:hAnsi="Roboto" w:cs="Calibri"/>
                                <w:bCs/>
                                <w:color w:val="404040" w:themeColor="text1" w:themeTint="BF"/>
                                <w:sz w:val="20"/>
                                <w:szCs w:val="20"/>
                              </w:rPr>
                              <w:t xml:space="preserve">the legislature should operate transparently, including </w:t>
                            </w:r>
                            <w:r w:rsidRPr="00FA2526">
                              <w:rPr>
                                <w:rFonts w:ascii="Roboto" w:eastAsia="Calibri" w:hAnsi="Roboto" w:cs="Calibri"/>
                                <w:color w:val="404040" w:themeColor="text1" w:themeTint="BF"/>
                                <w:sz w:val="20"/>
                                <w:szCs w:val="20"/>
                              </w:rPr>
                              <w:t>proceedings being open to the public; prior public</w:t>
                            </w:r>
                            <w:r>
                              <w:rPr>
                                <w:rFonts w:ascii="Roboto" w:eastAsia="Calibri" w:hAnsi="Roboto" w:cs="Calibri"/>
                                <w:color w:val="404040" w:themeColor="text1" w:themeTint="BF"/>
                                <w:sz w:val="20"/>
                                <w:szCs w:val="20"/>
                              </w:rPr>
                              <w:t xml:space="preserve">ation of </w:t>
                            </w:r>
                            <w:r w:rsidRPr="00FA2526">
                              <w:rPr>
                                <w:rFonts w:ascii="Roboto" w:eastAsia="Calibri" w:hAnsi="Roboto" w:cs="Calibri"/>
                                <w:color w:val="404040" w:themeColor="text1" w:themeTint="BF"/>
                                <w:sz w:val="20"/>
                                <w:szCs w:val="20"/>
                              </w:rPr>
                              <w:t>information on the business before parliament; documentation available in relevant languages; availability of user-friendly tools; and legislation on freedom of/access to information.</w:t>
                            </w:r>
                          </w:p>
                          <w:p w14:paraId="27BE90A3" w14:textId="77777777" w:rsidR="00D15FD8" w:rsidRPr="00FA2526" w:rsidRDefault="00D15FD8" w:rsidP="002D14C0">
                            <w:pPr>
                              <w:spacing w:line="259" w:lineRule="auto"/>
                              <w:suppressOverlap/>
                              <w:rPr>
                                <w:rFonts w:ascii="Roboto" w:eastAsia="Calibri" w:hAnsi="Roboto" w:cs="Calibri"/>
                                <w:color w:val="404040" w:themeColor="text1" w:themeTint="BF"/>
                                <w:sz w:val="20"/>
                                <w:szCs w:val="20"/>
                              </w:rPr>
                            </w:pPr>
                          </w:p>
                          <w:p w14:paraId="54BF8FA3" w14:textId="77777777" w:rsidR="00D15FD8" w:rsidRPr="00A14DEF" w:rsidRDefault="00D15FD8" w:rsidP="002D14C0">
                            <w:pPr>
                              <w:spacing w:after="160" w:line="259" w:lineRule="auto"/>
                              <w:suppressOverlap/>
                              <w:rPr>
                                <w:rFonts w:ascii="Roboto" w:eastAsia="Calibri" w:hAnsi="Roboto" w:cs="Calibri"/>
                                <w:b/>
                                <w:color w:val="1E9A8C"/>
                                <w:sz w:val="20"/>
                                <w:szCs w:val="20"/>
                                <w:u w:val="single"/>
                              </w:rPr>
                            </w:pPr>
                            <w:r w:rsidRPr="00A14DEF">
                              <w:rPr>
                                <w:rFonts w:ascii="Roboto" w:eastAsia="Calibri" w:hAnsi="Roboto" w:cs="Calibri"/>
                                <w:b/>
                                <w:color w:val="1E9A8C"/>
                                <w:sz w:val="20"/>
                                <w:szCs w:val="20"/>
                                <w:u w:val="single"/>
                              </w:rPr>
                              <w:t>Assessment frameworks:</w:t>
                            </w:r>
                          </w:p>
                          <w:p w14:paraId="53F6328F" w14:textId="77777777" w:rsidR="00D15FD8" w:rsidRPr="00FA2526" w:rsidRDefault="00D15FD8" w:rsidP="002D14C0">
                            <w:pPr>
                              <w:suppressOverlap/>
                              <w:rPr>
                                <w:rFonts w:ascii="Roboto" w:hAnsi="Roboto"/>
                                <w:color w:val="404040" w:themeColor="text1" w:themeTint="BF"/>
                                <w:sz w:val="20"/>
                                <w:szCs w:val="20"/>
                                <w:lang w:val="en-ZA"/>
                              </w:rPr>
                            </w:pPr>
                            <w:r w:rsidRPr="00A14DEF">
                              <w:rPr>
                                <w:rFonts w:ascii="Roboto" w:eastAsia="Calibri" w:hAnsi="Roboto" w:cs="Calibri"/>
                                <w:b/>
                                <w:color w:val="1E9A8C"/>
                                <w:sz w:val="20"/>
                                <w:szCs w:val="20"/>
                              </w:rPr>
                              <w:t>PEFA:</w:t>
                            </w:r>
                            <w:r w:rsidRPr="00A14DEF">
                              <w:rPr>
                                <w:rFonts w:ascii="Roboto" w:eastAsia="Calibri" w:hAnsi="Roboto" w:cs="Calibri"/>
                                <w:color w:val="1E9A8C"/>
                                <w:sz w:val="20"/>
                                <w:szCs w:val="20"/>
                              </w:rPr>
                              <w:t xml:space="preserve"> </w:t>
                            </w:r>
                            <w:r w:rsidRPr="00A14DEF">
                              <w:rPr>
                                <w:rFonts w:ascii="Roboto" w:hAnsi="Roboto"/>
                                <w:sz w:val="20"/>
                                <w:szCs w:val="20"/>
                              </w:rPr>
                              <w:t xml:space="preserve"> </w:t>
                            </w:r>
                            <w:hyperlink r:id="rId118" w:history="1">
                              <w:r w:rsidRPr="00A14DEF">
                                <w:rPr>
                                  <w:rStyle w:val="Hyperlink"/>
                                  <w:rFonts w:ascii="Roboto" w:eastAsia="Calibri" w:hAnsi="Roboto" w:cs="Calibri"/>
                                  <w:color w:val="F26C21"/>
                                  <w:sz w:val="20"/>
                                  <w:szCs w:val="20"/>
                                </w:rPr>
                                <w:t>Framework for assessing public financial management</w:t>
                              </w:r>
                            </w:hyperlink>
                            <w:r w:rsidRPr="00A14DEF">
                              <w:rPr>
                                <w:rFonts w:ascii="Roboto" w:eastAsia="Calibri" w:hAnsi="Roboto" w:cs="Calibri"/>
                                <w:color w:val="F26C21"/>
                                <w:sz w:val="20"/>
                                <w:szCs w:val="20"/>
                                <w:u w:val="single"/>
                              </w:rPr>
                              <w:t xml:space="preserve"> </w:t>
                            </w:r>
                            <w:r w:rsidRPr="00FA2526">
                              <w:rPr>
                                <w:rFonts w:ascii="Roboto" w:eastAsia="Calibri" w:hAnsi="Roboto" w:cs="Calibri"/>
                                <w:color w:val="404040" w:themeColor="text1" w:themeTint="BF"/>
                                <w:sz w:val="20"/>
                                <w:szCs w:val="20"/>
                              </w:rPr>
                              <w:t xml:space="preserve">(2016): The PEFA program provides a framework for assessing and reporting on the strengths and weaknesses of public financial management (PFM) using quantitative indicators to measure performance. PEFA is designed to provide a snapshot of PFM performance at specific points in time using a methodology that can be replicated in successive assessments, giving a summary of changes over time. There are questions on the public’s access to public finance information and on the quality of information. </w:t>
                            </w:r>
                            <w:r>
                              <w:rPr>
                                <w:rFonts w:ascii="Roboto" w:eastAsia="Calibri" w:hAnsi="Roboto" w:cs="Calibri"/>
                                <w:color w:val="404040" w:themeColor="text1" w:themeTint="BF"/>
                                <w:sz w:val="20"/>
                                <w:szCs w:val="20"/>
                              </w:rPr>
                              <w:t>It e</w:t>
                            </w:r>
                            <w:r w:rsidRPr="00FA2526">
                              <w:rPr>
                                <w:rFonts w:ascii="Roboto" w:eastAsia="Calibri" w:hAnsi="Roboto" w:cs="Calibri"/>
                                <w:color w:val="404040" w:themeColor="text1" w:themeTint="BF"/>
                                <w:sz w:val="20"/>
                                <w:szCs w:val="20"/>
                              </w:rPr>
                              <w:t xml:space="preserve">mphasizes transparency and accountability in terms of access to information, reporting and audit, and dialogue on PFM policies and actions. Comprised of </w:t>
                            </w:r>
                            <w:r w:rsidRPr="00FA2526">
                              <w:rPr>
                                <w:rFonts w:ascii="Roboto" w:hAnsi="Roboto"/>
                                <w:color w:val="404040" w:themeColor="text1" w:themeTint="BF"/>
                                <w:sz w:val="20"/>
                                <w:szCs w:val="20"/>
                                <w:lang w:val="en-ZA"/>
                              </w:rPr>
                              <w:t>7 pillars, of which the ones in bold below include references to the importance of pro-actively disclosed information:</w:t>
                            </w:r>
                          </w:p>
                          <w:p w14:paraId="26FE89B1" w14:textId="77777777" w:rsidR="00D15FD8" w:rsidRPr="00FA2526" w:rsidRDefault="00D15FD8" w:rsidP="00601849">
                            <w:pPr>
                              <w:pStyle w:val="ListParagraph"/>
                              <w:numPr>
                                <w:ilvl w:val="0"/>
                                <w:numId w:val="23"/>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Budget reliability</w:t>
                            </w:r>
                          </w:p>
                          <w:p w14:paraId="0DF51ACE"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Transparency of public finances</w:t>
                            </w:r>
                          </w:p>
                          <w:p w14:paraId="0F11F99A"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Management of assets and liabilities</w:t>
                            </w:r>
                          </w:p>
                          <w:p w14:paraId="3FA1353A"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 xml:space="preserve">Policy-based fiscal strategy and budgeting </w:t>
                            </w:r>
                          </w:p>
                          <w:p w14:paraId="2683D953" w14:textId="77777777" w:rsidR="00D15FD8" w:rsidRPr="00FA2526" w:rsidRDefault="00D15FD8" w:rsidP="00601849">
                            <w:pPr>
                              <w:pStyle w:val="ListParagraph"/>
                              <w:numPr>
                                <w:ilvl w:val="0"/>
                                <w:numId w:val="23"/>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Predictability and control of budget execution</w:t>
                            </w:r>
                          </w:p>
                          <w:p w14:paraId="2B35042B"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 xml:space="preserve">Accounting and reporting </w:t>
                            </w:r>
                          </w:p>
                          <w:p w14:paraId="2BEDB63F"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External scrutiny and audit</w:t>
                            </w:r>
                          </w:p>
                          <w:p w14:paraId="59755372" w14:textId="77777777" w:rsidR="00D15FD8" w:rsidRPr="00FA2526" w:rsidRDefault="00D15FD8" w:rsidP="002D14C0">
                            <w:pPr>
                              <w:suppressOverlap/>
                              <w:rPr>
                                <w:rFonts w:ascii="Roboto" w:eastAsia="Calibri" w:hAnsi="Roboto" w:cs="Calibri"/>
                                <w:color w:val="404040" w:themeColor="text1" w:themeTint="BF"/>
                                <w:sz w:val="20"/>
                                <w:szCs w:val="20"/>
                              </w:rPr>
                            </w:pPr>
                          </w:p>
                          <w:p w14:paraId="050F1DFA" w14:textId="77777777" w:rsidR="00D15FD8" w:rsidRPr="00FA2526" w:rsidRDefault="00D15FD8" w:rsidP="002D14C0">
                            <w:pPr>
                              <w:suppressOverlap/>
                              <w:rPr>
                                <w:rFonts w:ascii="Roboto" w:eastAsia="Calibri" w:hAnsi="Roboto" w:cs="Calibri"/>
                                <w:color w:val="404040" w:themeColor="text1" w:themeTint="BF"/>
                                <w:sz w:val="20"/>
                                <w:szCs w:val="20"/>
                              </w:rPr>
                            </w:pPr>
                            <w:r w:rsidRPr="00A14DEF">
                              <w:rPr>
                                <w:rFonts w:ascii="Roboto" w:eastAsia="Calibri" w:hAnsi="Roboto" w:cs="Calibri"/>
                                <w:b/>
                                <w:color w:val="1E9A8C"/>
                                <w:sz w:val="20"/>
                                <w:szCs w:val="20"/>
                              </w:rPr>
                              <w:t xml:space="preserve">IBP: </w:t>
                            </w:r>
                            <w:hyperlink r:id="rId119" w:history="1">
                              <w:r w:rsidRPr="00A14DEF">
                                <w:rPr>
                                  <w:rStyle w:val="Hyperlink"/>
                                  <w:rFonts w:ascii="Roboto" w:eastAsia="Calibri" w:hAnsi="Roboto" w:cs="Calibri"/>
                                  <w:color w:val="F26C21"/>
                                  <w:sz w:val="20"/>
                                  <w:szCs w:val="20"/>
                                </w:rPr>
                                <w:t>Open Budget Survey</w:t>
                              </w:r>
                            </w:hyperlink>
                            <w:r w:rsidRPr="00A14DEF">
                              <w:rPr>
                                <w:rStyle w:val="Hyperlink"/>
                                <w:rFonts w:ascii="Roboto" w:hAnsi="Roboto"/>
                                <w:color w:val="F26C21"/>
                                <w:sz w:val="20"/>
                                <w:szCs w:val="20"/>
                              </w:rPr>
                              <w:t xml:space="preserve"> </w:t>
                            </w:r>
                            <w:r w:rsidRPr="00FA2526">
                              <w:rPr>
                                <w:rFonts w:ascii="Roboto" w:eastAsia="Calibri" w:hAnsi="Roboto" w:cs="Calibri"/>
                                <w:color w:val="404040" w:themeColor="text1" w:themeTint="BF"/>
                                <w:sz w:val="20"/>
                                <w:szCs w:val="20"/>
                              </w:rPr>
                              <w:t xml:space="preserve">(OBS): Independent global survey on budget transparency that is conducted every two years. Assesses 3 components of budget accountability system: </w:t>
                            </w:r>
                          </w:p>
                          <w:p w14:paraId="2FFD9FF7" w14:textId="77777777" w:rsidR="00D15FD8" w:rsidRPr="00FA2526" w:rsidRDefault="00D15FD8" w:rsidP="00601849">
                            <w:pPr>
                              <w:pStyle w:val="ListParagraph"/>
                              <w:numPr>
                                <w:ilvl w:val="0"/>
                                <w:numId w:val="24"/>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Public availability of budget information</w:t>
                            </w:r>
                          </w:p>
                          <w:p w14:paraId="2FEE9DA6" w14:textId="77777777" w:rsidR="00D15FD8" w:rsidRPr="00FA2526" w:rsidRDefault="00D15FD8" w:rsidP="00601849">
                            <w:pPr>
                              <w:pStyle w:val="ListParagraph"/>
                              <w:numPr>
                                <w:ilvl w:val="0"/>
                                <w:numId w:val="24"/>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 xml:space="preserve">Opportunities for the public to participate in the budget process </w:t>
                            </w:r>
                          </w:p>
                          <w:p w14:paraId="7022B7C1" w14:textId="77777777" w:rsidR="00D15FD8" w:rsidRPr="00FA2526" w:rsidRDefault="00D15FD8" w:rsidP="00601849">
                            <w:pPr>
                              <w:pStyle w:val="ListParagraph"/>
                              <w:numPr>
                                <w:ilvl w:val="0"/>
                                <w:numId w:val="24"/>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 xml:space="preserve">Role of formal oversight institutions, including the legislature and the national audit office </w:t>
                            </w:r>
                            <w:r>
                              <w:rPr>
                                <w:rFonts w:ascii="Roboto" w:eastAsia="Calibri" w:hAnsi="Roboto" w:cs="Calibri"/>
                                <w:color w:val="404040" w:themeColor="text1" w:themeTint="BF"/>
                                <w:sz w:val="20"/>
                                <w:szCs w:val="20"/>
                              </w:rPr>
                              <w:t>(</w:t>
                            </w:r>
                            <w:r w:rsidRPr="00FA2526">
                              <w:rPr>
                                <w:rFonts w:ascii="Roboto" w:eastAsia="Calibri" w:hAnsi="Roboto" w:cs="Calibri"/>
                                <w:color w:val="404040" w:themeColor="text1" w:themeTint="BF"/>
                                <w:sz w:val="20"/>
                                <w:szCs w:val="20"/>
                              </w:rPr>
                              <w:t>supreme audit institution</w:t>
                            </w:r>
                            <w:r>
                              <w:rPr>
                                <w:rFonts w:ascii="Roboto" w:eastAsia="Calibri" w:hAnsi="Roboto" w:cs="Calibri"/>
                                <w:color w:val="404040" w:themeColor="text1" w:themeTint="BF"/>
                                <w:sz w:val="20"/>
                                <w:szCs w:val="20"/>
                              </w:rPr>
                              <w:t>)</w:t>
                            </w:r>
                            <w:r w:rsidRPr="00FA2526">
                              <w:rPr>
                                <w:rFonts w:ascii="Roboto" w:eastAsia="Calibri" w:hAnsi="Roboto" w:cs="Calibri"/>
                                <w:color w:val="404040" w:themeColor="text1" w:themeTint="BF"/>
                                <w:sz w:val="20"/>
                                <w:szCs w:val="20"/>
                              </w:rPr>
                              <w:t xml:space="preserve">. </w:t>
                            </w:r>
                          </w:p>
                          <w:p w14:paraId="7EF047C4" w14:textId="77777777" w:rsidR="00D15FD8" w:rsidRDefault="00D15FD8" w:rsidP="002D14C0">
                            <w:pPr>
                              <w:suppressOverlap/>
                              <w:rPr>
                                <w:rFonts w:ascii="Roboto" w:eastAsia="Calibri" w:hAnsi="Roboto" w:cs="Calibri"/>
                                <w:color w:val="404040" w:themeColor="text1" w:themeTint="BF"/>
                                <w:sz w:val="20"/>
                                <w:szCs w:val="20"/>
                              </w:rPr>
                            </w:pPr>
                          </w:p>
                          <w:p w14:paraId="62FE36B1" w14:textId="77777777" w:rsidR="00D15FD8" w:rsidRPr="00FA2526" w:rsidRDefault="00D15FD8" w:rsidP="002D14C0">
                            <w:p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The majority of the survey questions assess what occurs in practice, rather than what is required by law.</w:t>
                            </w:r>
                          </w:p>
                          <w:p w14:paraId="4D851451" w14:textId="1455E160" w:rsidR="00D15FD8" w:rsidRDefault="00D15FD8" w:rsidP="002D14C0">
                            <w:pPr>
                              <w:rPr>
                                <w:rFonts w:ascii="Roboto" w:hAnsi="Roboto"/>
                                <w:sz w:val="20"/>
                                <w:szCs w:val="20"/>
                              </w:rPr>
                            </w:pPr>
                          </w:p>
                          <w:p w14:paraId="3DB3E27D" w14:textId="52E822EC" w:rsidR="00D15FD8" w:rsidRPr="00FA2526"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37DF6" id="Text Box 1908" o:spid="_x0000_s1096" type="#_x0000_t202" style="position:absolute;margin-left:0;margin-top:0;width:694.3pt;height:439pt;z-index:25359155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" filled="f" stroked="f" strokeweight=".5pt">
                <v:textbox>
                  <w:txbxContent>
                    <w:p w14:paraId="318E6AEB" w14:textId="2B77F6E1" w:rsidR="00D15FD8" w:rsidRPr="001E4E87" w:rsidRDefault="00AC4DF7" w:rsidP="00601849">
                      <w:pPr>
                        <w:pStyle w:val="ListParagraph"/>
                        <w:numPr>
                          <w:ilvl w:val="0"/>
                          <w:numId w:val="22"/>
                        </w:numPr>
                        <w:spacing w:line="259" w:lineRule="auto"/>
                        <w:ind w:left="308" w:hanging="308"/>
                        <w:suppressOverlap/>
                        <w:rPr>
                          <w:rStyle w:val="Hyperlink"/>
                          <w:rFonts w:ascii="Roboto" w:hAnsi="Roboto"/>
                          <w:sz w:val="20"/>
                          <w:szCs w:val="20"/>
                        </w:rPr>
                      </w:pPr>
                      <w:hyperlink r:id="rId120" w:history="1">
                        <w:r w:rsidR="00D15FD8" w:rsidRPr="001311FB">
                          <w:rPr>
                            <w:rStyle w:val="Hyperlink"/>
                            <w:rFonts w:ascii="Roboto" w:eastAsia="Calibri" w:hAnsi="Roboto" w:cs="Calibri"/>
                            <w:bCs/>
                            <w:color w:val="F26C21"/>
                            <w:sz w:val="20"/>
                            <w:szCs w:val="20"/>
                          </w:rPr>
                          <w:t>Budget Transparency Toolkit</w:t>
                        </w:r>
                      </w:hyperlink>
                      <w:r w:rsidR="00D15FD8" w:rsidRPr="001E4E87">
                        <w:rPr>
                          <w:rFonts w:ascii="Roboto" w:hAnsi="Roboto"/>
                          <w:color w:val="F26C21"/>
                          <w:sz w:val="20"/>
                          <w:szCs w:val="20"/>
                        </w:rPr>
                        <w:t xml:space="preserve"> </w:t>
                      </w:r>
                      <w:r w:rsidR="00D15FD8" w:rsidRPr="001E4E87">
                        <w:rPr>
                          <w:rFonts w:ascii="Roboto" w:hAnsi="Roboto" w:cstheme="minorBidi"/>
                          <w:color w:val="404040" w:themeColor="text1" w:themeTint="BF"/>
                          <w:sz w:val="20"/>
                          <w:szCs w:val="20"/>
                        </w:rPr>
                        <w:t>(2017): Includes a section devoted to providing useful budget related documents during the annual cycle and including the right</w:t>
                      </w:r>
                      <w:r w:rsidR="00D15FD8">
                        <w:rPr>
                          <w:rFonts w:ascii="Roboto" w:hAnsi="Roboto" w:cstheme="minorBidi"/>
                          <w:color w:val="404040" w:themeColor="text1" w:themeTint="BF"/>
                          <w:sz w:val="20"/>
                          <w:szCs w:val="20"/>
                        </w:rPr>
                        <w:t xml:space="preserve"> to </w:t>
                      </w:r>
                      <w:r w:rsidR="00D15FD8" w:rsidRPr="001E4E87">
                        <w:rPr>
                          <w:rFonts w:ascii="Roboto" w:hAnsi="Roboto" w:cstheme="minorBidi"/>
                          <w:color w:val="404040" w:themeColor="text1" w:themeTint="BF"/>
                          <w:sz w:val="20"/>
                          <w:szCs w:val="20"/>
                        </w:rPr>
                        <w:t>financial information in budget related documents. On publication of budget documents, it recommends that official documents should provide a useful overview of the fiscal activities of the public sector in a regular and timely manner, to inform better scrutiny and decision-making throughout the budget</w:t>
                      </w:r>
                      <w:r w:rsidR="00D15FD8">
                        <w:rPr>
                          <w:rFonts w:ascii="Roboto" w:hAnsi="Roboto" w:cstheme="minorBidi"/>
                          <w:color w:val="404040" w:themeColor="text1" w:themeTint="BF"/>
                          <w:sz w:val="20"/>
                          <w:szCs w:val="20"/>
                        </w:rPr>
                        <w:t xml:space="preserve"> </w:t>
                      </w:r>
                      <w:r w:rsidR="00D15FD8" w:rsidRPr="001E4E87">
                        <w:rPr>
                          <w:rFonts w:ascii="Roboto" w:hAnsi="Roboto" w:cstheme="minorBidi"/>
                          <w:color w:val="404040" w:themeColor="text1" w:themeTint="BF"/>
                          <w:sz w:val="20"/>
                          <w:szCs w:val="20"/>
                        </w:rPr>
                        <w:t>cycle.</w:t>
                      </w:r>
                      <w:r w:rsidR="00D15FD8" w:rsidRPr="001E4E87">
                        <w:rPr>
                          <w:rStyle w:val="Hyperlink"/>
                          <w:rFonts w:ascii="Roboto" w:hAnsi="Roboto"/>
                          <w:sz w:val="20"/>
                          <w:szCs w:val="20"/>
                        </w:rPr>
                        <w:t xml:space="preserve"> </w:t>
                      </w:r>
                    </w:p>
                    <w:p w14:paraId="3FA87D08" w14:textId="77777777" w:rsidR="00D15FD8" w:rsidRDefault="00D15FD8" w:rsidP="002D14C0">
                      <w:pPr>
                        <w:spacing w:line="259" w:lineRule="auto"/>
                        <w:suppressOverlap/>
                        <w:rPr>
                          <w:rFonts w:ascii="Roboto" w:eastAsia="Calibri" w:hAnsi="Roboto" w:cs="Calibri"/>
                          <w:b/>
                          <w:color w:val="1E9A8C"/>
                          <w:sz w:val="20"/>
                          <w:szCs w:val="20"/>
                        </w:rPr>
                      </w:pPr>
                    </w:p>
                    <w:p w14:paraId="3DD17692" w14:textId="77777777" w:rsidR="00D15FD8" w:rsidRPr="00FA2526" w:rsidRDefault="00D15FD8" w:rsidP="002D14C0">
                      <w:pPr>
                        <w:spacing w:line="259" w:lineRule="auto"/>
                        <w:suppressOverlap/>
                        <w:rPr>
                          <w:rFonts w:ascii="Roboto" w:eastAsia="Calibri" w:hAnsi="Roboto" w:cs="Calibri"/>
                          <w:color w:val="404040" w:themeColor="text1" w:themeTint="BF"/>
                          <w:sz w:val="20"/>
                          <w:szCs w:val="20"/>
                        </w:rPr>
                      </w:pPr>
                      <w:r w:rsidRPr="00A14DEF">
                        <w:rPr>
                          <w:rFonts w:ascii="Roboto" w:eastAsia="Calibri" w:hAnsi="Roboto" w:cs="Calibri"/>
                          <w:b/>
                          <w:color w:val="1E9A8C"/>
                          <w:sz w:val="20"/>
                          <w:szCs w:val="20"/>
                        </w:rPr>
                        <w:t>Inter-Parliamentary Union</w:t>
                      </w:r>
                      <w:r w:rsidRPr="00B54707">
                        <w:rPr>
                          <w:rFonts w:ascii="Roboto" w:eastAsia="Calibri" w:hAnsi="Roboto" w:cs="Calibri"/>
                          <w:b/>
                          <w:color w:val="1E9A8C"/>
                          <w:sz w:val="20"/>
                          <w:szCs w:val="20"/>
                        </w:rPr>
                        <w:t>:</w:t>
                      </w:r>
                      <w:r w:rsidRPr="00B54707">
                        <w:rPr>
                          <w:rFonts w:ascii="Roboto" w:eastAsia="Calibri" w:hAnsi="Roboto" w:cs="Calibri"/>
                          <w:i/>
                          <w:color w:val="F26C21"/>
                          <w:sz w:val="20"/>
                          <w:szCs w:val="20"/>
                        </w:rPr>
                        <w:t xml:space="preserve"> </w:t>
                      </w:r>
                      <w:hyperlink r:id="rId121" w:history="1">
                        <w:r w:rsidRPr="00A14DEF">
                          <w:rPr>
                            <w:rStyle w:val="Hyperlink"/>
                            <w:rFonts w:ascii="Roboto" w:eastAsia="Calibri" w:hAnsi="Roboto" w:cs="Calibri"/>
                            <w:color w:val="F26C21"/>
                            <w:sz w:val="20"/>
                            <w:szCs w:val="20"/>
                          </w:rPr>
                          <w:t>P</w:t>
                        </w:r>
                        <w:r w:rsidRPr="00A14DEF">
                          <w:rPr>
                            <w:rStyle w:val="Hyperlink"/>
                            <w:rFonts w:ascii="Roboto" w:eastAsia="Calibri" w:hAnsi="Roboto" w:cs="Calibri"/>
                            <w:bCs/>
                            <w:color w:val="F26C21"/>
                            <w:sz w:val="20"/>
                            <w:szCs w:val="20"/>
                          </w:rPr>
                          <w:t>arliament And Democracy In The Twenty-First Century: A Guide to Good Practice</w:t>
                        </w:r>
                      </w:hyperlink>
                      <w:r w:rsidRPr="00FA2526">
                        <w:rPr>
                          <w:rFonts w:ascii="Roboto" w:eastAsia="Calibri" w:hAnsi="Roboto" w:cs="Calibri"/>
                          <w:bCs/>
                          <w:color w:val="404040" w:themeColor="text1" w:themeTint="BF"/>
                          <w:sz w:val="20"/>
                          <w:szCs w:val="20"/>
                        </w:rPr>
                        <w:t>: Stipulates that</w:t>
                      </w:r>
                      <w:r w:rsidRPr="00FA2526">
                        <w:rPr>
                          <w:rFonts w:ascii="Roboto" w:eastAsia="Calibri" w:hAnsi="Roboto" w:cs="Calibri"/>
                          <w:bCs/>
                          <w:i/>
                          <w:color w:val="404040" w:themeColor="text1" w:themeTint="BF"/>
                          <w:sz w:val="20"/>
                          <w:szCs w:val="20"/>
                        </w:rPr>
                        <w:t xml:space="preserve"> </w:t>
                      </w:r>
                      <w:r w:rsidRPr="00FA2526">
                        <w:rPr>
                          <w:rFonts w:ascii="Roboto" w:eastAsia="Calibri" w:hAnsi="Roboto" w:cs="Calibri"/>
                          <w:bCs/>
                          <w:color w:val="404040" w:themeColor="text1" w:themeTint="BF"/>
                          <w:sz w:val="20"/>
                          <w:szCs w:val="20"/>
                        </w:rPr>
                        <w:t xml:space="preserve">the legislature should operate transparently, including </w:t>
                      </w:r>
                      <w:r w:rsidRPr="00FA2526">
                        <w:rPr>
                          <w:rFonts w:ascii="Roboto" w:eastAsia="Calibri" w:hAnsi="Roboto" w:cs="Calibri"/>
                          <w:color w:val="404040" w:themeColor="text1" w:themeTint="BF"/>
                          <w:sz w:val="20"/>
                          <w:szCs w:val="20"/>
                        </w:rPr>
                        <w:t>proceedings being open to the public; prior public</w:t>
                      </w:r>
                      <w:r>
                        <w:rPr>
                          <w:rFonts w:ascii="Roboto" w:eastAsia="Calibri" w:hAnsi="Roboto" w:cs="Calibri"/>
                          <w:color w:val="404040" w:themeColor="text1" w:themeTint="BF"/>
                          <w:sz w:val="20"/>
                          <w:szCs w:val="20"/>
                        </w:rPr>
                        <w:t xml:space="preserve">ation of </w:t>
                      </w:r>
                      <w:r w:rsidRPr="00FA2526">
                        <w:rPr>
                          <w:rFonts w:ascii="Roboto" w:eastAsia="Calibri" w:hAnsi="Roboto" w:cs="Calibri"/>
                          <w:color w:val="404040" w:themeColor="text1" w:themeTint="BF"/>
                          <w:sz w:val="20"/>
                          <w:szCs w:val="20"/>
                        </w:rPr>
                        <w:t>information on the business before parliament; documentation available in relevant languages; availability of user-friendly tools; and legislation on freedom of/access to information.</w:t>
                      </w:r>
                    </w:p>
                    <w:p w14:paraId="27BE90A3" w14:textId="77777777" w:rsidR="00D15FD8" w:rsidRPr="00FA2526" w:rsidRDefault="00D15FD8" w:rsidP="002D14C0">
                      <w:pPr>
                        <w:spacing w:line="259" w:lineRule="auto"/>
                        <w:suppressOverlap/>
                        <w:rPr>
                          <w:rFonts w:ascii="Roboto" w:eastAsia="Calibri" w:hAnsi="Roboto" w:cs="Calibri"/>
                          <w:color w:val="404040" w:themeColor="text1" w:themeTint="BF"/>
                          <w:sz w:val="20"/>
                          <w:szCs w:val="20"/>
                        </w:rPr>
                      </w:pPr>
                    </w:p>
                    <w:p w14:paraId="54BF8FA3" w14:textId="77777777" w:rsidR="00D15FD8" w:rsidRPr="00A14DEF" w:rsidRDefault="00D15FD8" w:rsidP="002D14C0">
                      <w:pPr>
                        <w:spacing w:after="160" w:line="259" w:lineRule="auto"/>
                        <w:suppressOverlap/>
                        <w:rPr>
                          <w:rFonts w:ascii="Roboto" w:eastAsia="Calibri" w:hAnsi="Roboto" w:cs="Calibri"/>
                          <w:b/>
                          <w:color w:val="1E9A8C"/>
                          <w:sz w:val="20"/>
                          <w:szCs w:val="20"/>
                          <w:u w:val="single"/>
                        </w:rPr>
                      </w:pPr>
                      <w:r w:rsidRPr="00A14DEF">
                        <w:rPr>
                          <w:rFonts w:ascii="Roboto" w:eastAsia="Calibri" w:hAnsi="Roboto" w:cs="Calibri"/>
                          <w:b/>
                          <w:color w:val="1E9A8C"/>
                          <w:sz w:val="20"/>
                          <w:szCs w:val="20"/>
                          <w:u w:val="single"/>
                        </w:rPr>
                        <w:t>Assessment frameworks:</w:t>
                      </w:r>
                    </w:p>
                    <w:p w14:paraId="53F6328F" w14:textId="77777777" w:rsidR="00D15FD8" w:rsidRPr="00FA2526" w:rsidRDefault="00D15FD8" w:rsidP="002D14C0">
                      <w:pPr>
                        <w:suppressOverlap/>
                        <w:rPr>
                          <w:rFonts w:ascii="Roboto" w:hAnsi="Roboto"/>
                          <w:color w:val="404040" w:themeColor="text1" w:themeTint="BF"/>
                          <w:sz w:val="20"/>
                          <w:szCs w:val="20"/>
                          <w:lang w:val="en-ZA"/>
                        </w:rPr>
                      </w:pPr>
                      <w:r w:rsidRPr="00A14DEF">
                        <w:rPr>
                          <w:rFonts w:ascii="Roboto" w:eastAsia="Calibri" w:hAnsi="Roboto" w:cs="Calibri"/>
                          <w:b/>
                          <w:color w:val="1E9A8C"/>
                          <w:sz w:val="20"/>
                          <w:szCs w:val="20"/>
                        </w:rPr>
                        <w:t>PEFA:</w:t>
                      </w:r>
                      <w:r w:rsidRPr="00A14DEF">
                        <w:rPr>
                          <w:rFonts w:ascii="Roboto" w:eastAsia="Calibri" w:hAnsi="Roboto" w:cs="Calibri"/>
                          <w:color w:val="1E9A8C"/>
                          <w:sz w:val="20"/>
                          <w:szCs w:val="20"/>
                        </w:rPr>
                        <w:t xml:space="preserve"> </w:t>
                      </w:r>
                      <w:r w:rsidRPr="00A14DEF">
                        <w:rPr>
                          <w:rFonts w:ascii="Roboto" w:hAnsi="Roboto"/>
                          <w:sz w:val="20"/>
                          <w:szCs w:val="20"/>
                        </w:rPr>
                        <w:t xml:space="preserve"> </w:t>
                      </w:r>
                      <w:hyperlink r:id="rId122" w:history="1">
                        <w:r w:rsidRPr="00A14DEF">
                          <w:rPr>
                            <w:rStyle w:val="Hyperlink"/>
                            <w:rFonts w:ascii="Roboto" w:eastAsia="Calibri" w:hAnsi="Roboto" w:cs="Calibri"/>
                            <w:color w:val="F26C21"/>
                            <w:sz w:val="20"/>
                            <w:szCs w:val="20"/>
                          </w:rPr>
                          <w:t>Framework for assessing public financial management</w:t>
                        </w:r>
                      </w:hyperlink>
                      <w:r w:rsidRPr="00A14DEF">
                        <w:rPr>
                          <w:rFonts w:ascii="Roboto" w:eastAsia="Calibri" w:hAnsi="Roboto" w:cs="Calibri"/>
                          <w:color w:val="F26C21"/>
                          <w:sz w:val="20"/>
                          <w:szCs w:val="20"/>
                          <w:u w:val="single"/>
                        </w:rPr>
                        <w:t xml:space="preserve"> </w:t>
                      </w:r>
                      <w:r w:rsidRPr="00FA2526">
                        <w:rPr>
                          <w:rFonts w:ascii="Roboto" w:eastAsia="Calibri" w:hAnsi="Roboto" w:cs="Calibri"/>
                          <w:color w:val="404040" w:themeColor="text1" w:themeTint="BF"/>
                          <w:sz w:val="20"/>
                          <w:szCs w:val="20"/>
                        </w:rPr>
                        <w:t xml:space="preserve">(2016): The PEFA program provides a framework for assessing and reporting on the strengths and weaknesses of public financial management (PFM) using quantitative indicators to measure performance. PEFA is designed to provide a snapshot of PFM performance at specific points in time using a methodology that can be replicated in successive assessments, giving a summary of changes over time. There are questions on the public’s access to public finance information and on the quality of information. </w:t>
                      </w:r>
                      <w:r>
                        <w:rPr>
                          <w:rFonts w:ascii="Roboto" w:eastAsia="Calibri" w:hAnsi="Roboto" w:cs="Calibri"/>
                          <w:color w:val="404040" w:themeColor="text1" w:themeTint="BF"/>
                          <w:sz w:val="20"/>
                          <w:szCs w:val="20"/>
                        </w:rPr>
                        <w:t>It e</w:t>
                      </w:r>
                      <w:r w:rsidRPr="00FA2526">
                        <w:rPr>
                          <w:rFonts w:ascii="Roboto" w:eastAsia="Calibri" w:hAnsi="Roboto" w:cs="Calibri"/>
                          <w:color w:val="404040" w:themeColor="text1" w:themeTint="BF"/>
                          <w:sz w:val="20"/>
                          <w:szCs w:val="20"/>
                        </w:rPr>
                        <w:t xml:space="preserve">mphasizes transparency and accountability in terms of access to information, reporting and audit, and dialogue on PFM policies and actions. Comprised of </w:t>
                      </w:r>
                      <w:r w:rsidRPr="00FA2526">
                        <w:rPr>
                          <w:rFonts w:ascii="Roboto" w:hAnsi="Roboto"/>
                          <w:color w:val="404040" w:themeColor="text1" w:themeTint="BF"/>
                          <w:sz w:val="20"/>
                          <w:szCs w:val="20"/>
                          <w:lang w:val="en-ZA"/>
                        </w:rPr>
                        <w:t>7 pillars, of which the ones in bold below include references to the importance of pro-actively disclosed information:</w:t>
                      </w:r>
                    </w:p>
                    <w:p w14:paraId="26FE89B1" w14:textId="77777777" w:rsidR="00D15FD8" w:rsidRPr="00FA2526" w:rsidRDefault="00D15FD8" w:rsidP="00601849">
                      <w:pPr>
                        <w:pStyle w:val="ListParagraph"/>
                        <w:numPr>
                          <w:ilvl w:val="0"/>
                          <w:numId w:val="23"/>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Budget reliability</w:t>
                      </w:r>
                    </w:p>
                    <w:p w14:paraId="0DF51ACE"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Transparency of public finances</w:t>
                      </w:r>
                    </w:p>
                    <w:p w14:paraId="0F11F99A"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Management of assets and liabilities</w:t>
                      </w:r>
                    </w:p>
                    <w:p w14:paraId="3FA1353A"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 xml:space="preserve">Policy-based fiscal strategy and budgeting </w:t>
                      </w:r>
                    </w:p>
                    <w:p w14:paraId="2683D953" w14:textId="77777777" w:rsidR="00D15FD8" w:rsidRPr="00FA2526" w:rsidRDefault="00D15FD8" w:rsidP="00601849">
                      <w:pPr>
                        <w:pStyle w:val="ListParagraph"/>
                        <w:numPr>
                          <w:ilvl w:val="0"/>
                          <w:numId w:val="23"/>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Predictability and control of budget execution</w:t>
                      </w:r>
                    </w:p>
                    <w:p w14:paraId="2B35042B"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 xml:space="preserve">Accounting and reporting </w:t>
                      </w:r>
                    </w:p>
                    <w:p w14:paraId="2BEDB63F" w14:textId="77777777" w:rsidR="00D15FD8" w:rsidRPr="00FA2526" w:rsidRDefault="00D15FD8" w:rsidP="00601849">
                      <w:pPr>
                        <w:pStyle w:val="ListParagraph"/>
                        <w:numPr>
                          <w:ilvl w:val="0"/>
                          <w:numId w:val="23"/>
                        </w:numPr>
                        <w:suppressOverlap/>
                        <w:rPr>
                          <w:rFonts w:ascii="Roboto" w:eastAsia="Calibri" w:hAnsi="Roboto" w:cs="Calibri"/>
                          <w:b/>
                          <w:color w:val="404040" w:themeColor="text1" w:themeTint="BF"/>
                          <w:sz w:val="20"/>
                          <w:szCs w:val="20"/>
                        </w:rPr>
                      </w:pPr>
                      <w:r w:rsidRPr="00FA2526">
                        <w:rPr>
                          <w:rFonts w:ascii="Roboto" w:eastAsia="Calibri" w:hAnsi="Roboto" w:cs="Calibri"/>
                          <w:b/>
                          <w:color w:val="404040" w:themeColor="text1" w:themeTint="BF"/>
                          <w:sz w:val="20"/>
                          <w:szCs w:val="20"/>
                        </w:rPr>
                        <w:t>External scrutiny and audit</w:t>
                      </w:r>
                    </w:p>
                    <w:p w14:paraId="59755372" w14:textId="77777777" w:rsidR="00D15FD8" w:rsidRPr="00FA2526" w:rsidRDefault="00D15FD8" w:rsidP="002D14C0">
                      <w:pPr>
                        <w:suppressOverlap/>
                        <w:rPr>
                          <w:rFonts w:ascii="Roboto" w:eastAsia="Calibri" w:hAnsi="Roboto" w:cs="Calibri"/>
                          <w:color w:val="404040" w:themeColor="text1" w:themeTint="BF"/>
                          <w:sz w:val="20"/>
                          <w:szCs w:val="20"/>
                        </w:rPr>
                      </w:pPr>
                    </w:p>
                    <w:p w14:paraId="050F1DFA" w14:textId="77777777" w:rsidR="00D15FD8" w:rsidRPr="00FA2526" w:rsidRDefault="00D15FD8" w:rsidP="002D14C0">
                      <w:pPr>
                        <w:suppressOverlap/>
                        <w:rPr>
                          <w:rFonts w:ascii="Roboto" w:eastAsia="Calibri" w:hAnsi="Roboto" w:cs="Calibri"/>
                          <w:color w:val="404040" w:themeColor="text1" w:themeTint="BF"/>
                          <w:sz w:val="20"/>
                          <w:szCs w:val="20"/>
                        </w:rPr>
                      </w:pPr>
                      <w:r w:rsidRPr="00A14DEF">
                        <w:rPr>
                          <w:rFonts w:ascii="Roboto" w:eastAsia="Calibri" w:hAnsi="Roboto" w:cs="Calibri"/>
                          <w:b/>
                          <w:color w:val="1E9A8C"/>
                          <w:sz w:val="20"/>
                          <w:szCs w:val="20"/>
                        </w:rPr>
                        <w:t xml:space="preserve">IBP: </w:t>
                      </w:r>
                      <w:hyperlink r:id="rId123" w:history="1">
                        <w:r w:rsidRPr="00A14DEF">
                          <w:rPr>
                            <w:rStyle w:val="Hyperlink"/>
                            <w:rFonts w:ascii="Roboto" w:eastAsia="Calibri" w:hAnsi="Roboto" w:cs="Calibri"/>
                            <w:color w:val="F26C21"/>
                            <w:sz w:val="20"/>
                            <w:szCs w:val="20"/>
                          </w:rPr>
                          <w:t>Open Budget Survey</w:t>
                        </w:r>
                      </w:hyperlink>
                      <w:r w:rsidRPr="00A14DEF">
                        <w:rPr>
                          <w:rStyle w:val="Hyperlink"/>
                          <w:rFonts w:ascii="Roboto" w:hAnsi="Roboto"/>
                          <w:color w:val="F26C21"/>
                          <w:sz w:val="20"/>
                          <w:szCs w:val="20"/>
                        </w:rPr>
                        <w:t xml:space="preserve"> </w:t>
                      </w:r>
                      <w:r w:rsidRPr="00FA2526">
                        <w:rPr>
                          <w:rFonts w:ascii="Roboto" w:eastAsia="Calibri" w:hAnsi="Roboto" w:cs="Calibri"/>
                          <w:color w:val="404040" w:themeColor="text1" w:themeTint="BF"/>
                          <w:sz w:val="20"/>
                          <w:szCs w:val="20"/>
                        </w:rPr>
                        <w:t xml:space="preserve">(OBS): Independent global survey on budget transparency that is conducted every two years. Assesses 3 components of budget accountability system: </w:t>
                      </w:r>
                    </w:p>
                    <w:p w14:paraId="2FFD9FF7" w14:textId="77777777" w:rsidR="00D15FD8" w:rsidRPr="00FA2526" w:rsidRDefault="00D15FD8" w:rsidP="00601849">
                      <w:pPr>
                        <w:pStyle w:val="ListParagraph"/>
                        <w:numPr>
                          <w:ilvl w:val="0"/>
                          <w:numId w:val="24"/>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Public availability of budget information</w:t>
                      </w:r>
                    </w:p>
                    <w:p w14:paraId="2FEE9DA6" w14:textId="77777777" w:rsidR="00D15FD8" w:rsidRPr="00FA2526" w:rsidRDefault="00D15FD8" w:rsidP="00601849">
                      <w:pPr>
                        <w:pStyle w:val="ListParagraph"/>
                        <w:numPr>
                          <w:ilvl w:val="0"/>
                          <w:numId w:val="24"/>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 xml:space="preserve">Opportunities for the public to participate in the budget process </w:t>
                      </w:r>
                    </w:p>
                    <w:p w14:paraId="7022B7C1" w14:textId="77777777" w:rsidR="00D15FD8" w:rsidRPr="00FA2526" w:rsidRDefault="00D15FD8" w:rsidP="00601849">
                      <w:pPr>
                        <w:pStyle w:val="ListParagraph"/>
                        <w:numPr>
                          <w:ilvl w:val="0"/>
                          <w:numId w:val="24"/>
                        </w:num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 xml:space="preserve">Role of formal oversight institutions, including the legislature and the national audit office </w:t>
                      </w:r>
                      <w:r>
                        <w:rPr>
                          <w:rFonts w:ascii="Roboto" w:eastAsia="Calibri" w:hAnsi="Roboto" w:cs="Calibri"/>
                          <w:color w:val="404040" w:themeColor="text1" w:themeTint="BF"/>
                          <w:sz w:val="20"/>
                          <w:szCs w:val="20"/>
                        </w:rPr>
                        <w:t>(</w:t>
                      </w:r>
                      <w:r w:rsidRPr="00FA2526">
                        <w:rPr>
                          <w:rFonts w:ascii="Roboto" w:eastAsia="Calibri" w:hAnsi="Roboto" w:cs="Calibri"/>
                          <w:color w:val="404040" w:themeColor="text1" w:themeTint="BF"/>
                          <w:sz w:val="20"/>
                          <w:szCs w:val="20"/>
                        </w:rPr>
                        <w:t>supreme audit institution</w:t>
                      </w:r>
                      <w:r>
                        <w:rPr>
                          <w:rFonts w:ascii="Roboto" w:eastAsia="Calibri" w:hAnsi="Roboto" w:cs="Calibri"/>
                          <w:color w:val="404040" w:themeColor="text1" w:themeTint="BF"/>
                          <w:sz w:val="20"/>
                          <w:szCs w:val="20"/>
                        </w:rPr>
                        <w:t>)</w:t>
                      </w:r>
                      <w:r w:rsidRPr="00FA2526">
                        <w:rPr>
                          <w:rFonts w:ascii="Roboto" w:eastAsia="Calibri" w:hAnsi="Roboto" w:cs="Calibri"/>
                          <w:color w:val="404040" w:themeColor="text1" w:themeTint="BF"/>
                          <w:sz w:val="20"/>
                          <w:szCs w:val="20"/>
                        </w:rPr>
                        <w:t xml:space="preserve">. </w:t>
                      </w:r>
                    </w:p>
                    <w:p w14:paraId="7EF047C4" w14:textId="77777777" w:rsidR="00D15FD8" w:rsidRDefault="00D15FD8" w:rsidP="002D14C0">
                      <w:pPr>
                        <w:suppressOverlap/>
                        <w:rPr>
                          <w:rFonts w:ascii="Roboto" w:eastAsia="Calibri" w:hAnsi="Roboto" w:cs="Calibri"/>
                          <w:color w:val="404040" w:themeColor="text1" w:themeTint="BF"/>
                          <w:sz w:val="20"/>
                          <w:szCs w:val="20"/>
                        </w:rPr>
                      </w:pPr>
                    </w:p>
                    <w:p w14:paraId="62FE36B1" w14:textId="77777777" w:rsidR="00D15FD8" w:rsidRPr="00FA2526" w:rsidRDefault="00D15FD8" w:rsidP="002D14C0">
                      <w:pPr>
                        <w:suppressOverlap/>
                        <w:rPr>
                          <w:rFonts w:ascii="Roboto" w:eastAsia="Calibri" w:hAnsi="Roboto" w:cs="Calibri"/>
                          <w:color w:val="404040" w:themeColor="text1" w:themeTint="BF"/>
                          <w:sz w:val="20"/>
                          <w:szCs w:val="20"/>
                        </w:rPr>
                      </w:pPr>
                      <w:r w:rsidRPr="00FA2526">
                        <w:rPr>
                          <w:rFonts w:ascii="Roboto" w:eastAsia="Calibri" w:hAnsi="Roboto" w:cs="Calibri"/>
                          <w:color w:val="404040" w:themeColor="text1" w:themeTint="BF"/>
                          <w:sz w:val="20"/>
                          <w:szCs w:val="20"/>
                        </w:rPr>
                        <w:t>The majority of the survey questions assess what occurs in practice, rather than what is required by law.</w:t>
                      </w:r>
                    </w:p>
                    <w:p w14:paraId="4D851451" w14:textId="1455E160" w:rsidR="00D15FD8" w:rsidRDefault="00D15FD8" w:rsidP="002D14C0">
                      <w:pPr>
                        <w:rPr>
                          <w:rFonts w:ascii="Roboto" w:hAnsi="Roboto"/>
                          <w:sz w:val="20"/>
                          <w:szCs w:val="20"/>
                        </w:rPr>
                      </w:pPr>
                    </w:p>
                    <w:p w14:paraId="3DB3E27D" w14:textId="52E822EC" w:rsidR="00D15FD8" w:rsidRPr="00FA2526" w:rsidRDefault="00D15FD8" w:rsidP="002D14C0">
                      <w:pPr>
                        <w:rPr>
                          <w:rFonts w:ascii="Roboto" w:hAnsi="Roboto"/>
                          <w:sz w:val="20"/>
                          <w:szCs w:val="20"/>
                        </w:rPr>
                      </w:pPr>
                    </w:p>
                  </w:txbxContent>
                </v:textbox>
                <w10:wrap anchorx="margin" anchory="margin"/>
              </v:shape>
            </w:pict>
          </mc:Fallback>
        </mc:AlternateContent>
      </w:r>
    </w:p>
    <w:p w14:paraId="4DF52346" w14:textId="56ACA5C0" w:rsidR="00203FAB" w:rsidRPr="00A14DEF" w:rsidRDefault="00203FAB" w:rsidP="002D14C0">
      <w:pPr>
        <w:rPr>
          <w:rFonts w:ascii="Roboto" w:hAnsi="Roboto"/>
        </w:rPr>
      </w:pPr>
    </w:p>
    <w:p w14:paraId="50570D25" w14:textId="77777777" w:rsidR="00203FAB" w:rsidRPr="00A14DEF" w:rsidRDefault="00203FAB" w:rsidP="002D14C0">
      <w:pPr>
        <w:rPr>
          <w:rFonts w:ascii="Roboto" w:hAnsi="Roboto"/>
        </w:rPr>
      </w:pPr>
    </w:p>
    <w:p w14:paraId="36A020AE" w14:textId="77777777" w:rsidR="00203FAB" w:rsidRPr="00A14DEF" w:rsidRDefault="00203FAB" w:rsidP="002D14C0">
      <w:pPr>
        <w:rPr>
          <w:rFonts w:ascii="Roboto" w:hAnsi="Roboto"/>
        </w:rPr>
      </w:pPr>
    </w:p>
    <w:p w14:paraId="38127DB1" w14:textId="023C9F91" w:rsidR="00203FAB" w:rsidRPr="00A14DEF" w:rsidRDefault="00203FAB" w:rsidP="002D14C0">
      <w:pPr>
        <w:rPr>
          <w:rFonts w:ascii="Roboto" w:hAnsi="Roboto"/>
        </w:rPr>
      </w:pPr>
    </w:p>
    <w:p w14:paraId="386CB7E8" w14:textId="2FBCB3A6" w:rsidR="00203FAB" w:rsidRPr="00A14DEF" w:rsidRDefault="00203FAB" w:rsidP="002D14C0">
      <w:pPr>
        <w:rPr>
          <w:rFonts w:ascii="Roboto" w:hAnsi="Roboto"/>
        </w:rPr>
      </w:pPr>
    </w:p>
    <w:p w14:paraId="3DD8197F" w14:textId="3DB4F52A" w:rsidR="00203FAB" w:rsidRPr="00A14DEF" w:rsidRDefault="00203FAB" w:rsidP="002D14C0">
      <w:pPr>
        <w:rPr>
          <w:rFonts w:ascii="Roboto" w:hAnsi="Roboto"/>
        </w:rPr>
      </w:pPr>
    </w:p>
    <w:p w14:paraId="2656EB4A" w14:textId="5FCD9F3F" w:rsidR="00203FAB" w:rsidRPr="00A14DEF" w:rsidRDefault="00203FAB" w:rsidP="002D14C0">
      <w:pPr>
        <w:rPr>
          <w:rFonts w:ascii="Roboto" w:hAnsi="Roboto"/>
        </w:rPr>
      </w:pPr>
    </w:p>
    <w:p w14:paraId="6F8D3AAA" w14:textId="2F5577B2" w:rsidR="00203FAB" w:rsidRPr="00A14DEF" w:rsidRDefault="00203FAB" w:rsidP="002D14C0">
      <w:pPr>
        <w:rPr>
          <w:rFonts w:ascii="Roboto" w:hAnsi="Roboto"/>
        </w:rPr>
      </w:pPr>
    </w:p>
    <w:p w14:paraId="18108239" w14:textId="0ADACD6F" w:rsidR="00203FAB" w:rsidRPr="00A14DEF" w:rsidRDefault="00203FAB" w:rsidP="002D14C0">
      <w:pPr>
        <w:rPr>
          <w:rFonts w:ascii="Roboto" w:hAnsi="Roboto"/>
        </w:rPr>
      </w:pPr>
    </w:p>
    <w:p w14:paraId="4C607EED" w14:textId="6A2CA921" w:rsidR="00203FAB" w:rsidRPr="00A14DEF" w:rsidRDefault="00203FAB" w:rsidP="002D14C0">
      <w:pPr>
        <w:rPr>
          <w:rFonts w:ascii="Roboto" w:hAnsi="Roboto"/>
        </w:rPr>
      </w:pPr>
    </w:p>
    <w:p w14:paraId="2CF2291C" w14:textId="130A5FFF" w:rsidR="00203FAB" w:rsidRPr="00A14DEF" w:rsidRDefault="00203FAB" w:rsidP="002D14C0">
      <w:pPr>
        <w:rPr>
          <w:rFonts w:ascii="Roboto" w:hAnsi="Roboto"/>
        </w:rPr>
      </w:pPr>
    </w:p>
    <w:p w14:paraId="611FD6EF" w14:textId="446BB329" w:rsidR="00203FAB" w:rsidRPr="00A14DEF" w:rsidRDefault="00203FAB" w:rsidP="002D14C0">
      <w:pPr>
        <w:rPr>
          <w:rFonts w:ascii="Roboto" w:hAnsi="Roboto"/>
        </w:rPr>
      </w:pPr>
    </w:p>
    <w:p w14:paraId="1D857EC5" w14:textId="2991C94D" w:rsidR="00203FAB" w:rsidRPr="00A14DEF" w:rsidRDefault="00203FAB" w:rsidP="002D14C0">
      <w:pPr>
        <w:rPr>
          <w:rFonts w:ascii="Roboto" w:hAnsi="Roboto"/>
        </w:rPr>
      </w:pPr>
    </w:p>
    <w:p w14:paraId="255D0D48" w14:textId="58E457CD" w:rsidR="00203FAB" w:rsidRPr="00A14DEF" w:rsidRDefault="003B6E29"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35422" behindDoc="0" locked="0" layoutInCell="1" allowOverlap="1" wp14:anchorId="5851D678" wp14:editId="6009A9A2">
                <wp:simplePos x="0" y="0"/>
                <wp:positionH relativeFrom="column">
                  <wp:posOffset>-3615690</wp:posOffset>
                </wp:positionH>
                <wp:positionV relativeFrom="paragraph">
                  <wp:posOffset>458470</wp:posOffset>
                </wp:positionV>
                <wp:extent cx="5976620" cy="252095"/>
                <wp:effectExtent l="0" t="0" r="0" b="0"/>
                <wp:wrapNone/>
                <wp:docPr id="111" name="Text Box 111"/>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70DBB83C" w14:textId="26175172" w:rsidR="00D15FD8" w:rsidRPr="00B40DFA" w:rsidRDefault="00D15FD8" w:rsidP="00CB4860">
                            <w:pPr>
                              <w:jc w:val="right"/>
                              <w:rPr>
                                <w:rFonts w:ascii="Arial" w:hAnsi="Arial" w:cs="Arial"/>
                                <w:iCs/>
                                <w:color w:val="000000" w:themeColor="text1"/>
                                <w:lang w:val="en-US"/>
                              </w:rPr>
                            </w:pPr>
                            <w:r w:rsidRPr="00B40DFA">
                              <w:rPr>
                                <w:rFonts w:ascii="Arial" w:hAnsi="Arial" w:cs="Arial"/>
                                <w:iCs/>
                                <w:color w:val="000000" w:themeColor="text1"/>
                                <w:sz w:val="20"/>
                                <w:szCs w:val="20"/>
                                <w:lang w:val="en-US"/>
                              </w:rPr>
                              <w:t>2</w:t>
                            </w:r>
                            <w:r>
                              <w:rPr>
                                <w:rFonts w:ascii="Arial" w:hAnsi="Arial" w:cs="Arial"/>
                                <w:iCs/>
                                <w:color w:val="000000" w:themeColor="text1"/>
                                <w:sz w:val="20"/>
                                <w:szCs w:val="20"/>
                                <w:lang w:val="en-U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51D678" id="Text Box 111" o:spid="_x0000_s1097" type="#_x0000_t202" style="position:absolute;margin-left:-284.7pt;margin-top:36.1pt;width:470.6pt;height:19.85pt;rotation:90;z-index:2553354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" filled="f" stroked="f" strokeweight=".5pt">
                <v:textbox>
                  <w:txbxContent>
                    <w:p w14:paraId="70DBB83C" w14:textId="26175172" w:rsidR="00D15FD8" w:rsidRPr="00B40DFA" w:rsidRDefault="00D15FD8" w:rsidP="00CB4860">
                      <w:pPr>
                        <w:jc w:val="right"/>
                        <w:rPr>
                          <w:rFonts w:ascii="Arial" w:hAnsi="Arial" w:cs="Arial"/>
                          <w:iCs/>
                          <w:color w:val="000000" w:themeColor="text1"/>
                          <w:lang w:val="en-US"/>
                        </w:rPr>
                      </w:pPr>
                      <w:r w:rsidRPr="00B40DFA">
                        <w:rPr>
                          <w:rFonts w:ascii="Arial" w:hAnsi="Arial" w:cs="Arial"/>
                          <w:iCs/>
                          <w:color w:val="000000" w:themeColor="text1"/>
                          <w:sz w:val="20"/>
                          <w:szCs w:val="20"/>
                          <w:lang w:val="en-US"/>
                        </w:rPr>
                        <w:t>2</w:t>
                      </w:r>
                      <w:r>
                        <w:rPr>
                          <w:rFonts w:ascii="Arial" w:hAnsi="Arial" w:cs="Arial"/>
                          <w:iCs/>
                          <w:color w:val="000000" w:themeColor="text1"/>
                          <w:sz w:val="20"/>
                          <w:szCs w:val="20"/>
                          <w:lang w:val="en-US"/>
                        </w:rPr>
                        <w:t>9</w:t>
                      </w:r>
                    </w:p>
                  </w:txbxContent>
                </v:textbox>
              </v:shape>
            </w:pict>
          </mc:Fallback>
        </mc:AlternateContent>
      </w:r>
    </w:p>
    <w:p w14:paraId="7DD34218" w14:textId="08BC4974" w:rsidR="00203FAB" w:rsidRPr="00A14DEF" w:rsidRDefault="00203FAB" w:rsidP="002D14C0">
      <w:pPr>
        <w:rPr>
          <w:rFonts w:ascii="Roboto" w:hAnsi="Roboto"/>
        </w:rPr>
      </w:pPr>
    </w:p>
    <w:p w14:paraId="2C9B82BD" w14:textId="5C2B8475" w:rsidR="00203FAB" w:rsidRPr="00A14DEF" w:rsidRDefault="003B6E29"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34398" behindDoc="0" locked="0" layoutInCell="1" allowOverlap="1" wp14:anchorId="4FD4BE6F" wp14:editId="6906F1E6">
                <wp:simplePos x="0" y="0"/>
                <wp:positionH relativeFrom="column">
                  <wp:posOffset>6512560</wp:posOffset>
                </wp:positionH>
                <wp:positionV relativeFrom="paragraph">
                  <wp:posOffset>125730</wp:posOffset>
                </wp:positionV>
                <wp:extent cx="5976620" cy="252095"/>
                <wp:effectExtent l="0" t="0" r="0" b="0"/>
                <wp:wrapNone/>
                <wp:docPr id="110" name="Text Box 110"/>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71FA7F6B" w14:textId="0FB07A2F" w:rsidR="00D15FD8" w:rsidRDefault="00AC4DF7" w:rsidP="00B40DFA">
                            <w:pPr>
                              <w:spacing w:line="264" w:lineRule="auto"/>
                              <w:rPr>
                                <w:i/>
                                <w:color w:val="ED7D31" w:themeColor="accent2"/>
                                <w:sz w:val="20"/>
                                <w:szCs w:val="20"/>
                              </w:rPr>
                            </w:pPr>
                            <w:sdt>
                              <w:sdtPr>
                                <w:rPr>
                                  <w:i/>
                                  <w:color w:val="ED7D31" w:themeColor="accent2"/>
                                  <w:sz w:val="20"/>
                                  <w:szCs w:val="20"/>
                                </w:rPr>
                                <w:alias w:val="Title"/>
                                <w:id w:val="508098002"/>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1F721E2" w14:textId="77777777" w:rsidR="00D15FD8" w:rsidRDefault="00D15FD8" w:rsidP="00B40D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D4BE6F" id="Text Box 110" o:spid="_x0000_s1098" type="#_x0000_t202" style="position:absolute;margin-left:512.8pt;margin-top:9.9pt;width:470.6pt;height:19.85pt;rotation:90;z-index:25533439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" filled="f" stroked="f" strokeweight=".5pt">
                <v:textbox>
                  <w:txbxContent>
                    <w:p w14:paraId="71FA7F6B" w14:textId="0FB07A2F" w:rsidR="00D15FD8" w:rsidRDefault="00AC4DF7" w:rsidP="00B40DFA">
                      <w:pPr>
                        <w:spacing w:line="264" w:lineRule="auto"/>
                        <w:rPr>
                          <w:i/>
                          <w:color w:val="ED7D31" w:themeColor="accent2"/>
                          <w:sz w:val="20"/>
                          <w:szCs w:val="20"/>
                        </w:rPr>
                      </w:pPr>
                      <w:sdt>
                        <w:sdtPr>
                          <w:rPr>
                            <w:i/>
                            <w:color w:val="ED7D31" w:themeColor="accent2"/>
                            <w:sz w:val="20"/>
                            <w:szCs w:val="20"/>
                          </w:rPr>
                          <w:alias w:val="Title"/>
                          <w:id w:val="508098002"/>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1F721E2" w14:textId="77777777" w:rsidR="00D15FD8" w:rsidRDefault="00D15FD8" w:rsidP="00B40DFA"/>
                  </w:txbxContent>
                </v:textbox>
              </v:shape>
            </w:pict>
          </mc:Fallback>
        </mc:AlternateContent>
      </w:r>
    </w:p>
    <w:p w14:paraId="64F3556A" w14:textId="653D66C8" w:rsidR="00203FAB" w:rsidRPr="00A14DEF" w:rsidRDefault="00203FAB" w:rsidP="002D14C0">
      <w:pPr>
        <w:rPr>
          <w:rFonts w:ascii="Roboto" w:hAnsi="Roboto"/>
        </w:rPr>
      </w:pPr>
    </w:p>
    <w:p w14:paraId="6620ABA8" w14:textId="77777777" w:rsidR="00203FAB" w:rsidRPr="00A14DEF" w:rsidRDefault="00203FAB" w:rsidP="002D14C0">
      <w:pPr>
        <w:rPr>
          <w:rFonts w:ascii="Roboto" w:hAnsi="Roboto"/>
        </w:rPr>
      </w:pPr>
    </w:p>
    <w:p w14:paraId="0E66384E" w14:textId="6BC5B56F" w:rsidR="00203FAB" w:rsidRDefault="00203FAB" w:rsidP="002D14C0">
      <w:pPr>
        <w:rPr>
          <w:rFonts w:ascii="Roboto" w:hAnsi="Roboto"/>
        </w:rPr>
      </w:pPr>
    </w:p>
    <w:p w14:paraId="028ACDE0" w14:textId="77777777" w:rsidR="00203FAB" w:rsidRDefault="00203FAB" w:rsidP="002D14C0">
      <w:pPr>
        <w:rPr>
          <w:rFonts w:ascii="Roboto" w:hAnsi="Roboto"/>
        </w:rPr>
      </w:pPr>
    </w:p>
    <w:p w14:paraId="2208AD12" w14:textId="394DBCC6" w:rsidR="00203FAB" w:rsidRDefault="00203FAB" w:rsidP="002D14C0">
      <w:pPr>
        <w:rPr>
          <w:rFonts w:ascii="Roboto" w:hAnsi="Roboto"/>
        </w:rPr>
      </w:pPr>
    </w:p>
    <w:p w14:paraId="41E442D7" w14:textId="7E566973" w:rsidR="00203FAB" w:rsidRDefault="00203FAB" w:rsidP="002D14C0">
      <w:pPr>
        <w:rPr>
          <w:rFonts w:ascii="Roboto" w:hAnsi="Roboto"/>
        </w:rPr>
      </w:pPr>
    </w:p>
    <w:p w14:paraId="6CE4FE88" w14:textId="26E36C3C" w:rsidR="00203FAB" w:rsidRDefault="00203FAB" w:rsidP="002D14C0">
      <w:pPr>
        <w:rPr>
          <w:rFonts w:ascii="Roboto" w:hAnsi="Roboto"/>
        </w:rPr>
      </w:pPr>
    </w:p>
    <w:p w14:paraId="4CC7A6A0" w14:textId="7321A5B4" w:rsidR="00E74316" w:rsidRDefault="009918CC" w:rsidP="003625BA">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35774" behindDoc="0" locked="0" layoutInCell="1" allowOverlap="1" wp14:anchorId="253ED489" wp14:editId="72E15CE5">
                <wp:simplePos x="0" y="0"/>
                <wp:positionH relativeFrom="column">
                  <wp:posOffset>5486400</wp:posOffset>
                </wp:positionH>
                <wp:positionV relativeFrom="paragraph">
                  <wp:posOffset>1961169</wp:posOffset>
                </wp:positionV>
                <wp:extent cx="3878317" cy="386723"/>
                <wp:effectExtent l="0" t="0" r="8255" b="0"/>
                <wp:wrapNone/>
                <wp:docPr id="368" name="Rectangle 368"/>
                <wp:cNvGraphicFramePr/>
                <a:graphic xmlns:a="http://schemas.openxmlformats.org/drawingml/2006/main">
                  <a:graphicData uri="http://schemas.microsoft.com/office/word/2010/wordprocessingShape">
                    <wps:wsp>
                      <wps:cNvSpPr/>
                      <wps:spPr>
                        <a:xfrm>
                          <a:off x="0" y="0"/>
                          <a:ext cx="3878317" cy="3867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19AB8A3B" id="Rectangle 368" o:spid="_x0000_s1026" style="position:absolute;margin-left:6in;margin-top:154.4pt;width:305.4pt;height:30.45pt;z-index:2554357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" fillcolor="white [3212]" stroked="f" strokeweight="1pt"/>
            </w:pict>
          </mc:Fallback>
        </mc:AlternateContent>
      </w:r>
      <w:r w:rsidR="00CC3EBD">
        <w:rPr>
          <w:rFonts w:ascii="Roboto" w:hAnsi="Roboto"/>
        </w:rPr>
        <w:br w:type="page"/>
      </w:r>
      <w:r w:rsidR="00A47F45">
        <w:rPr>
          <w:rFonts w:ascii="Arial" w:hAnsi="Arial" w:cs="Arial"/>
          <w:noProof/>
          <w:sz w:val="24"/>
          <w:szCs w:val="24"/>
          <w:lang w:val="en-US"/>
        </w:rPr>
        <mc:AlternateContent>
          <mc:Choice Requires="wps">
            <w:drawing>
              <wp:anchor distT="0" distB="0" distL="114300" distR="114300" simplePos="0" relativeHeight="254725118" behindDoc="1" locked="0" layoutInCell="1" allowOverlap="1" wp14:anchorId="28C0609E" wp14:editId="3381559A">
                <wp:simplePos x="0" y="0"/>
                <wp:positionH relativeFrom="margin">
                  <wp:align>center</wp:align>
                </wp:positionH>
                <wp:positionV relativeFrom="margin">
                  <wp:align>center</wp:align>
                </wp:positionV>
                <wp:extent cx="9856189" cy="5969000"/>
                <wp:effectExtent l="12700" t="12700" r="12065" b="12700"/>
                <wp:wrapNone/>
                <wp:docPr id="2156" name="Rectangle 2156"/>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097A9B0A" id="Rectangle 2156" o:spid="_x0000_s1026" style="position:absolute;margin-left:0;margin-top:0;width:776.1pt;height:470pt;z-index:-24859136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2A4242AA" w14:textId="4BD589FA" w:rsidR="00E74316" w:rsidRDefault="000A2776"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589374" behindDoc="0" locked="0" layoutInCell="1" allowOverlap="1" wp14:anchorId="5A1B294A" wp14:editId="5D82FE15">
                <wp:simplePos x="0" y="0"/>
                <wp:positionH relativeFrom="column">
                  <wp:posOffset>-198755</wp:posOffset>
                </wp:positionH>
                <wp:positionV relativeFrom="paragraph">
                  <wp:posOffset>-575734</wp:posOffset>
                </wp:positionV>
                <wp:extent cx="3878317" cy="268014"/>
                <wp:effectExtent l="0" t="0" r="0" b="0"/>
                <wp:wrapNone/>
                <wp:docPr id="503" name="Rectangle 503"/>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0EA0DC1C" id="Rectangle 503" o:spid="_x0000_s1026" style="position:absolute;margin-left:-15.65pt;margin-top:-45.35pt;width:305.4pt;height:21.1pt;z-index:2555893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" fillcolor="white [3212]" stroked="f" strokeweight="1pt"/>
            </w:pict>
          </mc:Fallback>
        </mc:AlternateContent>
      </w:r>
      <w:r w:rsidR="005F79AB">
        <w:rPr>
          <w:rFonts w:ascii="Roboto" w:hAnsi="Roboto"/>
          <w:noProof/>
          <w:lang w:val="en-US"/>
        </w:rPr>
        <w:drawing>
          <wp:anchor distT="0" distB="0" distL="114300" distR="114300" simplePos="0" relativeHeight="254723070" behindDoc="1" locked="0" layoutInCell="1" allowOverlap="1" wp14:anchorId="2FCFCBB4" wp14:editId="012F3DDB">
            <wp:simplePos x="0" y="0"/>
            <wp:positionH relativeFrom="column">
              <wp:posOffset>-84455</wp:posOffset>
            </wp:positionH>
            <wp:positionV relativeFrom="paragraph">
              <wp:posOffset>0</wp:posOffset>
            </wp:positionV>
            <wp:extent cx="3059430" cy="611505"/>
            <wp:effectExtent l="0" t="0" r="0" b="0"/>
            <wp:wrapTight wrapText="bothSides">
              <wp:wrapPolygon edited="0">
                <wp:start x="1614" y="1346"/>
                <wp:lineTo x="1076" y="3589"/>
                <wp:lineTo x="359" y="7626"/>
                <wp:lineTo x="359" y="11215"/>
                <wp:lineTo x="717" y="16598"/>
                <wp:lineTo x="1614" y="18841"/>
                <wp:lineTo x="1704" y="19738"/>
                <wp:lineTo x="20533" y="19738"/>
                <wp:lineTo x="20623" y="18841"/>
                <wp:lineTo x="21071" y="16598"/>
                <wp:lineTo x="21340" y="3140"/>
                <wp:lineTo x="19726" y="2692"/>
                <wp:lineTo x="2690" y="1346"/>
                <wp:lineTo x="1614" y="1346"/>
              </wp:wrapPolygon>
            </wp:wrapTight>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2_Icon_titles_quarterof1920-01.png"/>
                    <pic:cNvPicPr/>
                  </pic:nvPicPr>
                  <pic:blipFill>
                    <a:blip r:embed="rId124" cstate="email">
                      <a:extLst>
                        <a:ext uri="{28A0092B-C50C-407E-A947-70E740481C1C}">
                          <a14:useLocalDpi xmlns:a14="http://schemas.microsoft.com/office/drawing/2010/main"/>
                        </a:ext>
                      </a:extLst>
                    </a:blip>
                    <a:stretch>
                      <a:fillRect/>
                    </a:stretch>
                  </pic:blipFill>
                  <pic:spPr>
                    <a:xfrm>
                      <a:off x="0" y="0"/>
                      <a:ext cx="3059430" cy="611505"/>
                    </a:xfrm>
                    <a:prstGeom prst="rect">
                      <a:avLst/>
                    </a:prstGeom>
                  </pic:spPr>
                </pic:pic>
              </a:graphicData>
            </a:graphic>
            <wp14:sizeRelH relativeFrom="page">
              <wp14:pctWidth>0</wp14:pctWidth>
            </wp14:sizeRelH>
            <wp14:sizeRelV relativeFrom="page">
              <wp14:pctHeight>0</wp14:pctHeight>
            </wp14:sizeRelV>
          </wp:anchor>
        </w:drawing>
      </w:r>
    </w:p>
    <w:p w14:paraId="70E75480" w14:textId="77777777" w:rsidR="00504323" w:rsidRDefault="00504323" w:rsidP="002D14C0">
      <w:pPr>
        <w:rPr>
          <w:rFonts w:ascii="Roboto" w:hAnsi="Roboto"/>
        </w:rPr>
      </w:pPr>
    </w:p>
    <w:p w14:paraId="77CE8D86" w14:textId="34C8CD7E" w:rsidR="00203FAB" w:rsidRDefault="00203FAB" w:rsidP="002D14C0">
      <w:pPr>
        <w:rPr>
          <w:rFonts w:ascii="Roboto" w:hAnsi="Roboto"/>
        </w:rPr>
      </w:pPr>
    </w:p>
    <w:p w14:paraId="4A1852E7" w14:textId="73573B9E" w:rsidR="00203FAB" w:rsidRPr="00553DE0" w:rsidRDefault="0053337F" w:rsidP="002D14C0">
      <w:pPr>
        <w:rPr>
          <w:rFonts w:ascii="Roboto" w:hAnsi="Roboto"/>
        </w:rPr>
      </w:pPr>
      <w:r w:rsidRPr="00553DE0">
        <w:rPr>
          <w:rFonts w:ascii="Roboto" w:hAnsi="Roboto"/>
          <w:noProof/>
          <w:lang w:val="en-US"/>
        </w:rPr>
        <w:drawing>
          <wp:anchor distT="0" distB="0" distL="114300" distR="114300" simplePos="0" relativeHeight="253598718" behindDoc="1" locked="0" layoutInCell="1" allowOverlap="1" wp14:anchorId="5A232B74" wp14:editId="4A46349A">
            <wp:simplePos x="0" y="0"/>
            <wp:positionH relativeFrom="column">
              <wp:posOffset>592455</wp:posOffset>
            </wp:positionH>
            <wp:positionV relativeFrom="paragraph">
              <wp:posOffset>1322705</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r w:rsidRPr="00553DE0">
        <w:rPr>
          <w:rFonts w:ascii="Roboto" w:hAnsi="Roboto"/>
          <w:noProof/>
          <w:lang w:val="en-US"/>
        </w:rPr>
        <mc:AlternateContent>
          <mc:Choice Requires="wps">
            <w:drawing>
              <wp:anchor distT="0" distB="0" distL="114300" distR="114300" simplePos="0" relativeHeight="253599742" behindDoc="0" locked="0" layoutInCell="1" allowOverlap="1" wp14:anchorId="3D07097D" wp14:editId="4FD57068">
                <wp:simplePos x="0" y="0"/>
                <wp:positionH relativeFrom="column">
                  <wp:posOffset>857250</wp:posOffset>
                </wp:positionH>
                <wp:positionV relativeFrom="paragraph">
                  <wp:posOffset>1346835</wp:posOffset>
                </wp:positionV>
                <wp:extent cx="1337310" cy="317500"/>
                <wp:effectExtent l="0" t="0" r="0" b="0"/>
                <wp:wrapNone/>
                <wp:docPr id="1915" name="Text Box 1915"/>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60816231"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7097D" id="Text Box 1915" o:spid="_x0000_s1099" type="#_x0000_t202" style="position:absolute;margin-left:67.5pt;margin-top:106.05pt;width:105.3pt;height:25pt;z-index:253599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" filled="f" stroked="f" strokeweight=".5pt">
                <v:textbox>
                  <w:txbxContent>
                    <w:p w14:paraId="60816231"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Pr="00553DE0">
        <w:rPr>
          <w:rFonts w:ascii="Roboto" w:hAnsi="Roboto"/>
          <w:noProof/>
          <w:lang w:val="en-US"/>
        </w:rPr>
        <mc:AlternateContent>
          <mc:Choice Requires="wps">
            <w:drawing>
              <wp:anchor distT="0" distB="0" distL="114300" distR="114300" simplePos="0" relativeHeight="253597694" behindDoc="0" locked="0" layoutInCell="1" allowOverlap="1" wp14:anchorId="260F7C7D" wp14:editId="751F60E7">
                <wp:simplePos x="0" y="0"/>
                <wp:positionH relativeFrom="column">
                  <wp:posOffset>-12700</wp:posOffset>
                </wp:positionH>
                <wp:positionV relativeFrom="paragraph">
                  <wp:posOffset>1104900</wp:posOffset>
                </wp:positionV>
                <wp:extent cx="2620645" cy="3563620"/>
                <wp:effectExtent l="12700" t="12700" r="8255" b="17780"/>
                <wp:wrapNone/>
                <wp:docPr id="1912" name="Rounded Rectangle 1912"/>
                <wp:cNvGraphicFramePr/>
                <a:graphic xmlns:a="http://schemas.openxmlformats.org/drawingml/2006/main">
                  <a:graphicData uri="http://schemas.microsoft.com/office/word/2010/wordprocessingShape">
                    <wps:wsp>
                      <wps:cNvSpPr/>
                      <wps:spPr>
                        <a:xfrm>
                          <a:off x="0" y="0"/>
                          <a:ext cx="2620645" cy="3563620"/>
                        </a:xfrm>
                        <a:prstGeom prst="roundRect">
                          <a:avLst>
                            <a:gd name="adj" fmla="val 6510"/>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61399"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0F7C7D" id="Rounded Rectangle 1912" o:spid="_x0000_s1100" style="position:absolute;margin-left:-1pt;margin-top:87pt;width:206.35pt;height:280.6pt;z-index:253597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" filled="f" strokecolor="white [3212]" strokeweight="1.5pt">
                <v:stroke joinstyle="miter"/>
                <v:textbox>
                  <w:txbxContent>
                    <w:p w14:paraId="60661399" w14:textId="77777777" w:rsidR="00D15FD8" w:rsidRDefault="00D15FD8" w:rsidP="002D14C0"/>
                  </w:txbxContent>
                </v:textbox>
              </v:roundrect>
            </w:pict>
          </mc:Fallback>
        </mc:AlternateContent>
      </w:r>
      <w:r w:rsidRPr="00553DE0">
        <w:rPr>
          <w:rFonts w:ascii="Roboto" w:hAnsi="Roboto"/>
          <w:noProof/>
          <w:lang w:val="en-US"/>
        </w:rPr>
        <mc:AlternateContent>
          <mc:Choice Requires="wps">
            <w:drawing>
              <wp:anchor distT="0" distB="0" distL="114300" distR="114300" simplePos="0" relativeHeight="253596670" behindDoc="0" locked="0" layoutInCell="1" allowOverlap="1" wp14:anchorId="74B6473A" wp14:editId="41264B31">
                <wp:simplePos x="0" y="0"/>
                <wp:positionH relativeFrom="column">
                  <wp:posOffset>-139700</wp:posOffset>
                </wp:positionH>
                <wp:positionV relativeFrom="paragraph">
                  <wp:posOffset>990600</wp:posOffset>
                </wp:positionV>
                <wp:extent cx="2876550" cy="3791585"/>
                <wp:effectExtent l="0" t="0" r="6350" b="5715"/>
                <wp:wrapNone/>
                <wp:docPr id="1913" name="Rounded Rectangle 1913"/>
                <wp:cNvGraphicFramePr/>
                <a:graphic xmlns:a="http://schemas.openxmlformats.org/drawingml/2006/main">
                  <a:graphicData uri="http://schemas.microsoft.com/office/word/2010/wordprocessingShape">
                    <wps:wsp>
                      <wps:cNvSpPr/>
                      <wps:spPr>
                        <a:xfrm>
                          <a:off x="0" y="0"/>
                          <a:ext cx="2876550" cy="3791585"/>
                        </a:xfrm>
                        <a:prstGeom prst="roundRect">
                          <a:avLst>
                            <a:gd name="adj" fmla="val 8278"/>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A438F9"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6473A" id="Rounded Rectangle 1913" o:spid="_x0000_s1101" style="position:absolute;margin-left:-11pt;margin-top:78pt;width:226.5pt;height:298.55pt;z-index:253596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4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" fillcolor="#1e9a8c" stroked="f" strokeweight="1pt">
                <v:stroke joinstyle="miter"/>
                <v:textbox>
                  <w:txbxContent>
                    <w:p w14:paraId="7FA438F9" w14:textId="77777777" w:rsidR="00D15FD8" w:rsidRDefault="00D15FD8" w:rsidP="002D14C0">
                      <w:pPr>
                        <w:jc w:val="center"/>
                      </w:pPr>
                    </w:p>
                  </w:txbxContent>
                </v:textbox>
              </v:roundrect>
            </w:pict>
          </mc:Fallback>
        </mc:AlternateContent>
      </w:r>
      <w:r w:rsidRPr="00553DE0">
        <w:rPr>
          <w:rFonts w:ascii="Roboto" w:hAnsi="Roboto"/>
          <w:noProof/>
          <w:lang w:val="en-US"/>
        </w:rPr>
        <mc:AlternateContent>
          <mc:Choice Requires="wps">
            <w:drawing>
              <wp:anchor distT="0" distB="0" distL="114300" distR="114300" simplePos="0" relativeHeight="253601790" behindDoc="0" locked="0" layoutInCell="1" allowOverlap="1" wp14:anchorId="4996958E" wp14:editId="5BC21ED9">
                <wp:simplePos x="0" y="0"/>
                <wp:positionH relativeFrom="column">
                  <wp:posOffset>2784475</wp:posOffset>
                </wp:positionH>
                <wp:positionV relativeFrom="paragraph">
                  <wp:posOffset>902335</wp:posOffset>
                </wp:positionV>
                <wp:extent cx="5367655" cy="304800"/>
                <wp:effectExtent l="0" t="0" r="0" b="0"/>
                <wp:wrapNone/>
                <wp:docPr id="1911" name="Text Box 1911"/>
                <wp:cNvGraphicFramePr/>
                <a:graphic xmlns:a="http://schemas.openxmlformats.org/drawingml/2006/main">
                  <a:graphicData uri="http://schemas.microsoft.com/office/word/2010/wordprocessingShape">
                    <wps:wsp>
                      <wps:cNvSpPr txBox="1"/>
                      <wps:spPr>
                        <a:xfrm>
                          <a:off x="0" y="0"/>
                          <a:ext cx="5367655" cy="304800"/>
                        </a:xfrm>
                        <a:prstGeom prst="rect">
                          <a:avLst/>
                        </a:prstGeom>
                        <a:noFill/>
                        <a:ln w="6350">
                          <a:noFill/>
                        </a:ln>
                      </wps:spPr>
                      <wps:txbx>
                        <w:txbxContent>
                          <w:p w14:paraId="4CA14B50"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62D308A3" w14:textId="77777777" w:rsidR="00D15FD8" w:rsidRPr="00FA2526" w:rsidRDefault="00D15FD8" w:rsidP="002D1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96958E" id="Text Box 1911" o:spid="_x0000_s1102" type="#_x0000_t202" style="position:absolute;margin-left:219.25pt;margin-top:71.05pt;width:422.65pt;height:24pt;z-index:2536017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" filled="f" stroked="f" strokeweight=".5pt">
                <v:textbox>
                  <w:txbxContent>
                    <w:p w14:paraId="4CA14B50"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62D308A3" w14:textId="77777777" w:rsidR="00D15FD8" w:rsidRPr="00FA2526" w:rsidRDefault="00D15FD8" w:rsidP="002D14C0"/>
                  </w:txbxContent>
                </v:textbox>
              </v:shape>
            </w:pict>
          </mc:Fallback>
        </mc:AlternateContent>
      </w:r>
      <w:r w:rsidRPr="00553DE0">
        <w:rPr>
          <w:rFonts w:ascii="Roboto" w:hAnsi="Roboto"/>
          <w:noProof/>
          <w:lang w:val="en-US"/>
        </w:rPr>
        <mc:AlternateContent>
          <mc:Choice Requires="wps">
            <w:drawing>
              <wp:anchor distT="0" distB="0" distL="114300" distR="114300" simplePos="0" relativeHeight="253602814" behindDoc="0" locked="0" layoutInCell="1" allowOverlap="1" wp14:anchorId="433D4181" wp14:editId="22EC3BE2">
                <wp:simplePos x="0" y="0"/>
                <wp:positionH relativeFrom="column">
                  <wp:posOffset>2794000</wp:posOffset>
                </wp:positionH>
                <wp:positionV relativeFrom="paragraph">
                  <wp:posOffset>1153795</wp:posOffset>
                </wp:positionV>
                <wp:extent cx="6376035" cy="3989705"/>
                <wp:effectExtent l="0" t="0" r="0" b="0"/>
                <wp:wrapNone/>
                <wp:docPr id="1914" name="Text Box 1914"/>
                <wp:cNvGraphicFramePr/>
                <a:graphic xmlns:a="http://schemas.openxmlformats.org/drawingml/2006/main">
                  <a:graphicData uri="http://schemas.microsoft.com/office/word/2010/wordprocessingShape">
                    <wps:wsp>
                      <wps:cNvSpPr txBox="1"/>
                      <wps:spPr>
                        <a:xfrm>
                          <a:off x="0" y="0"/>
                          <a:ext cx="6376035" cy="3989705"/>
                        </a:xfrm>
                        <a:prstGeom prst="rect">
                          <a:avLst/>
                        </a:prstGeom>
                        <a:noFill/>
                        <a:ln w="6350">
                          <a:noFill/>
                        </a:ln>
                      </wps:spPr>
                      <wps:txbx>
                        <w:txbxContent>
                          <w:p w14:paraId="2FE6008B" w14:textId="77777777" w:rsidR="00D15FD8" w:rsidRPr="001E4E87" w:rsidRDefault="00D15FD8" w:rsidP="002D14C0">
                            <w:pPr>
                              <w:suppressOverlap/>
                              <w:rPr>
                                <w:rFonts w:ascii="Roboto" w:eastAsia="Calibri" w:hAnsi="Roboto" w:cs="Calibri"/>
                                <w:color w:val="404040" w:themeColor="text1" w:themeTint="BF"/>
                                <w:sz w:val="20"/>
                                <w:szCs w:val="20"/>
                              </w:rPr>
                            </w:pPr>
                            <w:r w:rsidRPr="001E4E87">
                              <w:rPr>
                                <w:rFonts w:ascii="Roboto" w:eastAsia="Calibri" w:hAnsi="Roboto" w:cs="Calibri"/>
                                <w:b/>
                                <w:color w:val="1E9A8C"/>
                                <w:sz w:val="20"/>
                                <w:szCs w:val="20"/>
                              </w:rPr>
                              <w:t>IMF</w:t>
                            </w:r>
                            <w:r w:rsidRPr="001E4E87">
                              <w:rPr>
                                <w:rFonts w:ascii="Roboto" w:eastAsia="Calibri" w:hAnsi="Roboto" w:cs="Calibri"/>
                                <w:color w:val="1E9A8C"/>
                                <w:sz w:val="20"/>
                                <w:szCs w:val="20"/>
                              </w:rPr>
                              <w:t xml:space="preserve">: </w:t>
                            </w:r>
                            <w:hyperlink r:id="rId125" w:history="1">
                              <w:r w:rsidRPr="001E4E87">
                                <w:rPr>
                                  <w:rStyle w:val="Hyperlink"/>
                                  <w:rFonts w:ascii="Roboto" w:eastAsia="Calibri" w:hAnsi="Roboto" w:cs="Calibri"/>
                                  <w:color w:val="F26C21"/>
                                  <w:sz w:val="20"/>
                                  <w:szCs w:val="20"/>
                                </w:rPr>
                                <w:t>Fiscal Transparency Code</w:t>
                              </w:r>
                            </w:hyperlink>
                            <w:r w:rsidRPr="001E4E87">
                              <w:rPr>
                                <w:rFonts w:ascii="Roboto" w:eastAsia="Calibri" w:hAnsi="Roboto" w:cs="Calibri"/>
                                <w:color w:val="F26C21"/>
                                <w:sz w:val="20"/>
                                <w:szCs w:val="20"/>
                              </w:rPr>
                              <w:t xml:space="preserve"> </w:t>
                            </w:r>
                            <w:r w:rsidRPr="001E4E87">
                              <w:rPr>
                                <w:rFonts w:ascii="Roboto" w:eastAsia="Calibri" w:hAnsi="Roboto" w:cs="Calibri"/>
                                <w:color w:val="404040" w:themeColor="text1" w:themeTint="BF"/>
                                <w:sz w:val="20"/>
                                <w:szCs w:val="20"/>
                              </w:rPr>
                              <w:t xml:space="preserve">(2019): </w:t>
                            </w:r>
                          </w:p>
                          <w:p w14:paraId="25AF92D7"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Pillar I: Fiscal reports should provide a comprehensive, relevant, timely, and reliable overview of the government’s financial position and performance.</w:t>
                            </w:r>
                          </w:p>
                          <w:p w14:paraId="5BA0FA60"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 xml:space="preserve">Pillar II:  Budgets and their underlying fiscal forecasts should provide a clear statement of the government’s budgetary objectives and policy intentions, and comprehensive, timely, and credible projections of the evolution of the public finances. </w:t>
                            </w:r>
                          </w:p>
                          <w:p w14:paraId="49B21E86"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 xml:space="preserve">Pillar III: Governments should disclose, </w:t>
                            </w:r>
                            <w:proofErr w:type="spellStart"/>
                            <w:r w:rsidRPr="001E4E87">
                              <w:rPr>
                                <w:rFonts w:ascii="Roboto" w:eastAsia="Calibri" w:hAnsi="Roboto" w:cs="Calibri"/>
                                <w:color w:val="404040" w:themeColor="text1" w:themeTint="BF"/>
                                <w:sz w:val="20"/>
                                <w:szCs w:val="20"/>
                              </w:rPr>
                              <w:t>analyze</w:t>
                            </w:r>
                            <w:proofErr w:type="spellEnd"/>
                            <w:r w:rsidRPr="001E4E87">
                              <w:rPr>
                                <w:rFonts w:ascii="Roboto" w:eastAsia="Calibri" w:hAnsi="Roboto" w:cs="Calibri"/>
                                <w:color w:val="404040" w:themeColor="text1" w:themeTint="BF"/>
                                <w:sz w:val="20"/>
                                <w:szCs w:val="20"/>
                              </w:rPr>
                              <w:t>, and manage risks to the public finances and ensure effective coordination of fiscal decision-making across the public sector.</w:t>
                            </w:r>
                          </w:p>
                          <w:p w14:paraId="5149D8DD"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Pillar IV: Principle 4.3: Resource Revenue Utilization: Resource revenues should be managed within the budget and macro-fiscal framework in accordance with clear fiscal policy objectives, and any natural resource fund should be operated in a consistent and transparent manner. Principle 4.4: Resource Activity Disclosure: Fiscal, operational, environmental and social aspects of natural resource projects should be regularly reported on and published.</w:t>
                            </w:r>
                          </w:p>
                          <w:p w14:paraId="19117C7D" w14:textId="77777777" w:rsidR="00D15FD8" w:rsidRPr="001E4E87" w:rsidRDefault="00D15FD8" w:rsidP="002D14C0">
                            <w:pPr>
                              <w:ind w:left="30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w:t>
                            </w:r>
                            <w:hyperlink r:id="rId126" w:history="1">
                              <w:r w:rsidRPr="001E4E87">
                                <w:rPr>
                                  <w:rStyle w:val="Hyperlink"/>
                                  <w:rFonts w:ascii="Roboto" w:eastAsia="Calibri" w:hAnsi="Roboto" w:cs="Calibri"/>
                                  <w:color w:val="F26C21"/>
                                  <w:sz w:val="20"/>
                                  <w:szCs w:val="20"/>
                                </w:rPr>
                                <w:t>Manual on Fiscal Transparency</w:t>
                              </w:r>
                            </w:hyperlink>
                            <w:r w:rsidRPr="001E4E87">
                              <w:rPr>
                                <w:rFonts w:ascii="Roboto" w:eastAsia="Calibri" w:hAnsi="Roboto" w:cs="Calibri"/>
                                <w:color w:val="F26C21"/>
                                <w:sz w:val="20"/>
                                <w:szCs w:val="20"/>
                              </w:rPr>
                              <w:t xml:space="preserve"> </w:t>
                            </w:r>
                            <w:r w:rsidRPr="001E4E87">
                              <w:rPr>
                                <w:rFonts w:ascii="Roboto" w:eastAsia="Calibri" w:hAnsi="Roboto" w:cs="Calibri"/>
                                <w:color w:val="404040" w:themeColor="text1" w:themeTint="BF"/>
                                <w:sz w:val="20"/>
                                <w:szCs w:val="20"/>
                              </w:rPr>
                              <w:t>(2007): Particularly pp. 37-43: Medium term budget frameworks and fiscal rules].</w:t>
                            </w:r>
                          </w:p>
                          <w:p w14:paraId="4EE197F5" w14:textId="77777777" w:rsidR="00D15FD8" w:rsidRPr="001E4E87"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p>
                          <w:p w14:paraId="3F8F75F5" w14:textId="77777777" w:rsidR="00D15FD8" w:rsidRPr="001E4E87" w:rsidRDefault="00D15FD8" w:rsidP="002D14C0">
                            <w:pPr>
                              <w:suppressOverlap/>
                              <w:rPr>
                                <w:rFonts w:ascii="Roboto" w:eastAsia="Calibri" w:hAnsi="Roboto" w:cs="Calibri"/>
                                <w:bCs/>
                                <w:i/>
                                <w:color w:val="404040" w:themeColor="text1" w:themeTint="BF"/>
                                <w:sz w:val="20"/>
                                <w:szCs w:val="20"/>
                              </w:rPr>
                            </w:pPr>
                            <w:r w:rsidRPr="001E4E87">
                              <w:rPr>
                                <w:rFonts w:ascii="Roboto" w:eastAsia="Calibri" w:hAnsi="Roboto" w:cs="Calibri"/>
                                <w:b/>
                                <w:bCs/>
                                <w:color w:val="1E9A8C"/>
                                <w:sz w:val="20"/>
                                <w:szCs w:val="20"/>
                              </w:rPr>
                              <w:t>OECD</w:t>
                            </w:r>
                            <w:r w:rsidRPr="001E4E87">
                              <w:rPr>
                                <w:rFonts w:ascii="Roboto" w:eastAsia="Calibri" w:hAnsi="Roboto" w:cs="Calibri"/>
                                <w:bCs/>
                                <w:color w:val="404040" w:themeColor="text1" w:themeTint="BF"/>
                                <w:sz w:val="20"/>
                                <w:szCs w:val="20"/>
                              </w:rPr>
                              <w:t>:</w:t>
                            </w:r>
                            <w:r w:rsidRPr="001E4E87">
                              <w:rPr>
                                <w:rFonts w:ascii="Roboto" w:eastAsia="Calibri" w:hAnsi="Roboto" w:cs="Calibri"/>
                                <w:bCs/>
                                <w:i/>
                                <w:color w:val="404040" w:themeColor="text1" w:themeTint="BF"/>
                                <w:sz w:val="20"/>
                                <w:szCs w:val="20"/>
                              </w:rPr>
                              <w:t xml:space="preserve"> </w:t>
                            </w:r>
                          </w:p>
                          <w:p w14:paraId="7DAD1DAE" w14:textId="77777777" w:rsidR="00D15FD8" w:rsidRPr="00113300" w:rsidRDefault="00AC4DF7" w:rsidP="00113300">
                            <w:pPr>
                              <w:pStyle w:val="ListParagraph"/>
                              <w:numPr>
                                <w:ilvl w:val="0"/>
                                <w:numId w:val="132"/>
                              </w:numPr>
                              <w:tabs>
                                <w:tab w:val="left" w:pos="270"/>
                              </w:tabs>
                              <w:ind w:left="270" w:hanging="270"/>
                              <w:suppressOverlap/>
                              <w:rPr>
                                <w:rFonts w:ascii="Roboto" w:hAnsi="Roboto"/>
                                <w:sz w:val="20"/>
                                <w:szCs w:val="20"/>
                              </w:rPr>
                            </w:pPr>
                            <w:hyperlink r:id="rId127" w:history="1">
                              <w:r w:rsidR="00D15FD8" w:rsidRPr="00113300">
                                <w:rPr>
                                  <w:rStyle w:val="Hyperlink"/>
                                  <w:rFonts w:ascii="Roboto" w:eastAsia="Calibri" w:hAnsi="Roboto" w:cs="Calibri"/>
                                  <w:bCs/>
                                  <w:color w:val="F26C21"/>
                                  <w:sz w:val="20"/>
                                  <w:szCs w:val="20"/>
                                </w:rPr>
                                <w:t>Recommendation of the Council on Budgetary Governance: Principles of Good Budgetary Governance</w:t>
                              </w:r>
                            </w:hyperlink>
                            <w:r w:rsidR="00D15FD8" w:rsidRPr="00113300">
                              <w:rPr>
                                <w:rFonts w:ascii="Roboto" w:eastAsia="Calibri" w:hAnsi="Roboto" w:cs="Calibri"/>
                                <w:bCs/>
                                <w:i/>
                                <w:color w:val="F26C21"/>
                                <w:sz w:val="20"/>
                                <w:szCs w:val="20"/>
                              </w:rPr>
                              <w:t xml:space="preserve"> </w:t>
                            </w:r>
                            <w:r w:rsidR="00D15FD8" w:rsidRPr="00113300">
                              <w:rPr>
                                <w:rFonts w:ascii="Roboto" w:eastAsia="Calibri" w:hAnsi="Roboto" w:cs="Calibri"/>
                                <w:bCs/>
                                <w:color w:val="404040" w:themeColor="text1" w:themeTint="BF"/>
                                <w:sz w:val="20"/>
                                <w:szCs w:val="20"/>
                              </w:rPr>
                              <w:t>(2015):</w:t>
                            </w:r>
                            <w:r w:rsidR="00D15FD8" w:rsidRPr="00113300">
                              <w:rPr>
                                <w:rFonts w:ascii="Roboto" w:eastAsia="Calibri" w:hAnsi="Roboto" w:cs="Calibri"/>
                                <w:color w:val="404040" w:themeColor="text1" w:themeTint="BF"/>
                                <w:sz w:val="20"/>
                                <w:szCs w:val="20"/>
                              </w:rPr>
                              <w:t xml:space="preserve"> Recommend that governments commit to pursue a sound and sustainable fiscal policy (principle 1b) and consider whether the credibility of such a commitment can be enhanced through clear and verifiable fiscal rules or policy objectives….’(principle 1c).  Governments to closely align budgets with medium-term strategic priorities by developing a stronger medium-term dimension in the budgeting process….’ (principle 2a).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D4181" id="Text Box 1914" o:spid="_x0000_s1103" type="#_x0000_t202" style="position:absolute;margin-left:220pt;margin-top:90.85pt;width:502.05pt;height:314.15pt;z-index:253602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" filled="f" stroked="f" strokeweight=".5pt">
                <v:textbox>
                  <w:txbxContent>
                    <w:p w14:paraId="2FE6008B" w14:textId="77777777" w:rsidR="00D15FD8" w:rsidRPr="001E4E87" w:rsidRDefault="00D15FD8" w:rsidP="002D14C0">
                      <w:pPr>
                        <w:suppressOverlap/>
                        <w:rPr>
                          <w:rFonts w:ascii="Roboto" w:eastAsia="Calibri" w:hAnsi="Roboto" w:cs="Calibri"/>
                          <w:color w:val="404040" w:themeColor="text1" w:themeTint="BF"/>
                          <w:sz w:val="20"/>
                          <w:szCs w:val="20"/>
                        </w:rPr>
                      </w:pPr>
                      <w:r w:rsidRPr="001E4E87">
                        <w:rPr>
                          <w:rFonts w:ascii="Roboto" w:eastAsia="Calibri" w:hAnsi="Roboto" w:cs="Calibri"/>
                          <w:b/>
                          <w:color w:val="1E9A8C"/>
                          <w:sz w:val="20"/>
                          <w:szCs w:val="20"/>
                        </w:rPr>
                        <w:t>IMF</w:t>
                      </w:r>
                      <w:r w:rsidRPr="001E4E87">
                        <w:rPr>
                          <w:rFonts w:ascii="Roboto" w:eastAsia="Calibri" w:hAnsi="Roboto" w:cs="Calibri"/>
                          <w:color w:val="1E9A8C"/>
                          <w:sz w:val="20"/>
                          <w:szCs w:val="20"/>
                        </w:rPr>
                        <w:t xml:space="preserve">: </w:t>
                      </w:r>
                      <w:hyperlink r:id="rId128" w:history="1">
                        <w:r w:rsidRPr="001E4E87">
                          <w:rPr>
                            <w:rStyle w:val="Hyperlink"/>
                            <w:rFonts w:ascii="Roboto" w:eastAsia="Calibri" w:hAnsi="Roboto" w:cs="Calibri"/>
                            <w:color w:val="F26C21"/>
                            <w:sz w:val="20"/>
                            <w:szCs w:val="20"/>
                          </w:rPr>
                          <w:t>Fiscal Transparency Code</w:t>
                        </w:r>
                      </w:hyperlink>
                      <w:r w:rsidRPr="001E4E87">
                        <w:rPr>
                          <w:rFonts w:ascii="Roboto" w:eastAsia="Calibri" w:hAnsi="Roboto" w:cs="Calibri"/>
                          <w:color w:val="F26C21"/>
                          <w:sz w:val="20"/>
                          <w:szCs w:val="20"/>
                        </w:rPr>
                        <w:t xml:space="preserve"> </w:t>
                      </w:r>
                      <w:r w:rsidRPr="001E4E87">
                        <w:rPr>
                          <w:rFonts w:ascii="Roboto" w:eastAsia="Calibri" w:hAnsi="Roboto" w:cs="Calibri"/>
                          <w:color w:val="404040" w:themeColor="text1" w:themeTint="BF"/>
                          <w:sz w:val="20"/>
                          <w:szCs w:val="20"/>
                        </w:rPr>
                        <w:t xml:space="preserve">(2019): </w:t>
                      </w:r>
                    </w:p>
                    <w:p w14:paraId="25AF92D7"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Pillar I: Fiscal reports should provide a comprehensive, relevant, timely, and reliable overview of the government’s financial position and performance.</w:t>
                      </w:r>
                    </w:p>
                    <w:p w14:paraId="5BA0FA60"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 xml:space="preserve">Pillar II:  Budgets and their underlying fiscal forecasts should provide a clear statement of the government’s budgetary objectives and policy intentions, and comprehensive, timely, and credible projections of the evolution of the public finances. </w:t>
                      </w:r>
                    </w:p>
                    <w:p w14:paraId="49B21E86"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 xml:space="preserve">Pillar III: Governments should disclose, </w:t>
                      </w:r>
                      <w:proofErr w:type="spellStart"/>
                      <w:r w:rsidRPr="001E4E87">
                        <w:rPr>
                          <w:rFonts w:ascii="Roboto" w:eastAsia="Calibri" w:hAnsi="Roboto" w:cs="Calibri"/>
                          <w:color w:val="404040" w:themeColor="text1" w:themeTint="BF"/>
                          <w:sz w:val="20"/>
                          <w:szCs w:val="20"/>
                        </w:rPr>
                        <w:t>analyze</w:t>
                      </w:r>
                      <w:proofErr w:type="spellEnd"/>
                      <w:r w:rsidRPr="001E4E87">
                        <w:rPr>
                          <w:rFonts w:ascii="Roboto" w:eastAsia="Calibri" w:hAnsi="Roboto" w:cs="Calibri"/>
                          <w:color w:val="404040" w:themeColor="text1" w:themeTint="BF"/>
                          <w:sz w:val="20"/>
                          <w:szCs w:val="20"/>
                        </w:rPr>
                        <w:t>, and manage risks to the public finances and ensure effective coordination of fiscal decision-making across the public sector.</w:t>
                      </w:r>
                    </w:p>
                    <w:p w14:paraId="5149D8DD" w14:textId="77777777" w:rsidR="00D15FD8" w:rsidRPr="001E4E87" w:rsidRDefault="00D15FD8" w:rsidP="00113300">
                      <w:pPr>
                        <w:pStyle w:val="ListParagraph"/>
                        <w:numPr>
                          <w:ilvl w:val="0"/>
                          <w:numId w:val="130"/>
                        </w:numPr>
                        <w:ind w:left="270" w:hanging="27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Pillar IV: Principle 4.3: Resource Revenue Utilization: Resource revenues should be managed within the budget and macro-fiscal framework in accordance with clear fiscal policy objectives, and any natural resource fund should be operated in a consistent and transparent manner. Principle 4.4: Resource Activity Disclosure: Fiscal, operational, environmental and social aspects of natural resource projects should be regularly reported on and published.</w:t>
                      </w:r>
                    </w:p>
                    <w:p w14:paraId="19117C7D" w14:textId="77777777" w:rsidR="00D15FD8" w:rsidRPr="001E4E87" w:rsidRDefault="00D15FD8" w:rsidP="002D14C0">
                      <w:pPr>
                        <w:ind w:left="300"/>
                        <w:suppressOverlap/>
                        <w:rPr>
                          <w:rFonts w:ascii="Roboto" w:eastAsia="Calibri" w:hAnsi="Roboto" w:cs="Calibri"/>
                          <w:color w:val="404040" w:themeColor="text1" w:themeTint="BF"/>
                          <w:sz w:val="20"/>
                          <w:szCs w:val="20"/>
                        </w:rPr>
                      </w:pPr>
                      <w:r w:rsidRPr="001E4E87">
                        <w:rPr>
                          <w:rFonts w:ascii="Roboto" w:eastAsia="Calibri" w:hAnsi="Roboto" w:cs="Calibri"/>
                          <w:color w:val="404040" w:themeColor="text1" w:themeTint="BF"/>
                          <w:sz w:val="20"/>
                          <w:szCs w:val="20"/>
                        </w:rPr>
                        <w:t>[</w:t>
                      </w:r>
                      <w:hyperlink r:id="rId129" w:history="1">
                        <w:r w:rsidRPr="001E4E87">
                          <w:rPr>
                            <w:rStyle w:val="Hyperlink"/>
                            <w:rFonts w:ascii="Roboto" w:eastAsia="Calibri" w:hAnsi="Roboto" w:cs="Calibri"/>
                            <w:color w:val="F26C21"/>
                            <w:sz w:val="20"/>
                            <w:szCs w:val="20"/>
                          </w:rPr>
                          <w:t>Manual on Fiscal Transparency</w:t>
                        </w:r>
                      </w:hyperlink>
                      <w:r w:rsidRPr="001E4E87">
                        <w:rPr>
                          <w:rFonts w:ascii="Roboto" w:eastAsia="Calibri" w:hAnsi="Roboto" w:cs="Calibri"/>
                          <w:color w:val="F26C21"/>
                          <w:sz w:val="20"/>
                          <w:szCs w:val="20"/>
                        </w:rPr>
                        <w:t xml:space="preserve"> </w:t>
                      </w:r>
                      <w:r w:rsidRPr="001E4E87">
                        <w:rPr>
                          <w:rFonts w:ascii="Roboto" w:eastAsia="Calibri" w:hAnsi="Roboto" w:cs="Calibri"/>
                          <w:color w:val="404040" w:themeColor="text1" w:themeTint="BF"/>
                          <w:sz w:val="20"/>
                          <w:szCs w:val="20"/>
                        </w:rPr>
                        <w:t>(2007): Particularly pp. 37-43: Medium term budget frameworks and fiscal rules].</w:t>
                      </w:r>
                    </w:p>
                    <w:p w14:paraId="4EE197F5" w14:textId="77777777" w:rsidR="00D15FD8" w:rsidRPr="001E4E87"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p>
                    <w:p w14:paraId="3F8F75F5" w14:textId="77777777" w:rsidR="00D15FD8" w:rsidRPr="001E4E87" w:rsidRDefault="00D15FD8" w:rsidP="002D14C0">
                      <w:pPr>
                        <w:suppressOverlap/>
                        <w:rPr>
                          <w:rFonts w:ascii="Roboto" w:eastAsia="Calibri" w:hAnsi="Roboto" w:cs="Calibri"/>
                          <w:bCs/>
                          <w:i/>
                          <w:color w:val="404040" w:themeColor="text1" w:themeTint="BF"/>
                          <w:sz w:val="20"/>
                          <w:szCs w:val="20"/>
                        </w:rPr>
                      </w:pPr>
                      <w:r w:rsidRPr="001E4E87">
                        <w:rPr>
                          <w:rFonts w:ascii="Roboto" w:eastAsia="Calibri" w:hAnsi="Roboto" w:cs="Calibri"/>
                          <w:b/>
                          <w:bCs/>
                          <w:color w:val="1E9A8C"/>
                          <w:sz w:val="20"/>
                          <w:szCs w:val="20"/>
                        </w:rPr>
                        <w:t>OECD</w:t>
                      </w:r>
                      <w:r w:rsidRPr="001E4E87">
                        <w:rPr>
                          <w:rFonts w:ascii="Roboto" w:eastAsia="Calibri" w:hAnsi="Roboto" w:cs="Calibri"/>
                          <w:bCs/>
                          <w:color w:val="404040" w:themeColor="text1" w:themeTint="BF"/>
                          <w:sz w:val="20"/>
                          <w:szCs w:val="20"/>
                        </w:rPr>
                        <w:t>:</w:t>
                      </w:r>
                      <w:r w:rsidRPr="001E4E87">
                        <w:rPr>
                          <w:rFonts w:ascii="Roboto" w:eastAsia="Calibri" w:hAnsi="Roboto" w:cs="Calibri"/>
                          <w:bCs/>
                          <w:i/>
                          <w:color w:val="404040" w:themeColor="text1" w:themeTint="BF"/>
                          <w:sz w:val="20"/>
                          <w:szCs w:val="20"/>
                        </w:rPr>
                        <w:t xml:space="preserve"> </w:t>
                      </w:r>
                    </w:p>
                    <w:p w14:paraId="7DAD1DAE" w14:textId="77777777" w:rsidR="00D15FD8" w:rsidRPr="00113300" w:rsidRDefault="00AC4DF7" w:rsidP="00113300">
                      <w:pPr>
                        <w:pStyle w:val="ListParagraph"/>
                        <w:numPr>
                          <w:ilvl w:val="0"/>
                          <w:numId w:val="132"/>
                        </w:numPr>
                        <w:tabs>
                          <w:tab w:val="left" w:pos="270"/>
                        </w:tabs>
                        <w:ind w:left="270" w:hanging="270"/>
                        <w:suppressOverlap/>
                        <w:rPr>
                          <w:rFonts w:ascii="Roboto" w:hAnsi="Roboto"/>
                          <w:sz w:val="20"/>
                          <w:szCs w:val="20"/>
                        </w:rPr>
                      </w:pPr>
                      <w:hyperlink r:id="rId130" w:history="1">
                        <w:r w:rsidR="00D15FD8" w:rsidRPr="00113300">
                          <w:rPr>
                            <w:rStyle w:val="Hyperlink"/>
                            <w:rFonts w:ascii="Roboto" w:eastAsia="Calibri" w:hAnsi="Roboto" w:cs="Calibri"/>
                            <w:bCs/>
                            <w:color w:val="F26C21"/>
                            <w:sz w:val="20"/>
                            <w:szCs w:val="20"/>
                          </w:rPr>
                          <w:t>Recommendation of the Council on Budgetary Governance: Principles of Good Budgetary Governance</w:t>
                        </w:r>
                      </w:hyperlink>
                      <w:r w:rsidR="00D15FD8" w:rsidRPr="00113300">
                        <w:rPr>
                          <w:rFonts w:ascii="Roboto" w:eastAsia="Calibri" w:hAnsi="Roboto" w:cs="Calibri"/>
                          <w:bCs/>
                          <w:i/>
                          <w:color w:val="F26C21"/>
                          <w:sz w:val="20"/>
                          <w:szCs w:val="20"/>
                        </w:rPr>
                        <w:t xml:space="preserve"> </w:t>
                      </w:r>
                      <w:r w:rsidR="00D15FD8" w:rsidRPr="00113300">
                        <w:rPr>
                          <w:rFonts w:ascii="Roboto" w:eastAsia="Calibri" w:hAnsi="Roboto" w:cs="Calibri"/>
                          <w:bCs/>
                          <w:color w:val="404040" w:themeColor="text1" w:themeTint="BF"/>
                          <w:sz w:val="20"/>
                          <w:szCs w:val="20"/>
                        </w:rPr>
                        <w:t>(2015):</w:t>
                      </w:r>
                      <w:r w:rsidR="00D15FD8" w:rsidRPr="00113300">
                        <w:rPr>
                          <w:rFonts w:ascii="Roboto" w:eastAsia="Calibri" w:hAnsi="Roboto" w:cs="Calibri"/>
                          <w:color w:val="404040" w:themeColor="text1" w:themeTint="BF"/>
                          <w:sz w:val="20"/>
                          <w:szCs w:val="20"/>
                        </w:rPr>
                        <w:t xml:space="preserve"> Recommend that governments commit to pursue a sound and sustainable fiscal policy (principle 1b) and consider whether the credibility of such a commitment can be enhanced through clear and verifiable fiscal rules or policy objectives….’(principle 1c).  Governments to closely align budgets with medium-term strategic priorities by developing a stronger medium-term dimension in the budgeting process….’ (principle 2a). </w:t>
                      </w:r>
                    </w:p>
                  </w:txbxContent>
                </v:textbox>
              </v:shape>
            </w:pict>
          </mc:Fallback>
        </mc:AlternateContent>
      </w:r>
      <w:r>
        <w:rPr>
          <w:rFonts w:ascii="Roboto" w:hAnsi="Roboto"/>
          <w:noProof/>
          <w:lang w:val="en-US"/>
        </w:rPr>
        <mc:AlternateContent>
          <mc:Choice Requires="wps">
            <w:drawing>
              <wp:anchor distT="0" distB="0" distL="114300" distR="114300" simplePos="0" relativeHeight="251641829" behindDoc="0" locked="0" layoutInCell="1" allowOverlap="1" wp14:anchorId="251C4B20" wp14:editId="3C3045A2">
                <wp:simplePos x="0" y="0"/>
                <wp:positionH relativeFrom="column">
                  <wp:posOffset>0</wp:posOffset>
                </wp:positionH>
                <wp:positionV relativeFrom="paragraph">
                  <wp:posOffset>106045</wp:posOffset>
                </wp:positionV>
                <wp:extent cx="8847455" cy="427355"/>
                <wp:effectExtent l="0" t="0" r="17145" b="17145"/>
                <wp:wrapNone/>
                <wp:docPr id="1910" name="Rounded Rectangle 1910"/>
                <wp:cNvGraphicFramePr/>
                <a:graphic xmlns:a="http://schemas.openxmlformats.org/drawingml/2006/main">
                  <a:graphicData uri="http://schemas.microsoft.com/office/word/2010/wordprocessingShape">
                    <wps:wsp>
                      <wps:cNvSpPr/>
                      <wps:spPr>
                        <a:xfrm>
                          <a:off x="0" y="0"/>
                          <a:ext cx="8847455" cy="427355"/>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04644A1D" id="Rounded Rectangle 1910" o:spid="_x0000_s1026" style="position:absolute;margin-left:0;margin-top:8.35pt;width:696.65pt;height:33.65pt;z-index:2516418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" filled="f" strokecolor="#f26c21" strokeweight="1pt">
                <v:stroke joinstyle="miter"/>
              </v:roundrect>
            </w:pict>
          </mc:Fallback>
        </mc:AlternateContent>
      </w:r>
      <w:r>
        <w:rPr>
          <w:rFonts w:ascii="Roboto" w:hAnsi="Roboto"/>
          <w:noProof/>
          <w:lang w:val="en-US"/>
        </w:rPr>
        <mc:AlternateContent>
          <mc:Choice Requires="wps">
            <w:drawing>
              <wp:anchor distT="0" distB="0" distL="114300" distR="114300" simplePos="0" relativeHeight="253593598" behindDoc="0" locked="0" layoutInCell="1" allowOverlap="1" wp14:anchorId="4A940B37" wp14:editId="0082FCFE">
                <wp:simplePos x="0" y="0"/>
                <wp:positionH relativeFrom="column">
                  <wp:posOffset>0</wp:posOffset>
                </wp:positionH>
                <wp:positionV relativeFrom="paragraph">
                  <wp:posOffset>122555</wp:posOffset>
                </wp:positionV>
                <wp:extent cx="8712200" cy="427355"/>
                <wp:effectExtent l="0" t="0" r="0" b="0"/>
                <wp:wrapNone/>
                <wp:docPr id="1909" name="Text Box 1909"/>
                <wp:cNvGraphicFramePr/>
                <a:graphic xmlns:a="http://schemas.openxmlformats.org/drawingml/2006/main">
                  <a:graphicData uri="http://schemas.microsoft.com/office/word/2010/wordprocessingShape">
                    <wps:wsp>
                      <wps:cNvSpPr txBox="1"/>
                      <wps:spPr>
                        <a:xfrm>
                          <a:off x="0" y="0"/>
                          <a:ext cx="8712200" cy="42735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35271AC7" w14:textId="77777777" w:rsidR="00D15FD8" w:rsidRPr="00581669" w:rsidRDefault="00D15FD8" w:rsidP="002D14C0">
                            <w:pPr>
                              <w:rPr>
                                <w:sz w:val="20"/>
                                <w:szCs w:val="20"/>
                              </w:rPr>
                            </w:pPr>
                            <w:r w:rsidRPr="00553DE0">
                              <w:rPr>
                                <w:rFonts w:ascii="Roboto" w:hAnsi="Roboto"/>
                                <w:b/>
                                <w:color w:val="F26C21"/>
                                <w:sz w:val="20"/>
                                <w:szCs w:val="20"/>
                              </w:rPr>
                              <w:t>Governments should publish clear and measurable objectives for aggregate fiscal policy, regularly report progress against them, and explain deviations from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40B37" id="Text Box 1909" o:spid="_x0000_s1104" type="#_x0000_t202" style="position:absolute;margin-left:0;margin-top:9.65pt;width:686pt;height:33.65pt;z-index:253593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" filled="f" stroked="f" strokeweight="1pt">
                <v:textbox>
                  <w:txbxContent>
                    <w:p w14:paraId="35271AC7" w14:textId="77777777" w:rsidR="00D15FD8" w:rsidRPr="00581669" w:rsidRDefault="00D15FD8" w:rsidP="002D14C0">
                      <w:pPr>
                        <w:rPr>
                          <w:sz w:val="20"/>
                          <w:szCs w:val="20"/>
                        </w:rPr>
                      </w:pPr>
                      <w:r w:rsidRPr="00553DE0">
                        <w:rPr>
                          <w:rFonts w:ascii="Roboto" w:hAnsi="Roboto"/>
                          <w:b/>
                          <w:color w:val="F26C21"/>
                          <w:sz w:val="20"/>
                          <w:szCs w:val="20"/>
                        </w:rPr>
                        <w:t>Governments should publish clear and measurable objectives for aggregate fiscal policy, regularly report progress against them, and explain deviations from plans.</w:t>
                      </w:r>
                    </w:p>
                  </w:txbxContent>
                </v:textbox>
              </v:shape>
            </w:pict>
          </mc:Fallback>
        </mc:AlternateContent>
      </w:r>
      <w:r>
        <w:rPr>
          <w:rFonts w:ascii="Roboto" w:hAnsi="Roboto"/>
          <w:noProof/>
          <w:lang w:val="en-US"/>
        </w:rPr>
        <w:drawing>
          <wp:anchor distT="0" distB="0" distL="114300" distR="114300" simplePos="0" relativeHeight="253595646" behindDoc="1" locked="0" layoutInCell="1" allowOverlap="1" wp14:anchorId="050C9AEC" wp14:editId="3A8AF919">
            <wp:simplePos x="0" y="0"/>
            <wp:positionH relativeFrom="column">
              <wp:posOffset>-12700</wp:posOffset>
            </wp:positionH>
            <wp:positionV relativeFrom="paragraph">
              <wp:posOffset>626745</wp:posOffset>
            </wp:positionV>
            <wp:extent cx="8882380" cy="287655"/>
            <wp:effectExtent l="0" t="0" r="0" b="0"/>
            <wp:wrapTight wrapText="bothSides">
              <wp:wrapPolygon edited="0">
                <wp:start x="185" y="7629"/>
                <wp:lineTo x="185" y="13351"/>
                <wp:lineTo x="21341" y="13351"/>
                <wp:lineTo x="21341" y="7629"/>
                <wp:lineTo x="185" y="7629"/>
              </wp:wrapPolygon>
            </wp:wrapTight>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r w:rsidRPr="00553DE0">
        <w:rPr>
          <w:rFonts w:ascii="Roboto" w:hAnsi="Roboto"/>
          <w:noProof/>
          <w:lang w:val="en-US"/>
        </w:rPr>
        <mc:AlternateContent>
          <mc:Choice Requires="wps">
            <w:drawing>
              <wp:anchor distT="0" distB="0" distL="114300" distR="114300" simplePos="0" relativeHeight="253600766" behindDoc="0" locked="0" layoutInCell="1" allowOverlap="1" wp14:anchorId="795FB4D7" wp14:editId="5186C6F1">
                <wp:simplePos x="0" y="0"/>
                <wp:positionH relativeFrom="column">
                  <wp:posOffset>63500</wp:posOffset>
                </wp:positionH>
                <wp:positionV relativeFrom="paragraph">
                  <wp:posOffset>1727200</wp:posOffset>
                </wp:positionV>
                <wp:extent cx="2454275" cy="2781300"/>
                <wp:effectExtent l="0" t="0" r="0" b="0"/>
                <wp:wrapNone/>
                <wp:docPr id="1916" name="Text Box 1916"/>
                <wp:cNvGraphicFramePr/>
                <a:graphic xmlns:a="http://schemas.openxmlformats.org/drawingml/2006/main">
                  <a:graphicData uri="http://schemas.microsoft.com/office/word/2010/wordprocessingShape">
                    <wps:wsp>
                      <wps:cNvSpPr txBox="1"/>
                      <wps:spPr>
                        <a:xfrm>
                          <a:off x="0" y="0"/>
                          <a:ext cx="2454275" cy="2781300"/>
                        </a:xfrm>
                        <a:prstGeom prst="rect">
                          <a:avLst/>
                        </a:prstGeom>
                        <a:noFill/>
                        <a:ln w="6350">
                          <a:noFill/>
                        </a:ln>
                      </wps:spPr>
                      <wps:txbx>
                        <w:txbxContent>
                          <w:p w14:paraId="65E3CF14" w14:textId="2E90ACA0" w:rsidR="00D15FD8" w:rsidRPr="00553DE0" w:rsidRDefault="00D15FD8" w:rsidP="003625BA">
                            <w:pPr>
                              <w:spacing w:line="260" w:lineRule="atLeast"/>
                              <w:rPr>
                                <w:rFonts w:ascii="Roboto" w:hAnsi="Roboto"/>
                                <w:color w:val="FFFFFF" w:themeColor="background1"/>
                                <w:sz w:val="20"/>
                                <w:szCs w:val="20"/>
                              </w:rPr>
                            </w:pPr>
                            <w:r w:rsidRPr="00553DE0">
                              <w:rPr>
                                <w:rFonts w:ascii="Roboto" w:hAnsi="Roboto" w:cs="AppleSystemUIFont"/>
                                <w:color w:val="FFFFFF" w:themeColor="background1"/>
                                <w:sz w:val="20"/>
                                <w:szCs w:val="20"/>
                              </w:rPr>
                              <w:t xml:space="preserve">A fundamental premise of good public or private sector management is the need for those in authority to state clearly and openly to their stakeholders the intended overall outputs and impacts of their policies; and the resources they will consume. </w:t>
                            </w:r>
                            <w:r>
                              <w:rPr>
                                <w:rFonts w:ascii="Roboto" w:hAnsi="Roboto" w:cs="AppleSystemUIFont"/>
                                <w:color w:val="FFFFFF" w:themeColor="background1"/>
                                <w:sz w:val="20"/>
                                <w:szCs w:val="20"/>
                              </w:rPr>
                              <w:t>They m</w:t>
                            </w:r>
                            <w:r w:rsidRPr="00553DE0">
                              <w:rPr>
                                <w:rFonts w:ascii="Roboto" w:hAnsi="Roboto" w:cs="AppleSystemUIFont"/>
                                <w:color w:val="FFFFFF" w:themeColor="background1"/>
                                <w:sz w:val="20"/>
                                <w:szCs w:val="20"/>
                              </w:rPr>
                              <w:t xml:space="preserve">ust also report on aggregate progress and results. </w:t>
                            </w:r>
                            <w:r>
                              <w:rPr>
                                <w:rFonts w:ascii="Roboto" w:hAnsi="Roboto" w:cs="AppleSystemUIFont"/>
                                <w:color w:val="FFFFFF" w:themeColor="background1"/>
                                <w:sz w:val="20"/>
                                <w:szCs w:val="20"/>
                              </w:rPr>
                              <w:t xml:space="preserve"> </w:t>
                            </w:r>
                            <w:r w:rsidRPr="00553DE0">
                              <w:rPr>
                                <w:rFonts w:ascii="Roboto" w:hAnsi="Roboto" w:cs="AppleSystemUIFont"/>
                                <w:color w:val="FFFFFF" w:themeColor="background1"/>
                                <w:sz w:val="20"/>
                                <w:szCs w:val="20"/>
                              </w:rPr>
                              <w:t xml:space="preserve">Aggregate fiscal policy has substantial effects on the national economy immediately, and in the future, including on employment, inflation, growth, resource allocation and debt, and as such governments </w:t>
                            </w:r>
                            <w:r>
                              <w:rPr>
                                <w:rFonts w:ascii="Roboto" w:hAnsi="Roboto" w:cs="AppleSystemUIFont"/>
                                <w:color w:val="FFFFFF" w:themeColor="background1"/>
                                <w:sz w:val="20"/>
                                <w:szCs w:val="20"/>
                              </w:rPr>
                              <w:t xml:space="preserve">are </w:t>
                            </w:r>
                            <w:r w:rsidRPr="00553DE0">
                              <w:rPr>
                                <w:rFonts w:ascii="Roboto" w:hAnsi="Roboto" w:cs="AppleSystemUIFont"/>
                                <w:color w:val="FFFFFF" w:themeColor="background1"/>
                                <w:sz w:val="20"/>
                                <w:szCs w:val="20"/>
                              </w:rPr>
                              <w:t>accountable for the impacts of fiscal policy on national welfare.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FB4D7" id="Text Box 1916" o:spid="_x0000_s1105" type="#_x0000_t202" style="position:absolute;margin-left:5pt;margin-top:136pt;width:193.25pt;height:219pt;z-index:253600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" filled="f" stroked="f" strokeweight=".5pt">
                <v:textbox>
                  <w:txbxContent>
                    <w:p w14:paraId="65E3CF14" w14:textId="2E90ACA0" w:rsidR="00D15FD8" w:rsidRPr="00553DE0" w:rsidRDefault="00D15FD8" w:rsidP="003625BA">
                      <w:pPr>
                        <w:spacing w:line="260" w:lineRule="atLeast"/>
                        <w:rPr>
                          <w:rFonts w:ascii="Roboto" w:hAnsi="Roboto"/>
                          <w:color w:val="FFFFFF" w:themeColor="background1"/>
                          <w:sz w:val="20"/>
                          <w:szCs w:val="20"/>
                        </w:rPr>
                      </w:pPr>
                      <w:r w:rsidRPr="00553DE0">
                        <w:rPr>
                          <w:rFonts w:ascii="Roboto" w:hAnsi="Roboto" w:cs="AppleSystemUIFont"/>
                          <w:color w:val="FFFFFF" w:themeColor="background1"/>
                          <w:sz w:val="20"/>
                          <w:szCs w:val="20"/>
                        </w:rPr>
                        <w:t xml:space="preserve">A fundamental premise of good public or private sector management is the need for those in authority to state clearly and openly to their stakeholders the intended overall outputs and impacts of their policies; and the resources they will consume. </w:t>
                      </w:r>
                      <w:r>
                        <w:rPr>
                          <w:rFonts w:ascii="Roboto" w:hAnsi="Roboto" w:cs="AppleSystemUIFont"/>
                          <w:color w:val="FFFFFF" w:themeColor="background1"/>
                          <w:sz w:val="20"/>
                          <w:szCs w:val="20"/>
                        </w:rPr>
                        <w:t>They m</w:t>
                      </w:r>
                      <w:r w:rsidRPr="00553DE0">
                        <w:rPr>
                          <w:rFonts w:ascii="Roboto" w:hAnsi="Roboto" w:cs="AppleSystemUIFont"/>
                          <w:color w:val="FFFFFF" w:themeColor="background1"/>
                          <w:sz w:val="20"/>
                          <w:szCs w:val="20"/>
                        </w:rPr>
                        <w:t xml:space="preserve">ust also report on aggregate progress and results. </w:t>
                      </w:r>
                      <w:r>
                        <w:rPr>
                          <w:rFonts w:ascii="Roboto" w:hAnsi="Roboto" w:cs="AppleSystemUIFont"/>
                          <w:color w:val="FFFFFF" w:themeColor="background1"/>
                          <w:sz w:val="20"/>
                          <w:szCs w:val="20"/>
                        </w:rPr>
                        <w:t xml:space="preserve"> </w:t>
                      </w:r>
                      <w:r w:rsidRPr="00553DE0">
                        <w:rPr>
                          <w:rFonts w:ascii="Roboto" w:hAnsi="Roboto" w:cs="AppleSystemUIFont"/>
                          <w:color w:val="FFFFFF" w:themeColor="background1"/>
                          <w:sz w:val="20"/>
                          <w:szCs w:val="20"/>
                        </w:rPr>
                        <w:t xml:space="preserve">Aggregate fiscal policy has substantial effects on the national economy immediately, and in the future, including on employment, inflation, growth, resource allocation and debt, and as such governments </w:t>
                      </w:r>
                      <w:r>
                        <w:rPr>
                          <w:rFonts w:ascii="Roboto" w:hAnsi="Roboto" w:cs="AppleSystemUIFont"/>
                          <w:color w:val="FFFFFF" w:themeColor="background1"/>
                          <w:sz w:val="20"/>
                          <w:szCs w:val="20"/>
                        </w:rPr>
                        <w:t xml:space="preserve">are </w:t>
                      </w:r>
                      <w:r w:rsidRPr="00553DE0">
                        <w:rPr>
                          <w:rFonts w:ascii="Roboto" w:hAnsi="Roboto" w:cs="AppleSystemUIFont"/>
                          <w:color w:val="FFFFFF" w:themeColor="background1"/>
                          <w:sz w:val="20"/>
                          <w:szCs w:val="20"/>
                        </w:rPr>
                        <w:t>accountable for the impacts of fiscal policy on national welfare.</w:t>
                      </w:r>
                    </w:p>
                  </w:txbxContent>
                </v:textbox>
              </v:shape>
            </w:pict>
          </mc:Fallback>
        </mc:AlternateContent>
      </w:r>
    </w:p>
    <w:p w14:paraId="22314043" w14:textId="732A779B" w:rsidR="00203FAB" w:rsidRDefault="00203FAB" w:rsidP="002D14C0">
      <w:pPr>
        <w:rPr>
          <w:rFonts w:ascii="Roboto" w:hAnsi="Roboto"/>
        </w:rPr>
      </w:pPr>
    </w:p>
    <w:p w14:paraId="567B03BC" w14:textId="3028B511" w:rsidR="00203FAB" w:rsidRDefault="00203FAB" w:rsidP="002D14C0">
      <w:pPr>
        <w:tabs>
          <w:tab w:val="left" w:pos="4954"/>
        </w:tabs>
        <w:rPr>
          <w:rFonts w:ascii="Roboto" w:hAnsi="Roboto"/>
        </w:rPr>
      </w:pPr>
      <w:r>
        <w:rPr>
          <w:rFonts w:ascii="Roboto" w:hAnsi="Roboto"/>
        </w:rPr>
        <w:tab/>
      </w:r>
    </w:p>
    <w:p w14:paraId="484B2261" w14:textId="250FA2FA" w:rsidR="00203FAB" w:rsidRDefault="00203FAB" w:rsidP="002D14C0">
      <w:pPr>
        <w:rPr>
          <w:rFonts w:ascii="Roboto" w:hAnsi="Roboto"/>
        </w:rPr>
      </w:pPr>
    </w:p>
    <w:p w14:paraId="0572D056" w14:textId="513966AE" w:rsidR="00203FAB" w:rsidRDefault="00203FAB" w:rsidP="002D14C0">
      <w:pPr>
        <w:rPr>
          <w:rFonts w:ascii="Roboto" w:hAnsi="Roboto"/>
        </w:rPr>
      </w:pPr>
    </w:p>
    <w:p w14:paraId="20AF38B4" w14:textId="614E610F" w:rsidR="00203FAB" w:rsidRPr="001E4E87" w:rsidRDefault="00203FAB" w:rsidP="002D14C0">
      <w:pPr>
        <w:rPr>
          <w:rFonts w:ascii="Roboto" w:hAnsi="Roboto"/>
        </w:rPr>
      </w:pPr>
    </w:p>
    <w:p w14:paraId="7D1F1379" w14:textId="5BA30338" w:rsidR="00203FAB" w:rsidRPr="001E4E87" w:rsidRDefault="00203FAB" w:rsidP="002D14C0">
      <w:pPr>
        <w:rPr>
          <w:rFonts w:ascii="Roboto" w:hAnsi="Roboto"/>
        </w:rPr>
      </w:pPr>
    </w:p>
    <w:p w14:paraId="2C3B111A" w14:textId="4E5E9ECA" w:rsidR="00203FAB" w:rsidRPr="001E4E87" w:rsidRDefault="00203FAB" w:rsidP="002D14C0">
      <w:pPr>
        <w:rPr>
          <w:rFonts w:ascii="Roboto" w:hAnsi="Roboto"/>
        </w:rPr>
      </w:pPr>
    </w:p>
    <w:p w14:paraId="710BEDEE" w14:textId="4919A08B" w:rsidR="00203FAB" w:rsidRPr="001E4E87" w:rsidRDefault="00203FAB" w:rsidP="002D14C0">
      <w:pPr>
        <w:rPr>
          <w:rFonts w:ascii="Roboto" w:hAnsi="Roboto"/>
        </w:rPr>
      </w:pPr>
    </w:p>
    <w:p w14:paraId="71B3BB58" w14:textId="15F3D334" w:rsidR="00203FAB" w:rsidRPr="001E4E87" w:rsidRDefault="00203FAB" w:rsidP="002D14C0">
      <w:pPr>
        <w:rPr>
          <w:rFonts w:ascii="Roboto" w:hAnsi="Roboto"/>
        </w:rPr>
      </w:pPr>
    </w:p>
    <w:p w14:paraId="172710CA" w14:textId="7730D680" w:rsidR="00203FAB" w:rsidRPr="001E4E87" w:rsidRDefault="003B6E29"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38494" behindDoc="0" locked="0" layoutInCell="1" allowOverlap="1" wp14:anchorId="7B1DD18D" wp14:editId="268AE988">
                <wp:simplePos x="0" y="0"/>
                <wp:positionH relativeFrom="column">
                  <wp:posOffset>-3605213</wp:posOffset>
                </wp:positionH>
                <wp:positionV relativeFrom="paragraph">
                  <wp:posOffset>450641</wp:posOffset>
                </wp:positionV>
                <wp:extent cx="5976620" cy="252095"/>
                <wp:effectExtent l="0" t="0" r="0" b="0"/>
                <wp:wrapNone/>
                <wp:docPr id="117" name="Text Box 117"/>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4306AAC0" w14:textId="70249E47"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1DD18D" id="Text Box 117" o:spid="_x0000_s1106" type="#_x0000_t202" style="position:absolute;margin-left:-283.9pt;margin-top:35.5pt;width:470.6pt;height:19.85pt;rotation:90;z-index:2553384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" filled="f" stroked="f" strokeweight=".5pt">
                <v:textbox>
                  <w:txbxContent>
                    <w:p w14:paraId="4306AAC0" w14:textId="70249E47"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30</w:t>
                      </w:r>
                    </w:p>
                  </w:txbxContent>
                </v:textbox>
              </v:shape>
            </w:pict>
          </mc:Fallback>
        </mc:AlternateContent>
      </w:r>
    </w:p>
    <w:p w14:paraId="50BBC590" w14:textId="1DEF9706" w:rsidR="00203FAB" w:rsidRPr="001E4E87" w:rsidRDefault="00203FAB" w:rsidP="002D14C0">
      <w:pPr>
        <w:rPr>
          <w:rFonts w:ascii="Roboto" w:hAnsi="Roboto"/>
        </w:rPr>
      </w:pPr>
    </w:p>
    <w:p w14:paraId="4E96F749" w14:textId="3DA53E78" w:rsidR="00203FAB" w:rsidRPr="001E4E87" w:rsidRDefault="003B6E29"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37470" behindDoc="0" locked="0" layoutInCell="1" allowOverlap="1" wp14:anchorId="31F261B7" wp14:editId="0CFFEE58">
                <wp:simplePos x="0" y="0"/>
                <wp:positionH relativeFrom="column">
                  <wp:posOffset>6517958</wp:posOffset>
                </wp:positionH>
                <wp:positionV relativeFrom="paragraph">
                  <wp:posOffset>113326</wp:posOffset>
                </wp:positionV>
                <wp:extent cx="5977200" cy="252096"/>
                <wp:effectExtent l="4762" t="0" r="0" b="0"/>
                <wp:wrapNone/>
                <wp:docPr id="112" name="Text Box 112"/>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60C6F091" w14:textId="13169791"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096170662"/>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B07C9D6"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F261B7" id="Text Box 112" o:spid="_x0000_s1107" type="#_x0000_t202" style="position:absolute;margin-left:513.25pt;margin-top:8.9pt;width:470.65pt;height:19.85pt;rotation:90;z-index:2553374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" fillcolor="white [3201]" stroked="f" strokeweight=".5pt">
                <v:textbox>
                  <w:txbxContent>
                    <w:p w14:paraId="60C6F091" w14:textId="13169791"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096170662"/>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B07C9D6" w14:textId="77777777" w:rsidR="00D15FD8" w:rsidRDefault="00D15FD8" w:rsidP="003D7CCB"/>
                  </w:txbxContent>
                </v:textbox>
              </v:shape>
            </w:pict>
          </mc:Fallback>
        </mc:AlternateContent>
      </w:r>
    </w:p>
    <w:p w14:paraId="10997A6C" w14:textId="5B2B596C" w:rsidR="00203FAB" w:rsidRPr="001E4E87" w:rsidRDefault="00203FAB" w:rsidP="002D14C0">
      <w:pPr>
        <w:rPr>
          <w:rFonts w:ascii="Roboto" w:hAnsi="Roboto"/>
        </w:rPr>
      </w:pPr>
    </w:p>
    <w:p w14:paraId="6AFA3EF9" w14:textId="77777777" w:rsidR="00203FAB" w:rsidRPr="001E4E87" w:rsidRDefault="00203FAB" w:rsidP="002D14C0">
      <w:pPr>
        <w:rPr>
          <w:rFonts w:ascii="Roboto" w:hAnsi="Roboto"/>
        </w:rPr>
      </w:pPr>
    </w:p>
    <w:p w14:paraId="1D4ECA13" w14:textId="77777777" w:rsidR="00203FAB" w:rsidRPr="001E4E87" w:rsidRDefault="00203FAB" w:rsidP="002D14C0">
      <w:pPr>
        <w:rPr>
          <w:rFonts w:ascii="Roboto" w:hAnsi="Roboto"/>
        </w:rPr>
      </w:pPr>
    </w:p>
    <w:p w14:paraId="72AAF8DE" w14:textId="77777777" w:rsidR="00203FAB" w:rsidRPr="001E4E87" w:rsidRDefault="00203FAB" w:rsidP="002D14C0">
      <w:pPr>
        <w:rPr>
          <w:rFonts w:ascii="Roboto" w:hAnsi="Roboto"/>
        </w:rPr>
      </w:pPr>
    </w:p>
    <w:p w14:paraId="241A3ECE" w14:textId="77777777" w:rsidR="00203FAB" w:rsidRPr="001E4E87" w:rsidRDefault="00203FAB" w:rsidP="002D14C0">
      <w:pPr>
        <w:rPr>
          <w:rFonts w:ascii="Roboto" w:hAnsi="Roboto"/>
        </w:rPr>
      </w:pPr>
    </w:p>
    <w:p w14:paraId="1DE83CE1" w14:textId="77777777" w:rsidR="00203FAB" w:rsidRPr="001E4E87" w:rsidRDefault="00203FAB" w:rsidP="002D14C0">
      <w:pPr>
        <w:rPr>
          <w:rFonts w:ascii="Roboto" w:hAnsi="Roboto"/>
        </w:rPr>
      </w:pPr>
    </w:p>
    <w:p w14:paraId="7174479F" w14:textId="77777777" w:rsidR="00203FAB" w:rsidRPr="001E4E87" w:rsidRDefault="00203FAB" w:rsidP="002D14C0">
      <w:pPr>
        <w:rPr>
          <w:rFonts w:ascii="Roboto" w:hAnsi="Roboto"/>
        </w:rPr>
      </w:pPr>
    </w:p>
    <w:p w14:paraId="14EC8E55" w14:textId="77777777" w:rsidR="00203FAB" w:rsidRPr="001E4E87" w:rsidRDefault="00203FAB" w:rsidP="002D14C0">
      <w:pPr>
        <w:rPr>
          <w:rFonts w:ascii="Roboto" w:hAnsi="Roboto"/>
        </w:rPr>
      </w:pPr>
    </w:p>
    <w:p w14:paraId="521D1830" w14:textId="49BD6BB8" w:rsidR="00203FAB" w:rsidRPr="001E4E87" w:rsidRDefault="00203FAB" w:rsidP="002D14C0">
      <w:pPr>
        <w:rPr>
          <w:rFonts w:ascii="Roboto" w:hAnsi="Roboto"/>
        </w:rPr>
      </w:pPr>
    </w:p>
    <w:p w14:paraId="46AB2B4D" w14:textId="4F6526EF" w:rsidR="00203FAB" w:rsidRDefault="003B6E29" w:rsidP="00B84F0E">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529982" behindDoc="0" locked="0" layoutInCell="1" allowOverlap="1" wp14:anchorId="5FB0880F" wp14:editId="3A095872">
                <wp:simplePos x="0" y="0"/>
                <wp:positionH relativeFrom="column">
                  <wp:posOffset>5454562</wp:posOffset>
                </wp:positionH>
                <wp:positionV relativeFrom="paragraph">
                  <wp:posOffset>1702676</wp:posOffset>
                </wp:positionV>
                <wp:extent cx="3878317" cy="268014"/>
                <wp:effectExtent l="0" t="0" r="0" b="0"/>
                <wp:wrapNone/>
                <wp:docPr id="2762" name="Rectangle 2762"/>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7C573FCB" id="Rectangle 2762" o:spid="_x0000_s1026" style="position:absolute;margin-left:429.5pt;margin-top:134.05pt;width:305.4pt;height:21.1pt;z-index:2555299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" fillcolor="white [3212]" stroked="f" strokeweight="1pt"/>
            </w:pict>
          </mc:Fallback>
        </mc:AlternateContent>
      </w:r>
      <w:r w:rsidR="00CC3EBD">
        <w:rPr>
          <w:rFonts w:ascii="Roboto" w:hAnsi="Roboto"/>
        </w:rPr>
        <w:br w:type="page"/>
      </w:r>
      <w:r w:rsidR="00A47F45">
        <w:rPr>
          <w:rFonts w:ascii="Arial" w:hAnsi="Arial" w:cs="Arial"/>
          <w:noProof/>
          <w:sz w:val="24"/>
          <w:szCs w:val="24"/>
          <w:lang w:val="en-US"/>
        </w:rPr>
        <mc:AlternateContent>
          <mc:Choice Requires="wps">
            <w:drawing>
              <wp:anchor distT="0" distB="0" distL="114300" distR="114300" simplePos="0" relativeHeight="254727166" behindDoc="1" locked="0" layoutInCell="1" allowOverlap="1" wp14:anchorId="6F758FBE" wp14:editId="49BE0E30">
                <wp:simplePos x="0" y="0"/>
                <wp:positionH relativeFrom="margin">
                  <wp:align>center</wp:align>
                </wp:positionH>
                <wp:positionV relativeFrom="margin">
                  <wp:align>center</wp:align>
                </wp:positionV>
                <wp:extent cx="9856189" cy="5969000"/>
                <wp:effectExtent l="12700" t="12700" r="12065" b="12700"/>
                <wp:wrapNone/>
                <wp:docPr id="2583" name="Rectangle 2583"/>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0DBEEC57" id="Rectangle 2583" o:spid="_x0000_s1026" style="position:absolute;margin-left:0;margin-top:0;width:776.1pt;height:470pt;z-index:-24858931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2FA903A3" w14:textId="0D5FD8FA" w:rsidR="00203FAB" w:rsidRPr="001E4E87"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37822" behindDoc="0" locked="0" layoutInCell="1" allowOverlap="1" wp14:anchorId="17FEF920" wp14:editId="354E4590">
                <wp:simplePos x="0" y="0"/>
                <wp:positionH relativeFrom="column">
                  <wp:posOffset>-158181</wp:posOffset>
                </wp:positionH>
                <wp:positionV relativeFrom="paragraph">
                  <wp:posOffset>-504891</wp:posOffset>
                </wp:positionV>
                <wp:extent cx="3878317" cy="268014"/>
                <wp:effectExtent l="0" t="0" r="0" b="0"/>
                <wp:wrapNone/>
                <wp:docPr id="371" name="Rectangle 371"/>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249473C1" id="Rectangle 371" o:spid="_x0000_s1026" style="position:absolute;margin-left:-12.45pt;margin-top:-39.75pt;width:305.4pt;height:21.1pt;z-index:2554378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" fillcolor="white [3212]" stroked="f" strokeweight="1pt"/>
            </w:pict>
          </mc:Fallback>
        </mc:AlternateContent>
      </w:r>
      <w:r w:rsidR="0053337F" w:rsidRPr="001E4E87">
        <w:rPr>
          <w:rFonts w:ascii="Roboto" w:hAnsi="Roboto"/>
          <w:noProof/>
          <w:lang w:val="en-US"/>
        </w:rPr>
        <mc:AlternateContent>
          <mc:Choice Requires="wps">
            <w:drawing>
              <wp:anchor distT="0" distB="0" distL="114300" distR="114300" simplePos="0" relativeHeight="253603838" behindDoc="0" locked="0" layoutInCell="1" allowOverlap="1" wp14:anchorId="70853861" wp14:editId="5809FDF6">
                <wp:simplePos x="0" y="0"/>
                <wp:positionH relativeFrom="margin">
                  <wp:posOffset>22860</wp:posOffset>
                </wp:positionH>
                <wp:positionV relativeFrom="paragraph">
                  <wp:posOffset>133350</wp:posOffset>
                </wp:positionV>
                <wp:extent cx="8817610" cy="3394363"/>
                <wp:effectExtent l="0" t="0" r="0" b="0"/>
                <wp:wrapNone/>
                <wp:docPr id="1917" name="Text Box 1917"/>
                <wp:cNvGraphicFramePr/>
                <a:graphic xmlns:a="http://schemas.openxmlformats.org/drawingml/2006/main">
                  <a:graphicData uri="http://schemas.microsoft.com/office/word/2010/wordprocessingShape">
                    <wps:wsp>
                      <wps:cNvSpPr txBox="1"/>
                      <wps:spPr>
                        <a:xfrm>
                          <a:off x="0" y="0"/>
                          <a:ext cx="8817610" cy="3394363"/>
                        </a:xfrm>
                        <a:prstGeom prst="rect">
                          <a:avLst/>
                        </a:prstGeom>
                        <a:noFill/>
                        <a:ln w="6350">
                          <a:noFill/>
                        </a:ln>
                      </wps:spPr>
                      <wps:txbx>
                        <w:txbxContent>
                          <w:p w14:paraId="6FF1DD57" w14:textId="77777777" w:rsidR="00D15FD8" w:rsidRPr="001E4E87" w:rsidRDefault="00D15FD8" w:rsidP="002D14C0">
                            <w:pPr>
                              <w:suppressOverlap/>
                              <w:rPr>
                                <w:rFonts w:ascii="Roboto" w:eastAsia="Calibri" w:hAnsi="Roboto" w:cs="Calibri"/>
                                <w:color w:val="404040" w:themeColor="text1" w:themeTint="BF"/>
                                <w:sz w:val="20"/>
                                <w:szCs w:val="20"/>
                              </w:rPr>
                            </w:pPr>
                          </w:p>
                          <w:p w14:paraId="2CC5544F" w14:textId="77777777" w:rsidR="00D15FD8" w:rsidRPr="001E4E87" w:rsidRDefault="00AC4DF7" w:rsidP="00113300">
                            <w:pPr>
                              <w:pStyle w:val="ListParagraph"/>
                              <w:numPr>
                                <w:ilvl w:val="0"/>
                                <w:numId w:val="22"/>
                              </w:numPr>
                              <w:spacing w:line="259" w:lineRule="auto"/>
                              <w:ind w:left="308" w:hanging="308"/>
                              <w:suppressOverlap/>
                              <w:rPr>
                                <w:rFonts w:ascii="Roboto" w:eastAsia="Calibri" w:hAnsi="Roboto" w:cs="Calibri"/>
                                <w:color w:val="404040" w:themeColor="text1" w:themeTint="BF"/>
                                <w:sz w:val="20"/>
                                <w:szCs w:val="20"/>
                              </w:rPr>
                            </w:pPr>
                            <w:hyperlink r:id="rId131" w:history="1">
                              <w:r w:rsidR="00D15FD8" w:rsidRPr="001E4E87">
                                <w:rPr>
                                  <w:rStyle w:val="Hyperlink"/>
                                  <w:rFonts w:ascii="Roboto" w:eastAsia="Calibri" w:hAnsi="Roboto" w:cs="Calibri"/>
                                  <w:bCs/>
                                  <w:iCs/>
                                  <w:color w:val="F26C21"/>
                                  <w:sz w:val="20"/>
                                  <w:szCs w:val="20"/>
                                </w:rPr>
                                <w:t>Best Practices for Budget Transparency</w:t>
                              </w:r>
                            </w:hyperlink>
                            <w:r w:rsidR="00D15FD8" w:rsidRPr="001E4E87">
                              <w:rPr>
                                <w:rFonts w:ascii="Roboto" w:eastAsia="Calibri" w:hAnsi="Roboto" w:cs="Calibri"/>
                                <w:bCs/>
                                <w:iCs/>
                                <w:color w:val="F26C21"/>
                                <w:sz w:val="20"/>
                                <w:szCs w:val="20"/>
                              </w:rPr>
                              <w:t xml:space="preserve"> </w:t>
                            </w:r>
                            <w:r w:rsidR="00D15FD8" w:rsidRPr="001E4E87">
                              <w:rPr>
                                <w:rFonts w:ascii="Roboto" w:eastAsia="Calibri" w:hAnsi="Roboto" w:cs="Calibri"/>
                                <w:bCs/>
                                <w:iCs/>
                                <w:color w:val="404040" w:themeColor="text1" w:themeTint="BF"/>
                                <w:sz w:val="20"/>
                                <w:szCs w:val="20"/>
                              </w:rPr>
                              <w:t>(2002): P</w:t>
                            </w:r>
                            <w:r w:rsidR="00D15FD8" w:rsidRPr="001E4E87">
                              <w:rPr>
                                <w:rFonts w:ascii="Roboto" w:eastAsia="Calibri" w:hAnsi="Roboto" w:cs="Calibri"/>
                                <w:bCs/>
                                <w:color w:val="404040" w:themeColor="text1" w:themeTint="BF"/>
                                <w:sz w:val="20"/>
                                <w:szCs w:val="20"/>
                              </w:rPr>
                              <w:t>re-budget report should explicitly state the government’s</w:t>
                            </w:r>
                            <w:r w:rsidR="00D15FD8" w:rsidRPr="001E4E87">
                              <w:rPr>
                                <w:rFonts w:ascii="Roboto" w:eastAsia="Calibri" w:hAnsi="Roboto" w:cs="Calibri"/>
                                <w:color w:val="404040" w:themeColor="text1" w:themeTint="BF"/>
                                <w:sz w:val="20"/>
                                <w:szCs w:val="20"/>
                              </w:rPr>
                              <w:t xml:space="preserve"> long-term economic and fiscal policy objectives and the government’s economic and fiscal policy intentions for the forthcoming budget and, at least, the following two fiscal years’ (section 1.2). </w:t>
                            </w:r>
                          </w:p>
                          <w:p w14:paraId="29401E5C" w14:textId="77777777" w:rsidR="00D15FD8" w:rsidRPr="001E4E87" w:rsidRDefault="00AC4DF7" w:rsidP="00113300">
                            <w:pPr>
                              <w:pStyle w:val="ListParagraph"/>
                              <w:numPr>
                                <w:ilvl w:val="0"/>
                                <w:numId w:val="22"/>
                              </w:numPr>
                              <w:spacing w:line="259" w:lineRule="auto"/>
                              <w:ind w:left="308" w:hanging="308"/>
                              <w:suppressOverlap/>
                              <w:rPr>
                                <w:rFonts w:ascii="Roboto" w:eastAsia="Calibri" w:hAnsi="Roboto" w:cs="Calibri"/>
                                <w:bCs/>
                                <w:color w:val="404040" w:themeColor="text1" w:themeTint="BF"/>
                                <w:sz w:val="20"/>
                                <w:szCs w:val="20"/>
                              </w:rPr>
                            </w:pPr>
                            <w:hyperlink r:id="rId132" w:history="1">
                              <w:r w:rsidR="00D15FD8" w:rsidRPr="001E4E87">
                                <w:rPr>
                                  <w:rStyle w:val="Hyperlink"/>
                                  <w:rFonts w:ascii="Roboto" w:eastAsia="Calibri" w:hAnsi="Roboto" w:cs="Calibri"/>
                                  <w:color w:val="F26C21"/>
                                  <w:sz w:val="20"/>
                                  <w:szCs w:val="20"/>
                                </w:rPr>
                                <w:t>Budget Transparency Toolkit</w:t>
                              </w:r>
                            </w:hyperlink>
                            <w:r w:rsidR="00D15FD8" w:rsidRPr="001E4E87">
                              <w:rPr>
                                <w:rFonts w:ascii="Roboto" w:eastAsia="Calibri" w:hAnsi="Roboto" w:cs="Calibri"/>
                                <w:color w:val="F26C21"/>
                                <w:sz w:val="20"/>
                                <w:szCs w:val="20"/>
                              </w:rPr>
                              <w:t xml:space="preserve"> </w:t>
                            </w:r>
                            <w:r w:rsidR="00D15FD8" w:rsidRPr="001E4E87">
                              <w:rPr>
                                <w:rFonts w:ascii="Roboto" w:eastAsia="Calibri" w:hAnsi="Roboto" w:cs="Calibri"/>
                                <w:color w:val="404040" w:themeColor="text1" w:themeTint="BF"/>
                                <w:sz w:val="20"/>
                                <w:szCs w:val="20"/>
                              </w:rPr>
                              <w:t>(2017): T</w:t>
                            </w:r>
                            <w:r w:rsidR="00D15FD8" w:rsidRPr="001E4E87">
                              <w:rPr>
                                <w:rFonts w:ascii="Roboto" w:eastAsia="Calibri" w:hAnsi="Roboto" w:cs="Calibri"/>
                                <w:bCs/>
                                <w:color w:val="404040" w:themeColor="text1" w:themeTint="BF"/>
                                <w:sz w:val="20"/>
                                <w:szCs w:val="20"/>
                              </w:rPr>
                              <w:t>opics on the content of a pre-budget statement and the main budget relating to the government’s fiscal strategies, as well as a long-term report and reporting on fiscal risks (section A).</w:t>
                            </w:r>
                          </w:p>
                          <w:p w14:paraId="1BD98A16" w14:textId="77777777" w:rsidR="00D15FD8" w:rsidRPr="001E4E87" w:rsidRDefault="00D15FD8" w:rsidP="002D14C0">
                            <w:pPr>
                              <w:pStyle w:val="ListParagraph"/>
                              <w:spacing w:line="259" w:lineRule="auto"/>
                              <w:ind w:left="308"/>
                              <w:suppressOverlap/>
                              <w:rPr>
                                <w:rFonts w:ascii="Roboto" w:eastAsia="Calibri" w:hAnsi="Roboto" w:cs="Calibri"/>
                                <w:bCs/>
                                <w:color w:val="404040" w:themeColor="text1" w:themeTint="BF"/>
                                <w:sz w:val="20"/>
                                <w:szCs w:val="20"/>
                              </w:rPr>
                            </w:pPr>
                          </w:p>
                          <w:p w14:paraId="03933F98" w14:textId="77777777" w:rsidR="00D15FD8" w:rsidRPr="001E4E87" w:rsidRDefault="00D15FD8" w:rsidP="002D14C0">
                            <w:pPr>
                              <w:spacing w:line="259" w:lineRule="auto"/>
                              <w:suppressOverlap/>
                              <w:rPr>
                                <w:rFonts w:ascii="Roboto" w:eastAsia="Calibri" w:hAnsi="Roboto" w:cs="Calibri"/>
                                <w:b/>
                                <w:bCs/>
                                <w:color w:val="1E9A8C"/>
                                <w:sz w:val="20"/>
                                <w:szCs w:val="20"/>
                                <w:u w:val="single"/>
                              </w:rPr>
                            </w:pPr>
                            <w:r w:rsidRPr="001E4E87">
                              <w:rPr>
                                <w:rFonts w:ascii="Roboto" w:eastAsia="Calibri" w:hAnsi="Roboto" w:cs="Calibri"/>
                                <w:b/>
                                <w:bCs/>
                                <w:color w:val="1E9A8C"/>
                                <w:sz w:val="20"/>
                                <w:szCs w:val="20"/>
                                <w:u w:val="single"/>
                              </w:rPr>
                              <w:t>Assessment frameworks:</w:t>
                            </w:r>
                          </w:p>
                          <w:p w14:paraId="42FB5647" w14:textId="77777777" w:rsidR="00D15FD8" w:rsidRPr="001E4E87" w:rsidRDefault="00D15FD8" w:rsidP="002D14C0">
                            <w:pPr>
                              <w:spacing w:line="259" w:lineRule="auto"/>
                              <w:suppressOverlap/>
                              <w:rPr>
                                <w:rFonts w:ascii="Roboto" w:eastAsia="Calibri" w:hAnsi="Roboto" w:cs="Calibri"/>
                                <w:b/>
                                <w:bCs/>
                                <w:color w:val="404040" w:themeColor="text1" w:themeTint="BF"/>
                                <w:sz w:val="20"/>
                                <w:szCs w:val="20"/>
                                <w:u w:val="single"/>
                              </w:rPr>
                            </w:pPr>
                          </w:p>
                          <w:p w14:paraId="3F29B424" w14:textId="77777777" w:rsidR="00D15FD8" w:rsidRPr="001E4E87" w:rsidRDefault="00D15FD8" w:rsidP="002D14C0">
                            <w:pPr>
                              <w:spacing w:line="259" w:lineRule="auto"/>
                              <w:suppressOverlap/>
                              <w:rPr>
                                <w:rFonts w:ascii="Roboto" w:eastAsia="Calibri" w:hAnsi="Roboto" w:cs="Calibri"/>
                                <w:color w:val="404040" w:themeColor="text1" w:themeTint="BF"/>
                                <w:sz w:val="20"/>
                                <w:szCs w:val="20"/>
                              </w:rPr>
                            </w:pPr>
                            <w:r w:rsidRPr="001E4E87">
                              <w:rPr>
                                <w:rFonts w:ascii="Roboto" w:eastAsia="Calibri" w:hAnsi="Roboto" w:cs="Calibri"/>
                                <w:b/>
                                <w:bCs/>
                                <w:color w:val="1E9A8C"/>
                                <w:sz w:val="20"/>
                                <w:szCs w:val="20"/>
                              </w:rPr>
                              <w:t xml:space="preserve">PEFA: </w:t>
                            </w:r>
                            <w:hyperlink r:id="rId133" w:history="1">
                              <w:r w:rsidRPr="001E4E87">
                                <w:rPr>
                                  <w:rStyle w:val="Hyperlink"/>
                                  <w:rFonts w:ascii="Roboto" w:eastAsia="Calibri" w:hAnsi="Roboto" w:cs="Calibri"/>
                                  <w:color w:val="F26C21"/>
                                  <w:sz w:val="20"/>
                                  <w:szCs w:val="20"/>
                                </w:rPr>
                                <w:t>Framework for assessing public financial management</w:t>
                              </w:r>
                            </w:hyperlink>
                            <w:r w:rsidRPr="001E4E87">
                              <w:rPr>
                                <w:rFonts w:ascii="Roboto" w:eastAsia="Calibri" w:hAnsi="Roboto" w:cs="Calibri"/>
                                <w:color w:val="F26C21"/>
                                <w:sz w:val="20"/>
                                <w:szCs w:val="20"/>
                              </w:rPr>
                              <w:t xml:space="preserve"> </w:t>
                            </w:r>
                            <w:r w:rsidRPr="001E4E87">
                              <w:rPr>
                                <w:rFonts w:ascii="Roboto" w:eastAsia="Calibri" w:hAnsi="Roboto" w:cs="Calibri"/>
                                <w:color w:val="404040" w:themeColor="text1" w:themeTint="BF"/>
                                <w:sz w:val="20"/>
                                <w:szCs w:val="20"/>
                              </w:rPr>
                              <w:t xml:space="preserve">(2016): </w:t>
                            </w:r>
                            <w:r w:rsidRPr="001E4E87">
                              <w:rPr>
                                <w:rFonts w:ascii="Roboto" w:eastAsia="Calibri" w:hAnsi="Roboto" w:cs="Calibri"/>
                                <w:bCs/>
                                <w:color w:val="404040" w:themeColor="text1" w:themeTint="BF"/>
                                <w:sz w:val="20"/>
                                <w:szCs w:val="20"/>
                              </w:rPr>
                              <w:t xml:space="preserve">Indicators </w:t>
                            </w:r>
                            <w:r w:rsidRPr="001E4E87">
                              <w:rPr>
                                <w:rFonts w:ascii="Roboto" w:eastAsia="Calibri" w:hAnsi="Roboto" w:cs="Calibri"/>
                                <w:color w:val="404040" w:themeColor="text1" w:themeTint="BF"/>
                                <w:sz w:val="20"/>
                                <w:szCs w:val="20"/>
                              </w:rPr>
                              <w:t>assess the extent to which government prepares a fiscal strategy that sets out fiscal objectives for at least the budget year and the two following fiscal years; and whether government makes available—as part of the annual budget documentation submitted to the legislature—an assessment of its achievements against its stated fiscal objectives and targets. The assessment should also include an explanation of any deviations from the approved objectives and targets as well as proposed corrective actions. [</w:t>
                            </w:r>
                            <w:hyperlink r:id="rId134" w:history="1">
                              <w:r w:rsidRPr="001E4E87">
                                <w:rPr>
                                  <w:rStyle w:val="Hyperlink"/>
                                  <w:rFonts w:ascii="Roboto" w:eastAsia="Calibri" w:hAnsi="Roboto" w:cs="Calibri"/>
                                  <w:color w:val="F26C21"/>
                                  <w:sz w:val="20"/>
                                  <w:szCs w:val="20"/>
                                </w:rPr>
                                <w:t>Handbook</w:t>
                              </w:r>
                            </w:hyperlink>
                            <w:r w:rsidRPr="001E4E87">
                              <w:rPr>
                                <w:rFonts w:ascii="Roboto" w:eastAsia="Calibri" w:hAnsi="Roboto" w:cs="Calibri"/>
                                <w:color w:val="404040" w:themeColor="text1" w:themeTint="BF"/>
                                <w:sz w:val="20"/>
                                <w:szCs w:val="20"/>
                              </w:rPr>
                              <w:t>, including Assessment Field guide provides expanded guidance on the application of the framework].</w:t>
                            </w:r>
                          </w:p>
                          <w:p w14:paraId="3DF09475" w14:textId="77777777" w:rsidR="00D15FD8" w:rsidRPr="001E4E87" w:rsidRDefault="00D15FD8" w:rsidP="002D14C0">
                            <w:pPr>
                              <w:spacing w:line="259" w:lineRule="auto"/>
                              <w:suppressOverlap/>
                              <w:rPr>
                                <w:rFonts w:ascii="Roboto" w:eastAsia="Calibri" w:hAnsi="Roboto" w:cs="Calibri"/>
                                <w:b/>
                                <w:color w:val="404040" w:themeColor="text1" w:themeTint="BF"/>
                                <w:sz w:val="20"/>
                                <w:szCs w:val="20"/>
                              </w:rPr>
                            </w:pPr>
                          </w:p>
                          <w:p w14:paraId="517C1C01" w14:textId="77777777" w:rsidR="00D15FD8" w:rsidRPr="001E4E87" w:rsidRDefault="00D15FD8" w:rsidP="002D14C0">
                            <w:pPr>
                              <w:spacing w:line="259" w:lineRule="auto"/>
                              <w:suppressOverlap/>
                              <w:rPr>
                                <w:rFonts w:ascii="Roboto" w:eastAsia="Calibri" w:hAnsi="Roboto" w:cs="Calibri"/>
                                <w:color w:val="404040" w:themeColor="text1" w:themeTint="BF"/>
                                <w:sz w:val="20"/>
                                <w:szCs w:val="20"/>
                              </w:rPr>
                            </w:pPr>
                            <w:r w:rsidRPr="001E4E87">
                              <w:rPr>
                                <w:rFonts w:ascii="Roboto" w:eastAsia="Calibri" w:hAnsi="Roboto" w:cs="Calibri"/>
                                <w:b/>
                                <w:color w:val="1E9A8C"/>
                                <w:sz w:val="20"/>
                                <w:szCs w:val="20"/>
                              </w:rPr>
                              <w:t>IBP:</w:t>
                            </w:r>
                            <w:r w:rsidRPr="001E4E87">
                              <w:rPr>
                                <w:rFonts w:ascii="Roboto" w:eastAsia="Calibri" w:hAnsi="Roboto" w:cs="Calibri"/>
                                <w:color w:val="1E9A8C"/>
                                <w:sz w:val="20"/>
                                <w:szCs w:val="20"/>
                              </w:rPr>
                              <w:t xml:space="preserve"> </w:t>
                            </w:r>
                            <w:hyperlink r:id="rId135" w:history="1">
                              <w:r w:rsidRPr="001E4E87">
                                <w:rPr>
                                  <w:rStyle w:val="Hyperlink"/>
                                  <w:rFonts w:ascii="Roboto" w:eastAsia="Calibri" w:hAnsi="Roboto" w:cs="Calibri"/>
                                  <w:color w:val="F26C21"/>
                                  <w:sz w:val="20"/>
                                  <w:szCs w:val="20"/>
                                </w:rPr>
                                <w:t>Open Budget Survey</w:t>
                              </w:r>
                            </w:hyperlink>
                            <w:r w:rsidRPr="001E4E87">
                              <w:rPr>
                                <w:rStyle w:val="Hyperlink"/>
                                <w:rFonts w:ascii="Roboto" w:hAnsi="Roboto"/>
                                <w:color w:val="F26C21"/>
                                <w:sz w:val="20"/>
                                <w:szCs w:val="20"/>
                              </w:rPr>
                              <w:t xml:space="preserve"> </w:t>
                            </w:r>
                            <w:r w:rsidRPr="001E4E87">
                              <w:rPr>
                                <w:rFonts w:ascii="Roboto" w:eastAsia="Calibri" w:hAnsi="Roboto" w:cs="Calibri"/>
                                <w:color w:val="404040" w:themeColor="text1" w:themeTint="BF"/>
                                <w:sz w:val="20"/>
                                <w:szCs w:val="20"/>
                              </w:rPr>
                              <w:t>(OBS): Survey asks whether the Executive’s Budget Proposal or any supporting budget documentation presents information on how the proposed budget (both new proposals and existing policies) was linked to government’s policy goals’ for the budget year and for a multi-year period.</w:t>
                            </w:r>
                          </w:p>
                          <w:p w14:paraId="214B217D" w14:textId="77777777" w:rsidR="00D15FD8" w:rsidRPr="001E4E87"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53861" id="Text Box 1917" o:spid="_x0000_s1108" type="#_x0000_t202" style="position:absolute;margin-left:1.8pt;margin-top:10.5pt;width:694.3pt;height:267.25pt;z-index:2536038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" filled="f" stroked="f" strokeweight=".5pt">
                <v:textbox>
                  <w:txbxContent>
                    <w:p w14:paraId="6FF1DD57" w14:textId="77777777" w:rsidR="00D15FD8" w:rsidRPr="001E4E87" w:rsidRDefault="00D15FD8" w:rsidP="002D14C0">
                      <w:pPr>
                        <w:suppressOverlap/>
                        <w:rPr>
                          <w:rFonts w:ascii="Roboto" w:eastAsia="Calibri" w:hAnsi="Roboto" w:cs="Calibri"/>
                          <w:color w:val="404040" w:themeColor="text1" w:themeTint="BF"/>
                          <w:sz w:val="20"/>
                          <w:szCs w:val="20"/>
                        </w:rPr>
                      </w:pPr>
                    </w:p>
                    <w:p w14:paraId="2CC5544F" w14:textId="77777777" w:rsidR="00D15FD8" w:rsidRPr="001E4E87" w:rsidRDefault="00AC4DF7" w:rsidP="00113300">
                      <w:pPr>
                        <w:pStyle w:val="ListParagraph"/>
                        <w:numPr>
                          <w:ilvl w:val="0"/>
                          <w:numId w:val="22"/>
                        </w:numPr>
                        <w:spacing w:line="259" w:lineRule="auto"/>
                        <w:ind w:left="308" w:hanging="308"/>
                        <w:suppressOverlap/>
                        <w:rPr>
                          <w:rFonts w:ascii="Roboto" w:eastAsia="Calibri" w:hAnsi="Roboto" w:cs="Calibri"/>
                          <w:color w:val="404040" w:themeColor="text1" w:themeTint="BF"/>
                          <w:sz w:val="20"/>
                          <w:szCs w:val="20"/>
                        </w:rPr>
                      </w:pPr>
                      <w:hyperlink r:id="rId136" w:history="1">
                        <w:r w:rsidR="00D15FD8" w:rsidRPr="001E4E87">
                          <w:rPr>
                            <w:rStyle w:val="Hyperlink"/>
                            <w:rFonts w:ascii="Roboto" w:eastAsia="Calibri" w:hAnsi="Roboto" w:cs="Calibri"/>
                            <w:bCs/>
                            <w:iCs/>
                            <w:color w:val="F26C21"/>
                            <w:sz w:val="20"/>
                            <w:szCs w:val="20"/>
                          </w:rPr>
                          <w:t>Best Practices for Budget Transparency</w:t>
                        </w:r>
                      </w:hyperlink>
                      <w:r w:rsidR="00D15FD8" w:rsidRPr="001E4E87">
                        <w:rPr>
                          <w:rFonts w:ascii="Roboto" w:eastAsia="Calibri" w:hAnsi="Roboto" w:cs="Calibri"/>
                          <w:bCs/>
                          <w:iCs/>
                          <w:color w:val="F26C21"/>
                          <w:sz w:val="20"/>
                          <w:szCs w:val="20"/>
                        </w:rPr>
                        <w:t xml:space="preserve"> </w:t>
                      </w:r>
                      <w:r w:rsidR="00D15FD8" w:rsidRPr="001E4E87">
                        <w:rPr>
                          <w:rFonts w:ascii="Roboto" w:eastAsia="Calibri" w:hAnsi="Roboto" w:cs="Calibri"/>
                          <w:bCs/>
                          <w:iCs/>
                          <w:color w:val="404040" w:themeColor="text1" w:themeTint="BF"/>
                          <w:sz w:val="20"/>
                          <w:szCs w:val="20"/>
                        </w:rPr>
                        <w:t>(2002): P</w:t>
                      </w:r>
                      <w:r w:rsidR="00D15FD8" w:rsidRPr="001E4E87">
                        <w:rPr>
                          <w:rFonts w:ascii="Roboto" w:eastAsia="Calibri" w:hAnsi="Roboto" w:cs="Calibri"/>
                          <w:bCs/>
                          <w:color w:val="404040" w:themeColor="text1" w:themeTint="BF"/>
                          <w:sz w:val="20"/>
                          <w:szCs w:val="20"/>
                        </w:rPr>
                        <w:t>re-budget report should explicitly state the government’s</w:t>
                      </w:r>
                      <w:r w:rsidR="00D15FD8" w:rsidRPr="001E4E87">
                        <w:rPr>
                          <w:rFonts w:ascii="Roboto" w:eastAsia="Calibri" w:hAnsi="Roboto" w:cs="Calibri"/>
                          <w:color w:val="404040" w:themeColor="text1" w:themeTint="BF"/>
                          <w:sz w:val="20"/>
                          <w:szCs w:val="20"/>
                        </w:rPr>
                        <w:t xml:space="preserve"> long-term economic and fiscal policy objectives and the government’s economic and fiscal policy intentions for the forthcoming budget and, at least, the following two fiscal years’ (section 1.2). </w:t>
                      </w:r>
                    </w:p>
                    <w:p w14:paraId="29401E5C" w14:textId="77777777" w:rsidR="00D15FD8" w:rsidRPr="001E4E87" w:rsidRDefault="00AC4DF7" w:rsidP="00113300">
                      <w:pPr>
                        <w:pStyle w:val="ListParagraph"/>
                        <w:numPr>
                          <w:ilvl w:val="0"/>
                          <w:numId w:val="22"/>
                        </w:numPr>
                        <w:spacing w:line="259" w:lineRule="auto"/>
                        <w:ind w:left="308" w:hanging="308"/>
                        <w:suppressOverlap/>
                        <w:rPr>
                          <w:rFonts w:ascii="Roboto" w:eastAsia="Calibri" w:hAnsi="Roboto" w:cs="Calibri"/>
                          <w:bCs/>
                          <w:color w:val="404040" w:themeColor="text1" w:themeTint="BF"/>
                          <w:sz w:val="20"/>
                          <w:szCs w:val="20"/>
                        </w:rPr>
                      </w:pPr>
                      <w:hyperlink r:id="rId137" w:history="1">
                        <w:r w:rsidR="00D15FD8" w:rsidRPr="001E4E87">
                          <w:rPr>
                            <w:rStyle w:val="Hyperlink"/>
                            <w:rFonts w:ascii="Roboto" w:eastAsia="Calibri" w:hAnsi="Roboto" w:cs="Calibri"/>
                            <w:color w:val="F26C21"/>
                            <w:sz w:val="20"/>
                            <w:szCs w:val="20"/>
                          </w:rPr>
                          <w:t>Budget Transparency Toolkit</w:t>
                        </w:r>
                      </w:hyperlink>
                      <w:r w:rsidR="00D15FD8" w:rsidRPr="001E4E87">
                        <w:rPr>
                          <w:rFonts w:ascii="Roboto" w:eastAsia="Calibri" w:hAnsi="Roboto" w:cs="Calibri"/>
                          <w:color w:val="F26C21"/>
                          <w:sz w:val="20"/>
                          <w:szCs w:val="20"/>
                        </w:rPr>
                        <w:t xml:space="preserve"> </w:t>
                      </w:r>
                      <w:r w:rsidR="00D15FD8" w:rsidRPr="001E4E87">
                        <w:rPr>
                          <w:rFonts w:ascii="Roboto" w:eastAsia="Calibri" w:hAnsi="Roboto" w:cs="Calibri"/>
                          <w:color w:val="404040" w:themeColor="text1" w:themeTint="BF"/>
                          <w:sz w:val="20"/>
                          <w:szCs w:val="20"/>
                        </w:rPr>
                        <w:t>(2017): T</w:t>
                      </w:r>
                      <w:r w:rsidR="00D15FD8" w:rsidRPr="001E4E87">
                        <w:rPr>
                          <w:rFonts w:ascii="Roboto" w:eastAsia="Calibri" w:hAnsi="Roboto" w:cs="Calibri"/>
                          <w:bCs/>
                          <w:color w:val="404040" w:themeColor="text1" w:themeTint="BF"/>
                          <w:sz w:val="20"/>
                          <w:szCs w:val="20"/>
                        </w:rPr>
                        <w:t>opics on the content of a pre-budget statement and the main budget relating to the government’s fiscal strategies, as well as a long-term report and reporting on fiscal risks (section A).</w:t>
                      </w:r>
                    </w:p>
                    <w:p w14:paraId="1BD98A16" w14:textId="77777777" w:rsidR="00D15FD8" w:rsidRPr="001E4E87" w:rsidRDefault="00D15FD8" w:rsidP="002D14C0">
                      <w:pPr>
                        <w:pStyle w:val="ListParagraph"/>
                        <w:spacing w:line="259" w:lineRule="auto"/>
                        <w:ind w:left="308"/>
                        <w:suppressOverlap/>
                        <w:rPr>
                          <w:rFonts w:ascii="Roboto" w:eastAsia="Calibri" w:hAnsi="Roboto" w:cs="Calibri"/>
                          <w:bCs/>
                          <w:color w:val="404040" w:themeColor="text1" w:themeTint="BF"/>
                          <w:sz w:val="20"/>
                          <w:szCs w:val="20"/>
                        </w:rPr>
                      </w:pPr>
                    </w:p>
                    <w:p w14:paraId="03933F98" w14:textId="77777777" w:rsidR="00D15FD8" w:rsidRPr="001E4E87" w:rsidRDefault="00D15FD8" w:rsidP="002D14C0">
                      <w:pPr>
                        <w:spacing w:line="259" w:lineRule="auto"/>
                        <w:suppressOverlap/>
                        <w:rPr>
                          <w:rFonts w:ascii="Roboto" w:eastAsia="Calibri" w:hAnsi="Roboto" w:cs="Calibri"/>
                          <w:b/>
                          <w:bCs/>
                          <w:color w:val="1E9A8C"/>
                          <w:sz w:val="20"/>
                          <w:szCs w:val="20"/>
                          <w:u w:val="single"/>
                        </w:rPr>
                      </w:pPr>
                      <w:r w:rsidRPr="001E4E87">
                        <w:rPr>
                          <w:rFonts w:ascii="Roboto" w:eastAsia="Calibri" w:hAnsi="Roboto" w:cs="Calibri"/>
                          <w:b/>
                          <w:bCs/>
                          <w:color w:val="1E9A8C"/>
                          <w:sz w:val="20"/>
                          <w:szCs w:val="20"/>
                          <w:u w:val="single"/>
                        </w:rPr>
                        <w:t>Assessment frameworks:</w:t>
                      </w:r>
                    </w:p>
                    <w:p w14:paraId="42FB5647" w14:textId="77777777" w:rsidR="00D15FD8" w:rsidRPr="001E4E87" w:rsidRDefault="00D15FD8" w:rsidP="002D14C0">
                      <w:pPr>
                        <w:spacing w:line="259" w:lineRule="auto"/>
                        <w:suppressOverlap/>
                        <w:rPr>
                          <w:rFonts w:ascii="Roboto" w:eastAsia="Calibri" w:hAnsi="Roboto" w:cs="Calibri"/>
                          <w:b/>
                          <w:bCs/>
                          <w:color w:val="404040" w:themeColor="text1" w:themeTint="BF"/>
                          <w:sz w:val="20"/>
                          <w:szCs w:val="20"/>
                          <w:u w:val="single"/>
                        </w:rPr>
                      </w:pPr>
                    </w:p>
                    <w:p w14:paraId="3F29B424" w14:textId="77777777" w:rsidR="00D15FD8" w:rsidRPr="001E4E87" w:rsidRDefault="00D15FD8" w:rsidP="002D14C0">
                      <w:pPr>
                        <w:spacing w:line="259" w:lineRule="auto"/>
                        <w:suppressOverlap/>
                        <w:rPr>
                          <w:rFonts w:ascii="Roboto" w:eastAsia="Calibri" w:hAnsi="Roboto" w:cs="Calibri"/>
                          <w:color w:val="404040" w:themeColor="text1" w:themeTint="BF"/>
                          <w:sz w:val="20"/>
                          <w:szCs w:val="20"/>
                        </w:rPr>
                      </w:pPr>
                      <w:r w:rsidRPr="001E4E87">
                        <w:rPr>
                          <w:rFonts w:ascii="Roboto" w:eastAsia="Calibri" w:hAnsi="Roboto" w:cs="Calibri"/>
                          <w:b/>
                          <w:bCs/>
                          <w:color w:val="1E9A8C"/>
                          <w:sz w:val="20"/>
                          <w:szCs w:val="20"/>
                        </w:rPr>
                        <w:t xml:space="preserve">PEFA: </w:t>
                      </w:r>
                      <w:hyperlink r:id="rId138" w:history="1">
                        <w:r w:rsidRPr="001E4E87">
                          <w:rPr>
                            <w:rStyle w:val="Hyperlink"/>
                            <w:rFonts w:ascii="Roboto" w:eastAsia="Calibri" w:hAnsi="Roboto" w:cs="Calibri"/>
                            <w:color w:val="F26C21"/>
                            <w:sz w:val="20"/>
                            <w:szCs w:val="20"/>
                          </w:rPr>
                          <w:t>Framework for assessing public financial management</w:t>
                        </w:r>
                      </w:hyperlink>
                      <w:r w:rsidRPr="001E4E87">
                        <w:rPr>
                          <w:rFonts w:ascii="Roboto" w:eastAsia="Calibri" w:hAnsi="Roboto" w:cs="Calibri"/>
                          <w:color w:val="F26C21"/>
                          <w:sz w:val="20"/>
                          <w:szCs w:val="20"/>
                        </w:rPr>
                        <w:t xml:space="preserve"> </w:t>
                      </w:r>
                      <w:r w:rsidRPr="001E4E87">
                        <w:rPr>
                          <w:rFonts w:ascii="Roboto" w:eastAsia="Calibri" w:hAnsi="Roboto" w:cs="Calibri"/>
                          <w:color w:val="404040" w:themeColor="text1" w:themeTint="BF"/>
                          <w:sz w:val="20"/>
                          <w:szCs w:val="20"/>
                        </w:rPr>
                        <w:t xml:space="preserve">(2016): </w:t>
                      </w:r>
                      <w:r w:rsidRPr="001E4E87">
                        <w:rPr>
                          <w:rFonts w:ascii="Roboto" w:eastAsia="Calibri" w:hAnsi="Roboto" w:cs="Calibri"/>
                          <w:bCs/>
                          <w:color w:val="404040" w:themeColor="text1" w:themeTint="BF"/>
                          <w:sz w:val="20"/>
                          <w:szCs w:val="20"/>
                        </w:rPr>
                        <w:t xml:space="preserve">Indicators </w:t>
                      </w:r>
                      <w:r w:rsidRPr="001E4E87">
                        <w:rPr>
                          <w:rFonts w:ascii="Roboto" w:eastAsia="Calibri" w:hAnsi="Roboto" w:cs="Calibri"/>
                          <w:color w:val="404040" w:themeColor="text1" w:themeTint="BF"/>
                          <w:sz w:val="20"/>
                          <w:szCs w:val="20"/>
                        </w:rPr>
                        <w:t>assess the extent to which government prepares a fiscal strategy that sets out fiscal objectives for at least the budget year and the two following fiscal years; and whether government makes available—as part of the annual budget documentation submitted to the legislature—an assessment of its achievements against its stated fiscal objectives and targets. The assessment should also include an explanation of any deviations from the approved objectives and targets as well as proposed corrective actions. [</w:t>
                      </w:r>
                      <w:hyperlink r:id="rId139" w:history="1">
                        <w:r w:rsidRPr="001E4E87">
                          <w:rPr>
                            <w:rStyle w:val="Hyperlink"/>
                            <w:rFonts w:ascii="Roboto" w:eastAsia="Calibri" w:hAnsi="Roboto" w:cs="Calibri"/>
                            <w:color w:val="F26C21"/>
                            <w:sz w:val="20"/>
                            <w:szCs w:val="20"/>
                          </w:rPr>
                          <w:t>Handbook</w:t>
                        </w:r>
                      </w:hyperlink>
                      <w:r w:rsidRPr="001E4E87">
                        <w:rPr>
                          <w:rFonts w:ascii="Roboto" w:eastAsia="Calibri" w:hAnsi="Roboto" w:cs="Calibri"/>
                          <w:color w:val="404040" w:themeColor="text1" w:themeTint="BF"/>
                          <w:sz w:val="20"/>
                          <w:szCs w:val="20"/>
                        </w:rPr>
                        <w:t>, including Assessment Field guide provides expanded guidance on the application of the framework].</w:t>
                      </w:r>
                    </w:p>
                    <w:p w14:paraId="3DF09475" w14:textId="77777777" w:rsidR="00D15FD8" w:rsidRPr="001E4E87" w:rsidRDefault="00D15FD8" w:rsidP="002D14C0">
                      <w:pPr>
                        <w:spacing w:line="259" w:lineRule="auto"/>
                        <w:suppressOverlap/>
                        <w:rPr>
                          <w:rFonts w:ascii="Roboto" w:eastAsia="Calibri" w:hAnsi="Roboto" w:cs="Calibri"/>
                          <w:b/>
                          <w:color w:val="404040" w:themeColor="text1" w:themeTint="BF"/>
                          <w:sz w:val="20"/>
                          <w:szCs w:val="20"/>
                        </w:rPr>
                      </w:pPr>
                    </w:p>
                    <w:p w14:paraId="517C1C01" w14:textId="77777777" w:rsidR="00D15FD8" w:rsidRPr="001E4E87" w:rsidRDefault="00D15FD8" w:rsidP="002D14C0">
                      <w:pPr>
                        <w:spacing w:line="259" w:lineRule="auto"/>
                        <w:suppressOverlap/>
                        <w:rPr>
                          <w:rFonts w:ascii="Roboto" w:eastAsia="Calibri" w:hAnsi="Roboto" w:cs="Calibri"/>
                          <w:color w:val="404040" w:themeColor="text1" w:themeTint="BF"/>
                          <w:sz w:val="20"/>
                          <w:szCs w:val="20"/>
                        </w:rPr>
                      </w:pPr>
                      <w:r w:rsidRPr="001E4E87">
                        <w:rPr>
                          <w:rFonts w:ascii="Roboto" w:eastAsia="Calibri" w:hAnsi="Roboto" w:cs="Calibri"/>
                          <w:b/>
                          <w:color w:val="1E9A8C"/>
                          <w:sz w:val="20"/>
                          <w:szCs w:val="20"/>
                        </w:rPr>
                        <w:t>IBP:</w:t>
                      </w:r>
                      <w:r w:rsidRPr="001E4E87">
                        <w:rPr>
                          <w:rFonts w:ascii="Roboto" w:eastAsia="Calibri" w:hAnsi="Roboto" w:cs="Calibri"/>
                          <w:color w:val="1E9A8C"/>
                          <w:sz w:val="20"/>
                          <w:szCs w:val="20"/>
                        </w:rPr>
                        <w:t xml:space="preserve"> </w:t>
                      </w:r>
                      <w:hyperlink r:id="rId140" w:history="1">
                        <w:r w:rsidRPr="001E4E87">
                          <w:rPr>
                            <w:rStyle w:val="Hyperlink"/>
                            <w:rFonts w:ascii="Roboto" w:eastAsia="Calibri" w:hAnsi="Roboto" w:cs="Calibri"/>
                            <w:color w:val="F26C21"/>
                            <w:sz w:val="20"/>
                            <w:szCs w:val="20"/>
                          </w:rPr>
                          <w:t>Open Budget Survey</w:t>
                        </w:r>
                      </w:hyperlink>
                      <w:r w:rsidRPr="001E4E87">
                        <w:rPr>
                          <w:rStyle w:val="Hyperlink"/>
                          <w:rFonts w:ascii="Roboto" w:hAnsi="Roboto"/>
                          <w:color w:val="F26C21"/>
                          <w:sz w:val="20"/>
                          <w:szCs w:val="20"/>
                        </w:rPr>
                        <w:t xml:space="preserve"> </w:t>
                      </w:r>
                      <w:r w:rsidRPr="001E4E87">
                        <w:rPr>
                          <w:rFonts w:ascii="Roboto" w:eastAsia="Calibri" w:hAnsi="Roboto" w:cs="Calibri"/>
                          <w:color w:val="404040" w:themeColor="text1" w:themeTint="BF"/>
                          <w:sz w:val="20"/>
                          <w:szCs w:val="20"/>
                        </w:rPr>
                        <w:t>(OBS): Survey asks whether the Executive’s Budget Proposal or any supporting budget documentation presents information on how the proposed budget (both new proposals and existing policies) was linked to government’s policy goals’ for the budget year and for a multi-year period.</w:t>
                      </w:r>
                    </w:p>
                    <w:p w14:paraId="214B217D" w14:textId="77777777" w:rsidR="00D15FD8" w:rsidRPr="001E4E87" w:rsidRDefault="00D15FD8" w:rsidP="002D14C0">
                      <w:pPr>
                        <w:rPr>
                          <w:rFonts w:ascii="Roboto" w:hAnsi="Roboto"/>
                          <w:sz w:val="20"/>
                          <w:szCs w:val="20"/>
                        </w:rPr>
                      </w:pPr>
                    </w:p>
                  </w:txbxContent>
                </v:textbox>
                <w10:wrap anchorx="margin"/>
              </v:shape>
            </w:pict>
          </mc:Fallback>
        </mc:AlternateContent>
      </w:r>
    </w:p>
    <w:p w14:paraId="01FD55D1" w14:textId="599F0A20" w:rsidR="00203FAB" w:rsidRPr="001E4E87" w:rsidRDefault="0053337F" w:rsidP="002D14C0">
      <w:pPr>
        <w:rPr>
          <w:rFonts w:ascii="Roboto" w:hAnsi="Roboto"/>
        </w:rPr>
      </w:pPr>
      <w:r>
        <w:rPr>
          <w:rFonts w:ascii="Arial" w:hAnsi="Arial" w:cs="Arial"/>
          <w:noProof/>
          <w:sz w:val="24"/>
          <w:szCs w:val="24"/>
          <w:lang w:val="en-US"/>
        </w:rPr>
        <mc:AlternateContent>
          <mc:Choice Requires="wps">
            <w:drawing>
              <wp:anchor distT="0" distB="0" distL="114300" distR="114300" simplePos="0" relativeHeight="255171582" behindDoc="1" locked="0" layoutInCell="1" allowOverlap="1" wp14:anchorId="42CA5489" wp14:editId="5073ED4D">
                <wp:simplePos x="0" y="0"/>
                <wp:positionH relativeFrom="margin">
                  <wp:align>center</wp:align>
                </wp:positionH>
                <wp:positionV relativeFrom="margin">
                  <wp:align>center</wp:align>
                </wp:positionV>
                <wp:extent cx="9856189" cy="5969000"/>
                <wp:effectExtent l="12700" t="12700" r="12065" b="12700"/>
                <wp:wrapNone/>
                <wp:docPr id="2755" name="Rectangle 2755"/>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532AB8C0" id="Rectangle 2755" o:spid="_x0000_s1026" style="position:absolute;margin-left:0;margin-top:0;width:776.1pt;height:470pt;z-index:-24814489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6ED1DEFB" w14:textId="608BB288" w:rsidR="00203FAB" w:rsidRPr="001E4E87" w:rsidRDefault="00203FAB" w:rsidP="002D14C0">
      <w:pPr>
        <w:rPr>
          <w:rFonts w:ascii="Roboto" w:hAnsi="Roboto"/>
        </w:rPr>
      </w:pPr>
    </w:p>
    <w:p w14:paraId="04643BE6" w14:textId="5A0C6062" w:rsidR="00203FAB" w:rsidRPr="001E4E87" w:rsidRDefault="00203FAB" w:rsidP="002D14C0">
      <w:pPr>
        <w:rPr>
          <w:rFonts w:ascii="Roboto" w:hAnsi="Roboto"/>
        </w:rPr>
      </w:pPr>
    </w:p>
    <w:p w14:paraId="145AA293" w14:textId="6FE21E93" w:rsidR="00203FAB" w:rsidRPr="001E4E87" w:rsidRDefault="00203FAB" w:rsidP="002D14C0">
      <w:pPr>
        <w:rPr>
          <w:rFonts w:ascii="Roboto" w:hAnsi="Roboto"/>
        </w:rPr>
      </w:pPr>
    </w:p>
    <w:p w14:paraId="741BA7D5" w14:textId="78A26B09" w:rsidR="00203FAB" w:rsidRPr="001E4E87" w:rsidRDefault="00203FAB" w:rsidP="002D14C0">
      <w:pPr>
        <w:rPr>
          <w:rFonts w:ascii="Roboto" w:hAnsi="Roboto"/>
        </w:rPr>
      </w:pPr>
    </w:p>
    <w:p w14:paraId="64028CB0" w14:textId="786B6A5D" w:rsidR="00203FAB" w:rsidRPr="001E4E87" w:rsidRDefault="00203FAB" w:rsidP="002D14C0">
      <w:pPr>
        <w:rPr>
          <w:rFonts w:ascii="Roboto" w:hAnsi="Roboto"/>
        </w:rPr>
      </w:pPr>
    </w:p>
    <w:p w14:paraId="50DC34F2" w14:textId="77777777" w:rsidR="00203FAB" w:rsidRPr="001E4E87" w:rsidRDefault="00203FAB" w:rsidP="002D14C0">
      <w:pPr>
        <w:rPr>
          <w:rFonts w:ascii="Roboto" w:hAnsi="Roboto"/>
        </w:rPr>
      </w:pPr>
    </w:p>
    <w:p w14:paraId="2AE80F2B" w14:textId="26A29FFA" w:rsidR="00203FAB" w:rsidRPr="001E4E87" w:rsidRDefault="00203FAB" w:rsidP="002D14C0">
      <w:pPr>
        <w:rPr>
          <w:rFonts w:ascii="Roboto" w:hAnsi="Roboto"/>
        </w:rPr>
      </w:pPr>
    </w:p>
    <w:p w14:paraId="239AA3A3" w14:textId="3CCEEE6C" w:rsidR="00203FAB" w:rsidRPr="001E4E87" w:rsidRDefault="00203FAB" w:rsidP="002D14C0">
      <w:pPr>
        <w:rPr>
          <w:rFonts w:ascii="Roboto" w:hAnsi="Roboto"/>
        </w:rPr>
      </w:pPr>
    </w:p>
    <w:p w14:paraId="7E8474D6" w14:textId="77777777" w:rsidR="00203FAB" w:rsidRPr="001E4E87" w:rsidRDefault="00203FAB" w:rsidP="002D14C0">
      <w:pPr>
        <w:rPr>
          <w:rFonts w:ascii="Roboto" w:hAnsi="Roboto"/>
        </w:rPr>
      </w:pPr>
    </w:p>
    <w:p w14:paraId="3A8320AA" w14:textId="77777777" w:rsidR="00203FAB" w:rsidRPr="001E4E87" w:rsidRDefault="00203FAB" w:rsidP="002D14C0">
      <w:pPr>
        <w:rPr>
          <w:rFonts w:ascii="Roboto" w:hAnsi="Roboto"/>
        </w:rPr>
      </w:pPr>
    </w:p>
    <w:p w14:paraId="5388FB63" w14:textId="77777777" w:rsidR="00203FAB" w:rsidRPr="001E4E87" w:rsidRDefault="00203FAB" w:rsidP="002D14C0">
      <w:pPr>
        <w:rPr>
          <w:rFonts w:ascii="Roboto" w:hAnsi="Roboto"/>
        </w:rPr>
      </w:pPr>
    </w:p>
    <w:p w14:paraId="4920F8CE" w14:textId="2C3F55AE" w:rsidR="00203FAB" w:rsidRPr="001E4E87" w:rsidRDefault="00203FAB" w:rsidP="002D14C0">
      <w:pPr>
        <w:rPr>
          <w:rFonts w:ascii="Roboto" w:hAnsi="Roboto"/>
        </w:rPr>
      </w:pPr>
    </w:p>
    <w:p w14:paraId="10F5C9A3" w14:textId="14C6B3C1" w:rsidR="00203FAB" w:rsidRPr="001E4E87" w:rsidRDefault="003A742D"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41566" behindDoc="0" locked="0" layoutInCell="1" allowOverlap="1" wp14:anchorId="4DDD38DB" wp14:editId="0D11E1C9">
                <wp:simplePos x="0" y="0"/>
                <wp:positionH relativeFrom="column">
                  <wp:posOffset>-3610610</wp:posOffset>
                </wp:positionH>
                <wp:positionV relativeFrom="paragraph">
                  <wp:posOffset>444500</wp:posOffset>
                </wp:positionV>
                <wp:extent cx="5976620" cy="252095"/>
                <wp:effectExtent l="0" t="0" r="0" b="0"/>
                <wp:wrapNone/>
                <wp:docPr id="119" name="Text Box 119"/>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089A5615" w14:textId="6AAA1BE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DD38DB" id="Text Box 119" o:spid="_x0000_s1109" type="#_x0000_t202" style="position:absolute;margin-left:-284.3pt;margin-top:35pt;width:470.6pt;height:19.85pt;rotation:90;z-index:2553415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" filled="f" stroked="f" strokeweight=".5pt">
                <v:textbox>
                  <w:txbxContent>
                    <w:p w14:paraId="089A5615" w14:textId="6AAA1BE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31</w:t>
                      </w:r>
                    </w:p>
                  </w:txbxContent>
                </v:textbox>
              </v:shape>
            </w:pict>
          </mc:Fallback>
        </mc:AlternateContent>
      </w:r>
    </w:p>
    <w:p w14:paraId="40451AAD" w14:textId="617F9619" w:rsidR="00203FAB" w:rsidRPr="001E4E87" w:rsidRDefault="00203FAB" w:rsidP="002D14C0">
      <w:pPr>
        <w:rPr>
          <w:rFonts w:ascii="Roboto" w:hAnsi="Roboto"/>
        </w:rPr>
      </w:pPr>
    </w:p>
    <w:p w14:paraId="361D3BFC" w14:textId="43A63443" w:rsidR="00203FAB" w:rsidRPr="001E4E87" w:rsidRDefault="003A742D"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40542" behindDoc="0" locked="0" layoutInCell="1" allowOverlap="1" wp14:anchorId="5785601D" wp14:editId="3DC9CB95">
                <wp:simplePos x="0" y="0"/>
                <wp:positionH relativeFrom="column">
                  <wp:posOffset>6517958</wp:posOffset>
                </wp:positionH>
                <wp:positionV relativeFrom="paragraph">
                  <wp:posOffset>123836</wp:posOffset>
                </wp:positionV>
                <wp:extent cx="5977200" cy="252096"/>
                <wp:effectExtent l="4762" t="0" r="0" b="0"/>
                <wp:wrapNone/>
                <wp:docPr id="118" name="Text Box 118"/>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1A3B751D" w14:textId="59F5028E"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4981433"/>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7608A117"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85601D" id="Text Box 118" o:spid="_x0000_s1110" type="#_x0000_t202" style="position:absolute;margin-left:513.25pt;margin-top:9.75pt;width:470.65pt;height:19.85pt;rotation:90;z-index:2553405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" fillcolor="white [3201]" stroked="f" strokeweight=".5pt">
                <v:textbox>
                  <w:txbxContent>
                    <w:p w14:paraId="1A3B751D" w14:textId="59F5028E"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4981433"/>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7608A117" w14:textId="77777777" w:rsidR="00D15FD8" w:rsidRDefault="00D15FD8" w:rsidP="003D7CCB"/>
                  </w:txbxContent>
                </v:textbox>
              </v:shape>
            </w:pict>
          </mc:Fallback>
        </mc:AlternateContent>
      </w:r>
    </w:p>
    <w:p w14:paraId="1A9303EC" w14:textId="0479AF55" w:rsidR="00203FAB" w:rsidRPr="001E4E87" w:rsidRDefault="00203FAB" w:rsidP="002D14C0">
      <w:pPr>
        <w:rPr>
          <w:rFonts w:ascii="Roboto" w:hAnsi="Roboto"/>
        </w:rPr>
      </w:pPr>
    </w:p>
    <w:p w14:paraId="150A3241" w14:textId="708EB7C0" w:rsidR="00203FAB" w:rsidRDefault="00203FAB" w:rsidP="002D14C0">
      <w:pPr>
        <w:tabs>
          <w:tab w:val="left" w:pos="1334"/>
        </w:tabs>
        <w:rPr>
          <w:rFonts w:ascii="Roboto" w:hAnsi="Roboto"/>
        </w:rPr>
      </w:pPr>
      <w:r>
        <w:rPr>
          <w:rFonts w:ascii="Roboto" w:hAnsi="Roboto"/>
        </w:rPr>
        <w:tab/>
      </w:r>
    </w:p>
    <w:p w14:paraId="2E2C248E" w14:textId="07795847" w:rsidR="00E74316" w:rsidRDefault="00E74316" w:rsidP="002D14C0">
      <w:pPr>
        <w:tabs>
          <w:tab w:val="left" w:pos="1334"/>
        </w:tabs>
        <w:rPr>
          <w:rFonts w:ascii="Roboto" w:hAnsi="Roboto"/>
        </w:rPr>
      </w:pPr>
    </w:p>
    <w:p w14:paraId="2DCA4C64" w14:textId="76C70426" w:rsidR="00E74316" w:rsidRDefault="00E74316" w:rsidP="002D14C0">
      <w:pPr>
        <w:tabs>
          <w:tab w:val="left" w:pos="1334"/>
        </w:tabs>
        <w:rPr>
          <w:rFonts w:ascii="Roboto" w:hAnsi="Roboto"/>
        </w:rPr>
      </w:pPr>
    </w:p>
    <w:p w14:paraId="175313E4" w14:textId="66DEA2A5" w:rsidR="00E74316" w:rsidRDefault="00E74316" w:rsidP="002D14C0">
      <w:pPr>
        <w:tabs>
          <w:tab w:val="left" w:pos="1334"/>
        </w:tabs>
        <w:rPr>
          <w:rFonts w:ascii="Roboto" w:hAnsi="Roboto"/>
        </w:rPr>
      </w:pPr>
    </w:p>
    <w:p w14:paraId="33D26873" w14:textId="081B39B9" w:rsidR="00E94948" w:rsidRDefault="00E94948" w:rsidP="002D14C0">
      <w:pPr>
        <w:tabs>
          <w:tab w:val="left" w:pos="1334"/>
        </w:tabs>
        <w:rPr>
          <w:rFonts w:ascii="Roboto" w:hAnsi="Roboto"/>
        </w:rPr>
      </w:pPr>
    </w:p>
    <w:p w14:paraId="4694C2DB" w14:textId="5B9A8874" w:rsidR="00E94948" w:rsidRDefault="00E94948" w:rsidP="002D14C0">
      <w:pPr>
        <w:tabs>
          <w:tab w:val="left" w:pos="1334"/>
        </w:tabs>
        <w:rPr>
          <w:rFonts w:ascii="Roboto" w:hAnsi="Roboto"/>
        </w:rPr>
      </w:pPr>
    </w:p>
    <w:p w14:paraId="2C45A75A" w14:textId="6EDF6124" w:rsidR="005668D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39870" behindDoc="0" locked="0" layoutInCell="1" allowOverlap="1" wp14:anchorId="350ED7A1" wp14:editId="4885CDDA">
                <wp:simplePos x="0" y="0"/>
                <wp:positionH relativeFrom="column">
                  <wp:posOffset>5474525</wp:posOffset>
                </wp:positionH>
                <wp:positionV relativeFrom="paragraph">
                  <wp:posOffset>1949293</wp:posOffset>
                </wp:positionV>
                <wp:extent cx="3878317" cy="398599"/>
                <wp:effectExtent l="0" t="0" r="8255" b="1905"/>
                <wp:wrapNone/>
                <wp:docPr id="372" name="Rectangle 372"/>
                <wp:cNvGraphicFramePr/>
                <a:graphic xmlns:a="http://schemas.openxmlformats.org/drawingml/2006/main">
                  <a:graphicData uri="http://schemas.microsoft.com/office/word/2010/wordprocessingShape">
                    <wps:wsp>
                      <wps:cNvSpPr/>
                      <wps:spPr>
                        <a:xfrm>
                          <a:off x="0" y="0"/>
                          <a:ext cx="3878317" cy="39859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24FEF044" id="Rectangle 372" o:spid="_x0000_s1026" style="position:absolute;margin-left:431.05pt;margin-top:153.5pt;width:305.4pt;height:31.4pt;z-index:2554398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" fillcolor="white [3212]" stroked="f" strokeweight="1pt"/>
            </w:pict>
          </mc:Fallback>
        </mc:AlternateContent>
      </w:r>
      <w:r w:rsidR="005668DD">
        <w:rPr>
          <w:rFonts w:ascii="Roboto" w:hAnsi="Roboto"/>
        </w:rPr>
        <w:br w:type="page"/>
      </w:r>
    </w:p>
    <w:p w14:paraId="6E48814A" w14:textId="0A9E95FF" w:rsidR="00A47F45" w:rsidRDefault="009918CC">
      <w:pPr>
        <w:spacing w:after="160" w:line="259" w:lineRule="auto"/>
        <w:rPr>
          <w:rFonts w:ascii="Roboto" w:hAnsi="Roboto"/>
        </w:rPr>
      </w:pPr>
      <w:r>
        <w:rPr>
          <w:rFonts w:ascii="Roboto" w:hAnsi="Roboto"/>
          <w:noProof/>
          <w:lang w:val="en-US"/>
        </w:rPr>
        <w:lastRenderedPageBreak/>
        <mc:AlternateContent>
          <mc:Choice Requires="wps">
            <w:drawing>
              <wp:anchor distT="0" distB="0" distL="114300" distR="114300" simplePos="0" relativeHeight="255441918" behindDoc="0" locked="0" layoutInCell="1" allowOverlap="1" wp14:anchorId="42721EB0" wp14:editId="23F91E08">
                <wp:simplePos x="0" y="0"/>
                <wp:positionH relativeFrom="column">
                  <wp:posOffset>-257503</wp:posOffset>
                </wp:positionH>
                <wp:positionV relativeFrom="paragraph">
                  <wp:posOffset>-478768</wp:posOffset>
                </wp:positionV>
                <wp:extent cx="3878317" cy="268014"/>
                <wp:effectExtent l="0" t="0" r="0" b="0"/>
                <wp:wrapNone/>
                <wp:docPr id="373" name="Rectangle 373"/>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5D144EA8" id="Rectangle 373" o:spid="_x0000_s1026" style="position:absolute;margin-left:-20.3pt;margin-top:-37.7pt;width:305.4pt;height:21.1pt;z-index:2554419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" fillcolor="white [3212]" stroked="f" strokeweight="1pt"/>
            </w:pict>
          </mc:Fallback>
        </mc:AlternateContent>
      </w:r>
      <w:r w:rsidR="00A47F45">
        <w:rPr>
          <w:rFonts w:ascii="Roboto" w:hAnsi="Roboto"/>
          <w:noProof/>
          <w:lang w:val="en-US"/>
        </w:rPr>
        <w:drawing>
          <wp:anchor distT="0" distB="0" distL="114300" distR="114300" simplePos="0" relativeHeight="254734845" behindDoc="1" locked="0" layoutInCell="1" allowOverlap="1" wp14:anchorId="78A9EB38" wp14:editId="3C20971F">
            <wp:simplePos x="0" y="0"/>
            <wp:positionH relativeFrom="column">
              <wp:posOffset>-25400</wp:posOffset>
            </wp:positionH>
            <wp:positionV relativeFrom="paragraph">
              <wp:posOffset>12700</wp:posOffset>
            </wp:positionV>
            <wp:extent cx="3062161" cy="612000"/>
            <wp:effectExtent l="0" t="0" r="0" b="0"/>
            <wp:wrapNone/>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3_Icon_titles_quarterof1920-01.png"/>
                    <pic:cNvPicPr/>
                  </pic:nvPicPr>
                  <pic:blipFill>
                    <a:blip r:embed="rId141" cstate="email">
                      <a:extLst>
                        <a:ext uri="{28A0092B-C50C-407E-A947-70E740481C1C}">
                          <a14:useLocalDpi xmlns:a14="http://schemas.microsoft.com/office/drawing/2010/main"/>
                        </a:ext>
                      </a:extLst>
                    </a:blip>
                    <a:stretch>
                      <a:fillRect/>
                    </a:stretch>
                  </pic:blipFill>
                  <pic:spPr>
                    <a:xfrm>
                      <a:off x="0" y="0"/>
                      <a:ext cx="3062161" cy="612000"/>
                    </a:xfrm>
                    <a:prstGeom prst="rect">
                      <a:avLst/>
                    </a:prstGeom>
                  </pic:spPr>
                </pic:pic>
              </a:graphicData>
            </a:graphic>
            <wp14:sizeRelH relativeFrom="page">
              <wp14:pctWidth>0</wp14:pctWidth>
            </wp14:sizeRelH>
            <wp14:sizeRelV relativeFrom="page">
              <wp14:pctHeight>0</wp14:pctHeight>
            </wp14:sizeRelV>
          </wp:anchor>
        </w:drawing>
      </w:r>
      <w:r w:rsidR="00A47F45">
        <w:rPr>
          <w:rFonts w:ascii="Arial" w:hAnsi="Arial" w:cs="Arial"/>
          <w:noProof/>
          <w:sz w:val="24"/>
          <w:szCs w:val="24"/>
          <w:lang w:val="en-US"/>
        </w:rPr>
        <mc:AlternateContent>
          <mc:Choice Requires="wps">
            <w:drawing>
              <wp:anchor distT="0" distB="0" distL="114300" distR="114300" simplePos="0" relativeHeight="254730238" behindDoc="1" locked="0" layoutInCell="1" allowOverlap="1" wp14:anchorId="55562C50" wp14:editId="01D23F9D">
                <wp:simplePos x="0" y="0"/>
                <wp:positionH relativeFrom="margin">
                  <wp:align>center</wp:align>
                </wp:positionH>
                <wp:positionV relativeFrom="margin">
                  <wp:align>center</wp:align>
                </wp:positionV>
                <wp:extent cx="9856189" cy="5969000"/>
                <wp:effectExtent l="12700" t="12700" r="12065" b="12700"/>
                <wp:wrapNone/>
                <wp:docPr id="2587" name="Rectangle 2587"/>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21BFAECC" id="Rectangle 2587" o:spid="_x0000_s1026" style="position:absolute;margin-left:0;margin-top:0;width:776.1pt;height:470pt;z-index:-24858624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7E677BB9" w14:textId="77777777" w:rsidR="00A47F45" w:rsidRDefault="00A47F45">
      <w:pPr>
        <w:spacing w:after="160" w:line="259" w:lineRule="auto"/>
        <w:rPr>
          <w:rFonts w:ascii="Roboto" w:hAnsi="Roboto"/>
        </w:rPr>
      </w:pPr>
    </w:p>
    <w:p w14:paraId="153E2FD4" w14:textId="528AC30C" w:rsidR="00203FAB" w:rsidRDefault="0096122F" w:rsidP="002D14C0">
      <w:pPr>
        <w:rPr>
          <w:rFonts w:ascii="Roboto" w:hAnsi="Roboto"/>
        </w:rPr>
      </w:pPr>
      <w:r w:rsidRPr="00764695">
        <w:rPr>
          <w:rFonts w:ascii="Roboto" w:hAnsi="Roboto"/>
          <w:noProof/>
          <w:lang w:val="en-US"/>
        </w:rPr>
        <mc:AlternateContent>
          <mc:Choice Requires="wps">
            <w:drawing>
              <wp:anchor distT="0" distB="0" distL="114300" distR="114300" simplePos="0" relativeHeight="253605373" behindDoc="0" locked="0" layoutInCell="1" allowOverlap="1" wp14:anchorId="218B3BEC" wp14:editId="77FD5412">
                <wp:simplePos x="0" y="0"/>
                <wp:positionH relativeFrom="column">
                  <wp:posOffset>0</wp:posOffset>
                </wp:positionH>
                <wp:positionV relativeFrom="paragraph">
                  <wp:posOffset>85090</wp:posOffset>
                </wp:positionV>
                <wp:extent cx="8737600" cy="951865"/>
                <wp:effectExtent l="0" t="0" r="0" b="0"/>
                <wp:wrapNone/>
                <wp:docPr id="1918" name="Text Box 1918"/>
                <wp:cNvGraphicFramePr/>
                <a:graphic xmlns:a="http://schemas.openxmlformats.org/drawingml/2006/main">
                  <a:graphicData uri="http://schemas.microsoft.com/office/word/2010/wordprocessingShape">
                    <wps:wsp>
                      <wps:cNvSpPr txBox="1"/>
                      <wps:spPr>
                        <a:xfrm>
                          <a:off x="0" y="0"/>
                          <a:ext cx="8737600" cy="95186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5EF37F56" w14:textId="77777777" w:rsidR="00D15FD8" w:rsidRPr="00764695" w:rsidRDefault="00D15FD8" w:rsidP="002D14C0">
                            <w:pPr>
                              <w:spacing w:line="360" w:lineRule="auto"/>
                              <w:rPr>
                                <w:sz w:val="18"/>
                                <w:szCs w:val="18"/>
                              </w:rPr>
                            </w:pPr>
                            <w:r w:rsidRPr="00764695">
                              <w:rPr>
                                <w:rFonts w:ascii="Roboto" w:hAnsi="Roboto"/>
                                <w:b/>
                                <w:color w:val="F26C21"/>
                                <w:sz w:val="18"/>
                                <w:szCs w:val="18"/>
                              </w:rPr>
                              <w:t>The public should be presented with high quality financial and non-financial information on past, present, and forecast fiscal activities, performance, fiscal risks, and public assets and liabilities. The presentation of fiscal information in budgets, fiscal reports, financial statements, and National Accounts should be an obligation of government, meet internationally-recognized standards, and should be consistent across the different types of reports or include an explanation and reconciliation of differences. Assurances are required of the integrity of fiscal data and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B3BEC" id="Text Box 1918" o:spid="_x0000_s1111" type="#_x0000_t202" style="position:absolute;margin-left:0;margin-top:6.7pt;width:688pt;height:74.95pt;z-index:253605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" filled="f" stroked="f" strokeweight="1pt">
                <v:textbox>
                  <w:txbxContent>
                    <w:p w14:paraId="5EF37F56" w14:textId="77777777" w:rsidR="00D15FD8" w:rsidRPr="00764695" w:rsidRDefault="00D15FD8" w:rsidP="002D14C0">
                      <w:pPr>
                        <w:spacing w:line="360" w:lineRule="auto"/>
                        <w:rPr>
                          <w:sz w:val="18"/>
                          <w:szCs w:val="18"/>
                        </w:rPr>
                      </w:pPr>
                      <w:r w:rsidRPr="00764695">
                        <w:rPr>
                          <w:rFonts w:ascii="Roboto" w:hAnsi="Roboto"/>
                          <w:b/>
                          <w:color w:val="F26C21"/>
                          <w:sz w:val="18"/>
                          <w:szCs w:val="18"/>
                        </w:rPr>
                        <w:t>The public should be presented with high quality financial and non-financial information on past, present, and forecast fiscal activities, performance, fiscal risks, and public assets and liabilities. The presentation of fiscal information in budgets, fiscal reports, financial statements, and National Accounts should be an obligation of government, meet internationally-recognized standards, and should be consistent across the different types of reports or include an explanation and reconciliation of differences. Assurances are required of the integrity of fiscal data and information.</w:t>
                      </w:r>
                    </w:p>
                  </w:txbxContent>
                </v:textbox>
              </v:shape>
            </w:pict>
          </mc:Fallback>
        </mc:AlternateContent>
      </w:r>
      <w:r w:rsidRPr="00764695">
        <w:rPr>
          <w:rFonts w:ascii="Roboto" w:hAnsi="Roboto"/>
          <w:noProof/>
          <w:lang w:val="en-US"/>
        </w:rPr>
        <mc:AlternateContent>
          <mc:Choice Requires="wps">
            <w:drawing>
              <wp:anchor distT="0" distB="0" distL="114300" distR="114300" simplePos="0" relativeHeight="253605117" behindDoc="0" locked="0" layoutInCell="1" allowOverlap="1" wp14:anchorId="460AF11B" wp14:editId="7CC5A307">
                <wp:simplePos x="0" y="0"/>
                <wp:positionH relativeFrom="column">
                  <wp:posOffset>8255</wp:posOffset>
                </wp:positionH>
                <wp:positionV relativeFrom="paragraph">
                  <wp:posOffset>69215</wp:posOffset>
                </wp:positionV>
                <wp:extent cx="8847455" cy="964565"/>
                <wp:effectExtent l="0" t="0" r="17145" b="13335"/>
                <wp:wrapNone/>
                <wp:docPr id="1919" name="Rounded Rectangle 1919"/>
                <wp:cNvGraphicFramePr/>
                <a:graphic xmlns:a="http://schemas.openxmlformats.org/drawingml/2006/main">
                  <a:graphicData uri="http://schemas.microsoft.com/office/word/2010/wordprocessingShape">
                    <wps:wsp>
                      <wps:cNvSpPr/>
                      <wps:spPr>
                        <a:xfrm>
                          <a:off x="0" y="0"/>
                          <a:ext cx="8847455" cy="964565"/>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6C31349" id="Rounded Rectangle 1919" o:spid="_x0000_s1026" style="position:absolute;margin-left:.65pt;margin-top:5.45pt;width:696.65pt;height:75.95pt;z-index:253605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" filled="f" strokecolor="#f26c21" strokeweight="1pt">
                <v:stroke joinstyle="miter"/>
              </v:roundrect>
            </w:pict>
          </mc:Fallback>
        </mc:AlternateContent>
      </w:r>
      <w:r>
        <w:rPr>
          <w:rFonts w:ascii="Roboto" w:hAnsi="Roboto"/>
          <w:noProof/>
          <w:lang w:val="en-US"/>
        </w:rPr>
        <w:drawing>
          <wp:anchor distT="0" distB="0" distL="114300" distR="114300" simplePos="0" relativeHeight="253608958" behindDoc="1" locked="0" layoutInCell="1" allowOverlap="1" wp14:anchorId="533B6271" wp14:editId="29558189">
            <wp:simplePos x="0" y="0"/>
            <wp:positionH relativeFrom="margin">
              <wp:align>center</wp:align>
            </wp:positionH>
            <wp:positionV relativeFrom="paragraph">
              <wp:posOffset>1063625</wp:posOffset>
            </wp:positionV>
            <wp:extent cx="8882380" cy="287655"/>
            <wp:effectExtent l="0" t="0" r="0" b="0"/>
            <wp:wrapTight wrapText="bothSides">
              <wp:wrapPolygon edited="0">
                <wp:start x="185" y="7629"/>
                <wp:lineTo x="185" y="13351"/>
                <wp:lineTo x="21341" y="13351"/>
                <wp:lineTo x="21341" y="7629"/>
                <wp:lineTo x="185" y="7629"/>
              </wp:wrapPolygon>
            </wp:wrapTight>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p>
    <w:p w14:paraId="0DBD983C" w14:textId="2EE9B113" w:rsidR="00203FAB" w:rsidRDefault="00203FAB" w:rsidP="002D14C0">
      <w:pPr>
        <w:rPr>
          <w:rFonts w:ascii="Roboto" w:hAnsi="Roboto"/>
        </w:rPr>
      </w:pPr>
    </w:p>
    <w:p w14:paraId="3D85DC76" w14:textId="77777777" w:rsidR="00203FAB" w:rsidRPr="00764695" w:rsidRDefault="00203FAB" w:rsidP="002D14C0">
      <w:pPr>
        <w:rPr>
          <w:rFonts w:ascii="Roboto" w:hAnsi="Roboto"/>
        </w:rPr>
      </w:pPr>
    </w:p>
    <w:p w14:paraId="53676A37" w14:textId="2F488326" w:rsidR="00203FAB" w:rsidRPr="00764695" w:rsidRDefault="00203FAB" w:rsidP="002D14C0">
      <w:pPr>
        <w:rPr>
          <w:rFonts w:ascii="Roboto" w:hAnsi="Roboto"/>
        </w:rPr>
      </w:pPr>
    </w:p>
    <w:p w14:paraId="4162A788" w14:textId="4AFC927B" w:rsidR="00203FAB" w:rsidRPr="00764695" w:rsidRDefault="00203FAB" w:rsidP="002D14C0">
      <w:pPr>
        <w:rPr>
          <w:rFonts w:ascii="Roboto" w:hAnsi="Roboto"/>
        </w:rPr>
      </w:pPr>
    </w:p>
    <w:p w14:paraId="00C1E74C" w14:textId="61EB6E83" w:rsidR="00203FAB" w:rsidRPr="00764695" w:rsidRDefault="00203FAB" w:rsidP="002D14C0">
      <w:pPr>
        <w:rPr>
          <w:rFonts w:ascii="Roboto" w:hAnsi="Roboto"/>
        </w:rPr>
      </w:pPr>
    </w:p>
    <w:p w14:paraId="29D30EC0" w14:textId="6AA0663A" w:rsidR="00203FAB" w:rsidRPr="00764695" w:rsidRDefault="00634F41" w:rsidP="002D14C0">
      <w:pPr>
        <w:rPr>
          <w:rFonts w:ascii="Roboto" w:hAnsi="Roboto"/>
        </w:rPr>
      </w:pPr>
      <w:r w:rsidRPr="00764695">
        <w:rPr>
          <w:rFonts w:ascii="Roboto" w:hAnsi="Roboto"/>
          <w:noProof/>
          <w:lang w:val="en-US"/>
        </w:rPr>
        <mc:AlternateContent>
          <mc:Choice Requires="wps">
            <w:drawing>
              <wp:anchor distT="0" distB="0" distL="114300" distR="114300" simplePos="0" relativeHeight="253611006" behindDoc="0" locked="0" layoutInCell="1" allowOverlap="1" wp14:anchorId="1AC2393C" wp14:editId="0165C3A9">
                <wp:simplePos x="0" y="0"/>
                <wp:positionH relativeFrom="column">
                  <wp:posOffset>-50800</wp:posOffset>
                </wp:positionH>
                <wp:positionV relativeFrom="paragraph">
                  <wp:posOffset>415925</wp:posOffset>
                </wp:positionV>
                <wp:extent cx="3472815" cy="3383915"/>
                <wp:effectExtent l="0" t="0" r="13335" b="26035"/>
                <wp:wrapNone/>
                <wp:docPr id="1523" name="Rounded Rectangle 1523"/>
                <wp:cNvGraphicFramePr/>
                <a:graphic xmlns:a="http://schemas.openxmlformats.org/drawingml/2006/main">
                  <a:graphicData uri="http://schemas.microsoft.com/office/word/2010/wordprocessingShape">
                    <wps:wsp>
                      <wps:cNvSpPr/>
                      <wps:spPr>
                        <a:xfrm>
                          <a:off x="0" y="0"/>
                          <a:ext cx="3472815" cy="3383915"/>
                        </a:xfrm>
                        <a:prstGeom prst="roundRect">
                          <a:avLst>
                            <a:gd name="adj" fmla="val 5783"/>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4C306"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C2393C" id="Rounded Rectangle 1523" o:spid="_x0000_s1112" style="position:absolute;margin-left:-4pt;margin-top:32.75pt;width:273.45pt;height:266.45pt;z-index:253611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" filled="f" strokecolor="white [3212]" strokeweight="1.5pt">
                <v:stroke joinstyle="miter"/>
                <v:textbox>
                  <w:txbxContent>
                    <w:p w14:paraId="02C4C306" w14:textId="77777777" w:rsidR="00D15FD8" w:rsidRDefault="00D15FD8" w:rsidP="002D14C0"/>
                  </w:txbxContent>
                </v:textbox>
              </v:roundrect>
            </w:pict>
          </mc:Fallback>
        </mc:AlternateContent>
      </w:r>
      <w:r w:rsidR="00BC0A31" w:rsidRPr="00764695">
        <w:rPr>
          <w:rFonts w:ascii="Roboto" w:hAnsi="Roboto"/>
          <w:noProof/>
          <w:lang w:val="en-US"/>
        </w:rPr>
        <mc:AlternateContent>
          <mc:Choice Requires="wps">
            <w:drawing>
              <wp:anchor distT="0" distB="0" distL="114300" distR="114300" simplePos="0" relativeHeight="253609982" behindDoc="0" locked="0" layoutInCell="1" allowOverlap="1" wp14:anchorId="5D62EF5C" wp14:editId="2D6EA3A3">
                <wp:simplePos x="0" y="0"/>
                <wp:positionH relativeFrom="margin">
                  <wp:posOffset>-203200</wp:posOffset>
                </wp:positionH>
                <wp:positionV relativeFrom="paragraph">
                  <wp:posOffset>249555</wp:posOffset>
                </wp:positionV>
                <wp:extent cx="3784600" cy="3702685"/>
                <wp:effectExtent l="0" t="0" r="0" b="5715"/>
                <wp:wrapNone/>
                <wp:docPr id="1435" name="Rounded Rectangle 1435"/>
                <wp:cNvGraphicFramePr/>
                <a:graphic xmlns:a="http://schemas.openxmlformats.org/drawingml/2006/main">
                  <a:graphicData uri="http://schemas.microsoft.com/office/word/2010/wordprocessingShape">
                    <wps:wsp>
                      <wps:cNvSpPr/>
                      <wps:spPr>
                        <a:xfrm>
                          <a:off x="0" y="0"/>
                          <a:ext cx="3784600" cy="3702685"/>
                        </a:xfrm>
                        <a:prstGeom prst="roundRect">
                          <a:avLst>
                            <a:gd name="adj" fmla="val 6560"/>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FD41AB"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62EF5C" id="Rounded Rectangle 1435" o:spid="_x0000_s1113" style="position:absolute;margin-left:-16pt;margin-top:19.65pt;width:298pt;height:291.55pt;z-index:2536099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" fillcolor="#1e9a8c" stroked="f" strokeweight="1pt">
                <v:stroke joinstyle="miter"/>
                <v:textbox>
                  <w:txbxContent>
                    <w:p w14:paraId="47FD41AB" w14:textId="77777777" w:rsidR="00D15FD8" w:rsidRDefault="00D15FD8" w:rsidP="002D14C0">
                      <w:pPr>
                        <w:jc w:val="center"/>
                      </w:pPr>
                    </w:p>
                  </w:txbxContent>
                </v:textbox>
                <w10:wrap anchorx="margin"/>
              </v:roundrect>
            </w:pict>
          </mc:Fallback>
        </mc:AlternateContent>
      </w:r>
      <w:r w:rsidR="00BC0A31" w:rsidRPr="00455230">
        <w:rPr>
          <w:rFonts w:ascii="Roboto" w:hAnsi="Roboto"/>
          <w:noProof/>
          <w:lang w:val="en-US"/>
        </w:rPr>
        <mc:AlternateContent>
          <mc:Choice Requires="wps">
            <w:drawing>
              <wp:anchor distT="0" distB="0" distL="114300" distR="114300" simplePos="0" relativeHeight="253615102" behindDoc="0" locked="0" layoutInCell="1" allowOverlap="1" wp14:anchorId="31BB7EB5" wp14:editId="15A75C24">
                <wp:simplePos x="0" y="0"/>
                <wp:positionH relativeFrom="column">
                  <wp:posOffset>3619500</wp:posOffset>
                </wp:positionH>
                <wp:positionV relativeFrom="paragraph">
                  <wp:posOffset>274955</wp:posOffset>
                </wp:positionV>
                <wp:extent cx="5367655" cy="304800"/>
                <wp:effectExtent l="0" t="0" r="0" b="0"/>
                <wp:wrapNone/>
                <wp:docPr id="672" name="Text Box 672"/>
                <wp:cNvGraphicFramePr/>
                <a:graphic xmlns:a="http://schemas.openxmlformats.org/drawingml/2006/main">
                  <a:graphicData uri="http://schemas.microsoft.com/office/word/2010/wordprocessingShape">
                    <wps:wsp>
                      <wps:cNvSpPr txBox="1"/>
                      <wps:spPr>
                        <a:xfrm>
                          <a:off x="0" y="0"/>
                          <a:ext cx="5367655" cy="304800"/>
                        </a:xfrm>
                        <a:prstGeom prst="rect">
                          <a:avLst/>
                        </a:prstGeom>
                        <a:noFill/>
                        <a:ln w="6350">
                          <a:noFill/>
                        </a:ln>
                      </wps:spPr>
                      <wps:txbx>
                        <w:txbxContent>
                          <w:p w14:paraId="5A240362"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32A2B186" w14:textId="77777777" w:rsidR="00D15FD8" w:rsidRPr="00FA2526" w:rsidRDefault="00D15FD8" w:rsidP="002D1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BB7EB5" id="Text Box 672" o:spid="_x0000_s1114" type="#_x0000_t202" style="position:absolute;margin-left:285pt;margin-top:21.65pt;width:422.65pt;height:24pt;z-index:2536151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" filled="f" stroked="f" strokeweight=".5pt">
                <v:textbox>
                  <w:txbxContent>
                    <w:p w14:paraId="5A240362"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32A2B186" w14:textId="77777777" w:rsidR="00D15FD8" w:rsidRPr="00FA2526" w:rsidRDefault="00D15FD8" w:rsidP="002D14C0"/>
                  </w:txbxContent>
                </v:textbox>
              </v:shape>
            </w:pict>
          </mc:Fallback>
        </mc:AlternateContent>
      </w:r>
      <w:r w:rsidR="00BC0A31" w:rsidRPr="00455230">
        <w:rPr>
          <w:rFonts w:ascii="Roboto" w:hAnsi="Roboto"/>
          <w:noProof/>
          <w:lang w:val="en-US"/>
        </w:rPr>
        <mc:AlternateContent>
          <mc:Choice Requires="wps">
            <w:drawing>
              <wp:anchor distT="0" distB="0" distL="114300" distR="114300" simplePos="0" relativeHeight="253616126" behindDoc="0" locked="0" layoutInCell="1" allowOverlap="1" wp14:anchorId="1A5B1456" wp14:editId="633E22FC">
                <wp:simplePos x="0" y="0"/>
                <wp:positionH relativeFrom="column">
                  <wp:posOffset>3619500</wp:posOffset>
                </wp:positionH>
                <wp:positionV relativeFrom="paragraph">
                  <wp:posOffset>528320</wp:posOffset>
                </wp:positionV>
                <wp:extent cx="5511800" cy="3347085"/>
                <wp:effectExtent l="0" t="0" r="0" b="0"/>
                <wp:wrapNone/>
                <wp:docPr id="1522" name="Text Box 1522"/>
                <wp:cNvGraphicFramePr/>
                <a:graphic xmlns:a="http://schemas.openxmlformats.org/drawingml/2006/main">
                  <a:graphicData uri="http://schemas.microsoft.com/office/word/2010/wordprocessingShape">
                    <wps:wsp>
                      <wps:cNvSpPr txBox="1"/>
                      <wps:spPr>
                        <a:xfrm>
                          <a:off x="0" y="0"/>
                          <a:ext cx="5511800" cy="3347085"/>
                        </a:xfrm>
                        <a:prstGeom prst="rect">
                          <a:avLst/>
                        </a:prstGeom>
                        <a:noFill/>
                        <a:ln w="6350">
                          <a:noFill/>
                        </a:ln>
                      </wps:spPr>
                      <wps:txbx>
                        <w:txbxContent>
                          <w:p w14:paraId="2B869216" w14:textId="77777777" w:rsidR="00D15FD8" w:rsidRPr="00455230" w:rsidRDefault="00D15FD8" w:rsidP="002D14C0">
                            <w:pPr>
                              <w:spacing w:line="259" w:lineRule="auto"/>
                              <w:suppressOverlap/>
                              <w:rPr>
                                <w:rFonts w:ascii="Roboto" w:eastAsia="Calibri" w:hAnsi="Roboto" w:cs="Calibri"/>
                                <w:color w:val="1E9A8C"/>
                                <w:sz w:val="20"/>
                                <w:szCs w:val="20"/>
                              </w:rPr>
                            </w:pPr>
                            <w:r w:rsidRPr="00455230">
                              <w:rPr>
                                <w:rFonts w:ascii="Roboto" w:eastAsia="Calibri" w:hAnsi="Roboto" w:cs="Calibri"/>
                                <w:b/>
                                <w:color w:val="1E9A8C"/>
                                <w:sz w:val="20"/>
                                <w:szCs w:val="20"/>
                              </w:rPr>
                              <w:t>IMF:</w:t>
                            </w:r>
                            <w:r w:rsidRPr="00455230">
                              <w:rPr>
                                <w:rFonts w:ascii="Roboto" w:eastAsia="Calibri" w:hAnsi="Roboto" w:cs="Calibri"/>
                                <w:color w:val="1E9A8C"/>
                                <w:sz w:val="20"/>
                                <w:szCs w:val="20"/>
                              </w:rPr>
                              <w:t xml:space="preserve"> </w:t>
                            </w:r>
                          </w:p>
                          <w:p w14:paraId="649F1049" w14:textId="77777777" w:rsidR="00D15FD8" w:rsidRPr="00455230" w:rsidRDefault="00AC4DF7" w:rsidP="00113300">
                            <w:pPr>
                              <w:pStyle w:val="ListParagraph"/>
                              <w:numPr>
                                <w:ilvl w:val="0"/>
                                <w:numId w:val="26"/>
                              </w:numPr>
                              <w:spacing w:line="259" w:lineRule="auto"/>
                              <w:ind w:left="308" w:hanging="308"/>
                              <w:suppressOverlap/>
                              <w:rPr>
                                <w:rFonts w:ascii="Roboto" w:eastAsia="Calibri" w:hAnsi="Roboto" w:cs="Calibri"/>
                                <w:color w:val="404040" w:themeColor="text1" w:themeTint="BF"/>
                                <w:sz w:val="20"/>
                                <w:szCs w:val="20"/>
                              </w:rPr>
                            </w:pPr>
                            <w:hyperlink r:id="rId142" w:history="1">
                              <w:r w:rsidR="00D15FD8" w:rsidRPr="00455230">
                                <w:rPr>
                                  <w:rStyle w:val="Hyperlink"/>
                                  <w:rFonts w:ascii="Roboto" w:eastAsia="Calibri" w:hAnsi="Roboto" w:cs="Calibri"/>
                                  <w:color w:val="F26C21"/>
                                  <w:sz w:val="20"/>
                                  <w:szCs w:val="20"/>
                                </w:rPr>
                                <w:t>Government Finance Statistics (GFS) Manual</w:t>
                              </w:r>
                            </w:hyperlink>
                            <w:r w:rsidR="00D15FD8" w:rsidRPr="00455230">
                              <w:rPr>
                                <w:rFonts w:ascii="Roboto" w:eastAsia="Calibri" w:hAnsi="Roboto" w:cs="Calibri"/>
                                <w:color w:val="F26C21"/>
                                <w:sz w:val="20"/>
                                <w:szCs w:val="20"/>
                              </w:rPr>
                              <w:t xml:space="preserve"> </w:t>
                            </w:r>
                            <w:r w:rsidR="00D15FD8" w:rsidRPr="00455230">
                              <w:rPr>
                                <w:rFonts w:ascii="Roboto" w:eastAsia="Calibri" w:hAnsi="Roboto" w:cs="Calibri"/>
                                <w:color w:val="404040" w:themeColor="text1" w:themeTint="BF"/>
                                <w:sz w:val="20"/>
                                <w:szCs w:val="20"/>
                              </w:rPr>
                              <w:t xml:space="preserve">(2014): Core standards that are widely adopted across the main fiscal transparency instruments, including on the classification of the government sector and the public sector [based on </w:t>
                            </w:r>
                            <w:r w:rsidR="00D15FD8" w:rsidRPr="00455230">
                              <w:rPr>
                                <w:rFonts w:ascii="Roboto" w:eastAsia="Calibri" w:hAnsi="Roboto" w:cs="Calibri"/>
                                <w:color w:val="F26C21"/>
                                <w:sz w:val="20"/>
                                <w:szCs w:val="20"/>
                                <w:u w:val="single"/>
                              </w:rPr>
                              <w:t xml:space="preserve">the </w:t>
                            </w:r>
                            <w:hyperlink r:id="rId143" w:history="1">
                              <w:r w:rsidR="00D15FD8" w:rsidRPr="00455230">
                                <w:rPr>
                                  <w:rStyle w:val="Hyperlink"/>
                                  <w:rFonts w:ascii="Roboto" w:eastAsia="Calibri" w:hAnsi="Roboto" w:cs="Calibri"/>
                                  <w:color w:val="F26C21"/>
                                  <w:sz w:val="20"/>
                                  <w:szCs w:val="20"/>
                                </w:rPr>
                                <w:t>United Nations’ System of National Accounts</w:t>
                              </w:r>
                            </w:hyperlink>
                            <w:r w:rsidR="00D15FD8" w:rsidRPr="00455230">
                              <w:rPr>
                                <w:rFonts w:ascii="Roboto" w:eastAsia="Calibri" w:hAnsi="Roboto" w:cs="Calibri"/>
                                <w:color w:val="404040" w:themeColor="text1" w:themeTint="BF"/>
                                <w:sz w:val="20"/>
                                <w:szCs w:val="20"/>
                              </w:rPr>
                              <w:t xml:space="preserve"> (2008)]; the classification of the levels of government, and the economic and functional classification of expenditures [based on the </w:t>
                            </w:r>
                            <w:hyperlink r:id="rId144" w:history="1">
                              <w:r w:rsidR="00D15FD8" w:rsidRPr="00455230">
                                <w:rPr>
                                  <w:rStyle w:val="Hyperlink"/>
                                  <w:rFonts w:ascii="Roboto" w:eastAsia="Calibri" w:hAnsi="Roboto" w:cs="Calibri"/>
                                  <w:color w:val="F26C21"/>
                                  <w:sz w:val="20"/>
                                  <w:szCs w:val="20"/>
                                </w:rPr>
                                <w:t>UN Classification of the Functions of Government</w:t>
                              </w:r>
                            </w:hyperlink>
                            <w:r w:rsidR="00D15FD8" w:rsidRPr="00455230">
                              <w:rPr>
                                <w:rFonts w:ascii="Roboto" w:eastAsia="Calibri" w:hAnsi="Roboto" w:cs="Calibri"/>
                                <w:color w:val="404040" w:themeColor="text1" w:themeTint="BF"/>
                                <w:sz w:val="20"/>
                                <w:szCs w:val="20"/>
                              </w:rPr>
                              <w:t>, (COFOG)]; and a classification of revenues.</w:t>
                            </w:r>
                          </w:p>
                          <w:p w14:paraId="4540A67F" w14:textId="77777777" w:rsidR="00D15FD8" w:rsidRPr="00455230"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455230">
                              <w:rPr>
                                <w:rFonts w:ascii="Roboto" w:eastAsia="Calibri" w:hAnsi="Roboto" w:cs="Calibri"/>
                                <w:color w:val="404040" w:themeColor="text1" w:themeTint="BF"/>
                                <w:sz w:val="20"/>
                                <w:szCs w:val="20"/>
                              </w:rPr>
                              <w:t>[</w:t>
                            </w:r>
                            <w:hyperlink r:id="rId145" w:history="1">
                              <w:r w:rsidRPr="006C0887">
                                <w:rPr>
                                  <w:rStyle w:val="Hyperlink"/>
                                  <w:rFonts w:ascii="Roboto" w:eastAsia="Calibri" w:hAnsi="Roboto" w:cs="Calibri"/>
                                  <w:color w:val="F26C21"/>
                                  <w:sz w:val="20"/>
                                  <w:szCs w:val="20"/>
                                </w:rPr>
                                <w:t xml:space="preserve">GFS </w:t>
                              </w:r>
                              <w:r w:rsidRPr="006C0887">
                                <w:rPr>
                                  <w:rStyle w:val="Hyperlink"/>
                                  <w:rFonts w:ascii="Roboto" w:eastAsia="Calibri" w:hAnsi="Roboto" w:cs="Calibri"/>
                                  <w:bCs/>
                                  <w:color w:val="F26C21"/>
                                  <w:sz w:val="20"/>
                                  <w:szCs w:val="20"/>
                                </w:rPr>
                                <w:t>Compilation Guide for Developing Countries</w:t>
                              </w:r>
                            </w:hyperlink>
                            <w:r w:rsidRPr="006C0887">
                              <w:rPr>
                                <w:rFonts w:ascii="Roboto" w:eastAsia="Calibri" w:hAnsi="Roboto" w:cs="Calibri"/>
                                <w:bCs/>
                                <w:color w:val="F26C21"/>
                                <w:sz w:val="20"/>
                                <w:szCs w:val="20"/>
                              </w:rPr>
                              <w:t xml:space="preserve"> </w:t>
                            </w:r>
                            <w:r w:rsidRPr="00455230">
                              <w:rPr>
                                <w:rFonts w:ascii="Roboto" w:eastAsia="Calibri" w:hAnsi="Roboto" w:cs="Calibri"/>
                                <w:bCs/>
                                <w:color w:val="404040" w:themeColor="text1" w:themeTint="BF"/>
                                <w:sz w:val="20"/>
                                <w:szCs w:val="20"/>
                              </w:rPr>
                              <w:t>(2011)].</w:t>
                            </w:r>
                          </w:p>
                          <w:p w14:paraId="5C403824" w14:textId="77777777" w:rsidR="00D15FD8" w:rsidRPr="00455230" w:rsidRDefault="00AC4DF7" w:rsidP="00113300">
                            <w:pPr>
                              <w:pStyle w:val="ListParagraph"/>
                              <w:numPr>
                                <w:ilvl w:val="0"/>
                                <w:numId w:val="25"/>
                              </w:numPr>
                              <w:spacing w:line="259" w:lineRule="auto"/>
                              <w:ind w:left="308" w:hanging="308"/>
                              <w:suppressOverlap/>
                              <w:rPr>
                                <w:rFonts w:ascii="Roboto" w:eastAsia="Calibri" w:hAnsi="Roboto" w:cs="Calibri"/>
                                <w:iCs/>
                                <w:color w:val="404040" w:themeColor="text1" w:themeTint="BF"/>
                                <w:sz w:val="20"/>
                                <w:szCs w:val="20"/>
                              </w:rPr>
                            </w:pPr>
                            <w:hyperlink r:id="rId146" w:history="1">
                              <w:r w:rsidR="00D15FD8" w:rsidRPr="006C0887">
                                <w:rPr>
                                  <w:rStyle w:val="Hyperlink"/>
                                  <w:rFonts w:ascii="Roboto" w:eastAsia="Calibri" w:hAnsi="Roboto" w:cs="Calibri"/>
                                  <w:color w:val="F26C21"/>
                                  <w:sz w:val="20"/>
                                  <w:szCs w:val="20"/>
                                </w:rPr>
                                <w:t>Fiscal Transparency Code</w:t>
                              </w:r>
                            </w:hyperlink>
                            <w:r w:rsidR="00D15FD8" w:rsidRPr="006C0887">
                              <w:rPr>
                                <w:rFonts w:ascii="Roboto" w:eastAsia="Calibri" w:hAnsi="Roboto" w:cs="Calibri"/>
                                <w:color w:val="F26C21"/>
                                <w:sz w:val="20"/>
                                <w:szCs w:val="20"/>
                              </w:rPr>
                              <w:t xml:space="preserve"> </w:t>
                            </w:r>
                            <w:r w:rsidR="00D15FD8" w:rsidRPr="00455230">
                              <w:rPr>
                                <w:rFonts w:ascii="Roboto" w:eastAsia="Calibri" w:hAnsi="Roboto" w:cs="Calibri"/>
                                <w:color w:val="404040" w:themeColor="text1" w:themeTint="BF"/>
                                <w:sz w:val="20"/>
                                <w:szCs w:val="20"/>
                              </w:rPr>
                              <w:t xml:space="preserve">(2019): Pillar I: Requirements for fiscal reporting supplemented by further detail in Pillars II and III. Pillar IV focuses on the greater specificity required for natural resource activities. </w:t>
                            </w:r>
                          </w:p>
                          <w:p w14:paraId="26B6AD66" w14:textId="77777777" w:rsidR="00D15FD8" w:rsidRPr="00455230"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455230">
                              <w:rPr>
                                <w:rFonts w:ascii="Roboto" w:eastAsia="Calibri" w:hAnsi="Roboto" w:cs="Calibri"/>
                                <w:color w:val="404040" w:themeColor="text1" w:themeTint="BF"/>
                                <w:sz w:val="20"/>
                                <w:szCs w:val="20"/>
                              </w:rPr>
                              <w:t>[</w:t>
                            </w:r>
                            <w:hyperlink r:id="rId147" w:history="1">
                              <w:r w:rsidRPr="006C0887">
                                <w:rPr>
                                  <w:rStyle w:val="Hyperlink"/>
                                  <w:rFonts w:ascii="Roboto" w:eastAsia="Calibri" w:hAnsi="Roboto" w:cs="Calibri"/>
                                  <w:color w:val="F26C21"/>
                                  <w:sz w:val="20"/>
                                  <w:szCs w:val="20"/>
                                </w:rPr>
                                <w:t>Manual on Fiscal Transparency</w:t>
                              </w:r>
                            </w:hyperlink>
                            <w:r w:rsidRPr="006C0887">
                              <w:rPr>
                                <w:rFonts w:ascii="Roboto" w:eastAsia="Calibri" w:hAnsi="Roboto" w:cs="Calibri"/>
                                <w:color w:val="F26C21"/>
                                <w:sz w:val="20"/>
                                <w:szCs w:val="20"/>
                              </w:rPr>
                              <w:t xml:space="preserve"> </w:t>
                            </w:r>
                            <w:r w:rsidRPr="00455230">
                              <w:rPr>
                                <w:rFonts w:ascii="Roboto" w:eastAsia="Calibri" w:hAnsi="Roboto" w:cs="Calibri"/>
                                <w:color w:val="404040" w:themeColor="text1" w:themeTint="BF"/>
                                <w:sz w:val="20"/>
                                <w:szCs w:val="20"/>
                              </w:rPr>
                              <w:t>(2007): Particularly</w:t>
                            </w:r>
                            <w:r w:rsidRPr="00455230">
                              <w:rPr>
                                <w:rFonts w:ascii="Roboto" w:eastAsia="Calibri" w:hAnsi="Roboto" w:cs="Calibri"/>
                                <w:i/>
                                <w:color w:val="404040" w:themeColor="text1" w:themeTint="BF"/>
                                <w:sz w:val="20"/>
                                <w:szCs w:val="20"/>
                              </w:rPr>
                              <w:t xml:space="preserve"> </w:t>
                            </w:r>
                            <w:r w:rsidRPr="00455230">
                              <w:rPr>
                                <w:rFonts w:ascii="Roboto" w:eastAsia="Calibri" w:hAnsi="Roboto" w:cs="Calibri"/>
                                <w:color w:val="404040" w:themeColor="text1" w:themeTint="BF"/>
                                <w:sz w:val="20"/>
                                <w:szCs w:val="20"/>
                              </w:rPr>
                              <w:t>pp. 61-105, covering Pillars II and III of the Code on public availability of information and assurances of integrity].</w:t>
                            </w:r>
                          </w:p>
                          <w:p w14:paraId="4926E03F" w14:textId="77777777" w:rsidR="00D15FD8" w:rsidRPr="00455230" w:rsidRDefault="00D15FD8" w:rsidP="002D14C0">
                            <w:pPr>
                              <w:pStyle w:val="ListParagraph"/>
                              <w:spacing w:line="259" w:lineRule="auto"/>
                              <w:ind w:left="308"/>
                              <w:suppressOverlap/>
                              <w:rPr>
                                <w:rFonts w:ascii="Roboto" w:hAnsi="Roboto"/>
                                <w:sz w:val="20"/>
                                <w:szCs w:val="20"/>
                              </w:rPr>
                            </w:pPr>
                            <w:r w:rsidRPr="00455230">
                              <w:rPr>
                                <w:rFonts w:ascii="Roboto" w:eastAsia="Calibri" w:hAnsi="Roboto" w:cs="Calibri"/>
                                <w:color w:val="404040" w:themeColor="text1" w:themeTint="BF"/>
                                <w:sz w:val="20"/>
                                <w:szCs w:val="20"/>
                              </w:rPr>
                              <w:t>[</w:t>
                            </w:r>
                            <w:hyperlink r:id="rId148" w:history="1">
                              <w:r w:rsidRPr="006C0887">
                                <w:rPr>
                                  <w:rStyle w:val="Hyperlink"/>
                                  <w:rFonts w:ascii="Roboto" w:eastAsia="Calibri" w:hAnsi="Roboto" w:cs="Calibri"/>
                                  <w:iCs/>
                                  <w:color w:val="F26C21"/>
                                  <w:sz w:val="20"/>
                                  <w:szCs w:val="20"/>
                                </w:rPr>
                                <w:t>Guide on Resource Revenue Transparency</w:t>
                              </w:r>
                            </w:hyperlink>
                            <w:r w:rsidRPr="006C0887">
                              <w:rPr>
                                <w:rFonts w:ascii="Roboto" w:eastAsia="Calibri" w:hAnsi="Roboto" w:cs="Calibri"/>
                                <w:iCs/>
                                <w:color w:val="F26C21"/>
                                <w:sz w:val="20"/>
                                <w:szCs w:val="20"/>
                                <w:u w:val="single"/>
                              </w:rPr>
                              <w:t xml:space="preserve"> </w:t>
                            </w:r>
                            <w:r w:rsidRPr="00455230">
                              <w:rPr>
                                <w:rFonts w:ascii="Roboto" w:eastAsia="Calibri" w:hAnsi="Roboto" w:cs="Calibri"/>
                                <w:iCs/>
                                <w:color w:val="404040" w:themeColor="text1" w:themeTint="BF"/>
                                <w:sz w:val="20"/>
                                <w:szCs w:val="20"/>
                              </w:rPr>
                              <w:t>(2007): Detailed requirements for the information (data and forecast) that should be published on resource-related revenues, spending, fiscal balance, natural and financial assets, and fiscal risks, in countries that are identified as resource-rich; and on past government receipts of company resource revenue payments. (See particularly pp. 37-48)].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B1456" id="Text Box 1522" o:spid="_x0000_s1115" type="#_x0000_t202" style="position:absolute;margin-left:285pt;margin-top:41.6pt;width:434pt;height:263.55pt;z-index:253616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" filled="f" stroked="f" strokeweight=".5pt">
                <v:textbox>
                  <w:txbxContent>
                    <w:p w14:paraId="2B869216" w14:textId="77777777" w:rsidR="00D15FD8" w:rsidRPr="00455230" w:rsidRDefault="00D15FD8" w:rsidP="002D14C0">
                      <w:pPr>
                        <w:spacing w:line="259" w:lineRule="auto"/>
                        <w:suppressOverlap/>
                        <w:rPr>
                          <w:rFonts w:ascii="Roboto" w:eastAsia="Calibri" w:hAnsi="Roboto" w:cs="Calibri"/>
                          <w:color w:val="1E9A8C"/>
                          <w:sz w:val="20"/>
                          <w:szCs w:val="20"/>
                        </w:rPr>
                      </w:pPr>
                      <w:r w:rsidRPr="00455230">
                        <w:rPr>
                          <w:rFonts w:ascii="Roboto" w:eastAsia="Calibri" w:hAnsi="Roboto" w:cs="Calibri"/>
                          <w:b/>
                          <w:color w:val="1E9A8C"/>
                          <w:sz w:val="20"/>
                          <w:szCs w:val="20"/>
                        </w:rPr>
                        <w:t>IMF:</w:t>
                      </w:r>
                      <w:r w:rsidRPr="00455230">
                        <w:rPr>
                          <w:rFonts w:ascii="Roboto" w:eastAsia="Calibri" w:hAnsi="Roboto" w:cs="Calibri"/>
                          <w:color w:val="1E9A8C"/>
                          <w:sz w:val="20"/>
                          <w:szCs w:val="20"/>
                        </w:rPr>
                        <w:t xml:space="preserve"> </w:t>
                      </w:r>
                    </w:p>
                    <w:p w14:paraId="649F1049" w14:textId="77777777" w:rsidR="00D15FD8" w:rsidRPr="00455230" w:rsidRDefault="00AC4DF7" w:rsidP="00113300">
                      <w:pPr>
                        <w:pStyle w:val="ListParagraph"/>
                        <w:numPr>
                          <w:ilvl w:val="0"/>
                          <w:numId w:val="26"/>
                        </w:numPr>
                        <w:spacing w:line="259" w:lineRule="auto"/>
                        <w:ind w:left="308" w:hanging="308"/>
                        <w:suppressOverlap/>
                        <w:rPr>
                          <w:rFonts w:ascii="Roboto" w:eastAsia="Calibri" w:hAnsi="Roboto" w:cs="Calibri"/>
                          <w:color w:val="404040" w:themeColor="text1" w:themeTint="BF"/>
                          <w:sz w:val="20"/>
                          <w:szCs w:val="20"/>
                        </w:rPr>
                      </w:pPr>
                      <w:hyperlink r:id="rId149" w:history="1">
                        <w:r w:rsidR="00D15FD8" w:rsidRPr="00455230">
                          <w:rPr>
                            <w:rStyle w:val="Hyperlink"/>
                            <w:rFonts w:ascii="Roboto" w:eastAsia="Calibri" w:hAnsi="Roboto" w:cs="Calibri"/>
                            <w:color w:val="F26C21"/>
                            <w:sz w:val="20"/>
                            <w:szCs w:val="20"/>
                          </w:rPr>
                          <w:t>Government Finance Statistics (GFS) Manual</w:t>
                        </w:r>
                      </w:hyperlink>
                      <w:r w:rsidR="00D15FD8" w:rsidRPr="00455230">
                        <w:rPr>
                          <w:rFonts w:ascii="Roboto" w:eastAsia="Calibri" w:hAnsi="Roboto" w:cs="Calibri"/>
                          <w:color w:val="F26C21"/>
                          <w:sz w:val="20"/>
                          <w:szCs w:val="20"/>
                        </w:rPr>
                        <w:t xml:space="preserve"> </w:t>
                      </w:r>
                      <w:r w:rsidR="00D15FD8" w:rsidRPr="00455230">
                        <w:rPr>
                          <w:rFonts w:ascii="Roboto" w:eastAsia="Calibri" w:hAnsi="Roboto" w:cs="Calibri"/>
                          <w:color w:val="404040" w:themeColor="text1" w:themeTint="BF"/>
                          <w:sz w:val="20"/>
                          <w:szCs w:val="20"/>
                        </w:rPr>
                        <w:t xml:space="preserve">(2014): Core standards that are widely adopted across the main fiscal transparency instruments, including on the classification of the government sector and the public sector [based on </w:t>
                      </w:r>
                      <w:r w:rsidR="00D15FD8" w:rsidRPr="00455230">
                        <w:rPr>
                          <w:rFonts w:ascii="Roboto" w:eastAsia="Calibri" w:hAnsi="Roboto" w:cs="Calibri"/>
                          <w:color w:val="F26C21"/>
                          <w:sz w:val="20"/>
                          <w:szCs w:val="20"/>
                          <w:u w:val="single"/>
                        </w:rPr>
                        <w:t xml:space="preserve">the </w:t>
                      </w:r>
                      <w:hyperlink r:id="rId150" w:history="1">
                        <w:r w:rsidR="00D15FD8" w:rsidRPr="00455230">
                          <w:rPr>
                            <w:rStyle w:val="Hyperlink"/>
                            <w:rFonts w:ascii="Roboto" w:eastAsia="Calibri" w:hAnsi="Roboto" w:cs="Calibri"/>
                            <w:color w:val="F26C21"/>
                            <w:sz w:val="20"/>
                            <w:szCs w:val="20"/>
                          </w:rPr>
                          <w:t>United Nations’ System of National Accounts</w:t>
                        </w:r>
                      </w:hyperlink>
                      <w:r w:rsidR="00D15FD8" w:rsidRPr="00455230">
                        <w:rPr>
                          <w:rFonts w:ascii="Roboto" w:eastAsia="Calibri" w:hAnsi="Roboto" w:cs="Calibri"/>
                          <w:color w:val="404040" w:themeColor="text1" w:themeTint="BF"/>
                          <w:sz w:val="20"/>
                          <w:szCs w:val="20"/>
                        </w:rPr>
                        <w:t xml:space="preserve"> (2008)]; the classification of the levels of government, and the economic and functional classification of expenditures [based on the </w:t>
                      </w:r>
                      <w:hyperlink r:id="rId151" w:history="1">
                        <w:r w:rsidR="00D15FD8" w:rsidRPr="00455230">
                          <w:rPr>
                            <w:rStyle w:val="Hyperlink"/>
                            <w:rFonts w:ascii="Roboto" w:eastAsia="Calibri" w:hAnsi="Roboto" w:cs="Calibri"/>
                            <w:color w:val="F26C21"/>
                            <w:sz w:val="20"/>
                            <w:szCs w:val="20"/>
                          </w:rPr>
                          <w:t>UN Classification of the Functions of Government</w:t>
                        </w:r>
                      </w:hyperlink>
                      <w:r w:rsidR="00D15FD8" w:rsidRPr="00455230">
                        <w:rPr>
                          <w:rFonts w:ascii="Roboto" w:eastAsia="Calibri" w:hAnsi="Roboto" w:cs="Calibri"/>
                          <w:color w:val="404040" w:themeColor="text1" w:themeTint="BF"/>
                          <w:sz w:val="20"/>
                          <w:szCs w:val="20"/>
                        </w:rPr>
                        <w:t>, (COFOG)]; and a classification of revenues.</w:t>
                      </w:r>
                    </w:p>
                    <w:p w14:paraId="4540A67F" w14:textId="77777777" w:rsidR="00D15FD8" w:rsidRPr="00455230"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455230">
                        <w:rPr>
                          <w:rFonts w:ascii="Roboto" w:eastAsia="Calibri" w:hAnsi="Roboto" w:cs="Calibri"/>
                          <w:color w:val="404040" w:themeColor="text1" w:themeTint="BF"/>
                          <w:sz w:val="20"/>
                          <w:szCs w:val="20"/>
                        </w:rPr>
                        <w:t>[</w:t>
                      </w:r>
                      <w:hyperlink r:id="rId152" w:history="1">
                        <w:r w:rsidRPr="006C0887">
                          <w:rPr>
                            <w:rStyle w:val="Hyperlink"/>
                            <w:rFonts w:ascii="Roboto" w:eastAsia="Calibri" w:hAnsi="Roboto" w:cs="Calibri"/>
                            <w:color w:val="F26C21"/>
                            <w:sz w:val="20"/>
                            <w:szCs w:val="20"/>
                          </w:rPr>
                          <w:t xml:space="preserve">GFS </w:t>
                        </w:r>
                        <w:r w:rsidRPr="006C0887">
                          <w:rPr>
                            <w:rStyle w:val="Hyperlink"/>
                            <w:rFonts w:ascii="Roboto" w:eastAsia="Calibri" w:hAnsi="Roboto" w:cs="Calibri"/>
                            <w:bCs/>
                            <w:color w:val="F26C21"/>
                            <w:sz w:val="20"/>
                            <w:szCs w:val="20"/>
                          </w:rPr>
                          <w:t>Compilation Guide for Developing Countries</w:t>
                        </w:r>
                      </w:hyperlink>
                      <w:r w:rsidRPr="006C0887">
                        <w:rPr>
                          <w:rFonts w:ascii="Roboto" w:eastAsia="Calibri" w:hAnsi="Roboto" w:cs="Calibri"/>
                          <w:bCs/>
                          <w:color w:val="F26C21"/>
                          <w:sz w:val="20"/>
                          <w:szCs w:val="20"/>
                        </w:rPr>
                        <w:t xml:space="preserve"> </w:t>
                      </w:r>
                      <w:r w:rsidRPr="00455230">
                        <w:rPr>
                          <w:rFonts w:ascii="Roboto" w:eastAsia="Calibri" w:hAnsi="Roboto" w:cs="Calibri"/>
                          <w:bCs/>
                          <w:color w:val="404040" w:themeColor="text1" w:themeTint="BF"/>
                          <w:sz w:val="20"/>
                          <w:szCs w:val="20"/>
                        </w:rPr>
                        <w:t>(2011)].</w:t>
                      </w:r>
                    </w:p>
                    <w:p w14:paraId="5C403824" w14:textId="77777777" w:rsidR="00D15FD8" w:rsidRPr="00455230" w:rsidRDefault="00AC4DF7" w:rsidP="00113300">
                      <w:pPr>
                        <w:pStyle w:val="ListParagraph"/>
                        <w:numPr>
                          <w:ilvl w:val="0"/>
                          <w:numId w:val="25"/>
                        </w:numPr>
                        <w:spacing w:line="259" w:lineRule="auto"/>
                        <w:ind w:left="308" w:hanging="308"/>
                        <w:suppressOverlap/>
                        <w:rPr>
                          <w:rFonts w:ascii="Roboto" w:eastAsia="Calibri" w:hAnsi="Roboto" w:cs="Calibri"/>
                          <w:iCs/>
                          <w:color w:val="404040" w:themeColor="text1" w:themeTint="BF"/>
                          <w:sz w:val="20"/>
                          <w:szCs w:val="20"/>
                        </w:rPr>
                      </w:pPr>
                      <w:hyperlink r:id="rId153" w:history="1">
                        <w:r w:rsidR="00D15FD8" w:rsidRPr="006C0887">
                          <w:rPr>
                            <w:rStyle w:val="Hyperlink"/>
                            <w:rFonts w:ascii="Roboto" w:eastAsia="Calibri" w:hAnsi="Roboto" w:cs="Calibri"/>
                            <w:color w:val="F26C21"/>
                            <w:sz w:val="20"/>
                            <w:szCs w:val="20"/>
                          </w:rPr>
                          <w:t>Fiscal Transparency Code</w:t>
                        </w:r>
                      </w:hyperlink>
                      <w:r w:rsidR="00D15FD8" w:rsidRPr="006C0887">
                        <w:rPr>
                          <w:rFonts w:ascii="Roboto" w:eastAsia="Calibri" w:hAnsi="Roboto" w:cs="Calibri"/>
                          <w:color w:val="F26C21"/>
                          <w:sz w:val="20"/>
                          <w:szCs w:val="20"/>
                        </w:rPr>
                        <w:t xml:space="preserve"> </w:t>
                      </w:r>
                      <w:r w:rsidR="00D15FD8" w:rsidRPr="00455230">
                        <w:rPr>
                          <w:rFonts w:ascii="Roboto" w:eastAsia="Calibri" w:hAnsi="Roboto" w:cs="Calibri"/>
                          <w:color w:val="404040" w:themeColor="text1" w:themeTint="BF"/>
                          <w:sz w:val="20"/>
                          <w:szCs w:val="20"/>
                        </w:rPr>
                        <w:t xml:space="preserve">(2019): Pillar I: Requirements for fiscal reporting supplemented by further detail in Pillars II and III. Pillar IV focuses on the greater specificity required for natural resource activities. </w:t>
                      </w:r>
                    </w:p>
                    <w:p w14:paraId="26B6AD66" w14:textId="77777777" w:rsidR="00D15FD8" w:rsidRPr="00455230"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455230">
                        <w:rPr>
                          <w:rFonts w:ascii="Roboto" w:eastAsia="Calibri" w:hAnsi="Roboto" w:cs="Calibri"/>
                          <w:color w:val="404040" w:themeColor="text1" w:themeTint="BF"/>
                          <w:sz w:val="20"/>
                          <w:szCs w:val="20"/>
                        </w:rPr>
                        <w:t>[</w:t>
                      </w:r>
                      <w:hyperlink r:id="rId154" w:history="1">
                        <w:r w:rsidRPr="006C0887">
                          <w:rPr>
                            <w:rStyle w:val="Hyperlink"/>
                            <w:rFonts w:ascii="Roboto" w:eastAsia="Calibri" w:hAnsi="Roboto" w:cs="Calibri"/>
                            <w:color w:val="F26C21"/>
                            <w:sz w:val="20"/>
                            <w:szCs w:val="20"/>
                          </w:rPr>
                          <w:t>Manual on Fiscal Transparency</w:t>
                        </w:r>
                      </w:hyperlink>
                      <w:r w:rsidRPr="006C0887">
                        <w:rPr>
                          <w:rFonts w:ascii="Roboto" w:eastAsia="Calibri" w:hAnsi="Roboto" w:cs="Calibri"/>
                          <w:color w:val="F26C21"/>
                          <w:sz w:val="20"/>
                          <w:szCs w:val="20"/>
                        </w:rPr>
                        <w:t xml:space="preserve"> </w:t>
                      </w:r>
                      <w:r w:rsidRPr="00455230">
                        <w:rPr>
                          <w:rFonts w:ascii="Roboto" w:eastAsia="Calibri" w:hAnsi="Roboto" w:cs="Calibri"/>
                          <w:color w:val="404040" w:themeColor="text1" w:themeTint="BF"/>
                          <w:sz w:val="20"/>
                          <w:szCs w:val="20"/>
                        </w:rPr>
                        <w:t>(2007): Particularly</w:t>
                      </w:r>
                      <w:r w:rsidRPr="00455230">
                        <w:rPr>
                          <w:rFonts w:ascii="Roboto" w:eastAsia="Calibri" w:hAnsi="Roboto" w:cs="Calibri"/>
                          <w:i/>
                          <w:color w:val="404040" w:themeColor="text1" w:themeTint="BF"/>
                          <w:sz w:val="20"/>
                          <w:szCs w:val="20"/>
                        </w:rPr>
                        <w:t xml:space="preserve"> </w:t>
                      </w:r>
                      <w:r w:rsidRPr="00455230">
                        <w:rPr>
                          <w:rFonts w:ascii="Roboto" w:eastAsia="Calibri" w:hAnsi="Roboto" w:cs="Calibri"/>
                          <w:color w:val="404040" w:themeColor="text1" w:themeTint="BF"/>
                          <w:sz w:val="20"/>
                          <w:szCs w:val="20"/>
                        </w:rPr>
                        <w:t>pp. 61-105, covering Pillars II and III of the Code on public availability of information and assurances of integrity].</w:t>
                      </w:r>
                    </w:p>
                    <w:p w14:paraId="4926E03F" w14:textId="77777777" w:rsidR="00D15FD8" w:rsidRPr="00455230" w:rsidRDefault="00D15FD8" w:rsidP="002D14C0">
                      <w:pPr>
                        <w:pStyle w:val="ListParagraph"/>
                        <w:spacing w:line="259" w:lineRule="auto"/>
                        <w:ind w:left="308"/>
                        <w:suppressOverlap/>
                        <w:rPr>
                          <w:rFonts w:ascii="Roboto" w:hAnsi="Roboto"/>
                          <w:sz w:val="20"/>
                          <w:szCs w:val="20"/>
                        </w:rPr>
                      </w:pPr>
                      <w:r w:rsidRPr="00455230">
                        <w:rPr>
                          <w:rFonts w:ascii="Roboto" w:eastAsia="Calibri" w:hAnsi="Roboto" w:cs="Calibri"/>
                          <w:color w:val="404040" w:themeColor="text1" w:themeTint="BF"/>
                          <w:sz w:val="20"/>
                          <w:szCs w:val="20"/>
                        </w:rPr>
                        <w:t>[</w:t>
                      </w:r>
                      <w:hyperlink r:id="rId155" w:history="1">
                        <w:r w:rsidRPr="006C0887">
                          <w:rPr>
                            <w:rStyle w:val="Hyperlink"/>
                            <w:rFonts w:ascii="Roboto" w:eastAsia="Calibri" w:hAnsi="Roboto" w:cs="Calibri"/>
                            <w:iCs/>
                            <w:color w:val="F26C21"/>
                            <w:sz w:val="20"/>
                            <w:szCs w:val="20"/>
                          </w:rPr>
                          <w:t>Guide on Resource Revenue Transparency</w:t>
                        </w:r>
                      </w:hyperlink>
                      <w:r w:rsidRPr="006C0887">
                        <w:rPr>
                          <w:rFonts w:ascii="Roboto" w:eastAsia="Calibri" w:hAnsi="Roboto" w:cs="Calibri"/>
                          <w:iCs/>
                          <w:color w:val="F26C21"/>
                          <w:sz w:val="20"/>
                          <w:szCs w:val="20"/>
                          <w:u w:val="single"/>
                        </w:rPr>
                        <w:t xml:space="preserve"> </w:t>
                      </w:r>
                      <w:r w:rsidRPr="00455230">
                        <w:rPr>
                          <w:rFonts w:ascii="Roboto" w:eastAsia="Calibri" w:hAnsi="Roboto" w:cs="Calibri"/>
                          <w:iCs/>
                          <w:color w:val="404040" w:themeColor="text1" w:themeTint="BF"/>
                          <w:sz w:val="20"/>
                          <w:szCs w:val="20"/>
                        </w:rPr>
                        <w:t>(2007): Detailed requirements for the information (data and forecast) that should be published on resource-related revenues, spending, fiscal balance, natural and financial assets, and fiscal risks, in countries that are identified as resource-rich; and on past government receipts of company resource revenue payments. (See particularly pp. 37-48)].</w:t>
                      </w:r>
                    </w:p>
                  </w:txbxContent>
                </v:textbox>
              </v:shape>
            </w:pict>
          </mc:Fallback>
        </mc:AlternateContent>
      </w:r>
    </w:p>
    <w:p w14:paraId="20E9A1D0" w14:textId="267EA2F4" w:rsidR="00203FAB" w:rsidRPr="00764695" w:rsidRDefault="00634F41" w:rsidP="002D14C0">
      <w:pPr>
        <w:rPr>
          <w:rFonts w:ascii="Roboto" w:hAnsi="Roboto"/>
        </w:rPr>
      </w:pPr>
      <w:r w:rsidRPr="00764695">
        <w:rPr>
          <w:rFonts w:ascii="Roboto" w:hAnsi="Roboto"/>
          <w:noProof/>
          <w:lang w:val="en-US"/>
        </w:rPr>
        <w:drawing>
          <wp:anchor distT="0" distB="0" distL="114300" distR="114300" simplePos="0" relativeHeight="253612030" behindDoc="1" locked="0" layoutInCell="1" allowOverlap="1" wp14:anchorId="1939ACF0" wp14:editId="3C4F871A">
            <wp:simplePos x="0" y="0"/>
            <wp:positionH relativeFrom="column">
              <wp:posOffset>970280</wp:posOffset>
            </wp:positionH>
            <wp:positionV relativeFrom="paragraph">
              <wp:posOffset>102235</wp:posOffset>
            </wp:positionV>
            <wp:extent cx="289560" cy="344170"/>
            <wp:effectExtent l="0" t="0" r="0" b="0"/>
            <wp:wrapTight wrapText="bothSides">
              <wp:wrapPolygon edited="0">
                <wp:start x="0" y="0"/>
                <wp:lineTo x="0" y="20325"/>
                <wp:lineTo x="19895" y="20325"/>
                <wp:lineTo x="19895" y="7173"/>
                <wp:lineTo x="17053" y="0"/>
                <wp:lineTo x="0" y="0"/>
              </wp:wrapPolygon>
            </wp:wrapTight>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p>
    <w:p w14:paraId="3DF1612C" w14:textId="18C24B68" w:rsidR="00203FAB" w:rsidRDefault="0053337F" w:rsidP="002D14C0">
      <w:pPr>
        <w:tabs>
          <w:tab w:val="left" w:pos="5919"/>
        </w:tabs>
        <w:rPr>
          <w:rFonts w:ascii="Roboto" w:hAnsi="Roboto"/>
        </w:rPr>
      </w:pPr>
      <w:r w:rsidRPr="00764695">
        <w:rPr>
          <w:rFonts w:ascii="Roboto" w:hAnsi="Roboto"/>
          <w:noProof/>
          <w:lang w:val="en-US"/>
        </w:rPr>
        <mc:AlternateContent>
          <mc:Choice Requires="wps">
            <w:drawing>
              <wp:anchor distT="0" distB="0" distL="114300" distR="114300" simplePos="0" relativeHeight="253613054" behindDoc="0" locked="0" layoutInCell="1" allowOverlap="1" wp14:anchorId="6E8D1450" wp14:editId="3C931028">
                <wp:simplePos x="0" y="0"/>
                <wp:positionH relativeFrom="column">
                  <wp:posOffset>1258570</wp:posOffset>
                </wp:positionH>
                <wp:positionV relativeFrom="paragraph">
                  <wp:posOffset>10795</wp:posOffset>
                </wp:positionV>
                <wp:extent cx="1337310" cy="317500"/>
                <wp:effectExtent l="0" t="0" r="0" b="0"/>
                <wp:wrapNone/>
                <wp:docPr id="1606" name="Text Box 1606"/>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61CAA87F"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D1450" id="Text Box 1606" o:spid="_x0000_s1116" type="#_x0000_t202" style="position:absolute;margin-left:99.1pt;margin-top:.85pt;width:105.3pt;height:25pt;z-index:253613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" filled="f" stroked="f" strokeweight=".5pt">
                <v:textbox>
                  <w:txbxContent>
                    <w:p w14:paraId="61CAA87F"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00203FAB">
        <w:rPr>
          <w:rFonts w:ascii="Roboto" w:hAnsi="Roboto"/>
        </w:rPr>
        <w:tab/>
      </w:r>
    </w:p>
    <w:p w14:paraId="7029A471" w14:textId="080F1229" w:rsidR="00203FAB" w:rsidRDefault="00D875DA"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44638" behindDoc="0" locked="0" layoutInCell="1" allowOverlap="1" wp14:anchorId="6612A480" wp14:editId="27220E4F">
                <wp:simplePos x="0" y="0"/>
                <wp:positionH relativeFrom="column">
                  <wp:posOffset>-3610292</wp:posOffset>
                </wp:positionH>
                <wp:positionV relativeFrom="paragraph">
                  <wp:posOffset>398462</wp:posOffset>
                </wp:positionV>
                <wp:extent cx="5976620" cy="252095"/>
                <wp:effectExtent l="4762" t="0" r="0" b="0"/>
                <wp:wrapNone/>
                <wp:docPr id="124" name="Text Box 124"/>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522CA0AC" w14:textId="6E336F3D"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12A480" id="Text Box 124" o:spid="_x0000_s1117" type="#_x0000_t202" style="position:absolute;margin-left:-284.25pt;margin-top:31.35pt;width:470.6pt;height:19.85pt;rotation:90;z-index:2553446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" filled="f" stroked="f" strokeweight=".5pt">
                <v:textbox>
                  <w:txbxContent>
                    <w:p w14:paraId="522CA0AC" w14:textId="6E336F3D"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32</w:t>
                      </w:r>
                    </w:p>
                  </w:txbxContent>
                </v:textbox>
              </v:shape>
            </w:pict>
          </mc:Fallback>
        </mc:AlternateContent>
      </w:r>
      <w:r w:rsidR="006352BC" w:rsidRPr="00764695">
        <w:rPr>
          <w:rFonts w:ascii="Roboto" w:hAnsi="Roboto"/>
          <w:noProof/>
          <w:lang w:val="en-US"/>
        </w:rPr>
        <mc:AlternateContent>
          <mc:Choice Requires="wps">
            <w:drawing>
              <wp:anchor distT="0" distB="0" distL="114300" distR="114300" simplePos="0" relativeHeight="253614078" behindDoc="0" locked="0" layoutInCell="1" allowOverlap="1" wp14:anchorId="046AB71E" wp14:editId="14214C0B">
                <wp:simplePos x="0" y="0"/>
                <wp:positionH relativeFrom="column">
                  <wp:posOffset>63500</wp:posOffset>
                </wp:positionH>
                <wp:positionV relativeFrom="paragraph">
                  <wp:posOffset>172720</wp:posOffset>
                </wp:positionV>
                <wp:extent cx="3289300" cy="2844800"/>
                <wp:effectExtent l="0" t="0" r="0" b="0"/>
                <wp:wrapNone/>
                <wp:docPr id="1607" name="Text Box 1607"/>
                <wp:cNvGraphicFramePr/>
                <a:graphic xmlns:a="http://schemas.openxmlformats.org/drawingml/2006/main">
                  <a:graphicData uri="http://schemas.microsoft.com/office/word/2010/wordprocessingShape">
                    <wps:wsp>
                      <wps:cNvSpPr txBox="1"/>
                      <wps:spPr>
                        <a:xfrm>
                          <a:off x="0" y="0"/>
                          <a:ext cx="3289300" cy="2844800"/>
                        </a:xfrm>
                        <a:prstGeom prst="rect">
                          <a:avLst/>
                        </a:prstGeom>
                        <a:noFill/>
                        <a:ln w="6350">
                          <a:noFill/>
                        </a:ln>
                      </wps:spPr>
                      <wps:txbx>
                        <w:txbxContent>
                          <w:p w14:paraId="71CE30E9" w14:textId="77777777" w:rsidR="00D15FD8" w:rsidRPr="00455230" w:rsidRDefault="00D15FD8" w:rsidP="003625BA">
                            <w:pPr>
                              <w:spacing w:line="260" w:lineRule="atLeast"/>
                              <w:rPr>
                                <w:rFonts w:ascii="Roboto" w:hAnsi="Roboto" w:cs="AppleSystemUIFont"/>
                                <w:color w:val="FFFFFF" w:themeColor="background1"/>
                                <w:sz w:val="20"/>
                                <w:szCs w:val="20"/>
                              </w:rPr>
                            </w:pPr>
                            <w:r>
                              <w:rPr>
                                <w:rFonts w:ascii="Roboto" w:hAnsi="Roboto" w:cs="AppleSystemUIFont"/>
                                <w:color w:val="FFFFFF" w:themeColor="background1"/>
                                <w:sz w:val="20"/>
                                <w:szCs w:val="20"/>
                              </w:rPr>
                              <w:t>The p</w:t>
                            </w:r>
                            <w:r w:rsidRPr="00455230">
                              <w:rPr>
                                <w:rFonts w:ascii="Roboto" w:hAnsi="Roboto" w:cs="AppleSystemUIFont"/>
                                <w:color w:val="FFFFFF" w:themeColor="background1"/>
                                <w:sz w:val="20"/>
                                <w:szCs w:val="20"/>
                              </w:rPr>
                              <w:t xml:space="preserve">ublication of </w:t>
                            </w:r>
                            <w:proofErr w:type="gramStart"/>
                            <w:r w:rsidRPr="00455230">
                              <w:rPr>
                                <w:rFonts w:ascii="Roboto" w:hAnsi="Roboto" w:cs="AppleSystemUIFont"/>
                                <w:color w:val="FFFFFF" w:themeColor="background1"/>
                                <w:sz w:val="20"/>
                                <w:szCs w:val="20"/>
                              </w:rPr>
                              <w:t>high quality</w:t>
                            </w:r>
                            <w:proofErr w:type="gramEnd"/>
                            <w:r w:rsidRPr="00455230">
                              <w:rPr>
                                <w:rFonts w:ascii="Roboto" w:hAnsi="Roboto" w:cs="AppleSystemUIFont"/>
                                <w:color w:val="FFFFFF" w:themeColor="background1"/>
                                <w:sz w:val="20"/>
                                <w:szCs w:val="20"/>
                              </w:rPr>
                              <w:t xml:space="preserve"> fiscal information </w:t>
                            </w:r>
                            <w:r>
                              <w:rPr>
                                <w:rFonts w:ascii="Roboto" w:hAnsi="Roboto" w:cs="AppleSystemUIFont"/>
                                <w:color w:val="FFFFFF" w:themeColor="background1"/>
                                <w:sz w:val="20"/>
                                <w:szCs w:val="20"/>
                              </w:rPr>
                              <w:t xml:space="preserve">is </w:t>
                            </w:r>
                            <w:r w:rsidRPr="00455230">
                              <w:rPr>
                                <w:rFonts w:ascii="Roboto" w:hAnsi="Roboto" w:cs="AppleSystemUIFont"/>
                                <w:color w:val="FFFFFF" w:themeColor="background1"/>
                                <w:sz w:val="20"/>
                                <w:szCs w:val="20"/>
                              </w:rPr>
                              <w:t xml:space="preserve">at the core of fiscal transparency. </w:t>
                            </w:r>
                            <w:r>
                              <w:rPr>
                                <w:rFonts w:ascii="Roboto" w:hAnsi="Roboto" w:cs="AppleSystemUIFont"/>
                                <w:color w:val="FFFFFF" w:themeColor="background1"/>
                                <w:sz w:val="20"/>
                                <w:szCs w:val="20"/>
                              </w:rPr>
                              <w:t>It is a p</w:t>
                            </w:r>
                            <w:r w:rsidRPr="00455230">
                              <w:rPr>
                                <w:rFonts w:ascii="Roboto" w:hAnsi="Roboto" w:cs="AppleSystemUIFont"/>
                                <w:color w:val="FFFFFF" w:themeColor="background1"/>
                                <w:sz w:val="20"/>
                                <w:szCs w:val="20"/>
                              </w:rPr>
                              <w:t xml:space="preserve">recondition for legislative oversight, and for </w:t>
                            </w:r>
                            <w:r>
                              <w:rPr>
                                <w:rFonts w:ascii="Roboto" w:hAnsi="Roboto" w:cs="AppleSystemUIFont"/>
                                <w:color w:val="FFFFFF" w:themeColor="background1"/>
                                <w:sz w:val="20"/>
                                <w:szCs w:val="20"/>
                              </w:rPr>
                              <w:t xml:space="preserve">the </w:t>
                            </w:r>
                            <w:r w:rsidRPr="00455230">
                              <w:rPr>
                                <w:rFonts w:ascii="Roboto" w:hAnsi="Roboto" w:cs="AppleSystemUIFont"/>
                                <w:color w:val="FFFFFF" w:themeColor="background1"/>
                                <w:sz w:val="20"/>
                                <w:szCs w:val="20"/>
                              </w:rPr>
                              <w:t xml:space="preserve">public to understand and participate in the budgetary processes, to judge the government’s performance, and to hold it to account. </w:t>
                            </w:r>
                          </w:p>
                          <w:p w14:paraId="0E373E01" w14:textId="77777777" w:rsidR="00D15FD8" w:rsidRDefault="00D15FD8" w:rsidP="003625BA">
                            <w:pPr>
                              <w:spacing w:line="260" w:lineRule="atLeast"/>
                              <w:rPr>
                                <w:rFonts w:ascii="Roboto" w:hAnsi="Roboto" w:cs="AppleSystemUIFont"/>
                                <w:color w:val="FFFFFF" w:themeColor="background1"/>
                                <w:sz w:val="20"/>
                                <w:szCs w:val="20"/>
                              </w:rPr>
                            </w:pPr>
                          </w:p>
                          <w:p w14:paraId="78525A71" w14:textId="77777777" w:rsidR="00D15FD8" w:rsidRDefault="00D15FD8" w:rsidP="003625BA">
                            <w:pPr>
                              <w:spacing w:line="260" w:lineRule="atLeast"/>
                              <w:rPr>
                                <w:rFonts w:ascii="Roboto" w:hAnsi="Roboto" w:cs="AppleSystemUIFont"/>
                                <w:color w:val="FFFFFF" w:themeColor="background1"/>
                                <w:sz w:val="20"/>
                                <w:szCs w:val="20"/>
                              </w:rPr>
                            </w:pPr>
                            <w:r w:rsidRPr="00455230">
                              <w:rPr>
                                <w:rFonts w:ascii="Roboto" w:hAnsi="Roboto" w:cs="AppleSystemUIFont"/>
                                <w:color w:val="FFFFFF" w:themeColor="background1"/>
                                <w:sz w:val="20"/>
                                <w:szCs w:val="20"/>
                              </w:rPr>
                              <w:t>High quality information is comprehensive, regular, timely, reliable, useful, easily understood, readily accessible, and subject to internationally accepted standards.</w:t>
                            </w:r>
                          </w:p>
                          <w:p w14:paraId="0A649618" w14:textId="77777777" w:rsidR="00D15FD8" w:rsidRPr="00455230" w:rsidRDefault="00D15FD8" w:rsidP="003625BA">
                            <w:pPr>
                              <w:spacing w:line="260" w:lineRule="atLeast"/>
                              <w:rPr>
                                <w:rFonts w:ascii="Roboto" w:hAnsi="Roboto" w:cs="AppleSystemUIFont"/>
                                <w:color w:val="FFFFFF" w:themeColor="background1"/>
                                <w:sz w:val="20"/>
                                <w:szCs w:val="20"/>
                              </w:rPr>
                            </w:pPr>
                          </w:p>
                          <w:p w14:paraId="4FDEBFB4" w14:textId="77777777" w:rsidR="00D15FD8" w:rsidRDefault="00D15FD8" w:rsidP="003625BA">
                            <w:pPr>
                              <w:spacing w:line="260" w:lineRule="atLeast"/>
                              <w:rPr>
                                <w:rFonts w:ascii="Roboto" w:hAnsi="Roboto" w:cs="AppleSystemUIFont"/>
                                <w:color w:val="FFFFFF" w:themeColor="background1"/>
                                <w:sz w:val="20"/>
                                <w:szCs w:val="20"/>
                              </w:rPr>
                            </w:pPr>
                            <w:r w:rsidRPr="00455230">
                              <w:rPr>
                                <w:rFonts w:ascii="Roboto" w:hAnsi="Roboto" w:cs="AppleSystemUIFont"/>
                                <w:color w:val="FFFFFF" w:themeColor="background1"/>
                                <w:sz w:val="20"/>
                                <w:szCs w:val="20"/>
                              </w:rPr>
                              <w:t>International codes and standards provide guidance on the required coverage and quality of fiscal data. They also recommend that the provision of budgetary information be grounded in law.</w:t>
                            </w:r>
                          </w:p>
                          <w:p w14:paraId="2F6D43F1" w14:textId="77777777" w:rsidR="00D15FD8" w:rsidRDefault="00D15FD8" w:rsidP="003625BA">
                            <w:pPr>
                              <w:spacing w:line="260" w:lineRule="atLeast"/>
                              <w:rPr>
                                <w:rFonts w:ascii="Roboto" w:hAnsi="Roboto" w:cs="AppleSystemUIFont"/>
                                <w:color w:val="FFFFFF" w:themeColor="background1"/>
                                <w:sz w:val="20"/>
                                <w:szCs w:val="20"/>
                              </w:rPr>
                            </w:pPr>
                          </w:p>
                          <w:p w14:paraId="0DD44F71" w14:textId="77777777" w:rsidR="00D15FD8" w:rsidRDefault="00D15FD8" w:rsidP="003625BA">
                            <w:pPr>
                              <w:spacing w:line="260" w:lineRule="atLeast"/>
                              <w:rPr>
                                <w:rFonts w:ascii="Roboto" w:hAnsi="Roboto" w:cs="AppleSystemUIFont"/>
                                <w:color w:val="FFFFFF" w:themeColor="background1"/>
                                <w:sz w:val="20"/>
                                <w:szCs w:val="20"/>
                              </w:rPr>
                            </w:pPr>
                          </w:p>
                          <w:p w14:paraId="24F86231" w14:textId="77777777" w:rsidR="00D15FD8" w:rsidRPr="00553DE0" w:rsidRDefault="00D15FD8" w:rsidP="003625BA">
                            <w:pPr>
                              <w:spacing w:line="260" w:lineRule="atLeast"/>
                              <w:rPr>
                                <w:rFonts w:ascii="Roboto" w:hAnsi="Roboto"/>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AB71E" id="Text Box 1607" o:spid="_x0000_s1118" type="#_x0000_t202" style="position:absolute;margin-left:5pt;margin-top:13.6pt;width:259pt;height:224pt;z-index:253614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" filled="f" stroked="f" strokeweight=".5pt">
                <v:textbox>
                  <w:txbxContent>
                    <w:p w14:paraId="71CE30E9" w14:textId="77777777" w:rsidR="00D15FD8" w:rsidRPr="00455230" w:rsidRDefault="00D15FD8" w:rsidP="003625BA">
                      <w:pPr>
                        <w:spacing w:line="260" w:lineRule="atLeast"/>
                        <w:rPr>
                          <w:rFonts w:ascii="Roboto" w:hAnsi="Roboto" w:cs="AppleSystemUIFont"/>
                          <w:color w:val="FFFFFF" w:themeColor="background1"/>
                          <w:sz w:val="20"/>
                          <w:szCs w:val="20"/>
                        </w:rPr>
                      </w:pPr>
                      <w:r>
                        <w:rPr>
                          <w:rFonts w:ascii="Roboto" w:hAnsi="Roboto" w:cs="AppleSystemUIFont"/>
                          <w:color w:val="FFFFFF" w:themeColor="background1"/>
                          <w:sz w:val="20"/>
                          <w:szCs w:val="20"/>
                        </w:rPr>
                        <w:t>The p</w:t>
                      </w:r>
                      <w:r w:rsidRPr="00455230">
                        <w:rPr>
                          <w:rFonts w:ascii="Roboto" w:hAnsi="Roboto" w:cs="AppleSystemUIFont"/>
                          <w:color w:val="FFFFFF" w:themeColor="background1"/>
                          <w:sz w:val="20"/>
                          <w:szCs w:val="20"/>
                        </w:rPr>
                        <w:t xml:space="preserve">ublication of </w:t>
                      </w:r>
                      <w:proofErr w:type="gramStart"/>
                      <w:r w:rsidRPr="00455230">
                        <w:rPr>
                          <w:rFonts w:ascii="Roboto" w:hAnsi="Roboto" w:cs="AppleSystemUIFont"/>
                          <w:color w:val="FFFFFF" w:themeColor="background1"/>
                          <w:sz w:val="20"/>
                          <w:szCs w:val="20"/>
                        </w:rPr>
                        <w:t>high quality</w:t>
                      </w:r>
                      <w:proofErr w:type="gramEnd"/>
                      <w:r w:rsidRPr="00455230">
                        <w:rPr>
                          <w:rFonts w:ascii="Roboto" w:hAnsi="Roboto" w:cs="AppleSystemUIFont"/>
                          <w:color w:val="FFFFFF" w:themeColor="background1"/>
                          <w:sz w:val="20"/>
                          <w:szCs w:val="20"/>
                        </w:rPr>
                        <w:t xml:space="preserve"> fiscal information </w:t>
                      </w:r>
                      <w:r>
                        <w:rPr>
                          <w:rFonts w:ascii="Roboto" w:hAnsi="Roboto" w:cs="AppleSystemUIFont"/>
                          <w:color w:val="FFFFFF" w:themeColor="background1"/>
                          <w:sz w:val="20"/>
                          <w:szCs w:val="20"/>
                        </w:rPr>
                        <w:t xml:space="preserve">is </w:t>
                      </w:r>
                      <w:r w:rsidRPr="00455230">
                        <w:rPr>
                          <w:rFonts w:ascii="Roboto" w:hAnsi="Roboto" w:cs="AppleSystemUIFont"/>
                          <w:color w:val="FFFFFF" w:themeColor="background1"/>
                          <w:sz w:val="20"/>
                          <w:szCs w:val="20"/>
                        </w:rPr>
                        <w:t xml:space="preserve">at the core of fiscal transparency. </w:t>
                      </w:r>
                      <w:r>
                        <w:rPr>
                          <w:rFonts w:ascii="Roboto" w:hAnsi="Roboto" w:cs="AppleSystemUIFont"/>
                          <w:color w:val="FFFFFF" w:themeColor="background1"/>
                          <w:sz w:val="20"/>
                          <w:szCs w:val="20"/>
                        </w:rPr>
                        <w:t>It is a p</w:t>
                      </w:r>
                      <w:r w:rsidRPr="00455230">
                        <w:rPr>
                          <w:rFonts w:ascii="Roboto" w:hAnsi="Roboto" w:cs="AppleSystemUIFont"/>
                          <w:color w:val="FFFFFF" w:themeColor="background1"/>
                          <w:sz w:val="20"/>
                          <w:szCs w:val="20"/>
                        </w:rPr>
                        <w:t xml:space="preserve">recondition for legislative oversight, and for </w:t>
                      </w:r>
                      <w:r>
                        <w:rPr>
                          <w:rFonts w:ascii="Roboto" w:hAnsi="Roboto" w:cs="AppleSystemUIFont"/>
                          <w:color w:val="FFFFFF" w:themeColor="background1"/>
                          <w:sz w:val="20"/>
                          <w:szCs w:val="20"/>
                        </w:rPr>
                        <w:t xml:space="preserve">the </w:t>
                      </w:r>
                      <w:r w:rsidRPr="00455230">
                        <w:rPr>
                          <w:rFonts w:ascii="Roboto" w:hAnsi="Roboto" w:cs="AppleSystemUIFont"/>
                          <w:color w:val="FFFFFF" w:themeColor="background1"/>
                          <w:sz w:val="20"/>
                          <w:szCs w:val="20"/>
                        </w:rPr>
                        <w:t xml:space="preserve">public to understand and participate in the budgetary processes, to judge the government’s performance, and to hold it to account. </w:t>
                      </w:r>
                    </w:p>
                    <w:p w14:paraId="0E373E01" w14:textId="77777777" w:rsidR="00D15FD8" w:rsidRDefault="00D15FD8" w:rsidP="003625BA">
                      <w:pPr>
                        <w:spacing w:line="260" w:lineRule="atLeast"/>
                        <w:rPr>
                          <w:rFonts w:ascii="Roboto" w:hAnsi="Roboto" w:cs="AppleSystemUIFont"/>
                          <w:color w:val="FFFFFF" w:themeColor="background1"/>
                          <w:sz w:val="20"/>
                          <w:szCs w:val="20"/>
                        </w:rPr>
                      </w:pPr>
                    </w:p>
                    <w:p w14:paraId="78525A71" w14:textId="77777777" w:rsidR="00D15FD8" w:rsidRDefault="00D15FD8" w:rsidP="003625BA">
                      <w:pPr>
                        <w:spacing w:line="260" w:lineRule="atLeast"/>
                        <w:rPr>
                          <w:rFonts w:ascii="Roboto" w:hAnsi="Roboto" w:cs="AppleSystemUIFont"/>
                          <w:color w:val="FFFFFF" w:themeColor="background1"/>
                          <w:sz w:val="20"/>
                          <w:szCs w:val="20"/>
                        </w:rPr>
                      </w:pPr>
                      <w:r w:rsidRPr="00455230">
                        <w:rPr>
                          <w:rFonts w:ascii="Roboto" w:hAnsi="Roboto" w:cs="AppleSystemUIFont"/>
                          <w:color w:val="FFFFFF" w:themeColor="background1"/>
                          <w:sz w:val="20"/>
                          <w:szCs w:val="20"/>
                        </w:rPr>
                        <w:t>High quality information is comprehensive, regular, timely, reliable, useful, easily understood, readily accessible, and subject to internationally accepted standards.</w:t>
                      </w:r>
                    </w:p>
                    <w:p w14:paraId="0A649618" w14:textId="77777777" w:rsidR="00D15FD8" w:rsidRPr="00455230" w:rsidRDefault="00D15FD8" w:rsidP="003625BA">
                      <w:pPr>
                        <w:spacing w:line="260" w:lineRule="atLeast"/>
                        <w:rPr>
                          <w:rFonts w:ascii="Roboto" w:hAnsi="Roboto" w:cs="AppleSystemUIFont"/>
                          <w:color w:val="FFFFFF" w:themeColor="background1"/>
                          <w:sz w:val="20"/>
                          <w:szCs w:val="20"/>
                        </w:rPr>
                      </w:pPr>
                    </w:p>
                    <w:p w14:paraId="4FDEBFB4" w14:textId="77777777" w:rsidR="00D15FD8" w:rsidRDefault="00D15FD8" w:rsidP="003625BA">
                      <w:pPr>
                        <w:spacing w:line="260" w:lineRule="atLeast"/>
                        <w:rPr>
                          <w:rFonts w:ascii="Roboto" w:hAnsi="Roboto" w:cs="AppleSystemUIFont"/>
                          <w:color w:val="FFFFFF" w:themeColor="background1"/>
                          <w:sz w:val="20"/>
                          <w:szCs w:val="20"/>
                        </w:rPr>
                      </w:pPr>
                      <w:r w:rsidRPr="00455230">
                        <w:rPr>
                          <w:rFonts w:ascii="Roboto" w:hAnsi="Roboto" w:cs="AppleSystemUIFont"/>
                          <w:color w:val="FFFFFF" w:themeColor="background1"/>
                          <w:sz w:val="20"/>
                          <w:szCs w:val="20"/>
                        </w:rPr>
                        <w:t>International codes and standards provide guidance on the required coverage and quality of fiscal data. They also recommend that the provision of budgetary information be grounded in law.</w:t>
                      </w:r>
                    </w:p>
                    <w:p w14:paraId="2F6D43F1" w14:textId="77777777" w:rsidR="00D15FD8" w:rsidRDefault="00D15FD8" w:rsidP="003625BA">
                      <w:pPr>
                        <w:spacing w:line="260" w:lineRule="atLeast"/>
                        <w:rPr>
                          <w:rFonts w:ascii="Roboto" w:hAnsi="Roboto" w:cs="AppleSystemUIFont"/>
                          <w:color w:val="FFFFFF" w:themeColor="background1"/>
                          <w:sz w:val="20"/>
                          <w:szCs w:val="20"/>
                        </w:rPr>
                      </w:pPr>
                    </w:p>
                    <w:p w14:paraId="0DD44F71" w14:textId="77777777" w:rsidR="00D15FD8" w:rsidRDefault="00D15FD8" w:rsidP="003625BA">
                      <w:pPr>
                        <w:spacing w:line="260" w:lineRule="atLeast"/>
                        <w:rPr>
                          <w:rFonts w:ascii="Roboto" w:hAnsi="Roboto" w:cs="AppleSystemUIFont"/>
                          <w:color w:val="FFFFFF" w:themeColor="background1"/>
                          <w:sz w:val="20"/>
                          <w:szCs w:val="20"/>
                        </w:rPr>
                      </w:pPr>
                    </w:p>
                    <w:p w14:paraId="24F86231" w14:textId="77777777" w:rsidR="00D15FD8" w:rsidRPr="00553DE0" w:rsidRDefault="00D15FD8" w:rsidP="003625BA">
                      <w:pPr>
                        <w:spacing w:line="260" w:lineRule="atLeast"/>
                        <w:rPr>
                          <w:rFonts w:ascii="Roboto" w:hAnsi="Roboto"/>
                          <w:color w:val="FFFFFF" w:themeColor="background1"/>
                          <w:sz w:val="20"/>
                          <w:szCs w:val="20"/>
                        </w:rPr>
                      </w:pPr>
                    </w:p>
                  </w:txbxContent>
                </v:textbox>
              </v:shape>
            </w:pict>
          </mc:Fallback>
        </mc:AlternateContent>
      </w:r>
    </w:p>
    <w:p w14:paraId="08968847" w14:textId="02BC2CCB" w:rsidR="00203FAB" w:rsidRPr="006C0887" w:rsidRDefault="00203FAB" w:rsidP="002D14C0">
      <w:pPr>
        <w:rPr>
          <w:rFonts w:ascii="Roboto" w:hAnsi="Roboto"/>
        </w:rPr>
      </w:pPr>
    </w:p>
    <w:p w14:paraId="11F6BDC6" w14:textId="0F9B4FB0" w:rsidR="00203FAB" w:rsidRPr="006C0887" w:rsidRDefault="00203FAB" w:rsidP="002D14C0">
      <w:pPr>
        <w:rPr>
          <w:rFonts w:ascii="Roboto" w:hAnsi="Roboto"/>
        </w:rPr>
      </w:pPr>
    </w:p>
    <w:p w14:paraId="41DB0E53" w14:textId="7476E5DD" w:rsidR="00203FAB" w:rsidRPr="006C0887" w:rsidRDefault="003A742D"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43614" behindDoc="0" locked="0" layoutInCell="1" allowOverlap="1" wp14:anchorId="39C35D1A" wp14:editId="217557BD">
                <wp:simplePos x="0" y="0"/>
                <wp:positionH relativeFrom="column">
                  <wp:posOffset>6517958</wp:posOffset>
                </wp:positionH>
                <wp:positionV relativeFrom="paragraph">
                  <wp:posOffset>56810</wp:posOffset>
                </wp:positionV>
                <wp:extent cx="5977200" cy="252096"/>
                <wp:effectExtent l="4762" t="0" r="0" b="0"/>
                <wp:wrapNone/>
                <wp:docPr id="120" name="Text Box 120"/>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231E708F" w14:textId="1D6DC490"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90549775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1D0D146"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C35D1A" id="Text Box 120" o:spid="_x0000_s1119" type="#_x0000_t202" style="position:absolute;margin-left:513.25pt;margin-top:4.45pt;width:470.65pt;height:19.85pt;rotation:90;z-index:2553436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" fillcolor="white [3201]" stroked="f" strokeweight=".5pt">
                <v:textbox>
                  <w:txbxContent>
                    <w:p w14:paraId="231E708F" w14:textId="1D6DC490"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90549775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1D0D146" w14:textId="77777777" w:rsidR="00D15FD8" w:rsidRDefault="00D15FD8" w:rsidP="003D7CCB"/>
                  </w:txbxContent>
                </v:textbox>
              </v:shape>
            </w:pict>
          </mc:Fallback>
        </mc:AlternateContent>
      </w:r>
    </w:p>
    <w:p w14:paraId="0BC1653D" w14:textId="33F9DAF6" w:rsidR="00203FAB" w:rsidRPr="006C0887" w:rsidRDefault="00203FAB" w:rsidP="002D14C0">
      <w:pPr>
        <w:rPr>
          <w:rFonts w:ascii="Roboto" w:hAnsi="Roboto"/>
        </w:rPr>
      </w:pPr>
    </w:p>
    <w:p w14:paraId="43177D99" w14:textId="30698059" w:rsidR="00CC3EBD" w:rsidRDefault="009918CC" w:rsidP="00CC3EBD">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43966" behindDoc="0" locked="0" layoutInCell="1" allowOverlap="1" wp14:anchorId="20D02936" wp14:editId="40BFC2B6">
                <wp:simplePos x="0" y="0"/>
                <wp:positionH relativeFrom="column">
                  <wp:posOffset>5486400</wp:posOffset>
                </wp:positionH>
                <wp:positionV relativeFrom="paragraph">
                  <wp:posOffset>2701513</wp:posOffset>
                </wp:positionV>
                <wp:extent cx="3878317" cy="600479"/>
                <wp:effectExtent l="0" t="0" r="8255" b="9525"/>
                <wp:wrapNone/>
                <wp:docPr id="374" name="Rectangle 374"/>
                <wp:cNvGraphicFramePr/>
                <a:graphic xmlns:a="http://schemas.openxmlformats.org/drawingml/2006/main">
                  <a:graphicData uri="http://schemas.microsoft.com/office/word/2010/wordprocessingShape">
                    <wps:wsp>
                      <wps:cNvSpPr/>
                      <wps:spPr>
                        <a:xfrm>
                          <a:off x="0" y="0"/>
                          <a:ext cx="3878317" cy="6004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758DD13C" id="Rectangle 374" o:spid="_x0000_s1026" style="position:absolute;margin-left:6in;margin-top:212.7pt;width:305.4pt;height:47.3pt;z-index:2554439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" fillcolor="white [3212]" stroked="f" strokeweight="1pt"/>
            </w:pict>
          </mc:Fallback>
        </mc:AlternateContent>
      </w:r>
      <w:r w:rsidR="00CC3EBD">
        <w:rPr>
          <w:rFonts w:ascii="Roboto" w:hAnsi="Roboto"/>
        </w:rPr>
        <w:br w:type="page"/>
      </w:r>
    </w:p>
    <w:p w14:paraId="049F30C7" w14:textId="19863594" w:rsidR="00203FAB" w:rsidRDefault="009918CC" w:rsidP="00113300">
      <w:pPr>
        <w:spacing w:after="160" w:line="259" w:lineRule="auto"/>
        <w:rPr>
          <w:rFonts w:ascii="Roboto" w:hAnsi="Roboto"/>
        </w:rPr>
      </w:pPr>
      <w:r>
        <w:rPr>
          <w:rFonts w:ascii="Roboto" w:hAnsi="Roboto"/>
          <w:noProof/>
          <w:lang w:val="en-US"/>
        </w:rPr>
        <w:lastRenderedPageBreak/>
        <mc:AlternateContent>
          <mc:Choice Requires="wps">
            <w:drawing>
              <wp:anchor distT="0" distB="0" distL="114300" distR="114300" simplePos="0" relativeHeight="255446014" behindDoc="0" locked="0" layoutInCell="1" allowOverlap="1" wp14:anchorId="39B0E053" wp14:editId="1B5A308C">
                <wp:simplePos x="0" y="0"/>
                <wp:positionH relativeFrom="column">
                  <wp:posOffset>-267511</wp:posOffset>
                </wp:positionH>
                <wp:positionV relativeFrom="paragraph">
                  <wp:posOffset>-487702</wp:posOffset>
                </wp:positionV>
                <wp:extent cx="3878317" cy="268014"/>
                <wp:effectExtent l="0" t="0" r="0" b="0"/>
                <wp:wrapNone/>
                <wp:docPr id="375" name="Rectangle 375"/>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18E5908F" id="Rectangle 375" o:spid="_x0000_s1026" style="position:absolute;margin-left:-21.05pt;margin-top:-38.4pt;width:305.4pt;height:21.1pt;z-index:2554460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" fillcolor="white [3212]" stroked="f" strokeweight="1pt"/>
            </w:pict>
          </mc:Fallback>
        </mc:AlternateContent>
      </w:r>
      <w:r w:rsidR="00CC3EBD" w:rsidRPr="006C0887">
        <w:rPr>
          <w:rFonts w:ascii="Roboto" w:hAnsi="Roboto"/>
          <w:noProof/>
          <w:lang w:val="en-US"/>
        </w:rPr>
        <mc:AlternateContent>
          <mc:Choice Requires="wps">
            <w:drawing>
              <wp:anchor distT="0" distB="0" distL="114300" distR="114300" simplePos="0" relativeHeight="253617150" behindDoc="0" locked="0" layoutInCell="1" allowOverlap="1" wp14:anchorId="49519A89" wp14:editId="2DD3CE79">
                <wp:simplePos x="0" y="0"/>
                <wp:positionH relativeFrom="margin">
                  <wp:posOffset>-114935</wp:posOffset>
                </wp:positionH>
                <wp:positionV relativeFrom="margin">
                  <wp:posOffset>36939</wp:posOffset>
                </wp:positionV>
                <wp:extent cx="9093200" cy="5600700"/>
                <wp:effectExtent l="0" t="0" r="0" b="0"/>
                <wp:wrapNone/>
                <wp:docPr id="1633" name="Text Box 1633"/>
                <wp:cNvGraphicFramePr/>
                <a:graphic xmlns:a="http://schemas.openxmlformats.org/drawingml/2006/main">
                  <a:graphicData uri="http://schemas.microsoft.com/office/word/2010/wordprocessingShape">
                    <wps:wsp>
                      <wps:cNvSpPr txBox="1"/>
                      <wps:spPr>
                        <a:xfrm>
                          <a:off x="0" y="0"/>
                          <a:ext cx="9093200" cy="5600700"/>
                        </a:xfrm>
                        <a:prstGeom prst="rect">
                          <a:avLst/>
                        </a:prstGeom>
                        <a:noFill/>
                        <a:ln w="6350">
                          <a:noFill/>
                        </a:ln>
                      </wps:spPr>
                      <wps:txbx>
                        <w:txbxContent>
                          <w:p w14:paraId="73294664" w14:textId="77777777" w:rsidR="00D15FD8" w:rsidRPr="006C0887" w:rsidRDefault="00D15FD8" w:rsidP="002D14C0">
                            <w:pPr>
                              <w:spacing w:line="259" w:lineRule="auto"/>
                              <w:suppressOverlap/>
                              <w:rPr>
                                <w:rFonts w:ascii="Roboto" w:eastAsia="Calibri" w:hAnsi="Roboto" w:cs="Calibri"/>
                                <w:iCs/>
                                <w:color w:val="404040" w:themeColor="text1" w:themeTint="BF"/>
                                <w:sz w:val="20"/>
                                <w:szCs w:val="20"/>
                              </w:rPr>
                            </w:pPr>
                          </w:p>
                          <w:p w14:paraId="117E5182" w14:textId="77777777" w:rsidR="00D15FD8" w:rsidRPr="006C0887" w:rsidRDefault="00AC4DF7" w:rsidP="00113300">
                            <w:pPr>
                              <w:pStyle w:val="ListParagraph"/>
                              <w:numPr>
                                <w:ilvl w:val="0"/>
                                <w:numId w:val="25"/>
                              </w:numPr>
                              <w:spacing w:line="259" w:lineRule="auto"/>
                              <w:ind w:left="308" w:hanging="308"/>
                              <w:suppressOverlap/>
                              <w:rPr>
                                <w:rFonts w:ascii="Roboto" w:eastAsia="Calibri" w:hAnsi="Roboto" w:cs="Calibri"/>
                                <w:iCs/>
                                <w:color w:val="404040" w:themeColor="text1" w:themeTint="BF"/>
                                <w:sz w:val="20"/>
                                <w:szCs w:val="20"/>
                              </w:rPr>
                            </w:pPr>
                            <w:hyperlink r:id="rId156" w:history="1">
                              <w:r w:rsidR="00D15FD8" w:rsidRPr="007867F2">
                                <w:rPr>
                                  <w:rStyle w:val="Hyperlink"/>
                                  <w:rFonts w:ascii="Roboto" w:eastAsia="Calibri" w:hAnsi="Roboto" w:cs="Calibri"/>
                                  <w:color w:val="F26C21"/>
                                  <w:sz w:val="20"/>
                                  <w:szCs w:val="20"/>
                                </w:rPr>
                                <w:t>Standards for Data Dissemination</w:t>
                              </w:r>
                            </w:hyperlink>
                            <w:r w:rsidR="00D15FD8" w:rsidRPr="007867F2">
                              <w:rPr>
                                <w:rFonts w:ascii="Roboto" w:eastAsia="Calibri" w:hAnsi="Roboto" w:cs="Calibri"/>
                                <w:color w:val="F26C21"/>
                                <w:sz w:val="20"/>
                                <w:szCs w:val="20"/>
                                <w:u w:val="single"/>
                              </w:rPr>
                              <w:t>:</w:t>
                            </w:r>
                            <w:r w:rsidR="00D15FD8" w:rsidRPr="007867F2">
                              <w:rPr>
                                <w:rFonts w:ascii="Roboto" w:hAnsi="Roboto"/>
                                <w:color w:val="F26C21"/>
                                <w:sz w:val="20"/>
                                <w:szCs w:val="20"/>
                                <w:shd w:val="clear" w:color="auto" w:fill="EFEFEF"/>
                              </w:rPr>
                              <w:t xml:space="preserve"> </w:t>
                            </w:r>
                            <w:r w:rsidR="00D15FD8" w:rsidRPr="006C0887">
                              <w:rPr>
                                <w:rFonts w:ascii="Roboto" w:eastAsia="Calibri" w:hAnsi="Roboto" w:cs="Calibri"/>
                                <w:iCs/>
                                <w:color w:val="404040" w:themeColor="text1" w:themeTint="BF"/>
                                <w:sz w:val="20"/>
                                <w:szCs w:val="20"/>
                              </w:rPr>
                              <w:t>Volu</w:t>
                            </w:r>
                            <w:r w:rsidR="00D15FD8" w:rsidRPr="006C0887">
                              <w:rPr>
                                <w:rFonts w:ascii="Roboto" w:eastAsia="Calibri" w:hAnsi="Roboto" w:cs="Calibri"/>
                                <w:color w:val="404040" w:themeColor="text1" w:themeTint="BF"/>
                                <w:sz w:val="20"/>
                                <w:szCs w:val="20"/>
                              </w:rPr>
                              <w:t xml:space="preserve">ntary standards for dissemination of economic and financial data. </w:t>
                            </w:r>
                            <w:hyperlink r:id="rId157" w:history="1">
                              <w:r w:rsidR="00D15FD8" w:rsidRPr="006C0887">
                                <w:rPr>
                                  <w:rFonts w:ascii="Roboto" w:hAnsi="Roboto"/>
                                  <w:color w:val="404040" w:themeColor="text1" w:themeTint="BF"/>
                                  <w:sz w:val="20"/>
                                  <w:szCs w:val="20"/>
                                </w:rPr>
                                <w:t>Special Data Dissemination Standard</w:t>
                              </w:r>
                            </w:hyperlink>
                            <w:r w:rsidR="00D15FD8" w:rsidRPr="006C0887">
                              <w:rPr>
                                <w:rFonts w:ascii="Roboto" w:eastAsia="Calibri" w:hAnsi="Roboto" w:cs="Calibri"/>
                                <w:color w:val="404040" w:themeColor="text1" w:themeTint="BF"/>
                                <w:sz w:val="20"/>
                                <w:szCs w:val="20"/>
                              </w:rPr>
                              <w:t xml:space="preserve"> (SDDS) sets good practices for data publication in terms of coverage, periodicity, and timeliness; ease of access; integrity; and quality</w:t>
                            </w:r>
                            <w:r w:rsidR="00D15FD8" w:rsidRPr="006C0887">
                              <w:rPr>
                                <w:rFonts w:ascii="Roboto" w:eastAsia="Calibri" w:hAnsi="Roboto" w:cs="Calibri"/>
                                <w:iCs/>
                                <w:color w:val="404040" w:themeColor="text1" w:themeTint="BF"/>
                                <w:sz w:val="20"/>
                                <w:szCs w:val="20"/>
                              </w:rPr>
                              <w:t>. The SDDS was established for governments that have, or might seek, access to international capital markets. Most countries not subscribing to the SDDS, participate in the General Data Dissemination System (GDDS), or enhanced GDDS, which also provides guidance on the provision of comprehensive, timely, accessible, and reliable statistics to the public. For the fiscal sector, both the SDDS and GDDS provide detailed guidance on data sets and methodologies pertaining to government operations and gross debt.</w:t>
                            </w:r>
                          </w:p>
                          <w:p w14:paraId="3609A059" w14:textId="77777777" w:rsidR="00D15FD8" w:rsidRPr="006C0887" w:rsidRDefault="00D15FD8" w:rsidP="002D14C0">
                            <w:pPr>
                              <w:pStyle w:val="ListParagraph"/>
                              <w:spacing w:line="259" w:lineRule="auto"/>
                              <w:ind w:left="308"/>
                              <w:suppressOverlap/>
                              <w:rPr>
                                <w:rFonts w:ascii="Roboto" w:eastAsia="Calibri" w:hAnsi="Roboto" w:cs="Calibri"/>
                                <w:iCs/>
                                <w:color w:val="404040" w:themeColor="text1" w:themeTint="BF"/>
                                <w:sz w:val="20"/>
                                <w:szCs w:val="20"/>
                              </w:rPr>
                            </w:pPr>
                          </w:p>
                          <w:p w14:paraId="2A59520C" w14:textId="77777777" w:rsidR="00D15FD8" w:rsidRPr="007867F2" w:rsidRDefault="00D15FD8" w:rsidP="002D14C0">
                            <w:pPr>
                              <w:suppressOverlap/>
                              <w:rPr>
                                <w:rFonts w:ascii="Roboto" w:eastAsia="Calibri" w:hAnsi="Roboto" w:cs="Calibri"/>
                                <w:bCs/>
                                <w:i/>
                                <w:color w:val="1E9A8C"/>
                                <w:sz w:val="20"/>
                                <w:szCs w:val="20"/>
                              </w:rPr>
                            </w:pPr>
                            <w:r w:rsidRPr="007867F2">
                              <w:rPr>
                                <w:rFonts w:ascii="Roboto" w:eastAsia="Calibri" w:hAnsi="Roboto" w:cs="Calibri"/>
                                <w:b/>
                                <w:bCs/>
                                <w:color w:val="1E9A8C"/>
                                <w:sz w:val="20"/>
                                <w:szCs w:val="20"/>
                              </w:rPr>
                              <w:t>OECD</w:t>
                            </w:r>
                            <w:r w:rsidRPr="007867F2">
                              <w:rPr>
                                <w:rFonts w:ascii="Roboto" w:eastAsia="Calibri" w:hAnsi="Roboto" w:cs="Calibri"/>
                                <w:bCs/>
                                <w:color w:val="1E9A8C"/>
                                <w:sz w:val="20"/>
                                <w:szCs w:val="20"/>
                              </w:rPr>
                              <w:t>:</w:t>
                            </w:r>
                            <w:r w:rsidRPr="007867F2">
                              <w:rPr>
                                <w:rFonts w:ascii="Roboto" w:eastAsia="Calibri" w:hAnsi="Roboto" w:cs="Calibri"/>
                                <w:bCs/>
                                <w:i/>
                                <w:color w:val="1E9A8C"/>
                                <w:sz w:val="20"/>
                                <w:szCs w:val="20"/>
                              </w:rPr>
                              <w:t xml:space="preserve"> </w:t>
                            </w:r>
                          </w:p>
                          <w:p w14:paraId="3FAD566C" w14:textId="77777777" w:rsidR="00D15FD8" w:rsidRPr="006C0887" w:rsidRDefault="00AC4DF7" w:rsidP="00113300">
                            <w:pPr>
                              <w:pStyle w:val="ListParagraph"/>
                              <w:numPr>
                                <w:ilvl w:val="0"/>
                                <w:numId w:val="28"/>
                              </w:numPr>
                              <w:ind w:left="308" w:hanging="308"/>
                              <w:suppressOverlap/>
                              <w:rPr>
                                <w:rFonts w:ascii="Roboto" w:eastAsia="Calibri" w:hAnsi="Roboto" w:cs="Calibri"/>
                                <w:bCs/>
                                <w:color w:val="404040" w:themeColor="text1" w:themeTint="BF"/>
                                <w:sz w:val="20"/>
                                <w:szCs w:val="20"/>
                              </w:rPr>
                            </w:pPr>
                            <w:hyperlink r:id="rId158" w:history="1">
                              <w:r w:rsidR="00D15FD8" w:rsidRPr="007867F2">
                                <w:rPr>
                                  <w:rStyle w:val="Hyperlink"/>
                                  <w:rFonts w:ascii="Roboto" w:hAnsi="Roboto"/>
                                  <w:bCs/>
                                  <w:color w:val="F26C21"/>
                                  <w:sz w:val="20"/>
                                  <w:szCs w:val="20"/>
                                </w:rPr>
                                <w:t>Recommendation of the Council on Budgetary Governance: Principles of Good Budgetary Governance</w:t>
                              </w:r>
                            </w:hyperlink>
                            <w:r w:rsidR="00D15FD8" w:rsidRPr="006C0887">
                              <w:rPr>
                                <w:rFonts w:ascii="Roboto" w:hAnsi="Roboto"/>
                                <w:bCs/>
                                <w:i/>
                                <w:sz w:val="20"/>
                                <w:szCs w:val="20"/>
                              </w:rPr>
                              <w:t xml:space="preserve"> </w:t>
                            </w:r>
                            <w:r w:rsidR="00D15FD8" w:rsidRPr="006C0887">
                              <w:rPr>
                                <w:rFonts w:ascii="Roboto" w:hAnsi="Roboto"/>
                                <w:bCs/>
                                <w:sz w:val="20"/>
                                <w:szCs w:val="20"/>
                              </w:rPr>
                              <w:t>(2015):</w:t>
                            </w:r>
                            <w:r w:rsidR="00D15FD8" w:rsidRPr="006C0887">
                              <w:rPr>
                                <w:rFonts w:ascii="Roboto" w:eastAsia="Calibri" w:hAnsi="Roboto" w:cs="Calibri"/>
                                <w:bCs/>
                                <w:color w:val="404040" w:themeColor="text1" w:themeTint="BF"/>
                                <w:sz w:val="20"/>
                                <w:szCs w:val="20"/>
                              </w:rPr>
                              <w:t xml:space="preserve"> Budget documents and data should be ‘open, transparent and accessible’ (principle 4). Budget reports should be clear and factual (principle 4a) and published ‘fully, promptly and routinely’ (principle 4c).</w:t>
                            </w:r>
                            <w:r w:rsidR="00D15FD8" w:rsidRPr="006C0887">
                              <w:rPr>
                                <w:rFonts w:ascii="Roboto" w:eastAsia="Calibri" w:hAnsi="Roboto" w:cs="Calibri"/>
                                <w:bCs/>
                                <w:i/>
                                <w:color w:val="404040" w:themeColor="text1" w:themeTint="BF"/>
                                <w:sz w:val="20"/>
                                <w:szCs w:val="20"/>
                              </w:rPr>
                              <w:t xml:space="preserve"> </w:t>
                            </w:r>
                            <w:r w:rsidR="00D15FD8" w:rsidRPr="006C0887">
                              <w:rPr>
                                <w:rFonts w:ascii="Roboto" w:eastAsia="Calibri" w:hAnsi="Roboto" w:cs="Calibri"/>
                                <w:bCs/>
                                <w:color w:val="404040" w:themeColor="text1" w:themeTint="BF"/>
                                <w:sz w:val="20"/>
                                <w:szCs w:val="20"/>
                              </w:rPr>
                              <w:t xml:space="preserve">All expenditures and revenues of the national government should be accounted comprehensively and correctly in the budget document (Principle 6a) and a full national overview of the public finances, including sub-national levels of government, should be presented (principle 6b). </w:t>
                            </w:r>
                          </w:p>
                          <w:p w14:paraId="77D952AF" w14:textId="77777777" w:rsidR="00D15FD8" w:rsidRPr="006C0887" w:rsidRDefault="00AC4DF7" w:rsidP="00113300">
                            <w:pPr>
                              <w:pStyle w:val="ListParagraph"/>
                              <w:numPr>
                                <w:ilvl w:val="0"/>
                                <w:numId w:val="27"/>
                              </w:numPr>
                              <w:ind w:left="308" w:hanging="308"/>
                              <w:suppressOverlap/>
                              <w:rPr>
                                <w:rFonts w:ascii="Roboto" w:eastAsia="Calibri" w:hAnsi="Roboto" w:cs="Calibri"/>
                                <w:bCs/>
                                <w:color w:val="404040" w:themeColor="text1" w:themeTint="BF"/>
                                <w:sz w:val="20"/>
                                <w:szCs w:val="20"/>
                              </w:rPr>
                            </w:pPr>
                            <w:hyperlink r:id="rId159" w:history="1">
                              <w:r w:rsidR="00D15FD8" w:rsidRPr="007867F2">
                                <w:rPr>
                                  <w:rStyle w:val="Hyperlink"/>
                                  <w:rFonts w:ascii="Roboto" w:eastAsia="Calibri" w:hAnsi="Roboto" w:cs="Calibri"/>
                                  <w:bCs/>
                                  <w:iCs/>
                                  <w:color w:val="F26C21"/>
                                  <w:sz w:val="20"/>
                                  <w:szCs w:val="20"/>
                                </w:rPr>
                                <w:t>Best Practices for Budget Transparency</w:t>
                              </w:r>
                            </w:hyperlink>
                            <w:r w:rsidR="00D15FD8" w:rsidRPr="007867F2">
                              <w:rPr>
                                <w:rFonts w:ascii="Roboto" w:eastAsia="Calibri" w:hAnsi="Roboto" w:cs="Calibri"/>
                                <w:bCs/>
                                <w:iCs/>
                                <w:color w:val="F26C21"/>
                                <w:sz w:val="20"/>
                                <w:szCs w:val="20"/>
                              </w:rPr>
                              <w:t xml:space="preserve"> </w:t>
                            </w:r>
                            <w:r w:rsidR="00D15FD8" w:rsidRPr="006C0887">
                              <w:rPr>
                                <w:rFonts w:ascii="Roboto" w:eastAsia="Calibri" w:hAnsi="Roboto" w:cs="Calibri"/>
                                <w:bCs/>
                                <w:iCs/>
                                <w:color w:val="404040" w:themeColor="text1" w:themeTint="BF"/>
                                <w:sz w:val="20"/>
                                <w:szCs w:val="20"/>
                              </w:rPr>
                              <w:t>(2002):</w:t>
                            </w:r>
                            <w:r w:rsidR="00D15FD8" w:rsidRPr="006C0887">
                              <w:rPr>
                                <w:rFonts w:ascii="Roboto" w:eastAsia="Calibri" w:hAnsi="Roboto" w:cs="Calibri"/>
                                <w:bCs/>
                                <w:i/>
                                <w:iCs/>
                                <w:color w:val="404040" w:themeColor="text1" w:themeTint="BF"/>
                                <w:sz w:val="20"/>
                                <w:szCs w:val="20"/>
                              </w:rPr>
                              <w:t xml:space="preserve"> </w:t>
                            </w:r>
                            <w:r w:rsidR="00D15FD8" w:rsidRPr="006C0887">
                              <w:rPr>
                                <w:rFonts w:ascii="Roboto" w:eastAsia="Calibri" w:hAnsi="Roboto" w:cs="Calibri"/>
                                <w:bCs/>
                                <w:iCs/>
                                <w:color w:val="404040" w:themeColor="text1" w:themeTint="BF"/>
                                <w:sz w:val="20"/>
                                <w:szCs w:val="20"/>
                              </w:rPr>
                              <w:t>D</w:t>
                            </w:r>
                            <w:r w:rsidR="00D15FD8" w:rsidRPr="006C0887">
                              <w:rPr>
                                <w:rFonts w:ascii="Roboto" w:eastAsia="Calibri" w:hAnsi="Roboto" w:cs="Calibri"/>
                                <w:bCs/>
                                <w:color w:val="404040" w:themeColor="text1" w:themeTint="BF"/>
                                <w:sz w:val="20"/>
                                <w:szCs w:val="20"/>
                              </w:rPr>
                              <w:t>etailed requirements for the publication of data and other information in the government’s budget, pre-budget report, monthly reports, mid-year report, year-end report, long term report and a pre-election report. A summary of relevant accounting policies should accompany all reports, including disclosure of any deviations from generally accepted accounting practices, and the same accounting policies should be used for all fiscal report</w:t>
                            </w:r>
                            <w:r w:rsidR="00D15FD8">
                              <w:rPr>
                                <w:rFonts w:ascii="Roboto" w:eastAsia="Calibri" w:hAnsi="Roboto" w:cs="Calibri"/>
                                <w:bCs/>
                                <w:color w:val="404040" w:themeColor="text1" w:themeTint="BF"/>
                                <w:sz w:val="20"/>
                                <w:szCs w:val="20"/>
                              </w:rPr>
                              <w:t>s</w:t>
                            </w:r>
                            <w:r w:rsidR="00D15FD8" w:rsidRPr="006C0887">
                              <w:rPr>
                                <w:rFonts w:ascii="Roboto" w:eastAsia="Calibri" w:hAnsi="Roboto" w:cs="Calibri"/>
                                <w:bCs/>
                                <w:color w:val="404040" w:themeColor="text1" w:themeTint="BF"/>
                                <w:sz w:val="20"/>
                                <w:szCs w:val="20"/>
                              </w:rPr>
                              <w:t>. Also contains provisions designed to provide assurance of data integrity, and requirements for information on assets, liabilities, and contingent liabilities.</w:t>
                            </w:r>
                          </w:p>
                          <w:p w14:paraId="67460187" w14:textId="77777777" w:rsidR="00D15FD8" w:rsidRPr="006C0887" w:rsidRDefault="00AC4DF7" w:rsidP="00113300">
                            <w:pPr>
                              <w:pStyle w:val="ListParagraph"/>
                              <w:numPr>
                                <w:ilvl w:val="0"/>
                                <w:numId w:val="27"/>
                              </w:numPr>
                              <w:ind w:left="308" w:hanging="308"/>
                              <w:suppressOverlap/>
                              <w:rPr>
                                <w:rFonts w:ascii="Roboto" w:eastAsia="Calibri" w:hAnsi="Roboto" w:cs="Calibri"/>
                                <w:color w:val="404040" w:themeColor="text1" w:themeTint="BF"/>
                                <w:sz w:val="20"/>
                                <w:szCs w:val="20"/>
                              </w:rPr>
                            </w:pPr>
                            <w:hyperlink r:id="rId160" w:history="1">
                              <w:r w:rsidR="00D15FD8" w:rsidRPr="007867F2">
                                <w:rPr>
                                  <w:rStyle w:val="Hyperlink"/>
                                  <w:rFonts w:ascii="Roboto" w:eastAsia="Calibri" w:hAnsi="Roboto" w:cs="Calibri"/>
                                  <w:color w:val="F26C21"/>
                                  <w:sz w:val="20"/>
                                  <w:szCs w:val="20"/>
                                </w:rPr>
                                <w:t>Budget Transparency Toolkit</w:t>
                              </w:r>
                            </w:hyperlink>
                            <w:r w:rsidR="00D15FD8" w:rsidRPr="007867F2">
                              <w:rPr>
                                <w:rFonts w:ascii="Roboto" w:eastAsia="Calibri" w:hAnsi="Roboto" w:cs="Calibri"/>
                                <w:color w:val="F26C21"/>
                                <w:sz w:val="20"/>
                                <w:szCs w:val="20"/>
                              </w:rPr>
                              <w:t xml:space="preserve"> </w:t>
                            </w:r>
                            <w:r w:rsidR="00D15FD8" w:rsidRPr="006C0887">
                              <w:rPr>
                                <w:rFonts w:ascii="Roboto" w:eastAsia="Calibri" w:hAnsi="Roboto" w:cs="Calibri"/>
                                <w:color w:val="404040" w:themeColor="text1" w:themeTint="BF"/>
                                <w:sz w:val="20"/>
                                <w:szCs w:val="20"/>
                              </w:rPr>
                              <w:t xml:space="preserve">(2017): contains section H on making budget information accessible to the public. H.1: Presenting key budget information in a clear manner that can be understood easily by the public and by civil-society stakeholders. H.2: Publishing a Citizen’s Budget. Section I: Using open data to support budget transparency. I.1: Open data should meet minimum standards. I.2: Requirements for access to open budget data.  I.3: Integrating open budget data portals with existing portals. </w:t>
                            </w:r>
                          </w:p>
                          <w:p w14:paraId="03B57EEC" w14:textId="77777777" w:rsidR="00D15FD8" w:rsidRPr="006C0887" w:rsidRDefault="00D15FD8" w:rsidP="002D14C0">
                            <w:pPr>
                              <w:pStyle w:val="ListParagraph"/>
                              <w:ind w:left="308"/>
                              <w:suppressOverlap/>
                              <w:rPr>
                                <w:rFonts w:ascii="Roboto" w:eastAsia="Calibri" w:hAnsi="Roboto" w:cs="Calibri"/>
                                <w:color w:val="404040" w:themeColor="text1" w:themeTint="BF"/>
                                <w:sz w:val="20"/>
                                <w:szCs w:val="20"/>
                              </w:rPr>
                            </w:pPr>
                          </w:p>
                          <w:p w14:paraId="64D2E645" w14:textId="77777777" w:rsidR="00D15FD8" w:rsidRPr="006C0887" w:rsidRDefault="00AC4DF7" w:rsidP="002D14C0">
                            <w:pPr>
                              <w:spacing w:after="160" w:line="259" w:lineRule="auto"/>
                              <w:suppressOverlap/>
                              <w:rPr>
                                <w:rFonts w:ascii="Roboto" w:eastAsia="Calibri" w:hAnsi="Roboto" w:cs="Calibri"/>
                                <w:color w:val="404040" w:themeColor="text1" w:themeTint="BF"/>
                                <w:sz w:val="20"/>
                                <w:szCs w:val="20"/>
                              </w:rPr>
                            </w:pPr>
                            <w:hyperlink r:id="rId161" w:history="1">
                              <w:r w:rsidR="00D15FD8" w:rsidRPr="007867F2">
                                <w:rPr>
                                  <w:rStyle w:val="Hyperlink"/>
                                  <w:rFonts w:ascii="Roboto" w:eastAsia="Calibri" w:hAnsi="Roboto" w:cs="Calibri"/>
                                  <w:b/>
                                  <w:color w:val="1E9A8C"/>
                                  <w:sz w:val="20"/>
                                  <w:szCs w:val="20"/>
                                </w:rPr>
                                <w:t>International Public Sector Accounting Standards Board</w:t>
                              </w:r>
                            </w:hyperlink>
                            <w:r w:rsidR="00D15FD8" w:rsidRPr="007867F2">
                              <w:rPr>
                                <w:rFonts w:ascii="Roboto" w:eastAsia="Calibri" w:hAnsi="Roboto" w:cs="Calibri"/>
                                <w:color w:val="1E9A8C"/>
                                <w:sz w:val="20"/>
                                <w:szCs w:val="20"/>
                              </w:rPr>
                              <w:t xml:space="preserve"> </w:t>
                            </w:r>
                            <w:r w:rsidR="00D15FD8" w:rsidRPr="006C0887">
                              <w:rPr>
                                <w:rFonts w:ascii="Roboto" w:eastAsia="Calibri" w:hAnsi="Roboto" w:cs="Calibri"/>
                                <w:color w:val="404040" w:themeColor="text1" w:themeTint="BF"/>
                                <w:sz w:val="20"/>
                                <w:szCs w:val="20"/>
                              </w:rPr>
                              <w:t xml:space="preserve">(IPSASB):  </w:t>
                            </w:r>
                            <w:hyperlink r:id="rId162" w:history="1">
                              <w:r w:rsidR="00D15FD8" w:rsidRPr="007867F2">
                                <w:rPr>
                                  <w:rStyle w:val="Hyperlink"/>
                                  <w:rFonts w:ascii="Roboto" w:eastAsia="Calibri" w:hAnsi="Roboto" w:cs="Calibri"/>
                                  <w:color w:val="F26C21"/>
                                  <w:sz w:val="20"/>
                                  <w:szCs w:val="20"/>
                                </w:rPr>
                                <w:t>Handbook on International Public Sector Accounting Pronouncements</w:t>
                              </w:r>
                            </w:hyperlink>
                            <w:r w:rsidR="00D15FD8" w:rsidRPr="007867F2">
                              <w:rPr>
                                <w:rFonts w:ascii="Roboto" w:eastAsia="Calibri" w:hAnsi="Roboto" w:cs="Calibri"/>
                                <w:color w:val="F26C21"/>
                                <w:sz w:val="20"/>
                                <w:szCs w:val="20"/>
                                <w:u w:val="single"/>
                              </w:rPr>
                              <w:t xml:space="preserve"> </w:t>
                            </w:r>
                            <w:r w:rsidR="00D15FD8" w:rsidRPr="006C0887">
                              <w:rPr>
                                <w:rFonts w:ascii="Roboto" w:eastAsia="Calibri" w:hAnsi="Roboto" w:cs="Calibri"/>
                                <w:color w:val="404040" w:themeColor="text1" w:themeTint="BF"/>
                                <w:sz w:val="20"/>
                                <w:szCs w:val="20"/>
                              </w:rPr>
                              <w:t>(</w:t>
                            </w:r>
                            <w:r w:rsidR="00D15FD8">
                              <w:rPr>
                                <w:rFonts w:ascii="Roboto" w:eastAsia="Calibri" w:hAnsi="Roboto" w:cs="Calibri"/>
                                <w:color w:val="404040" w:themeColor="text1" w:themeTint="BF"/>
                                <w:sz w:val="20"/>
                                <w:szCs w:val="20"/>
                              </w:rPr>
                              <w:t>2022</w:t>
                            </w:r>
                            <w:r w:rsidR="00D15FD8" w:rsidRPr="006C0887">
                              <w:rPr>
                                <w:rFonts w:ascii="Roboto" w:eastAsia="Calibri" w:hAnsi="Roboto" w:cs="Calibri"/>
                                <w:color w:val="404040" w:themeColor="text1" w:themeTint="BF"/>
                                <w:sz w:val="20"/>
                                <w:szCs w:val="20"/>
                              </w:rPr>
                              <w:t>): Accounting standards for public sector entities.</w:t>
                            </w:r>
                          </w:p>
                          <w:p w14:paraId="09D8CA4C" w14:textId="77777777" w:rsidR="00D15FD8" w:rsidRPr="007867F2" w:rsidRDefault="00AC4DF7" w:rsidP="002D14C0">
                            <w:pPr>
                              <w:spacing w:after="160" w:line="259" w:lineRule="auto"/>
                              <w:suppressOverlap/>
                              <w:rPr>
                                <w:rFonts w:ascii="Roboto" w:eastAsia="Calibri" w:hAnsi="Roboto" w:cs="Calibri"/>
                                <w:color w:val="F26C21"/>
                                <w:sz w:val="20"/>
                                <w:szCs w:val="20"/>
                                <w:u w:val="single"/>
                              </w:rPr>
                            </w:pPr>
                            <w:hyperlink r:id="rId163" w:history="1">
                              <w:r w:rsidR="00D15FD8" w:rsidRPr="007867F2">
                                <w:rPr>
                                  <w:rStyle w:val="Hyperlink"/>
                                  <w:rFonts w:ascii="Roboto" w:eastAsia="Calibri" w:hAnsi="Roboto" w:cs="Calibri"/>
                                  <w:color w:val="F26C21"/>
                                  <w:sz w:val="20"/>
                                  <w:szCs w:val="20"/>
                                </w:rPr>
                                <w:t>G20 Anti-Corruption Open Data Principles</w:t>
                              </w:r>
                            </w:hyperlink>
                            <w:r w:rsidR="00D15FD8" w:rsidRPr="007867F2">
                              <w:rPr>
                                <w:rFonts w:ascii="Roboto" w:eastAsia="Calibri" w:hAnsi="Roboto" w:cs="Calibri"/>
                                <w:color w:val="F26C21"/>
                                <w:sz w:val="20"/>
                                <w:szCs w:val="20"/>
                              </w:rPr>
                              <w:t xml:space="preserve"> </w:t>
                            </w:r>
                            <w:r w:rsidR="00D15FD8" w:rsidRPr="006C0887">
                              <w:rPr>
                                <w:rFonts w:ascii="Roboto" w:eastAsia="Calibri" w:hAnsi="Roboto" w:cs="Calibri"/>
                                <w:color w:val="404040" w:themeColor="text1" w:themeTint="BF"/>
                                <w:sz w:val="20"/>
                                <w:szCs w:val="20"/>
                              </w:rPr>
                              <w:t xml:space="preserve">(2015): 6 principles for provision of government data. Principle 1: Government data should be ‘open by default’. Subsequent principles establish that government data should be: timely and comprehensive; accessible and usable; comparable and inter-operable; for improved governance and citizen engagement; and for inclusive development and innovation. Principles form the core of the </w:t>
                            </w:r>
                            <w:hyperlink r:id="rId164" w:history="1">
                              <w:r w:rsidR="00D15FD8" w:rsidRPr="007867F2">
                                <w:rPr>
                                  <w:rStyle w:val="Hyperlink"/>
                                  <w:rFonts w:ascii="Roboto" w:eastAsia="Calibri" w:hAnsi="Roboto" w:cs="Calibri"/>
                                  <w:color w:val="F26C21"/>
                                  <w:sz w:val="20"/>
                                  <w:szCs w:val="20"/>
                                </w:rPr>
                                <w:t>Open Data Charter</w:t>
                              </w:r>
                            </w:hyperlink>
                            <w:r w:rsidR="00D15FD8" w:rsidRPr="007867F2">
                              <w:rPr>
                                <w:rFonts w:ascii="Roboto" w:eastAsia="Calibri" w:hAnsi="Roboto" w:cs="Calibri"/>
                                <w:color w:val="F26C21"/>
                                <w:sz w:val="20"/>
                                <w:szCs w:val="20"/>
                                <w:u w:val="single"/>
                              </w:rPr>
                              <w:t>.</w:t>
                            </w:r>
                          </w:p>
                          <w:p w14:paraId="5CD5884B" w14:textId="77777777" w:rsidR="00D15FD8" w:rsidRPr="006C0887" w:rsidRDefault="00AC4DF7" w:rsidP="002D14C0">
                            <w:pPr>
                              <w:spacing w:after="160" w:line="259" w:lineRule="auto"/>
                              <w:suppressOverlap/>
                              <w:rPr>
                                <w:rFonts w:ascii="Roboto" w:eastAsia="Calibri" w:hAnsi="Roboto" w:cs="Calibri"/>
                                <w:color w:val="404040" w:themeColor="text1" w:themeTint="BF"/>
                                <w:sz w:val="20"/>
                                <w:szCs w:val="20"/>
                              </w:rPr>
                            </w:pPr>
                            <w:hyperlink r:id="rId165" w:history="1">
                              <w:r w:rsidR="00D15FD8" w:rsidRPr="007867F2">
                                <w:rPr>
                                  <w:rStyle w:val="Hyperlink"/>
                                  <w:rFonts w:ascii="Roboto" w:eastAsia="Calibri" w:hAnsi="Roboto" w:cs="Calibri"/>
                                  <w:color w:val="F26C21"/>
                                  <w:sz w:val="20"/>
                                  <w:szCs w:val="20"/>
                                </w:rPr>
                                <w:t>Public Sector Debt Statistics: Guide for Compilers and Users</w:t>
                              </w:r>
                            </w:hyperlink>
                            <w:r w:rsidR="00D15FD8" w:rsidRPr="007867F2">
                              <w:rPr>
                                <w:rFonts w:ascii="Roboto" w:eastAsia="Calibri" w:hAnsi="Roboto" w:cs="Calibri"/>
                                <w:i/>
                                <w:color w:val="F26C21"/>
                                <w:sz w:val="20"/>
                                <w:szCs w:val="20"/>
                              </w:rPr>
                              <w:t xml:space="preserve"> </w:t>
                            </w:r>
                            <w:r w:rsidR="00D15FD8" w:rsidRPr="006C0887">
                              <w:rPr>
                                <w:rFonts w:ascii="Roboto" w:eastAsia="Calibri" w:hAnsi="Roboto" w:cs="Calibri"/>
                                <w:color w:val="404040" w:themeColor="text1" w:themeTint="BF"/>
                                <w:sz w:val="20"/>
                                <w:szCs w:val="20"/>
                              </w:rPr>
                              <w:t xml:space="preserve">(2011): Guidance on the concepts, definitions, and classifications of public sector debt statistics; the sources and techniques for compiling data; and some analytical tools that may be used to analyse statistics. </w:t>
                            </w:r>
                          </w:p>
                          <w:p w14:paraId="06DA986A" w14:textId="7F3B3762" w:rsidR="00D15FD8" w:rsidRPr="006C0887"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19A89" id="Text Box 1633" o:spid="_x0000_s1120" type="#_x0000_t202" style="position:absolute;margin-left:-9.05pt;margin-top:2.9pt;width:716pt;height:441pt;z-index:25361715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" filled="f" stroked="f" strokeweight=".5pt">
                <v:textbox>
                  <w:txbxContent>
                    <w:p w14:paraId="73294664" w14:textId="77777777" w:rsidR="00D15FD8" w:rsidRPr="006C0887" w:rsidRDefault="00D15FD8" w:rsidP="002D14C0">
                      <w:pPr>
                        <w:spacing w:line="259" w:lineRule="auto"/>
                        <w:suppressOverlap/>
                        <w:rPr>
                          <w:rFonts w:ascii="Roboto" w:eastAsia="Calibri" w:hAnsi="Roboto" w:cs="Calibri"/>
                          <w:iCs/>
                          <w:color w:val="404040" w:themeColor="text1" w:themeTint="BF"/>
                          <w:sz w:val="20"/>
                          <w:szCs w:val="20"/>
                        </w:rPr>
                      </w:pPr>
                    </w:p>
                    <w:p w14:paraId="117E5182" w14:textId="77777777" w:rsidR="00D15FD8" w:rsidRPr="006C0887" w:rsidRDefault="00AC4DF7" w:rsidP="00113300">
                      <w:pPr>
                        <w:pStyle w:val="ListParagraph"/>
                        <w:numPr>
                          <w:ilvl w:val="0"/>
                          <w:numId w:val="25"/>
                        </w:numPr>
                        <w:spacing w:line="259" w:lineRule="auto"/>
                        <w:ind w:left="308" w:hanging="308"/>
                        <w:suppressOverlap/>
                        <w:rPr>
                          <w:rFonts w:ascii="Roboto" w:eastAsia="Calibri" w:hAnsi="Roboto" w:cs="Calibri"/>
                          <w:iCs/>
                          <w:color w:val="404040" w:themeColor="text1" w:themeTint="BF"/>
                          <w:sz w:val="20"/>
                          <w:szCs w:val="20"/>
                        </w:rPr>
                      </w:pPr>
                      <w:hyperlink r:id="rId166" w:history="1">
                        <w:r w:rsidR="00D15FD8" w:rsidRPr="007867F2">
                          <w:rPr>
                            <w:rStyle w:val="Hyperlink"/>
                            <w:rFonts w:ascii="Roboto" w:eastAsia="Calibri" w:hAnsi="Roboto" w:cs="Calibri"/>
                            <w:color w:val="F26C21"/>
                            <w:sz w:val="20"/>
                            <w:szCs w:val="20"/>
                          </w:rPr>
                          <w:t>Standards for Data Dissemination</w:t>
                        </w:r>
                      </w:hyperlink>
                      <w:r w:rsidR="00D15FD8" w:rsidRPr="007867F2">
                        <w:rPr>
                          <w:rFonts w:ascii="Roboto" w:eastAsia="Calibri" w:hAnsi="Roboto" w:cs="Calibri"/>
                          <w:color w:val="F26C21"/>
                          <w:sz w:val="20"/>
                          <w:szCs w:val="20"/>
                          <w:u w:val="single"/>
                        </w:rPr>
                        <w:t>:</w:t>
                      </w:r>
                      <w:r w:rsidR="00D15FD8" w:rsidRPr="007867F2">
                        <w:rPr>
                          <w:rFonts w:ascii="Roboto" w:hAnsi="Roboto"/>
                          <w:color w:val="F26C21"/>
                          <w:sz w:val="20"/>
                          <w:szCs w:val="20"/>
                          <w:shd w:val="clear" w:color="auto" w:fill="EFEFEF"/>
                        </w:rPr>
                        <w:t xml:space="preserve"> </w:t>
                      </w:r>
                      <w:r w:rsidR="00D15FD8" w:rsidRPr="006C0887">
                        <w:rPr>
                          <w:rFonts w:ascii="Roboto" w:eastAsia="Calibri" w:hAnsi="Roboto" w:cs="Calibri"/>
                          <w:iCs/>
                          <w:color w:val="404040" w:themeColor="text1" w:themeTint="BF"/>
                          <w:sz w:val="20"/>
                          <w:szCs w:val="20"/>
                        </w:rPr>
                        <w:t>Volu</w:t>
                      </w:r>
                      <w:r w:rsidR="00D15FD8" w:rsidRPr="006C0887">
                        <w:rPr>
                          <w:rFonts w:ascii="Roboto" w:eastAsia="Calibri" w:hAnsi="Roboto" w:cs="Calibri"/>
                          <w:color w:val="404040" w:themeColor="text1" w:themeTint="BF"/>
                          <w:sz w:val="20"/>
                          <w:szCs w:val="20"/>
                        </w:rPr>
                        <w:t xml:space="preserve">ntary standards for dissemination of economic and financial data. </w:t>
                      </w:r>
                      <w:hyperlink r:id="rId167" w:history="1">
                        <w:r w:rsidR="00D15FD8" w:rsidRPr="006C0887">
                          <w:rPr>
                            <w:rFonts w:ascii="Roboto" w:hAnsi="Roboto"/>
                            <w:color w:val="404040" w:themeColor="text1" w:themeTint="BF"/>
                            <w:sz w:val="20"/>
                            <w:szCs w:val="20"/>
                          </w:rPr>
                          <w:t>Special Data Dissemination Standard</w:t>
                        </w:r>
                      </w:hyperlink>
                      <w:r w:rsidR="00D15FD8" w:rsidRPr="006C0887">
                        <w:rPr>
                          <w:rFonts w:ascii="Roboto" w:eastAsia="Calibri" w:hAnsi="Roboto" w:cs="Calibri"/>
                          <w:color w:val="404040" w:themeColor="text1" w:themeTint="BF"/>
                          <w:sz w:val="20"/>
                          <w:szCs w:val="20"/>
                        </w:rPr>
                        <w:t xml:space="preserve"> (SDDS) sets good practices for data publication in terms of coverage, periodicity, and timeliness; ease of access; integrity; and quality</w:t>
                      </w:r>
                      <w:r w:rsidR="00D15FD8" w:rsidRPr="006C0887">
                        <w:rPr>
                          <w:rFonts w:ascii="Roboto" w:eastAsia="Calibri" w:hAnsi="Roboto" w:cs="Calibri"/>
                          <w:iCs/>
                          <w:color w:val="404040" w:themeColor="text1" w:themeTint="BF"/>
                          <w:sz w:val="20"/>
                          <w:szCs w:val="20"/>
                        </w:rPr>
                        <w:t>. The SDDS was established for governments that have, or might seek, access to international capital markets. Most countries not subscribing to the SDDS, participate in the General Data Dissemination System (GDDS), or enhanced GDDS, which also provides guidance on the provision of comprehensive, timely, accessible, and reliable statistics to the public. For the fiscal sector, both the SDDS and GDDS provide detailed guidance on data sets and methodologies pertaining to government operations and gross debt.</w:t>
                      </w:r>
                    </w:p>
                    <w:p w14:paraId="3609A059" w14:textId="77777777" w:rsidR="00D15FD8" w:rsidRPr="006C0887" w:rsidRDefault="00D15FD8" w:rsidP="002D14C0">
                      <w:pPr>
                        <w:pStyle w:val="ListParagraph"/>
                        <w:spacing w:line="259" w:lineRule="auto"/>
                        <w:ind w:left="308"/>
                        <w:suppressOverlap/>
                        <w:rPr>
                          <w:rFonts w:ascii="Roboto" w:eastAsia="Calibri" w:hAnsi="Roboto" w:cs="Calibri"/>
                          <w:iCs/>
                          <w:color w:val="404040" w:themeColor="text1" w:themeTint="BF"/>
                          <w:sz w:val="20"/>
                          <w:szCs w:val="20"/>
                        </w:rPr>
                      </w:pPr>
                    </w:p>
                    <w:p w14:paraId="2A59520C" w14:textId="77777777" w:rsidR="00D15FD8" w:rsidRPr="007867F2" w:rsidRDefault="00D15FD8" w:rsidP="002D14C0">
                      <w:pPr>
                        <w:suppressOverlap/>
                        <w:rPr>
                          <w:rFonts w:ascii="Roboto" w:eastAsia="Calibri" w:hAnsi="Roboto" w:cs="Calibri"/>
                          <w:bCs/>
                          <w:i/>
                          <w:color w:val="1E9A8C"/>
                          <w:sz w:val="20"/>
                          <w:szCs w:val="20"/>
                        </w:rPr>
                      </w:pPr>
                      <w:r w:rsidRPr="007867F2">
                        <w:rPr>
                          <w:rFonts w:ascii="Roboto" w:eastAsia="Calibri" w:hAnsi="Roboto" w:cs="Calibri"/>
                          <w:b/>
                          <w:bCs/>
                          <w:color w:val="1E9A8C"/>
                          <w:sz w:val="20"/>
                          <w:szCs w:val="20"/>
                        </w:rPr>
                        <w:t>OECD</w:t>
                      </w:r>
                      <w:r w:rsidRPr="007867F2">
                        <w:rPr>
                          <w:rFonts w:ascii="Roboto" w:eastAsia="Calibri" w:hAnsi="Roboto" w:cs="Calibri"/>
                          <w:bCs/>
                          <w:color w:val="1E9A8C"/>
                          <w:sz w:val="20"/>
                          <w:szCs w:val="20"/>
                        </w:rPr>
                        <w:t>:</w:t>
                      </w:r>
                      <w:r w:rsidRPr="007867F2">
                        <w:rPr>
                          <w:rFonts w:ascii="Roboto" w:eastAsia="Calibri" w:hAnsi="Roboto" w:cs="Calibri"/>
                          <w:bCs/>
                          <w:i/>
                          <w:color w:val="1E9A8C"/>
                          <w:sz w:val="20"/>
                          <w:szCs w:val="20"/>
                        </w:rPr>
                        <w:t xml:space="preserve"> </w:t>
                      </w:r>
                    </w:p>
                    <w:p w14:paraId="3FAD566C" w14:textId="77777777" w:rsidR="00D15FD8" w:rsidRPr="006C0887" w:rsidRDefault="00AC4DF7" w:rsidP="00113300">
                      <w:pPr>
                        <w:pStyle w:val="ListParagraph"/>
                        <w:numPr>
                          <w:ilvl w:val="0"/>
                          <w:numId w:val="28"/>
                        </w:numPr>
                        <w:ind w:left="308" w:hanging="308"/>
                        <w:suppressOverlap/>
                        <w:rPr>
                          <w:rFonts w:ascii="Roboto" w:eastAsia="Calibri" w:hAnsi="Roboto" w:cs="Calibri"/>
                          <w:bCs/>
                          <w:color w:val="404040" w:themeColor="text1" w:themeTint="BF"/>
                          <w:sz w:val="20"/>
                          <w:szCs w:val="20"/>
                        </w:rPr>
                      </w:pPr>
                      <w:hyperlink r:id="rId168" w:history="1">
                        <w:r w:rsidR="00D15FD8" w:rsidRPr="007867F2">
                          <w:rPr>
                            <w:rStyle w:val="Hyperlink"/>
                            <w:rFonts w:ascii="Roboto" w:hAnsi="Roboto"/>
                            <w:bCs/>
                            <w:color w:val="F26C21"/>
                            <w:sz w:val="20"/>
                            <w:szCs w:val="20"/>
                          </w:rPr>
                          <w:t>Recommendation of the Council on Budgetary Governance: Principles of Good Budgetary Governance</w:t>
                        </w:r>
                      </w:hyperlink>
                      <w:r w:rsidR="00D15FD8" w:rsidRPr="006C0887">
                        <w:rPr>
                          <w:rFonts w:ascii="Roboto" w:hAnsi="Roboto"/>
                          <w:bCs/>
                          <w:i/>
                          <w:sz w:val="20"/>
                          <w:szCs w:val="20"/>
                        </w:rPr>
                        <w:t xml:space="preserve"> </w:t>
                      </w:r>
                      <w:r w:rsidR="00D15FD8" w:rsidRPr="006C0887">
                        <w:rPr>
                          <w:rFonts w:ascii="Roboto" w:hAnsi="Roboto"/>
                          <w:bCs/>
                          <w:sz w:val="20"/>
                          <w:szCs w:val="20"/>
                        </w:rPr>
                        <w:t>(2015):</w:t>
                      </w:r>
                      <w:r w:rsidR="00D15FD8" w:rsidRPr="006C0887">
                        <w:rPr>
                          <w:rFonts w:ascii="Roboto" w:eastAsia="Calibri" w:hAnsi="Roboto" w:cs="Calibri"/>
                          <w:bCs/>
                          <w:color w:val="404040" w:themeColor="text1" w:themeTint="BF"/>
                          <w:sz w:val="20"/>
                          <w:szCs w:val="20"/>
                        </w:rPr>
                        <w:t xml:space="preserve"> Budget documents and data should be ‘open, transparent and accessible’ (principle 4). Budget reports should be clear and factual (principle 4a) and published ‘fully, promptly and routinely’ (principle 4c).</w:t>
                      </w:r>
                      <w:r w:rsidR="00D15FD8" w:rsidRPr="006C0887">
                        <w:rPr>
                          <w:rFonts w:ascii="Roboto" w:eastAsia="Calibri" w:hAnsi="Roboto" w:cs="Calibri"/>
                          <w:bCs/>
                          <w:i/>
                          <w:color w:val="404040" w:themeColor="text1" w:themeTint="BF"/>
                          <w:sz w:val="20"/>
                          <w:szCs w:val="20"/>
                        </w:rPr>
                        <w:t xml:space="preserve"> </w:t>
                      </w:r>
                      <w:r w:rsidR="00D15FD8" w:rsidRPr="006C0887">
                        <w:rPr>
                          <w:rFonts w:ascii="Roboto" w:eastAsia="Calibri" w:hAnsi="Roboto" w:cs="Calibri"/>
                          <w:bCs/>
                          <w:color w:val="404040" w:themeColor="text1" w:themeTint="BF"/>
                          <w:sz w:val="20"/>
                          <w:szCs w:val="20"/>
                        </w:rPr>
                        <w:t xml:space="preserve">All expenditures and revenues of the national government should be accounted comprehensively and correctly in the budget document (Principle 6a) and a full national overview of the public finances, including sub-national levels of government, should be presented (principle 6b). </w:t>
                      </w:r>
                    </w:p>
                    <w:p w14:paraId="77D952AF" w14:textId="77777777" w:rsidR="00D15FD8" w:rsidRPr="006C0887" w:rsidRDefault="00AC4DF7" w:rsidP="00113300">
                      <w:pPr>
                        <w:pStyle w:val="ListParagraph"/>
                        <w:numPr>
                          <w:ilvl w:val="0"/>
                          <w:numId w:val="27"/>
                        </w:numPr>
                        <w:ind w:left="308" w:hanging="308"/>
                        <w:suppressOverlap/>
                        <w:rPr>
                          <w:rFonts w:ascii="Roboto" w:eastAsia="Calibri" w:hAnsi="Roboto" w:cs="Calibri"/>
                          <w:bCs/>
                          <w:color w:val="404040" w:themeColor="text1" w:themeTint="BF"/>
                          <w:sz w:val="20"/>
                          <w:szCs w:val="20"/>
                        </w:rPr>
                      </w:pPr>
                      <w:hyperlink r:id="rId169" w:history="1">
                        <w:r w:rsidR="00D15FD8" w:rsidRPr="007867F2">
                          <w:rPr>
                            <w:rStyle w:val="Hyperlink"/>
                            <w:rFonts w:ascii="Roboto" w:eastAsia="Calibri" w:hAnsi="Roboto" w:cs="Calibri"/>
                            <w:bCs/>
                            <w:iCs/>
                            <w:color w:val="F26C21"/>
                            <w:sz w:val="20"/>
                            <w:szCs w:val="20"/>
                          </w:rPr>
                          <w:t>Best Practices for Budget Transparency</w:t>
                        </w:r>
                      </w:hyperlink>
                      <w:r w:rsidR="00D15FD8" w:rsidRPr="007867F2">
                        <w:rPr>
                          <w:rFonts w:ascii="Roboto" w:eastAsia="Calibri" w:hAnsi="Roboto" w:cs="Calibri"/>
                          <w:bCs/>
                          <w:iCs/>
                          <w:color w:val="F26C21"/>
                          <w:sz w:val="20"/>
                          <w:szCs w:val="20"/>
                        </w:rPr>
                        <w:t xml:space="preserve"> </w:t>
                      </w:r>
                      <w:r w:rsidR="00D15FD8" w:rsidRPr="006C0887">
                        <w:rPr>
                          <w:rFonts w:ascii="Roboto" w:eastAsia="Calibri" w:hAnsi="Roboto" w:cs="Calibri"/>
                          <w:bCs/>
                          <w:iCs/>
                          <w:color w:val="404040" w:themeColor="text1" w:themeTint="BF"/>
                          <w:sz w:val="20"/>
                          <w:szCs w:val="20"/>
                        </w:rPr>
                        <w:t>(2002):</w:t>
                      </w:r>
                      <w:r w:rsidR="00D15FD8" w:rsidRPr="006C0887">
                        <w:rPr>
                          <w:rFonts w:ascii="Roboto" w:eastAsia="Calibri" w:hAnsi="Roboto" w:cs="Calibri"/>
                          <w:bCs/>
                          <w:i/>
                          <w:iCs/>
                          <w:color w:val="404040" w:themeColor="text1" w:themeTint="BF"/>
                          <w:sz w:val="20"/>
                          <w:szCs w:val="20"/>
                        </w:rPr>
                        <w:t xml:space="preserve"> </w:t>
                      </w:r>
                      <w:r w:rsidR="00D15FD8" w:rsidRPr="006C0887">
                        <w:rPr>
                          <w:rFonts w:ascii="Roboto" w:eastAsia="Calibri" w:hAnsi="Roboto" w:cs="Calibri"/>
                          <w:bCs/>
                          <w:iCs/>
                          <w:color w:val="404040" w:themeColor="text1" w:themeTint="BF"/>
                          <w:sz w:val="20"/>
                          <w:szCs w:val="20"/>
                        </w:rPr>
                        <w:t>D</w:t>
                      </w:r>
                      <w:r w:rsidR="00D15FD8" w:rsidRPr="006C0887">
                        <w:rPr>
                          <w:rFonts w:ascii="Roboto" w:eastAsia="Calibri" w:hAnsi="Roboto" w:cs="Calibri"/>
                          <w:bCs/>
                          <w:color w:val="404040" w:themeColor="text1" w:themeTint="BF"/>
                          <w:sz w:val="20"/>
                          <w:szCs w:val="20"/>
                        </w:rPr>
                        <w:t>etailed requirements for the publication of data and other information in the government’s budget, pre-budget report, monthly reports, mid-year report, year-end report, long term report and a pre-election report. A summary of relevant accounting policies should accompany all reports, including disclosure of any deviations from generally accepted accounting practices, and the same accounting policies should be used for all fiscal report</w:t>
                      </w:r>
                      <w:r w:rsidR="00D15FD8">
                        <w:rPr>
                          <w:rFonts w:ascii="Roboto" w:eastAsia="Calibri" w:hAnsi="Roboto" w:cs="Calibri"/>
                          <w:bCs/>
                          <w:color w:val="404040" w:themeColor="text1" w:themeTint="BF"/>
                          <w:sz w:val="20"/>
                          <w:szCs w:val="20"/>
                        </w:rPr>
                        <w:t>s</w:t>
                      </w:r>
                      <w:r w:rsidR="00D15FD8" w:rsidRPr="006C0887">
                        <w:rPr>
                          <w:rFonts w:ascii="Roboto" w:eastAsia="Calibri" w:hAnsi="Roboto" w:cs="Calibri"/>
                          <w:bCs/>
                          <w:color w:val="404040" w:themeColor="text1" w:themeTint="BF"/>
                          <w:sz w:val="20"/>
                          <w:szCs w:val="20"/>
                        </w:rPr>
                        <w:t>. Also contains provisions designed to provide assurance of data integrity, and requirements for information on assets, liabilities, and contingent liabilities.</w:t>
                      </w:r>
                    </w:p>
                    <w:p w14:paraId="67460187" w14:textId="77777777" w:rsidR="00D15FD8" w:rsidRPr="006C0887" w:rsidRDefault="00AC4DF7" w:rsidP="00113300">
                      <w:pPr>
                        <w:pStyle w:val="ListParagraph"/>
                        <w:numPr>
                          <w:ilvl w:val="0"/>
                          <w:numId w:val="27"/>
                        </w:numPr>
                        <w:ind w:left="308" w:hanging="308"/>
                        <w:suppressOverlap/>
                        <w:rPr>
                          <w:rFonts w:ascii="Roboto" w:eastAsia="Calibri" w:hAnsi="Roboto" w:cs="Calibri"/>
                          <w:color w:val="404040" w:themeColor="text1" w:themeTint="BF"/>
                          <w:sz w:val="20"/>
                          <w:szCs w:val="20"/>
                        </w:rPr>
                      </w:pPr>
                      <w:hyperlink r:id="rId170" w:history="1">
                        <w:r w:rsidR="00D15FD8" w:rsidRPr="007867F2">
                          <w:rPr>
                            <w:rStyle w:val="Hyperlink"/>
                            <w:rFonts w:ascii="Roboto" w:eastAsia="Calibri" w:hAnsi="Roboto" w:cs="Calibri"/>
                            <w:color w:val="F26C21"/>
                            <w:sz w:val="20"/>
                            <w:szCs w:val="20"/>
                          </w:rPr>
                          <w:t>Budget Transparency Toolkit</w:t>
                        </w:r>
                      </w:hyperlink>
                      <w:r w:rsidR="00D15FD8" w:rsidRPr="007867F2">
                        <w:rPr>
                          <w:rFonts w:ascii="Roboto" w:eastAsia="Calibri" w:hAnsi="Roboto" w:cs="Calibri"/>
                          <w:color w:val="F26C21"/>
                          <w:sz w:val="20"/>
                          <w:szCs w:val="20"/>
                        </w:rPr>
                        <w:t xml:space="preserve"> </w:t>
                      </w:r>
                      <w:r w:rsidR="00D15FD8" w:rsidRPr="006C0887">
                        <w:rPr>
                          <w:rFonts w:ascii="Roboto" w:eastAsia="Calibri" w:hAnsi="Roboto" w:cs="Calibri"/>
                          <w:color w:val="404040" w:themeColor="text1" w:themeTint="BF"/>
                          <w:sz w:val="20"/>
                          <w:szCs w:val="20"/>
                        </w:rPr>
                        <w:t xml:space="preserve">(2017): contains section H on making budget information accessible to the public. H.1: Presenting key budget information in a clear manner that can be understood easily by the public and by civil-society stakeholders. H.2: Publishing a Citizen’s Budget. Section I: Using open data to support budget transparency. I.1: Open data should meet minimum standards. I.2: Requirements for access to open budget data.  I.3: Integrating open budget data portals with existing portals. </w:t>
                      </w:r>
                    </w:p>
                    <w:p w14:paraId="03B57EEC" w14:textId="77777777" w:rsidR="00D15FD8" w:rsidRPr="006C0887" w:rsidRDefault="00D15FD8" w:rsidP="002D14C0">
                      <w:pPr>
                        <w:pStyle w:val="ListParagraph"/>
                        <w:ind w:left="308"/>
                        <w:suppressOverlap/>
                        <w:rPr>
                          <w:rFonts w:ascii="Roboto" w:eastAsia="Calibri" w:hAnsi="Roboto" w:cs="Calibri"/>
                          <w:color w:val="404040" w:themeColor="text1" w:themeTint="BF"/>
                          <w:sz w:val="20"/>
                          <w:szCs w:val="20"/>
                        </w:rPr>
                      </w:pPr>
                    </w:p>
                    <w:p w14:paraId="64D2E645" w14:textId="77777777" w:rsidR="00D15FD8" w:rsidRPr="006C0887" w:rsidRDefault="00AC4DF7" w:rsidP="002D14C0">
                      <w:pPr>
                        <w:spacing w:after="160" w:line="259" w:lineRule="auto"/>
                        <w:suppressOverlap/>
                        <w:rPr>
                          <w:rFonts w:ascii="Roboto" w:eastAsia="Calibri" w:hAnsi="Roboto" w:cs="Calibri"/>
                          <w:color w:val="404040" w:themeColor="text1" w:themeTint="BF"/>
                          <w:sz w:val="20"/>
                          <w:szCs w:val="20"/>
                        </w:rPr>
                      </w:pPr>
                      <w:hyperlink r:id="rId171" w:history="1">
                        <w:r w:rsidR="00D15FD8" w:rsidRPr="007867F2">
                          <w:rPr>
                            <w:rStyle w:val="Hyperlink"/>
                            <w:rFonts w:ascii="Roboto" w:eastAsia="Calibri" w:hAnsi="Roboto" w:cs="Calibri"/>
                            <w:b/>
                            <w:color w:val="1E9A8C"/>
                            <w:sz w:val="20"/>
                            <w:szCs w:val="20"/>
                          </w:rPr>
                          <w:t>International Public Sector Accounting Standards Board</w:t>
                        </w:r>
                      </w:hyperlink>
                      <w:r w:rsidR="00D15FD8" w:rsidRPr="007867F2">
                        <w:rPr>
                          <w:rFonts w:ascii="Roboto" w:eastAsia="Calibri" w:hAnsi="Roboto" w:cs="Calibri"/>
                          <w:color w:val="1E9A8C"/>
                          <w:sz w:val="20"/>
                          <w:szCs w:val="20"/>
                        </w:rPr>
                        <w:t xml:space="preserve"> </w:t>
                      </w:r>
                      <w:r w:rsidR="00D15FD8" w:rsidRPr="006C0887">
                        <w:rPr>
                          <w:rFonts w:ascii="Roboto" w:eastAsia="Calibri" w:hAnsi="Roboto" w:cs="Calibri"/>
                          <w:color w:val="404040" w:themeColor="text1" w:themeTint="BF"/>
                          <w:sz w:val="20"/>
                          <w:szCs w:val="20"/>
                        </w:rPr>
                        <w:t xml:space="preserve">(IPSASB):  </w:t>
                      </w:r>
                      <w:hyperlink r:id="rId172" w:history="1">
                        <w:r w:rsidR="00D15FD8" w:rsidRPr="007867F2">
                          <w:rPr>
                            <w:rStyle w:val="Hyperlink"/>
                            <w:rFonts w:ascii="Roboto" w:eastAsia="Calibri" w:hAnsi="Roboto" w:cs="Calibri"/>
                            <w:color w:val="F26C21"/>
                            <w:sz w:val="20"/>
                            <w:szCs w:val="20"/>
                          </w:rPr>
                          <w:t>Handbook on International Public Sector Accounting Pronouncements</w:t>
                        </w:r>
                      </w:hyperlink>
                      <w:r w:rsidR="00D15FD8" w:rsidRPr="007867F2">
                        <w:rPr>
                          <w:rFonts w:ascii="Roboto" w:eastAsia="Calibri" w:hAnsi="Roboto" w:cs="Calibri"/>
                          <w:color w:val="F26C21"/>
                          <w:sz w:val="20"/>
                          <w:szCs w:val="20"/>
                          <w:u w:val="single"/>
                        </w:rPr>
                        <w:t xml:space="preserve"> </w:t>
                      </w:r>
                      <w:r w:rsidR="00D15FD8" w:rsidRPr="006C0887">
                        <w:rPr>
                          <w:rFonts w:ascii="Roboto" w:eastAsia="Calibri" w:hAnsi="Roboto" w:cs="Calibri"/>
                          <w:color w:val="404040" w:themeColor="text1" w:themeTint="BF"/>
                          <w:sz w:val="20"/>
                          <w:szCs w:val="20"/>
                        </w:rPr>
                        <w:t>(</w:t>
                      </w:r>
                      <w:r w:rsidR="00D15FD8">
                        <w:rPr>
                          <w:rFonts w:ascii="Roboto" w:eastAsia="Calibri" w:hAnsi="Roboto" w:cs="Calibri"/>
                          <w:color w:val="404040" w:themeColor="text1" w:themeTint="BF"/>
                          <w:sz w:val="20"/>
                          <w:szCs w:val="20"/>
                        </w:rPr>
                        <w:t>2022</w:t>
                      </w:r>
                      <w:r w:rsidR="00D15FD8" w:rsidRPr="006C0887">
                        <w:rPr>
                          <w:rFonts w:ascii="Roboto" w:eastAsia="Calibri" w:hAnsi="Roboto" w:cs="Calibri"/>
                          <w:color w:val="404040" w:themeColor="text1" w:themeTint="BF"/>
                          <w:sz w:val="20"/>
                          <w:szCs w:val="20"/>
                        </w:rPr>
                        <w:t>): Accounting standards for public sector entities.</w:t>
                      </w:r>
                    </w:p>
                    <w:p w14:paraId="09D8CA4C" w14:textId="77777777" w:rsidR="00D15FD8" w:rsidRPr="007867F2" w:rsidRDefault="00AC4DF7" w:rsidP="002D14C0">
                      <w:pPr>
                        <w:spacing w:after="160" w:line="259" w:lineRule="auto"/>
                        <w:suppressOverlap/>
                        <w:rPr>
                          <w:rFonts w:ascii="Roboto" w:eastAsia="Calibri" w:hAnsi="Roboto" w:cs="Calibri"/>
                          <w:color w:val="F26C21"/>
                          <w:sz w:val="20"/>
                          <w:szCs w:val="20"/>
                          <w:u w:val="single"/>
                        </w:rPr>
                      </w:pPr>
                      <w:hyperlink r:id="rId173" w:history="1">
                        <w:r w:rsidR="00D15FD8" w:rsidRPr="007867F2">
                          <w:rPr>
                            <w:rStyle w:val="Hyperlink"/>
                            <w:rFonts w:ascii="Roboto" w:eastAsia="Calibri" w:hAnsi="Roboto" w:cs="Calibri"/>
                            <w:color w:val="F26C21"/>
                            <w:sz w:val="20"/>
                            <w:szCs w:val="20"/>
                          </w:rPr>
                          <w:t>G20 Anti-Corruption Open Data Principles</w:t>
                        </w:r>
                      </w:hyperlink>
                      <w:r w:rsidR="00D15FD8" w:rsidRPr="007867F2">
                        <w:rPr>
                          <w:rFonts w:ascii="Roboto" w:eastAsia="Calibri" w:hAnsi="Roboto" w:cs="Calibri"/>
                          <w:color w:val="F26C21"/>
                          <w:sz w:val="20"/>
                          <w:szCs w:val="20"/>
                        </w:rPr>
                        <w:t xml:space="preserve"> </w:t>
                      </w:r>
                      <w:r w:rsidR="00D15FD8" w:rsidRPr="006C0887">
                        <w:rPr>
                          <w:rFonts w:ascii="Roboto" w:eastAsia="Calibri" w:hAnsi="Roboto" w:cs="Calibri"/>
                          <w:color w:val="404040" w:themeColor="text1" w:themeTint="BF"/>
                          <w:sz w:val="20"/>
                          <w:szCs w:val="20"/>
                        </w:rPr>
                        <w:t xml:space="preserve">(2015): 6 principles for provision of government data. Principle 1: Government data should be ‘open by default’. Subsequent principles establish that government data should be: timely and comprehensive; accessible and usable; comparable and inter-operable; for improved governance and citizen engagement; and for inclusive development and innovation. Principles form the core of the </w:t>
                      </w:r>
                      <w:hyperlink r:id="rId174" w:history="1">
                        <w:r w:rsidR="00D15FD8" w:rsidRPr="007867F2">
                          <w:rPr>
                            <w:rStyle w:val="Hyperlink"/>
                            <w:rFonts w:ascii="Roboto" w:eastAsia="Calibri" w:hAnsi="Roboto" w:cs="Calibri"/>
                            <w:color w:val="F26C21"/>
                            <w:sz w:val="20"/>
                            <w:szCs w:val="20"/>
                          </w:rPr>
                          <w:t>Open Data Charter</w:t>
                        </w:r>
                      </w:hyperlink>
                      <w:r w:rsidR="00D15FD8" w:rsidRPr="007867F2">
                        <w:rPr>
                          <w:rFonts w:ascii="Roboto" w:eastAsia="Calibri" w:hAnsi="Roboto" w:cs="Calibri"/>
                          <w:color w:val="F26C21"/>
                          <w:sz w:val="20"/>
                          <w:szCs w:val="20"/>
                          <w:u w:val="single"/>
                        </w:rPr>
                        <w:t>.</w:t>
                      </w:r>
                    </w:p>
                    <w:p w14:paraId="5CD5884B" w14:textId="77777777" w:rsidR="00D15FD8" w:rsidRPr="006C0887" w:rsidRDefault="00AC4DF7" w:rsidP="002D14C0">
                      <w:pPr>
                        <w:spacing w:after="160" w:line="259" w:lineRule="auto"/>
                        <w:suppressOverlap/>
                        <w:rPr>
                          <w:rFonts w:ascii="Roboto" w:eastAsia="Calibri" w:hAnsi="Roboto" w:cs="Calibri"/>
                          <w:color w:val="404040" w:themeColor="text1" w:themeTint="BF"/>
                          <w:sz w:val="20"/>
                          <w:szCs w:val="20"/>
                        </w:rPr>
                      </w:pPr>
                      <w:hyperlink r:id="rId175" w:history="1">
                        <w:r w:rsidR="00D15FD8" w:rsidRPr="007867F2">
                          <w:rPr>
                            <w:rStyle w:val="Hyperlink"/>
                            <w:rFonts w:ascii="Roboto" w:eastAsia="Calibri" w:hAnsi="Roboto" w:cs="Calibri"/>
                            <w:color w:val="F26C21"/>
                            <w:sz w:val="20"/>
                            <w:szCs w:val="20"/>
                          </w:rPr>
                          <w:t>Public Sector Debt Statistics: Guide for Compilers and Users</w:t>
                        </w:r>
                      </w:hyperlink>
                      <w:r w:rsidR="00D15FD8" w:rsidRPr="007867F2">
                        <w:rPr>
                          <w:rFonts w:ascii="Roboto" w:eastAsia="Calibri" w:hAnsi="Roboto" w:cs="Calibri"/>
                          <w:i/>
                          <w:color w:val="F26C21"/>
                          <w:sz w:val="20"/>
                          <w:szCs w:val="20"/>
                        </w:rPr>
                        <w:t xml:space="preserve"> </w:t>
                      </w:r>
                      <w:r w:rsidR="00D15FD8" w:rsidRPr="006C0887">
                        <w:rPr>
                          <w:rFonts w:ascii="Roboto" w:eastAsia="Calibri" w:hAnsi="Roboto" w:cs="Calibri"/>
                          <w:color w:val="404040" w:themeColor="text1" w:themeTint="BF"/>
                          <w:sz w:val="20"/>
                          <w:szCs w:val="20"/>
                        </w:rPr>
                        <w:t xml:space="preserve">(2011): Guidance on the concepts, definitions, and classifications of public sector debt statistics; the sources and techniques for compiling data; and some analytical tools that may be used to analyse statistics. </w:t>
                      </w:r>
                    </w:p>
                    <w:p w14:paraId="06DA986A" w14:textId="7F3B3762" w:rsidR="00D15FD8" w:rsidRPr="006C0887" w:rsidRDefault="00D15FD8" w:rsidP="002D14C0">
                      <w:pPr>
                        <w:rPr>
                          <w:rFonts w:ascii="Roboto" w:hAnsi="Roboto"/>
                          <w:sz w:val="20"/>
                          <w:szCs w:val="20"/>
                        </w:rPr>
                      </w:pPr>
                    </w:p>
                  </w:txbxContent>
                </v:textbox>
                <w10:wrap anchorx="margin" anchory="margin"/>
              </v:shape>
            </w:pict>
          </mc:Fallback>
        </mc:AlternateContent>
      </w:r>
    </w:p>
    <w:p w14:paraId="17D22836" w14:textId="4B2688C5" w:rsidR="00203FAB" w:rsidRPr="006C0887" w:rsidRDefault="00203FAB" w:rsidP="002D14C0">
      <w:pPr>
        <w:rPr>
          <w:rFonts w:ascii="Roboto" w:hAnsi="Roboto"/>
        </w:rPr>
      </w:pPr>
    </w:p>
    <w:p w14:paraId="745D6F90" w14:textId="5780A42D" w:rsidR="00203FAB" w:rsidRPr="006C0887" w:rsidRDefault="00203FAB" w:rsidP="002D14C0">
      <w:pPr>
        <w:rPr>
          <w:rFonts w:ascii="Roboto" w:hAnsi="Roboto"/>
        </w:rPr>
      </w:pPr>
    </w:p>
    <w:p w14:paraId="3F8DE03F" w14:textId="70890E4C" w:rsidR="00203FAB" w:rsidRPr="006C0887" w:rsidRDefault="00203FAB" w:rsidP="002D14C0">
      <w:pPr>
        <w:rPr>
          <w:rFonts w:ascii="Roboto" w:hAnsi="Roboto"/>
        </w:rPr>
      </w:pPr>
    </w:p>
    <w:p w14:paraId="40E0B152" w14:textId="44EF4FFC" w:rsidR="00203FAB" w:rsidRPr="006C0887" w:rsidRDefault="00203FAB" w:rsidP="002D14C0">
      <w:pPr>
        <w:rPr>
          <w:rFonts w:ascii="Roboto" w:hAnsi="Roboto"/>
        </w:rPr>
      </w:pPr>
    </w:p>
    <w:p w14:paraId="06FF67DE" w14:textId="1592A681" w:rsidR="00203FAB" w:rsidRPr="006C0887" w:rsidRDefault="00203FAB" w:rsidP="002D14C0">
      <w:pPr>
        <w:rPr>
          <w:rFonts w:ascii="Roboto" w:hAnsi="Roboto"/>
        </w:rPr>
      </w:pPr>
    </w:p>
    <w:p w14:paraId="0F40514B" w14:textId="51E87F64" w:rsidR="00203FAB" w:rsidRPr="006C0887" w:rsidRDefault="00203FAB" w:rsidP="002D14C0">
      <w:pPr>
        <w:rPr>
          <w:rFonts w:ascii="Roboto" w:hAnsi="Roboto"/>
        </w:rPr>
      </w:pPr>
    </w:p>
    <w:p w14:paraId="317B7314" w14:textId="2DE24A1B" w:rsidR="00203FAB" w:rsidRPr="006C0887" w:rsidRDefault="00203FAB" w:rsidP="002D14C0">
      <w:pPr>
        <w:rPr>
          <w:rFonts w:ascii="Roboto" w:hAnsi="Roboto"/>
        </w:rPr>
      </w:pPr>
    </w:p>
    <w:p w14:paraId="709FF9C7" w14:textId="14F34E4C" w:rsidR="00B70258" w:rsidRDefault="003A742D" w:rsidP="00B84F0E">
      <w:pPr>
        <w:spacing w:after="160" w:line="259" w:lineRule="auto"/>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46686" behindDoc="0" locked="0" layoutInCell="1" allowOverlap="1" wp14:anchorId="183B65DF" wp14:editId="62F6A152">
                <wp:simplePos x="0" y="0"/>
                <wp:positionH relativeFrom="column">
                  <wp:posOffset>6517323</wp:posOffset>
                </wp:positionH>
                <wp:positionV relativeFrom="paragraph">
                  <wp:posOffset>1322212</wp:posOffset>
                </wp:positionV>
                <wp:extent cx="5976620" cy="252095"/>
                <wp:effectExtent l="4762" t="0" r="0" b="0"/>
                <wp:wrapNone/>
                <wp:docPr id="127" name="Text Box 127"/>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661D5728" w14:textId="6B52B194"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937895433"/>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0EA57CF7"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3B65DF" id="Text Box 127" o:spid="_x0000_s1121" type="#_x0000_t202" style="position:absolute;margin-left:513.2pt;margin-top:104.1pt;width:470.6pt;height:19.85pt;rotation:90;z-index:25534668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" fillcolor="white [3201]" stroked="f" strokeweight=".5pt">
                <v:textbox>
                  <w:txbxContent>
                    <w:p w14:paraId="661D5728" w14:textId="6B52B194"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937895433"/>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0EA57CF7" w14:textId="77777777" w:rsidR="00D15FD8" w:rsidRDefault="00D15FD8" w:rsidP="003D7CCB"/>
                  </w:txbxContent>
                </v:textbox>
              </v:shape>
            </w:pict>
          </mc:Fallback>
        </mc:AlternateContent>
      </w:r>
      <w:r>
        <w:rPr>
          <w:rFonts w:ascii="Arial" w:hAnsi="Arial" w:cs="Arial"/>
          <w:b/>
          <w:bCs/>
          <w:noProof/>
          <w:color w:val="19998C"/>
          <w:sz w:val="26"/>
          <w:szCs w:val="26"/>
          <w:lang w:val="en-US"/>
        </w:rPr>
        <mc:AlternateContent>
          <mc:Choice Requires="wps">
            <w:drawing>
              <wp:anchor distT="0" distB="0" distL="114300" distR="114300" simplePos="0" relativeHeight="255347710" behindDoc="0" locked="0" layoutInCell="1" allowOverlap="1" wp14:anchorId="11172299" wp14:editId="06BA7BC6">
                <wp:simplePos x="0" y="0"/>
                <wp:positionH relativeFrom="column">
                  <wp:posOffset>-3610293</wp:posOffset>
                </wp:positionH>
                <wp:positionV relativeFrom="paragraph">
                  <wp:posOffset>1314066</wp:posOffset>
                </wp:positionV>
                <wp:extent cx="5976620" cy="252095"/>
                <wp:effectExtent l="0" t="0" r="0" b="0"/>
                <wp:wrapNone/>
                <wp:docPr id="129" name="Text Box 129"/>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0DFF3779" w14:textId="61DFF19F"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172299" id="Text Box 129" o:spid="_x0000_s1122" type="#_x0000_t202" style="position:absolute;margin-left:-284.3pt;margin-top:103.45pt;width:470.6pt;height:19.85pt;rotation:90;z-index:2553477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" filled="f" stroked="f" strokeweight=".5pt">
                <v:textbox>
                  <w:txbxContent>
                    <w:p w14:paraId="0DFF3779" w14:textId="61DFF19F"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33</w:t>
                      </w:r>
                    </w:p>
                  </w:txbxContent>
                </v:textbox>
              </v:shape>
            </w:pict>
          </mc:Fallback>
        </mc:AlternateContent>
      </w:r>
      <w:r w:rsidR="009918CC">
        <w:rPr>
          <w:rFonts w:ascii="Roboto" w:hAnsi="Roboto"/>
          <w:noProof/>
          <w:lang w:val="en-US"/>
        </w:rPr>
        <mc:AlternateContent>
          <mc:Choice Requires="wps">
            <w:drawing>
              <wp:anchor distT="0" distB="0" distL="114300" distR="114300" simplePos="0" relativeHeight="255448062" behindDoc="0" locked="0" layoutInCell="1" allowOverlap="1" wp14:anchorId="37C3DDF8" wp14:editId="3E6B095B">
                <wp:simplePos x="0" y="0"/>
                <wp:positionH relativeFrom="column">
                  <wp:posOffset>5472811</wp:posOffset>
                </wp:positionH>
                <wp:positionV relativeFrom="paragraph">
                  <wp:posOffset>4624197</wp:posOffset>
                </wp:positionV>
                <wp:extent cx="3878317" cy="268014"/>
                <wp:effectExtent l="0" t="0" r="0" b="0"/>
                <wp:wrapNone/>
                <wp:docPr id="376" name="Rectangle 376"/>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3CC247A2" id="Rectangle 376" o:spid="_x0000_s1026" style="position:absolute;margin-left:430.95pt;margin-top:364.1pt;width:305.4pt;height:21.1pt;z-index:2554480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" fillcolor="white [3212]" stroked="f" strokeweight="1pt"/>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32286" behindDoc="1" locked="0" layoutInCell="1" allowOverlap="1" wp14:anchorId="74140507" wp14:editId="61991C28">
                <wp:simplePos x="0" y="0"/>
                <wp:positionH relativeFrom="margin">
                  <wp:align>center</wp:align>
                </wp:positionH>
                <wp:positionV relativeFrom="margin">
                  <wp:align>center</wp:align>
                </wp:positionV>
                <wp:extent cx="9856189" cy="5969000"/>
                <wp:effectExtent l="12700" t="12700" r="12065" b="12700"/>
                <wp:wrapNone/>
                <wp:docPr id="2588" name="Rectangle 2588"/>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6A1CF8F4" id="Rectangle 2588" o:spid="_x0000_s1026" style="position:absolute;margin-left:0;margin-top:0;width:776.1pt;height:470pt;z-index:-24858419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r w:rsidR="00CC3EBD">
        <w:rPr>
          <w:rFonts w:ascii="Roboto" w:hAnsi="Roboto"/>
        </w:rPr>
        <w:br w:type="page"/>
      </w:r>
    </w:p>
    <w:p w14:paraId="2F357760" w14:textId="44726970" w:rsidR="00203FAB" w:rsidRPr="006C0887"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50110" behindDoc="0" locked="0" layoutInCell="1" allowOverlap="1" wp14:anchorId="0FD90C7B" wp14:editId="678994DE">
                <wp:simplePos x="0" y="0"/>
                <wp:positionH relativeFrom="column">
                  <wp:posOffset>-204470</wp:posOffset>
                </wp:positionH>
                <wp:positionV relativeFrom="paragraph">
                  <wp:posOffset>-552165</wp:posOffset>
                </wp:positionV>
                <wp:extent cx="3878317" cy="268014"/>
                <wp:effectExtent l="0" t="0" r="0" b="0"/>
                <wp:wrapNone/>
                <wp:docPr id="377" name="Rectangle 377"/>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519C40BF" id="Rectangle 377" o:spid="_x0000_s1026" style="position:absolute;margin-left:-16.1pt;margin-top:-43.5pt;width:305.4pt;height:21.1pt;z-index:2554501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" fillcolor="white [3212]" stroked="f" strokeweight="1pt"/>
            </w:pict>
          </mc:Fallback>
        </mc:AlternateContent>
      </w:r>
      <w:r w:rsidR="0053337F" w:rsidRPr="006C0887">
        <w:rPr>
          <w:rFonts w:ascii="Roboto" w:hAnsi="Roboto"/>
          <w:noProof/>
          <w:lang w:val="en-US"/>
        </w:rPr>
        <mc:AlternateContent>
          <mc:Choice Requires="wps">
            <w:drawing>
              <wp:anchor distT="0" distB="0" distL="114300" distR="114300" simplePos="0" relativeHeight="253619198" behindDoc="0" locked="0" layoutInCell="1" allowOverlap="1" wp14:anchorId="735A6220" wp14:editId="14F806B3">
                <wp:simplePos x="0" y="0"/>
                <wp:positionH relativeFrom="margin">
                  <wp:posOffset>-203835</wp:posOffset>
                </wp:positionH>
                <wp:positionV relativeFrom="margin">
                  <wp:posOffset>215900</wp:posOffset>
                </wp:positionV>
                <wp:extent cx="9271000" cy="4889500"/>
                <wp:effectExtent l="0" t="0" r="0" b="0"/>
                <wp:wrapNone/>
                <wp:docPr id="1731" name="Text Box 1731"/>
                <wp:cNvGraphicFramePr/>
                <a:graphic xmlns:a="http://schemas.openxmlformats.org/drawingml/2006/main">
                  <a:graphicData uri="http://schemas.microsoft.com/office/word/2010/wordprocessingShape">
                    <wps:wsp>
                      <wps:cNvSpPr txBox="1"/>
                      <wps:spPr>
                        <a:xfrm>
                          <a:off x="0" y="0"/>
                          <a:ext cx="9271000" cy="4889500"/>
                        </a:xfrm>
                        <a:prstGeom prst="rect">
                          <a:avLst/>
                        </a:prstGeom>
                        <a:noFill/>
                        <a:ln w="6350">
                          <a:noFill/>
                        </a:ln>
                      </wps:spPr>
                      <wps:txbx>
                        <w:txbxContent>
                          <w:p w14:paraId="5F976231"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76" w:history="1">
                              <w:r w:rsidR="00D15FD8" w:rsidRPr="007867F2">
                                <w:rPr>
                                  <w:rStyle w:val="Hyperlink"/>
                                  <w:rFonts w:ascii="Roboto" w:eastAsia="Calibri" w:hAnsi="Roboto" w:cs="Calibri"/>
                                  <w:color w:val="F26C21"/>
                                  <w:sz w:val="20"/>
                                  <w:szCs w:val="20"/>
                                </w:rPr>
                                <w:t>European System of Accounts</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 xml:space="preserve">(2010): Includes set of encouraged disclosures on elements such as assets and liabilities, assistance received from external parties and NGOs, controlled entities, and joint ventures. </w:t>
                            </w:r>
                          </w:p>
                          <w:p w14:paraId="4D9ECB90"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77" w:history="1">
                              <w:r w:rsidR="00D15FD8" w:rsidRPr="007867F2">
                                <w:rPr>
                                  <w:rStyle w:val="Hyperlink"/>
                                  <w:rFonts w:ascii="Roboto" w:eastAsia="Calibri" w:hAnsi="Roboto" w:cs="Calibri"/>
                                  <w:color w:val="F26C21"/>
                                  <w:sz w:val="20"/>
                                  <w:szCs w:val="20"/>
                                </w:rPr>
                                <w:t>International Standards of Supreme Auditing Institutions</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 xml:space="preserve">(ISSAI): State the basic prerequisites for the proper functioning and professional conduct of supreme audit institutions and the fundamental principles of public sector auditing. </w:t>
                            </w:r>
                          </w:p>
                          <w:p w14:paraId="5FF44461"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78" w:history="1">
                              <w:r w:rsidR="00D15FD8" w:rsidRPr="007867F2">
                                <w:rPr>
                                  <w:rStyle w:val="Hyperlink"/>
                                  <w:rFonts w:ascii="Roboto" w:eastAsia="Calibri" w:hAnsi="Roboto" w:cs="Calibri"/>
                                  <w:color w:val="F26C21"/>
                                  <w:sz w:val="20"/>
                                  <w:szCs w:val="20"/>
                                </w:rPr>
                                <w:t>Extractive Industries Transparency Initiative (EITI) Standard</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(2019): Standards for countries with large natural resource sectors including on fiscal reporting.</w:t>
                            </w:r>
                          </w:p>
                          <w:p w14:paraId="38F01AC0"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79" w:history="1">
                              <w:r w:rsidR="00D15FD8" w:rsidRPr="007867F2">
                                <w:rPr>
                                  <w:rStyle w:val="Hyperlink"/>
                                  <w:rFonts w:ascii="Roboto" w:eastAsia="Calibri" w:hAnsi="Roboto" w:cs="Calibri"/>
                                  <w:color w:val="F26C21"/>
                                  <w:sz w:val="20"/>
                                  <w:szCs w:val="20"/>
                                </w:rPr>
                                <w:t>Declaration on Good Public Financial Governance in Africa</w:t>
                              </w:r>
                            </w:hyperlink>
                            <w:r w:rsidR="00D15FD8" w:rsidRPr="007867F2">
                              <w:rPr>
                                <w:rFonts w:ascii="Roboto" w:eastAsia="Calibri" w:hAnsi="Roboto" w:cs="Calibri"/>
                                <w:color w:val="404040" w:themeColor="text1" w:themeTint="BF"/>
                                <w:sz w:val="20"/>
                                <w:szCs w:val="20"/>
                              </w:rPr>
                              <w:t xml:space="preserve"> (2011):  Commitment 1.1: Improving fiscal transparency: Governments to publish information on fiscal projections, the state of public finances, and the structure, functions and financing of government and the wider public sector. Commitment 1.2: Strengthening oversight institutions: Governments pledge that supreme auditing institutions will conduct audits and issue reports without undue influence from the executive. Commitment 2.3: To strengthen budget preparation, execution, and reporting further improvements in the coverage, quality, and timeliness of internal fiscal information will be ensured.</w:t>
                            </w:r>
                          </w:p>
                          <w:p w14:paraId="6E3F0599" w14:textId="77777777" w:rsidR="00D15FD8" w:rsidRPr="007867F2" w:rsidRDefault="00AC4DF7" w:rsidP="002D14C0">
                            <w:pPr>
                              <w:spacing w:after="160" w:line="259" w:lineRule="auto"/>
                              <w:suppressOverlap/>
                              <w:rPr>
                                <w:rFonts w:ascii="Roboto" w:eastAsia="Calibri" w:hAnsi="Roboto" w:cs="Calibri"/>
                                <w:bCs/>
                                <w:i/>
                                <w:color w:val="404040" w:themeColor="text1" w:themeTint="BF"/>
                                <w:sz w:val="20"/>
                                <w:szCs w:val="20"/>
                              </w:rPr>
                            </w:pPr>
                            <w:hyperlink r:id="rId180" w:history="1">
                              <w:r w:rsidR="00D15FD8" w:rsidRPr="007867F2">
                                <w:rPr>
                                  <w:rStyle w:val="Hyperlink"/>
                                  <w:rFonts w:ascii="Roboto" w:eastAsia="Calibri" w:hAnsi="Roboto" w:cs="Calibri"/>
                                  <w:color w:val="F26C21"/>
                                  <w:sz w:val="20"/>
                                  <w:szCs w:val="20"/>
                                </w:rPr>
                                <w:t>Open Government Partnership</w:t>
                              </w:r>
                            </w:hyperlink>
                            <w:r w:rsidR="00D15FD8" w:rsidRPr="007867F2">
                              <w:rPr>
                                <w:rFonts w:ascii="Roboto" w:eastAsia="Calibri" w:hAnsi="Roboto" w:cs="Calibri"/>
                                <w:color w:val="F26C21"/>
                                <w:sz w:val="20"/>
                                <w:szCs w:val="20"/>
                                <w:u w:val="single"/>
                              </w:rPr>
                              <w:t>:</w:t>
                            </w:r>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Has minimum requirements for membership that include two fiscal transparency standards: publication of the executive’s budget proposal, and publication of the annual audit report.</w:t>
                            </w:r>
                            <w:r w:rsidR="00D15FD8" w:rsidRPr="007867F2">
                              <w:rPr>
                                <w:rFonts w:ascii="Roboto" w:eastAsia="Calibri" w:hAnsi="Roboto" w:cs="Calibri"/>
                                <w:color w:val="404040" w:themeColor="text1" w:themeTint="BF"/>
                                <w:sz w:val="20"/>
                                <w:szCs w:val="20"/>
                                <w:vertAlign w:val="superscript"/>
                              </w:rPr>
                              <w:footnoteRef/>
                            </w:r>
                            <w:r w:rsidR="00D15FD8" w:rsidRPr="007867F2">
                              <w:rPr>
                                <w:rFonts w:ascii="Roboto" w:eastAsia="Calibri" w:hAnsi="Roboto" w:cs="Calibri"/>
                                <w:color w:val="404040" w:themeColor="text1" w:themeTint="BF"/>
                                <w:sz w:val="20"/>
                                <w:szCs w:val="20"/>
                              </w:rPr>
                              <w:t xml:space="preserve"> </w:t>
                            </w:r>
                          </w:p>
                          <w:p w14:paraId="02C6B439"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81" w:history="1">
                              <w:r w:rsidR="00D15FD8" w:rsidRPr="007867F2">
                                <w:rPr>
                                  <w:rStyle w:val="Hyperlink"/>
                                  <w:rFonts w:ascii="Roboto" w:eastAsia="Calibri" w:hAnsi="Roboto" w:cs="Calibri"/>
                                  <w:color w:val="F26C21"/>
                                  <w:sz w:val="20"/>
                                  <w:szCs w:val="20"/>
                                </w:rPr>
                                <w:t>Paris Accord on Climate Change</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extended reporting requirements for governments on the provision of climate finance under the UN Framework Convention on Climate Change.</w:t>
                            </w:r>
                          </w:p>
                          <w:p w14:paraId="1BFCA914"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82" w:history="1">
                              <w:r w:rsidR="00D15FD8" w:rsidRPr="007867F2">
                                <w:rPr>
                                  <w:rStyle w:val="Hyperlink"/>
                                  <w:rFonts w:ascii="Roboto" w:eastAsia="Calibri" w:hAnsi="Roboto" w:cs="Calibri"/>
                                  <w:color w:val="F26C21"/>
                                  <w:sz w:val="20"/>
                                  <w:szCs w:val="20"/>
                                </w:rPr>
                                <w:t>International Aid Transparency Initiative</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(IATI): Global initiative to improve the transparency of development and humanitarian resources and their results to address poverty and crises.</w:t>
                            </w:r>
                          </w:p>
                          <w:p w14:paraId="46EF2ADA" w14:textId="77777777" w:rsidR="00D15FD8" w:rsidRPr="007867F2" w:rsidRDefault="00D15FD8" w:rsidP="002D14C0">
                            <w:pPr>
                              <w:spacing w:line="259" w:lineRule="auto"/>
                              <w:suppressOverlap/>
                              <w:rPr>
                                <w:rFonts w:ascii="Roboto" w:eastAsia="Calibri" w:hAnsi="Roboto" w:cs="Calibri"/>
                                <w:b/>
                                <w:bCs/>
                                <w:color w:val="1E9A8C"/>
                                <w:sz w:val="20"/>
                                <w:szCs w:val="20"/>
                                <w:u w:val="single"/>
                              </w:rPr>
                            </w:pPr>
                            <w:r w:rsidRPr="007867F2">
                              <w:rPr>
                                <w:rFonts w:ascii="Roboto" w:eastAsia="Calibri" w:hAnsi="Roboto" w:cs="Calibri"/>
                                <w:b/>
                                <w:bCs/>
                                <w:color w:val="1E9A8C"/>
                                <w:sz w:val="20"/>
                                <w:szCs w:val="20"/>
                                <w:u w:val="single"/>
                              </w:rPr>
                              <w:t>Assessment frameworks:</w:t>
                            </w:r>
                          </w:p>
                          <w:p w14:paraId="604BBBB8" w14:textId="77777777" w:rsidR="00D15FD8" w:rsidRPr="007867F2" w:rsidRDefault="00D15FD8" w:rsidP="002D14C0">
                            <w:pPr>
                              <w:spacing w:line="259" w:lineRule="auto"/>
                              <w:suppressOverlap/>
                              <w:rPr>
                                <w:rFonts w:ascii="Roboto" w:eastAsia="Calibri" w:hAnsi="Roboto" w:cs="Calibri"/>
                                <w:b/>
                                <w:bCs/>
                                <w:color w:val="404040" w:themeColor="text1" w:themeTint="BF"/>
                                <w:sz w:val="20"/>
                                <w:szCs w:val="20"/>
                                <w:u w:val="single"/>
                              </w:rPr>
                            </w:pPr>
                          </w:p>
                          <w:p w14:paraId="546D6978" w14:textId="77777777" w:rsidR="00D15FD8" w:rsidRPr="007867F2" w:rsidRDefault="00D15FD8" w:rsidP="002D14C0">
                            <w:pPr>
                              <w:spacing w:after="160" w:line="259" w:lineRule="auto"/>
                              <w:suppressOverlap/>
                              <w:rPr>
                                <w:rFonts w:ascii="Roboto" w:eastAsia="Calibri" w:hAnsi="Roboto" w:cs="Calibri"/>
                                <w:color w:val="404040" w:themeColor="text1" w:themeTint="BF"/>
                                <w:sz w:val="20"/>
                                <w:szCs w:val="20"/>
                              </w:rPr>
                            </w:pPr>
                            <w:r w:rsidRPr="007867F2">
                              <w:rPr>
                                <w:rFonts w:ascii="Roboto" w:eastAsia="Calibri" w:hAnsi="Roboto" w:cs="Calibri"/>
                                <w:b/>
                                <w:bCs/>
                                <w:color w:val="1E9A8C"/>
                                <w:sz w:val="20"/>
                                <w:szCs w:val="20"/>
                              </w:rPr>
                              <w:t xml:space="preserve">PEFA: </w:t>
                            </w:r>
                            <w:hyperlink r:id="rId183" w:history="1">
                              <w:r w:rsidRPr="007867F2">
                                <w:rPr>
                                  <w:rStyle w:val="Hyperlink"/>
                                  <w:rFonts w:ascii="Roboto" w:eastAsia="Calibri" w:hAnsi="Roboto" w:cs="Calibri"/>
                                  <w:color w:val="F26C21"/>
                                  <w:sz w:val="20"/>
                                  <w:szCs w:val="20"/>
                                </w:rPr>
                                <w:t>Framework for assessing public financial management</w:t>
                              </w:r>
                            </w:hyperlink>
                            <w:r w:rsidRPr="007867F2">
                              <w:rPr>
                                <w:rFonts w:ascii="Roboto" w:eastAsia="Calibri" w:hAnsi="Roboto" w:cs="Calibri"/>
                                <w:color w:val="F26C21"/>
                                <w:sz w:val="20"/>
                                <w:szCs w:val="20"/>
                              </w:rPr>
                              <w:t xml:space="preserve"> </w:t>
                            </w:r>
                            <w:r w:rsidRPr="007867F2">
                              <w:rPr>
                                <w:rFonts w:ascii="Roboto" w:eastAsia="Calibri" w:hAnsi="Roboto" w:cs="Calibri"/>
                                <w:color w:val="404040" w:themeColor="text1" w:themeTint="BF"/>
                                <w:sz w:val="20"/>
                                <w:szCs w:val="20"/>
                              </w:rPr>
                              <w:t xml:space="preserve">(2016): Indicators assess the provision of fiscal information, and the integrity of fiscal data, such as internal controls; accounts reconciliations; and internal audit; adequacy and comparability. </w:t>
                            </w:r>
                          </w:p>
                          <w:p w14:paraId="04740274" w14:textId="35B2247E" w:rsidR="00D15FD8" w:rsidRDefault="00D15FD8" w:rsidP="002D14C0">
                            <w:pPr>
                              <w:rPr>
                                <w:rFonts w:ascii="Roboto" w:eastAsia="Calibri" w:hAnsi="Roboto" w:cs="Calibri"/>
                                <w:color w:val="404040" w:themeColor="text1" w:themeTint="BF"/>
                                <w:sz w:val="20"/>
                                <w:szCs w:val="20"/>
                              </w:rPr>
                            </w:pPr>
                            <w:r w:rsidRPr="007867F2">
                              <w:rPr>
                                <w:rFonts w:ascii="Roboto" w:eastAsia="Calibri" w:hAnsi="Roboto" w:cs="Calibri"/>
                                <w:b/>
                                <w:color w:val="1E9A8C"/>
                                <w:sz w:val="20"/>
                                <w:szCs w:val="20"/>
                              </w:rPr>
                              <w:t>IBP:</w:t>
                            </w:r>
                            <w:r w:rsidRPr="007867F2">
                              <w:rPr>
                                <w:rFonts w:ascii="Roboto" w:eastAsia="Calibri" w:hAnsi="Roboto" w:cs="Calibri"/>
                                <w:color w:val="1E9A8C"/>
                                <w:sz w:val="20"/>
                                <w:szCs w:val="20"/>
                              </w:rPr>
                              <w:t xml:space="preserve"> </w:t>
                            </w:r>
                            <w:hyperlink r:id="rId184" w:history="1">
                              <w:r w:rsidRPr="007867F2">
                                <w:rPr>
                                  <w:rStyle w:val="Hyperlink"/>
                                  <w:rFonts w:ascii="Roboto" w:eastAsia="Calibri" w:hAnsi="Roboto" w:cs="Calibri"/>
                                  <w:color w:val="F26C21"/>
                                  <w:sz w:val="20"/>
                                  <w:szCs w:val="20"/>
                                </w:rPr>
                                <w:t>Open Budget Survey</w:t>
                              </w:r>
                            </w:hyperlink>
                            <w:r w:rsidRPr="007867F2">
                              <w:rPr>
                                <w:rFonts w:ascii="Roboto" w:eastAsia="Calibri" w:hAnsi="Roboto" w:cs="Calibri"/>
                                <w:color w:val="F26C21"/>
                                <w:sz w:val="20"/>
                                <w:szCs w:val="20"/>
                                <w:u w:val="single"/>
                              </w:rPr>
                              <w:t xml:space="preserve"> </w:t>
                            </w:r>
                            <w:r w:rsidRPr="007867F2">
                              <w:rPr>
                                <w:rFonts w:ascii="Roboto" w:eastAsia="Calibri" w:hAnsi="Roboto" w:cs="Calibri"/>
                                <w:color w:val="404040" w:themeColor="text1" w:themeTint="BF"/>
                                <w:sz w:val="20"/>
                                <w:szCs w:val="20"/>
                              </w:rPr>
                              <w:t>(OBS):</w:t>
                            </w:r>
                            <w:r w:rsidRPr="007867F2">
                              <w:rPr>
                                <w:rFonts w:ascii="Roboto" w:eastAsia="Calibri" w:hAnsi="Roboto" w:cs="Calibri"/>
                                <w:i/>
                                <w:color w:val="404040" w:themeColor="text1" w:themeTint="BF"/>
                                <w:sz w:val="20"/>
                                <w:szCs w:val="20"/>
                              </w:rPr>
                              <w:t xml:space="preserve"> </w:t>
                            </w:r>
                            <w:r w:rsidRPr="007867F2">
                              <w:rPr>
                                <w:rFonts w:ascii="Roboto" w:eastAsia="Calibri" w:hAnsi="Roboto" w:cs="Calibri"/>
                                <w:color w:val="404040" w:themeColor="text1" w:themeTint="BF"/>
                                <w:sz w:val="20"/>
                                <w:szCs w:val="20"/>
                              </w:rPr>
                              <w:t>Survey has questions on the past, current and forecast fiscal financial and non-financial information included in the budget documents, and on fiscal reporting during and at the end of the year. There are also questions pertaining to fiscal risks.</w:t>
                            </w:r>
                          </w:p>
                          <w:p w14:paraId="0E2ED8D5" w14:textId="27F6A050" w:rsidR="00D15FD8" w:rsidRDefault="00D15FD8" w:rsidP="002D14C0">
                            <w:pPr>
                              <w:rPr>
                                <w:rFonts w:ascii="Roboto" w:eastAsia="Calibri" w:hAnsi="Roboto" w:cs="Calibri"/>
                                <w:color w:val="404040" w:themeColor="text1" w:themeTint="BF"/>
                                <w:sz w:val="20"/>
                                <w:szCs w:val="20"/>
                              </w:rPr>
                            </w:pPr>
                          </w:p>
                          <w:p w14:paraId="3B70D9D4" w14:textId="142C59AE" w:rsidR="00D15FD8" w:rsidRPr="007867F2"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A6220" id="Text Box 1731" o:spid="_x0000_s1123" type="#_x0000_t202" style="position:absolute;margin-left:-16.05pt;margin-top:17pt;width:730pt;height:385pt;z-index:25361919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" filled="f" stroked="f" strokeweight=".5pt">
                <v:textbox>
                  <w:txbxContent>
                    <w:p w14:paraId="5F976231"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85" w:history="1">
                        <w:r w:rsidR="00D15FD8" w:rsidRPr="007867F2">
                          <w:rPr>
                            <w:rStyle w:val="Hyperlink"/>
                            <w:rFonts w:ascii="Roboto" w:eastAsia="Calibri" w:hAnsi="Roboto" w:cs="Calibri"/>
                            <w:color w:val="F26C21"/>
                            <w:sz w:val="20"/>
                            <w:szCs w:val="20"/>
                          </w:rPr>
                          <w:t>European System of Accounts</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 xml:space="preserve">(2010): Includes set of encouraged disclosures on elements such as assets and liabilities, assistance received from external parties and NGOs, controlled entities, and joint ventures. </w:t>
                      </w:r>
                    </w:p>
                    <w:p w14:paraId="4D9ECB90"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86" w:history="1">
                        <w:r w:rsidR="00D15FD8" w:rsidRPr="007867F2">
                          <w:rPr>
                            <w:rStyle w:val="Hyperlink"/>
                            <w:rFonts w:ascii="Roboto" w:eastAsia="Calibri" w:hAnsi="Roboto" w:cs="Calibri"/>
                            <w:color w:val="F26C21"/>
                            <w:sz w:val="20"/>
                            <w:szCs w:val="20"/>
                          </w:rPr>
                          <w:t>International Standards of Supreme Auditing Institutions</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 xml:space="preserve">(ISSAI): State the basic prerequisites for the proper functioning and professional conduct of supreme audit institutions and the fundamental principles of public sector auditing. </w:t>
                      </w:r>
                    </w:p>
                    <w:p w14:paraId="5FF44461"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87" w:history="1">
                        <w:r w:rsidR="00D15FD8" w:rsidRPr="007867F2">
                          <w:rPr>
                            <w:rStyle w:val="Hyperlink"/>
                            <w:rFonts w:ascii="Roboto" w:eastAsia="Calibri" w:hAnsi="Roboto" w:cs="Calibri"/>
                            <w:color w:val="F26C21"/>
                            <w:sz w:val="20"/>
                            <w:szCs w:val="20"/>
                          </w:rPr>
                          <w:t>Extractive Industries Transparency Initiative (EITI) Standard</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(2019): Standards for countries with large natural resource sectors including on fiscal reporting.</w:t>
                      </w:r>
                    </w:p>
                    <w:p w14:paraId="38F01AC0"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88" w:history="1">
                        <w:r w:rsidR="00D15FD8" w:rsidRPr="007867F2">
                          <w:rPr>
                            <w:rStyle w:val="Hyperlink"/>
                            <w:rFonts w:ascii="Roboto" w:eastAsia="Calibri" w:hAnsi="Roboto" w:cs="Calibri"/>
                            <w:color w:val="F26C21"/>
                            <w:sz w:val="20"/>
                            <w:szCs w:val="20"/>
                          </w:rPr>
                          <w:t>Declaration on Good Public Financial Governance in Africa</w:t>
                        </w:r>
                      </w:hyperlink>
                      <w:r w:rsidR="00D15FD8" w:rsidRPr="007867F2">
                        <w:rPr>
                          <w:rFonts w:ascii="Roboto" w:eastAsia="Calibri" w:hAnsi="Roboto" w:cs="Calibri"/>
                          <w:color w:val="404040" w:themeColor="text1" w:themeTint="BF"/>
                          <w:sz w:val="20"/>
                          <w:szCs w:val="20"/>
                        </w:rPr>
                        <w:t xml:space="preserve"> (2011):  Commitment 1.1: Improving fiscal transparency: Governments to publish information on fiscal projections, the state of public finances, and the structure, functions and financing of government and the wider public sector. Commitment 1.2: Strengthening oversight institutions: Governments pledge that supreme auditing institutions will conduct audits and issue reports without undue influence from the executive. Commitment 2.3: To strengthen budget preparation, execution, and reporting further improvements in the coverage, quality, and timeliness of internal fiscal information will be ensured.</w:t>
                      </w:r>
                    </w:p>
                    <w:p w14:paraId="6E3F0599" w14:textId="77777777" w:rsidR="00D15FD8" w:rsidRPr="007867F2" w:rsidRDefault="00AC4DF7" w:rsidP="002D14C0">
                      <w:pPr>
                        <w:spacing w:after="160" w:line="259" w:lineRule="auto"/>
                        <w:suppressOverlap/>
                        <w:rPr>
                          <w:rFonts w:ascii="Roboto" w:eastAsia="Calibri" w:hAnsi="Roboto" w:cs="Calibri"/>
                          <w:bCs/>
                          <w:i/>
                          <w:color w:val="404040" w:themeColor="text1" w:themeTint="BF"/>
                          <w:sz w:val="20"/>
                          <w:szCs w:val="20"/>
                        </w:rPr>
                      </w:pPr>
                      <w:hyperlink r:id="rId189" w:history="1">
                        <w:r w:rsidR="00D15FD8" w:rsidRPr="007867F2">
                          <w:rPr>
                            <w:rStyle w:val="Hyperlink"/>
                            <w:rFonts w:ascii="Roboto" w:eastAsia="Calibri" w:hAnsi="Roboto" w:cs="Calibri"/>
                            <w:color w:val="F26C21"/>
                            <w:sz w:val="20"/>
                            <w:szCs w:val="20"/>
                          </w:rPr>
                          <w:t>Open Government Partnership</w:t>
                        </w:r>
                      </w:hyperlink>
                      <w:r w:rsidR="00D15FD8" w:rsidRPr="007867F2">
                        <w:rPr>
                          <w:rFonts w:ascii="Roboto" w:eastAsia="Calibri" w:hAnsi="Roboto" w:cs="Calibri"/>
                          <w:color w:val="F26C21"/>
                          <w:sz w:val="20"/>
                          <w:szCs w:val="20"/>
                          <w:u w:val="single"/>
                        </w:rPr>
                        <w:t>:</w:t>
                      </w:r>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Has minimum requirements for membership that include two fiscal transparency standards: publication of the executive’s budget proposal, and publication of the annual audit report.</w:t>
                      </w:r>
                      <w:r w:rsidR="00D15FD8" w:rsidRPr="007867F2">
                        <w:rPr>
                          <w:rFonts w:ascii="Roboto" w:eastAsia="Calibri" w:hAnsi="Roboto" w:cs="Calibri"/>
                          <w:color w:val="404040" w:themeColor="text1" w:themeTint="BF"/>
                          <w:sz w:val="20"/>
                          <w:szCs w:val="20"/>
                          <w:vertAlign w:val="superscript"/>
                        </w:rPr>
                        <w:footnoteRef/>
                      </w:r>
                      <w:r w:rsidR="00D15FD8" w:rsidRPr="007867F2">
                        <w:rPr>
                          <w:rFonts w:ascii="Roboto" w:eastAsia="Calibri" w:hAnsi="Roboto" w:cs="Calibri"/>
                          <w:color w:val="404040" w:themeColor="text1" w:themeTint="BF"/>
                          <w:sz w:val="20"/>
                          <w:szCs w:val="20"/>
                        </w:rPr>
                        <w:t xml:space="preserve"> </w:t>
                      </w:r>
                    </w:p>
                    <w:p w14:paraId="02C6B439"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90" w:history="1">
                        <w:r w:rsidR="00D15FD8" w:rsidRPr="007867F2">
                          <w:rPr>
                            <w:rStyle w:val="Hyperlink"/>
                            <w:rFonts w:ascii="Roboto" w:eastAsia="Calibri" w:hAnsi="Roboto" w:cs="Calibri"/>
                            <w:color w:val="F26C21"/>
                            <w:sz w:val="20"/>
                            <w:szCs w:val="20"/>
                          </w:rPr>
                          <w:t>Paris Accord on Climate Change</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extended reporting requirements for governments on the provision of climate finance under the UN Framework Convention on Climate Change.</w:t>
                      </w:r>
                    </w:p>
                    <w:p w14:paraId="1BFCA914" w14:textId="77777777" w:rsidR="00D15FD8" w:rsidRPr="007867F2" w:rsidRDefault="00AC4DF7" w:rsidP="002D14C0">
                      <w:pPr>
                        <w:spacing w:after="160" w:line="259" w:lineRule="auto"/>
                        <w:suppressOverlap/>
                        <w:rPr>
                          <w:rFonts w:ascii="Roboto" w:eastAsia="Calibri" w:hAnsi="Roboto" w:cs="Calibri"/>
                          <w:color w:val="404040" w:themeColor="text1" w:themeTint="BF"/>
                          <w:sz w:val="20"/>
                          <w:szCs w:val="20"/>
                        </w:rPr>
                      </w:pPr>
                      <w:hyperlink r:id="rId191" w:history="1">
                        <w:r w:rsidR="00D15FD8" w:rsidRPr="007867F2">
                          <w:rPr>
                            <w:rStyle w:val="Hyperlink"/>
                            <w:rFonts w:ascii="Roboto" w:eastAsia="Calibri" w:hAnsi="Roboto" w:cs="Calibri"/>
                            <w:color w:val="F26C21"/>
                            <w:sz w:val="20"/>
                            <w:szCs w:val="20"/>
                          </w:rPr>
                          <w:t>International Aid Transparency Initiative</w:t>
                        </w:r>
                      </w:hyperlink>
                      <w:r w:rsidR="00D15FD8" w:rsidRPr="007867F2">
                        <w:rPr>
                          <w:rFonts w:ascii="Roboto" w:eastAsia="Calibri" w:hAnsi="Roboto" w:cs="Calibri"/>
                          <w:color w:val="F26C21"/>
                          <w:sz w:val="20"/>
                          <w:szCs w:val="20"/>
                        </w:rPr>
                        <w:t xml:space="preserve"> </w:t>
                      </w:r>
                      <w:r w:rsidR="00D15FD8" w:rsidRPr="007867F2">
                        <w:rPr>
                          <w:rFonts w:ascii="Roboto" w:eastAsia="Calibri" w:hAnsi="Roboto" w:cs="Calibri"/>
                          <w:color w:val="404040" w:themeColor="text1" w:themeTint="BF"/>
                          <w:sz w:val="20"/>
                          <w:szCs w:val="20"/>
                        </w:rPr>
                        <w:t>(IATI): Global initiative to improve the transparency of development and humanitarian resources and their results to address poverty and crises.</w:t>
                      </w:r>
                    </w:p>
                    <w:p w14:paraId="46EF2ADA" w14:textId="77777777" w:rsidR="00D15FD8" w:rsidRPr="007867F2" w:rsidRDefault="00D15FD8" w:rsidP="002D14C0">
                      <w:pPr>
                        <w:spacing w:line="259" w:lineRule="auto"/>
                        <w:suppressOverlap/>
                        <w:rPr>
                          <w:rFonts w:ascii="Roboto" w:eastAsia="Calibri" w:hAnsi="Roboto" w:cs="Calibri"/>
                          <w:b/>
                          <w:bCs/>
                          <w:color w:val="1E9A8C"/>
                          <w:sz w:val="20"/>
                          <w:szCs w:val="20"/>
                          <w:u w:val="single"/>
                        </w:rPr>
                      </w:pPr>
                      <w:r w:rsidRPr="007867F2">
                        <w:rPr>
                          <w:rFonts w:ascii="Roboto" w:eastAsia="Calibri" w:hAnsi="Roboto" w:cs="Calibri"/>
                          <w:b/>
                          <w:bCs/>
                          <w:color w:val="1E9A8C"/>
                          <w:sz w:val="20"/>
                          <w:szCs w:val="20"/>
                          <w:u w:val="single"/>
                        </w:rPr>
                        <w:t>Assessment frameworks:</w:t>
                      </w:r>
                    </w:p>
                    <w:p w14:paraId="604BBBB8" w14:textId="77777777" w:rsidR="00D15FD8" w:rsidRPr="007867F2" w:rsidRDefault="00D15FD8" w:rsidP="002D14C0">
                      <w:pPr>
                        <w:spacing w:line="259" w:lineRule="auto"/>
                        <w:suppressOverlap/>
                        <w:rPr>
                          <w:rFonts w:ascii="Roboto" w:eastAsia="Calibri" w:hAnsi="Roboto" w:cs="Calibri"/>
                          <w:b/>
                          <w:bCs/>
                          <w:color w:val="404040" w:themeColor="text1" w:themeTint="BF"/>
                          <w:sz w:val="20"/>
                          <w:szCs w:val="20"/>
                          <w:u w:val="single"/>
                        </w:rPr>
                      </w:pPr>
                    </w:p>
                    <w:p w14:paraId="546D6978" w14:textId="77777777" w:rsidR="00D15FD8" w:rsidRPr="007867F2" w:rsidRDefault="00D15FD8" w:rsidP="002D14C0">
                      <w:pPr>
                        <w:spacing w:after="160" w:line="259" w:lineRule="auto"/>
                        <w:suppressOverlap/>
                        <w:rPr>
                          <w:rFonts w:ascii="Roboto" w:eastAsia="Calibri" w:hAnsi="Roboto" w:cs="Calibri"/>
                          <w:color w:val="404040" w:themeColor="text1" w:themeTint="BF"/>
                          <w:sz w:val="20"/>
                          <w:szCs w:val="20"/>
                        </w:rPr>
                      </w:pPr>
                      <w:r w:rsidRPr="007867F2">
                        <w:rPr>
                          <w:rFonts w:ascii="Roboto" w:eastAsia="Calibri" w:hAnsi="Roboto" w:cs="Calibri"/>
                          <w:b/>
                          <w:bCs/>
                          <w:color w:val="1E9A8C"/>
                          <w:sz w:val="20"/>
                          <w:szCs w:val="20"/>
                        </w:rPr>
                        <w:t xml:space="preserve">PEFA: </w:t>
                      </w:r>
                      <w:hyperlink r:id="rId192" w:history="1">
                        <w:r w:rsidRPr="007867F2">
                          <w:rPr>
                            <w:rStyle w:val="Hyperlink"/>
                            <w:rFonts w:ascii="Roboto" w:eastAsia="Calibri" w:hAnsi="Roboto" w:cs="Calibri"/>
                            <w:color w:val="F26C21"/>
                            <w:sz w:val="20"/>
                            <w:szCs w:val="20"/>
                          </w:rPr>
                          <w:t>Framework for assessing public financial management</w:t>
                        </w:r>
                      </w:hyperlink>
                      <w:r w:rsidRPr="007867F2">
                        <w:rPr>
                          <w:rFonts w:ascii="Roboto" w:eastAsia="Calibri" w:hAnsi="Roboto" w:cs="Calibri"/>
                          <w:color w:val="F26C21"/>
                          <w:sz w:val="20"/>
                          <w:szCs w:val="20"/>
                        </w:rPr>
                        <w:t xml:space="preserve"> </w:t>
                      </w:r>
                      <w:r w:rsidRPr="007867F2">
                        <w:rPr>
                          <w:rFonts w:ascii="Roboto" w:eastAsia="Calibri" w:hAnsi="Roboto" w:cs="Calibri"/>
                          <w:color w:val="404040" w:themeColor="text1" w:themeTint="BF"/>
                          <w:sz w:val="20"/>
                          <w:szCs w:val="20"/>
                        </w:rPr>
                        <w:t xml:space="preserve">(2016): Indicators assess the provision of fiscal information, and the integrity of fiscal data, such as internal controls; accounts reconciliations; and internal audit; adequacy and comparability. </w:t>
                      </w:r>
                    </w:p>
                    <w:p w14:paraId="04740274" w14:textId="35B2247E" w:rsidR="00D15FD8" w:rsidRDefault="00D15FD8" w:rsidP="002D14C0">
                      <w:pPr>
                        <w:rPr>
                          <w:rFonts w:ascii="Roboto" w:eastAsia="Calibri" w:hAnsi="Roboto" w:cs="Calibri"/>
                          <w:color w:val="404040" w:themeColor="text1" w:themeTint="BF"/>
                          <w:sz w:val="20"/>
                          <w:szCs w:val="20"/>
                        </w:rPr>
                      </w:pPr>
                      <w:r w:rsidRPr="007867F2">
                        <w:rPr>
                          <w:rFonts w:ascii="Roboto" w:eastAsia="Calibri" w:hAnsi="Roboto" w:cs="Calibri"/>
                          <w:b/>
                          <w:color w:val="1E9A8C"/>
                          <w:sz w:val="20"/>
                          <w:szCs w:val="20"/>
                        </w:rPr>
                        <w:t>IBP:</w:t>
                      </w:r>
                      <w:r w:rsidRPr="007867F2">
                        <w:rPr>
                          <w:rFonts w:ascii="Roboto" w:eastAsia="Calibri" w:hAnsi="Roboto" w:cs="Calibri"/>
                          <w:color w:val="1E9A8C"/>
                          <w:sz w:val="20"/>
                          <w:szCs w:val="20"/>
                        </w:rPr>
                        <w:t xml:space="preserve"> </w:t>
                      </w:r>
                      <w:hyperlink r:id="rId193" w:history="1">
                        <w:r w:rsidRPr="007867F2">
                          <w:rPr>
                            <w:rStyle w:val="Hyperlink"/>
                            <w:rFonts w:ascii="Roboto" w:eastAsia="Calibri" w:hAnsi="Roboto" w:cs="Calibri"/>
                            <w:color w:val="F26C21"/>
                            <w:sz w:val="20"/>
                            <w:szCs w:val="20"/>
                          </w:rPr>
                          <w:t>Open Budget Survey</w:t>
                        </w:r>
                      </w:hyperlink>
                      <w:r w:rsidRPr="007867F2">
                        <w:rPr>
                          <w:rFonts w:ascii="Roboto" w:eastAsia="Calibri" w:hAnsi="Roboto" w:cs="Calibri"/>
                          <w:color w:val="F26C21"/>
                          <w:sz w:val="20"/>
                          <w:szCs w:val="20"/>
                          <w:u w:val="single"/>
                        </w:rPr>
                        <w:t xml:space="preserve"> </w:t>
                      </w:r>
                      <w:r w:rsidRPr="007867F2">
                        <w:rPr>
                          <w:rFonts w:ascii="Roboto" w:eastAsia="Calibri" w:hAnsi="Roboto" w:cs="Calibri"/>
                          <w:color w:val="404040" w:themeColor="text1" w:themeTint="BF"/>
                          <w:sz w:val="20"/>
                          <w:szCs w:val="20"/>
                        </w:rPr>
                        <w:t>(OBS):</w:t>
                      </w:r>
                      <w:r w:rsidRPr="007867F2">
                        <w:rPr>
                          <w:rFonts w:ascii="Roboto" w:eastAsia="Calibri" w:hAnsi="Roboto" w:cs="Calibri"/>
                          <w:i/>
                          <w:color w:val="404040" w:themeColor="text1" w:themeTint="BF"/>
                          <w:sz w:val="20"/>
                          <w:szCs w:val="20"/>
                        </w:rPr>
                        <w:t xml:space="preserve"> </w:t>
                      </w:r>
                      <w:r w:rsidRPr="007867F2">
                        <w:rPr>
                          <w:rFonts w:ascii="Roboto" w:eastAsia="Calibri" w:hAnsi="Roboto" w:cs="Calibri"/>
                          <w:color w:val="404040" w:themeColor="text1" w:themeTint="BF"/>
                          <w:sz w:val="20"/>
                          <w:szCs w:val="20"/>
                        </w:rPr>
                        <w:t>Survey has questions on the past, current and forecast fiscal financial and non-financial information included in the budget documents, and on fiscal reporting during and at the end of the year. There are also questions pertaining to fiscal risks.</w:t>
                      </w:r>
                    </w:p>
                    <w:p w14:paraId="0E2ED8D5" w14:textId="27F6A050" w:rsidR="00D15FD8" w:rsidRDefault="00D15FD8" w:rsidP="002D14C0">
                      <w:pPr>
                        <w:rPr>
                          <w:rFonts w:ascii="Roboto" w:eastAsia="Calibri" w:hAnsi="Roboto" w:cs="Calibri"/>
                          <w:color w:val="404040" w:themeColor="text1" w:themeTint="BF"/>
                          <w:sz w:val="20"/>
                          <w:szCs w:val="20"/>
                        </w:rPr>
                      </w:pPr>
                    </w:p>
                    <w:p w14:paraId="3B70D9D4" w14:textId="142C59AE" w:rsidR="00D15FD8" w:rsidRPr="007867F2" w:rsidRDefault="00D15FD8" w:rsidP="002D14C0">
                      <w:pPr>
                        <w:rPr>
                          <w:rFonts w:ascii="Roboto" w:hAnsi="Roboto"/>
                          <w:sz w:val="20"/>
                          <w:szCs w:val="20"/>
                        </w:rPr>
                      </w:pPr>
                    </w:p>
                  </w:txbxContent>
                </v:textbox>
                <w10:wrap anchorx="margin" anchory="margin"/>
              </v:shape>
            </w:pict>
          </mc:Fallback>
        </mc:AlternateContent>
      </w:r>
    </w:p>
    <w:p w14:paraId="124D9AF8" w14:textId="1982DA33" w:rsidR="00203FAB" w:rsidRPr="006C0887" w:rsidRDefault="00203FAB" w:rsidP="002D14C0">
      <w:pPr>
        <w:rPr>
          <w:rFonts w:ascii="Roboto" w:hAnsi="Roboto"/>
        </w:rPr>
      </w:pPr>
    </w:p>
    <w:p w14:paraId="463EE200" w14:textId="6C9276E1" w:rsidR="00203FAB" w:rsidRPr="006C0887" w:rsidRDefault="00203FAB" w:rsidP="002D14C0">
      <w:pPr>
        <w:rPr>
          <w:rFonts w:ascii="Roboto" w:hAnsi="Roboto"/>
        </w:rPr>
      </w:pPr>
    </w:p>
    <w:p w14:paraId="757105E5" w14:textId="4C9BC1D1" w:rsidR="00203FAB" w:rsidRPr="006C0887" w:rsidRDefault="00203FAB" w:rsidP="002D14C0">
      <w:pPr>
        <w:rPr>
          <w:rFonts w:ascii="Roboto" w:hAnsi="Roboto"/>
        </w:rPr>
      </w:pPr>
    </w:p>
    <w:p w14:paraId="0BFC119D" w14:textId="60D71F94" w:rsidR="00203FAB" w:rsidRPr="006C0887" w:rsidRDefault="00203FAB" w:rsidP="002D14C0">
      <w:pPr>
        <w:rPr>
          <w:rFonts w:ascii="Roboto" w:hAnsi="Roboto"/>
        </w:rPr>
      </w:pPr>
    </w:p>
    <w:p w14:paraId="603C6B68" w14:textId="0D9ABD8D" w:rsidR="00203FAB" w:rsidRPr="006C0887" w:rsidRDefault="00203FAB" w:rsidP="002D14C0">
      <w:pPr>
        <w:rPr>
          <w:rFonts w:ascii="Roboto" w:hAnsi="Roboto"/>
        </w:rPr>
      </w:pPr>
    </w:p>
    <w:p w14:paraId="08F1578A" w14:textId="65D8E1AD" w:rsidR="00203FAB" w:rsidRPr="006C0887" w:rsidRDefault="00203FAB" w:rsidP="002D14C0">
      <w:pPr>
        <w:rPr>
          <w:rFonts w:ascii="Roboto" w:hAnsi="Roboto"/>
        </w:rPr>
      </w:pPr>
    </w:p>
    <w:p w14:paraId="2DB80C0C" w14:textId="30F459B0" w:rsidR="00203FAB" w:rsidRPr="006C0887" w:rsidRDefault="00203FAB" w:rsidP="002D14C0">
      <w:pPr>
        <w:rPr>
          <w:rFonts w:ascii="Roboto" w:hAnsi="Roboto"/>
        </w:rPr>
      </w:pPr>
    </w:p>
    <w:p w14:paraId="08B2E3B5" w14:textId="4828DCFA" w:rsidR="00203FAB" w:rsidRPr="006C0887" w:rsidRDefault="00203FAB" w:rsidP="002D14C0">
      <w:pPr>
        <w:rPr>
          <w:rFonts w:ascii="Roboto" w:hAnsi="Roboto"/>
        </w:rPr>
      </w:pPr>
    </w:p>
    <w:p w14:paraId="51D644D6" w14:textId="1C23D149" w:rsidR="00203FAB" w:rsidRPr="006C0887" w:rsidRDefault="00203FAB" w:rsidP="002D14C0">
      <w:pPr>
        <w:rPr>
          <w:rFonts w:ascii="Roboto" w:hAnsi="Roboto"/>
        </w:rPr>
      </w:pPr>
    </w:p>
    <w:p w14:paraId="241B946B" w14:textId="12132406" w:rsidR="00203FAB" w:rsidRPr="006C0887" w:rsidRDefault="00203FAB" w:rsidP="002D14C0">
      <w:pPr>
        <w:rPr>
          <w:rFonts w:ascii="Roboto" w:hAnsi="Roboto"/>
        </w:rPr>
      </w:pPr>
    </w:p>
    <w:p w14:paraId="51199C12" w14:textId="08AAD894" w:rsidR="00203FAB" w:rsidRPr="006C0887" w:rsidRDefault="00203FAB" w:rsidP="002D14C0">
      <w:pPr>
        <w:rPr>
          <w:rFonts w:ascii="Roboto" w:hAnsi="Roboto"/>
        </w:rPr>
      </w:pPr>
    </w:p>
    <w:p w14:paraId="5E853827" w14:textId="1CFFBAC5" w:rsidR="00203FAB" w:rsidRPr="006C0887" w:rsidRDefault="00203FAB" w:rsidP="002D14C0">
      <w:pPr>
        <w:rPr>
          <w:rFonts w:ascii="Roboto" w:hAnsi="Roboto"/>
        </w:rPr>
      </w:pPr>
    </w:p>
    <w:p w14:paraId="37C8134D" w14:textId="24E039A1" w:rsidR="00203FAB" w:rsidRPr="006C0887" w:rsidRDefault="00203FAB" w:rsidP="002D14C0">
      <w:pPr>
        <w:rPr>
          <w:rFonts w:ascii="Roboto" w:hAnsi="Roboto"/>
        </w:rPr>
      </w:pPr>
    </w:p>
    <w:p w14:paraId="1199305D" w14:textId="5E0ADBF9" w:rsidR="00203FAB" w:rsidRPr="006C0887"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50782" behindDoc="0" locked="0" layoutInCell="1" allowOverlap="1" wp14:anchorId="4A098383" wp14:editId="7F360D8B">
                <wp:simplePos x="0" y="0"/>
                <wp:positionH relativeFrom="column">
                  <wp:posOffset>-3609658</wp:posOffset>
                </wp:positionH>
                <wp:positionV relativeFrom="paragraph">
                  <wp:posOffset>459930</wp:posOffset>
                </wp:positionV>
                <wp:extent cx="5976620" cy="252095"/>
                <wp:effectExtent l="0" t="0" r="0" b="0"/>
                <wp:wrapNone/>
                <wp:docPr id="152" name="Text Box 152"/>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0C7E9ECD" w14:textId="4D3B4348"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098383" id="Text Box 152" o:spid="_x0000_s1124" type="#_x0000_t202" style="position:absolute;margin-left:-284.25pt;margin-top:36.2pt;width:470.6pt;height:19.85pt;rotation:90;z-index:2553507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" filled="f" stroked="f" strokeweight=".5pt">
                <v:textbox>
                  <w:txbxContent>
                    <w:p w14:paraId="0C7E9ECD" w14:textId="4D3B4348"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34</w:t>
                      </w:r>
                    </w:p>
                  </w:txbxContent>
                </v:textbox>
              </v:shape>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34334" behindDoc="1" locked="0" layoutInCell="1" allowOverlap="1" wp14:anchorId="0384FB7C" wp14:editId="483C85B8">
                <wp:simplePos x="0" y="0"/>
                <wp:positionH relativeFrom="margin">
                  <wp:align>center</wp:align>
                </wp:positionH>
                <wp:positionV relativeFrom="margin">
                  <wp:align>center</wp:align>
                </wp:positionV>
                <wp:extent cx="9856189" cy="5969000"/>
                <wp:effectExtent l="12700" t="12700" r="12065" b="12700"/>
                <wp:wrapNone/>
                <wp:docPr id="2591" name="Rectangle 2591"/>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1C985267" id="Rectangle 2591" o:spid="_x0000_s1026" style="position:absolute;margin-left:0;margin-top:0;width:776.1pt;height:470pt;z-index:-24858214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" fillcolor="#f2f2f2 [3052]" strokecolor="#16988a" strokeweight="1.5pt">
                <w10:wrap anchorx="margin" anchory="margin"/>
              </v:rect>
            </w:pict>
          </mc:Fallback>
        </mc:AlternateContent>
      </w:r>
    </w:p>
    <w:p w14:paraId="3CE12CE3" w14:textId="4907A7C3" w:rsidR="00203FAB" w:rsidRPr="006C0887" w:rsidRDefault="00203FAB" w:rsidP="002D14C0">
      <w:pPr>
        <w:rPr>
          <w:rFonts w:ascii="Roboto" w:hAnsi="Roboto"/>
        </w:rPr>
      </w:pPr>
    </w:p>
    <w:p w14:paraId="2583D6C9" w14:textId="61A5BD57" w:rsidR="00203FAB" w:rsidRPr="006C0887"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49758" behindDoc="0" locked="0" layoutInCell="1" allowOverlap="1" wp14:anchorId="5CF5001A" wp14:editId="3A2D146B">
                <wp:simplePos x="0" y="0"/>
                <wp:positionH relativeFrom="column">
                  <wp:posOffset>6517958</wp:posOffset>
                </wp:positionH>
                <wp:positionV relativeFrom="paragraph">
                  <wp:posOffset>140272</wp:posOffset>
                </wp:positionV>
                <wp:extent cx="5977200" cy="252096"/>
                <wp:effectExtent l="4762" t="0" r="0" b="0"/>
                <wp:wrapNone/>
                <wp:docPr id="144" name="Text Box 144"/>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3A413D1B" w14:textId="7AD2DD16"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829829530"/>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73D20820"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F5001A" id="Text Box 144" o:spid="_x0000_s1125" type="#_x0000_t202" style="position:absolute;margin-left:513.25pt;margin-top:11.05pt;width:470.65pt;height:19.85pt;rotation:90;z-index:2553497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" fillcolor="white [3201]" stroked="f" strokeweight=".5pt">
                <v:textbox>
                  <w:txbxContent>
                    <w:p w14:paraId="3A413D1B" w14:textId="7AD2DD16"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829829530"/>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73D20820" w14:textId="77777777" w:rsidR="00D15FD8" w:rsidRDefault="00D15FD8" w:rsidP="003D7CCB"/>
                  </w:txbxContent>
                </v:textbox>
              </v:shape>
            </w:pict>
          </mc:Fallback>
        </mc:AlternateContent>
      </w:r>
    </w:p>
    <w:p w14:paraId="4DD39A16" w14:textId="4C121561" w:rsidR="00203FAB" w:rsidRPr="006C0887" w:rsidRDefault="00203FAB" w:rsidP="002D14C0">
      <w:pPr>
        <w:rPr>
          <w:rFonts w:ascii="Roboto" w:hAnsi="Roboto"/>
        </w:rPr>
      </w:pPr>
    </w:p>
    <w:p w14:paraId="49CB1941" w14:textId="09B61E1B" w:rsidR="00203FAB" w:rsidRPr="006C0887" w:rsidRDefault="00203FAB" w:rsidP="002D14C0">
      <w:pPr>
        <w:rPr>
          <w:rFonts w:ascii="Roboto" w:hAnsi="Roboto"/>
        </w:rPr>
      </w:pPr>
    </w:p>
    <w:p w14:paraId="0F94B599" w14:textId="3792B195" w:rsidR="00203FAB" w:rsidRDefault="00203FAB" w:rsidP="002D14C0">
      <w:pPr>
        <w:jc w:val="center"/>
        <w:rPr>
          <w:rFonts w:ascii="Roboto" w:hAnsi="Roboto"/>
        </w:rPr>
      </w:pPr>
    </w:p>
    <w:p w14:paraId="57076009" w14:textId="5003CCFA" w:rsidR="00203FAB" w:rsidRDefault="00203FAB" w:rsidP="002D14C0">
      <w:pPr>
        <w:rPr>
          <w:rFonts w:ascii="Roboto" w:hAnsi="Roboto"/>
        </w:rPr>
      </w:pPr>
    </w:p>
    <w:p w14:paraId="50FC0E9D" w14:textId="0FED5D23" w:rsidR="00203FAB" w:rsidRPr="007867F2" w:rsidRDefault="00203FAB" w:rsidP="002D14C0">
      <w:pPr>
        <w:rPr>
          <w:rFonts w:ascii="Roboto" w:hAnsi="Roboto"/>
        </w:rPr>
      </w:pPr>
    </w:p>
    <w:p w14:paraId="70C9729A" w14:textId="3416405D" w:rsidR="00203FAB" w:rsidRPr="007867F2" w:rsidRDefault="00203FAB" w:rsidP="002D14C0">
      <w:pPr>
        <w:rPr>
          <w:rFonts w:ascii="Roboto" w:hAnsi="Roboto"/>
        </w:rPr>
      </w:pPr>
    </w:p>
    <w:p w14:paraId="7B3E686A" w14:textId="725F5AEE" w:rsidR="00203FAB" w:rsidRPr="007867F2" w:rsidRDefault="00203FAB" w:rsidP="002D14C0">
      <w:pPr>
        <w:rPr>
          <w:rFonts w:ascii="Roboto" w:hAnsi="Roboto"/>
        </w:rPr>
      </w:pPr>
    </w:p>
    <w:p w14:paraId="2438AF0F" w14:textId="606A322F" w:rsidR="00203FAB" w:rsidRPr="007867F2" w:rsidRDefault="00203FAB" w:rsidP="002D14C0">
      <w:pPr>
        <w:rPr>
          <w:rFonts w:ascii="Roboto" w:hAnsi="Roboto"/>
        </w:rPr>
      </w:pPr>
    </w:p>
    <w:p w14:paraId="37E01CCA" w14:textId="3D70836D" w:rsidR="00E74316" w:rsidRDefault="00E74316" w:rsidP="002D14C0">
      <w:pPr>
        <w:rPr>
          <w:rFonts w:ascii="Roboto" w:hAnsi="Roboto"/>
          <w:sz w:val="28"/>
          <w:szCs w:val="28"/>
        </w:rPr>
      </w:pPr>
    </w:p>
    <w:p w14:paraId="20A4EC27" w14:textId="3AAF2649" w:rsidR="00E74316" w:rsidRDefault="00E74316" w:rsidP="002D14C0">
      <w:pPr>
        <w:rPr>
          <w:rFonts w:ascii="Roboto" w:hAnsi="Roboto"/>
          <w:sz w:val="28"/>
          <w:szCs w:val="28"/>
        </w:rPr>
      </w:pPr>
    </w:p>
    <w:p w14:paraId="70612FEF" w14:textId="0FC37B6C" w:rsidR="0053337F" w:rsidRPr="00CD12C1" w:rsidRDefault="0053337F" w:rsidP="002D14C0">
      <w:pPr>
        <w:rPr>
          <w:rFonts w:ascii="Roboto" w:hAnsi="Roboto"/>
          <w:sz w:val="28"/>
          <w:szCs w:val="28"/>
        </w:rPr>
      </w:pPr>
    </w:p>
    <w:p w14:paraId="3A3BB816" w14:textId="640D0DE6" w:rsidR="00CC3EBD" w:rsidRDefault="00203FAB" w:rsidP="002D14C0">
      <w:pPr>
        <w:pStyle w:val="FootnoteText"/>
        <w:snapToGrid w:val="0"/>
        <w:rPr>
          <w:rFonts w:ascii="Roboto" w:hAnsi="Roboto"/>
          <w:i/>
          <w:sz w:val="16"/>
          <w:szCs w:val="16"/>
        </w:rPr>
      </w:pPr>
      <w:r w:rsidRPr="007867F2">
        <w:rPr>
          <w:rStyle w:val="FootnoteReference"/>
          <w:rFonts w:ascii="Roboto" w:hAnsi="Roboto"/>
          <w:i/>
          <w:sz w:val="16"/>
          <w:szCs w:val="16"/>
        </w:rPr>
        <w:footnoteRef/>
      </w:r>
      <w:r w:rsidRPr="007867F2">
        <w:rPr>
          <w:rFonts w:ascii="Roboto" w:hAnsi="Roboto"/>
          <w:i/>
          <w:sz w:val="16"/>
          <w:szCs w:val="16"/>
        </w:rPr>
        <w:t xml:space="preserve"> Note that the OGP’s membership requirements cover categories other than just budget transparency (e.g. freedom of information), and a country may meet most but not all of the minimum criteria across all categories to join the OGP.</w:t>
      </w:r>
      <w:r w:rsidR="00783364" w:rsidRPr="00783364">
        <w:rPr>
          <w:rFonts w:ascii="Arial" w:hAnsi="Arial" w:cs="Arial"/>
          <w:noProof/>
          <w:sz w:val="24"/>
          <w:szCs w:val="24"/>
          <w:lang w:val="en-US"/>
        </w:rPr>
        <w:t xml:space="preserve"> </w:t>
      </w:r>
    </w:p>
    <w:p w14:paraId="690EC579" w14:textId="34208A17" w:rsidR="00783364" w:rsidRDefault="00783364" w:rsidP="002D14C0">
      <w:pPr>
        <w:pStyle w:val="FootnoteText"/>
        <w:snapToGrid w:val="0"/>
        <w:rPr>
          <w:rFonts w:ascii="Roboto" w:hAnsi="Roboto"/>
          <w:i/>
          <w:sz w:val="16"/>
          <w:szCs w:val="16"/>
        </w:rPr>
      </w:pPr>
    </w:p>
    <w:p w14:paraId="0513F6CC" w14:textId="5CB76277" w:rsidR="00783364" w:rsidRDefault="00783364" w:rsidP="002D14C0">
      <w:pPr>
        <w:pStyle w:val="FootnoteText"/>
        <w:snapToGrid w:val="0"/>
        <w:rPr>
          <w:rFonts w:ascii="Roboto" w:hAnsi="Roboto"/>
          <w:i/>
          <w:sz w:val="16"/>
          <w:szCs w:val="16"/>
        </w:rPr>
      </w:pPr>
    </w:p>
    <w:p w14:paraId="095C1A9C" w14:textId="047918EB" w:rsidR="00E74316" w:rsidRDefault="00E74316" w:rsidP="002D14C0">
      <w:pPr>
        <w:pStyle w:val="FootnoteText"/>
        <w:snapToGrid w:val="0"/>
        <w:rPr>
          <w:rFonts w:ascii="Roboto" w:hAnsi="Roboto"/>
          <w:i/>
          <w:sz w:val="16"/>
          <w:szCs w:val="16"/>
        </w:rPr>
      </w:pPr>
    </w:p>
    <w:p w14:paraId="2C8C1260" w14:textId="16B5D188" w:rsidR="00783364" w:rsidRPr="007867F2" w:rsidRDefault="00783364" w:rsidP="002D14C0">
      <w:pPr>
        <w:pStyle w:val="FootnoteText"/>
        <w:snapToGrid w:val="0"/>
        <w:rPr>
          <w:rFonts w:ascii="Roboto" w:hAnsi="Roboto"/>
          <w:i/>
          <w:sz w:val="16"/>
          <w:szCs w:val="16"/>
        </w:rPr>
      </w:pPr>
    </w:p>
    <w:p w14:paraId="2012046D" w14:textId="4B038DE1" w:rsidR="00203FAB" w:rsidRDefault="00F97CAF" w:rsidP="002D14C0">
      <w:pPr>
        <w:rPr>
          <w:rFonts w:ascii="Roboto" w:hAnsi="Roboto"/>
        </w:rPr>
      </w:pPr>
      <w:r>
        <w:rPr>
          <w:rFonts w:ascii="Roboto" w:hAnsi="Roboto"/>
          <w:noProof/>
          <w:lang w:val="en-US"/>
        </w:rPr>
        <mc:AlternateContent>
          <mc:Choice Requires="wps">
            <w:drawing>
              <wp:anchor distT="0" distB="0" distL="114300" distR="114300" simplePos="0" relativeHeight="255452158" behindDoc="0" locked="0" layoutInCell="1" allowOverlap="1" wp14:anchorId="18009C5B" wp14:editId="73A13B90">
                <wp:simplePos x="0" y="0"/>
                <wp:positionH relativeFrom="column">
                  <wp:posOffset>5498275</wp:posOffset>
                </wp:positionH>
                <wp:positionV relativeFrom="paragraph">
                  <wp:posOffset>353700</wp:posOffset>
                </wp:positionV>
                <wp:extent cx="3878317" cy="561426"/>
                <wp:effectExtent l="0" t="0" r="8255" b="0"/>
                <wp:wrapNone/>
                <wp:docPr id="378" name="Rectangle 378"/>
                <wp:cNvGraphicFramePr/>
                <a:graphic xmlns:a="http://schemas.openxmlformats.org/drawingml/2006/main">
                  <a:graphicData uri="http://schemas.microsoft.com/office/word/2010/wordprocessingShape">
                    <wps:wsp>
                      <wps:cNvSpPr/>
                      <wps:spPr>
                        <a:xfrm>
                          <a:off x="0" y="0"/>
                          <a:ext cx="3878317" cy="56142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5BA38C11" id="Rectangle 378" o:spid="_x0000_s1026" style="position:absolute;margin-left:432.95pt;margin-top:27.85pt;width:305.4pt;height:44.2pt;z-index:2554521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" fillcolor="white [3212]" stroked="f" strokeweight="1pt"/>
            </w:pict>
          </mc:Fallback>
        </mc:AlternateContent>
      </w:r>
    </w:p>
    <w:p w14:paraId="6E409AAB" w14:textId="5F5E64FA" w:rsidR="00203FAB" w:rsidRPr="007867F2" w:rsidRDefault="00F97CAF"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54206" behindDoc="0" locked="0" layoutInCell="1" allowOverlap="1" wp14:anchorId="59ED3476" wp14:editId="0EA7E9A4">
                <wp:simplePos x="0" y="0"/>
                <wp:positionH relativeFrom="column">
                  <wp:posOffset>-267970</wp:posOffset>
                </wp:positionH>
                <wp:positionV relativeFrom="paragraph">
                  <wp:posOffset>-447548</wp:posOffset>
                </wp:positionV>
                <wp:extent cx="3878317" cy="268014"/>
                <wp:effectExtent l="0" t="0" r="0" b="0"/>
                <wp:wrapNone/>
                <wp:docPr id="379" name="Rectangle 379"/>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65B788AC" id="Rectangle 379" o:spid="_x0000_s1026" style="position:absolute;margin-left:-21.1pt;margin-top:-35.25pt;width:305.4pt;height:21.1pt;z-index:2554542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" fillcolor="white [3212]" stroked="f" strokeweight="1pt"/>
            </w:pict>
          </mc:Fallback>
        </mc:AlternateContent>
      </w:r>
      <w:r>
        <w:rPr>
          <w:rFonts w:ascii="Roboto" w:hAnsi="Roboto"/>
          <w:noProof/>
          <w:lang w:val="en-US"/>
        </w:rPr>
        <w:drawing>
          <wp:anchor distT="0" distB="0" distL="114300" distR="114300" simplePos="0" relativeHeight="254735358" behindDoc="1" locked="0" layoutInCell="1" allowOverlap="1" wp14:anchorId="48404662" wp14:editId="56EA783A">
            <wp:simplePos x="0" y="0"/>
            <wp:positionH relativeFrom="column">
              <wp:posOffset>22860</wp:posOffset>
            </wp:positionH>
            <wp:positionV relativeFrom="paragraph">
              <wp:posOffset>83439</wp:posOffset>
            </wp:positionV>
            <wp:extent cx="3060000" cy="612000"/>
            <wp:effectExtent l="0" t="0" r="0" b="0"/>
            <wp:wrapTight wrapText="bothSides">
              <wp:wrapPolygon edited="0">
                <wp:start x="1614" y="1346"/>
                <wp:lineTo x="1166" y="3140"/>
                <wp:lineTo x="359" y="8075"/>
                <wp:lineTo x="359" y="11215"/>
                <wp:lineTo x="717" y="16598"/>
                <wp:lineTo x="1524" y="18841"/>
                <wp:lineTo x="1704" y="19738"/>
                <wp:lineTo x="20533" y="19738"/>
                <wp:lineTo x="20623" y="18841"/>
                <wp:lineTo x="21071" y="16598"/>
                <wp:lineTo x="21340" y="3140"/>
                <wp:lineTo x="19726" y="2692"/>
                <wp:lineTo x="2690" y="1346"/>
                <wp:lineTo x="1614" y="1346"/>
              </wp:wrapPolygon>
            </wp:wrapTight>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4_Icon_titles_quarterof1920-01.png"/>
                    <pic:cNvPicPr/>
                  </pic:nvPicPr>
                  <pic:blipFill>
                    <a:blip r:embed="rId194" cstate="email">
                      <a:extLst>
                        <a:ext uri="{28A0092B-C50C-407E-A947-70E740481C1C}">
                          <a14:useLocalDpi xmlns:a14="http://schemas.microsoft.com/office/drawing/2010/main"/>
                        </a:ext>
                      </a:extLst>
                    </a:blip>
                    <a:stretch>
                      <a:fillRect/>
                    </a:stretch>
                  </pic:blipFill>
                  <pic:spPr>
                    <a:xfrm>
                      <a:off x="0" y="0"/>
                      <a:ext cx="3060000" cy="612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737406" behindDoc="1" locked="0" layoutInCell="1" allowOverlap="1" wp14:anchorId="31A2B0EF" wp14:editId="49DC4F88">
                <wp:simplePos x="0" y="0"/>
                <wp:positionH relativeFrom="margin">
                  <wp:posOffset>-495935</wp:posOffset>
                </wp:positionH>
                <wp:positionV relativeFrom="margin">
                  <wp:posOffset>-119634</wp:posOffset>
                </wp:positionV>
                <wp:extent cx="9856189" cy="5969000"/>
                <wp:effectExtent l="12700" t="12700" r="12065" b="12700"/>
                <wp:wrapNone/>
                <wp:docPr id="2592" name="Rectangle 2592"/>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2877D2D7" id="Rectangle 2592" o:spid="_x0000_s1026" style="position:absolute;margin-left:-39.05pt;margin-top:-9.4pt;width:776.1pt;height:470pt;z-index:-24857907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" fillcolor="#f2f2f2 [3052]" strokecolor="#16988a" strokeweight="1.5pt">
                <w10:wrap anchorx="margin" anchory="margin"/>
              </v:rect>
            </w:pict>
          </mc:Fallback>
        </mc:AlternateContent>
      </w:r>
    </w:p>
    <w:p w14:paraId="3F7A807E" w14:textId="68F72DA4" w:rsidR="00203FAB" w:rsidRPr="007867F2" w:rsidRDefault="00203FAB" w:rsidP="002D14C0">
      <w:pPr>
        <w:rPr>
          <w:rFonts w:ascii="Roboto" w:hAnsi="Roboto"/>
        </w:rPr>
      </w:pPr>
    </w:p>
    <w:p w14:paraId="59A02AAD" w14:textId="294A5FA6" w:rsidR="00203FAB" w:rsidRPr="007867F2" w:rsidRDefault="00203FAB" w:rsidP="002D14C0">
      <w:pPr>
        <w:rPr>
          <w:rFonts w:ascii="Roboto" w:hAnsi="Roboto"/>
        </w:rPr>
      </w:pPr>
    </w:p>
    <w:p w14:paraId="709224EF" w14:textId="14F14B12" w:rsidR="00203FAB" w:rsidRDefault="00203FAB" w:rsidP="002D14C0">
      <w:pPr>
        <w:rPr>
          <w:rFonts w:ascii="Roboto" w:hAnsi="Roboto"/>
        </w:rPr>
      </w:pPr>
    </w:p>
    <w:p w14:paraId="319FC8DB" w14:textId="4B382A6D" w:rsidR="00203FAB" w:rsidRPr="007867F2" w:rsidRDefault="00F97CAF" w:rsidP="002D14C0">
      <w:pPr>
        <w:rPr>
          <w:rFonts w:ascii="Roboto" w:hAnsi="Roboto"/>
        </w:rPr>
      </w:pPr>
      <w:r>
        <w:rPr>
          <w:rFonts w:ascii="Roboto" w:hAnsi="Roboto"/>
          <w:noProof/>
          <w:lang w:val="en-US"/>
        </w:rPr>
        <w:drawing>
          <wp:anchor distT="0" distB="0" distL="114300" distR="114300" simplePos="0" relativeHeight="253623294" behindDoc="1" locked="0" layoutInCell="1" allowOverlap="1" wp14:anchorId="0F6B2AD0" wp14:editId="68EA3FC4">
            <wp:simplePos x="0" y="0"/>
            <wp:positionH relativeFrom="margin">
              <wp:posOffset>-9525</wp:posOffset>
            </wp:positionH>
            <wp:positionV relativeFrom="paragraph">
              <wp:posOffset>715010</wp:posOffset>
            </wp:positionV>
            <wp:extent cx="8882380" cy="287655"/>
            <wp:effectExtent l="0" t="0" r="0" b="0"/>
            <wp:wrapTight wrapText="bothSides">
              <wp:wrapPolygon edited="0">
                <wp:start x="185" y="7629"/>
                <wp:lineTo x="185" y="13351"/>
                <wp:lineTo x="21341" y="13351"/>
                <wp:lineTo x="21341" y="7629"/>
                <wp:lineTo x="185" y="7629"/>
              </wp:wrapPolygon>
            </wp:wrapTight>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r w:rsidRPr="007867F2">
        <w:rPr>
          <w:rFonts w:ascii="Roboto" w:hAnsi="Roboto"/>
          <w:noProof/>
          <w:lang w:val="en-US"/>
        </w:rPr>
        <mc:AlternateContent>
          <mc:Choice Requires="wps">
            <w:drawing>
              <wp:anchor distT="0" distB="0" distL="114300" distR="114300" simplePos="0" relativeHeight="253628414" behindDoc="0" locked="0" layoutInCell="1" allowOverlap="1" wp14:anchorId="334DDDF1" wp14:editId="35110499">
                <wp:simplePos x="0" y="0"/>
                <wp:positionH relativeFrom="column">
                  <wp:posOffset>279400</wp:posOffset>
                </wp:positionH>
                <wp:positionV relativeFrom="paragraph">
                  <wp:posOffset>1635125</wp:posOffset>
                </wp:positionV>
                <wp:extent cx="2541270" cy="3021330"/>
                <wp:effectExtent l="0" t="0" r="0" b="0"/>
                <wp:wrapNone/>
                <wp:docPr id="1813" name="Text Box 1813"/>
                <wp:cNvGraphicFramePr/>
                <a:graphic xmlns:a="http://schemas.openxmlformats.org/drawingml/2006/main">
                  <a:graphicData uri="http://schemas.microsoft.com/office/word/2010/wordprocessingShape">
                    <wps:wsp>
                      <wps:cNvSpPr txBox="1"/>
                      <wps:spPr>
                        <a:xfrm>
                          <a:off x="0" y="0"/>
                          <a:ext cx="2541270" cy="3021330"/>
                        </a:xfrm>
                        <a:prstGeom prst="rect">
                          <a:avLst/>
                        </a:prstGeom>
                        <a:noFill/>
                        <a:ln w="6350">
                          <a:noFill/>
                        </a:ln>
                      </wps:spPr>
                      <wps:txbx>
                        <w:txbxContent>
                          <w:p w14:paraId="19A8A3BF" w14:textId="77777777" w:rsidR="00D15FD8" w:rsidRDefault="00D15FD8" w:rsidP="003625BA">
                            <w:pPr>
                              <w:spacing w:line="260" w:lineRule="atLeast"/>
                              <w:rPr>
                                <w:rFonts w:ascii="Roboto" w:hAnsi="Roboto" w:cs="AppleSystemUIFont"/>
                                <w:color w:val="FFFFFF" w:themeColor="background1"/>
                                <w:sz w:val="20"/>
                                <w:szCs w:val="20"/>
                              </w:rPr>
                            </w:pPr>
                            <w:r w:rsidRPr="007867F2">
                              <w:rPr>
                                <w:rFonts w:ascii="Roboto" w:hAnsi="Roboto" w:cs="AppleSystemUIFont"/>
                                <w:color w:val="FFFFFF" w:themeColor="background1"/>
                                <w:sz w:val="20"/>
                                <w:szCs w:val="20"/>
                              </w:rPr>
                              <w:t xml:space="preserve">Government budgets and reports have traditionally focused more on the costs of inputs (spending on salaries, travel, electricity etc.) than they have on the value of outputs produced (specific goods and services) or especially on the results they set out to achieve (impact on the population, economy and environment). </w:t>
                            </w:r>
                          </w:p>
                          <w:p w14:paraId="759E9EB1" w14:textId="77777777" w:rsidR="00D15FD8" w:rsidRPr="007867F2" w:rsidRDefault="00D15FD8" w:rsidP="003625BA">
                            <w:pPr>
                              <w:spacing w:line="260" w:lineRule="atLeast"/>
                              <w:rPr>
                                <w:rFonts w:ascii="Roboto" w:hAnsi="Roboto" w:cs="AppleSystemUIFont"/>
                                <w:color w:val="FFFFFF" w:themeColor="background1"/>
                                <w:sz w:val="20"/>
                                <w:szCs w:val="20"/>
                              </w:rPr>
                            </w:pPr>
                          </w:p>
                          <w:p w14:paraId="613AD101" w14:textId="77777777" w:rsidR="00D15FD8" w:rsidRPr="00553DE0" w:rsidRDefault="00D15FD8" w:rsidP="003625BA">
                            <w:pPr>
                              <w:spacing w:line="260" w:lineRule="atLeast"/>
                              <w:rPr>
                                <w:rFonts w:ascii="Roboto" w:hAnsi="Roboto"/>
                                <w:color w:val="FFFFFF" w:themeColor="background1"/>
                                <w:sz w:val="20"/>
                                <w:szCs w:val="20"/>
                              </w:rPr>
                            </w:pPr>
                            <w:r w:rsidRPr="007867F2">
                              <w:rPr>
                                <w:rFonts w:ascii="Roboto" w:hAnsi="Roboto" w:cs="AppleSystemUIFont"/>
                                <w:color w:val="FFFFFF" w:themeColor="background1"/>
                                <w:sz w:val="20"/>
                                <w:szCs w:val="20"/>
                              </w:rPr>
                              <w:t>While information on inputs is important, transparency, participation and accountability require governments to state also what they are using resources (inputs) to produce, and what results they are achieving in terms of outcomes of concern to the public.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DDDF1" id="Text Box 1813" o:spid="_x0000_s1126" type="#_x0000_t202" style="position:absolute;margin-left:22pt;margin-top:128.75pt;width:200.1pt;height:237.9pt;z-index:25362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" filled="f" stroked="f" strokeweight=".5pt">
                <v:textbox>
                  <w:txbxContent>
                    <w:p w14:paraId="19A8A3BF" w14:textId="77777777" w:rsidR="00D15FD8" w:rsidRDefault="00D15FD8" w:rsidP="003625BA">
                      <w:pPr>
                        <w:spacing w:line="260" w:lineRule="atLeast"/>
                        <w:rPr>
                          <w:rFonts w:ascii="Roboto" w:hAnsi="Roboto" w:cs="AppleSystemUIFont"/>
                          <w:color w:val="FFFFFF" w:themeColor="background1"/>
                          <w:sz w:val="20"/>
                          <w:szCs w:val="20"/>
                        </w:rPr>
                      </w:pPr>
                      <w:r w:rsidRPr="007867F2">
                        <w:rPr>
                          <w:rFonts w:ascii="Roboto" w:hAnsi="Roboto" w:cs="AppleSystemUIFont"/>
                          <w:color w:val="FFFFFF" w:themeColor="background1"/>
                          <w:sz w:val="20"/>
                          <w:szCs w:val="20"/>
                        </w:rPr>
                        <w:t xml:space="preserve">Government budgets and reports have traditionally focused more on the costs of inputs (spending on salaries, travel, electricity etc.) than they have on the value of outputs produced (specific goods and services) or especially on the results they set out to achieve (impact on the population, economy and environment). </w:t>
                      </w:r>
                    </w:p>
                    <w:p w14:paraId="759E9EB1" w14:textId="77777777" w:rsidR="00D15FD8" w:rsidRPr="007867F2" w:rsidRDefault="00D15FD8" w:rsidP="003625BA">
                      <w:pPr>
                        <w:spacing w:line="260" w:lineRule="atLeast"/>
                        <w:rPr>
                          <w:rFonts w:ascii="Roboto" w:hAnsi="Roboto" w:cs="AppleSystemUIFont"/>
                          <w:color w:val="FFFFFF" w:themeColor="background1"/>
                          <w:sz w:val="20"/>
                          <w:szCs w:val="20"/>
                        </w:rPr>
                      </w:pPr>
                    </w:p>
                    <w:p w14:paraId="613AD101" w14:textId="77777777" w:rsidR="00D15FD8" w:rsidRPr="00553DE0" w:rsidRDefault="00D15FD8" w:rsidP="003625BA">
                      <w:pPr>
                        <w:spacing w:line="260" w:lineRule="atLeast"/>
                        <w:rPr>
                          <w:rFonts w:ascii="Roboto" w:hAnsi="Roboto"/>
                          <w:color w:val="FFFFFF" w:themeColor="background1"/>
                          <w:sz w:val="20"/>
                          <w:szCs w:val="20"/>
                        </w:rPr>
                      </w:pPr>
                      <w:r w:rsidRPr="007867F2">
                        <w:rPr>
                          <w:rFonts w:ascii="Roboto" w:hAnsi="Roboto" w:cs="AppleSystemUIFont"/>
                          <w:color w:val="FFFFFF" w:themeColor="background1"/>
                          <w:sz w:val="20"/>
                          <w:szCs w:val="20"/>
                        </w:rPr>
                        <w:t>While information on inputs is important, transparency, participation and accountability require governments to state also what they are using resources (inputs) to produce, and what results they are achieving in terms of outcomes of concern to the public.</w:t>
                      </w:r>
                    </w:p>
                  </w:txbxContent>
                </v:textbox>
              </v:shape>
            </w:pict>
          </mc:Fallback>
        </mc:AlternateContent>
      </w:r>
      <w:r w:rsidRPr="007867F2">
        <w:rPr>
          <w:rFonts w:ascii="Roboto" w:hAnsi="Roboto"/>
          <w:noProof/>
          <w:lang w:val="en-US"/>
        </w:rPr>
        <mc:AlternateContent>
          <mc:Choice Requires="wps">
            <w:drawing>
              <wp:anchor distT="0" distB="0" distL="114300" distR="114300" simplePos="0" relativeHeight="253627390" behindDoc="0" locked="0" layoutInCell="1" allowOverlap="1" wp14:anchorId="51915276" wp14:editId="69C4918F">
                <wp:simplePos x="0" y="0"/>
                <wp:positionH relativeFrom="column">
                  <wp:posOffset>1091565</wp:posOffset>
                </wp:positionH>
                <wp:positionV relativeFrom="paragraph">
                  <wp:posOffset>1292860</wp:posOffset>
                </wp:positionV>
                <wp:extent cx="1337310" cy="317500"/>
                <wp:effectExtent l="0" t="0" r="0" b="0"/>
                <wp:wrapNone/>
                <wp:docPr id="1807" name="Text Box 1807"/>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2BF70F58"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15276" id="Text Box 1807" o:spid="_x0000_s1127" type="#_x0000_t202" style="position:absolute;margin-left:85.95pt;margin-top:101.8pt;width:105.3pt;height:25pt;z-index:253627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" filled="f" stroked="f" strokeweight=".5pt">
                <v:textbox>
                  <w:txbxContent>
                    <w:p w14:paraId="2BF70F58"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Pr="007867F2">
        <w:rPr>
          <w:rFonts w:ascii="Roboto" w:hAnsi="Roboto"/>
          <w:noProof/>
          <w:lang w:val="en-US"/>
        </w:rPr>
        <w:drawing>
          <wp:anchor distT="0" distB="0" distL="114300" distR="114300" simplePos="0" relativeHeight="253626366" behindDoc="1" locked="0" layoutInCell="1" allowOverlap="1" wp14:anchorId="34B09157" wp14:editId="0491D5D2">
            <wp:simplePos x="0" y="0"/>
            <wp:positionH relativeFrom="column">
              <wp:posOffset>826770</wp:posOffset>
            </wp:positionH>
            <wp:positionV relativeFrom="paragraph">
              <wp:posOffset>1266825</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r w:rsidRPr="007867F2">
        <w:rPr>
          <w:rFonts w:ascii="Roboto" w:hAnsi="Roboto"/>
          <w:noProof/>
          <w:lang w:val="en-US"/>
        </w:rPr>
        <mc:AlternateContent>
          <mc:Choice Requires="wps">
            <w:drawing>
              <wp:anchor distT="0" distB="0" distL="114300" distR="114300" simplePos="0" relativeHeight="253625342" behindDoc="0" locked="0" layoutInCell="1" allowOverlap="1" wp14:anchorId="0A45DFF4" wp14:editId="11DDC9C2">
                <wp:simplePos x="0" y="0"/>
                <wp:positionH relativeFrom="column">
                  <wp:posOffset>127000</wp:posOffset>
                </wp:positionH>
                <wp:positionV relativeFrom="paragraph">
                  <wp:posOffset>1113155</wp:posOffset>
                </wp:positionV>
                <wp:extent cx="2801620" cy="3637280"/>
                <wp:effectExtent l="12700" t="12700" r="17780" b="7620"/>
                <wp:wrapNone/>
                <wp:docPr id="1806" name="Rounded Rectangle 1806"/>
                <wp:cNvGraphicFramePr/>
                <a:graphic xmlns:a="http://schemas.openxmlformats.org/drawingml/2006/main">
                  <a:graphicData uri="http://schemas.microsoft.com/office/word/2010/wordprocessingShape">
                    <wps:wsp>
                      <wps:cNvSpPr/>
                      <wps:spPr>
                        <a:xfrm>
                          <a:off x="0" y="0"/>
                          <a:ext cx="2801620" cy="3637280"/>
                        </a:xfrm>
                        <a:prstGeom prst="roundRect">
                          <a:avLst>
                            <a:gd name="adj" fmla="val 7147"/>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FBC0"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45DFF4" id="Rounded Rectangle 1806" o:spid="_x0000_s1128" style="position:absolute;margin-left:10pt;margin-top:87.65pt;width:220.6pt;height:286.4pt;z-index:253625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" filled="f" strokecolor="white [3212]" strokeweight="1.5pt">
                <v:stroke joinstyle="miter"/>
                <v:textbox>
                  <w:txbxContent>
                    <w:p w14:paraId="0154FBC0" w14:textId="77777777" w:rsidR="00D15FD8" w:rsidRDefault="00D15FD8" w:rsidP="002D14C0"/>
                  </w:txbxContent>
                </v:textbox>
              </v:roundrect>
            </w:pict>
          </mc:Fallback>
        </mc:AlternateContent>
      </w:r>
      <w:r w:rsidRPr="007867F2">
        <w:rPr>
          <w:rFonts w:ascii="Roboto" w:hAnsi="Roboto"/>
          <w:noProof/>
          <w:lang w:val="en-US"/>
        </w:rPr>
        <mc:AlternateContent>
          <mc:Choice Requires="wps">
            <w:drawing>
              <wp:anchor distT="0" distB="0" distL="114300" distR="114300" simplePos="0" relativeHeight="253624318" behindDoc="0" locked="0" layoutInCell="1" allowOverlap="1" wp14:anchorId="5E859FD1" wp14:editId="3359AA0F">
                <wp:simplePos x="0" y="0"/>
                <wp:positionH relativeFrom="column">
                  <wp:posOffset>0</wp:posOffset>
                </wp:positionH>
                <wp:positionV relativeFrom="paragraph">
                  <wp:posOffset>1026795</wp:posOffset>
                </wp:positionV>
                <wp:extent cx="3070225" cy="3898900"/>
                <wp:effectExtent l="0" t="0" r="3175" b="0"/>
                <wp:wrapNone/>
                <wp:docPr id="1805" name="Rounded Rectangle 1805"/>
                <wp:cNvGraphicFramePr/>
                <a:graphic xmlns:a="http://schemas.openxmlformats.org/drawingml/2006/main">
                  <a:graphicData uri="http://schemas.microsoft.com/office/word/2010/wordprocessingShape">
                    <wps:wsp>
                      <wps:cNvSpPr/>
                      <wps:spPr>
                        <a:xfrm>
                          <a:off x="0" y="0"/>
                          <a:ext cx="3070225" cy="3898900"/>
                        </a:xfrm>
                        <a:prstGeom prst="roundRect">
                          <a:avLst>
                            <a:gd name="adj" fmla="val 7980"/>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94048"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859FD1" id="Rounded Rectangle 1805" o:spid="_x0000_s1129" style="position:absolute;margin-left:0;margin-top:80.85pt;width:241.75pt;height:307pt;z-index:253624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" fillcolor="#1e9a8c" stroked="f" strokeweight="1pt">
                <v:stroke joinstyle="miter"/>
                <v:textbox>
                  <w:txbxContent>
                    <w:p w14:paraId="5FC94048" w14:textId="77777777" w:rsidR="00D15FD8" w:rsidRDefault="00D15FD8" w:rsidP="002D14C0">
                      <w:pPr>
                        <w:jc w:val="center"/>
                      </w:pPr>
                    </w:p>
                  </w:txbxContent>
                </v:textbox>
              </v:roundrect>
            </w:pict>
          </mc:Fallback>
        </mc:AlternateContent>
      </w:r>
      <w:r w:rsidRPr="00017DFB">
        <w:rPr>
          <w:rFonts w:ascii="Roboto" w:hAnsi="Roboto"/>
          <w:noProof/>
          <w:lang w:val="en-US"/>
        </w:rPr>
        <mc:AlternateContent>
          <mc:Choice Requires="wps">
            <w:drawing>
              <wp:anchor distT="0" distB="0" distL="114300" distR="114300" simplePos="0" relativeHeight="253629438" behindDoc="0" locked="0" layoutInCell="1" allowOverlap="1" wp14:anchorId="0DF61A85" wp14:editId="6BD707F8">
                <wp:simplePos x="0" y="0"/>
                <wp:positionH relativeFrom="column">
                  <wp:posOffset>3189605</wp:posOffset>
                </wp:positionH>
                <wp:positionV relativeFrom="paragraph">
                  <wp:posOffset>1022350</wp:posOffset>
                </wp:positionV>
                <wp:extent cx="5367655" cy="304800"/>
                <wp:effectExtent l="0" t="0" r="0" b="0"/>
                <wp:wrapNone/>
                <wp:docPr id="1782" name="Text Box 1782"/>
                <wp:cNvGraphicFramePr/>
                <a:graphic xmlns:a="http://schemas.openxmlformats.org/drawingml/2006/main">
                  <a:graphicData uri="http://schemas.microsoft.com/office/word/2010/wordprocessingShape">
                    <wps:wsp>
                      <wps:cNvSpPr txBox="1"/>
                      <wps:spPr>
                        <a:xfrm>
                          <a:off x="0" y="0"/>
                          <a:ext cx="5367655" cy="304800"/>
                        </a:xfrm>
                        <a:prstGeom prst="rect">
                          <a:avLst/>
                        </a:prstGeom>
                        <a:noFill/>
                        <a:ln w="6350">
                          <a:noFill/>
                        </a:ln>
                      </wps:spPr>
                      <wps:txbx>
                        <w:txbxContent>
                          <w:p w14:paraId="1F6070CE"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51D448C1" w14:textId="77777777" w:rsidR="00D15FD8" w:rsidRPr="00FA2526" w:rsidRDefault="00D15FD8" w:rsidP="002D1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F61A85" id="Text Box 1782" o:spid="_x0000_s1130" type="#_x0000_t202" style="position:absolute;margin-left:251.15pt;margin-top:80.5pt;width:422.65pt;height:24pt;z-index:2536294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" filled="f" stroked="f" strokeweight=".5pt">
                <v:textbox>
                  <w:txbxContent>
                    <w:p w14:paraId="1F6070CE"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51D448C1" w14:textId="77777777" w:rsidR="00D15FD8" w:rsidRPr="00FA2526" w:rsidRDefault="00D15FD8" w:rsidP="002D14C0"/>
                  </w:txbxContent>
                </v:textbox>
              </v:shape>
            </w:pict>
          </mc:Fallback>
        </mc:AlternateContent>
      </w:r>
      <w:r w:rsidRPr="007867F2">
        <w:rPr>
          <w:rFonts w:ascii="Roboto" w:hAnsi="Roboto"/>
          <w:noProof/>
          <w:lang w:val="en-US"/>
        </w:rPr>
        <mc:AlternateContent>
          <mc:Choice Requires="wps">
            <w:drawing>
              <wp:anchor distT="0" distB="0" distL="114300" distR="114300" simplePos="0" relativeHeight="253621246" behindDoc="0" locked="0" layoutInCell="1" allowOverlap="1" wp14:anchorId="3CD52C38" wp14:editId="4B7BEA44">
                <wp:simplePos x="0" y="0"/>
                <wp:positionH relativeFrom="column">
                  <wp:posOffset>8255</wp:posOffset>
                </wp:positionH>
                <wp:positionV relativeFrom="paragraph">
                  <wp:posOffset>120650</wp:posOffset>
                </wp:positionV>
                <wp:extent cx="8847455" cy="570230"/>
                <wp:effectExtent l="0" t="0" r="17145" b="13970"/>
                <wp:wrapNone/>
                <wp:docPr id="1773" name="Rounded Rectangle 1773"/>
                <wp:cNvGraphicFramePr/>
                <a:graphic xmlns:a="http://schemas.openxmlformats.org/drawingml/2006/main">
                  <a:graphicData uri="http://schemas.microsoft.com/office/word/2010/wordprocessingShape">
                    <wps:wsp>
                      <wps:cNvSpPr/>
                      <wps:spPr>
                        <a:xfrm>
                          <a:off x="0" y="0"/>
                          <a:ext cx="8847455" cy="570230"/>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E4C788B" id="Rounded Rectangle 1773" o:spid="_x0000_s1026" style="position:absolute;margin-left:.65pt;margin-top:9.5pt;width:696.65pt;height:44.9pt;z-index:253621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" filled="f" strokecolor="#f26c21" strokeweight="1pt">
                <v:stroke joinstyle="miter"/>
              </v:roundrect>
            </w:pict>
          </mc:Fallback>
        </mc:AlternateContent>
      </w:r>
      <w:r w:rsidRPr="007867F2">
        <w:rPr>
          <w:rFonts w:ascii="Roboto" w:hAnsi="Roboto"/>
          <w:noProof/>
          <w:lang w:val="en-US"/>
        </w:rPr>
        <mc:AlternateContent>
          <mc:Choice Requires="wps">
            <w:drawing>
              <wp:anchor distT="0" distB="0" distL="114300" distR="114300" simplePos="0" relativeHeight="253622270" behindDoc="0" locked="0" layoutInCell="1" allowOverlap="1" wp14:anchorId="71042DF4" wp14:editId="1A22FE21">
                <wp:simplePos x="0" y="0"/>
                <wp:positionH relativeFrom="column">
                  <wp:posOffset>0</wp:posOffset>
                </wp:positionH>
                <wp:positionV relativeFrom="paragraph">
                  <wp:posOffset>131445</wp:posOffset>
                </wp:positionV>
                <wp:extent cx="8847455" cy="438785"/>
                <wp:effectExtent l="0" t="0" r="0" b="0"/>
                <wp:wrapNone/>
                <wp:docPr id="1748" name="Text Box 1748"/>
                <wp:cNvGraphicFramePr/>
                <a:graphic xmlns:a="http://schemas.openxmlformats.org/drawingml/2006/main">
                  <a:graphicData uri="http://schemas.microsoft.com/office/word/2010/wordprocessingShape">
                    <wps:wsp>
                      <wps:cNvSpPr txBox="1"/>
                      <wps:spPr>
                        <a:xfrm>
                          <a:off x="0" y="0"/>
                          <a:ext cx="8847455" cy="43878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10076355" w14:textId="77777777" w:rsidR="00D15FD8" w:rsidRPr="007867F2" w:rsidRDefault="00D15FD8" w:rsidP="002D14C0">
                            <w:pPr>
                              <w:spacing w:line="360" w:lineRule="auto"/>
                              <w:rPr>
                                <w:sz w:val="20"/>
                                <w:szCs w:val="20"/>
                              </w:rPr>
                            </w:pPr>
                            <w:r w:rsidRPr="007867F2">
                              <w:rPr>
                                <w:rFonts w:ascii="Roboto" w:hAnsi="Roboto"/>
                                <w:b/>
                                <w:color w:val="F26C21"/>
                                <w:sz w:val="20"/>
                                <w:szCs w:val="20"/>
                              </w:rPr>
                              <w:t xml:space="preserve">Governments should communicate the objectives they are pursuing and the outputs they are producing with the resources entrusted to them, and </w:t>
                            </w:r>
                            <w:proofErr w:type="spellStart"/>
                            <w:r w:rsidRPr="007867F2">
                              <w:rPr>
                                <w:rFonts w:ascii="Roboto" w:hAnsi="Roboto"/>
                                <w:b/>
                                <w:color w:val="F26C21"/>
                                <w:sz w:val="20"/>
                                <w:szCs w:val="20"/>
                              </w:rPr>
                              <w:t>endeavor</w:t>
                            </w:r>
                            <w:proofErr w:type="spellEnd"/>
                            <w:r w:rsidRPr="007867F2">
                              <w:rPr>
                                <w:rFonts w:ascii="Roboto" w:hAnsi="Roboto"/>
                                <w:b/>
                                <w:color w:val="F26C21"/>
                                <w:sz w:val="20"/>
                                <w:szCs w:val="20"/>
                              </w:rPr>
                              <w:t xml:space="preserve"> to assess and disclose the anticipated and actual social, economic and environmental outcomes.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042DF4" id="Text Box 1748" o:spid="_x0000_s1131" type="#_x0000_t202" style="position:absolute;margin-left:0;margin-top:10.35pt;width:696.65pt;height:34.55pt;z-index:253622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" filled="f" stroked="f" strokeweight="1pt">
                <v:textbox>
                  <w:txbxContent>
                    <w:p w14:paraId="10076355" w14:textId="77777777" w:rsidR="00D15FD8" w:rsidRPr="007867F2" w:rsidRDefault="00D15FD8" w:rsidP="002D14C0">
                      <w:pPr>
                        <w:spacing w:line="360" w:lineRule="auto"/>
                        <w:rPr>
                          <w:sz w:val="20"/>
                          <w:szCs w:val="20"/>
                        </w:rPr>
                      </w:pPr>
                      <w:r w:rsidRPr="007867F2">
                        <w:rPr>
                          <w:rFonts w:ascii="Roboto" w:hAnsi="Roboto"/>
                          <w:b/>
                          <w:color w:val="F26C21"/>
                          <w:sz w:val="20"/>
                          <w:szCs w:val="20"/>
                        </w:rPr>
                        <w:t xml:space="preserve">Governments should communicate the objectives they are pursuing and the outputs they are producing with the resources entrusted to them, and </w:t>
                      </w:r>
                      <w:proofErr w:type="spellStart"/>
                      <w:r w:rsidRPr="007867F2">
                        <w:rPr>
                          <w:rFonts w:ascii="Roboto" w:hAnsi="Roboto"/>
                          <w:b/>
                          <w:color w:val="F26C21"/>
                          <w:sz w:val="20"/>
                          <w:szCs w:val="20"/>
                        </w:rPr>
                        <w:t>endeavor</w:t>
                      </w:r>
                      <w:proofErr w:type="spellEnd"/>
                      <w:r w:rsidRPr="007867F2">
                        <w:rPr>
                          <w:rFonts w:ascii="Roboto" w:hAnsi="Roboto"/>
                          <w:b/>
                          <w:color w:val="F26C21"/>
                          <w:sz w:val="20"/>
                          <w:szCs w:val="20"/>
                        </w:rPr>
                        <w:t xml:space="preserve"> to assess and disclose the anticipated and actual social, economic and environmental outcomes.</w:t>
                      </w:r>
                    </w:p>
                  </w:txbxContent>
                </v:textbox>
              </v:shape>
            </w:pict>
          </mc:Fallback>
        </mc:AlternateContent>
      </w:r>
      <w:r w:rsidRPr="00017DFB">
        <w:rPr>
          <w:rFonts w:ascii="Roboto" w:hAnsi="Roboto"/>
          <w:noProof/>
          <w:lang w:val="en-US"/>
        </w:rPr>
        <mc:AlternateContent>
          <mc:Choice Requires="wps">
            <w:drawing>
              <wp:anchor distT="0" distB="0" distL="114300" distR="114300" simplePos="0" relativeHeight="253630462" behindDoc="0" locked="0" layoutInCell="1" allowOverlap="1" wp14:anchorId="00159B4D" wp14:editId="6FBF54BE">
                <wp:simplePos x="0" y="0"/>
                <wp:positionH relativeFrom="column">
                  <wp:posOffset>3187700</wp:posOffset>
                </wp:positionH>
                <wp:positionV relativeFrom="paragraph">
                  <wp:posOffset>1234440</wp:posOffset>
                </wp:positionV>
                <wp:extent cx="5650865" cy="3389630"/>
                <wp:effectExtent l="0" t="0" r="0" b="0"/>
                <wp:wrapNone/>
                <wp:docPr id="1812" name="Text Box 1812"/>
                <wp:cNvGraphicFramePr/>
                <a:graphic xmlns:a="http://schemas.openxmlformats.org/drawingml/2006/main">
                  <a:graphicData uri="http://schemas.microsoft.com/office/word/2010/wordprocessingShape">
                    <wps:wsp>
                      <wps:cNvSpPr txBox="1"/>
                      <wps:spPr>
                        <a:xfrm>
                          <a:off x="0" y="0"/>
                          <a:ext cx="5650865" cy="3389630"/>
                        </a:xfrm>
                        <a:prstGeom prst="rect">
                          <a:avLst/>
                        </a:prstGeom>
                        <a:noFill/>
                        <a:ln w="6350">
                          <a:noFill/>
                        </a:ln>
                      </wps:spPr>
                      <wps:txbx>
                        <w:txbxContent>
                          <w:p w14:paraId="6B3A677F" w14:textId="77777777" w:rsidR="00D15FD8" w:rsidRPr="00017DFB" w:rsidRDefault="00D15FD8" w:rsidP="002D14C0">
                            <w:pPr>
                              <w:spacing w:after="160" w:line="259" w:lineRule="auto"/>
                              <w:suppressOverlap/>
                              <w:rPr>
                                <w:rFonts w:ascii="Roboto" w:eastAsia="Calibri" w:hAnsi="Roboto" w:cs="Calibri"/>
                                <w:color w:val="404040" w:themeColor="text1" w:themeTint="BF"/>
                                <w:sz w:val="20"/>
                                <w:szCs w:val="20"/>
                              </w:rPr>
                            </w:pPr>
                            <w:r w:rsidRPr="00017DFB">
                              <w:rPr>
                                <w:rFonts w:ascii="Roboto" w:eastAsia="Calibri" w:hAnsi="Roboto" w:cs="Calibri"/>
                                <w:color w:val="404040" w:themeColor="text1" w:themeTint="BF"/>
                                <w:sz w:val="20"/>
                                <w:szCs w:val="20"/>
                              </w:rPr>
                              <w:t xml:space="preserve">Existing fiscal transparency instruments are clear about the importance of communicating objectives and results, but offer relatively limited advice on how information on the outputs and outcomes of fiscal actions, including social and environmental impacts, should be </w:t>
                            </w:r>
                            <w:proofErr w:type="spellStart"/>
                            <w:r w:rsidRPr="00017DFB">
                              <w:rPr>
                                <w:rFonts w:ascii="Roboto" w:eastAsia="Calibri" w:hAnsi="Roboto" w:cs="Calibri"/>
                                <w:color w:val="404040" w:themeColor="text1" w:themeTint="BF"/>
                                <w:sz w:val="20"/>
                                <w:szCs w:val="20"/>
                              </w:rPr>
                              <w:t>assessed</w:t>
                            </w:r>
                            <w:proofErr w:type="spellEnd"/>
                            <w:r w:rsidRPr="00017DFB">
                              <w:rPr>
                                <w:rFonts w:ascii="Roboto" w:eastAsia="Calibri" w:hAnsi="Roboto" w:cs="Calibri"/>
                                <w:color w:val="404040" w:themeColor="text1" w:themeTint="BF"/>
                                <w:sz w:val="20"/>
                                <w:szCs w:val="20"/>
                              </w:rPr>
                              <w:t xml:space="preserve"> and communicated. In particular, there is relatively little normative guidance on the level of detail at which spending on the delivery of public services should be reported e.g. at the level of individual service delivery unit such as the school or health </w:t>
                            </w:r>
                            <w:proofErr w:type="spellStart"/>
                            <w:r w:rsidRPr="00017DFB">
                              <w:rPr>
                                <w:rFonts w:ascii="Roboto" w:eastAsia="Calibri" w:hAnsi="Roboto" w:cs="Calibri"/>
                                <w:color w:val="404040" w:themeColor="text1" w:themeTint="BF"/>
                                <w:sz w:val="20"/>
                                <w:szCs w:val="20"/>
                              </w:rPr>
                              <w:t>center</w:t>
                            </w:r>
                            <w:proofErr w:type="spellEnd"/>
                            <w:r w:rsidRPr="00017DFB">
                              <w:rPr>
                                <w:rFonts w:ascii="Roboto" w:eastAsia="Calibri" w:hAnsi="Roboto" w:cs="Calibri"/>
                                <w:color w:val="404040" w:themeColor="text1" w:themeTint="BF"/>
                                <w:sz w:val="20"/>
                                <w:szCs w:val="20"/>
                              </w:rPr>
                              <w:t>. There is also little guidance on transparency of the environmental impacts of fiscal policies, aside from requirements for publication of environmental impact assessments at the project level.</w:t>
                            </w:r>
                          </w:p>
                          <w:p w14:paraId="3AA164E1" w14:textId="77777777" w:rsidR="00D15FD8" w:rsidRPr="00017DFB" w:rsidRDefault="00D15FD8" w:rsidP="002D14C0">
                            <w:pPr>
                              <w:spacing w:line="259" w:lineRule="auto"/>
                              <w:suppressOverlap/>
                              <w:rPr>
                                <w:rFonts w:ascii="Roboto" w:eastAsia="Calibri" w:hAnsi="Roboto" w:cs="Calibri"/>
                                <w:color w:val="1E9A8C"/>
                                <w:sz w:val="20"/>
                                <w:szCs w:val="20"/>
                              </w:rPr>
                            </w:pPr>
                            <w:r w:rsidRPr="00017DFB">
                              <w:rPr>
                                <w:rFonts w:ascii="Roboto" w:eastAsia="Calibri" w:hAnsi="Roboto" w:cs="Calibri"/>
                                <w:b/>
                                <w:color w:val="1E9A8C"/>
                                <w:sz w:val="20"/>
                                <w:szCs w:val="20"/>
                              </w:rPr>
                              <w:t>IMF:</w:t>
                            </w:r>
                            <w:r w:rsidRPr="00017DFB">
                              <w:rPr>
                                <w:rFonts w:ascii="Roboto" w:eastAsia="Calibri" w:hAnsi="Roboto" w:cs="Calibri"/>
                                <w:color w:val="1E9A8C"/>
                                <w:sz w:val="20"/>
                                <w:szCs w:val="20"/>
                              </w:rPr>
                              <w:t xml:space="preserve"> </w:t>
                            </w:r>
                          </w:p>
                          <w:p w14:paraId="5CA7DB63" w14:textId="77777777" w:rsidR="00D15FD8" w:rsidRPr="00017DFB" w:rsidRDefault="00AC4DF7" w:rsidP="00113300">
                            <w:pPr>
                              <w:pStyle w:val="ListParagraph"/>
                              <w:numPr>
                                <w:ilvl w:val="0"/>
                                <w:numId w:val="25"/>
                              </w:numPr>
                              <w:ind w:left="308" w:hanging="308"/>
                              <w:suppressOverlap/>
                              <w:rPr>
                                <w:rFonts w:ascii="Roboto" w:eastAsia="Calibri" w:hAnsi="Roboto" w:cs="Calibri"/>
                                <w:color w:val="404040" w:themeColor="text1" w:themeTint="BF"/>
                                <w:sz w:val="20"/>
                                <w:szCs w:val="20"/>
                              </w:rPr>
                            </w:pPr>
                            <w:hyperlink r:id="rId195" w:history="1">
                              <w:r w:rsidR="00D15FD8" w:rsidRPr="00017DFB">
                                <w:rPr>
                                  <w:rStyle w:val="Hyperlink"/>
                                  <w:rFonts w:ascii="Roboto" w:eastAsia="Calibri" w:hAnsi="Roboto" w:cs="Calibri"/>
                                  <w:color w:val="F26C21"/>
                                  <w:sz w:val="20"/>
                                  <w:szCs w:val="20"/>
                                </w:rPr>
                                <w:t>Fiscal Transparency Code</w:t>
                              </w:r>
                            </w:hyperlink>
                            <w:r w:rsidR="00D15FD8" w:rsidRPr="00017DFB">
                              <w:rPr>
                                <w:rFonts w:ascii="Roboto" w:eastAsia="Calibri" w:hAnsi="Roboto" w:cs="Calibri"/>
                                <w:color w:val="F26C21"/>
                                <w:sz w:val="20"/>
                                <w:szCs w:val="20"/>
                              </w:rPr>
                              <w:t xml:space="preserve"> </w:t>
                            </w:r>
                            <w:r w:rsidR="00D15FD8" w:rsidRPr="00017DFB">
                              <w:rPr>
                                <w:rFonts w:ascii="Roboto" w:eastAsia="Calibri" w:hAnsi="Roboto" w:cs="Calibri"/>
                                <w:color w:val="404040" w:themeColor="text1" w:themeTint="BF"/>
                                <w:sz w:val="20"/>
                                <w:szCs w:val="20"/>
                              </w:rPr>
                              <w:t xml:space="preserve">(2019): Pillar 2: </w:t>
                            </w:r>
                            <w:r w:rsidR="00D15FD8" w:rsidRPr="00017DFB">
                              <w:rPr>
                                <w:rFonts w:ascii="Roboto" w:eastAsia="Calibri" w:hAnsi="Roboto" w:cs="Calibri"/>
                                <w:bCs/>
                                <w:color w:val="404040" w:themeColor="text1" w:themeTint="BF"/>
                                <w:sz w:val="20"/>
                                <w:szCs w:val="20"/>
                                <w:lang w:val="en-ZA"/>
                              </w:rPr>
                              <w:t>Budgets and their underlying fiscal forecasts should provide a clear statement of the government’s budgetary objectives and policy intentions, and comprehensive, timely, and credible projections of the evolution of the public finances</w:t>
                            </w:r>
                            <w:r w:rsidR="00D15FD8" w:rsidRPr="00017DFB">
                              <w:rPr>
                                <w:rFonts w:ascii="Roboto" w:eastAsia="Calibri" w:hAnsi="Roboto" w:cs="Calibri"/>
                                <w:color w:val="404040" w:themeColor="text1" w:themeTint="BF"/>
                                <w:sz w:val="20"/>
                                <w:szCs w:val="20"/>
                              </w:rPr>
                              <w:t xml:space="preserve">. Principle 4.4: </w:t>
                            </w:r>
                            <w:r w:rsidR="00D15FD8" w:rsidRPr="00017DFB">
                              <w:rPr>
                                <w:rFonts w:ascii="Roboto" w:eastAsia="Calibri" w:hAnsi="Roboto" w:cs="Calibri"/>
                                <w:iCs/>
                                <w:color w:val="404040" w:themeColor="text1" w:themeTint="BF"/>
                                <w:sz w:val="20"/>
                                <w:szCs w:val="20"/>
                                <w:lang w:val="en-ZA"/>
                              </w:rPr>
                              <w:t>Fiscal, operational, environmental and social aspects of natural resource projects should be regularly reported on and published.</w:t>
                            </w:r>
                          </w:p>
                          <w:p w14:paraId="2E984207" w14:textId="77777777" w:rsidR="00D15FD8" w:rsidRPr="00017DFB"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017DFB">
                              <w:rPr>
                                <w:rFonts w:ascii="Roboto" w:eastAsia="Calibri" w:hAnsi="Roboto" w:cs="Calibri"/>
                                <w:color w:val="404040" w:themeColor="text1" w:themeTint="BF"/>
                                <w:sz w:val="20"/>
                                <w:szCs w:val="20"/>
                              </w:rPr>
                              <w:t>[</w:t>
                            </w:r>
                            <w:hyperlink r:id="rId196" w:history="1">
                              <w:r w:rsidRPr="00017DFB">
                                <w:rPr>
                                  <w:rStyle w:val="Hyperlink"/>
                                  <w:rFonts w:ascii="Roboto" w:eastAsia="Calibri" w:hAnsi="Roboto" w:cs="Calibri"/>
                                  <w:color w:val="F26C21"/>
                                  <w:sz w:val="20"/>
                                  <w:szCs w:val="20"/>
                                </w:rPr>
                                <w:t>Manual on Fiscal Transparency</w:t>
                              </w:r>
                            </w:hyperlink>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(2007): Particularly pp 42-45 on the intended impact of policy and p 85 on program objectives].</w:t>
                            </w:r>
                          </w:p>
                          <w:p w14:paraId="2229D0F3" w14:textId="77777777" w:rsidR="00D15FD8" w:rsidRPr="00017DFB"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017DFB">
                              <w:rPr>
                                <w:rFonts w:ascii="Roboto" w:hAnsi="Roboto"/>
                                <w:sz w:val="20"/>
                                <w:szCs w:val="20"/>
                              </w:rPr>
                              <w:t>[</w:t>
                            </w:r>
                            <w:hyperlink r:id="rId197" w:history="1">
                              <w:r w:rsidRPr="00017DFB">
                                <w:rPr>
                                  <w:rStyle w:val="Hyperlink"/>
                                  <w:rFonts w:ascii="Roboto" w:eastAsia="Calibri" w:hAnsi="Roboto" w:cs="Calibri"/>
                                  <w:iCs/>
                                  <w:color w:val="F26C21"/>
                                  <w:sz w:val="20"/>
                                  <w:szCs w:val="20"/>
                                </w:rPr>
                                <w:t>Guide on Resource Revenue Transparency</w:t>
                              </w:r>
                            </w:hyperlink>
                            <w:r w:rsidRPr="00017DFB">
                              <w:rPr>
                                <w:rFonts w:ascii="Roboto" w:eastAsia="Calibri" w:hAnsi="Roboto" w:cs="Calibri"/>
                                <w:iCs/>
                                <w:color w:val="F26C21"/>
                                <w:sz w:val="20"/>
                                <w:szCs w:val="20"/>
                              </w:rPr>
                              <w:t xml:space="preserve"> </w:t>
                            </w:r>
                            <w:r w:rsidRPr="00017DFB">
                              <w:rPr>
                                <w:rFonts w:ascii="Roboto" w:eastAsia="Calibri" w:hAnsi="Roboto" w:cs="Calibri"/>
                                <w:iCs/>
                                <w:color w:val="404040" w:themeColor="text1" w:themeTint="BF"/>
                                <w:sz w:val="20"/>
                                <w:szCs w:val="20"/>
                              </w:rPr>
                              <w:t>(2007):</w:t>
                            </w:r>
                            <w:r w:rsidRPr="00017DFB">
                              <w:rPr>
                                <w:rFonts w:ascii="Roboto" w:eastAsia="Calibri" w:hAnsi="Roboto" w:cs="Calibri"/>
                                <w:color w:val="404040" w:themeColor="text1" w:themeTint="BF"/>
                                <w:sz w:val="20"/>
                                <w:szCs w:val="20"/>
                              </w:rPr>
                              <w:t xml:space="preserve"> Particularly pp. 25-26 and 34-36].</w:t>
                            </w:r>
                          </w:p>
                          <w:p w14:paraId="3941BBEA" w14:textId="77777777" w:rsidR="00D15FD8" w:rsidRPr="00017DFB" w:rsidRDefault="00D15FD8" w:rsidP="002D14C0">
                            <w:pPr>
                              <w:pStyle w:val="ListParagraph"/>
                              <w:spacing w:line="259" w:lineRule="auto"/>
                              <w:ind w:left="308"/>
                              <w:suppressOverlap/>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59B4D" id="Text Box 1812" o:spid="_x0000_s1132" type="#_x0000_t202" style="position:absolute;margin-left:251pt;margin-top:97.2pt;width:444.95pt;height:266.9pt;z-index:253630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" filled="f" stroked="f" strokeweight=".5pt">
                <v:textbox>
                  <w:txbxContent>
                    <w:p w14:paraId="6B3A677F" w14:textId="77777777" w:rsidR="00D15FD8" w:rsidRPr="00017DFB" w:rsidRDefault="00D15FD8" w:rsidP="002D14C0">
                      <w:pPr>
                        <w:spacing w:after="160" w:line="259" w:lineRule="auto"/>
                        <w:suppressOverlap/>
                        <w:rPr>
                          <w:rFonts w:ascii="Roboto" w:eastAsia="Calibri" w:hAnsi="Roboto" w:cs="Calibri"/>
                          <w:color w:val="404040" w:themeColor="text1" w:themeTint="BF"/>
                          <w:sz w:val="20"/>
                          <w:szCs w:val="20"/>
                        </w:rPr>
                      </w:pPr>
                      <w:r w:rsidRPr="00017DFB">
                        <w:rPr>
                          <w:rFonts w:ascii="Roboto" w:eastAsia="Calibri" w:hAnsi="Roboto" w:cs="Calibri"/>
                          <w:color w:val="404040" w:themeColor="text1" w:themeTint="BF"/>
                          <w:sz w:val="20"/>
                          <w:szCs w:val="20"/>
                        </w:rPr>
                        <w:t xml:space="preserve">Existing fiscal transparency instruments are clear about the importance of communicating objectives and results, but offer relatively limited advice on how information on the outputs and outcomes of fiscal actions, including social and environmental impacts, should be </w:t>
                      </w:r>
                      <w:proofErr w:type="spellStart"/>
                      <w:r w:rsidRPr="00017DFB">
                        <w:rPr>
                          <w:rFonts w:ascii="Roboto" w:eastAsia="Calibri" w:hAnsi="Roboto" w:cs="Calibri"/>
                          <w:color w:val="404040" w:themeColor="text1" w:themeTint="BF"/>
                          <w:sz w:val="20"/>
                          <w:szCs w:val="20"/>
                        </w:rPr>
                        <w:t>assessed</w:t>
                      </w:r>
                      <w:proofErr w:type="spellEnd"/>
                      <w:r w:rsidRPr="00017DFB">
                        <w:rPr>
                          <w:rFonts w:ascii="Roboto" w:eastAsia="Calibri" w:hAnsi="Roboto" w:cs="Calibri"/>
                          <w:color w:val="404040" w:themeColor="text1" w:themeTint="BF"/>
                          <w:sz w:val="20"/>
                          <w:szCs w:val="20"/>
                        </w:rPr>
                        <w:t xml:space="preserve"> and communicated. In particular, there is relatively little normative guidance on the level of detail at which spending on the delivery of public services should be reported e.g. at the level of individual service delivery unit such as the school or health </w:t>
                      </w:r>
                      <w:proofErr w:type="spellStart"/>
                      <w:r w:rsidRPr="00017DFB">
                        <w:rPr>
                          <w:rFonts w:ascii="Roboto" w:eastAsia="Calibri" w:hAnsi="Roboto" w:cs="Calibri"/>
                          <w:color w:val="404040" w:themeColor="text1" w:themeTint="BF"/>
                          <w:sz w:val="20"/>
                          <w:szCs w:val="20"/>
                        </w:rPr>
                        <w:t>center</w:t>
                      </w:r>
                      <w:proofErr w:type="spellEnd"/>
                      <w:r w:rsidRPr="00017DFB">
                        <w:rPr>
                          <w:rFonts w:ascii="Roboto" w:eastAsia="Calibri" w:hAnsi="Roboto" w:cs="Calibri"/>
                          <w:color w:val="404040" w:themeColor="text1" w:themeTint="BF"/>
                          <w:sz w:val="20"/>
                          <w:szCs w:val="20"/>
                        </w:rPr>
                        <w:t>. There is also little guidance on transparency of the environmental impacts of fiscal policies, aside from requirements for publication of environmental impact assessments at the project level.</w:t>
                      </w:r>
                    </w:p>
                    <w:p w14:paraId="3AA164E1" w14:textId="77777777" w:rsidR="00D15FD8" w:rsidRPr="00017DFB" w:rsidRDefault="00D15FD8" w:rsidP="002D14C0">
                      <w:pPr>
                        <w:spacing w:line="259" w:lineRule="auto"/>
                        <w:suppressOverlap/>
                        <w:rPr>
                          <w:rFonts w:ascii="Roboto" w:eastAsia="Calibri" w:hAnsi="Roboto" w:cs="Calibri"/>
                          <w:color w:val="1E9A8C"/>
                          <w:sz w:val="20"/>
                          <w:szCs w:val="20"/>
                        </w:rPr>
                      </w:pPr>
                      <w:r w:rsidRPr="00017DFB">
                        <w:rPr>
                          <w:rFonts w:ascii="Roboto" w:eastAsia="Calibri" w:hAnsi="Roboto" w:cs="Calibri"/>
                          <w:b/>
                          <w:color w:val="1E9A8C"/>
                          <w:sz w:val="20"/>
                          <w:szCs w:val="20"/>
                        </w:rPr>
                        <w:t>IMF:</w:t>
                      </w:r>
                      <w:r w:rsidRPr="00017DFB">
                        <w:rPr>
                          <w:rFonts w:ascii="Roboto" w:eastAsia="Calibri" w:hAnsi="Roboto" w:cs="Calibri"/>
                          <w:color w:val="1E9A8C"/>
                          <w:sz w:val="20"/>
                          <w:szCs w:val="20"/>
                        </w:rPr>
                        <w:t xml:space="preserve"> </w:t>
                      </w:r>
                    </w:p>
                    <w:p w14:paraId="5CA7DB63" w14:textId="77777777" w:rsidR="00D15FD8" w:rsidRPr="00017DFB" w:rsidRDefault="00AC4DF7" w:rsidP="00113300">
                      <w:pPr>
                        <w:pStyle w:val="ListParagraph"/>
                        <w:numPr>
                          <w:ilvl w:val="0"/>
                          <w:numId w:val="25"/>
                        </w:numPr>
                        <w:ind w:left="308" w:hanging="308"/>
                        <w:suppressOverlap/>
                        <w:rPr>
                          <w:rFonts w:ascii="Roboto" w:eastAsia="Calibri" w:hAnsi="Roboto" w:cs="Calibri"/>
                          <w:color w:val="404040" w:themeColor="text1" w:themeTint="BF"/>
                          <w:sz w:val="20"/>
                          <w:szCs w:val="20"/>
                        </w:rPr>
                      </w:pPr>
                      <w:hyperlink r:id="rId198" w:history="1">
                        <w:r w:rsidR="00D15FD8" w:rsidRPr="00017DFB">
                          <w:rPr>
                            <w:rStyle w:val="Hyperlink"/>
                            <w:rFonts w:ascii="Roboto" w:eastAsia="Calibri" w:hAnsi="Roboto" w:cs="Calibri"/>
                            <w:color w:val="F26C21"/>
                            <w:sz w:val="20"/>
                            <w:szCs w:val="20"/>
                          </w:rPr>
                          <w:t>Fiscal Transparency Code</w:t>
                        </w:r>
                      </w:hyperlink>
                      <w:r w:rsidR="00D15FD8" w:rsidRPr="00017DFB">
                        <w:rPr>
                          <w:rFonts w:ascii="Roboto" w:eastAsia="Calibri" w:hAnsi="Roboto" w:cs="Calibri"/>
                          <w:color w:val="F26C21"/>
                          <w:sz w:val="20"/>
                          <w:szCs w:val="20"/>
                        </w:rPr>
                        <w:t xml:space="preserve"> </w:t>
                      </w:r>
                      <w:r w:rsidR="00D15FD8" w:rsidRPr="00017DFB">
                        <w:rPr>
                          <w:rFonts w:ascii="Roboto" w:eastAsia="Calibri" w:hAnsi="Roboto" w:cs="Calibri"/>
                          <w:color w:val="404040" w:themeColor="text1" w:themeTint="BF"/>
                          <w:sz w:val="20"/>
                          <w:szCs w:val="20"/>
                        </w:rPr>
                        <w:t xml:space="preserve">(2019): Pillar 2: </w:t>
                      </w:r>
                      <w:r w:rsidR="00D15FD8" w:rsidRPr="00017DFB">
                        <w:rPr>
                          <w:rFonts w:ascii="Roboto" w:eastAsia="Calibri" w:hAnsi="Roboto" w:cs="Calibri"/>
                          <w:bCs/>
                          <w:color w:val="404040" w:themeColor="text1" w:themeTint="BF"/>
                          <w:sz w:val="20"/>
                          <w:szCs w:val="20"/>
                          <w:lang w:val="en-ZA"/>
                        </w:rPr>
                        <w:t>Budgets and their underlying fiscal forecasts should provide a clear statement of the government’s budgetary objectives and policy intentions, and comprehensive, timely, and credible projections of the evolution of the public finances</w:t>
                      </w:r>
                      <w:r w:rsidR="00D15FD8" w:rsidRPr="00017DFB">
                        <w:rPr>
                          <w:rFonts w:ascii="Roboto" w:eastAsia="Calibri" w:hAnsi="Roboto" w:cs="Calibri"/>
                          <w:color w:val="404040" w:themeColor="text1" w:themeTint="BF"/>
                          <w:sz w:val="20"/>
                          <w:szCs w:val="20"/>
                        </w:rPr>
                        <w:t xml:space="preserve">. Principle 4.4: </w:t>
                      </w:r>
                      <w:r w:rsidR="00D15FD8" w:rsidRPr="00017DFB">
                        <w:rPr>
                          <w:rFonts w:ascii="Roboto" w:eastAsia="Calibri" w:hAnsi="Roboto" w:cs="Calibri"/>
                          <w:iCs/>
                          <w:color w:val="404040" w:themeColor="text1" w:themeTint="BF"/>
                          <w:sz w:val="20"/>
                          <w:szCs w:val="20"/>
                          <w:lang w:val="en-ZA"/>
                        </w:rPr>
                        <w:t>Fiscal, operational, environmental and social aspects of natural resource projects should be regularly reported on and published.</w:t>
                      </w:r>
                    </w:p>
                    <w:p w14:paraId="2E984207" w14:textId="77777777" w:rsidR="00D15FD8" w:rsidRPr="00017DFB"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017DFB">
                        <w:rPr>
                          <w:rFonts w:ascii="Roboto" w:eastAsia="Calibri" w:hAnsi="Roboto" w:cs="Calibri"/>
                          <w:color w:val="404040" w:themeColor="text1" w:themeTint="BF"/>
                          <w:sz w:val="20"/>
                          <w:szCs w:val="20"/>
                        </w:rPr>
                        <w:t>[</w:t>
                      </w:r>
                      <w:hyperlink r:id="rId199" w:history="1">
                        <w:r w:rsidRPr="00017DFB">
                          <w:rPr>
                            <w:rStyle w:val="Hyperlink"/>
                            <w:rFonts w:ascii="Roboto" w:eastAsia="Calibri" w:hAnsi="Roboto" w:cs="Calibri"/>
                            <w:color w:val="F26C21"/>
                            <w:sz w:val="20"/>
                            <w:szCs w:val="20"/>
                          </w:rPr>
                          <w:t>Manual on Fiscal Transparency</w:t>
                        </w:r>
                      </w:hyperlink>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(2007): Particularly pp 42-45 on the intended impact of policy and p 85 on program objectives].</w:t>
                      </w:r>
                    </w:p>
                    <w:p w14:paraId="2229D0F3" w14:textId="77777777" w:rsidR="00D15FD8" w:rsidRPr="00017DFB" w:rsidRDefault="00D15FD8" w:rsidP="002D14C0">
                      <w:pPr>
                        <w:pStyle w:val="ListParagraph"/>
                        <w:spacing w:line="259" w:lineRule="auto"/>
                        <w:ind w:left="308"/>
                        <w:suppressOverlap/>
                        <w:rPr>
                          <w:rFonts w:ascii="Roboto" w:eastAsia="Calibri" w:hAnsi="Roboto" w:cs="Calibri"/>
                          <w:color w:val="404040" w:themeColor="text1" w:themeTint="BF"/>
                          <w:sz w:val="20"/>
                          <w:szCs w:val="20"/>
                        </w:rPr>
                      </w:pPr>
                      <w:r w:rsidRPr="00017DFB">
                        <w:rPr>
                          <w:rFonts w:ascii="Roboto" w:hAnsi="Roboto"/>
                          <w:sz w:val="20"/>
                          <w:szCs w:val="20"/>
                        </w:rPr>
                        <w:t>[</w:t>
                      </w:r>
                      <w:hyperlink r:id="rId200" w:history="1">
                        <w:r w:rsidRPr="00017DFB">
                          <w:rPr>
                            <w:rStyle w:val="Hyperlink"/>
                            <w:rFonts w:ascii="Roboto" w:eastAsia="Calibri" w:hAnsi="Roboto" w:cs="Calibri"/>
                            <w:iCs/>
                            <w:color w:val="F26C21"/>
                            <w:sz w:val="20"/>
                            <w:szCs w:val="20"/>
                          </w:rPr>
                          <w:t>Guide on Resource Revenue Transparency</w:t>
                        </w:r>
                      </w:hyperlink>
                      <w:r w:rsidRPr="00017DFB">
                        <w:rPr>
                          <w:rFonts w:ascii="Roboto" w:eastAsia="Calibri" w:hAnsi="Roboto" w:cs="Calibri"/>
                          <w:iCs/>
                          <w:color w:val="F26C21"/>
                          <w:sz w:val="20"/>
                          <w:szCs w:val="20"/>
                        </w:rPr>
                        <w:t xml:space="preserve"> </w:t>
                      </w:r>
                      <w:r w:rsidRPr="00017DFB">
                        <w:rPr>
                          <w:rFonts w:ascii="Roboto" w:eastAsia="Calibri" w:hAnsi="Roboto" w:cs="Calibri"/>
                          <w:iCs/>
                          <w:color w:val="404040" w:themeColor="text1" w:themeTint="BF"/>
                          <w:sz w:val="20"/>
                          <w:szCs w:val="20"/>
                        </w:rPr>
                        <w:t>(2007):</w:t>
                      </w:r>
                      <w:r w:rsidRPr="00017DFB">
                        <w:rPr>
                          <w:rFonts w:ascii="Roboto" w:eastAsia="Calibri" w:hAnsi="Roboto" w:cs="Calibri"/>
                          <w:color w:val="404040" w:themeColor="text1" w:themeTint="BF"/>
                          <w:sz w:val="20"/>
                          <w:szCs w:val="20"/>
                        </w:rPr>
                        <w:t xml:space="preserve"> Particularly pp. 25-26 and 34-36].</w:t>
                      </w:r>
                    </w:p>
                    <w:p w14:paraId="3941BBEA" w14:textId="77777777" w:rsidR="00D15FD8" w:rsidRPr="00017DFB" w:rsidRDefault="00D15FD8" w:rsidP="002D14C0">
                      <w:pPr>
                        <w:pStyle w:val="ListParagraph"/>
                        <w:spacing w:line="259" w:lineRule="auto"/>
                        <w:ind w:left="308"/>
                        <w:suppressOverlap/>
                        <w:rPr>
                          <w:rFonts w:ascii="Roboto" w:hAnsi="Roboto"/>
                          <w:sz w:val="20"/>
                          <w:szCs w:val="20"/>
                        </w:rPr>
                      </w:pPr>
                    </w:p>
                  </w:txbxContent>
                </v:textbox>
              </v:shape>
            </w:pict>
          </mc:Fallback>
        </mc:AlternateContent>
      </w:r>
    </w:p>
    <w:p w14:paraId="59E93FEA" w14:textId="6CC6CA8D" w:rsidR="00203FAB" w:rsidRDefault="00203FAB" w:rsidP="002D14C0">
      <w:pPr>
        <w:rPr>
          <w:rFonts w:ascii="Roboto" w:hAnsi="Roboto"/>
        </w:rPr>
      </w:pPr>
    </w:p>
    <w:p w14:paraId="6445E359" w14:textId="2DF92C97" w:rsidR="00203FAB" w:rsidRDefault="00203FAB" w:rsidP="002D14C0">
      <w:pPr>
        <w:rPr>
          <w:rFonts w:ascii="Roboto" w:hAnsi="Roboto"/>
        </w:rPr>
      </w:pPr>
    </w:p>
    <w:p w14:paraId="682FCA63" w14:textId="4D92237E" w:rsidR="00203FAB" w:rsidRPr="00017DFB" w:rsidRDefault="00203FAB" w:rsidP="002D14C0">
      <w:pPr>
        <w:rPr>
          <w:rFonts w:ascii="Roboto" w:hAnsi="Roboto"/>
        </w:rPr>
      </w:pPr>
    </w:p>
    <w:p w14:paraId="0C7417E0" w14:textId="0440E6E3" w:rsidR="00203FAB" w:rsidRPr="00017DFB" w:rsidRDefault="00203FAB" w:rsidP="002D14C0">
      <w:pPr>
        <w:rPr>
          <w:rFonts w:ascii="Roboto" w:hAnsi="Roboto"/>
        </w:rPr>
      </w:pPr>
    </w:p>
    <w:p w14:paraId="5CC4B308" w14:textId="79E8B412" w:rsidR="00203FAB" w:rsidRPr="00017DFB" w:rsidRDefault="00203FAB" w:rsidP="002D14C0">
      <w:pPr>
        <w:rPr>
          <w:rFonts w:ascii="Roboto" w:hAnsi="Roboto"/>
        </w:rPr>
      </w:pPr>
    </w:p>
    <w:p w14:paraId="01151EC4" w14:textId="52E1C853" w:rsidR="00203FAB" w:rsidRPr="00017DFB" w:rsidRDefault="00203FAB" w:rsidP="002D14C0">
      <w:pPr>
        <w:rPr>
          <w:rFonts w:ascii="Roboto" w:hAnsi="Roboto"/>
        </w:rPr>
      </w:pPr>
    </w:p>
    <w:p w14:paraId="2249E50D" w14:textId="2B15CC48" w:rsidR="00203FAB" w:rsidRPr="00017DFB" w:rsidRDefault="00203FAB" w:rsidP="002D14C0">
      <w:pPr>
        <w:rPr>
          <w:rFonts w:ascii="Roboto" w:hAnsi="Roboto"/>
        </w:rPr>
      </w:pPr>
    </w:p>
    <w:p w14:paraId="07E4DEC5" w14:textId="1E1892E2" w:rsidR="00203FAB" w:rsidRPr="00017DFB" w:rsidRDefault="003A742D"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53854" behindDoc="0" locked="0" layoutInCell="1" allowOverlap="1" wp14:anchorId="0BD7129F" wp14:editId="76A84C92">
                <wp:simplePos x="0" y="0"/>
                <wp:positionH relativeFrom="column">
                  <wp:posOffset>-3610610</wp:posOffset>
                </wp:positionH>
                <wp:positionV relativeFrom="paragraph">
                  <wp:posOffset>448310</wp:posOffset>
                </wp:positionV>
                <wp:extent cx="5976620" cy="252095"/>
                <wp:effectExtent l="0" t="0" r="0" b="0"/>
                <wp:wrapNone/>
                <wp:docPr id="158" name="Text Box 158"/>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4B43DE45" w14:textId="7CEF6B8C"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D7129F" id="Text Box 158" o:spid="_x0000_s1133" type="#_x0000_t202" style="position:absolute;margin-left:-284.3pt;margin-top:35.3pt;width:470.6pt;height:19.85pt;rotation:90;z-index:2553538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" filled="f" stroked="f" strokeweight=".5pt">
                <v:textbox>
                  <w:txbxContent>
                    <w:p w14:paraId="4B43DE45" w14:textId="7CEF6B8C"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35</w:t>
                      </w:r>
                    </w:p>
                  </w:txbxContent>
                </v:textbox>
              </v:shape>
            </w:pict>
          </mc:Fallback>
        </mc:AlternateContent>
      </w:r>
    </w:p>
    <w:p w14:paraId="7242EFA3" w14:textId="267CD588" w:rsidR="00203FAB" w:rsidRPr="00017DFB" w:rsidRDefault="00203FAB" w:rsidP="002D14C0">
      <w:pPr>
        <w:rPr>
          <w:rFonts w:ascii="Roboto" w:hAnsi="Roboto"/>
        </w:rPr>
      </w:pPr>
    </w:p>
    <w:p w14:paraId="0CF02E07" w14:textId="14972FD7" w:rsidR="00203FAB" w:rsidRPr="00017DFB"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52830" behindDoc="0" locked="0" layoutInCell="1" allowOverlap="1" wp14:anchorId="5C1C6719" wp14:editId="10AE0C92">
                <wp:simplePos x="0" y="0"/>
                <wp:positionH relativeFrom="column">
                  <wp:posOffset>6517958</wp:posOffset>
                </wp:positionH>
                <wp:positionV relativeFrom="paragraph">
                  <wp:posOffset>124270</wp:posOffset>
                </wp:positionV>
                <wp:extent cx="5977200" cy="252096"/>
                <wp:effectExtent l="4762" t="0" r="0" b="0"/>
                <wp:wrapNone/>
                <wp:docPr id="154" name="Text Box 154"/>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04A72478" w14:textId="5A65084D"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350114214"/>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1B2EC026"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1C6719" id="Text Box 154" o:spid="_x0000_s1134" type="#_x0000_t202" style="position:absolute;margin-left:513.25pt;margin-top:9.8pt;width:470.65pt;height:19.85pt;rotation:90;z-index:2553528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" fillcolor="white [3201]" stroked="f" strokeweight=".5pt">
                <v:textbox>
                  <w:txbxContent>
                    <w:p w14:paraId="04A72478" w14:textId="5A65084D"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350114214"/>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1B2EC026" w14:textId="77777777" w:rsidR="00D15FD8" w:rsidRDefault="00D15FD8" w:rsidP="003D7CCB"/>
                  </w:txbxContent>
                </v:textbox>
              </v:shape>
            </w:pict>
          </mc:Fallback>
        </mc:AlternateContent>
      </w:r>
    </w:p>
    <w:p w14:paraId="75226A54" w14:textId="642CBD98" w:rsidR="00203FAB" w:rsidRPr="00017DFB" w:rsidRDefault="00203FAB" w:rsidP="002D14C0">
      <w:pPr>
        <w:rPr>
          <w:rFonts w:ascii="Roboto" w:hAnsi="Roboto"/>
        </w:rPr>
      </w:pPr>
    </w:p>
    <w:p w14:paraId="445603AA" w14:textId="1C9FAFBE" w:rsidR="00203FAB" w:rsidRPr="00017DFB" w:rsidRDefault="00203FAB" w:rsidP="002D14C0">
      <w:pPr>
        <w:rPr>
          <w:rFonts w:ascii="Roboto" w:hAnsi="Roboto"/>
        </w:rPr>
      </w:pPr>
    </w:p>
    <w:p w14:paraId="32D76102" w14:textId="44DECCA4" w:rsidR="00203FAB" w:rsidRPr="00017DFB" w:rsidRDefault="00203FAB" w:rsidP="002D14C0">
      <w:pPr>
        <w:rPr>
          <w:rFonts w:ascii="Roboto" w:hAnsi="Roboto"/>
        </w:rPr>
      </w:pPr>
    </w:p>
    <w:p w14:paraId="0BB151D0" w14:textId="7838120A" w:rsidR="00203FAB" w:rsidRPr="00017DFB" w:rsidRDefault="00203FAB" w:rsidP="002D14C0">
      <w:pPr>
        <w:rPr>
          <w:rFonts w:ascii="Roboto" w:hAnsi="Roboto"/>
        </w:rPr>
      </w:pPr>
    </w:p>
    <w:p w14:paraId="2C9C4200" w14:textId="77777777" w:rsidR="00203FAB" w:rsidRPr="00017DFB" w:rsidRDefault="00203FAB" w:rsidP="002D14C0">
      <w:pPr>
        <w:rPr>
          <w:rFonts w:ascii="Roboto" w:hAnsi="Roboto"/>
        </w:rPr>
      </w:pPr>
    </w:p>
    <w:p w14:paraId="019CBEA3" w14:textId="02A06C80" w:rsidR="00203FAB" w:rsidRPr="00017DFB" w:rsidRDefault="00203FAB" w:rsidP="002D14C0">
      <w:pPr>
        <w:rPr>
          <w:rFonts w:ascii="Roboto" w:hAnsi="Roboto"/>
        </w:rPr>
      </w:pPr>
    </w:p>
    <w:p w14:paraId="754A3560" w14:textId="77777777" w:rsidR="00203FAB" w:rsidRPr="00017DFB" w:rsidRDefault="00203FAB" w:rsidP="002D14C0">
      <w:pPr>
        <w:rPr>
          <w:rFonts w:ascii="Roboto" w:hAnsi="Roboto"/>
        </w:rPr>
      </w:pPr>
    </w:p>
    <w:p w14:paraId="3AEE8CA0" w14:textId="02EF4DE3"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56254" behindDoc="0" locked="0" layoutInCell="1" allowOverlap="1" wp14:anchorId="6B5DCA54" wp14:editId="6F004784">
                <wp:simplePos x="0" y="0"/>
                <wp:positionH relativeFrom="column">
                  <wp:posOffset>5485765</wp:posOffset>
                </wp:positionH>
                <wp:positionV relativeFrom="paragraph">
                  <wp:posOffset>2054225</wp:posOffset>
                </wp:positionV>
                <wp:extent cx="3878317" cy="268014"/>
                <wp:effectExtent l="0" t="0" r="0" b="0"/>
                <wp:wrapNone/>
                <wp:docPr id="381" name="Rectangle 381"/>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5C98396E" id="Rectangle 381" o:spid="_x0000_s1026" style="position:absolute;margin-left:431.95pt;margin-top:161.75pt;width:305.4pt;height:21.1pt;z-index:255456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" fillcolor="white [3212]" stroked="f" strokeweight="1pt"/>
            </w:pict>
          </mc:Fallback>
        </mc:AlternateContent>
      </w:r>
      <w:r w:rsidR="00CC3EBD">
        <w:rPr>
          <w:rFonts w:ascii="Roboto" w:hAnsi="Roboto"/>
        </w:rPr>
        <w:br w:type="page"/>
      </w:r>
    </w:p>
    <w:p w14:paraId="4D617BEC" w14:textId="00DD117B" w:rsidR="00203FAB"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58302" behindDoc="0" locked="0" layoutInCell="1" allowOverlap="1" wp14:anchorId="5977038C" wp14:editId="4DB74161">
                <wp:simplePos x="0" y="0"/>
                <wp:positionH relativeFrom="column">
                  <wp:posOffset>-110884</wp:posOffset>
                </wp:positionH>
                <wp:positionV relativeFrom="paragraph">
                  <wp:posOffset>-505065</wp:posOffset>
                </wp:positionV>
                <wp:extent cx="3878317" cy="268014"/>
                <wp:effectExtent l="0" t="0" r="0" b="0"/>
                <wp:wrapNone/>
                <wp:docPr id="382" name="Rectangle 382"/>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2021917F" id="Rectangle 382" o:spid="_x0000_s1026" style="position:absolute;margin-left:-8.75pt;margin-top:-39.75pt;width:305.4pt;height:21.1pt;z-index:2554583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" fillcolor="white [3212]" stroked="f" strokeweight="1pt"/>
            </w:pict>
          </mc:Fallback>
        </mc:AlternateContent>
      </w:r>
      <w:r w:rsidR="00CC3EBD" w:rsidRPr="00017DFB">
        <w:rPr>
          <w:rFonts w:ascii="Roboto" w:hAnsi="Roboto"/>
          <w:noProof/>
          <w:lang w:val="en-US"/>
        </w:rPr>
        <mc:AlternateContent>
          <mc:Choice Requires="wps">
            <w:drawing>
              <wp:anchor distT="0" distB="0" distL="114300" distR="114300" simplePos="0" relativeHeight="253631486" behindDoc="0" locked="0" layoutInCell="1" allowOverlap="1" wp14:anchorId="660962F3" wp14:editId="36BEDCBF">
                <wp:simplePos x="0" y="0"/>
                <wp:positionH relativeFrom="margin">
                  <wp:align>center</wp:align>
                </wp:positionH>
                <wp:positionV relativeFrom="margin">
                  <wp:align>center</wp:align>
                </wp:positionV>
                <wp:extent cx="8817610" cy="5153660"/>
                <wp:effectExtent l="0" t="0" r="0" b="0"/>
                <wp:wrapNone/>
                <wp:docPr id="1820" name="Text Box 1820"/>
                <wp:cNvGraphicFramePr/>
                <a:graphic xmlns:a="http://schemas.openxmlformats.org/drawingml/2006/main">
                  <a:graphicData uri="http://schemas.microsoft.com/office/word/2010/wordprocessingShape">
                    <wps:wsp>
                      <wps:cNvSpPr txBox="1"/>
                      <wps:spPr>
                        <a:xfrm>
                          <a:off x="0" y="0"/>
                          <a:ext cx="8817610" cy="5153660"/>
                        </a:xfrm>
                        <a:prstGeom prst="rect">
                          <a:avLst/>
                        </a:prstGeom>
                        <a:noFill/>
                        <a:ln w="6350">
                          <a:noFill/>
                        </a:ln>
                      </wps:spPr>
                      <wps:txbx>
                        <w:txbxContent>
                          <w:p w14:paraId="1000AD4A" w14:textId="77777777" w:rsidR="00D15FD8" w:rsidRPr="00017DFB" w:rsidRDefault="00D15FD8" w:rsidP="002D14C0">
                            <w:pPr>
                              <w:suppressOverlap/>
                              <w:rPr>
                                <w:rFonts w:ascii="Roboto" w:eastAsia="Calibri" w:hAnsi="Roboto" w:cs="Calibri"/>
                                <w:bCs/>
                                <w:i/>
                                <w:color w:val="1E9A8C"/>
                                <w:sz w:val="20"/>
                                <w:szCs w:val="20"/>
                              </w:rPr>
                            </w:pPr>
                            <w:r w:rsidRPr="00017DFB">
                              <w:rPr>
                                <w:rFonts w:ascii="Roboto" w:eastAsia="Calibri" w:hAnsi="Roboto" w:cs="Calibri"/>
                                <w:b/>
                                <w:bCs/>
                                <w:color w:val="1E9A8C"/>
                                <w:sz w:val="20"/>
                                <w:szCs w:val="20"/>
                              </w:rPr>
                              <w:t>OECD</w:t>
                            </w:r>
                            <w:r w:rsidRPr="00017DFB">
                              <w:rPr>
                                <w:rFonts w:ascii="Roboto" w:eastAsia="Calibri" w:hAnsi="Roboto" w:cs="Calibri"/>
                                <w:bCs/>
                                <w:color w:val="1E9A8C"/>
                                <w:sz w:val="20"/>
                                <w:szCs w:val="20"/>
                              </w:rPr>
                              <w:t>:</w:t>
                            </w:r>
                            <w:r w:rsidRPr="00017DFB">
                              <w:rPr>
                                <w:rFonts w:ascii="Roboto" w:eastAsia="Calibri" w:hAnsi="Roboto" w:cs="Calibri"/>
                                <w:bCs/>
                                <w:i/>
                                <w:color w:val="1E9A8C"/>
                                <w:sz w:val="20"/>
                                <w:szCs w:val="20"/>
                              </w:rPr>
                              <w:t xml:space="preserve"> </w:t>
                            </w:r>
                          </w:p>
                          <w:p w14:paraId="0504A7B5" w14:textId="12538FAA" w:rsidR="00D15FD8" w:rsidRPr="00017DFB" w:rsidRDefault="00AC4DF7" w:rsidP="00113300">
                            <w:pPr>
                              <w:pStyle w:val="ListParagraph"/>
                              <w:numPr>
                                <w:ilvl w:val="0"/>
                                <w:numId w:val="29"/>
                              </w:numPr>
                              <w:spacing w:line="259" w:lineRule="auto"/>
                              <w:ind w:left="308" w:hanging="308"/>
                              <w:suppressOverlap/>
                              <w:rPr>
                                <w:rFonts w:ascii="Roboto" w:eastAsia="Calibri" w:hAnsi="Roboto" w:cs="Calibri"/>
                                <w:color w:val="404040" w:themeColor="text1" w:themeTint="BF"/>
                                <w:sz w:val="20"/>
                                <w:szCs w:val="20"/>
                              </w:rPr>
                            </w:pPr>
                            <w:hyperlink r:id="rId201" w:history="1">
                              <w:r w:rsidR="00D15FD8" w:rsidRPr="00017DFB">
                                <w:rPr>
                                  <w:rStyle w:val="Hyperlink"/>
                                  <w:rFonts w:ascii="Roboto" w:eastAsia="Calibri" w:hAnsi="Roboto" w:cs="Calibri"/>
                                  <w:bCs/>
                                  <w:color w:val="F26C21"/>
                                  <w:sz w:val="20"/>
                                  <w:szCs w:val="20"/>
                                </w:rPr>
                                <w:t>Recommendation of the Council on Budgetary Governance: Principles of Good Budgetary Governance</w:t>
                              </w:r>
                            </w:hyperlink>
                            <w:r w:rsidR="00D15FD8" w:rsidRPr="00017DFB">
                              <w:rPr>
                                <w:rFonts w:ascii="Roboto" w:eastAsia="Calibri" w:hAnsi="Roboto" w:cs="Calibri"/>
                                <w:bCs/>
                                <w:i/>
                                <w:color w:val="F26C21"/>
                                <w:sz w:val="20"/>
                                <w:szCs w:val="20"/>
                                <w:u w:val="single"/>
                              </w:rPr>
                              <w:t xml:space="preserve"> </w:t>
                            </w:r>
                            <w:r w:rsidR="00D15FD8" w:rsidRPr="00017DFB">
                              <w:rPr>
                                <w:rFonts w:ascii="Roboto" w:eastAsia="Calibri" w:hAnsi="Roboto" w:cs="Calibri"/>
                                <w:bCs/>
                                <w:color w:val="F26C21"/>
                                <w:sz w:val="20"/>
                                <w:szCs w:val="20"/>
                                <w:u w:val="single"/>
                              </w:rPr>
                              <w:t>(2015)</w:t>
                            </w:r>
                            <w:r w:rsidR="00D15FD8" w:rsidRPr="00B54707">
                              <w:rPr>
                                <w:rFonts w:ascii="Roboto" w:eastAsia="Calibri" w:hAnsi="Roboto" w:cs="Calibri"/>
                                <w:bCs/>
                                <w:color w:val="F26C21"/>
                                <w:sz w:val="20"/>
                                <w:szCs w:val="20"/>
                              </w:rPr>
                              <w:t xml:space="preserve">: </w:t>
                            </w:r>
                            <w:r w:rsidR="00D15FD8" w:rsidRPr="00B54707">
                              <w:rPr>
                                <w:rFonts w:ascii="Roboto" w:eastAsia="Calibri" w:hAnsi="Roboto" w:cs="Calibri"/>
                                <w:bCs/>
                                <w:sz w:val="20"/>
                                <w:szCs w:val="20"/>
                              </w:rPr>
                              <w:t>Principle 8: Governments to ensure that</w:t>
                            </w:r>
                            <w:r w:rsidR="00D15FD8">
                              <w:rPr>
                                <w:rFonts w:ascii="Roboto" w:eastAsia="Calibri" w:hAnsi="Roboto" w:cs="Calibri"/>
                                <w:bCs/>
                                <w:sz w:val="20"/>
                                <w:szCs w:val="20"/>
                              </w:rPr>
                              <w:t xml:space="preserve"> </w:t>
                            </w:r>
                            <w:r w:rsidR="00D15FD8" w:rsidRPr="00017DFB">
                              <w:rPr>
                                <w:rFonts w:ascii="Roboto" w:eastAsia="Calibri" w:hAnsi="Roboto" w:cs="Calibri"/>
                                <w:bCs/>
                                <w:color w:val="404040" w:themeColor="text1" w:themeTint="BF"/>
                                <w:sz w:val="20"/>
                                <w:szCs w:val="20"/>
                              </w:rPr>
                              <w:t>performance, evaluation and value for money are integral to the budget process. Recommended actions include: helping parliament and citizens to understand what public services are actually being delivered, and their quality and efficiency; routinely presenting performance information in a way that clarifies accountability and oversight; ensuring the availability of high-quality performance and evaluation information; and conducting open ex-ante evaluations of all substantive new policy proposals to assess coherence with national priorities.</w:t>
                            </w:r>
                          </w:p>
                          <w:p w14:paraId="1EA28A98" w14:textId="77777777" w:rsidR="00D15FD8" w:rsidRPr="00017DFB" w:rsidRDefault="00AC4DF7" w:rsidP="00113300">
                            <w:pPr>
                              <w:pStyle w:val="ListParagraph"/>
                              <w:numPr>
                                <w:ilvl w:val="0"/>
                                <w:numId w:val="29"/>
                              </w:numPr>
                              <w:spacing w:after="160" w:line="259" w:lineRule="auto"/>
                              <w:ind w:left="308" w:hanging="308"/>
                              <w:suppressOverlap/>
                              <w:rPr>
                                <w:rFonts w:ascii="Roboto" w:eastAsia="Calibri" w:hAnsi="Roboto" w:cs="Calibri"/>
                                <w:color w:val="404040" w:themeColor="text1" w:themeTint="BF"/>
                                <w:sz w:val="20"/>
                                <w:szCs w:val="20"/>
                              </w:rPr>
                            </w:pPr>
                            <w:hyperlink r:id="rId202" w:history="1">
                              <w:r w:rsidR="00D15FD8" w:rsidRPr="00017DFB">
                                <w:rPr>
                                  <w:rStyle w:val="Hyperlink"/>
                                  <w:rFonts w:ascii="Roboto" w:eastAsia="Calibri" w:hAnsi="Roboto" w:cs="Calibri"/>
                                  <w:color w:val="F26C21"/>
                                  <w:sz w:val="20"/>
                                  <w:szCs w:val="20"/>
                                </w:rPr>
                                <w:t>Budget Transparency Toolkit</w:t>
                              </w:r>
                            </w:hyperlink>
                            <w:r w:rsidR="00D15FD8" w:rsidRPr="00017DFB">
                              <w:rPr>
                                <w:rFonts w:ascii="Roboto" w:eastAsia="Calibri" w:hAnsi="Roboto" w:cs="Calibri"/>
                                <w:color w:val="F26C21"/>
                                <w:sz w:val="20"/>
                                <w:szCs w:val="20"/>
                              </w:rPr>
                              <w:t xml:space="preserve"> </w:t>
                            </w:r>
                            <w:r w:rsidR="00D15FD8" w:rsidRPr="00017DFB">
                              <w:rPr>
                                <w:rFonts w:ascii="Roboto" w:eastAsia="Calibri" w:hAnsi="Roboto" w:cs="Calibri"/>
                                <w:color w:val="404040" w:themeColor="text1" w:themeTint="BF"/>
                                <w:sz w:val="20"/>
                                <w:szCs w:val="20"/>
                              </w:rPr>
                              <w:t>(2017)</w:t>
                            </w:r>
                            <w:r w:rsidR="00D15FD8" w:rsidRPr="00017DFB">
                              <w:rPr>
                                <w:rFonts w:ascii="Roboto" w:eastAsia="Calibri" w:hAnsi="Roboto" w:cs="Calibri"/>
                                <w:bCs/>
                                <w:iCs/>
                                <w:color w:val="404040" w:themeColor="text1" w:themeTint="BF"/>
                                <w:sz w:val="20"/>
                                <w:szCs w:val="20"/>
                              </w:rPr>
                              <w:t>:</w:t>
                            </w:r>
                            <w:r w:rsidR="00D15FD8" w:rsidRPr="00017DFB">
                              <w:rPr>
                                <w:rFonts w:ascii="Roboto" w:eastAsia="Calibri" w:hAnsi="Roboto" w:cs="Calibri"/>
                                <w:color w:val="404040" w:themeColor="text1" w:themeTint="BF"/>
                                <w:sz w:val="20"/>
                                <w:szCs w:val="20"/>
                              </w:rPr>
                              <w:t xml:space="preserve"> Suggests, in topic B.4, the performance information to be included in budget documents, including on outputs, targets and results, on high-level government strategic goals and outcomes, and on the impacts of budget decisions on different groups and sectors.  </w:t>
                            </w:r>
                          </w:p>
                          <w:p w14:paraId="5CABB9C4" w14:textId="77777777" w:rsidR="00D15FD8" w:rsidRPr="00017DFB" w:rsidRDefault="00D15FD8" w:rsidP="002D14C0">
                            <w:pPr>
                              <w:spacing w:after="160" w:line="259" w:lineRule="auto"/>
                              <w:suppressOverlap/>
                              <w:rPr>
                                <w:rFonts w:ascii="Roboto" w:eastAsia="Calibri" w:hAnsi="Roboto" w:cs="Calibri"/>
                                <w:color w:val="404040" w:themeColor="text1" w:themeTint="BF"/>
                                <w:sz w:val="20"/>
                                <w:szCs w:val="20"/>
                              </w:rPr>
                            </w:pPr>
                            <w:r w:rsidRPr="00017DFB">
                              <w:rPr>
                                <w:rFonts w:ascii="Roboto" w:eastAsia="Calibri" w:hAnsi="Roboto" w:cs="Calibri"/>
                                <w:b/>
                                <w:bCs/>
                                <w:color w:val="1E9A8C"/>
                                <w:sz w:val="20"/>
                                <w:szCs w:val="20"/>
                              </w:rPr>
                              <w:t>International Federation of Accountants (IFAC) / Chartered Institute of Public Finance and Accountancy (CIPFA):</w:t>
                            </w:r>
                            <w:r w:rsidRPr="00017DFB">
                              <w:rPr>
                                <w:rFonts w:ascii="Roboto" w:eastAsia="Calibri" w:hAnsi="Roboto" w:cs="Calibri"/>
                                <w:color w:val="1E9A8C"/>
                                <w:sz w:val="20"/>
                                <w:szCs w:val="20"/>
                              </w:rPr>
                              <w:t xml:space="preserve"> </w:t>
                            </w:r>
                            <w:hyperlink r:id="rId203" w:history="1">
                              <w:r w:rsidRPr="00017DFB">
                                <w:rPr>
                                  <w:rStyle w:val="Hyperlink"/>
                                  <w:rFonts w:ascii="Roboto" w:eastAsia="Calibri" w:hAnsi="Roboto" w:cs="Calibri"/>
                                  <w:iCs/>
                                  <w:color w:val="F26C21"/>
                                  <w:sz w:val="20"/>
                                  <w:szCs w:val="20"/>
                                </w:rPr>
                                <w:t>International Framework: Good Governance in the Public Sector</w:t>
                              </w:r>
                            </w:hyperlink>
                            <w:r w:rsidRPr="00017DFB">
                              <w:rPr>
                                <w:rFonts w:ascii="Roboto" w:eastAsia="Calibri" w:hAnsi="Roboto" w:cs="Calibri"/>
                                <w:iCs/>
                                <w:color w:val="F26C21"/>
                                <w:sz w:val="20"/>
                                <w:szCs w:val="20"/>
                                <w:u w:val="single"/>
                              </w:rPr>
                              <w:t>:</w:t>
                            </w:r>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Principle C: Defining outcomes in terms of economic, social and environmental benefits. Principle D: Determining the right intervention (outputs) to achieve desired outcomes.</w:t>
                            </w:r>
                          </w:p>
                          <w:p w14:paraId="43027828" w14:textId="77777777" w:rsidR="00D15FD8" w:rsidRPr="00017DFB" w:rsidRDefault="00AC4DF7" w:rsidP="002D14C0">
                            <w:pPr>
                              <w:spacing w:after="160" w:line="259" w:lineRule="auto"/>
                              <w:suppressOverlap/>
                              <w:rPr>
                                <w:rFonts w:ascii="Roboto" w:eastAsia="Calibri" w:hAnsi="Roboto" w:cs="Calibri"/>
                                <w:color w:val="404040" w:themeColor="text1" w:themeTint="BF"/>
                                <w:sz w:val="20"/>
                                <w:szCs w:val="20"/>
                              </w:rPr>
                            </w:pPr>
                            <w:hyperlink r:id="rId204" w:history="1">
                              <w:r w:rsidR="00D15FD8" w:rsidRPr="00017DFB">
                                <w:rPr>
                                  <w:rStyle w:val="Hyperlink"/>
                                  <w:rFonts w:ascii="Roboto" w:eastAsia="Calibri" w:hAnsi="Roboto" w:cs="Calibri"/>
                                  <w:b/>
                                  <w:bCs/>
                                  <w:color w:val="1E9A8C"/>
                                  <w:sz w:val="20"/>
                                  <w:szCs w:val="20"/>
                                </w:rPr>
                                <w:t>Open Contracting Global Principles</w:t>
                              </w:r>
                            </w:hyperlink>
                            <w:r w:rsidR="00D15FD8" w:rsidRPr="00017DFB">
                              <w:rPr>
                                <w:rFonts w:ascii="Roboto" w:eastAsia="Calibri" w:hAnsi="Roboto" w:cs="Calibri"/>
                                <w:color w:val="1E9A8C"/>
                                <w:sz w:val="20"/>
                                <w:szCs w:val="20"/>
                                <w:u w:val="single"/>
                              </w:rPr>
                              <w:t>:</w:t>
                            </w:r>
                            <w:r w:rsidR="00D15FD8" w:rsidRPr="00017DFB">
                              <w:rPr>
                                <w:rFonts w:ascii="Roboto" w:eastAsia="Calibri" w:hAnsi="Roboto" w:cs="Calibri"/>
                                <w:color w:val="1E9A8C"/>
                                <w:sz w:val="20"/>
                                <w:szCs w:val="20"/>
                              </w:rPr>
                              <w:t xml:space="preserve"> </w:t>
                            </w:r>
                            <w:r w:rsidR="00D15FD8" w:rsidRPr="00017DFB">
                              <w:rPr>
                                <w:rFonts w:ascii="Roboto" w:eastAsia="Calibri" w:hAnsi="Roboto" w:cs="Calibri"/>
                                <w:color w:val="404040" w:themeColor="text1" w:themeTint="BF"/>
                                <w:sz w:val="20"/>
                                <w:szCs w:val="20"/>
                              </w:rPr>
                              <w:t>Principle 3 d vii: In seeking and granting public contracts, governments should routinely disclose environmental and social impact assessments to provide a safeguard for the public against the inefficient, ineffective, or corrupt use of public resources.</w:t>
                            </w:r>
                          </w:p>
                          <w:p w14:paraId="50C87C35" w14:textId="77777777" w:rsidR="00D15FD8" w:rsidRPr="00017DFB" w:rsidRDefault="00AC4DF7" w:rsidP="002D14C0">
                            <w:pPr>
                              <w:spacing w:line="259" w:lineRule="auto"/>
                              <w:suppressOverlap/>
                              <w:rPr>
                                <w:rFonts w:ascii="Roboto" w:eastAsia="Calibri" w:hAnsi="Roboto" w:cs="Calibri"/>
                                <w:color w:val="404040" w:themeColor="text1" w:themeTint="BF"/>
                                <w:sz w:val="20"/>
                                <w:szCs w:val="20"/>
                              </w:rPr>
                            </w:pPr>
                            <w:hyperlink r:id="rId205" w:history="1">
                              <w:r w:rsidR="00D15FD8" w:rsidRPr="00017DFB">
                                <w:rPr>
                                  <w:rStyle w:val="Hyperlink"/>
                                  <w:rFonts w:ascii="Roboto" w:eastAsia="Calibri" w:hAnsi="Roboto" w:cs="Calibri"/>
                                  <w:b/>
                                  <w:color w:val="1E9A8C"/>
                                  <w:sz w:val="20"/>
                                  <w:szCs w:val="20"/>
                                </w:rPr>
                                <w:t>Rio Declaration on Environment and Development</w:t>
                              </w:r>
                            </w:hyperlink>
                            <w:r w:rsidR="00D15FD8" w:rsidRPr="00017DFB">
                              <w:rPr>
                                <w:rFonts w:ascii="Roboto" w:eastAsia="Calibri" w:hAnsi="Roboto" w:cs="Calibri"/>
                                <w:color w:val="1E9A8C"/>
                                <w:sz w:val="20"/>
                                <w:szCs w:val="20"/>
                              </w:rPr>
                              <w:t xml:space="preserve"> </w:t>
                            </w:r>
                            <w:r w:rsidR="00D15FD8" w:rsidRPr="00017DFB">
                              <w:rPr>
                                <w:rFonts w:ascii="Roboto" w:eastAsia="Calibri" w:hAnsi="Roboto" w:cs="Calibri"/>
                                <w:color w:val="404040" w:themeColor="text1" w:themeTint="BF"/>
                                <w:sz w:val="20"/>
                                <w:szCs w:val="20"/>
                              </w:rPr>
                              <w:t>(1992): Established 27 principles for protecting the integrity of the global environmental and developmental systems. Principle 17: Environmental impact assessment, as a national instrument, shall be undertaken for proposed activities that are likely to have a significant adverse impact on the environment and are subject to a decision of a competent national authority.</w:t>
                            </w:r>
                          </w:p>
                          <w:p w14:paraId="3651E9C0" w14:textId="77777777" w:rsidR="00D15FD8" w:rsidRPr="00017DFB" w:rsidRDefault="00D15FD8" w:rsidP="002D14C0">
                            <w:pPr>
                              <w:spacing w:line="259" w:lineRule="auto"/>
                              <w:suppressOverlap/>
                              <w:rPr>
                                <w:rFonts w:ascii="Roboto" w:eastAsia="Calibri" w:hAnsi="Roboto" w:cs="Calibri"/>
                                <w:color w:val="404040" w:themeColor="text1" w:themeTint="BF"/>
                                <w:sz w:val="20"/>
                                <w:szCs w:val="20"/>
                              </w:rPr>
                            </w:pPr>
                          </w:p>
                          <w:p w14:paraId="7F81452F" w14:textId="77777777" w:rsidR="00D15FD8" w:rsidRPr="00017DFB" w:rsidRDefault="00D15FD8" w:rsidP="002D14C0">
                            <w:pPr>
                              <w:spacing w:line="259" w:lineRule="auto"/>
                              <w:suppressOverlap/>
                              <w:rPr>
                                <w:rFonts w:ascii="Roboto" w:eastAsia="Calibri" w:hAnsi="Roboto" w:cs="Calibri"/>
                                <w:b/>
                                <w:bCs/>
                                <w:color w:val="1E9A8C"/>
                                <w:sz w:val="20"/>
                                <w:szCs w:val="20"/>
                                <w:u w:val="single"/>
                              </w:rPr>
                            </w:pPr>
                            <w:r w:rsidRPr="00017DFB">
                              <w:rPr>
                                <w:rFonts w:ascii="Roboto" w:eastAsia="Calibri" w:hAnsi="Roboto" w:cs="Calibri"/>
                                <w:b/>
                                <w:bCs/>
                                <w:color w:val="1E9A8C"/>
                                <w:sz w:val="20"/>
                                <w:szCs w:val="20"/>
                                <w:u w:val="single"/>
                              </w:rPr>
                              <w:t>Assessment frameworks:</w:t>
                            </w:r>
                          </w:p>
                          <w:p w14:paraId="1D48257F" w14:textId="77777777" w:rsidR="00D15FD8" w:rsidRPr="00017DFB" w:rsidRDefault="00D15FD8" w:rsidP="002D14C0">
                            <w:pPr>
                              <w:spacing w:line="259" w:lineRule="auto"/>
                              <w:suppressOverlap/>
                              <w:rPr>
                                <w:rFonts w:ascii="Roboto" w:eastAsia="Calibri" w:hAnsi="Roboto" w:cs="Calibri"/>
                                <w:b/>
                                <w:bCs/>
                                <w:color w:val="404040" w:themeColor="text1" w:themeTint="BF"/>
                                <w:sz w:val="20"/>
                                <w:szCs w:val="20"/>
                                <w:u w:val="single"/>
                              </w:rPr>
                            </w:pPr>
                          </w:p>
                          <w:p w14:paraId="73D331B4" w14:textId="77777777" w:rsidR="00D15FD8" w:rsidRPr="00017DFB" w:rsidRDefault="00D15FD8" w:rsidP="002D14C0">
                            <w:pPr>
                              <w:spacing w:after="160" w:line="259" w:lineRule="auto"/>
                              <w:suppressOverlap/>
                              <w:rPr>
                                <w:rFonts w:ascii="Roboto" w:eastAsia="Calibri" w:hAnsi="Roboto" w:cs="Calibri"/>
                                <w:color w:val="404040" w:themeColor="text1" w:themeTint="BF"/>
                                <w:sz w:val="20"/>
                                <w:szCs w:val="20"/>
                              </w:rPr>
                            </w:pPr>
                            <w:r w:rsidRPr="00017DFB">
                              <w:rPr>
                                <w:rFonts w:ascii="Roboto" w:eastAsia="Calibri" w:hAnsi="Roboto" w:cs="Calibri"/>
                                <w:b/>
                                <w:bCs/>
                                <w:color w:val="1E9A8C"/>
                                <w:sz w:val="20"/>
                                <w:szCs w:val="20"/>
                              </w:rPr>
                              <w:t xml:space="preserve">PEFA: </w:t>
                            </w:r>
                            <w:hyperlink r:id="rId206" w:history="1">
                              <w:r w:rsidRPr="00017DFB">
                                <w:rPr>
                                  <w:rStyle w:val="Hyperlink"/>
                                  <w:rFonts w:ascii="Roboto" w:eastAsia="Calibri" w:hAnsi="Roboto" w:cs="Calibri"/>
                                  <w:color w:val="F26C21"/>
                                  <w:sz w:val="20"/>
                                  <w:szCs w:val="20"/>
                                </w:rPr>
                                <w:t>Framework for assessing public financial management</w:t>
                              </w:r>
                            </w:hyperlink>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(2016): Assesses the availability of information on performance plans and achievements including on key performance indicators, outputs</w:t>
                            </w:r>
                            <w:r>
                              <w:rPr>
                                <w:rFonts w:ascii="Roboto" w:eastAsia="Calibri" w:hAnsi="Roboto" w:cs="Calibri"/>
                                <w:color w:val="404040" w:themeColor="text1" w:themeTint="BF"/>
                                <w:sz w:val="20"/>
                                <w:szCs w:val="20"/>
                              </w:rPr>
                              <w:t>, a</w:t>
                            </w:r>
                            <w:r w:rsidRPr="00017DFB">
                              <w:rPr>
                                <w:rFonts w:ascii="Roboto" w:eastAsia="Calibri" w:hAnsi="Roboto" w:cs="Calibri"/>
                                <w:color w:val="404040" w:themeColor="text1" w:themeTint="BF"/>
                                <w:sz w:val="20"/>
                                <w:szCs w:val="20"/>
                              </w:rPr>
                              <w:t>nd outcomes</w:t>
                            </w:r>
                            <w:r>
                              <w:rPr>
                                <w:rFonts w:ascii="Roboto" w:eastAsia="Calibri" w:hAnsi="Roboto" w:cs="Calibri"/>
                                <w:color w:val="404040" w:themeColor="text1" w:themeTint="BF"/>
                                <w:sz w:val="20"/>
                                <w:szCs w:val="20"/>
                              </w:rPr>
                              <w:t xml:space="preserve">. </w:t>
                            </w:r>
                            <w:r w:rsidRPr="00017DFB">
                              <w:rPr>
                                <w:rFonts w:ascii="Roboto" w:eastAsia="Calibri" w:hAnsi="Roboto" w:cs="Calibri"/>
                                <w:color w:val="404040" w:themeColor="text1" w:themeTint="BF"/>
                                <w:sz w:val="20"/>
                                <w:szCs w:val="20"/>
                              </w:rPr>
                              <w:t>It also looks at evaluations that have recently been carried out and published of the efficiency and effectiveness of service delivery.</w:t>
                            </w:r>
                          </w:p>
                          <w:p w14:paraId="0826CBEB" w14:textId="77777777" w:rsidR="00D15FD8" w:rsidRDefault="00D15FD8" w:rsidP="002D14C0">
                            <w:pPr>
                              <w:rPr>
                                <w:rFonts w:ascii="Roboto" w:eastAsia="Calibri" w:hAnsi="Roboto" w:cs="Calibri"/>
                                <w:color w:val="404040" w:themeColor="text1" w:themeTint="BF"/>
                                <w:sz w:val="20"/>
                                <w:szCs w:val="20"/>
                              </w:rPr>
                            </w:pPr>
                            <w:r w:rsidRPr="00017DFB">
                              <w:rPr>
                                <w:rFonts w:ascii="Roboto" w:eastAsia="Calibri" w:hAnsi="Roboto" w:cs="Calibri"/>
                                <w:b/>
                                <w:color w:val="1E9A8C"/>
                                <w:sz w:val="20"/>
                                <w:szCs w:val="20"/>
                              </w:rPr>
                              <w:t>IBP:</w:t>
                            </w:r>
                            <w:r w:rsidRPr="00017DFB">
                              <w:rPr>
                                <w:rFonts w:ascii="Roboto" w:eastAsia="Calibri" w:hAnsi="Roboto" w:cs="Calibri"/>
                                <w:color w:val="1E9A8C"/>
                                <w:sz w:val="20"/>
                                <w:szCs w:val="20"/>
                              </w:rPr>
                              <w:t xml:space="preserve"> </w:t>
                            </w:r>
                            <w:hyperlink r:id="rId207" w:history="1">
                              <w:r w:rsidRPr="00017DFB">
                                <w:rPr>
                                  <w:rStyle w:val="Hyperlink"/>
                                  <w:rFonts w:ascii="Roboto" w:eastAsia="Calibri" w:hAnsi="Roboto" w:cs="Calibri"/>
                                  <w:color w:val="F26C21"/>
                                  <w:sz w:val="20"/>
                                  <w:szCs w:val="20"/>
                                </w:rPr>
                                <w:t>Open Budget Survey</w:t>
                              </w:r>
                            </w:hyperlink>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(OBS): Contains a series of questions on nonfinancial data and performance indicators associated with budget proposals.</w:t>
                            </w:r>
                            <w:r w:rsidRPr="00017DFB">
                              <w:rPr>
                                <w:rFonts w:ascii="Roboto" w:hAnsi="Roboto"/>
                                <w:sz w:val="20"/>
                                <w:szCs w:val="20"/>
                              </w:rPr>
                              <w:t xml:space="preserve"> </w:t>
                            </w:r>
                            <w:r w:rsidRPr="00017DFB">
                              <w:rPr>
                                <w:rFonts w:ascii="Roboto" w:eastAsia="Calibri" w:hAnsi="Roboto" w:cs="Calibri"/>
                                <w:color w:val="404040" w:themeColor="text1" w:themeTint="BF"/>
                                <w:sz w:val="20"/>
                                <w:szCs w:val="20"/>
                              </w:rPr>
                              <w:t xml:space="preserve">As part of the 2019 survey, a new pilot module was introduced to assess the availability of budget information needed by civil society groups and citizens when </w:t>
                            </w:r>
                            <w:proofErr w:type="spellStart"/>
                            <w:r w:rsidRPr="00017DFB">
                              <w:rPr>
                                <w:rFonts w:ascii="Roboto" w:eastAsia="Calibri" w:hAnsi="Roboto" w:cs="Calibri"/>
                                <w:color w:val="404040" w:themeColor="text1" w:themeTint="BF"/>
                                <w:sz w:val="20"/>
                                <w:szCs w:val="20"/>
                              </w:rPr>
                              <w:t>analyzing</w:t>
                            </w:r>
                            <w:proofErr w:type="spellEnd"/>
                            <w:r w:rsidRPr="00017DFB">
                              <w:rPr>
                                <w:rFonts w:ascii="Roboto" w:eastAsia="Calibri" w:hAnsi="Roboto" w:cs="Calibri"/>
                                <w:color w:val="404040" w:themeColor="text1" w:themeTint="BF"/>
                                <w:sz w:val="20"/>
                                <w:szCs w:val="20"/>
                              </w:rPr>
                              <w:t xml:space="preserve"> sector spending.</w:t>
                            </w:r>
                          </w:p>
                          <w:p w14:paraId="53699DDC" w14:textId="77777777" w:rsidR="00D15FD8" w:rsidRPr="00017DFB"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962F3" id="Text Box 1820" o:spid="_x0000_s1135" type="#_x0000_t202" style="position:absolute;margin-left:0;margin-top:0;width:694.3pt;height:405.8pt;z-index:25363148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" filled="f" stroked="f" strokeweight=".5pt">
                <v:textbox>
                  <w:txbxContent>
                    <w:p w14:paraId="1000AD4A" w14:textId="77777777" w:rsidR="00D15FD8" w:rsidRPr="00017DFB" w:rsidRDefault="00D15FD8" w:rsidP="002D14C0">
                      <w:pPr>
                        <w:suppressOverlap/>
                        <w:rPr>
                          <w:rFonts w:ascii="Roboto" w:eastAsia="Calibri" w:hAnsi="Roboto" w:cs="Calibri"/>
                          <w:bCs/>
                          <w:i/>
                          <w:color w:val="1E9A8C"/>
                          <w:sz w:val="20"/>
                          <w:szCs w:val="20"/>
                        </w:rPr>
                      </w:pPr>
                      <w:r w:rsidRPr="00017DFB">
                        <w:rPr>
                          <w:rFonts w:ascii="Roboto" w:eastAsia="Calibri" w:hAnsi="Roboto" w:cs="Calibri"/>
                          <w:b/>
                          <w:bCs/>
                          <w:color w:val="1E9A8C"/>
                          <w:sz w:val="20"/>
                          <w:szCs w:val="20"/>
                        </w:rPr>
                        <w:t>OECD</w:t>
                      </w:r>
                      <w:r w:rsidRPr="00017DFB">
                        <w:rPr>
                          <w:rFonts w:ascii="Roboto" w:eastAsia="Calibri" w:hAnsi="Roboto" w:cs="Calibri"/>
                          <w:bCs/>
                          <w:color w:val="1E9A8C"/>
                          <w:sz w:val="20"/>
                          <w:szCs w:val="20"/>
                        </w:rPr>
                        <w:t>:</w:t>
                      </w:r>
                      <w:r w:rsidRPr="00017DFB">
                        <w:rPr>
                          <w:rFonts w:ascii="Roboto" w:eastAsia="Calibri" w:hAnsi="Roboto" w:cs="Calibri"/>
                          <w:bCs/>
                          <w:i/>
                          <w:color w:val="1E9A8C"/>
                          <w:sz w:val="20"/>
                          <w:szCs w:val="20"/>
                        </w:rPr>
                        <w:t xml:space="preserve"> </w:t>
                      </w:r>
                    </w:p>
                    <w:p w14:paraId="0504A7B5" w14:textId="12538FAA" w:rsidR="00D15FD8" w:rsidRPr="00017DFB" w:rsidRDefault="00AC4DF7" w:rsidP="00113300">
                      <w:pPr>
                        <w:pStyle w:val="ListParagraph"/>
                        <w:numPr>
                          <w:ilvl w:val="0"/>
                          <w:numId w:val="29"/>
                        </w:numPr>
                        <w:spacing w:line="259" w:lineRule="auto"/>
                        <w:ind w:left="308" w:hanging="308"/>
                        <w:suppressOverlap/>
                        <w:rPr>
                          <w:rFonts w:ascii="Roboto" w:eastAsia="Calibri" w:hAnsi="Roboto" w:cs="Calibri"/>
                          <w:color w:val="404040" w:themeColor="text1" w:themeTint="BF"/>
                          <w:sz w:val="20"/>
                          <w:szCs w:val="20"/>
                        </w:rPr>
                      </w:pPr>
                      <w:hyperlink r:id="rId208" w:history="1">
                        <w:r w:rsidR="00D15FD8" w:rsidRPr="00017DFB">
                          <w:rPr>
                            <w:rStyle w:val="Hyperlink"/>
                            <w:rFonts w:ascii="Roboto" w:eastAsia="Calibri" w:hAnsi="Roboto" w:cs="Calibri"/>
                            <w:bCs/>
                            <w:color w:val="F26C21"/>
                            <w:sz w:val="20"/>
                            <w:szCs w:val="20"/>
                          </w:rPr>
                          <w:t>Recommendation of the Council on Budgetary Governance: Principles of Good Budgetary Governance</w:t>
                        </w:r>
                      </w:hyperlink>
                      <w:r w:rsidR="00D15FD8" w:rsidRPr="00017DFB">
                        <w:rPr>
                          <w:rFonts w:ascii="Roboto" w:eastAsia="Calibri" w:hAnsi="Roboto" w:cs="Calibri"/>
                          <w:bCs/>
                          <w:i/>
                          <w:color w:val="F26C21"/>
                          <w:sz w:val="20"/>
                          <w:szCs w:val="20"/>
                          <w:u w:val="single"/>
                        </w:rPr>
                        <w:t xml:space="preserve"> </w:t>
                      </w:r>
                      <w:r w:rsidR="00D15FD8" w:rsidRPr="00017DFB">
                        <w:rPr>
                          <w:rFonts w:ascii="Roboto" w:eastAsia="Calibri" w:hAnsi="Roboto" w:cs="Calibri"/>
                          <w:bCs/>
                          <w:color w:val="F26C21"/>
                          <w:sz w:val="20"/>
                          <w:szCs w:val="20"/>
                          <w:u w:val="single"/>
                        </w:rPr>
                        <w:t>(2015)</w:t>
                      </w:r>
                      <w:r w:rsidR="00D15FD8" w:rsidRPr="00B54707">
                        <w:rPr>
                          <w:rFonts w:ascii="Roboto" w:eastAsia="Calibri" w:hAnsi="Roboto" w:cs="Calibri"/>
                          <w:bCs/>
                          <w:color w:val="F26C21"/>
                          <w:sz w:val="20"/>
                          <w:szCs w:val="20"/>
                        </w:rPr>
                        <w:t xml:space="preserve">: </w:t>
                      </w:r>
                      <w:r w:rsidR="00D15FD8" w:rsidRPr="00B54707">
                        <w:rPr>
                          <w:rFonts w:ascii="Roboto" w:eastAsia="Calibri" w:hAnsi="Roboto" w:cs="Calibri"/>
                          <w:bCs/>
                          <w:sz w:val="20"/>
                          <w:szCs w:val="20"/>
                        </w:rPr>
                        <w:t>Principle 8: Governments to ensure that</w:t>
                      </w:r>
                      <w:r w:rsidR="00D15FD8">
                        <w:rPr>
                          <w:rFonts w:ascii="Roboto" w:eastAsia="Calibri" w:hAnsi="Roboto" w:cs="Calibri"/>
                          <w:bCs/>
                          <w:sz w:val="20"/>
                          <w:szCs w:val="20"/>
                        </w:rPr>
                        <w:t xml:space="preserve"> </w:t>
                      </w:r>
                      <w:r w:rsidR="00D15FD8" w:rsidRPr="00017DFB">
                        <w:rPr>
                          <w:rFonts w:ascii="Roboto" w:eastAsia="Calibri" w:hAnsi="Roboto" w:cs="Calibri"/>
                          <w:bCs/>
                          <w:color w:val="404040" w:themeColor="text1" w:themeTint="BF"/>
                          <w:sz w:val="20"/>
                          <w:szCs w:val="20"/>
                        </w:rPr>
                        <w:t>performance, evaluation and value for money are integral to the budget process. Recommended actions include: helping parliament and citizens to understand what public services are actually being delivered, and their quality and efficiency; routinely presenting performance information in a way that clarifies accountability and oversight; ensuring the availability of high-quality performance and evaluation information; and conducting open ex-ante evaluations of all substantive new policy proposals to assess coherence with national priorities.</w:t>
                      </w:r>
                    </w:p>
                    <w:p w14:paraId="1EA28A98" w14:textId="77777777" w:rsidR="00D15FD8" w:rsidRPr="00017DFB" w:rsidRDefault="00AC4DF7" w:rsidP="00113300">
                      <w:pPr>
                        <w:pStyle w:val="ListParagraph"/>
                        <w:numPr>
                          <w:ilvl w:val="0"/>
                          <w:numId w:val="29"/>
                        </w:numPr>
                        <w:spacing w:after="160" w:line="259" w:lineRule="auto"/>
                        <w:ind w:left="308" w:hanging="308"/>
                        <w:suppressOverlap/>
                        <w:rPr>
                          <w:rFonts w:ascii="Roboto" w:eastAsia="Calibri" w:hAnsi="Roboto" w:cs="Calibri"/>
                          <w:color w:val="404040" w:themeColor="text1" w:themeTint="BF"/>
                          <w:sz w:val="20"/>
                          <w:szCs w:val="20"/>
                        </w:rPr>
                      </w:pPr>
                      <w:hyperlink r:id="rId209" w:history="1">
                        <w:r w:rsidR="00D15FD8" w:rsidRPr="00017DFB">
                          <w:rPr>
                            <w:rStyle w:val="Hyperlink"/>
                            <w:rFonts w:ascii="Roboto" w:eastAsia="Calibri" w:hAnsi="Roboto" w:cs="Calibri"/>
                            <w:color w:val="F26C21"/>
                            <w:sz w:val="20"/>
                            <w:szCs w:val="20"/>
                          </w:rPr>
                          <w:t>Budget Transparency Toolkit</w:t>
                        </w:r>
                      </w:hyperlink>
                      <w:r w:rsidR="00D15FD8" w:rsidRPr="00017DFB">
                        <w:rPr>
                          <w:rFonts w:ascii="Roboto" w:eastAsia="Calibri" w:hAnsi="Roboto" w:cs="Calibri"/>
                          <w:color w:val="F26C21"/>
                          <w:sz w:val="20"/>
                          <w:szCs w:val="20"/>
                        </w:rPr>
                        <w:t xml:space="preserve"> </w:t>
                      </w:r>
                      <w:r w:rsidR="00D15FD8" w:rsidRPr="00017DFB">
                        <w:rPr>
                          <w:rFonts w:ascii="Roboto" w:eastAsia="Calibri" w:hAnsi="Roboto" w:cs="Calibri"/>
                          <w:color w:val="404040" w:themeColor="text1" w:themeTint="BF"/>
                          <w:sz w:val="20"/>
                          <w:szCs w:val="20"/>
                        </w:rPr>
                        <w:t>(2017)</w:t>
                      </w:r>
                      <w:r w:rsidR="00D15FD8" w:rsidRPr="00017DFB">
                        <w:rPr>
                          <w:rFonts w:ascii="Roboto" w:eastAsia="Calibri" w:hAnsi="Roboto" w:cs="Calibri"/>
                          <w:bCs/>
                          <w:iCs/>
                          <w:color w:val="404040" w:themeColor="text1" w:themeTint="BF"/>
                          <w:sz w:val="20"/>
                          <w:szCs w:val="20"/>
                        </w:rPr>
                        <w:t>:</w:t>
                      </w:r>
                      <w:r w:rsidR="00D15FD8" w:rsidRPr="00017DFB">
                        <w:rPr>
                          <w:rFonts w:ascii="Roboto" w:eastAsia="Calibri" w:hAnsi="Roboto" w:cs="Calibri"/>
                          <w:color w:val="404040" w:themeColor="text1" w:themeTint="BF"/>
                          <w:sz w:val="20"/>
                          <w:szCs w:val="20"/>
                        </w:rPr>
                        <w:t xml:space="preserve"> Suggests, in topic B.4, the performance information to be included in budget documents, including on outputs, targets and results, on high-level government strategic goals and outcomes, and on the impacts of budget decisions on different groups and sectors.  </w:t>
                      </w:r>
                    </w:p>
                    <w:p w14:paraId="5CABB9C4" w14:textId="77777777" w:rsidR="00D15FD8" w:rsidRPr="00017DFB" w:rsidRDefault="00D15FD8" w:rsidP="002D14C0">
                      <w:pPr>
                        <w:spacing w:after="160" w:line="259" w:lineRule="auto"/>
                        <w:suppressOverlap/>
                        <w:rPr>
                          <w:rFonts w:ascii="Roboto" w:eastAsia="Calibri" w:hAnsi="Roboto" w:cs="Calibri"/>
                          <w:color w:val="404040" w:themeColor="text1" w:themeTint="BF"/>
                          <w:sz w:val="20"/>
                          <w:szCs w:val="20"/>
                        </w:rPr>
                      </w:pPr>
                      <w:r w:rsidRPr="00017DFB">
                        <w:rPr>
                          <w:rFonts w:ascii="Roboto" w:eastAsia="Calibri" w:hAnsi="Roboto" w:cs="Calibri"/>
                          <w:b/>
                          <w:bCs/>
                          <w:color w:val="1E9A8C"/>
                          <w:sz w:val="20"/>
                          <w:szCs w:val="20"/>
                        </w:rPr>
                        <w:t>International Federation of Accountants (IFAC) / Chartered Institute of Public Finance and Accountancy (CIPFA):</w:t>
                      </w:r>
                      <w:r w:rsidRPr="00017DFB">
                        <w:rPr>
                          <w:rFonts w:ascii="Roboto" w:eastAsia="Calibri" w:hAnsi="Roboto" w:cs="Calibri"/>
                          <w:color w:val="1E9A8C"/>
                          <w:sz w:val="20"/>
                          <w:szCs w:val="20"/>
                        </w:rPr>
                        <w:t xml:space="preserve"> </w:t>
                      </w:r>
                      <w:hyperlink r:id="rId210" w:history="1">
                        <w:r w:rsidRPr="00017DFB">
                          <w:rPr>
                            <w:rStyle w:val="Hyperlink"/>
                            <w:rFonts w:ascii="Roboto" w:eastAsia="Calibri" w:hAnsi="Roboto" w:cs="Calibri"/>
                            <w:iCs/>
                            <w:color w:val="F26C21"/>
                            <w:sz w:val="20"/>
                            <w:szCs w:val="20"/>
                          </w:rPr>
                          <w:t>International Framework: Good Governance in the Public Sector</w:t>
                        </w:r>
                      </w:hyperlink>
                      <w:r w:rsidRPr="00017DFB">
                        <w:rPr>
                          <w:rFonts w:ascii="Roboto" w:eastAsia="Calibri" w:hAnsi="Roboto" w:cs="Calibri"/>
                          <w:iCs/>
                          <w:color w:val="F26C21"/>
                          <w:sz w:val="20"/>
                          <w:szCs w:val="20"/>
                          <w:u w:val="single"/>
                        </w:rPr>
                        <w:t>:</w:t>
                      </w:r>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Principle C: Defining outcomes in terms of economic, social and environmental benefits. Principle D: Determining the right intervention (outputs) to achieve desired outcomes.</w:t>
                      </w:r>
                    </w:p>
                    <w:p w14:paraId="43027828" w14:textId="77777777" w:rsidR="00D15FD8" w:rsidRPr="00017DFB" w:rsidRDefault="00AC4DF7" w:rsidP="002D14C0">
                      <w:pPr>
                        <w:spacing w:after="160" w:line="259" w:lineRule="auto"/>
                        <w:suppressOverlap/>
                        <w:rPr>
                          <w:rFonts w:ascii="Roboto" w:eastAsia="Calibri" w:hAnsi="Roboto" w:cs="Calibri"/>
                          <w:color w:val="404040" w:themeColor="text1" w:themeTint="BF"/>
                          <w:sz w:val="20"/>
                          <w:szCs w:val="20"/>
                        </w:rPr>
                      </w:pPr>
                      <w:hyperlink r:id="rId211" w:history="1">
                        <w:r w:rsidR="00D15FD8" w:rsidRPr="00017DFB">
                          <w:rPr>
                            <w:rStyle w:val="Hyperlink"/>
                            <w:rFonts w:ascii="Roboto" w:eastAsia="Calibri" w:hAnsi="Roboto" w:cs="Calibri"/>
                            <w:b/>
                            <w:bCs/>
                            <w:color w:val="1E9A8C"/>
                            <w:sz w:val="20"/>
                            <w:szCs w:val="20"/>
                          </w:rPr>
                          <w:t>Open Contracting Global Principles</w:t>
                        </w:r>
                      </w:hyperlink>
                      <w:r w:rsidR="00D15FD8" w:rsidRPr="00017DFB">
                        <w:rPr>
                          <w:rFonts w:ascii="Roboto" w:eastAsia="Calibri" w:hAnsi="Roboto" w:cs="Calibri"/>
                          <w:color w:val="1E9A8C"/>
                          <w:sz w:val="20"/>
                          <w:szCs w:val="20"/>
                          <w:u w:val="single"/>
                        </w:rPr>
                        <w:t>:</w:t>
                      </w:r>
                      <w:r w:rsidR="00D15FD8" w:rsidRPr="00017DFB">
                        <w:rPr>
                          <w:rFonts w:ascii="Roboto" w:eastAsia="Calibri" w:hAnsi="Roboto" w:cs="Calibri"/>
                          <w:color w:val="1E9A8C"/>
                          <w:sz w:val="20"/>
                          <w:szCs w:val="20"/>
                        </w:rPr>
                        <w:t xml:space="preserve"> </w:t>
                      </w:r>
                      <w:r w:rsidR="00D15FD8" w:rsidRPr="00017DFB">
                        <w:rPr>
                          <w:rFonts w:ascii="Roboto" w:eastAsia="Calibri" w:hAnsi="Roboto" w:cs="Calibri"/>
                          <w:color w:val="404040" w:themeColor="text1" w:themeTint="BF"/>
                          <w:sz w:val="20"/>
                          <w:szCs w:val="20"/>
                        </w:rPr>
                        <w:t>Principle 3 d vii: In seeking and granting public contracts, governments should routinely disclose environmental and social impact assessments to provide a safeguard for the public against the inefficient, ineffective, or corrupt use of public resources.</w:t>
                      </w:r>
                    </w:p>
                    <w:p w14:paraId="50C87C35" w14:textId="77777777" w:rsidR="00D15FD8" w:rsidRPr="00017DFB" w:rsidRDefault="00AC4DF7" w:rsidP="002D14C0">
                      <w:pPr>
                        <w:spacing w:line="259" w:lineRule="auto"/>
                        <w:suppressOverlap/>
                        <w:rPr>
                          <w:rFonts w:ascii="Roboto" w:eastAsia="Calibri" w:hAnsi="Roboto" w:cs="Calibri"/>
                          <w:color w:val="404040" w:themeColor="text1" w:themeTint="BF"/>
                          <w:sz w:val="20"/>
                          <w:szCs w:val="20"/>
                        </w:rPr>
                      </w:pPr>
                      <w:hyperlink r:id="rId212" w:history="1">
                        <w:r w:rsidR="00D15FD8" w:rsidRPr="00017DFB">
                          <w:rPr>
                            <w:rStyle w:val="Hyperlink"/>
                            <w:rFonts w:ascii="Roboto" w:eastAsia="Calibri" w:hAnsi="Roboto" w:cs="Calibri"/>
                            <w:b/>
                            <w:color w:val="1E9A8C"/>
                            <w:sz w:val="20"/>
                            <w:szCs w:val="20"/>
                          </w:rPr>
                          <w:t>Rio Declaration on Environment and Development</w:t>
                        </w:r>
                      </w:hyperlink>
                      <w:r w:rsidR="00D15FD8" w:rsidRPr="00017DFB">
                        <w:rPr>
                          <w:rFonts w:ascii="Roboto" w:eastAsia="Calibri" w:hAnsi="Roboto" w:cs="Calibri"/>
                          <w:color w:val="1E9A8C"/>
                          <w:sz w:val="20"/>
                          <w:szCs w:val="20"/>
                        </w:rPr>
                        <w:t xml:space="preserve"> </w:t>
                      </w:r>
                      <w:r w:rsidR="00D15FD8" w:rsidRPr="00017DFB">
                        <w:rPr>
                          <w:rFonts w:ascii="Roboto" w:eastAsia="Calibri" w:hAnsi="Roboto" w:cs="Calibri"/>
                          <w:color w:val="404040" w:themeColor="text1" w:themeTint="BF"/>
                          <w:sz w:val="20"/>
                          <w:szCs w:val="20"/>
                        </w:rPr>
                        <w:t>(1992): Established 27 principles for protecting the integrity of the global environmental and developmental systems. Principle 17: Environmental impact assessment, as a national instrument, shall be undertaken for proposed activities that are likely to have a significant adverse impact on the environment and are subject to a decision of a competent national authority.</w:t>
                      </w:r>
                    </w:p>
                    <w:p w14:paraId="3651E9C0" w14:textId="77777777" w:rsidR="00D15FD8" w:rsidRPr="00017DFB" w:rsidRDefault="00D15FD8" w:rsidP="002D14C0">
                      <w:pPr>
                        <w:spacing w:line="259" w:lineRule="auto"/>
                        <w:suppressOverlap/>
                        <w:rPr>
                          <w:rFonts w:ascii="Roboto" w:eastAsia="Calibri" w:hAnsi="Roboto" w:cs="Calibri"/>
                          <w:color w:val="404040" w:themeColor="text1" w:themeTint="BF"/>
                          <w:sz w:val="20"/>
                          <w:szCs w:val="20"/>
                        </w:rPr>
                      </w:pPr>
                    </w:p>
                    <w:p w14:paraId="7F81452F" w14:textId="77777777" w:rsidR="00D15FD8" w:rsidRPr="00017DFB" w:rsidRDefault="00D15FD8" w:rsidP="002D14C0">
                      <w:pPr>
                        <w:spacing w:line="259" w:lineRule="auto"/>
                        <w:suppressOverlap/>
                        <w:rPr>
                          <w:rFonts w:ascii="Roboto" w:eastAsia="Calibri" w:hAnsi="Roboto" w:cs="Calibri"/>
                          <w:b/>
                          <w:bCs/>
                          <w:color w:val="1E9A8C"/>
                          <w:sz w:val="20"/>
                          <w:szCs w:val="20"/>
                          <w:u w:val="single"/>
                        </w:rPr>
                      </w:pPr>
                      <w:r w:rsidRPr="00017DFB">
                        <w:rPr>
                          <w:rFonts w:ascii="Roboto" w:eastAsia="Calibri" w:hAnsi="Roboto" w:cs="Calibri"/>
                          <w:b/>
                          <w:bCs/>
                          <w:color w:val="1E9A8C"/>
                          <w:sz w:val="20"/>
                          <w:szCs w:val="20"/>
                          <w:u w:val="single"/>
                        </w:rPr>
                        <w:t>Assessment frameworks:</w:t>
                      </w:r>
                    </w:p>
                    <w:p w14:paraId="1D48257F" w14:textId="77777777" w:rsidR="00D15FD8" w:rsidRPr="00017DFB" w:rsidRDefault="00D15FD8" w:rsidP="002D14C0">
                      <w:pPr>
                        <w:spacing w:line="259" w:lineRule="auto"/>
                        <w:suppressOverlap/>
                        <w:rPr>
                          <w:rFonts w:ascii="Roboto" w:eastAsia="Calibri" w:hAnsi="Roboto" w:cs="Calibri"/>
                          <w:b/>
                          <w:bCs/>
                          <w:color w:val="404040" w:themeColor="text1" w:themeTint="BF"/>
                          <w:sz w:val="20"/>
                          <w:szCs w:val="20"/>
                          <w:u w:val="single"/>
                        </w:rPr>
                      </w:pPr>
                    </w:p>
                    <w:p w14:paraId="73D331B4" w14:textId="77777777" w:rsidR="00D15FD8" w:rsidRPr="00017DFB" w:rsidRDefault="00D15FD8" w:rsidP="002D14C0">
                      <w:pPr>
                        <w:spacing w:after="160" w:line="259" w:lineRule="auto"/>
                        <w:suppressOverlap/>
                        <w:rPr>
                          <w:rFonts w:ascii="Roboto" w:eastAsia="Calibri" w:hAnsi="Roboto" w:cs="Calibri"/>
                          <w:color w:val="404040" w:themeColor="text1" w:themeTint="BF"/>
                          <w:sz w:val="20"/>
                          <w:szCs w:val="20"/>
                        </w:rPr>
                      </w:pPr>
                      <w:r w:rsidRPr="00017DFB">
                        <w:rPr>
                          <w:rFonts w:ascii="Roboto" w:eastAsia="Calibri" w:hAnsi="Roboto" w:cs="Calibri"/>
                          <w:b/>
                          <w:bCs/>
                          <w:color w:val="1E9A8C"/>
                          <w:sz w:val="20"/>
                          <w:szCs w:val="20"/>
                        </w:rPr>
                        <w:t xml:space="preserve">PEFA: </w:t>
                      </w:r>
                      <w:hyperlink r:id="rId213" w:history="1">
                        <w:r w:rsidRPr="00017DFB">
                          <w:rPr>
                            <w:rStyle w:val="Hyperlink"/>
                            <w:rFonts w:ascii="Roboto" w:eastAsia="Calibri" w:hAnsi="Roboto" w:cs="Calibri"/>
                            <w:color w:val="F26C21"/>
                            <w:sz w:val="20"/>
                            <w:szCs w:val="20"/>
                          </w:rPr>
                          <w:t>Framework for assessing public financial management</w:t>
                        </w:r>
                      </w:hyperlink>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(2016): Assesses the availability of information on performance plans and achievements including on key performance indicators, outputs</w:t>
                      </w:r>
                      <w:r>
                        <w:rPr>
                          <w:rFonts w:ascii="Roboto" w:eastAsia="Calibri" w:hAnsi="Roboto" w:cs="Calibri"/>
                          <w:color w:val="404040" w:themeColor="text1" w:themeTint="BF"/>
                          <w:sz w:val="20"/>
                          <w:szCs w:val="20"/>
                        </w:rPr>
                        <w:t>, a</w:t>
                      </w:r>
                      <w:r w:rsidRPr="00017DFB">
                        <w:rPr>
                          <w:rFonts w:ascii="Roboto" w:eastAsia="Calibri" w:hAnsi="Roboto" w:cs="Calibri"/>
                          <w:color w:val="404040" w:themeColor="text1" w:themeTint="BF"/>
                          <w:sz w:val="20"/>
                          <w:szCs w:val="20"/>
                        </w:rPr>
                        <w:t>nd outcomes</w:t>
                      </w:r>
                      <w:r>
                        <w:rPr>
                          <w:rFonts w:ascii="Roboto" w:eastAsia="Calibri" w:hAnsi="Roboto" w:cs="Calibri"/>
                          <w:color w:val="404040" w:themeColor="text1" w:themeTint="BF"/>
                          <w:sz w:val="20"/>
                          <w:szCs w:val="20"/>
                        </w:rPr>
                        <w:t xml:space="preserve">. </w:t>
                      </w:r>
                      <w:r w:rsidRPr="00017DFB">
                        <w:rPr>
                          <w:rFonts w:ascii="Roboto" w:eastAsia="Calibri" w:hAnsi="Roboto" w:cs="Calibri"/>
                          <w:color w:val="404040" w:themeColor="text1" w:themeTint="BF"/>
                          <w:sz w:val="20"/>
                          <w:szCs w:val="20"/>
                        </w:rPr>
                        <w:t>It also looks at evaluations that have recently been carried out and published of the efficiency and effectiveness of service delivery.</w:t>
                      </w:r>
                    </w:p>
                    <w:p w14:paraId="0826CBEB" w14:textId="77777777" w:rsidR="00D15FD8" w:rsidRDefault="00D15FD8" w:rsidP="002D14C0">
                      <w:pPr>
                        <w:rPr>
                          <w:rFonts w:ascii="Roboto" w:eastAsia="Calibri" w:hAnsi="Roboto" w:cs="Calibri"/>
                          <w:color w:val="404040" w:themeColor="text1" w:themeTint="BF"/>
                          <w:sz w:val="20"/>
                          <w:szCs w:val="20"/>
                        </w:rPr>
                      </w:pPr>
                      <w:r w:rsidRPr="00017DFB">
                        <w:rPr>
                          <w:rFonts w:ascii="Roboto" w:eastAsia="Calibri" w:hAnsi="Roboto" w:cs="Calibri"/>
                          <w:b/>
                          <w:color w:val="1E9A8C"/>
                          <w:sz w:val="20"/>
                          <w:szCs w:val="20"/>
                        </w:rPr>
                        <w:t>IBP:</w:t>
                      </w:r>
                      <w:r w:rsidRPr="00017DFB">
                        <w:rPr>
                          <w:rFonts w:ascii="Roboto" w:eastAsia="Calibri" w:hAnsi="Roboto" w:cs="Calibri"/>
                          <w:color w:val="1E9A8C"/>
                          <w:sz w:val="20"/>
                          <w:szCs w:val="20"/>
                        </w:rPr>
                        <w:t xml:space="preserve"> </w:t>
                      </w:r>
                      <w:hyperlink r:id="rId214" w:history="1">
                        <w:r w:rsidRPr="00017DFB">
                          <w:rPr>
                            <w:rStyle w:val="Hyperlink"/>
                            <w:rFonts w:ascii="Roboto" w:eastAsia="Calibri" w:hAnsi="Roboto" w:cs="Calibri"/>
                            <w:color w:val="F26C21"/>
                            <w:sz w:val="20"/>
                            <w:szCs w:val="20"/>
                          </w:rPr>
                          <w:t>Open Budget Survey</w:t>
                        </w:r>
                      </w:hyperlink>
                      <w:r w:rsidRPr="00017DFB">
                        <w:rPr>
                          <w:rFonts w:ascii="Roboto" w:eastAsia="Calibri" w:hAnsi="Roboto" w:cs="Calibri"/>
                          <w:color w:val="F26C21"/>
                          <w:sz w:val="20"/>
                          <w:szCs w:val="20"/>
                        </w:rPr>
                        <w:t xml:space="preserve"> </w:t>
                      </w:r>
                      <w:r w:rsidRPr="00017DFB">
                        <w:rPr>
                          <w:rFonts w:ascii="Roboto" w:eastAsia="Calibri" w:hAnsi="Roboto" w:cs="Calibri"/>
                          <w:color w:val="404040" w:themeColor="text1" w:themeTint="BF"/>
                          <w:sz w:val="20"/>
                          <w:szCs w:val="20"/>
                        </w:rPr>
                        <w:t>(OBS): Contains a series of questions on nonfinancial data and performance indicators associated with budget proposals.</w:t>
                      </w:r>
                      <w:r w:rsidRPr="00017DFB">
                        <w:rPr>
                          <w:rFonts w:ascii="Roboto" w:hAnsi="Roboto"/>
                          <w:sz w:val="20"/>
                          <w:szCs w:val="20"/>
                        </w:rPr>
                        <w:t xml:space="preserve"> </w:t>
                      </w:r>
                      <w:r w:rsidRPr="00017DFB">
                        <w:rPr>
                          <w:rFonts w:ascii="Roboto" w:eastAsia="Calibri" w:hAnsi="Roboto" w:cs="Calibri"/>
                          <w:color w:val="404040" w:themeColor="text1" w:themeTint="BF"/>
                          <w:sz w:val="20"/>
                          <w:szCs w:val="20"/>
                        </w:rPr>
                        <w:t xml:space="preserve">As part of the 2019 survey, a new pilot module was introduced to assess the availability of budget information needed by civil society groups and citizens when </w:t>
                      </w:r>
                      <w:proofErr w:type="spellStart"/>
                      <w:r w:rsidRPr="00017DFB">
                        <w:rPr>
                          <w:rFonts w:ascii="Roboto" w:eastAsia="Calibri" w:hAnsi="Roboto" w:cs="Calibri"/>
                          <w:color w:val="404040" w:themeColor="text1" w:themeTint="BF"/>
                          <w:sz w:val="20"/>
                          <w:szCs w:val="20"/>
                        </w:rPr>
                        <w:t>analyzing</w:t>
                      </w:r>
                      <w:proofErr w:type="spellEnd"/>
                      <w:r w:rsidRPr="00017DFB">
                        <w:rPr>
                          <w:rFonts w:ascii="Roboto" w:eastAsia="Calibri" w:hAnsi="Roboto" w:cs="Calibri"/>
                          <w:color w:val="404040" w:themeColor="text1" w:themeTint="BF"/>
                          <w:sz w:val="20"/>
                          <w:szCs w:val="20"/>
                        </w:rPr>
                        <w:t xml:space="preserve"> sector spending.</w:t>
                      </w:r>
                    </w:p>
                    <w:p w14:paraId="53699DDC" w14:textId="77777777" w:rsidR="00D15FD8" w:rsidRPr="00017DFB" w:rsidRDefault="00D15FD8" w:rsidP="002D14C0">
                      <w:pPr>
                        <w:rPr>
                          <w:rFonts w:ascii="Roboto" w:hAnsi="Roboto"/>
                          <w:sz w:val="20"/>
                          <w:szCs w:val="20"/>
                        </w:rPr>
                      </w:pPr>
                    </w:p>
                  </w:txbxContent>
                </v:textbox>
                <w10:wrap anchorx="margin" anchory="margin"/>
              </v:shape>
            </w:pict>
          </mc:Fallback>
        </mc:AlternateContent>
      </w:r>
    </w:p>
    <w:p w14:paraId="6C95B8F4" w14:textId="7BC706E6" w:rsidR="00203FAB" w:rsidRPr="00017DFB" w:rsidRDefault="00203FAB" w:rsidP="002D14C0">
      <w:pPr>
        <w:tabs>
          <w:tab w:val="left" w:pos="6024"/>
        </w:tabs>
        <w:rPr>
          <w:rFonts w:ascii="Roboto" w:hAnsi="Roboto"/>
        </w:rPr>
      </w:pPr>
    </w:p>
    <w:p w14:paraId="46E558E2" w14:textId="77777777" w:rsidR="00203FAB" w:rsidRPr="00017DFB" w:rsidRDefault="00203FAB" w:rsidP="002D14C0">
      <w:pPr>
        <w:rPr>
          <w:rFonts w:ascii="Roboto" w:hAnsi="Roboto"/>
        </w:rPr>
      </w:pPr>
    </w:p>
    <w:p w14:paraId="678FB3D6" w14:textId="7CB8C39F" w:rsidR="00203FAB" w:rsidRPr="00017DFB" w:rsidRDefault="00203FAB" w:rsidP="002D14C0">
      <w:pPr>
        <w:rPr>
          <w:rFonts w:ascii="Roboto" w:hAnsi="Roboto"/>
        </w:rPr>
      </w:pPr>
    </w:p>
    <w:p w14:paraId="0EF2FB80" w14:textId="18280882" w:rsidR="00203FAB" w:rsidRPr="00017DFB" w:rsidRDefault="00203FAB" w:rsidP="002D14C0">
      <w:pPr>
        <w:rPr>
          <w:rFonts w:ascii="Roboto" w:hAnsi="Roboto"/>
        </w:rPr>
      </w:pPr>
    </w:p>
    <w:p w14:paraId="1AA7206A" w14:textId="00BB22FB" w:rsidR="00203FAB" w:rsidRPr="00017DFB" w:rsidRDefault="00203FAB" w:rsidP="002D14C0">
      <w:pPr>
        <w:rPr>
          <w:rFonts w:ascii="Roboto" w:hAnsi="Roboto"/>
        </w:rPr>
      </w:pPr>
    </w:p>
    <w:p w14:paraId="18933DDB" w14:textId="77777777" w:rsidR="00203FAB" w:rsidRPr="00017DFB" w:rsidRDefault="00203FAB" w:rsidP="002D14C0">
      <w:pPr>
        <w:rPr>
          <w:rFonts w:ascii="Roboto" w:hAnsi="Roboto"/>
        </w:rPr>
      </w:pPr>
    </w:p>
    <w:p w14:paraId="63B8A8A3" w14:textId="63B9C5FE" w:rsidR="00203FAB" w:rsidRPr="00017DFB" w:rsidRDefault="00203FAB" w:rsidP="002D14C0">
      <w:pPr>
        <w:rPr>
          <w:rFonts w:ascii="Roboto" w:hAnsi="Roboto"/>
        </w:rPr>
      </w:pPr>
    </w:p>
    <w:p w14:paraId="3E2A6A41" w14:textId="6542F48C" w:rsidR="00203FAB" w:rsidRPr="00017DFB" w:rsidRDefault="00203FAB" w:rsidP="002D14C0">
      <w:pPr>
        <w:rPr>
          <w:rFonts w:ascii="Roboto" w:hAnsi="Roboto"/>
        </w:rPr>
      </w:pPr>
    </w:p>
    <w:p w14:paraId="7C3B0ECF" w14:textId="5A3DA7DA" w:rsidR="00203FAB" w:rsidRPr="00017DFB" w:rsidRDefault="00203FAB" w:rsidP="002D14C0">
      <w:pPr>
        <w:rPr>
          <w:rFonts w:ascii="Roboto" w:hAnsi="Roboto"/>
        </w:rPr>
      </w:pPr>
    </w:p>
    <w:p w14:paraId="00B41B2E" w14:textId="56D4EA63" w:rsidR="00203FAB" w:rsidRPr="00017DFB" w:rsidRDefault="00203FAB" w:rsidP="002D14C0">
      <w:pPr>
        <w:rPr>
          <w:rFonts w:ascii="Roboto" w:hAnsi="Roboto"/>
        </w:rPr>
      </w:pPr>
    </w:p>
    <w:p w14:paraId="1883707B" w14:textId="13745ABE" w:rsidR="00203FAB" w:rsidRPr="00017DFB" w:rsidRDefault="00203FAB" w:rsidP="002D14C0">
      <w:pPr>
        <w:rPr>
          <w:rFonts w:ascii="Roboto" w:hAnsi="Roboto"/>
        </w:rPr>
      </w:pPr>
    </w:p>
    <w:p w14:paraId="057EDE14" w14:textId="785215EC" w:rsidR="00203FAB" w:rsidRPr="00017DFB" w:rsidRDefault="00203FAB" w:rsidP="002D14C0">
      <w:pPr>
        <w:rPr>
          <w:rFonts w:ascii="Roboto" w:hAnsi="Roboto"/>
        </w:rPr>
      </w:pPr>
    </w:p>
    <w:p w14:paraId="6F1A5781" w14:textId="22C06C8F" w:rsidR="00203FAB" w:rsidRPr="00017DFB" w:rsidRDefault="00203FAB" w:rsidP="002D14C0">
      <w:pPr>
        <w:rPr>
          <w:rFonts w:ascii="Roboto" w:hAnsi="Roboto"/>
        </w:rPr>
      </w:pPr>
    </w:p>
    <w:p w14:paraId="609BD4D4" w14:textId="4B11691D" w:rsidR="00203FAB" w:rsidRPr="00017DFB"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56926" behindDoc="0" locked="0" layoutInCell="1" allowOverlap="1" wp14:anchorId="5A5CA56D" wp14:editId="3E9ED0EE">
                <wp:simplePos x="0" y="0"/>
                <wp:positionH relativeFrom="column">
                  <wp:posOffset>-3610610</wp:posOffset>
                </wp:positionH>
                <wp:positionV relativeFrom="paragraph">
                  <wp:posOffset>445770</wp:posOffset>
                </wp:positionV>
                <wp:extent cx="5976620" cy="252095"/>
                <wp:effectExtent l="0" t="0" r="0" b="0"/>
                <wp:wrapNone/>
                <wp:docPr id="167" name="Text Box 167"/>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46C610E1" w14:textId="244A20D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5CA56D" id="Text Box 167" o:spid="_x0000_s1136" type="#_x0000_t202" style="position:absolute;margin-left:-284.3pt;margin-top:35.1pt;width:470.6pt;height:19.85pt;rotation:90;z-index:2553569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" filled="f" stroked="f" strokeweight=".5pt">
                <v:textbox>
                  <w:txbxContent>
                    <w:p w14:paraId="46C610E1" w14:textId="244A20D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36</w:t>
                      </w:r>
                    </w:p>
                  </w:txbxContent>
                </v:textbox>
              </v:shape>
            </w:pict>
          </mc:Fallback>
        </mc:AlternateContent>
      </w:r>
    </w:p>
    <w:p w14:paraId="5540ACE5" w14:textId="23686D04" w:rsidR="00203FAB" w:rsidRPr="00017DFB" w:rsidRDefault="00203FAB" w:rsidP="002D14C0">
      <w:pPr>
        <w:rPr>
          <w:rFonts w:ascii="Roboto" w:hAnsi="Roboto"/>
        </w:rPr>
      </w:pPr>
    </w:p>
    <w:p w14:paraId="2D35ABE7" w14:textId="65B96E3D" w:rsidR="00203FAB" w:rsidRPr="00017DFB"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55902" behindDoc="0" locked="0" layoutInCell="1" allowOverlap="1" wp14:anchorId="722ACB24" wp14:editId="57CF3CAA">
                <wp:simplePos x="0" y="0"/>
                <wp:positionH relativeFrom="column">
                  <wp:posOffset>6517640</wp:posOffset>
                </wp:positionH>
                <wp:positionV relativeFrom="paragraph">
                  <wp:posOffset>121285</wp:posOffset>
                </wp:positionV>
                <wp:extent cx="5976620" cy="252095"/>
                <wp:effectExtent l="4762" t="0" r="0" b="0"/>
                <wp:wrapNone/>
                <wp:docPr id="166" name="Text Box 166"/>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06AB03AD" w14:textId="4974EE93"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268130976"/>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9B8ABC8"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2ACB24" id="Text Box 166" o:spid="_x0000_s1137" type="#_x0000_t202" style="position:absolute;margin-left:513.2pt;margin-top:9.55pt;width:470.6pt;height:19.85pt;rotation:90;z-index:2553559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" fillcolor="white [3201]" stroked="f" strokeweight=".5pt">
                <v:textbox>
                  <w:txbxContent>
                    <w:p w14:paraId="06AB03AD" w14:textId="4974EE93"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268130976"/>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9B8ABC8" w14:textId="77777777" w:rsidR="00D15FD8" w:rsidRDefault="00D15FD8" w:rsidP="003D7CCB"/>
                  </w:txbxContent>
                </v:textbox>
              </v:shape>
            </w:pict>
          </mc:Fallback>
        </mc:AlternateContent>
      </w:r>
    </w:p>
    <w:p w14:paraId="7F10872B" w14:textId="44653672" w:rsidR="00203FAB" w:rsidRPr="00017DFB" w:rsidRDefault="00203FAB" w:rsidP="002D14C0">
      <w:pPr>
        <w:rPr>
          <w:rFonts w:ascii="Roboto" w:hAnsi="Roboto"/>
        </w:rPr>
      </w:pPr>
    </w:p>
    <w:p w14:paraId="381E7D0D" w14:textId="77777777" w:rsidR="00203FAB" w:rsidRPr="00017DFB" w:rsidRDefault="00203FAB" w:rsidP="002D14C0">
      <w:pPr>
        <w:rPr>
          <w:rFonts w:ascii="Roboto" w:hAnsi="Roboto"/>
        </w:rPr>
      </w:pPr>
    </w:p>
    <w:p w14:paraId="04B01C17" w14:textId="77777777" w:rsidR="00203FAB" w:rsidRPr="00017DFB" w:rsidRDefault="00203FAB" w:rsidP="002D14C0">
      <w:pPr>
        <w:rPr>
          <w:rFonts w:ascii="Roboto" w:hAnsi="Roboto"/>
        </w:rPr>
      </w:pPr>
    </w:p>
    <w:p w14:paraId="733252F4" w14:textId="77777777" w:rsidR="00203FAB" w:rsidRPr="00017DFB" w:rsidRDefault="00203FAB" w:rsidP="002D14C0">
      <w:pPr>
        <w:rPr>
          <w:rFonts w:ascii="Roboto" w:hAnsi="Roboto"/>
        </w:rPr>
      </w:pPr>
    </w:p>
    <w:p w14:paraId="6CA5481C" w14:textId="77777777" w:rsidR="00203FAB" w:rsidRPr="00017DFB" w:rsidRDefault="00203FAB" w:rsidP="002D14C0">
      <w:pPr>
        <w:rPr>
          <w:rFonts w:ascii="Roboto" w:hAnsi="Roboto"/>
        </w:rPr>
      </w:pPr>
    </w:p>
    <w:p w14:paraId="1BCC428D" w14:textId="77777777" w:rsidR="00203FAB" w:rsidRPr="00017DFB" w:rsidRDefault="00203FAB" w:rsidP="002D14C0">
      <w:pPr>
        <w:rPr>
          <w:rFonts w:ascii="Roboto" w:hAnsi="Roboto"/>
        </w:rPr>
      </w:pPr>
    </w:p>
    <w:p w14:paraId="0621CFC0" w14:textId="77777777" w:rsidR="00203FAB" w:rsidRPr="00017DFB" w:rsidRDefault="00203FAB" w:rsidP="002D14C0">
      <w:pPr>
        <w:rPr>
          <w:rFonts w:ascii="Roboto" w:hAnsi="Roboto"/>
        </w:rPr>
      </w:pPr>
    </w:p>
    <w:p w14:paraId="5A2BB8E3" w14:textId="77777777" w:rsidR="00203FAB" w:rsidRPr="00017DFB" w:rsidRDefault="00203FAB" w:rsidP="002D14C0">
      <w:pPr>
        <w:rPr>
          <w:rFonts w:ascii="Roboto" w:hAnsi="Roboto"/>
        </w:rPr>
      </w:pPr>
    </w:p>
    <w:p w14:paraId="5A60C8E3" w14:textId="0C62AD42" w:rsidR="00203FAB" w:rsidRPr="00017DFB" w:rsidRDefault="00203FAB" w:rsidP="002D14C0">
      <w:pPr>
        <w:rPr>
          <w:rFonts w:ascii="Roboto" w:hAnsi="Roboto"/>
        </w:rPr>
      </w:pPr>
    </w:p>
    <w:p w14:paraId="43EE5BFB" w14:textId="3BF4463E"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60350" behindDoc="0" locked="0" layoutInCell="1" allowOverlap="1" wp14:anchorId="13F997D5" wp14:editId="37B31016">
                <wp:simplePos x="0" y="0"/>
                <wp:positionH relativeFrom="column">
                  <wp:posOffset>5485765</wp:posOffset>
                </wp:positionH>
                <wp:positionV relativeFrom="paragraph">
                  <wp:posOffset>1684274</wp:posOffset>
                </wp:positionV>
                <wp:extent cx="3878317" cy="268014"/>
                <wp:effectExtent l="0" t="0" r="0" b="0"/>
                <wp:wrapNone/>
                <wp:docPr id="383" name="Rectangle 383"/>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2BE187BE" id="Rectangle 383" o:spid="_x0000_s1026" style="position:absolute;margin-left:431.95pt;margin-top:132.6pt;width:305.4pt;height:21.1pt;z-index:2554603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" fillcolor="white [3212]" stroked="f" strokeweight="1pt"/>
            </w:pict>
          </mc:Fallback>
        </mc:AlternateContent>
      </w:r>
      <w:r w:rsidR="00CC3EBD">
        <w:rPr>
          <w:rFonts w:ascii="Roboto" w:hAnsi="Roboto"/>
        </w:rPr>
        <w:br w:type="page"/>
      </w:r>
      <w:r w:rsidR="00783364">
        <w:rPr>
          <w:rFonts w:ascii="Arial" w:hAnsi="Arial" w:cs="Arial"/>
          <w:noProof/>
          <w:sz w:val="24"/>
          <w:szCs w:val="24"/>
          <w:lang w:val="en-US"/>
        </w:rPr>
        <mc:AlternateContent>
          <mc:Choice Requires="wps">
            <w:drawing>
              <wp:anchor distT="0" distB="0" distL="114300" distR="114300" simplePos="0" relativeHeight="254739454" behindDoc="1" locked="0" layoutInCell="1" allowOverlap="1" wp14:anchorId="188DEA5A" wp14:editId="7A51E900">
                <wp:simplePos x="0" y="0"/>
                <wp:positionH relativeFrom="margin">
                  <wp:align>center</wp:align>
                </wp:positionH>
                <wp:positionV relativeFrom="margin">
                  <wp:align>center</wp:align>
                </wp:positionV>
                <wp:extent cx="9856189" cy="5969000"/>
                <wp:effectExtent l="12700" t="12700" r="12065" b="12700"/>
                <wp:wrapNone/>
                <wp:docPr id="2594" name="Rectangle 2594"/>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049C8462" id="Rectangle 2594" o:spid="_x0000_s1026" style="position:absolute;margin-left:0;margin-top:0;width:776.1pt;height:470pt;z-index:-24857702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4E077FEF" w14:textId="253798F6" w:rsidR="00203FAB" w:rsidRDefault="009918CC" w:rsidP="002D14C0">
      <w:pPr>
        <w:jc w:val="center"/>
        <w:rPr>
          <w:rFonts w:ascii="Roboto" w:hAnsi="Roboto"/>
        </w:rPr>
      </w:pPr>
      <w:r>
        <w:rPr>
          <w:rFonts w:ascii="Roboto" w:hAnsi="Roboto"/>
          <w:noProof/>
          <w:lang w:val="en-US"/>
        </w:rPr>
        <w:lastRenderedPageBreak/>
        <mc:AlternateContent>
          <mc:Choice Requires="wps">
            <w:drawing>
              <wp:anchor distT="0" distB="0" distL="114300" distR="114300" simplePos="0" relativeHeight="255462398" behindDoc="0" locked="0" layoutInCell="1" allowOverlap="1" wp14:anchorId="60F3CB8A" wp14:editId="24B47F63">
                <wp:simplePos x="0" y="0"/>
                <wp:positionH relativeFrom="column">
                  <wp:posOffset>-47297</wp:posOffset>
                </wp:positionH>
                <wp:positionV relativeFrom="paragraph">
                  <wp:posOffset>-536028</wp:posOffset>
                </wp:positionV>
                <wp:extent cx="3878317" cy="268014"/>
                <wp:effectExtent l="0" t="0" r="0" b="0"/>
                <wp:wrapNone/>
                <wp:docPr id="384" name="Rectangle 384"/>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0569059E" id="Rectangle 384" o:spid="_x0000_s1026" style="position:absolute;margin-left:-3.7pt;margin-top:-42.2pt;width:305.4pt;height:21.1pt;z-index:2554623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" fillcolor="white [3212]" stroked="f" strokeweight="1pt"/>
            </w:pict>
          </mc:Fallback>
        </mc:AlternateContent>
      </w:r>
      <w:r w:rsidR="006348C8">
        <w:rPr>
          <w:rFonts w:ascii="Roboto" w:hAnsi="Roboto"/>
          <w:noProof/>
          <w:lang w:val="en-US"/>
        </w:rPr>
        <w:drawing>
          <wp:anchor distT="0" distB="0" distL="114300" distR="114300" simplePos="0" relativeHeight="254808062" behindDoc="1" locked="0" layoutInCell="1" allowOverlap="1" wp14:anchorId="21174DF6" wp14:editId="727102A5">
            <wp:simplePos x="0" y="0"/>
            <wp:positionH relativeFrom="column">
              <wp:posOffset>0</wp:posOffset>
            </wp:positionH>
            <wp:positionV relativeFrom="paragraph">
              <wp:posOffset>152400</wp:posOffset>
            </wp:positionV>
            <wp:extent cx="3059430" cy="611505"/>
            <wp:effectExtent l="0" t="0" r="0" b="0"/>
            <wp:wrapTight wrapText="bothSides">
              <wp:wrapPolygon edited="0">
                <wp:start x="1704" y="1346"/>
                <wp:lineTo x="1255" y="3140"/>
                <wp:lineTo x="359" y="7626"/>
                <wp:lineTo x="359" y="11215"/>
                <wp:lineTo x="807" y="16598"/>
                <wp:lineTo x="1614" y="18841"/>
                <wp:lineTo x="1704" y="19738"/>
                <wp:lineTo x="20533" y="19738"/>
                <wp:lineTo x="20623" y="18841"/>
                <wp:lineTo x="21071" y="16598"/>
                <wp:lineTo x="21340" y="3140"/>
                <wp:lineTo x="19726" y="2692"/>
                <wp:lineTo x="2690" y="1346"/>
                <wp:lineTo x="1704" y="1346"/>
              </wp:wrapPolygon>
            </wp:wrapTight>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5_Icon_titles_quarterof1920-01.png"/>
                    <pic:cNvPicPr/>
                  </pic:nvPicPr>
                  <pic:blipFill>
                    <a:blip r:embed="rId215" cstate="email">
                      <a:extLst>
                        <a:ext uri="{28A0092B-C50C-407E-A947-70E740481C1C}">
                          <a14:useLocalDpi xmlns:a14="http://schemas.microsoft.com/office/drawing/2010/main"/>
                        </a:ext>
                      </a:extLst>
                    </a:blip>
                    <a:stretch>
                      <a:fillRect/>
                    </a:stretch>
                  </pic:blipFill>
                  <pic:spPr>
                    <a:xfrm>
                      <a:off x="0" y="0"/>
                      <a:ext cx="3059430" cy="611505"/>
                    </a:xfrm>
                    <a:prstGeom prst="rect">
                      <a:avLst/>
                    </a:prstGeom>
                  </pic:spPr>
                </pic:pic>
              </a:graphicData>
            </a:graphic>
            <wp14:sizeRelH relativeFrom="page">
              <wp14:pctWidth>0</wp14:pctWidth>
            </wp14:sizeRelH>
            <wp14:sizeRelV relativeFrom="page">
              <wp14:pctHeight>0</wp14:pctHeight>
            </wp14:sizeRelV>
          </wp:anchor>
        </w:drawing>
      </w:r>
    </w:p>
    <w:p w14:paraId="10C3DB01" w14:textId="6D50B546" w:rsidR="00203FAB" w:rsidRDefault="00203FAB" w:rsidP="002D14C0">
      <w:pPr>
        <w:rPr>
          <w:rFonts w:ascii="Roboto" w:hAnsi="Roboto"/>
        </w:rPr>
      </w:pPr>
    </w:p>
    <w:p w14:paraId="44B56D69" w14:textId="28309F2E" w:rsidR="00203FAB" w:rsidRPr="00017DFB" w:rsidRDefault="00203FAB" w:rsidP="002D14C0">
      <w:pPr>
        <w:rPr>
          <w:rFonts w:ascii="Roboto" w:hAnsi="Roboto"/>
        </w:rPr>
      </w:pPr>
    </w:p>
    <w:p w14:paraId="7F3329E3" w14:textId="23C2D3F9" w:rsidR="00203FAB" w:rsidRPr="00017DFB" w:rsidRDefault="00203FAB" w:rsidP="002D14C0">
      <w:pPr>
        <w:rPr>
          <w:rFonts w:ascii="Roboto" w:hAnsi="Roboto"/>
        </w:rPr>
      </w:pPr>
    </w:p>
    <w:p w14:paraId="68DAD403" w14:textId="3B20BA78" w:rsidR="00203FAB" w:rsidRDefault="006348C8" w:rsidP="002D14C0">
      <w:pPr>
        <w:rPr>
          <w:rFonts w:ascii="Roboto" w:hAnsi="Roboto"/>
        </w:rPr>
      </w:pPr>
      <w:r w:rsidRPr="00017DFB">
        <w:rPr>
          <w:rFonts w:ascii="Roboto" w:hAnsi="Roboto"/>
          <w:noProof/>
          <w:lang w:val="en-US"/>
        </w:rPr>
        <mc:AlternateContent>
          <mc:Choice Requires="wps">
            <w:drawing>
              <wp:anchor distT="0" distB="0" distL="114300" distR="114300" simplePos="0" relativeHeight="253634558" behindDoc="0" locked="0" layoutInCell="1" allowOverlap="1" wp14:anchorId="5814188F" wp14:editId="21820425">
                <wp:simplePos x="0" y="0"/>
                <wp:positionH relativeFrom="column">
                  <wp:posOffset>8255</wp:posOffset>
                </wp:positionH>
                <wp:positionV relativeFrom="paragraph">
                  <wp:posOffset>69850</wp:posOffset>
                </wp:positionV>
                <wp:extent cx="8847455" cy="570230"/>
                <wp:effectExtent l="0" t="0" r="17145" b="13970"/>
                <wp:wrapNone/>
                <wp:docPr id="1823" name="Rounded Rectangle 1823"/>
                <wp:cNvGraphicFramePr/>
                <a:graphic xmlns:a="http://schemas.openxmlformats.org/drawingml/2006/main">
                  <a:graphicData uri="http://schemas.microsoft.com/office/word/2010/wordprocessingShape">
                    <wps:wsp>
                      <wps:cNvSpPr/>
                      <wps:spPr>
                        <a:xfrm>
                          <a:off x="0" y="0"/>
                          <a:ext cx="8847455" cy="570230"/>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1ACB896D" id="Rounded Rectangle 1823" o:spid="_x0000_s1026" style="position:absolute;margin-left:.65pt;margin-top:5.5pt;width:696.65pt;height:44.9pt;z-index:2536345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" filled="f" strokecolor="#f26c21" strokeweight="1pt">
                <v:stroke joinstyle="miter"/>
              </v:roundrect>
            </w:pict>
          </mc:Fallback>
        </mc:AlternateContent>
      </w:r>
      <w:r w:rsidRPr="00017DFB">
        <w:rPr>
          <w:rFonts w:ascii="Roboto" w:hAnsi="Roboto"/>
          <w:noProof/>
          <w:lang w:val="en-US"/>
        </w:rPr>
        <mc:AlternateContent>
          <mc:Choice Requires="wps">
            <w:drawing>
              <wp:anchor distT="0" distB="0" distL="114300" distR="114300" simplePos="0" relativeHeight="253635582" behindDoc="0" locked="0" layoutInCell="1" allowOverlap="1" wp14:anchorId="797697DA" wp14:editId="13E5C6B4">
                <wp:simplePos x="0" y="0"/>
                <wp:positionH relativeFrom="column">
                  <wp:posOffset>0</wp:posOffset>
                </wp:positionH>
                <wp:positionV relativeFrom="paragraph">
                  <wp:posOffset>83820</wp:posOffset>
                </wp:positionV>
                <wp:extent cx="8847455" cy="527685"/>
                <wp:effectExtent l="0" t="0" r="0" b="0"/>
                <wp:wrapNone/>
                <wp:docPr id="1822" name="Text Box 1822"/>
                <wp:cNvGraphicFramePr/>
                <a:graphic xmlns:a="http://schemas.openxmlformats.org/drawingml/2006/main">
                  <a:graphicData uri="http://schemas.microsoft.com/office/word/2010/wordprocessingShape">
                    <wps:wsp>
                      <wps:cNvSpPr txBox="1"/>
                      <wps:spPr>
                        <a:xfrm>
                          <a:off x="0" y="0"/>
                          <a:ext cx="8847455" cy="52768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6014EEBF" w14:textId="77777777" w:rsidR="00D15FD8" w:rsidRPr="007867F2" w:rsidRDefault="00D15FD8" w:rsidP="002D14C0">
                            <w:pPr>
                              <w:spacing w:line="360" w:lineRule="auto"/>
                              <w:rPr>
                                <w:sz w:val="20"/>
                                <w:szCs w:val="20"/>
                              </w:rPr>
                            </w:pPr>
                            <w:r w:rsidRPr="00017DFB">
                              <w:rPr>
                                <w:rFonts w:ascii="Roboto" w:hAnsi="Roboto"/>
                                <w:b/>
                                <w:color w:val="F26C21"/>
                                <w:sz w:val="20"/>
                                <w:szCs w:val="20"/>
                              </w:rPr>
                              <w:t>All financial transactions of the public sector should have their basis in law. Laws, regulations and administrative procedures regulating public financial management should be available to the public, and their implementation should be subject to independent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7697DA" id="Text Box 1822" o:spid="_x0000_s1138" type="#_x0000_t202" style="position:absolute;margin-left:0;margin-top:6.6pt;width:696.65pt;height:41.55pt;z-index:2536355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" filled="f" stroked="f" strokeweight="1pt">
                <v:textbox>
                  <w:txbxContent>
                    <w:p w14:paraId="6014EEBF" w14:textId="77777777" w:rsidR="00D15FD8" w:rsidRPr="007867F2" w:rsidRDefault="00D15FD8" w:rsidP="002D14C0">
                      <w:pPr>
                        <w:spacing w:line="360" w:lineRule="auto"/>
                        <w:rPr>
                          <w:sz w:val="20"/>
                          <w:szCs w:val="20"/>
                        </w:rPr>
                      </w:pPr>
                      <w:r w:rsidRPr="00017DFB">
                        <w:rPr>
                          <w:rFonts w:ascii="Roboto" w:hAnsi="Roboto"/>
                          <w:b/>
                          <w:color w:val="F26C21"/>
                          <w:sz w:val="20"/>
                          <w:szCs w:val="20"/>
                        </w:rPr>
                        <w:t>All financial transactions of the public sector should have their basis in law. Laws, regulations and administrative procedures regulating public financial management should be available to the public, and their implementation should be subject to independent review.</w:t>
                      </w:r>
                    </w:p>
                  </w:txbxContent>
                </v:textbox>
              </v:shape>
            </w:pict>
          </mc:Fallback>
        </mc:AlternateContent>
      </w:r>
    </w:p>
    <w:p w14:paraId="2E045C52" w14:textId="22299691" w:rsidR="00203FAB" w:rsidRDefault="00203FAB" w:rsidP="002D14C0">
      <w:pPr>
        <w:rPr>
          <w:rFonts w:ascii="Roboto" w:hAnsi="Roboto"/>
        </w:rPr>
      </w:pPr>
    </w:p>
    <w:p w14:paraId="78567879" w14:textId="6E4FCABA" w:rsidR="00203FAB" w:rsidRDefault="00203FAB" w:rsidP="002D14C0">
      <w:pPr>
        <w:tabs>
          <w:tab w:val="left" w:pos="4412"/>
        </w:tabs>
        <w:rPr>
          <w:rFonts w:ascii="Roboto" w:hAnsi="Roboto"/>
        </w:rPr>
      </w:pPr>
      <w:r>
        <w:rPr>
          <w:rFonts w:ascii="Roboto" w:hAnsi="Roboto"/>
        </w:rPr>
        <w:tab/>
      </w:r>
    </w:p>
    <w:p w14:paraId="2858AD20" w14:textId="093F8093" w:rsidR="00203FAB" w:rsidRPr="00E01EA8" w:rsidRDefault="006348C8" w:rsidP="002D14C0">
      <w:pPr>
        <w:rPr>
          <w:rFonts w:ascii="Roboto" w:hAnsi="Roboto"/>
        </w:rPr>
      </w:pPr>
      <w:r>
        <w:rPr>
          <w:rFonts w:ascii="Roboto" w:hAnsi="Roboto"/>
          <w:noProof/>
          <w:lang w:val="en-US"/>
        </w:rPr>
        <w:drawing>
          <wp:anchor distT="0" distB="0" distL="114300" distR="114300" simplePos="0" relativeHeight="253636606" behindDoc="1" locked="0" layoutInCell="1" allowOverlap="1" wp14:anchorId="75E0B4EF" wp14:editId="5FEE878A">
            <wp:simplePos x="0" y="0"/>
            <wp:positionH relativeFrom="margin">
              <wp:posOffset>-9525</wp:posOffset>
            </wp:positionH>
            <wp:positionV relativeFrom="paragraph">
              <wp:posOffset>203835</wp:posOffset>
            </wp:positionV>
            <wp:extent cx="8882380" cy="287655"/>
            <wp:effectExtent l="0" t="0" r="0" b="0"/>
            <wp:wrapTight wrapText="bothSides">
              <wp:wrapPolygon edited="0">
                <wp:start x="185" y="7629"/>
                <wp:lineTo x="185" y="13351"/>
                <wp:lineTo x="21341" y="13351"/>
                <wp:lineTo x="21341" y="7629"/>
                <wp:lineTo x="185" y="7629"/>
              </wp:wrapPolygon>
            </wp:wrapTight>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p>
    <w:p w14:paraId="6CF65F24" w14:textId="46AE57E3" w:rsidR="00203FAB" w:rsidRPr="00E01EA8" w:rsidRDefault="006348C8" w:rsidP="002D14C0">
      <w:pPr>
        <w:rPr>
          <w:rFonts w:ascii="Roboto" w:hAnsi="Roboto"/>
        </w:rPr>
      </w:pPr>
      <w:r w:rsidRPr="00E01EA8">
        <w:rPr>
          <w:rFonts w:ascii="Roboto" w:hAnsi="Roboto"/>
          <w:noProof/>
          <w:lang w:val="en-US"/>
        </w:rPr>
        <mc:AlternateContent>
          <mc:Choice Requires="wps">
            <w:drawing>
              <wp:anchor distT="0" distB="0" distL="114300" distR="114300" simplePos="0" relativeHeight="253643774" behindDoc="0" locked="0" layoutInCell="1" allowOverlap="1" wp14:anchorId="66A765B1" wp14:editId="7B4600BE">
                <wp:simplePos x="0" y="0"/>
                <wp:positionH relativeFrom="column">
                  <wp:posOffset>2654300</wp:posOffset>
                </wp:positionH>
                <wp:positionV relativeFrom="paragraph">
                  <wp:posOffset>647065</wp:posOffset>
                </wp:positionV>
                <wp:extent cx="6350000" cy="3289300"/>
                <wp:effectExtent l="0" t="0" r="0" b="0"/>
                <wp:wrapNone/>
                <wp:docPr id="1920" name="Text Box 1920"/>
                <wp:cNvGraphicFramePr/>
                <a:graphic xmlns:a="http://schemas.openxmlformats.org/drawingml/2006/main">
                  <a:graphicData uri="http://schemas.microsoft.com/office/word/2010/wordprocessingShape">
                    <wps:wsp>
                      <wps:cNvSpPr txBox="1"/>
                      <wps:spPr>
                        <a:xfrm>
                          <a:off x="0" y="0"/>
                          <a:ext cx="6350000" cy="3289300"/>
                        </a:xfrm>
                        <a:prstGeom prst="rect">
                          <a:avLst/>
                        </a:prstGeom>
                        <a:noFill/>
                        <a:ln w="6350">
                          <a:noFill/>
                        </a:ln>
                      </wps:spPr>
                      <wps:txbx>
                        <w:txbxContent>
                          <w:p w14:paraId="55C5EF52" w14:textId="77777777" w:rsidR="00D15FD8" w:rsidRPr="00AD01C1" w:rsidRDefault="00D15FD8" w:rsidP="002D14C0">
                            <w:pPr>
                              <w:spacing w:line="259" w:lineRule="auto"/>
                              <w:suppressOverlap/>
                              <w:rPr>
                                <w:rFonts w:ascii="Roboto" w:eastAsia="Calibri" w:hAnsi="Roboto" w:cs="Calibri"/>
                                <w:color w:val="1E9A8C"/>
                                <w:sz w:val="20"/>
                                <w:szCs w:val="20"/>
                              </w:rPr>
                            </w:pPr>
                            <w:r w:rsidRPr="00AD01C1">
                              <w:rPr>
                                <w:rFonts w:ascii="Roboto" w:eastAsia="Calibri" w:hAnsi="Roboto" w:cs="Calibri"/>
                                <w:b/>
                                <w:color w:val="1E9A8C"/>
                                <w:sz w:val="20"/>
                                <w:szCs w:val="20"/>
                              </w:rPr>
                              <w:t>IMF:</w:t>
                            </w:r>
                            <w:r w:rsidRPr="00AD01C1">
                              <w:rPr>
                                <w:rFonts w:ascii="Roboto" w:eastAsia="Calibri" w:hAnsi="Roboto" w:cs="Calibri"/>
                                <w:color w:val="1E9A8C"/>
                                <w:sz w:val="20"/>
                                <w:szCs w:val="20"/>
                              </w:rPr>
                              <w:t xml:space="preserve"> </w:t>
                            </w:r>
                          </w:p>
                          <w:p w14:paraId="257AF3B5" w14:textId="3E915F0F" w:rsidR="00D15FD8" w:rsidRPr="00E01EA8" w:rsidRDefault="00AC4DF7" w:rsidP="00B70258">
                            <w:pPr>
                              <w:pStyle w:val="ListParagraph"/>
                              <w:numPr>
                                <w:ilvl w:val="0"/>
                                <w:numId w:val="25"/>
                              </w:numPr>
                              <w:ind w:left="308" w:hanging="308"/>
                              <w:suppressOverlap/>
                              <w:rPr>
                                <w:rFonts w:ascii="Roboto" w:eastAsia="Calibri" w:hAnsi="Roboto" w:cs="Calibri"/>
                                <w:color w:val="404040" w:themeColor="text1" w:themeTint="BF"/>
                                <w:sz w:val="20"/>
                                <w:szCs w:val="20"/>
                              </w:rPr>
                            </w:pPr>
                            <w:hyperlink r:id="rId216" w:history="1">
                              <w:r w:rsidR="00D15FD8" w:rsidRPr="00E01EA8">
                                <w:rPr>
                                  <w:rStyle w:val="Hyperlink"/>
                                  <w:rFonts w:ascii="Roboto" w:eastAsia="Calibri" w:hAnsi="Roboto" w:cs="Calibri"/>
                                  <w:color w:val="F26C21"/>
                                  <w:sz w:val="20"/>
                                  <w:szCs w:val="20"/>
                                </w:rPr>
                                <w:t>Fiscal Transparency Code</w:t>
                              </w:r>
                            </w:hyperlink>
                            <w:r w:rsidR="00D15FD8" w:rsidRPr="00E01EA8">
                              <w:rPr>
                                <w:rStyle w:val="Hyperlink"/>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(2019): Principle 2.2 focuses on the legal framework determining the powers and responsibilities of the executive and legislature in the budget process. Principle 3.2.3: The government’s guarantee exposure should be regularly disclosed and authorized by law. Principle 4.1: Resource rights should be clearly defined, with open and transparent procedures for their allocation. Principle 4.1.1: Legal framework for Resource Rights. Principle 4.2.1: The fiscal regime for revenue generation from natural resource sectors should be clear, comprehensive, and governed by law.</w:t>
                            </w:r>
                          </w:p>
                          <w:p w14:paraId="78E43533" w14:textId="77777777" w:rsidR="00D15FD8" w:rsidRPr="00F426CF" w:rsidRDefault="00D15FD8" w:rsidP="002D14C0">
                            <w:pPr>
                              <w:pStyle w:val="ListParagraph"/>
                              <w:spacing w:line="259" w:lineRule="auto"/>
                              <w:ind w:left="270"/>
                              <w:suppressOverlap/>
                              <w:rPr>
                                <w:rFonts w:ascii="Roboto" w:eastAsia="Calibri" w:hAnsi="Roboto" w:cs="Calibri"/>
                                <w:color w:val="404040" w:themeColor="text1" w:themeTint="BF"/>
                                <w:sz w:val="20"/>
                                <w:szCs w:val="20"/>
                              </w:rPr>
                            </w:pPr>
                            <w:r w:rsidRPr="00F426CF">
                              <w:rPr>
                                <w:rFonts w:ascii="Roboto" w:eastAsia="Calibri" w:hAnsi="Roboto" w:cs="Calibri"/>
                                <w:color w:val="404040" w:themeColor="text1" w:themeTint="BF"/>
                                <w:sz w:val="20"/>
                                <w:szCs w:val="20"/>
                              </w:rPr>
                              <w:t>[</w:t>
                            </w:r>
                            <w:hyperlink r:id="rId217" w:history="1">
                              <w:r w:rsidRPr="00F426CF">
                                <w:rPr>
                                  <w:rStyle w:val="Hyperlink"/>
                                  <w:rFonts w:ascii="Roboto" w:eastAsia="Calibri" w:hAnsi="Roboto" w:cs="Calibri"/>
                                  <w:color w:val="F26C21"/>
                                  <w:sz w:val="20"/>
                                  <w:szCs w:val="20"/>
                                </w:rPr>
                                <w:t>Manual on Fiscal Transparency</w:t>
                              </w:r>
                            </w:hyperlink>
                            <w:r w:rsidRPr="00F426CF">
                              <w:rPr>
                                <w:rFonts w:ascii="Roboto" w:eastAsia="Calibri" w:hAnsi="Roboto" w:cs="Calibri"/>
                                <w:color w:val="F26C21"/>
                                <w:sz w:val="20"/>
                                <w:szCs w:val="20"/>
                              </w:rPr>
                              <w:t xml:space="preserve"> </w:t>
                            </w:r>
                            <w:r w:rsidRPr="00F426CF">
                              <w:rPr>
                                <w:rFonts w:ascii="Roboto" w:eastAsia="Calibri" w:hAnsi="Roboto" w:cs="Calibri"/>
                                <w:color w:val="404040" w:themeColor="text1" w:themeTint="BF"/>
                                <w:sz w:val="20"/>
                                <w:szCs w:val="20"/>
                              </w:rPr>
                              <w:t>(2007): Particularly pp 21-27 on legal frameworks and review  mechanisms].</w:t>
                            </w:r>
                          </w:p>
                          <w:p w14:paraId="65D9EC8C" w14:textId="77777777" w:rsidR="00D15FD8" w:rsidRPr="00E01EA8" w:rsidRDefault="00D15FD8" w:rsidP="002D14C0">
                            <w:pPr>
                              <w:pStyle w:val="ListParagraph"/>
                              <w:ind w:left="270"/>
                              <w:suppressOverlap/>
                              <w:rPr>
                                <w:rFonts w:ascii="Roboto" w:eastAsia="Calibri" w:hAnsi="Roboto" w:cs="Calibri"/>
                                <w:color w:val="404040" w:themeColor="text1" w:themeTint="BF"/>
                                <w:sz w:val="20"/>
                                <w:szCs w:val="20"/>
                              </w:rPr>
                            </w:pPr>
                            <w:r w:rsidRPr="00E01EA8">
                              <w:rPr>
                                <w:rFonts w:ascii="Roboto" w:hAnsi="Roboto"/>
                                <w:sz w:val="20"/>
                                <w:szCs w:val="20"/>
                              </w:rPr>
                              <w:t>[</w:t>
                            </w:r>
                            <w:hyperlink r:id="rId218" w:history="1">
                              <w:r w:rsidRPr="00E01EA8">
                                <w:rPr>
                                  <w:rStyle w:val="Hyperlink"/>
                                  <w:rFonts w:ascii="Roboto" w:eastAsia="Calibri" w:hAnsi="Roboto" w:cs="Calibri"/>
                                  <w:color w:val="F26C21"/>
                                  <w:sz w:val="20"/>
                                  <w:szCs w:val="20"/>
                                </w:rPr>
                                <w:t>Guide on Resource Revenue Transparency</w:t>
                              </w:r>
                            </w:hyperlink>
                            <w:r w:rsidRPr="00E01EA8">
                              <w:rPr>
                                <w:rFonts w:ascii="Roboto" w:eastAsia="Calibri" w:hAnsi="Roboto" w:cs="Calibri"/>
                                <w:iCs/>
                                <w:color w:val="F26C21"/>
                                <w:sz w:val="20"/>
                                <w:szCs w:val="20"/>
                              </w:rPr>
                              <w:t xml:space="preserve"> </w:t>
                            </w:r>
                            <w:r w:rsidRPr="00E01EA8">
                              <w:rPr>
                                <w:rFonts w:ascii="Roboto" w:eastAsia="Calibri" w:hAnsi="Roboto" w:cs="Calibri"/>
                                <w:iCs/>
                                <w:color w:val="404040" w:themeColor="text1" w:themeTint="BF"/>
                                <w:sz w:val="20"/>
                                <w:szCs w:val="20"/>
                              </w:rPr>
                              <w:t>(2007):</w:t>
                            </w:r>
                            <w:r w:rsidRPr="00E01EA8">
                              <w:rPr>
                                <w:rFonts w:ascii="Roboto" w:eastAsia="Calibri" w:hAnsi="Roboto" w:cs="Calibri"/>
                                <w:color w:val="404040" w:themeColor="text1" w:themeTint="BF"/>
                                <w:sz w:val="20"/>
                                <w:szCs w:val="20"/>
                              </w:rPr>
                              <w:t xml:space="preserve"> Particularly pp 34-36].</w:t>
                            </w:r>
                          </w:p>
                          <w:p w14:paraId="74549CFC" w14:textId="77777777" w:rsidR="00D15FD8" w:rsidRPr="00E01EA8" w:rsidRDefault="00D15FD8" w:rsidP="002D14C0">
                            <w:pPr>
                              <w:suppressOverlap/>
                              <w:rPr>
                                <w:rFonts w:ascii="Roboto" w:eastAsia="Calibri" w:hAnsi="Roboto" w:cs="Calibri"/>
                                <w:color w:val="404040" w:themeColor="text1" w:themeTint="BF"/>
                                <w:sz w:val="20"/>
                                <w:szCs w:val="20"/>
                              </w:rPr>
                            </w:pPr>
                          </w:p>
                          <w:p w14:paraId="6D175F7D" w14:textId="77777777" w:rsidR="00D15FD8" w:rsidRPr="00E01EA8" w:rsidRDefault="00D15FD8" w:rsidP="002D14C0">
                            <w:pPr>
                              <w:suppressOverlap/>
                              <w:rPr>
                                <w:rFonts w:ascii="Roboto" w:eastAsia="Calibri" w:hAnsi="Roboto" w:cs="Calibri"/>
                                <w:color w:val="404040" w:themeColor="text1" w:themeTint="BF"/>
                                <w:sz w:val="20"/>
                                <w:szCs w:val="20"/>
                              </w:rPr>
                            </w:pPr>
                            <w:r w:rsidRPr="00E01EA8">
                              <w:rPr>
                                <w:rFonts w:ascii="Roboto" w:eastAsia="Calibri" w:hAnsi="Roboto" w:cs="Calibri"/>
                                <w:b/>
                                <w:bCs/>
                                <w:color w:val="1E9A8C"/>
                                <w:sz w:val="20"/>
                                <w:szCs w:val="20"/>
                              </w:rPr>
                              <w:t>International Federation of Accountants (IFAC) / Chartered Institute of Public Finance and Accountancy (CIPFA):</w:t>
                            </w:r>
                            <w:r w:rsidRPr="00E01EA8">
                              <w:rPr>
                                <w:rFonts w:ascii="Roboto" w:eastAsia="Calibri" w:hAnsi="Roboto" w:cs="Calibri"/>
                                <w:i/>
                                <w:color w:val="1E9A8C"/>
                                <w:sz w:val="20"/>
                                <w:szCs w:val="20"/>
                              </w:rPr>
                              <w:t xml:space="preserve"> </w:t>
                            </w:r>
                            <w:hyperlink r:id="rId219" w:history="1">
                              <w:r w:rsidRPr="00E01EA8">
                                <w:rPr>
                                  <w:rStyle w:val="Hyperlink"/>
                                  <w:rFonts w:ascii="Roboto" w:eastAsia="Calibri" w:hAnsi="Roboto" w:cs="Calibri"/>
                                  <w:iCs/>
                                  <w:color w:val="F26C21"/>
                                  <w:sz w:val="20"/>
                                  <w:szCs w:val="20"/>
                                </w:rPr>
                                <w:t>International Framework: Good Governance in the Public Sector</w:t>
                              </w:r>
                            </w:hyperlink>
                            <w:r w:rsidRPr="00E01EA8">
                              <w:rPr>
                                <w:rFonts w:ascii="Roboto" w:eastAsia="Calibri" w:hAnsi="Roboto" w:cs="Calibri"/>
                                <w:iCs/>
                                <w:color w:val="F26C21"/>
                                <w:sz w:val="20"/>
                                <w:szCs w:val="20"/>
                                <w:u w:val="single"/>
                              </w:rPr>
                              <w:t>:</w:t>
                            </w:r>
                            <w:r w:rsidRPr="00E01EA8">
                              <w:rPr>
                                <w:rFonts w:ascii="Roboto" w:eastAsia="Calibri" w:hAnsi="Roboto" w:cs="Calibri"/>
                                <w:iCs/>
                                <w:color w:val="F26C21"/>
                                <w:sz w:val="20"/>
                                <w:szCs w:val="20"/>
                              </w:rPr>
                              <w:t xml:space="preserve"> </w:t>
                            </w:r>
                            <w:r w:rsidRPr="00E01EA8">
                              <w:rPr>
                                <w:rFonts w:ascii="Roboto" w:eastAsia="Calibri" w:hAnsi="Roboto" w:cs="Calibri"/>
                                <w:iCs/>
                                <w:color w:val="404040" w:themeColor="text1" w:themeTint="BF"/>
                                <w:sz w:val="20"/>
                                <w:szCs w:val="20"/>
                              </w:rPr>
                              <w:t xml:space="preserve">Principle A </w:t>
                            </w:r>
                            <w:r w:rsidRPr="00E01EA8">
                              <w:rPr>
                                <w:rFonts w:ascii="Roboto" w:eastAsia="Calibri" w:hAnsi="Roboto" w:cs="Calibri"/>
                                <w:color w:val="404040" w:themeColor="text1" w:themeTint="BF"/>
                                <w:sz w:val="20"/>
                                <w:szCs w:val="20"/>
                              </w:rPr>
                              <w:t>requires behaving with integrity, demonstrating strong commitment to ethical values, and respecting the rule of law.</w:t>
                            </w:r>
                          </w:p>
                          <w:p w14:paraId="34B726A3" w14:textId="77777777" w:rsidR="00D15FD8" w:rsidRPr="00E01EA8" w:rsidRDefault="00D15FD8" w:rsidP="002D14C0">
                            <w:pPr>
                              <w:suppressOverlap/>
                              <w:rPr>
                                <w:rFonts w:ascii="Roboto" w:eastAsia="Calibri" w:hAnsi="Roboto" w:cs="Calibri"/>
                                <w:color w:val="404040" w:themeColor="text1" w:themeTint="BF"/>
                                <w:sz w:val="20"/>
                                <w:szCs w:val="20"/>
                              </w:rPr>
                            </w:pPr>
                          </w:p>
                          <w:p w14:paraId="7152082A" w14:textId="77777777" w:rsidR="00D15FD8" w:rsidRPr="00E01EA8" w:rsidRDefault="00AC4DF7" w:rsidP="002D14C0">
                            <w:pPr>
                              <w:suppressOverlap/>
                              <w:rPr>
                                <w:rFonts w:ascii="Roboto" w:eastAsia="Calibri" w:hAnsi="Roboto" w:cs="Calibri"/>
                                <w:color w:val="404040" w:themeColor="text1" w:themeTint="BF"/>
                                <w:sz w:val="20"/>
                                <w:szCs w:val="20"/>
                              </w:rPr>
                            </w:pPr>
                            <w:hyperlink r:id="rId220" w:history="1">
                              <w:r w:rsidR="00D15FD8" w:rsidRPr="00E01EA8">
                                <w:rPr>
                                  <w:rStyle w:val="Hyperlink"/>
                                  <w:rFonts w:ascii="Roboto" w:eastAsia="Calibri" w:hAnsi="Roboto" w:cs="Calibri"/>
                                  <w:color w:val="F26C21"/>
                                  <w:sz w:val="20"/>
                                  <w:szCs w:val="20"/>
                                </w:rPr>
                                <w:t>Extractive Industries Transparency Initiative (EITI) Standard</w:t>
                              </w:r>
                            </w:hyperlink>
                            <w:r w:rsidR="00D15FD8" w:rsidRPr="00E01EA8">
                              <w:rPr>
                                <w:rFonts w:ascii="Roboto" w:eastAsia="Calibri" w:hAnsi="Roboto" w:cs="Calibri"/>
                                <w:color w:val="404040" w:themeColor="text1" w:themeTint="BF"/>
                                <w:sz w:val="20"/>
                                <w:szCs w:val="20"/>
                              </w:rPr>
                              <w:t xml:space="preserve"> (2019): Promotes standards for countries with large natural resource sectors including on the legal and institutional framework for extraction activity, and revenue.  </w:t>
                            </w:r>
                          </w:p>
                          <w:p w14:paraId="73102200" w14:textId="77777777" w:rsidR="00D15FD8" w:rsidRPr="00E01EA8" w:rsidRDefault="00D15FD8" w:rsidP="002D14C0">
                            <w:pPr>
                              <w:pStyle w:val="ListParagraph"/>
                              <w:spacing w:line="259" w:lineRule="auto"/>
                              <w:ind w:left="308"/>
                              <w:suppressOverlap/>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765B1" id="Text Box 1920" o:spid="_x0000_s1139" type="#_x0000_t202" style="position:absolute;margin-left:209pt;margin-top:50.95pt;width:500pt;height:259pt;z-index:2536437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" filled="f" stroked="f" strokeweight=".5pt">
                <v:textbox>
                  <w:txbxContent>
                    <w:p w14:paraId="55C5EF52" w14:textId="77777777" w:rsidR="00D15FD8" w:rsidRPr="00AD01C1" w:rsidRDefault="00D15FD8" w:rsidP="002D14C0">
                      <w:pPr>
                        <w:spacing w:line="259" w:lineRule="auto"/>
                        <w:suppressOverlap/>
                        <w:rPr>
                          <w:rFonts w:ascii="Roboto" w:eastAsia="Calibri" w:hAnsi="Roboto" w:cs="Calibri"/>
                          <w:color w:val="1E9A8C"/>
                          <w:sz w:val="20"/>
                          <w:szCs w:val="20"/>
                        </w:rPr>
                      </w:pPr>
                      <w:r w:rsidRPr="00AD01C1">
                        <w:rPr>
                          <w:rFonts w:ascii="Roboto" w:eastAsia="Calibri" w:hAnsi="Roboto" w:cs="Calibri"/>
                          <w:b/>
                          <w:color w:val="1E9A8C"/>
                          <w:sz w:val="20"/>
                          <w:szCs w:val="20"/>
                        </w:rPr>
                        <w:t>IMF:</w:t>
                      </w:r>
                      <w:r w:rsidRPr="00AD01C1">
                        <w:rPr>
                          <w:rFonts w:ascii="Roboto" w:eastAsia="Calibri" w:hAnsi="Roboto" w:cs="Calibri"/>
                          <w:color w:val="1E9A8C"/>
                          <w:sz w:val="20"/>
                          <w:szCs w:val="20"/>
                        </w:rPr>
                        <w:t xml:space="preserve"> </w:t>
                      </w:r>
                    </w:p>
                    <w:p w14:paraId="257AF3B5" w14:textId="3E915F0F" w:rsidR="00D15FD8" w:rsidRPr="00E01EA8" w:rsidRDefault="00AC4DF7" w:rsidP="00B70258">
                      <w:pPr>
                        <w:pStyle w:val="ListParagraph"/>
                        <w:numPr>
                          <w:ilvl w:val="0"/>
                          <w:numId w:val="25"/>
                        </w:numPr>
                        <w:ind w:left="308" w:hanging="308"/>
                        <w:suppressOverlap/>
                        <w:rPr>
                          <w:rFonts w:ascii="Roboto" w:eastAsia="Calibri" w:hAnsi="Roboto" w:cs="Calibri"/>
                          <w:color w:val="404040" w:themeColor="text1" w:themeTint="BF"/>
                          <w:sz w:val="20"/>
                          <w:szCs w:val="20"/>
                        </w:rPr>
                      </w:pPr>
                      <w:hyperlink r:id="rId221" w:history="1">
                        <w:r w:rsidR="00D15FD8" w:rsidRPr="00E01EA8">
                          <w:rPr>
                            <w:rStyle w:val="Hyperlink"/>
                            <w:rFonts w:ascii="Roboto" w:eastAsia="Calibri" w:hAnsi="Roboto" w:cs="Calibri"/>
                            <w:color w:val="F26C21"/>
                            <w:sz w:val="20"/>
                            <w:szCs w:val="20"/>
                          </w:rPr>
                          <w:t>Fiscal Transparency Code</w:t>
                        </w:r>
                      </w:hyperlink>
                      <w:r w:rsidR="00D15FD8" w:rsidRPr="00E01EA8">
                        <w:rPr>
                          <w:rStyle w:val="Hyperlink"/>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(2019): Principle 2.2 focuses on the legal framework determining the powers and responsibilities of the executive and legislature in the budget process. Principle 3.2.3: The government’s guarantee exposure should be regularly disclosed and authorized by law. Principle 4.1: Resource rights should be clearly defined, with open and transparent procedures for their allocation. Principle 4.1.1: Legal framework for Resource Rights. Principle 4.2.1: The fiscal regime for revenue generation from natural resource sectors should be clear, comprehensive, and governed by law.</w:t>
                      </w:r>
                    </w:p>
                    <w:p w14:paraId="78E43533" w14:textId="77777777" w:rsidR="00D15FD8" w:rsidRPr="00F426CF" w:rsidRDefault="00D15FD8" w:rsidP="002D14C0">
                      <w:pPr>
                        <w:pStyle w:val="ListParagraph"/>
                        <w:spacing w:line="259" w:lineRule="auto"/>
                        <w:ind w:left="270"/>
                        <w:suppressOverlap/>
                        <w:rPr>
                          <w:rFonts w:ascii="Roboto" w:eastAsia="Calibri" w:hAnsi="Roboto" w:cs="Calibri"/>
                          <w:color w:val="404040" w:themeColor="text1" w:themeTint="BF"/>
                          <w:sz w:val="20"/>
                          <w:szCs w:val="20"/>
                        </w:rPr>
                      </w:pPr>
                      <w:r w:rsidRPr="00F426CF">
                        <w:rPr>
                          <w:rFonts w:ascii="Roboto" w:eastAsia="Calibri" w:hAnsi="Roboto" w:cs="Calibri"/>
                          <w:color w:val="404040" w:themeColor="text1" w:themeTint="BF"/>
                          <w:sz w:val="20"/>
                          <w:szCs w:val="20"/>
                        </w:rPr>
                        <w:t>[</w:t>
                      </w:r>
                      <w:hyperlink r:id="rId222" w:history="1">
                        <w:r w:rsidRPr="00F426CF">
                          <w:rPr>
                            <w:rStyle w:val="Hyperlink"/>
                            <w:rFonts w:ascii="Roboto" w:eastAsia="Calibri" w:hAnsi="Roboto" w:cs="Calibri"/>
                            <w:color w:val="F26C21"/>
                            <w:sz w:val="20"/>
                            <w:szCs w:val="20"/>
                          </w:rPr>
                          <w:t>Manual on Fiscal Transparency</w:t>
                        </w:r>
                      </w:hyperlink>
                      <w:r w:rsidRPr="00F426CF">
                        <w:rPr>
                          <w:rFonts w:ascii="Roboto" w:eastAsia="Calibri" w:hAnsi="Roboto" w:cs="Calibri"/>
                          <w:color w:val="F26C21"/>
                          <w:sz w:val="20"/>
                          <w:szCs w:val="20"/>
                        </w:rPr>
                        <w:t xml:space="preserve"> </w:t>
                      </w:r>
                      <w:r w:rsidRPr="00F426CF">
                        <w:rPr>
                          <w:rFonts w:ascii="Roboto" w:eastAsia="Calibri" w:hAnsi="Roboto" w:cs="Calibri"/>
                          <w:color w:val="404040" w:themeColor="text1" w:themeTint="BF"/>
                          <w:sz w:val="20"/>
                          <w:szCs w:val="20"/>
                        </w:rPr>
                        <w:t>(2007): Particularly pp 21-27 on legal frameworks and review  mechanisms].</w:t>
                      </w:r>
                    </w:p>
                    <w:p w14:paraId="65D9EC8C" w14:textId="77777777" w:rsidR="00D15FD8" w:rsidRPr="00E01EA8" w:rsidRDefault="00D15FD8" w:rsidP="002D14C0">
                      <w:pPr>
                        <w:pStyle w:val="ListParagraph"/>
                        <w:ind w:left="270"/>
                        <w:suppressOverlap/>
                        <w:rPr>
                          <w:rFonts w:ascii="Roboto" w:eastAsia="Calibri" w:hAnsi="Roboto" w:cs="Calibri"/>
                          <w:color w:val="404040" w:themeColor="text1" w:themeTint="BF"/>
                          <w:sz w:val="20"/>
                          <w:szCs w:val="20"/>
                        </w:rPr>
                      </w:pPr>
                      <w:r w:rsidRPr="00E01EA8">
                        <w:rPr>
                          <w:rFonts w:ascii="Roboto" w:hAnsi="Roboto"/>
                          <w:sz w:val="20"/>
                          <w:szCs w:val="20"/>
                        </w:rPr>
                        <w:t>[</w:t>
                      </w:r>
                      <w:hyperlink r:id="rId223" w:history="1">
                        <w:r w:rsidRPr="00E01EA8">
                          <w:rPr>
                            <w:rStyle w:val="Hyperlink"/>
                            <w:rFonts w:ascii="Roboto" w:eastAsia="Calibri" w:hAnsi="Roboto" w:cs="Calibri"/>
                            <w:color w:val="F26C21"/>
                            <w:sz w:val="20"/>
                            <w:szCs w:val="20"/>
                          </w:rPr>
                          <w:t>Guide on Resource Revenue Transparency</w:t>
                        </w:r>
                      </w:hyperlink>
                      <w:r w:rsidRPr="00E01EA8">
                        <w:rPr>
                          <w:rFonts w:ascii="Roboto" w:eastAsia="Calibri" w:hAnsi="Roboto" w:cs="Calibri"/>
                          <w:iCs/>
                          <w:color w:val="F26C21"/>
                          <w:sz w:val="20"/>
                          <w:szCs w:val="20"/>
                        </w:rPr>
                        <w:t xml:space="preserve"> </w:t>
                      </w:r>
                      <w:r w:rsidRPr="00E01EA8">
                        <w:rPr>
                          <w:rFonts w:ascii="Roboto" w:eastAsia="Calibri" w:hAnsi="Roboto" w:cs="Calibri"/>
                          <w:iCs/>
                          <w:color w:val="404040" w:themeColor="text1" w:themeTint="BF"/>
                          <w:sz w:val="20"/>
                          <w:szCs w:val="20"/>
                        </w:rPr>
                        <w:t>(2007):</w:t>
                      </w:r>
                      <w:r w:rsidRPr="00E01EA8">
                        <w:rPr>
                          <w:rFonts w:ascii="Roboto" w:eastAsia="Calibri" w:hAnsi="Roboto" w:cs="Calibri"/>
                          <w:color w:val="404040" w:themeColor="text1" w:themeTint="BF"/>
                          <w:sz w:val="20"/>
                          <w:szCs w:val="20"/>
                        </w:rPr>
                        <w:t xml:space="preserve"> Particularly pp 34-36].</w:t>
                      </w:r>
                    </w:p>
                    <w:p w14:paraId="74549CFC" w14:textId="77777777" w:rsidR="00D15FD8" w:rsidRPr="00E01EA8" w:rsidRDefault="00D15FD8" w:rsidP="002D14C0">
                      <w:pPr>
                        <w:suppressOverlap/>
                        <w:rPr>
                          <w:rFonts w:ascii="Roboto" w:eastAsia="Calibri" w:hAnsi="Roboto" w:cs="Calibri"/>
                          <w:color w:val="404040" w:themeColor="text1" w:themeTint="BF"/>
                          <w:sz w:val="20"/>
                          <w:szCs w:val="20"/>
                        </w:rPr>
                      </w:pPr>
                    </w:p>
                    <w:p w14:paraId="6D175F7D" w14:textId="77777777" w:rsidR="00D15FD8" w:rsidRPr="00E01EA8" w:rsidRDefault="00D15FD8" w:rsidP="002D14C0">
                      <w:pPr>
                        <w:suppressOverlap/>
                        <w:rPr>
                          <w:rFonts w:ascii="Roboto" w:eastAsia="Calibri" w:hAnsi="Roboto" w:cs="Calibri"/>
                          <w:color w:val="404040" w:themeColor="text1" w:themeTint="BF"/>
                          <w:sz w:val="20"/>
                          <w:szCs w:val="20"/>
                        </w:rPr>
                      </w:pPr>
                      <w:r w:rsidRPr="00E01EA8">
                        <w:rPr>
                          <w:rFonts w:ascii="Roboto" w:eastAsia="Calibri" w:hAnsi="Roboto" w:cs="Calibri"/>
                          <w:b/>
                          <w:bCs/>
                          <w:color w:val="1E9A8C"/>
                          <w:sz w:val="20"/>
                          <w:szCs w:val="20"/>
                        </w:rPr>
                        <w:t>International Federation of Accountants (IFAC) / Chartered Institute of Public Finance and Accountancy (CIPFA):</w:t>
                      </w:r>
                      <w:r w:rsidRPr="00E01EA8">
                        <w:rPr>
                          <w:rFonts w:ascii="Roboto" w:eastAsia="Calibri" w:hAnsi="Roboto" w:cs="Calibri"/>
                          <w:i/>
                          <w:color w:val="1E9A8C"/>
                          <w:sz w:val="20"/>
                          <w:szCs w:val="20"/>
                        </w:rPr>
                        <w:t xml:space="preserve"> </w:t>
                      </w:r>
                      <w:hyperlink r:id="rId224" w:history="1">
                        <w:r w:rsidRPr="00E01EA8">
                          <w:rPr>
                            <w:rStyle w:val="Hyperlink"/>
                            <w:rFonts w:ascii="Roboto" w:eastAsia="Calibri" w:hAnsi="Roboto" w:cs="Calibri"/>
                            <w:iCs/>
                            <w:color w:val="F26C21"/>
                            <w:sz w:val="20"/>
                            <w:szCs w:val="20"/>
                          </w:rPr>
                          <w:t>International Framework: Good Governance in the Public Sector</w:t>
                        </w:r>
                      </w:hyperlink>
                      <w:r w:rsidRPr="00E01EA8">
                        <w:rPr>
                          <w:rFonts w:ascii="Roboto" w:eastAsia="Calibri" w:hAnsi="Roboto" w:cs="Calibri"/>
                          <w:iCs/>
                          <w:color w:val="F26C21"/>
                          <w:sz w:val="20"/>
                          <w:szCs w:val="20"/>
                          <w:u w:val="single"/>
                        </w:rPr>
                        <w:t>:</w:t>
                      </w:r>
                      <w:r w:rsidRPr="00E01EA8">
                        <w:rPr>
                          <w:rFonts w:ascii="Roboto" w:eastAsia="Calibri" w:hAnsi="Roboto" w:cs="Calibri"/>
                          <w:iCs/>
                          <w:color w:val="F26C21"/>
                          <w:sz w:val="20"/>
                          <w:szCs w:val="20"/>
                        </w:rPr>
                        <w:t xml:space="preserve"> </w:t>
                      </w:r>
                      <w:r w:rsidRPr="00E01EA8">
                        <w:rPr>
                          <w:rFonts w:ascii="Roboto" w:eastAsia="Calibri" w:hAnsi="Roboto" w:cs="Calibri"/>
                          <w:iCs/>
                          <w:color w:val="404040" w:themeColor="text1" w:themeTint="BF"/>
                          <w:sz w:val="20"/>
                          <w:szCs w:val="20"/>
                        </w:rPr>
                        <w:t xml:space="preserve">Principle A </w:t>
                      </w:r>
                      <w:r w:rsidRPr="00E01EA8">
                        <w:rPr>
                          <w:rFonts w:ascii="Roboto" w:eastAsia="Calibri" w:hAnsi="Roboto" w:cs="Calibri"/>
                          <w:color w:val="404040" w:themeColor="text1" w:themeTint="BF"/>
                          <w:sz w:val="20"/>
                          <w:szCs w:val="20"/>
                        </w:rPr>
                        <w:t>requires behaving with integrity, demonstrating strong commitment to ethical values, and respecting the rule of law.</w:t>
                      </w:r>
                    </w:p>
                    <w:p w14:paraId="34B726A3" w14:textId="77777777" w:rsidR="00D15FD8" w:rsidRPr="00E01EA8" w:rsidRDefault="00D15FD8" w:rsidP="002D14C0">
                      <w:pPr>
                        <w:suppressOverlap/>
                        <w:rPr>
                          <w:rFonts w:ascii="Roboto" w:eastAsia="Calibri" w:hAnsi="Roboto" w:cs="Calibri"/>
                          <w:color w:val="404040" w:themeColor="text1" w:themeTint="BF"/>
                          <w:sz w:val="20"/>
                          <w:szCs w:val="20"/>
                        </w:rPr>
                      </w:pPr>
                    </w:p>
                    <w:p w14:paraId="7152082A" w14:textId="77777777" w:rsidR="00D15FD8" w:rsidRPr="00E01EA8" w:rsidRDefault="00AC4DF7" w:rsidP="002D14C0">
                      <w:pPr>
                        <w:suppressOverlap/>
                        <w:rPr>
                          <w:rFonts w:ascii="Roboto" w:eastAsia="Calibri" w:hAnsi="Roboto" w:cs="Calibri"/>
                          <w:color w:val="404040" w:themeColor="text1" w:themeTint="BF"/>
                          <w:sz w:val="20"/>
                          <w:szCs w:val="20"/>
                        </w:rPr>
                      </w:pPr>
                      <w:hyperlink r:id="rId225" w:history="1">
                        <w:r w:rsidR="00D15FD8" w:rsidRPr="00E01EA8">
                          <w:rPr>
                            <w:rStyle w:val="Hyperlink"/>
                            <w:rFonts w:ascii="Roboto" w:eastAsia="Calibri" w:hAnsi="Roboto" w:cs="Calibri"/>
                            <w:color w:val="F26C21"/>
                            <w:sz w:val="20"/>
                            <w:szCs w:val="20"/>
                          </w:rPr>
                          <w:t>Extractive Industries Transparency Initiative (EITI) Standard</w:t>
                        </w:r>
                      </w:hyperlink>
                      <w:r w:rsidR="00D15FD8" w:rsidRPr="00E01EA8">
                        <w:rPr>
                          <w:rFonts w:ascii="Roboto" w:eastAsia="Calibri" w:hAnsi="Roboto" w:cs="Calibri"/>
                          <w:color w:val="404040" w:themeColor="text1" w:themeTint="BF"/>
                          <w:sz w:val="20"/>
                          <w:szCs w:val="20"/>
                        </w:rPr>
                        <w:t xml:space="preserve"> (2019): Promotes standards for countries with large natural resource sectors including on the legal and institutional framework for extraction activity, and revenue.  </w:t>
                      </w:r>
                    </w:p>
                    <w:p w14:paraId="73102200" w14:textId="77777777" w:rsidR="00D15FD8" w:rsidRPr="00E01EA8" w:rsidRDefault="00D15FD8" w:rsidP="002D14C0">
                      <w:pPr>
                        <w:pStyle w:val="ListParagraph"/>
                        <w:spacing w:line="259" w:lineRule="auto"/>
                        <w:ind w:left="308"/>
                        <w:suppressOverlap/>
                        <w:rPr>
                          <w:rFonts w:ascii="Roboto" w:hAnsi="Roboto"/>
                          <w:sz w:val="20"/>
                          <w:szCs w:val="20"/>
                        </w:rPr>
                      </w:pPr>
                    </w:p>
                  </w:txbxContent>
                </v:textbox>
              </v:shape>
            </w:pict>
          </mc:Fallback>
        </mc:AlternateContent>
      </w:r>
      <w:r w:rsidRPr="00017DFB">
        <w:rPr>
          <w:rFonts w:ascii="Roboto" w:hAnsi="Roboto"/>
          <w:noProof/>
          <w:lang w:val="en-US"/>
        </w:rPr>
        <mc:AlternateContent>
          <mc:Choice Requires="wps">
            <w:drawing>
              <wp:anchor distT="0" distB="0" distL="114300" distR="114300" simplePos="0" relativeHeight="253637630" behindDoc="0" locked="0" layoutInCell="1" allowOverlap="1" wp14:anchorId="1AED0F90" wp14:editId="493CA73C">
                <wp:simplePos x="0" y="0"/>
                <wp:positionH relativeFrom="column">
                  <wp:posOffset>-50800</wp:posOffset>
                </wp:positionH>
                <wp:positionV relativeFrom="paragraph">
                  <wp:posOffset>441960</wp:posOffset>
                </wp:positionV>
                <wp:extent cx="2574925" cy="3175000"/>
                <wp:effectExtent l="0" t="0" r="3175" b="0"/>
                <wp:wrapNone/>
                <wp:docPr id="1842" name="Rounded Rectangle 1842"/>
                <wp:cNvGraphicFramePr/>
                <a:graphic xmlns:a="http://schemas.openxmlformats.org/drawingml/2006/main">
                  <a:graphicData uri="http://schemas.microsoft.com/office/word/2010/wordprocessingShape">
                    <wps:wsp>
                      <wps:cNvSpPr/>
                      <wps:spPr>
                        <a:xfrm>
                          <a:off x="0" y="0"/>
                          <a:ext cx="2574925" cy="3175000"/>
                        </a:xfrm>
                        <a:prstGeom prst="roundRect">
                          <a:avLst>
                            <a:gd name="adj" fmla="val 6803"/>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8B976"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ED0F90" id="Rounded Rectangle 1842" o:spid="_x0000_s1140" style="position:absolute;margin-left:-4pt;margin-top:34.8pt;width:202.75pt;height:250pt;z-index:253637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" fillcolor="#1e9a8c" stroked="f" strokeweight="1pt">
                <v:stroke joinstyle="miter"/>
                <v:textbox>
                  <w:txbxContent>
                    <w:p w14:paraId="2A88B976" w14:textId="77777777" w:rsidR="00D15FD8" w:rsidRDefault="00D15FD8" w:rsidP="002D14C0">
                      <w:pPr>
                        <w:jc w:val="center"/>
                      </w:pPr>
                    </w:p>
                  </w:txbxContent>
                </v:textbox>
              </v:roundrect>
            </w:pict>
          </mc:Fallback>
        </mc:AlternateContent>
      </w:r>
      <w:r w:rsidRPr="00017DFB">
        <w:rPr>
          <w:rFonts w:ascii="Roboto" w:hAnsi="Roboto"/>
          <w:noProof/>
          <w:lang w:val="en-US"/>
        </w:rPr>
        <mc:AlternateContent>
          <mc:Choice Requires="wps">
            <w:drawing>
              <wp:anchor distT="0" distB="0" distL="114300" distR="114300" simplePos="0" relativeHeight="253638654" behindDoc="0" locked="0" layoutInCell="1" allowOverlap="1" wp14:anchorId="4E381D4F" wp14:editId="36E893A5">
                <wp:simplePos x="0" y="0"/>
                <wp:positionH relativeFrom="column">
                  <wp:posOffset>88900</wp:posOffset>
                </wp:positionH>
                <wp:positionV relativeFrom="paragraph">
                  <wp:posOffset>607060</wp:posOffset>
                </wp:positionV>
                <wp:extent cx="2292985" cy="2842895"/>
                <wp:effectExtent l="12700" t="12700" r="18415" b="14605"/>
                <wp:wrapNone/>
                <wp:docPr id="1830" name="Rounded Rectangle 1830"/>
                <wp:cNvGraphicFramePr/>
                <a:graphic xmlns:a="http://schemas.openxmlformats.org/drawingml/2006/main">
                  <a:graphicData uri="http://schemas.microsoft.com/office/word/2010/wordprocessingShape">
                    <wps:wsp>
                      <wps:cNvSpPr/>
                      <wps:spPr>
                        <a:xfrm>
                          <a:off x="0" y="0"/>
                          <a:ext cx="2292985" cy="2842895"/>
                        </a:xfrm>
                        <a:prstGeom prst="roundRect">
                          <a:avLst>
                            <a:gd name="adj" fmla="val 5036"/>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8FF97"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381D4F" id="Rounded Rectangle 1830" o:spid="_x0000_s1141" style="position:absolute;margin-left:7pt;margin-top:47.8pt;width:180.55pt;height:223.85pt;z-index:253638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" filled="f" strokecolor="white [3212]" strokeweight="1.5pt">
                <v:stroke joinstyle="miter"/>
                <v:textbox>
                  <w:txbxContent>
                    <w:p w14:paraId="10B8FF97" w14:textId="77777777" w:rsidR="00D15FD8" w:rsidRDefault="00D15FD8" w:rsidP="002D14C0"/>
                  </w:txbxContent>
                </v:textbox>
              </v:roundrect>
            </w:pict>
          </mc:Fallback>
        </mc:AlternateContent>
      </w:r>
      <w:r w:rsidRPr="00E01EA8">
        <w:rPr>
          <w:rFonts w:ascii="Roboto" w:hAnsi="Roboto"/>
          <w:noProof/>
          <w:lang w:val="en-US"/>
        </w:rPr>
        <mc:AlternateContent>
          <mc:Choice Requires="wps">
            <w:drawing>
              <wp:anchor distT="0" distB="0" distL="114300" distR="114300" simplePos="0" relativeHeight="253642750" behindDoc="0" locked="0" layoutInCell="1" allowOverlap="1" wp14:anchorId="7A09F4BC" wp14:editId="1374FB88">
                <wp:simplePos x="0" y="0"/>
                <wp:positionH relativeFrom="column">
                  <wp:posOffset>2649855</wp:posOffset>
                </wp:positionH>
                <wp:positionV relativeFrom="paragraph">
                  <wp:posOffset>392430</wp:posOffset>
                </wp:positionV>
                <wp:extent cx="5367655" cy="304800"/>
                <wp:effectExtent l="0" t="0" r="0" b="0"/>
                <wp:wrapNone/>
                <wp:docPr id="1829" name="Text Box 1829"/>
                <wp:cNvGraphicFramePr/>
                <a:graphic xmlns:a="http://schemas.openxmlformats.org/drawingml/2006/main">
                  <a:graphicData uri="http://schemas.microsoft.com/office/word/2010/wordprocessingShape">
                    <wps:wsp>
                      <wps:cNvSpPr txBox="1"/>
                      <wps:spPr>
                        <a:xfrm>
                          <a:off x="0" y="0"/>
                          <a:ext cx="5367655" cy="304800"/>
                        </a:xfrm>
                        <a:prstGeom prst="rect">
                          <a:avLst/>
                        </a:prstGeom>
                        <a:noFill/>
                        <a:ln w="6350">
                          <a:noFill/>
                        </a:ln>
                      </wps:spPr>
                      <wps:txbx>
                        <w:txbxContent>
                          <w:p w14:paraId="1807ACD2"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797DBDDE" w14:textId="77777777" w:rsidR="00D15FD8" w:rsidRPr="00FA2526" w:rsidRDefault="00D15FD8" w:rsidP="002D1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09F4BC" id="Text Box 1829" o:spid="_x0000_s1142" type="#_x0000_t202" style="position:absolute;margin-left:208.65pt;margin-top:30.9pt;width:422.65pt;height:24pt;z-index:2536427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" filled="f" stroked="f" strokeweight=".5pt">
                <v:textbox>
                  <w:txbxContent>
                    <w:p w14:paraId="1807ACD2"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797DBDDE" w14:textId="77777777" w:rsidR="00D15FD8" w:rsidRPr="00FA2526" w:rsidRDefault="00D15FD8" w:rsidP="002D14C0"/>
                  </w:txbxContent>
                </v:textbox>
              </v:shape>
            </w:pict>
          </mc:Fallback>
        </mc:AlternateContent>
      </w:r>
    </w:p>
    <w:p w14:paraId="42ACE2F6" w14:textId="25C6A0D2" w:rsidR="00203FAB" w:rsidRPr="00E01EA8" w:rsidRDefault="00203FAB" w:rsidP="002D14C0">
      <w:pPr>
        <w:rPr>
          <w:rFonts w:ascii="Roboto" w:hAnsi="Roboto"/>
        </w:rPr>
      </w:pPr>
    </w:p>
    <w:p w14:paraId="7D8BCD02" w14:textId="5A12BBE7" w:rsidR="00203FAB" w:rsidRPr="00E01EA8" w:rsidRDefault="006348C8" w:rsidP="002D14C0">
      <w:pPr>
        <w:rPr>
          <w:rFonts w:ascii="Roboto" w:hAnsi="Roboto"/>
        </w:rPr>
      </w:pPr>
      <w:r w:rsidRPr="00017DFB">
        <w:rPr>
          <w:rFonts w:ascii="Roboto" w:hAnsi="Roboto"/>
          <w:noProof/>
          <w:lang w:val="en-US"/>
        </w:rPr>
        <mc:AlternateContent>
          <mc:Choice Requires="wps">
            <w:drawing>
              <wp:anchor distT="0" distB="0" distL="114300" distR="114300" simplePos="0" relativeHeight="253641726" behindDoc="0" locked="0" layoutInCell="1" allowOverlap="1" wp14:anchorId="313D65FA" wp14:editId="197CAAA6">
                <wp:simplePos x="0" y="0"/>
                <wp:positionH relativeFrom="column">
                  <wp:posOffset>190500</wp:posOffset>
                </wp:positionH>
                <wp:positionV relativeFrom="paragraph">
                  <wp:posOffset>595630</wp:posOffset>
                </wp:positionV>
                <wp:extent cx="2095500" cy="1955800"/>
                <wp:effectExtent l="0" t="0" r="0" b="0"/>
                <wp:wrapNone/>
                <wp:docPr id="1922" name="Text Box 1922"/>
                <wp:cNvGraphicFramePr/>
                <a:graphic xmlns:a="http://schemas.openxmlformats.org/drawingml/2006/main">
                  <a:graphicData uri="http://schemas.microsoft.com/office/word/2010/wordprocessingShape">
                    <wps:wsp>
                      <wps:cNvSpPr txBox="1"/>
                      <wps:spPr>
                        <a:xfrm>
                          <a:off x="0" y="0"/>
                          <a:ext cx="2095500" cy="1955800"/>
                        </a:xfrm>
                        <a:prstGeom prst="rect">
                          <a:avLst/>
                        </a:prstGeom>
                        <a:noFill/>
                        <a:ln w="6350">
                          <a:noFill/>
                        </a:ln>
                      </wps:spPr>
                      <wps:txbx>
                        <w:txbxContent>
                          <w:p w14:paraId="3B7DD181" w14:textId="77777777" w:rsidR="00D15FD8" w:rsidRPr="003625BA" w:rsidRDefault="00D15FD8" w:rsidP="003625BA">
                            <w:pPr>
                              <w:spacing w:line="320" w:lineRule="atLeast"/>
                              <w:rPr>
                                <w:rFonts w:ascii="Roboto" w:hAnsi="Roboto"/>
                                <w:color w:val="FFFFFF" w:themeColor="background1"/>
                                <w:sz w:val="20"/>
                                <w:szCs w:val="20"/>
                              </w:rPr>
                            </w:pPr>
                            <w:r w:rsidRPr="003625BA">
                              <w:rPr>
                                <w:rFonts w:ascii="Roboto" w:hAnsi="Roboto" w:cs="AppleSystemUIFont"/>
                                <w:color w:val="FFFFFF" w:themeColor="background1"/>
                                <w:sz w:val="20"/>
                                <w:szCs w:val="20"/>
                              </w:rPr>
                              <w:t>The ‘rule of law’ is as fundamental to the management of the public finances as it is to all dimensions of governance. All financial transactions should adhere to a publicly available legal framework, rather than the discretion of government officials.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D65FA" id="Text Box 1922" o:spid="_x0000_s1143" type="#_x0000_t202" style="position:absolute;margin-left:15pt;margin-top:46.9pt;width:165pt;height:154pt;z-index:2536417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" filled="f" stroked="f" strokeweight=".5pt">
                <v:textbox>
                  <w:txbxContent>
                    <w:p w14:paraId="3B7DD181" w14:textId="77777777" w:rsidR="00D15FD8" w:rsidRPr="003625BA" w:rsidRDefault="00D15FD8" w:rsidP="003625BA">
                      <w:pPr>
                        <w:spacing w:line="320" w:lineRule="atLeast"/>
                        <w:rPr>
                          <w:rFonts w:ascii="Roboto" w:hAnsi="Roboto"/>
                          <w:color w:val="FFFFFF" w:themeColor="background1"/>
                          <w:sz w:val="20"/>
                          <w:szCs w:val="20"/>
                        </w:rPr>
                      </w:pPr>
                      <w:r w:rsidRPr="003625BA">
                        <w:rPr>
                          <w:rFonts w:ascii="Roboto" w:hAnsi="Roboto" w:cs="AppleSystemUIFont"/>
                          <w:color w:val="FFFFFF" w:themeColor="background1"/>
                          <w:sz w:val="20"/>
                          <w:szCs w:val="20"/>
                        </w:rPr>
                        <w:t>The ‘rule of law’ is as fundamental to the management of the public finances as it is to all dimensions of governance. All financial transactions should adhere to a publicly available legal framework, rather than the discretion of government officials.</w:t>
                      </w:r>
                    </w:p>
                  </w:txbxContent>
                </v:textbox>
              </v:shape>
            </w:pict>
          </mc:Fallback>
        </mc:AlternateContent>
      </w:r>
      <w:r w:rsidRPr="00017DFB">
        <w:rPr>
          <w:rFonts w:ascii="Roboto" w:hAnsi="Roboto"/>
          <w:noProof/>
          <w:lang w:val="en-US"/>
        </w:rPr>
        <w:drawing>
          <wp:anchor distT="0" distB="0" distL="114300" distR="114300" simplePos="0" relativeHeight="253639678" behindDoc="1" locked="0" layoutInCell="1" allowOverlap="1" wp14:anchorId="20D60595" wp14:editId="44DECF8B">
            <wp:simplePos x="0" y="0"/>
            <wp:positionH relativeFrom="column">
              <wp:posOffset>519430</wp:posOffset>
            </wp:positionH>
            <wp:positionV relativeFrom="paragraph">
              <wp:posOffset>168910</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r w:rsidRPr="00017DFB">
        <w:rPr>
          <w:rFonts w:ascii="Roboto" w:hAnsi="Roboto"/>
          <w:noProof/>
          <w:lang w:val="en-US"/>
        </w:rPr>
        <mc:AlternateContent>
          <mc:Choice Requires="wps">
            <w:drawing>
              <wp:anchor distT="0" distB="0" distL="114300" distR="114300" simplePos="0" relativeHeight="253640702" behindDoc="0" locked="0" layoutInCell="1" allowOverlap="1" wp14:anchorId="5BBED6D1" wp14:editId="32CCD87F">
                <wp:simplePos x="0" y="0"/>
                <wp:positionH relativeFrom="column">
                  <wp:posOffset>796925</wp:posOffset>
                </wp:positionH>
                <wp:positionV relativeFrom="paragraph">
                  <wp:posOffset>201295</wp:posOffset>
                </wp:positionV>
                <wp:extent cx="1337310" cy="317500"/>
                <wp:effectExtent l="0" t="0" r="0" b="0"/>
                <wp:wrapNone/>
                <wp:docPr id="1921" name="Text Box 1921"/>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788471D0"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D6D1" id="Text Box 1921" o:spid="_x0000_s1144" type="#_x0000_t202" style="position:absolute;margin-left:62.75pt;margin-top:15.85pt;width:105.3pt;height:25pt;z-index:253640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" filled="f" stroked="f" strokeweight=".5pt">
                <v:textbox>
                  <w:txbxContent>
                    <w:p w14:paraId="788471D0"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p>
    <w:p w14:paraId="7744B72A" w14:textId="5B528E0C" w:rsidR="00203FAB" w:rsidRPr="00E01EA8" w:rsidRDefault="00203FAB" w:rsidP="002D14C0">
      <w:pPr>
        <w:rPr>
          <w:rFonts w:ascii="Roboto" w:hAnsi="Roboto"/>
        </w:rPr>
      </w:pPr>
    </w:p>
    <w:p w14:paraId="2233C6C3" w14:textId="2C3CBECB" w:rsidR="00203FAB" w:rsidRPr="00E01EA8"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59998" behindDoc="0" locked="0" layoutInCell="1" allowOverlap="1" wp14:anchorId="24D532B0" wp14:editId="46FF5D43">
                <wp:simplePos x="0" y="0"/>
                <wp:positionH relativeFrom="column">
                  <wp:posOffset>-3610293</wp:posOffset>
                </wp:positionH>
                <wp:positionV relativeFrom="paragraph">
                  <wp:posOffset>459930</wp:posOffset>
                </wp:positionV>
                <wp:extent cx="5976620" cy="252095"/>
                <wp:effectExtent l="0" t="0" r="0" b="0"/>
                <wp:wrapNone/>
                <wp:docPr id="178" name="Text Box 178"/>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5337B6C2" w14:textId="33502EA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D532B0" id="Text Box 178" o:spid="_x0000_s1145" type="#_x0000_t202" style="position:absolute;margin-left:-284.3pt;margin-top:36.2pt;width:470.6pt;height:19.85pt;rotation:90;z-index:25535999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" filled="f" stroked="f" strokeweight=".5pt">
                <v:textbox>
                  <w:txbxContent>
                    <w:p w14:paraId="5337B6C2" w14:textId="33502EA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37</w:t>
                      </w:r>
                    </w:p>
                  </w:txbxContent>
                </v:textbox>
              </v:shape>
            </w:pict>
          </mc:Fallback>
        </mc:AlternateContent>
      </w:r>
    </w:p>
    <w:p w14:paraId="375CEE19" w14:textId="2AE37D6B" w:rsidR="00203FAB" w:rsidRPr="00E01EA8" w:rsidRDefault="00203FAB" w:rsidP="002D14C0">
      <w:pPr>
        <w:rPr>
          <w:rFonts w:ascii="Roboto" w:hAnsi="Roboto"/>
        </w:rPr>
      </w:pPr>
    </w:p>
    <w:p w14:paraId="032704F6" w14:textId="31704704" w:rsidR="00203FAB" w:rsidRPr="00E01EA8"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58974" behindDoc="0" locked="0" layoutInCell="1" allowOverlap="1" wp14:anchorId="383CAFEB" wp14:editId="04AFBB5D">
                <wp:simplePos x="0" y="0"/>
                <wp:positionH relativeFrom="column">
                  <wp:posOffset>6517958</wp:posOffset>
                </wp:positionH>
                <wp:positionV relativeFrom="paragraph">
                  <wp:posOffset>139637</wp:posOffset>
                </wp:positionV>
                <wp:extent cx="5977200" cy="252096"/>
                <wp:effectExtent l="4762" t="0" r="0" b="0"/>
                <wp:wrapNone/>
                <wp:docPr id="176" name="Text Box 176"/>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42438263" w14:textId="04A93AFD"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78325555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2EDEFE0"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3CAFEB" id="Text Box 176" o:spid="_x0000_s1146" type="#_x0000_t202" style="position:absolute;margin-left:513.25pt;margin-top:11pt;width:470.65pt;height:19.85pt;rotation:90;z-index:2553589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" fillcolor="white [3201]" stroked="f" strokeweight=".5pt">
                <v:textbox>
                  <w:txbxContent>
                    <w:p w14:paraId="42438263" w14:textId="04A93AFD"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78325555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2EDEFE0" w14:textId="77777777" w:rsidR="00D15FD8" w:rsidRDefault="00D15FD8" w:rsidP="003D7CCB"/>
                  </w:txbxContent>
                </v:textbox>
              </v:shape>
            </w:pict>
          </mc:Fallback>
        </mc:AlternateContent>
      </w:r>
    </w:p>
    <w:p w14:paraId="0AF5F69C" w14:textId="42821A05" w:rsidR="00203FAB" w:rsidRPr="00E01EA8" w:rsidRDefault="00203FAB" w:rsidP="002D14C0">
      <w:pPr>
        <w:rPr>
          <w:rFonts w:ascii="Roboto" w:hAnsi="Roboto"/>
        </w:rPr>
      </w:pPr>
    </w:p>
    <w:p w14:paraId="19027CB8" w14:textId="77777777" w:rsidR="00203FAB" w:rsidRPr="00E01EA8" w:rsidRDefault="00203FAB" w:rsidP="002D14C0">
      <w:pPr>
        <w:rPr>
          <w:rFonts w:ascii="Roboto" w:hAnsi="Roboto"/>
        </w:rPr>
      </w:pPr>
    </w:p>
    <w:p w14:paraId="0F77523D" w14:textId="77777777" w:rsidR="00203FAB" w:rsidRPr="00E01EA8" w:rsidRDefault="00203FAB" w:rsidP="002D14C0">
      <w:pPr>
        <w:rPr>
          <w:rFonts w:ascii="Roboto" w:hAnsi="Roboto"/>
        </w:rPr>
      </w:pPr>
    </w:p>
    <w:p w14:paraId="6F9AA99D" w14:textId="77777777" w:rsidR="00203FAB" w:rsidRPr="00E01EA8" w:rsidRDefault="00203FAB" w:rsidP="002D14C0">
      <w:pPr>
        <w:rPr>
          <w:rFonts w:ascii="Roboto" w:hAnsi="Roboto"/>
        </w:rPr>
      </w:pPr>
    </w:p>
    <w:p w14:paraId="1B69DE1E" w14:textId="77777777" w:rsidR="00203FAB" w:rsidRPr="00E01EA8" w:rsidRDefault="00203FAB" w:rsidP="002D14C0">
      <w:pPr>
        <w:rPr>
          <w:rFonts w:ascii="Roboto" w:hAnsi="Roboto"/>
        </w:rPr>
      </w:pPr>
    </w:p>
    <w:p w14:paraId="477ADA52" w14:textId="6EF8E52C" w:rsidR="00203FAB" w:rsidRPr="00E01EA8" w:rsidRDefault="00203FAB" w:rsidP="002D14C0">
      <w:pPr>
        <w:rPr>
          <w:rFonts w:ascii="Roboto" w:hAnsi="Roboto"/>
        </w:rPr>
      </w:pPr>
    </w:p>
    <w:p w14:paraId="4F16692F" w14:textId="77777777" w:rsidR="00203FAB" w:rsidRPr="00E01EA8" w:rsidRDefault="00203FAB" w:rsidP="002D14C0">
      <w:pPr>
        <w:rPr>
          <w:rFonts w:ascii="Roboto" w:hAnsi="Roboto"/>
        </w:rPr>
      </w:pPr>
    </w:p>
    <w:p w14:paraId="29CE1168" w14:textId="2D6ECB73" w:rsidR="00203FAB" w:rsidRPr="00E01EA8" w:rsidRDefault="00203FAB" w:rsidP="002D14C0">
      <w:pPr>
        <w:rPr>
          <w:rFonts w:ascii="Roboto" w:hAnsi="Roboto"/>
        </w:rPr>
      </w:pPr>
    </w:p>
    <w:p w14:paraId="617E9ABF" w14:textId="4AAC4EB5" w:rsidR="00203FAB" w:rsidRPr="00E01EA8" w:rsidRDefault="00203FAB" w:rsidP="002D14C0">
      <w:pPr>
        <w:rPr>
          <w:rFonts w:ascii="Roboto" w:hAnsi="Roboto"/>
        </w:rPr>
      </w:pPr>
    </w:p>
    <w:p w14:paraId="510374AA" w14:textId="77777777" w:rsidR="00203FAB" w:rsidRPr="00E01EA8" w:rsidRDefault="00203FAB" w:rsidP="002D14C0">
      <w:pPr>
        <w:rPr>
          <w:rFonts w:ascii="Roboto" w:hAnsi="Roboto"/>
        </w:rPr>
      </w:pPr>
    </w:p>
    <w:p w14:paraId="0C9F9173" w14:textId="296E8CF0"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64446" behindDoc="0" locked="0" layoutInCell="1" allowOverlap="1" wp14:anchorId="623C56B3" wp14:editId="49225BEC">
                <wp:simplePos x="0" y="0"/>
                <wp:positionH relativeFrom="column">
                  <wp:posOffset>5510151</wp:posOffset>
                </wp:positionH>
                <wp:positionV relativeFrom="paragraph">
                  <wp:posOffset>1434498</wp:posOffset>
                </wp:positionV>
                <wp:extent cx="3878317" cy="434225"/>
                <wp:effectExtent l="0" t="0" r="8255" b="4445"/>
                <wp:wrapNone/>
                <wp:docPr id="385" name="Rectangle 385"/>
                <wp:cNvGraphicFramePr/>
                <a:graphic xmlns:a="http://schemas.openxmlformats.org/drawingml/2006/main">
                  <a:graphicData uri="http://schemas.microsoft.com/office/word/2010/wordprocessingShape">
                    <wps:wsp>
                      <wps:cNvSpPr/>
                      <wps:spPr>
                        <a:xfrm>
                          <a:off x="0" y="0"/>
                          <a:ext cx="3878317" cy="434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7B000117" id="Rectangle 385" o:spid="_x0000_s1026" style="position:absolute;margin-left:433.85pt;margin-top:112.95pt;width:305.4pt;height:34.2pt;z-index:2554644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" fillcolor="white [3212]" stroked="f" strokeweight="1pt"/>
            </w:pict>
          </mc:Fallback>
        </mc:AlternateContent>
      </w:r>
      <w:r w:rsidR="00CC3EBD">
        <w:rPr>
          <w:rFonts w:ascii="Roboto" w:hAnsi="Roboto"/>
        </w:rPr>
        <w:br w:type="page"/>
      </w:r>
      <w:r w:rsidR="00783364">
        <w:rPr>
          <w:rFonts w:ascii="Arial" w:hAnsi="Arial" w:cs="Arial"/>
          <w:noProof/>
          <w:sz w:val="24"/>
          <w:szCs w:val="24"/>
          <w:lang w:val="en-US"/>
        </w:rPr>
        <mc:AlternateContent>
          <mc:Choice Requires="wps">
            <w:drawing>
              <wp:anchor distT="0" distB="0" distL="114300" distR="114300" simplePos="0" relativeHeight="254741502" behindDoc="1" locked="0" layoutInCell="1" allowOverlap="1" wp14:anchorId="4FFEC66C" wp14:editId="107AFB9E">
                <wp:simplePos x="0" y="0"/>
                <wp:positionH relativeFrom="margin">
                  <wp:align>center</wp:align>
                </wp:positionH>
                <wp:positionV relativeFrom="margin">
                  <wp:align>center</wp:align>
                </wp:positionV>
                <wp:extent cx="9856189" cy="5969000"/>
                <wp:effectExtent l="12700" t="12700" r="12065" b="12700"/>
                <wp:wrapNone/>
                <wp:docPr id="2595" name="Rectangle 2595"/>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4CEADFF7" id="Rectangle 2595" o:spid="_x0000_s1026" style="position:absolute;margin-left:0;margin-top:0;width:776.1pt;height:470pt;z-index:-24857497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10DC774B" w14:textId="25B83606" w:rsidR="00203FAB"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66494" behindDoc="0" locked="0" layoutInCell="1" allowOverlap="1" wp14:anchorId="5062C078" wp14:editId="6264B2B6">
                <wp:simplePos x="0" y="0"/>
                <wp:positionH relativeFrom="column">
                  <wp:posOffset>-79353</wp:posOffset>
                </wp:positionH>
                <wp:positionV relativeFrom="paragraph">
                  <wp:posOffset>-551815</wp:posOffset>
                </wp:positionV>
                <wp:extent cx="3878317" cy="268014"/>
                <wp:effectExtent l="0" t="0" r="0" b="0"/>
                <wp:wrapNone/>
                <wp:docPr id="386" name="Rectangle 386"/>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3483EE65" id="Rectangle 386" o:spid="_x0000_s1026" style="position:absolute;margin-left:-6.25pt;margin-top:-43.45pt;width:305.4pt;height:21.1pt;z-index:2554664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" fillcolor="white [3212]" stroked="f" strokeweight="1pt"/>
            </w:pict>
          </mc:Fallback>
        </mc:AlternateContent>
      </w:r>
    </w:p>
    <w:p w14:paraId="609BADA3" w14:textId="6826526F" w:rsidR="00203FAB" w:rsidRDefault="0096122F" w:rsidP="002D14C0">
      <w:pPr>
        <w:rPr>
          <w:rFonts w:ascii="Roboto" w:hAnsi="Roboto"/>
        </w:rPr>
      </w:pPr>
      <w:r w:rsidRPr="00E01EA8">
        <w:rPr>
          <w:rFonts w:ascii="Roboto" w:hAnsi="Roboto"/>
          <w:noProof/>
          <w:lang w:val="en-US"/>
        </w:rPr>
        <mc:AlternateContent>
          <mc:Choice Requires="wps">
            <w:drawing>
              <wp:anchor distT="0" distB="0" distL="114300" distR="114300" simplePos="0" relativeHeight="253644798" behindDoc="0" locked="0" layoutInCell="1" allowOverlap="1" wp14:anchorId="4C743DAB" wp14:editId="2E182250">
                <wp:simplePos x="0" y="0"/>
                <wp:positionH relativeFrom="margin">
                  <wp:posOffset>15766</wp:posOffset>
                </wp:positionH>
                <wp:positionV relativeFrom="margin">
                  <wp:posOffset>362607</wp:posOffset>
                </wp:positionV>
                <wp:extent cx="8817610" cy="4240924"/>
                <wp:effectExtent l="0" t="0" r="0" b="0"/>
                <wp:wrapNone/>
                <wp:docPr id="1923" name="Text Box 1923"/>
                <wp:cNvGraphicFramePr/>
                <a:graphic xmlns:a="http://schemas.openxmlformats.org/drawingml/2006/main">
                  <a:graphicData uri="http://schemas.microsoft.com/office/word/2010/wordprocessingShape">
                    <wps:wsp>
                      <wps:cNvSpPr txBox="1"/>
                      <wps:spPr>
                        <a:xfrm>
                          <a:off x="0" y="0"/>
                          <a:ext cx="8817610" cy="4240924"/>
                        </a:xfrm>
                        <a:prstGeom prst="rect">
                          <a:avLst/>
                        </a:prstGeom>
                        <a:noFill/>
                        <a:ln w="6350">
                          <a:noFill/>
                        </a:ln>
                      </wps:spPr>
                      <wps:txbx>
                        <w:txbxContent>
                          <w:p w14:paraId="449D3BBE" w14:textId="77777777" w:rsidR="00D15FD8" w:rsidRPr="00E01EA8" w:rsidRDefault="00AC4DF7" w:rsidP="002D14C0">
                            <w:pPr>
                              <w:spacing w:after="160" w:line="259" w:lineRule="auto"/>
                              <w:suppressOverlap/>
                              <w:rPr>
                                <w:rFonts w:ascii="Roboto" w:eastAsia="Calibri" w:hAnsi="Roboto" w:cs="Calibri"/>
                                <w:color w:val="404040" w:themeColor="text1" w:themeTint="BF"/>
                                <w:sz w:val="20"/>
                                <w:szCs w:val="20"/>
                              </w:rPr>
                            </w:pPr>
                            <w:hyperlink r:id="rId226" w:history="1">
                              <w:r w:rsidR="00D15FD8" w:rsidRPr="00E01EA8">
                                <w:rPr>
                                  <w:rStyle w:val="Hyperlink"/>
                                  <w:rFonts w:ascii="Roboto" w:eastAsia="Calibri" w:hAnsi="Roboto" w:cs="Calibri"/>
                                  <w:color w:val="F26C21"/>
                                  <w:sz w:val="20"/>
                                  <w:szCs w:val="20"/>
                                </w:rPr>
                                <w:t>Technical guide to the UN Convention Against Corruption</w:t>
                              </w:r>
                            </w:hyperlink>
                            <w:r w:rsidR="00D15FD8" w:rsidRPr="00E01EA8">
                              <w:rPr>
                                <w:rFonts w:ascii="Roboto" w:eastAsia="Calibri" w:hAnsi="Roboto" w:cs="Calibri"/>
                                <w:color w:val="F26C21"/>
                                <w:sz w:val="20"/>
                                <w:szCs w:val="20"/>
                                <w:u w:val="single"/>
                              </w:rPr>
                              <w:t>:</w:t>
                            </w:r>
                            <w:r w:rsidR="00D15FD8" w:rsidRPr="00E01EA8">
                              <w:rPr>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Article 9: Identifies measures to establish transparent procurement and public finance management systems.</w:t>
                            </w:r>
                          </w:p>
                          <w:p w14:paraId="5F09D09F" w14:textId="77777777" w:rsidR="00D15FD8" w:rsidRPr="00E01EA8" w:rsidRDefault="00AC4DF7" w:rsidP="002D14C0">
                            <w:pPr>
                              <w:spacing w:after="160" w:line="259" w:lineRule="auto"/>
                              <w:suppressOverlap/>
                              <w:rPr>
                                <w:rFonts w:ascii="Roboto" w:eastAsia="Calibri" w:hAnsi="Roboto" w:cs="Calibri"/>
                                <w:color w:val="404040" w:themeColor="text1" w:themeTint="BF"/>
                                <w:sz w:val="20"/>
                                <w:szCs w:val="20"/>
                              </w:rPr>
                            </w:pPr>
                            <w:hyperlink r:id="rId227" w:history="1">
                              <w:r w:rsidR="00D15FD8" w:rsidRPr="00E01EA8">
                                <w:rPr>
                                  <w:rStyle w:val="Hyperlink"/>
                                  <w:rFonts w:ascii="Roboto" w:eastAsia="Calibri" w:hAnsi="Roboto" w:cs="Calibri"/>
                                  <w:color w:val="F26C21"/>
                                  <w:sz w:val="20"/>
                                  <w:szCs w:val="20"/>
                                </w:rPr>
                                <w:t>G20 Anti-Corruption Action Plan 2017-18</w:t>
                              </w:r>
                            </w:hyperlink>
                            <w:r w:rsidR="00D15FD8" w:rsidRPr="00E01EA8">
                              <w:rPr>
                                <w:rFonts w:ascii="Roboto" w:eastAsia="Calibri" w:hAnsi="Roboto" w:cs="Calibri"/>
                                <w:i/>
                                <w:color w:val="F26C21"/>
                                <w:sz w:val="20"/>
                                <w:szCs w:val="20"/>
                                <w:u w:val="single"/>
                              </w:rPr>
                              <w:t>:</w:t>
                            </w:r>
                            <w:r w:rsidR="00D15FD8" w:rsidRPr="00E01EA8">
                              <w:rPr>
                                <w:rFonts w:ascii="Roboto" w:eastAsia="Calibri" w:hAnsi="Roboto" w:cs="Calibri"/>
                                <w:i/>
                                <w:color w:val="F26C21"/>
                                <w:sz w:val="20"/>
                                <w:szCs w:val="20"/>
                              </w:rPr>
                              <w:t xml:space="preserve"> </w:t>
                            </w:r>
                            <w:r w:rsidR="00D15FD8" w:rsidRPr="00E01EA8">
                              <w:rPr>
                                <w:rFonts w:ascii="Roboto" w:eastAsia="Calibri" w:hAnsi="Roboto" w:cs="Calibri"/>
                                <w:color w:val="404040" w:themeColor="text1" w:themeTint="BF"/>
                                <w:sz w:val="20"/>
                                <w:szCs w:val="20"/>
                              </w:rPr>
                              <w:t xml:space="preserve">Notes that transparency is key to deterring and uncovering corruption, pledges G20 countries to promote greater transparency in the public sector, including in public contracting, budget processes and customs. It draws on the </w:t>
                            </w:r>
                            <w:hyperlink r:id="rId228" w:history="1">
                              <w:r w:rsidR="00D15FD8" w:rsidRPr="00E01EA8">
                                <w:rPr>
                                  <w:rStyle w:val="Hyperlink"/>
                                  <w:rFonts w:ascii="Roboto" w:eastAsia="Calibri" w:hAnsi="Roboto" w:cs="Calibri"/>
                                  <w:color w:val="F26C21"/>
                                  <w:sz w:val="20"/>
                                  <w:szCs w:val="20"/>
                                </w:rPr>
                                <w:t>G20 Anti-Corruption Open Data Principles</w:t>
                              </w:r>
                            </w:hyperlink>
                            <w:r w:rsidR="00D15FD8" w:rsidRPr="00E01EA8">
                              <w:rPr>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 xml:space="preserve">(2014). At the request of the G20 Anti-Corruption Working Group, the OECD developed </w:t>
                            </w:r>
                            <w:r w:rsidR="00D15FD8" w:rsidRPr="00E01EA8">
                              <w:rPr>
                                <w:rFonts w:ascii="Roboto" w:eastAsia="Calibri" w:hAnsi="Roboto" w:cs="Calibri"/>
                                <w:color w:val="F26C21"/>
                                <w:sz w:val="20"/>
                                <w:szCs w:val="20"/>
                                <w:u w:val="single"/>
                              </w:rPr>
                              <w:t xml:space="preserve">a </w:t>
                            </w:r>
                            <w:hyperlink r:id="rId229" w:history="1">
                              <w:r w:rsidR="00D15FD8" w:rsidRPr="00E01EA8">
                                <w:rPr>
                                  <w:rStyle w:val="Hyperlink"/>
                                  <w:rFonts w:ascii="Roboto" w:eastAsia="Calibri" w:hAnsi="Roboto" w:cs="Calibri"/>
                                  <w:color w:val="F26C21"/>
                                  <w:sz w:val="20"/>
                                  <w:szCs w:val="20"/>
                                </w:rPr>
                                <w:t>Compendium of Good Practices for Integrity in Public Procurement</w:t>
                              </w:r>
                            </w:hyperlink>
                            <w:r w:rsidR="00D15FD8" w:rsidRPr="00E01EA8">
                              <w:rPr>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(2015).</w:t>
                            </w:r>
                          </w:p>
                          <w:p w14:paraId="1695537C" w14:textId="77777777" w:rsidR="00D15FD8" w:rsidRPr="00E01EA8" w:rsidRDefault="00D15FD8" w:rsidP="002D14C0">
                            <w:pPr>
                              <w:spacing w:after="160" w:line="259" w:lineRule="auto"/>
                              <w:suppressOverlap/>
                              <w:rPr>
                                <w:rFonts w:ascii="Roboto" w:eastAsia="Calibri" w:hAnsi="Roboto" w:cs="Calibri"/>
                                <w:color w:val="404040" w:themeColor="text1" w:themeTint="BF"/>
                                <w:sz w:val="20"/>
                                <w:szCs w:val="20"/>
                                <w:u w:val="single"/>
                              </w:rPr>
                            </w:pPr>
                            <w:r w:rsidRPr="00E01EA8">
                              <w:rPr>
                                <w:rFonts w:ascii="Roboto" w:eastAsia="Calibri" w:hAnsi="Roboto" w:cs="Calibri"/>
                                <w:b/>
                                <w:iCs/>
                                <w:color w:val="1E9A8C"/>
                                <w:sz w:val="20"/>
                                <w:szCs w:val="20"/>
                              </w:rPr>
                              <w:t>World Customs Organization</w:t>
                            </w:r>
                            <w:r w:rsidRPr="00E01EA8">
                              <w:rPr>
                                <w:rFonts w:ascii="Roboto" w:eastAsia="Calibri" w:hAnsi="Roboto" w:cs="Calibri"/>
                                <w:iCs/>
                                <w:color w:val="1E9A8C"/>
                                <w:sz w:val="20"/>
                                <w:szCs w:val="20"/>
                              </w:rPr>
                              <w:t xml:space="preserve">:  </w:t>
                            </w:r>
                            <w:hyperlink r:id="rId230" w:history="1">
                              <w:r w:rsidRPr="00E01EA8">
                                <w:rPr>
                                  <w:rStyle w:val="Hyperlink"/>
                                  <w:rFonts w:ascii="Roboto" w:eastAsia="Calibri" w:hAnsi="Roboto" w:cs="Calibri"/>
                                  <w:iCs/>
                                  <w:color w:val="F26C21"/>
                                  <w:sz w:val="20"/>
                                  <w:szCs w:val="20"/>
                                </w:rPr>
                                <w:t>Arusha Declaration</w:t>
                              </w:r>
                            </w:hyperlink>
                            <w:r w:rsidRPr="00E01EA8">
                              <w:rPr>
                                <w:rFonts w:ascii="Roboto" w:eastAsia="Calibri" w:hAnsi="Roboto" w:cs="Calibri"/>
                                <w:iCs/>
                                <w:color w:val="404040" w:themeColor="text1" w:themeTint="BF"/>
                                <w:sz w:val="20"/>
                                <w:szCs w:val="20"/>
                              </w:rPr>
                              <w:t xml:space="preserve"> stipulates that c</w:t>
                            </w:r>
                            <w:r w:rsidRPr="00E01EA8">
                              <w:rPr>
                                <w:rFonts w:ascii="Roboto" w:eastAsia="Calibri" w:hAnsi="Roboto" w:cs="Calibri"/>
                                <w:color w:val="404040" w:themeColor="text1" w:themeTint="BF"/>
                                <w:sz w:val="20"/>
                                <w:szCs w:val="20"/>
                              </w:rPr>
                              <w:t xml:space="preserve">ustoms laws, regulations, procedures and administrative guidelines should be made public, be easily accessible and applied in a uniform and consistent manner; and that </w:t>
                            </w:r>
                            <w:r w:rsidRPr="00E01EA8">
                              <w:rPr>
                                <w:rFonts w:ascii="Roboto" w:eastAsia="Calibri" w:hAnsi="Roboto" w:cs="Calibri"/>
                                <w:iCs/>
                                <w:color w:val="404040" w:themeColor="text1" w:themeTint="BF"/>
                                <w:sz w:val="20"/>
                                <w:szCs w:val="20"/>
                              </w:rPr>
                              <w:t>a</w:t>
                            </w:r>
                            <w:r w:rsidRPr="00E01EA8">
                              <w:rPr>
                                <w:rFonts w:ascii="Roboto" w:eastAsia="Calibri" w:hAnsi="Roboto" w:cs="Calibri"/>
                                <w:color w:val="404040" w:themeColor="text1" w:themeTint="BF"/>
                                <w:sz w:val="20"/>
                                <w:szCs w:val="20"/>
                              </w:rPr>
                              <w:t xml:space="preserve">ppeal and administrative review mechanisms should be established to provide a mechanism for clients to challenge or seek review of Customs decisions.  </w:t>
                            </w:r>
                          </w:p>
                          <w:p w14:paraId="79B068DA" w14:textId="77777777" w:rsidR="00D15FD8" w:rsidRPr="00E01EA8" w:rsidRDefault="00D15FD8" w:rsidP="002D14C0">
                            <w:pPr>
                              <w:spacing w:line="259" w:lineRule="auto"/>
                              <w:suppressOverlap/>
                              <w:rPr>
                                <w:rFonts w:ascii="Roboto" w:eastAsia="Calibri" w:hAnsi="Roboto" w:cs="Calibri"/>
                                <w:b/>
                                <w:bCs/>
                                <w:color w:val="1E9A8C"/>
                                <w:sz w:val="20"/>
                                <w:szCs w:val="20"/>
                                <w:u w:val="single"/>
                              </w:rPr>
                            </w:pPr>
                            <w:r w:rsidRPr="00E01EA8">
                              <w:rPr>
                                <w:rFonts w:ascii="Roboto" w:eastAsia="Calibri" w:hAnsi="Roboto" w:cs="Calibri"/>
                                <w:b/>
                                <w:bCs/>
                                <w:color w:val="1E9A8C"/>
                                <w:sz w:val="20"/>
                                <w:szCs w:val="20"/>
                                <w:u w:val="single"/>
                              </w:rPr>
                              <w:t>Assessment frameworks:</w:t>
                            </w:r>
                          </w:p>
                          <w:p w14:paraId="7FB364DC" w14:textId="77777777" w:rsidR="00D15FD8" w:rsidRPr="00E01EA8" w:rsidRDefault="00D15FD8" w:rsidP="002D14C0">
                            <w:pPr>
                              <w:spacing w:line="259" w:lineRule="auto"/>
                              <w:suppressOverlap/>
                              <w:rPr>
                                <w:rFonts w:ascii="Roboto" w:eastAsia="Calibri" w:hAnsi="Roboto" w:cs="Calibri"/>
                                <w:b/>
                                <w:bCs/>
                                <w:color w:val="404040" w:themeColor="text1" w:themeTint="BF"/>
                                <w:sz w:val="20"/>
                                <w:szCs w:val="20"/>
                                <w:u w:val="single"/>
                              </w:rPr>
                            </w:pPr>
                          </w:p>
                          <w:p w14:paraId="20313AE5" w14:textId="77777777" w:rsidR="00D15FD8" w:rsidRPr="00E01EA8" w:rsidRDefault="00D15FD8" w:rsidP="002D14C0">
                            <w:pPr>
                              <w:suppressOverlap/>
                              <w:rPr>
                                <w:rFonts w:ascii="Roboto" w:eastAsia="Calibri" w:hAnsi="Roboto" w:cs="Calibri"/>
                                <w:color w:val="404040" w:themeColor="text1" w:themeTint="BF"/>
                                <w:sz w:val="20"/>
                                <w:szCs w:val="20"/>
                              </w:rPr>
                            </w:pPr>
                            <w:r w:rsidRPr="00E01EA8">
                              <w:rPr>
                                <w:rFonts w:ascii="Roboto" w:eastAsia="Calibri" w:hAnsi="Roboto" w:cs="Calibri"/>
                                <w:b/>
                                <w:bCs/>
                                <w:color w:val="404040" w:themeColor="text1" w:themeTint="BF"/>
                                <w:sz w:val="20"/>
                                <w:szCs w:val="20"/>
                              </w:rPr>
                              <w:t xml:space="preserve">PEFA: </w:t>
                            </w:r>
                            <w:hyperlink r:id="rId231" w:history="1">
                              <w:r w:rsidRPr="00E01EA8">
                                <w:rPr>
                                  <w:rStyle w:val="Hyperlink"/>
                                  <w:rFonts w:ascii="Roboto" w:eastAsia="Calibri" w:hAnsi="Roboto" w:cs="Calibri"/>
                                  <w:color w:val="F26C21"/>
                                  <w:sz w:val="20"/>
                                  <w:szCs w:val="20"/>
                                </w:rPr>
                                <w:t>Framework for assessing public financial management</w:t>
                              </w:r>
                            </w:hyperlink>
                            <w:r w:rsidRPr="00E01EA8">
                              <w:rPr>
                                <w:rFonts w:ascii="Roboto" w:eastAsia="Calibri" w:hAnsi="Roboto" w:cs="Calibri"/>
                                <w:color w:val="F26C21"/>
                                <w:sz w:val="20"/>
                                <w:szCs w:val="20"/>
                              </w:rPr>
                              <w:t xml:space="preserve"> </w:t>
                            </w:r>
                            <w:r w:rsidRPr="00E01EA8">
                              <w:rPr>
                                <w:rFonts w:ascii="Roboto" w:eastAsia="Calibri" w:hAnsi="Roboto" w:cs="Calibri"/>
                                <w:color w:val="404040" w:themeColor="text1" w:themeTint="BF"/>
                                <w:sz w:val="20"/>
                                <w:szCs w:val="20"/>
                              </w:rPr>
                              <w:t xml:space="preserve">(2016): Assesses specific aspects of the legal basis for financial transactions in the public sector. </w:t>
                            </w:r>
                          </w:p>
                          <w:p w14:paraId="1BAD171F" w14:textId="77777777" w:rsidR="00D15FD8" w:rsidRPr="00E01EA8" w:rsidRDefault="00D15FD8" w:rsidP="002D14C0">
                            <w:pPr>
                              <w:suppressOverlap/>
                              <w:rPr>
                                <w:rFonts w:ascii="Roboto" w:eastAsia="Calibri" w:hAnsi="Roboto" w:cs="Calibri"/>
                                <w:color w:val="404040" w:themeColor="text1" w:themeTint="BF"/>
                                <w:sz w:val="20"/>
                                <w:szCs w:val="20"/>
                              </w:rPr>
                            </w:pPr>
                          </w:p>
                          <w:p w14:paraId="5A5CAF04" w14:textId="77777777" w:rsidR="00D15FD8" w:rsidRPr="00E01EA8" w:rsidRDefault="00D15FD8" w:rsidP="002D14C0">
                            <w:pPr>
                              <w:suppressOverlap/>
                              <w:rPr>
                                <w:rFonts w:ascii="Roboto" w:eastAsia="Calibri" w:hAnsi="Roboto" w:cs="Calibri"/>
                                <w:color w:val="404040" w:themeColor="text1" w:themeTint="BF"/>
                                <w:sz w:val="20"/>
                                <w:szCs w:val="20"/>
                              </w:rPr>
                            </w:pPr>
                            <w:r w:rsidRPr="00E01EA8">
                              <w:rPr>
                                <w:rFonts w:ascii="Roboto" w:eastAsia="Calibri" w:hAnsi="Roboto" w:cs="Calibri"/>
                                <w:b/>
                                <w:color w:val="404040" w:themeColor="text1" w:themeTint="BF"/>
                                <w:sz w:val="20"/>
                                <w:szCs w:val="20"/>
                              </w:rPr>
                              <w:t>IBP:</w:t>
                            </w:r>
                            <w:r w:rsidRPr="00E01EA8">
                              <w:rPr>
                                <w:rFonts w:ascii="Roboto" w:eastAsia="Calibri" w:hAnsi="Roboto" w:cs="Calibri"/>
                                <w:color w:val="404040" w:themeColor="text1" w:themeTint="BF"/>
                                <w:sz w:val="20"/>
                                <w:szCs w:val="20"/>
                              </w:rPr>
                              <w:t xml:space="preserve"> </w:t>
                            </w:r>
                            <w:hyperlink r:id="rId232" w:history="1">
                              <w:r w:rsidRPr="00E01EA8">
                                <w:rPr>
                                  <w:rStyle w:val="Hyperlink"/>
                                  <w:rFonts w:ascii="Roboto" w:eastAsia="Calibri" w:hAnsi="Roboto" w:cs="Calibri"/>
                                  <w:color w:val="F26C21"/>
                                  <w:sz w:val="20"/>
                                  <w:szCs w:val="20"/>
                                </w:rPr>
                                <w:t>Open Budget Survey</w:t>
                              </w:r>
                            </w:hyperlink>
                            <w:r w:rsidRPr="00E01EA8">
                              <w:rPr>
                                <w:rFonts w:ascii="Roboto" w:eastAsia="Calibri" w:hAnsi="Roboto" w:cs="Calibri"/>
                                <w:color w:val="404040" w:themeColor="text1" w:themeTint="BF"/>
                                <w:sz w:val="20"/>
                                <w:szCs w:val="20"/>
                              </w:rPr>
                              <w:t xml:space="preserve"> (OBS): Covers several aspects of the legislature’s role in approving the executive’s budget proposals.</w:t>
                            </w:r>
                          </w:p>
                          <w:p w14:paraId="30B3137B" w14:textId="77777777" w:rsidR="00D15FD8" w:rsidRPr="00E01EA8" w:rsidRDefault="00D15FD8" w:rsidP="002D14C0">
                            <w:pPr>
                              <w:suppressOverlap/>
                              <w:rPr>
                                <w:rFonts w:ascii="Roboto" w:eastAsia="Calibri" w:hAnsi="Roboto" w:cs="Calibri"/>
                                <w:color w:val="404040" w:themeColor="text1" w:themeTint="BF"/>
                                <w:sz w:val="20"/>
                                <w:szCs w:val="20"/>
                              </w:rPr>
                            </w:pPr>
                          </w:p>
                          <w:p w14:paraId="60FF2628" w14:textId="77777777" w:rsidR="00D15FD8" w:rsidRPr="00E01EA8" w:rsidRDefault="00D15FD8" w:rsidP="002D14C0">
                            <w:pPr>
                              <w:rPr>
                                <w:rFonts w:ascii="Roboto" w:hAnsi="Roboto"/>
                                <w:sz w:val="20"/>
                                <w:szCs w:val="20"/>
                              </w:rPr>
                            </w:pPr>
                            <w:r w:rsidRPr="00E01EA8">
                              <w:rPr>
                                <w:rFonts w:ascii="Roboto" w:eastAsia="Calibri" w:hAnsi="Roboto" w:cs="Calibri"/>
                                <w:b/>
                                <w:color w:val="404040" w:themeColor="text1" w:themeTint="BF"/>
                                <w:sz w:val="20"/>
                                <w:szCs w:val="20"/>
                              </w:rPr>
                              <w:t>IMF and partners:</w:t>
                            </w:r>
                            <w:r w:rsidRPr="00E01EA8">
                              <w:rPr>
                                <w:rFonts w:ascii="Roboto" w:eastAsia="Calibri" w:hAnsi="Roboto" w:cs="Calibri"/>
                                <w:color w:val="404040" w:themeColor="text1" w:themeTint="BF"/>
                                <w:sz w:val="20"/>
                                <w:szCs w:val="20"/>
                              </w:rPr>
                              <w:t xml:space="preserve"> </w:t>
                            </w:r>
                            <w:hyperlink r:id="rId233" w:history="1">
                              <w:r w:rsidRPr="00E01EA8">
                                <w:rPr>
                                  <w:rStyle w:val="Hyperlink"/>
                                  <w:rFonts w:ascii="Roboto" w:eastAsia="Calibri" w:hAnsi="Roboto" w:cs="Calibri"/>
                                  <w:color w:val="F26C21"/>
                                  <w:sz w:val="20"/>
                                  <w:szCs w:val="20"/>
                                </w:rPr>
                                <w:t>Tax Administration Diagnostic Assessment Tool (TADAT)</w:t>
                              </w:r>
                            </w:hyperlink>
                            <w:r w:rsidRPr="00E01EA8">
                              <w:rPr>
                                <w:rFonts w:ascii="Roboto" w:eastAsia="Calibri" w:hAnsi="Roboto" w:cs="Calibri"/>
                                <w:color w:val="F26C21"/>
                                <w:sz w:val="20"/>
                                <w:szCs w:val="20"/>
                                <w:u w:val="single"/>
                              </w:rPr>
                              <w:t>:</w:t>
                            </w:r>
                            <w:r w:rsidRPr="00E01EA8">
                              <w:rPr>
                                <w:rFonts w:ascii="Roboto" w:eastAsia="Calibri" w:hAnsi="Roboto" w:cs="Calibri"/>
                                <w:color w:val="404040" w:themeColor="text1" w:themeTint="BF"/>
                                <w:sz w:val="20"/>
                                <w:szCs w:val="20"/>
                              </w:rPr>
                              <w:t xml:space="preserve"> Contains performance indicators directly related to the rule of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43DAB" id="Text Box 1923" o:spid="_x0000_s1147" type="#_x0000_t202" style="position:absolute;margin-left:1.25pt;margin-top:28.55pt;width:694.3pt;height:333.95pt;z-index:25364479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" filled="f" stroked="f" strokeweight=".5pt">
                <v:textbox>
                  <w:txbxContent>
                    <w:p w14:paraId="449D3BBE" w14:textId="77777777" w:rsidR="00D15FD8" w:rsidRPr="00E01EA8" w:rsidRDefault="00AC4DF7" w:rsidP="002D14C0">
                      <w:pPr>
                        <w:spacing w:after="160" w:line="259" w:lineRule="auto"/>
                        <w:suppressOverlap/>
                        <w:rPr>
                          <w:rFonts w:ascii="Roboto" w:eastAsia="Calibri" w:hAnsi="Roboto" w:cs="Calibri"/>
                          <w:color w:val="404040" w:themeColor="text1" w:themeTint="BF"/>
                          <w:sz w:val="20"/>
                          <w:szCs w:val="20"/>
                        </w:rPr>
                      </w:pPr>
                      <w:hyperlink r:id="rId234" w:history="1">
                        <w:r w:rsidR="00D15FD8" w:rsidRPr="00E01EA8">
                          <w:rPr>
                            <w:rStyle w:val="Hyperlink"/>
                            <w:rFonts w:ascii="Roboto" w:eastAsia="Calibri" w:hAnsi="Roboto" w:cs="Calibri"/>
                            <w:color w:val="F26C21"/>
                            <w:sz w:val="20"/>
                            <w:szCs w:val="20"/>
                          </w:rPr>
                          <w:t>Technical guide to the UN Convention Against Corruption</w:t>
                        </w:r>
                      </w:hyperlink>
                      <w:r w:rsidR="00D15FD8" w:rsidRPr="00E01EA8">
                        <w:rPr>
                          <w:rFonts w:ascii="Roboto" w:eastAsia="Calibri" w:hAnsi="Roboto" w:cs="Calibri"/>
                          <w:color w:val="F26C21"/>
                          <w:sz w:val="20"/>
                          <w:szCs w:val="20"/>
                          <w:u w:val="single"/>
                        </w:rPr>
                        <w:t>:</w:t>
                      </w:r>
                      <w:r w:rsidR="00D15FD8" w:rsidRPr="00E01EA8">
                        <w:rPr>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Article 9: Identifies measures to establish transparent procurement and public finance management systems.</w:t>
                      </w:r>
                    </w:p>
                    <w:p w14:paraId="5F09D09F" w14:textId="77777777" w:rsidR="00D15FD8" w:rsidRPr="00E01EA8" w:rsidRDefault="00AC4DF7" w:rsidP="002D14C0">
                      <w:pPr>
                        <w:spacing w:after="160" w:line="259" w:lineRule="auto"/>
                        <w:suppressOverlap/>
                        <w:rPr>
                          <w:rFonts w:ascii="Roboto" w:eastAsia="Calibri" w:hAnsi="Roboto" w:cs="Calibri"/>
                          <w:color w:val="404040" w:themeColor="text1" w:themeTint="BF"/>
                          <w:sz w:val="20"/>
                          <w:szCs w:val="20"/>
                        </w:rPr>
                      </w:pPr>
                      <w:hyperlink r:id="rId235" w:history="1">
                        <w:r w:rsidR="00D15FD8" w:rsidRPr="00E01EA8">
                          <w:rPr>
                            <w:rStyle w:val="Hyperlink"/>
                            <w:rFonts w:ascii="Roboto" w:eastAsia="Calibri" w:hAnsi="Roboto" w:cs="Calibri"/>
                            <w:color w:val="F26C21"/>
                            <w:sz w:val="20"/>
                            <w:szCs w:val="20"/>
                          </w:rPr>
                          <w:t>G20 Anti-Corruption Action Plan 2017-18</w:t>
                        </w:r>
                      </w:hyperlink>
                      <w:r w:rsidR="00D15FD8" w:rsidRPr="00E01EA8">
                        <w:rPr>
                          <w:rFonts w:ascii="Roboto" w:eastAsia="Calibri" w:hAnsi="Roboto" w:cs="Calibri"/>
                          <w:i/>
                          <w:color w:val="F26C21"/>
                          <w:sz w:val="20"/>
                          <w:szCs w:val="20"/>
                          <w:u w:val="single"/>
                        </w:rPr>
                        <w:t>:</w:t>
                      </w:r>
                      <w:r w:rsidR="00D15FD8" w:rsidRPr="00E01EA8">
                        <w:rPr>
                          <w:rFonts w:ascii="Roboto" w:eastAsia="Calibri" w:hAnsi="Roboto" w:cs="Calibri"/>
                          <w:i/>
                          <w:color w:val="F26C21"/>
                          <w:sz w:val="20"/>
                          <w:szCs w:val="20"/>
                        </w:rPr>
                        <w:t xml:space="preserve"> </w:t>
                      </w:r>
                      <w:r w:rsidR="00D15FD8" w:rsidRPr="00E01EA8">
                        <w:rPr>
                          <w:rFonts w:ascii="Roboto" w:eastAsia="Calibri" w:hAnsi="Roboto" w:cs="Calibri"/>
                          <w:color w:val="404040" w:themeColor="text1" w:themeTint="BF"/>
                          <w:sz w:val="20"/>
                          <w:szCs w:val="20"/>
                        </w:rPr>
                        <w:t xml:space="preserve">Notes that transparency is key to deterring and uncovering corruption, pledges G20 countries to promote greater transparency in the public sector, including in public contracting, budget processes and customs. It draws on the </w:t>
                      </w:r>
                      <w:hyperlink r:id="rId236" w:history="1">
                        <w:r w:rsidR="00D15FD8" w:rsidRPr="00E01EA8">
                          <w:rPr>
                            <w:rStyle w:val="Hyperlink"/>
                            <w:rFonts w:ascii="Roboto" w:eastAsia="Calibri" w:hAnsi="Roboto" w:cs="Calibri"/>
                            <w:color w:val="F26C21"/>
                            <w:sz w:val="20"/>
                            <w:szCs w:val="20"/>
                          </w:rPr>
                          <w:t>G20 Anti-Corruption Open Data Principles</w:t>
                        </w:r>
                      </w:hyperlink>
                      <w:r w:rsidR="00D15FD8" w:rsidRPr="00E01EA8">
                        <w:rPr>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 xml:space="preserve">(2014). At the request of the G20 Anti-Corruption Working Group, the OECD developed </w:t>
                      </w:r>
                      <w:r w:rsidR="00D15FD8" w:rsidRPr="00E01EA8">
                        <w:rPr>
                          <w:rFonts w:ascii="Roboto" w:eastAsia="Calibri" w:hAnsi="Roboto" w:cs="Calibri"/>
                          <w:color w:val="F26C21"/>
                          <w:sz w:val="20"/>
                          <w:szCs w:val="20"/>
                          <w:u w:val="single"/>
                        </w:rPr>
                        <w:t xml:space="preserve">a </w:t>
                      </w:r>
                      <w:hyperlink r:id="rId237" w:history="1">
                        <w:r w:rsidR="00D15FD8" w:rsidRPr="00E01EA8">
                          <w:rPr>
                            <w:rStyle w:val="Hyperlink"/>
                            <w:rFonts w:ascii="Roboto" w:eastAsia="Calibri" w:hAnsi="Roboto" w:cs="Calibri"/>
                            <w:color w:val="F26C21"/>
                            <w:sz w:val="20"/>
                            <w:szCs w:val="20"/>
                          </w:rPr>
                          <w:t>Compendium of Good Practices for Integrity in Public Procurement</w:t>
                        </w:r>
                      </w:hyperlink>
                      <w:r w:rsidR="00D15FD8" w:rsidRPr="00E01EA8">
                        <w:rPr>
                          <w:rFonts w:ascii="Roboto" w:eastAsia="Calibri" w:hAnsi="Roboto" w:cs="Calibri"/>
                          <w:color w:val="F26C21"/>
                          <w:sz w:val="20"/>
                          <w:szCs w:val="20"/>
                        </w:rPr>
                        <w:t xml:space="preserve"> </w:t>
                      </w:r>
                      <w:r w:rsidR="00D15FD8" w:rsidRPr="00E01EA8">
                        <w:rPr>
                          <w:rFonts w:ascii="Roboto" w:eastAsia="Calibri" w:hAnsi="Roboto" w:cs="Calibri"/>
                          <w:color w:val="404040" w:themeColor="text1" w:themeTint="BF"/>
                          <w:sz w:val="20"/>
                          <w:szCs w:val="20"/>
                        </w:rPr>
                        <w:t>(2015).</w:t>
                      </w:r>
                    </w:p>
                    <w:p w14:paraId="1695537C" w14:textId="77777777" w:rsidR="00D15FD8" w:rsidRPr="00E01EA8" w:rsidRDefault="00D15FD8" w:rsidP="002D14C0">
                      <w:pPr>
                        <w:spacing w:after="160" w:line="259" w:lineRule="auto"/>
                        <w:suppressOverlap/>
                        <w:rPr>
                          <w:rFonts w:ascii="Roboto" w:eastAsia="Calibri" w:hAnsi="Roboto" w:cs="Calibri"/>
                          <w:color w:val="404040" w:themeColor="text1" w:themeTint="BF"/>
                          <w:sz w:val="20"/>
                          <w:szCs w:val="20"/>
                          <w:u w:val="single"/>
                        </w:rPr>
                      </w:pPr>
                      <w:r w:rsidRPr="00E01EA8">
                        <w:rPr>
                          <w:rFonts w:ascii="Roboto" w:eastAsia="Calibri" w:hAnsi="Roboto" w:cs="Calibri"/>
                          <w:b/>
                          <w:iCs/>
                          <w:color w:val="1E9A8C"/>
                          <w:sz w:val="20"/>
                          <w:szCs w:val="20"/>
                        </w:rPr>
                        <w:t>World Customs Organization</w:t>
                      </w:r>
                      <w:r w:rsidRPr="00E01EA8">
                        <w:rPr>
                          <w:rFonts w:ascii="Roboto" w:eastAsia="Calibri" w:hAnsi="Roboto" w:cs="Calibri"/>
                          <w:iCs/>
                          <w:color w:val="1E9A8C"/>
                          <w:sz w:val="20"/>
                          <w:szCs w:val="20"/>
                        </w:rPr>
                        <w:t xml:space="preserve">:  </w:t>
                      </w:r>
                      <w:hyperlink r:id="rId238" w:history="1">
                        <w:r w:rsidRPr="00E01EA8">
                          <w:rPr>
                            <w:rStyle w:val="Hyperlink"/>
                            <w:rFonts w:ascii="Roboto" w:eastAsia="Calibri" w:hAnsi="Roboto" w:cs="Calibri"/>
                            <w:iCs/>
                            <w:color w:val="F26C21"/>
                            <w:sz w:val="20"/>
                            <w:szCs w:val="20"/>
                          </w:rPr>
                          <w:t>Arusha Declaration</w:t>
                        </w:r>
                      </w:hyperlink>
                      <w:r w:rsidRPr="00E01EA8">
                        <w:rPr>
                          <w:rFonts w:ascii="Roboto" w:eastAsia="Calibri" w:hAnsi="Roboto" w:cs="Calibri"/>
                          <w:iCs/>
                          <w:color w:val="404040" w:themeColor="text1" w:themeTint="BF"/>
                          <w:sz w:val="20"/>
                          <w:szCs w:val="20"/>
                        </w:rPr>
                        <w:t xml:space="preserve"> stipulates that c</w:t>
                      </w:r>
                      <w:r w:rsidRPr="00E01EA8">
                        <w:rPr>
                          <w:rFonts w:ascii="Roboto" w:eastAsia="Calibri" w:hAnsi="Roboto" w:cs="Calibri"/>
                          <w:color w:val="404040" w:themeColor="text1" w:themeTint="BF"/>
                          <w:sz w:val="20"/>
                          <w:szCs w:val="20"/>
                        </w:rPr>
                        <w:t xml:space="preserve">ustoms laws, regulations, procedures and administrative guidelines should be made public, be easily accessible and applied in a uniform and consistent manner; and that </w:t>
                      </w:r>
                      <w:r w:rsidRPr="00E01EA8">
                        <w:rPr>
                          <w:rFonts w:ascii="Roboto" w:eastAsia="Calibri" w:hAnsi="Roboto" w:cs="Calibri"/>
                          <w:iCs/>
                          <w:color w:val="404040" w:themeColor="text1" w:themeTint="BF"/>
                          <w:sz w:val="20"/>
                          <w:szCs w:val="20"/>
                        </w:rPr>
                        <w:t>a</w:t>
                      </w:r>
                      <w:r w:rsidRPr="00E01EA8">
                        <w:rPr>
                          <w:rFonts w:ascii="Roboto" w:eastAsia="Calibri" w:hAnsi="Roboto" w:cs="Calibri"/>
                          <w:color w:val="404040" w:themeColor="text1" w:themeTint="BF"/>
                          <w:sz w:val="20"/>
                          <w:szCs w:val="20"/>
                        </w:rPr>
                        <w:t xml:space="preserve">ppeal and administrative review mechanisms should be established to provide a mechanism for clients to challenge or seek review of Customs decisions.  </w:t>
                      </w:r>
                    </w:p>
                    <w:p w14:paraId="79B068DA" w14:textId="77777777" w:rsidR="00D15FD8" w:rsidRPr="00E01EA8" w:rsidRDefault="00D15FD8" w:rsidP="002D14C0">
                      <w:pPr>
                        <w:spacing w:line="259" w:lineRule="auto"/>
                        <w:suppressOverlap/>
                        <w:rPr>
                          <w:rFonts w:ascii="Roboto" w:eastAsia="Calibri" w:hAnsi="Roboto" w:cs="Calibri"/>
                          <w:b/>
                          <w:bCs/>
                          <w:color w:val="1E9A8C"/>
                          <w:sz w:val="20"/>
                          <w:szCs w:val="20"/>
                          <w:u w:val="single"/>
                        </w:rPr>
                      </w:pPr>
                      <w:r w:rsidRPr="00E01EA8">
                        <w:rPr>
                          <w:rFonts w:ascii="Roboto" w:eastAsia="Calibri" w:hAnsi="Roboto" w:cs="Calibri"/>
                          <w:b/>
                          <w:bCs/>
                          <w:color w:val="1E9A8C"/>
                          <w:sz w:val="20"/>
                          <w:szCs w:val="20"/>
                          <w:u w:val="single"/>
                        </w:rPr>
                        <w:t>Assessment frameworks:</w:t>
                      </w:r>
                    </w:p>
                    <w:p w14:paraId="7FB364DC" w14:textId="77777777" w:rsidR="00D15FD8" w:rsidRPr="00E01EA8" w:rsidRDefault="00D15FD8" w:rsidP="002D14C0">
                      <w:pPr>
                        <w:spacing w:line="259" w:lineRule="auto"/>
                        <w:suppressOverlap/>
                        <w:rPr>
                          <w:rFonts w:ascii="Roboto" w:eastAsia="Calibri" w:hAnsi="Roboto" w:cs="Calibri"/>
                          <w:b/>
                          <w:bCs/>
                          <w:color w:val="404040" w:themeColor="text1" w:themeTint="BF"/>
                          <w:sz w:val="20"/>
                          <w:szCs w:val="20"/>
                          <w:u w:val="single"/>
                        </w:rPr>
                      </w:pPr>
                    </w:p>
                    <w:p w14:paraId="20313AE5" w14:textId="77777777" w:rsidR="00D15FD8" w:rsidRPr="00E01EA8" w:rsidRDefault="00D15FD8" w:rsidP="002D14C0">
                      <w:pPr>
                        <w:suppressOverlap/>
                        <w:rPr>
                          <w:rFonts w:ascii="Roboto" w:eastAsia="Calibri" w:hAnsi="Roboto" w:cs="Calibri"/>
                          <w:color w:val="404040" w:themeColor="text1" w:themeTint="BF"/>
                          <w:sz w:val="20"/>
                          <w:szCs w:val="20"/>
                        </w:rPr>
                      </w:pPr>
                      <w:r w:rsidRPr="00E01EA8">
                        <w:rPr>
                          <w:rFonts w:ascii="Roboto" w:eastAsia="Calibri" w:hAnsi="Roboto" w:cs="Calibri"/>
                          <w:b/>
                          <w:bCs/>
                          <w:color w:val="404040" w:themeColor="text1" w:themeTint="BF"/>
                          <w:sz w:val="20"/>
                          <w:szCs w:val="20"/>
                        </w:rPr>
                        <w:t xml:space="preserve">PEFA: </w:t>
                      </w:r>
                      <w:hyperlink r:id="rId239" w:history="1">
                        <w:r w:rsidRPr="00E01EA8">
                          <w:rPr>
                            <w:rStyle w:val="Hyperlink"/>
                            <w:rFonts w:ascii="Roboto" w:eastAsia="Calibri" w:hAnsi="Roboto" w:cs="Calibri"/>
                            <w:color w:val="F26C21"/>
                            <w:sz w:val="20"/>
                            <w:szCs w:val="20"/>
                          </w:rPr>
                          <w:t>Framework for assessing public financial management</w:t>
                        </w:r>
                      </w:hyperlink>
                      <w:r w:rsidRPr="00E01EA8">
                        <w:rPr>
                          <w:rFonts w:ascii="Roboto" w:eastAsia="Calibri" w:hAnsi="Roboto" w:cs="Calibri"/>
                          <w:color w:val="F26C21"/>
                          <w:sz w:val="20"/>
                          <w:szCs w:val="20"/>
                        </w:rPr>
                        <w:t xml:space="preserve"> </w:t>
                      </w:r>
                      <w:r w:rsidRPr="00E01EA8">
                        <w:rPr>
                          <w:rFonts w:ascii="Roboto" w:eastAsia="Calibri" w:hAnsi="Roboto" w:cs="Calibri"/>
                          <w:color w:val="404040" w:themeColor="text1" w:themeTint="BF"/>
                          <w:sz w:val="20"/>
                          <w:szCs w:val="20"/>
                        </w:rPr>
                        <w:t xml:space="preserve">(2016): Assesses specific aspects of the legal basis for financial transactions in the public sector. </w:t>
                      </w:r>
                    </w:p>
                    <w:p w14:paraId="1BAD171F" w14:textId="77777777" w:rsidR="00D15FD8" w:rsidRPr="00E01EA8" w:rsidRDefault="00D15FD8" w:rsidP="002D14C0">
                      <w:pPr>
                        <w:suppressOverlap/>
                        <w:rPr>
                          <w:rFonts w:ascii="Roboto" w:eastAsia="Calibri" w:hAnsi="Roboto" w:cs="Calibri"/>
                          <w:color w:val="404040" w:themeColor="text1" w:themeTint="BF"/>
                          <w:sz w:val="20"/>
                          <w:szCs w:val="20"/>
                        </w:rPr>
                      </w:pPr>
                    </w:p>
                    <w:p w14:paraId="5A5CAF04" w14:textId="77777777" w:rsidR="00D15FD8" w:rsidRPr="00E01EA8" w:rsidRDefault="00D15FD8" w:rsidP="002D14C0">
                      <w:pPr>
                        <w:suppressOverlap/>
                        <w:rPr>
                          <w:rFonts w:ascii="Roboto" w:eastAsia="Calibri" w:hAnsi="Roboto" w:cs="Calibri"/>
                          <w:color w:val="404040" w:themeColor="text1" w:themeTint="BF"/>
                          <w:sz w:val="20"/>
                          <w:szCs w:val="20"/>
                        </w:rPr>
                      </w:pPr>
                      <w:r w:rsidRPr="00E01EA8">
                        <w:rPr>
                          <w:rFonts w:ascii="Roboto" w:eastAsia="Calibri" w:hAnsi="Roboto" w:cs="Calibri"/>
                          <w:b/>
                          <w:color w:val="404040" w:themeColor="text1" w:themeTint="BF"/>
                          <w:sz w:val="20"/>
                          <w:szCs w:val="20"/>
                        </w:rPr>
                        <w:t>IBP:</w:t>
                      </w:r>
                      <w:r w:rsidRPr="00E01EA8">
                        <w:rPr>
                          <w:rFonts w:ascii="Roboto" w:eastAsia="Calibri" w:hAnsi="Roboto" w:cs="Calibri"/>
                          <w:color w:val="404040" w:themeColor="text1" w:themeTint="BF"/>
                          <w:sz w:val="20"/>
                          <w:szCs w:val="20"/>
                        </w:rPr>
                        <w:t xml:space="preserve"> </w:t>
                      </w:r>
                      <w:hyperlink r:id="rId240" w:history="1">
                        <w:r w:rsidRPr="00E01EA8">
                          <w:rPr>
                            <w:rStyle w:val="Hyperlink"/>
                            <w:rFonts w:ascii="Roboto" w:eastAsia="Calibri" w:hAnsi="Roboto" w:cs="Calibri"/>
                            <w:color w:val="F26C21"/>
                            <w:sz w:val="20"/>
                            <w:szCs w:val="20"/>
                          </w:rPr>
                          <w:t>Open Budget Survey</w:t>
                        </w:r>
                      </w:hyperlink>
                      <w:r w:rsidRPr="00E01EA8">
                        <w:rPr>
                          <w:rFonts w:ascii="Roboto" w:eastAsia="Calibri" w:hAnsi="Roboto" w:cs="Calibri"/>
                          <w:color w:val="404040" w:themeColor="text1" w:themeTint="BF"/>
                          <w:sz w:val="20"/>
                          <w:szCs w:val="20"/>
                        </w:rPr>
                        <w:t xml:space="preserve"> (OBS): Covers several aspects of the legislature’s role in approving the executive’s budget proposals.</w:t>
                      </w:r>
                    </w:p>
                    <w:p w14:paraId="30B3137B" w14:textId="77777777" w:rsidR="00D15FD8" w:rsidRPr="00E01EA8" w:rsidRDefault="00D15FD8" w:rsidP="002D14C0">
                      <w:pPr>
                        <w:suppressOverlap/>
                        <w:rPr>
                          <w:rFonts w:ascii="Roboto" w:eastAsia="Calibri" w:hAnsi="Roboto" w:cs="Calibri"/>
                          <w:color w:val="404040" w:themeColor="text1" w:themeTint="BF"/>
                          <w:sz w:val="20"/>
                          <w:szCs w:val="20"/>
                        </w:rPr>
                      </w:pPr>
                    </w:p>
                    <w:p w14:paraId="60FF2628" w14:textId="77777777" w:rsidR="00D15FD8" w:rsidRPr="00E01EA8" w:rsidRDefault="00D15FD8" w:rsidP="002D14C0">
                      <w:pPr>
                        <w:rPr>
                          <w:rFonts w:ascii="Roboto" w:hAnsi="Roboto"/>
                          <w:sz w:val="20"/>
                          <w:szCs w:val="20"/>
                        </w:rPr>
                      </w:pPr>
                      <w:r w:rsidRPr="00E01EA8">
                        <w:rPr>
                          <w:rFonts w:ascii="Roboto" w:eastAsia="Calibri" w:hAnsi="Roboto" w:cs="Calibri"/>
                          <w:b/>
                          <w:color w:val="404040" w:themeColor="text1" w:themeTint="BF"/>
                          <w:sz w:val="20"/>
                          <w:szCs w:val="20"/>
                        </w:rPr>
                        <w:t>IMF and partners:</w:t>
                      </w:r>
                      <w:r w:rsidRPr="00E01EA8">
                        <w:rPr>
                          <w:rFonts w:ascii="Roboto" w:eastAsia="Calibri" w:hAnsi="Roboto" w:cs="Calibri"/>
                          <w:color w:val="404040" w:themeColor="text1" w:themeTint="BF"/>
                          <w:sz w:val="20"/>
                          <w:szCs w:val="20"/>
                        </w:rPr>
                        <w:t xml:space="preserve"> </w:t>
                      </w:r>
                      <w:hyperlink r:id="rId241" w:history="1">
                        <w:r w:rsidRPr="00E01EA8">
                          <w:rPr>
                            <w:rStyle w:val="Hyperlink"/>
                            <w:rFonts w:ascii="Roboto" w:eastAsia="Calibri" w:hAnsi="Roboto" w:cs="Calibri"/>
                            <w:color w:val="F26C21"/>
                            <w:sz w:val="20"/>
                            <w:szCs w:val="20"/>
                          </w:rPr>
                          <w:t>Tax Administration Diagnostic Assessment Tool (TADAT)</w:t>
                        </w:r>
                      </w:hyperlink>
                      <w:r w:rsidRPr="00E01EA8">
                        <w:rPr>
                          <w:rFonts w:ascii="Roboto" w:eastAsia="Calibri" w:hAnsi="Roboto" w:cs="Calibri"/>
                          <w:color w:val="F26C21"/>
                          <w:sz w:val="20"/>
                          <w:szCs w:val="20"/>
                          <w:u w:val="single"/>
                        </w:rPr>
                        <w:t>:</w:t>
                      </w:r>
                      <w:r w:rsidRPr="00E01EA8">
                        <w:rPr>
                          <w:rFonts w:ascii="Roboto" w:eastAsia="Calibri" w:hAnsi="Roboto" w:cs="Calibri"/>
                          <w:color w:val="404040" w:themeColor="text1" w:themeTint="BF"/>
                          <w:sz w:val="20"/>
                          <w:szCs w:val="20"/>
                        </w:rPr>
                        <w:t xml:space="preserve"> Contains performance indicators directly related to the rule of law.</w:t>
                      </w:r>
                    </w:p>
                  </w:txbxContent>
                </v:textbox>
                <w10:wrap anchorx="margin" anchory="margin"/>
              </v:shape>
            </w:pict>
          </mc:Fallback>
        </mc:AlternateContent>
      </w:r>
    </w:p>
    <w:p w14:paraId="4F611D48" w14:textId="68A322BB" w:rsidR="00203FAB" w:rsidRDefault="00203FAB" w:rsidP="002D14C0">
      <w:pPr>
        <w:jc w:val="center"/>
        <w:rPr>
          <w:rFonts w:ascii="Roboto" w:hAnsi="Roboto"/>
        </w:rPr>
      </w:pPr>
    </w:p>
    <w:p w14:paraId="5BAD2F8B" w14:textId="5D65D863" w:rsidR="00203FAB" w:rsidRDefault="00203FAB" w:rsidP="002D14C0">
      <w:pPr>
        <w:rPr>
          <w:rFonts w:ascii="Roboto" w:hAnsi="Roboto"/>
        </w:rPr>
      </w:pPr>
    </w:p>
    <w:p w14:paraId="1E05BFEA" w14:textId="0E9CC8A0" w:rsidR="00203FAB" w:rsidRPr="00E01EA8" w:rsidRDefault="00203FAB" w:rsidP="002D14C0">
      <w:pPr>
        <w:rPr>
          <w:rFonts w:ascii="Roboto" w:hAnsi="Roboto"/>
        </w:rPr>
      </w:pPr>
    </w:p>
    <w:p w14:paraId="5DA0345F" w14:textId="214EE32A" w:rsidR="00203FAB" w:rsidRPr="00E01EA8" w:rsidRDefault="00203FAB" w:rsidP="002D14C0">
      <w:pPr>
        <w:rPr>
          <w:rFonts w:ascii="Roboto" w:hAnsi="Roboto"/>
        </w:rPr>
      </w:pPr>
    </w:p>
    <w:p w14:paraId="6605FB79" w14:textId="751A3BB1" w:rsidR="00203FAB" w:rsidRPr="00E01EA8" w:rsidRDefault="00203FAB" w:rsidP="002D14C0">
      <w:pPr>
        <w:rPr>
          <w:rFonts w:ascii="Roboto" w:hAnsi="Roboto"/>
        </w:rPr>
      </w:pPr>
    </w:p>
    <w:p w14:paraId="0E8D3E6E" w14:textId="6D030673" w:rsidR="00203FAB" w:rsidRPr="00E01EA8" w:rsidRDefault="00203FAB" w:rsidP="002D14C0">
      <w:pPr>
        <w:rPr>
          <w:rFonts w:ascii="Roboto" w:hAnsi="Roboto"/>
        </w:rPr>
      </w:pPr>
    </w:p>
    <w:p w14:paraId="5BA0C3E5" w14:textId="1EB91CC3" w:rsidR="00203FAB" w:rsidRPr="00E01EA8" w:rsidRDefault="00203FAB" w:rsidP="002D14C0">
      <w:pPr>
        <w:rPr>
          <w:rFonts w:ascii="Roboto" w:hAnsi="Roboto"/>
        </w:rPr>
      </w:pPr>
    </w:p>
    <w:p w14:paraId="41882266" w14:textId="4778F49C" w:rsidR="00203FAB" w:rsidRPr="00E01EA8" w:rsidRDefault="00203FAB" w:rsidP="002D14C0">
      <w:pPr>
        <w:rPr>
          <w:rFonts w:ascii="Roboto" w:hAnsi="Roboto"/>
        </w:rPr>
      </w:pPr>
    </w:p>
    <w:p w14:paraId="1E9C86B6" w14:textId="63381A26" w:rsidR="00203FAB" w:rsidRPr="00E01EA8" w:rsidRDefault="00203FAB" w:rsidP="002D14C0">
      <w:pPr>
        <w:rPr>
          <w:rFonts w:ascii="Roboto" w:hAnsi="Roboto"/>
        </w:rPr>
      </w:pPr>
    </w:p>
    <w:p w14:paraId="75E8BDEB" w14:textId="58EFFB73" w:rsidR="00203FAB" w:rsidRPr="00E01EA8" w:rsidRDefault="00203FAB" w:rsidP="002D14C0">
      <w:pPr>
        <w:rPr>
          <w:rFonts w:ascii="Roboto" w:hAnsi="Roboto"/>
        </w:rPr>
      </w:pPr>
    </w:p>
    <w:p w14:paraId="7CCADD59" w14:textId="38DA17C2" w:rsidR="00203FAB" w:rsidRPr="00E01EA8" w:rsidRDefault="00203FAB" w:rsidP="002D14C0">
      <w:pPr>
        <w:rPr>
          <w:rFonts w:ascii="Roboto" w:hAnsi="Roboto"/>
        </w:rPr>
      </w:pPr>
    </w:p>
    <w:p w14:paraId="0D9A9EA3" w14:textId="7E204922" w:rsidR="00203FAB" w:rsidRPr="00E01EA8" w:rsidRDefault="00203FAB" w:rsidP="002D14C0">
      <w:pPr>
        <w:rPr>
          <w:rFonts w:ascii="Roboto" w:hAnsi="Roboto"/>
        </w:rPr>
      </w:pPr>
    </w:p>
    <w:p w14:paraId="7FC49E11" w14:textId="37A28906" w:rsidR="00203FAB" w:rsidRPr="00E01EA8"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63070" behindDoc="0" locked="0" layoutInCell="1" allowOverlap="1" wp14:anchorId="0B41C620" wp14:editId="7F09EA8A">
                <wp:simplePos x="0" y="0"/>
                <wp:positionH relativeFrom="column">
                  <wp:posOffset>-3610610</wp:posOffset>
                </wp:positionH>
                <wp:positionV relativeFrom="paragraph">
                  <wp:posOffset>448945</wp:posOffset>
                </wp:positionV>
                <wp:extent cx="5976620" cy="252095"/>
                <wp:effectExtent l="0" t="0" r="0" b="0"/>
                <wp:wrapNone/>
                <wp:docPr id="180" name="Text Box 180"/>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3D9E4F80" w14:textId="2D6131D6"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41C620" id="Text Box 180" o:spid="_x0000_s1148" type="#_x0000_t202" style="position:absolute;margin-left:-284.3pt;margin-top:35.35pt;width:470.6pt;height:19.85pt;rotation:90;z-index:2553630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" filled="f" stroked="f" strokeweight=".5pt">
                <v:textbox>
                  <w:txbxContent>
                    <w:p w14:paraId="3D9E4F80" w14:textId="2D6131D6"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38</w:t>
                      </w:r>
                    </w:p>
                  </w:txbxContent>
                </v:textbox>
              </v:shape>
            </w:pict>
          </mc:Fallback>
        </mc:AlternateContent>
      </w:r>
    </w:p>
    <w:p w14:paraId="34F0DDA0" w14:textId="13ACBB92" w:rsidR="00203FAB" w:rsidRPr="00E01EA8" w:rsidRDefault="00203FAB" w:rsidP="002D14C0">
      <w:pPr>
        <w:rPr>
          <w:rFonts w:ascii="Roboto" w:hAnsi="Roboto"/>
        </w:rPr>
      </w:pPr>
    </w:p>
    <w:p w14:paraId="177308E3" w14:textId="00837EFD" w:rsidR="00203FAB" w:rsidRPr="00E01EA8"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62046" behindDoc="0" locked="0" layoutInCell="1" allowOverlap="1" wp14:anchorId="53AF8056" wp14:editId="07FD3C06">
                <wp:simplePos x="0" y="0"/>
                <wp:positionH relativeFrom="column">
                  <wp:posOffset>6517640</wp:posOffset>
                </wp:positionH>
                <wp:positionV relativeFrom="paragraph">
                  <wp:posOffset>128905</wp:posOffset>
                </wp:positionV>
                <wp:extent cx="5976620" cy="252095"/>
                <wp:effectExtent l="4762" t="0" r="0" b="0"/>
                <wp:wrapNone/>
                <wp:docPr id="179" name="Text Box 179"/>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50BC8B27" w14:textId="10D96AAC"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806463784"/>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C332B89"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AF8056" id="Text Box 179" o:spid="_x0000_s1149" type="#_x0000_t202" style="position:absolute;margin-left:513.2pt;margin-top:10.15pt;width:470.6pt;height:19.85pt;rotation:90;z-index:2553620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" fillcolor="white [3201]" stroked="f" strokeweight=".5pt">
                <v:textbox>
                  <w:txbxContent>
                    <w:p w14:paraId="50BC8B27" w14:textId="10D96AAC"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806463784"/>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C332B89" w14:textId="77777777" w:rsidR="00D15FD8" w:rsidRDefault="00D15FD8" w:rsidP="003D7CCB"/>
                  </w:txbxContent>
                </v:textbox>
              </v:shape>
            </w:pict>
          </mc:Fallback>
        </mc:AlternateContent>
      </w:r>
    </w:p>
    <w:p w14:paraId="3328A410" w14:textId="1DB27831" w:rsidR="00203FAB" w:rsidRPr="00E01EA8" w:rsidRDefault="00203FAB" w:rsidP="002D14C0">
      <w:pPr>
        <w:rPr>
          <w:rFonts w:ascii="Roboto" w:hAnsi="Roboto"/>
        </w:rPr>
      </w:pPr>
    </w:p>
    <w:p w14:paraId="392ACB1C" w14:textId="4BD71EE3" w:rsidR="00203FAB" w:rsidRPr="00E01EA8" w:rsidRDefault="00203FAB" w:rsidP="002D14C0">
      <w:pPr>
        <w:rPr>
          <w:rFonts w:ascii="Roboto" w:hAnsi="Roboto"/>
        </w:rPr>
      </w:pPr>
    </w:p>
    <w:p w14:paraId="39BECE15" w14:textId="7D2FD6BC" w:rsidR="00203FAB" w:rsidRPr="00E01EA8" w:rsidRDefault="00203FAB" w:rsidP="002D14C0">
      <w:pPr>
        <w:rPr>
          <w:rFonts w:ascii="Roboto" w:hAnsi="Roboto"/>
        </w:rPr>
      </w:pPr>
    </w:p>
    <w:p w14:paraId="67F4DE75" w14:textId="126C6230" w:rsidR="00203FAB" w:rsidRPr="00E01EA8" w:rsidRDefault="00203FAB" w:rsidP="002D14C0">
      <w:pPr>
        <w:rPr>
          <w:rFonts w:ascii="Roboto" w:hAnsi="Roboto"/>
        </w:rPr>
      </w:pPr>
    </w:p>
    <w:p w14:paraId="38071EBF" w14:textId="77777777" w:rsidR="00203FAB" w:rsidRDefault="00203FAB" w:rsidP="002D14C0">
      <w:pPr>
        <w:tabs>
          <w:tab w:val="left" w:pos="5192"/>
        </w:tabs>
        <w:rPr>
          <w:rFonts w:ascii="Roboto" w:hAnsi="Roboto"/>
        </w:rPr>
      </w:pPr>
      <w:r>
        <w:rPr>
          <w:rFonts w:ascii="Roboto" w:hAnsi="Roboto"/>
        </w:rPr>
        <w:tab/>
      </w:r>
    </w:p>
    <w:p w14:paraId="043362FA" w14:textId="79723017" w:rsidR="00203FAB" w:rsidRDefault="00203FAB" w:rsidP="002D14C0">
      <w:pPr>
        <w:tabs>
          <w:tab w:val="left" w:pos="5192"/>
        </w:tabs>
        <w:rPr>
          <w:rFonts w:ascii="Roboto" w:hAnsi="Roboto"/>
        </w:rPr>
      </w:pPr>
    </w:p>
    <w:p w14:paraId="4268BF47" w14:textId="26FD4572"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68542" behindDoc="0" locked="0" layoutInCell="1" allowOverlap="1" wp14:anchorId="3898E113" wp14:editId="5A3EC464">
                <wp:simplePos x="0" y="0"/>
                <wp:positionH relativeFrom="column">
                  <wp:posOffset>5296395</wp:posOffset>
                </wp:positionH>
                <wp:positionV relativeFrom="paragraph">
                  <wp:posOffset>2068740</wp:posOffset>
                </wp:positionV>
                <wp:extent cx="3878317" cy="387415"/>
                <wp:effectExtent l="0" t="0" r="8255" b="0"/>
                <wp:wrapNone/>
                <wp:docPr id="387" name="Rectangle 387"/>
                <wp:cNvGraphicFramePr/>
                <a:graphic xmlns:a="http://schemas.openxmlformats.org/drawingml/2006/main">
                  <a:graphicData uri="http://schemas.microsoft.com/office/word/2010/wordprocessingShape">
                    <wps:wsp>
                      <wps:cNvSpPr/>
                      <wps:spPr>
                        <a:xfrm>
                          <a:off x="0" y="0"/>
                          <a:ext cx="3878317" cy="3874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1EA886EA" id="Rectangle 387" o:spid="_x0000_s1026" style="position:absolute;margin-left:417.05pt;margin-top:162.9pt;width:305.4pt;height:30.5pt;z-index:2554685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" fillcolor="white [3212]" stroked="f" strokeweight="1pt"/>
            </w:pict>
          </mc:Fallback>
        </mc:AlternateContent>
      </w:r>
      <w:r w:rsidR="00CC3EBD">
        <w:rPr>
          <w:rFonts w:ascii="Roboto" w:hAnsi="Roboto"/>
        </w:rPr>
        <w:br w:type="page"/>
      </w:r>
      <w:r w:rsidR="00783364">
        <w:rPr>
          <w:rFonts w:ascii="Arial" w:hAnsi="Arial" w:cs="Arial"/>
          <w:noProof/>
          <w:sz w:val="24"/>
          <w:szCs w:val="24"/>
          <w:lang w:val="en-US"/>
        </w:rPr>
        <mc:AlternateContent>
          <mc:Choice Requires="wps">
            <w:drawing>
              <wp:anchor distT="0" distB="0" distL="114300" distR="114300" simplePos="0" relativeHeight="254743550" behindDoc="1" locked="0" layoutInCell="1" allowOverlap="1" wp14:anchorId="50E423F5" wp14:editId="6BB7030A">
                <wp:simplePos x="0" y="0"/>
                <wp:positionH relativeFrom="margin">
                  <wp:align>center</wp:align>
                </wp:positionH>
                <wp:positionV relativeFrom="margin">
                  <wp:align>center</wp:align>
                </wp:positionV>
                <wp:extent cx="9856189" cy="5969000"/>
                <wp:effectExtent l="12700" t="12700" r="12065" b="12700"/>
                <wp:wrapNone/>
                <wp:docPr id="2605" name="Rectangle 2605"/>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13A7C2A3" id="Rectangle 2605" o:spid="_x0000_s1026" style="position:absolute;margin-left:0;margin-top:0;width:776.1pt;height:470pt;z-index:-24857293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16422F23" w14:textId="7687AC99" w:rsidR="00E74316" w:rsidRDefault="009918CC" w:rsidP="002D14C0">
      <w:pPr>
        <w:tabs>
          <w:tab w:val="left" w:pos="5192"/>
        </w:tabs>
        <w:rPr>
          <w:rFonts w:ascii="Roboto" w:hAnsi="Roboto"/>
        </w:rPr>
      </w:pPr>
      <w:r>
        <w:rPr>
          <w:rFonts w:ascii="Roboto" w:hAnsi="Roboto"/>
          <w:noProof/>
          <w:lang w:val="en-US"/>
        </w:rPr>
        <w:lastRenderedPageBreak/>
        <mc:AlternateContent>
          <mc:Choice Requires="wps">
            <w:drawing>
              <wp:anchor distT="0" distB="0" distL="114300" distR="114300" simplePos="0" relativeHeight="255470590" behindDoc="0" locked="0" layoutInCell="1" allowOverlap="1" wp14:anchorId="66C44A9E" wp14:editId="60378A66">
                <wp:simplePos x="0" y="0"/>
                <wp:positionH relativeFrom="column">
                  <wp:posOffset>-251942</wp:posOffset>
                </wp:positionH>
                <wp:positionV relativeFrom="paragraph">
                  <wp:posOffset>-520612</wp:posOffset>
                </wp:positionV>
                <wp:extent cx="3878317" cy="268014"/>
                <wp:effectExtent l="0" t="0" r="0" b="0"/>
                <wp:wrapNone/>
                <wp:docPr id="388" name="Rectangle 388"/>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4E3E8497" id="Rectangle 388" o:spid="_x0000_s1026" style="position:absolute;margin-left:-19.85pt;margin-top:-41pt;width:305.4pt;height:21.1pt;z-index:2554705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" fillcolor="white [3212]" stroked="f" strokeweight="1pt"/>
            </w:pict>
          </mc:Fallback>
        </mc:AlternateContent>
      </w:r>
      <w:r w:rsidR="00783364">
        <w:rPr>
          <w:rFonts w:ascii="Roboto" w:hAnsi="Roboto"/>
          <w:noProof/>
          <w:lang w:val="en-US"/>
        </w:rPr>
        <w:drawing>
          <wp:anchor distT="0" distB="0" distL="114300" distR="114300" simplePos="0" relativeHeight="254746622" behindDoc="1" locked="0" layoutInCell="1" allowOverlap="1" wp14:anchorId="5B5E6EA8" wp14:editId="5BEA9F63">
            <wp:simplePos x="0" y="0"/>
            <wp:positionH relativeFrom="column">
              <wp:posOffset>-76200</wp:posOffset>
            </wp:positionH>
            <wp:positionV relativeFrom="paragraph">
              <wp:posOffset>101600</wp:posOffset>
            </wp:positionV>
            <wp:extent cx="3060000" cy="612000"/>
            <wp:effectExtent l="0" t="0" r="0" b="0"/>
            <wp:wrapTight wrapText="bothSides">
              <wp:wrapPolygon edited="0">
                <wp:start x="1704" y="1346"/>
                <wp:lineTo x="1255" y="3140"/>
                <wp:lineTo x="359" y="7626"/>
                <wp:lineTo x="359" y="11215"/>
                <wp:lineTo x="807" y="16598"/>
                <wp:lineTo x="1614" y="18841"/>
                <wp:lineTo x="1704" y="19738"/>
                <wp:lineTo x="20533" y="19738"/>
                <wp:lineTo x="20623" y="18841"/>
                <wp:lineTo x="21071" y="16598"/>
                <wp:lineTo x="21340" y="3140"/>
                <wp:lineTo x="19726" y="2692"/>
                <wp:lineTo x="2690" y="1346"/>
                <wp:lineTo x="1704" y="1346"/>
              </wp:wrapPolygon>
            </wp:wrapTight>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6_Icon_titles_quarterof1920-01.png"/>
                    <pic:cNvPicPr/>
                  </pic:nvPicPr>
                  <pic:blipFill>
                    <a:blip r:embed="rId242" cstate="email">
                      <a:extLst>
                        <a:ext uri="{28A0092B-C50C-407E-A947-70E740481C1C}">
                          <a14:useLocalDpi xmlns:a14="http://schemas.microsoft.com/office/drawing/2010/main"/>
                        </a:ext>
                      </a:extLst>
                    </a:blip>
                    <a:stretch>
                      <a:fillRect/>
                    </a:stretch>
                  </pic:blipFill>
                  <pic:spPr>
                    <a:xfrm>
                      <a:off x="0" y="0"/>
                      <a:ext cx="3060000" cy="612000"/>
                    </a:xfrm>
                    <a:prstGeom prst="rect">
                      <a:avLst/>
                    </a:prstGeom>
                  </pic:spPr>
                </pic:pic>
              </a:graphicData>
            </a:graphic>
            <wp14:sizeRelH relativeFrom="page">
              <wp14:pctWidth>0</wp14:pctWidth>
            </wp14:sizeRelH>
            <wp14:sizeRelV relativeFrom="page">
              <wp14:pctHeight>0</wp14:pctHeight>
            </wp14:sizeRelV>
          </wp:anchor>
        </w:drawing>
      </w:r>
    </w:p>
    <w:p w14:paraId="674911DF" w14:textId="26FDED5C" w:rsidR="00203FAB" w:rsidRDefault="00783364" w:rsidP="002D14C0">
      <w:pPr>
        <w:tabs>
          <w:tab w:val="left" w:pos="5192"/>
        </w:tabs>
        <w:rPr>
          <w:rFonts w:ascii="Roboto" w:hAnsi="Roboto"/>
        </w:rPr>
      </w:pPr>
      <w:r>
        <w:rPr>
          <w:rFonts w:ascii="Arial" w:hAnsi="Arial" w:cs="Arial"/>
          <w:noProof/>
          <w:sz w:val="24"/>
          <w:szCs w:val="24"/>
          <w:lang w:val="en-US"/>
        </w:rPr>
        <mc:AlternateContent>
          <mc:Choice Requires="wps">
            <w:drawing>
              <wp:anchor distT="0" distB="0" distL="114300" distR="114300" simplePos="0" relativeHeight="254745598" behindDoc="1" locked="0" layoutInCell="1" allowOverlap="1" wp14:anchorId="1D3AC9BF" wp14:editId="4FD6A667">
                <wp:simplePos x="0" y="0"/>
                <wp:positionH relativeFrom="margin">
                  <wp:align>center</wp:align>
                </wp:positionH>
                <wp:positionV relativeFrom="margin">
                  <wp:align>center</wp:align>
                </wp:positionV>
                <wp:extent cx="9856189" cy="5969000"/>
                <wp:effectExtent l="12700" t="12700" r="12065" b="12700"/>
                <wp:wrapNone/>
                <wp:docPr id="2606" name="Rectangle 2606"/>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6815BAAD" id="Rectangle 2606" o:spid="_x0000_s1026" style="position:absolute;margin-left:0;margin-top:0;width:776.1pt;height:470pt;z-index:-24857088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" fillcolor="#f2f2f2 [3052]" strokecolor="#16988a" strokeweight="1.5pt">
                <w10:wrap anchorx="margin" anchory="margin"/>
              </v:rect>
            </w:pict>
          </mc:Fallback>
        </mc:AlternateContent>
      </w:r>
    </w:p>
    <w:p w14:paraId="793F737F" w14:textId="25ED4801" w:rsidR="00203FAB" w:rsidRDefault="00203FAB" w:rsidP="002D14C0">
      <w:pPr>
        <w:tabs>
          <w:tab w:val="left" w:pos="5192"/>
        </w:tabs>
        <w:rPr>
          <w:rFonts w:ascii="Roboto" w:hAnsi="Roboto"/>
        </w:rPr>
      </w:pPr>
    </w:p>
    <w:p w14:paraId="123EC706" w14:textId="7C66D4E0" w:rsidR="00203FAB" w:rsidRDefault="00203FAB" w:rsidP="002D14C0">
      <w:pPr>
        <w:tabs>
          <w:tab w:val="left" w:pos="5192"/>
        </w:tabs>
        <w:rPr>
          <w:rFonts w:ascii="Roboto" w:hAnsi="Roboto"/>
        </w:rPr>
      </w:pPr>
    </w:p>
    <w:p w14:paraId="0D65FCA3" w14:textId="0C68A374" w:rsidR="00203FAB" w:rsidRPr="00E01EA8" w:rsidRDefault="00E35CE5" w:rsidP="002D14C0">
      <w:pPr>
        <w:rPr>
          <w:rFonts w:ascii="Roboto" w:hAnsi="Roboto"/>
        </w:rPr>
      </w:pPr>
      <w:r w:rsidRPr="00E01EA8">
        <w:rPr>
          <w:rFonts w:ascii="Roboto" w:hAnsi="Roboto"/>
          <w:noProof/>
          <w:lang w:val="en-US"/>
        </w:rPr>
        <mc:AlternateContent>
          <mc:Choice Requires="wps">
            <w:drawing>
              <wp:anchor distT="0" distB="0" distL="114300" distR="114300" simplePos="0" relativeHeight="253645309" behindDoc="0" locked="0" layoutInCell="1" allowOverlap="1" wp14:anchorId="3A2986D0" wp14:editId="47C00EE1">
                <wp:simplePos x="0" y="0"/>
                <wp:positionH relativeFrom="margin">
                  <wp:posOffset>-635</wp:posOffset>
                </wp:positionH>
                <wp:positionV relativeFrom="paragraph">
                  <wp:posOffset>13970</wp:posOffset>
                </wp:positionV>
                <wp:extent cx="8847455" cy="570230"/>
                <wp:effectExtent l="0" t="0" r="17145" b="13970"/>
                <wp:wrapNone/>
                <wp:docPr id="1925" name="Rounded Rectangle 1925"/>
                <wp:cNvGraphicFramePr/>
                <a:graphic xmlns:a="http://schemas.openxmlformats.org/drawingml/2006/main">
                  <a:graphicData uri="http://schemas.microsoft.com/office/word/2010/wordprocessingShape">
                    <wps:wsp>
                      <wps:cNvSpPr/>
                      <wps:spPr>
                        <a:xfrm>
                          <a:off x="0" y="0"/>
                          <a:ext cx="8847455" cy="570230"/>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4BE0527" id="Rounded Rectangle 1925" o:spid="_x0000_s1026" style="position:absolute;margin-left:-.05pt;margin-top:1.1pt;width:696.65pt;height:44.9pt;z-index:253645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" filled="f" strokecolor="#f26c21" strokeweight="1pt">
                <v:stroke joinstyle="miter"/>
                <w10:wrap anchorx="margin"/>
              </v:roundrect>
            </w:pict>
          </mc:Fallback>
        </mc:AlternateContent>
      </w:r>
      <w:r w:rsidRPr="00E01EA8">
        <w:rPr>
          <w:rFonts w:ascii="Roboto" w:hAnsi="Roboto"/>
          <w:noProof/>
          <w:lang w:val="en-US"/>
        </w:rPr>
        <mc:AlternateContent>
          <mc:Choice Requires="wps">
            <w:drawing>
              <wp:anchor distT="0" distB="0" distL="114300" distR="114300" simplePos="0" relativeHeight="253647870" behindDoc="0" locked="0" layoutInCell="1" allowOverlap="1" wp14:anchorId="24481CA9" wp14:editId="3A86282D">
                <wp:simplePos x="0" y="0"/>
                <wp:positionH relativeFrom="margin">
                  <wp:posOffset>177165</wp:posOffset>
                </wp:positionH>
                <wp:positionV relativeFrom="paragraph">
                  <wp:posOffset>37465</wp:posOffset>
                </wp:positionV>
                <wp:extent cx="8509000" cy="527685"/>
                <wp:effectExtent l="0" t="0" r="0" b="0"/>
                <wp:wrapNone/>
                <wp:docPr id="1924" name="Text Box 1924"/>
                <wp:cNvGraphicFramePr/>
                <a:graphic xmlns:a="http://schemas.openxmlformats.org/drawingml/2006/main">
                  <a:graphicData uri="http://schemas.microsoft.com/office/word/2010/wordprocessingShape">
                    <wps:wsp>
                      <wps:cNvSpPr txBox="1"/>
                      <wps:spPr>
                        <a:xfrm>
                          <a:off x="0" y="0"/>
                          <a:ext cx="8509000" cy="52768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1EDF16C1" w14:textId="77777777" w:rsidR="00D15FD8" w:rsidRPr="007867F2" w:rsidRDefault="00D15FD8" w:rsidP="002D14C0">
                            <w:pPr>
                              <w:spacing w:line="360" w:lineRule="auto"/>
                              <w:rPr>
                                <w:sz w:val="20"/>
                                <w:szCs w:val="20"/>
                              </w:rPr>
                            </w:pPr>
                            <w:r w:rsidRPr="00E01EA8">
                              <w:rPr>
                                <w:rFonts w:ascii="Roboto" w:hAnsi="Roboto"/>
                                <w:b/>
                                <w:color w:val="F26C21"/>
                                <w:sz w:val="20"/>
                                <w:szCs w:val="20"/>
                              </w:rPr>
                              <w:t>The Government sector should be clearly defined and identified for the purposes of reporting, transparency, and accountability, and government financial relationships with the private sector should be disclosed, conducted in an open manner, and follow clear rules and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81CA9" id="Text Box 1924" o:spid="_x0000_s1150" type="#_x0000_t202" style="position:absolute;margin-left:13.95pt;margin-top:2.95pt;width:670pt;height:41.55pt;z-index:2536478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" filled="f" stroked="f" strokeweight="1pt">
                <v:textbox>
                  <w:txbxContent>
                    <w:p w14:paraId="1EDF16C1" w14:textId="77777777" w:rsidR="00D15FD8" w:rsidRPr="007867F2" w:rsidRDefault="00D15FD8" w:rsidP="002D14C0">
                      <w:pPr>
                        <w:spacing w:line="360" w:lineRule="auto"/>
                        <w:rPr>
                          <w:sz w:val="20"/>
                          <w:szCs w:val="20"/>
                        </w:rPr>
                      </w:pPr>
                      <w:r w:rsidRPr="00E01EA8">
                        <w:rPr>
                          <w:rFonts w:ascii="Roboto" w:hAnsi="Roboto"/>
                          <w:b/>
                          <w:color w:val="F26C21"/>
                          <w:sz w:val="20"/>
                          <w:szCs w:val="20"/>
                        </w:rPr>
                        <w:t>The Government sector should be clearly defined and identified for the purposes of reporting, transparency, and accountability, and government financial relationships with the private sector should be disclosed, conducted in an open manner, and follow clear rules and procedures.</w:t>
                      </w:r>
                    </w:p>
                  </w:txbxContent>
                </v:textbox>
                <w10:wrap anchorx="margin"/>
              </v:shape>
            </w:pict>
          </mc:Fallback>
        </mc:AlternateContent>
      </w:r>
    </w:p>
    <w:p w14:paraId="1C99A952" w14:textId="66A251D1" w:rsidR="00203FAB" w:rsidRDefault="00203FAB" w:rsidP="002D14C0">
      <w:pPr>
        <w:rPr>
          <w:rFonts w:ascii="Roboto" w:hAnsi="Roboto"/>
        </w:rPr>
      </w:pPr>
    </w:p>
    <w:p w14:paraId="4E0179CB" w14:textId="3D5E1531" w:rsidR="00203FAB" w:rsidRDefault="00203FAB" w:rsidP="002D14C0">
      <w:pPr>
        <w:rPr>
          <w:rFonts w:ascii="Roboto" w:hAnsi="Roboto"/>
        </w:rPr>
      </w:pPr>
    </w:p>
    <w:p w14:paraId="29AA33C5" w14:textId="20A0CC07" w:rsidR="00203FAB" w:rsidRPr="006A6C50" w:rsidRDefault="00E35CE5" w:rsidP="002D14C0">
      <w:pPr>
        <w:rPr>
          <w:rFonts w:ascii="Roboto" w:hAnsi="Roboto"/>
        </w:rPr>
      </w:pPr>
      <w:r>
        <w:rPr>
          <w:rFonts w:ascii="Roboto" w:hAnsi="Roboto"/>
          <w:noProof/>
          <w:lang w:val="en-US"/>
        </w:rPr>
        <w:drawing>
          <wp:anchor distT="0" distB="0" distL="114300" distR="114300" simplePos="0" relativeHeight="253649918" behindDoc="1" locked="0" layoutInCell="1" allowOverlap="1" wp14:anchorId="4FF0019F" wp14:editId="62808224">
            <wp:simplePos x="0" y="0"/>
            <wp:positionH relativeFrom="margin">
              <wp:align>center</wp:align>
            </wp:positionH>
            <wp:positionV relativeFrom="paragraph">
              <wp:posOffset>105410</wp:posOffset>
            </wp:positionV>
            <wp:extent cx="8882380" cy="287655"/>
            <wp:effectExtent l="0" t="0" r="0" b="0"/>
            <wp:wrapTight wrapText="bothSides">
              <wp:wrapPolygon edited="0">
                <wp:start x="185" y="7629"/>
                <wp:lineTo x="185" y="13351"/>
                <wp:lineTo x="21341" y="13351"/>
                <wp:lineTo x="21341" y="7629"/>
                <wp:lineTo x="185" y="7629"/>
              </wp:wrapPolygon>
            </wp:wrapTight>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p>
    <w:p w14:paraId="0190C9F0" w14:textId="3D1786ED" w:rsidR="00203FAB" w:rsidRPr="006A6C50" w:rsidRDefault="006348C8" w:rsidP="002D14C0">
      <w:pPr>
        <w:rPr>
          <w:rFonts w:ascii="Roboto" w:hAnsi="Roboto"/>
        </w:rPr>
      </w:pPr>
      <w:r w:rsidRPr="00E01EA8">
        <w:rPr>
          <w:rFonts w:ascii="Roboto" w:hAnsi="Roboto"/>
          <w:noProof/>
          <w:lang w:val="en-US"/>
        </w:rPr>
        <mc:AlternateContent>
          <mc:Choice Requires="wps">
            <w:drawing>
              <wp:anchor distT="0" distB="0" distL="114300" distR="114300" simplePos="0" relativeHeight="253651966" behindDoc="0" locked="0" layoutInCell="1" allowOverlap="1" wp14:anchorId="58FDC0AE" wp14:editId="4A3883FA">
                <wp:simplePos x="0" y="0"/>
                <wp:positionH relativeFrom="margin">
                  <wp:posOffset>-165100</wp:posOffset>
                </wp:positionH>
                <wp:positionV relativeFrom="paragraph">
                  <wp:posOffset>405765</wp:posOffset>
                </wp:positionV>
                <wp:extent cx="9198610" cy="3568700"/>
                <wp:effectExtent l="12700" t="12700" r="8890" b="12700"/>
                <wp:wrapNone/>
                <wp:docPr id="1927" name="Rounded Rectangle 1927"/>
                <wp:cNvGraphicFramePr/>
                <a:graphic xmlns:a="http://schemas.openxmlformats.org/drawingml/2006/main">
                  <a:graphicData uri="http://schemas.microsoft.com/office/word/2010/wordprocessingShape">
                    <wps:wsp>
                      <wps:cNvSpPr/>
                      <wps:spPr>
                        <a:xfrm>
                          <a:off x="0" y="0"/>
                          <a:ext cx="9198610" cy="3568700"/>
                        </a:xfrm>
                        <a:prstGeom prst="roundRect">
                          <a:avLst>
                            <a:gd name="adj" fmla="val 4211"/>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DD78C4"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FDC0AE" id="Rounded Rectangle 1927" o:spid="_x0000_s1151" style="position:absolute;margin-left:-13pt;margin-top:31.95pt;width:724.3pt;height:281pt;z-index:2536519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" filled="f" strokecolor="white [3212]" strokeweight="1.5pt">
                <v:stroke joinstyle="miter"/>
                <v:textbox>
                  <w:txbxContent>
                    <w:p w14:paraId="5ADD78C4" w14:textId="77777777" w:rsidR="00D15FD8" w:rsidRDefault="00D15FD8" w:rsidP="002D14C0"/>
                  </w:txbxContent>
                </v:textbox>
                <w10:wrap anchorx="margin"/>
              </v:roundrect>
            </w:pict>
          </mc:Fallback>
        </mc:AlternateContent>
      </w:r>
      <w:r w:rsidR="00E35CE5" w:rsidRPr="00E01EA8">
        <w:rPr>
          <w:rFonts w:ascii="Roboto" w:hAnsi="Roboto"/>
          <w:noProof/>
          <w:lang w:val="en-US"/>
        </w:rPr>
        <mc:AlternateContent>
          <mc:Choice Requires="wps">
            <w:drawing>
              <wp:anchor distT="0" distB="0" distL="114300" distR="114300" simplePos="0" relativeHeight="253650942" behindDoc="0" locked="0" layoutInCell="1" allowOverlap="1" wp14:anchorId="1FDEDEC1" wp14:editId="752BDEBD">
                <wp:simplePos x="0" y="0"/>
                <wp:positionH relativeFrom="margin">
                  <wp:posOffset>-330200</wp:posOffset>
                </wp:positionH>
                <wp:positionV relativeFrom="paragraph">
                  <wp:posOffset>266065</wp:posOffset>
                </wp:positionV>
                <wp:extent cx="9525000" cy="3860800"/>
                <wp:effectExtent l="0" t="0" r="0" b="0"/>
                <wp:wrapNone/>
                <wp:docPr id="1926" name="Rounded Rectangle 1926"/>
                <wp:cNvGraphicFramePr/>
                <a:graphic xmlns:a="http://schemas.openxmlformats.org/drawingml/2006/main">
                  <a:graphicData uri="http://schemas.microsoft.com/office/word/2010/wordprocessingShape">
                    <wps:wsp>
                      <wps:cNvSpPr/>
                      <wps:spPr>
                        <a:xfrm>
                          <a:off x="0" y="0"/>
                          <a:ext cx="9525000" cy="3860800"/>
                        </a:xfrm>
                        <a:prstGeom prst="roundRect">
                          <a:avLst>
                            <a:gd name="adj" fmla="val 5483"/>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FFDBFA"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DEDEC1" id="Rounded Rectangle 1926" o:spid="_x0000_s1152" style="position:absolute;margin-left:-26pt;margin-top:20.95pt;width:750pt;height:304pt;z-index:2536509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" fillcolor="#1e9a8c" stroked="f" strokeweight="1pt">
                <v:stroke joinstyle="miter"/>
                <v:textbox>
                  <w:txbxContent>
                    <w:p w14:paraId="03FFDBFA" w14:textId="77777777" w:rsidR="00D15FD8" w:rsidRDefault="00D15FD8" w:rsidP="002D14C0">
                      <w:pPr>
                        <w:jc w:val="center"/>
                      </w:pPr>
                    </w:p>
                  </w:txbxContent>
                </v:textbox>
                <w10:wrap anchorx="margin"/>
              </v:roundrect>
            </w:pict>
          </mc:Fallback>
        </mc:AlternateContent>
      </w:r>
    </w:p>
    <w:p w14:paraId="2A9FA699" w14:textId="0EEF2D2C" w:rsidR="00203FAB" w:rsidRPr="006A6C50" w:rsidRDefault="00203FAB" w:rsidP="002D14C0">
      <w:pPr>
        <w:rPr>
          <w:rFonts w:ascii="Roboto" w:hAnsi="Roboto"/>
        </w:rPr>
      </w:pPr>
    </w:p>
    <w:p w14:paraId="49C70E14" w14:textId="6F9465A0" w:rsidR="00203FAB" w:rsidRPr="006A6C50" w:rsidRDefault="0096122F" w:rsidP="002D14C0">
      <w:pPr>
        <w:rPr>
          <w:rFonts w:ascii="Roboto" w:hAnsi="Roboto"/>
        </w:rPr>
      </w:pPr>
      <w:r w:rsidRPr="00E01EA8">
        <w:rPr>
          <w:rFonts w:ascii="Roboto" w:hAnsi="Roboto"/>
          <w:noProof/>
          <w:lang w:val="en-US"/>
        </w:rPr>
        <mc:AlternateContent>
          <mc:Choice Requires="wps">
            <w:drawing>
              <wp:anchor distT="0" distB="0" distL="114300" distR="114300" simplePos="0" relativeHeight="253654014" behindDoc="0" locked="0" layoutInCell="1" allowOverlap="1" wp14:anchorId="23A705BE" wp14:editId="515CC826">
                <wp:simplePos x="0" y="0"/>
                <wp:positionH relativeFrom="column">
                  <wp:posOffset>3885565</wp:posOffset>
                </wp:positionH>
                <wp:positionV relativeFrom="paragraph">
                  <wp:posOffset>53340</wp:posOffset>
                </wp:positionV>
                <wp:extent cx="1337310" cy="317500"/>
                <wp:effectExtent l="0" t="0" r="0" b="0"/>
                <wp:wrapNone/>
                <wp:docPr id="1928" name="Text Box 1928"/>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1F732361"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705BE" id="Text Box 1928" o:spid="_x0000_s1153" type="#_x0000_t202" style="position:absolute;margin-left:305.95pt;margin-top:4.2pt;width:105.3pt;height:25pt;z-index:253654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" filled="f" stroked="f" strokeweight=".5pt">
                <v:textbox>
                  <w:txbxContent>
                    <w:p w14:paraId="1F732361"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Pr="00E01EA8">
        <w:rPr>
          <w:rFonts w:ascii="Roboto" w:hAnsi="Roboto"/>
          <w:noProof/>
          <w:lang w:val="en-US"/>
        </w:rPr>
        <w:drawing>
          <wp:anchor distT="0" distB="0" distL="114300" distR="114300" simplePos="0" relativeHeight="253652990" behindDoc="1" locked="0" layoutInCell="1" allowOverlap="1" wp14:anchorId="38F47403" wp14:editId="6F773F08">
            <wp:simplePos x="0" y="0"/>
            <wp:positionH relativeFrom="column">
              <wp:posOffset>3596640</wp:posOffset>
            </wp:positionH>
            <wp:positionV relativeFrom="paragraph">
              <wp:posOffset>13335</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p>
    <w:p w14:paraId="7473FA14" w14:textId="5236AE9C" w:rsidR="00203FAB" w:rsidRPr="006A6C50" w:rsidRDefault="0096122F" w:rsidP="002D14C0">
      <w:pPr>
        <w:rPr>
          <w:rFonts w:ascii="Roboto" w:hAnsi="Roboto"/>
        </w:rPr>
      </w:pPr>
      <w:r w:rsidRPr="00E01EA8">
        <w:rPr>
          <w:rFonts w:ascii="Roboto" w:hAnsi="Roboto"/>
          <w:noProof/>
          <w:lang w:val="en-US"/>
        </w:rPr>
        <mc:AlternateContent>
          <mc:Choice Requires="wps">
            <w:drawing>
              <wp:anchor distT="0" distB="0" distL="114300" distR="114300" simplePos="0" relativeHeight="253655038" behindDoc="0" locked="0" layoutInCell="1" allowOverlap="1" wp14:anchorId="1EEC581A" wp14:editId="1704CF59">
                <wp:simplePos x="0" y="0"/>
                <wp:positionH relativeFrom="margin">
                  <wp:posOffset>0</wp:posOffset>
                </wp:positionH>
                <wp:positionV relativeFrom="paragraph">
                  <wp:posOffset>176530</wp:posOffset>
                </wp:positionV>
                <wp:extent cx="8882380" cy="2946400"/>
                <wp:effectExtent l="0" t="0" r="0" b="0"/>
                <wp:wrapNone/>
                <wp:docPr id="1929" name="Text Box 1929"/>
                <wp:cNvGraphicFramePr/>
                <a:graphic xmlns:a="http://schemas.openxmlformats.org/drawingml/2006/main">
                  <a:graphicData uri="http://schemas.microsoft.com/office/word/2010/wordprocessingShape">
                    <wps:wsp>
                      <wps:cNvSpPr txBox="1"/>
                      <wps:spPr>
                        <a:xfrm>
                          <a:off x="0" y="0"/>
                          <a:ext cx="8882380" cy="2946400"/>
                        </a:xfrm>
                        <a:prstGeom prst="rect">
                          <a:avLst/>
                        </a:prstGeom>
                        <a:noFill/>
                        <a:ln w="6350">
                          <a:noFill/>
                        </a:ln>
                      </wps:spPr>
                      <wps:txbx>
                        <w:txbxContent>
                          <w:p w14:paraId="4DB40AD8" w14:textId="77777777" w:rsidR="00D15FD8" w:rsidRDefault="00D15FD8" w:rsidP="003625BA">
                            <w:pPr>
                              <w:spacing w:line="320" w:lineRule="atLeast"/>
                              <w:rPr>
                                <w:rFonts w:ascii="Roboto" w:hAnsi="Roboto" w:cs="AppleSystemUIFont"/>
                                <w:color w:val="FFFFFF" w:themeColor="background1"/>
                                <w:sz w:val="20"/>
                                <w:szCs w:val="20"/>
                              </w:rPr>
                            </w:pPr>
                            <w:r w:rsidRPr="006A6C50">
                              <w:rPr>
                                <w:rFonts w:ascii="Roboto" w:hAnsi="Roboto" w:cs="AppleSystemUIFont"/>
                                <w:color w:val="FFFFFF" w:themeColor="background1"/>
                                <w:sz w:val="20"/>
                                <w:szCs w:val="20"/>
                              </w:rPr>
                              <w:t>Government institutions exercise coercive powers of taxation and redistribution. It is therefore particularly important that the government sector is clearly defined and comprehensively reported on.</w:t>
                            </w:r>
                          </w:p>
                          <w:p w14:paraId="0F10CF5F" w14:textId="77777777" w:rsidR="00D15FD8" w:rsidRPr="006A6C50" w:rsidRDefault="00D15FD8" w:rsidP="003625BA">
                            <w:pPr>
                              <w:spacing w:line="320" w:lineRule="atLeast"/>
                              <w:rPr>
                                <w:rFonts w:ascii="Roboto" w:hAnsi="Roboto" w:cs="AppleSystemUIFont"/>
                                <w:color w:val="FFFFFF" w:themeColor="background1"/>
                                <w:sz w:val="20"/>
                                <w:szCs w:val="20"/>
                              </w:rPr>
                            </w:pPr>
                          </w:p>
                          <w:p w14:paraId="12F02D41" w14:textId="77777777" w:rsidR="00D15FD8" w:rsidRDefault="00D15FD8" w:rsidP="003625BA">
                            <w:pPr>
                              <w:spacing w:line="320" w:lineRule="atLeast"/>
                              <w:rPr>
                                <w:rFonts w:ascii="Roboto" w:hAnsi="Roboto" w:cs="AppleSystemUIFont"/>
                                <w:color w:val="FFFFFF" w:themeColor="background1"/>
                                <w:sz w:val="20"/>
                                <w:szCs w:val="20"/>
                              </w:rPr>
                            </w:pPr>
                            <w:r w:rsidRPr="006A6C50">
                              <w:rPr>
                                <w:rFonts w:ascii="Roboto" w:hAnsi="Roboto" w:cs="AppleSystemUIFont"/>
                                <w:color w:val="FFFFFF" w:themeColor="background1"/>
                                <w:sz w:val="20"/>
                                <w:szCs w:val="20"/>
                              </w:rPr>
                              <w:t xml:space="preserve">The government sector consists of all the legal entities established by political processes that have legislative, judicial or executive authority over other institutional units within a given area. They provide goods and services to the community or to individual households; finance their provision out of taxation or other revenues; and redistribute income and wealth by means of transfers. The central government sector consists of all such units that are covered by or financed through the central government budget or extra-budgetary funds. The general government sector also includes units controlled by sub-national levels of government, including regional, state, provincial, and local governments. Social security funds can be classified according to the level of government that organizes and manages them (central or sub-national) or combined into a separate sub-sector. Government sectors exclude commercial or monetary activities; these are included within the non-government public sector. </w:t>
                            </w:r>
                          </w:p>
                          <w:p w14:paraId="2304E3DE" w14:textId="77777777" w:rsidR="00D15FD8" w:rsidRPr="006A6C50" w:rsidRDefault="00D15FD8" w:rsidP="003625BA">
                            <w:pPr>
                              <w:spacing w:line="320" w:lineRule="atLeast"/>
                              <w:rPr>
                                <w:rFonts w:ascii="Roboto" w:hAnsi="Roboto" w:cs="AppleSystemUIFont"/>
                                <w:color w:val="FFFFFF" w:themeColor="background1"/>
                                <w:sz w:val="20"/>
                                <w:szCs w:val="20"/>
                              </w:rPr>
                            </w:pPr>
                          </w:p>
                          <w:p w14:paraId="0DA6798B" w14:textId="77777777" w:rsidR="00D15FD8" w:rsidRPr="006A6C50" w:rsidRDefault="00D15FD8" w:rsidP="003625BA">
                            <w:pPr>
                              <w:spacing w:line="320" w:lineRule="atLeast"/>
                              <w:rPr>
                                <w:rFonts w:ascii="Roboto" w:hAnsi="Roboto" w:cs="AppleSystemUIFont"/>
                                <w:color w:val="FFFFFF" w:themeColor="background1"/>
                                <w:sz w:val="20"/>
                                <w:szCs w:val="20"/>
                              </w:rPr>
                            </w:pPr>
                            <w:r w:rsidRPr="006A6C50">
                              <w:rPr>
                                <w:rFonts w:ascii="Roboto" w:hAnsi="Roboto" w:cs="AppleSystemUIFont"/>
                                <w:color w:val="FFFFFF" w:themeColor="background1"/>
                                <w:sz w:val="20"/>
                                <w:szCs w:val="20"/>
                              </w:rPr>
                              <w:t xml:space="preserve">It is also important that the boundary between government and the private sector is clear.  Murky or unclear relationships between government and the private sector are often associated with inappropriate or corrupt </w:t>
                            </w:r>
                            <w:proofErr w:type="spellStart"/>
                            <w:r w:rsidRPr="006A6C50">
                              <w:rPr>
                                <w:rFonts w:ascii="Roboto" w:hAnsi="Roboto" w:cs="AppleSystemUIFont"/>
                                <w:color w:val="FFFFFF" w:themeColor="background1"/>
                                <w:sz w:val="20"/>
                                <w:szCs w:val="20"/>
                              </w:rPr>
                              <w:t>behavior</w:t>
                            </w:r>
                            <w:proofErr w:type="spellEnd"/>
                            <w:r w:rsidRPr="006A6C50">
                              <w:rPr>
                                <w:rFonts w:ascii="Roboto" w:hAnsi="Roboto" w:cs="AppleSystemUIFont"/>
                                <w:color w:val="FFFFFF" w:themeColor="background1"/>
                                <w:sz w:val="20"/>
                                <w:szCs w:val="20"/>
                              </w:rPr>
                              <w:t>. They also provide a poor basis for decision-making, and make it harder to hold public officials to account against a clear set of expectations.</w:t>
                            </w:r>
                          </w:p>
                          <w:p w14:paraId="46917E52" w14:textId="77777777" w:rsidR="00D15FD8" w:rsidRPr="006A6C50" w:rsidRDefault="00D15FD8" w:rsidP="003625BA">
                            <w:pPr>
                              <w:spacing w:line="320" w:lineRule="atLeast"/>
                              <w:rPr>
                                <w:rFonts w:ascii="Roboto" w:hAnsi="Roboto"/>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C581A" id="Text Box 1929" o:spid="_x0000_s1154" type="#_x0000_t202" style="position:absolute;margin-left:0;margin-top:13.9pt;width:699.4pt;height:232pt;z-index:2536550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" filled="f" stroked="f" strokeweight=".5pt">
                <v:textbox>
                  <w:txbxContent>
                    <w:p w14:paraId="4DB40AD8" w14:textId="77777777" w:rsidR="00D15FD8" w:rsidRDefault="00D15FD8" w:rsidP="003625BA">
                      <w:pPr>
                        <w:spacing w:line="320" w:lineRule="atLeast"/>
                        <w:rPr>
                          <w:rFonts w:ascii="Roboto" w:hAnsi="Roboto" w:cs="AppleSystemUIFont"/>
                          <w:color w:val="FFFFFF" w:themeColor="background1"/>
                          <w:sz w:val="20"/>
                          <w:szCs w:val="20"/>
                        </w:rPr>
                      </w:pPr>
                      <w:r w:rsidRPr="006A6C50">
                        <w:rPr>
                          <w:rFonts w:ascii="Roboto" w:hAnsi="Roboto" w:cs="AppleSystemUIFont"/>
                          <w:color w:val="FFFFFF" w:themeColor="background1"/>
                          <w:sz w:val="20"/>
                          <w:szCs w:val="20"/>
                        </w:rPr>
                        <w:t>Government institutions exercise coercive powers of taxation and redistribution. It is therefore particularly important that the government sector is clearly defined and comprehensively reported on.</w:t>
                      </w:r>
                    </w:p>
                    <w:p w14:paraId="0F10CF5F" w14:textId="77777777" w:rsidR="00D15FD8" w:rsidRPr="006A6C50" w:rsidRDefault="00D15FD8" w:rsidP="003625BA">
                      <w:pPr>
                        <w:spacing w:line="320" w:lineRule="atLeast"/>
                        <w:rPr>
                          <w:rFonts w:ascii="Roboto" w:hAnsi="Roboto" w:cs="AppleSystemUIFont"/>
                          <w:color w:val="FFFFFF" w:themeColor="background1"/>
                          <w:sz w:val="20"/>
                          <w:szCs w:val="20"/>
                        </w:rPr>
                      </w:pPr>
                    </w:p>
                    <w:p w14:paraId="12F02D41" w14:textId="77777777" w:rsidR="00D15FD8" w:rsidRDefault="00D15FD8" w:rsidP="003625BA">
                      <w:pPr>
                        <w:spacing w:line="320" w:lineRule="atLeast"/>
                        <w:rPr>
                          <w:rFonts w:ascii="Roboto" w:hAnsi="Roboto" w:cs="AppleSystemUIFont"/>
                          <w:color w:val="FFFFFF" w:themeColor="background1"/>
                          <w:sz w:val="20"/>
                          <w:szCs w:val="20"/>
                        </w:rPr>
                      </w:pPr>
                      <w:r w:rsidRPr="006A6C50">
                        <w:rPr>
                          <w:rFonts w:ascii="Roboto" w:hAnsi="Roboto" w:cs="AppleSystemUIFont"/>
                          <w:color w:val="FFFFFF" w:themeColor="background1"/>
                          <w:sz w:val="20"/>
                          <w:szCs w:val="20"/>
                        </w:rPr>
                        <w:t xml:space="preserve">The government sector consists of all the legal entities established by political processes that have legislative, judicial or executive authority over other institutional units within a given area. They provide goods and services to the community or to individual households; finance their provision out of taxation or other revenues; and redistribute income and wealth by means of transfers. The central government sector consists of all such units that are covered by or financed through the central government budget or extra-budgetary funds. The general government sector also includes units controlled by sub-national levels of government, including regional, state, provincial, and local governments. Social security funds can be classified according to the level of government that organizes and manages them (central or sub-national) or combined into a separate sub-sector. Government sectors exclude commercial or monetary activities; these are included within the non-government public sector. </w:t>
                      </w:r>
                    </w:p>
                    <w:p w14:paraId="2304E3DE" w14:textId="77777777" w:rsidR="00D15FD8" w:rsidRPr="006A6C50" w:rsidRDefault="00D15FD8" w:rsidP="003625BA">
                      <w:pPr>
                        <w:spacing w:line="320" w:lineRule="atLeast"/>
                        <w:rPr>
                          <w:rFonts w:ascii="Roboto" w:hAnsi="Roboto" w:cs="AppleSystemUIFont"/>
                          <w:color w:val="FFFFFF" w:themeColor="background1"/>
                          <w:sz w:val="20"/>
                          <w:szCs w:val="20"/>
                        </w:rPr>
                      </w:pPr>
                    </w:p>
                    <w:p w14:paraId="0DA6798B" w14:textId="77777777" w:rsidR="00D15FD8" w:rsidRPr="006A6C50" w:rsidRDefault="00D15FD8" w:rsidP="003625BA">
                      <w:pPr>
                        <w:spacing w:line="320" w:lineRule="atLeast"/>
                        <w:rPr>
                          <w:rFonts w:ascii="Roboto" w:hAnsi="Roboto" w:cs="AppleSystemUIFont"/>
                          <w:color w:val="FFFFFF" w:themeColor="background1"/>
                          <w:sz w:val="20"/>
                          <w:szCs w:val="20"/>
                        </w:rPr>
                      </w:pPr>
                      <w:r w:rsidRPr="006A6C50">
                        <w:rPr>
                          <w:rFonts w:ascii="Roboto" w:hAnsi="Roboto" w:cs="AppleSystemUIFont"/>
                          <w:color w:val="FFFFFF" w:themeColor="background1"/>
                          <w:sz w:val="20"/>
                          <w:szCs w:val="20"/>
                        </w:rPr>
                        <w:t xml:space="preserve">It is also important that the boundary between government and the private sector is clear.  Murky or unclear relationships between government and the private sector are often associated with inappropriate or corrupt </w:t>
                      </w:r>
                      <w:proofErr w:type="spellStart"/>
                      <w:r w:rsidRPr="006A6C50">
                        <w:rPr>
                          <w:rFonts w:ascii="Roboto" w:hAnsi="Roboto" w:cs="AppleSystemUIFont"/>
                          <w:color w:val="FFFFFF" w:themeColor="background1"/>
                          <w:sz w:val="20"/>
                          <w:szCs w:val="20"/>
                        </w:rPr>
                        <w:t>behavior</w:t>
                      </w:r>
                      <w:proofErr w:type="spellEnd"/>
                      <w:r w:rsidRPr="006A6C50">
                        <w:rPr>
                          <w:rFonts w:ascii="Roboto" w:hAnsi="Roboto" w:cs="AppleSystemUIFont"/>
                          <w:color w:val="FFFFFF" w:themeColor="background1"/>
                          <w:sz w:val="20"/>
                          <w:szCs w:val="20"/>
                        </w:rPr>
                        <w:t>. They also provide a poor basis for decision-making, and make it harder to hold public officials to account against a clear set of expectations.</w:t>
                      </w:r>
                    </w:p>
                    <w:p w14:paraId="46917E52" w14:textId="77777777" w:rsidR="00D15FD8" w:rsidRPr="006A6C50" w:rsidRDefault="00D15FD8" w:rsidP="003625BA">
                      <w:pPr>
                        <w:spacing w:line="320" w:lineRule="atLeast"/>
                        <w:rPr>
                          <w:rFonts w:ascii="Roboto" w:hAnsi="Roboto"/>
                          <w:color w:val="FFFFFF" w:themeColor="background1"/>
                          <w:sz w:val="20"/>
                          <w:szCs w:val="20"/>
                        </w:rPr>
                      </w:pPr>
                    </w:p>
                  </w:txbxContent>
                </v:textbox>
                <w10:wrap anchorx="margin"/>
              </v:shape>
            </w:pict>
          </mc:Fallback>
        </mc:AlternateContent>
      </w:r>
    </w:p>
    <w:p w14:paraId="204DCD80" w14:textId="591C4D5C" w:rsidR="00203FAB" w:rsidRPr="006A6C50" w:rsidRDefault="00203FAB" w:rsidP="002D14C0">
      <w:pPr>
        <w:rPr>
          <w:rFonts w:ascii="Roboto" w:hAnsi="Roboto"/>
        </w:rPr>
      </w:pPr>
    </w:p>
    <w:p w14:paraId="63D16145" w14:textId="2DD099B7" w:rsidR="00203FAB" w:rsidRPr="006A6C50"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66142" behindDoc="0" locked="0" layoutInCell="1" allowOverlap="1" wp14:anchorId="1F1DC23D" wp14:editId="1A19C2FF">
                <wp:simplePos x="0" y="0"/>
                <wp:positionH relativeFrom="column">
                  <wp:posOffset>-3610928</wp:posOffset>
                </wp:positionH>
                <wp:positionV relativeFrom="paragraph">
                  <wp:posOffset>447356</wp:posOffset>
                </wp:positionV>
                <wp:extent cx="5976620" cy="252095"/>
                <wp:effectExtent l="0" t="0" r="0" b="0"/>
                <wp:wrapNone/>
                <wp:docPr id="183" name="Text Box 183"/>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51F7BE4C" w14:textId="28A8E1C6"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1DC23D" id="Text Box 183" o:spid="_x0000_s1155" type="#_x0000_t202" style="position:absolute;margin-left:-284.35pt;margin-top:35.2pt;width:470.6pt;height:19.85pt;rotation:90;z-index:2553661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" filled="f" stroked="f" strokeweight=".5pt">
                <v:textbox>
                  <w:txbxContent>
                    <w:p w14:paraId="51F7BE4C" w14:textId="28A8E1C6"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39</w:t>
                      </w:r>
                    </w:p>
                  </w:txbxContent>
                </v:textbox>
              </v:shape>
            </w:pict>
          </mc:Fallback>
        </mc:AlternateContent>
      </w:r>
    </w:p>
    <w:p w14:paraId="728D6FA0" w14:textId="7274A588" w:rsidR="00203FAB" w:rsidRPr="006A6C50" w:rsidRDefault="00203FAB" w:rsidP="002D14C0">
      <w:pPr>
        <w:rPr>
          <w:rFonts w:ascii="Roboto" w:hAnsi="Roboto"/>
        </w:rPr>
      </w:pPr>
    </w:p>
    <w:p w14:paraId="37004BFB" w14:textId="7E23BFC7" w:rsidR="00203FAB" w:rsidRPr="006A6C50"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65118" behindDoc="0" locked="0" layoutInCell="1" allowOverlap="1" wp14:anchorId="0605CF7F" wp14:editId="71165B77">
                <wp:simplePos x="0" y="0"/>
                <wp:positionH relativeFrom="column">
                  <wp:posOffset>6520371</wp:posOffset>
                </wp:positionH>
                <wp:positionV relativeFrom="paragraph">
                  <wp:posOffset>122492</wp:posOffset>
                </wp:positionV>
                <wp:extent cx="5977200" cy="252096"/>
                <wp:effectExtent l="4762" t="0" r="0" b="0"/>
                <wp:wrapNone/>
                <wp:docPr id="182" name="Text Box 182"/>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51CCA730" w14:textId="71DFAEA9"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59589304"/>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336C4E3"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05CF7F" id="Text Box 182" o:spid="_x0000_s1156" type="#_x0000_t202" style="position:absolute;margin-left:513.4pt;margin-top:9.65pt;width:470.65pt;height:19.85pt;rotation:90;z-index:2553651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" fillcolor="white [3201]" stroked="f" strokeweight=".5pt">
                <v:textbox>
                  <w:txbxContent>
                    <w:p w14:paraId="51CCA730" w14:textId="71DFAEA9"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59589304"/>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336C4E3" w14:textId="77777777" w:rsidR="00D15FD8" w:rsidRDefault="00D15FD8" w:rsidP="003D7CCB"/>
                  </w:txbxContent>
                </v:textbox>
              </v:shape>
            </w:pict>
          </mc:Fallback>
        </mc:AlternateContent>
      </w:r>
    </w:p>
    <w:p w14:paraId="216FA398" w14:textId="332BF2E8" w:rsidR="00203FAB" w:rsidRPr="006A6C50" w:rsidRDefault="00203FAB" w:rsidP="002D14C0">
      <w:pPr>
        <w:rPr>
          <w:rFonts w:ascii="Roboto" w:hAnsi="Roboto"/>
        </w:rPr>
      </w:pPr>
    </w:p>
    <w:p w14:paraId="52E3B5AA" w14:textId="21426CEB" w:rsidR="00203FAB" w:rsidRPr="006A6C50" w:rsidRDefault="00203FAB" w:rsidP="002D14C0">
      <w:pPr>
        <w:rPr>
          <w:rFonts w:ascii="Roboto" w:hAnsi="Roboto"/>
        </w:rPr>
      </w:pPr>
    </w:p>
    <w:p w14:paraId="04BD247C" w14:textId="3C362DC7" w:rsidR="00203FAB" w:rsidRPr="006A6C50" w:rsidRDefault="00203FAB" w:rsidP="002D14C0">
      <w:pPr>
        <w:rPr>
          <w:rFonts w:ascii="Roboto" w:hAnsi="Roboto"/>
        </w:rPr>
      </w:pPr>
    </w:p>
    <w:p w14:paraId="672D67D6" w14:textId="77777777" w:rsidR="00203FAB" w:rsidRPr="006A6C50" w:rsidRDefault="00203FAB" w:rsidP="002D14C0">
      <w:pPr>
        <w:rPr>
          <w:rFonts w:ascii="Roboto" w:hAnsi="Roboto"/>
        </w:rPr>
      </w:pPr>
    </w:p>
    <w:p w14:paraId="53F55ED3" w14:textId="2FCC048F" w:rsidR="00203FAB" w:rsidRPr="006A6C50" w:rsidRDefault="00203FAB" w:rsidP="002D14C0">
      <w:pPr>
        <w:rPr>
          <w:rFonts w:ascii="Roboto" w:hAnsi="Roboto"/>
        </w:rPr>
      </w:pPr>
    </w:p>
    <w:p w14:paraId="07439594" w14:textId="56BDF8BE" w:rsidR="00203FAB" w:rsidRPr="006A6C50" w:rsidRDefault="00203FAB" w:rsidP="002D14C0">
      <w:pPr>
        <w:rPr>
          <w:rFonts w:ascii="Roboto" w:hAnsi="Roboto"/>
        </w:rPr>
      </w:pPr>
    </w:p>
    <w:p w14:paraId="46CE08D6" w14:textId="39631C20" w:rsidR="00203FAB" w:rsidRPr="006A6C50" w:rsidRDefault="00203FAB" w:rsidP="002D14C0">
      <w:pPr>
        <w:rPr>
          <w:rFonts w:ascii="Roboto" w:hAnsi="Roboto"/>
        </w:rPr>
      </w:pPr>
    </w:p>
    <w:p w14:paraId="6935CAD0" w14:textId="38C538C8" w:rsidR="00203FAB" w:rsidRDefault="00203FAB" w:rsidP="002D14C0">
      <w:pPr>
        <w:rPr>
          <w:rFonts w:ascii="Roboto" w:hAnsi="Roboto"/>
        </w:rPr>
      </w:pPr>
    </w:p>
    <w:p w14:paraId="4FB27BEE" w14:textId="7271F463" w:rsidR="00203FAB" w:rsidRDefault="00203FAB" w:rsidP="002D14C0">
      <w:pPr>
        <w:jc w:val="right"/>
        <w:rPr>
          <w:rFonts w:ascii="Roboto" w:hAnsi="Roboto"/>
        </w:rPr>
      </w:pPr>
    </w:p>
    <w:p w14:paraId="0D4948A8" w14:textId="3D9AC5A2" w:rsidR="00203FAB" w:rsidRDefault="00203FAB" w:rsidP="002D14C0">
      <w:pPr>
        <w:jc w:val="right"/>
        <w:rPr>
          <w:rFonts w:ascii="Roboto" w:hAnsi="Roboto"/>
        </w:rPr>
      </w:pPr>
    </w:p>
    <w:p w14:paraId="4F751DC9" w14:textId="250B9DE1"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72638" behindDoc="0" locked="0" layoutInCell="1" allowOverlap="1" wp14:anchorId="4C20FB85" wp14:editId="17E71B0B">
                <wp:simplePos x="0" y="0"/>
                <wp:positionH relativeFrom="column">
                  <wp:posOffset>5498275</wp:posOffset>
                </wp:positionH>
                <wp:positionV relativeFrom="paragraph">
                  <wp:posOffset>1386304</wp:posOffset>
                </wp:positionV>
                <wp:extent cx="3878317" cy="506169"/>
                <wp:effectExtent l="0" t="0" r="8255" b="8255"/>
                <wp:wrapNone/>
                <wp:docPr id="389" name="Rectangle 389"/>
                <wp:cNvGraphicFramePr/>
                <a:graphic xmlns:a="http://schemas.openxmlformats.org/drawingml/2006/main">
                  <a:graphicData uri="http://schemas.microsoft.com/office/word/2010/wordprocessingShape">
                    <wps:wsp>
                      <wps:cNvSpPr/>
                      <wps:spPr>
                        <a:xfrm>
                          <a:off x="0" y="0"/>
                          <a:ext cx="3878317" cy="5061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7EF17E9C" id="Rectangle 389" o:spid="_x0000_s1026" style="position:absolute;margin-left:432.95pt;margin-top:109.15pt;width:305.4pt;height:39.85pt;z-index:2554726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" fillcolor="white [3212]" stroked="f" strokeweight="1pt"/>
            </w:pict>
          </mc:Fallback>
        </mc:AlternateContent>
      </w:r>
      <w:r w:rsidR="00CC3EBD">
        <w:rPr>
          <w:rFonts w:ascii="Roboto" w:hAnsi="Roboto"/>
        </w:rPr>
        <w:br w:type="page"/>
      </w:r>
    </w:p>
    <w:p w14:paraId="419B3544" w14:textId="763FC697" w:rsidR="00203FAB"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74686" behindDoc="0" locked="0" layoutInCell="1" allowOverlap="1" wp14:anchorId="2F72DEC2" wp14:editId="56A78F43">
                <wp:simplePos x="0" y="0"/>
                <wp:positionH relativeFrom="column">
                  <wp:posOffset>-95009</wp:posOffset>
                </wp:positionH>
                <wp:positionV relativeFrom="paragraph">
                  <wp:posOffset>-552274</wp:posOffset>
                </wp:positionV>
                <wp:extent cx="3878317" cy="268014"/>
                <wp:effectExtent l="0" t="0" r="0" b="0"/>
                <wp:wrapNone/>
                <wp:docPr id="391" name="Rectangle 391"/>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31057775" id="Rectangle 391" o:spid="_x0000_s1026" style="position:absolute;margin-left:-7.5pt;margin-top:-43.5pt;width:305.4pt;height:21.1pt;z-index:2554746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" fillcolor="white [3212]" stroked="f" strokeweight="1pt"/>
            </w:pict>
          </mc:Fallback>
        </mc:AlternateContent>
      </w:r>
      <w:r w:rsidR="00E94948" w:rsidRPr="006A6C50">
        <w:rPr>
          <w:rFonts w:ascii="Roboto" w:hAnsi="Roboto"/>
          <w:noProof/>
          <w:lang w:val="en-US"/>
        </w:rPr>
        <mc:AlternateContent>
          <mc:Choice Requires="wps">
            <w:drawing>
              <wp:anchor distT="0" distB="0" distL="114300" distR="114300" simplePos="0" relativeHeight="253656062" behindDoc="0" locked="0" layoutInCell="1" allowOverlap="1" wp14:anchorId="57F689DD" wp14:editId="180422F5">
                <wp:simplePos x="0" y="0"/>
                <wp:positionH relativeFrom="margin">
                  <wp:posOffset>25400</wp:posOffset>
                </wp:positionH>
                <wp:positionV relativeFrom="margin">
                  <wp:align>center</wp:align>
                </wp:positionV>
                <wp:extent cx="8817610" cy="5308600"/>
                <wp:effectExtent l="0" t="0" r="0" b="0"/>
                <wp:wrapNone/>
                <wp:docPr id="1930" name="Text Box 1930"/>
                <wp:cNvGraphicFramePr/>
                <a:graphic xmlns:a="http://schemas.openxmlformats.org/drawingml/2006/main">
                  <a:graphicData uri="http://schemas.microsoft.com/office/word/2010/wordprocessingShape">
                    <wps:wsp>
                      <wps:cNvSpPr txBox="1"/>
                      <wps:spPr>
                        <a:xfrm>
                          <a:off x="0" y="0"/>
                          <a:ext cx="8817610" cy="5308600"/>
                        </a:xfrm>
                        <a:prstGeom prst="rect">
                          <a:avLst/>
                        </a:prstGeom>
                        <a:noFill/>
                        <a:ln w="6350">
                          <a:noFill/>
                        </a:ln>
                      </wps:spPr>
                      <wps:txbx>
                        <w:txbxContent>
                          <w:p w14:paraId="030DF36A" w14:textId="77777777" w:rsidR="00D15FD8" w:rsidRPr="006A6C50" w:rsidRDefault="00D15FD8" w:rsidP="002D14C0">
                            <w:pPr>
                              <w:spacing w:after="160" w:line="259" w:lineRule="auto"/>
                              <w:suppressOverlap/>
                              <w:rPr>
                                <w:rFonts w:ascii="Roboto" w:eastAsia="Calibri" w:hAnsi="Roboto" w:cs="Calibri"/>
                                <w:color w:val="404040" w:themeColor="text1" w:themeTint="BF"/>
                                <w:sz w:val="20"/>
                                <w:szCs w:val="20"/>
                              </w:rPr>
                            </w:pPr>
                            <w:r w:rsidRPr="006A6C50">
                              <w:rPr>
                                <w:rFonts w:ascii="Roboto" w:eastAsia="Calibri" w:hAnsi="Roboto" w:cs="Calibri"/>
                                <w:b/>
                                <w:color w:val="1E9A8C"/>
                                <w:sz w:val="20"/>
                                <w:szCs w:val="20"/>
                              </w:rPr>
                              <w:t>United Nations:</w:t>
                            </w:r>
                            <w:r w:rsidRPr="006A6C50">
                              <w:rPr>
                                <w:rFonts w:ascii="Roboto" w:eastAsia="Calibri" w:hAnsi="Roboto" w:cs="Calibri"/>
                                <w:color w:val="1E9A8C"/>
                                <w:sz w:val="20"/>
                                <w:szCs w:val="20"/>
                              </w:rPr>
                              <w:t xml:space="preserve"> </w:t>
                            </w:r>
                            <w:hyperlink r:id="rId243" w:history="1">
                              <w:r w:rsidRPr="006A6C50">
                                <w:rPr>
                                  <w:rStyle w:val="Hyperlink"/>
                                  <w:rFonts w:ascii="Roboto" w:eastAsia="Calibri" w:hAnsi="Roboto" w:cs="Calibri"/>
                                  <w:color w:val="F26C21"/>
                                  <w:sz w:val="20"/>
                                  <w:szCs w:val="20"/>
                                </w:rPr>
                                <w:t>System of National Accounts</w:t>
                              </w:r>
                            </w:hyperlink>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(2008): Explains the distinction between the government sector, the rest of the public sector, and other sectors of the economy.</w:t>
                            </w:r>
                          </w:p>
                          <w:p w14:paraId="493FD81D" w14:textId="77777777" w:rsidR="00D15FD8" w:rsidRPr="006A6C50" w:rsidRDefault="00D15FD8" w:rsidP="002D14C0">
                            <w:pPr>
                              <w:suppressOverlap/>
                              <w:rPr>
                                <w:rFonts w:ascii="Roboto" w:eastAsia="Calibri" w:hAnsi="Roboto" w:cs="Calibri"/>
                                <w:color w:val="1E9A8C"/>
                                <w:sz w:val="20"/>
                                <w:szCs w:val="20"/>
                              </w:rPr>
                            </w:pPr>
                            <w:r w:rsidRPr="006A6C50">
                              <w:rPr>
                                <w:rFonts w:ascii="Roboto" w:eastAsia="Calibri" w:hAnsi="Roboto" w:cs="Calibri"/>
                                <w:b/>
                                <w:color w:val="1E9A8C"/>
                                <w:sz w:val="20"/>
                                <w:szCs w:val="20"/>
                              </w:rPr>
                              <w:t>IMF:</w:t>
                            </w:r>
                            <w:r w:rsidRPr="006A6C50">
                              <w:rPr>
                                <w:rFonts w:ascii="Roboto" w:eastAsia="Calibri" w:hAnsi="Roboto" w:cs="Calibri"/>
                                <w:color w:val="1E9A8C"/>
                                <w:sz w:val="20"/>
                                <w:szCs w:val="20"/>
                              </w:rPr>
                              <w:t xml:space="preserve"> </w:t>
                            </w:r>
                          </w:p>
                          <w:p w14:paraId="3152A9A1" w14:textId="77777777" w:rsidR="00D15FD8" w:rsidRPr="006A6C50" w:rsidRDefault="00AC4DF7" w:rsidP="00B70258">
                            <w:pPr>
                              <w:pStyle w:val="ListParagraph"/>
                              <w:numPr>
                                <w:ilvl w:val="0"/>
                                <w:numId w:val="25"/>
                              </w:numPr>
                              <w:ind w:left="308" w:hanging="308"/>
                              <w:suppressOverlap/>
                              <w:rPr>
                                <w:rFonts w:ascii="Roboto" w:eastAsia="Calibri" w:hAnsi="Roboto" w:cs="Calibri"/>
                                <w:color w:val="404040" w:themeColor="text1" w:themeTint="BF"/>
                                <w:sz w:val="20"/>
                                <w:szCs w:val="20"/>
                              </w:rPr>
                            </w:pPr>
                            <w:hyperlink r:id="rId244" w:history="1">
                              <w:r w:rsidR="00D15FD8" w:rsidRPr="006A6C50">
                                <w:rPr>
                                  <w:rStyle w:val="Hyperlink"/>
                                  <w:rFonts w:ascii="Roboto" w:eastAsia="Calibri" w:hAnsi="Roboto" w:cs="Calibri"/>
                                  <w:color w:val="F26C21"/>
                                  <w:sz w:val="20"/>
                                  <w:szCs w:val="20"/>
                                </w:rPr>
                                <w:t>Government Finance Statistics (GFS) Manual</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(2014): Explores the distinction between the government sector, the rest of the public sector, and other sectors of the economy further, together with the treatment of the different levels of government and the social security institutions.</w:t>
                            </w:r>
                          </w:p>
                          <w:p w14:paraId="4B424ED8" w14:textId="77777777" w:rsidR="00D15FD8" w:rsidRPr="006A6C50" w:rsidRDefault="00AC4DF7" w:rsidP="00B70258">
                            <w:pPr>
                              <w:pStyle w:val="ListParagraph"/>
                              <w:numPr>
                                <w:ilvl w:val="0"/>
                                <w:numId w:val="25"/>
                              </w:numPr>
                              <w:ind w:left="305" w:hanging="308"/>
                              <w:suppressOverlap/>
                              <w:rPr>
                                <w:rFonts w:ascii="Roboto" w:eastAsia="Calibri" w:hAnsi="Roboto" w:cs="Calibri"/>
                                <w:color w:val="404040" w:themeColor="text1" w:themeTint="BF"/>
                                <w:sz w:val="20"/>
                                <w:szCs w:val="20"/>
                              </w:rPr>
                            </w:pPr>
                            <w:hyperlink r:id="rId245" w:history="1">
                              <w:r w:rsidR="00D15FD8" w:rsidRPr="006A6C50">
                                <w:rPr>
                                  <w:rStyle w:val="Hyperlink"/>
                                  <w:rFonts w:ascii="Roboto" w:eastAsia="Calibri" w:hAnsi="Roboto" w:cs="Calibri"/>
                                  <w:color w:val="F26C21"/>
                                  <w:sz w:val="20"/>
                                  <w:szCs w:val="20"/>
                                </w:rPr>
                                <w:t>Fiscal Transparency Code</w:t>
                              </w:r>
                            </w:hyperlink>
                            <w:r w:rsidR="00D15FD8" w:rsidRPr="006A6C50">
                              <w:rPr>
                                <w:rFonts w:ascii="Roboto" w:eastAsia="Calibri" w:hAnsi="Roboto" w:cs="Calibri"/>
                                <w:color w:val="404040" w:themeColor="text1" w:themeTint="BF"/>
                                <w:sz w:val="20"/>
                                <w:szCs w:val="20"/>
                              </w:rPr>
                              <w:t xml:space="preserve"> (2019): States that fiscal reports should provide a comprehensive overview of the fiscal activities of the public sector and its sub-sectors, according to international standards. It also deals with the boundaries and relationships between the government and the private sector for fiscal reporting and in the contexts of fiscal risk management and natural resource management. Also deals with the transparency of the financial position and performance of sub-national governments, public corporations and natural resource corporations.</w:t>
                            </w:r>
                          </w:p>
                          <w:p w14:paraId="49D787A4" w14:textId="77777777" w:rsidR="00D15FD8" w:rsidRPr="00F43B08" w:rsidRDefault="00D15FD8" w:rsidP="002D14C0">
                            <w:pPr>
                              <w:pStyle w:val="ListParagraph"/>
                              <w:tabs>
                                <w:tab w:val="left" w:pos="270"/>
                              </w:tabs>
                              <w:ind w:left="270"/>
                              <w:suppressOverlap/>
                              <w:rPr>
                                <w:rFonts w:ascii="Roboto" w:eastAsia="Calibri" w:hAnsi="Roboto" w:cs="Calibri"/>
                                <w:color w:val="404040" w:themeColor="text1" w:themeTint="BF"/>
                                <w:sz w:val="20"/>
                                <w:szCs w:val="20"/>
                              </w:rPr>
                            </w:pPr>
                            <w:r>
                              <w:t>[</w:t>
                            </w:r>
                            <w:hyperlink r:id="rId246" w:history="1">
                              <w:r w:rsidRPr="00F43B08">
                                <w:rPr>
                                  <w:rStyle w:val="Hyperlink"/>
                                  <w:rFonts w:ascii="Roboto" w:eastAsia="Calibri" w:hAnsi="Roboto" w:cs="Calibri"/>
                                  <w:color w:val="F26C21"/>
                                  <w:sz w:val="20"/>
                                  <w:szCs w:val="20"/>
                                </w:rPr>
                                <w:t>Manual on Fiscal Transparency</w:t>
                              </w:r>
                            </w:hyperlink>
                            <w:r w:rsidRPr="00F43B08">
                              <w:rPr>
                                <w:rFonts w:ascii="Roboto" w:eastAsia="Calibri" w:hAnsi="Roboto" w:cs="Calibri"/>
                                <w:color w:val="F26C21"/>
                                <w:sz w:val="20"/>
                                <w:szCs w:val="20"/>
                              </w:rPr>
                              <w:t xml:space="preserve"> </w:t>
                            </w:r>
                            <w:r w:rsidRPr="00F43B08">
                              <w:rPr>
                                <w:rFonts w:ascii="Roboto" w:eastAsia="Calibri" w:hAnsi="Roboto" w:cs="Calibri"/>
                                <w:color w:val="404040" w:themeColor="text1" w:themeTint="BF"/>
                                <w:sz w:val="20"/>
                                <w:szCs w:val="20"/>
                              </w:rPr>
                              <w:t>(2007): Particularly pp. 10-13 on the government sector and pp 19-21 and 28-31 on aspects of relationships with the private sector].</w:t>
                            </w:r>
                          </w:p>
                          <w:p w14:paraId="6C7B69E1" w14:textId="77777777" w:rsidR="00D15FD8" w:rsidRPr="006A6C50" w:rsidRDefault="00D15FD8" w:rsidP="002D14C0">
                            <w:pPr>
                              <w:suppressOverlap/>
                              <w:rPr>
                                <w:rFonts w:ascii="Roboto" w:hAnsi="Roboto"/>
                                <w:sz w:val="20"/>
                                <w:szCs w:val="20"/>
                              </w:rPr>
                            </w:pPr>
                          </w:p>
                          <w:p w14:paraId="5599CBA2" w14:textId="77777777" w:rsidR="00D15FD8" w:rsidRPr="006A6C50" w:rsidRDefault="00AC4DF7" w:rsidP="002D14C0">
                            <w:pPr>
                              <w:suppressOverlap/>
                              <w:rPr>
                                <w:rFonts w:ascii="Roboto" w:eastAsia="Calibri" w:hAnsi="Roboto" w:cs="Calibri"/>
                                <w:color w:val="404040" w:themeColor="text1" w:themeTint="BF"/>
                                <w:sz w:val="20"/>
                                <w:szCs w:val="20"/>
                              </w:rPr>
                            </w:pPr>
                            <w:hyperlink r:id="rId247" w:history="1">
                              <w:r w:rsidR="00D15FD8" w:rsidRPr="006A6C50">
                                <w:rPr>
                                  <w:rFonts w:ascii="Roboto" w:hAnsi="Roboto"/>
                                  <w:b/>
                                  <w:color w:val="1E9A8C"/>
                                  <w:sz w:val="20"/>
                                  <w:szCs w:val="20"/>
                                </w:rPr>
                                <w:t>International Public Sector Accounting Standards Board</w:t>
                              </w:r>
                            </w:hyperlink>
                            <w:r w:rsidR="00D15FD8" w:rsidRPr="006A6C50">
                              <w:rPr>
                                <w:rFonts w:ascii="Roboto" w:eastAsia="Calibri" w:hAnsi="Roboto" w:cs="Calibri"/>
                                <w:b/>
                                <w:color w:val="404040" w:themeColor="text1" w:themeTint="BF"/>
                                <w:sz w:val="20"/>
                                <w:szCs w:val="20"/>
                              </w:rPr>
                              <w:t xml:space="preserve"> </w:t>
                            </w:r>
                            <w:r w:rsidR="00D15FD8" w:rsidRPr="006A6C50">
                              <w:rPr>
                                <w:rFonts w:ascii="Roboto" w:eastAsia="Calibri" w:hAnsi="Roboto" w:cs="Calibri"/>
                                <w:color w:val="404040" w:themeColor="text1" w:themeTint="BF"/>
                                <w:sz w:val="20"/>
                                <w:szCs w:val="20"/>
                              </w:rPr>
                              <w:t xml:space="preserve">(IPSASB):  </w:t>
                            </w:r>
                            <w:hyperlink r:id="rId248" w:history="1">
                              <w:r w:rsidR="00D15FD8" w:rsidRPr="006A6C50">
                                <w:rPr>
                                  <w:rStyle w:val="Hyperlink"/>
                                  <w:rFonts w:ascii="Roboto" w:eastAsia="Calibri" w:hAnsi="Roboto" w:cs="Calibri"/>
                                  <w:color w:val="F26C21"/>
                                  <w:sz w:val="20"/>
                                  <w:szCs w:val="20"/>
                                </w:rPr>
                                <w:t>Handbook on International Public Sector Accounting Pronouncements</w:t>
                              </w:r>
                            </w:hyperlink>
                            <w:r w:rsidR="00D15FD8" w:rsidRPr="006A6C50">
                              <w:rPr>
                                <w:rFonts w:ascii="Roboto" w:eastAsia="Calibri" w:hAnsi="Roboto" w:cs="Calibri"/>
                                <w:color w:val="404040" w:themeColor="text1" w:themeTint="BF"/>
                                <w:sz w:val="20"/>
                                <w:szCs w:val="20"/>
                              </w:rPr>
                              <w:t xml:space="preserve"> (202</w:t>
                            </w:r>
                            <w:r w:rsidR="00D15FD8">
                              <w:rPr>
                                <w:rFonts w:ascii="Roboto" w:eastAsia="Calibri" w:hAnsi="Roboto" w:cs="Calibri"/>
                                <w:color w:val="404040" w:themeColor="text1" w:themeTint="BF"/>
                                <w:sz w:val="20"/>
                                <w:szCs w:val="20"/>
                              </w:rPr>
                              <w:t>2</w:t>
                            </w:r>
                            <w:r w:rsidR="00D15FD8" w:rsidRPr="006A6C50">
                              <w:rPr>
                                <w:rFonts w:ascii="Roboto" w:eastAsia="Calibri" w:hAnsi="Roboto" w:cs="Calibri"/>
                                <w:color w:val="404040" w:themeColor="text1" w:themeTint="BF"/>
                                <w:sz w:val="20"/>
                                <w:szCs w:val="20"/>
                              </w:rPr>
                              <w:t xml:space="preserve">): Sets out requirements for the presentation and preparation of consolidated financial statements when an entity controls one of more other entities and provides supporting definitions and explanations. </w:t>
                            </w:r>
                          </w:p>
                          <w:p w14:paraId="0825D91A" w14:textId="77777777" w:rsidR="00D15FD8" w:rsidRPr="006A6C50" w:rsidRDefault="00D15FD8" w:rsidP="002D14C0">
                            <w:pPr>
                              <w:suppressOverlap/>
                              <w:rPr>
                                <w:rFonts w:ascii="Roboto" w:eastAsia="Calibri" w:hAnsi="Roboto" w:cs="Calibri"/>
                                <w:color w:val="404040" w:themeColor="text1" w:themeTint="BF"/>
                                <w:sz w:val="20"/>
                                <w:szCs w:val="20"/>
                              </w:rPr>
                            </w:pPr>
                          </w:p>
                          <w:p w14:paraId="2F06665B" w14:textId="77777777" w:rsidR="00D15FD8" w:rsidRPr="006A6C50" w:rsidRDefault="00D15FD8" w:rsidP="002D14C0">
                            <w:pPr>
                              <w:suppressOverlap/>
                              <w:rPr>
                                <w:rFonts w:ascii="Roboto" w:eastAsia="Calibri" w:hAnsi="Roboto" w:cs="Calibri"/>
                                <w:bCs/>
                                <w:i/>
                                <w:color w:val="1E9A8C"/>
                                <w:sz w:val="20"/>
                                <w:szCs w:val="20"/>
                              </w:rPr>
                            </w:pPr>
                            <w:r w:rsidRPr="006A6C50">
                              <w:rPr>
                                <w:rFonts w:ascii="Roboto" w:eastAsia="Calibri" w:hAnsi="Roboto" w:cs="Calibri"/>
                                <w:b/>
                                <w:bCs/>
                                <w:color w:val="1E9A8C"/>
                                <w:sz w:val="20"/>
                                <w:szCs w:val="20"/>
                              </w:rPr>
                              <w:t>OECD</w:t>
                            </w:r>
                            <w:r w:rsidRPr="006A6C50">
                              <w:rPr>
                                <w:rFonts w:ascii="Roboto" w:eastAsia="Calibri" w:hAnsi="Roboto" w:cs="Calibri"/>
                                <w:bCs/>
                                <w:color w:val="1E9A8C"/>
                                <w:sz w:val="20"/>
                                <w:szCs w:val="20"/>
                              </w:rPr>
                              <w:t>:</w:t>
                            </w:r>
                            <w:r w:rsidRPr="006A6C50">
                              <w:rPr>
                                <w:rFonts w:ascii="Roboto" w:eastAsia="Calibri" w:hAnsi="Roboto" w:cs="Calibri"/>
                                <w:bCs/>
                                <w:i/>
                                <w:color w:val="1E9A8C"/>
                                <w:sz w:val="20"/>
                                <w:szCs w:val="20"/>
                              </w:rPr>
                              <w:t xml:space="preserve"> </w:t>
                            </w:r>
                          </w:p>
                          <w:p w14:paraId="23917578" w14:textId="77777777" w:rsidR="00D15FD8" w:rsidRPr="006A6C50" w:rsidRDefault="00D15FD8" w:rsidP="00B70258">
                            <w:pPr>
                              <w:pStyle w:val="ListParagraph"/>
                              <w:numPr>
                                <w:ilvl w:val="0"/>
                                <w:numId w:val="30"/>
                              </w:numPr>
                              <w:ind w:left="305" w:hanging="305"/>
                              <w:suppressOverlap/>
                              <w:rPr>
                                <w:rFonts w:ascii="Roboto" w:eastAsia="Calibri" w:hAnsi="Roboto" w:cs="Calibri"/>
                                <w:color w:val="404040" w:themeColor="text1" w:themeTint="BF"/>
                                <w:sz w:val="20"/>
                                <w:szCs w:val="20"/>
                              </w:rPr>
                            </w:pPr>
                            <w:r w:rsidRPr="006A6C50">
                              <w:rPr>
                                <w:rFonts w:ascii="Roboto" w:eastAsia="Calibri" w:hAnsi="Roboto" w:cs="Calibri"/>
                                <w:color w:val="404040" w:themeColor="text1" w:themeTint="BF"/>
                                <w:sz w:val="20"/>
                                <w:szCs w:val="20"/>
                              </w:rPr>
                              <w:t xml:space="preserve">A number of instruments cover transparency and accountability in government procurement including the </w:t>
                            </w:r>
                            <w:hyperlink r:id="rId249" w:history="1">
                              <w:r w:rsidRPr="006A6C50">
                                <w:rPr>
                                  <w:rStyle w:val="Hyperlink"/>
                                  <w:rFonts w:ascii="Roboto" w:eastAsia="Calibri" w:hAnsi="Roboto" w:cs="Calibri"/>
                                  <w:color w:val="F26C21"/>
                                  <w:sz w:val="20"/>
                                  <w:szCs w:val="20"/>
                                </w:rPr>
                                <w:t>Recommendation on Public Procurement</w:t>
                              </w:r>
                            </w:hyperlink>
                            <w:r w:rsidRPr="006A6C50">
                              <w:rPr>
                                <w:rFonts w:ascii="Roboto" w:eastAsia="Calibri" w:hAnsi="Roboto" w:cs="Calibri"/>
                                <w:color w:val="F26C21"/>
                                <w:sz w:val="20"/>
                                <w:szCs w:val="20"/>
                                <w:u w:val="single"/>
                              </w:rPr>
                              <w:t xml:space="preserve"> </w:t>
                            </w:r>
                            <w:r w:rsidRPr="006A6C50">
                              <w:rPr>
                                <w:rFonts w:ascii="Roboto" w:eastAsia="Calibri" w:hAnsi="Roboto" w:cs="Calibri"/>
                                <w:color w:val="404040" w:themeColor="text1" w:themeTint="BF"/>
                                <w:sz w:val="20"/>
                                <w:szCs w:val="20"/>
                              </w:rPr>
                              <w:t xml:space="preserve">[see OECD </w:t>
                            </w:r>
                            <w:hyperlink r:id="rId250" w:history="1">
                              <w:r w:rsidRPr="006A6C50">
                                <w:rPr>
                                  <w:rStyle w:val="Hyperlink"/>
                                  <w:rFonts w:ascii="Roboto" w:eastAsia="Calibri" w:hAnsi="Roboto" w:cs="Calibri"/>
                                  <w:color w:val="F26C21"/>
                                  <w:sz w:val="20"/>
                                  <w:szCs w:val="20"/>
                                </w:rPr>
                                <w:t>Government Procurement Toolbox</w:t>
                              </w:r>
                            </w:hyperlink>
                            <w:r w:rsidRPr="006A6C50">
                              <w:rPr>
                                <w:rFonts w:ascii="Roboto" w:eastAsia="Calibri" w:hAnsi="Roboto" w:cs="Calibri"/>
                                <w:color w:val="404040" w:themeColor="text1" w:themeTint="BF"/>
                                <w:sz w:val="20"/>
                                <w:szCs w:val="20"/>
                              </w:rPr>
                              <w:t xml:space="preserve"> and </w:t>
                            </w:r>
                            <w:hyperlink r:id="rId251" w:history="1">
                              <w:r w:rsidRPr="006A6C50">
                                <w:rPr>
                                  <w:rStyle w:val="Hyperlink"/>
                                  <w:rFonts w:ascii="Roboto" w:eastAsia="Calibri" w:hAnsi="Roboto" w:cs="Calibri"/>
                                  <w:color w:val="F26C21"/>
                                  <w:sz w:val="20"/>
                                  <w:szCs w:val="20"/>
                                </w:rPr>
                                <w:t>G20 Guiding Principles on Integrity in Public Procurement</w:t>
                              </w:r>
                            </w:hyperlink>
                            <w:r w:rsidRPr="006A6C50">
                              <w:rPr>
                                <w:rFonts w:ascii="Roboto" w:eastAsia="Calibri" w:hAnsi="Roboto" w:cs="Calibri"/>
                                <w:color w:val="404040" w:themeColor="text1" w:themeTint="BF"/>
                                <w:sz w:val="20"/>
                                <w:szCs w:val="20"/>
                              </w:rPr>
                              <w:t xml:space="preserve"> (2015)]. </w:t>
                            </w:r>
                          </w:p>
                          <w:p w14:paraId="1E545037" w14:textId="77777777" w:rsidR="00D15FD8" w:rsidRPr="006A6C50" w:rsidRDefault="00AC4DF7" w:rsidP="00B70258">
                            <w:pPr>
                              <w:pStyle w:val="ListParagraph"/>
                              <w:numPr>
                                <w:ilvl w:val="0"/>
                                <w:numId w:val="30"/>
                              </w:numPr>
                              <w:ind w:left="305" w:hanging="305"/>
                              <w:suppressOverlap/>
                              <w:rPr>
                                <w:rFonts w:ascii="Roboto" w:eastAsia="Calibri" w:hAnsi="Roboto" w:cs="Calibri"/>
                                <w:color w:val="404040" w:themeColor="text1" w:themeTint="BF"/>
                                <w:sz w:val="20"/>
                                <w:szCs w:val="20"/>
                              </w:rPr>
                            </w:pPr>
                            <w:hyperlink r:id="rId252" w:history="1">
                              <w:r w:rsidR="00D15FD8" w:rsidRPr="006A6C50">
                                <w:rPr>
                                  <w:rStyle w:val="Hyperlink"/>
                                  <w:rFonts w:ascii="Roboto" w:eastAsia="Calibri" w:hAnsi="Roboto" w:cs="Calibri"/>
                                  <w:color w:val="F26C21"/>
                                  <w:sz w:val="20"/>
                                  <w:szCs w:val="20"/>
                                </w:rPr>
                                <w:t>Budget Transparency Toolkit</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(2017)</w:t>
                            </w:r>
                            <w:r w:rsidR="00D15FD8" w:rsidRPr="006A6C50">
                              <w:rPr>
                                <w:rFonts w:ascii="Roboto" w:eastAsia="Calibri" w:hAnsi="Roboto" w:cs="Calibri"/>
                                <w:bCs/>
                                <w:iCs/>
                                <w:color w:val="404040" w:themeColor="text1" w:themeTint="BF"/>
                                <w:sz w:val="20"/>
                                <w:szCs w:val="20"/>
                              </w:rPr>
                              <w:t>:</w:t>
                            </w:r>
                            <w:r w:rsidR="00D15FD8" w:rsidRPr="006A6C50">
                              <w:rPr>
                                <w:rFonts w:ascii="Roboto" w:eastAsia="Calibri" w:hAnsi="Roboto" w:cs="Calibri"/>
                                <w:bCs/>
                                <w:color w:val="404040" w:themeColor="text1" w:themeTint="BF"/>
                                <w:sz w:val="20"/>
                                <w:szCs w:val="20"/>
                              </w:rPr>
                              <w:t xml:space="preserve"> States that information should cover the entire public sector and contains a section on promoting integrity with the private sector, including opening up public contracting and procurement, accounting for revenues and expenditures in resource endowments, and managing infrastructure investment for integrity, value for money, and transparency. It includes citations of relevant international standards, selected country examples of good practice, and sources of further guidance.</w:t>
                            </w:r>
                          </w:p>
                          <w:p w14:paraId="23961CBB" w14:textId="77777777" w:rsidR="00D15FD8" w:rsidRPr="006A6C50" w:rsidRDefault="00D15FD8" w:rsidP="002D14C0">
                            <w:pPr>
                              <w:pStyle w:val="ListParagraph"/>
                              <w:ind w:left="305"/>
                              <w:suppressOverlap/>
                              <w:rPr>
                                <w:rFonts w:ascii="Roboto" w:eastAsia="Calibri" w:hAnsi="Roboto" w:cs="Calibri"/>
                                <w:color w:val="404040" w:themeColor="text1" w:themeTint="BF"/>
                                <w:sz w:val="20"/>
                                <w:szCs w:val="20"/>
                              </w:rPr>
                            </w:pPr>
                          </w:p>
                          <w:p w14:paraId="50D9081A" w14:textId="77777777" w:rsidR="00D15FD8" w:rsidRPr="006A6C50" w:rsidRDefault="00D15FD8" w:rsidP="002D14C0">
                            <w:pPr>
                              <w:suppressOverlap/>
                              <w:rPr>
                                <w:rFonts w:ascii="Roboto" w:eastAsia="Calibri" w:hAnsi="Roboto" w:cs="Calibri"/>
                                <w:b/>
                                <w:bCs/>
                                <w:color w:val="1E9A8C"/>
                                <w:sz w:val="20"/>
                                <w:szCs w:val="20"/>
                              </w:rPr>
                            </w:pPr>
                            <w:r w:rsidRPr="006A6C50">
                              <w:rPr>
                                <w:rFonts w:ascii="Roboto" w:eastAsia="Calibri" w:hAnsi="Roboto" w:cs="Calibri"/>
                                <w:b/>
                                <w:bCs/>
                                <w:color w:val="1E9A8C"/>
                                <w:sz w:val="20"/>
                                <w:szCs w:val="20"/>
                              </w:rPr>
                              <w:t xml:space="preserve">Open Contracting Partnership: </w:t>
                            </w:r>
                          </w:p>
                          <w:p w14:paraId="3118A2F1" w14:textId="0995E2EE" w:rsidR="00D15FD8" w:rsidRDefault="00AC4DF7" w:rsidP="00B70258">
                            <w:pPr>
                              <w:pStyle w:val="ListParagraph"/>
                              <w:numPr>
                                <w:ilvl w:val="0"/>
                                <w:numId w:val="31"/>
                              </w:numPr>
                              <w:ind w:left="306" w:hanging="306"/>
                              <w:suppressOverlap/>
                              <w:rPr>
                                <w:rFonts w:ascii="Roboto" w:eastAsia="Calibri" w:hAnsi="Roboto" w:cs="Calibri"/>
                                <w:color w:val="404040" w:themeColor="text1" w:themeTint="BF"/>
                                <w:sz w:val="20"/>
                                <w:szCs w:val="20"/>
                              </w:rPr>
                            </w:pPr>
                            <w:hyperlink r:id="rId253" w:anchor=":~:text=The%20Open%20Contracting%20Data%20Standard,a%20wide%20range%20of%20users." w:history="1">
                              <w:r w:rsidR="00D15FD8" w:rsidRPr="006A6C50">
                                <w:rPr>
                                  <w:rStyle w:val="Hyperlink"/>
                                  <w:rFonts w:ascii="Roboto" w:eastAsia="Calibri" w:hAnsi="Roboto" w:cs="Calibri"/>
                                  <w:color w:val="F26C21"/>
                                  <w:sz w:val="20"/>
                                  <w:szCs w:val="20"/>
                                </w:rPr>
                                <w:t>Open Contracting Data Standard</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 xml:space="preserve">(OCDS):  Enables disclosure of data and documents at all stages of the contracting process by defining a common data model. It was created to support organizations to increase contracting transparency, and allow deeper analysis of contracting data by a wide range of users. It enables publication of shareable, reusable, machine readable data, joining of that data with related information, and </w:t>
                            </w:r>
                            <w:r w:rsidR="00D15FD8">
                              <w:rPr>
                                <w:rFonts w:ascii="Roboto" w:eastAsia="Calibri" w:hAnsi="Roboto" w:cs="Calibri"/>
                                <w:color w:val="404040" w:themeColor="text1" w:themeTint="BF"/>
                                <w:sz w:val="20"/>
                                <w:szCs w:val="20"/>
                              </w:rPr>
                              <w:t xml:space="preserve">the </w:t>
                            </w:r>
                            <w:r w:rsidR="00D15FD8" w:rsidRPr="006A6C50">
                              <w:rPr>
                                <w:rFonts w:ascii="Roboto" w:eastAsia="Calibri" w:hAnsi="Roboto" w:cs="Calibri"/>
                                <w:color w:val="404040" w:themeColor="text1" w:themeTint="BF"/>
                                <w:sz w:val="20"/>
                                <w:szCs w:val="20"/>
                              </w:rPr>
                              <w:t>creation of tools to analyse or share that data.</w:t>
                            </w:r>
                          </w:p>
                          <w:p w14:paraId="5633CC88" w14:textId="77777777" w:rsidR="00D15FD8" w:rsidRPr="006A6C50" w:rsidRDefault="00AC4DF7" w:rsidP="00B70258">
                            <w:pPr>
                              <w:pStyle w:val="ListParagraph"/>
                              <w:numPr>
                                <w:ilvl w:val="0"/>
                                <w:numId w:val="31"/>
                              </w:numPr>
                              <w:ind w:left="306" w:hanging="306"/>
                              <w:suppressOverlap/>
                              <w:rPr>
                                <w:rFonts w:ascii="Roboto" w:eastAsia="Calibri" w:hAnsi="Roboto" w:cs="Calibri"/>
                                <w:color w:val="404040" w:themeColor="text1" w:themeTint="BF"/>
                                <w:sz w:val="20"/>
                                <w:szCs w:val="20"/>
                              </w:rPr>
                            </w:pPr>
                            <w:hyperlink r:id="rId254" w:history="1">
                              <w:r w:rsidR="00D15FD8" w:rsidRPr="006A6C50">
                                <w:rPr>
                                  <w:rStyle w:val="Hyperlink"/>
                                  <w:rFonts w:ascii="Roboto" w:eastAsia="Calibri" w:hAnsi="Roboto" w:cs="Calibri"/>
                                  <w:color w:val="F26C21"/>
                                  <w:sz w:val="20"/>
                                  <w:szCs w:val="20"/>
                                </w:rPr>
                                <w:t>Open Contracting – A Guide for Practitioners by Practitioners</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Good practices are described.</w:t>
                            </w:r>
                          </w:p>
                          <w:p w14:paraId="1C3A5C45" w14:textId="77777777" w:rsidR="00D15FD8" w:rsidRPr="006A6C50" w:rsidRDefault="00D15FD8" w:rsidP="002D14C0">
                            <w:pPr>
                              <w:suppressOverlap/>
                              <w:rPr>
                                <w:rFonts w:ascii="Roboto" w:eastAsia="Calibri" w:hAnsi="Roboto" w:cs="Calibri"/>
                                <w:color w:val="404040" w:themeColor="text1" w:themeTint="BF"/>
                                <w:sz w:val="20"/>
                                <w:szCs w:val="20"/>
                              </w:rPr>
                            </w:pPr>
                          </w:p>
                          <w:p w14:paraId="05F274E6" w14:textId="51FEBC7F" w:rsidR="00D15FD8" w:rsidRPr="006A6C50"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689DD" id="Text Box 1930" o:spid="_x0000_s1157" type="#_x0000_t202" style="position:absolute;margin-left:2pt;margin-top:0;width:694.3pt;height:418pt;z-index:253656062;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" filled="f" stroked="f" strokeweight=".5pt">
                <v:textbox>
                  <w:txbxContent>
                    <w:p w14:paraId="030DF36A" w14:textId="77777777" w:rsidR="00D15FD8" w:rsidRPr="006A6C50" w:rsidRDefault="00D15FD8" w:rsidP="002D14C0">
                      <w:pPr>
                        <w:spacing w:after="160" w:line="259" w:lineRule="auto"/>
                        <w:suppressOverlap/>
                        <w:rPr>
                          <w:rFonts w:ascii="Roboto" w:eastAsia="Calibri" w:hAnsi="Roboto" w:cs="Calibri"/>
                          <w:color w:val="404040" w:themeColor="text1" w:themeTint="BF"/>
                          <w:sz w:val="20"/>
                          <w:szCs w:val="20"/>
                        </w:rPr>
                      </w:pPr>
                      <w:r w:rsidRPr="006A6C50">
                        <w:rPr>
                          <w:rFonts w:ascii="Roboto" w:eastAsia="Calibri" w:hAnsi="Roboto" w:cs="Calibri"/>
                          <w:b/>
                          <w:color w:val="1E9A8C"/>
                          <w:sz w:val="20"/>
                          <w:szCs w:val="20"/>
                        </w:rPr>
                        <w:t>United Nations:</w:t>
                      </w:r>
                      <w:r w:rsidRPr="006A6C50">
                        <w:rPr>
                          <w:rFonts w:ascii="Roboto" w:eastAsia="Calibri" w:hAnsi="Roboto" w:cs="Calibri"/>
                          <w:color w:val="1E9A8C"/>
                          <w:sz w:val="20"/>
                          <w:szCs w:val="20"/>
                        </w:rPr>
                        <w:t xml:space="preserve"> </w:t>
                      </w:r>
                      <w:hyperlink r:id="rId255" w:history="1">
                        <w:r w:rsidRPr="006A6C50">
                          <w:rPr>
                            <w:rStyle w:val="Hyperlink"/>
                            <w:rFonts w:ascii="Roboto" w:eastAsia="Calibri" w:hAnsi="Roboto" w:cs="Calibri"/>
                            <w:color w:val="F26C21"/>
                            <w:sz w:val="20"/>
                            <w:szCs w:val="20"/>
                          </w:rPr>
                          <w:t>System of National Accounts</w:t>
                        </w:r>
                      </w:hyperlink>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(2008): Explains the distinction between the government sector, the rest of the public sector, and other sectors of the economy.</w:t>
                      </w:r>
                    </w:p>
                    <w:p w14:paraId="493FD81D" w14:textId="77777777" w:rsidR="00D15FD8" w:rsidRPr="006A6C50" w:rsidRDefault="00D15FD8" w:rsidP="002D14C0">
                      <w:pPr>
                        <w:suppressOverlap/>
                        <w:rPr>
                          <w:rFonts w:ascii="Roboto" w:eastAsia="Calibri" w:hAnsi="Roboto" w:cs="Calibri"/>
                          <w:color w:val="1E9A8C"/>
                          <w:sz w:val="20"/>
                          <w:szCs w:val="20"/>
                        </w:rPr>
                      </w:pPr>
                      <w:r w:rsidRPr="006A6C50">
                        <w:rPr>
                          <w:rFonts w:ascii="Roboto" w:eastAsia="Calibri" w:hAnsi="Roboto" w:cs="Calibri"/>
                          <w:b/>
                          <w:color w:val="1E9A8C"/>
                          <w:sz w:val="20"/>
                          <w:szCs w:val="20"/>
                        </w:rPr>
                        <w:t>IMF:</w:t>
                      </w:r>
                      <w:r w:rsidRPr="006A6C50">
                        <w:rPr>
                          <w:rFonts w:ascii="Roboto" w:eastAsia="Calibri" w:hAnsi="Roboto" w:cs="Calibri"/>
                          <w:color w:val="1E9A8C"/>
                          <w:sz w:val="20"/>
                          <w:szCs w:val="20"/>
                        </w:rPr>
                        <w:t xml:space="preserve"> </w:t>
                      </w:r>
                    </w:p>
                    <w:p w14:paraId="3152A9A1" w14:textId="77777777" w:rsidR="00D15FD8" w:rsidRPr="006A6C50" w:rsidRDefault="00AC4DF7" w:rsidP="00B70258">
                      <w:pPr>
                        <w:pStyle w:val="ListParagraph"/>
                        <w:numPr>
                          <w:ilvl w:val="0"/>
                          <w:numId w:val="25"/>
                        </w:numPr>
                        <w:ind w:left="308" w:hanging="308"/>
                        <w:suppressOverlap/>
                        <w:rPr>
                          <w:rFonts w:ascii="Roboto" w:eastAsia="Calibri" w:hAnsi="Roboto" w:cs="Calibri"/>
                          <w:color w:val="404040" w:themeColor="text1" w:themeTint="BF"/>
                          <w:sz w:val="20"/>
                          <w:szCs w:val="20"/>
                        </w:rPr>
                      </w:pPr>
                      <w:hyperlink r:id="rId256" w:history="1">
                        <w:r w:rsidR="00D15FD8" w:rsidRPr="006A6C50">
                          <w:rPr>
                            <w:rStyle w:val="Hyperlink"/>
                            <w:rFonts w:ascii="Roboto" w:eastAsia="Calibri" w:hAnsi="Roboto" w:cs="Calibri"/>
                            <w:color w:val="F26C21"/>
                            <w:sz w:val="20"/>
                            <w:szCs w:val="20"/>
                          </w:rPr>
                          <w:t>Government Finance Statistics (GFS) Manual</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(2014): Explores the distinction between the government sector, the rest of the public sector, and other sectors of the economy further, together with the treatment of the different levels of government and the social security institutions.</w:t>
                      </w:r>
                    </w:p>
                    <w:p w14:paraId="4B424ED8" w14:textId="77777777" w:rsidR="00D15FD8" w:rsidRPr="006A6C50" w:rsidRDefault="00AC4DF7" w:rsidP="00B70258">
                      <w:pPr>
                        <w:pStyle w:val="ListParagraph"/>
                        <w:numPr>
                          <w:ilvl w:val="0"/>
                          <w:numId w:val="25"/>
                        </w:numPr>
                        <w:ind w:left="305" w:hanging="308"/>
                        <w:suppressOverlap/>
                        <w:rPr>
                          <w:rFonts w:ascii="Roboto" w:eastAsia="Calibri" w:hAnsi="Roboto" w:cs="Calibri"/>
                          <w:color w:val="404040" w:themeColor="text1" w:themeTint="BF"/>
                          <w:sz w:val="20"/>
                          <w:szCs w:val="20"/>
                        </w:rPr>
                      </w:pPr>
                      <w:hyperlink r:id="rId257" w:history="1">
                        <w:r w:rsidR="00D15FD8" w:rsidRPr="006A6C50">
                          <w:rPr>
                            <w:rStyle w:val="Hyperlink"/>
                            <w:rFonts w:ascii="Roboto" w:eastAsia="Calibri" w:hAnsi="Roboto" w:cs="Calibri"/>
                            <w:color w:val="F26C21"/>
                            <w:sz w:val="20"/>
                            <w:szCs w:val="20"/>
                          </w:rPr>
                          <w:t>Fiscal Transparency Code</w:t>
                        </w:r>
                      </w:hyperlink>
                      <w:r w:rsidR="00D15FD8" w:rsidRPr="006A6C50">
                        <w:rPr>
                          <w:rFonts w:ascii="Roboto" w:eastAsia="Calibri" w:hAnsi="Roboto" w:cs="Calibri"/>
                          <w:color w:val="404040" w:themeColor="text1" w:themeTint="BF"/>
                          <w:sz w:val="20"/>
                          <w:szCs w:val="20"/>
                        </w:rPr>
                        <w:t xml:space="preserve"> (2019): States that fiscal reports should provide a comprehensive overview of the fiscal activities of the public sector and its sub-sectors, according to international standards. It also deals with the boundaries and relationships between the government and the private sector for fiscal reporting and in the contexts of fiscal risk management and natural resource management. Also deals with the transparency of the financial position and performance of sub-national governments, public corporations and natural resource corporations.</w:t>
                      </w:r>
                    </w:p>
                    <w:p w14:paraId="49D787A4" w14:textId="77777777" w:rsidR="00D15FD8" w:rsidRPr="00F43B08" w:rsidRDefault="00D15FD8" w:rsidP="002D14C0">
                      <w:pPr>
                        <w:pStyle w:val="ListParagraph"/>
                        <w:tabs>
                          <w:tab w:val="left" w:pos="270"/>
                        </w:tabs>
                        <w:ind w:left="270"/>
                        <w:suppressOverlap/>
                        <w:rPr>
                          <w:rFonts w:ascii="Roboto" w:eastAsia="Calibri" w:hAnsi="Roboto" w:cs="Calibri"/>
                          <w:color w:val="404040" w:themeColor="text1" w:themeTint="BF"/>
                          <w:sz w:val="20"/>
                          <w:szCs w:val="20"/>
                        </w:rPr>
                      </w:pPr>
                      <w:r>
                        <w:t>[</w:t>
                      </w:r>
                      <w:hyperlink r:id="rId258" w:history="1">
                        <w:r w:rsidRPr="00F43B08">
                          <w:rPr>
                            <w:rStyle w:val="Hyperlink"/>
                            <w:rFonts w:ascii="Roboto" w:eastAsia="Calibri" w:hAnsi="Roboto" w:cs="Calibri"/>
                            <w:color w:val="F26C21"/>
                            <w:sz w:val="20"/>
                            <w:szCs w:val="20"/>
                          </w:rPr>
                          <w:t>Manual on Fiscal Transparency</w:t>
                        </w:r>
                      </w:hyperlink>
                      <w:r w:rsidRPr="00F43B08">
                        <w:rPr>
                          <w:rFonts w:ascii="Roboto" w:eastAsia="Calibri" w:hAnsi="Roboto" w:cs="Calibri"/>
                          <w:color w:val="F26C21"/>
                          <w:sz w:val="20"/>
                          <w:szCs w:val="20"/>
                        </w:rPr>
                        <w:t xml:space="preserve"> </w:t>
                      </w:r>
                      <w:r w:rsidRPr="00F43B08">
                        <w:rPr>
                          <w:rFonts w:ascii="Roboto" w:eastAsia="Calibri" w:hAnsi="Roboto" w:cs="Calibri"/>
                          <w:color w:val="404040" w:themeColor="text1" w:themeTint="BF"/>
                          <w:sz w:val="20"/>
                          <w:szCs w:val="20"/>
                        </w:rPr>
                        <w:t>(2007): Particularly pp. 10-13 on the government sector and pp 19-21 and 28-31 on aspects of relationships with the private sector].</w:t>
                      </w:r>
                    </w:p>
                    <w:p w14:paraId="6C7B69E1" w14:textId="77777777" w:rsidR="00D15FD8" w:rsidRPr="006A6C50" w:rsidRDefault="00D15FD8" w:rsidP="002D14C0">
                      <w:pPr>
                        <w:suppressOverlap/>
                        <w:rPr>
                          <w:rFonts w:ascii="Roboto" w:hAnsi="Roboto"/>
                          <w:sz w:val="20"/>
                          <w:szCs w:val="20"/>
                        </w:rPr>
                      </w:pPr>
                    </w:p>
                    <w:p w14:paraId="5599CBA2" w14:textId="77777777" w:rsidR="00D15FD8" w:rsidRPr="006A6C50" w:rsidRDefault="00AC4DF7" w:rsidP="002D14C0">
                      <w:pPr>
                        <w:suppressOverlap/>
                        <w:rPr>
                          <w:rFonts w:ascii="Roboto" w:eastAsia="Calibri" w:hAnsi="Roboto" w:cs="Calibri"/>
                          <w:color w:val="404040" w:themeColor="text1" w:themeTint="BF"/>
                          <w:sz w:val="20"/>
                          <w:szCs w:val="20"/>
                        </w:rPr>
                      </w:pPr>
                      <w:hyperlink r:id="rId259" w:history="1">
                        <w:r w:rsidR="00D15FD8" w:rsidRPr="006A6C50">
                          <w:rPr>
                            <w:rFonts w:ascii="Roboto" w:hAnsi="Roboto"/>
                            <w:b/>
                            <w:color w:val="1E9A8C"/>
                            <w:sz w:val="20"/>
                            <w:szCs w:val="20"/>
                          </w:rPr>
                          <w:t>International Public Sector Accounting Standards Board</w:t>
                        </w:r>
                      </w:hyperlink>
                      <w:r w:rsidR="00D15FD8" w:rsidRPr="006A6C50">
                        <w:rPr>
                          <w:rFonts w:ascii="Roboto" w:eastAsia="Calibri" w:hAnsi="Roboto" w:cs="Calibri"/>
                          <w:b/>
                          <w:color w:val="404040" w:themeColor="text1" w:themeTint="BF"/>
                          <w:sz w:val="20"/>
                          <w:szCs w:val="20"/>
                        </w:rPr>
                        <w:t xml:space="preserve"> </w:t>
                      </w:r>
                      <w:r w:rsidR="00D15FD8" w:rsidRPr="006A6C50">
                        <w:rPr>
                          <w:rFonts w:ascii="Roboto" w:eastAsia="Calibri" w:hAnsi="Roboto" w:cs="Calibri"/>
                          <w:color w:val="404040" w:themeColor="text1" w:themeTint="BF"/>
                          <w:sz w:val="20"/>
                          <w:szCs w:val="20"/>
                        </w:rPr>
                        <w:t xml:space="preserve">(IPSASB):  </w:t>
                      </w:r>
                      <w:hyperlink r:id="rId260" w:history="1">
                        <w:r w:rsidR="00D15FD8" w:rsidRPr="006A6C50">
                          <w:rPr>
                            <w:rStyle w:val="Hyperlink"/>
                            <w:rFonts w:ascii="Roboto" w:eastAsia="Calibri" w:hAnsi="Roboto" w:cs="Calibri"/>
                            <w:color w:val="F26C21"/>
                            <w:sz w:val="20"/>
                            <w:szCs w:val="20"/>
                          </w:rPr>
                          <w:t>Handbook on International Public Sector Accounting Pronouncements</w:t>
                        </w:r>
                      </w:hyperlink>
                      <w:r w:rsidR="00D15FD8" w:rsidRPr="006A6C50">
                        <w:rPr>
                          <w:rFonts w:ascii="Roboto" w:eastAsia="Calibri" w:hAnsi="Roboto" w:cs="Calibri"/>
                          <w:color w:val="404040" w:themeColor="text1" w:themeTint="BF"/>
                          <w:sz w:val="20"/>
                          <w:szCs w:val="20"/>
                        </w:rPr>
                        <w:t xml:space="preserve"> (202</w:t>
                      </w:r>
                      <w:r w:rsidR="00D15FD8">
                        <w:rPr>
                          <w:rFonts w:ascii="Roboto" w:eastAsia="Calibri" w:hAnsi="Roboto" w:cs="Calibri"/>
                          <w:color w:val="404040" w:themeColor="text1" w:themeTint="BF"/>
                          <w:sz w:val="20"/>
                          <w:szCs w:val="20"/>
                        </w:rPr>
                        <w:t>2</w:t>
                      </w:r>
                      <w:r w:rsidR="00D15FD8" w:rsidRPr="006A6C50">
                        <w:rPr>
                          <w:rFonts w:ascii="Roboto" w:eastAsia="Calibri" w:hAnsi="Roboto" w:cs="Calibri"/>
                          <w:color w:val="404040" w:themeColor="text1" w:themeTint="BF"/>
                          <w:sz w:val="20"/>
                          <w:szCs w:val="20"/>
                        </w:rPr>
                        <w:t xml:space="preserve">): Sets out requirements for the presentation and preparation of consolidated financial statements when an entity controls one of more other entities and provides supporting definitions and explanations. </w:t>
                      </w:r>
                    </w:p>
                    <w:p w14:paraId="0825D91A" w14:textId="77777777" w:rsidR="00D15FD8" w:rsidRPr="006A6C50" w:rsidRDefault="00D15FD8" w:rsidP="002D14C0">
                      <w:pPr>
                        <w:suppressOverlap/>
                        <w:rPr>
                          <w:rFonts w:ascii="Roboto" w:eastAsia="Calibri" w:hAnsi="Roboto" w:cs="Calibri"/>
                          <w:color w:val="404040" w:themeColor="text1" w:themeTint="BF"/>
                          <w:sz w:val="20"/>
                          <w:szCs w:val="20"/>
                        </w:rPr>
                      </w:pPr>
                    </w:p>
                    <w:p w14:paraId="2F06665B" w14:textId="77777777" w:rsidR="00D15FD8" w:rsidRPr="006A6C50" w:rsidRDefault="00D15FD8" w:rsidP="002D14C0">
                      <w:pPr>
                        <w:suppressOverlap/>
                        <w:rPr>
                          <w:rFonts w:ascii="Roboto" w:eastAsia="Calibri" w:hAnsi="Roboto" w:cs="Calibri"/>
                          <w:bCs/>
                          <w:i/>
                          <w:color w:val="1E9A8C"/>
                          <w:sz w:val="20"/>
                          <w:szCs w:val="20"/>
                        </w:rPr>
                      </w:pPr>
                      <w:r w:rsidRPr="006A6C50">
                        <w:rPr>
                          <w:rFonts w:ascii="Roboto" w:eastAsia="Calibri" w:hAnsi="Roboto" w:cs="Calibri"/>
                          <w:b/>
                          <w:bCs/>
                          <w:color w:val="1E9A8C"/>
                          <w:sz w:val="20"/>
                          <w:szCs w:val="20"/>
                        </w:rPr>
                        <w:t>OECD</w:t>
                      </w:r>
                      <w:r w:rsidRPr="006A6C50">
                        <w:rPr>
                          <w:rFonts w:ascii="Roboto" w:eastAsia="Calibri" w:hAnsi="Roboto" w:cs="Calibri"/>
                          <w:bCs/>
                          <w:color w:val="1E9A8C"/>
                          <w:sz w:val="20"/>
                          <w:szCs w:val="20"/>
                        </w:rPr>
                        <w:t>:</w:t>
                      </w:r>
                      <w:r w:rsidRPr="006A6C50">
                        <w:rPr>
                          <w:rFonts w:ascii="Roboto" w:eastAsia="Calibri" w:hAnsi="Roboto" w:cs="Calibri"/>
                          <w:bCs/>
                          <w:i/>
                          <w:color w:val="1E9A8C"/>
                          <w:sz w:val="20"/>
                          <w:szCs w:val="20"/>
                        </w:rPr>
                        <w:t xml:space="preserve"> </w:t>
                      </w:r>
                    </w:p>
                    <w:p w14:paraId="23917578" w14:textId="77777777" w:rsidR="00D15FD8" w:rsidRPr="006A6C50" w:rsidRDefault="00D15FD8" w:rsidP="00B70258">
                      <w:pPr>
                        <w:pStyle w:val="ListParagraph"/>
                        <w:numPr>
                          <w:ilvl w:val="0"/>
                          <w:numId w:val="30"/>
                        </w:numPr>
                        <w:ind w:left="305" w:hanging="305"/>
                        <w:suppressOverlap/>
                        <w:rPr>
                          <w:rFonts w:ascii="Roboto" w:eastAsia="Calibri" w:hAnsi="Roboto" w:cs="Calibri"/>
                          <w:color w:val="404040" w:themeColor="text1" w:themeTint="BF"/>
                          <w:sz w:val="20"/>
                          <w:szCs w:val="20"/>
                        </w:rPr>
                      </w:pPr>
                      <w:r w:rsidRPr="006A6C50">
                        <w:rPr>
                          <w:rFonts w:ascii="Roboto" w:eastAsia="Calibri" w:hAnsi="Roboto" w:cs="Calibri"/>
                          <w:color w:val="404040" w:themeColor="text1" w:themeTint="BF"/>
                          <w:sz w:val="20"/>
                          <w:szCs w:val="20"/>
                        </w:rPr>
                        <w:t xml:space="preserve">A number of instruments cover transparency and accountability in government procurement including the </w:t>
                      </w:r>
                      <w:hyperlink r:id="rId261" w:history="1">
                        <w:r w:rsidRPr="006A6C50">
                          <w:rPr>
                            <w:rStyle w:val="Hyperlink"/>
                            <w:rFonts w:ascii="Roboto" w:eastAsia="Calibri" w:hAnsi="Roboto" w:cs="Calibri"/>
                            <w:color w:val="F26C21"/>
                            <w:sz w:val="20"/>
                            <w:szCs w:val="20"/>
                          </w:rPr>
                          <w:t>Recommendation on Public Procurement</w:t>
                        </w:r>
                      </w:hyperlink>
                      <w:r w:rsidRPr="006A6C50">
                        <w:rPr>
                          <w:rFonts w:ascii="Roboto" w:eastAsia="Calibri" w:hAnsi="Roboto" w:cs="Calibri"/>
                          <w:color w:val="F26C21"/>
                          <w:sz w:val="20"/>
                          <w:szCs w:val="20"/>
                          <w:u w:val="single"/>
                        </w:rPr>
                        <w:t xml:space="preserve"> </w:t>
                      </w:r>
                      <w:r w:rsidRPr="006A6C50">
                        <w:rPr>
                          <w:rFonts w:ascii="Roboto" w:eastAsia="Calibri" w:hAnsi="Roboto" w:cs="Calibri"/>
                          <w:color w:val="404040" w:themeColor="text1" w:themeTint="BF"/>
                          <w:sz w:val="20"/>
                          <w:szCs w:val="20"/>
                        </w:rPr>
                        <w:t xml:space="preserve">[see OECD </w:t>
                      </w:r>
                      <w:hyperlink r:id="rId262" w:history="1">
                        <w:r w:rsidRPr="006A6C50">
                          <w:rPr>
                            <w:rStyle w:val="Hyperlink"/>
                            <w:rFonts w:ascii="Roboto" w:eastAsia="Calibri" w:hAnsi="Roboto" w:cs="Calibri"/>
                            <w:color w:val="F26C21"/>
                            <w:sz w:val="20"/>
                            <w:szCs w:val="20"/>
                          </w:rPr>
                          <w:t>Government Procurement Toolbox</w:t>
                        </w:r>
                      </w:hyperlink>
                      <w:r w:rsidRPr="006A6C50">
                        <w:rPr>
                          <w:rFonts w:ascii="Roboto" w:eastAsia="Calibri" w:hAnsi="Roboto" w:cs="Calibri"/>
                          <w:color w:val="404040" w:themeColor="text1" w:themeTint="BF"/>
                          <w:sz w:val="20"/>
                          <w:szCs w:val="20"/>
                        </w:rPr>
                        <w:t xml:space="preserve"> and </w:t>
                      </w:r>
                      <w:hyperlink r:id="rId263" w:history="1">
                        <w:r w:rsidRPr="006A6C50">
                          <w:rPr>
                            <w:rStyle w:val="Hyperlink"/>
                            <w:rFonts w:ascii="Roboto" w:eastAsia="Calibri" w:hAnsi="Roboto" w:cs="Calibri"/>
                            <w:color w:val="F26C21"/>
                            <w:sz w:val="20"/>
                            <w:szCs w:val="20"/>
                          </w:rPr>
                          <w:t>G20 Guiding Principles on Integrity in Public Procurement</w:t>
                        </w:r>
                      </w:hyperlink>
                      <w:r w:rsidRPr="006A6C50">
                        <w:rPr>
                          <w:rFonts w:ascii="Roboto" w:eastAsia="Calibri" w:hAnsi="Roboto" w:cs="Calibri"/>
                          <w:color w:val="404040" w:themeColor="text1" w:themeTint="BF"/>
                          <w:sz w:val="20"/>
                          <w:szCs w:val="20"/>
                        </w:rPr>
                        <w:t xml:space="preserve"> (2015)]. </w:t>
                      </w:r>
                    </w:p>
                    <w:p w14:paraId="1E545037" w14:textId="77777777" w:rsidR="00D15FD8" w:rsidRPr="006A6C50" w:rsidRDefault="00AC4DF7" w:rsidP="00B70258">
                      <w:pPr>
                        <w:pStyle w:val="ListParagraph"/>
                        <w:numPr>
                          <w:ilvl w:val="0"/>
                          <w:numId w:val="30"/>
                        </w:numPr>
                        <w:ind w:left="305" w:hanging="305"/>
                        <w:suppressOverlap/>
                        <w:rPr>
                          <w:rFonts w:ascii="Roboto" w:eastAsia="Calibri" w:hAnsi="Roboto" w:cs="Calibri"/>
                          <w:color w:val="404040" w:themeColor="text1" w:themeTint="BF"/>
                          <w:sz w:val="20"/>
                          <w:szCs w:val="20"/>
                        </w:rPr>
                      </w:pPr>
                      <w:hyperlink r:id="rId264" w:history="1">
                        <w:r w:rsidR="00D15FD8" w:rsidRPr="006A6C50">
                          <w:rPr>
                            <w:rStyle w:val="Hyperlink"/>
                            <w:rFonts w:ascii="Roboto" w:eastAsia="Calibri" w:hAnsi="Roboto" w:cs="Calibri"/>
                            <w:color w:val="F26C21"/>
                            <w:sz w:val="20"/>
                            <w:szCs w:val="20"/>
                          </w:rPr>
                          <w:t>Budget Transparency Toolkit</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(2017)</w:t>
                      </w:r>
                      <w:r w:rsidR="00D15FD8" w:rsidRPr="006A6C50">
                        <w:rPr>
                          <w:rFonts w:ascii="Roboto" w:eastAsia="Calibri" w:hAnsi="Roboto" w:cs="Calibri"/>
                          <w:bCs/>
                          <w:iCs/>
                          <w:color w:val="404040" w:themeColor="text1" w:themeTint="BF"/>
                          <w:sz w:val="20"/>
                          <w:szCs w:val="20"/>
                        </w:rPr>
                        <w:t>:</w:t>
                      </w:r>
                      <w:r w:rsidR="00D15FD8" w:rsidRPr="006A6C50">
                        <w:rPr>
                          <w:rFonts w:ascii="Roboto" w:eastAsia="Calibri" w:hAnsi="Roboto" w:cs="Calibri"/>
                          <w:bCs/>
                          <w:color w:val="404040" w:themeColor="text1" w:themeTint="BF"/>
                          <w:sz w:val="20"/>
                          <w:szCs w:val="20"/>
                        </w:rPr>
                        <w:t xml:space="preserve"> States that information should cover the entire public sector and contains a section on promoting integrity with the private sector, including opening up public contracting and procurement, accounting for revenues and expenditures in resource endowments, and managing infrastructure investment for integrity, value for money, and transparency. It includes citations of relevant international standards, selected country examples of good practice, and sources of further guidance.</w:t>
                      </w:r>
                    </w:p>
                    <w:p w14:paraId="23961CBB" w14:textId="77777777" w:rsidR="00D15FD8" w:rsidRPr="006A6C50" w:rsidRDefault="00D15FD8" w:rsidP="002D14C0">
                      <w:pPr>
                        <w:pStyle w:val="ListParagraph"/>
                        <w:ind w:left="305"/>
                        <w:suppressOverlap/>
                        <w:rPr>
                          <w:rFonts w:ascii="Roboto" w:eastAsia="Calibri" w:hAnsi="Roboto" w:cs="Calibri"/>
                          <w:color w:val="404040" w:themeColor="text1" w:themeTint="BF"/>
                          <w:sz w:val="20"/>
                          <w:szCs w:val="20"/>
                        </w:rPr>
                      </w:pPr>
                    </w:p>
                    <w:p w14:paraId="50D9081A" w14:textId="77777777" w:rsidR="00D15FD8" w:rsidRPr="006A6C50" w:rsidRDefault="00D15FD8" w:rsidP="002D14C0">
                      <w:pPr>
                        <w:suppressOverlap/>
                        <w:rPr>
                          <w:rFonts w:ascii="Roboto" w:eastAsia="Calibri" w:hAnsi="Roboto" w:cs="Calibri"/>
                          <w:b/>
                          <w:bCs/>
                          <w:color w:val="1E9A8C"/>
                          <w:sz w:val="20"/>
                          <w:szCs w:val="20"/>
                        </w:rPr>
                      </w:pPr>
                      <w:r w:rsidRPr="006A6C50">
                        <w:rPr>
                          <w:rFonts w:ascii="Roboto" w:eastAsia="Calibri" w:hAnsi="Roboto" w:cs="Calibri"/>
                          <w:b/>
                          <w:bCs/>
                          <w:color w:val="1E9A8C"/>
                          <w:sz w:val="20"/>
                          <w:szCs w:val="20"/>
                        </w:rPr>
                        <w:t xml:space="preserve">Open Contracting Partnership: </w:t>
                      </w:r>
                    </w:p>
                    <w:p w14:paraId="3118A2F1" w14:textId="0995E2EE" w:rsidR="00D15FD8" w:rsidRDefault="00AC4DF7" w:rsidP="00B70258">
                      <w:pPr>
                        <w:pStyle w:val="ListParagraph"/>
                        <w:numPr>
                          <w:ilvl w:val="0"/>
                          <w:numId w:val="31"/>
                        </w:numPr>
                        <w:ind w:left="306" w:hanging="306"/>
                        <w:suppressOverlap/>
                        <w:rPr>
                          <w:rFonts w:ascii="Roboto" w:eastAsia="Calibri" w:hAnsi="Roboto" w:cs="Calibri"/>
                          <w:color w:val="404040" w:themeColor="text1" w:themeTint="BF"/>
                          <w:sz w:val="20"/>
                          <w:szCs w:val="20"/>
                        </w:rPr>
                      </w:pPr>
                      <w:hyperlink r:id="rId265" w:anchor=":~:text=The%20Open%20Contracting%20Data%20Standard,a%20wide%20range%20of%20users." w:history="1">
                        <w:r w:rsidR="00D15FD8" w:rsidRPr="006A6C50">
                          <w:rPr>
                            <w:rStyle w:val="Hyperlink"/>
                            <w:rFonts w:ascii="Roboto" w:eastAsia="Calibri" w:hAnsi="Roboto" w:cs="Calibri"/>
                            <w:color w:val="F26C21"/>
                            <w:sz w:val="20"/>
                            <w:szCs w:val="20"/>
                          </w:rPr>
                          <w:t>Open Contracting Data Standard</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 xml:space="preserve">(OCDS):  Enables disclosure of data and documents at all stages of the contracting process by defining a common data model. It was created to support organizations to increase contracting transparency, and allow deeper analysis of contracting data by a wide range of users. It enables publication of shareable, reusable, machine readable data, joining of that data with related information, and </w:t>
                      </w:r>
                      <w:r w:rsidR="00D15FD8">
                        <w:rPr>
                          <w:rFonts w:ascii="Roboto" w:eastAsia="Calibri" w:hAnsi="Roboto" w:cs="Calibri"/>
                          <w:color w:val="404040" w:themeColor="text1" w:themeTint="BF"/>
                          <w:sz w:val="20"/>
                          <w:szCs w:val="20"/>
                        </w:rPr>
                        <w:t xml:space="preserve">the </w:t>
                      </w:r>
                      <w:r w:rsidR="00D15FD8" w:rsidRPr="006A6C50">
                        <w:rPr>
                          <w:rFonts w:ascii="Roboto" w:eastAsia="Calibri" w:hAnsi="Roboto" w:cs="Calibri"/>
                          <w:color w:val="404040" w:themeColor="text1" w:themeTint="BF"/>
                          <w:sz w:val="20"/>
                          <w:szCs w:val="20"/>
                        </w:rPr>
                        <w:t>creation of tools to analyse or share that data.</w:t>
                      </w:r>
                    </w:p>
                    <w:p w14:paraId="5633CC88" w14:textId="77777777" w:rsidR="00D15FD8" w:rsidRPr="006A6C50" w:rsidRDefault="00AC4DF7" w:rsidP="00B70258">
                      <w:pPr>
                        <w:pStyle w:val="ListParagraph"/>
                        <w:numPr>
                          <w:ilvl w:val="0"/>
                          <w:numId w:val="31"/>
                        </w:numPr>
                        <w:ind w:left="306" w:hanging="306"/>
                        <w:suppressOverlap/>
                        <w:rPr>
                          <w:rFonts w:ascii="Roboto" w:eastAsia="Calibri" w:hAnsi="Roboto" w:cs="Calibri"/>
                          <w:color w:val="404040" w:themeColor="text1" w:themeTint="BF"/>
                          <w:sz w:val="20"/>
                          <w:szCs w:val="20"/>
                        </w:rPr>
                      </w:pPr>
                      <w:hyperlink r:id="rId266" w:history="1">
                        <w:r w:rsidR="00D15FD8" w:rsidRPr="006A6C50">
                          <w:rPr>
                            <w:rStyle w:val="Hyperlink"/>
                            <w:rFonts w:ascii="Roboto" w:eastAsia="Calibri" w:hAnsi="Roboto" w:cs="Calibri"/>
                            <w:color w:val="F26C21"/>
                            <w:sz w:val="20"/>
                            <w:szCs w:val="20"/>
                          </w:rPr>
                          <w:t>Open Contracting – A Guide for Practitioners by Practitioners</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Good practices are described.</w:t>
                      </w:r>
                    </w:p>
                    <w:p w14:paraId="1C3A5C45" w14:textId="77777777" w:rsidR="00D15FD8" w:rsidRPr="006A6C50" w:rsidRDefault="00D15FD8" w:rsidP="002D14C0">
                      <w:pPr>
                        <w:suppressOverlap/>
                        <w:rPr>
                          <w:rFonts w:ascii="Roboto" w:eastAsia="Calibri" w:hAnsi="Roboto" w:cs="Calibri"/>
                          <w:color w:val="404040" w:themeColor="text1" w:themeTint="BF"/>
                          <w:sz w:val="20"/>
                          <w:szCs w:val="20"/>
                        </w:rPr>
                      </w:pPr>
                    </w:p>
                    <w:p w14:paraId="05F274E6" w14:textId="51FEBC7F" w:rsidR="00D15FD8" w:rsidRPr="006A6C50" w:rsidRDefault="00D15FD8" w:rsidP="002D14C0">
                      <w:pPr>
                        <w:rPr>
                          <w:rFonts w:ascii="Roboto" w:hAnsi="Roboto"/>
                          <w:sz w:val="20"/>
                          <w:szCs w:val="20"/>
                        </w:rPr>
                      </w:pPr>
                    </w:p>
                  </w:txbxContent>
                </v:textbox>
                <w10:wrap anchorx="margin" anchory="margin"/>
              </v:shape>
            </w:pict>
          </mc:Fallback>
        </mc:AlternateContent>
      </w:r>
    </w:p>
    <w:p w14:paraId="5B04902B" w14:textId="15C95DCA" w:rsidR="00203FAB" w:rsidRPr="006A6C50" w:rsidRDefault="00203FAB" w:rsidP="002D14C0">
      <w:pPr>
        <w:rPr>
          <w:rFonts w:ascii="Roboto" w:hAnsi="Roboto"/>
        </w:rPr>
      </w:pPr>
    </w:p>
    <w:p w14:paraId="591BADE4" w14:textId="46A75151" w:rsidR="00203FAB" w:rsidRPr="006A6C50" w:rsidRDefault="00203FAB" w:rsidP="002D14C0">
      <w:pPr>
        <w:rPr>
          <w:rFonts w:ascii="Roboto" w:hAnsi="Roboto"/>
        </w:rPr>
      </w:pPr>
    </w:p>
    <w:p w14:paraId="15EAEFBA" w14:textId="14BD95B9" w:rsidR="00203FAB" w:rsidRPr="006A6C50" w:rsidRDefault="00203FAB" w:rsidP="002D14C0">
      <w:pPr>
        <w:rPr>
          <w:rFonts w:ascii="Roboto" w:hAnsi="Roboto"/>
        </w:rPr>
      </w:pPr>
    </w:p>
    <w:p w14:paraId="70FB7B9F" w14:textId="775A7ED8" w:rsidR="00203FAB" w:rsidRPr="006A6C50" w:rsidRDefault="00203FAB" w:rsidP="002D14C0">
      <w:pPr>
        <w:rPr>
          <w:rFonts w:ascii="Roboto" w:hAnsi="Roboto"/>
        </w:rPr>
      </w:pPr>
    </w:p>
    <w:p w14:paraId="7AC286C8" w14:textId="4A4F812E" w:rsidR="00203FAB" w:rsidRPr="006A6C50" w:rsidRDefault="00203FAB" w:rsidP="002D14C0">
      <w:pPr>
        <w:rPr>
          <w:rFonts w:ascii="Roboto" w:hAnsi="Roboto"/>
        </w:rPr>
      </w:pPr>
    </w:p>
    <w:p w14:paraId="13B9A8F6" w14:textId="784E62C2" w:rsidR="00203FAB" w:rsidRPr="006A6C50" w:rsidRDefault="00203FAB" w:rsidP="002D14C0">
      <w:pPr>
        <w:rPr>
          <w:rFonts w:ascii="Roboto" w:hAnsi="Roboto"/>
        </w:rPr>
      </w:pPr>
    </w:p>
    <w:p w14:paraId="5493940C" w14:textId="4860B1A6" w:rsidR="00203FAB" w:rsidRPr="006A6C50" w:rsidRDefault="00203FAB" w:rsidP="002D14C0">
      <w:pPr>
        <w:rPr>
          <w:rFonts w:ascii="Roboto" w:hAnsi="Roboto"/>
        </w:rPr>
      </w:pPr>
    </w:p>
    <w:p w14:paraId="3CA3706B" w14:textId="73C79BFE" w:rsidR="00203FAB" w:rsidRPr="006A6C50" w:rsidRDefault="00203FAB" w:rsidP="002D14C0">
      <w:pPr>
        <w:rPr>
          <w:rFonts w:ascii="Roboto" w:hAnsi="Roboto"/>
        </w:rPr>
      </w:pPr>
    </w:p>
    <w:p w14:paraId="651C8D77" w14:textId="0F9BA7FA" w:rsidR="00203FAB" w:rsidRPr="006A6C50" w:rsidRDefault="00203FAB" w:rsidP="002D14C0">
      <w:pPr>
        <w:rPr>
          <w:rFonts w:ascii="Roboto" w:hAnsi="Roboto"/>
        </w:rPr>
      </w:pPr>
    </w:p>
    <w:p w14:paraId="136BEAD8" w14:textId="3E780A3D" w:rsidR="00203FAB" w:rsidRPr="006A6C50" w:rsidRDefault="00203FAB" w:rsidP="002D14C0">
      <w:pPr>
        <w:rPr>
          <w:rFonts w:ascii="Roboto" w:hAnsi="Roboto"/>
        </w:rPr>
      </w:pPr>
    </w:p>
    <w:p w14:paraId="2E1D276D" w14:textId="228398AB" w:rsidR="00203FAB" w:rsidRPr="006A6C50" w:rsidRDefault="00203FAB" w:rsidP="002D14C0">
      <w:pPr>
        <w:rPr>
          <w:rFonts w:ascii="Roboto" w:hAnsi="Roboto"/>
        </w:rPr>
      </w:pPr>
    </w:p>
    <w:p w14:paraId="2F7E5AF6" w14:textId="65024007" w:rsidR="00203FAB" w:rsidRPr="006A6C50" w:rsidRDefault="00203FAB" w:rsidP="002D14C0">
      <w:pPr>
        <w:rPr>
          <w:rFonts w:ascii="Roboto" w:hAnsi="Roboto"/>
        </w:rPr>
      </w:pPr>
    </w:p>
    <w:p w14:paraId="1D746B75" w14:textId="65D9EC9A" w:rsidR="00203FAB" w:rsidRPr="006A6C50" w:rsidRDefault="00203FAB" w:rsidP="002D14C0">
      <w:pPr>
        <w:rPr>
          <w:rFonts w:ascii="Roboto" w:hAnsi="Roboto"/>
        </w:rPr>
      </w:pPr>
    </w:p>
    <w:p w14:paraId="164B240D" w14:textId="7456CDE6" w:rsidR="00203FAB" w:rsidRPr="006A6C50"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69214" behindDoc="0" locked="0" layoutInCell="1" allowOverlap="1" wp14:anchorId="3F3E9371" wp14:editId="4C469821">
                <wp:simplePos x="0" y="0"/>
                <wp:positionH relativeFrom="column">
                  <wp:posOffset>-3610610</wp:posOffset>
                </wp:positionH>
                <wp:positionV relativeFrom="paragraph">
                  <wp:posOffset>448945</wp:posOffset>
                </wp:positionV>
                <wp:extent cx="5976620" cy="252095"/>
                <wp:effectExtent l="0" t="0" r="0" b="0"/>
                <wp:wrapNone/>
                <wp:docPr id="186" name="Text Box 186"/>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5CA3D0FE" w14:textId="1C08B8D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3E9371" id="Text Box 186" o:spid="_x0000_s1158" type="#_x0000_t202" style="position:absolute;margin-left:-284.3pt;margin-top:35.35pt;width:470.6pt;height:19.85pt;rotation:90;z-index:2553692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" filled="f" stroked="f" strokeweight=".5pt">
                <v:textbox>
                  <w:txbxContent>
                    <w:p w14:paraId="5CA3D0FE" w14:textId="1C08B8D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40</w:t>
                      </w:r>
                    </w:p>
                  </w:txbxContent>
                </v:textbox>
              </v:shape>
            </w:pict>
          </mc:Fallback>
        </mc:AlternateContent>
      </w:r>
    </w:p>
    <w:p w14:paraId="5BB2B135" w14:textId="00241E05" w:rsidR="00203FAB" w:rsidRPr="006A6C50" w:rsidRDefault="00203FAB" w:rsidP="002D14C0">
      <w:pPr>
        <w:rPr>
          <w:rFonts w:ascii="Roboto" w:hAnsi="Roboto"/>
        </w:rPr>
      </w:pPr>
    </w:p>
    <w:p w14:paraId="714517B7" w14:textId="09464D4C" w:rsidR="00203FAB" w:rsidRPr="006A6C50"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68190" behindDoc="0" locked="0" layoutInCell="1" allowOverlap="1" wp14:anchorId="5956FE2E" wp14:editId="26DC1838">
                <wp:simplePos x="0" y="0"/>
                <wp:positionH relativeFrom="column">
                  <wp:posOffset>6517958</wp:posOffset>
                </wp:positionH>
                <wp:positionV relativeFrom="paragraph">
                  <wp:posOffset>129477</wp:posOffset>
                </wp:positionV>
                <wp:extent cx="5977200" cy="252096"/>
                <wp:effectExtent l="4762" t="0" r="0" b="0"/>
                <wp:wrapNone/>
                <wp:docPr id="184" name="Text Box 184"/>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64A4FC28" w14:textId="0266F514"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472678701"/>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286A7F6C"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56FE2E" id="Text Box 184" o:spid="_x0000_s1159" type="#_x0000_t202" style="position:absolute;margin-left:513.25pt;margin-top:10.2pt;width:470.65pt;height:19.85pt;rotation:90;z-index:2553681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" fillcolor="white [3201]" stroked="f" strokeweight=".5pt">
                <v:textbox>
                  <w:txbxContent>
                    <w:p w14:paraId="64A4FC28" w14:textId="0266F514"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472678701"/>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286A7F6C" w14:textId="77777777" w:rsidR="00D15FD8" w:rsidRDefault="00D15FD8" w:rsidP="003D7CCB"/>
                  </w:txbxContent>
                </v:textbox>
              </v:shape>
            </w:pict>
          </mc:Fallback>
        </mc:AlternateContent>
      </w:r>
    </w:p>
    <w:p w14:paraId="02ABC30B" w14:textId="7AA0F3A8" w:rsidR="00203FAB" w:rsidRPr="006A6C50" w:rsidRDefault="00203FAB" w:rsidP="002D14C0">
      <w:pPr>
        <w:rPr>
          <w:rFonts w:ascii="Roboto" w:hAnsi="Roboto"/>
        </w:rPr>
      </w:pPr>
    </w:p>
    <w:p w14:paraId="12661E58" w14:textId="77777777" w:rsidR="00203FAB" w:rsidRPr="006A6C50" w:rsidRDefault="00203FAB" w:rsidP="002D14C0">
      <w:pPr>
        <w:rPr>
          <w:rFonts w:ascii="Roboto" w:hAnsi="Roboto"/>
        </w:rPr>
      </w:pPr>
    </w:p>
    <w:p w14:paraId="72A6C2ED" w14:textId="0A3FEF23" w:rsidR="00203FAB" w:rsidRPr="006A6C50" w:rsidRDefault="00203FAB" w:rsidP="002D14C0">
      <w:pPr>
        <w:rPr>
          <w:rFonts w:ascii="Roboto" w:hAnsi="Roboto"/>
        </w:rPr>
      </w:pPr>
    </w:p>
    <w:p w14:paraId="0290EE58" w14:textId="225761EE" w:rsidR="00203FAB" w:rsidRPr="006A6C50" w:rsidRDefault="00203FAB" w:rsidP="002D14C0">
      <w:pPr>
        <w:rPr>
          <w:rFonts w:ascii="Roboto" w:hAnsi="Roboto"/>
        </w:rPr>
      </w:pPr>
    </w:p>
    <w:p w14:paraId="0D145D58" w14:textId="77777777" w:rsidR="00203FAB" w:rsidRPr="006A6C50" w:rsidRDefault="00203FAB" w:rsidP="002D14C0">
      <w:pPr>
        <w:rPr>
          <w:rFonts w:ascii="Roboto" w:hAnsi="Roboto"/>
        </w:rPr>
      </w:pPr>
    </w:p>
    <w:p w14:paraId="614DB55D" w14:textId="6D08BA8D" w:rsidR="00203FAB" w:rsidRPr="006A6C50" w:rsidRDefault="00203FAB" w:rsidP="002D14C0">
      <w:pPr>
        <w:rPr>
          <w:rFonts w:ascii="Roboto" w:hAnsi="Roboto"/>
        </w:rPr>
      </w:pPr>
    </w:p>
    <w:p w14:paraId="7D338AB0" w14:textId="358CBFC7" w:rsidR="00203FAB" w:rsidRPr="006A6C50" w:rsidRDefault="00203FAB" w:rsidP="002D14C0">
      <w:pPr>
        <w:rPr>
          <w:rFonts w:ascii="Roboto" w:hAnsi="Roboto"/>
        </w:rPr>
      </w:pPr>
    </w:p>
    <w:p w14:paraId="3D5C71A8" w14:textId="3C1CD574" w:rsidR="00203FAB" w:rsidRPr="006A6C50" w:rsidRDefault="00203FAB" w:rsidP="002D14C0">
      <w:pPr>
        <w:rPr>
          <w:rFonts w:ascii="Roboto" w:hAnsi="Roboto"/>
        </w:rPr>
      </w:pPr>
    </w:p>
    <w:p w14:paraId="1E810D47" w14:textId="6A17EFFA" w:rsidR="00203FAB" w:rsidRPr="006A6C50" w:rsidRDefault="00203FAB" w:rsidP="002D14C0">
      <w:pPr>
        <w:rPr>
          <w:rFonts w:ascii="Roboto" w:hAnsi="Roboto"/>
        </w:rPr>
      </w:pPr>
    </w:p>
    <w:p w14:paraId="57E72F10" w14:textId="7EDDDC87" w:rsidR="00203FAB" w:rsidRDefault="00203FAB" w:rsidP="002D14C0">
      <w:pPr>
        <w:rPr>
          <w:rFonts w:ascii="Roboto" w:hAnsi="Roboto"/>
        </w:rPr>
      </w:pPr>
    </w:p>
    <w:p w14:paraId="0BE5FF27" w14:textId="40AAFC73" w:rsidR="00E74316" w:rsidRDefault="00E74316" w:rsidP="002D14C0">
      <w:pPr>
        <w:rPr>
          <w:rFonts w:ascii="Roboto" w:hAnsi="Roboto"/>
        </w:rPr>
      </w:pPr>
    </w:p>
    <w:p w14:paraId="74D7DE78" w14:textId="3918BC51" w:rsidR="00E74316" w:rsidRDefault="00E74316" w:rsidP="002D14C0">
      <w:pPr>
        <w:rPr>
          <w:rFonts w:ascii="Roboto" w:hAnsi="Roboto"/>
        </w:rPr>
      </w:pPr>
    </w:p>
    <w:p w14:paraId="7B880A4A" w14:textId="5D5A884E" w:rsidR="00E74316" w:rsidRDefault="00E74316" w:rsidP="002D14C0">
      <w:pPr>
        <w:rPr>
          <w:rFonts w:ascii="Roboto" w:hAnsi="Roboto"/>
        </w:rPr>
      </w:pPr>
    </w:p>
    <w:p w14:paraId="21BA8DFE" w14:textId="07B291C2"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76734" behindDoc="0" locked="0" layoutInCell="1" allowOverlap="1" wp14:anchorId="060B2DDB" wp14:editId="2ECD2332">
                <wp:simplePos x="0" y="0"/>
                <wp:positionH relativeFrom="column">
                  <wp:posOffset>5486400</wp:posOffset>
                </wp:positionH>
                <wp:positionV relativeFrom="paragraph">
                  <wp:posOffset>943453</wp:posOffset>
                </wp:positionV>
                <wp:extent cx="3878317" cy="434225"/>
                <wp:effectExtent l="0" t="0" r="8255" b="4445"/>
                <wp:wrapNone/>
                <wp:docPr id="393" name="Rectangle 393"/>
                <wp:cNvGraphicFramePr/>
                <a:graphic xmlns:a="http://schemas.openxmlformats.org/drawingml/2006/main">
                  <a:graphicData uri="http://schemas.microsoft.com/office/word/2010/wordprocessingShape">
                    <wps:wsp>
                      <wps:cNvSpPr/>
                      <wps:spPr>
                        <a:xfrm>
                          <a:off x="0" y="0"/>
                          <a:ext cx="3878317" cy="434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776EB72B" id="Rectangle 393" o:spid="_x0000_s1026" style="position:absolute;margin-left:6in;margin-top:74.3pt;width:305.4pt;height:34.2pt;z-index:2554767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" fillcolor="white [3212]" stroked="f" strokeweight="1pt"/>
            </w:pict>
          </mc:Fallback>
        </mc:AlternateContent>
      </w:r>
      <w:r w:rsidR="00CC3EBD">
        <w:rPr>
          <w:rFonts w:ascii="Roboto" w:hAnsi="Roboto"/>
        </w:rPr>
        <w:br w:type="page"/>
      </w:r>
      <w:r w:rsidR="00783364">
        <w:rPr>
          <w:rFonts w:ascii="Arial" w:hAnsi="Arial" w:cs="Arial"/>
          <w:noProof/>
          <w:sz w:val="24"/>
          <w:szCs w:val="24"/>
          <w:lang w:val="en-US"/>
        </w:rPr>
        <mc:AlternateContent>
          <mc:Choice Requires="wps">
            <w:drawing>
              <wp:anchor distT="0" distB="0" distL="114300" distR="114300" simplePos="0" relativeHeight="254748670" behindDoc="1" locked="0" layoutInCell="1" allowOverlap="1" wp14:anchorId="388A6B2A" wp14:editId="08FB05E3">
                <wp:simplePos x="0" y="0"/>
                <wp:positionH relativeFrom="margin">
                  <wp:align>center</wp:align>
                </wp:positionH>
                <wp:positionV relativeFrom="margin">
                  <wp:align>center</wp:align>
                </wp:positionV>
                <wp:extent cx="9856189" cy="5969000"/>
                <wp:effectExtent l="12700" t="12700" r="12065" b="12700"/>
                <wp:wrapNone/>
                <wp:docPr id="2608" name="Rectangle 2608"/>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4178F4F7" id="Rectangle 2608" o:spid="_x0000_s1026" style="position:absolute;margin-left:0;margin-top:0;width:776.1pt;height:470pt;z-index:-24856781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155C6E16" w14:textId="5F02C825" w:rsidR="00E74316"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78782" behindDoc="0" locked="0" layoutInCell="1" allowOverlap="1" wp14:anchorId="3DBFB696" wp14:editId="0635DC89">
                <wp:simplePos x="0" y="0"/>
                <wp:positionH relativeFrom="column">
                  <wp:posOffset>-299457</wp:posOffset>
                </wp:positionH>
                <wp:positionV relativeFrom="paragraph">
                  <wp:posOffset>-520612</wp:posOffset>
                </wp:positionV>
                <wp:extent cx="3878317" cy="268014"/>
                <wp:effectExtent l="0" t="0" r="0" b="0"/>
                <wp:wrapNone/>
                <wp:docPr id="394" name="Rectangle 394"/>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106110F6" id="Rectangle 394" o:spid="_x0000_s1026" style="position:absolute;margin-left:-23.6pt;margin-top:-41pt;width:305.4pt;height:21.1pt;z-index:2554787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" fillcolor="white [3212]" stroked="f" strokeweight="1pt"/>
            </w:pict>
          </mc:Fallback>
        </mc:AlternateContent>
      </w:r>
    </w:p>
    <w:p w14:paraId="5B056396" w14:textId="1ED32747" w:rsidR="00203FAB" w:rsidRPr="006A6C50" w:rsidRDefault="00F509C5" w:rsidP="002D14C0">
      <w:pPr>
        <w:rPr>
          <w:rFonts w:ascii="Roboto" w:hAnsi="Roboto"/>
        </w:rPr>
      </w:pPr>
      <w:r w:rsidRPr="006A6C50">
        <w:rPr>
          <w:rFonts w:ascii="Roboto" w:hAnsi="Roboto"/>
          <w:noProof/>
          <w:lang w:val="en-US"/>
        </w:rPr>
        <mc:AlternateContent>
          <mc:Choice Requires="wps">
            <w:drawing>
              <wp:anchor distT="0" distB="0" distL="114300" distR="114300" simplePos="0" relativeHeight="253659134" behindDoc="0" locked="0" layoutInCell="1" allowOverlap="1" wp14:anchorId="5315E4BB" wp14:editId="013CE7C0">
                <wp:simplePos x="0" y="0"/>
                <wp:positionH relativeFrom="margin">
                  <wp:posOffset>-77470</wp:posOffset>
                </wp:positionH>
                <wp:positionV relativeFrom="margin">
                  <wp:posOffset>314216</wp:posOffset>
                </wp:positionV>
                <wp:extent cx="9017635" cy="4940300"/>
                <wp:effectExtent l="0" t="0" r="0" b="0"/>
                <wp:wrapNone/>
                <wp:docPr id="1931" name="Text Box 1931"/>
                <wp:cNvGraphicFramePr/>
                <a:graphic xmlns:a="http://schemas.openxmlformats.org/drawingml/2006/main">
                  <a:graphicData uri="http://schemas.microsoft.com/office/word/2010/wordprocessingShape">
                    <wps:wsp>
                      <wps:cNvSpPr txBox="1"/>
                      <wps:spPr>
                        <a:xfrm>
                          <a:off x="0" y="0"/>
                          <a:ext cx="9017635" cy="4940300"/>
                        </a:xfrm>
                        <a:prstGeom prst="rect">
                          <a:avLst/>
                        </a:prstGeom>
                        <a:noFill/>
                        <a:ln w="6350">
                          <a:noFill/>
                        </a:ln>
                      </wps:spPr>
                      <wps:txbx>
                        <w:txbxContent>
                          <w:p w14:paraId="3160256B" w14:textId="77777777" w:rsidR="00D15FD8" w:rsidRPr="006A6C50" w:rsidRDefault="00AC4DF7" w:rsidP="002D14C0">
                            <w:pPr>
                              <w:suppressOverlap/>
                              <w:rPr>
                                <w:rFonts w:ascii="Roboto" w:eastAsia="Calibri" w:hAnsi="Roboto" w:cs="Calibri"/>
                                <w:color w:val="404040" w:themeColor="text1" w:themeTint="BF"/>
                                <w:sz w:val="20"/>
                                <w:szCs w:val="20"/>
                              </w:rPr>
                            </w:pPr>
                            <w:hyperlink r:id="rId267" w:history="1">
                              <w:r w:rsidR="00D15FD8" w:rsidRPr="006A6C50">
                                <w:rPr>
                                  <w:rStyle w:val="Hyperlink"/>
                                  <w:rFonts w:ascii="Roboto" w:eastAsia="Calibri" w:hAnsi="Roboto" w:cs="Calibri"/>
                                  <w:color w:val="F26C21"/>
                                  <w:sz w:val="20"/>
                                  <w:szCs w:val="20"/>
                                </w:rPr>
                                <w:t>Construction Sector Transparency Initiative</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Country-centred initiative designed to promote transparency and accountability in publicly financed construction.</w:t>
                            </w:r>
                          </w:p>
                          <w:p w14:paraId="50883FDA" w14:textId="77777777" w:rsidR="00D15FD8" w:rsidRPr="006A6C50" w:rsidRDefault="00D15FD8" w:rsidP="002D14C0">
                            <w:pPr>
                              <w:suppressOverlap/>
                              <w:rPr>
                                <w:rFonts w:ascii="Roboto" w:eastAsia="Calibri" w:hAnsi="Roboto" w:cs="Calibri"/>
                                <w:color w:val="404040" w:themeColor="text1" w:themeTint="BF"/>
                                <w:sz w:val="20"/>
                                <w:szCs w:val="20"/>
                              </w:rPr>
                            </w:pPr>
                          </w:p>
                          <w:p w14:paraId="16068110" w14:textId="77777777" w:rsidR="00D15FD8" w:rsidRPr="006A6C50" w:rsidRDefault="00AC4DF7" w:rsidP="002D14C0">
                            <w:pPr>
                              <w:spacing w:after="160" w:line="259" w:lineRule="auto"/>
                              <w:suppressOverlap/>
                              <w:rPr>
                                <w:rFonts w:ascii="Roboto" w:eastAsia="Calibri" w:hAnsi="Roboto" w:cs="Calibri"/>
                                <w:color w:val="404040" w:themeColor="text1" w:themeTint="BF"/>
                                <w:sz w:val="20"/>
                                <w:szCs w:val="20"/>
                              </w:rPr>
                            </w:pPr>
                            <w:hyperlink r:id="rId268" w:history="1">
                              <w:r w:rsidR="00D15FD8" w:rsidRPr="006A6C50">
                                <w:rPr>
                                  <w:rStyle w:val="Hyperlink"/>
                                  <w:rFonts w:ascii="Roboto" w:eastAsia="Calibri" w:hAnsi="Roboto" w:cs="Calibri"/>
                                  <w:color w:val="F26C21"/>
                                  <w:sz w:val="20"/>
                                  <w:szCs w:val="20"/>
                                </w:rPr>
                                <w:t>Declaration on Parliamentary Openness</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Stipulates that information should be provided to the public about the constitutional role, structure, functions, internal rules, administrative procedures, and workflow and functions of parliament and its committees.</w:t>
                            </w:r>
                          </w:p>
                          <w:p w14:paraId="129207C0" w14:textId="77777777" w:rsidR="00D15FD8" w:rsidRPr="006A6C50" w:rsidRDefault="00AC4DF7" w:rsidP="002D14C0">
                            <w:pPr>
                              <w:spacing w:after="160" w:line="259" w:lineRule="auto"/>
                              <w:suppressOverlap/>
                              <w:rPr>
                                <w:rFonts w:ascii="Roboto" w:eastAsia="Calibri" w:hAnsi="Roboto" w:cs="Calibri"/>
                                <w:color w:val="404040" w:themeColor="text1" w:themeTint="BF"/>
                                <w:sz w:val="20"/>
                                <w:szCs w:val="20"/>
                              </w:rPr>
                            </w:pPr>
                            <w:hyperlink r:id="rId269" w:history="1">
                              <w:r w:rsidR="00D15FD8" w:rsidRPr="006A6C50">
                                <w:rPr>
                                  <w:rStyle w:val="Hyperlink"/>
                                  <w:rFonts w:ascii="Roboto" w:eastAsia="Calibri" w:hAnsi="Roboto" w:cs="Calibri"/>
                                  <w:color w:val="F26C21"/>
                                  <w:sz w:val="20"/>
                                  <w:szCs w:val="20"/>
                                </w:rPr>
                                <w:t>Extractive Industries Transparency Initiative (EITI) Standard</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(2019): Transparency standards for countries with large natural resource sectors, including detailed requirements on the publication of: audited and reconciled data on company payments to government and government receipts from companies; legal framework and fiscal regime; licenses; contract disclosure policy; and mandated social expenditure.</w:t>
                            </w:r>
                          </w:p>
                          <w:p w14:paraId="0740086D" w14:textId="77777777" w:rsidR="00D15FD8" w:rsidRPr="006A6C50" w:rsidRDefault="00AC4DF7" w:rsidP="002D14C0">
                            <w:pPr>
                              <w:spacing w:after="160" w:line="259" w:lineRule="auto"/>
                              <w:suppressOverlap/>
                              <w:rPr>
                                <w:rFonts w:ascii="Roboto" w:eastAsia="Calibri" w:hAnsi="Roboto" w:cs="Calibri"/>
                                <w:color w:val="404040" w:themeColor="text1" w:themeTint="BF"/>
                                <w:sz w:val="20"/>
                                <w:szCs w:val="20"/>
                              </w:rPr>
                            </w:pPr>
                            <w:hyperlink r:id="rId270" w:history="1">
                              <w:r w:rsidR="00D15FD8" w:rsidRPr="006A6C50">
                                <w:rPr>
                                  <w:rStyle w:val="Hyperlink"/>
                                  <w:rFonts w:ascii="Roboto" w:eastAsia="Calibri" w:hAnsi="Roboto" w:cs="Calibri"/>
                                  <w:color w:val="F26C21"/>
                                  <w:sz w:val="20"/>
                                  <w:szCs w:val="20"/>
                                </w:rPr>
                                <w:t>Natural Resource Charter</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 xml:space="preserve">Set of principles for governments and societies on how to best harness the opportunities created by extractive resources for development. </w:t>
                            </w:r>
                          </w:p>
                          <w:p w14:paraId="3E8FEF80" w14:textId="77777777" w:rsidR="00D15FD8" w:rsidRPr="006A6C50" w:rsidRDefault="00D15FD8" w:rsidP="002D14C0">
                            <w:pPr>
                              <w:spacing w:after="160" w:line="259" w:lineRule="auto"/>
                              <w:suppressOverlap/>
                              <w:rPr>
                                <w:rFonts w:ascii="Roboto" w:eastAsia="Calibri" w:hAnsi="Roboto" w:cs="Calibri"/>
                                <w:color w:val="404040" w:themeColor="text1" w:themeTint="BF"/>
                                <w:sz w:val="20"/>
                                <w:szCs w:val="20"/>
                              </w:rPr>
                            </w:pPr>
                            <w:r w:rsidRPr="006A6C50">
                              <w:rPr>
                                <w:rFonts w:ascii="Roboto" w:eastAsia="Calibri" w:hAnsi="Roboto" w:cs="Calibri"/>
                                <w:b/>
                                <w:color w:val="1E9A8C"/>
                                <w:sz w:val="20"/>
                                <w:szCs w:val="20"/>
                              </w:rPr>
                              <w:t>World Bank</w:t>
                            </w:r>
                            <w:r w:rsidRPr="006A6C50">
                              <w:rPr>
                                <w:rFonts w:ascii="Roboto" w:eastAsia="Calibri" w:hAnsi="Roboto" w:cs="Calibri"/>
                                <w:color w:val="1E9A8C"/>
                                <w:sz w:val="20"/>
                                <w:szCs w:val="20"/>
                              </w:rPr>
                              <w:t xml:space="preserve">: </w:t>
                            </w:r>
                            <w:r w:rsidRPr="006A6C50">
                              <w:rPr>
                                <w:rFonts w:ascii="Roboto" w:eastAsia="Calibri" w:hAnsi="Roboto" w:cs="Calibri"/>
                                <w:color w:val="404040" w:themeColor="text1" w:themeTint="BF"/>
                                <w:sz w:val="20"/>
                                <w:szCs w:val="20"/>
                              </w:rPr>
                              <w:t xml:space="preserve">Guidance notes for all aspects of Public Private Partnerships including a </w:t>
                            </w:r>
                            <w:hyperlink r:id="rId271" w:history="1">
                              <w:r w:rsidRPr="006A6C50">
                                <w:rPr>
                                  <w:rStyle w:val="Hyperlink"/>
                                  <w:rFonts w:ascii="Roboto" w:eastAsia="Calibri" w:hAnsi="Roboto" w:cs="Calibri"/>
                                  <w:color w:val="F26C21"/>
                                  <w:sz w:val="20"/>
                                  <w:szCs w:val="20"/>
                                </w:rPr>
                                <w:t>Framework for Disclosure in Public-Private Partnerships</w:t>
                              </w:r>
                            </w:hyperlink>
                            <w:r w:rsidRPr="006A6C50">
                              <w:rPr>
                                <w:rFonts w:ascii="Roboto" w:eastAsia="Calibri" w:hAnsi="Roboto" w:cs="Calibri"/>
                                <w:color w:val="F26C21"/>
                                <w:sz w:val="20"/>
                                <w:szCs w:val="20"/>
                                <w:u w:val="single"/>
                              </w:rPr>
                              <w:t xml:space="preserve">; </w:t>
                            </w:r>
                            <w:r w:rsidRPr="006A6C50">
                              <w:rPr>
                                <w:rFonts w:ascii="Roboto" w:eastAsia="Calibri" w:hAnsi="Roboto" w:cs="Calibri"/>
                                <w:color w:val="404040" w:themeColor="text1" w:themeTint="BF"/>
                                <w:sz w:val="20"/>
                                <w:szCs w:val="20"/>
                              </w:rPr>
                              <w:t xml:space="preserve">and </w:t>
                            </w:r>
                            <w:hyperlink r:id="rId272" w:history="1">
                              <w:r w:rsidRPr="006A6C50">
                                <w:rPr>
                                  <w:rStyle w:val="Hyperlink"/>
                                  <w:rFonts w:ascii="Roboto" w:eastAsia="Calibri" w:hAnsi="Roboto" w:cs="Calibri"/>
                                  <w:color w:val="F26C21"/>
                                  <w:sz w:val="20"/>
                                  <w:szCs w:val="20"/>
                                </w:rPr>
                                <w:t>Public-Private Partnerships Fiscal Risk Assessment Model User Guide</w:t>
                              </w:r>
                            </w:hyperlink>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assessing the fiscal risks associated with individual projects, a Guide developed with the IMF.</w:t>
                            </w:r>
                          </w:p>
                          <w:p w14:paraId="32E3DA4B" w14:textId="77777777" w:rsidR="00D15FD8" w:rsidRPr="006A6C50" w:rsidRDefault="00D15FD8" w:rsidP="002D14C0">
                            <w:pPr>
                              <w:spacing w:line="259" w:lineRule="auto"/>
                              <w:suppressOverlap/>
                              <w:rPr>
                                <w:rFonts w:ascii="Roboto" w:eastAsia="Calibri" w:hAnsi="Roboto" w:cs="Calibri"/>
                                <w:b/>
                                <w:bCs/>
                                <w:color w:val="404040" w:themeColor="text1" w:themeTint="BF"/>
                                <w:sz w:val="20"/>
                                <w:szCs w:val="20"/>
                                <w:u w:val="single"/>
                              </w:rPr>
                            </w:pPr>
                          </w:p>
                          <w:p w14:paraId="6A3A2C16" w14:textId="77777777" w:rsidR="00D15FD8" w:rsidRPr="006A6C50" w:rsidRDefault="00D15FD8" w:rsidP="002D14C0">
                            <w:pPr>
                              <w:suppressOverlap/>
                              <w:rPr>
                                <w:rFonts w:ascii="Roboto" w:eastAsia="Calibri" w:hAnsi="Roboto" w:cs="Calibri"/>
                                <w:b/>
                                <w:bCs/>
                                <w:color w:val="1E9A8C"/>
                                <w:sz w:val="20"/>
                                <w:szCs w:val="20"/>
                                <w:u w:val="single"/>
                              </w:rPr>
                            </w:pPr>
                            <w:r w:rsidRPr="006A6C50">
                              <w:rPr>
                                <w:rFonts w:ascii="Roboto" w:eastAsia="Calibri" w:hAnsi="Roboto" w:cs="Calibri"/>
                                <w:b/>
                                <w:bCs/>
                                <w:color w:val="1E9A8C"/>
                                <w:sz w:val="20"/>
                                <w:szCs w:val="20"/>
                                <w:u w:val="single"/>
                              </w:rPr>
                              <w:t>Assessment frameworks:</w:t>
                            </w:r>
                          </w:p>
                          <w:p w14:paraId="54BA34B6" w14:textId="77777777" w:rsidR="00D15FD8" w:rsidRPr="006A6C50" w:rsidRDefault="00D15FD8" w:rsidP="002D14C0">
                            <w:pPr>
                              <w:suppressOverlap/>
                              <w:rPr>
                                <w:rFonts w:ascii="Roboto" w:eastAsia="Calibri" w:hAnsi="Roboto" w:cs="Calibri"/>
                                <w:b/>
                                <w:bCs/>
                                <w:color w:val="404040" w:themeColor="text1" w:themeTint="BF"/>
                                <w:sz w:val="20"/>
                                <w:szCs w:val="20"/>
                              </w:rPr>
                            </w:pPr>
                          </w:p>
                          <w:p w14:paraId="06851977" w14:textId="77777777" w:rsidR="00D15FD8" w:rsidRPr="006A6C50" w:rsidRDefault="00D15FD8" w:rsidP="002D14C0">
                            <w:pPr>
                              <w:suppressOverlap/>
                              <w:rPr>
                                <w:rFonts w:ascii="Roboto" w:eastAsia="Calibri" w:hAnsi="Roboto" w:cs="Calibri"/>
                                <w:color w:val="404040" w:themeColor="text1" w:themeTint="BF"/>
                                <w:sz w:val="20"/>
                                <w:szCs w:val="20"/>
                              </w:rPr>
                            </w:pPr>
                            <w:r w:rsidRPr="006A6C50">
                              <w:rPr>
                                <w:rFonts w:ascii="Roboto" w:eastAsia="Calibri" w:hAnsi="Roboto" w:cs="Calibri"/>
                                <w:b/>
                                <w:bCs/>
                                <w:color w:val="1E9A8C"/>
                                <w:sz w:val="20"/>
                                <w:szCs w:val="20"/>
                              </w:rPr>
                              <w:t xml:space="preserve">PEFA: </w:t>
                            </w:r>
                            <w:hyperlink r:id="rId273" w:history="1">
                              <w:r w:rsidRPr="006A6C50">
                                <w:rPr>
                                  <w:rStyle w:val="Hyperlink"/>
                                  <w:rFonts w:ascii="Roboto" w:eastAsia="Calibri" w:hAnsi="Roboto" w:cs="Calibri"/>
                                  <w:color w:val="F26C21"/>
                                  <w:sz w:val="20"/>
                                  <w:szCs w:val="20"/>
                                </w:rPr>
                                <w:t>Framework for assessing public financial management</w:t>
                              </w:r>
                            </w:hyperlink>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(2016): Indicators cover the public sector as well as its relationships with the private sector.</w:t>
                            </w:r>
                          </w:p>
                          <w:p w14:paraId="3B2E9A8F" w14:textId="77777777" w:rsidR="00D15FD8" w:rsidRPr="006A6C50" w:rsidRDefault="00D15FD8" w:rsidP="002D14C0">
                            <w:pPr>
                              <w:suppressOverlap/>
                              <w:rPr>
                                <w:rFonts w:ascii="Roboto" w:eastAsia="Calibri" w:hAnsi="Roboto" w:cs="Calibri"/>
                                <w:color w:val="404040" w:themeColor="text1" w:themeTint="BF"/>
                                <w:sz w:val="20"/>
                                <w:szCs w:val="20"/>
                              </w:rPr>
                            </w:pPr>
                          </w:p>
                          <w:p w14:paraId="05EC3FDC" w14:textId="77777777" w:rsidR="00D15FD8" w:rsidRPr="006A6C50" w:rsidRDefault="00D15FD8" w:rsidP="002D14C0">
                            <w:pPr>
                              <w:suppressOverlap/>
                              <w:rPr>
                                <w:rFonts w:ascii="Roboto" w:eastAsia="Calibri" w:hAnsi="Roboto" w:cs="Calibri"/>
                                <w:color w:val="404040" w:themeColor="text1" w:themeTint="BF"/>
                                <w:sz w:val="20"/>
                                <w:szCs w:val="20"/>
                              </w:rPr>
                            </w:pPr>
                            <w:r w:rsidRPr="006A6C50">
                              <w:rPr>
                                <w:rFonts w:ascii="Roboto" w:eastAsia="Calibri" w:hAnsi="Roboto" w:cs="Calibri"/>
                                <w:b/>
                                <w:color w:val="1E9A8C"/>
                                <w:sz w:val="20"/>
                                <w:szCs w:val="20"/>
                              </w:rPr>
                              <w:t>IBP:</w:t>
                            </w:r>
                            <w:r w:rsidRPr="006A6C50">
                              <w:rPr>
                                <w:rFonts w:ascii="Roboto" w:eastAsia="Calibri" w:hAnsi="Roboto" w:cs="Calibri"/>
                                <w:color w:val="1E9A8C"/>
                                <w:sz w:val="20"/>
                                <w:szCs w:val="20"/>
                              </w:rPr>
                              <w:t xml:space="preserve"> </w:t>
                            </w:r>
                            <w:hyperlink r:id="rId274" w:history="1">
                              <w:r w:rsidRPr="006A6C50">
                                <w:rPr>
                                  <w:rStyle w:val="Hyperlink"/>
                                  <w:rFonts w:ascii="Roboto" w:eastAsia="Calibri" w:hAnsi="Roboto" w:cs="Calibri"/>
                                  <w:color w:val="F26C21"/>
                                  <w:sz w:val="20"/>
                                  <w:szCs w:val="20"/>
                                </w:rPr>
                                <w:t>Open Budget Survey</w:t>
                              </w:r>
                            </w:hyperlink>
                            <w:r w:rsidRPr="006A6C50">
                              <w:rPr>
                                <w:rFonts w:ascii="Roboto" w:eastAsia="Calibri" w:hAnsi="Roboto" w:cs="Calibri"/>
                                <w:color w:val="F26C21"/>
                                <w:sz w:val="20"/>
                                <w:szCs w:val="20"/>
                                <w:u w:val="single"/>
                              </w:rPr>
                              <w:t xml:space="preserve"> </w:t>
                            </w:r>
                            <w:r w:rsidRPr="006A6C50">
                              <w:rPr>
                                <w:rFonts w:ascii="Roboto" w:eastAsia="Calibri" w:hAnsi="Roboto" w:cs="Calibri"/>
                                <w:color w:val="404040" w:themeColor="text1" w:themeTint="BF"/>
                                <w:sz w:val="20"/>
                                <w:szCs w:val="20"/>
                              </w:rPr>
                              <w:t>(OBS): Covers the consolidated public sector.</w:t>
                            </w:r>
                          </w:p>
                          <w:p w14:paraId="535AA194" w14:textId="77777777" w:rsidR="00D15FD8" w:rsidRPr="006A6C50" w:rsidRDefault="00D15FD8" w:rsidP="002D14C0">
                            <w:pPr>
                              <w:suppressOverlap/>
                              <w:rPr>
                                <w:rFonts w:ascii="Roboto" w:eastAsia="Calibri" w:hAnsi="Roboto" w:cs="Calibri"/>
                                <w:color w:val="404040" w:themeColor="text1" w:themeTint="BF"/>
                                <w:sz w:val="20"/>
                                <w:szCs w:val="20"/>
                              </w:rPr>
                            </w:pPr>
                          </w:p>
                          <w:p w14:paraId="56F58F9E" w14:textId="77777777" w:rsidR="00D15FD8" w:rsidRPr="006A6C50" w:rsidRDefault="00D15FD8" w:rsidP="002D14C0">
                            <w:pPr>
                              <w:rPr>
                                <w:rFonts w:ascii="Roboto" w:hAnsi="Roboto"/>
                                <w:sz w:val="20"/>
                                <w:szCs w:val="20"/>
                              </w:rPr>
                            </w:pPr>
                            <w:r w:rsidRPr="006A6C50">
                              <w:rPr>
                                <w:rFonts w:ascii="Roboto" w:eastAsia="Calibri" w:hAnsi="Roboto" w:cs="Calibri"/>
                                <w:b/>
                                <w:color w:val="1E9A8C"/>
                                <w:sz w:val="20"/>
                                <w:szCs w:val="20"/>
                              </w:rPr>
                              <w:t>IMF and partners:</w:t>
                            </w:r>
                            <w:r w:rsidRPr="006A6C50">
                              <w:rPr>
                                <w:rFonts w:ascii="Roboto" w:eastAsia="Calibri" w:hAnsi="Roboto" w:cs="Calibri"/>
                                <w:color w:val="1E9A8C"/>
                                <w:sz w:val="20"/>
                                <w:szCs w:val="20"/>
                              </w:rPr>
                              <w:t xml:space="preserve"> </w:t>
                            </w:r>
                            <w:hyperlink r:id="rId275" w:history="1">
                              <w:r w:rsidRPr="006A6C50">
                                <w:rPr>
                                  <w:rStyle w:val="Hyperlink"/>
                                  <w:rFonts w:ascii="Roboto" w:eastAsia="Calibri" w:hAnsi="Roboto" w:cs="Calibri"/>
                                  <w:color w:val="F26C21"/>
                                  <w:sz w:val="20"/>
                                  <w:szCs w:val="20"/>
                                </w:rPr>
                                <w:t>Tax Administration Diagnostic Assessment Tool (TADAT)</w:t>
                              </w:r>
                            </w:hyperlink>
                            <w:r w:rsidRPr="006A6C50">
                              <w:rPr>
                                <w:rFonts w:ascii="Roboto" w:eastAsia="Calibri" w:hAnsi="Roboto" w:cs="Calibri"/>
                                <w:color w:val="F26C21"/>
                                <w:sz w:val="20"/>
                                <w:szCs w:val="20"/>
                                <w:u w:val="single"/>
                              </w:rPr>
                              <w:t>:</w:t>
                            </w:r>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Enables governments to assess the administrative effectiveness of their major revenue sources (income taxes, value-added tax and social security contributions). It includes dimensions that measure whether taxpayers have the necessary information and support to voluntarily comply at a reasonable cost to them, including the ease by which taxpayers obtain information and the use and frequency of methods to obtain feedback.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5E4BB" id="Text Box 1931" o:spid="_x0000_s1160" type="#_x0000_t202" style="position:absolute;margin-left:-6.1pt;margin-top:24.75pt;width:710.05pt;height:389pt;z-index:25365913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" filled="f" stroked="f" strokeweight=".5pt">
                <v:textbox>
                  <w:txbxContent>
                    <w:p w14:paraId="3160256B" w14:textId="77777777" w:rsidR="00D15FD8" w:rsidRPr="006A6C50" w:rsidRDefault="00AC4DF7" w:rsidP="002D14C0">
                      <w:pPr>
                        <w:suppressOverlap/>
                        <w:rPr>
                          <w:rFonts w:ascii="Roboto" w:eastAsia="Calibri" w:hAnsi="Roboto" w:cs="Calibri"/>
                          <w:color w:val="404040" w:themeColor="text1" w:themeTint="BF"/>
                          <w:sz w:val="20"/>
                          <w:szCs w:val="20"/>
                        </w:rPr>
                      </w:pPr>
                      <w:hyperlink r:id="rId276" w:history="1">
                        <w:r w:rsidR="00D15FD8" w:rsidRPr="006A6C50">
                          <w:rPr>
                            <w:rStyle w:val="Hyperlink"/>
                            <w:rFonts w:ascii="Roboto" w:eastAsia="Calibri" w:hAnsi="Roboto" w:cs="Calibri"/>
                            <w:color w:val="F26C21"/>
                            <w:sz w:val="20"/>
                            <w:szCs w:val="20"/>
                          </w:rPr>
                          <w:t>Construction Sector Transparency Initiative</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Country-centred initiative designed to promote transparency and accountability in publicly financed construction.</w:t>
                      </w:r>
                    </w:p>
                    <w:p w14:paraId="50883FDA" w14:textId="77777777" w:rsidR="00D15FD8" w:rsidRPr="006A6C50" w:rsidRDefault="00D15FD8" w:rsidP="002D14C0">
                      <w:pPr>
                        <w:suppressOverlap/>
                        <w:rPr>
                          <w:rFonts w:ascii="Roboto" w:eastAsia="Calibri" w:hAnsi="Roboto" w:cs="Calibri"/>
                          <w:color w:val="404040" w:themeColor="text1" w:themeTint="BF"/>
                          <w:sz w:val="20"/>
                          <w:szCs w:val="20"/>
                        </w:rPr>
                      </w:pPr>
                    </w:p>
                    <w:p w14:paraId="16068110" w14:textId="77777777" w:rsidR="00D15FD8" w:rsidRPr="006A6C50" w:rsidRDefault="00AC4DF7" w:rsidP="002D14C0">
                      <w:pPr>
                        <w:spacing w:after="160" w:line="259" w:lineRule="auto"/>
                        <w:suppressOverlap/>
                        <w:rPr>
                          <w:rFonts w:ascii="Roboto" w:eastAsia="Calibri" w:hAnsi="Roboto" w:cs="Calibri"/>
                          <w:color w:val="404040" w:themeColor="text1" w:themeTint="BF"/>
                          <w:sz w:val="20"/>
                          <w:szCs w:val="20"/>
                        </w:rPr>
                      </w:pPr>
                      <w:hyperlink r:id="rId277" w:history="1">
                        <w:r w:rsidR="00D15FD8" w:rsidRPr="006A6C50">
                          <w:rPr>
                            <w:rStyle w:val="Hyperlink"/>
                            <w:rFonts w:ascii="Roboto" w:eastAsia="Calibri" w:hAnsi="Roboto" w:cs="Calibri"/>
                            <w:color w:val="F26C21"/>
                            <w:sz w:val="20"/>
                            <w:szCs w:val="20"/>
                          </w:rPr>
                          <w:t>Declaration on Parliamentary Openness</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Stipulates that information should be provided to the public about the constitutional role, structure, functions, internal rules, administrative procedures, and workflow and functions of parliament and its committees.</w:t>
                      </w:r>
                    </w:p>
                    <w:p w14:paraId="129207C0" w14:textId="77777777" w:rsidR="00D15FD8" w:rsidRPr="006A6C50" w:rsidRDefault="00AC4DF7" w:rsidP="002D14C0">
                      <w:pPr>
                        <w:spacing w:after="160" w:line="259" w:lineRule="auto"/>
                        <w:suppressOverlap/>
                        <w:rPr>
                          <w:rFonts w:ascii="Roboto" w:eastAsia="Calibri" w:hAnsi="Roboto" w:cs="Calibri"/>
                          <w:color w:val="404040" w:themeColor="text1" w:themeTint="BF"/>
                          <w:sz w:val="20"/>
                          <w:szCs w:val="20"/>
                        </w:rPr>
                      </w:pPr>
                      <w:hyperlink r:id="rId278" w:history="1">
                        <w:r w:rsidR="00D15FD8" w:rsidRPr="006A6C50">
                          <w:rPr>
                            <w:rStyle w:val="Hyperlink"/>
                            <w:rFonts w:ascii="Roboto" w:eastAsia="Calibri" w:hAnsi="Roboto" w:cs="Calibri"/>
                            <w:color w:val="F26C21"/>
                            <w:sz w:val="20"/>
                            <w:szCs w:val="20"/>
                          </w:rPr>
                          <w:t>Extractive Industries Transparency Initiative (EITI) Standard</w:t>
                        </w:r>
                      </w:hyperlink>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(2019): Transparency standards for countries with large natural resource sectors, including detailed requirements on the publication of: audited and reconciled data on company payments to government and government receipts from companies; legal framework and fiscal regime; licenses; contract disclosure policy; and mandated social expenditure.</w:t>
                      </w:r>
                    </w:p>
                    <w:p w14:paraId="0740086D" w14:textId="77777777" w:rsidR="00D15FD8" w:rsidRPr="006A6C50" w:rsidRDefault="00AC4DF7" w:rsidP="002D14C0">
                      <w:pPr>
                        <w:spacing w:after="160" w:line="259" w:lineRule="auto"/>
                        <w:suppressOverlap/>
                        <w:rPr>
                          <w:rFonts w:ascii="Roboto" w:eastAsia="Calibri" w:hAnsi="Roboto" w:cs="Calibri"/>
                          <w:color w:val="404040" w:themeColor="text1" w:themeTint="BF"/>
                          <w:sz w:val="20"/>
                          <w:szCs w:val="20"/>
                        </w:rPr>
                      </w:pPr>
                      <w:hyperlink r:id="rId279" w:history="1">
                        <w:r w:rsidR="00D15FD8" w:rsidRPr="006A6C50">
                          <w:rPr>
                            <w:rStyle w:val="Hyperlink"/>
                            <w:rFonts w:ascii="Roboto" w:eastAsia="Calibri" w:hAnsi="Roboto" w:cs="Calibri"/>
                            <w:color w:val="F26C21"/>
                            <w:sz w:val="20"/>
                            <w:szCs w:val="20"/>
                          </w:rPr>
                          <w:t>Natural Resource Charter</w:t>
                        </w:r>
                      </w:hyperlink>
                      <w:r w:rsidR="00D15FD8" w:rsidRPr="006A6C50">
                        <w:rPr>
                          <w:rFonts w:ascii="Roboto" w:eastAsia="Calibri" w:hAnsi="Roboto" w:cs="Calibri"/>
                          <w:color w:val="F26C21"/>
                          <w:sz w:val="20"/>
                          <w:szCs w:val="20"/>
                          <w:u w:val="single"/>
                        </w:rPr>
                        <w:t>:</w:t>
                      </w:r>
                      <w:r w:rsidR="00D15FD8" w:rsidRPr="006A6C50">
                        <w:rPr>
                          <w:rFonts w:ascii="Roboto" w:eastAsia="Calibri" w:hAnsi="Roboto" w:cs="Calibri"/>
                          <w:color w:val="F26C21"/>
                          <w:sz w:val="20"/>
                          <w:szCs w:val="20"/>
                        </w:rPr>
                        <w:t xml:space="preserve"> </w:t>
                      </w:r>
                      <w:r w:rsidR="00D15FD8" w:rsidRPr="006A6C50">
                        <w:rPr>
                          <w:rFonts w:ascii="Roboto" w:eastAsia="Calibri" w:hAnsi="Roboto" w:cs="Calibri"/>
                          <w:color w:val="404040" w:themeColor="text1" w:themeTint="BF"/>
                          <w:sz w:val="20"/>
                          <w:szCs w:val="20"/>
                        </w:rPr>
                        <w:t xml:space="preserve">Set of principles for governments and societies on how to best harness the opportunities created by extractive resources for development. </w:t>
                      </w:r>
                    </w:p>
                    <w:p w14:paraId="3E8FEF80" w14:textId="77777777" w:rsidR="00D15FD8" w:rsidRPr="006A6C50" w:rsidRDefault="00D15FD8" w:rsidP="002D14C0">
                      <w:pPr>
                        <w:spacing w:after="160" w:line="259" w:lineRule="auto"/>
                        <w:suppressOverlap/>
                        <w:rPr>
                          <w:rFonts w:ascii="Roboto" w:eastAsia="Calibri" w:hAnsi="Roboto" w:cs="Calibri"/>
                          <w:color w:val="404040" w:themeColor="text1" w:themeTint="BF"/>
                          <w:sz w:val="20"/>
                          <w:szCs w:val="20"/>
                        </w:rPr>
                      </w:pPr>
                      <w:r w:rsidRPr="006A6C50">
                        <w:rPr>
                          <w:rFonts w:ascii="Roboto" w:eastAsia="Calibri" w:hAnsi="Roboto" w:cs="Calibri"/>
                          <w:b/>
                          <w:color w:val="1E9A8C"/>
                          <w:sz w:val="20"/>
                          <w:szCs w:val="20"/>
                        </w:rPr>
                        <w:t>World Bank</w:t>
                      </w:r>
                      <w:r w:rsidRPr="006A6C50">
                        <w:rPr>
                          <w:rFonts w:ascii="Roboto" w:eastAsia="Calibri" w:hAnsi="Roboto" w:cs="Calibri"/>
                          <w:color w:val="1E9A8C"/>
                          <w:sz w:val="20"/>
                          <w:szCs w:val="20"/>
                        </w:rPr>
                        <w:t xml:space="preserve">: </w:t>
                      </w:r>
                      <w:r w:rsidRPr="006A6C50">
                        <w:rPr>
                          <w:rFonts w:ascii="Roboto" w:eastAsia="Calibri" w:hAnsi="Roboto" w:cs="Calibri"/>
                          <w:color w:val="404040" w:themeColor="text1" w:themeTint="BF"/>
                          <w:sz w:val="20"/>
                          <w:szCs w:val="20"/>
                        </w:rPr>
                        <w:t xml:space="preserve">Guidance notes for all aspects of Public Private Partnerships including a </w:t>
                      </w:r>
                      <w:hyperlink r:id="rId280" w:history="1">
                        <w:r w:rsidRPr="006A6C50">
                          <w:rPr>
                            <w:rStyle w:val="Hyperlink"/>
                            <w:rFonts w:ascii="Roboto" w:eastAsia="Calibri" w:hAnsi="Roboto" w:cs="Calibri"/>
                            <w:color w:val="F26C21"/>
                            <w:sz w:val="20"/>
                            <w:szCs w:val="20"/>
                          </w:rPr>
                          <w:t>Framework for Disclosure in Public-Private Partnerships</w:t>
                        </w:r>
                      </w:hyperlink>
                      <w:r w:rsidRPr="006A6C50">
                        <w:rPr>
                          <w:rFonts w:ascii="Roboto" w:eastAsia="Calibri" w:hAnsi="Roboto" w:cs="Calibri"/>
                          <w:color w:val="F26C21"/>
                          <w:sz w:val="20"/>
                          <w:szCs w:val="20"/>
                          <w:u w:val="single"/>
                        </w:rPr>
                        <w:t xml:space="preserve">; </w:t>
                      </w:r>
                      <w:r w:rsidRPr="006A6C50">
                        <w:rPr>
                          <w:rFonts w:ascii="Roboto" w:eastAsia="Calibri" w:hAnsi="Roboto" w:cs="Calibri"/>
                          <w:color w:val="404040" w:themeColor="text1" w:themeTint="BF"/>
                          <w:sz w:val="20"/>
                          <w:szCs w:val="20"/>
                        </w:rPr>
                        <w:t xml:space="preserve">and </w:t>
                      </w:r>
                      <w:hyperlink r:id="rId281" w:history="1">
                        <w:r w:rsidRPr="006A6C50">
                          <w:rPr>
                            <w:rStyle w:val="Hyperlink"/>
                            <w:rFonts w:ascii="Roboto" w:eastAsia="Calibri" w:hAnsi="Roboto" w:cs="Calibri"/>
                            <w:color w:val="F26C21"/>
                            <w:sz w:val="20"/>
                            <w:szCs w:val="20"/>
                          </w:rPr>
                          <w:t>Public-Private Partnerships Fiscal Risk Assessment Model User Guide</w:t>
                        </w:r>
                      </w:hyperlink>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assessing the fiscal risks associated with individual projects, a Guide developed with the IMF.</w:t>
                      </w:r>
                    </w:p>
                    <w:p w14:paraId="32E3DA4B" w14:textId="77777777" w:rsidR="00D15FD8" w:rsidRPr="006A6C50" w:rsidRDefault="00D15FD8" w:rsidP="002D14C0">
                      <w:pPr>
                        <w:spacing w:line="259" w:lineRule="auto"/>
                        <w:suppressOverlap/>
                        <w:rPr>
                          <w:rFonts w:ascii="Roboto" w:eastAsia="Calibri" w:hAnsi="Roboto" w:cs="Calibri"/>
                          <w:b/>
                          <w:bCs/>
                          <w:color w:val="404040" w:themeColor="text1" w:themeTint="BF"/>
                          <w:sz w:val="20"/>
                          <w:szCs w:val="20"/>
                          <w:u w:val="single"/>
                        </w:rPr>
                      </w:pPr>
                    </w:p>
                    <w:p w14:paraId="6A3A2C16" w14:textId="77777777" w:rsidR="00D15FD8" w:rsidRPr="006A6C50" w:rsidRDefault="00D15FD8" w:rsidP="002D14C0">
                      <w:pPr>
                        <w:suppressOverlap/>
                        <w:rPr>
                          <w:rFonts w:ascii="Roboto" w:eastAsia="Calibri" w:hAnsi="Roboto" w:cs="Calibri"/>
                          <w:b/>
                          <w:bCs/>
                          <w:color w:val="1E9A8C"/>
                          <w:sz w:val="20"/>
                          <w:szCs w:val="20"/>
                          <w:u w:val="single"/>
                        </w:rPr>
                      </w:pPr>
                      <w:r w:rsidRPr="006A6C50">
                        <w:rPr>
                          <w:rFonts w:ascii="Roboto" w:eastAsia="Calibri" w:hAnsi="Roboto" w:cs="Calibri"/>
                          <w:b/>
                          <w:bCs/>
                          <w:color w:val="1E9A8C"/>
                          <w:sz w:val="20"/>
                          <w:szCs w:val="20"/>
                          <w:u w:val="single"/>
                        </w:rPr>
                        <w:t>Assessment frameworks:</w:t>
                      </w:r>
                    </w:p>
                    <w:p w14:paraId="54BA34B6" w14:textId="77777777" w:rsidR="00D15FD8" w:rsidRPr="006A6C50" w:rsidRDefault="00D15FD8" w:rsidP="002D14C0">
                      <w:pPr>
                        <w:suppressOverlap/>
                        <w:rPr>
                          <w:rFonts w:ascii="Roboto" w:eastAsia="Calibri" w:hAnsi="Roboto" w:cs="Calibri"/>
                          <w:b/>
                          <w:bCs/>
                          <w:color w:val="404040" w:themeColor="text1" w:themeTint="BF"/>
                          <w:sz w:val="20"/>
                          <w:szCs w:val="20"/>
                        </w:rPr>
                      </w:pPr>
                    </w:p>
                    <w:p w14:paraId="06851977" w14:textId="77777777" w:rsidR="00D15FD8" w:rsidRPr="006A6C50" w:rsidRDefault="00D15FD8" w:rsidP="002D14C0">
                      <w:pPr>
                        <w:suppressOverlap/>
                        <w:rPr>
                          <w:rFonts w:ascii="Roboto" w:eastAsia="Calibri" w:hAnsi="Roboto" w:cs="Calibri"/>
                          <w:color w:val="404040" w:themeColor="text1" w:themeTint="BF"/>
                          <w:sz w:val="20"/>
                          <w:szCs w:val="20"/>
                        </w:rPr>
                      </w:pPr>
                      <w:r w:rsidRPr="006A6C50">
                        <w:rPr>
                          <w:rFonts w:ascii="Roboto" w:eastAsia="Calibri" w:hAnsi="Roboto" w:cs="Calibri"/>
                          <w:b/>
                          <w:bCs/>
                          <w:color w:val="1E9A8C"/>
                          <w:sz w:val="20"/>
                          <w:szCs w:val="20"/>
                        </w:rPr>
                        <w:t xml:space="preserve">PEFA: </w:t>
                      </w:r>
                      <w:hyperlink r:id="rId282" w:history="1">
                        <w:r w:rsidRPr="006A6C50">
                          <w:rPr>
                            <w:rStyle w:val="Hyperlink"/>
                            <w:rFonts w:ascii="Roboto" w:eastAsia="Calibri" w:hAnsi="Roboto" w:cs="Calibri"/>
                            <w:color w:val="F26C21"/>
                            <w:sz w:val="20"/>
                            <w:szCs w:val="20"/>
                          </w:rPr>
                          <w:t>Framework for assessing public financial management</w:t>
                        </w:r>
                      </w:hyperlink>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(2016): Indicators cover the public sector as well as its relationships with the private sector.</w:t>
                      </w:r>
                    </w:p>
                    <w:p w14:paraId="3B2E9A8F" w14:textId="77777777" w:rsidR="00D15FD8" w:rsidRPr="006A6C50" w:rsidRDefault="00D15FD8" w:rsidP="002D14C0">
                      <w:pPr>
                        <w:suppressOverlap/>
                        <w:rPr>
                          <w:rFonts w:ascii="Roboto" w:eastAsia="Calibri" w:hAnsi="Roboto" w:cs="Calibri"/>
                          <w:color w:val="404040" w:themeColor="text1" w:themeTint="BF"/>
                          <w:sz w:val="20"/>
                          <w:szCs w:val="20"/>
                        </w:rPr>
                      </w:pPr>
                    </w:p>
                    <w:p w14:paraId="05EC3FDC" w14:textId="77777777" w:rsidR="00D15FD8" w:rsidRPr="006A6C50" w:rsidRDefault="00D15FD8" w:rsidP="002D14C0">
                      <w:pPr>
                        <w:suppressOverlap/>
                        <w:rPr>
                          <w:rFonts w:ascii="Roboto" w:eastAsia="Calibri" w:hAnsi="Roboto" w:cs="Calibri"/>
                          <w:color w:val="404040" w:themeColor="text1" w:themeTint="BF"/>
                          <w:sz w:val="20"/>
                          <w:szCs w:val="20"/>
                        </w:rPr>
                      </w:pPr>
                      <w:r w:rsidRPr="006A6C50">
                        <w:rPr>
                          <w:rFonts w:ascii="Roboto" w:eastAsia="Calibri" w:hAnsi="Roboto" w:cs="Calibri"/>
                          <w:b/>
                          <w:color w:val="1E9A8C"/>
                          <w:sz w:val="20"/>
                          <w:szCs w:val="20"/>
                        </w:rPr>
                        <w:t>IBP:</w:t>
                      </w:r>
                      <w:r w:rsidRPr="006A6C50">
                        <w:rPr>
                          <w:rFonts w:ascii="Roboto" w:eastAsia="Calibri" w:hAnsi="Roboto" w:cs="Calibri"/>
                          <w:color w:val="1E9A8C"/>
                          <w:sz w:val="20"/>
                          <w:szCs w:val="20"/>
                        </w:rPr>
                        <w:t xml:space="preserve"> </w:t>
                      </w:r>
                      <w:hyperlink r:id="rId283" w:history="1">
                        <w:r w:rsidRPr="006A6C50">
                          <w:rPr>
                            <w:rStyle w:val="Hyperlink"/>
                            <w:rFonts w:ascii="Roboto" w:eastAsia="Calibri" w:hAnsi="Roboto" w:cs="Calibri"/>
                            <w:color w:val="F26C21"/>
                            <w:sz w:val="20"/>
                            <w:szCs w:val="20"/>
                          </w:rPr>
                          <w:t>Open Budget Survey</w:t>
                        </w:r>
                      </w:hyperlink>
                      <w:r w:rsidRPr="006A6C50">
                        <w:rPr>
                          <w:rFonts w:ascii="Roboto" w:eastAsia="Calibri" w:hAnsi="Roboto" w:cs="Calibri"/>
                          <w:color w:val="F26C21"/>
                          <w:sz w:val="20"/>
                          <w:szCs w:val="20"/>
                          <w:u w:val="single"/>
                        </w:rPr>
                        <w:t xml:space="preserve"> </w:t>
                      </w:r>
                      <w:r w:rsidRPr="006A6C50">
                        <w:rPr>
                          <w:rFonts w:ascii="Roboto" w:eastAsia="Calibri" w:hAnsi="Roboto" w:cs="Calibri"/>
                          <w:color w:val="404040" w:themeColor="text1" w:themeTint="BF"/>
                          <w:sz w:val="20"/>
                          <w:szCs w:val="20"/>
                        </w:rPr>
                        <w:t>(OBS): Covers the consolidated public sector.</w:t>
                      </w:r>
                    </w:p>
                    <w:p w14:paraId="535AA194" w14:textId="77777777" w:rsidR="00D15FD8" w:rsidRPr="006A6C50" w:rsidRDefault="00D15FD8" w:rsidP="002D14C0">
                      <w:pPr>
                        <w:suppressOverlap/>
                        <w:rPr>
                          <w:rFonts w:ascii="Roboto" w:eastAsia="Calibri" w:hAnsi="Roboto" w:cs="Calibri"/>
                          <w:color w:val="404040" w:themeColor="text1" w:themeTint="BF"/>
                          <w:sz w:val="20"/>
                          <w:szCs w:val="20"/>
                        </w:rPr>
                      </w:pPr>
                    </w:p>
                    <w:p w14:paraId="56F58F9E" w14:textId="77777777" w:rsidR="00D15FD8" w:rsidRPr="006A6C50" w:rsidRDefault="00D15FD8" w:rsidP="002D14C0">
                      <w:pPr>
                        <w:rPr>
                          <w:rFonts w:ascii="Roboto" w:hAnsi="Roboto"/>
                          <w:sz w:val="20"/>
                          <w:szCs w:val="20"/>
                        </w:rPr>
                      </w:pPr>
                      <w:r w:rsidRPr="006A6C50">
                        <w:rPr>
                          <w:rFonts w:ascii="Roboto" w:eastAsia="Calibri" w:hAnsi="Roboto" w:cs="Calibri"/>
                          <w:b/>
                          <w:color w:val="1E9A8C"/>
                          <w:sz w:val="20"/>
                          <w:szCs w:val="20"/>
                        </w:rPr>
                        <w:t>IMF and partners:</w:t>
                      </w:r>
                      <w:r w:rsidRPr="006A6C50">
                        <w:rPr>
                          <w:rFonts w:ascii="Roboto" w:eastAsia="Calibri" w:hAnsi="Roboto" w:cs="Calibri"/>
                          <w:color w:val="1E9A8C"/>
                          <w:sz w:val="20"/>
                          <w:szCs w:val="20"/>
                        </w:rPr>
                        <w:t xml:space="preserve"> </w:t>
                      </w:r>
                      <w:hyperlink r:id="rId284" w:history="1">
                        <w:r w:rsidRPr="006A6C50">
                          <w:rPr>
                            <w:rStyle w:val="Hyperlink"/>
                            <w:rFonts w:ascii="Roboto" w:eastAsia="Calibri" w:hAnsi="Roboto" w:cs="Calibri"/>
                            <w:color w:val="F26C21"/>
                            <w:sz w:val="20"/>
                            <w:szCs w:val="20"/>
                          </w:rPr>
                          <w:t>Tax Administration Diagnostic Assessment Tool (TADAT)</w:t>
                        </w:r>
                      </w:hyperlink>
                      <w:r w:rsidRPr="006A6C50">
                        <w:rPr>
                          <w:rFonts w:ascii="Roboto" w:eastAsia="Calibri" w:hAnsi="Roboto" w:cs="Calibri"/>
                          <w:color w:val="F26C21"/>
                          <w:sz w:val="20"/>
                          <w:szCs w:val="20"/>
                          <w:u w:val="single"/>
                        </w:rPr>
                        <w:t>:</w:t>
                      </w:r>
                      <w:r w:rsidRPr="006A6C50">
                        <w:rPr>
                          <w:rFonts w:ascii="Roboto" w:eastAsia="Calibri" w:hAnsi="Roboto" w:cs="Calibri"/>
                          <w:color w:val="F26C21"/>
                          <w:sz w:val="20"/>
                          <w:szCs w:val="20"/>
                        </w:rPr>
                        <w:t xml:space="preserve"> </w:t>
                      </w:r>
                      <w:r w:rsidRPr="006A6C50">
                        <w:rPr>
                          <w:rFonts w:ascii="Roboto" w:eastAsia="Calibri" w:hAnsi="Roboto" w:cs="Calibri"/>
                          <w:color w:val="404040" w:themeColor="text1" w:themeTint="BF"/>
                          <w:sz w:val="20"/>
                          <w:szCs w:val="20"/>
                        </w:rPr>
                        <w:t>Enables governments to assess the administrative effectiveness of their major revenue sources (income taxes, value-added tax and social security contributions). It includes dimensions that measure whether taxpayers have the necessary information and support to voluntarily comply at a reasonable cost to them, including the ease by which taxpayers obtain information and the use and frequency of methods to obtain feedback.</w:t>
                      </w:r>
                    </w:p>
                  </w:txbxContent>
                </v:textbox>
                <w10:wrap anchorx="margin" anchory="margin"/>
              </v:shape>
            </w:pict>
          </mc:Fallback>
        </mc:AlternateContent>
      </w:r>
    </w:p>
    <w:p w14:paraId="78CA451C" w14:textId="733A58E3" w:rsidR="00203FAB" w:rsidRPr="006A6C50" w:rsidRDefault="00203FAB" w:rsidP="002D14C0">
      <w:pPr>
        <w:rPr>
          <w:rFonts w:ascii="Roboto" w:hAnsi="Roboto"/>
        </w:rPr>
      </w:pPr>
    </w:p>
    <w:p w14:paraId="02CA384A" w14:textId="76C02ECD" w:rsidR="00203FAB" w:rsidRPr="006A6C50" w:rsidRDefault="00203FAB" w:rsidP="002D14C0">
      <w:pPr>
        <w:rPr>
          <w:rFonts w:ascii="Roboto" w:hAnsi="Roboto"/>
        </w:rPr>
      </w:pPr>
    </w:p>
    <w:p w14:paraId="22DE1EC4" w14:textId="1C51364F" w:rsidR="00203FAB" w:rsidRPr="006A6C50" w:rsidRDefault="00203FAB" w:rsidP="002D14C0">
      <w:pPr>
        <w:rPr>
          <w:rFonts w:ascii="Roboto" w:hAnsi="Roboto"/>
        </w:rPr>
      </w:pPr>
    </w:p>
    <w:p w14:paraId="3E4EFB4E" w14:textId="77777777" w:rsidR="00203FAB" w:rsidRPr="006A6C50" w:rsidRDefault="00203FAB" w:rsidP="002D14C0">
      <w:pPr>
        <w:rPr>
          <w:rFonts w:ascii="Roboto" w:hAnsi="Roboto"/>
        </w:rPr>
      </w:pPr>
    </w:p>
    <w:p w14:paraId="770BAF5B" w14:textId="77777777" w:rsidR="00203FAB" w:rsidRPr="006A6C50" w:rsidRDefault="00203FAB" w:rsidP="002D14C0">
      <w:pPr>
        <w:rPr>
          <w:rFonts w:ascii="Roboto" w:hAnsi="Roboto"/>
        </w:rPr>
      </w:pPr>
    </w:p>
    <w:p w14:paraId="165335F7" w14:textId="77777777" w:rsidR="00203FAB" w:rsidRPr="006A6C50" w:rsidRDefault="00203FAB" w:rsidP="002D14C0">
      <w:pPr>
        <w:rPr>
          <w:rFonts w:ascii="Roboto" w:hAnsi="Roboto"/>
        </w:rPr>
      </w:pPr>
    </w:p>
    <w:p w14:paraId="1149FA9B" w14:textId="77777777" w:rsidR="00203FAB" w:rsidRPr="006A6C50" w:rsidRDefault="00203FAB" w:rsidP="002D14C0">
      <w:pPr>
        <w:rPr>
          <w:rFonts w:ascii="Roboto" w:hAnsi="Roboto"/>
        </w:rPr>
      </w:pPr>
    </w:p>
    <w:p w14:paraId="5E1FD6C9" w14:textId="6B8DC7A8" w:rsidR="00203FAB" w:rsidRPr="006A6C50" w:rsidRDefault="00203FAB" w:rsidP="002D14C0">
      <w:pPr>
        <w:rPr>
          <w:rFonts w:ascii="Roboto" w:hAnsi="Roboto"/>
        </w:rPr>
      </w:pPr>
    </w:p>
    <w:p w14:paraId="067FCBFE" w14:textId="3D7C666A" w:rsidR="00203FAB" w:rsidRPr="006A6C50" w:rsidRDefault="00203FAB" w:rsidP="002D14C0">
      <w:pPr>
        <w:rPr>
          <w:rFonts w:ascii="Roboto" w:hAnsi="Roboto"/>
        </w:rPr>
      </w:pPr>
    </w:p>
    <w:p w14:paraId="6FC1831F" w14:textId="5DB87A85" w:rsidR="00203FAB" w:rsidRPr="006A6C50" w:rsidRDefault="00203FAB" w:rsidP="002D14C0">
      <w:pPr>
        <w:rPr>
          <w:rFonts w:ascii="Roboto" w:hAnsi="Roboto"/>
        </w:rPr>
      </w:pPr>
    </w:p>
    <w:p w14:paraId="6DD030C6" w14:textId="57B391E1" w:rsidR="00203FAB" w:rsidRPr="006A6C50" w:rsidRDefault="00203FAB" w:rsidP="002D14C0">
      <w:pPr>
        <w:rPr>
          <w:rFonts w:ascii="Roboto" w:hAnsi="Roboto"/>
        </w:rPr>
      </w:pPr>
    </w:p>
    <w:p w14:paraId="66EC0726" w14:textId="3DE45386" w:rsidR="00203FAB" w:rsidRPr="006A6C50" w:rsidRDefault="00203FAB" w:rsidP="002D14C0">
      <w:pPr>
        <w:rPr>
          <w:rFonts w:ascii="Roboto" w:hAnsi="Roboto"/>
        </w:rPr>
      </w:pPr>
    </w:p>
    <w:p w14:paraId="07DB3A50" w14:textId="7B650136" w:rsidR="00203FAB" w:rsidRPr="006A6C50"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72286" behindDoc="0" locked="0" layoutInCell="1" allowOverlap="1" wp14:anchorId="75F64D22" wp14:editId="7E1191B1">
                <wp:simplePos x="0" y="0"/>
                <wp:positionH relativeFrom="column">
                  <wp:posOffset>-3610928</wp:posOffset>
                </wp:positionH>
                <wp:positionV relativeFrom="paragraph">
                  <wp:posOffset>446087</wp:posOffset>
                </wp:positionV>
                <wp:extent cx="5976620" cy="252095"/>
                <wp:effectExtent l="0" t="0" r="0" b="0"/>
                <wp:wrapNone/>
                <wp:docPr id="188" name="Text Box 188"/>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4E25B2D6" w14:textId="6D96C49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F64D22" id="Text Box 188" o:spid="_x0000_s1161" type="#_x0000_t202" style="position:absolute;margin-left:-284.35pt;margin-top:35.1pt;width:470.6pt;height:19.85pt;rotation:90;z-index:25537228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" filled="f" stroked="f" strokeweight=".5pt">
                <v:textbox>
                  <w:txbxContent>
                    <w:p w14:paraId="4E25B2D6" w14:textId="6D96C49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41</w:t>
                      </w:r>
                    </w:p>
                  </w:txbxContent>
                </v:textbox>
              </v:shape>
            </w:pict>
          </mc:Fallback>
        </mc:AlternateContent>
      </w:r>
    </w:p>
    <w:p w14:paraId="0058CC0F" w14:textId="7D14DBF3" w:rsidR="00203FAB" w:rsidRPr="006A6C50" w:rsidRDefault="00203FAB" w:rsidP="002D14C0">
      <w:pPr>
        <w:rPr>
          <w:rFonts w:ascii="Roboto" w:hAnsi="Roboto"/>
        </w:rPr>
      </w:pPr>
    </w:p>
    <w:p w14:paraId="69990961" w14:textId="05F5A388" w:rsidR="00203FAB" w:rsidRPr="006A6C50"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71262" behindDoc="0" locked="0" layoutInCell="1" allowOverlap="1" wp14:anchorId="091B78D0" wp14:editId="277EB5A9">
                <wp:simplePos x="0" y="0"/>
                <wp:positionH relativeFrom="column">
                  <wp:posOffset>6533325</wp:posOffset>
                </wp:positionH>
                <wp:positionV relativeFrom="paragraph">
                  <wp:posOffset>121602</wp:posOffset>
                </wp:positionV>
                <wp:extent cx="5977200" cy="252096"/>
                <wp:effectExtent l="4762" t="0" r="0" b="0"/>
                <wp:wrapNone/>
                <wp:docPr id="187" name="Text Box 187"/>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56ADCAB4" w14:textId="4CC41852"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2650116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446341B"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1B78D0" id="Text Box 187" o:spid="_x0000_s1162" type="#_x0000_t202" style="position:absolute;margin-left:514.45pt;margin-top:9.55pt;width:470.65pt;height:19.85pt;rotation:90;z-index:255371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" fillcolor="white [3201]" stroked="f" strokeweight=".5pt">
                <v:textbox>
                  <w:txbxContent>
                    <w:p w14:paraId="56ADCAB4" w14:textId="4CC41852"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2650116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446341B" w14:textId="77777777" w:rsidR="00D15FD8" w:rsidRDefault="00D15FD8" w:rsidP="003D7CCB"/>
                  </w:txbxContent>
                </v:textbox>
              </v:shape>
            </w:pict>
          </mc:Fallback>
        </mc:AlternateContent>
      </w:r>
    </w:p>
    <w:p w14:paraId="2F09B558" w14:textId="77777777" w:rsidR="00203FAB" w:rsidRPr="006A6C50" w:rsidRDefault="00203FAB" w:rsidP="002D14C0">
      <w:pPr>
        <w:rPr>
          <w:rFonts w:ascii="Roboto" w:hAnsi="Roboto"/>
        </w:rPr>
      </w:pPr>
    </w:p>
    <w:p w14:paraId="227EB06F" w14:textId="77777777" w:rsidR="00203FAB" w:rsidRPr="006A6C50" w:rsidRDefault="00203FAB" w:rsidP="002D14C0">
      <w:pPr>
        <w:rPr>
          <w:rFonts w:ascii="Roboto" w:hAnsi="Roboto"/>
        </w:rPr>
      </w:pPr>
    </w:p>
    <w:p w14:paraId="71436664" w14:textId="77777777" w:rsidR="00203FAB" w:rsidRPr="006A6C50" w:rsidRDefault="00203FAB" w:rsidP="002D14C0">
      <w:pPr>
        <w:rPr>
          <w:rFonts w:ascii="Roboto" w:hAnsi="Roboto"/>
        </w:rPr>
      </w:pPr>
    </w:p>
    <w:p w14:paraId="41BC02E3" w14:textId="77777777" w:rsidR="00203FAB" w:rsidRPr="006A6C50" w:rsidRDefault="00203FAB" w:rsidP="002D14C0">
      <w:pPr>
        <w:rPr>
          <w:rFonts w:ascii="Roboto" w:hAnsi="Roboto"/>
        </w:rPr>
      </w:pPr>
    </w:p>
    <w:p w14:paraId="64C7A258" w14:textId="1B18D5AF" w:rsidR="00203FAB" w:rsidRPr="006A6C50" w:rsidRDefault="00203FAB" w:rsidP="002D14C0">
      <w:pPr>
        <w:rPr>
          <w:rFonts w:ascii="Roboto" w:hAnsi="Roboto"/>
        </w:rPr>
      </w:pPr>
    </w:p>
    <w:p w14:paraId="59ABE8AD" w14:textId="77777777" w:rsidR="00203FAB" w:rsidRPr="006A6C50" w:rsidRDefault="00203FAB" w:rsidP="002D14C0">
      <w:pPr>
        <w:rPr>
          <w:rFonts w:ascii="Roboto" w:hAnsi="Roboto"/>
        </w:rPr>
      </w:pPr>
    </w:p>
    <w:p w14:paraId="330A2577" w14:textId="77777777" w:rsidR="00203FAB" w:rsidRPr="006A6C50" w:rsidRDefault="00203FAB" w:rsidP="002D14C0">
      <w:pPr>
        <w:rPr>
          <w:rFonts w:ascii="Roboto" w:hAnsi="Roboto"/>
        </w:rPr>
      </w:pPr>
    </w:p>
    <w:p w14:paraId="274C204C" w14:textId="28E6E587" w:rsidR="00203FAB" w:rsidRPr="006A6C50" w:rsidRDefault="00203FAB" w:rsidP="002D14C0">
      <w:pPr>
        <w:rPr>
          <w:rFonts w:ascii="Roboto" w:hAnsi="Roboto"/>
        </w:rPr>
      </w:pPr>
    </w:p>
    <w:p w14:paraId="6ED91266" w14:textId="77777777" w:rsidR="00E94948" w:rsidRDefault="00E94948" w:rsidP="002D14C0">
      <w:pPr>
        <w:jc w:val="center"/>
        <w:rPr>
          <w:rFonts w:ascii="Roboto" w:hAnsi="Roboto"/>
        </w:rPr>
      </w:pPr>
    </w:p>
    <w:p w14:paraId="768842AD" w14:textId="09CAE112" w:rsidR="00203FAB" w:rsidRDefault="00203FAB" w:rsidP="00B84F0E">
      <w:pPr>
        <w:spacing w:after="160" w:line="259" w:lineRule="auto"/>
        <w:rPr>
          <w:rFonts w:ascii="Roboto" w:hAnsi="Roboto"/>
        </w:rPr>
      </w:pPr>
    </w:p>
    <w:p w14:paraId="5047C17F" w14:textId="08C52590" w:rsidR="005668D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80830" behindDoc="0" locked="0" layoutInCell="1" allowOverlap="1" wp14:anchorId="3BEEA309" wp14:editId="13136231">
                <wp:simplePos x="0" y="0"/>
                <wp:positionH relativeFrom="column">
                  <wp:posOffset>5480685</wp:posOffset>
                </wp:positionH>
                <wp:positionV relativeFrom="paragraph">
                  <wp:posOffset>1425067</wp:posOffset>
                </wp:positionV>
                <wp:extent cx="3878317" cy="268014"/>
                <wp:effectExtent l="0" t="0" r="0" b="0"/>
                <wp:wrapNone/>
                <wp:docPr id="395" name="Rectangle 395"/>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51930E62" id="Rectangle 395" o:spid="_x0000_s1026" style="position:absolute;margin-left:431.55pt;margin-top:112.2pt;width:305.4pt;height:21.1pt;z-index:2554808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" fillcolor="white [3212]" stroked="f" strokeweight="1pt"/>
            </w:pict>
          </mc:Fallback>
        </mc:AlternateContent>
      </w:r>
      <w:r w:rsidR="005668DD">
        <w:rPr>
          <w:rFonts w:ascii="Roboto" w:hAnsi="Roboto"/>
        </w:rPr>
        <w:br w:type="page"/>
      </w:r>
      <w:r w:rsidR="00783364">
        <w:rPr>
          <w:rFonts w:ascii="Arial" w:hAnsi="Arial" w:cs="Arial"/>
          <w:noProof/>
          <w:sz w:val="24"/>
          <w:szCs w:val="24"/>
          <w:lang w:val="en-US"/>
        </w:rPr>
        <mc:AlternateContent>
          <mc:Choice Requires="wps">
            <w:drawing>
              <wp:anchor distT="0" distB="0" distL="114300" distR="114300" simplePos="0" relativeHeight="254750718" behindDoc="1" locked="0" layoutInCell="1" allowOverlap="1" wp14:anchorId="7CB85BBA" wp14:editId="3083F7C6">
                <wp:simplePos x="0" y="0"/>
                <wp:positionH relativeFrom="margin">
                  <wp:align>center</wp:align>
                </wp:positionH>
                <wp:positionV relativeFrom="margin">
                  <wp:align>center</wp:align>
                </wp:positionV>
                <wp:extent cx="9856189" cy="5969000"/>
                <wp:effectExtent l="12700" t="12700" r="12065" b="12700"/>
                <wp:wrapNone/>
                <wp:docPr id="2609" name="Rectangle 2609"/>
                <wp:cNvGraphicFramePr/>
                <a:graphic xmlns:a="http://schemas.openxmlformats.org/drawingml/2006/main">
                  <a:graphicData uri="http://schemas.microsoft.com/office/word/2010/wordprocessingShape">
                    <wps:wsp>
                      <wps:cNvSpPr/>
                      <wps:spPr>
                        <a:xfrm>
                          <a:off x="0" y="0"/>
                          <a:ext cx="9856189" cy="59690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6272E3CD" id="Rectangle 2609" o:spid="_x0000_s1026" style="position:absolute;margin-left:0;margin-top:0;width:776.1pt;height:470pt;z-index:-24856576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" fillcolor="#f2f2f2 [3052]" strokecolor="#16988a" strokeweight="1.5pt">
                <w10:wrap anchorx="margin" anchory="margin"/>
              </v:rect>
            </w:pict>
          </mc:Fallback>
        </mc:AlternateContent>
      </w:r>
    </w:p>
    <w:p w14:paraId="6472DC8F" w14:textId="78A7857C" w:rsidR="00203FAB" w:rsidRPr="006A6C50" w:rsidRDefault="009918CC" w:rsidP="002D14C0">
      <w:pPr>
        <w:rPr>
          <w:rFonts w:ascii="Roboto" w:hAnsi="Roboto"/>
        </w:rPr>
      </w:pPr>
      <w:r>
        <w:rPr>
          <w:rFonts w:ascii="Arial" w:hAnsi="Arial" w:cs="Arial"/>
          <w:noProof/>
          <w:sz w:val="24"/>
          <w:szCs w:val="24"/>
          <w:lang w:val="en-US"/>
        </w:rPr>
        <w:lastRenderedPageBreak/>
        <mc:AlternateContent>
          <mc:Choice Requires="wps">
            <w:drawing>
              <wp:anchor distT="0" distB="0" distL="114300" distR="114300" simplePos="0" relativeHeight="254752766" behindDoc="1" locked="0" layoutInCell="1" allowOverlap="1" wp14:anchorId="6FB19D71" wp14:editId="24ACFC16">
                <wp:simplePos x="0" y="0"/>
                <wp:positionH relativeFrom="margin">
                  <wp:posOffset>-491797</wp:posOffset>
                </wp:positionH>
                <wp:positionV relativeFrom="margin">
                  <wp:posOffset>-113424</wp:posOffset>
                </wp:positionV>
                <wp:extent cx="9855835" cy="6072790"/>
                <wp:effectExtent l="12700" t="12700" r="12065" b="10795"/>
                <wp:wrapNone/>
                <wp:docPr id="2610" name="Rectangle 2610"/>
                <wp:cNvGraphicFramePr/>
                <a:graphic xmlns:a="http://schemas.openxmlformats.org/drawingml/2006/main">
                  <a:graphicData uri="http://schemas.microsoft.com/office/word/2010/wordprocessingShape">
                    <wps:wsp>
                      <wps:cNvSpPr/>
                      <wps:spPr>
                        <a:xfrm>
                          <a:off x="0" y="0"/>
                          <a:ext cx="9855835" cy="607279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40C50C60" id="Rectangle 2610" o:spid="_x0000_s1026" style="position:absolute;margin-left:-38.7pt;margin-top:-8.95pt;width:776.05pt;height:478.15pt;z-index:-24856371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" fillcolor="#f2f2f2 [3052]" strokecolor="#16988a" strokeweight="1.5pt">
                <w10:wrap anchorx="margin" anchory="margin"/>
              </v:rect>
            </w:pict>
          </mc:Fallback>
        </mc:AlternateContent>
      </w:r>
      <w:r>
        <w:rPr>
          <w:rFonts w:ascii="Roboto" w:hAnsi="Roboto"/>
          <w:noProof/>
          <w:lang w:val="en-US"/>
        </w:rPr>
        <mc:AlternateContent>
          <mc:Choice Requires="wps">
            <w:drawing>
              <wp:anchor distT="0" distB="0" distL="114300" distR="114300" simplePos="0" relativeHeight="255482878" behindDoc="0" locked="0" layoutInCell="1" allowOverlap="1" wp14:anchorId="67867DB3" wp14:editId="3787588E">
                <wp:simplePos x="0" y="0"/>
                <wp:positionH relativeFrom="column">
                  <wp:posOffset>-208192</wp:posOffset>
                </wp:positionH>
                <wp:positionV relativeFrom="paragraph">
                  <wp:posOffset>-536093</wp:posOffset>
                </wp:positionV>
                <wp:extent cx="3878317" cy="268014"/>
                <wp:effectExtent l="0" t="0" r="0" b="0"/>
                <wp:wrapNone/>
                <wp:docPr id="397" name="Rectangle 397"/>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138F5A94" id="Rectangle 397" o:spid="_x0000_s1026" style="position:absolute;margin-left:-16.4pt;margin-top:-42.2pt;width:305.4pt;height:21.1pt;z-index:2554828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" fillcolor="white [3212]" stroked="f" strokeweight="1pt"/>
            </w:pict>
          </mc:Fallback>
        </mc:AlternateContent>
      </w:r>
      <w:r w:rsidR="00FB0BA4">
        <w:rPr>
          <w:rFonts w:ascii="Roboto" w:hAnsi="Roboto"/>
          <w:noProof/>
          <w:lang w:val="en-US"/>
        </w:rPr>
        <w:drawing>
          <wp:anchor distT="0" distB="0" distL="114300" distR="114300" simplePos="0" relativeHeight="254809086" behindDoc="1" locked="0" layoutInCell="1" allowOverlap="1" wp14:anchorId="0A4A64BD" wp14:editId="3F8CC8A5">
            <wp:simplePos x="0" y="0"/>
            <wp:positionH relativeFrom="column">
              <wp:posOffset>-63500</wp:posOffset>
            </wp:positionH>
            <wp:positionV relativeFrom="paragraph">
              <wp:posOffset>25400</wp:posOffset>
            </wp:positionV>
            <wp:extent cx="3059430" cy="611505"/>
            <wp:effectExtent l="0" t="0" r="0" b="0"/>
            <wp:wrapTight wrapText="bothSides">
              <wp:wrapPolygon edited="0">
                <wp:start x="1883" y="1346"/>
                <wp:lineTo x="1255" y="2692"/>
                <wp:lineTo x="359" y="6729"/>
                <wp:lineTo x="359" y="11664"/>
                <wp:lineTo x="717" y="16598"/>
                <wp:lineTo x="1883" y="19738"/>
                <wp:lineTo x="2421" y="19738"/>
                <wp:lineTo x="21340" y="18841"/>
                <wp:lineTo x="21340" y="3140"/>
                <wp:lineTo x="19726" y="2692"/>
                <wp:lineTo x="2421" y="1346"/>
                <wp:lineTo x="1883" y="1346"/>
              </wp:wrapPolygon>
            </wp:wrapTight>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7_Icon_titles_quarterof1920-01.png"/>
                    <pic:cNvPicPr/>
                  </pic:nvPicPr>
                  <pic:blipFill>
                    <a:blip r:embed="rId285" cstate="email">
                      <a:extLst>
                        <a:ext uri="{28A0092B-C50C-407E-A947-70E740481C1C}">
                          <a14:useLocalDpi xmlns:a14="http://schemas.microsoft.com/office/drawing/2010/main"/>
                        </a:ext>
                      </a:extLst>
                    </a:blip>
                    <a:stretch>
                      <a:fillRect/>
                    </a:stretch>
                  </pic:blipFill>
                  <pic:spPr>
                    <a:xfrm>
                      <a:off x="0" y="0"/>
                      <a:ext cx="3059430" cy="611505"/>
                    </a:xfrm>
                    <a:prstGeom prst="rect">
                      <a:avLst/>
                    </a:prstGeom>
                  </pic:spPr>
                </pic:pic>
              </a:graphicData>
            </a:graphic>
            <wp14:sizeRelH relativeFrom="page">
              <wp14:pctWidth>0</wp14:pctWidth>
            </wp14:sizeRelH>
            <wp14:sizeRelV relativeFrom="page">
              <wp14:pctHeight>0</wp14:pctHeight>
            </wp14:sizeRelV>
          </wp:anchor>
        </w:drawing>
      </w:r>
    </w:p>
    <w:p w14:paraId="25844194" w14:textId="166E27C3" w:rsidR="00203FAB" w:rsidRPr="006A6C50" w:rsidRDefault="00203FAB" w:rsidP="002D14C0">
      <w:pPr>
        <w:rPr>
          <w:rFonts w:ascii="Roboto" w:hAnsi="Roboto"/>
        </w:rPr>
      </w:pPr>
    </w:p>
    <w:p w14:paraId="5DD48642" w14:textId="69089DD0" w:rsidR="00203FAB" w:rsidRPr="006A6C50" w:rsidRDefault="00203FAB" w:rsidP="002D14C0">
      <w:pPr>
        <w:rPr>
          <w:rFonts w:ascii="Roboto" w:hAnsi="Roboto"/>
        </w:rPr>
      </w:pPr>
    </w:p>
    <w:p w14:paraId="3D2F745C" w14:textId="6653C58C" w:rsidR="00203FAB" w:rsidRDefault="00FB0BA4" w:rsidP="002D14C0">
      <w:pPr>
        <w:rPr>
          <w:rFonts w:ascii="Roboto" w:hAnsi="Roboto"/>
        </w:rPr>
      </w:pPr>
      <w:r w:rsidRPr="00DC2D55">
        <w:rPr>
          <w:rFonts w:ascii="Roboto" w:hAnsi="Roboto"/>
          <w:noProof/>
          <w:lang w:val="en-US"/>
        </w:rPr>
        <mc:AlternateContent>
          <mc:Choice Requires="wps">
            <w:drawing>
              <wp:anchor distT="0" distB="0" distL="114300" distR="114300" simplePos="0" relativeHeight="253661182" behindDoc="0" locked="0" layoutInCell="1" allowOverlap="1" wp14:anchorId="348C9A57" wp14:editId="02CF4909">
                <wp:simplePos x="0" y="0"/>
                <wp:positionH relativeFrom="column">
                  <wp:posOffset>0</wp:posOffset>
                </wp:positionH>
                <wp:positionV relativeFrom="paragraph">
                  <wp:posOffset>129540</wp:posOffset>
                </wp:positionV>
                <wp:extent cx="8847455" cy="789305"/>
                <wp:effectExtent l="0" t="0" r="17145" b="10795"/>
                <wp:wrapNone/>
                <wp:docPr id="1933" name="Rounded Rectangle 1933"/>
                <wp:cNvGraphicFramePr/>
                <a:graphic xmlns:a="http://schemas.openxmlformats.org/drawingml/2006/main">
                  <a:graphicData uri="http://schemas.microsoft.com/office/word/2010/wordprocessingShape">
                    <wps:wsp>
                      <wps:cNvSpPr/>
                      <wps:spPr>
                        <a:xfrm>
                          <a:off x="0" y="0"/>
                          <a:ext cx="8847455" cy="789305"/>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4D12F48B" id="Rounded Rectangle 1933" o:spid="_x0000_s1026" style="position:absolute;margin-left:0;margin-top:10.2pt;width:696.65pt;height:62.15pt;z-index:2536611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" filled="f" strokecolor="#f26c21" strokeweight="1pt">
                <v:stroke joinstyle="miter"/>
              </v:roundrect>
            </w:pict>
          </mc:Fallback>
        </mc:AlternateContent>
      </w:r>
      <w:r w:rsidRPr="00DC2D55">
        <w:rPr>
          <w:rFonts w:ascii="Roboto" w:hAnsi="Roboto"/>
          <w:noProof/>
          <w:lang w:val="en-US"/>
        </w:rPr>
        <mc:AlternateContent>
          <mc:Choice Requires="wps">
            <w:drawing>
              <wp:anchor distT="0" distB="0" distL="114300" distR="114300" simplePos="0" relativeHeight="253662206" behindDoc="0" locked="0" layoutInCell="1" allowOverlap="1" wp14:anchorId="2C533FCD" wp14:editId="17F8D29B">
                <wp:simplePos x="0" y="0"/>
                <wp:positionH relativeFrom="column">
                  <wp:posOffset>-12700</wp:posOffset>
                </wp:positionH>
                <wp:positionV relativeFrom="paragraph">
                  <wp:posOffset>141605</wp:posOffset>
                </wp:positionV>
                <wp:extent cx="8724900" cy="817245"/>
                <wp:effectExtent l="0" t="0" r="0" b="0"/>
                <wp:wrapNone/>
                <wp:docPr id="1932" name="Text Box 1932"/>
                <wp:cNvGraphicFramePr/>
                <a:graphic xmlns:a="http://schemas.openxmlformats.org/drawingml/2006/main">
                  <a:graphicData uri="http://schemas.microsoft.com/office/word/2010/wordprocessingShape">
                    <wps:wsp>
                      <wps:cNvSpPr txBox="1"/>
                      <wps:spPr>
                        <a:xfrm>
                          <a:off x="0" y="0"/>
                          <a:ext cx="8724900" cy="81724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893E781" w14:textId="77777777" w:rsidR="00D15FD8" w:rsidRPr="007867F2" w:rsidRDefault="00D15FD8" w:rsidP="002D14C0">
                            <w:pPr>
                              <w:spacing w:line="360" w:lineRule="auto"/>
                              <w:rPr>
                                <w:sz w:val="20"/>
                                <w:szCs w:val="20"/>
                              </w:rPr>
                            </w:pPr>
                            <w:r w:rsidRPr="00DC2D55">
                              <w:rPr>
                                <w:rFonts w:ascii="Roboto" w:hAnsi="Roboto"/>
                                <w:b/>
                                <w:color w:val="F26C21"/>
                                <w:sz w:val="20"/>
                                <w:szCs w:val="20"/>
                              </w:rPr>
                              <w:t>Roles and responsibilities for raising revenues, incurring liabilities, consuming resources, investing, and managing public resources should be clearly assigned in legislation between the three branches of government (the legislature, the executive and the judiciary), between national and each sub-national level of government, between the government sector and the rest of the public sector, and within the government sector itself.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3FCD" id="Text Box 1932" o:spid="_x0000_s1163" type="#_x0000_t202" style="position:absolute;margin-left:-1pt;margin-top:11.15pt;width:687pt;height:64.35pt;z-index:253662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" filled="f" stroked="f" strokeweight="1pt">
                <v:textbox>
                  <w:txbxContent>
                    <w:p w14:paraId="2893E781" w14:textId="77777777" w:rsidR="00D15FD8" w:rsidRPr="007867F2" w:rsidRDefault="00D15FD8" w:rsidP="002D14C0">
                      <w:pPr>
                        <w:spacing w:line="360" w:lineRule="auto"/>
                        <w:rPr>
                          <w:sz w:val="20"/>
                          <w:szCs w:val="20"/>
                        </w:rPr>
                      </w:pPr>
                      <w:r w:rsidRPr="00DC2D55">
                        <w:rPr>
                          <w:rFonts w:ascii="Roboto" w:hAnsi="Roboto"/>
                          <w:b/>
                          <w:color w:val="F26C21"/>
                          <w:sz w:val="20"/>
                          <w:szCs w:val="20"/>
                        </w:rPr>
                        <w:t>Roles and responsibilities for raising revenues, incurring liabilities, consuming resources, investing, and managing public resources should be clearly assigned in legislation between the three branches of government (the legislature, the executive and the judiciary), between national and each sub-national level of government, between the government sector and the rest of the public sector, and within the government sector itself.</w:t>
                      </w:r>
                    </w:p>
                  </w:txbxContent>
                </v:textbox>
              </v:shape>
            </w:pict>
          </mc:Fallback>
        </mc:AlternateContent>
      </w:r>
    </w:p>
    <w:p w14:paraId="608FB3DA" w14:textId="77777777" w:rsidR="00203FAB" w:rsidRPr="00DC2D55" w:rsidRDefault="00203FAB" w:rsidP="002D14C0">
      <w:pPr>
        <w:rPr>
          <w:rFonts w:ascii="Roboto" w:hAnsi="Roboto"/>
        </w:rPr>
      </w:pPr>
    </w:p>
    <w:p w14:paraId="03F3A883" w14:textId="49A707EA" w:rsidR="00203FAB" w:rsidRPr="00DC2D55" w:rsidRDefault="00203FAB" w:rsidP="002D14C0">
      <w:pPr>
        <w:rPr>
          <w:rFonts w:ascii="Roboto" w:hAnsi="Roboto"/>
        </w:rPr>
      </w:pPr>
    </w:p>
    <w:p w14:paraId="359455CC" w14:textId="5A5C40D1" w:rsidR="00203FAB" w:rsidRDefault="00203FAB" w:rsidP="002D14C0">
      <w:pPr>
        <w:tabs>
          <w:tab w:val="left" w:pos="4844"/>
        </w:tabs>
        <w:rPr>
          <w:rFonts w:ascii="Roboto" w:hAnsi="Roboto"/>
        </w:rPr>
      </w:pPr>
      <w:r>
        <w:rPr>
          <w:rFonts w:ascii="Roboto" w:hAnsi="Roboto"/>
        </w:rPr>
        <w:tab/>
      </w:r>
    </w:p>
    <w:p w14:paraId="16AC5365" w14:textId="454C2C61" w:rsidR="00203FAB" w:rsidRDefault="00FB0BA4" w:rsidP="002D14C0">
      <w:pPr>
        <w:rPr>
          <w:rFonts w:ascii="Roboto" w:hAnsi="Roboto"/>
        </w:rPr>
      </w:pPr>
      <w:r w:rsidRPr="00DC2D55">
        <w:rPr>
          <w:rFonts w:ascii="Roboto" w:hAnsi="Roboto"/>
          <w:noProof/>
          <w:lang w:val="en-US"/>
        </w:rPr>
        <mc:AlternateContent>
          <mc:Choice Requires="wps">
            <w:drawing>
              <wp:anchor distT="0" distB="0" distL="114300" distR="114300" simplePos="0" relativeHeight="253664254" behindDoc="0" locked="0" layoutInCell="1" allowOverlap="1" wp14:anchorId="78271945" wp14:editId="68CF9805">
                <wp:simplePos x="0" y="0"/>
                <wp:positionH relativeFrom="column">
                  <wp:posOffset>-342900</wp:posOffset>
                </wp:positionH>
                <wp:positionV relativeFrom="paragraph">
                  <wp:posOffset>609600</wp:posOffset>
                </wp:positionV>
                <wp:extent cx="2701290" cy="3823335"/>
                <wp:effectExtent l="0" t="0" r="3810" b="0"/>
                <wp:wrapNone/>
                <wp:docPr id="1935" name="Rounded Rectangle 1935"/>
                <wp:cNvGraphicFramePr/>
                <a:graphic xmlns:a="http://schemas.openxmlformats.org/drawingml/2006/main">
                  <a:graphicData uri="http://schemas.microsoft.com/office/word/2010/wordprocessingShape">
                    <wps:wsp>
                      <wps:cNvSpPr/>
                      <wps:spPr>
                        <a:xfrm>
                          <a:off x="0" y="0"/>
                          <a:ext cx="2701290" cy="3823335"/>
                        </a:xfrm>
                        <a:prstGeom prst="roundRect">
                          <a:avLst>
                            <a:gd name="adj" fmla="val 6324"/>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802ED0"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271945" id="Rounded Rectangle 1935" o:spid="_x0000_s1164" style="position:absolute;margin-left:-27pt;margin-top:48pt;width:212.7pt;height:301.05pt;z-index:253664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" fillcolor="#1e9a8c" stroked="f" strokeweight="1pt">
                <v:stroke joinstyle="miter"/>
                <v:textbox>
                  <w:txbxContent>
                    <w:p w14:paraId="7A802ED0" w14:textId="77777777" w:rsidR="00D15FD8" w:rsidRDefault="00D15FD8" w:rsidP="002D14C0">
                      <w:pPr>
                        <w:jc w:val="center"/>
                      </w:pPr>
                    </w:p>
                  </w:txbxContent>
                </v:textbox>
              </v:roundrect>
            </w:pict>
          </mc:Fallback>
        </mc:AlternateContent>
      </w:r>
      <w:r w:rsidRPr="00DC2D55">
        <w:rPr>
          <w:rFonts w:ascii="Roboto" w:hAnsi="Roboto"/>
          <w:noProof/>
          <w:lang w:val="en-US"/>
        </w:rPr>
        <mc:AlternateContent>
          <mc:Choice Requires="wps">
            <w:drawing>
              <wp:anchor distT="0" distB="0" distL="114300" distR="114300" simplePos="0" relativeHeight="253670398" behindDoc="0" locked="0" layoutInCell="1" allowOverlap="1" wp14:anchorId="453E9DD4" wp14:editId="6C6AB4A3">
                <wp:simplePos x="0" y="0"/>
                <wp:positionH relativeFrom="column">
                  <wp:posOffset>2438400</wp:posOffset>
                </wp:positionH>
                <wp:positionV relativeFrom="paragraph">
                  <wp:posOffset>709295</wp:posOffset>
                </wp:positionV>
                <wp:extent cx="6794500" cy="3822700"/>
                <wp:effectExtent l="0" t="0" r="0" b="0"/>
                <wp:wrapNone/>
                <wp:docPr id="1936" name="Text Box 1936"/>
                <wp:cNvGraphicFramePr/>
                <a:graphic xmlns:a="http://schemas.openxmlformats.org/drawingml/2006/main">
                  <a:graphicData uri="http://schemas.microsoft.com/office/word/2010/wordprocessingShape">
                    <wps:wsp>
                      <wps:cNvSpPr txBox="1"/>
                      <wps:spPr>
                        <a:xfrm>
                          <a:off x="0" y="0"/>
                          <a:ext cx="6794500" cy="3822700"/>
                        </a:xfrm>
                        <a:prstGeom prst="rect">
                          <a:avLst/>
                        </a:prstGeom>
                        <a:noFill/>
                        <a:ln w="6350">
                          <a:noFill/>
                        </a:ln>
                      </wps:spPr>
                      <wps:txbx>
                        <w:txbxContent>
                          <w:p w14:paraId="2BDB8665" w14:textId="77777777" w:rsidR="00D15FD8" w:rsidRPr="00DC2D55" w:rsidRDefault="00D15FD8" w:rsidP="002D14C0">
                            <w:pPr>
                              <w:suppressOverlap/>
                              <w:rPr>
                                <w:rFonts w:ascii="Roboto" w:eastAsia="Calibri" w:hAnsi="Roboto" w:cs="Calibri"/>
                                <w:sz w:val="20"/>
                                <w:szCs w:val="20"/>
                              </w:rPr>
                            </w:pPr>
                            <w:r w:rsidRPr="00DC2D55">
                              <w:rPr>
                                <w:rFonts w:ascii="Roboto" w:eastAsia="Calibri" w:hAnsi="Roboto" w:cs="Calibri"/>
                                <w:color w:val="404040" w:themeColor="text1" w:themeTint="BF"/>
                                <w:sz w:val="20"/>
                                <w:szCs w:val="20"/>
                              </w:rPr>
                              <w:t xml:space="preserve">Current international fiscal transparency norms address 4 aspects of the assignment in legislation of roles and responsibilities within the public sector: </w:t>
                            </w:r>
                          </w:p>
                          <w:p w14:paraId="1FBFAB0F"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 xml:space="preserve">specific areas of potential overlap such as transfers between central and local government; </w:t>
                            </w:r>
                          </w:p>
                          <w:p w14:paraId="1712142D"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 xml:space="preserve">accountability of commercial enterprises to government;  </w:t>
                            </w:r>
                          </w:p>
                          <w:p w14:paraId="2B9CBEE4"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fiscal risks arising from the finances of sub-national governments and public corporations; and</w:t>
                            </w:r>
                          </w:p>
                          <w:p w14:paraId="375401AD"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budget process, including the authority to amend the executive’s budget proposals and redirect resources within the budget year.</w:t>
                            </w:r>
                          </w:p>
                          <w:p w14:paraId="2CD12350" w14:textId="77777777" w:rsidR="00D15FD8" w:rsidRPr="00DC2D55" w:rsidRDefault="00D15FD8" w:rsidP="002D14C0">
                            <w:pPr>
                              <w:suppressOverlap/>
                              <w:rPr>
                                <w:rFonts w:ascii="Roboto" w:eastAsia="Calibri" w:hAnsi="Roboto" w:cs="Calibri"/>
                                <w:color w:val="404040" w:themeColor="text1" w:themeTint="BF"/>
                                <w:sz w:val="20"/>
                                <w:szCs w:val="20"/>
                              </w:rPr>
                            </w:pPr>
                            <w:r w:rsidRPr="00DC2D55">
                              <w:rPr>
                                <w:rFonts w:ascii="Roboto" w:hAnsi="Roboto"/>
                                <w:color w:val="404040" w:themeColor="text1" w:themeTint="BF"/>
                                <w:sz w:val="20"/>
                                <w:szCs w:val="20"/>
                              </w:rPr>
                              <w:t>Measures to ensure rigor in reporting sectoral</w:t>
                            </w:r>
                            <w:r w:rsidRPr="00DC2D55">
                              <w:rPr>
                                <w:rFonts w:ascii="Roboto" w:eastAsia="Calibri" w:hAnsi="Roboto" w:cs="Calibri"/>
                                <w:color w:val="404040" w:themeColor="text1" w:themeTint="BF"/>
                                <w:sz w:val="20"/>
                                <w:szCs w:val="20"/>
                              </w:rPr>
                              <w:t xml:space="preserve"> boundaries can also clarify sectoral roles and reduce the risk of gaps or overlaps in responsibilities.</w:t>
                            </w:r>
                          </w:p>
                          <w:p w14:paraId="6E448941" w14:textId="77777777" w:rsidR="00D15FD8" w:rsidRPr="00DC2D55" w:rsidRDefault="00D15FD8" w:rsidP="002D14C0">
                            <w:pPr>
                              <w:suppressOverlap/>
                              <w:rPr>
                                <w:rFonts w:ascii="Roboto" w:eastAsia="Calibri" w:hAnsi="Roboto" w:cs="Calibri"/>
                                <w:color w:val="404040" w:themeColor="text1" w:themeTint="BF"/>
                                <w:sz w:val="20"/>
                                <w:szCs w:val="20"/>
                              </w:rPr>
                            </w:pPr>
                          </w:p>
                          <w:p w14:paraId="5652709B" w14:textId="77777777" w:rsidR="00D15FD8" w:rsidRPr="00656D68" w:rsidRDefault="00D15FD8" w:rsidP="002D14C0">
                            <w:pPr>
                              <w:suppressOverlap/>
                              <w:rPr>
                                <w:rFonts w:ascii="Roboto" w:eastAsia="Calibri" w:hAnsi="Roboto" w:cs="Calibri"/>
                                <w:color w:val="1E9A8C"/>
                                <w:sz w:val="20"/>
                                <w:szCs w:val="20"/>
                              </w:rPr>
                            </w:pPr>
                            <w:r w:rsidRPr="00656D68">
                              <w:rPr>
                                <w:rFonts w:ascii="Roboto" w:eastAsia="Calibri" w:hAnsi="Roboto" w:cs="Calibri"/>
                                <w:b/>
                                <w:color w:val="1E9A8C"/>
                                <w:sz w:val="20"/>
                                <w:szCs w:val="20"/>
                              </w:rPr>
                              <w:t>IMF:</w:t>
                            </w:r>
                            <w:r w:rsidRPr="00656D68">
                              <w:rPr>
                                <w:rFonts w:ascii="Roboto" w:eastAsia="Calibri" w:hAnsi="Roboto" w:cs="Calibri"/>
                                <w:color w:val="1E9A8C"/>
                                <w:sz w:val="20"/>
                                <w:szCs w:val="20"/>
                              </w:rPr>
                              <w:t xml:space="preserve"> </w:t>
                            </w:r>
                          </w:p>
                          <w:p w14:paraId="33B6DD06" w14:textId="77777777" w:rsidR="00D15FD8" w:rsidRPr="00DC2D55" w:rsidRDefault="00AC4DF7" w:rsidP="001350D0">
                            <w:pPr>
                              <w:pStyle w:val="ListParagraph"/>
                              <w:numPr>
                                <w:ilvl w:val="0"/>
                                <w:numId w:val="32"/>
                              </w:numPr>
                              <w:ind w:left="305" w:hanging="284"/>
                              <w:suppressOverlap/>
                              <w:rPr>
                                <w:rFonts w:ascii="Roboto" w:eastAsia="Calibri" w:hAnsi="Roboto" w:cs="Calibri"/>
                                <w:color w:val="404040" w:themeColor="text1" w:themeTint="BF"/>
                                <w:sz w:val="20"/>
                                <w:szCs w:val="20"/>
                              </w:rPr>
                            </w:pPr>
                            <w:hyperlink r:id="rId286" w:history="1">
                              <w:r w:rsidR="00D15FD8" w:rsidRPr="00DC2D55">
                                <w:rPr>
                                  <w:rStyle w:val="Hyperlink"/>
                                  <w:rFonts w:ascii="Roboto" w:eastAsia="Calibri" w:hAnsi="Roboto" w:cs="Calibri"/>
                                  <w:color w:val="F26C21"/>
                                  <w:sz w:val="20"/>
                                  <w:szCs w:val="20"/>
                                </w:rPr>
                                <w:t>Government Finance Statistics (GFS) Manual</w:t>
                              </w:r>
                            </w:hyperlink>
                            <w:r w:rsidR="00D15FD8" w:rsidRPr="00DC2D55">
                              <w:rPr>
                                <w:rFonts w:ascii="Roboto" w:eastAsia="Calibri" w:hAnsi="Roboto" w:cs="Calibri"/>
                                <w:color w:val="F26C21"/>
                                <w:sz w:val="20"/>
                                <w:szCs w:val="20"/>
                              </w:rPr>
                              <w:t xml:space="preserve"> </w:t>
                            </w:r>
                            <w:r w:rsidR="00D15FD8" w:rsidRPr="00DC2D55">
                              <w:rPr>
                                <w:rFonts w:ascii="Roboto" w:eastAsia="Calibri" w:hAnsi="Roboto" w:cs="Calibri"/>
                                <w:color w:val="404040" w:themeColor="text1" w:themeTint="BF"/>
                                <w:sz w:val="20"/>
                                <w:szCs w:val="20"/>
                              </w:rPr>
                              <w:t>(2014): Core standards that are widely adopted across the main fiscal transparency instruments, including on the classification of the government sector and the public sector. [</w:t>
                            </w:r>
                            <w:hyperlink r:id="rId287" w:history="1">
                              <w:r w:rsidR="00D15FD8" w:rsidRPr="00DC2D55">
                                <w:rPr>
                                  <w:rStyle w:val="Hyperlink"/>
                                  <w:rFonts w:ascii="Roboto" w:eastAsia="Calibri" w:hAnsi="Roboto" w:cs="Calibri"/>
                                  <w:color w:val="F26C21"/>
                                  <w:sz w:val="20"/>
                                  <w:szCs w:val="20"/>
                                </w:rPr>
                                <w:t xml:space="preserve">GFS </w:t>
                              </w:r>
                              <w:r w:rsidR="00D15FD8" w:rsidRPr="00DC2D55">
                                <w:rPr>
                                  <w:rStyle w:val="Hyperlink"/>
                                  <w:rFonts w:ascii="Roboto" w:eastAsia="Calibri" w:hAnsi="Roboto" w:cs="Calibri"/>
                                  <w:bCs/>
                                  <w:color w:val="F26C21"/>
                                  <w:sz w:val="20"/>
                                  <w:szCs w:val="20"/>
                                </w:rPr>
                                <w:t>Compilation Guide for Developing Countries</w:t>
                              </w:r>
                            </w:hyperlink>
                            <w:r w:rsidR="00D15FD8" w:rsidRPr="00DC2D55">
                              <w:rPr>
                                <w:rFonts w:ascii="Roboto" w:eastAsia="Calibri" w:hAnsi="Roboto" w:cs="Calibri"/>
                                <w:bCs/>
                                <w:color w:val="404040" w:themeColor="text1" w:themeTint="BF"/>
                                <w:sz w:val="20"/>
                                <w:szCs w:val="20"/>
                              </w:rPr>
                              <w:t xml:space="preserve"> (2011): See chapters 2 and 6].</w:t>
                            </w:r>
                          </w:p>
                          <w:p w14:paraId="094A0C8B" w14:textId="77777777" w:rsidR="00D15FD8" w:rsidRPr="00DC2D55" w:rsidRDefault="00AC4DF7" w:rsidP="001350D0">
                            <w:pPr>
                              <w:pStyle w:val="ListParagraph"/>
                              <w:numPr>
                                <w:ilvl w:val="0"/>
                                <w:numId w:val="32"/>
                              </w:numPr>
                              <w:ind w:left="305" w:hanging="305"/>
                              <w:suppressOverlap/>
                              <w:rPr>
                                <w:rFonts w:ascii="Roboto" w:eastAsia="Calibri" w:hAnsi="Roboto" w:cs="Calibri"/>
                                <w:i/>
                                <w:color w:val="404040" w:themeColor="text1" w:themeTint="BF"/>
                                <w:sz w:val="20"/>
                                <w:szCs w:val="20"/>
                              </w:rPr>
                            </w:pPr>
                            <w:hyperlink r:id="rId288" w:history="1">
                              <w:r w:rsidR="00D15FD8" w:rsidRPr="00DC2D55">
                                <w:rPr>
                                  <w:rStyle w:val="Hyperlink"/>
                                  <w:rFonts w:ascii="Roboto" w:eastAsia="Calibri" w:hAnsi="Roboto" w:cs="Calibri"/>
                                  <w:color w:val="F26C21"/>
                                  <w:sz w:val="20"/>
                                  <w:szCs w:val="20"/>
                                </w:rPr>
                                <w:t>Fiscal Transparency Code</w:t>
                              </w:r>
                            </w:hyperlink>
                            <w:r w:rsidR="00D15FD8" w:rsidRPr="00DC2D55">
                              <w:rPr>
                                <w:rFonts w:ascii="Roboto" w:eastAsia="Calibri" w:hAnsi="Roboto" w:cs="Calibri"/>
                                <w:color w:val="F26C21"/>
                                <w:sz w:val="20"/>
                                <w:szCs w:val="20"/>
                              </w:rPr>
                              <w:t xml:space="preserve"> </w:t>
                            </w:r>
                            <w:r w:rsidR="00D15FD8" w:rsidRPr="00DC2D55">
                              <w:rPr>
                                <w:rFonts w:ascii="Roboto" w:eastAsia="Calibri" w:hAnsi="Roboto" w:cs="Calibri"/>
                                <w:color w:val="404040" w:themeColor="text1" w:themeTint="BF"/>
                                <w:sz w:val="20"/>
                                <w:szCs w:val="20"/>
                              </w:rPr>
                              <w:t xml:space="preserve">(2019): Principle 2.2: </w:t>
                            </w:r>
                            <w:r w:rsidR="00D15FD8" w:rsidRPr="00DC2D55">
                              <w:rPr>
                                <w:rFonts w:ascii="Roboto" w:eastAsia="Calibri" w:hAnsi="Roboto" w:cs="Calibri"/>
                                <w:iCs/>
                                <w:color w:val="404040" w:themeColor="text1" w:themeTint="BF"/>
                                <w:sz w:val="20"/>
                                <w:szCs w:val="20"/>
                                <w:lang w:val="en-ZA"/>
                              </w:rPr>
                              <w:t>The powers and responsibilities of the executive and legislative branches of government in the budget process should be defined in law, and the budget should be presented, debated, and approved in a timely manner</w:t>
                            </w:r>
                            <w:r w:rsidR="00D15FD8" w:rsidRPr="00DC2D55">
                              <w:rPr>
                                <w:rFonts w:ascii="Roboto" w:eastAsia="Calibri" w:hAnsi="Roboto" w:cs="Calibri"/>
                                <w:i/>
                                <w:iCs/>
                                <w:color w:val="404040" w:themeColor="text1" w:themeTint="BF"/>
                                <w:sz w:val="20"/>
                                <w:szCs w:val="20"/>
                                <w:lang w:val="en-ZA"/>
                              </w:rPr>
                              <w:t xml:space="preserve">. </w:t>
                            </w:r>
                            <w:r w:rsidR="00D15FD8" w:rsidRPr="00DC2D55">
                              <w:rPr>
                                <w:rFonts w:ascii="Roboto" w:eastAsia="Calibri" w:hAnsi="Roboto" w:cs="Calibri"/>
                                <w:color w:val="404040" w:themeColor="text1" w:themeTint="BF"/>
                                <w:sz w:val="20"/>
                                <w:szCs w:val="20"/>
                              </w:rPr>
                              <w:t xml:space="preserve">To ensure that fiscal relations across the public sector can be </w:t>
                            </w:r>
                            <w:proofErr w:type="spellStart"/>
                            <w:r w:rsidR="00D15FD8" w:rsidRPr="00DC2D55">
                              <w:rPr>
                                <w:rFonts w:ascii="Roboto" w:eastAsia="Calibri" w:hAnsi="Roboto" w:cs="Calibri"/>
                                <w:color w:val="404040" w:themeColor="text1" w:themeTint="BF"/>
                                <w:sz w:val="20"/>
                                <w:szCs w:val="20"/>
                              </w:rPr>
                              <w:t>analyzed</w:t>
                            </w:r>
                            <w:proofErr w:type="spellEnd"/>
                            <w:r w:rsidR="00D15FD8" w:rsidRPr="00DC2D55">
                              <w:rPr>
                                <w:rFonts w:ascii="Roboto" w:eastAsia="Calibri" w:hAnsi="Roboto" w:cs="Calibri"/>
                                <w:color w:val="404040" w:themeColor="text1" w:themeTint="BF"/>
                                <w:sz w:val="20"/>
                                <w:szCs w:val="20"/>
                              </w:rPr>
                              <w:t>, disclosed, and co-ordinated, it also requires the publication of comprehensive information on the financial performance of sub-national governments (individually and collectively) and public corporations (principle 3.3).</w:t>
                            </w:r>
                          </w:p>
                          <w:p w14:paraId="2C227C60" w14:textId="660E0898" w:rsidR="00D15FD8" w:rsidRPr="001350D0" w:rsidRDefault="00D15FD8" w:rsidP="001350D0">
                            <w:pPr>
                              <w:ind w:firstLine="305"/>
                              <w:suppressOverlap/>
                              <w:rPr>
                                <w:rFonts w:ascii="Roboto" w:eastAsia="Calibri" w:hAnsi="Roboto" w:cs="Calibri"/>
                                <w:color w:val="404040" w:themeColor="text1" w:themeTint="BF"/>
                                <w:sz w:val="20"/>
                                <w:szCs w:val="20"/>
                              </w:rPr>
                            </w:pPr>
                            <w:r>
                              <w:t>[</w:t>
                            </w:r>
                            <w:hyperlink r:id="rId289" w:history="1">
                              <w:r w:rsidRPr="001350D0">
                                <w:rPr>
                                  <w:rStyle w:val="Hyperlink"/>
                                  <w:rFonts w:ascii="Roboto" w:eastAsia="Calibri" w:hAnsi="Roboto" w:cs="Calibri"/>
                                  <w:color w:val="F26C21"/>
                                  <w:sz w:val="20"/>
                                  <w:szCs w:val="20"/>
                                </w:rPr>
                                <w:t>Manual on Fiscal Transparency</w:t>
                              </w:r>
                            </w:hyperlink>
                            <w:r w:rsidRPr="001350D0">
                              <w:rPr>
                                <w:rFonts w:ascii="Roboto" w:eastAsia="Calibri" w:hAnsi="Roboto" w:cs="Calibri"/>
                                <w:color w:val="F26C21"/>
                                <w:sz w:val="20"/>
                                <w:szCs w:val="20"/>
                              </w:rPr>
                              <w:t xml:space="preserve"> </w:t>
                            </w:r>
                            <w:r w:rsidRPr="001350D0">
                              <w:rPr>
                                <w:rFonts w:ascii="Roboto" w:eastAsia="Calibri" w:hAnsi="Roboto" w:cs="Calibri"/>
                                <w:color w:val="404040" w:themeColor="text1" w:themeTint="BF"/>
                                <w:sz w:val="20"/>
                                <w:szCs w:val="20"/>
                              </w:rPr>
                              <w:t>(2007): Particularly pp.</w:t>
                            </w:r>
                            <w:r w:rsidRPr="001350D0">
                              <w:rPr>
                                <w:rFonts w:ascii="Roboto" w:eastAsia="Calibri" w:hAnsi="Roboto" w:cs="Calibri"/>
                                <w:i/>
                                <w:color w:val="404040" w:themeColor="text1" w:themeTint="BF"/>
                                <w:sz w:val="20"/>
                                <w:szCs w:val="20"/>
                              </w:rPr>
                              <w:t xml:space="preserve"> </w:t>
                            </w:r>
                            <w:r w:rsidRPr="001350D0">
                              <w:rPr>
                                <w:rFonts w:ascii="Roboto" w:eastAsia="Calibri" w:hAnsi="Roboto" w:cs="Calibri"/>
                                <w:color w:val="404040" w:themeColor="text1" w:themeTint="BF"/>
                                <w:sz w:val="20"/>
                                <w:szCs w:val="20"/>
                              </w:rPr>
                              <w:t>10-19].</w:t>
                            </w:r>
                          </w:p>
                          <w:p w14:paraId="420A32D6" w14:textId="77777777" w:rsidR="00D15FD8" w:rsidRPr="001350D0" w:rsidRDefault="00D15FD8" w:rsidP="001350D0">
                            <w:pPr>
                              <w:ind w:firstLine="305"/>
                              <w:suppressOverlap/>
                              <w:rPr>
                                <w:rFonts w:ascii="Roboto" w:eastAsia="Calibri" w:hAnsi="Roboto" w:cs="Calibri"/>
                                <w:color w:val="404040" w:themeColor="text1" w:themeTint="BF"/>
                                <w:sz w:val="20"/>
                                <w:szCs w:val="20"/>
                              </w:rPr>
                            </w:pPr>
                            <w:r w:rsidRPr="001350D0">
                              <w:rPr>
                                <w:rFonts w:ascii="Roboto" w:hAnsi="Roboto"/>
                                <w:sz w:val="20"/>
                                <w:szCs w:val="20"/>
                              </w:rPr>
                              <w:t>[</w:t>
                            </w:r>
                            <w:hyperlink r:id="rId290" w:history="1">
                              <w:r w:rsidRPr="001350D0">
                                <w:rPr>
                                  <w:rStyle w:val="Hyperlink"/>
                                  <w:rFonts w:ascii="Roboto" w:eastAsia="Calibri" w:hAnsi="Roboto" w:cs="Calibri"/>
                                  <w:color w:val="F26C21"/>
                                  <w:sz w:val="20"/>
                                  <w:szCs w:val="20"/>
                                </w:rPr>
                                <w:t>Guide on Resource Revenue Transparency</w:t>
                              </w:r>
                            </w:hyperlink>
                            <w:r w:rsidRPr="001350D0">
                              <w:rPr>
                                <w:rFonts w:ascii="Roboto" w:eastAsia="Calibri" w:hAnsi="Roboto" w:cs="Calibri"/>
                                <w:iCs/>
                                <w:color w:val="F26C21"/>
                                <w:sz w:val="20"/>
                                <w:szCs w:val="20"/>
                              </w:rPr>
                              <w:t xml:space="preserve"> </w:t>
                            </w:r>
                            <w:r w:rsidRPr="001350D0">
                              <w:rPr>
                                <w:rFonts w:ascii="Roboto" w:eastAsia="Calibri" w:hAnsi="Roboto" w:cs="Calibri"/>
                                <w:iCs/>
                                <w:color w:val="404040" w:themeColor="text1" w:themeTint="BF"/>
                                <w:sz w:val="20"/>
                                <w:szCs w:val="20"/>
                              </w:rPr>
                              <w:t>(2007):</w:t>
                            </w:r>
                            <w:r w:rsidRPr="001350D0">
                              <w:rPr>
                                <w:rFonts w:ascii="Roboto" w:eastAsia="Calibri" w:hAnsi="Roboto" w:cs="Calibri"/>
                                <w:color w:val="404040" w:themeColor="text1" w:themeTint="BF"/>
                                <w:sz w:val="20"/>
                                <w:szCs w:val="20"/>
                              </w:rPr>
                              <w:t xml:space="preserve"> Particularly pp 34-36].</w:t>
                            </w:r>
                          </w:p>
                          <w:p w14:paraId="78CFF068" w14:textId="77777777" w:rsidR="00D15FD8" w:rsidRPr="00DC2D55" w:rsidRDefault="00D15FD8" w:rsidP="002D14C0">
                            <w:pPr>
                              <w:pStyle w:val="ListParagraph"/>
                              <w:spacing w:line="259" w:lineRule="auto"/>
                              <w:ind w:left="308"/>
                              <w:suppressOverlap/>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E9DD4" id="Text Box 1936" o:spid="_x0000_s1165" type="#_x0000_t202" style="position:absolute;margin-left:192pt;margin-top:55.85pt;width:535pt;height:301pt;z-index:253670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" filled="f" stroked="f" strokeweight=".5pt">
                <v:textbox>
                  <w:txbxContent>
                    <w:p w14:paraId="2BDB8665" w14:textId="77777777" w:rsidR="00D15FD8" w:rsidRPr="00DC2D55" w:rsidRDefault="00D15FD8" w:rsidP="002D14C0">
                      <w:pPr>
                        <w:suppressOverlap/>
                        <w:rPr>
                          <w:rFonts w:ascii="Roboto" w:eastAsia="Calibri" w:hAnsi="Roboto" w:cs="Calibri"/>
                          <w:sz w:val="20"/>
                          <w:szCs w:val="20"/>
                        </w:rPr>
                      </w:pPr>
                      <w:r w:rsidRPr="00DC2D55">
                        <w:rPr>
                          <w:rFonts w:ascii="Roboto" w:eastAsia="Calibri" w:hAnsi="Roboto" w:cs="Calibri"/>
                          <w:color w:val="404040" w:themeColor="text1" w:themeTint="BF"/>
                          <w:sz w:val="20"/>
                          <w:szCs w:val="20"/>
                        </w:rPr>
                        <w:t xml:space="preserve">Current international fiscal transparency norms address 4 aspects of the assignment in legislation of roles and responsibilities within the public sector: </w:t>
                      </w:r>
                    </w:p>
                    <w:p w14:paraId="1FBFAB0F"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 xml:space="preserve">specific areas of potential overlap such as transfers between central and local government; </w:t>
                      </w:r>
                    </w:p>
                    <w:p w14:paraId="1712142D"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 xml:space="preserve">accountability of commercial enterprises to government;  </w:t>
                      </w:r>
                    </w:p>
                    <w:p w14:paraId="2B9CBEE4"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fiscal risks arising from the finances of sub-national governments and public corporations; and</w:t>
                      </w:r>
                    </w:p>
                    <w:p w14:paraId="375401AD" w14:textId="77777777" w:rsidR="00D15FD8" w:rsidRPr="00DC2D55" w:rsidRDefault="00D15FD8" w:rsidP="001350D0">
                      <w:pPr>
                        <w:pStyle w:val="ListParagraph"/>
                        <w:numPr>
                          <w:ilvl w:val="0"/>
                          <w:numId w:val="29"/>
                        </w:numPr>
                        <w:ind w:left="308" w:hanging="308"/>
                        <w:suppressOverlap/>
                        <w:rPr>
                          <w:rFonts w:ascii="Roboto" w:hAnsi="Roboto"/>
                          <w:color w:val="404040" w:themeColor="text1" w:themeTint="BF"/>
                          <w:sz w:val="20"/>
                          <w:szCs w:val="20"/>
                        </w:rPr>
                      </w:pPr>
                      <w:r w:rsidRPr="00DC2D55">
                        <w:rPr>
                          <w:rFonts w:ascii="Roboto" w:hAnsi="Roboto"/>
                          <w:color w:val="404040" w:themeColor="text1" w:themeTint="BF"/>
                          <w:sz w:val="20"/>
                          <w:szCs w:val="20"/>
                        </w:rPr>
                        <w:t>budget process, including the authority to amend the executive’s budget proposals and redirect resources within the budget year.</w:t>
                      </w:r>
                    </w:p>
                    <w:p w14:paraId="2CD12350" w14:textId="77777777" w:rsidR="00D15FD8" w:rsidRPr="00DC2D55" w:rsidRDefault="00D15FD8" w:rsidP="002D14C0">
                      <w:pPr>
                        <w:suppressOverlap/>
                        <w:rPr>
                          <w:rFonts w:ascii="Roboto" w:eastAsia="Calibri" w:hAnsi="Roboto" w:cs="Calibri"/>
                          <w:color w:val="404040" w:themeColor="text1" w:themeTint="BF"/>
                          <w:sz w:val="20"/>
                          <w:szCs w:val="20"/>
                        </w:rPr>
                      </w:pPr>
                      <w:r w:rsidRPr="00DC2D55">
                        <w:rPr>
                          <w:rFonts w:ascii="Roboto" w:hAnsi="Roboto"/>
                          <w:color w:val="404040" w:themeColor="text1" w:themeTint="BF"/>
                          <w:sz w:val="20"/>
                          <w:szCs w:val="20"/>
                        </w:rPr>
                        <w:t>Measures to ensure rigor in reporting sectoral</w:t>
                      </w:r>
                      <w:r w:rsidRPr="00DC2D55">
                        <w:rPr>
                          <w:rFonts w:ascii="Roboto" w:eastAsia="Calibri" w:hAnsi="Roboto" w:cs="Calibri"/>
                          <w:color w:val="404040" w:themeColor="text1" w:themeTint="BF"/>
                          <w:sz w:val="20"/>
                          <w:szCs w:val="20"/>
                        </w:rPr>
                        <w:t xml:space="preserve"> boundaries can also clarify sectoral roles and reduce the risk of gaps or overlaps in responsibilities.</w:t>
                      </w:r>
                    </w:p>
                    <w:p w14:paraId="6E448941" w14:textId="77777777" w:rsidR="00D15FD8" w:rsidRPr="00DC2D55" w:rsidRDefault="00D15FD8" w:rsidP="002D14C0">
                      <w:pPr>
                        <w:suppressOverlap/>
                        <w:rPr>
                          <w:rFonts w:ascii="Roboto" w:eastAsia="Calibri" w:hAnsi="Roboto" w:cs="Calibri"/>
                          <w:color w:val="404040" w:themeColor="text1" w:themeTint="BF"/>
                          <w:sz w:val="20"/>
                          <w:szCs w:val="20"/>
                        </w:rPr>
                      </w:pPr>
                    </w:p>
                    <w:p w14:paraId="5652709B" w14:textId="77777777" w:rsidR="00D15FD8" w:rsidRPr="00656D68" w:rsidRDefault="00D15FD8" w:rsidP="002D14C0">
                      <w:pPr>
                        <w:suppressOverlap/>
                        <w:rPr>
                          <w:rFonts w:ascii="Roboto" w:eastAsia="Calibri" w:hAnsi="Roboto" w:cs="Calibri"/>
                          <w:color w:val="1E9A8C"/>
                          <w:sz w:val="20"/>
                          <w:szCs w:val="20"/>
                        </w:rPr>
                      </w:pPr>
                      <w:r w:rsidRPr="00656D68">
                        <w:rPr>
                          <w:rFonts w:ascii="Roboto" w:eastAsia="Calibri" w:hAnsi="Roboto" w:cs="Calibri"/>
                          <w:b/>
                          <w:color w:val="1E9A8C"/>
                          <w:sz w:val="20"/>
                          <w:szCs w:val="20"/>
                        </w:rPr>
                        <w:t>IMF:</w:t>
                      </w:r>
                      <w:r w:rsidRPr="00656D68">
                        <w:rPr>
                          <w:rFonts w:ascii="Roboto" w:eastAsia="Calibri" w:hAnsi="Roboto" w:cs="Calibri"/>
                          <w:color w:val="1E9A8C"/>
                          <w:sz w:val="20"/>
                          <w:szCs w:val="20"/>
                        </w:rPr>
                        <w:t xml:space="preserve"> </w:t>
                      </w:r>
                    </w:p>
                    <w:p w14:paraId="33B6DD06" w14:textId="77777777" w:rsidR="00D15FD8" w:rsidRPr="00DC2D55" w:rsidRDefault="00AC4DF7" w:rsidP="001350D0">
                      <w:pPr>
                        <w:pStyle w:val="ListParagraph"/>
                        <w:numPr>
                          <w:ilvl w:val="0"/>
                          <w:numId w:val="32"/>
                        </w:numPr>
                        <w:ind w:left="305" w:hanging="284"/>
                        <w:suppressOverlap/>
                        <w:rPr>
                          <w:rFonts w:ascii="Roboto" w:eastAsia="Calibri" w:hAnsi="Roboto" w:cs="Calibri"/>
                          <w:color w:val="404040" w:themeColor="text1" w:themeTint="BF"/>
                          <w:sz w:val="20"/>
                          <w:szCs w:val="20"/>
                        </w:rPr>
                      </w:pPr>
                      <w:hyperlink r:id="rId291" w:history="1">
                        <w:r w:rsidR="00D15FD8" w:rsidRPr="00DC2D55">
                          <w:rPr>
                            <w:rStyle w:val="Hyperlink"/>
                            <w:rFonts w:ascii="Roboto" w:eastAsia="Calibri" w:hAnsi="Roboto" w:cs="Calibri"/>
                            <w:color w:val="F26C21"/>
                            <w:sz w:val="20"/>
                            <w:szCs w:val="20"/>
                          </w:rPr>
                          <w:t>Government Finance Statistics (GFS) Manual</w:t>
                        </w:r>
                      </w:hyperlink>
                      <w:r w:rsidR="00D15FD8" w:rsidRPr="00DC2D55">
                        <w:rPr>
                          <w:rFonts w:ascii="Roboto" w:eastAsia="Calibri" w:hAnsi="Roboto" w:cs="Calibri"/>
                          <w:color w:val="F26C21"/>
                          <w:sz w:val="20"/>
                          <w:szCs w:val="20"/>
                        </w:rPr>
                        <w:t xml:space="preserve"> </w:t>
                      </w:r>
                      <w:r w:rsidR="00D15FD8" w:rsidRPr="00DC2D55">
                        <w:rPr>
                          <w:rFonts w:ascii="Roboto" w:eastAsia="Calibri" w:hAnsi="Roboto" w:cs="Calibri"/>
                          <w:color w:val="404040" w:themeColor="text1" w:themeTint="BF"/>
                          <w:sz w:val="20"/>
                          <w:szCs w:val="20"/>
                        </w:rPr>
                        <w:t>(2014): Core standards that are widely adopted across the main fiscal transparency instruments, including on the classification of the government sector and the public sector. [</w:t>
                      </w:r>
                      <w:hyperlink r:id="rId292" w:history="1">
                        <w:r w:rsidR="00D15FD8" w:rsidRPr="00DC2D55">
                          <w:rPr>
                            <w:rStyle w:val="Hyperlink"/>
                            <w:rFonts w:ascii="Roboto" w:eastAsia="Calibri" w:hAnsi="Roboto" w:cs="Calibri"/>
                            <w:color w:val="F26C21"/>
                            <w:sz w:val="20"/>
                            <w:szCs w:val="20"/>
                          </w:rPr>
                          <w:t xml:space="preserve">GFS </w:t>
                        </w:r>
                        <w:r w:rsidR="00D15FD8" w:rsidRPr="00DC2D55">
                          <w:rPr>
                            <w:rStyle w:val="Hyperlink"/>
                            <w:rFonts w:ascii="Roboto" w:eastAsia="Calibri" w:hAnsi="Roboto" w:cs="Calibri"/>
                            <w:bCs/>
                            <w:color w:val="F26C21"/>
                            <w:sz w:val="20"/>
                            <w:szCs w:val="20"/>
                          </w:rPr>
                          <w:t>Compilation Guide for Developing Countries</w:t>
                        </w:r>
                      </w:hyperlink>
                      <w:r w:rsidR="00D15FD8" w:rsidRPr="00DC2D55">
                        <w:rPr>
                          <w:rFonts w:ascii="Roboto" w:eastAsia="Calibri" w:hAnsi="Roboto" w:cs="Calibri"/>
                          <w:bCs/>
                          <w:color w:val="404040" w:themeColor="text1" w:themeTint="BF"/>
                          <w:sz w:val="20"/>
                          <w:szCs w:val="20"/>
                        </w:rPr>
                        <w:t xml:space="preserve"> (2011): See chapters 2 and 6].</w:t>
                      </w:r>
                    </w:p>
                    <w:p w14:paraId="094A0C8B" w14:textId="77777777" w:rsidR="00D15FD8" w:rsidRPr="00DC2D55" w:rsidRDefault="00AC4DF7" w:rsidP="001350D0">
                      <w:pPr>
                        <w:pStyle w:val="ListParagraph"/>
                        <w:numPr>
                          <w:ilvl w:val="0"/>
                          <w:numId w:val="32"/>
                        </w:numPr>
                        <w:ind w:left="305" w:hanging="305"/>
                        <w:suppressOverlap/>
                        <w:rPr>
                          <w:rFonts w:ascii="Roboto" w:eastAsia="Calibri" w:hAnsi="Roboto" w:cs="Calibri"/>
                          <w:i/>
                          <w:color w:val="404040" w:themeColor="text1" w:themeTint="BF"/>
                          <w:sz w:val="20"/>
                          <w:szCs w:val="20"/>
                        </w:rPr>
                      </w:pPr>
                      <w:hyperlink r:id="rId293" w:history="1">
                        <w:r w:rsidR="00D15FD8" w:rsidRPr="00DC2D55">
                          <w:rPr>
                            <w:rStyle w:val="Hyperlink"/>
                            <w:rFonts w:ascii="Roboto" w:eastAsia="Calibri" w:hAnsi="Roboto" w:cs="Calibri"/>
                            <w:color w:val="F26C21"/>
                            <w:sz w:val="20"/>
                            <w:szCs w:val="20"/>
                          </w:rPr>
                          <w:t>Fiscal Transparency Code</w:t>
                        </w:r>
                      </w:hyperlink>
                      <w:r w:rsidR="00D15FD8" w:rsidRPr="00DC2D55">
                        <w:rPr>
                          <w:rFonts w:ascii="Roboto" w:eastAsia="Calibri" w:hAnsi="Roboto" w:cs="Calibri"/>
                          <w:color w:val="F26C21"/>
                          <w:sz w:val="20"/>
                          <w:szCs w:val="20"/>
                        </w:rPr>
                        <w:t xml:space="preserve"> </w:t>
                      </w:r>
                      <w:r w:rsidR="00D15FD8" w:rsidRPr="00DC2D55">
                        <w:rPr>
                          <w:rFonts w:ascii="Roboto" w:eastAsia="Calibri" w:hAnsi="Roboto" w:cs="Calibri"/>
                          <w:color w:val="404040" w:themeColor="text1" w:themeTint="BF"/>
                          <w:sz w:val="20"/>
                          <w:szCs w:val="20"/>
                        </w:rPr>
                        <w:t xml:space="preserve">(2019): Principle 2.2: </w:t>
                      </w:r>
                      <w:r w:rsidR="00D15FD8" w:rsidRPr="00DC2D55">
                        <w:rPr>
                          <w:rFonts w:ascii="Roboto" w:eastAsia="Calibri" w:hAnsi="Roboto" w:cs="Calibri"/>
                          <w:iCs/>
                          <w:color w:val="404040" w:themeColor="text1" w:themeTint="BF"/>
                          <w:sz w:val="20"/>
                          <w:szCs w:val="20"/>
                          <w:lang w:val="en-ZA"/>
                        </w:rPr>
                        <w:t>The powers and responsibilities of the executive and legislative branches of government in the budget process should be defined in law, and the budget should be presented, debated, and approved in a timely manner</w:t>
                      </w:r>
                      <w:r w:rsidR="00D15FD8" w:rsidRPr="00DC2D55">
                        <w:rPr>
                          <w:rFonts w:ascii="Roboto" w:eastAsia="Calibri" w:hAnsi="Roboto" w:cs="Calibri"/>
                          <w:i/>
                          <w:iCs/>
                          <w:color w:val="404040" w:themeColor="text1" w:themeTint="BF"/>
                          <w:sz w:val="20"/>
                          <w:szCs w:val="20"/>
                          <w:lang w:val="en-ZA"/>
                        </w:rPr>
                        <w:t xml:space="preserve">. </w:t>
                      </w:r>
                      <w:r w:rsidR="00D15FD8" w:rsidRPr="00DC2D55">
                        <w:rPr>
                          <w:rFonts w:ascii="Roboto" w:eastAsia="Calibri" w:hAnsi="Roboto" w:cs="Calibri"/>
                          <w:color w:val="404040" w:themeColor="text1" w:themeTint="BF"/>
                          <w:sz w:val="20"/>
                          <w:szCs w:val="20"/>
                        </w:rPr>
                        <w:t xml:space="preserve">To ensure that fiscal relations across the public sector can be </w:t>
                      </w:r>
                      <w:proofErr w:type="spellStart"/>
                      <w:r w:rsidR="00D15FD8" w:rsidRPr="00DC2D55">
                        <w:rPr>
                          <w:rFonts w:ascii="Roboto" w:eastAsia="Calibri" w:hAnsi="Roboto" w:cs="Calibri"/>
                          <w:color w:val="404040" w:themeColor="text1" w:themeTint="BF"/>
                          <w:sz w:val="20"/>
                          <w:szCs w:val="20"/>
                        </w:rPr>
                        <w:t>analyzed</w:t>
                      </w:r>
                      <w:proofErr w:type="spellEnd"/>
                      <w:r w:rsidR="00D15FD8" w:rsidRPr="00DC2D55">
                        <w:rPr>
                          <w:rFonts w:ascii="Roboto" w:eastAsia="Calibri" w:hAnsi="Roboto" w:cs="Calibri"/>
                          <w:color w:val="404040" w:themeColor="text1" w:themeTint="BF"/>
                          <w:sz w:val="20"/>
                          <w:szCs w:val="20"/>
                        </w:rPr>
                        <w:t>, disclosed, and co-ordinated, it also requires the publication of comprehensive information on the financial performance of sub-national governments (individually and collectively) and public corporations (principle 3.3).</w:t>
                      </w:r>
                    </w:p>
                    <w:p w14:paraId="2C227C60" w14:textId="660E0898" w:rsidR="00D15FD8" w:rsidRPr="001350D0" w:rsidRDefault="00D15FD8" w:rsidP="001350D0">
                      <w:pPr>
                        <w:ind w:firstLine="305"/>
                        <w:suppressOverlap/>
                        <w:rPr>
                          <w:rFonts w:ascii="Roboto" w:eastAsia="Calibri" w:hAnsi="Roboto" w:cs="Calibri"/>
                          <w:color w:val="404040" w:themeColor="text1" w:themeTint="BF"/>
                          <w:sz w:val="20"/>
                          <w:szCs w:val="20"/>
                        </w:rPr>
                      </w:pPr>
                      <w:r>
                        <w:t>[</w:t>
                      </w:r>
                      <w:hyperlink r:id="rId294" w:history="1">
                        <w:r w:rsidRPr="001350D0">
                          <w:rPr>
                            <w:rStyle w:val="Hyperlink"/>
                            <w:rFonts w:ascii="Roboto" w:eastAsia="Calibri" w:hAnsi="Roboto" w:cs="Calibri"/>
                            <w:color w:val="F26C21"/>
                            <w:sz w:val="20"/>
                            <w:szCs w:val="20"/>
                          </w:rPr>
                          <w:t>Manual on Fiscal Transparency</w:t>
                        </w:r>
                      </w:hyperlink>
                      <w:r w:rsidRPr="001350D0">
                        <w:rPr>
                          <w:rFonts w:ascii="Roboto" w:eastAsia="Calibri" w:hAnsi="Roboto" w:cs="Calibri"/>
                          <w:color w:val="F26C21"/>
                          <w:sz w:val="20"/>
                          <w:szCs w:val="20"/>
                        </w:rPr>
                        <w:t xml:space="preserve"> </w:t>
                      </w:r>
                      <w:r w:rsidRPr="001350D0">
                        <w:rPr>
                          <w:rFonts w:ascii="Roboto" w:eastAsia="Calibri" w:hAnsi="Roboto" w:cs="Calibri"/>
                          <w:color w:val="404040" w:themeColor="text1" w:themeTint="BF"/>
                          <w:sz w:val="20"/>
                          <w:szCs w:val="20"/>
                        </w:rPr>
                        <w:t>(2007): Particularly pp.</w:t>
                      </w:r>
                      <w:r w:rsidRPr="001350D0">
                        <w:rPr>
                          <w:rFonts w:ascii="Roboto" w:eastAsia="Calibri" w:hAnsi="Roboto" w:cs="Calibri"/>
                          <w:i/>
                          <w:color w:val="404040" w:themeColor="text1" w:themeTint="BF"/>
                          <w:sz w:val="20"/>
                          <w:szCs w:val="20"/>
                        </w:rPr>
                        <w:t xml:space="preserve"> </w:t>
                      </w:r>
                      <w:r w:rsidRPr="001350D0">
                        <w:rPr>
                          <w:rFonts w:ascii="Roboto" w:eastAsia="Calibri" w:hAnsi="Roboto" w:cs="Calibri"/>
                          <w:color w:val="404040" w:themeColor="text1" w:themeTint="BF"/>
                          <w:sz w:val="20"/>
                          <w:szCs w:val="20"/>
                        </w:rPr>
                        <w:t>10-19].</w:t>
                      </w:r>
                    </w:p>
                    <w:p w14:paraId="420A32D6" w14:textId="77777777" w:rsidR="00D15FD8" w:rsidRPr="001350D0" w:rsidRDefault="00D15FD8" w:rsidP="001350D0">
                      <w:pPr>
                        <w:ind w:firstLine="305"/>
                        <w:suppressOverlap/>
                        <w:rPr>
                          <w:rFonts w:ascii="Roboto" w:eastAsia="Calibri" w:hAnsi="Roboto" w:cs="Calibri"/>
                          <w:color w:val="404040" w:themeColor="text1" w:themeTint="BF"/>
                          <w:sz w:val="20"/>
                          <w:szCs w:val="20"/>
                        </w:rPr>
                      </w:pPr>
                      <w:r w:rsidRPr="001350D0">
                        <w:rPr>
                          <w:rFonts w:ascii="Roboto" w:hAnsi="Roboto"/>
                          <w:sz w:val="20"/>
                          <w:szCs w:val="20"/>
                        </w:rPr>
                        <w:t>[</w:t>
                      </w:r>
                      <w:hyperlink r:id="rId295" w:history="1">
                        <w:r w:rsidRPr="001350D0">
                          <w:rPr>
                            <w:rStyle w:val="Hyperlink"/>
                            <w:rFonts w:ascii="Roboto" w:eastAsia="Calibri" w:hAnsi="Roboto" w:cs="Calibri"/>
                            <w:color w:val="F26C21"/>
                            <w:sz w:val="20"/>
                            <w:szCs w:val="20"/>
                          </w:rPr>
                          <w:t>Guide on Resource Revenue Transparency</w:t>
                        </w:r>
                      </w:hyperlink>
                      <w:r w:rsidRPr="001350D0">
                        <w:rPr>
                          <w:rFonts w:ascii="Roboto" w:eastAsia="Calibri" w:hAnsi="Roboto" w:cs="Calibri"/>
                          <w:iCs/>
                          <w:color w:val="F26C21"/>
                          <w:sz w:val="20"/>
                          <w:szCs w:val="20"/>
                        </w:rPr>
                        <w:t xml:space="preserve"> </w:t>
                      </w:r>
                      <w:r w:rsidRPr="001350D0">
                        <w:rPr>
                          <w:rFonts w:ascii="Roboto" w:eastAsia="Calibri" w:hAnsi="Roboto" w:cs="Calibri"/>
                          <w:iCs/>
                          <w:color w:val="404040" w:themeColor="text1" w:themeTint="BF"/>
                          <w:sz w:val="20"/>
                          <w:szCs w:val="20"/>
                        </w:rPr>
                        <w:t>(2007):</w:t>
                      </w:r>
                      <w:r w:rsidRPr="001350D0">
                        <w:rPr>
                          <w:rFonts w:ascii="Roboto" w:eastAsia="Calibri" w:hAnsi="Roboto" w:cs="Calibri"/>
                          <w:color w:val="404040" w:themeColor="text1" w:themeTint="BF"/>
                          <w:sz w:val="20"/>
                          <w:szCs w:val="20"/>
                        </w:rPr>
                        <w:t xml:space="preserve"> Particularly pp 34-36].</w:t>
                      </w:r>
                    </w:p>
                    <w:p w14:paraId="78CFF068" w14:textId="77777777" w:rsidR="00D15FD8" w:rsidRPr="00DC2D55" w:rsidRDefault="00D15FD8" w:rsidP="002D14C0">
                      <w:pPr>
                        <w:pStyle w:val="ListParagraph"/>
                        <w:spacing w:line="259" w:lineRule="auto"/>
                        <w:ind w:left="308"/>
                        <w:suppressOverlap/>
                        <w:rPr>
                          <w:rFonts w:ascii="Roboto" w:hAnsi="Roboto"/>
                          <w:sz w:val="20"/>
                          <w:szCs w:val="20"/>
                        </w:rPr>
                      </w:pPr>
                    </w:p>
                  </w:txbxContent>
                </v:textbox>
              </v:shape>
            </w:pict>
          </mc:Fallback>
        </mc:AlternateContent>
      </w:r>
      <w:r w:rsidRPr="00DC2D55">
        <w:rPr>
          <w:rFonts w:ascii="Roboto" w:hAnsi="Roboto"/>
          <w:noProof/>
          <w:lang w:val="en-US"/>
        </w:rPr>
        <mc:AlternateContent>
          <mc:Choice Requires="wps">
            <w:drawing>
              <wp:anchor distT="0" distB="0" distL="114300" distR="114300" simplePos="0" relativeHeight="253668350" behindDoc="0" locked="0" layoutInCell="1" allowOverlap="1" wp14:anchorId="3DD6820A" wp14:editId="54A0C820">
                <wp:simplePos x="0" y="0"/>
                <wp:positionH relativeFrom="column">
                  <wp:posOffset>-108585</wp:posOffset>
                </wp:positionH>
                <wp:positionV relativeFrom="paragraph">
                  <wp:posOffset>1278255</wp:posOffset>
                </wp:positionV>
                <wp:extent cx="2227580" cy="2992755"/>
                <wp:effectExtent l="0" t="0" r="0" b="0"/>
                <wp:wrapNone/>
                <wp:docPr id="1939" name="Text Box 1939"/>
                <wp:cNvGraphicFramePr/>
                <a:graphic xmlns:a="http://schemas.openxmlformats.org/drawingml/2006/main">
                  <a:graphicData uri="http://schemas.microsoft.com/office/word/2010/wordprocessingShape">
                    <wps:wsp>
                      <wps:cNvSpPr txBox="1"/>
                      <wps:spPr>
                        <a:xfrm>
                          <a:off x="0" y="0"/>
                          <a:ext cx="2227580" cy="2992755"/>
                        </a:xfrm>
                        <a:prstGeom prst="rect">
                          <a:avLst/>
                        </a:prstGeom>
                        <a:noFill/>
                        <a:ln w="6350">
                          <a:noFill/>
                        </a:ln>
                      </wps:spPr>
                      <wps:txbx>
                        <w:txbxContent>
                          <w:p w14:paraId="0D2C3535" w14:textId="77777777" w:rsidR="00D15FD8" w:rsidRPr="00DC2D55" w:rsidRDefault="00D15FD8" w:rsidP="003625BA">
                            <w:pPr>
                              <w:spacing w:line="260" w:lineRule="atLeast"/>
                              <w:rPr>
                                <w:rFonts w:ascii="Roboto" w:hAnsi="Roboto" w:cs="AppleSystemUIFont"/>
                                <w:color w:val="FFFFFF" w:themeColor="background1"/>
                                <w:sz w:val="20"/>
                                <w:szCs w:val="20"/>
                              </w:rPr>
                            </w:pPr>
                            <w:r w:rsidRPr="00DC2D55">
                              <w:rPr>
                                <w:rFonts w:ascii="Roboto" w:hAnsi="Roboto" w:cs="AppleSystemUIFont"/>
                                <w:color w:val="FFFFFF" w:themeColor="background1"/>
                                <w:sz w:val="20"/>
                                <w:szCs w:val="20"/>
                              </w:rPr>
                              <w:t xml:space="preserve">The effective and efficient governance of fiscal policy requires everyone to be clear about who is responsible for doing what, and who is accountable to whom. </w:t>
                            </w:r>
                          </w:p>
                          <w:p w14:paraId="7401D924" w14:textId="77777777" w:rsidR="00D15FD8" w:rsidRDefault="00D15FD8" w:rsidP="003625BA">
                            <w:pPr>
                              <w:spacing w:line="260" w:lineRule="atLeast"/>
                              <w:rPr>
                                <w:rFonts w:ascii="Roboto" w:hAnsi="Roboto" w:cs="AppleSystemUIFont"/>
                                <w:color w:val="FFFFFF" w:themeColor="background1"/>
                                <w:sz w:val="20"/>
                                <w:szCs w:val="20"/>
                              </w:rPr>
                            </w:pPr>
                            <w:r w:rsidRPr="00DC2D55">
                              <w:rPr>
                                <w:rFonts w:ascii="Roboto" w:hAnsi="Roboto" w:cs="AppleSystemUIFont"/>
                                <w:color w:val="FFFFFF" w:themeColor="background1"/>
                                <w:sz w:val="20"/>
                                <w:szCs w:val="20"/>
                              </w:rPr>
                              <w:t xml:space="preserve">Contested, unclear or unintentionally overlapping mandates, and gaps in mandates, reduce transparency, act as a barrier to meaningful public participation, and make it harder to hold public officials to account. </w:t>
                            </w:r>
                          </w:p>
                          <w:p w14:paraId="05F41E56" w14:textId="77777777" w:rsidR="00D15FD8" w:rsidRPr="00DC2D55" w:rsidRDefault="00D15FD8" w:rsidP="003625BA">
                            <w:pPr>
                              <w:spacing w:line="260" w:lineRule="atLeast"/>
                              <w:rPr>
                                <w:rFonts w:ascii="Roboto" w:hAnsi="Roboto" w:cs="AppleSystemUIFont"/>
                                <w:color w:val="FFFFFF" w:themeColor="background1"/>
                                <w:sz w:val="20"/>
                                <w:szCs w:val="20"/>
                              </w:rPr>
                            </w:pPr>
                          </w:p>
                          <w:p w14:paraId="013C7E38" w14:textId="77777777" w:rsidR="00D15FD8" w:rsidRPr="00553DE0" w:rsidRDefault="00D15FD8" w:rsidP="003625BA">
                            <w:pPr>
                              <w:spacing w:line="260" w:lineRule="atLeast"/>
                              <w:rPr>
                                <w:rFonts w:ascii="Roboto" w:hAnsi="Roboto"/>
                                <w:color w:val="FFFFFF" w:themeColor="background1"/>
                                <w:sz w:val="20"/>
                                <w:szCs w:val="20"/>
                              </w:rPr>
                            </w:pPr>
                            <w:r w:rsidRPr="00DC2D55">
                              <w:rPr>
                                <w:rFonts w:ascii="Roboto" w:hAnsi="Roboto" w:cs="AppleSystemUIFont"/>
                                <w:color w:val="FFFFFF" w:themeColor="background1"/>
                                <w:sz w:val="20"/>
                                <w:szCs w:val="20"/>
                              </w:rPr>
                              <w:t>Roles and responsibilities at this level are typically set out in a constitution and/or in an organic budget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6820A" id="Text Box 1939" o:spid="_x0000_s1166" type="#_x0000_t202" style="position:absolute;margin-left:-8.55pt;margin-top:100.65pt;width:175.4pt;height:235.65pt;z-index:25366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" filled="f" stroked="f" strokeweight=".5pt">
                <v:textbox>
                  <w:txbxContent>
                    <w:p w14:paraId="0D2C3535" w14:textId="77777777" w:rsidR="00D15FD8" w:rsidRPr="00DC2D55" w:rsidRDefault="00D15FD8" w:rsidP="003625BA">
                      <w:pPr>
                        <w:spacing w:line="260" w:lineRule="atLeast"/>
                        <w:rPr>
                          <w:rFonts w:ascii="Roboto" w:hAnsi="Roboto" w:cs="AppleSystemUIFont"/>
                          <w:color w:val="FFFFFF" w:themeColor="background1"/>
                          <w:sz w:val="20"/>
                          <w:szCs w:val="20"/>
                        </w:rPr>
                      </w:pPr>
                      <w:r w:rsidRPr="00DC2D55">
                        <w:rPr>
                          <w:rFonts w:ascii="Roboto" w:hAnsi="Roboto" w:cs="AppleSystemUIFont"/>
                          <w:color w:val="FFFFFF" w:themeColor="background1"/>
                          <w:sz w:val="20"/>
                          <w:szCs w:val="20"/>
                        </w:rPr>
                        <w:t xml:space="preserve">The effective and efficient governance of fiscal policy requires everyone to be clear about who is responsible for doing what, and who is accountable to whom. </w:t>
                      </w:r>
                    </w:p>
                    <w:p w14:paraId="7401D924" w14:textId="77777777" w:rsidR="00D15FD8" w:rsidRDefault="00D15FD8" w:rsidP="003625BA">
                      <w:pPr>
                        <w:spacing w:line="260" w:lineRule="atLeast"/>
                        <w:rPr>
                          <w:rFonts w:ascii="Roboto" w:hAnsi="Roboto" w:cs="AppleSystemUIFont"/>
                          <w:color w:val="FFFFFF" w:themeColor="background1"/>
                          <w:sz w:val="20"/>
                          <w:szCs w:val="20"/>
                        </w:rPr>
                      </w:pPr>
                      <w:r w:rsidRPr="00DC2D55">
                        <w:rPr>
                          <w:rFonts w:ascii="Roboto" w:hAnsi="Roboto" w:cs="AppleSystemUIFont"/>
                          <w:color w:val="FFFFFF" w:themeColor="background1"/>
                          <w:sz w:val="20"/>
                          <w:szCs w:val="20"/>
                        </w:rPr>
                        <w:t xml:space="preserve">Contested, unclear or unintentionally overlapping mandates, and gaps in mandates, reduce transparency, act as a barrier to meaningful public participation, and make it harder to hold public officials to account. </w:t>
                      </w:r>
                    </w:p>
                    <w:p w14:paraId="05F41E56" w14:textId="77777777" w:rsidR="00D15FD8" w:rsidRPr="00DC2D55" w:rsidRDefault="00D15FD8" w:rsidP="003625BA">
                      <w:pPr>
                        <w:spacing w:line="260" w:lineRule="atLeast"/>
                        <w:rPr>
                          <w:rFonts w:ascii="Roboto" w:hAnsi="Roboto" w:cs="AppleSystemUIFont"/>
                          <w:color w:val="FFFFFF" w:themeColor="background1"/>
                          <w:sz w:val="20"/>
                          <w:szCs w:val="20"/>
                        </w:rPr>
                      </w:pPr>
                    </w:p>
                    <w:p w14:paraId="013C7E38" w14:textId="77777777" w:rsidR="00D15FD8" w:rsidRPr="00553DE0" w:rsidRDefault="00D15FD8" w:rsidP="003625BA">
                      <w:pPr>
                        <w:spacing w:line="260" w:lineRule="atLeast"/>
                        <w:rPr>
                          <w:rFonts w:ascii="Roboto" w:hAnsi="Roboto"/>
                          <w:color w:val="FFFFFF" w:themeColor="background1"/>
                          <w:sz w:val="20"/>
                          <w:szCs w:val="20"/>
                        </w:rPr>
                      </w:pPr>
                      <w:r w:rsidRPr="00DC2D55">
                        <w:rPr>
                          <w:rFonts w:ascii="Roboto" w:hAnsi="Roboto" w:cs="AppleSystemUIFont"/>
                          <w:color w:val="FFFFFF" w:themeColor="background1"/>
                          <w:sz w:val="20"/>
                          <w:szCs w:val="20"/>
                        </w:rPr>
                        <w:t>Roles and responsibilities at this level are typically set out in a constitution and/or in an organic budget law.</w:t>
                      </w:r>
                    </w:p>
                  </w:txbxContent>
                </v:textbox>
              </v:shape>
            </w:pict>
          </mc:Fallback>
        </mc:AlternateContent>
      </w:r>
      <w:r w:rsidRPr="00DC2D55">
        <w:rPr>
          <w:rFonts w:ascii="Roboto" w:hAnsi="Roboto"/>
          <w:noProof/>
          <w:lang w:val="en-US"/>
        </w:rPr>
        <w:drawing>
          <wp:anchor distT="0" distB="0" distL="114300" distR="114300" simplePos="0" relativeHeight="253666302" behindDoc="1" locked="0" layoutInCell="1" allowOverlap="1" wp14:anchorId="3548D134" wp14:editId="372A57A8">
            <wp:simplePos x="0" y="0"/>
            <wp:positionH relativeFrom="column">
              <wp:posOffset>288925</wp:posOffset>
            </wp:positionH>
            <wp:positionV relativeFrom="paragraph">
              <wp:posOffset>906780</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r w:rsidRPr="00DC2D55">
        <w:rPr>
          <w:rFonts w:ascii="Roboto" w:hAnsi="Roboto"/>
          <w:noProof/>
          <w:lang w:val="en-US"/>
        </w:rPr>
        <mc:AlternateContent>
          <mc:Choice Requires="wps">
            <w:drawing>
              <wp:anchor distT="0" distB="0" distL="114300" distR="114300" simplePos="0" relativeHeight="253667326" behindDoc="0" locked="0" layoutInCell="1" allowOverlap="1" wp14:anchorId="055D73F1" wp14:editId="6E718E50">
                <wp:simplePos x="0" y="0"/>
                <wp:positionH relativeFrom="column">
                  <wp:posOffset>553720</wp:posOffset>
                </wp:positionH>
                <wp:positionV relativeFrom="paragraph">
                  <wp:posOffset>946150</wp:posOffset>
                </wp:positionV>
                <wp:extent cx="1337310" cy="317500"/>
                <wp:effectExtent l="0" t="0" r="0" b="0"/>
                <wp:wrapNone/>
                <wp:docPr id="1938" name="Text Box 1938"/>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06B2433D"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D73F1" id="Text Box 1938" o:spid="_x0000_s1167" type="#_x0000_t202" style="position:absolute;margin-left:43.6pt;margin-top:74.5pt;width:105.3pt;height:25pt;z-index:253667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" filled="f" stroked="f" strokeweight=".5pt">
                <v:textbox>
                  <w:txbxContent>
                    <w:p w14:paraId="06B2433D"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Pr="00DC2D55">
        <w:rPr>
          <w:rFonts w:ascii="Roboto" w:hAnsi="Roboto"/>
          <w:noProof/>
          <w:lang w:val="en-US"/>
        </w:rPr>
        <mc:AlternateContent>
          <mc:Choice Requires="wps">
            <w:drawing>
              <wp:anchor distT="0" distB="0" distL="114300" distR="114300" simplePos="0" relativeHeight="253669374" behindDoc="0" locked="0" layoutInCell="1" allowOverlap="1" wp14:anchorId="4814E1BD" wp14:editId="156D7B71">
                <wp:simplePos x="0" y="0"/>
                <wp:positionH relativeFrom="column">
                  <wp:posOffset>2439670</wp:posOffset>
                </wp:positionH>
                <wp:positionV relativeFrom="paragraph">
                  <wp:posOffset>485140</wp:posOffset>
                </wp:positionV>
                <wp:extent cx="5367655" cy="304800"/>
                <wp:effectExtent l="0" t="0" r="0" b="0"/>
                <wp:wrapNone/>
                <wp:docPr id="1934" name="Text Box 1934"/>
                <wp:cNvGraphicFramePr/>
                <a:graphic xmlns:a="http://schemas.openxmlformats.org/drawingml/2006/main">
                  <a:graphicData uri="http://schemas.microsoft.com/office/word/2010/wordprocessingShape">
                    <wps:wsp>
                      <wps:cNvSpPr txBox="1"/>
                      <wps:spPr>
                        <a:xfrm>
                          <a:off x="0" y="0"/>
                          <a:ext cx="5367655" cy="304800"/>
                        </a:xfrm>
                        <a:prstGeom prst="rect">
                          <a:avLst/>
                        </a:prstGeom>
                        <a:noFill/>
                        <a:ln w="6350">
                          <a:noFill/>
                        </a:ln>
                      </wps:spPr>
                      <wps:txbx>
                        <w:txbxContent>
                          <w:p w14:paraId="1E5B997C"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3B1BF7C0" w14:textId="77777777" w:rsidR="00D15FD8" w:rsidRPr="00FA2526" w:rsidRDefault="00D15FD8" w:rsidP="002D1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14E1BD" id="Text Box 1934" o:spid="_x0000_s1168" type="#_x0000_t202" style="position:absolute;margin-left:192.1pt;margin-top:38.2pt;width:422.65pt;height:24pt;z-index:2536693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" filled="f" stroked="f" strokeweight=".5pt">
                <v:textbox>
                  <w:txbxContent>
                    <w:p w14:paraId="1E5B997C"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3B1BF7C0" w14:textId="77777777" w:rsidR="00D15FD8" w:rsidRPr="00FA2526" w:rsidRDefault="00D15FD8" w:rsidP="002D14C0"/>
                  </w:txbxContent>
                </v:textbox>
              </v:shape>
            </w:pict>
          </mc:Fallback>
        </mc:AlternateContent>
      </w:r>
      <w:r w:rsidRPr="00DC2D55">
        <w:rPr>
          <w:rFonts w:ascii="Roboto" w:hAnsi="Roboto"/>
          <w:noProof/>
          <w:lang w:val="en-US"/>
        </w:rPr>
        <w:drawing>
          <wp:anchor distT="0" distB="0" distL="114300" distR="114300" simplePos="0" relativeHeight="253663230" behindDoc="1" locked="0" layoutInCell="1" allowOverlap="1" wp14:anchorId="40235589" wp14:editId="24255294">
            <wp:simplePos x="0" y="0"/>
            <wp:positionH relativeFrom="margin">
              <wp:posOffset>-9525</wp:posOffset>
            </wp:positionH>
            <wp:positionV relativeFrom="paragraph">
              <wp:posOffset>244475</wp:posOffset>
            </wp:positionV>
            <wp:extent cx="8882380" cy="287655"/>
            <wp:effectExtent l="0" t="0" r="0" b="0"/>
            <wp:wrapTight wrapText="bothSides">
              <wp:wrapPolygon edited="0">
                <wp:start x="185" y="7629"/>
                <wp:lineTo x="185" y="13351"/>
                <wp:lineTo x="21341" y="13351"/>
                <wp:lineTo x="21341" y="7629"/>
                <wp:lineTo x="185" y="7629"/>
              </wp:wrapPolygon>
            </wp:wrapTight>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p>
    <w:p w14:paraId="6C080CD3" w14:textId="79578CB4" w:rsidR="00203FAB" w:rsidRDefault="00FB0BA4" w:rsidP="002D14C0">
      <w:pPr>
        <w:rPr>
          <w:rFonts w:ascii="Roboto" w:hAnsi="Roboto"/>
        </w:rPr>
      </w:pPr>
      <w:r w:rsidRPr="00DC2D55">
        <w:rPr>
          <w:rFonts w:ascii="Roboto" w:hAnsi="Roboto"/>
          <w:noProof/>
          <w:lang w:val="en-US"/>
        </w:rPr>
        <mc:AlternateContent>
          <mc:Choice Requires="wps">
            <w:drawing>
              <wp:anchor distT="0" distB="0" distL="114300" distR="114300" simplePos="0" relativeHeight="253665278" behindDoc="0" locked="0" layoutInCell="1" allowOverlap="1" wp14:anchorId="570895C9" wp14:editId="46DDB7E7">
                <wp:simplePos x="0" y="0"/>
                <wp:positionH relativeFrom="column">
                  <wp:posOffset>-203200</wp:posOffset>
                </wp:positionH>
                <wp:positionV relativeFrom="paragraph">
                  <wp:posOffset>590550</wp:posOffset>
                </wp:positionV>
                <wp:extent cx="2418715" cy="3493135"/>
                <wp:effectExtent l="12700" t="12700" r="6985" b="12065"/>
                <wp:wrapNone/>
                <wp:docPr id="1937" name="Rounded Rectangle 1937"/>
                <wp:cNvGraphicFramePr/>
                <a:graphic xmlns:a="http://schemas.openxmlformats.org/drawingml/2006/main">
                  <a:graphicData uri="http://schemas.microsoft.com/office/word/2010/wordprocessingShape">
                    <wps:wsp>
                      <wps:cNvSpPr/>
                      <wps:spPr>
                        <a:xfrm>
                          <a:off x="0" y="0"/>
                          <a:ext cx="2418715" cy="3493135"/>
                        </a:xfrm>
                        <a:prstGeom prst="roundRect">
                          <a:avLst>
                            <a:gd name="adj" fmla="val 5115"/>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D0A3B"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0895C9" id="Rounded Rectangle 1937" o:spid="_x0000_s1169" style="position:absolute;margin-left:-16pt;margin-top:46.5pt;width:190.45pt;height:275.05pt;z-index:253665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" filled="f" strokecolor="white [3212]" strokeweight="1.5pt">
                <v:stroke joinstyle="miter"/>
                <v:textbox>
                  <w:txbxContent>
                    <w:p w14:paraId="21CD0A3B" w14:textId="77777777" w:rsidR="00D15FD8" w:rsidRDefault="00D15FD8" w:rsidP="002D14C0"/>
                  </w:txbxContent>
                </v:textbox>
              </v:roundrect>
            </w:pict>
          </mc:Fallback>
        </mc:AlternateContent>
      </w:r>
    </w:p>
    <w:p w14:paraId="0BE0F144" w14:textId="3109ACB9" w:rsidR="00203FAB" w:rsidRPr="00DC2D55" w:rsidRDefault="00203FAB" w:rsidP="002D14C0">
      <w:pPr>
        <w:rPr>
          <w:rFonts w:ascii="Roboto" w:hAnsi="Roboto"/>
        </w:rPr>
      </w:pPr>
    </w:p>
    <w:p w14:paraId="4F9485DC" w14:textId="585776D8" w:rsidR="00203FAB" w:rsidRPr="00DC2D55" w:rsidRDefault="00203FAB" w:rsidP="002D14C0">
      <w:pPr>
        <w:rPr>
          <w:rFonts w:ascii="Roboto" w:hAnsi="Roboto"/>
        </w:rPr>
      </w:pPr>
    </w:p>
    <w:p w14:paraId="0FE01FB1" w14:textId="06EA8735" w:rsidR="00203FAB" w:rsidRPr="00DC2D55" w:rsidRDefault="00203FAB" w:rsidP="002D14C0">
      <w:pPr>
        <w:rPr>
          <w:rFonts w:ascii="Roboto" w:hAnsi="Roboto"/>
        </w:rPr>
      </w:pPr>
    </w:p>
    <w:p w14:paraId="242C89D1" w14:textId="16F30F26" w:rsidR="00203FAB" w:rsidRPr="00DC2D55" w:rsidRDefault="00203FAB" w:rsidP="002D14C0">
      <w:pPr>
        <w:rPr>
          <w:rFonts w:ascii="Roboto" w:hAnsi="Roboto"/>
        </w:rPr>
      </w:pPr>
    </w:p>
    <w:p w14:paraId="5BAFD976" w14:textId="77018B94" w:rsidR="00203FAB" w:rsidRPr="00DC2D55"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75358" behindDoc="0" locked="0" layoutInCell="1" allowOverlap="1" wp14:anchorId="3086D1A3" wp14:editId="7B0C389A">
                <wp:simplePos x="0" y="0"/>
                <wp:positionH relativeFrom="column">
                  <wp:posOffset>-3610610</wp:posOffset>
                </wp:positionH>
                <wp:positionV relativeFrom="paragraph">
                  <wp:posOffset>456565</wp:posOffset>
                </wp:positionV>
                <wp:extent cx="5976620" cy="252095"/>
                <wp:effectExtent l="0" t="0" r="0" b="0"/>
                <wp:wrapNone/>
                <wp:docPr id="191" name="Text Box 191"/>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04250FD4" w14:textId="49ED9037"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86D1A3" id="Text Box 191" o:spid="_x0000_s1170" type="#_x0000_t202" style="position:absolute;margin-left:-284.3pt;margin-top:35.95pt;width:470.6pt;height:19.85pt;rotation:90;z-index:2553753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" filled="f" stroked="f" strokeweight=".5pt">
                <v:textbox>
                  <w:txbxContent>
                    <w:p w14:paraId="04250FD4" w14:textId="49ED9037"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42</w:t>
                      </w:r>
                    </w:p>
                  </w:txbxContent>
                </v:textbox>
              </v:shape>
            </w:pict>
          </mc:Fallback>
        </mc:AlternateContent>
      </w:r>
    </w:p>
    <w:p w14:paraId="04366919" w14:textId="0935A6E2" w:rsidR="00203FAB" w:rsidRPr="00DC2D55" w:rsidRDefault="00203FAB" w:rsidP="002D14C0">
      <w:pPr>
        <w:rPr>
          <w:rFonts w:ascii="Roboto" w:hAnsi="Roboto"/>
        </w:rPr>
      </w:pPr>
    </w:p>
    <w:p w14:paraId="366AA6C5" w14:textId="0598E34C" w:rsidR="00203FAB" w:rsidRPr="00DC2D55"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74334" behindDoc="0" locked="0" layoutInCell="1" allowOverlap="1" wp14:anchorId="3BD73B14" wp14:editId="47963F14">
                <wp:simplePos x="0" y="0"/>
                <wp:positionH relativeFrom="column">
                  <wp:posOffset>6517958</wp:posOffset>
                </wp:positionH>
                <wp:positionV relativeFrom="paragraph">
                  <wp:posOffset>150051</wp:posOffset>
                </wp:positionV>
                <wp:extent cx="5977200" cy="252096"/>
                <wp:effectExtent l="4762" t="0" r="0" b="0"/>
                <wp:wrapNone/>
                <wp:docPr id="189" name="Text Box 189"/>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26239BD1" w14:textId="38F9D1E7"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744643466"/>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F1D78AB"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D73B14" id="Text Box 189" o:spid="_x0000_s1171" type="#_x0000_t202" style="position:absolute;margin-left:513.25pt;margin-top:11.8pt;width:470.65pt;height:19.85pt;rotation:90;z-index:2553743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" fillcolor="white [3201]" stroked="f" strokeweight=".5pt">
                <v:textbox>
                  <w:txbxContent>
                    <w:p w14:paraId="26239BD1" w14:textId="38F9D1E7"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744643466"/>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3F1D78AB" w14:textId="77777777" w:rsidR="00D15FD8" w:rsidRDefault="00D15FD8" w:rsidP="003D7CCB"/>
                  </w:txbxContent>
                </v:textbox>
              </v:shape>
            </w:pict>
          </mc:Fallback>
        </mc:AlternateContent>
      </w:r>
    </w:p>
    <w:p w14:paraId="348CA05E" w14:textId="77777777" w:rsidR="00203FAB" w:rsidRPr="00DC2D55" w:rsidRDefault="00203FAB" w:rsidP="002D14C0">
      <w:pPr>
        <w:rPr>
          <w:rFonts w:ascii="Roboto" w:hAnsi="Roboto"/>
        </w:rPr>
      </w:pPr>
    </w:p>
    <w:p w14:paraId="11F116F5" w14:textId="77777777" w:rsidR="00203FAB" w:rsidRPr="00DC2D55" w:rsidRDefault="00203FAB" w:rsidP="002D14C0">
      <w:pPr>
        <w:rPr>
          <w:rFonts w:ascii="Roboto" w:hAnsi="Roboto"/>
        </w:rPr>
      </w:pPr>
    </w:p>
    <w:p w14:paraId="690A828D" w14:textId="77777777" w:rsidR="00203FAB" w:rsidRPr="00DC2D55" w:rsidRDefault="00203FAB" w:rsidP="002D14C0">
      <w:pPr>
        <w:rPr>
          <w:rFonts w:ascii="Roboto" w:hAnsi="Roboto"/>
        </w:rPr>
      </w:pPr>
    </w:p>
    <w:p w14:paraId="533F5B59" w14:textId="77777777" w:rsidR="00203FAB" w:rsidRPr="00DC2D55" w:rsidRDefault="00203FAB" w:rsidP="002D14C0">
      <w:pPr>
        <w:rPr>
          <w:rFonts w:ascii="Roboto" w:hAnsi="Roboto"/>
        </w:rPr>
      </w:pPr>
    </w:p>
    <w:p w14:paraId="40A05666" w14:textId="77777777" w:rsidR="00203FAB" w:rsidRPr="00DC2D55" w:rsidRDefault="00203FAB" w:rsidP="002D14C0">
      <w:pPr>
        <w:rPr>
          <w:rFonts w:ascii="Roboto" w:hAnsi="Roboto"/>
        </w:rPr>
      </w:pPr>
    </w:p>
    <w:p w14:paraId="621F6490" w14:textId="77777777" w:rsidR="00203FAB" w:rsidRPr="00DC2D55" w:rsidRDefault="00203FAB" w:rsidP="002D14C0">
      <w:pPr>
        <w:rPr>
          <w:rFonts w:ascii="Roboto" w:hAnsi="Roboto"/>
        </w:rPr>
      </w:pPr>
    </w:p>
    <w:p w14:paraId="6961DC86" w14:textId="0E8F0462" w:rsidR="00203FAB" w:rsidRPr="00DC2D55" w:rsidRDefault="00203FAB" w:rsidP="002D14C0">
      <w:pPr>
        <w:rPr>
          <w:rFonts w:ascii="Roboto" w:hAnsi="Roboto"/>
        </w:rPr>
      </w:pPr>
    </w:p>
    <w:p w14:paraId="6A55F651" w14:textId="3511F9BD"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84926" behindDoc="0" locked="0" layoutInCell="1" allowOverlap="1" wp14:anchorId="5AA292D8" wp14:editId="141026B8">
                <wp:simplePos x="0" y="0"/>
                <wp:positionH relativeFrom="column">
                  <wp:posOffset>5474525</wp:posOffset>
                </wp:positionH>
                <wp:positionV relativeFrom="paragraph">
                  <wp:posOffset>2008670</wp:posOffset>
                </wp:positionV>
                <wp:extent cx="3878317" cy="410474"/>
                <wp:effectExtent l="0" t="0" r="8255" b="8890"/>
                <wp:wrapNone/>
                <wp:docPr id="399" name="Rectangle 399"/>
                <wp:cNvGraphicFramePr/>
                <a:graphic xmlns:a="http://schemas.openxmlformats.org/drawingml/2006/main">
                  <a:graphicData uri="http://schemas.microsoft.com/office/word/2010/wordprocessingShape">
                    <wps:wsp>
                      <wps:cNvSpPr/>
                      <wps:spPr>
                        <a:xfrm>
                          <a:off x="0" y="0"/>
                          <a:ext cx="3878317" cy="41047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5097C8EB" id="Rectangle 399" o:spid="_x0000_s1026" style="position:absolute;margin-left:431.05pt;margin-top:158.15pt;width:305.4pt;height:32.3pt;z-index:2554849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" fillcolor="white [3212]" stroked="f" strokeweight="1pt"/>
            </w:pict>
          </mc:Fallback>
        </mc:AlternateContent>
      </w:r>
      <w:r w:rsidR="00CC3EBD">
        <w:rPr>
          <w:rFonts w:ascii="Roboto" w:hAnsi="Roboto"/>
        </w:rPr>
        <w:br w:type="page"/>
      </w:r>
    </w:p>
    <w:p w14:paraId="512DDEFD" w14:textId="37A96D88" w:rsidR="00203FAB" w:rsidRPr="00DC2D55"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86974" behindDoc="0" locked="0" layoutInCell="1" allowOverlap="1" wp14:anchorId="49A5FEAB" wp14:editId="632FC4F5">
                <wp:simplePos x="0" y="0"/>
                <wp:positionH relativeFrom="column">
                  <wp:posOffset>-252774</wp:posOffset>
                </wp:positionH>
                <wp:positionV relativeFrom="paragraph">
                  <wp:posOffset>-552341</wp:posOffset>
                </wp:positionV>
                <wp:extent cx="3878317" cy="268014"/>
                <wp:effectExtent l="0" t="0" r="0" b="0"/>
                <wp:wrapNone/>
                <wp:docPr id="402" name="Rectangle 402"/>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2F65E69E" id="Rectangle 402" o:spid="_x0000_s1026" style="position:absolute;margin-left:-19.9pt;margin-top:-43.5pt;width:305.4pt;height:21.1pt;z-index:2554869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" fillcolor="white [3212]" stroked="f" strokeweight="1pt"/>
            </w:pict>
          </mc:Fallback>
        </mc:AlternateContent>
      </w:r>
    </w:p>
    <w:p w14:paraId="1BC9A36D" w14:textId="0FA25C89" w:rsidR="00203FAB" w:rsidRDefault="00203FAB" w:rsidP="001350D0">
      <w:pPr>
        <w:rPr>
          <w:rFonts w:ascii="Roboto" w:hAnsi="Roboto"/>
        </w:rPr>
      </w:pPr>
      <w:r>
        <w:rPr>
          <w:rFonts w:ascii="Roboto" w:hAnsi="Roboto"/>
        </w:rPr>
        <w:tab/>
      </w:r>
    </w:p>
    <w:p w14:paraId="218F562E" w14:textId="7529B7EC" w:rsidR="00203FAB" w:rsidRDefault="00F509C5" w:rsidP="002D14C0">
      <w:pPr>
        <w:tabs>
          <w:tab w:val="left" w:pos="11297"/>
        </w:tabs>
        <w:rPr>
          <w:rFonts w:ascii="Roboto" w:hAnsi="Roboto"/>
        </w:rPr>
      </w:pPr>
      <w:r w:rsidRPr="00DC2D55">
        <w:rPr>
          <w:rFonts w:ascii="Roboto" w:hAnsi="Roboto"/>
          <w:noProof/>
          <w:lang w:val="en-US"/>
        </w:rPr>
        <mc:AlternateContent>
          <mc:Choice Requires="wps">
            <w:drawing>
              <wp:anchor distT="0" distB="0" distL="114300" distR="114300" simplePos="0" relativeHeight="253671422" behindDoc="0" locked="0" layoutInCell="1" allowOverlap="1" wp14:anchorId="7B4A4B1B" wp14:editId="795004D4">
                <wp:simplePos x="0" y="0"/>
                <wp:positionH relativeFrom="margin">
                  <wp:posOffset>15766</wp:posOffset>
                </wp:positionH>
                <wp:positionV relativeFrom="paragraph">
                  <wp:posOffset>10072</wp:posOffset>
                </wp:positionV>
                <wp:extent cx="8817610" cy="2380594"/>
                <wp:effectExtent l="0" t="0" r="0" b="0"/>
                <wp:wrapNone/>
                <wp:docPr id="1940" name="Text Box 1940"/>
                <wp:cNvGraphicFramePr/>
                <a:graphic xmlns:a="http://schemas.openxmlformats.org/drawingml/2006/main">
                  <a:graphicData uri="http://schemas.microsoft.com/office/word/2010/wordprocessingShape">
                    <wps:wsp>
                      <wps:cNvSpPr txBox="1"/>
                      <wps:spPr>
                        <a:xfrm>
                          <a:off x="0" y="0"/>
                          <a:ext cx="8817610" cy="2380594"/>
                        </a:xfrm>
                        <a:prstGeom prst="rect">
                          <a:avLst/>
                        </a:prstGeom>
                        <a:noFill/>
                        <a:ln w="6350">
                          <a:noFill/>
                        </a:ln>
                      </wps:spPr>
                      <wps:txbx>
                        <w:txbxContent>
                          <w:p w14:paraId="3236D3C3" w14:textId="77777777" w:rsidR="00D15FD8" w:rsidRPr="00DC2D55" w:rsidRDefault="00D15FD8" w:rsidP="002D14C0">
                            <w:pPr>
                              <w:spacing w:line="259" w:lineRule="auto"/>
                              <w:suppressOverlap/>
                              <w:rPr>
                                <w:rFonts w:ascii="Roboto" w:eastAsia="Calibri" w:hAnsi="Roboto" w:cs="Calibri"/>
                                <w:color w:val="404040" w:themeColor="text1" w:themeTint="BF"/>
                                <w:sz w:val="20"/>
                                <w:szCs w:val="20"/>
                              </w:rPr>
                            </w:pPr>
                            <w:r w:rsidRPr="00656D68">
                              <w:rPr>
                                <w:rFonts w:ascii="Roboto" w:eastAsia="Calibri" w:hAnsi="Roboto" w:cs="Calibri"/>
                                <w:b/>
                                <w:bCs/>
                                <w:color w:val="1E9A8C"/>
                                <w:sz w:val="20"/>
                                <w:szCs w:val="20"/>
                              </w:rPr>
                              <w:t>OECD</w:t>
                            </w:r>
                            <w:r w:rsidRPr="00656D68">
                              <w:rPr>
                                <w:rFonts w:ascii="Roboto" w:eastAsia="Calibri" w:hAnsi="Roboto" w:cs="Calibri"/>
                                <w:bCs/>
                                <w:color w:val="1E9A8C"/>
                                <w:sz w:val="20"/>
                                <w:szCs w:val="20"/>
                              </w:rPr>
                              <w:t xml:space="preserve">: </w:t>
                            </w:r>
                            <w:hyperlink r:id="rId296" w:history="1">
                              <w:r w:rsidRPr="00656D68">
                                <w:rPr>
                                  <w:rStyle w:val="Hyperlink"/>
                                  <w:rFonts w:ascii="Roboto" w:eastAsia="Calibri" w:hAnsi="Roboto" w:cs="Calibri"/>
                                  <w:color w:val="F26C21"/>
                                  <w:sz w:val="20"/>
                                  <w:szCs w:val="20"/>
                                </w:rPr>
                                <w:t>Guidelines on Corporate Governance of State-Owned Enterprises</w:t>
                              </w:r>
                            </w:hyperlink>
                            <w:r w:rsidRPr="00DC2D55">
                              <w:rPr>
                                <w:rFonts w:ascii="Roboto" w:eastAsia="Calibri" w:hAnsi="Roboto" w:cs="Calibri"/>
                                <w:color w:val="404040" w:themeColor="text1" w:themeTint="BF"/>
                                <w:sz w:val="20"/>
                                <w:szCs w:val="20"/>
                              </w:rPr>
                              <w:t xml:space="preserve"> (2015): Detailed recommendations to governments on how to ensure that their commercial enterprises operate transparently and in an accountable manner, as well as efficiently. Of relevance in this context is transparency in the exercise of the government’s ownership functions, and transparency in imposing public service obligations on State-Owned Enterprises.  </w:t>
                            </w:r>
                          </w:p>
                          <w:p w14:paraId="7C669B7B" w14:textId="77777777" w:rsidR="00D15FD8" w:rsidRPr="00DC2D55" w:rsidRDefault="00D15FD8" w:rsidP="002D14C0">
                            <w:pPr>
                              <w:spacing w:line="259" w:lineRule="auto"/>
                              <w:suppressOverlap/>
                              <w:rPr>
                                <w:rFonts w:ascii="Roboto" w:eastAsia="Calibri" w:hAnsi="Roboto" w:cs="Calibri"/>
                                <w:color w:val="404040" w:themeColor="text1" w:themeTint="BF"/>
                                <w:sz w:val="20"/>
                                <w:szCs w:val="20"/>
                              </w:rPr>
                            </w:pPr>
                          </w:p>
                          <w:p w14:paraId="0767AE01" w14:textId="77777777" w:rsidR="00D15FD8" w:rsidRPr="00656D68" w:rsidRDefault="00D15FD8" w:rsidP="002D14C0">
                            <w:pPr>
                              <w:spacing w:line="259" w:lineRule="auto"/>
                              <w:suppressOverlap/>
                              <w:rPr>
                                <w:rFonts w:ascii="Roboto" w:eastAsia="Calibri" w:hAnsi="Roboto" w:cs="Calibri"/>
                                <w:b/>
                                <w:bCs/>
                                <w:color w:val="1E9A8C"/>
                                <w:sz w:val="20"/>
                                <w:szCs w:val="20"/>
                                <w:u w:val="single"/>
                              </w:rPr>
                            </w:pPr>
                            <w:r w:rsidRPr="00656D68">
                              <w:rPr>
                                <w:rFonts w:ascii="Roboto" w:eastAsia="Calibri" w:hAnsi="Roboto" w:cs="Calibri"/>
                                <w:b/>
                                <w:bCs/>
                                <w:color w:val="1E9A8C"/>
                                <w:sz w:val="20"/>
                                <w:szCs w:val="20"/>
                                <w:u w:val="single"/>
                              </w:rPr>
                              <w:t>Assessment frameworks:</w:t>
                            </w:r>
                          </w:p>
                          <w:p w14:paraId="2F8B1AA1" w14:textId="77777777" w:rsidR="00D15FD8" w:rsidRPr="00DC2D55" w:rsidRDefault="00D15FD8" w:rsidP="002D14C0">
                            <w:pPr>
                              <w:spacing w:line="259" w:lineRule="auto"/>
                              <w:suppressOverlap/>
                              <w:rPr>
                                <w:rFonts w:ascii="Roboto" w:eastAsia="Calibri" w:hAnsi="Roboto" w:cs="Calibri"/>
                                <w:b/>
                                <w:bCs/>
                                <w:color w:val="404040" w:themeColor="text1" w:themeTint="BF"/>
                                <w:sz w:val="20"/>
                                <w:szCs w:val="20"/>
                                <w:u w:val="single"/>
                              </w:rPr>
                            </w:pPr>
                          </w:p>
                          <w:p w14:paraId="06896A29" w14:textId="77777777" w:rsidR="00D15FD8" w:rsidRPr="00DC2D55" w:rsidRDefault="00D15FD8" w:rsidP="002D14C0">
                            <w:pPr>
                              <w:suppressOverlap/>
                              <w:rPr>
                                <w:rFonts w:ascii="Roboto" w:eastAsia="Calibri" w:hAnsi="Roboto" w:cs="Calibri"/>
                                <w:color w:val="404040" w:themeColor="text1" w:themeTint="BF"/>
                                <w:sz w:val="20"/>
                                <w:szCs w:val="20"/>
                              </w:rPr>
                            </w:pPr>
                            <w:r w:rsidRPr="00656D68">
                              <w:rPr>
                                <w:rFonts w:ascii="Roboto" w:eastAsia="Calibri" w:hAnsi="Roboto" w:cs="Calibri"/>
                                <w:b/>
                                <w:bCs/>
                                <w:color w:val="1E9A8C"/>
                                <w:sz w:val="20"/>
                                <w:szCs w:val="20"/>
                              </w:rPr>
                              <w:t xml:space="preserve">PEFA: </w:t>
                            </w:r>
                            <w:hyperlink r:id="rId297" w:history="1">
                              <w:r w:rsidRPr="00656D68">
                                <w:rPr>
                                  <w:rStyle w:val="Hyperlink"/>
                                  <w:rFonts w:ascii="Roboto" w:eastAsia="Calibri" w:hAnsi="Roboto" w:cs="Calibri"/>
                                  <w:color w:val="F26C21"/>
                                  <w:sz w:val="20"/>
                                  <w:szCs w:val="20"/>
                                </w:rPr>
                                <w:t>Framework for assessing public financial management</w:t>
                              </w:r>
                            </w:hyperlink>
                            <w:r w:rsidRPr="00656D68">
                              <w:rPr>
                                <w:rFonts w:ascii="Roboto" w:eastAsia="Calibri" w:hAnsi="Roboto" w:cs="Calibri"/>
                                <w:color w:val="F26C21"/>
                                <w:sz w:val="20"/>
                                <w:szCs w:val="20"/>
                              </w:rPr>
                              <w:t xml:space="preserve"> </w:t>
                            </w:r>
                            <w:r w:rsidRPr="00DC2D55">
                              <w:rPr>
                                <w:rFonts w:ascii="Roboto" w:eastAsia="Calibri" w:hAnsi="Roboto" w:cs="Calibri"/>
                                <w:color w:val="404040" w:themeColor="text1" w:themeTint="BF"/>
                                <w:sz w:val="20"/>
                                <w:szCs w:val="20"/>
                              </w:rPr>
                              <w:t xml:space="preserve">(2016): Assesses extent to which legislature’s procedures to review budget proposals are established and adhered to, and whether they are established and mandated by legislation. Also assesses what proportion of horizontal transfers (unconditional or conditional) to subnational governments from central government are determined by transparent and </w:t>
                            </w:r>
                            <w:proofErr w:type="gramStart"/>
                            <w:r w:rsidRPr="00DC2D55">
                              <w:rPr>
                                <w:rFonts w:ascii="Roboto" w:eastAsia="Calibri" w:hAnsi="Roboto" w:cs="Calibri"/>
                                <w:color w:val="404040" w:themeColor="text1" w:themeTint="BF"/>
                                <w:sz w:val="20"/>
                                <w:szCs w:val="20"/>
                              </w:rPr>
                              <w:t>rules based</w:t>
                            </w:r>
                            <w:proofErr w:type="gramEnd"/>
                            <w:r w:rsidRPr="00DC2D55">
                              <w:rPr>
                                <w:rFonts w:ascii="Roboto" w:eastAsia="Calibri" w:hAnsi="Roboto" w:cs="Calibri"/>
                                <w:color w:val="404040" w:themeColor="text1" w:themeTint="BF"/>
                                <w:sz w:val="20"/>
                                <w:szCs w:val="20"/>
                              </w:rPr>
                              <w:t xml:space="preserve"> systems. As part of its fiscal risk assessment, it also measures whether public corporations and subnational governments publish timely annual financial statements. </w:t>
                            </w:r>
                          </w:p>
                          <w:p w14:paraId="60BA47F0" w14:textId="77777777" w:rsidR="00D15FD8" w:rsidRPr="00DC2D55" w:rsidRDefault="00D15FD8" w:rsidP="002D14C0">
                            <w:pPr>
                              <w:suppressOverlap/>
                              <w:rPr>
                                <w:rFonts w:ascii="Roboto" w:eastAsia="Calibri" w:hAnsi="Roboto" w:cs="Calibri"/>
                                <w:color w:val="404040" w:themeColor="text1" w:themeTint="BF"/>
                                <w:sz w:val="20"/>
                                <w:szCs w:val="20"/>
                              </w:rPr>
                            </w:pPr>
                          </w:p>
                          <w:p w14:paraId="65669FFF" w14:textId="77777777" w:rsidR="00D15FD8" w:rsidRPr="00DC2D55" w:rsidRDefault="00D15FD8" w:rsidP="002D14C0">
                            <w:pPr>
                              <w:suppressOverlap/>
                              <w:rPr>
                                <w:rFonts w:ascii="Roboto" w:eastAsia="Calibri" w:hAnsi="Roboto" w:cs="Calibri"/>
                                <w:color w:val="404040" w:themeColor="text1" w:themeTint="BF"/>
                                <w:sz w:val="20"/>
                                <w:szCs w:val="20"/>
                              </w:rPr>
                            </w:pPr>
                            <w:r w:rsidRPr="00656D68">
                              <w:rPr>
                                <w:rFonts w:ascii="Roboto" w:eastAsia="Calibri" w:hAnsi="Roboto" w:cs="Calibri"/>
                                <w:b/>
                                <w:color w:val="1E9A8C"/>
                                <w:sz w:val="20"/>
                                <w:szCs w:val="20"/>
                              </w:rPr>
                              <w:t>IBP:</w:t>
                            </w:r>
                            <w:r w:rsidRPr="00656D68">
                              <w:rPr>
                                <w:rFonts w:ascii="Roboto" w:eastAsia="Calibri" w:hAnsi="Roboto" w:cs="Calibri"/>
                                <w:color w:val="1E9A8C"/>
                                <w:sz w:val="20"/>
                                <w:szCs w:val="20"/>
                              </w:rPr>
                              <w:t xml:space="preserve"> </w:t>
                            </w:r>
                            <w:hyperlink r:id="rId298" w:history="1">
                              <w:r w:rsidRPr="00656D68">
                                <w:rPr>
                                  <w:rStyle w:val="Hyperlink"/>
                                  <w:rFonts w:ascii="Roboto" w:eastAsia="Calibri" w:hAnsi="Roboto" w:cs="Calibri"/>
                                  <w:color w:val="F26C21"/>
                                  <w:sz w:val="20"/>
                                  <w:szCs w:val="20"/>
                                </w:rPr>
                                <w:t>Open Budget Survey</w:t>
                              </w:r>
                            </w:hyperlink>
                            <w:r w:rsidRPr="00656D68">
                              <w:rPr>
                                <w:rFonts w:ascii="Roboto" w:eastAsia="Calibri" w:hAnsi="Roboto" w:cs="Calibri"/>
                                <w:color w:val="F26C21"/>
                                <w:sz w:val="20"/>
                                <w:szCs w:val="20"/>
                              </w:rPr>
                              <w:t xml:space="preserve"> </w:t>
                            </w:r>
                            <w:r w:rsidRPr="00DC2D55">
                              <w:rPr>
                                <w:rFonts w:ascii="Roboto" w:eastAsia="Calibri" w:hAnsi="Roboto" w:cs="Calibri"/>
                                <w:color w:val="404040" w:themeColor="text1" w:themeTint="BF"/>
                                <w:sz w:val="20"/>
                                <w:szCs w:val="20"/>
                              </w:rPr>
                              <w:t xml:space="preserve">(OBS): Contains section on the powers and strength of the legislature. </w:t>
                            </w:r>
                          </w:p>
                          <w:p w14:paraId="2D14E35D" w14:textId="77777777" w:rsidR="00D15FD8" w:rsidRPr="00DC2D55"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A4B1B" id="Text Box 1940" o:spid="_x0000_s1172" type="#_x0000_t202" style="position:absolute;margin-left:1.25pt;margin-top:.8pt;width:694.3pt;height:187.45pt;z-index:253671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" filled="f" stroked="f" strokeweight=".5pt">
                <v:textbox>
                  <w:txbxContent>
                    <w:p w14:paraId="3236D3C3" w14:textId="77777777" w:rsidR="00D15FD8" w:rsidRPr="00DC2D55" w:rsidRDefault="00D15FD8" w:rsidP="002D14C0">
                      <w:pPr>
                        <w:spacing w:line="259" w:lineRule="auto"/>
                        <w:suppressOverlap/>
                        <w:rPr>
                          <w:rFonts w:ascii="Roboto" w:eastAsia="Calibri" w:hAnsi="Roboto" w:cs="Calibri"/>
                          <w:color w:val="404040" w:themeColor="text1" w:themeTint="BF"/>
                          <w:sz w:val="20"/>
                          <w:szCs w:val="20"/>
                        </w:rPr>
                      </w:pPr>
                      <w:r w:rsidRPr="00656D68">
                        <w:rPr>
                          <w:rFonts w:ascii="Roboto" w:eastAsia="Calibri" w:hAnsi="Roboto" w:cs="Calibri"/>
                          <w:b/>
                          <w:bCs/>
                          <w:color w:val="1E9A8C"/>
                          <w:sz w:val="20"/>
                          <w:szCs w:val="20"/>
                        </w:rPr>
                        <w:t>OECD</w:t>
                      </w:r>
                      <w:r w:rsidRPr="00656D68">
                        <w:rPr>
                          <w:rFonts w:ascii="Roboto" w:eastAsia="Calibri" w:hAnsi="Roboto" w:cs="Calibri"/>
                          <w:bCs/>
                          <w:color w:val="1E9A8C"/>
                          <w:sz w:val="20"/>
                          <w:szCs w:val="20"/>
                        </w:rPr>
                        <w:t xml:space="preserve">: </w:t>
                      </w:r>
                      <w:hyperlink r:id="rId299" w:history="1">
                        <w:r w:rsidRPr="00656D68">
                          <w:rPr>
                            <w:rStyle w:val="Hyperlink"/>
                            <w:rFonts w:ascii="Roboto" w:eastAsia="Calibri" w:hAnsi="Roboto" w:cs="Calibri"/>
                            <w:color w:val="F26C21"/>
                            <w:sz w:val="20"/>
                            <w:szCs w:val="20"/>
                          </w:rPr>
                          <w:t>Guidelines on Corporate Governance of State-Owned Enterprises</w:t>
                        </w:r>
                      </w:hyperlink>
                      <w:r w:rsidRPr="00DC2D55">
                        <w:rPr>
                          <w:rFonts w:ascii="Roboto" w:eastAsia="Calibri" w:hAnsi="Roboto" w:cs="Calibri"/>
                          <w:color w:val="404040" w:themeColor="text1" w:themeTint="BF"/>
                          <w:sz w:val="20"/>
                          <w:szCs w:val="20"/>
                        </w:rPr>
                        <w:t xml:space="preserve"> (2015): Detailed recommendations to governments on how to ensure that their commercial enterprises operate transparently and in an accountable manner, as well as efficiently. Of relevance in this context is transparency in the exercise of the government’s ownership functions, and transparency in imposing public service obligations on State-Owned Enterprises.  </w:t>
                      </w:r>
                    </w:p>
                    <w:p w14:paraId="7C669B7B" w14:textId="77777777" w:rsidR="00D15FD8" w:rsidRPr="00DC2D55" w:rsidRDefault="00D15FD8" w:rsidP="002D14C0">
                      <w:pPr>
                        <w:spacing w:line="259" w:lineRule="auto"/>
                        <w:suppressOverlap/>
                        <w:rPr>
                          <w:rFonts w:ascii="Roboto" w:eastAsia="Calibri" w:hAnsi="Roboto" w:cs="Calibri"/>
                          <w:color w:val="404040" w:themeColor="text1" w:themeTint="BF"/>
                          <w:sz w:val="20"/>
                          <w:szCs w:val="20"/>
                        </w:rPr>
                      </w:pPr>
                    </w:p>
                    <w:p w14:paraId="0767AE01" w14:textId="77777777" w:rsidR="00D15FD8" w:rsidRPr="00656D68" w:rsidRDefault="00D15FD8" w:rsidP="002D14C0">
                      <w:pPr>
                        <w:spacing w:line="259" w:lineRule="auto"/>
                        <w:suppressOverlap/>
                        <w:rPr>
                          <w:rFonts w:ascii="Roboto" w:eastAsia="Calibri" w:hAnsi="Roboto" w:cs="Calibri"/>
                          <w:b/>
                          <w:bCs/>
                          <w:color w:val="1E9A8C"/>
                          <w:sz w:val="20"/>
                          <w:szCs w:val="20"/>
                          <w:u w:val="single"/>
                        </w:rPr>
                      </w:pPr>
                      <w:r w:rsidRPr="00656D68">
                        <w:rPr>
                          <w:rFonts w:ascii="Roboto" w:eastAsia="Calibri" w:hAnsi="Roboto" w:cs="Calibri"/>
                          <w:b/>
                          <w:bCs/>
                          <w:color w:val="1E9A8C"/>
                          <w:sz w:val="20"/>
                          <w:szCs w:val="20"/>
                          <w:u w:val="single"/>
                        </w:rPr>
                        <w:t>Assessment frameworks:</w:t>
                      </w:r>
                    </w:p>
                    <w:p w14:paraId="2F8B1AA1" w14:textId="77777777" w:rsidR="00D15FD8" w:rsidRPr="00DC2D55" w:rsidRDefault="00D15FD8" w:rsidP="002D14C0">
                      <w:pPr>
                        <w:spacing w:line="259" w:lineRule="auto"/>
                        <w:suppressOverlap/>
                        <w:rPr>
                          <w:rFonts w:ascii="Roboto" w:eastAsia="Calibri" w:hAnsi="Roboto" w:cs="Calibri"/>
                          <w:b/>
                          <w:bCs/>
                          <w:color w:val="404040" w:themeColor="text1" w:themeTint="BF"/>
                          <w:sz w:val="20"/>
                          <w:szCs w:val="20"/>
                          <w:u w:val="single"/>
                        </w:rPr>
                      </w:pPr>
                    </w:p>
                    <w:p w14:paraId="06896A29" w14:textId="77777777" w:rsidR="00D15FD8" w:rsidRPr="00DC2D55" w:rsidRDefault="00D15FD8" w:rsidP="002D14C0">
                      <w:pPr>
                        <w:suppressOverlap/>
                        <w:rPr>
                          <w:rFonts w:ascii="Roboto" w:eastAsia="Calibri" w:hAnsi="Roboto" w:cs="Calibri"/>
                          <w:color w:val="404040" w:themeColor="text1" w:themeTint="BF"/>
                          <w:sz w:val="20"/>
                          <w:szCs w:val="20"/>
                        </w:rPr>
                      </w:pPr>
                      <w:r w:rsidRPr="00656D68">
                        <w:rPr>
                          <w:rFonts w:ascii="Roboto" w:eastAsia="Calibri" w:hAnsi="Roboto" w:cs="Calibri"/>
                          <w:b/>
                          <w:bCs/>
                          <w:color w:val="1E9A8C"/>
                          <w:sz w:val="20"/>
                          <w:szCs w:val="20"/>
                        </w:rPr>
                        <w:t xml:space="preserve">PEFA: </w:t>
                      </w:r>
                      <w:hyperlink r:id="rId300" w:history="1">
                        <w:r w:rsidRPr="00656D68">
                          <w:rPr>
                            <w:rStyle w:val="Hyperlink"/>
                            <w:rFonts w:ascii="Roboto" w:eastAsia="Calibri" w:hAnsi="Roboto" w:cs="Calibri"/>
                            <w:color w:val="F26C21"/>
                            <w:sz w:val="20"/>
                            <w:szCs w:val="20"/>
                          </w:rPr>
                          <w:t>Framework for assessing public financial management</w:t>
                        </w:r>
                      </w:hyperlink>
                      <w:r w:rsidRPr="00656D68">
                        <w:rPr>
                          <w:rFonts w:ascii="Roboto" w:eastAsia="Calibri" w:hAnsi="Roboto" w:cs="Calibri"/>
                          <w:color w:val="F26C21"/>
                          <w:sz w:val="20"/>
                          <w:szCs w:val="20"/>
                        </w:rPr>
                        <w:t xml:space="preserve"> </w:t>
                      </w:r>
                      <w:r w:rsidRPr="00DC2D55">
                        <w:rPr>
                          <w:rFonts w:ascii="Roboto" w:eastAsia="Calibri" w:hAnsi="Roboto" w:cs="Calibri"/>
                          <w:color w:val="404040" w:themeColor="text1" w:themeTint="BF"/>
                          <w:sz w:val="20"/>
                          <w:szCs w:val="20"/>
                        </w:rPr>
                        <w:t xml:space="preserve">(2016): Assesses extent to which legislature’s procedures to review budget proposals are established and adhered to, and whether they are established and mandated by legislation. Also assesses what proportion of horizontal transfers (unconditional or conditional) to subnational governments from central government are determined by transparent and </w:t>
                      </w:r>
                      <w:proofErr w:type="gramStart"/>
                      <w:r w:rsidRPr="00DC2D55">
                        <w:rPr>
                          <w:rFonts w:ascii="Roboto" w:eastAsia="Calibri" w:hAnsi="Roboto" w:cs="Calibri"/>
                          <w:color w:val="404040" w:themeColor="text1" w:themeTint="BF"/>
                          <w:sz w:val="20"/>
                          <w:szCs w:val="20"/>
                        </w:rPr>
                        <w:t>rules based</w:t>
                      </w:r>
                      <w:proofErr w:type="gramEnd"/>
                      <w:r w:rsidRPr="00DC2D55">
                        <w:rPr>
                          <w:rFonts w:ascii="Roboto" w:eastAsia="Calibri" w:hAnsi="Roboto" w:cs="Calibri"/>
                          <w:color w:val="404040" w:themeColor="text1" w:themeTint="BF"/>
                          <w:sz w:val="20"/>
                          <w:szCs w:val="20"/>
                        </w:rPr>
                        <w:t xml:space="preserve"> systems. As part of its fiscal risk assessment, it also measures whether public corporations and subnational governments publish timely annual financial statements. </w:t>
                      </w:r>
                    </w:p>
                    <w:p w14:paraId="60BA47F0" w14:textId="77777777" w:rsidR="00D15FD8" w:rsidRPr="00DC2D55" w:rsidRDefault="00D15FD8" w:rsidP="002D14C0">
                      <w:pPr>
                        <w:suppressOverlap/>
                        <w:rPr>
                          <w:rFonts w:ascii="Roboto" w:eastAsia="Calibri" w:hAnsi="Roboto" w:cs="Calibri"/>
                          <w:color w:val="404040" w:themeColor="text1" w:themeTint="BF"/>
                          <w:sz w:val="20"/>
                          <w:szCs w:val="20"/>
                        </w:rPr>
                      </w:pPr>
                    </w:p>
                    <w:p w14:paraId="65669FFF" w14:textId="77777777" w:rsidR="00D15FD8" w:rsidRPr="00DC2D55" w:rsidRDefault="00D15FD8" w:rsidP="002D14C0">
                      <w:pPr>
                        <w:suppressOverlap/>
                        <w:rPr>
                          <w:rFonts w:ascii="Roboto" w:eastAsia="Calibri" w:hAnsi="Roboto" w:cs="Calibri"/>
                          <w:color w:val="404040" w:themeColor="text1" w:themeTint="BF"/>
                          <w:sz w:val="20"/>
                          <w:szCs w:val="20"/>
                        </w:rPr>
                      </w:pPr>
                      <w:r w:rsidRPr="00656D68">
                        <w:rPr>
                          <w:rFonts w:ascii="Roboto" w:eastAsia="Calibri" w:hAnsi="Roboto" w:cs="Calibri"/>
                          <w:b/>
                          <w:color w:val="1E9A8C"/>
                          <w:sz w:val="20"/>
                          <w:szCs w:val="20"/>
                        </w:rPr>
                        <w:t>IBP:</w:t>
                      </w:r>
                      <w:r w:rsidRPr="00656D68">
                        <w:rPr>
                          <w:rFonts w:ascii="Roboto" w:eastAsia="Calibri" w:hAnsi="Roboto" w:cs="Calibri"/>
                          <w:color w:val="1E9A8C"/>
                          <w:sz w:val="20"/>
                          <w:szCs w:val="20"/>
                        </w:rPr>
                        <w:t xml:space="preserve"> </w:t>
                      </w:r>
                      <w:hyperlink r:id="rId301" w:history="1">
                        <w:r w:rsidRPr="00656D68">
                          <w:rPr>
                            <w:rStyle w:val="Hyperlink"/>
                            <w:rFonts w:ascii="Roboto" w:eastAsia="Calibri" w:hAnsi="Roboto" w:cs="Calibri"/>
                            <w:color w:val="F26C21"/>
                            <w:sz w:val="20"/>
                            <w:szCs w:val="20"/>
                          </w:rPr>
                          <w:t>Open Budget Survey</w:t>
                        </w:r>
                      </w:hyperlink>
                      <w:r w:rsidRPr="00656D68">
                        <w:rPr>
                          <w:rFonts w:ascii="Roboto" w:eastAsia="Calibri" w:hAnsi="Roboto" w:cs="Calibri"/>
                          <w:color w:val="F26C21"/>
                          <w:sz w:val="20"/>
                          <w:szCs w:val="20"/>
                        </w:rPr>
                        <w:t xml:space="preserve"> </w:t>
                      </w:r>
                      <w:r w:rsidRPr="00DC2D55">
                        <w:rPr>
                          <w:rFonts w:ascii="Roboto" w:eastAsia="Calibri" w:hAnsi="Roboto" w:cs="Calibri"/>
                          <w:color w:val="404040" w:themeColor="text1" w:themeTint="BF"/>
                          <w:sz w:val="20"/>
                          <w:szCs w:val="20"/>
                        </w:rPr>
                        <w:t xml:space="preserve">(OBS): Contains section on the powers and strength of the legislature. </w:t>
                      </w:r>
                    </w:p>
                    <w:p w14:paraId="2D14E35D" w14:textId="77777777" w:rsidR="00D15FD8" w:rsidRPr="00DC2D55" w:rsidRDefault="00D15FD8" w:rsidP="002D14C0">
                      <w:pPr>
                        <w:rPr>
                          <w:rFonts w:ascii="Roboto" w:hAnsi="Roboto"/>
                          <w:sz w:val="20"/>
                          <w:szCs w:val="20"/>
                        </w:rPr>
                      </w:pPr>
                    </w:p>
                  </w:txbxContent>
                </v:textbox>
                <w10:wrap anchorx="margin"/>
              </v:shape>
            </w:pict>
          </mc:Fallback>
        </mc:AlternateContent>
      </w:r>
    </w:p>
    <w:p w14:paraId="12E9E46D" w14:textId="0F73161A" w:rsidR="00203FAB" w:rsidRPr="00656D68" w:rsidRDefault="00203FAB" w:rsidP="002D14C0">
      <w:pPr>
        <w:rPr>
          <w:rFonts w:ascii="Roboto" w:hAnsi="Roboto"/>
        </w:rPr>
      </w:pPr>
    </w:p>
    <w:p w14:paraId="31ECE88A" w14:textId="77777777" w:rsidR="00203FAB" w:rsidRPr="00656D68" w:rsidRDefault="00203FAB" w:rsidP="002D14C0">
      <w:pPr>
        <w:rPr>
          <w:rFonts w:ascii="Roboto" w:hAnsi="Roboto"/>
        </w:rPr>
      </w:pPr>
    </w:p>
    <w:p w14:paraId="68A1BFC9" w14:textId="56C3B968" w:rsidR="00203FAB" w:rsidRPr="00656D68" w:rsidRDefault="00203FAB" w:rsidP="002D14C0">
      <w:pPr>
        <w:rPr>
          <w:rFonts w:ascii="Roboto" w:hAnsi="Roboto"/>
        </w:rPr>
      </w:pPr>
    </w:p>
    <w:p w14:paraId="20477111" w14:textId="55EC1408" w:rsidR="00203FAB" w:rsidRPr="00656D68" w:rsidRDefault="00203FAB" w:rsidP="002D14C0">
      <w:pPr>
        <w:rPr>
          <w:rFonts w:ascii="Roboto" w:hAnsi="Roboto"/>
        </w:rPr>
      </w:pPr>
    </w:p>
    <w:p w14:paraId="6FC953FE" w14:textId="0C635728" w:rsidR="00203FAB" w:rsidRPr="00656D68" w:rsidRDefault="00203FAB" w:rsidP="002D14C0">
      <w:pPr>
        <w:rPr>
          <w:rFonts w:ascii="Roboto" w:hAnsi="Roboto"/>
        </w:rPr>
      </w:pPr>
    </w:p>
    <w:p w14:paraId="19A827AB" w14:textId="30A6BF8E" w:rsidR="00203FAB" w:rsidRPr="00656D68" w:rsidRDefault="00203FAB" w:rsidP="002D14C0">
      <w:pPr>
        <w:rPr>
          <w:rFonts w:ascii="Roboto" w:hAnsi="Roboto"/>
        </w:rPr>
      </w:pPr>
    </w:p>
    <w:p w14:paraId="63069047" w14:textId="7015C9DE" w:rsidR="00203FAB" w:rsidRPr="00656D68" w:rsidRDefault="00203FAB" w:rsidP="002D14C0">
      <w:pPr>
        <w:rPr>
          <w:rFonts w:ascii="Roboto" w:hAnsi="Roboto"/>
        </w:rPr>
      </w:pPr>
    </w:p>
    <w:p w14:paraId="0DD9E6BD" w14:textId="61D73986" w:rsidR="00203FAB" w:rsidRPr="00656D68" w:rsidRDefault="00203FAB" w:rsidP="002D14C0">
      <w:pPr>
        <w:rPr>
          <w:rFonts w:ascii="Roboto" w:hAnsi="Roboto"/>
        </w:rPr>
      </w:pPr>
    </w:p>
    <w:p w14:paraId="7B758632" w14:textId="45AED5CF" w:rsidR="00203FAB" w:rsidRPr="00656D68" w:rsidRDefault="00203FAB" w:rsidP="002D14C0">
      <w:pPr>
        <w:rPr>
          <w:rFonts w:ascii="Roboto" w:hAnsi="Roboto"/>
        </w:rPr>
      </w:pPr>
    </w:p>
    <w:p w14:paraId="66AA2C70" w14:textId="1AD6F964" w:rsidR="00203FAB" w:rsidRPr="00656D68" w:rsidRDefault="00203FAB" w:rsidP="002D14C0">
      <w:pPr>
        <w:rPr>
          <w:rFonts w:ascii="Roboto" w:hAnsi="Roboto"/>
        </w:rPr>
      </w:pPr>
    </w:p>
    <w:p w14:paraId="2977C3B1" w14:textId="21F931A3" w:rsidR="00203FAB" w:rsidRPr="00656D68" w:rsidRDefault="00203FAB" w:rsidP="002D14C0">
      <w:pPr>
        <w:rPr>
          <w:rFonts w:ascii="Roboto" w:hAnsi="Roboto"/>
        </w:rPr>
      </w:pPr>
    </w:p>
    <w:p w14:paraId="729B3291" w14:textId="6FF205AA" w:rsidR="00203FAB" w:rsidRPr="00656D68"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78430" behindDoc="0" locked="0" layoutInCell="1" allowOverlap="1" wp14:anchorId="765711E9" wp14:editId="3B2D0108">
                <wp:simplePos x="0" y="0"/>
                <wp:positionH relativeFrom="column">
                  <wp:posOffset>-3610610</wp:posOffset>
                </wp:positionH>
                <wp:positionV relativeFrom="paragraph">
                  <wp:posOffset>455295</wp:posOffset>
                </wp:positionV>
                <wp:extent cx="5976620" cy="252095"/>
                <wp:effectExtent l="0" t="0" r="0" b="0"/>
                <wp:wrapNone/>
                <wp:docPr id="216" name="Text Box 216"/>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11AA926F" w14:textId="6DB39A8A"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5711E9" id="Text Box 216" o:spid="_x0000_s1173" type="#_x0000_t202" style="position:absolute;margin-left:-284.3pt;margin-top:35.85pt;width:470.6pt;height:19.85pt;rotation:90;z-index:2553784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" filled="f" stroked="f" strokeweight=".5pt">
                <v:textbox>
                  <w:txbxContent>
                    <w:p w14:paraId="11AA926F" w14:textId="6DB39A8A"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43</w:t>
                      </w:r>
                    </w:p>
                  </w:txbxContent>
                </v:textbox>
              </v:shape>
            </w:pict>
          </mc:Fallback>
        </mc:AlternateContent>
      </w:r>
    </w:p>
    <w:p w14:paraId="46EFD9A4" w14:textId="0F059958" w:rsidR="00203FAB" w:rsidRPr="00656D68" w:rsidRDefault="00203FAB" w:rsidP="002D14C0">
      <w:pPr>
        <w:rPr>
          <w:rFonts w:ascii="Roboto" w:hAnsi="Roboto"/>
        </w:rPr>
      </w:pPr>
    </w:p>
    <w:p w14:paraId="7A7D30E1" w14:textId="0E352C7F" w:rsidR="00203FAB" w:rsidRDefault="00F97CAF" w:rsidP="002D14C0">
      <w:pPr>
        <w:tabs>
          <w:tab w:val="left" w:pos="3940"/>
        </w:tabs>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77406" behindDoc="0" locked="0" layoutInCell="1" allowOverlap="1" wp14:anchorId="1068D199" wp14:editId="7208B7AA">
                <wp:simplePos x="0" y="0"/>
                <wp:positionH relativeFrom="column">
                  <wp:posOffset>6517640</wp:posOffset>
                </wp:positionH>
                <wp:positionV relativeFrom="paragraph">
                  <wp:posOffset>132080</wp:posOffset>
                </wp:positionV>
                <wp:extent cx="5976620" cy="252095"/>
                <wp:effectExtent l="4762" t="0" r="0" b="0"/>
                <wp:wrapNone/>
                <wp:docPr id="212" name="Text Box 212"/>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6E8F0D37" w14:textId="0723D93B"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296112516"/>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00FAE0A2"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68D199" id="Text Box 212" o:spid="_x0000_s1174" type="#_x0000_t202" style="position:absolute;margin-left:513.2pt;margin-top:10.4pt;width:470.6pt;height:19.85pt;rotation:90;z-index:25537740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" fillcolor="white [3201]" stroked="f" strokeweight=".5pt">
                <v:textbox>
                  <w:txbxContent>
                    <w:p w14:paraId="6E8F0D37" w14:textId="0723D93B"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296112516"/>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00FAE0A2" w14:textId="77777777" w:rsidR="00D15FD8" w:rsidRDefault="00D15FD8" w:rsidP="003D7CCB"/>
                  </w:txbxContent>
                </v:textbox>
              </v:shape>
            </w:pict>
          </mc:Fallback>
        </mc:AlternateContent>
      </w:r>
      <w:r w:rsidR="00203FAB">
        <w:rPr>
          <w:rFonts w:ascii="Roboto" w:hAnsi="Roboto"/>
        </w:rPr>
        <w:tab/>
      </w:r>
    </w:p>
    <w:p w14:paraId="2FC932CE" w14:textId="55EE8744" w:rsidR="00203FAB" w:rsidRDefault="00203FAB" w:rsidP="002D14C0">
      <w:pPr>
        <w:tabs>
          <w:tab w:val="left" w:pos="3940"/>
        </w:tabs>
        <w:rPr>
          <w:rFonts w:ascii="Roboto" w:hAnsi="Roboto"/>
        </w:rPr>
      </w:pPr>
    </w:p>
    <w:p w14:paraId="54AEE778" w14:textId="79DBDEA8"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89022" behindDoc="0" locked="0" layoutInCell="1" allowOverlap="1" wp14:anchorId="563A715C" wp14:editId="42CF5800">
                <wp:simplePos x="0" y="0"/>
                <wp:positionH relativeFrom="column">
                  <wp:posOffset>5477510</wp:posOffset>
                </wp:positionH>
                <wp:positionV relativeFrom="paragraph">
                  <wp:posOffset>3000375</wp:posOffset>
                </wp:positionV>
                <wp:extent cx="3878317" cy="268014"/>
                <wp:effectExtent l="0" t="0" r="0" b="0"/>
                <wp:wrapNone/>
                <wp:docPr id="403" name="Rectangle 403"/>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46A4AF57" id="Rectangle 403" o:spid="_x0000_s1026" style="position:absolute;margin-left:431.3pt;margin-top:236.25pt;width:305.4pt;height:21.1pt;z-index:2554890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" fillcolor="white [3212]" stroked="f" strokeweight="1pt"/>
            </w:pict>
          </mc:Fallback>
        </mc:AlternateContent>
      </w:r>
      <w:r w:rsidR="00CC3EBD">
        <w:rPr>
          <w:rFonts w:ascii="Roboto" w:hAnsi="Roboto"/>
        </w:rPr>
        <w:br w:type="page"/>
      </w:r>
      <w:r w:rsidR="00783364">
        <w:rPr>
          <w:rFonts w:ascii="Arial" w:hAnsi="Arial" w:cs="Arial"/>
          <w:noProof/>
          <w:sz w:val="24"/>
          <w:szCs w:val="24"/>
          <w:lang w:val="en-US"/>
        </w:rPr>
        <mc:AlternateContent>
          <mc:Choice Requires="wps">
            <w:drawing>
              <wp:anchor distT="0" distB="0" distL="114300" distR="114300" simplePos="0" relativeHeight="254754814" behindDoc="1" locked="0" layoutInCell="1" allowOverlap="1" wp14:anchorId="4B0D7FB2" wp14:editId="32BCCB9C">
                <wp:simplePos x="0" y="0"/>
                <wp:positionH relativeFrom="margin">
                  <wp:align>center</wp:align>
                </wp:positionH>
                <wp:positionV relativeFrom="margin">
                  <wp:align>center</wp:align>
                </wp:positionV>
                <wp:extent cx="9856189" cy="5972400"/>
                <wp:effectExtent l="12700" t="12700" r="12065" b="9525"/>
                <wp:wrapNone/>
                <wp:docPr id="2611" name="Rectangle 2611"/>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420B881D" id="Rectangle 2611" o:spid="_x0000_s1026" style="position:absolute;margin-left:0;margin-top:0;width:776.1pt;height:470.25pt;z-index:-24856166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" fillcolor="#f2f2f2 [3052]" strokecolor="#16988a" strokeweight="1.5pt">
                <w10:wrap anchorx="margin" anchory="margin"/>
              </v:rect>
            </w:pict>
          </mc:Fallback>
        </mc:AlternateContent>
      </w:r>
    </w:p>
    <w:p w14:paraId="71973D52" w14:textId="7B9FD0FE" w:rsidR="00203FAB" w:rsidRPr="00656D68" w:rsidRDefault="009918CC" w:rsidP="002D14C0">
      <w:pPr>
        <w:tabs>
          <w:tab w:val="left" w:pos="3940"/>
        </w:tabs>
        <w:rPr>
          <w:rFonts w:ascii="Roboto" w:hAnsi="Roboto"/>
        </w:rPr>
      </w:pPr>
      <w:r>
        <w:rPr>
          <w:rFonts w:ascii="Roboto" w:hAnsi="Roboto"/>
          <w:noProof/>
          <w:lang w:val="en-US"/>
        </w:rPr>
        <w:lastRenderedPageBreak/>
        <mc:AlternateContent>
          <mc:Choice Requires="wps">
            <w:drawing>
              <wp:anchor distT="0" distB="0" distL="114300" distR="114300" simplePos="0" relativeHeight="255491070" behindDoc="0" locked="0" layoutInCell="1" allowOverlap="1" wp14:anchorId="08E94E7D" wp14:editId="261CD54B">
                <wp:simplePos x="0" y="0"/>
                <wp:positionH relativeFrom="column">
                  <wp:posOffset>-378986</wp:posOffset>
                </wp:positionH>
                <wp:positionV relativeFrom="paragraph">
                  <wp:posOffset>-489060</wp:posOffset>
                </wp:positionV>
                <wp:extent cx="3878317" cy="268014"/>
                <wp:effectExtent l="0" t="0" r="0" b="0"/>
                <wp:wrapNone/>
                <wp:docPr id="407" name="Rectangle 407"/>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3AC09C9C" id="Rectangle 407" o:spid="_x0000_s1026" style="position:absolute;margin-left:-29.85pt;margin-top:-38.5pt;width:305.4pt;height:21.1pt;z-index:2554910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" fillcolor="white [3212]" stroked="f" strokeweight="1pt"/>
            </w:pict>
          </mc:Fallback>
        </mc:AlternateContent>
      </w:r>
      <w:r w:rsidR="00FB0BA4">
        <w:rPr>
          <w:rFonts w:ascii="Roboto" w:hAnsi="Roboto"/>
          <w:noProof/>
          <w:lang w:val="en-US"/>
        </w:rPr>
        <w:drawing>
          <wp:anchor distT="0" distB="0" distL="114300" distR="114300" simplePos="0" relativeHeight="254757886" behindDoc="1" locked="0" layoutInCell="1" allowOverlap="1" wp14:anchorId="6A17D3AC" wp14:editId="2585276E">
            <wp:simplePos x="0" y="0"/>
            <wp:positionH relativeFrom="column">
              <wp:posOffset>0</wp:posOffset>
            </wp:positionH>
            <wp:positionV relativeFrom="paragraph">
              <wp:posOffset>182245</wp:posOffset>
            </wp:positionV>
            <wp:extent cx="3062161" cy="612000"/>
            <wp:effectExtent l="0" t="0" r="0" b="0"/>
            <wp:wrapTight wrapText="bothSides">
              <wp:wrapPolygon edited="0">
                <wp:start x="1613" y="1346"/>
                <wp:lineTo x="1075" y="3589"/>
                <wp:lineTo x="358" y="7626"/>
                <wp:lineTo x="358" y="11215"/>
                <wp:lineTo x="717" y="16598"/>
                <wp:lineTo x="1523" y="18841"/>
                <wp:lineTo x="1702" y="19738"/>
                <wp:lineTo x="20516" y="19738"/>
                <wp:lineTo x="20606" y="18841"/>
                <wp:lineTo x="21054" y="16598"/>
                <wp:lineTo x="21322" y="3140"/>
                <wp:lineTo x="19710" y="2692"/>
                <wp:lineTo x="2688" y="1346"/>
                <wp:lineTo x="1613" y="1346"/>
              </wp:wrapPolygon>
            </wp:wrapTight>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8_Icon_titles_quarterof1920-01.png"/>
                    <pic:cNvPicPr/>
                  </pic:nvPicPr>
                  <pic:blipFill>
                    <a:blip r:embed="rId302" cstate="email">
                      <a:extLst>
                        <a:ext uri="{28A0092B-C50C-407E-A947-70E740481C1C}">
                          <a14:useLocalDpi xmlns:a14="http://schemas.microsoft.com/office/drawing/2010/main"/>
                        </a:ext>
                      </a:extLst>
                    </a:blip>
                    <a:stretch>
                      <a:fillRect/>
                    </a:stretch>
                  </pic:blipFill>
                  <pic:spPr>
                    <a:xfrm>
                      <a:off x="0" y="0"/>
                      <a:ext cx="3062161" cy="612000"/>
                    </a:xfrm>
                    <a:prstGeom prst="rect">
                      <a:avLst/>
                    </a:prstGeom>
                  </pic:spPr>
                </pic:pic>
              </a:graphicData>
            </a:graphic>
            <wp14:sizeRelH relativeFrom="page">
              <wp14:pctWidth>0</wp14:pctWidth>
            </wp14:sizeRelH>
            <wp14:sizeRelV relativeFrom="page">
              <wp14:pctHeight>0</wp14:pctHeight>
            </wp14:sizeRelV>
          </wp:anchor>
        </w:drawing>
      </w:r>
      <w:r w:rsidR="00783364">
        <w:rPr>
          <w:rFonts w:ascii="Arial" w:hAnsi="Arial" w:cs="Arial"/>
          <w:noProof/>
          <w:sz w:val="24"/>
          <w:szCs w:val="24"/>
          <w:lang w:val="en-US"/>
        </w:rPr>
        <mc:AlternateContent>
          <mc:Choice Requires="wps">
            <w:drawing>
              <wp:anchor distT="0" distB="0" distL="114300" distR="114300" simplePos="0" relativeHeight="254756862" behindDoc="1" locked="0" layoutInCell="1" allowOverlap="1" wp14:anchorId="717D4E4E" wp14:editId="00467CC2">
                <wp:simplePos x="0" y="0"/>
                <wp:positionH relativeFrom="margin">
                  <wp:align>center</wp:align>
                </wp:positionH>
                <wp:positionV relativeFrom="margin">
                  <wp:align>center</wp:align>
                </wp:positionV>
                <wp:extent cx="9856189" cy="5972400"/>
                <wp:effectExtent l="12700" t="12700" r="12065" b="9525"/>
                <wp:wrapNone/>
                <wp:docPr id="2612" name="Rectangle 2612"/>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175EE"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D4E4E" id="Rectangle 2612" o:spid="_x0000_s1175" style="position:absolute;margin-left:0;margin-top:0;width:776.1pt;height:470.25pt;z-index:-24855961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" fillcolor="#f2f2f2 [3052]" strokecolor="#16988a" strokeweight="1.5pt">
                <v:textbox>
                  <w:txbxContent>
                    <w:p w14:paraId="0CD175EE" w14:textId="77777777" w:rsidR="00D15FD8" w:rsidRPr="003625BA" w:rsidRDefault="00D15FD8" w:rsidP="003625BA">
                      <w:pPr>
                        <w:jc w:val="center"/>
                        <w:rPr>
                          <w:lang w:val="en-US"/>
                        </w:rPr>
                      </w:pPr>
                    </w:p>
                  </w:txbxContent>
                </v:textbox>
                <w10:wrap anchorx="margin" anchory="margin"/>
              </v:rect>
            </w:pict>
          </mc:Fallback>
        </mc:AlternateContent>
      </w:r>
    </w:p>
    <w:p w14:paraId="5218601C" w14:textId="3C24F2AE" w:rsidR="00203FAB" w:rsidRDefault="00203FAB" w:rsidP="002D14C0">
      <w:pPr>
        <w:rPr>
          <w:rFonts w:ascii="Roboto" w:hAnsi="Roboto"/>
        </w:rPr>
      </w:pPr>
    </w:p>
    <w:p w14:paraId="0C2BEC9D" w14:textId="0C41A656" w:rsidR="00203FAB" w:rsidRPr="00656D68" w:rsidRDefault="00203FAB" w:rsidP="002D14C0">
      <w:pPr>
        <w:rPr>
          <w:rFonts w:ascii="Roboto" w:hAnsi="Roboto"/>
        </w:rPr>
      </w:pPr>
    </w:p>
    <w:p w14:paraId="0C20FFBB" w14:textId="11E1465C" w:rsidR="00203FAB" w:rsidRPr="00656D68" w:rsidRDefault="00203FAB" w:rsidP="002D14C0">
      <w:pPr>
        <w:rPr>
          <w:rFonts w:ascii="Roboto" w:hAnsi="Roboto"/>
        </w:rPr>
      </w:pPr>
    </w:p>
    <w:p w14:paraId="68FF615A" w14:textId="2D6C2000" w:rsidR="00203FAB" w:rsidRPr="00656D68" w:rsidRDefault="00FB0BA4" w:rsidP="002D14C0">
      <w:pPr>
        <w:rPr>
          <w:rFonts w:ascii="Roboto" w:hAnsi="Roboto"/>
        </w:rPr>
      </w:pPr>
      <w:r w:rsidRPr="00656D68">
        <w:rPr>
          <w:rFonts w:ascii="Roboto" w:hAnsi="Roboto"/>
          <w:noProof/>
          <w:lang w:val="en-US"/>
        </w:rPr>
        <mc:AlternateContent>
          <mc:Choice Requires="wps">
            <w:drawing>
              <wp:anchor distT="0" distB="0" distL="114300" distR="114300" simplePos="0" relativeHeight="253675518" behindDoc="0" locked="0" layoutInCell="1" allowOverlap="1" wp14:anchorId="0A170ADF" wp14:editId="62D1DA38">
                <wp:simplePos x="0" y="0"/>
                <wp:positionH relativeFrom="margin">
                  <wp:posOffset>95250</wp:posOffset>
                </wp:positionH>
                <wp:positionV relativeFrom="paragraph">
                  <wp:posOffset>126365</wp:posOffset>
                </wp:positionV>
                <wp:extent cx="8672195" cy="803275"/>
                <wp:effectExtent l="0" t="0" r="0" b="0"/>
                <wp:wrapNone/>
                <wp:docPr id="1941" name="Text Box 1941"/>
                <wp:cNvGraphicFramePr/>
                <a:graphic xmlns:a="http://schemas.openxmlformats.org/drawingml/2006/main">
                  <a:graphicData uri="http://schemas.microsoft.com/office/word/2010/wordprocessingShape">
                    <wps:wsp>
                      <wps:cNvSpPr txBox="1"/>
                      <wps:spPr>
                        <a:xfrm>
                          <a:off x="0" y="0"/>
                          <a:ext cx="8672195" cy="80327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17A55A7C" w14:textId="77777777" w:rsidR="00D15FD8" w:rsidRPr="007867F2" w:rsidRDefault="00D15FD8" w:rsidP="002D14C0">
                            <w:pPr>
                              <w:spacing w:line="360" w:lineRule="auto"/>
                              <w:rPr>
                                <w:sz w:val="20"/>
                                <w:szCs w:val="20"/>
                              </w:rPr>
                            </w:pPr>
                            <w:r w:rsidRPr="00656D68">
                              <w:rPr>
                                <w:rFonts w:ascii="Roboto" w:hAnsi="Roboto"/>
                                <w:b/>
                                <w:color w:val="F26C21"/>
                                <w:sz w:val="20"/>
                                <w:szCs w:val="20"/>
                              </w:rPr>
                              <w:t>The authority to raise taxes and incur expenditure on behalf of the public should be vested in the legislature. No government revenue should be raised or expenditure incurred or committed without the approval of the legislature through the budget or other legislation. The legislature should be provided with the authority, resources, and information required to effectively hold the executive to account for the use of public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70ADF" id="Text Box 1941" o:spid="_x0000_s1176" type="#_x0000_t202" style="position:absolute;margin-left:7.5pt;margin-top:9.95pt;width:682.85pt;height:63.25pt;z-index:2536755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" filled="f" stroked="f" strokeweight="1pt">
                <v:textbox>
                  <w:txbxContent>
                    <w:p w14:paraId="17A55A7C" w14:textId="77777777" w:rsidR="00D15FD8" w:rsidRPr="007867F2" w:rsidRDefault="00D15FD8" w:rsidP="002D14C0">
                      <w:pPr>
                        <w:spacing w:line="360" w:lineRule="auto"/>
                        <w:rPr>
                          <w:sz w:val="20"/>
                          <w:szCs w:val="20"/>
                        </w:rPr>
                      </w:pPr>
                      <w:r w:rsidRPr="00656D68">
                        <w:rPr>
                          <w:rFonts w:ascii="Roboto" w:hAnsi="Roboto"/>
                          <w:b/>
                          <w:color w:val="F26C21"/>
                          <w:sz w:val="20"/>
                          <w:szCs w:val="20"/>
                        </w:rPr>
                        <w:t>The authority to raise taxes and incur expenditure on behalf of the public should be vested in the legislature. No government revenue should be raised or expenditure incurred or committed without the approval of the legislature through the budget or other legislation. The legislature should be provided with the authority, resources, and information required to effectively hold the executive to account for the use of public resources.</w:t>
                      </w:r>
                    </w:p>
                  </w:txbxContent>
                </v:textbox>
                <w10:wrap anchorx="margin"/>
              </v:shape>
            </w:pict>
          </mc:Fallback>
        </mc:AlternateContent>
      </w:r>
      <w:r w:rsidR="00E35CE5" w:rsidRPr="00656D68">
        <w:rPr>
          <w:rFonts w:ascii="Roboto" w:hAnsi="Roboto"/>
          <w:noProof/>
          <w:lang w:val="en-US"/>
        </w:rPr>
        <mc:AlternateContent>
          <mc:Choice Requires="wps">
            <w:drawing>
              <wp:anchor distT="0" distB="0" distL="114300" distR="114300" simplePos="0" relativeHeight="253674494" behindDoc="0" locked="0" layoutInCell="1" allowOverlap="1" wp14:anchorId="38F83FA2" wp14:editId="58E31A9B">
                <wp:simplePos x="0" y="0"/>
                <wp:positionH relativeFrom="margin">
                  <wp:posOffset>-635</wp:posOffset>
                </wp:positionH>
                <wp:positionV relativeFrom="paragraph">
                  <wp:posOffset>120015</wp:posOffset>
                </wp:positionV>
                <wp:extent cx="8847455" cy="789305"/>
                <wp:effectExtent l="0" t="0" r="17145" b="10795"/>
                <wp:wrapNone/>
                <wp:docPr id="1942" name="Rounded Rectangle 1942"/>
                <wp:cNvGraphicFramePr/>
                <a:graphic xmlns:a="http://schemas.openxmlformats.org/drawingml/2006/main">
                  <a:graphicData uri="http://schemas.microsoft.com/office/word/2010/wordprocessingShape">
                    <wps:wsp>
                      <wps:cNvSpPr/>
                      <wps:spPr>
                        <a:xfrm>
                          <a:off x="0" y="0"/>
                          <a:ext cx="8847455" cy="789305"/>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6FC44EB0" id="Rounded Rectangle 1942" o:spid="_x0000_s1026" style="position:absolute;margin-left:-.05pt;margin-top:9.45pt;width:696.65pt;height:62.15pt;z-index:25367449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" filled="f" strokecolor="#f26c21" strokeweight="1pt">
                <v:stroke joinstyle="miter"/>
                <w10:wrap anchorx="margin"/>
              </v:roundrect>
            </w:pict>
          </mc:Fallback>
        </mc:AlternateContent>
      </w:r>
    </w:p>
    <w:p w14:paraId="2846B148" w14:textId="3DD87F3E" w:rsidR="00203FAB" w:rsidRDefault="00203FAB" w:rsidP="002D14C0">
      <w:pPr>
        <w:rPr>
          <w:rFonts w:ascii="Roboto" w:hAnsi="Roboto"/>
        </w:rPr>
      </w:pPr>
      <w:r>
        <w:rPr>
          <w:rFonts w:ascii="Roboto" w:hAnsi="Roboto"/>
        </w:rPr>
        <w:tab/>
      </w:r>
    </w:p>
    <w:p w14:paraId="3B0BED1A" w14:textId="7E99B3CE" w:rsidR="00203FAB" w:rsidRDefault="00203FAB" w:rsidP="002D14C0">
      <w:pPr>
        <w:rPr>
          <w:rFonts w:ascii="Roboto" w:hAnsi="Roboto"/>
        </w:rPr>
      </w:pPr>
    </w:p>
    <w:p w14:paraId="5393BF08" w14:textId="2A9795AE" w:rsidR="00203FAB" w:rsidRPr="00656D68" w:rsidRDefault="00203FAB" w:rsidP="002D14C0">
      <w:pPr>
        <w:rPr>
          <w:rFonts w:ascii="Roboto" w:hAnsi="Roboto"/>
        </w:rPr>
      </w:pPr>
    </w:p>
    <w:p w14:paraId="661485C6" w14:textId="74EC5AF9" w:rsidR="00203FAB" w:rsidRPr="00656D68" w:rsidRDefault="00203FAB" w:rsidP="002D14C0">
      <w:pPr>
        <w:rPr>
          <w:rFonts w:ascii="Roboto" w:hAnsi="Roboto"/>
        </w:rPr>
      </w:pPr>
    </w:p>
    <w:p w14:paraId="3C5CDE0A" w14:textId="6BBA9492" w:rsidR="00203FAB" w:rsidRPr="00656D68" w:rsidRDefault="00F97CAF" w:rsidP="002D14C0">
      <w:pPr>
        <w:rPr>
          <w:rFonts w:ascii="Roboto" w:hAnsi="Roboto"/>
        </w:rPr>
      </w:pPr>
      <w:r w:rsidRPr="00DC2D55">
        <w:rPr>
          <w:rFonts w:ascii="Roboto" w:hAnsi="Roboto"/>
          <w:noProof/>
          <w:lang w:val="en-US"/>
        </w:rPr>
        <w:drawing>
          <wp:anchor distT="0" distB="0" distL="114300" distR="114300" simplePos="0" relativeHeight="253676542" behindDoc="1" locked="0" layoutInCell="1" allowOverlap="1" wp14:anchorId="7BC23B20" wp14:editId="1B809B6E">
            <wp:simplePos x="0" y="0"/>
            <wp:positionH relativeFrom="margin">
              <wp:posOffset>-9525</wp:posOffset>
            </wp:positionH>
            <wp:positionV relativeFrom="paragraph">
              <wp:posOffset>152527</wp:posOffset>
            </wp:positionV>
            <wp:extent cx="8882380" cy="287655"/>
            <wp:effectExtent l="0" t="0" r="0" b="0"/>
            <wp:wrapTight wrapText="bothSides">
              <wp:wrapPolygon edited="0">
                <wp:start x="185" y="7629"/>
                <wp:lineTo x="185" y="13351"/>
                <wp:lineTo x="21341" y="13351"/>
                <wp:lineTo x="21341" y="7629"/>
                <wp:lineTo x="185" y="7629"/>
              </wp:wrapPolygon>
            </wp:wrapTight>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p>
    <w:p w14:paraId="51BEE8B1" w14:textId="36354DC4" w:rsidR="00203FAB" w:rsidRPr="00656D68" w:rsidRDefault="00F97CAF" w:rsidP="002D14C0">
      <w:pPr>
        <w:rPr>
          <w:rFonts w:ascii="Roboto" w:hAnsi="Roboto"/>
        </w:rPr>
      </w:pPr>
      <w:r w:rsidRPr="00656D68">
        <w:rPr>
          <w:rFonts w:ascii="Roboto" w:hAnsi="Roboto"/>
          <w:noProof/>
          <w:lang w:val="en-US"/>
        </w:rPr>
        <mc:AlternateContent>
          <mc:Choice Requires="wps">
            <w:drawing>
              <wp:anchor distT="0" distB="0" distL="114300" distR="114300" simplePos="0" relativeHeight="253678590" behindDoc="0" locked="0" layoutInCell="1" allowOverlap="1" wp14:anchorId="0A01E592" wp14:editId="2FD78CC0">
                <wp:simplePos x="0" y="0"/>
                <wp:positionH relativeFrom="margin">
                  <wp:posOffset>139700</wp:posOffset>
                </wp:positionH>
                <wp:positionV relativeFrom="paragraph">
                  <wp:posOffset>468503</wp:posOffset>
                </wp:positionV>
                <wp:extent cx="8545830" cy="3066415"/>
                <wp:effectExtent l="12700" t="12700" r="13970" b="6985"/>
                <wp:wrapNone/>
                <wp:docPr id="1945" name="Rounded Rectangle 1945"/>
                <wp:cNvGraphicFramePr/>
                <a:graphic xmlns:a="http://schemas.openxmlformats.org/drawingml/2006/main">
                  <a:graphicData uri="http://schemas.microsoft.com/office/word/2010/wordprocessingShape">
                    <wps:wsp>
                      <wps:cNvSpPr/>
                      <wps:spPr>
                        <a:xfrm>
                          <a:off x="0" y="0"/>
                          <a:ext cx="8545830" cy="3066415"/>
                        </a:xfrm>
                        <a:prstGeom prst="roundRect">
                          <a:avLst>
                            <a:gd name="adj" fmla="val 5485"/>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B014B"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1E592" id="Rounded Rectangle 1945" o:spid="_x0000_s1177" style="position:absolute;margin-left:11pt;margin-top:36.9pt;width:672.9pt;height:241.45pt;z-index:2536785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5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" filled="f" strokecolor="white [3212]" strokeweight="1.5pt">
                <v:stroke joinstyle="miter"/>
                <v:textbox>
                  <w:txbxContent>
                    <w:p w14:paraId="52EB014B" w14:textId="77777777" w:rsidR="00D15FD8" w:rsidRDefault="00D15FD8" w:rsidP="002D14C0"/>
                  </w:txbxContent>
                </v:textbox>
                <w10:wrap anchorx="margin"/>
              </v:roundrect>
            </w:pict>
          </mc:Fallback>
        </mc:AlternateContent>
      </w:r>
      <w:r w:rsidR="00FB0BA4" w:rsidRPr="00656D68">
        <w:rPr>
          <w:rFonts w:ascii="Roboto" w:hAnsi="Roboto"/>
          <w:noProof/>
          <w:lang w:val="en-US"/>
        </w:rPr>
        <mc:AlternateContent>
          <mc:Choice Requires="wps">
            <w:drawing>
              <wp:anchor distT="0" distB="0" distL="114300" distR="114300" simplePos="0" relativeHeight="253677566" behindDoc="0" locked="0" layoutInCell="1" allowOverlap="1" wp14:anchorId="61B97285" wp14:editId="7B3F67A8">
                <wp:simplePos x="0" y="0"/>
                <wp:positionH relativeFrom="margin">
                  <wp:posOffset>0</wp:posOffset>
                </wp:positionH>
                <wp:positionV relativeFrom="paragraph">
                  <wp:posOffset>291465</wp:posOffset>
                </wp:positionV>
                <wp:extent cx="8847455" cy="3416300"/>
                <wp:effectExtent l="0" t="0" r="4445" b="0"/>
                <wp:wrapNone/>
                <wp:docPr id="1944" name="Rounded Rectangle 1944"/>
                <wp:cNvGraphicFramePr/>
                <a:graphic xmlns:a="http://schemas.openxmlformats.org/drawingml/2006/main">
                  <a:graphicData uri="http://schemas.microsoft.com/office/word/2010/wordprocessingShape">
                    <wps:wsp>
                      <wps:cNvSpPr/>
                      <wps:spPr>
                        <a:xfrm>
                          <a:off x="0" y="0"/>
                          <a:ext cx="8847455" cy="3416300"/>
                        </a:xfrm>
                        <a:prstGeom prst="roundRect">
                          <a:avLst>
                            <a:gd name="adj" fmla="val 5143"/>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3FEFE9"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B97285" id="Rounded Rectangle 1944" o:spid="_x0000_s1178" style="position:absolute;margin-left:0;margin-top:22.95pt;width:696.65pt;height:269pt;z-index:2536775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" fillcolor="#1e9a8c" stroked="f" strokeweight="1pt">
                <v:stroke joinstyle="miter"/>
                <v:textbox>
                  <w:txbxContent>
                    <w:p w14:paraId="023FEFE9" w14:textId="77777777" w:rsidR="00D15FD8" w:rsidRDefault="00D15FD8" w:rsidP="002D14C0">
                      <w:pPr>
                        <w:jc w:val="center"/>
                      </w:pPr>
                    </w:p>
                  </w:txbxContent>
                </v:textbox>
                <w10:wrap anchorx="margin"/>
              </v:roundrect>
            </w:pict>
          </mc:Fallback>
        </mc:AlternateContent>
      </w:r>
    </w:p>
    <w:p w14:paraId="23F1BDF2" w14:textId="632FA762" w:rsidR="00203FAB" w:rsidRPr="00656D68" w:rsidRDefault="00203FAB" w:rsidP="002D14C0">
      <w:pPr>
        <w:rPr>
          <w:rFonts w:ascii="Roboto" w:hAnsi="Roboto"/>
        </w:rPr>
      </w:pPr>
    </w:p>
    <w:p w14:paraId="0C10B91F" w14:textId="49AAEE9E" w:rsidR="00203FAB" w:rsidRPr="00656D68" w:rsidRDefault="00E36929" w:rsidP="002D14C0">
      <w:pPr>
        <w:rPr>
          <w:rFonts w:ascii="Roboto" w:hAnsi="Roboto"/>
        </w:rPr>
      </w:pPr>
      <w:r w:rsidRPr="00656D68">
        <w:rPr>
          <w:rFonts w:ascii="Roboto" w:hAnsi="Roboto"/>
          <w:noProof/>
          <w:lang w:val="en-US"/>
        </w:rPr>
        <w:drawing>
          <wp:anchor distT="0" distB="0" distL="114300" distR="114300" simplePos="0" relativeHeight="253679614" behindDoc="1" locked="0" layoutInCell="1" allowOverlap="1" wp14:anchorId="4333348E" wp14:editId="4D222DD2">
            <wp:simplePos x="0" y="0"/>
            <wp:positionH relativeFrom="column">
              <wp:posOffset>3714750</wp:posOffset>
            </wp:positionH>
            <wp:positionV relativeFrom="paragraph">
              <wp:posOffset>128534</wp:posOffset>
            </wp:positionV>
            <wp:extent cx="289560" cy="344170"/>
            <wp:effectExtent l="0" t="0" r="0" b="0"/>
            <wp:wrapTight wrapText="bothSides">
              <wp:wrapPolygon edited="0">
                <wp:start x="0" y="0"/>
                <wp:lineTo x="0" y="20325"/>
                <wp:lineTo x="19895" y="20325"/>
                <wp:lineTo x="19895" y="7173"/>
                <wp:lineTo x="17053" y="0"/>
                <wp:lineTo x="0" y="0"/>
              </wp:wrapPolygon>
            </wp:wrapTight>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p>
    <w:p w14:paraId="789A8352" w14:textId="3D90EDCD" w:rsidR="00203FAB" w:rsidRPr="00656D68" w:rsidRDefault="00E36929" w:rsidP="002D14C0">
      <w:pPr>
        <w:rPr>
          <w:rFonts w:ascii="Roboto" w:hAnsi="Roboto"/>
        </w:rPr>
      </w:pPr>
      <w:r w:rsidRPr="00656D68">
        <w:rPr>
          <w:rFonts w:ascii="Roboto" w:hAnsi="Roboto"/>
          <w:noProof/>
          <w:lang w:val="en-US"/>
        </w:rPr>
        <mc:AlternateContent>
          <mc:Choice Requires="wps">
            <w:drawing>
              <wp:anchor distT="0" distB="0" distL="114300" distR="114300" simplePos="0" relativeHeight="253680638" behindDoc="0" locked="0" layoutInCell="1" allowOverlap="1" wp14:anchorId="2B532313" wp14:editId="6F5420E7">
                <wp:simplePos x="0" y="0"/>
                <wp:positionH relativeFrom="column">
                  <wp:posOffset>4003675</wp:posOffset>
                </wp:positionH>
                <wp:positionV relativeFrom="paragraph">
                  <wp:posOffset>18679</wp:posOffset>
                </wp:positionV>
                <wp:extent cx="1337310" cy="317500"/>
                <wp:effectExtent l="0" t="0" r="0" b="6350"/>
                <wp:wrapNone/>
                <wp:docPr id="1943" name="Text Box 1943"/>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68DD6586"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32313" id="Text Box 1943" o:spid="_x0000_s1179" type="#_x0000_t202" style="position:absolute;margin-left:315.25pt;margin-top:1.45pt;width:105.3pt;height:25pt;z-index:253680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" filled="f" stroked="f" strokeweight=".5pt">
                <v:textbox>
                  <w:txbxContent>
                    <w:p w14:paraId="68DD6586"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00125A65">
        <w:rPr>
          <w:rFonts w:ascii="Arial" w:hAnsi="Arial" w:cs="Arial"/>
          <w:b/>
          <w:bCs/>
          <w:noProof/>
          <w:color w:val="19998C"/>
          <w:sz w:val="26"/>
          <w:szCs w:val="26"/>
          <w:lang w:val="en-US"/>
        </w:rPr>
        <mc:AlternateContent>
          <mc:Choice Requires="wps">
            <w:drawing>
              <wp:anchor distT="0" distB="0" distL="114300" distR="114300" simplePos="0" relativeHeight="255381502" behindDoc="0" locked="0" layoutInCell="1" allowOverlap="1" wp14:anchorId="3D1D7233" wp14:editId="59D22493">
                <wp:simplePos x="0" y="0"/>
                <wp:positionH relativeFrom="column">
                  <wp:posOffset>-3610292</wp:posOffset>
                </wp:positionH>
                <wp:positionV relativeFrom="paragraph">
                  <wp:posOffset>407352</wp:posOffset>
                </wp:positionV>
                <wp:extent cx="5976620" cy="252095"/>
                <wp:effectExtent l="4762" t="0" r="0" b="0"/>
                <wp:wrapNone/>
                <wp:docPr id="233" name="Text Box 233"/>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7E075D3B" w14:textId="3A8E178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1D7233" id="Text Box 233" o:spid="_x0000_s1180" type="#_x0000_t202" style="position:absolute;margin-left:-284.25pt;margin-top:32.05pt;width:470.6pt;height:19.85pt;rotation:90;z-index:2553815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" filled="f" stroked="f" strokeweight=".5pt">
                <v:textbox>
                  <w:txbxContent>
                    <w:p w14:paraId="7E075D3B" w14:textId="3A8E178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44</w:t>
                      </w:r>
                    </w:p>
                  </w:txbxContent>
                </v:textbox>
              </v:shape>
            </w:pict>
          </mc:Fallback>
        </mc:AlternateContent>
      </w:r>
    </w:p>
    <w:p w14:paraId="5AACCF4F" w14:textId="24BD4BF4" w:rsidR="00203FAB" w:rsidRPr="00656D68"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80478" behindDoc="0" locked="0" layoutInCell="1" allowOverlap="1" wp14:anchorId="0C751571" wp14:editId="2DE4D3C6">
                <wp:simplePos x="0" y="0"/>
                <wp:positionH relativeFrom="column">
                  <wp:posOffset>6517958</wp:posOffset>
                </wp:positionH>
                <wp:positionV relativeFrom="paragraph">
                  <wp:posOffset>128715</wp:posOffset>
                </wp:positionV>
                <wp:extent cx="5977200" cy="252096"/>
                <wp:effectExtent l="4762" t="0" r="0" b="0"/>
                <wp:wrapNone/>
                <wp:docPr id="232" name="Text Box 232"/>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65717ED8" w14:textId="11A9011F"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938088577"/>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E1C23C5"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751571" id="Text Box 232" o:spid="_x0000_s1181" type="#_x0000_t202" style="position:absolute;margin-left:513.25pt;margin-top:10.15pt;width:470.65pt;height:19.85pt;rotation:90;z-index:2553804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" fillcolor="white [3201]" stroked="f" strokeweight=".5pt">
                <v:textbox>
                  <w:txbxContent>
                    <w:p w14:paraId="65717ED8" w14:textId="11A9011F"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938088577"/>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E1C23C5" w14:textId="77777777" w:rsidR="00D15FD8" w:rsidRDefault="00D15FD8" w:rsidP="003D7CCB"/>
                  </w:txbxContent>
                </v:textbox>
              </v:shape>
            </w:pict>
          </mc:Fallback>
        </mc:AlternateContent>
      </w:r>
      <w:r w:rsidR="00FB0BA4" w:rsidRPr="00656D68">
        <w:rPr>
          <w:rFonts w:ascii="Roboto" w:hAnsi="Roboto"/>
          <w:noProof/>
          <w:lang w:val="en-US"/>
        </w:rPr>
        <mc:AlternateContent>
          <mc:Choice Requires="wps">
            <w:drawing>
              <wp:anchor distT="0" distB="0" distL="114300" distR="114300" simplePos="0" relativeHeight="253681662" behindDoc="0" locked="0" layoutInCell="1" allowOverlap="1" wp14:anchorId="36BFF8E9" wp14:editId="5B2E6FD4">
                <wp:simplePos x="0" y="0"/>
                <wp:positionH relativeFrom="margin">
                  <wp:posOffset>274955</wp:posOffset>
                </wp:positionH>
                <wp:positionV relativeFrom="paragraph">
                  <wp:posOffset>112395</wp:posOffset>
                </wp:positionV>
                <wp:extent cx="8287385" cy="2343785"/>
                <wp:effectExtent l="0" t="0" r="0" b="0"/>
                <wp:wrapNone/>
                <wp:docPr id="1946" name="Text Box 1946"/>
                <wp:cNvGraphicFramePr/>
                <a:graphic xmlns:a="http://schemas.openxmlformats.org/drawingml/2006/main">
                  <a:graphicData uri="http://schemas.microsoft.com/office/word/2010/wordprocessingShape">
                    <wps:wsp>
                      <wps:cNvSpPr txBox="1"/>
                      <wps:spPr>
                        <a:xfrm>
                          <a:off x="0" y="0"/>
                          <a:ext cx="8287385" cy="2343785"/>
                        </a:xfrm>
                        <a:prstGeom prst="rect">
                          <a:avLst/>
                        </a:prstGeom>
                        <a:noFill/>
                        <a:ln w="6350">
                          <a:noFill/>
                        </a:ln>
                      </wps:spPr>
                      <wps:txbx>
                        <w:txbxContent>
                          <w:p w14:paraId="5F530379" w14:textId="77777777" w:rsidR="00D15FD8" w:rsidRDefault="00D15FD8" w:rsidP="002D14C0">
                            <w:pPr>
                              <w:spacing w:line="320" w:lineRule="atLeast"/>
                              <w:jc w:val="both"/>
                              <w:rPr>
                                <w:rFonts w:ascii="Roboto" w:hAnsi="Roboto" w:cs="AppleSystemUIFont"/>
                                <w:color w:val="FFFFFF" w:themeColor="background1"/>
                                <w:sz w:val="20"/>
                                <w:szCs w:val="20"/>
                              </w:rPr>
                            </w:pPr>
                            <w:r>
                              <w:rPr>
                                <w:rFonts w:ascii="Roboto" w:hAnsi="Roboto" w:cs="AppleSystemUIFont"/>
                                <w:color w:val="FFFFFF" w:themeColor="background1"/>
                                <w:sz w:val="20"/>
                                <w:szCs w:val="20"/>
                              </w:rPr>
                              <w:t>The l</w:t>
                            </w:r>
                            <w:r w:rsidRPr="00656D68">
                              <w:rPr>
                                <w:rFonts w:ascii="Roboto" w:hAnsi="Roboto" w:cs="AppleSystemUIFont"/>
                                <w:color w:val="FFFFFF" w:themeColor="background1"/>
                                <w:sz w:val="20"/>
                                <w:szCs w:val="20"/>
                              </w:rPr>
                              <w:t xml:space="preserve">egislature is the key institution vested with the authority to hold the executive to account for its stewardship of public resources. </w:t>
                            </w:r>
                          </w:p>
                          <w:p w14:paraId="0EB925AE" w14:textId="77777777" w:rsidR="00D15FD8" w:rsidRPr="00656D68" w:rsidRDefault="00D15FD8" w:rsidP="002D14C0">
                            <w:pPr>
                              <w:spacing w:line="320" w:lineRule="atLeast"/>
                              <w:jc w:val="both"/>
                              <w:rPr>
                                <w:rFonts w:ascii="Roboto" w:hAnsi="Roboto" w:cs="AppleSystemUIFont"/>
                                <w:color w:val="FFFFFF" w:themeColor="background1"/>
                                <w:sz w:val="20"/>
                                <w:szCs w:val="20"/>
                              </w:rPr>
                            </w:pPr>
                          </w:p>
                          <w:p w14:paraId="6FE74D30" w14:textId="77777777" w:rsidR="00D15FD8" w:rsidRDefault="00D15FD8" w:rsidP="002D14C0">
                            <w:pPr>
                              <w:spacing w:line="320" w:lineRule="atLeast"/>
                              <w:jc w:val="both"/>
                              <w:rPr>
                                <w:rFonts w:ascii="Roboto" w:hAnsi="Roboto" w:cs="AppleSystemUIFont"/>
                                <w:color w:val="FFFFFF" w:themeColor="background1"/>
                                <w:sz w:val="20"/>
                                <w:szCs w:val="20"/>
                              </w:rPr>
                            </w:pPr>
                            <w:r w:rsidRPr="00656D68">
                              <w:rPr>
                                <w:rFonts w:ascii="Roboto" w:hAnsi="Roboto" w:cs="AppleSystemUIFont"/>
                                <w:color w:val="FFFFFF" w:themeColor="background1"/>
                                <w:sz w:val="20"/>
                                <w:szCs w:val="20"/>
                              </w:rPr>
                              <w:t>The requirement that the executive obtain legislative approval before imposing any tax or compulsory levy ensures the opportunity for public scrutiny and public input, and clear assignment of responsibility. This applies despite the wide variation across countries in the legislature’s authority to amend the budget submitted by the executive.</w:t>
                            </w:r>
                          </w:p>
                          <w:p w14:paraId="1789277F" w14:textId="77777777" w:rsidR="00D15FD8" w:rsidRPr="00656D68" w:rsidRDefault="00D15FD8" w:rsidP="002D14C0">
                            <w:pPr>
                              <w:spacing w:line="320" w:lineRule="atLeast"/>
                              <w:jc w:val="both"/>
                              <w:rPr>
                                <w:rFonts w:ascii="Roboto" w:hAnsi="Roboto" w:cs="AppleSystemUIFont"/>
                                <w:color w:val="FFFFFF" w:themeColor="background1"/>
                                <w:sz w:val="20"/>
                                <w:szCs w:val="20"/>
                              </w:rPr>
                            </w:pPr>
                          </w:p>
                          <w:p w14:paraId="03BCECC3" w14:textId="77777777" w:rsidR="00D15FD8" w:rsidRDefault="00D15FD8" w:rsidP="002D14C0">
                            <w:pPr>
                              <w:spacing w:line="320" w:lineRule="atLeast"/>
                              <w:jc w:val="both"/>
                              <w:rPr>
                                <w:rFonts w:ascii="Roboto" w:hAnsi="Roboto" w:cs="AppleSystemUIFont"/>
                                <w:color w:val="FFFFFF" w:themeColor="background1"/>
                                <w:sz w:val="20"/>
                                <w:szCs w:val="20"/>
                              </w:rPr>
                            </w:pPr>
                            <w:r w:rsidRPr="00656D68">
                              <w:rPr>
                                <w:rFonts w:ascii="Roboto" w:hAnsi="Roboto" w:cs="AppleSystemUIFont"/>
                                <w:color w:val="FFFFFF" w:themeColor="background1"/>
                                <w:sz w:val="20"/>
                                <w:szCs w:val="20"/>
                              </w:rPr>
                              <w:t xml:space="preserve">To effectively hold the executive to account for the conduct of fiscal policy, the legislature requires clear authority (often in a Constitution), together with sufficient time, information, financial and non-financial resources. </w:t>
                            </w:r>
                          </w:p>
                          <w:p w14:paraId="01D39C1B" w14:textId="77777777" w:rsidR="00D15FD8" w:rsidRPr="00656D68" w:rsidRDefault="00D15FD8" w:rsidP="002D14C0">
                            <w:pPr>
                              <w:spacing w:line="320" w:lineRule="atLeast"/>
                              <w:jc w:val="both"/>
                              <w:rPr>
                                <w:rFonts w:ascii="Roboto" w:hAnsi="Roboto" w:cs="AppleSystemUIFont"/>
                                <w:color w:val="FFFFFF" w:themeColor="background1"/>
                                <w:sz w:val="20"/>
                                <w:szCs w:val="20"/>
                              </w:rPr>
                            </w:pPr>
                          </w:p>
                          <w:p w14:paraId="2E18722E" w14:textId="7EB079A9" w:rsidR="00D15FD8" w:rsidRPr="006A6C50" w:rsidRDefault="00D15FD8" w:rsidP="002D14C0">
                            <w:pPr>
                              <w:spacing w:line="320" w:lineRule="atLeast"/>
                              <w:jc w:val="both"/>
                              <w:rPr>
                                <w:rFonts w:ascii="Roboto" w:hAnsi="Roboto"/>
                                <w:color w:val="FFFFFF" w:themeColor="background1"/>
                                <w:sz w:val="20"/>
                                <w:szCs w:val="20"/>
                              </w:rPr>
                            </w:pPr>
                            <w:r w:rsidRPr="00656D68">
                              <w:rPr>
                                <w:rFonts w:ascii="Roboto" w:hAnsi="Roboto" w:cs="AppleSystemUIFont"/>
                                <w:color w:val="FFFFFF" w:themeColor="background1"/>
                                <w:sz w:val="20"/>
                                <w:szCs w:val="20"/>
                              </w:rPr>
                              <w:t>The legislature needs to be organized in ways that facilitate</w:t>
                            </w:r>
                            <w:r>
                              <w:rPr>
                                <w:rFonts w:ascii="Roboto" w:hAnsi="Roboto" w:cs="AppleSystemUIFont"/>
                                <w:color w:val="FFFFFF" w:themeColor="background1"/>
                                <w:sz w:val="20"/>
                                <w:szCs w:val="20"/>
                              </w:rPr>
                              <w:t>s</w:t>
                            </w:r>
                            <w:r w:rsidRPr="00656D68">
                              <w:rPr>
                                <w:rFonts w:ascii="Roboto" w:hAnsi="Roboto" w:cs="AppleSystemUIFont"/>
                                <w:color w:val="FFFFFF" w:themeColor="background1"/>
                                <w:sz w:val="20"/>
                                <w:szCs w:val="20"/>
                              </w:rPr>
                              <w:t xml:space="preserve"> the effective discharge of its mandate. If the legislature is to enjoy public confidence, trust and legitimacy, it must also operate in a transparent, participatory and accountable manner.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FF8E9" id="Text Box 1946" o:spid="_x0000_s1182" type="#_x0000_t202" style="position:absolute;margin-left:21.65pt;margin-top:8.85pt;width:652.55pt;height:184.55pt;z-index:2536816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" filled="f" stroked="f" strokeweight=".5pt">
                <v:textbox>
                  <w:txbxContent>
                    <w:p w14:paraId="5F530379" w14:textId="77777777" w:rsidR="00D15FD8" w:rsidRDefault="00D15FD8" w:rsidP="002D14C0">
                      <w:pPr>
                        <w:spacing w:line="320" w:lineRule="atLeast"/>
                        <w:jc w:val="both"/>
                        <w:rPr>
                          <w:rFonts w:ascii="Roboto" w:hAnsi="Roboto" w:cs="AppleSystemUIFont"/>
                          <w:color w:val="FFFFFF" w:themeColor="background1"/>
                          <w:sz w:val="20"/>
                          <w:szCs w:val="20"/>
                        </w:rPr>
                      </w:pPr>
                      <w:r>
                        <w:rPr>
                          <w:rFonts w:ascii="Roboto" w:hAnsi="Roboto" w:cs="AppleSystemUIFont"/>
                          <w:color w:val="FFFFFF" w:themeColor="background1"/>
                          <w:sz w:val="20"/>
                          <w:szCs w:val="20"/>
                        </w:rPr>
                        <w:t>The l</w:t>
                      </w:r>
                      <w:r w:rsidRPr="00656D68">
                        <w:rPr>
                          <w:rFonts w:ascii="Roboto" w:hAnsi="Roboto" w:cs="AppleSystemUIFont"/>
                          <w:color w:val="FFFFFF" w:themeColor="background1"/>
                          <w:sz w:val="20"/>
                          <w:szCs w:val="20"/>
                        </w:rPr>
                        <w:t xml:space="preserve">egislature is the key institution vested with the authority to hold the executive to account for its stewardship of public resources. </w:t>
                      </w:r>
                    </w:p>
                    <w:p w14:paraId="0EB925AE" w14:textId="77777777" w:rsidR="00D15FD8" w:rsidRPr="00656D68" w:rsidRDefault="00D15FD8" w:rsidP="002D14C0">
                      <w:pPr>
                        <w:spacing w:line="320" w:lineRule="atLeast"/>
                        <w:jc w:val="both"/>
                        <w:rPr>
                          <w:rFonts w:ascii="Roboto" w:hAnsi="Roboto" w:cs="AppleSystemUIFont"/>
                          <w:color w:val="FFFFFF" w:themeColor="background1"/>
                          <w:sz w:val="20"/>
                          <w:szCs w:val="20"/>
                        </w:rPr>
                      </w:pPr>
                    </w:p>
                    <w:p w14:paraId="6FE74D30" w14:textId="77777777" w:rsidR="00D15FD8" w:rsidRDefault="00D15FD8" w:rsidP="002D14C0">
                      <w:pPr>
                        <w:spacing w:line="320" w:lineRule="atLeast"/>
                        <w:jc w:val="both"/>
                        <w:rPr>
                          <w:rFonts w:ascii="Roboto" w:hAnsi="Roboto" w:cs="AppleSystemUIFont"/>
                          <w:color w:val="FFFFFF" w:themeColor="background1"/>
                          <w:sz w:val="20"/>
                          <w:szCs w:val="20"/>
                        </w:rPr>
                      </w:pPr>
                      <w:r w:rsidRPr="00656D68">
                        <w:rPr>
                          <w:rFonts w:ascii="Roboto" w:hAnsi="Roboto" w:cs="AppleSystemUIFont"/>
                          <w:color w:val="FFFFFF" w:themeColor="background1"/>
                          <w:sz w:val="20"/>
                          <w:szCs w:val="20"/>
                        </w:rPr>
                        <w:t>The requirement that the executive obtain legislative approval before imposing any tax or compulsory levy ensures the opportunity for public scrutiny and public input, and clear assignment of responsibility. This applies despite the wide variation across countries in the legislature’s authority to amend the budget submitted by the executive.</w:t>
                      </w:r>
                    </w:p>
                    <w:p w14:paraId="1789277F" w14:textId="77777777" w:rsidR="00D15FD8" w:rsidRPr="00656D68" w:rsidRDefault="00D15FD8" w:rsidP="002D14C0">
                      <w:pPr>
                        <w:spacing w:line="320" w:lineRule="atLeast"/>
                        <w:jc w:val="both"/>
                        <w:rPr>
                          <w:rFonts w:ascii="Roboto" w:hAnsi="Roboto" w:cs="AppleSystemUIFont"/>
                          <w:color w:val="FFFFFF" w:themeColor="background1"/>
                          <w:sz w:val="20"/>
                          <w:szCs w:val="20"/>
                        </w:rPr>
                      </w:pPr>
                    </w:p>
                    <w:p w14:paraId="03BCECC3" w14:textId="77777777" w:rsidR="00D15FD8" w:rsidRDefault="00D15FD8" w:rsidP="002D14C0">
                      <w:pPr>
                        <w:spacing w:line="320" w:lineRule="atLeast"/>
                        <w:jc w:val="both"/>
                        <w:rPr>
                          <w:rFonts w:ascii="Roboto" w:hAnsi="Roboto" w:cs="AppleSystemUIFont"/>
                          <w:color w:val="FFFFFF" w:themeColor="background1"/>
                          <w:sz w:val="20"/>
                          <w:szCs w:val="20"/>
                        </w:rPr>
                      </w:pPr>
                      <w:r w:rsidRPr="00656D68">
                        <w:rPr>
                          <w:rFonts w:ascii="Roboto" w:hAnsi="Roboto" w:cs="AppleSystemUIFont"/>
                          <w:color w:val="FFFFFF" w:themeColor="background1"/>
                          <w:sz w:val="20"/>
                          <w:szCs w:val="20"/>
                        </w:rPr>
                        <w:t xml:space="preserve">To effectively hold the executive to account for the conduct of fiscal policy, the legislature requires clear authority (often in a Constitution), together with sufficient time, information, financial and non-financial resources. </w:t>
                      </w:r>
                    </w:p>
                    <w:p w14:paraId="01D39C1B" w14:textId="77777777" w:rsidR="00D15FD8" w:rsidRPr="00656D68" w:rsidRDefault="00D15FD8" w:rsidP="002D14C0">
                      <w:pPr>
                        <w:spacing w:line="320" w:lineRule="atLeast"/>
                        <w:jc w:val="both"/>
                        <w:rPr>
                          <w:rFonts w:ascii="Roboto" w:hAnsi="Roboto" w:cs="AppleSystemUIFont"/>
                          <w:color w:val="FFFFFF" w:themeColor="background1"/>
                          <w:sz w:val="20"/>
                          <w:szCs w:val="20"/>
                        </w:rPr>
                      </w:pPr>
                    </w:p>
                    <w:p w14:paraId="2E18722E" w14:textId="7EB079A9" w:rsidR="00D15FD8" w:rsidRPr="006A6C50" w:rsidRDefault="00D15FD8" w:rsidP="002D14C0">
                      <w:pPr>
                        <w:spacing w:line="320" w:lineRule="atLeast"/>
                        <w:jc w:val="both"/>
                        <w:rPr>
                          <w:rFonts w:ascii="Roboto" w:hAnsi="Roboto"/>
                          <w:color w:val="FFFFFF" w:themeColor="background1"/>
                          <w:sz w:val="20"/>
                          <w:szCs w:val="20"/>
                        </w:rPr>
                      </w:pPr>
                      <w:r w:rsidRPr="00656D68">
                        <w:rPr>
                          <w:rFonts w:ascii="Roboto" w:hAnsi="Roboto" w:cs="AppleSystemUIFont"/>
                          <w:color w:val="FFFFFF" w:themeColor="background1"/>
                          <w:sz w:val="20"/>
                          <w:szCs w:val="20"/>
                        </w:rPr>
                        <w:t>The legislature needs to be organized in ways that facilitate</w:t>
                      </w:r>
                      <w:r>
                        <w:rPr>
                          <w:rFonts w:ascii="Roboto" w:hAnsi="Roboto" w:cs="AppleSystemUIFont"/>
                          <w:color w:val="FFFFFF" w:themeColor="background1"/>
                          <w:sz w:val="20"/>
                          <w:szCs w:val="20"/>
                        </w:rPr>
                        <w:t>s</w:t>
                      </w:r>
                      <w:r w:rsidRPr="00656D68">
                        <w:rPr>
                          <w:rFonts w:ascii="Roboto" w:hAnsi="Roboto" w:cs="AppleSystemUIFont"/>
                          <w:color w:val="FFFFFF" w:themeColor="background1"/>
                          <w:sz w:val="20"/>
                          <w:szCs w:val="20"/>
                        </w:rPr>
                        <w:t xml:space="preserve"> the effective discharge of its mandate. If the legislature is to enjoy public confidence, trust and legitimacy, it must also operate in a transparent, participatory and accountable manner.</w:t>
                      </w:r>
                    </w:p>
                  </w:txbxContent>
                </v:textbox>
                <w10:wrap anchorx="margin"/>
              </v:shape>
            </w:pict>
          </mc:Fallback>
        </mc:AlternateContent>
      </w:r>
    </w:p>
    <w:p w14:paraId="3299E08B" w14:textId="1E5886BD" w:rsidR="00203FAB" w:rsidRPr="00656D68" w:rsidRDefault="00203FAB" w:rsidP="002D14C0">
      <w:pPr>
        <w:rPr>
          <w:rFonts w:ascii="Roboto" w:hAnsi="Roboto"/>
        </w:rPr>
      </w:pPr>
    </w:p>
    <w:p w14:paraId="5447FBFA" w14:textId="77777777" w:rsidR="00203FAB" w:rsidRPr="00656D68" w:rsidRDefault="00203FAB" w:rsidP="002D14C0">
      <w:pPr>
        <w:rPr>
          <w:rFonts w:ascii="Roboto" w:hAnsi="Roboto"/>
        </w:rPr>
      </w:pPr>
    </w:p>
    <w:p w14:paraId="689A8A99" w14:textId="77777777" w:rsidR="00203FAB" w:rsidRPr="00656D68" w:rsidRDefault="00203FAB" w:rsidP="002D14C0">
      <w:pPr>
        <w:rPr>
          <w:rFonts w:ascii="Roboto" w:hAnsi="Roboto"/>
        </w:rPr>
      </w:pPr>
    </w:p>
    <w:p w14:paraId="0BC3F530" w14:textId="77777777" w:rsidR="00203FAB" w:rsidRPr="00656D68" w:rsidRDefault="00203FAB" w:rsidP="002D14C0">
      <w:pPr>
        <w:rPr>
          <w:rFonts w:ascii="Roboto" w:hAnsi="Roboto"/>
        </w:rPr>
      </w:pPr>
    </w:p>
    <w:p w14:paraId="77A1F199" w14:textId="77777777" w:rsidR="00203FAB" w:rsidRPr="00656D68" w:rsidRDefault="00203FAB" w:rsidP="002D14C0">
      <w:pPr>
        <w:rPr>
          <w:rFonts w:ascii="Roboto" w:hAnsi="Roboto"/>
        </w:rPr>
      </w:pPr>
    </w:p>
    <w:p w14:paraId="77D23A14" w14:textId="3D21A160" w:rsidR="00203FAB" w:rsidRPr="00A60D14" w:rsidRDefault="009918CC" w:rsidP="00113300">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93118" behindDoc="0" locked="0" layoutInCell="1" allowOverlap="1" wp14:anchorId="46E9E1F4" wp14:editId="62E81D93">
                <wp:simplePos x="0" y="0"/>
                <wp:positionH relativeFrom="column">
                  <wp:posOffset>5343896</wp:posOffset>
                </wp:positionH>
                <wp:positionV relativeFrom="paragraph">
                  <wp:posOffset>2369086</wp:posOffset>
                </wp:positionV>
                <wp:extent cx="3878317" cy="451262"/>
                <wp:effectExtent l="0" t="0" r="8255" b="6350"/>
                <wp:wrapNone/>
                <wp:docPr id="409" name="Rectangle 409"/>
                <wp:cNvGraphicFramePr/>
                <a:graphic xmlns:a="http://schemas.openxmlformats.org/drawingml/2006/main">
                  <a:graphicData uri="http://schemas.microsoft.com/office/word/2010/wordprocessingShape">
                    <wps:wsp>
                      <wps:cNvSpPr/>
                      <wps:spPr>
                        <a:xfrm>
                          <a:off x="0" y="0"/>
                          <a:ext cx="3878317" cy="4512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65C2EDF3" id="Rectangle 409" o:spid="_x0000_s1026" style="position:absolute;margin-left:420.8pt;margin-top:186.55pt;width:305.4pt;height:35.55pt;z-index:2554931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" fillcolor="white [3212]" stroked="f" strokeweight="1pt"/>
            </w:pict>
          </mc:Fallback>
        </mc:AlternateContent>
      </w:r>
      <w:r w:rsidR="00CC3EBD">
        <w:rPr>
          <w:rFonts w:ascii="Roboto" w:hAnsi="Roboto"/>
        </w:rPr>
        <w:br w:type="page"/>
      </w:r>
    </w:p>
    <w:p w14:paraId="570B0C72" w14:textId="353128CD" w:rsidR="00203FAB" w:rsidRPr="00A60D14"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95166" behindDoc="0" locked="0" layoutInCell="1" allowOverlap="1" wp14:anchorId="710B7538" wp14:editId="39BEF3E3">
                <wp:simplePos x="0" y="0"/>
                <wp:positionH relativeFrom="column">
                  <wp:posOffset>-189711</wp:posOffset>
                </wp:positionH>
                <wp:positionV relativeFrom="paragraph">
                  <wp:posOffset>-520306</wp:posOffset>
                </wp:positionV>
                <wp:extent cx="3878317" cy="268014"/>
                <wp:effectExtent l="0" t="0" r="0" b="0"/>
                <wp:wrapNone/>
                <wp:docPr id="411" name="Rectangle 411"/>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18323F85" id="Rectangle 411" o:spid="_x0000_s1026" style="position:absolute;margin-left:-14.95pt;margin-top:-40.95pt;width:305.4pt;height:21.1pt;z-index:2554951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" fillcolor="white [3212]" stroked="f" strokeweight="1pt"/>
            </w:pict>
          </mc:Fallback>
        </mc:AlternateContent>
      </w:r>
      <w:r w:rsidR="00CC3EBD" w:rsidRPr="00656D68">
        <w:rPr>
          <w:rFonts w:ascii="Roboto" w:hAnsi="Roboto"/>
          <w:noProof/>
          <w:lang w:val="en-US"/>
        </w:rPr>
        <mc:AlternateContent>
          <mc:Choice Requires="wps">
            <w:drawing>
              <wp:anchor distT="0" distB="0" distL="114300" distR="114300" simplePos="0" relativeHeight="253682686" behindDoc="0" locked="0" layoutInCell="1" allowOverlap="1" wp14:anchorId="4D3322F5" wp14:editId="6B0487C2">
                <wp:simplePos x="0" y="0"/>
                <wp:positionH relativeFrom="margin">
                  <wp:align>center</wp:align>
                </wp:positionH>
                <wp:positionV relativeFrom="margin">
                  <wp:align>center</wp:align>
                </wp:positionV>
                <wp:extent cx="8817610" cy="5194935"/>
                <wp:effectExtent l="0" t="0" r="0" b="0"/>
                <wp:wrapNone/>
                <wp:docPr id="1947" name="Text Box 1947"/>
                <wp:cNvGraphicFramePr/>
                <a:graphic xmlns:a="http://schemas.openxmlformats.org/drawingml/2006/main">
                  <a:graphicData uri="http://schemas.microsoft.com/office/word/2010/wordprocessingShape">
                    <wps:wsp>
                      <wps:cNvSpPr txBox="1"/>
                      <wps:spPr>
                        <a:xfrm>
                          <a:off x="0" y="0"/>
                          <a:ext cx="8817610" cy="5194935"/>
                        </a:xfrm>
                        <a:prstGeom prst="rect">
                          <a:avLst/>
                        </a:prstGeom>
                        <a:noFill/>
                        <a:ln w="6350">
                          <a:noFill/>
                        </a:ln>
                      </wps:spPr>
                      <wps:txbx>
                        <w:txbxContent>
                          <w:p w14:paraId="27FAD323" w14:textId="77777777" w:rsidR="00D15FD8" w:rsidRPr="00A60D14" w:rsidRDefault="00D15FD8" w:rsidP="002D14C0">
                            <w:pPr>
                              <w:suppressOverlap/>
                              <w:rPr>
                                <w:rFonts w:ascii="Roboto" w:eastAsia="Calibri" w:hAnsi="Roboto" w:cs="Calibri"/>
                                <w:bCs/>
                                <w:color w:val="1E9A8C"/>
                                <w:sz w:val="20"/>
                                <w:szCs w:val="20"/>
                              </w:rPr>
                            </w:pPr>
                            <w:r w:rsidRPr="00A60D14">
                              <w:rPr>
                                <w:rFonts w:ascii="Roboto" w:eastAsia="Calibri" w:hAnsi="Roboto" w:cs="Calibri"/>
                                <w:b/>
                                <w:bCs/>
                                <w:color w:val="1E9A8C"/>
                                <w:sz w:val="20"/>
                                <w:szCs w:val="20"/>
                              </w:rPr>
                              <w:t>IMF:</w:t>
                            </w:r>
                            <w:r w:rsidRPr="00A60D14">
                              <w:rPr>
                                <w:rFonts w:ascii="Roboto" w:eastAsia="Calibri" w:hAnsi="Roboto" w:cs="Calibri"/>
                                <w:bCs/>
                                <w:color w:val="1E9A8C"/>
                                <w:sz w:val="20"/>
                                <w:szCs w:val="20"/>
                              </w:rPr>
                              <w:t xml:space="preserve"> </w:t>
                            </w:r>
                          </w:p>
                          <w:p w14:paraId="5C82A6FA" w14:textId="77777777" w:rsidR="00D15FD8" w:rsidRPr="00656D68" w:rsidRDefault="00AC4DF7" w:rsidP="00331B48">
                            <w:pPr>
                              <w:pStyle w:val="ListParagraph"/>
                              <w:numPr>
                                <w:ilvl w:val="0"/>
                                <w:numId w:val="33"/>
                              </w:numPr>
                              <w:ind w:left="305" w:hanging="305"/>
                              <w:suppressOverlap/>
                              <w:rPr>
                                <w:rFonts w:ascii="Roboto" w:eastAsia="Calibri" w:hAnsi="Roboto" w:cs="Calibri"/>
                                <w:bCs/>
                                <w:color w:val="404040" w:themeColor="text1" w:themeTint="BF"/>
                                <w:sz w:val="20"/>
                                <w:szCs w:val="20"/>
                              </w:rPr>
                            </w:pPr>
                            <w:hyperlink r:id="rId303" w:history="1">
                              <w:r w:rsidR="00D15FD8" w:rsidRPr="00A60D14">
                                <w:rPr>
                                  <w:rStyle w:val="Hyperlink"/>
                                  <w:rFonts w:ascii="Roboto" w:eastAsia="Calibri" w:hAnsi="Roboto" w:cs="Calibri"/>
                                  <w:bCs/>
                                  <w:color w:val="F26C21"/>
                                  <w:sz w:val="20"/>
                                  <w:szCs w:val="20"/>
                                </w:rPr>
                                <w:t>Fiscal Transparency Code</w:t>
                              </w:r>
                            </w:hyperlink>
                            <w:r w:rsidR="00D15FD8" w:rsidRPr="00A60D14">
                              <w:rPr>
                                <w:rFonts w:ascii="Roboto" w:eastAsia="Calibri" w:hAnsi="Roboto" w:cs="Calibri"/>
                                <w:bCs/>
                                <w:color w:val="F26C21"/>
                                <w:sz w:val="20"/>
                                <w:szCs w:val="20"/>
                              </w:rPr>
                              <w:t xml:space="preserve"> </w:t>
                            </w:r>
                            <w:r w:rsidR="00D15FD8" w:rsidRPr="00656D68">
                              <w:rPr>
                                <w:rFonts w:ascii="Roboto" w:eastAsia="Calibri" w:hAnsi="Roboto" w:cs="Calibri"/>
                                <w:bCs/>
                                <w:color w:val="404040" w:themeColor="text1" w:themeTint="BF"/>
                                <w:sz w:val="20"/>
                                <w:szCs w:val="20"/>
                              </w:rPr>
                              <w:t>(2019):</w:t>
                            </w:r>
                            <w:r w:rsidR="00D15FD8" w:rsidRPr="00656D68">
                              <w:rPr>
                                <w:rFonts w:ascii="Roboto" w:hAnsi="Roboto" w:cstheme="minorHAnsi"/>
                                <w:color w:val="404040" w:themeColor="text1" w:themeTint="BF"/>
                                <w:sz w:val="20"/>
                                <w:szCs w:val="20"/>
                              </w:rPr>
                              <w:t xml:space="preserve"> </w:t>
                            </w:r>
                            <w:r w:rsidR="00D15FD8" w:rsidRPr="00656D68">
                              <w:rPr>
                                <w:rFonts w:ascii="Roboto" w:eastAsia="Calibri" w:hAnsi="Roboto" w:cs="Calibri"/>
                                <w:bCs/>
                                <w:color w:val="404040" w:themeColor="text1" w:themeTint="BF"/>
                                <w:sz w:val="20"/>
                                <w:szCs w:val="20"/>
                              </w:rPr>
                              <w:t>Focuses on the availability of information, identifying in particular the main requirements for the annual budget documents presented to the legislature (Principle 2.1). It also stresses the importance of the publication of in-year fiscal reports (Principle 1.2.1) and timely annual financial statements audited by an independent Supreme Auditing Institution (Principles 1.2.2, 1.4.2). Budget documents should also be submitted in adequate time for the legislature to approve the annual budget (Principle 2.2.2). Further Pillar IV states that government revenues from natural resource exploration and extraction activity should be collected, managed, and disbursed in an open and transparent manner.</w:t>
                            </w:r>
                          </w:p>
                          <w:p w14:paraId="1B4CA6AE" w14:textId="77777777" w:rsidR="00D15FD8" w:rsidRPr="00656D68" w:rsidRDefault="00D15FD8" w:rsidP="002D14C0">
                            <w:pPr>
                              <w:pStyle w:val="ListParagraph"/>
                              <w:ind w:left="305"/>
                              <w:suppressOverlap/>
                              <w:rPr>
                                <w:rFonts w:ascii="Roboto" w:eastAsia="Calibri" w:hAnsi="Roboto" w:cs="Calibri"/>
                                <w:bCs/>
                                <w:color w:val="404040" w:themeColor="text1" w:themeTint="BF"/>
                                <w:sz w:val="20"/>
                                <w:szCs w:val="20"/>
                              </w:rPr>
                            </w:pPr>
                            <w:r w:rsidRPr="00656D68">
                              <w:rPr>
                                <w:rFonts w:ascii="Roboto" w:eastAsia="Calibri" w:hAnsi="Roboto" w:cs="Calibri"/>
                                <w:bCs/>
                                <w:color w:val="404040" w:themeColor="text1" w:themeTint="BF"/>
                                <w:sz w:val="20"/>
                                <w:szCs w:val="20"/>
                              </w:rPr>
                              <w:t>[</w:t>
                            </w:r>
                            <w:hyperlink r:id="rId304" w:history="1">
                              <w:r w:rsidRPr="00A60D14">
                                <w:rPr>
                                  <w:rStyle w:val="Hyperlink"/>
                                  <w:rFonts w:ascii="Roboto" w:eastAsia="Calibri" w:hAnsi="Roboto" w:cs="Calibri"/>
                                  <w:bCs/>
                                  <w:color w:val="F26C21"/>
                                  <w:sz w:val="20"/>
                                  <w:szCs w:val="20"/>
                                </w:rPr>
                                <w:t>Manual on Fiscal Transparency</w:t>
                              </w:r>
                            </w:hyperlink>
                            <w:r w:rsidRPr="00A60D14">
                              <w:rPr>
                                <w:rFonts w:ascii="Roboto" w:eastAsia="Calibri" w:hAnsi="Roboto" w:cs="Calibri"/>
                                <w:bCs/>
                                <w:color w:val="F26C21"/>
                                <w:sz w:val="20"/>
                                <w:szCs w:val="20"/>
                              </w:rPr>
                              <w:t xml:space="preserve"> </w:t>
                            </w:r>
                            <w:r w:rsidRPr="00656D68">
                              <w:rPr>
                                <w:rFonts w:ascii="Roboto" w:eastAsia="Calibri" w:hAnsi="Roboto" w:cs="Calibri"/>
                                <w:bCs/>
                                <w:color w:val="404040" w:themeColor="text1" w:themeTint="BF"/>
                                <w:sz w:val="20"/>
                                <w:szCs w:val="20"/>
                              </w:rPr>
                              <w:t>(2007): Particularly p 13; pp 23-24; pp 35-43; pp 58- 59; and pp 60-64].</w:t>
                            </w:r>
                          </w:p>
                          <w:p w14:paraId="66A31D3A" w14:textId="77777777" w:rsidR="00D15FD8" w:rsidRPr="00656D68" w:rsidRDefault="00D15FD8" w:rsidP="002D14C0">
                            <w:pPr>
                              <w:pStyle w:val="ListParagraph"/>
                              <w:ind w:left="305"/>
                              <w:suppressOverlap/>
                              <w:rPr>
                                <w:rFonts w:ascii="Roboto" w:eastAsia="Calibri" w:hAnsi="Roboto" w:cs="Calibri"/>
                                <w:bCs/>
                                <w:color w:val="404040" w:themeColor="text1" w:themeTint="BF"/>
                                <w:sz w:val="20"/>
                                <w:szCs w:val="20"/>
                              </w:rPr>
                            </w:pPr>
                          </w:p>
                          <w:p w14:paraId="1AA526DE" w14:textId="77777777" w:rsidR="00D15FD8" w:rsidRPr="00A60D14" w:rsidRDefault="00D15FD8" w:rsidP="002D14C0">
                            <w:pPr>
                              <w:suppressOverlap/>
                              <w:rPr>
                                <w:rFonts w:ascii="Roboto" w:eastAsia="Calibri" w:hAnsi="Roboto" w:cs="Calibri"/>
                                <w:bCs/>
                                <w:i/>
                                <w:color w:val="1E9A8C"/>
                                <w:sz w:val="20"/>
                                <w:szCs w:val="20"/>
                              </w:rPr>
                            </w:pPr>
                            <w:r w:rsidRPr="00A60D14">
                              <w:rPr>
                                <w:rFonts w:ascii="Roboto" w:eastAsia="Calibri" w:hAnsi="Roboto" w:cs="Calibri"/>
                                <w:b/>
                                <w:bCs/>
                                <w:color w:val="1E9A8C"/>
                                <w:sz w:val="20"/>
                                <w:szCs w:val="20"/>
                              </w:rPr>
                              <w:t>OECD</w:t>
                            </w:r>
                            <w:r w:rsidRPr="00A60D14">
                              <w:rPr>
                                <w:rFonts w:ascii="Roboto" w:eastAsia="Calibri" w:hAnsi="Roboto" w:cs="Calibri"/>
                                <w:bCs/>
                                <w:color w:val="1E9A8C"/>
                                <w:sz w:val="20"/>
                                <w:szCs w:val="20"/>
                              </w:rPr>
                              <w:t>:</w:t>
                            </w:r>
                            <w:r w:rsidRPr="00A60D14">
                              <w:rPr>
                                <w:rFonts w:ascii="Roboto" w:eastAsia="Calibri" w:hAnsi="Roboto" w:cs="Calibri"/>
                                <w:bCs/>
                                <w:i/>
                                <w:color w:val="1E9A8C"/>
                                <w:sz w:val="20"/>
                                <w:szCs w:val="20"/>
                              </w:rPr>
                              <w:t xml:space="preserve"> </w:t>
                            </w:r>
                          </w:p>
                          <w:p w14:paraId="4CD0E299" w14:textId="77777777" w:rsidR="00D15FD8" w:rsidRPr="00656D68" w:rsidRDefault="00AC4DF7" w:rsidP="00331B48">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05" w:history="1">
                              <w:r w:rsidR="00D15FD8" w:rsidRPr="00A60D14">
                                <w:rPr>
                                  <w:rStyle w:val="Hyperlink"/>
                                  <w:rFonts w:ascii="Roboto" w:eastAsia="Calibri" w:hAnsi="Roboto" w:cs="Calibri"/>
                                  <w:bCs/>
                                  <w:color w:val="F26C21"/>
                                  <w:sz w:val="20"/>
                                  <w:szCs w:val="20"/>
                                </w:rPr>
                                <w:t>Recommendation of the Council on Budgetary Governance</w:t>
                              </w:r>
                            </w:hyperlink>
                            <w:r w:rsidR="00D15FD8" w:rsidRPr="00A60D14">
                              <w:rPr>
                                <w:rFonts w:ascii="Roboto" w:eastAsia="Calibri" w:hAnsi="Roboto" w:cs="Calibri"/>
                                <w:bCs/>
                                <w:color w:val="F26C21"/>
                                <w:sz w:val="20"/>
                                <w:szCs w:val="20"/>
                              </w:rPr>
                              <w:t xml:space="preserve"> </w:t>
                            </w:r>
                            <w:r w:rsidR="00D15FD8" w:rsidRPr="00656D68">
                              <w:rPr>
                                <w:rFonts w:ascii="Roboto" w:eastAsia="Calibri" w:hAnsi="Roboto" w:cs="Calibri"/>
                                <w:bCs/>
                                <w:color w:val="404040" w:themeColor="text1" w:themeTint="BF"/>
                                <w:sz w:val="20"/>
                                <w:szCs w:val="20"/>
                              </w:rPr>
                              <w:t>(2015): The national parliament has a fundamental role in authorising budget decisions and in holding government to account. Countries should offer opportunities for the parliament and its committees to engage with the budget process at all key stages of the budget cycle, both ex ante and ex post as appropriate. The Principles of Good Budgetary Governance confirm the importance of timely, clear, factual budget reports to support effective discussion and debate on policy choices (Principles 4a and 4b) and the preparation and scrutiny of budget execution reports (Principle 7f). They also require opportunities for the parliament and its committees to engage with the budget process at all key stages in the budget cycle (Principle 5a) and support for the publication of audit reports by the Supreme Audit Institution in a manner that is timely and relevant for the budget cycle (Principle 10 d).</w:t>
                            </w:r>
                          </w:p>
                          <w:p w14:paraId="0491DA28" w14:textId="77777777" w:rsidR="00D15FD8" w:rsidRPr="00656D68" w:rsidRDefault="00AC4DF7" w:rsidP="00331B48">
                            <w:pPr>
                              <w:pStyle w:val="ListParagraph"/>
                              <w:numPr>
                                <w:ilvl w:val="0"/>
                                <w:numId w:val="29"/>
                              </w:numPr>
                              <w:ind w:left="308" w:hanging="308"/>
                              <w:suppressOverlap/>
                              <w:rPr>
                                <w:rFonts w:ascii="Roboto" w:eastAsia="Calibri" w:hAnsi="Roboto" w:cs="Calibri"/>
                                <w:bCs/>
                                <w:iCs/>
                                <w:color w:val="404040" w:themeColor="text1" w:themeTint="BF"/>
                                <w:sz w:val="20"/>
                                <w:szCs w:val="20"/>
                              </w:rPr>
                            </w:pPr>
                            <w:hyperlink r:id="rId306" w:history="1">
                              <w:r w:rsidR="00D15FD8" w:rsidRPr="00A60D14">
                                <w:rPr>
                                  <w:rStyle w:val="Hyperlink"/>
                                  <w:rFonts w:ascii="Roboto" w:eastAsia="Calibri" w:hAnsi="Roboto" w:cs="Calibri"/>
                                  <w:color w:val="F26C21"/>
                                  <w:sz w:val="20"/>
                                  <w:szCs w:val="20"/>
                                </w:rPr>
                                <w:t>Budget Transparency Toolkit</w:t>
                              </w:r>
                            </w:hyperlink>
                            <w:r w:rsidR="00D15FD8" w:rsidRPr="00A60D14">
                              <w:rPr>
                                <w:rFonts w:ascii="Roboto" w:eastAsia="Calibri" w:hAnsi="Roboto" w:cs="Calibri"/>
                                <w:color w:val="F26C21"/>
                                <w:sz w:val="20"/>
                                <w:szCs w:val="20"/>
                              </w:rPr>
                              <w:t xml:space="preserve"> </w:t>
                            </w:r>
                            <w:r w:rsidR="00D15FD8" w:rsidRPr="00656D68">
                              <w:rPr>
                                <w:rFonts w:ascii="Roboto" w:eastAsia="Calibri" w:hAnsi="Roboto" w:cs="Calibri"/>
                                <w:color w:val="404040" w:themeColor="text1" w:themeTint="BF"/>
                                <w:sz w:val="20"/>
                                <w:szCs w:val="20"/>
                              </w:rPr>
                              <w:t>(2017)</w:t>
                            </w:r>
                            <w:r w:rsidR="00D15FD8" w:rsidRPr="00656D68">
                              <w:rPr>
                                <w:rFonts w:ascii="Roboto" w:eastAsia="Calibri" w:hAnsi="Roboto" w:cs="Calibri"/>
                                <w:bCs/>
                                <w:iCs/>
                                <w:color w:val="404040" w:themeColor="text1" w:themeTint="BF"/>
                                <w:sz w:val="20"/>
                                <w:szCs w:val="20"/>
                              </w:rPr>
                              <w:t>:</w:t>
                            </w:r>
                            <w:r w:rsidR="00D15FD8" w:rsidRPr="00656D68">
                              <w:rPr>
                                <w:rFonts w:ascii="Roboto" w:eastAsia="Calibri" w:hAnsi="Roboto" w:cs="Calibri"/>
                                <w:bCs/>
                                <w:color w:val="404040" w:themeColor="text1" w:themeTint="BF"/>
                                <w:sz w:val="20"/>
                                <w:szCs w:val="20"/>
                              </w:rPr>
                              <w:t xml:space="preserve"> C</w:t>
                            </w:r>
                            <w:r w:rsidR="00D15FD8" w:rsidRPr="00656D68">
                              <w:rPr>
                                <w:rFonts w:ascii="Roboto" w:eastAsia="Calibri" w:hAnsi="Roboto" w:cs="Calibri"/>
                                <w:bCs/>
                                <w:iCs/>
                                <w:color w:val="404040" w:themeColor="text1" w:themeTint="BF"/>
                                <w:sz w:val="20"/>
                                <w:szCs w:val="20"/>
                              </w:rPr>
                              <w:t>ontains a section on the parliament (or legislature), with topics covering the operation of Parliamentary Committees on the budget and public accounts; engagement on the government’s pre-budget statement; parliamentary approval of the budget; parliamentary scrutiny of budget execution and outturn; and specialist analytical and research resources.</w:t>
                            </w:r>
                          </w:p>
                          <w:p w14:paraId="6A6AEA73" w14:textId="77777777" w:rsidR="00D15FD8" w:rsidRPr="00656D68" w:rsidRDefault="00AC4DF7" w:rsidP="00331B48">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07" w:history="1">
                              <w:r w:rsidR="00D15FD8" w:rsidRPr="00A60D14">
                                <w:rPr>
                                  <w:rStyle w:val="Hyperlink"/>
                                  <w:rFonts w:ascii="Roboto" w:eastAsia="Calibri" w:hAnsi="Roboto" w:cs="Calibri"/>
                                  <w:bCs/>
                                  <w:iCs/>
                                  <w:color w:val="F26C21"/>
                                  <w:sz w:val="20"/>
                                  <w:szCs w:val="20"/>
                                </w:rPr>
                                <w:t>Best Practices for Budget Transparency</w:t>
                              </w:r>
                            </w:hyperlink>
                            <w:r w:rsidR="00D15FD8" w:rsidRPr="00A60D14">
                              <w:rPr>
                                <w:rFonts w:ascii="Roboto" w:eastAsia="Calibri" w:hAnsi="Roboto" w:cs="Calibri"/>
                                <w:bCs/>
                                <w:iCs/>
                                <w:color w:val="F26C21"/>
                                <w:sz w:val="20"/>
                                <w:szCs w:val="20"/>
                              </w:rPr>
                              <w:t xml:space="preserve"> </w:t>
                            </w:r>
                            <w:r w:rsidR="00D15FD8" w:rsidRPr="00656D68">
                              <w:rPr>
                                <w:rFonts w:ascii="Roboto" w:eastAsia="Calibri" w:hAnsi="Roboto" w:cs="Calibri"/>
                                <w:bCs/>
                                <w:iCs/>
                                <w:color w:val="404040" w:themeColor="text1" w:themeTint="BF"/>
                                <w:sz w:val="20"/>
                                <w:szCs w:val="20"/>
                              </w:rPr>
                              <w:t>(2002): S</w:t>
                            </w:r>
                            <w:r w:rsidR="00D15FD8" w:rsidRPr="00656D68">
                              <w:rPr>
                                <w:rFonts w:ascii="Roboto" w:eastAsia="Calibri" w:hAnsi="Roboto" w:cs="Calibri"/>
                                <w:bCs/>
                                <w:color w:val="404040" w:themeColor="text1" w:themeTint="BF"/>
                                <w:sz w:val="20"/>
                                <w:szCs w:val="20"/>
                              </w:rPr>
                              <w:t>tipulates that t</w:t>
                            </w:r>
                            <w:r w:rsidR="00D15FD8" w:rsidRPr="00656D68">
                              <w:rPr>
                                <w:rFonts w:ascii="Roboto" w:eastAsia="Calibri" w:hAnsi="Roboto" w:cs="Calibri"/>
                                <w:color w:val="404040" w:themeColor="text1" w:themeTint="BF"/>
                                <w:sz w:val="20"/>
                                <w:szCs w:val="20"/>
                              </w:rPr>
                              <w:t xml:space="preserve">he government’s draft budget should be submitted to Parliament no less than three months prior to the start of the fiscal year, and the budget should be approved by Parliament prior to the start of the fiscal year; and that Parliament should have the opportunity and the resources to effectively examine any fiscal report that it deems necessary. </w:t>
                            </w:r>
                          </w:p>
                          <w:p w14:paraId="22B12747" w14:textId="5DF4AFC1" w:rsidR="00D15FD8" w:rsidRPr="00656D68" w:rsidRDefault="00AC4DF7" w:rsidP="00331B48">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08" w:history="1">
                              <w:r w:rsidR="00D15FD8" w:rsidRPr="00A60D14">
                                <w:rPr>
                                  <w:rStyle w:val="Hyperlink"/>
                                  <w:rFonts w:ascii="Roboto" w:eastAsia="Calibri" w:hAnsi="Roboto" w:cs="Calibri"/>
                                  <w:bCs/>
                                  <w:color w:val="F26C21"/>
                                  <w:sz w:val="20"/>
                                  <w:szCs w:val="20"/>
                                </w:rPr>
                                <w:t>Recommendation of the Council on Principles for Independent Fiscal Institutions</w:t>
                              </w:r>
                            </w:hyperlink>
                            <w:r w:rsidR="00D15FD8">
                              <w:rPr>
                                <w:rFonts w:ascii="Roboto" w:eastAsia="Calibri" w:hAnsi="Roboto" w:cs="Calibri"/>
                                <w:bCs/>
                                <w:color w:val="F26C21"/>
                                <w:sz w:val="20"/>
                                <w:szCs w:val="20"/>
                                <w:u w:val="single"/>
                              </w:rPr>
                              <w:t xml:space="preserve"> </w:t>
                            </w:r>
                            <w:r w:rsidR="00D15FD8">
                              <w:rPr>
                                <w:rFonts w:ascii="Roboto" w:eastAsia="Calibri" w:hAnsi="Roboto" w:cs="Calibri"/>
                                <w:bCs/>
                                <w:color w:val="404040" w:themeColor="text1" w:themeTint="BF"/>
                                <w:sz w:val="20"/>
                                <w:szCs w:val="20"/>
                              </w:rPr>
                              <w:t>(2</w:t>
                            </w:r>
                            <w:r w:rsidR="00D15FD8" w:rsidRPr="00656D68">
                              <w:rPr>
                                <w:rFonts w:ascii="Roboto" w:eastAsia="Calibri" w:hAnsi="Roboto" w:cs="Calibri"/>
                                <w:bCs/>
                                <w:color w:val="404040" w:themeColor="text1" w:themeTint="BF"/>
                                <w:sz w:val="20"/>
                                <w:szCs w:val="20"/>
                              </w:rPr>
                              <w:t xml:space="preserve">014): Include norms on independence, mandate and transparency for parliamentary budget offices. </w:t>
                            </w:r>
                          </w:p>
                          <w:p w14:paraId="013C9F0C" w14:textId="77777777" w:rsidR="00D15FD8" w:rsidRDefault="00D15FD8" w:rsidP="002D14C0">
                            <w:pPr>
                              <w:rPr>
                                <w:rFonts w:ascii="Roboto" w:hAnsi="Roboto"/>
                                <w:sz w:val="20"/>
                                <w:szCs w:val="20"/>
                              </w:rPr>
                            </w:pPr>
                          </w:p>
                          <w:p w14:paraId="0DAE3115" w14:textId="77777777" w:rsidR="00D15FD8" w:rsidRDefault="00D15FD8" w:rsidP="002D14C0">
                            <w:pPr>
                              <w:suppressOverlap/>
                              <w:rPr>
                                <w:rFonts w:ascii="Roboto" w:eastAsia="Calibri" w:hAnsi="Roboto" w:cs="Calibri"/>
                                <w:bCs/>
                                <w:color w:val="404040" w:themeColor="text1" w:themeTint="BF"/>
                                <w:sz w:val="20"/>
                                <w:szCs w:val="20"/>
                              </w:rPr>
                            </w:pPr>
                            <w:r w:rsidRPr="00A60D14">
                              <w:rPr>
                                <w:rFonts w:ascii="Roboto" w:eastAsia="Calibri" w:hAnsi="Roboto" w:cs="Calibri"/>
                                <w:b/>
                                <w:bCs/>
                                <w:color w:val="1E9A8C"/>
                                <w:sz w:val="20"/>
                                <w:szCs w:val="20"/>
                              </w:rPr>
                              <w:t>Commonwealth Parliamentary Association</w:t>
                            </w:r>
                            <w:r w:rsidRPr="00A60D14">
                              <w:rPr>
                                <w:rFonts w:ascii="Roboto" w:eastAsia="Calibri" w:hAnsi="Roboto" w:cs="Calibri"/>
                                <w:bCs/>
                                <w:color w:val="1E9A8C"/>
                                <w:sz w:val="20"/>
                                <w:szCs w:val="20"/>
                              </w:rPr>
                              <w:t xml:space="preserve">: </w:t>
                            </w:r>
                            <w:hyperlink r:id="rId309" w:history="1">
                              <w:r w:rsidRPr="00A60D14">
                                <w:rPr>
                                  <w:rStyle w:val="Hyperlink"/>
                                  <w:rFonts w:ascii="Roboto" w:eastAsia="Calibri" w:hAnsi="Roboto" w:cs="Calibri"/>
                                  <w:bCs/>
                                  <w:iCs/>
                                  <w:color w:val="F26C21"/>
                                  <w:sz w:val="20"/>
                                  <w:szCs w:val="20"/>
                                </w:rPr>
                                <w:t>Recommended Benchmarks for Democratic Legislatures</w:t>
                              </w:r>
                            </w:hyperlink>
                            <w:r w:rsidRPr="00A60D14">
                              <w:rPr>
                                <w:rFonts w:ascii="Roboto" w:eastAsia="Calibri" w:hAnsi="Roboto" w:cs="Calibri"/>
                                <w:bCs/>
                                <w:color w:val="F26C21"/>
                                <w:sz w:val="20"/>
                                <w:szCs w:val="20"/>
                                <w:u w:val="single"/>
                              </w:rPr>
                              <w:t xml:space="preserve"> </w:t>
                            </w:r>
                            <w:r w:rsidRPr="00A60D14">
                              <w:rPr>
                                <w:rFonts w:ascii="Roboto" w:eastAsia="Calibri" w:hAnsi="Roboto" w:cs="Calibri"/>
                                <w:bCs/>
                                <w:color w:val="404040" w:themeColor="text1" w:themeTint="BF"/>
                                <w:sz w:val="20"/>
                                <w:szCs w:val="20"/>
                              </w:rPr>
                              <w:t xml:space="preserve">(2018) state that the approval of the legislature is required for the passage of all legislation, including budgets, and that only the legislature shall be empowered to determine its own budget. </w:t>
                            </w:r>
                          </w:p>
                          <w:p w14:paraId="6E9D9C10" w14:textId="77777777" w:rsidR="00D15FD8" w:rsidRPr="00A60D14" w:rsidRDefault="00D15FD8" w:rsidP="002D14C0">
                            <w:pPr>
                              <w:suppressOverlap/>
                              <w:rPr>
                                <w:rFonts w:ascii="Roboto" w:eastAsia="Calibri" w:hAnsi="Roboto" w:cs="Calibri"/>
                                <w:bCs/>
                                <w:color w:val="404040" w:themeColor="text1" w:themeTint="BF"/>
                                <w:sz w:val="20"/>
                                <w:szCs w:val="20"/>
                              </w:rPr>
                            </w:pPr>
                          </w:p>
                          <w:p w14:paraId="2F790850" w14:textId="77777777" w:rsidR="00D15FD8" w:rsidRPr="00A60D14" w:rsidRDefault="00D15FD8" w:rsidP="002D14C0">
                            <w:pPr>
                              <w:suppressOverlap/>
                              <w:rPr>
                                <w:rFonts w:ascii="Roboto" w:eastAsia="Calibri" w:hAnsi="Roboto" w:cs="Calibri"/>
                                <w:color w:val="404040" w:themeColor="text1" w:themeTint="BF"/>
                                <w:sz w:val="20"/>
                                <w:szCs w:val="20"/>
                              </w:rPr>
                            </w:pPr>
                            <w:r w:rsidRPr="00A60D14">
                              <w:rPr>
                                <w:rFonts w:ascii="Roboto" w:eastAsia="Calibri" w:hAnsi="Roboto" w:cs="Calibri"/>
                                <w:b/>
                                <w:color w:val="1E9A8C"/>
                                <w:sz w:val="20"/>
                                <w:szCs w:val="20"/>
                              </w:rPr>
                              <w:t>Inter-Parliamentary Union</w:t>
                            </w:r>
                            <w:r w:rsidRPr="00A60D14">
                              <w:rPr>
                                <w:rFonts w:ascii="Roboto" w:eastAsia="Calibri" w:hAnsi="Roboto" w:cs="Calibri"/>
                                <w:color w:val="1E9A8C"/>
                                <w:sz w:val="20"/>
                                <w:szCs w:val="20"/>
                              </w:rPr>
                              <w:t>:</w:t>
                            </w:r>
                            <w:r w:rsidRPr="00A60D14">
                              <w:rPr>
                                <w:rFonts w:ascii="Roboto" w:eastAsia="Calibri" w:hAnsi="Roboto" w:cs="Calibri"/>
                                <w:i/>
                                <w:color w:val="1E9A8C"/>
                                <w:sz w:val="20"/>
                                <w:szCs w:val="20"/>
                              </w:rPr>
                              <w:t xml:space="preserve"> </w:t>
                            </w:r>
                            <w:hyperlink r:id="rId310" w:history="1">
                              <w:r w:rsidRPr="00A60D14">
                                <w:rPr>
                                  <w:rStyle w:val="Hyperlink"/>
                                  <w:rFonts w:ascii="Roboto" w:eastAsia="Calibri" w:hAnsi="Roboto" w:cs="Calibri"/>
                                  <w:color w:val="F26C21"/>
                                  <w:sz w:val="20"/>
                                  <w:szCs w:val="20"/>
                                </w:rPr>
                                <w:t>P</w:t>
                              </w:r>
                              <w:r w:rsidRPr="00A60D14">
                                <w:rPr>
                                  <w:rStyle w:val="Hyperlink"/>
                                  <w:rFonts w:ascii="Roboto" w:eastAsia="Calibri" w:hAnsi="Roboto" w:cs="Calibri"/>
                                  <w:bCs/>
                                  <w:color w:val="F26C21"/>
                                  <w:sz w:val="20"/>
                                  <w:szCs w:val="20"/>
                                </w:rPr>
                                <w:t>arliament and Democracy in The Twenty-First Century: A Guide to Good Practice</w:t>
                              </w:r>
                            </w:hyperlink>
                            <w:r w:rsidRPr="00A60D14">
                              <w:rPr>
                                <w:rFonts w:ascii="Roboto" w:eastAsia="Calibri" w:hAnsi="Roboto" w:cs="Calibri"/>
                                <w:color w:val="F26C21"/>
                                <w:sz w:val="20"/>
                                <w:szCs w:val="20"/>
                              </w:rPr>
                              <w:t xml:space="preserve"> </w:t>
                            </w:r>
                            <w:r w:rsidRPr="00A60D14">
                              <w:rPr>
                                <w:rFonts w:ascii="Roboto" w:eastAsia="Calibri" w:hAnsi="Roboto" w:cs="Calibri"/>
                                <w:color w:val="404040" w:themeColor="text1" w:themeTint="BF"/>
                                <w:sz w:val="20"/>
                                <w:szCs w:val="20"/>
                              </w:rPr>
                              <w:t>(2006): Sets out</w:t>
                            </w:r>
                            <w:r w:rsidRPr="00A60D14">
                              <w:rPr>
                                <w:rFonts w:ascii="Roboto" w:eastAsia="Calibri" w:hAnsi="Roboto" w:cs="Calibri"/>
                                <w:i/>
                                <w:color w:val="404040" w:themeColor="text1" w:themeTint="BF"/>
                                <w:sz w:val="20"/>
                                <w:szCs w:val="20"/>
                              </w:rPr>
                              <w:t xml:space="preserve"> </w:t>
                            </w:r>
                            <w:r w:rsidRPr="00A60D14">
                              <w:rPr>
                                <w:rFonts w:ascii="Roboto" w:eastAsia="Calibri" w:hAnsi="Roboto" w:cs="Calibri"/>
                                <w:color w:val="404040" w:themeColor="text1" w:themeTint="BF"/>
                                <w:sz w:val="20"/>
                                <w:szCs w:val="20"/>
                              </w:rPr>
                              <w:t>requirements for the effective, transparent, accessible and accountable</w:t>
                            </w:r>
                            <w:r w:rsidRPr="00A60D14">
                              <w:rPr>
                                <w:rFonts w:ascii="Roboto" w:eastAsia="Calibri" w:hAnsi="Roboto" w:cs="Calibri"/>
                                <w:i/>
                                <w:color w:val="404040" w:themeColor="text1" w:themeTint="BF"/>
                                <w:sz w:val="20"/>
                                <w:szCs w:val="20"/>
                              </w:rPr>
                              <w:t xml:space="preserve"> </w:t>
                            </w:r>
                            <w:r w:rsidRPr="00A60D14">
                              <w:rPr>
                                <w:rFonts w:ascii="Roboto" w:eastAsia="Calibri" w:hAnsi="Roboto" w:cs="Calibri"/>
                                <w:color w:val="404040" w:themeColor="text1" w:themeTint="BF"/>
                                <w:sz w:val="20"/>
                                <w:szCs w:val="20"/>
                              </w:rPr>
                              <w:t xml:space="preserve">operation of the legislature. </w:t>
                            </w:r>
                          </w:p>
                          <w:p w14:paraId="5140B5E9" w14:textId="77777777" w:rsidR="00D15FD8" w:rsidRPr="00A60D14" w:rsidRDefault="00D15FD8" w:rsidP="002D14C0">
                            <w:pPr>
                              <w:suppressOverlap/>
                              <w:rPr>
                                <w:rFonts w:ascii="Roboto" w:eastAsia="Calibri" w:hAnsi="Roboto" w:cs="Calibri"/>
                                <w:bCs/>
                                <w:color w:val="404040" w:themeColor="text1" w:themeTint="BF"/>
                                <w:sz w:val="20"/>
                                <w:szCs w:val="20"/>
                              </w:rPr>
                            </w:pPr>
                          </w:p>
                          <w:p w14:paraId="3A8F851C" w14:textId="77777777" w:rsidR="00D15FD8" w:rsidRPr="00656D68"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22F5" id="Text Box 1947" o:spid="_x0000_s1183" type="#_x0000_t202" style="position:absolute;margin-left:0;margin-top:0;width:694.3pt;height:409.05pt;z-index:25368268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" filled="f" stroked="f" strokeweight=".5pt">
                <v:textbox>
                  <w:txbxContent>
                    <w:p w14:paraId="27FAD323" w14:textId="77777777" w:rsidR="00D15FD8" w:rsidRPr="00A60D14" w:rsidRDefault="00D15FD8" w:rsidP="002D14C0">
                      <w:pPr>
                        <w:suppressOverlap/>
                        <w:rPr>
                          <w:rFonts w:ascii="Roboto" w:eastAsia="Calibri" w:hAnsi="Roboto" w:cs="Calibri"/>
                          <w:bCs/>
                          <w:color w:val="1E9A8C"/>
                          <w:sz w:val="20"/>
                          <w:szCs w:val="20"/>
                        </w:rPr>
                      </w:pPr>
                      <w:r w:rsidRPr="00A60D14">
                        <w:rPr>
                          <w:rFonts w:ascii="Roboto" w:eastAsia="Calibri" w:hAnsi="Roboto" w:cs="Calibri"/>
                          <w:b/>
                          <w:bCs/>
                          <w:color w:val="1E9A8C"/>
                          <w:sz w:val="20"/>
                          <w:szCs w:val="20"/>
                        </w:rPr>
                        <w:t>IMF:</w:t>
                      </w:r>
                      <w:r w:rsidRPr="00A60D14">
                        <w:rPr>
                          <w:rFonts w:ascii="Roboto" w:eastAsia="Calibri" w:hAnsi="Roboto" w:cs="Calibri"/>
                          <w:bCs/>
                          <w:color w:val="1E9A8C"/>
                          <w:sz w:val="20"/>
                          <w:szCs w:val="20"/>
                        </w:rPr>
                        <w:t xml:space="preserve"> </w:t>
                      </w:r>
                    </w:p>
                    <w:p w14:paraId="5C82A6FA" w14:textId="77777777" w:rsidR="00D15FD8" w:rsidRPr="00656D68" w:rsidRDefault="00AC4DF7" w:rsidP="00331B48">
                      <w:pPr>
                        <w:pStyle w:val="ListParagraph"/>
                        <w:numPr>
                          <w:ilvl w:val="0"/>
                          <w:numId w:val="33"/>
                        </w:numPr>
                        <w:ind w:left="305" w:hanging="305"/>
                        <w:suppressOverlap/>
                        <w:rPr>
                          <w:rFonts w:ascii="Roboto" w:eastAsia="Calibri" w:hAnsi="Roboto" w:cs="Calibri"/>
                          <w:bCs/>
                          <w:color w:val="404040" w:themeColor="text1" w:themeTint="BF"/>
                          <w:sz w:val="20"/>
                          <w:szCs w:val="20"/>
                        </w:rPr>
                      </w:pPr>
                      <w:hyperlink r:id="rId311" w:history="1">
                        <w:r w:rsidR="00D15FD8" w:rsidRPr="00A60D14">
                          <w:rPr>
                            <w:rStyle w:val="Hyperlink"/>
                            <w:rFonts w:ascii="Roboto" w:eastAsia="Calibri" w:hAnsi="Roboto" w:cs="Calibri"/>
                            <w:bCs/>
                            <w:color w:val="F26C21"/>
                            <w:sz w:val="20"/>
                            <w:szCs w:val="20"/>
                          </w:rPr>
                          <w:t>Fiscal Transparency Code</w:t>
                        </w:r>
                      </w:hyperlink>
                      <w:r w:rsidR="00D15FD8" w:rsidRPr="00A60D14">
                        <w:rPr>
                          <w:rFonts w:ascii="Roboto" w:eastAsia="Calibri" w:hAnsi="Roboto" w:cs="Calibri"/>
                          <w:bCs/>
                          <w:color w:val="F26C21"/>
                          <w:sz w:val="20"/>
                          <w:szCs w:val="20"/>
                        </w:rPr>
                        <w:t xml:space="preserve"> </w:t>
                      </w:r>
                      <w:r w:rsidR="00D15FD8" w:rsidRPr="00656D68">
                        <w:rPr>
                          <w:rFonts w:ascii="Roboto" w:eastAsia="Calibri" w:hAnsi="Roboto" w:cs="Calibri"/>
                          <w:bCs/>
                          <w:color w:val="404040" w:themeColor="text1" w:themeTint="BF"/>
                          <w:sz w:val="20"/>
                          <w:szCs w:val="20"/>
                        </w:rPr>
                        <w:t>(2019):</w:t>
                      </w:r>
                      <w:r w:rsidR="00D15FD8" w:rsidRPr="00656D68">
                        <w:rPr>
                          <w:rFonts w:ascii="Roboto" w:hAnsi="Roboto" w:cstheme="minorHAnsi"/>
                          <w:color w:val="404040" w:themeColor="text1" w:themeTint="BF"/>
                          <w:sz w:val="20"/>
                          <w:szCs w:val="20"/>
                        </w:rPr>
                        <w:t xml:space="preserve"> </w:t>
                      </w:r>
                      <w:r w:rsidR="00D15FD8" w:rsidRPr="00656D68">
                        <w:rPr>
                          <w:rFonts w:ascii="Roboto" w:eastAsia="Calibri" w:hAnsi="Roboto" w:cs="Calibri"/>
                          <w:bCs/>
                          <w:color w:val="404040" w:themeColor="text1" w:themeTint="BF"/>
                          <w:sz w:val="20"/>
                          <w:szCs w:val="20"/>
                        </w:rPr>
                        <w:t>Focuses on the availability of information, identifying in particular the main requirements for the annual budget documents presented to the legislature (Principle 2.1). It also stresses the importance of the publication of in-year fiscal reports (Principle 1.2.1) and timely annual financial statements audited by an independent Supreme Auditing Institution (Principles 1.2.2, 1.4.2). Budget documents should also be submitted in adequate time for the legislature to approve the annual budget (Principle 2.2.2). Further Pillar IV states that government revenues from natural resource exploration and extraction activity should be collected, managed, and disbursed in an open and transparent manner.</w:t>
                      </w:r>
                    </w:p>
                    <w:p w14:paraId="1B4CA6AE" w14:textId="77777777" w:rsidR="00D15FD8" w:rsidRPr="00656D68" w:rsidRDefault="00D15FD8" w:rsidP="002D14C0">
                      <w:pPr>
                        <w:pStyle w:val="ListParagraph"/>
                        <w:ind w:left="305"/>
                        <w:suppressOverlap/>
                        <w:rPr>
                          <w:rFonts w:ascii="Roboto" w:eastAsia="Calibri" w:hAnsi="Roboto" w:cs="Calibri"/>
                          <w:bCs/>
                          <w:color w:val="404040" w:themeColor="text1" w:themeTint="BF"/>
                          <w:sz w:val="20"/>
                          <w:szCs w:val="20"/>
                        </w:rPr>
                      </w:pPr>
                      <w:r w:rsidRPr="00656D68">
                        <w:rPr>
                          <w:rFonts w:ascii="Roboto" w:eastAsia="Calibri" w:hAnsi="Roboto" w:cs="Calibri"/>
                          <w:bCs/>
                          <w:color w:val="404040" w:themeColor="text1" w:themeTint="BF"/>
                          <w:sz w:val="20"/>
                          <w:szCs w:val="20"/>
                        </w:rPr>
                        <w:t>[</w:t>
                      </w:r>
                      <w:hyperlink r:id="rId312" w:history="1">
                        <w:r w:rsidRPr="00A60D14">
                          <w:rPr>
                            <w:rStyle w:val="Hyperlink"/>
                            <w:rFonts w:ascii="Roboto" w:eastAsia="Calibri" w:hAnsi="Roboto" w:cs="Calibri"/>
                            <w:bCs/>
                            <w:color w:val="F26C21"/>
                            <w:sz w:val="20"/>
                            <w:szCs w:val="20"/>
                          </w:rPr>
                          <w:t>Manual on Fiscal Transparency</w:t>
                        </w:r>
                      </w:hyperlink>
                      <w:r w:rsidRPr="00A60D14">
                        <w:rPr>
                          <w:rFonts w:ascii="Roboto" w:eastAsia="Calibri" w:hAnsi="Roboto" w:cs="Calibri"/>
                          <w:bCs/>
                          <w:color w:val="F26C21"/>
                          <w:sz w:val="20"/>
                          <w:szCs w:val="20"/>
                        </w:rPr>
                        <w:t xml:space="preserve"> </w:t>
                      </w:r>
                      <w:r w:rsidRPr="00656D68">
                        <w:rPr>
                          <w:rFonts w:ascii="Roboto" w:eastAsia="Calibri" w:hAnsi="Roboto" w:cs="Calibri"/>
                          <w:bCs/>
                          <w:color w:val="404040" w:themeColor="text1" w:themeTint="BF"/>
                          <w:sz w:val="20"/>
                          <w:szCs w:val="20"/>
                        </w:rPr>
                        <w:t>(2007): Particularly p 13; pp 23-24; pp 35-43; pp 58- 59; and pp 60-64].</w:t>
                      </w:r>
                    </w:p>
                    <w:p w14:paraId="66A31D3A" w14:textId="77777777" w:rsidR="00D15FD8" w:rsidRPr="00656D68" w:rsidRDefault="00D15FD8" w:rsidP="002D14C0">
                      <w:pPr>
                        <w:pStyle w:val="ListParagraph"/>
                        <w:ind w:left="305"/>
                        <w:suppressOverlap/>
                        <w:rPr>
                          <w:rFonts w:ascii="Roboto" w:eastAsia="Calibri" w:hAnsi="Roboto" w:cs="Calibri"/>
                          <w:bCs/>
                          <w:color w:val="404040" w:themeColor="text1" w:themeTint="BF"/>
                          <w:sz w:val="20"/>
                          <w:szCs w:val="20"/>
                        </w:rPr>
                      </w:pPr>
                    </w:p>
                    <w:p w14:paraId="1AA526DE" w14:textId="77777777" w:rsidR="00D15FD8" w:rsidRPr="00A60D14" w:rsidRDefault="00D15FD8" w:rsidP="002D14C0">
                      <w:pPr>
                        <w:suppressOverlap/>
                        <w:rPr>
                          <w:rFonts w:ascii="Roboto" w:eastAsia="Calibri" w:hAnsi="Roboto" w:cs="Calibri"/>
                          <w:bCs/>
                          <w:i/>
                          <w:color w:val="1E9A8C"/>
                          <w:sz w:val="20"/>
                          <w:szCs w:val="20"/>
                        </w:rPr>
                      </w:pPr>
                      <w:r w:rsidRPr="00A60D14">
                        <w:rPr>
                          <w:rFonts w:ascii="Roboto" w:eastAsia="Calibri" w:hAnsi="Roboto" w:cs="Calibri"/>
                          <w:b/>
                          <w:bCs/>
                          <w:color w:val="1E9A8C"/>
                          <w:sz w:val="20"/>
                          <w:szCs w:val="20"/>
                        </w:rPr>
                        <w:t>OECD</w:t>
                      </w:r>
                      <w:r w:rsidRPr="00A60D14">
                        <w:rPr>
                          <w:rFonts w:ascii="Roboto" w:eastAsia="Calibri" w:hAnsi="Roboto" w:cs="Calibri"/>
                          <w:bCs/>
                          <w:color w:val="1E9A8C"/>
                          <w:sz w:val="20"/>
                          <w:szCs w:val="20"/>
                        </w:rPr>
                        <w:t>:</w:t>
                      </w:r>
                      <w:r w:rsidRPr="00A60D14">
                        <w:rPr>
                          <w:rFonts w:ascii="Roboto" w:eastAsia="Calibri" w:hAnsi="Roboto" w:cs="Calibri"/>
                          <w:bCs/>
                          <w:i/>
                          <w:color w:val="1E9A8C"/>
                          <w:sz w:val="20"/>
                          <w:szCs w:val="20"/>
                        </w:rPr>
                        <w:t xml:space="preserve"> </w:t>
                      </w:r>
                    </w:p>
                    <w:p w14:paraId="4CD0E299" w14:textId="77777777" w:rsidR="00D15FD8" w:rsidRPr="00656D68" w:rsidRDefault="00AC4DF7" w:rsidP="00331B48">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13" w:history="1">
                        <w:r w:rsidR="00D15FD8" w:rsidRPr="00A60D14">
                          <w:rPr>
                            <w:rStyle w:val="Hyperlink"/>
                            <w:rFonts w:ascii="Roboto" w:eastAsia="Calibri" w:hAnsi="Roboto" w:cs="Calibri"/>
                            <w:bCs/>
                            <w:color w:val="F26C21"/>
                            <w:sz w:val="20"/>
                            <w:szCs w:val="20"/>
                          </w:rPr>
                          <w:t>Recommendation of the Council on Budgetary Governance</w:t>
                        </w:r>
                      </w:hyperlink>
                      <w:r w:rsidR="00D15FD8" w:rsidRPr="00A60D14">
                        <w:rPr>
                          <w:rFonts w:ascii="Roboto" w:eastAsia="Calibri" w:hAnsi="Roboto" w:cs="Calibri"/>
                          <w:bCs/>
                          <w:color w:val="F26C21"/>
                          <w:sz w:val="20"/>
                          <w:szCs w:val="20"/>
                        </w:rPr>
                        <w:t xml:space="preserve"> </w:t>
                      </w:r>
                      <w:r w:rsidR="00D15FD8" w:rsidRPr="00656D68">
                        <w:rPr>
                          <w:rFonts w:ascii="Roboto" w:eastAsia="Calibri" w:hAnsi="Roboto" w:cs="Calibri"/>
                          <w:bCs/>
                          <w:color w:val="404040" w:themeColor="text1" w:themeTint="BF"/>
                          <w:sz w:val="20"/>
                          <w:szCs w:val="20"/>
                        </w:rPr>
                        <w:t>(2015): The national parliament has a fundamental role in authorising budget decisions and in holding government to account. Countries should offer opportunities for the parliament and its committees to engage with the budget process at all key stages of the budget cycle, both ex ante and ex post as appropriate. The Principles of Good Budgetary Governance confirm the importance of timely, clear, factual budget reports to support effective discussion and debate on policy choices (Principles 4a and 4b) and the preparation and scrutiny of budget execution reports (Principle 7f). They also require opportunities for the parliament and its committees to engage with the budget process at all key stages in the budget cycle (Principle 5a) and support for the publication of audit reports by the Supreme Audit Institution in a manner that is timely and relevant for the budget cycle (Principle 10 d).</w:t>
                      </w:r>
                    </w:p>
                    <w:p w14:paraId="0491DA28" w14:textId="77777777" w:rsidR="00D15FD8" w:rsidRPr="00656D68" w:rsidRDefault="00AC4DF7" w:rsidP="00331B48">
                      <w:pPr>
                        <w:pStyle w:val="ListParagraph"/>
                        <w:numPr>
                          <w:ilvl w:val="0"/>
                          <w:numId w:val="29"/>
                        </w:numPr>
                        <w:ind w:left="308" w:hanging="308"/>
                        <w:suppressOverlap/>
                        <w:rPr>
                          <w:rFonts w:ascii="Roboto" w:eastAsia="Calibri" w:hAnsi="Roboto" w:cs="Calibri"/>
                          <w:bCs/>
                          <w:iCs/>
                          <w:color w:val="404040" w:themeColor="text1" w:themeTint="BF"/>
                          <w:sz w:val="20"/>
                          <w:szCs w:val="20"/>
                        </w:rPr>
                      </w:pPr>
                      <w:hyperlink r:id="rId314" w:history="1">
                        <w:r w:rsidR="00D15FD8" w:rsidRPr="00A60D14">
                          <w:rPr>
                            <w:rStyle w:val="Hyperlink"/>
                            <w:rFonts w:ascii="Roboto" w:eastAsia="Calibri" w:hAnsi="Roboto" w:cs="Calibri"/>
                            <w:color w:val="F26C21"/>
                            <w:sz w:val="20"/>
                            <w:szCs w:val="20"/>
                          </w:rPr>
                          <w:t>Budget Transparency Toolkit</w:t>
                        </w:r>
                      </w:hyperlink>
                      <w:r w:rsidR="00D15FD8" w:rsidRPr="00A60D14">
                        <w:rPr>
                          <w:rFonts w:ascii="Roboto" w:eastAsia="Calibri" w:hAnsi="Roboto" w:cs="Calibri"/>
                          <w:color w:val="F26C21"/>
                          <w:sz w:val="20"/>
                          <w:szCs w:val="20"/>
                        </w:rPr>
                        <w:t xml:space="preserve"> </w:t>
                      </w:r>
                      <w:r w:rsidR="00D15FD8" w:rsidRPr="00656D68">
                        <w:rPr>
                          <w:rFonts w:ascii="Roboto" w:eastAsia="Calibri" w:hAnsi="Roboto" w:cs="Calibri"/>
                          <w:color w:val="404040" w:themeColor="text1" w:themeTint="BF"/>
                          <w:sz w:val="20"/>
                          <w:szCs w:val="20"/>
                        </w:rPr>
                        <w:t>(2017)</w:t>
                      </w:r>
                      <w:r w:rsidR="00D15FD8" w:rsidRPr="00656D68">
                        <w:rPr>
                          <w:rFonts w:ascii="Roboto" w:eastAsia="Calibri" w:hAnsi="Roboto" w:cs="Calibri"/>
                          <w:bCs/>
                          <w:iCs/>
                          <w:color w:val="404040" w:themeColor="text1" w:themeTint="BF"/>
                          <w:sz w:val="20"/>
                          <w:szCs w:val="20"/>
                        </w:rPr>
                        <w:t>:</w:t>
                      </w:r>
                      <w:r w:rsidR="00D15FD8" w:rsidRPr="00656D68">
                        <w:rPr>
                          <w:rFonts w:ascii="Roboto" w:eastAsia="Calibri" w:hAnsi="Roboto" w:cs="Calibri"/>
                          <w:bCs/>
                          <w:color w:val="404040" w:themeColor="text1" w:themeTint="BF"/>
                          <w:sz w:val="20"/>
                          <w:szCs w:val="20"/>
                        </w:rPr>
                        <w:t xml:space="preserve"> C</w:t>
                      </w:r>
                      <w:r w:rsidR="00D15FD8" w:rsidRPr="00656D68">
                        <w:rPr>
                          <w:rFonts w:ascii="Roboto" w:eastAsia="Calibri" w:hAnsi="Roboto" w:cs="Calibri"/>
                          <w:bCs/>
                          <w:iCs/>
                          <w:color w:val="404040" w:themeColor="text1" w:themeTint="BF"/>
                          <w:sz w:val="20"/>
                          <w:szCs w:val="20"/>
                        </w:rPr>
                        <w:t>ontains a section on the parliament (or legislature), with topics covering the operation of Parliamentary Committees on the budget and public accounts; engagement on the government’s pre-budget statement; parliamentary approval of the budget; parliamentary scrutiny of budget execution and outturn; and specialist analytical and research resources.</w:t>
                      </w:r>
                    </w:p>
                    <w:p w14:paraId="6A6AEA73" w14:textId="77777777" w:rsidR="00D15FD8" w:rsidRPr="00656D68" w:rsidRDefault="00AC4DF7" w:rsidP="00331B48">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15" w:history="1">
                        <w:r w:rsidR="00D15FD8" w:rsidRPr="00A60D14">
                          <w:rPr>
                            <w:rStyle w:val="Hyperlink"/>
                            <w:rFonts w:ascii="Roboto" w:eastAsia="Calibri" w:hAnsi="Roboto" w:cs="Calibri"/>
                            <w:bCs/>
                            <w:iCs/>
                            <w:color w:val="F26C21"/>
                            <w:sz w:val="20"/>
                            <w:szCs w:val="20"/>
                          </w:rPr>
                          <w:t>Best Practices for Budget Transparency</w:t>
                        </w:r>
                      </w:hyperlink>
                      <w:r w:rsidR="00D15FD8" w:rsidRPr="00A60D14">
                        <w:rPr>
                          <w:rFonts w:ascii="Roboto" w:eastAsia="Calibri" w:hAnsi="Roboto" w:cs="Calibri"/>
                          <w:bCs/>
                          <w:iCs/>
                          <w:color w:val="F26C21"/>
                          <w:sz w:val="20"/>
                          <w:szCs w:val="20"/>
                        </w:rPr>
                        <w:t xml:space="preserve"> </w:t>
                      </w:r>
                      <w:r w:rsidR="00D15FD8" w:rsidRPr="00656D68">
                        <w:rPr>
                          <w:rFonts w:ascii="Roboto" w:eastAsia="Calibri" w:hAnsi="Roboto" w:cs="Calibri"/>
                          <w:bCs/>
                          <w:iCs/>
                          <w:color w:val="404040" w:themeColor="text1" w:themeTint="BF"/>
                          <w:sz w:val="20"/>
                          <w:szCs w:val="20"/>
                        </w:rPr>
                        <w:t>(2002): S</w:t>
                      </w:r>
                      <w:r w:rsidR="00D15FD8" w:rsidRPr="00656D68">
                        <w:rPr>
                          <w:rFonts w:ascii="Roboto" w:eastAsia="Calibri" w:hAnsi="Roboto" w:cs="Calibri"/>
                          <w:bCs/>
                          <w:color w:val="404040" w:themeColor="text1" w:themeTint="BF"/>
                          <w:sz w:val="20"/>
                          <w:szCs w:val="20"/>
                        </w:rPr>
                        <w:t>tipulates that t</w:t>
                      </w:r>
                      <w:r w:rsidR="00D15FD8" w:rsidRPr="00656D68">
                        <w:rPr>
                          <w:rFonts w:ascii="Roboto" w:eastAsia="Calibri" w:hAnsi="Roboto" w:cs="Calibri"/>
                          <w:color w:val="404040" w:themeColor="text1" w:themeTint="BF"/>
                          <w:sz w:val="20"/>
                          <w:szCs w:val="20"/>
                        </w:rPr>
                        <w:t xml:space="preserve">he government’s draft budget should be submitted to Parliament no less than three months prior to the start of the fiscal year, and the budget should be approved by Parliament prior to the start of the fiscal year; and that Parliament should have the opportunity and the resources to effectively examine any fiscal report that it deems necessary. </w:t>
                      </w:r>
                    </w:p>
                    <w:p w14:paraId="22B12747" w14:textId="5DF4AFC1" w:rsidR="00D15FD8" w:rsidRPr="00656D68" w:rsidRDefault="00AC4DF7" w:rsidP="00331B48">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16" w:history="1">
                        <w:r w:rsidR="00D15FD8" w:rsidRPr="00A60D14">
                          <w:rPr>
                            <w:rStyle w:val="Hyperlink"/>
                            <w:rFonts w:ascii="Roboto" w:eastAsia="Calibri" w:hAnsi="Roboto" w:cs="Calibri"/>
                            <w:bCs/>
                            <w:color w:val="F26C21"/>
                            <w:sz w:val="20"/>
                            <w:szCs w:val="20"/>
                          </w:rPr>
                          <w:t>Recommendation of the Council on Principles for Independent Fiscal Institutions</w:t>
                        </w:r>
                      </w:hyperlink>
                      <w:r w:rsidR="00D15FD8">
                        <w:rPr>
                          <w:rFonts w:ascii="Roboto" w:eastAsia="Calibri" w:hAnsi="Roboto" w:cs="Calibri"/>
                          <w:bCs/>
                          <w:color w:val="F26C21"/>
                          <w:sz w:val="20"/>
                          <w:szCs w:val="20"/>
                          <w:u w:val="single"/>
                        </w:rPr>
                        <w:t xml:space="preserve"> </w:t>
                      </w:r>
                      <w:r w:rsidR="00D15FD8">
                        <w:rPr>
                          <w:rFonts w:ascii="Roboto" w:eastAsia="Calibri" w:hAnsi="Roboto" w:cs="Calibri"/>
                          <w:bCs/>
                          <w:color w:val="404040" w:themeColor="text1" w:themeTint="BF"/>
                          <w:sz w:val="20"/>
                          <w:szCs w:val="20"/>
                        </w:rPr>
                        <w:t>(2</w:t>
                      </w:r>
                      <w:r w:rsidR="00D15FD8" w:rsidRPr="00656D68">
                        <w:rPr>
                          <w:rFonts w:ascii="Roboto" w:eastAsia="Calibri" w:hAnsi="Roboto" w:cs="Calibri"/>
                          <w:bCs/>
                          <w:color w:val="404040" w:themeColor="text1" w:themeTint="BF"/>
                          <w:sz w:val="20"/>
                          <w:szCs w:val="20"/>
                        </w:rPr>
                        <w:t xml:space="preserve">014): Include norms on independence, mandate and transparency for parliamentary budget offices. </w:t>
                      </w:r>
                    </w:p>
                    <w:p w14:paraId="013C9F0C" w14:textId="77777777" w:rsidR="00D15FD8" w:rsidRDefault="00D15FD8" w:rsidP="002D14C0">
                      <w:pPr>
                        <w:rPr>
                          <w:rFonts w:ascii="Roboto" w:hAnsi="Roboto"/>
                          <w:sz w:val="20"/>
                          <w:szCs w:val="20"/>
                        </w:rPr>
                      </w:pPr>
                    </w:p>
                    <w:p w14:paraId="0DAE3115" w14:textId="77777777" w:rsidR="00D15FD8" w:rsidRDefault="00D15FD8" w:rsidP="002D14C0">
                      <w:pPr>
                        <w:suppressOverlap/>
                        <w:rPr>
                          <w:rFonts w:ascii="Roboto" w:eastAsia="Calibri" w:hAnsi="Roboto" w:cs="Calibri"/>
                          <w:bCs/>
                          <w:color w:val="404040" w:themeColor="text1" w:themeTint="BF"/>
                          <w:sz w:val="20"/>
                          <w:szCs w:val="20"/>
                        </w:rPr>
                      </w:pPr>
                      <w:r w:rsidRPr="00A60D14">
                        <w:rPr>
                          <w:rFonts w:ascii="Roboto" w:eastAsia="Calibri" w:hAnsi="Roboto" w:cs="Calibri"/>
                          <w:b/>
                          <w:bCs/>
                          <w:color w:val="1E9A8C"/>
                          <w:sz w:val="20"/>
                          <w:szCs w:val="20"/>
                        </w:rPr>
                        <w:t>Commonwealth Parliamentary Association</w:t>
                      </w:r>
                      <w:r w:rsidRPr="00A60D14">
                        <w:rPr>
                          <w:rFonts w:ascii="Roboto" w:eastAsia="Calibri" w:hAnsi="Roboto" w:cs="Calibri"/>
                          <w:bCs/>
                          <w:color w:val="1E9A8C"/>
                          <w:sz w:val="20"/>
                          <w:szCs w:val="20"/>
                        </w:rPr>
                        <w:t xml:space="preserve">: </w:t>
                      </w:r>
                      <w:hyperlink r:id="rId317" w:history="1">
                        <w:r w:rsidRPr="00A60D14">
                          <w:rPr>
                            <w:rStyle w:val="Hyperlink"/>
                            <w:rFonts w:ascii="Roboto" w:eastAsia="Calibri" w:hAnsi="Roboto" w:cs="Calibri"/>
                            <w:bCs/>
                            <w:iCs/>
                            <w:color w:val="F26C21"/>
                            <w:sz w:val="20"/>
                            <w:szCs w:val="20"/>
                          </w:rPr>
                          <w:t>Recommended Benchmarks for Democratic Legislatures</w:t>
                        </w:r>
                      </w:hyperlink>
                      <w:r w:rsidRPr="00A60D14">
                        <w:rPr>
                          <w:rFonts w:ascii="Roboto" w:eastAsia="Calibri" w:hAnsi="Roboto" w:cs="Calibri"/>
                          <w:bCs/>
                          <w:color w:val="F26C21"/>
                          <w:sz w:val="20"/>
                          <w:szCs w:val="20"/>
                          <w:u w:val="single"/>
                        </w:rPr>
                        <w:t xml:space="preserve"> </w:t>
                      </w:r>
                      <w:r w:rsidRPr="00A60D14">
                        <w:rPr>
                          <w:rFonts w:ascii="Roboto" w:eastAsia="Calibri" w:hAnsi="Roboto" w:cs="Calibri"/>
                          <w:bCs/>
                          <w:color w:val="404040" w:themeColor="text1" w:themeTint="BF"/>
                          <w:sz w:val="20"/>
                          <w:szCs w:val="20"/>
                        </w:rPr>
                        <w:t xml:space="preserve">(2018) state that the approval of the legislature is required for the passage of all legislation, including budgets, and that only the legislature shall be empowered to determine its own budget. </w:t>
                      </w:r>
                    </w:p>
                    <w:p w14:paraId="6E9D9C10" w14:textId="77777777" w:rsidR="00D15FD8" w:rsidRPr="00A60D14" w:rsidRDefault="00D15FD8" w:rsidP="002D14C0">
                      <w:pPr>
                        <w:suppressOverlap/>
                        <w:rPr>
                          <w:rFonts w:ascii="Roboto" w:eastAsia="Calibri" w:hAnsi="Roboto" w:cs="Calibri"/>
                          <w:bCs/>
                          <w:color w:val="404040" w:themeColor="text1" w:themeTint="BF"/>
                          <w:sz w:val="20"/>
                          <w:szCs w:val="20"/>
                        </w:rPr>
                      </w:pPr>
                    </w:p>
                    <w:p w14:paraId="2F790850" w14:textId="77777777" w:rsidR="00D15FD8" w:rsidRPr="00A60D14" w:rsidRDefault="00D15FD8" w:rsidP="002D14C0">
                      <w:pPr>
                        <w:suppressOverlap/>
                        <w:rPr>
                          <w:rFonts w:ascii="Roboto" w:eastAsia="Calibri" w:hAnsi="Roboto" w:cs="Calibri"/>
                          <w:color w:val="404040" w:themeColor="text1" w:themeTint="BF"/>
                          <w:sz w:val="20"/>
                          <w:szCs w:val="20"/>
                        </w:rPr>
                      </w:pPr>
                      <w:r w:rsidRPr="00A60D14">
                        <w:rPr>
                          <w:rFonts w:ascii="Roboto" w:eastAsia="Calibri" w:hAnsi="Roboto" w:cs="Calibri"/>
                          <w:b/>
                          <w:color w:val="1E9A8C"/>
                          <w:sz w:val="20"/>
                          <w:szCs w:val="20"/>
                        </w:rPr>
                        <w:t>Inter-Parliamentary Union</w:t>
                      </w:r>
                      <w:r w:rsidRPr="00A60D14">
                        <w:rPr>
                          <w:rFonts w:ascii="Roboto" w:eastAsia="Calibri" w:hAnsi="Roboto" w:cs="Calibri"/>
                          <w:color w:val="1E9A8C"/>
                          <w:sz w:val="20"/>
                          <w:szCs w:val="20"/>
                        </w:rPr>
                        <w:t>:</w:t>
                      </w:r>
                      <w:r w:rsidRPr="00A60D14">
                        <w:rPr>
                          <w:rFonts w:ascii="Roboto" w:eastAsia="Calibri" w:hAnsi="Roboto" w:cs="Calibri"/>
                          <w:i/>
                          <w:color w:val="1E9A8C"/>
                          <w:sz w:val="20"/>
                          <w:szCs w:val="20"/>
                        </w:rPr>
                        <w:t xml:space="preserve"> </w:t>
                      </w:r>
                      <w:hyperlink r:id="rId318" w:history="1">
                        <w:r w:rsidRPr="00A60D14">
                          <w:rPr>
                            <w:rStyle w:val="Hyperlink"/>
                            <w:rFonts w:ascii="Roboto" w:eastAsia="Calibri" w:hAnsi="Roboto" w:cs="Calibri"/>
                            <w:color w:val="F26C21"/>
                            <w:sz w:val="20"/>
                            <w:szCs w:val="20"/>
                          </w:rPr>
                          <w:t>P</w:t>
                        </w:r>
                        <w:r w:rsidRPr="00A60D14">
                          <w:rPr>
                            <w:rStyle w:val="Hyperlink"/>
                            <w:rFonts w:ascii="Roboto" w:eastAsia="Calibri" w:hAnsi="Roboto" w:cs="Calibri"/>
                            <w:bCs/>
                            <w:color w:val="F26C21"/>
                            <w:sz w:val="20"/>
                            <w:szCs w:val="20"/>
                          </w:rPr>
                          <w:t>arliament and Democracy in The Twenty-First Century: A Guide to Good Practice</w:t>
                        </w:r>
                      </w:hyperlink>
                      <w:r w:rsidRPr="00A60D14">
                        <w:rPr>
                          <w:rFonts w:ascii="Roboto" w:eastAsia="Calibri" w:hAnsi="Roboto" w:cs="Calibri"/>
                          <w:color w:val="F26C21"/>
                          <w:sz w:val="20"/>
                          <w:szCs w:val="20"/>
                        </w:rPr>
                        <w:t xml:space="preserve"> </w:t>
                      </w:r>
                      <w:r w:rsidRPr="00A60D14">
                        <w:rPr>
                          <w:rFonts w:ascii="Roboto" w:eastAsia="Calibri" w:hAnsi="Roboto" w:cs="Calibri"/>
                          <w:color w:val="404040" w:themeColor="text1" w:themeTint="BF"/>
                          <w:sz w:val="20"/>
                          <w:szCs w:val="20"/>
                        </w:rPr>
                        <w:t>(2006): Sets out</w:t>
                      </w:r>
                      <w:r w:rsidRPr="00A60D14">
                        <w:rPr>
                          <w:rFonts w:ascii="Roboto" w:eastAsia="Calibri" w:hAnsi="Roboto" w:cs="Calibri"/>
                          <w:i/>
                          <w:color w:val="404040" w:themeColor="text1" w:themeTint="BF"/>
                          <w:sz w:val="20"/>
                          <w:szCs w:val="20"/>
                        </w:rPr>
                        <w:t xml:space="preserve"> </w:t>
                      </w:r>
                      <w:r w:rsidRPr="00A60D14">
                        <w:rPr>
                          <w:rFonts w:ascii="Roboto" w:eastAsia="Calibri" w:hAnsi="Roboto" w:cs="Calibri"/>
                          <w:color w:val="404040" w:themeColor="text1" w:themeTint="BF"/>
                          <w:sz w:val="20"/>
                          <w:szCs w:val="20"/>
                        </w:rPr>
                        <w:t>requirements for the effective, transparent, accessible and accountable</w:t>
                      </w:r>
                      <w:r w:rsidRPr="00A60D14">
                        <w:rPr>
                          <w:rFonts w:ascii="Roboto" w:eastAsia="Calibri" w:hAnsi="Roboto" w:cs="Calibri"/>
                          <w:i/>
                          <w:color w:val="404040" w:themeColor="text1" w:themeTint="BF"/>
                          <w:sz w:val="20"/>
                          <w:szCs w:val="20"/>
                        </w:rPr>
                        <w:t xml:space="preserve"> </w:t>
                      </w:r>
                      <w:r w:rsidRPr="00A60D14">
                        <w:rPr>
                          <w:rFonts w:ascii="Roboto" w:eastAsia="Calibri" w:hAnsi="Roboto" w:cs="Calibri"/>
                          <w:color w:val="404040" w:themeColor="text1" w:themeTint="BF"/>
                          <w:sz w:val="20"/>
                          <w:szCs w:val="20"/>
                        </w:rPr>
                        <w:t xml:space="preserve">operation of the legislature. </w:t>
                      </w:r>
                    </w:p>
                    <w:p w14:paraId="5140B5E9" w14:textId="77777777" w:rsidR="00D15FD8" w:rsidRPr="00A60D14" w:rsidRDefault="00D15FD8" w:rsidP="002D14C0">
                      <w:pPr>
                        <w:suppressOverlap/>
                        <w:rPr>
                          <w:rFonts w:ascii="Roboto" w:eastAsia="Calibri" w:hAnsi="Roboto" w:cs="Calibri"/>
                          <w:bCs/>
                          <w:color w:val="404040" w:themeColor="text1" w:themeTint="BF"/>
                          <w:sz w:val="20"/>
                          <w:szCs w:val="20"/>
                        </w:rPr>
                      </w:pPr>
                    </w:p>
                    <w:p w14:paraId="3A8F851C" w14:textId="77777777" w:rsidR="00D15FD8" w:rsidRPr="00656D68" w:rsidRDefault="00D15FD8" w:rsidP="002D14C0">
                      <w:pPr>
                        <w:rPr>
                          <w:rFonts w:ascii="Roboto" w:hAnsi="Roboto"/>
                          <w:sz w:val="20"/>
                          <w:szCs w:val="20"/>
                        </w:rPr>
                      </w:pPr>
                    </w:p>
                  </w:txbxContent>
                </v:textbox>
                <w10:wrap anchorx="margin" anchory="margin"/>
              </v:shape>
            </w:pict>
          </mc:Fallback>
        </mc:AlternateContent>
      </w:r>
    </w:p>
    <w:p w14:paraId="5DE962EE" w14:textId="4A075B6D" w:rsidR="00203FAB" w:rsidRPr="00A60D14" w:rsidRDefault="00203FAB" w:rsidP="002D14C0">
      <w:pPr>
        <w:rPr>
          <w:rFonts w:ascii="Roboto" w:hAnsi="Roboto"/>
        </w:rPr>
      </w:pPr>
    </w:p>
    <w:p w14:paraId="5D85256B" w14:textId="0FCCEF50" w:rsidR="00203FAB" w:rsidRPr="00A60D14" w:rsidRDefault="00203FAB" w:rsidP="002D14C0">
      <w:pPr>
        <w:rPr>
          <w:rFonts w:ascii="Roboto" w:hAnsi="Roboto"/>
        </w:rPr>
      </w:pPr>
    </w:p>
    <w:p w14:paraId="57F9555B" w14:textId="41BB37C1" w:rsidR="00203FAB" w:rsidRPr="00A60D14" w:rsidRDefault="00203FAB" w:rsidP="002D14C0">
      <w:pPr>
        <w:rPr>
          <w:rFonts w:ascii="Roboto" w:hAnsi="Roboto"/>
        </w:rPr>
      </w:pPr>
    </w:p>
    <w:p w14:paraId="134C7BF2" w14:textId="69C74E96" w:rsidR="00203FAB" w:rsidRPr="00A60D14" w:rsidRDefault="00203FAB" w:rsidP="002D14C0">
      <w:pPr>
        <w:rPr>
          <w:rFonts w:ascii="Roboto" w:hAnsi="Roboto"/>
        </w:rPr>
      </w:pPr>
    </w:p>
    <w:p w14:paraId="783BBE5D" w14:textId="0314A353" w:rsidR="00203FAB" w:rsidRPr="00A60D14" w:rsidRDefault="00203FAB" w:rsidP="002D14C0">
      <w:pPr>
        <w:rPr>
          <w:rFonts w:ascii="Roboto" w:hAnsi="Roboto"/>
        </w:rPr>
      </w:pPr>
    </w:p>
    <w:p w14:paraId="2702F29E" w14:textId="3EFBCD72" w:rsidR="00203FAB" w:rsidRPr="00A60D14" w:rsidRDefault="00203FAB" w:rsidP="002D14C0">
      <w:pPr>
        <w:rPr>
          <w:rFonts w:ascii="Roboto" w:hAnsi="Roboto"/>
        </w:rPr>
      </w:pPr>
    </w:p>
    <w:p w14:paraId="3722628D" w14:textId="482C7D31" w:rsidR="00203FAB" w:rsidRPr="00A60D14" w:rsidRDefault="00203FAB" w:rsidP="002D14C0">
      <w:pPr>
        <w:rPr>
          <w:rFonts w:ascii="Roboto" w:hAnsi="Roboto"/>
        </w:rPr>
      </w:pPr>
    </w:p>
    <w:p w14:paraId="3D2B9C2E" w14:textId="4ABD51B9" w:rsidR="00203FAB" w:rsidRPr="00A60D14" w:rsidRDefault="00203FAB" w:rsidP="002D14C0">
      <w:pPr>
        <w:rPr>
          <w:rFonts w:ascii="Roboto" w:hAnsi="Roboto"/>
        </w:rPr>
      </w:pPr>
    </w:p>
    <w:p w14:paraId="4D136C33" w14:textId="315A02A6" w:rsidR="00203FAB" w:rsidRPr="00A60D14" w:rsidRDefault="00203FAB" w:rsidP="002D14C0">
      <w:pPr>
        <w:rPr>
          <w:rFonts w:ascii="Roboto" w:hAnsi="Roboto"/>
        </w:rPr>
      </w:pPr>
    </w:p>
    <w:p w14:paraId="7D2AB20C" w14:textId="34BA404F" w:rsidR="00203FAB" w:rsidRPr="00A60D14" w:rsidRDefault="00203FAB" w:rsidP="002D14C0">
      <w:pPr>
        <w:rPr>
          <w:rFonts w:ascii="Roboto" w:hAnsi="Roboto"/>
        </w:rPr>
      </w:pPr>
    </w:p>
    <w:p w14:paraId="69FD682C" w14:textId="6B604D13" w:rsidR="00203FAB" w:rsidRPr="00A60D14" w:rsidRDefault="00203FAB" w:rsidP="002D14C0">
      <w:pPr>
        <w:rPr>
          <w:rFonts w:ascii="Roboto" w:hAnsi="Roboto"/>
        </w:rPr>
      </w:pPr>
    </w:p>
    <w:p w14:paraId="39925CE4" w14:textId="457798BB" w:rsidR="00203FAB" w:rsidRPr="00A60D14" w:rsidRDefault="00203FAB" w:rsidP="002D14C0">
      <w:pPr>
        <w:rPr>
          <w:rFonts w:ascii="Roboto" w:hAnsi="Roboto"/>
        </w:rPr>
      </w:pPr>
    </w:p>
    <w:p w14:paraId="3F0268CD" w14:textId="15D669F1" w:rsidR="00203FAB" w:rsidRPr="00A60D14" w:rsidRDefault="00203FAB" w:rsidP="002D14C0">
      <w:pPr>
        <w:rPr>
          <w:rFonts w:ascii="Roboto" w:hAnsi="Roboto"/>
        </w:rPr>
      </w:pPr>
    </w:p>
    <w:p w14:paraId="5A7B4F5F" w14:textId="5DAB10ED" w:rsidR="00203FAB" w:rsidRPr="00A60D14"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84574" behindDoc="0" locked="0" layoutInCell="1" allowOverlap="1" wp14:anchorId="3A909101" wp14:editId="6F3BEE90">
                <wp:simplePos x="0" y="0"/>
                <wp:positionH relativeFrom="column">
                  <wp:posOffset>-3610928</wp:posOffset>
                </wp:positionH>
                <wp:positionV relativeFrom="paragraph">
                  <wp:posOffset>456120</wp:posOffset>
                </wp:positionV>
                <wp:extent cx="5976620" cy="252095"/>
                <wp:effectExtent l="0" t="0" r="0" b="0"/>
                <wp:wrapNone/>
                <wp:docPr id="273" name="Text Box 273"/>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5BB2CAF2" w14:textId="2FBF164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909101" id="Text Box 273" o:spid="_x0000_s1184" type="#_x0000_t202" style="position:absolute;margin-left:-284.35pt;margin-top:35.9pt;width:470.6pt;height:19.85pt;rotation:90;z-index:2553845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" filled="f" stroked="f" strokeweight=".5pt">
                <v:textbox>
                  <w:txbxContent>
                    <w:p w14:paraId="5BB2CAF2" w14:textId="2FBF164B"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45</w:t>
                      </w:r>
                    </w:p>
                  </w:txbxContent>
                </v:textbox>
              </v:shape>
            </w:pict>
          </mc:Fallback>
        </mc:AlternateContent>
      </w:r>
    </w:p>
    <w:p w14:paraId="47A0D39E" w14:textId="50FCD6F3" w:rsidR="00203FAB" w:rsidRPr="00A60D14" w:rsidRDefault="00203FAB" w:rsidP="002D14C0">
      <w:pPr>
        <w:rPr>
          <w:rFonts w:ascii="Roboto" w:hAnsi="Roboto"/>
        </w:rPr>
      </w:pPr>
    </w:p>
    <w:p w14:paraId="7FE321A5" w14:textId="21C1A6FF" w:rsidR="00203FAB" w:rsidRPr="00A60D14" w:rsidRDefault="00203FAB" w:rsidP="002D14C0">
      <w:pPr>
        <w:rPr>
          <w:rFonts w:ascii="Roboto" w:hAnsi="Roboto"/>
        </w:rPr>
      </w:pPr>
    </w:p>
    <w:p w14:paraId="478EC18F" w14:textId="568A050F" w:rsidR="00203FAB" w:rsidRPr="00A60D14"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83550" behindDoc="0" locked="0" layoutInCell="1" allowOverlap="1" wp14:anchorId="3EBFB902" wp14:editId="779D893E">
                <wp:simplePos x="0" y="0"/>
                <wp:positionH relativeFrom="column">
                  <wp:posOffset>6517640</wp:posOffset>
                </wp:positionH>
                <wp:positionV relativeFrom="paragraph">
                  <wp:posOffset>13335</wp:posOffset>
                </wp:positionV>
                <wp:extent cx="5976620" cy="252095"/>
                <wp:effectExtent l="4762" t="0" r="0" b="0"/>
                <wp:wrapNone/>
                <wp:docPr id="243" name="Text Box 243"/>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4BA73DCA" w14:textId="33FAAF42"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26299760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9FA55B5"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BFB902" id="Text Box 243" o:spid="_x0000_s1185" type="#_x0000_t202" style="position:absolute;margin-left:513.2pt;margin-top:1.05pt;width:470.6pt;height:19.85pt;rotation:90;z-index:2553835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" fillcolor="white [3201]" stroked="f" strokeweight=".5pt">
                <v:textbox>
                  <w:txbxContent>
                    <w:p w14:paraId="4BA73DCA" w14:textId="33FAAF42"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26299760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9FA55B5" w14:textId="77777777" w:rsidR="00D15FD8" w:rsidRDefault="00D15FD8" w:rsidP="003D7CCB"/>
                  </w:txbxContent>
                </v:textbox>
              </v:shape>
            </w:pict>
          </mc:Fallback>
        </mc:AlternateContent>
      </w:r>
    </w:p>
    <w:p w14:paraId="4AA46649" w14:textId="77777777" w:rsidR="00203FAB" w:rsidRPr="00A60D14" w:rsidRDefault="00203FAB" w:rsidP="002D14C0">
      <w:pPr>
        <w:rPr>
          <w:rFonts w:ascii="Roboto" w:hAnsi="Roboto"/>
        </w:rPr>
      </w:pPr>
    </w:p>
    <w:p w14:paraId="1FF4E878" w14:textId="470BEFD8" w:rsidR="00203FAB" w:rsidRPr="00A60D14" w:rsidRDefault="00203FAB" w:rsidP="002D14C0">
      <w:pPr>
        <w:rPr>
          <w:rFonts w:ascii="Roboto" w:hAnsi="Roboto"/>
        </w:rPr>
      </w:pPr>
    </w:p>
    <w:p w14:paraId="1187174B" w14:textId="77777777" w:rsidR="00203FAB" w:rsidRPr="00A60D14" w:rsidRDefault="00203FAB" w:rsidP="002D14C0">
      <w:pPr>
        <w:rPr>
          <w:rFonts w:ascii="Roboto" w:hAnsi="Roboto"/>
        </w:rPr>
      </w:pPr>
    </w:p>
    <w:p w14:paraId="0695479B" w14:textId="77777777" w:rsidR="00203FAB" w:rsidRPr="00A60D14" w:rsidRDefault="00203FAB" w:rsidP="002D14C0">
      <w:pPr>
        <w:rPr>
          <w:rFonts w:ascii="Roboto" w:hAnsi="Roboto"/>
        </w:rPr>
      </w:pPr>
    </w:p>
    <w:p w14:paraId="27E8B0FE" w14:textId="14DB07C9" w:rsidR="00203FAB" w:rsidRDefault="00203FAB" w:rsidP="002D14C0">
      <w:pPr>
        <w:rPr>
          <w:rFonts w:ascii="Roboto" w:hAnsi="Roboto"/>
        </w:rPr>
      </w:pPr>
    </w:p>
    <w:p w14:paraId="31C6660A" w14:textId="527B373F" w:rsidR="00E74316" w:rsidRDefault="00E74316" w:rsidP="002D14C0">
      <w:pPr>
        <w:rPr>
          <w:rFonts w:ascii="Roboto" w:hAnsi="Roboto"/>
        </w:rPr>
      </w:pPr>
    </w:p>
    <w:p w14:paraId="278592EA" w14:textId="11B6E79E" w:rsidR="00E74316" w:rsidRDefault="00E74316" w:rsidP="002D14C0">
      <w:pPr>
        <w:rPr>
          <w:rFonts w:ascii="Roboto" w:hAnsi="Roboto"/>
        </w:rPr>
      </w:pPr>
    </w:p>
    <w:p w14:paraId="30E04C2D" w14:textId="0FA41482" w:rsidR="00E74316" w:rsidRDefault="00E74316" w:rsidP="002D14C0">
      <w:pPr>
        <w:rPr>
          <w:rFonts w:ascii="Roboto" w:hAnsi="Roboto"/>
        </w:rPr>
      </w:pPr>
    </w:p>
    <w:p w14:paraId="032E2751" w14:textId="5957B46A" w:rsidR="00E74316" w:rsidRDefault="00E74316" w:rsidP="002D14C0">
      <w:pPr>
        <w:rPr>
          <w:rFonts w:ascii="Roboto" w:hAnsi="Roboto"/>
        </w:rPr>
      </w:pPr>
    </w:p>
    <w:p w14:paraId="14B12A51" w14:textId="39F7119F"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497214" behindDoc="0" locked="0" layoutInCell="1" allowOverlap="1" wp14:anchorId="32955E30" wp14:editId="526767C9">
                <wp:simplePos x="0" y="0"/>
                <wp:positionH relativeFrom="column">
                  <wp:posOffset>5501640</wp:posOffset>
                </wp:positionH>
                <wp:positionV relativeFrom="paragraph">
                  <wp:posOffset>1491506</wp:posOffset>
                </wp:positionV>
                <wp:extent cx="3878317" cy="504497"/>
                <wp:effectExtent l="0" t="0" r="0" b="3810"/>
                <wp:wrapNone/>
                <wp:docPr id="412" name="Rectangle 412"/>
                <wp:cNvGraphicFramePr/>
                <a:graphic xmlns:a="http://schemas.openxmlformats.org/drawingml/2006/main">
                  <a:graphicData uri="http://schemas.microsoft.com/office/word/2010/wordprocessingShape">
                    <wps:wsp>
                      <wps:cNvSpPr/>
                      <wps:spPr>
                        <a:xfrm>
                          <a:off x="0" y="0"/>
                          <a:ext cx="3878317" cy="5044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15A5F1A4" id="Rectangle 412" o:spid="_x0000_s1026" style="position:absolute;margin-left:433.2pt;margin-top:117.45pt;width:305.4pt;height:39.7pt;z-index:2554972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" fillcolor="white [3212]" stroked="f" strokeweight="1pt"/>
            </w:pict>
          </mc:Fallback>
        </mc:AlternateContent>
      </w:r>
      <w:r w:rsidR="00487B7F">
        <w:rPr>
          <w:rFonts w:ascii="Arial" w:hAnsi="Arial" w:cs="Arial"/>
          <w:noProof/>
          <w:sz w:val="24"/>
          <w:szCs w:val="24"/>
          <w:lang w:val="en-US"/>
        </w:rPr>
        <mc:AlternateContent>
          <mc:Choice Requires="wps">
            <w:drawing>
              <wp:anchor distT="0" distB="0" distL="114300" distR="114300" simplePos="0" relativeHeight="254759934" behindDoc="1" locked="0" layoutInCell="1" allowOverlap="1" wp14:anchorId="12714BBF" wp14:editId="229A2DC8">
                <wp:simplePos x="0" y="0"/>
                <wp:positionH relativeFrom="margin">
                  <wp:align>center</wp:align>
                </wp:positionH>
                <wp:positionV relativeFrom="margin">
                  <wp:align>center</wp:align>
                </wp:positionV>
                <wp:extent cx="9856189" cy="5972400"/>
                <wp:effectExtent l="12700" t="12700" r="12065" b="9525"/>
                <wp:wrapNone/>
                <wp:docPr id="2614" name="Rectangle 2614"/>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72B3DD"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14BBF" id="Rectangle 2614" o:spid="_x0000_s1186" style="position:absolute;margin-left:0;margin-top:0;width:776.1pt;height:470.25pt;z-index:-24855654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" fillcolor="#f2f2f2 [3052]" strokecolor="#16988a" strokeweight="1.5pt">
                <v:textbox>
                  <w:txbxContent>
                    <w:p w14:paraId="7A72B3DD" w14:textId="77777777" w:rsidR="00D15FD8" w:rsidRPr="003625BA" w:rsidRDefault="00D15FD8" w:rsidP="003625BA">
                      <w:pPr>
                        <w:jc w:val="center"/>
                        <w:rPr>
                          <w:lang w:val="en-US"/>
                        </w:rPr>
                      </w:pPr>
                    </w:p>
                  </w:txbxContent>
                </v:textbox>
                <w10:wrap anchorx="margin" anchory="margin"/>
              </v:rect>
            </w:pict>
          </mc:Fallback>
        </mc:AlternateContent>
      </w:r>
      <w:r w:rsidR="00CC3EBD">
        <w:rPr>
          <w:rFonts w:ascii="Roboto" w:hAnsi="Roboto"/>
        </w:rPr>
        <w:br w:type="page"/>
      </w:r>
    </w:p>
    <w:p w14:paraId="24DAD625" w14:textId="7B329681" w:rsidR="00203FAB" w:rsidRPr="00A60D14"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499262" behindDoc="0" locked="0" layoutInCell="1" allowOverlap="1" wp14:anchorId="0340C8F8" wp14:editId="52556D2B">
                <wp:simplePos x="0" y="0"/>
                <wp:positionH relativeFrom="column">
                  <wp:posOffset>-347367</wp:posOffset>
                </wp:positionH>
                <wp:positionV relativeFrom="paragraph">
                  <wp:posOffset>-536050</wp:posOffset>
                </wp:positionV>
                <wp:extent cx="3878317" cy="268014"/>
                <wp:effectExtent l="0" t="0" r="0" b="0"/>
                <wp:wrapNone/>
                <wp:docPr id="413" name="Rectangle 413"/>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1E50FBF1" id="Rectangle 413" o:spid="_x0000_s1026" style="position:absolute;margin-left:-27.35pt;margin-top:-42.2pt;width:305.4pt;height:21.1pt;z-index:255499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" fillcolor="white [3212]" stroked="f" strokeweight="1pt"/>
            </w:pict>
          </mc:Fallback>
        </mc:AlternateContent>
      </w:r>
      <w:r w:rsidR="005668DD" w:rsidRPr="00A60D14">
        <w:rPr>
          <w:rFonts w:ascii="Roboto" w:hAnsi="Roboto"/>
          <w:noProof/>
          <w:lang w:val="en-US"/>
        </w:rPr>
        <mc:AlternateContent>
          <mc:Choice Requires="wps">
            <w:drawing>
              <wp:anchor distT="0" distB="0" distL="114300" distR="114300" simplePos="0" relativeHeight="253685758" behindDoc="0" locked="0" layoutInCell="1" allowOverlap="1" wp14:anchorId="770D95E8" wp14:editId="6BA101E0">
                <wp:simplePos x="0" y="0"/>
                <wp:positionH relativeFrom="margin">
                  <wp:align>center</wp:align>
                </wp:positionH>
                <wp:positionV relativeFrom="margin">
                  <wp:align>center</wp:align>
                </wp:positionV>
                <wp:extent cx="8817610" cy="5016500"/>
                <wp:effectExtent l="0" t="0" r="0" b="0"/>
                <wp:wrapNone/>
                <wp:docPr id="1948" name="Text Box 1948"/>
                <wp:cNvGraphicFramePr/>
                <a:graphic xmlns:a="http://schemas.openxmlformats.org/drawingml/2006/main">
                  <a:graphicData uri="http://schemas.microsoft.com/office/word/2010/wordprocessingShape">
                    <wps:wsp>
                      <wps:cNvSpPr txBox="1"/>
                      <wps:spPr>
                        <a:xfrm>
                          <a:off x="0" y="0"/>
                          <a:ext cx="8817610" cy="5016500"/>
                        </a:xfrm>
                        <a:prstGeom prst="rect">
                          <a:avLst/>
                        </a:prstGeom>
                        <a:noFill/>
                        <a:ln w="6350">
                          <a:noFill/>
                        </a:ln>
                      </wps:spPr>
                      <wps:txbx>
                        <w:txbxContent>
                          <w:p w14:paraId="2234D5C8" w14:textId="77777777" w:rsidR="00D15FD8" w:rsidRPr="00A60D14" w:rsidRDefault="00D15FD8" w:rsidP="002D14C0">
                            <w:pPr>
                              <w:spacing w:after="160" w:line="259" w:lineRule="auto"/>
                              <w:suppressOverlap/>
                              <w:rPr>
                                <w:rFonts w:ascii="Roboto" w:eastAsia="Calibri" w:hAnsi="Roboto" w:cs="Calibri"/>
                                <w:color w:val="404040" w:themeColor="text1" w:themeTint="BF"/>
                                <w:sz w:val="20"/>
                                <w:szCs w:val="20"/>
                              </w:rPr>
                            </w:pPr>
                            <w:r w:rsidRPr="00A60D14">
                              <w:rPr>
                                <w:rFonts w:ascii="Roboto" w:eastAsia="Calibri" w:hAnsi="Roboto" w:cs="Calibri"/>
                                <w:b/>
                                <w:color w:val="1E9A8C"/>
                                <w:sz w:val="20"/>
                                <w:szCs w:val="20"/>
                              </w:rPr>
                              <w:t>European Parliamentarians with Africa (AWEPA):</w:t>
                            </w:r>
                            <w:r w:rsidRPr="00A60D14">
                              <w:rPr>
                                <w:rFonts w:ascii="Roboto" w:eastAsia="Calibri" w:hAnsi="Roboto" w:cs="Calibri"/>
                                <w:color w:val="1E9A8C"/>
                                <w:sz w:val="20"/>
                                <w:szCs w:val="20"/>
                              </w:rPr>
                              <w:t xml:space="preserve"> </w:t>
                            </w:r>
                            <w:hyperlink r:id="rId319" w:history="1">
                              <w:r w:rsidRPr="00A60D14">
                                <w:rPr>
                                  <w:rStyle w:val="Hyperlink"/>
                                  <w:rFonts w:ascii="Roboto" w:eastAsia="Calibri" w:hAnsi="Roboto" w:cs="Calibri"/>
                                  <w:color w:val="F26C21"/>
                                  <w:sz w:val="20"/>
                                  <w:szCs w:val="20"/>
                                </w:rPr>
                                <w:t>The Legislative Principles for Development Effectiveness</w:t>
                              </w:r>
                            </w:hyperlink>
                            <w:r w:rsidRPr="00A60D14">
                              <w:rPr>
                                <w:rFonts w:ascii="Roboto" w:eastAsia="Calibri" w:hAnsi="Roboto" w:cs="Calibri"/>
                                <w:color w:val="F26C21"/>
                                <w:sz w:val="20"/>
                                <w:szCs w:val="20"/>
                              </w:rPr>
                              <w:t xml:space="preserve"> </w:t>
                            </w:r>
                            <w:r w:rsidRPr="00A60D14">
                              <w:rPr>
                                <w:rFonts w:ascii="Roboto" w:eastAsia="Calibri" w:hAnsi="Roboto" w:cs="Calibri"/>
                                <w:color w:val="404040" w:themeColor="text1" w:themeTint="BF"/>
                                <w:sz w:val="20"/>
                                <w:szCs w:val="20"/>
                              </w:rPr>
                              <w:t xml:space="preserve">(2011): Principles intended to elevate the legislative branch of government to ensure domestic accountability. The principles recognize the key role legislatures should play in national strategy development and in budget formulation, approval and implementation. Also sets out desirable practices with respect to aid modalities, transparency and the budget process, including requirements that donors provide aid in a manner that allows the executive to put aid on budget, all information on aid must be accessible to and usable by the legislature, and budget calendars must allow enough time for legislative committees to analyse budget proposals. </w:t>
                            </w:r>
                          </w:p>
                          <w:p w14:paraId="5FFA2602" w14:textId="77777777" w:rsidR="00D15FD8" w:rsidRPr="00A60D14" w:rsidRDefault="00AC4DF7" w:rsidP="002D14C0">
                            <w:pPr>
                              <w:spacing w:after="160" w:line="259" w:lineRule="auto"/>
                              <w:suppressOverlap/>
                              <w:rPr>
                                <w:rFonts w:ascii="Roboto" w:eastAsia="Calibri" w:hAnsi="Roboto" w:cs="Calibri"/>
                                <w:color w:val="404040" w:themeColor="text1" w:themeTint="BF"/>
                                <w:sz w:val="20"/>
                                <w:szCs w:val="20"/>
                              </w:rPr>
                            </w:pPr>
                            <w:hyperlink r:id="rId320" w:history="1">
                              <w:r w:rsidR="00D15FD8" w:rsidRPr="00A60D14">
                                <w:rPr>
                                  <w:rStyle w:val="Hyperlink"/>
                                  <w:rFonts w:ascii="Roboto" w:eastAsia="Calibri" w:hAnsi="Roboto" w:cs="Calibri"/>
                                  <w:color w:val="F26C21"/>
                                  <w:sz w:val="20"/>
                                  <w:szCs w:val="20"/>
                                </w:rPr>
                                <w:t>Declaration on Parliamentary Openness</w:t>
                              </w:r>
                            </w:hyperlink>
                            <w:r w:rsidR="00D15FD8" w:rsidRPr="00A60D14">
                              <w:rPr>
                                <w:rFonts w:ascii="Roboto" w:eastAsia="Calibri" w:hAnsi="Roboto" w:cs="Calibri"/>
                                <w:color w:val="404040" w:themeColor="text1" w:themeTint="BF"/>
                                <w:sz w:val="20"/>
                                <w:szCs w:val="20"/>
                              </w:rPr>
                              <w:t xml:space="preserve"> (2012): Principle 23: Parliaments should be provided with information in an easily accessible form on the national budget, including past, current and projected revenues and expenditures; parliament’s own budget; budget execution reports, bids and contracts; and promoting public participation.</w:t>
                            </w:r>
                          </w:p>
                          <w:p w14:paraId="1A90F817" w14:textId="77777777" w:rsidR="00D15FD8" w:rsidRPr="00A60D14" w:rsidRDefault="00AC4DF7" w:rsidP="002D14C0">
                            <w:pPr>
                              <w:spacing w:after="160" w:line="259" w:lineRule="auto"/>
                              <w:suppressOverlap/>
                              <w:rPr>
                                <w:rFonts w:ascii="Roboto" w:eastAsia="Calibri" w:hAnsi="Roboto" w:cs="Calibri"/>
                                <w:color w:val="404040" w:themeColor="text1" w:themeTint="BF"/>
                                <w:sz w:val="20"/>
                                <w:szCs w:val="20"/>
                              </w:rPr>
                            </w:pPr>
                            <w:hyperlink r:id="rId321" w:history="1">
                              <w:r w:rsidR="00D15FD8" w:rsidRPr="00A60D14">
                                <w:rPr>
                                  <w:rStyle w:val="Hyperlink"/>
                                  <w:rFonts w:ascii="Roboto" w:hAnsi="Roboto"/>
                                  <w:color w:val="F26C21"/>
                                  <w:sz w:val="20"/>
                                  <w:szCs w:val="20"/>
                                </w:rPr>
                                <w:t>Strengthening Accountability through Fiscal Openness: A Toolkit for Parliamentarians in the Americas and the Caribbean</w:t>
                              </w:r>
                            </w:hyperlink>
                            <w:r w:rsidR="00D15FD8" w:rsidRPr="00A60D14">
                              <w:rPr>
                                <w:rFonts w:ascii="Roboto" w:eastAsia="Calibri" w:hAnsi="Roboto" w:cs="Calibri"/>
                                <w:color w:val="F26C21"/>
                                <w:sz w:val="20"/>
                                <w:szCs w:val="20"/>
                              </w:rPr>
                              <w:t xml:space="preserve"> </w:t>
                            </w:r>
                            <w:r w:rsidR="00D15FD8" w:rsidRPr="00A60D14">
                              <w:rPr>
                                <w:rFonts w:ascii="Roboto" w:eastAsia="Calibri" w:hAnsi="Roboto" w:cs="Calibri"/>
                                <w:color w:val="404040" w:themeColor="text1" w:themeTint="BF"/>
                                <w:sz w:val="20"/>
                                <w:szCs w:val="20"/>
                              </w:rPr>
                              <w:t>(2020):</w:t>
                            </w:r>
                            <w:r w:rsidR="00D15FD8" w:rsidRPr="00A60D14">
                              <w:rPr>
                                <w:rFonts w:ascii="Roboto" w:hAnsi="Roboto"/>
                                <w:color w:val="404040" w:themeColor="text1" w:themeTint="BF"/>
                                <w:sz w:val="20"/>
                                <w:szCs w:val="20"/>
                              </w:rPr>
                              <w:t xml:space="preserve"> P</w:t>
                            </w:r>
                            <w:r w:rsidR="00D15FD8" w:rsidRPr="00A60D14">
                              <w:rPr>
                                <w:rFonts w:ascii="Roboto" w:eastAsia="Calibri" w:hAnsi="Roboto" w:cs="Calibri"/>
                                <w:color w:val="404040" w:themeColor="text1" w:themeTint="BF"/>
                                <w:sz w:val="20"/>
                                <w:szCs w:val="20"/>
                              </w:rPr>
                              <w:t>rovides an overview of good practices to promote transparency, accountability and participation throughout the financial cycle. It is tailored to parliamentarians, parliamentary staff and relevant stakeholders in the Americas and the Caribbean. It covers the parliamentary financial cycle, including the budgetary process and major fiscal policy or spending bills, such as infrastructure projects or tax reform, and long-term planning. It concisely summarizes and synthesizes the most recent international standards and resources on parliamentary fiscal scrutiny.</w:t>
                            </w:r>
                          </w:p>
                          <w:p w14:paraId="468A4A45" w14:textId="77777777" w:rsidR="00D15FD8" w:rsidRPr="00A60D14" w:rsidRDefault="00D15FD8" w:rsidP="002D14C0">
                            <w:pPr>
                              <w:suppressOverlap/>
                              <w:rPr>
                                <w:rFonts w:ascii="Roboto" w:eastAsia="Calibri" w:hAnsi="Roboto" w:cs="Calibri"/>
                                <w:b/>
                                <w:bCs/>
                                <w:color w:val="404040" w:themeColor="text1" w:themeTint="BF"/>
                                <w:sz w:val="20"/>
                                <w:szCs w:val="20"/>
                                <w:u w:val="single"/>
                              </w:rPr>
                            </w:pPr>
                            <w:r w:rsidRPr="00A60D14">
                              <w:rPr>
                                <w:rFonts w:ascii="Roboto" w:eastAsia="Calibri" w:hAnsi="Roboto" w:cs="Calibri"/>
                                <w:b/>
                                <w:color w:val="404040" w:themeColor="text1" w:themeTint="BF"/>
                                <w:sz w:val="20"/>
                                <w:szCs w:val="20"/>
                              </w:rPr>
                              <w:br w:type="page"/>
                            </w:r>
                            <w:r w:rsidRPr="00A60D14">
                              <w:rPr>
                                <w:rFonts w:ascii="Roboto" w:eastAsia="Calibri" w:hAnsi="Roboto" w:cs="Calibri"/>
                                <w:b/>
                                <w:bCs/>
                                <w:color w:val="1E9A8C"/>
                                <w:sz w:val="20"/>
                                <w:szCs w:val="20"/>
                                <w:u w:val="single"/>
                              </w:rPr>
                              <w:t>Assessment frameworks:</w:t>
                            </w:r>
                          </w:p>
                          <w:p w14:paraId="42501095" w14:textId="77777777" w:rsidR="00D15FD8" w:rsidRPr="00A60D14" w:rsidRDefault="00D15FD8" w:rsidP="002D14C0">
                            <w:pPr>
                              <w:suppressOverlap/>
                              <w:rPr>
                                <w:rFonts w:ascii="Roboto" w:eastAsia="Calibri" w:hAnsi="Roboto" w:cs="Calibri"/>
                                <w:b/>
                                <w:bCs/>
                                <w:color w:val="404040" w:themeColor="text1" w:themeTint="BF"/>
                                <w:sz w:val="20"/>
                                <w:szCs w:val="20"/>
                                <w:u w:val="single"/>
                              </w:rPr>
                            </w:pPr>
                          </w:p>
                          <w:p w14:paraId="149903F7" w14:textId="77777777" w:rsidR="00D15FD8" w:rsidRPr="00A60D14" w:rsidRDefault="00D15FD8" w:rsidP="002D14C0">
                            <w:pPr>
                              <w:suppressOverlap/>
                              <w:rPr>
                                <w:rFonts w:ascii="Roboto" w:eastAsia="Calibri" w:hAnsi="Roboto" w:cs="Calibri"/>
                                <w:color w:val="404040" w:themeColor="text1" w:themeTint="BF"/>
                                <w:sz w:val="20"/>
                                <w:szCs w:val="20"/>
                              </w:rPr>
                            </w:pPr>
                            <w:r w:rsidRPr="00A60D14">
                              <w:rPr>
                                <w:rFonts w:ascii="Roboto" w:eastAsia="Calibri" w:hAnsi="Roboto" w:cs="Calibri"/>
                                <w:b/>
                                <w:bCs/>
                                <w:color w:val="1E9A8C"/>
                                <w:sz w:val="20"/>
                                <w:szCs w:val="20"/>
                              </w:rPr>
                              <w:t xml:space="preserve">PEFA: </w:t>
                            </w:r>
                            <w:hyperlink r:id="rId322" w:history="1">
                              <w:r w:rsidRPr="00A60D14">
                                <w:rPr>
                                  <w:rStyle w:val="Hyperlink"/>
                                  <w:rFonts w:ascii="Roboto" w:eastAsia="Calibri" w:hAnsi="Roboto" w:cs="Calibri"/>
                                  <w:color w:val="F26C21"/>
                                  <w:sz w:val="20"/>
                                  <w:szCs w:val="20"/>
                                </w:rPr>
                                <w:t>Framework for assessing public financial management</w:t>
                              </w:r>
                            </w:hyperlink>
                            <w:r w:rsidRPr="00A60D14">
                              <w:rPr>
                                <w:rFonts w:ascii="Roboto" w:eastAsia="Calibri" w:hAnsi="Roboto" w:cs="Calibri"/>
                                <w:color w:val="404040" w:themeColor="text1" w:themeTint="BF"/>
                                <w:sz w:val="20"/>
                                <w:szCs w:val="20"/>
                              </w:rPr>
                              <w:t xml:space="preserve"> (2016): Includes indicators on the contents and quality of information to the legislature.</w:t>
                            </w:r>
                          </w:p>
                          <w:p w14:paraId="4D39DA6B" w14:textId="77777777" w:rsidR="00D15FD8" w:rsidRPr="00A60D14" w:rsidRDefault="00D15FD8" w:rsidP="002D14C0">
                            <w:pPr>
                              <w:suppressOverlap/>
                              <w:rPr>
                                <w:rFonts w:ascii="Roboto" w:eastAsia="Calibri" w:hAnsi="Roboto" w:cs="Calibri"/>
                                <w:color w:val="404040" w:themeColor="text1" w:themeTint="BF"/>
                                <w:sz w:val="20"/>
                                <w:szCs w:val="20"/>
                              </w:rPr>
                            </w:pPr>
                          </w:p>
                          <w:p w14:paraId="3F7D23D9" w14:textId="77777777" w:rsidR="00D15FD8" w:rsidRPr="00A60D14" w:rsidRDefault="00D15FD8" w:rsidP="002D14C0">
                            <w:pPr>
                              <w:suppressOverlap/>
                              <w:rPr>
                                <w:rFonts w:ascii="Roboto" w:eastAsia="Calibri" w:hAnsi="Roboto" w:cs="Calibri"/>
                                <w:color w:val="404040" w:themeColor="text1" w:themeTint="BF"/>
                                <w:sz w:val="20"/>
                                <w:szCs w:val="20"/>
                              </w:rPr>
                            </w:pPr>
                            <w:r w:rsidRPr="00A60D14">
                              <w:rPr>
                                <w:rFonts w:ascii="Roboto" w:eastAsia="Calibri" w:hAnsi="Roboto" w:cs="Calibri"/>
                                <w:b/>
                                <w:color w:val="1E9A8C"/>
                                <w:sz w:val="20"/>
                                <w:szCs w:val="20"/>
                              </w:rPr>
                              <w:t>IBP:</w:t>
                            </w:r>
                            <w:r w:rsidRPr="00A60D14">
                              <w:rPr>
                                <w:rFonts w:ascii="Roboto" w:eastAsia="Calibri" w:hAnsi="Roboto" w:cs="Calibri"/>
                                <w:color w:val="1E9A8C"/>
                                <w:sz w:val="20"/>
                                <w:szCs w:val="20"/>
                              </w:rPr>
                              <w:t xml:space="preserve"> </w:t>
                            </w:r>
                            <w:hyperlink r:id="rId323" w:history="1">
                              <w:r w:rsidRPr="00A60D14">
                                <w:rPr>
                                  <w:rStyle w:val="Hyperlink"/>
                                  <w:rFonts w:ascii="Roboto" w:eastAsia="Calibri" w:hAnsi="Roboto" w:cs="Calibri"/>
                                  <w:color w:val="F26C21"/>
                                  <w:sz w:val="20"/>
                                  <w:szCs w:val="20"/>
                                </w:rPr>
                                <w:t>Open Budget Survey</w:t>
                              </w:r>
                            </w:hyperlink>
                            <w:r w:rsidRPr="00A60D14">
                              <w:rPr>
                                <w:rFonts w:ascii="Roboto" w:eastAsia="Calibri" w:hAnsi="Roboto" w:cs="Calibri"/>
                                <w:color w:val="F26C21"/>
                                <w:sz w:val="20"/>
                                <w:szCs w:val="20"/>
                              </w:rPr>
                              <w:t xml:space="preserve"> </w:t>
                            </w:r>
                            <w:r w:rsidRPr="00A60D14">
                              <w:rPr>
                                <w:rFonts w:ascii="Roboto" w:eastAsia="Calibri" w:hAnsi="Roboto" w:cs="Calibri"/>
                                <w:sz w:val="20"/>
                                <w:szCs w:val="20"/>
                              </w:rPr>
                              <w:t>(</w:t>
                            </w:r>
                            <w:r w:rsidRPr="00A60D14">
                              <w:rPr>
                                <w:rFonts w:ascii="Roboto" w:eastAsia="Calibri" w:hAnsi="Roboto" w:cs="Calibri"/>
                                <w:color w:val="404040" w:themeColor="text1" w:themeTint="BF"/>
                                <w:sz w:val="20"/>
                                <w:szCs w:val="20"/>
                              </w:rPr>
                              <w:t xml:space="preserve">OBS): Questions in detail the information provided to the legislature in the annual budget documents. </w:t>
                            </w:r>
                            <w:r>
                              <w:rPr>
                                <w:rFonts w:ascii="Roboto" w:eastAsia="Calibri" w:hAnsi="Roboto" w:cs="Calibri"/>
                                <w:color w:val="404040" w:themeColor="text1" w:themeTint="BF"/>
                                <w:sz w:val="20"/>
                                <w:szCs w:val="20"/>
                              </w:rPr>
                              <w:t>A</w:t>
                            </w:r>
                            <w:r w:rsidRPr="00A60D14">
                              <w:rPr>
                                <w:rFonts w:ascii="Roboto" w:eastAsia="Calibri" w:hAnsi="Roboto" w:cs="Calibri"/>
                                <w:color w:val="404040" w:themeColor="text1" w:themeTint="BF"/>
                                <w:sz w:val="20"/>
                                <w:szCs w:val="20"/>
                              </w:rPr>
                              <w:t xml:space="preserve">ddresses the legislatures’ participation and authority in the budget process and the resources available to it. </w:t>
                            </w:r>
                            <w:r>
                              <w:rPr>
                                <w:rFonts w:ascii="Roboto" w:eastAsia="Calibri" w:hAnsi="Roboto" w:cs="Calibri"/>
                                <w:color w:val="404040" w:themeColor="text1" w:themeTint="BF"/>
                                <w:sz w:val="20"/>
                                <w:szCs w:val="20"/>
                              </w:rPr>
                              <w:t>A</w:t>
                            </w:r>
                            <w:r w:rsidRPr="00A60D14">
                              <w:rPr>
                                <w:rFonts w:ascii="Roboto" w:eastAsia="Calibri" w:hAnsi="Roboto" w:cs="Calibri"/>
                                <w:color w:val="404040" w:themeColor="text1" w:themeTint="BF"/>
                                <w:sz w:val="20"/>
                                <w:szCs w:val="20"/>
                              </w:rPr>
                              <w:t xml:space="preserve">lso considers whether the legislature has adequate time to review the budget and the budget review process itself, including assessments of the legislatures’ scope, processes, and limitation of powers. </w:t>
                            </w:r>
                          </w:p>
                          <w:p w14:paraId="3ED501AA" w14:textId="77777777" w:rsidR="00D15FD8" w:rsidRPr="00A60D14" w:rsidRDefault="00D15FD8" w:rsidP="002D14C0">
                            <w:pPr>
                              <w:suppressOverlap/>
                              <w:rPr>
                                <w:rFonts w:ascii="Roboto" w:eastAsia="Calibri" w:hAnsi="Roboto" w:cs="Calibri"/>
                                <w:b/>
                                <w:bCs/>
                                <w:color w:val="404040" w:themeColor="text1" w:themeTint="BF"/>
                                <w:sz w:val="20"/>
                                <w:szCs w:val="20"/>
                              </w:rPr>
                            </w:pPr>
                          </w:p>
                          <w:p w14:paraId="0CADBBB1" w14:textId="77777777" w:rsidR="00D15FD8" w:rsidRPr="00A60D14" w:rsidRDefault="00D15FD8" w:rsidP="002D14C0">
                            <w:pPr>
                              <w:suppressOverlap/>
                              <w:rPr>
                                <w:rFonts w:ascii="Roboto" w:eastAsia="Calibri" w:hAnsi="Roboto" w:cs="Calibri"/>
                                <w:bCs/>
                                <w:color w:val="404040" w:themeColor="text1" w:themeTint="BF"/>
                                <w:sz w:val="20"/>
                                <w:szCs w:val="20"/>
                              </w:rPr>
                            </w:pPr>
                            <w:r w:rsidRPr="00A60D14">
                              <w:rPr>
                                <w:rFonts w:ascii="Roboto" w:eastAsia="Calibri" w:hAnsi="Roboto" w:cs="Calibri"/>
                                <w:b/>
                                <w:bCs/>
                                <w:color w:val="1E9A8C"/>
                                <w:sz w:val="20"/>
                                <w:szCs w:val="20"/>
                              </w:rPr>
                              <w:t>IMF and partners:</w:t>
                            </w:r>
                            <w:r w:rsidRPr="00A60D14">
                              <w:rPr>
                                <w:rFonts w:ascii="Roboto" w:eastAsia="Calibri" w:hAnsi="Roboto" w:cs="Calibri"/>
                                <w:bCs/>
                                <w:color w:val="1E9A8C"/>
                                <w:sz w:val="20"/>
                                <w:szCs w:val="20"/>
                              </w:rPr>
                              <w:t xml:space="preserve"> </w:t>
                            </w:r>
                            <w:hyperlink r:id="rId324" w:history="1">
                              <w:r w:rsidRPr="00A60D14">
                                <w:rPr>
                                  <w:rStyle w:val="Hyperlink"/>
                                  <w:rFonts w:ascii="Roboto" w:eastAsia="Calibri" w:hAnsi="Roboto" w:cs="Calibri"/>
                                  <w:bCs/>
                                  <w:color w:val="F26C21"/>
                                  <w:sz w:val="20"/>
                                  <w:szCs w:val="20"/>
                                </w:rPr>
                                <w:t>Tax Administration Diagnostic Assessment Tool (TADAT)</w:t>
                              </w:r>
                            </w:hyperlink>
                            <w:r w:rsidRPr="00A60D14">
                              <w:rPr>
                                <w:rFonts w:ascii="Roboto" w:eastAsia="Calibri" w:hAnsi="Roboto" w:cs="Calibri"/>
                                <w:bCs/>
                                <w:color w:val="F26C21"/>
                                <w:sz w:val="20"/>
                                <w:szCs w:val="20"/>
                              </w:rPr>
                              <w:t xml:space="preserve"> </w:t>
                            </w:r>
                            <w:r w:rsidRPr="00A60D14">
                              <w:rPr>
                                <w:rFonts w:ascii="Roboto" w:eastAsia="Calibri" w:hAnsi="Roboto" w:cs="Calibri"/>
                                <w:bCs/>
                                <w:color w:val="404040" w:themeColor="text1" w:themeTint="BF"/>
                                <w:sz w:val="20"/>
                                <w:szCs w:val="20"/>
                              </w:rPr>
                              <w:t>Field Guide (2015) cites as a good practice</w:t>
                            </w:r>
                            <w:r>
                              <w:rPr>
                                <w:rFonts w:ascii="Roboto" w:eastAsia="Calibri" w:hAnsi="Roboto" w:cs="Calibri"/>
                                <w:bCs/>
                                <w:color w:val="404040" w:themeColor="text1" w:themeTint="BF"/>
                                <w:sz w:val="20"/>
                                <w:szCs w:val="20"/>
                              </w:rPr>
                              <w:t>,</w:t>
                            </w:r>
                            <w:r w:rsidRPr="00A60D14">
                              <w:rPr>
                                <w:rFonts w:ascii="Roboto" w:eastAsia="Calibri" w:hAnsi="Roboto" w:cs="Calibri"/>
                                <w:bCs/>
                                <w:color w:val="404040" w:themeColor="text1" w:themeTint="BF"/>
                                <w:sz w:val="20"/>
                                <w:szCs w:val="20"/>
                              </w:rPr>
                              <w:t xml:space="preserve"> external oversight of the tax administration through mandatory reporting to Parliament by way of an annual report of </w:t>
                            </w:r>
                            <w:r>
                              <w:rPr>
                                <w:rFonts w:ascii="Roboto" w:eastAsia="Calibri" w:hAnsi="Roboto" w:cs="Calibri"/>
                                <w:bCs/>
                                <w:color w:val="404040" w:themeColor="text1" w:themeTint="BF"/>
                                <w:sz w:val="20"/>
                                <w:szCs w:val="20"/>
                              </w:rPr>
                              <w:t xml:space="preserve">the </w:t>
                            </w:r>
                            <w:r w:rsidRPr="00A60D14">
                              <w:rPr>
                                <w:rFonts w:ascii="Roboto" w:eastAsia="Calibri" w:hAnsi="Roboto" w:cs="Calibri"/>
                                <w:bCs/>
                                <w:color w:val="404040" w:themeColor="text1" w:themeTint="BF"/>
                                <w:sz w:val="20"/>
                                <w:szCs w:val="20"/>
                              </w:rPr>
                              <w:t>tax administration</w:t>
                            </w:r>
                            <w:r>
                              <w:rPr>
                                <w:rFonts w:ascii="Roboto" w:eastAsia="Calibri" w:hAnsi="Roboto" w:cs="Calibri"/>
                                <w:bCs/>
                                <w:color w:val="404040" w:themeColor="text1" w:themeTint="BF"/>
                                <w:sz w:val="20"/>
                                <w:szCs w:val="20"/>
                              </w:rPr>
                              <w:t>’s</w:t>
                            </w:r>
                            <w:r w:rsidRPr="00A60D14">
                              <w:rPr>
                                <w:rFonts w:ascii="Roboto" w:eastAsia="Calibri" w:hAnsi="Roboto" w:cs="Calibri"/>
                                <w:bCs/>
                                <w:color w:val="404040" w:themeColor="text1" w:themeTint="BF"/>
                                <w:sz w:val="20"/>
                                <w:szCs w:val="20"/>
                              </w:rPr>
                              <w:t xml:space="preserve"> operational and financial performance, a</w:t>
                            </w:r>
                            <w:r>
                              <w:rPr>
                                <w:rFonts w:ascii="Roboto" w:eastAsia="Calibri" w:hAnsi="Roboto" w:cs="Calibri"/>
                                <w:bCs/>
                                <w:color w:val="404040" w:themeColor="text1" w:themeTint="BF"/>
                                <w:sz w:val="20"/>
                                <w:szCs w:val="20"/>
                              </w:rPr>
                              <w:t xml:space="preserve">s well as </w:t>
                            </w:r>
                            <w:r w:rsidRPr="00A60D14">
                              <w:rPr>
                                <w:rFonts w:ascii="Roboto" w:eastAsia="Calibri" w:hAnsi="Roboto" w:cs="Calibri"/>
                                <w:bCs/>
                                <w:color w:val="404040" w:themeColor="text1" w:themeTint="BF"/>
                                <w:sz w:val="20"/>
                                <w:szCs w:val="20"/>
                              </w:rPr>
                              <w:t>parliamentary committees probing senior executives in relation to external audit findings.</w:t>
                            </w:r>
                          </w:p>
                          <w:p w14:paraId="00061C1E" w14:textId="77777777" w:rsidR="00D15FD8" w:rsidRPr="00A60D14"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D95E8" id="Text Box 1948" o:spid="_x0000_s1187" type="#_x0000_t202" style="position:absolute;margin-left:0;margin-top:0;width:694.3pt;height:395pt;z-index:25368575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" filled="f" stroked="f" strokeweight=".5pt">
                <v:textbox>
                  <w:txbxContent>
                    <w:p w14:paraId="2234D5C8" w14:textId="77777777" w:rsidR="00D15FD8" w:rsidRPr="00A60D14" w:rsidRDefault="00D15FD8" w:rsidP="002D14C0">
                      <w:pPr>
                        <w:spacing w:after="160" w:line="259" w:lineRule="auto"/>
                        <w:suppressOverlap/>
                        <w:rPr>
                          <w:rFonts w:ascii="Roboto" w:eastAsia="Calibri" w:hAnsi="Roboto" w:cs="Calibri"/>
                          <w:color w:val="404040" w:themeColor="text1" w:themeTint="BF"/>
                          <w:sz w:val="20"/>
                          <w:szCs w:val="20"/>
                        </w:rPr>
                      </w:pPr>
                      <w:r w:rsidRPr="00A60D14">
                        <w:rPr>
                          <w:rFonts w:ascii="Roboto" w:eastAsia="Calibri" w:hAnsi="Roboto" w:cs="Calibri"/>
                          <w:b/>
                          <w:color w:val="1E9A8C"/>
                          <w:sz w:val="20"/>
                          <w:szCs w:val="20"/>
                        </w:rPr>
                        <w:t>European Parliamentarians with Africa (AWEPA):</w:t>
                      </w:r>
                      <w:r w:rsidRPr="00A60D14">
                        <w:rPr>
                          <w:rFonts w:ascii="Roboto" w:eastAsia="Calibri" w:hAnsi="Roboto" w:cs="Calibri"/>
                          <w:color w:val="1E9A8C"/>
                          <w:sz w:val="20"/>
                          <w:szCs w:val="20"/>
                        </w:rPr>
                        <w:t xml:space="preserve"> </w:t>
                      </w:r>
                      <w:hyperlink r:id="rId325" w:history="1">
                        <w:r w:rsidRPr="00A60D14">
                          <w:rPr>
                            <w:rStyle w:val="Hyperlink"/>
                            <w:rFonts w:ascii="Roboto" w:eastAsia="Calibri" w:hAnsi="Roboto" w:cs="Calibri"/>
                            <w:color w:val="F26C21"/>
                            <w:sz w:val="20"/>
                            <w:szCs w:val="20"/>
                          </w:rPr>
                          <w:t>The Legislative Principles for Development Effectiveness</w:t>
                        </w:r>
                      </w:hyperlink>
                      <w:r w:rsidRPr="00A60D14">
                        <w:rPr>
                          <w:rFonts w:ascii="Roboto" w:eastAsia="Calibri" w:hAnsi="Roboto" w:cs="Calibri"/>
                          <w:color w:val="F26C21"/>
                          <w:sz w:val="20"/>
                          <w:szCs w:val="20"/>
                        </w:rPr>
                        <w:t xml:space="preserve"> </w:t>
                      </w:r>
                      <w:r w:rsidRPr="00A60D14">
                        <w:rPr>
                          <w:rFonts w:ascii="Roboto" w:eastAsia="Calibri" w:hAnsi="Roboto" w:cs="Calibri"/>
                          <w:color w:val="404040" w:themeColor="text1" w:themeTint="BF"/>
                          <w:sz w:val="20"/>
                          <w:szCs w:val="20"/>
                        </w:rPr>
                        <w:t xml:space="preserve">(2011): Principles intended to elevate the legislative branch of government to ensure domestic accountability. The principles recognize the key role legislatures should play in national strategy development and in budget formulation, approval and implementation. Also sets out desirable practices with respect to aid modalities, transparency and the budget process, including requirements that donors provide aid in a manner that allows the executive to put aid on budget, all information on aid must be accessible to and usable by the legislature, and budget calendars must allow enough time for legislative committees to analyse budget proposals. </w:t>
                      </w:r>
                    </w:p>
                    <w:p w14:paraId="5FFA2602" w14:textId="77777777" w:rsidR="00D15FD8" w:rsidRPr="00A60D14" w:rsidRDefault="00AC4DF7" w:rsidP="002D14C0">
                      <w:pPr>
                        <w:spacing w:after="160" w:line="259" w:lineRule="auto"/>
                        <w:suppressOverlap/>
                        <w:rPr>
                          <w:rFonts w:ascii="Roboto" w:eastAsia="Calibri" w:hAnsi="Roboto" w:cs="Calibri"/>
                          <w:color w:val="404040" w:themeColor="text1" w:themeTint="BF"/>
                          <w:sz w:val="20"/>
                          <w:szCs w:val="20"/>
                        </w:rPr>
                      </w:pPr>
                      <w:hyperlink r:id="rId326" w:history="1">
                        <w:r w:rsidR="00D15FD8" w:rsidRPr="00A60D14">
                          <w:rPr>
                            <w:rStyle w:val="Hyperlink"/>
                            <w:rFonts w:ascii="Roboto" w:eastAsia="Calibri" w:hAnsi="Roboto" w:cs="Calibri"/>
                            <w:color w:val="F26C21"/>
                            <w:sz w:val="20"/>
                            <w:szCs w:val="20"/>
                          </w:rPr>
                          <w:t>Declaration on Parliamentary Openness</w:t>
                        </w:r>
                      </w:hyperlink>
                      <w:r w:rsidR="00D15FD8" w:rsidRPr="00A60D14">
                        <w:rPr>
                          <w:rFonts w:ascii="Roboto" w:eastAsia="Calibri" w:hAnsi="Roboto" w:cs="Calibri"/>
                          <w:color w:val="404040" w:themeColor="text1" w:themeTint="BF"/>
                          <w:sz w:val="20"/>
                          <w:szCs w:val="20"/>
                        </w:rPr>
                        <w:t xml:space="preserve"> (2012): Principle 23: Parliaments should be provided with information in an easily accessible form on the national budget, including past, current and projected revenues and expenditures; parliament’s own budget; budget execution reports, bids and contracts; and promoting public participation.</w:t>
                      </w:r>
                    </w:p>
                    <w:p w14:paraId="1A90F817" w14:textId="77777777" w:rsidR="00D15FD8" w:rsidRPr="00A60D14" w:rsidRDefault="00AC4DF7" w:rsidP="002D14C0">
                      <w:pPr>
                        <w:spacing w:after="160" w:line="259" w:lineRule="auto"/>
                        <w:suppressOverlap/>
                        <w:rPr>
                          <w:rFonts w:ascii="Roboto" w:eastAsia="Calibri" w:hAnsi="Roboto" w:cs="Calibri"/>
                          <w:color w:val="404040" w:themeColor="text1" w:themeTint="BF"/>
                          <w:sz w:val="20"/>
                          <w:szCs w:val="20"/>
                        </w:rPr>
                      </w:pPr>
                      <w:hyperlink r:id="rId327" w:history="1">
                        <w:r w:rsidR="00D15FD8" w:rsidRPr="00A60D14">
                          <w:rPr>
                            <w:rStyle w:val="Hyperlink"/>
                            <w:rFonts w:ascii="Roboto" w:hAnsi="Roboto"/>
                            <w:color w:val="F26C21"/>
                            <w:sz w:val="20"/>
                            <w:szCs w:val="20"/>
                          </w:rPr>
                          <w:t>Strengthening Accountability through Fiscal Openness: A Toolkit for Parliamentarians in the Americas and the Caribbean</w:t>
                        </w:r>
                      </w:hyperlink>
                      <w:r w:rsidR="00D15FD8" w:rsidRPr="00A60D14">
                        <w:rPr>
                          <w:rFonts w:ascii="Roboto" w:eastAsia="Calibri" w:hAnsi="Roboto" w:cs="Calibri"/>
                          <w:color w:val="F26C21"/>
                          <w:sz w:val="20"/>
                          <w:szCs w:val="20"/>
                        </w:rPr>
                        <w:t xml:space="preserve"> </w:t>
                      </w:r>
                      <w:r w:rsidR="00D15FD8" w:rsidRPr="00A60D14">
                        <w:rPr>
                          <w:rFonts w:ascii="Roboto" w:eastAsia="Calibri" w:hAnsi="Roboto" w:cs="Calibri"/>
                          <w:color w:val="404040" w:themeColor="text1" w:themeTint="BF"/>
                          <w:sz w:val="20"/>
                          <w:szCs w:val="20"/>
                        </w:rPr>
                        <w:t>(2020):</w:t>
                      </w:r>
                      <w:r w:rsidR="00D15FD8" w:rsidRPr="00A60D14">
                        <w:rPr>
                          <w:rFonts w:ascii="Roboto" w:hAnsi="Roboto"/>
                          <w:color w:val="404040" w:themeColor="text1" w:themeTint="BF"/>
                          <w:sz w:val="20"/>
                          <w:szCs w:val="20"/>
                        </w:rPr>
                        <w:t xml:space="preserve"> P</w:t>
                      </w:r>
                      <w:r w:rsidR="00D15FD8" w:rsidRPr="00A60D14">
                        <w:rPr>
                          <w:rFonts w:ascii="Roboto" w:eastAsia="Calibri" w:hAnsi="Roboto" w:cs="Calibri"/>
                          <w:color w:val="404040" w:themeColor="text1" w:themeTint="BF"/>
                          <w:sz w:val="20"/>
                          <w:szCs w:val="20"/>
                        </w:rPr>
                        <w:t>rovides an overview of good practices to promote transparency, accountability and participation throughout the financial cycle. It is tailored to parliamentarians, parliamentary staff and relevant stakeholders in the Americas and the Caribbean. It covers the parliamentary financial cycle, including the budgetary process and major fiscal policy or spending bills, such as infrastructure projects or tax reform, and long-term planning. It concisely summarizes and synthesizes the most recent international standards and resources on parliamentary fiscal scrutiny.</w:t>
                      </w:r>
                    </w:p>
                    <w:p w14:paraId="468A4A45" w14:textId="77777777" w:rsidR="00D15FD8" w:rsidRPr="00A60D14" w:rsidRDefault="00D15FD8" w:rsidP="002D14C0">
                      <w:pPr>
                        <w:suppressOverlap/>
                        <w:rPr>
                          <w:rFonts w:ascii="Roboto" w:eastAsia="Calibri" w:hAnsi="Roboto" w:cs="Calibri"/>
                          <w:b/>
                          <w:bCs/>
                          <w:color w:val="404040" w:themeColor="text1" w:themeTint="BF"/>
                          <w:sz w:val="20"/>
                          <w:szCs w:val="20"/>
                          <w:u w:val="single"/>
                        </w:rPr>
                      </w:pPr>
                      <w:r w:rsidRPr="00A60D14">
                        <w:rPr>
                          <w:rFonts w:ascii="Roboto" w:eastAsia="Calibri" w:hAnsi="Roboto" w:cs="Calibri"/>
                          <w:b/>
                          <w:color w:val="404040" w:themeColor="text1" w:themeTint="BF"/>
                          <w:sz w:val="20"/>
                          <w:szCs w:val="20"/>
                        </w:rPr>
                        <w:br w:type="page"/>
                      </w:r>
                      <w:r w:rsidRPr="00A60D14">
                        <w:rPr>
                          <w:rFonts w:ascii="Roboto" w:eastAsia="Calibri" w:hAnsi="Roboto" w:cs="Calibri"/>
                          <w:b/>
                          <w:bCs/>
                          <w:color w:val="1E9A8C"/>
                          <w:sz w:val="20"/>
                          <w:szCs w:val="20"/>
                          <w:u w:val="single"/>
                        </w:rPr>
                        <w:t>Assessment frameworks:</w:t>
                      </w:r>
                    </w:p>
                    <w:p w14:paraId="42501095" w14:textId="77777777" w:rsidR="00D15FD8" w:rsidRPr="00A60D14" w:rsidRDefault="00D15FD8" w:rsidP="002D14C0">
                      <w:pPr>
                        <w:suppressOverlap/>
                        <w:rPr>
                          <w:rFonts w:ascii="Roboto" w:eastAsia="Calibri" w:hAnsi="Roboto" w:cs="Calibri"/>
                          <w:b/>
                          <w:bCs/>
                          <w:color w:val="404040" w:themeColor="text1" w:themeTint="BF"/>
                          <w:sz w:val="20"/>
                          <w:szCs w:val="20"/>
                          <w:u w:val="single"/>
                        </w:rPr>
                      </w:pPr>
                    </w:p>
                    <w:p w14:paraId="149903F7" w14:textId="77777777" w:rsidR="00D15FD8" w:rsidRPr="00A60D14" w:rsidRDefault="00D15FD8" w:rsidP="002D14C0">
                      <w:pPr>
                        <w:suppressOverlap/>
                        <w:rPr>
                          <w:rFonts w:ascii="Roboto" w:eastAsia="Calibri" w:hAnsi="Roboto" w:cs="Calibri"/>
                          <w:color w:val="404040" w:themeColor="text1" w:themeTint="BF"/>
                          <w:sz w:val="20"/>
                          <w:szCs w:val="20"/>
                        </w:rPr>
                      </w:pPr>
                      <w:r w:rsidRPr="00A60D14">
                        <w:rPr>
                          <w:rFonts w:ascii="Roboto" w:eastAsia="Calibri" w:hAnsi="Roboto" w:cs="Calibri"/>
                          <w:b/>
                          <w:bCs/>
                          <w:color w:val="1E9A8C"/>
                          <w:sz w:val="20"/>
                          <w:szCs w:val="20"/>
                        </w:rPr>
                        <w:t xml:space="preserve">PEFA: </w:t>
                      </w:r>
                      <w:hyperlink r:id="rId328" w:history="1">
                        <w:r w:rsidRPr="00A60D14">
                          <w:rPr>
                            <w:rStyle w:val="Hyperlink"/>
                            <w:rFonts w:ascii="Roboto" w:eastAsia="Calibri" w:hAnsi="Roboto" w:cs="Calibri"/>
                            <w:color w:val="F26C21"/>
                            <w:sz w:val="20"/>
                            <w:szCs w:val="20"/>
                          </w:rPr>
                          <w:t>Framework for assessing public financial management</w:t>
                        </w:r>
                      </w:hyperlink>
                      <w:r w:rsidRPr="00A60D14">
                        <w:rPr>
                          <w:rFonts w:ascii="Roboto" w:eastAsia="Calibri" w:hAnsi="Roboto" w:cs="Calibri"/>
                          <w:color w:val="404040" w:themeColor="text1" w:themeTint="BF"/>
                          <w:sz w:val="20"/>
                          <w:szCs w:val="20"/>
                        </w:rPr>
                        <w:t xml:space="preserve"> (2016): Includes indicators on the contents and quality of information to the legislature.</w:t>
                      </w:r>
                    </w:p>
                    <w:p w14:paraId="4D39DA6B" w14:textId="77777777" w:rsidR="00D15FD8" w:rsidRPr="00A60D14" w:rsidRDefault="00D15FD8" w:rsidP="002D14C0">
                      <w:pPr>
                        <w:suppressOverlap/>
                        <w:rPr>
                          <w:rFonts w:ascii="Roboto" w:eastAsia="Calibri" w:hAnsi="Roboto" w:cs="Calibri"/>
                          <w:color w:val="404040" w:themeColor="text1" w:themeTint="BF"/>
                          <w:sz w:val="20"/>
                          <w:szCs w:val="20"/>
                        </w:rPr>
                      </w:pPr>
                    </w:p>
                    <w:p w14:paraId="3F7D23D9" w14:textId="77777777" w:rsidR="00D15FD8" w:rsidRPr="00A60D14" w:rsidRDefault="00D15FD8" w:rsidP="002D14C0">
                      <w:pPr>
                        <w:suppressOverlap/>
                        <w:rPr>
                          <w:rFonts w:ascii="Roboto" w:eastAsia="Calibri" w:hAnsi="Roboto" w:cs="Calibri"/>
                          <w:color w:val="404040" w:themeColor="text1" w:themeTint="BF"/>
                          <w:sz w:val="20"/>
                          <w:szCs w:val="20"/>
                        </w:rPr>
                      </w:pPr>
                      <w:r w:rsidRPr="00A60D14">
                        <w:rPr>
                          <w:rFonts w:ascii="Roboto" w:eastAsia="Calibri" w:hAnsi="Roboto" w:cs="Calibri"/>
                          <w:b/>
                          <w:color w:val="1E9A8C"/>
                          <w:sz w:val="20"/>
                          <w:szCs w:val="20"/>
                        </w:rPr>
                        <w:t>IBP:</w:t>
                      </w:r>
                      <w:r w:rsidRPr="00A60D14">
                        <w:rPr>
                          <w:rFonts w:ascii="Roboto" w:eastAsia="Calibri" w:hAnsi="Roboto" w:cs="Calibri"/>
                          <w:color w:val="1E9A8C"/>
                          <w:sz w:val="20"/>
                          <w:szCs w:val="20"/>
                        </w:rPr>
                        <w:t xml:space="preserve"> </w:t>
                      </w:r>
                      <w:hyperlink r:id="rId329" w:history="1">
                        <w:r w:rsidRPr="00A60D14">
                          <w:rPr>
                            <w:rStyle w:val="Hyperlink"/>
                            <w:rFonts w:ascii="Roboto" w:eastAsia="Calibri" w:hAnsi="Roboto" w:cs="Calibri"/>
                            <w:color w:val="F26C21"/>
                            <w:sz w:val="20"/>
                            <w:szCs w:val="20"/>
                          </w:rPr>
                          <w:t>Open Budget Survey</w:t>
                        </w:r>
                      </w:hyperlink>
                      <w:r w:rsidRPr="00A60D14">
                        <w:rPr>
                          <w:rFonts w:ascii="Roboto" w:eastAsia="Calibri" w:hAnsi="Roboto" w:cs="Calibri"/>
                          <w:color w:val="F26C21"/>
                          <w:sz w:val="20"/>
                          <w:szCs w:val="20"/>
                        </w:rPr>
                        <w:t xml:space="preserve"> </w:t>
                      </w:r>
                      <w:r w:rsidRPr="00A60D14">
                        <w:rPr>
                          <w:rFonts w:ascii="Roboto" w:eastAsia="Calibri" w:hAnsi="Roboto" w:cs="Calibri"/>
                          <w:sz w:val="20"/>
                          <w:szCs w:val="20"/>
                        </w:rPr>
                        <w:t>(</w:t>
                      </w:r>
                      <w:r w:rsidRPr="00A60D14">
                        <w:rPr>
                          <w:rFonts w:ascii="Roboto" w:eastAsia="Calibri" w:hAnsi="Roboto" w:cs="Calibri"/>
                          <w:color w:val="404040" w:themeColor="text1" w:themeTint="BF"/>
                          <w:sz w:val="20"/>
                          <w:szCs w:val="20"/>
                        </w:rPr>
                        <w:t xml:space="preserve">OBS): Questions in detail the information provided to the legislature in the annual budget documents. </w:t>
                      </w:r>
                      <w:r>
                        <w:rPr>
                          <w:rFonts w:ascii="Roboto" w:eastAsia="Calibri" w:hAnsi="Roboto" w:cs="Calibri"/>
                          <w:color w:val="404040" w:themeColor="text1" w:themeTint="BF"/>
                          <w:sz w:val="20"/>
                          <w:szCs w:val="20"/>
                        </w:rPr>
                        <w:t>A</w:t>
                      </w:r>
                      <w:r w:rsidRPr="00A60D14">
                        <w:rPr>
                          <w:rFonts w:ascii="Roboto" w:eastAsia="Calibri" w:hAnsi="Roboto" w:cs="Calibri"/>
                          <w:color w:val="404040" w:themeColor="text1" w:themeTint="BF"/>
                          <w:sz w:val="20"/>
                          <w:szCs w:val="20"/>
                        </w:rPr>
                        <w:t xml:space="preserve">ddresses the legislatures’ participation and authority in the budget process and the resources available to it. </w:t>
                      </w:r>
                      <w:r>
                        <w:rPr>
                          <w:rFonts w:ascii="Roboto" w:eastAsia="Calibri" w:hAnsi="Roboto" w:cs="Calibri"/>
                          <w:color w:val="404040" w:themeColor="text1" w:themeTint="BF"/>
                          <w:sz w:val="20"/>
                          <w:szCs w:val="20"/>
                        </w:rPr>
                        <w:t>A</w:t>
                      </w:r>
                      <w:r w:rsidRPr="00A60D14">
                        <w:rPr>
                          <w:rFonts w:ascii="Roboto" w:eastAsia="Calibri" w:hAnsi="Roboto" w:cs="Calibri"/>
                          <w:color w:val="404040" w:themeColor="text1" w:themeTint="BF"/>
                          <w:sz w:val="20"/>
                          <w:szCs w:val="20"/>
                        </w:rPr>
                        <w:t xml:space="preserve">lso considers whether the legislature has adequate time to review the budget and the budget review process itself, including assessments of the legislatures’ scope, processes, and limitation of powers. </w:t>
                      </w:r>
                    </w:p>
                    <w:p w14:paraId="3ED501AA" w14:textId="77777777" w:rsidR="00D15FD8" w:rsidRPr="00A60D14" w:rsidRDefault="00D15FD8" w:rsidP="002D14C0">
                      <w:pPr>
                        <w:suppressOverlap/>
                        <w:rPr>
                          <w:rFonts w:ascii="Roboto" w:eastAsia="Calibri" w:hAnsi="Roboto" w:cs="Calibri"/>
                          <w:b/>
                          <w:bCs/>
                          <w:color w:val="404040" w:themeColor="text1" w:themeTint="BF"/>
                          <w:sz w:val="20"/>
                          <w:szCs w:val="20"/>
                        </w:rPr>
                      </w:pPr>
                    </w:p>
                    <w:p w14:paraId="0CADBBB1" w14:textId="77777777" w:rsidR="00D15FD8" w:rsidRPr="00A60D14" w:rsidRDefault="00D15FD8" w:rsidP="002D14C0">
                      <w:pPr>
                        <w:suppressOverlap/>
                        <w:rPr>
                          <w:rFonts w:ascii="Roboto" w:eastAsia="Calibri" w:hAnsi="Roboto" w:cs="Calibri"/>
                          <w:bCs/>
                          <w:color w:val="404040" w:themeColor="text1" w:themeTint="BF"/>
                          <w:sz w:val="20"/>
                          <w:szCs w:val="20"/>
                        </w:rPr>
                      </w:pPr>
                      <w:r w:rsidRPr="00A60D14">
                        <w:rPr>
                          <w:rFonts w:ascii="Roboto" w:eastAsia="Calibri" w:hAnsi="Roboto" w:cs="Calibri"/>
                          <w:b/>
                          <w:bCs/>
                          <w:color w:val="1E9A8C"/>
                          <w:sz w:val="20"/>
                          <w:szCs w:val="20"/>
                        </w:rPr>
                        <w:t>IMF and partners:</w:t>
                      </w:r>
                      <w:r w:rsidRPr="00A60D14">
                        <w:rPr>
                          <w:rFonts w:ascii="Roboto" w:eastAsia="Calibri" w:hAnsi="Roboto" w:cs="Calibri"/>
                          <w:bCs/>
                          <w:color w:val="1E9A8C"/>
                          <w:sz w:val="20"/>
                          <w:szCs w:val="20"/>
                        </w:rPr>
                        <w:t xml:space="preserve"> </w:t>
                      </w:r>
                      <w:hyperlink r:id="rId330" w:history="1">
                        <w:r w:rsidRPr="00A60D14">
                          <w:rPr>
                            <w:rStyle w:val="Hyperlink"/>
                            <w:rFonts w:ascii="Roboto" w:eastAsia="Calibri" w:hAnsi="Roboto" w:cs="Calibri"/>
                            <w:bCs/>
                            <w:color w:val="F26C21"/>
                            <w:sz w:val="20"/>
                            <w:szCs w:val="20"/>
                          </w:rPr>
                          <w:t>Tax Administration Diagnostic Assessment Tool (TADAT)</w:t>
                        </w:r>
                      </w:hyperlink>
                      <w:r w:rsidRPr="00A60D14">
                        <w:rPr>
                          <w:rFonts w:ascii="Roboto" w:eastAsia="Calibri" w:hAnsi="Roboto" w:cs="Calibri"/>
                          <w:bCs/>
                          <w:color w:val="F26C21"/>
                          <w:sz w:val="20"/>
                          <w:szCs w:val="20"/>
                        </w:rPr>
                        <w:t xml:space="preserve"> </w:t>
                      </w:r>
                      <w:r w:rsidRPr="00A60D14">
                        <w:rPr>
                          <w:rFonts w:ascii="Roboto" w:eastAsia="Calibri" w:hAnsi="Roboto" w:cs="Calibri"/>
                          <w:bCs/>
                          <w:color w:val="404040" w:themeColor="text1" w:themeTint="BF"/>
                          <w:sz w:val="20"/>
                          <w:szCs w:val="20"/>
                        </w:rPr>
                        <w:t>Field Guide (2015) cites as a good practice</w:t>
                      </w:r>
                      <w:r>
                        <w:rPr>
                          <w:rFonts w:ascii="Roboto" w:eastAsia="Calibri" w:hAnsi="Roboto" w:cs="Calibri"/>
                          <w:bCs/>
                          <w:color w:val="404040" w:themeColor="text1" w:themeTint="BF"/>
                          <w:sz w:val="20"/>
                          <w:szCs w:val="20"/>
                        </w:rPr>
                        <w:t>,</w:t>
                      </w:r>
                      <w:r w:rsidRPr="00A60D14">
                        <w:rPr>
                          <w:rFonts w:ascii="Roboto" w:eastAsia="Calibri" w:hAnsi="Roboto" w:cs="Calibri"/>
                          <w:bCs/>
                          <w:color w:val="404040" w:themeColor="text1" w:themeTint="BF"/>
                          <w:sz w:val="20"/>
                          <w:szCs w:val="20"/>
                        </w:rPr>
                        <w:t xml:space="preserve"> external oversight of the tax administration through mandatory reporting to Parliament by way of an annual report of </w:t>
                      </w:r>
                      <w:r>
                        <w:rPr>
                          <w:rFonts w:ascii="Roboto" w:eastAsia="Calibri" w:hAnsi="Roboto" w:cs="Calibri"/>
                          <w:bCs/>
                          <w:color w:val="404040" w:themeColor="text1" w:themeTint="BF"/>
                          <w:sz w:val="20"/>
                          <w:szCs w:val="20"/>
                        </w:rPr>
                        <w:t xml:space="preserve">the </w:t>
                      </w:r>
                      <w:r w:rsidRPr="00A60D14">
                        <w:rPr>
                          <w:rFonts w:ascii="Roboto" w:eastAsia="Calibri" w:hAnsi="Roboto" w:cs="Calibri"/>
                          <w:bCs/>
                          <w:color w:val="404040" w:themeColor="text1" w:themeTint="BF"/>
                          <w:sz w:val="20"/>
                          <w:szCs w:val="20"/>
                        </w:rPr>
                        <w:t>tax administration</w:t>
                      </w:r>
                      <w:r>
                        <w:rPr>
                          <w:rFonts w:ascii="Roboto" w:eastAsia="Calibri" w:hAnsi="Roboto" w:cs="Calibri"/>
                          <w:bCs/>
                          <w:color w:val="404040" w:themeColor="text1" w:themeTint="BF"/>
                          <w:sz w:val="20"/>
                          <w:szCs w:val="20"/>
                        </w:rPr>
                        <w:t>’s</w:t>
                      </w:r>
                      <w:r w:rsidRPr="00A60D14">
                        <w:rPr>
                          <w:rFonts w:ascii="Roboto" w:eastAsia="Calibri" w:hAnsi="Roboto" w:cs="Calibri"/>
                          <w:bCs/>
                          <w:color w:val="404040" w:themeColor="text1" w:themeTint="BF"/>
                          <w:sz w:val="20"/>
                          <w:szCs w:val="20"/>
                        </w:rPr>
                        <w:t xml:space="preserve"> operational and financial performance, a</w:t>
                      </w:r>
                      <w:r>
                        <w:rPr>
                          <w:rFonts w:ascii="Roboto" w:eastAsia="Calibri" w:hAnsi="Roboto" w:cs="Calibri"/>
                          <w:bCs/>
                          <w:color w:val="404040" w:themeColor="text1" w:themeTint="BF"/>
                          <w:sz w:val="20"/>
                          <w:szCs w:val="20"/>
                        </w:rPr>
                        <w:t xml:space="preserve">s well as </w:t>
                      </w:r>
                      <w:r w:rsidRPr="00A60D14">
                        <w:rPr>
                          <w:rFonts w:ascii="Roboto" w:eastAsia="Calibri" w:hAnsi="Roboto" w:cs="Calibri"/>
                          <w:bCs/>
                          <w:color w:val="404040" w:themeColor="text1" w:themeTint="BF"/>
                          <w:sz w:val="20"/>
                          <w:szCs w:val="20"/>
                        </w:rPr>
                        <w:t>parliamentary committees probing senior executives in relation to external audit findings.</w:t>
                      </w:r>
                    </w:p>
                    <w:p w14:paraId="00061C1E" w14:textId="77777777" w:rsidR="00D15FD8" w:rsidRPr="00A60D14" w:rsidRDefault="00D15FD8" w:rsidP="002D14C0">
                      <w:pPr>
                        <w:rPr>
                          <w:rFonts w:ascii="Roboto" w:hAnsi="Roboto"/>
                          <w:sz w:val="20"/>
                          <w:szCs w:val="20"/>
                        </w:rPr>
                      </w:pPr>
                    </w:p>
                  </w:txbxContent>
                </v:textbox>
                <w10:wrap anchorx="margin" anchory="margin"/>
              </v:shape>
            </w:pict>
          </mc:Fallback>
        </mc:AlternateContent>
      </w:r>
    </w:p>
    <w:p w14:paraId="7A56030F" w14:textId="5678315B" w:rsidR="00203FAB" w:rsidRDefault="00203FAB" w:rsidP="002D14C0">
      <w:pPr>
        <w:rPr>
          <w:rFonts w:ascii="Roboto" w:hAnsi="Roboto"/>
        </w:rPr>
      </w:pPr>
    </w:p>
    <w:p w14:paraId="50C04A70" w14:textId="77777777" w:rsidR="00203FAB" w:rsidRPr="00A60D14" w:rsidRDefault="00203FAB" w:rsidP="002D14C0">
      <w:pPr>
        <w:rPr>
          <w:rFonts w:ascii="Roboto" w:hAnsi="Roboto"/>
        </w:rPr>
      </w:pPr>
    </w:p>
    <w:p w14:paraId="7BF48B6B" w14:textId="346B3CE6" w:rsidR="00203FAB" w:rsidRPr="00A60D14" w:rsidRDefault="00203FAB" w:rsidP="002D14C0">
      <w:pPr>
        <w:rPr>
          <w:rFonts w:ascii="Roboto" w:hAnsi="Roboto"/>
        </w:rPr>
      </w:pPr>
    </w:p>
    <w:p w14:paraId="6F9574D0" w14:textId="1013C298" w:rsidR="00203FAB" w:rsidRPr="00A60D14" w:rsidRDefault="00203FAB" w:rsidP="002D14C0">
      <w:pPr>
        <w:rPr>
          <w:rFonts w:ascii="Roboto" w:hAnsi="Roboto"/>
        </w:rPr>
      </w:pPr>
    </w:p>
    <w:p w14:paraId="53AF53F6" w14:textId="014D4EB8" w:rsidR="00203FAB" w:rsidRPr="00A60D14" w:rsidRDefault="00203FAB" w:rsidP="002D14C0">
      <w:pPr>
        <w:rPr>
          <w:rFonts w:ascii="Roboto" w:hAnsi="Roboto"/>
        </w:rPr>
      </w:pPr>
    </w:p>
    <w:p w14:paraId="0834DCB6" w14:textId="77777777" w:rsidR="00203FAB" w:rsidRPr="00A60D14" w:rsidRDefault="00203FAB" w:rsidP="002D14C0">
      <w:pPr>
        <w:rPr>
          <w:rFonts w:ascii="Roboto" w:hAnsi="Roboto"/>
        </w:rPr>
      </w:pPr>
    </w:p>
    <w:p w14:paraId="6F03EB82" w14:textId="242E2671" w:rsidR="00203FAB" w:rsidRPr="00A60D14" w:rsidRDefault="00203FAB" w:rsidP="002D14C0">
      <w:pPr>
        <w:rPr>
          <w:rFonts w:ascii="Roboto" w:hAnsi="Roboto"/>
        </w:rPr>
      </w:pPr>
    </w:p>
    <w:p w14:paraId="046EDFAE" w14:textId="033AE2A8" w:rsidR="00203FAB" w:rsidRPr="00A60D14" w:rsidRDefault="00203FAB" w:rsidP="002D14C0">
      <w:pPr>
        <w:rPr>
          <w:rFonts w:ascii="Roboto" w:hAnsi="Roboto"/>
        </w:rPr>
      </w:pPr>
    </w:p>
    <w:p w14:paraId="2C87B6A8" w14:textId="40E6688D" w:rsidR="00203FAB" w:rsidRPr="00A60D14" w:rsidRDefault="00203FAB" w:rsidP="002D14C0">
      <w:pPr>
        <w:rPr>
          <w:rFonts w:ascii="Roboto" w:hAnsi="Roboto"/>
        </w:rPr>
      </w:pPr>
    </w:p>
    <w:p w14:paraId="6D771775" w14:textId="10009CD5" w:rsidR="00203FAB" w:rsidRPr="00A60D14" w:rsidRDefault="00203FAB" w:rsidP="002D14C0">
      <w:pPr>
        <w:rPr>
          <w:rFonts w:ascii="Roboto" w:hAnsi="Roboto"/>
        </w:rPr>
      </w:pPr>
    </w:p>
    <w:p w14:paraId="0CCBC7D6" w14:textId="2E76898C" w:rsidR="00203FAB" w:rsidRPr="00A60D14" w:rsidRDefault="00203FAB" w:rsidP="002D14C0">
      <w:pPr>
        <w:rPr>
          <w:rFonts w:ascii="Roboto" w:hAnsi="Roboto"/>
        </w:rPr>
      </w:pPr>
    </w:p>
    <w:p w14:paraId="00BE189D" w14:textId="0E95F15D" w:rsidR="00203FAB" w:rsidRPr="00A60D14" w:rsidRDefault="00203FAB" w:rsidP="002D14C0">
      <w:pPr>
        <w:rPr>
          <w:rFonts w:ascii="Roboto" w:hAnsi="Roboto"/>
        </w:rPr>
      </w:pPr>
    </w:p>
    <w:p w14:paraId="17C2F789" w14:textId="5A006849" w:rsidR="00203FAB" w:rsidRPr="00A60D14" w:rsidRDefault="00203FAB" w:rsidP="002D14C0">
      <w:pPr>
        <w:rPr>
          <w:rFonts w:ascii="Roboto" w:hAnsi="Roboto"/>
        </w:rPr>
      </w:pPr>
    </w:p>
    <w:p w14:paraId="2D9EF499" w14:textId="3DC2BA46" w:rsidR="00203FAB" w:rsidRPr="00A60D14"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87646" behindDoc="0" locked="0" layoutInCell="1" allowOverlap="1" wp14:anchorId="7E06B998" wp14:editId="3A9B1342">
                <wp:simplePos x="0" y="0"/>
                <wp:positionH relativeFrom="column">
                  <wp:posOffset>-3610928</wp:posOffset>
                </wp:positionH>
                <wp:positionV relativeFrom="paragraph">
                  <wp:posOffset>459931</wp:posOffset>
                </wp:positionV>
                <wp:extent cx="5976620" cy="252095"/>
                <wp:effectExtent l="0" t="0" r="0" b="0"/>
                <wp:wrapNone/>
                <wp:docPr id="278" name="Text Box 278"/>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042C0193" w14:textId="12A8BC08"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06B998" id="Text Box 278" o:spid="_x0000_s1188" type="#_x0000_t202" style="position:absolute;margin-left:-284.35pt;margin-top:36.2pt;width:470.6pt;height:19.85pt;rotation:90;z-index:2553876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" filled="f" stroked="f" strokeweight=".5pt">
                <v:textbox>
                  <w:txbxContent>
                    <w:p w14:paraId="042C0193" w14:textId="12A8BC08"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46</w:t>
                      </w:r>
                    </w:p>
                  </w:txbxContent>
                </v:textbox>
              </v:shape>
            </w:pict>
          </mc:Fallback>
        </mc:AlternateContent>
      </w:r>
    </w:p>
    <w:p w14:paraId="461A6EE8" w14:textId="499CF2F8" w:rsidR="00203FAB" w:rsidRPr="00A60D14" w:rsidRDefault="00203FAB" w:rsidP="002D14C0">
      <w:pPr>
        <w:rPr>
          <w:rFonts w:ascii="Roboto" w:hAnsi="Roboto"/>
        </w:rPr>
      </w:pPr>
    </w:p>
    <w:p w14:paraId="7F1D89E4" w14:textId="7270E299" w:rsidR="00203FAB" w:rsidRPr="00A60D14"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86622" behindDoc="0" locked="0" layoutInCell="1" allowOverlap="1" wp14:anchorId="1AE64A24" wp14:editId="4744BA09">
                <wp:simplePos x="0" y="0"/>
                <wp:positionH relativeFrom="column">
                  <wp:posOffset>6517958</wp:posOffset>
                </wp:positionH>
                <wp:positionV relativeFrom="paragraph">
                  <wp:posOffset>140272</wp:posOffset>
                </wp:positionV>
                <wp:extent cx="5977200" cy="252096"/>
                <wp:effectExtent l="4762" t="0" r="0" b="0"/>
                <wp:wrapNone/>
                <wp:docPr id="277" name="Text Box 277"/>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0C341813" w14:textId="11B5171D"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58453119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58C4CEB"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E64A24" id="Text Box 277" o:spid="_x0000_s1189" type="#_x0000_t202" style="position:absolute;margin-left:513.25pt;margin-top:11.05pt;width:470.65pt;height:19.85pt;rotation:90;z-index:2553866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" fillcolor="white [3201]" stroked="f" strokeweight=".5pt">
                <v:textbox>
                  <w:txbxContent>
                    <w:p w14:paraId="0C341813" w14:textId="11B5171D"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58453119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58C4CEB" w14:textId="77777777" w:rsidR="00D15FD8" w:rsidRDefault="00D15FD8" w:rsidP="003D7CCB"/>
                  </w:txbxContent>
                </v:textbox>
              </v:shape>
            </w:pict>
          </mc:Fallback>
        </mc:AlternateContent>
      </w:r>
    </w:p>
    <w:p w14:paraId="2B3FDCA0" w14:textId="77777777" w:rsidR="00203FAB" w:rsidRPr="00A60D14" w:rsidRDefault="00203FAB" w:rsidP="002D14C0">
      <w:pPr>
        <w:rPr>
          <w:rFonts w:ascii="Roboto" w:hAnsi="Roboto"/>
        </w:rPr>
      </w:pPr>
    </w:p>
    <w:p w14:paraId="4BFFB613" w14:textId="77777777" w:rsidR="00203FAB" w:rsidRPr="00A60D14" w:rsidRDefault="00203FAB" w:rsidP="002D14C0">
      <w:pPr>
        <w:rPr>
          <w:rFonts w:ascii="Roboto" w:hAnsi="Roboto"/>
        </w:rPr>
      </w:pPr>
    </w:p>
    <w:p w14:paraId="2BF8C97A" w14:textId="46FA343E" w:rsidR="00203FAB" w:rsidRPr="00A60D14" w:rsidRDefault="00203FAB" w:rsidP="002D14C0">
      <w:pPr>
        <w:rPr>
          <w:rFonts w:ascii="Roboto" w:hAnsi="Roboto"/>
        </w:rPr>
      </w:pPr>
    </w:p>
    <w:p w14:paraId="0256073E" w14:textId="77777777" w:rsidR="00203FAB" w:rsidRPr="00A60D14" w:rsidRDefault="00203FAB" w:rsidP="002D14C0">
      <w:pPr>
        <w:rPr>
          <w:rFonts w:ascii="Roboto" w:hAnsi="Roboto"/>
        </w:rPr>
      </w:pPr>
    </w:p>
    <w:p w14:paraId="396098A9" w14:textId="77777777" w:rsidR="00203FAB" w:rsidRPr="00A60D14" w:rsidRDefault="00203FAB" w:rsidP="002D14C0">
      <w:pPr>
        <w:rPr>
          <w:rFonts w:ascii="Roboto" w:hAnsi="Roboto"/>
        </w:rPr>
      </w:pPr>
    </w:p>
    <w:p w14:paraId="49CD5BA5" w14:textId="73176A62" w:rsidR="00203FAB" w:rsidRPr="00A60D14" w:rsidRDefault="00203FAB" w:rsidP="002D14C0">
      <w:pPr>
        <w:rPr>
          <w:rFonts w:ascii="Roboto" w:hAnsi="Roboto"/>
        </w:rPr>
      </w:pPr>
    </w:p>
    <w:p w14:paraId="6641A806" w14:textId="77777777" w:rsidR="00203FAB" w:rsidRPr="00A60D14" w:rsidRDefault="00203FAB" w:rsidP="002D14C0">
      <w:pPr>
        <w:rPr>
          <w:rFonts w:ascii="Roboto" w:hAnsi="Roboto"/>
        </w:rPr>
      </w:pPr>
    </w:p>
    <w:p w14:paraId="52E76671" w14:textId="1DB0CDDA" w:rsidR="00203FAB" w:rsidRPr="00A60D14" w:rsidRDefault="00203FAB" w:rsidP="00113300">
      <w:pPr>
        <w:spacing w:after="160" w:line="259" w:lineRule="auto"/>
        <w:rPr>
          <w:rFonts w:ascii="Roboto" w:hAnsi="Roboto"/>
        </w:rPr>
      </w:pPr>
    </w:p>
    <w:p w14:paraId="1703F841" w14:textId="480012D7" w:rsidR="00203FAB" w:rsidRDefault="00203FAB" w:rsidP="002D14C0">
      <w:pPr>
        <w:rPr>
          <w:rFonts w:ascii="Roboto" w:hAnsi="Roboto"/>
        </w:rPr>
      </w:pPr>
    </w:p>
    <w:p w14:paraId="6F06223D" w14:textId="77777777" w:rsidR="00E94948" w:rsidRDefault="00E94948" w:rsidP="002D14C0">
      <w:pPr>
        <w:rPr>
          <w:rFonts w:ascii="Roboto" w:hAnsi="Roboto"/>
        </w:rPr>
      </w:pPr>
    </w:p>
    <w:p w14:paraId="26CB9BD2" w14:textId="5EC4C966" w:rsidR="005668D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501310" behindDoc="0" locked="0" layoutInCell="1" allowOverlap="1" wp14:anchorId="7CE167F8" wp14:editId="5B4F862D">
                <wp:simplePos x="0" y="0"/>
                <wp:positionH relativeFrom="column">
                  <wp:posOffset>5472811</wp:posOffset>
                </wp:positionH>
                <wp:positionV relativeFrom="paragraph">
                  <wp:posOffset>1422654</wp:posOffset>
                </wp:positionV>
                <wp:extent cx="3878317" cy="268014"/>
                <wp:effectExtent l="0" t="0" r="0" b="0"/>
                <wp:wrapNone/>
                <wp:docPr id="415" name="Rectangle 415"/>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63A89891" id="Rectangle 415" o:spid="_x0000_s1026" style="position:absolute;margin-left:430.95pt;margin-top:112pt;width:305.4pt;height:21.1pt;z-index:2555013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" fillcolor="white [3212]" stroked="f" strokeweight="1pt"/>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61982" behindDoc="1" locked="0" layoutInCell="1" allowOverlap="1" wp14:anchorId="3F508282" wp14:editId="5A603011">
                <wp:simplePos x="0" y="0"/>
                <wp:positionH relativeFrom="margin">
                  <wp:align>center</wp:align>
                </wp:positionH>
                <wp:positionV relativeFrom="margin">
                  <wp:align>center</wp:align>
                </wp:positionV>
                <wp:extent cx="9856189" cy="5972400"/>
                <wp:effectExtent l="12700" t="12700" r="12065" b="9525"/>
                <wp:wrapNone/>
                <wp:docPr id="2615" name="Rectangle 2615"/>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5BB8E4"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08282" id="Rectangle 2615" o:spid="_x0000_s1190" style="position:absolute;margin-left:0;margin-top:0;width:776.1pt;height:470.25pt;z-index:-24855449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" fillcolor="#f2f2f2 [3052]" strokecolor="#16988a" strokeweight="1.5pt">
                <v:textbox>
                  <w:txbxContent>
                    <w:p w14:paraId="4A5BB8E4" w14:textId="77777777" w:rsidR="00D15FD8" w:rsidRPr="003625BA" w:rsidRDefault="00D15FD8" w:rsidP="003625BA">
                      <w:pPr>
                        <w:jc w:val="center"/>
                        <w:rPr>
                          <w:lang w:val="en-US"/>
                        </w:rPr>
                      </w:pPr>
                    </w:p>
                  </w:txbxContent>
                </v:textbox>
                <w10:wrap anchorx="margin" anchory="margin"/>
              </v:rect>
            </w:pict>
          </mc:Fallback>
        </mc:AlternateContent>
      </w:r>
      <w:r w:rsidR="005668DD">
        <w:rPr>
          <w:rFonts w:ascii="Roboto" w:hAnsi="Roboto"/>
        </w:rPr>
        <w:br w:type="page"/>
      </w:r>
    </w:p>
    <w:p w14:paraId="0E5797C7" w14:textId="49F6AE94" w:rsidR="00203FAB" w:rsidRPr="00A60D14"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503358" behindDoc="0" locked="0" layoutInCell="1" allowOverlap="1" wp14:anchorId="592827C8" wp14:editId="101F4B1A">
                <wp:simplePos x="0" y="0"/>
                <wp:positionH relativeFrom="column">
                  <wp:posOffset>-98141</wp:posOffset>
                </wp:positionH>
                <wp:positionV relativeFrom="paragraph">
                  <wp:posOffset>-536312</wp:posOffset>
                </wp:positionV>
                <wp:extent cx="3878317" cy="268014"/>
                <wp:effectExtent l="0" t="0" r="0" b="0"/>
                <wp:wrapNone/>
                <wp:docPr id="416" name="Rectangle 416"/>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7709E581" id="Rectangle 416" o:spid="_x0000_s1026" style="position:absolute;margin-left:-7.75pt;margin-top:-42.25pt;width:305.4pt;height:21.1pt;z-index:2555033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" fillcolor="white [3212]" stroked="f" strokeweight="1pt"/>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64030" behindDoc="1" locked="0" layoutInCell="1" allowOverlap="1" wp14:anchorId="0E9736FF" wp14:editId="05DA916E">
                <wp:simplePos x="0" y="0"/>
                <wp:positionH relativeFrom="margin">
                  <wp:align>center</wp:align>
                </wp:positionH>
                <wp:positionV relativeFrom="margin">
                  <wp:align>center</wp:align>
                </wp:positionV>
                <wp:extent cx="9856189" cy="5972400"/>
                <wp:effectExtent l="12700" t="12700" r="12065" b="9525"/>
                <wp:wrapNone/>
                <wp:docPr id="2617" name="Rectangle 2617"/>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B9712A"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736FF" id="Rectangle 2617" o:spid="_x0000_s1191" style="position:absolute;margin-left:0;margin-top:0;width:776.1pt;height:470.25pt;z-index:-24855245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" fillcolor="#f2f2f2 [3052]" strokecolor="#16988a" strokeweight="1.5pt">
                <v:textbox>
                  <w:txbxContent>
                    <w:p w14:paraId="0AB9712A" w14:textId="77777777" w:rsidR="00D15FD8" w:rsidRPr="003625BA" w:rsidRDefault="00D15FD8" w:rsidP="003625BA">
                      <w:pPr>
                        <w:jc w:val="center"/>
                        <w:rPr>
                          <w:lang w:val="en-US"/>
                        </w:rPr>
                      </w:pPr>
                    </w:p>
                  </w:txbxContent>
                </v:textbox>
                <w10:wrap anchorx="margin" anchory="margin"/>
              </v:rect>
            </w:pict>
          </mc:Fallback>
        </mc:AlternateContent>
      </w:r>
      <w:r w:rsidR="00203FAB">
        <w:rPr>
          <w:rFonts w:ascii="Roboto" w:hAnsi="Roboto"/>
          <w:noProof/>
          <w:lang w:val="en-US"/>
        </w:rPr>
        <w:drawing>
          <wp:inline distT="0" distB="0" distL="0" distR="0" wp14:anchorId="4B210B1D" wp14:editId="5FBF264E">
            <wp:extent cx="3060000" cy="612000"/>
            <wp:effectExtent l="0" t="0" r="0" b="0"/>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9_Icon_titles_quarterof1920-01.png"/>
                    <pic:cNvPicPr/>
                  </pic:nvPicPr>
                  <pic:blipFill>
                    <a:blip r:embed="rId331" cstate="email">
                      <a:extLst>
                        <a:ext uri="{28A0092B-C50C-407E-A947-70E740481C1C}">
                          <a14:useLocalDpi xmlns:a14="http://schemas.microsoft.com/office/drawing/2010/main"/>
                        </a:ext>
                      </a:extLst>
                    </a:blip>
                    <a:stretch>
                      <a:fillRect/>
                    </a:stretch>
                  </pic:blipFill>
                  <pic:spPr>
                    <a:xfrm>
                      <a:off x="0" y="0"/>
                      <a:ext cx="3060000" cy="612000"/>
                    </a:xfrm>
                    <a:prstGeom prst="rect">
                      <a:avLst/>
                    </a:prstGeom>
                  </pic:spPr>
                </pic:pic>
              </a:graphicData>
            </a:graphic>
          </wp:inline>
        </w:drawing>
      </w:r>
    </w:p>
    <w:p w14:paraId="51666FAE" w14:textId="4537CD0A" w:rsidR="00203FAB" w:rsidRPr="00A60D14" w:rsidRDefault="00EB596E" w:rsidP="002D14C0">
      <w:pPr>
        <w:rPr>
          <w:rFonts w:ascii="Roboto" w:hAnsi="Roboto"/>
        </w:rPr>
      </w:pPr>
      <w:r w:rsidRPr="00A60D14">
        <w:rPr>
          <w:rFonts w:ascii="Roboto" w:hAnsi="Roboto"/>
          <w:noProof/>
          <w:lang w:val="en-US"/>
        </w:rPr>
        <mc:AlternateContent>
          <mc:Choice Requires="wps">
            <w:drawing>
              <wp:anchor distT="0" distB="0" distL="114300" distR="114300" simplePos="0" relativeHeight="253689854" behindDoc="0" locked="0" layoutInCell="1" allowOverlap="1" wp14:anchorId="18355AC0" wp14:editId="0859669E">
                <wp:simplePos x="0" y="0"/>
                <wp:positionH relativeFrom="column">
                  <wp:posOffset>0</wp:posOffset>
                </wp:positionH>
                <wp:positionV relativeFrom="paragraph">
                  <wp:posOffset>93345</wp:posOffset>
                </wp:positionV>
                <wp:extent cx="8847455" cy="584200"/>
                <wp:effectExtent l="0" t="0" r="0" b="0"/>
                <wp:wrapNone/>
                <wp:docPr id="1949" name="Text Box 1949"/>
                <wp:cNvGraphicFramePr/>
                <a:graphic xmlns:a="http://schemas.openxmlformats.org/drawingml/2006/main">
                  <a:graphicData uri="http://schemas.microsoft.com/office/word/2010/wordprocessingShape">
                    <wps:wsp>
                      <wps:cNvSpPr txBox="1"/>
                      <wps:spPr>
                        <a:xfrm>
                          <a:off x="0" y="0"/>
                          <a:ext cx="8847455" cy="5842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69C29499" w14:textId="77777777" w:rsidR="00D15FD8" w:rsidRPr="007867F2" w:rsidRDefault="00D15FD8" w:rsidP="002D14C0">
                            <w:pPr>
                              <w:spacing w:line="360" w:lineRule="auto"/>
                              <w:rPr>
                                <w:sz w:val="20"/>
                                <w:szCs w:val="20"/>
                              </w:rPr>
                            </w:pPr>
                            <w:r w:rsidRPr="00A60D14">
                              <w:rPr>
                                <w:rFonts w:ascii="Roboto" w:hAnsi="Roboto"/>
                                <w:b/>
                                <w:color w:val="F26C21"/>
                                <w:sz w:val="20"/>
                                <w:szCs w:val="20"/>
                              </w:rPr>
                              <w:t>The Supreme Audit Institution should have statutory independence from the executive, and the mandate, access to information, and appropriate resources to audit and report publicly on the raising and commitment of public funds. It should operate in an independent, accountable and transparent manner.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355AC0" id="Text Box 1949" o:spid="_x0000_s1192" type="#_x0000_t202" style="position:absolute;margin-left:0;margin-top:7.35pt;width:696.65pt;height:46pt;z-index:2536898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" filled="f" stroked="f" strokeweight="1pt">
                <v:textbox>
                  <w:txbxContent>
                    <w:p w14:paraId="69C29499" w14:textId="77777777" w:rsidR="00D15FD8" w:rsidRPr="007867F2" w:rsidRDefault="00D15FD8" w:rsidP="002D14C0">
                      <w:pPr>
                        <w:spacing w:line="360" w:lineRule="auto"/>
                        <w:rPr>
                          <w:sz w:val="20"/>
                          <w:szCs w:val="20"/>
                        </w:rPr>
                      </w:pPr>
                      <w:r w:rsidRPr="00A60D14">
                        <w:rPr>
                          <w:rFonts w:ascii="Roboto" w:hAnsi="Roboto"/>
                          <w:b/>
                          <w:color w:val="F26C21"/>
                          <w:sz w:val="20"/>
                          <w:szCs w:val="20"/>
                        </w:rPr>
                        <w:t>The Supreme Audit Institution should have statutory independence from the executive, and the mandate, access to information, and appropriate resources to audit and report publicly on the raising and commitment of public funds. It should operate in an independent, accountable and transparent manner.</w:t>
                      </w:r>
                    </w:p>
                  </w:txbxContent>
                </v:textbox>
              </v:shape>
            </w:pict>
          </mc:Fallback>
        </mc:AlternateContent>
      </w:r>
      <w:r w:rsidRPr="00A60D14">
        <w:rPr>
          <w:rFonts w:ascii="Roboto" w:hAnsi="Roboto"/>
          <w:noProof/>
          <w:lang w:val="en-US"/>
        </w:rPr>
        <mc:AlternateContent>
          <mc:Choice Requires="wps">
            <w:drawing>
              <wp:anchor distT="0" distB="0" distL="114300" distR="114300" simplePos="0" relativeHeight="253688830" behindDoc="0" locked="0" layoutInCell="1" allowOverlap="1" wp14:anchorId="30D32F4E" wp14:editId="0E44AA42">
                <wp:simplePos x="0" y="0"/>
                <wp:positionH relativeFrom="column">
                  <wp:posOffset>20955</wp:posOffset>
                </wp:positionH>
                <wp:positionV relativeFrom="paragraph">
                  <wp:posOffset>71755</wp:posOffset>
                </wp:positionV>
                <wp:extent cx="8847455" cy="605155"/>
                <wp:effectExtent l="0" t="0" r="17145" b="17145"/>
                <wp:wrapNone/>
                <wp:docPr id="1950" name="Rounded Rectangle 1950"/>
                <wp:cNvGraphicFramePr/>
                <a:graphic xmlns:a="http://schemas.openxmlformats.org/drawingml/2006/main">
                  <a:graphicData uri="http://schemas.microsoft.com/office/word/2010/wordprocessingShape">
                    <wps:wsp>
                      <wps:cNvSpPr/>
                      <wps:spPr>
                        <a:xfrm>
                          <a:off x="0" y="0"/>
                          <a:ext cx="8847455" cy="605155"/>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623B3FD" id="Rounded Rectangle 1950" o:spid="_x0000_s1026" style="position:absolute;margin-left:1.65pt;margin-top:5.65pt;width:696.65pt;height:47.65pt;z-index:2536888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" filled="f" strokecolor="#f26c21" strokeweight="1pt">
                <v:stroke joinstyle="miter"/>
              </v:roundrect>
            </w:pict>
          </mc:Fallback>
        </mc:AlternateContent>
      </w:r>
    </w:p>
    <w:p w14:paraId="61D73D80" w14:textId="172A632E" w:rsidR="00203FAB" w:rsidRPr="00A60D14" w:rsidRDefault="00203FAB" w:rsidP="002D14C0">
      <w:pPr>
        <w:rPr>
          <w:rFonts w:ascii="Roboto" w:hAnsi="Roboto"/>
        </w:rPr>
      </w:pPr>
    </w:p>
    <w:p w14:paraId="195F48CB" w14:textId="77777777" w:rsidR="00203FAB" w:rsidRDefault="00203FAB" w:rsidP="002D14C0">
      <w:pPr>
        <w:rPr>
          <w:rFonts w:ascii="Roboto" w:hAnsi="Roboto"/>
        </w:rPr>
      </w:pPr>
    </w:p>
    <w:p w14:paraId="77785FCC" w14:textId="6AADDF79" w:rsidR="00203FAB" w:rsidRPr="00A60D14" w:rsidRDefault="00783364" w:rsidP="002D14C0">
      <w:pPr>
        <w:rPr>
          <w:rFonts w:ascii="Roboto" w:hAnsi="Roboto"/>
        </w:rPr>
      </w:pPr>
      <w:r w:rsidRPr="00DC2D55">
        <w:rPr>
          <w:rFonts w:ascii="Roboto" w:hAnsi="Roboto"/>
          <w:noProof/>
          <w:lang w:val="en-US"/>
        </w:rPr>
        <w:drawing>
          <wp:anchor distT="0" distB="0" distL="114300" distR="114300" simplePos="0" relativeHeight="253690878" behindDoc="1" locked="0" layoutInCell="1" allowOverlap="1" wp14:anchorId="5B537F36" wp14:editId="77C4509F">
            <wp:simplePos x="0" y="0"/>
            <wp:positionH relativeFrom="margin">
              <wp:posOffset>-9525</wp:posOffset>
            </wp:positionH>
            <wp:positionV relativeFrom="paragraph">
              <wp:posOffset>254000</wp:posOffset>
            </wp:positionV>
            <wp:extent cx="8882380" cy="287655"/>
            <wp:effectExtent l="0" t="0" r="0" b="0"/>
            <wp:wrapTight wrapText="bothSides">
              <wp:wrapPolygon edited="0">
                <wp:start x="185" y="7629"/>
                <wp:lineTo x="185" y="13351"/>
                <wp:lineTo x="21341" y="13351"/>
                <wp:lineTo x="21341" y="7629"/>
                <wp:lineTo x="185" y="7629"/>
              </wp:wrapPolygon>
            </wp:wrapTight>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8882380" cy="287655"/>
                    </a:xfrm>
                    <a:prstGeom prst="rect">
                      <a:avLst/>
                    </a:prstGeom>
                  </pic:spPr>
                </pic:pic>
              </a:graphicData>
            </a:graphic>
            <wp14:sizeRelH relativeFrom="page">
              <wp14:pctWidth>0</wp14:pctWidth>
            </wp14:sizeRelH>
            <wp14:sizeRelV relativeFrom="page">
              <wp14:pctHeight>0</wp14:pctHeight>
            </wp14:sizeRelV>
          </wp:anchor>
        </w:drawing>
      </w:r>
    </w:p>
    <w:p w14:paraId="5FFFFCF5" w14:textId="13F0A5DB" w:rsidR="00203FAB" w:rsidRPr="00A60D14" w:rsidRDefault="00EB596E" w:rsidP="002D14C0">
      <w:pPr>
        <w:rPr>
          <w:rFonts w:ascii="Roboto" w:hAnsi="Roboto"/>
        </w:rPr>
      </w:pPr>
      <w:r w:rsidRPr="00A60D14">
        <w:rPr>
          <w:rFonts w:ascii="Roboto" w:hAnsi="Roboto"/>
          <w:noProof/>
          <w:lang w:val="en-US"/>
        </w:rPr>
        <mc:AlternateContent>
          <mc:Choice Requires="wps">
            <w:drawing>
              <wp:anchor distT="0" distB="0" distL="114300" distR="114300" simplePos="0" relativeHeight="253691902" behindDoc="0" locked="0" layoutInCell="1" allowOverlap="1" wp14:anchorId="3F806168" wp14:editId="290C8976">
                <wp:simplePos x="0" y="0"/>
                <wp:positionH relativeFrom="column">
                  <wp:posOffset>-254000</wp:posOffset>
                </wp:positionH>
                <wp:positionV relativeFrom="paragraph">
                  <wp:posOffset>492760</wp:posOffset>
                </wp:positionV>
                <wp:extent cx="4495800" cy="3743325"/>
                <wp:effectExtent l="0" t="0" r="0" b="3175"/>
                <wp:wrapNone/>
                <wp:docPr id="1953" name="Rounded Rectangle 1953"/>
                <wp:cNvGraphicFramePr/>
                <a:graphic xmlns:a="http://schemas.openxmlformats.org/drawingml/2006/main">
                  <a:graphicData uri="http://schemas.microsoft.com/office/word/2010/wordprocessingShape">
                    <wps:wsp>
                      <wps:cNvSpPr/>
                      <wps:spPr>
                        <a:xfrm>
                          <a:off x="0" y="0"/>
                          <a:ext cx="4495800" cy="3743325"/>
                        </a:xfrm>
                        <a:prstGeom prst="roundRect">
                          <a:avLst>
                            <a:gd name="adj" fmla="val 4793"/>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75A4ED"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806168" id="Rounded Rectangle 1953" o:spid="_x0000_s1193" style="position:absolute;margin-left:-20pt;margin-top:38.8pt;width:354pt;height:294.75pt;z-index:253691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" fillcolor="#1e9a8c" stroked="f" strokeweight="1pt">
                <v:stroke joinstyle="miter"/>
                <v:textbox>
                  <w:txbxContent>
                    <w:p w14:paraId="1F75A4ED" w14:textId="77777777" w:rsidR="00D15FD8" w:rsidRDefault="00D15FD8" w:rsidP="002D14C0">
                      <w:pPr>
                        <w:jc w:val="center"/>
                      </w:pPr>
                    </w:p>
                  </w:txbxContent>
                </v:textbox>
              </v:roundrect>
            </w:pict>
          </mc:Fallback>
        </mc:AlternateContent>
      </w:r>
      <w:r w:rsidRPr="00550F15">
        <w:rPr>
          <w:rFonts w:ascii="Roboto" w:hAnsi="Roboto"/>
          <w:noProof/>
          <w:lang w:val="en-US"/>
        </w:rPr>
        <mc:AlternateContent>
          <mc:Choice Requires="wps">
            <w:drawing>
              <wp:anchor distT="0" distB="0" distL="114300" distR="114300" simplePos="0" relativeHeight="253697022" behindDoc="0" locked="0" layoutInCell="1" allowOverlap="1" wp14:anchorId="688692CF" wp14:editId="18C62B44">
                <wp:simplePos x="0" y="0"/>
                <wp:positionH relativeFrom="column">
                  <wp:posOffset>4323080</wp:posOffset>
                </wp:positionH>
                <wp:positionV relativeFrom="paragraph">
                  <wp:posOffset>376555</wp:posOffset>
                </wp:positionV>
                <wp:extent cx="4387215" cy="304800"/>
                <wp:effectExtent l="0" t="0" r="0" b="0"/>
                <wp:wrapNone/>
                <wp:docPr id="1951" name="Text Box 1951"/>
                <wp:cNvGraphicFramePr/>
                <a:graphic xmlns:a="http://schemas.openxmlformats.org/drawingml/2006/main">
                  <a:graphicData uri="http://schemas.microsoft.com/office/word/2010/wordprocessingShape">
                    <wps:wsp>
                      <wps:cNvSpPr txBox="1"/>
                      <wps:spPr>
                        <a:xfrm>
                          <a:off x="0" y="0"/>
                          <a:ext cx="4387215" cy="304800"/>
                        </a:xfrm>
                        <a:prstGeom prst="rect">
                          <a:avLst/>
                        </a:prstGeom>
                        <a:noFill/>
                        <a:ln w="6350">
                          <a:noFill/>
                        </a:ln>
                      </wps:spPr>
                      <wps:txbx>
                        <w:txbxContent>
                          <w:p w14:paraId="66015D36"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5D61D8A7" w14:textId="77777777" w:rsidR="00D15FD8" w:rsidRPr="00FA2526" w:rsidRDefault="00D15FD8" w:rsidP="002D1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692CF" id="Text Box 1951" o:spid="_x0000_s1194" type="#_x0000_t202" style="position:absolute;margin-left:340.4pt;margin-top:29.65pt;width:345.45pt;height:24pt;z-index:253697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" filled="f" stroked="f" strokeweight=".5pt">
                <v:textbox>
                  <w:txbxContent>
                    <w:p w14:paraId="66015D36" w14:textId="77777777" w:rsidR="00D15FD8" w:rsidRPr="00581669" w:rsidRDefault="00D15FD8" w:rsidP="002D14C0">
                      <w:pPr>
                        <w:rPr>
                          <w:rFonts w:ascii="Roboto" w:eastAsia="Times New Roman" w:hAnsi="Roboto"/>
                          <w:b/>
                          <w:color w:val="F26C21"/>
                          <w:lang w:val="en-PH"/>
                        </w:rPr>
                      </w:pPr>
                      <w:r w:rsidRPr="00FA2526">
                        <w:rPr>
                          <w:rFonts w:ascii="Roboto" w:eastAsia="Times New Roman" w:hAnsi="Roboto"/>
                          <w:b/>
                          <w:color w:val="F26C21"/>
                          <w:lang w:val="en-PH"/>
                        </w:rPr>
                        <w:t>APPLICABLE INTERNATIONAL NORMS AND STANDARDS</w:t>
                      </w:r>
                    </w:p>
                    <w:p w14:paraId="5D61D8A7" w14:textId="77777777" w:rsidR="00D15FD8" w:rsidRPr="00FA2526" w:rsidRDefault="00D15FD8" w:rsidP="002D14C0"/>
                  </w:txbxContent>
                </v:textbox>
              </v:shape>
            </w:pict>
          </mc:Fallback>
        </mc:AlternateContent>
      </w:r>
      <w:r w:rsidRPr="00550F15">
        <w:rPr>
          <w:rFonts w:ascii="Roboto" w:hAnsi="Roboto"/>
          <w:noProof/>
          <w:lang w:val="en-US"/>
        </w:rPr>
        <mc:AlternateContent>
          <mc:Choice Requires="wps">
            <w:drawing>
              <wp:anchor distT="0" distB="0" distL="114300" distR="114300" simplePos="0" relativeHeight="253698046" behindDoc="0" locked="0" layoutInCell="1" allowOverlap="1" wp14:anchorId="2F452278" wp14:editId="7444AD25">
                <wp:simplePos x="0" y="0"/>
                <wp:positionH relativeFrom="column">
                  <wp:posOffset>4318000</wp:posOffset>
                </wp:positionH>
                <wp:positionV relativeFrom="paragraph">
                  <wp:posOffset>626110</wp:posOffset>
                </wp:positionV>
                <wp:extent cx="4800600" cy="3619500"/>
                <wp:effectExtent l="0" t="0" r="0" b="0"/>
                <wp:wrapNone/>
                <wp:docPr id="1954" name="Text Box 1954"/>
                <wp:cNvGraphicFramePr/>
                <a:graphic xmlns:a="http://schemas.openxmlformats.org/drawingml/2006/main">
                  <a:graphicData uri="http://schemas.microsoft.com/office/word/2010/wordprocessingShape">
                    <wps:wsp>
                      <wps:cNvSpPr txBox="1"/>
                      <wps:spPr>
                        <a:xfrm>
                          <a:off x="0" y="0"/>
                          <a:ext cx="4800600" cy="3619500"/>
                        </a:xfrm>
                        <a:prstGeom prst="rect">
                          <a:avLst/>
                        </a:prstGeom>
                        <a:noFill/>
                        <a:ln w="6350">
                          <a:noFill/>
                        </a:ln>
                      </wps:spPr>
                      <wps:txbx>
                        <w:txbxContent>
                          <w:p w14:paraId="0E50CBEC" w14:textId="77777777" w:rsidR="00D15FD8" w:rsidRPr="00550F15" w:rsidRDefault="00D15FD8" w:rsidP="002D14C0">
                            <w:pPr>
                              <w:spacing w:after="160" w:line="259" w:lineRule="auto"/>
                              <w:suppressOverlap/>
                              <w:rPr>
                                <w:rFonts w:ascii="Roboto" w:eastAsia="Calibri" w:hAnsi="Roboto" w:cs="Calibri"/>
                                <w:i/>
                                <w:color w:val="404040" w:themeColor="text1" w:themeTint="BF"/>
                                <w:sz w:val="20"/>
                                <w:szCs w:val="20"/>
                              </w:rPr>
                            </w:pPr>
                            <w:r w:rsidRPr="00550F15">
                              <w:rPr>
                                <w:rFonts w:ascii="Roboto" w:eastAsia="Calibri" w:hAnsi="Roboto" w:cs="Calibri"/>
                                <w:color w:val="404040" w:themeColor="text1" w:themeTint="BF"/>
                                <w:sz w:val="20"/>
                                <w:szCs w:val="20"/>
                              </w:rPr>
                              <w:t xml:space="preserve">International fiscal transparency norms stress the important role of SAIs in auditing annual financial statements and publishing audit reports. Major parameters of independence in practice are assessed under PEFA and the OBS. </w:t>
                            </w:r>
                          </w:p>
                          <w:p w14:paraId="4CABCC04" w14:textId="77777777" w:rsidR="00D15FD8" w:rsidRPr="00550F15" w:rsidRDefault="00AC4DF7" w:rsidP="002D14C0">
                            <w:pPr>
                              <w:suppressOverlap/>
                              <w:rPr>
                                <w:rFonts w:ascii="Roboto" w:eastAsia="Calibri" w:hAnsi="Roboto" w:cs="Calibri"/>
                                <w:color w:val="404040" w:themeColor="text1" w:themeTint="BF"/>
                                <w:sz w:val="20"/>
                                <w:szCs w:val="20"/>
                              </w:rPr>
                            </w:pPr>
                            <w:hyperlink r:id="rId332" w:history="1">
                              <w:r w:rsidR="00D15FD8" w:rsidRPr="00550F15">
                                <w:rPr>
                                  <w:rStyle w:val="Hyperlink"/>
                                  <w:rFonts w:ascii="Roboto" w:eastAsia="Calibri" w:hAnsi="Roboto" w:cs="Calibri"/>
                                  <w:b/>
                                  <w:color w:val="1E9A8C"/>
                                  <w:sz w:val="20"/>
                                  <w:szCs w:val="20"/>
                                </w:rPr>
                                <w:t>International Organization of Supreme Audit Institutions</w:t>
                              </w:r>
                            </w:hyperlink>
                            <w:r w:rsidR="00D15FD8" w:rsidRPr="00550F15">
                              <w:rPr>
                                <w:rFonts w:ascii="Roboto" w:eastAsia="Calibri" w:hAnsi="Roboto" w:cs="Calibri"/>
                                <w:i/>
                                <w:color w:val="404040" w:themeColor="text1" w:themeTint="BF"/>
                                <w:sz w:val="20"/>
                                <w:szCs w:val="20"/>
                              </w:rPr>
                              <w:t xml:space="preserve"> </w:t>
                            </w:r>
                            <w:r w:rsidR="00D15FD8" w:rsidRPr="00550F15">
                              <w:rPr>
                                <w:rFonts w:ascii="Roboto" w:eastAsia="Calibri" w:hAnsi="Roboto" w:cs="Calibri"/>
                                <w:color w:val="404040" w:themeColor="text1" w:themeTint="BF"/>
                                <w:sz w:val="20"/>
                                <w:szCs w:val="20"/>
                              </w:rPr>
                              <w:t>(INTOSAI):</w:t>
                            </w:r>
                          </w:p>
                          <w:p w14:paraId="75BE8087" w14:textId="77777777" w:rsidR="00D15FD8" w:rsidRPr="00550F15" w:rsidRDefault="00D15FD8" w:rsidP="00331B48">
                            <w:pPr>
                              <w:pStyle w:val="ListParagraph"/>
                              <w:numPr>
                                <w:ilvl w:val="0"/>
                                <w:numId w:val="35"/>
                              </w:numPr>
                              <w:ind w:left="421" w:hanging="425"/>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Lima Declaration (1977), considered the ‘Magna Carta’ of government auditing, determined essential requirements of proper public sector auditing. Flowing from this, the Mexico Declaration (2007) (reinforced by the South Africa Declaration (2010)), set up eight core principles for SAI independence: </w:t>
                            </w:r>
                          </w:p>
                          <w:p w14:paraId="2855BB66"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The existence of an appropriate and effective constitutional/statutory/legal framework and its de facto application.</w:t>
                            </w:r>
                          </w:p>
                          <w:p w14:paraId="7C02F15F"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The independence of SAI heads and members of collegial institutions, including security of tenure and legal immunity in the normal discharge of their duties.</w:t>
                            </w:r>
                          </w:p>
                          <w:p w14:paraId="17F2C7FE"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A sufficiently broad mandate and full discretion in the discharge of SAI functions. </w:t>
                            </w:r>
                          </w:p>
                          <w:p w14:paraId="57EF2620"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Unrestricted access to information. </w:t>
                            </w:r>
                          </w:p>
                          <w:p w14:paraId="0C968513"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Rights and obligation for the SAI to report on its work. </w:t>
                            </w:r>
                          </w:p>
                          <w:p w14:paraId="057BEF84" w14:textId="77777777" w:rsidR="00D15FD8" w:rsidRPr="00550F15" w:rsidRDefault="00D15FD8" w:rsidP="00331B48">
                            <w:pPr>
                              <w:numPr>
                                <w:ilvl w:val="0"/>
                                <w:numId w:val="34"/>
                              </w:numPr>
                              <w:suppressOverlap/>
                              <w:rPr>
                                <w:rFonts w:ascii="Roboto" w:hAnsi="Roboto"/>
                                <w:sz w:val="20"/>
                                <w:szCs w:val="20"/>
                              </w:rPr>
                            </w:pPr>
                            <w:r w:rsidRPr="00550F15">
                              <w:rPr>
                                <w:rFonts w:ascii="Roboto" w:eastAsia="Calibri" w:hAnsi="Roboto" w:cs="Calibri"/>
                                <w:color w:val="404040" w:themeColor="text1" w:themeTint="BF"/>
                                <w:sz w:val="20"/>
                                <w:szCs w:val="20"/>
                              </w:rPr>
                              <w:t xml:space="preserve">The SAI’s freedom to decide the content and timing of reports, and disseminate them.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52278" id="Text Box 1954" o:spid="_x0000_s1195" type="#_x0000_t202" style="position:absolute;margin-left:340pt;margin-top:49.3pt;width:378pt;height:285pt;z-index:253698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" filled="f" stroked="f" strokeweight=".5pt">
                <v:textbox>
                  <w:txbxContent>
                    <w:p w14:paraId="0E50CBEC" w14:textId="77777777" w:rsidR="00D15FD8" w:rsidRPr="00550F15" w:rsidRDefault="00D15FD8" w:rsidP="002D14C0">
                      <w:pPr>
                        <w:spacing w:after="160" w:line="259" w:lineRule="auto"/>
                        <w:suppressOverlap/>
                        <w:rPr>
                          <w:rFonts w:ascii="Roboto" w:eastAsia="Calibri" w:hAnsi="Roboto" w:cs="Calibri"/>
                          <w:i/>
                          <w:color w:val="404040" w:themeColor="text1" w:themeTint="BF"/>
                          <w:sz w:val="20"/>
                          <w:szCs w:val="20"/>
                        </w:rPr>
                      </w:pPr>
                      <w:r w:rsidRPr="00550F15">
                        <w:rPr>
                          <w:rFonts w:ascii="Roboto" w:eastAsia="Calibri" w:hAnsi="Roboto" w:cs="Calibri"/>
                          <w:color w:val="404040" w:themeColor="text1" w:themeTint="BF"/>
                          <w:sz w:val="20"/>
                          <w:szCs w:val="20"/>
                        </w:rPr>
                        <w:t xml:space="preserve">International fiscal transparency norms stress the important role of SAIs in auditing annual financial statements and publishing audit reports. Major parameters of independence in practice are assessed under PEFA and the OBS. </w:t>
                      </w:r>
                    </w:p>
                    <w:p w14:paraId="4CABCC04" w14:textId="77777777" w:rsidR="00D15FD8" w:rsidRPr="00550F15" w:rsidRDefault="00AC4DF7" w:rsidP="002D14C0">
                      <w:pPr>
                        <w:suppressOverlap/>
                        <w:rPr>
                          <w:rFonts w:ascii="Roboto" w:eastAsia="Calibri" w:hAnsi="Roboto" w:cs="Calibri"/>
                          <w:color w:val="404040" w:themeColor="text1" w:themeTint="BF"/>
                          <w:sz w:val="20"/>
                          <w:szCs w:val="20"/>
                        </w:rPr>
                      </w:pPr>
                      <w:hyperlink r:id="rId333" w:history="1">
                        <w:r w:rsidR="00D15FD8" w:rsidRPr="00550F15">
                          <w:rPr>
                            <w:rStyle w:val="Hyperlink"/>
                            <w:rFonts w:ascii="Roboto" w:eastAsia="Calibri" w:hAnsi="Roboto" w:cs="Calibri"/>
                            <w:b/>
                            <w:color w:val="1E9A8C"/>
                            <w:sz w:val="20"/>
                            <w:szCs w:val="20"/>
                          </w:rPr>
                          <w:t>International Organization of Supreme Audit Institutions</w:t>
                        </w:r>
                      </w:hyperlink>
                      <w:r w:rsidR="00D15FD8" w:rsidRPr="00550F15">
                        <w:rPr>
                          <w:rFonts w:ascii="Roboto" w:eastAsia="Calibri" w:hAnsi="Roboto" w:cs="Calibri"/>
                          <w:i/>
                          <w:color w:val="404040" w:themeColor="text1" w:themeTint="BF"/>
                          <w:sz w:val="20"/>
                          <w:szCs w:val="20"/>
                        </w:rPr>
                        <w:t xml:space="preserve"> </w:t>
                      </w:r>
                      <w:r w:rsidR="00D15FD8" w:rsidRPr="00550F15">
                        <w:rPr>
                          <w:rFonts w:ascii="Roboto" w:eastAsia="Calibri" w:hAnsi="Roboto" w:cs="Calibri"/>
                          <w:color w:val="404040" w:themeColor="text1" w:themeTint="BF"/>
                          <w:sz w:val="20"/>
                          <w:szCs w:val="20"/>
                        </w:rPr>
                        <w:t>(INTOSAI):</w:t>
                      </w:r>
                    </w:p>
                    <w:p w14:paraId="75BE8087" w14:textId="77777777" w:rsidR="00D15FD8" w:rsidRPr="00550F15" w:rsidRDefault="00D15FD8" w:rsidP="00331B48">
                      <w:pPr>
                        <w:pStyle w:val="ListParagraph"/>
                        <w:numPr>
                          <w:ilvl w:val="0"/>
                          <w:numId w:val="35"/>
                        </w:numPr>
                        <w:ind w:left="421" w:hanging="425"/>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Lima Declaration (1977), considered the ‘Magna Carta’ of government auditing, determined essential requirements of proper public sector auditing. Flowing from this, the Mexico Declaration (2007) (reinforced by the South Africa Declaration (2010)), set up eight core principles for SAI independence: </w:t>
                      </w:r>
                    </w:p>
                    <w:p w14:paraId="2855BB66"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The existence of an appropriate and effective constitutional/statutory/legal framework and its de facto application.</w:t>
                      </w:r>
                    </w:p>
                    <w:p w14:paraId="7C02F15F"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The independence of SAI heads and members of collegial institutions, including security of tenure and legal immunity in the normal discharge of their duties.</w:t>
                      </w:r>
                    </w:p>
                    <w:p w14:paraId="17F2C7FE"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A sufficiently broad mandate and full discretion in the discharge of SAI functions. </w:t>
                      </w:r>
                    </w:p>
                    <w:p w14:paraId="57EF2620"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Unrestricted access to information. </w:t>
                      </w:r>
                    </w:p>
                    <w:p w14:paraId="0C968513"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Rights and obligation for the SAI to report on its work. </w:t>
                      </w:r>
                    </w:p>
                    <w:p w14:paraId="057BEF84" w14:textId="77777777" w:rsidR="00D15FD8" w:rsidRPr="00550F15" w:rsidRDefault="00D15FD8" w:rsidP="00331B48">
                      <w:pPr>
                        <w:numPr>
                          <w:ilvl w:val="0"/>
                          <w:numId w:val="34"/>
                        </w:numPr>
                        <w:suppressOverlap/>
                        <w:rPr>
                          <w:rFonts w:ascii="Roboto" w:hAnsi="Roboto"/>
                          <w:sz w:val="20"/>
                          <w:szCs w:val="20"/>
                        </w:rPr>
                      </w:pPr>
                      <w:r w:rsidRPr="00550F15">
                        <w:rPr>
                          <w:rFonts w:ascii="Roboto" w:eastAsia="Calibri" w:hAnsi="Roboto" w:cs="Calibri"/>
                          <w:color w:val="404040" w:themeColor="text1" w:themeTint="BF"/>
                          <w:sz w:val="20"/>
                          <w:szCs w:val="20"/>
                        </w:rPr>
                        <w:t xml:space="preserve">The SAI’s freedom to decide the content and timing of reports, and disseminate them. </w:t>
                      </w:r>
                    </w:p>
                  </w:txbxContent>
                </v:textbox>
              </v:shape>
            </w:pict>
          </mc:Fallback>
        </mc:AlternateContent>
      </w:r>
      <w:r w:rsidRPr="00A60D14">
        <w:rPr>
          <w:rFonts w:ascii="Roboto" w:hAnsi="Roboto"/>
          <w:noProof/>
          <w:lang w:val="en-US"/>
        </w:rPr>
        <w:drawing>
          <wp:anchor distT="0" distB="0" distL="114300" distR="114300" simplePos="0" relativeHeight="253693950" behindDoc="1" locked="0" layoutInCell="1" allowOverlap="1" wp14:anchorId="0D705116" wp14:editId="0831A99D">
            <wp:simplePos x="0" y="0"/>
            <wp:positionH relativeFrom="column">
              <wp:posOffset>1316990</wp:posOffset>
            </wp:positionH>
            <wp:positionV relativeFrom="paragraph">
              <wp:posOffset>817880</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p>
    <w:p w14:paraId="7A9839E9" w14:textId="51E41312" w:rsidR="00203FAB" w:rsidRPr="00A60D14" w:rsidRDefault="00203FAB" w:rsidP="002D14C0">
      <w:pPr>
        <w:rPr>
          <w:rFonts w:ascii="Roboto" w:hAnsi="Roboto"/>
        </w:rPr>
      </w:pPr>
    </w:p>
    <w:p w14:paraId="3CF2A9F6" w14:textId="75A705EF" w:rsidR="00203FAB" w:rsidRDefault="00F97CAF" w:rsidP="002D14C0">
      <w:pPr>
        <w:rPr>
          <w:rFonts w:ascii="Roboto" w:hAnsi="Roboto"/>
        </w:rPr>
      </w:pPr>
      <w:r w:rsidRPr="00A60D14">
        <w:rPr>
          <w:rFonts w:ascii="Roboto" w:hAnsi="Roboto"/>
          <w:noProof/>
          <w:lang w:val="en-US"/>
        </w:rPr>
        <mc:AlternateContent>
          <mc:Choice Requires="wps">
            <w:drawing>
              <wp:anchor distT="0" distB="0" distL="114300" distR="114300" simplePos="0" relativeHeight="253692926" behindDoc="0" locked="0" layoutInCell="1" allowOverlap="1" wp14:anchorId="291F0F2D" wp14:editId="78BD4758">
                <wp:simplePos x="0" y="0"/>
                <wp:positionH relativeFrom="column">
                  <wp:posOffset>-119888</wp:posOffset>
                </wp:positionH>
                <wp:positionV relativeFrom="paragraph">
                  <wp:posOffset>141605</wp:posOffset>
                </wp:positionV>
                <wp:extent cx="4196080" cy="3454400"/>
                <wp:effectExtent l="12700" t="12700" r="7620" b="12700"/>
                <wp:wrapNone/>
                <wp:docPr id="1952" name="Rounded Rectangle 1952"/>
                <wp:cNvGraphicFramePr/>
                <a:graphic xmlns:a="http://schemas.openxmlformats.org/drawingml/2006/main">
                  <a:graphicData uri="http://schemas.microsoft.com/office/word/2010/wordprocessingShape">
                    <wps:wsp>
                      <wps:cNvSpPr/>
                      <wps:spPr>
                        <a:xfrm>
                          <a:off x="0" y="0"/>
                          <a:ext cx="4196080" cy="3454400"/>
                        </a:xfrm>
                        <a:prstGeom prst="roundRect">
                          <a:avLst>
                            <a:gd name="adj" fmla="val 5270"/>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5C05AD"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1F0F2D" id="Rounded Rectangle 1952" o:spid="_x0000_s1196" style="position:absolute;margin-left:-9.45pt;margin-top:11.15pt;width:330.4pt;height:272pt;z-index:253692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" filled="f" strokecolor="white [3212]" strokeweight="1.5pt">
                <v:stroke joinstyle="miter"/>
                <v:textbox>
                  <w:txbxContent>
                    <w:p w14:paraId="4D5C05AD" w14:textId="77777777" w:rsidR="00D15FD8" w:rsidRDefault="00D15FD8" w:rsidP="002D14C0"/>
                  </w:txbxContent>
                </v:textbox>
              </v:roundrect>
            </w:pict>
          </mc:Fallback>
        </mc:AlternateContent>
      </w:r>
    </w:p>
    <w:p w14:paraId="446F2832" w14:textId="740BD19E" w:rsidR="00203FAB" w:rsidRPr="00550F15" w:rsidRDefault="00203FAB" w:rsidP="002D14C0">
      <w:pPr>
        <w:rPr>
          <w:rFonts w:ascii="Roboto" w:hAnsi="Roboto"/>
        </w:rPr>
      </w:pPr>
    </w:p>
    <w:p w14:paraId="7765DA3B" w14:textId="239B95D1" w:rsidR="00203FAB" w:rsidRPr="00550F15" w:rsidRDefault="00F97CAF" w:rsidP="002D14C0">
      <w:pPr>
        <w:rPr>
          <w:rFonts w:ascii="Roboto" w:hAnsi="Roboto"/>
        </w:rPr>
      </w:pPr>
      <w:r w:rsidRPr="00A60D14">
        <w:rPr>
          <w:rFonts w:ascii="Roboto" w:hAnsi="Roboto"/>
          <w:noProof/>
          <w:lang w:val="en-US"/>
        </w:rPr>
        <mc:AlternateContent>
          <mc:Choice Requires="wps">
            <w:drawing>
              <wp:anchor distT="0" distB="0" distL="114300" distR="114300" simplePos="0" relativeHeight="253694974" behindDoc="0" locked="0" layoutInCell="1" allowOverlap="1" wp14:anchorId="39E170F4" wp14:editId="64FACCAF">
                <wp:simplePos x="0" y="0"/>
                <wp:positionH relativeFrom="column">
                  <wp:posOffset>1629410</wp:posOffset>
                </wp:positionH>
                <wp:positionV relativeFrom="paragraph">
                  <wp:posOffset>41148</wp:posOffset>
                </wp:positionV>
                <wp:extent cx="1337310" cy="317500"/>
                <wp:effectExtent l="0" t="0" r="0" b="0"/>
                <wp:wrapNone/>
                <wp:docPr id="1955" name="Text Box 1955"/>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65751493"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170F4" id="Text Box 1955" o:spid="_x0000_s1197" type="#_x0000_t202" style="position:absolute;margin-left:128.3pt;margin-top:3.25pt;width:105.3pt;height:25pt;z-index:253694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" filled="f" stroked="f" strokeweight=".5pt">
                <v:textbox>
                  <w:txbxContent>
                    <w:p w14:paraId="65751493"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p>
    <w:p w14:paraId="197201FF" w14:textId="44CAB21F" w:rsidR="00203FAB" w:rsidRPr="00550F15"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90718" behindDoc="0" locked="0" layoutInCell="1" allowOverlap="1" wp14:anchorId="0F452626" wp14:editId="7D06FCF8">
                <wp:simplePos x="0" y="0"/>
                <wp:positionH relativeFrom="column">
                  <wp:posOffset>-3610928</wp:posOffset>
                </wp:positionH>
                <wp:positionV relativeFrom="paragraph">
                  <wp:posOffset>481647</wp:posOffset>
                </wp:positionV>
                <wp:extent cx="5976620" cy="252095"/>
                <wp:effectExtent l="0" t="0" r="0" b="0"/>
                <wp:wrapNone/>
                <wp:docPr id="282" name="Text Box 282"/>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241C1B0A" w14:textId="7CD09A70"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452626" id="Text Box 282" o:spid="_x0000_s1198" type="#_x0000_t202" style="position:absolute;margin-left:-284.35pt;margin-top:37.9pt;width:470.6pt;height:19.85pt;rotation:90;z-index:2553907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" filled="f" stroked="f" strokeweight=".5pt">
                <v:textbox>
                  <w:txbxContent>
                    <w:p w14:paraId="241C1B0A" w14:textId="7CD09A70"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47</w:t>
                      </w:r>
                    </w:p>
                  </w:txbxContent>
                </v:textbox>
              </v:shape>
            </w:pict>
          </mc:Fallback>
        </mc:AlternateContent>
      </w:r>
    </w:p>
    <w:p w14:paraId="45C35127" w14:textId="78113C9D" w:rsidR="00203FAB" w:rsidRPr="00550F15" w:rsidRDefault="00F97CAF" w:rsidP="002D14C0">
      <w:pPr>
        <w:rPr>
          <w:rFonts w:ascii="Roboto" w:hAnsi="Roboto"/>
        </w:rPr>
      </w:pPr>
      <w:r w:rsidRPr="00A60D14">
        <w:rPr>
          <w:rFonts w:ascii="Roboto" w:hAnsi="Roboto"/>
          <w:noProof/>
          <w:lang w:val="en-US"/>
        </w:rPr>
        <mc:AlternateContent>
          <mc:Choice Requires="wps">
            <w:drawing>
              <wp:anchor distT="0" distB="0" distL="114300" distR="114300" simplePos="0" relativeHeight="253695998" behindDoc="0" locked="0" layoutInCell="1" allowOverlap="1" wp14:anchorId="424F0010" wp14:editId="244C2240">
                <wp:simplePos x="0" y="0"/>
                <wp:positionH relativeFrom="column">
                  <wp:posOffset>12700</wp:posOffset>
                </wp:positionH>
                <wp:positionV relativeFrom="paragraph">
                  <wp:posOffset>149733</wp:posOffset>
                </wp:positionV>
                <wp:extent cx="3956050" cy="2768600"/>
                <wp:effectExtent l="0" t="0" r="0" b="0"/>
                <wp:wrapNone/>
                <wp:docPr id="1956" name="Text Box 1956"/>
                <wp:cNvGraphicFramePr/>
                <a:graphic xmlns:a="http://schemas.openxmlformats.org/drawingml/2006/main">
                  <a:graphicData uri="http://schemas.microsoft.com/office/word/2010/wordprocessingShape">
                    <wps:wsp>
                      <wps:cNvSpPr txBox="1"/>
                      <wps:spPr>
                        <a:xfrm>
                          <a:off x="0" y="0"/>
                          <a:ext cx="3956050" cy="2768600"/>
                        </a:xfrm>
                        <a:prstGeom prst="rect">
                          <a:avLst/>
                        </a:prstGeom>
                        <a:noFill/>
                        <a:ln w="6350">
                          <a:noFill/>
                        </a:ln>
                      </wps:spPr>
                      <wps:txbx>
                        <w:txbxContent>
                          <w:p w14:paraId="2934890F" w14:textId="77777777" w:rsidR="00D15FD8" w:rsidRDefault="00D15FD8" w:rsidP="002D14C0">
                            <w:pPr>
                              <w:spacing w:line="260" w:lineRule="atLeast"/>
                              <w:jc w:val="both"/>
                              <w:rPr>
                                <w:rFonts w:ascii="Roboto" w:hAnsi="Roboto" w:cs="AppleSystemUIFont"/>
                                <w:color w:val="FFFFFF" w:themeColor="background1"/>
                                <w:sz w:val="20"/>
                                <w:szCs w:val="20"/>
                              </w:rPr>
                            </w:pPr>
                            <w:r w:rsidRPr="00A60D14">
                              <w:rPr>
                                <w:rFonts w:ascii="Roboto" w:hAnsi="Roboto" w:cs="AppleSystemUIFont"/>
                                <w:color w:val="FFFFFF" w:themeColor="background1"/>
                                <w:sz w:val="20"/>
                                <w:szCs w:val="20"/>
                              </w:rPr>
                              <w:t xml:space="preserve">Independent audit institutions using internationally-recognized auditing standards are widely regarded as fundamental to financial accountability in both the public and private sectors. </w:t>
                            </w:r>
                          </w:p>
                          <w:p w14:paraId="5F7ACD0E" w14:textId="77777777" w:rsidR="00D15FD8" w:rsidRPr="00A60D14" w:rsidRDefault="00D15FD8" w:rsidP="002D14C0">
                            <w:pPr>
                              <w:spacing w:line="260" w:lineRule="atLeast"/>
                              <w:jc w:val="both"/>
                              <w:rPr>
                                <w:rFonts w:ascii="Roboto" w:hAnsi="Roboto" w:cs="AppleSystemUIFont"/>
                                <w:color w:val="FFFFFF" w:themeColor="background1"/>
                                <w:sz w:val="20"/>
                                <w:szCs w:val="20"/>
                              </w:rPr>
                            </w:pPr>
                          </w:p>
                          <w:p w14:paraId="05196C4E" w14:textId="77777777" w:rsidR="00D15FD8" w:rsidRDefault="00D15FD8" w:rsidP="002D14C0">
                            <w:pPr>
                              <w:spacing w:line="260" w:lineRule="atLeast"/>
                              <w:jc w:val="both"/>
                              <w:rPr>
                                <w:rFonts w:ascii="Roboto" w:hAnsi="Roboto" w:cs="AppleSystemUIFont"/>
                                <w:color w:val="FFFFFF" w:themeColor="background1"/>
                                <w:sz w:val="20"/>
                                <w:szCs w:val="20"/>
                              </w:rPr>
                            </w:pPr>
                            <w:r w:rsidRPr="00A60D14">
                              <w:rPr>
                                <w:rFonts w:ascii="Roboto" w:hAnsi="Roboto" w:cs="AppleSystemUIFont"/>
                                <w:color w:val="FFFFFF" w:themeColor="background1"/>
                                <w:sz w:val="20"/>
                                <w:szCs w:val="20"/>
                              </w:rPr>
                              <w:t>The Supreme Audit Institution (SAI) provides assurance that reporting on public finances is reliable and free from material misstatement. It is therefore of utmost importance for a transparent public administration, for ensuring the effective exercise of the legislature’s oversight role, and to build public trust in the integrity of fiscal management.</w:t>
                            </w:r>
                          </w:p>
                          <w:p w14:paraId="3B5C9420" w14:textId="77777777" w:rsidR="00D15FD8" w:rsidRPr="00A60D14" w:rsidRDefault="00D15FD8" w:rsidP="002D14C0">
                            <w:pPr>
                              <w:spacing w:line="260" w:lineRule="atLeast"/>
                              <w:jc w:val="both"/>
                              <w:rPr>
                                <w:rFonts w:ascii="Roboto" w:hAnsi="Roboto" w:cs="AppleSystemUIFont"/>
                                <w:color w:val="FFFFFF" w:themeColor="background1"/>
                                <w:sz w:val="20"/>
                                <w:szCs w:val="20"/>
                              </w:rPr>
                            </w:pPr>
                          </w:p>
                          <w:p w14:paraId="69AB5468" w14:textId="77777777" w:rsidR="00D15FD8" w:rsidRPr="00553DE0" w:rsidRDefault="00D15FD8" w:rsidP="002D14C0">
                            <w:pPr>
                              <w:spacing w:line="260" w:lineRule="atLeast"/>
                              <w:jc w:val="both"/>
                              <w:rPr>
                                <w:rFonts w:ascii="Roboto" w:hAnsi="Roboto"/>
                                <w:color w:val="FFFFFF" w:themeColor="background1"/>
                                <w:sz w:val="20"/>
                                <w:szCs w:val="20"/>
                              </w:rPr>
                            </w:pPr>
                            <w:r w:rsidRPr="00A60D14">
                              <w:rPr>
                                <w:rFonts w:ascii="Roboto" w:hAnsi="Roboto" w:cs="AppleSystemUIFont"/>
                                <w:color w:val="FFFFFF" w:themeColor="background1"/>
                                <w:sz w:val="20"/>
                                <w:szCs w:val="20"/>
                              </w:rPr>
                              <w:t>The principle refers to the use of public funds. This incorporates the fiscal activities of government, including social security funds and other extra-budgetary funds (as defined in Government Finance Statistics), as well as public funds paid to non-government entities.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F0010" id="Text Box 1956" o:spid="_x0000_s1199" type="#_x0000_t202" style="position:absolute;margin-left:1pt;margin-top:11.8pt;width:311.5pt;height:218pt;z-index:253695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" filled="f" stroked="f" strokeweight=".5pt">
                <v:textbox>
                  <w:txbxContent>
                    <w:p w14:paraId="2934890F" w14:textId="77777777" w:rsidR="00D15FD8" w:rsidRDefault="00D15FD8" w:rsidP="002D14C0">
                      <w:pPr>
                        <w:spacing w:line="260" w:lineRule="atLeast"/>
                        <w:jc w:val="both"/>
                        <w:rPr>
                          <w:rFonts w:ascii="Roboto" w:hAnsi="Roboto" w:cs="AppleSystemUIFont"/>
                          <w:color w:val="FFFFFF" w:themeColor="background1"/>
                          <w:sz w:val="20"/>
                          <w:szCs w:val="20"/>
                        </w:rPr>
                      </w:pPr>
                      <w:r w:rsidRPr="00A60D14">
                        <w:rPr>
                          <w:rFonts w:ascii="Roboto" w:hAnsi="Roboto" w:cs="AppleSystemUIFont"/>
                          <w:color w:val="FFFFFF" w:themeColor="background1"/>
                          <w:sz w:val="20"/>
                          <w:szCs w:val="20"/>
                        </w:rPr>
                        <w:t xml:space="preserve">Independent audit institutions using internationally-recognized auditing standards are widely regarded as fundamental to financial accountability in both the public and private sectors. </w:t>
                      </w:r>
                    </w:p>
                    <w:p w14:paraId="5F7ACD0E" w14:textId="77777777" w:rsidR="00D15FD8" w:rsidRPr="00A60D14" w:rsidRDefault="00D15FD8" w:rsidP="002D14C0">
                      <w:pPr>
                        <w:spacing w:line="260" w:lineRule="atLeast"/>
                        <w:jc w:val="both"/>
                        <w:rPr>
                          <w:rFonts w:ascii="Roboto" w:hAnsi="Roboto" w:cs="AppleSystemUIFont"/>
                          <w:color w:val="FFFFFF" w:themeColor="background1"/>
                          <w:sz w:val="20"/>
                          <w:szCs w:val="20"/>
                        </w:rPr>
                      </w:pPr>
                    </w:p>
                    <w:p w14:paraId="05196C4E" w14:textId="77777777" w:rsidR="00D15FD8" w:rsidRDefault="00D15FD8" w:rsidP="002D14C0">
                      <w:pPr>
                        <w:spacing w:line="260" w:lineRule="atLeast"/>
                        <w:jc w:val="both"/>
                        <w:rPr>
                          <w:rFonts w:ascii="Roboto" w:hAnsi="Roboto" w:cs="AppleSystemUIFont"/>
                          <w:color w:val="FFFFFF" w:themeColor="background1"/>
                          <w:sz w:val="20"/>
                          <w:szCs w:val="20"/>
                        </w:rPr>
                      </w:pPr>
                      <w:r w:rsidRPr="00A60D14">
                        <w:rPr>
                          <w:rFonts w:ascii="Roboto" w:hAnsi="Roboto" w:cs="AppleSystemUIFont"/>
                          <w:color w:val="FFFFFF" w:themeColor="background1"/>
                          <w:sz w:val="20"/>
                          <w:szCs w:val="20"/>
                        </w:rPr>
                        <w:t>The Supreme Audit Institution (SAI) provides assurance that reporting on public finances is reliable and free from material misstatement. It is therefore of utmost importance for a transparent public administration, for ensuring the effective exercise of the legislature’s oversight role, and to build public trust in the integrity of fiscal management.</w:t>
                      </w:r>
                    </w:p>
                    <w:p w14:paraId="3B5C9420" w14:textId="77777777" w:rsidR="00D15FD8" w:rsidRPr="00A60D14" w:rsidRDefault="00D15FD8" w:rsidP="002D14C0">
                      <w:pPr>
                        <w:spacing w:line="260" w:lineRule="atLeast"/>
                        <w:jc w:val="both"/>
                        <w:rPr>
                          <w:rFonts w:ascii="Roboto" w:hAnsi="Roboto" w:cs="AppleSystemUIFont"/>
                          <w:color w:val="FFFFFF" w:themeColor="background1"/>
                          <w:sz w:val="20"/>
                          <w:szCs w:val="20"/>
                        </w:rPr>
                      </w:pPr>
                    </w:p>
                    <w:p w14:paraId="69AB5468" w14:textId="77777777" w:rsidR="00D15FD8" w:rsidRPr="00553DE0" w:rsidRDefault="00D15FD8" w:rsidP="002D14C0">
                      <w:pPr>
                        <w:spacing w:line="260" w:lineRule="atLeast"/>
                        <w:jc w:val="both"/>
                        <w:rPr>
                          <w:rFonts w:ascii="Roboto" w:hAnsi="Roboto"/>
                          <w:color w:val="FFFFFF" w:themeColor="background1"/>
                          <w:sz w:val="20"/>
                          <w:szCs w:val="20"/>
                        </w:rPr>
                      </w:pPr>
                      <w:r w:rsidRPr="00A60D14">
                        <w:rPr>
                          <w:rFonts w:ascii="Roboto" w:hAnsi="Roboto" w:cs="AppleSystemUIFont"/>
                          <w:color w:val="FFFFFF" w:themeColor="background1"/>
                          <w:sz w:val="20"/>
                          <w:szCs w:val="20"/>
                        </w:rPr>
                        <w:t>The principle refers to the use of public funds. This incorporates the fiscal activities of government, including social security funds and other extra-budgetary funds (as defined in Government Finance Statistics), as well as public funds paid to non-government entities.</w:t>
                      </w:r>
                    </w:p>
                  </w:txbxContent>
                </v:textbox>
              </v:shape>
            </w:pict>
          </mc:Fallback>
        </mc:AlternateContent>
      </w:r>
    </w:p>
    <w:p w14:paraId="710D23E0" w14:textId="519D8D7A" w:rsidR="00203FAB" w:rsidRPr="00550F15"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89694" behindDoc="0" locked="0" layoutInCell="1" allowOverlap="1" wp14:anchorId="49CBBDD8" wp14:editId="6F8E7FD8">
                <wp:simplePos x="0" y="0"/>
                <wp:positionH relativeFrom="column">
                  <wp:posOffset>6516688</wp:posOffset>
                </wp:positionH>
                <wp:positionV relativeFrom="paragraph">
                  <wp:posOffset>154114</wp:posOffset>
                </wp:positionV>
                <wp:extent cx="5976620" cy="252095"/>
                <wp:effectExtent l="4762" t="0" r="0" b="0"/>
                <wp:wrapNone/>
                <wp:docPr id="281" name="Text Box 281"/>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0A50A3F8" w14:textId="6E69383E"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4264823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52AF249A"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CBBDD8" id="Text Box 281" o:spid="_x0000_s1200" type="#_x0000_t202" style="position:absolute;margin-left:513.15pt;margin-top:12.15pt;width:470.6pt;height:19.85pt;rotation:90;z-index:2553896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" fillcolor="white [3201]" stroked="f" strokeweight=".5pt">
                <v:textbox>
                  <w:txbxContent>
                    <w:p w14:paraId="0A50A3F8" w14:textId="6E69383E"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4264823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52AF249A" w14:textId="77777777" w:rsidR="00D15FD8" w:rsidRDefault="00D15FD8" w:rsidP="003D7CCB"/>
                  </w:txbxContent>
                </v:textbox>
              </v:shape>
            </w:pict>
          </mc:Fallback>
        </mc:AlternateContent>
      </w:r>
    </w:p>
    <w:p w14:paraId="202638FF" w14:textId="4392AB64" w:rsidR="00203FAB" w:rsidRPr="00550F15" w:rsidRDefault="00203FAB" w:rsidP="002D14C0">
      <w:pPr>
        <w:rPr>
          <w:rFonts w:ascii="Roboto" w:hAnsi="Roboto"/>
        </w:rPr>
      </w:pPr>
    </w:p>
    <w:p w14:paraId="75654269" w14:textId="5AA73D8F" w:rsidR="00203FAB" w:rsidRPr="00550F15" w:rsidRDefault="00203FAB" w:rsidP="002D14C0">
      <w:pPr>
        <w:rPr>
          <w:rFonts w:ascii="Roboto" w:hAnsi="Roboto"/>
        </w:rPr>
      </w:pPr>
    </w:p>
    <w:p w14:paraId="48B1A3B1" w14:textId="77777777" w:rsidR="00203FAB" w:rsidRPr="00550F15" w:rsidRDefault="00203FAB" w:rsidP="002D14C0">
      <w:pPr>
        <w:rPr>
          <w:rFonts w:ascii="Roboto" w:hAnsi="Roboto"/>
        </w:rPr>
      </w:pPr>
    </w:p>
    <w:p w14:paraId="61E1865B" w14:textId="5E974C4C" w:rsidR="00203FAB" w:rsidRPr="00550F15" w:rsidRDefault="00203FAB" w:rsidP="002D14C0">
      <w:pPr>
        <w:rPr>
          <w:rFonts w:ascii="Roboto" w:hAnsi="Roboto"/>
        </w:rPr>
      </w:pPr>
    </w:p>
    <w:p w14:paraId="23EC2EB9" w14:textId="77777777" w:rsidR="00203FAB" w:rsidRPr="00550F15" w:rsidRDefault="00203FAB" w:rsidP="002D14C0">
      <w:pPr>
        <w:rPr>
          <w:rFonts w:ascii="Roboto" w:hAnsi="Roboto"/>
        </w:rPr>
      </w:pPr>
    </w:p>
    <w:p w14:paraId="36C924A2" w14:textId="338C44F3" w:rsidR="00203FAB" w:rsidRPr="00550F15" w:rsidRDefault="00203FAB" w:rsidP="002D14C0">
      <w:pPr>
        <w:rPr>
          <w:rFonts w:ascii="Roboto" w:hAnsi="Roboto"/>
        </w:rPr>
      </w:pPr>
    </w:p>
    <w:p w14:paraId="5D8F21E2" w14:textId="77777777" w:rsidR="00203FAB" w:rsidRPr="00550F15" w:rsidRDefault="00203FAB" w:rsidP="002D14C0">
      <w:pPr>
        <w:rPr>
          <w:rFonts w:ascii="Roboto" w:hAnsi="Roboto"/>
        </w:rPr>
      </w:pPr>
    </w:p>
    <w:p w14:paraId="5713BC6F" w14:textId="17943AD6"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505406" behindDoc="0" locked="0" layoutInCell="1" allowOverlap="1" wp14:anchorId="2412C619" wp14:editId="6DA71132">
                <wp:simplePos x="0" y="0"/>
                <wp:positionH relativeFrom="column">
                  <wp:posOffset>5474525</wp:posOffset>
                </wp:positionH>
                <wp:positionV relativeFrom="paragraph">
                  <wp:posOffset>1984598</wp:posOffset>
                </wp:positionV>
                <wp:extent cx="3878317" cy="410474"/>
                <wp:effectExtent l="0" t="0" r="8255" b="8890"/>
                <wp:wrapNone/>
                <wp:docPr id="417" name="Rectangle 417"/>
                <wp:cNvGraphicFramePr/>
                <a:graphic xmlns:a="http://schemas.openxmlformats.org/drawingml/2006/main">
                  <a:graphicData uri="http://schemas.microsoft.com/office/word/2010/wordprocessingShape">
                    <wps:wsp>
                      <wps:cNvSpPr/>
                      <wps:spPr>
                        <a:xfrm>
                          <a:off x="0" y="0"/>
                          <a:ext cx="3878317" cy="41047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720695C6" id="Rectangle 417" o:spid="_x0000_s1026" style="position:absolute;margin-left:431.05pt;margin-top:156.25pt;width:305.4pt;height:32.3pt;z-index:2555054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" fillcolor="white [3212]" stroked="f" strokeweight="1pt"/>
            </w:pict>
          </mc:Fallback>
        </mc:AlternateContent>
      </w:r>
      <w:r w:rsidR="00CC3EBD">
        <w:rPr>
          <w:rFonts w:ascii="Roboto" w:hAnsi="Roboto"/>
        </w:rPr>
        <w:br w:type="page"/>
      </w:r>
    </w:p>
    <w:p w14:paraId="5B62DCE0" w14:textId="458A4692" w:rsidR="00203FAB" w:rsidRPr="00550F15"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507454" behindDoc="0" locked="0" layoutInCell="1" allowOverlap="1" wp14:anchorId="5060967A" wp14:editId="1FD82006">
                <wp:simplePos x="0" y="0"/>
                <wp:positionH relativeFrom="column">
                  <wp:posOffset>-347258</wp:posOffset>
                </wp:positionH>
                <wp:positionV relativeFrom="paragraph">
                  <wp:posOffset>-505000</wp:posOffset>
                </wp:positionV>
                <wp:extent cx="3878317" cy="268014"/>
                <wp:effectExtent l="0" t="0" r="0" b="0"/>
                <wp:wrapNone/>
                <wp:docPr id="418" name="Rectangle 418"/>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3C8FBB70" id="Rectangle 418" o:spid="_x0000_s1026" style="position:absolute;margin-left:-27.35pt;margin-top:-39.75pt;width:305.4pt;height:21.1pt;z-index:2555074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" fillcolor="white [3212]" stroked="f" strokeweight="1pt"/>
            </w:pict>
          </mc:Fallback>
        </mc:AlternateContent>
      </w:r>
      <w:r w:rsidR="0040427B" w:rsidRPr="00550F15">
        <w:rPr>
          <w:rFonts w:ascii="Roboto" w:hAnsi="Roboto"/>
          <w:noProof/>
          <w:lang w:val="en-US"/>
        </w:rPr>
        <mc:AlternateContent>
          <mc:Choice Requires="wps">
            <w:drawing>
              <wp:anchor distT="0" distB="0" distL="114300" distR="114300" simplePos="0" relativeHeight="253699070" behindDoc="0" locked="0" layoutInCell="1" allowOverlap="1" wp14:anchorId="7699D888" wp14:editId="151E9D64">
                <wp:simplePos x="0" y="0"/>
                <wp:positionH relativeFrom="margin">
                  <wp:posOffset>25400</wp:posOffset>
                </wp:positionH>
                <wp:positionV relativeFrom="margin">
                  <wp:align>center</wp:align>
                </wp:positionV>
                <wp:extent cx="8817610" cy="5499100"/>
                <wp:effectExtent l="0" t="0" r="0" b="0"/>
                <wp:wrapNone/>
                <wp:docPr id="1957" name="Text Box 1957"/>
                <wp:cNvGraphicFramePr/>
                <a:graphic xmlns:a="http://schemas.openxmlformats.org/drawingml/2006/main">
                  <a:graphicData uri="http://schemas.microsoft.com/office/word/2010/wordprocessingShape">
                    <wps:wsp>
                      <wps:cNvSpPr txBox="1"/>
                      <wps:spPr>
                        <a:xfrm>
                          <a:off x="0" y="0"/>
                          <a:ext cx="8817610" cy="5499100"/>
                        </a:xfrm>
                        <a:prstGeom prst="rect">
                          <a:avLst/>
                        </a:prstGeom>
                        <a:noFill/>
                        <a:ln w="6350">
                          <a:noFill/>
                        </a:ln>
                      </wps:spPr>
                      <wps:txbx>
                        <w:txbxContent>
                          <w:p w14:paraId="51C5FB08"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The existence of effective follow-up mechanisms on SAI recommendations. </w:t>
                            </w:r>
                          </w:p>
                          <w:p w14:paraId="333C39F3"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Financial and managerial/administrative autonomy for the SAI and the availability of appropriate human, material and monetary resources.</w:t>
                            </w:r>
                          </w:p>
                          <w:p w14:paraId="2887E32A" w14:textId="77777777" w:rsidR="00D15FD8" w:rsidRPr="00550F15" w:rsidRDefault="00AC4DF7" w:rsidP="00331B48">
                            <w:pPr>
                              <w:pStyle w:val="ListParagraph"/>
                              <w:numPr>
                                <w:ilvl w:val="0"/>
                                <w:numId w:val="35"/>
                              </w:numPr>
                              <w:ind w:left="421" w:hanging="425"/>
                              <w:suppressOverlap/>
                              <w:rPr>
                                <w:rFonts w:ascii="Roboto" w:eastAsia="Calibri" w:hAnsi="Roboto" w:cs="Calibri"/>
                                <w:color w:val="404040" w:themeColor="text1" w:themeTint="BF"/>
                                <w:sz w:val="20"/>
                                <w:szCs w:val="20"/>
                              </w:rPr>
                            </w:pPr>
                            <w:hyperlink r:id="rId334" w:history="1">
                              <w:r w:rsidR="00D15FD8" w:rsidRPr="00550F15">
                                <w:rPr>
                                  <w:rStyle w:val="Hyperlink"/>
                                  <w:rFonts w:ascii="Roboto" w:eastAsia="Calibri" w:hAnsi="Roboto" w:cs="Calibri"/>
                                  <w:color w:val="F26C21"/>
                                  <w:sz w:val="20"/>
                                  <w:szCs w:val="20"/>
                                </w:rPr>
                                <w:t>International Standards of Supreme Auditing Institutions</w:t>
                              </w:r>
                            </w:hyperlink>
                            <w:r w:rsidR="00D15FD8" w:rsidRPr="00550F15">
                              <w:rPr>
                                <w:rFonts w:ascii="Roboto" w:eastAsia="Calibri" w:hAnsi="Roboto" w:cs="Calibri"/>
                                <w:color w:val="F26C21"/>
                                <w:sz w:val="20"/>
                                <w:szCs w:val="20"/>
                              </w:rPr>
                              <w:t xml:space="preserve"> </w:t>
                            </w:r>
                            <w:r w:rsidR="00D15FD8" w:rsidRPr="00550F15">
                              <w:rPr>
                                <w:rFonts w:ascii="Roboto" w:eastAsia="Calibri" w:hAnsi="Roboto" w:cs="Calibri"/>
                                <w:color w:val="404040" w:themeColor="text1" w:themeTint="BF"/>
                                <w:sz w:val="20"/>
                                <w:szCs w:val="20"/>
                              </w:rPr>
                              <w:t>(ISSAI) Framework:  Further develops the principles of independence, auditing standards, access to information, and resourcing of SAIs. ISSAI 20: Sets standards for the transparent and accountable operation of SAIs themselves.</w:t>
                            </w:r>
                          </w:p>
                          <w:p w14:paraId="00228B78" w14:textId="77777777" w:rsidR="00D15FD8" w:rsidRPr="00550F15" w:rsidRDefault="00D15FD8" w:rsidP="002D14C0">
                            <w:pPr>
                              <w:suppressOverlap/>
                              <w:rPr>
                                <w:rFonts w:ascii="Roboto" w:eastAsia="Calibri" w:hAnsi="Roboto" w:cs="Calibri"/>
                                <w:color w:val="404040" w:themeColor="text1" w:themeTint="BF"/>
                                <w:sz w:val="20"/>
                                <w:szCs w:val="20"/>
                              </w:rPr>
                            </w:pPr>
                          </w:p>
                          <w:p w14:paraId="484D1977"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bCs/>
                                <w:color w:val="1E9A8C"/>
                                <w:sz w:val="20"/>
                                <w:szCs w:val="20"/>
                              </w:rPr>
                              <w:t>IMF:</w:t>
                            </w:r>
                            <w:r w:rsidRPr="00550F15">
                              <w:rPr>
                                <w:rFonts w:ascii="Roboto" w:eastAsia="Calibri" w:hAnsi="Roboto" w:cs="Calibri"/>
                                <w:bCs/>
                                <w:color w:val="1E9A8C"/>
                                <w:sz w:val="20"/>
                                <w:szCs w:val="20"/>
                              </w:rPr>
                              <w:t xml:space="preserve"> </w:t>
                            </w:r>
                            <w:hyperlink r:id="rId335" w:history="1">
                              <w:r w:rsidRPr="00550F15">
                                <w:rPr>
                                  <w:rStyle w:val="Hyperlink"/>
                                  <w:rFonts w:ascii="Roboto" w:eastAsia="Calibri" w:hAnsi="Roboto" w:cs="Calibri"/>
                                  <w:bCs/>
                                  <w:color w:val="F26C21"/>
                                  <w:sz w:val="20"/>
                                  <w:szCs w:val="20"/>
                                </w:rPr>
                                <w:t>Fiscal Transparency Code</w:t>
                              </w:r>
                            </w:hyperlink>
                            <w:r w:rsidRPr="00550F15">
                              <w:rPr>
                                <w:rFonts w:ascii="Roboto" w:eastAsia="Calibri" w:hAnsi="Roboto" w:cs="Calibri"/>
                                <w:bCs/>
                                <w:color w:val="404040" w:themeColor="text1" w:themeTint="BF"/>
                                <w:sz w:val="20"/>
                                <w:szCs w:val="20"/>
                              </w:rPr>
                              <w:t xml:space="preserve"> (2019):</w:t>
                            </w:r>
                            <w:r w:rsidRPr="00550F15">
                              <w:rPr>
                                <w:rFonts w:ascii="Roboto" w:eastAsia="Calibri" w:hAnsi="Roboto" w:cs="Calibri"/>
                                <w:color w:val="404040" w:themeColor="text1" w:themeTint="BF"/>
                                <w:sz w:val="20"/>
                                <w:szCs w:val="20"/>
                              </w:rPr>
                              <w:t xml:space="preserve"> Principle 1.4.2: Annual financial statements should be subject to a published audit by an SAI that is independent. </w:t>
                            </w:r>
                          </w:p>
                          <w:p w14:paraId="50D6BDC7" w14:textId="77777777" w:rsidR="00D15FD8" w:rsidRPr="00550F15" w:rsidRDefault="00D15FD8" w:rsidP="002D14C0">
                            <w:pPr>
                              <w:suppressOverlap/>
                              <w:rPr>
                                <w:rFonts w:ascii="Roboto" w:eastAsia="Calibri" w:hAnsi="Roboto" w:cs="Calibri"/>
                                <w:bCs/>
                                <w:iCs/>
                                <w:color w:val="404040" w:themeColor="text1" w:themeTint="BF"/>
                                <w:sz w:val="20"/>
                                <w:szCs w:val="20"/>
                              </w:rPr>
                            </w:pPr>
                            <w:r w:rsidRPr="00550F15">
                              <w:rPr>
                                <w:rFonts w:ascii="Roboto" w:eastAsia="Calibri" w:hAnsi="Roboto" w:cs="Calibri"/>
                                <w:bCs/>
                                <w:color w:val="404040" w:themeColor="text1" w:themeTint="BF"/>
                                <w:sz w:val="20"/>
                                <w:szCs w:val="20"/>
                              </w:rPr>
                              <w:t xml:space="preserve">         [</w:t>
                            </w:r>
                            <w:hyperlink r:id="rId336" w:history="1">
                              <w:r w:rsidRPr="00550F15">
                                <w:rPr>
                                  <w:rStyle w:val="Hyperlink"/>
                                  <w:rFonts w:ascii="Roboto" w:eastAsia="Calibri" w:hAnsi="Roboto" w:cs="Calibri"/>
                                  <w:bCs/>
                                  <w:color w:val="F26C21"/>
                                  <w:sz w:val="20"/>
                                  <w:szCs w:val="20"/>
                                </w:rPr>
                                <w:t>Manual on Fiscal Transparency</w:t>
                              </w:r>
                            </w:hyperlink>
                            <w:r w:rsidRPr="00550F15">
                              <w:rPr>
                                <w:rFonts w:ascii="Roboto" w:eastAsia="Calibri" w:hAnsi="Roboto" w:cs="Calibri"/>
                                <w:bCs/>
                                <w:color w:val="404040" w:themeColor="text1" w:themeTint="BF"/>
                                <w:sz w:val="20"/>
                                <w:szCs w:val="20"/>
                              </w:rPr>
                              <w:t xml:space="preserve"> (2007): Particularly </w:t>
                            </w:r>
                            <w:r w:rsidRPr="00550F15">
                              <w:rPr>
                                <w:rFonts w:ascii="Roboto" w:eastAsia="Calibri" w:hAnsi="Roboto" w:cs="Calibri"/>
                                <w:bCs/>
                                <w:iCs/>
                                <w:color w:val="404040" w:themeColor="text1" w:themeTint="BF"/>
                                <w:sz w:val="20"/>
                                <w:szCs w:val="20"/>
                              </w:rPr>
                              <w:t>pp 101-104].</w:t>
                            </w:r>
                          </w:p>
                          <w:p w14:paraId="593B5176" w14:textId="77777777" w:rsidR="00D15FD8" w:rsidRPr="00550F15" w:rsidRDefault="00D15FD8" w:rsidP="002D14C0">
                            <w:pPr>
                              <w:suppressOverlap/>
                              <w:rPr>
                                <w:rFonts w:ascii="Roboto" w:eastAsia="Calibri" w:hAnsi="Roboto" w:cs="Calibri"/>
                                <w:bCs/>
                                <w:iCs/>
                                <w:color w:val="404040" w:themeColor="text1" w:themeTint="BF"/>
                                <w:sz w:val="20"/>
                                <w:szCs w:val="20"/>
                              </w:rPr>
                            </w:pPr>
                          </w:p>
                          <w:p w14:paraId="53B0F15C"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color w:val="1E9A8C"/>
                                <w:sz w:val="20"/>
                                <w:szCs w:val="20"/>
                              </w:rPr>
                              <w:t>OECD:</w:t>
                            </w:r>
                            <w:r w:rsidRPr="00550F15">
                              <w:rPr>
                                <w:rFonts w:ascii="Roboto" w:eastAsia="Calibri" w:hAnsi="Roboto" w:cs="Calibri"/>
                                <w:color w:val="1E9A8C"/>
                                <w:sz w:val="20"/>
                                <w:szCs w:val="20"/>
                              </w:rPr>
                              <w:t xml:space="preserve"> </w:t>
                            </w:r>
                            <w:hyperlink r:id="rId337" w:history="1">
                              <w:r w:rsidRPr="00550F15">
                                <w:rPr>
                                  <w:rStyle w:val="Hyperlink"/>
                                  <w:rFonts w:ascii="Roboto" w:eastAsia="Calibri" w:hAnsi="Roboto" w:cs="Calibri"/>
                                  <w:color w:val="F26C21"/>
                                  <w:sz w:val="20"/>
                                  <w:szCs w:val="20"/>
                                </w:rPr>
                                <w:t>Budget Transparency Toolkit</w:t>
                              </w:r>
                            </w:hyperlink>
                            <w:r w:rsidRPr="00550F15">
                              <w:rPr>
                                <w:rFonts w:ascii="Roboto" w:eastAsia="Calibri" w:hAnsi="Roboto" w:cs="Calibri"/>
                                <w:color w:val="F26C21"/>
                                <w:sz w:val="20"/>
                                <w:szCs w:val="20"/>
                              </w:rPr>
                              <w:t xml:space="preserve"> </w:t>
                            </w:r>
                            <w:r w:rsidRPr="00550F15">
                              <w:rPr>
                                <w:rFonts w:ascii="Roboto" w:eastAsia="Calibri" w:hAnsi="Roboto" w:cs="Calibri"/>
                                <w:color w:val="404040" w:themeColor="text1" w:themeTint="BF"/>
                                <w:sz w:val="20"/>
                                <w:szCs w:val="20"/>
                              </w:rPr>
                              <w:t>(2017)</w:t>
                            </w:r>
                            <w:r w:rsidRPr="00550F15">
                              <w:rPr>
                                <w:rFonts w:ascii="Roboto" w:eastAsia="Calibri" w:hAnsi="Roboto" w:cs="Calibri"/>
                                <w:bCs/>
                                <w:iCs/>
                                <w:color w:val="404040" w:themeColor="text1" w:themeTint="BF"/>
                                <w:sz w:val="20"/>
                                <w:szCs w:val="20"/>
                              </w:rPr>
                              <w:t>:</w:t>
                            </w:r>
                            <w:r w:rsidRPr="00550F15">
                              <w:rPr>
                                <w:rFonts w:ascii="Roboto" w:eastAsia="Calibri" w:hAnsi="Roboto" w:cs="Calibri"/>
                                <w:color w:val="404040" w:themeColor="text1" w:themeTint="BF"/>
                                <w:sz w:val="20"/>
                                <w:szCs w:val="20"/>
                              </w:rPr>
                              <w:t xml:space="preserve"> S</w:t>
                            </w:r>
                            <w:r w:rsidRPr="00550F15">
                              <w:rPr>
                                <w:rFonts w:ascii="Roboto" w:eastAsia="Calibri" w:hAnsi="Roboto" w:cs="Calibri"/>
                                <w:bCs/>
                                <w:iCs/>
                                <w:color w:val="404040" w:themeColor="text1" w:themeTint="BF"/>
                                <w:sz w:val="20"/>
                                <w:szCs w:val="20"/>
                              </w:rPr>
                              <w:t>ection F: Supporting the role of the SAI.</w:t>
                            </w:r>
                          </w:p>
                          <w:p w14:paraId="462839ED" w14:textId="77777777" w:rsidR="00D15FD8" w:rsidRPr="00550F15" w:rsidRDefault="00D15FD8" w:rsidP="002D14C0">
                            <w:pPr>
                              <w:suppressOverlap/>
                              <w:rPr>
                                <w:rFonts w:ascii="Roboto" w:eastAsia="Calibri" w:hAnsi="Roboto" w:cs="Calibri"/>
                                <w:color w:val="404040" w:themeColor="text1" w:themeTint="BF"/>
                                <w:sz w:val="20"/>
                                <w:szCs w:val="20"/>
                              </w:rPr>
                            </w:pPr>
                          </w:p>
                          <w:p w14:paraId="10431B55"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bCs/>
                                <w:color w:val="1E9A8C"/>
                                <w:sz w:val="20"/>
                                <w:szCs w:val="20"/>
                              </w:rPr>
                              <w:t>International Federation of Accountants (IFAC) / Chartered Institute of Public Finance and Accountancy (CIPFA):</w:t>
                            </w:r>
                            <w:r w:rsidRPr="00550F15">
                              <w:rPr>
                                <w:rFonts w:ascii="Roboto" w:eastAsia="Calibri" w:hAnsi="Roboto" w:cs="Calibri"/>
                                <w:i/>
                                <w:color w:val="1E9A8C"/>
                                <w:sz w:val="20"/>
                                <w:szCs w:val="20"/>
                              </w:rPr>
                              <w:t xml:space="preserve"> </w:t>
                            </w:r>
                            <w:hyperlink r:id="rId338" w:history="1">
                              <w:r w:rsidRPr="00550F15">
                                <w:rPr>
                                  <w:rStyle w:val="Hyperlink"/>
                                  <w:rFonts w:ascii="Roboto" w:eastAsia="Calibri" w:hAnsi="Roboto" w:cs="Calibri"/>
                                  <w:iCs/>
                                  <w:color w:val="F26C21"/>
                                  <w:sz w:val="20"/>
                                  <w:szCs w:val="20"/>
                                </w:rPr>
                                <w:t>International Framework: Good Governance in the Public Sector</w:t>
                              </w:r>
                            </w:hyperlink>
                            <w:r w:rsidRPr="00B54707">
                              <w:rPr>
                                <w:rFonts w:ascii="Roboto" w:eastAsia="Calibri" w:hAnsi="Roboto" w:cs="Calibri"/>
                                <w:iCs/>
                                <w:color w:val="F26C21"/>
                                <w:sz w:val="20"/>
                                <w:szCs w:val="20"/>
                              </w:rPr>
                              <w:t xml:space="preserve">: </w:t>
                            </w:r>
                            <w:r w:rsidRPr="00550F15">
                              <w:rPr>
                                <w:rFonts w:ascii="Roboto" w:eastAsia="Calibri" w:hAnsi="Roboto" w:cs="Calibri"/>
                                <w:color w:val="404040" w:themeColor="text1" w:themeTint="BF"/>
                                <w:sz w:val="20"/>
                                <w:szCs w:val="20"/>
                              </w:rPr>
                              <w:t>Principle G:</w:t>
                            </w:r>
                            <w:r w:rsidRPr="00550F15">
                              <w:rPr>
                                <w:rFonts w:ascii="Roboto" w:eastAsia="Calibri" w:hAnsi="Roboto" w:cs="Calibri"/>
                                <w:iCs/>
                                <w:color w:val="404040" w:themeColor="text1" w:themeTint="BF"/>
                                <w:sz w:val="20"/>
                                <w:szCs w:val="20"/>
                              </w:rPr>
                              <w:t xml:space="preserve"> S</w:t>
                            </w:r>
                            <w:r w:rsidRPr="00550F15">
                              <w:rPr>
                                <w:rFonts w:ascii="Roboto" w:eastAsia="Calibri" w:hAnsi="Roboto" w:cs="Calibri"/>
                                <w:color w:val="404040" w:themeColor="text1" w:themeTint="BF"/>
                                <w:sz w:val="20"/>
                                <w:szCs w:val="20"/>
                              </w:rPr>
                              <w:t xml:space="preserve">ets the implementation of good practices in transparency, reporting and audit to deliver effective accountability as one of its seven core high level principles, noting explicitly that ‘both external and internal audit contribute to effective accountability’.  </w:t>
                            </w:r>
                          </w:p>
                          <w:p w14:paraId="797C445F" w14:textId="77777777" w:rsidR="00D15FD8" w:rsidRPr="00550F15" w:rsidRDefault="00D15FD8" w:rsidP="002D14C0">
                            <w:pPr>
                              <w:suppressOverlap/>
                              <w:rPr>
                                <w:rFonts w:ascii="Roboto" w:eastAsia="Calibri" w:hAnsi="Roboto" w:cs="Calibri"/>
                                <w:color w:val="404040" w:themeColor="text1" w:themeTint="BF"/>
                                <w:sz w:val="20"/>
                                <w:szCs w:val="20"/>
                              </w:rPr>
                            </w:pPr>
                          </w:p>
                          <w:p w14:paraId="2F57EF11"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The importance of SAI independence was recognized in UN General Assembly </w:t>
                            </w:r>
                            <w:hyperlink r:id="rId339" w:history="1">
                              <w:r w:rsidRPr="00550F15">
                                <w:rPr>
                                  <w:rStyle w:val="Hyperlink"/>
                                  <w:rFonts w:ascii="Roboto" w:eastAsia="Calibri" w:hAnsi="Roboto" w:cs="Calibri"/>
                                  <w:color w:val="F26C21"/>
                                  <w:sz w:val="20"/>
                                  <w:szCs w:val="20"/>
                                </w:rPr>
                                <w:t>Resolution A/69/228</w:t>
                              </w:r>
                            </w:hyperlink>
                            <w:r w:rsidRPr="00550F15">
                              <w:rPr>
                                <w:rFonts w:ascii="Roboto" w:eastAsia="Calibri" w:hAnsi="Roboto" w:cs="Calibri"/>
                                <w:color w:val="404040" w:themeColor="text1" w:themeTint="BF"/>
                                <w:sz w:val="20"/>
                                <w:szCs w:val="20"/>
                              </w:rPr>
                              <w:t xml:space="preserve">, Promoting and fostering the efficiency, accountability, effectiveness and transparency of public administration by strengthening supreme audit institutions, 2014. The Resolution recognized: </w:t>
                            </w:r>
                          </w:p>
                          <w:p w14:paraId="5B7B3112" w14:textId="77777777" w:rsidR="00D15FD8" w:rsidRPr="00550F15" w:rsidRDefault="00D15FD8" w:rsidP="00331B48">
                            <w:pPr>
                              <w:pStyle w:val="ListParagraph"/>
                              <w:numPr>
                                <w:ilvl w:val="0"/>
                                <w:numId w:val="37"/>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that SAIs can accomplish their tasks objectively and effectively only if they are independent of the audited entity and are protected against outside influence; </w:t>
                            </w:r>
                          </w:p>
                          <w:p w14:paraId="20166DD6" w14:textId="77777777" w:rsidR="00D15FD8" w:rsidRPr="00550F15" w:rsidRDefault="00D15FD8" w:rsidP="00331B48">
                            <w:pPr>
                              <w:pStyle w:val="ListParagraph"/>
                              <w:numPr>
                                <w:ilvl w:val="0"/>
                                <w:numId w:val="37"/>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the important role of SAIs in promoting the efficiency, accountability, effectiveness and transparency of public administration, which is conducive to the achievement of national development objectives and priorities as well as the internationally agreed development goals.</w:t>
                            </w:r>
                          </w:p>
                          <w:p w14:paraId="17806C9B" w14:textId="77777777" w:rsidR="00D15FD8" w:rsidRPr="00550F15" w:rsidRDefault="00D15FD8" w:rsidP="002D14C0">
                            <w:pPr>
                              <w:pStyle w:val="ListParagraph"/>
                              <w:suppressOverlap/>
                              <w:rPr>
                                <w:rFonts w:ascii="Roboto" w:eastAsia="Calibri" w:hAnsi="Roboto" w:cs="Calibri"/>
                                <w:color w:val="404040" w:themeColor="text1" w:themeTint="BF"/>
                                <w:sz w:val="20"/>
                                <w:szCs w:val="20"/>
                              </w:rPr>
                            </w:pPr>
                          </w:p>
                          <w:p w14:paraId="34D34330" w14:textId="77777777" w:rsidR="00D15FD8" w:rsidRPr="00550F15" w:rsidRDefault="00AC4DF7" w:rsidP="002D14C0">
                            <w:pPr>
                              <w:suppressOverlap/>
                              <w:rPr>
                                <w:rFonts w:ascii="Roboto" w:eastAsia="Calibri" w:hAnsi="Roboto" w:cs="Calibri"/>
                                <w:color w:val="404040" w:themeColor="text1" w:themeTint="BF"/>
                                <w:sz w:val="20"/>
                                <w:szCs w:val="20"/>
                              </w:rPr>
                            </w:pPr>
                            <w:hyperlink r:id="rId340" w:history="1">
                              <w:r w:rsidR="00D15FD8" w:rsidRPr="00550F15">
                                <w:rPr>
                                  <w:rStyle w:val="Hyperlink"/>
                                  <w:rFonts w:ascii="Roboto" w:eastAsia="Calibri" w:hAnsi="Roboto" w:cs="Calibri"/>
                                  <w:iCs/>
                                  <w:color w:val="F26C21"/>
                                  <w:sz w:val="20"/>
                                  <w:szCs w:val="20"/>
                                </w:rPr>
                                <w:t>Open Government Partnership</w:t>
                              </w:r>
                            </w:hyperlink>
                            <w:r w:rsidR="00D15FD8" w:rsidRPr="00550F15">
                              <w:rPr>
                                <w:rFonts w:ascii="Roboto" w:eastAsia="Calibri" w:hAnsi="Roboto" w:cs="Calibri"/>
                                <w:iCs/>
                                <w:color w:val="F26C21"/>
                                <w:sz w:val="20"/>
                                <w:szCs w:val="20"/>
                                <w:u w:val="single"/>
                              </w:rPr>
                              <w:t>:</w:t>
                            </w:r>
                            <w:r w:rsidR="00D15FD8" w:rsidRPr="00550F15">
                              <w:rPr>
                                <w:rFonts w:ascii="Roboto" w:eastAsia="Calibri" w:hAnsi="Roboto" w:cs="Calibri"/>
                                <w:iCs/>
                                <w:color w:val="F26C21"/>
                                <w:sz w:val="20"/>
                                <w:szCs w:val="20"/>
                              </w:rPr>
                              <w:t xml:space="preserve"> </w:t>
                            </w:r>
                            <w:r w:rsidR="00D15FD8" w:rsidRPr="00550F15">
                              <w:rPr>
                                <w:rFonts w:ascii="Roboto" w:eastAsia="Calibri" w:hAnsi="Roboto" w:cs="Calibri"/>
                                <w:iCs/>
                                <w:color w:val="404040" w:themeColor="text1" w:themeTint="BF"/>
                                <w:sz w:val="20"/>
                                <w:szCs w:val="20"/>
                              </w:rPr>
                              <w:t>One of the minimum budget transparency standards for membership is the publication of the annual audit report.</w:t>
                            </w:r>
                          </w:p>
                          <w:p w14:paraId="27C549DA" w14:textId="77777777" w:rsidR="00D15FD8" w:rsidRDefault="00D15FD8" w:rsidP="002D14C0">
                            <w:pPr>
                              <w:suppressOverlap/>
                              <w:rPr>
                                <w:rFonts w:ascii="Roboto" w:eastAsia="Calibri" w:hAnsi="Roboto" w:cs="Calibri"/>
                                <w:bCs/>
                                <w:color w:val="404040" w:themeColor="text1" w:themeTint="BF"/>
                                <w:sz w:val="20"/>
                                <w:szCs w:val="20"/>
                              </w:rPr>
                            </w:pPr>
                          </w:p>
                          <w:p w14:paraId="56AEF9A0" w14:textId="77777777" w:rsidR="00D15FD8" w:rsidRPr="00550F15" w:rsidRDefault="00D15FD8" w:rsidP="002D14C0">
                            <w:pPr>
                              <w:suppressOverlap/>
                              <w:rPr>
                                <w:rFonts w:ascii="Roboto" w:eastAsia="Calibri" w:hAnsi="Roboto" w:cs="Calibri"/>
                                <w:b/>
                                <w:bCs/>
                                <w:color w:val="1E9A8C"/>
                                <w:sz w:val="20"/>
                                <w:szCs w:val="20"/>
                                <w:u w:val="single"/>
                              </w:rPr>
                            </w:pPr>
                            <w:r w:rsidRPr="00550F15">
                              <w:rPr>
                                <w:rFonts w:ascii="Roboto" w:eastAsia="Calibri" w:hAnsi="Roboto" w:cs="Calibri"/>
                                <w:b/>
                                <w:bCs/>
                                <w:color w:val="1E9A8C"/>
                                <w:sz w:val="20"/>
                                <w:szCs w:val="20"/>
                                <w:u w:val="single"/>
                              </w:rPr>
                              <w:t>Assessment frameworks:</w:t>
                            </w:r>
                          </w:p>
                          <w:p w14:paraId="11AB4944" w14:textId="77777777" w:rsidR="00D15FD8" w:rsidRPr="00550F15" w:rsidRDefault="00D15FD8" w:rsidP="002D14C0">
                            <w:pPr>
                              <w:suppressOverlap/>
                              <w:rPr>
                                <w:rFonts w:ascii="Roboto" w:eastAsia="Calibri" w:hAnsi="Roboto" w:cs="Calibri"/>
                                <w:b/>
                                <w:bCs/>
                                <w:color w:val="404040" w:themeColor="text1" w:themeTint="BF"/>
                                <w:sz w:val="20"/>
                                <w:szCs w:val="20"/>
                                <w:u w:val="single"/>
                              </w:rPr>
                            </w:pPr>
                          </w:p>
                          <w:p w14:paraId="73267CE2"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bCs/>
                                <w:color w:val="1E9A8C"/>
                                <w:sz w:val="20"/>
                                <w:szCs w:val="20"/>
                              </w:rPr>
                              <w:t xml:space="preserve">PEFA: </w:t>
                            </w:r>
                            <w:hyperlink r:id="rId341" w:history="1">
                              <w:r w:rsidRPr="00550F15">
                                <w:rPr>
                                  <w:rStyle w:val="Hyperlink"/>
                                  <w:rFonts w:ascii="Roboto" w:eastAsia="Calibri" w:hAnsi="Roboto" w:cs="Calibri"/>
                                  <w:color w:val="F26C21"/>
                                  <w:sz w:val="20"/>
                                  <w:szCs w:val="20"/>
                                </w:rPr>
                                <w:t>Framework for assessing public financial management</w:t>
                              </w:r>
                            </w:hyperlink>
                            <w:r w:rsidRPr="00550F15">
                              <w:rPr>
                                <w:rFonts w:ascii="Roboto" w:eastAsia="Calibri" w:hAnsi="Roboto" w:cs="Calibri"/>
                                <w:color w:val="F26C21"/>
                                <w:sz w:val="20"/>
                                <w:szCs w:val="20"/>
                              </w:rPr>
                              <w:t xml:space="preserve"> </w:t>
                            </w:r>
                            <w:r w:rsidRPr="00550F15">
                              <w:rPr>
                                <w:rFonts w:ascii="Roboto" w:eastAsia="Calibri" w:hAnsi="Roboto" w:cs="Calibri"/>
                                <w:color w:val="404040" w:themeColor="text1" w:themeTint="BF"/>
                                <w:sz w:val="20"/>
                                <w:szCs w:val="20"/>
                              </w:rPr>
                              <w:t>(2016): Assesses the characteristics of external audit, including by measures of audit coverage and standards, submission of audit reports to the legislature, and external audit follow-up. It measures the extent of the independence of the SAI and its access to records, documentation and information. It explores independence in terms of the legal or normal practice for appointing or removing the head of the SAI, planning audit engagements, publicizing reports, and approving and executing the SAI’s budget.</w:t>
                            </w:r>
                          </w:p>
                          <w:p w14:paraId="2691D95F" w14:textId="77777777" w:rsidR="00D15FD8" w:rsidRPr="00550F15" w:rsidRDefault="00D15FD8" w:rsidP="002D14C0">
                            <w:pPr>
                              <w:suppressOverlap/>
                              <w:rPr>
                                <w:rFonts w:ascii="Roboto" w:eastAsia="Calibri" w:hAnsi="Roboto" w:cs="Calibri"/>
                                <w:color w:val="404040" w:themeColor="text1" w:themeTint="BF"/>
                                <w:sz w:val="20"/>
                                <w:szCs w:val="20"/>
                              </w:rPr>
                            </w:pPr>
                          </w:p>
                          <w:p w14:paraId="444CE14F"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color w:val="1E9A8C"/>
                                <w:sz w:val="20"/>
                                <w:szCs w:val="20"/>
                              </w:rPr>
                              <w:t>IBP:</w:t>
                            </w:r>
                            <w:r w:rsidRPr="00550F15">
                              <w:rPr>
                                <w:rFonts w:ascii="Roboto" w:eastAsia="Calibri" w:hAnsi="Roboto" w:cs="Calibri"/>
                                <w:color w:val="1E9A8C"/>
                                <w:sz w:val="20"/>
                                <w:szCs w:val="20"/>
                              </w:rPr>
                              <w:t xml:space="preserve"> </w:t>
                            </w:r>
                            <w:hyperlink r:id="rId342" w:history="1">
                              <w:r w:rsidRPr="00550F15">
                                <w:rPr>
                                  <w:rStyle w:val="Hyperlink"/>
                                  <w:rFonts w:ascii="Roboto" w:eastAsia="Calibri" w:hAnsi="Roboto" w:cs="Calibri"/>
                                  <w:color w:val="F26C21"/>
                                  <w:sz w:val="20"/>
                                  <w:szCs w:val="20"/>
                                </w:rPr>
                                <w:t>Open Budget Survey</w:t>
                              </w:r>
                            </w:hyperlink>
                            <w:r w:rsidRPr="00550F15">
                              <w:rPr>
                                <w:rFonts w:ascii="Roboto" w:eastAsia="Calibri" w:hAnsi="Roboto" w:cs="Calibri"/>
                                <w:color w:val="F26C21"/>
                                <w:sz w:val="20"/>
                                <w:szCs w:val="20"/>
                              </w:rPr>
                              <w:t xml:space="preserve"> </w:t>
                            </w:r>
                            <w:r w:rsidRPr="00550F15">
                              <w:rPr>
                                <w:rFonts w:ascii="Roboto" w:eastAsia="Calibri" w:hAnsi="Roboto" w:cs="Calibri"/>
                                <w:color w:val="404040" w:themeColor="text1" w:themeTint="BF"/>
                                <w:sz w:val="20"/>
                                <w:szCs w:val="20"/>
                              </w:rPr>
                              <w:t>(OBS): Contains questions on the independence and quality of the SAI.</w:t>
                            </w:r>
                          </w:p>
                          <w:p w14:paraId="546C7EB2" w14:textId="77777777" w:rsidR="00D15FD8" w:rsidRPr="00550F15" w:rsidRDefault="00D15FD8" w:rsidP="002D14C0">
                            <w:pPr>
                              <w:suppressOverlap/>
                              <w:rPr>
                                <w:rFonts w:ascii="Roboto" w:eastAsia="Calibri" w:hAnsi="Roboto" w:cs="Calibri"/>
                                <w:bCs/>
                                <w:color w:val="404040" w:themeColor="text1" w:themeTint="BF"/>
                                <w:sz w:val="20"/>
                                <w:szCs w:val="20"/>
                              </w:rPr>
                            </w:pPr>
                          </w:p>
                          <w:p w14:paraId="61455B30" w14:textId="1DC8B2D3" w:rsidR="00D15FD8" w:rsidRPr="00550F15"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9D888" id="Text Box 1957" o:spid="_x0000_s1201" type="#_x0000_t202" style="position:absolute;margin-left:2pt;margin-top:0;width:694.3pt;height:433pt;z-index:253699070;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" filled="f" stroked="f" strokeweight=".5pt">
                <v:textbox>
                  <w:txbxContent>
                    <w:p w14:paraId="51C5FB08"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The existence of effective follow-up mechanisms on SAI recommendations. </w:t>
                      </w:r>
                    </w:p>
                    <w:p w14:paraId="333C39F3" w14:textId="77777777" w:rsidR="00D15FD8" w:rsidRPr="00550F15" w:rsidRDefault="00D15FD8" w:rsidP="00331B48">
                      <w:pPr>
                        <w:numPr>
                          <w:ilvl w:val="0"/>
                          <w:numId w:val="34"/>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Financial and managerial/administrative autonomy for the SAI and the availability of appropriate human, material and monetary resources.</w:t>
                      </w:r>
                    </w:p>
                    <w:p w14:paraId="2887E32A" w14:textId="77777777" w:rsidR="00D15FD8" w:rsidRPr="00550F15" w:rsidRDefault="00AC4DF7" w:rsidP="00331B48">
                      <w:pPr>
                        <w:pStyle w:val="ListParagraph"/>
                        <w:numPr>
                          <w:ilvl w:val="0"/>
                          <w:numId w:val="35"/>
                        </w:numPr>
                        <w:ind w:left="421" w:hanging="425"/>
                        <w:suppressOverlap/>
                        <w:rPr>
                          <w:rFonts w:ascii="Roboto" w:eastAsia="Calibri" w:hAnsi="Roboto" w:cs="Calibri"/>
                          <w:color w:val="404040" w:themeColor="text1" w:themeTint="BF"/>
                          <w:sz w:val="20"/>
                          <w:szCs w:val="20"/>
                        </w:rPr>
                      </w:pPr>
                      <w:hyperlink r:id="rId343" w:history="1">
                        <w:r w:rsidR="00D15FD8" w:rsidRPr="00550F15">
                          <w:rPr>
                            <w:rStyle w:val="Hyperlink"/>
                            <w:rFonts w:ascii="Roboto" w:eastAsia="Calibri" w:hAnsi="Roboto" w:cs="Calibri"/>
                            <w:color w:val="F26C21"/>
                            <w:sz w:val="20"/>
                            <w:szCs w:val="20"/>
                          </w:rPr>
                          <w:t>International Standards of Supreme Auditing Institutions</w:t>
                        </w:r>
                      </w:hyperlink>
                      <w:r w:rsidR="00D15FD8" w:rsidRPr="00550F15">
                        <w:rPr>
                          <w:rFonts w:ascii="Roboto" w:eastAsia="Calibri" w:hAnsi="Roboto" w:cs="Calibri"/>
                          <w:color w:val="F26C21"/>
                          <w:sz w:val="20"/>
                          <w:szCs w:val="20"/>
                        </w:rPr>
                        <w:t xml:space="preserve"> </w:t>
                      </w:r>
                      <w:r w:rsidR="00D15FD8" w:rsidRPr="00550F15">
                        <w:rPr>
                          <w:rFonts w:ascii="Roboto" w:eastAsia="Calibri" w:hAnsi="Roboto" w:cs="Calibri"/>
                          <w:color w:val="404040" w:themeColor="text1" w:themeTint="BF"/>
                          <w:sz w:val="20"/>
                          <w:szCs w:val="20"/>
                        </w:rPr>
                        <w:t>(ISSAI) Framework:  Further develops the principles of independence, auditing standards, access to information, and resourcing of SAIs. ISSAI 20: Sets standards for the transparent and accountable operation of SAIs themselves.</w:t>
                      </w:r>
                    </w:p>
                    <w:p w14:paraId="00228B78" w14:textId="77777777" w:rsidR="00D15FD8" w:rsidRPr="00550F15" w:rsidRDefault="00D15FD8" w:rsidP="002D14C0">
                      <w:pPr>
                        <w:suppressOverlap/>
                        <w:rPr>
                          <w:rFonts w:ascii="Roboto" w:eastAsia="Calibri" w:hAnsi="Roboto" w:cs="Calibri"/>
                          <w:color w:val="404040" w:themeColor="text1" w:themeTint="BF"/>
                          <w:sz w:val="20"/>
                          <w:szCs w:val="20"/>
                        </w:rPr>
                      </w:pPr>
                    </w:p>
                    <w:p w14:paraId="484D1977"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bCs/>
                          <w:color w:val="1E9A8C"/>
                          <w:sz w:val="20"/>
                          <w:szCs w:val="20"/>
                        </w:rPr>
                        <w:t>IMF:</w:t>
                      </w:r>
                      <w:r w:rsidRPr="00550F15">
                        <w:rPr>
                          <w:rFonts w:ascii="Roboto" w:eastAsia="Calibri" w:hAnsi="Roboto" w:cs="Calibri"/>
                          <w:bCs/>
                          <w:color w:val="1E9A8C"/>
                          <w:sz w:val="20"/>
                          <w:szCs w:val="20"/>
                        </w:rPr>
                        <w:t xml:space="preserve"> </w:t>
                      </w:r>
                      <w:hyperlink r:id="rId344" w:history="1">
                        <w:r w:rsidRPr="00550F15">
                          <w:rPr>
                            <w:rStyle w:val="Hyperlink"/>
                            <w:rFonts w:ascii="Roboto" w:eastAsia="Calibri" w:hAnsi="Roboto" w:cs="Calibri"/>
                            <w:bCs/>
                            <w:color w:val="F26C21"/>
                            <w:sz w:val="20"/>
                            <w:szCs w:val="20"/>
                          </w:rPr>
                          <w:t>Fiscal Transparency Code</w:t>
                        </w:r>
                      </w:hyperlink>
                      <w:r w:rsidRPr="00550F15">
                        <w:rPr>
                          <w:rFonts w:ascii="Roboto" w:eastAsia="Calibri" w:hAnsi="Roboto" w:cs="Calibri"/>
                          <w:bCs/>
                          <w:color w:val="404040" w:themeColor="text1" w:themeTint="BF"/>
                          <w:sz w:val="20"/>
                          <w:szCs w:val="20"/>
                        </w:rPr>
                        <w:t xml:space="preserve"> (2019):</w:t>
                      </w:r>
                      <w:r w:rsidRPr="00550F15">
                        <w:rPr>
                          <w:rFonts w:ascii="Roboto" w:eastAsia="Calibri" w:hAnsi="Roboto" w:cs="Calibri"/>
                          <w:color w:val="404040" w:themeColor="text1" w:themeTint="BF"/>
                          <w:sz w:val="20"/>
                          <w:szCs w:val="20"/>
                        </w:rPr>
                        <w:t xml:space="preserve"> Principle 1.4.2: Annual financial statements should be subject to a published audit by an SAI that is independent. </w:t>
                      </w:r>
                    </w:p>
                    <w:p w14:paraId="50D6BDC7" w14:textId="77777777" w:rsidR="00D15FD8" w:rsidRPr="00550F15" w:rsidRDefault="00D15FD8" w:rsidP="002D14C0">
                      <w:pPr>
                        <w:suppressOverlap/>
                        <w:rPr>
                          <w:rFonts w:ascii="Roboto" w:eastAsia="Calibri" w:hAnsi="Roboto" w:cs="Calibri"/>
                          <w:bCs/>
                          <w:iCs/>
                          <w:color w:val="404040" w:themeColor="text1" w:themeTint="BF"/>
                          <w:sz w:val="20"/>
                          <w:szCs w:val="20"/>
                        </w:rPr>
                      </w:pPr>
                      <w:r w:rsidRPr="00550F15">
                        <w:rPr>
                          <w:rFonts w:ascii="Roboto" w:eastAsia="Calibri" w:hAnsi="Roboto" w:cs="Calibri"/>
                          <w:bCs/>
                          <w:color w:val="404040" w:themeColor="text1" w:themeTint="BF"/>
                          <w:sz w:val="20"/>
                          <w:szCs w:val="20"/>
                        </w:rPr>
                        <w:t xml:space="preserve">         [</w:t>
                      </w:r>
                      <w:hyperlink r:id="rId345" w:history="1">
                        <w:r w:rsidRPr="00550F15">
                          <w:rPr>
                            <w:rStyle w:val="Hyperlink"/>
                            <w:rFonts w:ascii="Roboto" w:eastAsia="Calibri" w:hAnsi="Roboto" w:cs="Calibri"/>
                            <w:bCs/>
                            <w:color w:val="F26C21"/>
                            <w:sz w:val="20"/>
                            <w:szCs w:val="20"/>
                          </w:rPr>
                          <w:t>Manual on Fiscal Transparency</w:t>
                        </w:r>
                      </w:hyperlink>
                      <w:r w:rsidRPr="00550F15">
                        <w:rPr>
                          <w:rFonts w:ascii="Roboto" w:eastAsia="Calibri" w:hAnsi="Roboto" w:cs="Calibri"/>
                          <w:bCs/>
                          <w:color w:val="404040" w:themeColor="text1" w:themeTint="BF"/>
                          <w:sz w:val="20"/>
                          <w:szCs w:val="20"/>
                        </w:rPr>
                        <w:t xml:space="preserve"> (2007): Particularly </w:t>
                      </w:r>
                      <w:r w:rsidRPr="00550F15">
                        <w:rPr>
                          <w:rFonts w:ascii="Roboto" w:eastAsia="Calibri" w:hAnsi="Roboto" w:cs="Calibri"/>
                          <w:bCs/>
                          <w:iCs/>
                          <w:color w:val="404040" w:themeColor="text1" w:themeTint="BF"/>
                          <w:sz w:val="20"/>
                          <w:szCs w:val="20"/>
                        </w:rPr>
                        <w:t>pp 101-104].</w:t>
                      </w:r>
                    </w:p>
                    <w:p w14:paraId="593B5176" w14:textId="77777777" w:rsidR="00D15FD8" w:rsidRPr="00550F15" w:rsidRDefault="00D15FD8" w:rsidP="002D14C0">
                      <w:pPr>
                        <w:suppressOverlap/>
                        <w:rPr>
                          <w:rFonts w:ascii="Roboto" w:eastAsia="Calibri" w:hAnsi="Roboto" w:cs="Calibri"/>
                          <w:bCs/>
                          <w:iCs/>
                          <w:color w:val="404040" w:themeColor="text1" w:themeTint="BF"/>
                          <w:sz w:val="20"/>
                          <w:szCs w:val="20"/>
                        </w:rPr>
                      </w:pPr>
                    </w:p>
                    <w:p w14:paraId="53B0F15C"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color w:val="1E9A8C"/>
                          <w:sz w:val="20"/>
                          <w:szCs w:val="20"/>
                        </w:rPr>
                        <w:t>OECD:</w:t>
                      </w:r>
                      <w:r w:rsidRPr="00550F15">
                        <w:rPr>
                          <w:rFonts w:ascii="Roboto" w:eastAsia="Calibri" w:hAnsi="Roboto" w:cs="Calibri"/>
                          <w:color w:val="1E9A8C"/>
                          <w:sz w:val="20"/>
                          <w:szCs w:val="20"/>
                        </w:rPr>
                        <w:t xml:space="preserve"> </w:t>
                      </w:r>
                      <w:hyperlink r:id="rId346" w:history="1">
                        <w:r w:rsidRPr="00550F15">
                          <w:rPr>
                            <w:rStyle w:val="Hyperlink"/>
                            <w:rFonts w:ascii="Roboto" w:eastAsia="Calibri" w:hAnsi="Roboto" w:cs="Calibri"/>
                            <w:color w:val="F26C21"/>
                            <w:sz w:val="20"/>
                            <w:szCs w:val="20"/>
                          </w:rPr>
                          <w:t>Budget Transparency Toolkit</w:t>
                        </w:r>
                      </w:hyperlink>
                      <w:r w:rsidRPr="00550F15">
                        <w:rPr>
                          <w:rFonts w:ascii="Roboto" w:eastAsia="Calibri" w:hAnsi="Roboto" w:cs="Calibri"/>
                          <w:color w:val="F26C21"/>
                          <w:sz w:val="20"/>
                          <w:szCs w:val="20"/>
                        </w:rPr>
                        <w:t xml:space="preserve"> </w:t>
                      </w:r>
                      <w:r w:rsidRPr="00550F15">
                        <w:rPr>
                          <w:rFonts w:ascii="Roboto" w:eastAsia="Calibri" w:hAnsi="Roboto" w:cs="Calibri"/>
                          <w:color w:val="404040" w:themeColor="text1" w:themeTint="BF"/>
                          <w:sz w:val="20"/>
                          <w:szCs w:val="20"/>
                        </w:rPr>
                        <w:t>(2017)</w:t>
                      </w:r>
                      <w:r w:rsidRPr="00550F15">
                        <w:rPr>
                          <w:rFonts w:ascii="Roboto" w:eastAsia="Calibri" w:hAnsi="Roboto" w:cs="Calibri"/>
                          <w:bCs/>
                          <w:iCs/>
                          <w:color w:val="404040" w:themeColor="text1" w:themeTint="BF"/>
                          <w:sz w:val="20"/>
                          <w:szCs w:val="20"/>
                        </w:rPr>
                        <w:t>:</w:t>
                      </w:r>
                      <w:r w:rsidRPr="00550F15">
                        <w:rPr>
                          <w:rFonts w:ascii="Roboto" w:eastAsia="Calibri" w:hAnsi="Roboto" w:cs="Calibri"/>
                          <w:color w:val="404040" w:themeColor="text1" w:themeTint="BF"/>
                          <w:sz w:val="20"/>
                          <w:szCs w:val="20"/>
                        </w:rPr>
                        <w:t xml:space="preserve"> S</w:t>
                      </w:r>
                      <w:r w:rsidRPr="00550F15">
                        <w:rPr>
                          <w:rFonts w:ascii="Roboto" w:eastAsia="Calibri" w:hAnsi="Roboto" w:cs="Calibri"/>
                          <w:bCs/>
                          <w:iCs/>
                          <w:color w:val="404040" w:themeColor="text1" w:themeTint="BF"/>
                          <w:sz w:val="20"/>
                          <w:szCs w:val="20"/>
                        </w:rPr>
                        <w:t>ection F: Supporting the role of the SAI.</w:t>
                      </w:r>
                    </w:p>
                    <w:p w14:paraId="462839ED" w14:textId="77777777" w:rsidR="00D15FD8" w:rsidRPr="00550F15" w:rsidRDefault="00D15FD8" w:rsidP="002D14C0">
                      <w:pPr>
                        <w:suppressOverlap/>
                        <w:rPr>
                          <w:rFonts w:ascii="Roboto" w:eastAsia="Calibri" w:hAnsi="Roboto" w:cs="Calibri"/>
                          <w:color w:val="404040" w:themeColor="text1" w:themeTint="BF"/>
                          <w:sz w:val="20"/>
                          <w:szCs w:val="20"/>
                        </w:rPr>
                      </w:pPr>
                    </w:p>
                    <w:p w14:paraId="10431B55"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bCs/>
                          <w:color w:val="1E9A8C"/>
                          <w:sz w:val="20"/>
                          <w:szCs w:val="20"/>
                        </w:rPr>
                        <w:t>International Federation of Accountants (IFAC) / Chartered Institute of Public Finance and Accountancy (CIPFA):</w:t>
                      </w:r>
                      <w:r w:rsidRPr="00550F15">
                        <w:rPr>
                          <w:rFonts w:ascii="Roboto" w:eastAsia="Calibri" w:hAnsi="Roboto" w:cs="Calibri"/>
                          <w:i/>
                          <w:color w:val="1E9A8C"/>
                          <w:sz w:val="20"/>
                          <w:szCs w:val="20"/>
                        </w:rPr>
                        <w:t xml:space="preserve"> </w:t>
                      </w:r>
                      <w:hyperlink r:id="rId347" w:history="1">
                        <w:r w:rsidRPr="00550F15">
                          <w:rPr>
                            <w:rStyle w:val="Hyperlink"/>
                            <w:rFonts w:ascii="Roboto" w:eastAsia="Calibri" w:hAnsi="Roboto" w:cs="Calibri"/>
                            <w:iCs/>
                            <w:color w:val="F26C21"/>
                            <w:sz w:val="20"/>
                            <w:szCs w:val="20"/>
                          </w:rPr>
                          <w:t>International Framework: Good Governance in the Public Sector</w:t>
                        </w:r>
                      </w:hyperlink>
                      <w:r w:rsidRPr="00B54707">
                        <w:rPr>
                          <w:rFonts w:ascii="Roboto" w:eastAsia="Calibri" w:hAnsi="Roboto" w:cs="Calibri"/>
                          <w:iCs/>
                          <w:color w:val="F26C21"/>
                          <w:sz w:val="20"/>
                          <w:szCs w:val="20"/>
                        </w:rPr>
                        <w:t xml:space="preserve">: </w:t>
                      </w:r>
                      <w:r w:rsidRPr="00550F15">
                        <w:rPr>
                          <w:rFonts w:ascii="Roboto" w:eastAsia="Calibri" w:hAnsi="Roboto" w:cs="Calibri"/>
                          <w:color w:val="404040" w:themeColor="text1" w:themeTint="BF"/>
                          <w:sz w:val="20"/>
                          <w:szCs w:val="20"/>
                        </w:rPr>
                        <w:t>Principle G:</w:t>
                      </w:r>
                      <w:r w:rsidRPr="00550F15">
                        <w:rPr>
                          <w:rFonts w:ascii="Roboto" w:eastAsia="Calibri" w:hAnsi="Roboto" w:cs="Calibri"/>
                          <w:iCs/>
                          <w:color w:val="404040" w:themeColor="text1" w:themeTint="BF"/>
                          <w:sz w:val="20"/>
                          <w:szCs w:val="20"/>
                        </w:rPr>
                        <w:t xml:space="preserve"> S</w:t>
                      </w:r>
                      <w:r w:rsidRPr="00550F15">
                        <w:rPr>
                          <w:rFonts w:ascii="Roboto" w:eastAsia="Calibri" w:hAnsi="Roboto" w:cs="Calibri"/>
                          <w:color w:val="404040" w:themeColor="text1" w:themeTint="BF"/>
                          <w:sz w:val="20"/>
                          <w:szCs w:val="20"/>
                        </w:rPr>
                        <w:t xml:space="preserve">ets the implementation of good practices in transparency, reporting and audit to deliver effective accountability as one of its seven core high level principles, noting explicitly that ‘both external and internal audit contribute to effective accountability’.  </w:t>
                      </w:r>
                    </w:p>
                    <w:p w14:paraId="797C445F" w14:textId="77777777" w:rsidR="00D15FD8" w:rsidRPr="00550F15" w:rsidRDefault="00D15FD8" w:rsidP="002D14C0">
                      <w:pPr>
                        <w:suppressOverlap/>
                        <w:rPr>
                          <w:rFonts w:ascii="Roboto" w:eastAsia="Calibri" w:hAnsi="Roboto" w:cs="Calibri"/>
                          <w:color w:val="404040" w:themeColor="text1" w:themeTint="BF"/>
                          <w:sz w:val="20"/>
                          <w:szCs w:val="20"/>
                        </w:rPr>
                      </w:pPr>
                    </w:p>
                    <w:p w14:paraId="2F57EF11"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The importance of SAI independence was recognized in UN General Assembly </w:t>
                      </w:r>
                      <w:hyperlink r:id="rId348" w:history="1">
                        <w:r w:rsidRPr="00550F15">
                          <w:rPr>
                            <w:rStyle w:val="Hyperlink"/>
                            <w:rFonts w:ascii="Roboto" w:eastAsia="Calibri" w:hAnsi="Roboto" w:cs="Calibri"/>
                            <w:color w:val="F26C21"/>
                            <w:sz w:val="20"/>
                            <w:szCs w:val="20"/>
                          </w:rPr>
                          <w:t>Resolution A/69/228</w:t>
                        </w:r>
                      </w:hyperlink>
                      <w:r w:rsidRPr="00550F15">
                        <w:rPr>
                          <w:rFonts w:ascii="Roboto" w:eastAsia="Calibri" w:hAnsi="Roboto" w:cs="Calibri"/>
                          <w:color w:val="404040" w:themeColor="text1" w:themeTint="BF"/>
                          <w:sz w:val="20"/>
                          <w:szCs w:val="20"/>
                        </w:rPr>
                        <w:t xml:space="preserve">, Promoting and fostering the efficiency, accountability, effectiveness and transparency of public administration by strengthening supreme audit institutions, 2014. The Resolution recognized: </w:t>
                      </w:r>
                    </w:p>
                    <w:p w14:paraId="5B7B3112" w14:textId="77777777" w:rsidR="00D15FD8" w:rsidRPr="00550F15" w:rsidRDefault="00D15FD8" w:rsidP="00331B48">
                      <w:pPr>
                        <w:pStyle w:val="ListParagraph"/>
                        <w:numPr>
                          <w:ilvl w:val="0"/>
                          <w:numId w:val="37"/>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 xml:space="preserve">that SAIs can accomplish their tasks objectively and effectively only if they are independent of the audited entity and are protected against outside influence; </w:t>
                      </w:r>
                    </w:p>
                    <w:p w14:paraId="20166DD6" w14:textId="77777777" w:rsidR="00D15FD8" w:rsidRPr="00550F15" w:rsidRDefault="00D15FD8" w:rsidP="00331B48">
                      <w:pPr>
                        <w:pStyle w:val="ListParagraph"/>
                        <w:numPr>
                          <w:ilvl w:val="0"/>
                          <w:numId w:val="37"/>
                        </w:numPr>
                        <w:suppressOverlap/>
                        <w:rPr>
                          <w:rFonts w:ascii="Roboto" w:eastAsia="Calibri" w:hAnsi="Roboto" w:cs="Calibri"/>
                          <w:color w:val="404040" w:themeColor="text1" w:themeTint="BF"/>
                          <w:sz w:val="20"/>
                          <w:szCs w:val="20"/>
                        </w:rPr>
                      </w:pPr>
                      <w:r w:rsidRPr="00550F15">
                        <w:rPr>
                          <w:rFonts w:ascii="Roboto" w:eastAsia="Calibri" w:hAnsi="Roboto" w:cs="Calibri"/>
                          <w:color w:val="404040" w:themeColor="text1" w:themeTint="BF"/>
                          <w:sz w:val="20"/>
                          <w:szCs w:val="20"/>
                        </w:rPr>
                        <w:t>the important role of SAIs in promoting the efficiency, accountability, effectiveness and transparency of public administration, which is conducive to the achievement of national development objectives and priorities as well as the internationally agreed development goals.</w:t>
                      </w:r>
                    </w:p>
                    <w:p w14:paraId="17806C9B" w14:textId="77777777" w:rsidR="00D15FD8" w:rsidRPr="00550F15" w:rsidRDefault="00D15FD8" w:rsidP="002D14C0">
                      <w:pPr>
                        <w:pStyle w:val="ListParagraph"/>
                        <w:suppressOverlap/>
                        <w:rPr>
                          <w:rFonts w:ascii="Roboto" w:eastAsia="Calibri" w:hAnsi="Roboto" w:cs="Calibri"/>
                          <w:color w:val="404040" w:themeColor="text1" w:themeTint="BF"/>
                          <w:sz w:val="20"/>
                          <w:szCs w:val="20"/>
                        </w:rPr>
                      </w:pPr>
                    </w:p>
                    <w:p w14:paraId="34D34330" w14:textId="77777777" w:rsidR="00D15FD8" w:rsidRPr="00550F15" w:rsidRDefault="00AC4DF7" w:rsidP="002D14C0">
                      <w:pPr>
                        <w:suppressOverlap/>
                        <w:rPr>
                          <w:rFonts w:ascii="Roboto" w:eastAsia="Calibri" w:hAnsi="Roboto" w:cs="Calibri"/>
                          <w:color w:val="404040" w:themeColor="text1" w:themeTint="BF"/>
                          <w:sz w:val="20"/>
                          <w:szCs w:val="20"/>
                        </w:rPr>
                      </w:pPr>
                      <w:hyperlink r:id="rId349" w:history="1">
                        <w:r w:rsidR="00D15FD8" w:rsidRPr="00550F15">
                          <w:rPr>
                            <w:rStyle w:val="Hyperlink"/>
                            <w:rFonts w:ascii="Roboto" w:eastAsia="Calibri" w:hAnsi="Roboto" w:cs="Calibri"/>
                            <w:iCs/>
                            <w:color w:val="F26C21"/>
                            <w:sz w:val="20"/>
                            <w:szCs w:val="20"/>
                          </w:rPr>
                          <w:t>Open Government Partnership</w:t>
                        </w:r>
                      </w:hyperlink>
                      <w:r w:rsidR="00D15FD8" w:rsidRPr="00550F15">
                        <w:rPr>
                          <w:rFonts w:ascii="Roboto" w:eastAsia="Calibri" w:hAnsi="Roboto" w:cs="Calibri"/>
                          <w:iCs/>
                          <w:color w:val="F26C21"/>
                          <w:sz w:val="20"/>
                          <w:szCs w:val="20"/>
                          <w:u w:val="single"/>
                        </w:rPr>
                        <w:t>:</w:t>
                      </w:r>
                      <w:r w:rsidR="00D15FD8" w:rsidRPr="00550F15">
                        <w:rPr>
                          <w:rFonts w:ascii="Roboto" w:eastAsia="Calibri" w:hAnsi="Roboto" w:cs="Calibri"/>
                          <w:iCs/>
                          <w:color w:val="F26C21"/>
                          <w:sz w:val="20"/>
                          <w:szCs w:val="20"/>
                        </w:rPr>
                        <w:t xml:space="preserve"> </w:t>
                      </w:r>
                      <w:r w:rsidR="00D15FD8" w:rsidRPr="00550F15">
                        <w:rPr>
                          <w:rFonts w:ascii="Roboto" w:eastAsia="Calibri" w:hAnsi="Roboto" w:cs="Calibri"/>
                          <w:iCs/>
                          <w:color w:val="404040" w:themeColor="text1" w:themeTint="BF"/>
                          <w:sz w:val="20"/>
                          <w:szCs w:val="20"/>
                        </w:rPr>
                        <w:t>One of the minimum budget transparency standards for membership is the publication of the annual audit report.</w:t>
                      </w:r>
                    </w:p>
                    <w:p w14:paraId="27C549DA" w14:textId="77777777" w:rsidR="00D15FD8" w:rsidRDefault="00D15FD8" w:rsidP="002D14C0">
                      <w:pPr>
                        <w:suppressOverlap/>
                        <w:rPr>
                          <w:rFonts w:ascii="Roboto" w:eastAsia="Calibri" w:hAnsi="Roboto" w:cs="Calibri"/>
                          <w:bCs/>
                          <w:color w:val="404040" w:themeColor="text1" w:themeTint="BF"/>
                          <w:sz w:val="20"/>
                          <w:szCs w:val="20"/>
                        </w:rPr>
                      </w:pPr>
                    </w:p>
                    <w:p w14:paraId="56AEF9A0" w14:textId="77777777" w:rsidR="00D15FD8" w:rsidRPr="00550F15" w:rsidRDefault="00D15FD8" w:rsidP="002D14C0">
                      <w:pPr>
                        <w:suppressOverlap/>
                        <w:rPr>
                          <w:rFonts w:ascii="Roboto" w:eastAsia="Calibri" w:hAnsi="Roboto" w:cs="Calibri"/>
                          <w:b/>
                          <w:bCs/>
                          <w:color w:val="1E9A8C"/>
                          <w:sz w:val="20"/>
                          <w:szCs w:val="20"/>
                          <w:u w:val="single"/>
                        </w:rPr>
                      </w:pPr>
                      <w:r w:rsidRPr="00550F15">
                        <w:rPr>
                          <w:rFonts w:ascii="Roboto" w:eastAsia="Calibri" w:hAnsi="Roboto" w:cs="Calibri"/>
                          <w:b/>
                          <w:bCs/>
                          <w:color w:val="1E9A8C"/>
                          <w:sz w:val="20"/>
                          <w:szCs w:val="20"/>
                          <w:u w:val="single"/>
                        </w:rPr>
                        <w:t>Assessment frameworks:</w:t>
                      </w:r>
                    </w:p>
                    <w:p w14:paraId="11AB4944" w14:textId="77777777" w:rsidR="00D15FD8" w:rsidRPr="00550F15" w:rsidRDefault="00D15FD8" w:rsidP="002D14C0">
                      <w:pPr>
                        <w:suppressOverlap/>
                        <w:rPr>
                          <w:rFonts w:ascii="Roboto" w:eastAsia="Calibri" w:hAnsi="Roboto" w:cs="Calibri"/>
                          <w:b/>
                          <w:bCs/>
                          <w:color w:val="404040" w:themeColor="text1" w:themeTint="BF"/>
                          <w:sz w:val="20"/>
                          <w:szCs w:val="20"/>
                          <w:u w:val="single"/>
                        </w:rPr>
                      </w:pPr>
                    </w:p>
                    <w:p w14:paraId="73267CE2"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bCs/>
                          <w:color w:val="1E9A8C"/>
                          <w:sz w:val="20"/>
                          <w:szCs w:val="20"/>
                        </w:rPr>
                        <w:t xml:space="preserve">PEFA: </w:t>
                      </w:r>
                      <w:hyperlink r:id="rId350" w:history="1">
                        <w:r w:rsidRPr="00550F15">
                          <w:rPr>
                            <w:rStyle w:val="Hyperlink"/>
                            <w:rFonts w:ascii="Roboto" w:eastAsia="Calibri" w:hAnsi="Roboto" w:cs="Calibri"/>
                            <w:color w:val="F26C21"/>
                            <w:sz w:val="20"/>
                            <w:szCs w:val="20"/>
                          </w:rPr>
                          <w:t>Framework for assessing public financial management</w:t>
                        </w:r>
                      </w:hyperlink>
                      <w:r w:rsidRPr="00550F15">
                        <w:rPr>
                          <w:rFonts w:ascii="Roboto" w:eastAsia="Calibri" w:hAnsi="Roboto" w:cs="Calibri"/>
                          <w:color w:val="F26C21"/>
                          <w:sz w:val="20"/>
                          <w:szCs w:val="20"/>
                        </w:rPr>
                        <w:t xml:space="preserve"> </w:t>
                      </w:r>
                      <w:r w:rsidRPr="00550F15">
                        <w:rPr>
                          <w:rFonts w:ascii="Roboto" w:eastAsia="Calibri" w:hAnsi="Roboto" w:cs="Calibri"/>
                          <w:color w:val="404040" w:themeColor="text1" w:themeTint="BF"/>
                          <w:sz w:val="20"/>
                          <w:szCs w:val="20"/>
                        </w:rPr>
                        <w:t>(2016): Assesses the characteristics of external audit, including by measures of audit coverage and standards, submission of audit reports to the legislature, and external audit follow-up. It measures the extent of the independence of the SAI and its access to records, documentation and information. It explores independence in terms of the legal or normal practice for appointing or removing the head of the SAI, planning audit engagements, publicizing reports, and approving and executing the SAI’s budget.</w:t>
                      </w:r>
                    </w:p>
                    <w:p w14:paraId="2691D95F" w14:textId="77777777" w:rsidR="00D15FD8" w:rsidRPr="00550F15" w:rsidRDefault="00D15FD8" w:rsidP="002D14C0">
                      <w:pPr>
                        <w:suppressOverlap/>
                        <w:rPr>
                          <w:rFonts w:ascii="Roboto" w:eastAsia="Calibri" w:hAnsi="Roboto" w:cs="Calibri"/>
                          <w:color w:val="404040" w:themeColor="text1" w:themeTint="BF"/>
                          <w:sz w:val="20"/>
                          <w:szCs w:val="20"/>
                        </w:rPr>
                      </w:pPr>
                    </w:p>
                    <w:p w14:paraId="444CE14F" w14:textId="77777777" w:rsidR="00D15FD8" w:rsidRPr="00550F15" w:rsidRDefault="00D15FD8" w:rsidP="002D14C0">
                      <w:pPr>
                        <w:suppressOverlap/>
                        <w:rPr>
                          <w:rFonts w:ascii="Roboto" w:eastAsia="Calibri" w:hAnsi="Roboto" w:cs="Calibri"/>
                          <w:color w:val="404040" w:themeColor="text1" w:themeTint="BF"/>
                          <w:sz w:val="20"/>
                          <w:szCs w:val="20"/>
                        </w:rPr>
                      </w:pPr>
                      <w:r w:rsidRPr="00550F15">
                        <w:rPr>
                          <w:rFonts w:ascii="Roboto" w:eastAsia="Calibri" w:hAnsi="Roboto" w:cs="Calibri"/>
                          <w:b/>
                          <w:color w:val="1E9A8C"/>
                          <w:sz w:val="20"/>
                          <w:szCs w:val="20"/>
                        </w:rPr>
                        <w:t>IBP:</w:t>
                      </w:r>
                      <w:r w:rsidRPr="00550F15">
                        <w:rPr>
                          <w:rFonts w:ascii="Roboto" w:eastAsia="Calibri" w:hAnsi="Roboto" w:cs="Calibri"/>
                          <w:color w:val="1E9A8C"/>
                          <w:sz w:val="20"/>
                          <w:szCs w:val="20"/>
                        </w:rPr>
                        <w:t xml:space="preserve"> </w:t>
                      </w:r>
                      <w:hyperlink r:id="rId351" w:history="1">
                        <w:r w:rsidRPr="00550F15">
                          <w:rPr>
                            <w:rStyle w:val="Hyperlink"/>
                            <w:rFonts w:ascii="Roboto" w:eastAsia="Calibri" w:hAnsi="Roboto" w:cs="Calibri"/>
                            <w:color w:val="F26C21"/>
                            <w:sz w:val="20"/>
                            <w:szCs w:val="20"/>
                          </w:rPr>
                          <w:t>Open Budget Survey</w:t>
                        </w:r>
                      </w:hyperlink>
                      <w:r w:rsidRPr="00550F15">
                        <w:rPr>
                          <w:rFonts w:ascii="Roboto" w:eastAsia="Calibri" w:hAnsi="Roboto" w:cs="Calibri"/>
                          <w:color w:val="F26C21"/>
                          <w:sz w:val="20"/>
                          <w:szCs w:val="20"/>
                        </w:rPr>
                        <w:t xml:space="preserve"> </w:t>
                      </w:r>
                      <w:r w:rsidRPr="00550F15">
                        <w:rPr>
                          <w:rFonts w:ascii="Roboto" w:eastAsia="Calibri" w:hAnsi="Roboto" w:cs="Calibri"/>
                          <w:color w:val="404040" w:themeColor="text1" w:themeTint="BF"/>
                          <w:sz w:val="20"/>
                          <w:szCs w:val="20"/>
                        </w:rPr>
                        <w:t>(OBS): Contains questions on the independence and quality of the SAI.</w:t>
                      </w:r>
                    </w:p>
                    <w:p w14:paraId="546C7EB2" w14:textId="77777777" w:rsidR="00D15FD8" w:rsidRPr="00550F15" w:rsidRDefault="00D15FD8" w:rsidP="002D14C0">
                      <w:pPr>
                        <w:suppressOverlap/>
                        <w:rPr>
                          <w:rFonts w:ascii="Roboto" w:eastAsia="Calibri" w:hAnsi="Roboto" w:cs="Calibri"/>
                          <w:bCs/>
                          <w:color w:val="404040" w:themeColor="text1" w:themeTint="BF"/>
                          <w:sz w:val="20"/>
                          <w:szCs w:val="20"/>
                        </w:rPr>
                      </w:pPr>
                    </w:p>
                    <w:p w14:paraId="61455B30" w14:textId="1DC8B2D3" w:rsidR="00D15FD8" w:rsidRPr="00550F15" w:rsidRDefault="00D15FD8" w:rsidP="002D14C0">
                      <w:pPr>
                        <w:rPr>
                          <w:rFonts w:ascii="Roboto" w:hAnsi="Roboto"/>
                          <w:sz w:val="20"/>
                          <w:szCs w:val="20"/>
                        </w:rPr>
                      </w:pPr>
                    </w:p>
                  </w:txbxContent>
                </v:textbox>
                <w10:wrap anchorx="margin" anchory="margin"/>
              </v:shape>
            </w:pict>
          </mc:Fallback>
        </mc:AlternateContent>
      </w:r>
    </w:p>
    <w:p w14:paraId="2B30C64B" w14:textId="23DD4AB5" w:rsidR="00203FAB" w:rsidRPr="00550F15" w:rsidRDefault="00203FAB" w:rsidP="002D14C0">
      <w:pPr>
        <w:rPr>
          <w:rFonts w:ascii="Roboto" w:hAnsi="Roboto"/>
        </w:rPr>
      </w:pPr>
    </w:p>
    <w:p w14:paraId="0933E82B" w14:textId="08F65FC8" w:rsidR="00203FAB" w:rsidRPr="00550F15" w:rsidRDefault="00203FAB" w:rsidP="002D14C0">
      <w:pPr>
        <w:rPr>
          <w:rFonts w:ascii="Roboto" w:hAnsi="Roboto"/>
        </w:rPr>
      </w:pPr>
    </w:p>
    <w:p w14:paraId="275E6096" w14:textId="35836785" w:rsidR="00203FAB" w:rsidRPr="00550F15" w:rsidRDefault="00203FAB" w:rsidP="002D14C0">
      <w:pPr>
        <w:rPr>
          <w:rFonts w:ascii="Roboto" w:hAnsi="Roboto"/>
        </w:rPr>
      </w:pPr>
    </w:p>
    <w:p w14:paraId="6AAC1F59" w14:textId="5FCE054A" w:rsidR="00203FAB" w:rsidRPr="00550F15" w:rsidRDefault="00203FAB" w:rsidP="002D14C0">
      <w:pPr>
        <w:rPr>
          <w:rFonts w:ascii="Roboto" w:hAnsi="Roboto"/>
        </w:rPr>
      </w:pPr>
    </w:p>
    <w:p w14:paraId="683B96C3" w14:textId="2E20258D" w:rsidR="00203FAB" w:rsidRPr="00550F15" w:rsidRDefault="00203FAB" w:rsidP="002D14C0">
      <w:pPr>
        <w:rPr>
          <w:rFonts w:ascii="Roboto" w:hAnsi="Roboto"/>
        </w:rPr>
      </w:pPr>
    </w:p>
    <w:p w14:paraId="5113933A" w14:textId="46BAD606" w:rsidR="00203FAB" w:rsidRPr="00550F15" w:rsidRDefault="00203FAB" w:rsidP="002D14C0">
      <w:pPr>
        <w:rPr>
          <w:rFonts w:ascii="Roboto" w:hAnsi="Roboto"/>
        </w:rPr>
      </w:pPr>
    </w:p>
    <w:p w14:paraId="7703F07C" w14:textId="709AE37F" w:rsidR="00203FAB" w:rsidRPr="00550F15" w:rsidRDefault="00203FAB" w:rsidP="002D14C0">
      <w:pPr>
        <w:rPr>
          <w:rFonts w:ascii="Roboto" w:hAnsi="Roboto"/>
        </w:rPr>
      </w:pPr>
    </w:p>
    <w:p w14:paraId="6D2DABC5" w14:textId="22DFA3AC" w:rsidR="00203FAB" w:rsidRPr="00550F15" w:rsidRDefault="00203FAB" w:rsidP="002D14C0">
      <w:pPr>
        <w:rPr>
          <w:rFonts w:ascii="Roboto" w:hAnsi="Roboto"/>
        </w:rPr>
      </w:pPr>
    </w:p>
    <w:p w14:paraId="0C23A5F9" w14:textId="77777777" w:rsidR="00203FAB" w:rsidRPr="00550F15" w:rsidRDefault="00203FAB" w:rsidP="002D14C0">
      <w:pPr>
        <w:rPr>
          <w:rFonts w:ascii="Roboto" w:hAnsi="Roboto"/>
        </w:rPr>
      </w:pPr>
    </w:p>
    <w:p w14:paraId="4EA2E93E" w14:textId="027BA5A5" w:rsidR="00203FAB" w:rsidRPr="00550F15" w:rsidRDefault="00203FAB" w:rsidP="002D14C0">
      <w:pPr>
        <w:rPr>
          <w:rFonts w:ascii="Roboto" w:hAnsi="Roboto"/>
        </w:rPr>
      </w:pPr>
    </w:p>
    <w:p w14:paraId="5ADADAAB" w14:textId="0E0C10E0" w:rsidR="00203FAB" w:rsidRPr="00550F15" w:rsidRDefault="00203FAB" w:rsidP="002D14C0">
      <w:pPr>
        <w:rPr>
          <w:rFonts w:ascii="Roboto" w:hAnsi="Roboto"/>
        </w:rPr>
      </w:pPr>
    </w:p>
    <w:p w14:paraId="1903C896" w14:textId="39C454C2" w:rsidR="00203FAB" w:rsidRPr="00550F15" w:rsidRDefault="00203FAB" w:rsidP="002D14C0">
      <w:pPr>
        <w:rPr>
          <w:rFonts w:ascii="Roboto" w:hAnsi="Roboto"/>
        </w:rPr>
      </w:pPr>
    </w:p>
    <w:p w14:paraId="4132DCA3" w14:textId="167F3CC8" w:rsidR="00203FAB" w:rsidRPr="00550F15" w:rsidRDefault="00203FAB" w:rsidP="002D14C0">
      <w:pPr>
        <w:rPr>
          <w:rFonts w:ascii="Roboto" w:hAnsi="Roboto"/>
        </w:rPr>
      </w:pPr>
    </w:p>
    <w:p w14:paraId="57473141" w14:textId="2A4B7489" w:rsidR="00203FAB" w:rsidRPr="00550F15"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93790" behindDoc="0" locked="0" layoutInCell="1" allowOverlap="1" wp14:anchorId="36DC0D1C" wp14:editId="45463115">
                <wp:simplePos x="0" y="0"/>
                <wp:positionH relativeFrom="column">
                  <wp:posOffset>-3610928</wp:posOffset>
                </wp:positionH>
                <wp:positionV relativeFrom="paragraph">
                  <wp:posOffset>468821</wp:posOffset>
                </wp:positionV>
                <wp:extent cx="5976620" cy="252095"/>
                <wp:effectExtent l="0" t="0" r="0" b="0"/>
                <wp:wrapNone/>
                <wp:docPr id="285" name="Text Box 285"/>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2B1EE7E5" w14:textId="74B3229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DC0D1C" id="Text Box 285" o:spid="_x0000_s1202" type="#_x0000_t202" style="position:absolute;margin-left:-284.35pt;margin-top:36.9pt;width:470.6pt;height:19.85pt;rotation:90;z-index:2553937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" filled="f" stroked="f" strokeweight=".5pt">
                <v:textbox>
                  <w:txbxContent>
                    <w:p w14:paraId="2B1EE7E5" w14:textId="74B32292"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48</w:t>
                      </w:r>
                    </w:p>
                  </w:txbxContent>
                </v:textbox>
              </v:shape>
            </w:pict>
          </mc:Fallback>
        </mc:AlternateContent>
      </w:r>
    </w:p>
    <w:p w14:paraId="613974DC" w14:textId="494CA920" w:rsidR="00203FAB" w:rsidRPr="00550F15" w:rsidRDefault="00203FAB" w:rsidP="002D14C0">
      <w:pPr>
        <w:rPr>
          <w:rFonts w:ascii="Roboto" w:hAnsi="Roboto"/>
        </w:rPr>
      </w:pPr>
    </w:p>
    <w:p w14:paraId="74450B7D" w14:textId="32844C4C" w:rsidR="00203FAB" w:rsidRPr="00550F15"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92766" behindDoc="0" locked="0" layoutInCell="1" allowOverlap="1" wp14:anchorId="46774386" wp14:editId="00038109">
                <wp:simplePos x="0" y="0"/>
                <wp:positionH relativeFrom="column">
                  <wp:posOffset>6517640</wp:posOffset>
                </wp:positionH>
                <wp:positionV relativeFrom="paragraph">
                  <wp:posOffset>128270</wp:posOffset>
                </wp:positionV>
                <wp:extent cx="5976620" cy="252095"/>
                <wp:effectExtent l="4762" t="0" r="0" b="0"/>
                <wp:wrapNone/>
                <wp:docPr id="283" name="Text Box 283"/>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73EC04CF" w14:textId="6EC197DA"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46419723"/>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081725C"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774386" id="Text Box 283" o:spid="_x0000_s1203" type="#_x0000_t202" style="position:absolute;margin-left:513.2pt;margin-top:10.1pt;width:470.6pt;height:19.85pt;rotation:90;z-index:2553927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" fillcolor="white [3201]" stroked="f" strokeweight=".5pt">
                <v:textbox>
                  <w:txbxContent>
                    <w:p w14:paraId="73EC04CF" w14:textId="6EC197DA"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46419723"/>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4081725C" w14:textId="77777777" w:rsidR="00D15FD8" w:rsidRDefault="00D15FD8" w:rsidP="003D7CCB"/>
                  </w:txbxContent>
                </v:textbox>
              </v:shape>
            </w:pict>
          </mc:Fallback>
        </mc:AlternateContent>
      </w:r>
    </w:p>
    <w:p w14:paraId="17D6A603" w14:textId="77777777" w:rsidR="00203FAB" w:rsidRPr="00550F15" w:rsidRDefault="00203FAB" w:rsidP="002D14C0">
      <w:pPr>
        <w:rPr>
          <w:rFonts w:ascii="Roboto" w:hAnsi="Roboto"/>
        </w:rPr>
      </w:pPr>
    </w:p>
    <w:p w14:paraId="20AB6E46" w14:textId="77777777" w:rsidR="00203FAB" w:rsidRPr="00550F15" w:rsidRDefault="00203FAB" w:rsidP="002D14C0">
      <w:pPr>
        <w:rPr>
          <w:rFonts w:ascii="Roboto" w:hAnsi="Roboto"/>
        </w:rPr>
      </w:pPr>
    </w:p>
    <w:p w14:paraId="6BB23B35" w14:textId="1EC26593" w:rsidR="00203FAB" w:rsidRDefault="00203FAB" w:rsidP="002D14C0">
      <w:pPr>
        <w:rPr>
          <w:rFonts w:ascii="Roboto" w:hAnsi="Roboto"/>
        </w:rPr>
      </w:pPr>
    </w:p>
    <w:p w14:paraId="22BF7027" w14:textId="5B37E1CD" w:rsidR="00E74316" w:rsidRDefault="00E74316" w:rsidP="002D14C0">
      <w:pPr>
        <w:rPr>
          <w:rFonts w:ascii="Roboto" w:hAnsi="Roboto"/>
        </w:rPr>
      </w:pPr>
    </w:p>
    <w:p w14:paraId="3D53680F" w14:textId="43CBD1C7" w:rsidR="00E74316" w:rsidRDefault="00E74316" w:rsidP="002D14C0">
      <w:pPr>
        <w:rPr>
          <w:rFonts w:ascii="Roboto" w:hAnsi="Roboto"/>
        </w:rPr>
      </w:pPr>
    </w:p>
    <w:p w14:paraId="7D3BA052" w14:textId="31D710D0" w:rsidR="00E74316" w:rsidRDefault="00E74316" w:rsidP="002D14C0">
      <w:pPr>
        <w:rPr>
          <w:rFonts w:ascii="Roboto" w:hAnsi="Roboto"/>
        </w:rPr>
      </w:pPr>
    </w:p>
    <w:p w14:paraId="22ACBDF3" w14:textId="77777777" w:rsidR="00E74316" w:rsidRPr="00550F15" w:rsidRDefault="00E74316" w:rsidP="002D14C0">
      <w:pPr>
        <w:rPr>
          <w:rFonts w:ascii="Roboto" w:hAnsi="Roboto"/>
        </w:rPr>
      </w:pPr>
    </w:p>
    <w:p w14:paraId="2F9660E8" w14:textId="390FCFFD" w:rsidR="00203FAB" w:rsidRPr="00550F15" w:rsidRDefault="00203FAB" w:rsidP="002D14C0">
      <w:pPr>
        <w:rPr>
          <w:rFonts w:ascii="Roboto" w:hAnsi="Roboto"/>
        </w:rPr>
      </w:pPr>
    </w:p>
    <w:p w14:paraId="3710797A" w14:textId="77777777" w:rsidR="00203FAB" w:rsidRPr="00550F15" w:rsidRDefault="00203FAB" w:rsidP="002D14C0">
      <w:pPr>
        <w:rPr>
          <w:rFonts w:ascii="Roboto" w:hAnsi="Roboto"/>
        </w:rPr>
      </w:pPr>
    </w:p>
    <w:p w14:paraId="2D1B9675" w14:textId="77777777" w:rsidR="00203FAB" w:rsidRDefault="00203FAB" w:rsidP="00B84F0E">
      <w:pPr>
        <w:spacing w:after="160" w:line="259" w:lineRule="auto"/>
        <w:rPr>
          <w:rFonts w:ascii="Roboto" w:hAnsi="Roboto"/>
        </w:rPr>
      </w:pPr>
    </w:p>
    <w:p w14:paraId="266AA891" w14:textId="64C238EA" w:rsidR="005668D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509502" behindDoc="0" locked="0" layoutInCell="1" allowOverlap="1" wp14:anchorId="702B038F" wp14:editId="3CFF5DE9">
                <wp:simplePos x="0" y="0"/>
                <wp:positionH relativeFrom="column">
                  <wp:posOffset>5338318</wp:posOffset>
                </wp:positionH>
                <wp:positionV relativeFrom="paragraph">
                  <wp:posOffset>1438529</wp:posOffset>
                </wp:positionV>
                <wp:extent cx="3878317" cy="268014"/>
                <wp:effectExtent l="0" t="0" r="0" b="0"/>
                <wp:wrapNone/>
                <wp:docPr id="419" name="Rectangle 419"/>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234B5351" id="Rectangle 419" o:spid="_x0000_s1026" style="position:absolute;margin-left:420.35pt;margin-top:113.25pt;width:305.4pt;height:21.1pt;z-index:2555095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" fillcolor="white [3212]" stroked="f" strokeweight="1pt"/>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66078" behindDoc="1" locked="0" layoutInCell="1" allowOverlap="1" wp14:anchorId="6AE3950F" wp14:editId="5EB331E6">
                <wp:simplePos x="0" y="0"/>
                <wp:positionH relativeFrom="margin">
                  <wp:align>center</wp:align>
                </wp:positionH>
                <wp:positionV relativeFrom="margin">
                  <wp:align>center</wp:align>
                </wp:positionV>
                <wp:extent cx="9856189" cy="5972400"/>
                <wp:effectExtent l="12700" t="12700" r="12065" b="9525"/>
                <wp:wrapNone/>
                <wp:docPr id="2618" name="Rectangle 2618"/>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2119E3"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3950F" id="Rectangle 2618" o:spid="_x0000_s1204" style="position:absolute;margin-left:0;margin-top:0;width:776.1pt;height:470.25pt;z-index:-24855040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" fillcolor="#f2f2f2 [3052]" strokecolor="#16988a" strokeweight="1.5pt">
                <v:textbox>
                  <w:txbxContent>
                    <w:p w14:paraId="202119E3" w14:textId="77777777" w:rsidR="00D15FD8" w:rsidRPr="003625BA" w:rsidRDefault="00D15FD8" w:rsidP="003625BA">
                      <w:pPr>
                        <w:jc w:val="center"/>
                        <w:rPr>
                          <w:lang w:val="en-US"/>
                        </w:rPr>
                      </w:pPr>
                    </w:p>
                  </w:txbxContent>
                </v:textbox>
                <w10:wrap anchorx="margin" anchory="margin"/>
              </v:rect>
            </w:pict>
          </mc:Fallback>
        </mc:AlternateContent>
      </w:r>
      <w:r w:rsidR="005668DD">
        <w:rPr>
          <w:rFonts w:ascii="Roboto" w:hAnsi="Roboto"/>
        </w:rPr>
        <w:br w:type="page"/>
      </w:r>
    </w:p>
    <w:p w14:paraId="1667CC57" w14:textId="2E42E2C5" w:rsidR="00203FAB"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511550" behindDoc="0" locked="0" layoutInCell="1" allowOverlap="1" wp14:anchorId="60582E4E" wp14:editId="3D2246B8">
                <wp:simplePos x="0" y="0"/>
                <wp:positionH relativeFrom="column">
                  <wp:posOffset>-283976</wp:posOffset>
                </wp:positionH>
                <wp:positionV relativeFrom="paragraph">
                  <wp:posOffset>-489256</wp:posOffset>
                </wp:positionV>
                <wp:extent cx="3878317" cy="268014"/>
                <wp:effectExtent l="0" t="0" r="0" b="0"/>
                <wp:wrapNone/>
                <wp:docPr id="420" name="Rectangle 420"/>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1E6DF30A" id="Rectangle 420" o:spid="_x0000_s1026" style="position:absolute;margin-left:-22.35pt;margin-top:-38.5pt;width:305.4pt;height:21.1pt;z-index:2555115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" fillcolor="white [3212]" stroked="f" strokeweight="1pt"/>
            </w:pict>
          </mc:Fallback>
        </mc:AlternateContent>
      </w:r>
      <w:r w:rsidR="00783364">
        <w:rPr>
          <w:rFonts w:ascii="Roboto" w:hAnsi="Roboto"/>
          <w:noProof/>
          <w:lang w:val="en-US"/>
        </w:rPr>
        <w:drawing>
          <wp:anchor distT="0" distB="0" distL="114300" distR="114300" simplePos="0" relativeHeight="254769150" behindDoc="1" locked="0" layoutInCell="1" allowOverlap="1" wp14:anchorId="44BC5521" wp14:editId="05449333">
            <wp:simplePos x="0" y="0"/>
            <wp:positionH relativeFrom="column">
              <wp:posOffset>-76200</wp:posOffset>
            </wp:positionH>
            <wp:positionV relativeFrom="paragraph">
              <wp:posOffset>127000</wp:posOffset>
            </wp:positionV>
            <wp:extent cx="3062161" cy="612000"/>
            <wp:effectExtent l="0" t="0" r="0" b="0"/>
            <wp:wrapTight wrapText="bothSides">
              <wp:wrapPolygon edited="0">
                <wp:start x="1613" y="1346"/>
                <wp:lineTo x="1075" y="3589"/>
                <wp:lineTo x="358" y="7626"/>
                <wp:lineTo x="358" y="11215"/>
                <wp:lineTo x="717" y="16598"/>
                <wp:lineTo x="1523" y="18841"/>
                <wp:lineTo x="1702" y="19738"/>
                <wp:lineTo x="20516" y="19738"/>
                <wp:lineTo x="20606" y="18841"/>
                <wp:lineTo x="21054" y="16598"/>
                <wp:lineTo x="21322" y="3140"/>
                <wp:lineTo x="19710" y="2692"/>
                <wp:lineTo x="2688" y="1346"/>
                <wp:lineTo x="1613" y="1346"/>
              </wp:wrapPolygon>
            </wp:wrapTight>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10_Icon_titles_quarterof1920-01.png"/>
                    <pic:cNvPicPr/>
                  </pic:nvPicPr>
                  <pic:blipFill>
                    <a:blip r:embed="rId352" cstate="email">
                      <a:extLst>
                        <a:ext uri="{28A0092B-C50C-407E-A947-70E740481C1C}">
                          <a14:useLocalDpi xmlns:a14="http://schemas.microsoft.com/office/drawing/2010/main"/>
                        </a:ext>
                      </a:extLst>
                    </a:blip>
                    <a:stretch>
                      <a:fillRect/>
                    </a:stretch>
                  </pic:blipFill>
                  <pic:spPr>
                    <a:xfrm>
                      <a:off x="0" y="0"/>
                      <a:ext cx="3062161" cy="612000"/>
                    </a:xfrm>
                    <a:prstGeom prst="rect">
                      <a:avLst/>
                    </a:prstGeom>
                  </pic:spPr>
                </pic:pic>
              </a:graphicData>
            </a:graphic>
            <wp14:sizeRelH relativeFrom="page">
              <wp14:pctWidth>0</wp14:pctWidth>
            </wp14:sizeRelH>
            <wp14:sizeRelV relativeFrom="page">
              <wp14:pctHeight>0</wp14:pctHeight>
            </wp14:sizeRelV>
          </wp:anchor>
        </w:drawing>
      </w:r>
      <w:r w:rsidR="00783364">
        <w:rPr>
          <w:rFonts w:ascii="Arial" w:hAnsi="Arial" w:cs="Arial"/>
          <w:noProof/>
          <w:sz w:val="24"/>
          <w:szCs w:val="24"/>
          <w:lang w:val="en-US"/>
        </w:rPr>
        <mc:AlternateContent>
          <mc:Choice Requires="wps">
            <w:drawing>
              <wp:anchor distT="0" distB="0" distL="114300" distR="114300" simplePos="0" relativeHeight="254768126" behindDoc="1" locked="0" layoutInCell="1" allowOverlap="1" wp14:anchorId="14DAC069" wp14:editId="15C19367">
                <wp:simplePos x="0" y="0"/>
                <wp:positionH relativeFrom="margin">
                  <wp:align>center</wp:align>
                </wp:positionH>
                <wp:positionV relativeFrom="margin">
                  <wp:align>center</wp:align>
                </wp:positionV>
                <wp:extent cx="9856189" cy="5972400"/>
                <wp:effectExtent l="12700" t="12700" r="12065" b="9525"/>
                <wp:wrapNone/>
                <wp:docPr id="2621" name="Rectangle 2621"/>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C89E33"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AC069" id="Rectangle 2621" o:spid="_x0000_s1205" style="position:absolute;margin-left:0;margin-top:0;width:776.1pt;height:470.25pt;z-index:-24854835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" fillcolor="#f2f2f2 [3052]" strokecolor="#16988a" strokeweight="1.5pt">
                <v:textbox>
                  <w:txbxContent>
                    <w:p w14:paraId="6AC89E33" w14:textId="77777777" w:rsidR="00D15FD8" w:rsidRPr="003625BA" w:rsidRDefault="00D15FD8" w:rsidP="003625BA">
                      <w:pPr>
                        <w:jc w:val="center"/>
                        <w:rPr>
                          <w:lang w:val="en-US"/>
                        </w:rPr>
                      </w:pPr>
                    </w:p>
                  </w:txbxContent>
                </v:textbox>
                <w10:wrap anchorx="margin" anchory="margin"/>
              </v:rect>
            </w:pict>
          </mc:Fallback>
        </mc:AlternateContent>
      </w:r>
    </w:p>
    <w:p w14:paraId="2716E42C" w14:textId="155DD983" w:rsidR="00203FAB" w:rsidRDefault="00203FAB" w:rsidP="002D14C0">
      <w:pPr>
        <w:rPr>
          <w:rFonts w:ascii="Roboto" w:hAnsi="Roboto"/>
        </w:rPr>
      </w:pPr>
    </w:p>
    <w:p w14:paraId="343C3929" w14:textId="0D18A6B7" w:rsidR="00203FAB" w:rsidRPr="00550F15" w:rsidRDefault="00203FAB" w:rsidP="002D14C0">
      <w:pPr>
        <w:rPr>
          <w:rFonts w:ascii="Roboto" w:hAnsi="Roboto"/>
        </w:rPr>
      </w:pPr>
    </w:p>
    <w:p w14:paraId="0569B72F" w14:textId="3BE8E727" w:rsidR="00203FAB" w:rsidRPr="00550F15" w:rsidRDefault="00203FAB" w:rsidP="002D14C0">
      <w:pPr>
        <w:rPr>
          <w:rFonts w:ascii="Roboto" w:hAnsi="Roboto"/>
        </w:rPr>
      </w:pPr>
    </w:p>
    <w:p w14:paraId="43A53F05" w14:textId="4C6E415E" w:rsidR="00203FAB" w:rsidRDefault="00F97CAF" w:rsidP="002D14C0">
      <w:pPr>
        <w:rPr>
          <w:rFonts w:ascii="Roboto" w:hAnsi="Roboto"/>
        </w:rPr>
      </w:pPr>
      <w:r w:rsidRPr="00550F15">
        <w:rPr>
          <w:rFonts w:ascii="Roboto" w:hAnsi="Roboto"/>
          <w:noProof/>
          <w:lang w:val="en-US"/>
        </w:rPr>
        <mc:AlternateContent>
          <mc:Choice Requires="wps">
            <w:drawing>
              <wp:anchor distT="0" distB="0" distL="114300" distR="114300" simplePos="0" relativeHeight="253701118" behindDoc="0" locked="0" layoutInCell="1" allowOverlap="1" wp14:anchorId="4BC91DDD" wp14:editId="0DCCC5F9">
                <wp:simplePos x="0" y="0"/>
                <wp:positionH relativeFrom="margin">
                  <wp:posOffset>12700</wp:posOffset>
                </wp:positionH>
                <wp:positionV relativeFrom="paragraph">
                  <wp:posOffset>125603</wp:posOffset>
                </wp:positionV>
                <wp:extent cx="8847455" cy="544830"/>
                <wp:effectExtent l="0" t="0" r="0" b="0"/>
                <wp:wrapNone/>
                <wp:docPr id="1959" name="Text Box 1959"/>
                <wp:cNvGraphicFramePr/>
                <a:graphic xmlns:a="http://schemas.openxmlformats.org/drawingml/2006/main">
                  <a:graphicData uri="http://schemas.microsoft.com/office/word/2010/wordprocessingShape">
                    <wps:wsp>
                      <wps:cNvSpPr txBox="1"/>
                      <wps:spPr>
                        <a:xfrm>
                          <a:off x="0" y="0"/>
                          <a:ext cx="8847455" cy="54483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65E0EDBA" w14:textId="77777777" w:rsidR="00D15FD8" w:rsidRPr="007867F2" w:rsidRDefault="00D15FD8" w:rsidP="002D14C0">
                            <w:pPr>
                              <w:spacing w:line="360" w:lineRule="auto"/>
                              <w:rPr>
                                <w:sz w:val="20"/>
                                <w:szCs w:val="20"/>
                              </w:rPr>
                            </w:pPr>
                            <w:r w:rsidRPr="00550F15">
                              <w:rPr>
                                <w:rFonts w:ascii="Roboto" w:hAnsi="Roboto"/>
                                <w:b/>
                                <w:color w:val="F26C21"/>
                                <w:sz w:val="20"/>
                                <w:szCs w:val="20"/>
                              </w:rPr>
                              <w:t>Citizens should have the right and they, and all non-state actors, should have effective opportunities to participate directly in public debate and discussion over the design and implementation of fiscal policies.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C91DDD" id="Text Box 1959" o:spid="_x0000_s1206" type="#_x0000_t202" style="position:absolute;margin-left:1pt;margin-top:9.9pt;width:696.65pt;height:42.9pt;z-index:25370111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" filled="f" stroked="f" strokeweight="1pt">
                <v:textbox>
                  <w:txbxContent>
                    <w:p w14:paraId="65E0EDBA" w14:textId="77777777" w:rsidR="00D15FD8" w:rsidRPr="007867F2" w:rsidRDefault="00D15FD8" w:rsidP="002D14C0">
                      <w:pPr>
                        <w:spacing w:line="360" w:lineRule="auto"/>
                        <w:rPr>
                          <w:sz w:val="20"/>
                          <w:szCs w:val="20"/>
                        </w:rPr>
                      </w:pPr>
                      <w:r w:rsidRPr="00550F15">
                        <w:rPr>
                          <w:rFonts w:ascii="Roboto" w:hAnsi="Roboto"/>
                          <w:b/>
                          <w:color w:val="F26C21"/>
                          <w:sz w:val="20"/>
                          <w:szCs w:val="20"/>
                        </w:rPr>
                        <w:t>Citizens should have the right and they, and all non-state actors, should have effective opportunities to participate directly in public debate and discussion over the design and implementation of fiscal policies.</w:t>
                      </w:r>
                    </w:p>
                  </w:txbxContent>
                </v:textbox>
                <w10:wrap anchorx="margin"/>
              </v:shape>
            </w:pict>
          </mc:Fallback>
        </mc:AlternateContent>
      </w:r>
      <w:r w:rsidRPr="00550F15">
        <w:rPr>
          <w:rFonts w:ascii="Roboto" w:hAnsi="Roboto"/>
          <w:noProof/>
          <w:lang w:val="en-US"/>
        </w:rPr>
        <mc:AlternateContent>
          <mc:Choice Requires="wps">
            <w:drawing>
              <wp:anchor distT="0" distB="0" distL="114300" distR="114300" simplePos="0" relativeHeight="253700605" behindDoc="0" locked="0" layoutInCell="1" allowOverlap="1" wp14:anchorId="7FD8900A" wp14:editId="16016A00">
                <wp:simplePos x="0" y="0"/>
                <wp:positionH relativeFrom="margin">
                  <wp:posOffset>-635</wp:posOffset>
                </wp:positionH>
                <wp:positionV relativeFrom="paragraph">
                  <wp:posOffset>57277</wp:posOffset>
                </wp:positionV>
                <wp:extent cx="8847455" cy="570230"/>
                <wp:effectExtent l="0" t="0" r="17145" b="13970"/>
                <wp:wrapNone/>
                <wp:docPr id="1958" name="Rounded Rectangle 1958"/>
                <wp:cNvGraphicFramePr/>
                <a:graphic xmlns:a="http://schemas.openxmlformats.org/drawingml/2006/main">
                  <a:graphicData uri="http://schemas.microsoft.com/office/word/2010/wordprocessingShape">
                    <wps:wsp>
                      <wps:cNvSpPr/>
                      <wps:spPr>
                        <a:xfrm>
                          <a:off x="0" y="0"/>
                          <a:ext cx="8847455" cy="570230"/>
                        </a:xfrm>
                        <a:prstGeom prst="roundRect">
                          <a:avLst/>
                        </a:prstGeom>
                        <a:noFill/>
                        <a:ln>
                          <a:solidFill>
                            <a:srgbClr val="F26C2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4651FBC" id="Rounded Rectangle 1958" o:spid="_x0000_s1026" style="position:absolute;margin-left:-.05pt;margin-top:4.5pt;width:696.65pt;height:44.9pt;z-index:2537006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" filled="f" strokecolor="#f26c21" strokeweight="1pt">
                <v:stroke joinstyle="miter"/>
                <w10:wrap anchorx="margin"/>
              </v:roundrect>
            </w:pict>
          </mc:Fallback>
        </mc:AlternateContent>
      </w:r>
    </w:p>
    <w:p w14:paraId="356F7E74" w14:textId="6BD0AB62" w:rsidR="00203FAB" w:rsidRDefault="00203FAB" w:rsidP="002D14C0">
      <w:pPr>
        <w:rPr>
          <w:rFonts w:ascii="Roboto" w:hAnsi="Roboto"/>
        </w:rPr>
      </w:pPr>
    </w:p>
    <w:p w14:paraId="1153079A" w14:textId="00E2635A" w:rsidR="00203FAB" w:rsidRPr="00CB1BF7" w:rsidRDefault="00203FAB" w:rsidP="002D14C0">
      <w:pPr>
        <w:rPr>
          <w:rFonts w:ascii="Roboto" w:hAnsi="Roboto"/>
        </w:rPr>
      </w:pPr>
    </w:p>
    <w:p w14:paraId="39576228" w14:textId="45A8364C" w:rsidR="00203FAB" w:rsidRPr="00CB1BF7" w:rsidRDefault="00783364" w:rsidP="002D14C0">
      <w:pPr>
        <w:rPr>
          <w:rFonts w:ascii="Roboto" w:hAnsi="Roboto"/>
        </w:rPr>
      </w:pPr>
      <w:r w:rsidRPr="00DC2D55">
        <w:rPr>
          <w:rFonts w:ascii="Roboto" w:hAnsi="Roboto"/>
          <w:noProof/>
          <w:lang w:val="en-US"/>
        </w:rPr>
        <w:drawing>
          <wp:anchor distT="0" distB="0" distL="114300" distR="114300" simplePos="0" relativeHeight="253703166" behindDoc="1" locked="0" layoutInCell="1" allowOverlap="1" wp14:anchorId="6AF1254A" wp14:editId="1031A076">
            <wp:simplePos x="0" y="0"/>
            <wp:positionH relativeFrom="margin">
              <wp:posOffset>-70485</wp:posOffset>
            </wp:positionH>
            <wp:positionV relativeFrom="paragraph">
              <wp:posOffset>132715</wp:posOffset>
            </wp:positionV>
            <wp:extent cx="9003665" cy="291465"/>
            <wp:effectExtent l="0" t="0" r="0" b="0"/>
            <wp:wrapTight wrapText="bothSides">
              <wp:wrapPolygon edited="0">
                <wp:start x="183" y="7529"/>
                <wp:lineTo x="183" y="13176"/>
                <wp:lineTo x="21358" y="13176"/>
                <wp:lineTo x="21358" y="7529"/>
                <wp:lineTo x="183" y="7529"/>
              </wp:wrapPolygon>
            </wp:wrapTight>
            <wp:docPr id="2015" name="Pictu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_BORDER-01.png"/>
                    <pic:cNvPicPr/>
                  </pic:nvPicPr>
                  <pic:blipFill>
                    <a:blip r:embed="rId104" cstate="email">
                      <a:extLst>
                        <a:ext uri="{28A0092B-C50C-407E-A947-70E740481C1C}">
                          <a14:useLocalDpi xmlns:a14="http://schemas.microsoft.com/office/drawing/2010/main"/>
                        </a:ext>
                      </a:extLst>
                    </a:blip>
                    <a:stretch>
                      <a:fillRect/>
                    </a:stretch>
                  </pic:blipFill>
                  <pic:spPr>
                    <a:xfrm>
                      <a:off x="0" y="0"/>
                      <a:ext cx="9003665" cy="291465"/>
                    </a:xfrm>
                    <a:prstGeom prst="rect">
                      <a:avLst/>
                    </a:prstGeom>
                  </pic:spPr>
                </pic:pic>
              </a:graphicData>
            </a:graphic>
            <wp14:sizeRelH relativeFrom="page">
              <wp14:pctWidth>0</wp14:pctWidth>
            </wp14:sizeRelH>
            <wp14:sizeRelV relativeFrom="page">
              <wp14:pctHeight>0</wp14:pctHeight>
            </wp14:sizeRelV>
          </wp:anchor>
        </w:drawing>
      </w:r>
    </w:p>
    <w:p w14:paraId="685D6FBF" w14:textId="7D15369B" w:rsidR="00203FAB" w:rsidRPr="00CB1BF7" w:rsidRDefault="00336006" w:rsidP="002D14C0">
      <w:pPr>
        <w:rPr>
          <w:rFonts w:ascii="Roboto" w:hAnsi="Roboto"/>
        </w:rPr>
      </w:pPr>
      <w:r w:rsidRPr="00550F15">
        <w:rPr>
          <w:rFonts w:ascii="Roboto" w:hAnsi="Roboto"/>
          <w:noProof/>
          <w:lang w:val="en-US"/>
        </w:rPr>
        <mc:AlternateContent>
          <mc:Choice Requires="wps">
            <w:drawing>
              <wp:anchor distT="0" distB="0" distL="114300" distR="114300" simplePos="0" relativeHeight="253705214" behindDoc="0" locked="0" layoutInCell="1" allowOverlap="1" wp14:anchorId="3270E9F8" wp14:editId="7E1AC5F9">
                <wp:simplePos x="0" y="0"/>
                <wp:positionH relativeFrom="column">
                  <wp:posOffset>-114300</wp:posOffset>
                </wp:positionH>
                <wp:positionV relativeFrom="paragraph">
                  <wp:posOffset>405765</wp:posOffset>
                </wp:positionV>
                <wp:extent cx="9057600" cy="3646170"/>
                <wp:effectExtent l="12700" t="12700" r="10795" b="11430"/>
                <wp:wrapNone/>
                <wp:docPr id="1962" name="Rounded Rectangle 1962"/>
                <wp:cNvGraphicFramePr/>
                <a:graphic xmlns:a="http://schemas.openxmlformats.org/drawingml/2006/main">
                  <a:graphicData uri="http://schemas.microsoft.com/office/word/2010/wordprocessingShape">
                    <wps:wsp>
                      <wps:cNvSpPr/>
                      <wps:spPr>
                        <a:xfrm>
                          <a:off x="0" y="0"/>
                          <a:ext cx="9057600" cy="3646170"/>
                        </a:xfrm>
                        <a:prstGeom prst="roundRect">
                          <a:avLst>
                            <a:gd name="adj" fmla="val 3431"/>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0B2F0" w14:textId="77777777" w:rsidR="00D15FD8" w:rsidRDefault="00D15FD8" w:rsidP="002D14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0E9F8" id="Rounded Rectangle 1962" o:spid="_x0000_s1207" style="position:absolute;margin-left:-9pt;margin-top:31.95pt;width:713.2pt;height:287.1pt;z-index:253705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" filled="f" strokecolor="white [3212]" strokeweight="1.5pt">
                <v:stroke joinstyle="miter"/>
                <v:textbox>
                  <w:txbxContent>
                    <w:p w14:paraId="5A40B2F0" w14:textId="77777777" w:rsidR="00D15FD8" w:rsidRDefault="00D15FD8" w:rsidP="002D14C0"/>
                  </w:txbxContent>
                </v:textbox>
              </v:roundrect>
            </w:pict>
          </mc:Fallback>
        </mc:AlternateContent>
      </w:r>
      <w:r w:rsidRPr="00550F15">
        <w:rPr>
          <w:rFonts w:ascii="Roboto" w:hAnsi="Roboto"/>
          <w:noProof/>
          <w:lang w:val="en-US"/>
        </w:rPr>
        <mc:AlternateContent>
          <mc:Choice Requires="wps">
            <w:drawing>
              <wp:anchor distT="0" distB="0" distL="114300" distR="114300" simplePos="0" relativeHeight="253704190" behindDoc="0" locked="0" layoutInCell="1" allowOverlap="1" wp14:anchorId="1BD3FFF0" wp14:editId="62DA1047">
                <wp:simplePos x="0" y="0"/>
                <wp:positionH relativeFrom="margin">
                  <wp:posOffset>-279400</wp:posOffset>
                </wp:positionH>
                <wp:positionV relativeFrom="paragraph">
                  <wp:posOffset>266065</wp:posOffset>
                </wp:positionV>
                <wp:extent cx="9385300" cy="3928745"/>
                <wp:effectExtent l="0" t="0" r="0" b="0"/>
                <wp:wrapNone/>
                <wp:docPr id="1960" name="Rounded Rectangle 1960"/>
                <wp:cNvGraphicFramePr/>
                <a:graphic xmlns:a="http://schemas.openxmlformats.org/drawingml/2006/main">
                  <a:graphicData uri="http://schemas.microsoft.com/office/word/2010/wordprocessingShape">
                    <wps:wsp>
                      <wps:cNvSpPr/>
                      <wps:spPr>
                        <a:xfrm>
                          <a:off x="0" y="0"/>
                          <a:ext cx="9385300" cy="3928745"/>
                        </a:xfrm>
                        <a:prstGeom prst="roundRect">
                          <a:avLst>
                            <a:gd name="adj" fmla="val 4383"/>
                          </a:avLst>
                        </a:prstGeom>
                        <a:solidFill>
                          <a:srgbClr val="1E9A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748F56" w14:textId="77777777" w:rsidR="00D15FD8" w:rsidRDefault="00D15FD8" w:rsidP="002D14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3FFF0" id="Rounded Rectangle 1960" o:spid="_x0000_s1208" style="position:absolute;margin-left:-22pt;margin-top:20.95pt;width:739pt;height:309.35pt;z-index:2537041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8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" fillcolor="#1e9a8c" stroked="f" strokeweight="1pt">
                <v:stroke joinstyle="miter"/>
                <v:textbox>
                  <w:txbxContent>
                    <w:p w14:paraId="67748F56" w14:textId="77777777" w:rsidR="00D15FD8" w:rsidRDefault="00D15FD8" w:rsidP="002D14C0">
                      <w:pPr>
                        <w:jc w:val="center"/>
                      </w:pPr>
                    </w:p>
                  </w:txbxContent>
                </v:textbox>
                <w10:wrap anchorx="margin"/>
              </v:roundrect>
            </w:pict>
          </mc:Fallback>
        </mc:AlternateContent>
      </w:r>
      <w:r w:rsidR="00783364" w:rsidRPr="00550F15">
        <w:rPr>
          <w:rFonts w:ascii="Roboto" w:hAnsi="Roboto"/>
          <w:noProof/>
          <w:lang w:val="en-US"/>
        </w:rPr>
        <mc:AlternateContent>
          <mc:Choice Requires="wps">
            <w:drawing>
              <wp:anchor distT="0" distB="0" distL="114300" distR="114300" simplePos="0" relativeHeight="253707262" behindDoc="0" locked="0" layoutInCell="1" allowOverlap="1" wp14:anchorId="460D54D8" wp14:editId="62AF6289">
                <wp:simplePos x="0" y="0"/>
                <wp:positionH relativeFrom="column">
                  <wp:posOffset>3883025</wp:posOffset>
                </wp:positionH>
                <wp:positionV relativeFrom="paragraph">
                  <wp:posOffset>550545</wp:posOffset>
                </wp:positionV>
                <wp:extent cx="1337310" cy="317500"/>
                <wp:effectExtent l="0" t="0" r="0" b="0"/>
                <wp:wrapNone/>
                <wp:docPr id="1961" name="Text Box 1961"/>
                <wp:cNvGraphicFramePr/>
                <a:graphic xmlns:a="http://schemas.openxmlformats.org/drawingml/2006/main">
                  <a:graphicData uri="http://schemas.microsoft.com/office/word/2010/wordprocessingShape">
                    <wps:wsp>
                      <wps:cNvSpPr txBox="1"/>
                      <wps:spPr>
                        <a:xfrm>
                          <a:off x="0" y="0"/>
                          <a:ext cx="1337310" cy="317500"/>
                        </a:xfrm>
                        <a:prstGeom prst="rect">
                          <a:avLst/>
                        </a:prstGeom>
                        <a:noFill/>
                        <a:ln w="6350">
                          <a:noFill/>
                        </a:ln>
                      </wps:spPr>
                      <wps:txbx>
                        <w:txbxContent>
                          <w:p w14:paraId="40A87A95"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D54D8" id="Text Box 1961" o:spid="_x0000_s1209" type="#_x0000_t202" style="position:absolute;margin-left:305.75pt;margin-top:43.35pt;width:105.3pt;height:25pt;z-index:253707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" filled="f" stroked="f" strokeweight=".5pt">
                <v:textbox>
                  <w:txbxContent>
                    <w:p w14:paraId="40A87A95" w14:textId="77777777" w:rsidR="00D15FD8" w:rsidRPr="00484244" w:rsidRDefault="00D15FD8" w:rsidP="002D14C0">
                      <w:pPr>
                        <w:rPr>
                          <w:rFonts w:ascii="Roboto" w:hAnsi="Roboto"/>
                          <w:b/>
                          <w:color w:val="FFFFFF" w:themeColor="background1"/>
                          <w:sz w:val="32"/>
                          <w:szCs w:val="32"/>
                        </w:rPr>
                      </w:pPr>
                      <w:r w:rsidRPr="00484244">
                        <w:rPr>
                          <w:rFonts w:ascii="Roboto" w:hAnsi="Roboto"/>
                          <w:b/>
                          <w:color w:val="FFFFFF" w:themeColor="background1"/>
                          <w:sz w:val="32"/>
                          <w:szCs w:val="32"/>
                        </w:rPr>
                        <w:t>RATIONALE</w:t>
                      </w:r>
                    </w:p>
                  </w:txbxContent>
                </v:textbox>
              </v:shape>
            </w:pict>
          </mc:Fallback>
        </mc:AlternateContent>
      </w:r>
      <w:r w:rsidR="00783364" w:rsidRPr="00550F15">
        <w:rPr>
          <w:rFonts w:ascii="Roboto" w:hAnsi="Roboto"/>
          <w:noProof/>
          <w:lang w:val="en-US"/>
        </w:rPr>
        <w:drawing>
          <wp:anchor distT="0" distB="0" distL="114300" distR="114300" simplePos="0" relativeHeight="253706238" behindDoc="1" locked="0" layoutInCell="1" allowOverlap="1" wp14:anchorId="55B482AD" wp14:editId="7D640D70">
            <wp:simplePos x="0" y="0"/>
            <wp:positionH relativeFrom="column">
              <wp:posOffset>3594100</wp:posOffset>
            </wp:positionH>
            <wp:positionV relativeFrom="paragraph">
              <wp:posOffset>519430</wp:posOffset>
            </wp:positionV>
            <wp:extent cx="289560" cy="344170"/>
            <wp:effectExtent l="0" t="0" r="2540" b="0"/>
            <wp:wrapTight wrapText="bothSides">
              <wp:wrapPolygon edited="0">
                <wp:start x="0" y="0"/>
                <wp:lineTo x="0" y="20723"/>
                <wp:lineTo x="20842" y="20723"/>
                <wp:lineTo x="20842" y="3985"/>
                <wp:lineTo x="16105" y="0"/>
                <wp:lineTo x="0" y="0"/>
              </wp:wrapPolygon>
            </wp:wrapTight>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tionale.png"/>
                    <pic:cNvPicPr/>
                  </pic:nvPicPr>
                  <pic:blipFill>
                    <a:blip r:embed="rId105" cstate="email">
                      <a:extLst>
                        <a:ext uri="{28A0092B-C50C-407E-A947-70E740481C1C}">
                          <a14:useLocalDpi xmlns:a14="http://schemas.microsoft.com/office/drawing/2010/main"/>
                        </a:ext>
                      </a:extLst>
                    </a:blip>
                    <a:stretch>
                      <a:fillRect/>
                    </a:stretch>
                  </pic:blipFill>
                  <pic:spPr>
                    <a:xfrm>
                      <a:off x="0" y="0"/>
                      <a:ext cx="289560" cy="344170"/>
                    </a:xfrm>
                    <a:prstGeom prst="rect">
                      <a:avLst/>
                    </a:prstGeom>
                  </pic:spPr>
                </pic:pic>
              </a:graphicData>
            </a:graphic>
            <wp14:sizeRelH relativeFrom="page">
              <wp14:pctWidth>0</wp14:pctWidth>
            </wp14:sizeRelH>
            <wp14:sizeRelV relativeFrom="page">
              <wp14:pctHeight>0</wp14:pctHeight>
            </wp14:sizeRelV>
          </wp:anchor>
        </w:drawing>
      </w:r>
    </w:p>
    <w:p w14:paraId="6394DCB5" w14:textId="5E8DBF89" w:rsidR="00203FAB" w:rsidRPr="00CB1BF7" w:rsidRDefault="00203FAB" w:rsidP="002D14C0">
      <w:pPr>
        <w:rPr>
          <w:rFonts w:ascii="Roboto" w:hAnsi="Roboto"/>
        </w:rPr>
      </w:pPr>
    </w:p>
    <w:p w14:paraId="60E4024A" w14:textId="21BAD49B" w:rsidR="00203FAB" w:rsidRPr="00CB1BF7" w:rsidRDefault="00203FAB" w:rsidP="002D14C0">
      <w:pPr>
        <w:rPr>
          <w:rFonts w:ascii="Roboto" w:hAnsi="Roboto"/>
        </w:rPr>
      </w:pPr>
    </w:p>
    <w:p w14:paraId="2638B85C" w14:textId="0897491D" w:rsidR="00203FAB" w:rsidRPr="00CB1BF7" w:rsidRDefault="00336006" w:rsidP="002D14C0">
      <w:pPr>
        <w:rPr>
          <w:rFonts w:ascii="Roboto" w:hAnsi="Roboto"/>
        </w:rPr>
      </w:pPr>
      <w:r w:rsidRPr="00550F15">
        <w:rPr>
          <w:rFonts w:ascii="Roboto" w:hAnsi="Roboto"/>
          <w:noProof/>
          <w:lang w:val="en-US"/>
        </w:rPr>
        <mc:AlternateContent>
          <mc:Choice Requires="wps">
            <w:drawing>
              <wp:anchor distT="0" distB="0" distL="114300" distR="114300" simplePos="0" relativeHeight="253708286" behindDoc="0" locked="0" layoutInCell="1" allowOverlap="1" wp14:anchorId="360F4F48" wp14:editId="7404E088">
                <wp:simplePos x="0" y="0"/>
                <wp:positionH relativeFrom="margin">
                  <wp:posOffset>60325</wp:posOffset>
                </wp:positionH>
                <wp:positionV relativeFrom="paragraph">
                  <wp:posOffset>83185</wp:posOffset>
                </wp:positionV>
                <wp:extent cx="8717280" cy="3150870"/>
                <wp:effectExtent l="0" t="0" r="0" b="0"/>
                <wp:wrapNone/>
                <wp:docPr id="1963" name="Text Box 1963"/>
                <wp:cNvGraphicFramePr/>
                <a:graphic xmlns:a="http://schemas.openxmlformats.org/drawingml/2006/main">
                  <a:graphicData uri="http://schemas.microsoft.com/office/word/2010/wordprocessingShape">
                    <wps:wsp>
                      <wps:cNvSpPr txBox="1"/>
                      <wps:spPr>
                        <a:xfrm>
                          <a:off x="0" y="0"/>
                          <a:ext cx="8717280" cy="3150870"/>
                        </a:xfrm>
                        <a:prstGeom prst="rect">
                          <a:avLst/>
                        </a:prstGeom>
                        <a:noFill/>
                        <a:ln w="6350">
                          <a:noFill/>
                        </a:ln>
                      </wps:spPr>
                      <wps:txbx>
                        <w:txbxContent>
                          <w:p w14:paraId="2D4F9BD0"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 xml:space="preserve">Public participation refers to the variety of ways in which citizens and non-state actors interact directly in public discussion and deliberation with state entities. </w:t>
                            </w:r>
                          </w:p>
                          <w:p w14:paraId="6219529A"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0082C833"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 xml:space="preserve">It is a means to ensure that all those with a stake in, affected by, or intended to benefit from fiscal policies have a voice in decisions that affect their lives. Consequently, public participation is increasingly recognized as a critical link in the chain between fiscal transparency, more effective accountability for public financial management, and better fiscal and development outcomes. </w:t>
                            </w:r>
                          </w:p>
                          <w:p w14:paraId="3446EF5F"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2059D4C0"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 xml:space="preserve">The importance attached to citizen engagement reflects the acceptance that citizens and civil society organizations are important agents of good governance and sustainable development, alongside markets and the state. </w:t>
                            </w:r>
                          </w:p>
                          <w:p w14:paraId="3143826F"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05EFB2C2"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Open participation enables public authorities to draw on the wide range of information and perspectives throughout society, avoid undue influence from closed-doors lobbying, and design and implement more effective and fair tax and spending policies.</w:t>
                            </w:r>
                          </w:p>
                          <w:p w14:paraId="57A970D0"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1A59C3D4" w14:textId="77777777" w:rsidR="00D15FD8" w:rsidRPr="006A6C50" w:rsidRDefault="00D15FD8" w:rsidP="002D14C0">
                            <w:pPr>
                              <w:spacing w:line="320" w:lineRule="atLeast"/>
                              <w:jc w:val="both"/>
                              <w:rPr>
                                <w:rFonts w:ascii="Roboto" w:hAnsi="Roboto"/>
                                <w:color w:val="FFFFFF" w:themeColor="background1"/>
                                <w:sz w:val="20"/>
                                <w:szCs w:val="20"/>
                              </w:rPr>
                            </w:pPr>
                            <w:r>
                              <w:rPr>
                                <w:rFonts w:ascii="Roboto" w:hAnsi="Roboto" w:cs="AppleSystemUIFont"/>
                                <w:color w:val="FFFFFF" w:themeColor="background1"/>
                                <w:sz w:val="20"/>
                                <w:szCs w:val="20"/>
                              </w:rPr>
                              <w:t>The v</w:t>
                            </w:r>
                            <w:r w:rsidRPr="00550F15">
                              <w:rPr>
                                <w:rFonts w:ascii="Roboto" w:hAnsi="Roboto" w:cs="AppleSystemUIFont"/>
                                <w:color w:val="FFFFFF" w:themeColor="background1"/>
                                <w:sz w:val="20"/>
                                <w:szCs w:val="20"/>
                              </w:rPr>
                              <w:t xml:space="preserve">iew of GIFT’s </w:t>
                            </w:r>
                            <w:r>
                              <w:rPr>
                                <w:rFonts w:ascii="Roboto" w:hAnsi="Roboto" w:cs="AppleSystemUIFont"/>
                                <w:color w:val="FFFFFF" w:themeColor="background1"/>
                                <w:sz w:val="20"/>
                                <w:szCs w:val="20"/>
                              </w:rPr>
                              <w:t>s</w:t>
                            </w:r>
                            <w:r w:rsidRPr="00550F15">
                              <w:rPr>
                                <w:rFonts w:ascii="Roboto" w:hAnsi="Roboto" w:cs="AppleSystemUIFont"/>
                                <w:color w:val="FFFFFF" w:themeColor="background1"/>
                                <w:sz w:val="20"/>
                                <w:szCs w:val="20"/>
                              </w:rPr>
                              <w:t xml:space="preserve">tewards is that public participation in fiscal policy is a potential game-changer: it could help to improve the effectiveness and legitimacy of </w:t>
                            </w:r>
                            <w:r>
                              <w:rPr>
                                <w:rFonts w:ascii="Roboto" w:hAnsi="Roboto" w:cs="AppleSystemUIFont"/>
                                <w:color w:val="FFFFFF" w:themeColor="background1"/>
                                <w:sz w:val="20"/>
                                <w:szCs w:val="20"/>
                              </w:rPr>
                              <w:t xml:space="preserve">a </w:t>
                            </w:r>
                            <w:r w:rsidRPr="00550F15">
                              <w:rPr>
                                <w:rFonts w:ascii="Roboto" w:hAnsi="Roboto" w:cs="AppleSystemUIFont"/>
                                <w:color w:val="FFFFFF" w:themeColor="background1"/>
                                <w:sz w:val="20"/>
                                <w:szCs w:val="20"/>
                              </w:rPr>
                              <w:t>representative democracy and to increase public trust in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F4F48" id="Text Box 1963" o:spid="_x0000_s1210" type="#_x0000_t202" style="position:absolute;margin-left:4.75pt;margin-top:6.55pt;width:686.4pt;height:248.1pt;z-index:25370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" filled="f" stroked="f" strokeweight=".5pt">
                <v:textbox>
                  <w:txbxContent>
                    <w:p w14:paraId="2D4F9BD0"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 xml:space="preserve">Public participation refers to the variety of ways in which citizens and non-state actors interact directly in public discussion and deliberation with state entities. </w:t>
                      </w:r>
                    </w:p>
                    <w:p w14:paraId="6219529A"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0082C833"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 xml:space="preserve">It is a means to ensure that all those with a stake in, affected by, or intended to benefit from fiscal policies have a voice in decisions that affect their lives. Consequently, public participation is increasingly recognized as a critical link in the chain between fiscal transparency, more effective accountability for public financial management, and better fiscal and development outcomes. </w:t>
                      </w:r>
                    </w:p>
                    <w:p w14:paraId="3446EF5F"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2059D4C0"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 xml:space="preserve">The importance attached to citizen engagement reflects the acceptance that citizens and civil society organizations are important agents of good governance and sustainable development, alongside markets and the state. </w:t>
                      </w:r>
                    </w:p>
                    <w:p w14:paraId="3143826F"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05EFB2C2" w14:textId="77777777" w:rsidR="00D15FD8" w:rsidRDefault="00D15FD8" w:rsidP="002D14C0">
                      <w:pPr>
                        <w:spacing w:line="320" w:lineRule="atLeast"/>
                        <w:jc w:val="both"/>
                        <w:rPr>
                          <w:rFonts w:ascii="Roboto" w:hAnsi="Roboto" w:cs="AppleSystemUIFont"/>
                          <w:color w:val="FFFFFF" w:themeColor="background1"/>
                          <w:sz w:val="20"/>
                          <w:szCs w:val="20"/>
                        </w:rPr>
                      </w:pPr>
                      <w:r w:rsidRPr="00550F15">
                        <w:rPr>
                          <w:rFonts w:ascii="Roboto" w:hAnsi="Roboto" w:cs="AppleSystemUIFont"/>
                          <w:color w:val="FFFFFF" w:themeColor="background1"/>
                          <w:sz w:val="20"/>
                          <w:szCs w:val="20"/>
                        </w:rPr>
                        <w:t>Open participation enables public authorities to draw on the wide range of information and perspectives throughout society, avoid undue influence from closed-doors lobbying, and design and implement more effective and fair tax and spending policies.</w:t>
                      </w:r>
                    </w:p>
                    <w:p w14:paraId="57A970D0" w14:textId="77777777" w:rsidR="00D15FD8" w:rsidRPr="00550F15" w:rsidRDefault="00D15FD8" w:rsidP="002D14C0">
                      <w:pPr>
                        <w:spacing w:line="320" w:lineRule="atLeast"/>
                        <w:jc w:val="both"/>
                        <w:rPr>
                          <w:rFonts w:ascii="Roboto" w:hAnsi="Roboto" w:cs="AppleSystemUIFont"/>
                          <w:color w:val="FFFFFF" w:themeColor="background1"/>
                          <w:sz w:val="20"/>
                          <w:szCs w:val="20"/>
                        </w:rPr>
                      </w:pPr>
                    </w:p>
                    <w:p w14:paraId="1A59C3D4" w14:textId="77777777" w:rsidR="00D15FD8" w:rsidRPr="006A6C50" w:rsidRDefault="00D15FD8" w:rsidP="002D14C0">
                      <w:pPr>
                        <w:spacing w:line="320" w:lineRule="atLeast"/>
                        <w:jc w:val="both"/>
                        <w:rPr>
                          <w:rFonts w:ascii="Roboto" w:hAnsi="Roboto"/>
                          <w:color w:val="FFFFFF" w:themeColor="background1"/>
                          <w:sz w:val="20"/>
                          <w:szCs w:val="20"/>
                        </w:rPr>
                      </w:pPr>
                      <w:r>
                        <w:rPr>
                          <w:rFonts w:ascii="Roboto" w:hAnsi="Roboto" w:cs="AppleSystemUIFont"/>
                          <w:color w:val="FFFFFF" w:themeColor="background1"/>
                          <w:sz w:val="20"/>
                          <w:szCs w:val="20"/>
                        </w:rPr>
                        <w:t>The v</w:t>
                      </w:r>
                      <w:r w:rsidRPr="00550F15">
                        <w:rPr>
                          <w:rFonts w:ascii="Roboto" w:hAnsi="Roboto" w:cs="AppleSystemUIFont"/>
                          <w:color w:val="FFFFFF" w:themeColor="background1"/>
                          <w:sz w:val="20"/>
                          <w:szCs w:val="20"/>
                        </w:rPr>
                        <w:t xml:space="preserve">iew of GIFT’s </w:t>
                      </w:r>
                      <w:r>
                        <w:rPr>
                          <w:rFonts w:ascii="Roboto" w:hAnsi="Roboto" w:cs="AppleSystemUIFont"/>
                          <w:color w:val="FFFFFF" w:themeColor="background1"/>
                          <w:sz w:val="20"/>
                          <w:szCs w:val="20"/>
                        </w:rPr>
                        <w:t>s</w:t>
                      </w:r>
                      <w:r w:rsidRPr="00550F15">
                        <w:rPr>
                          <w:rFonts w:ascii="Roboto" w:hAnsi="Roboto" w:cs="AppleSystemUIFont"/>
                          <w:color w:val="FFFFFF" w:themeColor="background1"/>
                          <w:sz w:val="20"/>
                          <w:szCs w:val="20"/>
                        </w:rPr>
                        <w:t xml:space="preserve">tewards is that public participation in fiscal policy is a potential game-changer: it could help to improve the effectiveness and legitimacy of </w:t>
                      </w:r>
                      <w:r>
                        <w:rPr>
                          <w:rFonts w:ascii="Roboto" w:hAnsi="Roboto" w:cs="AppleSystemUIFont"/>
                          <w:color w:val="FFFFFF" w:themeColor="background1"/>
                          <w:sz w:val="20"/>
                          <w:szCs w:val="20"/>
                        </w:rPr>
                        <w:t xml:space="preserve">a </w:t>
                      </w:r>
                      <w:r w:rsidRPr="00550F15">
                        <w:rPr>
                          <w:rFonts w:ascii="Roboto" w:hAnsi="Roboto" w:cs="AppleSystemUIFont"/>
                          <w:color w:val="FFFFFF" w:themeColor="background1"/>
                          <w:sz w:val="20"/>
                          <w:szCs w:val="20"/>
                        </w:rPr>
                        <w:t>representative democracy and to increase public trust in government.</w:t>
                      </w:r>
                    </w:p>
                  </w:txbxContent>
                </v:textbox>
                <w10:wrap anchorx="margin"/>
              </v:shape>
            </w:pict>
          </mc:Fallback>
        </mc:AlternateContent>
      </w:r>
    </w:p>
    <w:p w14:paraId="69057557" w14:textId="1DF085CE" w:rsidR="00203FAB" w:rsidRPr="00CB1BF7" w:rsidRDefault="00203FAB" w:rsidP="002D14C0">
      <w:pPr>
        <w:rPr>
          <w:rFonts w:ascii="Roboto" w:hAnsi="Roboto"/>
        </w:rPr>
      </w:pPr>
    </w:p>
    <w:p w14:paraId="1173753B" w14:textId="786EEFA4" w:rsidR="00203FAB" w:rsidRPr="00CB1BF7"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96862" behindDoc="0" locked="0" layoutInCell="1" allowOverlap="1" wp14:anchorId="4FF35E01" wp14:editId="16007E89">
                <wp:simplePos x="0" y="0"/>
                <wp:positionH relativeFrom="column">
                  <wp:posOffset>-3610928</wp:posOffset>
                </wp:positionH>
                <wp:positionV relativeFrom="paragraph">
                  <wp:posOffset>456755</wp:posOffset>
                </wp:positionV>
                <wp:extent cx="5976620" cy="252095"/>
                <wp:effectExtent l="0" t="0" r="0" b="0"/>
                <wp:wrapNone/>
                <wp:docPr id="287" name="Text Box 287"/>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6AD378A6" w14:textId="2A358373"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F35E01" id="Text Box 287" o:spid="_x0000_s1211" type="#_x0000_t202" style="position:absolute;margin-left:-284.35pt;margin-top:35.95pt;width:470.6pt;height:19.85pt;rotation:90;z-index:2553968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" filled="f" stroked="f" strokeweight=".5pt">
                <v:textbox>
                  <w:txbxContent>
                    <w:p w14:paraId="6AD378A6" w14:textId="2A358373"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49</w:t>
                      </w:r>
                    </w:p>
                  </w:txbxContent>
                </v:textbox>
              </v:shape>
            </w:pict>
          </mc:Fallback>
        </mc:AlternateContent>
      </w:r>
    </w:p>
    <w:p w14:paraId="15651E1F" w14:textId="1D25FE4D" w:rsidR="00203FAB" w:rsidRPr="00CB1BF7" w:rsidRDefault="00203FAB" w:rsidP="002D14C0">
      <w:pPr>
        <w:rPr>
          <w:rFonts w:ascii="Roboto" w:hAnsi="Roboto"/>
        </w:rPr>
      </w:pPr>
    </w:p>
    <w:p w14:paraId="63413BE3" w14:textId="52EC67FA" w:rsidR="00203FAB" w:rsidRPr="00CB1BF7"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95838" behindDoc="0" locked="0" layoutInCell="1" allowOverlap="1" wp14:anchorId="11FC58AE" wp14:editId="208E2E71">
                <wp:simplePos x="0" y="0"/>
                <wp:positionH relativeFrom="column">
                  <wp:posOffset>6517958</wp:posOffset>
                </wp:positionH>
                <wp:positionV relativeFrom="paragraph">
                  <wp:posOffset>59119</wp:posOffset>
                </wp:positionV>
                <wp:extent cx="5977200" cy="252096"/>
                <wp:effectExtent l="4762" t="0" r="0" b="0"/>
                <wp:wrapNone/>
                <wp:docPr id="286" name="Text Box 286"/>
                <wp:cNvGraphicFramePr/>
                <a:graphic xmlns:a="http://schemas.openxmlformats.org/drawingml/2006/main">
                  <a:graphicData uri="http://schemas.microsoft.com/office/word/2010/wordprocessingShape">
                    <wps:wsp>
                      <wps:cNvSpPr txBox="1"/>
                      <wps:spPr>
                        <a:xfrm rot="5400000">
                          <a:off x="0" y="0"/>
                          <a:ext cx="5977200" cy="252096"/>
                        </a:xfrm>
                        <a:prstGeom prst="rect">
                          <a:avLst/>
                        </a:prstGeom>
                        <a:solidFill>
                          <a:schemeClr val="lt1"/>
                        </a:solidFill>
                        <a:ln w="6350">
                          <a:noFill/>
                        </a:ln>
                      </wps:spPr>
                      <wps:txbx>
                        <w:txbxContent>
                          <w:p w14:paraId="7EE9A8E4" w14:textId="32B0EF41"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80453527"/>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501313B"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FC58AE" id="Text Box 286" o:spid="_x0000_s1212" type="#_x0000_t202" style="position:absolute;margin-left:513.25pt;margin-top:4.65pt;width:470.65pt;height:19.85pt;rotation:90;z-index:2553958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" fillcolor="white [3201]" stroked="f" strokeweight=".5pt">
                <v:textbox>
                  <w:txbxContent>
                    <w:p w14:paraId="7EE9A8E4" w14:textId="32B0EF41"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780453527"/>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6501313B" w14:textId="77777777" w:rsidR="00D15FD8" w:rsidRDefault="00D15FD8" w:rsidP="003D7CCB"/>
                  </w:txbxContent>
                </v:textbox>
              </v:shape>
            </w:pict>
          </mc:Fallback>
        </mc:AlternateContent>
      </w:r>
    </w:p>
    <w:p w14:paraId="58A36F3F" w14:textId="77777777" w:rsidR="00203FAB" w:rsidRPr="00CB1BF7" w:rsidRDefault="00203FAB" w:rsidP="002D14C0">
      <w:pPr>
        <w:rPr>
          <w:rFonts w:ascii="Roboto" w:hAnsi="Roboto"/>
        </w:rPr>
      </w:pPr>
    </w:p>
    <w:p w14:paraId="10EFA06D" w14:textId="18114034" w:rsidR="00203FAB" w:rsidRPr="00CB1BF7" w:rsidRDefault="00203FAB" w:rsidP="002D14C0">
      <w:pPr>
        <w:rPr>
          <w:rFonts w:ascii="Roboto" w:hAnsi="Roboto"/>
        </w:rPr>
      </w:pPr>
    </w:p>
    <w:p w14:paraId="53EA3596" w14:textId="77777777" w:rsidR="00203FAB" w:rsidRPr="00CB1BF7" w:rsidRDefault="00203FAB" w:rsidP="002D14C0">
      <w:pPr>
        <w:rPr>
          <w:rFonts w:ascii="Roboto" w:hAnsi="Roboto"/>
        </w:rPr>
      </w:pPr>
    </w:p>
    <w:p w14:paraId="5B1699FA" w14:textId="77777777" w:rsidR="00203FAB" w:rsidRPr="00CB1BF7" w:rsidRDefault="00203FAB" w:rsidP="002D14C0">
      <w:pPr>
        <w:rPr>
          <w:rFonts w:ascii="Roboto" w:hAnsi="Roboto"/>
        </w:rPr>
      </w:pPr>
    </w:p>
    <w:p w14:paraId="0D1DE789" w14:textId="77777777" w:rsidR="00203FAB" w:rsidRPr="00CB1BF7" w:rsidRDefault="00203FAB" w:rsidP="002D14C0">
      <w:pPr>
        <w:rPr>
          <w:rFonts w:ascii="Roboto" w:hAnsi="Roboto"/>
        </w:rPr>
      </w:pPr>
    </w:p>
    <w:p w14:paraId="4F4832D5" w14:textId="6721363F" w:rsidR="00203FAB" w:rsidRPr="00CB1BF7" w:rsidRDefault="00203FAB" w:rsidP="002D14C0">
      <w:pPr>
        <w:rPr>
          <w:rFonts w:ascii="Roboto" w:hAnsi="Roboto"/>
        </w:rPr>
      </w:pPr>
    </w:p>
    <w:p w14:paraId="1FD2FAD6" w14:textId="77777777" w:rsidR="00203FAB" w:rsidRDefault="00203FAB" w:rsidP="002D14C0">
      <w:pPr>
        <w:rPr>
          <w:rFonts w:ascii="Roboto" w:hAnsi="Roboto"/>
        </w:rPr>
      </w:pPr>
    </w:p>
    <w:p w14:paraId="7BED94F7" w14:textId="6348A7F7" w:rsidR="00CC3EBD"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513598" behindDoc="0" locked="0" layoutInCell="1" allowOverlap="1" wp14:anchorId="0ADC8A44" wp14:editId="211C5E1C">
                <wp:simplePos x="0" y="0"/>
                <wp:positionH relativeFrom="column">
                  <wp:posOffset>5484495</wp:posOffset>
                </wp:positionH>
                <wp:positionV relativeFrom="paragraph">
                  <wp:posOffset>2009013</wp:posOffset>
                </wp:positionV>
                <wp:extent cx="3878317" cy="268014"/>
                <wp:effectExtent l="0" t="0" r="0" b="0"/>
                <wp:wrapNone/>
                <wp:docPr id="421" name="Rectangle 421"/>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664F3D78" id="Rectangle 421" o:spid="_x0000_s1026" style="position:absolute;margin-left:431.85pt;margin-top:158.2pt;width:305.4pt;height:21.1pt;z-index:2555135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" fillcolor="white [3212]" stroked="f" strokeweight="1pt"/>
            </w:pict>
          </mc:Fallback>
        </mc:AlternateContent>
      </w:r>
      <w:r w:rsidR="00CC3EBD">
        <w:rPr>
          <w:rFonts w:ascii="Roboto" w:hAnsi="Roboto"/>
        </w:rPr>
        <w:br w:type="page"/>
      </w:r>
    </w:p>
    <w:p w14:paraId="30BDFFEF" w14:textId="0F525B65" w:rsidR="00203FAB"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515646" behindDoc="0" locked="0" layoutInCell="1" allowOverlap="1" wp14:anchorId="170490F1" wp14:editId="7EFF297E">
                <wp:simplePos x="0" y="0"/>
                <wp:positionH relativeFrom="column">
                  <wp:posOffset>-268539</wp:posOffset>
                </wp:positionH>
                <wp:positionV relativeFrom="paragraph">
                  <wp:posOffset>-536071</wp:posOffset>
                </wp:positionV>
                <wp:extent cx="3878317" cy="268014"/>
                <wp:effectExtent l="0" t="0" r="0" b="0"/>
                <wp:wrapNone/>
                <wp:docPr id="422" name="Rectangle 422"/>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189B81E4" id="Rectangle 422" o:spid="_x0000_s1026" style="position:absolute;margin-left:-21.15pt;margin-top:-42.2pt;width:305.4pt;height:21.1pt;z-index:2555156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" fillcolor="white [3212]" stroked="f" strokeweight="1pt"/>
            </w:pict>
          </mc:Fallback>
        </mc:AlternateContent>
      </w:r>
      <w:r w:rsidR="0040427B" w:rsidRPr="00CB1BF7">
        <w:rPr>
          <w:rFonts w:ascii="Roboto" w:hAnsi="Roboto"/>
          <w:noProof/>
          <w:lang w:val="en-US"/>
        </w:rPr>
        <mc:AlternateContent>
          <mc:Choice Requires="wps">
            <w:drawing>
              <wp:anchor distT="0" distB="0" distL="114300" distR="114300" simplePos="0" relativeHeight="253709310" behindDoc="0" locked="0" layoutInCell="1" allowOverlap="1" wp14:anchorId="618E32BA" wp14:editId="52E348F6">
                <wp:simplePos x="0" y="0"/>
                <wp:positionH relativeFrom="margin">
                  <wp:align>center</wp:align>
                </wp:positionH>
                <wp:positionV relativeFrom="margin">
                  <wp:align>center</wp:align>
                </wp:positionV>
                <wp:extent cx="8817610" cy="5181600"/>
                <wp:effectExtent l="0" t="0" r="0" b="0"/>
                <wp:wrapNone/>
                <wp:docPr id="1964" name="Text Box 1964"/>
                <wp:cNvGraphicFramePr/>
                <a:graphic xmlns:a="http://schemas.openxmlformats.org/drawingml/2006/main">
                  <a:graphicData uri="http://schemas.microsoft.com/office/word/2010/wordprocessingShape">
                    <wps:wsp>
                      <wps:cNvSpPr txBox="1"/>
                      <wps:spPr>
                        <a:xfrm>
                          <a:off x="0" y="0"/>
                          <a:ext cx="8817610" cy="5181600"/>
                        </a:xfrm>
                        <a:prstGeom prst="rect">
                          <a:avLst/>
                        </a:prstGeom>
                        <a:noFill/>
                        <a:ln w="6350">
                          <a:noFill/>
                        </a:ln>
                      </wps:spPr>
                      <wps:txbx>
                        <w:txbxContent>
                          <w:p w14:paraId="07FB35C4" w14:textId="784897DA"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Open Government Partnership</w:t>
                            </w:r>
                            <w:r w:rsidRPr="00CB1BF7">
                              <w:rPr>
                                <w:rFonts w:ascii="Roboto" w:eastAsia="Calibri" w:hAnsi="Roboto" w:cs="Calibri"/>
                                <w:iCs/>
                                <w:color w:val="1E9A8C"/>
                                <w:sz w:val="20"/>
                                <w:szCs w:val="20"/>
                              </w:rPr>
                              <w:t xml:space="preserve">: </w:t>
                            </w:r>
                            <w:r w:rsidRPr="00CB1BF7">
                              <w:rPr>
                                <w:rFonts w:ascii="Roboto" w:eastAsia="Calibri" w:hAnsi="Roboto" w:cs="Calibri"/>
                                <w:color w:val="404040" w:themeColor="text1" w:themeTint="BF"/>
                                <w:sz w:val="20"/>
                                <w:szCs w:val="20"/>
                              </w:rPr>
                              <w:t xml:space="preserve">Wider than fiscal transparency, the </w:t>
                            </w:r>
                            <w:hyperlink r:id="rId353" w:history="1">
                              <w:r w:rsidRPr="001311FB">
                                <w:rPr>
                                  <w:rStyle w:val="Hyperlink"/>
                                  <w:rFonts w:ascii="Roboto" w:eastAsia="Calibri" w:hAnsi="Roboto" w:cs="Calibri"/>
                                  <w:color w:val="F26C21"/>
                                  <w:sz w:val="20"/>
                                  <w:szCs w:val="20"/>
                                </w:rPr>
                                <w:t>Open Government Declaration</w:t>
                              </w:r>
                            </w:hyperlink>
                            <w:r w:rsidRPr="00CB1BF7">
                              <w:rPr>
                                <w:rFonts w:ascii="Roboto" w:eastAsia="Calibri" w:hAnsi="Roboto" w:cs="Calibri"/>
                                <w:color w:val="404040" w:themeColor="text1" w:themeTint="BF"/>
                                <w:sz w:val="20"/>
                                <w:szCs w:val="20"/>
                              </w:rPr>
                              <w:t xml:space="preserve"> (2011) includes a commitment to support civic participation, including making policy making and decision making more transparent, creating and using channels (including new technologies) to solicit public feedback, and deepening public participation in developing, monitoring and evaluating government activities</w:t>
                            </w:r>
                            <w:r>
                              <w:rPr>
                                <w:rFonts w:ascii="Roboto" w:eastAsia="Calibri" w:hAnsi="Roboto" w:cs="Calibri"/>
                                <w:color w:val="404040" w:themeColor="text1" w:themeTint="BF"/>
                                <w:sz w:val="20"/>
                                <w:szCs w:val="20"/>
                              </w:rPr>
                              <w:t>.</w:t>
                            </w:r>
                            <w:r w:rsidRPr="00CB1BF7">
                              <w:rPr>
                                <w:rFonts w:ascii="Roboto" w:eastAsia="Calibri" w:hAnsi="Roboto" w:cs="Calibri"/>
                                <w:color w:val="404040" w:themeColor="text1" w:themeTint="BF"/>
                                <w:sz w:val="20"/>
                                <w:szCs w:val="20"/>
                              </w:rPr>
                              <w:t xml:space="preserve"> Basic budget transparency is a requirement of membership of the OGP (publication of the annual budget and of the audit report).</w:t>
                            </w:r>
                          </w:p>
                          <w:p w14:paraId="4B4A58B3" w14:textId="77777777" w:rsidR="00D15FD8" w:rsidRPr="00CB1BF7" w:rsidRDefault="00D15FD8" w:rsidP="002D14C0">
                            <w:pPr>
                              <w:suppressOverlap/>
                              <w:rPr>
                                <w:rFonts w:ascii="Roboto" w:eastAsia="Calibri" w:hAnsi="Roboto" w:cs="Calibri"/>
                                <w:color w:val="404040" w:themeColor="text1" w:themeTint="BF"/>
                                <w:sz w:val="20"/>
                                <w:szCs w:val="20"/>
                              </w:rPr>
                            </w:pPr>
                          </w:p>
                          <w:p w14:paraId="7E39AEB7"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A right</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to direct public participation in fiscal policy had not been included in an international instrument on fiscal transparency prior to the promulgation of the GIFT High-Level Principles in 2012.  The GIFT High Level Principles were subsequently </w:t>
                            </w:r>
                            <w:hyperlink r:id="rId354" w:history="1">
                              <w:r w:rsidRPr="001311FB">
                                <w:rPr>
                                  <w:rStyle w:val="Hyperlink"/>
                                  <w:rFonts w:ascii="Roboto" w:eastAsia="Calibri" w:hAnsi="Roboto" w:cs="Calibri"/>
                                  <w:color w:val="F26C21"/>
                                  <w:sz w:val="20"/>
                                  <w:szCs w:val="20"/>
                                </w:rPr>
                                <w:t>endorsed</w:t>
                              </w:r>
                            </w:hyperlink>
                            <w:r w:rsidRPr="00CB1BF7">
                              <w:rPr>
                                <w:rFonts w:ascii="Roboto" w:eastAsia="Calibri" w:hAnsi="Roboto" w:cs="Calibri"/>
                                <w:color w:val="404040" w:themeColor="text1" w:themeTint="BF"/>
                                <w:sz w:val="20"/>
                                <w:szCs w:val="20"/>
                              </w:rPr>
                              <w:t xml:space="preserve"> by the United Nations General Assembly (UNGA) in December 2012, which encouraged member states to intensify efforts to enhance transparency, participation and accountability in fiscal policies, including through the consideration of the principles set out by GIFT. </w:t>
                            </w:r>
                          </w:p>
                          <w:p w14:paraId="05F0A95B" w14:textId="77777777" w:rsidR="00D15FD8" w:rsidRPr="00CB1BF7" w:rsidRDefault="00D15FD8" w:rsidP="002D14C0">
                            <w:pPr>
                              <w:suppressOverlap/>
                              <w:rPr>
                                <w:rFonts w:ascii="Roboto" w:eastAsia="Calibri" w:hAnsi="Roboto" w:cs="Calibri"/>
                                <w:color w:val="404040" w:themeColor="text1" w:themeTint="BF"/>
                                <w:sz w:val="20"/>
                                <w:szCs w:val="20"/>
                              </w:rPr>
                            </w:pPr>
                          </w:p>
                          <w:p w14:paraId="7C9DB9BC"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IBP:</w:t>
                            </w:r>
                            <w:r w:rsidRPr="00CB1BF7">
                              <w:rPr>
                                <w:rFonts w:ascii="Roboto" w:eastAsia="Calibri" w:hAnsi="Roboto" w:cs="Calibri"/>
                                <w:color w:val="1E9A8C"/>
                                <w:sz w:val="20"/>
                                <w:szCs w:val="20"/>
                              </w:rPr>
                              <w:t xml:space="preserve"> </w:t>
                            </w:r>
                            <w:hyperlink r:id="rId355" w:history="1">
                              <w:r w:rsidRPr="0014401D">
                                <w:rPr>
                                  <w:rStyle w:val="Hyperlink"/>
                                  <w:rFonts w:ascii="Roboto" w:eastAsia="Calibri" w:hAnsi="Roboto" w:cs="Calibri"/>
                                  <w:color w:val="F26C21"/>
                                  <w:sz w:val="20"/>
                                  <w:szCs w:val="20"/>
                                </w:rPr>
                                <w:t>Open Budget Survey</w:t>
                              </w:r>
                            </w:hyperlink>
                            <w:r w:rsidRPr="0014401D">
                              <w:rPr>
                                <w:rFonts w:ascii="Roboto" w:eastAsia="Calibri" w:hAnsi="Roboto" w:cs="Calibri"/>
                                <w:color w:val="F26C21"/>
                                <w:sz w:val="20"/>
                                <w:szCs w:val="20"/>
                              </w:rPr>
                              <w:t xml:space="preserve"> </w:t>
                            </w:r>
                            <w:r w:rsidRPr="00CB1BF7">
                              <w:rPr>
                                <w:rFonts w:ascii="Roboto" w:eastAsia="Calibri" w:hAnsi="Roboto" w:cs="Calibri"/>
                                <w:color w:val="404040" w:themeColor="text1" w:themeTint="BF"/>
                                <w:sz w:val="20"/>
                                <w:szCs w:val="20"/>
                              </w:rPr>
                              <w:t xml:space="preserve">(OBS): Led the way when it introduced a section on public participation across the budget cycle in its 2012 Survey. </w:t>
                            </w:r>
                          </w:p>
                          <w:p w14:paraId="49EB4B8C" w14:textId="77777777" w:rsidR="00D15FD8" w:rsidRPr="00CB1BF7" w:rsidRDefault="00D15FD8" w:rsidP="002D14C0">
                            <w:pPr>
                              <w:suppressOverlap/>
                              <w:rPr>
                                <w:rFonts w:ascii="Roboto" w:eastAsia="Calibri" w:hAnsi="Roboto" w:cs="Calibri"/>
                                <w:color w:val="404040" w:themeColor="text1" w:themeTint="BF"/>
                                <w:sz w:val="20"/>
                                <w:szCs w:val="20"/>
                              </w:rPr>
                            </w:pPr>
                          </w:p>
                          <w:p w14:paraId="62BE0336" w14:textId="77777777" w:rsidR="00D15FD8" w:rsidRPr="00CB1BF7" w:rsidRDefault="00D15FD8" w:rsidP="002D14C0">
                            <w:pPr>
                              <w:suppressOverlap/>
                              <w:rPr>
                                <w:rFonts w:ascii="Roboto" w:eastAsia="Calibri" w:hAnsi="Roboto" w:cs="Calibri"/>
                                <w:color w:val="404040" w:themeColor="text1" w:themeTint="BF"/>
                                <w:sz w:val="20"/>
                                <w:szCs w:val="20"/>
                                <w:lang w:val="en-ZA"/>
                              </w:rPr>
                            </w:pPr>
                            <w:r w:rsidRPr="00CB1BF7">
                              <w:rPr>
                                <w:rFonts w:ascii="Roboto" w:eastAsia="Calibri" w:hAnsi="Roboto" w:cs="Calibri"/>
                                <w:color w:val="404040" w:themeColor="text1" w:themeTint="BF"/>
                                <w:sz w:val="20"/>
                                <w:szCs w:val="20"/>
                              </w:rPr>
                              <w:t>Since 2012, the importance of public participation in fiscal policy has been progressively incorporated in all the main international fiscal transparency instruments:</w:t>
                            </w:r>
                            <w:r w:rsidRPr="00CB1BF7">
                              <w:rPr>
                                <w:rFonts w:ascii="Roboto" w:eastAsia="Calibri" w:hAnsi="Roboto" w:cs="Calibri"/>
                                <w:color w:val="404040" w:themeColor="text1" w:themeTint="BF"/>
                                <w:sz w:val="20"/>
                                <w:szCs w:val="20"/>
                                <w:lang w:val="en-ZA"/>
                              </w:rPr>
                              <w:t xml:space="preserve"> </w:t>
                            </w:r>
                          </w:p>
                          <w:p w14:paraId="2E8E2827" w14:textId="77777777" w:rsidR="00D15FD8" w:rsidRPr="00CB1BF7" w:rsidRDefault="00D15FD8" w:rsidP="002D14C0">
                            <w:pPr>
                              <w:suppressOverlap/>
                              <w:rPr>
                                <w:rFonts w:ascii="Roboto" w:eastAsia="Calibri" w:hAnsi="Roboto" w:cs="Calibri"/>
                                <w:color w:val="404040" w:themeColor="text1" w:themeTint="BF"/>
                                <w:sz w:val="20"/>
                                <w:szCs w:val="20"/>
                                <w:lang w:val="en-ZA"/>
                              </w:rPr>
                            </w:pPr>
                          </w:p>
                          <w:p w14:paraId="1EA72B79" w14:textId="77777777" w:rsidR="00D15FD8" w:rsidRPr="00CB1BF7" w:rsidRDefault="00D15FD8" w:rsidP="002D14C0">
                            <w:pPr>
                              <w:suppressOverlap/>
                              <w:rPr>
                                <w:rFonts w:ascii="Roboto" w:eastAsia="Calibri" w:hAnsi="Roboto" w:cs="Calibri"/>
                                <w:bCs/>
                                <w:color w:val="404040" w:themeColor="text1" w:themeTint="BF"/>
                                <w:sz w:val="20"/>
                                <w:szCs w:val="20"/>
                                <w:lang w:val="en-ZA"/>
                              </w:rPr>
                            </w:pPr>
                            <w:r w:rsidRPr="00CB1BF7">
                              <w:rPr>
                                <w:rFonts w:ascii="Roboto" w:eastAsia="Calibri" w:hAnsi="Roboto" w:cs="Calibri"/>
                                <w:b/>
                                <w:color w:val="1E9A8C"/>
                                <w:sz w:val="20"/>
                                <w:szCs w:val="20"/>
                                <w:lang w:val="en-ZA"/>
                              </w:rPr>
                              <w:t>GIFT:</w:t>
                            </w:r>
                            <w:r w:rsidRPr="00CB1BF7">
                              <w:rPr>
                                <w:rFonts w:ascii="Roboto" w:eastAsia="Calibri" w:hAnsi="Roboto" w:cs="Calibri"/>
                                <w:color w:val="1E9A8C"/>
                                <w:sz w:val="20"/>
                                <w:szCs w:val="20"/>
                                <w:lang w:val="en-ZA"/>
                              </w:rPr>
                              <w:t xml:space="preserve"> </w:t>
                            </w:r>
                            <w:r w:rsidRPr="00CB1BF7">
                              <w:rPr>
                                <w:rFonts w:ascii="Roboto" w:eastAsia="Calibri" w:hAnsi="Roboto" w:cs="Calibri"/>
                                <w:color w:val="404040" w:themeColor="text1" w:themeTint="BF"/>
                                <w:sz w:val="20"/>
                                <w:szCs w:val="20"/>
                                <w:lang w:val="en-ZA"/>
                              </w:rPr>
                              <w:t>Given the limited guidance on how public entities should engage directly with the public in managing public resources, the network embarked on a substantial multi-year work program to generate greater knowledge about country practices and recent innovations in citizen engagement. In 2016, after an extensive public consultation process, GIFT launched a new set of principles</w:t>
                            </w:r>
                            <w:r w:rsidRPr="00CB1BF7">
                              <w:rPr>
                                <w:rFonts w:ascii="Roboto" w:eastAsia="Calibri" w:hAnsi="Roboto" w:cs="Calibri"/>
                                <w:color w:val="F26C21"/>
                                <w:sz w:val="20"/>
                                <w:szCs w:val="20"/>
                                <w:u w:val="single"/>
                                <w:lang w:val="en-ZA"/>
                              </w:rPr>
                              <w:t>: </w:t>
                            </w:r>
                            <w:hyperlink r:id="rId356" w:history="1">
                              <w:r w:rsidRPr="00CB1BF7">
                                <w:rPr>
                                  <w:rStyle w:val="Hyperlink"/>
                                  <w:rFonts w:ascii="Roboto" w:eastAsia="Calibri" w:hAnsi="Roboto" w:cs="Calibri"/>
                                  <w:b/>
                                  <w:bCs/>
                                  <w:color w:val="F26C21"/>
                                  <w:sz w:val="20"/>
                                  <w:szCs w:val="20"/>
                                  <w:lang w:val="en-ZA"/>
                                </w:rPr>
                                <w:t>Principles of Public Participation in Fiscal Policies</w:t>
                              </w:r>
                            </w:hyperlink>
                            <w:r w:rsidRPr="00CB1BF7">
                              <w:rPr>
                                <w:rFonts w:ascii="Roboto" w:eastAsia="Calibri" w:hAnsi="Roboto" w:cs="Calibri"/>
                                <w:b/>
                                <w:bCs/>
                                <w:color w:val="F26C21"/>
                                <w:sz w:val="20"/>
                                <w:szCs w:val="20"/>
                                <w:u w:val="single"/>
                                <w:lang w:val="en-ZA"/>
                              </w:rPr>
                              <w:t>:</w:t>
                            </w:r>
                            <w:r w:rsidRPr="00CB1BF7">
                              <w:rPr>
                                <w:rFonts w:ascii="Roboto" w:eastAsia="Calibri" w:hAnsi="Roboto" w:cs="Calibri"/>
                                <w:b/>
                                <w:bCs/>
                                <w:color w:val="404040" w:themeColor="text1" w:themeTint="BF"/>
                                <w:sz w:val="20"/>
                                <w:szCs w:val="20"/>
                                <w:lang w:val="en-ZA"/>
                              </w:rPr>
                              <w:t xml:space="preserve"> </w:t>
                            </w:r>
                            <w:r w:rsidRPr="00CB1BF7">
                              <w:rPr>
                                <w:rFonts w:ascii="Roboto" w:eastAsia="Calibri" w:hAnsi="Roboto" w:cs="Calibri"/>
                                <w:bCs/>
                                <w:color w:val="404040" w:themeColor="text1" w:themeTint="BF"/>
                                <w:sz w:val="20"/>
                                <w:szCs w:val="20"/>
                                <w:lang w:val="en-ZA"/>
                              </w:rPr>
                              <w:t>10 principles:</w:t>
                            </w:r>
                          </w:p>
                          <w:p w14:paraId="0E3B897E"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Accessibility: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facilitate public participation in general by disseminating complete fiscal information and all other relevant data, in formats and using mechanisms that are easy for all to access, understand, and to use, re-use and transform, namely in open data formats. </w:t>
                            </w:r>
                          </w:p>
                          <w:p w14:paraId="1D1653A8" w14:textId="58DD922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Openness:</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provide full information on and be responsive with respect to the purpose of each engagement, its scope, constraints, intended outcomes, process and timelines, as well as the expected and actual results of public participation.</w:t>
                            </w:r>
                          </w:p>
                          <w:p w14:paraId="7C94264D" w14:textId="77777777" w:rsidR="00D15FD8"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Inclusiveness:</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pro-actively use multiple mechanisms to reach out to engage citizens and non-state actors, including traditionally excluded and vulnerable groups and individuals, and voices that are seldom heard, without discrimination on any basis including nationality, race, ethnicity, religion, gender, sexual orientation, disability, age or caste; and consider public inputs on an objective basis irrespective of their source. </w:t>
                            </w:r>
                          </w:p>
                          <w:p w14:paraId="5A8E42BF"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Respect for self-expression:</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allow and support individuals and communities, including those directly affected, to articulate their interests in their own ways, and to choose means of engagement that they prefer, while recognizing that there may be groups that have standing to speak on behalf of others.</w:t>
                            </w:r>
                          </w:p>
                          <w:p w14:paraId="1EA36D15"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B54707">
                              <w:rPr>
                                <w:rFonts w:ascii="Roboto" w:eastAsia="Calibri" w:hAnsi="Roboto" w:cs="Calibri"/>
                                <w:b/>
                                <w:color w:val="1E9A8C"/>
                                <w:sz w:val="20"/>
                                <w:szCs w:val="20"/>
                              </w:rPr>
                              <w:t>Timeliness:</w:t>
                            </w:r>
                            <w:r w:rsidRPr="00CB1BF7">
                              <w:rPr>
                                <w:rFonts w:ascii="Roboto" w:eastAsia="Calibri" w:hAnsi="Roboto" w:cs="Calibri"/>
                                <w:color w:val="404040" w:themeColor="text1" w:themeTint="BF"/>
                                <w:sz w:val="20"/>
                                <w:szCs w:val="20"/>
                              </w:rPr>
                              <w:t xml:space="preserve"> allow sufficient time in the budget and policy cycles for the public to provide inputs in each phase; engage early while a range of options is still open; and, where desirable, allow for more than one round of engagement. </w:t>
                            </w:r>
                          </w:p>
                          <w:p w14:paraId="7E9C9458" w14:textId="77777777" w:rsidR="00D15FD8" w:rsidRPr="00CB1BF7" w:rsidRDefault="00D15FD8" w:rsidP="002D14C0">
                            <w:pPr>
                              <w:ind w:left="360"/>
                              <w:suppressOverlap/>
                              <w:rPr>
                                <w:rFonts w:ascii="Roboto" w:eastAsia="Calibri" w:hAnsi="Roboto" w:cs="Calibri"/>
                                <w:color w:val="404040" w:themeColor="text1" w:themeTint="BF"/>
                                <w:sz w:val="20"/>
                                <w:szCs w:val="20"/>
                              </w:rPr>
                            </w:pPr>
                          </w:p>
                          <w:p w14:paraId="57F3EC61" w14:textId="34923BFD" w:rsidR="00D15FD8" w:rsidRPr="00CB1BF7"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E32BA" id="Text Box 1964" o:spid="_x0000_s1213" type="#_x0000_t202" style="position:absolute;margin-left:0;margin-top:0;width:694.3pt;height:408pt;z-index:25370931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" filled="f" stroked="f" strokeweight=".5pt">
                <v:textbox>
                  <w:txbxContent>
                    <w:p w14:paraId="07FB35C4" w14:textId="784897DA"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Open Government Partnership</w:t>
                      </w:r>
                      <w:r w:rsidRPr="00CB1BF7">
                        <w:rPr>
                          <w:rFonts w:ascii="Roboto" w:eastAsia="Calibri" w:hAnsi="Roboto" w:cs="Calibri"/>
                          <w:iCs/>
                          <w:color w:val="1E9A8C"/>
                          <w:sz w:val="20"/>
                          <w:szCs w:val="20"/>
                        </w:rPr>
                        <w:t xml:space="preserve">: </w:t>
                      </w:r>
                      <w:r w:rsidRPr="00CB1BF7">
                        <w:rPr>
                          <w:rFonts w:ascii="Roboto" w:eastAsia="Calibri" w:hAnsi="Roboto" w:cs="Calibri"/>
                          <w:color w:val="404040" w:themeColor="text1" w:themeTint="BF"/>
                          <w:sz w:val="20"/>
                          <w:szCs w:val="20"/>
                        </w:rPr>
                        <w:t xml:space="preserve">Wider than fiscal transparency, the </w:t>
                      </w:r>
                      <w:hyperlink r:id="rId357" w:history="1">
                        <w:r w:rsidRPr="001311FB">
                          <w:rPr>
                            <w:rStyle w:val="Hyperlink"/>
                            <w:rFonts w:ascii="Roboto" w:eastAsia="Calibri" w:hAnsi="Roboto" w:cs="Calibri"/>
                            <w:color w:val="F26C21"/>
                            <w:sz w:val="20"/>
                            <w:szCs w:val="20"/>
                          </w:rPr>
                          <w:t>Open Government Declaration</w:t>
                        </w:r>
                      </w:hyperlink>
                      <w:r w:rsidRPr="00CB1BF7">
                        <w:rPr>
                          <w:rFonts w:ascii="Roboto" w:eastAsia="Calibri" w:hAnsi="Roboto" w:cs="Calibri"/>
                          <w:color w:val="404040" w:themeColor="text1" w:themeTint="BF"/>
                          <w:sz w:val="20"/>
                          <w:szCs w:val="20"/>
                        </w:rPr>
                        <w:t xml:space="preserve"> (2011) includes a commitment to support civic participation, including making policy making and decision making more transparent, creating and using channels (including new technologies) to solicit public feedback, and deepening public participation in developing, monitoring and evaluating government activities</w:t>
                      </w:r>
                      <w:r>
                        <w:rPr>
                          <w:rFonts w:ascii="Roboto" w:eastAsia="Calibri" w:hAnsi="Roboto" w:cs="Calibri"/>
                          <w:color w:val="404040" w:themeColor="text1" w:themeTint="BF"/>
                          <w:sz w:val="20"/>
                          <w:szCs w:val="20"/>
                        </w:rPr>
                        <w:t>.</w:t>
                      </w:r>
                      <w:r w:rsidRPr="00CB1BF7">
                        <w:rPr>
                          <w:rFonts w:ascii="Roboto" w:eastAsia="Calibri" w:hAnsi="Roboto" w:cs="Calibri"/>
                          <w:color w:val="404040" w:themeColor="text1" w:themeTint="BF"/>
                          <w:sz w:val="20"/>
                          <w:szCs w:val="20"/>
                        </w:rPr>
                        <w:t xml:space="preserve"> Basic budget transparency is a requirement of membership of the OGP (publication of the annual budget and of the audit report).</w:t>
                      </w:r>
                    </w:p>
                    <w:p w14:paraId="4B4A58B3" w14:textId="77777777" w:rsidR="00D15FD8" w:rsidRPr="00CB1BF7" w:rsidRDefault="00D15FD8" w:rsidP="002D14C0">
                      <w:pPr>
                        <w:suppressOverlap/>
                        <w:rPr>
                          <w:rFonts w:ascii="Roboto" w:eastAsia="Calibri" w:hAnsi="Roboto" w:cs="Calibri"/>
                          <w:color w:val="404040" w:themeColor="text1" w:themeTint="BF"/>
                          <w:sz w:val="20"/>
                          <w:szCs w:val="20"/>
                        </w:rPr>
                      </w:pPr>
                    </w:p>
                    <w:p w14:paraId="7E39AEB7"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A right</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to direct public participation in fiscal policy had not been included in an international instrument on fiscal transparency prior to the promulgation of the GIFT High-Level Principles in 2012.  The GIFT High Level Principles were subsequently </w:t>
                      </w:r>
                      <w:hyperlink r:id="rId358" w:history="1">
                        <w:r w:rsidRPr="001311FB">
                          <w:rPr>
                            <w:rStyle w:val="Hyperlink"/>
                            <w:rFonts w:ascii="Roboto" w:eastAsia="Calibri" w:hAnsi="Roboto" w:cs="Calibri"/>
                            <w:color w:val="F26C21"/>
                            <w:sz w:val="20"/>
                            <w:szCs w:val="20"/>
                          </w:rPr>
                          <w:t>endorsed</w:t>
                        </w:r>
                      </w:hyperlink>
                      <w:r w:rsidRPr="00CB1BF7">
                        <w:rPr>
                          <w:rFonts w:ascii="Roboto" w:eastAsia="Calibri" w:hAnsi="Roboto" w:cs="Calibri"/>
                          <w:color w:val="404040" w:themeColor="text1" w:themeTint="BF"/>
                          <w:sz w:val="20"/>
                          <w:szCs w:val="20"/>
                        </w:rPr>
                        <w:t xml:space="preserve"> by the United Nations General Assembly (UNGA) in December 2012, which encouraged member states to intensify efforts to enhance transparency, participation and accountability in fiscal policies, including through the consideration of the principles set out by GIFT. </w:t>
                      </w:r>
                    </w:p>
                    <w:p w14:paraId="05F0A95B" w14:textId="77777777" w:rsidR="00D15FD8" w:rsidRPr="00CB1BF7" w:rsidRDefault="00D15FD8" w:rsidP="002D14C0">
                      <w:pPr>
                        <w:suppressOverlap/>
                        <w:rPr>
                          <w:rFonts w:ascii="Roboto" w:eastAsia="Calibri" w:hAnsi="Roboto" w:cs="Calibri"/>
                          <w:color w:val="404040" w:themeColor="text1" w:themeTint="BF"/>
                          <w:sz w:val="20"/>
                          <w:szCs w:val="20"/>
                        </w:rPr>
                      </w:pPr>
                    </w:p>
                    <w:p w14:paraId="7C9DB9BC"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IBP:</w:t>
                      </w:r>
                      <w:r w:rsidRPr="00CB1BF7">
                        <w:rPr>
                          <w:rFonts w:ascii="Roboto" w:eastAsia="Calibri" w:hAnsi="Roboto" w:cs="Calibri"/>
                          <w:color w:val="1E9A8C"/>
                          <w:sz w:val="20"/>
                          <w:szCs w:val="20"/>
                        </w:rPr>
                        <w:t xml:space="preserve"> </w:t>
                      </w:r>
                      <w:hyperlink r:id="rId359" w:history="1">
                        <w:r w:rsidRPr="0014401D">
                          <w:rPr>
                            <w:rStyle w:val="Hyperlink"/>
                            <w:rFonts w:ascii="Roboto" w:eastAsia="Calibri" w:hAnsi="Roboto" w:cs="Calibri"/>
                            <w:color w:val="F26C21"/>
                            <w:sz w:val="20"/>
                            <w:szCs w:val="20"/>
                          </w:rPr>
                          <w:t>Open Budget Survey</w:t>
                        </w:r>
                      </w:hyperlink>
                      <w:r w:rsidRPr="0014401D">
                        <w:rPr>
                          <w:rFonts w:ascii="Roboto" w:eastAsia="Calibri" w:hAnsi="Roboto" w:cs="Calibri"/>
                          <w:color w:val="F26C21"/>
                          <w:sz w:val="20"/>
                          <w:szCs w:val="20"/>
                        </w:rPr>
                        <w:t xml:space="preserve"> </w:t>
                      </w:r>
                      <w:r w:rsidRPr="00CB1BF7">
                        <w:rPr>
                          <w:rFonts w:ascii="Roboto" w:eastAsia="Calibri" w:hAnsi="Roboto" w:cs="Calibri"/>
                          <w:color w:val="404040" w:themeColor="text1" w:themeTint="BF"/>
                          <w:sz w:val="20"/>
                          <w:szCs w:val="20"/>
                        </w:rPr>
                        <w:t xml:space="preserve">(OBS): Led the way when it introduced a section on public participation across the budget cycle in its 2012 Survey. </w:t>
                      </w:r>
                    </w:p>
                    <w:p w14:paraId="49EB4B8C" w14:textId="77777777" w:rsidR="00D15FD8" w:rsidRPr="00CB1BF7" w:rsidRDefault="00D15FD8" w:rsidP="002D14C0">
                      <w:pPr>
                        <w:suppressOverlap/>
                        <w:rPr>
                          <w:rFonts w:ascii="Roboto" w:eastAsia="Calibri" w:hAnsi="Roboto" w:cs="Calibri"/>
                          <w:color w:val="404040" w:themeColor="text1" w:themeTint="BF"/>
                          <w:sz w:val="20"/>
                          <w:szCs w:val="20"/>
                        </w:rPr>
                      </w:pPr>
                    </w:p>
                    <w:p w14:paraId="62BE0336" w14:textId="77777777" w:rsidR="00D15FD8" w:rsidRPr="00CB1BF7" w:rsidRDefault="00D15FD8" w:rsidP="002D14C0">
                      <w:pPr>
                        <w:suppressOverlap/>
                        <w:rPr>
                          <w:rFonts w:ascii="Roboto" w:eastAsia="Calibri" w:hAnsi="Roboto" w:cs="Calibri"/>
                          <w:color w:val="404040" w:themeColor="text1" w:themeTint="BF"/>
                          <w:sz w:val="20"/>
                          <w:szCs w:val="20"/>
                          <w:lang w:val="en-ZA"/>
                        </w:rPr>
                      </w:pPr>
                      <w:r w:rsidRPr="00CB1BF7">
                        <w:rPr>
                          <w:rFonts w:ascii="Roboto" w:eastAsia="Calibri" w:hAnsi="Roboto" w:cs="Calibri"/>
                          <w:color w:val="404040" w:themeColor="text1" w:themeTint="BF"/>
                          <w:sz w:val="20"/>
                          <w:szCs w:val="20"/>
                        </w:rPr>
                        <w:t>Since 2012, the importance of public participation in fiscal policy has been progressively incorporated in all the main international fiscal transparency instruments:</w:t>
                      </w:r>
                      <w:r w:rsidRPr="00CB1BF7">
                        <w:rPr>
                          <w:rFonts w:ascii="Roboto" w:eastAsia="Calibri" w:hAnsi="Roboto" w:cs="Calibri"/>
                          <w:color w:val="404040" w:themeColor="text1" w:themeTint="BF"/>
                          <w:sz w:val="20"/>
                          <w:szCs w:val="20"/>
                          <w:lang w:val="en-ZA"/>
                        </w:rPr>
                        <w:t xml:space="preserve"> </w:t>
                      </w:r>
                    </w:p>
                    <w:p w14:paraId="2E8E2827" w14:textId="77777777" w:rsidR="00D15FD8" w:rsidRPr="00CB1BF7" w:rsidRDefault="00D15FD8" w:rsidP="002D14C0">
                      <w:pPr>
                        <w:suppressOverlap/>
                        <w:rPr>
                          <w:rFonts w:ascii="Roboto" w:eastAsia="Calibri" w:hAnsi="Roboto" w:cs="Calibri"/>
                          <w:color w:val="404040" w:themeColor="text1" w:themeTint="BF"/>
                          <w:sz w:val="20"/>
                          <w:szCs w:val="20"/>
                          <w:lang w:val="en-ZA"/>
                        </w:rPr>
                      </w:pPr>
                    </w:p>
                    <w:p w14:paraId="1EA72B79" w14:textId="77777777" w:rsidR="00D15FD8" w:rsidRPr="00CB1BF7" w:rsidRDefault="00D15FD8" w:rsidP="002D14C0">
                      <w:pPr>
                        <w:suppressOverlap/>
                        <w:rPr>
                          <w:rFonts w:ascii="Roboto" w:eastAsia="Calibri" w:hAnsi="Roboto" w:cs="Calibri"/>
                          <w:bCs/>
                          <w:color w:val="404040" w:themeColor="text1" w:themeTint="BF"/>
                          <w:sz w:val="20"/>
                          <w:szCs w:val="20"/>
                          <w:lang w:val="en-ZA"/>
                        </w:rPr>
                      </w:pPr>
                      <w:r w:rsidRPr="00CB1BF7">
                        <w:rPr>
                          <w:rFonts w:ascii="Roboto" w:eastAsia="Calibri" w:hAnsi="Roboto" w:cs="Calibri"/>
                          <w:b/>
                          <w:color w:val="1E9A8C"/>
                          <w:sz w:val="20"/>
                          <w:szCs w:val="20"/>
                          <w:lang w:val="en-ZA"/>
                        </w:rPr>
                        <w:t>GIFT:</w:t>
                      </w:r>
                      <w:r w:rsidRPr="00CB1BF7">
                        <w:rPr>
                          <w:rFonts w:ascii="Roboto" w:eastAsia="Calibri" w:hAnsi="Roboto" w:cs="Calibri"/>
                          <w:color w:val="1E9A8C"/>
                          <w:sz w:val="20"/>
                          <w:szCs w:val="20"/>
                          <w:lang w:val="en-ZA"/>
                        </w:rPr>
                        <w:t xml:space="preserve"> </w:t>
                      </w:r>
                      <w:r w:rsidRPr="00CB1BF7">
                        <w:rPr>
                          <w:rFonts w:ascii="Roboto" w:eastAsia="Calibri" w:hAnsi="Roboto" w:cs="Calibri"/>
                          <w:color w:val="404040" w:themeColor="text1" w:themeTint="BF"/>
                          <w:sz w:val="20"/>
                          <w:szCs w:val="20"/>
                          <w:lang w:val="en-ZA"/>
                        </w:rPr>
                        <w:t>Given the limited guidance on how public entities should engage directly with the public in managing public resources, the network embarked on a substantial multi-year work program to generate greater knowledge about country practices and recent innovations in citizen engagement. In 2016, after an extensive public consultation process, GIFT launched a new set of principles</w:t>
                      </w:r>
                      <w:r w:rsidRPr="00CB1BF7">
                        <w:rPr>
                          <w:rFonts w:ascii="Roboto" w:eastAsia="Calibri" w:hAnsi="Roboto" w:cs="Calibri"/>
                          <w:color w:val="F26C21"/>
                          <w:sz w:val="20"/>
                          <w:szCs w:val="20"/>
                          <w:u w:val="single"/>
                          <w:lang w:val="en-ZA"/>
                        </w:rPr>
                        <w:t>: </w:t>
                      </w:r>
                      <w:hyperlink r:id="rId360" w:history="1">
                        <w:r w:rsidRPr="00CB1BF7">
                          <w:rPr>
                            <w:rStyle w:val="Hyperlink"/>
                            <w:rFonts w:ascii="Roboto" w:eastAsia="Calibri" w:hAnsi="Roboto" w:cs="Calibri"/>
                            <w:b/>
                            <w:bCs/>
                            <w:color w:val="F26C21"/>
                            <w:sz w:val="20"/>
                            <w:szCs w:val="20"/>
                            <w:lang w:val="en-ZA"/>
                          </w:rPr>
                          <w:t>Principles of Public Participation in Fiscal Policies</w:t>
                        </w:r>
                      </w:hyperlink>
                      <w:r w:rsidRPr="00CB1BF7">
                        <w:rPr>
                          <w:rFonts w:ascii="Roboto" w:eastAsia="Calibri" w:hAnsi="Roboto" w:cs="Calibri"/>
                          <w:b/>
                          <w:bCs/>
                          <w:color w:val="F26C21"/>
                          <w:sz w:val="20"/>
                          <w:szCs w:val="20"/>
                          <w:u w:val="single"/>
                          <w:lang w:val="en-ZA"/>
                        </w:rPr>
                        <w:t>:</w:t>
                      </w:r>
                      <w:r w:rsidRPr="00CB1BF7">
                        <w:rPr>
                          <w:rFonts w:ascii="Roboto" w:eastAsia="Calibri" w:hAnsi="Roboto" w:cs="Calibri"/>
                          <w:b/>
                          <w:bCs/>
                          <w:color w:val="404040" w:themeColor="text1" w:themeTint="BF"/>
                          <w:sz w:val="20"/>
                          <w:szCs w:val="20"/>
                          <w:lang w:val="en-ZA"/>
                        </w:rPr>
                        <w:t xml:space="preserve"> </w:t>
                      </w:r>
                      <w:r w:rsidRPr="00CB1BF7">
                        <w:rPr>
                          <w:rFonts w:ascii="Roboto" w:eastAsia="Calibri" w:hAnsi="Roboto" w:cs="Calibri"/>
                          <w:bCs/>
                          <w:color w:val="404040" w:themeColor="text1" w:themeTint="BF"/>
                          <w:sz w:val="20"/>
                          <w:szCs w:val="20"/>
                          <w:lang w:val="en-ZA"/>
                        </w:rPr>
                        <w:t>10 principles:</w:t>
                      </w:r>
                    </w:p>
                    <w:p w14:paraId="0E3B897E"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Accessibility: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facilitate public participation in general by disseminating complete fiscal information and all other relevant data, in formats and using mechanisms that are easy for all to access, understand, and to use, re-use and transform, namely in open data formats. </w:t>
                      </w:r>
                    </w:p>
                    <w:p w14:paraId="1D1653A8" w14:textId="58DD922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Openness:</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provide full information on and be responsive with respect to the purpose of each engagement, its scope, constraints, intended outcomes, process and timelines, as well as the expected and actual results of public participation.</w:t>
                      </w:r>
                    </w:p>
                    <w:p w14:paraId="7C94264D" w14:textId="77777777" w:rsidR="00D15FD8"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Inclusiveness:</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pro-actively use multiple mechanisms to reach out to engage citizens and non-state actors, including traditionally excluded and vulnerable groups and individuals, and voices that are seldom heard, without discrimination on any basis including nationality, race, ethnicity, religion, gender, sexual orientation, disability, age or caste; and consider public inputs on an objective basis irrespective of their source. </w:t>
                      </w:r>
                    </w:p>
                    <w:p w14:paraId="5A8E42BF"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Respect for self-expression:</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allow and support individuals and communities, including those directly affected, to articulate their interests in their own ways, and to choose means of engagement that they prefer, while recognizing that there may be groups that have standing to speak on behalf of others.</w:t>
                      </w:r>
                    </w:p>
                    <w:p w14:paraId="1EA36D15"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B54707">
                        <w:rPr>
                          <w:rFonts w:ascii="Roboto" w:eastAsia="Calibri" w:hAnsi="Roboto" w:cs="Calibri"/>
                          <w:b/>
                          <w:color w:val="1E9A8C"/>
                          <w:sz w:val="20"/>
                          <w:szCs w:val="20"/>
                        </w:rPr>
                        <w:t>Timeliness:</w:t>
                      </w:r>
                      <w:r w:rsidRPr="00CB1BF7">
                        <w:rPr>
                          <w:rFonts w:ascii="Roboto" w:eastAsia="Calibri" w:hAnsi="Roboto" w:cs="Calibri"/>
                          <w:color w:val="404040" w:themeColor="text1" w:themeTint="BF"/>
                          <w:sz w:val="20"/>
                          <w:szCs w:val="20"/>
                        </w:rPr>
                        <w:t xml:space="preserve"> allow sufficient time in the budget and policy cycles for the public to provide inputs in each phase; engage early while a range of options is still open; and, where desirable, allow for more than one round of engagement. </w:t>
                      </w:r>
                    </w:p>
                    <w:p w14:paraId="7E9C9458" w14:textId="77777777" w:rsidR="00D15FD8" w:rsidRPr="00CB1BF7" w:rsidRDefault="00D15FD8" w:rsidP="002D14C0">
                      <w:pPr>
                        <w:ind w:left="360"/>
                        <w:suppressOverlap/>
                        <w:rPr>
                          <w:rFonts w:ascii="Roboto" w:eastAsia="Calibri" w:hAnsi="Roboto" w:cs="Calibri"/>
                          <w:color w:val="404040" w:themeColor="text1" w:themeTint="BF"/>
                          <w:sz w:val="20"/>
                          <w:szCs w:val="20"/>
                        </w:rPr>
                      </w:pPr>
                    </w:p>
                    <w:p w14:paraId="57F3EC61" w14:textId="34923BFD" w:rsidR="00D15FD8" w:rsidRPr="00CB1BF7" w:rsidRDefault="00D15FD8" w:rsidP="002D14C0">
                      <w:pPr>
                        <w:rPr>
                          <w:rFonts w:ascii="Roboto" w:hAnsi="Roboto"/>
                          <w:sz w:val="20"/>
                          <w:szCs w:val="20"/>
                        </w:rPr>
                      </w:pPr>
                    </w:p>
                  </w:txbxContent>
                </v:textbox>
                <w10:wrap anchorx="margin" anchory="margin"/>
              </v:shape>
            </w:pict>
          </mc:Fallback>
        </mc:AlternateContent>
      </w:r>
    </w:p>
    <w:p w14:paraId="6478D4E5" w14:textId="4ABCF7C5" w:rsidR="00203FAB" w:rsidRPr="00CB1BF7" w:rsidRDefault="00203FAB" w:rsidP="002D14C0">
      <w:pPr>
        <w:rPr>
          <w:rFonts w:ascii="Roboto" w:hAnsi="Roboto"/>
        </w:rPr>
      </w:pPr>
    </w:p>
    <w:p w14:paraId="0A8C3720" w14:textId="10172C60" w:rsidR="00203FAB" w:rsidRPr="00CB1BF7" w:rsidRDefault="00203FAB" w:rsidP="002D14C0">
      <w:pPr>
        <w:rPr>
          <w:rFonts w:ascii="Roboto" w:hAnsi="Roboto"/>
        </w:rPr>
      </w:pPr>
    </w:p>
    <w:p w14:paraId="402B899C" w14:textId="0E5A66D6" w:rsidR="00203FAB" w:rsidRPr="00CB1BF7" w:rsidRDefault="00203FAB" w:rsidP="002D14C0">
      <w:pPr>
        <w:rPr>
          <w:rFonts w:ascii="Roboto" w:hAnsi="Roboto"/>
        </w:rPr>
      </w:pPr>
    </w:p>
    <w:p w14:paraId="614B0E58" w14:textId="6B30CF03" w:rsidR="00203FAB" w:rsidRPr="00CB1BF7" w:rsidRDefault="00203FAB" w:rsidP="002D14C0">
      <w:pPr>
        <w:rPr>
          <w:rFonts w:ascii="Roboto" w:hAnsi="Roboto"/>
        </w:rPr>
      </w:pPr>
    </w:p>
    <w:p w14:paraId="17723CA8" w14:textId="5BBFEB2E" w:rsidR="00203FAB" w:rsidRPr="00CB1BF7" w:rsidRDefault="00203FAB" w:rsidP="002D14C0">
      <w:pPr>
        <w:rPr>
          <w:rFonts w:ascii="Roboto" w:hAnsi="Roboto"/>
        </w:rPr>
      </w:pPr>
    </w:p>
    <w:p w14:paraId="148DC815" w14:textId="77777777" w:rsidR="00203FAB" w:rsidRPr="00CB1BF7" w:rsidRDefault="00203FAB" w:rsidP="002D14C0">
      <w:pPr>
        <w:rPr>
          <w:rFonts w:ascii="Roboto" w:hAnsi="Roboto"/>
        </w:rPr>
      </w:pPr>
    </w:p>
    <w:p w14:paraId="1E41994F" w14:textId="616E8F2A" w:rsidR="00203FAB" w:rsidRPr="00CB1BF7" w:rsidRDefault="00203FAB" w:rsidP="002D14C0">
      <w:pPr>
        <w:rPr>
          <w:rFonts w:ascii="Roboto" w:hAnsi="Roboto"/>
        </w:rPr>
      </w:pPr>
    </w:p>
    <w:p w14:paraId="55A330B5" w14:textId="31BE94F0" w:rsidR="00203FAB" w:rsidRPr="00CB1BF7" w:rsidRDefault="00203FAB" w:rsidP="002D14C0">
      <w:pPr>
        <w:rPr>
          <w:rFonts w:ascii="Roboto" w:hAnsi="Roboto"/>
        </w:rPr>
      </w:pPr>
    </w:p>
    <w:p w14:paraId="709074C1" w14:textId="07328112" w:rsidR="00203FAB" w:rsidRPr="00CB1BF7" w:rsidRDefault="00203FAB" w:rsidP="002D14C0">
      <w:pPr>
        <w:rPr>
          <w:rFonts w:ascii="Roboto" w:hAnsi="Roboto"/>
        </w:rPr>
      </w:pPr>
    </w:p>
    <w:p w14:paraId="70DC0A9E" w14:textId="72CA57EA" w:rsidR="00203FAB" w:rsidRPr="00CB1BF7" w:rsidRDefault="00203FAB" w:rsidP="002D14C0">
      <w:pPr>
        <w:rPr>
          <w:rFonts w:ascii="Roboto" w:hAnsi="Roboto"/>
        </w:rPr>
      </w:pPr>
    </w:p>
    <w:p w14:paraId="44904F00" w14:textId="606CD0BE" w:rsidR="00203FAB" w:rsidRPr="00CB1BF7" w:rsidRDefault="00203FAB" w:rsidP="002D14C0">
      <w:pPr>
        <w:rPr>
          <w:rFonts w:ascii="Roboto" w:hAnsi="Roboto"/>
        </w:rPr>
      </w:pPr>
    </w:p>
    <w:p w14:paraId="6F3399B9" w14:textId="2FFB00CC" w:rsidR="00203FAB" w:rsidRPr="00CB1BF7" w:rsidRDefault="00203FAB" w:rsidP="002D14C0">
      <w:pPr>
        <w:rPr>
          <w:rFonts w:ascii="Roboto" w:hAnsi="Roboto"/>
        </w:rPr>
      </w:pPr>
    </w:p>
    <w:p w14:paraId="299D4F89" w14:textId="2B9AE57E" w:rsidR="00203FAB" w:rsidRPr="00CB1BF7" w:rsidRDefault="00203FAB" w:rsidP="002D14C0">
      <w:pPr>
        <w:rPr>
          <w:rFonts w:ascii="Roboto" w:hAnsi="Roboto"/>
        </w:rPr>
      </w:pPr>
    </w:p>
    <w:p w14:paraId="13010208" w14:textId="7062D708" w:rsidR="00203FAB" w:rsidRPr="00CB1BF7"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99934" behindDoc="0" locked="0" layoutInCell="1" allowOverlap="1" wp14:anchorId="48F890AF" wp14:editId="0ABDFAC7">
                <wp:simplePos x="0" y="0"/>
                <wp:positionH relativeFrom="column">
                  <wp:posOffset>-3610610</wp:posOffset>
                </wp:positionH>
                <wp:positionV relativeFrom="paragraph">
                  <wp:posOffset>467360</wp:posOffset>
                </wp:positionV>
                <wp:extent cx="5976620" cy="252095"/>
                <wp:effectExtent l="0" t="0" r="0" b="0"/>
                <wp:wrapNone/>
                <wp:docPr id="290" name="Text Box 290"/>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008F99EE" w14:textId="32E1C057"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F890AF" id="Text Box 290" o:spid="_x0000_s1214" type="#_x0000_t202" style="position:absolute;margin-left:-284.3pt;margin-top:36.8pt;width:470.6pt;height:19.85pt;rotation:90;z-index:2553999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" filled="f" stroked="f" strokeweight=".5pt">
                <v:textbox>
                  <w:txbxContent>
                    <w:p w14:paraId="008F99EE" w14:textId="32E1C057"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50</w:t>
                      </w:r>
                    </w:p>
                  </w:txbxContent>
                </v:textbox>
              </v:shape>
            </w:pict>
          </mc:Fallback>
        </mc:AlternateContent>
      </w:r>
    </w:p>
    <w:p w14:paraId="28B7966B" w14:textId="1A1A300A" w:rsidR="00203FAB" w:rsidRPr="00CB1BF7" w:rsidRDefault="00203FAB" w:rsidP="002D14C0">
      <w:pPr>
        <w:rPr>
          <w:rFonts w:ascii="Roboto" w:hAnsi="Roboto"/>
        </w:rPr>
      </w:pPr>
    </w:p>
    <w:p w14:paraId="2612527A" w14:textId="50E0EFC4" w:rsidR="00203FAB" w:rsidRPr="00CB1BF7"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398910" behindDoc="0" locked="0" layoutInCell="1" allowOverlap="1" wp14:anchorId="10E3AD2E" wp14:editId="441A7C23">
                <wp:simplePos x="0" y="0"/>
                <wp:positionH relativeFrom="column">
                  <wp:posOffset>6517640</wp:posOffset>
                </wp:positionH>
                <wp:positionV relativeFrom="paragraph">
                  <wp:posOffset>132080</wp:posOffset>
                </wp:positionV>
                <wp:extent cx="5976620" cy="252095"/>
                <wp:effectExtent l="4762" t="0" r="0" b="0"/>
                <wp:wrapNone/>
                <wp:docPr id="288" name="Text Box 288"/>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5AF49931" w14:textId="14B51B08"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00659277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74A5D2C6"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E3AD2E" id="Text Box 288" o:spid="_x0000_s1215" type="#_x0000_t202" style="position:absolute;margin-left:513.2pt;margin-top:10.4pt;width:470.6pt;height:19.85pt;rotation:90;z-index:2553989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" fillcolor="white [3201]" stroked="f" strokeweight=".5pt">
                <v:textbox>
                  <w:txbxContent>
                    <w:p w14:paraId="5AF49931" w14:textId="14B51B08"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006592779"/>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74A5D2C6" w14:textId="77777777" w:rsidR="00D15FD8" w:rsidRDefault="00D15FD8" w:rsidP="003D7CCB"/>
                  </w:txbxContent>
                </v:textbox>
              </v:shape>
            </w:pict>
          </mc:Fallback>
        </mc:AlternateContent>
      </w:r>
    </w:p>
    <w:p w14:paraId="27F2D05D" w14:textId="32C5CD98" w:rsidR="00203FAB" w:rsidRPr="00CB1BF7" w:rsidRDefault="00203FAB" w:rsidP="002D14C0">
      <w:pPr>
        <w:rPr>
          <w:rFonts w:ascii="Roboto" w:hAnsi="Roboto"/>
        </w:rPr>
      </w:pPr>
    </w:p>
    <w:p w14:paraId="2930428C" w14:textId="0BAC3E27" w:rsidR="00203FAB" w:rsidRPr="00CB1BF7" w:rsidRDefault="00203FAB" w:rsidP="002D14C0">
      <w:pPr>
        <w:rPr>
          <w:rFonts w:ascii="Roboto" w:hAnsi="Roboto"/>
        </w:rPr>
      </w:pPr>
    </w:p>
    <w:p w14:paraId="3B75C8A1" w14:textId="77777777" w:rsidR="00203FAB" w:rsidRPr="00CB1BF7" w:rsidRDefault="00203FAB" w:rsidP="002D14C0">
      <w:pPr>
        <w:rPr>
          <w:rFonts w:ascii="Roboto" w:hAnsi="Roboto"/>
        </w:rPr>
      </w:pPr>
    </w:p>
    <w:p w14:paraId="309EA52D" w14:textId="77777777" w:rsidR="00203FAB" w:rsidRPr="00CB1BF7" w:rsidRDefault="00203FAB" w:rsidP="002D14C0">
      <w:pPr>
        <w:rPr>
          <w:rFonts w:ascii="Roboto" w:hAnsi="Roboto"/>
        </w:rPr>
      </w:pPr>
    </w:p>
    <w:p w14:paraId="51337D46" w14:textId="77777777" w:rsidR="00203FAB" w:rsidRPr="00CB1BF7" w:rsidRDefault="00203FAB" w:rsidP="002D14C0">
      <w:pPr>
        <w:rPr>
          <w:rFonts w:ascii="Roboto" w:hAnsi="Roboto"/>
        </w:rPr>
      </w:pPr>
    </w:p>
    <w:p w14:paraId="3F59BCAC" w14:textId="77777777" w:rsidR="00203FAB" w:rsidRPr="00CB1BF7" w:rsidRDefault="00203FAB" w:rsidP="002D14C0">
      <w:pPr>
        <w:rPr>
          <w:rFonts w:ascii="Roboto" w:hAnsi="Roboto"/>
        </w:rPr>
      </w:pPr>
    </w:p>
    <w:p w14:paraId="270F6CFB" w14:textId="6588E6F7" w:rsidR="00203FAB" w:rsidRPr="00CB1BF7" w:rsidRDefault="009918CC" w:rsidP="00B84F0E">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517694" behindDoc="0" locked="0" layoutInCell="1" allowOverlap="1" wp14:anchorId="6256D746" wp14:editId="4DAA7E23">
                <wp:simplePos x="0" y="0"/>
                <wp:positionH relativeFrom="column">
                  <wp:posOffset>5367647</wp:posOffset>
                </wp:positionH>
                <wp:positionV relativeFrom="paragraph">
                  <wp:posOffset>2068740</wp:posOffset>
                </wp:positionV>
                <wp:extent cx="3878317" cy="458667"/>
                <wp:effectExtent l="0" t="0" r="8255" b="0"/>
                <wp:wrapNone/>
                <wp:docPr id="425" name="Rectangle 425"/>
                <wp:cNvGraphicFramePr/>
                <a:graphic xmlns:a="http://schemas.openxmlformats.org/drawingml/2006/main">
                  <a:graphicData uri="http://schemas.microsoft.com/office/word/2010/wordprocessingShape">
                    <wps:wsp>
                      <wps:cNvSpPr/>
                      <wps:spPr>
                        <a:xfrm>
                          <a:off x="0" y="0"/>
                          <a:ext cx="3878317" cy="4586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11355A62" id="Rectangle 425" o:spid="_x0000_s1026" style="position:absolute;margin-left:422.65pt;margin-top:162.9pt;width:305.4pt;height:36.1pt;z-index:2555176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" fillcolor="white [3212]" stroked="f" strokeweight="1pt"/>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71198" behindDoc="1" locked="0" layoutInCell="1" allowOverlap="1" wp14:anchorId="68023119" wp14:editId="1E1DACB8">
                <wp:simplePos x="0" y="0"/>
                <wp:positionH relativeFrom="margin">
                  <wp:align>center</wp:align>
                </wp:positionH>
                <wp:positionV relativeFrom="margin">
                  <wp:align>center</wp:align>
                </wp:positionV>
                <wp:extent cx="9856189" cy="5972400"/>
                <wp:effectExtent l="12700" t="12700" r="12065" b="9525"/>
                <wp:wrapNone/>
                <wp:docPr id="2628" name="Rectangle 2628"/>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410AF"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23119" id="Rectangle 2628" o:spid="_x0000_s1216" style="position:absolute;margin-left:0;margin-top:0;width:776.1pt;height:470.25pt;z-index:-24854528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" fillcolor="#f2f2f2 [3052]" strokecolor="#16988a" strokeweight="1.5pt">
                <v:textbox>
                  <w:txbxContent>
                    <w:p w14:paraId="767410AF" w14:textId="77777777" w:rsidR="00D15FD8" w:rsidRPr="003625BA" w:rsidRDefault="00D15FD8" w:rsidP="003625BA">
                      <w:pPr>
                        <w:jc w:val="center"/>
                        <w:rPr>
                          <w:lang w:val="en-US"/>
                        </w:rPr>
                      </w:pPr>
                    </w:p>
                  </w:txbxContent>
                </v:textbox>
                <w10:wrap anchorx="margin" anchory="margin"/>
              </v:rect>
            </w:pict>
          </mc:Fallback>
        </mc:AlternateContent>
      </w:r>
      <w:r w:rsidR="00DB5B49">
        <w:rPr>
          <w:rFonts w:ascii="Roboto" w:hAnsi="Roboto"/>
        </w:rPr>
        <w:br w:type="page"/>
      </w:r>
    </w:p>
    <w:p w14:paraId="7586994B" w14:textId="3A95DC85" w:rsidR="00203FAB" w:rsidRPr="00CB1BF7"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519742" behindDoc="0" locked="0" layoutInCell="1" allowOverlap="1" wp14:anchorId="48302803" wp14:editId="405E4320">
                <wp:simplePos x="0" y="0"/>
                <wp:positionH relativeFrom="column">
                  <wp:posOffset>-267949</wp:posOffset>
                </wp:positionH>
                <wp:positionV relativeFrom="paragraph">
                  <wp:posOffset>-552275</wp:posOffset>
                </wp:positionV>
                <wp:extent cx="3878317" cy="268014"/>
                <wp:effectExtent l="0" t="0" r="0" b="0"/>
                <wp:wrapNone/>
                <wp:docPr id="426" name="Rectangle 426"/>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508C52B6" id="Rectangle 426" o:spid="_x0000_s1026" style="position:absolute;margin-left:-21.1pt;margin-top:-43.5pt;width:305.4pt;height:21.1pt;z-index:2555197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" fillcolor="white [3212]" stroked="f" strokeweight="1pt"/>
            </w:pict>
          </mc:Fallback>
        </mc:AlternateContent>
      </w:r>
      <w:r w:rsidR="005F79AB" w:rsidRPr="00CB1BF7">
        <w:rPr>
          <w:rFonts w:ascii="Roboto" w:hAnsi="Roboto"/>
          <w:noProof/>
          <w:lang w:val="en-US"/>
        </w:rPr>
        <mc:AlternateContent>
          <mc:Choice Requires="wps">
            <w:drawing>
              <wp:anchor distT="0" distB="0" distL="114300" distR="114300" simplePos="0" relativeHeight="253711358" behindDoc="0" locked="0" layoutInCell="1" allowOverlap="1" wp14:anchorId="6817CBDB" wp14:editId="13FCFAD3">
                <wp:simplePos x="0" y="0"/>
                <wp:positionH relativeFrom="margin">
                  <wp:posOffset>-173355</wp:posOffset>
                </wp:positionH>
                <wp:positionV relativeFrom="paragraph">
                  <wp:posOffset>200769</wp:posOffset>
                </wp:positionV>
                <wp:extent cx="9222828" cy="5328744"/>
                <wp:effectExtent l="0" t="0" r="0" b="0"/>
                <wp:wrapNone/>
                <wp:docPr id="1965" name="Text Box 1965"/>
                <wp:cNvGraphicFramePr/>
                <a:graphic xmlns:a="http://schemas.openxmlformats.org/drawingml/2006/main">
                  <a:graphicData uri="http://schemas.microsoft.com/office/word/2010/wordprocessingShape">
                    <wps:wsp>
                      <wps:cNvSpPr txBox="1"/>
                      <wps:spPr>
                        <a:xfrm>
                          <a:off x="0" y="0"/>
                          <a:ext cx="9222828" cy="5328744"/>
                        </a:xfrm>
                        <a:prstGeom prst="rect">
                          <a:avLst/>
                        </a:prstGeom>
                        <a:noFill/>
                        <a:ln w="6350">
                          <a:noFill/>
                        </a:ln>
                      </wps:spPr>
                      <wps:txbx>
                        <w:txbxContent>
                          <w:p w14:paraId="3BDF9AAA"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Depth:</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support each public engagement by providing all relevant information, highlighting and informing key policy objectives, options, choices and trade-offs, identifying potential social, economic, and environmental impacts, and incorporating a diversity of perspectives; provide timely and specific feedback on public inputs and how they have been incorporated or not in official policy or advice. </w:t>
                            </w:r>
                          </w:p>
                          <w:p w14:paraId="0C3D3544"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Proportionality: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use a mix of engagement mechanisms proportionate to the scale and impact of the issue or policy concerned. </w:t>
                            </w:r>
                          </w:p>
                          <w:p w14:paraId="23312C73"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B54707">
                              <w:rPr>
                                <w:rFonts w:ascii="Roboto" w:eastAsia="Calibri" w:hAnsi="Roboto" w:cs="Calibri"/>
                                <w:b/>
                                <w:color w:val="1E9A8C"/>
                                <w:sz w:val="20"/>
                                <w:szCs w:val="20"/>
                              </w:rPr>
                              <w:t>Sustainability:</w:t>
                            </w:r>
                            <w:r w:rsidRPr="00CB1BF7">
                              <w:rPr>
                                <w:rFonts w:ascii="Roboto" w:eastAsia="Calibri" w:hAnsi="Roboto" w:cs="Calibri"/>
                                <w:color w:val="404040" w:themeColor="text1" w:themeTint="BF"/>
                                <w:sz w:val="20"/>
                                <w:szCs w:val="20"/>
                              </w:rPr>
                              <w:t xml:space="preserve"> all state and non-state entities conduct on-going and regular engagement to increase knowledge sharing and mutual trust over time; institutionalize public participation where appropriate and effective, ensuring that feedback provided leads to review of fiscal policies decisions; and regularly review and evaluate experience to improve future engagement.</w:t>
                            </w:r>
                          </w:p>
                          <w:p w14:paraId="3082FAD7"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Complementarity: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ensure mechanisms for public participation and citizen engagement complement and increase the effectiveness of existing governance and accountability systems.</w:t>
                            </w:r>
                          </w:p>
                          <w:p w14:paraId="2BDDD363"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Reciprocity: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all state and non-state entities taking part in public engagement activities should be open about their mission, the interests they seek to advance, and who they represent; should commit to and observe all agreed rules for engagement; and should cooperate to achieve the objectives of the engagement.</w:t>
                            </w:r>
                          </w:p>
                          <w:p w14:paraId="7803492A" w14:textId="77777777" w:rsidR="00D15FD8" w:rsidRPr="00CB1BF7" w:rsidRDefault="00D15FD8" w:rsidP="002D14C0">
                            <w:pPr>
                              <w:spacing w:after="160" w:line="259" w:lineRule="auto"/>
                              <w:suppressOverlap/>
                              <w:rPr>
                                <w:rFonts w:ascii="Roboto" w:eastAsia="Calibri" w:hAnsi="Roboto" w:cs="Calibri"/>
                                <w:bCs/>
                                <w:color w:val="404040" w:themeColor="text1" w:themeTint="BF"/>
                                <w:sz w:val="20"/>
                                <w:szCs w:val="20"/>
                              </w:rPr>
                            </w:pPr>
                            <w:r w:rsidRPr="00CB1BF7">
                              <w:rPr>
                                <w:rFonts w:ascii="Roboto" w:eastAsia="Calibri" w:hAnsi="Roboto" w:cs="Calibri"/>
                                <w:b/>
                                <w:bCs/>
                                <w:color w:val="1E9A8C"/>
                                <w:sz w:val="20"/>
                                <w:szCs w:val="20"/>
                              </w:rPr>
                              <w:t>[GIFT and the Open Government Partnership:</w:t>
                            </w:r>
                            <w:r w:rsidRPr="00CB1BF7">
                              <w:rPr>
                                <w:rFonts w:ascii="Roboto" w:eastAsia="Calibri" w:hAnsi="Roboto" w:cs="Calibri"/>
                                <w:bCs/>
                                <w:color w:val="1E9A8C"/>
                                <w:sz w:val="20"/>
                                <w:szCs w:val="20"/>
                              </w:rPr>
                              <w:t xml:space="preserve"> </w:t>
                            </w:r>
                            <w:hyperlink r:id="rId361" w:history="1">
                              <w:r w:rsidRPr="00CB1BF7">
                                <w:rPr>
                                  <w:rStyle w:val="Hyperlink"/>
                                  <w:rFonts w:ascii="Roboto" w:eastAsia="Calibri" w:hAnsi="Roboto" w:cs="Calibri"/>
                                  <w:bCs/>
                                  <w:color w:val="F26C21"/>
                                  <w:sz w:val="20"/>
                                  <w:szCs w:val="20"/>
                                </w:rPr>
                                <w:t>Guide on Principles and Mechanisms on Public Participation in Fiscal Policy</w:t>
                              </w:r>
                            </w:hyperlink>
                            <w:r w:rsidRPr="00CB1BF7">
                              <w:rPr>
                                <w:rFonts w:ascii="Roboto" w:eastAsia="Calibri" w:hAnsi="Roboto" w:cs="Calibri"/>
                                <w:bCs/>
                                <w:color w:val="F26C21"/>
                                <w:sz w:val="20"/>
                                <w:szCs w:val="20"/>
                              </w:rPr>
                              <w:t xml:space="preserve"> </w:t>
                            </w:r>
                            <w:r w:rsidRPr="00CB1BF7">
                              <w:rPr>
                                <w:rFonts w:ascii="Roboto" w:eastAsia="Calibri" w:hAnsi="Roboto" w:cs="Calibri"/>
                                <w:bCs/>
                                <w:color w:val="404040" w:themeColor="text1" w:themeTint="BF"/>
                                <w:sz w:val="20"/>
                                <w:szCs w:val="20"/>
                              </w:rPr>
                              <w:t>(2016):  Describes participation practices that illustrate the Principles, and organizes them across a number of dimensions to provide “how to” guidance tailored to those who wish to implement similar efforts].</w:t>
                            </w:r>
                          </w:p>
                          <w:p w14:paraId="311AC60C" w14:textId="77777777" w:rsidR="00D15FD8" w:rsidRPr="00CB1BF7" w:rsidRDefault="00D15FD8" w:rsidP="002D14C0">
                            <w:pPr>
                              <w:spacing w:after="160" w:line="259" w:lineRule="auto"/>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IMF:</w:t>
                            </w:r>
                            <w:r w:rsidRPr="00CB1BF7">
                              <w:rPr>
                                <w:rFonts w:ascii="Roboto" w:eastAsia="Calibri" w:hAnsi="Roboto" w:cs="Calibri"/>
                                <w:bCs/>
                                <w:color w:val="1E9A8C"/>
                                <w:sz w:val="20"/>
                                <w:szCs w:val="20"/>
                              </w:rPr>
                              <w:t xml:space="preserve"> </w:t>
                            </w:r>
                            <w:hyperlink r:id="rId362" w:history="1">
                              <w:r w:rsidRPr="00CB1BF7">
                                <w:rPr>
                                  <w:rStyle w:val="Hyperlink"/>
                                  <w:rFonts w:ascii="Roboto" w:eastAsia="Calibri" w:hAnsi="Roboto" w:cs="Calibri"/>
                                  <w:bCs/>
                                  <w:color w:val="F26C21"/>
                                  <w:sz w:val="20"/>
                                  <w:szCs w:val="20"/>
                                </w:rPr>
                                <w:t>Fiscal Transparency Code</w:t>
                              </w:r>
                            </w:hyperlink>
                            <w:r w:rsidRPr="00CB1BF7">
                              <w:rPr>
                                <w:rFonts w:ascii="Roboto" w:eastAsia="Calibri" w:hAnsi="Roboto" w:cs="Calibri"/>
                                <w:bCs/>
                                <w:color w:val="F26C21"/>
                                <w:sz w:val="20"/>
                                <w:szCs w:val="20"/>
                              </w:rPr>
                              <w:t xml:space="preserve"> </w:t>
                            </w:r>
                            <w:r w:rsidRPr="00CB1BF7">
                              <w:rPr>
                                <w:rFonts w:ascii="Roboto" w:eastAsia="Calibri" w:hAnsi="Roboto" w:cs="Calibri"/>
                                <w:bCs/>
                                <w:color w:val="404040" w:themeColor="text1" w:themeTint="BF"/>
                                <w:sz w:val="20"/>
                                <w:szCs w:val="20"/>
                              </w:rPr>
                              <w:t xml:space="preserve">(2019): Principle 2.3.3: </w:t>
                            </w:r>
                            <w:r w:rsidRPr="00CB1BF7">
                              <w:rPr>
                                <w:rFonts w:ascii="Roboto" w:eastAsia="Calibri" w:hAnsi="Roboto" w:cs="Calibri"/>
                                <w:bCs/>
                                <w:color w:val="404040" w:themeColor="text1" w:themeTint="BF"/>
                                <w:sz w:val="20"/>
                                <w:szCs w:val="20"/>
                                <w:lang w:val="en-ZA"/>
                              </w:rPr>
                              <w:t>Public Participation:</w:t>
                            </w:r>
                            <w:r w:rsidRPr="00CB1BF7">
                              <w:rPr>
                                <w:rFonts w:ascii="Roboto" w:eastAsia="Calibri" w:hAnsi="Roboto" w:cs="Calibri"/>
                                <w:b/>
                                <w:bCs/>
                                <w:color w:val="404040" w:themeColor="text1" w:themeTint="BF"/>
                                <w:sz w:val="20"/>
                                <w:szCs w:val="20"/>
                                <w:lang w:val="en-ZA"/>
                              </w:rPr>
                              <w:t xml:space="preserve"> </w:t>
                            </w:r>
                            <w:r w:rsidRPr="00CB1BF7">
                              <w:rPr>
                                <w:rFonts w:ascii="Roboto" w:eastAsia="Calibri" w:hAnsi="Roboto" w:cs="Calibri"/>
                                <w:color w:val="404040" w:themeColor="text1" w:themeTint="BF"/>
                                <w:sz w:val="20"/>
                                <w:szCs w:val="20"/>
                                <w:lang w:val="en-ZA"/>
                              </w:rPr>
                              <w:t>The government should provide citizens with an accessible summary of the implications of budget policies and an opportunity to participate in budget deliberations</w:t>
                            </w:r>
                            <w:r w:rsidRPr="00CB1BF7">
                              <w:rPr>
                                <w:rFonts w:ascii="Roboto" w:eastAsia="Calibri" w:hAnsi="Roboto" w:cs="Calibri"/>
                                <w:color w:val="404040" w:themeColor="text1" w:themeTint="BF"/>
                                <w:sz w:val="20"/>
                                <w:szCs w:val="20"/>
                              </w:rPr>
                              <w:t xml:space="preserve">. Pillar IV states that </w:t>
                            </w:r>
                            <w:r w:rsidRPr="00CB1BF7">
                              <w:rPr>
                                <w:rFonts w:ascii="Roboto" w:eastAsia="Calibri" w:hAnsi="Roboto" w:cs="Calibri"/>
                                <w:bCs/>
                                <w:color w:val="404040" w:themeColor="text1" w:themeTint="BF"/>
                                <w:sz w:val="20"/>
                                <w:szCs w:val="20"/>
                                <w:lang w:val="en-ZA"/>
                              </w:rPr>
                              <w:t>Government revenues from natural resource exploration and extraction activity should be collected, managed, and disbursed in an open and transparent manner.</w:t>
                            </w:r>
                          </w:p>
                          <w:p w14:paraId="6B2C8283" w14:textId="77777777" w:rsidR="00D15FD8" w:rsidRPr="00CB1BF7" w:rsidRDefault="00D15FD8" w:rsidP="002D14C0">
                            <w:pPr>
                              <w:suppressOverlap/>
                              <w:rPr>
                                <w:rFonts w:ascii="Roboto" w:eastAsia="Calibri" w:hAnsi="Roboto" w:cs="Calibri"/>
                                <w:bCs/>
                                <w:i/>
                                <w:color w:val="1E9A8C"/>
                                <w:sz w:val="20"/>
                                <w:szCs w:val="20"/>
                              </w:rPr>
                            </w:pPr>
                            <w:r w:rsidRPr="00CB1BF7">
                              <w:rPr>
                                <w:rFonts w:ascii="Roboto" w:eastAsia="Calibri" w:hAnsi="Roboto" w:cs="Calibri"/>
                                <w:b/>
                                <w:bCs/>
                                <w:color w:val="1E9A8C"/>
                                <w:sz w:val="20"/>
                                <w:szCs w:val="20"/>
                              </w:rPr>
                              <w:t>OECD</w:t>
                            </w:r>
                            <w:r w:rsidRPr="00CB1BF7">
                              <w:rPr>
                                <w:rFonts w:ascii="Roboto" w:eastAsia="Calibri" w:hAnsi="Roboto" w:cs="Calibri"/>
                                <w:bCs/>
                                <w:color w:val="1E9A8C"/>
                                <w:sz w:val="20"/>
                                <w:szCs w:val="20"/>
                              </w:rPr>
                              <w:t>:</w:t>
                            </w:r>
                            <w:r w:rsidRPr="00CB1BF7">
                              <w:rPr>
                                <w:rFonts w:ascii="Roboto" w:eastAsia="Calibri" w:hAnsi="Roboto" w:cs="Calibri"/>
                                <w:bCs/>
                                <w:i/>
                                <w:color w:val="1E9A8C"/>
                                <w:sz w:val="20"/>
                                <w:szCs w:val="20"/>
                              </w:rPr>
                              <w:t xml:space="preserve"> </w:t>
                            </w:r>
                          </w:p>
                          <w:p w14:paraId="2597D8B9" w14:textId="77777777" w:rsidR="00D15FD8" w:rsidRPr="00CB1BF7" w:rsidRDefault="00AC4DF7" w:rsidP="00113300">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63" w:history="1">
                              <w:r w:rsidR="00D15FD8" w:rsidRPr="00CB1BF7">
                                <w:rPr>
                                  <w:rStyle w:val="Hyperlink"/>
                                  <w:rFonts w:ascii="Roboto" w:eastAsia="Calibri" w:hAnsi="Roboto" w:cs="Calibri"/>
                                  <w:bCs/>
                                  <w:color w:val="F26C21"/>
                                  <w:sz w:val="20"/>
                                  <w:szCs w:val="20"/>
                                </w:rPr>
                                <w:t>Recommendation of the Council on Budgetary Governance</w:t>
                              </w:r>
                            </w:hyperlink>
                            <w:r w:rsidR="00D15FD8" w:rsidRPr="00CB1BF7">
                              <w:rPr>
                                <w:rFonts w:ascii="Roboto" w:eastAsia="Calibri" w:hAnsi="Roboto" w:cs="Calibri"/>
                                <w:bCs/>
                                <w:color w:val="F26C21"/>
                                <w:sz w:val="20"/>
                                <w:szCs w:val="20"/>
                              </w:rPr>
                              <w:t xml:space="preserve"> </w:t>
                            </w:r>
                            <w:r w:rsidR="00D15FD8" w:rsidRPr="00CB1BF7">
                              <w:rPr>
                                <w:rFonts w:ascii="Roboto" w:eastAsia="Calibri" w:hAnsi="Roboto" w:cs="Calibri"/>
                                <w:bCs/>
                                <w:color w:val="404040" w:themeColor="text1" w:themeTint="BF"/>
                                <w:sz w:val="20"/>
                                <w:szCs w:val="20"/>
                              </w:rPr>
                              <w:t xml:space="preserve">(2015): </w:t>
                            </w:r>
                            <w:r w:rsidR="00D15FD8" w:rsidRPr="00CB1BF7">
                              <w:rPr>
                                <w:rFonts w:ascii="Roboto" w:eastAsia="Calibri" w:hAnsi="Roboto" w:cs="Calibri"/>
                                <w:color w:val="404040" w:themeColor="text1" w:themeTint="BF"/>
                                <w:sz w:val="20"/>
                                <w:szCs w:val="20"/>
                              </w:rPr>
                              <w:t xml:space="preserve">Principle 5: </w:t>
                            </w:r>
                            <w:r w:rsidR="00D15FD8" w:rsidRPr="00CB1BF7">
                              <w:rPr>
                                <w:rFonts w:ascii="Roboto" w:eastAsia="Calibri" w:hAnsi="Roboto" w:cs="Calibri"/>
                                <w:bCs/>
                                <w:color w:val="404040" w:themeColor="text1" w:themeTint="BF"/>
                                <w:sz w:val="20"/>
                                <w:szCs w:val="20"/>
                              </w:rPr>
                              <w:t>D</w:t>
                            </w:r>
                            <w:r w:rsidR="00D15FD8" w:rsidRPr="00CB1BF7">
                              <w:rPr>
                                <w:rFonts w:ascii="Roboto" w:eastAsia="Calibri" w:hAnsi="Roboto" w:cs="Calibri"/>
                                <w:color w:val="404040" w:themeColor="text1" w:themeTint="BF"/>
                                <w:sz w:val="20"/>
                                <w:szCs w:val="20"/>
                              </w:rPr>
                              <w:t>ebate on budgetary choices should be inclusive, participative and realistic.</w:t>
                            </w:r>
                          </w:p>
                          <w:p w14:paraId="4D61F1DF" w14:textId="77777777" w:rsidR="00D15FD8" w:rsidRPr="00CB1BF7" w:rsidRDefault="00AC4DF7" w:rsidP="00113300">
                            <w:pPr>
                              <w:pStyle w:val="ListParagraph"/>
                              <w:numPr>
                                <w:ilvl w:val="0"/>
                                <w:numId w:val="29"/>
                              </w:numPr>
                              <w:ind w:left="308" w:hanging="308"/>
                              <w:suppressOverlap/>
                              <w:rPr>
                                <w:rFonts w:ascii="Roboto" w:eastAsia="Calibri" w:hAnsi="Roboto" w:cs="Calibri"/>
                                <w:bCs/>
                                <w:iCs/>
                                <w:color w:val="404040" w:themeColor="text1" w:themeTint="BF"/>
                                <w:sz w:val="20"/>
                                <w:szCs w:val="20"/>
                              </w:rPr>
                            </w:pPr>
                            <w:hyperlink r:id="rId364" w:history="1">
                              <w:r w:rsidR="00D15FD8" w:rsidRPr="00CB1BF7">
                                <w:rPr>
                                  <w:rStyle w:val="Hyperlink"/>
                                  <w:rFonts w:ascii="Roboto" w:eastAsia="Calibri" w:hAnsi="Roboto" w:cs="Calibri"/>
                                  <w:color w:val="F26C21"/>
                                  <w:sz w:val="20"/>
                                  <w:szCs w:val="20"/>
                                </w:rPr>
                                <w:t>Budget Transparency Toolkit</w:t>
                              </w:r>
                            </w:hyperlink>
                            <w:r w:rsidR="00D15FD8" w:rsidRPr="00CB1BF7">
                              <w:rPr>
                                <w:rFonts w:ascii="Roboto" w:eastAsia="Calibri" w:hAnsi="Roboto" w:cs="Calibri"/>
                                <w:color w:val="F26C21"/>
                                <w:sz w:val="20"/>
                                <w:szCs w:val="20"/>
                              </w:rPr>
                              <w:t xml:space="preserve"> </w:t>
                            </w:r>
                            <w:r w:rsidR="00D15FD8" w:rsidRPr="00CB1BF7">
                              <w:rPr>
                                <w:rFonts w:ascii="Roboto" w:eastAsia="Calibri" w:hAnsi="Roboto" w:cs="Calibri"/>
                                <w:color w:val="404040" w:themeColor="text1" w:themeTint="BF"/>
                                <w:sz w:val="20"/>
                                <w:szCs w:val="20"/>
                              </w:rPr>
                              <w:t>(2017)</w:t>
                            </w:r>
                            <w:r w:rsidR="00D15FD8" w:rsidRPr="00CB1BF7">
                              <w:rPr>
                                <w:rFonts w:ascii="Roboto" w:eastAsia="Calibri" w:hAnsi="Roboto" w:cs="Calibri"/>
                                <w:bCs/>
                                <w:iCs/>
                                <w:color w:val="404040" w:themeColor="text1" w:themeTint="BF"/>
                                <w:sz w:val="20"/>
                                <w:szCs w:val="20"/>
                              </w:rPr>
                              <w:t>:</w:t>
                            </w:r>
                            <w:r w:rsidR="00D15FD8" w:rsidRPr="00CB1BF7">
                              <w:rPr>
                                <w:rFonts w:ascii="Roboto" w:eastAsia="Calibri" w:hAnsi="Roboto" w:cs="Calibri"/>
                                <w:bCs/>
                                <w:color w:val="404040" w:themeColor="text1" w:themeTint="BF"/>
                                <w:sz w:val="20"/>
                                <w:szCs w:val="20"/>
                              </w:rPr>
                              <w:t xml:space="preserve"> </w:t>
                            </w:r>
                            <w:r w:rsidR="00D15FD8" w:rsidRPr="00CB1BF7">
                              <w:rPr>
                                <w:rFonts w:ascii="Roboto" w:eastAsia="Calibri" w:hAnsi="Roboto" w:cs="Calibri"/>
                                <w:color w:val="404040" w:themeColor="text1" w:themeTint="BF"/>
                                <w:sz w:val="20"/>
                                <w:szCs w:val="20"/>
                              </w:rPr>
                              <w:t>Defines ‘openness and civic engagement’ as one of the five elements in its organising framework, and contains a component on inclusive, participative budgeting with three topics: J1, elements in designing a participation process; J2, supporting realistic and informed debate; J3, providing opportunities for participative approaches across the budget cycle.</w:t>
                            </w:r>
                          </w:p>
                          <w:p w14:paraId="4188C87C" w14:textId="77777777" w:rsidR="00D15FD8" w:rsidRPr="00CB1BF7" w:rsidRDefault="00D15FD8" w:rsidP="002D14C0">
                            <w:pPr>
                              <w:suppressOverlap/>
                              <w:rPr>
                                <w:rFonts w:ascii="Roboto" w:eastAsia="Calibri" w:hAnsi="Roboto" w:cs="Calibri"/>
                                <w:bCs/>
                                <w:iCs/>
                                <w:color w:val="404040" w:themeColor="text1" w:themeTint="BF"/>
                                <w:sz w:val="20"/>
                                <w:szCs w:val="20"/>
                              </w:rPr>
                            </w:pPr>
                          </w:p>
                          <w:p w14:paraId="37801A09" w14:textId="77777777" w:rsidR="00D15FD8" w:rsidRPr="00CB1BF7" w:rsidRDefault="00AC4DF7" w:rsidP="002D14C0">
                            <w:pPr>
                              <w:suppressOverlap/>
                              <w:rPr>
                                <w:rFonts w:ascii="Roboto" w:eastAsia="Calibri" w:hAnsi="Roboto" w:cs="Calibri"/>
                                <w:color w:val="404040" w:themeColor="text1" w:themeTint="BF"/>
                                <w:sz w:val="20"/>
                                <w:szCs w:val="20"/>
                              </w:rPr>
                            </w:pPr>
                            <w:hyperlink r:id="rId365" w:history="1">
                              <w:r w:rsidR="00D15FD8" w:rsidRPr="00CB1BF7">
                                <w:rPr>
                                  <w:rStyle w:val="Hyperlink"/>
                                  <w:rFonts w:ascii="Roboto" w:eastAsia="Calibri" w:hAnsi="Roboto" w:cs="Calibri"/>
                                  <w:bCs/>
                                  <w:iCs/>
                                  <w:color w:val="F26C21"/>
                                  <w:sz w:val="20"/>
                                  <w:szCs w:val="20"/>
                                </w:rPr>
                                <w:t>Extractive Industries Transparency Initiative (EITI) Standard</w:t>
                              </w:r>
                            </w:hyperlink>
                            <w:r w:rsidR="00D15FD8" w:rsidRPr="00CB1BF7">
                              <w:rPr>
                                <w:rFonts w:ascii="Roboto" w:eastAsia="Calibri" w:hAnsi="Roboto" w:cs="Calibri"/>
                                <w:bCs/>
                                <w:iCs/>
                                <w:color w:val="404040" w:themeColor="text1" w:themeTint="BF"/>
                                <w:sz w:val="20"/>
                                <w:szCs w:val="20"/>
                              </w:rPr>
                              <w:t xml:space="preserve"> (2019): </w:t>
                            </w:r>
                            <w:r w:rsidR="00D15FD8" w:rsidRPr="00CB1BF7">
                              <w:rPr>
                                <w:rFonts w:ascii="Roboto" w:eastAsia="Calibri" w:hAnsi="Roboto" w:cs="Calibri"/>
                                <w:color w:val="404040" w:themeColor="text1" w:themeTint="BF"/>
                                <w:sz w:val="20"/>
                                <w:szCs w:val="20"/>
                              </w:rPr>
                              <w:t xml:space="preserve">Requirement 1: </w:t>
                            </w:r>
                            <w:r w:rsidR="00D15FD8" w:rsidRPr="00CB1BF7">
                              <w:rPr>
                                <w:rFonts w:ascii="Roboto" w:eastAsia="Calibri" w:hAnsi="Roboto" w:cs="Calibri"/>
                                <w:bCs/>
                                <w:iCs/>
                                <w:color w:val="404040" w:themeColor="text1" w:themeTint="BF"/>
                                <w:sz w:val="20"/>
                                <w:szCs w:val="20"/>
                              </w:rPr>
                              <w:t>R</w:t>
                            </w:r>
                            <w:r w:rsidR="00D15FD8" w:rsidRPr="00CB1BF7">
                              <w:rPr>
                                <w:rFonts w:ascii="Roboto" w:eastAsia="Calibri" w:hAnsi="Roboto" w:cs="Calibri"/>
                                <w:color w:val="404040" w:themeColor="text1" w:themeTint="BF"/>
                                <w:sz w:val="20"/>
                                <w:szCs w:val="20"/>
                              </w:rPr>
                              <w:t xml:space="preserve">equires effective multi-stakeholder oversight, including a functioning multi-stakeholder group that involves the government, companies, and the full, independent, active and effective participation of civil society. Requirement 7: Also seeks to ensure that stakeholders are engaged in dialogue about natural resource revenue management, for instance, by the multi-stakeholder group ensuring that outreach events are undertaken to spread awareness of and facilitate dialogue about governance of extractive resources, building on EITI disclosures across the country in a socially inclusive manner. </w:t>
                            </w:r>
                          </w:p>
                          <w:p w14:paraId="48738EB4" w14:textId="378104D2" w:rsidR="00D15FD8" w:rsidRPr="00CB1BF7"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7CBDB" id="Text Box 1965" o:spid="_x0000_s1217" type="#_x0000_t202" style="position:absolute;margin-left:-13.65pt;margin-top:15.8pt;width:726.2pt;height:419.6pt;z-index:253711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" filled="f" stroked="f" strokeweight=".5pt">
                <v:textbox>
                  <w:txbxContent>
                    <w:p w14:paraId="3BDF9AAA"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Depth:</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support each public engagement by providing all relevant information, highlighting and informing key policy objectives, options, choices and trade-offs, identifying potential social, economic, and environmental impacts, and incorporating a diversity of perspectives; provide timely and specific feedback on public inputs and how they have been incorporated or not in official policy or advice. </w:t>
                      </w:r>
                    </w:p>
                    <w:p w14:paraId="0C3D3544"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Proportionality: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 xml:space="preserve">use a mix of engagement mechanisms proportionate to the scale and impact of the issue or policy concerned. </w:t>
                      </w:r>
                    </w:p>
                    <w:p w14:paraId="23312C73"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B54707">
                        <w:rPr>
                          <w:rFonts w:ascii="Roboto" w:eastAsia="Calibri" w:hAnsi="Roboto" w:cs="Calibri"/>
                          <w:b/>
                          <w:color w:val="1E9A8C"/>
                          <w:sz w:val="20"/>
                          <w:szCs w:val="20"/>
                        </w:rPr>
                        <w:t>Sustainability:</w:t>
                      </w:r>
                      <w:r w:rsidRPr="00CB1BF7">
                        <w:rPr>
                          <w:rFonts w:ascii="Roboto" w:eastAsia="Calibri" w:hAnsi="Roboto" w:cs="Calibri"/>
                          <w:color w:val="404040" w:themeColor="text1" w:themeTint="BF"/>
                          <w:sz w:val="20"/>
                          <w:szCs w:val="20"/>
                        </w:rPr>
                        <w:t xml:space="preserve"> all state and non-state entities conduct on-going and regular engagement to increase knowledge sharing and mutual trust over time; institutionalize public participation where appropriate and effective, ensuring that feedback provided leads to review of fiscal policies decisions; and regularly review and evaluate experience to improve future engagement.</w:t>
                      </w:r>
                    </w:p>
                    <w:p w14:paraId="3082FAD7"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Complementarity: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ensure mechanisms for public participation and citizen engagement complement and increase the effectiveness of existing governance and accountability systems.</w:t>
                      </w:r>
                    </w:p>
                    <w:p w14:paraId="2BDDD363" w14:textId="77777777" w:rsidR="00D15FD8" w:rsidRPr="00CB1BF7" w:rsidRDefault="00D15FD8" w:rsidP="00113300">
                      <w:pPr>
                        <w:numPr>
                          <w:ilvl w:val="0"/>
                          <w:numId w:val="38"/>
                        </w:num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Reciprocity:</w:t>
                      </w:r>
                      <w:r w:rsidRPr="00CB1BF7">
                        <w:rPr>
                          <w:rFonts w:ascii="Roboto" w:eastAsia="Calibri" w:hAnsi="Roboto" w:cs="Calibri"/>
                          <w:color w:val="1E9A8C"/>
                          <w:sz w:val="20"/>
                          <w:szCs w:val="20"/>
                        </w:rPr>
                        <w:t xml:space="preserve"> </w:t>
                      </w:r>
                      <w:r w:rsidRPr="00CB1BF7">
                        <w:rPr>
                          <w:rFonts w:ascii="Roboto" w:eastAsia="Calibri" w:hAnsi="Roboto" w:cs="Calibri"/>
                          <w:color w:val="404040" w:themeColor="text1" w:themeTint="BF"/>
                          <w:sz w:val="20"/>
                          <w:szCs w:val="20"/>
                        </w:rPr>
                        <w:t>all state and non-state entities taking part in public engagement activities should be open about their mission, the interests they seek to advance, and who they represent; should commit to and observe all agreed rules for engagement; and should cooperate to achieve the objectives of the engagement.</w:t>
                      </w:r>
                    </w:p>
                    <w:p w14:paraId="7803492A" w14:textId="77777777" w:rsidR="00D15FD8" w:rsidRPr="00CB1BF7" w:rsidRDefault="00D15FD8" w:rsidP="002D14C0">
                      <w:pPr>
                        <w:spacing w:after="160" w:line="259" w:lineRule="auto"/>
                        <w:suppressOverlap/>
                        <w:rPr>
                          <w:rFonts w:ascii="Roboto" w:eastAsia="Calibri" w:hAnsi="Roboto" w:cs="Calibri"/>
                          <w:bCs/>
                          <w:color w:val="404040" w:themeColor="text1" w:themeTint="BF"/>
                          <w:sz w:val="20"/>
                          <w:szCs w:val="20"/>
                        </w:rPr>
                      </w:pPr>
                      <w:r w:rsidRPr="00CB1BF7">
                        <w:rPr>
                          <w:rFonts w:ascii="Roboto" w:eastAsia="Calibri" w:hAnsi="Roboto" w:cs="Calibri"/>
                          <w:b/>
                          <w:bCs/>
                          <w:color w:val="1E9A8C"/>
                          <w:sz w:val="20"/>
                          <w:szCs w:val="20"/>
                        </w:rPr>
                        <w:t>[GIFT and the Open Government Partnership:</w:t>
                      </w:r>
                      <w:r w:rsidRPr="00CB1BF7">
                        <w:rPr>
                          <w:rFonts w:ascii="Roboto" w:eastAsia="Calibri" w:hAnsi="Roboto" w:cs="Calibri"/>
                          <w:bCs/>
                          <w:color w:val="1E9A8C"/>
                          <w:sz w:val="20"/>
                          <w:szCs w:val="20"/>
                        </w:rPr>
                        <w:t xml:space="preserve"> </w:t>
                      </w:r>
                      <w:hyperlink r:id="rId366" w:history="1">
                        <w:r w:rsidRPr="00CB1BF7">
                          <w:rPr>
                            <w:rStyle w:val="Hyperlink"/>
                            <w:rFonts w:ascii="Roboto" w:eastAsia="Calibri" w:hAnsi="Roboto" w:cs="Calibri"/>
                            <w:bCs/>
                            <w:color w:val="F26C21"/>
                            <w:sz w:val="20"/>
                            <w:szCs w:val="20"/>
                          </w:rPr>
                          <w:t>Guide on Principles and Mechanisms on Public Participation in Fiscal Policy</w:t>
                        </w:r>
                      </w:hyperlink>
                      <w:r w:rsidRPr="00CB1BF7">
                        <w:rPr>
                          <w:rFonts w:ascii="Roboto" w:eastAsia="Calibri" w:hAnsi="Roboto" w:cs="Calibri"/>
                          <w:bCs/>
                          <w:color w:val="F26C21"/>
                          <w:sz w:val="20"/>
                          <w:szCs w:val="20"/>
                        </w:rPr>
                        <w:t xml:space="preserve"> </w:t>
                      </w:r>
                      <w:r w:rsidRPr="00CB1BF7">
                        <w:rPr>
                          <w:rFonts w:ascii="Roboto" w:eastAsia="Calibri" w:hAnsi="Roboto" w:cs="Calibri"/>
                          <w:bCs/>
                          <w:color w:val="404040" w:themeColor="text1" w:themeTint="BF"/>
                          <w:sz w:val="20"/>
                          <w:szCs w:val="20"/>
                        </w:rPr>
                        <w:t>(2016):  Describes participation practices that illustrate the Principles, and organizes them across a number of dimensions to provide “how to” guidance tailored to those who wish to implement similar efforts].</w:t>
                      </w:r>
                    </w:p>
                    <w:p w14:paraId="311AC60C" w14:textId="77777777" w:rsidR="00D15FD8" w:rsidRPr="00CB1BF7" w:rsidRDefault="00D15FD8" w:rsidP="002D14C0">
                      <w:pPr>
                        <w:spacing w:after="160" w:line="259" w:lineRule="auto"/>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IMF:</w:t>
                      </w:r>
                      <w:r w:rsidRPr="00CB1BF7">
                        <w:rPr>
                          <w:rFonts w:ascii="Roboto" w:eastAsia="Calibri" w:hAnsi="Roboto" w:cs="Calibri"/>
                          <w:bCs/>
                          <w:color w:val="1E9A8C"/>
                          <w:sz w:val="20"/>
                          <w:szCs w:val="20"/>
                        </w:rPr>
                        <w:t xml:space="preserve"> </w:t>
                      </w:r>
                      <w:hyperlink r:id="rId367" w:history="1">
                        <w:r w:rsidRPr="00CB1BF7">
                          <w:rPr>
                            <w:rStyle w:val="Hyperlink"/>
                            <w:rFonts w:ascii="Roboto" w:eastAsia="Calibri" w:hAnsi="Roboto" w:cs="Calibri"/>
                            <w:bCs/>
                            <w:color w:val="F26C21"/>
                            <w:sz w:val="20"/>
                            <w:szCs w:val="20"/>
                          </w:rPr>
                          <w:t>Fiscal Transparency Code</w:t>
                        </w:r>
                      </w:hyperlink>
                      <w:r w:rsidRPr="00CB1BF7">
                        <w:rPr>
                          <w:rFonts w:ascii="Roboto" w:eastAsia="Calibri" w:hAnsi="Roboto" w:cs="Calibri"/>
                          <w:bCs/>
                          <w:color w:val="F26C21"/>
                          <w:sz w:val="20"/>
                          <w:szCs w:val="20"/>
                        </w:rPr>
                        <w:t xml:space="preserve"> </w:t>
                      </w:r>
                      <w:r w:rsidRPr="00CB1BF7">
                        <w:rPr>
                          <w:rFonts w:ascii="Roboto" w:eastAsia="Calibri" w:hAnsi="Roboto" w:cs="Calibri"/>
                          <w:bCs/>
                          <w:color w:val="404040" w:themeColor="text1" w:themeTint="BF"/>
                          <w:sz w:val="20"/>
                          <w:szCs w:val="20"/>
                        </w:rPr>
                        <w:t xml:space="preserve">(2019): Principle 2.3.3: </w:t>
                      </w:r>
                      <w:r w:rsidRPr="00CB1BF7">
                        <w:rPr>
                          <w:rFonts w:ascii="Roboto" w:eastAsia="Calibri" w:hAnsi="Roboto" w:cs="Calibri"/>
                          <w:bCs/>
                          <w:color w:val="404040" w:themeColor="text1" w:themeTint="BF"/>
                          <w:sz w:val="20"/>
                          <w:szCs w:val="20"/>
                          <w:lang w:val="en-ZA"/>
                        </w:rPr>
                        <w:t>Public Participation:</w:t>
                      </w:r>
                      <w:r w:rsidRPr="00CB1BF7">
                        <w:rPr>
                          <w:rFonts w:ascii="Roboto" w:eastAsia="Calibri" w:hAnsi="Roboto" w:cs="Calibri"/>
                          <w:b/>
                          <w:bCs/>
                          <w:color w:val="404040" w:themeColor="text1" w:themeTint="BF"/>
                          <w:sz w:val="20"/>
                          <w:szCs w:val="20"/>
                          <w:lang w:val="en-ZA"/>
                        </w:rPr>
                        <w:t xml:space="preserve"> </w:t>
                      </w:r>
                      <w:r w:rsidRPr="00CB1BF7">
                        <w:rPr>
                          <w:rFonts w:ascii="Roboto" w:eastAsia="Calibri" w:hAnsi="Roboto" w:cs="Calibri"/>
                          <w:color w:val="404040" w:themeColor="text1" w:themeTint="BF"/>
                          <w:sz w:val="20"/>
                          <w:szCs w:val="20"/>
                          <w:lang w:val="en-ZA"/>
                        </w:rPr>
                        <w:t>The government should provide citizens with an accessible summary of the implications of budget policies and an opportunity to participate in budget deliberations</w:t>
                      </w:r>
                      <w:r w:rsidRPr="00CB1BF7">
                        <w:rPr>
                          <w:rFonts w:ascii="Roboto" w:eastAsia="Calibri" w:hAnsi="Roboto" w:cs="Calibri"/>
                          <w:color w:val="404040" w:themeColor="text1" w:themeTint="BF"/>
                          <w:sz w:val="20"/>
                          <w:szCs w:val="20"/>
                        </w:rPr>
                        <w:t xml:space="preserve">. Pillar IV states that </w:t>
                      </w:r>
                      <w:r w:rsidRPr="00CB1BF7">
                        <w:rPr>
                          <w:rFonts w:ascii="Roboto" w:eastAsia="Calibri" w:hAnsi="Roboto" w:cs="Calibri"/>
                          <w:bCs/>
                          <w:color w:val="404040" w:themeColor="text1" w:themeTint="BF"/>
                          <w:sz w:val="20"/>
                          <w:szCs w:val="20"/>
                          <w:lang w:val="en-ZA"/>
                        </w:rPr>
                        <w:t>Government revenues from natural resource exploration and extraction activity should be collected, managed, and disbursed in an open and transparent manner.</w:t>
                      </w:r>
                    </w:p>
                    <w:p w14:paraId="6B2C8283" w14:textId="77777777" w:rsidR="00D15FD8" w:rsidRPr="00CB1BF7" w:rsidRDefault="00D15FD8" w:rsidP="002D14C0">
                      <w:pPr>
                        <w:suppressOverlap/>
                        <w:rPr>
                          <w:rFonts w:ascii="Roboto" w:eastAsia="Calibri" w:hAnsi="Roboto" w:cs="Calibri"/>
                          <w:bCs/>
                          <w:i/>
                          <w:color w:val="1E9A8C"/>
                          <w:sz w:val="20"/>
                          <w:szCs w:val="20"/>
                        </w:rPr>
                      </w:pPr>
                      <w:r w:rsidRPr="00CB1BF7">
                        <w:rPr>
                          <w:rFonts w:ascii="Roboto" w:eastAsia="Calibri" w:hAnsi="Roboto" w:cs="Calibri"/>
                          <w:b/>
                          <w:bCs/>
                          <w:color w:val="1E9A8C"/>
                          <w:sz w:val="20"/>
                          <w:szCs w:val="20"/>
                        </w:rPr>
                        <w:t>OECD</w:t>
                      </w:r>
                      <w:r w:rsidRPr="00CB1BF7">
                        <w:rPr>
                          <w:rFonts w:ascii="Roboto" w:eastAsia="Calibri" w:hAnsi="Roboto" w:cs="Calibri"/>
                          <w:bCs/>
                          <w:color w:val="1E9A8C"/>
                          <w:sz w:val="20"/>
                          <w:szCs w:val="20"/>
                        </w:rPr>
                        <w:t>:</w:t>
                      </w:r>
                      <w:r w:rsidRPr="00CB1BF7">
                        <w:rPr>
                          <w:rFonts w:ascii="Roboto" w:eastAsia="Calibri" w:hAnsi="Roboto" w:cs="Calibri"/>
                          <w:bCs/>
                          <w:i/>
                          <w:color w:val="1E9A8C"/>
                          <w:sz w:val="20"/>
                          <w:szCs w:val="20"/>
                        </w:rPr>
                        <w:t xml:space="preserve"> </w:t>
                      </w:r>
                    </w:p>
                    <w:p w14:paraId="2597D8B9" w14:textId="77777777" w:rsidR="00D15FD8" w:rsidRPr="00CB1BF7" w:rsidRDefault="00AC4DF7" w:rsidP="00113300">
                      <w:pPr>
                        <w:pStyle w:val="ListParagraph"/>
                        <w:numPr>
                          <w:ilvl w:val="0"/>
                          <w:numId w:val="29"/>
                        </w:numPr>
                        <w:ind w:left="308" w:hanging="308"/>
                        <w:suppressOverlap/>
                        <w:rPr>
                          <w:rFonts w:ascii="Roboto" w:eastAsia="Calibri" w:hAnsi="Roboto" w:cs="Calibri"/>
                          <w:color w:val="404040" w:themeColor="text1" w:themeTint="BF"/>
                          <w:sz w:val="20"/>
                          <w:szCs w:val="20"/>
                        </w:rPr>
                      </w:pPr>
                      <w:hyperlink r:id="rId368" w:history="1">
                        <w:r w:rsidR="00D15FD8" w:rsidRPr="00CB1BF7">
                          <w:rPr>
                            <w:rStyle w:val="Hyperlink"/>
                            <w:rFonts w:ascii="Roboto" w:eastAsia="Calibri" w:hAnsi="Roboto" w:cs="Calibri"/>
                            <w:bCs/>
                            <w:color w:val="F26C21"/>
                            <w:sz w:val="20"/>
                            <w:szCs w:val="20"/>
                          </w:rPr>
                          <w:t>Recommendation of the Council on Budgetary Governance</w:t>
                        </w:r>
                      </w:hyperlink>
                      <w:r w:rsidR="00D15FD8" w:rsidRPr="00CB1BF7">
                        <w:rPr>
                          <w:rFonts w:ascii="Roboto" w:eastAsia="Calibri" w:hAnsi="Roboto" w:cs="Calibri"/>
                          <w:bCs/>
                          <w:color w:val="F26C21"/>
                          <w:sz w:val="20"/>
                          <w:szCs w:val="20"/>
                        </w:rPr>
                        <w:t xml:space="preserve"> </w:t>
                      </w:r>
                      <w:r w:rsidR="00D15FD8" w:rsidRPr="00CB1BF7">
                        <w:rPr>
                          <w:rFonts w:ascii="Roboto" w:eastAsia="Calibri" w:hAnsi="Roboto" w:cs="Calibri"/>
                          <w:bCs/>
                          <w:color w:val="404040" w:themeColor="text1" w:themeTint="BF"/>
                          <w:sz w:val="20"/>
                          <w:szCs w:val="20"/>
                        </w:rPr>
                        <w:t xml:space="preserve">(2015): </w:t>
                      </w:r>
                      <w:r w:rsidR="00D15FD8" w:rsidRPr="00CB1BF7">
                        <w:rPr>
                          <w:rFonts w:ascii="Roboto" w:eastAsia="Calibri" w:hAnsi="Roboto" w:cs="Calibri"/>
                          <w:color w:val="404040" w:themeColor="text1" w:themeTint="BF"/>
                          <w:sz w:val="20"/>
                          <w:szCs w:val="20"/>
                        </w:rPr>
                        <w:t xml:space="preserve">Principle 5: </w:t>
                      </w:r>
                      <w:r w:rsidR="00D15FD8" w:rsidRPr="00CB1BF7">
                        <w:rPr>
                          <w:rFonts w:ascii="Roboto" w:eastAsia="Calibri" w:hAnsi="Roboto" w:cs="Calibri"/>
                          <w:bCs/>
                          <w:color w:val="404040" w:themeColor="text1" w:themeTint="BF"/>
                          <w:sz w:val="20"/>
                          <w:szCs w:val="20"/>
                        </w:rPr>
                        <w:t>D</w:t>
                      </w:r>
                      <w:r w:rsidR="00D15FD8" w:rsidRPr="00CB1BF7">
                        <w:rPr>
                          <w:rFonts w:ascii="Roboto" w:eastAsia="Calibri" w:hAnsi="Roboto" w:cs="Calibri"/>
                          <w:color w:val="404040" w:themeColor="text1" w:themeTint="BF"/>
                          <w:sz w:val="20"/>
                          <w:szCs w:val="20"/>
                        </w:rPr>
                        <w:t>ebate on budgetary choices should be inclusive, participative and realistic.</w:t>
                      </w:r>
                    </w:p>
                    <w:p w14:paraId="4D61F1DF" w14:textId="77777777" w:rsidR="00D15FD8" w:rsidRPr="00CB1BF7" w:rsidRDefault="00AC4DF7" w:rsidP="00113300">
                      <w:pPr>
                        <w:pStyle w:val="ListParagraph"/>
                        <w:numPr>
                          <w:ilvl w:val="0"/>
                          <w:numId w:val="29"/>
                        </w:numPr>
                        <w:ind w:left="308" w:hanging="308"/>
                        <w:suppressOverlap/>
                        <w:rPr>
                          <w:rFonts w:ascii="Roboto" w:eastAsia="Calibri" w:hAnsi="Roboto" w:cs="Calibri"/>
                          <w:bCs/>
                          <w:iCs/>
                          <w:color w:val="404040" w:themeColor="text1" w:themeTint="BF"/>
                          <w:sz w:val="20"/>
                          <w:szCs w:val="20"/>
                        </w:rPr>
                      </w:pPr>
                      <w:hyperlink r:id="rId369" w:history="1">
                        <w:r w:rsidR="00D15FD8" w:rsidRPr="00CB1BF7">
                          <w:rPr>
                            <w:rStyle w:val="Hyperlink"/>
                            <w:rFonts w:ascii="Roboto" w:eastAsia="Calibri" w:hAnsi="Roboto" w:cs="Calibri"/>
                            <w:color w:val="F26C21"/>
                            <w:sz w:val="20"/>
                            <w:szCs w:val="20"/>
                          </w:rPr>
                          <w:t>Budget Transparency Toolkit</w:t>
                        </w:r>
                      </w:hyperlink>
                      <w:r w:rsidR="00D15FD8" w:rsidRPr="00CB1BF7">
                        <w:rPr>
                          <w:rFonts w:ascii="Roboto" w:eastAsia="Calibri" w:hAnsi="Roboto" w:cs="Calibri"/>
                          <w:color w:val="F26C21"/>
                          <w:sz w:val="20"/>
                          <w:szCs w:val="20"/>
                        </w:rPr>
                        <w:t xml:space="preserve"> </w:t>
                      </w:r>
                      <w:r w:rsidR="00D15FD8" w:rsidRPr="00CB1BF7">
                        <w:rPr>
                          <w:rFonts w:ascii="Roboto" w:eastAsia="Calibri" w:hAnsi="Roboto" w:cs="Calibri"/>
                          <w:color w:val="404040" w:themeColor="text1" w:themeTint="BF"/>
                          <w:sz w:val="20"/>
                          <w:szCs w:val="20"/>
                        </w:rPr>
                        <w:t>(2017)</w:t>
                      </w:r>
                      <w:r w:rsidR="00D15FD8" w:rsidRPr="00CB1BF7">
                        <w:rPr>
                          <w:rFonts w:ascii="Roboto" w:eastAsia="Calibri" w:hAnsi="Roboto" w:cs="Calibri"/>
                          <w:bCs/>
                          <w:iCs/>
                          <w:color w:val="404040" w:themeColor="text1" w:themeTint="BF"/>
                          <w:sz w:val="20"/>
                          <w:szCs w:val="20"/>
                        </w:rPr>
                        <w:t>:</w:t>
                      </w:r>
                      <w:r w:rsidR="00D15FD8" w:rsidRPr="00CB1BF7">
                        <w:rPr>
                          <w:rFonts w:ascii="Roboto" w:eastAsia="Calibri" w:hAnsi="Roboto" w:cs="Calibri"/>
                          <w:bCs/>
                          <w:color w:val="404040" w:themeColor="text1" w:themeTint="BF"/>
                          <w:sz w:val="20"/>
                          <w:szCs w:val="20"/>
                        </w:rPr>
                        <w:t xml:space="preserve"> </w:t>
                      </w:r>
                      <w:r w:rsidR="00D15FD8" w:rsidRPr="00CB1BF7">
                        <w:rPr>
                          <w:rFonts w:ascii="Roboto" w:eastAsia="Calibri" w:hAnsi="Roboto" w:cs="Calibri"/>
                          <w:color w:val="404040" w:themeColor="text1" w:themeTint="BF"/>
                          <w:sz w:val="20"/>
                          <w:szCs w:val="20"/>
                        </w:rPr>
                        <w:t>Defines ‘openness and civic engagement’ as one of the five elements in its organising framework, and contains a component on inclusive, participative budgeting with three topics: J1, elements in designing a participation process; J2, supporting realistic and informed debate; J3, providing opportunities for participative approaches across the budget cycle.</w:t>
                      </w:r>
                    </w:p>
                    <w:p w14:paraId="4188C87C" w14:textId="77777777" w:rsidR="00D15FD8" w:rsidRPr="00CB1BF7" w:rsidRDefault="00D15FD8" w:rsidP="002D14C0">
                      <w:pPr>
                        <w:suppressOverlap/>
                        <w:rPr>
                          <w:rFonts w:ascii="Roboto" w:eastAsia="Calibri" w:hAnsi="Roboto" w:cs="Calibri"/>
                          <w:bCs/>
                          <w:iCs/>
                          <w:color w:val="404040" w:themeColor="text1" w:themeTint="BF"/>
                          <w:sz w:val="20"/>
                          <w:szCs w:val="20"/>
                        </w:rPr>
                      </w:pPr>
                    </w:p>
                    <w:p w14:paraId="37801A09" w14:textId="77777777" w:rsidR="00D15FD8" w:rsidRPr="00CB1BF7" w:rsidRDefault="00AC4DF7" w:rsidP="002D14C0">
                      <w:pPr>
                        <w:suppressOverlap/>
                        <w:rPr>
                          <w:rFonts w:ascii="Roboto" w:eastAsia="Calibri" w:hAnsi="Roboto" w:cs="Calibri"/>
                          <w:color w:val="404040" w:themeColor="text1" w:themeTint="BF"/>
                          <w:sz w:val="20"/>
                          <w:szCs w:val="20"/>
                        </w:rPr>
                      </w:pPr>
                      <w:hyperlink r:id="rId370" w:history="1">
                        <w:r w:rsidR="00D15FD8" w:rsidRPr="00CB1BF7">
                          <w:rPr>
                            <w:rStyle w:val="Hyperlink"/>
                            <w:rFonts w:ascii="Roboto" w:eastAsia="Calibri" w:hAnsi="Roboto" w:cs="Calibri"/>
                            <w:bCs/>
                            <w:iCs/>
                            <w:color w:val="F26C21"/>
                            <w:sz w:val="20"/>
                            <w:szCs w:val="20"/>
                          </w:rPr>
                          <w:t>Extractive Industries Transparency Initiative (EITI) Standard</w:t>
                        </w:r>
                      </w:hyperlink>
                      <w:r w:rsidR="00D15FD8" w:rsidRPr="00CB1BF7">
                        <w:rPr>
                          <w:rFonts w:ascii="Roboto" w:eastAsia="Calibri" w:hAnsi="Roboto" w:cs="Calibri"/>
                          <w:bCs/>
                          <w:iCs/>
                          <w:color w:val="404040" w:themeColor="text1" w:themeTint="BF"/>
                          <w:sz w:val="20"/>
                          <w:szCs w:val="20"/>
                        </w:rPr>
                        <w:t xml:space="preserve"> (2019): </w:t>
                      </w:r>
                      <w:r w:rsidR="00D15FD8" w:rsidRPr="00CB1BF7">
                        <w:rPr>
                          <w:rFonts w:ascii="Roboto" w:eastAsia="Calibri" w:hAnsi="Roboto" w:cs="Calibri"/>
                          <w:color w:val="404040" w:themeColor="text1" w:themeTint="BF"/>
                          <w:sz w:val="20"/>
                          <w:szCs w:val="20"/>
                        </w:rPr>
                        <w:t xml:space="preserve">Requirement 1: </w:t>
                      </w:r>
                      <w:r w:rsidR="00D15FD8" w:rsidRPr="00CB1BF7">
                        <w:rPr>
                          <w:rFonts w:ascii="Roboto" w:eastAsia="Calibri" w:hAnsi="Roboto" w:cs="Calibri"/>
                          <w:bCs/>
                          <w:iCs/>
                          <w:color w:val="404040" w:themeColor="text1" w:themeTint="BF"/>
                          <w:sz w:val="20"/>
                          <w:szCs w:val="20"/>
                        </w:rPr>
                        <w:t>R</w:t>
                      </w:r>
                      <w:r w:rsidR="00D15FD8" w:rsidRPr="00CB1BF7">
                        <w:rPr>
                          <w:rFonts w:ascii="Roboto" w:eastAsia="Calibri" w:hAnsi="Roboto" w:cs="Calibri"/>
                          <w:color w:val="404040" w:themeColor="text1" w:themeTint="BF"/>
                          <w:sz w:val="20"/>
                          <w:szCs w:val="20"/>
                        </w:rPr>
                        <w:t xml:space="preserve">equires effective multi-stakeholder oversight, including a functioning multi-stakeholder group that involves the government, companies, and the full, independent, active and effective participation of civil society. Requirement 7: Also seeks to ensure that stakeholders are engaged in dialogue about natural resource revenue management, for instance, by the multi-stakeholder group ensuring that outreach events are undertaken to spread awareness of and facilitate dialogue about governance of extractive resources, building on EITI disclosures across the country in a socially inclusive manner. </w:t>
                      </w:r>
                    </w:p>
                    <w:p w14:paraId="48738EB4" w14:textId="378104D2" w:rsidR="00D15FD8" w:rsidRPr="00CB1BF7" w:rsidRDefault="00D15FD8" w:rsidP="002D14C0">
                      <w:pPr>
                        <w:rPr>
                          <w:rFonts w:ascii="Roboto" w:hAnsi="Roboto"/>
                          <w:sz w:val="20"/>
                          <w:szCs w:val="20"/>
                        </w:rPr>
                      </w:pPr>
                    </w:p>
                  </w:txbxContent>
                </v:textbox>
                <w10:wrap anchorx="margin"/>
              </v:shape>
            </w:pict>
          </mc:Fallback>
        </mc:AlternateContent>
      </w:r>
    </w:p>
    <w:p w14:paraId="47B3DB4A" w14:textId="2992B154" w:rsidR="00203FAB" w:rsidRPr="00CB1BF7" w:rsidRDefault="00203FAB" w:rsidP="002D14C0">
      <w:pPr>
        <w:rPr>
          <w:rFonts w:ascii="Roboto" w:hAnsi="Roboto"/>
        </w:rPr>
      </w:pPr>
    </w:p>
    <w:p w14:paraId="59F08843" w14:textId="25CE20B1" w:rsidR="00203FAB" w:rsidRDefault="00203FAB" w:rsidP="002D14C0">
      <w:pPr>
        <w:rPr>
          <w:rFonts w:ascii="Roboto" w:hAnsi="Roboto"/>
        </w:rPr>
      </w:pPr>
    </w:p>
    <w:p w14:paraId="2E88D21F" w14:textId="664F93D2" w:rsidR="00E74316" w:rsidRDefault="00E74316" w:rsidP="002D14C0">
      <w:pPr>
        <w:rPr>
          <w:rFonts w:ascii="Roboto" w:hAnsi="Roboto"/>
        </w:rPr>
      </w:pPr>
    </w:p>
    <w:p w14:paraId="3EEB9399" w14:textId="7378C90B" w:rsidR="00E74316" w:rsidRDefault="00E74316" w:rsidP="002D14C0">
      <w:pPr>
        <w:rPr>
          <w:rFonts w:ascii="Roboto" w:hAnsi="Roboto"/>
        </w:rPr>
      </w:pPr>
    </w:p>
    <w:p w14:paraId="09BCDB4D" w14:textId="4BB3C0AD" w:rsidR="00E74316" w:rsidRDefault="00E74316" w:rsidP="002D14C0">
      <w:pPr>
        <w:rPr>
          <w:rFonts w:ascii="Roboto" w:hAnsi="Roboto"/>
        </w:rPr>
      </w:pPr>
    </w:p>
    <w:p w14:paraId="0433467B" w14:textId="137BB5EF" w:rsidR="00E74316" w:rsidRDefault="00E74316" w:rsidP="002D14C0">
      <w:pPr>
        <w:rPr>
          <w:rFonts w:ascii="Roboto" w:hAnsi="Roboto"/>
        </w:rPr>
      </w:pPr>
    </w:p>
    <w:p w14:paraId="3D546132" w14:textId="73A7BB38" w:rsidR="00E74316" w:rsidRDefault="00E74316" w:rsidP="002D14C0">
      <w:pPr>
        <w:rPr>
          <w:rFonts w:ascii="Roboto" w:hAnsi="Roboto"/>
        </w:rPr>
      </w:pPr>
    </w:p>
    <w:p w14:paraId="46E2AA1B" w14:textId="2F54F7A4" w:rsidR="00E74316" w:rsidRPr="00CB1BF7" w:rsidRDefault="00E74316" w:rsidP="002D14C0">
      <w:pPr>
        <w:rPr>
          <w:rFonts w:ascii="Roboto" w:hAnsi="Roboto"/>
        </w:rPr>
      </w:pPr>
    </w:p>
    <w:p w14:paraId="7BA85F22" w14:textId="333AD6AC" w:rsidR="00203FAB" w:rsidRDefault="00203FAB" w:rsidP="002D14C0">
      <w:pPr>
        <w:jc w:val="center"/>
        <w:rPr>
          <w:rFonts w:ascii="Roboto" w:hAnsi="Roboto"/>
        </w:rPr>
      </w:pPr>
    </w:p>
    <w:p w14:paraId="055691AB" w14:textId="1B036C08" w:rsidR="00203FAB" w:rsidRDefault="00203FAB" w:rsidP="002D14C0">
      <w:pPr>
        <w:jc w:val="center"/>
        <w:rPr>
          <w:rFonts w:ascii="Roboto" w:hAnsi="Roboto"/>
        </w:rPr>
      </w:pPr>
    </w:p>
    <w:p w14:paraId="651EF967" w14:textId="3C0995B1" w:rsidR="00203FAB" w:rsidRPr="00CB1BF7" w:rsidRDefault="00203FAB" w:rsidP="002D14C0">
      <w:pPr>
        <w:rPr>
          <w:rFonts w:ascii="Roboto" w:hAnsi="Roboto"/>
        </w:rPr>
      </w:pPr>
    </w:p>
    <w:p w14:paraId="7052CBAB" w14:textId="553C0321" w:rsidR="00203FAB" w:rsidRDefault="00203FAB" w:rsidP="002D14C0">
      <w:pPr>
        <w:rPr>
          <w:rFonts w:ascii="Roboto" w:hAnsi="Roboto"/>
        </w:rPr>
      </w:pPr>
    </w:p>
    <w:p w14:paraId="335C4480" w14:textId="4F16C27E" w:rsidR="00203FAB" w:rsidRDefault="00203FAB" w:rsidP="002D14C0">
      <w:pPr>
        <w:rPr>
          <w:rFonts w:ascii="Roboto" w:hAnsi="Roboto"/>
        </w:rPr>
      </w:pPr>
    </w:p>
    <w:p w14:paraId="75BCB332" w14:textId="37304D24" w:rsidR="00203FAB"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403006" behindDoc="0" locked="0" layoutInCell="1" allowOverlap="1" wp14:anchorId="4019A2A4" wp14:editId="002A1156">
                <wp:simplePos x="0" y="0"/>
                <wp:positionH relativeFrom="column">
                  <wp:posOffset>-3610610</wp:posOffset>
                </wp:positionH>
                <wp:positionV relativeFrom="paragraph">
                  <wp:posOffset>452120</wp:posOffset>
                </wp:positionV>
                <wp:extent cx="5976620" cy="252095"/>
                <wp:effectExtent l="0" t="0" r="0" b="0"/>
                <wp:wrapNone/>
                <wp:docPr id="292" name="Text Box 292"/>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4B3C1490" w14:textId="71A5E006"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19A2A4" id="Text Box 292" o:spid="_x0000_s1218" type="#_x0000_t202" style="position:absolute;margin-left:-284.3pt;margin-top:35.6pt;width:470.6pt;height:19.85pt;rotation:90;z-index:25540300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" filled="f" stroked="f" strokeweight=".5pt">
                <v:textbox>
                  <w:txbxContent>
                    <w:p w14:paraId="4B3C1490" w14:textId="71A5E006"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51</w:t>
                      </w:r>
                    </w:p>
                  </w:txbxContent>
                </v:textbox>
              </v:shape>
            </w:pict>
          </mc:Fallback>
        </mc:AlternateContent>
      </w:r>
    </w:p>
    <w:p w14:paraId="6333770E" w14:textId="4563CAD5" w:rsidR="00203FAB" w:rsidRDefault="00203FAB" w:rsidP="002D14C0">
      <w:pPr>
        <w:rPr>
          <w:rFonts w:ascii="Roboto" w:hAnsi="Roboto"/>
        </w:rPr>
      </w:pPr>
    </w:p>
    <w:p w14:paraId="486B3185" w14:textId="1ABF3C25" w:rsidR="00203FAB" w:rsidRPr="00CB1BF7" w:rsidRDefault="00F97CAF" w:rsidP="002D14C0">
      <w:pPr>
        <w:rPr>
          <w:rFonts w:ascii="Roboto" w:hAnsi="Roboto"/>
        </w:rPr>
      </w:pPr>
      <w:r>
        <w:rPr>
          <w:rFonts w:ascii="Arial" w:hAnsi="Arial" w:cs="Arial"/>
          <w:b/>
          <w:bCs/>
          <w:noProof/>
          <w:color w:val="19998C"/>
          <w:sz w:val="26"/>
          <w:szCs w:val="26"/>
          <w:lang w:val="en-US"/>
        </w:rPr>
        <mc:AlternateContent>
          <mc:Choice Requires="wps">
            <w:drawing>
              <wp:anchor distT="0" distB="0" distL="114300" distR="114300" simplePos="0" relativeHeight="255401982" behindDoc="0" locked="0" layoutInCell="1" allowOverlap="1" wp14:anchorId="5F0334FB" wp14:editId="484021FE">
                <wp:simplePos x="0" y="0"/>
                <wp:positionH relativeFrom="column">
                  <wp:posOffset>6517640</wp:posOffset>
                </wp:positionH>
                <wp:positionV relativeFrom="paragraph">
                  <wp:posOffset>128905</wp:posOffset>
                </wp:positionV>
                <wp:extent cx="5976620" cy="252095"/>
                <wp:effectExtent l="4762" t="0" r="0" b="0"/>
                <wp:wrapNone/>
                <wp:docPr id="291" name="Text Box 291"/>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1CF1C0E3" w14:textId="036FC2FE"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859395221"/>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0181904C"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0334FB" id="Text Box 291" o:spid="_x0000_s1219" type="#_x0000_t202" style="position:absolute;margin-left:513.2pt;margin-top:10.15pt;width:470.6pt;height:19.85pt;rotation:90;z-index:2554019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" fillcolor="white [3201]" stroked="f" strokeweight=".5pt">
                <v:textbox>
                  <w:txbxContent>
                    <w:p w14:paraId="1CF1C0E3" w14:textId="036FC2FE"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859395221"/>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0181904C" w14:textId="77777777" w:rsidR="00D15FD8" w:rsidRDefault="00D15FD8" w:rsidP="003D7CCB"/>
                  </w:txbxContent>
                </v:textbox>
              </v:shape>
            </w:pict>
          </mc:Fallback>
        </mc:AlternateContent>
      </w:r>
    </w:p>
    <w:p w14:paraId="5357A890" w14:textId="1D132AC7" w:rsidR="00203FAB" w:rsidRPr="00CB1BF7" w:rsidRDefault="00203FAB" w:rsidP="002D14C0">
      <w:pPr>
        <w:rPr>
          <w:rFonts w:ascii="Roboto" w:hAnsi="Roboto"/>
        </w:rPr>
      </w:pPr>
    </w:p>
    <w:p w14:paraId="64EA6FB5" w14:textId="77777777" w:rsidR="00203FAB" w:rsidRPr="00CB1BF7" w:rsidRDefault="00203FAB" w:rsidP="002D14C0">
      <w:pPr>
        <w:rPr>
          <w:rFonts w:ascii="Roboto" w:hAnsi="Roboto"/>
        </w:rPr>
      </w:pPr>
    </w:p>
    <w:p w14:paraId="10CC52F7" w14:textId="3E69A995" w:rsidR="00203FAB" w:rsidRPr="00CB1BF7" w:rsidRDefault="00203FAB" w:rsidP="002D14C0">
      <w:pPr>
        <w:rPr>
          <w:rFonts w:ascii="Roboto" w:hAnsi="Roboto"/>
        </w:rPr>
      </w:pPr>
    </w:p>
    <w:p w14:paraId="099789E7" w14:textId="77777777" w:rsidR="00203FAB" w:rsidRPr="00CB1BF7" w:rsidRDefault="00203FAB" w:rsidP="002D14C0">
      <w:pPr>
        <w:rPr>
          <w:rFonts w:ascii="Roboto" w:hAnsi="Roboto"/>
        </w:rPr>
      </w:pPr>
    </w:p>
    <w:p w14:paraId="159210ED" w14:textId="77777777" w:rsidR="00203FAB" w:rsidRPr="00CB1BF7" w:rsidRDefault="00203FAB" w:rsidP="002D14C0">
      <w:pPr>
        <w:rPr>
          <w:rFonts w:ascii="Roboto" w:hAnsi="Roboto"/>
        </w:rPr>
      </w:pPr>
    </w:p>
    <w:p w14:paraId="1FA01BCE" w14:textId="11F5546B" w:rsidR="00203FAB" w:rsidRPr="00CB1BF7" w:rsidRDefault="00203FAB" w:rsidP="002D14C0">
      <w:pPr>
        <w:rPr>
          <w:rFonts w:ascii="Roboto" w:hAnsi="Roboto"/>
        </w:rPr>
      </w:pPr>
    </w:p>
    <w:p w14:paraId="5C578128" w14:textId="77777777" w:rsidR="00203FAB" w:rsidRPr="00CB1BF7" w:rsidRDefault="00203FAB" w:rsidP="002D14C0">
      <w:pPr>
        <w:rPr>
          <w:rFonts w:ascii="Roboto" w:hAnsi="Roboto"/>
        </w:rPr>
      </w:pPr>
    </w:p>
    <w:p w14:paraId="2402B4C6" w14:textId="1AD4951A" w:rsidR="00203FAB" w:rsidRPr="00CB1BF7" w:rsidRDefault="00203FAB" w:rsidP="002D14C0">
      <w:pPr>
        <w:rPr>
          <w:rFonts w:ascii="Roboto" w:hAnsi="Roboto"/>
        </w:rPr>
      </w:pPr>
    </w:p>
    <w:p w14:paraId="16DDD039" w14:textId="77777777" w:rsidR="00203FAB" w:rsidRPr="00CB1BF7" w:rsidRDefault="00203FAB" w:rsidP="002D14C0">
      <w:pPr>
        <w:rPr>
          <w:rFonts w:ascii="Roboto" w:hAnsi="Roboto"/>
        </w:rPr>
      </w:pPr>
    </w:p>
    <w:p w14:paraId="5689C856" w14:textId="44AD60B5" w:rsidR="00203FAB" w:rsidRPr="00CB1BF7" w:rsidRDefault="00203FAB" w:rsidP="002D14C0">
      <w:pPr>
        <w:rPr>
          <w:rFonts w:ascii="Roboto" w:hAnsi="Roboto"/>
        </w:rPr>
      </w:pPr>
    </w:p>
    <w:p w14:paraId="7ED77CD4" w14:textId="2239AE77" w:rsidR="00DB5B49" w:rsidRDefault="009918CC">
      <w:pPr>
        <w:spacing w:after="160" w:line="259" w:lineRule="auto"/>
        <w:rPr>
          <w:rFonts w:ascii="Roboto" w:hAnsi="Roboto"/>
        </w:rPr>
      </w:pPr>
      <w:r>
        <w:rPr>
          <w:rFonts w:ascii="Roboto" w:hAnsi="Roboto"/>
          <w:noProof/>
          <w:lang w:val="en-US"/>
        </w:rPr>
        <mc:AlternateContent>
          <mc:Choice Requires="wps">
            <w:drawing>
              <wp:anchor distT="0" distB="0" distL="114300" distR="114300" simplePos="0" relativeHeight="255521790" behindDoc="0" locked="0" layoutInCell="1" allowOverlap="1" wp14:anchorId="7CD6BAC5" wp14:editId="7B020DE1">
                <wp:simplePos x="0" y="0"/>
                <wp:positionH relativeFrom="column">
                  <wp:posOffset>5386070</wp:posOffset>
                </wp:positionH>
                <wp:positionV relativeFrom="paragraph">
                  <wp:posOffset>1560195</wp:posOffset>
                </wp:positionV>
                <wp:extent cx="3878317" cy="268014"/>
                <wp:effectExtent l="0" t="0" r="0" b="0"/>
                <wp:wrapNone/>
                <wp:docPr id="428" name="Rectangle 428"/>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40AADB05" id="Rectangle 428" o:spid="_x0000_s1026" style="position:absolute;margin-left:424.1pt;margin-top:122.85pt;width:305.4pt;height:21.1pt;z-index:2555217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" fillcolor="white [3212]" stroked="f" strokeweight="1pt"/>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73246" behindDoc="1" locked="0" layoutInCell="1" allowOverlap="1" wp14:anchorId="01A8FB3B" wp14:editId="0FC4A222">
                <wp:simplePos x="0" y="0"/>
                <wp:positionH relativeFrom="margin">
                  <wp:align>center</wp:align>
                </wp:positionH>
                <wp:positionV relativeFrom="margin">
                  <wp:align>center</wp:align>
                </wp:positionV>
                <wp:extent cx="9856189" cy="5972400"/>
                <wp:effectExtent l="12700" t="12700" r="12065" b="9525"/>
                <wp:wrapNone/>
                <wp:docPr id="2633" name="Rectangle 2633"/>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5C696"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8FB3B" id="Rectangle 2633" o:spid="_x0000_s1220" style="position:absolute;margin-left:0;margin-top:0;width:776.1pt;height:470.25pt;z-index:-24854323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" fillcolor="#f2f2f2 [3052]" strokecolor="#16988a" strokeweight="1.5pt">
                <v:textbox>
                  <w:txbxContent>
                    <w:p w14:paraId="0AE5C696" w14:textId="77777777" w:rsidR="00D15FD8" w:rsidRPr="003625BA" w:rsidRDefault="00D15FD8" w:rsidP="003625BA">
                      <w:pPr>
                        <w:jc w:val="center"/>
                        <w:rPr>
                          <w:lang w:val="en-US"/>
                        </w:rPr>
                      </w:pPr>
                    </w:p>
                  </w:txbxContent>
                </v:textbox>
                <w10:wrap anchorx="margin" anchory="margin"/>
              </v:rect>
            </w:pict>
          </mc:Fallback>
        </mc:AlternateContent>
      </w:r>
      <w:r w:rsidR="00DB5B49">
        <w:rPr>
          <w:rFonts w:ascii="Roboto" w:hAnsi="Roboto"/>
        </w:rPr>
        <w:br w:type="page"/>
      </w:r>
    </w:p>
    <w:p w14:paraId="4CE02802" w14:textId="621D133E" w:rsidR="00203FAB" w:rsidRPr="00CB1BF7" w:rsidRDefault="009918CC" w:rsidP="002D14C0">
      <w:pPr>
        <w:rPr>
          <w:rFonts w:ascii="Roboto" w:hAnsi="Roboto"/>
        </w:rPr>
      </w:pPr>
      <w:r>
        <w:rPr>
          <w:rFonts w:ascii="Roboto" w:hAnsi="Roboto"/>
          <w:noProof/>
          <w:lang w:val="en-US"/>
        </w:rPr>
        <w:lastRenderedPageBreak/>
        <mc:AlternateContent>
          <mc:Choice Requires="wps">
            <w:drawing>
              <wp:anchor distT="0" distB="0" distL="114300" distR="114300" simplePos="0" relativeHeight="255523838" behindDoc="0" locked="0" layoutInCell="1" allowOverlap="1" wp14:anchorId="44151897" wp14:editId="277E2216">
                <wp:simplePos x="0" y="0"/>
                <wp:positionH relativeFrom="column">
                  <wp:posOffset>-492323</wp:posOffset>
                </wp:positionH>
                <wp:positionV relativeFrom="paragraph">
                  <wp:posOffset>-520788</wp:posOffset>
                </wp:positionV>
                <wp:extent cx="3878317" cy="268014"/>
                <wp:effectExtent l="0" t="0" r="0" b="0"/>
                <wp:wrapNone/>
                <wp:docPr id="429" name="Rectangle 429"/>
                <wp:cNvGraphicFramePr/>
                <a:graphic xmlns:a="http://schemas.openxmlformats.org/drawingml/2006/main">
                  <a:graphicData uri="http://schemas.microsoft.com/office/word/2010/wordprocessingShape">
                    <wps:wsp>
                      <wps:cNvSpPr/>
                      <wps:spPr>
                        <a:xfrm>
                          <a:off x="0" y="0"/>
                          <a:ext cx="3878317" cy="2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3B554A01" id="Rectangle 429" o:spid="_x0000_s1026" style="position:absolute;margin-left:-38.75pt;margin-top:-41pt;width:305.4pt;height:21.1pt;z-index:2555238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" fillcolor="white [3212]" stroked="f" strokeweight="1pt"/>
            </w:pict>
          </mc:Fallback>
        </mc:AlternateContent>
      </w:r>
      <w:r w:rsidR="00783364">
        <w:rPr>
          <w:rFonts w:ascii="Arial" w:hAnsi="Arial" w:cs="Arial"/>
          <w:noProof/>
          <w:sz w:val="24"/>
          <w:szCs w:val="24"/>
          <w:lang w:val="en-US"/>
        </w:rPr>
        <mc:AlternateContent>
          <mc:Choice Requires="wps">
            <w:drawing>
              <wp:anchor distT="0" distB="0" distL="114300" distR="114300" simplePos="0" relativeHeight="254775294" behindDoc="1" locked="0" layoutInCell="1" allowOverlap="1" wp14:anchorId="0E8BC758" wp14:editId="5D3FB18B">
                <wp:simplePos x="0" y="0"/>
                <wp:positionH relativeFrom="margin">
                  <wp:align>center</wp:align>
                </wp:positionH>
                <wp:positionV relativeFrom="margin">
                  <wp:align>center</wp:align>
                </wp:positionV>
                <wp:extent cx="9856189" cy="5972400"/>
                <wp:effectExtent l="12700" t="12700" r="12065" b="9525"/>
                <wp:wrapNone/>
                <wp:docPr id="2634" name="Rectangle 2634"/>
                <wp:cNvGraphicFramePr/>
                <a:graphic xmlns:a="http://schemas.openxmlformats.org/drawingml/2006/main">
                  <a:graphicData uri="http://schemas.microsoft.com/office/word/2010/wordprocessingShape">
                    <wps:wsp>
                      <wps:cNvSpPr/>
                      <wps:spPr>
                        <a:xfrm>
                          <a:off x="0" y="0"/>
                          <a:ext cx="9856189" cy="59724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D0B30"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BC758" id="Rectangle 2634" o:spid="_x0000_s1221" style="position:absolute;margin-left:0;margin-top:0;width:776.1pt;height:470.25pt;z-index:-24854118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" fillcolor="#f2f2f2 [3052]" strokecolor="#16988a" strokeweight="1.5pt">
                <v:textbox>
                  <w:txbxContent>
                    <w:p w14:paraId="62CD0B30" w14:textId="77777777" w:rsidR="00D15FD8" w:rsidRPr="003625BA" w:rsidRDefault="00D15FD8" w:rsidP="003625BA">
                      <w:pPr>
                        <w:jc w:val="center"/>
                        <w:rPr>
                          <w:lang w:val="en-US"/>
                        </w:rPr>
                      </w:pPr>
                    </w:p>
                  </w:txbxContent>
                </v:textbox>
                <w10:wrap anchorx="margin" anchory="margin"/>
              </v:rect>
            </w:pict>
          </mc:Fallback>
        </mc:AlternateContent>
      </w:r>
    </w:p>
    <w:p w14:paraId="2BDCDF4E" w14:textId="338B4AC7" w:rsidR="00203FAB" w:rsidRPr="00CB1BF7" w:rsidRDefault="0040427B" w:rsidP="002D14C0">
      <w:pPr>
        <w:rPr>
          <w:rFonts w:ascii="Roboto" w:hAnsi="Roboto"/>
        </w:rPr>
      </w:pPr>
      <w:r w:rsidRPr="00CB1BF7">
        <w:rPr>
          <w:rFonts w:ascii="Roboto" w:hAnsi="Roboto"/>
          <w:noProof/>
          <w:lang w:val="en-US"/>
        </w:rPr>
        <mc:AlternateContent>
          <mc:Choice Requires="wps">
            <w:drawing>
              <wp:anchor distT="0" distB="0" distL="114300" distR="114300" simplePos="0" relativeHeight="253713406" behindDoc="0" locked="0" layoutInCell="1" allowOverlap="1" wp14:anchorId="7BB9EA61" wp14:editId="34A1462A">
                <wp:simplePos x="0" y="0"/>
                <wp:positionH relativeFrom="margin">
                  <wp:align>center</wp:align>
                </wp:positionH>
                <wp:positionV relativeFrom="margin">
                  <wp:align>center</wp:align>
                </wp:positionV>
                <wp:extent cx="8817610" cy="4787900"/>
                <wp:effectExtent l="0" t="0" r="0" b="0"/>
                <wp:wrapNone/>
                <wp:docPr id="1966" name="Text Box 1966"/>
                <wp:cNvGraphicFramePr/>
                <a:graphic xmlns:a="http://schemas.openxmlformats.org/drawingml/2006/main">
                  <a:graphicData uri="http://schemas.microsoft.com/office/word/2010/wordprocessingShape">
                    <wps:wsp>
                      <wps:cNvSpPr txBox="1"/>
                      <wps:spPr>
                        <a:xfrm>
                          <a:off x="0" y="0"/>
                          <a:ext cx="8817610" cy="4787900"/>
                        </a:xfrm>
                        <a:prstGeom prst="rect">
                          <a:avLst/>
                        </a:prstGeom>
                        <a:noFill/>
                        <a:ln w="6350">
                          <a:noFill/>
                        </a:ln>
                      </wps:spPr>
                      <wps:txbx>
                        <w:txbxContent>
                          <w:p w14:paraId="092D2E8E" w14:textId="77777777" w:rsidR="00D15FD8" w:rsidRPr="00CB1BF7" w:rsidRDefault="00AC4DF7" w:rsidP="002D14C0">
                            <w:pPr>
                              <w:spacing w:after="160" w:line="259" w:lineRule="auto"/>
                              <w:suppressOverlap/>
                              <w:rPr>
                                <w:rFonts w:ascii="Roboto" w:eastAsia="Calibri" w:hAnsi="Roboto" w:cs="Calibri"/>
                                <w:color w:val="404040" w:themeColor="text1" w:themeTint="BF"/>
                                <w:sz w:val="20"/>
                                <w:szCs w:val="20"/>
                              </w:rPr>
                            </w:pPr>
                            <w:hyperlink r:id="rId371" w:anchor="/" w:history="1">
                              <w:r w:rsidR="00D15FD8" w:rsidRPr="00CB1BF7">
                                <w:rPr>
                                  <w:rStyle w:val="Hyperlink"/>
                                  <w:rFonts w:ascii="Roboto" w:eastAsia="Calibri" w:hAnsi="Roboto" w:cs="Calibri"/>
                                  <w:b/>
                                  <w:color w:val="1E9A8C"/>
                                  <w:sz w:val="20"/>
                                  <w:szCs w:val="20"/>
                                </w:rPr>
                                <w:t>Open Contracting Partnership</w:t>
                              </w:r>
                            </w:hyperlink>
                            <w:r w:rsidR="00D15FD8" w:rsidRPr="00CB1BF7">
                              <w:rPr>
                                <w:rFonts w:ascii="Roboto" w:eastAsia="Calibri" w:hAnsi="Roboto" w:cs="Calibri"/>
                                <w:color w:val="1E9A8C"/>
                                <w:sz w:val="20"/>
                                <w:szCs w:val="20"/>
                              </w:rPr>
                              <w:t xml:space="preserve">: </w:t>
                            </w:r>
                            <w:r w:rsidR="00D15FD8" w:rsidRPr="00CB1BF7">
                              <w:rPr>
                                <w:rFonts w:ascii="Roboto" w:eastAsia="Calibri" w:hAnsi="Roboto" w:cs="Calibri"/>
                                <w:color w:val="404040" w:themeColor="text1" w:themeTint="BF"/>
                                <w:sz w:val="20"/>
                                <w:szCs w:val="20"/>
                              </w:rPr>
                              <w:t>Governments shall recognize the right of the public to participate in the oversight of the formation, award, execution, performance, and completion of public contracts.</w:t>
                            </w:r>
                          </w:p>
                          <w:p w14:paraId="255FA886"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International Federation of Accountants (IFAC) / Chartered Institute of Public Finance and Accountancy (CIPFA</w:t>
                            </w:r>
                            <w:r w:rsidRPr="00A41DF7">
                              <w:rPr>
                                <w:rFonts w:ascii="Roboto" w:eastAsia="Calibri" w:hAnsi="Roboto" w:cs="Calibri"/>
                                <w:b/>
                                <w:bCs/>
                                <w:color w:val="1E9A8C"/>
                                <w:sz w:val="20"/>
                                <w:szCs w:val="20"/>
                                <w:u w:val="single"/>
                              </w:rPr>
                              <w:t>)</w:t>
                            </w:r>
                            <w:r w:rsidRPr="00A41DF7">
                              <w:rPr>
                                <w:rFonts w:ascii="Roboto" w:eastAsia="Calibri" w:hAnsi="Roboto" w:cs="Calibri"/>
                                <w:b/>
                                <w:bCs/>
                                <w:color w:val="1E9A8C"/>
                                <w:sz w:val="20"/>
                                <w:szCs w:val="20"/>
                              </w:rPr>
                              <w:t>:</w:t>
                            </w:r>
                            <w:r w:rsidRPr="00A41DF7">
                              <w:rPr>
                                <w:rFonts w:ascii="Roboto" w:eastAsia="Calibri" w:hAnsi="Roboto" w:cs="Calibri"/>
                                <w:i/>
                                <w:color w:val="F26C21"/>
                                <w:sz w:val="20"/>
                                <w:szCs w:val="20"/>
                              </w:rPr>
                              <w:t xml:space="preserve"> </w:t>
                            </w:r>
                            <w:hyperlink r:id="rId372" w:history="1">
                              <w:r w:rsidRPr="00CB1BF7">
                                <w:rPr>
                                  <w:rStyle w:val="Hyperlink"/>
                                  <w:rFonts w:ascii="Roboto" w:eastAsia="Calibri" w:hAnsi="Roboto" w:cs="Calibri"/>
                                  <w:iCs/>
                                  <w:color w:val="F26C21"/>
                                  <w:sz w:val="20"/>
                                  <w:szCs w:val="20"/>
                                </w:rPr>
                                <w:t>International Framework: Good Governance in the Public Sector</w:t>
                              </w:r>
                            </w:hyperlink>
                            <w:r w:rsidRPr="00CB1BF7">
                              <w:rPr>
                                <w:rFonts w:ascii="Roboto" w:eastAsia="Calibri" w:hAnsi="Roboto" w:cs="Calibri"/>
                                <w:iCs/>
                                <w:color w:val="F26C21"/>
                                <w:sz w:val="20"/>
                                <w:szCs w:val="20"/>
                                <w:u w:val="single"/>
                              </w:rPr>
                              <w:t>:</w:t>
                            </w:r>
                            <w:r w:rsidRPr="00CB1BF7">
                              <w:rPr>
                                <w:rFonts w:ascii="Roboto" w:eastAsia="Calibri" w:hAnsi="Roboto" w:cs="Calibri"/>
                                <w:iCs/>
                                <w:color w:val="F26C21"/>
                                <w:sz w:val="20"/>
                                <w:szCs w:val="20"/>
                              </w:rPr>
                              <w:t xml:space="preserve"> </w:t>
                            </w:r>
                            <w:r w:rsidRPr="00CB1BF7">
                              <w:rPr>
                                <w:rFonts w:ascii="Roboto" w:eastAsia="Calibri" w:hAnsi="Roboto" w:cs="Calibri"/>
                                <w:color w:val="404040" w:themeColor="text1" w:themeTint="BF"/>
                                <w:sz w:val="20"/>
                                <w:szCs w:val="20"/>
                              </w:rPr>
                              <w:t>Principle B: Ensuring openness and comprehensive stakeholder engagement.</w:t>
                            </w:r>
                          </w:p>
                          <w:p w14:paraId="61D0D33A" w14:textId="77777777" w:rsidR="00D15FD8" w:rsidRPr="00CB1BF7" w:rsidRDefault="00D15FD8" w:rsidP="002D14C0">
                            <w:pPr>
                              <w:suppressOverlap/>
                              <w:rPr>
                                <w:rFonts w:ascii="Roboto" w:eastAsia="Calibri" w:hAnsi="Roboto" w:cs="Calibri"/>
                                <w:color w:val="404040" w:themeColor="text1" w:themeTint="BF"/>
                                <w:sz w:val="20"/>
                                <w:szCs w:val="20"/>
                              </w:rPr>
                            </w:pPr>
                          </w:p>
                          <w:p w14:paraId="23443AE7" w14:textId="1AC8F379" w:rsidR="00D15FD8" w:rsidRPr="00CB1BF7" w:rsidRDefault="00D15FD8" w:rsidP="002D14C0">
                            <w:pPr>
                              <w:spacing w:after="160" w:line="259" w:lineRule="auto"/>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Inter-Parliamentary Union</w:t>
                            </w:r>
                            <w:r w:rsidRPr="00A41DF7">
                              <w:rPr>
                                <w:rFonts w:ascii="Roboto" w:eastAsia="Calibri" w:hAnsi="Roboto" w:cs="Calibri"/>
                                <w:color w:val="1E9A8C"/>
                                <w:sz w:val="20"/>
                                <w:szCs w:val="20"/>
                              </w:rPr>
                              <w:t xml:space="preserve">: </w:t>
                            </w:r>
                            <w:hyperlink r:id="rId373" w:history="1">
                              <w:r w:rsidRPr="00CB1BF7">
                                <w:rPr>
                                  <w:rStyle w:val="Hyperlink"/>
                                  <w:rFonts w:ascii="Roboto" w:eastAsia="Calibri" w:hAnsi="Roboto" w:cs="Calibri"/>
                                  <w:color w:val="F26C21"/>
                                  <w:sz w:val="20"/>
                                  <w:szCs w:val="20"/>
                                </w:rPr>
                                <w:t>P</w:t>
                              </w:r>
                              <w:r w:rsidRPr="00CB1BF7">
                                <w:rPr>
                                  <w:rStyle w:val="Hyperlink"/>
                                  <w:rFonts w:ascii="Roboto" w:eastAsia="Calibri" w:hAnsi="Roboto" w:cs="Calibri"/>
                                  <w:bCs/>
                                  <w:color w:val="F26C21"/>
                                  <w:sz w:val="20"/>
                                  <w:szCs w:val="20"/>
                                </w:rPr>
                                <w:t>arliament and Democracy in The Twenty-First Century: A Guide to Good Practice</w:t>
                              </w:r>
                            </w:hyperlink>
                            <w:r w:rsidRPr="00CB1BF7">
                              <w:rPr>
                                <w:rFonts w:ascii="Roboto" w:eastAsia="Calibri" w:hAnsi="Roboto" w:cs="Calibri"/>
                                <w:color w:val="404040" w:themeColor="text1" w:themeTint="BF"/>
                                <w:sz w:val="20"/>
                                <w:szCs w:val="20"/>
                              </w:rPr>
                              <w:t xml:space="preserve"> (2006): With respect to public engagement generally with legislatures, it </w:t>
                            </w:r>
                            <w:r w:rsidRPr="00CB1BF7">
                              <w:rPr>
                                <w:rFonts w:ascii="Roboto" w:eastAsia="Calibri" w:hAnsi="Roboto" w:cs="Calibri"/>
                                <w:bCs/>
                                <w:color w:val="404040" w:themeColor="text1" w:themeTint="BF"/>
                                <w:sz w:val="20"/>
                                <w:szCs w:val="20"/>
                              </w:rPr>
                              <w:t>stipulates that</w:t>
                            </w:r>
                            <w:r w:rsidRPr="00CB1BF7">
                              <w:rPr>
                                <w:rFonts w:ascii="Roboto" w:eastAsia="Calibri" w:hAnsi="Roboto" w:cs="Calibri"/>
                                <w:color w:val="404040" w:themeColor="text1" w:themeTint="BF"/>
                                <w:sz w:val="20"/>
                                <w:szCs w:val="20"/>
                              </w:rPr>
                              <w:t xml:space="preserve"> there should be various means for constituents to have access to their elected representatives; effective modes of public participation in pre-legislative scrutiny; right of open consultation for interested parties; public right of petition; systematic grievance procedures; and possibility for lobbying, within the limits of agreed legal provisions that ensure transparency.</w:t>
                            </w:r>
                          </w:p>
                          <w:p w14:paraId="0B9479CD" w14:textId="77777777" w:rsidR="00D15FD8" w:rsidRPr="00CB1BF7" w:rsidRDefault="00AC4DF7" w:rsidP="002D14C0">
                            <w:pPr>
                              <w:spacing w:after="160" w:line="259" w:lineRule="auto"/>
                              <w:suppressOverlap/>
                              <w:rPr>
                                <w:rFonts w:ascii="Roboto" w:eastAsia="Calibri" w:hAnsi="Roboto" w:cs="Calibri"/>
                                <w:color w:val="404040" w:themeColor="text1" w:themeTint="BF"/>
                                <w:sz w:val="20"/>
                                <w:szCs w:val="20"/>
                              </w:rPr>
                            </w:pPr>
                            <w:hyperlink r:id="rId374" w:history="1">
                              <w:r w:rsidR="00D15FD8" w:rsidRPr="00CB1BF7">
                                <w:rPr>
                                  <w:rStyle w:val="Hyperlink"/>
                                  <w:rFonts w:ascii="Roboto" w:hAnsi="Roboto"/>
                                  <w:color w:val="F26C21"/>
                                  <w:sz w:val="20"/>
                                  <w:szCs w:val="20"/>
                                </w:rPr>
                                <w:t>Strengthening Accountability through Fiscal Openness: A Toolkit for Parliamentarians in the Americas and the Caribbean</w:t>
                              </w:r>
                            </w:hyperlink>
                            <w:r w:rsidR="00D15FD8" w:rsidRPr="00CB1BF7">
                              <w:rPr>
                                <w:rFonts w:ascii="Roboto" w:eastAsia="Calibri" w:hAnsi="Roboto" w:cs="Calibri"/>
                                <w:color w:val="F26C21"/>
                                <w:sz w:val="20"/>
                                <w:szCs w:val="20"/>
                              </w:rPr>
                              <w:t xml:space="preserve"> </w:t>
                            </w:r>
                            <w:r w:rsidR="00D15FD8" w:rsidRPr="00CB1BF7">
                              <w:rPr>
                                <w:rFonts w:ascii="Roboto" w:eastAsia="Calibri" w:hAnsi="Roboto" w:cs="Calibri"/>
                                <w:color w:val="404040" w:themeColor="text1" w:themeTint="BF"/>
                                <w:sz w:val="20"/>
                                <w:szCs w:val="20"/>
                              </w:rPr>
                              <w:t>(2020):</w:t>
                            </w:r>
                            <w:r w:rsidR="00D15FD8" w:rsidRPr="00CB1BF7">
                              <w:rPr>
                                <w:rFonts w:ascii="Roboto" w:hAnsi="Roboto"/>
                                <w:color w:val="404040" w:themeColor="text1" w:themeTint="BF"/>
                                <w:sz w:val="20"/>
                                <w:szCs w:val="20"/>
                              </w:rPr>
                              <w:t xml:space="preserve"> </w:t>
                            </w:r>
                            <w:r w:rsidR="00D15FD8" w:rsidRPr="00CB1BF7">
                              <w:rPr>
                                <w:rFonts w:ascii="Roboto" w:eastAsia="Calibri" w:hAnsi="Roboto" w:cs="Calibri"/>
                                <w:color w:val="404040" w:themeColor="text1" w:themeTint="BF"/>
                                <w:sz w:val="20"/>
                                <w:szCs w:val="20"/>
                                <w:lang w:val="en-ZA"/>
                              </w:rPr>
                              <w:t>Public information belongs to citizens and the public at large who need it in order to be empowered and to fully participate in democratic processes.</w:t>
                            </w:r>
                          </w:p>
                          <w:p w14:paraId="5A1164B2" w14:textId="77777777" w:rsidR="00D15FD8" w:rsidRPr="00CB1BF7" w:rsidRDefault="00D15FD8" w:rsidP="002D14C0">
                            <w:pPr>
                              <w:suppressOverlap/>
                              <w:rPr>
                                <w:rFonts w:ascii="Roboto" w:eastAsia="Calibri" w:hAnsi="Roboto" w:cs="Calibri"/>
                                <w:b/>
                                <w:bCs/>
                                <w:color w:val="1E9A8C"/>
                                <w:sz w:val="20"/>
                                <w:szCs w:val="20"/>
                                <w:u w:val="single"/>
                              </w:rPr>
                            </w:pPr>
                            <w:r w:rsidRPr="00CB1BF7">
                              <w:rPr>
                                <w:rFonts w:ascii="Roboto" w:eastAsia="Calibri" w:hAnsi="Roboto" w:cs="Calibri"/>
                                <w:b/>
                                <w:bCs/>
                                <w:color w:val="1E9A8C"/>
                                <w:sz w:val="20"/>
                                <w:szCs w:val="20"/>
                                <w:u w:val="single"/>
                              </w:rPr>
                              <w:t>Assessment frameworks:</w:t>
                            </w:r>
                          </w:p>
                          <w:p w14:paraId="6850D57B" w14:textId="77777777" w:rsidR="00D15FD8" w:rsidRPr="00CB1BF7" w:rsidRDefault="00D15FD8" w:rsidP="002D14C0">
                            <w:pPr>
                              <w:suppressOverlap/>
                              <w:rPr>
                                <w:rFonts w:ascii="Roboto" w:eastAsia="Calibri" w:hAnsi="Roboto" w:cs="Calibri"/>
                                <w:b/>
                                <w:bCs/>
                                <w:color w:val="404040" w:themeColor="text1" w:themeTint="BF"/>
                                <w:sz w:val="20"/>
                                <w:szCs w:val="20"/>
                                <w:u w:val="single"/>
                              </w:rPr>
                            </w:pPr>
                          </w:p>
                          <w:p w14:paraId="001AC134"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 xml:space="preserve">PEFA: </w:t>
                            </w:r>
                            <w:hyperlink r:id="rId375" w:history="1">
                              <w:r w:rsidRPr="00CB1BF7">
                                <w:rPr>
                                  <w:rStyle w:val="Hyperlink"/>
                                  <w:rFonts w:ascii="Roboto" w:eastAsia="Calibri" w:hAnsi="Roboto" w:cs="Calibri"/>
                                  <w:color w:val="F26C21"/>
                                  <w:sz w:val="20"/>
                                  <w:szCs w:val="20"/>
                                </w:rPr>
                                <w:t>Framework for assessing public financial management</w:t>
                              </w:r>
                            </w:hyperlink>
                            <w:r w:rsidRPr="00CB1BF7">
                              <w:rPr>
                                <w:rFonts w:ascii="Roboto" w:eastAsia="Calibri" w:hAnsi="Roboto" w:cs="Calibri"/>
                                <w:color w:val="F26C21"/>
                                <w:sz w:val="20"/>
                                <w:szCs w:val="20"/>
                              </w:rPr>
                              <w:t xml:space="preserve"> </w:t>
                            </w:r>
                            <w:r w:rsidRPr="00CB1BF7">
                              <w:rPr>
                                <w:rFonts w:ascii="Roboto" w:eastAsia="Calibri" w:hAnsi="Roboto" w:cs="Calibri"/>
                                <w:color w:val="404040" w:themeColor="text1" w:themeTint="BF"/>
                                <w:sz w:val="20"/>
                                <w:szCs w:val="20"/>
                              </w:rPr>
                              <w:t>(2016): Assesses the legislature’s procedures for budget scrutiny include arrangements for public consultation and the functioning of a procurement complaints mechanism. The framework is being expanded to directly include public participation.</w:t>
                            </w:r>
                          </w:p>
                          <w:p w14:paraId="1D72A27D" w14:textId="77777777" w:rsidR="00D15FD8" w:rsidRPr="00CB1BF7" w:rsidRDefault="00D15FD8" w:rsidP="002D14C0">
                            <w:pPr>
                              <w:suppressOverlap/>
                              <w:rPr>
                                <w:rFonts w:ascii="Roboto" w:eastAsia="Calibri" w:hAnsi="Roboto" w:cs="Calibri"/>
                                <w:color w:val="404040" w:themeColor="text1" w:themeTint="BF"/>
                                <w:sz w:val="20"/>
                                <w:szCs w:val="20"/>
                              </w:rPr>
                            </w:pPr>
                          </w:p>
                          <w:p w14:paraId="51D04A89"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IBP:</w:t>
                            </w:r>
                            <w:r w:rsidRPr="00CB1BF7">
                              <w:rPr>
                                <w:rFonts w:ascii="Roboto" w:eastAsia="Calibri" w:hAnsi="Roboto" w:cs="Calibri"/>
                                <w:color w:val="1E9A8C"/>
                                <w:sz w:val="20"/>
                                <w:szCs w:val="20"/>
                              </w:rPr>
                              <w:t xml:space="preserve"> </w:t>
                            </w:r>
                            <w:hyperlink r:id="rId376" w:history="1">
                              <w:r w:rsidRPr="00CB1BF7">
                                <w:rPr>
                                  <w:rStyle w:val="Hyperlink"/>
                                  <w:rFonts w:ascii="Roboto" w:eastAsia="Calibri" w:hAnsi="Roboto" w:cs="Calibri"/>
                                  <w:color w:val="F26C21"/>
                                  <w:sz w:val="20"/>
                                  <w:szCs w:val="20"/>
                                </w:rPr>
                                <w:t>Open Budget Survey</w:t>
                              </w:r>
                            </w:hyperlink>
                            <w:r w:rsidRPr="00CB1BF7">
                              <w:rPr>
                                <w:rFonts w:ascii="Roboto" w:eastAsia="Calibri" w:hAnsi="Roboto" w:cs="Calibri"/>
                                <w:color w:val="F26C21"/>
                                <w:sz w:val="20"/>
                                <w:szCs w:val="20"/>
                              </w:rPr>
                              <w:t xml:space="preserve"> </w:t>
                            </w:r>
                            <w:r w:rsidRPr="00CB1BF7">
                              <w:rPr>
                                <w:rFonts w:ascii="Roboto" w:eastAsia="Calibri" w:hAnsi="Roboto" w:cs="Calibri"/>
                                <w:color w:val="404040" w:themeColor="text1" w:themeTint="BF"/>
                                <w:sz w:val="20"/>
                                <w:szCs w:val="20"/>
                              </w:rPr>
                              <w:t xml:space="preserve">(OBS): The OBS was the first cross-country instrument to measure levels of public participation in budgeting. Since 2017, the survey more comprehensively examines public engagement in the budget process by the executive, legislature and the SAI, to fully incorporate the GIFT principles.  </w:t>
                            </w:r>
                          </w:p>
                          <w:p w14:paraId="3EC849AE" w14:textId="77777777" w:rsidR="00D15FD8" w:rsidRPr="00CB1BF7" w:rsidRDefault="00D15FD8" w:rsidP="002D14C0">
                            <w:pPr>
                              <w:rPr>
                                <w:rFonts w:ascii="Roboto" w:hAnsi="Roboto"/>
                                <w:sz w:val="20"/>
                                <w:szCs w:val="20"/>
                              </w:rPr>
                            </w:pPr>
                          </w:p>
                          <w:p w14:paraId="24BF5EDF"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IMF and partners:</w:t>
                            </w:r>
                            <w:r w:rsidRPr="00CB1BF7">
                              <w:rPr>
                                <w:rFonts w:ascii="Roboto" w:eastAsia="Calibri" w:hAnsi="Roboto" w:cs="Calibri"/>
                                <w:bCs/>
                                <w:color w:val="1E9A8C"/>
                                <w:sz w:val="20"/>
                                <w:szCs w:val="20"/>
                              </w:rPr>
                              <w:t xml:space="preserve"> </w:t>
                            </w:r>
                            <w:hyperlink r:id="rId377" w:history="1">
                              <w:r w:rsidRPr="00CB1BF7">
                                <w:rPr>
                                  <w:rStyle w:val="Hyperlink"/>
                                  <w:rFonts w:ascii="Roboto" w:eastAsia="Calibri" w:hAnsi="Roboto" w:cs="Calibri"/>
                                  <w:bCs/>
                                  <w:color w:val="F26C21"/>
                                  <w:sz w:val="20"/>
                                  <w:szCs w:val="20"/>
                                </w:rPr>
                                <w:t>Tax Administration Diagnostic Assessment Tool (TADAT)</w:t>
                              </w:r>
                            </w:hyperlink>
                            <w:r w:rsidRPr="00CB1BF7">
                              <w:rPr>
                                <w:rFonts w:ascii="Roboto" w:eastAsia="Calibri" w:hAnsi="Roboto" w:cs="Calibri"/>
                                <w:bCs/>
                                <w:color w:val="F26C21"/>
                                <w:sz w:val="20"/>
                                <w:szCs w:val="20"/>
                                <w:u w:val="single"/>
                              </w:rPr>
                              <w:t>:</w:t>
                            </w:r>
                            <w:r w:rsidRPr="00CB1BF7">
                              <w:rPr>
                                <w:rFonts w:ascii="Roboto" w:eastAsia="Calibri" w:hAnsi="Roboto" w:cs="Calibri"/>
                                <w:bCs/>
                                <w:color w:val="F26C21"/>
                                <w:sz w:val="20"/>
                                <w:szCs w:val="20"/>
                              </w:rPr>
                              <w:t xml:space="preserve"> </w:t>
                            </w:r>
                            <w:r w:rsidRPr="00CB1BF7">
                              <w:rPr>
                                <w:rFonts w:ascii="Roboto" w:eastAsia="Calibri" w:hAnsi="Roboto" w:cs="Calibri"/>
                                <w:bCs/>
                                <w:color w:val="404040" w:themeColor="text1" w:themeTint="BF"/>
                                <w:sz w:val="20"/>
                                <w:szCs w:val="20"/>
                              </w:rPr>
                              <w:t>I</w:t>
                            </w:r>
                            <w:r w:rsidRPr="00CB1BF7">
                              <w:rPr>
                                <w:rFonts w:ascii="Roboto" w:eastAsia="Calibri" w:hAnsi="Roboto" w:cs="Calibri"/>
                                <w:color w:val="404040" w:themeColor="text1" w:themeTint="BF"/>
                                <w:sz w:val="20"/>
                                <w:szCs w:val="20"/>
                              </w:rPr>
                              <w:t>ncludes a number of performance indicators that cover interactions between the tax administration and taxpayers, a measure of the time taken to respond to taxpayer requests for information; measures of obtaining taxpayer feedback on products and services; performance of tax dispute resolution measures and measures of whether an ombudsman or equivalent body investigates taxpayer complaints, and the mechanism for monitoring public perception of the integrity of the tax administration.</w:t>
                            </w:r>
                          </w:p>
                          <w:p w14:paraId="5CA74F80" w14:textId="77777777" w:rsidR="00D15FD8" w:rsidRPr="00CB1BF7" w:rsidRDefault="00D15FD8" w:rsidP="002D14C0">
                            <w:pPr>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9EA61" id="Text Box 1966" o:spid="_x0000_s1222" type="#_x0000_t202" style="position:absolute;margin-left:0;margin-top:0;width:694.3pt;height:377pt;z-index:25371340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" filled="f" stroked="f" strokeweight=".5pt">
                <v:textbox>
                  <w:txbxContent>
                    <w:p w14:paraId="092D2E8E" w14:textId="77777777" w:rsidR="00D15FD8" w:rsidRPr="00CB1BF7" w:rsidRDefault="00AC4DF7" w:rsidP="002D14C0">
                      <w:pPr>
                        <w:spacing w:after="160" w:line="259" w:lineRule="auto"/>
                        <w:suppressOverlap/>
                        <w:rPr>
                          <w:rFonts w:ascii="Roboto" w:eastAsia="Calibri" w:hAnsi="Roboto" w:cs="Calibri"/>
                          <w:color w:val="404040" w:themeColor="text1" w:themeTint="BF"/>
                          <w:sz w:val="20"/>
                          <w:szCs w:val="20"/>
                        </w:rPr>
                      </w:pPr>
                      <w:hyperlink r:id="rId378" w:anchor="/" w:history="1">
                        <w:r w:rsidR="00D15FD8" w:rsidRPr="00CB1BF7">
                          <w:rPr>
                            <w:rStyle w:val="Hyperlink"/>
                            <w:rFonts w:ascii="Roboto" w:eastAsia="Calibri" w:hAnsi="Roboto" w:cs="Calibri"/>
                            <w:b/>
                            <w:color w:val="1E9A8C"/>
                            <w:sz w:val="20"/>
                            <w:szCs w:val="20"/>
                          </w:rPr>
                          <w:t>Open Contracting Partnership</w:t>
                        </w:r>
                      </w:hyperlink>
                      <w:r w:rsidR="00D15FD8" w:rsidRPr="00CB1BF7">
                        <w:rPr>
                          <w:rFonts w:ascii="Roboto" w:eastAsia="Calibri" w:hAnsi="Roboto" w:cs="Calibri"/>
                          <w:color w:val="1E9A8C"/>
                          <w:sz w:val="20"/>
                          <w:szCs w:val="20"/>
                        </w:rPr>
                        <w:t xml:space="preserve">: </w:t>
                      </w:r>
                      <w:r w:rsidR="00D15FD8" w:rsidRPr="00CB1BF7">
                        <w:rPr>
                          <w:rFonts w:ascii="Roboto" w:eastAsia="Calibri" w:hAnsi="Roboto" w:cs="Calibri"/>
                          <w:color w:val="404040" w:themeColor="text1" w:themeTint="BF"/>
                          <w:sz w:val="20"/>
                          <w:szCs w:val="20"/>
                        </w:rPr>
                        <w:t>Governments shall recognize the right of the public to participate in the oversight of the formation, award, execution, performance, and completion of public contracts.</w:t>
                      </w:r>
                    </w:p>
                    <w:p w14:paraId="255FA886"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International Federation of Accountants (IFAC) / Chartered Institute of Public Finance and Accountancy (CIPFA</w:t>
                      </w:r>
                      <w:r w:rsidRPr="00A41DF7">
                        <w:rPr>
                          <w:rFonts w:ascii="Roboto" w:eastAsia="Calibri" w:hAnsi="Roboto" w:cs="Calibri"/>
                          <w:b/>
                          <w:bCs/>
                          <w:color w:val="1E9A8C"/>
                          <w:sz w:val="20"/>
                          <w:szCs w:val="20"/>
                          <w:u w:val="single"/>
                        </w:rPr>
                        <w:t>)</w:t>
                      </w:r>
                      <w:r w:rsidRPr="00A41DF7">
                        <w:rPr>
                          <w:rFonts w:ascii="Roboto" w:eastAsia="Calibri" w:hAnsi="Roboto" w:cs="Calibri"/>
                          <w:b/>
                          <w:bCs/>
                          <w:color w:val="1E9A8C"/>
                          <w:sz w:val="20"/>
                          <w:szCs w:val="20"/>
                        </w:rPr>
                        <w:t>:</w:t>
                      </w:r>
                      <w:r w:rsidRPr="00A41DF7">
                        <w:rPr>
                          <w:rFonts w:ascii="Roboto" w:eastAsia="Calibri" w:hAnsi="Roboto" w:cs="Calibri"/>
                          <w:i/>
                          <w:color w:val="F26C21"/>
                          <w:sz w:val="20"/>
                          <w:szCs w:val="20"/>
                        </w:rPr>
                        <w:t xml:space="preserve"> </w:t>
                      </w:r>
                      <w:hyperlink r:id="rId379" w:history="1">
                        <w:r w:rsidRPr="00CB1BF7">
                          <w:rPr>
                            <w:rStyle w:val="Hyperlink"/>
                            <w:rFonts w:ascii="Roboto" w:eastAsia="Calibri" w:hAnsi="Roboto" w:cs="Calibri"/>
                            <w:iCs/>
                            <w:color w:val="F26C21"/>
                            <w:sz w:val="20"/>
                            <w:szCs w:val="20"/>
                          </w:rPr>
                          <w:t>International Framework: Good Governance in the Public Sector</w:t>
                        </w:r>
                      </w:hyperlink>
                      <w:r w:rsidRPr="00CB1BF7">
                        <w:rPr>
                          <w:rFonts w:ascii="Roboto" w:eastAsia="Calibri" w:hAnsi="Roboto" w:cs="Calibri"/>
                          <w:iCs/>
                          <w:color w:val="F26C21"/>
                          <w:sz w:val="20"/>
                          <w:szCs w:val="20"/>
                          <w:u w:val="single"/>
                        </w:rPr>
                        <w:t>:</w:t>
                      </w:r>
                      <w:r w:rsidRPr="00CB1BF7">
                        <w:rPr>
                          <w:rFonts w:ascii="Roboto" w:eastAsia="Calibri" w:hAnsi="Roboto" w:cs="Calibri"/>
                          <w:iCs/>
                          <w:color w:val="F26C21"/>
                          <w:sz w:val="20"/>
                          <w:szCs w:val="20"/>
                        </w:rPr>
                        <w:t xml:space="preserve"> </w:t>
                      </w:r>
                      <w:r w:rsidRPr="00CB1BF7">
                        <w:rPr>
                          <w:rFonts w:ascii="Roboto" w:eastAsia="Calibri" w:hAnsi="Roboto" w:cs="Calibri"/>
                          <w:color w:val="404040" w:themeColor="text1" w:themeTint="BF"/>
                          <w:sz w:val="20"/>
                          <w:szCs w:val="20"/>
                        </w:rPr>
                        <w:t>Principle B: Ensuring openness and comprehensive stakeholder engagement.</w:t>
                      </w:r>
                    </w:p>
                    <w:p w14:paraId="61D0D33A" w14:textId="77777777" w:rsidR="00D15FD8" w:rsidRPr="00CB1BF7" w:rsidRDefault="00D15FD8" w:rsidP="002D14C0">
                      <w:pPr>
                        <w:suppressOverlap/>
                        <w:rPr>
                          <w:rFonts w:ascii="Roboto" w:eastAsia="Calibri" w:hAnsi="Roboto" w:cs="Calibri"/>
                          <w:color w:val="404040" w:themeColor="text1" w:themeTint="BF"/>
                          <w:sz w:val="20"/>
                          <w:szCs w:val="20"/>
                        </w:rPr>
                      </w:pPr>
                    </w:p>
                    <w:p w14:paraId="23443AE7" w14:textId="1AC8F379" w:rsidR="00D15FD8" w:rsidRPr="00CB1BF7" w:rsidRDefault="00D15FD8" w:rsidP="002D14C0">
                      <w:pPr>
                        <w:spacing w:after="160" w:line="259" w:lineRule="auto"/>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Inter-Parliamentary Union</w:t>
                      </w:r>
                      <w:r w:rsidRPr="00A41DF7">
                        <w:rPr>
                          <w:rFonts w:ascii="Roboto" w:eastAsia="Calibri" w:hAnsi="Roboto" w:cs="Calibri"/>
                          <w:color w:val="1E9A8C"/>
                          <w:sz w:val="20"/>
                          <w:szCs w:val="20"/>
                        </w:rPr>
                        <w:t xml:space="preserve">: </w:t>
                      </w:r>
                      <w:hyperlink r:id="rId380" w:history="1">
                        <w:r w:rsidRPr="00CB1BF7">
                          <w:rPr>
                            <w:rStyle w:val="Hyperlink"/>
                            <w:rFonts w:ascii="Roboto" w:eastAsia="Calibri" w:hAnsi="Roboto" w:cs="Calibri"/>
                            <w:color w:val="F26C21"/>
                            <w:sz w:val="20"/>
                            <w:szCs w:val="20"/>
                          </w:rPr>
                          <w:t>P</w:t>
                        </w:r>
                        <w:r w:rsidRPr="00CB1BF7">
                          <w:rPr>
                            <w:rStyle w:val="Hyperlink"/>
                            <w:rFonts w:ascii="Roboto" w:eastAsia="Calibri" w:hAnsi="Roboto" w:cs="Calibri"/>
                            <w:bCs/>
                            <w:color w:val="F26C21"/>
                            <w:sz w:val="20"/>
                            <w:szCs w:val="20"/>
                          </w:rPr>
                          <w:t>arliament and Democracy in The Twenty-First Century: A Guide to Good Practice</w:t>
                        </w:r>
                      </w:hyperlink>
                      <w:r w:rsidRPr="00CB1BF7">
                        <w:rPr>
                          <w:rFonts w:ascii="Roboto" w:eastAsia="Calibri" w:hAnsi="Roboto" w:cs="Calibri"/>
                          <w:color w:val="404040" w:themeColor="text1" w:themeTint="BF"/>
                          <w:sz w:val="20"/>
                          <w:szCs w:val="20"/>
                        </w:rPr>
                        <w:t xml:space="preserve"> (2006): With respect to public engagement generally with legislatures, it </w:t>
                      </w:r>
                      <w:r w:rsidRPr="00CB1BF7">
                        <w:rPr>
                          <w:rFonts w:ascii="Roboto" w:eastAsia="Calibri" w:hAnsi="Roboto" w:cs="Calibri"/>
                          <w:bCs/>
                          <w:color w:val="404040" w:themeColor="text1" w:themeTint="BF"/>
                          <w:sz w:val="20"/>
                          <w:szCs w:val="20"/>
                        </w:rPr>
                        <w:t>stipulates that</w:t>
                      </w:r>
                      <w:r w:rsidRPr="00CB1BF7">
                        <w:rPr>
                          <w:rFonts w:ascii="Roboto" w:eastAsia="Calibri" w:hAnsi="Roboto" w:cs="Calibri"/>
                          <w:color w:val="404040" w:themeColor="text1" w:themeTint="BF"/>
                          <w:sz w:val="20"/>
                          <w:szCs w:val="20"/>
                        </w:rPr>
                        <w:t xml:space="preserve"> there should be various means for constituents to have access to their elected representatives; effective modes of public participation in pre-legislative scrutiny; right of open consultation for interested parties; public right of petition; systematic grievance procedures; and possibility for lobbying, within the limits of agreed legal provisions that ensure transparency.</w:t>
                      </w:r>
                    </w:p>
                    <w:p w14:paraId="0B9479CD" w14:textId="77777777" w:rsidR="00D15FD8" w:rsidRPr="00CB1BF7" w:rsidRDefault="00AC4DF7" w:rsidP="002D14C0">
                      <w:pPr>
                        <w:spacing w:after="160" w:line="259" w:lineRule="auto"/>
                        <w:suppressOverlap/>
                        <w:rPr>
                          <w:rFonts w:ascii="Roboto" w:eastAsia="Calibri" w:hAnsi="Roboto" w:cs="Calibri"/>
                          <w:color w:val="404040" w:themeColor="text1" w:themeTint="BF"/>
                          <w:sz w:val="20"/>
                          <w:szCs w:val="20"/>
                        </w:rPr>
                      </w:pPr>
                      <w:hyperlink r:id="rId381" w:history="1">
                        <w:r w:rsidR="00D15FD8" w:rsidRPr="00CB1BF7">
                          <w:rPr>
                            <w:rStyle w:val="Hyperlink"/>
                            <w:rFonts w:ascii="Roboto" w:hAnsi="Roboto"/>
                            <w:color w:val="F26C21"/>
                            <w:sz w:val="20"/>
                            <w:szCs w:val="20"/>
                          </w:rPr>
                          <w:t>Strengthening Accountability through Fiscal Openness: A Toolkit for Parliamentarians in the Americas and the Caribbean</w:t>
                        </w:r>
                      </w:hyperlink>
                      <w:r w:rsidR="00D15FD8" w:rsidRPr="00CB1BF7">
                        <w:rPr>
                          <w:rFonts w:ascii="Roboto" w:eastAsia="Calibri" w:hAnsi="Roboto" w:cs="Calibri"/>
                          <w:color w:val="F26C21"/>
                          <w:sz w:val="20"/>
                          <w:szCs w:val="20"/>
                        </w:rPr>
                        <w:t xml:space="preserve"> </w:t>
                      </w:r>
                      <w:r w:rsidR="00D15FD8" w:rsidRPr="00CB1BF7">
                        <w:rPr>
                          <w:rFonts w:ascii="Roboto" w:eastAsia="Calibri" w:hAnsi="Roboto" w:cs="Calibri"/>
                          <w:color w:val="404040" w:themeColor="text1" w:themeTint="BF"/>
                          <w:sz w:val="20"/>
                          <w:szCs w:val="20"/>
                        </w:rPr>
                        <w:t>(2020):</w:t>
                      </w:r>
                      <w:r w:rsidR="00D15FD8" w:rsidRPr="00CB1BF7">
                        <w:rPr>
                          <w:rFonts w:ascii="Roboto" w:hAnsi="Roboto"/>
                          <w:color w:val="404040" w:themeColor="text1" w:themeTint="BF"/>
                          <w:sz w:val="20"/>
                          <w:szCs w:val="20"/>
                        </w:rPr>
                        <w:t xml:space="preserve"> </w:t>
                      </w:r>
                      <w:r w:rsidR="00D15FD8" w:rsidRPr="00CB1BF7">
                        <w:rPr>
                          <w:rFonts w:ascii="Roboto" w:eastAsia="Calibri" w:hAnsi="Roboto" w:cs="Calibri"/>
                          <w:color w:val="404040" w:themeColor="text1" w:themeTint="BF"/>
                          <w:sz w:val="20"/>
                          <w:szCs w:val="20"/>
                          <w:lang w:val="en-ZA"/>
                        </w:rPr>
                        <w:t>Public information belongs to citizens and the public at large who need it in order to be empowered and to fully participate in democratic processes.</w:t>
                      </w:r>
                    </w:p>
                    <w:p w14:paraId="5A1164B2" w14:textId="77777777" w:rsidR="00D15FD8" w:rsidRPr="00CB1BF7" w:rsidRDefault="00D15FD8" w:rsidP="002D14C0">
                      <w:pPr>
                        <w:suppressOverlap/>
                        <w:rPr>
                          <w:rFonts w:ascii="Roboto" w:eastAsia="Calibri" w:hAnsi="Roboto" w:cs="Calibri"/>
                          <w:b/>
                          <w:bCs/>
                          <w:color w:val="1E9A8C"/>
                          <w:sz w:val="20"/>
                          <w:szCs w:val="20"/>
                          <w:u w:val="single"/>
                        </w:rPr>
                      </w:pPr>
                      <w:r w:rsidRPr="00CB1BF7">
                        <w:rPr>
                          <w:rFonts w:ascii="Roboto" w:eastAsia="Calibri" w:hAnsi="Roboto" w:cs="Calibri"/>
                          <w:b/>
                          <w:bCs/>
                          <w:color w:val="1E9A8C"/>
                          <w:sz w:val="20"/>
                          <w:szCs w:val="20"/>
                          <w:u w:val="single"/>
                        </w:rPr>
                        <w:t>Assessment frameworks:</w:t>
                      </w:r>
                    </w:p>
                    <w:p w14:paraId="6850D57B" w14:textId="77777777" w:rsidR="00D15FD8" w:rsidRPr="00CB1BF7" w:rsidRDefault="00D15FD8" w:rsidP="002D14C0">
                      <w:pPr>
                        <w:suppressOverlap/>
                        <w:rPr>
                          <w:rFonts w:ascii="Roboto" w:eastAsia="Calibri" w:hAnsi="Roboto" w:cs="Calibri"/>
                          <w:b/>
                          <w:bCs/>
                          <w:color w:val="404040" w:themeColor="text1" w:themeTint="BF"/>
                          <w:sz w:val="20"/>
                          <w:szCs w:val="20"/>
                          <w:u w:val="single"/>
                        </w:rPr>
                      </w:pPr>
                    </w:p>
                    <w:p w14:paraId="001AC134"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 xml:space="preserve">PEFA: </w:t>
                      </w:r>
                      <w:hyperlink r:id="rId382" w:history="1">
                        <w:r w:rsidRPr="00CB1BF7">
                          <w:rPr>
                            <w:rStyle w:val="Hyperlink"/>
                            <w:rFonts w:ascii="Roboto" w:eastAsia="Calibri" w:hAnsi="Roboto" w:cs="Calibri"/>
                            <w:color w:val="F26C21"/>
                            <w:sz w:val="20"/>
                            <w:szCs w:val="20"/>
                          </w:rPr>
                          <w:t>Framework for assessing public financial management</w:t>
                        </w:r>
                      </w:hyperlink>
                      <w:r w:rsidRPr="00CB1BF7">
                        <w:rPr>
                          <w:rFonts w:ascii="Roboto" w:eastAsia="Calibri" w:hAnsi="Roboto" w:cs="Calibri"/>
                          <w:color w:val="F26C21"/>
                          <w:sz w:val="20"/>
                          <w:szCs w:val="20"/>
                        </w:rPr>
                        <w:t xml:space="preserve"> </w:t>
                      </w:r>
                      <w:r w:rsidRPr="00CB1BF7">
                        <w:rPr>
                          <w:rFonts w:ascii="Roboto" w:eastAsia="Calibri" w:hAnsi="Roboto" w:cs="Calibri"/>
                          <w:color w:val="404040" w:themeColor="text1" w:themeTint="BF"/>
                          <w:sz w:val="20"/>
                          <w:szCs w:val="20"/>
                        </w:rPr>
                        <w:t>(2016): Assesses the legislature’s procedures for budget scrutiny include arrangements for public consultation and the functioning of a procurement complaints mechanism. The framework is being expanded to directly include public participation.</w:t>
                      </w:r>
                    </w:p>
                    <w:p w14:paraId="1D72A27D" w14:textId="77777777" w:rsidR="00D15FD8" w:rsidRPr="00CB1BF7" w:rsidRDefault="00D15FD8" w:rsidP="002D14C0">
                      <w:pPr>
                        <w:suppressOverlap/>
                        <w:rPr>
                          <w:rFonts w:ascii="Roboto" w:eastAsia="Calibri" w:hAnsi="Roboto" w:cs="Calibri"/>
                          <w:color w:val="404040" w:themeColor="text1" w:themeTint="BF"/>
                          <w:sz w:val="20"/>
                          <w:szCs w:val="20"/>
                        </w:rPr>
                      </w:pPr>
                    </w:p>
                    <w:p w14:paraId="51D04A89"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color w:val="1E9A8C"/>
                          <w:sz w:val="20"/>
                          <w:szCs w:val="20"/>
                        </w:rPr>
                        <w:t>IBP:</w:t>
                      </w:r>
                      <w:r w:rsidRPr="00CB1BF7">
                        <w:rPr>
                          <w:rFonts w:ascii="Roboto" w:eastAsia="Calibri" w:hAnsi="Roboto" w:cs="Calibri"/>
                          <w:color w:val="1E9A8C"/>
                          <w:sz w:val="20"/>
                          <w:szCs w:val="20"/>
                        </w:rPr>
                        <w:t xml:space="preserve"> </w:t>
                      </w:r>
                      <w:hyperlink r:id="rId383" w:history="1">
                        <w:r w:rsidRPr="00CB1BF7">
                          <w:rPr>
                            <w:rStyle w:val="Hyperlink"/>
                            <w:rFonts w:ascii="Roboto" w:eastAsia="Calibri" w:hAnsi="Roboto" w:cs="Calibri"/>
                            <w:color w:val="F26C21"/>
                            <w:sz w:val="20"/>
                            <w:szCs w:val="20"/>
                          </w:rPr>
                          <w:t>Open Budget Survey</w:t>
                        </w:r>
                      </w:hyperlink>
                      <w:r w:rsidRPr="00CB1BF7">
                        <w:rPr>
                          <w:rFonts w:ascii="Roboto" w:eastAsia="Calibri" w:hAnsi="Roboto" w:cs="Calibri"/>
                          <w:color w:val="F26C21"/>
                          <w:sz w:val="20"/>
                          <w:szCs w:val="20"/>
                        </w:rPr>
                        <w:t xml:space="preserve"> </w:t>
                      </w:r>
                      <w:r w:rsidRPr="00CB1BF7">
                        <w:rPr>
                          <w:rFonts w:ascii="Roboto" w:eastAsia="Calibri" w:hAnsi="Roboto" w:cs="Calibri"/>
                          <w:color w:val="404040" w:themeColor="text1" w:themeTint="BF"/>
                          <w:sz w:val="20"/>
                          <w:szCs w:val="20"/>
                        </w:rPr>
                        <w:t xml:space="preserve">(OBS): The OBS was the first cross-country instrument to measure levels of public participation in budgeting. Since 2017, the survey more comprehensively examines public engagement in the budget process by the executive, legislature and the SAI, to fully incorporate the GIFT principles.  </w:t>
                      </w:r>
                    </w:p>
                    <w:p w14:paraId="3EC849AE" w14:textId="77777777" w:rsidR="00D15FD8" w:rsidRPr="00CB1BF7" w:rsidRDefault="00D15FD8" w:rsidP="002D14C0">
                      <w:pPr>
                        <w:rPr>
                          <w:rFonts w:ascii="Roboto" w:hAnsi="Roboto"/>
                          <w:sz w:val="20"/>
                          <w:szCs w:val="20"/>
                        </w:rPr>
                      </w:pPr>
                    </w:p>
                    <w:p w14:paraId="24BF5EDF" w14:textId="77777777" w:rsidR="00D15FD8" w:rsidRPr="00CB1BF7" w:rsidRDefault="00D15FD8" w:rsidP="002D14C0">
                      <w:pPr>
                        <w:suppressOverlap/>
                        <w:rPr>
                          <w:rFonts w:ascii="Roboto" w:eastAsia="Calibri" w:hAnsi="Roboto" w:cs="Calibri"/>
                          <w:color w:val="404040" w:themeColor="text1" w:themeTint="BF"/>
                          <w:sz w:val="20"/>
                          <w:szCs w:val="20"/>
                        </w:rPr>
                      </w:pPr>
                      <w:r w:rsidRPr="00CB1BF7">
                        <w:rPr>
                          <w:rFonts w:ascii="Roboto" w:eastAsia="Calibri" w:hAnsi="Roboto" w:cs="Calibri"/>
                          <w:b/>
                          <w:bCs/>
                          <w:color w:val="1E9A8C"/>
                          <w:sz w:val="20"/>
                          <w:szCs w:val="20"/>
                        </w:rPr>
                        <w:t>IMF and partners:</w:t>
                      </w:r>
                      <w:r w:rsidRPr="00CB1BF7">
                        <w:rPr>
                          <w:rFonts w:ascii="Roboto" w:eastAsia="Calibri" w:hAnsi="Roboto" w:cs="Calibri"/>
                          <w:bCs/>
                          <w:color w:val="1E9A8C"/>
                          <w:sz w:val="20"/>
                          <w:szCs w:val="20"/>
                        </w:rPr>
                        <w:t xml:space="preserve"> </w:t>
                      </w:r>
                      <w:hyperlink r:id="rId384" w:history="1">
                        <w:r w:rsidRPr="00CB1BF7">
                          <w:rPr>
                            <w:rStyle w:val="Hyperlink"/>
                            <w:rFonts w:ascii="Roboto" w:eastAsia="Calibri" w:hAnsi="Roboto" w:cs="Calibri"/>
                            <w:bCs/>
                            <w:color w:val="F26C21"/>
                            <w:sz w:val="20"/>
                            <w:szCs w:val="20"/>
                          </w:rPr>
                          <w:t>Tax Administration Diagnostic Assessment Tool (TADAT)</w:t>
                        </w:r>
                      </w:hyperlink>
                      <w:r w:rsidRPr="00CB1BF7">
                        <w:rPr>
                          <w:rFonts w:ascii="Roboto" w:eastAsia="Calibri" w:hAnsi="Roboto" w:cs="Calibri"/>
                          <w:bCs/>
                          <w:color w:val="F26C21"/>
                          <w:sz w:val="20"/>
                          <w:szCs w:val="20"/>
                          <w:u w:val="single"/>
                        </w:rPr>
                        <w:t>:</w:t>
                      </w:r>
                      <w:r w:rsidRPr="00CB1BF7">
                        <w:rPr>
                          <w:rFonts w:ascii="Roboto" w:eastAsia="Calibri" w:hAnsi="Roboto" w:cs="Calibri"/>
                          <w:bCs/>
                          <w:color w:val="F26C21"/>
                          <w:sz w:val="20"/>
                          <w:szCs w:val="20"/>
                        </w:rPr>
                        <w:t xml:space="preserve"> </w:t>
                      </w:r>
                      <w:r w:rsidRPr="00CB1BF7">
                        <w:rPr>
                          <w:rFonts w:ascii="Roboto" w:eastAsia="Calibri" w:hAnsi="Roboto" w:cs="Calibri"/>
                          <w:bCs/>
                          <w:color w:val="404040" w:themeColor="text1" w:themeTint="BF"/>
                          <w:sz w:val="20"/>
                          <w:szCs w:val="20"/>
                        </w:rPr>
                        <w:t>I</w:t>
                      </w:r>
                      <w:r w:rsidRPr="00CB1BF7">
                        <w:rPr>
                          <w:rFonts w:ascii="Roboto" w:eastAsia="Calibri" w:hAnsi="Roboto" w:cs="Calibri"/>
                          <w:color w:val="404040" w:themeColor="text1" w:themeTint="BF"/>
                          <w:sz w:val="20"/>
                          <w:szCs w:val="20"/>
                        </w:rPr>
                        <w:t>ncludes a number of performance indicators that cover interactions between the tax administration and taxpayers, a measure of the time taken to respond to taxpayer requests for information; measures of obtaining taxpayer feedback on products and services; performance of tax dispute resolution measures and measures of whether an ombudsman or equivalent body investigates taxpayer complaints, and the mechanism for monitoring public perception of the integrity of the tax administration.</w:t>
                      </w:r>
                    </w:p>
                    <w:p w14:paraId="5CA74F80" w14:textId="77777777" w:rsidR="00D15FD8" w:rsidRPr="00CB1BF7" w:rsidRDefault="00D15FD8" w:rsidP="002D14C0">
                      <w:pPr>
                        <w:rPr>
                          <w:rFonts w:ascii="Roboto" w:hAnsi="Roboto"/>
                          <w:sz w:val="20"/>
                          <w:szCs w:val="20"/>
                        </w:rPr>
                      </w:pPr>
                    </w:p>
                  </w:txbxContent>
                </v:textbox>
                <w10:wrap anchorx="margin" anchory="margin"/>
              </v:shape>
            </w:pict>
          </mc:Fallback>
        </mc:AlternateContent>
      </w:r>
    </w:p>
    <w:p w14:paraId="536F8AC7" w14:textId="3755AD10" w:rsidR="00203FAB" w:rsidRPr="00CB1BF7" w:rsidRDefault="00203FAB" w:rsidP="002D14C0">
      <w:pPr>
        <w:rPr>
          <w:rFonts w:ascii="Roboto" w:hAnsi="Roboto"/>
        </w:rPr>
      </w:pPr>
    </w:p>
    <w:p w14:paraId="4B768B5E" w14:textId="19BC20AA" w:rsidR="00203FAB" w:rsidRPr="004B3CF0" w:rsidRDefault="009D43F1" w:rsidP="004B3CF0">
      <w:pPr>
        <w:spacing w:after="160" w:line="259" w:lineRule="auto"/>
        <w:rPr>
          <w:rFonts w:ascii="Roboto" w:hAnsi="Roboto"/>
        </w:rPr>
        <w:sectPr w:rsidR="00203FAB" w:rsidRPr="004B3CF0" w:rsidSect="00601849">
          <w:pgSz w:w="16838" w:h="11906" w:orient="landscape" w:code="9"/>
          <w:pgMar w:top="1440" w:right="1440" w:bottom="1440" w:left="1440" w:header="709" w:footer="709" w:gutter="0"/>
          <w:cols w:space="708"/>
          <w:titlePg/>
          <w:docGrid w:linePitch="360"/>
        </w:sectPr>
      </w:pPr>
      <w:r>
        <w:rPr>
          <w:rFonts w:ascii="Roboto" w:hAnsi="Roboto"/>
          <w:noProof/>
          <w:lang w:val="en-US"/>
        </w:rPr>
        <mc:AlternateContent>
          <mc:Choice Requires="wps">
            <w:drawing>
              <wp:anchor distT="0" distB="0" distL="114300" distR="114300" simplePos="0" relativeHeight="255525886" behindDoc="0" locked="0" layoutInCell="1" allowOverlap="1" wp14:anchorId="70DE135A" wp14:editId="26AFFE0C">
                <wp:simplePos x="0" y="0"/>
                <wp:positionH relativeFrom="column">
                  <wp:posOffset>5308600</wp:posOffset>
                </wp:positionH>
                <wp:positionV relativeFrom="paragraph">
                  <wp:posOffset>5389245</wp:posOffset>
                </wp:positionV>
                <wp:extent cx="3877945" cy="508000"/>
                <wp:effectExtent l="0" t="0" r="0" b="0"/>
                <wp:wrapNone/>
                <wp:docPr id="433" name="Rectangle 433"/>
                <wp:cNvGraphicFramePr/>
                <a:graphic xmlns:a="http://schemas.openxmlformats.org/drawingml/2006/main">
                  <a:graphicData uri="http://schemas.microsoft.com/office/word/2010/wordprocessingShape">
                    <wps:wsp>
                      <wps:cNvSpPr/>
                      <wps:spPr>
                        <a:xfrm>
                          <a:off x="0" y="0"/>
                          <a:ext cx="3877945" cy="508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46CEDB30" id="Rectangle 433" o:spid="_x0000_s1026" style="position:absolute;margin-left:418pt;margin-top:424.35pt;width:305.35pt;height:40pt;z-index:2555258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" fillcolor="white [3212]" stroked="f" strokeweight="1pt"/>
            </w:pict>
          </mc:Fallback>
        </mc:AlternateContent>
      </w:r>
      <w:r w:rsidR="00F97CAF">
        <w:rPr>
          <w:rFonts w:ascii="Arial" w:hAnsi="Arial" w:cs="Arial"/>
          <w:b/>
          <w:bCs/>
          <w:noProof/>
          <w:color w:val="19998C"/>
          <w:sz w:val="26"/>
          <w:szCs w:val="26"/>
          <w:lang w:val="en-US"/>
        </w:rPr>
        <mc:AlternateContent>
          <mc:Choice Requires="wps">
            <w:drawing>
              <wp:anchor distT="0" distB="0" distL="114300" distR="114300" simplePos="0" relativeHeight="255406078" behindDoc="0" locked="0" layoutInCell="1" allowOverlap="1" wp14:anchorId="7D1A1D02" wp14:editId="0293E6C3">
                <wp:simplePos x="0" y="0"/>
                <wp:positionH relativeFrom="column">
                  <wp:posOffset>-3610610</wp:posOffset>
                </wp:positionH>
                <wp:positionV relativeFrom="paragraph">
                  <wp:posOffset>2091690</wp:posOffset>
                </wp:positionV>
                <wp:extent cx="5976620" cy="252095"/>
                <wp:effectExtent l="0" t="0" r="0" b="0"/>
                <wp:wrapNone/>
                <wp:docPr id="298" name="Text Box 298"/>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noFill/>
                        <a:ln w="6350">
                          <a:noFill/>
                        </a:ln>
                      </wps:spPr>
                      <wps:txbx>
                        <w:txbxContent>
                          <w:p w14:paraId="01C65869" w14:textId="7130E898"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1A1D02" id="Text Box 298" o:spid="_x0000_s1223" type="#_x0000_t202" style="position:absolute;margin-left:-284.3pt;margin-top:164.7pt;width:470.6pt;height:19.85pt;rotation:90;z-index:2554060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" filled="f" stroked="f" strokeweight=".5pt">
                <v:textbox>
                  <w:txbxContent>
                    <w:p w14:paraId="01C65869" w14:textId="7130E898" w:rsidR="00D15FD8" w:rsidRPr="00B40DFA" w:rsidRDefault="00D15FD8" w:rsidP="00CB4860">
                      <w:pPr>
                        <w:jc w:val="right"/>
                        <w:rPr>
                          <w:rFonts w:ascii="Arial" w:hAnsi="Arial" w:cs="Arial"/>
                          <w:iCs/>
                          <w:color w:val="000000" w:themeColor="text1"/>
                          <w:lang w:val="en-US"/>
                        </w:rPr>
                      </w:pPr>
                      <w:r>
                        <w:rPr>
                          <w:rFonts w:ascii="Arial" w:hAnsi="Arial" w:cs="Arial"/>
                          <w:iCs/>
                          <w:color w:val="000000" w:themeColor="text1"/>
                          <w:sz w:val="20"/>
                          <w:szCs w:val="20"/>
                          <w:lang w:val="en-US"/>
                        </w:rPr>
                        <w:t>52</w:t>
                      </w:r>
                    </w:p>
                  </w:txbxContent>
                </v:textbox>
              </v:shape>
            </w:pict>
          </mc:Fallback>
        </mc:AlternateContent>
      </w:r>
      <w:r w:rsidR="00F97CAF">
        <w:rPr>
          <w:rFonts w:ascii="Arial" w:hAnsi="Arial" w:cs="Arial"/>
          <w:b/>
          <w:bCs/>
          <w:noProof/>
          <w:color w:val="19998C"/>
          <w:sz w:val="26"/>
          <w:szCs w:val="26"/>
          <w:lang w:val="en-US"/>
        </w:rPr>
        <mc:AlternateContent>
          <mc:Choice Requires="wps">
            <w:drawing>
              <wp:anchor distT="0" distB="0" distL="114300" distR="114300" simplePos="0" relativeHeight="255405054" behindDoc="0" locked="0" layoutInCell="1" allowOverlap="1" wp14:anchorId="3587B311" wp14:editId="34CCF315">
                <wp:simplePos x="0" y="0"/>
                <wp:positionH relativeFrom="column">
                  <wp:posOffset>6517323</wp:posOffset>
                </wp:positionH>
                <wp:positionV relativeFrom="paragraph">
                  <wp:posOffset>2096580</wp:posOffset>
                </wp:positionV>
                <wp:extent cx="5976620" cy="252095"/>
                <wp:effectExtent l="4762" t="0" r="0" b="0"/>
                <wp:wrapNone/>
                <wp:docPr id="293" name="Text Box 293"/>
                <wp:cNvGraphicFramePr/>
                <a:graphic xmlns:a="http://schemas.openxmlformats.org/drawingml/2006/main">
                  <a:graphicData uri="http://schemas.microsoft.com/office/word/2010/wordprocessingShape">
                    <wps:wsp>
                      <wps:cNvSpPr txBox="1"/>
                      <wps:spPr>
                        <a:xfrm rot="5400000">
                          <a:off x="0" y="0"/>
                          <a:ext cx="5976620" cy="252095"/>
                        </a:xfrm>
                        <a:prstGeom prst="rect">
                          <a:avLst/>
                        </a:prstGeom>
                        <a:solidFill>
                          <a:schemeClr val="lt1"/>
                        </a:solidFill>
                        <a:ln w="6350">
                          <a:noFill/>
                        </a:ln>
                      </wps:spPr>
                      <wps:txbx>
                        <w:txbxContent>
                          <w:p w14:paraId="69AAFA16" w14:textId="7415D57F"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19579600"/>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5F490D8F" w14:textId="77777777" w:rsidR="00D15FD8" w:rsidRDefault="00D15FD8" w:rsidP="003D7C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87B311" id="Text Box 293" o:spid="_x0000_s1224" type="#_x0000_t202" style="position:absolute;margin-left:513.2pt;margin-top:165.1pt;width:470.6pt;height:19.85pt;rotation:90;z-index:2554050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" fillcolor="white [3201]" stroked="f" strokeweight=".5pt">
                <v:textbox>
                  <w:txbxContent>
                    <w:p w14:paraId="69AAFA16" w14:textId="7415D57F" w:rsidR="00D15FD8" w:rsidRDefault="00AC4DF7" w:rsidP="003D7CCB">
                      <w:pPr>
                        <w:spacing w:line="264" w:lineRule="auto"/>
                        <w:rPr>
                          <w:i/>
                          <w:color w:val="ED7D31" w:themeColor="accent2"/>
                          <w:sz w:val="20"/>
                          <w:szCs w:val="20"/>
                        </w:rPr>
                      </w:pPr>
                      <w:sdt>
                        <w:sdtPr>
                          <w:rPr>
                            <w:i/>
                            <w:color w:val="ED7D31" w:themeColor="accent2"/>
                            <w:sz w:val="20"/>
                            <w:szCs w:val="20"/>
                          </w:rPr>
                          <w:alias w:val="Title"/>
                          <w:id w:val="119579600"/>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5F490D8F" w14:textId="77777777" w:rsidR="00D15FD8" w:rsidRDefault="00D15FD8" w:rsidP="003D7CCB"/>
                  </w:txbxContent>
                </v:textbox>
              </v:shape>
            </w:pict>
          </mc:Fallback>
        </mc:AlternateContent>
      </w:r>
    </w:p>
    <w:p w14:paraId="5223157F" w14:textId="67BBCC29" w:rsidR="00EB0AA3" w:rsidRPr="00E93CE5" w:rsidRDefault="00E55638" w:rsidP="00636BDB">
      <w:pPr>
        <w:spacing w:after="160" w:line="259" w:lineRule="auto"/>
        <w:rPr>
          <w:rFonts w:ascii="Arial" w:hAnsi="Arial" w:cs="Arial"/>
          <w:b/>
          <w:bCs/>
          <w:color w:val="69557F"/>
          <w:sz w:val="44"/>
          <w:szCs w:val="44"/>
        </w:rPr>
      </w:pPr>
      <w:bookmarkStart w:id="527" w:name="_Toc116056996"/>
      <w:bookmarkStart w:id="528" w:name="_Toc123913979"/>
      <w:r>
        <w:rPr>
          <w:rFonts w:ascii="Arial" w:hAnsi="Arial" w:cs="Arial"/>
          <w:noProof/>
          <w:sz w:val="24"/>
          <w:szCs w:val="24"/>
          <w:lang w:val="en-US"/>
        </w:rPr>
        <w:lastRenderedPageBreak/>
        <w:drawing>
          <wp:anchor distT="0" distB="0" distL="114300" distR="114300" simplePos="0" relativeHeight="251616205" behindDoc="1" locked="0" layoutInCell="1" allowOverlap="1" wp14:anchorId="48ADC2E8" wp14:editId="389C6D75">
            <wp:simplePos x="0" y="0"/>
            <wp:positionH relativeFrom="column">
              <wp:posOffset>-479425</wp:posOffset>
            </wp:positionH>
            <wp:positionV relativeFrom="margin">
              <wp:posOffset>-599440</wp:posOffset>
            </wp:positionV>
            <wp:extent cx="7600950" cy="10744200"/>
            <wp:effectExtent l="0" t="0" r="0" b="0"/>
            <wp:wrapSquare wrapText="bothSides"/>
            <wp:docPr id="2785" name="Picture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385" cstate="email">
                      <a:extLst>
                        <a:ext uri="{28A0092B-C50C-407E-A947-70E740481C1C}">
                          <a14:useLocalDpi xmlns:a14="http://schemas.microsoft.com/office/drawing/2010/main"/>
                        </a:ext>
                      </a:extLst>
                    </a:blip>
                    <a:stretch>
                      <a:fillRect/>
                    </a:stretch>
                  </pic:blipFill>
                  <pic:spPr>
                    <a:xfrm>
                      <a:off x="0" y="0"/>
                      <a:ext cx="7600950" cy="107442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1615180" behindDoc="0" locked="0" layoutInCell="1" allowOverlap="1" wp14:anchorId="01F581AF" wp14:editId="1749EC3D">
                <wp:simplePos x="0" y="0"/>
                <wp:positionH relativeFrom="column">
                  <wp:posOffset>-440690</wp:posOffset>
                </wp:positionH>
                <wp:positionV relativeFrom="paragraph">
                  <wp:posOffset>-163195</wp:posOffset>
                </wp:positionV>
                <wp:extent cx="5453743" cy="783772"/>
                <wp:effectExtent l="0" t="0" r="0" b="0"/>
                <wp:wrapNone/>
                <wp:docPr id="2786" name="Text Box 2786"/>
                <wp:cNvGraphicFramePr/>
                <a:graphic xmlns:a="http://schemas.openxmlformats.org/drawingml/2006/main">
                  <a:graphicData uri="http://schemas.microsoft.com/office/word/2010/wordprocessingShape">
                    <wps:wsp>
                      <wps:cNvSpPr txBox="1"/>
                      <wps:spPr>
                        <a:xfrm>
                          <a:off x="0" y="0"/>
                          <a:ext cx="5453743" cy="783772"/>
                        </a:xfrm>
                        <a:prstGeom prst="rect">
                          <a:avLst/>
                        </a:prstGeom>
                        <a:noFill/>
                        <a:ln w="6350">
                          <a:noFill/>
                        </a:ln>
                      </wps:spPr>
                      <wps:txbx>
                        <w:txbxContent>
                          <w:p w14:paraId="12F42F6E" w14:textId="77777777" w:rsidR="00D15FD8" w:rsidRPr="00BD6A85" w:rsidRDefault="00D15FD8" w:rsidP="00E55638">
                            <w:pPr>
                              <w:pStyle w:val="Heading1"/>
                              <w:rPr>
                                <w:lang w:val="en-US"/>
                              </w:rPr>
                            </w:pPr>
                            <w:bookmarkStart w:id="529" w:name="_Module_2:_External"/>
                            <w:bookmarkStart w:id="530" w:name="_Toc123828112"/>
                            <w:bookmarkStart w:id="531" w:name="_Toc123828322"/>
                            <w:bookmarkStart w:id="532" w:name="_Toc123828518"/>
                            <w:bookmarkStart w:id="533" w:name="_Toc123912545"/>
                            <w:bookmarkStart w:id="534" w:name="_Toc123912804"/>
                            <w:bookmarkStart w:id="535" w:name="_Toc123913031"/>
                            <w:bookmarkStart w:id="536" w:name="_Toc123913978"/>
                            <w:bookmarkStart w:id="537" w:name="_Toc125566597"/>
                            <w:bookmarkEnd w:id="529"/>
                            <w:r>
                              <w:rPr>
                                <w:lang w:val="en-US"/>
                              </w:rPr>
                              <w:t>Module 2: External Actors in Fiscal Transparency, Public Participation, and Accountability</w:t>
                            </w:r>
                            <w:bookmarkEnd w:id="530"/>
                            <w:bookmarkEnd w:id="531"/>
                            <w:bookmarkEnd w:id="532"/>
                            <w:bookmarkEnd w:id="533"/>
                            <w:bookmarkEnd w:id="534"/>
                            <w:bookmarkEnd w:id="535"/>
                            <w:bookmarkEnd w:id="536"/>
                            <w:bookmarkEnd w:id="5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F581AF" id="Text Box 2786" o:spid="_x0000_s1225" type="#_x0000_t202" style="position:absolute;margin-left:-34.7pt;margin-top:-12.85pt;width:429.45pt;height:61.7pt;z-index:2516151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" filled="f" stroked="f" strokeweight=".5pt">
                <v:textbox>
                  <w:txbxContent>
                    <w:p w14:paraId="12F42F6E" w14:textId="77777777" w:rsidR="00D15FD8" w:rsidRPr="00BD6A85" w:rsidRDefault="00D15FD8" w:rsidP="00E55638">
                      <w:pPr>
                        <w:pStyle w:val="Heading1"/>
                        <w:rPr>
                          <w:lang w:val="en-US"/>
                        </w:rPr>
                      </w:pPr>
                      <w:bookmarkStart w:id="538" w:name="_Module_2:_External"/>
                      <w:bookmarkStart w:id="539" w:name="_Toc123828112"/>
                      <w:bookmarkStart w:id="540" w:name="_Toc123828322"/>
                      <w:bookmarkStart w:id="541" w:name="_Toc123828518"/>
                      <w:bookmarkStart w:id="542" w:name="_Toc123912545"/>
                      <w:bookmarkStart w:id="543" w:name="_Toc123912804"/>
                      <w:bookmarkStart w:id="544" w:name="_Toc123913031"/>
                      <w:bookmarkStart w:id="545" w:name="_Toc123913978"/>
                      <w:bookmarkStart w:id="546" w:name="_Toc125566597"/>
                      <w:bookmarkEnd w:id="538"/>
                      <w:r>
                        <w:rPr>
                          <w:lang w:val="en-US"/>
                        </w:rPr>
                        <w:t>Module 2: External Actors in Fiscal Transparency, Public Participation, and Accountability</w:t>
                      </w:r>
                      <w:bookmarkEnd w:id="539"/>
                      <w:bookmarkEnd w:id="540"/>
                      <w:bookmarkEnd w:id="541"/>
                      <w:bookmarkEnd w:id="542"/>
                      <w:bookmarkEnd w:id="543"/>
                      <w:bookmarkEnd w:id="544"/>
                      <w:bookmarkEnd w:id="545"/>
                      <w:bookmarkEnd w:id="546"/>
                    </w:p>
                  </w:txbxContent>
                </v:textbox>
              </v:shape>
            </w:pict>
          </mc:Fallback>
        </mc:AlternateContent>
      </w:r>
      <w:bookmarkEnd w:id="527"/>
      <w:bookmarkEnd w:id="528"/>
    </w:p>
    <w:p w14:paraId="580349F8" w14:textId="77777777" w:rsidR="00E73363" w:rsidRPr="00E73363" w:rsidRDefault="00E73363" w:rsidP="00E73363">
      <w:pPr>
        <w:pStyle w:val="Heading1"/>
        <w:spacing w:after="120" w:line="276" w:lineRule="auto"/>
        <w:rPr>
          <w:rFonts w:ascii="Arial" w:hAnsi="Arial" w:cs="Arial"/>
          <w:b/>
          <w:bCs/>
          <w:color w:val="69557F"/>
          <w:sz w:val="44"/>
          <w:szCs w:val="44"/>
        </w:rPr>
      </w:pPr>
      <w:bookmarkStart w:id="547" w:name="_Module_objectives_1"/>
      <w:bookmarkStart w:id="548" w:name="_Toc125566598"/>
      <w:bookmarkEnd w:id="547"/>
      <w:r w:rsidRPr="00E73363">
        <w:rPr>
          <w:rFonts w:ascii="Arial" w:hAnsi="Arial" w:cs="Arial"/>
          <w:b/>
          <w:bCs/>
          <w:color w:val="69557F"/>
          <w:sz w:val="44"/>
          <w:szCs w:val="44"/>
        </w:rPr>
        <w:lastRenderedPageBreak/>
        <w:t>Module objectives</w:t>
      </w:r>
      <w:bookmarkEnd w:id="548"/>
    </w:p>
    <w:p w14:paraId="7C131DB1" w14:textId="09F89164" w:rsidR="00C6670E" w:rsidRDefault="00EB0AA3" w:rsidP="00E93CE5">
      <w:pPr>
        <w:pStyle w:val="NormalWeb"/>
        <w:shd w:val="clear" w:color="auto" w:fill="FFFFFF"/>
        <w:spacing w:before="120" w:after="120" w:line="276" w:lineRule="auto"/>
        <w:jc w:val="both"/>
        <w:rPr>
          <w:rFonts w:ascii="Arial" w:hAnsi="Arial" w:cs="Arial"/>
          <w:iCs/>
          <w:lang w:val="en-ZA"/>
        </w:rPr>
      </w:pPr>
      <w:r w:rsidRPr="00E93CE5">
        <w:rPr>
          <w:rFonts w:ascii="Arial" w:hAnsi="Arial" w:cs="Arial"/>
          <w:iCs/>
          <w:lang w:val="en-ZA"/>
        </w:rPr>
        <w:t xml:space="preserve">Module 2 recognises the diverse set of actors that are key in enhancing fiscal transparency, including how they can contribute to and use fiscal transparency to actively participate in open budgetary processes, and to judge the </w:t>
      </w:r>
      <w:r w:rsidRPr="00E93CE5">
        <w:rPr>
          <w:rFonts w:ascii="Arial" w:hAnsi="Arial" w:cs="Arial"/>
          <w:iCs/>
          <w:lang w:val="en-US"/>
        </w:rPr>
        <w:t>government’s performance in order to hold it accountable for its management of public resources</w:t>
      </w:r>
      <w:r w:rsidRPr="00E93CE5">
        <w:rPr>
          <w:rFonts w:ascii="Arial" w:hAnsi="Arial" w:cs="Arial"/>
          <w:iCs/>
          <w:lang w:val="en-ZA"/>
        </w:rPr>
        <w:t>. The discussion focuses on the roles of the actors outside of the executive (the executive’s role is the focus of Module 3), each of which, have unique contributions to make to the world of fiscal transparency, as both users and suppliers of fiscal information. This module examines how these key actors should work collaboratively towards optimizing results, leading to an in-depth discussion on public participation, where it is defined, its importance throughout the fiscal policy cycle explained, applicable norms and standards examined, together with key design and implementation aspects. </w:t>
      </w:r>
    </w:p>
    <w:p w14:paraId="7A0FEAF5" w14:textId="0DE805E4" w:rsidR="00E93CE5" w:rsidRDefault="00C6670E" w:rsidP="00E93CE5">
      <w:pPr>
        <w:pStyle w:val="NormalWeb"/>
        <w:shd w:val="clear" w:color="auto" w:fill="FFFFFF"/>
        <w:spacing w:before="120" w:after="120" w:line="276" w:lineRule="auto"/>
        <w:jc w:val="both"/>
        <w:rPr>
          <w:rFonts w:ascii="Arial" w:hAnsi="Arial" w:cs="Arial"/>
          <w:iCs/>
          <w:lang w:val="en-ZA"/>
        </w:rPr>
      </w:pPr>
      <w:r>
        <w:rPr>
          <w:rFonts w:ascii="Arial" w:hAnsi="Arial" w:cs="Arial"/>
          <w:b/>
          <w:bCs/>
          <w:noProof/>
          <w:color w:val="ED5625"/>
          <w:lang w:val="en-US"/>
        </w:rPr>
        <w:drawing>
          <wp:anchor distT="0" distB="0" distL="114300" distR="114300" simplePos="0" relativeHeight="254810110" behindDoc="0" locked="0" layoutInCell="1" allowOverlap="1" wp14:anchorId="0D996D57" wp14:editId="33B16AAD">
            <wp:simplePos x="0" y="0"/>
            <wp:positionH relativeFrom="column">
              <wp:posOffset>0</wp:posOffset>
            </wp:positionH>
            <wp:positionV relativeFrom="paragraph">
              <wp:posOffset>-3810</wp:posOffset>
            </wp:positionV>
            <wp:extent cx="6121400" cy="1498600"/>
            <wp:effectExtent l="0" t="0" r="0" b="0"/>
            <wp:wrapNone/>
            <wp:docPr id="2644" name="Picture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 name="Picture 2644"/>
                    <pic:cNvPicPr/>
                  </pic:nvPicPr>
                  <pic:blipFill rotWithShape="1">
                    <a:blip r:embed="rId386" cstate="screen">
                      <a:extLst>
                        <a:ext uri="{28A0092B-C50C-407E-A947-70E740481C1C}">
                          <a14:useLocalDpi xmlns:a14="http://schemas.microsoft.com/office/drawing/2010/main"/>
                        </a:ext>
                      </a:extLst>
                    </a:blip>
                    <a:srcRect/>
                    <a:stretch/>
                  </pic:blipFill>
                  <pic:spPr bwMode="auto">
                    <a:xfrm>
                      <a:off x="0" y="0"/>
                      <a:ext cx="6121400" cy="149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B78D37" w14:textId="1855B3F8" w:rsidR="00E93CE5" w:rsidRPr="00E93CE5" w:rsidRDefault="00C6670E" w:rsidP="00E93CE5">
      <w:pPr>
        <w:pStyle w:val="NormalWeb"/>
        <w:shd w:val="clear" w:color="auto" w:fill="FFFFFF"/>
        <w:spacing w:before="120" w:after="120" w:line="276" w:lineRule="auto"/>
        <w:jc w:val="both"/>
        <w:rPr>
          <w:rFonts w:ascii="Arial" w:hAnsi="Arial" w:cs="Arial"/>
          <w:iCs/>
          <w:lang w:val="en-ZA"/>
        </w:rPr>
      </w:pPr>
      <w:r>
        <w:rPr>
          <w:rFonts w:ascii="Arial" w:hAnsi="Arial" w:cs="Arial"/>
          <w:b/>
          <w:bCs/>
          <w:noProof/>
          <w:color w:val="ED5625"/>
          <w:lang w:val="en-US"/>
        </w:rPr>
        <mc:AlternateContent>
          <mc:Choice Requires="wps">
            <w:drawing>
              <wp:anchor distT="0" distB="0" distL="114300" distR="114300" simplePos="0" relativeHeight="254812158" behindDoc="0" locked="0" layoutInCell="1" allowOverlap="1" wp14:anchorId="7E0C1EE5" wp14:editId="552FBD5F">
                <wp:simplePos x="0" y="0"/>
                <wp:positionH relativeFrom="column">
                  <wp:posOffset>1162685</wp:posOffset>
                </wp:positionH>
                <wp:positionV relativeFrom="paragraph">
                  <wp:posOffset>23495</wp:posOffset>
                </wp:positionV>
                <wp:extent cx="4680585" cy="775335"/>
                <wp:effectExtent l="0" t="0" r="0" b="0"/>
                <wp:wrapNone/>
                <wp:docPr id="2648" name="Text Box 2648"/>
                <wp:cNvGraphicFramePr/>
                <a:graphic xmlns:a="http://schemas.openxmlformats.org/drawingml/2006/main">
                  <a:graphicData uri="http://schemas.microsoft.com/office/word/2010/wordprocessingShape">
                    <wps:wsp>
                      <wps:cNvSpPr txBox="1"/>
                      <wps:spPr>
                        <a:xfrm>
                          <a:off x="0" y="0"/>
                          <a:ext cx="4680585" cy="775335"/>
                        </a:xfrm>
                        <a:prstGeom prst="rect">
                          <a:avLst/>
                        </a:prstGeom>
                        <a:noFill/>
                        <a:ln w="6350">
                          <a:noFill/>
                        </a:ln>
                      </wps:spPr>
                      <wps:txbx>
                        <w:txbxContent>
                          <w:p w14:paraId="4D07CDF3" w14:textId="77777777" w:rsidR="00D15FD8" w:rsidRPr="0053337F" w:rsidRDefault="00D15FD8" w:rsidP="00C6670E">
                            <w:pPr>
                              <w:pStyle w:val="Heading1"/>
                              <w:rPr>
                                <w:rFonts w:ascii="Arial" w:hAnsi="Arial" w:cs="Arial"/>
                                <w:b/>
                                <w:bCs/>
                                <w:color w:val="FFFFFF" w:themeColor="background1"/>
                                <w:sz w:val="36"/>
                                <w:szCs w:val="36"/>
                                <w:lang w:val="en-US"/>
                              </w:rPr>
                            </w:pPr>
                            <w:bookmarkStart w:id="549" w:name="_Key_actors_for"/>
                            <w:bookmarkStart w:id="550" w:name="_Toc123828114"/>
                            <w:bookmarkStart w:id="551" w:name="_Toc123828324"/>
                            <w:bookmarkStart w:id="552" w:name="_Toc123828520"/>
                            <w:bookmarkStart w:id="553" w:name="_Toc123912547"/>
                            <w:bookmarkStart w:id="554" w:name="_Toc123912806"/>
                            <w:bookmarkStart w:id="555" w:name="_Toc123913033"/>
                            <w:bookmarkStart w:id="556" w:name="_Toc123913980"/>
                            <w:bookmarkStart w:id="557" w:name="_Toc125566599"/>
                            <w:bookmarkEnd w:id="549"/>
                            <w:r w:rsidRPr="0053337F">
                              <w:rPr>
                                <w:rFonts w:ascii="Arial" w:hAnsi="Arial" w:cs="Arial"/>
                                <w:b/>
                                <w:bCs/>
                                <w:color w:val="FFFFFF" w:themeColor="background1"/>
                                <w:sz w:val="36"/>
                                <w:szCs w:val="36"/>
                                <w:lang w:val="en-US"/>
                              </w:rPr>
                              <w:t>Key actors for fiscal transparency, public participation, and accountability</w:t>
                            </w:r>
                            <w:bookmarkEnd w:id="550"/>
                            <w:bookmarkEnd w:id="551"/>
                            <w:bookmarkEnd w:id="552"/>
                            <w:bookmarkEnd w:id="553"/>
                            <w:bookmarkEnd w:id="554"/>
                            <w:bookmarkEnd w:id="555"/>
                            <w:bookmarkEnd w:id="556"/>
                            <w:bookmarkEnd w:id="557"/>
                            <w:r w:rsidRPr="0053337F">
                              <w:rPr>
                                <w:rFonts w:ascii="Arial" w:hAnsi="Arial" w:cs="Arial"/>
                                <w:b/>
                                <w:bCs/>
                                <w:color w:val="FFFFFF" w:themeColor="background1"/>
                                <w:sz w:val="36"/>
                                <w:szCs w:val="36"/>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C1EE5" id="Text Box 2648" o:spid="_x0000_s1226" type="#_x0000_t202" style="position:absolute;left:0;text-align:left;margin-left:91.55pt;margin-top:1.85pt;width:368.55pt;height:61.05pt;z-index:254812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" filled="f" stroked="f" strokeweight=".5pt">
                <v:textbox>
                  <w:txbxContent>
                    <w:p w14:paraId="4D07CDF3" w14:textId="77777777" w:rsidR="00D15FD8" w:rsidRPr="0053337F" w:rsidRDefault="00D15FD8" w:rsidP="00C6670E">
                      <w:pPr>
                        <w:pStyle w:val="Heading1"/>
                        <w:rPr>
                          <w:rFonts w:ascii="Arial" w:hAnsi="Arial" w:cs="Arial"/>
                          <w:b/>
                          <w:bCs/>
                          <w:color w:val="FFFFFF" w:themeColor="background1"/>
                          <w:sz w:val="36"/>
                          <w:szCs w:val="36"/>
                          <w:lang w:val="en-US"/>
                        </w:rPr>
                      </w:pPr>
                      <w:bookmarkStart w:id="558" w:name="_Key_actors_for"/>
                      <w:bookmarkStart w:id="559" w:name="_Toc123828114"/>
                      <w:bookmarkStart w:id="560" w:name="_Toc123828324"/>
                      <w:bookmarkStart w:id="561" w:name="_Toc123828520"/>
                      <w:bookmarkStart w:id="562" w:name="_Toc123912547"/>
                      <w:bookmarkStart w:id="563" w:name="_Toc123912806"/>
                      <w:bookmarkStart w:id="564" w:name="_Toc123913033"/>
                      <w:bookmarkStart w:id="565" w:name="_Toc123913980"/>
                      <w:bookmarkStart w:id="566" w:name="_Toc125566599"/>
                      <w:bookmarkEnd w:id="558"/>
                      <w:r w:rsidRPr="0053337F">
                        <w:rPr>
                          <w:rFonts w:ascii="Arial" w:hAnsi="Arial" w:cs="Arial"/>
                          <w:b/>
                          <w:bCs/>
                          <w:color w:val="FFFFFF" w:themeColor="background1"/>
                          <w:sz w:val="36"/>
                          <w:szCs w:val="36"/>
                          <w:lang w:val="en-US"/>
                        </w:rPr>
                        <w:t>Key actors for fiscal transparency, public participation, and accountability</w:t>
                      </w:r>
                      <w:bookmarkEnd w:id="559"/>
                      <w:bookmarkEnd w:id="560"/>
                      <w:bookmarkEnd w:id="561"/>
                      <w:bookmarkEnd w:id="562"/>
                      <w:bookmarkEnd w:id="563"/>
                      <w:bookmarkEnd w:id="564"/>
                      <w:bookmarkEnd w:id="565"/>
                      <w:bookmarkEnd w:id="566"/>
                      <w:r w:rsidRPr="0053337F">
                        <w:rPr>
                          <w:rFonts w:ascii="Arial" w:hAnsi="Arial" w:cs="Arial"/>
                          <w:b/>
                          <w:bCs/>
                          <w:color w:val="FFFFFF" w:themeColor="background1"/>
                          <w:sz w:val="36"/>
                          <w:szCs w:val="36"/>
                          <w:lang w:val="en-US"/>
                        </w:rPr>
                        <w:t xml:space="preserve">  </w:t>
                      </w:r>
                    </w:p>
                  </w:txbxContent>
                </v:textbox>
              </v:shape>
            </w:pict>
          </mc:Fallback>
        </mc:AlternateContent>
      </w:r>
      <w:r>
        <w:rPr>
          <w:rFonts w:ascii="Arial" w:hAnsi="Arial" w:cs="Arial"/>
          <w:b/>
          <w:bCs/>
          <w:noProof/>
          <w:color w:val="ED5625"/>
          <w:lang w:val="en-US"/>
        </w:rPr>
        <mc:AlternateContent>
          <mc:Choice Requires="wps">
            <w:drawing>
              <wp:anchor distT="0" distB="0" distL="114300" distR="114300" simplePos="0" relativeHeight="254813182" behindDoc="0" locked="0" layoutInCell="1" allowOverlap="1" wp14:anchorId="4C9A33D6" wp14:editId="74EF40BC">
                <wp:simplePos x="0" y="0"/>
                <wp:positionH relativeFrom="column">
                  <wp:posOffset>426085</wp:posOffset>
                </wp:positionH>
                <wp:positionV relativeFrom="paragraph">
                  <wp:posOffset>137795</wp:posOffset>
                </wp:positionV>
                <wp:extent cx="571500" cy="594000"/>
                <wp:effectExtent l="0" t="0" r="0" b="0"/>
                <wp:wrapNone/>
                <wp:docPr id="2672" name="Text Box 2672"/>
                <wp:cNvGraphicFramePr/>
                <a:graphic xmlns:a="http://schemas.openxmlformats.org/drawingml/2006/main">
                  <a:graphicData uri="http://schemas.microsoft.com/office/word/2010/wordprocessingShape">
                    <wps:wsp>
                      <wps:cNvSpPr txBox="1"/>
                      <wps:spPr>
                        <a:xfrm>
                          <a:off x="0" y="0"/>
                          <a:ext cx="571500" cy="594000"/>
                        </a:xfrm>
                        <a:prstGeom prst="rect">
                          <a:avLst/>
                        </a:prstGeom>
                        <a:noFill/>
                        <a:ln w="6350">
                          <a:noFill/>
                        </a:ln>
                      </wps:spPr>
                      <wps:txbx>
                        <w:txbxContent>
                          <w:p w14:paraId="7B2F0916" w14:textId="68F83F8E" w:rsidR="00D15FD8" w:rsidRPr="003625BA" w:rsidRDefault="00D15FD8" w:rsidP="00362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r w:rsidRPr="003625BA">
                              <w:rPr>
                                <w:rFonts w:ascii="Arial" w:hAnsi="Arial" w:cs="Arial"/>
                                <w:b/>
                                <w:bCs/>
                                <w:color w:val="FFFFFF" w:themeColor="background1"/>
                                <w:sz w:val="72"/>
                                <w:szCs w:val="72"/>
                                <w:lang w:val="en-US"/>
                              </w:rPr>
                              <w:t>1</w:t>
                            </w:r>
                          </w:p>
                          <w:p w14:paraId="567C8C8C" w14:textId="77777777" w:rsidR="00D15FD8" w:rsidRDefault="00D15FD8" w:rsidP="003625B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A33D6" id="Text Box 2672" o:spid="_x0000_s1227" type="#_x0000_t202" style="position:absolute;left:0;text-align:left;margin-left:33.55pt;margin-top:10.85pt;width:45pt;height:46.75pt;z-index:254813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" filled="f" stroked="f" strokeweight=".5pt">
                <v:textbox>
                  <w:txbxContent>
                    <w:p w14:paraId="7B2F0916" w14:textId="68F83F8E" w:rsidR="00D15FD8" w:rsidRPr="003625BA" w:rsidRDefault="00D15FD8" w:rsidP="00362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r w:rsidRPr="003625BA">
                        <w:rPr>
                          <w:rFonts w:ascii="Arial" w:hAnsi="Arial" w:cs="Arial"/>
                          <w:b/>
                          <w:bCs/>
                          <w:color w:val="FFFFFF" w:themeColor="background1"/>
                          <w:sz w:val="72"/>
                          <w:szCs w:val="72"/>
                          <w:lang w:val="en-US"/>
                        </w:rPr>
                        <w:t>1</w:t>
                      </w:r>
                    </w:p>
                    <w:p w14:paraId="567C8C8C" w14:textId="77777777" w:rsidR="00D15FD8" w:rsidRDefault="00D15FD8" w:rsidP="003625BA">
                      <w:pPr>
                        <w:jc w:val="center"/>
                      </w:pPr>
                    </w:p>
                  </w:txbxContent>
                </v:textbox>
              </v:shape>
            </w:pict>
          </mc:Fallback>
        </mc:AlternateContent>
      </w:r>
    </w:p>
    <w:p w14:paraId="630DE848" w14:textId="2DFCDAA4" w:rsidR="00EB0AA3" w:rsidRDefault="00EB0AA3" w:rsidP="00EB0AA3">
      <w:pPr>
        <w:jc w:val="both"/>
      </w:pPr>
    </w:p>
    <w:p w14:paraId="45A6BDBD" w14:textId="4D96A919" w:rsidR="00E93CE5" w:rsidRDefault="00E93CE5" w:rsidP="00EB0AA3">
      <w:pPr>
        <w:jc w:val="both"/>
      </w:pPr>
    </w:p>
    <w:p w14:paraId="62555E11" w14:textId="0572FBEE" w:rsidR="00E93CE5" w:rsidRDefault="00E93CE5" w:rsidP="00EB0AA3">
      <w:pPr>
        <w:jc w:val="both"/>
      </w:pPr>
    </w:p>
    <w:p w14:paraId="1891EBF8" w14:textId="4A54F95E" w:rsidR="00E93CE5" w:rsidRDefault="00E93CE5" w:rsidP="00EB0AA3">
      <w:pPr>
        <w:jc w:val="both"/>
      </w:pPr>
    </w:p>
    <w:p w14:paraId="467991AA" w14:textId="7FED64F8" w:rsidR="00E93CE5" w:rsidRDefault="00A478D0" w:rsidP="00A478D0">
      <w:pPr>
        <w:spacing w:line="276" w:lineRule="auto"/>
        <w:jc w:val="both"/>
      </w:pPr>
      <w:r>
        <w:rPr>
          <w:rFonts w:ascii="Arial" w:hAnsi="Arial" w:cs="Arial"/>
          <w:noProof/>
          <w:sz w:val="24"/>
          <w:szCs w:val="24"/>
          <w:lang w:val="en-US"/>
        </w:rPr>
        <w:drawing>
          <wp:anchor distT="0" distB="0" distL="114300" distR="114300" simplePos="0" relativeHeight="251919360" behindDoc="0" locked="0" layoutInCell="1" allowOverlap="1" wp14:anchorId="39A015B9" wp14:editId="03FD00DF">
            <wp:simplePos x="0" y="0"/>
            <wp:positionH relativeFrom="column">
              <wp:posOffset>0</wp:posOffset>
            </wp:positionH>
            <wp:positionV relativeFrom="paragraph">
              <wp:posOffset>196215</wp:posOffset>
            </wp:positionV>
            <wp:extent cx="3499485" cy="1968500"/>
            <wp:effectExtent l="0" t="0" r="0"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387" cstate="email">
                      <a:extLst>
                        <a:ext uri="{28A0092B-C50C-407E-A947-70E740481C1C}">
                          <a14:useLocalDpi xmlns:a14="http://schemas.microsoft.com/office/drawing/2010/main"/>
                        </a:ext>
                      </a:extLst>
                    </a:blip>
                    <a:stretch>
                      <a:fillRect/>
                    </a:stretch>
                  </pic:blipFill>
                  <pic:spPr>
                    <a:xfrm>
                      <a:off x="0" y="0"/>
                      <a:ext cx="3499485" cy="1968500"/>
                    </a:xfrm>
                    <a:prstGeom prst="rect">
                      <a:avLst/>
                    </a:prstGeom>
                  </pic:spPr>
                </pic:pic>
              </a:graphicData>
            </a:graphic>
            <wp14:sizeRelH relativeFrom="page">
              <wp14:pctWidth>0</wp14:pctWidth>
            </wp14:sizeRelH>
            <wp14:sizeRelV relativeFrom="page">
              <wp14:pctHeight>0</wp14:pctHeight>
            </wp14:sizeRelV>
          </wp:anchor>
        </w:drawing>
      </w:r>
    </w:p>
    <w:p w14:paraId="27950B2B" w14:textId="251FBC12" w:rsidR="00EB0AA3" w:rsidRDefault="00EB0AA3" w:rsidP="00A478D0">
      <w:pPr>
        <w:tabs>
          <w:tab w:val="left" w:pos="270"/>
          <w:tab w:val="left" w:pos="4050"/>
          <w:tab w:val="left" w:pos="5040"/>
          <w:tab w:val="left" w:pos="6300"/>
        </w:tabs>
        <w:spacing w:line="276" w:lineRule="auto"/>
        <w:jc w:val="both"/>
        <w:rPr>
          <w:rFonts w:ascii="Arial" w:hAnsi="Arial" w:cs="Arial"/>
          <w:sz w:val="24"/>
          <w:szCs w:val="24"/>
        </w:rPr>
      </w:pPr>
      <w:r w:rsidRPr="00A478D0">
        <w:rPr>
          <w:rFonts w:ascii="Arial" w:hAnsi="Arial" w:cs="Arial"/>
          <w:sz w:val="24"/>
          <w:szCs w:val="24"/>
        </w:rPr>
        <w:t>In this section the key actors in facilitating and advancing fiscal transparency, public participation and consequently government accountability are identified. They operate in an ‘ecosystem’ that is composed of other actors and country specific public sector contexts, that are shaped by, among others, the rules and processes emanating from a constitution/legislation; the information available within it and its quality; and the country’s social, economic, political, cultural and technological environment. Their roles are fundamental for development and their effectiveness largely depends on this ecosystem, including the level of transparency within it, as well as how they interoperate with each other. To perform their activities effectively, these actors require fiscal transparency and they also need to facilitate and provide it, themselves. The key actors can be divided into the following five main groups:</w:t>
      </w:r>
    </w:p>
    <w:p w14:paraId="012F635F" w14:textId="7569B5ED" w:rsidR="00A478D0" w:rsidRDefault="00A478D0" w:rsidP="00A478D0">
      <w:pPr>
        <w:tabs>
          <w:tab w:val="left" w:pos="270"/>
          <w:tab w:val="left" w:pos="4050"/>
          <w:tab w:val="left" w:pos="5040"/>
          <w:tab w:val="left" w:pos="6300"/>
        </w:tabs>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922432" behindDoc="1" locked="0" layoutInCell="1" allowOverlap="1" wp14:anchorId="00871152" wp14:editId="43D75B8E">
            <wp:simplePos x="0" y="0"/>
            <wp:positionH relativeFrom="column">
              <wp:posOffset>0</wp:posOffset>
            </wp:positionH>
            <wp:positionV relativeFrom="paragraph">
              <wp:posOffset>99695</wp:posOffset>
            </wp:positionV>
            <wp:extent cx="6645910" cy="93472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388" cstate="email">
                      <a:extLst>
                        <a:ext uri="{28A0092B-C50C-407E-A947-70E740481C1C}">
                          <a14:useLocalDpi xmlns:a14="http://schemas.microsoft.com/office/drawing/2010/main"/>
                        </a:ext>
                      </a:extLst>
                    </a:blip>
                    <a:stretch>
                      <a:fillRect/>
                    </a:stretch>
                  </pic:blipFill>
                  <pic:spPr>
                    <a:xfrm>
                      <a:off x="0" y="0"/>
                      <a:ext cx="6645910" cy="934720"/>
                    </a:xfrm>
                    <a:prstGeom prst="rect">
                      <a:avLst/>
                    </a:prstGeom>
                  </pic:spPr>
                </pic:pic>
              </a:graphicData>
            </a:graphic>
            <wp14:sizeRelH relativeFrom="page">
              <wp14:pctWidth>0</wp14:pctWidth>
            </wp14:sizeRelH>
            <wp14:sizeRelV relativeFrom="page">
              <wp14:pctHeight>0</wp14:pctHeight>
            </wp14:sizeRelV>
          </wp:anchor>
        </w:drawing>
      </w:r>
    </w:p>
    <w:p w14:paraId="2C086D29" w14:textId="39FF73BD" w:rsidR="00EB0AA3" w:rsidRDefault="00A478D0" w:rsidP="00A478D0">
      <w:pPr>
        <w:tabs>
          <w:tab w:val="left" w:pos="270"/>
          <w:tab w:val="left" w:pos="4050"/>
          <w:tab w:val="left" w:pos="5040"/>
          <w:tab w:val="left" w:pos="6300"/>
        </w:tabs>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20384" behindDoc="0" locked="0" layoutInCell="1" allowOverlap="1" wp14:anchorId="712BC871" wp14:editId="37E01FA4">
                <wp:simplePos x="0" y="0"/>
                <wp:positionH relativeFrom="column">
                  <wp:posOffset>1168400</wp:posOffset>
                </wp:positionH>
                <wp:positionV relativeFrom="paragraph">
                  <wp:posOffset>88265</wp:posOffset>
                </wp:positionV>
                <wp:extent cx="5143500" cy="558800"/>
                <wp:effectExtent l="0" t="0" r="0" b="0"/>
                <wp:wrapNone/>
                <wp:docPr id="296" name="Rectangle 296"/>
                <wp:cNvGraphicFramePr/>
                <a:graphic xmlns:a="http://schemas.openxmlformats.org/drawingml/2006/main">
                  <a:graphicData uri="http://schemas.microsoft.com/office/word/2010/wordprocessingShape">
                    <wps:wsp>
                      <wps:cNvSpPr/>
                      <wps:spPr>
                        <a:xfrm>
                          <a:off x="0" y="0"/>
                          <a:ext cx="5143500" cy="558800"/>
                        </a:xfrm>
                        <a:prstGeom prst="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3316AAE6" id="Rectangle 296" o:spid="_x0000_s1026" style="position:absolute;margin-left:92pt;margin-top:6.95pt;width:405pt;height:44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" fillcolor="#f27e20" stroked="f" strokeweight="1pt"/>
            </w:pict>
          </mc:Fallback>
        </mc:AlternateContent>
      </w:r>
      <w:r>
        <w:rPr>
          <w:rFonts w:ascii="Arial" w:hAnsi="Arial" w:cs="Arial"/>
          <w:noProof/>
          <w:sz w:val="24"/>
          <w:szCs w:val="24"/>
          <w:lang w:val="en-US"/>
        </w:rPr>
        <mc:AlternateContent>
          <mc:Choice Requires="wps">
            <w:drawing>
              <wp:anchor distT="0" distB="0" distL="114300" distR="114300" simplePos="0" relativeHeight="251921408" behindDoc="0" locked="0" layoutInCell="1" allowOverlap="1" wp14:anchorId="7774F2AD" wp14:editId="03505296">
                <wp:simplePos x="0" y="0"/>
                <wp:positionH relativeFrom="column">
                  <wp:posOffset>1168400</wp:posOffset>
                </wp:positionH>
                <wp:positionV relativeFrom="paragraph">
                  <wp:posOffset>139065</wp:posOffset>
                </wp:positionV>
                <wp:extent cx="4267200" cy="444500"/>
                <wp:effectExtent l="0" t="0" r="0" b="0"/>
                <wp:wrapNone/>
                <wp:docPr id="297" name="Text Box 297"/>
                <wp:cNvGraphicFramePr/>
                <a:graphic xmlns:a="http://schemas.openxmlformats.org/drawingml/2006/main">
                  <a:graphicData uri="http://schemas.microsoft.com/office/word/2010/wordprocessingShape">
                    <wps:wsp>
                      <wps:cNvSpPr txBox="1"/>
                      <wps:spPr>
                        <a:xfrm>
                          <a:off x="0" y="0"/>
                          <a:ext cx="4267200" cy="444500"/>
                        </a:xfrm>
                        <a:prstGeom prst="rect">
                          <a:avLst/>
                        </a:prstGeom>
                        <a:solidFill>
                          <a:srgbClr val="F27E20"/>
                        </a:solidFill>
                        <a:ln w="6350">
                          <a:noFill/>
                        </a:ln>
                      </wps:spPr>
                      <wps:txbx>
                        <w:txbxContent>
                          <w:p w14:paraId="6DFCA98E" w14:textId="16914E89"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567" w:name="_Toc116056998"/>
                            <w:bookmarkStart w:id="568" w:name="_Toc119794439"/>
                            <w:bookmarkStart w:id="569" w:name="_Toc123204424"/>
                            <w:bookmarkStart w:id="570" w:name="_Toc123216515"/>
                            <w:bookmarkStart w:id="571" w:name="_Toc123217355"/>
                            <w:bookmarkStart w:id="572" w:name="_Toc123828115"/>
                            <w:bookmarkStart w:id="573" w:name="_Toc123828325"/>
                            <w:bookmarkStart w:id="574" w:name="_Toc123828521"/>
                            <w:bookmarkStart w:id="575" w:name="_Toc123912548"/>
                            <w:bookmarkStart w:id="576" w:name="_Toc123912807"/>
                            <w:bookmarkStart w:id="577" w:name="_Toc123913034"/>
                            <w:bookmarkStart w:id="578" w:name="_Toc123913325"/>
                            <w:bookmarkStart w:id="579" w:name="_Toc123913981"/>
                            <w:bookmarkStart w:id="580" w:name="_Toc125566600"/>
                            <w:r w:rsidRPr="0053337F">
                              <w:rPr>
                                <w:rFonts w:ascii="Arial" w:hAnsi="Arial" w:cs="Arial"/>
                                <w:b/>
                                <w:bCs/>
                                <w:color w:val="FFFFFF" w:themeColor="background1"/>
                                <w:sz w:val="36"/>
                                <w:szCs w:val="36"/>
                                <w:lang w:val="en-US"/>
                              </w:rPr>
                              <w:t>Government</w:t>
                            </w:r>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74F2AD" id="Text Box 297" o:spid="_x0000_s1228" type="#_x0000_t202" style="position:absolute;left:0;text-align:left;margin-left:92pt;margin-top:10.95pt;width:336pt;height:3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" fillcolor="#f27e20" stroked="f" strokeweight=".5pt">
                <v:textbox>
                  <w:txbxContent>
                    <w:p w14:paraId="6DFCA98E" w14:textId="16914E89"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581" w:name="_Toc116056998"/>
                      <w:bookmarkStart w:id="582" w:name="_Toc119794439"/>
                      <w:bookmarkStart w:id="583" w:name="_Toc123204424"/>
                      <w:bookmarkStart w:id="584" w:name="_Toc123216515"/>
                      <w:bookmarkStart w:id="585" w:name="_Toc123217355"/>
                      <w:bookmarkStart w:id="586" w:name="_Toc123828115"/>
                      <w:bookmarkStart w:id="587" w:name="_Toc123828325"/>
                      <w:bookmarkStart w:id="588" w:name="_Toc123828521"/>
                      <w:bookmarkStart w:id="589" w:name="_Toc123912548"/>
                      <w:bookmarkStart w:id="590" w:name="_Toc123912807"/>
                      <w:bookmarkStart w:id="591" w:name="_Toc123913034"/>
                      <w:bookmarkStart w:id="592" w:name="_Toc123913325"/>
                      <w:bookmarkStart w:id="593" w:name="_Toc123913981"/>
                      <w:bookmarkStart w:id="594" w:name="_Toc125566600"/>
                      <w:r w:rsidRPr="0053337F">
                        <w:rPr>
                          <w:rFonts w:ascii="Arial" w:hAnsi="Arial" w:cs="Arial"/>
                          <w:b/>
                          <w:bCs/>
                          <w:color w:val="FFFFFF" w:themeColor="background1"/>
                          <w:sz w:val="36"/>
                          <w:szCs w:val="36"/>
                          <w:lang w:val="en-US"/>
                        </w:rPr>
                        <w:t>Government</w:t>
                      </w:r>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txbxContent>
                </v:textbox>
              </v:shape>
            </w:pict>
          </mc:Fallback>
        </mc:AlternateContent>
      </w:r>
    </w:p>
    <w:p w14:paraId="10F313B7" w14:textId="77777777" w:rsidR="00A478D0" w:rsidRPr="00A478D0" w:rsidRDefault="00A478D0" w:rsidP="00A478D0">
      <w:pPr>
        <w:tabs>
          <w:tab w:val="left" w:pos="270"/>
          <w:tab w:val="left" w:pos="4050"/>
          <w:tab w:val="left" w:pos="5040"/>
          <w:tab w:val="left" w:pos="6300"/>
        </w:tabs>
        <w:spacing w:line="276" w:lineRule="auto"/>
        <w:jc w:val="both"/>
        <w:rPr>
          <w:rFonts w:ascii="Arial" w:hAnsi="Arial" w:cs="Arial"/>
          <w:sz w:val="24"/>
          <w:szCs w:val="24"/>
        </w:rPr>
      </w:pPr>
    </w:p>
    <w:p w14:paraId="40AD7EFA" w14:textId="77777777" w:rsidR="00A478D0" w:rsidRDefault="00A478D0" w:rsidP="00EB0AA3">
      <w:pPr>
        <w:tabs>
          <w:tab w:val="left" w:pos="270"/>
          <w:tab w:val="left" w:pos="4050"/>
          <w:tab w:val="left" w:pos="5040"/>
          <w:tab w:val="left" w:pos="6300"/>
        </w:tabs>
        <w:jc w:val="both"/>
        <w:rPr>
          <w:color w:val="000000" w:themeColor="text1"/>
        </w:rPr>
      </w:pPr>
    </w:p>
    <w:p w14:paraId="533DB211" w14:textId="77777777" w:rsidR="00A478D0" w:rsidRDefault="00A478D0" w:rsidP="00EB0AA3">
      <w:pPr>
        <w:tabs>
          <w:tab w:val="left" w:pos="270"/>
          <w:tab w:val="left" w:pos="4050"/>
          <w:tab w:val="left" w:pos="5040"/>
          <w:tab w:val="left" w:pos="6300"/>
        </w:tabs>
        <w:jc w:val="both"/>
        <w:rPr>
          <w:color w:val="000000" w:themeColor="text1"/>
        </w:rPr>
      </w:pPr>
    </w:p>
    <w:p w14:paraId="6295706B" w14:textId="77777777" w:rsidR="00A478D0" w:rsidRPr="00A478D0" w:rsidRDefault="00A478D0" w:rsidP="00A478D0">
      <w:pPr>
        <w:tabs>
          <w:tab w:val="left" w:pos="270"/>
          <w:tab w:val="left" w:pos="4050"/>
          <w:tab w:val="left" w:pos="5040"/>
          <w:tab w:val="left" w:pos="6300"/>
        </w:tabs>
        <w:spacing w:line="276" w:lineRule="auto"/>
        <w:jc w:val="both"/>
        <w:rPr>
          <w:rFonts w:ascii="Arial" w:hAnsi="Arial" w:cs="Arial"/>
          <w:color w:val="000000" w:themeColor="text1"/>
          <w:sz w:val="24"/>
          <w:szCs w:val="24"/>
        </w:rPr>
      </w:pPr>
    </w:p>
    <w:p w14:paraId="3C9FEC2A" w14:textId="512AAB04" w:rsidR="00D871C5" w:rsidRPr="00A478D0" w:rsidRDefault="00EB0AA3" w:rsidP="00A478D0">
      <w:pPr>
        <w:tabs>
          <w:tab w:val="left" w:pos="270"/>
          <w:tab w:val="left" w:pos="4050"/>
          <w:tab w:val="left" w:pos="5040"/>
          <w:tab w:val="left" w:pos="6300"/>
        </w:tabs>
        <w:spacing w:line="276" w:lineRule="auto"/>
        <w:jc w:val="both"/>
        <w:rPr>
          <w:rFonts w:ascii="Arial" w:hAnsi="Arial" w:cs="Arial"/>
          <w:sz w:val="24"/>
          <w:szCs w:val="24"/>
          <w:lang w:val="en-US"/>
        </w:rPr>
      </w:pPr>
      <w:r w:rsidRPr="00A478D0">
        <w:rPr>
          <w:rFonts w:ascii="Arial" w:hAnsi="Arial" w:cs="Arial"/>
          <w:color w:val="000000" w:themeColor="text1"/>
          <w:sz w:val="24"/>
          <w:szCs w:val="24"/>
        </w:rPr>
        <w:t>The</w:t>
      </w:r>
      <w:r w:rsidRPr="00A478D0">
        <w:rPr>
          <w:rFonts w:ascii="Arial" w:hAnsi="Arial" w:cs="Arial"/>
          <w:i/>
          <w:color w:val="000000" w:themeColor="text1"/>
          <w:sz w:val="24"/>
          <w:szCs w:val="24"/>
        </w:rPr>
        <w:t xml:space="preserve"> </w:t>
      </w:r>
      <w:r w:rsidRPr="00A478D0">
        <w:rPr>
          <w:rFonts w:ascii="Arial" w:hAnsi="Arial" w:cs="Arial"/>
          <w:sz w:val="24"/>
          <w:szCs w:val="24"/>
        </w:rPr>
        <w:t>government</w:t>
      </w:r>
      <w:r w:rsidRPr="00A478D0">
        <w:rPr>
          <w:rFonts w:ascii="Arial" w:hAnsi="Arial" w:cs="Arial"/>
          <w:i/>
          <w:color w:val="000000" w:themeColor="text1"/>
          <w:sz w:val="24"/>
          <w:szCs w:val="24"/>
        </w:rPr>
        <w:t xml:space="preserve"> </w:t>
      </w:r>
      <w:r w:rsidRPr="00A478D0">
        <w:rPr>
          <w:rFonts w:ascii="Arial" w:hAnsi="Arial" w:cs="Arial"/>
          <w:color w:val="000000" w:themeColor="text1"/>
          <w:sz w:val="24"/>
          <w:szCs w:val="24"/>
        </w:rPr>
        <w:t>sphere (</w:t>
      </w:r>
      <w:proofErr w:type="spellStart"/>
      <w:r w:rsidRPr="00A478D0">
        <w:rPr>
          <w:rFonts w:ascii="Arial" w:hAnsi="Arial" w:cs="Arial"/>
          <w:i/>
          <w:iCs/>
          <w:color w:val="000000" w:themeColor="text1"/>
          <w:sz w:val="24"/>
          <w:szCs w:val="24"/>
        </w:rPr>
        <w:t>l’État</w:t>
      </w:r>
      <w:proofErr w:type="spellEnd"/>
      <w:r w:rsidRPr="00A478D0">
        <w:rPr>
          <w:rFonts w:ascii="Arial" w:hAnsi="Arial" w:cs="Arial"/>
          <w:color w:val="000000" w:themeColor="text1"/>
          <w:sz w:val="24"/>
          <w:szCs w:val="24"/>
        </w:rPr>
        <w:t xml:space="preserve">, the state) typically comprises 3 branches: the </w:t>
      </w:r>
      <w:r w:rsidRPr="00A478D0">
        <w:rPr>
          <w:rFonts w:ascii="Arial" w:hAnsi="Arial" w:cs="Arial"/>
          <w:b/>
          <w:bCs/>
          <w:color w:val="69557F"/>
          <w:sz w:val="24"/>
          <w:szCs w:val="24"/>
        </w:rPr>
        <w:t>executive</w:t>
      </w:r>
      <w:r w:rsidRPr="00A478D0">
        <w:rPr>
          <w:rFonts w:ascii="Arial" w:hAnsi="Arial" w:cs="Arial"/>
          <w:color w:val="000000" w:themeColor="text1"/>
          <w:sz w:val="24"/>
          <w:szCs w:val="24"/>
        </w:rPr>
        <w:t xml:space="preserve">, </w:t>
      </w:r>
      <w:r w:rsidRPr="00A478D0">
        <w:rPr>
          <w:rFonts w:ascii="Arial" w:hAnsi="Arial" w:cs="Arial"/>
          <w:b/>
          <w:bCs/>
          <w:color w:val="69557F"/>
          <w:sz w:val="24"/>
          <w:szCs w:val="24"/>
        </w:rPr>
        <w:t>legislative</w:t>
      </w:r>
      <w:r w:rsidRPr="00A478D0">
        <w:rPr>
          <w:rFonts w:ascii="Arial" w:hAnsi="Arial" w:cs="Arial"/>
          <w:color w:val="000000" w:themeColor="text1"/>
          <w:sz w:val="24"/>
          <w:szCs w:val="24"/>
        </w:rPr>
        <w:t xml:space="preserve"> and </w:t>
      </w:r>
      <w:r w:rsidRPr="00A478D0">
        <w:rPr>
          <w:rFonts w:ascii="Arial" w:hAnsi="Arial" w:cs="Arial"/>
          <w:b/>
          <w:bCs/>
          <w:color w:val="69557F"/>
          <w:sz w:val="24"/>
          <w:szCs w:val="24"/>
        </w:rPr>
        <w:t>judicial branch</w:t>
      </w:r>
      <w:r w:rsidRPr="00A478D0">
        <w:rPr>
          <w:rFonts w:ascii="Arial" w:hAnsi="Arial" w:cs="Arial"/>
          <w:color w:val="000000" w:themeColor="text1"/>
          <w:sz w:val="24"/>
          <w:szCs w:val="24"/>
        </w:rPr>
        <w:t xml:space="preserve">. </w:t>
      </w:r>
      <w:r w:rsidRPr="00A478D0">
        <w:rPr>
          <w:rFonts w:ascii="Arial" w:hAnsi="Arial" w:cs="Arial"/>
          <w:sz w:val="24"/>
          <w:szCs w:val="24"/>
          <w:lang w:val="en-US"/>
        </w:rPr>
        <w:t xml:space="preserve">The relationships between these branches varies across countries. The laws in each country should however give distinct powers to each of these different arms of government. This is done through the separation of powers, that is the division of government responsibilities into distinct branches to limit any one branch from exercising the core functions of another. The intent of </w:t>
      </w:r>
      <w:r w:rsidRPr="00A478D0">
        <w:rPr>
          <w:rFonts w:ascii="Arial" w:hAnsi="Arial" w:cs="Arial"/>
          <w:sz w:val="24"/>
          <w:szCs w:val="24"/>
          <w:lang w:val="en-US"/>
        </w:rPr>
        <w:lastRenderedPageBreak/>
        <w:t>this is to prevent the concentration of power in any branch, providing for checks and balances.  Within the separation of powers, it is essential under the rule of law that the use of power is lawful and can be challenged. This includes, that the fiscal powers and limits of each branch at the different stages of the fiscal policy cycle, are clearly defined in law and allow for fiscal transparency and public participation.</w:t>
      </w:r>
    </w:p>
    <w:p w14:paraId="511D6963" w14:textId="05675C8F" w:rsidR="00D871C5" w:rsidRDefault="003838FB" w:rsidP="00EB0AA3">
      <w:pPr>
        <w:jc w:val="both"/>
        <w:rPr>
          <w:color w:val="000000" w:themeColor="text1"/>
          <w:lang w:val="en-ZA"/>
        </w:rPr>
      </w:pPr>
      <w:r w:rsidRPr="00ED546D">
        <w:rPr>
          <w:rFonts w:ascii="Arial" w:hAnsi="Arial" w:cs="Arial"/>
          <w:bCs/>
          <w:noProof/>
          <w:color w:val="82C9A0"/>
          <w:sz w:val="24"/>
          <w:szCs w:val="24"/>
          <w:lang w:val="en-US"/>
        </w:rPr>
        <mc:AlternateContent>
          <mc:Choice Requires="wps">
            <w:drawing>
              <wp:anchor distT="0" distB="0" distL="114300" distR="114300" simplePos="0" relativeHeight="251936255" behindDoc="0" locked="0" layoutInCell="1" allowOverlap="1" wp14:anchorId="63D8B233" wp14:editId="525CD5E1">
                <wp:simplePos x="0" y="0"/>
                <wp:positionH relativeFrom="column">
                  <wp:posOffset>0</wp:posOffset>
                </wp:positionH>
                <wp:positionV relativeFrom="paragraph">
                  <wp:posOffset>176530</wp:posOffset>
                </wp:positionV>
                <wp:extent cx="1993900" cy="2984500"/>
                <wp:effectExtent l="0" t="0" r="0" b="0"/>
                <wp:wrapSquare wrapText="bothSides"/>
                <wp:docPr id="310" name="Rounded Rectangle 310"/>
                <wp:cNvGraphicFramePr/>
                <a:graphic xmlns:a="http://schemas.openxmlformats.org/drawingml/2006/main">
                  <a:graphicData uri="http://schemas.microsoft.com/office/word/2010/wordprocessingShape">
                    <wps:wsp>
                      <wps:cNvSpPr/>
                      <wps:spPr>
                        <a:xfrm>
                          <a:off x="0" y="0"/>
                          <a:ext cx="1993900" cy="2984500"/>
                        </a:xfrm>
                        <a:prstGeom prst="roundRect">
                          <a:avLst>
                            <a:gd name="adj" fmla="val 3291"/>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BC3F2A8" id="Rounded Rectangle 310" o:spid="_x0000_s1026" style="position:absolute;margin-left:0;margin-top:13.9pt;width:157pt;height:235pt;z-index:251936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" fillcolor="#16988a" stroked="f" strokeweight="1pt">
                <v:stroke joinstyle="miter"/>
                <w10:wrap type="square"/>
              </v:roundrect>
            </w:pict>
          </mc:Fallback>
        </mc:AlternateContent>
      </w:r>
    </w:p>
    <w:p w14:paraId="7D6EC3B0" w14:textId="57DBFF6C" w:rsidR="00EB0AA3" w:rsidRDefault="003838FB" w:rsidP="00D871C5">
      <w:pPr>
        <w:spacing w:line="276" w:lineRule="auto"/>
        <w:jc w:val="both"/>
        <w:rPr>
          <w:rFonts w:ascii="Arial" w:hAnsi="Arial" w:cs="Arial"/>
          <w:color w:val="000000" w:themeColor="text1"/>
          <w:sz w:val="24"/>
          <w:szCs w:val="24"/>
        </w:rPr>
      </w:pPr>
      <w:r>
        <w:rPr>
          <w:rFonts w:ascii="Arial" w:hAnsi="Arial" w:cs="Arial"/>
          <w:bCs/>
          <w:noProof/>
          <w:color w:val="82C9A0"/>
          <w:sz w:val="24"/>
          <w:szCs w:val="24"/>
          <w:lang w:val="en-US"/>
        </w:rPr>
        <mc:AlternateContent>
          <mc:Choice Requires="wps">
            <w:drawing>
              <wp:anchor distT="0" distB="0" distL="114300" distR="114300" simplePos="0" relativeHeight="251937792" behindDoc="0" locked="0" layoutInCell="1" allowOverlap="1" wp14:anchorId="03CD4441" wp14:editId="5B38D7DB">
                <wp:simplePos x="0" y="0"/>
                <wp:positionH relativeFrom="margin">
                  <wp:posOffset>0</wp:posOffset>
                </wp:positionH>
                <wp:positionV relativeFrom="paragraph">
                  <wp:posOffset>2178050</wp:posOffset>
                </wp:positionV>
                <wp:extent cx="1993900" cy="342900"/>
                <wp:effectExtent l="0" t="0" r="0" b="0"/>
                <wp:wrapNone/>
                <wp:docPr id="299" name="Text Box 299"/>
                <wp:cNvGraphicFramePr/>
                <a:graphic xmlns:a="http://schemas.openxmlformats.org/drawingml/2006/main">
                  <a:graphicData uri="http://schemas.microsoft.com/office/word/2010/wordprocessingShape">
                    <wps:wsp>
                      <wps:cNvSpPr txBox="1"/>
                      <wps:spPr>
                        <a:xfrm>
                          <a:off x="0" y="0"/>
                          <a:ext cx="1993900" cy="342900"/>
                        </a:xfrm>
                        <a:prstGeom prst="rect">
                          <a:avLst/>
                        </a:prstGeom>
                        <a:noFill/>
                        <a:ln w="6350">
                          <a:noFill/>
                        </a:ln>
                      </wps:spPr>
                      <wps:txbx>
                        <w:txbxContent>
                          <w:p w14:paraId="0B614943" w14:textId="1EA75F76" w:rsidR="00D15FD8" w:rsidRPr="00D871C5" w:rsidRDefault="00D15FD8" w:rsidP="00D871C5">
                            <w:pPr>
                              <w:pStyle w:val="Heading2"/>
                              <w:jc w:val="center"/>
                              <w:rPr>
                                <w:rFonts w:ascii="Arial" w:hAnsi="Arial" w:cs="Arial"/>
                                <w:b/>
                                <w:bCs/>
                                <w:color w:val="FFFFFF" w:themeColor="background1"/>
                                <w:sz w:val="24"/>
                                <w:szCs w:val="24"/>
                                <w:lang w:val="en-US"/>
                              </w:rPr>
                            </w:pPr>
                            <w:bookmarkStart w:id="595" w:name="_Toc116056999"/>
                            <w:bookmarkStart w:id="596" w:name="_Toc119794440"/>
                            <w:bookmarkStart w:id="597" w:name="_Toc123204425"/>
                            <w:bookmarkStart w:id="598" w:name="_Toc123216516"/>
                            <w:bookmarkStart w:id="599" w:name="_Toc123217356"/>
                            <w:bookmarkStart w:id="600" w:name="_Toc123828116"/>
                            <w:bookmarkStart w:id="601" w:name="_Toc123828326"/>
                            <w:bookmarkStart w:id="602" w:name="_Toc123828522"/>
                            <w:bookmarkStart w:id="603" w:name="_Toc123912549"/>
                            <w:bookmarkStart w:id="604" w:name="_Toc123912808"/>
                            <w:bookmarkStart w:id="605" w:name="_Toc123913035"/>
                            <w:bookmarkStart w:id="606" w:name="_Toc123913326"/>
                            <w:bookmarkStart w:id="607" w:name="_Toc123913982"/>
                            <w:bookmarkStart w:id="608" w:name="_Toc125566601"/>
                            <w:r w:rsidRPr="00D871C5">
                              <w:rPr>
                                <w:rFonts w:ascii="Arial" w:hAnsi="Arial" w:cs="Arial"/>
                                <w:b/>
                                <w:bCs/>
                                <w:color w:val="FFFFFF" w:themeColor="background1"/>
                                <w:sz w:val="24"/>
                                <w:szCs w:val="24"/>
                                <w:lang w:val="en-US"/>
                              </w:rPr>
                              <w:t>Executive</w:t>
                            </w:r>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D4441" id="Text Box 299" o:spid="_x0000_s1229" type="#_x0000_t202" style="position:absolute;left:0;text-align:left;margin-left:0;margin-top:171.5pt;width:157pt;height:27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" filled="f" stroked="f" strokeweight=".5pt">
                <v:textbox>
                  <w:txbxContent>
                    <w:p w14:paraId="0B614943" w14:textId="1EA75F76" w:rsidR="00D15FD8" w:rsidRPr="00D871C5" w:rsidRDefault="00D15FD8" w:rsidP="00D871C5">
                      <w:pPr>
                        <w:pStyle w:val="Heading2"/>
                        <w:jc w:val="center"/>
                        <w:rPr>
                          <w:rFonts w:ascii="Arial" w:hAnsi="Arial" w:cs="Arial"/>
                          <w:b/>
                          <w:bCs/>
                          <w:color w:val="FFFFFF" w:themeColor="background1"/>
                          <w:sz w:val="24"/>
                          <w:szCs w:val="24"/>
                          <w:lang w:val="en-US"/>
                        </w:rPr>
                      </w:pPr>
                      <w:bookmarkStart w:id="609" w:name="_Toc116056999"/>
                      <w:bookmarkStart w:id="610" w:name="_Toc119794440"/>
                      <w:bookmarkStart w:id="611" w:name="_Toc123204425"/>
                      <w:bookmarkStart w:id="612" w:name="_Toc123216516"/>
                      <w:bookmarkStart w:id="613" w:name="_Toc123217356"/>
                      <w:bookmarkStart w:id="614" w:name="_Toc123828116"/>
                      <w:bookmarkStart w:id="615" w:name="_Toc123828326"/>
                      <w:bookmarkStart w:id="616" w:name="_Toc123828522"/>
                      <w:bookmarkStart w:id="617" w:name="_Toc123912549"/>
                      <w:bookmarkStart w:id="618" w:name="_Toc123912808"/>
                      <w:bookmarkStart w:id="619" w:name="_Toc123913035"/>
                      <w:bookmarkStart w:id="620" w:name="_Toc123913326"/>
                      <w:bookmarkStart w:id="621" w:name="_Toc123913982"/>
                      <w:bookmarkStart w:id="622" w:name="_Toc125566601"/>
                      <w:r w:rsidRPr="00D871C5">
                        <w:rPr>
                          <w:rFonts w:ascii="Arial" w:hAnsi="Arial" w:cs="Arial"/>
                          <w:b/>
                          <w:bCs/>
                          <w:color w:val="FFFFFF" w:themeColor="background1"/>
                          <w:sz w:val="24"/>
                          <w:szCs w:val="24"/>
                          <w:lang w:val="en-US"/>
                        </w:rPr>
                        <w:t>Executive</w:t>
                      </w:r>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p>
                  </w:txbxContent>
                </v:textbox>
                <w10:wrap anchorx="margin"/>
              </v:shape>
            </w:pict>
          </mc:Fallback>
        </mc:AlternateContent>
      </w:r>
      <w:r>
        <w:rPr>
          <w:rFonts w:ascii="Arial" w:hAnsi="Arial" w:cs="Arial"/>
          <w:noProof/>
          <w:color w:val="000000" w:themeColor="text1"/>
          <w:sz w:val="24"/>
          <w:szCs w:val="24"/>
          <w:lang w:val="en-US"/>
        </w:rPr>
        <w:drawing>
          <wp:anchor distT="0" distB="0" distL="114300" distR="114300" simplePos="0" relativeHeight="251936768" behindDoc="1" locked="0" layoutInCell="1" allowOverlap="1" wp14:anchorId="5FBF3D76" wp14:editId="7F7589EA">
            <wp:simplePos x="0" y="0"/>
            <wp:positionH relativeFrom="column">
              <wp:posOffset>190500</wp:posOffset>
            </wp:positionH>
            <wp:positionV relativeFrom="paragraph">
              <wp:posOffset>501650</wp:posOffset>
            </wp:positionV>
            <wp:extent cx="1619885" cy="1655445"/>
            <wp:effectExtent l="0" t="0" r="0"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rotWithShape="1">
                    <a:blip r:embed="rId389" cstate="email">
                      <a:extLst>
                        <a:ext uri="{28A0092B-C50C-407E-A947-70E740481C1C}">
                          <a14:useLocalDpi xmlns:a14="http://schemas.microsoft.com/office/drawing/2010/main"/>
                        </a:ext>
                      </a:extLst>
                    </a:blip>
                    <a:srcRect/>
                    <a:stretch/>
                  </pic:blipFill>
                  <pic:spPr bwMode="auto">
                    <a:xfrm>
                      <a:off x="0" y="0"/>
                      <a:ext cx="1619885" cy="1655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0AA3" w:rsidRPr="00D871C5">
        <w:rPr>
          <w:rFonts w:ascii="Arial" w:hAnsi="Arial" w:cs="Arial"/>
          <w:color w:val="000000" w:themeColor="text1"/>
          <w:sz w:val="24"/>
          <w:szCs w:val="24"/>
          <w:lang w:val="en-ZA"/>
        </w:rPr>
        <w:t xml:space="preserve">The </w:t>
      </w:r>
      <w:r w:rsidR="00EB0AA3" w:rsidRPr="003838FB">
        <w:rPr>
          <w:rFonts w:ascii="Arial" w:hAnsi="Arial" w:cs="Arial"/>
          <w:b/>
          <w:bCs/>
          <w:color w:val="69557F"/>
          <w:sz w:val="24"/>
          <w:szCs w:val="24"/>
          <w:lang w:val="en-ZA"/>
        </w:rPr>
        <w:t>executive</w:t>
      </w:r>
      <w:r w:rsidR="00EB0AA3" w:rsidRPr="003838FB">
        <w:rPr>
          <w:rFonts w:ascii="Arial" w:hAnsi="Arial" w:cs="Arial"/>
          <w:b/>
          <w:bCs/>
          <w:i/>
          <w:color w:val="69557F"/>
          <w:sz w:val="24"/>
          <w:szCs w:val="24"/>
          <w:lang w:val="en-ZA"/>
        </w:rPr>
        <w:t xml:space="preserve"> </w:t>
      </w:r>
      <w:r w:rsidR="00EB0AA3" w:rsidRPr="003838FB">
        <w:rPr>
          <w:rFonts w:ascii="Arial" w:hAnsi="Arial" w:cs="Arial"/>
          <w:b/>
          <w:bCs/>
          <w:color w:val="69557F"/>
          <w:sz w:val="24"/>
          <w:szCs w:val="24"/>
          <w:lang w:val="en-ZA"/>
        </w:rPr>
        <w:t>branch</w:t>
      </w:r>
      <w:r w:rsidR="00EB0AA3" w:rsidRPr="003838FB">
        <w:rPr>
          <w:rFonts w:ascii="Arial" w:hAnsi="Arial" w:cs="Arial"/>
          <w:color w:val="69557F"/>
          <w:sz w:val="24"/>
          <w:szCs w:val="24"/>
          <w:lang w:val="en-ZA"/>
        </w:rPr>
        <w:t xml:space="preserve"> </w:t>
      </w:r>
      <w:r w:rsidR="00EB0AA3" w:rsidRPr="00D871C5">
        <w:rPr>
          <w:rFonts w:ascii="Arial" w:hAnsi="Arial" w:cs="Arial"/>
          <w:color w:val="000000" w:themeColor="text1"/>
          <w:sz w:val="24"/>
          <w:szCs w:val="24"/>
          <w:lang w:val="en-ZA"/>
        </w:rPr>
        <w:t xml:space="preserve">is essentially responsible for the formulation and implementation of public policies and is, as such, the principal actor in the formulation and execution stages of the fiscal policy cycle. It is responsible for </w:t>
      </w:r>
      <w:r w:rsidR="00EB0AA3" w:rsidRPr="00D871C5">
        <w:rPr>
          <w:rFonts w:ascii="Arial" w:hAnsi="Arial" w:cs="Arial"/>
          <w:color w:val="000000" w:themeColor="text1"/>
          <w:sz w:val="24"/>
          <w:szCs w:val="24"/>
        </w:rPr>
        <w:t xml:space="preserve">drafting the budget, that is the main instrument for setting fiscal policy; and then for the implementation of the approved budget; and ultimately for the results emanating from its implementation. </w:t>
      </w:r>
      <w:r w:rsidR="00EB0AA3" w:rsidRPr="00D871C5">
        <w:rPr>
          <w:rFonts w:ascii="Arial" w:hAnsi="Arial" w:cs="Arial"/>
          <w:color w:val="000000" w:themeColor="text1"/>
          <w:sz w:val="24"/>
          <w:szCs w:val="24"/>
          <w:lang w:val="en-ZA"/>
        </w:rPr>
        <w:t>The formulation of public policies involves numerous ministries, agencies and institutions, thousands of public servants, and complex interactions within and outside of public sector agencies. In this process, authorities from different government departments may interact with the public in various ways. The process should, however, be transparent throughout. The formulation of public policies should be crafted with public inputs, responding to their needs. The role of the executive is therefore extensive and the focus of module 3</w:t>
      </w:r>
      <w:r w:rsidR="00EB0AA3" w:rsidRPr="00D871C5">
        <w:rPr>
          <w:rFonts w:ascii="Arial" w:hAnsi="Arial" w:cs="Arial"/>
          <w:color w:val="000000" w:themeColor="text1"/>
          <w:sz w:val="24"/>
          <w:szCs w:val="24"/>
        </w:rPr>
        <w:t xml:space="preserve">. </w:t>
      </w:r>
    </w:p>
    <w:p w14:paraId="7E1F080C" w14:textId="69C4E2EB" w:rsidR="00D871C5" w:rsidRDefault="003838FB" w:rsidP="00EB0AA3">
      <w:pPr>
        <w:spacing w:after="360" w:line="259" w:lineRule="auto"/>
        <w:contextualSpacing/>
        <w:jc w:val="both"/>
        <w:rPr>
          <w:color w:val="000000" w:themeColor="text1"/>
          <w:lang w:val="en-US"/>
        </w:rPr>
      </w:pPr>
      <w:r w:rsidRPr="00ED546D">
        <w:rPr>
          <w:rFonts w:ascii="Arial" w:hAnsi="Arial" w:cs="Arial"/>
          <w:bCs/>
          <w:noProof/>
          <w:color w:val="82C9A0"/>
          <w:sz w:val="24"/>
          <w:szCs w:val="24"/>
          <w:lang w:val="en-US"/>
        </w:rPr>
        <mc:AlternateContent>
          <mc:Choice Requires="wps">
            <w:drawing>
              <wp:anchor distT="0" distB="0" distL="114300" distR="114300" simplePos="0" relativeHeight="251939840" behindDoc="0" locked="0" layoutInCell="1" allowOverlap="1" wp14:anchorId="6E6CC7AD" wp14:editId="62085247">
                <wp:simplePos x="0" y="0"/>
                <wp:positionH relativeFrom="column">
                  <wp:posOffset>0</wp:posOffset>
                </wp:positionH>
                <wp:positionV relativeFrom="paragraph">
                  <wp:posOffset>180340</wp:posOffset>
                </wp:positionV>
                <wp:extent cx="1993900" cy="2400300"/>
                <wp:effectExtent l="0" t="0" r="0" b="0"/>
                <wp:wrapSquare wrapText="bothSides"/>
                <wp:docPr id="311" name="Rounded Rectangle 311"/>
                <wp:cNvGraphicFramePr/>
                <a:graphic xmlns:a="http://schemas.openxmlformats.org/drawingml/2006/main">
                  <a:graphicData uri="http://schemas.microsoft.com/office/word/2010/wordprocessingShape">
                    <wps:wsp>
                      <wps:cNvSpPr/>
                      <wps:spPr>
                        <a:xfrm>
                          <a:off x="0" y="0"/>
                          <a:ext cx="1993900" cy="2400300"/>
                        </a:xfrm>
                        <a:prstGeom prst="roundRect">
                          <a:avLst>
                            <a:gd name="adj" fmla="val 3291"/>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B6295A2" id="Rounded Rectangle 311" o:spid="_x0000_s1026" style="position:absolute;margin-left:0;margin-top:14.2pt;width:157pt;height:189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" fillcolor="#16988a" stroked="f" strokeweight="1pt">
                <v:stroke joinstyle="miter"/>
                <w10:wrap type="square"/>
              </v:roundrect>
            </w:pict>
          </mc:Fallback>
        </mc:AlternateContent>
      </w:r>
    </w:p>
    <w:p w14:paraId="1093C622" w14:textId="0A7C83ED" w:rsidR="00EB0AA3" w:rsidRDefault="003838FB" w:rsidP="00D871C5">
      <w:pPr>
        <w:spacing w:after="360" w:line="276" w:lineRule="auto"/>
        <w:contextualSpacing/>
        <w:jc w:val="both"/>
        <w:rPr>
          <w:rFonts w:ascii="Arial" w:hAnsi="Arial" w:cs="Arial"/>
          <w:color w:val="000000" w:themeColor="text1"/>
          <w:sz w:val="24"/>
          <w:szCs w:val="24"/>
          <w:lang w:val="en-ZA"/>
        </w:rPr>
      </w:pPr>
      <w:r>
        <w:rPr>
          <w:rFonts w:ascii="Arial" w:hAnsi="Arial" w:cs="Arial"/>
          <w:bCs/>
          <w:noProof/>
          <w:color w:val="82C9A0"/>
          <w:sz w:val="24"/>
          <w:szCs w:val="24"/>
          <w:lang w:val="en-US"/>
        </w:rPr>
        <w:drawing>
          <wp:anchor distT="0" distB="0" distL="114300" distR="114300" simplePos="0" relativeHeight="251940864" behindDoc="0" locked="0" layoutInCell="1" allowOverlap="1" wp14:anchorId="133D08C0" wp14:editId="06EA0F15">
            <wp:simplePos x="0" y="0"/>
            <wp:positionH relativeFrom="column">
              <wp:posOffset>165100</wp:posOffset>
            </wp:positionH>
            <wp:positionV relativeFrom="paragraph">
              <wp:posOffset>215900</wp:posOffset>
            </wp:positionV>
            <wp:extent cx="1649730" cy="1655445"/>
            <wp:effectExtent l="0" t="0" r="127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rotWithShape="1">
                    <a:blip r:embed="rId390" cstate="email">
                      <a:extLst>
                        <a:ext uri="{28A0092B-C50C-407E-A947-70E740481C1C}">
                          <a14:useLocalDpi xmlns:a14="http://schemas.microsoft.com/office/drawing/2010/main"/>
                        </a:ext>
                      </a:extLst>
                    </a:blip>
                    <a:srcRect/>
                    <a:stretch/>
                  </pic:blipFill>
                  <pic:spPr bwMode="auto">
                    <a:xfrm>
                      <a:off x="0" y="0"/>
                      <a:ext cx="1649730" cy="1655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noProof/>
          <w:color w:val="82C9A0"/>
          <w:sz w:val="24"/>
          <w:szCs w:val="24"/>
          <w:lang w:val="en-US"/>
        </w:rPr>
        <mc:AlternateContent>
          <mc:Choice Requires="wps">
            <w:drawing>
              <wp:anchor distT="0" distB="0" distL="114300" distR="114300" simplePos="0" relativeHeight="251941888" behindDoc="0" locked="0" layoutInCell="1" allowOverlap="1" wp14:anchorId="129AA009" wp14:editId="5FE2CB9C">
                <wp:simplePos x="0" y="0"/>
                <wp:positionH relativeFrom="margin">
                  <wp:posOffset>0</wp:posOffset>
                </wp:positionH>
                <wp:positionV relativeFrom="paragraph">
                  <wp:posOffset>1904365</wp:posOffset>
                </wp:positionV>
                <wp:extent cx="1993900" cy="292100"/>
                <wp:effectExtent l="0" t="0" r="0" b="0"/>
                <wp:wrapNone/>
                <wp:docPr id="301" name="Text Box 301"/>
                <wp:cNvGraphicFramePr/>
                <a:graphic xmlns:a="http://schemas.openxmlformats.org/drawingml/2006/main">
                  <a:graphicData uri="http://schemas.microsoft.com/office/word/2010/wordprocessingShape">
                    <wps:wsp>
                      <wps:cNvSpPr txBox="1"/>
                      <wps:spPr>
                        <a:xfrm>
                          <a:off x="0" y="0"/>
                          <a:ext cx="1993900" cy="292100"/>
                        </a:xfrm>
                        <a:prstGeom prst="rect">
                          <a:avLst/>
                        </a:prstGeom>
                        <a:noFill/>
                        <a:ln w="6350">
                          <a:noFill/>
                        </a:ln>
                      </wps:spPr>
                      <wps:txbx>
                        <w:txbxContent>
                          <w:p w14:paraId="27FD0C98" w14:textId="597F89C6" w:rsidR="00D15FD8" w:rsidRPr="00D871C5" w:rsidRDefault="00D15FD8" w:rsidP="00D871C5">
                            <w:pPr>
                              <w:pStyle w:val="Heading2"/>
                              <w:jc w:val="center"/>
                              <w:rPr>
                                <w:rFonts w:ascii="Arial" w:hAnsi="Arial" w:cs="Arial"/>
                                <w:b/>
                                <w:bCs/>
                                <w:color w:val="FFFFFF" w:themeColor="background1"/>
                                <w:sz w:val="24"/>
                                <w:szCs w:val="24"/>
                                <w:lang w:val="en-US"/>
                              </w:rPr>
                            </w:pPr>
                            <w:bookmarkStart w:id="623" w:name="_Toc116057000"/>
                            <w:bookmarkStart w:id="624" w:name="_Toc119794441"/>
                            <w:bookmarkStart w:id="625" w:name="_Toc123204426"/>
                            <w:bookmarkStart w:id="626" w:name="_Toc123216517"/>
                            <w:bookmarkStart w:id="627" w:name="_Toc123217357"/>
                            <w:bookmarkStart w:id="628" w:name="_Toc123828117"/>
                            <w:bookmarkStart w:id="629" w:name="_Toc123828327"/>
                            <w:bookmarkStart w:id="630" w:name="_Toc123828523"/>
                            <w:bookmarkStart w:id="631" w:name="_Toc123912550"/>
                            <w:bookmarkStart w:id="632" w:name="_Toc123912809"/>
                            <w:bookmarkStart w:id="633" w:name="_Toc123913036"/>
                            <w:bookmarkStart w:id="634" w:name="_Toc123913327"/>
                            <w:bookmarkStart w:id="635" w:name="_Toc123913983"/>
                            <w:bookmarkStart w:id="636" w:name="_Toc125566602"/>
                            <w:r>
                              <w:rPr>
                                <w:rFonts w:ascii="Arial" w:hAnsi="Arial" w:cs="Arial"/>
                                <w:b/>
                                <w:bCs/>
                                <w:color w:val="FFFFFF" w:themeColor="background1"/>
                                <w:sz w:val="24"/>
                                <w:szCs w:val="24"/>
                                <w:lang w:val="en-US"/>
                              </w:rPr>
                              <w:t>Legislature</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AA009" id="Text Box 301" o:spid="_x0000_s1230" type="#_x0000_t202" style="position:absolute;left:0;text-align:left;margin-left:0;margin-top:149.95pt;width:157pt;height:23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" filled="f" stroked="f" strokeweight=".5pt">
                <v:textbox>
                  <w:txbxContent>
                    <w:p w14:paraId="27FD0C98" w14:textId="597F89C6" w:rsidR="00D15FD8" w:rsidRPr="00D871C5" w:rsidRDefault="00D15FD8" w:rsidP="00D871C5">
                      <w:pPr>
                        <w:pStyle w:val="Heading2"/>
                        <w:jc w:val="center"/>
                        <w:rPr>
                          <w:rFonts w:ascii="Arial" w:hAnsi="Arial" w:cs="Arial"/>
                          <w:b/>
                          <w:bCs/>
                          <w:color w:val="FFFFFF" w:themeColor="background1"/>
                          <w:sz w:val="24"/>
                          <w:szCs w:val="24"/>
                          <w:lang w:val="en-US"/>
                        </w:rPr>
                      </w:pPr>
                      <w:bookmarkStart w:id="637" w:name="_Toc116057000"/>
                      <w:bookmarkStart w:id="638" w:name="_Toc119794441"/>
                      <w:bookmarkStart w:id="639" w:name="_Toc123204426"/>
                      <w:bookmarkStart w:id="640" w:name="_Toc123216517"/>
                      <w:bookmarkStart w:id="641" w:name="_Toc123217357"/>
                      <w:bookmarkStart w:id="642" w:name="_Toc123828117"/>
                      <w:bookmarkStart w:id="643" w:name="_Toc123828327"/>
                      <w:bookmarkStart w:id="644" w:name="_Toc123828523"/>
                      <w:bookmarkStart w:id="645" w:name="_Toc123912550"/>
                      <w:bookmarkStart w:id="646" w:name="_Toc123912809"/>
                      <w:bookmarkStart w:id="647" w:name="_Toc123913036"/>
                      <w:bookmarkStart w:id="648" w:name="_Toc123913327"/>
                      <w:bookmarkStart w:id="649" w:name="_Toc123913983"/>
                      <w:bookmarkStart w:id="650" w:name="_Toc125566602"/>
                      <w:r>
                        <w:rPr>
                          <w:rFonts w:ascii="Arial" w:hAnsi="Arial" w:cs="Arial"/>
                          <w:b/>
                          <w:bCs/>
                          <w:color w:val="FFFFFF" w:themeColor="background1"/>
                          <w:sz w:val="24"/>
                          <w:szCs w:val="24"/>
                          <w:lang w:val="en-US"/>
                        </w:rPr>
                        <w:t>Legislature</w:t>
                      </w:r>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txbxContent>
                </v:textbox>
                <w10:wrap anchorx="margin"/>
              </v:shape>
            </w:pict>
          </mc:Fallback>
        </mc:AlternateContent>
      </w:r>
      <w:r w:rsidR="00EB0AA3" w:rsidRPr="00D871C5">
        <w:rPr>
          <w:rFonts w:ascii="Arial" w:hAnsi="Arial" w:cs="Arial"/>
          <w:color w:val="000000" w:themeColor="text1"/>
          <w:sz w:val="24"/>
          <w:szCs w:val="24"/>
          <w:lang w:val="en-US"/>
        </w:rPr>
        <w:t>Parliamentarians from the </w:t>
      </w:r>
      <w:r w:rsidR="00EB0AA3" w:rsidRPr="0088372C">
        <w:rPr>
          <w:rFonts w:ascii="Arial" w:hAnsi="Arial" w:cs="Arial"/>
          <w:b/>
          <w:bCs/>
          <w:color w:val="69557F"/>
          <w:sz w:val="24"/>
          <w:szCs w:val="24"/>
          <w:lang w:val="en-US"/>
        </w:rPr>
        <w:t>legislative branch</w:t>
      </w:r>
      <w:r w:rsidR="00EB0AA3" w:rsidRPr="0088372C">
        <w:rPr>
          <w:rFonts w:ascii="Arial" w:hAnsi="Arial" w:cs="Arial"/>
          <w:color w:val="69557F"/>
          <w:sz w:val="24"/>
          <w:szCs w:val="24"/>
          <w:lang w:val="en-US"/>
        </w:rPr>
        <w:t xml:space="preserve"> </w:t>
      </w:r>
      <w:r w:rsidR="00EB0AA3" w:rsidRPr="00D871C5">
        <w:rPr>
          <w:rFonts w:ascii="Arial" w:hAnsi="Arial" w:cs="Arial"/>
          <w:color w:val="000000" w:themeColor="text1"/>
          <w:sz w:val="24"/>
          <w:szCs w:val="24"/>
          <w:lang w:val="en-US"/>
        </w:rPr>
        <w:t xml:space="preserve">of government are the ultimate representatives of the public. In most democratic constitutional settings, the legislature has two key roles to play: analyzing and approving the budget proposal; and fulfilling an oversight role. Regarding fiscal policy, the legislature is responsible for providing the government with informed consent for its raising and spending of public funds. It then holds the government accountable for its spending. </w:t>
      </w:r>
      <w:r w:rsidR="00EB0AA3" w:rsidRPr="00D871C5">
        <w:rPr>
          <w:rFonts w:ascii="Arial" w:hAnsi="Arial" w:cs="Arial"/>
          <w:color w:val="000000" w:themeColor="text1"/>
          <w:sz w:val="24"/>
          <w:szCs w:val="24"/>
          <w:lang w:val="en-ZA"/>
        </w:rPr>
        <w:t>Other oversight institutions that facilitate the legislature’s function include the supreme audit institution as well as independent fiscal institutions. The roles of the various oversight institutions are discussed in detail later in this module.</w:t>
      </w:r>
    </w:p>
    <w:p w14:paraId="378FAB7F" w14:textId="4EA77D3E" w:rsidR="003838FB" w:rsidRDefault="003838FB" w:rsidP="003838FB">
      <w:pPr>
        <w:spacing w:after="360" w:line="276" w:lineRule="auto"/>
        <w:contextualSpacing/>
        <w:jc w:val="both"/>
        <w:rPr>
          <w:rFonts w:ascii="Arial" w:hAnsi="Arial" w:cs="Arial"/>
          <w:color w:val="000000" w:themeColor="text1"/>
          <w:sz w:val="24"/>
          <w:szCs w:val="24"/>
          <w:lang w:val="en-ZA"/>
        </w:rPr>
      </w:pPr>
      <w:r w:rsidRPr="00ED546D">
        <w:rPr>
          <w:rFonts w:ascii="Arial" w:hAnsi="Arial" w:cs="Arial"/>
          <w:bCs/>
          <w:noProof/>
          <w:color w:val="82C9A0"/>
          <w:sz w:val="24"/>
          <w:szCs w:val="24"/>
          <w:lang w:val="en-US"/>
        </w:rPr>
        <w:lastRenderedPageBreak/>
        <mc:AlternateContent>
          <mc:Choice Requires="wps">
            <w:drawing>
              <wp:anchor distT="0" distB="0" distL="114300" distR="114300" simplePos="0" relativeHeight="251943936" behindDoc="0" locked="0" layoutInCell="1" allowOverlap="1" wp14:anchorId="36AA1675" wp14:editId="3089F647">
                <wp:simplePos x="0" y="0"/>
                <wp:positionH relativeFrom="column">
                  <wp:posOffset>0</wp:posOffset>
                </wp:positionH>
                <wp:positionV relativeFrom="paragraph">
                  <wp:posOffset>194310</wp:posOffset>
                </wp:positionV>
                <wp:extent cx="1993900" cy="2400300"/>
                <wp:effectExtent l="0" t="0" r="0" b="0"/>
                <wp:wrapSquare wrapText="bothSides"/>
                <wp:docPr id="313" name="Rounded Rectangle 313"/>
                <wp:cNvGraphicFramePr/>
                <a:graphic xmlns:a="http://schemas.openxmlformats.org/drawingml/2006/main">
                  <a:graphicData uri="http://schemas.microsoft.com/office/word/2010/wordprocessingShape">
                    <wps:wsp>
                      <wps:cNvSpPr/>
                      <wps:spPr>
                        <a:xfrm>
                          <a:off x="0" y="0"/>
                          <a:ext cx="1993900" cy="2400300"/>
                        </a:xfrm>
                        <a:prstGeom prst="roundRect">
                          <a:avLst>
                            <a:gd name="adj" fmla="val 3291"/>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2931419" id="Rounded Rectangle 313" o:spid="_x0000_s1026" style="position:absolute;margin-left:0;margin-top:15.3pt;width:157pt;height:18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" fillcolor="#16988a" stroked="f" strokeweight="1pt">
                <v:stroke joinstyle="miter"/>
                <w10:wrap type="square"/>
              </v:roundrect>
            </w:pict>
          </mc:Fallback>
        </mc:AlternateContent>
      </w:r>
    </w:p>
    <w:p w14:paraId="550F12A4" w14:textId="19B6A8FD" w:rsidR="00E167C8" w:rsidRDefault="0088372C" w:rsidP="00D871C5">
      <w:pPr>
        <w:spacing w:after="160" w:line="276" w:lineRule="auto"/>
        <w:contextualSpacing/>
        <w:jc w:val="both"/>
        <w:rPr>
          <w:rFonts w:ascii="Arial" w:hAnsi="Arial" w:cs="Arial"/>
          <w:sz w:val="24"/>
          <w:szCs w:val="24"/>
        </w:rPr>
      </w:pPr>
      <w:r>
        <w:rPr>
          <w:rFonts w:ascii="Arial" w:hAnsi="Arial" w:cs="Arial"/>
          <w:bCs/>
          <w:noProof/>
          <w:color w:val="82C9A0"/>
          <w:sz w:val="24"/>
          <w:szCs w:val="24"/>
          <w:lang w:val="en-US"/>
        </w:rPr>
        <w:drawing>
          <wp:anchor distT="0" distB="0" distL="114300" distR="114300" simplePos="0" relativeHeight="251947008" behindDoc="0" locked="0" layoutInCell="1" allowOverlap="1" wp14:anchorId="116C3B4F" wp14:editId="036EE8CE">
            <wp:simplePos x="0" y="0"/>
            <wp:positionH relativeFrom="column">
              <wp:posOffset>133350</wp:posOffset>
            </wp:positionH>
            <wp:positionV relativeFrom="paragraph">
              <wp:posOffset>193675</wp:posOffset>
            </wp:positionV>
            <wp:extent cx="1694180" cy="1655445"/>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rotWithShape="1">
                    <a:blip r:embed="rId391" cstate="email">
                      <a:extLst>
                        <a:ext uri="{28A0092B-C50C-407E-A947-70E740481C1C}">
                          <a14:useLocalDpi xmlns:a14="http://schemas.microsoft.com/office/drawing/2010/main"/>
                        </a:ext>
                      </a:extLst>
                    </a:blip>
                    <a:srcRect/>
                    <a:stretch/>
                  </pic:blipFill>
                  <pic:spPr bwMode="auto">
                    <a:xfrm>
                      <a:off x="0" y="0"/>
                      <a:ext cx="1694180" cy="1655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noProof/>
          <w:color w:val="82C9A0"/>
          <w:sz w:val="24"/>
          <w:szCs w:val="24"/>
          <w:lang w:val="en-US"/>
        </w:rPr>
        <mc:AlternateContent>
          <mc:Choice Requires="wps">
            <w:drawing>
              <wp:anchor distT="0" distB="0" distL="114300" distR="114300" simplePos="0" relativeHeight="251946495" behindDoc="0" locked="0" layoutInCell="1" allowOverlap="1" wp14:anchorId="1C79AE7C" wp14:editId="69E05453">
                <wp:simplePos x="0" y="0"/>
                <wp:positionH relativeFrom="margin">
                  <wp:posOffset>0</wp:posOffset>
                </wp:positionH>
                <wp:positionV relativeFrom="paragraph">
                  <wp:posOffset>1910080</wp:posOffset>
                </wp:positionV>
                <wp:extent cx="1993900" cy="355600"/>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1993900" cy="355600"/>
                        </a:xfrm>
                        <a:prstGeom prst="rect">
                          <a:avLst/>
                        </a:prstGeom>
                        <a:noFill/>
                        <a:ln w="6350">
                          <a:noFill/>
                        </a:ln>
                      </wps:spPr>
                      <wps:txbx>
                        <w:txbxContent>
                          <w:p w14:paraId="055D4535" w14:textId="03FCC197" w:rsidR="00D15FD8" w:rsidRPr="00D871C5" w:rsidRDefault="00D15FD8" w:rsidP="00D871C5">
                            <w:pPr>
                              <w:pStyle w:val="Heading2"/>
                              <w:jc w:val="center"/>
                              <w:rPr>
                                <w:rFonts w:ascii="Arial" w:hAnsi="Arial" w:cs="Arial"/>
                                <w:b/>
                                <w:bCs/>
                                <w:color w:val="FFFFFF" w:themeColor="background1"/>
                                <w:sz w:val="24"/>
                                <w:szCs w:val="24"/>
                                <w:vertAlign w:val="superscript"/>
                              </w:rPr>
                            </w:pPr>
                            <w:bookmarkStart w:id="651" w:name="_Toc116057001"/>
                            <w:bookmarkStart w:id="652" w:name="_Toc119794442"/>
                            <w:bookmarkStart w:id="653" w:name="_Toc123204427"/>
                            <w:bookmarkStart w:id="654" w:name="_Toc123216518"/>
                            <w:bookmarkStart w:id="655" w:name="_Toc123217358"/>
                            <w:bookmarkStart w:id="656" w:name="_Toc123828118"/>
                            <w:bookmarkStart w:id="657" w:name="_Toc123828328"/>
                            <w:bookmarkStart w:id="658" w:name="_Toc123828524"/>
                            <w:bookmarkStart w:id="659" w:name="_Toc123912551"/>
                            <w:bookmarkStart w:id="660" w:name="_Toc123912810"/>
                            <w:bookmarkStart w:id="661" w:name="_Toc123913037"/>
                            <w:bookmarkStart w:id="662" w:name="_Toc123913328"/>
                            <w:bookmarkStart w:id="663" w:name="_Toc123913984"/>
                            <w:bookmarkStart w:id="664" w:name="_Toc125566603"/>
                            <w:r w:rsidRPr="00D871C5">
                              <w:rPr>
                                <w:rFonts w:ascii="Arial" w:hAnsi="Arial" w:cs="Arial"/>
                                <w:b/>
                                <w:bCs/>
                                <w:color w:val="FFFFFF" w:themeColor="background1"/>
                                <w:sz w:val="24"/>
                                <w:szCs w:val="24"/>
                              </w:rPr>
                              <w:t>Judiciary</w:t>
                            </w:r>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p>
                          <w:p w14:paraId="78D99001" w14:textId="7415DA1B" w:rsidR="00D15FD8" w:rsidRPr="00D871C5" w:rsidRDefault="00D15FD8" w:rsidP="00D871C5">
                            <w:pPr>
                              <w:pStyle w:val="Heading2"/>
                              <w:jc w:val="cente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9AE7C" id="Text Box 303" o:spid="_x0000_s1231" type="#_x0000_t202" style="position:absolute;left:0;text-align:left;margin-left:0;margin-top:150.4pt;width:157pt;height:28pt;z-index:251946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" filled="f" stroked="f" strokeweight=".5pt">
                <v:textbox>
                  <w:txbxContent>
                    <w:p w14:paraId="055D4535" w14:textId="03FCC197" w:rsidR="00D15FD8" w:rsidRPr="00D871C5" w:rsidRDefault="00D15FD8" w:rsidP="00D871C5">
                      <w:pPr>
                        <w:pStyle w:val="Heading2"/>
                        <w:jc w:val="center"/>
                        <w:rPr>
                          <w:rFonts w:ascii="Arial" w:hAnsi="Arial" w:cs="Arial"/>
                          <w:b/>
                          <w:bCs/>
                          <w:color w:val="FFFFFF" w:themeColor="background1"/>
                          <w:sz w:val="24"/>
                          <w:szCs w:val="24"/>
                          <w:vertAlign w:val="superscript"/>
                        </w:rPr>
                      </w:pPr>
                      <w:bookmarkStart w:id="665" w:name="_Toc116057001"/>
                      <w:bookmarkStart w:id="666" w:name="_Toc119794442"/>
                      <w:bookmarkStart w:id="667" w:name="_Toc123204427"/>
                      <w:bookmarkStart w:id="668" w:name="_Toc123216518"/>
                      <w:bookmarkStart w:id="669" w:name="_Toc123217358"/>
                      <w:bookmarkStart w:id="670" w:name="_Toc123828118"/>
                      <w:bookmarkStart w:id="671" w:name="_Toc123828328"/>
                      <w:bookmarkStart w:id="672" w:name="_Toc123828524"/>
                      <w:bookmarkStart w:id="673" w:name="_Toc123912551"/>
                      <w:bookmarkStart w:id="674" w:name="_Toc123912810"/>
                      <w:bookmarkStart w:id="675" w:name="_Toc123913037"/>
                      <w:bookmarkStart w:id="676" w:name="_Toc123913328"/>
                      <w:bookmarkStart w:id="677" w:name="_Toc123913984"/>
                      <w:bookmarkStart w:id="678" w:name="_Toc125566603"/>
                      <w:r w:rsidRPr="00D871C5">
                        <w:rPr>
                          <w:rFonts w:ascii="Arial" w:hAnsi="Arial" w:cs="Arial"/>
                          <w:b/>
                          <w:bCs/>
                          <w:color w:val="FFFFFF" w:themeColor="background1"/>
                          <w:sz w:val="24"/>
                          <w:szCs w:val="24"/>
                        </w:rPr>
                        <w:t>Judiciary</w:t>
                      </w:r>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p w14:paraId="78D99001" w14:textId="7415DA1B" w:rsidR="00D15FD8" w:rsidRPr="00D871C5" w:rsidRDefault="00D15FD8" w:rsidP="00D871C5">
                      <w:pPr>
                        <w:pStyle w:val="Heading2"/>
                        <w:jc w:val="center"/>
                        <w:rPr>
                          <w:rFonts w:ascii="Arial" w:hAnsi="Arial" w:cs="Arial"/>
                          <w:b/>
                          <w:bCs/>
                          <w:color w:val="FFFFFF" w:themeColor="background1"/>
                          <w:sz w:val="24"/>
                          <w:szCs w:val="24"/>
                          <w:lang w:val="en-US"/>
                        </w:rPr>
                      </w:pPr>
                    </w:p>
                  </w:txbxContent>
                </v:textbox>
                <w10:wrap anchorx="margin"/>
              </v:shape>
            </w:pict>
          </mc:Fallback>
        </mc:AlternateContent>
      </w:r>
      <w:r w:rsidR="00EB0AA3" w:rsidRPr="00D871C5">
        <w:rPr>
          <w:rFonts w:ascii="Arial" w:hAnsi="Arial" w:cs="Arial"/>
          <w:color w:val="000000" w:themeColor="text1"/>
          <w:sz w:val="24"/>
          <w:szCs w:val="24"/>
          <w:lang w:val="en-ZA"/>
        </w:rPr>
        <w:t xml:space="preserve">The </w:t>
      </w:r>
      <w:r w:rsidR="00EB0AA3" w:rsidRPr="0088372C">
        <w:rPr>
          <w:rFonts w:ascii="Arial" w:hAnsi="Arial" w:cs="Arial"/>
          <w:b/>
          <w:bCs/>
          <w:color w:val="69557F"/>
          <w:sz w:val="24"/>
          <w:szCs w:val="24"/>
          <w:lang w:val="en-ZA"/>
        </w:rPr>
        <w:t>judiciary</w:t>
      </w:r>
      <w:r w:rsidR="002241FA" w:rsidRPr="002241FA">
        <w:rPr>
          <w:rFonts w:ascii="Arial" w:hAnsi="Arial" w:cs="Arial"/>
          <w:b/>
          <w:bCs/>
          <w:color w:val="69557F"/>
          <w:sz w:val="24"/>
          <w:szCs w:val="24"/>
          <w:vertAlign w:val="superscript"/>
          <w:lang w:val="en-ZA"/>
        </w:rPr>
        <w:t>20</w:t>
      </w:r>
      <w:r w:rsidR="00EB0AA3" w:rsidRPr="0088372C">
        <w:rPr>
          <w:rFonts w:ascii="Arial" w:hAnsi="Arial" w:cs="Arial"/>
          <w:b/>
          <w:bCs/>
          <w:color w:val="69557F"/>
          <w:sz w:val="24"/>
          <w:szCs w:val="24"/>
          <w:lang w:val="en-ZA"/>
        </w:rPr>
        <w:t xml:space="preserve"> </w:t>
      </w:r>
      <w:r w:rsidR="00EB0AA3" w:rsidRPr="00D871C5">
        <w:rPr>
          <w:rFonts w:ascii="Arial" w:hAnsi="Arial" w:cs="Arial"/>
          <w:color w:val="000000" w:themeColor="text1"/>
          <w:sz w:val="24"/>
          <w:szCs w:val="24"/>
          <w:lang w:val="en-ZA"/>
        </w:rPr>
        <w:t xml:space="preserve">plays a role in three main areas: Firstly, </w:t>
      </w:r>
      <w:r w:rsidR="00EB0AA3" w:rsidRPr="00D871C5">
        <w:rPr>
          <w:rFonts w:ascii="Arial" w:hAnsi="Arial" w:cs="Arial"/>
          <w:sz w:val="24"/>
          <w:szCs w:val="24"/>
        </w:rPr>
        <w:t xml:space="preserve">interpreting information disclosure laws and rules, that is what information has to be </w:t>
      </w:r>
      <w:proofErr w:type="spellStart"/>
      <w:r w:rsidR="00EB0AA3" w:rsidRPr="00D871C5">
        <w:rPr>
          <w:rFonts w:ascii="Arial" w:hAnsi="Arial" w:cs="Arial"/>
          <w:sz w:val="24"/>
          <w:szCs w:val="24"/>
        </w:rPr>
        <w:t>publically</w:t>
      </w:r>
      <w:proofErr w:type="spellEnd"/>
      <w:r w:rsidR="00EB0AA3" w:rsidRPr="00D871C5">
        <w:rPr>
          <w:rFonts w:ascii="Arial" w:hAnsi="Arial" w:cs="Arial"/>
          <w:sz w:val="24"/>
          <w:szCs w:val="24"/>
        </w:rPr>
        <w:t xml:space="preserve"> released. An example of this comes from Mexico, where </w:t>
      </w:r>
      <w:proofErr w:type="spellStart"/>
      <w:r w:rsidR="00EB0AA3" w:rsidRPr="00D871C5">
        <w:rPr>
          <w:rFonts w:ascii="Arial" w:hAnsi="Arial" w:cs="Arial"/>
          <w:sz w:val="24"/>
          <w:szCs w:val="24"/>
        </w:rPr>
        <w:t>Fundar</w:t>
      </w:r>
      <w:proofErr w:type="spellEnd"/>
      <w:r w:rsidR="00EB0AA3" w:rsidRPr="00D871C5">
        <w:rPr>
          <w:rFonts w:ascii="Arial" w:hAnsi="Arial" w:cs="Arial"/>
          <w:sz w:val="24"/>
          <w:szCs w:val="24"/>
        </w:rPr>
        <w:t>, a CSO, </w:t>
      </w:r>
      <w:hyperlink r:id="rId392" w:tgtFrame="_blank" w:history="1">
        <w:r w:rsidR="00EB0AA3" w:rsidRPr="00D871C5">
          <w:rPr>
            <w:rFonts w:ascii="Arial" w:hAnsi="Arial" w:cs="Arial"/>
            <w:sz w:val="24"/>
            <w:szCs w:val="24"/>
          </w:rPr>
          <w:t>took the government to court</w:t>
        </w:r>
      </w:hyperlink>
      <w:r w:rsidR="00EB0AA3" w:rsidRPr="00D871C5">
        <w:rPr>
          <w:rFonts w:ascii="Arial" w:hAnsi="Arial" w:cs="Arial"/>
          <w:sz w:val="24"/>
          <w:szCs w:val="24"/>
        </w:rPr>
        <w:t> over its failure to release information about the beneficiaries of tax amnesties, eventually winning on the basis that this information was protected by the constitutional right of access to information. In such situations, civic actors have forced courts into balancing exercises, weighing the rights of government and private citizens against the public interest in knowing about and participating in the formulation and execution of fiscal policies</w:t>
      </w:r>
      <w:r w:rsidR="00EB0AA3" w:rsidRPr="00D871C5">
        <w:rPr>
          <w:rFonts w:ascii="Arial" w:hAnsi="Arial" w:cs="Arial"/>
          <w:sz w:val="24"/>
          <w:szCs w:val="24"/>
          <w:vertAlign w:val="superscript"/>
        </w:rPr>
        <w:footnoteReference w:id="21"/>
      </w:r>
      <w:r w:rsidR="00EB0AA3" w:rsidRPr="00D871C5">
        <w:rPr>
          <w:rFonts w:ascii="Arial" w:hAnsi="Arial" w:cs="Arial"/>
          <w:sz w:val="24"/>
          <w:szCs w:val="24"/>
        </w:rPr>
        <w:t>. The second main area relates to adjudicating conflicts between the other branches of government about control and disclosure</w:t>
      </w:r>
      <w:r w:rsidR="00EB0AA3" w:rsidRPr="00D871C5">
        <w:rPr>
          <w:rFonts w:ascii="Arial" w:hAnsi="Arial" w:cs="Arial"/>
          <w:sz w:val="24"/>
          <w:szCs w:val="24"/>
          <w:vertAlign w:val="superscript"/>
        </w:rPr>
        <w:footnoteReference w:id="22"/>
      </w:r>
      <w:r w:rsidR="00EB0AA3" w:rsidRPr="00D871C5">
        <w:rPr>
          <w:rFonts w:ascii="Arial" w:hAnsi="Arial" w:cs="Arial"/>
          <w:sz w:val="24"/>
          <w:szCs w:val="24"/>
        </w:rPr>
        <w:t xml:space="preserve">. The case from Mexico cited above also relates to this, in that it pertained to a conflict between the Instituto Nacional de </w:t>
      </w:r>
      <w:proofErr w:type="spellStart"/>
      <w:r w:rsidR="00EB0AA3" w:rsidRPr="00D871C5">
        <w:rPr>
          <w:rFonts w:ascii="Arial" w:hAnsi="Arial" w:cs="Arial"/>
          <w:sz w:val="24"/>
          <w:szCs w:val="24"/>
        </w:rPr>
        <w:t>Transparencia</w:t>
      </w:r>
      <w:proofErr w:type="spellEnd"/>
      <w:r w:rsidR="00EB0AA3" w:rsidRPr="00D871C5">
        <w:rPr>
          <w:rFonts w:ascii="Arial" w:hAnsi="Arial" w:cs="Arial"/>
          <w:sz w:val="24"/>
          <w:szCs w:val="24"/>
        </w:rPr>
        <w:t xml:space="preserve">, </w:t>
      </w:r>
      <w:proofErr w:type="spellStart"/>
      <w:r w:rsidR="00EB0AA3" w:rsidRPr="00D871C5">
        <w:rPr>
          <w:rFonts w:ascii="Arial" w:hAnsi="Arial" w:cs="Arial"/>
          <w:sz w:val="24"/>
          <w:szCs w:val="24"/>
        </w:rPr>
        <w:t>Acceso</w:t>
      </w:r>
      <w:proofErr w:type="spellEnd"/>
      <w:r w:rsidR="00EB0AA3" w:rsidRPr="00D871C5">
        <w:rPr>
          <w:rFonts w:ascii="Arial" w:hAnsi="Arial" w:cs="Arial"/>
          <w:sz w:val="24"/>
          <w:szCs w:val="24"/>
        </w:rPr>
        <w:t xml:space="preserve"> a la </w:t>
      </w:r>
      <w:proofErr w:type="spellStart"/>
      <w:r w:rsidR="00EB0AA3" w:rsidRPr="00D871C5">
        <w:rPr>
          <w:rFonts w:ascii="Arial" w:hAnsi="Arial" w:cs="Arial"/>
          <w:bCs/>
          <w:sz w:val="24"/>
          <w:szCs w:val="24"/>
        </w:rPr>
        <w:t>Información</w:t>
      </w:r>
      <w:proofErr w:type="spellEnd"/>
      <w:r w:rsidR="00EB0AA3" w:rsidRPr="00D871C5">
        <w:rPr>
          <w:rFonts w:ascii="Arial" w:hAnsi="Arial" w:cs="Arial"/>
          <w:sz w:val="24"/>
          <w:szCs w:val="24"/>
        </w:rPr>
        <w:t xml:space="preserve"> y </w:t>
      </w:r>
      <w:proofErr w:type="spellStart"/>
      <w:r w:rsidR="00EB0AA3" w:rsidRPr="00D871C5">
        <w:rPr>
          <w:rFonts w:ascii="Arial" w:hAnsi="Arial" w:cs="Arial"/>
          <w:sz w:val="24"/>
          <w:szCs w:val="24"/>
        </w:rPr>
        <w:t>P</w:t>
      </w:r>
      <w:r w:rsidR="00EB0AA3" w:rsidRPr="00D871C5">
        <w:rPr>
          <w:rFonts w:ascii="Arial" w:hAnsi="Arial" w:cs="Arial"/>
          <w:bCs/>
          <w:sz w:val="24"/>
          <w:szCs w:val="24"/>
        </w:rPr>
        <w:t>rotección</w:t>
      </w:r>
      <w:proofErr w:type="spellEnd"/>
      <w:r w:rsidR="00EB0AA3" w:rsidRPr="00D871C5">
        <w:rPr>
          <w:rFonts w:ascii="Arial" w:hAnsi="Arial" w:cs="Arial"/>
          <w:sz w:val="24"/>
          <w:szCs w:val="24"/>
        </w:rPr>
        <w:t xml:space="preserve"> de </w:t>
      </w:r>
      <w:proofErr w:type="spellStart"/>
      <w:r w:rsidR="00EB0AA3" w:rsidRPr="00D871C5">
        <w:rPr>
          <w:rFonts w:ascii="Arial" w:hAnsi="Arial" w:cs="Arial"/>
          <w:sz w:val="24"/>
          <w:szCs w:val="24"/>
        </w:rPr>
        <w:t>Datos</w:t>
      </w:r>
      <w:proofErr w:type="spellEnd"/>
      <w:r w:rsidR="00EB0AA3" w:rsidRPr="00D871C5">
        <w:rPr>
          <w:rFonts w:ascii="Arial" w:hAnsi="Arial" w:cs="Arial"/>
          <w:sz w:val="24"/>
          <w:szCs w:val="24"/>
        </w:rPr>
        <w:t xml:space="preserve"> </w:t>
      </w:r>
      <w:proofErr w:type="spellStart"/>
      <w:r w:rsidR="00EB0AA3" w:rsidRPr="00D871C5">
        <w:rPr>
          <w:rFonts w:ascii="Arial" w:hAnsi="Arial" w:cs="Arial"/>
          <w:sz w:val="24"/>
          <w:szCs w:val="24"/>
        </w:rPr>
        <w:t>Personales</w:t>
      </w:r>
      <w:proofErr w:type="spellEnd"/>
      <w:r w:rsidR="00EB0AA3" w:rsidRPr="00D871C5">
        <w:rPr>
          <w:rFonts w:ascii="Arial" w:hAnsi="Arial" w:cs="Arial"/>
          <w:sz w:val="24"/>
          <w:szCs w:val="24"/>
        </w:rPr>
        <w:t xml:space="preserve"> (INAI)</w:t>
      </w:r>
      <w:r w:rsidR="00EB0AA3" w:rsidRPr="00D871C5">
        <w:rPr>
          <w:rFonts w:ascii="Arial" w:hAnsi="Arial" w:cs="Arial"/>
          <w:bCs/>
          <w:sz w:val="24"/>
          <w:szCs w:val="24"/>
          <w:lang w:val="en-ZA"/>
        </w:rPr>
        <w:t xml:space="preserve">, </w:t>
      </w:r>
      <w:r w:rsidR="00EB0AA3" w:rsidRPr="00D871C5">
        <w:rPr>
          <w:rFonts w:ascii="Arial" w:hAnsi="Arial" w:cs="Arial"/>
          <w:bCs/>
          <w:sz w:val="24"/>
          <w:szCs w:val="24"/>
        </w:rPr>
        <w:t xml:space="preserve">an autonomous constitutional body </w:t>
      </w:r>
      <w:r w:rsidR="00EB0AA3" w:rsidRPr="00D871C5">
        <w:rPr>
          <w:rFonts w:ascii="Arial" w:hAnsi="Arial" w:cs="Arial"/>
          <w:sz w:val="24"/>
          <w:szCs w:val="24"/>
        </w:rPr>
        <w:t xml:space="preserve">and the federal tax revenue authority over what information ought to be </w:t>
      </w:r>
      <w:proofErr w:type="spellStart"/>
      <w:r w:rsidR="00EB0AA3" w:rsidRPr="00D871C5">
        <w:rPr>
          <w:rFonts w:ascii="Arial" w:hAnsi="Arial" w:cs="Arial"/>
          <w:sz w:val="24"/>
          <w:szCs w:val="24"/>
        </w:rPr>
        <w:t>publically</w:t>
      </w:r>
      <w:proofErr w:type="spellEnd"/>
      <w:r w:rsidR="00EB0AA3" w:rsidRPr="00D871C5">
        <w:rPr>
          <w:rFonts w:ascii="Arial" w:hAnsi="Arial" w:cs="Arial"/>
          <w:sz w:val="24"/>
          <w:szCs w:val="24"/>
        </w:rPr>
        <w:t xml:space="preserve"> released. </w:t>
      </w:r>
    </w:p>
    <w:p w14:paraId="5CB4F909" w14:textId="75718E10" w:rsidR="00E167C8" w:rsidRDefault="00E167C8" w:rsidP="00D871C5">
      <w:pPr>
        <w:spacing w:after="160" w:line="276" w:lineRule="auto"/>
        <w:contextualSpacing/>
        <w:jc w:val="both"/>
        <w:rPr>
          <w:rFonts w:ascii="Arial" w:hAnsi="Arial" w:cs="Arial"/>
          <w:sz w:val="24"/>
          <w:szCs w:val="24"/>
        </w:rPr>
      </w:pPr>
    </w:p>
    <w:p w14:paraId="6F49C589" w14:textId="22C833A2" w:rsidR="00EB0AA3" w:rsidRDefault="00E167C8" w:rsidP="00D871C5">
      <w:pPr>
        <w:spacing w:after="160" w:line="276" w:lineRule="auto"/>
        <w:contextualSpacing/>
        <w:jc w:val="both"/>
        <w:rPr>
          <w:rFonts w:ascii="Arial" w:hAnsi="Arial" w:cs="Arial"/>
          <w:sz w:val="24"/>
          <w:szCs w:val="24"/>
        </w:rPr>
      </w:pPr>
      <w:r>
        <w:fldChar w:fldCharType="begin"/>
      </w:r>
      <w:r>
        <w:instrText xml:space="preserve"> INCLUDEPICTURE "https://upload.wikimedia.org/wikipedia/commons/thumb/a/af/Flag_of_South_Africa.svg/510px-Flag_of_South_Africa.svg.png" \* MERGEFORMATINET </w:instrText>
      </w:r>
      <w:r>
        <w:fldChar w:fldCharType="end"/>
      </w:r>
      <w:r w:rsidR="00EB0AA3" w:rsidRPr="00D871C5">
        <w:rPr>
          <w:rFonts w:ascii="Arial" w:hAnsi="Arial" w:cs="Arial"/>
          <w:sz w:val="24"/>
          <w:szCs w:val="24"/>
        </w:rPr>
        <w:t xml:space="preserve">Another example comes from a court case between the </w:t>
      </w:r>
      <w:hyperlink r:id="rId393" w:history="1">
        <w:r w:rsidR="00EB0AA3" w:rsidRPr="00D871C5">
          <w:rPr>
            <w:rFonts w:ascii="Arial" w:hAnsi="Arial" w:cs="Arial"/>
            <w:color w:val="0563C1" w:themeColor="hyperlink"/>
            <w:sz w:val="24"/>
            <w:szCs w:val="24"/>
            <w:u w:val="single"/>
          </w:rPr>
          <w:t>Tax Justice Network Africa</w:t>
        </w:r>
      </w:hyperlink>
      <w:r w:rsidR="00EB0AA3" w:rsidRPr="00D871C5">
        <w:rPr>
          <w:rFonts w:ascii="Arial" w:hAnsi="Arial" w:cs="Arial"/>
          <w:sz w:val="24"/>
          <w:szCs w:val="24"/>
        </w:rPr>
        <w:t xml:space="preserve"> and the Government of Kenya over the extent to which the executive has to share the details of a tax treaty with Parliament before its approval. Finally, the third area the judiciary plays a key role in, relates to the use of </w:t>
      </w:r>
      <w:r>
        <w:fldChar w:fldCharType="begin"/>
      </w:r>
      <w:r>
        <w:instrText xml:space="preserve"> INCLUDEPICTURE "https://upload.wikimedia.org/wikipedia/commons/thumb/4/49/Flag_of_Kenya.svg/510px-Flag_of_Kenya.svg.png" \* MERGEFORMATINET </w:instrText>
      </w:r>
      <w:r>
        <w:fldChar w:fldCharType="end"/>
      </w:r>
      <w:r w:rsidR="00EB0AA3" w:rsidRPr="00D871C5">
        <w:rPr>
          <w:rFonts w:ascii="Arial" w:hAnsi="Arial" w:cs="Arial"/>
          <w:sz w:val="24"/>
          <w:szCs w:val="24"/>
        </w:rPr>
        <w:t>administrative law to ensure that agencies treat people fairly and transparently and document public finance-related decisions in the administrative record. Administrative law is concerned with the use of power by government agencies and the conditions under which agency action can be considered reasonable, rather than arbitrary</w:t>
      </w:r>
      <w:r w:rsidR="00EB0AA3" w:rsidRPr="00D871C5">
        <w:rPr>
          <w:rFonts w:ascii="Arial" w:hAnsi="Arial" w:cs="Arial"/>
          <w:sz w:val="24"/>
          <w:szCs w:val="24"/>
          <w:vertAlign w:val="superscript"/>
        </w:rPr>
        <w:footnoteReference w:id="23"/>
      </w:r>
      <w:r w:rsidR="00EB0AA3" w:rsidRPr="00D871C5">
        <w:rPr>
          <w:rFonts w:ascii="Arial" w:hAnsi="Arial" w:cs="Arial"/>
          <w:sz w:val="24"/>
          <w:szCs w:val="24"/>
        </w:rPr>
        <w:t>.</w:t>
      </w:r>
    </w:p>
    <w:p w14:paraId="1142773F" w14:textId="1024262E" w:rsidR="00D871C5" w:rsidRDefault="00224CCD" w:rsidP="00D871C5">
      <w:pPr>
        <w:spacing w:after="160"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932672" behindDoc="1" locked="0" layoutInCell="1" allowOverlap="1" wp14:anchorId="46BA5909" wp14:editId="0123AD60">
            <wp:simplePos x="0" y="0"/>
            <wp:positionH relativeFrom="column">
              <wp:posOffset>0</wp:posOffset>
            </wp:positionH>
            <wp:positionV relativeFrom="paragraph">
              <wp:posOffset>74930</wp:posOffset>
            </wp:positionV>
            <wp:extent cx="6645910" cy="93472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394" cstate="email">
                      <a:extLst>
                        <a:ext uri="{28A0092B-C50C-407E-A947-70E740481C1C}">
                          <a14:useLocalDpi xmlns:a14="http://schemas.microsoft.com/office/drawing/2010/main"/>
                        </a:ext>
                      </a:extLst>
                    </a:blip>
                    <a:stretch>
                      <a:fillRect/>
                    </a:stretch>
                  </pic:blipFill>
                  <pic:spPr>
                    <a:xfrm>
                      <a:off x="0" y="0"/>
                      <a:ext cx="6645910" cy="934720"/>
                    </a:xfrm>
                    <a:prstGeom prst="rect">
                      <a:avLst/>
                    </a:prstGeom>
                  </pic:spPr>
                </pic:pic>
              </a:graphicData>
            </a:graphic>
            <wp14:sizeRelH relativeFrom="page">
              <wp14:pctWidth>0</wp14:pctWidth>
            </wp14:sizeRelH>
            <wp14:sizeRelV relativeFrom="page">
              <wp14:pctHeight>0</wp14:pctHeight>
            </wp14:sizeRelV>
          </wp:anchor>
        </w:drawing>
      </w:r>
    </w:p>
    <w:p w14:paraId="27709774" w14:textId="07B14A37" w:rsidR="00D871C5" w:rsidRPr="00D871C5" w:rsidRDefault="00224CCD" w:rsidP="00D871C5">
      <w:pPr>
        <w:spacing w:after="160"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35744" behindDoc="0" locked="0" layoutInCell="1" allowOverlap="1" wp14:anchorId="105F4D60" wp14:editId="497AEFA7">
                <wp:simplePos x="0" y="0"/>
                <wp:positionH relativeFrom="column">
                  <wp:posOffset>1168400</wp:posOffset>
                </wp:positionH>
                <wp:positionV relativeFrom="paragraph">
                  <wp:posOffset>120015</wp:posOffset>
                </wp:positionV>
                <wp:extent cx="4267200" cy="444500"/>
                <wp:effectExtent l="0" t="0" r="0" b="0"/>
                <wp:wrapNone/>
                <wp:docPr id="308" name="Text Box 308"/>
                <wp:cNvGraphicFramePr/>
                <a:graphic xmlns:a="http://schemas.openxmlformats.org/drawingml/2006/main">
                  <a:graphicData uri="http://schemas.microsoft.com/office/word/2010/wordprocessingShape">
                    <wps:wsp>
                      <wps:cNvSpPr txBox="1"/>
                      <wps:spPr>
                        <a:xfrm>
                          <a:off x="0" y="0"/>
                          <a:ext cx="4267200" cy="444500"/>
                        </a:xfrm>
                        <a:prstGeom prst="rect">
                          <a:avLst/>
                        </a:prstGeom>
                        <a:solidFill>
                          <a:srgbClr val="F27E20"/>
                        </a:solidFill>
                        <a:ln w="6350">
                          <a:noFill/>
                        </a:ln>
                      </wps:spPr>
                      <wps:txbx>
                        <w:txbxContent>
                          <w:p w14:paraId="0D6D8D48" w14:textId="2F38A488"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679" w:name="_Toc116057002"/>
                            <w:bookmarkStart w:id="680" w:name="_Toc119794443"/>
                            <w:bookmarkStart w:id="681" w:name="_Toc123204428"/>
                            <w:bookmarkStart w:id="682" w:name="_Toc123216519"/>
                            <w:bookmarkStart w:id="683" w:name="_Toc123217359"/>
                            <w:bookmarkStart w:id="684" w:name="_Toc123828119"/>
                            <w:bookmarkStart w:id="685" w:name="_Toc123828329"/>
                            <w:bookmarkStart w:id="686" w:name="_Toc123828525"/>
                            <w:bookmarkStart w:id="687" w:name="_Toc123912552"/>
                            <w:bookmarkStart w:id="688" w:name="_Toc123912811"/>
                            <w:bookmarkStart w:id="689" w:name="_Toc123913038"/>
                            <w:bookmarkStart w:id="690" w:name="_Toc123913329"/>
                            <w:bookmarkStart w:id="691" w:name="_Toc123913985"/>
                            <w:bookmarkStart w:id="692" w:name="_Toc125566604"/>
                            <w:r w:rsidRPr="0053337F">
                              <w:rPr>
                                <w:rFonts w:ascii="Arial" w:hAnsi="Arial" w:cs="Arial"/>
                                <w:b/>
                                <w:bCs/>
                                <w:color w:val="FFFFFF" w:themeColor="background1"/>
                                <w:sz w:val="36"/>
                                <w:szCs w:val="36"/>
                                <w:lang w:val="en-US"/>
                              </w:rPr>
                              <w:t>Media</w:t>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5F4D60" id="Text Box 308" o:spid="_x0000_s1232" type="#_x0000_t202" style="position:absolute;left:0;text-align:left;margin-left:92pt;margin-top:9.45pt;width:336pt;height:35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" fillcolor="#f27e20" stroked="f" strokeweight=".5pt">
                <v:textbox>
                  <w:txbxContent>
                    <w:p w14:paraId="0D6D8D48" w14:textId="2F38A488"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693" w:name="_Toc116057002"/>
                      <w:bookmarkStart w:id="694" w:name="_Toc119794443"/>
                      <w:bookmarkStart w:id="695" w:name="_Toc123204428"/>
                      <w:bookmarkStart w:id="696" w:name="_Toc123216519"/>
                      <w:bookmarkStart w:id="697" w:name="_Toc123217359"/>
                      <w:bookmarkStart w:id="698" w:name="_Toc123828119"/>
                      <w:bookmarkStart w:id="699" w:name="_Toc123828329"/>
                      <w:bookmarkStart w:id="700" w:name="_Toc123828525"/>
                      <w:bookmarkStart w:id="701" w:name="_Toc123912552"/>
                      <w:bookmarkStart w:id="702" w:name="_Toc123912811"/>
                      <w:bookmarkStart w:id="703" w:name="_Toc123913038"/>
                      <w:bookmarkStart w:id="704" w:name="_Toc123913329"/>
                      <w:bookmarkStart w:id="705" w:name="_Toc123913985"/>
                      <w:bookmarkStart w:id="706" w:name="_Toc125566604"/>
                      <w:r w:rsidRPr="0053337F">
                        <w:rPr>
                          <w:rFonts w:ascii="Arial" w:hAnsi="Arial" w:cs="Arial"/>
                          <w:b/>
                          <w:bCs/>
                          <w:color w:val="FFFFFF" w:themeColor="background1"/>
                          <w:sz w:val="36"/>
                          <w:szCs w:val="36"/>
                          <w:lang w:val="en-US"/>
                        </w:rPr>
                        <w:t>Media</w:t>
                      </w:r>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1934720" behindDoc="0" locked="0" layoutInCell="1" allowOverlap="1" wp14:anchorId="0E60D624" wp14:editId="41CECAE4">
                <wp:simplePos x="0" y="0"/>
                <wp:positionH relativeFrom="column">
                  <wp:posOffset>1168400</wp:posOffset>
                </wp:positionH>
                <wp:positionV relativeFrom="paragraph">
                  <wp:posOffset>56515</wp:posOffset>
                </wp:positionV>
                <wp:extent cx="5143500" cy="558800"/>
                <wp:effectExtent l="0" t="0" r="0" b="0"/>
                <wp:wrapNone/>
                <wp:docPr id="307" name="Rectangle 307"/>
                <wp:cNvGraphicFramePr/>
                <a:graphic xmlns:a="http://schemas.openxmlformats.org/drawingml/2006/main">
                  <a:graphicData uri="http://schemas.microsoft.com/office/word/2010/wordprocessingShape">
                    <wps:wsp>
                      <wps:cNvSpPr/>
                      <wps:spPr>
                        <a:xfrm>
                          <a:off x="0" y="0"/>
                          <a:ext cx="5143500" cy="558800"/>
                        </a:xfrm>
                        <a:prstGeom prst="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5F21E6CF" id="Rectangle 307" o:spid="_x0000_s1026" style="position:absolute;margin-left:92pt;margin-top:4.45pt;width:405pt;height:44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" fillcolor="#f27e20" stroked="f" strokeweight="1pt"/>
            </w:pict>
          </mc:Fallback>
        </mc:AlternateContent>
      </w:r>
    </w:p>
    <w:p w14:paraId="7C2BFE12" w14:textId="637D9F40" w:rsidR="00EB0AA3" w:rsidRDefault="00EB0AA3" w:rsidP="00EB0AA3">
      <w:pPr>
        <w:spacing w:after="160" w:line="259" w:lineRule="auto"/>
        <w:contextualSpacing/>
        <w:jc w:val="both"/>
        <w:rPr>
          <w:lang w:val="en-ZA"/>
        </w:rPr>
      </w:pPr>
    </w:p>
    <w:p w14:paraId="3CEC7EB5" w14:textId="0BF27669" w:rsidR="00EB0AA3" w:rsidRDefault="00EB0AA3" w:rsidP="00EB0AA3"/>
    <w:p w14:paraId="57C5A78A" w14:textId="77777777" w:rsidR="00EB0AA3" w:rsidRDefault="00EB0AA3" w:rsidP="00EB0AA3"/>
    <w:p w14:paraId="3414564B" w14:textId="77777777" w:rsidR="00D871C5" w:rsidRPr="00224CCD" w:rsidRDefault="00D871C5" w:rsidP="00224CCD">
      <w:pPr>
        <w:spacing w:line="276" w:lineRule="auto"/>
        <w:jc w:val="both"/>
        <w:rPr>
          <w:rFonts w:ascii="Arial" w:hAnsi="Arial" w:cs="Arial"/>
          <w:sz w:val="24"/>
          <w:szCs w:val="24"/>
          <w:lang w:val="en-US"/>
        </w:rPr>
      </w:pPr>
    </w:p>
    <w:p w14:paraId="54B94567" w14:textId="579EC331" w:rsidR="00EB0AA3" w:rsidRPr="00224CCD" w:rsidRDefault="00EB0AA3" w:rsidP="00224CCD">
      <w:pPr>
        <w:spacing w:line="276" w:lineRule="auto"/>
        <w:jc w:val="both"/>
        <w:rPr>
          <w:rFonts w:ascii="Arial" w:hAnsi="Arial" w:cs="Arial"/>
          <w:sz w:val="24"/>
          <w:szCs w:val="24"/>
          <w:lang w:val="en-ZA"/>
        </w:rPr>
      </w:pPr>
      <w:r w:rsidRPr="00224CCD">
        <w:rPr>
          <w:rFonts w:ascii="Arial" w:hAnsi="Arial" w:cs="Arial"/>
          <w:sz w:val="24"/>
          <w:szCs w:val="24"/>
          <w:lang w:val="en-US"/>
        </w:rPr>
        <w:t xml:space="preserve">The media is the main means of public mass communication. </w:t>
      </w:r>
      <w:r w:rsidRPr="00224CCD">
        <w:rPr>
          <w:rFonts w:ascii="Arial" w:hAnsi="Arial" w:cs="Arial"/>
          <w:sz w:val="24"/>
          <w:szCs w:val="24"/>
          <w:lang w:val="en-ZA"/>
        </w:rPr>
        <w:t xml:space="preserve">It provides channels where information can be widely and easily disseminated </w:t>
      </w:r>
      <w:r w:rsidRPr="00224CCD">
        <w:rPr>
          <w:rFonts w:ascii="Arial" w:hAnsi="Arial" w:cs="Arial"/>
          <w:sz w:val="24"/>
          <w:szCs w:val="24"/>
          <w:lang w:val="en-US"/>
        </w:rPr>
        <w:t>facilitating ongoing checks and assessments by the public of government’s performance;</w:t>
      </w:r>
      <w:r w:rsidRPr="00224CCD">
        <w:rPr>
          <w:rFonts w:ascii="Arial" w:hAnsi="Arial" w:cs="Arial"/>
          <w:sz w:val="24"/>
          <w:szCs w:val="24"/>
          <w:lang w:val="en-ZA"/>
        </w:rPr>
        <w:t xml:space="preserve"> and it offers platforms where social discourse can take place. </w:t>
      </w:r>
    </w:p>
    <w:p w14:paraId="62A86C50" w14:textId="77777777" w:rsidR="00EB0AA3" w:rsidRPr="00224CCD" w:rsidRDefault="00EB0AA3" w:rsidP="00224CCD">
      <w:pPr>
        <w:spacing w:line="276" w:lineRule="auto"/>
        <w:jc w:val="both"/>
        <w:rPr>
          <w:rFonts w:ascii="Arial" w:hAnsi="Arial" w:cs="Arial"/>
          <w:sz w:val="24"/>
          <w:szCs w:val="24"/>
          <w:lang w:val="en-ZA"/>
        </w:rPr>
      </w:pPr>
    </w:p>
    <w:p w14:paraId="55130B0B" w14:textId="6372C271" w:rsidR="00E73363" w:rsidRPr="00E73363" w:rsidRDefault="00EB0AA3" w:rsidP="00224CCD">
      <w:pPr>
        <w:spacing w:line="276" w:lineRule="auto"/>
        <w:jc w:val="both"/>
        <w:rPr>
          <w:rFonts w:ascii="Arial" w:hAnsi="Arial" w:cs="Arial"/>
          <w:sz w:val="24"/>
          <w:szCs w:val="24"/>
          <w:lang w:val="en-US"/>
        </w:rPr>
      </w:pPr>
      <w:r w:rsidRPr="00224CCD">
        <w:rPr>
          <w:rFonts w:ascii="Arial" w:hAnsi="Arial" w:cs="Arial"/>
          <w:sz w:val="24"/>
          <w:szCs w:val="24"/>
          <w:lang w:val="en-US"/>
        </w:rPr>
        <w:t xml:space="preserve">Within the fiscal policy cycle, it can play an important role by keeping the key actors in the ecosystem informed at the various stages of the process, by, for instance reporting on the release of various budget documents or on significant debates and policy shifts during budget formulation; </w:t>
      </w:r>
      <w:r w:rsidRPr="00224CCD">
        <w:rPr>
          <w:rFonts w:ascii="Arial" w:hAnsi="Arial" w:cs="Arial"/>
          <w:sz w:val="24"/>
          <w:szCs w:val="24"/>
          <w:lang w:val="en-ZA"/>
        </w:rPr>
        <w:t xml:space="preserve">reporting on stories about budget and policy implementation, important for all stakeholders wanting information regarding the use of public funds, including ministries of finance; </w:t>
      </w:r>
      <w:r w:rsidRPr="00224CCD">
        <w:rPr>
          <w:rFonts w:ascii="Arial" w:hAnsi="Arial" w:cs="Arial"/>
          <w:sz w:val="24"/>
          <w:szCs w:val="24"/>
          <w:lang w:val="en-US"/>
        </w:rPr>
        <w:t xml:space="preserve">covering proposals and reactions from civil society, communities impacted by the budget, and other interested parties; </w:t>
      </w:r>
      <w:r w:rsidRPr="00224CCD">
        <w:rPr>
          <w:rFonts w:ascii="Arial" w:hAnsi="Arial" w:cs="Arial"/>
          <w:sz w:val="24"/>
          <w:szCs w:val="24"/>
          <w:lang w:val="en-US"/>
        </w:rPr>
        <w:lastRenderedPageBreak/>
        <w:t>assisting in the provision of training to the public; discussing important policy decisions; and lastly, monitoring and publicly reporting on the performance of government, including on any incidents of the misuse of public funds and policy failures that may signal the need for fiscal policy changes and/or reforms.</w:t>
      </w:r>
    </w:p>
    <w:p w14:paraId="64DCC57D" w14:textId="46030AF9" w:rsidR="00697ED2" w:rsidRDefault="0088372C" w:rsidP="00224CCD">
      <w:pPr>
        <w:spacing w:line="276" w:lineRule="auto"/>
        <w:jc w:val="both"/>
        <w:rPr>
          <w:rFonts w:ascii="Arial" w:hAnsi="Arial" w:cs="Arial"/>
          <w:color w:val="000000" w:themeColor="text1"/>
          <w:sz w:val="24"/>
          <w:szCs w:val="24"/>
          <w:lang w:val="en-US"/>
        </w:rPr>
      </w:pPr>
      <w:r>
        <w:rPr>
          <w:rFonts w:ascii="Arial" w:hAnsi="Arial" w:cs="Arial"/>
          <w:noProof/>
          <w:color w:val="000000" w:themeColor="text1"/>
          <w:sz w:val="24"/>
          <w:szCs w:val="24"/>
          <w:lang w:val="en-US"/>
        </w:rPr>
        <w:drawing>
          <wp:anchor distT="0" distB="0" distL="114300" distR="114300" simplePos="0" relativeHeight="251954176" behindDoc="1" locked="0" layoutInCell="1" allowOverlap="1" wp14:anchorId="443DD742" wp14:editId="3C4E7E2D">
            <wp:simplePos x="0" y="0"/>
            <wp:positionH relativeFrom="margin">
              <wp:posOffset>-88900</wp:posOffset>
            </wp:positionH>
            <wp:positionV relativeFrom="paragraph">
              <wp:posOffset>21590</wp:posOffset>
            </wp:positionV>
            <wp:extent cx="6818630" cy="2032000"/>
            <wp:effectExtent l="0" t="0" r="0" b="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395" cstate="email">
                      <a:extLst>
                        <a:ext uri="{28A0092B-C50C-407E-A947-70E740481C1C}">
                          <a14:useLocalDpi xmlns:a14="http://schemas.microsoft.com/office/drawing/2010/main"/>
                        </a:ext>
                      </a:extLst>
                    </a:blip>
                    <a:srcRect/>
                    <a:stretch/>
                  </pic:blipFill>
                  <pic:spPr bwMode="auto">
                    <a:xfrm>
                      <a:off x="0" y="0"/>
                      <a:ext cx="6818630" cy="20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6447C" w14:textId="6F462F87" w:rsidR="00697ED2" w:rsidRDefault="00697ED2" w:rsidP="00224CCD">
      <w:pPr>
        <w:spacing w:line="276" w:lineRule="auto"/>
        <w:jc w:val="both"/>
        <w:rPr>
          <w:rFonts w:ascii="Arial" w:hAnsi="Arial" w:cs="Arial"/>
          <w:color w:val="000000" w:themeColor="text1"/>
          <w:sz w:val="24"/>
          <w:szCs w:val="24"/>
          <w:lang w:val="en-US"/>
        </w:rPr>
      </w:pPr>
      <w:r>
        <w:rPr>
          <w:rFonts w:ascii="Arial" w:hAnsi="Arial" w:cs="Arial"/>
          <w:noProof/>
          <w:sz w:val="24"/>
          <w:szCs w:val="24"/>
          <w:lang w:val="en-US"/>
        </w:rPr>
        <mc:AlternateContent>
          <mc:Choice Requires="wps">
            <w:drawing>
              <wp:anchor distT="0" distB="0" distL="114300" distR="114300" simplePos="0" relativeHeight="251953152" behindDoc="0" locked="0" layoutInCell="1" allowOverlap="1" wp14:anchorId="7D04D369" wp14:editId="3C58EE87">
                <wp:simplePos x="0" y="0"/>
                <wp:positionH relativeFrom="column">
                  <wp:posOffset>1295400</wp:posOffset>
                </wp:positionH>
                <wp:positionV relativeFrom="paragraph">
                  <wp:posOffset>155575</wp:posOffset>
                </wp:positionV>
                <wp:extent cx="5138420" cy="876300"/>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5138420" cy="876300"/>
                        </a:xfrm>
                        <a:prstGeom prst="rect">
                          <a:avLst/>
                        </a:prstGeom>
                        <a:noFill/>
                        <a:ln w="6350">
                          <a:noFill/>
                        </a:ln>
                      </wps:spPr>
                      <wps:txbx>
                        <w:txbxContent>
                          <w:p w14:paraId="1E846416" w14:textId="387F3930" w:rsidR="00D15FD8" w:rsidRPr="007D471A" w:rsidRDefault="00D15FD8" w:rsidP="004B782C">
                            <w:pPr>
                              <w:spacing w:line="276" w:lineRule="auto"/>
                              <w:jc w:val="both"/>
                              <w:rPr>
                                <w:rFonts w:ascii="Arial" w:hAnsi="Arial" w:cs="Arial"/>
                                <w:b/>
                                <w:bCs/>
                                <w:color w:val="FFFFFF" w:themeColor="background1"/>
                                <w:sz w:val="24"/>
                                <w:szCs w:val="24"/>
                              </w:rPr>
                            </w:pPr>
                            <w:r w:rsidRPr="00697ED2">
                              <w:rPr>
                                <w:rFonts w:ascii="Arial" w:hAnsi="Arial" w:cs="Arial"/>
                                <w:b/>
                                <w:bCs/>
                                <w:color w:val="FFFFFF" w:themeColor="background1"/>
                                <w:sz w:val="24"/>
                                <w:szCs w:val="24"/>
                              </w:rPr>
                              <w:t>A free press together with the right of access to information are essential in this actor fulfilling its role. The media’s role is affirmed in Article 19 of the United Nations’ Universal Declaration of Human Rights, which states that: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4D369" id="Text Box 319" o:spid="_x0000_s1233" type="#_x0000_t202" style="position:absolute;left:0;text-align:left;margin-left:102pt;margin-top:12.25pt;width:404.6pt;height:69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" filled="f" stroked="f" strokeweight=".5pt">
                <v:textbox>
                  <w:txbxContent>
                    <w:p w14:paraId="1E846416" w14:textId="387F3930" w:rsidR="00D15FD8" w:rsidRPr="007D471A" w:rsidRDefault="00D15FD8" w:rsidP="004B782C">
                      <w:pPr>
                        <w:spacing w:line="276" w:lineRule="auto"/>
                        <w:jc w:val="both"/>
                        <w:rPr>
                          <w:rFonts w:ascii="Arial" w:hAnsi="Arial" w:cs="Arial"/>
                          <w:b/>
                          <w:bCs/>
                          <w:color w:val="FFFFFF" w:themeColor="background1"/>
                          <w:sz w:val="24"/>
                          <w:szCs w:val="24"/>
                        </w:rPr>
                      </w:pPr>
                      <w:r w:rsidRPr="00697ED2">
                        <w:rPr>
                          <w:rFonts w:ascii="Arial" w:hAnsi="Arial" w:cs="Arial"/>
                          <w:b/>
                          <w:bCs/>
                          <w:color w:val="FFFFFF" w:themeColor="background1"/>
                          <w:sz w:val="24"/>
                          <w:szCs w:val="24"/>
                        </w:rPr>
                        <w:t>A free press together with the right of access to information are essential in this actor fulfilling its role. The media’s role is affirmed in Article 19 of the United Nations’ Universal Declaration of Human Rights, which states that:</w:t>
                      </w:r>
                    </w:p>
                  </w:txbxContent>
                </v:textbox>
              </v:shape>
            </w:pict>
          </mc:Fallback>
        </mc:AlternateContent>
      </w:r>
    </w:p>
    <w:p w14:paraId="5FE729ED" w14:textId="075BFEAF" w:rsidR="00697ED2" w:rsidRDefault="00697ED2" w:rsidP="00224CCD">
      <w:pPr>
        <w:spacing w:line="276" w:lineRule="auto"/>
        <w:jc w:val="both"/>
        <w:rPr>
          <w:rFonts w:ascii="Arial" w:hAnsi="Arial" w:cs="Arial"/>
          <w:color w:val="000000" w:themeColor="text1"/>
          <w:sz w:val="24"/>
          <w:szCs w:val="24"/>
          <w:lang w:val="en-US"/>
        </w:rPr>
      </w:pPr>
    </w:p>
    <w:p w14:paraId="3B1D4BC4" w14:textId="5C12B7DE" w:rsidR="00697ED2" w:rsidRDefault="00697ED2" w:rsidP="00224CCD">
      <w:pPr>
        <w:spacing w:line="276" w:lineRule="auto"/>
        <w:jc w:val="both"/>
        <w:rPr>
          <w:rFonts w:ascii="Arial" w:hAnsi="Arial" w:cs="Arial"/>
          <w:color w:val="000000" w:themeColor="text1"/>
          <w:sz w:val="24"/>
          <w:szCs w:val="24"/>
          <w:lang w:val="en-US"/>
        </w:rPr>
      </w:pPr>
    </w:p>
    <w:p w14:paraId="3E8780AB" w14:textId="2FB9506C" w:rsidR="00697ED2" w:rsidRDefault="00697ED2" w:rsidP="00224CCD">
      <w:pPr>
        <w:spacing w:line="276" w:lineRule="auto"/>
        <w:jc w:val="both"/>
        <w:rPr>
          <w:rFonts w:ascii="Arial" w:hAnsi="Arial" w:cs="Arial"/>
          <w:color w:val="000000" w:themeColor="text1"/>
          <w:sz w:val="24"/>
          <w:szCs w:val="24"/>
          <w:lang w:val="en-US"/>
        </w:rPr>
      </w:pPr>
    </w:p>
    <w:p w14:paraId="4D534314" w14:textId="47255E46" w:rsidR="00697ED2" w:rsidRDefault="00697ED2" w:rsidP="00224CCD">
      <w:pPr>
        <w:spacing w:line="276" w:lineRule="auto"/>
        <w:jc w:val="both"/>
        <w:rPr>
          <w:rFonts w:ascii="Arial" w:hAnsi="Arial" w:cs="Arial"/>
          <w:color w:val="000000" w:themeColor="text1"/>
          <w:sz w:val="24"/>
          <w:szCs w:val="24"/>
          <w:lang w:val="en-US"/>
        </w:rPr>
      </w:pPr>
    </w:p>
    <w:p w14:paraId="7491DC7B" w14:textId="7F9E8429" w:rsidR="00697ED2" w:rsidRDefault="0088372C" w:rsidP="00224CCD">
      <w:pPr>
        <w:spacing w:line="276" w:lineRule="auto"/>
        <w:jc w:val="both"/>
        <w:rPr>
          <w:rFonts w:ascii="Arial" w:hAnsi="Arial" w:cs="Arial"/>
          <w:color w:val="000000" w:themeColor="text1"/>
          <w:sz w:val="24"/>
          <w:szCs w:val="24"/>
          <w:lang w:val="en-US"/>
        </w:rPr>
      </w:pPr>
      <w:r>
        <w:rPr>
          <w:rFonts w:ascii="Arial" w:hAnsi="Arial" w:cs="Arial"/>
          <w:noProof/>
          <w:sz w:val="24"/>
          <w:szCs w:val="24"/>
          <w:lang w:val="en-US"/>
        </w:rPr>
        <mc:AlternateContent>
          <mc:Choice Requires="wps">
            <w:drawing>
              <wp:anchor distT="0" distB="0" distL="114300" distR="114300" simplePos="0" relativeHeight="251952128" behindDoc="0" locked="0" layoutInCell="1" allowOverlap="1" wp14:anchorId="04234381" wp14:editId="7DD87CC8">
                <wp:simplePos x="0" y="0"/>
                <wp:positionH relativeFrom="margin">
                  <wp:posOffset>163195</wp:posOffset>
                </wp:positionH>
                <wp:positionV relativeFrom="paragraph">
                  <wp:posOffset>49530</wp:posOffset>
                </wp:positionV>
                <wp:extent cx="6319520" cy="711200"/>
                <wp:effectExtent l="0" t="0" r="0" b="0"/>
                <wp:wrapNone/>
                <wp:docPr id="318" name="Text Box 318"/>
                <wp:cNvGraphicFramePr/>
                <a:graphic xmlns:a="http://schemas.openxmlformats.org/drawingml/2006/main">
                  <a:graphicData uri="http://schemas.microsoft.com/office/word/2010/wordprocessingShape">
                    <wps:wsp>
                      <wps:cNvSpPr txBox="1"/>
                      <wps:spPr>
                        <a:xfrm>
                          <a:off x="0" y="0"/>
                          <a:ext cx="6319520" cy="711200"/>
                        </a:xfrm>
                        <a:prstGeom prst="rect">
                          <a:avLst/>
                        </a:prstGeom>
                        <a:noFill/>
                        <a:ln w="6350">
                          <a:noFill/>
                        </a:ln>
                      </wps:spPr>
                      <wps:txbx>
                        <w:txbxContent>
                          <w:p w14:paraId="7C70063D" w14:textId="7D4BE206" w:rsidR="00D15FD8" w:rsidRPr="00776287" w:rsidRDefault="00D15FD8" w:rsidP="004B782C">
                            <w:pPr>
                              <w:spacing w:line="276" w:lineRule="auto"/>
                              <w:jc w:val="both"/>
                              <w:rPr>
                                <w:color w:val="FFFFFF" w:themeColor="background1"/>
                              </w:rPr>
                            </w:pPr>
                            <w:r w:rsidRPr="00697ED2">
                              <w:rPr>
                                <w:rFonts w:ascii="Arial" w:eastAsiaTheme="minorEastAsia" w:hAnsi="Arial" w:cs="Arial"/>
                                <w:i/>
                                <w:color w:val="FFFFFF" w:themeColor="background1"/>
                                <w:sz w:val="24"/>
                                <w:szCs w:val="24"/>
                                <w:lang w:val="en-US"/>
                              </w:rPr>
                              <w:t xml:space="preserve">“Everyone has the right to freedom of opinion and expression; this right includes freedom to hold opinions without interference and to seek, receive and impart information and ideas through any media and regardless of frontiers.”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34381" id="Text Box 318" o:spid="_x0000_s1234" type="#_x0000_t202" style="position:absolute;left:0;text-align:left;margin-left:12.85pt;margin-top:3.9pt;width:497.6pt;height:56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" filled="f" stroked="f" strokeweight=".5pt">
                <v:textbox>
                  <w:txbxContent>
                    <w:p w14:paraId="7C70063D" w14:textId="7D4BE206" w:rsidR="00D15FD8" w:rsidRPr="00776287" w:rsidRDefault="00D15FD8" w:rsidP="004B782C">
                      <w:pPr>
                        <w:spacing w:line="276" w:lineRule="auto"/>
                        <w:jc w:val="both"/>
                        <w:rPr>
                          <w:color w:val="FFFFFF" w:themeColor="background1"/>
                        </w:rPr>
                      </w:pPr>
                      <w:r w:rsidRPr="00697ED2">
                        <w:rPr>
                          <w:rFonts w:ascii="Arial" w:eastAsiaTheme="minorEastAsia" w:hAnsi="Arial" w:cs="Arial"/>
                          <w:i/>
                          <w:color w:val="FFFFFF" w:themeColor="background1"/>
                          <w:sz w:val="24"/>
                          <w:szCs w:val="24"/>
                          <w:lang w:val="en-US"/>
                        </w:rPr>
                        <w:t xml:space="preserve">“Everyone has the right to freedom of opinion and expression; this right includes freedom to hold opinions without interference and to seek, receive and impart information and ideas through any media and regardless of frontiers.”  </w:t>
                      </w:r>
                    </w:p>
                  </w:txbxContent>
                </v:textbox>
                <w10:wrap anchorx="margin"/>
              </v:shape>
            </w:pict>
          </mc:Fallback>
        </mc:AlternateContent>
      </w:r>
    </w:p>
    <w:p w14:paraId="3399C573" w14:textId="77777777" w:rsidR="00AF70F2" w:rsidRDefault="00AF70F2" w:rsidP="00224CCD">
      <w:pPr>
        <w:spacing w:line="276" w:lineRule="auto"/>
        <w:jc w:val="both"/>
        <w:rPr>
          <w:rFonts w:ascii="Arial" w:hAnsi="Arial" w:cs="Arial"/>
          <w:sz w:val="24"/>
          <w:szCs w:val="24"/>
        </w:rPr>
      </w:pPr>
    </w:p>
    <w:p w14:paraId="2532B6DE" w14:textId="77777777" w:rsidR="00E73363" w:rsidRDefault="00E73363" w:rsidP="00224CCD">
      <w:pPr>
        <w:spacing w:line="276" w:lineRule="auto"/>
        <w:jc w:val="both"/>
        <w:rPr>
          <w:rFonts w:ascii="Arial" w:hAnsi="Arial" w:cs="Arial"/>
          <w:sz w:val="24"/>
          <w:szCs w:val="24"/>
        </w:rPr>
      </w:pPr>
    </w:p>
    <w:p w14:paraId="3DAF50B1" w14:textId="77777777" w:rsidR="00E73363" w:rsidRDefault="00E73363" w:rsidP="00224CCD">
      <w:pPr>
        <w:spacing w:line="276" w:lineRule="auto"/>
        <w:jc w:val="both"/>
        <w:rPr>
          <w:rFonts w:ascii="Arial" w:hAnsi="Arial" w:cs="Arial"/>
          <w:sz w:val="24"/>
          <w:szCs w:val="24"/>
        </w:rPr>
      </w:pPr>
    </w:p>
    <w:p w14:paraId="5E5E5ADA" w14:textId="77777777" w:rsidR="00E73363" w:rsidRDefault="00E73363" w:rsidP="00224CCD">
      <w:pPr>
        <w:spacing w:line="276" w:lineRule="auto"/>
        <w:jc w:val="both"/>
        <w:rPr>
          <w:rFonts w:ascii="Arial" w:hAnsi="Arial" w:cs="Arial"/>
          <w:sz w:val="24"/>
          <w:szCs w:val="24"/>
        </w:rPr>
      </w:pPr>
    </w:p>
    <w:p w14:paraId="752DCC56" w14:textId="09B77709" w:rsidR="00EB0AA3" w:rsidRPr="00224CCD" w:rsidRDefault="00EB0AA3" w:rsidP="00224CCD">
      <w:pPr>
        <w:spacing w:line="276" w:lineRule="auto"/>
        <w:jc w:val="both"/>
        <w:rPr>
          <w:rFonts w:ascii="Arial" w:hAnsi="Arial" w:cs="Arial"/>
          <w:sz w:val="24"/>
          <w:szCs w:val="24"/>
        </w:rPr>
      </w:pPr>
      <w:r w:rsidRPr="00224CCD">
        <w:rPr>
          <w:rFonts w:ascii="Arial" w:hAnsi="Arial" w:cs="Arial"/>
          <w:sz w:val="24"/>
          <w:szCs w:val="24"/>
        </w:rPr>
        <w:t xml:space="preserve">The media also plays an important role in potentially revealing whether countries adopt and adhere to local and global fiscal transparency norms and standards, and how they compare to other countries. This may assist the public in advocating for the government to meet fiscal transparency standards. As an example it can report on the results of the IBP’s </w:t>
      </w:r>
      <w:hyperlink r:id="rId396" w:history="1">
        <w:r w:rsidRPr="00224CCD">
          <w:rPr>
            <w:rStyle w:val="Hyperlink"/>
            <w:rFonts w:ascii="Arial" w:hAnsi="Arial" w:cs="Arial"/>
            <w:sz w:val="24"/>
            <w:szCs w:val="24"/>
          </w:rPr>
          <w:t>Open Budget Survey</w:t>
        </w:r>
      </w:hyperlink>
      <w:r w:rsidRPr="00224CCD">
        <w:rPr>
          <w:rFonts w:ascii="Arial" w:hAnsi="Arial" w:cs="Arial"/>
          <w:sz w:val="24"/>
          <w:szCs w:val="24"/>
        </w:rPr>
        <w:t xml:space="preserve"> (OBS). Media coverage on the release and highlights of the latest OBS report may assist the public in pressing the government to meet fiscal transparency standards. </w:t>
      </w:r>
    </w:p>
    <w:p w14:paraId="7904FE51" w14:textId="77777777" w:rsidR="00EB0AA3" w:rsidRPr="00224CCD" w:rsidRDefault="00EB0AA3" w:rsidP="00224CCD">
      <w:pPr>
        <w:spacing w:line="276" w:lineRule="auto"/>
        <w:jc w:val="both"/>
        <w:rPr>
          <w:rFonts w:ascii="Arial" w:hAnsi="Arial" w:cs="Arial"/>
          <w:sz w:val="24"/>
          <w:szCs w:val="24"/>
        </w:rPr>
      </w:pPr>
    </w:p>
    <w:p w14:paraId="4F9D6C06" w14:textId="41FED632" w:rsidR="00EB0AA3" w:rsidRPr="00224CCD" w:rsidRDefault="00EB0AA3" w:rsidP="00224CCD">
      <w:pPr>
        <w:spacing w:line="276" w:lineRule="auto"/>
        <w:jc w:val="both"/>
        <w:rPr>
          <w:rFonts w:ascii="Arial" w:hAnsi="Arial" w:cs="Arial"/>
          <w:sz w:val="24"/>
          <w:szCs w:val="24"/>
        </w:rPr>
      </w:pPr>
      <w:r w:rsidRPr="00224CCD">
        <w:rPr>
          <w:rFonts w:ascii="Arial" w:hAnsi="Arial" w:cs="Arial"/>
          <w:sz w:val="24"/>
          <w:szCs w:val="24"/>
        </w:rPr>
        <w:t xml:space="preserve">The media’s ability to broadly disseminate information in a timely way means that actors in the budget process will try and use it to get support for their positions. This is why in most countries, governments, civil society, and others regularly hold press conferences and issue statements to the press, especially during the formulation and enactment stages of the budget cycle. </w:t>
      </w:r>
    </w:p>
    <w:p w14:paraId="65461318" w14:textId="2E326CEC" w:rsidR="00EB0AA3" w:rsidRPr="00224CCD" w:rsidRDefault="00EE2716" w:rsidP="00224CCD">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955200" behindDoc="0" locked="0" layoutInCell="1" allowOverlap="1" wp14:anchorId="1AA07518" wp14:editId="1D9736E8">
            <wp:simplePos x="0" y="0"/>
            <wp:positionH relativeFrom="column">
              <wp:posOffset>0</wp:posOffset>
            </wp:positionH>
            <wp:positionV relativeFrom="paragraph">
              <wp:posOffset>135890</wp:posOffset>
            </wp:positionV>
            <wp:extent cx="1296670" cy="1727200"/>
            <wp:effectExtent l="0" t="0" r="0"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rotWithShape="1">
                    <a:blip r:embed="rId397" cstate="email">
                      <a:extLst>
                        <a:ext uri="{28A0092B-C50C-407E-A947-70E740481C1C}">
                          <a14:useLocalDpi xmlns:a14="http://schemas.microsoft.com/office/drawing/2010/main"/>
                        </a:ext>
                      </a:extLst>
                    </a:blip>
                    <a:srcRect/>
                    <a:stretch/>
                  </pic:blipFill>
                  <pic:spPr bwMode="auto">
                    <a:xfrm>
                      <a:off x="0" y="0"/>
                      <a:ext cx="1296670" cy="1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5775A8" w14:textId="1595C850" w:rsidR="00EB0AA3" w:rsidRPr="00224CCD" w:rsidRDefault="00EB0AA3" w:rsidP="00224CCD">
      <w:pPr>
        <w:spacing w:line="276" w:lineRule="auto"/>
        <w:jc w:val="both"/>
        <w:rPr>
          <w:rFonts w:ascii="Arial" w:hAnsi="Arial" w:cs="Arial"/>
          <w:sz w:val="24"/>
          <w:szCs w:val="24"/>
        </w:rPr>
      </w:pPr>
      <w:r w:rsidRPr="00224CCD">
        <w:rPr>
          <w:rFonts w:ascii="Arial" w:hAnsi="Arial" w:cs="Arial"/>
          <w:sz w:val="24"/>
          <w:szCs w:val="24"/>
        </w:rPr>
        <w:t xml:space="preserve">The advent of social media also has important considerations, providing powerful communication tools and platforms. Social media allows anyone to make information available quickly and cheaply, making every user a potential information influencer. It also facilitates the organization of virtual gatherings and the organization of people along certain policy positions. This can greatly facilitate fiscal transparency, public participation and governmental accountability. It should however be borne in mind, that on the downside, it can also facilitate the quick spread of inaccurate data and misinformation. </w:t>
      </w:r>
    </w:p>
    <w:p w14:paraId="52498420" w14:textId="77777777" w:rsidR="00EB0AA3" w:rsidRPr="00224CCD" w:rsidRDefault="00EB0AA3" w:rsidP="00224CCD">
      <w:pPr>
        <w:spacing w:line="276" w:lineRule="auto"/>
        <w:jc w:val="both"/>
        <w:rPr>
          <w:rFonts w:ascii="Arial" w:hAnsi="Arial" w:cs="Arial"/>
          <w:sz w:val="24"/>
          <w:szCs w:val="24"/>
        </w:rPr>
      </w:pPr>
    </w:p>
    <w:p w14:paraId="71979A23" w14:textId="08B815AC" w:rsidR="00E73363" w:rsidRDefault="00EB0AA3" w:rsidP="00224CCD">
      <w:pPr>
        <w:spacing w:line="276" w:lineRule="auto"/>
        <w:jc w:val="both"/>
        <w:rPr>
          <w:rFonts w:ascii="Arial" w:hAnsi="Arial" w:cs="Arial"/>
          <w:sz w:val="24"/>
          <w:szCs w:val="24"/>
        </w:rPr>
      </w:pPr>
      <w:r w:rsidRPr="00224CCD">
        <w:rPr>
          <w:rFonts w:ascii="Arial" w:hAnsi="Arial" w:cs="Arial"/>
          <w:sz w:val="24"/>
          <w:szCs w:val="24"/>
        </w:rPr>
        <w:t>New communication technologies mean that social movements can be quickly organised via social media and spread globally in a short period of time. For example, the ‘Yellow Vests Movement’ in France, a campaign that started against a rise in taxes on diesel and petrol, later becoming a movement for greater social justice, was organised by spreading messages on social media</w:t>
      </w:r>
      <w:r w:rsidRPr="00224CCD">
        <w:rPr>
          <w:rFonts w:ascii="Arial" w:hAnsi="Arial" w:cs="Arial"/>
          <w:sz w:val="24"/>
          <w:szCs w:val="24"/>
          <w:vertAlign w:val="superscript"/>
        </w:rPr>
        <w:footnoteReference w:id="24"/>
      </w:r>
      <w:r w:rsidRPr="00224CCD">
        <w:rPr>
          <w:rFonts w:ascii="Arial" w:hAnsi="Arial" w:cs="Arial"/>
          <w:sz w:val="24"/>
          <w:szCs w:val="24"/>
        </w:rPr>
        <w:t xml:space="preserve">;  and Lebanese protests that were in part prompted by a proposed tax on the use of the messaging </w:t>
      </w:r>
      <w:r w:rsidRPr="00224CCD">
        <w:rPr>
          <w:rFonts w:ascii="Arial" w:hAnsi="Arial" w:cs="Arial"/>
          <w:sz w:val="24"/>
          <w:szCs w:val="24"/>
        </w:rPr>
        <w:lastRenderedPageBreak/>
        <w:t>platform WhatsApp, turned into a broader call for rebuilding the nation’s political and economic system</w:t>
      </w:r>
      <w:r w:rsidRPr="00224CCD">
        <w:rPr>
          <w:rFonts w:ascii="Arial" w:hAnsi="Arial" w:cs="Arial"/>
          <w:sz w:val="24"/>
          <w:szCs w:val="24"/>
          <w:vertAlign w:val="superscript"/>
        </w:rPr>
        <w:footnoteReference w:id="25"/>
      </w:r>
      <w:r w:rsidRPr="00224CCD">
        <w:rPr>
          <w:rFonts w:ascii="Arial" w:hAnsi="Arial" w:cs="Arial"/>
          <w:sz w:val="24"/>
          <w:szCs w:val="24"/>
        </w:rPr>
        <w:t>.</w:t>
      </w:r>
    </w:p>
    <w:p w14:paraId="49BF96EC" w14:textId="0BC6444B" w:rsidR="00EE2716" w:rsidRPr="00224CCD" w:rsidRDefault="00E73363" w:rsidP="00224CCD">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956224" behindDoc="1" locked="0" layoutInCell="1" allowOverlap="1" wp14:anchorId="29AF6EB5" wp14:editId="70CD238B">
            <wp:simplePos x="0" y="0"/>
            <wp:positionH relativeFrom="column">
              <wp:posOffset>0</wp:posOffset>
            </wp:positionH>
            <wp:positionV relativeFrom="paragraph">
              <wp:posOffset>46464</wp:posOffset>
            </wp:positionV>
            <wp:extent cx="6645910" cy="934720"/>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398" cstate="email">
                      <a:extLst>
                        <a:ext uri="{28A0092B-C50C-407E-A947-70E740481C1C}">
                          <a14:useLocalDpi xmlns:a14="http://schemas.microsoft.com/office/drawing/2010/main"/>
                        </a:ext>
                      </a:extLst>
                    </a:blip>
                    <a:stretch>
                      <a:fillRect/>
                    </a:stretch>
                  </pic:blipFill>
                  <pic:spPr>
                    <a:xfrm>
                      <a:off x="0" y="0"/>
                      <a:ext cx="6645910" cy="934720"/>
                    </a:xfrm>
                    <a:prstGeom prst="rect">
                      <a:avLst/>
                    </a:prstGeom>
                  </pic:spPr>
                </pic:pic>
              </a:graphicData>
            </a:graphic>
            <wp14:sizeRelH relativeFrom="page">
              <wp14:pctWidth>0</wp14:pctWidth>
            </wp14:sizeRelH>
            <wp14:sizeRelV relativeFrom="page">
              <wp14:pctHeight>0</wp14:pctHeight>
            </wp14:sizeRelV>
          </wp:anchor>
        </w:drawing>
      </w:r>
      <w:r w:rsidR="00EE2716">
        <w:rPr>
          <w:rFonts w:ascii="Arial" w:hAnsi="Arial" w:cs="Arial"/>
          <w:noProof/>
          <w:sz w:val="24"/>
          <w:szCs w:val="24"/>
          <w:lang w:val="en-US"/>
        </w:rPr>
        <mc:AlternateContent>
          <mc:Choice Requires="wps">
            <w:drawing>
              <wp:anchor distT="0" distB="0" distL="114300" distR="114300" simplePos="0" relativeHeight="251958272" behindDoc="0" locked="0" layoutInCell="1" allowOverlap="1" wp14:anchorId="55CB4020" wp14:editId="1F3BA784">
                <wp:simplePos x="0" y="0"/>
                <wp:positionH relativeFrom="column">
                  <wp:posOffset>1079500</wp:posOffset>
                </wp:positionH>
                <wp:positionV relativeFrom="paragraph">
                  <wp:posOffset>178435</wp:posOffset>
                </wp:positionV>
                <wp:extent cx="5359400" cy="558800"/>
                <wp:effectExtent l="0" t="0" r="0" b="0"/>
                <wp:wrapNone/>
                <wp:docPr id="324" name="Rectangle 324"/>
                <wp:cNvGraphicFramePr/>
                <a:graphic xmlns:a="http://schemas.openxmlformats.org/drawingml/2006/main">
                  <a:graphicData uri="http://schemas.microsoft.com/office/word/2010/wordprocessingShape">
                    <wps:wsp>
                      <wps:cNvSpPr/>
                      <wps:spPr>
                        <a:xfrm>
                          <a:off x="0" y="0"/>
                          <a:ext cx="5359400" cy="558800"/>
                        </a:xfrm>
                        <a:prstGeom prst="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ect w14:anchorId="1EA44898" id="Rectangle 324" o:spid="_x0000_s1026" style="position:absolute;margin-left:85pt;margin-top:14.05pt;width:422pt;height:44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" fillcolor="#f27e20" stroked="f" strokeweight="1pt"/>
            </w:pict>
          </mc:Fallback>
        </mc:AlternateContent>
      </w:r>
    </w:p>
    <w:p w14:paraId="6B802F6E" w14:textId="40B0B03C" w:rsidR="00EB0AA3" w:rsidRDefault="00EE2716" w:rsidP="00EB0AA3">
      <w:pPr>
        <w:spacing w:after="160" w:line="259" w:lineRule="auto"/>
        <w:contextualSpacing/>
        <w:jc w:val="both"/>
        <w:rPr>
          <w:lang w:val="en-ZA"/>
        </w:rPr>
      </w:pPr>
      <w:r>
        <w:rPr>
          <w:rFonts w:ascii="Arial" w:hAnsi="Arial" w:cs="Arial"/>
          <w:noProof/>
          <w:sz w:val="24"/>
          <w:szCs w:val="24"/>
          <w:lang w:val="en-US"/>
        </w:rPr>
        <mc:AlternateContent>
          <mc:Choice Requires="wps">
            <w:drawing>
              <wp:anchor distT="0" distB="0" distL="114300" distR="114300" simplePos="0" relativeHeight="251959296" behindDoc="0" locked="0" layoutInCell="1" allowOverlap="1" wp14:anchorId="3DF128D4" wp14:editId="1CC5A44B">
                <wp:simplePos x="0" y="0"/>
                <wp:positionH relativeFrom="column">
                  <wp:posOffset>1079500</wp:posOffset>
                </wp:positionH>
                <wp:positionV relativeFrom="paragraph">
                  <wp:posOffset>85834</wp:posOffset>
                </wp:positionV>
                <wp:extent cx="4267200" cy="444500"/>
                <wp:effectExtent l="0" t="0" r="0" b="0"/>
                <wp:wrapNone/>
                <wp:docPr id="325" name="Text Box 325"/>
                <wp:cNvGraphicFramePr/>
                <a:graphic xmlns:a="http://schemas.openxmlformats.org/drawingml/2006/main">
                  <a:graphicData uri="http://schemas.microsoft.com/office/word/2010/wordprocessingShape">
                    <wps:wsp>
                      <wps:cNvSpPr txBox="1"/>
                      <wps:spPr>
                        <a:xfrm>
                          <a:off x="0" y="0"/>
                          <a:ext cx="4267200" cy="444500"/>
                        </a:xfrm>
                        <a:prstGeom prst="rect">
                          <a:avLst/>
                        </a:prstGeom>
                        <a:solidFill>
                          <a:srgbClr val="F27E20"/>
                        </a:solidFill>
                        <a:ln w="6350">
                          <a:noFill/>
                        </a:ln>
                      </wps:spPr>
                      <wps:txbx>
                        <w:txbxContent>
                          <w:p w14:paraId="36C9F67E" w14:textId="68B8A6F9"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707" w:name="_Toc116057003"/>
                            <w:bookmarkStart w:id="708" w:name="_Toc119794444"/>
                            <w:bookmarkStart w:id="709" w:name="_Toc123204429"/>
                            <w:bookmarkStart w:id="710" w:name="_Toc123216520"/>
                            <w:bookmarkStart w:id="711" w:name="_Toc123217360"/>
                            <w:bookmarkStart w:id="712" w:name="_Toc123828120"/>
                            <w:bookmarkStart w:id="713" w:name="_Toc123828330"/>
                            <w:bookmarkStart w:id="714" w:name="_Toc123828526"/>
                            <w:bookmarkStart w:id="715" w:name="_Toc123912553"/>
                            <w:bookmarkStart w:id="716" w:name="_Toc123912812"/>
                            <w:bookmarkStart w:id="717" w:name="_Toc123913039"/>
                            <w:bookmarkStart w:id="718" w:name="_Toc123913330"/>
                            <w:bookmarkStart w:id="719" w:name="_Toc123913986"/>
                            <w:bookmarkStart w:id="720" w:name="_Toc125566605"/>
                            <w:r w:rsidRPr="0053337F">
                              <w:rPr>
                                <w:rFonts w:ascii="Arial" w:hAnsi="Arial" w:cs="Arial"/>
                                <w:b/>
                                <w:bCs/>
                                <w:color w:val="FFFFFF" w:themeColor="background1"/>
                                <w:sz w:val="36"/>
                                <w:szCs w:val="36"/>
                                <w:lang w:val="en-US"/>
                              </w:rPr>
                              <w:t>General public</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F128D4" id="Text Box 325" o:spid="_x0000_s1235" type="#_x0000_t202" style="position:absolute;left:0;text-align:left;margin-left:85pt;margin-top:6.75pt;width:336pt;height:35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" fillcolor="#f27e20" stroked="f" strokeweight=".5pt">
                <v:textbox>
                  <w:txbxContent>
                    <w:p w14:paraId="36C9F67E" w14:textId="68B8A6F9"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721" w:name="_Toc116057003"/>
                      <w:bookmarkStart w:id="722" w:name="_Toc119794444"/>
                      <w:bookmarkStart w:id="723" w:name="_Toc123204429"/>
                      <w:bookmarkStart w:id="724" w:name="_Toc123216520"/>
                      <w:bookmarkStart w:id="725" w:name="_Toc123217360"/>
                      <w:bookmarkStart w:id="726" w:name="_Toc123828120"/>
                      <w:bookmarkStart w:id="727" w:name="_Toc123828330"/>
                      <w:bookmarkStart w:id="728" w:name="_Toc123828526"/>
                      <w:bookmarkStart w:id="729" w:name="_Toc123912553"/>
                      <w:bookmarkStart w:id="730" w:name="_Toc123912812"/>
                      <w:bookmarkStart w:id="731" w:name="_Toc123913039"/>
                      <w:bookmarkStart w:id="732" w:name="_Toc123913330"/>
                      <w:bookmarkStart w:id="733" w:name="_Toc123913986"/>
                      <w:bookmarkStart w:id="734" w:name="_Toc125566605"/>
                      <w:r w:rsidRPr="0053337F">
                        <w:rPr>
                          <w:rFonts w:ascii="Arial" w:hAnsi="Arial" w:cs="Arial"/>
                          <w:b/>
                          <w:bCs/>
                          <w:color w:val="FFFFFF" w:themeColor="background1"/>
                          <w:sz w:val="36"/>
                          <w:szCs w:val="36"/>
                          <w:lang w:val="en-US"/>
                        </w:rPr>
                        <w:t>General public</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txbxContent>
                </v:textbox>
              </v:shape>
            </w:pict>
          </mc:Fallback>
        </mc:AlternateContent>
      </w:r>
    </w:p>
    <w:p w14:paraId="6BFCE474" w14:textId="77777777" w:rsidR="00EB0AA3" w:rsidRDefault="00EB0AA3" w:rsidP="00EB0AA3">
      <w:pPr>
        <w:jc w:val="both"/>
      </w:pPr>
    </w:p>
    <w:p w14:paraId="5FD530DF" w14:textId="77777777" w:rsidR="00EB0AA3" w:rsidRDefault="00EB0AA3" w:rsidP="00EB0AA3">
      <w:pPr>
        <w:jc w:val="both"/>
      </w:pPr>
    </w:p>
    <w:p w14:paraId="6207DBB3" w14:textId="77777777" w:rsidR="00EE2716" w:rsidRDefault="00EE2716" w:rsidP="00EB0AA3">
      <w:pPr>
        <w:jc w:val="both"/>
        <w:rPr>
          <w:lang w:val="en-US"/>
        </w:rPr>
      </w:pPr>
    </w:p>
    <w:p w14:paraId="068EFE99" w14:textId="77777777" w:rsidR="00EE2716" w:rsidRDefault="00EE2716" w:rsidP="00EB0AA3">
      <w:pPr>
        <w:jc w:val="both"/>
        <w:rPr>
          <w:lang w:val="en-US"/>
        </w:rPr>
      </w:pPr>
    </w:p>
    <w:p w14:paraId="10C0C93C" w14:textId="62843FC3" w:rsidR="00EB0AA3" w:rsidRPr="00EE2716" w:rsidRDefault="00EB0AA3" w:rsidP="00EE2716">
      <w:pPr>
        <w:spacing w:line="276" w:lineRule="auto"/>
        <w:jc w:val="both"/>
        <w:rPr>
          <w:rFonts w:ascii="Arial" w:hAnsi="Arial" w:cs="Arial"/>
          <w:sz w:val="24"/>
          <w:szCs w:val="24"/>
          <w:lang w:val="en-US"/>
        </w:rPr>
      </w:pPr>
      <w:r w:rsidRPr="00EE2716">
        <w:rPr>
          <w:rFonts w:ascii="Arial" w:hAnsi="Arial" w:cs="Arial"/>
          <w:sz w:val="24"/>
          <w:szCs w:val="24"/>
          <w:lang w:val="en-US"/>
        </w:rPr>
        <w:t>The general public consists of the significant number of people/communities, outside of the government’s sphere, that belong to all status groups with different resources available to them and levels of empowerment, including in terms of access to public goods and services. It includes people of different nationalities, race, ethnicity, religion, gender, sexual orientation, disability, age or caste; including vulnerable groups and individuals that have been traditionally excluded, whose voices are seldom heard by those in authority.</w:t>
      </w:r>
    </w:p>
    <w:p w14:paraId="4EF4BDB1" w14:textId="14AC51A0" w:rsidR="00EB0AA3" w:rsidRPr="00EE2716" w:rsidRDefault="00EB0AA3" w:rsidP="00EE2716">
      <w:pPr>
        <w:spacing w:line="276" w:lineRule="auto"/>
        <w:jc w:val="both"/>
        <w:rPr>
          <w:rFonts w:ascii="Arial" w:hAnsi="Arial" w:cs="Arial"/>
          <w:sz w:val="24"/>
          <w:szCs w:val="24"/>
          <w:lang w:val="en-US"/>
        </w:rPr>
      </w:pPr>
    </w:p>
    <w:p w14:paraId="1E1E004D" w14:textId="044B2B93" w:rsidR="00EB0AA3" w:rsidRPr="00EE2716" w:rsidRDefault="00EB0AA3" w:rsidP="00EE2716">
      <w:pPr>
        <w:spacing w:line="276" w:lineRule="auto"/>
        <w:jc w:val="both"/>
        <w:rPr>
          <w:rFonts w:ascii="Arial" w:hAnsi="Arial" w:cs="Arial"/>
          <w:sz w:val="24"/>
          <w:szCs w:val="24"/>
          <w:lang w:val="en-ZA"/>
        </w:rPr>
      </w:pPr>
      <w:r w:rsidRPr="00EE2716">
        <w:rPr>
          <w:rFonts w:ascii="Arial" w:hAnsi="Arial" w:cs="Arial"/>
          <w:sz w:val="24"/>
          <w:szCs w:val="24"/>
          <w:lang w:val="en-ZA"/>
        </w:rPr>
        <w:t xml:space="preserve">Related to this group are private sector organizations managed by individuals and companies for profit. The private sector can contribute to the public policy cycle, that includes fiscal policy and the budget, through a wide range of processes and mechanisms, largely owing to businesses being regulated by public authorities through legislation and regulations. The private sector can also contribute to the formulation of public policies, through the provision of expertise in particular areas, including on the budget, through consultative processes. </w:t>
      </w:r>
    </w:p>
    <w:p w14:paraId="7FFE4B02" w14:textId="77777777" w:rsidR="00EB0AA3" w:rsidRPr="00EE2716" w:rsidRDefault="00EB0AA3" w:rsidP="00EE2716">
      <w:pPr>
        <w:spacing w:line="276" w:lineRule="auto"/>
        <w:jc w:val="both"/>
        <w:rPr>
          <w:rFonts w:ascii="Arial" w:hAnsi="Arial" w:cs="Arial"/>
          <w:sz w:val="24"/>
          <w:szCs w:val="24"/>
          <w:lang w:val="en-ZA"/>
        </w:rPr>
      </w:pPr>
    </w:p>
    <w:p w14:paraId="1E4559A3" w14:textId="19242CDF" w:rsidR="002F429C" w:rsidRDefault="00EB0AA3" w:rsidP="00EE2716">
      <w:pPr>
        <w:spacing w:line="276" w:lineRule="auto"/>
        <w:jc w:val="both"/>
        <w:rPr>
          <w:rFonts w:ascii="Arial" w:hAnsi="Arial" w:cs="Arial"/>
          <w:sz w:val="24"/>
          <w:szCs w:val="24"/>
          <w:lang w:val="en-US"/>
        </w:rPr>
      </w:pPr>
      <w:r w:rsidRPr="00EE2716">
        <w:rPr>
          <w:rFonts w:ascii="Arial" w:hAnsi="Arial" w:cs="Arial"/>
          <w:sz w:val="24"/>
          <w:szCs w:val="24"/>
          <w:lang w:val="en-US"/>
        </w:rPr>
        <w:t>The public can contribute to government oversight and budget activities through public participation processes and implementation monitoring.</w:t>
      </w:r>
    </w:p>
    <w:p w14:paraId="58639AC8" w14:textId="22CBE646" w:rsidR="002F429C" w:rsidRPr="00EE2716" w:rsidRDefault="00FF3237" w:rsidP="00EE2716">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62368" behindDoc="0" locked="0" layoutInCell="1" allowOverlap="1" wp14:anchorId="5953F0A6" wp14:editId="61F7279C">
                <wp:simplePos x="0" y="0"/>
                <wp:positionH relativeFrom="column">
                  <wp:posOffset>1171574</wp:posOffset>
                </wp:positionH>
                <wp:positionV relativeFrom="paragraph">
                  <wp:posOffset>192405</wp:posOffset>
                </wp:positionV>
                <wp:extent cx="5273675" cy="609600"/>
                <wp:effectExtent l="0" t="0" r="3175" b="0"/>
                <wp:wrapNone/>
                <wp:docPr id="327" name="Rectangle 327"/>
                <wp:cNvGraphicFramePr/>
                <a:graphic xmlns:a="http://schemas.openxmlformats.org/drawingml/2006/main">
                  <a:graphicData uri="http://schemas.microsoft.com/office/word/2010/wordprocessingShape">
                    <wps:wsp>
                      <wps:cNvSpPr/>
                      <wps:spPr>
                        <a:xfrm>
                          <a:off x="0" y="0"/>
                          <a:ext cx="5273675" cy="609600"/>
                        </a:xfrm>
                        <a:prstGeom prst="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2DBE48CE" id="Rectangle 327" o:spid="_x0000_s1026" style="position:absolute;margin-left:92.25pt;margin-top:15.15pt;width:415.25pt;height:4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" fillcolor="#f27e20" stroked="f" strokeweight="1pt"/>
            </w:pict>
          </mc:Fallback>
        </mc:AlternateContent>
      </w:r>
      <w:r w:rsidR="00E73363">
        <w:rPr>
          <w:rFonts w:ascii="Arial" w:hAnsi="Arial" w:cs="Arial"/>
          <w:noProof/>
          <w:sz w:val="24"/>
          <w:szCs w:val="24"/>
          <w:lang w:val="en-US"/>
        </w:rPr>
        <w:drawing>
          <wp:anchor distT="0" distB="0" distL="114300" distR="114300" simplePos="0" relativeHeight="251960320" behindDoc="1" locked="0" layoutInCell="1" allowOverlap="1" wp14:anchorId="552ED409" wp14:editId="3996B111">
            <wp:simplePos x="0" y="0"/>
            <wp:positionH relativeFrom="column">
              <wp:posOffset>0</wp:posOffset>
            </wp:positionH>
            <wp:positionV relativeFrom="paragraph">
              <wp:posOffset>40114</wp:posOffset>
            </wp:positionV>
            <wp:extent cx="6645910" cy="93472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399" cstate="email">
                      <a:extLst>
                        <a:ext uri="{28A0092B-C50C-407E-A947-70E740481C1C}">
                          <a14:useLocalDpi xmlns:a14="http://schemas.microsoft.com/office/drawing/2010/main"/>
                        </a:ext>
                      </a:extLst>
                    </a:blip>
                    <a:stretch>
                      <a:fillRect/>
                    </a:stretch>
                  </pic:blipFill>
                  <pic:spPr>
                    <a:xfrm>
                      <a:off x="0" y="0"/>
                      <a:ext cx="6645910" cy="934720"/>
                    </a:xfrm>
                    <a:prstGeom prst="rect">
                      <a:avLst/>
                    </a:prstGeom>
                  </pic:spPr>
                </pic:pic>
              </a:graphicData>
            </a:graphic>
            <wp14:sizeRelH relativeFrom="page">
              <wp14:pctWidth>0</wp14:pctWidth>
            </wp14:sizeRelH>
            <wp14:sizeRelV relativeFrom="page">
              <wp14:pctHeight>0</wp14:pctHeight>
            </wp14:sizeRelV>
          </wp:anchor>
        </w:drawing>
      </w:r>
    </w:p>
    <w:p w14:paraId="17669174" w14:textId="1F553480" w:rsidR="00EB0AA3" w:rsidRDefault="002F429C" w:rsidP="00EB0AA3">
      <w:pPr>
        <w:spacing w:after="160" w:line="259" w:lineRule="auto"/>
        <w:contextualSpacing/>
        <w:jc w:val="both"/>
        <w:rPr>
          <w:lang w:val="en-ZA"/>
        </w:rPr>
      </w:pPr>
      <w:r>
        <w:rPr>
          <w:rFonts w:ascii="Arial" w:hAnsi="Arial" w:cs="Arial"/>
          <w:noProof/>
          <w:sz w:val="24"/>
          <w:szCs w:val="24"/>
          <w:lang w:val="en-US"/>
        </w:rPr>
        <mc:AlternateContent>
          <mc:Choice Requires="wps">
            <w:drawing>
              <wp:anchor distT="0" distB="0" distL="114300" distR="114300" simplePos="0" relativeHeight="251963392" behindDoc="0" locked="0" layoutInCell="1" allowOverlap="1" wp14:anchorId="3F9F3AE7" wp14:editId="3EFDD248">
                <wp:simplePos x="0" y="0"/>
                <wp:positionH relativeFrom="column">
                  <wp:posOffset>1092200</wp:posOffset>
                </wp:positionH>
                <wp:positionV relativeFrom="paragraph">
                  <wp:posOffset>96629</wp:posOffset>
                </wp:positionV>
                <wp:extent cx="4267200" cy="393700"/>
                <wp:effectExtent l="0" t="0" r="0" b="0"/>
                <wp:wrapNone/>
                <wp:docPr id="328" name="Text Box 328"/>
                <wp:cNvGraphicFramePr/>
                <a:graphic xmlns:a="http://schemas.openxmlformats.org/drawingml/2006/main">
                  <a:graphicData uri="http://schemas.microsoft.com/office/word/2010/wordprocessingShape">
                    <wps:wsp>
                      <wps:cNvSpPr txBox="1"/>
                      <wps:spPr>
                        <a:xfrm>
                          <a:off x="0" y="0"/>
                          <a:ext cx="4267200" cy="393700"/>
                        </a:xfrm>
                        <a:prstGeom prst="rect">
                          <a:avLst/>
                        </a:prstGeom>
                        <a:solidFill>
                          <a:srgbClr val="F27E20"/>
                        </a:solidFill>
                        <a:ln w="6350">
                          <a:noFill/>
                        </a:ln>
                      </wps:spPr>
                      <wps:txbx>
                        <w:txbxContent>
                          <w:p w14:paraId="1476107F" w14:textId="6A89C280"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735" w:name="_Toc116057004"/>
                            <w:bookmarkStart w:id="736" w:name="_Toc119794445"/>
                            <w:bookmarkStart w:id="737" w:name="_Toc123204430"/>
                            <w:bookmarkStart w:id="738" w:name="_Toc123216521"/>
                            <w:bookmarkStart w:id="739" w:name="_Toc123217361"/>
                            <w:bookmarkStart w:id="740" w:name="_Toc123828121"/>
                            <w:bookmarkStart w:id="741" w:name="_Toc123828331"/>
                            <w:bookmarkStart w:id="742" w:name="_Toc123828527"/>
                            <w:bookmarkStart w:id="743" w:name="_Toc123912554"/>
                            <w:bookmarkStart w:id="744" w:name="_Toc123912813"/>
                            <w:bookmarkStart w:id="745" w:name="_Toc123913040"/>
                            <w:bookmarkStart w:id="746" w:name="_Toc123913331"/>
                            <w:bookmarkStart w:id="747" w:name="_Toc123913987"/>
                            <w:bookmarkStart w:id="748" w:name="_Toc125566606"/>
                            <w:r w:rsidRPr="0053337F">
                              <w:rPr>
                                <w:rFonts w:ascii="Arial" w:hAnsi="Arial" w:cs="Arial"/>
                                <w:b/>
                                <w:bCs/>
                                <w:color w:val="FFFFFF" w:themeColor="background1"/>
                                <w:sz w:val="36"/>
                                <w:szCs w:val="36"/>
                                <w:lang w:val="en-US"/>
                              </w:rPr>
                              <w:t>Civil society</w:t>
                            </w:r>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9F3AE7" id="Text Box 328" o:spid="_x0000_s1236" type="#_x0000_t202" style="position:absolute;left:0;text-align:left;margin-left:86pt;margin-top:7.6pt;width:336pt;height:31pt;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" fillcolor="#f27e20" stroked="f" strokeweight=".5pt">
                <v:textbox>
                  <w:txbxContent>
                    <w:p w14:paraId="1476107F" w14:textId="6A89C280" w:rsidR="00D15FD8" w:rsidRPr="0053337F" w:rsidRDefault="00D15FD8">
                      <w:pPr>
                        <w:pStyle w:val="Heading2"/>
                        <w:numPr>
                          <w:ilvl w:val="1"/>
                          <w:numId w:val="17"/>
                        </w:numPr>
                        <w:rPr>
                          <w:rFonts w:ascii="Arial" w:hAnsi="Arial" w:cs="Arial"/>
                          <w:b/>
                          <w:bCs/>
                          <w:color w:val="FFFFFF" w:themeColor="background1"/>
                          <w:sz w:val="36"/>
                          <w:szCs w:val="36"/>
                          <w:lang w:val="en-US"/>
                        </w:rPr>
                      </w:pPr>
                      <w:bookmarkStart w:id="749" w:name="_Toc116057004"/>
                      <w:bookmarkStart w:id="750" w:name="_Toc119794445"/>
                      <w:bookmarkStart w:id="751" w:name="_Toc123204430"/>
                      <w:bookmarkStart w:id="752" w:name="_Toc123216521"/>
                      <w:bookmarkStart w:id="753" w:name="_Toc123217361"/>
                      <w:bookmarkStart w:id="754" w:name="_Toc123828121"/>
                      <w:bookmarkStart w:id="755" w:name="_Toc123828331"/>
                      <w:bookmarkStart w:id="756" w:name="_Toc123828527"/>
                      <w:bookmarkStart w:id="757" w:name="_Toc123912554"/>
                      <w:bookmarkStart w:id="758" w:name="_Toc123912813"/>
                      <w:bookmarkStart w:id="759" w:name="_Toc123913040"/>
                      <w:bookmarkStart w:id="760" w:name="_Toc123913331"/>
                      <w:bookmarkStart w:id="761" w:name="_Toc123913987"/>
                      <w:bookmarkStart w:id="762" w:name="_Toc125566606"/>
                      <w:r w:rsidRPr="0053337F">
                        <w:rPr>
                          <w:rFonts w:ascii="Arial" w:hAnsi="Arial" w:cs="Arial"/>
                          <w:b/>
                          <w:bCs/>
                          <w:color w:val="FFFFFF" w:themeColor="background1"/>
                          <w:sz w:val="36"/>
                          <w:szCs w:val="36"/>
                          <w:lang w:val="en-US"/>
                        </w:rPr>
                        <w:t>Civil society</w:t>
                      </w:r>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txbxContent>
                </v:textbox>
              </v:shape>
            </w:pict>
          </mc:Fallback>
        </mc:AlternateContent>
      </w:r>
    </w:p>
    <w:p w14:paraId="377C6E44" w14:textId="76F1DE45" w:rsidR="00EB0AA3" w:rsidRDefault="00EB0AA3" w:rsidP="00EB0AA3">
      <w:pPr>
        <w:jc w:val="both"/>
      </w:pPr>
    </w:p>
    <w:p w14:paraId="3B9EEABD" w14:textId="34755782" w:rsidR="00EB0AA3" w:rsidRDefault="00EB0AA3" w:rsidP="00EB0AA3">
      <w:pPr>
        <w:jc w:val="both"/>
        <w:rPr>
          <w:lang w:val="en-US"/>
        </w:rPr>
      </w:pPr>
    </w:p>
    <w:p w14:paraId="2AFFFBEC" w14:textId="5C74A6D7" w:rsidR="002F429C" w:rsidRDefault="002F429C" w:rsidP="00EB0AA3">
      <w:pPr>
        <w:jc w:val="both"/>
        <w:rPr>
          <w:lang w:val="en-ZA"/>
        </w:rPr>
      </w:pPr>
    </w:p>
    <w:p w14:paraId="27FC4880" w14:textId="73EDA6FA" w:rsidR="002F429C" w:rsidRDefault="002F429C" w:rsidP="002F429C">
      <w:pPr>
        <w:spacing w:line="276" w:lineRule="auto"/>
        <w:jc w:val="both"/>
        <w:rPr>
          <w:lang w:val="en-ZA"/>
        </w:rPr>
      </w:pPr>
    </w:p>
    <w:p w14:paraId="3457F667" w14:textId="000B90D9" w:rsidR="002241FA" w:rsidRDefault="00EB0AA3" w:rsidP="002F429C">
      <w:pPr>
        <w:spacing w:line="276" w:lineRule="auto"/>
        <w:jc w:val="both"/>
        <w:rPr>
          <w:rFonts w:ascii="Arial" w:hAnsi="Arial" w:cs="Arial"/>
          <w:noProof/>
          <w:sz w:val="24"/>
          <w:szCs w:val="24"/>
        </w:rPr>
      </w:pPr>
      <w:r w:rsidRPr="002F429C">
        <w:rPr>
          <w:rFonts w:ascii="Arial" w:hAnsi="Arial" w:cs="Arial"/>
          <w:sz w:val="24"/>
          <w:szCs w:val="24"/>
          <w:lang w:val="en-ZA"/>
        </w:rPr>
        <w:t xml:space="preserve">The likelihood of fiscal transparency being meaningful largely depends on whether there is a demand for fiscal information from the public, and whether the information provided meets </w:t>
      </w:r>
      <w:r w:rsidRPr="002F429C">
        <w:rPr>
          <w:rFonts w:ascii="Arial" w:hAnsi="Arial" w:cs="Arial"/>
          <w:sz w:val="24"/>
          <w:szCs w:val="24"/>
          <w:lang w:val="en-US"/>
        </w:rPr>
        <w:t>the needs stated by said demands</w:t>
      </w:r>
      <w:r w:rsidRPr="002F429C">
        <w:rPr>
          <w:rFonts w:ascii="Arial" w:hAnsi="Arial" w:cs="Arial"/>
          <w:sz w:val="24"/>
          <w:szCs w:val="24"/>
          <w:lang w:val="en-ZA"/>
        </w:rPr>
        <w:t>, such that it is used once it’s published. Civil society plays a critical role in this regard.</w:t>
      </w:r>
      <w:r w:rsidR="002F429C" w:rsidRPr="002F429C">
        <w:rPr>
          <w:rFonts w:ascii="Arial" w:hAnsi="Arial" w:cs="Arial"/>
          <w:noProof/>
          <w:sz w:val="24"/>
          <w:szCs w:val="24"/>
        </w:rPr>
        <w:t xml:space="preserve"> </w:t>
      </w:r>
    </w:p>
    <w:p w14:paraId="56C07919" w14:textId="30F28AA0" w:rsidR="00314B3D" w:rsidRDefault="00314B3D" w:rsidP="002F429C">
      <w:pPr>
        <w:spacing w:line="276" w:lineRule="auto"/>
        <w:jc w:val="both"/>
        <w:rPr>
          <w:rFonts w:ascii="Arial" w:hAnsi="Arial" w:cs="Arial"/>
          <w:noProof/>
          <w:sz w:val="24"/>
          <w:szCs w:val="24"/>
        </w:rPr>
      </w:pPr>
    </w:p>
    <w:p w14:paraId="63BCFBBB" w14:textId="64122C71" w:rsidR="00314B3D" w:rsidRDefault="00314B3D" w:rsidP="002F429C">
      <w:pPr>
        <w:spacing w:line="276" w:lineRule="auto"/>
        <w:jc w:val="both"/>
        <w:rPr>
          <w:rFonts w:ascii="Arial" w:hAnsi="Arial" w:cs="Arial"/>
          <w:noProof/>
          <w:sz w:val="24"/>
          <w:szCs w:val="24"/>
        </w:rPr>
      </w:pPr>
    </w:p>
    <w:p w14:paraId="283FE064" w14:textId="3590210A" w:rsidR="00314B3D" w:rsidRDefault="00314B3D" w:rsidP="002F429C">
      <w:pPr>
        <w:spacing w:line="276" w:lineRule="auto"/>
        <w:jc w:val="both"/>
        <w:rPr>
          <w:rFonts w:ascii="Arial" w:hAnsi="Arial" w:cs="Arial"/>
          <w:noProof/>
          <w:sz w:val="24"/>
          <w:szCs w:val="24"/>
        </w:rPr>
      </w:pPr>
    </w:p>
    <w:p w14:paraId="755045C3" w14:textId="23912E78" w:rsidR="00314B3D" w:rsidRDefault="00314B3D" w:rsidP="002F429C">
      <w:pPr>
        <w:spacing w:line="276" w:lineRule="auto"/>
        <w:jc w:val="both"/>
        <w:rPr>
          <w:rFonts w:ascii="Arial" w:hAnsi="Arial" w:cs="Arial"/>
          <w:noProof/>
          <w:sz w:val="24"/>
          <w:szCs w:val="24"/>
        </w:rPr>
      </w:pPr>
    </w:p>
    <w:p w14:paraId="13B08956" w14:textId="7691769D" w:rsidR="00314B3D" w:rsidRDefault="00314B3D" w:rsidP="002F429C">
      <w:pPr>
        <w:spacing w:line="276" w:lineRule="auto"/>
        <w:jc w:val="both"/>
        <w:rPr>
          <w:rFonts w:ascii="Arial" w:hAnsi="Arial" w:cs="Arial"/>
          <w:noProof/>
          <w:sz w:val="24"/>
          <w:szCs w:val="24"/>
        </w:rPr>
      </w:pPr>
    </w:p>
    <w:p w14:paraId="45806516" w14:textId="69B2E72A" w:rsidR="00314B3D" w:rsidRDefault="00314B3D" w:rsidP="002F429C">
      <w:pPr>
        <w:spacing w:line="276" w:lineRule="auto"/>
        <w:jc w:val="both"/>
        <w:rPr>
          <w:rFonts w:ascii="Arial" w:hAnsi="Arial" w:cs="Arial"/>
          <w:noProof/>
          <w:sz w:val="24"/>
          <w:szCs w:val="24"/>
        </w:rPr>
      </w:pPr>
    </w:p>
    <w:p w14:paraId="0F5B1EDC" w14:textId="35BBA747" w:rsidR="00314B3D" w:rsidRDefault="00314B3D" w:rsidP="002F429C">
      <w:pPr>
        <w:spacing w:line="276" w:lineRule="auto"/>
        <w:jc w:val="both"/>
        <w:rPr>
          <w:rFonts w:ascii="Arial" w:hAnsi="Arial" w:cs="Arial"/>
          <w:noProof/>
          <w:sz w:val="24"/>
          <w:szCs w:val="24"/>
        </w:rPr>
      </w:pPr>
    </w:p>
    <w:p w14:paraId="7B0D21F6" w14:textId="41DCCC09" w:rsidR="00314B3D" w:rsidRDefault="00314B3D" w:rsidP="002F429C">
      <w:pPr>
        <w:spacing w:line="276" w:lineRule="auto"/>
        <w:jc w:val="both"/>
        <w:rPr>
          <w:rFonts w:ascii="Arial" w:hAnsi="Arial" w:cs="Arial"/>
          <w:noProof/>
          <w:sz w:val="24"/>
          <w:szCs w:val="24"/>
        </w:rPr>
      </w:pPr>
    </w:p>
    <w:p w14:paraId="4E8C3DE0" w14:textId="752E9496" w:rsidR="00314B3D" w:rsidRDefault="00314B3D" w:rsidP="002F429C">
      <w:pPr>
        <w:spacing w:line="276" w:lineRule="auto"/>
        <w:jc w:val="both"/>
        <w:rPr>
          <w:rFonts w:ascii="Arial" w:hAnsi="Arial" w:cs="Arial"/>
          <w:noProof/>
          <w:sz w:val="24"/>
          <w:szCs w:val="24"/>
        </w:rPr>
      </w:pPr>
    </w:p>
    <w:p w14:paraId="17073302" w14:textId="77777777" w:rsidR="00314B3D" w:rsidRDefault="00314B3D" w:rsidP="002F429C">
      <w:pPr>
        <w:spacing w:line="276" w:lineRule="auto"/>
        <w:jc w:val="both"/>
        <w:rPr>
          <w:rFonts w:ascii="Arial" w:hAnsi="Arial" w:cs="Arial"/>
          <w:noProof/>
          <w:sz w:val="24"/>
          <w:szCs w:val="24"/>
        </w:rPr>
      </w:pPr>
    </w:p>
    <w:p w14:paraId="32DEF566" w14:textId="5E461784" w:rsidR="002F429C" w:rsidRDefault="002F429C" w:rsidP="002F429C">
      <w:pPr>
        <w:spacing w:line="276" w:lineRule="auto"/>
        <w:jc w:val="both"/>
        <w:rPr>
          <w:rFonts w:ascii="Arial" w:hAnsi="Arial" w:cs="Arial"/>
          <w:sz w:val="24"/>
          <w:szCs w:val="24"/>
          <w:lang w:val="en-ZA"/>
        </w:rPr>
      </w:pPr>
      <w:r>
        <w:rPr>
          <w:rFonts w:ascii="Arial" w:hAnsi="Arial" w:cs="Arial"/>
          <w:noProof/>
          <w:color w:val="000000" w:themeColor="text1"/>
          <w:sz w:val="24"/>
          <w:szCs w:val="24"/>
          <w:lang w:val="en-US"/>
        </w:rPr>
        <w:lastRenderedPageBreak/>
        <w:drawing>
          <wp:anchor distT="0" distB="0" distL="114300" distR="114300" simplePos="0" relativeHeight="251965440" behindDoc="1" locked="0" layoutInCell="1" allowOverlap="1" wp14:anchorId="1E2BD420" wp14:editId="3A874E13">
            <wp:simplePos x="0" y="0"/>
            <wp:positionH relativeFrom="margin">
              <wp:posOffset>-88900</wp:posOffset>
            </wp:positionH>
            <wp:positionV relativeFrom="paragraph">
              <wp:posOffset>12700</wp:posOffset>
            </wp:positionV>
            <wp:extent cx="6818630" cy="2209800"/>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400" cstate="email">
                      <a:extLst>
                        <a:ext uri="{28A0092B-C50C-407E-A947-70E740481C1C}">
                          <a14:useLocalDpi xmlns:a14="http://schemas.microsoft.com/office/drawing/2010/main"/>
                        </a:ext>
                      </a:extLst>
                    </a:blip>
                    <a:srcRect/>
                    <a:stretch/>
                  </pic:blipFill>
                  <pic:spPr bwMode="auto">
                    <a:xfrm>
                      <a:off x="0" y="0"/>
                      <a:ext cx="681863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A26E09" w14:textId="074C7D00" w:rsidR="002F429C" w:rsidRPr="002F429C" w:rsidRDefault="002F429C" w:rsidP="002F429C">
      <w:pPr>
        <w:spacing w:line="276" w:lineRule="auto"/>
        <w:jc w:val="both"/>
        <w:rPr>
          <w:rFonts w:ascii="Arial" w:hAnsi="Arial" w:cs="Arial"/>
          <w:sz w:val="24"/>
          <w:szCs w:val="24"/>
          <w:lang w:val="en-US"/>
        </w:rPr>
      </w:pPr>
    </w:p>
    <w:p w14:paraId="4DBD3AD4" w14:textId="508D3833" w:rsidR="00EB0AA3" w:rsidRPr="002F429C" w:rsidRDefault="002F429C" w:rsidP="002F429C">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1968512" behindDoc="0" locked="0" layoutInCell="1" allowOverlap="1" wp14:anchorId="71112A92" wp14:editId="2AE22D69">
                <wp:simplePos x="0" y="0"/>
                <wp:positionH relativeFrom="column">
                  <wp:posOffset>1308100</wp:posOffset>
                </wp:positionH>
                <wp:positionV relativeFrom="paragraph">
                  <wp:posOffset>107859</wp:posOffset>
                </wp:positionV>
                <wp:extent cx="5138420" cy="330200"/>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5138420" cy="330200"/>
                        </a:xfrm>
                        <a:prstGeom prst="rect">
                          <a:avLst/>
                        </a:prstGeom>
                        <a:noFill/>
                        <a:ln w="6350">
                          <a:noFill/>
                        </a:ln>
                      </wps:spPr>
                      <wps:txbx>
                        <w:txbxContent>
                          <w:p w14:paraId="17EDF786" w14:textId="55C39342" w:rsidR="00D15FD8" w:rsidRPr="002F429C" w:rsidRDefault="00D15FD8" w:rsidP="002F429C">
                            <w:pPr>
                              <w:spacing w:line="276" w:lineRule="auto"/>
                              <w:rPr>
                                <w:rFonts w:ascii="Arial" w:hAnsi="Arial" w:cs="Arial"/>
                                <w:b/>
                                <w:bCs/>
                                <w:color w:val="FFFFFF" w:themeColor="background1"/>
                                <w:sz w:val="24"/>
                                <w:szCs w:val="24"/>
                              </w:rPr>
                            </w:pPr>
                            <w:r w:rsidRPr="002F429C">
                              <w:rPr>
                                <w:rFonts w:ascii="Arial" w:hAnsi="Arial" w:cs="Arial"/>
                                <w:b/>
                                <w:bCs/>
                                <w:color w:val="FFFFFF" w:themeColor="background1"/>
                                <w:sz w:val="24"/>
                                <w:szCs w:val="24"/>
                              </w:rPr>
                              <w:t xml:space="preserve">As defined by </w:t>
                            </w:r>
                            <w:hyperlink r:id="rId401" w:history="1">
                              <w:proofErr w:type="spellStart"/>
                              <w:r w:rsidRPr="002F429C">
                                <w:rPr>
                                  <w:rFonts w:ascii="Arial" w:hAnsi="Arial" w:cs="Arial"/>
                                  <w:b/>
                                  <w:bCs/>
                                  <w:color w:val="FFFFFF" w:themeColor="background1"/>
                                  <w:sz w:val="24"/>
                                  <w:szCs w:val="24"/>
                                  <w:u w:val="single"/>
                                </w:rPr>
                                <w:t>Civicus</w:t>
                              </w:r>
                              <w:proofErr w:type="spellEnd"/>
                            </w:hyperlink>
                            <w:r w:rsidRPr="002F429C">
                              <w:rPr>
                                <w:rFonts w:ascii="Arial" w:hAnsi="Arial" w:cs="Arial"/>
                                <w:b/>
                                <w:bCs/>
                                <w:color w:val="FFFFFF" w:themeColor="background1"/>
                                <w:sz w:val="24"/>
                                <w:szCs w:val="24"/>
                              </w:rPr>
                              <w:t xml:space="preserve"> in its strategic plan (2017-2022):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12A92" id="Text Box 331" o:spid="_x0000_s1237" type="#_x0000_t202" style="position:absolute;left:0;text-align:left;margin-left:103pt;margin-top:8.5pt;width:404.6pt;height:2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" filled="f" stroked="f" strokeweight=".5pt">
                <v:textbox>
                  <w:txbxContent>
                    <w:p w14:paraId="17EDF786" w14:textId="55C39342" w:rsidR="00D15FD8" w:rsidRPr="002F429C" w:rsidRDefault="00D15FD8" w:rsidP="002F429C">
                      <w:pPr>
                        <w:spacing w:line="276" w:lineRule="auto"/>
                        <w:rPr>
                          <w:rFonts w:ascii="Arial" w:hAnsi="Arial" w:cs="Arial"/>
                          <w:b/>
                          <w:bCs/>
                          <w:color w:val="FFFFFF" w:themeColor="background1"/>
                          <w:sz w:val="24"/>
                          <w:szCs w:val="24"/>
                        </w:rPr>
                      </w:pPr>
                      <w:r w:rsidRPr="002F429C">
                        <w:rPr>
                          <w:rFonts w:ascii="Arial" w:hAnsi="Arial" w:cs="Arial"/>
                          <w:b/>
                          <w:bCs/>
                          <w:color w:val="FFFFFF" w:themeColor="background1"/>
                          <w:sz w:val="24"/>
                          <w:szCs w:val="24"/>
                        </w:rPr>
                        <w:t xml:space="preserve">As defined by </w:t>
                      </w:r>
                      <w:hyperlink r:id="rId402" w:history="1">
                        <w:proofErr w:type="spellStart"/>
                        <w:r w:rsidRPr="002F429C">
                          <w:rPr>
                            <w:rFonts w:ascii="Arial" w:hAnsi="Arial" w:cs="Arial"/>
                            <w:b/>
                            <w:bCs/>
                            <w:color w:val="FFFFFF" w:themeColor="background1"/>
                            <w:sz w:val="24"/>
                            <w:szCs w:val="24"/>
                            <w:u w:val="single"/>
                          </w:rPr>
                          <w:t>Civicus</w:t>
                        </w:r>
                        <w:proofErr w:type="spellEnd"/>
                      </w:hyperlink>
                      <w:r w:rsidRPr="002F429C">
                        <w:rPr>
                          <w:rFonts w:ascii="Arial" w:hAnsi="Arial" w:cs="Arial"/>
                          <w:b/>
                          <w:bCs/>
                          <w:color w:val="FFFFFF" w:themeColor="background1"/>
                          <w:sz w:val="24"/>
                          <w:szCs w:val="24"/>
                        </w:rPr>
                        <w:t xml:space="preserve"> in its strategic plan (2017-2022):</w:t>
                      </w:r>
                    </w:p>
                  </w:txbxContent>
                </v:textbox>
              </v:shape>
            </w:pict>
          </mc:Fallback>
        </mc:AlternateContent>
      </w:r>
    </w:p>
    <w:p w14:paraId="1DB28341" w14:textId="5E7EEDB9" w:rsidR="002F429C" w:rsidRDefault="002F429C" w:rsidP="002F429C">
      <w:pPr>
        <w:spacing w:line="276" w:lineRule="auto"/>
        <w:jc w:val="both"/>
        <w:rPr>
          <w:rFonts w:ascii="Arial" w:hAnsi="Arial" w:cs="Arial"/>
          <w:sz w:val="24"/>
          <w:szCs w:val="24"/>
        </w:rPr>
      </w:pPr>
    </w:p>
    <w:p w14:paraId="21FF5375" w14:textId="1D34AC07" w:rsidR="002F429C" w:rsidRDefault="002F429C" w:rsidP="002F429C">
      <w:pPr>
        <w:spacing w:line="276" w:lineRule="auto"/>
        <w:jc w:val="both"/>
        <w:rPr>
          <w:rFonts w:ascii="Arial" w:hAnsi="Arial" w:cs="Arial"/>
          <w:sz w:val="24"/>
          <w:szCs w:val="24"/>
        </w:rPr>
      </w:pPr>
    </w:p>
    <w:p w14:paraId="1401E294" w14:textId="5B5FC26A" w:rsidR="002F429C" w:rsidRDefault="002F429C" w:rsidP="002F429C">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67488" behindDoc="0" locked="0" layoutInCell="1" allowOverlap="1" wp14:anchorId="1A523DBC" wp14:editId="5ED1948B">
                <wp:simplePos x="0" y="0"/>
                <wp:positionH relativeFrom="margin">
                  <wp:posOffset>165100</wp:posOffset>
                </wp:positionH>
                <wp:positionV relativeFrom="paragraph">
                  <wp:posOffset>36739</wp:posOffset>
                </wp:positionV>
                <wp:extent cx="6319520" cy="1473200"/>
                <wp:effectExtent l="0" t="0" r="0" b="0"/>
                <wp:wrapNone/>
                <wp:docPr id="330" name="Text Box 330"/>
                <wp:cNvGraphicFramePr/>
                <a:graphic xmlns:a="http://schemas.openxmlformats.org/drawingml/2006/main">
                  <a:graphicData uri="http://schemas.microsoft.com/office/word/2010/wordprocessingShape">
                    <wps:wsp>
                      <wps:cNvSpPr txBox="1"/>
                      <wps:spPr>
                        <a:xfrm>
                          <a:off x="0" y="0"/>
                          <a:ext cx="6319520" cy="1473200"/>
                        </a:xfrm>
                        <a:prstGeom prst="rect">
                          <a:avLst/>
                        </a:prstGeom>
                        <a:noFill/>
                        <a:ln w="6350">
                          <a:noFill/>
                        </a:ln>
                      </wps:spPr>
                      <wps:txbx>
                        <w:txbxContent>
                          <w:p w14:paraId="3C222615" w14:textId="2F712F28" w:rsidR="00D15FD8" w:rsidRPr="00776287" w:rsidRDefault="00D15FD8" w:rsidP="002241FA">
                            <w:pPr>
                              <w:spacing w:line="276" w:lineRule="auto"/>
                              <w:jc w:val="both"/>
                              <w:rPr>
                                <w:color w:val="FFFFFF" w:themeColor="background1"/>
                              </w:rPr>
                            </w:pPr>
                            <w:r w:rsidRPr="002F429C">
                              <w:rPr>
                                <w:rFonts w:ascii="Arial" w:eastAsiaTheme="minorEastAsia" w:hAnsi="Arial" w:cs="Arial"/>
                                <w:i/>
                                <w:color w:val="FFFFFF" w:themeColor="background1"/>
                                <w:sz w:val="24"/>
                                <w:szCs w:val="24"/>
                                <w:lang w:val="en-US"/>
                              </w:rPr>
                              <w:t xml:space="preserve">“Our definition of civil society is broad and covers non-governmental </w:t>
                            </w:r>
                            <w:proofErr w:type="spellStart"/>
                            <w:r w:rsidRPr="002F429C">
                              <w:rPr>
                                <w:rFonts w:ascii="Arial" w:eastAsiaTheme="minorEastAsia" w:hAnsi="Arial" w:cs="Arial"/>
                                <w:i/>
                                <w:color w:val="FFFFFF" w:themeColor="background1"/>
                                <w:sz w:val="24"/>
                                <w:szCs w:val="24"/>
                                <w:lang w:val="en-US"/>
                              </w:rPr>
                              <w:t>organisations</w:t>
                            </w:r>
                            <w:proofErr w:type="spellEnd"/>
                            <w:r w:rsidRPr="002F429C">
                              <w:rPr>
                                <w:rFonts w:ascii="Arial" w:eastAsiaTheme="minorEastAsia" w:hAnsi="Arial" w:cs="Arial"/>
                                <w:i/>
                                <w:color w:val="FFFFFF" w:themeColor="background1"/>
                                <w:sz w:val="24"/>
                                <w:szCs w:val="24"/>
                                <w:lang w:val="en-US"/>
                              </w:rPr>
                              <w:t xml:space="preserve">, activists, civil society coalitions and networks, protest and social movements, voluntary bodies, campaigning </w:t>
                            </w:r>
                            <w:proofErr w:type="spellStart"/>
                            <w:r w:rsidRPr="002F429C">
                              <w:rPr>
                                <w:rFonts w:ascii="Arial" w:eastAsiaTheme="minorEastAsia" w:hAnsi="Arial" w:cs="Arial"/>
                                <w:i/>
                                <w:color w:val="FFFFFF" w:themeColor="background1"/>
                                <w:sz w:val="24"/>
                                <w:szCs w:val="24"/>
                                <w:lang w:val="en-US"/>
                              </w:rPr>
                              <w:t>organisations</w:t>
                            </w:r>
                            <w:proofErr w:type="spellEnd"/>
                            <w:r w:rsidRPr="002F429C">
                              <w:rPr>
                                <w:rFonts w:ascii="Arial" w:eastAsiaTheme="minorEastAsia" w:hAnsi="Arial" w:cs="Arial"/>
                                <w:i/>
                                <w:color w:val="FFFFFF" w:themeColor="background1"/>
                                <w:sz w:val="24"/>
                                <w:szCs w:val="24"/>
                                <w:lang w:val="en-US"/>
                              </w:rPr>
                              <w:t xml:space="preserve">, charities, faith-based groups, trade unions and philanthropic foundations. Our membership is diverse, spanning a wide range of issues, sizes and </w:t>
                            </w:r>
                            <w:proofErr w:type="spellStart"/>
                            <w:r w:rsidRPr="002F429C">
                              <w:rPr>
                                <w:rFonts w:ascii="Arial" w:eastAsiaTheme="minorEastAsia" w:hAnsi="Arial" w:cs="Arial"/>
                                <w:i/>
                                <w:color w:val="FFFFFF" w:themeColor="background1"/>
                                <w:sz w:val="24"/>
                                <w:szCs w:val="24"/>
                                <w:lang w:val="en-US"/>
                              </w:rPr>
                              <w:t>organisation</w:t>
                            </w:r>
                            <w:proofErr w:type="spellEnd"/>
                            <w:r w:rsidRPr="002F429C">
                              <w:rPr>
                                <w:rFonts w:ascii="Arial" w:eastAsiaTheme="minorEastAsia" w:hAnsi="Arial" w:cs="Arial"/>
                                <w:i/>
                                <w:color w:val="FFFFFF" w:themeColor="background1"/>
                                <w:sz w:val="24"/>
                                <w:szCs w:val="24"/>
                                <w:lang w:val="en-US"/>
                              </w:rPr>
                              <w:t xml:space="preserve"> types.” Civil society is thus composed of many different types of organizations, coalitions, networks, movements, works, groups, etcetera.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23DBC" id="Text Box 330" o:spid="_x0000_s1238" type="#_x0000_t202" style="position:absolute;left:0;text-align:left;margin-left:13pt;margin-top:2.9pt;width:497.6pt;height:116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" filled="f" stroked="f" strokeweight=".5pt">
                <v:textbox>
                  <w:txbxContent>
                    <w:p w14:paraId="3C222615" w14:textId="2F712F28" w:rsidR="00D15FD8" w:rsidRPr="00776287" w:rsidRDefault="00D15FD8" w:rsidP="002241FA">
                      <w:pPr>
                        <w:spacing w:line="276" w:lineRule="auto"/>
                        <w:jc w:val="both"/>
                        <w:rPr>
                          <w:color w:val="FFFFFF" w:themeColor="background1"/>
                        </w:rPr>
                      </w:pPr>
                      <w:r w:rsidRPr="002F429C">
                        <w:rPr>
                          <w:rFonts w:ascii="Arial" w:eastAsiaTheme="minorEastAsia" w:hAnsi="Arial" w:cs="Arial"/>
                          <w:i/>
                          <w:color w:val="FFFFFF" w:themeColor="background1"/>
                          <w:sz w:val="24"/>
                          <w:szCs w:val="24"/>
                          <w:lang w:val="en-US"/>
                        </w:rPr>
                        <w:t xml:space="preserve">“Our definition of civil society is broad and covers non-governmental </w:t>
                      </w:r>
                      <w:proofErr w:type="spellStart"/>
                      <w:r w:rsidRPr="002F429C">
                        <w:rPr>
                          <w:rFonts w:ascii="Arial" w:eastAsiaTheme="minorEastAsia" w:hAnsi="Arial" w:cs="Arial"/>
                          <w:i/>
                          <w:color w:val="FFFFFF" w:themeColor="background1"/>
                          <w:sz w:val="24"/>
                          <w:szCs w:val="24"/>
                          <w:lang w:val="en-US"/>
                        </w:rPr>
                        <w:t>organisations</w:t>
                      </w:r>
                      <w:proofErr w:type="spellEnd"/>
                      <w:r w:rsidRPr="002F429C">
                        <w:rPr>
                          <w:rFonts w:ascii="Arial" w:eastAsiaTheme="minorEastAsia" w:hAnsi="Arial" w:cs="Arial"/>
                          <w:i/>
                          <w:color w:val="FFFFFF" w:themeColor="background1"/>
                          <w:sz w:val="24"/>
                          <w:szCs w:val="24"/>
                          <w:lang w:val="en-US"/>
                        </w:rPr>
                        <w:t xml:space="preserve">, activists, civil society coalitions and networks, protest and social movements, voluntary bodies, campaigning </w:t>
                      </w:r>
                      <w:proofErr w:type="spellStart"/>
                      <w:r w:rsidRPr="002F429C">
                        <w:rPr>
                          <w:rFonts w:ascii="Arial" w:eastAsiaTheme="minorEastAsia" w:hAnsi="Arial" w:cs="Arial"/>
                          <w:i/>
                          <w:color w:val="FFFFFF" w:themeColor="background1"/>
                          <w:sz w:val="24"/>
                          <w:szCs w:val="24"/>
                          <w:lang w:val="en-US"/>
                        </w:rPr>
                        <w:t>organisations</w:t>
                      </w:r>
                      <w:proofErr w:type="spellEnd"/>
                      <w:r w:rsidRPr="002F429C">
                        <w:rPr>
                          <w:rFonts w:ascii="Arial" w:eastAsiaTheme="minorEastAsia" w:hAnsi="Arial" w:cs="Arial"/>
                          <w:i/>
                          <w:color w:val="FFFFFF" w:themeColor="background1"/>
                          <w:sz w:val="24"/>
                          <w:szCs w:val="24"/>
                          <w:lang w:val="en-US"/>
                        </w:rPr>
                        <w:t xml:space="preserve">, charities, faith-based groups, trade unions and philanthropic foundations. Our membership is diverse, spanning a wide range of issues, sizes and </w:t>
                      </w:r>
                      <w:proofErr w:type="spellStart"/>
                      <w:r w:rsidRPr="002F429C">
                        <w:rPr>
                          <w:rFonts w:ascii="Arial" w:eastAsiaTheme="minorEastAsia" w:hAnsi="Arial" w:cs="Arial"/>
                          <w:i/>
                          <w:color w:val="FFFFFF" w:themeColor="background1"/>
                          <w:sz w:val="24"/>
                          <w:szCs w:val="24"/>
                          <w:lang w:val="en-US"/>
                        </w:rPr>
                        <w:t>organisation</w:t>
                      </w:r>
                      <w:proofErr w:type="spellEnd"/>
                      <w:r w:rsidRPr="002F429C">
                        <w:rPr>
                          <w:rFonts w:ascii="Arial" w:eastAsiaTheme="minorEastAsia" w:hAnsi="Arial" w:cs="Arial"/>
                          <w:i/>
                          <w:color w:val="FFFFFF" w:themeColor="background1"/>
                          <w:sz w:val="24"/>
                          <w:szCs w:val="24"/>
                          <w:lang w:val="en-US"/>
                        </w:rPr>
                        <w:t xml:space="preserve"> types.” Civil society is thus composed of many different types of organizations, coalitions, networks, movements, works, groups, etcetera.</w:t>
                      </w:r>
                    </w:p>
                  </w:txbxContent>
                </v:textbox>
                <w10:wrap anchorx="margin"/>
              </v:shape>
            </w:pict>
          </mc:Fallback>
        </mc:AlternateContent>
      </w:r>
    </w:p>
    <w:p w14:paraId="5C95FE85" w14:textId="6EE4D22C" w:rsidR="002F429C" w:rsidRDefault="002F429C" w:rsidP="002F429C">
      <w:pPr>
        <w:spacing w:line="276" w:lineRule="auto"/>
        <w:jc w:val="both"/>
        <w:rPr>
          <w:rFonts w:ascii="Arial" w:hAnsi="Arial" w:cs="Arial"/>
          <w:sz w:val="24"/>
          <w:szCs w:val="24"/>
        </w:rPr>
      </w:pPr>
    </w:p>
    <w:p w14:paraId="469C47AF" w14:textId="77777777" w:rsidR="002F429C" w:rsidRDefault="002F429C" w:rsidP="002F429C">
      <w:pPr>
        <w:spacing w:line="276" w:lineRule="auto"/>
        <w:jc w:val="both"/>
        <w:rPr>
          <w:rFonts w:ascii="Arial" w:hAnsi="Arial" w:cs="Arial"/>
          <w:sz w:val="24"/>
          <w:szCs w:val="24"/>
        </w:rPr>
      </w:pPr>
    </w:p>
    <w:p w14:paraId="0D28BDB4" w14:textId="66F9908E" w:rsidR="002F429C" w:rsidRDefault="002F429C" w:rsidP="002F429C">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969536" behindDoc="1" locked="0" layoutInCell="1" allowOverlap="1" wp14:anchorId="16F616BA" wp14:editId="577FDD5E">
                <wp:simplePos x="0" y="0"/>
                <wp:positionH relativeFrom="column">
                  <wp:posOffset>0</wp:posOffset>
                </wp:positionH>
                <wp:positionV relativeFrom="paragraph">
                  <wp:posOffset>127635</wp:posOffset>
                </wp:positionV>
                <wp:extent cx="6642000" cy="718457"/>
                <wp:effectExtent l="0" t="0" r="635" b="5715"/>
                <wp:wrapNone/>
                <wp:docPr id="332" name="Rectangle 332"/>
                <wp:cNvGraphicFramePr/>
                <a:graphic xmlns:a="http://schemas.openxmlformats.org/drawingml/2006/main">
                  <a:graphicData uri="http://schemas.microsoft.com/office/word/2010/wordprocessingShape">
                    <wps:wsp>
                      <wps:cNvSpPr/>
                      <wps:spPr>
                        <a:xfrm>
                          <a:off x="0" y="0"/>
                          <a:ext cx="6642000" cy="718457"/>
                        </a:xfrm>
                        <a:prstGeom prst="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010BF6E4" id="Rectangle 332" o:spid="_x0000_s1026" style="position:absolute;margin-left:0;margin-top:10.05pt;width:523pt;height:56.55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" fillcolor="#69557f" stroked="f" strokeweight="1pt"/>
            </w:pict>
          </mc:Fallback>
        </mc:AlternateContent>
      </w:r>
    </w:p>
    <w:p w14:paraId="6FEA2032" w14:textId="1867403B" w:rsidR="002F429C" w:rsidRDefault="002F429C" w:rsidP="002F429C">
      <w:pPr>
        <w:spacing w:line="276" w:lineRule="auto"/>
        <w:jc w:val="both"/>
        <w:rPr>
          <w:rFonts w:ascii="Arial" w:hAnsi="Arial" w:cs="Arial"/>
          <w:sz w:val="24"/>
          <w:szCs w:val="24"/>
        </w:rPr>
      </w:pPr>
    </w:p>
    <w:p w14:paraId="4C17CD62" w14:textId="77777777" w:rsidR="00314B3D" w:rsidRDefault="00314B3D" w:rsidP="002F429C">
      <w:pPr>
        <w:spacing w:line="276" w:lineRule="auto"/>
        <w:jc w:val="both"/>
        <w:rPr>
          <w:rFonts w:ascii="Arial" w:hAnsi="Arial" w:cs="Arial"/>
          <w:sz w:val="24"/>
          <w:szCs w:val="24"/>
        </w:rPr>
      </w:pPr>
    </w:p>
    <w:p w14:paraId="1C66DCCE" w14:textId="2BD94E30" w:rsidR="00EB0AA3" w:rsidRDefault="00EB0AA3" w:rsidP="002F429C">
      <w:pPr>
        <w:spacing w:line="276" w:lineRule="auto"/>
        <w:jc w:val="both"/>
        <w:rPr>
          <w:rFonts w:ascii="Arial" w:hAnsi="Arial" w:cs="Arial"/>
          <w:sz w:val="24"/>
          <w:szCs w:val="24"/>
        </w:rPr>
      </w:pPr>
    </w:p>
    <w:p w14:paraId="0FF245E8" w14:textId="0C419768" w:rsidR="002F429C" w:rsidRPr="002F429C" w:rsidRDefault="00F33A2A" w:rsidP="002F429C">
      <w:pPr>
        <w:spacing w:line="276" w:lineRule="auto"/>
        <w:jc w:val="both"/>
        <w:rPr>
          <w:rFonts w:ascii="Arial" w:hAnsi="Arial" w:cs="Arial"/>
          <w:i/>
          <w:sz w:val="24"/>
          <w:szCs w:val="24"/>
        </w:rPr>
      </w:pPr>
      <w:r>
        <w:rPr>
          <w:rFonts w:ascii="Arial" w:hAnsi="Arial" w:cs="Arial"/>
          <w:noProof/>
          <w:sz w:val="24"/>
          <w:szCs w:val="24"/>
          <w:lang w:val="en-US"/>
        </w:rPr>
        <w:drawing>
          <wp:anchor distT="0" distB="0" distL="114300" distR="114300" simplePos="0" relativeHeight="251970560" behindDoc="0" locked="0" layoutInCell="1" allowOverlap="1" wp14:anchorId="64EEE1C6" wp14:editId="6B339F59">
            <wp:simplePos x="0" y="0"/>
            <wp:positionH relativeFrom="column">
              <wp:posOffset>-65405</wp:posOffset>
            </wp:positionH>
            <wp:positionV relativeFrom="paragraph">
              <wp:posOffset>224790</wp:posOffset>
            </wp:positionV>
            <wp:extent cx="2619375" cy="2590800"/>
            <wp:effectExtent l="0" t="0" r="0"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rotWithShape="1">
                    <a:blip r:embed="rId403" cstate="email">
                      <a:extLst>
                        <a:ext uri="{28A0092B-C50C-407E-A947-70E740481C1C}">
                          <a14:useLocalDpi xmlns:a14="http://schemas.microsoft.com/office/drawing/2010/main"/>
                        </a:ext>
                      </a:extLst>
                    </a:blip>
                    <a:srcRect/>
                    <a:stretch/>
                  </pic:blipFill>
                  <pic:spPr bwMode="auto">
                    <a:xfrm>
                      <a:off x="0" y="0"/>
                      <a:ext cx="2619375"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317BEA" w14:textId="46FF4AE9" w:rsidR="00EB0AA3" w:rsidRPr="002F429C" w:rsidRDefault="00EB0AA3" w:rsidP="002F429C">
      <w:pPr>
        <w:spacing w:line="276" w:lineRule="auto"/>
        <w:jc w:val="both"/>
        <w:rPr>
          <w:rFonts w:ascii="Arial" w:hAnsi="Arial" w:cs="Arial"/>
          <w:sz w:val="24"/>
          <w:szCs w:val="24"/>
          <w:lang w:val="en-US"/>
        </w:rPr>
      </w:pPr>
      <w:r w:rsidRPr="002F429C">
        <w:rPr>
          <w:rFonts w:ascii="Arial" w:hAnsi="Arial" w:cs="Arial"/>
          <w:sz w:val="24"/>
          <w:szCs w:val="24"/>
          <w:lang w:val="en-US"/>
        </w:rPr>
        <w:t xml:space="preserve">For fiscal transparency, public participation and accountability, civil society has a key role to play, by among others undertaking appropriate research; monitoring and advocating for </w:t>
      </w:r>
      <w:r w:rsidRPr="002F429C">
        <w:rPr>
          <w:rFonts w:ascii="Arial" w:hAnsi="Arial" w:cs="Arial"/>
          <w:sz w:val="24"/>
          <w:szCs w:val="24"/>
          <w:lang w:val="en-ZA"/>
        </w:rPr>
        <w:t xml:space="preserve">fiscal policy and political agenda goals, such as </w:t>
      </w:r>
      <w:r w:rsidRPr="002F429C">
        <w:rPr>
          <w:rFonts w:ascii="Arial" w:hAnsi="Arial" w:cs="Arial"/>
          <w:sz w:val="24"/>
          <w:szCs w:val="24"/>
          <w:lang w:val="en-US"/>
        </w:rPr>
        <w:t>social justice; providing and demanding information from the government; providing</w:t>
      </w:r>
      <w:r w:rsidRPr="002F429C">
        <w:rPr>
          <w:rFonts w:ascii="Arial" w:hAnsi="Arial" w:cs="Arial"/>
          <w:sz w:val="24"/>
          <w:szCs w:val="24"/>
          <w:lang w:val="en-ZA"/>
        </w:rPr>
        <w:t xml:space="preserve"> educational opportunities on public sector issues</w:t>
      </w:r>
      <w:r w:rsidRPr="002F429C">
        <w:rPr>
          <w:rFonts w:ascii="Arial" w:hAnsi="Arial" w:cs="Arial"/>
          <w:sz w:val="24"/>
          <w:szCs w:val="24"/>
          <w:lang w:val="en-US"/>
        </w:rPr>
        <w:t>; as well as endorsing and claiming a right to participate in public sector processes.</w:t>
      </w:r>
    </w:p>
    <w:p w14:paraId="526B98DF" w14:textId="1E467398" w:rsidR="00EB0AA3" w:rsidRPr="002F429C" w:rsidRDefault="00EB0AA3" w:rsidP="002F429C">
      <w:pPr>
        <w:spacing w:line="276" w:lineRule="auto"/>
        <w:jc w:val="both"/>
        <w:rPr>
          <w:rFonts w:ascii="Arial" w:hAnsi="Arial" w:cs="Arial"/>
          <w:sz w:val="24"/>
          <w:szCs w:val="24"/>
          <w:lang w:val="en-US"/>
        </w:rPr>
      </w:pPr>
    </w:p>
    <w:p w14:paraId="04D48D30" w14:textId="428BE79F" w:rsidR="00EB0AA3" w:rsidRPr="002F429C" w:rsidRDefault="00EB0AA3" w:rsidP="002F429C">
      <w:pPr>
        <w:spacing w:line="276" w:lineRule="auto"/>
        <w:jc w:val="both"/>
        <w:rPr>
          <w:rFonts w:ascii="Arial" w:hAnsi="Arial" w:cs="Arial"/>
          <w:sz w:val="24"/>
          <w:szCs w:val="24"/>
          <w:lang w:val="en-ZA"/>
        </w:rPr>
      </w:pPr>
      <w:r w:rsidRPr="002F429C">
        <w:rPr>
          <w:rFonts w:ascii="Arial" w:hAnsi="Arial" w:cs="Arial"/>
          <w:sz w:val="24"/>
          <w:szCs w:val="24"/>
          <w:lang w:val="en-ZA"/>
        </w:rPr>
        <w:t>Civil society organizations, or CSOs, refer to the non-market or not for profit as well as non-state organizations in which people organize themselves to pursue shared interests in the public domain. CSOs normally focus on specific areas, with some concentrating on policies and encouraging governmental financial transparency and accountability through public participation processes at the different stages of the fiscal policy cycle.</w:t>
      </w:r>
    </w:p>
    <w:p w14:paraId="69392CAC" w14:textId="0D9E55FC" w:rsidR="00EB0AA3" w:rsidRPr="002F429C" w:rsidRDefault="00EA30D7" w:rsidP="002F429C">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1971584" behindDoc="0" locked="0" layoutInCell="1" allowOverlap="1" wp14:anchorId="6900F2F1" wp14:editId="1345F624">
            <wp:simplePos x="0" y="0"/>
            <wp:positionH relativeFrom="column">
              <wp:posOffset>0</wp:posOffset>
            </wp:positionH>
            <wp:positionV relativeFrom="paragraph">
              <wp:posOffset>206375</wp:posOffset>
            </wp:positionV>
            <wp:extent cx="1871980" cy="1898650"/>
            <wp:effectExtent l="0" t="0" r="0" b="635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rotWithShape="1">
                    <a:blip r:embed="rId404" cstate="email">
                      <a:extLst>
                        <a:ext uri="{28A0092B-C50C-407E-A947-70E740481C1C}">
                          <a14:useLocalDpi xmlns:a14="http://schemas.microsoft.com/office/drawing/2010/main"/>
                        </a:ext>
                      </a:extLst>
                    </a:blip>
                    <a:srcRect/>
                    <a:stretch/>
                  </pic:blipFill>
                  <pic:spPr bwMode="auto">
                    <a:xfrm>
                      <a:off x="0" y="0"/>
                      <a:ext cx="1871980" cy="189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73B234" w14:textId="2DE6E2FA" w:rsidR="00EB0AA3" w:rsidRPr="002F429C" w:rsidRDefault="00EB0AA3" w:rsidP="002F429C">
      <w:pPr>
        <w:spacing w:line="276" w:lineRule="auto"/>
        <w:jc w:val="both"/>
        <w:rPr>
          <w:rFonts w:ascii="Arial" w:hAnsi="Arial" w:cs="Arial"/>
          <w:sz w:val="24"/>
          <w:szCs w:val="24"/>
          <w:lang w:val="en-US"/>
        </w:rPr>
      </w:pPr>
      <w:r w:rsidRPr="002F429C">
        <w:rPr>
          <w:rFonts w:ascii="Arial" w:hAnsi="Arial" w:cs="Arial"/>
          <w:sz w:val="24"/>
          <w:szCs w:val="24"/>
          <w:lang w:val="en-ZA"/>
        </w:rPr>
        <w:t>Trade unions refer to organized associations of workers in a trade, group of trades, or profession, formed to protect and further their rights and interests. Trade unions can contribute to the formulation of public policies, through the provision of expertise on the labour force as well as in other areas, through consultative processes. They also play an important role in the oversight of budget implementation.</w:t>
      </w:r>
    </w:p>
    <w:p w14:paraId="5E88480F" w14:textId="3BDFD4E5" w:rsidR="00EB0AA3" w:rsidRPr="002F429C" w:rsidRDefault="00EB0AA3" w:rsidP="002F429C">
      <w:pPr>
        <w:spacing w:line="276" w:lineRule="auto"/>
        <w:jc w:val="both"/>
        <w:rPr>
          <w:rFonts w:ascii="Arial" w:hAnsi="Arial" w:cs="Arial"/>
          <w:sz w:val="24"/>
          <w:szCs w:val="24"/>
          <w:lang w:val="en-US"/>
        </w:rPr>
      </w:pPr>
    </w:p>
    <w:p w14:paraId="63147130" w14:textId="64056402" w:rsidR="002241FA" w:rsidRDefault="00EB0AA3" w:rsidP="00EA30D7">
      <w:pPr>
        <w:spacing w:line="276" w:lineRule="auto"/>
        <w:jc w:val="both"/>
        <w:rPr>
          <w:rFonts w:ascii="Arial" w:hAnsi="Arial" w:cs="Arial"/>
          <w:noProof/>
          <w:sz w:val="24"/>
          <w:szCs w:val="24"/>
        </w:rPr>
      </w:pPr>
      <w:r w:rsidRPr="002F429C">
        <w:rPr>
          <w:rFonts w:ascii="Arial" w:hAnsi="Arial" w:cs="Arial"/>
          <w:sz w:val="24"/>
          <w:szCs w:val="24"/>
          <w:lang w:val="en-US"/>
        </w:rPr>
        <w:t>It should however be borne in mind, that civil society actors comprise a multitude of people and organizations, with countless views, not all of which favor fiscal transparency. For instance, selected groups may actually benefit from a lack of transparency and as such will likely use their influence to oppose it. Governments must, as such, balance the interests of these different groups, including those representing some version of a public interest, and their support or opposition to transparency.</w:t>
      </w:r>
      <w:r w:rsidR="00EA30D7" w:rsidRPr="00EA30D7">
        <w:rPr>
          <w:rFonts w:ascii="Arial" w:hAnsi="Arial" w:cs="Arial"/>
          <w:noProof/>
          <w:sz w:val="24"/>
          <w:szCs w:val="24"/>
        </w:rPr>
        <w:t xml:space="preserve"> </w:t>
      </w:r>
    </w:p>
    <w:p w14:paraId="0E4279F8" w14:textId="0A3C9897" w:rsidR="002241FA" w:rsidRDefault="002241FA" w:rsidP="00EA30D7">
      <w:pPr>
        <w:spacing w:line="276" w:lineRule="auto"/>
        <w:jc w:val="both"/>
        <w:rPr>
          <w:rFonts w:ascii="Arial" w:hAnsi="Arial" w:cs="Arial"/>
          <w:sz w:val="24"/>
          <w:szCs w:val="24"/>
          <w:lang w:val="en-US"/>
        </w:rPr>
      </w:pPr>
    </w:p>
    <w:p w14:paraId="51B6898F" w14:textId="62C80F56" w:rsidR="00314B3D" w:rsidRDefault="00314B3D" w:rsidP="00EA30D7">
      <w:pPr>
        <w:spacing w:line="276" w:lineRule="auto"/>
        <w:jc w:val="both"/>
        <w:rPr>
          <w:rFonts w:ascii="Arial" w:hAnsi="Arial" w:cs="Arial"/>
          <w:sz w:val="24"/>
          <w:szCs w:val="24"/>
          <w:lang w:val="en-US"/>
        </w:rPr>
      </w:pPr>
    </w:p>
    <w:p w14:paraId="30012EA9" w14:textId="3867C9C2" w:rsidR="00314B3D" w:rsidRDefault="00314B3D" w:rsidP="00EA30D7">
      <w:pPr>
        <w:spacing w:line="276" w:lineRule="auto"/>
        <w:jc w:val="both"/>
        <w:rPr>
          <w:rFonts w:ascii="Arial" w:hAnsi="Arial" w:cs="Arial"/>
          <w:sz w:val="24"/>
          <w:szCs w:val="24"/>
          <w:lang w:val="en-US"/>
        </w:rPr>
      </w:pPr>
    </w:p>
    <w:p w14:paraId="00B3F272" w14:textId="77777777" w:rsidR="00314B3D" w:rsidRPr="00EA30D7" w:rsidRDefault="00314B3D" w:rsidP="00EA30D7">
      <w:pPr>
        <w:spacing w:line="276" w:lineRule="auto"/>
        <w:jc w:val="both"/>
        <w:rPr>
          <w:rFonts w:ascii="Arial" w:hAnsi="Arial" w:cs="Arial"/>
          <w:sz w:val="24"/>
          <w:szCs w:val="24"/>
          <w:lang w:val="en-US"/>
        </w:rPr>
      </w:pPr>
    </w:p>
    <w:p w14:paraId="6FE92C05" w14:textId="43FE0287" w:rsidR="00EB0AA3" w:rsidRDefault="00150E04" w:rsidP="00EA30D7">
      <w:pPr>
        <w:spacing w:after="160" w:line="259" w:lineRule="auto"/>
        <w:contextualSpacing/>
        <w:rPr>
          <w:lang w:val="en-ZA"/>
        </w:rPr>
      </w:pPr>
      <w:r>
        <w:rPr>
          <w:rFonts w:ascii="Arial" w:hAnsi="Arial" w:cs="Arial"/>
          <w:noProof/>
          <w:sz w:val="24"/>
          <w:szCs w:val="24"/>
          <w:lang w:val="en-US"/>
        </w:rPr>
        <w:lastRenderedPageBreak/>
        <mc:AlternateContent>
          <mc:Choice Requires="wps">
            <w:drawing>
              <wp:anchor distT="0" distB="0" distL="114300" distR="114300" simplePos="0" relativeHeight="251975680" behindDoc="0" locked="0" layoutInCell="1" allowOverlap="1" wp14:anchorId="342FF0FF" wp14:editId="3CF17A32">
                <wp:simplePos x="0" y="0"/>
                <wp:positionH relativeFrom="column">
                  <wp:posOffset>1088390</wp:posOffset>
                </wp:positionH>
                <wp:positionV relativeFrom="paragraph">
                  <wp:posOffset>181610</wp:posOffset>
                </wp:positionV>
                <wp:extent cx="5006975" cy="612000"/>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5006975" cy="612000"/>
                        </a:xfrm>
                        <a:prstGeom prst="rect">
                          <a:avLst/>
                        </a:prstGeom>
                        <a:solidFill>
                          <a:srgbClr val="F27E20"/>
                        </a:solidFill>
                        <a:ln w="6350">
                          <a:noFill/>
                        </a:ln>
                      </wps:spPr>
                      <wps:txbx>
                        <w:txbxContent>
                          <w:p w14:paraId="52E6B956" w14:textId="63EE7F41" w:rsidR="00D15FD8" w:rsidRPr="00EA30D7" w:rsidRDefault="00D15FD8" w:rsidP="00AB3FA0">
                            <w:pPr>
                              <w:pStyle w:val="Heading2"/>
                              <w:numPr>
                                <w:ilvl w:val="1"/>
                                <w:numId w:val="17"/>
                              </w:numPr>
                              <w:ind w:left="567" w:hanging="657"/>
                              <w:rPr>
                                <w:rFonts w:ascii="Arial" w:hAnsi="Arial" w:cs="Arial"/>
                                <w:b/>
                                <w:bCs/>
                                <w:color w:val="FFFFFF" w:themeColor="background1"/>
                                <w:sz w:val="36"/>
                                <w:szCs w:val="36"/>
                                <w:lang w:val="en-US"/>
                              </w:rPr>
                            </w:pPr>
                            <w:bookmarkStart w:id="763" w:name="_Toc116057005"/>
                            <w:bookmarkStart w:id="764" w:name="_Toc119794446"/>
                            <w:bookmarkStart w:id="765" w:name="_Toc123204431"/>
                            <w:bookmarkStart w:id="766" w:name="_Toc123216522"/>
                            <w:bookmarkStart w:id="767" w:name="_Toc123217362"/>
                            <w:bookmarkStart w:id="768" w:name="_Toc123828122"/>
                            <w:bookmarkStart w:id="769" w:name="_Toc123828332"/>
                            <w:bookmarkStart w:id="770" w:name="_Toc123828528"/>
                            <w:bookmarkStart w:id="771" w:name="_Toc123912555"/>
                            <w:bookmarkStart w:id="772" w:name="_Toc123912814"/>
                            <w:bookmarkStart w:id="773" w:name="_Toc123913041"/>
                            <w:bookmarkStart w:id="774" w:name="_Toc123913332"/>
                            <w:bookmarkStart w:id="775" w:name="_Toc123913988"/>
                            <w:bookmarkStart w:id="776" w:name="_Toc125566607"/>
                            <w:r w:rsidRPr="00EA30D7">
                              <w:rPr>
                                <w:rFonts w:ascii="Arial" w:hAnsi="Arial" w:cs="Arial"/>
                                <w:b/>
                                <w:bCs/>
                                <w:color w:val="FFFFFF" w:themeColor="background1"/>
                                <w:sz w:val="36"/>
                                <w:szCs w:val="36"/>
                                <w:lang w:val="en-US"/>
                              </w:rPr>
                              <w:t xml:space="preserve">International </w:t>
                            </w:r>
                            <w:r>
                              <w:rPr>
                                <w:rFonts w:ascii="Arial" w:hAnsi="Arial" w:cs="Arial"/>
                                <w:b/>
                                <w:bCs/>
                                <w:color w:val="FFFFFF" w:themeColor="background1"/>
                                <w:sz w:val="36"/>
                                <w:szCs w:val="36"/>
                                <w:lang w:val="en-US"/>
                              </w:rPr>
                              <w:t>d</w:t>
                            </w:r>
                            <w:r w:rsidRPr="00EA30D7">
                              <w:rPr>
                                <w:rFonts w:ascii="Arial" w:hAnsi="Arial" w:cs="Arial"/>
                                <w:b/>
                                <w:bCs/>
                                <w:color w:val="FFFFFF" w:themeColor="background1"/>
                                <w:sz w:val="36"/>
                                <w:szCs w:val="36"/>
                                <w:lang w:val="en-US"/>
                              </w:rPr>
                              <w:t xml:space="preserve">evelopment </w:t>
                            </w:r>
                            <w:r>
                              <w:rPr>
                                <w:rFonts w:ascii="Arial" w:hAnsi="Arial" w:cs="Arial"/>
                                <w:b/>
                                <w:bCs/>
                                <w:color w:val="FFFFFF" w:themeColor="background1"/>
                                <w:sz w:val="36"/>
                                <w:szCs w:val="36"/>
                                <w:lang w:val="en-US"/>
                              </w:rPr>
                              <w:t>i</w:t>
                            </w:r>
                            <w:r w:rsidRPr="00EA30D7">
                              <w:rPr>
                                <w:rFonts w:ascii="Arial" w:hAnsi="Arial" w:cs="Arial"/>
                                <w:b/>
                                <w:bCs/>
                                <w:color w:val="FFFFFF" w:themeColor="background1"/>
                                <w:sz w:val="36"/>
                                <w:szCs w:val="36"/>
                                <w:lang w:val="en-US"/>
                              </w:rPr>
                              <w:t xml:space="preserve">nstitutions </w:t>
                            </w:r>
                            <w:r>
                              <w:rPr>
                                <w:rFonts w:ascii="Arial" w:hAnsi="Arial" w:cs="Arial"/>
                                <w:b/>
                                <w:bCs/>
                                <w:color w:val="FFFFFF" w:themeColor="background1"/>
                                <w:sz w:val="36"/>
                                <w:szCs w:val="36"/>
                                <w:lang w:val="en-US"/>
                              </w:rPr>
                              <w:t xml:space="preserve">    </w:t>
                            </w:r>
                            <w:r w:rsidRPr="00EA30D7">
                              <w:rPr>
                                <w:rFonts w:ascii="Arial" w:hAnsi="Arial" w:cs="Arial"/>
                                <w:b/>
                                <w:bCs/>
                                <w:color w:val="FFFFFF" w:themeColor="background1"/>
                                <w:sz w:val="36"/>
                                <w:szCs w:val="36"/>
                                <w:lang w:val="en-US"/>
                              </w:rPr>
                              <w:t xml:space="preserve">and </w:t>
                            </w:r>
                            <w:r>
                              <w:rPr>
                                <w:rFonts w:ascii="Arial" w:hAnsi="Arial" w:cs="Arial"/>
                                <w:b/>
                                <w:bCs/>
                                <w:color w:val="FFFFFF" w:themeColor="background1"/>
                                <w:sz w:val="36"/>
                                <w:szCs w:val="36"/>
                                <w:lang w:val="en-US"/>
                              </w:rPr>
                              <w:t>d</w:t>
                            </w:r>
                            <w:r w:rsidRPr="00EA30D7">
                              <w:rPr>
                                <w:rFonts w:ascii="Arial" w:hAnsi="Arial" w:cs="Arial"/>
                                <w:b/>
                                <w:bCs/>
                                <w:color w:val="FFFFFF" w:themeColor="background1"/>
                                <w:sz w:val="36"/>
                                <w:szCs w:val="36"/>
                                <w:lang w:val="en-US"/>
                              </w:rPr>
                              <w:t>ono</w:t>
                            </w:r>
                            <w:r>
                              <w:rPr>
                                <w:rFonts w:ascii="Arial" w:hAnsi="Arial" w:cs="Arial"/>
                                <w:b/>
                                <w:bCs/>
                                <w:color w:val="FFFFFF" w:themeColor="background1"/>
                                <w:sz w:val="36"/>
                                <w:szCs w:val="36"/>
                                <w:lang w:val="en-US"/>
                              </w:rPr>
                              <w:t>rs</w:t>
                            </w:r>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FF0FF" id="Text Box 337" o:spid="_x0000_s1239" type="#_x0000_t202" style="position:absolute;margin-left:85.7pt;margin-top:14.3pt;width:394.25pt;height:48.2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" fillcolor="#f27e20" stroked="f" strokeweight=".5pt">
                <v:textbox>
                  <w:txbxContent>
                    <w:p w14:paraId="52E6B956" w14:textId="63EE7F41" w:rsidR="00D15FD8" w:rsidRPr="00EA30D7" w:rsidRDefault="00D15FD8" w:rsidP="00AB3FA0">
                      <w:pPr>
                        <w:pStyle w:val="Heading2"/>
                        <w:numPr>
                          <w:ilvl w:val="1"/>
                          <w:numId w:val="17"/>
                        </w:numPr>
                        <w:ind w:left="567" w:hanging="657"/>
                        <w:rPr>
                          <w:rFonts w:ascii="Arial" w:hAnsi="Arial" w:cs="Arial"/>
                          <w:b/>
                          <w:bCs/>
                          <w:color w:val="FFFFFF" w:themeColor="background1"/>
                          <w:sz w:val="36"/>
                          <w:szCs w:val="36"/>
                          <w:lang w:val="en-US"/>
                        </w:rPr>
                      </w:pPr>
                      <w:bookmarkStart w:id="777" w:name="_Toc116057005"/>
                      <w:bookmarkStart w:id="778" w:name="_Toc119794446"/>
                      <w:bookmarkStart w:id="779" w:name="_Toc123204431"/>
                      <w:bookmarkStart w:id="780" w:name="_Toc123216522"/>
                      <w:bookmarkStart w:id="781" w:name="_Toc123217362"/>
                      <w:bookmarkStart w:id="782" w:name="_Toc123828122"/>
                      <w:bookmarkStart w:id="783" w:name="_Toc123828332"/>
                      <w:bookmarkStart w:id="784" w:name="_Toc123828528"/>
                      <w:bookmarkStart w:id="785" w:name="_Toc123912555"/>
                      <w:bookmarkStart w:id="786" w:name="_Toc123912814"/>
                      <w:bookmarkStart w:id="787" w:name="_Toc123913041"/>
                      <w:bookmarkStart w:id="788" w:name="_Toc123913332"/>
                      <w:bookmarkStart w:id="789" w:name="_Toc123913988"/>
                      <w:bookmarkStart w:id="790" w:name="_Toc125566607"/>
                      <w:r w:rsidRPr="00EA30D7">
                        <w:rPr>
                          <w:rFonts w:ascii="Arial" w:hAnsi="Arial" w:cs="Arial"/>
                          <w:b/>
                          <w:bCs/>
                          <w:color w:val="FFFFFF" w:themeColor="background1"/>
                          <w:sz w:val="36"/>
                          <w:szCs w:val="36"/>
                          <w:lang w:val="en-US"/>
                        </w:rPr>
                        <w:t xml:space="preserve">International </w:t>
                      </w:r>
                      <w:r>
                        <w:rPr>
                          <w:rFonts w:ascii="Arial" w:hAnsi="Arial" w:cs="Arial"/>
                          <w:b/>
                          <w:bCs/>
                          <w:color w:val="FFFFFF" w:themeColor="background1"/>
                          <w:sz w:val="36"/>
                          <w:szCs w:val="36"/>
                          <w:lang w:val="en-US"/>
                        </w:rPr>
                        <w:t>d</w:t>
                      </w:r>
                      <w:r w:rsidRPr="00EA30D7">
                        <w:rPr>
                          <w:rFonts w:ascii="Arial" w:hAnsi="Arial" w:cs="Arial"/>
                          <w:b/>
                          <w:bCs/>
                          <w:color w:val="FFFFFF" w:themeColor="background1"/>
                          <w:sz w:val="36"/>
                          <w:szCs w:val="36"/>
                          <w:lang w:val="en-US"/>
                        </w:rPr>
                        <w:t xml:space="preserve">evelopment </w:t>
                      </w:r>
                      <w:r>
                        <w:rPr>
                          <w:rFonts w:ascii="Arial" w:hAnsi="Arial" w:cs="Arial"/>
                          <w:b/>
                          <w:bCs/>
                          <w:color w:val="FFFFFF" w:themeColor="background1"/>
                          <w:sz w:val="36"/>
                          <w:szCs w:val="36"/>
                          <w:lang w:val="en-US"/>
                        </w:rPr>
                        <w:t>i</w:t>
                      </w:r>
                      <w:r w:rsidRPr="00EA30D7">
                        <w:rPr>
                          <w:rFonts w:ascii="Arial" w:hAnsi="Arial" w:cs="Arial"/>
                          <w:b/>
                          <w:bCs/>
                          <w:color w:val="FFFFFF" w:themeColor="background1"/>
                          <w:sz w:val="36"/>
                          <w:szCs w:val="36"/>
                          <w:lang w:val="en-US"/>
                        </w:rPr>
                        <w:t xml:space="preserve">nstitutions </w:t>
                      </w:r>
                      <w:r>
                        <w:rPr>
                          <w:rFonts w:ascii="Arial" w:hAnsi="Arial" w:cs="Arial"/>
                          <w:b/>
                          <w:bCs/>
                          <w:color w:val="FFFFFF" w:themeColor="background1"/>
                          <w:sz w:val="36"/>
                          <w:szCs w:val="36"/>
                          <w:lang w:val="en-US"/>
                        </w:rPr>
                        <w:t xml:space="preserve">    </w:t>
                      </w:r>
                      <w:r w:rsidRPr="00EA30D7">
                        <w:rPr>
                          <w:rFonts w:ascii="Arial" w:hAnsi="Arial" w:cs="Arial"/>
                          <w:b/>
                          <w:bCs/>
                          <w:color w:val="FFFFFF" w:themeColor="background1"/>
                          <w:sz w:val="36"/>
                          <w:szCs w:val="36"/>
                          <w:lang w:val="en-US"/>
                        </w:rPr>
                        <w:t xml:space="preserve">and </w:t>
                      </w:r>
                      <w:r>
                        <w:rPr>
                          <w:rFonts w:ascii="Arial" w:hAnsi="Arial" w:cs="Arial"/>
                          <w:b/>
                          <w:bCs/>
                          <w:color w:val="FFFFFF" w:themeColor="background1"/>
                          <w:sz w:val="36"/>
                          <w:szCs w:val="36"/>
                          <w:lang w:val="en-US"/>
                        </w:rPr>
                        <w:t>d</w:t>
                      </w:r>
                      <w:r w:rsidRPr="00EA30D7">
                        <w:rPr>
                          <w:rFonts w:ascii="Arial" w:hAnsi="Arial" w:cs="Arial"/>
                          <w:b/>
                          <w:bCs/>
                          <w:color w:val="FFFFFF" w:themeColor="background1"/>
                          <w:sz w:val="36"/>
                          <w:szCs w:val="36"/>
                          <w:lang w:val="en-US"/>
                        </w:rPr>
                        <w:t>ono</w:t>
                      </w:r>
                      <w:r>
                        <w:rPr>
                          <w:rFonts w:ascii="Arial" w:hAnsi="Arial" w:cs="Arial"/>
                          <w:b/>
                          <w:bCs/>
                          <w:color w:val="FFFFFF" w:themeColor="background1"/>
                          <w:sz w:val="36"/>
                          <w:szCs w:val="36"/>
                          <w:lang w:val="en-US"/>
                        </w:rPr>
                        <w:t>rs</w:t>
                      </w:r>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1974656" behindDoc="0" locked="0" layoutInCell="1" allowOverlap="1" wp14:anchorId="3DEB567F" wp14:editId="20C2A1C2">
                <wp:simplePos x="0" y="0"/>
                <wp:positionH relativeFrom="column">
                  <wp:posOffset>1068070</wp:posOffset>
                </wp:positionH>
                <wp:positionV relativeFrom="paragraph">
                  <wp:posOffset>188595</wp:posOffset>
                </wp:positionV>
                <wp:extent cx="5359400" cy="647700"/>
                <wp:effectExtent l="0" t="0" r="0" b="0"/>
                <wp:wrapNone/>
                <wp:docPr id="336" name="Rectangle 336"/>
                <wp:cNvGraphicFramePr/>
                <a:graphic xmlns:a="http://schemas.openxmlformats.org/drawingml/2006/main">
                  <a:graphicData uri="http://schemas.microsoft.com/office/word/2010/wordprocessingShape">
                    <wps:wsp>
                      <wps:cNvSpPr/>
                      <wps:spPr>
                        <a:xfrm>
                          <a:off x="0" y="0"/>
                          <a:ext cx="5359400" cy="647700"/>
                        </a:xfrm>
                        <a:prstGeom prst="rect">
                          <a:avLst/>
                        </a:prstGeom>
                        <a:solidFill>
                          <a:srgbClr val="F27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7FD9B13C" id="Rectangle 336" o:spid="_x0000_s1026" style="position:absolute;margin-left:84.1pt;margin-top:14.85pt;width:422pt;height:5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" fillcolor="#f27e20" stroked="f" strokeweight="1pt"/>
            </w:pict>
          </mc:Fallback>
        </mc:AlternateContent>
      </w:r>
      <w:r>
        <w:rPr>
          <w:noProof/>
          <w:lang w:val="en-US"/>
        </w:rPr>
        <w:drawing>
          <wp:anchor distT="0" distB="0" distL="114300" distR="114300" simplePos="0" relativeHeight="251972608" behindDoc="1" locked="0" layoutInCell="1" allowOverlap="1" wp14:anchorId="57CB2FD4" wp14:editId="674D6FB0">
            <wp:simplePos x="0" y="0"/>
            <wp:positionH relativeFrom="column">
              <wp:posOffset>0</wp:posOffset>
            </wp:positionH>
            <wp:positionV relativeFrom="paragraph">
              <wp:posOffset>46446</wp:posOffset>
            </wp:positionV>
            <wp:extent cx="6645910" cy="934720"/>
            <wp:effectExtent l="0" t="0" r="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405" cstate="email">
                      <a:extLst>
                        <a:ext uri="{28A0092B-C50C-407E-A947-70E740481C1C}">
                          <a14:useLocalDpi xmlns:a14="http://schemas.microsoft.com/office/drawing/2010/main"/>
                        </a:ext>
                      </a:extLst>
                    </a:blip>
                    <a:stretch>
                      <a:fillRect/>
                    </a:stretch>
                  </pic:blipFill>
                  <pic:spPr>
                    <a:xfrm>
                      <a:off x="0" y="0"/>
                      <a:ext cx="6645910" cy="934720"/>
                    </a:xfrm>
                    <a:prstGeom prst="rect">
                      <a:avLst/>
                    </a:prstGeom>
                  </pic:spPr>
                </pic:pic>
              </a:graphicData>
            </a:graphic>
            <wp14:sizeRelH relativeFrom="page">
              <wp14:pctWidth>0</wp14:pctWidth>
            </wp14:sizeRelH>
            <wp14:sizeRelV relativeFrom="page">
              <wp14:pctHeight>0</wp14:pctHeight>
            </wp14:sizeRelV>
          </wp:anchor>
        </w:drawing>
      </w:r>
    </w:p>
    <w:p w14:paraId="50752510" w14:textId="58EE7AED" w:rsidR="00EB0AA3" w:rsidRDefault="00EB0AA3" w:rsidP="00EB0AA3">
      <w:pPr>
        <w:jc w:val="both"/>
      </w:pPr>
    </w:p>
    <w:p w14:paraId="63EF1455" w14:textId="6A0494C2" w:rsidR="00EA30D7" w:rsidRDefault="00EA30D7" w:rsidP="00EB0AA3">
      <w:pPr>
        <w:jc w:val="both"/>
      </w:pPr>
    </w:p>
    <w:p w14:paraId="285A26AB" w14:textId="258A2AE4" w:rsidR="00EA30D7" w:rsidRDefault="00EA30D7" w:rsidP="00EB0AA3">
      <w:pPr>
        <w:jc w:val="both"/>
      </w:pPr>
    </w:p>
    <w:p w14:paraId="409C2C38" w14:textId="6D8A6F65" w:rsidR="00EA30D7" w:rsidRPr="00B577F1" w:rsidRDefault="00EA30D7" w:rsidP="00EB0AA3">
      <w:pPr>
        <w:jc w:val="both"/>
      </w:pPr>
    </w:p>
    <w:p w14:paraId="391BC003" w14:textId="3FF2C098" w:rsidR="00EB0AA3" w:rsidRDefault="00EB0AA3" w:rsidP="00EB0AA3">
      <w:pPr>
        <w:spacing w:after="160" w:line="259" w:lineRule="auto"/>
        <w:contextualSpacing/>
        <w:jc w:val="both"/>
        <w:rPr>
          <w:lang w:val="en-ZA"/>
        </w:rPr>
      </w:pPr>
    </w:p>
    <w:p w14:paraId="78A20DD3" w14:textId="383356A9" w:rsidR="00EB0AA3" w:rsidRPr="00EA30D7" w:rsidRDefault="00EB0AA3" w:rsidP="00EA30D7">
      <w:pPr>
        <w:spacing w:after="160" w:line="276" w:lineRule="auto"/>
        <w:contextualSpacing/>
        <w:jc w:val="both"/>
        <w:rPr>
          <w:rFonts w:ascii="Arial" w:hAnsi="Arial" w:cs="Arial"/>
          <w:color w:val="000000" w:themeColor="text1"/>
          <w:sz w:val="24"/>
          <w:szCs w:val="24"/>
          <w:lang w:val="en-ZA"/>
        </w:rPr>
      </w:pPr>
      <w:r w:rsidRPr="00EA30D7">
        <w:rPr>
          <w:rFonts w:ascii="Arial" w:hAnsi="Arial" w:cs="Arial"/>
          <w:color w:val="000000" w:themeColor="text1"/>
          <w:sz w:val="24"/>
          <w:szCs w:val="24"/>
        </w:rPr>
        <w:t>International development institutions and donors have key roles to play by providing support for fiscal transparency and public participation.</w:t>
      </w:r>
      <w:r w:rsidRPr="00EA30D7">
        <w:rPr>
          <w:rFonts w:ascii="Arial" w:eastAsiaTheme="minorEastAsia" w:hAnsi="Arial" w:cs="Arial"/>
          <w:sz w:val="24"/>
          <w:szCs w:val="24"/>
          <w:lang w:val="en-ZA" w:eastAsia="zh-CN"/>
        </w:rPr>
        <w:t xml:space="preserve"> </w:t>
      </w:r>
      <w:r w:rsidRPr="00EA30D7">
        <w:rPr>
          <w:rFonts w:ascii="Arial" w:hAnsi="Arial" w:cs="Arial"/>
          <w:color w:val="000000" w:themeColor="text1"/>
          <w:sz w:val="24"/>
          <w:szCs w:val="24"/>
          <w:lang w:val="en-ZA"/>
        </w:rPr>
        <w:t>This support can come in different forms:</w:t>
      </w:r>
    </w:p>
    <w:p w14:paraId="7BF95694" w14:textId="72E0797D" w:rsidR="00EB0AA3" w:rsidRPr="00EA30D7" w:rsidRDefault="003D4C7F"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mc:AlternateContent>
          <mc:Choice Requires="wps">
            <w:drawing>
              <wp:anchor distT="0" distB="0" distL="114300" distR="114300" simplePos="0" relativeHeight="251995136" behindDoc="0" locked="0" layoutInCell="1" allowOverlap="1" wp14:anchorId="42D73E3C" wp14:editId="172C9B34">
                <wp:simplePos x="0" y="0"/>
                <wp:positionH relativeFrom="column">
                  <wp:posOffset>-98425</wp:posOffset>
                </wp:positionH>
                <wp:positionV relativeFrom="paragraph">
                  <wp:posOffset>77561</wp:posOffset>
                </wp:positionV>
                <wp:extent cx="467995" cy="420370"/>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66AC8BD0" w14:textId="6C9CFCBA" w:rsidR="00D15FD8" w:rsidRPr="003944EE" w:rsidRDefault="00D15FD8" w:rsidP="003944EE">
                            <w:pPr>
                              <w:jc w:val="center"/>
                              <w:rPr>
                                <w:rFonts w:ascii="Arial" w:hAnsi="Arial" w:cs="Arial"/>
                                <w:b/>
                                <w:bCs/>
                                <w:color w:val="FFFFFF" w:themeColor="background1"/>
                                <w:sz w:val="44"/>
                                <w:szCs w:val="44"/>
                                <w:lang w:val="en-US"/>
                              </w:rPr>
                            </w:pPr>
                            <w:r w:rsidRPr="003944EE">
                              <w:rPr>
                                <w:rFonts w:ascii="Arial" w:hAnsi="Arial" w:cs="Arial"/>
                                <w:b/>
                                <w:bCs/>
                                <w:color w:val="FFFFFF" w:themeColor="background1"/>
                                <w:sz w:val="44"/>
                                <w:szCs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73E3C" id="Text Box 339" o:spid="_x0000_s1240" type="#_x0000_t202" style="position:absolute;left:0;text-align:left;margin-left:-7.75pt;margin-top:6.1pt;width:36.85pt;height:33.1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" filled="f" stroked="f" strokeweight=".5pt">
                <v:textbox>
                  <w:txbxContent>
                    <w:p w14:paraId="66AC8BD0" w14:textId="6C9CFCBA" w:rsidR="00D15FD8" w:rsidRPr="003944EE" w:rsidRDefault="00D15FD8" w:rsidP="003944EE">
                      <w:pPr>
                        <w:jc w:val="center"/>
                        <w:rPr>
                          <w:rFonts w:ascii="Arial" w:hAnsi="Arial" w:cs="Arial"/>
                          <w:b/>
                          <w:bCs/>
                          <w:color w:val="FFFFFF" w:themeColor="background1"/>
                          <w:sz w:val="44"/>
                          <w:szCs w:val="44"/>
                          <w:lang w:val="en-US"/>
                        </w:rPr>
                      </w:pPr>
                      <w:r w:rsidRPr="003944EE">
                        <w:rPr>
                          <w:rFonts w:ascii="Arial" w:hAnsi="Arial" w:cs="Arial"/>
                          <w:b/>
                          <w:bCs/>
                          <w:color w:val="FFFFFF" w:themeColor="background1"/>
                          <w:sz w:val="44"/>
                          <w:szCs w:val="44"/>
                          <w:lang w:val="en-US"/>
                        </w:rPr>
                        <w:t>1</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1994112" behindDoc="0" locked="0" layoutInCell="1" allowOverlap="1" wp14:anchorId="3DC83A6A" wp14:editId="488A1E5B">
            <wp:simplePos x="0" y="0"/>
            <wp:positionH relativeFrom="column">
              <wp:posOffset>-119380</wp:posOffset>
            </wp:positionH>
            <wp:positionV relativeFrom="paragraph">
              <wp:posOffset>55336</wp:posOffset>
            </wp:positionV>
            <wp:extent cx="511175" cy="485775"/>
            <wp:effectExtent l="0" t="0" r="0" b="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40545" w14:textId="4D98D97E" w:rsidR="003944EE" w:rsidRDefault="003D4C7F"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mc:AlternateContent>
          <mc:Choice Requires="wps">
            <w:drawing>
              <wp:anchor distT="0" distB="0" distL="114300" distR="114300" simplePos="0" relativeHeight="251993088" behindDoc="0" locked="0" layoutInCell="1" allowOverlap="1" wp14:anchorId="291241C7" wp14:editId="45D311A8">
                <wp:simplePos x="0" y="0"/>
                <wp:positionH relativeFrom="margin">
                  <wp:posOffset>0</wp:posOffset>
                </wp:positionH>
                <wp:positionV relativeFrom="paragraph">
                  <wp:posOffset>103596</wp:posOffset>
                </wp:positionV>
                <wp:extent cx="6645910" cy="0"/>
                <wp:effectExtent l="0" t="12700" r="21590" b="12700"/>
                <wp:wrapNone/>
                <wp:docPr id="351" name="Straight Connector 351"/>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138B9D5D" id="Straight Connector 351" o:spid="_x0000_s1026" style="position:absolute;z-index:251993088;visibility:visible;mso-wrap-style:square;mso-wrap-distance-left:9pt;mso-wrap-distance-top:0;mso-wrap-distance-right:9pt;mso-wrap-distance-bottom:0;mso-position-horizontal:absolute;mso-position-horizontal-relative:margin;mso-position-vertical:absolute;mso-position-vertical-relative:text" from="0,8.15pt" to="523.3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" strokecolor="#69557f" strokeweight="2.25pt">
                <v:stroke joinstyle="miter"/>
                <w10:wrap anchorx="margin"/>
              </v:line>
            </w:pict>
          </mc:Fallback>
        </mc:AlternateContent>
      </w:r>
    </w:p>
    <w:p w14:paraId="32D79282" w14:textId="430CB550" w:rsidR="003944EE" w:rsidRDefault="003944EE" w:rsidP="00EA30D7">
      <w:pPr>
        <w:spacing w:after="160" w:line="276" w:lineRule="auto"/>
        <w:contextualSpacing/>
        <w:jc w:val="both"/>
        <w:rPr>
          <w:rFonts w:ascii="Arial" w:hAnsi="Arial" w:cs="Arial"/>
          <w:color w:val="000000" w:themeColor="text1"/>
          <w:sz w:val="24"/>
          <w:szCs w:val="24"/>
          <w:lang w:val="en-ZA"/>
        </w:rPr>
      </w:pPr>
    </w:p>
    <w:p w14:paraId="277B6095" w14:textId="599E1F7E" w:rsidR="00EB0AA3" w:rsidRPr="00EA30D7" w:rsidRDefault="00EB0AA3" w:rsidP="00EA30D7">
      <w:pPr>
        <w:spacing w:after="160" w:line="276" w:lineRule="auto"/>
        <w:contextualSpacing/>
        <w:jc w:val="both"/>
        <w:rPr>
          <w:rFonts w:ascii="Arial" w:hAnsi="Arial" w:cs="Arial"/>
          <w:color w:val="000000" w:themeColor="text1"/>
          <w:sz w:val="24"/>
          <w:szCs w:val="24"/>
          <w:lang w:val="en-ZA"/>
        </w:rPr>
      </w:pPr>
      <w:r w:rsidRPr="00EA30D7">
        <w:rPr>
          <w:rFonts w:ascii="Arial" w:hAnsi="Arial" w:cs="Arial"/>
          <w:color w:val="000000" w:themeColor="text1"/>
          <w:sz w:val="24"/>
          <w:szCs w:val="24"/>
          <w:lang w:val="en-ZA"/>
        </w:rPr>
        <w:t>Firstly, international development institutions set best practice norms and standards and undertake country assessments against these norms. They provide guidance to governments and other actors seeking to enhance fiscal transparency and draw attention to governments’ duty to be accountable to the public.</w:t>
      </w:r>
    </w:p>
    <w:p w14:paraId="4334EE80" w14:textId="222B17F1" w:rsidR="00EB0AA3" w:rsidRPr="00EA30D7" w:rsidRDefault="003D4C7F"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mc:AlternateContent>
          <mc:Choice Requires="wps">
            <w:drawing>
              <wp:anchor distT="0" distB="0" distL="114300" distR="114300" simplePos="0" relativeHeight="251992064" behindDoc="0" locked="0" layoutInCell="1" allowOverlap="1" wp14:anchorId="4E5A3D1B" wp14:editId="263162DB">
                <wp:simplePos x="0" y="0"/>
                <wp:positionH relativeFrom="column">
                  <wp:posOffset>-77470</wp:posOffset>
                </wp:positionH>
                <wp:positionV relativeFrom="paragraph">
                  <wp:posOffset>82459</wp:posOffset>
                </wp:positionV>
                <wp:extent cx="467995" cy="420370"/>
                <wp:effectExtent l="0" t="0" r="0" b="0"/>
                <wp:wrapNone/>
                <wp:docPr id="348" name="Text Box 348"/>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603A7D6D" w14:textId="1BCD7EAA" w:rsidR="00D15FD8" w:rsidRPr="003944EE" w:rsidRDefault="00D15FD8" w:rsidP="003944EE">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A3D1B" id="Text Box 348" o:spid="_x0000_s1241" type="#_x0000_t202" style="position:absolute;left:0;text-align:left;margin-left:-6.1pt;margin-top:6.5pt;width:36.85pt;height:33.1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" filled="f" stroked="f" strokeweight=".5pt">
                <v:textbox>
                  <w:txbxContent>
                    <w:p w14:paraId="603A7D6D" w14:textId="1BCD7EAA" w:rsidR="00D15FD8" w:rsidRPr="003944EE" w:rsidRDefault="00D15FD8" w:rsidP="003944EE">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1979776" behindDoc="0" locked="0" layoutInCell="1" allowOverlap="1" wp14:anchorId="2DDD31FC" wp14:editId="08FB820F">
            <wp:simplePos x="0" y="0"/>
            <wp:positionH relativeFrom="column">
              <wp:posOffset>-99695</wp:posOffset>
            </wp:positionH>
            <wp:positionV relativeFrom="paragraph">
              <wp:posOffset>66766</wp:posOffset>
            </wp:positionV>
            <wp:extent cx="511175" cy="485775"/>
            <wp:effectExtent l="0" t="0" r="0" b="0"/>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9712BC" w14:textId="09FBE9E6" w:rsidR="003D4C7F" w:rsidRDefault="003D4C7F" w:rsidP="00EA30D7">
      <w:pPr>
        <w:spacing w:after="160" w:line="276" w:lineRule="auto"/>
        <w:contextualSpacing/>
        <w:jc w:val="both"/>
        <w:rPr>
          <w:rFonts w:ascii="Arial" w:hAnsi="Arial" w:cs="Arial"/>
          <w:color w:val="000000" w:themeColor="text1"/>
          <w:sz w:val="24"/>
          <w:szCs w:val="24"/>
          <w:lang w:val="en-US"/>
        </w:rPr>
      </w:pPr>
      <w:r>
        <w:rPr>
          <w:rFonts w:ascii="Arial" w:hAnsi="Arial" w:cs="Arial"/>
          <w:noProof/>
          <w:color w:val="000000" w:themeColor="text1"/>
          <w:sz w:val="24"/>
          <w:szCs w:val="24"/>
          <w:lang w:val="en-US"/>
        </w:rPr>
        <mc:AlternateContent>
          <mc:Choice Requires="wps">
            <w:drawing>
              <wp:anchor distT="0" distB="0" distL="114300" distR="114300" simplePos="0" relativeHeight="251975167" behindDoc="0" locked="0" layoutInCell="1" allowOverlap="1" wp14:anchorId="25D07616" wp14:editId="6CD2689C">
                <wp:simplePos x="0" y="0"/>
                <wp:positionH relativeFrom="margin">
                  <wp:posOffset>0</wp:posOffset>
                </wp:positionH>
                <wp:positionV relativeFrom="paragraph">
                  <wp:posOffset>100421</wp:posOffset>
                </wp:positionV>
                <wp:extent cx="6645910" cy="0"/>
                <wp:effectExtent l="0" t="12700" r="21590" b="12700"/>
                <wp:wrapNone/>
                <wp:docPr id="352" name="Straight Connector 352"/>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4C425D93" id="Straight Connector 352" o:spid="_x0000_s1026" style="position:absolute;z-index:251975167;visibility:visible;mso-wrap-style:square;mso-wrap-distance-left:9pt;mso-wrap-distance-top:0;mso-wrap-distance-right:9pt;mso-wrap-distance-bottom:0;mso-position-horizontal:absolute;mso-position-horizontal-relative:margin;mso-position-vertical:absolute;mso-position-vertical-relative:text" from="0,7.9pt" to="523.3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" strokecolor="#69557f" strokeweight="2.25pt">
                <v:stroke joinstyle="miter"/>
                <w10:wrap anchorx="margin"/>
              </v:line>
            </w:pict>
          </mc:Fallback>
        </mc:AlternateContent>
      </w:r>
    </w:p>
    <w:p w14:paraId="1707827A" w14:textId="167C2159" w:rsidR="003D4C7F" w:rsidRDefault="003D4C7F" w:rsidP="00EA30D7">
      <w:pPr>
        <w:spacing w:after="160" w:line="276" w:lineRule="auto"/>
        <w:contextualSpacing/>
        <w:jc w:val="both"/>
        <w:rPr>
          <w:rFonts w:ascii="Arial" w:hAnsi="Arial" w:cs="Arial"/>
          <w:color w:val="000000" w:themeColor="text1"/>
          <w:sz w:val="24"/>
          <w:szCs w:val="24"/>
          <w:lang w:val="en-US"/>
        </w:rPr>
      </w:pPr>
    </w:p>
    <w:p w14:paraId="60AE6B15" w14:textId="3F73120E" w:rsidR="00EB0AA3" w:rsidRPr="00EA30D7" w:rsidRDefault="00EB0AA3" w:rsidP="00EA30D7">
      <w:pPr>
        <w:spacing w:after="160" w:line="276" w:lineRule="auto"/>
        <w:contextualSpacing/>
        <w:jc w:val="both"/>
        <w:rPr>
          <w:rFonts w:ascii="Arial" w:hAnsi="Arial" w:cs="Arial"/>
          <w:color w:val="000000" w:themeColor="text1"/>
          <w:sz w:val="24"/>
          <w:szCs w:val="24"/>
          <w:lang w:val="en-ZA"/>
        </w:rPr>
      </w:pPr>
      <w:r w:rsidRPr="00EA30D7">
        <w:rPr>
          <w:rFonts w:ascii="Arial" w:hAnsi="Arial" w:cs="Arial"/>
          <w:color w:val="000000" w:themeColor="text1"/>
          <w:sz w:val="24"/>
          <w:szCs w:val="24"/>
          <w:lang w:val="en-US"/>
        </w:rPr>
        <w:t xml:space="preserve">Secondly, international development institutions and regional organizations -- including bilateral and multilateral donors and agencies, private foundations, and international non-governmental organizations -- can enable, directly support, and reward improvements in budget transparency. </w:t>
      </w:r>
      <w:r w:rsidRPr="00EA30D7">
        <w:rPr>
          <w:rFonts w:ascii="Arial" w:hAnsi="Arial" w:cs="Arial"/>
          <w:color w:val="000000" w:themeColor="text1"/>
          <w:sz w:val="24"/>
          <w:szCs w:val="24"/>
          <w:lang w:val="en-ZA"/>
        </w:rPr>
        <w:t>Donor countries and development institutions can incentivize or condition their aid to countries in a manner that supports improvements in fiscal transparency. For example, they can commit to channel more aid directly into the government budget in countries where budgets are more transparent, or they can demand that specific transparency benchmarks are met first before aid funds are disbursed.</w:t>
      </w:r>
    </w:p>
    <w:p w14:paraId="1E4EE284" w14:textId="3C888BFC" w:rsidR="00EB0AA3" w:rsidRPr="00EA30D7" w:rsidRDefault="003D4C7F"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mc:AlternateContent>
          <mc:Choice Requires="wps">
            <w:drawing>
              <wp:anchor distT="0" distB="0" distL="114300" distR="114300" simplePos="0" relativeHeight="251985920" behindDoc="0" locked="0" layoutInCell="1" allowOverlap="1" wp14:anchorId="6CE49F42" wp14:editId="15301C63">
                <wp:simplePos x="0" y="0"/>
                <wp:positionH relativeFrom="column">
                  <wp:posOffset>-54066</wp:posOffset>
                </wp:positionH>
                <wp:positionV relativeFrom="paragraph">
                  <wp:posOffset>75565</wp:posOffset>
                </wp:positionV>
                <wp:extent cx="467995" cy="391886"/>
                <wp:effectExtent l="0" t="0" r="0" b="0"/>
                <wp:wrapNone/>
                <wp:docPr id="344" name="Text Box 344"/>
                <wp:cNvGraphicFramePr/>
                <a:graphic xmlns:a="http://schemas.openxmlformats.org/drawingml/2006/main">
                  <a:graphicData uri="http://schemas.microsoft.com/office/word/2010/wordprocessingShape">
                    <wps:wsp>
                      <wps:cNvSpPr txBox="1"/>
                      <wps:spPr>
                        <a:xfrm>
                          <a:off x="0" y="0"/>
                          <a:ext cx="467995" cy="391886"/>
                        </a:xfrm>
                        <a:prstGeom prst="rect">
                          <a:avLst/>
                        </a:prstGeom>
                        <a:noFill/>
                        <a:ln w="6350">
                          <a:noFill/>
                        </a:ln>
                      </wps:spPr>
                      <wps:txbx>
                        <w:txbxContent>
                          <w:p w14:paraId="1B453A93" w14:textId="0F29F0B9" w:rsidR="00D15FD8" w:rsidRPr="003944EE" w:rsidRDefault="00D15FD8" w:rsidP="003944EE">
                            <w:pPr>
                              <w:jc w:val="center"/>
                              <w:rPr>
                                <w:rFonts w:ascii="Arial" w:hAnsi="Arial" w:cs="Arial"/>
                                <w:b/>
                                <w:bCs/>
                                <w:color w:val="FFFFFF" w:themeColor="background1"/>
                                <w:sz w:val="44"/>
                                <w:szCs w:val="44"/>
                                <w:lang w:val="en-US"/>
                              </w:rPr>
                            </w:pPr>
                            <w:r w:rsidRPr="003944EE">
                              <w:rPr>
                                <w:rFonts w:ascii="Arial" w:hAnsi="Arial" w:cs="Arial"/>
                                <w:b/>
                                <w:bCs/>
                                <w:color w:val="FFFFFF" w:themeColor="background1"/>
                                <w:sz w:val="44"/>
                                <w:szCs w:val="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49F42" id="Text Box 344" o:spid="_x0000_s1242" type="#_x0000_t202" style="position:absolute;left:0;text-align:left;margin-left:-4.25pt;margin-top:5.95pt;width:36.85pt;height:30.8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" filled="f" stroked="f" strokeweight=".5pt">
                <v:textbox>
                  <w:txbxContent>
                    <w:p w14:paraId="1B453A93" w14:textId="0F29F0B9" w:rsidR="00D15FD8" w:rsidRPr="003944EE" w:rsidRDefault="00D15FD8" w:rsidP="003944EE">
                      <w:pPr>
                        <w:jc w:val="center"/>
                        <w:rPr>
                          <w:rFonts w:ascii="Arial" w:hAnsi="Arial" w:cs="Arial"/>
                          <w:b/>
                          <w:bCs/>
                          <w:color w:val="FFFFFF" w:themeColor="background1"/>
                          <w:sz w:val="44"/>
                          <w:szCs w:val="44"/>
                          <w:lang w:val="en-US"/>
                        </w:rPr>
                      </w:pPr>
                      <w:r w:rsidRPr="003944EE">
                        <w:rPr>
                          <w:rFonts w:ascii="Arial" w:hAnsi="Arial" w:cs="Arial"/>
                          <w:b/>
                          <w:bCs/>
                          <w:color w:val="FFFFFF" w:themeColor="background1"/>
                          <w:sz w:val="44"/>
                          <w:szCs w:val="44"/>
                          <w:lang w:val="en-US"/>
                        </w:rPr>
                        <w:t>3</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1983872" behindDoc="0" locked="0" layoutInCell="1" allowOverlap="1" wp14:anchorId="3D204357" wp14:editId="1A09AF27">
            <wp:simplePos x="0" y="0"/>
            <wp:positionH relativeFrom="column">
              <wp:posOffset>-76200</wp:posOffset>
            </wp:positionH>
            <wp:positionV relativeFrom="paragraph">
              <wp:posOffset>54066</wp:posOffset>
            </wp:positionV>
            <wp:extent cx="511327" cy="486000"/>
            <wp:effectExtent l="0" t="0" r="0" b="0"/>
            <wp:wrapSquare wrapText="bothSides"/>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327" cy="4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0AC9EF" w14:textId="112D6212" w:rsidR="003D4C7F" w:rsidRDefault="003D4C7F"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mc:AlternateContent>
          <mc:Choice Requires="wps">
            <w:drawing>
              <wp:anchor distT="0" distB="0" distL="114300" distR="114300" simplePos="0" relativeHeight="251977727" behindDoc="0" locked="0" layoutInCell="1" allowOverlap="1" wp14:anchorId="5888E1D6" wp14:editId="537326F5">
                <wp:simplePos x="0" y="0"/>
                <wp:positionH relativeFrom="margin">
                  <wp:posOffset>0</wp:posOffset>
                </wp:positionH>
                <wp:positionV relativeFrom="paragraph">
                  <wp:posOffset>93889</wp:posOffset>
                </wp:positionV>
                <wp:extent cx="6645910" cy="0"/>
                <wp:effectExtent l="0" t="12700" r="21590" b="12700"/>
                <wp:wrapNone/>
                <wp:docPr id="353" name="Straight Connector 353"/>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66BC6A27" id="Straight Connector 353" o:spid="_x0000_s1026" style="position:absolute;z-index:251977727;visibility:visible;mso-wrap-style:square;mso-wrap-distance-left:9pt;mso-wrap-distance-top:0;mso-wrap-distance-right:9pt;mso-wrap-distance-bottom:0;mso-position-horizontal:absolute;mso-position-horizontal-relative:margin;mso-position-vertical:absolute;mso-position-vertical-relative:text" from="0,7.4pt" to="523.3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" strokecolor="#69557f" strokeweight="2.25pt">
                <v:stroke joinstyle="miter"/>
                <w10:wrap anchorx="margin"/>
              </v:line>
            </w:pict>
          </mc:Fallback>
        </mc:AlternateContent>
      </w:r>
    </w:p>
    <w:p w14:paraId="7EEAD81B" w14:textId="508A0DA8" w:rsidR="003D4C7F" w:rsidRDefault="003D4C7F" w:rsidP="00EA30D7">
      <w:pPr>
        <w:spacing w:after="160" w:line="276" w:lineRule="auto"/>
        <w:contextualSpacing/>
        <w:jc w:val="both"/>
        <w:rPr>
          <w:rFonts w:ascii="Arial" w:hAnsi="Arial" w:cs="Arial"/>
          <w:color w:val="000000" w:themeColor="text1"/>
          <w:sz w:val="24"/>
          <w:szCs w:val="24"/>
          <w:lang w:val="en-ZA"/>
        </w:rPr>
      </w:pPr>
    </w:p>
    <w:p w14:paraId="5354AC48" w14:textId="1356ADBB" w:rsidR="00EB0AA3" w:rsidRDefault="00EB0AA3" w:rsidP="00EA30D7">
      <w:pPr>
        <w:spacing w:after="160" w:line="276" w:lineRule="auto"/>
        <w:contextualSpacing/>
        <w:jc w:val="both"/>
        <w:rPr>
          <w:rFonts w:ascii="Arial" w:hAnsi="Arial" w:cs="Arial"/>
          <w:color w:val="000000" w:themeColor="text1"/>
          <w:sz w:val="24"/>
          <w:szCs w:val="24"/>
          <w:lang w:val="en-ZA"/>
        </w:rPr>
      </w:pPr>
      <w:r w:rsidRPr="00EA30D7">
        <w:rPr>
          <w:rFonts w:ascii="Arial" w:hAnsi="Arial" w:cs="Arial"/>
          <w:color w:val="000000" w:themeColor="text1"/>
          <w:sz w:val="24"/>
          <w:szCs w:val="24"/>
          <w:lang w:val="en-ZA"/>
        </w:rPr>
        <w:t>Thirdly, international development institutions can also directly provide advice, capacity support, and resources, including through technical assistance on key aspects of fiscal transparency for the different actors in the fiscal ecosystem. For instance, they can support the efforts and build the capacity of domestic accountability actors, including oversight institutions, civil society, and the media in demanding that their governments disclose fiscal information, and in making better use of the already available and published budget information to hold the executive accountable. For example, the GIFT network provides access to technical assistance and peer learning for fiscal transparency by bringing together ministries of finance, CSOs, and international financial organizations in a non-contractual, trustworthy environment. The creation of this open and safe space for discourse and relationship-building, promotes trust among peers and different sectors to collaborate in the sharing of useful knowledge and tools. It also enables economies of scale in advancing fiscal transparency by providing good practices in the form of developed processes, methodologies, and tools, among others. It shows the benefits of fiscal transparency in practice, providing possibilities and aspirations for those seeking to enhance fiscal transparency in their own spheres and countries. </w:t>
      </w:r>
    </w:p>
    <w:p w14:paraId="7F538A3D" w14:textId="77777777" w:rsidR="002241FA" w:rsidRPr="00EA30D7" w:rsidRDefault="002241FA" w:rsidP="00EA30D7">
      <w:pPr>
        <w:spacing w:after="160" w:line="276" w:lineRule="auto"/>
        <w:contextualSpacing/>
        <w:jc w:val="both"/>
        <w:rPr>
          <w:rFonts w:ascii="Arial" w:hAnsi="Arial" w:cs="Arial"/>
          <w:color w:val="000000" w:themeColor="text1"/>
          <w:sz w:val="24"/>
          <w:szCs w:val="24"/>
          <w:lang w:val="en-ZA"/>
        </w:rPr>
      </w:pPr>
    </w:p>
    <w:p w14:paraId="72622730" w14:textId="1E5F9F28" w:rsidR="00EB0AA3" w:rsidRPr="00EA30D7" w:rsidRDefault="003D4C7F"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w:lastRenderedPageBreak/>
        <mc:AlternateContent>
          <mc:Choice Requires="wps">
            <w:drawing>
              <wp:anchor distT="0" distB="0" distL="114300" distR="114300" simplePos="0" relativeHeight="251990016" behindDoc="0" locked="0" layoutInCell="1" allowOverlap="1" wp14:anchorId="68EBC114" wp14:editId="7280CC21">
                <wp:simplePos x="0" y="0"/>
                <wp:positionH relativeFrom="column">
                  <wp:posOffset>-88900</wp:posOffset>
                </wp:positionH>
                <wp:positionV relativeFrom="paragraph">
                  <wp:posOffset>93344</wp:posOffset>
                </wp:positionV>
                <wp:extent cx="511175" cy="460375"/>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511175" cy="460375"/>
                        </a:xfrm>
                        <a:prstGeom prst="rect">
                          <a:avLst/>
                        </a:prstGeom>
                        <a:noFill/>
                        <a:ln w="6350">
                          <a:noFill/>
                        </a:ln>
                      </wps:spPr>
                      <wps:txbx>
                        <w:txbxContent>
                          <w:p w14:paraId="08174DB6" w14:textId="63EDD033" w:rsidR="00D15FD8" w:rsidRPr="003D4C7F" w:rsidRDefault="00D15FD8" w:rsidP="003944EE">
                            <w:pPr>
                              <w:jc w:val="center"/>
                              <w:rPr>
                                <w:rFonts w:ascii="Arial" w:hAnsi="Arial" w:cs="Arial"/>
                                <w:b/>
                                <w:bCs/>
                                <w:color w:val="FFFFFF" w:themeColor="background1"/>
                                <w:sz w:val="44"/>
                                <w:szCs w:val="44"/>
                                <w:lang w:val="en-US"/>
                              </w:rPr>
                            </w:pPr>
                            <w:r w:rsidRPr="003D4C7F">
                              <w:rPr>
                                <w:rFonts w:ascii="Arial" w:hAnsi="Arial" w:cs="Arial"/>
                                <w:b/>
                                <w:bCs/>
                                <w:color w:val="FFFFFF" w:themeColor="background1"/>
                                <w:sz w:val="44"/>
                                <w:szCs w:val="4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BC114" id="Text Box 347" o:spid="_x0000_s1243" type="#_x0000_t202" style="position:absolute;left:0;text-align:left;margin-left:-7pt;margin-top:7.35pt;width:40.25pt;height:36.2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" filled="f" stroked="f" strokeweight=".5pt">
                <v:textbox>
                  <w:txbxContent>
                    <w:p w14:paraId="08174DB6" w14:textId="63EDD033" w:rsidR="00D15FD8" w:rsidRPr="003D4C7F" w:rsidRDefault="00D15FD8" w:rsidP="003944EE">
                      <w:pPr>
                        <w:jc w:val="center"/>
                        <w:rPr>
                          <w:rFonts w:ascii="Arial" w:hAnsi="Arial" w:cs="Arial"/>
                          <w:b/>
                          <w:bCs/>
                          <w:color w:val="FFFFFF" w:themeColor="background1"/>
                          <w:sz w:val="44"/>
                          <w:szCs w:val="44"/>
                          <w:lang w:val="en-US"/>
                        </w:rPr>
                      </w:pPr>
                      <w:r w:rsidRPr="003D4C7F">
                        <w:rPr>
                          <w:rFonts w:ascii="Arial" w:hAnsi="Arial" w:cs="Arial"/>
                          <w:b/>
                          <w:bCs/>
                          <w:color w:val="FFFFFF" w:themeColor="background1"/>
                          <w:sz w:val="44"/>
                          <w:szCs w:val="44"/>
                          <w:lang w:val="en-US"/>
                        </w:rPr>
                        <w:t>4</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1987968" behindDoc="0" locked="0" layoutInCell="1" allowOverlap="1" wp14:anchorId="3BFF70EB" wp14:editId="5D49D5EF">
            <wp:simplePos x="0" y="0"/>
            <wp:positionH relativeFrom="column">
              <wp:posOffset>-85725</wp:posOffset>
            </wp:positionH>
            <wp:positionV relativeFrom="paragraph">
              <wp:posOffset>65314</wp:posOffset>
            </wp:positionV>
            <wp:extent cx="511327" cy="486000"/>
            <wp:effectExtent l="0" t="0" r="0" b="0"/>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327" cy="4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63F278" w14:textId="7E56DB98" w:rsidR="003D4C7F" w:rsidRDefault="003D4C7F"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mc:AlternateContent>
          <mc:Choice Requires="wps">
            <w:drawing>
              <wp:anchor distT="0" distB="0" distL="114300" distR="114300" simplePos="0" relativeHeight="251981823" behindDoc="0" locked="0" layoutInCell="1" allowOverlap="1" wp14:anchorId="155FF250" wp14:editId="7CD2270D">
                <wp:simplePos x="0" y="0"/>
                <wp:positionH relativeFrom="margin">
                  <wp:posOffset>-26580</wp:posOffset>
                </wp:positionH>
                <wp:positionV relativeFrom="paragraph">
                  <wp:posOffset>104684</wp:posOffset>
                </wp:positionV>
                <wp:extent cx="6645910" cy="0"/>
                <wp:effectExtent l="0" t="12700" r="21590" b="12700"/>
                <wp:wrapNone/>
                <wp:docPr id="354" name="Straight Connector 354"/>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7351EFE9" id="Straight Connector 354" o:spid="_x0000_s1026" style="position:absolute;z-index:251981823;visibility:visible;mso-wrap-style:square;mso-wrap-distance-left:9pt;mso-wrap-distance-top:0;mso-wrap-distance-right:9pt;mso-wrap-distance-bottom:0;mso-position-horizontal:absolute;mso-position-horizontal-relative:margin;mso-position-vertical:absolute;mso-position-vertical-relative:text" from="-2.1pt,8.25pt" to="521.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" strokecolor="#69557f" strokeweight="2.25pt">
                <v:stroke joinstyle="miter"/>
                <w10:wrap anchorx="margin"/>
              </v:line>
            </w:pict>
          </mc:Fallback>
        </mc:AlternateContent>
      </w:r>
    </w:p>
    <w:p w14:paraId="282E3EAF" w14:textId="76A78F77" w:rsidR="003D4C7F" w:rsidRDefault="003D4C7F" w:rsidP="00EA30D7">
      <w:pPr>
        <w:spacing w:after="160" w:line="276" w:lineRule="auto"/>
        <w:contextualSpacing/>
        <w:jc w:val="both"/>
        <w:rPr>
          <w:rFonts w:ascii="Arial" w:hAnsi="Arial" w:cs="Arial"/>
          <w:color w:val="000000" w:themeColor="text1"/>
          <w:sz w:val="24"/>
          <w:szCs w:val="24"/>
          <w:lang w:val="en-ZA"/>
        </w:rPr>
      </w:pPr>
    </w:p>
    <w:p w14:paraId="3A863EE5" w14:textId="3DDA8056" w:rsidR="00EB0AA3" w:rsidRDefault="00EB0AA3" w:rsidP="00EA30D7">
      <w:pPr>
        <w:spacing w:after="160" w:line="276" w:lineRule="auto"/>
        <w:contextualSpacing/>
        <w:jc w:val="both"/>
        <w:rPr>
          <w:rFonts w:ascii="Arial" w:hAnsi="Arial" w:cs="Arial"/>
          <w:color w:val="000000" w:themeColor="text1"/>
          <w:sz w:val="24"/>
          <w:szCs w:val="24"/>
          <w:lang w:val="en-ZA"/>
        </w:rPr>
      </w:pPr>
      <w:r w:rsidRPr="00EA30D7">
        <w:rPr>
          <w:rFonts w:ascii="Arial" w:hAnsi="Arial" w:cs="Arial"/>
          <w:color w:val="000000" w:themeColor="text1"/>
          <w:sz w:val="24"/>
          <w:szCs w:val="24"/>
          <w:lang w:val="en-ZA"/>
        </w:rPr>
        <w:t xml:space="preserve">Finally, it is also important that donors are themselves transparent about the aid that they provide, including any conditionalities that are attached. This is, the rationale behind the setting up of the </w:t>
      </w:r>
      <w:hyperlink r:id="rId407" w:history="1">
        <w:r w:rsidRPr="00EA30D7">
          <w:rPr>
            <w:rStyle w:val="Hyperlink"/>
            <w:rFonts w:ascii="Arial" w:hAnsi="Arial" w:cs="Arial"/>
            <w:sz w:val="24"/>
            <w:szCs w:val="24"/>
            <w:lang w:val="en-ZA"/>
          </w:rPr>
          <w:t>International Aid Transparency Initiative</w:t>
        </w:r>
      </w:hyperlink>
      <w:r w:rsidRPr="00EA30D7">
        <w:rPr>
          <w:rFonts w:ascii="Arial" w:hAnsi="Arial" w:cs="Arial"/>
          <w:color w:val="000000" w:themeColor="text1"/>
          <w:sz w:val="24"/>
          <w:szCs w:val="24"/>
          <w:lang w:val="en-ZA"/>
        </w:rPr>
        <w:t xml:space="preserve"> by the United Nations Development Programme, a unified effort and network of international institutions seeking to improve international aid transparency. This initiative is further discussed in modules 3 and 4 of this Guide.</w:t>
      </w:r>
    </w:p>
    <w:p w14:paraId="027A3465" w14:textId="2538AF4E" w:rsidR="00F14837" w:rsidRDefault="00F14837" w:rsidP="00EA30D7">
      <w:pPr>
        <w:spacing w:after="160" w:line="276" w:lineRule="auto"/>
        <w:contextualSpacing/>
        <w:jc w:val="both"/>
        <w:rPr>
          <w:rFonts w:ascii="Arial" w:hAnsi="Arial" w:cs="Arial"/>
          <w:color w:val="000000" w:themeColor="text1"/>
          <w:sz w:val="24"/>
          <w:szCs w:val="24"/>
          <w:lang w:val="en-ZA"/>
        </w:rPr>
      </w:pPr>
    </w:p>
    <w:p w14:paraId="12786A4B" w14:textId="681DA3B9" w:rsidR="00DC6FBC" w:rsidRDefault="00551758" w:rsidP="00EA30D7">
      <w:pPr>
        <w:spacing w:after="160" w:line="276" w:lineRule="auto"/>
        <w:contextualSpacing/>
        <w:jc w:val="both"/>
        <w:rPr>
          <w:rFonts w:ascii="Arial" w:hAnsi="Arial" w:cs="Arial"/>
          <w:color w:val="000000" w:themeColor="text1"/>
          <w:sz w:val="24"/>
          <w:szCs w:val="24"/>
          <w:lang w:val="en-ZA"/>
        </w:rPr>
      </w:pPr>
      <w:r>
        <w:rPr>
          <w:rFonts w:ascii="Arial" w:hAnsi="Arial" w:cs="Arial"/>
          <w:noProof/>
          <w:color w:val="000000" w:themeColor="text1"/>
          <w:sz w:val="24"/>
          <w:szCs w:val="24"/>
          <w:lang w:val="en-US"/>
        </w:rPr>
        <w:drawing>
          <wp:anchor distT="0" distB="0" distL="114300" distR="114300" simplePos="0" relativeHeight="254814206" behindDoc="1" locked="0" layoutInCell="1" allowOverlap="1" wp14:anchorId="7E3F58ED" wp14:editId="190F0B77">
            <wp:simplePos x="0" y="0"/>
            <wp:positionH relativeFrom="column">
              <wp:posOffset>-406400</wp:posOffset>
            </wp:positionH>
            <wp:positionV relativeFrom="paragraph">
              <wp:posOffset>5751</wp:posOffset>
            </wp:positionV>
            <wp:extent cx="6651930" cy="1436400"/>
            <wp:effectExtent l="0" t="0" r="0" b="0"/>
            <wp:wrapNone/>
            <wp:docPr id="2673" name="Picture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 name="Picture 2673"/>
                    <pic:cNvPicPr/>
                  </pic:nvPicPr>
                  <pic:blipFill rotWithShape="1">
                    <a:blip r:embed="rId408" cstate="screen">
                      <a:extLst>
                        <a:ext uri="{28A0092B-C50C-407E-A947-70E740481C1C}">
                          <a14:useLocalDpi xmlns:a14="http://schemas.microsoft.com/office/drawing/2010/main"/>
                        </a:ext>
                      </a:extLst>
                    </a:blip>
                    <a:srcRect/>
                    <a:stretch/>
                  </pic:blipFill>
                  <pic:spPr bwMode="auto">
                    <a:xfrm>
                      <a:off x="0" y="0"/>
                      <a:ext cx="6651930" cy="143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C0586C" w14:textId="54FC76DC" w:rsidR="00DC6FBC" w:rsidRPr="00EA30D7" w:rsidRDefault="00AB3FA0" w:rsidP="00EA30D7">
      <w:pPr>
        <w:spacing w:after="160" w:line="276" w:lineRule="auto"/>
        <w:contextualSpacing/>
        <w:jc w:val="both"/>
        <w:rPr>
          <w:rFonts w:ascii="Arial" w:hAnsi="Arial" w:cs="Arial"/>
          <w:color w:val="000000" w:themeColor="text1"/>
          <w:sz w:val="24"/>
          <w:szCs w:val="24"/>
          <w:lang w:val="en-ZA"/>
        </w:rPr>
      </w:pPr>
      <w:r>
        <w:rPr>
          <w:rFonts w:ascii="Arial" w:hAnsi="Arial" w:cs="Arial"/>
          <w:b/>
          <w:bCs/>
          <w:noProof/>
          <w:color w:val="ED5625"/>
          <w:lang w:val="en-US"/>
        </w:rPr>
        <mc:AlternateContent>
          <mc:Choice Requires="wps">
            <w:drawing>
              <wp:anchor distT="0" distB="0" distL="114300" distR="114300" simplePos="0" relativeHeight="252186622" behindDoc="0" locked="0" layoutInCell="1" allowOverlap="1" wp14:anchorId="0940AFD0" wp14:editId="0A8C54CA">
                <wp:simplePos x="0" y="0"/>
                <wp:positionH relativeFrom="column">
                  <wp:posOffset>1028700</wp:posOffset>
                </wp:positionH>
                <wp:positionV relativeFrom="paragraph">
                  <wp:posOffset>172085</wp:posOffset>
                </wp:positionV>
                <wp:extent cx="4406900" cy="61912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4406900" cy="619125"/>
                        </a:xfrm>
                        <a:prstGeom prst="rect">
                          <a:avLst/>
                        </a:prstGeom>
                        <a:noFill/>
                        <a:ln w="6350">
                          <a:noFill/>
                        </a:ln>
                      </wps:spPr>
                      <wps:txbx>
                        <w:txbxContent>
                          <w:p w14:paraId="447A07A1" w14:textId="007DEBD0" w:rsidR="00D15FD8" w:rsidRPr="00AB3FA0" w:rsidRDefault="00D15FD8" w:rsidP="00DC6FBC">
                            <w:pPr>
                              <w:pStyle w:val="Heading1"/>
                              <w:rPr>
                                <w:rFonts w:ascii="Arial" w:hAnsi="Arial" w:cs="Arial"/>
                                <w:b/>
                                <w:bCs/>
                                <w:color w:val="FFFFFF" w:themeColor="background1"/>
                                <w:sz w:val="38"/>
                                <w:szCs w:val="38"/>
                                <w:lang w:val="en-US"/>
                              </w:rPr>
                            </w:pPr>
                            <w:bookmarkStart w:id="791" w:name="_Oversight_institutions:_Legislature"/>
                            <w:bookmarkStart w:id="792" w:name="_Toc123828123"/>
                            <w:bookmarkStart w:id="793" w:name="_Toc123828333"/>
                            <w:bookmarkStart w:id="794" w:name="_Toc123828529"/>
                            <w:bookmarkStart w:id="795" w:name="_Toc123912556"/>
                            <w:bookmarkStart w:id="796" w:name="_Toc123912815"/>
                            <w:bookmarkStart w:id="797" w:name="_Toc123913042"/>
                            <w:bookmarkStart w:id="798" w:name="_Toc123913989"/>
                            <w:bookmarkStart w:id="799" w:name="_Toc125566608"/>
                            <w:bookmarkEnd w:id="791"/>
                            <w:r w:rsidRPr="00AB3FA0">
                              <w:rPr>
                                <w:rFonts w:ascii="Arial" w:hAnsi="Arial" w:cs="Arial"/>
                                <w:b/>
                                <w:bCs/>
                                <w:color w:val="FFFFFF" w:themeColor="background1"/>
                                <w:sz w:val="38"/>
                                <w:szCs w:val="38"/>
                                <w:lang w:val="en-US"/>
                              </w:rPr>
                              <w:t>Oversight institutions: Legislatures</w:t>
                            </w:r>
                            <w:bookmarkEnd w:id="792"/>
                            <w:bookmarkEnd w:id="793"/>
                            <w:bookmarkEnd w:id="794"/>
                            <w:bookmarkEnd w:id="795"/>
                            <w:bookmarkEnd w:id="796"/>
                            <w:bookmarkEnd w:id="797"/>
                            <w:bookmarkEnd w:id="798"/>
                            <w:bookmarkEnd w:id="79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0AFD0" id="Text Box 98" o:spid="_x0000_s1244" type="#_x0000_t202" style="position:absolute;left:0;text-align:left;margin-left:81pt;margin-top:13.55pt;width:347pt;height:48.75pt;z-index:252186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" filled="f" stroked="f" strokeweight=".5pt">
                <v:textbox>
                  <w:txbxContent>
                    <w:p w14:paraId="447A07A1" w14:textId="007DEBD0" w:rsidR="00D15FD8" w:rsidRPr="00AB3FA0" w:rsidRDefault="00D15FD8" w:rsidP="00DC6FBC">
                      <w:pPr>
                        <w:pStyle w:val="Heading1"/>
                        <w:rPr>
                          <w:rFonts w:ascii="Arial" w:hAnsi="Arial" w:cs="Arial"/>
                          <w:b/>
                          <w:bCs/>
                          <w:color w:val="FFFFFF" w:themeColor="background1"/>
                          <w:sz w:val="38"/>
                          <w:szCs w:val="38"/>
                          <w:lang w:val="en-US"/>
                        </w:rPr>
                      </w:pPr>
                      <w:bookmarkStart w:id="800" w:name="_Oversight_institutions:_Legislature"/>
                      <w:bookmarkStart w:id="801" w:name="_Toc123828123"/>
                      <w:bookmarkStart w:id="802" w:name="_Toc123828333"/>
                      <w:bookmarkStart w:id="803" w:name="_Toc123828529"/>
                      <w:bookmarkStart w:id="804" w:name="_Toc123912556"/>
                      <w:bookmarkStart w:id="805" w:name="_Toc123912815"/>
                      <w:bookmarkStart w:id="806" w:name="_Toc123913042"/>
                      <w:bookmarkStart w:id="807" w:name="_Toc123913989"/>
                      <w:bookmarkStart w:id="808" w:name="_Toc125566608"/>
                      <w:bookmarkEnd w:id="800"/>
                      <w:r w:rsidRPr="00AB3FA0">
                        <w:rPr>
                          <w:rFonts w:ascii="Arial" w:hAnsi="Arial" w:cs="Arial"/>
                          <w:b/>
                          <w:bCs/>
                          <w:color w:val="FFFFFF" w:themeColor="background1"/>
                          <w:sz w:val="38"/>
                          <w:szCs w:val="38"/>
                          <w:lang w:val="en-US"/>
                        </w:rPr>
                        <w:t>Oversight institutions: Legislatures</w:t>
                      </w:r>
                      <w:bookmarkEnd w:id="801"/>
                      <w:bookmarkEnd w:id="802"/>
                      <w:bookmarkEnd w:id="803"/>
                      <w:bookmarkEnd w:id="804"/>
                      <w:bookmarkEnd w:id="805"/>
                      <w:bookmarkEnd w:id="806"/>
                      <w:bookmarkEnd w:id="807"/>
                      <w:bookmarkEnd w:id="808"/>
                    </w:p>
                  </w:txbxContent>
                </v:textbox>
              </v:shape>
            </w:pict>
          </mc:Fallback>
        </mc:AlternateContent>
      </w:r>
      <w:r w:rsidR="00551758">
        <w:rPr>
          <w:rFonts w:ascii="Arial" w:hAnsi="Arial" w:cs="Arial"/>
          <w:b/>
          <w:bCs/>
          <w:noProof/>
          <w:color w:val="ED5625"/>
          <w:lang w:val="en-US"/>
        </w:rPr>
        <mc:AlternateContent>
          <mc:Choice Requires="wps">
            <w:drawing>
              <wp:anchor distT="0" distB="0" distL="114300" distR="114300" simplePos="0" relativeHeight="252187646" behindDoc="0" locked="0" layoutInCell="1" allowOverlap="1" wp14:anchorId="1203A798" wp14:editId="0B7CBBC9">
                <wp:simplePos x="0" y="0"/>
                <wp:positionH relativeFrom="column">
                  <wp:posOffset>334645</wp:posOffset>
                </wp:positionH>
                <wp:positionV relativeFrom="paragraph">
                  <wp:posOffset>171450</wp:posOffset>
                </wp:positionV>
                <wp:extent cx="492125" cy="59372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492125" cy="593725"/>
                        </a:xfrm>
                        <a:prstGeom prst="rect">
                          <a:avLst/>
                        </a:prstGeom>
                        <a:noFill/>
                        <a:ln w="6350">
                          <a:noFill/>
                        </a:ln>
                      </wps:spPr>
                      <wps:txbx>
                        <w:txbxContent>
                          <w:p w14:paraId="188394B1" w14:textId="2799A4C7" w:rsidR="00D15FD8" w:rsidRPr="00DC6FBC" w:rsidRDefault="00D15FD8" w:rsidP="00DC6FBC">
                            <w:pP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2</w:t>
                            </w:r>
                            <w:r w:rsidRPr="00DC6FBC">
                              <w:rPr>
                                <w:rFonts w:ascii="Arial" w:hAnsi="Arial" w:cs="Arial"/>
                                <w:b/>
                                <w:bCs/>
                                <w:color w:val="FFFFFF" w:themeColor="background1"/>
                                <w:sz w:val="72"/>
                                <w:szCs w:val="72"/>
                                <w:lang w:val="en-US"/>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03A798" id="Text Box 99" o:spid="_x0000_s1245" type="#_x0000_t202" style="position:absolute;left:0;text-align:left;margin-left:26.35pt;margin-top:13.5pt;width:38.75pt;height:46.75pt;z-index:2521876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" filled="f" stroked="f" strokeweight=".5pt">
                <v:textbox>
                  <w:txbxContent>
                    <w:p w14:paraId="188394B1" w14:textId="2799A4C7" w:rsidR="00D15FD8" w:rsidRPr="00DC6FBC" w:rsidRDefault="00D15FD8" w:rsidP="00DC6FBC">
                      <w:pP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2</w:t>
                      </w:r>
                      <w:r w:rsidRPr="00DC6FBC">
                        <w:rPr>
                          <w:rFonts w:ascii="Arial" w:hAnsi="Arial" w:cs="Arial"/>
                          <w:b/>
                          <w:bCs/>
                          <w:color w:val="FFFFFF" w:themeColor="background1"/>
                          <w:sz w:val="72"/>
                          <w:szCs w:val="72"/>
                          <w:lang w:val="en-US"/>
                        </w:rPr>
                        <w:t>22</w:t>
                      </w:r>
                    </w:p>
                  </w:txbxContent>
                </v:textbox>
              </v:shape>
            </w:pict>
          </mc:Fallback>
        </mc:AlternateContent>
      </w:r>
    </w:p>
    <w:p w14:paraId="0FEF9C6B" w14:textId="564CA255" w:rsidR="00DC6FBC" w:rsidRDefault="00DC6FBC" w:rsidP="00EB0AA3">
      <w:pPr>
        <w:spacing w:after="160" w:line="259" w:lineRule="auto"/>
        <w:rPr>
          <w:color w:val="000000" w:themeColor="text1"/>
          <w:lang w:val="en-ZA"/>
        </w:rPr>
      </w:pPr>
    </w:p>
    <w:p w14:paraId="055874AA" w14:textId="5C3A744B" w:rsidR="00DC6FBC" w:rsidRDefault="00DC6FBC" w:rsidP="00EB0AA3">
      <w:pPr>
        <w:spacing w:after="160" w:line="259" w:lineRule="auto"/>
        <w:rPr>
          <w:color w:val="000000" w:themeColor="text1"/>
          <w:lang w:val="en-ZA"/>
        </w:rPr>
      </w:pPr>
    </w:p>
    <w:p w14:paraId="2DEA45C8" w14:textId="2E933056" w:rsidR="00DC6FBC" w:rsidRDefault="00DC6FBC" w:rsidP="00EB0AA3">
      <w:pPr>
        <w:spacing w:after="160" w:line="259" w:lineRule="auto"/>
        <w:rPr>
          <w:color w:val="000000" w:themeColor="text1"/>
          <w:lang w:val="en-ZA"/>
        </w:rPr>
      </w:pPr>
    </w:p>
    <w:p w14:paraId="70CC7A63" w14:textId="77777777" w:rsidR="002241FA" w:rsidRDefault="002241FA" w:rsidP="00EB0AA3">
      <w:pPr>
        <w:spacing w:after="160" w:line="259" w:lineRule="auto"/>
        <w:rPr>
          <w:color w:val="000000" w:themeColor="text1"/>
          <w:lang w:val="en-ZA"/>
        </w:rPr>
      </w:pPr>
    </w:p>
    <w:p w14:paraId="20A86998" w14:textId="529CC2ED" w:rsidR="00DC6FBC" w:rsidRDefault="00DC6FBC">
      <w:pPr>
        <w:pStyle w:val="Heading2"/>
        <w:numPr>
          <w:ilvl w:val="1"/>
          <w:numId w:val="40"/>
        </w:numPr>
        <w:rPr>
          <w:rFonts w:ascii="Arial" w:hAnsi="Arial" w:cs="Arial"/>
          <w:b/>
          <w:bCs/>
          <w:color w:val="69557F"/>
          <w:sz w:val="36"/>
          <w:szCs w:val="36"/>
        </w:rPr>
      </w:pPr>
      <w:bookmarkStart w:id="809" w:name="_Toc119794448"/>
      <w:bookmarkStart w:id="810" w:name="_Toc123204433"/>
      <w:bookmarkStart w:id="811" w:name="_Toc123216524"/>
      <w:bookmarkStart w:id="812" w:name="_Toc123217364"/>
      <w:bookmarkStart w:id="813" w:name="_Toc123913334"/>
      <w:bookmarkStart w:id="814" w:name="_Toc123913990"/>
      <w:bookmarkStart w:id="815" w:name="_Toc125566609"/>
      <w:r w:rsidRPr="00DC6FBC">
        <w:rPr>
          <w:rFonts w:ascii="Arial" w:hAnsi="Arial" w:cs="Arial"/>
          <w:b/>
          <w:bCs/>
          <w:color w:val="69557F"/>
          <w:sz w:val="36"/>
          <w:szCs w:val="36"/>
        </w:rPr>
        <w:t xml:space="preserve">Role of </w:t>
      </w:r>
      <w:r w:rsidR="00652B90">
        <w:rPr>
          <w:rFonts w:ascii="Arial" w:hAnsi="Arial" w:cs="Arial"/>
          <w:b/>
          <w:bCs/>
          <w:color w:val="69557F"/>
          <w:sz w:val="36"/>
          <w:szCs w:val="36"/>
        </w:rPr>
        <w:t>t</w:t>
      </w:r>
      <w:r w:rsidRPr="00DC6FBC">
        <w:rPr>
          <w:rFonts w:ascii="Arial" w:hAnsi="Arial" w:cs="Arial"/>
          <w:b/>
          <w:bCs/>
          <w:color w:val="69557F"/>
          <w:sz w:val="36"/>
          <w:szCs w:val="36"/>
        </w:rPr>
        <w:t xml:space="preserve">he </w:t>
      </w:r>
      <w:r w:rsidR="00652B90">
        <w:rPr>
          <w:rFonts w:ascii="Arial" w:hAnsi="Arial" w:cs="Arial"/>
          <w:b/>
          <w:bCs/>
          <w:color w:val="69557F"/>
          <w:sz w:val="36"/>
          <w:szCs w:val="36"/>
        </w:rPr>
        <w:t>l</w:t>
      </w:r>
      <w:r w:rsidRPr="00DC6FBC">
        <w:rPr>
          <w:rFonts w:ascii="Arial" w:hAnsi="Arial" w:cs="Arial"/>
          <w:b/>
          <w:bCs/>
          <w:color w:val="69557F"/>
          <w:sz w:val="36"/>
          <w:szCs w:val="36"/>
        </w:rPr>
        <w:t>egislature</w:t>
      </w:r>
      <w:bookmarkEnd w:id="809"/>
      <w:bookmarkEnd w:id="810"/>
      <w:bookmarkEnd w:id="811"/>
      <w:bookmarkEnd w:id="812"/>
      <w:bookmarkEnd w:id="813"/>
      <w:bookmarkEnd w:id="814"/>
      <w:bookmarkEnd w:id="815"/>
      <w:r w:rsidRPr="00DC6FBC">
        <w:rPr>
          <w:rFonts w:ascii="Arial" w:hAnsi="Arial" w:cs="Arial"/>
          <w:b/>
          <w:bCs/>
          <w:color w:val="69557F"/>
          <w:sz w:val="36"/>
          <w:szCs w:val="36"/>
        </w:rPr>
        <w:t xml:space="preserve"> </w:t>
      </w:r>
    </w:p>
    <w:p w14:paraId="55A262B4" w14:textId="6E24E7E8" w:rsidR="00DC6FBC" w:rsidRPr="009C5AE5" w:rsidRDefault="00DC6FBC" w:rsidP="009C5AE5">
      <w:pPr>
        <w:spacing w:line="276" w:lineRule="auto"/>
        <w:rPr>
          <w:rFonts w:ascii="Arial" w:hAnsi="Arial" w:cs="Arial"/>
          <w:sz w:val="24"/>
          <w:szCs w:val="24"/>
        </w:rPr>
      </w:pPr>
    </w:p>
    <w:p w14:paraId="1846273C" w14:textId="61DE0398" w:rsidR="00DC6FBC" w:rsidRDefault="009C5AE5" w:rsidP="009C5AE5">
      <w:pPr>
        <w:spacing w:line="276" w:lineRule="auto"/>
        <w:jc w:val="both"/>
        <w:rPr>
          <w:rFonts w:ascii="Arial" w:hAnsi="Arial" w:cs="Arial"/>
          <w:sz w:val="24"/>
          <w:szCs w:val="24"/>
          <w:lang w:val="en-ZA"/>
        </w:rPr>
      </w:pPr>
      <w:r>
        <w:rPr>
          <w:noProof/>
          <w:lang w:val="en-US"/>
        </w:rPr>
        <w:drawing>
          <wp:anchor distT="0" distB="0" distL="114300" distR="114300" simplePos="0" relativeHeight="252188670" behindDoc="0" locked="0" layoutInCell="1" allowOverlap="1" wp14:anchorId="4A9DA3B1" wp14:editId="2923B91A">
            <wp:simplePos x="0" y="0"/>
            <wp:positionH relativeFrom="column">
              <wp:posOffset>-24130</wp:posOffset>
            </wp:positionH>
            <wp:positionV relativeFrom="paragraph">
              <wp:posOffset>54610</wp:posOffset>
            </wp:positionV>
            <wp:extent cx="3263900" cy="2598420"/>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409" cstate="email">
                      <a:extLst>
                        <a:ext uri="{28A0092B-C50C-407E-A947-70E740481C1C}">
                          <a14:useLocalDpi xmlns:a14="http://schemas.microsoft.com/office/drawing/2010/main"/>
                        </a:ext>
                      </a:extLst>
                    </a:blip>
                    <a:stretch>
                      <a:fillRect/>
                    </a:stretch>
                  </pic:blipFill>
                  <pic:spPr>
                    <a:xfrm>
                      <a:off x="0" y="0"/>
                      <a:ext cx="3263900" cy="2598420"/>
                    </a:xfrm>
                    <a:prstGeom prst="rect">
                      <a:avLst/>
                    </a:prstGeom>
                  </pic:spPr>
                </pic:pic>
              </a:graphicData>
            </a:graphic>
            <wp14:sizeRelH relativeFrom="page">
              <wp14:pctWidth>0</wp14:pctWidth>
            </wp14:sizeRelH>
            <wp14:sizeRelV relativeFrom="page">
              <wp14:pctHeight>0</wp14:pctHeight>
            </wp14:sizeRelV>
          </wp:anchor>
        </w:drawing>
      </w:r>
      <w:r w:rsidR="00DC6FBC" w:rsidRPr="009C5AE5">
        <w:rPr>
          <w:rFonts w:ascii="Arial" w:hAnsi="Arial" w:cs="Arial"/>
          <w:sz w:val="24"/>
          <w:szCs w:val="24"/>
        </w:rPr>
        <w:t xml:space="preserve">The role of legislatures in fiscal policy and budgetary governance varies across countries, depending on a number of factors, including constitutional systems, legal parameters, political factors, forms of government and budgetary institutions. </w:t>
      </w:r>
      <w:r w:rsidR="00DC6FBC" w:rsidRPr="009C5AE5">
        <w:rPr>
          <w:rFonts w:ascii="Arial" w:hAnsi="Arial" w:cs="Arial"/>
          <w:sz w:val="24"/>
          <w:szCs w:val="24"/>
          <w:lang w:val="en-ZA"/>
        </w:rPr>
        <w:t>Unpacking GIFT’s High-level Principle 8 allows one to understand the role of the legislature in fiscal policy and budgeting processes; the need to anchor everything in legislation; its relationship with fiscal transparency, both as a user and supplier of information; as well as its relationship with other key actors in the process. </w:t>
      </w:r>
    </w:p>
    <w:p w14:paraId="21A96039" w14:textId="03B709DD" w:rsidR="00DC6FBC" w:rsidRPr="00DC6FBC" w:rsidRDefault="00DC6FBC" w:rsidP="00DC6FBC"/>
    <w:p w14:paraId="6FECC745" w14:textId="7D4F7E9D" w:rsidR="000D31F6" w:rsidRDefault="009C5AE5" w:rsidP="00B706F6">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194814" behindDoc="1" locked="0" layoutInCell="1" allowOverlap="1" wp14:anchorId="374D5BBD" wp14:editId="61F03B32">
                <wp:simplePos x="0" y="0"/>
                <wp:positionH relativeFrom="column">
                  <wp:posOffset>0</wp:posOffset>
                </wp:positionH>
                <wp:positionV relativeFrom="paragraph">
                  <wp:posOffset>1845443</wp:posOffset>
                </wp:positionV>
                <wp:extent cx="6634800" cy="409073"/>
                <wp:effectExtent l="0" t="0" r="0" b="0"/>
                <wp:wrapNone/>
                <wp:docPr id="114" name="Rectangle 114"/>
                <wp:cNvGraphicFramePr/>
                <a:graphic xmlns:a="http://schemas.openxmlformats.org/drawingml/2006/main">
                  <a:graphicData uri="http://schemas.microsoft.com/office/word/2010/wordprocessingShape">
                    <wps:wsp>
                      <wps:cNvSpPr/>
                      <wps:spPr>
                        <a:xfrm>
                          <a:off x="0" y="0"/>
                          <a:ext cx="6634800" cy="409073"/>
                        </a:xfrm>
                        <a:prstGeom prst="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2E241976" id="Rectangle 114" o:spid="_x0000_s1026" style="position:absolute;margin-left:0;margin-top:145.3pt;width:522.45pt;height:32.2pt;z-index:-2511216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" fillcolor="#69557f" stroked="f" strokeweight="1pt"/>
            </w:pict>
          </mc:Fallback>
        </mc:AlternateContent>
      </w:r>
      <w:r>
        <w:rPr>
          <w:rFonts w:ascii="Arial" w:hAnsi="Arial" w:cs="Arial"/>
          <w:noProof/>
          <w:sz w:val="24"/>
          <w:szCs w:val="24"/>
          <w:lang w:val="en-US"/>
        </w:rPr>
        <mc:AlternateContent>
          <mc:Choice Requires="wps">
            <w:drawing>
              <wp:anchor distT="0" distB="0" distL="114300" distR="114300" simplePos="0" relativeHeight="252192766" behindDoc="0" locked="0" layoutInCell="1" allowOverlap="1" wp14:anchorId="14263C72" wp14:editId="2D0A2C7D">
                <wp:simplePos x="0" y="0"/>
                <wp:positionH relativeFrom="margin">
                  <wp:align>center</wp:align>
                </wp:positionH>
                <wp:positionV relativeFrom="paragraph">
                  <wp:posOffset>1049725</wp:posOffset>
                </wp:positionV>
                <wp:extent cx="6366510" cy="1139895"/>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6366510" cy="1139895"/>
                        </a:xfrm>
                        <a:prstGeom prst="rect">
                          <a:avLst/>
                        </a:prstGeom>
                        <a:noFill/>
                        <a:ln w="6350">
                          <a:noFill/>
                        </a:ln>
                      </wps:spPr>
                      <wps:txbx>
                        <w:txbxContent>
                          <w:p w14:paraId="7FB796FC" w14:textId="76E962B2" w:rsidR="00D15FD8" w:rsidRPr="009C5AE5" w:rsidRDefault="00D15FD8" w:rsidP="00287F94">
                            <w:pPr>
                              <w:spacing w:line="276" w:lineRule="auto"/>
                              <w:jc w:val="both"/>
                              <w:rPr>
                                <w:rFonts w:ascii="Arial" w:hAnsi="Arial" w:cs="Arial"/>
                                <w:iCs/>
                                <w:color w:val="FFFFFF" w:themeColor="background1"/>
                                <w:sz w:val="24"/>
                                <w:szCs w:val="24"/>
                              </w:rPr>
                            </w:pPr>
                            <w:r w:rsidRPr="009C5AE5">
                              <w:rPr>
                                <w:rFonts w:ascii="Arial" w:eastAsia="Calibri" w:hAnsi="Arial" w:cs="Arial"/>
                                <w:iCs/>
                                <w:color w:val="FFFFFF" w:themeColor="background1"/>
                                <w:sz w:val="24"/>
                                <w:szCs w:val="24"/>
                              </w:rPr>
                              <w:t>The authority to raise taxes and incur expenditure on behalf of the public should be vested in the legislature. No government revenue should be raised or expenditure incurred or committed without the approval of the legislature through the budget or other legislation. The legislature should be provided with the authority, resources, and information required to effectively hold the executive to account for the use of public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263C72" id="Text Box 113" o:spid="_x0000_s1246" type="#_x0000_t202" style="position:absolute;left:0;text-align:left;margin-left:0;margin-top:82.65pt;width:501.3pt;height:89.75pt;z-index:25219276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" filled="f" stroked="f" strokeweight=".5pt">
                <v:textbox>
                  <w:txbxContent>
                    <w:p w14:paraId="7FB796FC" w14:textId="76E962B2" w:rsidR="00D15FD8" w:rsidRPr="009C5AE5" w:rsidRDefault="00D15FD8" w:rsidP="00287F94">
                      <w:pPr>
                        <w:spacing w:line="276" w:lineRule="auto"/>
                        <w:jc w:val="both"/>
                        <w:rPr>
                          <w:rFonts w:ascii="Arial" w:hAnsi="Arial" w:cs="Arial"/>
                          <w:iCs/>
                          <w:color w:val="FFFFFF" w:themeColor="background1"/>
                          <w:sz w:val="24"/>
                          <w:szCs w:val="24"/>
                        </w:rPr>
                      </w:pPr>
                      <w:r w:rsidRPr="009C5AE5">
                        <w:rPr>
                          <w:rFonts w:ascii="Arial" w:eastAsia="Calibri" w:hAnsi="Arial" w:cs="Arial"/>
                          <w:iCs/>
                          <w:color w:val="FFFFFF" w:themeColor="background1"/>
                          <w:sz w:val="24"/>
                          <w:szCs w:val="24"/>
                        </w:rPr>
                        <w:t>The authority to raise taxes and incur expenditure on behalf of the public should be vested in the legislature. No government revenue should be raised or expenditure incurred or committed without the approval of the legislature through the budget or other legislation. The legislature should be provided with the authority, resources, and information required to effectively hold the executive to account for the use of public resources.</w:t>
                      </w:r>
                    </w:p>
                  </w:txbxContent>
                </v:textbox>
                <w10:wrap anchorx="margin"/>
              </v:shape>
            </w:pict>
          </mc:Fallback>
        </mc:AlternateContent>
      </w:r>
      <w:r>
        <w:rPr>
          <w:rFonts w:ascii="Arial" w:hAnsi="Arial" w:cs="Arial"/>
          <w:noProof/>
          <w:color w:val="000000" w:themeColor="text1"/>
          <w:sz w:val="24"/>
          <w:szCs w:val="24"/>
          <w:lang w:val="en-US"/>
        </w:rPr>
        <w:drawing>
          <wp:anchor distT="0" distB="0" distL="114300" distR="114300" simplePos="0" relativeHeight="252190718" behindDoc="1" locked="0" layoutInCell="1" allowOverlap="1" wp14:anchorId="5B06F9A9" wp14:editId="1215FC78">
            <wp:simplePos x="0" y="0"/>
            <wp:positionH relativeFrom="margin">
              <wp:align>center</wp:align>
            </wp:positionH>
            <wp:positionV relativeFrom="paragraph">
              <wp:posOffset>-24130</wp:posOffset>
            </wp:positionV>
            <wp:extent cx="6816725" cy="221234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410" cstate="email">
                      <a:extLst>
                        <a:ext uri="{28A0092B-C50C-407E-A947-70E740481C1C}">
                          <a14:useLocalDpi xmlns:a14="http://schemas.microsoft.com/office/drawing/2010/main"/>
                        </a:ext>
                      </a:extLst>
                    </a:blip>
                    <a:srcRect/>
                    <a:stretch/>
                  </pic:blipFill>
                  <pic:spPr bwMode="auto">
                    <a:xfrm>
                      <a:off x="0" y="0"/>
                      <a:ext cx="6818630" cy="2213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ED7692" w14:textId="6DB94BD0" w:rsidR="00007A28" w:rsidRPr="00007A28" w:rsidRDefault="00007A28" w:rsidP="00007A28">
      <w:pPr>
        <w:rPr>
          <w:rFonts w:ascii="Arial" w:hAnsi="Arial" w:cs="Arial"/>
          <w:sz w:val="24"/>
          <w:szCs w:val="24"/>
        </w:rPr>
      </w:pPr>
      <w:r>
        <w:rPr>
          <w:rFonts w:ascii="Arial" w:hAnsi="Arial" w:cs="Arial"/>
          <w:noProof/>
          <w:sz w:val="24"/>
          <w:szCs w:val="24"/>
          <w:lang w:val="en-US"/>
        </w:rPr>
        <w:drawing>
          <wp:anchor distT="0" distB="0" distL="114300" distR="114300" simplePos="0" relativeHeight="252191742" behindDoc="1" locked="0" layoutInCell="1" allowOverlap="1" wp14:anchorId="39C81F76" wp14:editId="587F3A28">
            <wp:simplePos x="0" y="0"/>
            <wp:positionH relativeFrom="column">
              <wp:posOffset>1310673</wp:posOffset>
            </wp:positionH>
            <wp:positionV relativeFrom="paragraph">
              <wp:posOffset>144145</wp:posOffset>
            </wp:positionV>
            <wp:extent cx="3260090" cy="651510"/>
            <wp:effectExtent l="0" t="0" r="0" b="0"/>
            <wp:wrapTight wrapText="bothSides">
              <wp:wrapPolygon edited="0">
                <wp:start x="1515" y="1684"/>
                <wp:lineTo x="1010" y="3789"/>
                <wp:lineTo x="337" y="8000"/>
                <wp:lineTo x="337" y="10105"/>
                <wp:lineTo x="673" y="16000"/>
                <wp:lineTo x="1430" y="18526"/>
                <wp:lineTo x="1515" y="19368"/>
                <wp:lineTo x="20700" y="19368"/>
                <wp:lineTo x="20784" y="18526"/>
                <wp:lineTo x="21120" y="16000"/>
                <wp:lineTo x="21373" y="2947"/>
                <wp:lineTo x="19690" y="2526"/>
                <wp:lineTo x="2861" y="1684"/>
                <wp:lineTo x="1515" y="1684"/>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411" cstate="email">
                      <a:extLst>
                        <a:ext uri="{28A0092B-C50C-407E-A947-70E740481C1C}">
                          <a14:useLocalDpi xmlns:a14="http://schemas.microsoft.com/office/drawing/2010/main"/>
                        </a:ext>
                      </a:extLst>
                    </a:blip>
                    <a:stretch>
                      <a:fillRect/>
                    </a:stretch>
                  </pic:blipFill>
                  <pic:spPr>
                    <a:xfrm>
                      <a:off x="0" y="0"/>
                      <a:ext cx="3260090" cy="651510"/>
                    </a:xfrm>
                    <a:prstGeom prst="rect">
                      <a:avLst/>
                    </a:prstGeom>
                  </pic:spPr>
                </pic:pic>
              </a:graphicData>
            </a:graphic>
            <wp14:sizeRelH relativeFrom="page">
              <wp14:pctWidth>0</wp14:pctWidth>
            </wp14:sizeRelH>
            <wp14:sizeRelV relativeFrom="page">
              <wp14:pctHeight>0</wp14:pctHeight>
            </wp14:sizeRelV>
          </wp:anchor>
        </w:drawing>
      </w:r>
    </w:p>
    <w:p w14:paraId="5D14801E" w14:textId="7683D570" w:rsidR="00007A28" w:rsidRPr="00007A28" w:rsidRDefault="00007A28" w:rsidP="00007A28">
      <w:pPr>
        <w:rPr>
          <w:rFonts w:ascii="Arial" w:hAnsi="Arial" w:cs="Arial"/>
          <w:sz w:val="24"/>
          <w:szCs w:val="24"/>
        </w:rPr>
      </w:pPr>
    </w:p>
    <w:p w14:paraId="3AA02206" w14:textId="2C460F3B" w:rsidR="00007A28" w:rsidRPr="00007A28" w:rsidRDefault="00007A28" w:rsidP="00007A28">
      <w:pPr>
        <w:rPr>
          <w:rFonts w:ascii="Arial" w:hAnsi="Arial" w:cs="Arial"/>
          <w:sz w:val="24"/>
          <w:szCs w:val="24"/>
        </w:rPr>
      </w:pPr>
    </w:p>
    <w:p w14:paraId="16C3161D" w14:textId="55341B8B" w:rsidR="00007A28" w:rsidRPr="00007A28" w:rsidRDefault="00007A28" w:rsidP="00007A28">
      <w:pPr>
        <w:rPr>
          <w:rFonts w:ascii="Arial" w:hAnsi="Arial" w:cs="Arial"/>
          <w:sz w:val="24"/>
          <w:szCs w:val="24"/>
        </w:rPr>
      </w:pPr>
    </w:p>
    <w:p w14:paraId="4B118880" w14:textId="7AAE6AA4" w:rsidR="00007A28" w:rsidRPr="00007A28" w:rsidRDefault="00007A28" w:rsidP="00007A28">
      <w:pPr>
        <w:rPr>
          <w:rFonts w:ascii="Arial" w:hAnsi="Arial" w:cs="Arial"/>
          <w:sz w:val="24"/>
          <w:szCs w:val="24"/>
        </w:rPr>
      </w:pPr>
    </w:p>
    <w:p w14:paraId="103E151C" w14:textId="38BC8CA5" w:rsidR="00007A28" w:rsidRPr="00007A28" w:rsidRDefault="00007A28" w:rsidP="00007A28">
      <w:pPr>
        <w:rPr>
          <w:rFonts w:ascii="Arial" w:hAnsi="Arial" w:cs="Arial"/>
          <w:sz w:val="24"/>
          <w:szCs w:val="24"/>
        </w:rPr>
      </w:pPr>
    </w:p>
    <w:p w14:paraId="346C55A2" w14:textId="3B1DEA77" w:rsidR="00007A28" w:rsidRPr="00007A28" w:rsidRDefault="00007A28" w:rsidP="00007A28">
      <w:pPr>
        <w:rPr>
          <w:rFonts w:ascii="Arial" w:hAnsi="Arial" w:cs="Arial"/>
          <w:sz w:val="24"/>
          <w:szCs w:val="24"/>
        </w:rPr>
      </w:pPr>
    </w:p>
    <w:p w14:paraId="05B89D11" w14:textId="166E53BE" w:rsidR="00007A28" w:rsidRPr="00007A28" w:rsidRDefault="00007A28" w:rsidP="00007A28">
      <w:pPr>
        <w:rPr>
          <w:rFonts w:ascii="Arial" w:hAnsi="Arial" w:cs="Arial"/>
          <w:sz w:val="24"/>
          <w:szCs w:val="24"/>
        </w:rPr>
      </w:pPr>
    </w:p>
    <w:p w14:paraId="218F6D34" w14:textId="165D1AD1" w:rsidR="00007A28" w:rsidRPr="00007A28" w:rsidRDefault="00007A28" w:rsidP="00007A28">
      <w:pPr>
        <w:rPr>
          <w:rFonts w:ascii="Arial" w:hAnsi="Arial" w:cs="Arial"/>
          <w:sz w:val="24"/>
          <w:szCs w:val="24"/>
        </w:rPr>
      </w:pPr>
    </w:p>
    <w:p w14:paraId="0CDA7CE0" w14:textId="34F552A6" w:rsidR="00007A28" w:rsidRPr="00007A28" w:rsidRDefault="00007A28" w:rsidP="00007A28">
      <w:pPr>
        <w:rPr>
          <w:rFonts w:ascii="Arial" w:hAnsi="Arial" w:cs="Arial"/>
          <w:sz w:val="24"/>
          <w:szCs w:val="24"/>
        </w:rPr>
      </w:pPr>
    </w:p>
    <w:p w14:paraId="427089C3" w14:textId="7261E769" w:rsidR="00007A28" w:rsidRPr="00007A28" w:rsidRDefault="00007A28" w:rsidP="00007A28">
      <w:pPr>
        <w:rPr>
          <w:rFonts w:ascii="Arial" w:hAnsi="Arial" w:cs="Arial"/>
          <w:sz w:val="24"/>
          <w:szCs w:val="24"/>
        </w:rPr>
      </w:pPr>
    </w:p>
    <w:p w14:paraId="6C5382BD" w14:textId="77777777" w:rsidR="00985228" w:rsidRDefault="00985228" w:rsidP="00007A28">
      <w:pPr>
        <w:spacing w:before="120" w:after="120" w:line="276" w:lineRule="auto"/>
        <w:jc w:val="both"/>
        <w:rPr>
          <w:rFonts w:ascii="Arial" w:hAnsi="Arial" w:cs="Arial"/>
          <w:b/>
          <w:bCs/>
          <w:color w:val="69557F"/>
          <w:sz w:val="24"/>
          <w:szCs w:val="24"/>
          <w:lang w:val="en-ZA"/>
        </w:rPr>
      </w:pPr>
    </w:p>
    <w:p w14:paraId="52D506D5" w14:textId="77777777" w:rsidR="00314B3D" w:rsidRDefault="00314B3D" w:rsidP="00007A28">
      <w:pPr>
        <w:spacing w:before="120" w:after="120" w:line="276" w:lineRule="auto"/>
        <w:jc w:val="both"/>
        <w:rPr>
          <w:rFonts w:ascii="Arial" w:hAnsi="Arial" w:cs="Arial"/>
          <w:b/>
          <w:bCs/>
          <w:color w:val="69557F"/>
          <w:sz w:val="24"/>
          <w:szCs w:val="24"/>
          <w:lang w:val="en-ZA"/>
        </w:rPr>
      </w:pPr>
    </w:p>
    <w:p w14:paraId="7540BA66" w14:textId="1268A029" w:rsidR="00007A28" w:rsidRDefault="00985228" w:rsidP="00007A28">
      <w:pPr>
        <w:spacing w:before="120" w:after="120" w:line="276" w:lineRule="auto"/>
        <w:jc w:val="both"/>
        <w:rPr>
          <w:rFonts w:ascii="Arial" w:hAnsi="Arial" w:cs="Arial"/>
          <w:b/>
          <w:bCs/>
          <w:color w:val="69557F"/>
          <w:sz w:val="24"/>
          <w:szCs w:val="24"/>
          <w:lang w:val="en-ZA"/>
        </w:rPr>
      </w:pPr>
      <w:r>
        <w:rPr>
          <w:rFonts w:ascii="Arial" w:hAnsi="Arial" w:cs="Arial"/>
          <w:b/>
          <w:bCs/>
          <w:color w:val="69557F"/>
          <w:sz w:val="24"/>
          <w:szCs w:val="24"/>
          <w:lang w:val="en-ZA"/>
        </w:rPr>
        <w:lastRenderedPageBreak/>
        <w:t>P</w:t>
      </w:r>
      <w:r w:rsidR="00007A28" w:rsidRPr="00B16C69">
        <w:rPr>
          <w:rFonts w:ascii="Arial" w:hAnsi="Arial" w:cs="Arial"/>
          <w:b/>
          <w:bCs/>
          <w:color w:val="69557F"/>
          <w:sz w:val="24"/>
          <w:szCs w:val="24"/>
          <w:lang w:val="en-ZA"/>
        </w:rPr>
        <w:t>rinciple 8 refers to the legislature’s 3 core roles:</w:t>
      </w:r>
    </w:p>
    <w:p w14:paraId="0232045F" w14:textId="6D9A89E7" w:rsidR="00985228" w:rsidRDefault="00985228" w:rsidP="00007A28">
      <w:pPr>
        <w:spacing w:before="120" w:after="120" w:line="276" w:lineRule="auto"/>
        <w:jc w:val="both"/>
        <w:rPr>
          <w:rFonts w:ascii="Arial" w:hAnsi="Arial" w:cs="Arial"/>
          <w:b/>
          <w:bCs/>
          <w:color w:val="69557F"/>
          <w:sz w:val="24"/>
          <w:szCs w:val="24"/>
        </w:rPr>
      </w:pPr>
      <w:r>
        <w:rPr>
          <w:rFonts w:ascii="Arial" w:hAnsi="Arial" w:cs="Arial"/>
          <w:noProof/>
          <w:color w:val="000000" w:themeColor="text1"/>
          <w:sz w:val="24"/>
          <w:szCs w:val="24"/>
          <w:lang w:val="en-US"/>
        </w:rPr>
        <mc:AlternateContent>
          <mc:Choice Requires="wps">
            <w:drawing>
              <wp:anchor distT="0" distB="0" distL="114300" distR="114300" simplePos="0" relativeHeight="252579838" behindDoc="0" locked="0" layoutInCell="1" allowOverlap="1" wp14:anchorId="4A5B9037" wp14:editId="2EAF030F">
                <wp:simplePos x="0" y="0"/>
                <wp:positionH relativeFrom="column">
                  <wp:posOffset>-37465</wp:posOffset>
                </wp:positionH>
                <wp:positionV relativeFrom="paragraph">
                  <wp:posOffset>76835</wp:posOffset>
                </wp:positionV>
                <wp:extent cx="467995" cy="420370"/>
                <wp:effectExtent l="0" t="0" r="0" b="0"/>
                <wp:wrapNone/>
                <wp:docPr id="1457" name="Text Box 1457"/>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6747841F" w14:textId="77777777" w:rsidR="00D15FD8" w:rsidRPr="003944EE" w:rsidRDefault="00D15FD8" w:rsidP="00985228">
                            <w:pPr>
                              <w:jc w:val="center"/>
                              <w:rPr>
                                <w:rFonts w:ascii="Arial" w:hAnsi="Arial" w:cs="Arial"/>
                                <w:b/>
                                <w:bCs/>
                                <w:color w:val="FFFFFF" w:themeColor="background1"/>
                                <w:sz w:val="44"/>
                                <w:szCs w:val="44"/>
                                <w:lang w:val="en-US"/>
                              </w:rPr>
                            </w:pPr>
                            <w:r w:rsidRPr="003944EE">
                              <w:rPr>
                                <w:rFonts w:ascii="Arial" w:hAnsi="Arial" w:cs="Arial"/>
                                <w:b/>
                                <w:bCs/>
                                <w:color w:val="FFFFFF" w:themeColor="background1"/>
                                <w:sz w:val="44"/>
                                <w:szCs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B9037" id="Text Box 1457" o:spid="_x0000_s1247" type="#_x0000_t202" style="position:absolute;left:0;text-align:left;margin-left:-2.95pt;margin-top:6.05pt;width:36.85pt;height:33.1pt;z-index:252579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" filled="f" stroked="f" strokeweight=".5pt">
                <v:textbox>
                  <w:txbxContent>
                    <w:p w14:paraId="6747841F" w14:textId="77777777" w:rsidR="00D15FD8" w:rsidRPr="003944EE" w:rsidRDefault="00D15FD8" w:rsidP="00985228">
                      <w:pPr>
                        <w:jc w:val="center"/>
                        <w:rPr>
                          <w:rFonts w:ascii="Arial" w:hAnsi="Arial" w:cs="Arial"/>
                          <w:b/>
                          <w:bCs/>
                          <w:color w:val="FFFFFF" w:themeColor="background1"/>
                          <w:sz w:val="44"/>
                          <w:szCs w:val="44"/>
                          <w:lang w:val="en-US"/>
                        </w:rPr>
                      </w:pPr>
                      <w:r w:rsidRPr="003944EE">
                        <w:rPr>
                          <w:rFonts w:ascii="Arial" w:hAnsi="Arial" w:cs="Arial"/>
                          <w:b/>
                          <w:bCs/>
                          <w:color w:val="FFFFFF" w:themeColor="background1"/>
                          <w:sz w:val="44"/>
                          <w:szCs w:val="44"/>
                          <w:lang w:val="en-US"/>
                        </w:rPr>
                        <w:t>1</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2578814" behindDoc="0" locked="0" layoutInCell="1" allowOverlap="1" wp14:anchorId="2FC81C24" wp14:editId="50C082CB">
            <wp:simplePos x="0" y="0"/>
            <wp:positionH relativeFrom="column">
              <wp:posOffset>-63500</wp:posOffset>
            </wp:positionH>
            <wp:positionV relativeFrom="paragraph">
              <wp:posOffset>59055</wp:posOffset>
            </wp:positionV>
            <wp:extent cx="511175" cy="485775"/>
            <wp:effectExtent l="0" t="0" r="0" b="0"/>
            <wp:wrapSquare wrapText="bothSides"/>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5949BB" w14:textId="5B0BC53D" w:rsidR="00985228" w:rsidRPr="00B16C69" w:rsidRDefault="00985228" w:rsidP="00007A28">
      <w:pPr>
        <w:spacing w:before="120" w:after="120" w:line="276" w:lineRule="auto"/>
        <w:jc w:val="both"/>
        <w:rPr>
          <w:rFonts w:ascii="Arial" w:hAnsi="Arial" w:cs="Arial"/>
          <w:b/>
          <w:bCs/>
          <w:color w:val="69557F"/>
          <w:sz w:val="24"/>
          <w:szCs w:val="24"/>
        </w:rPr>
      </w:pPr>
      <w:r>
        <w:rPr>
          <w:rFonts w:ascii="Arial" w:hAnsi="Arial" w:cs="Arial"/>
          <w:noProof/>
          <w:color w:val="000000" w:themeColor="text1"/>
          <w:sz w:val="24"/>
          <w:szCs w:val="24"/>
          <w:lang w:val="en-US"/>
        </w:rPr>
        <mc:AlternateContent>
          <mc:Choice Requires="wps">
            <w:drawing>
              <wp:anchor distT="0" distB="0" distL="114300" distR="114300" simplePos="0" relativeHeight="252577790" behindDoc="0" locked="0" layoutInCell="1" allowOverlap="1" wp14:anchorId="69D1F340" wp14:editId="58DBEF01">
                <wp:simplePos x="0" y="0"/>
                <wp:positionH relativeFrom="margin">
                  <wp:posOffset>119380</wp:posOffset>
                </wp:positionH>
                <wp:positionV relativeFrom="paragraph">
                  <wp:posOffset>20955</wp:posOffset>
                </wp:positionV>
                <wp:extent cx="6645910" cy="0"/>
                <wp:effectExtent l="0" t="12700" r="21590" b="12700"/>
                <wp:wrapNone/>
                <wp:docPr id="1456" name="Straight Connector 1456"/>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3E90F78E" id="Straight Connector 1456" o:spid="_x0000_s1026" style="position:absolute;z-index:2525777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4pt,1.65pt" to="53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" strokecolor="#69557f" strokeweight="2.25pt">
                <v:stroke joinstyle="miter"/>
                <w10:wrap anchorx="margin"/>
              </v:line>
            </w:pict>
          </mc:Fallback>
        </mc:AlternateContent>
      </w:r>
    </w:p>
    <w:p w14:paraId="4F3BC77A" w14:textId="77777777" w:rsidR="00007A28" w:rsidRPr="00007A28" w:rsidRDefault="00007A28" w:rsidP="00985228">
      <w:pPr>
        <w:spacing w:line="276" w:lineRule="auto"/>
        <w:ind w:left="567"/>
        <w:jc w:val="both"/>
        <w:rPr>
          <w:rFonts w:ascii="Arial" w:hAnsi="Arial" w:cs="Arial"/>
          <w:sz w:val="24"/>
          <w:szCs w:val="24"/>
          <w:lang w:val="en-US"/>
        </w:rPr>
      </w:pPr>
      <w:r w:rsidRPr="00C34643">
        <w:rPr>
          <w:rFonts w:ascii="Arial" w:hAnsi="Arial" w:cs="Arial"/>
          <w:i/>
          <w:color w:val="69557F"/>
          <w:sz w:val="24"/>
          <w:szCs w:val="24"/>
        </w:rPr>
        <w:t>“T</w:t>
      </w:r>
      <w:r w:rsidRPr="00C34643">
        <w:rPr>
          <w:rFonts w:ascii="Arial" w:hAnsi="Arial" w:cs="Arial"/>
          <w:i/>
          <w:color w:val="69557F"/>
          <w:sz w:val="24"/>
          <w:szCs w:val="24"/>
          <w:lang w:val="en-ZA"/>
        </w:rPr>
        <w:t xml:space="preserve">he authority to raise taxes and incur expenditure </w:t>
      </w:r>
      <w:r w:rsidRPr="00C34643">
        <w:rPr>
          <w:rFonts w:ascii="Arial" w:hAnsi="Arial" w:cs="Arial"/>
          <w:bCs/>
          <w:i/>
          <w:iCs/>
          <w:color w:val="69557F"/>
          <w:sz w:val="24"/>
          <w:szCs w:val="24"/>
          <w:lang w:val="en-ZA"/>
        </w:rPr>
        <w:t>on behalf of</w:t>
      </w:r>
      <w:r w:rsidRPr="00C34643">
        <w:rPr>
          <w:rFonts w:ascii="Arial" w:hAnsi="Arial" w:cs="Arial"/>
          <w:i/>
          <w:color w:val="69557F"/>
          <w:sz w:val="24"/>
          <w:szCs w:val="24"/>
          <w:lang w:val="en-ZA"/>
        </w:rPr>
        <w:t xml:space="preserve"> the public should be vested in the legislature”</w:t>
      </w:r>
      <w:r w:rsidRPr="00C34643">
        <w:rPr>
          <w:rFonts w:ascii="Arial" w:hAnsi="Arial" w:cs="Arial"/>
          <w:color w:val="69557F"/>
          <w:sz w:val="24"/>
          <w:szCs w:val="24"/>
          <w:lang w:val="en-ZA"/>
        </w:rPr>
        <w:t xml:space="preserve"> </w:t>
      </w:r>
      <w:r w:rsidRPr="00007A28">
        <w:rPr>
          <w:rFonts w:ascii="Arial" w:hAnsi="Arial" w:cs="Arial"/>
          <w:sz w:val="24"/>
          <w:szCs w:val="24"/>
          <w:lang w:val="en-ZA"/>
        </w:rPr>
        <w:t xml:space="preserve">talks to the </w:t>
      </w:r>
      <w:r w:rsidRPr="00007A28">
        <w:rPr>
          <w:rFonts w:ascii="Arial" w:hAnsi="Arial" w:cs="Arial"/>
          <w:i/>
          <w:sz w:val="24"/>
          <w:szCs w:val="24"/>
          <w:lang w:val="en-ZA"/>
        </w:rPr>
        <w:t>representation</w:t>
      </w:r>
      <w:r w:rsidRPr="00007A28">
        <w:rPr>
          <w:rFonts w:ascii="Arial" w:hAnsi="Arial" w:cs="Arial"/>
          <w:sz w:val="24"/>
          <w:szCs w:val="24"/>
          <w:lang w:val="en-ZA"/>
        </w:rPr>
        <w:t xml:space="preserve"> role. Parliamentarians are the ultimate representatives of the public; such that members of the legislature should represent the interests of their constituents and the broader public interest, when they contribute to and participate in decision-making on fiscal policies. </w:t>
      </w:r>
    </w:p>
    <w:p w14:paraId="436066DE" w14:textId="00B7CD9A" w:rsidR="00007A28" w:rsidRDefault="00985228" w:rsidP="00007A28">
      <w:pPr>
        <w:spacing w:line="276" w:lineRule="auto"/>
        <w:ind w:left="567"/>
        <w:jc w:val="both"/>
        <w:rPr>
          <w:rFonts w:ascii="Arial" w:hAnsi="Arial" w:cs="Arial"/>
          <w:sz w:val="24"/>
          <w:szCs w:val="24"/>
          <w:lang w:val="en-US"/>
        </w:rPr>
      </w:pPr>
      <w:r>
        <w:rPr>
          <w:rFonts w:ascii="Arial" w:hAnsi="Arial" w:cs="Arial"/>
          <w:noProof/>
          <w:color w:val="000000" w:themeColor="text1"/>
          <w:sz w:val="24"/>
          <w:szCs w:val="24"/>
          <w:lang w:val="en-US"/>
        </w:rPr>
        <mc:AlternateContent>
          <mc:Choice Requires="wps">
            <w:drawing>
              <wp:anchor distT="0" distB="0" distL="114300" distR="114300" simplePos="0" relativeHeight="252583934" behindDoc="0" locked="0" layoutInCell="1" allowOverlap="1" wp14:anchorId="3DFBF3E1" wp14:editId="7A0A6CF3">
                <wp:simplePos x="0" y="0"/>
                <wp:positionH relativeFrom="column">
                  <wp:posOffset>-4445</wp:posOffset>
                </wp:positionH>
                <wp:positionV relativeFrom="paragraph">
                  <wp:posOffset>134620</wp:posOffset>
                </wp:positionV>
                <wp:extent cx="467995" cy="420370"/>
                <wp:effectExtent l="0" t="0" r="0" b="0"/>
                <wp:wrapNone/>
                <wp:docPr id="1460" name="Text Box 1460"/>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4368CCB0" w14:textId="189AB6BA" w:rsidR="00D15FD8" w:rsidRPr="003944EE" w:rsidRDefault="00D15FD8" w:rsidP="0098522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BF3E1" id="Text Box 1460" o:spid="_x0000_s1248" type="#_x0000_t202" style="position:absolute;left:0;text-align:left;margin-left:-.35pt;margin-top:10.6pt;width:36.85pt;height:33.1pt;z-index:252583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" filled="f" stroked="f" strokeweight=".5pt">
                <v:textbox>
                  <w:txbxContent>
                    <w:p w14:paraId="4368CCB0" w14:textId="189AB6BA" w:rsidR="00D15FD8" w:rsidRPr="003944EE" w:rsidRDefault="00D15FD8" w:rsidP="0098522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2582910" behindDoc="0" locked="0" layoutInCell="1" allowOverlap="1" wp14:anchorId="3E922217" wp14:editId="5AD2FDAD">
            <wp:simplePos x="0" y="0"/>
            <wp:positionH relativeFrom="column">
              <wp:posOffset>-38100</wp:posOffset>
            </wp:positionH>
            <wp:positionV relativeFrom="paragraph">
              <wp:posOffset>99060</wp:posOffset>
            </wp:positionV>
            <wp:extent cx="511175" cy="485775"/>
            <wp:effectExtent l="0" t="0" r="0" b="0"/>
            <wp:wrapSquare wrapText="bothSides"/>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8448C" w14:textId="22325A1D" w:rsidR="00985228" w:rsidRDefault="00985228" w:rsidP="00985228">
      <w:pPr>
        <w:spacing w:line="276" w:lineRule="auto"/>
        <w:jc w:val="both"/>
        <w:rPr>
          <w:rFonts w:ascii="Arial" w:hAnsi="Arial" w:cs="Arial"/>
          <w:sz w:val="24"/>
          <w:szCs w:val="24"/>
          <w:lang w:val="en-US"/>
        </w:rPr>
      </w:pPr>
      <w:r>
        <w:rPr>
          <w:rFonts w:ascii="Arial" w:hAnsi="Arial" w:cs="Arial"/>
          <w:noProof/>
          <w:color w:val="000000" w:themeColor="text1"/>
          <w:sz w:val="24"/>
          <w:szCs w:val="24"/>
          <w:lang w:val="en-US"/>
        </w:rPr>
        <mc:AlternateContent>
          <mc:Choice Requires="wps">
            <w:drawing>
              <wp:anchor distT="0" distB="0" distL="114300" distR="114300" simplePos="0" relativeHeight="252581886" behindDoc="0" locked="0" layoutInCell="1" allowOverlap="1" wp14:anchorId="49F86E26" wp14:editId="73E6F6A1">
                <wp:simplePos x="0" y="0"/>
                <wp:positionH relativeFrom="margin">
                  <wp:posOffset>119380</wp:posOffset>
                </wp:positionH>
                <wp:positionV relativeFrom="paragraph">
                  <wp:posOffset>147955</wp:posOffset>
                </wp:positionV>
                <wp:extent cx="6645910" cy="0"/>
                <wp:effectExtent l="0" t="12700" r="21590" b="12700"/>
                <wp:wrapNone/>
                <wp:docPr id="1459" name="Straight Connector 1459"/>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793C5D04" id="Straight Connector 1459" o:spid="_x0000_s1026" style="position:absolute;z-index:252581886;visibility:visible;mso-wrap-style:square;mso-wrap-distance-left:9pt;mso-wrap-distance-top:0;mso-wrap-distance-right:9pt;mso-wrap-distance-bottom:0;mso-position-horizontal:absolute;mso-position-horizontal-relative:margin;mso-position-vertical:absolute;mso-position-vertical-relative:text" from="9.4pt,11.65pt" to="532.7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" strokecolor="#69557f" strokeweight="2.25pt">
                <v:stroke joinstyle="miter"/>
                <w10:wrap anchorx="margin"/>
              </v:line>
            </w:pict>
          </mc:Fallback>
        </mc:AlternateContent>
      </w:r>
    </w:p>
    <w:p w14:paraId="4C5BDC9D" w14:textId="74F0EF7A" w:rsidR="00985228" w:rsidRDefault="00985228" w:rsidP="00007A28">
      <w:pPr>
        <w:spacing w:line="276" w:lineRule="auto"/>
        <w:ind w:left="567"/>
        <w:jc w:val="both"/>
        <w:rPr>
          <w:rFonts w:ascii="Arial" w:hAnsi="Arial" w:cs="Arial"/>
          <w:sz w:val="24"/>
          <w:szCs w:val="24"/>
          <w:lang w:val="en-US"/>
        </w:rPr>
      </w:pPr>
    </w:p>
    <w:p w14:paraId="64571A6E" w14:textId="1B933597" w:rsidR="00007A28" w:rsidRPr="00007A28" w:rsidRDefault="00007A28" w:rsidP="00985228">
      <w:pPr>
        <w:spacing w:line="276" w:lineRule="auto"/>
        <w:ind w:left="567"/>
        <w:jc w:val="both"/>
        <w:rPr>
          <w:rFonts w:ascii="Arial" w:hAnsi="Arial" w:cs="Arial"/>
          <w:i/>
          <w:sz w:val="24"/>
          <w:szCs w:val="24"/>
        </w:rPr>
      </w:pPr>
      <w:r w:rsidRPr="00C34643">
        <w:rPr>
          <w:rFonts w:ascii="Arial" w:hAnsi="Arial" w:cs="Arial"/>
          <w:i/>
          <w:color w:val="69557F"/>
          <w:sz w:val="24"/>
          <w:szCs w:val="24"/>
          <w:lang w:val="en-ZA"/>
        </w:rPr>
        <w:t>“No government revenue should be raised or expenditure incurred or committed without the approval of the legislature through the budget or other</w:t>
      </w:r>
      <w:r w:rsidRPr="00C34643">
        <w:rPr>
          <w:rFonts w:ascii="Arial" w:hAnsi="Arial" w:cs="Arial"/>
          <w:b/>
          <w:bCs/>
          <w:i/>
          <w:iCs/>
          <w:color w:val="69557F"/>
          <w:sz w:val="24"/>
          <w:szCs w:val="24"/>
          <w:lang w:val="en-ZA"/>
        </w:rPr>
        <w:t xml:space="preserve"> </w:t>
      </w:r>
      <w:r w:rsidRPr="00C34643">
        <w:rPr>
          <w:rFonts w:ascii="Arial" w:hAnsi="Arial" w:cs="Arial"/>
          <w:i/>
          <w:iCs/>
          <w:color w:val="69557F"/>
          <w:sz w:val="24"/>
          <w:szCs w:val="24"/>
          <w:lang w:val="en-ZA"/>
        </w:rPr>
        <w:t>legislation”</w:t>
      </w:r>
      <w:r w:rsidR="00C34643">
        <w:rPr>
          <w:rFonts w:ascii="Arial" w:hAnsi="Arial" w:cs="Arial"/>
          <w:i/>
          <w:iCs/>
          <w:color w:val="69557F"/>
          <w:sz w:val="24"/>
          <w:szCs w:val="24"/>
          <w:lang w:val="en-ZA"/>
        </w:rPr>
        <w:t xml:space="preserve"> </w:t>
      </w:r>
      <w:r w:rsidRPr="00007A28">
        <w:rPr>
          <w:rFonts w:ascii="Arial" w:hAnsi="Arial" w:cs="Arial"/>
          <w:bCs/>
          <w:sz w:val="24"/>
          <w:szCs w:val="24"/>
          <w:lang w:val="en-ZA"/>
        </w:rPr>
        <w:t xml:space="preserve">talks to the legislature’s </w:t>
      </w:r>
      <w:r w:rsidRPr="00007A28">
        <w:rPr>
          <w:rFonts w:ascii="Arial" w:hAnsi="Arial" w:cs="Arial"/>
          <w:bCs/>
          <w:i/>
          <w:sz w:val="24"/>
          <w:szCs w:val="24"/>
          <w:lang w:val="en-ZA"/>
        </w:rPr>
        <w:t>law-making</w:t>
      </w:r>
      <w:r w:rsidRPr="00007A28">
        <w:rPr>
          <w:rFonts w:ascii="Arial" w:hAnsi="Arial" w:cs="Arial"/>
          <w:bCs/>
          <w:sz w:val="24"/>
          <w:szCs w:val="24"/>
          <w:lang w:val="en-ZA"/>
        </w:rPr>
        <w:t xml:space="preserve"> role; vesting in it the power to approve, amend, or reject government bills, including money bills.</w:t>
      </w:r>
    </w:p>
    <w:p w14:paraId="56358CD1" w14:textId="291C46E2" w:rsidR="00985228" w:rsidRPr="00985228" w:rsidRDefault="00985228" w:rsidP="00985228">
      <w:pPr>
        <w:spacing w:line="276" w:lineRule="auto"/>
        <w:rPr>
          <w:rFonts w:ascii="Arial" w:hAnsi="Arial" w:cs="Arial"/>
          <w:iCs/>
          <w:sz w:val="24"/>
          <w:szCs w:val="24"/>
        </w:rPr>
      </w:pPr>
      <w:r>
        <w:rPr>
          <w:rFonts w:ascii="Arial" w:hAnsi="Arial" w:cs="Arial"/>
          <w:noProof/>
          <w:color w:val="000000" w:themeColor="text1"/>
          <w:sz w:val="24"/>
          <w:szCs w:val="24"/>
          <w:lang w:val="en-US"/>
        </w:rPr>
        <mc:AlternateContent>
          <mc:Choice Requires="wps">
            <w:drawing>
              <wp:anchor distT="0" distB="0" distL="114300" distR="114300" simplePos="0" relativeHeight="252588030" behindDoc="0" locked="0" layoutInCell="1" allowOverlap="1" wp14:anchorId="3597EE42" wp14:editId="1DAB6C60">
                <wp:simplePos x="0" y="0"/>
                <wp:positionH relativeFrom="column">
                  <wp:posOffset>29210</wp:posOffset>
                </wp:positionH>
                <wp:positionV relativeFrom="paragraph">
                  <wp:posOffset>59690</wp:posOffset>
                </wp:positionV>
                <wp:extent cx="467995" cy="420370"/>
                <wp:effectExtent l="0" t="0" r="0" b="0"/>
                <wp:wrapNone/>
                <wp:docPr id="1463" name="Text Box 1463"/>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3305D471" w14:textId="7A766BE5" w:rsidR="00D15FD8" w:rsidRPr="003944EE" w:rsidRDefault="00D15FD8" w:rsidP="0098522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7EE42" id="Text Box 1463" o:spid="_x0000_s1249" type="#_x0000_t202" style="position:absolute;margin-left:2.3pt;margin-top:4.7pt;width:36.85pt;height:33.1pt;z-index:2525880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" filled="f" stroked="f" strokeweight=".5pt">
                <v:textbox>
                  <w:txbxContent>
                    <w:p w14:paraId="3305D471" w14:textId="7A766BE5" w:rsidR="00D15FD8" w:rsidRPr="003944EE" w:rsidRDefault="00D15FD8" w:rsidP="0098522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2587006" behindDoc="0" locked="0" layoutInCell="1" allowOverlap="1" wp14:anchorId="7AA38CEF" wp14:editId="576EAF63">
            <wp:simplePos x="0" y="0"/>
            <wp:positionH relativeFrom="column">
              <wp:posOffset>0</wp:posOffset>
            </wp:positionH>
            <wp:positionV relativeFrom="paragraph">
              <wp:posOffset>37465</wp:posOffset>
            </wp:positionV>
            <wp:extent cx="511175" cy="485775"/>
            <wp:effectExtent l="0" t="0" r="0" b="0"/>
            <wp:wrapSquare wrapText="bothSides"/>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0B942B" w14:textId="1C06633C" w:rsidR="00985228" w:rsidRDefault="00985228" w:rsidP="00007A28">
      <w:pPr>
        <w:pStyle w:val="ListParagraph"/>
        <w:spacing w:line="276" w:lineRule="auto"/>
        <w:rPr>
          <w:rFonts w:ascii="Arial" w:hAnsi="Arial" w:cs="Arial"/>
          <w:iCs/>
          <w:sz w:val="24"/>
          <w:szCs w:val="24"/>
        </w:rPr>
      </w:pPr>
      <w:r>
        <w:rPr>
          <w:rFonts w:ascii="Arial" w:hAnsi="Arial" w:cs="Arial"/>
          <w:noProof/>
          <w:color w:val="000000" w:themeColor="text1"/>
          <w:sz w:val="24"/>
          <w:szCs w:val="24"/>
          <w:lang w:val="en-US"/>
        </w:rPr>
        <mc:AlternateContent>
          <mc:Choice Requires="wps">
            <w:drawing>
              <wp:anchor distT="0" distB="0" distL="114300" distR="114300" simplePos="0" relativeHeight="252585982" behindDoc="0" locked="0" layoutInCell="1" allowOverlap="1" wp14:anchorId="67ABB0D0" wp14:editId="123818C8">
                <wp:simplePos x="0" y="0"/>
                <wp:positionH relativeFrom="margin">
                  <wp:posOffset>119380</wp:posOffset>
                </wp:positionH>
                <wp:positionV relativeFrom="paragraph">
                  <wp:posOffset>85725</wp:posOffset>
                </wp:positionV>
                <wp:extent cx="6645910" cy="0"/>
                <wp:effectExtent l="0" t="12700" r="21590" b="12700"/>
                <wp:wrapNone/>
                <wp:docPr id="1462" name="Straight Connector 1462"/>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6D5D2656" id="Straight Connector 1462" o:spid="_x0000_s1026" style="position:absolute;z-index:252585982;visibility:visible;mso-wrap-style:square;mso-wrap-distance-left:9pt;mso-wrap-distance-top:0;mso-wrap-distance-right:9pt;mso-wrap-distance-bottom:0;mso-position-horizontal:absolute;mso-position-horizontal-relative:margin;mso-position-vertical:absolute;mso-position-vertical-relative:text" from="9.4pt,6.75pt" to="532.7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" strokecolor="#69557f" strokeweight="2.25pt">
                <v:stroke joinstyle="miter"/>
                <w10:wrap anchorx="margin"/>
              </v:line>
            </w:pict>
          </mc:Fallback>
        </mc:AlternateContent>
      </w:r>
    </w:p>
    <w:p w14:paraId="0C5D8BCE" w14:textId="77777777" w:rsidR="00985228" w:rsidRPr="00985228" w:rsidRDefault="00985228" w:rsidP="00985228">
      <w:pPr>
        <w:spacing w:line="276" w:lineRule="auto"/>
        <w:rPr>
          <w:rFonts w:ascii="Arial" w:hAnsi="Arial" w:cs="Arial"/>
          <w:iCs/>
          <w:sz w:val="24"/>
          <w:szCs w:val="24"/>
        </w:rPr>
      </w:pPr>
    </w:p>
    <w:p w14:paraId="4C18145E" w14:textId="77777777" w:rsidR="00007A28" w:rsidRPr="00007A28" w:rsidRDefault="00007A28" w:rsidP="00985228">
      <w:pPr>
        <w:spacing w:line="276" w:lineRule="auto"/>
        <w:ind w:left="567"/>
        <w:jc w:val="both"/>
        <w:rPr>
          <w:rFonts w:ascii="Arial" w:hAnsi="Arial" w:cs="Arial"/>
          <w:sz w:val="24"/>
          <w:szCs w:val="24"/>
        </w:rPr>
      </w:pPr>
      <w:r w:rsidRPr="00C34643">
        <w:rPr>
          <w:rFonts w:ascii="Arial" w:hAnsi="Arial" w:cs="Arial"/>
          <w:i/>
          <w:color w:val="69557F"/>
          <w:sz w:val="24"/>
          <w:szCs w:val="24"/>
        </w:rPr>
        <w:t>“The legislature should be provided with the authority, resources, and information required to effectively hold the executive to account for the use of public resources”</w:t>
      </w:r>
      <w:r w:rsidRPr="00C34643">
        <w:rPr>
          <w:rFonts w:ascii="Arial" w:hAnsi="Arial" w:cs="Arial"/>
          <w:color w:val="69557F"/>
          <w:sz w:val="24"/>
          <w:szCs w:val="24"/>
        </w:rPr>
        <w:t xml:space="preserve"> </w:t>
      </w:r>
      <w:r w:rsidRPr="00007A28">
        <w:rPr>
          <w:rFonts w:ascii="Arial" w:hAnsi="Arial" w:cs="Arial"/>
          <w:sz w:val="24"/>
          <w:szCs w:val="24"/>
        </w:rPr>
        <w:t xml:space="preserve">talks to the </w:t>
      </w:r>
      <w:r w:rsidRPr="00007A28">
        <w:rPr>
          <w:rFonts w:ascii="Arial" w:hAnsi="Arial" w:cs="Arial"/>
          <w:i/>
          <w:sz w:val="24"/>
          <w:szCs w:val="24"/>
        </w:rPr>
        <w:t xml:space="preserve">oversight </w:t>
      </w:r>
      <w:r w:rsidRPr="00007A28">
        <w:rPr>
          <w:rFonts w:ascii="Arial" w:hAnsi="Arial" w:cs="Arial"/>
          <w:sz w:val="24"/>
          <w:szCs w:val="24"/>
        </w:rPr>
        <w:t>role.</w:t>
      </w:r>
      <w:r w:rsidRPr="00007A28">
        <w:rPr>
          <w:rFonts w:ascii="Arial" w:eastAsiaTheme="minorEastAsia" w:hAnsi="Arial" w:cs="Arial"/>
          <w:sz w:val="24"/>
          <w:szCs w:val="24"/>
          <w:lang w:val="en-ZA" w:eastAsia="zh-CN"/>
        </w:rPr>
        <w:t xml:space="preserve"> </w:t>
      </w:r>
      <w:r w:rsidRPr="00007A28">
        <w:rPr>
          <w:rFonts w:ascii="Arial" w:hAnsi="Arial" w:cs="Arial"/>
          <w:sz w:val="24"/>
          <w:szCs w:val="24"/>
          <w:lang w:val="en-ZA"/>
        </w:rPr>
        <w:t xml:space="preserve">The legislature is the key institution vested with the authority to hold the executive to account for its stewardship of public resources. </w:t>
      </w:r>
      <w:r w:rsidRPr="00007A28">
        <w:rPr>
          <w:rFonts w:ascii="Arial" w:hAnsi="Arial" w:cs="Arial"/>
          <w:sz w:val="24"/>
          <w:szCs w:val="24"/>
        </w:rPr>
        <w:t xml:space="preserve">This role is undertaken in two ways: oversight of the preparation of policies (ex-ante oversight) and oversight of the execution and the implementation of policies (ex-post oversight). </w:t>
      </w:r>
      <w:r w:rsidRPr="00007A28">
        <w:rPr>
          <w:rFonts w:ascii="Arial" w:hAnsi="Arial" w:cs="Arial"/>
          <w:sz w:val="24"/>
          <w:szCs w:val="24"/>
          <w:lang w:val="en-ZA"/>
        </w:rPr>
        <w:t xml:space="preserve">Ultimately, it needs to ensure that the government implements policies and programs in accordance with their intended purpose, avoiding misallocations, deviations, wrongdoings and corruption. </w:t>
      </w:r>
    </w:p>
    <w:p w14:paraId="52D2412D" w14:textId="77777777" w:rsidR="00007A28" w:rsidRPr="00007A28" w:rsidRDefault="00007A28" w:rsidP="00007A28">
      <w:pPr>
        <w:spacing w:line="276" w:lineRule="auto"/>
        <w:jc w:val="both"/>
        <w:rPr>
          <w:rFonts w:ascii="Arial" w:hAnsi="Arial" w:cs="Arial"/>
          <w:sz w:val="24"/>
          <w:szCs w:val="24"/>
        </w:rPr>
      </w:pPr>
    </w:p>
    <w:p w14:paraId="671B2BD2" w14:textId="04DD8EA4" w:rsidR="00007A28" w:rsidRPr="00007A28" w:rsidRDefault="00007A28" w:rsidP="00007A28">
      <w:pPr>
        <w:spacing w:line="276" w:lineRule="auto"/>
        <w:jc w:val="both"/>
        <w:rPr>
          <w:rFonts w:ascii="Arial" w:hAnsi="Arial" w:cs="Arial"/>
          <w:sz w:val="24"/>
          <w:szCs w:val="24"/>
        </w:rPr>
      </w:pPr>
      <w:r w:rsidRPr="00007A28">
        <w:rPr>
          <w:rFonts w:ascii="Arial" w:hAnsi="Arial" w:cs="Arial"/>
          <w:sz w:val="24"/>
          <w:szCs w:val="24"/>
          <w:lang w:val="en-ZA"/>
        </w:rPr>
        <w:t>In a nutshell, as representatives of the voters and taxpayers, the legislature is responsible for the oversight, review, amendment, and approval of budget plans, budgets, and supplemental budgets; as well as for assessing the outcome of budget execution, and consequently for requesting follow-up action from the executive; as required. All of this should be done based on legislation and in accordance with the public interest.</w:t>
      </w:r>
    </w:p>
    <w:p w14:paraId="186CF447" w14:textId="77777777" w:rsidR="00007A28" w:rsidRPr="00007A28" w:rsidRDefault="00007A28" w:rsidP="00007A28">
      <w:pPr>
        <w:spacing w:line="276" w:lineRule="auto"/>
        <w:ind w:left="567"/>
        <w:jc w:val="both"/>
        <w:rPr>
          <w:rFonts w:ascii="Arial" w:hAnsi="Arial" w:cs="Arial"/>
          <w:sz w:val="24"/>
          <w:szCs w:val="24"/>
        </w:rPr>
      </w:pPr>
    </w:p>
    <w:p w14:paraId="26E40B3B" w14:textId="3B4E309D" w:rsidR="00007A28" w:rsidRDefault="00007A28" w:rsidP="00007A28">
      <w:pPr>
        <w:spacing w:line="276" w:lineRule="auto"/>
        <w:jc w:val="both"/>
        <w:rPr>
          <w:rFonts w:ascii="Arial" w:hAnsi="Arial" w:cs="Arial"/>
          <w:sz w:val="24"/>
          <w:szCs w:val="24"/>
        </w:rPr>
      </w:pPr>
      <w:r w:rsidRPr="00007A28">
        <w:rPr>
          <w:rFonts w:ascii="Arial" w:hAnsi="Arial" w:cs="Arial"/>
          <w:sz w:val="24"/>
          <w:szCs w:val="24"/>
        </w:rPr>
        <w:t xml:space="preserve">Other normative frameworks such as the IMF’s </w:t>
      </w:r>
      <w:hyperlink r:id="rId412" w:history="1">
        <w:r w:rsidRPr="00007A28">
          <w:rPr>
            <w:rFonts w:ascii="Arial" w:hAnsi="Arial" w:cs="Arial"/>
            <w:color w:val="0563C1" w:themeColor="hyperlink"/>
            <w:sz w:val="24"/>
            <w:szCs w:val="24"/>
            <w:u w:val="single"/>
          </w:rPr>
          <w:t>Fiscal Transparency Code</w:t>
        </w:r>
        <w:r w:rsidRPr="00007A28">
          <w:rPr>
            <w:rFonts w:ascii="Arial" w:hAnsi="Arial" w:cs="Arial"/>
            <w:sz w:val="24"/>
            <w:szCs w:val="24"/>
          </w:rPr>
          <w:t xml:space="preserve"> (2019)</w:t>
        </w:r>
      </w:hyperlink>
      <w:r w:rsidRPr="00007A28">
        <w:rPr>
          <w:rFonts w:ascii="Arial" w:hAnsi="Arial" w:cs="Arial"/>
          <w:sz w:val="24"/>
          <w:szCs w:val="24"/>
        </w:rPr>
        <w:t xml:space="preserve">, and the OECD’s </w:t>
      </w:r>
      <w:hyperlink r:id="rId413" w:history="1">
        <w:r w:rsidRPr="00007A28">
          <w:rPr>
            <w:rFonts w:ascii="Arial" w:hAnsi="Arial" w:cs="Arial"/>
            <w:bCs/>
            <w:color w:val="0563C1" w:themeColor="hyperlink"/>
            <w:sz w:val="24"/>
            <w:szCs w:val="24"/>
            <w:u w:val="single"/>
          </w:rPr>
          <w:t>Recommendation of the Council on Budgetary Governance</w:t>
        </w:r>
      </w:hyperlink>
      <w:r w:rsidRPr="00007A28">
        <w:rPr>
          <w:rFonts w:ascii="Arial" w:hAnsi="Arial" w:cs="Arial"/>
          <w:bCs/>
          <w:sz w:val="24"/>
          <w:szCs w:val="24"/>
        </w:rPr>
        <w:t xml:space="preserve"> (2015) </w:t>
      </w:r>
      <w:r w:rsidRPr="00007A28">
        <w:rPr>
          <w:rFonts w:ascii="Arial" w:hAnsi="Arial" w:cs="Arial"/>
          <w:sz w:val="24"/>
          <w:szCs w:val="24"/>
        </w:rPr>
        <w:t>also recognise the fundamental role of legislatures and that they should have the opportunity, authority, resources and information required to effectively hold the executive to account</w:t>
      </w:r>
      <w:r w:rsidRPr="00007A28">
        <w:rPr>
          <w:rStyle w:val="FootnoteReference"/>
          <w:rFonts w:ascii="Arial" w:hAnsi="Arial" w:cs="Arial"/>
          <w:sz w:val="24"/>
          <w:szCs w:val="24"/>
        </w:rPr>
        <w:footnoteReference w:id="26"/>
      </w:r>
      <w:r w:rsidRPr="00007A28">
        <w:rPr>
          <w:rFonts w:ascii="Arial" w:hAnsi="Arial" w:cs="Arial"/>
          <w:sz w:val="24"/>
          <w:szCs w:val="24"/>
        </w:rPr>
        <w:t>.</w:t>
      </w:r>
    </w:p>
    <w:p w14:paraId="41ABC722" w14:textId="77777777" w:rsidR="00985228" w:rsidRPr="00007A28" w:rsidRDefault="00985228" w:rsidP="00007A28">
      <w:pPr>
        <w:spacing w:line="276" w:lineRule="auto"/>
        <w:jc w:val="both"/>
        <w:rPr>
          <w:rFonts w:ascii="Arial" w:hAnsi="Arial" w:cs="Arial"/>
          <w:sz w:val="24"/>
          <w:szCs w:val="24"/>
        </w:rPr>
      </w:pPr>
    </w:p>
    <w:p w14:paraId="683CB9E5" w14:textId="4DA8E0E7" w:rsidR="00B16C69" w:rsidRPr="001B561A" w:rsidRDefault="00B16C69" w:rsidP="001B561A">
      <w:pPr>
        <w:pStyle w:val="Heading2"/>
        <w:numPr>
          <w:ilvl w:val="1"/>
          <w:numId w:val="40"/>
        </w:numPr>
        <w:rPr>
          <w:rFonts w:ascii="Arial" w:hAnsi="Arial" w:cs="Arial"/>
          <w:b/>
          <w:bCs/>
          <w:color w:val="69557F"/>
          <w:sz w:val="36"/>
          <w:szCs w:val="36"/>
        </w:rPr>
      </w:pPr>
      <w:bookmarkStart w:id="816" w:name="_Toc119794449"/>
      <w:bookmarkStart w:id="817" w:name="_Toc123204434"/>
      <w:bookmarkStart w:id="818" w:name="_Toc123216525"/>
      <w:bookmarkStart w:id="819" w:name="_Toc123217365"/>
      <w:bookmarkStart w:id="820" w:name="_Toc123913335"/>
      <w:bookmarkStart w:id="821" w:name="_Toc123913991"/>
      <w:bookmarkStart w:id="822" w:name="_Toc125566610"/>
      <w:r w:rsidRPr="001B561A">
        <w:rPr>
          <w:rFonts w:ascii="Arial" w:hAnsi="Arial" w:cs="Arial"/>
          <w:b/>
          <w:bCs/>
          <w:color w:val="69557F"/>
          <w:sz w:val="36"/>
          <w:szCs w:val="36"/>
        </w:rPr>
        <w:lastRenderedPageBreak/>
        <w:t xml:space="preserve">Legislative </w:t>
      </w:r>
      <w:r w:rsidR="00652B90">
        <w:rPr>
          <w:rFonts w:ascii="Arial" w:hAnsi="Arial" w:cs="Arial"/>
          <w:b/>
          <w:bCs/>
          <w:color w:val="69557F"/>
          <w:sz w:val="36"/>
          <w:szCs w:val="36"/>
        </w:rPr>
        <w:t>i</w:t>
      </w:r>
      <w:r w:rsidRPr="001B561A">
        <w:rPr>
          <w:rFonts w:ascii="Arial" w:hAnsi="Arial" w:cs="Arial"/>
          <w:b/>
          <w:bCs/>
          <w:color w:val="69557F"/>
          <w:sz w:val="36"/>
          <w:szCs w:val="36"/>
        </w:rPr>
        <w:t xml:space="preserve">nterface with </w:t>
      </w:r>
      <w:r w:rsidR="00652B90">
        <w:rPr>
          <w:rFonts w:ascii="Arial" w:hAnsi="Arial" w:cs="Arial"/>
          <w:b/>
          <w:bCs/>
          <w:color w:val="69557F"/>
          <w:sz w:val="36"/>
          <w:szCs w:val="36"/>
        </w:rPr>
        <w:t>f</w:t>
      </w:r>
      <w:r w:rsidRPr="001B561A">
        <w:rPr>
          <w:rFonts w:ascii="Arial" w:hAnsi="Arial" w:cs="Arial"/>
          <w:b/>
          <w:bCs/>
          <w:color w:val="69557F"/>
          <w:sz w:val="36"/>
          <w:szCs w:val="36"/>
        </w:rPr>
        <w:t xml:space="preserve">iscal </w:t>
      </w:r>
      <w:r w:rsidR="00652B90">
        <w:rPr>
          <w:rFonts w:ascii="Arial" w:hAnsi="Arial" w:cs="Arial"/>
          <w:b/>
          <w:bCs/>
          <w:color w:val="69557F"/>
          <w:sz w:val="36"/>
          <w:szCs w:val="36"/>
        </w:rPr>
        <w:t>p</w:t>
      </w:r>
      <w:r w:rsidRPr="001B561A">
        <w:rPr>
          <w:rFonts w:ascii="Arial" w:hAnsi="Arial" w:cs="Arial"/>
          <w:b/>
          <w:bCs/>
          <w:color w:val="69557F"/>
          <w:sz w:val="36"/>
          <w:szCs w:val="36"/>
        </w:rPr>
        <w:t xml:space="preserve">olicy </w:t>
      </w:r>
      <w:r w:rsidR="00652B90">
        <w:rPr>
          <w:rFonts w:ascii="Arial" w:hAnsi="Arial" w:cs="Arial"/>
          <w:b/>
          <w:bCs/>
          <w:color w:val="69557F"/>
          <w:sz w:val="36"/>
          <w:szCs w:val="36"/>
        </w:rPr>
        <w:t>c</w:t>
      </w:r>
      <w:r w:rsidRPr="001B561A">
        <w:rPr>
          <w:rFonts w:ascii="Arial" w:hAnsi="Arial" w:cs="Arial"/>
          <w:b/>
          <w:bCs/>
          <w:color w:val="69557F"/>
          <w:sz w:val="36"/>
          <w:szCs w:val="36"/>
        </w:rPr>
        <w:t>ycle</w:t>
      </w:r>
      <w:r w:rsidRPr="001B561A">
        <w:rPr>
          <w:rStyle w:val="FootnoteReference"/>
          <w:rFonts w:ascii="Arial" w:hAnsi="Arial" w:cs="Arial"/>
          <w:b/>
          <w:bCs/>
          <w:color w:val="69557F"/>
          <w:sz w:val="36"/>
          <w:szCs w:val="36"/>
        </w:rPr>
        <w:footnoteReference w:id="27"/>
      </w:r>
      <w:bookmarkEnd w:id="816"/>
      <w:bookmarkEnd w:id="817"/>
      <w:bookmarkEnd w:id="818"/>
      <w:bookmarkEnd w:id="819"/>
      <w:bookmarkEnd w:id="820"/>
      <w:bookmarkEnd w:id="821"/>
      <w:bookmarkEnd w:id="822"/>
      <w:r w:rsidRPr="001B561A">
        <w:rPr>
          <w:rFonts w:ascii="Arial" w:hAnsi="Arial" w:cs="Arial"/>
          <w:b/>
          <w:bCs/>
          <w:color w:val="69557F"/>
          <w:sz w:val="36"/>
          <w:szCs w:val="36"/>
        </w:rPr>
        <w:t xml:space="preserve"> </w:t>
      </w:r>
    </w:p>
    <w:p w14:paraId="269A7E0C" w14:textId="77777777" w:rsidR="00B16C69" w:rsidRDefault="00B16C69" w:rsidP="00B16C69">
      <w:pPr>
        <w:spacing w:line="276" w:lineRule="auto"/>
        <w:jc w:val="both"/>
        <w:rPr>
          <w:rFonts w:ascii="Arial" w:hAnsi="Arial" w:cs="Arial"/>
          <w:bCs/>
          <w:sz w:val="24"/>
          <w:szCs w:val="24"/>
        </w:rPr>
      </w:pPr>
    </w:p>
    <w:p w14:paraId="541CA9AB" w14:textId="5885F87B" w:rsidR="00B16C69" w:rsidRPr="00B16C69" w:rsidRDefault="00B16C69" w:rsidP="00B16C69">
      <w:pPr>
        <w:spacing w:line="276" w:lineRule="auto"/>
        <w:jc w:val="both"/>
        <w:rPr>
          <w:rFonts w:ascii="Arial" w:hAnsi="Arial" w:cs="Arial"/>
          <w:bCs/>
          <w:sz w:val="24"/>
          <w:szCs w:val="24"/>
        </w:rPr>
      </w:pPr>
      <w:r w:rsidRPr="00B16C69">
        <w:rPr>
          <w:rFonts w:ascii="Arial" w:hAnsi="Arial" w:cs="Arial"/>
          <w:bCs/>
          <w:sz w:val="24"/>
          <w:szCs w:val="24"/>
        </w:rPr>
        <w:t>Principle 5a of the</w:t>
      </w:r>
      <w:r w:rsidRPr="00B16C69">
        <w:rPr>
          <w:rFonts w:ascii="Arial" w:hAnsi="Arial" w:cs="Arial"/>
          <w:sz w:val="24"/>
          <w:szCs w:val="24"/>
        </w:rPr>
        <w:t xml:space="preserve"> OECD’s </w:t>
      </w:r>
      <w:hyperlink r:id="rId414" w:history="1">
        <w:r w:rsidRPr="00B16C69">
          <w:rPr>
            <w:rStyle w:val="Hyperlink"/>
            <w:rFonts w:ascii="Arial" w:hAnsi="Arial" w:cs="Arial"/>
            <w:bCs/>
            <w:sz w:val="24"/>
            <w:szCs w:val="24"/>
          </w:rPr>
          <w:t>Recommendation of the Council on Budgetary Governance</w:t>
        </w:r>
      </w:hyperlink>
      <w:r w:rsidRPr="00B16C69">
        <w:rPr>
          <w:rFonts w:ascii="Arial" w:hAnsi="Arial" w:cs="Arial"/>
          <w:bCs/>
          <w:sz w:val="24"/>
          <w:szCs w:val="24"/>
        </w:rPr>
        <w:t xml:space="preserve"> (2015) states parliament and its committees should have opportunities to engage with the budget process at all key stages of the budget cycle, both ex ante and ex post as appropriate. </w:t>
      </w:r>
    </w:p>
    <w:p w14:paraId="6AA5E879" w14:textId="77777777" w:rsidR="00B16C69" w:rsidRPr="00B16C69" w:rsidRDefault="00B16C69" w:rsidP="00B16C69">
      <w:pPr>
        <w:spacing w:line="276" w:lineRule="auto"/>
        <w:jc w:val="both"/>
        <w:rPr>
          <w:rFonts w:ascii="Arial" w:hAnsi="Arial" w:cs="Arial"/>
          <w:bCs/>
          <w:sz w:val="24"/>
          <w:szCs w:val="24"/>
        </w:rPr>
      </w:pPr>
    </w:p>
    <w:p w14:paraId="35616A88" w14:textId="13A7D492" w:rsidR="00007A28" w:rsidRDefault="00B16C69" w:rsidP="003625BA">
      <w:pPr>
        <w:spacing w:line="276" w:lineRule="auto"/>
        <w:jc w:val="both"/>
        <w:rPr>
          <w:rFonts w:ascii="Arial" w:hAnsi="Arial" w:cs="Arial"/>
          <w:sz w:val="24"/>
          <w:szCs w:val="24"/>
        </w:rPr>
      </w:pPr>
      <w:r w:rsidRPr="00B16C69">
        <w:rPr>
          <w:rFonts w:ascii="Arial" w:hAnsi="Arial" w:cs="Arial"/>
          <w:sz w:val="24"/>
          <w:szCs w:val="24"/>
        </w:rPr>
        <w:t xml:space="preserve">The </w:t>
      </w:r>
      <w:r w:rsidR="00CE58CE">
        <w:rPr>
          <w:rFonts w:ascii="Arial" w:hAnsi="Arial" w:cs="Arial"/>
          <w:sz w:val="24"/>
          <w:szCs w:val="24"/>
        </w:rPr>
        <w:t>following sections</w:t>
      </w:r>
      <w:r w:rsidRPr="00B16C69">
        <w:rPr>
          <w:rFonts w:ascii="Arial" w:hAnsi="Arial" w:cs="Arial"/>
          <w:sz w:val="24"/>
          <w:szCs w:val="24"/>
        </w:rPr>
        <w:t xml:space="preserve"> summarise the legislature’s role and importantly how different external actors can assist it in undertaking this role, at the various stages of the fiscal policy cycle. </w:t>
      </w:r>
    </w:p>
    <w:p w14:paraId="14AACDF0" w14:textId="77777777" w:rsidR="0029391C" w:rsidRDefault="0029391C" w:rsidP="00CD1FC8">
      <w:pPr>
        <w:spacing w:after="160" w:line="276" w:lineRule="auto"/>
        <w:contextualSpacing/>
        <w:jc w:val="both"/>
        <w:rPr>
          <w:rFonts w:ascii="Arial" w:eastAsiaTheme="minorEastAsia" w:hAnsi="Arial" w:cs="Arial"/>
          <w:b/>
          <w:bCs/>
          <w:sz w:val="20"/>
          <w:szCs w:val="20"/>
          <w:lang w:val="en-US"/>
        </w:rPr>
      </w:pPr>
    </w:p>
    <w:p w14:paraId="587E7DA1" w14:textId="74DC44D6" w:rsidR="00B16C69" w:rsidRPr="003625BA" w:rsidRDefault="00216E29" w:rsidP="00B16C69">
      <w:pPr>
        <w:spacing w:after="160" w:line="259" w:lineRule="auto"/>
        <w:contextualSpacing/>
        <w:jc w:val="both"/>
        <w:rPr>
          <w:rFonts w:ascii="Arial" w:eastAsiaTheme="minorEastAsia" w:hAnsi="Arial" w:cs="Arial"/>
          <w:b/>
          <w:bCs/>
          <w:sz w:val="24"/>
          <w:szCs w:val="24"/>
          <w:lang w:val="en-US"/>
        </w:rPr>
      </w:pPr>
      <w:r w:rsidRPr="003625BA">
        <w:rPr>
          <w:rFonts w:ascii="Arial" w:hAnsi="Arial" w:cs="Arial"/>
          <w:noProof/>
          <w:color w:val="69557F"/>
          <w:sz w:val="24"/>
          <w:szCs w:val="24"/>
          <w:lang w:val="en-US"/>
        </w:rPr>
        <w:drawing>
          <wp:anchor distT="0" distB="0" distL="114300" distR="114300" simplePos="0" relativeHeight="252195838" behindDoc="1" locked="0" layoutInCell="1" allowOverlap="1" wp14:anchorId="18C5F17E" wp14:editId="1907816E">
            <wp:simplePos x="0" y="0"/>
            <wp:positionH relativeFrom="margin">
              <wp:align>left</wp:align>
            </wp:positionH>
            <wp:positionV relativeFrom="paragraph">
              <wp:posOffset>216535</wp:posOffset>
            </wp:positionV>
            <wp:extent cx="2520000" cy="2365343"/>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15" cstate="email">
                      <a:extLst>
                        <a:ext uri="{28A0092B-C50C-407E-A947-70E740481C1C}">
                          <a14:useLocalDpi xmlns:a14="http://schemas.microsoft.com/office/drawing/2010/main"/>
                        </a:ext>
                      </a:extLst>
                    </a:blip>
                    <a:srcRect t="3069" b="3069"/>
                    <a:stretch>
                      <a:fillRect/>
                    </a:stretch>
                  </pic:blipFill>
                  <pic:spPr bwMode="auto">
                    <a:xfrm>
                      <a:off x="0" y="0"/>
                      <a:ext cx="2520000" cy="23653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6C69" w:rsidRPr="003625BA">
        <w:rPr>
          <w:rFonts w:ascii="Arial" w:eastAsiaTheme="minorEastAsia" w:hAnsi="Arial" w:cs="Arial"/>
          <w:b/>
          <w:bCs/>
          <w:color w:val="69557F"/>
          <w:sz w:val="24"/>
          <w:szCs w:val="24"/>
          <w:lang w:val="en-US"/>
        </w:rPr>
        <w:t>Executive fiscal policy and budget formulation</w:t>
      </w:r>
      <w:r w:rsidR="00D26C1C">
        <w:rPr>
          <w:rFonts w:ascii="Arial" w:eastAsiaTheme="minorEastAsia" w:hAnsi="Arial" w:cs="Arial"/>
          <w:b/>
          <w:bCs/>
          <w:color w:val="69557F"/>
          <w:sz w:val="24"/>
          <w:szCs w:val="24"/>
          <w:lang w:val="en-US"/>
        </w:rPr>
        <w:t xml:space="preserve"> stage</w:t>
      </w:r>
    </w:p>
    <w:p w14:paraId="71156CA6" w14:textId="34C18138" w:rsidR="0029391C" w:rsidRDefault="0029391C" w:rsidP="00B41828">
      <w:pPr>
        <w:spacing w:line="276" w:lineRule="auto"/>
        <w:jc w:val="both"/>
        <w:rPr>
          <w:rFonts w:ascii="Arial" w:hAnsi="Arial" w:cs="Arial"/>
          <w:sz w:val="24"/>
          <w:szCs w:val="24"/>
          <w:lang w:val="en-US"/>
        </w:rPr>
      </w:pPr>
    </w:p>
    <w:p w14:paraId="7617EBDA" w14:textId="1D19EF0E" w:rsidR="00970B2D" w:rsidRPr="003625BA" w:rsidRDefault="00970B2D" w:rsidP="00970B2D">
      <w:pPr>
        <w:spacing w:line="276" w:lineRule="auto"/>
        <w:jc w:val="both"/>
        <w:rPr>
          <w:rFonts w:ascii="Arial" w:hAnsi="Arial" w:cs="Arial"/>
          <w:sz w:val="24"/>
          <w:szCs w:val="24"/>
          <w:lang w:val="en-ZA"/>
        </w:rPr>
      </w:pPr>
      <w:r w:rsidRPr="003625BA">
        <w:rPr>
          <w:rFonts w:ascii="Arial" w:hAnsi="Arial" w:cs="Arial"/>
          <w:sz w:val="24"/>
          <w:szCs w:val="24"/>
          <w:lang w:val="en-US"/>
        </w:rPr>
        <w:t>The legislature should engage in pre-budget engagements with the executive as well as with members of the public/other stakeholders. These</w:t>
      </w:r>
      <w:r w:rsidRPr="003625BA">
        <w:rPr>
          <w:rFonts w:ascii="Arial" w:hAnsi="Arial" w:cs="Arial"/>
          <w:sz w:val="24"/>
          <w:szCs w:val="24"/>
        </w:rPr>
        <w:t xml:space="preserve"> engagements can take different forms, for instance some legislatures receive briefings from the executive on how the budget drafting process is developing and on central issues that have emerged. In some countries, such as South Africa, pre-budget statements are provided for in legislation and presented to the legislature several months before the budget itself, requiring formal consultations between the legislature and the executive, as well as public participation.</w:t>
      </w:r>
      <w:r w:rsidRPr="003625BA">
        <w:rPr>
          <w:rFonts w:ascii="Arial" w:hAnsi="Arial" w:cs="Arial"/>
          <w:sz w:val="24"/>
          <w:szCs w:val="24"/>
          <w:lang w:val="en-ZA"/>
        </w:rPr>
        <w:t xml:space="preserve"> Public participation mechanisms that can be used include parliamentary briefings/debates; online consultation tools; social media as a communication and input tool; as well as town hall meetings. </w:t>
      </w:r>
    </w:p>
    <w:p w14:paraId="0EBFF9C4" w14:textId="77777777" w:rsidR="00970B2D" w:rsidRPr="003625BA" w:rsidRDefault="00970B2D" w:rsidP="00970B2D">
      <w:pPr>
        <w:spacing w:line="276" w:lineRule="auto"/>
        <w:jc w:val="both"/>
        <w:rPr>
          <w:rFonts w:ascii="Arial" w:hAnsi="Arial" w:cs="Arial"/>
          <w:sz w:val="24"/>
          <w:szCs w:val="24"/>
        </w:rPr>
      </w:pPr>
    </w:p>
    <w:p w14:paraId="75DD9982" w14:textId="77777777" w:rsidR="00970B2D" w:rsidRPr="003625BA" w:rsidRDefault="00970B2D" w:rsidP="00970B2D">
      <w:pPr>
        <w:spacing w:line="276" w:lineRule="auto"/>
        <w:jc w:val="both"/>
        <w:rPr>
          <w:rFonts w:ascii="Arial" w:hAnsi="Arial" w:cs="Arial"/>
          <w:sz w:val="24"/>
          <w:szCs w:val="24"/>
        </w:rPr>
      </w:pPr>
      <w:r w:rsidRPr="003625BA">
        <w:rPr>
          <w:rFonts w:ascii="Arial" w:hAnsi="Arial" w:cs="Arial"/>
          <w:sz w:val="24"/>
          <w:szCs w:val="24"/>
        </w:rPr>
        <w:t>Pre-budget engagements can, among others, shed light on the accuracy of the executive’s fiscal forecasts</w:t>
      </w:r>
      <w:r w:rsidRPr="003625BA">
        <w:rPr>
          <w:rFonts w:ascii="Arial" w:eastAsiaTheme="minorEastAsia" w:hAnsi="Arial" w:cs="Arial"/>
          <w:sz w:val="24"/>
          <w:szCs w:val="24"/>
          <w:lang w:val="en-US" w:eastAsia="zh-CN"/>
        </w:rPr>
        <w:t xml:space="preserve"> </w:t>
      </w:r>
      <w:r w:rsidRPr="003625BA">
        <w:rPr>
          <w:rFonts w:ascii="Arial" w:hAnsi="Arial" w:cs="Arial"/>
          <w:sz w:val="24"/>
          <w:szCs w:val="24"/>
          <w:lang w:val="en-US"/>
        </w:rPr>
        <w:t>by allowing other actors to scrutinize and provide independent information on these forecasts;</w:t>
      </w:r>
      <w:r w:rsidRPr="003625BA">
        <w:rPr>
          <w:rFonts w:ascii="Arial" w:hAnsi="Arial" w:cs="Arial"/>
          <w:sz w:val="24"/>
          <w:szCs w:val="24"/>
        </w:rPr>
        <w:t xml:space="preserve"> highlight lessons learned or considerations that can be applied to the budget; identify public interest issues that could be addressed by the budget but do not appear in the pre-budget statement; provide feedback on the executive’s proposed high level revenue and expenditure policies and priorities, thereby potentially informing the upcoming budget proposal. In doing this, pre-budget engagements also increase parliamentarians’ understanding of current public policy issues to inform their future monitoring, oversight of executive spending and revenue decisions increasing the likelihood of clear policy priorities and considerations emanating from the legislature to the executive. </w:t>
      </w:r>
    </w:p>
    <w:p w14:paraId="5157111A" w14:textId="77777777" w:rsidR="00970B2D" w:rsidRPr="003625BA" w:rsidRDefault="00970B2D" w:rsidP="00970B2D">
      <w:pPr>
        <w:spacing w:line="276" w:lineRule="auto"/>
        <w:jc w:val="both"/>
        <w:rPr>
          <w:rFonts w:ascii="Arial" w:hAnsi="Arial" w:cs="Arial"/>
          <w:sz w:val="24"/>
          <w:szCs w:val="24"/>
        </w:rPr>
      </w:pPr>
    </w:p>
    <w:p w14:paraId="4A6CE431" w14:textId="1A0B62B5" w:rsidR="00216E29" w:rsidRDefault="00970B2D" w:rsidP="003625BA">
      <w:pPr>
        <w:spacing w:line="276" w:lineRule="auto"/>
        <w:jc w:val="both"/>
        <w:rPr>
          <w:rFonts w:ascii="Arial" w:eastAsiaTheme="minorEastAsia" w:hAnsi="Arial" w:cs="Arial"/>
          <w:b/>
          <w:bCs/>
          <w:sz w:val="24"/>
          <w:szCs w:val="24"/>
          <w:lang w:val="en-US"/>
        </w:rPr>
      </w:pPr>
      <w:r w:rsidRPr="003625BA">
        <w:rPr>
          <w:rFonts w:ascii="Arial" w:hAnsi="Arial" w:cs="Arial"/>
          <w:sz w:val="24"/>
          <w:szCs w:val="24"/>
        </w:rPr>
        <w:t xml:space="preserve">For this process to be effective, there should be sufficient time for consultation about proposed laws, regulatory changes, and broader policy changes that the executive indicates it is likely to table in the upcoming budget proposal. The public should be made aware of major new policy proposals </w:t>
      </w:r>
      <w:r w:rsidRPr="003625BA">
        <w:rPr>
          <w:rFonts w:ascii="Arial" w:hAnsi="Arial" w:cs="Arial"/>
          <w:sz w:val="24"/>
          <w:szCs w:val="24"/>
        </w:rPr>
        <w:lastRenderedPageBreak/>
        <w:t>and changes to key spending programs. This should be coupled with a public consultation process, allowing for public debate and understanding of the changes. Public consultation may lead to refinements of proposed changes. With reference to consultation processes related to legal amendments, it should be noted that these are often undertaken in processes separate to the executive’s budget process with distinct timelines.</w:t>
      </w:r>
    </w:p>
    <w:p w14:paraId="1B6D6A6F" w14:textId="77777777" w:rsidR="009D43F1" w:rsidRDefault="009D43F1" w:rsidP="0029391C">
      <w:pPr>
        <w:jc w:val="both"/>
        <w:rPr>
          <w:rFonts w:ascii="Arial" w:eastAsiaTheme="minorEastAsia" w:hAnsi="Arial" w:cs="Arial"/>
          <w:b/>
          <w:bCs/>
          <w:color w:val="69557F"/>
          <w:sz w:val="24"/>
          <w:szCs w:val="24"/>
          <w:lang w:val="en-US"/>
        </w:rPr>
      </w:pPr>
    </w:p>
    <w:p w14:paraId="27728875" w14:textId="0E84E5B8" w:rsidR="0029391C" w:rsidRPr="003625BA" w:rsidRDefault="0029391C" w:rsidP="0029391C">
      <w:pPr>
        <w:jc w:val="both"/>
        <w:rPr>
          <w:rFonts w:ascii="Arial" w:eastAsiaTheme="minorEastAsia" w:hAnsi="Arial" w:cs="Arial"/>
          <w:b/>
          <w:bCs/>
          <w:color w:val="69557F"/>
          <w:sz w:val="24"/>
          <w:szCs w:val="24"/>
          <w:lang w:val="en-US"/>
        </w:rPr>
      </w:pPr>
      <w:r w:rsidRPr="003625BA">
        <w:rPr>
          <w:rFonts w:ascii="Arial" w:eastAsiaTheme="minorEastAsia" w:hAnsi="Arial" w:cs="Arial"/>
          <w:b/>
          <w:bCs/>
          <w:color w:val="69557F"/>
          <w:sz w:val="24"/>
          <w:szCs w:val="24"/>
          <w:lang w:val="en-US"/>
        </w:rPr>
        <w:t>Legislative approval and amendment</w:t>
      </w:r>
      <w:r w:rsidR="00D26C1C" w:rsidRPr="00D26C1C">
        <w:rPr>
          <w:rFonts w:ascii="Arial" w:eastAsiaTheme="minorEastAsia" w:hAnsi="Arial" w:cs="Arial"/>
          <w:b/>
          <w:bCs/>
          <w:color w:val="69557F"/>
          <w:sz w:val="24"/>
          <w:szCs w:val="24"/>
          <w:lang w:val="en-US"/>
        </w:rPr>
        <w:t xml:space="preserve"> stage</w:t>
      </w:r>
    </w:p>
    <w:p w14:paraId="6197EA34" w14:textId="390694E1" w:rsidR="00970B2D" w:rsidRPr="0029391C" w:rsidRDefault="00216E29" w:rsidP="0029391C">
      <w:pPr>
        <w:jc w:val="both"/>
        <w:rPr>
          <w:rFonts w:ascii="Arial" w:eastAsiaTheme="minorEastAsia" w:hAnsi="Arial" w:cs="Arial"/>
          <w:b/>
          <w:bCs/>
          <w:sz w:val="20"/>
          <w:szCs w:val="20"/>
          <w:lang w:val="en-US"/>
        </w:rPr>
      </w:pPr>
      <w:r>
        <w:rPr>
          <w:rFonts w:ascii="Arial" w:hAnsi="Arial" w:cs="Arial"/>
          <w:noProof/>
          <w:sz w:val="24"/>
          <w:szCs w:val="24"/>
          <w:lang w:val="en-US"/>
        </w:rPr>
        <w:drawing>
          <wp:anchor distT="0" distB="0" distL="114300" distR="114300" simplePos="0" relativeHeight="252199934" behindDoc="1" locked="0" layoutInCell="1" allowOverlap="1" wp14:anchorId="070AD113" wp14:editId="6332C52A">
            <wp:simplePos x="0" y="0"/>
            <wp:positionH relativeFrom="margin">
              <wp:align>center</wp:align>
            </wp:positionH>
            <wp:positionV relativeFrom="paragraph">
              <wp:posOffset>92710</wp:posOffset>
            </wp:positionV>
            <wp:extent cx="2520000" cy="2354020"/>
            <wp:effectExtent l="0" t="0" r="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416" cstate="email">
                      <a:extLst>
                        <a:ext uri="{28A0092B-C50C-407E-A947-70E740481C1C}">
                          <a14:useLocalDpi xmlns:a14="http://schemas.microsoft.com/office/drawing/2010/main"/>
                        </a:ext>
                      </a:extLst>
                    </a:blip>
                    <a:srcRect t="3280" b="3280"/>
                    <a:stretch>
                      <a:fillRect/>
                    </a:stretch>
                  </pic:blipFill>
                  <pic:spPr bwMode="auto">
                    <a:xfrm>
                      <a:off x="0" y="0"/>
                      <a:ext cx="2520000" cy="2354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88CECD" w14:textId="1402586A" w:rsidR="0029391C" w:rsidRDefault="0029391C" w:rsidP="0029391C">
      <w:pPr>
        <w:spacing w:line="276" w:lineRule="auto"/>
        <w:jc w:val="both"/>
        <w:rPr>
          <w:rFonts w:ascii="Arial" w:hAnsi="Arial" w:cs="Arial"/>
          <w:sz w:val="24"/>
          <w:szCs w:val="24"/>
        </w:rPr>
      </w:pPr>
    </w:p>
    <w:p w14:paraId="4CA2C77B" w14:textId="30A29007" w:rsidR="0029391C" w:rsidRDefault="0029391C" w:rsidP="0029391C">
      <w:pPr>
        <w:spacing w:line="276" w:lineRule="auto"/>
        <w:jc w:val="both"/>
        <w:rPr>
          <w:rFonts w:ascii="Arial" w:hAnsi="Arial" w:cs="Arial"/>
          <w:sz w:val="24"/>
          <w:szCs w:val="24"/>
        </w:rPr>
      </w:pPr>
    </w:p>
    <w:p w14:paraId="6D5CFC89" w14:textId="67F00285" w:rsidR="0029391C" w:rsidRDefault="0029391C" w:rsidP="0029391C">
      <w:pPr>
        <w:spacing w:line="276" w:lineRule="auto"/>
        <w:jc w:val="both"/>
        <w:rPr>
          <w:rFonts w:ascii="Arial" w:hAnsi="Arial" w:cs="Arial"/>
          <w:sz w:val="24"/>
          <w:szCs w:val="24"/>
        </w:rPr>
      </w:pPr>
    </w:p>
    <w:p w14:paraId="789A87A6" w14:textId="095AA2D3" w:rsidR="0029391C" w:rsidRDefault="0029391C" w:rsidP="0029391C">
      <w:pPr>
        <w:spacing w:line="276" w:lineRule="auto"/>
        <w:jc w:val="both"/>
        <w:rPr>
          <w:rFonts w:ascii="Arial" w:hAnsi="Arial" w:cs="Arial"/>
          <w:sz w:val="24"/>
          <w:szCs w:val="24"/>
        </w:rPr>
      </w:pPr>
    </w:p>
    <w:p w14:paraId="167253F1" w14:textId="44E8B6B7" w:rsidR="0029391C" w:rsidRDefault="0029391C" w:rsidP="0029391C">
      <w:pPr>
        <w:spacing w:line="276" w:lineRule="auto"/>
        <w:jc w:val="both"/>
        <w:rPr>
          <w:rFonts w:ascii="Arial" w:hAnsi="Arial" w:cs="Arial"/>
          <w:sz w:val="24"/>
          <w:szCs w:val="24"/>
        </w:rPr>
      </w:pPr>
    </w:p>
    <w:p w14:paraId="2E4D1C8E" w14:textId="30636602" w:rsidR="0029391C" w:rsidRDefault="0029391C" w:rsidP="0029391C">
      <w:pPr>
        <w:spacing w:line="276" w:lineRule="auto"/>
        <w:jc w:val="both"/>
        <w:rPr>
          <w:rFonts w:ascii="Arial" w:hAnsi="Arial" w:cs="Arial"/>
          <w:sz w:val="24"/>
          <w:szCs w:val="24"/>
        </w:rPr>
      </w:pPr>
    </w:p>
    <w:p w14:paraId="2F5331CD" w14:textId="5A0F5CD4" w:rsidR="0029391C" w:rsidRDefault="0029391C" w:rsidP="0029391C">
      <w:pPr>
        <w:spacing w:line="276" w:lineRule="auto"/>
        <w:jc w:val="both"/>
        <w:rPr>
          <w:rFonts w:ascii="Arial" w:hAnsi="Arial" w:cs="Arial"/>
          <w:sz w:val="24"/>
          <w:szCs w:val="24"/>
        </w:rPr>
      </w:pPr>
    </w:p>
    <w:p w14:paraId="14D7E913" w14:textId="77777777" w:rsidR="0029391C" w:rsidRDefault="0029391C" w:rsidP="0029391C">
      <w:pPr>
        <w:spacing w:line="276" w:lineRule="auto"/>
        <w:jc w:val="both"/>
        <w:rPr>
          <w:rFonts w:ascii="Arial" w:hAnsi="Arial" w:cs="Arial"/>
          <w:sz w:val="24"/>
          <w:szCs w:val="24"/>
        </w:rPr>
      </w:pPr>
    </w:p>
    <w:p w14:paraId="26497B5D" w14:textId="77777777" w:rsidR="00216E29" w:rsidRDefault="00216E29" w:rsidP="0029391C">
      <w:pPr>
        <w:spacing w:line="276" w:lineRule="auto"/>
        <w:jc w:val="both"/>
        <w:rPr>
          <w:rFonts w:ascii="Arial" w:hAnsi="Arial" w:cs="Arial"/>
          <w:sz w:val="24"/>
          <w:szCs w:val="24"/>
        </w:rPr>
      </w:pPr>
    </w:p>
    <w:p w14:paraId="63D5922C" w14:textId="74828321" w:rsidR="0029391C" w:rsidRPr="001E6A5E" w:rsidRDefault="0029391C" w:rsidP="0029391C">
      <w:pPr>
        <w:spacing w:line="276" w:lineRule="auto"/>
        <w:jc w:val="both"/>
        <w:rPr>
          <w:rFonts w:ascii="Arial" w:hAnsi="Arial" w:cs="Arial"/>
          <w:sz w:val="24"/>
          <w:szCs w:val="24"/>
        </w:rPr>
      </w:pPr>
    </w:p>
    <w:p w14:paraId="6740CABF" w14:textId="77777777" w:rsidR="00DE5FA4" w:rsidRDefault="00DE5FA4" w:rsidP="001E6A5E">
      <w:pPr>
        <w:spacing w:line="276" w:lineRule="auto"/>
        <w:jc w:val="both"/>
        <w:rPr>
          <w:rFonts w:ascii="Arial" w:hAnsi="Arial" w:cs="Arial"/>
          <w:sz w:val="24"/>
          <w:szCs w:val="24"/>
        </w:rPr>
      </w:pPr>
    </w:p>
    <w:p w14:paraId="007F6450" w14:textId="77777777" w:rsidR="00DE5FA4" w:rsidRDefault="00DE5FA4" w:rsidP="001E6A5E">
      <w:pPr>
        <w:spacing w:line="276" w:lineRule="auto"/>
        <w:jc w:val="both"/>
        <w:rPr>
          <w:rFonts w:ascii="Arial" w:hAnsi="Arial" w:cs="Arial"/>
          <w:sz w:val="24"/>
          <w:szCs w:val="24"/>
        </w:rPr>
      </w:pPr>
    </w:p>
    <w:p w14:paraId="3807B061" w14:textId="57555A8B" w:rsidR="001E6A5E" w:rsidRPr="003625BA" w:rsidRDefault="001E6A5E" w:rsidP="001E6A5E">
      <w:pPr>
        <w:spacing w:line="276" w:lineRule="auto"/>
        <w:jc w:val="both"/>
        <w:rPr>
          <w:rFonts w:ascii="Arial" w:hAnsi="Arial" w:cs="Arial"/>
          <w:sz w:val="24"/>
          <w:szCs w:val="24"/>
        </w:rPr>
      </w:pPr>
      <w:r w:rsidRPr="003625BA">
        <w:rPr>
          <w:rFonts w:ascii="Arial" w:hAnsi="Arial" w:cs="Arial"/>
          <w:sz w:val="24"/>
          <w:szCs w:val="24"/>
        </w:rPr>
        <w:t xml:space="preserve">The legislative must approve any tax or compulsory levy </w:t>
      </w:r>
      <w:r w:rsidRPr="003625BA">
        <w:rPr>
          <w:rFonts w:ascii="Arial" w:hAnsi="Arial" w:cs="Arial"/>
          <w:sz w:val="24"/>
          <w:szCs w:val="24"/>
          <w:lang w:val="en-ZA"/>
        </w:rPr>
        <w:t>as well as, all of the executive’s proposed spending as contained in the appropriation legislation tabled</w:t>
      </w:r>
      <w:r w:rsidRPr="003625BA">
        <w:rPr>
          <w:rFonts w:ascii="Arial" w:hAnsi="Arial" w:cs="Arial"/>
          <w:sz w:val="24"/>
          <w:szCs w:val="24"/>
        </w:rPr>
        <w:t xml:space="preserve">. This applies despite the wide variation across countries in the legislature’s authority to amend the budget submitted by the executive. </w:t>
      </w:r>
      <w:r w:rsidRPr="003625BA">
        <w:rPr>
          <w:rFonts w:ascii="Arial" w:hAnsi="Arial" w:cs="Arial"/>
          <w:sz w:val="24"/>
          <w:szCs w:val="24"/>
          <w:lang w:val="en-ZA"/>
        </w:rPr>
        <w:t>When tabling the proposed budget, the executive typically presents its details, to those outside of the it, for the first time</w:t>
      </w:r>
      <w:r w:rsidRPr="003625BA">
        <w:rPr>
          <w:rFonts w:ascii="Arial" w:hAnsi="Arial" w:cs="Arial"/>
          <w:sz w:val="24"/>
          <w:szCs w:val="24"/>
        </w:rPr>
        <w:t xml:space="preserve">. Normally, specifically appointed legislative committees then bear responsibility for </w:t>
      </w:r>
      <w:r w:rsidRPr="003625BA">
        <w:rPr>
          <w:rFonts w:ascii="Arial" w:hAnsi="Arial" w:cs="Arial"/>
          <w:sz w:val="24"/>
          <w:szCs w:val="24"/>
          <w:lang w:val="en-ZA"/>
        </w:rPr>
        <w:t>scrutinizing these details</w:t>
      </w:r>
      <w:r w:rsidRPr="003625BA">
        <w:rPr>
          <w:rFonts w:ascii="Arial" w:hAnsi="Arial" w:cs="Arial"/>
          <w:sz w:val="24"/>
          <w:szCs w:val="24"/>
        </w:rPr>
        <w:t xml:space="preserve">. </w:t>
      </w:r>
    </w:p>
    <w:p w14:paraId="1A065062" w14:textId="77777777" w:rsidR="001E6A5E" w:rsidRPr="003625BA" w:rsidRDefault="001E6A5E" w:rsidP="001E6A5E">
      <w:pPr>
        <w:spacing w:line="276" w:lineRule="auto"/>
        <w:jc w:val="both"/>
        <w:rPr>
          <w:rFonts w:ascii="Arial" w:hAnsi="Arial" w:cs="Arial"/>
          <w:sz w:val="24"/>
          <w:szCs w:val="24"/>
        </w:rPr>
      </w:pPr>
    </w:p>
    <w:p w14:paraId="7F467C97" w14:textId="77777777" w:rsidR="001E6A5E" w:rsidRPr="003625BA" w:rsidRDefault="001E6A5E" w:rsidP="001E6A5E">
      <w:pPr>
        <w:spacing w:line="276" w:lineRule="auto"/>
        <w:jc w:val="both"/>
        <w:rPr>
          <w:rFonts w:ascii="Arial" w:hAnsi="Arial" w:cs="Arial"/>
          <w:bCs/>
          <w:sz w:val="24"/>
          <w:szCs w:val="24"/>
          <w:lang w:val="en-ZA"/>
        </w:rPr>
      </w:pPr>
      <w:r w:rsidRPr="003625BA">
        <w:rPr>
          <w:rFonts w:ascii="Arial" w:hAnsi="Arial" w:cs="Arial"/>
          <w:sz w:val="24"/>
          <w:szCs w:val="24"/>
        </w:rPr>
        <w:t xml:space="preserve">Detailed budget proposals should be presented to the legislature in sufficient time to allow careful deliberation, including by committees and subcommittees where mandated, before any legal deadlines for the adoption of the necessary legislation. </w:t>
      </w:r>
      <w:r w:rsidRPr="003625BA">
        <w:rPr>
          <w:rFonts w:ascii="Arial" w:hAnsi="Arial" w:cs="Arial"/>
          <w:sz w:val="24"/>
          <w:szCs w:val="24"/>
          <w:lang w:val="en-US"/>
        </w:rPr>
        <w:t xml:space="preserve">In accordance with the OECD’s </w:t>
      </w:r>
      <w:hyperlink r:id="rId417" w:history="1">
        <w:r w:rsidRPr="003625BA">
          <w:rPr>
            <w:rStyle w:val="Hyperlink"/>
            <w:rFonts w:ascii="Arial" w:hAnsi="Arial" w:cs="Arial"/>
            <w:sz w:val="24"/>
            <w:szCs w:val="24"/>
            <w:lang w:val="en-US"/>
          </w:rPr>
          <w:t>Budget Transparency Toolkit</w:t>
        </w:r>
      </w:hyperlink>
      <w:r w:rsidRPr="003625BA">
        <w:rPr>
          <w:rFonts w:ascii="Arial" w:hAnsi="Arial" w:cs="Arial"/>
          <w:sz w:val="24"/>
          <w:szCs w:val="24"/>
          <w:lang w:val="en-US"/>
        </w:rPr>
        <w:t xml:space="preserve"> (2017), the tabling of the executive’s budget proposal should allow enough time for parliament to undertake in-depth scrutiny with three months providing a useful benchmark, although the quality and depth of review are important. </w:t>
      </w:r>
      <w:r w:rsidRPr="003625BA">
        <w:rPr>
          <w:rFonts w:ascii="Arial" w:hAnsi="Arial" w:cs="Arial"/>
          <w:sz w:val="24"/>
          <w:szCs w:val="24"/>
        </w:rPr>
        <w:t xml:space="preserve">Where there is a role for subnational governments, the budget preparation calendar for subnational governments should allow adequate time for consultation at the local level and the timely provision of the necessary information for the central government budget process. </w:t>
      </w:r>
      <w:r w:rsidRPr="003625BA">
        <w:rPr>
          <w:rFonts w:ascii="Arial" w:hAnsi="Arial" w:cs="Arial"/>
          <w:bCs/>
          <w:sz w:val="24"/>
          <w:szCs w:val="24"/>
          <w:lang w:val="en-ZA"/>
        </w:rPr>
        <w:t>It should be noted that multiple pieces of legislation may be tabled by the executive in its budget proposal. For example, fiscal year revenue/tax legislation may be tabled separately to spending appropriation legislation. Legislative procedures for the passing of the different bills may also differ, meaning that different elements of the budget may be approved by the legislature at different times.</w:t>
      </w:r>
    </w:p>
    <w:p w14:paraId="4E26A783" w14:textId="77777777" w:rsidR="001E6A5E" w:rsidRPr="003625BA" w:rsidRDefault="001E6A5E" w:rsidP="001E6A5E">
      <w:pPr>
        <w:spacing w:line="276" w:lineRule="auto"/>
        <w:jc w:val="both"/>
        <w:rPr>
          <w:rFonts w:ascii="Arial" w:hAnsi="Arial" w:cs="Arial"/>
          <w:bCs/>
          <w:sz w:val="24"/>
          <w:szCs w:val="24"/>
          <w:lang w:val="en-ZA"/>
        </w:rPr>
      </w:pPr>
    </w:p>
    <w:p w14:paraId="3BF533C4" w14:textId="77777777" w:rsidR="001E6A5E" w:rsidRPr="003625BA" w:rsidRDefault="001E6A5E" w:rsidP="001E6A5E">
      <w:pPr>
        <w:spacing w:line="276" w:lineRule="auto"/>
        <w:jc w:val="both"/>
        <w:rPr>
          <w:rFonts w:ascii="Arial" w:hAnsi="Arial" w:cs="Arial"/>
          <w:sz w:val="24"/>
          <w:szCs w:val="24"/>
          <w:lang w:val="en-ZA"/>
        </w:rPr>
      </w:pPr>
      <w:r w:rsidRPr="003625BA">
        <w:rPr>
          <w:rFonts w:ascii="Arial" w:hAnsi="Arial" w:cs="Arial"/>
          <w:sz w:val="24"/>
          <w:szCs w:val="24"/>
          <w:lang w:val="en-ZA"/>
        </w:rPr>
        <w:t xml:space="preserve">In order to assist it in scrutinizing the budget, the legislature should provide for public participation. This helps other actors better understand the budget’s potential economic and social impacts. The themes addressed in these participative spaces can cover the following issues, among others: macroeconomic issues; revenue forecasts, policies, priorities and administration; social spending policies and priorities; deficit and debt levels; public investment projects; and public services. </w:t>
      </w:r>
    </w:p>
    <w:p w14:paraId="48CFC49D" w14:textId="77777777" w:rsidR="001E6A5E" w:rsidRPr="003625BA" w:rsidRDefault="001E6A5E" w:rsidP="001E6A5E">
      <w:pPr>
        <w:spacing w:line="276" w:lineRule="auto"/>
        <w:jc w:val="both"/>
        <w:rPr>
          <w:rFonts w:ascii="Arial" w:hAnsi="Arial" w:cs="Arial"/>
          <w:sz w:val="24"/>
          <w:szCs w:val="24"/>
          <w:lang w:val="en-ZA"/>
        </w:rPr>
      </w:pPr>
    </w:p>
    <w:p w14:paraId="65B68FC7" w14:textId="365AE897" w:rsidR="001E6A5E" w:rsidRPr="003625BA" w:rsidRDefault="001E6A5E" w:rsidP="001E6A5E">
      <w:pPr>
        <w:spacing w:line="276" w:lineRule="auto"/>
        <w:jc w:val="both"/>
        <w:rPr>
          <w:rFonts w:ascii="Arial" w:hAnsi="Arial" w:cs="Arial"/>
          <w:bCs/>
          <w:sz w:val="24"/>
          <w:szCs w:val="24"/>
        </w:rPr>
      </w:pPr>
      <w:r w:rsidRPr="003625BA">
        <w:rPr>
          <w:rFonts w:ascii="Arial" w:hAnsi="Arial" w:cs="Arial"/>
          <w:sz w:val="24"/>
          <w:szCs w:val="24"/>
          <w:lang w:val="en-ZA"/>
        </w:rPr>
        <w:t xml:space="preserve">The information received by parliamentarians through these public participation opportunities along with those in the previous stage of the fiscal policy cycle can help inform their analysis of the executive’s budget proposal and frame their questions to the executive. Discussions in this stage should </w:t>
      </w:r>
      <w:r w:rsidRPr="003625BA">
        <w:rPr>
          <w:rFonts w:ascii="Arial" w:hAnsi="Arial" w:cs="Arial"/>
          <w:bCs/>
          <w:sz w:val="24"/>
          <w:szCs w:val="24"/>
        </w:rPr>
        <w:t>take account of how the executive has responded in the budget to the policy priorities and considerations in the pre-budget parliamentary review.</w:t>
      </w:r>
    </w:p>
    <w:p w14:paraId="27B6AFD8" w14:textId="00AC60FE" w:rsidR="001E6A5E" w:rsidRPr="003625BA" w:rsidRDefault="001E6A5E" w:rsidP="001E6A5E">
      <w:pPr>
        <w:spacing w:line="276" w:lineRule="auto"/>
        <w:jc w:val="both"/>
        <w:rPr>
          <w:rFonts w:ascii="Arial" w:hAnsi="Arial" w:cs="Arial"/>
          <w:sz w:val="24"/>
          <w:szCs w:val="24"/>
        </w:rPr>
      </w:pPr>
    </w:p>
    <w:p w14:paraId="4B67D630" w14:textId="5DC05A10" w:rsidR="001E6A5E" w:rsidRPr="003625BA" w:rsidRDefault="001E6A5E" w:rsidP="003625BA">
      <w:pPr>
        <w:spacing w:line="276" w:lineRule="auto"/>
        <w:jc w:val="both"/>
        <w:rPr>
          <w:rFonts w:ascii="Arial" w:hAnsi="Arial" w:cs="Arial"/>
          <w:sz w:val="24"/>
          <w:szCs w:val="24"/>
        </w:rPr>
      </w:pPr>
      <w:r w:rsidRPr="003625BA">
        <w:rPr>
          <w:rFonts w:ascii="Arial" w:hAnsi="Arial" w:cs="Arial"/>
          <w:bCs/>
          <w:sz w:val="24"/>
          <w:szCs w:val="24"/>
          <w:lang w:val="en-ZA"/>
        </w:rPr>
        <w:t>In many countries the legislature may have limited analytic capacity to allow them to rigorously scrutinize the policies and assumptions in the executive’s budget proposal. Civil society and other actors can assist in this, by for example, using their technical skills to analyse the proposed budget and providing this analysis to legislatures.</w:t>
      </w:r>
      <w:r w:rsidRPr="003625BA">
        <w:rPr>
          <w:rFonts w:ascii="Arial" w:hAnsi="Arial" w:cs="Arial"/>
          <w:sz w:val="24"/>
          <w:szCs w:val="24"/>
        </w:rPr>
        <w:t xml:space="preserve"> </w:t>
      </w:r>
      <w:r w:rsidRPr="003625BA">
        <w:rPr>
          <w:rFonts w:ascii="Arial" w:hAnsi="Arial" w:cs="Arial"/>
          <w:sz w:val="24"/>
          <w:szCs w:val="24"/>
          <w:lang w:val="en-ZA"/>
        </w:rPr>
        <w:t>Examples of the public participation mechanisms that can be used at this stage include public hearings, committee meetings, online consultation tools; crowdsourcing and social media as a communication and input tool; and town hall meetings. In all of these spaces, the public and other key actors in the fiscal policy cycle can be invited to provide meaningful insights to the legislature.</w:t>
      </w:r>
    </w:p>
    <w:p w14:paraId="1AC24A95" w14:textId="51DE3DED" w:rsidR="00216E29" w:rsidRDefault="00DE5FA4" w:rsidP="0029391C">
      <w:pPr>
        <w:spacing w:line="276" w:lineRule="auto"/>
        <w:jc w:val="both"/>
        <w:rPr>
          <w:rFonts w:ascii="Arial" w:eastAsiaTheme="minorEastAsia" w:hAnsi="Arial" w:cs="Arial"/>
          <w:b/>
          <w:bCs/>
          <w:sz w:val="24"/>
          <w:szCs w:val="24"/>
          <w:lang w:val="en-US"/>
        </w:rPr>
      </w:pPr>
      <w:r>
        <w:rPr>
          <w:rFonts w:ascii="Arial" w:hAnsi="Arial" w:cs="Arial"/>
          <w:noProof/>
          <w:sz w:val="24"/>
          <w:szCs w:val="24"/>
          <w:lang w:val="en-US"/>
        </w:rPr>
        <w:drawing>
          <wp:anchor distT="0" distB="0" distL="114300" distR="114300" simplePos="0" relativeHeight="252203006" behindDoc="1" locked="0" layoutInCell="1" allowOverlap="1" wp14:anchorId="7B9B3767" wp14:editId="0C8361C0">
            <wp:simplePos x="0" y="0"/>
            <wp:positionH relativeFrom="margin">
              <wp:posOffset>4371340</wp:posOffset>
            </wp:positionH>
            <wp:positionV relativeFrom="margin">
              <wp:posOffset>2849245</wp:posOffset>
            </wp:positionV>
            <wp:extent cx="2520000" cy="2367971"/>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418" cstate="email">
                      <a:extLst>
                        <a:ext uri="{28A0092B-C50C-407E-A947-70E740481C1C}">
                          <a14:useLocalDpi xmlns:a14="http://schemas.microsoft.com/office/drawing/2010/main"/>
                        </a:ext>
                      </a:extLst>
                    </a:blip>
                    <a:srcRect t="3028" b="3028"/>
                    <a:stretch>
                      <a:fillRect/>
                    </a:stretch>
                  </pic:blipFill>
                  <pic:spPr bwMode="auto">
                    <a:xfrm>
                      <a:off x="0" y="0"/>
                      <a:ext cx="2520000" cy="2367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EAB4E3" w14:textId="7B4C7D57" w:rsidR="00A43258" w:rsidRPr="00CD1FC8" w:rsidRDefault="0029391C" w:rsidP="0029391C">
      <w:pPr>
        <w:spacing w:line="276" w:lineRule="auto"/>
        <w:jc w:val="both"/>
        <w:rPr>
          <w:rFonts w:ascii="Arial" w:eastAsiaTheme="minorEastAsia" w:hAnsi="Arial" w:cs="Arial"/>
          <w:b/>
          <w:bCs/>
          <w:sz w:val="20"/>
          <w:szCs w:val="20"/>
          <w:lang w:val="en-US"/>
        </w:rPr>
      </w:pPr>
      <w:r w:rsidRPr="003625BA">
        <w:rPr>
          <w:rFonts w:ascii="Arial" w:eastAsiaTheme="minorEastAsia" w:hAnsi="Arial" w:cs="Arial"/>
          <w:b/>
          <w:bCs/>
          <w:color w:val="69557F"/>
          <w:sz w:val="24"/>
          <w:szCs w:val="24"/>
          <w:lang w:val="en-US"/>
        </w:rPr>
        <w:t>Fiscal policy and budget implementation</w:t>
      </w:r>
      <w:r w:rsidR="00D26C1C">
        <w:rPr>
          <w:rFonts w:ascii="Arial" w:eastAsiaTheme="minorEastAsia" w:hAnsi="Arial" w:cs="Arial"/>
          <w:b/>
          <w:bCs/>
          <w:color w:val="69557F"/>
          <w:sz w:val="24"/>
          <w:szCs w:val="24"/>
          <w:lang w:val="en-US"/>
        </w:rPr>
        <w:t xml:space="preserve"> </w:t>
      </w:r>
      <w:r w:rsidR="00D26C1C" w:rsidRPr="00D26C1C">
        <w:rPr>
          <w:rFonts w:ascii="Arial" w:eastAsiaTheme="minorEastAsia" w:hAnsi="Arial" w:cs="Arial"/>
          <w:b/>
          <w:bCs/>
          <w:color w:val="69557F"/>
          <w:sz w:val="24"/>
          <w:szCs w:val="24"/>
          <w:lang w:val="en-US"/>
        </w:rPr>
        <w:t>stage</w:t>
      </w:r>
    </w:p>
    <w:p w14:paraId="53EEFB21" w14:textId="3D6871F4" w:rsidR="0029391C" w:rsidRDefault="0029391C" w:rsidP="0029391C">
      <w:pPr>
        <w:spacing w:line="276" w:lineRule="auto"/>
        <w:jc w:val="both"/>
        <w:rPr>
          <w:rFonts w:ascii="Arial" w:hAnsi="Arial" w:cs="Arial"/>
          <w:sz w:val="24"/>
          <w:szCs w:val="24"/>
        </w:rPr>
      </w:pPr>
    </w:p>
    <w:p w14:paraId="23A9CC84" w14:textId="6C66C59B" w:rsidR="00216E29" w:rsidRPr="003625BA" w:rsidRDefault="00216E29" w:rsidP="00216E29">
      <w:pPr>
        <w:spacing w:line="276" w:lineRule="auto"/>
        <w:jc w:val="both"/>
        <w:rPr>
          <w:rFonts w:ascii="Arial" w:hAnsi="Arial" w:cs="Arial"/>
          <w:sz w:val="24"/>
          <w:szCs w:val="24"/>
        </w:rPr>
      </w:pPr>
      <w:r w:rsidRPr="003625BA">
        <w:rPr>
          <w:rFonts w:ascii="Arial" w:hAnsi="Arial" w:cs="Arial"/>
          <w:sz w:val="24"/>
          <w:szCs w:val="24"/>
        </w:rPr>
        <w:t xml:space="preserve">Once the executive implements the legislatively approved fiscal and budget policies, the legislature must monitor the executive’s progress in doing this, scrutinize the results emanating from it and hold it accountable for its performance, focusing on the quality of implementation to guard against corruption, mismanagement and fruitless expenditure. </w:t>
      </w:r>
    </w:p>
    <w:p w14:paraId="4417A1FE" w14:textId="7BF12AC1" w:rsidR="00216E29" w:rsidRPr="003625BA" w:rsidRDefault="00216E29" w:rsidP="00216E29">
      <w:pPr>
        <w:spacing w:line="276" w:lineRule="auto"/>
        <w:jc w:val="both"/>
        <w:rPr>
          <w:rFonts w:ascii="Arial" w:hAnsi="Arial" w:cs="Arial"/>
          <w:sz w:val="24"/>
          <w:szCs w:val="24"/>
        </w:rPr>
      </w:pPr>
    </w:p>
    <w:p w14:paraId="59AE7666" w14:textId="45EF6F8D" w:rsidR="00216E29" w:rsidRPr="003625BA" w:rsidRDefault="00216E29" w:rsidP="00216E29">
      <w:pPr>
        <w:spacing w:line="276" w:lineRule="auto"/>
        <w:jc w:val="both"/>
        <w:rPr>
          <w:rFonts w:ascii="Arial" w:hAnsi="Arial" w:cs="Arial"/>
          <w:sz w:val="24"/>
          <w:szCs w:val="24"/>
        </w:rPr>
      </w:pPr>
      <w:r w:rsidRPr="003625BA">
        <w:rPr>
          <w:rFonts w:ascii="Arial" w:hAnsi="Arial" w:cs="Arial"/>
          <w:sz w:val="24"/>
          <w:szCs w:val="24"/>
        </w:rPr>
        <w:t>Funds are allocated to spending departments in line with the approved budget. However, it is not uncommon that funds are shifted to purposes other than those for which they were approved. Frequent ad hoc adjustments to budgets can reflect uncertainties in macroeconomic and fiscal environments, but the need for continuous revisions is also a symptom of a weak and ill-disciplined budgeting system. For this reason, legislatures should closely monitor implementation of the budget by scrutinizing information on actual spending. Under normal circumstances, any significant changes in budget lines should also be approved by the legislature in adjustments appropriation legislation. When tabling adjustments appropriations in the legislature, the executive should provide reasons for the proposed adjustments enabling the legislature to assess whether they are justified and in accordance with any applicable legislation/objective criteria stipulating the circumstances when adjustments are warranted.</w:t>
      </w:r>
    </w:p>
    <w:p w14:paraId="1500FAD4" w14:textId="37D52073" w:rsidR="00216E29" w:rsidRPr="003625BA" w:rsidRDefault="00216E29" w:rsidP="00216E29">
      <w:pPr>
        <w:spacing w:line="276" w:lineRule="auto"/>
        <w:jc w:val="both"/>
        <w:rPr>
          <w:rFonts w:ascii="Arial" w:hAnsi="Arial" w:cs="Arial"/>
          <w:sz w:val="24"/>
          <w:szCs w:val="24"/>
        </w:rPr>
      </w:pPr>
    </w:p>
    <w:p w14:paraId="61A34D56" w14:textId="56C6E579" w:rsidR="00216E29" w:rsidRPr="003625BA" w:rsidRDefault="00216E29" w:rsidP="00216E29">
      <w:pPr>
        <w:spacing w:line="276" w:lineRule="auto"/>
        <w:jc w:val="both"/>
        <w:rPr>
          <w:rFonts w:ascii="Arial" w:hAnsi="Arial" w:cs="Arial"/>
          <w:sz w:val="24"/>
          <w:szCs w:val="24"/>
        </w:rPr>
      </w:pPr>
      <w:r w:rsidRPr="003625BA">
        <w:rPr>
          <w:rFonts w:ascii="Arial" w:hAnsi="Arial" w:cs="Arial"/>
          <w:sz w:val="24"/>
          <w:szCs w:val="24"/>
          <w:lang w:val="en-US"/>
        </w:rPr>
        <w:t>The legislature requires fiscal transparency, that is quality information, to monitor the executive’s progress to hold it accountable. This information is typically made available during the fiscal year by the executive in the form of in-year budget execution reports</w:t>
      </w:r>
      <w:r w:rsidRPr="003625BA">
        <w:rPr>
          <w:rFonts w:ascii="Arial" w:hAnsi="Arial" w:cs="Arial"/>
          <w:sz w:val="24"/>
          <w:szCs w:val="24"/>
        </w:rPr>
        <w:t xml:space="preserve">. </w:t>
      </w:r>
      <w:r w:rsidRPr="003625BA">
        <w:rPr>
          <w:rFonts w:ascii="Arial" w:hAnsi="Arial" w:cs="Arial"/>
          <w:sz w:val="24"/>
          <w:szCs w:val="24"/>
          <w:lang w:val="en-US"/>
        </w:rPr>
        <w:t>Parliamentary committees, such as a finance, education, or energy committee then typically use this information to scrutinize the executive’s progress in fulfilling commitments, including the reasons provided by the executive for significant deviations from budgets</w:t>
      </w:r>
      <w:r w:rsidRPr="003625BA">
        <w:rPr>
          <w:rFonts w:ascii="Arial" w:hAnsi="Arial" w:cs="Arial"/>
          <w:sz w:val="24"/>
          <w:szCs w:val="24"/>
        </w:rPr>
        <w:t xml:space="preserve">. They can summon witnesses and should produce reports on their findings for parliamentary and public consideration. Committee research and reports can be useful to parliamentarians in their deliberations and examination of government action. </w:t>
      </w:r>
    </w:p>
    <w:p w14:paraId="50DAD088" w14:textId="6EFFA75B" w:rsidR="00216E29" w:rsidRPr="003625BA" w:rsidRDefault="00216E29" w:rsidP="00216E29">
      <w:pPr>
        <w:spacing w:line="276" w:lineRule="auto"/>
        <w:jc w:val="both"/>
        <w:rPr>
          <w:rFonts w:ascii="Arial" w:hAnsi="Arial" w:cs="Arial"/>
          <w:sz w:val="24"/>
          <w:szCs w:val="24"/>
        </w:rPr>
      </w:pPr>
    </w:p>
    <w:p w14:paraId="23B51168" w14:textId="4D717D9E" w:rsidR="00216E29" w:rsidRPr="003625BA" w:rsidRDefault="00216E29" w:rsidP="003625BA">
      <w:pPr>
        <w:spacing w:line="276" w:lineRule="auto"/>
        <w:jc w:val="both"/>
        <w:rPr>
          <w:rFonts w:ascii="Arial" w:hAnsi="Arial" w:cs="Arial"/>
          <w:sz w:val="24"/>
          <w:szCs w:val="24"/>
        </w:rPr>
      </w:pPr>
      <w:r w:rsidRPr="003625BA">
        <w:rPr>
          <w:rFonts w:ascii="Arial" w:hAnsi="Arial" w:cs="Arial"/>
          <w:sz w:val="24"/>
          <w:szCs w:val="24"/>
        </w:rPr>
        <w:lastRenderedPageBreak/>
        <w:t xml:space="preserve">Individual parliamentarians are not expected to be experts in all spending areas. They typically depend on research and analysis from their offices, committees, political parties, civil society and other organizations. </w:t>
      </w:r>
      <w:r w:rsidRPr="003625BA">
        <w:rPr>
          <w:rFonts w:ascii="Arial" w:hAnsi="Arial" w:cs="Arial"/>
          <w:sz w:val="24"/>
          <w:szCs w:val="24"/>
          <w:lang w:val="en-US"/>
        </w:rPr>
        <w:t xml:space="preserve">For efficiency, they should thus provide public participation opportunities where they can interact and engage other actors. These opportunities provide an additional source of information to support their scrutiny of the implementation of the budget and relevant policies and programs. It can also inform parliamentary investigations that arise during the budget implementation period. </w:t>
      </w:r>
      <w:r w:rsidRPr="003625BA">
        <w:rPr>
          <w:rFonts w:ascii="Arial" w:hAnsi="Arial" w:cs="Arial"/>
          <w:sz w:val="24"/>
          <w:szCs w:val="24"/>
        </w:rPr>
        <w:t xml:space="preserve">Examples of public participation mechanisms that can be used by the legislature in this stage include </w:t>
      </w:r>
      <w:r w:rsidRPr="003625BA">
        <w:rPr>
          <w:rFonts w:ascii="Arial" w:hAnsi="Arial" w:cs="Arial"/>
          <w:sz w:val="24"/>
          <w:szCs w:val="24"/>
          <w:lang w:val="en-ZA"/>
        </w:rPr>
        <w:t xml:space="preserve">public hearings; committee meetings; online consultation tools; and social media </w:t>
      </w:r>
      <w:r w:rsidRPr="003625BA">
        <w:rPr>
          <w:rFonts w:ascii="Arial" w:hAnsi="Arial" w:cs="Arial"/>
          <w:sz w:val="24"/>
          <w:szCs w:val="24"/>
          <w:lang w:val="en-US"/>
        </w:rPr>
        <w:t>as a communication and input tool</w:t>
      </w:r>
      <w:r w:rsidRPr="003625BA">
        <w:rPr>
          <w:rFonts w:ascii="Arial" w:hAnsi="Arial" w:cs="Arial"/>
          <w:sz w:val="24"/>
          <w:szCs w:val="24"/>
          <w:lang w:val="en-ZA"/>
        </w:rPr>
        <w:t>.</w:t>
      </w:r>
    </w:p>
    <w:p w14:paraId="19775CD2" w14:textId="77777777" w:rsidR="00216E29" w:rsidRDefault="00216E29" w:rsidP="00216E29">
      <w:pPr>
        <w:jc w:val="both"/>
        <w:rPr>
          <w:rFonts w:ascii="Arial" w:eastAsiaTheme="minorEastAsia" w:hAnsi="Arial" w:cs="Arial"/>
          <w:b/>
          <w:bCs/>
          <w:sz w:val="24"/>
          <w:szCs w:val="24"/>
          <w:lang w:val="en-US"/>
        </w:rPr>
      </w:pPr>
    </w:p>
    <w:p w14:paraId="643F3A86" w14:textId="634BBAD9" w:rsidR="00216E29" w:rsidRPr="003625BA" w:rsidRDefault="00216E29" w:rsidP="00216E29">
      <w:pPr>
        <w:jc w:val="both"/>
        <w:rPr>
          <w:rFonts w:ascii="Arial" w:eastAsiaTheme="minorEastAsia" w:hAnsi="Arial" w:cs="Arial"/>
          <w:b/>
          <w:bCs/>
          <w:color w:val="69557F"/>
          <w:sz w:val="24"/>
          <w:szCs w:val="24"/>
          <w:lang w:val="en-US"/>
        </w:rPr>
      </w:pPr>
      <w:r w:rsidRPr="003625BA">
        <w:rPr>
          <w:rFonts w:ascii="Arial" w:eastAsiaTheme="minorEastAsia" w:hAnsi="Arial" w:cs="Arial"/>
          <w:b/>
          <w:bCs/>
          <w:color w:val="69557F"/>
          <w:sz w:val="24"/>
          <w:szCs w:val="24"/>
          <w:lang w:val="en-US"/>
        </w:rPr>
        <w:t>Audit and oversight</w:t>
      </w:r>
      <w:r w:rsidR="00D26C1C">
        <w:rPr>
          <w:rFonts w:ascii="Arial" w:eastAsiaTheme="minorEastAsia" w:hAnsi="Arial" w:cs="Arial"/>
          <w:b/>
          <w:bCs/>
          <w:color w:val="69557F"/>
          <w:sz w:val="24"/>
          <w:szCs w:val="24"/>
          <w:lang w:val="en-US"/>
        </w:rPr>
        <w:t xml:space="preserve"> </w:t>
      </w:r>
      <w:r w:rsidR="00D26C1C" w:rsidRPr="00D26C1C">
        <w:rPr>
          <w:rFonts w:ascii="Arial" w:eastAsiaTheme="minorEastAsia" w:hAnsi="Arial" w:cs="Arial"/>
          <w:b/>
          <w:bCs/>
          <w:color w:val="69557F"/>
          <w:sz w:val="24"/>
          <w:szCs w:val="24"/>
          <w:lang w:val="en-US"/>
        </w:rPr>
        <w:t>stage</w:t>
      </w:r>
    </w:p>
    <w:p w14:paraId="1E90BF54" w14:textId="03B58BA5" w:rsidR="0029391C" w:rsidRDefault="0029391C" w:rsidP="0029391C">
      <w:pPr>
        <w:spacing w:line="276" w:lineRule="auto"/>
        <w:jc w:val="both"/>
        <w:rPr>
          <w:rFonts w:ascii="Arial" w:hAnsi="Arial" w:cs="Arial"/>
          <w:sz w:val="24"/>
          <w:szCs w:val="24"/>
        </w:rPr>
      </w:pPr>
    </w:p>
    <w:p w14:paraId="40EA5B9C" w14:textId="77777777" w:rsidR="00216E29" w:rsidRPr="00FE7652" w:rsidRDefault="00216E29" w:rsidP="00216E29">
      <w:pPr>
        <w:spacing w:line="276" w:lineRule="auto"/>
        <w:jc w:val="both"/>
        <w:rPr>
          <w:rFonts w:ascii="Arial" w:hAnsi="Arial" w:cs="Arial"/>
          <w:sz w:val="24"/>
          <w:szCs w:val="24"/>
        </w:rPr>
      </w:pPr>
      <w:r w:rsidRPr="00FE7652">
        <w:rPr>
          <w:rFonts w:ascii="Arial" w:hAnsi="Arial" w:cs="Arial"/>
          <w:sz w:val="24"/>
          <w:szCs w:val="24"/>
        </w:rPr>
        <w:t xml:space="preserve">At the end of a fiscal year, parliamentarians should review and assure the reasonableness and appropriateness of the government’s actual spending and other results. The legislature should have a full picture of the previous fiscal year, both from a financial and non-financial performance (outcomes) perspective, to scrutinize the government’s financial management from planning, to the allocation of resources to declared priorities, to the evaluation of the results these decisions generated. Just as the legislature’s approval is required to raise or spend money, the legislature must also accept the government’s public accounts and reporting on its actions. </w:t>
      </w:r>
    </w:p>
    <w:p w14:paraId="79C955CC" w14:textId="77777777" w:rsidR="00216E29" w:rsidRPr="00FE7652" w:rsidRDefault="00216E29" w:rsidP="00216E29">
      <w:pPr>
        <w:spacing w:line="276" w:lineRule="auto"/>
        <w:jc w:val="both"/>
        <w:rPr>
          <w:rFonts w:ascii="Arial" w:hAnsi="Arial" w:cs="Arial"/>
          <w:sz w:val="24"/>
          <w:szCs w:val="24"/>
        </w:rPr>
      </w:pPr>
    </w:p>
    <w:p w14:paraId="3BED630E" w14:textId="77777777" w:rsidR="00216E29" w:rsidRPr="00FE7652" w:rsidRDefault="00216E29" w:rsidP="00216E29">
      <w:pPr>
        <w:spacing w:line="276" w:lineRule="auto"/>
        <w:jc w:val="both"/>
        <w:rPr>
          <w:rFonts w:ascii="Arial" w:hAnsi="Arial" w:cs="Arial"/>
          <w:sz w:val="24"/>
          <w:szCs w:val="24"/>
        </w:rPr>
      </w:pPr>
      <w:r w:rsidRPr="00FE7652">
        <w:rPr>
          <w:rFonts w:ascii="Arial" w:hAnsi="Arial" w:cs="Arial"/>
          <w:sz w:val="24"/>
          <w:szCs w:val="24"/>
        </w:rPr>
        <w:t xml:space="preserve">The year-end report is government’s key accountability document. It should be presented to the legislature and contain an account of the executive’s financial activities, including all of its revenue and spending activities in the form of a public accounts report. </w:t>
      </w:r>
      <w:r w:rsidRPr="00FE7652">
        <w:rPr>
          <w:rFonts w:ascii="Arial" w:hAnsi="Arial" w:cs="Arial"/>
          <w:sz w:val="24"/>
          <w:szCs w:val="24"/>
          <w:lang w:val="en-ZA"/>
        </w:rPr>
        <w:t>This report is usually accompanied by an audit from the supreme audit institution verifying the accuracy of the information presented by the executive.</w:t>
      </w:r>
      <w:r w:rsidRPr="00FE7652">
        <w:rPr>
          <w:rFonts w:ascii="Arial" w:eastAsiaTheme="minorEastAsia" w:hAnsi="Arial" w:cs="Arial"/>
          <w:sz w:val="24"/>
          <w:szCs w:val="24"/>
          <w:lang w:val="en-ZA" w:eastAsia="zh-CN"/>
        </w:rPr>
        <w:t xml:space="preserve"> </w:t>
      </w:r>
      <w:r w:rsidRPr="00FE7652">
        <w:rPr>
          <w:rFonts w:ascii="Arial" w:hAnsi="Arial" w:cs="Arial"/>
          <w:sz w:val="24"/>
          <w:szCs w:val="24"/>
          <w:lang w:val="en-ZA"/>
        </w:rPr>
        <w:t>Legislative scrutiny of audit findings assists the legislature in ensuring that public funds have been used for the purposes intended, and that policies have achieved the intended results. </w:t>
      </w:r>
      <w:r w:rsidRPr="00FE7652">
        <w:rPr>
          <w:rFonts w:ascii="Arial" w:hAnsi="Arial" w:cs="Arial"/>
          <w:sz w:val="24"/>
          <w:szCs w:val="24"/>
          <w:lang w:val="en-US"/>
        </w:rPr>
        <w:t xml:space="preserve"> </w:t>
      </w:r>
    </w:p>
    <w:p w14:paraId="1CFDD1F3" w14:textId="77777777" w:rsidR="00216E29" w:rsidRPr="00FE7652" w:rsidRDefault="00216E29" w:rsidP="00216E29">
      <w:pPr>
        <w:spacing w:line="276" w:lineRule="auto"/>
        <w:jc w:val="both"/>
        <w:rPr>
          <w:rFonts w:ascii="Arial" w:hAnsi="Arial" w:cs="Arial"/>
          <w:sz w:val="24"/>
          <w:szCs w:val="24"/>
        </w:rPr>
      </w:pPr>
    </w:p>
    <w:p w14:paraId="506C2427" w14:textId="77777777" w:rsidR="00216E29" w:rsidRPr="00FE7652" w:rsidRDefault="00216E29" w:rsidP="00216E29">
      <w:pPr>
        <w:spacing w:line="276" w:lineRule="auto"/>
        <w:jc w:val="both"/>
        <w:rPr>
          <w:rFonts w:ascii="Arial" w:hAnsi="Arial" w:cs="Arial"/>
          <w:sz w:val="24"/>
          <w:szCs w:val="24"/>
        </w:rPr>
      </w:pPr>
      <w:r w:rsidRPr="00FE7652">
        <w:rPr>
          <w:rFonts w:ascii="Arial" w:hAnsi="Arial" w:cs="Arial"/>
          <w:sz w:val="24"/>
          <w:szCs w:val="24"/>
        </w:rPr>
        <w:t xml:space="preserve">Usually, the results of the audit are presented to the legislature and then considered by a specifically appointed committee, such as an audit or public accounts committee. This committee functions as a forum for debate and inquiry into audit findings and public spending and is integral to the sound operation and closing of the fiscal year. At this stage, the committee is mandated to review government activities from a financial and administrative perspective. Whereas other legislative committees focus primarily on considering bills and investigating policy issues, the public accounts committee’s function is much more retroactive than prospective. However, legislators in other committees can use the insights gained from the public accounts committee on the implementation of past budgets when assessing future draft budgets. </w:t>
      </w:r>
      <w:r w:rsidRPr="00FE7652">
        <w:rPr>
          <w:rFonts w:ascii="Arial" w:hAnsi="Arial" w:cs="Arial"/>
          <w:sz w:val="24"/>
          <w:szCs w:val="24"/>
          <w:lang w:val="en-US"/>
        </w:rPr>
        <w:t>For example, this information can help inform pre-budget debates when the fiscal policy cycle starts again. </w:t>
      </w:r>
      <w:r w:rsidRPr="00FE7652">
        <w:rPr>
          <w:rFonts w:ascii="Arial" w:hAnsi="Arial" w:cs="Arial"/>
          <w:sz w:val="24"/>
          <w:szCs w:val="24"/>
        </w:rPr>
        <w:t xml:space="preserve">In many cases, ministers and senior civil servants will be called to appear before parliamentary committees to answer questions regarding budget implementation. Committees </w:t>
      </w:r>
      <w:r w:rsidRPr="00FE7652">
        <w:rPr>
          <w:rFonts w:ascii="Arial" w:hAnsi="Arial" w:cs="Arial"/>
          <w:sz w:val="24"/>
          <w:szCs w:val="24"/>
          <w:lang w:val="en-US"/>
        </w:rPr>
        <w:t>use this information to evaluate and inquire further into the public accounts tabled by the government, as well as the information made available in the supreme audit institution’s audit and reports</w:t>
      </w:r>
      <w:r w:rsidRPr="00FE7652">
        <w:rPr>
          <w:rFonts w:ascii="Arial" w:hAnsi="Arial" w:cs="Arial"/>
          <w:sz w:val="24"/>
          <w:szCs w:val="24"/>
        </w:rPr>
        <w:t xml:space="preserve">. </w:t>
      </w:r>
    </w:p>
    <w:p w14:paraId="5FB3D3F1" w14:textId="77777777" w:rsidR="00216E29" w:rsidRPr="00FE7652" w:rsidRDefault="00216E29" w:rsidP="00216E29">
      <w:pPr>
        <w:spacing w:line="276" w:lineRule="auto"/>
        <w:jc w:val="both"/>
        <w:rPr>
          <w:rFonts w:ascii="Arial" w:hAnsi="Arial" w:cs="Arial"/>
          <w:sz w:val="24"/>
          <w:szCs w:val="24"/>
        </w:rPr>
      </w:pPr>
    </w:p>
    <w:p w14:paraId="10D6B459" w14:textId="77777777" w:rsidR="00216E29" w:rsidRPr="00FE7652" w:rsidRDefault="00216E29" w:rsidP="00216E29">
      <w:pPr>
        <w:spacing w:line="276" w:lineRule="auto"/>
        <w:jc w:val="both"/>
        <w:rPr>
          <w:rFonts w:ascii="Arial" w:hAnsi="Arial" w:cs="Arial"/>
          <w:sz w:val="24"/>
          <w:szCs w:val="24"/>
          <w:lang w:val="en-ZA"/>
        </w:rPr>
      </w:pPr>
      <w:r w:rsidRPr="00FE7652">
        <w:rPr>
          <w:rFonts w:ascii="Arial" w:hAnsi="Arial" w:cs="Arial"/>
          <w:sz w:val="24"/>
          <w:szCs w:val="24"/>
        </w:rPr>
        <w:t xml:space="preserve">Public participation opportunities can contribute to further reviewing the audit report and evaluating the effectiveness and efficiency of public expenditures.  </w:t>
      </w:r>
      <w:r w:rsidRPr="00FE7652">
        <w:rPr>
          <w:rFonts w:ascii="Arial" w:hAnsi="Arial" w:cs="Arial"/>
          <w:sz w:val="24"/>
          <w:szCs w:val="24"/>
          <w:lang w:val="en-ZA"/>
        </w:rPr>
        <w:t>The legislature should provide these opportunities.  Public participation mechanisms that can be used include</w:t>
      </w:r>
      <w:r w:rsidRPr="00FE7652">
        <w:rPr>
          <w:rFonts w:ascii="Arial" w:hAnsi="Arial" w:cs="Arial"/>
          <w:sz w:val="24"/>
          <w:szCs w:val="24"/>
        </w:rPr>
        <w:t xml:space="preserve"> consultations with the </w:t>
      </w:r>
      <w:r w:rsidRPr="00FE7652">
        <w:rPr>
          <w:rFonts w:ascii="Arial" w:hAnsi="Arial" w:cs="Arial"/>
          <w:sz w:val="24"/>
          <w:szCs w:val="24"/>
        </w:rPr>
        <w:lastRenderedPageBreak/>
        <w:t>supreme audit institution; public hearings; committee meetings; online consultation tools; social media as a communication and input tool; and town hall meetings.</w:t>
      </w:r>
    </w:p>
    <w:p w14:paraId="17D16E1C" w14:textId="77777777" w:rsidR="00216E29" w:rsidRPr="00FE7652" w:rsidRDefault="00216E29" w:rsidP="00216E29">
      <w:pPr>
        <w:spacing w:line="276" w:lineRule="auto"/>
        <w:jc w:val="both"/>
        <w:rPr>
          <w:rFonts w:ascii="Arial" w:hAnsi="Arial" w:cs="Arial"/>
          <w:sz w:val="24"/>
          <w:szCs w:val="24"/>
        </w:rPr>
      </w:pPr>
    </w:p>
    <w:p w14:paraId="5879EF5A" w14:textId="77777777" w:rsidR="00216E29" w:rsidRPr="00FE7652" w:rsidRDefault="00216E29" w:rsidP="00216E29">
      <w:pPr>
        <w:spacing w:line="276" w:lineRule="auto"/>
        <w:jc w:val="both"/>
        <w:rPr>
          <w:rFonts w:ascii="Arial" w:hAnsi="Arial" w:cs="Arial"/>
          <w:sz w:val="24"/>
          <w:szCs w:val="24"/>
        </w:rPr>
      </w:pPr>
      <w:r w:rsidRPr="00FE7652">
        <w:rPr>
          <w:rFonts w:ascii="Arial" w:hAnsi="Arial" w:cs="Arial"/>
          <w:sz w:val="24"/>
          <w:szCs w:val="24"/>
          <w:lang w:val="en-ZA"/>
        </w:rPr>
        <w:t>Parliamentarians can get very valuable insights from other actors through these engagements that can be used to inform their workings. For instance, the general public and civil society normally have a stake in monitoring service delivery on the ground, gathering and providing critical information on the mismanagement or misuse of funds</w:t>
      </w:r>
      <w:r w:rsidRPr="00FE7652">
        <w:rPr>
          <w:rFonts w:ascii="Arial" w:hAnsi="Arial" w:cs="Arial"/>
          <w:sz w:val="24"/>
          <w:szCs w:val="24"/>
        </w:rPr>
        <w:t xml:space="preserve">. </w:t>
      </w:r>
      <w:r w:rsidRPr="00FE7652">
        <w:rPr>
          <w:rFonts w:ascii="Arial" w:hAnsi="Arial" w:cs="Arial"/>
          <w:sz w:val="24"/>
          <w:szCs w:val="24"/>
          <w:lang w:val="en-ZA"/>
        </w:rPr>
        <w:t>Also, given that some CSOs are linked to international networks of advocacy and support, they can provide useful information networks for parliamentarians, keeping them aware of international developments. They can also offer comparative national information about the regional experiences of service delivery</w:t>
      </w:r>
      <w:r w:rsidRPr="00FE7652">
        <w:rPr>
          <w:rFonts w:ascii="Arial" w:hAnsi="Arial" w:cs="Arial"/>
          <w:sz w:val="24"/>
          <w:szCs w:val="24"/>
        </w:rPr>
        <w:t xml:space="preserve">. </w:t>
      </w:r>
    </w:p>
    <w:p w14:paraId="58E03EF6" w14:textId="711CCFF7" w:rsidR="00216E29" w:rsidRPr="00FE7652" w:rsidRDefault="00216E29" w:rsidP="00216E29">
      <w:pPr>
        <w:spacing w:line="276" w:lineRule="auto"/>
        <w:rPr>
          <w:sz w:val="24"/>
          <w:szCs w:val="24"/>
        </w:rPr>
      </w:pPr>
      <w:r>
        <w:rPr>
          <w:rFonts w:ascii="Arial" w:hAnsi="Arial" w:cs="Arial"/>
          <w:noProof/>
          <w:sz w:val="24"/>
          <w:szCs w:val="24"/>
          <w:lang w:val="en-US"/>
        </w:rPr>
        <w:drawing>
          <wp:anchor distT="0" distB="0" distL="114300" distR="114300" simplePos="0" relativeHeight="252206078" behindDoc="1" locked="0" layoutInCell="1" allowOverlap="1" wp14:anchorId="3CD32CF4" wp14:editId="169D5E81">
            <wp:simplePos x="0" y="0"/>
            <wp:positionH relativeFrom="margin">
              <wp:align>center</wp:align>
            </wp:positionH>
            <wp:positionV relativeFrom="paragraph">
              <wp:posOffset>109855</wp:posOffset>
            </wp:positionV>
            <wp:extent cx="2520000" cy="2337830"/>
            <wp:effectExtent l="0" t="0" r="0"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419" cstate="email">
                      <a:extLst>
                        <a:ext uri="{28A0092B-C50C-407E-A947-70E740481C1C}">
                          <a14:useLocalDpi xmlns:a14="http://schemas.microsoft.com/office/drawing/2010/main"/>
                        </a:ext>
                      </a:extLst>
                    </a:blip>
                    <a:srcRect t="3614" b="3614"/>
                    <a:stretch>
                      <a:fillRect/>
                    </a:stretch>
                  </pic:blipFill>
                  <pic:spPr bwMode="auto">
                    <a:xfrm>
                      <a:off x="0" y="0"/>
                      <a:ext cx="2520000" cy="2337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A75E01" w14:textId="1198A0B9" w:rsidR="0029391C" w:rsidRDefault="0029391C" w:rsidP="0029391C">
      <w:pPr>
        <w:spacing w:line="276" w:lineRule="auto"/>
        <w:jc w:val="both"/>
        <w:rPr>
          <w:rFonts w:ascii="Arial" w:hAnsi="Arial" w:cs="Arial"/>
          <w:sz w:val="24"/>
          <w:szCs w:val="24"/>
        </w:rPr>
      </w:pPr>
    </w:p>
    <w:p w14:paraId="437A6EA5" w14:textId="49D86E09" w:rsidR="0029391C" w:rsidRDefault="0029391C" w:rsidP="0029391C">
      <w:pPr>
        <w:spacing w:line="276" w:lineRule="auto"/>
        <w:jc w:val="both"/>
        <w:rPr>
          <w:rFonts w:ascii="Arial" w:hAnsi="Arial" w:cs="Arial"/>
          <w:sz w:val="24"/>
          <w:szCs w:val="24"/>
        </w:rPr>
      </w:pPr>
    </w:p>
    <w:p w14:paraId="7BC011E9" w14:textId="5756F86C" w:rsidR="0029391C" w:rsidRDefault="0029391C" w:rsidP="0029391C">
      <w:pPr>
        <w:spacing w:line="276" w:lineRule="auto"/>
        <w:jc w:val="both"/>
        <w:rPr>
          <w:rFonts w:ascii="Arial" w:hAnsi="Arial" w:cs="Arial"/>
          <w:sz w:val="24"/>
          <w:szCs w:val="24"/>
        </w:rPr>
      </w:pPr>
    </w:p>
    <w:p w14:paraId="3E74E887" w14:textId="4E035691" w:rsidR="0029391C" w:rsidRDefault="0029391C" w:rsidP="0029391C">
      <w:pPr>
        <w:spacing w:line="276" w:lineRule="auto"/>
        <w:jc w:val="both"/>
        <w:rPr>
          <w:rFonts w:ascii="Arial" w:hAnsi="Arial" w:cs="Arial"/>
          <w:sz w:val="24"/>
          <w:szCs w:val="24"/>
        </w:rPr>
      </w:pPr>
    </w:p>
    <w:p w14:paraId="4E3A92EC" w14:textId="4EECCEC5" w:rsidR="0029391C" w:rsidRDefault="0029391C" w:rsidP="0029391C">
      <w:pPr>
        <w:spacing w:line="276" w:lineRule="auto"/>
        <w:jc w:val="both"/>
        <w:rPr>
          <w:rFonts w:ascii="Arial" w:hAnsi="Arial" w:cs="Arial"/>
          <w:sz w:val="24"/>
          <w:szCs w:val="24"/>
        </w:rPr>
      </w:pPr>
    </w:p>
    <w:p w14:paraId="3CD687B8" w14:textId="3150CF15" w:rsidR="0029391C" w:rsidRDefault="0029391C" w:rsidP="0029391C">
      <w:pPr>
        <w:spacing w:line="276" w:lineRule="auto"/>
        <w:jc w:val="both"/>
        <w:rPr>
          <w:rFonts w:ascii="Arial" w:hAnsi="Arial" w:cs="Arial"/>
          <w:sz w:val="24"/>
          <w:szCs w:val="24"/>
        </w:rPr>
      </w:pPr>
    </w:p>
    <w:p w14:paraId="585821FA" w14:textId="1086720B" w:rsidR="0029391C" w:rsidRDefault="0029391C" w:rsidP="0029391C">
      <w:pPr>
        <w:spacing w:line="276" w:lineRule="auto"/>
        <w:jc w:val="both"/>
        <w:rPr>
          <w:rFonts w:ascii="Arial" w:hAnsi="Arial" w:cs="Arial"/>
          <w:sz w:val="24"/>
          <w:szCs w:val="24"/>
        </w:rPr>
      </w:pPr>
    </w:p>
    <w:p w14:paraId="7F6FF68E" w14:textId="2B5513D9" w:rsidR="00823A93" w:rsidRDefault="00823A93" w:rsidP="0029391C">
      <w:pPr>
        <w:spacing w:line="276" w:lineRule="auto"/>
        <w:jc w:val="both"/>
        <w:rPr>
          <w:rFonts w:ascii="Arial" w:hAnsi="Arial" w:cs="Arial"/>
          <w:sz w:val="24"/>
          <w:szCs w:val="24"/>
        </w:rPr>
      </w:pPr>
    </w:p>
    <w:p w14:paraId="501657E3" w14:textId="083964BE" w:rsidR="00823A93" w:rsidRDefault="00823A93" w:rsidP="0029391C">
      <w:pPr>
        <w:spacing w:line="276" w:lineRule="auto"/>
        <w:jc w:val="both"/>
        <w:rPr>
          <w:rFonts w:ascii="Arial" w:hAnsi="Arial" w:cs="Arial"/>
          <w:sz w:val="24"/>
          <w:szCs w:val="24"/>
        </w:rPr>
      </w:pPr>
    </w:p>
    <w:p w14:paraId="3B5F5809" w14:textId="53C11395" w:rsidR="00FB7C3A" w:rsidRDefault="00FB7C3A" w:rsidP="0029391C">
      <w:pPr>
        <w:spacing w:line="276" w:lineRule="auto"/>
        <w:jc w:val="both"/>
        <w:rPr>
          <w:rFonts w:ascii="Arial" w:hAnsi="Arial" w:cs="Arial"/>
          <w:sz w:val="24"/>
          <w:szCs w:val="24"/>
        </w:rPr>
      </w:pPr>
    </w:p>
    <w:p w14:paraId="0B5EA31E" w14:textId="48A465DA" w:rsidR="001A11AE" w:rsidRDefault="001A11AE" w:rsidP="001A11AE"/>
    <w:p w14:paraId="65E43FA0" w14:textId="77777777" w:rsidR="001A11AE" w:rsidRPr="003625BA" w:rsidRDefault="001A11AE" w:rsidP="003625BA"/>
    <w:p w14:paraId="325943D7" w14:textId="23CE70F7" w:rsidR="00F70FB6" w:rsidRDefault="00F70FB6" w:rsidP="003625BA">
      <w:pPr>
        <w:pStyle w:val="Heading2"/>
        <w:rPr>
          <w:rFonts w:ascii="Arial" w:hAnsi="Arial" w:cs="Arial"/>
          <w:b/>
          <w:bCs/>
          <w:color w:val="69557F"/>
          <w:sz w:val="36"/>
          <w:szCs w:val="36"/>
        </w:rPr>
      </w:pPr>
      <w:bookmarkStart w:id="823" w:name="_Toc119794450"/>
      <w:bookmarkStart w:id="824" w:name="_Toc123204435"/>
      <w:bookmarkStart w:id="825" w:name="_Toc123216526"/>
      <w:bookmarkStart w:id="826" w:name="_Toc123217366"/>
      <w:bookmarkStart w:id="827" w:name="_Toc123913336"/>
      <w:bookmarkStart w:id="828" w:name="_Toc123913992"/>
      <w:bookmarkStart w:id="829" w:name="_Toc125566611"/>
      <w:r>
        <w:rPr>
          <w:rFonts w:ascii="Arial" w:hAnsi="Arial" w:cs="Arial"/>
          <w:b/>
          <w:bCs/>
          <w:color w:val="69557F"/>
          <w:sz w:val="36"/>
          <w:szCs w:val="36"/>
        </w:rPr>
        <w:t>T</w:t>
      </w:r>
      <w:r w:rsidRPr="00DC6FBC">
        <w:rPr>
          <w:rFonts w:ascii="Arial" w:hAnsi="Arial" w:cs="Arial"/>
          <w:b/>
          <w:bCs/>
          <w:color w:val="69557F"/>
          <w:sz w:val="36"/>
          <w:szCs w:val="36"/>
        </w:rPr>
        <w:t xml:space="preserve">he </w:t>
      </w:r>
      <w:r w:rsidR="00034EFF">
        <w:rPr>
          <w:rFonts w:ascii="Arial" w:hAnsi="Arial" w:cs="Arial"/>
          <w:b/>
          <w:bCs/>
          <w:color w:val="69557F"/>
          <w:sz w:val="36"/>
          <w:szCs w:val="36"/>
        </w:rPr>
        <w:t>l</w:t>
      </w:r>
      <w:r w:rsidRPr="00DC6FBC">
        <w:rPr>
          <w:rFonts w:ascii="Arial" w:hAnsi="Arial" w:cs="Arial"/>
          <w:b/>
          <w:bCs/>
          <w:color w:val="69557F"/>
          <w:sz w:val="36"/>
          <w:szCs w:val="36"/>
        </w:rPr>
        <w:t xml:space="preserve">egislature </w:t>
      </w:r>
      <w:r w:rsidR="00034EFF">
        <w:rPr>
          <w:rFonts w:ascii="Arial" w:hAnsi="Arial" w:cs="Arial"/>
          <w:b/>
          <w:bCs/>
          <w:color w:val="69557F"/>
          <w:sz w:val="36"/>
          <w:szCs w:val="36"/>
        </w:rPr>
        <w:t xml:space="preserve">fulfilling </w:t>
      </w:r>
      <w:r>
        <w:rPr>
          <w:rFonts w:ascii="Arial" w:hAnsi="Arial" w:cs="Arial"/>
          <w:b/>
          <w:bCs/>
          <w:color w:val="69557F"/>
          <w:sz w:val="36"/>
          <w:szCs w:val="36"/>
        </w:rPr>
        <w:t xml:space="preserve">its </w:t>
      </w:r>
      <w:r w:rsidR="00034EFF">
        <w:rPr>
          <w:rFonts w:ascii="Arial" w:hAnsi="Arial" w:cs="Arial"/>
          <w:b/>
          <w:bCs/>
          <w:color w:val="69557F"/>
          <w:sz w:val="36"/>
          <w:szCs w:val="36"/>
        </w:rPr>
        <w:t>r</w:t>
      </w:r>
      <w:r>
        <w:rPr>
          <w:rFonts w:ascii="Arial" w:hAnsi="Arial" w:cs="Arial"/>
          <w:b/>
          <w:bCs/>
          <w:color w:val="69557F"/>
          <w:sz w:val="36"/>
          <w:szCs w:val="36"/>
        </w:rPr>
        <w:t>ole</w:t>
      </w:r>
      <w:bookmarkEnd w:id="823"/>
      <w:bookmarkEnd w:id="824"/>
      <w:bookmarkEnd w:id="825"/>
      <w:bookmarkEnd w:id="826"/>
      <w:bookmarkEnd w:id="827"/>
      <w:bookmarkEnd w:id="828"/>
      <w:bookmarkEnd w:id="829"/>
    </w:p>
    <w:p w14:paraId="10B79A67" w14:textId="3BF531BF" w:rsidR="00823A93" w:rsidRDefault="00823A93" w:rsidP="00823A93">
      <w:pPr>
        <w:spacing w:line="276" w:lineRule="auto"/>
        <w:jc w:val="both"/>
        <w:rPr>
          <w:rFonts w:ascii="Arial" w:hAnsi="Arial" w:cs="Arial"/>
          <w:sz w:val="24"/>
          <w:szCs w:val="24"/>
        </w:rPr>
      </w:pPr>
    </w:p>
    <w:p w14:paraId="49C9E55C" w14:textId="67221FAC" w:rsidR="00F70FB6" w:rsidRDefault="00F70FB6" w:rsidP="00F70FB6">
      <w:pPr>
        <w:spacing w:line="276" w:lineRule="auto"/>
        <w:jc w:val="both"/>
        <w:rPr>
          <w:rFonts w:ascii="Arial" w:hAnsi="Arial" w:cs="Arial"/>
          <w:sz w:val="24"/>
          <w:szCs w:val="24"/>
          <w:lang w:val="en-US"/>
        </w:rPr>
      </w:pPr>
      <w:r w:rsidRPr="00F70FB6">
        <w:rPr>
          <w:rFonts w:ascii="Arial" w:hAnsi="Arial" w:cs="Arial"/>
          <w:sz w:val="24"/>
          <w:szCs w:val="24"/>
          <w:lang w:val="en-US"/>
        </w:rPr>
        <w:t xml:space="preserve">To effectively fulfil its role, the legislature needs to be empowered by </w:t>
      </w:r>
      <w:r w:rsidRPr="00F70FB6">
        <w:rPr>
          <w:rFonts w:ascii="Arial" w:hAnsi="Arial" w:cs="Arial"/>
          <w:bCs/>
          <w:sz w:val="24"/>
          <w:szCs w:val="24"/>
          <w:lang w:val="en-US"/>
        </w:rPr>
        <w:t>legislation</w:t>
      </w:r>
      <w:r w:rsidRPr="00F70FB6">
        <w:rPr>
          <w:rFonts w:ascii="Arial" w:hAnsi="Arial" w:cs="Arial"/>
          <w:sz w:val="24"/>
          <w:szCs w:val="24"/>
          <w:lang w:val="en-US"/>
        </w:rPr>
        <w:t xml:space="preserve"> and requires financial and other </w:t>
      </w:r>
      <w:r w:rsidRPr="00F70FB6">
        <w:rPr>
          <w:rFonts w:ascii="Arial" w:hAnsi="Arial" w:cs="Arial"/>
          <w:bCs/>
          <w:sz w:val="24"/>
          <w:szCs w:val="24"/>
          <w:lang w:val="en-US"/>
        </w:rPr>
        <w:t>resources</w:t>
      </w:r>
      <w:r w:rsidRPr="00F70FB6">
        <w:rPr>
          <w:rFonts w:ascii="Arial" w:hAnsi="Arial" w:cs="Arial"/>
          <w:sz w:val="24"/>
          <w:szCs w:val="24"/>
          <w:lang w:val="en-US"/>
        </w:rPr>
        <w:t xml:space="preserve"> enabling it to undertake its tasks in each stage of the fiscal policy cycle, including information that meets fiscal transparency standards. </w:t>
      </w:r>
    </w:p>
    <w:p w14:paraId="2326009F" w14:textId="77777777" w:rsidR="00330914" w:rsidRPr="00F70FB6" w:rsidRDefault="00330914" w:rsidP="00F70FB6">
      <w:pPr>
        <w:spacing w:line="276" w:lineRule="auto"/>
        <w:jc w:val="both"/>
        <w:rPr>
          <w:rFonts w:ascii="Arial" w:hAnsi="Arial" w:cs="Arial"/>
          <w:sz w:val="24"/>
          <w:szCs w:val="24"/>
        </w:rPr>
      </w:pPr>
    </w:p>
    <w:p w14:paraId="6170E8CA" w14:textId="01CD55A9" w:rsidR="00F70FB6" w:rsidRDefault="00F70FB6" w:rsidP="00330914">
      <w:pPr>
        <w:rPr>
          <w:rFonts w:ascii="Arial" w:hAnsi="Arial" w:cs="Arial"/>
          <w:b/>
          <w:bCs/>
          <w:color w:val="68547E"/>
          <w:sz w:val="24"/>
          <w:szCs w:val="24"/>
        </w:rPr>
      </w:pPr>
      <w:bookmarkStart w:id="830" w:name="_Toc119794451"/>
      <w:bookmarkStart w:id="831" w:name="_Toc123204436"/>
      <w:bookmarkStart w:id="832" w:name="_Toc123216527"/>
      <w:bookmarkStart w:id="833" w:name="_Toc123217367"/>
      <w:bookmarkStart w:id="834" w:name="_Toc123913337"/>
      <w:bookmarkStart w:id="835" w:name="_Toc123913993"/>
      <w:bookmarkStart w:id="836" w:name="_Toc125566612"/>
      <w:r w:rsidRPr="00330914">
        <w:rPr>
          <w:rFonts w:ascii="Arial" w:hAnsi="Arial" w:cs="Arial"/>
          <w:b/>
          <w:bCs/>
          <w:color w:val="68547E"/>
          <w:sz w:val="24"/>
          <w:szCs w:val="24"/>
        </w:rPr>
        <w:t>Legislative empowerment</w:t>
      </w:r>
      <w:bookmarkEnd w:id="830"/>
      <w:bookmarkEnd w:id="831"/>
      <w:bookmarkEnd w:id="832"/>
      <w:bookmarkEnd w:id="833"/>
      <w:bookmarkEnd w:id="834"/>
      <w:bookmarkEnd w:id="835"/>
      <w:bookmarkEnd w:id="836"/>
    </w:p>
    <w:p w14:paraId="0EE10B4B" w14:textId="4605609D" w:rsidR="00330914" w:rsidRPr="00330914" w:rsidRDefault="00D15FD8" w:rsidP="00330914">
      <w:pPr>
        <w:rPr>
          <w:rFonts w:ascii="Arial" w:hAnsi="Arial" w:cs="Arial"/>
          <w:b/>
          <w:bCs/>
          <w:color w:val="68547E"/>
          <w:sz w:val="24"/>
          <w:szCs w:val="24"/>
        </w:rPr>
      </w:pPr>
      <w:r w:rsidRPr="00330914">
        <w:rPr>
          <w:rFonts w:ascii="Arial" w:hAnsi="Arial" w:cs="Arial"/>
          <w:b/>
          <w:bCs/>
          <w:noProof/>
          <w:color w:val="68547E"/>
          <w:sz w:val="24"/>
          <w:szCs w:val="24"/>
          <w:lang w:val="en-US"/>
        </w:rPr>
        <w:drawing>
          <wp:anchor distT="0" distB="0" distL="114300" distR="114300" simplePos="0" relativeHeight="252596222" behindDoc="0" locked="0" layoutInCell="1" allowOverlap="1" wp14:anchorId="2C22ADA7" wp14:editId="2B8DAA49">
            <wp:simplePos x="0" y="0"/>
            <wp:positionH relativeFrom="column">
              <wp:posOffset>26670</wp:posOffset>
            </wp:positionH>
            <wp:positionV relativeFrom="paragraph">
              <wp:posOffset>151292</wp:posOffset>
            </wp:positionV>
            <wp:extent cx="635000" cy="868680"/>
            <wp:effectExtent l="0" t="0" r="0" b="7620"/>
            <wp:wrapSquare wrapText="bothSides"/>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Picture 1472"/>
                    <pic:cNvPicPr/>
                  </pic:nvPicPr>
                  <pic:blipFill rotWithShape="1">
                    <a:blip r:embed="rId420" cstate="email">
                      <a:extLst>
                        <a:ext uri="{28A0092B-C50C-407E-A947-70E740481C1C}">
                          <a14:useLocalDpi xmlns:a14="http://schemas.microsoft.com/office/drawing/2010/main"/>
                        </a:ext>
                      </a:extLst>
                    </a:blip>
                    <a:srcRect/>
                    <a:stretch/>
                  </pic:blipFill>
                  <pic:spPr bwMode="auto">
                    <a:xfrm>
                      <a:off x="0" y="0"/>
                      <a:ext cx="635000" cy="868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D73C44" w14:textId="031E8C9F" w:rsidR="00561D1F" w:rsidRDefault="00F70FB6" w:rsidP="00F70FB6">
      <w:pPr>
        <w:spacing w:line="276" w:lineRule="auto"/>
        <w:jc w:val="both"/>
        <w:rPr>
          <w:rFonts w:ascii="Arial" w:hAnsi="Arial" w:cs="Arial"/>
          <w:sz w:val="24"/>
          <w:szCs w:val="24"/>
        </w:rPr>
      </w:pPr>
      <w:r w:rsidRPr="00F70FB6">
        <w:rPr>
          <w:rFonts w:ascii="Arial" w:hAnsi="Arial" w:cs="Arial"/>
          <w:sz w:val="24"/>
          <w:szCs w:val="24"/>
        </w:rPr>
        <w:t>The legislature’s ultimate authority to hold the executive to account for the stewardship of public resources should stem from, and be embedded, in law and the political system. This authority is normally derived from the Constitution or other legislation, that should include:</w:t>
      </w:r>
    </w:p>
    <w:p w14:paraId="3FEF4920" w14:textId="329A4ACB" w:rsidR="00CE4510" w:rsidRDefault="00D15FD8" w:rsidP="00F70FB6">
      <w:pPr>
        <w:spacing w:line="276" w:lineRule="auto"/>
        <w:jc w:val="both"/>
        <w:rPr>
          <w:rFonts w:ascii="Arial" w:hAnsi="Arial" w:cs="Arial"/>
          <w:sz w:val="24"/>
          <w:szCs w:val="24"/>
        </w:rPr>
      </w:pPr>
      <w:r>
        <w:rPr>
          <w:rFonts w:ascii="Arial" w:hAnsi="Arial" w:cs="Arial"/>
          <w:noProof/>
          <w:color w:val="16988A"/>
          <w:sz w:val="24"/>
          <w:szCs w:val="24"/>
          <w:lang w:val="en-US"/>
        </w:rPr>
        <mc:AlternateContent>
          <mc:Choice Requires="wps">
            <w:drawing>
              <wp:anchor distT="0" distB="0" distL="114300" distR="114300" simplePos="0" relativeHeight="252213246" behindDoc="0" locked="0" layoutInCell="1" allowOverlap="1" wp14:anchorId="514CF118" wp14:editId="5E6C7E11">
                <wp:simplePos x="0" y="0"/>
                <wp:positionH relativeFrom="column">
                  <wp:posOffset>609600</wp:posOffset>
                </wp:positionH>
                <wp:positionV relativeFrom="paragraph">
                  <wp:posOffset>128905</wp:posOffset>
                </wp:positionV>
                <wp:extent cx="5901055" cy="492760"/>
                <wp:effectExtent l="0" t="0" r="0" b="2540"/>
                <wp:wrapNone/>
                <wp:docPr id="149" name="Text Box 149"/>
                <wp:cNvGraphicFramePr/>
                <a:graphic xmlns:a="http://schemas.openxmlformats.org/drawingml/2006/main">
                  <a:graphicData uri="http://schemas.microsoft.com/office/word/2010/wordprocessingShape">
                    <wps:wsp>
                      <wps:cNvSpPr txBox="1"/>
                      <wps:spPr>
                        <a:xfrm>
                          <a:off x="0" y="0"/>
                          <a:ext cx="5901055" cy="492760"/>
                        </a:xfrm>
                        <a:prstGeom prst="rect">
                          <a:avLst/>
                        </a:prstGeom>
                        <a:noFill/>
                        <a:ln w="6350">
                          <a:noFill/>
                        </a:ln>
                      </wps:spPr>
                      <wps:txbx>
                        <w:txbxContent>
                          <w:p w14:paraId="6BB16232" w14:textId="77777777" w:rsidR="00D15FD8" w:rsidRPr="00CE4510" w:rsidRDefault="00D15FD8" w:rsidP="00CE4510">
                            <w:pPr>
                              <w:spacing w:line="276" w:lineRule="auto"/>
                              <w:contextualSpacing/>
                              <w:jc w:val="both"/>
                              <w:rPr>
                                <w:rFonts w:ascii="Arial" w:hAnsi="Arial" w:cs="Arial"/>
                                <w:color w:val="FFFFFF" w:themeColor="background1"/>
                                <w:sz w:val="24"/>
                                <w:szCs w:val="24"/>
                              </w:rPr>
                            </w:pPr>
                            <w:r w:rsidRPr="00CE4510">
                              <w:rPr>
                                <w:rFonts w:ascii="Arial" w:hAnsi="Arial" w:cs="Arial"/>
                                <w:color w:val="FFFFFF" w:themeColor="background1"/>
                                <w:sz w:val="24"/>
                                <w:szCs w:val="24"/>
                              </w:rPr>
                              <w:t>formal rules for organizing the budgetary process and the respective roles and responsibilities of the executive branch and the legislature;</w:t>
                            </w:r>
                          </w:p>
                          <w:p w14:paraId="5232F012" w14:textId="77777777" w:rsidR="00D15FD8" w:rsidRPr="00CE4510" w:rsidRDefault="00D15FD8">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CF118" id="Text Box 149" o:spid="_x0000_s1250" type="#_x0000_t202" style="position:absolute;left:0;text-align:left;margin-left:48pt;margin-top:10.15pt;width:464.65pt;height:38.8pt;z-index:252213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" filled="f" stroked="f" strokeweight=".5pt">
                <v:textbox>
                  <w:txbxContent>
                    <w:p w14:paraId="6BB16232" w14:textId="77777777" w:rsidR="00D15FD8" w:rsidRPr="00CE4510" w:rsidRDefault="00D15FD8" w:rsidP="00CE4510">
                      <w:pPr>
                        <w:spacing w:line="276" w:lineRule="auto"/>
                        <w:contextualSpacing/>
                        <w:jc w:val="both"/>
                        <w:rPr>
                          <w:rFonts w:ascii="Arial" w:hAnsi="Arial" w:cs="Arial"/>
                          <w:color w:val="FFFFFF" w:themeColor="background1"/>
                          <w:sz w:val="24"/>
                          <w:szCs w:val="24"/>
                        </w:rPr>
                      </w:pPr>
                      <w:r w:rsidRPr="00CE4510">
                        <w:rPr>
                          <w:rFonts w:ascii="Arial" w:hAnsi="Arial" w:cs="Arial"/>
                          <w:color w:val="FFFFFF" w:themeColor="background1"/>
                          <w:sz w:val="24"/>
                          <w:szCs w:val="24"/>
                        </w:rPr>
                        <w:t>formal rules for organizing the budgetary process and the respective roles and responsibilities of the executive branch and the legislature;</w:t>
                      </w:r>
                    </w:p>
                    <w:p w14:paraId="5232F012" w14:textId="77777777" w:rsidR="00D15FD8" w:rsidRPr="00CE4510" w:rsidRDefault="00D15FD8">
                      <w:pPr>
                        <w:rPr>
                          <w:color w:val="FFFFFF" w:themeColor="background1"/>
                        </w:rPr>
                      </w:pPr>
                    </w:p>
                  </w:txbxContent>
                </v:textbox>
              </v:shape>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2212222" behindDoc="0" locked="0" layoutInCell="1" allowOverlap="1" wp14:anchorId="75ABF1BA" wp14:editId="249E0D2F">
                <wp:simplePos x="0" y="0"/>
                <wp:positionH relativeFrom="margin">
                  <wp:posOffset>508000</wp:posOffset>
                </wp:positionH>
                <wp:positionV relativeFrom="paragraph">
                  <wp:posOffset>78105</wp:posOffset>
                </wp:positionV>
                <wp:extent cx="6130925" cy="588645"/>
                <wp:effectExtent l="0" t="0" r="3175" b="1905"/>
                <wp:wrapNone/>
                <wp:docPr id="145" name="Rounded Rectangle 145"/>
                <wp:cNvGraphicFramePr/>
                <a:graphic xmlns:a="http://schemas.openxmlformats.org/drawingml/2006/main">
                  <a:graphicData uri="http://schemas.microsoft.com/office/word/2010/wordprocessingShape">
                    <wps:wsp>
                      <wps:cNvSpPr/>
                      <wps:spPr>
                        <a:xfrm>
                          <a:off x="0" y="0"/>
                          <a:ext cx="6130925" cy="588645"/>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A27C19" id="Rounded Rectangle 145" o:spid="_x0000_s1026" style="position:absolute;margin-left:40pt;margin-top:6.15pt;width:482.75pt;height:46.35pt;z-index:2522122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" fillcolor="#69557f" stroked="f" strokeweight="1pt">
                <v:stroke joinstyle="miter"/>
                <w10:wrap anchorx="margin"/>
              </v:roundrect>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2218366" behindDoc="0" locked="0" layoutInCell="1" allowOverlap="1" wp14:anchorId="37F82B2E" wp14:editId="41DBB43B">
                <wp:simplePos x="0" y="0"/>
                <wp:positionH relativeFrom="column">
                  <wp:posOffset>609600</wp:posOffset>
                </wp:positionH>
                <wp:positionV relativeFrom="paragraph">
                  <wp:posOffset>801370</wp:posOffset>
                </wp:positionV>
                <wp:extent cx="5901055" cy="300355"/>
                <wp:effectExtent l="0" t="0" r="0" b="4445"/>
                <wp:wrapNone/>
                <wp:docPr id="157" name="Text Box 157"/>
                <wp:cNvGraphicFramePr/>
                <a:graphic xmlns:a="http://schemas.openxmlformats.org/drawingml/2006/main">
                  <a:graphicData uri="http://schemas.microsoft.com/office/word/2010/wordprocessingShape">
                    <wps:wsp>
                      <wps:cNvSpPr txBox="1"/>
                      <wps:spPr>
                        <a:xfrm>
                          <a:off x="0" y="0"/>
                          <a:ext cx="5901055" cy="300355"/>
                        </a:xfrm>
                        <a:prstGeom prst="rect">
                          <a:avLst/>
                        </a:prstGeom>
                        <a:noFill/>
                        <a:ln w="6350">
                          <a:noFill/>
                        </a:ln>
                      </wps:spPr>
                      <wps:txbx>
                        <w:txbxContent>
                          <w:p w14:paraId="1BB5A3B0" w14:textId="39D95474" w:rsidR="00D15FD8" w:rsidRPr="00CE4510" w:rsidRDefault="00D15FD8" w:rsidP="00CE4510">
                            <w:pPr>
                              <w:rPr>
                                <w:color w:val="FFFFFF" w:themeColor="background1"/>
                              </w:rPr>
                            </w:pPr>
                            <w:r w:rsidRPr="00CE4510">
                              <w:rPr>
                                <w:rFonts w:ascii="Arial" w:hAnsi="Arial" w:cs="Arial"/>
                                <w:color w:val="FFFFFF" w:themeColor="background1"/>
                                <w:sz w:val="24"/>
                                <w:szCs w:val="24"/>
                              </w:rPr>
                              <w:t>timing of budget submission, adoption and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82B2E" id="Text Box 157" o:spid="_x0000_s1251" type="#_x0000_t202" style="position:absolute;left:0;text-align:left;margin-left:48pt;margin-top:63.1pt;width:464.65pt;height:23.65pt;z-index:25221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" filled="f" stroked="f" strokeweight=".5pt">
                <v:textbox>
                  <w:txbxContent>
                    <w:p w14:paraId="1BB5A3B0" w14:textId="39D95474" w:rsidR="00D15FD8" w:rsidRPr="00CE4510" w:rsidRDefault="00D15FD8" w:rsidP="00CE4510">
                      <w:pPr>
                        <w:rPr>
                          <w:color w:val="FFFFFF" w:themeColor="background1"/>
                        </w:rPr>
                      </w:pPr>
                      <w:r w:rsidRPr="00CE4510">
                        <w:rPr>
                          <w:rFonts w:ascii="Arial" w:hAnsi="Arial" w:cs="Arial"/>
                          <w:color w:val="FFFFFF" w:themeColor="background1"/>
                          <w:sz w:val="24"/>
                          <w:szCs w:val="24"/>
                        </w:rPr>
                        <w:t>timing of budget submission, adoption and publication;</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220414" behindDoc="0" locked="0" layoutInCell="1" allowOverlap="1" wp14:anchorId="77126F4F" wp14:editId="378D46A3">
                <wp:simplePos x="0" y="0"/>
                <wp:positionH relativeFrom="column">
                  <wp:posOffset>142875</wp:posOffset>
                </wp:positionH>
                <wp:positionV relativeFrom="paragraph">
                  <wp:posOffset>854710</wp:posOffset>
                </wp:positionV>
                <wp:extent cx="204470" cy="204470"/>
                <wp:effectExtent l="0" t="0" r="5080" b="5080"/>
                <wp:wrapNone/>
                <wp:docPr id="159" name="Oval 159"/>
                <wp:cNvGraphicFramePr/>
                <a:graphic xmlns:a="http://schemas.openxmlformats.org/drawingml/2006/main">
                  <a:graphicData uri="http://schemas.microsoft.com/office/word/2010/wordprocessingShape">
                    <wps:wsp>
                      <wps:cNvSpPr/>
                      <wps:spPr>
                        <a:xfrm>
                          <a:off x="0" y="0"/>
                          <a:ext cx="204470" cy="204470"/>
                        </a:xfrm>
                        <a:prstGeom prst="ellipse">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50F371" id="Oval 159" o:spid="_x0000_s1026" style="position:absolute;margin-left:11.25pt;margin-top:67.3pt;width:16.1pt;height:16.1pt;z-index:2522204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" fillcolor="#16988a" stroked="f" strokeweight="1pt">
                <v:stroke joinstyle="miter"/>
              </v:oval>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2222462" behindDoc="0" locked="0" layoutInCell="1" allowOverlap="1" wp14:anchorId="1FC180B2" wp14:editId="5E2E76B8">
                <wp:simplePos x="0" y="0"/>
                <wp:positionH relativeFrom="margin">
                  <wp:posOffset>508000</wp:posOffset>
                </wp:positionH>
                <wp:positionV relativeFrom="paragraph">
                  <wp:posOffset>1245870</wp:posOffset>
                </wp:positionV>
                <wp:extent cx="6130925" cy="553085"/>
                <wp:effectExtent l="0" t="0" r="3175" b="0"/>
                <wp:wrapNone/>
                <wp:docPr id="160" name="Rounded Rectangle 160"/>
                <wp:cNvGraphicFramePr/>
                <a:graphic xmlns:a="http://schemas.openxmlformats.org/drawingml/2006/main">
                  <a:graphicData uri="http://schemas.microsoft.com/office/word/2010/wordprocessingShape">
                    <wps:wsp>
                      <wps:cNvSpPr/>
                      <wps:spPr>
                        <a:xfrm>
                          <a:off x="0" y="0"/>
                          <a:ext cx="6130925" cy="553085"/>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CD67C7" id="Rounded Rectangle 160" o:spid="_x0000_s1026" style="position:absolute;margin-left:40pt;margin-top:98.1pt;width:482.75pt;height:43.55pt;z-index:2522224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" fillcolor="#69557f" stroked="f" strokeweight="1pt">
                <v:stroke joinstyle="miter"/>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2232702" behindDoc="0" locked="0" layoutInCell="1" allowOverlap="1" wp14:anchorId="323EDA93" wp14:editId="3FA8D99F">
                <wp:simplePos x="0" y="0"/>
                <wp:positionH relativeFrom="column">
                  <wp:posOffset>143510</wp:posOffset>
                </wp:positionH>
                <wp:positionV relativeFrom="paragraph">
                  <wp:posOffset>1985645</wp:posOffset>
                </wp:positionV>
                <wp:extent cx="204470" cy="204470"/>
                <wp:effectExtent l="0" t="0" r="5080" b="5080"/>
                <wp:wrapNone/>
                <wp:docPr id="165" name="Oval 165"/>
                <wp:cNvGraphicFramePr/>
                <a:graphic xmlns:a="http://schemas.openxmlformats.org/drawingml/2006/main">
                  <a:graphicData uri="http://schemas.microsoft.com/office/word/2010/wordprocessingShape">
                    <wps:wsp>
                      <wps:cNvSpPr/>
                      <wps:spPr>
                        <a:xfrm>
                          <a:off x="0" y="0"/>
                          <a:ext cx="204470" cy="204470"/>
                        </a:xfrm>
                        <a:prstGeom prst="ellipse">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C19DB" id="Oval 165" o:spid="_x0000_s1026" style="position:absolute;margin-left:11.3pt;margin-top:156.35pt;width:16.1pt;height:16.1pt;z-index:252232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" fillcolor="#16988a" stroked="f" strokeweight="1pt">
                <v:stroke joinstyle="miter"/>
              </v:oval>
            </w:pict>
          </mc:Fallback>
        </mc:AlternateContent>
      </w:r>
    </w:p>
    <w:p w14:paraId="62E49C3A" w14:textId="31E62E26" w:rsidR="00CE4510" w:rsidRPr="00F70FB6" w:rsidRDefault="00CE4510" w:rsidP="00F70FB6">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2214270" behindDoc="0" locked="0" layoutInCell="1" allowOverlap="1" wp14:anchorId="39D806DC" wp14:editId="257D3A99">
                <wp:simplePos x="0" y="0"/>
                <wp:positionH relativeFrom="column">
                  <wp:posOffset>135890</wp:posOffset>
                </wp:positionH>
                <wp:positionV relativeFrom="paragraph">
                  <wp:posOffset>80172</wp:posOffset>
                </wp:positionV>
                <wp:extent cx="204537" cy="204537"/>
                <wp:effectExtent l="0" t="0" r="5080" b="5080"/>
                <wp:wrapNone/>
                <wp:docPr id="155" name="Oval 155"/>
                <wp:cNvGraphicFramePr/>
                <a:graphic xmlns:a="http://schemas.openxmlformats.org/drawingml/2006/main">
                  <a:graphicData uri="http://schemas.microsoft.com/office/word/2010/wordprocessingShape">
                    <wps:wsp>
                      <wps:cNvSpPr/>
                      <wps:spPr>
                        <a:xfrm>
                          <a:off x="0" y="0"/>
                          <a:ext cx="204537" cy="204537"/>
                        </a:xfrm>
                        <a:prstGeom prst="ellipse">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B98833" id="Oval 155" o:spid="_x0000_s1026" style="position:absolute;margin-left:10.7pt;margin-top:6.3pt;width:16.1pt;height:16.1pt;z-index:252214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" fillcolor="#16988a" stroked="f" strokeweight="1pt">
                <v:stroke joinstyle="miter"/>
              </v:oval>
            </w:pict>
          </mc:Fallback>
        </mc:AlternateContent>
      </w:r>
    </w:p>
    <w:p w14:paraId="726036CA" w14:textId="0FB25947" w:rsidR="00CE4510" w:rsidRDefault="00CE4510" w:rsidP="00CE4510">
      <w:pPr>
        <w:spacing w:line="276" w:lineRule="auto"/>
        <w:ind w:left="720"/>
        <w:contextualSpacing/>
        <w:jc w:val="both"/>
        <w:rPr>
          <w:rFonts w:ascii="Arial" w:hAnsi="Arial" w:cs="Arial"/>
          <w:sz w:val="24"/>
          <w:szCs w:val="24"/>
        </w:rPr>
      </w:pPr>
    </w:p>
    <w:p w14:paraId="74563F48" w14:textId="5148DA20" w:rsidR="00CE4510" w:rsidRDefault="00CE4510" w:rsidP="00CE4510">
      <w:pPr>
        <w:spacing w:line="276" w:lineRule="auto"/>
        <w:ind w:left="720"/>
        <w:contextualSpacing/>
        <w:jc w:val="both"/>
        <w:rPr>
          <w:rFonts w:ascii="Arial" w:hAnsi="Arial" w:cs="Arial"/>
          <w:sz w:val="24"/>
          <w:szCs w:val="24"/>
        </w:rPr>
      </w:pPr>
      <w:r>
        <w:rPr>
          <w:rFonts w:ascii="Arial" w:hAnsi="Arial" w:cs="Arial"/>
          <w:noProof/>
          <w:color w:val="16988A"/>
          <w:sz w:val="24"/>
          <w:szCs w:val="24"/>
          <w:lang w:val="en-US"/>
        </w:rPr>
        <mc:AlternateContent>
          <mc:Choice Requires="wps">
            <w:drawing>
              <wp:anchor distT="0" distB="0" distL="114300" distR="114300" simplePos="0" relativeHeight="252216318" behindDoc="0" locked="0" layoutInCell="1" allowOverlap="1" wp14:anchorId="5374AA83" wp14:editId="2B8AF9FC">
                <wp:simplePos x="0" y="0"/>
                <wp:positionH relativeFrom="margin">
                  <wp:posOffset>508000</wp:posOffset>
                </wp:positionH>
                <wp:positionV relativeFrom="paragraph">
                  <wp:posOffset>146847</wp:posOffset>
                </wp:positionV>
                <wp:extent cx="6130925" cy="409073"/>
                <wp:effectExtent l="0" t="0" r="3175" b="0"/>
                <wp:wrapNone/>
                <wp:docPr id="156" name="Rounded Rectangle 156"/>
                <wp:cNvGraphicFramePr/>
                <a:graphic xmlns:a="http://schemas.openxmlformats.org/drawingml/2006/main">
                  <a:graphicData uri="http://schemas.microsoft.com/office/word/2010/wordprocessingShape">
                    <wps:wsp>
                      <wps:cNvSpPr/>
                      <wps:spPr>
                        <a:xfrm>
                          <a:off x="0" y="0"/>
                          <a:ext cx="6130925" cy="409073"/>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117E25" id="Rounded Rectangle 156" o:spid="_x0000_s1026" style="position:absolute;margin-left:40pt;margin-top:11.55pt;width:482.75pt;height:32.2pt;z-index:252216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" fillcolor="#69557f" stroked="f" strokeweight="1pt">
                <v:stroke joinstyle="miter"/>
                <w10:wrap anchorx="margin"/>
              </v:roundrect>
            </w:pict>
          </mc:Fallback>
        </mc:AlternateContent>
      </w:r>
    </w:p>
    <w:p w14:paraId="7D99CF53" w14:textId="57B10118" w:rsidR="00CE4510" w:rsidRDefault="00CE4510" w:rsidP="00CE4510">
      <w:pPr>
        <w:spacing w:line="276" w:lineRule="auto"/>
        <w:ind w:left="720"/>
        <w:contextualSpacing/>
        <w:jc w:val="both"/>
        <w:rPr>
          <w:rFonts w:ascii="Arial" w:hAnsi="Arial" w:cs="Arial"/>
          <w:sz w:val="24"/>
          <w:szCs w:val="24"/>
        </w:rPr>
      </w:pPr>
    </w:p>
    <w:p w14:paraId="54FF1DB5" w14:textId="385C019F" w:rsidR="00CE4510" w:rsidRDefault="00CE4510" w:rsidP="00CE4510">
      <w:pPr>
        <w:spacing w:line="276" w:lineRule="auto"/>
        <w:ind w:left="720"/>
        <w:contextualSpacing/>
        <w:jc w:val="both"/>
        <w:rPr>
          <w:rFonts w:ascii="Arial" w:hAnsi="Arial" w:cs="Arial"/>
          <w:sz w:val="24"/>
          <w:szCs w:val="24"/>
        </w:rPr>
      </w:pPr>
    </w:p>
    <w:p w14:paraId="1EDFF832" w14:textId="4A57B799" w:rsidR="00CE4510" w:rsidRDefault="00834B25" w:rsidP="00CE4510">
      <w:pPr>
        <w:spacing w:line="276" w:lineRule="auto"/>
        <w:ind w:left="720"/>
        <w:contextualSpacing/>
        <w:jc w:val="both"/>
        <w:rPr>
          <w:rFonts w:ascii="Arial" w:hAnsi="Arial" w:cs="Arial"/>
          <w:sz w:val="24"/>
          <w:szCs w:val="24"/>
        </w:rPr>
      </w:pPr>
      <w:r>
        <w:rPr>
          <w:rFonts w:ascii="Arial" w:hAnsi="Arial" w:cs="Arial"/>
          <w:noProof/>
          <w:color w:val="16988A"/>
          <w:sz w:val="24"/>
          <w:szCs w:val="24"/>
          <w:lang w:val="en-US"/>
        </w:rPr>
        <mc:AlternateContent>
          <mc:Choice Requires="wps">
            <w:drawing>
              <wp:anchor distT="0" distB="0" distL="114300" distR="114300" simplePos="0" relativeHeight="252224510" behindDoc="0" locked="0" layoutInCell="1" allowOverlap="1" wp14:anchorId="221ECE6F" wp14:editId="24353B40">
                <wp:simplePos x="0" y="0"/>
                <wp:positionH relativeFrom="column">
                  <wp:posOffset>609600</wp:posOffset>
                </wp:positionH>
                <wp:positionV relativeFrom="paragraph">
                  <wp:posOffset>87792</wp:posOffset>
                </wp:positionV>
                <wp:extent cx="5901055" cy="445135"/>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5901055" cy="445135"/>
                        </a:xfrm>
                        <a:prstGeom prst="rect">
                          <a:avLst/>
                        </a:prstGeom>
                        <a:noFill/>
                        <a:ln w="6350">
                          <a:noFill/>
                        </a:ln>
                      </wps:spPr>
                      <wps:txbx>
                        <w:txbxContent>
                          <w:p w14:paraId="570ACE09" w14:textId="1E444523" w:rsidR="00D15FD8" w:rsidRPr="00CE4510" w:rsidRDefault="00D15FD8" w:rsidP="00CE4510">
                            <w:pPr>
                              <w:rPr>
                                <w:color w:val="FFFFFF" w:themeColor="background1"/>
                              </w:rPr>
                            </w:pPr>
                            <w:r w:rsidRPr="00CE4510">
                              <w:rPr>
                                <w:rFonts w:ascii="Arial" w:hAnsi="Arial" w:cs="Arial"/>
                                <w:color w:val="FFFFFF" w:themeColor="background1"/>
                                <w:sz w:val="24"/>
                                <w:szCs w:val="24"/>
                              </w:rPr>
                              <w:t>key documents that the executive should submit to the legislature in its annual budget proposal; 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ECE6F" id="Text Box 161" o:spid="_x0000_s1252" type="#_x0000_t202" style="position:absolute;left:0;text-align:left;margin-left:48pt;margin-top:6.9pt;width:464.65pt;height:35.05pt;z-index:252224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" filled="f" stroked="f" strokeweight=".5pt">
                <v:textbox>
                  <w:txbxContent>
                    <w:p w14:paraId="570ACE09" w14:textId="1E444523" w:rsidR="00D15FD8" w:rsidRPr="00CE4510" w:rsidRDefault="00D15FD8" w:rsidP="00CE4510">
                      <w:pPr>
                        <w:rPr>
                          <w:color w:val="FFFFFF" w:themeColor="background1"/>
                        </w:rPr>
                      </w:pPr>
                      <w:r w:rsidRPr="00CE4510">
                        <w:rPr>
                          <w:rFonts w:ascii="Arial" w:hAnsi="Arial" w:cs="Arial"/>
                          <w:color w:val="FFFFFF" w:themeColor="background1"/>
                          <w:sz w:val="24"/>
                          <w:szCs w:val="24"/>
                        </w:rPr>
                        <w:t>key documents that the executive should submit to the legislature in its annual budget proposal; and</w:t>
                      </w:r>
                    </w:p>
                  </w:txbxContent>
                </v:textbox>
              </v:shape>
            </w:pict>
          </mc:Fallback>
        </mc:AlternateContent>
      </w:r>
    </w:p>
    <w:p w14:paraId="7E7085C5" w14:textId="4F31C302" w:rsidR="00CE4510" w:rsidRDefault="00834B25" w:rsidP="00CE4510">
      <w:pPr>
        <w:spacing w:line="276" w:lineRule="auto"/>
        <w:ind w:left="720"/>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226558" behindDoc="0" locked="0" layoutInCell="1" allowOverlap="1" wp14:anchorId="20E78C22" wp14:editId="603C973A">
                <wp:simplePos x="0" y="0"/>
                <wp:positionH relativeFrom="column">
                  <wp:posOffset>143510</wp:posOffset>
                </wp:positionH>
                <wp:positionV relativeFrom="paragraph">
                  <wp:posOffset>21752</wp:posOffset>
                </wp:positionV>
                <wp:extent cx="204470" cy="204470"/>
                <wp:effectExtent l="0" t="0" r="5080" b="5080"/>
                <wp:wrapNone/>
                <wp:docPr id="162" name="Oval 162"/>
                <wp:cNvGraphicFramePr/>
                <a:graphic xmlns:a="http://schemas.openxmlformats.org/drawingml/2006/main">
                  <a:graphicData uri="http://schemas.microsoft.com/office/word/2010/wordprocessingShape">
                    <wps:wsp>
                      <wps:cNvSpPr/>
                      <wps:spPr>
                        <a:xfrm>
                          <a:off x="0" y="0"/>
                          <a:ext cx="204470" cy="204470"/>
                        </a:xfrm>
                        <a:prstGeom prst="ellipse">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A9F1DA" id="Oval 162" o:spid="_x0000_s1026" style="position:absolute;margin-left:11.3pt;margin-top:1.7pt;width:16.1pt;height:16.1pt;z-index:2522265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" fillcolor="#16988a" stroked="f" strokeweight="1pt">
                <v:stroke joinstyle="miter"/>
              </v:oval>
            </w:pict>
          </mc:Fallback>
        </mc:AlternateContent>
      </w:r>
    </w:p>
    <w:p w14:paraId="5E09481F" w14:textId="56F9F042" w:rsidR="00CE4510" w:rsidRDefault="00CE4510" w:rsidP="00CE4510">
      <w:pPr>
        <w:spacing w:line="276" w:lineRule="auto"/>
        <w:ind w:left="720"/>
        <w:contextualSpacing/>
        <w:jc w:val="both"/>
        <w:rPr>
          <w:rFonts w:ascii="Arial" w:hAnsi="Arial" w:cs="Arial"/>
          <w:sz w:val="24"/>
          <w:szCs w:val="24"/>
        </w:rPr>
      </w:pPr>
    </w:p>
    <w:p w14:paraId="701D404B" w14:textId="64342629" w:rsidR="00C91E37" w:rsidRPr="00330914" w:rsidRDefault="00D15FD8" w:rsidP="00330914">
      <w:pPr>
        <w:spacing w:line="276" w:lineRule="auto"/>
        <w:ind w:left="720"/>
        <w:contextualSpacing/>
        <w:jc w:val="both"/>
        <w:rPr>
          <w:rFonts w:ascii="Arial" w:hAnsi="Arial" w:cs="Arial"/>
          <w:sz w:val="24"/>
          <w:szCs w:val="24"/>
        </w:rPr>
      </w:pPr>
      <w:r>
        <w:rPr>
          <w:rFonts w:ascii="Arial" w:hAnsi="Arial" w:cs="Arial"/>
          <w:noProof/>
          <w:color w:val="16988A"/>
          <w:sz w:val="24"/>
          <w:szCs w:val="24"/>
          <w:lang w:val="en-US"/>
        </w:rPr>
        <mc:AlternateContent>
          <mc:Choice Requires="wps">
            <w:drawing>
              <wp:anchor distT="0" distB="0" distL="114300" distR="114300" simplePos="0" relativeHeight="252230654" behindDoc="0" locked="0" layoutInCell="1" allowOverlap="1" wp14:anchorId="6F8FC941" wp14:editId="74173DAD">
                <wp:simplePos x="0" y="0"/>
                <wp:positionH relativeFrom="column">
                  <wp:posOffset>609600</wp:posOffset>
                </wp:positionH>
                <wp:positionV relativeFrom="paragraph">
                  <wp:posOffset>107315</wp:posOffset>
                </wp:positionV>
                <wp:extent cx="5888355" cy="358140"/>
                <wp:effectExtent l="0" t="0" r="0" b="3810"/>
                <wp:wrapNone/>
                <wp:docPr id="164" name="Text Box 164"/>
                <wp:cNvGraphicFramePr/>
                <a:graphic xmlns:a="http://schemas.openxmlformats.org/drawingml/2006/main">
                  <a:graphicData uri="http://schemas.microsoft.com/office/word/2010/wordprocessingShape">
                    <wps:wsp>
                      <wps:cNvSpPr txBox="1"/>
                      <wps:spPr>
                        <a:xfrm>
                          <a:off x="0" y="0"/>
                          <a:ext cx="5888355" cy="358140"/>
                        </a:xfrm>
                        <a:prstGeom prst="rect">
                          <a:avLst/>
                        </a:prstGeom>
                        <a:noFill/>
                        <a:ln w="6350">
                          <a:noFill/>
                        </a:ln>
                      </wps:spPr>
                      <wps:txbx>
                        <w:txbxContent>
                          <w:p w14:paraId="21C5E57B" w14:textId="50F37DE8" w:rsidR="00D15FD8" w:rsidRPr="00CE4510" w:rsidRDefault="00D15FD8" w:rsidP="00CE4510">
                            <w:pPr>
                              <w:rPr>
                                <w:color w:val="FFFFFF" w:themeColor="background1"/>
                              </w:rPr>
                            </w:pPr>
                            <w:r w:rsidRPr="00CE4510">
                              <w:rPr>
                                <w:rFonts w:ascii="Arial" w:hAnsi="Arial" w:cs="Arial"/>
                                <w:color w:val="FFFFFF" w:themeColor="background1"/>
                                <w:sz w:val="24"/>
                                <w:szCs w:val="24"/>
                              </w:rPr>
                              <w:t>powers of the legislature to modify the budget proposed by the executive.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FC941" id="Text Box 164" o:spid="_x0000_s1253" type="#_x0000_t202" style="position:absolute;left:0;text-align:left;margin-left:48pt;margin-top:8.45pt;width:463.65pt;height:28.2pt;z-index:252230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" filled="f" stroked="f" strokeweight=".5pt">
                <v:textbox>
                  <w:txbxContent>
                    <w:p w14:paraId="21C5E57B" w14:textId="50F37DE8" w:rsidR="00D15FD8" w:rsidRPr="00CE4510" w:rsidRDefault="00D15FD8" w:rsidP="00CE4510">
                      <w:pPr>
                        <w:rPr>
                          <w:color w:val="FFFFFF" w:themeColor="background1"/>
                        </w:rPr>
                      </w:pPr>
                      <w:r w:rsidRPr="00CE4510">
                        <w:rPr>
                          <w:rFonts w:ascii="Arial" w:hAnsi="Arial" w:cs="Arial"/>
                          <w:color w:val="FFFFFF" w:themeColor="background1"/>
                          <w:sz w:val="24"/>
                          <w:szCs w:val="24"/>
                        </w:rPr>
                        <w:t>powers of the legislature to modify the budget proposed by the executive.</w:t>
                      </w:r>
                    </w:p>
                  </w:txbxContent>
                </v:textbox>
              </v:shape>
            </w:pict>
          </mc:Fallback>
        </mc:AlternateContent>
      </w:r>
      <w:r>
        <w:rPr>
          <w:rFonts w:ascii="Arial" w:hAnsi="Arial" w:cs="Arial"/>
          <w:noProof/>
          <w:color w:val="16988A"/>
          <w:sz w:val="24"/>
          <w:szCs w:val="24"/>
          <w:lang w:val="en-US"/>
        </w:rPr>
        <mc:AlternateContent>
          <mc:Choice Requires="wps">
            <w:drawing>
              <wp:anchor distT="0" distB="0" distL="114300" distR="114300" simplePos="0" relativeHeight="252228606" behindDoc="0" locked="0" layoutInCell="1" allowOverlap="1" wp14:anchorId="6C265BFE" wp14:editId="28BF7B29">
                <wp:simplePos x="0" y="0"/>
                <wp:positionH relativeFrom="margin">
                  <wp:posOffset>511810</wp:posOffset>
                </wp:positionH>
                <wp:positionV relativeFrom="paragraph">
                  <wp:posOffset>68107</wp:posOffset>
                </wp:positionV>
                <wp:extent cx="6130925" cy="361507"/>
                <wp:effectExtent l="0" t="0" r="3175" b="635"/>
                <wp:wrapNone/>
                <wp:docPr id="163" name="Rounded Rectangle 163"/>
                <wp:cNvGraphicFramePr/>
                <a:graphic xmlns:a="http://schemas.openxmlformats.org/drawingml/2006/main">
                  <a:graphicData uri="http://schemas.microsoft.com/office/word/2010/wordprocessingShape">
                    <wps:wsp>
                      <wps:cNvSpPr/>
                      <wps:spPr>
                        <a:xfrm>
                          <a:off x="0" y="0"/>
                          <a:ext cx="6130925" cy="361507"/>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A1AF7C" id="Rounded Rectangle 163" o:spid="_x0000_s1026" style="position:absolute;margin-left:40.3pt;margin-top:5.35pt;width:482.75pt;height:28.45pt;z-index:2522286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" fillcolor="#69557f" stroked="f" strokeweight="1pt">
                <v:stroke joinstyle="miter"/>
                <w10:wrap anchorx="margin"/>
              </v:roundrect>
            </w:pict>
          </mc:Fallback>
        </mc:AlternateContent>
      </w:r>
    </w:p>
    <w:p w14:paraId="4352F41D" w14:textId="0BA6C908" w:rsidR="00F70FB6" w:rsidRDefault="00C91E37" w:rsidP="00330914">
      <w:pPr>
        <w:rPr>
          <w:rFonts w:ascii="Arial" w:hAnsi="Arial" w:cs="Arial"/>
          <w:b/>
          <w:bCs/>
          <w:color w:val="68547E"/>
          <w:sz w:val="24"/>
          <w:szCs w:val="24"/>
        </w:rPr>
      </w:pPr>
      <w:bookmarkStart w:id="837" w:name="_Toc119794452"/>
      <w:bookmarkStart w:id="838" w:name="_Toc123204437"/>
      <w:bookmarkStart w:id="839" w:name="_Toc123216528"/>
      <w:bookmarkStart w:id="840" w:name="_Toc123217368"/>
      <w:bookmarkStart w:id="841" w:name="_Toc123913338"/>
      <w:bookmarkStart w:id="842" w:name="_Toc123913994"/>
      <w:bookmarkStart w:id="843" w:name="_Toc125566613"/>
      <w:r w:rsidRPr="00330914">
        <w:rPr>
          <w:rFonts w:ascii="Arial" w:hAnsi="Arial" w:cs="Arial"/>
          <w:b/>
          <w:bCs/>
          <w:noProof/>
          <w:color w:val="68547E"/>
          <w:sz w:val="24"/>
          <w:szCs w:val="24"/>
          <w:lang w:val="en-US"/>
        </w:rPr>
        <w:lastRenderedPageBreak/>
        <w:drawing>
          <wp:anchor distT="0" distB="0" distL="114300" distR="114300" simplePos="0" relativeHeight="252597246" behindDoc="0" locked="0" layoutInCell="1" allowOverlap="1" wp14:anchorId="4CCAF11C" wp14:editId="25A1C2E2">
            <wp:simplePos x="0" y="0"/>
            <wp:positionH relativeFrom="column">
              <wp:posOffset>0</wp:posOffset>
            </wp:positionH>
            <wp:positionV relativeFrom="paragraph">
              <wp:posOffset>156210</wp:posOffset>
            </wp:positionV>
            <wp:extent cx="1702435" cy="1282700"/>
            <wp:effectExtent l="0" t="0" r="0" b="0"/>
            <wp:wrapSquare wrapText="bothSides"/>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Picture 1473"/>
                    <pic:cNvPicPr/>
                  </pic:nvPicPr>
                  <pic:blipFill rotWithShape="1">
                    <a:blip r:embed="rId421" cstate="email">
                      <a:extLst>
                        <a:ext uri="{28A0092B-C50C-407E-A947-70E740481C1C}">
                          <a14:useLocalDpi xmlns:a14="http://schemas.microsoft.com/office/drawing/2010/main"/>
                        </a:ext>
                      </a:extLst>
                    </a:blip>
                    <a:srcRect/>
                    <a:stretch/>
                  </pic:blipFill>
                  <pic:spPr bwMode="auto">
                    <a:xfrm>
                      <a:off x="0" y="0"/>
                      <a:ext cx="1702435" cy="128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FB6" w:rsidRPr="00330914">
        <w:rPr>
          <w:rFonts w:ascii="Arial" w:hAnsi="Arial" w:cs="Arial"/>
          <w:b/>
          <w:bCs/>
          <w:color w:val="68547E"/>
          <w:sz w:val="24"/>
          <w:szCs w:val="24"/>
        </w:rPr>
        <w:t>Fiscal transparency, public participation and accountability</w:t>
      </w:r>
      <w:bookmarkEnd w:id="837"/>
      <w:bookmarkEnd w:id="838"/>
      <w:bookmarkEnd w:id="839"/>
      <w:bookmarkEnd w:id="840"/>
      <w:bookmarkEnd w:id="841"/>
      <w:bookmarkEnd w:id="842"/>
      <w:bookmarkEnd w:id="843"/>
    </w:p>
    <w:p w14:paraId="187AF619" w14:textId="77777777" w:rsidR="00330914" w:rsidRPr="00330914" w:rsidRDefault="00330914" w:rsidP="00330914">
      <w:pPr>
        <w:rPr>
          <w:rFonts w:ascii="Arial" w:hAnsi="Arial" w:cs="Arial"/>
          <w:b/>
          <w:bCs/>
          <w:color w:val="68547E"/>
          <w:sz w:val="24"/>
          <w:szCs w:val="24"/>
        </w:rPr>
      </w:pPr>
    </w:p>
    <w:p w14:paraId="606BD121" w14:textId="0E687B67" w:rsidR="00F70FB6" w:rsidRPr="00F70FB6" w:rsidRDefault="00F70FB6" w:rsidP="00F70FB6">
      <w:pPr>
        <w:spacing w:line="276" w:lineRule="auto"/>
        <w:jc w:val="both"/>
        <w:rPr>
          <w:rFonts w:ascii="Arial" w:hAnsi="Arial" w:cs="Arial"/>
          <w:sz w:val="24"/>
          <w:szCs w:val="24"/>
        </w:rPr>
      </w:pPr>
      <w:r w:rsidRPr="00F70FB6">
        <w:rPr>
          <w:rFonts w:ascii="Arial" w:hAnsi="Arial" w:cs="Arial"/>
          <w:bCs/>
          <w:sz w:val="24"/>
          <w:szCs w:val="24"/>
        </w:rPr>
        <w:t xml:space="preserve">In order to be effective, the legislature needs to work with other actors in the fiscal accountability ecosystem, as both a user and supplier of information. </w:t>
      </w:r>
      <w:r w:rsidRPr="00F70FB6">
        <w:rPr>
          <w:rFonts w:ascii="Arial" w:hAnsi="Arial" w:cs="Arial"/>
          <w:sz w:val="24"/>
          <w:szCs w:val="24"/>
          <w:lang w:val="en-US"/>
        </w:rPr>
        <w:t xml:space="preserve">Legislatures require quality information to be able to conduct their oversight role. </w:t>
      </w:r>
      <w:r w:rsidRPr="00F70FB6">
        <w:rPr>
          <w:rFonts w:ascii="Arial" w:hAnsi="Arial" w:cs="Arial"/>
          <w:sz w:val="24"/>
          <w:szCs w:val="24"/>
        </w:rPr>
        <w:t xml:space="preserve">Module 3 contains details regarding the scope and quality of the information that the executive should make available, for fiscal transparency, during each stage of the fiscal policy cycle. These requirements are based on international standards, including the IMF’s </w:t>
      </w:r>
      <w:hyperlink r:id="rId422" w:history="1">
        <w:r w:rsidRPr="00F70FB6">
          <w:rPr>
            <w:rFonts w:ascii="Arial" w:hAnsi="Arial" w:cs="Arial"/>
            <w:color w:val="0563C1" w:themeColor="hyperlink"/>
            <w:sz w:val="24"/>
            <w:szCs w:val="24"/>
            <w:u w:val="single"/>
          </w:rPr>
          <w:t>Fiscal Transparency Code (2019)</w:t>
        </w:r>
        <w:r w:rsidRPr="00F70FB6">
          <w:rPr>
            <w:rFonts w:ascii="Arial" w:hAnsi="Arial" w:cs="Arial"/>
            <w:sz w:val="24"/>
            <w:szCs w:val="24"/>
          </w:rPr>
          <w:t xml:space="preserve"> that </w:t>
        </w:r>
      </w:hyperlink>
      <w:r w:rsidRPr="00F70FB6">
        <w:rPr>
          <w:rFonts w:ascii="Arial" w:hAnsi="Arial" w:cs="Arial"/>
          <w:sz w:val="24"/>
          <w:szCs w:val="24"/>
        </w:rPr>
        <w:t>identifies the main requirements for the budget documents presented to the legislature. It also stresses the importance of the publication of in-year fiscal reports and timely annual financial statements audited by an independent supreme audit institution.</w:t>
      </w:r>
      <w:r w:rsidRPr="00F70FB6">
        <w:rPr>
          <w:rFonts w:ascii="Arial" w:hAnsi="Arial" w:cs="Arial"/>
          <w:sz w:val="24"/>
          <w:szCs w:val="24"/>
          <w:lang w:val="en-US"/>
        </w:rPr>
        <w:t xml:space="preserve"> </w:t>
      </w:r>
    </w:p>
    <w:p w14:paraId="2342BB9A" w14:textId="5952CFCB" w:rsidR="00F70FB6" w:rsidRPr="00F70FB6" w:rsidRDefault="00ED46D0" w:rsidP="00F70FB6">
      <w:pPr>
        <w:spacing w:line="276" w:lineRule="auto"/>
        <w:jc w:val="both"/>
        <w:rPr>
          <w:rFonts w:ascii="Arial" w:hAnsi="Arial" w:cs="Arial"/>
          <w:sz w:val="24"/>
          <w:szCs w:val="24"/>
        </w:rPr>
      </w:pPr>
      <w:r>
        <w:rPr>
          <w:noProof/>
          <w:lang w:val="en-US"/>
        </w:rPr>
        <w:drawing>
          <wp:anchor distT="0" distB="0" distL="114300" distR="114300" simplePos="0" relativeHeight="252598270" behindDoc="0" locked="0" layoutInCell="1" allowOverlap="1" wp14:anchorId="44063294" wp14:editId="29354C51">
            <wp:simplePos x="0" y="0"/>
            <wp:positionH relativeFrom="column">
              <wp:posOffset>128641</wp:posOffset>
            </wp:positionH>
            <wp:positionV relativeFrom="paragraph">
              <wp:posOffset>81280</wp:posOffset>
            </wp:positionV>
            <wp:extent cx="1289050" cy="965200"/>
            <wp:effectExtent l="0" t="0" r="6350" b="6350"/>
            <wp:wrapSquare wrapText="bothSides"/>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Picture 1474"/>
                    <pic:cNvPicPr/>
                  </pic:nvPicPr>
                  <pic:blipFill rotWithShape="1">
                    <a:blip r:embed="rId423" cstate="email">
                      <a:extLst>
                        <a:ext uri="{28A0092B-C50C-407E-A947-70E740481C1C}">
                          <a14:useLocalDpi xmlns:a14="http://schemas.microsoft.com/office/drawing/2010/main"/>
                        </a:ext>
                      </a:extLst>
                    </a:blip>
                    <a:srcRect/>
                    <a:stretch/>
                  </pic:blipFill>
                  <pic:spPr bwMode="auto">
                    <a:xfrm>
                      <a:off x="0" y="0"/>
                      <a:ext cx="1289050" cy="96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23C9E7" w14:textId="2F6C5623" w:rsidR="00F70FB6" w:rsidRPr="00F70FB6" w:rsidRDefault="00FD6499" w:rsidP="00F70FB6">
      <w:pPr>
        <w:spacing w:line="276" w:lineRule="auto"/>
        <w:jc w:val="both"/>
        <w:rPr>
          <w:rFonts w:ascii="Arial" w:hAnsi="Arial" w:cs="Arial"/>
          <w:sz w:val="24"/>
          <w:szCs w:val="24"/>
          <w:lang w:val="en-US"/>
        </w:rPr>
      </w:pPr>
      <w:r w:rsidRPr="00142EBF">
        <w:rPr>
          <w:rFonts w:ascii="Arial" w:hAnsi="Arial" w:cs="Arial"/>
          <w:bCs/>
          <w:noProof/>
          <w:color w:val="ED5625"/>
          <w:sz w:val="24"/>
          <w:szCs w:val="24"/>
          <w:lang w:val="en-US"/>
        </w:rPr>
        <mc:AlternateContent>
          <mc:Choice Requires="wps">
            <w:drawing>
              <wp:anchor distT="0" distB="0" distL="114300" distR="114300" simplePos="0" relativeHeight="252234750" behindDoc="0" locked="0" layoutInCell="1" allowOverlap="1" wp14:anchorId="40EF1D03" wp14:editId="38C7A2F7">
                <wp:simplePos x="0" y="0"/>
                <wp:positionH relativeFrom="column">
                  <wp:posOffset>48260</wp:posOffset>
                </wp:positionH>
                <wp:positionV relativeFrom="paragraph">
                  <wp:posOffset>948690</wp:posOffset>
                </wp:positionV>
                <wp:extent cx="1367155" cy="191135"/>
                <wp:effectExtent l="12700" t="12700" r="17145" b="12065"/>
                <wp:wrapSquare wrapText="bothSides"/>
                <wp:docPr id="168" name="Rounded Rectangle 168"/>
                <wp:cNvGraphicFramePr/>
                <a:graphic xmlns:a="http://schemas.openxmlformats.org/drawingml/2006/main">
                  <a:graphicData uri="http://schemas.microsoft.com/office/word/2010/wordprocessingShape">
                    <wps:wsp>
                      <wps:cNvSpPr/>
                      <wps:spPr>
                        <a:xfrm>
                          <a:off x="0" y="0"/>
                          <a:ext cx="1367155" cy="191135"/>
                        </a:xfrm>
                        <a:prstGeom prst="roundRect">
                          <a:avLst/>
                        </a:prstGeom>
                        <a:noFill/>
                        <a:ln w="19050">
                          <a:solidFill>
                            <a:srgbClr val="ED56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12072FC" id="Rounded Rectangle 168" o:spid="_x0000_s1026" style="position:absolute;margin-left:3.8pt;margin-top:74.7pt;width:107.65pt;height:15.05pt;z-index:252234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" filled="f" strokecolor="#ed5625" strokeweight="1.5pt">
                <v:stroke joinstyle="miter"/>
                <w10:wrap type="square"/>
              </v:roundrect>
            </w:pict>
          </mc:Fallback>
        </mc:AlternateContent>
      </w:r>
      <w:r>
        <w:rPr>
          <w:rFonts w:ascii="Arial" w:hAnsi="Arial" w:cs="Arial"/>
          <w:bCs/>
          <w:noProof/>
          <w:sz w:val="24"/>
          <w:szCs w:val="24"/>
          <w:lang w:val="en-US"/>
        </w:rPr>
        <mc:AlternateContent>
          <mc:Choice Requires="wps">
            <w:drawing>
              <wp:anchor distT="0" distB="0" distL="114300" distR="114300" simplePos="0" relativeHeight="252238846" behindDoc="0" locked="0" layoutInCell="1" allowOverlap="1" wp14:anchorId="1CE8C935" wp14:editId="02BD14E5">
                <wp:simplePos x="0" y="0"/>
                <wp:positionH relativeFrom="column">
                  <wp:posOffset>48260</wp:posOffset>
                </wp:positionH>
                <wp:positionV relativeFrom="paragraph">
                  <wp:posOffset>1412240</wp:posOffset>
                </wp:positionV>
                <wp:extent cx="1367155" cy="191135"/>
                <wp:effectExtent l="12700" t="12700" r="17145" b="12065"/>
                <wp:wrapSquare wrapText="bothSides"/>
                <wp:docPr id="170" name="Rounded Rectangle 170"/>
                <wp:cNvGraphicFramePr/>
                <a:graphic xmlns:a="http://schemas.openxmlformats.org/drawingml/2006/main">
                  <a:graphicData uri="http://schemas.microsoft.com/office/word/2010/wordprocessingShape">
                    <wps:wsp>
                      <wps:cNvSpPr/>
                      <wps:spPr>
                        <a:xfrm>
                          <a:off x="0" y="0"/>
                          <a:ext cx="1367155" cy="191135"/>
                        </a:xfrm>
                        <a:prstGeom prst="roundRect">
                          <a:avLst/>
                        </a:prstGeom>
                        <a:noFill/>
                        <a:ln w="19050">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1B94045" id="Rounded Rectangle 170" o:spid="_x0000_s1026" style="position:absolute;margin-left:3.8pt;margin-top:111.2pt;width:107.65pt;height:15.05pt;z-index:252238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" filled="f" strokecolor="#69557f" strokeweight="1.5pt">
                <v:stroke joinstyle="miter"/>
                <w10:wrap type="square"/>
              </v:roundrect>
            </w:pict>
          </mc:Fallback>
        </mc:AlternateContent>
      </w:r>
      <w:r w:rsidR="003330C0">
        <w:rPr>
          <w:noProof/>
          <w:lang w:val="en-US"/>
        </w:rPr>
        <mc:AlternateContent>
          <mc:Choice Requires="wps">
            <w:drawing>
              <wp:anchor distT="0" distB="0" distL="114300" distR="114300" simplePos="0" relativeHeight="252244990" behindDoc="0" locked="0" layoutInCell="1" allowOverlap="1" wp14:anchorId="6739AB8B" wp14:editId="2111EE48">
                <wp:simplePos x="0" y="0"/>
                <wp:positionH relativeFrom="column">
                  <wp:posOffset>192202</wp:posOffset>
                </wp:positionH>
                <wp:positionV relativeFrom="paragraph">
                  <wp:posOffset>1393190</wp:posOffset>
                </wp:positionV>
                <wp:extent cx="1079500" cy="252730"/>
                <wp:effectExtent l="0" t="0" r="0" b="0"/>
                <wp:wrapSquare wrapText="bothSides"/>
                <wp:docPr id="173" name="Text Box 173"/>
                <wp:cNvGraphicFramePr/>
                <a:graphic xmlns:a="http://schemas.openxmlformats.org/drawingml/2006/main">
                  <a:graphicData uri="http://schemas.microsoft.com/office/word/2010/wordprocessingShape">
                    <wps:wsp>
                      <wps:cNvSpPr txBox="1"/>
                      <wps:spPr>
                        <a:xfrm>
                          <a:off x="0" y="0"/>
                          <a:ext cx="1079500" cy="252730"/>
                        </a:xfrm>
                        <a:prstGeom prst="rect">
                          <a:avLst/>
                        </a:prstGeom>
                        <a:noFill/>
                        <a:ln w="6350">
                          <a:noFill/>
                        </a:ln>
                      </wps:spPr>
                      <wps:txbx>
                        <w:txbxContent>
                          <w:p w14:paraId="6A716FED" w14:textId="752CAB27" w:rsidR="00D15FD8" w:rsidRPr="003330C0" w:rsidRDefault="00D15FD8" w:rsidP="00142EBF">
                            <w:pPr>
                              <w:spacing w:line="276" w:lineRule="auto"/>
                              <w:jc w:val="center"/>
                              <w:rPr>
                                <w:rFonts w:ascii="Arial" w:hAnsi="Arial" w:cs="Arial"/>
                                <w:i/>
                                <w:iCs/>
                                <w:color w:val="69557F"/>
                                <w:sz w:val="18"/>
                                <w:szCs w:val="18"/>
                                <w:lang w:val="en-US"/>
                              </w:rPr>
                            </w:pPr>
                            <w:r w:rsidRPr="003330C0">
                              <w:rPr>
                                <w:rFonts w:ascii="Arial" w:hAnsi="Arial" w:cs="Arial"/>
                                <w:i/>
                                <w:iCs/>
                                <w:color w:val="69557F"/>
                                <w:sz w:val="18"/>
                                <w:szCs w:val="18"/>
                                <w:lang w:val="en-US"/>
                              </w:rPr>
                              <w:t>Legitimacy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9AB8B" id="Text Box 173" o:spid="_x0000_s1254" type="#_x0000_t202" style="position:absolute;left:0;text-align:left;margin-left:15.15pt;margin-top:109.7pt;width:85pt;height:19.9pt;z-index:252244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" filled="f" stroked="f" strokeweight=".5pt">
                <v:textbox>
                  <w:txbxContent>
                    <w:p w14:paraId="6A716FED" w14:textId="752CAB27" w:rsidR="00D15FD8" w:rsidRPr="003330C0" w:rsidRDefault="00D15FD8" w:rsidP="00142EBF">
                      <w:pPr>
                        <w:spacing w:line="276" w:lineRule="auto"/>
                        <w:jc w:val="center"/>
                        <w:rPr>
                          <w:rFonts w:ascii="Arial" w:hAnsi="Arial" w:cs="Arial"/>
                          <w:i/>
                          <w:iCs/>
                          <w:color w:val="69557F"/>
                          <w:sz w:val="18"/>
                          <w:szCs w:val="18"/>
                          <w:lang w:val="en-US"/>
                        </w:rPr>
                      </w:pPr>
                      <w:r w:rsidRPr="003330C0">
                        <w:rPr>
                          <w:rFonts w:ascii="Arial" w:hAnsi="Arial" w:cs="Arial"/>
                          <w:i/>
                          <w:iCs/>
                          <w:color w:val="69557F"/>
                          <w:sz w:val="18"/>
                          <w:szCs w:val="18"/>
                          <w:lang w:val="en-US"/>
                        </w:rPr>
                        <w:t>Legitimacy</w:t>
                      </w:r>
                    </w:p>
                  </w:txbxContent>
                </v:textbox>
                <w10:wrap type="square"/>
              </v:shape>
            </w:pict>
          </mc:Fallback>
        </mc:AlternateContent>
      </w:r>
      <w:r w:rsidR="003330C0">
        <w:rPr>
          <w:noProof/>
          <w:lang w:val="en-US"/>
        </w:rPr>
        <mc:AlternateContent>
          <mc:Choice Requires="wps">
            <w:drawing>
              <wp:anchor distT="0" distB="0" distL="114300" distR="114300" simplePos="0" relativeHeight="252242942" behindDoc="0" locked="0" layoutInCell="1" allowOverlap="1" wp14:anchorId="1318D5AE" wp14:editId="73BC8C08">
                <wp:simplePos x="0" y="0"/>
                <wp:positionH relativeFrom="column">
                  <wp:posOffset>233086</wp:posOffset>
                </wp:positionH>
                <wp:positionV relativeFrom="paragraph">
                  <wp:posOffset>1155931</wp:posOffset>
                </wp:positionV>
                <wp:extent cx="962660" cy="252730"/>
                <wp:effectExtent l="0" t="0" r="0" b="0"/>
                <wp:wrapSquare wrapText="bothSides"/>
                <wp:docPr id="172" name="Text Box 172"/>
                <wp:cNvGraphicFramePr/>
                <a:graphic xmlns:a="http://schemas.openxmlformats.org/drawingml/2006/main">
                  <a:graphicData uri="http://schemas.microsoft.com/office/word/2010/wordprocessingShape">
                    <wps:wsp>
                      <wps:cNvSpPr txBox="1"/>
                      <wps:spPr>
                        <a:xfrm>
                          <a:off x="0" y="0"/>
                          <a:ext cx="962660" cy="252730"/>
                        </a:xfrm>
                        <a:prstGeom prst="rect">
                          <a:avLst/>
                        </a:prstGeom>
                        <a:noFill/>
                        <a:ln w="6350">
                          <a:noFill/>
                        </a:ln>
                      </wps:spPr>
                      <wps:txbx>
                        <w:txbxContent>
                          <w:p w14:paraId="27253675" w14:textId="4409311D" w:rsidR="00D15FD8" w:rsidRPr="003330C0" w:rsidRDefault="00D15FD8" w:rsidP="00142EBF">
                            <w:pPr>
                              <w:spacing w:line="276" w:lineRule="auto"/>
                              <w:jc w:val="center"/>
                              <w:rPr>
                                <w:rFonts w:ascii="Arial" w:hAnsi="Arial" w:cs="Arial"/>
                                <w:i/>
                                <w:iCs/>
                                <w:color w:val="16988A"/>
                                <w:sz w:val="18"/>
                                <w:szCs w:val="18"/>
                                <w:lang w:val="en-US"/>
                              </w:rPr>
                            </w:pPr>
                            <w:r w:rsidRPr="003330C0">
                              <w:rPr>
                                <w:rFonts w:ascii="Arial" w:hAnsi="Arial" w:cs="Arial"/>
                                <w:i/>
                                <w:iCs/>
                                <w:color w:val="16988A"/>
                                <w:sz w:val="18"/>
                                <w:szCs w:val="18"/>
                                <w:lang w:val="en-US"/>
                              </w:rPr>
                              <w:t>Trust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8D5AE" id="Text Box 172" o:spid="_x0000_s1255" type="#_x0000_t202" style="position:absolute;left:0;text-align:left;margin-left:18.35pt;margin-top:91pt;width:75.8pt;height:19.9pt;z-index:252242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" filled="f" stroked="f" strokeweight=".5pt">
                <v:textbox>
                  <w:txbxContent>
                    <w:p w14:paraId="27253675" w14:textId="4409311D" w:rsidR="00D15FD8" w:rsidRPr="003330C0" w:rsidRDefault="00D15FD8" w:rsidP="00142EBF">
                      <w:pPr>
                        <w:spacing w:line="276" w:lineRule="auto"/>
                        <w:jc w:val="center"/>
                        <w:rPr>
                          <w:rFonts w:ascii="Arial" w:hAnsi="Arial" w:cs="Arial"/>
                          <w:i/>
                          <w:iCs/>
                          <w:color w:val="16988A"/>
                          <w:sz w:val="18"/>
                          <w:szCs w:val="18"/>
                          <w:lang w:val="en-US"/>
                        </w:rPr>
                      </w:pPr>
                      <w:r w:rsidRPr="003330C0">
                        <w:rPr>
                          <w:rFonts w:ascii="Arial" w:hAnsi="Arial" w:cs="Arial"/>
                          <w:i/>
                          <w:iCs/>
                          <w:color w:val="16988A"/>
                          <w:sz w:val="18"/>
                          <w:szCs w:val="18"/>
                          <w:lang w:val="en-US"/>
                        </w:rPr>
                        <w:t>Trust</w:t>
                      </w:r>
                    </w:p>
                  </w:txbxContent>
                </v:textbox>
                <w10:wrap type="square"/>
              </v:shape>
            </w:pict>
          </mc:Fallback>
        </mc:AlternateContent>
      </w:r>
      <w:r w:rsidR="001E6FE5">
        <w:rPr>
          <w:rFonts w:ascii="Arial" w:hAnsi="Arial" w:cs="Arial"/>
          <w:bCs/>
          <w:noProof/>
          <w:sz w:val="24"/>
          <w:szCs w:val="24"/>
          <w:lang w:val="en-US"/>
        </w:rPr>
        <mc:AlternateContent>
          <mc:Choice Requires="wps">
            <w:drawing>
              <wp:anchor distT="0" distB="0" distL="114300" distR="114300" simplePos="0" relativeHeight="252236798" behindDoc="0" locked="0" layoutInCell="1" allowOverlap="1" wp14:anchorId="4947DCCF" wp14:editId="6A8A3BDB">
                <wp:simplePos x="0" y="0"/>
                <wp:positionH relativeFrom="column">
                  <wp:posOffset>51435</wp:posOffset>
                </wp:positionH>
                <wp:positionV relativeFrom="paragraph">
                  <wp:posOffset>1177952</wp:posOffset>
                </wp:positionV>
                <wp:extent cx="1367560" cy="191580"/>
                <wp:effectExtent l="12700" t="12700" r="17145" b="12065"/>
                <wp:wrapSquare wrapText="bothSides"/>
                <wp:docPr id="169" name="Rounded Rectangle 169"/>
                <wp:cNvGraphicFramePr/>
                <a:graphic xmlns:a="http://schemas.openxmlformats.org/drawingml/2006/main">
                  <a:graphicData uri="http://schemas.microsoft.com/office/word/2010/wordprocessingShape">
                    <wps:wsp>
                      <wps:cNvSpPr/>
                      <wps:spPr>
                        <a:xfrm>
                          <a:off x="0" y="0"/>
                          <a:ext cx="1367560" cy="191580"/>
                        </a:xfrm>
                        <a:prstGeom prst="roundRect">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B78EBF6" id="Rounded Rectangle 169" o:spid="_x0000_s1026" style="position:absolute;margin-left:4.05pt;margin-top:92.75pt;width:107.7pt;height:15.1pt;z-index:2522367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" filled="f" strokecolor="#16988a" strokeweight="1.5pt">
                <v:stroke joinstyle="miter"/>
                <w10:wrap type="square"/>
              </v:roundrect>
            </w:pict>
          </mc:Fallback>
        </mc:AlternateContent>
      </w:r>
      <w:r w:rsidR="003330C0">
        <w:rPr>
          <w:noProof/>
          <w:lang w:val="en-US"/>
        </w:rPr>
        <mc:AlternateContent>
          <mc:Choice Requires="wps">
            <w:drawing>
              <wp:anchor distT="0" distB="0" distL="114300" distR="114300" simplePos="0" relativeHeight="252240894" behindDoc="0" locked="0" layoutInCell="1" allowOverlap="1" wp14:anchorId="27801D71" wp14:editId="3F9AA003">
                <wp:simplePos x="0" y="0"/>
                <wp:positionH relativeFrom="margin">
                  <wp:posOffset>234315</wp:posOffset>
                </wp:positionH>
                <wp:positionV relativeFrom="paragraph">
                  <wp:posOffset>935787</wp:posOffset>
                </wp:positionV>
                <wp:extent cx="1001395" cy="323850"/>
                <wp:effectExtent l="0" t="0" r="0" b="0"/>
                <wp:wrapSquare wrapText="bothSides"/>
                <wp:docPr id="171" name="Text Box 171"/>
                <wp:cNvGraphicFramePr/>
                <a:graphic xmlns:a="http://schemas.openxmlformats.org/drawingml/2006/main">
                  <a:graphicData uri="http://schemas.microsoft.com/office/word/2010/wordprocessingShape">
                    <wps:wsp>
                      <wps:cNvSpPr txBox="1"/>
                      <wps:spPr>
                        <a:xfrm>
                          <a:off x="0" y="0"/>
                          <a:ext cx="1001395" cy="323850"/>
                        </a:xfrm>
                        <a:prstGeom prst="rect">
                          <a:avLst/>
                        </a:prstGeom>
                        <a:noFill/>
                        <a:ln w="6350">
                          <a:noFill/>
                        </a:ln>
                      </wps:spPr>
                      <wps:txbx>
                        <w:txbxContent>
                          <w:p w14:paraId="7C897C9C" w14:textId="78069DD5" w:rsidR="00D15FD8" w:rsidRPr="003330C0" w:rsidRDefault="00D15FD8" w:rsidP="00142EBF">
                            <w:pPr>
                              <w:spacing w:line="276" w:lineRule="auto"/>
                              <w:jc w:val="center"/>
                              <w:rPr>
                                <w:rFonts w:ascii="Arial" w:hAnsi="Arial" w:cs="Arial"/>
                                <w:i/>
                                <w:iCs/>
                                <w:color w:val="ED5625"/>
                                <w:sz w:val="18"/>
                                <w:szCs w:val="18"/>
                                <w:lang w:val="en-US"/>
                              </w:rPr>
                            </w:pPr>
                            <w:r w:rsidRPr="003330C0">
                              <w:rPr>
                                <w:rFonts w:ascii="Arial" w:hAnsi="Arial" w:cs="Arial"/>
                                <w:i/>
                                <w:iCs/>
                                <w:color w:val="ED5625"/>
                                <w:sz w:val="18"/>
                                <w:szCs w:val="18"/>
                                <w:lang w:val="en-US"/>
                              </w:rPr>
                              <w:t>Confidence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01D71" id="Text Box 171" o:spid="_x0000_s1256" type="#_x0000_t202" style="position:absolute;left:0;text-align:left;margin-left:18.45pt;margin-top:73.7pt;width:78.85pt;height:25.5pt;z-index:2522408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" filled="f" stroked="f" strokeweight=".5pt">
                <v:textbox>
                  <w:txbxContent>
                    <w:p w14:paraId="7C897C9C" w14:textId="78069DD5" w:rsidR="00D15FD8" w:rsidRPr="003330C0" w:rsidRDefault="00D15FD8" w:rsidP="00142EBF">
                      <w:pPr>
                        <w:spacing w:line="276" w:lineRule="auto"/>
                        <w:jc w:val="center"/>
                        <w:rPr>
                          <w:rFonts w:ascii="Arial" w:hAnsi="Arial" w:cs="Arial"/>
                          <w:i/>
                          <w:iCs/>
                          <w:color w:val="ED5625"/>
                          <w:sz w:val="18"/>
                          <w:szCs w:val="18"/>
                          <w:lang w:val="en-US"/>
                        </w:rPr>
                      </w:pPr>
                      <w:r w:rsidRPr="003330C0">
                        <w:rPr>
                          <w:rFonts w:ascii="Arial" w:hAnsi="Arial" w:cs="Arial"/>
                          <w:i/>
                          <w:iCs/>
                          <w:color w:val="ED5625"/>
                          <w:sz w:val="18"/>
                          <w:szCs w:val="18"/>
                          <w:lang w:val="en-US"/>
                        </w:rPr>
                        <w:t>Confidence</w:t>
                      </w:r>
                    </w:p>
                  </w:txbxContent>
                </v:textbox>
                <w10:wrap type="square" anchorx="margin"/>
              </v:shape>
            </w:pict>
          </mc:Fallback>
        </mc:AlternateContent>
      </w:r>
      <w:r w:rsidR="00F70FB6" w:rsidRPr="00F70FB6">
        <w:rPr>
          <w:rFonts w:ascii="Arial" w:hAnsi="Arial" w:cs="Arial"/>
          <w:bCs/>
          <w:sz w:val="24"/>
          <w:szCs w:val="24"/>
        </w:rPr>
        <w:t xml:space="preserve">For </w:t>
      </w:r>
      <w:r w:rsidR="00F70FB6" w:rsidRPr="00F70FB6">
        <w:rPr>
          <w:rFonts w:ascii="Arial" w:hAnsi="Arial" w:cs="Arial"/>
          <w:bCs/>
          <w:sz w:val="24"/>
          <w:szCs w:val="24"/>
          <w:lang w:val="en-US"/>
        </w:rPr>
        <w:t>it to enjoy public confidence, trust, and legitimacy, it is important that the legislature operates in a transparent, participatory, and accountable manner</w:t>
      </w:r>
      <w:r w:rsidR="00F70FB6" w:rsidRPr="00F70FB6">
        <w:rPr>
          <w:rFonts w:ascii="Arial" w:hAnsi="Arial" w:cs="Arial"/>
          <w:bCs/>
          <w:sz w:val="24"/>
          <w:szCs w:val="24"/>
        </w:rPr>
        <w:t xml:space="preserve">, including that all of its deliberations should be accessible and open to public; that it promote the public’s understanding of its work, including </w:t>
      </w:r>
      <w:r w:rsidR="00F70FB6" w:rsidRPr="00F70FB6">
        <w:rPr>
          <w:rFonts w:ascii="Arial" w:hAnsi="Arial" w:cs="Arial"/>
          <w:bCs/>
          <w:sz w:val="24"/>
          <w:szCs w:val="24"/>
          <w:lang w:val="en-US"/>
        </w:rPr>
        <w:t>publishing information about the fiscal policy cycle and the roles it plays within it</w:t>
      </w:r>
      <w:r w:rsidR="00F70FB6" w:rsidRPr="00F70FB6">
        <w:rPr>
          <w:rFonts w:ascii="Arial" w:hAnsi="Arial" w:cs="Arial"/>
          <w:bCs/>
          <w:sz w:val="24"/>
          <w:szCs w:val="24"/>
        </w:rPr>
        <w:t>; and that it should provide feedback on public consultations including in respect of inputs received and those addressed. For instance, p</w:t>
      </w:r>
      <w:r w:rsidR="00F70FB6" w:rsidRPr="00F70FB6">
        <w:rPr>
          <w:rFonts w:ascii="Arial" w:hAnsi="Arial" w:cs="Arial"/>
          <w:sz w:val="24"/>
          <w:szCs w:val="24"/>
        </w:rPr>
        <w:t xml:space="preserve">rinciple 23 of the </w:t>
      </w:r>
      <w:hyperlink r:id="rId424" w:history="1">
        <w:r w:rsidR="00F70FB6" w:rsidRPr="00F70FB6">
          <w:rPr>
            <w:rFonts w:ascii="Arial" w:hAnsi="Arial" w:cs="Arial"/>
            <w:color w:val="0563C1" w:themeColor="hyperlink"/>
            <w:sz w:val="24"/>
            <w:szCs w:val="24"/>
            <w:u w:val="single"/>
          </w:rPr>
          <w:t>Declaration on Parliamentary Openness</w:t>
        </w:r>
      </w:hyperlink>
      <w:r w:rsidR="00F70FB6" w:rsidRPr="00F70FB6">
        <w:rPr>
          <w:rFonts w:ascii="Arial" w:hAnsi="Arial" w:cs="Arial"/>
          <w:sz w:val="24"/>
          <w:szCs w:val="24"/>
        </w:rPr>
        <w:t xml:space="preserve"> (2012) states that parliaments should make public, information on the national budget, in an easily understandable form, including on its own budgets.</w:t>
      </w:r>
      <w:r w:rsidR="00F70FB6" w:rsidRPr="00F70FB6">
        <w:rPr>
          <w:rFonts w:ascii="Arial" w:hAnsi="Arial" w:cs="Arial"/>
          <w:sz w:val="24"/>
          <w:szCs w:val="24"/>
          <w:lang w:val="en-US"/>
        </w:rPr>
        <w:t xml:space="preserve"> </w:t>
      </w:r>
    </w:p>
    <w:p w14:paraId="5801809A" w14:textId="77777777" w:rsidR="00142EBF" w:rsidRDefault="00142EBF" w:rsidP="00F70FB6">
      <w:pPr>
        <w:spacing w:line="276" w:lineRule="auto"/>
        <w:jc w:val="both"/>
        <w:rPr>
          <w:rFonts w:ascii="Arial" w:hAnsi="Arial" w:cs="Arial"/>
          <w:sz w:val="24"/>
          <w:szCs w:val="24"/>
        </w:rPr>
      </w:pPr>
    </w:p>
    <w:p w14:paraId="67A40F3E" w14:textId="03B8CC69" w:rsidR="00F70FB6" w:rsidRDefault="00F70FB6" w:rsidP="00F70FB6">
      <w:pPr>
        <w:spacing w:line="276" w:lineRule="auto"/>
        <w:jc w:val="both"/>
        <w:rPr>
          <w:rFonts w:ascii="Arial" w:hAnsi="Arial" w:cs="Arial"/>
          <w:bCs/>
          <w:sz w:val="24"/>
          <w:szCs w:val="24"/>
          <w:lang w:val="en-ZA"/>
        </w:rPr>
      </w:pPr>
      <w:r w:rsidRPr="00F70FB6">
        <w:rPr>
          <w:rFonts w:ascii="Arial" w:hAnsi="Arial" w:cs="Arial"/>
          <w:sz w:val="24"/>
          <w:szCs w:val="24"/>
        </w:rPr>
        <w:t xml:space="preserve">This importance of this bilateral accountability is captured </w:t>
      </w:r>
      <w:r w:rsidRPr="00F70FB6">
        <w:rPr>
          <w:rFonts w:ascii="Arial" w:hAnsi="Arial" w:cs="Arial"/>
          <w:bCs/>
          <w:sz w:val="24"/>
          <w:szCs w:val="24"/>
          <w:lang w:val="en-ZA"/>
        </w:rPr>
        <w:t>in</w:t>
      </w:r>
      <w:r w:rsidRPr="00F70FB6">
        <w:rPr>
          <w:rFonts w:ascii="Arial" w:hAnsi="Arial" w:cs="Arial"/>
          <w:bCs/>
          <w:sz w:val="24"/>
          <w:szCs w:val="24"/>
          <w:lang w:val="en-US"/>
        </w:rPr>
        <w:t xml:space="preserve"> </w:t>
      </w:r>
      <w:hyperlink r:id="rId425" w:history="1">
        <w:r w:rsidRPr="00F70FB6">
          <w:rPr>
            <w:rFonts w:ascii="Arial" w:hAnsi="Arial" w:cs="Arial"/>
            <w:bCs/>
            <w:color w:val="0563C1" w:themeColor="hyperlink"/>
            <w:sz w:val="24"/>
            <w:szCs w:val="24"/>
            <w:u w:val="single"/>
          </w:rPr>
          <w:t>Strengthening Accountability through Fiscal Openness: A Toolkit for Parliamentarians in the Americas and the Caribbean</w:t>
        </w:r>
      </w:hyperlink>
      <w:r w:rsidRPr="00F70FB6">
        <w:rPr>
          <w:rFonts w:ascii="Arial" w:hAnsi="Arial" w:cs="Arial"/>
          <w:bCs/>
          <w:sz w:val="24"/>
          <w:szCs w:val="24"/>
        </w:rPr>
        <w:t xml:space="preserve"> (2020) where it is stated: “</w:t>
      </w:r>
      <w:r w:rsidRPr="00F70FB6">
        <w:rPr>
          <w:rFonts w:ascii="Arial" w:hAnsi="Arial" w:cs="Arial"/>
          <w:bCs/>
          <w:sz w:val="24"/>
          <w:szCs w:val="24"/>
          <w:lang w:val="en-ZA"/>
        </w:rPr>
        <w:t>On the one hand, the accountability of the executive to the legislative branch allows parliaments to examine governments’ actions and amend public policy and reassign public resources to obtain better results. On the other hand, the accountability of parliaments towards their citizens allows society to stay informed and examine parliaments’ actions to ensure they are effectively representing public interest.”</w:t>
      </w:r>
    </w:p>
    <w:p w14:paraId="6386894C" w14:textId="77777777" w:rsidR="00330914" w:rsidRPr="00F70FB6" w:rsidRDefault="00330914" w:rsidP="00F70FB6">
      <w:pPr>
        <w:spacing w:line="276" w:lineRule="auto"/>
        <w:jc w:val="both"/>
        <w:rPr>
          <w:rFonts w:ascii="Arial" w:hAnsi="Arial" w:cs="Arial"/>
          <w:bCs/>
          <w:i/>
          <w:sz w:val="24"/>
          <w:szCs w:val="24"/>
        </w:rPr>
      </w:pPr>
    </w:p>
    <w:p w14:paraId="1BE9A06E" w14:textId="177BEC8E" w:rsidR="00F70FB6" w:rsidRDefault="00F70FB6" w:rsidP="00330914">
      <w:pPr>
        <w:rPr>
          <w:rFonts w:ascii="Arial" w:hAnsi="Arial" w:cs="Arial"/>
          <w:b/>
          <w:bCs/>
          <w:color w:val="68547E"/>
          <w:sz w:val="24"/>
          <w:szCs w:val="24"/>
        </w:rPr>
      </w:pPr>
      <w:bookmarkStart w:id="844" w:name="_Toc119794453"/>
      <w:bookmarkStart w:id="845" w:name="_Toc123204438"/>
      <w:bookmarkStart w:id="846" w:name="_Toc123216529"/>
      <w:bookmarkStart w:id="847" w:name="_Toc123217369"/>
      <w:bookmarkStart w:id="848" w:name="_Toc123913339"/>
      <w:bookmarkStart w:id="849" w:name="_Toc123913995"/>
      <w:bookmarkStart w:id="850" w:name="_Toc125566614"/>
      <w:r w:rsidRPr="00330914">
        <w:rPr>
          <w:rFonts w:ascii="Arial" w:hAnsi="Arial" w:cs="Arial"/>
          <w:b/>
          <w:bCs/>
          <w:color w:val="68547E"/>
          <w:sz w:val="24"/>
          <w:szCs w:val="24"/>
        </w:rPr>
        <w:t>Other resource requirements</w:t>
      </w:r>
      <w:bookmarkEnd w:id="844"/>
      <w:bookmarkEnd w:id="845"/>
      <w:bookmarkEnd w:id="846"/>
      <w:bookmarkEnd w:id="847"/>
      <w:bookmarkEnd w:id="848"/>
      <w:bookmarkEnd w:id="849"/>
      <w:bookmarkEnd w:id="850"/>
    </w:p>
    <w:p w14:paraId="082EBA96" w14:textId="77777777" w:rsidR="00330914" w:rsidRPr="00330914" w:rsidRDefault="00330914" w:rsidP="00330914">
      <w:pPr>
        <w:rPr>
          <w:rFonts w:ascii="Arial" w:hAnsi="Arial" w:cs="Arial"/>
          <w:b/>
          <w:bCs/>
          <w:color w:val="68547E"/>
          <w:sz w:val="24"/>
          <w:szCs w:val="24"/>
        </w:rPr>
      </w:pPr>
    </w:p>
    <w:p w14:paraId="6CBC6CCE" w14:textId="6F91DD2E" w:rsidR="00F70FB6" w:rsidRDefault="00F70FB6" w:rsidP="00F70FB6">
      <w:pPr>
        <w:spacing w:line="276" w:lineRule="auto"/>
        <w:jc w:val="both"/>
        <w:rPr>
          <w:rFonts w:ascii="Arial" w:hAnsi="Arial" w:cs="Arial"/>
          <w:sz w:val="24"/>
          <w:szCs w:val="24"/>
        </w:rPr>
      </w:pPr>
      <w:r w:rsidRPr="00F70FB6">
        <w:rPr>
          <w:rFonts w:ascii="Arial" w:hAnsi="Arial" w:cs="Arial"/>
          <w:sz w:val="24"/>
          <w:szCs w:val="24"/>
        </w:rPr>
        <w:t>To effectively hold the executive accountable, besides the legislature requiring clear authority, information and sufficient time, it also requires financial and non-financial resources</w:t>
      </w:r>
      <w:r w:rsidRPr="00F70FB6">
        <w:rPr>
          <w:rFonts w:ascii="Arial" w:hAnsi="Arial" w:cs="Arial"/>
          <w:b/>
          <w:sz w:val="24"/>
          <w:szCs w:val="24"/>
        </w:rPr>
        <w:t xml:space="preserve"> </w:t>
      </w:r>
      <w:r w:rsidRPr="00F70FB6">
        <w:rPr>
          <w:rFonts w:ascii="Arial" w:hAnsi="Arial" w:cs="Arial"/>
          <w:sz w:val="24"/>
          <w:szCs w:val="24"/>
        </w:rPr>
        <w:t xml:space="preserve">to be able to use this authority and information to conduct its work. This includes that the legislature should be adequately funded to perform its role. There should be autonomy in the preparation of the legislature’s budget, such that executive is not able to limit the legislature’s role by controlling its budget. For good governance, the procedures and rules for the legislature’s budget determination, approval and review, should be protected by law and transparent. That said, the legislature should also be subject to the same general procedures as the executive for executing and reporting on spending of its own budgets. </w:t>
      </w:r>
    </w:p>
    <w:p w14:paraId="49DF3182" w14:textId="7FDB64CA" w:rsidR="00330914" w:rsidRDefault="00330914" w:rsidP="00F70FB6">
      <w:pPr>
        <w:spacing w:line="276" w:lineRule="auto"/>
        <w:jc w:val="both"/>
        <w:rPr>
          <w:rFonts w:ascii="Arial" w:hAnsi="Arial" w:cs="Arial"/>
          <w:sz w:val="24"/>
          <w:szCs w:val="24"/>
        </w:rPr>
      </w:pPr>
    </w:p>
    <w:p w14:paraId="1EB6A2A7" w14:textId="77777777" w:rsidR="00330914" w:rsidRPr="00F70FB6" w:rsidRDefault="00330914" w:rsidP="00F70FB6">
      <w:pPr>
        <w:spacing w:line="276" w:lineRule="auto"/>
        <w:jc w:val="both"/>
        <w:rPr>
          <w:rFonts w:ascii="Arial" w:hAnsi="Arial" w:cs="Arial"/>
          <w:sz w:val="24"/>
          <w:szCs w:val="24"/>
        </w:rPr>
      </w:pPr>
    </w:p>
    <w:p w14:paraId="13A71AAB" w14:textId="77777777" w:rsidR="00F70FB6" w:rsidRPr="00CA193D" w:rsidRDefault="00F70FB6" w:rsidP="00F70FB6">
      <w:pPr>
        <w:spacing w:line="276" w:lineRule="auto"/>
        <w:jc w:val="both"/>
        <w:rPr>
          <w:rFonts w:ascii="Arial" w:hAnsi="Arial" w:cs="Arial"/>
          <w:color w:val="69557F"/>
          <w:sz w:val="24"/>
          <w:szCs w:val="24"/>
        </w:rPr>
      </w:pPr>
    </w:p>
    <w:p w14:paraId="0CB6C11B" w14:textId="77777777" w:rsidR="00F70FB6" w:rsidRPr="00CA193D" w:rsidRDefault="00F70FB6" w:rsidP="00F70FB6">
      <w:pPr>
        <w:spacing w:line="276" w:lineRule="auto"/>
        <w:jc w:val="both"/>
        <w:rPr>
          <w:rFonts w:ascii="Arial" w:hAnsi="Arial" w:cs="Arial"/>
          <w:b/>
          <w:color w:val="69557F"/>
          <w:sz w:val="24"/>
          <w:szCs w:val="24"/>
          <w:lang w:val="en-US"/>
        </w:rPr>
      </w:pPr>
      <w:r w:rsidRPr="00CA193D">
        <w:rPr>
          <w:rFonts w:ascii="Arial" w:hAnsi="Arial" w:cs="Arial"/>
          <w:b/>
          <w:color w:val="69557F"/>
          <w:sz w:val="24"/>
          <w:szCs w:val="24"/>
          <w:lang w:val="en-US"/>
        </w:rPr>
        <w:lastRenderedPageBreak/>
        <w:t>To assist the legislature in performing its role, there are numerous actors/structures that can provide analytical support for parliamentarians, including:</w:t>
      </w:r>
    </w:p>
    <w:p w14:paraId="0F18E0B4" w14:textId="3E7B8E3D" w:rsidR="00AE79E7" w:rsidRPr="003330C0" w:rsidRDefault="00AE79E7" w:rsidP="00CA193D">
      <w:pPr>
        <w:spacing w:line="276" w:lineRule="auto"/>
        <w:jc w:val="both"/>
        <w:rPr>
          <w:rFonts w:ascii="Arial" w:hAnsi="Arial" w:cs="Arial"/>
          <w:bCs/>
          <w:sz w:val="24"/>
          <w:szCs w:val="24"/>
        </w:rPr>
      </w:pPr>
    </w:p>
    <w:p w14:paraId="5A1AD803" w14:textId="128A75B5" w:rsidR="00F70FB6" w:rsidRDefault="003330C0" w:rsidP="00CA193D">
      <w:pPr>
        <w:spacing w:line="276" w:lineRule="auto"/>
        <w:jc w:val="both"/>
        <w:rPr>
          <w:rFonts w:ascii="Arial" w:hAnsi="Arial" w:cs="Arial"/>
          <w:bCs/>
          <w:sz w:val="24"/>
          <w:szCs w:val="24"/>
        </w:rPr>
      </w:pPr>
      <w:r>
        <w:rPr>
          <w:rFonts w:ascii="Arial" w:hAnsi="Arial" w:cs="Arial"/>
          <w:bCs/>
          <w:noProof/>
          <w:sz w:val="24"/>
          <w:szCs w:val="24"/>
          <w:lang w:val="en-US"/>
        </w:rPr>
        <w:drawing>
          <wp:anchor distT="0" distB="0" distL="114300" distR="114300" simplePos="0" relativeHeight="252599294" behindDoc="0" locked="0" layoutInCell="1" allowOverlap="1" wp14:anchorId="36372B7A" wp14:editId="71296A9E">
            <wp:simplePos x="0" y="0"/>
            <wp:positionH relativeFrom="column">
              <wp:posOffset>0</wp:posOffset>
            </wp:positionH>
            <wp:positionV relativeFrom="paragraph">
              <wp:posOffset>42025</wp:posOffset>
            </wp:positionV>
            <wp:extent cx="1254760" cy="734060"/>
            <wp:effectExtent l="0" t="0" r="2540" b="254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rotWithShape="1">
                    <a:blip r:embed="rId426" cstate="email">
                      <a:extLst>
                        <a:ext uri="{28A0092B-C50C-407E-A947-70E740481C1C}">
                          <a14:useLocalDpi xmlns:a14="http://schemas.microsoft.com/office/drawing/2010/main"/>
                        </a:ext>
                      </a:extLst>
                    </a:blip>
                    <a:srcRect/>
                    <a:stretch/>
                  </pic:blipFill>
                  <pic:spPr bwMode="auto">
                    <a:xfrm>
                      <a:off x="0" y="0"/>
                      <a:ext cx="1254760" cy="734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FB6" w:rsidRPr="00AF162A">
        <w:rPr>
          <w:rFonts w:ascii="Arial" w:hAnsi="Arial" w:cs="Arial"/>
          <w:b/>
          <w:color w:val="69557F"/>
          <w:sz w:val="24"/>
          <w:szCs w:val="24"/>
        </w:rPr>
        <w:t>Parliamentary committees</w:t>
      </w:r>
      <w:r w:rsidR="00F70FB6" w:rsidRPr="00AF162A">
        <w:rPr>
          <w:rFonts w:ascii="Arial" w:hAnsi="Arial" w:cs="Arial"/>
          <w:bCs/>
          <w:color w:val="69557F"/>
          <w:sz w:val="24"/>
          <w:szCs w:val="24"/>
        </w:rPr>
        <w:t xml:space="preserve"> </w:t>
      </w:r>
      <w:r w:rsidR="00F70FB6" w:rsidRPr="00F70FB6">
        <w:rPr>
          <w:rFonts w:ascii="Arial" w:hAnsi="Arial" w:cs="Arial"/>
          <w:bCs/>
          <w:sz w:val="24"/>
          <w:szCs w:val="24"/>
        </w:rPr>
        <w:t>consisting of small groups of parliamentarians appointed to undertake specific tasks and to examine selected matters in detail. A committee is typically appointed to specifically focus on budgets and finance matters; and to facilitate public input into related deliberations.</w:t>
      </w:r>
      <w:r w:rsidR="00F70FB6" w:rsidRPr="00F70FB6">
        <w:rPr>
          <w:rFonts w:ascii="Arial" w:hAnsi="Arial" w:cs="Arial"/>
          <w:sz w:val="24"/>
          <w:szCs w:val="24"/>
        </w:rPr>
        <w:t xml:space="preserve"> </w:t>
      </w:r>
      <w:r w:rsidR="00F70FB6" w:rsidRPr="00F70FB6">
        <w:rPr>
          <w:rFonts w:ascii="Arial" w:hAnsi="Arial" w:cs="Arial"/>
          <w:bCs/>
          <w:sz w:val="24"/>
          <w:szCs w:val="24"/>
        </w:rPr>
        <w:t>Parliamentary committees may also benefit from inputs directly from the public, civil society bodies and independent experts, who can contribute to an inclusive, informed parliamentary discussion on budget-related issues.</w:t>
      </w:r>
    </w:p>
    <w:p w14:paraId="22053B78" w14:textId="7D2EE6D5" w:rsidR="00D120CC" w:rsidRPr="003330C0" w:rsidRDefault="00D120CC" w:rsidP="00CA193D">
      <w:pPr>
        <w:spacing w:line="276" w:lineRule="auto"/>
        <w:jc w:val="both"/>
        <w:rPr>
          <w:rFonts w:ascii="Arial" w:hAnsi="Arial" w:cs="Arial"/>
          <w:bCs/>
          <w:sz w:val="24"/>
          <w:szCs w:val="24"/>
        </w:rPr>
      </w:pPr>
    </w:p>
    <w:p w14:paraId="02A730ED" w14:textId="1EC3EDA2" w:rsidR="00D57975" w:rsidRDefault="003330C0" w:rsidP="00D57975">
      <w:pPr>
        <w:spacing w:line="276" w:lineRule="auto"/>
        <w:jc w:val="both"/>
        <w:rPr>
          <w:rFonts w:ascii="Arial" w:hAnsi="Arial" w:cs="Arial"/>
          <w:bCs/>
          <w:sz w:val="24"/>
          <w:szCs w:val="24"/>
        </w:rPr>
      </w:pPr>
      <w:r>
        <w:rPr>
          <w:rFonts w:ascii="Arial" w:hAnsi="Arial" w:cs="Arial"/>
          <w:bCs/>
          <w:noProof/>
          <w:sz w:val="24"/>
          <w:szCs w:val="24"/>
          <w:lang w:val="en-US"/>
        </w:rPr>
        <w:drawing>
          <wp:anchor distT="0" distB="0" distL="114300" distR="114300" simplePos="0" relativeHeight="252600318" behindDoc="0" locked="0" layoutInCell="1" allowOverlap="1" wp14:anchorId="2B468BC3" wp14:editId="16CB3FAC">
            <wp:simplePos x="0" y="0"/>
            <wp:positionH relativeFrom="column">
              <wp:posOffset>27305</wp:posOffset>
            </wp:positionH>
            <wp:positionV relativeFrom="paragraph">
              <wp:posOffset>84570</wp:posOffset>
            </wp:positionV>
            <wp:extent cx="1270800" cy="825664"/>
            <wp:effectExtent l="0" t="0" r="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rotWithShape="1">
                    <a:blip r:embed="rId427" cstate="email">
                      <a:extLst>
                        <a:ext uri="{28A0092B-C50C-407E-A947-70E740481C1C}">
                          <a14:useLocalDpi xmlns:a14="http://schemas.microsoft.com/office/drawing/2010/main"/>
                        </a:ext>
                      </a:extLst>
                    </a:blip>
                    <a:srcRect/>
                    <a:stretch/>
                  </pic:blipFill>
                  <pic:spPr bwMode="auto">
                    <a:xfrm>
                      <a:off x="0" y="0"/>
                      <a:ext cx="1270800" cy="8256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FB6" w:rsidRPr="00AF162A">
        <w:rPr>
          <w:rFonts w:ascii="Arial" w:hAnsi="Arial" w:cs="Arial"/>
          <w:b/>
          <w:color w:val="69557F"/>
          <w:sz w:val="24"/>
          <w:szCs w:val="24"/>
        </w:rPr>
        <w:t>Research staff as well as libraries</w:t>
      </w:r>
      <w:r w:rsidR="00F70FB6" w:rsidRPr="00AF162A">
        <w:rPr>
          <w:rFonts w:ascii="Arial" w:hAnsi="Arial" w:cs="Arial"/>
          <w:bCs/>
          <w:color w:val="69557F"/>
          <w:sz w:val="24"/>
          <w:szCs w:val="24"/>
        </w:rPr>
        <w:t xml:space="preserve"> </w:t>
      </w:r>
      <w:r w:rsidR="00F70FB6" w:rsidRPr="00F70FB6">
        <w:rPr>
          <w:rFonts w:ascii="Arial" w:hAnsi="Arial" w:cs="Arial"/>
          <w:bCs/>
          <w:sz w:val="24"/>
          <w:szCs w:val="24"/>
        </w:rPr>
        <w:t xml:space="preserve">of parliament that provide expert research, analysis and information. They can provide information to support the scrutiny of budget proposals and their oversight, as well as to support participative practices. Libraries can also provide public access to parliamentary information. </w:t>
      </w:r>
    </w:p>
    <w:p w14:paraId="3C4DF9BA" w14:textId="37C57DBE" w:rsidR="00AE79E7" w:rsidRDefault="00AE79E7" w:rsidP="00D57975">
      <w:pPr>
        <w:spacing w:line="276" w:lineRule="auto"/>
        <w:jc w:val="both"/>
        <w:rPr>
          <w:rFonts w:ascii="Arial" w:hAnsi="Arial" w:cs="Arial"/>
          <w:bCs/>
          <w:sz w:val="20"/>
          <w:szCs w:val="20"/>
        </w:rPr>
      </w:pPr>
    </w:p>
    <w:p w14:paraId="2356D36D" w14:textId="173E52D3" w:rsidR="00F70FB6" w:rsidRDefault="003330C0" w:rsidP="00D57975">
      <w:pPr>
        <w:spacing w:line="276" w:lineRule="auto"/>
        <w:jc w:val="both"/>
        <w:rPr>
          <w:rFonts w:ascii="Arial" w:hAnsi="Arial" w:cs="Arial"/>
          <w:bCs/>
          <w:sz w:val="24"/>
          <w:szCs w:val="24"/>
        </w:rPr>
      </w:pPr>
      <w:r>
        <w:rPr>
          <w:rFonts w:ascii="Arial" w:hAnsi="Arial" w:cs="Arial"/>
          <w:bCs/>
          <w:noProof/>
          <w:sz w:val="24"/>
          <w:szCs w:val="24"/>
          <w:lang w:val="en-US"/>
        </w:rPr>
        <w:drawing>
          <wp:anchor distT="0" distB="0" distL="114300" distR="114300" simplePos="0" relativeHeight="252254206" behindDoc="1" locked="0" layoutInCell="1" allowOverlap="1" wp14:anchorId="5FA223B2" wp14:editId="01C6E486">
            <wp:simplePos x="0" y="0"/>
            <wp:positionH relativeFrom="column">
              <wp:posOffset>38100</wp:posOffset>
            </wp:positionH>
            <wp:positionV relativeFrom="paragraph">
              <wp:posOffset>80125</wp:posOffset>
            </wp:positionV>
            <wp:extent cx="1263650" cy="844550"/>
            <wp:effectExtent l="0" t="0" r="6350" b="635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rotWithShape="1">
                    <a:blip r:embed="rId428" cstate="email">
                      <a:extLst>
                        <a:ext uri="{28A0092B-C50C-407E-A947-70E740481C1C}">
                          <a14:useLocalDpi xmlns:a14="http://schemas.microsoft.com/office/drawing/2010/main"/>
                        </a:ext>
                      </a:extLst>
                    </a:blip>
                    <a:srcRect/>
                    <a:stretch/>
                  </pic:blipFill>
                  <pic:spPr bwMode="auto">
                    <a:xfrm>
                      <a:off x="0" y="0"/>
                      <a:ext cx="1263650" cy="84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FB6" w:rsidRPr="00AF162A">
        <w:rPr>
          <w:rFonts w:ascii="Arial" w:hAnsi="Arial" w:cs="Arial"/>
          <w:b/>
          <w:color w:val="69557F"/>
          <w:sz w:val="24"/>
          <w:szCs w:val="24"/>
        </w:rPr>
        <w:t>Independent fiscal institutions:</w:t>
      </w:r>
      <w:r w:rsidR="00F70FB6" w:rsidRPr="00AF162A">
        <w:rPr>
          <w:rFonts w:ascii="Arial" w:hAnsi="Arial" w:cs="Arial"/>
          <w:bCs/>
          <w:color w:val="69557F"/>
          <w:sz w:val="24"/>
          <w:szCs w:val="24"/>
        </w:rPr>
        <w:t xml:space="preserve"> </w:t>
      </w:r>
      <w:r w:rsidR="00F70FB6" w:rsidRPr="00F70FB6">
        <w:rPr>
          <w:rFonts w:ascii="Arial" w:hAnsi="Arial" w:cs="Arial"/>
          <w:bCs/>
          <w:sz w:val="24"/>
          <w:szCs w:val="24"/>
        </w:rPr>
        <w:t>Since budget-related documents can be highly complex and detailed, legislatures may build specialised stand-alone non-partisan offices</w:t>
      </w:r>
      <w:r w:rsidR="00F70FB6" w:rsidRPr="00F70FB6">
        <w:rPr>
          <w:rFonts w:ascii="Arial" w:hAnsi="Arial" w:cs="Arial"/>
          <w:b/>
          <w:bCs/>
          <w:sz w:val="24"/>
          <w:szCs w:val="24"/>
        </w:rPr>
        <w:t xml:space="preserve"> </w:t>
      </w:r>
      <w:r w:rsidR="00F70FB6" w:rsidRPr="00F70FB6">
        <w:rPr>
          <w:rFonts w:ascii="Arial" w:hAnsi="Arial" w:cs="Arial"/>
          <w:bCs/>
          <w:sz w:val="24"/>
          <w:szCs w:val="24"/>
        </w:rPr>
        <w:t>with expertise to assist in the fulfilment of its mandate. These offices help parliamentarians to objectively assess executive proposals, estimates and economic assumptions. They should be organizationally, administratively and financially independent of the executive branch of the government. Common core functions they perform include: a role in producing, assessing and/or endorsing macroeconomic or fiscal forecasting; monitoring compliance with fiscal rules (constraints on fiscal policy through numerical limits on budgetary aggregates); policy costing; long-term fiscal sustainability analysis; and supporting the legislature in budget analysis.</w:t>
      </w:r>
      <w:r w:rsidR="00F70FB6" w:rsidRPr="00F70FB6">
        <w:rPr>
          <w:rFonts w:ascii="Arial" w:hAnsi="Arial" w:cs="Arial"/>
          <w:sz w:val="24"/>
          <w:szCs w:val="24"/>
        </w:rPr>
        <w:t xml:space="preserve"> This </w:t>
      </w:r>
      <w:r w:rsidR="00F70FB6" w:rsidRPr="00F70FB6">
        <w:rPr>
          <w:rFonts w:ascii="Arial" w:hAnsi="Arial" w:cs="Arial"/>
          <w:bCs/>
          <w:sz w:val="24"/>
          <w:szCs w:val="24"/>
        </w:rPr>
        <w:t>additional analysis and data provided can challenge analysis from other parts of government, making assumptions and estimations more transparent and rigorous.</w:t>
      </w:r>
    </w:p>
    <w:p w14:paraId="631EF3D3" w14:textId="35165559" w:rsidR="00C76C65" w:rsidRDefault="00D8063F" w:rsidP="00C76C65">
      <w:pPr>
        <w:spacing w:line="276" w:lineRule="auto"/>
        <w:jc w:val="both"/>
        <w:rPr>
          <w:rFonts w:ascii="Arial" w:hAnsi="Arial" w:cs="Arial"/>
          <w:bCs/>
          <w:sz w:val="24"/>
          <w:szCs w:val="24"/>
        </w:rPr>
      </w:pPr>
      <w:r>
        <w:rPr>
          <w:rFonts w:ascii="Arial" w:hAnsi="Arial" w:cs="Arial"/>
          <w:bCs/>
          <w:noProof/>
          <w:sz w:val="24"/>
          <w:szCs w:val="24"/>
          <w:lang w:val="en-US"/>
        </w:rPr>
        <w:drawing>
          <wp:anchor distT="0" distB="0" distL="114300" distR="114300" simplePos="0" relativeHeight="252257278" behindDoc="0" locked="0" layoutInCell="1" allowOverlap="1" wp14:anchorId="37FF481A" wp14:editId="153F858F">
            <wp:simplePos x="0" y="0"/>
            <wp:positionH relativeFrom="column">
              <wp:posOffset>27305</wp:posOffset>
            </wp:positionH>
            <wp:positionV relativeFrom="paragraph">
              <wp:posOffset>137160</wp:posOffset>
            </wp:positionV>
            <wp:extent cx="1385570" cy="720090"/>
            <wp:effectExtent l="0" t="0" r="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rotWithShape="1">
                    <a:blip r:embed="rId429" cstate="email">
                      <a:extLst>
                        <a:ext uri="{28A0092B-C50C-407E-A947-70E740481C1C}">
                          <a14:useLocalDpi xmlns:a14="http://schemas.microsoft.com/office/drawing/2010/main"/>
                        </a:ext>
                      </a:extLst>
                    </a:blip>
                    <a:srcRect/>
                    <a:stretch/>
                  </pic:blipFill>
                  <pic:spPr bwMode="auto">
                    <a:xfrm>
                      <a:off x="0" y="0"/>
                      <a:ext cx="1385570" cy="720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9B578" w14:textId="51AC36B2" w:rsidR="00F70FB6" w:rsidRDefault="00F70FB6" w:rsidP="00C76C65">
      <w:pPr>
        <w:spacing w:line="276" w:lineRule="auto"/>
        <w:jc w:val="both"/>
        <w:rPr>
          <w:rFonts w:ascii="Arial" w:hAnsi="Arial" w:cs="Arial"/>
          <w:bCs/>
          <w:sz w:val="24"/>
          <w:szCs w:val="24"/>
        </w:rPr>
      </w:pPr>
      <w:r w:rsidRPr="00F70FB6">
        <w:rPr>
          <w:rFonts w:ascii="Arial" w:hAnsi="Arial" w:cs="Arial"/>
          <w:bCs/>
          <w:sz w:val="24"/>
          <w:szCs w:val="24"/>
        </w:rPr>
        <w:t xml:space="preserve">The legislature may also benefit from engaging with </w:t>
      </w:r>
      <w:r w:rsidRPr="00C76C65">
        <w:rPr>
          <w:rFonts w:ascii="Arial" w:hAnsi="Arial" w:cs="Arial"/>
          <w:b/>
          <w:color w:val="69557F"/>
          <w:sz w:val="24"/>
          <w:szCs w:val="24"/>
        </w:rPr>
        <w:t>other legislatures</w:t>
      </w:r>
      <w:r w:rsidRPr="00F70FB6">
        <w:rPr>
          <w:rFonts w:ascii="Arial" w:hAnsi="Arial" w:cs="Arial"/>
          <w:bCs/>
          <w:sz w:val="24"/>
          <w:szCs w:val="24"/>
        </w:rPr>
        <w:t>, regionally and globally, providing for peer learning opportunities.</w:t>
      </w:r>
    </w:p>
    <w:p w14:paraId="56BB3AAE" w14:textId="67C71441" w:rsidR="00596F93" w:rsidRDefault="00596F93" w:rsidP="00C76C65">
      <w:pPr>
        <w:spacing w:line="276" w:lineRule="auto"/>
        <w:jc w:val="both"/>
        <w:rPr>
          <w:rFonts w:ascii="Arial" w:hAnsi="Arial" w:cs="Arial"/>
          <w:bCs/>
          <w:sz w:val="24"/>
          <w:szCs w:val="24"/>
        </w:rPr>
      </w:pPr>
    </w:p>
    <w:p w14:paraId="5B60E2CB" w14:textId="2EE97624" w:rsidR="00596F93" w:rsidRDefault="00596F93" w:rsidP="00C76C65">
      <w:pPr>
        <w:spacing w:line="276" w:lineRule="auto"/>
        <w:jc w:val="both"/>
        <w:rPr>
          <w:rFonts w:ascii="Arial" w:hAnsi="Arial" w:cs="Arial"/>
          <w:bCs/>
          <w:sz w:val="24"/>
          <w:szCs w:val="24"/>
        </w:rPr>
      </w:pPr>
    </w:p>
    <w:p w14:paraId="4D66083D" w14:textId="3E3DF0DC" w:rsidR="00596F93" w:rsidRDefault="00596F93" w:rsidP="00C76C65">
      <w:pPr>
        <w:spacing w:line="276" w:lineRule="auto"/>
        <w:jc w:val="both"/>
        <w:rPr>
          <w:rFonts w:ascii="Arial" w:hAnsi="Arial" w:cs="Arial"/>
          <w:bCs/>
          <w:sz w:val="24"/>
          <w:szCs w:val="24"/>
        </w:rPr>
      </w:pPr>
    </w:p>
    <w:p w14:paraId="694E085A" w14:textId="71A35C21" w:rsidR="00596F93" w:rsidRDefault="00596F93" w:rsidP="00C76C65">
      <w:pPr>
        <w:spacing w:line="276" w:lineRule="auto"/>
        <w:jc w:val="both"/>
        <w:rPr>
          <w:rFonts w:ascii="Arial" w:hAnsi="Arial" w:cs="Arial"/>
          <w:bCs/>
          <w:sz w:val="24"/>
          <w:szCs w:val="24"/>
        </w:rPr>
      </w:pPr>
    </w:p>
    <w:p w14:paraId="23124C5C" w14:textId="10082E55" w:rsidR="00596F93" w:rsidRDefault="00596F93" w:rsidP="00C76C65">
      <w:pPr>
        <w:spacing w:line="276" w:lineRule="auto"/>
        <w:jc w:val="both"/>
        <w:rPr>
          <w:rFonts w:ascii="Arial" w:hAnsi="Arial" w:cs="Arial"/>
          <w:bCs/>
          <w:sz w:val="24"/>
          <w:szCs w:val="24"/>
        </w:rPr>
      </w:pPr>
    </w:p>
    <w:p w14:paraId="24E61C3E" w14:textId="2AD63431" w:rsidR="00596F93" w:rsidRDefault="00596F93" w:rsidP="00C76C65">
      <w:pPr>
        <w:spacing w:line="276" w:lineRule="auto"/>
        <w:jc w:val="both"/>
        <w:rPr>
          <w:rFonts w:ascii="Arial" w:hAnsi="Arial" w:cs="Arial"/>
          <w:bCs/>
          <w:sz w:val="24"/>
          <w:szCs w:val="24"/>
        </w:rPr>
      </w:pPr>
    </w:p>
    <w:p w14:paraId="769D0215" w14:textId="0065C802" w:rsidR="00596F93" w:rsidRDefault="00596F93" w:rsidP="00C76C65">
      <w:pPr>
        <w:spacing w:line="276" w:lineRule="auto"/>
        <w:jc w:val="both"/>
        <w:rPr>
          <w:rFonts w:ascii="Arial" w:hAnsi="Arial" w:cs="Arial"/>
          <w:bCs/>
          <w:sz w:val="24"/>
          <w:szCs w:val="24"/>
        </w:rPr>
      </w:pPr>
    </w:p>
    <w:p w14:paraId="5BB6A940" w14:textId="0987E2C2" w:rsidR="00596F93" w:rsidRDefault="00596F93" w:rsidP="00C76C65">
      <w:pPr>
        <w:spacing w:line="276" w:lineRule="auto"/>
        <w:jc w:val="both"/>
        <w:rPr>
          <w:rFonts w:ascii="Arial" w:hAnsi="Arial" w:cs="Arial"/>
          <w:bCs/>
          <w:sz w:val="24"/>
          <w:szCs w:val="24"/>
        </w:rPr>
      </w:pPr>
    </w:p>
    <w:p w14:paraId="3D12DA8F" w14:textId="17576EA0" w:rsidR="00596F93" w:rsidRDefault="00596F93" w:rsidP="00C76C65">
      <w:pPr>
        <w:spacing w:line="276" w:lineRule="auto"/>
        <w:jc w:val="both"/>
        <w:rPr>
          <w:rFonts w:ascii="Arial" w:hAnsi="Arial" w:cs="Arial"/>
          <w:bCs/>
          <w:sz w:val="24"/>
          <w:szCs w:val="24"/>
        </w:rPr>
      </w:pPr>
    </w:p>
    <w:p w14:paraId="103BBF54" w14:textId="5F27ACC4" w:rsidR="00596F93" w:rsidRDefault="00596F93" w:rsidP="00C76C65">
      <w:pPr>
        <w:spacing w:line="276" w:lineRule="auto"/>
        <w:jc w:val="both"/>
        <w:rPr>
          <w:rFonts w:ascii="Arial" w:hAnsi="Arial" w:cs="Arial"/>
          <w:bCs/>
          <w:sz w:val="24"/>
          <w:szCs w:val="24"/>
        </w:rPr>
      </w:pPr>
    </w:p>
    <w:p w14:paraId="101BBE56" w14:textId="1361A8A2" w:rsidR="00596F93" w:rsidRDefault="00596F93" w:rsidP="00C76C65">
      <w:pPr>
        <w:spacing w:line="276" w:lineRule="auto"/>
        <w:jc w:val="both"/>
        <w:rPr>
          <w:rFonts w:ascii="Arial" w:hAnsi="Arial" w:cs="Arial"/>
          <w:bCs/>
          <w:sz w:val="24"/>
          <w:szCs w:val="24"/>
        </w:rPr>
      </w:pPr>
    </w:p>
    <w:p w14:paraId="248F1BF4" w14:textId="213035F6" w:rsidR="00596F93" w:rsidRDefault="00596F93" w:rsidP="00C76C65">
      <w:pPr>
        <w:spacing w:line="276" w:lineRule="auto"/>
        <w:jc w:val="both"/>
        <w:rPr>
          <w:rFonts w:ascii="Arial" w:hAnsi="Arial" w:cs="Arial"/>
          <w:bCs/>
          <w:sz w:val="24"/>
          <w:szCs w:val="24"/>
        </w:rPr>
      </w:pPr>
    </w:p>
    <w:p w14:paraId="5192DB6F" w14:textId="09F90C97" w:rsidR="00596F93" w:rsidRDefault="00596F93" w:rsidP="00C76C65">
      <w:pPr>
        <w:spacing w:line="276" w:lineRule="auto"/>
        <w:jc w:val="both"/>
        <w:rPr>
          <w:rFonts w:ascii="Arial" w:hAnsi="Arial" w:cs="Arial"/>
          <w:bCs/>
          <w:sz w:val="24"/>
          <w:szCs w:val="24"/>
        </w:rPr>
      </w:pPr>
    </w:p>
    <w:p w14:paraId="3264B979" w14:textId="77777777" w:rsidR="00596F93" w:rsidRPr="00F70FB6" w:rsidRDefault="00596F93" w:rsidP="00C76C65">
      <w:pPr>
        <w:spacing w:line="276" w:lineRule="auto"/>
        <w:jc w:val="both"/>
        <w:rPr>
          <w:rFonts w:ascii="Arial" w:hAnsi="Arial" w:cs="Arial"/>
          <w:bCs/>
          <w:sz w:val="24"/>
          <w:szCs w:val="24"/>
        </w:rPr>
      </w:pPr>
    </w:p>
    <w:p w14:paraId="7AF8A8FE" w14:textId="237AD141" w:rsidR="002354E4" w:rsidRDefault="00D15FD8" w:rsidP="00F70FB6">
      <w:pPr>
        <w:spacing w:line="276" w:lineRule="auto"/>
        <w:jc w:val="both"/>
        <w:rPr>
          <w:rFonts w:ascii="Arial" w:hAnsi="Arial" w:cs="Arial"/>
          <w:sz w:val="24"/>
          <w:szCs w:val="24"/>
        </w:rPr>
      </w:pPr>
      <w:r>
        <w:rPr>
          <w:rFonts w:ascii="Arial" w:hAnsi="Arial" w:cs="Arial"/>
          <w:b/>
          <w:noProof/>
          <w:sz w:val="24"/>
          <w:szCs w:val="24"/>
          <w:lang w:val="en-US"/>
        </w:rPr>
        <w:lastRenderedPageBreak/>
        <mc:AlternateContent>
          <mc:Choice Requires="wps">
            <w:drawing>
              <wp:anchor distT="0" distB="0" distL="114300" distR="114300" simplePos="0" relativeHeight="252269566" behindDoc="0" locked="0" layoutInCell="1" allowOverlap="1" wp14:anchorId="4F7EF138" wp14:editId="504820D7">
                <wp:simplePos x="0" y="0"/>
                <wp:positionH relativeFrom="margin">
                  <wp:posOffset>1235710</wp:posOffset>
                </wp:positionH>
                <wp:positionV relativeFrom="paragraph">
                  <wp:posOffset>20320</wp:posOffset>
                </wp:positionV>
                <wp:extent cx="4174490" cy="332740"/>
                <wp:effectExtent l="0" t="0" r="0" b="0"/>
                <wp:wrapNone/>
                <wp:docPr id="396" name="Text Box 396"/>
                <wp:cNvGraphicFramePr/>
                <a:graphic xmlns:a="http://schemas.openxmlformats.org/drawingml/2006/main">
                  <a:graphicData uri="http://schemas.microsoft.com/office/word/2010/wordprocessingShape">
                    <wps:wsp>
                      <wps:cNvSpPr txBox="1"/>
                      <wps:spPr>
                        <a:xfrm>
                          <a:off x="0" y="0"/>
                          <a:ext cx="4174490" cy="332740"/>
                        </a:xfrm>
                        <a:prstGeom prst="rect">
                          <a:avLst/>
                        </a:prstGeom>
                        <a:noFill/>
                        <a:ln w="6350">
                          <a:noFill/>
                        </a:ln>
                      </wps:spPr>
                      <wps:txbx>
                        <w:txbxContent>
                          <w:p w14:paraId="398FA14B" w14:textId="19F6C1CC" w:rsidR="00D15FD8" w:rsidRPr="00AB3FA0" w:rsidRDefault="00D15FD8" w:rsidP="003625BA">
                            <w:pPr>
                              <w:pStyle w:val="Heading3"/>
                              <w:jc w:val="center"/>
                              <w:rPr>
                                <w:rFonts w:ascii="Arial" w:hAnsi="Arial" w:cs="Arial"/>
                                <w:b/>
                                <w:bCs/>
                                <w:color w:val="19998C"/>
                                <w:sz w:val="26"/>
                                <w:szCs w:val="26"/>
                                <w:lang w:val="en-US"/>
                              </w:rPr>
                            </w:pPr>
                            <w:bookmarkStart w:id="851" w:name="_Box_2.1._Independent"/>
                            <w:bookmarkStart w:id="852" w:name="_Toc119794454"/>
                            <w:bookmarkStart w:id="853" w:name="_Toc123204439"/>
                            <w:bookmarkStart w:id="854" w:name="_Toc123217370"/>
                            <w:bookmarkStart w:id="855" w:name="_Toc123828130"/>
                            <w:bookmarkStart w:id="856" w:name="_Toc123828340"/>
                            <w:bookmarkStart w:id="857" w:name="_Toc123828536"/>
                            <w:bookmarkStart w:id="858" w:name="_Toc123912563"/>
                            <w:bookmarkStart w:id="859" w:name="_Toc123912822"/>
                            <w:bookmarkStart w:id="860" w:name="_Toc123913049"/>
                            <w:bookmarkStart w:id="861" w:name="_Toc123913996"/>
                            <w:bookmarkStart w:id="862" w:name="_Toc125566615"/>
                            <w:bookmarkEnd w:id="851"/>
                            <w:r w:rsidRPr="00AB3FA0">
                              <w:rPr>
                                <w:rFonts w:ascii="Arial" w:hAnsi="Arial" w:cs="Arial"/>
                                <w:b/>
                                <w:bCs/>
                                <w:color w:val="19998C"/>
                                <w:sz w:val="26"/>
                                <w:szCs w:val="26"/>
                              </w:rPr>
                              <w:t>Box 2.1</w:t>
                            </w:r>
                            <w:r>
                              <w:rPr>
                                <w:rFonts w:ascii="Arial" w:hAnsi="Arial" w:cs="Arial"/>
                                <w:b/>
                                <w:bCs/>
                                <w:color w:val="19998C"/>
                                <w:sz w:val="26"/>
                                <w:szCs w:val="26"/>
                              </w:rPr>
                              <w:t xml:space="preserve">. </w:t>
                            </w:r>
                            <w:r w:rsidRPr="00AB3FA0">
                              <w:rPr>
                                <w:rFonts w:ascii="Arial" w:hAnsi="Arial" w:cs="Arial"/>
                                <w:b/>
                                <w:bCs/>
                                <w:color w:val="19998C"/>
                                <w:sz w:val="26"/>
                                <w:szCs w:val="26"/>
                              </w:rPr>
                              <w:t>Independent fiscal institutions</w:t>
                            </w:r>
                            <w:r w:rsidRPr="00AB3FA0">
                              <w:rPr>
                                <w:rFonts w:ascii="Arial" w:hAnsi="Arial" w:cs="Arial"/>
                                <w:b/>
                                <w:bCs/>
                                <w:color w:val="19998C"/>
                                <w:sz w:val="26"/>
                                <w:szCs w:val="26"/>
                                <w:vertAlign w:val="superscript"/>
                              </w:rPr>
                              <w:t>28</w:t>
                            </w:r>
                            <w:bookmarkEnd w:id="852"/>
                            <w:bookmarkEnd w:id="853"/>
                            <w:bookmarkEnd w:id="854"/>
                            <w:bookmarkEnd w:id="855"/>
                            <w:bookmarkEnd w:id="856"/>
                            <w:bookmarkEnd w:id="857"/>
                            <w:bookmarkEnd w:id="858"/>
                            <w:bookmarkEnd w:id="859"/>
                            <w:bookmarkEnd w:id="860"/>
                            <w:bookmarkEnd w:id="861"/>
                            <w:bookmarkEnd w:id="86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7EF138" id="Text Box 396" o:spid="_x0000_s1257" type="#_x0000_t202" style="position:absolute;left:0;text-align:left;margin-left:97.3pt;margin-top:1.6pt;width:328.7pt;height:26.2pt;z-index:25226956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" filled="f" stroked="f" strokeweight=".5pt">
                <v:textbox>
                  <w:txbxContent>
                    <w:p w14:paraId="398FA14B" w14:textId="19F6C1CC" w:rsidR="00D15FD8" w:rsidRPr="00AB3FA0" w:rsidRDefault="00D15FD8" w:rsidP="003625BA">
                      <w:pPr>
                        <w:pStyle w:val="Heading3"/>
                        <w:jc w:val="center"/>
                        <w:rPr>
                          <w:rFonts w:ascii="Arial" w:hAnsi="Arial" w:cs="Arial"/>
                          <w:b/>
                          <w:bCs/>
                          <w:color w:val="19998C"/>
                          <w:sz w:val="26"/>
                          <w:szCs w:val="26"/>
                          <w:lang w:val="en-US"/>
                        </w:rPr>
                      </w:pPr>
                      <w:bookmarkStart w:id="863" w:name="_Box_2.1._Independent"/>
                      <w:bookmarkStart w:id="864" w:name="_Toc119794454"/>
                      <w:bookmarkStart w:id="865" w:name="_Toc123204439"/>
                      <w:bookmarkStart w:id="866" w:name="_Toc123217370"/>
                      <w:bookmarkStart w:id="867" w:name="_Toc123828130"/>
                      <w:bookmarkStart w:id="868" w:name="_Toc123828340"/>
                      <w:bookmarkStart w:id="869" w:name="_Toc123828536"/>
                      <w:bookmarkStart w:id="870" w:name="_Toc123912563"/>
                      <w:bookmarkStart w:id="871" w:name="_Toc123912822"/>
                      <w:bookmarkStart w:id="872" w:name="_Toc123913049"/>
                      <w:bookmarkStart w:id="873" w:name="_Toc123913996"/>
                      <w:bookmarkStart w:id="874" w:name="_Toc125566615"/>
                      <w:bookmarkEnd w:id="863"/>
                      <w:r w:rsidRPr="00AB3FA0">
                        <w:rPr>
                          <w:rFonts w:ascii="Arial" w:hAnsi="Arial" w:cs="Arial"/>
                          <w:b/>
                          <w:bCs/>
                          <w:color w:val="19998C"/>
                          <w:sz w:val="26"/>
                          <w:szCs w:val="26"/>
                        </w:rPr>
                        <w:t>Box 2.1</w:t>
                      </w:r>
                      <w:r>
                        <w:rPr>
                          <w:rFonts w:ascii="Arial" w:hAnsi="Arial" w:cs="Arial"/>
                          <w:b/>
                          <w:bCs/>
                          <w:color w:val="19998C"/>
                          <w:sz w:val="26"/>
                          <w:szCs w:val="26"/>
                        </w:rPr>
                        <w:t xml:space="preserve">. </w:t>
                      </w:r>
                      <w:r w:rsidRPr="00AB3FA0">
                        <w:rPr>
                          <w:rFonts w:ascii="Arial" w:hAnsi="Arial" w:cs="Arial"/>
                          <w:b/>
                          <w:bCs/>
                          <w:color w:val="19998C"/>
                          <w:sz w:val="26"/>
                          <w:szCs w:val="26"/>
                        </w:rPr>
                        <w:t>Independent fiscal institutions</w:t>
                      </w:r>
                      <w:r w:rsidRPr="00AB3FA0">
                        <w:rPr>
                          <w:rFonts w:ascii="Arial" w:hAnsi="Arial" w:cs="Arial"/>
                          <w:b/>
                          <w:bCs/>
                          <w:color w:val="19998C"/>
                          <w:sz w:val="26"/>
                          <w:szCs w:val="26"/>
                          <w:vertAlign w:val="superscript"/>
                        </w:rPr>
                        <w:t>28</w:t>
                      </w:r>
                      <w:bookmarkEnd w:id="864"/>
                      <w:bookmarkEnd w:id="865"/>
                      <w:bookmarkEnd w:id="866"/>
                      <w:bookmarkEnd w:id="867"/>
                      <w:bookmarkEnd w:id="868"/>
                      <w:bookmarkEnd w:id="869"/>
                      <w:bookmarkEnd w:id="870"/>
                      <w:bookmarkEnd w:id="871"/>
                      <w:bookmarkEnd w:id="872"/>
                      <w:bookmarkEnd w:id="873"/>
                      <w:bookmarkEnd w:id="874"/>
                    </w:p>
                  </w:txbxContent>
                </v:textbox>
                <w10:wrap anchorx="margin"/>
              </v:shape>
            </w:pict>
          </mc:Fallback>
        </mc:AlternateContent>
      </w:r>
      <w:r w:rsidR="00F97CAF">
        <w:rPr>
          <w:rFonts w:ascii="Arial" w:hAnsi="Arial" w:cs="Arial"/>
          <w:noProof/>
          <w:sz w:val="24"/>
          <w:szCs w:val="24"/>
          <w:lang w:val="en-US"/>
        </w:rPr>
        <mc:AlternateContent>
          <mc:Choice Requires="wps">
            <w:drawing>
              <wp:anchor distT="0" distB="0" distL="114300" distR="114300" simplePos="0" relativeHeight="254791678" behindDoc="1" locked="0" layoutInCell="1" allowOverlap="1" wp14:anchorId="4DAE9AEA" wp14:editId="39BA7FBC">
                <wp:simplePos x="0" y="0"/>
                <wp:positionH relativeFrom="margin">
                  <wp:posOffset>-183243</wp:posOffset>
                </wp:positionH>
                <wp:positionV relativeFrom="margin">
                  <wp:posOffset>-59385</wp:posOffset>
                </wp:positionV>
                <wp:extent cx="7010400" cy="7765638"/>
                <wp:effectExtent l="0" t="0" r="19050" b="26035"/>
                <wp:wrapNone/>
                <wp:docPr id="2650" name="Rectangle 2650"/>
                <wp:cNvGraphicFramePr/>
                <a:graphic xmlns:a="http://schemas.openxmlformats.org/drawingml/2006/main">
                  <a:graphicData uri="http://schemas.microsoft.com/office/word/2010/wordprocessingShape">
                    <wps:wsp>
                      <wps:cNvSpPr/>
                      <wps:spPr>
                        <a:xfrm>
                          <a:off x="0" y="0"/>
                          <a:ext cx="7010400" cy="7765638"/>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6B9B9" w14:textId="77777777" w:rsidR="00D15FD8" w:rsidRDefault="00D15FD8" w:rsidP="0080013A"/>
                          <w:p w14:paraId="04AFBCA9"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E9AEA" id="Rectangle 2650" o:spid="_x0000_s1258" style="position:absolute;left:0;text-align:left;margin-left:-14.45pt;margin-top:-4.7pt;width:552pt;height:611.45pt;z-index:-24852480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" fillcolor="#f2f2f2 [3052]" strokecolor="#16988a" strokeweight="1.5pt">
                <v:textbox>
                  <w:txbxContent>
                    <w:p w14:paraId="4C26B9B9" w14:textId="77777777" w:rsidR="00D15FD8" w:rsidRDefault="00D15FD8" w:rsidP="0080013A"/>
                    <w:p w14:paraId="04AFBCA9" w14:textId="77777777" w:rsidR="00D15FD8" w:rsidRPr="003625BA" w:rsidRDefault="00D15FD8" w:rsidP="003625BA">
                      <w:pPr>
                        <w:jc w:val="center"/>
                        <w:rPr>
                          <w:lang w:val="en-US"/>
                        </w:rPr>
                      </w:pPr>
                    </w:p>
                  </w:txbxContent>
                </v:textbox>
                <w10:wrap anchorx="margin" anchory="margin"/>
              </v:rect>
            </w:pict>
          </mc:Fallback>
        </mc:AlternateContent>
      </w:r>
    </w:p>
    <w:p w14:paraId="56561650" w14:textId="31EED7D3" w:rsidR="001A5DCA" w:rsidRDefault="001A5DCA" w:rsidP="002354E4">
      <w:pPr>
        <w:spacing w:line="276" w:lineRule="auto"/>
        <w:jc w:val="both"/>
        <w:rPr>
          <w:rFonts w:ascii="Arial" w:hAnsi="Arial" w:cs="Arial"/>
          <w:sz w:val="24"/>
          <w:szCs w:val="24"/>
        </w:rPr>
      </w:pPr>
    </w:p>
    <w:p w14:paraId="7E985C0D" w14:textId="70D5B32A" w:rsidR="001A5DCA" w:rsidRPr="003625BA" w:rsidRDefault="00355AF9" w:rsidP="003625BA">
      <w:pPr>
        <w:jc w:val="both"/>
        <w:rPr>
          <w:rFonts w:ascii="Roboto" w:hAnsi="Roboto" w:cs="Arial"/>
          <w:sz w:val="20"/>
          <w:szCs w:val="20"/>
        </w:rPr>
      </w:pPr>
      <w:r>
        <w:rPr>
          <w:noProof/>
          <w:lang w:val="en-US"/>
        </w:rPr>
        <w:drawing>
          <wp:anchor distT="0" distB="0" distL="114300" distR="114300" simplePos="0" relativeHeight="252270590" behindDoc="0" locked="0" layoutInCell="1" allowOverlap="1" wp14:anchorId="6BE95E51" wp14:editId="365EBF9F">
            <wp:simplePos x="0" y="0"/>
            <wp:positionH relativeFrom="margin">
              <wp:posOffset>25400</wp:posOffset>
            </wp:positionH>
            <wp:positionV relativeFrom="paragraph">
              <wp:posOffset>7620</wp:posOffset>
            </wp:positionV>
            <wp:extent cx="1703705" cy="562610"/>
            <wp:effectExtent l="0" t="0" r="0" b="0"/>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pic:cNvPicPr>
                      <a:picLocks noChangeAspect="1"/>
                    </pic:cNvPicPr>
                  </pic:nvPicPr>
                  <pic:blipFill>
                    <a:blip r:embed="rId430" cstate="screen">
                      <a:extLst>
                        <a:ext uri="{28A0092B-C50C-407E-A947-70E740481C1C}">
                          <a14:useLocalDpi xmlns:a14="http://schemas.microsoft.com/office/drawing/2010/main"/>
                        </a:ext>
                      </a:extLst>
                    </a:blip>
                    <a:srcRect/>
                    <a:stretch>
                      <a:fillRect/>
                    </a:stretch>
                  </pic:blipFill>
                  <pic:spPr bwMode="auto">
                    <a:xfrm>
                      <a:off x="0" y="0"/>
                      <a:ext cx="1703705" cy="562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5DCA" w:rsidRPr="003625BA">
        <w:rPr>
          <w:rFonts w:ascii="Roboto" w:hAnsi="Roboto" w:cs="Arial"/>
          <w:sz w:val="20"/>
          <w:szCs w:val="20"/>
        </w:rPr>
        <w:t xml:space="preserve">As defined by the OECD, </w:t>
      </w:r>
      <w:r w:rsidR="001A5DCA" w:rsidRPr="003625BA">
        <w:rPr>
          <w:rFonts w:ascii="Roboto" w:hAnsi="Roboto" w:cs="Arial"/>
          <w:bCs/>
          <w:sz w:val="20"/>
          <w:szCs w:val="20"/>
        </w:rPr>
        <w:t>independent fiscal institutions</w:t>
      </w:r>
      <w:r w:rsidR="001A5DCA" w:rsidRPr="003625BA">
        <w:rPr>
          <w:rFonts w:ascii="Roboto" w:hAnsi="Roboto" w:cs="Arial"/>
          <w:sz w:val="20"/>
          <w:szCs w:val="20"/>
        </w:rPr>
        <w:t xml:space="preserve"> (commonly referred to as parliamentary budget offices or fiscal councils) are publicly funded, independent bodies under the statutory authority of the executive or the legislature, that provide non-partisan oversight and analysis of, and in some cases advice on, fiscal policy and performance. Essentially, they provide an independent input into fiscal policy decisions and an independent view on the conduct of fiscal policy. As an ‘auditing’ body, they verify that the government is providing reliable information on its finances, including in respect of its macroeconomic forecasts.  As advisory bodies, they can review and comment on different aspects of fiscal policy, including on the appropriateness of government’s fiscal policy objectives and targets; their predicted impact; and cost of proposed policies. They can also provide independent macroeconomic forecasts to be used by the executive.</w:t>
      </w:r>
    </w:p>
    <w:p w14:paraId="103294A0" w14:textId="7E28067B" w:rsidR="00083734" w:rsidRPr="003625BA" w:rsidRDefault="00083734" w:rsidP="003625BA">
      <w:pPr>
        <w:jc w:val="both"/>
        <w:rPr>
          <w:rFonts w:ascii="Roboto" w:hAnsi="Roboto" w:cs="Arial"/>
          <w:sz w:val="20"/>
          <w:szCs w:val="20"/>
        </w:rPr>
      </w:pPr>
      <w:r w:rsidRPr="003625BA">
        <w:rPr>
          <w:rFonts w:ascii="Roboto" w:hAnsi="Roboto" w:cs="Arial"/>
          <w:noProof/>
          <w:sz w:val="20"/>
          <w:szCs w:val="20"/>
          <w:lang w:val="en-US"/>
        </w:rPr>
        <w:drawing>
          <wp:anchor distT="0" distB="0" distL="114300" distR="114300" simplePos="0" relativeHeight="252273662" behindDoc="0" locked="0" layoutInCell="1" allowOverlap="1" wp14:anchorId="2121C82D" wp14:editId="31F9B71C">
            <wp:simplePos x="0" y="0"/>
            <wp:positionH relativeFrom="column">
              <wp:posOffset>5156200</wp:posOffset>
            </wp:positionH>
            <wp:positionV relativeFrom="paragraph">
              <wp:posOffset>205740</wp:posOffset>
            </wp:positionV>
            <wp:extent cx="1415415" cy="1668780"/>
            <wp:effectExtent l="25400" t="25400" r="83185" b="83820"/>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pic:cNvPicPr/>
                  </pic:nvPicPr>
                  <pic:blipFill rotWithShape="1">
                    <a:blip r:embed="rId431" cstate="email">
                      <a:extLst>
                        <a:ext uri="{28A0092B-C50C-407E-A947-70E740481C1C}">
                          <a14:useLocalDpi xmlns:a14="http://schemas.microsoft.com/office/drawing/2010/main"/>
                        </a:ext>
                      </a:extLst>
                    </a:blip>
                    <a:srcRect/>
                    <a:stretch/>
                  </pic:blipFill>
                  <pic:spPr bwMode="auto">
                    <a:xfrm>
                      <a:off x="0" y="0"/>
                      <a:ext cx="1415415" cy="166878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EF9247" w14:textId="0DC5EAC1" w:rsidR="00083734" w:rsidRPr="003625BA" w:rsidRDefault="00083734" w:rsidP="003625BA">
      <w:pPr>
        <w:jc w:val="both"/>
        <w:rPr>
          <w:rFonts w:ascii="Roboto" w:hAnsi="Roboto" w:cs="Arial"/>
          <w:sz w:val="20"/>
          <w:szCs w:val="20"/>
        </w:rPr>
      </w:pPr>
      <w:r w:rsidRPr="003625BA">
        <w:rPr>
          <w:rFonts w:ascii="Roboto" w:hAnsi="Roboto" w:cs="Arial"/>
          <w:sz w:val="20"/>
          <w:szCs w:val="20"/>
        </w:rPr>
        <w:t>The OECD’s</w:t>
      </w:r>
      <w:r w:rsidRPr="003625BA">
        <w:rPr>
          <w:rFonts w:ascii="Roboto" w:hAnsi="Roboto" w:cs="Arial"/>
          <w:b/>
          <w:color w:val="ED7D31" w:themeColor="accent2"/>
          <w:sz w:val="20"/>
          <w:szCs w:val="20"/>
        </w:rPr>
        <w:t xml:space="preserve"> </w:t>
      </w:r>
      <w:hyperlink r:id="rId432" w:history="1">
        <w:r w:rsidRPr="003625BA">
          <w:rPr>
            <w:rFonts w:ascii="Roboto" w:hAnsi="Roboto" w:cs="Arial"/>
            <w:b/>
            <w:color w:val="0563C1" w:themeColor="hyperlink"/>
            <w:sz w:val="20"/>
            <w:szCs w:val="20"/>
            <w:u w:val="single"/>
          </w:rPr>
          <w:t>Recommendation of the Council on Principles for Independent Fiscal Institutions</w:t>
        </w:r>
      </w:hyperlink>
      <w:r w:rsidRPr="003625BA">
        <w:rPr>
          <w:rFonts w:ascii="Roboto" w:hAnsi="Roboto" w:cs="Arial"/>
          <w:b/>
          <w:color w:val="ED7D31" w:themeColor="accent2"/>
          <w:sz w:val="20"/>
          <w:szCs w:val="20"/>
        </w:rPr>
        <w:t xml:space="preserve"> </w:t>
      </w:r>
      <w:r w:rsidRPr="003625BA">
        <w:rPr>
          <w:rFonts w:ascii="Roboto" w:hAnsi="Roboto" w:cs="Arial"/>
          <w:sz w:val="20"/>
          <w:szCs w:val="20"/>
        </w:rPr>
        <w:t>(2014) provide principles that seek to reinforce the core values that they both promote and operate under – independence, non-partisanship, transparency, and accountability – while demonstrating technical competence and producing relevant work of the highest quality that stands up to public scrutiny and informs the public debate. While fiscal decision-making is ultimately the responsibility of the executive, independent fiscal institutions, often in complement with fiscal rules, supporting the credibility of the budget</w:t>
      </w:r>
      <w:r w:rsidRPr="003625BA">
        <w:rPr>
          <w:rStyle w:val="FootnoteReference"/>
          <w:rFonts w:ascii="Roboto" w:hAnsi="Roboto" w:cs="Arial"/>
          <w:sz w:val="20"/>
          <w:szCs w:val="20"/>
        </w:rPr>
        <w:t>2</w:t>
      </w:r>
      <w:r w:rsidRPr="003625BA">
        <w:rPr>
          <w:rFonts w:ascii="Roboto" w:hAnsi="Roboto" w:cs="Arial"/>
          <w:sz w:val="20"/>
          <w:szCs w:val="20"/>
          <w:vertAlign w:val="superscript"/>
        </w:rPr>
        <w:t>9</w:t>
      </w:r>
      <w:r w:rsidRPr="003625BA">
        <w:rPr>
          <w:rFonts w:ascii="Roboto" w:hAnsi="Roboto" w:cs="Arial"/>
          <w:sz w:val="20"/>
          <w:szCs w:val="20"/>
        </w:rPr>
        <w:t>, are seen as a mechanism to help address bias towards spending and deficits and more generally enhance fiscal discipline; promote greater fiscal transparency and accountability; and raise the quality of public debate on fiscal policy, by providing independent scrutiny of fiscal policies, plans, and performance.</w:t>
      </w:r>
    </w:p>
    <w:p w14:paraId="793A564F" w14:textId="436FDABF" w:rsidR="00572A05" w:rsidRDefault="0080013A" w:rsidP="00083734">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779390" behindDoc="0" locked="0" layoutInCell="1" allowOverlap="1" wp14:anchorId="61484CC5" wp14:editId="6CC07B9B">
                <wp:simplePos x="0" y="0"/>
                <wp:positionH relativeFrom="column">
                  <wp:posOffset>256540</wp:posOffset>
                </wp:positionH>
                <wp:positionV relativeFrom="paragraph">
                  <wp:posOffset>136525</wp:posOffset>
                </wp:positionV>
                <wp:extent cx="6183630" cy="342900"/>
                <wp:effectExtent l="0" t="0" r="1270" b="0"/>
                <wp:wrapNone/>
                <wp:docPr id="2645" name="Rounded Rectangle 2645"/>
                <wp:cNvGraphicFramePr/>
                <a:graphic xmlns:a="http://schemas.openxmlformats.org/drawingml/2006/main">
                  <a:graphicData uri="http://schemas.microsoft.com/office/word/2010/wordprocessingShape">
                    <wps:wsp>
                      <wps:cNvSpPr/>
                      <wps:spPr>
                        <a:xfrm>
                          <a:off x="0" y="0"/>
                          <a:ext cx="6183630" cy="3429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47A0A58" id="Rounded Rectangle 2645" o:spid="_x0000_s1026" style="position:absolute;margin-left:20.2pt;margin-top:10.75pt;width:486.9pt;height:27pt;z-index:254779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" fillcolor="#16988a" stroked="f" strokeweight="1pt">
                <v:stroke joinstyle="miter"/>
              </v:roundrect>
            </w:pict>
          </mc:Fallback>
        </mc:AlternateContent>
      </w:r>
      <w:r>
        <w:rPr>
          <w:rFonts w:ascii="Arial" w:hAnsi="Arial" w:cs="Arial"/>
          <w:noProof/>
          <w:sz w:val="24"/>
          <w:szCs w:val="24"/>
          <w:lang w:val="en-US"/>
        </w:rPr>
        <w:drawing>
          <wp:anchor distT="0" distB="0" distL="114300" distR="114300" simplePos="0" relativeHeight="254780414" behindDoc="0" locked="0" layoutInCell="1" allowOverlap="1" wp14:anchorId="3E939BBD" wp14:editId="12755B78">
            <wp:simplePos x="0" y="0"/>
            <wp:positionH relativeFrom="column">
              <wp:posOffset>163195</wp:posOffset>
            </wp:positionH>
            <wp:positionV relativeFrom="paragraph">
              <wp:posOffset>27305</wp:posOffset>
            </wp:positionV>
            <wp:extent cx="232410" cy="664210"/>
            <wp:effectExtent l="76200" t="25400" r="46990" b="8890"/>
            <wp:wrapNone/>
            <wp:docPr id="2647" name="Picture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pic:cNvPicPr/>
                  </pic:nvPicPr>
                  <pic:blipFill rotWithShape="1">
                    <a:blip r:embed="rId433" cstate="email">
                      <a:extLst>
                        <a:ext uri="{28A0092B-C50C-407E-A947-70E740481C1C}">
                          <a14:useLocalDpi xmlns:a14="http://schemas.microsoft.com/office/drawing/2010/main"/>
                        </a:ext>
                      </a:extLst>
                    </a:blip>
                    <a:srcRect/>
                    <a:stretch/>
                  </pic:blipFill>
                  <pic:spPr bwMode="auto">
                    <a:xfrm rot="10083570">
                      <a:off x="0" y="0"/>
                      <a:ext cx="232410" cy="664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781438" behindDoc="0" locked="0" layoutInCell="1" allowOverlap="1" wp14:anchorId="5732A0B0" wp14:editId="012DDDF9">
                <wp:simplePos x="0" y="0"/>
                <wp:positionH relativeFrom="column">
                  <wp:posOffset>408940</wp:posOffset>
                </wp:positionH>
                <wp:positionV relativeFrom="paragraph">
                  <wp:posOffset>187325</wp:posOffset>
                </wp:positionV>
                <wp:extent cx="6000115" cy="292100"/>
                <wp:effectExtent l="0" t="0" r="0" b="0"/>
                <wp:wrapNone/>
                <wp:docPr id="2646" name="Text Box 2646"/>
                <wp:cNvGraphicFramePr/>
                <a:graphic xmlns:a="http://schemas.openxmlformats.org/drawingml/2006/main">
                  <a:graphicData uri="http://schemas.microsoft.com/office/word/2010/wordprocessingShape">
                    <wps:wsp>
                      <wps:cNvSpPr txBox="1"/>
                      <wps:spPr>
                        <a:xfrm>
                          <a:off x="0" y="0"/>
                          <a:ext cx="6000115" cy="292100"/>
                        </a:xfrm>
                        <a:prstGeom prst="rect">
                          <a:avLst/>
                        </a:prstGeom>
                        <a:noFill/>
                        <a:ln w="6350">
                          <a:noFill/>
                        </a:ln>
                      </wps:spPr>
                      <wps:txbx>
                        <w:txbxContent>
                          <w:p w14:paraId="76974155" w14:textId="77777777" w:rsidR="00D15FD8" w:rsidRPr="003625BA" w:rsidRDefault="00D15FD8" w:rsidP="00572A05">
                            <w:pPr>
                              <w:spacing w:line="276" w:lineRule="auto"/>
                              <w:rPr>
                                <w:rFonts w:ascii="Roboto" w:hAnsi="Roboto" w:cs="Arial"/>
                                <w:color w:val="FFFFFF" w:themeColor="background1"/>
                                <w:sz w:val="20"/>
                                <w:szCs w:val="20"/>
                              </w:rPr>
                            </w:pPr>
                            <w:r w:rsidRPr="003625BA">
                              <w:rPr>
                                <w:rFonts w:ascii="Roboto" w:hAnsi="Roboto" w:cs="Arial"/>
                                <w:color w:val="FFFFFF" w:themeColor="background1"/>
                                <w:sz w:val="20"/>
                                <w:szCs w:val="20"/>
                              </w:rPr>
                              <w:t>Regardless of their specific structure and form, to be effective, independent fiscal institutions should: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2A0B0" id="Text Box 2646" o:spid="_x0000_s1259" type="#_x0000_t202" style="position:absolute;left:0;text-align:left;margin-left:32.2pt;margin-top:14.75pt;width:472.45pt;height:23pt;z-index:254781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" filled="f" stroked="f" strokeweight=".5pt">
                <v:textbox>
                  <w:txbxContent>
                    <w:p w14:paraId="76974155" w14:textId="77777777" w:rsidR="00D15FD8" w:rsidRPr="003625BA" w:rsidRDefault="00D15FD8" w:rsidP="00572A05">
                      <w:pPr>
                        <w:spacing w:line="276" w:lineRule="auto"/>
                        <w:rPr>
                          <w:rFonts w:ascii="Roboto" w:hAnsi="Roboto" w:cs="Arial"/>
                          <w:color w:val="FFFFFF" w:themeColor="background1"/>
                          <w:sz w:val="20"/>
                          <w:szCs w:val="20"/>
                        </w:rPr>
                      </w:pPr>
                      <w:r w:rsidRPr="003625BA">
                        <w:rPr>
                          <w:rFonts w:ascii="Roboto" w:hAnsi="Roboto" w:cs="Arial"/>
                          <w:color w:val="FFFFFF" w:themeColor="background1"/>
                          <w:sz w:val="20"/>
                          <w:szCs w:val="20"/>
                        </w:rPr>
                        <w:t>Regardless of their specific structure and form, to be effective, independent fiscal institutions should:</w:t>
                      </w:r>
                    </w:p>
                  </w:txbxContent>
                </v:textbox>
              </v:shape>
            </w:pict>
          </mc:Fallback>
        </mc:AlternateContent>
      </w:r>
    </w:p>
    <w:p w14:paraId="65B53B2E" w14:textId="1C84BE62" w:rsidR="00572A05" w:rsidRDefault="00572A05" w:rsidP="00083734">
      <w:pPr>
        <w:spacing w:line="276" w:lineRule="auto"/>
        <w:jc w:val="both"/>
        <w:rPr>
          <w:rFonts w:ascii="Arial" w:hAnsi="Arial" w:cs="Arial"/>
          <w:sz w:val="24"/>
          <w:szCs w:val="24"/>
        </w:rPr>
      </w:pPr>
    </w:p>
    <w:p w14:paraId="0502FF3C" w14:textId="77777777" w:rsidR="0080013A" w:rsidRPr="00FF52A5" w:rsidRDefault="0080013A" w:rsidP="003625BA">
      <w:pPr>
        <w:jc w:val="both"/>
        <w:rPr>
          <w:rFonts w:ascii="Arial" w:hAnsi="Arial" w:cs="Arial"/>
          <w:sz w:val="24"/>
          <w:szCs w:val="24"/>
        </w:rPr>
      </w:pPr>
    </w:p>
    <w:p w14:paraId="757A6AEB" w14:textId="77777777" w:rsidR="00572A05" w:rsidRPr="003625BA" w:rsidRDefault="00572A05" w:rsidP="003625BA">
      <w:pPr>
        <w:pStyle w:val="ListParagraph"/>
        <w:numPr>
          <w:ilvl w:val="1"/>
          <w:numId w:val="161"/>
        </w:numPr>
        <w:jc w:val="both"/>
        <w:rPr>
          <w:rFonts w:ascii="Roboto" w:hAnsi="Roboto" w:cs="Arial"/>
          <w:bCs/>
          <w:color w:val="000000" w:themeColor="text1"/>
          <w:sz w:val="20"/>
          <w:szCs w:val="20"/>
        </w:rPr>
      </w:pPr>
      <w:r w:rsidRPr="003625BA">
        <w:rPr>
          <w:rFonts w:ascii="Roboto" w:hAnsi="Roboto" w:cs="Arial"/>
          <w:bCs/>
          <w:color w:val="000000" w:themeColor="text1"/>
          <w:sz w:val="20"/>
          <w:szCs w:val="20"/>
        </w:rPr>
        <w:t xml:space="preserve">be independent, non-partisan and equipped with professional expertise; </w:t>
      </w:r>
    </w:p>
    <w:p w14:paraId="7464AACF" w14:textId="77777777" w:rsidR="00572A05" w:rsidRPr="003625BA" w:rsidRDefault="00572A05" w:rsidP="003625BA">
      <w:pPr>
        <w:pStyle w:val="ListParagraph"/>
        <w:numPr>
          <w:ilvl w:val="1"/>
          <w:numId w:val="161"/>
        </w:numPr>
        <w:jc w:val="both"/>
        <w:rPr>
          <w:rFonts w:ascii="Roboto" w:hAnsi="Roboto" w:cs="Arial"/>
          <w:bCs/>
          <w:color w:val="000000" w:themeColor="text1"/>
          <w:sz w:val="20"/>
          <w:szCs w:val="20"/>
        </w:rPr>
      </w:pPr>
      <w:r w:rsidRPr="003625BA">
        <w:rPr>
          <w:rFonts w:ascii="Roboto" w:hAnsi="Roboto" w:cs="Arial"/>
          <w:bCs/>
          <w:color w:val="000000" w:themeColor="text1"/>
          <w:sz w:val="20"/>
          <w:szCs w:val="20"/>
        </w:rPr>
        <w:t>have a clear and well-defined legal mandate;</w:t>
      </w:r>
    </w:p>
    <w:p w14:paraId="54F9C7B3" w14:textId="77777777" w:rsidR="00572A05" w:rsidRPr="003625BA" w:rsidRDefault="00572A05" w:rsidP="003625BA">
      <w:pPr>
        <w:pStyle w:val="ListParagraph"/>
        <w:numPr>
          <w:ilvl w:val="1"/>
          <w:numId w:val="161"/>
        </w:numPr>
        <w:jc w:val="both"/>
        <w:rPr>
          <w:rFonts w:ascii="Roboto" w:hAnsi="Roboto" w:cs="Arial"/>
          <w:bCs/>
          <w:color w:val="000000" w:themeColor="text1"/>
          <w:sz w:val="20"/>
          <w:szCs w:val="20"/>
        </w:rPr>
      </w:pPr>
      <w:r w:rsidRPr="003625BA">
        <w:rPr>
          <w:rFonts w:ascii="Roboto" w:hAnsi="Roboto" w:cs="Arial"/>
          <w:bCs/>
          <w:color w:val="000000" w:themeColor="text1"/>
          <w:sz w:val="20"/>
          <w:szCs w:val="20"/>
        </w:rPr>
        <w:t xml:space="preserve">have assured and stable levels of resources, sufficient to meet their mandate; </w:t>
      </w:r>
    </w:p>
    <w:p w14:paraId="0D6F0BA7" w14:textId="77777777" w:rsidR="00572A05" w:rsidRPr="003625BA" w:rsidRDefault="00572A05" w:rsidP="003625BA">
      <w:pPr>
        <w:pStyle w:val="ListParagraph"/>
        <w:numPr>
          <w:ilvl w:val="1"/>
          <w:numId w:val="161"/>
        </w:numPr>
        <w:jc w:val="both"/>
        <w:rPr>
          <w:rFonts w:ascii="Roboto" w:hAnsi="Roboto" w:cs="Arial"/>
          <w:bCs/>
          <w:color w:val="000000" w:themeColor="text1"/>
          <w:sz w:val="20"/>
          <w:szCs w:val="20"/>
        </w:rPr>
      </w:pPr>
      <w:r w:rsidRPr="003625BA">
        <w:rPr>
          <w:rFonts w:ascii="Roboto" w:hAnsi="Roboto" w:cs="Arial"/>
          <w:bCs/>
          <w:color w:val="000000" w:themeColor="text1"/>
          <w:sz w:val="20"/>
          <w:szCs w:val="20"/>
        </w:rPr>
        <w:t xml:space="preserve">have full and timely access to budget-related information from the executive; and </w:t>
      </w:r>
    </w:p>
    <w:p w14:paraId="781EAF2D" w14:textId="2FC02D45" w:rsidR="00572A05" w:rsidRPr="003625BA" w:rsidRDefault="00572A05" w:rsidP="003625BA">
      <w:pPr>
        <w:pStyle w:val="ListParagraph"/>
        <w:numPr>
          <w:ilvl w:val="1"/>
          <w:numId w:val="161"/>
        </w:numPr>
        <w:jc w:val="both"/>
        <w:rPr>
          <w:rFonts w:ascii="Roboto" w:hAnsi="Roboto" w:cs="Arial"/>
          <w:color w:val="000000" w:themeColor="text1"/>
          <w:sz w:val="20"/>
          <w:szCs w:val="20"/>
        </w:rPr>
      </w:pPr>
      <w:r w:rsidRPr="003625BA">
        <w:rPr>
          <w:rFonts w:ascii="Roboto" w:hAnsi="Roboto" w:cs="Arial"/>
          <w:bCs/>
          <w:color w:val="000000" w:themeColor="text1"/>
          <w:sz w:val="20"/>
          <w:szCs w:val="20"/>
        </w:rPr>
        <w:t xml:space="preserve">conduct their work and operations with full public transparency. </w:t>
      </w:r>
    </w:p>
    <w:p w14:paraId="53B259D7" w14:textId="473D6585" w:rsidR="0080013A" w:rsidRPr="003625BA" w:rsidRDefault="0080013A" w:rsidP="003625BA">
      <w:pPr>
        <w:jc w:val="both"/>
        <w:rPr>
          <w:rFonts w:ascii="Roboto" w:hAnsi="Roboto" w:cs="Arial"/>
          <w:bCs/>
          <w:color w:val="000000" w:themeColor="text1"/>
          <w:sz w:val="20"/>
          <w:szCs w:val="20"/>
        </w:rPr>
      </w:pPr>
    </w:p>
    <w:p w14:paraId="26544196" w14:textId="4B071023" w:rsidR="0080013A" w:rsidRDefault="0080013A" w:rsidP="0080013A">
      <w:pPr>
        <w:jc w:val="both"/>
        <w:rPr>
          <w:rFonts w:ascii="Roboto" w:hAnsi="Roboto" w:cs="Arial"/>
          <w:bCs/>
          <w:color w:val="000000" w:themeColor="text1"/>
          <w:sz w:val="20"/>
          <w:szCs w:val="20"/>
        </w:rPr>
      </w:pPr>
      <w:r>
        <w:rPr>
          <w:rFonts w:ascii="Arial" w:hAnsi="Arial" w:cs="Arial"/>
          <w:noProof/>
          <w:sz w:val="24"/>
          <w:szCs w:val="24"/>
          <w:lang w:val="en-US"/>
        </w:rPr>
        <w:drawing>
          <wp:anchor distT="0" distB="0" distL="114300" distR="114300" simplePos="0" relativeHeight="252286974" behindDoc="0" locked="0" layoutInCell="1" allowOverlap="1" wp14:anchorId="1E0207A2" wp14:editId="30F0B221">
            <wp:simplePos x="0" y="0"/>
            <wp:positionH relativeFrom="column">
              <wp:posOffset>-38100</wp:posOffset>
            </wp:positionH>
            <wp:positionV relativeFrom="paragraph">
              <wp:posOffset>38735</wp:posOffset>
            </wp:positionV>
            <wp:extent cx="845820" cy="952500"/>
            <wp:effectExtent l="0" t="0" r="5080" b="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rotWithShape="1">
                    <a:blip r:embed="rId434" cstate="email">
                      <a:extLst>
                        <a:ext uri="{28A0092B-C50C-407E-A947-70E740481C1C}">
                          <a14:useLocalDpi xmlns:a14="http://schemas.microsoft.com/office/drawing/2010/main"/>
                        </a:ext>
                      </a:extLst>
                    </a:blip>
                    <a:srcRect/>
                    <a:stretch/>
                  </pic:blipFill>
                  <pic:spPr bwMode="auto">
                    <a:xfrm>
                      <a:off x="0" y="0"/>
                      <a:ext cx="845820" cy="95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5BA">
        <w:rPr>
          <w:rFonts w:ascii="Roboto" w:hAnsi="Roboto" w:cs="Arial"/>
          <w:bCs/>
          <w:color w:val="000000" w:themeColor="text1"/>
          <w:sz w:val="20"/>
          <w:szCs w:val="20"/>
        </w:rPr>
        <w:t xml:space="preserve">Regarding their relationship with key actors in the fiscal ecosystem they should be given sufficient time in the budgetary and legislative calendar to do their work, and also be accountable to the legislature (regardless of whether the institution is under the statutory authority of the executive or legislative branch of government). Its role relative to parliament’s budget committee (or equivalent), other committees, and individual members in terms of requests for analysis should be clearly established in legislation. </w:t>
      </w:r>
    </w:p>
    <w:p w14:paraId="5E01B763" w14:textId="74DC09A7" w:rsidR="0080013A" w:rsidRPr="0080013A" w:rsidRDefault="0080013A" w:rsidP="0080013A">
      <w:pPr>
        <w:jc w:val="both"/>
        <w:rPr>
          <w:rFonts w:ascii="Roboto" w:hAnsi="Roboto" w:cs="Arial"/>
          <w:bCs/>
          <w:color w:val="000000" w:themeColor="text1"/>
          <w:sz w:val="20"/>
          <w:szCs w:val="20"/>
        </w:rPr>
      </w:pPr>
    </w:p>
    <w:p w14:paraId="034B29CD" w14:textId="77777777" w:rsidR="0080013A" w:rsidRPr="003625BA" w:rsidRDefault="0080013A" w:rsidP="003625BA">
      <w:pPr>
        <w:jc w:val="both"/>
        <w:rPr>
          <w:rFonts w:ascii="Roboto" w:hAnsi="Roboto" w:cs="Arial"/>
          <w:sz w:val="20"/>
          <w:szCs w:val="20"/>
        </w:rPr>
      </w:pPr>
      <w:r w:rsidRPr="003625BA">
        <w:rPr>
          <w:rFonts w:ascii="Roboto" w:hAnsi="Roboto" w:cs="Arial"/>
          <w:bCs/>
          <w:sz w:val="20"/>
          <w:szCs w:val="20"/>
        </w:rPr>
        <w:t>Independent fiscal institutions themselves also have a duty to act transparently. This assists in protecting their independence and allows them to build credibility with the public. Independent reports and analysis should be timeously presented to the legislature and executive, published and made freely available to all. They should develop effective communication channels, especially with the media, civil society, and other key actors. Given that their influence in fiscal policy making is persuasive (rather than coercive by means of legal sanctions or other punitive measures), media coverage of their work assists in fostering an informed public that may then exercise timely pressure on the government to behave transparently and responsibly in fiscal matters. Finally, they should themselves also remain accountable, including by developing a mechanism for the external evaluation of its work.</w:t>
      </w:r>
    </w:p>
    <w:p w14:paraId="386B3132" w14:textId="77777777" w:rsidR="0080013A" w:rsidRPr="003625BA" w:rsidRDefault="0080013A" w:rsidP="003625BA">
      <w:pPr>
        <w:jc w:val="both"/>
        <w:rPr>
          <w:rFonts w:ascii="Roboto" w:hAnsi="Roboto" w:cs="Arial"/>
          <w:bCs/>
          <w:color w:val="000000" w:themeColor="text1"/>
          <w:sz w:val="20"/>
          <w:szCs w:val="20"/>
        </w:rPr>
      </w:pPr>
    </w:p>
    <w:p w14:paraId="58A49490" w14:textId="77777777" w:rsidR="00083734" w:rsidRPr="003625BA" w:rsidRDefault="00083734" w:rsidP="002354E4">
      <w:pPr>
        <w:spacing w:line="276" w:lineRule="auto"/>
        <w:jc w:val="both"/>
        <w:rPr>
          <w:rFonts w:ascii="Arial" w:hAnsi="Arial" w:cs="Arial"/>
          <w:sz w:val="16"/>
          <w:szCs w:val="16"/>
        </w:rPr>
      </w:pPr>
    </w:p>
    <w:p w14:paraId="60F3C295" w14:textId="191461E2" w:rsidR="00752903" w:rsidRPr="00EB00CC" w:rsidRDefault="00CC248E" w:rsidP="00752903">
      <w:pPr>
        <w:pStyle w:val="FootnoteText"/>
        <w:rPr>
          <w:rFonts w:ascii="Arial" w:hAnsi="Arial" w:cs="Arial"/>
          <w:sz w:val="16"/>
          <w:szCs w:val="16"/>
          <w:lang w:val="en-ZA"/>
        </w:rPr>
      </w:pPr>
      <w:r w:rsidRPr="00EB00CC">
        <w:rPr>
          <w:rFonts w:ascii="Arial" w:hAnsi="Arial" w:cs="Arial"/>
          <w:noProof/>
          <w:sz w:val="16"/>
          <w:szCs w:val="16"/>
          <w:vertAlign w:val="superscript"/>
          <w:lang w:val="en-US"/>
        </w:rPr>
        <mc:AlternateContent>
          <mc:Choice Requires="wps">
            <w:drawing>
              <wp:anchor distT="0" distB="0" distL="114300" distR="114300" simplePos="0" relativeHeight="252275710" behindDoc="0" locked="0" layoutInCell="1" allowOverlap="1" wp14:anchorId="2724F2DB" wp14:editId="72D13148">
                <wp:simplePos x="0" y="0"/>
                <wp:positionH relativeFrom="margin">
                  <wp:posOffset>120316</wp:posOffset>
                </wp:positionH>
                <wp:positionV relativeFrom="paragraph">
                  <wp:posOffset>7671969</wp:posOffset>
                </wp:positionV>
                <wp:extent cx="6412230" cy="1515979"/>
                <wp:effectExtent l="0" t="0" r="1270" b="0"/>
                <wp:wrapNone/>
                <wp:docPr id="401" name="Text Box 401"/>
                <wp:cNvGraphicFramePr/>
                <a:graphic xmlns:a="http://schemas.openxmlformats.org/drawingml/2006/main">
                  <a:graphicData uri="http://schemas.microsoft.com/office/word/2010/wordprocessingShape">
                    <wps:wsp>
                      <wps:cNvSpPr txBox="1"/>
                      <wps:spPr>
                        <a:xfrm>
                          <a:off x="0" y="0"/>
                          <a:ext cx="6412230" cy="1515979"/>
                        </a:xfrm>
                        <a:prstGeom prst="rect">
                          <a:avLst/>
                        </a:prstGeom>
                        <a:solidFill>
                          <a:schemeClr val="lt1"/>
                        </a:solidFill>
                        <a:ln w="6350">
                          <a:noFill/>
                        </a:ln>
                      </wps:spPr>
                      <wps:txbx>
                        <w:txbxContent>
                          <w:p w14:paraId="43112A88" w14:textId="77777777" w:rsidR="00D15FD8" w:rsidRPr="00FF52A5" w:rsidRDefault="00D15FD8" w:rsidP="00CC248E">
                            <w:pPr>
                              <w:shd w:val="clear" w:color="auto" w:fill="FFFFFF" w:themeFill="background1"/>
                              <w:spacing w:line="276" w:lineRule="auto"/>
                              <w:jc w:val="both"/>
                              <w:rPr>
                                <w:rFonts w:ascii="Arial" w:hAnsi="Arial" w:cs="Arial"/>
                                <w:bCs/>
                                <w:sz w:val="24"/>
                                <w:szCs w:val="24"/>
                              </w:rPr>
                            </w:pPr>
                            <w:r w:rsidRPr="00FF52A5">
                              <w:rPr>
                                <w:rFonts w:ascii="Arial" w:hAnsi="Arial" w:cs="Arial"/>
                                <w:sz w:val="24"/>
                                <w:szCs w:val="24"/>
                              </w:rPr>
                              <w:t>These institutions vary in structure and form across countries. Their design should however respond to country specific contexts, with their tasks and functions selected to enhance the overall quality of budget-related decision-making and debate. International experience and guidance can be drawn upon when considering their roles, for instance some countries have more than one institution with complementary roles – for example, a parliamentary budget office which provides budgetary analysis to the legislature together with a fiscal council tasked with assessing government forecasts and monitoring fiscal rules. Suggested starting points in considering appropriate functions include these institutions being required to assess, endorse, or produce official macroeconomic and/or fiscal forecasts; analyse budgets and fiscal plans, and monitor compliance with fiscal rules; evaluate the mid- and long-term sustainability of public finances; and provide cost estimates for proposed policy measures</w:t>
                            </w:r>
                            <w:r w:rsidRPr="00FF52A5">
                              <w:rPr>
                                <w:rFonts w:ascii="Arial" w:hAnsi="Arial" w:cs="Arial"/>
                                <w:bCs/>
                                <w:sz w:val="24"/>
                                <w:szCs w:val="24"/>
                              </w:rPr>
                              <w:t>.</w:t>
                            </w:r>
                          </w:p>
                          <w:p w14:paraId="1D710EF7" w14:textId="77777777" w:rsidR="00D15FD8" w:rsidRDefault="00D15FD8" w:rsidP="00CC24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4F2DB" id="Text Box 401" o:spid="_x0000_s1260" type="#_x0000_t202" style="position:absolute;margin-left:9.45pt;margin-top:604.1pt;width:504.9pt;height:119.35pt;z-index:2522757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" fillcolor="white [3201]" stroked="f" strokeweight=".5pt">
                <v:textbox>
                  <w:txbxContent>
                    <w:p w14:paraId="43112A88" w14:textId="77777777" w:rsidR="00D15FD8" w:rsidRPr="00FF52A5" w:rsidRDefault="00D15FD8" w:rsidP="00CC248E">
                      <w:pPr>
                        <w:shd w:val="clear" w:color="auto" w:fill="FFFFFF" w:themeFill="background1"/>
                        <w:spacing w:line="276" w:lineRule="auto"/>
                        <w:jc w:val="both"/>
                        <w:rPr>
                          <w:rFonts w:ascii="Arial" w:hAnsi="Arial" w:cs="Arial"/>
                          <w:bCs/>
                          <w:sz w:val="24"/>
                          <w:szCs w:val="24"/>
                        </w:rPr>
                      </w:pPr>
                      <w:r w:rsidRPr="00FF52A5">
                        <w:rPr>
                          <w:rFonts w:ascii="Arial" w:hAnsi="Arial" w:cs="Arial"/>
                          <w:sz w:val="24"/>
                          <w:szCs w:val="24"/>
                        </w:rPr>
                        <w:t>These institutions vary in structure and form across countries. Their design should however respond to country specific contexts, with their tasks and functions selected to enhance the overall quality of budget-related decision-making and debate. International experience and guidance can be drawn upon when considering their roles, for instance some countries have more than one institution with complementary roles – for example, a parliamentary budget office which provides budgetary analysis to the legislature together with a fiscal council tasked with assessing government forecasts and monitoring fiscal rules. Suggested starting points in considering appropriate functions include these institutions being required to assess, endorse, or produce official macroeconomic and/or fiscal forecasts; analyse budgets and fiscal plans, and monitor compliance with fiscal rules; evaluate the mid- and long-term sustainability of public finances; and provide cost estimates for proposed policy measures</w:t>
                      </w:r>
                      <w:r w:rsidRPr="00FF52A5">
                        <w:rPr>
                          <w:rFonts w:ascii="Arial" w:hAnsi="Arial" w:cs="Arial"/>
                          <w:bCs/>
                          <w:sz w:val="24"/>
                          <w:szCs w:val="24"/>
                        </w:rPr>
                        <w:t>.</w:t>
                      </w:r>
                    </w:p>
                    <w:p w14:paraId="1D710EF7" w14:textId="77777777" w:rsidR="00D15FD8" w:rsidRDefault="00D15FD8" w:rsidP="00CC248E"/>
                  </w:txbxContent>
                </v:textbox>
                <w10:wrap anchorx="margin"/>
              </v:shape>
            </w:pict>
          </mc:Fallback>
        </mc:AlternateContent>
      </w:r>
      <w:r w:rsidR="00752903" w:rsidRPr="00EB00CC">
        <w:rPr>
          <w:rFonts w:ascii="Arial" w:hAnsi="Arial" w:cs="Arial"/>
          <w:sz w:val="16"/>
          <w:szCs w:val="16"/>
          <w:vertAlign w:val="superscript"/>
        </w:rPr>
        <w:t>28</w:t>
      </w:r>
      <w:r w:rsidR="00752903" w:rsidRPr="00EB00CC">
        <w:rPr>
          <w:rFonts w:ascii="Arial" w:hAnsi="Arial" w:cs="Arial"/>
          <w:sz w:val="16"/>
          <w:szCs w:val="16"/>
        </w:rPr>
        <w:t xml:space="preserve"> </w:t>
      </w:r>
      <w:r w:rsidR="00752903" w:rsidRPr="00EB00CC">
        <w:rPr>
          <w:rFonts w:ascii="Arial" w:hAnsi="Arial" w:cs="Arial"/>
          <w:sz w:val="16"/>
          <w:szCs w:val="16"/>
          <w:lang w:val="en-ZA"/>
        </w:rPr>
        <w:t>For further reading and examples see</w:t>
      </w:r>
      <w:r w:rsidR="00752903" w:rsidRPr="00EB00CC">
        <w:rPr>
          <w:rFonts w:ascii="Arial" w:hAnsi="Arial" w:cs="Arial"/>
          <w:sz w:val="16"/>
          <w:szCs w:val="16"/>
        </w:rPr>
        <w:t xml:space="preserve"> </w:t>
      </w:r>
      <w:proofErr w:type="spellStart"/>
      <w:r w:rsidR="00752903" w:rsidRPr="00EB00CC">
        <w:rPr>
          <w:rFonts w:ascii="Arial" w:hAnsi="Arial" w:cs="Arial"/>
          <w:sz w:val="16"/>
          <w:szCs w:val="16"/>
        </w:rPr>
        <w:t>Kopits</w:t>
      </w:r>
      <w:proofErr w:type="spellEnd"/>
      <w:r w:rsidR="00752903" w:rsidRPr="00EB00CC">
        <w:rPr>
          <w:rFonts w:ascii="Arial" w:hAnsi="Arial" w:cs="Arial"/>
          <w:sz w:val="16"/>
          <w:szCs w:val="16"/>
        </w:rPr>
        <w:t>, G. (2011). “</w:t>
      </w:r>
      <w:hyperlink r:id="rId435" w:history="1">
        <w:r w:rsidR="00752903" w:rsidRPr="00EB00CC">
          <w:rPr>
            <w:rStyle w:val="Hyperlink"/>
            <w:rFonts w:ascii="Arial" w:hAnsi="Arial" w:cs="Arial"/>
            <w:sz w:val="16"/>
            <w:szCs w:val="16"/>
          </w:rPr>
          <w:t>Independent Fiscal Institutions: Developing Good Practices</w:t>
        </w:r>
      </w:hyperlink>
      <w:r w:rsidR="00752903" w:rsidRPr="00EB00CC">
        <w:rPr>
          <w:rFonts w:ascii="Arial" w:hAnsi="Arial" w:cs="Arial"/>
          <w:sz w:val="16"/>
          <w:szCs w:val="16"/>
        </w:rPr>
        <w:t>” OECD Journal on Budgeting, Vol. 11/3.</w:t>
      </w:r>
    </w:p>
    <w:p w14:paraId="027CB383" w14:textId="0450F030" w:rsidR="00752903" w:rsidRPr="00EB00CC" w:rsidRDefault="00752903" w:rsidP="00752903">
      <w:pPr>
        <w:pStyle w:val="FootnoteText"/>
        <w:rPr>
          <w:rFonts w:ascii="Arial" w:hAnsi="Arial" w:cs="Arial"/>
          <w:sz w:val="16"/>
          <w:szCs w:val="16"/>
          <w:lang w:val="en-ZA"/>
        </w:rPr>
      </w:pPr>
      <w:r w:rsidRPr="00EB00CC">
        <w:rPr>
          <w:rStyle w:val="FootnoteReference"/>
          <w:rFonts w:ascii="Arial" w:hAnsi="Arial" w:cs="Arial"/>
          <w:sz w:val="16"/>
          <w:szCs w:val="16"/>
        </w:rPr>
        <w:t>2</w:t>
      </w:r>
      <w:r w:rsidRPr="00EB00CC">
        <w:rPr>
          <w:rFonts w:ascii="Arial" w:hAnsi="Arial" w:cs="Arial"/>
          <w:sz w:val="16"/>
          <w:szCs w:val="16"/>
          <w:vertAlign w:val="superscript"/>
        </w:rPr>
        <w:t>9</w:t>
      </w:r>
      <w:r w:rsidRPr="00EB00CC">
        <w:rPr>
          <w:rFonts w:ascii="Arial" w:hAnsi="Arial" w:cs="Arial"/>
          <w:sz w:val="16"/>
          <w:szCs w:val="16"/>
          <w:lang w:val="en-ZA"/>
        </w:rPr>
        <w:t xml:space="preserve"> For further reading see:</w:t>
      </w:r>
    </w:p>
    <w:p w14:paraId="04FF52DA" w14:textId="77777777" w:rsidR="00752903" w:rsidRPr="00EB00CC" w:rsidRDefault="00752903" w:rsidP="00752903">
      <w:pPr>
        <w:pStyle w:val="FootnoteText"/>
        <w:rPr>
          <w:rFonts w:ascii="Arial" w:hAnsi="Arial" w:cs="Arial"/>
          <w:sz w:val="16"/>
          <w:szCs w:val="16"/>
          <w:lang w:val="en-ZA"/>
        </w:rPr>
      </w:pPr>
      <w:r w:rsidRPr="00EB00CC">
        <w:rPr>
          <w:rFonts w:ascii="Arial" w:hAnsi="Arial" w:cs="Arial"/>
          <w:sz w:val="16"/>
          <w:szCs w:val="16"/>
          <w:lang w:val="en-ZA"/>
        </w:rPr>
        <w:t xml:space="preserve">IMF’s </w:t>
      </w:r>
      <w:hyperlink r:id="rId436" w:history="1">
        <w:r w:rsidRPr="00EB00CC">
          <w:rPr>
            <w:rStyle w:val="Hyperlink"/>
            <w:rFonts w:ascii="Arial" w:hAnsi="Arial" w:cs="Arial"/>
            <w:sz w:val="16"/>
            <w:szCs w:val="16"/>
            <w:lang w:val="en-ZA"/>
          </w:rPr>
          <w:t>Fiscal Monitor: Fiscal Policy from Pandemic to War</w:t>
        </w:r>
      </w:hyperlink>
      <w:r w:rsidRPr="00EB00CC">
        <w:rPr>
          <w:rFonts w:ascii="Arial" w:hAnsi="Arial" w:cs="Arial"/>
          <w:sz w:val="16"/>
          <w:szCs w:val="16"/>
          <w:lang w:val="en-ZA"/>
        </w:rPr>
        <w:t xml:space="preserve"> (2022).</w:t>
      </w:r>
    </w:p>
    <w:p w14:paraId="521A39C2" w14:textId="3F343DE5" w:rsidR="00752903" w:rsidRPr="00EB00CC" w:rsidRDefault="00752903" w:rsidP="00752903">
      <w:pPr>
        <w:pStyle w:val="FootnoteText"/>
        <w:rPr>
          <w:rFonts w:ascii="Arial" w:hAnsi="Arial" w:cs="Arial"/>
          <w:sz w:val="16"/>
          <w:szCs w:val="16"/>
          <w:lang w:val="en-ZA"/>
        </w:rPr>
      </w:pPr>
      <w:r w:rsidRPr="00EB00CC">
        <w:rPr>
          <w:rFonts w:ascii="Arial" w:hAnsi="Arial" w:cs="Arial"/>
          <w:sz w:val="16"/>
          <w:szCs w:val="16"/>
        </w:rPr>
        <w:t>Espinoza, R., Gaspar, V., and Mauro,</w:t>
      </w:r>
      <w:r w:rsidRPr="00EB00CC">
        <w:rPr>
          <w:rFonts w:ascii="Arial" w:hAnsi="Arial" w:cs="Arial"/>
          <w:sz w:val="16"/>
          <w:szCs w:val="16"/>
          <w:lang w:val="en-ZA"/>
        </w:rPr>
        <w:t xml:space="preserve"> </w:t>
      </w:r>
      <w:r w:rsidRPr="00EB00CC">
        <w:rPr>
          <w:rFonts w:ascii="Arial" w:hAnsi="Arial" w:cs="Arial"/>
          <w:sz w:val="16"/>
          <w:szCs w:val="16"/>
        </w:rPr>
        <w:t xml:space="preserve">P. </w:t>
      </w:r>
      <w:r w:rsidRPr="00EB00CC">
        <w:rPr>
          <w:rFonts w:ascii="Arial" w:hAnsi="Arial" w:cs="Arial"/>
          <w:sz w:val="16"/>
          <w:szCs w:val="16"/>
          <w:lang w:val="en-ZA"/>
        </w:rPr>
        <w:t>(2021). “</w:t>
      </w:r>
      <w:hyperlink r:id="rId437" w:history="1">
        <w:r w:rsidRPr="00EB00CC">
          <w:rPr>
            <w:rStyle w:val="Hyperlink"/>
            <w:rFonts w:ascii="Arial" w:hAnsi="Arial" w:cs="Arial"/>
            <w:sz w:val="16"/>
            <w:szCs w:val="16"/>
            <w:lang w:val="en-ZA"/>
          </w:rPr>
          <w:t>When It Comes to Public Finances, Credibility is Key</w:t>
        </w:r>
      </w:hyperlink>
      <w:r w:rsidRPr="00EB00CC">
        <w:rPr>
          <w:rFonts w:ascii="Arial" w:hAnsi="Arial" w:cs="Arial"/>
          <w:sz w:val="16"/>
          <w:szCs w:val="16"/>
          <w:lang w:val="en-ZA"/>
        </w:rPr>
        <w:t>”. IMF Blog.</w:t>
      </w:r>
    </w:p>
    <w:p w14:paraId="2C97FF9C" w14:textId="5289650D" w:rsidR="00CC248E" w:rsidRPr="00EB00CC" w:rsidRDefault="00AC4DF7" w:rsidP="00752903">
      <w:pPr>
        <w:spacing w:line="276" w:lineRule="auto"/>
        <w:jc w:val="both"/>
        <w:rPr>
          <w:rFonts w:ascii="Arial" w:hAnsi="Arial" w:cs="Arial"/>
          <w:sz w:val="16"/>
          <w:szCs w:val="16"/>
        </w:rPr>
      </w:pPr>
      <w:hyperlink r:id="rId438" w:history="1">
        <w:r w:rsidR="00752903" w:rsidRPr="00EB00CC">
          <w:rPr>
            <w:rStyle w:val="Hyperlink"/>
            <w:rFonts w:ascii="Arial" w:hAnsi="Arial" w:cs="Arial"/>
            <w:sz w:val="16"/>
            <w:szCs w:val="16"/>
            <w:lang w:val="en-ZA"/>
          </w:rPr>
          <w:t>Issues lab: Budget Credibility</w:t>
        </w:r>
      </w:hyperlink>
      <w:r w:rsidR="00752903" w:rsidRPr="00EB00CC">
        <w:rPr>
          <w:rFonts w:ascii="Arial" w:hAnsi="Arial" w:cs="Arial"/>
          <w:sz w:val="16"/>
          <w:szCs w:val="16"/>
          <w:lang w:val="en-ZA"/>
        </w:rPr>
        <w:t>. IBP website.</w:t>
      </w:r>
    </w:p>
    <w:p w14:paraId="31D80037" w14:textId="73D61E99" w:rsidR="00CE58CE" w:rsidRDefault="00CE58CE" w:rsidP="00F1140F">
      <w:pPr>
        <w:spacing w:line="276" w:lineRule="auto"/>
        <w:jc w:val="both"/>
        <w:rPr>
          <w:rFonts w:ascii="Arial" w:hAnsi="Arial" w:cs="Arial"/>
          <w:sz w:val="24"/>
          <w:szCs w:val="24"/>
        </w:rPr>
      </w:pPr>
    </w:p>
    <w:p w14:paraId="7860DB46" w14:textId="1A9DEFCB" w:rsidR="00F97CAF" w:rsidRDefault="00F97CAF" w:rsidP="00F1140F">
      <w:pPr>
        <w:spacing w:line="276" w:lineRule="auto"/>
        <w:jc w:val="both"/>
        <w:rPr>
          <w:rFonts w:ascii="Arial" w:hAnsi="Arial" w:cs="Arial"/>
          <w:sz w:val="24"/>
          <w:szCs w:val="24"/>
        </w:rPr>
      </w:pPr>
    </w:p>
    <w:p w14:paraId="3804EC4E" w14:textId="2FEA3099" w:rsidR="00F97CAF" w:rsidRDefault="00F97CAF" w:rsidP="00F1140F">
      <w:pPr>
        <w:spacing w:line="276" w:lineRule="auto"/>
        <w:jc w:val="both"/>
        <w:rPr>
          <w:rFonts w:ascii="Arial" w:hAnsi="Arial" w:cs="Arial"/>
          <w:sz w:val="24"/>
          <w:szCs w:val="24"/>
        </w:rPr>
      </w:pPr>
    </w:p>
    <w:p w14:paraId="46572344" w14:textId="65495EF2" w:rsidR="00F97CAF" w:rsidRDefault="00D15FD8" w:rsidP="00F1140F">
      <w:pPr>
        <w:spacing w:line="276" w:lineRule="auto"/>
        <w:jc w:val="both"/>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4793726" behindDoc="1" locked="0" layoutInCell="1" allowOverlap="1" wp14:anchorId="784573C4" wp14:editId="374A3197">
                <wp:simplePos x="0" y="0"/>
                <wp:positionH relativeFrom="margin">
                  <wp:posOffset>-191386</wp:posOffset>
                </wp:positionH>
                <wp:positionV relativeFrom="margin">
                  <wp:posOffset>-53443</wp:posOffset>
                </wp:positionV>
                <wp:extent cx="7010400" cy="5858539"/>
                <wp:effectExtent l="0" t="0" r="19050" b="27940"/>
                <wp:wrapNone/>
                <wp:docPr id="2664" name="Rectangle 2664"/>
                <wp:cNvGraphicFramePr/>
                <a:graphic xmlns:a="http://schemas.openxmlformats.org/drawingml/2006/main">
                  <a:graphicData uri="http://schemas.microsoft.com/office/word/2010/wordprocessingShape">
                    <wps:wsp>
                      <wps:cNvSpPr/>
                      <wps:spPr>
                        <a:xfrm>
                          <a:off x="0" y="0"/>
                          <a:ext cx="7010400" cy="5858539"/>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7662F" w14:textId="77777777" w:rsidR="00D15FD8" w:rsidRDefault="00D15FD8" w:rsidP="00233D8F"/>
                          <w:p w14:paraId="4807CFD9"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573C4" id="Rectangle 2664" o:spid="_x0000_s1261" style="position:absolute;left:0;text-align:left;margin-left:-15.05pt;margin-top:-4.2pt;width:552pt;height:461.3pt;z-index:-24852275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" fillcolor="#f2f2f2 [3052]" strokecolor="#16988a" strokeweight="1.5pt">
                <v:textbox>
                  <w:txbxContent>
                    <w:p w14:paraId="03A7662F" w14:textId="77777777" w:rsidR="00D15FD8" w:rsidRDefault="00D15FD8" w:rsidP="00233D8F"/>
                    <w:p w14:paraId="4807CFD9" w14:textId="77777777" w:rsidR="00D15FD8" w:rsidRPr="003625BA" w:rsidRDefault="00D15FD8" w:rsidP="003625BA">
                      <w:pPr>
                        <w:jc w:val="center"/>
                        <w:rPr>
                          <w:lang w:val="en-US"/>
                        </w:rPr>
                      </w:pPr>
                    </w:p>
                  </w:txbxContent>
                </v:textbox>
                <w10:wrap anchorx="margin" anchory="margin"/>
              </v:rect>
            </w:pict>
          </mc:Fallback>
        </mc:AlternateContent>
      </w:r>
      <w:r>
        <w:rPr>
          <w:rFonts w:ascii="Arial" w:hAnsi="Arial" w:cs="Arial"/>
          <w:b/>
          <w:noProof/>
          <w:sz w:val="24"/>
          <w:szCs w:val="24"/>
          <w:lang w:val="en-US"/>
        </w:rPr>
        <mc:AlternateContent>
          <mc:Choice Requires="wps">
            <w:drawing>
              <wp:anchor distT="0" distB="0" distL="114300" distR="114300" simplePos="0" relativeHeight="254787582" behindDoc="0" locked="0" layoutInCell="1" allowOverlap="1" wp14:anchorId="3A811236" wp14:editId="19346957">
                <wp:simplePos x="0" y="0"/>
                <wp:positionH relativeFrom="margin">
                  <wp:posOffset>1363345</wp:posOffset>
                </wp:positionH>
                <wp:positionV relativeFrom="paragraph">
                  <wp:posOffset>21752</wp:posOffset>
                </wp:positionV>
                <wp:extent cx="4174490" cy="332740"/>
                <wp:effectExtent l="0" t="0" r="0" b="0"/>
                <wp:wrapSquare wrapText="bothSides"/>
                <wp:docPr id="2662" name="Text Box 2662"/>
                <wp:cNvGraphicFramePr/>
                <a:graphic xmlns:a="http://schemas.openxmlformats.org/drawingml/2006/main">
                  <a:graphicData uri="http://schemas.microsoft.com/office/word/2010/wordprocessingShape">
                    <wps:wsp>
                      <wps:cNvSpPr txBox="1"/>
                      <wps:spPr>
                        <a:xfrm>
                          <a:off x="0" y="0"/>
                          <a:ext cx="4174490" cy="332740"/>
                        </a:xfrm>
                        <a:prstGeom prst="rect">
                          <a:avLst/>
                        </a:prstGeom>
                        <a:noFill/>
                        <a:ln w="6350">
                          <a:noFill/>
                        </a:ln>
                      </wps:spPr>
                      <wps:txbx>
                        <w:txbxContent>
                          <w:p w14:paraId="0691311E" w14:textId="5B50E61A" w:rsidR="00D15FD8" w:rsidRPr="00AB3FA0" w:rsidRDefault="00D15FD8" w:rsidP="003625BA">
                            <w:pPr>
                              <w:pStyle w:val="Heading3"/>
                              <w:jc w:val="center"/>
                              <w:rPr>
                                <w:rFonts w:ascii="Arial" w:hAnsi="Arial" w:cs="Arial"/>
                                <w:b/>
                                <w:bCs/>
                                <w:color w:val="19998C"/>
                                <w:sz w:val="26"/>
                                <w:szCs w:val="26"/>
                                <w:lang w:val="en-US"/>
                              </w:rPr>
                            </w:pPr>
                            <w:bookmarkStart w:id="875" w:name="_Box_2.2._Peer"/>
                            <w:bookmarkStart w:id="876" w:name="_Toc123204440"/>
                            <w:bookmarkStart w:id="877" w:name="_Toc123217371"/>
                            <w:bookmarkStart w:id="878" w:name="_Toc123828131"/>
                            <w:bookmarkStart w:id="879" w:name="_Toc123828341"/>
                            <w:bookmarkStart w:id="880" w:name="_Toc123828537"/>
                            <w:bookmarkStart w:id="881" w:name="_Toc123912564"/>
                            <w:bookmarkStart w:id="882" w:name="_Toc123912823"/>
                            <w:bookmarkStart w:id="883" w:name="_Toc123913050"/>
                            <w:bookmarkStart w:id="884" w:name="_Toc123913997"/>
                            <w:bookmarkStart w:id="885" w:name="_Toc125566616"/>
                            <w:bookmarkEnd w:id="875"/>
                            <w:r w:rsidRPr="00AB3FA0">
                              <w:rPr>
                                <w:rFonts w:ascii="Arial" w:hAnsi="Arial" w:cs="Arial"/>
                                <w:b/>
                                <w:bCs/>
                                <w:color w:val="19998C"/>
                                <w:sz w:val="26"/>
                                <w:szCs w:val="26"/>
                              </w:rPr>
                              <w:t>Box 2.2</w:t>
                            </w:r>
                            <w:r>
                              <w:rPr>
                                <w:rFonts w:ascii="Arial" w:hAnsi="Arial" w:cs="Arial"/>
                                <w:b/>
                                <w:bCs/>
                                <w:color w:val="19998C"/>
                                <w:sz w:val="26"/>
                                <w:szCs w:val="26"/>
                              </w:rPr>
                              <w:t>.</w:t>
                            </w:r>
                            <w:r w:rsidRPr="00AB3FA0">
                              <w:rPr>
                                <w:rFonts w:ascii="Arial" w:hAnsi="Arial" w:cs="Arial"/>
                                <w:b/>
                                <w:bCs/>
                                <w:color w:val="19998C"/>
                                <w:sz w:val="26"/>
                                <w:szCs w:val="26"/>
                              </w:rPr>
                              <w:t xml:space="preserve"> Peer </w:t>
                            </w:r>
                            <w:r>
                              <w:rPr>
                                <w:rFonts w:ascii="Arial" w:hAnsi="Arial" w:cs="Arial"/>
                                <w:b/>
                                <w:bCs/>
                                <w:color w:val="19998C"/>
                                <w:sz w:val="26"/>
                                <w:szCs w:val="26"/>
                              </w:rPr>
                              <w:t>l</w:t>
                            </w:r>
                            <w:r w:rsidRPr="00AB3FA0">
                              <w:rPr>
                                <w:rFonts w:ascii="Arial" w:hAnsi="Arial" w:cs="Arial"/>
                                <w:b/>
                                <w:bCs/>
                                <w:color w:val="19998C"/>
                                <w:sz w:val="26"/>
                                <w:szCs w:val="26"/>
                              </w:rPr>
                              <w:t>earning</w:t>
                            </w:r>
                            <w:bookmarkEnd w:id="876"/>
                            <w:bookmarkEnd w:id="877"/>
                            <w:bookmarkEnd w:id="878"/>
                            <w:bookmarkEnd w:id="879"/>
                            <w:bookmarkEnd w:id="880"/>
                            <w:bookmarkEnd w:id="881"/>
                            <w:bookmarkEnd w:id="882"/>
                            <w:bookmarkEnd w:id="883"/>
                            <w:bookmarkEnd w:id="884"/>
                            <w:bookmarkEnd w:id="88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811236" id="Text Box 2662" o:spid="_x0000_s1262" type="#_x0000_t202" style="position:absolute;left:0;text-align:left;margin-left:107.35pt;margin-top:1.7pt;width:328.7pt;height:26.2pt;z-index:25478758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" filled="f" stroked="f" strokeweight=".5pt">
                <v:textbox>
                  <w:txbxContent>
                    <w:p w14:paraId="0691311E" w14:textId="5B50E61A" w:rsidR="00D15FD8" w:rsidRPr="00AB3FA0" w:rsidRDefault="00D15FD8" w:rsidP="003625BA">
                      <w:pPr>
                        <w:pStyle w:val="Heading3"/>
                        <w:jc w:val="center"/>
                        <w:rPr>
                          <w:rFonts w:ascii="Arial" w:hAnsi="Arial" w:cs="Arial"/>
                          <w:b/>
                          <w:bCs/>
                          <w:color w:val="19998C"/>
                          <w:sz w:val="26"/>
                          <w:szCs w:val="26"/>
                          <w:lang w:val="en-US"/>
                        </w:rPr>
                      </w:pPr>
                      <w:bookmarkStart w:id="886" w:name="_Box_2.2._Peer"/>
                      <w:bookmarkStart w:id="887" w:name="_Toc123204440"/>
                      <w:bookmarkStart w:id="888" w:name="_Toc123217371"/>
                      <w:bookmarkStart w:id="889" w:name="_Toc123828131"/>
                      <w:bookmarkStart w:id="890" w:name="_Toc123828341"/>
                      <w:bookmarkStart w:id="891" w:name="_Toc123828537"/>
                      <w:bookmarkStart w:id="892" w:name="_Toc123912564"/>
                      <w:bookmarkStart w:id="893" w:name="_Toc123912823"/>
                      <w:bookmarkStart w:id="894" w:name="_Toc123913050"/>
                      <w:bookmarkStart w:id="895" w:name="_Toc123913997"/>
                      <w:bookmarkStart w:id="896" w:name="_Toc125566616"/>
                      <w:bookmarkEnd w:id="886"/>
                      <w:r w:rsidRPr="00AB3FA0">
                        <w:rPr>
                          <w:rFonts w:ascii="Arial" w:hAnsi="Arial" w:cs="Arial"/>
                          <w:b/>
                          <w:bCs/>
                          <w:color w:val="19998C"/>
                          <w:sz w:val="26"/>
                          <w:szCs w:val="26"/>
                        </w:rPr>
                        <w:t>Box 2.2</w:t>
                      </w:r>
                      <w:r>
                        <w:rPr>
                          <w:rFonts w:ascii="Arial" w:hAnsi="Arial" w:cs="Arial"/>
                          <w:b/>
                          <w:bCs/>
                          <w:color w:val="19998C"/>
                          <w:sz w:val="26"/>
                          <w:szCs w:val="26"/>
                        </w:rPr>
                        <w:t>.</w:t>
                      </w:r>
                      <w:r w:rsidRPr="00AB3FA0">
                        <w:rPr>
                          <w:rFonts w:ascii="Arial" w:hAnsi="Arial" w:cs="Arial"/>
                          <w:b/>
                          <w:bCs/>
                          <w:color w:val="19998C"/>
                          <w:sz w:val="26"/>
                          <w:szCs w:val="26"/>
                        </w:rPr>
                        <w:t xml:space="preserve"> Peer </w:t>
                      </w:r>
                      <w:r>
                        <w:rPr>
                          <w:rFonts w:ascii="Arial" w:hAnsi="Arial" w:cs="Arial"/>
                          <w:b/>
                          <w:bCs/>
                          <w:color w:val="19998C"/>
                          <w:sz w:val="26"/>
                          <w:szCs w:val="26"/>
                        </w:rPr>
                        <w:t>l</w:t>
                      </w:r>
                      <w:r w:rsidRPr="00AB3FA0">
                        <w:rPr>
                          <w:rFonts w:ascii="Arial" w:hAnsi="Arial" w:cs="Arial"/>
                          <w:b/>
                          <w:bCs/>
                          <w:color w:val="19998C"/>
                          <w:sz w:val="26"/>
                          <w:szCs w:val="26"/>
                        </w:rPr>
                        <w:t>earning</w:t>
                      </w:r>
                      <w:bookmarkEnd w:id="887"/>
                      <w:bookmarkEnd w:id="888"/>
                      <w:bookmarkEnd w:id="889"/>
                      <w:bookmarkEnd w:id="890"/>
                      <w:bookmarkEnd w:id="891"/>
                      <w:bookmarkEnd w:id="892"/>
                      <w:bookmarkEnd w:id="893"/>
                      <w:bookmarkEnd w:id="894"/>
                      <w:bookmarkEnd w:id="895"/>
                      <w:bookmarkEnd w:id="896"/>
                    </w:p>
                  </w:txbxContent>
                </v:textbox>
                <w10:wrap type="square" anchorx="margin"/>
              </v:shape>
            </w:pict>
          </mc:Fallback>
        </mc:AlternateContent>
      </w:r>
    </w:p>
    <w:p w14:paraId="2987D6A0" w14:textId="7DFB56BC" w:rsidR="00CE58CE" w:rsidRDefault="00D15FD8" w:rsidP="00F1140F">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789630" behindDoc="1" locked="0" layoutInCell="1" allowOverlap="1" wp14:anchorId="44512901" wp14:editId="67EF047E">
            <wp:simplePos x="0" y="0"/>
            <wp:positionH relativeFrom="column">
              <wp:posOffset>-43815</wp:posOffset>
            </wp:positionH>
            <wp:positionV relativeFrom="paragraph">
              <wp:posOffset>158912</wp:posOffset>
            </wp:positionV>
            <wp:extent cx="1308100" cy="1294765"/>
            <wp:effectExtent l="0" t="0" r="6350" b="635"/>
            <wp:wrapSquare wrapText="bothSides"/>
            <wp:docPr id="2663" name="Picture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rotWithShape="1">
                    <a:blip r:embed="rId439" cstate="email">
                      <a:extLst>
                        <a:ext uri="{28A0092B-C50C-407E-A947-70E740481C1C}">
                          <a14:useLocalDpi xmlns:a14="http://schemas.microsoft.com/office/drawing/2010/main"/>
                        </a:ext>
                      </a:extLst>
                    </a:blip>
                    <a:srcRect/>
                    <a:stretch/>
                  </pic:blipFill>
                  <pic:spPr bwMode="auto">
                    <a:xfrm>
                      <a:off x="0" y="0"/>
                      <a:ext cx="1308100" cy="129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C9B8C" w14:textId="2E3B5B37" w:rsidR="00233D8F" w:rsidRPr="003625BA" w:rsidRDefault="00233D8F" w:rsidP="003625BA">
      <w:pPr>
        <w:jc w:val="both"/>
        <w:rPr>
          <w:rFonts w:ascii="Roboto" w:hAnsi="Roboto" w:cs="Arial"/>
          <w:bCs/>
          <w:sz w:val="20"/>
          <w:szCs w:val="20"/>
        </w:rPr>
      </w:pPr>
      <w:r w:rsidRPr="003625BA">
        <w:rPr>
          <w:rFonts w:ascii="Roboto" w:hAnsi="Roboto" w:cs="Arial"/>
          <w:bCs/>
          <w:sz w:val="20"/>
          <w:szCs w:val="20"/>
        </w:rPr>
        <w:t>The legislature can be seen as a collection of actors with diverse and changing strategies and incentives in the budgetary process. The effectiveness of the role played by the legislature depends on a variety of factors pertaining to its ability to counter the negative effects of politics on budgetary decision-making whilst maximizing the positive aspects. Legislatures can benefit from establishing linkages with other legislatures to share information and learn from each other’s experiences. Such links can be particularly helpful on a regional basis, where similarities in basic conditions make the exchange of different approaches especially insightful for mutual learning. For example:</w:t>
      </w:r>
    </w:p>
    <w:p w14:paraId="11AF76BC" w14:textId="77777777" w:rsidR="00233D8F" w:rsidRPr="003625BA" w:rsidRDefault="00233D8F" w:rsidP="003625BA">
      <w:pPr>
        <w:jc w:val="both"/>
        <w:rPr>
          <w:rFonts w:ascii="Roboto" w:hAnsi="Roboto" w:cs="Arial"/>
          <w:bCs/>
          <w:sz w:val="20"/>
          <w:szCs w:val="20"/>
        </w:rPr>
      </w:pPr>
    </w:p>
    <w:p w14:paraId="136ABF93" w14:textId="752E3C0D" w:rsidR="00233D8F" w:rsidRPr="003625BA" w:rsidRDefault="00233D8F" w:rsidP="003625BA">
      <w:pPr>
        <w:numPr>
          <w:ilvl w:val="0"/>
          <w:numId w:val="43"/>
        </w:numPr>
        <w:ind w:left="284" w:hanging="295"/>
        <w:jc w:val="both"/>
        <w:rPr>
          <w:rFonts w:ascii="Roboto" w:hAnsi="Roboto" w:cs="Arial"/>
          <w:bCs/>
          <w:sz w:val="20"/>
          <w:szCs w:val="20"/>
        </w:rPr>
      </w:pPr>
      <w:r w:rsidRPr="003625BA">
        <w:rPr>
          <w:rFonts w:ascii="Roboto" w:hAnsi="Roboto" w:cs="Arial"/>
          <w:bCs/>
          <w:sz w:val="20"/>
          <w:szCs w:val="20"/>
        </w:rPr>
        <w:t xml:space="preserve">The </w:t>
      </w:r>
      <w:hyperlink r:id="rId440">
        <w:r w:rsidRPr="003625BA">
          <w:rPr>
            <w:rStyle w:val="Hyperlink"/>
            <w:rFonts w:ascii="Roboto" w:hAnsi="Roboto" w:cs="Arial"/>
            <w:bCs/>
            <w:sz w:val="20"/>
            <w:szCs w:val="20"/>
          </w:rPr>
          <w:t>Inter-Parliamentary Union</w:t>
        </w:r>
      </w:hyperlink>
      <w:r w:rsidRPr="003625BA">
        <w:rPr>
          <w:rFonts w:ascii="Roboto" w:hAnsi="Roboto" w:cs="Arial"/>
          <w:bCs/>
          <w:sz w:val="20"/>
          <w:szCs w:val="20"/>
        </w:rPr>
        <w:t xml:space="preserve"> </w:t>
      </w:r>
      <w:r w:rsidRPr="003625BA">
        <w:rPr>
          <w:rFonts w:ascii="Roboto" w:hAnsi="Roboto" w:cs="Arial"/>
          <w:bCs/>
          <w:sz w:val="20"/>
          <w:szCs w:val="20"/>
          <w:lang w:val="en-ZA"/>
        </w:rPr>
        <w:t xml:space="preserve">is the global organization of national parliaments that was </w:t>
      </w:r>
      <w:r w:rsidRPr="003625BA">
        <w:rPr>
          <w:rFonts w:ascii="Roboto" w:hAnsi="Roboto" w:cs="Arial"/>
          <w:bCs/>
          <w:sz w:val="20"/>
          <w:szCs w:val="20"/>
        </w:rPr>
        <w:t xml:space="preserve">established in 1889. It published the  </w:t>
      </w:r>
      <w:hyperlink r:id="rId441">
        <w:r w:rsidRPr="003625BA">
          <w:rPr>
            <w:rStyle w:val="Hyperlink"/>
            <w:rFonts w:ascii="Roboto" w:hAnsi="Roboto" w:cs="Arial"/>
            <w:bCs/>
            <w:sz w:val="20"/>
            <w:szCs w:val="20"/>
          </w:rPr>
          <w:t>Parliament and Democracy in The Twenty-First Century: A Guide to Good Practice</w:t>
        </w:r>
      </w:hyperlink>
      <w:r w:rsidRPr="003625BA">
        <w:rPr>
          <w:rFonts w:ascii="Roboto" w:hAnsi="Roboto" w:cs="Arial"/>
          <w:bCs/>
          <w:sz w:val="20"/>
          <w:szCs w:val="20"/>
        </w:rPr>
        <w:t xml:space="preserve"> (2006). </w:t>
      </w:r>
    </w:p>
    <w:p w14:paraId="014431DF" w14:textId="2EAEB03D" w:rsidR="00233D8F" w:rsidRPr="003625BA" w:rsidRDefault="00233D8F" w:rsidP="003625BA">
      <w:pPr>
        <w:numPr>
          <w:ilvl w:val="0"/>
          <w:numId w:val="43"/>
        </w:numPr>
        <w:ind w:left="284" w:hanging="284"/>
        <w:jc w:val="both"/>
        <w:rPr>
          <w:rFonts w:ascii="Roboto" w:hAnsi="Roboto" w:cs="Arial"/>
          <w:bCs/>
          <w:sz w:val="20"/>
          <w:szCs w:val="20"/>
        </w:rPr>
      </w:pPr>
      <w:r w:rsidRPr="003625BA">
        <w:rPr>
          <w:rFonts w:ascii="Roboto" w:hAnsi="Roboto" w:cs="Arial"/>
          <w:bCs/>
          <w:sz w:val="20"/>
          <w:szCs w:val="20"/>
          <w:lang w:val="en-ZA"/>
        </w:rPr>
        <w:t xml:space="preserve">The OECD has a </w:t>
      </w:r>
      <w:hyperlink r:id="rId442">
        <w:r w:rsidRPr="003625BA">
          <w:rPr>
            <w:rStyle w:val="Hyperlink"/>
            <w:rFonts w:ascii="Roboto" w:hAnsi="Roboto" w:cs="Arial"/>
            <w:bCs/>
            <w:sz w:val="20"/>
            <w:szCs w:val="20"/>
            <w:lang w:val="en-ZA"/>
          </w:rPr>
          <w:t>Working Party of Parliamentary Budget Officials</w:t>
        </w:r>
      </w:hyperlink>
      <w:r w:rsidRPr="003625BA">
        <w:rPr>
          <w:rFonts w:ascii="Roboto" w:hAnsi="Roboto" w:cs="Arial"/>
          <w:bCs/>
          <w:sz w:val="20"/>
          <w:szCs w:val="20"/>
          <w:lang w:val="en-ZA"/>
        </w:rPr>
        <w:t xml:space="preserve"> and Independent Fiscal Institutions, focusing on improving parliamentary oversight of the budget process and supporting the evolving role of independent fiscal institutions. Officials from parliaments and independent fiscal institutions debate substantive budgeting issues, share practical experiences on working methods and identify good practices. The OECD has a freely accessible </w:t>
      </w:r>
      <w:r w:rsidRPr="003625BA">
        <w:rPr>
          <w:rFonts w:ascii="Roboto" w:hAnsi="Roboto" w:cs="Arial"/>
          <w:bCs/>
          <w:sz w:val="20"/>
          <w:szCs w:val="20"/>
        </w:rPr>
        <w:t>database that provides information on national parliamentary budgeting practices from over 30 OECD countries. The database covers features such as; fiscal responsibility and sustainability, the role of lower and upper houses in budget oversight, committee work and powers, analytical support, and audit. There are also parliamentary budgeting reviews available for several countries.</w:t>
      </w:r>
    </w:p>
    <w:p w14:paraId="3039D7EA" w14:textId="2792CA08" w:rsidR="00233D8F" w:rsidRPr="003625BA" w:rsidRDefault="00233D8F" w:rsidP="003625BA">
      <w:pPr>
        <w:numPr>
          <w:ilvl w:val="0"/>
          <w:numId w:val="43"/>
        </w:numPr>
        <w:ind w:left="284" w:hanging="284"/>
        <w:jc w:val="both"/>
        <w:rPr>
          <w:rFonts w:ascii="Roboto" w:hAnsi="Roboto" w:cs="Arial"/>
          <w:bCs/>
          <w:sz w:val="20"/>
          <w:szCs w:val="20"/>
          <w:lang w:val="en-ZA"/>
        </w:rPr>
      </w:pPr>
      <w:r w:rsidRPr="003625BA">
        <w:rPr>
          <w:rFonts w:ascii="Roboto" w:hAnsi="Roboto" w:cs="Arial"/>
          <w:bCs/>
          <w:sz w:val="20"/>
          <w:szCs w:val="20"/>
          <w:lang w:val="en-ZA"/>
        </w:rPr>
        <w:t xml:space="preserve">The </w:t>
      </w:r>
      <w:hyperlink r:id="rId443" w:history="1">
        <w:r w:rsidRPr="003625BA">
          <w:rPr>
            <w:rStyle w:val="Hyperlink"/>
            <w:rFonts w:ascii="Roboto" w:hAnsi="Roboto" w:cs="Arial"/>
            <w:bCs/>
            <w:sz w:val="20"/>
            <w:szCs w:val="20"/>
            <w:lang w:val="en-ZA"/>
          </w:rPr>
          <w:t>Global Organisation of Parliamentarians Against Corruption</w:t>
        </w:r>
      </w:hyperlink>
      <w:r w:rsidRPr="003625BA">
        <w:rPr>
          <w:rFonts w:ascii="Roboto" w:hAnsi="Roboto" w:cs="Arial"/>
          <w:bCs/>
          <w:sz w:val="20"/>
          <w:szCs w:val="20"/>
          <w:lang w:val="en-ZA"/>
        </w:rPr>
        <w:t xml:space="preserve"> is an international alliance of legislators, working together to combat corruption, strengthen democracy, and uphold the rule of law. It works closely with a network of allied international institutions, including the United Nations, INTERPOL, the World Bank, and the Council of Europe.</w:t>
      </w:r>
    </w:p>
    <w:p w14:paraId="361CF5DF" w14:textId="7709E915" w:rsidR="00233D8F" w:rsidRPr="003625BA" w:rsidRDefault="00233D8F" w:rsidP="003625BA">
      <w:pPr>
        <w:numPr>
          <w:ilvl w:val="0"/>
          <w:numId w:val="43"/>
        </w:numPr>
        <w:ind w:left="284" w:hanging="284"/>
        <w:jc w:val="both"/>
        <w:rPr>
          <w:rFonts w:ascii="Roboto" w:hAnsi="Roboto" w:cs="Arial"/>
          <w:bCs/>
          <w:sz w:val="20"/>
          <w:szCs w:val="20"/>
        </w:rPr>
      </w:pPr>
      <w:r w:rsidRPr="003625BA">
        <w:rPr>
          <w:rFonts w:ascii="Roboto" w:hAnsi="Roboto" w:cs="Arial"/>
          <w:bCs/>
          <w:sz w:val="20"/>
          <w:szCs w:val="20"/>
        </w:rPr>
        <w:t xml:space="preserve">The </w:t>
      </w:r>
      <w:hyperlink r:id="rId444" w:history="1">
        <w:r w:rsidRPr="003625BA">
          <w:rPr>
            <w:rStyle w:val="Hyperlink"/>
            <w:rFonts w:ascii="Roboto" w:hAnsi="Roboto" w:cs="Arial"/>
            <w:bCs/>
            <w:sz w:val="20"/>
            <w:szCs w:val="20"/>
          </w:rPr>
          <w:t>Parliamentary Network</w:t>
        </w:r>
      </w:hyperlink>
      <w:r w:rsidRPr="003625BA">
        <w:rPr>
          <w:rFonts w:ascii="Roboto" w:hAnsi="Roboto" w:cs="Arial"/>
          <w:bCs/>
          <w:sz w:val="20"/>
          <w:szCs w:val="20"/>
        </w:rPr>
        <w:t xml:space="preserve"> of the World Bank and IMF provides a platform for parliamentarians to advocate for increased accountability and transparency in international financial institutions and multilateral development financing.</w:t>
      </w:r>
    </w:p>
    <w:p w14:paraId="10113692" w14:textId="77777777" w:rsidR="00233D8F" w:rsidRPr="003625BA" w:rsidRDefault="00AC4DF7" w:rsidP="003625BA">
      <w:pPr>
        <w:numPr>
          <w:ilvl w:val="0"/>
          <w:numId w:val="43"/>
        </w:numPr>
        <w:ind w:left="284" w:hanging="284"/>
        <w:jc w:val="both"/>
        <w:rPr>
          <w:rFonts w:ascii="Roboto" w:hAnsi="Roboto" w:cs="Arial"/>
          <w:bCs/>
          <w:sz w:val="20"/>
          <w:szCs w:val="20"/>
        </w:rPr>
      </w:pPr>
      <w:hyperlink r:id="rId445">
        <w:r w:rsidR="00233D8F" w:rsidRPr="003625BA">
          <w:rPr>
            <w:rStyle w:val="Hyperlink"/>
            <w:rFonts w:ascii="Roboto" w:hAnsi="Roboto" w:cs="Arial"/>
            <w:sz w:val="20"/>
            <w:szCs w:val="20"/>
          </w:rPr>
          <w:t>Parliamentarians for Global Action</w:t>
        </w:r>
      </w:hyperlink>
      <w:r w:rsidR="00233D8F" w:rsidRPr="003625BA">
        <w:rPr>
          <w:rFonts w:ascii="Roboto" w:hAnsi="Roboto" w:cs="Arial"/>
          <w:sz w:val="20"/>
          <w:szCs w:val="20"/>
        </w:rPr>
        <w:t xml:space="preserve"> is a dynamic network engaged in a range of action-oriented initiatives that promote democracy, peace, justice and development throughout the world</w:t>
      </w:r>
      <w:r w:rsidR="00233D8F" w:rsidRPr="003625BA">
        <w:rPr>
          <w:rFonts w:ascii="Roboto" w:hAnsi="Roboto" w:cs="Arial"/>
          <w:bCs/>
          <w:sz w:val="20"/>
          <w:szCs w:val="20"/>
        </w:rPr>
        <w:t xml:space="preserve">.  </w:t>
      </w:r>
    </w:p>
    <w:p w14:paraId="7F67283F" w14:textId="77777777" w:rsidR="00233D8F" w:rsidRPr="003625BA" w:rsidRDefault="00233D8F" w:rsidP="003625BA">
      <w:pPr>
        <w:numPr>
          <w:ilvl w:val="0"/>
          <w:numId w:val="43"/>
        </w:numPr>
        <w:ind w:left="284" w:hanging="284"/>
        <w:jc w:val="both"/>
        <w:rPr>
          <w:rFonts w:ascii="Roboto" w:hAnsi="Roboto" w:cs="Arial"/>
          <w:bCs/>
          <w:sz w:val="20"/>
          <w:szCs w:val="20"/>
        </w:rPr>
      </w:pPr>
      <w:r w:rsidRPr="003625BA">
        <w:rPr>
          <w:rFonts w:ascii="Roboto" w:hAnsi="Roboto" w:cs="Arial"/>
          <w:bCs/>
          <w:sz w:val="20"/>
          <w:szCs w:val="20"/>
        </w:rPr>
        <w:t xml:space="preserve">The </w:t>
      </w:r>
      <w:hyperlink r:id="rId446" w:history="1">
        <w:r w:rsidRPr="003625BA">
          <w:rPr>
            <w:rStyle w:val="Hyperlink"/>
            <w:rFonts w:ascii="Roboto" w:hAnsi="Roboto" w:cs="Arial"/>
            <w:bCs/>
            <w:sz w:val="20"/>
            <w:szCs w:val="20"/>
          </w:rPr>
          <w:t>Commonwealth Parliamentary Association</w:t>
        </w:r>
      </w:hyperlink>
      <w:r w:rsidRPr="003625BA">
        <w:rPr>
          <w:rFonts w:ascii="Roboto" w:hAnsi="Roboto" w:cs="Arial"/>
          <w:bCs/>
          <w:sz w:val="20"/>
          <w:szCs w:val="20"/>
        </w:rPr>
        <w:t xml:space="preserve"> collaborates with parliaments of the countries of the Commonwealth to connect, develop, promote and support parliamentarians and their staff to identify benchmarks of good governance.  It published the </w:t>
      </w:r>
      <w:hyperlink r:id="rId447" w:history="1">
        <w:r w:rsidRPr="003625BA">
          <w:rPr>
            <w:rStyle w:val="Hyperlink"/>
            <w:rFonts w:ascii="Roboto" w:hAnsi="Roboto" w:cs="Arial"/>
            <w:bCs/>
            <w:iCs/>
            <w:sz w:val="20"/>
            <w:szCs w:val="20"/>
          </w:rPr>
          <w:t>Recommended Benchmarks for Democratic Legislatures</w:t>
        </w:r>
        <w:r w:rsidRPr="003625BA">
          <w:rPr>
            <w:rStyle w:val="Hyperlink"/>
            <w:rFonts w:ascii="Roboto" w:hAnsi="Roboto" w:cs="Arial"/>
            <w:bCs/>
            <w:sz w:val="20"/>
            <w:szCs w:val="20"/>
          </w:rPr>
          <w:t xml:space="preserve"> (2018)</w:t>
        </w:r>
      </w:hyperlink>
      <w:r w:rsidRPr="003625BA">
        <w:rPr>
          <w:rFonts w:ascii="Roboto" w:hAnsi="Roboto" w:cs="Arial"/>
          <w:bCs/>
          <w:sz w:val="20"/>
          <w:szCs w:val="20"/>
        </w:rPr>
        <w:t>.</w:t>
      </w:r>
    </w:p>
    <w:p w14:paraId="337FF558" w14:textId="40832661" w:rsidR="00233D8F" w:rsidRPr="003625BA" w:rsidRDefault="00233D8F" w:rsidP="003625BA">
      <w:pPr>
        <w:numPr>
          <w:ilvl w:val="0"/>
          <w:numId w:val="43"/>
        </w:numPr>
        <w:ind w:left="284" w:hanging="284"/>
        <w:jc w:val="both"/>
        <w:rPr>
          <w:rFonts w:ascii="Roboto" w:hAnsi="Roboto" w:cs="Arial"/>
          <w:bCs/>
          <w:sz w:val="20"/>
          <w:szCs w:val="20"/>
        </w:rPr>
      </w:pPr>
      <w:r w:rsidRPr="003625BA">
        <w:rPr>
          <w:rFonts w:ascii="Roboto" w:hAnsi="Roboto" w:cs="Arial"/>
          <w:bCs/>
          <w:sz w:val="20"/>
          <w:szCs w:val="20"/>
          <w:lang w:val="en-ZA"/>
        </w:rPr>
        <w:t xml:space="preserve">The Association of European Parliamentarians with Africa </w:t>
      </w:r>
      <w:r w:rsidRPr="003625BA">
        <w:rPr>
          <w:rFonts w:ascii="Roboto" w:hAnsi="Roboto" w:cs="Arial"/>
          <w:bCs/>
          <w:sz w:val="20"/>
          <w:szCs w:val="20"/>
        </w:rPr>
        <w:t xml:space="preserve">works in partnership with African parliaments to strengthen democracy in Africa, keep Africa high on the political agenda in Europe, and facilitate African-European parliamentary dialogue. It published </w:t>
      </w:r>
      <w:hyperlink r:id="rId448">
        <w:r w:rsidRPr="003625BA">
          <w:rPr>
            <w:rStyle w:val="Hyperlink"/>
            <w:rFonts w:ascii="Roboto" w:hAnsi="Roboto" w:cs="Arial"/>
            <w:bCs/>
            <w:sz w:val="20"/>
            <w:szCs w:val="20"/>
          </w:rPr>
          <w:t>The Legislative Principles for Development Effectiveness</w:t>
        </w:r>
      </w:hyperlink>
      <w:r w:rsidRPr="003625BA">
        <w:rPr>
          <w:rFonts w:ascii="Roboto" w:hAnsi="Roboto" w:cs="Arial"/>
          <w:bCs/>
          <w:sz w:val="20"/>
          <w:szCs w:val="20"/>
        </w:rPr>
        <w:t xml:space="preserve"> (2011). </w:t>
      </w:r>
    </w:p>
    <w:p w14:paraId="4EF3FF91" w14:textId="4AB771E3" w:rsidR="00233D8F" w:rsidRPr="00630230" w:rsidRDefault="00233D8F" w:rsidP="00233D8F">
      <w:pPr>
        <w:spacing w:line="276" w:lineRule="auto"/>
        <w:jc w:val="both"/>
        <w:rPr>
          <w:rFonts w:ascii="Arial" w:hAnsi="Arial" w:cs="Arial"/>
          <w:sz w:val="23"/>
          <w:szCs w:val="23"/>
        </w:rPr>
      </w:pPr>
    </w:p>
    <w:p w14:paraId="003F265D" w14:textId="77777777" w:rsidR="00233D8F" w:rsidRPr="00A43258" w:rsidRDefault="00233D8F" w:rsidP="00233D8F">
      <w:pPr>
        <w:spacing w:line="276" w:lineRule="auto"/>
        <w:jc w:val="both"/>
        <w:rPr>
          <w:rFonts w:ascii="Arial" w:hAnsi="Arial" w:cs="Arial"/>
          <w:b/>
          <w:sz w:val="24"/>
          <w:szCs w:val="24"/>
        </w:rPr>
      </w:pPr>
    </w:p>
    <w:p w14:paraId="45BBBE78" w14:textId="10294D46" w:rsidR="00895C56" w:rsidRDefault="00895C56">
      <w:pPr>
        <w:spacing w:after="160" w:line="259" w:lineRule="auto"/>
        <w:rPr>
          <w:rFonts w:ascii="Arial" w:hAnsi="Arial" w:cs="Arial"/>
          <w:sz w:val="24"/>
          <w:szCs w:val="24"/>
        </w:rPr>
      </w:pPr>
    </w:p>
    <w:p w14:paraId="1B862DE2" w14:textId="5889A1E9" w:rsidR="00F97CAF" w:rsidRDefault="00F97CAF">
      <w:pPr>
        <w:spacing w:after="160" w:line="259" w:lineRule="auto"/>
        <w:rPr>
          <w:rFonts w:ascii="Arial" w:hAnsi="Arial" w:cs="Arial"/>
          <w:sz w:val="24"/>
          <w:szCs w:val="24"/>
        </w:rPr>
      </w:pPr>
    </w:p>
    <w:p w14:paraId="3315411C" w14:textId="516FA45D" w:rsidR="00F97CAF" w:rsidRDefault="00F97CAF">
      <w:pPr>
        <w:spacing w:after="160" w:line="259" w:lineRule="auto"/>
        <w:rPr>
          <w:rFonts w:ascii="Arial" w:hAnsi="Arial" w:cs="Arial"/>
          <w:sz w:val="24"/>
          <w:szCs w:val="24"/>
        </w:rPr>
      </w:pPr>
    </w:p>
    <w:p w14:paraId="430171C8" w14:textId="77777777" w:rsidR="00F97CAF" w:rsidRDefault="00F97CAF">
      <w:pPr>
        <w:spacing w:after="160" w:line="259" w:lineRule="auto"/>
        <w:rPr>
          <w:rFonts w:ascii="Arial" w:hAnsi="Arial" w:cs="Arial"/>
          <w:sz w:val="24"/>
          <w:szCs w:val="24"/>
        </w:rPr>
      </w:pPr>
    </w:p>
    <w:p w14:paraId="25F92A5F" w14:textId="62DB3642" w:rsidR="00895C56" w:rsidRDefault="00895C56">
      <w:pPr>
        <w:spacing w:after="160" w:line="259" w:lineRule="auto"/>
        <w:rPr>
          <w:rFonts w:ascii="Arial" w:hAnsi="Arial" w:cs="Arial"/>
          <w:sz w:val="24"/>
          <w:szCs w:val="24"/>
        </w:rPr>
      </w:pPr>
    </w:p>
    <w:p w14:paraId="0EBD6137" w14:textId="1247294A" w:rsidR="00895C56" w:rsidRDefault="00895C56">
      <w:pPr>
        <w:spacing w:after="160" w:line="259" w:lineRule="auto"/>
        <w:rPr>
          <w:rFonts w:ascii="Arial" w:hAnsi="Arial" w:cs="Arial"/>
          <w:sz w:val="24"/>
          <w:szCs w:val="24"/>
        </w:rPr>
      </w:pPr>
    </w:p>
    <w:p w14:paraId="30B9EDE5" w14:textId="77777777" w:rsidR="00895C56" w:rsidRDefault="00895C56">
      <w:pPr>
        <w:spacing w:after="160" w:line="259" w:lineRule="auto"/>
        <w:rPr>
          <w:rFonts w:ascii="Arial" w:hAnsi="Arial" w:cs="Arial"/>
          <w:sz w:val="24"/>
          <w:szCs w:val="24"/>
        </w:rPr>
      </w:pPr>
    </w:p>
    <w:p w14:paraId="6A9C2FA6" w14:textId="6E65EB16" w:rsidR="00832C78" w:rsidRDefault="00832C78">
      <w:pPr>
        <w:spacing w:after="160" w:line="259" w:lineRule="auto"/>
        <w:rPr>
          <w:rFonts w:ascii="Arial" w:hAnsi="Arial" w:cs="Arial"/>
          <w:sz w:val="24"/>
          <w:szCs w:val="24"/>
        </w:rPr>
      </w:pPr>
    </w:p>
    <w:p w14:paraId="56F898C3" w14:textId="77777777" w:rsidR="00B5708B" w:rsidRDefault="00B5708B">
      <w:pPr>
        <w:spacing w:after="160" w:line="259" w:lineRule="auto"/>
        <w:rPr>
          <w:rFonts w:ascii="Arial" w:hAnsi="Arial" w:cs="Arial"/>
          <w:sz w:val="24"/>
          <w:szCs w:val="24"/>
        </w:rPr>
      </w:pPr>
    </w:p>
    <w:p w14:paraId="0A9B16E3" w14:textId="4ACC65EC" w:rsidR="00EB00CC" w:rsidRDefault="00EB00CC">
      <w:pPr>
        <w:spacing w:after="160" w:line="259" w:lineRule="auto"/>
        <w:rPr>
          <w:rFonts w:ascii="Arial" w:hAnsi="Arial" w:cs="Arial"/>
          <w:sz w:val="24"/>
          <w:szCs w:val="24"/>
        </w:rPr>
      </w:pPr>
    </w:p>
    <w:p w14:paraId="1E6ED9D1" w14:textId="228D9805" w:rsidR="00D15FD8" w:rsidRDefault="00D15FD8">
      <w:pPr>
        <w:spacing w:after="160" w:line="259" w:lineRule="auto"/>
        <w:rPr>
          <w:rFonts w:ascii="Arial" w:hAnsi="Arial" w:cs="Arial"/>
          <w:sz w:val="24"/>
          <w:szCs w:val="24"/>
        </w:rPr>
      </w:pPr>
    </w:p>
    <w:p w14:paraId="2D0DBC87" w14:textId="77777777" w:rsidR="00D15FD8" w:rsidRDefault="00D15FD8">
      <w:pPr>
        <w:spacing w:after="160" w:line="259" w:lineRule="auto"/>
        <w:rPr>
          <w:rFonts w:ascii="Arial" w:hAnsi="Arial" w:cs="Arial"/>
          <w:sz w:val="24"/>
          <w:szCs w:val="24"/>
        </w:rPr>
      </w:pPr>
    </w:p>
    <w:p w14:paraId="2F809248" w14:textId="6B2F2493" w:rsidR="00832C78" w:rsidRDefault="00832C78">
      <w:pPr>
        <w:spacing w:after="160" w:line="259" w:lineRule="auto"/>
        <w:rPr>
          <w:rFonts w:ascii="Arial" w:hAnsi="Arial" w:cs="Arial"/>
          <w:sz w:val="24"/>
          <w:szCs w:val="24"/>
        </w:rPr>
      </w:pPr>
      <w:r>
        <w:rPr>
          <w:rFonts w:ascii="Arial" w:hAnsi="Arial" w:cs="Arial"/>
          <w:b/>
          <w:bCs/>
          <w:noProof/>
          <w:color w:val="ED5625"/>
          <w:lang w:val="en-US"/>
        </w:rPr>
        <w:lastRenderedPageBreak/>
        <mc:AlternateContent>
          <mc:Choice Requires="wps">
            <w:drawing>
              <wp:anchor distT="0" distB="0" distL="114300" distR="114300" simplePos="0" relativeHeight="254817278" behindDoc="0" locked="0" layoutInCell="1" allowOverlap="1" wp14:anchorId="78047E49" wp14:editId="3D8C9133">
                <wp:simplePos x="0" y="0"/>
                <wp:positionH relativeFrom="column">
                  <wp:posOffset>1079500</wp:posOffset>
                </wp:positionH>
                <wp:positionV relativeFrom="paragraph">
                  <wp:posOffset>271145</wp:posOffset>
                </wp:positionV>
                <wp:extent cx="4648200" cy="854243"/>
                <wp:effectExtent l="0" t="0" r="0" b="0"/>
                <wp:wrapNone/>
                <wp:docPr id="2675" name="Text Box 2675"/>
                <wp:cNvGraphicFramePr/>
                <a:graphic xmlns:a="http://schemas.openxmlformats.org/drawingml/2006/main">
                  <a:graphicData uri="http://schemas.microsoft.com/office/word/2010/wordprocessingShape">
                    <wps:wsp>
                      <wps:cNvSpPr txBox="1"/>
                      <wps:spPr>
                        <a:xfrm>
                          <a:off x="0" y="0"/>
                          <a:ext cx="4648200" cy="854243"/>
                        </a:xfrm>
                        <a:prstGeom prst="rect">
                          <a:avLst/>
                        </a:prstGeom>
                        <a:noFill/>
                        <a:ln w="6350">
                          <a:noFill/>
                        </a:ln>
                      </wps:spPr>
                      <wps:txbx>
                        <w:txbxContent>
                          <w:p w14:paraId="782CE5F1" w14:textId="77777777" w:rsidR="00D15FD8" w:rsidRPr="00AB3FA0" w:rsidRDefault="00D15FD8" w:rsidP="00832C78">
                            <w:pPr>
                              <w:pStyle w:val="Heading1"/>
                              <w:rPr>
                                <w:rFonts w:ascii="Arial" w:hAnsi="Arial" w:cs="Arial"/>
                                <w:b/>
                                <w:bCs/>
                                <w:color w:val="FFFFFF" w:themeColor="background1"/>
                                <w:sz w:val="38"/>
                                <w:szCs w:val="38"/>
                                <w:lang w:val="en-US"/>
                              </w:rPr>
                            </w:pPr>
                            <w:bookmarkStart w:id="897" w:name="_Oversight_Institutions:_Supreme"/>
                            <w:bookmarkStart w:id="898" w:name="_Toc123204442"/>
                            <w:bookmarkStart w:id="899" w:name="_Toc123216533"/>
                            <w:bookmarkStart w:id="900" w:name="_Toc123217373"/>
                            <w:bookmarkStart w:id="901" w:name="_Toc123828132"/>
                            <w:bookmarkStart w:id="902" w:name="_Toc123828342"/>
                            <w:bookmarkStart w:id="903" w:name="_Toc123828538"/>
                            <w:bookmarkStart w:id="904" w:name="_Toc123912565"/>
                            <w:bookmarkStart w:id="905" w:name="_Toc123912824"/>
                            <w:bookmarkStart w:id="906" w:name="_Toc123913051"/>
                            <w:bookmarkStart w:id="907" w:name="_Toc123913998"/>
                            <w:bookmarkStart w:id="908" w:name="_Toc125566617"/>
                            <w:bookmarkEnd w:id="897"/>
                            <w:r w:rsidRPr="00AB3FA0">
                              <w:rPr>
                                <w:rFonts w:ascii="Arial" w:hAnsi="Arial" w:cs="Arial"/>
                                <w:b/>
                                <w:bCs/>
                                <w:color w:val="FFFFFF" w:themeColor="background1"/>
                                <w:sz w:val="38"/>
                                <w:szCs w:val="38"/>
                                <w:lang w:val="en-US"/>
                              </w:rPr>
                              <w:t>Oversight Institutions: Supreme audit institutions</w:t>
                            </w:r>
                            <w:bookmarkEnd w:id="898"/>
                            <w:bookmarkEnd w:id="899"/>
                            <w:bookmarkEnd w:id="900"/>
                            <w:bookmarkEnd w:id="901"/>
                            <w:bookmarkEnd w:id="902"/>
                            <w:bookmarkEnd w:id="903"/>
                            <w:bookmarkEnd w:id="904"/>
                            <w:bookmarkEnd w:id="905"/>
                            <w:bookmarkEnd w:id="906"/>
                            <w:bookmarkEnd w:id="907"/>
                            <w:bookmarkEnd w:id="90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47E49" id="Text Box 2675" o:spid="_x0000_s1263" type="#_x0000_t202" style="position:absolute;margin-left:85pt;margin-top:21.35pt;width:366pt;height:67.25pt;z-index:254817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" filled="f" stroked="f" strokeweight=".5pt">
                <v:textbox>
                  <w:txbxContent>
                    <w:p w14:paraId="782CE5F1" w14:textId="77777777" w:rsidR="00D15FD8" w:rsidRPr="00AB3FA0" w:rsidRDefault="00D15FD8" w:rsidP="00832C78">
                      <w:pPr>
                        <w:pStyle w:val="Heading1"/>
                        <w:rPr>
                          <w:rFonts w:ascii="Arial" w:hAnsi="Arial" w:cs="Arial"/>
                          <w:b/>
                          <w:bCs/>
                          <w:color w:val="FFFFFF" w:themeColor="background1"/>
                          <w:sz w:val="38"/>
                          <w:szCs w:val="38"/>
                          <w:lang w:val="en-US"/>
                        </w:rPr>
                      </w:pPr>
                      <w:bookmarkStart w:id="909" w:name="_Oversight_Institutions:_Supreme"/>
                      <w:bookmarkStart w:id="910" w:name="_Toc123204442"/>
                      <w:bookmarkStart w:id="911" w:name="_Toc123216533"/>
                      <w:bookmarkStart w:id="912" w:name="_Toc123217373"/>
                      <w:bookmarkStart w:id="913" w:name="_Toc123828132"/>
                      <w:bookmarkStart w:id="914" w:name="_Toc123828342"/>
                      <w:bookmarkStart w:id="915" w:name="_Toc123828538"/>
                      <w:bookmarkStart w:id="916" w:name="_Toc123912565"/>
                      <w:bookmarkStart w:id="917" w:name="_Toc123912824"/>
                      <w:bookmarkStart w:id="918" w:name="_Toc123913051"/>
                      <w:bookmarkStart w:id="919" w:name="_Toc123913998"/>
                      <w:bookmarkStart w:id="920" w:name="_Toc125566617"/>
                      <w:bookmarkEnd w:id="909"/>
                      <w:r w:rsidRPr="00AB3FA0">
                        <w:rPr>
                          <w:rFonts w:ascii="Arial" w:hAnsi="Arial" w:cs="Arial"/>
                          <w:b/>
                          <w:bCs/>
                          <w:color w:val="FFFFFF" w:themeColor="background1"/>
                          <w:sz w:val="38"/>
                          <w:szCs w:val="38"/>
                          <w:lang w:val="en-US"/>
                        </w:rPr>
                        <w:t>Oversight Institutions: Supreme audit institutions</w:t>
                      </w:r>
                      <w:bookmarkEnd w:id="910"/>
                      <w:bookmarkEnd w:id="911"/>
                      <w:bookmarkEnd w:id="912"/>
                      <w:bookmarkEnd w:id="913"/>
                      <w:bookmarkEnd w:id="914"/>
                      <w:bookmarkEnd w:id="915"/>
                      <w:bookmarkEnd w:id="916"/>
                      <w:bookmarkEnd w:id="917"/>
                      <w:bookmarkEnd w:id="918"/>
                      <w:bookmarkEnd w:id="919"/>
                      <w:bookmarkEnd w:id="920"/>
                    </w:p>
                  </w:txbxContent>
                </v:textbox>
              </v:shape>
            </w:pict>
          </mc:Fallback>
        </mc:AlternateContent>
      </w:r>
      <w:r>
        <w:rPr>
          <w:rFonts w:ascii="Arial" w:hAnsi="Arial" w:cs="Arial"/>
          <w:b/>
          <w:noProof/>
          <w:sz w:val="24"/>
          <w:szCs w:val="24"/>
          <w:lang w:val="en-US"/>
        </w:rPr>
        <w:drawing>
          <wp:anchor distT="0" distB="0" distL="114300" distR="114300" simplePos="0" relativeHeight="254815230" behindDoc="0" locked="0" layoutInCell="1" allowOverlap="1" wp14:anchorId="2F189B3A" wp14:editId="1FDBC751">
            <wp:simplePos x="0" y="0"/>
            <wp:positionH relativeFrom="column">
              <wp:posOffset>-342900</wp:posOffset>
            </wp:positionH>
            <wp:positionV relativeFrom="paragraph">
              <wp:posOffset>4445</wp:posOffset>
            </wp:positionV>
            <wp:extent cx="6645910" cy="1422400"/>
            <wp:effectExtent l="0" t="0" r="0" b="0"/>
            <wp:wrapNone/>
            <wp:docPr id="2674" name="Picture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 name="Picture 2674"/>
                    <pic:cNvPicPr/>
                  </pic:nvPicPr>
                  <pic:blipFill rotWithShape="1">
                    <a:blip r:embed="rId449" cstate="screen">
                      <a:extLst>
                        <a:ext uri="{28A0092B-C50C-407E-A947-70E740481C1C}">
                          <a14:useLocalDpi xmlns:a14="http://schemas.microsoft.com/office/drawing/2010/main"/>
                        </a:ext>
                      </a:extLst>
                    </a:blip>
                    <a:srcRect/>
                    <a:stretch/>
                  </pic:blipFill>
                  <pic:spPr bwMode="auto">
                    <a:xfrm>
                      <a:off x="0" y="0"/>
                      <a:ext cx="6645910"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4B28C1" w14:textId="44059B59" w:rsidR="00832C78" w:rsidRDefault="00832C78">
      <w:pPr>
        <w:spacing w:after="160" w:line="259" w:lineRule="auto"/>
        <w:rPr>
          <w:rFonts w:ascii="Arial" w:hAnsi="Arial" w:cs="Arial"/>
          <w:sz w:val="24"/>
          <w:szCs w:val="24"/>
        </w:rPr>
      </w:pPr>
      <w:r>
        <w:rPr>
          <w:rFonts w:ascii="Arial" w:hAnsi="Arial" w:cs="Arial"/>
          <w:b/>
          <w:bCs/>
          <w:noProof/>
          <w:color w:val="ED5625"/>
          <w:lang w:val="en-US"/>
        </w:rPr>
        <mc:AlternateContent>
          <mc:Choice Requires="wps">
            <w:drawing>
              <wp:anchor distT="0" distB="0" distL="114300" distR="114300" simplePos="0" relativeHeight="254818302" behindDoc="0" locked="0" layoutInCell="1" allowOverlap="1" wp14:anchorId="0D8F19D3" wp14:editId="21AD2C87">
                <wp:simplePos x="0" y="0"/>
                <wp:positionH relativeFrom="column">
                  <wp:posOffset>414655</wp:posOffset>
                </wp:positionH>
                <wp:positionV relativeFrom="paragraph">
                  <wp:posOffset>127635</wp:posOffset>
                </wp:positionV>
                <wp:extent cx="492125" cy="593725"/>
                <wp:effectExtent l="0" t="0" r="0" b="0"/>
                <wp:wrapNone/>
                <wp:docPr id="2676" name="Text Box 2676"/>
                <wp:cNvGraphicFramePr/>
                <a:graphic xmlns:a="http://schemas.openxmlformats.org/drawingml/2006/main">
                  <a:graphicData uri="http://schemas.microsoft.com/office/word/2010/wordprocessingShape">
                    <wps:wsp>
                      <wps:cNvSpPr txBox="1"/>
                      <wps:spPr>
                        <a:xfrm>
                          <a:off x="0" y="0"/>
                          <a:ext cx="492125" cy="593725"/>
                        </a:xfrm>
                        <a:prstGeom prst="rect">
                          <a:avLst/>
                        </a:prstGeom>
                        <a:noFill/>
                        <a:ln w="6350">
                          <a:noFill/>
                        </a:ln>
                      </wps:spPr>
                      <wps:txbx>
                        <w:txbxContent>
                          <w:p w14:paraId="21247959" w14:textId="77777777" w:rsidR="00D15FD8" w:rsidRPr="00DF10E4" w:rsidRDefault="00D15FD8" w:rsidP="00832C78">
                            <w:pP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r w:rsidRPr="00DF10E4">
                              <w:rPr>
                                <w:rFonts w:ascii="Arial" w:hAnsi="Arial" w:cs="Arial"/>
                                <w:b/>
                                <w:bCs/>
                                <w:color w:val="FFFFFF" w:themeColor="background1"/>
                                <w:sz w:val="72"/>
                                <w:szCs w:val="7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8F19D3" id="Text Box 2676" o:spid="_x0000_s1264" type="#_x0000_t202" style="position:absolute;margin-left:32.65pt;margin-top:10.05pt;width:38.75pt;height:46.75pt;z-index:2548183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" filled="f" stroked="f" strokeweight=".5pt">
                <v:textbox>
                  <w:txbxContent>
                    <w:p w14:paraId="21247959" w14:textId="77777777" w:rsidR="00D15FD8" w:rsidRPr="00DF10E4" w:rsidRDefault="00D15FD8" w:rsidP="00832C78">
                      <w:pP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r w:rsidRPr="00DF10E4">
                        <w:rPr>
                          <w:rFonts w:ascii="Arial" w:hAnsi="Arial" w:cs="Arial"/>
                          <w:b/>
                          <w:bCs/>
                          <w:color w:val="FFFFFF" w:themeColor="background1"/>
                          <w:sz w:val="72"/>
                          <w:szCs w:val="72"/>
                          <w:lang w:val="en-US"/>
                        </w:rPr>
                        <w:t>3</w:t>
                      </w:r>
                    </w:p>
                  </w:txbxContent>
                </v:textbox>
              </v:shape>
            </w:pict>
          </mc:Fallback>
        </mc:AlternateContent>
      </w:r>
    </w:p>
    <w:p w14:paraId="0CC0C21D" w14:textId="75C75D6C" w:rsidR="00832C78" w:rsidRDefault="00832C78">
      <w:pPr>
        <w:spacing w:after="160" w:line="259" w:lineRule="auto"/>
        <w:rPr>
          <w:rFonts w:ascii="Arial" w:hAnsi="Arial" w:cs="Arial"/>
          <w:sz w:val="24"/>
          <w:szCs w:val="24"/>
        </w:rPr>
      </w:pPr>
    </w:p>
    <w:p w14:paraId="0A25A0EB" w14:textId="7DB9CAD0" w:rsidR="00832C78" w:rsidRDefault="00832C78">
      <w:pPr>
        <w:spacing w:after="160" w:line="259" w:lineRule="auto"/>
        <w:rPr>
          <w:rFonts w:ascii="Arial" w:hAnsi="Arial" w:cs="Arial"/>
          <w:sz w:val="24"/>
          <w:szCs w:val="24"/>
        </w:rPr>
      </w:pPr>
    </w:p>
    <w:p w14:paraId="0749ABA1" w14:textId="7BD349EC" w:rsidR="00CC248E" w:rsidRPr="003B3A29" w:rsidRDefault="00CC248E" w:rsidP="003625BA">
      <w:pPr>
        <w:shd w:val="clear" w:color="auto" w:fill="FFFFFF" w:themeFill="background1"/>
        <w:spacing w:line="276" w:lineRule="auto"/>
        <w:jc w:val="both"/>
        <w:rPr>
          <w:rFonts w:ascii="Arial" w:hAnsi="Arial" w:cs="Arial"/>
          <w:b/>
          <w:bCs/>
          <w:color w:val="69557F"/>
          <w:sz w:val="36"/>
          <w:szCs w:val="36"/>
        </w:rPr>
      </w:pPr>
    </w:p>
    <w:p w14:paraId="3A5447ED" w14:textId="1E1E3431" w:rsidR="003B3A29" w:rsidRPr="009D7A0C" w:rsidRDefault="00CB47BD" w:rsidP="009D7A0C">
      <w:pPr>
        <w:pStyle w:val="ListParagraph"/>
        <w:numPr>
          <w:ilvl w:val="1"/>
          <w:numId w:val="74"/>
        </w:numPr>
        <w:rPr>
          <w:rFonts w:ascii="Arial" w:hAnsi="Arial" w:cs="Arial"/>
          <w:b/>
          <w:bCs/>
          <w:color w:val="69557F"/>
          <w:sz w:val="36"/>
          <w:szCs w:val="36"/>
        </w:rPr>
      </w:pPr>
      <w:r w:rsidRPr="009D7A0C">
        <w:rPr>
          <w:rFonts w:ascii="Arial" w:eastAsiaTheme="majorEastAsia" w:hAnsi="Arial" w:cs="Arial"/>
          <w:b/>
          <w:bCs/>
          <w:color w:val="69557F"/>
          <w:sz w:val="36"/>
          <w:szCs w:val="36"/>
        </w:rPr>
        <w:t>Role of the supreme audit institution</w:t>
      </w:r>
    </w:p>
    <w:p w14:paraId="4720F899" w14:textId="2720394B" w:rsidR="003B3A29" w:rsidRDefault="003B3A29" w:rsidP="003B3A29">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2306430" behindDoc="0" locked="0" layoutInCell="1" allowOverlap="1" wp14:anchorId="19EB4E4C" wp14:editId="7F0BEAF0">
            <wp:simplePos x="0" y="0"/>
            <wp:positionH relativeFrom="margin">
              <wp:align>center</wp:align>
            </wp:positionH>
            <wp:positionV relativeFrom="paragraph">
              <wp:posOffset>144747</wp:posOffset>
            </wp:positionV>
            <wp:extent cx="3500755" cy="2387600"/>
            <wp:effectExtent l="0" t="0" r="0" b="0"/>
            <wp:wrapSquare wrapText="bothSides"/>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rotWithShape="1">
                    <a:blip r:embed="rId450" cstate="email">
                      <a:extLst>
                        <a:ext uri="{28A0092B-C50C-407E-A947-70E740481C1C}">
                          <a14:useLocalDpi xmlns:a14="http://schemas.microsoft.com/office/drawing/2010/main"/>
                        </a:ext>
                      </a:extLst>
                    </a:blip>
                    <a:srcRect/>
                    <a:stretch/>
                  </pic:blipFill>
                  <pic:spPr bwMode="auto">
                    <a:xfrm>
                      <a:off x="0" y="0"/>
                      <a:ext cx="3500755" cy="238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A4D948" w14:textId="77777777" w:rsidR="003B3A29" w:rsidRDefault="003B3A29" w:rsidP="003B3A29">
      <w:pPr>
        <w:spacing w:line="276" w:lineRule="auto"/>
        <w:jc w:val="both"/>
        <w:rPr>
          <w:rFonts w:ascii="Arial" w:hAnsi="Arial" w:cs="Arial"/>
          <w:sz w:val="24"/>
          <w:szCs w:val="24"/>
          <w:lang w:val="en-US"/>
        </w:rPr>
      </w:pPr>
    </w:p>
    <w:p w14:paraId="50F358A3" w14:textId="77777777" w:rsidR="003B3A29" w:rsidRDefault="003B3A29" w:rsidP="003B3A29">
      <w:pPr>
        <w:spacing w:line="276" w:lineRule="auto"/>
        <w:jc w:val="both"/>
        <w:rPr>
          <w:rFonts w:ascii="Arial" w:hAnsi="Arial" w:cs="Arial"/>
          <w:sz w:val="24"/>
          <w:szCs w:val="24"/>
          <w:lang w:val="en-US"/>
        </w:rPr>
      </w:pPr>
    </w:p>
    <w:p w14:paraId="6139D617" w14:textId="77777777" w:rsidR="003B3A29" w:rsidRDefault="003B3A29" w:rsidP="003B3A29">
      <w:pPr>
        <w:spacing w:line="276" w:lineRule="auto"/>
        <w:jc w:val="both"/>
        <w:rPr>
          <w:rFonts w:ascii="Arial" w:hAnsi="Arial" w:cs="Arial"/>
          <w:sz w:val="24"/>
          <w:szCs w:val="24"/>
          <w:lang w:val="en-US"/>
        </w:rPr>
      </w:pPr>
    </w:p>
    <w:p w14:paraId="1094BBFC" w14:textId="77777777" w:rsidR="003B3A29" w:rsidRDefault="003B3A29" w:rsidP="003B3A29">
      <w:pPr>
        <w:spacing w:line="276" w:lineRule="auto"/>
        <w:jc w:val="both"/>
        <w:rPr>
          <w:rFonts w:ascii="Arial" w:hAnsi="Arial" w:cs="Arial"/>
          <w:sz w:val="24"/>
          <w:szCs w:val="24"/>
          <w:lang w:val="en-US"/>
        </w:rPr>
      </w:pPr>
    </w:p>
    <w:p w14:paraId="50EE87D9" w14:textId="77777777" w:rsidR="003B3A29" w:rsidRDefault="003B3A29" w:rsidP="003B3A29">
      <w:pPr>
        <w:spacing w:line="276" w:lineRule="auto"/>
        <w:jc w:val="both"/>
        <w:rPr>
          <w:rFonts w:ascii="Arial" w:hAnsi="Arial" w:cs="Arial"/>
          <w:sz w:val="24"/>
          <w:szCs w:val="24"/>
          <w:lang w:val="en-US"/>
        </w:rPr>
      </w:pPr>
    </w:p>
    <w:p w14:paraId="13DC44EB" w14:textId="77777777" w:rsidR="003B3A29" w:rsidRDefault="003B3A29" w:rsidP="003B3A29">
      <w:pPr>
        <w:spacing w:line="276" w:lineRule="auto"/>
        <w:jc w:val="both"/>
        <w:rPr>
          <w:rFonts w:ascii="Arial" w:hAnsi="Arial" w:cs="Arial"/>
          <w:sz w:val="24"/>
          <w:szCs w:val="24"/>
          <w:lang w:val="en-US"/>
        </w:rPr>
      </w:pPr>
    </w:p>
    <w:p w14:paraId="0CF4DFCC" w14:textId="77777777" w:rsidR="003B3A29" w:rsidRDefault="003B3A29" w:rsidP="003B3A29">
      <w:pPr>
        <w:spacing w:line="276" w:lineRule="auto"/>
        <w:jc w:val="both"/>
        <w:rPr>
          <w:rFonts w:ascii="Arial" w:hAnsi="Arial" w:cs="Arial"/>
          <w:sz w:val="24"/>
          <w:szCs w:val="24"/>
          <w:lang w:val="en-US"/>
        </w:rPr>
      </w:pPr>
    </w:p>
    <w:p w14:paraId="3CCE6ADA" w14:textId="77777777" w:rsidR="003B3A29" w:rsidRDefault="003B3A29" w:rsidP="003B3A29">
      <w:pPr>
        <w:spacing w:line="276" w:lineRule="auto"/>
        <w:jc w:val="both"/>
        <w:rPr>
          <w:rFonts w:ascii="Arial" w:hAnsi="Arial" w:cs="Arial"/>
          <w:sz w:val="24"/>
          <w:szCs w:val="24"/>
          <w:lang w:val="en-US"/>
        </w:rPr>
      </w:pPr>
    </w:p>
    <w:p w14:paraId="7AB5A707" w14:textId="77777777" w:rsidR="003B3A29" w:rsidRDefault="003B3A29" w:rsidP="003B3A29">
      <w:pPr>
        <w:spacing w:line="276" w:lineRule="auto"/>
        <w:jc w:val="both"/>
        <w:rPr>
          <w:rFonts w:ascii="Arial" w:hAnsi="Arial" w:cs="Arial"/>
          <w:sz w:val="24"/>
          <w:szCs w:val="24"/>
          <w:lang w:val="en-US"/>
        </w:rPr>
      </w:pPr>
    </w:p>
    <w:p w14:paraId="127871D4" w14:textId="77777777" w:rsidR="003B3A29" w:rsidRDefault="003B3A29" w:rsidP="003B3A29">
      <w:pPr>
        <w:spacing w:line="276" w:lineRule="auto"/>
        <w:jc w:val="both"/>
        <w:rPr>
          <w:rFonts w:ascii="Arial" w:hAnsi="Arial" w:cs="Arial"/>
          <w:sz w:val="24"/>
          <w:szCs w:val="24"/>
          <w:lang w:val="en-US"/>
        </w:rPr>
      </w:pPr>
    </w:p>
    <w:p w14:paraId="4E7CAB4D" w14:textId="77777777" w:rsidR="003B3A29" w:rsidRDefault="003B3A29" w:rsidP="003B3A29">
      <w:pPr>
        <w:spacing w:line="276" w:lineRule="auto"/>
        <w:jc w:val="both"/>
        <w:rPr>
          <w:rFonts w:ascii="Arial" w:hAnsi="Arial" w:cs="Arial"/>
          <w:sz w:val="24"/>
          <w:szCs w:val="24"/>
          <w:lang w:val="en-US"/>
        </w:rPr>
      </w:pPr>
    </w:p>
    <w:p w14:paraId="4F06AC50" w14:textId="77777777" w:rsidR="003B3A29" w:rsidRDefault="003B3A29" w:rsidP="003B3A29">
      <w:pPr>
        <w:spacing w:line="276" w:lineRule="auto"/>
        <w:jc w:val="both"/>
        <w:rPr>
          <w:rFonts w:ascii="Arial" w:hAnsi="Arial" w:cs="Arial"/>
          <w:sz w:val="24"/>
          <w:szCs w:val="24"/>
          <w:lang w:val="en-US"/>
        </w:rPr>
      </w:pPr>
    </w:p>
    <w:p w14:paraId="1EE106A2" w14:textId="1FC4769A" w:rsidR="003B3A29" w:rsidRPr="003B3A29" w:rsidRDefault="003B3A29" w:rsidP="003B3A29">
      <w:pPr>
        <w:spacing w:line="276" w:lineRule="auto"/>
        <w:jc w:val="both"/>
        <w:rPr>
          <w:rFonts w:ascii="Arial" w:hAnsi="Arial" w:cs="Arial"/>
          <w:sz w:val="24"/>
          <w:szCs w:val="24"/>
          <w:lang w:val="en-ZA"/>
        </w:rPr>
      </w:pPr>
      <w:r w:rsidRPr="003B3A29">
        <w:rPr>
          <w:rFonts w:ascii="Arial" w:hAnsi="Arial" w:cs="Arial"/>
          <w:sz w:val="24"/>
          <w:szCs w:val="24"/>
          <w:lang w:val="en-US"/>
        </w:rPr>
        <w:t>The</w:t>
      </w:r>
      <w:r w:rsidRPr="003B3A29">
        <w:rPr>
          <w:rFonts w:ascii="Arial" w:hAnsi="Arial" w:cs="Arial"/>
          <w:b/>
          <w:bCs/>
          <w:color w:val="69557F"/>
          <w:sz w:val="24"/>
          <w:szCs w:val="24"/>
          <w:lang w:val="en-US"/>
        </w:rPr>
        <w:t xml:space="preserve"> supreme audit institution </w:t>
      </w:r>
      <w:r w:rsidRPr="003B3A29">
        <w:rPr>
          <w:rFonts w:ascii="Arial" w:hAnsi="Arial" w:cs="Arial"/>
          <w:sz w:val="24"/>
          <w:szCs w:val="24"/>
          <w:lang w:val="en-US"/>
        </w:rPr>
        <w:t>is the public body that exercises the state’s highest public auditing function, a key oversight actor for fiscal transparency. It audits the executive’s reports on public finances, providing assurance that they are reliable and free from material misstatement. That is, it provides assurance that a government’s financial statements fairly reflect the revenues collected and expenditure incurred, and that the executive’s implementing agency had authority for transactions undertaken, and acted in accordance with relevant laws and regulations</w:t>
      </w:r>
      <w:r w:rsidRPr="003B3A29">
        <w:rPr>
          <w:rFonts w:ascii="Arial" w:hAnsi="Arial" w:cs="Arial"/>
          <w:sz w:val="24"/>
          <w:szCs w:val="24"/>
          <w:lang w:val="en-ZA"/>
        </w:rPr>
        <w:t xml:space="preserve">. </w:t>
      </w:r>
    </w:p>
    <w:p w14:paraId="39C837FD" w14:textId="276671A6" w:rsidR="003B3A29" w:rsidRDefault="00A55470" w:rsidP="003B3A29">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2315646" behindDoc="0" locked="0" layoutInCell="1" allowOverlap="1" wp14:anchorId="3362BB96" wp14:editId="74606AE8">
            <wp:simplePos x="0" y="0"/>
            <wp:positionH relativeFrom="column">
              <wp:posOffset>5715</wp:posOffset>
            </wp:positionH>
            <wp:positionV relativeFrom="paragraph">
              <wp:posOffset>63039</wp:posOffset>
            </wp:positionV>
            <wp:extent cx="1565275" cy="2228215"/>
            <wp:effectExtent l="0" t="0" r="0" b="0"/>
            <wp:wrapSquare wrapText="bothSides"/>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rotWithShape="1">
                    <a:blip r:embed="rId451" cstate="email">
                      <a:extLst>
                        <a:ext uri="{28A0092B-C50C-407E-A947-70E740481C1C}">
                          <a14:useLocalDpi xmlns:a14="http://schemas.microsoft.com/office/drawing/2010/main"/>
                        </a:ext>
                      </a:extLst>
                    </a:blip>
                    <a:srcRect/>
                    <a:stretch/>
                  </pic:blipFill>
                  <pic:spPr bwMode="auto">
                    <a:xfrm>
                      <a:off x="0" y="0"/>
                      <a:ext cx="1565275" cy="2228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9A58AA" w14:textId="37304D59" w:rsidR="0098121B" w:rsidRDefault="00A55470" w:rsidP="003B3A29">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2314622" behindDoc="0" locked="0" layoutInCell="1" allowOverlap="1" wp14:anchorId="2F84FD5D" wp14:editId="21F5859E">
                <wp:simplePos x="0" y="0"/>
                <wp:positionH relativeFrom="margin">
                  <wp:posOffset>1770380</wp:posOffset>
                </wp:positionH>
                <wp:positionV relativeFrom="paragraph">
                  <wp:posOffset>99060</wp:posOffset>
                </wp:positionV>
                <wp:extent cx="4770755" cy="1715770"/>
                <wp:effectExtent l="0" t="0" r="0" b="0"/>
                <wp:wrapNone/>
                <wp:docPr id="439" name="Text Box 439"/>
                <wp:cNvGraphicFramePr/>
                <a:graphic xmlns:a="http://schemas.openxmlformats.org/drawingml/2006/main">
                  <a:graphicData uri="http://schemas.microsoft.com/office/word/2010/wordprocessingShape">
                    <wps:wsp>
                      <wps:cNvSpPr txBox="1"/>
                      <wps:spPr>
                        <a:xfrm>
                          <a:off x="0" y="0"/>
                          <a:ext cx="4770755" cy="1715770"/>
                        </a:xfrm>
                        <a:prstGeom prst="rect">
                          <a:avLst/>
                        </a:prstGeom>
                        <a:noFill/>
                        <a:ln w="6350">
                          <a:noFill/>
                        </a:ln>
                      </wps:spPr>
                      <wps:txbx>
                        <w:txbxContent>
                          <w:p w14:paraId="382D912C" w14:textId="77777777" w:rsidR="00D15FD8" w:rsidRPr="003B3A29" w:rsidRDefault="00D15FD8" w:rsidP="0098121B">
                            <w:pPr>
                              <w:spacing w:line="276" w:lineRule="auto"/>
                              <w:jc w:val="both"/>
                              <w:rPr>
                                <w:rFonts w:ascii="Arial" w:hAnsi="Arial" w:cs="Arial"/>
                                <w:sz w:val="24"/>
                                <w:szCs w:val="24"/>
                                <w:lang w:val="en-ZA"/>
                              </w:rPr>
                            </w:pPr>
                            <w:r w:rsidRPr="003B3A29">
                              <w:rPr>
                                <w:rFonts w:ascii="Arial" w:hAnsi="Arial" w:cs="Arial"/>
                                <w:sz w:val="24"/>
                                <w:szCs w:val="24"/>
                                <w:lang w:val="en-ZA"/>
                              </w:rPr>
                              <w:t>In simple terms, while the executive is responsible for implementing fiscal policy and the budget, the supreme audit institution’s role is to check whether the budget has been implemented appropriately and to report on issues identified. It provides its audit finding and recommendations in reports. These reports constitute a source of reliable information on the government’s efficiency and effectiveness and are necessary to be able to hold the executive accountable for its financial management of public resources.</w:t>
                            </w:r>
                          </w:p>
                          <w:p w14:paraId="048BB000"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4FD5D" id="Text Box 439" o:spid="_x0000_s1265" type="#_x0000_t202" style="position:absolute;left:0;text-align:left;margin-left:139.4pt;margin-top:7.8pt;width:375.65pt;height:135.1pt;z-index:2523146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" filled="f" stroked="f" strokeweight=".5pt">
                <v:textbox>
                  <w:txbxContent>
                    <w:p w14:paraId="382D912C" w14:textId="77777777" w:rsidR="00D15FD8" w:rsidRPr="003B3A29" w:rsidRDefault="00D15FD8" w:rsidP="0098121B">
                      <w:pPr>
                        <w:spacing w:line="276" w:lineRule="auto"/>
                        <w:jc w:val="both"/>
                        <w:rPr>
                          <w:rFonts w:ascii="Arial" w:hAnsi="Arial" w:cs="Arial"/>
                          <w:sz w:val="24"/>
                          <w:szCs w:val="24"/>
                          <w:lang w:val="en-ZA"/>
                        </w:rPr>
                      </w:pPr>
                      <w:r w:rsidRPr="003B3A29">
                        <w:rPr>
                          <w:rFonts w:ascii="Arial" w:hAnsi="Arial" w:cs="Arial"/>
                          <w:sz w:val="24"/>
                          <w:szCs w:val="24"/>
                          <w:lang w:val="en-ZA"/>
                        </w:rPr>
                        <w:t>In simple terms, while the executive is responsible for implementing fiscal policy and the budget, the supreme audit institution’s role is to check whether the budget has been implemented appropriately and to report on issues identified. It provides its audit finding and recommendations in reports. These reports constitute a source of reliable information on the government’s efficiency and effectiveness and are necessary to be able to hold the executive accountable for its financial management of public resources.</w:t>
                      </w:r>
                    </w:p>
                    <w:p w14:paraId="048BB000" w14:textId="77777777" w:rsidR="00D15FD8" w:rsidRDefault="00D15FD8"/>
                  </w:txbxContent>
                </v:textbox>
                <w10:wrap anchorx="margin"/>
              </v:shape>
            </w:pict>
          </mc:Fallback>
        </mc:AlternateContent>
      </w:r>
      <w:r>
        <w:rPr>
          <w:rFonts w:ascii="Arial" w:hAnsi="Arial" w:cs="Arial"/>
          <w:noProof/>
          <w:sz w:val="24"/>
          <w:szCs w:val="24"/>
          <w:lang w:val="en-US"/>
        </w:rPr>
        <mc:AlternateContent>
          <mc:Choice Requires="wps">
            <w:drawing>
              <wp:anchor distT="0" distB="0" distL="114300" distR="114300" simplePos="0" relativeHeight="252307454" behindDoc="0" locked="0" layoutInCell="1" allowOverlap="1" wp14:anchorId="0A010204" wp14:editId="3B64B80C">
                <wp:simplePos x="0" y="0"/>
                <wp:positionH relativeFrom="margin">
                  <wp:posOffset>1646555</wp:posOffset>
                </wp:positionH>
                <wp:positionV relativeFrom="paragraph">
                  <wp:posOffset>24939</wp:posOffset>
                </wp:positionV>
                <wp:extent cx="5021580" cy="1840865"/>
                <wp:effectExtent l="12700" t="12700" r="7620" b="13335"/>
                <wp:wrapNone/>
                <wp:docPr id="434" name="Rounded Rectangle 434"/>
                <wp:cNvGraphicFramePr/>
                <a:graphic xmlns:a="http://schemas.openxmlformats.org/drawingml/2006/main">
                  <a:graphicData uri="http://schemas.microsoft.com/office/word/2010/wordprocessingShape">
                    <wps:wsp>
                      <wps:cNvSpPr/>
                      <wps:spPr>
                        <a:xfrm>
                          <a:off x="0" y="0"/>
                          <a:ext cx="5021580" cy="1840865"/>
                        </a:xfrm>
                        <a:prstGeom prst="roundRect">
                          <a:avLst>
                            <a:gd name="adj" fmla="val 2339"/>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5B06DF6" id="Rounded Rectangle 434" o:spid="_x0000_s1026" style="position:absolute;margin-left:129.65pt;margin-top:1.95pt;width:395.4pt;height:144.95pt;z-index:2523074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" filled="f" strokecolor="#69557f" strokeweight="2.25pt">
                <v:stroke joinstyle="miter"/>
                <w10:wrap anchorx="margin"/>
              </v:roundrect>
            </w:pict>
          </mc:Fallback>
        </mc:AlternateContent>
      </w:r>
    </w:p>
    <w:p w14:paraId="7BE35CB2" w14:textId="32FBCA88" w:rsidR="003B3A29" w:rsidRDefault="003B3A29" w:rsidP="003B3A29">
      <w:pPr>
        <w:spacing w:line="276" w:lineRule="auto"/>
        <w:jc w:val="both"/>
        <w:rPr>
          <w:rFonts w:ascii="Arial" w:hAnsi="Arial" w:cs="Arial"/>
          <w:sz w:val="24"/>
          <w:szCs w:val="24"/>
          <w:lang w:val="en-ZA"/>
        </w:rPr>
      </w:pPr>
    </w:p>
    <w:p w14:paraId="2049D180" w14:textId="5AF7B88C" w:rsidR="003B3A29" w:rsidRPr="003B3A29" w:rsidRDefault="003B3A29" w:rsidP="003B3A29">
      <w:pPr>
        <w:spacing w:line="276" w:lineRule="auto"/>
        <w:jc w:val="both"/>
        <w:rPr>
          <w:rFonts w:ascii="Arial" w:hAnsi="Arial" w:cs="Arial"/>
          <w:sz w:val="24"/>
          <w:szCs w:val="24"/>
          <w:lang w:val="en-ZA"/>
        </w:rPr>
      </w:pPr>
    </w:p>
    <w:p w14:paraId="31970479" w14:textId="60364498" w:rsidR="0098121B" w:rsidRDefault="0098121B" w:rsidP="003B3A29">
      <w:pPr>
        <w:spacing w:line="276" w:lineRule="auto"/>
        <w:jc w:val="both"/>
        <w:rPr>
          <w:rFonts w:ascii="Arial" w:hAnsi="Arial" w:cs="Arial"/>
          <w:sz w:val="24"/>
          <w:szCs w:val="24"/>
          <w:lang w:val="en-ZA"/>
        </w:rPr>
      </w:pPr>
    </w:p>
    <w:p w14:paraId="7890B2A4" w14:textId="5BD825C7" w:rsidR="0098121B" w:rsidRDefault="0098121B" w:rsidP="003B3A29">
      <w:pPr>
        <w:spacing w:line="276" w:lineRule="auto"/>
        <w:jc w:val="both"/>
        <w:rPr>
          <w:rFonts w:ascii="Arial" w:hAnsi="Arial" w:cs="Arial"/>
          <w:sz w:val="24"/>
          <w:szCs w:val="24"/>
          <w:lang w:val="en-ZA"/>
        </w:rPr>
      </w:pPr>
    </w:p>
    <w:p w14:paraId="5413D126" w14:textId="113F2B68" w:rsidR="0098121B" w:rsidRDefault="0098121B" w:rsidP="003B3A29">
      <w:pPr>
        <w:spacing w:line="276" w:lineRule="auto"/>
        <w:jc w:val="both"/>
        <w:rPr>
          <w:rFonts w:ascii="Arial" w:hAnsi="Arial" w:cs="Arial"/>
          <w:sz w:val="24"/>
          <w:szCs w:val="24"/>
          <w:lang w:val="en-ZA"/>
        </w:rPr>
      </w:pPr>
    </w:p>
    <w:p w14:paraId="78AF39C9" w14:textId="77777777" w:rsidR="0098121B" w:rsidRPr="003B3A29" w:rsidRDefault="0098121B" w:rsidP="003B3A29">
      <w:pPr>
        <w:spacing w:line="276" w:lineRule="auto"/>
        <w:jc w:val="both"/>
        <w:rPr>
          <w:rFonts w:ascii="Arial" w:hAnsi="Arial" w:cs="Arial"/>
          <w:sz w:val="24"/>
          <w:szCs w:val="24"/>
          <w:lang w:val="en-ZA"/>
        </w:rPr>
      </w:pPr>
    </w:p>
    <w:p w14:paraId="3B5C882A" w14:textId="77777777" w:rsidR="00A55470" w:rsidRDefault="00A55470" w:rsidP="003B3A29">
      <w:pPr>
        <w:spacing w:line="276" w:lineRule="auto"/>
        <w:jc w:val="both"/>
        <w:rPr>
          <w:rFonts w:ascii="Arial" w:hAnsi="Arial" w:cs="Arial"/>
          <w:sz w:val="24"/>
          <w:szCs w:val="24"/>
          <w:lang w:val="en-ZA"/>
        </w:rPr>
      </w:pPr>
    </w:p>
    <w:p w14:paraId="2E10188E" w14:textId="77777777" w:rsidR="00A55470" w:rsidRDefault="00A55470" w:rsidP="003B3A29">
      <w:pPr>
        <w:spacing w:line="276" w:lineRule="auto"/>
        <w:jc w:val="both"/>
        <w:rPr>
          <w:rFonts w:ascii="Arial" w:hAnsi="Arial" w:cs="Arial"/>
          <w:sz w:val="24"/>
          <w:szCs w:val="24"/>
          <w:lang w:val="en-ZA"/>
        </w:rPr>
      </w:pPr>
    </w:p>
    <w:p w14:paraId="7A0C300E" w14:textId="77777777" w:rsidR="00A55470" w:rsidRDefault="00A55470" w:rsidP="003B3A29">
      <w:pPr>
        <w:spacing w:line="276" w:lineRule="auto"/>
        <w:jc w:val="both"/>
        <w:rPr>
          <w:rFonts w:ascii="Arial" w:hAnsi="Arial" w:cs="Arial"/>
          <w:sz w:val="24"/>
          <w:szCs w:val="24"/>
          <w:lang w:val="en-ZA"/>
        </w:rPr>
      </w:pPr>
    </w:p>
    <w:p w14:paraId="4CFBB3B5" w14:textId="77777777" w:rsidR="00A55470" w:rsidRDefault="00A55470" w:rsidP="003B3A29">
      <w:pPr>
        <w:spacing w:line="276" w:lineRule="auto"/>
        <w:jc w:val="both"/>
        <w:rPr>
          <w:rFonts w:ascii="Arial" w:hAnsi="Arial" w:cs="Arial"/>
          <w:sz w:val="24"/>
          <w:szCs w:val="24"/>
          <w:lang w:val="en-ZA"/>
        </w:rPr>
      </w:pPr>
    </w:p>
    <w:p w14:paraId="35211F9F" w14:textId="409C732F" w:rsidR="003B3A29" w:rsidRPr="003B3A29" w:rsidRDefault="003B3A29" w:rsidP="003B3A29">
      <w:pPr>
        <w:spacing w:line="276" w:lineRule="auto"/>
        <w:jc w:val="both"/>
        <w:rPr>
          <w:rFonts w:ascii="Arial" w:hAnsi="Arial" w:cs="Arial"/>
          <w:sz w:val="24"/>
          <w:szCs w:val="24"/>
          <w:lang w:val="en-ZA"/>
        </w:rPr>
      </w:pPr>
      <w:r w:rsidRPr="003B3A29">
        <w:rPr>
          <w:rFonts w:ascii="Arial" w:hAnsi="Arial" w:cs="Arial"/>
          <w:sz w:val="24"/>
          <w:szCs w:val="24"/>
          <w:lang w:val="en-ZA"/>
        </w:rPr>
        <w:t xml:space="preserve">Independent audit institutions using internationally-recognised auditing standards are widely regarded as fundamental to financial accountability in both the public and private sectors. In the public sector, the supreme audit institution plays a key role in ensuring a transparent public administration, enabling the legislature to exercise its oversight role, as well as in building public trust in the integrity of fiscal management. </w:t>
      </w:r>
      <w:r w:rsidRPr="003B3A29">
        <w:rPr>
          <w:rFonts w:ascii="Arial" w:hAnsi="Arial" w:cs="Arial"/>
          <w:sz w:val="24"/>
          <w:szCs w:val="24"/>
          <w:lang w:val="en-US"/>
        </w:rPr>
        <w:t>Their role should be technical, highly professionalized, and objective, isolated from political influence and interest capture.</w:t>
      </w:r>
    </w:p>
    <w:p w14:paraId="045825D2" w14:textId="09584760" w:rsidR="005160DB" w:rsidRDefault="00042A50" w:rsidP="00330914">
      <w:bookmarkStart w:id="921" w:name="_Toc119794457"/>
      <w:bookmarkStart w:id="922" w:name="_Toc123204444"/>
      <w:bookmarkStart w:id="923" w:name="_Toc123216535"/>
      <w:bookmarkStart w:id="924" w:name="_Toc123217375"/>
      <w:bookmarkStart w:id="925" w:name="_Toc123913343"/>
      <w:bookmarkStart w:id="926" w:name="_Toc123913999"/>
      <w:bookmarkStart w:id="927" w:name="_Toc125566618"/>
      <w:r>
        <w:rPr>
          <w:noProof/>
          <w:lang w:val="en-US"/>
        </w:rPr>
        <w:lastRenderedPageBreak/>
        <w:drawing>
          <wp:anchor distT="0" distB="0" distL="114300" distR="114300" simplePos="0" relativeHeight="252603390" behindDoc="1" locked="0" layoutInCell="1" allowOverlap="1" wp14:anchorId="4643B627" wp14:editId="5A54103E">
            <wp:simplePos x="0" y="0"/>
            <wp:positionH relativeFrom="column">
              <wp:posOffset>-26150</wp:posOffset>
            </wp:positionH>
            <wp:positionV relativeFrom="paragraph">
              <wp:posOffset>64135</wp:posOffset>
            </wp:positionV>
            <wp:extent cx="3330000" cy="959895"/>
            <wp:effectExtent l="0" t="0" r="0" b="5715"/>
            <wp:wrapNone/>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Picture 1477"/>
                    <pic:cNvPicPr/>
                  </pic:nvPicPr>
                  <pic:blipFill rotWithShape="1">
                    <a:blip r:embed="rId452" cstate="email">
                      <a:extLst>
                        <a:ext uri="{28A0092B-C50C-407E-A947-70E740481C1C}">
                          <a14:useLocalDpi xmlns:a14="http://schemas.microsoft.com/office/drawing/2010/main"/>
                        </a:ext>
                      </a:extLst>
                    </a:blip>
                    <a:srcRect/>
                    <a:stretch/>
                  </pic:blipFill>
                  <pic:spPr bwMode="auto">
                    <a:xfrm>
                      <a:off x="0" y="0"/>
                      <a:ext cx="3330000" cy="959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21"/>
      <w:bookmarkEnd w:id="922"/>
      <w:bookmarkEnd w:id="923"/>
      <w:bookmarkEnd w:id="924"/>
      <w:bookmarkEnd w:id="925"/>
      <w:bookmarkEnd w:id="926"/>
      <w:bookmarkEnd w:id="927"/>
    </w:p>
    <w:p w14:paraId="20125D65" w14:textId="1FBDE892" w:rsidR="005160DB" w:rsidRDefault="00AB3FA0" w:rsidP="00330914">
      <w:bookmarkStart w:id="928" w:name="_Toc123913345"/>
      <w:bookmarkStart w:id="929" w:name="_Toc123914001"/>
      <w:bookmarkStart w:id="930" w:name="_Toc125566620"/>
      <w:r>
        <w:rPr>
          <w:noProof/>
          <w:lang w:val="en-US"/>
        </w:rPr>
        <mc:AlternateContent>
          <mc:Choice Requires="wps">
            <w:drawing>
              <wp:anchor distT="0" distB="0" distL="114300" distR="114300" simplePos="0" relativeHeight="252318718" behindDoc="0" locked="0" layoutInCell="1" allowOverlap="1" wp14:anchorId="5A28F238" wp14:editId="651CF976">
                <wp:simplePos x="0" y="0"/>
                <wp:positionH relativeFrom="column">
                  <wp:posOffset>762000</wp:posOffset>
                </wp:positionH>
                <wp:positionV relativeFrom="paragraph">
                  <wp:posOffset>294640</wp:posOffset>
                </wp:positionV>
                <wp:extent cx="2387600" cy="36830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2387600" cy="368300"/>
                        </a:xfrm>
                        <a:prstGeom prst="rect">
                          <a:avLst/>
                        </a:prstGeom>
                        <a:noFill/>
                        <a:ln w="6350">
                          <a:noFill/>
                        </a:ln>
                      </wps:spPr>
                      <wps:txbx>
                        <w:txbxContent>
                          <w:p w14:paraId="61DA29FE" w14:textId="5B9CE27F" w:rsidR="00D15FD8" w:rsidRPr="00AB3FA0" w:rsidRDefault="00D15FD8" w:rsidP="00317B31">
                            <w:pPr>
                              <w:pStyle w:val="Heading3"/>
                              <w:jc w:val="center"/>
                              <w:rPr>
                                <w:rFonts w:ascii="Arial" w:hAnsi="Arial" w:cs="Arial"/>
                                <w:b/>
                                <w:bCs/>
                                <w:color w:val="FFFFFF" w:themeColor="background1"/>
                                <w:sz w:val="32"/>
                                <w:szCs w:val="32"/>
                                <w:lang w:val="en-US"/>
                              </w:rPr>
                            </w:pPr>
                            <w:bookmarkStart w:id="931" w:name="_Toc119794458"/>
                            <w:bookmarkStart w:id="932" w:name="_Toc123204445"/>
                            <w:bookmarkStart w:id="933" w:name="_Toc123216536"/>
                            <w:bookmarkStart w:id="934" w:name="_Toc123217376"/>
                            <w:bookmarkStart w:id="935" w:name="_Toc123828134"/>
                            <w:bookmarkStart w:id="936" w:name="_Toc123828344"/>
                            <w:bookmarkStart w:id="937" w:name="_Toc123828540"/>
                            <w:bookmarkStart w:id="938" w:name="_Toc123912567"/>
                            <w:bookmarkStart w:id="939" w:name="_Toc123913344"/>
                            <w:bookmarkStart w:id="940" w:name="_Toc123914000"/>
                            <w:bookmarkStart w:id="941" w:name="_Toc125566619"/>
                            <w:r w:rsidRPr="00AB3FA0">
                              <w:rPr>
                                <w:rFonts w:ascii="Arial" w:hAnsi="Arial" w:cs="Arial"/>
                                <w:b/>
                                <w:bCs/>
                                <w:color w:val="FFFFFF" w:themeColor="background1"/>
                                <w:sz w:val="32"/>
                                <w:szCs w:val="32"/>
                                <w:lang w:val="en-US"/>
                              </w:rPr>
                              <w:t>Audit models</w:t>
                            </w:r>
                            <w:bookmarkEnd w:id="931"/>
                            <w:bookmarkEnd w:id="932"/>
                            <w:bookmarkEnd w:id="933"/>
                            <w:bookmarkEnd w:id="934"/>
                            <w:bookmarkEnd w:id="935"/>
                            <w:bookmarkEnd w:id="936"/>
                            <w:bookmarkEnd w:id="937"/>
                            <w:bookmarkEnd w:id="938"/>
                            <w:bookmarkEnd w:id="939"/>
                            <w:bookmarkEnd w:id="940"/>
                            <w:bookmarkEnd w:id="9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8F238" id="Text Box 90" o:spid="_x0000_s1266" type="#_x0000_t202" style="position:absolute;margin-left:60pt;margin-top:23.2pt;width:188pt;height:29pt;z-index:252318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" filled="f" stroked="f" strokeweight=".5pt">
                <v:textbox>
                  <w:txbxContent>
                    <w:p w14:paraId="61DA29FE" w14:textId="5B9CE27F" w:rsidR="00D15FD8" w:rsidRPr="00AB3FA0" w:rsidRDefault="00D15FD8" w:rsidP="00317B31">
                      <w:pPr>
                        <w:pStyle w:val="Heading3"/>
                        <w:jc w:val="center"/>
                        <w:rPr>
                          <w:rFonts w:ascii="Arial" w:hAnsi="Arial" w:cs="Arial"/>
                          <w:b/>
                          <w:bCs/>
                          <w:color w:val="FFFFFF" w:themeColor="background1"/>
                          <w:sz w:val="32"/>
                          <w:szCs w:val="32"/>
                          <w:lang w:val="en-US"/>
                        </w:rPr>
                      </w:pPr>
                      <w:bookmarkStart w:id="942" w:name="_Toc119794458"/>
                      <w:bookmarkStart w:id="943" w:name="_Toc123204445"/>
                      <w:bookmarkStart w:id="944" w:name="_Toc123216536"/>
                      <w:bookmarkStart w:id="945" w:name="_Toc123217376"/>
                      <w:bookmarkStart w:id="946" w:name="_Toc123828134"/>
                      <w:bookmarkStart w:id="947" w:name="_Toc123828344"/>
                      <w:bookmarkStart w:id="948" w:name="_Toc123828540"/>
                      <w:bookmarkStart w:id="949" w:name="_Toc123912567"/>
                      <w:bookmarkStart w:id="950" w:name="_Toc123913344"/>
                      <w:bookmarkStart w:id="951" w:name="_Toc123914000"/>
                      <w:bookmarkStart w:id="952" w:name="_Toc125566619"/>
                      <w:r w:rsidRPr="00AB3FA0">
                        <w:rPr>
                          <w:rFonts w:ascii="Arial" w:hAnsi="Arial" w:cs="Arial"/>
                          <w:b/>
                          <w:bCs/>
                          <w:color w:val="FFFFFF" w:themeColor="background1"/>
                          <w:sz w:val="32"/>
                          <w:szCs w:val="32"/>
                          <w:lang w:val="en-US"/>
                        </w:rPr>
                        <w:t>Audit models</w:t>
                      </w:r>
                      <w:bookmarkEnd w:id="942"/>
                      <w:bookmarkEnd w:id="943"/>
                      <w:bookmarkEnd w:id="944"/>
                      <w:bookmarkEnd w:id="945"/>
                      <w:bookmarkEnd w:id="946"/>
                      <w:bookmarkEnd w:id="947"/>
                      <w:bookmarkEnd w:id="948"/>
                      <w:bookmarkEnd w:id="949"/>
                      <w:bookmarkEnd w:id="950"/>
                      <w:bookmarkEnd w:id="951"/>
                      <w:bookmarkEnd w:id="952"/>
                    </w:p>
                  </w:txbxContent>
                </v:textbox>
              </v:shape>
            </w:pict>
          </mc:Fallback>
        </mc:AlternateContent>
      </w:r>
      <w:bookmarkEnd w:id="928"/>
      <w:bookmarkEnd w:id="929"/>
      <w:bookmarkEnd w:id="930"/>
    </w:p>
    <w:p w14:paraId="25A6A74E" w14:textId="77777777" w:rsidR="00330914" w:rsidRDefault="00330914" w:rsidP="00330914">
      <w:bookmarkStart w:id="953" w:name="_Toc119794459"/>
      <w:bookmarkStart w:id="954" w:name="_Toc123204446"/>
      <w:bookmarkStart w:id="955" w:name="_Toc123216537"/>
      <w:bookmarkStart w:id="956" w:name="_Toc123217377"/>
      <w:bookmarkStart w:id="957" w:name="_Toc123913346"/>
      <w:bookmarkStart w:id="958" w:name="_Toc123914002"/>
      <w:bookmarkStart w:id="959" w:name="_Toc125566621"/>
    </w:p>
    <w:p w14:paraId="2A84D8C9" w14:textId="77777777" w:rsidR="00330914" w:rsidRDefault="00330914" w:rsidP="00330914">
      <w:pPr>
        <w:rPr>
          <w:color w:val="69557F"/>
        </w:rPr>
      </w:pPr>
    </w:p>
    <w:p w14:paraId="7662B07B" w14:textId="77777777" w:rsidR="00330914" w:rsidRDefault="00330914" w:rsidP="00330914">
      <w:pPr>
        <w:rPr>
          <w:color w:val="69557F"/>
        </w:rPr>
      </w:pPr>
    </w:p>
    <w:p w14:paraId="53E6EE47" w14:textId="457D6399" w:rsidR="00214D6C" w:rsidRPr="00215A90" w:rsidRDefault="00215A90" w:rsidP="00330914">
      <w:pPr>
        <w:rPr>
          <w:color w:val="69557F"/>
        </w:rPr>
      </w:pPr>
      <w:r>
        <w:rPr>
          <w:noProof/>
          <w:lang w:val="en-US"/>
        </w:rPr>
        <w:drawing>
          <wp:anchor distT="0" distB="0" distL="114300" distR="114300" simplePos="0" relativeHeight="252316670" behindDoc="0" locked="0" layoutInCell="1" allowOverlap="1" wp14:anchorId="2C6A7CA0" wp14:editId="65CCA216">
            <wp:simplePos x="0" y="0"/>
            <wp:positionH relativeFrom="column">
              <wp:posOffset>5715</wp:posOffset>
            </wp:positionH>
            <wp:positionV relativeFrom="paragraph">
              <wp:posOffset>342900</wp:posOffset>
            </wp:positionV>
            <wp:extent cx="1635760" cy="1390015"/>
            <wp:effectExtent l="0" t="0" r="254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453" cstate="email">
                      <a:extLst>
                        <a:ext uri="{28A0092B-C50C-407E-A947-70E740481C1C}">
                          <a14:useLocalDpi xmlns:a14="http://schemas.microsoft.com/office/drawing/2010/main"/>
                        </a:ext>
                      </a:extLst>
                    </a:blip>
                    <a:srcRect/>
                    <a:stretch/>
                  </pic:blipFill>
                  <pic:spPr bwMode="auto">
                    <a:xfrm>
                      <a:off x="0" y="0"/>
                      <a:ext cx="1635760" cy="1390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53"/>
      <w:bookmarkEnd w:id="954"/>
      <w:bookmarkEnd w:id="955"/>
      <w:bookmarkEnd w:id="956"/>
      <w:bookmarkEnd w:id="957"/>
      <w:bookmarkEnd w:id="958"/>
      <w:bookmarkEnd w:id="959"/>
    </w:p>
    <w:p w14:paraId="496A84F8" w14:textId="77777777" w:rsidR="00330914" w:rsidRDefault="00330914" w:rsidP="00214D6C">
      <w:pPr>
        <w:spacing w:line="276" w:lineRule="auto"/>
        <w:jc w:val="both"/>
        <w:rPr>
          <w:rFonts w:ascii="Arial" w:hAnsi="Arial" w:cs="Arial"/>
          <w:sz w:val="24"/>
          <w:szCs w:val="24"/>
          <w:lang w:val="en-ZA"/>
        </w:rPr>
      </w:pPr>
    </w:p>
    <w:p w14:paraId="5D500D1B" w14:textId="54AB445D" w:rsidR="00214D6C" w:rsidRPr="00214D6C" w:rsidRDefault="00214D6C" w:rsidP="00214D6C">
      <w:pPr>
        <w:spacing w:line="276" w:lineRule="auto"/>
        <w:jc w:val="both"/>
        <w:rPr>
          <w:rFonts w:ascii="Arial" w:hAnsi="Arial" w:cs="Arial"/>
          <w:sz w:val="24"/>
          <w:szCs w:val="24"/>
          <w:lang w:val="en-US"/>
        </w:rPr>
      </w:pPr>
      <w:r w:rsidRPr="00214D6C">
        <w:rPr>
          <w:rFonts w:ascii="Arial" w:hAnsi="Arial" w:cs="Arial"/>
          <w:sz w:val="24"/>
          <w:szCs w:val="24"/>
          <w:lang w:val="en-ZA"/>
        </w:rPr>
        <w:t xml:space="preserve">The supreme audit institution should be independent of the executive branch of government, forming part of either the judicial or legislative branch. Generally, it is referred to as the Court of Accounts in countries with civil law systems, and the Auditor General in legal systems based on common law. They are also referred to as </w:t>
      </w:r>
      <w:r w:rsidRPr="00214D6C">
        <w:rPr>
          <w:rFonts w:ascii="Arial" w:hAnsi="Arial" w:cs="Arial"/>
          <w:sz w:val="24"/>
          <w:szCs w:val="24"/>
          <w:lang w:val="en-US"/>
        </w:rPr>
        <w:t xml:space="preserve">Comptroller General in some countries particularly in the Americas, including in Peru, Chile, Colombia, and Ecuador. </w:t>
      </w:r>
    </w:p>
    <w:p w14:paraId="05DC13E6" w14:textId="1000413D" w:rsidR="00214D6C" w:rsidRDefault="00317B31" w:rsidP="00214D6C">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2319742" behindDoc="0" locked="0" layoutInCell="1" allowOverlap="1" wp14:anchorId="5911E48C" wp14:editId="6FC99BE7">
                <wp:simplePos x="0" y="0"/>
                <wp:positionH relativeFrom="column">
                  <wp:posOffset>63500</wp:posOffset>
                </wp:positionH>
                <wp:positionV relativeFrom="paragraph">
                  <wp:posOffset>99060</wp:posOffset>
                </wp:positionV>
                <wp:extent cx="6577330" cy="730814"/>
                <wp:effectExtent l="0" t="0" r="1270" b="6350"/>
                <wp:wrapNone/>
                <wp:docPr id="116" name="Rounded Rectangle 116"/>
                <wp:cNvGraphicFramePr/>
                <a:graphic xmlns:a="http://schemas.openxmlformats.org/drawingml/2006/main">
                  <a:graphicData uri="http://schemas.microsoft.com/office/word/2010/wordprocessingShape">
                    <wps:wsp>
                      <wps:cNvSpPr/>
                      <wps:spPr>
                        <a:xfrm>
                          <a:off x="0" y="0"/>
                          <a:ext cx="6577330" cy="730814"/>
                        </a:xfrm>
                        <a:prstGeom prst="roundRect">
                          <a:avLst>
                            <a:gd name="adj" fmla="val 4240"/>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189CE18" id="Rounded Rectangle 116" o:spid="_x0000_s1026" style="position:absolute;margin-left:5pt;margin-top:7.8pt;width:517.9pt;height:57.55pt;z-index:252319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" fillcolor="#69557f" stroked="f" strokeweight="1pt">
                <v:stroke joinstyle="miter"/>
              </v:roundrect>
            </w:pict>
          </mc:Fallback>
        </mc:AlternateContent>
      </w:r>
    </w:p>
    <w:p w14:paraId="2308D7CD" w14:textId="65866060" w:rsidR="00317B31" w:rsidRDefault="00B53BF4" w:rsidP="00214D6C">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2605438" behindDoc="0" locked="0" layoutInCell="1" allowOverlap="1" wp14:anchorId="43D439D6" wp14:editId="144AF5A3">
                <wp:simplePos x="0" y="0"/>
                <wp:positionH relativeFrom="column">
                  <wp:posOffset>920044</wp:posOffset>
                </wp:positionH>
                <wp:positionV relativeFrom="paragraph">
                  <wp:posOffset>117897</wp:posOffset>
                </wp:positionV>
                <wp:extent cx="4987290" cy="390243"/>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4987290" cy="390243"/>
                        </a:xfrm>
                        <a:prstGeom prst="rect">
                          <a:avLst/>
                        </a:prstGeom>
                        <a:noFill/>
                        <a:ln w="6350">
                          <a:noFill/>
                        </a:ln>
                      </wps:spPr>
                      <wps:txbx>
                        <w:txbxContent>
                          <w:p w14:paraId="4C7D4A8C" w14:textId="35583D07" w:rsidR="00D15FD8" w:rsidRPr="003625BA" w:rsidRDefault="00D15FD8" w:rsidP="003625BA">
                            <w:pPr>
                              <w:spacing w:line="276" w:lineRule="auto"/>
                              <w:rPr>
                                <w:rFonts w:ascii="Arial" w:hAnsi="Arial" w:cs="Arial"/>
                                <w:b/>
                                <w:bCs/>
                                <w:color w:val="FFFFFF" w:themeColor="background1"/>
                                <w:sz w:val="32"/>
                                <w:szCs w:val="32"/>
                              </w:rPr>
                            </w:pPr>
                            <w:r w:rsidRPr="003625BA">
                              <w:rPr>
                                <w:rFonts w:ascii="Arial" w:hAnsi="Arial" w:cs="Arial"/>
                                <w:b/>
                                <w:bCs/>
                                <w:color w:val="FFFFFF" w:themeColor="background1"/>
                                <w:sz w:val="32"/>
                                <w:szCs w:val="32"/>
                              </w:rPr>
                              <w:t>Three main types of audit models:</w:t>
                            </w:r>
                          </w:p>
                          <w:p w14:paraId="4EC128A2" w14:textId="77777777" w:rsidR="00D15FD8" w:rsidRPr="003625BA" w:rsidRDefault="00D15FD8" w:rsidP="003625BA">
                            <w:pPr>
                              <w:rPr>
                                <w:b/>
                                <w:bCs/>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439D6" id="Text Box 174" o:spid="_x0000_s1267" type="#_x0000_t202" style="position:absolute;left:0;text-align:left;margin-left:72.45pt;margin-top:9.3pt;width:392.7pt;height:30.75pt;z-index:252605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" filled="f" stroked="f" strokeweight=".5pt">
                <v:textbox>
                  <w:txbxContent>
                    <w:p w14:paraId="4C7D4A8C" w14:textId="35583D07" w:rsidR="00D15FD8" w:rsidRPr="003625BA" w:rsidRDefault="00D15FD8" w:rsidP="003625BA">
                      <w:pPr>
                        <w:spacing w:line="276" w:lineRule="auto"/>
                        <w:rPr>
                          <w:rFonts w:ascii="Arial" w:hAnsi="Arial" w:cs="Arial"/>
                          <w:b/>
                          <w:bCs/>
                          <w:color w:val="FFFFFF" w:themeColor="background1"/>
                          <w:sz w:val="32"/>
                          <w:szCs w:val="32"/>
                        </w:rPr>
                      </w:pPr>
                      <w:r w:rsidRPr="003625BA">
                        <w:rPr>
                          <w:rFonts w:ascii="Arial" w:hAnsi="Arial" w:cs="Arial"/>
                          <w:b/>
                          <w:bCs/>
                          <w:color w:val="FFFFFF" w:themeColor="background1"/>
                          <w:sz w:val="32"/>
                          <w:szCs w:val="32"/>
                        </w:rPr>
                        <w:t>Three main types of audit models:</w:t>
                      </w:r>
                    </w:p>
                    <w:p w14:paraId="4EC128A2" w14:textId="77777777" w:rsidR="00D15FD8" w:rsidRPr="003625BA" w:rsidRDefault="00D15FD8" w:rsidP="003625BA">
                      <w:pPr>
                        <w:rPr>
                          <w:b/>
                          <w:bCs/>
                          <w:color w:val="FFFFFF" w:themeColor="background1"/>
                          <w:sz w:val="32"/>
                          <w:szCs w:val="32"/>
                        </w:rPr>
                      </w:pPr>
                    </w:p>
                  </w:txbxContent>
                </v:textbox>
              </v:shape>
            </w:pict>
          </mc:Fallback>
        </mc:AlternateContent>
      </w:r>
      <w:r w:rsidR="00895C56">
        <w:rPr>
          <w:rFonts w:ascii="Arial" w:hAnsi="Arial" w:cs="Arial"/>
          <w:noProof/>
          <w:sz w:val="24"/>
          <w:szCs w:val="24"/>
          <w:lang w:val="en-US"/>
        </w:rPr>
        <w:drawing>
          <wp:anchor distT="0" distB="0" distL="114300" distR="114300" simplePos="0" relativeHeight="252604414" behindDoc="0" locked="0" layoutInCell="1" allowOverlap="1" wp14:anchorId="497149DE" wp14:editId="35F7555C">
            <wp:simplePos x="0" y="0"/>
            <wp:positionH relativeFrom="column">
              <wp:posOffset>355600</wp:posOffset>
            </wp:positionH>
            <wp:positionV relativeFrom="paragraph">
              <wp:posOffset>33575</wp:posOffset>
            </wp:positionV>
            <wp:extent cx="495300" cy="469703"/>
            <wp:effectExtent l="0" t="0" r="0" b="635"/>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rotWithShape="1">
                    <a:blip r:embed="rId454" cstate="email">
                      <a:extLst>
                        <a:ext uri="{28A0092B-C50C-407E-A947-70E740481C1C}">
                          <a14:useLocalDpi xmlns:a14="http://schemas.microsoft.com/office/drawing/2010/main"/>
                        </a:ext>
                      </a:extLst>
                    </a:blip>
                    <a:srcRect/>
                    <a:stretch/>
                  </pic:blipFill>
                  <pic:spPr bwMode="auto">
                    <a:xfrm>
                      <a:off x="0" y="0"/>
                      <a:ext cx="495300" cy="4697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5C56">
        <w:rPr>
          <w:rFonts w:ascii="Arial" w:hAnsi="Arial" w:cs="Arial"/>
          <w:noProof/>
          <w:sz w:val="24"/>
          <w:szCs w:val="24"/>
          <w:lang w:val="en-US"/>
        </w:rPr>
        <mc:AlternateContent>
          <mc:Choice Requires="wps">
            <w:drawing>
              <wp:anchor distT="0" distB="0" distL="114300" distR="114300" simplePos="0" relativeHeight="252470781" behindDoc="0" locked="0" layoutInCell="1" allowOverlap="1" wp14:anchorId="380B4BC9" wp14:editId="53FD5A97">
                <wp:simplePos x="0" y="0"/>
                <wp:positionH relativeFrom="column">
                  <wp:posOffset>177800</wp:posOffset>
                </wp:positionH>
                <wp:positionV relativeFrom="paragraph">
                  <wp:posOffset>12066</wp:posOffset>
                </wp:positionV>
                <wp:extent cx="6335395" cy="491490"/>
                <wp:effectExtent l="12700" t="12700" r="14605" b="16510"/>
                <wp:wrapNone/>
                <wp:docPr id="1479" name="Rounded Rectangle 1479"/>
                <wp:cNvGraphicFramePr/>
                <a:graphic xmlns:a="http://schemas.openxmlformats.org/drawingml/2006/main">
                  <a:graphicData uri="http://schemas.microsoft.com/office/word/2010/wordprocessingShape">
                    <wps:wsp>
                      <wps:cNvSpPr/>
                      <wps:spPr>
                        <a:xfrm>
                          <a:off x="0" y="0"/>
                          <a:ext cx="6335395" cy="491490"/>
                        </a:xfrm>
                        <a:prstGeom prst="roundRect">
                          <a:avLst>
                            <a:gd name="adj" fmla="val 4240"/>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D7E0143" id="Rounded Rectangle 1479" o:spid="_x0000_s1026" style="position:absolute;margin-left:14pt;margin-top:.95pt;width:498.85pt;height:38.7pt;z-index:2524707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" filled="f" strokecolor="white [3212]" strokeweight="1.5pt">
                <v:stroke joinstyle="miter"/>
              </v:roundrect>
            </w:pict>
          </mc:Fallback>
        </mc:AlternateContent>
      </w:r>
    </w:p>
    <w:p w14:paraId="62AC4E96" w14:textId="3536EADF" w:rsidR="00317B31" w:rsidRDefault="00317B31" w:rsidP="00214D6C">
      <w:pPr>
        <w:spacing w:line="276" w:lineRule="auto"/>
        <w:jc w:val="both"/>
        <w:rPr>
          <w:rFonts w:ascii="Arial" w:hAnsi="Arial" w:cs="Arial"/>
          <w:sz w:val="24"/>
          <w:szCs w:val="24"/>
          <w:lang w:val="en-US"/>
        </w:rPr>
      </w:pPr>
    </w:p>
    <w:p w14:paraId="1A31836B" w14:textId="3D0050ED" w:rsidR="00317B31" w:rsidRDefault="00317B31" w:rsidP="00214D6C">
      <w:pPr>
        <w:spacing w:line="276" w:lineRule="auto"/>
        <w:jc w:val="both"/>
        <w:rPr>
          <w:rFonts w:ascii="Arial" w:hAnsi="Arial" w:cs="Arial"/>
          <w:sz w:val="24"/>
          <w:szCs w:val="24"/>
          <w:lang w:val="en-US"/>
        </w:rPr>
      </w:pPr>
    </w:p>
    <w:p w14:paraId="28346FBF" w14:textId="7245B133" w:rsidR="00317B31" w:rsidRDefault="00317B31" w:rsidP="00214D6C">
      <w:pPr>
        <w:spacing w:line="276" w:lineRule="auto"/>
        <w:jc w:val="both"/>
        <w:rPr>
          <w:rFonts w:ascii="Arial" w:hAnsi="Arial" w:cs="Arial"/>
          <w:sz w:val="24"/>
          <w:szCs w:val="24"/>
          <w:lang w:val="en-US"/>
        </w:rPr>
      </w:pPr>
    </w:p>
    <w:p w14:paraId="76ABD900" w14:textId="1EB68AEA" w:rsidR="00042A50" w:rsidRDefault="00002685" w:rsidP="00214D6C">
      <w:pPr>
        <w:spacing w:line="276" w:lineRule="auto"/>
        <w:jc w:val="both"/>
        <w:rPr>
          <w:rFonts w:ascii="Arial" w:hAnsi="Arial" w:cs="Arial"/>
          <w:sz w:val="24"/>
          <w:szCs w:val="24"/>
          <w:lang w:val="en-US"/>
        </w:rPr>
      </w:pPr>
      <w:r>
        <w:rPr>
          <w:rFonts w:ascii="Arial" w:hAnsi="Arial" w:cs="Arial"/>
          <w:noProof/>
          <w:color w:val="000000" w:themeColor="text1"/>
          <w:sz w:val="24"/>
          <w:szCs w:val="24"/>
          <w:lang w:val="en-US"/>
        </w:rPr>
        <mc:AlternateContent>
          <mc:Choice Requires="wps">
            <w:drawing>
              <wp:anchor distT="0" distB="0" distL="114300" distR="114300" simplePos="0" relativeHeight="252609534" behindDoc="0" locked="0" layoutInCell="1" allowOverlap="1" wp14:anchorId="620D71EF" wp14:editId="6803C4C1">
                <wp:simplePos x="0" y="0"/>
                <wp:positionH relativeFrom="column">
                  <wp:posOffset>28055</wp:posOffset>
                </wp:positionH>
                <wp:positionV relativeFrom="paragraph">
                  <wp:posOffset>34925</wp:posOffset>
                </wp:positionV>
                <wp:extent cx="467995" cy="420370"/>
                <wp:effectExtent l="0" t="0" r="0" b="0"/>
                <wp:wrapNone/>
                <wp:docPr id="1481" name="Text Box 1481"/>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3ACA073B" w14:textId="548F07D1" w:rsidR="00D15FD8" w:rsidRPr="003944EE" w:rsidRDefault="00D15FD8" w:rsidP="00002685">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D71EF" id="Text Box 1481" o:spid="_x0000_s1268" type="#_x0000_t202" style="position:absolute;left:0;text-align:left;margin-left:2.2pt;margin-top:2.75pt;width:36.85pt;height:33.1pt;z-index:25260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" filled="f" stroked="f" strokeweight=".5pt">
                <v:textbox>
                  <w:txbxContent>
                    <w:p w14:paraId="3ACA073B" w14:textId="548F07D1" w:rsidR="00D15FD8" w:rsidRPr="003944EE" w:rsidRDefault="00D15FD8" w:rsidP="00002685">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1</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2608510" behindDoc="0" locked="0" layoutInCell="1" allowOverlap="1" wp14:anchorId="34853729" wp14:editId="04F7C132">
            <wp:simplePos x="0" y="0"/>
            <wp:positionH relativeFrom="column">
              <wp:posOffset>1270</wp:posOffset>
            </wp:positionH>
            <wp:positionV relativeFrom="paragraph">
              <wp:posOffset>12700</wp:posOffset>
            </wp:positionV>
            <wp:extent cx="511175" cy="485775"/>
            <wp:effectExtent l="0" t="0" r="0"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sz w:val="24"/>
          <w:szCs w:val="24"/>
          <w:lang w:val="en-US"/>
        </w:rPr>
        <mc:AlternateContent>
          <mc:Choice Requires="wps">
            <w:drawing>
              <wp:anchor distT="0" distB="0" distL="114300" distR="114300" simplePos="0" relativeHeight="252607486" behindDoc="0" locked="0" layoutInCell="1" allowOverlap="1" wp14:anchorId="3048DACA" wp14:editId="5BFBE283">
                <wp:simplePos x="0" y="0"/>
                <wp:positionH relativeFrom="margin">
                  <wp:posOffset>119380</wp:posOffset>
                </wp:positionH>
                <wp:positionV relativeFrom="paragraph">
                  <wp:posOffset>261620</wp:posOffset>
                </wp:positionV>
                <wp:extent cx="6645910" cy="0"/>
                <wp:effectExtent l="0" t="12700" r="21590" b="12700"/>
                <wp:wrapNone/>
                <wp:docPr id="1480" name="Straight Connector 1480"/>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0DF1A798" id="Straight Connector 1480" o:spid="_x0000_s1026" style="position:absolute;z-index:252607486;visibility:visible;mso-wrap-style:square;mso-wrap-distance-left:9pt;mso-wrap-distance-top:0;mso-wrap-distance-right:9pt;mso-wrap-distance-bottom:0;mso-position-horizontal:absolute;mso-position-horizontal-relative:margin;mso-position-vertical:absolute;mso-position-vertical-relative:text" from="9.4pt,20.6pt" to="532.7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" strokecolor="#69557f" strokeweight="2.25pt">
                <v:stroke joinstyle="miter"/>
                <w10:wrap anchorx="margin"/>
              </v:line>
            </w:pict>
          </mc:Fallback>
        </mc:AlternateContent>
      </w:r>
    </w:p>
    <w:p w14:paraId="3B550106" w14:textId="47151B25" w:rsidR="00042A50" w:rsidRDefault="00042A50" w:rsidP="00214D6C">
      <w:pPr>
        <w:spacing w:line="276" w:lineRule="auto"/>
        <w:jc w:val="both"/>
        <w:rPr>
          <w:rFonts w:ascii="Arial" w:hAnsi="Arial" w:cs="Arial"/>
          <w:sz w:val="24"/>
          <w:szCs w:val="24"/>
          <w:lang w:val="en-US"/>
        </w:rPr>
      </w:pPr>
    </w:p>
    <w:p w14:paraId="0FBF3DBA" w14:textId="1435D99D" w:rsidR="00042A50" w:rsidRDefault="00042A50" w:rsidP="00002685">
      <w:pPr>
        <w:spacing w:line="276" w:lineRule="auto"/>
        <w:ind w:left="720"/>
        <w:jc w:val="both"/>
        <w:rPr>
          <w:rFonts w:ascii="Arial" w:hAnsi="Arial" w:cs="Arial"/>
          <w:sz w:val="24"/>
          <w:szCs w:val="24"/>
          <w:lang w:val="en-US"/>
        </w:rPr>
      </w:pPr>
    </w:p>
    <w:p w14:paraId="61F36C2E" w14:textId="7F2F2F10" w:rsidR="00042A50" w:rsidRDefault="00042A50" w:rsidP="00002685">
      <w:pPr>
        <w:spacing w:line="276" w:lineRule="auto"/>
        <w:ind w:left="720"/>
        <w:jc w:val="both"/>
        <w:rPr>
          <w:rFonts w:ascii="Arial" w:hAnsi="Arial" w:cs="Arial"/>
          <w:sz w:val="24"/>
          <w:szCs w:val="24"/>
        </w:rPr>
      </w:pPr>
      <w:r w:rsidRPr="00002685">
        <w:rPr>
          <w:rFonts w:ascii="Arial" w:hAnsi="Arial" w:cs="Arial"/>
          <w:b/>
          <w:bCs/>
          <w:i/>
          <w:color w:val="69557F"/>
          <w:sz w:val="24"/>
          <w:szCs w:val="24"/>
        </w:rPr>
        <w:t>Westminster/Anglo-Saxon/parliamentary model:</w:t>
      </w:r>
      <w:r w:rsidRPr="00002685">
        <w:rPr>
          <w:rFonts w:ascii="Arial" w:hAnsi="Arial" w:cs="Arial"/>
          <w:i/>
          <w:color w:val="69557F"/>
          <w:sz w:val="24"/>
          <w:szCs w:val="24"/>
        </w:rPr>
        <w:t xml:space="preserve"> </w:t>
      </w:r>
      <w:r w:rsidRPr="00002685">
        <w:rPr>
          <w:rFonts w:ascii="Arial" w:hAnsi="Arial" w:cs="Arial"/>
          <w:sz w:val="24"/>
          <w:szCs w:val="24"/>
        </w:rPr>
        <w:t xml:space="preserve">The supreme audit institution’s work concentrates on reporting and is closely linked to the system of parliamentary accountability. </w:t>
      </w:r>
      <w:r w:rsidRPr="00002685">
        <w:rPr>
          <w:rFonts w:ascii="Arial" w:hAnsi="Arial" w:cs="Arial"/>
          <w:sz w:val="24"/>
          <w:szCs w:val="24"/>
          <w:lang w:val="en-US"/>
        </w:rPr>
        <w:t>This model can also be found in presidential systems, such as the ones in the Americas, where there are “</w:t>
      </w:r>
      <w:proofErr w:type="spellStart"/>
      <w:r w:rsidRPr="00002685">
        <w:rPr>
          <w:rFonts w:ascii="Arial" w:hAnsi="Arial" w:cs="Arial"/>
          <w:sz w:val="24"/>
          <w:szCs w:val="24"/>
          <w:lang w:val="en-US"/>
        </w:rPr>
        <w:t>contralores</w:t>
      </w:r>
      <w:proofErr w:type="spellEnd"/>
      <w:r w:rsidRPr="00002685">
        <w:rPr>
          <w:rFonts w:ascii="Arial" w:hAnsi="Arial" w:cs="Arial"/>
          <w:sz w:val="24"/>
          <w:szCs w:val="24"/>
          <w:lang w:val="en-US"/>
        </w:rPr>
        <w:t xml:space="preserve"> </w:t>
      </w:r>
      <w:proofErr w:type="spellStart"/>
      <w:r w:rsidRPr="00002685">
        <w:rPr>
          <w:rFonts w:ascii="Arial" w:hAnsi="Arial" w:cs="Arial"/>
          <w:sz w:val="24"/>
          <w:szCs w:val="24"/>
          <w:lang w:val="en-US"/>
        </w:rPr>
        <w:t>generales</w:t>
      </w:r>
      <w:proofErr w:type="spellEnd"/>
      <w:r w:rsidRPr="00002685">
        <w:rPr>
          <w:rFonts w:ascii="Arial" w:hAnsi="Arial" w:cs="Arial"/>
          <w:sz w:val="24"/>
          <w:szCs w:val="24"/>
          <w:lang w:val="en-US"/>
        </w:rPr>
        <w:t>” and “</w:t>
      </w:r>
      <w:proofErr w:type="spellStart"/>
      <w:r w:rsidRPr="00002685">
        <w:rPr>
          <w:rFonts w:ascii="Arial" w:hAnsi="Arial" w:cs="Arial"/>
          <w:sz w:val="24"/>
          <w:szCs w:val="24"/>
          <w:lang w:val="en-US"/>
        </w:rPr>
        <w:t>auditores</w:t>
      </w:r>
      <w:proofErr w:type="spellEnd"/>
      <w:r w:rsidRPr="00002685">
        <w:rPr>
          <w:rFonts w:ascii="Arial" w:hAnsi="Arial" w:cs="Arial"/>
          <w:sz w:val="24"/>
          <w:szCs w:val="24"/>
          <w:lang w:val="en-US"/>
        </w:rPr>
        <w:t xml:space="preserve"> </w:t>
      </w:r>
      <w:proofErr w:type="spellStart"/>
      <w:r w:rsidRPr="00002685">
        <w:rPr>
          <w:rFonts w:ascii="Arial" w:hAnsi="Arial" w:cs="Arial"/>
          <w:sz w:val="24"/>
          <w:szCs w:val="24"/>
          <w:lang w:val="en-US"/>
        </w:rPr>
        <w:t>superiores</w:t>
      </w:r>
      <w:proofErr w:type="spellEnd"/>
      <w:r w:rsidRPr="00002685">
        <w:rPr>
          <w:rFonts w:ascii="Arial" w:hAnsi="Arial" w:cs="Arial"/>
          <w:sz w:val="24"/>
          <w:szCs w:val="24"/>
          <w:lang w:val="en-US"/>
        </w:rPr>
        <w:t xml:space="preserve">”. </w:t>
      </w:r>
      <w:r w:rsidRPr="00002685">
        <w:rPr>
          <w:rFonts w:ascii="Arial" w:hAnsi="Arial" w:cs="Arial"/>
          <w:sz w:val="24"/>
          <w:szCs w:val="24"/>
        </w:rPr>
        <w:t xml:space="preserve">In this model, the legislature authorises budgets and government departments implement those budgets and produce annual accounts. The supreme audit institution then audits these reports, and presents reports to the legislature. To do this, it examines the government accounts through financial and compliance audits. Financial audits check the accuracy of the financial records and the reliability of the systems underlying them, and examine whether the accounts are in agreement with the records and thus fairly represent the transactions. Compliance audits, complement financial audits, by checking whether the expenditure is in accordance with the intention of the legislature, has been authorised by the finance department, and complies with the provisions of relevant statutes, regulations or other rules. In this model, the supreme audit institution cannot impose its recommendations directly on the executive. </w:t>
      </w:r>
    </w:p>
    <w:p w14:paraId="5DA5594B" w14:textId="04FD6E17" w:rsidR="00002685" w:rsidRDefault="007D1129" w:rsidP="00002685">
      <w:pPr>
        <w:spacing w:line="276" w:lineRule="auto"/>
        <w:jc w:val="both"/>
        <w:rPr>
          <w:rFonts w:ascii="Arial" w:hAnsi="Arial" w:cs="Arial"/>
          <w:sz w:val="24"/>
          <w:szCs w:val="24"/>
        </w:rPr>
      </w:pPr>
      <w:r>
        <w:rPr>
          <w:rFonts w:ascii="Arial" w:hAnsi="Arial" w:cs="Arial"/>
          <w:noProof/>
          <w:color w:val="000000" w:themeColor="text1"/>
          <w:sz w:val="24"/>
          <w:szCs w:val="24"/>
          <w:lang w:val="en-US"/>
        </w:rPr>
        <mc:AlternateContent>
          <mc:Choice Requires="wps">
            <w:drawing>
              <wp:anchor distT="0" distB="0" distL="114300" distR="114300" simplePos="0" relativeHeight="252613630" behindDoc="0" locked="0" layoutInCell="1" allowOverlap="1" wp14:anchorId="5751C9AC" wp14:editId="1215BAD2">
                <wp:simplePos x="0" y="0"/>
                <wp:positionH relativeFrom="column">
                  <wp:posOffset>27305</wp:posOffset>
                </wp:positionH>
                <wp:positionV relativeFrom="paragraph">
                  <wp:posOffset>63385</wp:posOffset>
                </wp:positionV>
                <wp:extent cx="467995" cy="420370"/>
                <wp:effectExtent l="0" t="0" r="0" b="0"/>
                <wp:wrapNone/>
                <wp:docPr id="1484" name="Text Box 1484"/>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0B11A943" w14:textId="4332166D" w:rsidR="00D15FD8" w:rsidRPr="003944EE" w:rsidRDefault="00D15FD8" w:rsidP="00002685">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1C9AC" id="Text Box 1484" o:spid="_x0000_s1269" type="#_x0000_t202" style="position:absolute;left:0;text-align:left;margin-left:2.15pt;margin-top:5pt;width:36.85pt;height:33.1pt;z-index:252613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" filled="f" stroked="f" strokeweight=".5pt">
                <v:textbox>
                  <w:txbxContent>
                    <w:p w14:paraId="0B11A943" w14:textId="4332166D" w:rsidR="00D15FD8" w:rsidRPr="003944EE" w:rsidRDefault="00D15FD8" w:rsidP="00002685">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2612606" behindDoc="0" locked="0" layoutInCell="1" allowOverlap="1" wp14:anchorId="35748ACA" wp14:editId="7361D626">
            <wp:simplePos x="0" y="0"/>
            <wp:positionH relativeFrom="column">
              <wp:posOffset>1270</wp:posOffset>
            </wp:positionH>
            <wp:positionV relativeFrom="paragraph">
              <wp:posOffset>36195</wp:posOffset>
            </wp:positionV>
            <wp:extent cx="511175" cy="485775"/>
            <wp:effectExtent l="0" t="0" r="0" b="0"/>
            <wp:wrapSquare wrapText="bothSides"/>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F736F" w14:textId="1164E135" w:rsidR="00002685" w:rsidRPr="00002685" w:rsidRDefault="007D1129" w:rsidP="00002685">
      <w:pPr>
        <w:spacing w:line="276" w:lineRule="auto"/>
        <w:jc w:val="both"/>
        <w:rPr>
          <w:rFonts w:ascii="Arial" w:hAnsi="Arial" w:cs="Arial"/>
          <w:sz w:val="24"/>
          <w:szCs w:val="24"/>
        </w:rPr>
      </w:pPr>
      <w:r>
        <w:rPr>
          <w:rFonts w:ascii="Arial" w:hAnsi="Arial" w:cs="Arial"/>
          <w:noProof/>
          <w:color w:val="000000" w:themeColor="text1"/>
          <w:sz w:val="24"/>
          <w:szCs w:val="24"/>
          <w:lang w:val="en-US"/>
        </w:rPr>
        <mc:AlternateContent>
          <mc:Choice Requires="wps">
            <w:drawing>
              <wp:anchor distT="0" distB="0" distL="114300" distR="114300" simplePos="0" relativeHeight="252611582" behindDoc="0" locked="0" layoutInCell="1" allowOverlap="1" wp14:anchorId="23BDC1FF" wp14:editId="60266197">
                <wp:simplePos x="0" y="0"/>
                <wp:positionH relativeFrom="margin">
                  <wp:posOffset>119380</wp:posOffset>
                </wp:positionH>
                <wp:positionV relativeFrom="paragraph">
                  <wp:posOffset>105930</wp:posOffset>
                </wp:positionV>
                <wp:extent cx="6645910" cy="0"/>
                <wp:effectExtent l="0" t="12700" r="21590" b="12700"/>
                <wp:wrapNone/>
                <wp:docPr id="1483" name="Straight Connector 1483"/>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41807CA6" id="Straight Connector 1483" o:spid="_x0000_s1026" style="position:absolute;z-index:252611582;visibility:visible;mso-wrap-style:square;mso-wrap-distance-left:9pt;mso-wrap-distance-top:0;mso-wrap-distance-right:9pt;mso-wrap-distance-bottom:0;mso-position-horizontal:absolute;mso-position-horizontal-relative:margin;mso-position-vertical:absolute;mso-position-vertical-relative:text" from="9.4pt,8.35pt" to="532.7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" strokecolor="#69557f" strokeweight="2.25pt">
                <v:stroke joinstyle="miter"/>
                <w10:wrap anchorx="margin"/>
              </v:line>
            </w:pict>
          </mc:Fallback>
        </mc:AlternateContent>
      </w:r>
    </w:p>
    <w:p w14:paraId="441173E7" w14:textId="62F5F92B" w:rsidR="00002685" w:rsidRPr="00002685" w:rsidRDefault="00002685" w:rsidP="007D1129">
      <w:pPr>
        <w:spacing w:line="276" w:lineRule="auto"/>
        <w:jc w:val="both"/>
        <w:rPr>
          <w:rFonts w:ascii="Arial" w:hAnsi="Arial" w:cs="Arial"/>
          <w:sz w:val="24"/>
          <w:szCs w:val="24"/>
        </w:rPr>
      </w:pPr>
    </w:p>
    <w:p w14:paraId="1423F077" w14:textId="580E3ABF" w:rsidR="00042A50" w:rsidRPr="00214D6C" w:rsidRDefault="00042A50" w:rsidP="00002685">
      <w:pPr>
        <w:spacing w:line="276" w:lineRule="auto"/>
        <w:ind w:left="720"/>
        <w:jc w:val="both"/>
        <w:rPr>
          <w:rFonts w:ascii="Arial" w:hAnsi="Arial" w:cs="Arial"/>
          <w:sz w:val="24"/>
          <w:szCs w:val="24"/>
        </w:rPr>
      </w:pPr>
      <w:r w:rsidRPr="00E07157">
        <w:rPr>
          <w:rFonts w:ascii="Arial" w:hAnsi="Arial" w:cs="Arial"/>
          <w:b/>
          <w:bCs/>
          <w:i/>
          <w:color w:val="69557F"/>
          <w:sz w:val="24"/>
          <w:szCs w:val="24"/>
        </w:rPr>
        <w:t>Board/collegiate model:</w:t>
      </w:r>
      <w:r w:rsidRPr="00E07157">
        <w:rPr>
          <w:rFonts w:ascii="Arial" w:hAnsi="Arial" w:cs="Arial"/>
          <w:i/>
          <w:color w:val="69557F"/>
          <w:sz w:val="24"/>
          <w:szCs w:val="24"/>
        </w:rPr>
        <w:t xml:space="preserve"> </w:t>
      </w:r>
      <w:r w:rsidRPr="00214D6C">
        <w:rPr>
          <w:rFonts w:ascii="Arial" w:hAnsi="Arial" w:cs="Arial"/>
          <w:sz w:val="24"/>
          <w:szCs w:val="24"/>
        </w:rPr>
        <w:t xml:space="preserve">Its main difference from the Westminster model lies in its internal structure. Here, instead of having a single head, the supreme audit institution consists of a number of members who form its governing board and who collectively take decisions. The effectiveness of the Westminster and Board models rely heavily on whether the legislature is able and willing to hold the executive to account </w:t>
      </w:r>
      <w:r w:rsidRPr="00214D6C">
        <w:rPr>
          <w:rFonts w:ascii="Arial" w:hAnsi="Arial" w:cs="Arial"/>
          <w:sz w:val="24"/>
          <w:szCs w:val="24"/>
          <w:lang w:val="en-US"/>
        </w:rPr>
        <w:t>and in the prosecution and punitive functions of the supreme audit institution. As such, their ability depends on the legal functions and institutional resources available to them. Their robustness generally depends on political factors and the incentive systems guiding their leadership</w:t>
      </w:r>
      <w:r w:rsidRPr="00214D6C">
        <w:rPr>
          <w:rFonts w:ascii="Arial" w:hAnsi="Arial" w:cs="Arial"/>
          <w:sz w:val="24"/>
          <w:szCs w:val="24"/>
        </w:rPr>
        <w:t>.</w:t>
      </w:r>
    </w:p>
    <w:p w14:paraId="3699FD01" w14:textId="0648D291" w:rsidR="00317B31" w:rsidRDefault="00002685" w:rsidP="00214D6C">
      <w:pPr>
        <w:spacing w:line="276" w:lineRule="auto"/>
        <w:jc w:val="both"/>
        <w:rPr>
          <w:rFonts w:ascii="Arial" w:hAnsi="Arial" w:cs="Arial"/>
          <w:sz w:val="24"/>
          <w:szCs w:val="24"/>
          <w:lang w:val="en-US"/>
        </w:rPr>
      </w:pPr>
      <w:r>
        <w:rPr>
          <w:rFonts w:ascii="Arial" w:hAnsi="Arial" w:cs="Arial"/>
          <w:noProof/>
          <w:color w:val="000000" w:themeColor="text1"/>
          <w:sz w:val="24"/>
          <w:szCs w:val="24"/>
          <w:lang w:val="en-US"/>
        </w:rPr>
        <w:lastRenderedPageBreak/>
        <mc:AlternateContent>
          <mc:Choice Requires="wps">
            <w:drawing>
              <wp:anchor distT="0" distB="0" distL="114300" distR="114300" simplePos="0" relativeHeight="252617726" behindDoc="0" locked="0" layoutInCell="1" allowOverlap="1" wp14:anchorId="2A106E2D" wp14:editId="63D21223">
                <wp:simplePos x="0" y="0"/>
                <wp:positionH relativeFrom="column">
                  <wp:posOffset>26035</wp:posOffset>
                </wp:positionH>
                <wp:positionV relativeFrom="paragraph">
                  <wp:posOffset>94500</wp:posOffset>
                </wp:positionV>
                <wp:extent cx="467995" cy="420370"/>
                <wp:effectExtent l="0" t="0" r="0" b="0"/>
                <wp:wrapNone/>
                <wp:docPr id="1487" name="Text Box 1487"/>
                <wp:cNvGraphicFramePr/>
                <a:graphic xmlns:a="http://schemas.openxmlformats.org/drawingml/2006/main">
                  <a:graphicData uri="http://schemas.microsoft.com/office/word/2010/wordprocessingShape">
                    <wps:wsp>
                      <wps:cNvSpPr txBox="1"/>
                      <wps:spPr>
                        <a:xfrm>
                          <a:off x="0" y="0"/>
                          <a:ext cx="467995" cy="420370"/>
                        </a:xfrm>
                        <a:prstGeom prst="rect">
                          <a:avLst/>
                        </a:prstGeom>
                        <a:noFill/>
                        <a:ln w="6350">
                          <a:noFill/>
                        </a:ln>
                      </wps:spPr>
                      <wps:txbx>
                        <w:txbxContent>
                          <w:p w14:paraId="2ACB36D7" w14:textId="77777777" w:rsidR="00D15FD8" w:rsidRPr="003944EE" w:rsidRDefault="00D15FD8" w:rsidP="00002685">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06E2D" id="Text Box 1487" o:spid="_x0000_s1270" type="#_x0000_t202" style="position:absolute;left:0;text-align:left;margin-left:2.05pt;margin-top:7.45pt;width:36.85pt;height:33.1pt;z-index:2526177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" filled="f" stroked="f" strokeweight=".5pt">
                <v:textbox>
                  <w:txbxContent>
                    <w:p w14:paraId="2ACB36D7" w14:textId="77777777" w:rsidR="00D15FD8" w:rsidRPr="003944EE" w:rsidRDefault="00D15FD8" w:rsidP="00002685">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v:textbox>
              </v:shape>
            </w:pict>
          </mc:Fallback>
        </mc:AlternateContent>
      </w:r>
      <w:r>
        <w:rPr>
          <w:rFonts w:ascii="Arial" w:hAnsi="Arial" w:cs="Arial"/>
          <w:noProof/>
          <w:color w:val="000000" w:themeColor="text1"/>
          <w:sz w:val="24"/>
          <w:szCs w:val="24"/>
          <w:lang w:val="en-US"/>
        </w:rPr>
        <w:drawing>
          <wp:anchor distT="0" distB="0" distL="114300" distR="114300" simplePos="0" relativeHeight="252616702" behindDoc="0" locked="0" layoutInCell="1" allowOverlap="1" wp14:anchorId="78A8B184" wp14:editId="23F36652">
            <wp:simplePos x="0" y="0"/>
            <wp:positionH relativeFrom="column">
              <wp:posOffset>0</wp:posOffset>
            </wp:positionH>
            <wp:positionV relativeFrom="paragraph">
              <wp:posOffset>69735</wp:posOffset>
            </wp:positionV>
            <wp:extent cx="511175" cy="485775"/>
            <wp:effectExtent l="0" t="0" r="0" b="0"/>
            <wp:wrapSquare wrapText="bothSides"/>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11175" cy="48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363949" w14:textId="0350C8F8" w:rsidR="00317B31" w:rsidRDefault="00002685" w:rsidP="00214D6C">
      <w:pPr>
        <w:spacing w:line="276" w:lineRule="auto"/>
        <w:jc w:val="both"/>
        <w:rPr>
          <w:rFonts w:ascii="Arial" w:hAnsi="Arial" w:cs="Arial"/>
          <w:sz w:val="24"/>
          <w:szCs w:val="24"/>
          <w:lang w:val="en-US"/>
        </w:rPr>
      </w:pPr>
      <w:r>
        <w:rPr>
          <w:rFonts w:ascii="Arial" w:hAnsi="Arial" w:cs="Arial"/>
          <w:noProof/>
          <w:color w:val="000000" w:themeColor="text1"/>
          <w:sz w:val="24"/>
          <w:szCs w:val="24"/>
          <w:lang w:val="en-US"/>
        </w:rPr>
        <mc:AlternateContent>
          <mc:Choice Requires="wps">
            <w:drawing>
              <wp:anchor distT="0" distB="0" distL="114300" distR="114300" simplePos="0" relativeHeight="252615678" behindDoc="0" locked="0" layoutInCell="1" allowOverlap="1" wp14:anchorId="116B57AA" wp14:editId="30438BF0">
                <wp:simplePos x="0" y="0"/>
                <wp:positionH relativeFrom="margin">
                  <wp:posOffset>119380</wp:posOffset>
                </wp:positionH>
                <wp:positionV relativeFrom="paragraph">
                  <wp:posOffset>107430</wp:posOffset>
                </wp:positionV>
                <wp:extent cx="6645910" cy="0"/>
                <wp:effectExtent l="0" t="12700" r="21590" b="12700"/>
                <wp:wrapNone/>
                <wp:docPr id="1486" name="Straight Connector 1486"/>
                <wp:cNvGraphicFramePr/>
                <a:graphic xmlns:a="http://schemas.openxmlformats.org/drawingml/2006/main">
                  <a:graphicData uri="http://schemas.microsoft.com/office/word/2010/wordprocessingShape">
                    <wps:wsp>
                      <wps:cNvCnPr/>
                      <wps:spPr>
                        <a:xfrm>
                          <a:off x="0" y="0"/>
                          <a:ext cx="664591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027C41E2" id="Straight Connector 1486" o:spid="_x0000_s1026" style="position:absolute;z-index:252615678;visibility:visible;mso-wrap-style:square;mso-wrap-distance-left:9pt;mso-wrap-distance-top:0;mso-wrap-distance-right:9pt;mso-wrap-distance-bottom:0;mso-position-horizontal:absolute;mso-position-horizontal-relative:margin;mso-position-vertical:absolute;mso-position-vertical-relative:text" from="9.4pt,8.45pt" to="532.7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" strokecolor="#69557f" strokeweight="2.25pt">
                <v:stroke joinstyle="miter"/>
                <w10:wrap anchorx="margin"/>
              </v:line>
            </w:pict>
          </mc:Fallback>
        </mc:AlternateContent>
      </w:r>
    </w:p>
    <w:p w14:paraId="1815317F" w14:textId="64631DAB" w:rsidR="00317B31" w:rsidRDefault="00317B31" w:rsidP="00214D6C">
      <w:pPr>
        <w:spacing w:line="276" w:lineRule="auto"/>
        <w:jc w:val="both"/>
        <w:rPr>
          <w:rFonts w:ascii="Arial" w:hAnsi="Arial" w:cs="Arial"/>
          <w:sz w:val="24"/>
          <w:szCs w:val="24"/>
          <w:lang w:val="en-US"/>
        </w:rPr>
      </w:pPr>
    </w:p>
    <w:p w14:paraId="503CBAA7" w14:textId="0A11BD0C" w:rsidR="00FA3391" w:rsidRPr="007D1129" w:rsidRDefault="00042A50" w:rsidP="007D1129">
      <w:pPr>
        <w:pStyle w:val="ListParagraph"/>
        <w:spacing w:line="276" w:lineRule="auto"/>
        <w:jc w:val="both"/>
        <w:rPr>
          <w:rFonts w:ascii="Arial" w:hAnsi="Arial" w:cs="Arial"/>
          <w:sz w:val="24"/>
          <w:szCs w:val="24"/>
          <w:lang w:val="en-ZA"/>
        </w:rPr>
      </w:pPr>
      <w:r w:rsidRPr="00E07157">
        <w:rPr>
          <w:rFonts w:ascii="Arial" w:hAnsi="Arial" w:cs="Arial"/>
          <w:b/>
          <w:bCs/>
          <w:i/>
          <w:color w:val="69557F"/>
          <w:sz w:val="24"/>
          <w:szCs w:val="24"/>
        </w:rPr>
        <w:t>Judicial/Napoleonic model:</w:t>
      </w:r>
      <w:r w:rsidRPr="00E07157">
        <w:rPr>
          <w:rFonts w:ascii="Arial" w:hAnsi="Arial" w:cs="Arial"/>
          <w:i/>
          <w:color w:val="69557F"/>
          <w:sz w:val="24"/>
          <w:szCs w:val="24"/>
        </w:rPr>
        <w:t xml:space="preserve"> </w:t>
      </w:r>
      <w:r w:rsidRPr="00FA3391">
        <w:rPr>
          <w:rFonts w:ascii="Arial" w:hAnsi="Arial" w:cs="Arial"/>
          <w:sz w:val="24"/>
          <w:szCs w:val="24"/>
        </w:rPr>
        <w:t xml:space="preserve">The supreme audit institution forms part of the judicial system and operates independently of both the executive and legislative branches. It is a court of law, and its members are judges who can impose penalties or recommendations on audited officials. Officials from the ministry of finance are based in line ministries and other bodies, acting as public accountants. They are responsible for the proper expenditure of funds and for drawing up annual financial statements. The supreme audit institution audits these statements and judges the legality of the public accountant’s actions, imposing penalties where illegal transactions are identified. </w:t>
      </w:r>
      <w:r w:rsidRPr="00FA3391">
        <w:rPr>
          <w:rFonts w:ascii="Arial" w:hAnsi="Arial" w:cs="Arial"/>
          <w:sz w:val="24"/>
          <w:szCs w:val="24"/>
          <w:lang w:val="en-US"/>
        </w:rPr>
        <w:t xml:space="preserve">Public accountants are then normally held personally liable for unauthorized or illegal payments. </w:t>
      </w:r>
      <w:r w:rsidRPr="00FA3391">
        <w:rPr>
          <w:rFonts w:ascii="Arial" w:hAnsi="Arial" w:cs="Arial"/>
          <w:sz w:val="24"/>
          <w:szCs w:val="24"/>
        </w:rPr>
        <w:t>A complementary system of high-level parliamentary accountability for public expenditure is normally also in place. As such, at the end of the financial year, the supreme audit institution prepares the state of account or the audit report. It assesses, reports on public expenditure as a whole and draws its findings from the audit of individual public accountants as well as from wider analytical review procedures. It presents this report to the legislature. Judicial systems are very formalised, focusing on detailed rules and regulations. As such, they can be difficult to operate if key players do not understand their roles or do not have the skills and integrity to fulfil them. They also tend to focus on compliance without necessarily focusing holistically on how well resources are being used. The limited role of the legislature in this model can also reduce the openness of the accountability process, in that court processes tend to be fairly closed, generally posing significant challenges in providing opportunities for public participation.</w:t>
      </w:r>
    </w:p>
    <w:p w14:paraId="344A9E12" w14:textId="3454BE56" w:rsidR="00FA3391" w:rsidRPr="00732252" w:rsidRDefault="00732252" w:rsidP="00732252">
      <w:pPr>
        <w:spacing w:line="276" w:lineRule="auto"/>
        <w:rPr>
          <w:rFonts w:ascii="Arial" w:hAnsi="Arial" w:cs="Arial"/>
          <w:sz w:val="24"/>
          <w:szCs w:val="24"/>
        </w:rPr>
      </w:pPr>
      <w:r>
        <w:rPr>
          <w:rFonts w:ascii="Arial" w:hAnsi="Arial" w:cs="Arial"/>
          <w:b/>
          <w:bCs/>
          <w:noProof/>
          <w:color w:val="69557F"/>
          <w:lang w:val="en-US"/>
        </w:rPr>
        <w:drawing>
          <wp:anchor distT="0" distB="0" distL="114300" distR="114300" simplePos="0" relativeHeight="252619774" behindDoc="1" locked="0" layoutInCell="1" allowOverlap="1" wp14:anchorId="3216C09C" wp14:editId="63826F88">
            <wp:simplePos x="0" y="0"/>
            <wp:positionH relativeFrom="column">
              <wp:posOffset>0</wp:posOffset>
            </wp:positionH>
            <wp:positionV relativeFrom="paragraph">
              <wp:posOffset>211975</wp:posOffset>
            </wp:positionV>
            <wp:extent cx="3330000" cy="959895"/>
            <wp:effectExtent l="0" t="0" r="0" b="5715"/>
            <wp:wrapNone/>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Picture 1477"/>
                    <pic:cNvPicPr/>
                  </pic:nvPicPr>
                  <pic:blipFill rotWithShape="1">
                    <a:blip r:embed="rId452" cstate="email">
                      <a:extLst>
                        <a:ext uri="{28A0092B-C50C-407E-A947-70E740481C1C}">
                          <a14:useLocalDpi xmlns:a14="http://schemas.microsoft.com/office/drawing/2010/main"/>
                        </a:ext>
                      </a:extLst>
                    </a:blip>
                    <a:srcRect/>
                    <a:stretch/>
                  </pic:blipFill>
                  <pic:spPr bwMode="auto">
                    <a:xfrm>
                      <a:off x="0" y="0"/>
                      <a:ext cx="3330000" cy="959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1C2F12" w14:textId="29B8AE05" w:rsidR="00FA3391" w:rsidRDefault="00FA3391" w:rsidP="00214D6C">
      <w:pPr>
        <w:pStyle w:val="ListParagraph"/>
        <w:spacing w:line="276" w:lineRule="auto"/>
        <w:rPr>
          <w:rFonts w:ascii="Arial" w:hAnsi="Arial" w:cs="Arial"/>
          <w:sz w:val="24"/>
          <w:szCs w:val="24"/>
        </w:rPr>
      </w:pPr>
    </w:p>
    <w:p w14:paraId="06689D66" w14:textId="35F522A9" w:rsidR="00FA3391" w:rsidRDefault="00FA3391" w:rsidP="00214D6C">
      <w:pPr>
        <w:pStyle w:val="ListParagraph"/>
        <w:spacing w:line="276" w:lineRule="auto"/>
        <w:rPr>
          <w:rFonts w:ascii="Arial" w:hAnsi="Arial" w:cs="Arial"/>
          <w:sz w:val="24"/>
          <w:szCs w:val="24"/>
        </w:rPr>
      </w:pPr>
    </w:p>
    <w:p w14:paraId="0036614F" w14:textId="183F6EE2" w:rsidR="00FA3391" w:rsidRDefault="00AB3FA0" w:rsidP="00214D6C">
      <w:pPr>
        <w:pStyle w:val="ListParagraph"/>
        <w:spacing w:line="276" w:lineRule="auto"/>
        <w:rPr>
          <w:rFonts w:ascii="Arial" w:hAnsi="Arial" w:cs="Arial"/>
          <w:sz w:val="24"/>
          <w:szCs w:val="24"/>
        </w:rPr>
      </w:pPr>
      <w:r>
        <w:rPr>
          <w:rFonts w:ascii="Arial" w:hAnsi="Arial" w:cs="Arial"/>
          <w:b/>
          <w:bCs/>
          <w:noProof/>
          <w:color w:val="69557F"/>
          <w:lang w:val="en-US"/>
        </w:rPr>
        <mc:AlternateContent>
          <mc:Choice Requires="wps">
            <w:drawing>
              <wp:anchor distT="0" distB="0" distL="114300" distR="114300" simplePos="0" relativeHeight="252327934" behindDoc="0" locked="0" layoutInCell="1" allowOverlap="1" wp14:anchorId="6C1A750A" wp14:editId="09E58FE0">
                <wp:simplePos x="0" y="0"/>
                <wp:positionH relativeFrom="column">
                  <wp:posOffset>774700</wp:posOffset>
                </wp:positionH>
                <wp:positionV relativeFrom="paragraph">
                  <wp:posOffset>22225</wp:posOffset>
                </wp:positionV>
                <wp:extent cx="2386330" cy="330200"/>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2386330" cy="330200"/>
                        </a:xfrm>
                        <a:prstGeom prst="rect">
                          <a:avLst/>
                        </a:prstGeom>
                        <a:noFill/>
                        <a:ln w="6350">
                          <a:noFill/>
                        </a:ln>
                      </wps:spPr>
                      <wps:txbx>
                        <w:txbxContent>
                          <w:p w14:paraId="204E8DAC" w14:textId="0FD4657C" w:rsidR="00D15FD8" w:rsidRPr="00AB3FA0" w:rsidRDefault="00D15FD8" w:rsidP="00FA3391">
                            <w:pPr>
                              <w:pStyle w:val="Heading3"/>
                              <w:jc w:val="center"/>
                              <w:rPr>
                                <w:rFonts w:ascii="Arial" w:hAnsi="Arial" w:cs="Arial"/>
                                <w:b/>
                                <w:bCs/>
                                <w:color w:val="FFFFFF" w:themeColor="background1"/>
                                <w:sz w:val="32"/>
                                <w:szCs w:val="32"/>
                                <w:lang w:val="en-US"/>
                              </w:rPr>
                            </w:pPr>
                            <w:bookmarkStart w:id="960" w:name="_Toc119794460"/>
                            <w:bookmarkStart w:id="961" w:name="_Toc123204447"/>
                            <w:bookmarkStart w:id="962" w:name="_Toc123216538"/>
                            <w:bookmarkStart w:id="963" w:name="_Toc123217378"/>
                            <w:bookmarkStart w:id="964" w:name="_Toc123828137"/>
                            <w:bookmarkStart w:id="965" w:name="_Toc123828347"/>
                            <w:bookmarkStart w:id="966" w:name="_Toc123828543"/>
                            <w:bookmarkStart w:id="967" w:name="_Toc123912570"/>
                            <w:bookmarkStart w:id="968" w:name="_Toc123912829"/>
                            <w:bookmarkStart w:id="969" w:name="_Toc123913056"/>
                            <w:bookmarkStart w:id="970" w:name="_Toc123913347"/>
                            <w:bookmarkStart w:id="971" w:name="_Toc123914003"/>
                            <w:bookmarkStart w:id="972" w:name="_Toc125566622"/>
                            <w:r w:rsidRPr="00AB3FA0">
                              <w:rPr>
                                <w:rFonts w:ascii="Arial" w:hAnsi="Arial" w:cs="Arial"/>
                                <w:b/>
                                <w:bCs/>
                                <w:color w:val="FFFFFF" w:themeColor="background1"/>
                                <w:sz w:val="32"/>
                                <w:szCs w:val="32"/>
                                <w:lang w:val="en-US"/>
                              </w:rPr>
                              <w:t>Mandates</w:t>
                            </w:r>
                            <w:bookmarkEnd w:id="960"/>
                            <w:bookmarkEnd w:id="961"/>
                            <w:bookmarkEnd w:id="962"/>
                            <w:bookmarkEnd w:id="963"/>
                            <w:bookmarkEnd w:id="964"/>
                            <w:bookmarkEnd w:id="965"/>
                            <w:bookmarkEnd w:id="966"/>
                            <w:bookmarkEnd w:id="967"/>
                            <w:bookmarkEnd w:id="968"/>
                            <w:bookmarkEnd w:id="969"/>
                            <w:bookmarkEnd w:id="970"/>
                            <w:bookmarkEnd w:id="971"/>
                            <w:bookmarkEnd w:id="97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A750A" id="Text Box 289" o:spid="_x0000_s1271" type="#_x0000_t202" style="position:absolute;left:0;text-align:left;margin-left:61pt;margin-top:1.75pt;width:187.9pt;height:26pt;z-index:252327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" filled="f" stroked="f" strokeweight=".5pt">
                <v:textbox>
                  <w:txbxContent>
                    <w:p w14:paraId="204E8DAC" w14:textId="0FD4657C" w:rsidR="00D15FD8" w:rsidRPr="00AB3FA0" w:rsidRDefault="00D15FD8" w:rsidP="00FA3391">
                      <w:pPr>
                        <w:pStyle w:val="Heading3"/>
                        <w:jc w:val="center"/>
                        <w:rPr>
                          <w:rFonts w:ascii="Arial" w:hAnsi="Arial" w:cs="Arial"/>
                          <w:b/>
                          <w:bCs/>
                          <w:color w:val="FFFFFF" w:themeColor="background1"/>
                          <w:sz w:val="32"/>
                          <w:szCs w:val="32"/>
                          <w:lang w:val="en-US"/>
                        </w:rPr>
                      </w:pPr>
                      <w:bookmarkStart w:id="973" w:name="_Toc119794460"/>
                      <w:bookmarkStart w:id="974" w:name="_Toc123204447"/>
                      <w:bookmarkStart w:id="975" w:name="_Toc123216538"/>
                      <w:bookmarkStart w:id="976" w:name="_Toc123217378"/>
                      <w:bookmarkStart w:id="977" w:name="_Toc123828137"/>
                      <w:bookmarkStart w:id="978" w:name="_Toc123828347"/>
                      <w:bookmarkStart w:id="979" w:name="_Toc123828543"/>
                      <w:bookmarkStart w:id="980" w:name="_Toc123912570"/>
                      <w:bookmarkStart w:id="981" w:name="_Toc123912829"/>
                      <w:bookmarkStart w:id="982" w:name="_Toc123913056"/>
                      <w:bookmarkStart w:id="983" w:name="_Toc123913347"/>
                      <w:bookmarkStart w:id="984" w:name="_Toc123914003"/>
                      <w:bookmarkStart w:id="985" w:name="_Toc125566622"/>
                      <w:r w:rsidRPr="00AB3FA0">
                        <w:rPr>
                          <w:rFonts w:ascii="Arial" w:hAnsi="Arial" w:cs="Arial"/>
                          <w:b/>
                          <w:bCs/>
                          <w:color w:val="FFFFFF" w:themeColor="background1"/>
                          <w:sz w:val="32"/>
                          <w:szCs w:val="32"/>
                          <w:lang w:val="en-US"/>
                        </w:rPr>
                        <w:t>Mandates</w:t>
                      </w:r>
                      <w:bookmarkEnd w:id="973"/>
                      <w:bookmarkEnd w:id="974"/>
                      <w:bookmarkEnd w:id="975"/>
                      <w:bookmarkEnd w:id="976"/>
                      <w:bookmarkEnd w:id="977"/>
                      <w:bookmarkEnd w:id="978"/>
                      <w:bookmarkEnd w:id="979"/>
                      <w:bookmarkEnd w:id="980"/>
                      <w:bookmarkEnd w:id="981"/>
                      <w:bookmarkEnd w:id="982"/>
                      <w:bookmarkEnd w:id="983"/>
                      <w:bookmarkEnd w:id="984"/>
                      <w:bookmarkEnd w:id="985"/>
                    </w:p>
                  </w:txbxContent>
                </v:textbox>
              </v:shape>
            </w:pict>
          </mc:Fallback>
        </mc:AlternateContent>
      </w:r>
    </w:p>
    <w:p w14:paraId="094DC00A" w14:textId="5B86A2B0" w:rsidR="00FA3391" w:rsidRDefault="00FA3391" w:rsidP="00214D6C">
      <w:pPr>
        <w:spacing w:line="276" w:lineRule="auto"/>
        <w:jc w:val="both"/>
        <w:rPr>
          <w:rFonts w:ascii="Arial" w:hAnsi="Arial" w:cs="Arial"/>
          <w:sz w:val="24"/>
          <w:szCs w:val="24"/>
          <w:lang w:val="en-US"/>
        </w:rPr>
      </w:pPr>
    </w:p>
    <w:p w14:paraId="7A950B30" w14:textId="20334775" w:rsidR="001011BC" w:rsidRDefault="001011BC" w:rsidP="00214D6C">
      <w:pPr>
        <w:spacing w:line="276" w:lineRule="auto"/>
        <w:jc w:val="both"/>
        <w:rPr>
          <w:rFonts w:ascii="Arial" w:hAnsi="Arial" w:cs="Arial"/>
          <w:sz w:val="24"/>
          <w:szCs w:val="24"/>
          <w:lang w:val="en-US"/>
        </w:rPr>
      </w:pPr>
    </w:p>
    <w:p w14:paraId="57FCF249" w14:textId="77777777" w:rsidR="00732252" w:rsidRDefault="00732252" w:rsidP="00214D6C">
      <w:pPr>
        <w:spacing w:line="276" w:lineRule="auto"/>
        <w:jc w:val="both"/>
        <w:rPr>
          <w:rFonts w:ascii="Arial" w:hAnsi="Arial" w:cs="Arial"/>
          <w:sz w:val="24"/>
          <w:szCs w:val="24"/>
          <w:lang w:val="en-US"/>
        </w:rPr>
      </w:pPr>
    </w:p>
    <w:p w14:paraId="34CCEFA3" w14:textId="04A56413" w:rsidR="00214D6C" w:rsidRPr="00214D6C" w:rsidRDefault="00214D6C" w:rsidP="00214D6C">
      <w:pPr>
        <w:spacing w:line="276" w:lineRule="auto"/>
        <w:jc w:val="both"/>
        <w:rPr>
          <w:rFonts w:ascii="Arial" w:hAnsi="Arial" w:cs="Arial"/>
          <w:sz w:val="24"/>
          <w:szCs w:val="24"/>
          <w:lang w:val="en-US"/>
        </w:rPr>
      </w:pPr>
      <w:r w:rsidRPr="00214D6C">
        <w:rPr>
          <w:rFonts w:ascii="Arial" w:hAnsi="Arial" w:cs="Arial"/>
          <w:sz w:val="24"/>
          <w:szCs w:val="24"/>
          <w:lang w:val="en-US"/>
        </w:rPr>
        <w:t xml:space="preserve">The mandates of supreme audit institutions can go beyond financial and compliance audits towards auditing how well government institutions are doing their work, that is they can also conduct performance audits. For instance, some conduct audits on the budget processes themselves; operational efficiency; cost effectiveness; and the performance of budget programs. </w:t>
      </w:r>
    </w:p>
    <w:p w14:paraId="116A692D" w14:textId="1B69A084" w:rsidR="00214D6C" w:rsidRPr="00214D6C" w:rsidRDefault="00C532B3" w:rsidP="00214D6C">
      <w:pPr>
        <w:spacing w:line="276" w:lineRule="auto"/>
        <w:jc w:val="both"/>
        <w:rPr>
          <w:rFonts w:ascii="Arial" w:hAnsi="Arial" w:cs="Arial"/>
          <w:bCs/>
          <w:sz w:val="24"/>
          <w:szCs w:val="24"/>
        </w:rPr>
      </w:pPr>
      <w:r>
        <w:rPr>
          <w:rFonts w:ascii="Arial" w:hAnsi="Arial" w:cs="Arial"/>
          <w:noProof/>
          <w:sz w:val="24"/>
          <w:szCs w:val="24"/>
          <w:lang w:val="en-US"/>
        </w:rPr>
        <w:lastRenderedPageBreak/>
        <w:drawing>
          <wp:anchor distT="0" distB="0" distL="114300" distR="114300" simplePos="0" relativeHeight="252328958" behindDoc="0" locked="0" layoutInCell="1" allowOverlap="1" wp14:anchorId="6CDDD310" wp14:editId="3EA4C57B">
            <wp:simplePos x="0" y="0"/>
            <wp:positionH relativeFrom="column">
              <wp:posOffset>-31750</wp:posOffset>
            </wp:positionH>
            <wp:positionV relativeFrom="paragraph">
              <wp:posOffset>71120</wp:posOffset>
            </wp:positionV>
            <wp:extent cx="2379345" cy="3146425"/>
            <wp:effectExtent l="0" t="0" r="0" b="317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rotWithShape="1">
                    <a:blip r:embed="rId455" cstate="email">
                      <a:extLst>
                        <a:ext uri="{28A0092B-C50C-407E-A947-70E740481C1C}">
                          <a14:useLocalDpi xmlns:a14="http://schemas.microsoft.com/office/drawing/2010/main"/>
                        </a:ext>
                      </a:extLst>
                    </a:blip>
                    <a:srcRect/>
                    <a:stretch/>
                  </pic:blipFill>
                  <pic:spPr bwMode="auto">
                    <a:xfrm>
                      <a:off x="0" y="0"/>
                      <a:ext cx="2379345" cy="314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D6C" w:rsidRPr="00214D6C">
        <w:rPr>
          <w:rFonts w:ascii="Arial" w:hAnsi="Arial" w:cs="Arial"/>
          <w:sz w:val="24"/>
          <w:szCs w:val="24"/>
          <w:lang w:val="en-US"/>
        </w:rPr>
        <w:t>The important role of the supreme audit institution in promoting the efficiency, accountability, effectiveness and transparency of public administration, conducive to the achievement of national development objectives and priorities as well as internationally agreed development goals was recognized in the United Nations General Assembly</w:t>
      </w:r>
      <w:r w:rsidR="00214D6C" w:rsidRPr="00214D6C">
        <w:rPr>
          <w:rFonts w:ascii="Arial" w:hAnsi="Arial" w:cs="Arial"/>
          <w:bCs/>
          <w:sz w:val="24"/>
          <w:szCs w:val="24"/>
        </w:rPr>
        <w:t xml:space="preserve"> </w:t>
      </w:r>
      <w:hyperlink r:id="rId456" w:history="1">
        <w:r w:rsidR="00214D6C" w:rsidRPr="00214D6C">
          <w:rPr>
            <w:rFonts w:ascii="Arial" w:hAnsi="Arial" w:cs="Arial"/>
            <w:bCs/>
            <w:color w:val="0563C1" w:themeColor="hyperlink"/>
            <w:sz w:val="24"/>
            <w:szCs w:val="24"/>
            <w:u w:val="single"/>
          </w:rPr>
          <w:t>Resolution A/69/228</w:t>
        </w:r>
      </w:hyperlink>
      <w:r w:rsidR="00214D6C" w:rsidRPr="00214D6C">
        <w:rPr>
          <w:rFonts w:ascii="Arial" w:hAnsi="Arial" w:cs="Arial"/>
          <w:bCs/>
          <w:sz w:val="24"/>
          <w:szCs w:val="24"/>
          <w:lang w:val="en-ZA"/>
        </w:rPr>
        <w:t xml:space="preserve">: </w:t>
      </w:r>
      <w:r w:rsidR="00214D6C" w:rsidRPr="00214D6C">
        <w:rPr>
          <w:rFonts w:ascii="Arial" w:hAnsi="Arial" w:cs="Arial"/>
          <w:color w:val="0563C1" w:themeColor="hyperlink"/>
          <w:sz w:val="24"/>
          <w:szCs w:val="24"/>
          <w:u w:val="single"/>
        </w:rPr>
        <w:t>Promoting and fostering the efficiency, accountability, effectiveness and transparency of public administration by strengthening supreme audit institutions</w:t>
      </w:r>
      <w:r w:rsidR="00214D6C" w:rsidRPr="00214D6C">
        <w:rPr>
          <w:rFonts w:ascii="Arial" w:hAnsi="Arial" w:cs="Arial"/>
          <w:color w:val="0563C1" w:themeColor="hyperlink"/>
          <w:sz w:val="24"/>
          <w:szCs w:val="24"/>
        </w:rPr>
        <w:t xml:space="preserve"> </w:t>
      </w:r>
      <w:r w:rsidR="00214D6C" w:rsidRPr="00214D6C">
        <w:rPr>
          <w:rFonts w:ascii="Arial" w:hAnsi="Arial" w:cs="Arial"/>
          <w:bCs/>
          <w:sz w:val="24"/>
          <w:szCs w:val="24"/>
        </w:rPr>
        <w:t xml:space="preserve">(2014). </w:t>
      </w:r>
      <w:r w:rsidR="00214D6C" w:rsidRPr="00214D6C">
        <w:rPr>
          <w:rFonts w:ascii="Arial" w:hAnsi="Arial" w:cs="Arial"/>
          <w:sz w:val="24"/>
          <w:szCs w:val="24"/>
          <w:lang w:val="en-US"/>
        </w:rPr>
        <w:t xml:space="preserve">Their role in auditing annual financial statements and publishing audit reports has also been stressed in numerous international fiscal transparency norms and standards, </w:t>
      </w:r>
      <w:r w:rsidR="00214D6C" w:rsidRPr="00214D6C">
        <w:rPr>
          <w:rFonts w:ascii="Arial" w:hAnsi="Arial" w:cs="Arial"/>
          <w:sz w:val="24"/>
          <w:szCs w:val="24"/>
          <w:lang w:val="en-ZA"/>
        </w:rPr>
        <w:t xml:space="preserve"> including in the IMF’s </w:t>
      </w:r>
      <w:hyperlink r:id="rId457" w:history="1">
        <w:r w:rsidR="00214D6C" w:rsidRPr="00214D6C">
          <w:rPr>
            <w:rFonts w:ascii="Arial" w:hAnsi="Arial" w:cs="Arial"/>
            <w:bCs/>
            <w:color w:val="0563C1" w:themeColor="hyperlink"/>
            <w:sz w:val="24"/>
            <w:szCs w:val="24"/>
            <w:u w:val="single"/>
          </w:rPr>
          <w:t>Fiscal Transparency Code</w:t>
        </w:r>
      </w:hyperlink>
      <w:r w:rsidR="00214D6C" w:rsidRPr="00214D6C">
        <w:rPr>
          <w:rFonts w:ascii="Arial" w:hAnsi="Arial" w:cs="Arial"/>
          <w:bCs/>
          <w:sz w:val="24"/>
          <w:szCs w:val="24"/>
        </w:rPr>
        <w:t xml:space="preserve"> (2019), the OECD’s </w:t>
      </w:r>
      <w:hyperlink r:id="rId458" w:history="1">
        <w:r w:rsidR="00214D6C" w:rsidRPr="00214D6C">
          <w:rPr>
            <w:rFonts w:ascii="Arial" w:hAnsi="Arial" w:cs="Arial"/>
            <w:bCs/>
            <w:color w:val="0563C1" w:themeColor="hyperlink"/>
            <w:sz w:val="24"/>
            <w:szCs w:val="24"/>
            <w:u w:val="single"/>
          </w:rPr>
          <w:t>Budget Transparency Toolkit</w:t>
        </w:r>
      </w:hyperlink>
      <w:r w:rsidR="00214D6C" w:rsidRPr="00214D6C">
        <w:rPr>
          <w:rFonts w:ascii="Arial" w:hAnsi="Arial" w:cs="Arial"/>
          <w:bCs/>
          <w:sz w:val="24"/>
          <w:szCs w:val="24"/>
        </w:rPr>
        <w:t xml:space="preserve"> (2017), </w:t>
      </w:r>
      <w:hyperlink r:id="rId459" w:history="1">
        <w:r w:rsidR="00214D6C" w:rsidRPr="00214D6C">
          <w:rPr>
            <w:rFonts w:ascii="Arial" w:hAnsi="Arial" w:cs="Arial"/>
            <w:bCs/>
            <w:color w:val="0563C1" w:themeColor="hyperlink"/>
            <w:sz w:val="24"/>
            <w:szCs w:val="24"/>
            <w:u w:val="single"/>
          </w:rPr>
          <w:t>GIFT’s High-Level Principles on Fiscal Transparency, Participation and Accountability</w:t>
        </w:r>
      </w:hyperlink>
      <w:r w:rsidR="00214D6C" w:rsidRPr="00214D6C">
        <w:rPr>
          <w:rFonts w:ascii="Arial" w:hAnsi="Arial" w:cs="Arial"/>
          <w:bCs/>
          <w:sz w:val="24"/>
          <w:szCs w:val="24"/>
        </w:rPr>
        <w:t xml:space="preserve"> (2012), and importantly in norms and standards specifically developed for audit institutions. For instance, Principle G</w:t>
      </w:r>
      <w:r w:rsidR="00214D6C" w:rsidRPr="00214D6C">
        <w:rPr>
          <w:rFonts w:ascii="Arial" w:hAnsi="Arial" w:cs="Arial"/>
          <w:b/>
          <w:bCs/>
          <w:sz w:val="24"/>
          <w:szCs w:val="24"/>
        </w:rPr>
        <w:t xml:space="preserve"> </w:t>
      </w:r>
      <w:r w:rsidR="00214D6C" w:rsidRPr="00214D6C">
        <w:rPr>
          <w:rFonts w:ascii="Arial" w:hAnsi="Arial" w:cs="Arial"/>
          <w:bCs/>
          <w:sz w:val="24"/>
          <w:szCs w:val="24"/>
        </w:rPr>
        <w:t>of the International Federation of Accountants (IFAC) / Chartered Institute of Public Finance and Accountancy</w:t>
      </w:r>
      <w:r w:rsidR="00214D6C" w:rsidRPr="00214D6C">
        <w:rPr>
          <w:rFonts w:ascii="Arial" w:hAnsi="Arial" w:cs="Arial"/>
          <w:b/>
          <w:bCs/>
          <w:sz w:val="24"/>
          <w:szCs w:val="24"/>
        </w:rPr>
        <w:t> </w:t>
      </w:r>
      <w:r w:rsidR="00214D6C" w:rsidRPr="00214D6C">
        <w:rPr>
          <w:rFonts w:ascii="Arial" w:hAnsi="Arial" w:cs="Arial"/>
          <w:bCs/>
          <w:sz w:val="24"/>
          <w:szCs w:val="24"/>
        </w:rPr>
        <w:t>(CIPFA)’s</w:t>
      </w:r>
      <w:r w:rsidR="00214D6C" w:rsidRPr="00214D6C">
        <w:rPr>
          <w:rFonts w:ascii="Arial" w:hAnsi="Arial" w:cs="Arial"/>
          <w:bCs/>
          <w:i/>
          <w:sz w:val="24"/>
          <w:szCs w:val="24"/>
        </w:rPr>
        <w:t xml:space="preserve"> </w:t>
      </w:r>
      <w:hyperlink r:id="rId460" w:history="1">
        <w:r w:rsidR="00214D6C" w:rsidRPr="00214D6C">
          <w:rPr>
            <w:rFonts w:ascii="Arial" w:hAnsi="Arial" w:cs="Arial"/>
            <w:bCs/>
            <w:iCs/>
            <w:color w:val="0563C1" w:themeColor="hyperlink"/>
            <w:sz w:val="24"/>
            <w:szCs w:val="24"/>
            <w:u w:val="single"/>
          </w:rPr>
          <w:t>International Framework: Good Governance in the Public Sector</w:t>
        </w:r>
      </w:hyperlink>
      <w:r w:rsidR="00214D6C" w:rsidRPr="00214D6C">
        <w:rPr>
          <w:rFonts w:ascii="Arial" w:hAnsi="Arial" w:cs="Arial"/>
          <w:bCs/>
          <w:iCs/>
          <w:sz w:val="24"/>
          <w:szCs w:val="24"/>
        </w:rPr>
        <w:t xml:space="preserve"> s</w:t>
      </w:r>
      <w:r w:rsidR="00214D6C" w:rsidRPr="00214D6C">
        <w:rPr>
          <w:rFonts w:ascii="Arial" w:hAnsi="Arial" w:cs="Arial"/>
          <w:bCs/>
          <w:sz w:val="24"/>
          <w:szCs w:val="24"/>
        </w:rPr>
        <w:t>ets guidelines on the implementation of good practices in transparency, reporting and audit to deliver effective accountability, as one of its seven core high level principles.</w:t>
      </w:r>
      <w:r>
        <w:rPr>
          <w:rFonts w:ascii="Arial" w:hAnsi="Arial" w:cs="Arial"/>
          <w:bCs/>
          <w:sz w:val="24"/>
          <w:szCs w:val="24"/>
        </w:rPr>
        <w:t xml:space="preserve"> </w:t>
      </w:r>
      <w:r w:rsidR="00214D6C" w:rsidRPr="00214D6C">
        <w:rPr>
          <w:rFonts w:ascii="Arial" w:hAnsi="Arial" w:cs="Arial"/>
          <w:bCs/>
          <w:sz w:val="24"/>
          <w:szCs w:val="24"/>
        </w:rPr>
        <w:t>Among others, it states that</w:t>
      </w:r>
      <w:r w:rsidR="00214D6C" w:rsidRPr="00214D6C">
        <w:rPr>
          <w:rFonts w:ascii="Arial" w:hAnsi="Arial" w:cs="Arial"/>
          <w:bCs/>
          <w:sz w:val="24"/>
          <w:szCs w:val="24"/>
          <w:lang w:val="en-US"/>
        </w:rPr>
        <w:t xml:space="preserve"> external audit involves analytical review, systems evaluation, compliance, and substantive testing.</w:t>
      </w:r>
      <w:r w:rsidR="00214D6C" w:rsidRPr="00214D6C">
        <w:rPr>
          <w:rFonts w:ascii="Arial" w:hAnsi="Arial" w:cs="Arial"/>
          <w:bCs/>
          <w:sz w:val="24"/>
          <w:szCs w:val="24"/>
        </w:rPr>
        <w:t xml:space="preserve"> In particular, an audit opinion is required to determine the adequacy of the entity’s financial statements, as well as whether they have been prepared in accordance with legal requirements, a recognized reporting framework, and fairly reflect the entity’s performance and position. It also states that oversight responsibility involves not only financial reporting, but also operational processes, including accountability for efficiency and effectiveness as well as performance reporting. The principles also emphasize that the provision of assurance through external audit, performed by qualified professionals, is an essential element of a public sector entity’s accountability. </w:t>
      </w:r>
    </w:p>
    <w:p w14:paraId="3A51A25D" w14:textId="77777777" w:rsidR="00214D6C" w:rsidRPr="00214D6C" w:rsidRDefault="00214D6C" w:rsidP="00214D6C">
      <w:pPr>
        <w:spacing w:line="276" w:lineRule="auto"/>
        <w:jc w:val="both"/>
        <w:rPr>
          <w:rFonts w:ascii="Arial" w:hAnsi="Arial" w:cs="Arial"/>
          <w:bCs/>
          <w:sz w:val="24"/>
          <w:szCs w:val="24"/>
        </w:rPr>
      </w:pPr>
    </w:p>
    <w:p w14:paraId="68CE9A68" w14:textId="28F9B9A3" w:rsidR="00214D6C" w:rsidRDefault="00214D6C" w:rsidP="00214D6C">
      <w:pPr>
        <w:spacing w:line="276" w:lineRule="auto"/>
        <w:jc w:val="both"/>
        <w:rPr>
          <w:rFonts w:ascii="Arial" w:hAnsi="Arial" w:cs="Arial"/>
          <w:bCs/>
          <w:sz w:val="24"/>
          <w:szCs w:val="24"/>
          <w:lang w:val="en-ZA"/>
        </w:rPr>
      </w:pPr>
      <w:r w:rsidRPr="00214D6C">
        <w:rPr>
          <w:rFonts w:ascii="Arial" w:hAnsi="Arial" w:cs="Arial"/>
          <w:bCs/>
          <w:sz w:val="24"/>
          <w:szCs w:val="24"/>
        </w:rPr>
        <w:t xml:space="preserve">As such, </w:t>
      </w:r>
      <w:r w:rsidRPr="00214D6C">
        <w:rPr>
          <w:rFonts w:ascii="Arial" w:hAnsi="Arial" w:cs="Arial"/>
          <w:bCs/>
          <w:sz w:val="24"/>
          <w:szCs w:val="24"/>
          <w:lang w:val="en-ZA"/>
        </w:rPr>
        <w:t>through their audit review process and publication of audit reports, supreme audit institutions have a crucial role in ensuring that the check and balance of power is evident within government and in ensuring that public accountability systems are working.</w:t>
      </w:r>
    </w:p>
    <w:p w14:paraId="0F535ADD" w14:textId="0445B681" w:rsidR="000E21D1" w:rsidRDefault="000E21D1" w:rsidP="00214D6C">
      <w:pPr>
        <w:spacing w:line="276" w:lineRule="auto"/>
        <w:jc w:val="both"/>
        <w:rPr>
          <w:rFonts w:ascii="Arial" w:hAnsi="Arial" w:cs="Arial"/>
          <w:bCs/>
          <w:sz w:val="24"/>
          <w:szCs w:val="24"/>
          <w:lang w:val="en-ZA"/>
        </w:rPr>
      </w:pPr>
    </w:p>
    <w:p w14:paraId="017717CF" w14:textId="29BF5F09" w:rsidR="00641F5B" w:rsidRDefault="00641F5B" w:rsidP="00214D6C">
      <w:pPr>
        <w:spacing w:line="276" w:lineRule="auto"/>
        <w:jc w:val="both"/>
        <w:rPr>
          <w:rFonts w:ascii="Arial" w:hAnsi="Arial" w:cs="Arial"/>
          <w:bCs/>
          <w:sz w:val="24"/>
          <w:szCs w:val="24"/>
          <w:lang w:val="en-ZA"/>
        </w:rPr>
      </w:pPr>
    </w:p>
    <w:p w14:paraId="2DAD960A" w14:textId="028C71D4" w:rsidR="00641F5B" w:rsidRDefault="00641F5B" w:rsidP="00214D6C">
      <w:pPr>
        <w:spacing w:line="276" w:lineRule="auto"/>
        <w:jc w:val="both"/>
        <w:rPr>
          <w:rFonts w:ascii="Arial" w:hAnsi="Arial" w:cs="Arial"/>
          <w:bCs/>
          <w:sz w:val="24"/>
          <w:szCs w:val="24"/>
          <w:lang w:val="en-ZA"/>
        </w:rPr>
      </w:pPr>
    </w:p>
    <w:p w14:paraId="60F77EF9" w14:textId="0B22109D" w:rsidR="00641F5B" w:rsidRDefault="00641F5B" w:rsidP="00214D6C">
      <w:pPr>
        <w:spacing w:line="276" w:lineRule="auto"/>
        <w:jc w:val="both"/>
        <w:rPr>
          <w:rFonts w:ascii="Arial" w:hAnsi="Arial" w:cs="Arial"/>
          <w:bCs/>
          <w:sz w:val="24"/>
          <w:szCs w:val="24"/>
          <w:lang w:val="en-ZA"/>
        </w:rPr>
      </w:pPr>
    </w:p>
    <w:p w14:paraId="34E416E0" w14:textId="52BF0574" w:rsidR="00641F5B" w:rsidRDefault="00641F5B" w:rsidP="00214D6C">
      <w:pPr>
        <w:spacing w:line="276" w:lineRule="auto"/>
        <w:jc w:val="both"/>
        <w:rPr>
          <w:rFonts w:ascii="Arial" w:hAnsi="Arial" w:cs="Arial"/>
          <w:bCs/>
          <w:sz w:val="24"/>
          <w:szCs w:val="24"/>
          <w:lang w:val="en-ZA"/>
        </w:rPr>
      </w:pPr>
    </w:p>
    <w:p w14:paraId="05410916" w14:textId="2A0F4C66" w:rsidR="00641F5B" w:rsidRDefault="00641F5B" w:rsidP="00214D6C">
      <w:pPr>
        <w:spacing w:line="276" w:lineRule="auto"/>
        <w:jc w:val="both"/>
        <w:rPr>
          <w:rFonts w:ascii="Arial" w:hAnsi="Arial" w:cs="Arial"/>
          <w:bCs/>
          <w:sz w:val="24"/>
          <w:szCs w:val="24"/>
          <w:lang w:val="en-ZA"/>
        </w:rPr>
      </w:pPr>
    </w:p>
    <w:p w14:paraId="27F2BE39" w14:textId="281F9F6B" w:rsidR="00641F5B" w:rsidRDefault="00641F5B" w:rsidP="00214D6C">
      <w:pPr>
        <w:spacing w:line="276" w:lineRule="auto"/>
        <w:jc w:val="both"/>
        <w:rPr>
          <w:rFonts w:ascii="Arial" w:hAnsi="Arial" w:cs="Arial"/>
          <w:bCs/>
          <w:sz w:val="24"/>
          <w:szCs w:val="24"/>
          <w:lang w:val="en-ZA"/>
        </w:rPr>
      </w:pPr>
    </w:p>
    <w:p w14:paraId="603393E0" w14:textId="023FE802" w:rsidR="00641F5B" w:rsidRDefault="00641F5B" w:rsidP="00214D6C">
      <w:pPr>
        <w:spacing w:line="276" w:lineRule="auto"/>
        <w:jc w:val="both"/>
        <w:rPr>
          <w:rFonts w:ascii="Arial" w:hAnsi="Arial" w:cs="Arial"/>
          <w:bCs/>
          <w:sz w:val="24"/>
          <w:szCs w:val="24"/>
          <w:lang w:val="en-ZA"/>
        </w:rPr>
      </w:pPr>
    </w:p>
    <w:p w14:paraId="68B43565" w14:textId="03DA0FF0" w:rsidR="00641F5B" w:rsidRDefault="00641F5B" w:rsidP="00214D6C">
      <w:pPr>
        <w:spacing w:line="276" w:lineRule="auto"/>
        <w:jc w:val="both"/>
        <w:rPr>
          <w:rFonts w:ascii="Arial" w:hAnsi="Arial" w:cs="Arial"/>
          <w:bCs/>
          <w:sz w:val="24"/>
          <w:szCs w:val="24"/>
          <w:lang w:val="en-ZA"/>
        </w:rPr>
      </w:pPr>
    </w:p>
    <w:p w14:paraId="5FA2145C" w14:textId="07D1D3E9" w:rsidR="00641F5B" w:rsidRDefault="00641F5B" w:rsidP="00214D6C">
      <w:pPr>
        <w:spacing w:line="276" w:lineRule="auto"/>
        <w:jc w:val="both"/>
        <w:rPr>
          <w:rFonts w:ascii="Arial" w:hAnsi="Arial" w:cs="Arial"/>
          <w:bCs/>
          <w:sz w:val="24"/>
          <w:szCs w:val="24"/>
          <w:lang w:val="en-ZA"/>
        </w:rPr>
      </w:pPr>
    </w:p>
    <w:p w14:paraId="17BB3E28" w14:textId="77777777" w:rsidR="00641F5B" w:rsidRDefault="00641F5B" w:rsidP="00214D6C">
      <w:pPr>
        <w:spacing w:line="276" w:lineRule="auto"/>
        <w:jc w:val="both"/>
        <w:rPr>
          <w:rFonts w:ascii="Arial" w:hAnsi="Arial" w:cs="Arial"/>
          <w:bCs/>
          <w:sz w:val="24"/>
          <w:szCs w:val="24"/>
          <w:lang w:val="en-ZA"/>
        </w:rPr>
      </w:pPr>
    </w:p>
    <w:p w14:paraId="60799199" w14:textId="5C31A325" w:rsidR="009E337A" w:rsidRDefault="000E21D1" w:rsidP="00641F5B">
      <w:pPr>
        <w:pStyle w:val="Heading2"/>
        <w:numPr>
          <w:ilvl w:val="1"/>
          <w:numId w:val="74"/>
        </w:numPr>
        <w:rPr>
          <w:rFonts w:ascii="Arial" w:hAnsi="Arial" w:cs="Arial"/>
          <w:b/>
          <w:bCs/>
          <w:color w:val="69557F"/>
          <w:sz w:val="36"/>
          <w:szCs w:val="36"/>
        </w:rPr>
      </w:pPr>
      <w:bookmarkStart w:id="986" w:name="_Toc119794461"/>
      <w:bookmarkStart w:id="987" w:name="_Toc123204448"/>
      <w:bookmarkStart w:id="988" w:name="_Toc123216539"/>
      <w:bookmarkStart w:id="989" w:name="_Toc123217379"/>
      <w:bookmarkStart w:id="990" w:name="_Toc123913348"/>
      <w:bookmarkStart w:id="991" w:name="_Toc123914004"/>
      <w:bookmarkStart w:id="992" w:name="_Toc125566623"/>
      <w:r>
        <w:rPr>
          <w:rFonts w:ascii="Arial" w:hAnsi="Arial" w:cs="Arial"/>
          <w:b/>
          <w:bCs/>
          <w:color w:val="69557F"/>
          <w:sz w:val="36"/>
          <w:szCs w:val="36"/>
        </w:rPr>
        <w:lastRenderedPageBreak/>
        <w:t xml:space="preserve">Fulfilling its </w:t>
      </w:r>
      <w:r w:rsidR="009D38BA">
        <w:rPr>
          <w:rFonts w:ascii="Arial" w:hAnsi="Arial" w:cs="Arial"/>
          <w:b/>
          <w:bCs/>
          <w:color w:val="69557F"/>
          <w:sz w:val="36"/>
          <w:szCs w:val="36"/>
        </w:rPr>
        <w:t>r</w:t>
      </w:r>
      <w:r>
        <w:rPr>
          <w:rFonts w:ascii="Arial" w:hAnsi="Arial" w:cs="Arial"/>
          <w:b/>
          <w:bCs/>
          <w:color w:val="69557F"/>
          <w:sz w:val="36"/>
          <w:szCs w:val="36"/>
        </w:rPr>
        <w:t>ole</w:t>
      </w:r>
      <w:bookmarkEnd w:id="986"/>
      <w:bookmarkEnd w:id="987"/>
      <w:bookmarkEnd w:id="988"/>
      <w:bookmarkEnd w:id="989"/>
      <w:bookmarkEnd w:id="990"/>
      <w:bookmarkEnd w:id="991"/>
      <w:bookmarkEnd w:id="992"/>
    </w:p>
    <w:p w14:paraId="0663EF49" w14:textId="77777777" w:rsidR="009E337A" w:rsidRPr="009E337A" w:rsidRDefault="009E337A" w:rsidP="009E337A">
      <w:pPr>
        <w:rPr>
          <w:sz w:val="24"/>
          <w:szCs w:val="24"/>
        </w:rPr>
      </w:pPr>
    </w:p>
    <w:p w14:paraId="54696E24" w14:textId="0E98038A" w:rsidR="000E21D1" w:rsidRPr="009E337A" w:rsidRDefault="000E21D1" w:rsidP="009E337A">
      <w:pPr>
        <w:pStyle w:val="Heading2"/>
        <w:spacing w:line="276" w:lineRule="auto"/>
        <w:rPr>
          <w:rFonts w:ascii="Arial" w:hAnsi="Arial" w:cs="Arial"/>
          <w:b/>
          <w:bCs/>
          <w:sz w:val="32"/>
          <w:szCs w:val="32"/>
        </w:rPr>
      </w:pPr>
      <w:bookmarkStart w:id="993" w:name="_Toc119794462"/>
      <w:bookmarkStart w:id="994" w:name="_Toc123204449"/>
      <w:bookmarkStart w:id="995" w:name="_Toc123216540"/>
      <w:bookmarkStart w:id="996" w:name="_Toc123217380"/>
      <w:bookmarkStart w:id="997" w:name="_Toc123913349"/>
      <w:bookmarkStart w:id="998" w:name="_Toc123914005"/>
      <w:bookmarkStart w:id="999" w:name="_Toc125566624"/>
      <w:r w:rsidRPr="007E4585">
        <w:rPr>
          <w:rStyle w:val="Heading3Char"/>
          <w:rFonts w:ascii="Arial" w:hAnsi="Arial" w:cs="Arial"/>
          <w:b/>
          <w:bCs/>
          <w:noProof/>
          <w:color w:val="F26D24"/>
          <w:sz w:val="32"/>
          <w:szCs w:val="32"/>
          <w:lang w:val="en-US"/>
        </w:rPr>
        <w:drawing>
          <wp:anchor distT="0" distB="0" distL="114300" distR="114300" simplePos="0" relativeHeight="252331006" behindDoc="1" locked="0" layoutInCell="1" allowOverlap="1" wp14:anchorId="1109C3E6" wp14:editId="783FEBE6">
            <wp:simplePos x="0" y="0"/>
            <wp:positionH relativeFrom="margin">
              <wp:posOffset>-66675</wp:posOffset>
            </wp:positionH>
            <wp:positionV relativeFrom="paragraph">
              <wp:posOffset>432261</wp:posOffset>
            </wp:positionV>
            <wp:extent cx="6816725" cy="2212340"/>
            <wp:effectExtent l="0" t="0" r="0" b="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410" cstate="email">
                      <a:extLst>
                        <a:ext uri="{28A0092B-C50C-407E-A947-70E740481C1C}">
                          <a14:useLocalDpi xmlns:a14="http://schemas.microsoft.com/office/drawing/2010/main"/>
                        </a:ext>
                      </a:extLst>
                    </a:blip>
                    <a:srcRect/>
                    <a:stretch/>
                  </pic:blipFill>
                  <pic:spPr bwMode="auto">
                    <a:xfrm>
                      <a:off x="0" y="0"/>
                      <a:ext cx="6816725" cy="2212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4585">
        <w:rPr>
          <w:rStyle w:val="Heading3Char"/>
          <w:rFonts w:ascii="Arial" w:hAnsi="Arial" w:cs="Arial"/>
          <w:b/>
          <w:bCs/>
          <w:color w:val="F26D24"/>
          <w:sz w:val="32"/>
          <w:szCs w:val="32"/>
        </w:rPr>
        <w:t xml:space="preserve">Statutory </w:t>
      </w:r>
      <w:r w:rsidR="009D38BA">
        <w:rPr>
          <w:rStyle w:val="Heading3Char"/>
          <w:rFonts w:ascii="Arial" w:hAnsi="Arial" w:cs="Arial"/>
          <w:b/>
          <w:bCs/>
          <w:color w:val="F26D24"/>
          <w:sz w:val="32"/>
          <w:szCs w:val="32"/>
        </w:rPr>
        <w:t>i</w:t>
      </w:r>
      <w:r w:rsidR="009D38BA" w:rsidRPr="007E4585">
        <w:rPr>
          <w:rStyle w:val="Heading3Char"/>
          <w:rFonts w:ascii="Arial" w:hAnsi="Arial" w:cs="Arial"/>
          <w:b/>
          <w:bCs/>
          <w:color w:val="F26D24"/>
          <w:sz w:val="32"/>
          <w:szCs w:val="32"/>
        </w:rPr>
        <w:t>ndependenc</w:t>
      </w:r>
      <w:r w:rsidR="009D38BA">
        <w:rPr>
          <w:rStyle w:val="Heading3Char"/>
          <w:rFonts w:ascii="Arial" w:hAnsi="Arial" w:cs="Arial"/>
          <w:b/>
          <w:bCs/>
          <w:color w:val="F26D24"/>
          <w:sz w:val="32"/>
          <w:szCs w:val="32"/>
        </w:rPr>
        <w:t>e</w:t>
      </w:r>
      <w:bookmarkEnd w:id="993"/>
      <w:bookmarkEnd w:id="994"/>
      <w:bookmarkEnd w:id="995"/>
      <w:bookmarkEnd w:id="996"/>
      <w:bookmarkEnd w:id="997"/>
      <w:bookmarkEnd w:id="998"/>
      <w:bookmarkEnd w:id="999"/>
    </w:p>
    <w:p w14:paraId="01900C4E" w14:textId="6E6D1C15" w:rsidR="000E21D1" w:rsidRDefault="000E21D1" w:rsidP="00214D6C">
      <w:pPr>
        <w:spacing w:line="276" w:lineRule="auto"/>
        <w:jc w:val="both"/>
        <w:rPr>
          <w:rFonts w:ascii="Arial" w:hAnsi="Arial" w:cs="Arial"/>
          <w:bCs/>
          <w:sz w:val="24"/>
          <w:szCs w:val="24"/>
          <w:lang w:val="en-ZA"/>
        </w:rPr>
      </w:pPr>
    </w:p>
    <w:p w14:paraId="465822B0" w14:textId="149831A7" w:rsidR="000E21D1" w:rsidRDefault="000E21D1" w:rsidP="00214D6C">
      <w:pPr>
        <w:spacing w:line="276" w:lineRule="auto"/>
        <w:jc w:val="both"/>
        <w:rPr>
          <w:rFonts w:ascii="Arial" w:hAnsi="Arial" w:cs="Arial"/>
          <w:bCs/>
          <w:sz w:val="24"/>
          <w:szCs w:val="24"/>
          <w:lang w:val="en-ZA"/>
        </w:rPr>
      </w:pPr>
    </w:p>
    <w:p w14:paraId="735E3FC9" w14:textId="6ADB5008" w:rsidR="000E21D1" w:rsidRPr="00214D6C" w:rsidRDefault="009E337A" w:rsidP="00214D6C">
      <w:pPr>
        <w:spacing w:line="276" w:lineRule="auto"/>
        <w:jc w:val="both"/>
        <w:rPr>
          <w:rFonts w:ascii="Arial" w:hAnsi="Arial" w:cs="Arial"/>
          <w:bCs/>
          <w:sz w:val="24"/>
          <w:szCs w:val="24"/>
        </w:rPr>
      </w:pPr>
      <w:r>
        <w:rPr>
          <w:rFonts w:ascii="Arial" w:hAnsi="Arial" w:cs="Arial"/>
          <w:bCs/>
          <w:noProof/>
          <w:sz w:val="24"/>
          <w:szCs w:val="24"/>
          <w:lang w:val="en-US"/>
        </w:rPr>
        <w:drawing>
          <wp:anchor distT="0" distB="0" distL="114300" distR="114300" simplePos="0" relativeHeight="252354558" behindDoc="0" locked="0" layoutInCell="1" allowOverlap="1" wp14:anchorId="2DDF700E" wp14:editId="32B20DB1">
            <wp:simplePos x="0" y="0"/>
            <wp:positionH relativeFrom="column">
              <wp:posOffset>1383030</wp:posOffset>
            </wp:positionH>
            <wp:positionV relativeFrom="paragraph">
              <wp:posOffset>38022</wp:posOffset>
            </wp:positionV>
            <wp:extent cx="3261600" cy="652320"/>
            <wp:effectExtent l="0" t="0" r="0" b="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461" cstate="email">
                      <a:extLst>
                        <a:ext uri="{28A0092B-C50C-407E-A947-70E740481C1C}">
                          <a14:useLocalDpi xmlns:a14="http://schemas.microsoft.com/office/drawing/2010/main"/>
                        </a:ext>
                      </a:extLst>
                    </a:blip>
                    <a:stretch>
                      <a:fillRect/>
                    </a:stretch>
                  </pic:blipFill>
                  <pic:spPr>
                    <a:xfrm>
                      <a:off x="0" y="0"/>
                      <a:ext cx="3261600" cy="652320"/>
                    </a:xfrm>
                    <a:prstGeom prst="rect">
                      <a:avLst/>
                    </a:prstGeom>
                  </pic:spPr>
                </pic:pic>
              </a:graphicData>
            </a:graphic>
            <wp14:sizeRelH relativeFrom="page">
              <wp14:pctWidth>0</wp14:pctWidth>
            </wp14:sizeRelH>
            <wp14:sizeRelV relativeFrom="page">
              <wp14:pctHeight>0</wp14:pctHeight>
            </wp14:sizeRelV>
          </wp:anchor>
        </w:drawing>
      </w:r>
    </w:p>
    <w:p w14:paraId="590672B4" w14:textId="2B8A6832" w:rsidR="00214D6C" w:rsidRPr="00214D6C" w:rsidRDefault="00214D6C" w:rsidP="00214D6C">
      <w:pPr>
        <w:spacing w:line="276" w:lineRule="auto"/>
        <w:ind w:left="720"/>
        <w:jc w:val="both"/>
        <w:rPr>
          <w:rFonts w:ascii="Arial" w:hAnsi="Arial" w:cs="Arial"/>
          <w:bCs/>
          <w:sz w:val="24"/>
          <w:szCs w:val="24"/>
        </w:rPr>
      </w:pPr>
    </w:p>
    <w:p w14:paraId="2AD9A02C" w14:textId="4D285ACF" w:rsidR="00CC248E" w:rsidRPr="00214D6C" w:rsidRDefault="00CC248E" w:rsidP="00214D6C">
      <w:pPr>
        <w:spacing w:line="276" w:lineRule="auto"/>
        <w:rPr>
          <w:rFonts w:ascii="Arial" w:hAnsi="Arial" w:cs="Arial"/>
          <w:sz w:val="24"/>
          <w:szCs w:val="24"/>
        </w:rPr>
      </w:pPr>
    </w:p>
    <w:p w14:paraId="03DD2EF2" w14:textId="77CC0B8B" w:rsidR="00CC248E" w:rsidRPr="00214D6C" w:rsidRDefault="009E337A" w:rsidP="00214D6C">
      <w:pPr>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332030" behindDoc="0" locked="0" layoutInCell="1" allowOverlap="1" wp14:anchorId="0F087503" wp14:editId="529FB97A">
                <wp:simplePos x="0" y="0"/>
                <wp:positionH relativeFrom="margin">
                  <wp:posOffset>139700</wp:posOffset>
                </wp:positionH>
                <wp:positionV relativeFrom="paragraph">
                  <wp:posOffset>179426</wp:posOffset>
                </wp:positionV>
                <wp:extent cx="6366510" cy="901874"/>
                <wp:effectExtent l="0" t="0" r="0" b="0"/>
                <wp:wrapNone/>
                <wp:docPr id="361" name="Text Box 361"/>
                <wp:cNvGraphicFramePr/>
                <a:graphic xmlns:a="http://schemas.openxmlformats.org/drawingml/2006/main">
                  <a:graphicData uri="http://schemas.microsoft.com/office/word/2010/wordprocessingShape">
                    <wps:wsp>
                      <wps:cNvSpPr txBox="1"/>
                      <wps:spPr>
                        <a:xfrm>
                          <a:off x="0" y="0"/>
                          <a:ext cx="6366510" cy="901874"/>
                        </a:xfrm>
                        <a:prstGeom prst="rect">
                          <a:avLst/>
                        </a:prstGeom>
                        <a:noFill/>
                        <a:ln w="6350">
                          <a:noFill/>
                        </a:ln>
                      </wps:spPr>
                      <wps:txbx>
                        <w:txbxContent>
                          <w:p w14:paraId="6BB337C3" w14:textId="0364FEED" w:rsidR="00D15FD8" w:rsidRPr="009C5AE5" w:rsidRDefault="00D15FD8" w:rsidP="009155E2">
                            <w:pPr>
                              <w:spacing w:line="276" w:lineRule="auto"/>
                              <w:jc w:val="both"/>
                              <w:rPr>
                                <w:rFonts w:ascii="Arial" w:hAnsi="Arial" w:cs="Arial"/>
                                <w:iCs/>
                                <w:color w:val="FFFFFF" w:themeColor="background1"/>
                                <w:sz w:val="24"/>
                                <w:szCs w:val="24"/>
                              </w:rPr>
                            </w:pPr>
                            <w:r w:rsidRPr="00E07157">
                              <w:rPr>
                                <w:rFonts w:ascii="Arial" w:eastAsia="Calibri" w:hAnsi="Arial" w:cs="Arial"/>
                                <w:iCs/>
                                <w:color w:val="FFFFFF" w:themeColor="background1"/>
                                <w:sz w:val="24"/>
                                <w:szCs w:val="24"/>
                              </w:rPr>
                              <w:t>The Supreme Audit Institution should have statutory independence from the executive, and the mandate, access to information, and appropriate resources to audit and report publicly on the raising and commitment of public funds. It should operate in an independent, accountable and transparent manner.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087503" id="Text Box 361" o:spid="_x0000_s1272" type="#_x0000_t202" style="position:absolute;margin-left:11pt;margin-top:14.15pt;width:501.3pt;height:71pt;z-index:25233203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" filled="f" stroked="f" strokeweight=".5pt">
                <v:textbox>
                  <w:txbxContent>
                    <w:p w14:paraId="6BB337C3" w14:textId="0364FEED" w:rsidR="00D15FD8" w:rsidRPr="009C5AE5" w:rsidRDefault="00D15FD8" w:rsidP="009155E2">
                      <w:pPr>
                        <w:spacing w:line="276" w:lineRule="auto"/>
                        <w:jc w:val="both"/>
                        <w:rPr>
                          <w:rFonts w:ascii="Arial" w:hAnsi="Arial" w:cs="Arial"/>
                          <w:iCs/>
                          <w:color w:val="FFFFFF" w:themeColor="background1"/>
                          <w:sz w:val="24"/>
                          <w:szCs w:val="24"/>
                        </w:rPr>
                      </w:pPr>
                      <w:r w:rsidRPr="00E07157">
                        <w:rPr>
                          <w:rFonts w:ascii="Arial" w:eastAsia="Calibri" w:hAnsi="Arial" w:cs="Arial"/>
                          <w:iCs/>
                          <w:color w:val="FFFFFF" w:themeColor="background1"/>
                          <w:sz w:val="24"/>
                          <w:szCs w:val="24"/>
                        </w:rPr>
                        <w:t>The Supreme Audit Institution should have statutory independence from the executive, and the mandate, access to information, and appropriate resources to audit and report publicly on the raising and commitment of public funds. It should operate in an independent, accountable and transparent manner.</w:t>
                      </w:r>
                    </w:p>
                  </w:txbxContent>
                </v:textbox>
                <w10:wrap anchorx="margin"/>
              </v:shape>
            </w:pict>
          </mc:Fallback>
        </mc:AlternateContent>
      </w:r>
    </w:p>
    <w:p w14:paraId="6537721F" w14:textId="0C3DD17C" w:rsidR="00CC248E" w:rsidRPr="00214D6C" w:rsidRDefault="00CC248E" w:rsidP="00214D6C">
      <w:pPr>
        <w:spacing w:line="276" w:lineRule="auto"/>
        <w:rPr>
          <w:rFonts w:ascii="Arial" w:hAnsi="Arial" w:cs="Arial"/>
          <w:sz w:val="24"/>
          <w:szCs w:val="24"/>
        </w:rPr>
      </w:pPr>
    </w:p>
    <w:p w14:paraId="0045CD1F" w14:textId="05959DD0" w:rsidR="00CC248E" w:rsidRPr="00214D6C" w:rsidRDefault="00CC248E" w:rsidP="00214D6C">
      <w:pPr>
        <w:spacing w:line="276" w:lineRule="auto"/>
        <w:rPr>
          <w:rFonts w:ascii="Arial" w:hAnsi="Arial" w:cs="Arial"/>
          <w:sz w:val="24"/>
          <w:szCs w:val="24"/>
        </w:rPr>
      </w:pPr>
    </w:p>
    <w:p w14:paraId="32F570A2" w14:textId="26CBC5D5" w:rsidR="00CC248E" w:rsidRPr="00214D6C" w:rsidRDefault="00CC248E" w:rsidP="00214D6C">
      <w:pPr>
        <w:spacing w:line="276" w:lineRule="auto"/>
        <w:rPr>
          <w:rFonts w:ascii="Arial" w:hAnsi="Arial" w:cs="Arial"/>
          <w:sz w:val="24"/>
          <w:szCs w:val="24"/>
        </w:rPr>
      </w:pPr>
    </w:p>
    <w:p w14:paraId="3D195A71" w14:textId="77FA9834" w:rsidR="00CC248E" w:rsidRPr="00214D6C" w:rsidRDefault="00CC248E" w:rsidP="00214D6C">
      <w:pPr>
        <w:spacing w:line="276" w:lineRule="auto"/>
        <w:rPr>
          <w:rFonts w:ascii="Arial" w:hAnsi="Arial" w:cs="Arial"/>
          <w:sz w:val="24"/>
          <w:szCs w:val="24"/>
        </w:rPr>
      </w:pPr>
    </w:p>
    <w:p w14:paraId="65627E95" w14:textId="77777777" w:rsidR="009E337A" w:rsidRDefault="009E337A" w:rsidP="00E07157">
      <w:pPr>
        <w:spacing w:line="276" w:lineRule="auto"/>
        <w:jc w:val="both"/>
        <w:rPr>
          <w:rFonts w:ascii="Arial" w:hAnsi="Arial" w:cs="Arial"/>
          <w:sz w:val="24"/>
          <w:szCs w:val="24"/>
        </w:rPr>
      </w:pPr>
    </w:p>
    <w:p w14:paraId="043B94AC" w14:textId="77777777" w:rsidR="009E337A" w:rsidRDefault="009E337A" w:rsidP="00E07157">
      <w:pPr>
        <w:spacing w:line="276" w:lineRule="auto"/>
        <w:jc w:val="both"/>
        <w:rPr>
          <w:rFonts w:ascii="Arial" w:hAnsi="Arial" w:cs="Arial"/>
          <w:sz w:val="24"/>
          <w:szCs w:val="24"/>
        </w:rPr>
      </w:pPr>
    </w:p>
    <w:p w14:paraId="402AD277" w14:textId="7CC348AC" w:rsidR="00E07157" w:rsidRDefault="00E07157" w:rsidP="00E07157">
      <w:pPr>
        <w:spacing w:line="276" w:lineRule="auto"/>
        <w:jc w:val="both"/>
        <w:rPr>
          <w:rFonts w:ascii="Arial" w:hAnsi="Arial" w:cs="Arial"/>
          <w:sz w:val="24"/>
          <w:szCs w:val="24"/>
          <w:lang w:val="en-US"/>
        </w:rPr>
      </w:pPr>
      <w:r w:rsidRPr="00E07157">
        <w:rPr>
          <w:rFonts w:ascii="Arial" w:hAnsi="Arial" w:cs="Arial"/>
          <w:sz w:val="24"/>
          <w:szCs w:val="24"/>
        </w:rPr>
        <w:t xml:space="preserve">By unpacking international norms and standards, including GIFT’s High-level principle 9, one can understand the capacity the supreme audit institution requires in order to effectively undertake its role, </w:t>
      </w:r>
      <w:r w:rsidRPr="00E07157">
        <w:rPr>
          <w:rFonts w:ascii="Arial" w:hAnsi="Arial" w:cs="Arial"/>
          <w:sz w:val="24"/>
          <w:szCs w:val="24"/>
          <w:lang w:val="en-US"/>
        </w:rPr>
        <w:t>including that its independence relies on legislative empowerment. This is codified in a number of international norms and standards.</w:t>
      </w:r>
    </w:p>
    <w:p w14:paraId="5FCAB115" w14:textId="6EDC11B7" w:rsidR="00E07157" w:rsidRDefault="00641F5B" w:rsidP="00E07157">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2336126" behindDoc="0" locked="0" layoutInCell="1" allowOverlap="1" wp14:anchorId="3D916400" wp14:editId="267ACF46">
                <wp:simplePos x="0" y="0"/>
                <wp:positionH relativeFrom="margin">
                  <wp:align>center</wp:align>
                </wp:positionH>
                <wp:positionV relativeFrom="paragraph">
                  <wp:posOffset>210185</wp:posOffset>
                </wp:positionV>
                <wp:extent cx="6721200" cy="1002665"/>
                <wp:effectExtent l="12700" t="12700" r="10160" b="13335"/>
                <wp:wrapNone/>
                <wp:docPr id="390" name="Rounded Rectangle 390"/>
                <wp:cNvGraphicFramePr/>
                <a:graphic xmlns:a="http://schemas.openxmlformats.org/drawingml/2006/main">
                  <a:graphicData uri="http://schemas.microsoft.com/office/word/2010/wordprocessingShape">
                    <wps:wsp>
                      <wps:cNvSpPr/>
                      <wps:spPr>
                        <a:xfrm>
                          <a:off x="0" y="0"/>
                          <a:ext cx="6721200" cy="1002665"/>
                        </a:xfrm>
                        <a:prstGeom prst="roundRect">
                          <a:avLst>
                            <a:gd name="adj" fmla="val 4174"/>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06DD5166" id="Rounded Rectangle 390" o:spid="_x0000_s1026" style="position:absolute;margin-left:0;margin-top:16.55pt;width:529.25pt;height:78.95pt;z-index:25233612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27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" filled="f" strokecolor="#69557f" strokeweight="2.25pt">
                <v:stroke joinstyle="miter"/>
                <w10:wrap anchorx="margin"/>
              </v:roundrect>
            </w:pict>
          </mc:Fallback>
        </mc:AlternateContent>
      </w:r>
    </w:p>
    <w:p w14:paraId="3C88A783" w14:textId="7F8A11DC" w:rsidR="00E07157" w:rsidRPr="00E07157" w:rsidRDefault="00E07157" w:rsidP="00E07157">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2337150" behindDoc="0" locked="0" layoutInCell="1" allowOverlap="1" wp14:anchorId="24A11056" wp14:editId="2143A5F3">
                <wp:simplePos x="0" y="0"/>
                <wp:positionH relativeFrom="margin">
                  <wp:align>center</wp:align>
                </wp:positionH>
                <wp:positionV relativeFrom="paragraph">
                  <wp:posOffset>79779</wp:posOffset>
                </wp:positionV>
                <wp:extent cx="6489757" cy="864296"/>
                <wp:effectExtent l="0" t="0" r="0" b="0"/>
                <wp:wrapNone/>
                <wp:docPr id="392" name="Text Box 392"/>
                <wp:cNvGraphicFramePr/>
                <a:graphic xmlns:a="http://schemas.openxmlformats.org/drawingml/2006/main">
                  <a:graphicData uri="http://schemas.microsoft.com/office/word/2010/wordprocessingShape">
                    <wps:wsp>
                      <wps:cNvSpPr txBox="1"/>
                      <wps:spPr>
                        <a:xfrm>
                          <a:off x="0" y="0"/>
                          <a:ext cx="6489757" cy="864296"/>
                        </a:xfrm>
                        <a:prstGeom prst="rect">
                          <a:avLst/>
                        </a:prstGeom>
                        <a:solidFill>
                          <a:schemeClr val="lt1"/>
                        </a:solidFill>
                        <a:ln w="6350">
                          <a:noFill/>
                        </a:ln>
                      </wps:spPr>
                      <wps:txbx>
                        <w:txbxContent>
                          <w:p w14:paraId="31D9E632" w14:textId="77777777" w:rsidR="00D15FD8" w:rsidRPr="00E07157" w:rsidRDefault="00D15FD8" w:rsidP="00E07157">
                            <w:pPr>
                              <w:spacing w:line="276" w:lineRule="auto"/>
                              <w:jc w:val="both"/>
                              <w:rPr>
                                <w:rFonts w:ascii="Arial" w:hAnsi="Arial" w:cs="Arial"/>
                                <w:bCs/>
                                <w:sz w:val="24"/>
                                <w:szCs w:val="24"/>
                              </w:rPr>
                            </w:pPr>
                            <w:r w:rsidRPr="00E07157">
                              <w:rPr>
                                <w:rFonts w:ascii="Arial" w:hAnsi="Arial" w:cs="Arial"/>
                                <w:bCs/>
                                <w:sz w:val="24"/>
                                <w:szCs w:val="24"/>
                                <w:lang w:val="en-ZA"/>
                              </w:rPr>
                              <w:t xml:space="preserve">The </w:t>
                            </w:r>
                            <w:hyperlink r:id="rId462" w:history="1">
                              <w:r w:rsidRPr="00E07157">
                                <w:rPr>
                                  <w:rFonts w:ascii="Arial" w:hAnsi="Arial" w:cs="Arial"/>
                                  <w:bCs/>
                                  <w:color w:val="0563C1" w:themeColor="hyperlink"/>
                                  <w:sz w:val="24"/>
                                  <w:szCs w:val="24"/>
                                  <w:u w:val="single"/>
                                  <w:lang w:val="en-ZA"/>
                                </w:rPr>
                                <w:t>International Organization of Supreme Audit Institutions</w:t>
                              </w:r>
                            </w:hyperlink>
                            <w:r w:rsidRPr="00E07157">
                              <w:rPr>
                                <w:rFonts w:ascii="Arial" w:hAnsi="Arial" w:cs="Arial"/>
                                <w:bCs/>
                                <w:sz w:val="24"/>
                                <w:szCs w:val="24"/>
                                <w:lang w:val="en-ZA"/>
                              </w:rPr>
                              <w:t xml:space="preserve"> (INTOSAI)’s </w:t>
                            </w:r>
                            <w:r w:rsidRPr="00E07157">
                              <w:rPr>
                                <w:rFonts w:ascii="Arial" w:hAnsi="Arial" w:cs="Arial"/>
                                <w:bCs/>
                                <w:sz w:val="24"/>
                                <w:szCs w:val="24"/>
                              </w:rPr>
                              <w:t>Lima Declaration (1977), considered the ‘Magna Carta’ of government auditing, calls for a supreme audit institution to be laid out in the constitution, and for its independence to be protected by a supreme court.</w:t>
                            </w:r>
                          </w:p>
                          <w:p w14:paraId="60A63155"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A11056" id="Text Box 392" o:spid="_x0000_s1273" type="#_x0000_t202" style="position:absolute;left:0;text-align:left;margin-left:0;margin-top:6.3pt;width:511pt;height:68.05pt;z-index:25233715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" fillcolor="white [3201]" stroked="f" strokeweight=".5pt">
                <v:textbox>
                  <w:txbxContent>
                    <w:p w14:paraId="31D9E632" w14:textId="77777777" w:rsidR="00D15FD8" w:rsidRPr="00E07157" w:rsidRDefault="00D15FD8" w:rsidP="00E07157">
                      <w:pPr>
                        <w:spacing w:line="276" w:lineRule="auto"/>
                        <w:jc w:val="both"/>
                        <w:rPr>
                          <w:rFonts w:ascii="Arial" w:hAnsi="Arial" w:cs="Arial"/>
                          <w:bCs/>
                          <w:sz w:val="24"/>
                          <w:szCs w:val="24"/>
                        </w:rPr>
                      </w:pPr>
                      <w:r w:rsidRPr="00E07157">
                        <w:rPr>
                          <w:rFonts w:ascii="Arial" w:hAnsi="Arial" w:cs="Arial"/>
                          <w:bCs/>
                          <w:sz w:val="24"/>
                          <w:szCs w:val="24"/>
                          <w:lang w:val="en-ZA"/>
                        </w:rPr>
                        <w:t xml:space="preserve">The </w:t>
                      </w:r>
                      <w:hyperlink r:id="rId463" w:history="1">
                        <w:r w:rsidRPr="00E07157">
                          <w:rPr>
                            <w:rFonts w:ascii="Arial" w:hAnsi="Arial" w:cs="Arial"/>
                            <w:bCs/>
                            <w:color w:val="0563C1" w:themeColor="hyperlink"/>
                            <w:sz w:val="24"/>
                            <w:szCs w:val="24"/>
                            <w:u w:val="single"/>
                            <w:lang w:val="en-ZA"/>
                          </w:rPr>
                          <w:t>International Organization of Supreme Audit Institutions</w:t>
                        </w:r>
                      </w:hyperlink>
                      <w:r w:rsidRPr="00E07157">
                        <w:rPr>
                          <w:rFonts w:ascii="Arial" w:hAnsi="Arial" w:cs="Arial"/>
                          <w:bCs/>
                          <w:sz w:val="24"/>
                          <w:szCs w:val="24"/>
                          <w:lang w:val="en-ZA"/>
                        </w:rPr>
                        <w:t xml:space="preserve"> (INTOSAI)’s </w:t>
                      </w:r>
                      <w:r w:rsidRPr="00E07157">
                        <w:rPr>
                          <w:rFonts w:ascii="Arial" w:hAnsi="Arial" w:cs="Arial"/>
                          <w:bCs/>
                          <w:sz w:val="24"/>
                          <w:szCs w:val="24"/>
                        </w:rPr>
                        <w:t>Lima Declaration (1977), considered the ‘Magna Carta’ of government auditing, calls for a supreme audit institution to be laid out in the constitution, and for its independence to be protected by a supreme court.</w:t>
                      </w:r>
                    </w:p>
                    <w:p w14:paraId="60A63155" w14:textId="77777777" w:rsidR="00D15FD8" w:rsidRDefault="00D15FD8"/>
                  </w:txbxContent>
                </v:textbox>
                <w10:wrap anchorx="margin"/>
              </v:shape>
            </w:pict>
          </mc:Fallback>
        </mc:AlternateContent>
      </w:r>
    </w:p>
    <w:p w14:paraId="45D90164" w14:textId="6325F1A9" w:rsidR="00E07157" w:rsidRDefault="00E07157" w:rsidP="00E07157">
      <w:pPr>
        <w:spacing w:line="276" w:lineRule="auto"/>
        <w:jc w:val="both"/>
        <w:rPr>
          <w:rFonts w:ascii="Arial" w:hAnsi="Arial" w:cs="Arial"/>
          <w:bCs/>
          <w:sz w:val="24"/>
          <w:szCs w:val="24"/>
        </w:rPr>
      </w:pPr>
      <w:r w:rsidRPr="00E07157">
        <w:rPr>
          <w:rFonts w:ascii="Arial" w:hAnsi="Arial" w:cs="Arial"/>
          <w:bCs/>
          <w:sz w:val="24"/>
          <w:szCs w:val="24"/>
        </w:rPr>
        <w:t xml:space="preserve">  </w:t>
      </w:r>
    </w:p>
    <w:p w14:paraId="41B4C1BA" w14:textId="4E78D489" w:rsidR="00E07157" w:rsidRDefault="00E07157" w:rsidP="00E07157">
      <w:pPr>
        <w:spacing w:line="276" w:lineRule="auto"/>
        <w:jc w:val="both"/>
        <w:rPr>
          <w:rFonts w:ascii="Arial" w:hAnsi="Arial" w:cs="Arial"/>
          <w:bCs/>
          <w:sz w:val="24"/>
          <w:szCs w:val="24"/>
        </w:rPr>
      </w:pPr>
    </w:p>
    <w:p w14:paraId="0C7E6F0E" w14:textId="6977130C" w:rsidR="00E07157" w:rsidRDefault="00E07157" w:rsidP="00E07157">
      <w:pPr>
        <w:spacing w:line="276" w:lineRule="auto"/>
        <w:jc w:val="both"/>
        <w:rPr>
          <w:rFonts w:ascii="Arial" w:hAnsi="Arial" w:cs="Arial"/>
          <w:bCs/>
          <w:sz w:val="24"/>
          <w:szCs w:val="24"/>
        </w:rPr>
      </w:pPr>
    </w:p>
    <w:p w14:paraId="18229E96" w14:textId="032A9133" w:rsidR="00E07157" w:rsidRDefault="00E07157" w:rsidP="00E07157">
      <w:pPr>
        <w:spacing w:line="276" w:lineRule="auto"/>
        <w:jc w:val="both"/>
        <w:rPr>
          <w:rFonts w:ascii="Arial" w:hAnsi="Arial" w:cs="Arial"/>
          <w:bCs/>
          <w:sz w:val="24"/>
          <w:szCs w:val="24"/>
        </w:rPr>
      </w:pPr>
    </w:p>
    <w:p w14:paraId="1311078E" w14:textId="4886F89C" w:rsidR="00E07157" w:rsidRDefault="00E07157" w:rsidP="00E07157">
      <w:pPr>
        <w:spacing w:line="276" w:lineRule="auto"/>
        <w:jc w:val="both"/>
        <w:rPr>
          <w:rFonts w:ascii="Arial" w:hAnsi="Arial" w:cs="Arial"/>
          <w:bCs/>
          <w:sz w:val="24"/>
          <w:szCs w:val="24"/>
        </w:rPr>
      </w:pPr>
    </w:p>
    <w:p w14:paraId="7CFC5F05" w14:textId="2AF7DB8C" w:rsidR="00E07157" w:rsidRDefault="00641F5B" w:rsidP="00E07157">
      <w:pPr>
        <w:spacing w:line="276" w:lineRule="auto"/>
        <w:jc w:val="both"/>
        <w:rPr>
          <w:rFonts w:ascii="Arial" w:hAnsi="Arial" w:cs="Arial"/>
          <w:bCs/>
          <w:sz w:val="24"/>
          <w:szCs w:val="24"/>
        </w:rPr>
      </w:pPr>
      <w:r>
        <w:rPr>
          <w:rFonts w:ascii="Arial" w:hAnsi="Arial" w:cs="Arial"/>
          <w:noProof/>
          <w:sz w:val="24"/>
          <w:szCs w:val="24"/>
          <w:lang w:val="en-US"/>
        </w:rPr>
        <mc:AlternateContent>
          <mc:Choice Requires="wps">
            <w:drawing>
              <wp:anchor distT="0" distB="0" distL="114300" distR="114300" simplePos="0" relativeHeight="252340222" behindDoc="0" locked="0" layoutInCell="1" allowOverlap="1" wp14:anchorId="1FE5363B" wp14:editId="204FD69A">
                <wp:simplePos x="0" y="0"/>
                <wp:positionH relativeFrom="margin">
                  <wp:align>center</wp:align>
                </wp:positionH>
                <wp:positionV relativeFrom="paragraph">
                  <wp:posOffset>200141</wp:posOffset>
                </wp:positionV>
                <wp:extent cx="6490800" cy="1288473"/>
                <wp:effectExtent l="0" t="0" r="0" b="0"/>
                <wp:wrapNone/>
                <wp:docPr id="405" name="Text Box 405"/>
                <wp:cNvGraphicFramePr/>
                <a:graphic xmlns:a="http://schemas.openxmlformats.org/drawingml/2006/main">
                  <a:graphicData uri="http://schemas.microsoft.com/office/word/2010/wordprocessingShape">
                    <wps:wsp>
                      <wps:cNvSpPr txBox="1"/>
                      <wps:spPr>
                        <a:xfrm>
                          <a:off x="0" y="0"/>
                          <a:ext cx="6490800" cy="1288473"/>
                        </a:xfrm>
                        <a:prstGeom prst="rect">
                          <a:avLst/>
                        </a:prstGeom>
                        <a:solidFill>
                          <a:schemeClr val="lt1"/>
                        </a:solidFill>
                        <a:ln w="6350">
                          <a:noFill/>
                        </a:ln>
                      </wps:spPr>
                      <wps:txbx>
                        <w:txbxContent>
                          <w:p w14:paraId="69320A86" w14:textId="77777777" w:rsidR="00D15FD8" w:rsidRPr="00E07157" w:rsidRDefault="00D15FD8" w:rsidP="00E07157">
                            <w:pPr>
                              <w:spacing w:line="276" w:lineRule="auto"/>
                              <w:jc w:val="both"/>
                              <w:rPr>
                                <w:rFonts w:ascii="Arial" w:hAnsi="Arial" w:cs="Arial"/>
                                <w:bCs/>
                                <w:sz w:val="24"/>
                                <w:szCs w:val="24"/>
                              </w:rPr>
                            </w:pPr>
                            <w:r w:rsidRPr="00E07157">
                              <w:rPr>
                                <w:rFonts w:ascii="Arial" w:hAnsi="Arial" w:cs="Arial"/>
                                <w:bCs/>
                                <w:sz w:val="24"/>
                                <w:szCs w:val="24"/>
                              </w:rPr>
                              <w:t xml:space="preserve">Principle G of the </w:t>
                            </w:r>
                            <w:hyperlink r:id="rId464" w:history="1">
                              <w:r w:rsidRPr="00E07157">
                                <w:rPr>
                                  <w:rFonts w:ascii="Arial" w:hAnsi="Arial" w:cs="Arial"/>
                                  <w:bCs/>
                                  <w:iCs/>
                                  <w:color w:val="0563C1" w:themeColor="hyperlink"/>
                                  <w:sz w:val="24"/>
                                  <w:szCs w:val="24"/>
                                  <w:u w:val="single"/>
                                </w:rPr>
                                <w:t>International Framework: Good Governance in the Public Sector</w:t>
                              </w:r>
                            </w:hyperlink>
                            <w:r w:rsidRPr="00E07157">
                              <w:rPr>
                                <w:rFonts w:ascii="Arial" w:hAnsi="Arial" w:cs="Arial"/>
                                <w:bCs/>
                                <w:sz w:val="24"/>
                                <w:szCs w:val="24"/>
                              </w:rPr>
                              <w:t xml:space="preserve"> states that for the supreme audit institution to accomplish its tasks objectively and efficiently it must be independent of audited entities and protected from outside influence; and that in many jurisdictions, the independent supreme audit institution’s function is extremely important in providing independent and objective oversight of a public entity’s governance, risk, and control processes and the stewardship of public resources.</w:t>
                            </w:r>
                          </w:p>
                          <w:p w14:paraId="08EE19B3" w14:textId="77777777" w:rsidR="00D15FD8" w:rsidRDefault="00D15FD8" w:rsidP="00E071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5363B" id="Text Box 405" o:spid="_x0000_s1274" type="#_x0000_t202" style="position:absolute;left:0;text-align:left;margin-left:0;margin-top:15.75pt;width:511.1pt;height:101.45pt;z-index:25234022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" fillcolor="white [3201]" stroked="f" strokeweight=".5pt">
                <v:textbox>
                  <w:txbxContent>
                    <w:p w14:paraId="69320A86" w14:textId="77777777" w:rsidR="00D15FD8" w:rsidRPr="00E07157" w:rsidRDefault="00D15FD8" w:rsidP="00E07157">
                      <w:pPr>
                        <w:spacing w:line="276" w:lineRule="auto"/>
                        <w:jc w:val="both"/>
                        <w:rPr>
                          <w:rFonts w:ascii="Arial" w:hAnsi="Arial" w:cs="Arial"/>
                          <w:bCs/>
                          <w:sz w:val="24"/>
                          <w:szCs w:val="24"/>
                        </w:rPr>
                      </w:pPr>
                      <w:r w:rsidRPr="00E07157">
                        <w:rPr>
                          <w:rFonts w:ascii="Arial" w:hAnsi="Arial" w:cs="Arial"/>
                          <w:bCs/>
                          <w:sz w:val="24"/>
                          <w:szCs w:val="24"/>
                        </w:rPr>
                        <w:t xml:space="preserve">Principle G of the </w:t>
                      </w:r>
                      <w:hyperlink r:id="rId465" w:history="1">
                        <w:r w:rsidRPr="00E07157">
                          <w:rPr>
                            <w:rFonts w:ascii="Arial" w:hAnsi="Arial" w:cs="Arial"/>
                            <w:bCs/>
                            <w:iCs/>
                            <w:color w:val="0563C1" w:themeColor="hyperlink"/>
                            <w:sz w:val="24"/>
                            <w:szCs w:val="24"/>
                            <w:u w:val="single"/>
                          </w:rPr>
                          <w:t>International Framework: Good Governance in the Public Sector</w:t>
                        </w:r>
                      </w:hyperlink>
                      <w:r w:rsidRPr="00E07157">
                        <w:rPr>
                          <w:rFonts w:ascii="Arial" w:hAnsi="Arial" w:cs="Arial"/>
                          <w:bCs/>
                          <w:sz w:val="24"/>
                          <w:szCs w:val="24"/>
                        </w:rPr>
                        <w:t xml:space="preserve"> states that for the supreme audit institution to accomplish its tasks objectively and efficiently it must be independent of audited entities and protected from outside influence; and that in many jurisdictions, the independent supreme audit institution’s function is extremely important in providing independent and objective oversight of a public entity’s governance, risk, and control processes and the stewardship of public resources.</w:t>
                      </w:r>
                    </w:p>
                    <w:p w14:paraId="08EE19B3" w14:textId="77777777" w:rsidR="00D15FD8" w:rsidRDefault="00D15FD8" w:rsidP="00E07157"/>
                  </w:txbxContent>
                </v:textbox>
                <w10:wrap anchorx="margin"/>
              </v:shape>
            </w:pict>
          </mc:Fallback>
        </mc:AlternateContent>
      </w:r>
      <w:r>
        <w:rPr>
          <w:rFonts w:ascii="Arial" w:hAnsi="Arial" w:cs="Arial"/>
          <w:noProof/>
          <w:sz w:val="24"/>
          <w:szCs w:val="24"/>
          <w:lang w:val="en-US"/>
        </w:rPr>
        <mc:AlternateContent>
          <mc:Choice Requires="wps">
            <w:drawing>
              <wp:anchor distT="0" distB="0" distL="114300" distR="114300" simplePos="0" relativeHeight="252339198" behindDoc="0" locked="0" layoutInCell="1" allowOverlap="1" wp14:anchorId="163E5D81" wp14:editId="585D425E">
                <wp:simplePos x="0" y="0"/>
                <wp:positionH relativeFrom="margin">
                  <wp:posOffset>-42718</wp:posOffset>
                </wp:positionH>
                <wp:positionV relativeFrom="paragraph">
                  <wp:posOffset>115859</wp:posOffset>
                </wp:positionV>
                <wp:extent cx="6720840" cy="1455881"/>
                <wp:effectExtent l="12700" t="12700" r="10160" b="17780"/>
                <wp:wrapNone/>
                <wp:docPr id="404" name="Rounded Rectangle 404"/>
                <wp:cNvGraphicFramePr/>
                <a:graphic xmlns:a="http://schemas.openxmlformats.org/drawingml/2006/main">
                  <a:graphicData uri="http://schemas.microsoft.com/office/word/2010/wordprocessingShape">
                    <wps:wsp>
                      <wps:cNvSpPr/>
                      <wps:spPr>
                        <a:xfrm>
                          <a:off x="0" y="0"/>
                          <a:ext cx="6720840" cy="1455881"/>
                        </a:xfrm>
                        <a:prstGeom prst="roundRect">
                          <a:avLst>
                            <a:gd name="adj" fmla="val 4174"/>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9D0A323" id="Rounded Rectangle 404" o:spid="_x0000_s1026" style="position:absolute;margin-left:-3.35pt;margin-top:9.1pt;width:529.2pt;height:114.65pt;z-index:2523391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" filled="f" strokecolor="#69557f" strokeweight="2.25pt">
                <v:stroke joinstyle="miter"/>
                <w10:wrap anchorx="margin"/>
              </v:roundrect>
            </w:pict>
          </mc:Fallback>
        </mc:AlternateContent>
      </w:r>
    </w:p>
    <w:p w14:paraId="44FC5EF2" w14:textId="2345DA30" w:rsidR="00E07157" w:rsidRDefault="00E07157" w:rsidP="00E07157">
      <w:pPr>
        <w:spacing w:line="276" w:lineRule="auto"/>
        <w:jc w:val="both"/>
        <w:rPr>
          <w:rFonts w:ascii="Arial" w:hAnsi="Arial" w:cs="Arial"/>
          <w:bCs/>
          <w:sz w:val="24"/>
          <w:szCs w:val="24"/>
        </w:rPr>
      </w:pPr>
    </w:p>
    <w:p w14:paraId="5FA8E702" w14:textId="05D88CD6" w:rsidR="00E07157" w:rsidRDefault="00E07157" w:rsidP="00E07157">
      <w:pPr>
        <w:spacing w:line="276" w:lineRule="auto"/>
        <w:jc w:val="both"/>
        <w:rPr>
          <w:rFonts w:ascii="Arial" w:hAnsi="Arial" w:cs="Arial"/>
          <w:bCs/>
          <w:sz w:val="24"/>
          <w:szCs w:val="24"/>
        </w:rPr>
      </w:pPr>
    </w:p>
    <w:p w14:paraId="09F77B69" w14:textId="5C956DE5" w:rsidR="00E07157" w:rsidRDefault="00E07157" w:rsidP="00E07157">
      <w:pPr>
        <w:spacing w:line="276" w:lineRule="auto"/>
        <w:jc w:val="both"/>
        <w:rPr>
          <w:rFonts w:ascii="Arial" w:hAnsi="Arial" w:cs="Arial"/>
          <w:bCs/>
          <w:sz w:val="24"/>
          <w:szCs w:val="24"/>
        </w:rPr>
      </w:pPr>
    </w:p>
    <w:p w14:paraId="7B0EAB8F" w14:textId="7CD890E5" w:rsidR="00E07157" w:rsidRDefault="00E07157" w:rsidP="00E07157">
      <w:pPr>
        <w:spacing w:line="276" w:lineRule="auto"/>
        <w:jc w:val="both"/>
        <w:rPr>
          <w:rFonts w:ascii="Arial" w:hAnsi="Arial" w:cs="Arial"/>
          <w:bCs/>
          <w:sz w:val="24"/>
          <w:szCs w:val="24"/>
        </w:rPr>
      </w:pPr>
    </w:p>
    <w:p w14:paraId="1B3B9C73" w14:textId="77777777" w:rsidR="00E07157" w:rsidRPr="00E07157" w:rsidRDefault="00E07157" w:rsidP="00E07157">
      <w:pPr>
        <w:spacing w:line="276" w:lineRule="auto"/>
        <w:jc w:val="both"/>
        <w:rPr>
          <w:rFonts w:ascii="Arial" w:hAnsi="Arial" w:cs="Arial"/>
          <w:bCs/>
          <w:sz w:val="24"/>
          <w:szCs w:val="24"/>
        </w:rPr>
      </w:pPr>
    </w:p>
    <w:p w14:paraId="5F50C80F" w14:textId="77777777" w:rsidR="00E07157" w:rsidRPr="00E07157" w:rsidRDefault="00E07157" w:rsidP="00E07157">
      <w:pPr>
        <w:spacing w:line="276" w:lineRule="auto"/>
        <w:ind w:left="720"/>
        <w:jc w:val="both"/>
        <w:rPr>
          <w:rFonts w:ascii="Arial" w:hAnsi="Arial" w:cs="Arial"/>
          <w:bCs/>
          <w:sz w:val="24"/>
          <w:szCs w:val="24"/>
        </w:rPr>
      </w:pPr>
    </w:p>
    <w:p w14:paraId="6216A642" w14:textId="77777777" w:rsidR="00E07157" w:rsidRPr="00E07157" w:rsidRDefault="00E07157" w:rsidP="00E07157">
      <w:pPr>
        <w:spacing w:line="276" w:lineRule="auto"/>
        <w:ind w:left="720"/>
        <w:jc w:val="both"/>
        <w:rPr>
          <w:rFonts w:ascii="Arial" w:hAnsi="Arial" w:cs="Arial"/>
          <w:bCs/>
          <w:sz w:val="24"/>
          <w:szCs w:val="24"/>
        </w:rPr>
      </w:pPr>
    </w:p>
    <w:p w14:paraId="68C7A31D" w14:textId="224A0B4D" w:rsidR="00E07157" w:rsidRPr="00E07157" w:rsidRDefault="00E07157" w:rsidP="00E07157">
      <w:pPr>
        <w:spacing w:line="276" w:lineRule="auto"/>
        <w:ind w:left="720"/>
        <w:jc w:val="both"/>
        <w:rPr>
          <w:rFonts w:ascii="Arial" w:hAnsi="Arial" w:cs="Arial"/>
          <w:bCs/>
          <w:sz w:val="24"/>
          <w:szCs w:val="24"/>
        </w:rPr>
      </w:pPr>
    </w:p>
    <w:p w14:paraId="45437DDF" w14:textId="0DA05807" w:rsidR="00E07157" w:rsidRPr="00E07157" w:rsidRDefault="00641F5B" w:rsidP="00E07157">
      <w:pPr>
        <w:spacing w:line="276" w:lineRule="auto"/>
        <w:ind w:left="720"/>
        <w:jc w:val="both"/>
        <w:rPr>
          <w:rFonts w:ascii="Arial" w:hAnsi="Arial" w:cs="Arial"/>
          <w:bCs/>
          <w:sz w:val="24"/>
          <w:szCs w:val="24"/>
        </w:rPr>
      </w:pPr>
      <w:r>
        <w:rPr>
          <w:rFonts w:ascii="Arial" w:hAnsi="Arial" w:cs="Arial"/>
          <w:noProof/>
          <w:sz w:val="24"/>
          <w:szCs w:val="24"/>
          <w:lang w:val="en-US"/>
        </w:rPr>
        <mc:AlternateContent>
          <mc:Choice Requires="wps">
            <w:drawing>
              <wp:anchor distT="0" distB="0" distL="114300" distR="114300" simplePos="0" relativeHeight="252344318" behindDoc="0" locked="0" layoutInCell="1" allowOverlap="1" wp14:anchorId="273625B3" wp14:editId="6609A251">
                <wp:simplePos x="0" y="0"/>
                <wp:positionH relativeFrom="margin">
                  <wp:posOffset>-36195</wp:posOffset>
                </wp:positionH>
                <wp:positionV relativeFrom="paragraph">
                  <wp:posOffset>72275</wp:posOffset>
                </wp:positionV>
                <wp:extent cx="6720840" cy="1002665"/>
                <wp:effectExtent l="12700" t="12700" r="10160" b="13335"/>
                <wp:wrapNone/>
                <wp:docPr id="408" name="Rounded Rectangle 408"/>
                <wp:cNvGraphicFramePr/>
                <a:graphic xmlns:a="http://schemas.openxmlformats.org/drawingml/2006/main">
                  <a:graphicData uri="http://schemas.microsoft.com/office/word/2010/wordprocessingShape">
                    <wps:wsp>
                      <wps:cNvSpPr/>
                      <wps:spPr>
                        <a:xfrm>
                          <a:off x="0" y="0"/>
                          <a:ext cx="6720840" cy="1002665"/>
                        </a:xfrm>
                        <a:prstGeom prst="roundRect">
                          <a:avLst>
                            <a:gd name="adj" fmla="val 4174"/>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65490330" id="Rounded Rectangle 408" o:spid="_x0000_s1026" style="position:absolute;margin-left:-2.85pt;margin-top:5.7pt;width:529.2pt;height:78.95pt;z-index:25234431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27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" filled="f" strokecolor="#69557f" strokeweight="2.25pt">
                <v:stroke joinstyle="miter"/>
                <w10:wrap anchorx="margin"/>
              </v:roundrect>
            </w:pict>
          </mc:Fallback>
        </mc:AlternateContent>
      </w:r>
    </w:p>
    <w:p w14:paraId="515A55DE" w14:textId="5A270BB6" w:rsidR="00E07157" w:rsidRPr="00E07157" w:rsidRDefault="00E07157" w:rsidP="00E07157">
      <w:pPr>
        <w:spacing w:line="276" w:lineRule="auto"/>
        <w:jc w:val="both"/>
        <w:rPr>
          <w:rFonts w:ascii="Arial" w:hAnsi="Arial" w:cs="Arial"/>
          <w:bCs/>
          <w:sz w:val="24"/>
          <w:szCs w:val="24"/>
        </w:rPr>
      </w:pPr>
      <w:r>
        <w:rPr>
          <w:rFonts w:ascii="Arial" w:hAnsi="Arial" w:cs="Arial"/>
          <w:noProof/>
          <w:sz w:val="24"/>
          <w:szCs w:val="24"/>
          <w:lang w:val="en-US"/>
        </w:rPr>
        <mc:AlternateContent>
          <mc:Choice Requires="wps">
            <w:drawing>
              <wp:anchor distT="0" distB="0" distL="114300" distR="114300" simplePos="0" relativeHeight="252345342" behindDoc="0" locked="0" layoutInCell="1" allowOverlap="1" wp14:anchorId="369B05DC" wp14:editId="061EC59A">
                <wp:simplePos x="0" y="0"/>
                <wp:positionH relativeFrom="margin">
                  <wp:posOffset>78105</wp:posOffset>
                </wp:positionH>
                <wp:positionV relativeFrom="paragraph">
                  <wp:posOffset>41160</wp:posOffset>
                </wp:positionV>
                <wp:extent cx="6490800" cy="734291"/>
                <wp:effectExtent l="0" t="0" r="0" b="2540"/>
                <wp:wrapNone/>
                <wp:docPr id="410" name="Text Box 410"/>
                <wp:cNvGraphicFramePr/>
                <a:graphic xmlns:a="http://schemas.openxmlformats.org/drawingml/2006/main">
                  <a:graphicData uri="http://schemas.microsoft.com/office/word/2010/wordprocessingShape">
                    <wps:wsp>
                      <wps:cNvSpPr txBox="1"/>
                      <wps:spPr>
                        <a:xfrm>
                          <a:off x="0" y="0"/>
                          <a:ext cx="6490800" cy="734291"/>
                        </a:xfrm>
                        <a:prstGeom prst="rect">
                          <a:avLst/>
                        </a:prstGeom>
                        <a:solidFill>
                          <a:schemeClr val="lt1"/>
                        </a:solidFill>
                        <a:ln w="6350">
                          <a:noFill/>
                        </a:ln>
                      </wps:spPr>
                      <wps:txbx>
                        <w:txbxContent>
                          <w:p w14:paraId="480561EE" w14:textId="77777777" w:rsidR="00D15FD8" w:rsidRPr="00E07157" w:rsidRDefault="00D15FD8" w:rsidP="00E07157">
                            <w:pPr>
                              <w:spacing w:line="276" w:lineRule="auto"/>
                              <w:jc w:val="both"/>
                              <w:rPr>
                                <w:rFonts w:ascii="Arial" w:hAnsi="Arial" w:cs="Arial"/>
                                <w:bCs/>
                                <w:sz w:val="24"/>
                                <w:szCs w:val="24"/>
                                <w:lang w:val="en-ZA"/>
                              </w:rPr>
                            </w:pPr>
                            <w:r w:rsidRPr="00E07157">
                              <w:rPr>
                                <w:rFonts w:ascii="Arial" w:hAnsi="Arial" w:cs="Arial"/>
                                <w:sz w:val="24"/>
                                <w:szCs w:val="24"/>
                              </w:rPr>
                              <w:t xml:space="preserve">Principle 1.4.2 of the </w:t>
                            </w:r>
                            <w:r w:rsidRPr="00E07157">
                              <w:rPr>
                                <w:rFonts w:ascii="Arial" w:hAnsi="Arial" w:cs="Arial"/>
                                <w:bCs/>
                                <w:sz w:val="24"/>
                                <w:szCs w:val="24"/>
                              </w:rPr>
                              <w:t xml:space="preserve">IMF’s </w:t>
                            </w:r>
                            <w:hyperlink r:id="rId466" w:history="1">
                              <w:r w:rsidRPr="00E07157">
                                <w:rPr>
                                  <w:rFonts w:ascii="Arial" w:hAnsi="Arial" w:cs="Arial"/>
                                  <w:bCs/>
                                  <w:color w:val="0563C1" w:themeColor="hyperlink"/>
                                  <w:sz w:val="24"/>
                                  <w:szCs w:val="24"/>
                                  <w:u w:val="single"/>
                                </w:rPr>
                                <w:t>Fiscal Transparency Code</w:t>
                              </w:r>
                            </w:hyperlink>
                            <w:r w:rsidRPr="00E07157">
                              <w:rPr>
                                <w:rFonts w:ascii="Arial" w:hAnsi="Arial" w:cs="Arial"/>
                                <w:bCs/>
                                <w:sz w:val="24"/>
                                <w:szCs w:val="24"/>
                              </w:rPr>
                              <w:t xml:space="preserve"> (2019) reaffirms that the executive’s annual</w:t>
                            </w:r>
                            <w:r w:rsidRPr="00E07157">
                              <w:rPr>
                                <w:rFonts w:ascii="Arial" w:hAnsi="Arial" w:cs="Arial"/>
                                <w:bCs/>
                                <w:sz w:val="24"/>
                                <w:szCs w:val="24"/>
                                <w:lang w:val="en-ZA"/>
                              </w:rPr>
                              <w:t xml:space="preserve"> financial statements should be subject to a published audit by an independent supreme audit institution which validates their reliability.</w:t>
                            </w:r>
                          </w:p>
                          <w:p w14:paraId="076578BE" w14:textId="77777777" w:rsidR="00D15FD8" w:rsidRDefault="00D15FD8" w:rsidP="00E071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B05DC" id="Text Box 410" o:spid="_x0000_s1275" type="#_x0000_t202" style="position:absolute;left:0;text-align:left;margin-left:6.15pt;margin-top:3.25pt;width:511.1pt;height:57.8pt;z-index:252345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" fillcolor="white [3201]" stroked="f" strokeweight=".5pt">
                <v:textbox>
                  <w:txbxContent>
                    <w:p w14:paraId="480561EE" w14:textId="77777777" w:rsidR="00D15FD8" w:rsidRPr="00E07157" w:rsidRDefault="00D15FD8" w:rsidP="00E07157">
                      <w:pPr>
                        <w:spacing w:line="276" w:lineRule="auto"/>
                        <w:jc w:val="both"/>
                        <w:rPr>
                          <w:rFonts w:ascii="Arial" w:hAnsi="Arial" w:cs="Arial"/>
                          <w:bCs/>
                          <w:sz w:val="24"/>
                          <w:szCs w:val="24"/>
                          <w:lang w:val="en-ZA"/>
                        </w:rPr>
                      </w:pPr>
                      <w:r w:rsidRPr="00E07157">
                        <w:rPr>
                          <w:rFonts w:ascii="Arial" w:hAnsi="Arial" w:cs="Arial"/>
                          <w:sz w:val="24"/>
                          <w:szCs w:val="24"/>
                        </w:rPr>
                        <w:t xml:space="preserve">Principle 1.4.2 of the </w:t>
                      </w:r>
                      <w:r w:rsidRPr="00E07157">
                        <w:rPr>
                          <w:rFonts w:ascii="Arial" w:hAnsi="Arial" w:cs="Arial"/>
                          <w:bCs/>
                          <w:sz w:val="24"/>
                          <w:szCs w:val="24"/>
                        </w:rPr>
                        <w:t xml:space="preserve">IMF’s </w:t>
                      </w:r>
                      <w:hyperlink r:id="rId467" w:history="1">
                        <w:r w:rsidRPr="00E07157">
                          <w:rPr>
                            <w:rFonts w:ascii="Arial" w:hAnsi="Arial" w:cs="Arial"/>
                            <w:bCs/>
                            <w:color w:val="0563C1" w:themeColor="hyperlink"/>
                            <w:sz w:val="24"/>
                            <w:szCs w:val="24"/>
                            <w:u w:val="single"/>
                          </w:rPr>
                          <w:t>Fiscal Transparency Code</w:t>
                        </w:r>
                      </w:hyperlink>
                      <w:r w:rsidRPr="00E07157">
                        <w:rPr>
                          <w:rFonts w:ascii="Arial" w:hAnsi="Arial" w:cs="Arial"/>
                          <w:bCs/>
                          <w:sz w:val="24"/>
                          <w:szCs w:val="24"/>
                        </w:rPr>
                        <w:t xml:space="preserve"> (2019) reaffirms that the executive’s annual</w:t>
                      </w:r>
                      <w:r w:rsidRPr="00E07157">
                        <w:rPr>
                          <w:rFonts w:ascii="Arial" w:hAnsi="Arial" w:cs="Arial"/>
                          <w:bCs/>
                          <w:sz w:val="24"/>
                          <w:szCs w:val="24"/>
                          <w:lang w:val="en-ZA"/>
                        </w:rPr>
                        <w:t xml:space="preserve"> financial statements should be subject to a published audit by an independent supreme audit institution which validates their reliability.</w:t>
                      </w:r>
                    </w:p>
                    <w:p w14:paraId="076578BE" w14:textId="77777777" w:rsidR="00D15FD8" w:rsidRDefault="00D15FD8" w:rsidP="00E07157"/>
                  </w:txbxContent>
                </v:textbox>
                <w10:wrap anchorx="margin"/>
              </v:shape>
            </w:pict>
          </mc:Fallback>
        </mc:AlternateContent>
      </w:r>
    </w:p>
    <w:p w14:paraId="4EF0F0DB" w14:textId="48EF2185" w:rsidR="00E07157" w:rsidRPr="00E07157" w:rsidRDefault="00E07157" w:rsidP="00E07157">
      <w:pPr>
        <w:spacing w:line="276" w:lineRule="auto"/>
        <w:ind w:left="720"/>
        <w:jc w:val="both"/>
        <w:rPr>
          <w:rFonts w:ascii="Arial" w:hAnsi="Arial" w:cs="Arial"/>
          <w:bCs/>
          <w:sz w:val="24"/>
          <w:szCs w:val="24"/>
        </w:rPr>
      </w:pPr>
    </w:p>
    <w:p w14:paraId="3214FFD3" w14:textId="2AB253A7" w:rsidR="00E07157" w:rsidRDefault="00E07157" w:rsidP="00E07157">
      <w:pPr>
        <w:spacing w:line="276" w:lineRule="auto"/>
        <w:ind w:left="720"/>
        <w:jc w:val="both"/>
        <w:rPr>
          <w:rFonts w:ascii="Arial" w:hAnsi="Arial" w:cs="Arial"/>
          <w:bCs/>
          <w:sz w:val="24"/>
          <w:szCs w:val="24"/>
        </w:rPr>
      </w:pPr>
    </w:p>
    <w:p w14:paraId="09D0B3E6" w14:textId="0D1FBE4B" w:rsidR="00E07157" w:rsidRDefault="00E07157" w:rsidP="00E07157">
      <w:pPr>
        <w:spacing w:line="276" w:lineRule="auto"/>
        <w:ind w:left="720"/>
        <w:jc w:val="both"/>
        <w:rPr>
          <w:rFonts w:ascii="Arial" w:hAnsi="Arial" w:cs="Arial"/>
          <w:bCs/>
          <w:sz w:val="24"/>
          <w:szCs w:val="24"/>
        </w:rPr>
      </w:pPr>
    </w:p>
    <w:p w14:paraId="526DC4E1" w14:textId="7D7DA301" w:rsidR="00E07157" w:rsidRDefault="00E07157" w:rsidP="00E07157">
      <w:pPr>
        <w:spacing w:line="276" w:lineRule="auto"/>
        <w:ind w:left="720"/>
        <w:jc w:val="both"/>
        <w:rPr>
          <w:rFonts w:ascii="Arial" w:hAnsi="Arial" w:cs="Arial"/>
          <w:bCs/>
          <w:sz w:val="24"/>
          <w:szCs w:val="24"/>
        </w:rPr>
      </w:pPr>
    </w:p>
    <w:p w14:paraId="6211F4F6" w14:textId="25E84083" w:rsidR="00E07157" w:rsidRDefault="00E07157" w:rsidP="00E07157">
      <w:pPr>
        <w:spacing w:line="276" w:lineRule="auto"/>
        <w:ind w:left="720"/>
        <w:jc w:val="both"/>
        <w:rPr>
          <w:rFonts w:ascii="Arial" w:hAnsi="Arial" w:cs="Arial"/>
          <w:bCs/>
          <w:sz w:val="24"/>
          <w:szCs w:val="24"/>
        </w:rPr>
      </w:pPr>
    </w:p>
    <w:p w14:paraId="158E0928" w14:textId="77777777" w:rsidR="00641F5B" w:rsidRDefault="00641F5B" w:rsidP="00E07157">
      <w:pPr>
        <w:spacing w:line="276" w:lineRule="auto"/>
        <w:ind w:left="720"/>
        <w:jc w:val="both"/>
        <w:rPr>
          <w:rFonts w:ascii="Arial" w:hAnsi="Arial" w:cs="Arial"/>
          <w:bCs/>
          <w:sz w:val="24"/>
          <w:szCs w:val="24"/>
        </w:rPr>
      </w:pPr>
    </w:p>
    <w:p w14:paraId="7AF4273A" w14:textId="77777777" w:rsidR="00641F5B" w:rsidRDefault="00641F5B" w:rsidP="00E07157">
      <w:pPr>
        <w:spacing w:line="276" w:lineRule="auto"/>
        <w:ind w:left="720"/>
        <w:jc w:val="both"/>
        <w:rPr>
          <w:rFonts w:ascii="Arial" w:hAnsi="Arial" w:cs="Arial"/>
          <w:bCs/>
          <w:sz w:val="24"/>
          <w:szCs w:val="24"/>
        </w:rPr>
      </w:pPr>
    </w:p>
    <w:p w14:paraId="0E7CD297" w14:textId="77777777" w:rsidR="00641F5B" w:rsidRDefault="00641F5B" w:rsidP="00E07157">
      <w:pPr>
        <w:spacing w:line="276" w:lineRule="auto"/>
        <w:ind w:left="720"/>
        <w:jc w:val="both"/>
        <w:rPr>
          <w:rFonts w:ascii="Arial" w:hAnsi="Arial" w:cs="Arial"/>
          <w:bCs/>
          <w:sz w:val="24"/>
          <w:szCs w:val="24"/>
        </w:rPr>
      </w:pPr>
    </w:p>
    <w:p w14:paraId="2ED7C065" w14:textId="72AE9D99" w:rsidR="00E07157" w:rsidRDefault="00641F5B" w:rsidP="00E07157">
      <w:pPr>
        <w:spacing w:line="276" w:lineRule="auto"/>
        <w:ind w:left="720"/>
        <w:jc w:val="both"/>
        <w:rPr>
          <w:rFonts w:ascii="Arial" w:hAnsi="Arial" w:cs="Arial"/>
          <w:bCs/>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2347390" behindDoc="0" locked="0" layoutInCell="1" allowOverlap="1" wp14:anchorId="48CA8FFE" wp14:editId="6B7518DC">
                <wp:simplePos x="0" y="0"/>
                <wp:positionH relativeFrom="margin">
                  <wp:posOffset>-42718</wp:posOffset>
                </wp:positionH>
                <wp:positionV relativeFrom="paragraph">
                  <wp:posOffset>118745</wp:posOffset>
                </wp:positionV>
                <wp:extent cx="6721200" cy="1331191"/>
                <wp:effectExtent l="12700" t="12700" r="10160" b="15240"/>
                <wp:wrapNone/>
                <wp:docPr id="423" name="Rounded Rectangle 423"/>
                <wp:cNvGraphicFramePr/>
                <a:graphic xmlns:a="http://schemas.openxmlformats.org/drawingml/2006/main">
                  <a:graphicData uri="http://schemas.microsoft.com/office/word/2010/wordprocessingShape">
                    <wps:wsp>
                      <wps:cNvSpPr/>
                      <wps:spPr>
                        <a:xfrm>
                          <a:off x="0" y="0"/>
                          <a:ext cx="6721200" cy="1331191"/>
                        </a:xfrm>
                        <a:prstGeom prst="roundRect">
                          <a:avLst>
                            <a:gd name="adj" fmla="val 4174"/>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6BDAC3A" id="Rounded Rectangle 423" o:spid="_x0000_s1026" style="position:absolute;margin-left:-3.35pt;margin-top:9.35pt;width:529.25pt;height:104.8pt;z-index:2523473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" filled="f" strokecolor="#69557f" strokeweight="2.25pt">
                <v:stroke joinstyle="miter"/>
                <w10:wrap anchorx="margin"/>
              </v:roundrect>
            </w:pict>
          </mc:Fallback>
        </mc:AlternateContent>
      </w:r>
    </w:p>
    <w:p w14:paraId="6AF6694B" w14:textId="2FE0F6C9" w:rsidR="00E07157" w:rsidRDefault="00641F5B" w:rsidP="00E07157">
      <w:pPr>
        <w:spacing w:line="276" w:lineRule="auto"/>
        <w:ind w:left="720"/>
        <w:jc w:val="both"/>
        <w:rPr>
          <w:rFonts w:ascii="Arial" w:hAnsi="Arial" w:cs="Arial"/>
          <w:bCs/>
          <w:sz w:val="24"/>
          <w:szCs w:val="24"/>
        </w:rPr>
      </w:pPr>
      <w:r>
        <w:rPr>
          <w:rFonts w:ascii="Arial" w:hAnsi="Arial" w:cs="Arial"/>
          <w:noProof/>
          <w:sz w:val="24"/>
          <w:szCs w:val="24"/>
          <w:lang w:val="en-US"/>
        </w:rPr>
        <mc:AlternateContent>
          <mc:Choice Requires="wps">
            <w:drawing>
              <wp:anchor distT="0" distB="0" distL="114300" distR="114300" simplePos="0" relativeHeight="252348414" behindDoc="0" locked="0" layoutInCell="1" allowOverlap="1" wp14:anchorId="6F2E701A" wp14:editId="347CF5D4">
                <wp:simplePos x="0" y="0"/>
                <wp:positionH relativeFrom="margin">
                  <wp:posOffset>78105</wp:posOffset>
                </wp:positionH>
                <wp:positionV relativeFrom="paragraph">
                  <wp:posOffset>24880</wp:posOffset>
                </wp:positionV>
                <wp:extent cx="6490335" cy="1136015"/>
                <wp:effectExtent l="0" t="0" r="0" b="0"/>
                <wp:wrapNone/>
                <wp:docPr id="424" name="Text Box 424"/>
                <wp:cNvGraphicFramePr/>
                <a:graphic xmlns:a="http://schemas.openxmlformats.org/drawingml/2006/main">
                  <a:graphicData uri="http://schemas.microsoft.com/office/word/2010/wordprocessingShape">
                    <wps:wsp>
                      <wps:cNvSpPr txBox="1"/>
                      <wps:spPr>
                        <a:xfrm>
                          <a:off x="0" y="0"/>
                          <a:ext cx="6490335" cy="1136015"/>
                        </a:xfrm>
                        <a:prstGeom prst="rect">
                          <a:avLst/>
                        </a:prstGeom>
                        <a:solidFill>
                          <a:schemeClr val="lt1"/>
                        </a:solidFill>
                        <a:ln w="6350">
                          <a:noFill/>
                        </a:ln>
                      </wps:spPr>
                      <wps:txbx>
                        <w:txbxContent>
                          <w:p w14:paraId="791783D0" w14:textId="77777777" w:rsidR="00D15FD8" w:rsidRPr="00E07157" w:rsidRDefault="00D15FD8" w:rsidP="007D4B3B">
                            <w:pPr>
                              <w:spacing w:line="276" w:lineRule="auto"/>
                              <w:jc w:val="both"/>
                              <w:rPr>
                                <w:rFonts w:ascii="Arial" w:hAnsi="Arial" w:cs="Arial"/>
                                <w:sz w:val="24"/>
                                <w:szCs w:val="24"/>
                              </w:rPr>
                            </w:pPr>
                            <w:r w:rsidRPr="00E07157">
                              <w:rPr>
                                <w:rFonts w:ascii="Arial" w:hAnsi="Arial" w:cs="Arial"/>
                                <w:sz w:val="24"/>
                                <w:szCs w:val="24"/>
                              </w:rPr>
                              <w:t xml:space="preserve">Flowing from the Lima Declaration, the </w:t>
                            </w:r>
                            <w:hyperlink r:id="rId468" w:history="1">
                              <w:r w:rsidRPr="00E07157">
                                <w:rPr>
                                  <w:rFonts w:ascii="Arial" w:hAnsi="Arial" w:cs="Arial"/>
                                  <w:color w:val="0563C1" w:themeColor="hyperlink"/>
                                  <w:sz w:val="24"/>
                                  <w:szCs w:val="24"/>
                                  <w:u w:val="single"/>
                                </w:rPr>
                                <w:t>Mexico Declaration (2007)</w:t>
                              </w:r>
                            </w:hyperlink>
                            <w:r w:rsidRPr="00E07157">
                              <w:rPr>
                                <w:rFonts w:ascii="Arial" w:hAnsi="Arial" w:cs="Arial"/>
                                <w:sz w:val="24"/>
                                <w:szCs w:val="24"/>
                              </w:rPr>
                              <w:t xml:space="preserve"> (reinforced by the South Africa Declaration, 2010), set up 8 core principles for supreme audit institution independence including that the supreme audit institution should have unrestricted access to information; that it has an obligation to report on its work and that it should have financial and managerial/administrative autonomy. </w:t>
                            </w:r>
                          </w:p>
                          <w:p w14:paraId="65423EAE" w14:textId="77777777" w:rsidR="00D15FD8" w:rsidRDefault="00D15FD8" w:rsidP="007D4B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E701A" id="Text Box 424" o:spid="_x0000_s1276" type="#_x0000_t202" style="position:absolute;left:0;text-align:left;margin-left:6.15pt;margin-top:1.95pt;width:511.05pt;height:89.45pt;z-index:2523484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" fillcolor="white [3201]" stroked="f" strokeweight=".5pt">
                <v:textbox>
                  <w:txbxContent>
                    <w:p w14:paraId="791783D0" w14:textId="77777777" w:rsidR="00D15FD8" w:rsidRPr="00E07157" w:rsidRDefault="00D15FD8" w:rsidP="007D4B3B">
                      <w:pPr>
                        <w:spacing w:line="276" w:lineRule="auto"/>
                        <w:jc w:val="both"/>
                        <w:rPr>
                          <w:rFonts w:ascii="Arial" w:hAnsi="Arial" w:cs="Arial"/>
                          <w:sz w:val="24"/>
                          <w:szCs w:val="24"/>
                        </w:rPr>
                      </w:pPr>
                      <w:r w:rsidRPr="00E07157">
                        <w:rPr>
                          <w:rFonts w:ascii="Arial" w:hAnsi="Arial" w:cs="Arial"/>
                          <w:sz w:val="24"/>
                          <w:szCs w:val="24"/>
                        </w:rPr>
                        <w:t xml:space="preserve">Flowing from the Lima Declaration, the </w:t>
                      </w:r>
                      <w:hyperlink r:id="rId469" w:history="1">
                        <w:r w:rsidRPr="00E07157">
                          <w:rPr>
                            <w:rFonts w:ascii="Arial" w:hAnsi="Arial" w:cs="Arial"/>
                            <w:color w:val="0563C1" w:themeColor="hyperlink"/>
                            <w:sz w:val="24"/>
                            <w:szCs w:val="24"/>
                            <w:u w:val="single"/>
                          </w:rPr>
                          <w:t>Mexico Declaration (2007)</w:t>
                        </w:r>
                      </w:hyperlink>
                      <w:r w:rsidRPr="00E07157">
                        <w:rPr>
                          <w:rFonts w:ascii="Arial" w:hAnsi="Arial" w:cs="Arial"/>
                          <w:sz w:val="24"/>
                          <w:szCs w:val="24"/>
                        </w:rPr>
                        <w:t xml:space="preserve"> (reinforced by the South Africa Declaration, 2010), set up 8 core principles for supreme audit institution independence including that the supreme audit institution should have unrestricted access to information; that it has an obligation to report on its work and that it should have financial and managerial/administrative autonomy. </w:t>
                      </w:r>
                    </w:p>
                    <w:p w14:paraId="65423EAE" w14:textId="77777777" w:rsidR="00D15FD8" w:rsidRDefault="00D15FD8" w:rsidP="007D4B3B"/>
                  </w:txbxContent>
                </v:textbox>
                <w10:wrap anchorx="margin"/>
              </v:shape>
            </w:pict>
          </mc:Fallback>
        </mc:AlternateContent>
      </w:r>
    </w:p>
    <w:p w14:paraId="46F26A63" w14:textId="2DCCA341" w:rsidR="00E07157" w:rsidRDefault="007D4B3B" w:rsidP="007D4B3B">
      <w:pPr>
        <w:spacing w:line="276" w:lineRule="auto"/>
        <w:jc w:val="both"/>
        <w:rPr>
          <w:rFonts w:ascii="Arial" w:hAnsi="Arial" w:cs="Arial"/>
          <w:bCs/>
          <w:sz w:val="24"/>
          <w:szCs w:val="24"/>
        </w:rPr>
      </w:pPr>
      <w:r>
        <w:fldChar w:fldCharType="begin"/>
      </w:r>
      <w:r>
        <w:instrText xml:space="preserve"> INCLUDEPICTURE "https://cdn.britannica.com/73/2573-004-29818847/Flag-Mexico.jpg" \* MERGEFORMATINET </w:instrText>
      </w:r>
      <w:r>
        <w:fldChar w:fldCharType="end"/>
      </w:r>
    </w:p>
    <w:p w14:paraId="54388D15" w14:textId="24CDC5F1" w:rsidR="00E07157" w:rsidRDefault="00E07157" w:rsidP="00E07157">
      <w:pPr>
        <w:spacing w:line="276" w:lineRule="auto"/>
        <w:ind w:left="720"/>
        <w:jc w:val="both"/>
        <w:rPr>
          <w:rFonts w:ascii="Arial" w:hAnsi="Arial" w:cs="Arial"/>
          <w:bCs/>
          <w:sz w:val="24"/>
          <w:szCs w:val="24"/>
        </w:rPr>
      </w:pPr>
    </w:p>
    <w:p w14:paraId="6544EE5F" w14:textId="3F695F64" w:rsidR="00E07157" w:rsidRDefault="00E07157" w:rsidP="00E07157">
      <w:pPr>
        <w:spacing w:line="276" w:lineRule="auto"/>
        <w:ind w:left="720"/>
        <w:jc w:val="both"/>
        <w:rPr>
          <w:rFonts w:ascii="Arial" w:hAnsi="Arial" w:cs="Arial"/>
          <w:bCs/>
          <w:sz w:val="24"/>
          <w:szCs w:val="24"/>
        </w:rPr>
      </w:pPr>
    </w:p>
    <w:p w14:paraId="77A489D5" w14:textId="519ECB79" w:rsidR="00E07157" w:rsidRDefault="00E07157" w:rsidP="00E07157">
      <w:pPr>
        <w:spacing w:line="276" w:lineRule="auto"/>
        <w:ind w:left="720"/>
        <w:jc w:val="both"/>
        <w:rPr>
          <w:rFonts w:ascii="Arial" w:hAnsi="Arial" w:cs="Arial"/>
          <w:bCs/>
          <w:sz w:val="24"/>
          <w:szCs w:val="24"/>
        </w:rPr>
      </w:pPr>
    </w:p>
    <w:p w14:paraId="42219E8A" w14:textId="4254D501" w:rsidR="00E07157" w:rsidRDefault="00E07157" w:rsidP="00E07157">
      <w:pPr>
        <w:spacing w:line="276" w:lineRule="auto"/>
        <w:ind w:left="720"/>
        <w:jc w:val="both"/>
        <w:rPr>
          <w:rFonts w:ascii="Arial" w:hAnsi="Arial" w:cs="Arial"/>
          <w:bCs/>
          <w:sz w:val="24"/>
          <w:szCs w:val="24"/>
        </w:rPr>
      </w:pPr>
    </w:p>
    <w:p w14:paraId="0F784683" w14:textId="03E18072" w:rsidR="00E07157" w:rsidRDefault="00E07157" w:rsidP="00E07157">
      <w:pPr>
        <w:spacing w:line="276" w:lineRule="auto"/>
        <w:ind w:left="720"/>
        <w:jc w:val="both"/>
        <w:rPr>
          <w:rFonts w:ascii="Arial" w:hAnsi="Arial" w:cs="Arial"/>
          <w:bCs/>
          <w:sz w:val="24"/>
          <w:szCs w:val="24"/>
        </w:rPr>
      </w:pPr>
    </w:p>
    <w:p w14:paraId="7012D79E" w14:textId="26FBD11C" w:rsidR="00E07157" w:rsidRDefault="00641F5B" w:rsidP="00E07157">
      <w:pPr>
        <w:spacing w:line="276" w:lineRule="auto"/>
        <w:ind w:left="720"/>
        <w:jc w:val="both"/>
        <w:rPr>
          <w:rFonts w:ascii="Arial" w:hAnsi="Arial" w:cs="Arial"/>
          <w:bCs/>
          <w:sz w:val="24"/>
          <w:szCs w:val="24"/>
        </w:rPr>
      </w:pPr>
      <w:r>
        <w:rPr>
          <w:rFonts w:ascii="Arial" w:hAnsi="Arial" w:cs="Arial"/>
          <w:noProof/>
          <w:sz w:val="24"/>
          <w:szCs w:val="24"/>
          <w:lang w:val="en-US"/>
        </w:rPr>
        <mc:AlternateContent>
          <mc:Choice Requires="wps">
            <w:drawing>
              <wp:anchor distT="0" distB="0" distL="114300" distR="114300" simplePos="0" relativeHeight="252353534" behindDoc="0" locked="0" layoutInCell="1" allowOverlap="1" wp14:anchorId="35970E82" wp14:editId="3A711437">
                <wp:simplePos x="0" y="0"/>
                <wp:positionH relativeFrom="margin">
                  <wp:align>center</wp:align>
                </wp:positionH>
                <wp:positionV relativeFrom="paragraph">
                  <wp:posOffset>197485</wp:posOffset>
                </wp:positionV>
                <wp:extent cx="6490335" cy="761365"/>
                <wp:effectExtent l="0" t="0" r="0" b="635"/>
                <wp:wrapNone/>
                <wp:docPr id="431" name="Text Box 431"/>
                <wp:cNvGraphicFramePr/>
                <a:graphic xmlns:a="http://schemas.openxmlformats.org/drawingml/2006/main">
                  <a:graphicData uri="http://schemas.microsoft.com/office/word/2010/wordprocessingShape">
                    <wps:wsp>
                      <wps:cNvSpPr txBox="1"/>
                      <wps:spPr>
                        <a:xfrm>
                          <a:off x="0" y="0"/>
                          <a:ext cx="6490335" cy="761365"/>
                        </a:xfrm>
                        <a:prstGeom prst="rect">
                          <a:avLst/>
                        </a:prstGeom>
                        <a:solidFill>
                          <a:schemeClr val="lt1"/>
                        </a:solidFill>
                        <a:ln w="6350">
                          <a:noFill/>
                        </a:ln>
                      </wps:spPr>
                      <wps:txbx>
                        <w:txbxContent>
                          <w:p w14:paraId="70508886" w14:textId="77777777" w:rsidR="00D15FD8" w:rsidRPr="00E07157" w:rsidRDefault="00D15FD8" w:rsidP="007D4B3B">
                            <w:pPr>
                              <w:spacing w:line="276" w:lineRule="auto"/>
                              <w:jc w:val="both"/>
                              <w:rPr>
                                <w:rFonts w:ascii="Arial" w:hAnsi="Arial" w:cs="Arial"/>
                                <w:sz w:val="24"/>
                                <w:szCs w:val="24"/>
                              </w:rPr>
                            </w:pPr>
                            <w:r w:rsidRPr="00E07157">
                              <w:rPr>
                                <w:rFonts w:ascii="Arial" w:hAnsi="Arial" w:cs="Arial"/>
                                <w:sz w:val="24"/>
                                <w:szCs w:val="24"/>
                              </w:rPr>
                              <w:t>S</w:t>
                            </w:r>
                            <w:r w:rsidRPr="00E07157">
                              <w:rPr>
                                <w:rFonts w:ascii="Arial" w:hAnsi="Arial" w:cs="Arial"/>
                                <w:bCs/>
                                <w:iCs/>
                                <w:sz w:val="24"/>
                                <w:szCs w:val="24"/>
                              </w:rPr>
                              <w:t>ection F</w:t>
                            </w:r>
                            <w:r w:rsidRPr="00E07157">
                              <w:rPr>
                                <w:rFonts w:ascii="Arial" w:hAnsi="Arial" w:cs="Arial"/>
                                <w:sz w:val="24"/>
                                <w:szCs w:val="24"/>
                              </w:rPr>
                              <w:t xml:space="preserve"> of the OECD’s </w:t>
                            </w:r>
                            <w:hyperlink r:id="rId470" w:history="1">
                              <w:r w:rsidRPr="00E07157">
                                <w:rPr>
                                  <w:rFonts w:ascii="Arial" w:hAnsi="Arial" w:cs="Arial"/>
                                  <w:color w:val="0563C1" w:themeColor="hyperlink"/>
                                  <w:sz w:val="24"/>
                                  <w:szCs w:val="24"/>
                                  <w:u w:val="single"/>
                                </w:rPr>
                                <w:t>Budget Transparency Toolkit</w:t>
                              </w:r>
                            </w:hyperlink>
                            <w:r w:rsidRPr="00E07157">
                              <w:rPr>
                                <w:rFonts w:ascii="Arial" w:hAnsi="Arial" w:cs="Arial"/>
                                <w:sz w:val="24"/>
                                <w:szCs w:val="24"/>
                              </w:rPr>
                              <w:t xml:space="preserve"> (2017) on s</w:t>
                            </w:r>
                            <w:r w:rsidRPr="00E07157">
                              <w:rPr>
                                <w:rFonts w:ascii="Arial" w:hAnsi="Arial" w:cs="Arial"/>
                                <w:bCs/>
                                <w:iCs/>
                                <w:sz w:val="24"/>
                                <w:szCs w:val="24"/>
                              </w:rPr>
                              <w:t>upporting the role of the supreme audit institution, reiterates that they should be instituted in a way that allows them to undertake independent, regular and high-quality audits.</w:t>
                            </w:r>
                          </w:p>
                          <w:p w14:paraId="0BBD9459" w14:textId="77777777" w:rsidR="00D15FD8" w:rsidRDefault="00D15FD8" w:rsidP="007D4B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70E82" id="Text Box 431" o:spid="_x0000_s1277" type="#_x0000_t202" style="position:absolute;left:0;text-align:left;margin-left:0;margin-top:15.55pt;width:511.05pt;height:59.95pt;z-index:2523535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" fillcolor="white [3201]" stroked="f" strokeweight=".5pt">
                <v:textbox>
                  <w:txbxContent>
                    <w:p w14:paraId="70508886" w14:textId="77777777" w:rsidR="00D15FD8" w:rsidRPr="00E07157" w:rsidRDefault="00D15FD8" w:rsidP="007D4B3B">
                      <w:pPr>
                        <w:spacing w:line="276" w:lineRule="auto"/>
                        <w:jc w:val="both"/>
                        <w:rPr>
                          <w:rFonts w:ascii="Arial" w:hAnsi="Arial" w:cs="Arial"/>
                          <w:sz w:val="24"/>
                          <w:szCs w:val="24"/>
                        </w:rPr>
                      </w:pPr>
                      <w:r w:rsidRPr="00E07157">
                        <w:rPr>
                          <w:rFonts w:ascii="Arial" w:hAnsi="Arial" w:cs="Arial"/>
                          <w:sz w:val="24"/>
                          <w:szCs w:val="24"/>
                        </w:rPr>
                        <w:t>S</w:t>
                      </w:r>
                      <w:r w:rsidRPr="00E07157">
                        <w:rPr>
                          <w:rFonts w:ascii="Arial" w:hAnsi="Arial" w:cs="Arial"/>
                          <w:bCs/>
                          <w:iCs/>
                          <w:sz w:val="24"/>
                          <w:szCs w:val="24"/>
                        </w:rPr>
                        <w:t>ection F</w:t>
                      </w:r>
                      <w:r w:rsidRPr="00E07157">
                        <w:rPr>
                          <w:rFonts w:ascii="Arial" w:hAnsi="Arial" w:cs="Arial"/>
                          <w:sz w:val="24"/>
                          <w:szCs w:val="24"/>
                        </w:rPr>
                        <w:t xml:space="preserve"> of the OECD’s </w:t>
                      </w:r>
                      <w:hyperlink r:id="rId471" w:history="1">
                        <w:r w:rsidRPr="00E07157">
                          <w:rPr>
                            <w:rFonts w:ascii="Arial" w:hAnsi="Arial" w:cs="Arial"/>
                            <w:color w:val="0563C1" w:themeColor="hyperlink"/>
                            <w:sz w:val="24"/>
                            <w:szCs w:val="24"/>
                            <w:u w:val="single"/>
                          </w:rPr>
                          <w:t>Budget Transparency Toolkit</w:t>
                        </w:r>
                      </w:hyperlink>
                      <w:r w:rsidRPr="00E07157">
                        <w:rPr>
                          <w:rFonts w:ascii="Arial" w:hAnsi="Arial" w:cs="Arial"/>
                          <w:sz w:val="24"/>
                          <w:szCs w:val="24"/>
                        </w:rPr>
                        <w:t xml:space="preserve"> (2017) on s</w:t>
                      </w:r>
                      <w:r w:rsidRPr="00E07157">
                        <w:rPr>
                          <w:rFonts w:ascii="Arial" w:hAnsi="Arial" w:cs="Arial"/>
                          <w:bCs/>
                          <w:iCs/>
                          <w:sz w:val="24"/>
                          <w:szCs w:val="24"/>
                        </w:rPr>
                        <w:t>upporting the role of the supreme audit institution, reiterates that they should be instituted in a way that allows them to undertake independent, regular and high-quality audits.</w:t>
                      </w:r>
                    </w:p>
                    <w:p w14:paraId="0BBD9459" w14:textId="77777777" w:rsidR="00D15FD8" w:rsidRDefault="00D15FD8" w:rsidP="007D4B3B"/>
                  </w:txbxContent>
                </v:textbox>
                <w10:wrap anchorx="margin"/>
              </v:shape>
            </w:pict>
          </mc:Fallback>
        </mc:AlternateContent>
      </w:r>
      <w:r>
        <w:rPr>
          <w:rFonts w:ascii="Arial" w:hAnsi="Arial" w:cs="Arial"/>
          <w:noProof/>
          <w:sz w:val="24"/>
          <w:szCs w:val="24"/>
          <w:lang w:val="en-US"/>
        </w:rPr>
        <mc:AlternateContent>
          <mc:Choice Requires="wps">
            <w:drawing>
              <wp:anchor distT="0" distB="0" distL="114300" distR="114300" simplePos="0" relativeHeight="252352510" behindDoc="0" locked="0" layoutInCell="1" allowOverlap="1" wp14:anchorId="2A64CD79" wp14:editId="585D2CC8">
                <wp:simplePos x="0" y="0"/>
                <wp:positionH relativeFrom="margin">
                  <wp:posOffset>-42718</wp:posOffset>
                </wp:positionH>
                <wp:positionV relativeFrom="paragraph">
                  <wp:posOffset>127462</wp:posOffset>
                </wp:positionV>
                <wp:extent cx="6721200" cy="860021"/>
                <wp:effectExtent l="12700" t="12700" r="10160" b="16510"/>
                <wp:wrapNone/>
                <wp:docPr id="427" name="Rounded Rectangle 427"/>
                <wp:cNvGraphicFramePr/>
                <a:graphic xmlns:a="http://schemas.openxmlformats.org/drawingml/2006/main">
                  <a:graphicData uri="http://schemas.microsoft.com/office/word/2010/wordprocessingShape">
                    <wps:wsp>
                      <wps:cNvSpPr/>
                      <wps:spPr>
                        <a:xfrm>
                          <a:off x="0" y="0"/>
                          <a:ext cx="6721200" cy="860021"/>
                        </a:xfrm>
                        <a:prstGeom prst="roundRect">
                          <a:avLst>
                            <a:gd name="adj" fmla="val 4174"/>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FA46851" id="Rounded Rectangle 427" o:spid="_x0000_s1026" style="position:absolute;margin-left:-3.35pt;margin-top:10.05pt;width:529.25pt;height:67.7pt;z-index:2523525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" filled="f" strokecolor="#69557f" strokeweight="2.25pt">
                <v:stroke joinstyle="miter"/>
                <w10:wrap anchorx="margin"/>
              </v:roundrect>
            </w:pict>
          </mc:Fallback>
        </mc:AlternateContent>
      </w:r>
    </w:p>
    <w:p w14:paraId="7F8C6613" w14:textId="521FBF54" w:rsidR="007D4B3B" w:rsidRDefault="007D4B3B" w:rsidP="007D4B3B">
      <w:pPr>
        <w:spacing w:line="276" w:lineRule="auto"/>
        <w:jc w:val="both"/>
        <w:rPr>
          <w:rFonts w:ascii="Arial" w:hAnsi="Arial" w:cs="Arial"/>
          <w:bCs/>
          <w:sz w:val="24"/>
          <w:szCs w:val="24"/>
        </w:rPr>
      </w:pPr>
    </w:p>
    <w:p w14:paraId="2FF1CFCD" w14:textId="6ABDA610" w:rsidR="007D4B3B" w:rsidRDefault="007D4B3B" w:rsidP="00E07157">
      <w:pPr>
        <w:spacing w:line="276" w:lineRule="auto"/>
        <w:ind w:left="720"/>
        <w:jc w:val="both"/>
        <w:rPr>
          <w:rFonts w:ascii="Arial" w:hAnsi="Arial" w:cs="Arial"/>
          <w:bCs/>
          <w:sz w:val="24"/>
          <w:szCs w:val="24"/>
        </w:rPr>
      </w:pPr>
    </w:p>
    <w:p w14:paraId="0898B5AB" w14:textId="77777777" w:rsidR="007D4B3B" w:rsidRDefault="007D4B3B" w:rsidP="00E07157">
      <w:pPr>
        <w:spacing w:line="276" w:lineRule="auto"/>
        <w:ind w:left="720"/>
        <w:jc w:val="both"/>
        <w:rPr>
          <w:rFonts w:ascii="Arial" w:hAnsi="Arial" w:cs="Arial"/>
          <w:bCs/>
          <w:sz w:val="24"/>
          <w:szCs w:val="24"/>
        </w:rPr>
      </w:pPr>
    </w:p>
    <w:p w14:paraId="380120D5" w14:textId="77777777" w:rsidR="00E07157" w:rsidRPr="00E07157" w:rsidRDefault="00E07157" w:rsidP="00E07157">
      <w:pPr>
        <w:spacing w:line="276" w:lineRule="auto"/>
        <w:ind w:left="720"/>
        <w:jc w:val="both"/>
        <w:rPr>
          <w:rFonts w:ascii="Arial" w:hAnsi="Arial" w:cs="Arial"/>
          <w:bCs/>
          <w:sz w:val="24"/>
          <w:szCs w:val="24"/>
        </w:rPr>
      </w:pPr>
    </w:p>
    <w:p w14:paraId="375D886D" w14:textId="77777777" w:rsidR="00E07157" w:rsidRPr="00E07157" w:rsidRDefault="00E07157" w:rsidP="00E07157">
      <w:pPr>
        <w:spacing w:line="276" w:lineRule="auto"/>
        <w:rPr>
          <w:rFonts w:ascii="Arial" w:hAnsi="Arial" w:cs="Arial"/>
          <w:bCs/>
          <w:sz w:val="24"/>
          <w:szCs w:val="24"/>
        </w:rPr>
      </w:pPr>
    </w:p>
    <w:p w14:paraId="1A4793C5" w14:textId="77777777" w:rsidR="00E07157" w:rsidRPr="00E07157" w:rsidRDefault="00E07157" w:rsidP="00E07157">
      <w:pPr>
        <w:spacing w:line="276" w:lineRule="auto"/>
        <w:jc w:val="both"/>
        <w:rPr>
          <w:rFonts w:ascii="Arial" w:hAnsi="Arial" w:cs="Arial"/>
          <w:bCs/>
          <w:iCs/>
          <w:sz w:val="24"/>
          <w:szCs w:val="24"/>
        </w:rPr>
      </w:pPr>
      <w:r w:rsidRPr="00E07157">
        <w:rPr>
          <w:rFonts w:ascii="Arial" w:hAnsi="Arial" w:cs="Arial"/>
          <w:bCs/>
          <w:sz w:val="24"/>
          <w:szCs w:val="24"/>
          <w:lang w:val="en-US"/>
        </w:rPr>
        <w:t>The independence of the supreme audit institution is thus expressed in a number of ways in norms and standards including in respect of how it should be provided for in legislation, how its head/s should be independently appointed; who the supreme audit institution should report to; how its financial and administrative resources are funded; and in terms of its access to information and duty to report on its work. Essentially, the supreme audit institution should be organizationally, administratively and financially independent of the executive branch of the government, having the necessary core of professionally trained staff that undertake their duties in an independent manner</w:t>
      </w:r>
      <w:r w:rsidRPr="00E07157">
        <w:rPr>
          <w:rFonts w:ascii="Arial" w:hAnsi="Arial" w:cs="Arial"/>
          <w:bCs/>
          <w:sz w:val="24"/>
          <w:szCs w:val="24"/>
        </w:rPr>
        <w:t xml:space="preserve">. </w:t>
      </w:r>
    </w:p>
    <w:p w14:paraId="119DE13A" w14:textId="77777777" w:rsidR="009E337A" w:rsidRDefault="009E337A" w:rsidP="009E337A">
      <w:pPr>
        <w:pStyle w:val="Heading2"/>
        <w:rPr>
          <w:rFonts w:ascii="Arial" w:hAnsi="Arial" w:cs="Arial"/>
          <w:b/>
          <w:bCs/>
          <w:color w:val="F26D24"/>
          <w:sz w:val="32"/>
          <w:szCs w:val="32"/>
        </w:rPr>
      </w:pPr>
    </w:p>
    <w:p w14:paraId="46FC9BB2" w14:textId="575EFFF5" w:rsidR="00E07157" w:rsidRPr="007E4585" w:rsidRDefault="00E07157" w:rsidP="007E4585">
      <w:pPr>
        <w:pStyle w:val="Heading3"/>
        <w:rPr>
          <w:rFonts w:ascii="Arial" w:hAnsi="Arial" w:cs="Arial"/>
          <w:b/>
          <w:bCs/>
          <w:color w:val="F26D24"/>
          <w:sz w:val="32"/>
          <w:szCs w:val="32"/>
        </w:rPr>
      </w:pPr>
      <w:bookmarkStart w:id="1000" w:name="_Toc119794463"/>
      <w:bookmarkStart w:id="1001" w:name="_Toc123204450"/>
      <w:bookmarkStart w:id="1002" w:name="_Toc123216541"/>
      <w:bookmarkStart w:id="1003" w:name="_Toc123217381"/>
      <w:bookmarkStart w:id="1004" w:name="_Toc123913350"/>
      <w:bookmarkStart w:id="1005" w:name="_Toc123914006"/>
      <w:bookmarkStart w:id="1006" w:name="_Toc125566625"/>
      <w:r w:rsidRPr="007E4585">
        <w:rPr>
          <w:rFonts w:ascii="Arial" w:hAnsi="Arial" w:cs="Arial"/>
          <w:b/>
          <w:bCs/>
          <w:color w:val="F26D24"/>
          <w:sz w:val="32"/>
          <w:szCs w:val="32"/>
        </w:rPr>
        <w:t xml:space="preserve">Fiscal </w:t>
      </w:r>
      <w:r w:rsidR="00877536">
        <w:rPr>
          <w:rFonts w:ascii="Arial" w:hAnsi="Arial" w:cs="Arial"/>
          <w:b/>
          <w:bCs/>
          <w:color w:val="F26D24"/>
          <w:sz w:val="32"/>
          <w:szCs w:val="32"/>
        </w:rPr>
        <w:t>t</w:t>
      </w:r>
      <w:r w:rsidRPr="007E4585">
        <w:rPr>
          <w:rFonts w:ascii="Arial" w:hAnsi="Arial" w:cs="Arial"/>
          <w:b/>
          <w:bCs/>
          <w:color w:val="F26D24"/>
          <w:sz w:val="32"/>
          <w:szCs w:val="32"/>
        </w:rPr>
        <w:t xml:space="preserve">ransparency, </w:t>
      </w:r>
      <w:r w:rsidR="00877536">
        <w:rPr>
          <w:rFonts w:ascii="Arial" w:hAnsi="Arial" w:cs="Arial"/>
          <w:b/>
          <w:bCs/>
          <w:color w:val="F26D24"/>
          <w:sz w:val="32"/>
          <w:szCs w:val="32"/>
        </w:rPr>
        <w:t>p</w:t>
      </w:r>
      <w:r w:rsidRPr="007E4585">
        <w:rPr>
          <w:rFonts w:ascii="Arial" w:hAnsi="Arial" w:cs="Arial"/>
          <w:b/>
          <w:bCs/>
          <w:color w:val="F26D24"/>
          <w:sz w:val="32"/>
          <w:szCs w:val="32"/>
        </w:rPr>
        <w:t xml:space="preserve">ublic participation and </w:t>
      </w:r>
      <w:r w:rsidR="00877536">
        <w:rPr>
          <w:rFonts w:ascii="Arial" w:hAnsi="Arial" w:cs="Arial"/>
          <w:b/>
          <w:bCs/>
          <w:color w:val="F26D24"/>
          <w:sz w:val="32"/>
          <w:szCs w:val="32"/>
        </w:rPr>
        <w:t>a</w:t>
      </w:r>
      <w:r w:rsidRPr="007E4585">
        <w:rPr>
          <w:rFonts w:ascii="Arial" w:hAnsi="Arial" w:cs="Arial"/>
          <w:b/>
          <w:bCs/>
          <w:color w:val="F26D24"/>
          <w:sz w:val="32"/>
          <w:szCs w:val="32"/>
        </w:rPr>
        <w:t>ccountability</w:t>
      </w:r>
      <w:bookmarkEnd w:id="1000"/>
      <w:bookmarkEnd w:id="1001"/>
      <w:bookmarkEnd w:id="1002"/>
      <w:bookmarkEnd w:id="1003"/>
      <w:bookmarkEnd w:id="1004"/>
      <w:bookmarkEnd w:id="1005"/>
      <w:bookmarkEnd w:id="1006"/>
    </w:p>
    <w:p w14:paraId="159466CF" w14:textId="77777777" w:rsidR="009E337A" w:rsidRDefault="009E337A" w:rsidP="00E07157">
      <w:pPr>
        <w:spacing w:line="276" w:lineRule="auto"/>
        <w:jc w:val="both"/>
        <w:rPr>
          <w:rFonts w:ascii="Arial" w:hAnsi="Arial" w:cs="Arial"/>
          <w:sz w:val="24"/>
          <w:szCs w:val="24"/>
        </w:rPr>
      </w:pPr>
    </w:p>
    <w:p w14:paraId="63EDDF2B" w14:textId="00569B67" w:rsidR="00E07157" w:rsidRPr="00E07157" w:rsidRDefault="00E07157" w:rsidP="00E07157">
      <w:pPr>
        <w:spacing w:line="276" w:lineRule="auto"/>
        <w:jc w:val="both"/>
        <w:rPr>
          <w:rFonts w:ascii="Arial" w:hAnsi="Arial" w:cs="Arial"/>
          <w:sz w:val="24"/>
          <w:szCs w:val="24"/>
          <w:lang w:val="en-US"/>
        </w:rPr>
      </w:pPr>
      <w:r w:rsidRPr="00E07157">
        <w:rPr>
          <w:rFonts w:ascii="Arial" w:hAnsi="Arial" w:cs="Arial"/>
          <w:sz w:val="24"/>
          <w:szCs w:val="24"/>
        </w:rPr>
        <w:t xml:space="preserve">The INTOSAI </w:t>
      </w:r>
      <w:hyperlink r:id="rId472" w:history="1">
        <w:r w:rsidRPr="00E07157">
          <w:rPr>
            <w:rFonts w:ascii="Arial" w:hAnsi="Arial" w:cs="Arial"/>
            <w:color w:val="0563C1" w:themeColor="hyperlink"/>
            <w:sz w:val="24"/>
            <w:szCs w:val="24"/>
            <w:u w:val="single"/>
          </w:rPr>
          <w:t>Framework</w:t>
        </w:r>
      </w:hyperlink>
      <w:r w:rsidRPr="00E07157">
        <w:rPr>
          <w:rFonts w:ascii="Arial" w:hAnsi="Arial" w:cs="Arial"/>
          <w:color w:val="0563C1" w:themeColor="hyperlink"/>
          <w:sz w:val="24"/>
          <w:szCs w:val="24"/>
          <w:u w:val="single"/>
        </w:rPr>
        <w:t xml:space="preserve"> of Professional Pronouncements</w:t>
      </w:r>
      <w:r w:rsidRPr="00E07157">
        <w:rPr>
          <w:rFonts w:ascii="Arial" w:hAnsi="Arial" w:cs="Arial"/>
          <w:sz w:val="24"/>
          <w:szCs w:val="24"/>
        </w:rPr>
        <w:t xml:space="preserve"> (IFPP) flowing from the Lima and subsequent declarations, further develops the principles of independence, auditing standards, access to information, and resourcing of supreme audit institutions. </w:t>
      </w:r>
      <w:r w:rsidRPr="00E07157">
        <w:rPr>
          <w:rFonts w:ascii="Arial" w:hAnsi="Arial" w:cs="Arial"/>
          <w:sz w:val="24"/>
          <w:szCs w:val="24"/>
          <w:lang w:val="en-US"/>
        </w:rPr>
        <w:t xml:space="preserve">The supreme audit institution functions in the fiscal ecosystem, needing to work with other actors as both a user and supplier of information. </w:t>
      </w:r>
    </w:p>
    <w:p w14:paraId="379756DA" w14:textId="77777777" w:rsidR="00E07157" w:rsidRPr="00E07157" w:rsidRDefault="00E07157" w:rsidP="00E07157">
      <w:pPr>
        <w:spacing w:line="276" w:lineRule="auto"/>
        <w:jc w:val="both"/>
        <w:rPr>
          <w:rFonts w:ascii="Arial" w:hAnsi="Arial" w:cs="Arial"/>
          <w:sz w:val="24"/>
          <w:szCs w:val="24"/>
          <w:lang w:val="en-US"/>
        </w:rPr>
      </w:pPr>
    </w:p>
    <w:p w14:paraId="6D424098" w14:textId="2BC300A3" w:rsidR="0038129F" w:rsidRDefault="00E07157" w:rsidP="00E07157">
      <w:pPr>
        <w:spacing w:line="276" w:lineRule="auto"/>
        <w:jc w:val="both"/>
        <w:rPr>
          <w:rFonts w:ascii="Arial" w:hAnsi="Arial" w:cs="Arial"/>
          <w:sz w:val="24"/>
          <w:szCs w:val="24"/>
          <w:lang w:val="en-US"/>
        </w:rPr>
      </w:pPr>
      <w:r w:rsidRPr="00E07157">
        <w:rPr>
          <w:rFonts w:ascii="Arial" w:hAnsi="Arial" w:cs="Arial"/>
          <w:sz w:val="24"/>
          <w:szCs w:val="24"/>
        </w:rPr>
        <w:t xml:space="preserve">As a user of information, </w:t>
      </w:r>
      <w:r w:rsidRPr="00E07157">
        <w:rPr>
          <w:rFonts w:ascii="Arial" w:hAnsi="Arial" w:cs="Arial"/>
          <w:sz w:val="24"/>
          <w:szCs w:val="24"/>
          <w:lang w:val="en-US"/>
        </w:rPr>
        <w:t>supreme audit institutions require, at a minimum, timely access to governmental accounts and systems in order to report on the executive’s annual accounts; and to review the quality of the executive’s fiscal reporting.</w:t>
      </w:r>
      <w:r w:rsidRPr="00E07157">
        <w:rPr>
          <w:rFonts w:ascii="Arial" w:hAnsi="Arial" w:cs="Arial"/>
          <w:bCs/>
          <w:iCs/>
          <w:sz w:val="24"/>
          <w:szCs w:val="24"/>
        </w:rPr>
        <w:t xml:space="preserve"> To be able to do this, they must be given access to all necessary records, documents, and personnel. Legislative requirements providing for this, assist in it obtaining the cooperation of audited agencies. </w:t>
      </w:r>
      <w:r w:rsidRPr="00E07157">
        <w:rPr>
          <w:rFonts w:ascii="Arial" w:hAnsi="Arial" w:cs="Arial"/>
          <w:sz w:val="24"/>
          <w:szCs w:val="24"/>
        </w:rPr>
        <w:t>INTOSAI’s core principle 50 provides guidance in this regard. It establishes 12 principles for a supreme audit institution to undertake jurisdictional activities</w:t>
      </w:r>
      <w:r w:rsidRPr="00E07157">
        <w:rPr>
          <w:rFonts w:ascii="Arial" w:eastAsiaTheme="minorEastAsia" w:hAnsi="Arial" w:cs="Arial"/>
          <w:sz w:val="24"/>
          <w:szCs w:val="24"/>
          <w:lang w:val="en-US" w:eastAsia="zh-CN"/>
        </w:rPr>
        <w:t xml:space="preserve"> </w:t>
      </w:r>
      <w:r w:rsidRPr="00E07157">
        <w:rPr>
          <w:rFonts w:ascii="Arial" w:hAnsi="Arial" w:cs="Arial"/>
          <w:sz w:val="24"/>
          <w:szCs w:val="24"/>
          <w:lang w:val="en-US"/>
        </w:rPr>
        <w:t>in a country.</w:t>
      </w:r>
      <w:r w:rsidR="00340FC4">
        <w:rPr>
          <w:rFonts w:ascii="Arial" w:hAnsi="Arial" w:cs="Arial"/>
          <w:sz w:val="24"/>
          <w:szCs w:val="24"/>
          <w:lang w:val="en-US"/>
        </w:rPr>
        <w:t xml:space="preserve"> </w:t>
      </w:r>
    </w:p>
    <w:p w14:paraId="354A15AE" w14:textId="14F6226C" w:rsidR="0038129F" w:rsidRDefault="003A0FC6" w:rsidP="00E07157">
      <w:pPr>
        <w:spacing w:line="276" w:lineRule="auto"/>
        <w:jc w:val="both"/>
        <w:rPr>
          <w:rFonts w:ascii="Arial" w:hAnsi="Arial" w:cs="Arial"/>
          <w:sz w:val="24"/>
          <w:szCs w:val="24"/>
          <w:lang w:val="en-US"/>
        </w:rPr>
      </w:pPr>
      <w:r>
        <w:rPr>
          <w:rFonts w:ascii="Arial" w:hAnsi="Arial" w:cs="Arial"/>
          <w:noProof/>
          <w:sz w:val="24"/>
          <w:szCs w:val="24"/>
          <w:lang w:val="en-US"/>
        </w:rPr>
        <w:lastRenderedPageBreak/>
        <w:drawing>
          <wp:anchor distT="0" distB="0" distL="114300" distR="114300" simplePos="0" relativeHeight="252356606" behindDoc="0" locked="0" layoutInCell="1" allowOverlap="1" wp14:anchorId="4E4AD943" wp14:editId="7C0CD9C7">
            <wp:simplePos x="0" y="0"/>
            <wp:positionH relativeFrom="column">
              <wp:posOffset>5715</wp:posOffset>
            </wp:positionH>
            <wp:positionV relativeFrom="paragraph">
              <wp:posOffset>134159</wp:posOffset>
            </wp:positionV>
            <wp:extent cx="1642110" cy="3194050"/>
            <wp:effectExtent l="0" t="0" r="0" b="0"/>
            <wp:wrapSquare wrapText="bothSides"/>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pic:cNvPicPr/>
                  </pic:nvPicPr>
                  <pic:blipFill rotWithShape="1">
                    <a:blip r:embed="rId473" cstate="email">
                      <a:extLst>
                        <a:ext uri="{28A0092B-C50C-407E-A947-70E740481C1C}">
                          <a14:useLocalDpi xmlns:a14="http://schemas.microsoft.com/office/drawing/2010/main"/>
                        </a:ext>
                      </a:extLst>
                    </a:blip>
                    <a:srcRect/>
                    <a:stretch/>
                  </pic:blipFill>
                  <pic:spPr bwMode="auto">
                    <a:xfrm>
                      <a:off x="0" y="0"/>
                      <a:ext cx="1642110" cy="319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621F9F" w14:textId="1659FAC5" w:rsidR="00421E18" w:rsidRDefault="00E07157" w:rsidP="003A0FC6">
      <w:pPr>
        <w:spacing w:line="276" w:lineRule="auto"/>
        <w:jc w:val="both"/>
        <w:rPr>
          <w:rFonts w:ascii="Arial" w:hAnsi="Arial" w:cs="Arial"/>
          <w:sz w:val="24"/>
          <w:szCs w:val="24"/>
          <w:lang w:val="en-US"/>
        </w:rPr>
      </w:pPr>
      <w:r w:rsidRPr="00E07157">
        <w:rPr>
          <w:rFonts w:ascii="Arial" w:hAnsi="Arial" w:cs="Arial"/>
          <w:sz w:val="24"/>
          <w:szCs w:val="24"/>
          <w:lang w:val="en-US"/>
        </w:rPr>
        <w:t xml:space="preserve">For example, </w:t>
      </w:r>
      <w:r w:rsidRPr="00E07157">
        <w:rPr>
          <w:rFonts w:ascii="Arial" w:hAnsi="Arial" w:cs="Arial"/>
          <w:sz w:val="24"/>
          <w:szCs w:val="24"/>
        </w:rPr>
        <w:t>Principle 3 states that the audit institution should have legal powers or rights guaranteeing it access to information.</w:t>
      </w:r>
      <w:r w:rsidRPr="00E07157">
        <w:rPr>
          <w:rFonts w:ascii="Arial" w:eastAsiaTheme="minorEastAsia" w:hAnsi="Arial" w:cs="Arial"/>
          <w:sz w:val="24"/>
          <w:szCs w:val="24"/>
          <w:lang w:val="en-US" w:eastAsia="zh-CN"/>
        </w:rPr>
        <w:t xml:space="preserve"> </w:t>
      </w:r>
      <w:r w:rsidRPr="00E07157">
        <w:rPr>
          <w:rFonts w:ascii="Arial" w:hAnsi="Arial" w:cs="Arial"/>
          <w:sz w:val="24"/>
          <w:szCs w:val="24"/>
          <w:lang w:val="en-US"/>
        </w:rPr>
        <w:t>INTOSAI’s International Standards of Supreme Audit Institutions (ISSAI) then set out fundamental principles that can be used by all supreme audit institutions, including that the scope of auditing should incorporate the fiscal activities of the public sector, including social security funds and other extra-budgetary funds, as well as public funds paid to non-government entities. </w:t>
      </w:r>
    </w:p>
    <w:p w14:paraId="7907B342" w14:textId="1A88C80D" w:rsidR="003A0FC6" w:rsidRPr="003A0FC6" w:rsidRDefault="003A0FC6" w:rsidP="003A0FC6">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2357630" behindDoc="0" locked="0" layoutInCell="1" allowOverlap="1" wp14:anchorId="17EBE7A3" wp14:editId="25DE6B1D">
            <wp:simplePos x="0" y="0"/>
            <wp:positionH relativeFrom="column">
              <wp:posOffset>1969770</wp:posOffset>
            </wp:positionH>
            <wp:positionV relativeFrom="paragraph">
              <wp:posOffset>63039</wp:posOffset>
            </wp:positionV>
            <wp:extent cx="4308431" cy="1640910"/>
            <wp:effectExtent l="0" t="0" r="0" b="0"/>
            <wp:wrapSquare wrapText="bothSides"/>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rotWithShape="1">
                    <a:blip r:embed="rId474" cstate="email">
                      <a:extLst>
                        <a:ext uri="{28A0092B-C50C-407E-A947-70E740481C1C}">
                          <a14:useLocalDpi xmlns:a14="http://schemas.microsoft.com/office/drawing/2010/main"/>
                        </a:ext>
                      </a:extLst>
                    </a:blip>
                    <a:srcRect/>
                    <a:stretch/>
                  </pic:blipFill>
                  <pic:spPr bwMode="auto">
                    <a:xfrm>
                      <a:off x="0" y="0"/>
                      <a:ext cx="4308431" cy="164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3CC263" w14:textId="77777777" w:rsidR="003A0FC6" w:rsidRDefault="003A0FC6" w:rsidP="00E07157">
      <w:pPr>
        <w:tabs>
          <w:tab w:val="num" w:pos="720"/>
        </w:tabs>
        <w:spacing w:line="276" w:lineRule="auto"/>
        <w:jc w:val="both"/>
        <w:rPr>
          <w:rFonts w:ascii="Arial" w:hAnsi="Arial" w:cs="Arial"/>
          <w:sz w:val="24"/>
          <w:szCs w:val="24"/>
        </w:rPr>
      </w:pPr>
    </w:p>
    <w:p w14:paraId="394FE579" w14:textId="77777777" w:rsidR="003A0FC6" w:rsidRDefault="003A0FC6" w:rsidP="00E07157">
      <w:pPr>
        <w:tabs>
          <w:tab w:val="num" w:pos="720"/>
        </w:tabs>
        <w:spacing w:line="276" w:lineRule="auto"/>
        <w:jc w:val="both"/>
        <w:rPr>
          <w:rFonts w:ascii="Arial" w:hAnsi="Arial" w:cs="Arial"/>
          <w:sz w:val="24"/>
          <w:szCs w:val="24"/>
        </w:rPr>
      </w:pPr>
    </w:p>
    <w:p w14:paraId="66ADF1F1" w14:textId="77777777" w:rsidR="003A0FC6" w:rsidRDefault="003A0FC6" w:rsidP="00E07157">
      <w:pPr>
        <w:tabs>
          <w:tab w:val="num" w:pos="720"/>
        </w:tabs>
        <w:spacing w:line="276" w:lineRule="auto"/>
        <w:jc w:val="both"/>
        <w:rPr>
          <w:rFonts w:ascii="Arial" w:hAnsi="Arial" w:cs="Arial"/>
          <w:sz w:val="24"/>
          <w:szCs w:val="24"/>
        </w:rPr>
      </w:pPr>
    </w:p>
    <w:p w14:paraId="1BE60148" w14:textId="77777777" w:rsidR="003A0FC6" w:rsidRDefault="003A0FC6" w:rsidP="00E07157">
      <w:pPr>
        <w:tabs>
          <w:tab w:val="num" w:pos="720"/>
        </w:tabs>
        <w:spacing w:line="276" w:lineRule="auto"/>
        <w:jc w:val="both"/>
        <w:rPr>
          <w:rFonts w:ascii="Arial" w:hAnsi="Arial" w:cs="Arial"/>
          <w:sz w:val="24"/>
          <w:szCs w:val="24"/>
        </w:rPr>
      </w:pPr>
    </w:p>
    <w:p w14:paraId="693834DA" w14:textId="77777777" w:rsidR="003A0FC6" w:rsidRDefault="003A0FC6" w:rsidP="00E07157">
      <w:pPr>
        <w:tabs>
          <w:tab w:val="num" w:pos="720"/>
        </w:tabs>
        <w:spacing w:line="276" w:lineRule="auto"/>
        <w:jc w:val="both"/>
        <w:rPr>
          <w:rFonts w:ascii="Arial" w:hAnsi="Arial" w:cs="Arial"/>
          <w:sz w:val="24"/>
          <w:szCs w:val="24"/>
        </w:rPr>
      </w:pPr>
    </w:p>
    <w:p w14:paraId="263314EA" w14:textId="77777777" w:rsidR="003A0FC6" w:rsidRDefault="003A0FC6" w:rsidP="00E07157">
      <w:pPr>
        <w:tabs>
          <w:tab w:val="num" w:pos="720"/>
        </w:tabs>
        <w:spacing w:line="276" w:lineRule="auto"/>
        <w:jc w:val="both"/>
        <w:rPr>
          <w:rFonts w:ascii="Arial" w:hAnsi="Arial" w:cs="Arial"/>
          <w:sz w:val="24"/>
          <w:szCs w:val="24"/>
        </w:rPr>
      </w:pPr>
    </w:p>
    <w:p w14:paraId="3586CB28" w14:textId="77777777" w:rsidR="003A0FC6" w:rsidRDefault="003A0FC6" w:rsidP="00E07157">
      <w:pPr>
        <w:tabs>
          <w:tab w:val="num" w:pos="720"/>
        </w:tabs>
        <w:spacing w:line="276" w:lineRule="auto"/>
        <w:jc w:val="both"/>
        <w:rPr>
          <w:rFonts w:ascii="Arial" w:hAnsi="Arial" w:cs="Arial"/>
          <w:sz w:val="24"/>
          <w:szCs w:val="24"/>
        </w:rPr>
      </w:pPr>
    </w:p>
    <w:p w14:paraId="398A6DC9" w14:textId="77777777" w:rsidR="003A0FC6" w:rsidRDefault="003A0FC6" w:rsidP="00E07157">
      <w:pPr>
        <w:tabs>
          <w:tab w:val="num" w:pos="720"/>
        </w:tabs>
        <w:spacing w:line="276" w:lineRule="auto"/>
        <w:jc w:val="both"/>
        <w:rPr>
          <w:rFonts w:ascii="Arial" w:hAnsi="Arial" w:cs="Arial"/>
          <w:sz w:val="24"/>
          <w:szCs w:val="24"/>
        </w:rPr>
      </w:pPr>
    </w:p>
    <w:p w14:paraId="46130A9D" w14:textId="18CBD984" w:rsidR="00E07157" w:rsidRDefault="00E07157" w:rsidP="00E07157">
      <w:pPr>
        <w:tabs>
          <w:tab w:val="num" w:pos="720"/>
        </w:tabs>
        <w:spacing w:line="276" w:lineRule="auto"/>
        <w:jc w:val="both"/>
        <w:rPr>
          <w:rFonts w:ascii="Arial" w:hAnsi="Arial" w:cs="Arial"/>
          <w:bCs/>
          <w:iCs/>
          <w:sz w:val="24"/>
          <w:szCs w:val="24"/>
        </w:rPr>
      </w:pPr>
      <w:r w:rsidRPr="00E07157">
        <w:rPr>
          <w:rFonts w:ascii="Arial" w:hAnsi="Arial" w:cs="Arial"/>
          <w:sz w:val="24"/>
          <w:szCs w:val="24"/>
        </w:rPr>
        <w:t xml:space="preserve">As a supplier of information, the supreme audit institution should conduct its audit using generally accepted auditing practices. This includes that audits should be conducted in a timely manner, and that reports should be submitted to the legislature and simultaneously published. </w:t>
      </w:r>
      <w:r w:rsidRPr="00E07157">
        <w:rPr>
          <w:rFonts w:ascii="Arial" w:hAnsi="Arial" w:cs="Arial"/>
          <w:bCs/>
          <w:iCs/>
          <w:sz w:val="24"/>
          <w:szCs w:val="24"/>
          <w:lang w:val="en-US"/>
        </w:rPr>
        <w:t>At the minimum, t</w:t>
      </w:r>
      <w:r w:rsidRPr="00E07157">
        <w:rPr>
          <w:rFonts w:ascii="Arial" w:hAnsi="Arial" w:cs="Arial"/>
          <w:bCs/>
          <w:iCs/>
          <w:sz w:val="24"/>
          <w:szCs w:val="24"/>
        </w:rPr>
        <w:t xml:space="preserve">he supreme audit institution should report to the legislature on an annual basis. </w:t>
      </w:r>
      <w:r w:rsidRPr="00E07157">
        <w:rPr>
          <w:rFonts w:ascii="Arial" w:hAnsi="Arial" w:cs="Arial"/>
          <w:sz w:val="24"/>
          <w:szCs w:val="24"/>
        </w:rPr>
        <w:t>External</w:t>
      </w:r>
      <w:r w:rsidRPr="00E07157">
        <w:rPr>
          <w:rFonts w:ascii="Arial" w:hAnsi="Arial" w:cs="Arial"/>
          <w:sz w:val="24"/>
          <w:szCs w:val="24"/>
          <w:lang w:val="en-US"/>
        </w:rPr>
        <w:t xml:space="preserve">, independent, published technical assessments are key for the public being able to assess the executive’s management of public funds, enabling it to have a broader perspective about the use and impact of the budget. </w:t>
      </w:r>
      <w:r w:rsidRPr="00E07157">
        <w:rPr>
          <w:rFonts w:ascii="Arial" w:hAnsi="Arial" w:cs="Arial"/>
          <w:bCs/>
          <w:iCs/>
          <w:sz w:val="24"/>
          <w:szCs w:val="24"/>
        </w:rPr>
        <w:t xml:space="preserve">Delays in the release of reports may mean that information contained in them is no longer of interest and/or usable. INTOSAI’s core principle 12 is applicable in this regard. It </w:t>
      </w:r>
      <w:r w:rsidRPr="00E07157">
        <w:rPr>
          <w:rFonts w:ascii="Arial" w:hAnsi="Arial" w:cs="Arial"/>
          <w:sz w:val="24"/>
          <w:szCs w:val="24"/>
        </w:rPr>
        <w:t>looks at the supreme audit institution’s ability to make a positive difference in the accountability process of fiscal systems</w:t>
      </w:r>
      <w:r w:rsidRPr="00BA2462">
        <w:rPr>
          <w:rFonts w:ascii="Arial" w:hAnsi="Arial" w:cs="Arial"/>
          <w:sz w:val="24"/>
          <w:szCs w:val="24"/>
        </w:rPr>
        <w:t>.</w:t>
      </w:r>
      <w:r w:rsidR="00BA2462" w:rsidRPr="00BA2462">
        <w:rPr>
          <w:rFonts w:ascii="Arial" w:hAnsi="Arial" w:cs="Arial"/>
          <w:sz w:val="24"/>
          <w:szCs w:val="24"/>
        </w:rPr>
        <w:t xml:space="preserve"> </w:t>
      </w:r>
      <w:r w:rsidRPr="0028175C">
        <w:rPr>
          <w:rFonts w:ascii="Arial" w:hAnsi="Arial" w:cs="Arial"/>
          <w:bCs/>
          <w:sz w:val="24"/>
          <w:szCs w:val="24"/>
        </w:rPr>
        <w:t>Among other essential functions, supreme audit institutions should lead</w:t>
      </w:r>
      <w:r w:rsidRPr="0028175C">
        <w:rPr>
          <w:rFonts w:ascii="Arial" w:hAnsi="Arial" w:cs="Arial"/>
          <w:bCs/>
          <w:sz w:val="24"/>
          <w:szCs w:val="24"/>
          <w:lang w:val="en-ZA"/>
        </w:rPr>
        <w:t xml:space="preserve"> by example b</w:t>
      </w:r>
      <w:r w:rsidR="00D4646E" w:rsidRPr="0028175C">
        <w:rPr>
          <w:rFonts w:ascii="Arial" w:hAnsi="Arial" w:cs="Arial"/>
          <w:bCs/>
          <w:sz w:val="24"/>
          <w:szCs w:val="24"/>
          <w:lang w:val="en-ZA"/>
        </w:rPr>
        <w:t>y</w:t>
      </w:r>
      <w:r w:rsidR="00BA2462">
        <w:rPr>
          <w:rFonts w:ascii="Arial" w:hAnsi="Arial" w:cs="Arial"/>
          <w:bCs/>
          <w:sz w:val="24"/>
          <w:szCs w:val="24"/>
          <w:lang w:val="en-ZA"/>
        </w:rPr>
        <w:t xml:space="preserve"> </w:t>
      </w:r>
      <w:r w:rsidRPr="0028175C">
        <w:rPr>
          <w:rFonts w:ascii="Arial" w:hAnsi="Arial" w:cs="Arial"/>
          <w:bCs/>
          <w:sz w:val="24"/>
          <w:szCs w:val="24"/>
          <w:lang w:val="en-ZA"/>
        </w:rPr>
        <w:t>being transparent and accountable themselves;</w:t>
      </w:r>
      <w:r w:rsidR="00BA2462">
        <w:rPr>
          <w:rFonts w:ascii="Arial" w:hAnsi="Arial" w:cs="Arial"/>
          <w:bCs/>
          <w:sz w:val="24"/>
          <w:szCs w:val="24"/>
          <w:lang w:val="en-ZA"/>
        </w:rPr>
        <w:t xml:space="preserve"> </w:t>
      </w:r>
      <w:r w:rsidRPr="0028175C">
        <w:rPr>
          <w:rFonts w:ascii="Arial" w:hAnsi="Arial" w:cs="Arial"/>
          <w:bCs/>
          <w:sz w:val="24"/>
          <w:szCs w:val="24"/>
          <w:lang w:val="en-ZA"/>
        </w:rPr>
        <w:t>perform their duties in a manner that provides for accountability, transparency and good public governance;</w:t>
      </w:r>
      <w:r w:rsidR="00BA2462">
        <w:rPr>
          <w:rFonts w:ascii="Arial" w:hAnsi="Arial" w:cs="Arial"/>
          <w:bCs/>
          <w:sz w:val="24"/>
          <w:szCs w:val="24"/>
          <w:lang w:val="en-ZA"/>
        </w:rPr>
        <w:t xml:space="preserve"> </w:t>
      </w:r>
      <w:r w:rsidRPr="0028175C">
        <w:rPr>
          <w:rFonts w:ascii="Arial" w:hAnsi="Arial" w:cs="Arial"/>
          <w:bCs/>
          <w:sz w:val="24"/>
          <w:szCs w:val="24"/>
          <w:lang w:val="en-ZA"/>
        </w:rPr>
        <w:t xml:space="preserve">and </w:t>
      </w:r>
      <w:r w:rsidR="00BA2462">
        <w:rPr>
          <w:rFonts w:ascii="Arial" w:hAnsi="Arial" w:cs="Arial"/>
          <w:bCs/>
          <w:sz w:val="24"/>
          <w:szCs w:val="24"/>
          <w:lang w:val="en-ZA"/>
        </w:rPr>
        <w:t>c</w:t>
      </w:r>
      <w:r w:rsidRPr="0028175C">
        <w:rPr>
          <w:rFonts w:ascii="Arial" w:hAnsi="Arial" w:cs="Arial"/>
          <w:bCs/>
          <w:sz w:val="24"/>
          <w:szCs w:val="24"/>
          <w:lang w:val="en-ZA"/>
        </w:rPr>
        <w:t>ommunicate</w:t>
      </w:r>
      <w:r w:rsidR="00BA2462">
        <w:rPr>
          <w:rFonts w:ascii="Arial" w:hAnsi="Arial" w:cs="Arial"/>
          <w:bCs/>
          <w:sz w:val="24"/>
          <w:szCs w:val="24"/>
          <w:lang w:val="en-ZA"/>
        </w:rPr>
        <w:t xml:space="preserve"> </w:t>
      </w:r>
      <w:r w:rsidRPr="0028175C">
        <w:rPr>
          <w:rFonts w:ascii="Arial" w:hAnsi="Arial" w:cs="Arial"/>
          <w:bCs/>
          <w:sz w:val="24"/>
          <w:szCs w:val="24"/>
          <w:lang w:val="en-ZA"/>
        </w:rPr>
        <w:t>effectively with stakeholders.</w:t>
      </w:r>
      <w:r w:rsidR="00BA2462">
        <w:rPr>
          <w:rFonts w:ascii="Arial" w:hAnsi="Arial" w:cs="Arial"/>
          <w:bCs/>
          <w:sz w:val="24"/>
          <w:szCs w:val="24"/>
          <w:lang w:val="en-ZA"/>
        </w:rPr>
        <w:t xml:space="preserve"> </w:t>
      </w:r>
      <w:r w:rsidRPr="00E07157">
        <w:rPr>
          <w:rFonts w:ascii="Arial" w:hAnsi="Arial" w:cs="Arial"/>
          <w:sz w:val="24"/>
          <w:szCs w:val="24"/>
          <w:lang w:val="en-ZA"/>
        </w:rPr>
        <w:t>They should report publicly and widely on their activities and audit results in a timely fashion, in a simple and clear manner, using appropriate communication tools. </w:t>
      </w:r>
      <w:r w:rsidRPr="00E07157">
        <w:rPr>
          <w:rFonts w:ascii="Arial" w:hAnsi="Arial" w:cs="Arial"/>
          <w:sz w:val="24"/>
          <w:szCs w:val="24"/>
          <w:lang w:val="en-US"/>
        </w:rPr>
        <w:t>Many audit institutions around the world are increasingly undertaking these important elements for advancing fiscal transparency</w:t>
      </w:r>
      <w:r w:rsidRPr="00E07157">
        <w:rPr>
          <w:rFonts w:ascii="Arial" w:hAnsi="Arial" w:cs="Arial"/>
          <w:bCs/>
          <w:iCs/>
          <w:sz w:val="24"/>
          <w:szCs w:val="24"/>
        </w:rPr>
        <w:t>.</w:t>
      </w:r>
    </w:p>
    <w:p w14:paraId="7E633DE6" w14:textId="77777777" w:rsidR="00BA2462" w:rsidRPr="00E07157" w:rsidRDefault="00BA2462" w:rsidP="00E07157">
      <w:pPr>
        <w:tabs>
          <w:tab w:val="num" w:pos="720"/>
        </w:tabs>
        <w:spacing w:line="276" w:lineRule="auto"/>
        <w:jc w:val="both"/>
        <w:rPr>
          <w:rFonts w:ascii="Arial" w:hAnsi="Arial" w:cs="Arial"/>
          <w:bCs/>
          <w:iCs/>
          <w:sz w:val="24"/>
          <w:szCs w:val="24"/>
        </w:rPr>
      </w:pPr>
    </w:p>
    <w:p w14:paraId="638B105C" w14:textId="4C1F2C76" w:rsidR="00E07157" w:rsidRPr="007E4585" w:rsidRDefault="00E07157" w:rsidP="007E4585">
      <w:pPr>
        <w:pStyle w:val="Heading3"/>
        <w:rPr>
          <w:rFonts w:ascii="Arial" w:hAnsi="Arial" w:cs="Arial"/>
          <w:b/>
          <w:bCs/>
          <w:color w:val="F26D24"/>
          <w:sz w:val="32"/>
          <w:szCs w:val="32"/>
        </w:rPr>
      </w:pPr>
      <w:bookmarkStart w:id="1007" w:name="_Toc119794464"/>
      <w:bookmarkStart w:id="1008" w:name="_Toc123204451"/>
      <w:bookmarkStart w:id="1009" w:name="_Toc123216542"/>
      <w:bookmarkStart w:id="1010" w:name="_Toc123217382"/>
      <w:bookmarkStart w:id="1011" w:name="_Toc123913351"/>
      <w:bookmarkStart w:id="1012" w:name="_Toc123914007"/>
      <w:bookmarkStart w:id="1013" w:name="_Toc125566626"/>
      <w:r w:rsidRPr="007E4585">
        <w:rPr>
          <w:rFonts w:ascii="Arial" w:hAnsi="Arial" w:cs="Arial"/>
          <w:b/>
          <w:bCs/>
          <w:color w:val="F26D24"/>
          <w:sz w:val="32"/>
          <w:szCs w:val="32"/>
        </w:rPr>
        <w:t xml:space="preserve">Potential </w:t>
      </w:r>
      <w:r w:rsidR="00BA2462">
        <w:rPr>
          <w:rFonts w:ascii="Arial" w:hAnsi="Arial" w:cs="Arial"/>
          <w:b/>
          <w:bCs/>
          <w:color w:val="F26D24"/>
          <w:sz w:val="32"/>
          <w:szCs w:val="32"/>
        </w:rPr>
        <w:t>i</w:t>
      </w:r>
      <w:r w:rsidR="00BA2462" w:rsidRPr="007E4585">
        <w:rPr>
          <w:rFonts w:ascii="Arial" w:hAnsi="Arial" w:cs="Arial"/>
          <w:b/>
          <w:bCs/>
          <w:color w:val="F26D24"/>
          <w:sz w:val="32"/>
          <w:szCs w:val="32"/>
        </w:rPr>
        <w:t xml:space="preserve">mpact </w:t>
      </w:r>
      <w:r w:rsidR="00C72125" w:rsidRPr="007E4585">
        <w:rPr>
          <w:rFonts w:ascii="Arial" w:hAnsi="Arial" w:cs="Arial"/>
          <w:b/>
          <w:bCs/>
          <w:color w:val="F26D24"/>
          <w:sz w:val="32"/>
          <w:szCs w:val="32"/>
        </w:rPr>
        <w:t xml:space="preserve">of </w:t>
      </w:r>
      <w:r w:rsidR="00BA2462">
        <w:rPr>
          <w:rFonts w:ascii="Arial" w:hAnsi="Arial" w:cs="Arial"/>
          <w:b/>
          <w:bCs/>
          <w:color w:val="F26D24"/>
          <w:sz w:val="32"/>
          <w:szCs w:val="32"/>
        </w:rPr>
        <w:t>a</w:t>
      </w:r>
      <w:r w:rsidR="00C72125" w:rsidRPr="007E4585">
        <w:rPr>
          <w:rFonts w:ascii="Arial" w:hAnsi="Arial" w:cs="Arial"/>
          <w:b/>
          <w:bCs/>
          <w:color w:val="F26D24"/>
          <w:sz w:val="32"/>
          <w:szCs w:val="32"/>
        </w:rPr>
        <w:t xml:space="preserve">udit </w:t>
      </w:r>
      <w:r w:rsidR="00BA2462">
        <w:rPr>
          <w:rFonts w:ascii="Arial" w:hAnsi="Arial" w:cs="Arial"/>
          <w:b/>
          <w:bCs/>
          <w:color w:val="F26D24"/>
          <w:sz w:val="32"/>
          <w:szCs w:val="32"/>
        </w:rPr>
        <w:t>r</w:t>
      </w:r>
      <w:r w:rsidR="00C72125" w:rsidRPr="007E4585">
        <w:rPr>
          <w:rFonts w:ascii="Arial" w:hAnsi="Arial" w:cs="Arial"/>
          <w:b/>
          <w:bCs/>
          <w:color w:val="F26D24"/>
          <w:sz w:val="32"/>
          <w:szCs w:val="32"/>
        </w:rPr>
        <w:t>eports</w:t>
      </w:r>
      <w:bookmarkEnd w:id="1007"/>
      <w:bookmarkEnd w:id="1008"/>
      <w:bookmarkEnd w:id="1009"/>
      <w:bookmarkEnd w:id="1010"/>
      <w:bookmarkEnd w:id="1011"/>
      <w:bookmarkEnd w:id="1012"/>
      <w:bookmarkEnd w:id="1013"/>
    </w:p>
    <w:p w14:paraId="582ACA15" w14:textId="77777777" w:rsidR="009E337A" w:rsidRDefault="009E337A" w:rsidP="00E07157">
      <w:pPr>
        <w:spacing w:line="276" w:lineRule="auto"/>
        <w:jc w:val="both"/>
        <w:rPr>
          <w:rFonts w:ascii="Arial" w:hAnsi="Arial" w:cs="Arial"/>
          <w:sz w:val="24"/>
          <w:szCs w:val="24"/>
          <w:lang w:val="en-US"/>
        </w:rPr>
      </w:pPr>
    </w:p>
    <w:p w14:paraId="68FF85C4" w14:textId="052E316D" w:rsidR="00E07157" w:rsidRPr="00E07157" w:rsidRDefault="00E07157" w:rsidP="00E07157">
      <w:pPr>
        <w:spacing w:line="276" w:lineRule="auto"/>
        <w:jc w:val="both"/>
        <w:rPr>
          <w:rFonts w:ascii="Arial" w:hAnsi="Arial" w:cs="Arial"/>
          <w:sz w:val="24"/>
          <w:szCs w:val="24"/>
        </w:rPr>
      </w:pPr>
      <w:r w:rsidRPr="00E07157">
        <w:rPr>
          <w:rFonts w:ascii="Arial" w:hAnsi="Arial" w:cs="Arial"/>
          <w:sz w:val="24"/>
          <w:szCs w:val="24"/>
          <w:lang w:val="en-US"/>
        </w:rPr>
        <w:t>The external audit report provides an independent and authoritative review of the executive’s year-end reporting, showing whether it is accurate and reliable as well as whether financial management laws and regulations have been complied with. This report can yield important messages for policymakers, parliamentarians and the public regarding issues of corruption, fraud, mismanagement and wastefulness of resources</w:t>
      </w:r>
      <w:r w:rsidRPr="00E07157">
        <w:rPr>
          <w:rFonts w:ascii="Arial" w:hAnsi="Arial" w:cs="Arial"/>
          <w:sz w:val="24"/>
          <w:szCs w:val="24"/>
        </w:rPr>
        <w:t xml:space="preserve">. </w:t>
      </w:r>
    </w:p>
    <w:p w14:paraId="2DBBA312" w14:textId="29168775" w:rsidR="00E07157" w:rsidRPr="00E07157" w:rsidRDefault="00ED478E" w:rsidP="00E07157">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2360702" behindDoc="0" locked="0" layoutInCell="1" allowOverlap="1" wp14:anchorId="6E7D91A3" wp14:editId="15D030BD">
            <wp:simplePos x="0" y="0"/>
            <wp:positionH relativeFrom="column">
              <wp:posOffset>5715</wp:posOffset>
            </wp:positionH>
            <wp:positionV relativeFrom="paragraph">
              <wp:posOffset>203835</wp:posOffset>
            </wp:positionV>
            <wp:extent cx="1759585" cy="1753235"/>
            <wp:effectExtent l="0" t="0" r="5715" b="0"/>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pic:cNvPicPr/>
                  </pic:nvPicPr>
                  <pic:blipFill rotWithShape="1">
                    <a:blip r:embed="rId475" cstate="email">
                      <a:extLst>
                        <a:ext uri="{28A0092B-C50C-407E-A947-70E740481C1C}">
                          <a14:useLocalDpi xmlns:a14="http://schemas.microsoft.com/office/drawing/2010/main"/>
                        </a:ext>
                      </a:extLst>
                    </a:blip>
                    <a:srcRect/>
                    <a:stretch/>
                  </pic:blipFill>
                  <pic:spPr bwMode="auto">
                    <a:xfrm>
                      <a:off x="0" y="0"/>
                      <a:ext cx="1759585" cy="1753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6BAE7A" w14:textId="54FDB276" w:rsidR="00E07157" w:rsidRPr="00E07157" w:rsidRDefault="00E07157" w:rsidP="00E07157">
      <w:pPr>
        <w:spacing w:line="276" w:lineRule="auto"/>
        <w:jc w:val="both"/>
        <w:rPr>
          <w:rFonts w:ascii="Arial" w:hAnsi="Arial" w:cs="Arial"/>
          <w:sz w:val="24"/>
          <w:szCs w:val="24"/>
        </w:rPr>
      </w:pPr>
      <w:r w:rsidRPr="00E07157">
        <w:rPr>
          <w:rFonts w:ascii="Arial" w:hAnsi="Arial" w:cs="Arial"/>
          <w:sz w:val="24"/>
          <w:szCs w:val="24"/>
        </w:rPr>
        <w:t>Audit</w:t>
      </w:r>
      <w:r w:rsidRPr="00E07157">
        <w:rPr>
          <w:rFonts w:ascii="Arial" w:hAnsi="Arial" w:cs="Arial"/>
          <w:sz w:val="24"/>
          <w:szCs w:val="24"/>
          <w:lang w:val="en-ZA"/>
        </w:rPr>
        <w:t xml:space="preserve"> reports will however have less impact if due to their technicality, the legislature and other key actors, such as civil society cannot understand their meaning or significance. To overcome this, </w:t>
      </w:r>
      <w:r w:rsidRPr="00E07157">
        <w:rPr>
          <w:rFonts w:ascii="Arial" w:hAnsi="Arial" w:cs="Arial"/>
          <w:sz w:val="24"/>
          <w:szCs w:val="24"/>
        </w:rPr>
        <w:t xml:space="preserve">supreme audit institutions can facilitate other actors’ understanding and interpretation of technical information by, for example, training key stakeholders to use the information, potentially through the media and civil society; </w:t>
      </w:r>
      <w:r w:rsidRPr="00E07157">
        <w:rPr>
          <w:rFonts w:ascii="Arial" w:hAnsi="Arial" w:cs="Arial"/>
          <w:sz w:val="24"/>
          <w:szCs w:val="24"/>
          <w:lang w:val="en-ZA"/>
        </w:rPr>
        <w:t>presenting information in easy-to-understand formats with summaries and glossaries that explain technical terms</w:t>
      </w:r>
      <w:r w:rsidRPr="00E07157">
        <w:rPr>
          <w:rFonts w:ascii="Arial" w:hAnsi="Arial" w:cs="Arial"/>
          <w:sz w:val="24"/>
          <w:szCs w:val="24"/>
        </w:rPr>
        <w:t>; and producing non-technical or citizens’ versions of reports</w:t>
      </w:r>
      <w:r w:rsidR="0028175C">
        <w:rPr>
          <w:rStyle w:val="FootnoteReference"/>
          <w:rFonts w:ascii="Arial" w:hAnsi="Arial" w:cs="Arial"/>
          <w:sz w:val="24"/>
          <w:szCs w:val="24"/>
        </w:rPr>
        <w:footnoteReference w:customMarkFollows="1" w:id="28"/>
        <w:t>30</w:t>
      </w:r>
      <w:r w:rsidRPr="00E07157">
        <w:rPr>
          <w:rFonts w:ascii="Arial" w:hAnsi="Arial" w:cs="Arial"/>
          <w:sz w:val="24"/>
          <w:szCs w:val="24"/>
        </w:rPr>
        <w:t xml:space="preserve">. </w:t>
      </w:r>
    </w:p>
    <w:p w14:paraId="481135FE" w14:textId="77777777" w:rsidR="00E07157" w:rsidRPr="00E07157" w:rsidRDefault="00E07157" w:rsidP="00E07157">
      <w:pPr>
        <w:spacing w:line="276" w:lineRule="auto"/>
        <w:jc w:val="both"/>
        <w:rPr>
          <w:rFonts w:ascii="Arial" w:hAnsi="Arial" w:cs="Arial"/>
          <w:sz w:val="24"/>
          <w:szCs w:val="24"/>
        </w:rPr>
      </w:pPr>
    </w:p>
    <w:p w14:paraId="3DC811B6" w14:textId="77777777" w:rsidR="00ED478E" w:rsidRDefault="00E07157" w:rsidP="00E07157">
      <w:pPr>
        <w:spacing w:line="276" w:lineRule="auto"/>
        <w:jc w:val="both"/>
        <w:rPr>
          <w:rFonts w:ascii="Arial" w:hAnsi="Arial" w:cs="Arial"/>
          <w:bCs/>
          <w:iCs/>
          <w:sz w:val="24"/>
          <w:szCs w:val="24"/>
        </w:rPr>
      </w:pPr>
      <w:r w:rsidRPr="00E07157">
        <w:rPr>
          <w:rFonts w:ascii="Arial" w:hAnsi="Arial" w:cs="Arial"/>
          <w:bCs/>
          <w:iCs/>
          <w:sz w:val="24"/>
          <w:szCs w:val="24"/>
        </w:rPr>
        <w:t>Supreme audit institutions may also face capacity and political challenges that limit their impact. Capacity challenges include that they may be underfunded, understaffed, under-skilled, and constrained by narrow legal mandates. Political challenges include that they may be subject to political influence; and/or the executive may not always adopt its recommendations, particularly when it forms part of the legislative branch of government.</w:t>
      </w:r>
    </w:p>
    <w:p w14:paraId="5351A10E" w14:textId="3EA02991" w:rsidR="00ED478E" w:rsidRDefault="00ED478E" w:rsidP="00E07157">
      <w:pPr>
        <w:spacing w:line="276" w:lineRule="auto"/>
        <w:jc w:val="both"/>
        <w:rPr>
          <w:rFonts w:ascii="Arial" w:hAnsi="Arial" w:cs="Arial"/>
          <w:bCs/>
          <w:iCs/>
          <w:sz w:val="24"/>
          <w:szCs w:val="24"/>
        </w:rPr>
      </w:pPr>
    </w:p>
    <w:p w14:paraId="485D440D" w14:textId="60D67C9A" w:rsidR="00ED478E" w:rsidRDefault="00E07157" w:rsidP="00E07157">
      <w:pPr>
        <w:spacing w:line="276" w:lineRule="auto"/>
        <w:jc w:val="both"/>
        <w:rPr>
          <w:rFonts w:ascii="Arial" w:hAnsi="Arial" w:cs="Arial"/>
          <w:bCs/>
          <w:iCs/>
          <w:sz w:val="24"/>
          <w:szCs w:val="24"/>
        </w:rPr>
      </w:pPr>
      <w:r w:rsidRPr="00E07157">
        <w:rPr>
          <w:rFonts w:ascii="Arial" w:hAnsi="Arial" w:cs="Arial"/>
          <w:bCs/>
          <w:iCs/>
          <w:sz w:val="24"/>
          <w:szCs w:val="24"/>
        </w:rPr>
        <w:t>The supreme audit institution’s transparent engagement with other actors in the fiscal ecosystem can assist it in overcoming these challenges. For instance, other actors can assist the supreme audit institution by:</w:t>
      </w:r>
    </w:p>
    <w:p w14:paraId="6E8D44F9" w14:textId="2DDFD617" w:rsidR="001B2551" w:rsidRDefault="00FB77D4" w:rsidP="00E07157">
      <w:pPr>
        <w:spacing w:line="276" w:lineRule="auto"/>
        <w:jc w:val="both"/>
        <w:rPr>
          <w:rFonts w:ascii="Arial" w:hAnsi="Arial" w:cs="Arial"/>
          <w:bCs/>
          <w:iCs/>
          <w:sz w:val="24"/>
          <w:szCs w:val="24"/>
        </w:rPr>
      </w:pPr>
      <w:r>
        <w:rPr>
          <w:rFonts w:ascii="Arial" w:hAnsi="Arial" w:cs="Arial"/>
          <w:noProof/>
          <w:color w:val="16988A"/>
          <w:sz w:val="24"/>
          <w:szCs w:val="24"/>
          <w:lang w:val="en-US"/>
        </w:rPr>
        <mc:AlternateContent>
          <mc:Choice Requires="wps">
            <w:drawing>
              <wp:anchor distT="0" distB="0" distL="114300" distR="114300" simplePos="0" relativeHeight="252366846" behindDoc="0" locked="0" layoutInCell="1" allowOverlap="1" wp14:anchorId="5AA86203" wp14:editId="557EF56B">
                <wp:simplePos x="0" y="0"/>
                <wp:positionH relativeFrom="column">
                  <wp:posOffset>48895</wp:posOffset>
                </wp:positionH>
                <wp:positionV relativeFrom="paragraph">
                  <wp:posOffset>73025</wp:posOffset>
                </wp:positionV>
                <wp:extent cx="438785" cy="438785"/>
                <wp:effectExtent l="12700" t="12700" r="18415" b="18415"/>
                <wp:wrapNone/>
                <wp:docPr id="446" name="Oval 446"/>
                <wp:cNvGraphicFramePr/>
                <a:graphic xmlns:a="http://schemas.openxmlformats.org/drawingml/2006/main">
                  <a:graphicData uri="http://schemas.microsoft.com/office/word/2010/wordprocessingShape">
                    <wps:wsp>
                      <wps:cNvSpPr/>
                      <wps:spPr>
                        <a:xfrm>
                          <a:off x="0" y="0"/>
                          <a:ext cx="438785" cy="438785"/>
                        </a:xfrm>
                        <a:prstGeom prst="ellipse">
                          <a:avLst/>
                        </a:prstGeom>
                        <a:solidFill>
                          <a:schemeClr val="bg1"/>
                        </a:solidFill>
                        <a:ln w="19050">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30A95F04" id="Oval 446" o:spid="_x0000_s1026" style="position:absolute;margin-left:3.85pt;margin-top:5.75pt;width:34.55pt;height:34.55pt;z-index:252366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" fillcolor="white [3212]" strokecolor="#69557f" strokeweight="1.5pt">
                <v:stroke joinstyle="miter"/>
              </v:oval>
            </w:pict>
          </mc:Fallback>
        </mc:AlternateContent>
      </w:r>
      <w:r>
        <w:rPr>
          <w:rFonts w:ascii="Arial" w:hAnsi="Arial" w:cs="Arial"/>
          <w:bCs/>
          <w:iCs/>
          <w:noProof/>
          <w:sz w:val="24"/>
          <w:szCs w:val="24"/>
          <w:lang w:val="en-US"/>
        </w:rPr>
        <w:drawing>
          <wp:anchor distT="0" distB="0" distL="114300" distR="114300" simplePos="0" relativeHeight="252383230" behindDoc="0" locked="0" layoutInCell="1" allowOverlap="1" wp14:anchorId="11B56F14" wp14:editId="5B169D49">
            <wp:simplePos x="0" y="0"/>
            <wp:positionH relativeFrom="column">
              <wp:posOffset>128848</wp:posOffset>
            </wp:positionH>
            <wp:positionV relativeFrom="paragraph">
              <wp:posOffset>188595</wp:posOffset>
            </wp:positionV>
            <wp:extent cx="287655" cy="235585"/>
            <wp:effectExtent l="0" t="0" r="4445" b="5715"/>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rotWithShape="1">
                    <a:blip r:embed="rId476" cstate="email">
                      <a:extLst>
                        <a:ext uri="{28A0092B-C50C-407E-A947-70E740481C1C}">
                          <a14:useLocalDpi xmlns:a14="http://schemas.microsoft.com/office/drawing/2010/main"/>
                        </a:ext>
                      </a:extLst>
                    </a:blip>
                    <a:srcRect/>
                    <a:stretch/>
                  </pic:blipFill>
                  <pic:spPr bwMode="auto">
                    <a:xfrm>
                      <a:off x="0" y="0"/>
                      <a:ext cx="287655" cy="235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2E2">
        <w:rPr>
          <w:rFonts w:ascii="Arial" w:hAnsi="Arial" w:cs="Arial"/>
          <w:noProof/>
          <w:color w:val="16988A"/>
          <w:sz w:val="24"/>
          <w:szCs w:val="24"/>
          <w:lang w:val="en-US"/>
        </w:rPr>
        <mc:AlternateContent>
          <mc:Choice Requires="wps">
            <w:drawing>
              <wp:anchor distT="0" distB="0" distL="114300" distR="114300" simplePos="0" relativeHeight="252362750" behindDoc="0" locked="0" layoutInCell="1" allowOverlap="1" wp14:anchorId="65D4FA35" wp14:editId="5659FE64">
                <wp:simplePos x="0" y="0"/>
                <wp:positionH relativeFrom="column">
                  <wp:posOffset>321945</wp:posOffset>
                </wp:positionH>
                <wp:positionV relativeFrom="paragraph">
                  <wp:posOffset>78740</wp:posOffset>
                </wp:positionV>
                <wp:extent cx="6240780" cy="428625"/>
                <wp:effectExtent l="0" t="0" r="0" b="3175"/>
                <wp:wrapNone/>
                <wp:docPr id="443" name="Rounded Rectangle 443"/>
                <wp:cNvGraphicFramePr/>
                <a:graphic xmlns:a="http://schemas.openxmlformats.org/drawingml/2006/main">
                  <a:graphicData uri="http://schemas.microsoft.com/office/word/2010/wordprocessingShape">
                    <wps:wsp>
                      <wps:cNvSpPr/>
                      <wps:spPr>
                        <a:xfrm>
                          <a:off x="0" y="0"/>
                          <a:ext cx="6240780" cy="428625"/>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0DC8985" id="Rounded Rectangle 443" o:spid="_x0000_s1026" style="position:absolute;margin-left:25.35pt;margin-top:6.2pt;width:491.4pt;height:33.75pt;z-index:252362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" fillcolor="#69557f" stroked="f" strokeweight="1pt">
                <v:stroke joinstyle="miter"/>
              </v:roundrect>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64798" behindDoc="0" locked="0" layoutInCell="1" allowOverlap="1" wp14:anchorId="4931ECC6" wp14:editId="40D8C067">
                <wp:simplePos x="0" y="0"/>
                <wp:positionH relativeFrom="column">
                  <wp:posOffset>0</wp:posOffset>
                </wp:positionH>
                <wp:positionV relativeFrom="paragraph">
                  <wp:posOffset>28575</wp:posOffset>
                </wp:positionV>
                <wp:extent cx="523875" cy="523875"/>
                <wp:effectExtent l="0" t="0" r="0" b="0"/>
                <wp:wrapNone/>
                <wp:docPr id="445" name="Oval 445"/>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59E140A3" id="Oval 445" o:spid="_x0000_s1026" style="position:absolute;margin-left:0;margin-top:2.25pt;width:41.25pt;height:41.25pt;z-index:2523647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" fillcolor="white [3212]" stroked="f" strokeweight="1pt">
                <v:stroke joinstyle="miter"/>
              </v:oval>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63774" behindDoc="0" locked="0" layoutInCell="1" allowOverlap="1" wp14:anchorId="43D73659" wp14:editId="14D81636">
                <wp:simplePos x="0" y="0"/>
                <wp:positionH relativeFrom="column">
                  <wp:posOffset>520700</wp:posOffset>
                </wp:positionH>
                <wp:positionV relativeFrom="paragraph">
                  <wp:posOffset>142875</wp:posOffset>
                </wp:positionV>
                <wp:extent cx="5688330" cy="304800"/>
                <wp:effectExtent l="0" t="0" r="0" b="0"/>
                <wp:wrapNone/>
                <wp:docPr id="444" name="Text Box 444"/>
                <wp:cNvGraphicFramePr/>
                <a:graphic xmlns:a="http://schemas.openxmlformats.org/drawingml/2006/main">
                  <a:graphicData uri="http://schemas.microsoft.com/office/word/2010/wordprocessingShape">
                    <wps:wsp>
                      <wps:cNvSpPr txBox="1"/>
                      <wps:spPr>
                        <a:xfrm>
                          <a:off x="0" y="0"/>
                          <a:ext cx="5688330" cy="304800"/>
                        </a:xfrm>
                        <a:prstGeom prst="rect">
                          <a:avLst/>
                        </a:prstGeom>
                        <a:noFill/>
                        <a:ln w="6350">
                          <a:noFill/>
                        </a:ln>
                      </wps:spPr>
                      <wps:txbx>
                        <w:txbxContent>
                          <w:p w14:paraId="3C9BF4ED" w14:textId="1DFF0A32" w:rsidR="00D15FD8" w:rsidRPr="001B2551" w:rsidRDefault="00D15FD8" w:rsidP="001B2551">
                            <w:pPr>
                              <w:rPr>
                                <w:color w:val="FFFFFF" w:themeColor="background1"/>
                                <w:sz w:val="24"/>
                                <w:szCs w:val="24"/>
                              </w:rPr>
                            </w:pPr>
                            <w:r w:rsidRPr="001B2551">
                              <w:rPr>
                                <w:rFonts w:ascii="Arial" w:hAnsi="Arial" w:cs="Arial"/>
                                <w:color w:val="FFFFFF" w:themeColor="background1"/>
                                <w:sz w:val="24"/>
                                <w:szCs w:val="24"/>
                                <w:lang w:val="en-US"/>
                              </w:rPr>
                              <w:t>disseminating supreme audit institution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D73659" id="Text Box 444" o:spid="_x0000_s1278" type="#_x0000_t202" style="position:absolute;left:0;text-align:left;margin-left:41pt;margin-top:11.25pt;width:447.9pt;height:24pt;z-index:2523637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" filled="f" stroked="f" strokeweight=".5pt">
                <v:textbox>
                  <w:txbxContent>
                    <w:p w14:paraId="3C9BF4ED" w14:textId="1DFF0A32" w:rsidR="00D15FD8" w:rsidRPr="001B2551" w:rsidRDefault="00D15FD8" w:rsidP="001B2551">
                      <w:pPr>
                        <w:rPr>
                          <w:color w:val="FFFFFF" w:themeColor="background1"/>
                          <w:sz w:val="24"/>
                          <w:szCs w:val="24"/>
                        </w:rPr>
                      </w:pPr>
                      <w:r w:rsidRPr="001B2551">
                        <w:rPr>
                          <w:rFonts w:ascii="Arial" w:hAnsi="Arial" w:cs="Arial"/>
                          <w:color w:val="FFFFFF" w:themeColor="background1"/>
                          <w:sz w:val="24"/>
                          <w:szCs w:val="24"/>
                          <w:lang w:val="en-US"/>
                        </w:rPr>
                        <w:t>disseminating supreme audit institution information;</w:t>
                      </w:r>
                    </w:p>
                  </w:txbxContent>
                </v:textbox>
              </v:shape>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68894" behindDoc="0" locked="0" layoutInCell="1" allowOverlap="1" wp14:anchorId="5E739557" wp14:editId="1516556E">
                <wp:simplePos x="0" y="0"/>
                <wp:positionH relativeFrom="column">
                  <wp:posOffset>332105</wp:posOffset>
                </wp:positionH>
                <wp:positionV relativeFrom="paragraph">
                  <wp:posOffset>624205</wp:posOffset>
                </wp:positionV>
                <wp:extent cx="6240780" cy="428625"/>
                <wp:effectExtent l="0" t="0" r="0" b="3175"/>
                <wp:wrapNone/>
                <wp:docPr id="448" name="Rounded Rectangle 448"/>
                <wp:cNvGraphicFramePr/>
                <a:graphic xmlns:a="http://schemas.openxmlformats.org/drawingml/2006/main">
                  <a:graphicData uri="http://schemas.microsoft.com/office/word/2010/wordprocessingShape">
                    <wps:wsp>
                      <wps:cNvSpPr/>
                      <wps:spPr>
                        <a:xfrm>
                          <a:off x="0" y="0"/>
                          <a:ext cx="6240780" cy="428625"/>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8E27430" id="Rounded Rectangle 448" o:spid="_x0000_s1026" style="position:absolute;margin-left:26.15pt;margin-top:49.15pt;width:491.4pt;height:33.75pt;z-index:252368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" fillcolor="#69557f" stroked="f" strokeweight="1pt">
                <v:stroke joinstyle="miter"/>
              </v:roundrect>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69918" behindDoc="0" locked="0" layoutInCell="1" allowOverlap="1" wp14:anchorId="74A4D353" wp14:editId="4812D230">
                <wp:simplePos x="0" y="0"/>
                <wp:positionH relativeFrom="column">
                  <wp:posOffset>530860</wp:posOffset>
                </wp:positionH>
                <wp:positionV relativeFrom="paragraph">
                  <wp:posOffset>688340</wp:posOffset>
                </wp:positionV>
                <wp:extent cx="5688330" cy="304800"/>
                <wp:effectExtent l="0" t="0" r="0" b="0"/>
                <wp:wrapNone/>
                <wp:docPr id="449" name="Text Box 449"/>
                <wp:cNvGraphicFramePr/>
                <a:graphic xmlns:a="http://schemas.openxmlformats.org/drawingml/2006/main">
                  <a:graphicData uri="http://schemas.microsoft.com/office/word/2010/wordprocessingShape">
                    <wps:wsp>
                      <wps:cNvSpPr txBox="1"/>
                      <wps:spPr>
                        <a:xfrm>
                          <a:off x="0" y="0"/>
                          <a:ext cx="5688330" cy="304800"/>
                        </a:xfrm>
                        <a:prstGeom prst="rect">
                          <a:avLst/>
                        </a:prstGeom>
                        <a:noFill/>
                        <a:ln w="6350">
                          <a:noFill/>
                        </a:ln>
                      </wps:spPr>
                      <wps:txbx>
                        <w:txbxContent>
                          <w:p w14:paraId="6E874809" w14:textId="1EEA3713" w:rsidR="00D15FD8" w:rsidRPr="001B2551" w:rsidRDefault="00D15FD8" w:rsidP="006162E2">
                            <w:pPr>
                              <w:rPr>
                                <w:color w:val="FFFFFF" w:themeColor="background1"/>
                                <w:sz w:val="24"/>
                                <w:szCs w:val="24"/>
                              </w:rPr>
                            </w:pPr>
                            <w:r w:rsidRPr="006162E2">
                              <w:rPr>
                                <w:rFonts w:ascii="Arial" w:hAnsi="Arial" w:cs="Arial"/>
                                <w:color w:val="FFFFFF" w:themeColor="background1"/>
                                <w:sz w:val="24"/>
                                <w:szCs w:val="24"/>
                                <w:lang w:val="en-US"/>
                              </w:rPr>
                              <w:t>facilitating training to build literacy;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A4D353" id="Text Box 449" o:spid="_x0000_s1279" type="#_x0000_t202" style="position:absolute;left:0;text-align:left;margin-left:41.8pt;margin-top:54.2pt;width:447.9pt;height:24pt;z-index:2523699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" filled="f" stroked="f" strokeweight=".5pt">
                <v:textbox>
                  <w:txbxContent>
                    <w:p w14:paraId="6E874809" w14:textId="1EEA3713" w:rsidR="00D15FD8" w:rsidRPr="001B2551" w:rsidRDefault="00D15FD8" w:rsidP="006162E2">
                      <w:pPr>
                        <w:rPr>
                          <w:color w:val="FFFFFF" w:themeColor="background1"/>
                          <w:sz w:val="24"/>
                          <w:szCs w:val="24"/>
                        </w:rPr>
                      </w:pPr>
                      <w:r w:rsidRPr="006162E2">
                        <w:rPr>
                          <w:rFonts w:ascii="Arial" w:hAnsi="Arial" w:cs="Arial"/>
                          <w:color w:val="FFFFFF" w:themeColor="background1"/>
                          <w:sz w:val="24"/>
                          <w:szCs w:val="24"/>
                          <w:lang w:val="en-US"/>
                        </w:rPr>
                        <w:t>facilitating training to build literacy;</w:t>
                      </w:r>
                    </w:p>
                  </w:txbxContent>
                </v:textbox>
              </v:shape>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70942" behindDoc="0" locked="0" layoutInCell="1" allowOverlap="1" wp14:anchorId="69882E11" wp14:editId="1E83F9CC">
                <wp:simplePos x="0" y="0"/>
                <wp:positionH relativeFrom="column">
                  <wp:posOffset>10160</wp:posOffset>
                </wp:positionH>
                <wp:positionV relativeFrom="paragraph">
                  <wp:posOffset>574040</wp:posOffset>
                </wp:positionV>
                <wp:extent cx="523875" cy="523875"/>
                <wp:effectExtent l="0" t="0" r="0" b="0"/>
                <wp:wrapNone/>
                <wp:docPr id="450" name="Oval 450"/>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7E89D1E4" id="Oval 450" o:spid="_x0000_s1026" style="position:absolute;margin-left:.8pt;margin-top:45.2pt;width:41.25pt;height:41.25pt;z-index:2523709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" fillcolor="white [3212]" stroked="f" strokeweight="1pt">
                <v:stroke joinstyle="miter"/>
              </v:oval>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76062" behindDoc="0" locked="0" layoutInCell="1" allowOverlap="1" wp14:anchorId="430ABDA1" wp14:editId="16824454">
                <wp:simplePos x="0" y="0"/>
                <wp:positionH relativeFrom="column">
                  <wp:posOffset>21590</wp:posOffset>
                </wp:positionH>
                <wp:positionV relativeFrom="paragraph">
                  <wp:posOffset>1247775</wp:posOffset>
                </wp:positionV>
                <wp:extent cx="523875" cy="523875"/>
                <wp:effectExtent l="0" t="0" r="0" b="0"/>
                <wp:wrapNone/>
                <wp:docPr id="458" name="Oval 458"/>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562041B4" id="Oval 458" o:spid="_x0000_s1026" style="position:absolute;margin-left:1.7pt;margin-top:98.25pt;width:41.25pt;height:41.25pt;z-index:2523760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" fillcolor="white [3212]" stroked="f" strokeweight="1pt">
                <v:stroke joinstyle="miter"/>
              </v:oval>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75038" behindDoc="0" locked="0" layoutInCell="1" allowOverlap="1" wp14:anchorId="7ED507AA" wp14:editId="6FBBE663">
                <wp:simplePos x="0" y="0"/>
                <wp:positionH relativeFrom="column">
                  <wp:posOffset>531495</wp:posOffset>
                </wp:positionH>
                <wp:positionV relativeFrom="paragraph">
                  <wp:posOffset>1195070</wp:posOffset>
                </wp:positionV>
                <wp:extent cx="5688330" cy="701675"/>
                <wp:effectExtent l="0" t="0" r="0" b="0"/>
                <wp:wrapNone/>
                <wp:docPr id="457" name="Text Box 457"/>
                <wp:cNvGraphicFramePr/>
                <a:graphic xmlns:a="http://schemas.openxmlformats.org/drawingml/2006/main">
                  <a:graphicData uri="http://schemas.microsoft.com/office/word/2010/wordprocessingShape">
                    <wps:wsp>
                      <wps:cNvSpPr txBox="1"/>
                      <wps:spPr>
                        <a:xfrm>
                          <a:off x="0" y="0"/>
                          <a:ext cx="5688330" cy="701675"/>
                        </a:xfrm>
                        <a:prstGeom prst="rect">
                          <a:avLst/>
                        </a:prstGeom>
                        <a:noFill/>
                        <a:ln w="6350">
                          <a:noFill/>
                        </a:ln>
                      </wps:spPr>
                      <wps:txbx>
                        <w:txbxContent>
                          <w:p w14:paraId="168559A0" w14:textId="3FD3E646" w:rsidR="00D15FD8" w:rsidRPr="001B2551" w:rsidRDefault="00D15FD8" w:rsidP="006162E2">
                            <w:pPr>
                              <w:rPr>
                                <w:color w:val="FFFFFF" w:themeColor="background1"/>
                                <w:sz w:val="24"/>
                                <w:szCs w:val="24"/>
                              </w:rPr>
                            </w:pPr>
                            <w:r w:rsidRPr="006162E2">
                              <w:rPr>
                                <w:rFonts w:ascii="Arial" w:hAnsi="Arial" w:cs="Arial"/>
                                <w:color w:val="FFFFFF" w:themeColor="background1"/>
                                <w:sz w:val="24"/>
                                <w:szCs w:val="24"/>
                                <w:lang w:val="en-US"/>
                              </w:rPr>
                              <w:t>assisting it in conducting audits including by identifying audit subjects, passing on information about problems in service delivery and possible instances of misuse of public funds, and conducting their own social audits;</w:t>
                            </w:r>
                            <w:r>
                              <w:rPr>
                                <w:rFonts w:ascii="Arial" w:hAnsi="Arial" w:cs="Arial"/>
                                <w:color w:val="FFFFFF" w:themeColor="background1"/>
                                <w:sz w:val="24"/>
                                <w:szCs w:val="24"/>
                                <w:lang w:val="en-US"/>
                              </w:rPr>
                              <w:t xml:space="preserve"> 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507AA" id="Text Box 457" o:spid="_x0000_s1280" type="#_x0000_t202" style="position:absolute;left:0;text-align:left;margin-left:41.85pt;margin-top:94.1pt;width:447.9pt;height:55.25pt;z-index:252375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" filled="f" stroked="f" strokeweight=".5pt">
                <v:textbox>
                  <w:txbxContent>
                    <w:p w14:paraId="168559A0" w14:textId="3FD3E646" w:rsidR="00D15FD8" w:rsidRPr="001B2551" w:rsidRDefault="00D15FD8" w:rsidP="006162E2">
                      <w:pPr>
                        <w:rPr>
                          <w:color w:val="FFFFFF" w:themeColor="background1"/>
                          <w:sz w:val="24"/>
                          <w:szCs w:val="24"/>
                        </w:rPr>
                      </w:pPr>
                      <w:r w:rsidRPr="006162E2">
                        <w:rPr>
                          <w:rFonts w:ascii="Arial" w:hAnsi="Arial" w:cs="Arial"/>
                          <w:color w:val="FFFFFF" w:themeColor="background1"/>
                          <w:sz w:val="24"/>
                          <w:szCs w:val="24"/>
                          <w:lang w:val="en-US"/>
                        </w:rPr>
                        <w:t>assisting it in conducting audits including by identifying audit subjects, passing on information about problems in service delivery and possible instances of misuse of public funds, and conducting their own social audits;</w:t>
                      </w:r>
                      <w:r>
                        <w:rPr>
                          <w:rFonts w:ascii="Arial" w:hAnsi="Arial" w:cs="Arial"/>
                          <w:color w:val="FFFFFF" w:themeColor="background1"/>
                          <w:sz w:val="24"/>
                          <w:szCs w:val="24"/>
                          <w:lang w:val="en-US"/>
                        </w:rPr>
                        <w:t xml:space="preserve"> and</w:t>
                      </w:r>
                    </w:p>
                  </w:txbxContent>
                </v:textbox>
              </v:shape>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79134" behindDoc="0" locked="0" layoutInCell="1" allowOverlap="1" wp14:anchorId="3191A6BC" wp14:editId="008454F5">
                <wp:simplePos x="0" y="0"/>
                <wp:positionH relativeFrom="column">
                  <wp:posOffset>329565</wp:posOffset>
                </wp:positionH>
                <wp:positionV relativeFrom="paragraph">
                  <wp:posOffset>1960880</wp:posOffset>
                </wp:positionV>
                <wp:extent cx="6240780" cy="541655"/>
                <wp:effectExtent l="0" t="0" r="0" b="4445"/>
                <wp:wrapNone/>
                <wp:docPr id="460" name="Rounded Rectangle 460"/>
                <wp:cNvGraphicFramePr/>
                <a:graphic xmlns:a="http://schemas.openxmlformats.org/drawingml/2006/main">
                  <a:graphicData uri="http://schemas.microsoft.com/office/word/2010/wordprocessingShape">
                    <wps:wsp>
                      <wps:cNvSpPr/>
                      <wps:spPr>
                        <a:xfrm>
                          <a:off x="0" y="0"/>
                          <a:ext cx="6240780" cy="541655"/>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BF15041" id="Rounded Rectangle 460" o:spid="_x0000_s1026" style="position:absolute;margin-left:25.95pt;margin-top:154.4pt;width:491.4pt;height:42.65pt;z-index:252379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" fillcolor="#69557f" stroked="f" strokeweight="1pt">
                <v:stroke joinstyle="miter"/>
              </v:roundrect>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80158" behindDoc="0" locked="0" layoutInCell="1" allowOverlap="1" wp14:anchorId="59D58D46" wp14:editId="7F47CCAF">
                <wp:simplePos x="0" y="0"/>
                <wp:positionH relativeFrom="column">
                  <wp:posOffset>531495</wp:posOffset>
                </wp:positionH>
                <wp:positionV relativeFrom="paragraph">
                  <wp:posOffset>2003425</wp:posOffset>
                </wp:positionV>
                <wp:extent cx="5688330" cy="477520"/>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5688330" cy="477520"/>
                        </a:xfrm>
                        <a:prstGeom prst="rect">
                          <a:avLst/>
                        </a:prstGeom>
                        <a:noFill/>
                        <a:ln w="6350">
                          <a:noFill/>
                        </a:ln>
                      </wps:spPr>
                      <wps:txbx>
                        <w:txbxContent>
                          <w:p w14:paraId="163C50C9" w14:textId="08698355" w:rsidR="00D15FD8" w:rsidRPr="001B2551" w:rsidRDefault="00D15FD8" w:rsidP="006162E2">
                            <w:pPr>
                              <w:rPr>
                                <w:color w:val="FFFFFF" w:themeColor="background1"/>
                                <w:sz w:val="24"/>
                                <w:szCs w:val="24"/>
                              </w:rPr>
                            </w:pPr>
                            <w:r w:rsidRPr="006162E2">
                              <w:rPr>
                                <w:rFonts w:ascii="Arial" w:hAnsi="Arial" w:cs="Arial"/>
                                <w:color w:val="FFFFFF" w:themeColor="background1"/>
                                <w:sz w:val="24"/>
                                <w:szCs w:val="24"/>
                                <w:lang w:val="en-US"/>
                              </w:rPr>
                              <w:t>assisting in holding the executive to account by putting pressure on executive offices to implement audit recommendations.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58D46" id="Text Box 461" o:spid="_x0000_s1281" type="#_x0000_t202" style="position:absolute;left:0;text-align:left;margin-left:41.85pt;margin-top:157.75pt;width:447.9pt;height:37.6pt;z-index:252380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" filled="f" stroked="f" strokeweight=".5pt">
                <v:textbox>
                  <w:txbxContent>
                    <w:p w14:paraId="163C50C9" w14:textId="08698355" w:rsidR="00D15FD8" w:rsidRPr="001B2551" w:rsidRDefault="00D15FD8" w:rsidP="006162E2">
                      <w:pPr>
                        <w:rPr>
                          <w:color w:val="FFFFFF" w:themeColor="background1"/>
                          <w:sz w:val="24"/>
                          <w:szCs w:val="24"/>
                        </w:rPr>
                      </w:pPr>
                      <w:r w:rsidRPr="006162E2">
                        <w:rPr>
                          <w:rFonts w:ascii="Arial" w:hAnsi="Arial" w:cs="Arial"/>
                          <w:color w:val="FFFFFF" w:themeColor="background1"/>
                          <w:sz w:val="24"/>
                          <w:szCs w:val="24"/>
                          <w:lang w:val="en-US"/>
                        </w:rPr>
                        <w:t>assisting in holding the executive to account by putting pressure on executive offices to implement audit recommendations.</w:t>
                      </w:r>
                    </w:p>
                  </w:txbxContent>
                </v:textbox>
              </v:shape>
            </w:pict>
          </mc:Fallback>
        </mc:AlternateContent>
      </w:r>
    </w:p>
    <w:p w14:paraId="59EB1520" w14:textId="13EF3376" w:rsidR="001B2551" w:rsidRDefault="001B2551" w:rsidP="00E07157">
      <w:pPr>
        <w:spacing w:line="276" w:lineRule="auto"/>
        <w:jc w:val="both"/>
        <w:rPr>
          <w:rFonts w:ascii="Arial" w:hAnsi="Arial" w:cs="Arial"/>
          <w:b/>
          <w:bCs/>
          <w:sz w:val="24"/>
          <w:szCs w:val="24"/>
        </w:rPr>
      </w:pPr>
    </w:p>
    <w:p w14:paraId="61EC16F8" w14:textId="5BA96F2F" w:rsidR="001B2551" w:rsidRDefault="001B2551" w:rsidP="00E07157">
      <w:pPr>
        <w:spacing w:line="276" w:lineRule="auto"/>
        <w:jc w:val="both"/>
        <w:rPr>
          <w:rFonts w:ascii="Arial" w:hAnsi="Arial" w:cs="Arial"/>
          <w:b/>
          <w:bCs/>
          <w:sz w:val="24"/>
          <w:szCs w:val="24"/>
        </w:rPr>
      </w:pPr>
    </w:p>
    <w:p w14:paraId="057990AF" w14:textId="1111D188" w:rsidR="001B2551" w:rsidRDefault="00FB77D4" w:rsidP="00E07157">
      <w:pPr>
        <w:spacing w:line="276" w:lineRule="auto"/>
        <w:jc w:val="both"/>
        <w:rPr>
          <w:rFonts w:ascii="Arial" w:hAnsi="Arial" w:cs="Arial"/>
          <w:b/>
          <w:bCs/>
          <w:sz w:val="24"/>
          <w:szCs w:val="24"/>
        </w:rPr>
      </w:pPr>
      <w:r>
        <w:rPr>
          <w:rFonts w:ascii="Arial" w:hAnsi="Arial" w:cs="Arial"/>
          <w:bCs/>
          <w:iCs/>
          <w:noProof/>
          <w:sz w:val="24"/>
          <w:szCs w:val="24"/>
          <w:lang w:val="en-US"/>
        </w:rPr>
        <w:drawing>
          <wp:anchor distT="0" distB="0" distL="114300" distR="114300" simplePos="0" relativeHeight="252385278" behindDoc="0" locked="0" layoutInCell="1" allowOverlap="1" wp14:anchorId="4BDFBB52" wp14:editId="7EB31092">
            <wp:simplePos x="0" y="0"/>
            <wp:positionH relativeFrom="column">
              <wp:posOffset>135890</wp:posOffset>
            </wp:positionH>
            <wp:positionV relativeFrom="paragraph">
              <wp:posOffset>138430</wp:posOffset>
            </wp:positionV>
            <wp:extent cx="287655" cy="235585"/>
            <wp:effectExtent l="0" t="0" r="4445" b="5715"/>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rotWithShape="1">
                    <a:blip r:embed="rId476" cstate="email">
                      <a:extLst>
                        <a:ext uri="{28A0092B-C50C-407E-A947-70E740481C1C}">
                          <a14:useLocalDpi xmlns:a14="http://schemas.microsoft.com/office/drawing/2010/main"/>
                        </a:ext>
                      </a:extLst>
                    </a:blip>
                    <a:srcRect/>
                    <a:stretch/>
                  </pic:blipFill>
                  <pic:spPr bwMode="auto">
                    <a:xfrm>
                      <a:off x="0" y="0"/>
                      <a:ext cx="287655" cy="235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16988A"/>
          <w:sz w:val="24"/>
          <w:szCs w:val="24"/>
          <w:lang w:val="en-US"/>
        </w:rPr>
        <mc:AlternateContent>
          <mc:Choice Requires="wps">
            <w:drawing>
              <wp:anchor distT="0" distB="0" distL="114300" distR="114300" simplePos="0" relativeHeight="252371966" behindDoc="0" locked="0" layoutInCell="1" allowOverlap="1" wp14:anchorId="7271C2B0" wp14:editId="391BE87F">
                <wp:simplePos x="0" y="0"/>
                <wp:positionH relativeFrom="column">
                  <wp:posOffset>59690</wp:posOffset>
                </wp:positionH>
                <wp:positionV relativeFrom="paragraph">
                  <wp:posOffset>7677</wp:posOffset>
                </wp:positionV>
                <wp:extent cx="438785" cy="438785"/>
                <wp:effectExtent l="12700" t="12700" r="18415" b="18415"/>
                <wp:wrapNone/>
                <wp:docPr id="451" name="Oval 451"/>
                <wp:cNvGraphicFramePr/>
                <a:graphic xmlns:a="http://schemas.openxmlformats.org/drawingml/2006/main">
                  <a:graphicData uri="http://schemas.microsoft.com/office/word/2010/wordprocessingShape">
                    <wps:wsp>
                      <wps:cNvSpPr/>
                      <wps:spPr>
                        <a:xfrm>
                          <a:off x="0" y="0"/>
                          <a:ext cx="438785" cy="438785"/>
                        </a:xfrm>
                        <a:prstGeom prst="ellipse">
                          <a:avLst/>
                        </a:prstGeom>
                        <a:solidFill>
                          <a:schemeClr val="bg1"/>
                        </a:solidFill>
                        <a:ln w="19050">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6F0510A8" id="Oval 451" o:spid="_x0000_s1026" style="position:absolute;margin-left:4.7pt;margin-top:.6pt;width:34.55pt;height:34.55pt;z-index:252371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" fillcolor="white [3212]" strokecolor="#69557f" strokeweight="1.5pt">
                <v:stroke joinstyle="miter"/>
              </v:oval>
            </w:pict>
          </mc:Fallback>
        </mc:AlternateContent>
      </w:r>
    </w:p>
    <w:p w14:paraId="1C8C5AB4" w14:textId="4AE8F225" w:rsidR="006162E2" w:rsidRDefault="006162E2" w:rsidP="00E07157">
      <w:pPr>
        <w:spacing w:line="276" w:lineRule="auto"/>
        <w:jc w:val="both"/>
        <w:rPr>
          <w:rFonts w:ascii="Arial" w:hAnsi="Arial" w:cs="Arial"/>
          <w:b/>
          <w:bCs/>
          <w:sz w:val="24"/>
          <w:szCs w:val="24"/>
        </w:rPr>
      </w:pPr>
    </w:p>
    <w:p w14:paraId="0CCF64C9" w14:textId="737355F5" w:rsidR="006162E2" w:rsidRDefault="006162E2" w:rsidP="00E07157">
      <w:pPr>
        <w:spacing w:line="276" w:lineRule="auto"/>
        <w:jc w:val="both"/>
        <w:rPr>
          <w:rFonts w:ascii="Arial" w:hAnsi="Arial" w:cs="Arial"/>
          <w:b/>
          <w:bCs/>
          <w:sz w:val="24"/>
          <w:szCs w:val="24"/>
        </w:rPr>
      </w:pPr>
      <w:r>
        <w:rPr>
          <w:rFonts w:ascii="Arial" w:hAnsi="Arial" w:cs="Arial"/>
          <w:noProof/>
          <w:color w:val="16988A"/>
          <w:sz w:val="24"/>
          <w:szCs w:val="24"/>
          <w:lang w:val="en-US"/>
        </w:rPr>
        <mc:AlternateContent>
          <mc:Choice Requires="wps">
            <w:drawing>
              <wp:anchor distT="0" distB="0" distL="114300" distR="114300" simplePos="0" relativeHeight="252374014" behindDoc="0" locked="0" layoutInCell="1" allowOverlap="1" wp14:anchorId="750A9765" wp14:editId="126C48B6">
                <wp:simplePos x="0" y="0"/>
                <wp:positionH relativeFrom="column">
                  <wp:posOffset>329565</wp:posOffset>
                </wp:positionH>
                <wp:positionV relativeFrom="paragraph">
                  <wp:posOffset>145778</wp:posOffset>
                </wp:positionV>
                <wp:extent cx="6240780" cy="701749"/>
                <wp:effectExtent l="0" t="0" r="0" b="0"/>
                <wp:wrapNone/>
                <wp:docPr id="456" name="Rounded Rectangle 456"/>
                <wp:cNvGraphicFramePr/>
                <a:graphic xmlns:a="http://schemas.openxmlformats.org/drawingml/2006/main">
                  <a:graphicData uri="http://schemas.microsoft.com/office/word/2010/wordprocessingShape">
                    <wps:wsp>
                      <wps:cNvSpPr/>
                      <wps:spPr>
                        <a:xfrm>
                          <a:off x="0" y="0"/>
                          <a:ext cx="6240780" cy="701749"/>
                        </a:xfrm>
                        <a:prstGeom prst="roundRect">
                          <a:avLst>
                            <a:gd name="adj" fmla="val 8667"/>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64F6398" id="Rounded Rectangle 456" o:spid="_x0000_s1026" style="position:absolute;margin-left:25.95pt;margin-top:11.5pt;width:491.4pt;height:55.25pt;z-index:252374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" fillcolor="#69557f" stroked="f" strokeweight="1pt">
                <v:stroke joinstyle="miter"/>
              </v:roundrect>
            </w:pict>
          </mc:Fallback>
        </mc:AlternateContent>
      </w:r>
    </w:p>
    <w:p w14:paraId="1F078AD8" w14:textId="5F31C48D" w:rsidR="006162E2" w:rsidRDefault="009E337A" w:rsidP="00E07157">
      <w:pPr>
        <w:spacing w:line="276" w:lineRule="auto"/>
        <w:jc w:val="both"/>
        <w:rPr>
          <w:rFonts w:ascii="Arial" w:hAnsi="Arial" w:cs="Arial"/>
          <w:b/>
          <w:bCs/>
          <w:sz w:val="24"/>
          <w:szCs w:val="24"/>
        </w:rPr>
      </w:pPr>
      <w:r>
        <w:rPr>
          <w:rFonts w:ascii="Arial" w:hAnsi="Arial" w:cs="Arial"/>
          <w:noProof/>
          <w:color w:val="16988A"/>
          <w:sz w:val="24"/>
          <w:szCs w:val="24"/>
          <w:lang w:val="en-US"/>
        </w:rPr>
        <mc:AlternateContent>
          <mc:Choice Requires="wps">
            <w:drawing>
              <wp:anchor distT="0" distB="0" distL="114300" distR="114300" simplePos="0" relativeHeight="252377086" behindDoc="0" locked="0" layoutInCell="1" allowOverlap="1" wp14:anchorId="0711D0E9" wp14:editId="6C1EA06C">
                <wp:simplePos x="0" y="0"/>
                <wp:positionH relativeFrom="column">
                  <wp:posOffset>69215</wp:posOffset>
                </wp:positionH>
                <wp:positionV relativeFrom="paragraph">
                  <wp:posOffset>80645</wp:posOffset>
                </wp:positionV>
                <wp:extent cx="438785" cy="438785"/>
                <wp:effectExtent l="12700" t="12700" r="18415" b="18415"/>
                <wp:wrapNone/>
                <wp:docPr id="459" name="Oval 459"/>
                <wp:cNvGraphicFramePr/>
                <a:graphic xmlns:a="http://schemas.openxmlformats.org/drawingml/2006/main">
                  <a:graphicData uri="http://schemas.microsoft.com/office/word/2010/wordprocessingShape">
                    <wps:wsp>
                      <wps:cNvSpPr/>
                      <wps:spPr>
                        <a:xfrm>
                          <a:off x="0" y="0"/>
                          <a:ext cx="438785" cy="438785"/>
                        </a:xfrm>
                        <a:prstGeom prst="ellipse">
                          <a:avLst/>
                        </a:prstGeom>
                        <a:solidFill>
                          <a:schemeClr val="bg1"/>
                        </a:solidFill>
                        <a:ln w="19050">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74161656" id="Oval 459" o:spid="_x0000_s1026" style="position:absolute;margin-left:5.45pt;margin-top:6.35pt;width:34.55pt;height:34.55pt;z-index:252377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" fillcolor="white [3212]" strokecolor="#69557f" strokeweight="1.5pt">
                <v:stroke joinstyle="miter"/>
              </v:oval>
            </w:pict>
          </mc:Fallback>
        </mc:AlternateContent>
      </w:r>
      <w:r>
        <w:rPr>
          <w:rFonts w:ascii="Arial" w:hAnsi="Arial" w:cs="Arial"/>
          <w:bCs/>
          <w:iCs/>
          <w:noProof/>
          <w:sz w:val="24"/>
          <w:szCs w:val="24"/>
          <w:lang w:val="en-US"/>
        </w:rPr>
        <w:drawing>
          <wp:anchor distT="0" distB="0" distL="114300" distR="114300" simplePos="0" relativeHeight="252387326" behindDoc="0" locked="0" layoutInCell="1" allowOverlap="1" wp14:anchorId="2CD3427C" wp14:editId="5B1913EF">
            <wp:simplePos x="0" y="0"/>
            <wp:positionH relativeFrom="column">
              <wp:posOffset>146050</wp:posOffset>
            </wp:positionH>
            <wp:positionV relativeFrom="paragraph">
              <wp:posOffset>202731</wp:posOffset>
            </wp:positionV>
            <wp:extent cx="287655" cy="235585"/>
            <wp:effectExtent l="0" t="0" r="4445" b="5715"/>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rotWithShape="1">
                    <a:blip r:embed="rId476" cstate="email">
                      <a:extLst>
                        <a:ext uri="{28A0092B-C50C-407E-A947-70E740481C1C}">
                          <a14:useLocalDpi xmlns:a14="http://schemas.microsoft.com/office/drawing/2010/main"/>
                        </a:ext>
                      </a:extLst>
                    </a:blip>
                    <a:srcRect/>
                    <a:stretch/>
                  </pic:blipFill>
                  <pic:spPr bwMode="auto">
                    <a:xfrm>
                      <a:off x="0" y="0"/>
                      <a:ext cx="287655" cy="235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766181" w14:textId="09F9A929" w:rsidR="006162E2" w:rsidRDefault="006162E2" w:rsidP="00E07157">
      <w:pPr>
        <w:spacing w:line="276" w:lineRule="auto"/>
        <w:jc w:val="both"/>
        <w:rPr>
          <w:rFonts w:ascii="Arial" w:hAnsi="Arial" w:cs="Arial"/>
          <w:b/>
          <w:bCs/>
          <w:sz w:val="24"/>
          <w:szCs w:val="24"/>
        </w:rPr>
      </w:pPr>
    </w:p>
    <w:p w14:paraId="7680B7CA" w14:textId="6CFE76FD" w:rsidR="006162E2" w:rsidRDefault="006162E2" w:rsidP="00E07157">
      <w:pPr>
        <w:spacing w:line="276" w:lineRule="auto"/>
        <w:jc w:val="both"/>
        <w:rPr>
          <w:rFonts w:ascii="Arial" w:hAnsi="Arial" w:cs="Arial"/>
          <w:b/>
          <w:bCs/>
          <w:sz w:val="24"/>
          <w:szCs w:val="24"/>
        </w:rPr>
      </w:pPr>
    </w:p>
    <w:p w14:paraId="7F3BC3B8" w14:textId="061E5072" w:rsidR="006162E2" w:rsidRDefault="0047357C" w:rsidP="00E07157">
      <w:pPr>
        <w:spacing w:line="276" w:lineRule="auto"/>
        <w:jc w:val="both"/>
        <w:rPr>
          <w:rFonts w:ascii="Arial" w:hAnsi="Arial" w:cs="Arial"/>
          <w:b/>
          <w:bCs/>
          <w:sz w:val="24"/>
          <w:szCs w:val="24"/>
        </w:rPr>
      </w:pPr>
      <w:r>
        <w:rPr>
          <w:rFonts w:ascii="Arial" w:hAnsi="Arial" w:cs="Arial"/>
          <w:noProof/>
          <w:color w:val="16988A"/>
          <w:sz w:val="24"/>
          <w:szCs w:val="24"/>
          <w:lang w:val="en-US"/>
        </w:rPr>
        <mc:AlternateContent>
          <mc:Choice Requires="wps">
            <w:drawing>
              <wp:anchor distT="0" distB="0" distL="114300" distR="114300" simplePos="0" relativeHeight="252382206" behindDoc="0" locked="0" layoutInCell="1" allowOverlap="1" wp14:anchorId="77F83A12" wp14:editId="33BF6507">
                <wp:simplePos x="0" y="0"/>
                <wp:positionH relativeFrom="column">
                  <wp:posOffset>58420</wp:posOffset>
                </wp:positionH>
                <wp:positionV relativeFrom="paragraph">
                  <wp:posOffset>197088</wp:posOffset>
                </wp:positionV>
                <wp:extent cx="438785" cy="438785"/>
                <wp:effectExtent l="12700" t="12700" r="18415" b="18415"/>
                <wp:wrapNone/>
                <wp:docPr id="463" name="Oval 463"/>
                <wp:cNvGraphicFramePr/>
                <a:graphic xmlns:a="http://schemas.openxmlformats.org/drawingml/2006/main">
                  <a:graphicData uri="http://schemas.microsoft.com/office/word/2010/wordprocessingShape">
                    <wps:wsp>
                      <wps:cNvSpPr/>
                      <wps:spPr>
                        <a:xfrm>
                          <a:off x="0" y="0"/>
                          <a:ext cx="438785" cy="438785"/>
                        </a:xfrm>
                        <a:prstGeom prst="ellipse">
                          <a:avLst/>
                        </a:prstGeom>
                        <a:solidFill>
                          <a:schemeClr val="bg1"/>
                        </a:solidFill>
                        <a:ln w="19050">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4047F245" id="Oval 463" o:spid="_x0000_s1026" style="position:absolute;margin-left:4.6pt;margin-top:15.5pt;width:34.55pt;height:34.55pt;z-index:252382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" fillcolor="white [3212]" strokecolor="#69557f" strokeweight="1.5pt">
                <v:stroke joinstyle="miter"/>
              </v:oval>
            </w:pict>
          </mc:Fallback>
        </mc:AlternateContent>
      </w:r>
      <w:r w:rsidR="006162E2">
        <w:rPr>
          <w:rFonts w:ascii="Arial" w:hAnsi="Arial" w:cs="Arial"/>
          <w:noProof/>
          <w:color w:val="16988A"/>
          <w:sz w:val="24"/>
          <w:szCs w:val="24"/>
          <w:lang w:val="en-US"/>
        </w:rPr>
        <mc:AlternateContent>
          <mc:Choice Requires="wps">
            <w:drawing>
              <wp:anchor distT="0" distB="0" distL="114300" distR="114300" simplePos="0" relativeHeight="252381182" behindDoc="0" locked="0" layoutInCell="1" allowOverlap="1" wp14:anchorId="4DA81F98" wp14:editId="6E2C1054">
                <wp:simplePos x="0" y="0"/>
                <wp:positionH relativeFrom="column">
                  <wp:posOffset>10160</wp:posOffset>
                </wp:positionH>
                <wp:positionV relativeFrom="paragraph">
                  <wp:posOffset>156573</wp:posOffset>
                </wp:positionV>
                <wp:extent cx="523875" cy="523875"/>
                <wp:effectExtent l="0" t="0" r="0" b="0"/>
                <wp:wrapNone/>
                <wp:docPr id="462" name="Oval 462"/>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51A2D22E" id="Oval 462" o:spid="_x0000_s1026" style="position:absolute;margin-left:.8pt;margin-top:12.35pt;width:41.25pt;height:41.25pt;z-index:2523811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" fillcolor="white [3212]" stroked="f" strokeweight="1pt">
                <v:stroke joinstyle="miter"/>
              </v:oval>
            </w:pict>
          </mc:Fallback>
        </mc:AlternateContent>
      </w:r>
    </w:p>
    <w:p w14:paraId="313D35AE" w14:textId="1CC67FB7" w:rsidR="006162E2" w:rsidRDefault="0047357C" w:rsidP="00E07157">
      <w:pPr>
        <w:spacing w:line="276" w:lineRule="auto"/>
        <w:jc w:val="both"/>
        <w:rPr>
          <w:rFonts w:ascii="Arial" w:hAnsi="Arial" w:cs="Arial"/>
          <w:b/>
          <w:bCs/>
          <w:sz w:val="24"/>
          <w:szCs w:val="24"/>
        </w:rPr>
      </w:pPr>
      <w:r>
        <w:rPr>
          <w:rFonts w:ascii="Arial" w:hAnsi="Arial" w:cs="Arial"/>
          <w:bCs/>
          <w:iCs/>
          <w:noProof/>
          <w:sz w:val="24"/>
          <w:szCs w:val="24"/>
          <w:lang w:val="en-US"/>
        </w:rPr>
        <w:drawing>
          <wp:anchor distT="0" distB="0" distL="114300" distR="114300" simplePos="0" relativeHeight="252389374" behindDoc="0" locked="0" layoutInCell="1" allowOverlap="1" wp14:anchorId="208882A2" wp14:editId="509399DB">
            <wp:simplePos x="0" y="0"/>
            <wp:positionH relativeFrom="column">
              <wp:posOffset>133350</wp:posOffset>
            </wp:positionH>
            <wp:positionV relativeFrom="paragraph">
              <wp:posOffset>129778</wp:posOffset>
            </wp:positionV>
            <wp:extent cx="288000" cy="235940"/>
            <wp:effectExtent l="0" t="0" r="4445" b="5715"/>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rotWithShape="1">
                    <a:blip r:embed="rId477" cstate="email">
                      <a:extLst>
                        <a:ext uri="{28A0092B-C50C-407E-A947-70E740481C1C}">
                          <a14:useLocalDpi xmlns:a14="http://schemas.microsoft.com/office/drawing/2010/main"/>
                        </a:ext>
                      </a:extLst>
                    </a:blip>
                    <a:srcRect/>
                    <a:stretch/>
                  </pic:blipFill>
                  <pic:spPr bwMode="auto">
                    <a:xfrm>
                      <a:off x="0" y="0"/>
                      <a:ext cx="288000" cy="235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4B032" w14:textId="201CAC17" w:rsidR="006162E2" w:rsidRDefault="006162E2" w:rsidP="00E07157">
      <w:pPr>
        <w:spacing w:line="276" w:lineRule="auto"/>
        <w:jc w:val="both"/>
        <w:rPr>
          <w:rFonts w:ascii="Arial" w:hAnsi="Arial" w:cs="Arial"/>
          <w:b/>
          <w:bCs/>
          <w:sz w:val="24"/>
          <w:szCs w:val="24"/>
        </w:rPr>
      </w:pPr>
    </w:p>
    <w:p w14:paraId="60555870" w14:textId="77777777" w:rsidR="00ED478E" w:rsidRDefault="00ED478E" w:rsidP="00E07157">
      <w:pPr>
        <w:spacing w:line="276" w:lineRule="auto"/>
        <w:jc w:val="both"/>
        <w:rPr>
          <w:rFonts w:ascii="Arial" w:hAnsi="Arial" w:cs="Arial"/>
          <w:b/>
          <w:bCs/>
          <w:sz w:val="24"/>
          <w:szCs w:val="24"/>
          <w:lang w:val="en-ZA"/>
        </w:rPr>
      </w:pPr>
    </w:p>
    <w:p w14:paraId="5751298A" w14:textId="35AC5402" w:rsidR="00E07157" w:rsidRDefault="00E07157" w:rsidP="00E07157">
      <w:pPr>
        <w:spacing w:line="276" w:lineRule="auto"/>
        <w:jc w:val="both"/>
        <w:rPr>
          <w:rFonts w:ascii="Arial" w:hAnsi="Arial" w:cs="Arial"/>
          <w:bCs/>
          <w:iCs/>
          <w:sz w:val="24"/>
          <w:szCs w:val="24"/>
          <w:lang w:val="en-ZA"/>
        </w:rPr>
      </w:pPr>
      <w:r w:rsidRPr="00ED478E">
        <w:rPr>
          <w:rFonts w:ascii="Arial" w:hAnsi="Arial" w:cs="Arial"/>
          <w:sz w:val="24"/>
          <w:szCs w:val="24"/>
          <w:lang w:val="en-ZA"/>
        </w:rPr>
        <w:t>T</w:t>
      </w:r>
      <w:r w:rsidRPr="00E07157">
        <w:rPr>
          <w:rFonts w:ascii="Arial" w:hAnsi="Arial" w:cs="Arial"/>
          <w:sz w:val="24"/>
          <w:szCs w:val="24"/>
          <w:lang w:val="en-ZA"/>
        </w:rPr>
        <w:t xml:space="preserve">he </w:t>
      </w:r>
      <w:r w:rsidRPr="00E07157">
        <w:rPr>
          <w:rFonts w:ascii="Arial" w:hAnsi="Arial" w:cs="Arial"/>
          <w:sz w:val="24"/>
          <w:szCs w:val="24"/>
        </w:rPr>
        <w:t xml:space="preserve">legislature has a particularly important role to play in this regard by opening up and enabling other actors to participate in parliamentary processes in each stage of the fiscal policy cycle, and by potentially adopting formal mechanisms </w:t>
      </w:r>
      <w:r w:rsidRPr="00E07157">
        <w:rPr>
          <w:rFonts w:ascii="Arial" w:hAnsi="Arial" w:cs="Arial"/>
          <w:bCs/>
          <w:iCs/>
          <w:sz w:val="24"/>
          <w:szCs w:val="24"/>
        </w:rPr>
        <w:t xml:space="preserve">to help ensure that remedial action is taken in response to adverse findings in external audit reports. These mechanisms include a regulatory requirement wherein the audited agency needs to respond to audit findings publicly, in writing, and to indicate the actions it will take in response; and that the public accounts committee then actively follows up and reports on the executive’s implementation of these remedial actions. Owing to the importance of this and accountability weaknesses found in this area; initiatives and research are being undertaken in an attempt to strengthen the link between audits and their enforcement leading to </w:t>
      </w:r>
      <w:r w:rsidRPr="00E07157">
        <w:rPr>
          <w:rFonts w:ascii="Arial" w:hAnsi="Arial" w:cs="Arial"/>
          <w:bCs/>
          <w:iCs/>
          <w:sz w:val="24"/>
          <w:szCs w:val="24"/>
        </w:rPr>
        <w:lastRenderedPageBreak/>
        <w:t xml:space="preserve">accountability, including the IBP’s </w:t>
      </w:r>
      <w:hyperlink r:id="rId478" w:history="1">
        <w:r w:rsidRPr="00E07157">
          <w:rPr>
            <w:rFonts w:ascii="Arial" w:hAnsi="Arial" w:cs="Arial"/>
            <w:bCs/>
            <w:iCs/>
            <w:color w:val="0563C1" w:themeColor="hyperlink"/>
            <w:sz w:val="24"/>
            <w:szCs w:val="24"/>
            <w:u w:val="single"/>
          </w:rPr>
          <w:t>Audit Accountability Initiative</w:t>
        </w:r>
      </w:hyperlink>
      <w:r w:rsidRPr="00E07157">
        <w:rPr>
          <w:rFonts w:ascii="Arial" w:hAnsi="Arial" w:cs="Arial"/>
          <w:bCs/>
          <w:iCs/>
          <w:sz w:val="24"/>
          <w:szCs w:val="24"/>
        </w:rPr>
        <w:t xml:space="preserve">. This matter has also been the subject of a </w:t>
      </w:r>
      <w:hyperlink r:id="rId479" w:history="1">
        <w:r w:rsidRPr="00E07157">
          <w:rPr>
            <w:rFonts w:ascii="Arial" w:hAnsi="Arial" w:cs="Arial"/>
            <w:bCs/>
            <w:iCs/>
            <w:color w:val="0563C1" w:themeColor="hyperlink"/>
            <w:sz w:val="24"/>
            <w:szCs w:val="24"/>
            <w:u w:val="single"/>
          </w:rPr>
          <w:t>court case in Ghana</w:t>
        </w:r>
      </w:hyperlink>
      <w:r w:rsidRPr="00E07157">
        <w:rPr>
          <w:rFonts w:ascii="Arial" w:hAnsi="Arial" w:cs="Arial"/>
          <w:bCs/>
          <w:iCs/>
          <w:sz w:val="24"/>
          <w:szCs w:val="24"/>
        </w:rPr>
        <w:t xml:space="preserve">, where Occupy Ghana approached the judiciary seeking to force the Auditor-General to go beyond the issuance of audit reports, to also ensure that its findings are actually enforced by the executive. Lastly, </w:t>
      </w:r>
      <w:r w:rsidRPr="00E07157">
        <w:rPr>
          <w:rFonts w:ascii="Arial" w:hAnsi="Arial" w:cs="Arial"/>
          <w:bCs/>
          <w:iCs/>
          <w:sz w:val="24"/>
          <w:szCs w:val="24"/>
          <w:lang w:val="en-ZA"/>
        </w:rPr>
        <w:t xml:space="preserve">other actors, particularly international organizations and donors, can assist the supreme audit institution by emphasizing transparency, participation, and accountability when they are deciding which programs to support, and by directly supporting audit </w:t>
      </w:r>
      <w:r w:rsidR="00832C78">
        <w:rPr>
          <w:rFonts w:ascii="Arial" w:hAnsi="Arial" w:cs="Arial"/>
          <w:bCs/>
          <w:iCs/>
          <w:noProof/>
          <w:sz w:val="24"/>
          <w:szCs w:val="24"/>
          <w:lang w:val="en-US"/>
        </w:rPr>
        <w:drawing>
          <wp:anchor distT="0" distB="0" distL="114300" distR="114300" simplePos="0" relativeHeight="254819326" behindDoc="1" locked="0" layoutInCell="1" allowOverlap="1" wp14:anchorId="68900BB0" wp14:editId="7D7FC071">
            <wp:simplePos x="0" y="0"/>
            <wp:positionH relativeFrom="column">
              <wp:posOffset>-254000</wp:posOffset>
            </wp:positionH>
            <wp:positionV relativeFrom="paragraph">
              <wp:posOffset>1414780</wp:posOffset>
            </wp:positionV>
            <wp:extent cx="6645910" cy="1447800"/>
            <wp:effectExtent l="0" t="0" r="0" b="0"/>
            <wp:wrapNone/>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 name="Picture 2677"/>
                    <pic:cNvPicPr/>
                  </pic:nvPicPr>
                  <pic:blipFill rotWithShape="1">
                    <a:blip r:embed="rId480" cstate="screen">
                      <a:extLst>
                        <a:ext uri="{28A0092B-C50C-407E-A947-70E740481C1C}">
                          <a14:useLocalDpi xmlns:a14="http://schemas.microsoft.com/office/drawing/2010/main"/>
                        </a:ext>
                      </a:extLst>
                    </a:blip>
                    <a:srcRect/>
                    <a:stretch/>
                  </pic:blipFill>
                  <pic:spPr bwMode="auto">
                    <a:xfrm>
                      <a:off x="0" y="0"/>
                      <a:ext cx="6645910"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7157">
        <w:rPr>
          <w:rFonts w:ascii="Arial" w:hAnsi="Arial" w:cs="Arial"/>
          <w:bCs/>
          <w:iCs/>
          <w:sz w:val="24"/>
          <w:szCs w:val="24"/>
          <w:lang w:val="en-ZA"/>
        </w:rPr>
        <w:t>capacity-building efforts.</w:t>
      </w:r>
    </w:p>
    <w:p w14:paraId="2764E9E3" w14:textId="2747F407" w:rsidR="009E337A" w:rsidRDefault="009E337A" w:rsidP="00E07157">
      <w:pPr>
        <w:spacing w:line="276" w:lineRule="auto"/>
        <w:jc w:val="both"/>
        <w:rPr>
          <w:rFonts w:ascii="Arial" w:hAnsi="Arial" w:cs="Arial"/>
          <w:bCs/>
          <w:iCs/>
          <w:sz w:val="24"/>
          <w:szCs w:val="24"/>
          <w:lang w:val="en-ZA"/>
        </w:rPr>
      </w:pPr>
    </w:p>
    <w:p w14:paraId="487CC27A" w14:textId="2158975A" w:rsidR="009E337A" w:rsidRPr="00E07157" w:rsidRDefault="00AB3FA0" w:rsidP="00E07157">
      <w:pPr>
        <w:spacing w:line="276" w:lineRule="auto"/>
        <w:jc w:val="both"/>
        <w:rPr>
          <w:rFonts w:ascii="Arial" w:hAnsi="Arial" w:cs="Arial"/>
          <w:sz w:val="24"/>
          <w:szCs w:val="24"/>
        </w:rPr>
      </w:pPr>
      <w:r>
        <w:rPr>
          <w:rFonts w:ascii="Arial" w:hAnsi="Arial" w:cs="Arial"/>
          <w:b/>
          <w:bCs/>
          <w:noProof/>
          <w:color w:val="ED5625"/>
          <w:lang w:val="en-US"/>
        </w:rPr>
        <mc:AlternateContent>
          <mc:Choice Requires="wps">
            <w:drawing>
              <wp:anchor distT="0" distB="0" distL="114300" distR="114300" simplePos="0" relativeHeight="252392446" behindDoc="0" locked="0" layoutInCell="1" allowOverlap="1" wp14:anchorId="231A3FD7" wp14:editId="61A660F6">
                <wp:simplePos x="0" y="0"/>
                <wp:positionH relativeFrom="margin">
                  <wp:posOffset>1231900</wp:posOffset>
                </wp:positionH>
                <wp:positionV relativeFrom="paragraph">
                  <wp:posOffset>182880</wp:posOffset>
                </wp:positionV>
                <wp:extent cx="4406900" cy="619125"/>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4406900" cy="619125"/>
                        </a:xfrm>
                        <a:prstGeom prst="rect">
                          <a:avLst/>
                        </a:prstGeom>
                        <a:noFill/>
                        <a:ln w="6350">
                          <a:noFill/>
                        </a:ln>
                      </wps:spPr>
                      <wps:txbx>
                        <w:txbxContent>
                          <w:p w14:paraId="250730C3" w14:textId="465F13FD" w:rsidR="00D15FD8" w:rsidRPr="00AB3FA0" w:rsidRDefault="00D15FD8" w:rsidP="009E337A">
                            <w:pPr>
                              <w:pStyle w:val="Heading1"/>
                              <w:rPr>
                                <w:rFonts w:ascii="Arial" w:hAnsi="Arial" w:cs="Arial"/>
                                <w:b/>
                                <w:bCs/>
                                <w:color w:val="FFFFFF" w:themeColor="background1"/>
                                <w:sz w:val="38"/>
                                <w:szCs w:val="38"/>
                                <w:lang w:val="en-US"/>
                              </w:rPr>
                            </w:pPr>
                            <w:bookmarkStart w:id="1014" w:name="_Public_participation"/>
                            <w:bookmarkStart w:id="1015" w:name="_Toc123828142"/>
                            <w:bookmarkStart w:id="1016" w:name="_Toc123828352"/>
                            <w:bookmarkStart w:id="1017" w:name="_Toc123828548"/>
                            <w:bookmarkStart w:id="1018" w:name="_Toc123912575"/>
                            <w:bookmarkStart w:id="1019" w:name="_Toc123912834"/>
                            <w:bookmarkStart w:id="1020" w:name="_Toc123913061"/>
                            <w:bookmarkStart w:id="1021" w:name="_Toc123914008"/>
                            <w:bookmarkStart w:id="1022" w:name="_Toc125566627"/>
                            <w:bookmarkEnd w:id="1014"/>
                            <w:r w:rsidRPr="00AB3FA0">
                              <w:rPr>
                                <w:rFonts w:ascii="Arial" w:hAnsi="Arial" w:cs="Arial"/>
                                <w:b/>
                                <w:bCs/>
                                <w:color w:val="FFFFFF" w:themeColor="background1"/>
                                <w:sz w:val="38"/>
                                <w:szCs w:val="38"/>
                                <w:lang w:val="en-US"/>
                              </w:rPr>
                              <w:t>Public participation</w:t>
                            </w:r>
                            <w:bookmarkEnd w:id="1015"/>
                            <w:bookmarkEnd w:id="1016"/>
                            <w:bookmarkEnd w:id="1017"/>
                            <w:bookmarkEnd w:id="1018"/>
                            <w:bookmarkEnd w:id="1019"/>
                            <w:bookmarkEnd w:id="1020"/>
                            <w:bookmarkEnd w:id="1021"/>
                            <w:bookmarkEnd w:id="102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A3FD7" id="Text Box 469" o:spid="_x0000_s1282" type="#_x0000_t202" style="position:absolute;left:0;text-align:left;margin-left:97pt;margin-top:14.4pt;width:347pt;height:48.75pt;z-index:252392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" filled="f" stroked="f" strokeweight=".5pt">
                <v:textbox>
                  <w:txbxContent>
                    <w:p w14:paraId="250730C3" w14:textId="465F13FD" w:rsidR="00D15FD8" w:rsidRPr="00AB3FA0" w:rsidRDefault="00D15FD8" w:rsidP="009E337A">
                      <w:pPr>
                        <w:pStyle w:val="Heading1"/>
                        <w:rPr>
                          <w:rFonts w:ascii="Arial" w:hAnsi="Arial" w:cs="Arial"/>
                          <w:b/>
                          <w:bCs/>
                          <w:color w:val="FFFFFF" w:themeColor="background1"/>
                          <w:sz w:val="38"/>
                          <w:szCs w:val="38"/>
                          <w:lang w:val="en-US"/>
                        </w:rPr>
                      </w:pPr>
                      <w:bookmarkStart w:id="1023" w:name="_Public_participation"/>
                      <w:bookmarkStart w:id="1024" w:name="_Toc123828142"/>
                      <w:bookmarkStart w:id="1025" w:name="_Toc123828352"/>
                      <w:bookmarkStart w:id="1026" w:name="_Toc123828548"/>
                      <w:bookmarkStart w:id="1027" w:name="_Toc123912575"/>
                      <w:bookmarkStart w:id="1028" w:name="_Toc123912834"/>
                      <w:bookmarkStart w:id="1029" w:name="_Toc123913061"/>
                      <w:bookmarkStart w:id="1030" w:name="_Toc123914008"/>
                      <w:bookmarkStart w:id="1031" w:name="_Toc125566627"/>
                      <w:bookmarkEnd w:id="1023"/>
                      <w:r w:rsidRPr="00AB3FA0">
                        <w:rPr>
                          <w:rFonts w:ascii="Arial" w:hAnsi="Arial" w:cs="Arial"/>
                          <w:b/>
                          <w:bCs/>
                          <w:color w:val="FFFFFF" w:themeColor="background1"/>
                          <w:sz w:val="38"/>
                          <w:szCs w:val="38"/>
                          <w:lang w:val="en-US"/>
                        </w:rPr>
                        <w:t>Public participation</w:t>
                      </w:r>
                      <w:bookmarkEnd w:id="1024"/>
                      <w:bookmarkEnd w:id="1025"/>
                      <w:bookmarkEnd w:id="1026"/>
                      <w:bookmarkEnd w:id="1027"/>
                      <w:bookmarkEnd w:id="1028"/>
                      <w:bookmarkEnd w:id="1029"/>
                      <w:bookmarkEnd w:id="1030"/>
                      <w:bookmarkEnd w:id="1031"/>
                    </w:p>
                  </w:txbxContent>
                </v:textbox>
                <w10:wrap anchorx="margin"/>
              </v:shape>
            </w:pict>
          </mc:Fallback>
        </mc:AlternateContent>
      </w:r>
      <w:r w:rsidR="00832C78">
        <w:rPr>
          <w:rFonts w:ascii="Arial" w:hAnsi="Arial" w:cs="Arial"/>
          <w:b/>
          <w:bCs/>
          <w:noProof/>
          <w:color w:val="ED5625"/>
          <w:lang w:val="en-US"/>
        </w:rPr>
        <mc:AlternateContent>
          <mc:Choice Requires="wps">
            <w:drawing>
              <wp:anchor distT="0" distB="0" distL="114300" distR="114300" simplePos="0" relativeHeight="252393470" behindDoc="0" locked="0" layoutInCell="1" allowOverlap="1" wp14:anchorId="18F31F18" wp14:editId="5685E376">
                <wp:simplePos x="0" y="0"/>
                <wp:positionH relativeFrom="column">
                  <wp:posOffset>246380</wp:posOffset>
                </wp:positionH>
                <wp:positionV relativeFrom="paragraph">
                  <wp:posOffset>194310</wp:posOffset>
                </wp:positionV>
                <wp:extent cx="624205" cy="593725"/>
                <wp:effectExtent l="0" t="0" r="0" b="0"/>
                <wp:wrapNone/>
                <wp:docPr id="470" name="Text Box 470"/>
                <wp:cNvGraphicFramePr/>
                <a:graphic xmlns:a="http://schemas.openxmlformats.org/drawingml/2006/main">
                  <a:graphicData uri="http://schemas.microsoft.com/office/word/2010/wordprocessingShape">
                    <wps:wsp>
                      <wps:cNvSpPr txBox="1"/>
                      <wps:spPr>
                        <a:xfrm>
                          <a:off x="0" y="0"/>
                          <a:ext cx="624205" cy="593725"/>
                        </a:xfrm>
                        <a:prstGeom prst="rect">
                          <a:avLst/>
                        </a:prstGeom>
                        <a:noFill/>
                        <a:ln w="6350">
                          <a:noFill/>
                        </a:ln>
                      </wps:spPr>
                      <wps:txbx>
                        <w:txbxContent>
                          <w:p w14:paraId="63A6FEA3" w14:textId="32B9E585" w:rsidR="00D15FD8" w:rsidRPr="009E337A" w:rsidRDefault="00D15FD8" w:rsidP="009E337A">
                            <w:pPr>
                              <w:ind w:left="360"/>
                              <w:rPr>
                                <w:rFonts w:ascii="Arial" w:hAnsi="Arial" w:cs="Arial"/>
                                <w:b/>
                                <w:bCs/>
                                <w:color w:val="FFFFFF" w:themeColor="background1"/>
                                <w:sz w:val="72"/>
                                <w:szCs w:val="72"/>
                                <w:lang w:val="en-US"/>
                              </w:rPr>
                            </w:pPr>
                            <w:r w:rsidRPr="009E337A">
                              <w:rPr>
                                <w:rFonts w:ascii="Arial" w:hAnsi="Arial" w:cs="Arial"/>
                                <w:b/>
                                <w:bCs/>
                                <w:color w:val="FFFFFF" w:themeColor="background1"/>
                                <w:sz w:val="72"/>
                                <w:szCs w:val="7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31F18" id="Text Box 470" o:spid="_x0000_s1283" type="#_x0000_t202" style="position:absolute;left:0;text-align:left;margin-left:19.4pt;margin-top:15.3pt;width:49.15pt;height:46.75pt;z-index:252393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" filled="f" stroked="f" strokeweight=".5pt">
                <v:textbox>
                  <w:txbxContent>
                    <w:p w14:paraId="63A6FEA3" w14:textId="32B9E585" w:rsidR="00D15FD8" w:rsidRPr="009E337A" w:rsidRDefault="00D15FD8" w:rsidP="009E337A">
                      <w:pPr>
                        <w:ind w:left="360"/>
                        <w:rPr>
                          <w:rFonts w:ascii="Arial" w:hAnsi="Arial" w:cs="Arial"/>
                          <w:b/>
                          <w:bCs/>
                          <w:color w:val="FFFFFF" w:themeColor="background1"/>
                          <w:sz w:val="72"/>
                          <w:szCs w:val="72"/>
                          <w:lang w:val="en-US"/>
                        </w:rPr>
                      </w:pPr>
                      <w:r w:rsidRPr="009E337A">
                        <w:rPr>
                          <w:rFonts w:ascii="Arial" w:hAnsi="Arial" w:cs="Arial"/>
                          <w:b/>
                          <w:bCs/>
                          <w:color w:val="FFFFFF" w:themeColor="background1"/>
                          <w:sz w:val="72"/>
                          <w:szCs w:val="72"/>
                          <w:lang w:val="en-US"/>
                        </w:rPr>
                        <w:t>4</w:t>
                      </w:r>
                    </w:p>
                  </w:txbxContent>
                </v:textbox>
              </v:shape>
            </w:pict>
          </mc:Fallback>
        </mc:AlternateContent>
      </w:r>
    </w:p>
    <w:p w14:paraId="38BC5AF9" w14:textId="56F9B9D1" w:rsidR="00CC248E" w:rsidRPr="00E07157" w:rsidRDefault="00CC248E" w:rsidP="00E07157">
      <w:pPr>
        <w:spacing w:line="276" w:lineRule="auto"/>
        <w:rPr>
          <w:rFonts w:ascii="Arial" w:hAnsi="Arial" w:cs="Arial"/>
          <w:sz w:val="24"/>
          <w:szCs w:val="24"/>
        </w:rPr>
      </w:pPr>
    </w:p>
    <w:p w14:paraId="2D8C10AC" w14:textId="3C4B1B86" w:rsidR="00CC248E" w:rsidRPr="00E07157" w:rsidRDefault="00CC248E" w:rsidP="00E07157">
      <w:pPr>
        <w:spacing w:line="276" w:lineRule="auto"/>
        <w:rPr>
          <w:rFonts w:ascii="Arial" w:hAnsi="Arial" w:cs="Arial"/>
          <w:sz w:val="24"/>
          <w:szCs w:val="24"/>
        </w:rPr>
      </w:pPr>
    </w:p>
    <w:p w14:paraId="4D59A0F4" w14:textId="2A7ACCEF" w:rsidR="00CC248E" w:rsidRPr="00E07157" w:rsidRDefault="00CC248E" w:rsidP="00E07157">
      <w:pPr>
        <w:spacing w:line="276" w:lineRule="auto"/>
        <w:rPr>
          <w:rFonts w:ascii="Arial" w:hAnsi="Arial" w:cs="Arial"/>
          <w:sz w:val="24"/>
          <w:szCs w:val="24"/>
        </w:rPr>
      </w:pPr>
    </w:p>
    <w:p w14:paraId="1B837D5F" w14:textId="47DCB0C7" w:rsidR="00CC248E" w:rsidRPr="00214D6C" w:rsidRDefault="00CC248E" w:rsidP="00214D6C">
      <w:pPr>
        <w:spacing w:line="276" w:lineRule="auto"/>
        <w:rPr>
          <w:rFonts w:ascii="Arial" w:hAnsi="Arial" w:cs="Arial"/>
          <w:sz w:val="24"/>
          <w:szCs w:val="24"/>
        </w:rPr>
      </w:pPr>
    </w:p>
    <w:p w14:paraId="7F94D5C5" w14:textId="77777777" w:rsidR="00BA2462" w:rsidRDefault="00BA2462" w:rsidP="009E337A">
      <w:pPr>
        <w:spacing w:line="276" w:lineRule="auto"/>
        <w:jc w:val="both"/>
        <w:rPr>
          <w:rFonts w:ascii="Arial" w:hAnsi="Arial" w:cs="Arial"/>
          <w:sz w:val="24"/>
          <w:szCs w:val="24"/>
        </w:rPr>
      </w:pPr>
    </w:p>
    <w:p w14:paraId="30923C21" w14:textId="71D120C7" w:rsidR="009E337A" w:rsidRPr="009E337A" w:rsidRDefault="009E337A" w:rsidP="009E337A">
      <w:pPr>
        <w:spacing w:line="276" w:lineRule="auto"/>
        <w:jc w:val="both"/>
        <w:rPr>
          <w:rFonts w:ascii="Arial" w:hAnsi="Arial" w:cs="Arial"/>
          <w:sz w:val="24"/>
          <w:szCs w:val="24"/>
        </w:rPr>
      </w:pPr>
      <w:r w:rsidRPr="009E337A">
        <w:rPr>
          <w:rFonts w:ascii="Arial" w:hAnsi="Arial" w:cs="Arial"/>
          <w:sz w:val="24"/>
          <w:szCs w:val="24"/>
        </w:rPr>
        <w:t>From the discussion above, it is clear that for oversight institutions to be effective in holding the executive to account for its management of public resources, they among others require the executive to be fiscally transparent; need to be non-partisan and independent, including by having well-defined legal mandates, budgets that are determined independently from the executive that provide the financial and non-financial resources they require to fulfil their mandates; and that they themselves need to conduct their roles in a transparent and participatory manner, engaging other key actors including the public throughout their processes. The executive branch of government too benefits from engaging the key actors in the fiscal ecosystem throughout the fiscal policy cycle. This section thus looks at the role of public participation in holding the executive to account for its management of public finances.</w:t>
      </w:r>
    </w:p>
    <w:p w14:paraId="44F361F3" w14:textId="008F982B" w:rsidR="00CC248E" w:rsidRPr="00CC248E" w:rsidRDefault="009E337A" w:rsidP="00CC248E">
      <w:pPr>
        <w:rPr>
          <w:rFonts w:ascii="Arial" w:hAnsi="Arial" w:cs="Arial"/>
          <w:sz w:val="24"/>
          <w:szCs w:val="24"/>
        </w:rPr>
      </w:pPr>
      <w:r>
        <w:rPr>
          <w:rFonts w:ascii="Arial" w:hAnsi="Arial" w:cs="Arial"/>
          <w:noProof/>
          <w:sz w:val="24"/>
          <w:szCs w:val="24"/>
          <w:lang w:val="en-US"/>
        </w:rPr>
        <w:drawing>
          <wp:anchor distT="0" distB="0" distL="114300" distR="114300" simplePos="0" relativeHeight="252394494" behindDoc="0" locked="0" layoutInCell="1" allowOverlap="1" wp14:anchorId="55C7A313" wp14:editId="1FCD4C9D">
            <wp:simplePos x="0" y="0"/>
            <wp:positionH relativeFrom="margin">
              <wp:align>center</wp:align>
            </wp:positionH>
            <wp:positionV relativeFrom="paragraph">
              <wp:posOffset>120603</wp:posOffset>
            </wp:positionV>
            <wp:extent cx="5486400" cy="1828800"/>
            <wp:effectExtent l="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481" cstate="email">
                      <a:extLst>
                        <a:ext uri="{28A0092B-C50C-407E-A947-70E740481C1C}">
                          <a14:useLocalDpi xmlns:a14="http://schemas.microsoft.com/office/drawing/2010/main"/>
                        </a:ext>
                      </a:extLst>
                    </a:blip>
                    <a:stretch>
                      <a:fillRect/>
                    </a:stretch>
                  </pic:blipFill>
                  <pic:spPr>
                    <a:xfrm>
                      <a:off x="0" y="0"/>
                      <a:ext cx="5486400" cy="1828800"/>
                    </a:xfrm>
                    <a:prstGeom prst="rect">
                      <a:avLst/>
                    </a:prstGeom>
                  </pic:spPr>
                </pic:pic>
              </a:graphicData>
            </a:graphic>
            <wp14:sizeRelH relativeFrom="page">
              <wp14:pctWidth>0</wp14:pctWidth>
            </wp14:sizeRelH>
            <wp14:sizeRelV relativeFrom="page">
              <wp14:pctHeight>0</wp14:pctHeight>
            </wp14:sizeRelV>
          </wp:anchor>
        </w:drawing>
      </w:r>
    </w:p>
    <w:p w14:paraId="7F808E03" w14:textId="6CD3665A" w:rsidR="00CC248E" w:rsidRPr="00CC248E" w:rsidRDefault="00CC248E" w:rsidP="00CC248E">
      <w:pPr>
        <w:rPr>
          <w:rFonts w:ascii="Arial" w:hAnsi="Arial" w:cs="Arial"/>
          <w:sz w:val="24"/>
          <w:szCs w:val="24"/>
        </w:rPr>
      </w:pPr>
    </w:p>
    <w:p w14:paraId="638AA2BC" w14:textId="07DEF30C" w:rsidR="00CC248E" w:rsidRPr="00CC248E" w:rsidRDefault="00CC248E" w:rsidP="00CC248E">
      <w:pPr>
        <w:rPr>
          <w:rFonts w:ascii="Arial" w:hAnsi="Arial" w:cs="Arial"/>
          <w:sz w:val="24"/>
          <w:szCs w:val="24"/>
        </w:rPr>
      </w:pPr>
    </w:p>
    <w:p w14:paraId="71B4CBD7" w14:textId="2DAA99B1" w:rsidR="00CC248E" w:rsidRPr="00CC248E" w:rsidRDefault="00CC248E" w:rsidP="00CC248E">
      <w:pPr>
        <w:rPr>
          <w:rFonts w:ascii="Arial" w:hAnsi="Arial" w:cs="Arial"/>
          <w:sz w:val="24"/>
          <w:szCs w:val="24"/>
        </w:rPr>
      </w:pPr>
    </w:p>
    <w:p w14:paraId="65EAABFB" w14:textId="1CC39E3D" w:rsidR="00CC248E" w:rsidRPr="00CC248E" w:rsidRDefault="00CC248E" w:rsidP="00CC248E">
      <w:pPr>
        <w:rPr>
          <w:rFonts w:ascii="Arial" w:hAnsi="Arial" w:cs="Arial"/>
          <w:sz w:val="24"/>
          <w:szCs w:val="24"/>
        </w:rPr>
      </w:pPr>
    </w:p>
    <w:p w14:paraId="560A84A6" w14:textId="408D5E2B" w:rsidR="00CC248E" w:rsidRPr="00CC248E" w:rsidRDefault="00CC248E" w:rsidP="00CC248E">
      <w:pPr>
        <w:rPr>
          <w:rFonts w:ascii="Arial" w:hAnsi="Arial" w:cs="Arial"/>
          <w:sz w:val="24"/>
          <w:szCs w:val="24"/>
        </w:rPr>
      </w:pPr>
    </w:p>
    <w:p w14:paraId="6323648E" w14:textId="63D3A9E9" w:rsidR="00CC248E" w:rsidRPr="00CC248E" w:rsidRDefault="00CC248E" w:rsidP="00CC248E">
      <w:pPr>
        <w:rPr>
          <w:rFonts w:ascii="Arial" w:hAnsi="Arial" w:cs="Arial"/>
          <w:sz w:val="24"/>
          <w:szCs w:val="24"/>
        </w:rPr>
      </w:pPr>
    </w:p>
    <w:p w14:paraId="1CDE1310" w14:textId="64DD4877" w:rsidR="00CC248E" w:rsidRPr="00CC248E" w:rsidRDefault="00CC248E" w:rsidP="00CC248E">
      <w:pPr>
        <w:rPr>
          <w:rFonts w:ascii="Arial" w:hAnsi="Arial" w:cs="Arial"/>
          <w:sz w:val="24"/>
          <w:szCs w:val="24"/>
        </w:rPr>
      </w:pPr>
    </w:p>
    <w:p w14:paraId="7AD00FFB" w14:textId="1B020034" w:rsidR="00CC248E" w:rsidRPr="00CC248E" w:rsidRDefault="00CC248E" w:rsidP="00CC248E">
      <w:pPr>
        <w:rPr>
          <w:rFonts w:ascii="Arial" w:hAnsi="Arial" w:cs="Arial"/>
          <w:sz w:val="24"/>
          <w:szCs w:val="24"/>
        </w:rPr>
      </w:pPr>
    </w:p>
    <w:p w14:paraId="36CE93A6" w14:textId="13E69B25" w:rsidR="00CC248E" w:rsidRPr="00CC248E" w:rsidRDefault="00CC248E" w:rsidP="00CC248E">
      <w:pPr>
        <w:rPr>
          <w:rFonts w:ascii="Arial" w:hAnsi="Arial" w:cs="Arial"/>
          <w:sz w:val="24"/>
          <w:szCs w:val="24"/>
        </w:rPr>
      </w:pPr>
    </w:p>
    <w:p w14:paraId="4580A3A0" w14:textId="7B3F53A3" w:rsidR="00CC248E" w:rsidRPr="00CC248E" w:rsidRDefault="00CC248E" w:rsidP="00CC248E">
      <w:pPr>
        <w:rPr>
          <w:rFonts w:ascii="Arial" w:hAnsi="Arial" w:cs="Arial"/>
          <w:sz w:val="24"/>
          <w:szCs w:val="24"/>
        </w:rPr>
      </w:pPr>
    </w:p>
    <w:p w14:paraId="18F0383D" w14:textId="10DBA710" w:rsidR="00CC248E" w:rsidRPr="00CC248E" w:rsidRDefault="00CC248E" w:rsidP="00CC248E">
      <w:pPr>
        <w:rPr>
          <w:rFonts w:ascii="Arial" w:hAnsi="Arial" w:cs="Arial"/>
          <w:sz w:val="24"/>
          <w:szCs w:val="24"/>
        </w:rPr>
      </w:pPr>
    </w:p>
    <w:p w14:paraId="003C2ABA" w14:textId="5EF6A531" w:rsidR="00530396" w:rsidRDefault="00530396">
      <w:pPr>
        <w:pStyle w:val="Heading2"/>
        <w:numPr>
          <w:ilvl w:val="1"/>
          <w:numId w:val="47"/>
        </w:numPr>
        <w:rPr>
          <w:rFonts w:ascii="Arial" w:hAnsi="Arial" w:cs="Arial"/>
          <w:b/>
          <w:bCs/>
          <w:color w:val="69557F"/>
          <w:sz w:val="36"/>
          <w:szCs w:val="36"/>
        </w:rPr>
      </w:pPr>
      <w:bookmarkStart w:id="1032" w:name="_Toc119794466"/>
      <w:bookmarkStart w:id="1033" w:name="_Toc123204453"/>
      <w:bookmarkStart w:id="1034" w:name="_Toc123216544"/>
      <w:bookmarkStart w:id="1035" w:name="_Toc123217384"/>
      <w:bookmarkStart w:id="1036" w:name="_Toc123913353"/>
      <w:bookmarkStart w:id="1037" w:name="_Toc123914009"/>
      <w:bookmarkStart w:id="1038" w:name="_Toc125566628"/>
      <w:r>
        <w:rPr>
          <w:rFonts w:ascii="Arial" w:hAnsi="Arial" w:cs="Arial"/>
          <w:b/>
          <w:bCs/>
          <w:color w:val="69557F"/>
          <w:sz w:val="36"/>
          <w:szCs w:val="36"/>
        </w:rPr>
        <w:t xml:space="preserve">Defining </w:t>
      </w:r>
      <w:r w:rsidR="001D72D6">
        <w:rPr>
          <w:rFonts w:ascii="Arial" w:hAnsi="Arial" w:cs="Arial"/>
          <w:b/>
          <w:bCs/>
          <w:color w:val="69557F"/>
          <w:sz w:val="36"/>
          <w:szCs w:val="36"/>
        </w:rPr>
        <w:t>p</w:t>
      </w:r>
      <w:r>
        <w:rPr>
          <w:rFonts w:ascii="Arial" w:hAnsi="Arial" w:cs="Arial"/>
          <w:b/>
          <w:bCs/>
          <w:color w:val="69557F"/>
          <w:sz w:val="36"/>
          <w:szCs w:val="36"/>
        </w:rPr>
        <w:t xml:space="preserve">ublic </w:t>
      </w:r>
      <w:r w:rsidR="001D72D6">
        <w:rPr>
          <w:rFonts w:ascii="Arial" w:hAnsi="Arial" w:cs="Arial"/>
          <w:b/>
          <w:bCs/>
          <w:color w:val="69557F"/>
          <w:sz w:val="36"/>
          <w:szCs w:val="36"/>
        </w:rPr>
        <w:t>p</w:t>
      </w:r>
      <w:r>
        <w:rPr>
          <w:rFonts w:ascii="Arial" w:hAnsi="Arial" w:cs="Arial"/>
          <w:b/>
          <w:bCs/>
          <w:color w:val="69557F"/>
          <w:sz w:val="36"/>
          <w:szCs w:val="36"/>
        </w:rPr>
        <w:t>articipation</w:t>
      </w:r>
      <w:bookmarkEnd w:id="1032"/>
      <w:bookmarkEnd w:id="1033"/>
      <w:bookmarkEnd w:id="1034"/>
      <w:bookmarkEnd w:id="1035"/>
      <w:bookmarkEnd w:id="1036"/>
      <w:bookmarkEnd w:id="1037"/>
      <w:bookmarkEnd w:id="1038"/>
    </w:p>
    <w:p w14:paraId="6687CB29" w14:textId="0F527475" w:rsidR="00CC248E" w:rsidRDefault="00CC248E" w:rsidP="00CC248E">
      <w:pPr>
        <w:rPr>
          <w:rFonts w:ascii="Arial" w:hAnsi="Arial" w:cs="Arial"/>
          <w:sz w:val="24"/>
          <w:szCs w:val="24"/>
        </w:rPr>
      </w:pPr>
    </w:p>
    <w:p w14:paraId="654B321D" w14:textId="225B61DD" w:rsidR="00530396" w:rsidRDefault="00530396" w:rsidP="00530396">
      <w:pPr>
        <w:spacing w:line="276" w:lineRule="auto"/>
        <w:jc w:val="both"/>
        <w:rPr>
          <w:rFonts w:ascii="Arial" w:hAnsi="Arial" w:cs="Arial"/>
          <w:sz w:val="24"/>
          <w:szCs w:val="24"/>
        </w:rPr>
      </w:pPr>
      <w:r w:rsidRPr="00530396">
        <w:rPr>
          <w:rFonts w:ascii="Arial" w:hAnsi="Arial" w:cs="Arial"/>
          <w:sz w:val="24"/>
          <w:szCs w:val="24"/>
          <w:lang w:val="en-US"/>
        </w:rPr>
        <w:t>Public participation refers to the variety of ways in which non-state actors interact directly in public discussion and deliberation with state entities. Public participation in fiscal policy thus refers to the variety of ways in which civil society, businesses and other non-state actors interact directly with the executive on fiscal issues including government taxation and revenue collection, resource allocation, actual spending and performance, auditing and the management of public assets and liabilities</w:t>
      </w:r>
      <w:r w:rsidRPr="00530396">
        <w:rPr>
          <w:rFonts w:ascii="Arial" w:hAnsi="Arial" w:cs="Arial"/>
          <w:sz w:val="24"/>
          <w:szCs w:val="24"/>
        </w:rPr>
        <w:t>.</w:t>
      </w:r>
    </w:p>
    <w:p w14:paraId="26C627F0" w14:textId="77777777" w:rsidR="0065711A" w:rsidRPr="00530396" w:rsidRDefault="0065711A" w:rsidP="00530396">
      <w:pPr>
        <w:spacing w:line="276" w:lineRule="auto"/>
        <w:jc w:val="both"/>
        <w:rPr>
          <w:rFonts w:ascii="Arial" w:hAnsi="Arial" w:cs="Arial"/>
          <w:sz w:val="24"/>
          <w:szCs w:val="24"/>
        </w:rPr>
      </w:pPr>
    </w:p>
    <w:p w14:paraId="10CE642C" w14:textId="27A409E0" w:rsidR="00530396" w:rsidRPr="00530396" w:rsidRDefault="00D63423" w:rsidP="00530396">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2395518" behindDoc="1" locked="0" layoutInCell="1" allowOverlap="1" wp14:anchorId="560CECD1" wp14:editId="0DE99FA9">
            <wp:simplePos x="0" y="0"/>
            <wp:positionH relativeFrom="column">
              <wp:posOffset>-88621</wp:posOffset>
            </wp:positionH>
            <wp:positionV relativeFrom="paragraph">
              <wp:posOffset>168275</wp:posOffset>
            </wp:positionV>
            <wp:extent cx="3261600" cy="652320"/>
            <wp:effectExtent l="0" t="0" r="0" b="0"/>
            <wp:wrapTight wrapText="bothSides">
              <wp:wrapPolygon edited="0">
                <wp:start x="1430" y="1683"/>
                <wp:lineTo x="336" y="7992"/>
                <wp:lineTo x="336" y="10095"/>
                <wp:lineTo x="673" y="15984"/>
                <wp:lineTo x="1430" y="18508"/>
                <wp:lineTo x="1514" y="19350"/>
                <wp:lineTo x="20692" y="19350"/>
                <wp:lineTo x="20776" y="18508"/>
                <wp:lineTo x="21112" y="15984"/>
                <wp:lineTo x="21364" y="2944"/>
                <wp:lineTo x="19682" y="2524"/>
                <wp:lineTo x="2860" y="1683"/>
                <wp:lineTo x="1430" y="1683"/>
              </wp:wrapPolygon>
            </wp:wrapTight>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482" cstate="email">
                      <a:extLst>
                        <a:ext uri="{28A0092B-C50C-407E-A947-70E740481C1C}">
                          <a14:useLocalDpi xmlns:a14="http://schemas.microsoft.com/office/drawing/2010/main"/>
                        </a:ext>
                      </a:extLst>
                    </a:blip>
                    <a:stretch>
                      <a:fillRect/>
                    </a:stretch>
                  </pic:blipFill>
                  <pic:spPr>
                    <a:xfrm>
                      <a:off x="0" y="0"/>
                      <a:ext cx="3261600" cy="652320"/>
                    </a:xfrm>
                    <a:prstGeom prst="rect">
                      <a:avLst/>
                    </a:prstGeom>
                  </pic:spPr>
                </pic:pic>
              </a:graphicData>
            </a:graphic>
            <wp14:sizeRelH relativeFrom="page">
              <wp14:pctWidth>0</wp14:pctWidth>
            </wp14:sizeRelH>
            <wp14:sizeRelV relativeFrom="page">
              <wp14:pctHeight>0</wp14:pctHeight>
            </wp14:sizeRelV>
          </wp:anchor>
        </w:drawing>
      </w:r>
    </w:p>
    <w:p w14:paraId="5AE6E771" w14:textId="4BEEEA6C" w:rsidR="00D63423" w:rsidRDefault="00D63423" w:rsidP="00530396">
      <w:pPr>
        <w:spacing w:line="276" w:lineRule="auto"/>
        <w:jc w:val="both"/>
        <w:rPr>
          <w:rFonts w:ascii="Arial" w:hAnsi="Arial" w:cs="Arial"/>
          <w:sz w:val="24"/>
          <w:szCs w:val="24"/>
        </w:rPr>
      </w:pPr>
      <w:bookmarkStart w:id="1039" w:name="_Hlk494110904"/>
    </w:p>
    <w:p w14:paraId="2CFB83B1" w14:textId="77777777" w:rsidR="00D63423" w:rsidRDefault="00530396" w:rsidP="00530396">
      <w:pPr>
        <w:spacing w:line="276" w:lineRule="auto"/>
        <w:jc w:val="both"/>
        <w:rPr>
          <w:rFonts w:ascii="Arial" w:hAnsi="Arial" w:cs="Arial"/>
          <w:sz w:val="24"/>
          <w:szCs w:val="24"/>
        </w:rPr>
      </w:pPr>
      <w:r w:rsidRPr="00530396">
        <w:rPr>
          <w:rFonts w:ascii="Arial" w:hAnsi="Arial" w:cs="Arial"/>
          <w:sz w:val="24"/>
          <w:szCs w:val="24"/>
        </w:rPr>
        <w:t xml:space="preserve">As stated under Principle 10 in GIFT’s </w:t>
      </w:r>
      <w:hyperlink r:id="rId483" w:history="1">
        <w:r w:rsidRPr="00530396">
          <w:rPr>
            <w:rFonts w:ascii="Arial" w:hAnsi="Arial" w:cs="Arial"/>
            <w:color w:val="0563C1" w:themeColor="hyperlink"/>
            <w:sz w:val="24"/>
            <w:szCs w:val="24"/>
            <w:u w:val="single"/>
          </w:rPr>
          <w:t>Expanded Version of the High-Level Principles on Fiscal Transparency, Participation and Accountability</w:t>
        </w:r>
      </w:hyperlink>
      <w:r w:rsidRPr="00530396">
        <w:rPr>
          <w:rFonts w:ascii="Arial" w:hAnsi="Arial" w:cs="Arial"/>
          <w:sz w:val="24"/>
          <w:szCs w:val="24"/>
        </w:rPr>
        <w:t xml:space="preserve"> (2018), public participation includes both expert-based external engagement, and engagement with the general public.</w:t>
      </w:r>
    </w:p>
    <w:p w14:paraId="0E0A9AAD" w14:textId="77777777" w:rsidR="00D63423" w:rsidRDefault="00D63423" w:rsidP="00530396">
      <w:pPr>
        <w:spacing w:line="276" w:lineRule="auto"/>
        <w:jc w:val="both"/>
        <w:rPr>
          <w:rFonts w:ascii="Arial" w:hAnsi="Arial" w:cs="Arial"/>
          <w:sz w:val="24"/>
          <w:szCs w:val="24"/>
        </w:rPr>
      </w:pPr>
    </w:p>
    <w:p w14:paraId="58E59319" w14:textId="47F7F1F8" w:rsidR="00530396" w:rsidRPr="00D63423" w:rsidRDefault="00530396" w:rsidP="00530396">
      <w:pPr>
        <w:spacing w:line="276" w:lineRule="auto"/>
        <w:jc w:val="both"/>
        <w:rPr>
          <w:rFonts w:ascii="Arial" w:hAnsi="Arial" w:cs="Arial"/>
          <w:b/>
          <w:bCs/>
          <w:color w:val="69557F"/>
          <w:sz w:val="24"/>
          <w:szCs w:val="24"/>
          <w:lang w:val="en-ZA"/>
        </w:rPr>
      </w:pPr>
      <w:r w:rsidRPr="00D63423">
        <w:rPr>
          <w:rFonts w:ascii="Arial" w:hAnsi="Arial" w:cs="Arial"/>
          <w:b/>
          <w:bCs/>
          <w:color w:val="69557F"/>
          <w:sz w:val="24"/>
          <w:szCs w:val="24"/>
        </w:rPr>
        <w:t xml:space="preserve">There are two </w:t>
      </w:r>
      <w:r w:rsidRPr="00D63423">
        <w:rPr>
          <w:rFonts w:ascii="Arial" w:hAnsi="Arial" w:cs="Arial"/>
          <w:b/>
          <w:bCs/>
          <w:color w:val="69557F"/>
          <w:sz w:val="24"/>
          <w:szCs w:val="24"/>
          <w:lang w:val="en-ZA"/>
        </w:rPr>
        <w:t>ways in which it can be initiated:</w:t>
      </w:r>
    </w:p>
    <w:p w14:paraId="7A48F8E0" w14:textId="00A7A348" w:rsidR="00530396" w:rsidRDefault="0087228A" w:rsidP="00530396">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2397566" behindDoc="0" locked="0" layoutInCell="1" allowOverlap="1" wp14:anchorId="6D33DA20" wp14:editId="5E028451">
                <wp:simplePos x="0" y="0"/>
                <wp:positionH relativeFrom="column">
                  <wp:posOffset>33540</wp:posOffset>
                </wp:positionH>
                <wp:positionV relativeFrom="paragraph">
                  <wp:posOffset>107950</wp:posOffset>
                </wp:positionV>
                <wp:extent cx="2910468" cy="355832"/>
                <wp:effectExtent l="0" t="0" r="0" b="0"/>
                <wp:wrapNone/>
                <wp:docPr id="476" name="Text Box 476"/>
                <wp:cNvGraphicFramePr/>
                <a:graphic xmlns:a="http://schemas.openxmlformats.org/drawingml/2006/main">
                  <a:graphicData uri="http://schemas.microsoft.com/office/word/2010/wordprocessingShape">
                    <wps:wsp>
                      <wps:cNvSpPr txBox="1"/>
                      <wps:spPr>
                        <a:xfrm>
                          <a:off x="0" y="0"/>
                          <a:ext cx="2910468" cy="355832"/>
                        </a:xfrm>
                        <a:prstGeom prst="rect">
                          <a:avLst/>
                        </a:prstGeom>
                        <a:noFill/>
                        <a:ln w="6350">
                          <a:noFill/>
                        </a:ln>
                      </wps:spPr>
                      <wps:txbx>
                        <w:txbxContent>
                          <w:p w14:paraId="3CB8EA71" w14:textId="67D3CCC0" w:rsidR="00D15FD8" w:rsidRPr="0087228A" w:rsidRDefault="00D15FD8" w:rsidP="0087228A">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r w:rsidRPr="0087228A">
                              <w:rPr>
                                <w:rFonts w:ascii="Arial" w:hAnsi="Arial" w:cs="Arial"/>
                                <w:b/>
                                <w:bCs/>
                                <w:color w:val="FFFFFF" w:themeColor="background1"/>
                                <w:sz w:val="32"/>
                                <w:szCs w:val="32"/>
                                <w:lang w:val="en-US"/>
                              </w:rPr>
                              <w:t>Invited participation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33DA20" id="Text Box 476" o:spid="_x0000_s1284" type="#_x0000_t202" style="position:absolute;left:0;text-align:left;margin-left:2.65pt;margin-top:8.5pt;width:229.15pt;height:28pt;z-index:2523975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" filled="f" stroked="f" strokeweight=".5pt">
                <v:textbox>
                  <w:txbxContent>
                    <w:p w14:paraId="3CB8EA71" w14:textId="67D3CCC0" w:rsidR="00D15FD8" w:rsidRPr="0087228A" w:rsidRDefault="00D15FD8" w:rsidP="0087228A">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r w:rsidRPr="0087228A">
                        <w:rPr>
                          <w:rFonts w:ascii="Arial" w:hAnsi="Arial" w:cs="Arial"/>
                          <w:b/>
                          <w:bCs/>
                          <w:color w:val="FFFFFF" w:themeColor="background1"/>
                          <w:sz w:val="32"/>
                          <w:szCs w:val="32"/>
                          <w:lang w:val="en-US"/>
                        </w:rPr>
                        <w:t>Invited participation</w:t>
                      </w:r>
                    </w:p>
                  </w:txbxContent>
                </v:textbox>
              </v:shape>
            </w:pict>
          </mc:Fallback>
        </mc:AlternateContent>
      </w:r>
      <w:r w:rsidR="00D63423">
        <w:rPr>
          <w:rFonts w:ascii="Arial" w:hAnsi="Arial" w:cs="Arial"/>
          <w:noProof/>
          <w:sz w:val="24"/>
          <w:szCs w:val="24"/>
          <w:lang w:val="en-US"/>
        </w:rPr>
        <mc:AlternateContent>
          <mc:Choice Requires="wps">
            <w:drawing>
              <wp:anchor distT="0" distB="0" distL="114300" distR="114300" simplePos="0" relativeHeight="252396542" behindDoc="0" locked="0" layoutInCell="1" allowOverlap="1" wp14:anchorId="2F6141E7" wp14:editId="3B84D823">
                <wp:simplePos x="0" y="0"/>
                <wp:positionH relativeFrom="column">
                  <wp:posOffset>10795</wp:posOffset>
                </wp:positionH>
                <wp:positionV relativeFrom="paragraph">
                  <wp:posOffset>107315</wp:posOffset>
                </wp:positionV>
                <wp:extent cx="3823200" cy="356235"/>
                <wp:effectExtent l="0" t="0" r="0" b="0"/>
                <wp:wrapNone/>
                <wp:docPr id="475" name="Rounded Rectangle 475"/>
                <wp:cNvGraphicFramePr/>
                <a:graphic xmlns:a="http://schemas.openxmlformats.org/drawingml/2006/main">
                  <a:graphicData uri="http://schemas.microsoft.com/office/word/2010/wordprocessingShape">
                    <wps:wsp>
                      <wps:cNvSpPr/>
                      <wps:spPr>
                        <a:xfrm>
                          <a:off x="0" y="0"/>
                          <a:ext cx="3823200" cy="356235"/>
                        </a:xfrm>
                        <a:prstGeom prst="round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1629374B" id="Rounded Rectangle 475" o:spid="_x0000_s1026" style="position:absolute;margin-left:.85pt;margin-top:8.45pt;width:301.05pt;height:28.05pt;z-index:2523965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" fillcolor="#69557f" stroked="f" strokeweight="1pt">
                <v:stroke joinstyle="miter"/>
              </v:roundrect>
            </w:pict>
          </mc:Fallback>
        </mc:AlternateContent>
      </w:r>
    </w:p>
    <w:p w14:paraId="7633914F" w14:textId="77777777" w:rsidR="00D63423" w:rsidRPr="00530396" w:rsidRDefault="00D63423" w:rsidP="00530396">
      <w:pPr>
        <w:spacing w:line="276" w:lineRule="auto"/>
        <w:jc w:val="both"/>
        <w:rPr>
          <w:rFonts w:ascii="Arial" w:hAnsi="Arial" w:cs="Arial"/>
          <w:sz w:val="24"/>
          <w:szCs w:val="24"/>
          <w:lang w:val="en-ZA"/>
        </w:rPr>
      </w:pPr>
    </w:p>
    <w:bookmarkEnd w:id="1039"/>
    <w:p w14:paraId="07AC4AD6" w14:textId="77777777" w:rsidR="00D63423" w:rsidRPr="00D63423" w:rsidRDefault="00D63423" w:rsidP="00D63423">
      <w:pPr>
        <w:spacing w:line="276" w:lineRule="auto"/>
        <w:ind w:left="720"/>
        <w:jc w:val="both"/>
        <w:rPr>
          <w:rFonts w:ascii="Arial" w:hAnsi="Arial" w:cs="Arial"/>
          <w:sz w:val="24"/>
          <w:szCs w:val="24"/>
        </w:rPr>
      </w:pPr>
    </w:p>
    <w:p w14:paraId="5C809E90" w14:textId="2CD4835C" w:rsidR="00530396" w:rsidRDefault="00530396" w:rsidP="00D63423">
      <w:pPr>
        <w:spacing w:line="276" w:lineRule="auto"/>
        <w:ind w:left="720"/>
        <w:jc w:val="both"/>
        <w:rPr>
          <w:rFonts w:ascii="Arial" w:hAnsi="Arial" w:cs="Arial"/>
          <w:sz w:val="24"/>
          <w:szCs w:val="24"/>
        </w:rPr>
      </w:pPr>
      <w:r w:rsidRPr="00530396">
        <w:rPr>
          <w:rFonts w:ascii="Arial" w:hAnsi="Arial" w:cs="Arial"/>
          <w:sz w:val="24"/>
          <w:szCs w:val="24"/>
        </w:rPr>
        <w:t xml:space="preserve">Initiated by state actors inviting non-state actors to participate. For example, </w:t>
      </w:r>
      <w:r w:rsidRPr="00530396">
        <w:rPr>
          <w:rFonts w:ascii="Arial" w:hAnsi="Arial" w:cs="Arial"/>
          <w:sz w:val="24"/>
          <w:szCs w:val="24"/>
          <w:lang w:val="en-ZA"/>
        </w:rPr>
        <w:t xml:space="preserve">regarding fiscal policies, </w:t>
      </w:r>
      <w:r w:rsidRPr="00530396">
        <w:rPr>
          <w:rFonts w:ascii="Arial" w:hAnsi="Arial" w:cs="Arial"/>
          <w:sz w:val="24"/>
          <w:szCs w:val="24"/>
        </w:rPr>
        <w:t xml:space="preserve">the ministry of finance may invite public inputs during the preparation of the annual budget or on prospective changes to fiscal policy. Line ministries, departments, or agencies, at different levels of government, might also consult or engage the public on policy or operational issues. For instance, consultation may take place on the design or delivery of public services and public investment projects, or on other topics. </w:t>
      </w:r>
      <w:r w:rsidRPr="00530396">
        <w:rPr>
          <w:rFonts w:ascii="Arial" w:hAnsi="Arial" w:cs="Arial"/>
          <w:sz w:val="24"/>
          <w:szCs w:val="24"/>
          <w:lang w:val="en-ZA"/>
        </w:rPr>
        <w:t>Oversight and autonomous institutions within government may also initiate participation, for</w:t>
      </w:r>
      <w:r w:rsidRPr="00530396">
        <w:rPr>
          <w:rFonts w:ascii="Arial" w:hAnsi="Arial" w:cs="Arial"/>
          <w:sz w:val="24"/>
          <w:szCs w:val="24"/>
        </w:rPr>
        <w:t xml:space="preserve"> example, the legislature may invite submissions on the annual budget; and the supreme audit institution may engage the public directly on its audit programs or in the conduct of individual audits.</w:t>
      </w:r>
    </w:p>
    <w:p w14:paraId="6FC0256E" w14:textId="523E4626" w:rsidR="00D63423" w:rsidRDefault="00D63423" w:rsidP="00D63423">
      <w:pPr>
        <w:spacing w:line="276" w:lineRule="auto"/>
        <w:ind w:left="720"/>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00638" behindDoc="0" locked="0" layoutInCell="1" allowOverlap="1" wp14:anchorId="508444A2" wp14:editId="63FD3CAB">
                <wp:simplePos x="0" y="0"/>
                <wp:positionH relativeFrom="column">
                  <wp:posOffset>107200</wp:posOffset>
                </wp:positionH>
                <wp:positionV relativeFrom="paragraph">
                  <wp:posOffset>107950</wp:posOffset>
                </wp:positionV>
                <wp:extent cx="3657600" cy="355600"/>
                <wp:effectExtent l="0" t="0" r="0" b="0"/>
                <wp:wrapNone/>
                <wp:docPr id="478" name="Text Box 478"/>
                <wp:cNvGraphicFramePr/>
                <a:graphic xmlns:a="http://schemas.openxmlformats.org/drawingml/2006/main">
                  <a:graphicData uri="http://schemas.microsoft.com/office/word/2010/wordprocessingShape">
                    <wps:wsp>
                      <wps:cNvSpPr txBox="1"/>
                      <wps:spPr>
                        <a:xfrm>
                          <a:off x="0" y="0"/>
                          <a:ext cx="3657600" cy="355600"/>
                        </a:xfrm>
                        <a:prstGeom prst="rect">
                          <a:avLst/>
                        </a:prstGeom>
                        <a:noFill/>
                        <a:ln w="6350">
                          <a:noFill/>
                        </a:ln>
                      </wps:spPr>
                      <wps:txbx>
                        <w:txbxContent>
                          <w:p w14:paraId="46CC9E8A" w14:textId="362B6203" w:rsidR="00D15FD8" w:rsidRPr="0087228A" w:rsidRDefault="00D15FD8" w:rsidP="0087228A">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r w:rsidRPr="0087228A">
                              <w:rPr>
                                <w:rFonts w:ascii="Arial" w:hAnsi="Arial" w:cs="Arial"/>
                                <w:b/>
                                <w:bCs/>
                                <w:color w:val="FFFFFF" w:themeColor="background1"/>
                                <w:sz w:val="32"/>
                                <w:szCs w:val="32"/>
                                <w:lang w:val="en-US"/>
                              </w:rPr>
                              <w:t>Invented/claimed participation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444A2" id="Text Box 478" o:spid="_x0000_s1285" type="#_x0000_t202" style="position:absolute;left:0;text-align:left;margin-left:8.45pt;margin-top:8.5pt;width:4in;height:28pt;z-index:252400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" filled="f" stroked="f" strokeweight=".5pt">
                <v:textbox>
                  <w:txbxContent>
                    <w:p w14:paraId="46CC9E8A" w14:textId="362B6203" w:rsidR="00D15FD8" w:rsidRPr="0087228A" w:rsidRDefault="00D15FD8" w:rsidP="0087228A">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r w:rsidRPr="0087228A">
                        <w:rPr>
                          <w:rFonts w:ascii="Arial" w:hAnsi="Arial" w:cs="Arial"/>
                          <w:b/>
                          <w:bCs/>
                          <w:color w:val="FFFFFF" w:themeColor="background1"/>
                          <w:sz w:val="32"/>
                          <w:szCs w:val="32"/>
                          <w:lang w:val="en-US"/>
                        </w:rPr>
                        <w:t>Invented/claimed participation</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399614" behindDoc="0" locked="0" layoutInCell="1" allowOverlap="1" wp14:anchorId="45357DD9" wp14:editId="42E5A9FC">
                <wp:simplePos x="0" y="0"/>
                <wp:positionH relativeFrom="column">
                  <wp:posOffset>100361</wp:posOffset>
                </wp:positionH>
                <wp:positionV relativeFrom="paragraph">
                  <wp:posOffset>108415</wp:posOffset>
                </wp:positionV>
                <wp:extent cx="3824868" cy="356235"/>
                <wp:effectExtent l="0" t="0" r="0" b="0"/>
                <wp:wrapNone/>
                <wp:docPr id="477" name="Rounded Rectangle 477"/>
                <wp:cNvGraphicFramePr/>
                <a:graphic xmlns:a="http://schemas.openxmlformats.org/drawingml/2006/main">
                  <a:graphicData uri="http://schemas.microsoft.com/office/word/2010/wordprocessingShape">
                    <wps:wsp>
                      <wps:cNvSpPr/>
                      <wps:spPr>
                        <a:xfrm>
                          <a:off x="0" y="0"/>
                          <a:ext cx="3824868" cy="356235"/>
                        </a:xfrm>
                        <a:prstGeom prst="round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48C2FE7F" id="Rounded Rectangle 477" o:spid="_x0000_s1026" style="position:absolute;margin-left:7.9pt;margin-top:8.55pt;width:301.15pt;height:28.05pt;z-index:2523996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" fillcolor="#69557f" stroked="f" strokeweight="1pt">
                <v:stroke joinstyle="miter"/>
              </v:roundrect>
            </w:pict>
          </mc:Fallback>
        </mc:AlternateContent>
      </w:r>
    </w:p>
    <w:p w14:paraId="4D4FD773" w14:textId="4CB4F58F" w:rsidR="00530396" w:rsidRPr="00530396" w:rsidRDefault="00530396" w:rsidP="00D63423">
      <w:pPr>
        <w:spacing w:line="276" w:lineRule="auto"/>
        <w:jc w:val="both"/>
        <w:rPr>
          <w:rFonts w:ascii="Arial" w:hAnsi="Arial" w:cs="Arial"/>
          <w:sz w:val="24"/>
          <w:szCs w:val="24"/>
        </w:rPr>
      </w:pPr>
    </w:p>
    <w:p w14:paraId="3729299D" w14:textId="77777777" w:rsidR="00D63423" w:rsidRDefault="00D63423" w:rsidP="00D63423">
      <w:pPr>
        <w:spacing w:line="276" w:lineRule="auto"/>
        <w:jc w:val="both"/>
        <w:rPr>
          <w:rFonts w:ascii="Arial" w:hAnsi="Arial" w:cs="Arial"/>
          <w:i/>
          <w:sz w:val="24"/>
          <w:szCs w:val="24"/>
        </w:rPr>
      </w:pPr>
    </w:p>
    <w:p w14:paraId="0B092827" w14:textId="53A596CC" w:rsidR="00530396" w:rsidRPr="00D63423" w:rsidRDefault="00530396" w:rsidP="00D63423">
      <w:pPr>
        <w:pStyle w:val="ListParagraph"/>
        <w:spacing w:line="276" w:lineRule="auto"/>
        <w:jc w:val="both"/>
        <w:rPr>
          <w:rFonts w:ascii="Arial" w:hAnsi="Arial" w:cs="Arial"/>
          <w:sz w:val="24"/>
          <w:szCs w:val="24"/>
        </w:rPr>
      </w:pPr>
      <w:r w:rsidRPr="00D63423">
        <w:rPr>
          <w:rFonts w:ascii="Arial" w:hAnsi="Arial" w:cs="Arial"/>
          <w:sz w:val="24"/>
          <w:szCs w:val="24"/>
        </w:rPr>
        <w:t xml:space="preserve">Initiated by non-state actors, such as CSOs or social groups. Such engagements are common and may or may not involve state actors, for example, in </w:t>
      </w:r>
      <w:r w:rsidRPr="00D63423">
        <w:rPr>
          <w:rFonts w:ascii="Arial" w:hAnsi="Arial" w:cs="Arial"/>
          <w:sz w:val="24"/>
          <w:szCs w:val="24"/>
          <w:lang w:val="en-US"/>
        </w:rPr>
        <w:t xml:space="preserve">South Africa,  informal settlement residents were mobilized through the </w:t>
      </w:r>
      <w:hyperlink r:id="rId484" w:history="1">
        <w:proofErr w:type="spellStart"/>
        <w:r w:rsidRPr="00D63423">
          <w:rPr>
            <w:rStyle w:val="Hyperlink"/>
            <w:rFonts w:ascii="Arial" w:hAnsi="Arial" w:cs="Arial"/>
            <w:i/>
            <w:sz w:val="24"/>
            <w:szCs w:val="24"/>
          </w:rPr>
          <w:t>Asivikelane</w:t>
        </w:r>
        <w:proofErr w:type="spellEnd"/>
        <w:r w:rsidRPr="00D63423">
          <w:rPr>
            <w:rStyle w:val="Hyperlink"/>
            <w:rFonts w:ascii="Arial" w:hAnsi="Arial" w:cs="Arial"/>
            <w:i/>
            <w:iCs/>
            <w:sz w:val="24"/>
            <w:szCs w:val="24"/>
            <w:lang w:val="en-US"/>
          </w:rPr>
          <w:t xml:space="preserve"> “Let’s protect one another”</w:t>
        </w:r>
        <w:r w:rsidRPr="00D63423">
          <w:rPr>
            <w:rStyle w:val="Hyperlink"/>
            <w:rFonts w:ascii="Arial" w:hAnsi="Arial" w:cs="Arial"/>
            <w:sz w:val="24"/>
            <w:szCs w:val="24"/>
            <w:lang w:val="en-US"/>
          </w:rPr>
          <w:t xml:space="preserve"> campaign</w:t>
        </w:r>
      </w:hyperlink>
      <w:r w:rsidRPr="00D63423">
        <w:rPr>
          <w:rFonts w:ascii="Arial" w:hAnsi="Arial" w:cs="Arial"/>
          <w:sz w:val="24"/>
          <w:szCs w:val="24"/>
          <w:lang w:val="en-US"/>
        </w:rPr>
        <w:t xml:space="preserve"> to monitor failures in the delivery of critical hygiene services during the COVID-19 crises and to report problems to the government for resolution. This campaign provided timely information to municipal governments, with several then responding positively to meet basic service delivery needs. This information was also used by institutions such as the National Treasury and the Auditor-General in performing their roles. Another example stems from</w:t>
      </w:r>
      <w:r w:rsidRPr="00D63423">
        <w:rPr>
          <w:rFonts w:ascii="Arial" w:hAnsi="Arial" w:cs="Arial"/>
          <w:sz w:val="24"/>
          <w:szCs w:val="24"/>
          <w:lang w:val="en-ZA"/>
        </w:rPr>
        <w:t xml:space="preserve"> Mexico, where a fiscal transparency portal was published following the 2017 earthquakes, in response to the public’s demand for transparency in emergency response spending.</w:t>
      </w:r>
    </w:p>
    <w:p w14:paraId="79561DAE" w14:textId="77777777" w:rsidR="00530396" w:rsidRPr="00530396" w:rsidRDefault="00530396" w:rsidP="00530396">
      <w:pPr>
        <w:spacing w:line="276" w:lineRule="auto"/>
        <w:ind w:left="720"/>
        <w:jc w:val="both"/>
        <w:rPr>
          <w:rFonts w:ascii="Arial" w:hAnsi="Arial" w:cs="Arial"/>
          <w:sz w:val="24"/>
          <w:szCs w:val="24"/>
        </w:rPr>
      </w:pPr>
    </w:p>
    <w:p w14:paraId="6FA3DD04" w14:textId="77777777" w:rsidR="00D63423" w:rsidRPr="00D63423" w:rsidRDefault="00530396" w:rsidP="00530396">
      <w:pPr>
        <w:spacing w:line="276" w:lineRule="auto"/>
        <w:jc w:val="both"/>
        <w:rPr>
          <w:rFonts w:ascii="Arial" w:hAnsi="Arial" w:cs="Arial"/>
          <w:b/>
          <w:bCs/>
          <w:color w:val="16988A"/>
          <w:sz w:val="24"/>
          <w:szCs w:val="24"/>
        </w:rPr>
      </w:pPr>
      <w:r w:rsidRPr="00D63423">
        <w:rPr>
          <w:rFonts w:ascii="Arial" w:hAnsi="Arial" w:cs="Arial"/>
          <w:b/>
          <w:bCs/>
          <w:color w:val="16988A"/>
          <w:sz w:val="24"/>
          <w:szCs w:val="24"/>
        </w:rPr>
        <w:t>Participation in fiscal policies may take different forms, for instance it may be through</w:t>
      </w:r>
      <w:r w:rsidR="00D63423" w:rsidRPr="00D63423">
        <w:rPr>
          <w:rFonts w:ascii="Arial" w:hAnsi="Arial" w:cs="Arial"/>
          <w:b/>
          <w:bCs/>
          <w:color w:val="16988A"/>
          <w:sz w:val="24"/>
          <w:szCs w:val="24"/>
        </w:rPr>
        <w:t>:</w:t>
      </w:r>
    </w:p>
    <w:p w14:paraId="2E42090F" w14:textId="51216A58" w:rsidR="00D63423" w:rsidRPr="00D63423" w:rsidRDefault="00530396">
      <w:pPr>
        <w:pStyle w:val="ListParagraph"/>
        <w:numPr>
          <w:ilvl w:val="0"/>
          <w:numId w:val="49"/>
        </w:numPr>
        <w:spacing w:line="276" w:lineRule="auto"/>
        <w:jc w:val="both"/>
        <w:rPr>
          <w:rFonts w:ascii="Arial" w:hAnsi="Arial" w:cs="Arial"/>
          <w:b/>
          <w:bCs/>
          <w:color w:val="69557F"/>
          <w:sz w:val="24"/>
          <w:szCs w:val="24"/>
        </w:rPr>
      </w:pPr>
      <w:r w:rsidRPr="00D63423">
        <w:rPr>
          <w:rFonts w:ascii="Arial" w:hAnsi="Arial" w:cs="Arial"/>
          <w:b/>
          <w:bCs/>
          <w:color w:val="69557F"/>
          <w:sz w:val="24"/>
          <w:szCs w:val="24"/>
        </w:rPr>
        <w:t>face to face communication</w:t>
      </w:r>
      <w:r w:rsidR="00CB7C66">
        <w:rPr>
          <w:rFonts w:ascii="Arial" w:hAnsi="Arial" w:cs="Arial"/>
          <w:b/>
          <w:bCs/>
          <w:color w:val="69557F"/>
          <w:sz w:val="24"/>
          <w:szCs w:val="24"/>
        </w:rPr>
        <w:t>;</w:t>
      </w:r>
    </w:p>
    <w:p w14:paraId="685AC17C" w14:textId="59F9935B" w:rsidR="00D63423" w:rsidRPr="00D63423" w:rsidRDefault="00530396">
      <w:pPr>
        <w:pStyle w:val="ListParagraph"/>
        <w:numPr>
          <w:ilvl w:val="0"/>
          <w:numId w:val="49"/>
        </w:numPr>
        <w:spacing w:line="276" w:lineRule="auto"/>
        <w:jc w:val="both"/>
        <w:rPr>
          <w:rFonts w:ascii="Arial" w:hAnsi="Arial" w:cs="Arial"/>
          <w:b/>
          <w:bCs/>
          <w:color w:val="69557F"/>
          <w:sz w:val="24"/>
          <w:szCs w:val="24"/>
        </w:rPr>
      </w:pPr>
      <w:r w:rsidRPr="00D63423">
        <w:rPr>
          <w:rFonts w:ascii="Arial" w:hAnsi="Arial" w:cs="Arial"/>
          <w:b/>
          <w:bCs/>
          <w:color w:val="69557F"/>
          <w:sz w:val="24"/>
          <w:szCs w:val="24"/>
        </w:rPr>
        <w:t>deliberation or input to decision-making</w:t>
      </w:r>
      <w:r w:rsidR="00CB7C66">
        <w:rPr>
          <w:rFonts w:ascii="Arial" w:hAnsi="Arial" w:cs="Arial"/>
          <w:b/>
          <w:bCs/>
          <w:color w:val="69557F"/>
          <w:sz w:val="24"/>
          <w:szCs w:val="24"/>
        </w:rPr>
        <w:t>;</w:t>
      </w:r>
    </w:p>
    <w:p w14:paraId="7C32F491" w14:textId="24034D2D" w:rsidR="00D63423" w:rsidRPr="00D63423" w:rsidRDefault="00530396">
      <w:pPr>
        <w:pStyle w:val="ListParagraph"/>
        <w:numPr>
          <w:ilvl w:val="0"/>
          <w:numId w:val="49"/>
        </w:numPr>
        <w:spacing w:line="276" w:lineRule="auto"/>
        <w:jc w:val="both"/>
        <w:rPr>
          <w:rFonts w:ascii="Arial" w:hAnsi="Arial" w:cs="Arial"/>
          <w:b/>
          <w:bCs/>
          <w:color w:val="69557F"/>
          <w:sz w:val="24"/>
          <w:szCs w:val="24"/>
        </w:rPr>
      </w:pPr>
      <w:r w:rsidRPr="00D63423">
        <w:rPr>
          <w:rFonts w:ascii="Arial" w:hAnsi="Arial" w:cs="Arial"/>
          <w:b/>
          <w:bCs/>
          <w:color w:val="69557F"/>
          <w:sz w:val="24"/>
          <w:szCs w:val="24"/>
        </w:rPr>
        <w:t>written forms of communication including via the internet</w:t>
      </w:r>
      <w:r w:rsidR="00CB7C66">
        <w:rPr>
          <w:rFonts w:ascii="Arial" w:hAnsi="Arial" w:cs="Arial"/>
          <w:b/>
          <w:bCs/>
          <w:color w:val="69557F"/>
          <w:sz w:val="24"/>
          <w:szCs w:val="24"/>
        </w:rPr>
        <w:t>;</w:t>
      </w:r>
      <w:r w:rsidR="00403C5D">
        <w:rPr>
          <w:rFonts w:ascii="Arial" w:hAnsi="Arial" w:cs="Arial"/>
          <w:b/>
          <w:bCs/>
          <w:color w:val="69557F"/>
          <w:sz w:val="24"/>
          <w:szCs w:val="24"/>
        </w:rPr>
        <w:t xml:space="preserve"> or</w:t>
      </w:r>
    </w:p>
    <w:p w14:paraId="17D84CD0" w14:textId="5BBA413F" w:rsidR="00D63423" w:rsidRPr="00D63423" w:rsidRDefault="00530396">
      <w:pPr>
        <w:pStyle w:val="ListParagraph"/>
        <w:numPr>
          <w:ilvl w:val="0"/>
          <w:numId w:val="49"/>
        </w:numPr>
        <w:spacing w:line="276" w:lineRule="auto"/>
        <w:jc w:val="both"/>
        <w:rPr>
          <w:rFonts w:ascii="Arial" w:hAnsi="Arial" w:cs="Arial"/>
          <w:b/>
          <w:bCs/>
          <w:color w:val="69557F"/>
          <w:sz w:val="24"/>
          <w:szCs w:val="24"/>
        </w:rPr>
      </w:pPr>
      <w:r w:rsidRPr="00D63423">
        <w:rPr>
          <w:rFonts w:ascii="Arial" w:hAnsi="Arial" w:cs="Arial"/>
          <w:b/>
          <w:bCs/>
          <w:color w:val="69557F"/>
          <w:sz w:val="24"/>
          <w:szCs w:val="24"/>
        </w:rPr>
        <w:t>a combination of different mechanisms</w:t>
      </w:r>
      <w:bookmarkStart w:id="1040" w:name="_Hlk494111043"/>
      <w:r w:rsidR="00CB7C66">
        <w:rPr>
          <w:rFonts w:ascii="Arial" w:hAnsi="Arial" w:cs="Arial"/>
          <w:b/>
          <w:bCs/>
          <w:color w:val="69557F"/>
          <w:sz w:val="24"/>
          <w:szCs w:val="24"/>
        </w:rPr>
        <w:t>.</w:t>
      </w:r>
    </w:p>
    <w:p w14:paraId="1E2410F9" w14:textId="77777777" w:rsidR="00D63423" w:rsidRDefault="00D63423" w:rsidP="00530396">
      <w:pPr>
        <w:spacing w:line="276" w:lineRule="auto"/>
        <w:jc w:val="both"/>
        <w:rPr>
          <w:rFonts w:ascii="Arial" w:hAnsi="Arial" w:cs="Arial"/>
          <w:sz w:val="24"/>
          <w:szCs w:val="24"/>
        </w:rPr>
      </w:pPr>
    </w:p>
    <w:p w14:paraId="77BDA148" w14:textId="60079676" w:rsidR="00530396" w:rsidRPr="00530396" w:rsidRDefault="00530396" w:rsidP="00530396">
      <w:pPr>
        <w:spacing w:line="276" w:lineRule="auto"/>
        <w:jc w:val="both"/>
        <w:rPr>
          <w:rFonts w:ascii="Arial" w:hAnsi="Arial" w:cs="Arial"/>
          <w:sz w:val="24"/>
          <w:szCs w:val="24"/>
        </w:rPr>
      </w:pPr>
      <w:r w:rsidRPr="00530396">
        <w:rPr>
          <w:rFonts w:ascii="Arial" w:hAnsi="Arial" w:cs="Arial"/>
          <w:sz w:val="24"/>
          <w:szCs w:val="24"/>
        </w:rPr>
        <w:t xml:space="preserve">It ranges from formal or informal one-off public consultation or invitations for submissions, to on-going and institutionalized relationships, such as regular public surveys, standing advisory bodies, or administrative review mechanisms. </w:t>
      </w:r>
      <w:bookmarkEnd w:id="1040"/>
      <w:r w:rsidRPr="00530396">
        <w:rPr>
          <w:rFonts w:ascii="Arial" w:hAnsi="Arial" w:cs="Arial"/>
          <w:sz w:val="24"/>
          <w:szCs w:val="24"/>
        </w:rPr>
        <w:t>It could potentially include ‘participatory budgeting’ – where citizens vote on and decide how a specific line in the budget will actually be spent.</w:t>
      </w:r>
    </w:p>
    <w:p w14:paraId="6E43446F" w14:textId="3BCACAE9" w:rsidR="00CC248E" w:rsidRPr="00470ECC" w:rsidRDefault="0070562C">
      <w:pPr>
        <w:pStyle w:val="Heading2"/>
        <w:numPr>
          <w:ilvl w:val="1"/>
          <w:numId w:val="47"/>
        </w:numPr>
        <w:rPr>
          <w:rFonts w:ascii="Arial" w:hAnsi="Arial" w:cs="Arial"/>
          <w:b/>
          <w:bCs/>
          <w:color w:val="69557F"/>
          <w:sz w:val="36"/>
          <w:szCs w:val="36"/>
        </w:rPr>
      </w:pPr>
      <w:bookmarkStart w:id="1041" w:name="_Toc119794467"/>
      <w:bookmarkStart w:id="1042" w:name="_Toc123204454"/>
      <w:bookmarkStart w:id="1043" w:name="_Toc123216545"/>
      <w:bookmarkStart w:id="1044" w:name="_Toc123217385"/>
      <w:bookmarkStart w:id="1045" w:name="_Toc123913354"/>
      <w:bookmarkStart w:id="1046" w:name="_Toc123914010"/>
      <w:bookmarkStart w:id="1047" w:name="_Toc125566629"/>
      <w:r>
        <w:rPr>
          <w:rFonts w:ascii="Arial" w:hAnsi="Arial" w:cs="Arial"/>
          <w:b/>
          <w:bCs/>
          <w:color w:val="69557F"/>
          <w:sz w:val="36"/>
          <w:szCs w:val="36"/>
        </w:rPr>
        <w:lastRenderedPageBreak/>
        <w:t xml:space="preserve">Relevance of </w:t>
      </w:r>
      <w:r w:rsidR="00CB7C66">
        <w:rPr>
          <w:rFonts w:ascii="Arial" w:hAnsi="Arial" w:cs="Arial"/>
          <w:b/>
          <w:bCs/>
          <w:color w:val="69557F"/>
          <w:sz w:val="36"/>
          <w:szCs w:val="36"/>
        </w:rPr>
        <w:t>p</w:t>
      </w:r>
      <w:r>
        <w:rPr>
          <w:rFonts w:ascii="Arial" w:hAnsi="Arial" w:cs="Arial"/>
          <w:b/>
          <w:bCs/>
          <w:color w:val="69557F"/>
          <w:sz w:val="36"/>
          <w:szCs w:val="36"/>
        </w:rPr>
        <w:t xml:space="preserve">ublic </w:t>
      </w:r>
      <w:r w:rsidR="00CB7C66">
        <w:rPr>
          <w:rFonts w:ascii="Arial" w:hAnsi="Arial" w:cs="Arial"/>
          <w:b/>
          <w:bCs/>
          <w:color w:val="69557F"/>
          <w:sz w:val="36"/>
          <w:szCs w:val="36"/>
        </w:rPr>
        <w:t>p</w:t>
      </w:r>
      <w:r>
        <w:rPr>
          <w:rFonts w:ascii="Arial" w:hAnsi="Arial" w:cs="Arial"/>
          <w:b/>
          <w:bCs/>
          <w:color w:val="69557F"/>
          <w:sz w:val="36"/>
          <w:szCs w:val="36"/>
        </w:rPr>
        <w:t>articipation</w:t>
      </w:r>
      <w:bookmarkEnd w:id="1041"/>
      <w:bookmarkEnd w:id="1042"/>
      <w:bookmarkEnd w:id="1043"/>
      <w:bookmarkEnd w:id="1044"/>
      <w:bookmarkEnd w:id="1045"/>
      <w:bookmarkEnd w:id="1046"/>
      <w:bookmarkEnd w:id="1047"/>
      <w:r w:rsidR="00CC248E" w:rsidRPr="00470ECC">
        <w:rPr>
          <w:rFonts w:ascii="Arial" w:hAnsi="Arial" w:cs="Arial"/>
          <w:sz w:val="24"/>
          <w:szCs w:val="24"/>
        </w:rPr>
        <w:tab/>
      </w:r>
    </w:p>
    <w:p w14:paraId="6140AF92" w14:textId="219C5805" w:rsidR="00470ECC" w:rsidRDefault="00470ECC" w:rsidP="00CC248E">
      <w:pPr>
        <w:tabs>
          <w:tab w:val="left" w:pos="4509"/>
        </w:tabs>
        <w:rPr>
          <w:rFonts w:ascii="Arial" w:hAnsi="Arial" w:cs="Arial"/>
          <w:sz w:val="24"/>
          <w:szCs w:val="24"/>
        </w:rPr>
      </w:pPr>
    </w:p>
    <w:p w14:paraId="5A00D7F6" w14:textId="05E98F30" w:rsidR="00470ECC" w:rsidRPr="00470ECC" w:rsidRDefault="00470ECC" w:rsidP="00470ECC">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2401662" behindDoc="0" locked="0" layoutInCell="1" allowOverlap="1" wp14:anchorId="0080A8A6" wp14:editId="650C9282">
            <wp:simplePos x="0" y="0"/>
            <wp:positionH relativeFrom="column">
              <wp:posOffset>55245</wp:posOffset>
            </wp:positionH>
            <wp:positionV relativeFrom="paragraph">
              <wp:posOffset>33655</wp:posOffset>
            </wp:positionV>
            <wp:extent cx="1765935" cy="1293495"/>
            <wp:effectExtent l="0" t="0" r="0" b="1905"/>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rotWithShape="1">
                    <a:blip r:embed="rId485" cstate="email">
                      <a:extLst>
                        <a:ext uri="{28A0092B-C50C-407E-A947-70E740481C1C}">
                          <a14:useLocalDpi xmlns:a14="http://schemas.microsoft.com/office/drawing/2010/main"/>
                        </a:ext>
                      </a:extLst>
                    </a:blip>
                    <a:srcRect/>
                    <a:stretch/>
                  </pic:blipFill>
                  <pic:spPr bwMode="auto">
                    <a:xfrm>
                      <a:off x="0" y="0"/>
                      <a:ext cx="1765935" cy="1293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0ECC">
        <w:rPr>
          <w:rFonts w:ascii="Arial" w:hAnsi="Arial" w:cs="Arial"/>
          <w:sz w:val="24"/>
          <w:szCs w:val="24"/>
          <w:lang w:val="en-US"/>
        </w:rPr>
        <w:t xml:space="preserve">Public participation is a means to ensure that all those with a stake in, affected by, or intended to benefit from fiscal policies have a voice in decisions that affect their lives. At the heart of fiscal transparency and public financial management is the relationship between the public and the government. This relationship centers on the idea of there being a social contract between the state and the public who are governed, but ultimately retain collective ownership of public resources. In this ‘contract’ the public contribute to collective resources while the government acts on their behalf, with the state being entrusted with collective resources and consequently expected to use these resources for collective wellbeing. </w:t>
      </w:r>
    </w:p>
    <w:p w14:paraId="6D69E6F5" w14:textId="77777777" w:rsidR="00470ECC" w:rsidRPr="00470ECC" w:rsidRDefault="00470ECC" w:rsidP="00470ECC">
      <w:pPr>
        <w:spacing w:line="276" w:lineRule="auto"/>
        <w:jc w:val="both"/>
        <w:rPr>
          <w:rFonts w:ascii="Arial" w:hAnsi="Arial" w:cs="Arial"/>
          <w:sz w:val="24"/>
          <w:szCs w:val="24"/>
          <w:lang w:val="en-US"/>
        </w:rPr>
      </w:pPr>
    </w:p>
    <w:p w14:paraId="23B30C20" w14:textId="77777777" w:rsidR="00470ECC" w:rsidRDefault="00470ECC" w:rsidP="00470ECC">
      <w:pPr>
        <w:spacing w:line="276" w:lineRule="auto"/>
        <w:jc w:val="both"/>
        <w:rPr>
          <w:rFonts w:ascii="Arial" w:hAnsi="Arial" w:cs="Arial"/>
          <w:sz w:val="24"/>
          <w:szCs w:val="24"/>
        </w:rPr>
      </w:pPr>
      <w:r w:rsidRPr="00470ECC">
        <w:rPr>
          <w:rFonts w:ascii="Arial" w:hAnsi="Arial" w:cs="Arial"/>
          <w:sz w:val="24"/>
          <w:szCs w:val="24"/>
          <w:lang w:val="en-US"/>
        </w:rPr>
        <w:t>Experience</w:t>
      </w:r>
      <w:r w:rsidRPr="00470ECC">
        <w:rPr>
          <w:rFonts w:ascii="Arial" w:hAnsi="Arial" w:cs="Arial"/>
          <w:sz w:val="24"/>
          <w:szCs w:val="24"/>
        </w:rPr>
        <w:t xml:space="preserve"> has shown that fiscal transparency is a necessary condition, although not, a sufficient condition for governmental accountability. </w:t>
      </w:r>
      <w:r w:rsidRPr="00470ECC">
        <w:rPr>
          <w:rFonts w:ascii="Arial" w:hAnsi="Arial" w:cs="Arial"/>
          <w:sz w:val="24"/>
          <w:szCs w:val="24"/>
          <w:lang w:val="en-US"/>
        </w:rPr>
        <w:t xml:space="preserve">Opening the processes by which public funds are raised, allocated and spent is an important part of strengthening the accountability of public institutions. </w:t>
      </w:r>
      <w:r w:rsidRPr="00470ECC">
        <w:rPr>
          <w:rFonts w:ascii="Arial" w:hAnsi="Arial" w:cs="Arial"/>
          <w:sz w:val="24"/>
          <w:szCs w:val="24"/>
        </w:rPr>
        <w:t xml:space="preserve">Attention has consequently increasingly shifted beyond fiscal transparency to translating disclosure into more effective accountability by means of greater public engagement on fiscal management throughout the fiscal policy cycle. </w:t>
      </w:r>
      <w:r w:rsidRPr="00470ECC">
        <w:rPr>
          <w:rFonts w:ascii="Arial" w:hAnsi="Arial" w:cs="Arial"/>
          <w:b/>
          <w:bCs/>
          <w:color w:val="69557F"/>
          <w:sz w:val="24"/>
          <w:szCs w:val="24"/>
        </w:rPr>
        <w:t>Consequently, public participation is increasingly recognized as a critical link in the chain between fiscal transparency, more effective accountability for public financial management, and better fiscal and development outcomes.</w:t>
      </w:r>
    </w:p>
    <w:p w14:paraId="538836FB" w14:textId="7294EA7D" w:rsidR="00470ECC" w:rsidRDefault="00470ECC" w:rsidP="00470ECC">
      <w:pPr>
        <w:spacing w:line="276" w:lineRule="auto"/>
        <w:jc w:val="both"/>
        <w:rPr>
          <w:rFonts w:ascii="Arial" w:hAnsi="Arial" w:cs="Arial"/>
          <w:b/>
          <w:bCs/>
          <w:color w:val="69557F"/>
          <w:sz w:val="24"/>
          <w:szCs w:val="24"/>
        </w:rPr>
      </w:pPr>
    </w:p>
    <w:p w14:paraId="12CE491B" w14:textId="022F57EF" w:rsidR="00470ECC" w:rsidRPr="00470ECC" w:rsidRDefault="00470ECC" w:rsidP="00470ECC">
      <w:pPr>
        <w:spacing w:line="276" w:lineRule="auto"/>
        <w:jc w:val="both"/>
        <w:rPr>
          <w:rFonts w:ascii="Arial" w:hAnsi="Arial" w:cs="Arial"/>
          <w:sz w:val="24"/>
          <w:szCs w:val="24"/>
        </w:rPr>
      </w:pPr>
      <w:r w:rsidRPr="00470ECC">
        <w:rPr>
          <w:rFonts w:ascii="Arial" w:hAnsi="Arial" w:cs="Arial"/>
          <w:b/>
          <w:bCs/>
          <w:color w:val="69557F"/>
          <w:sz w:val="24"/>
          <w:szCs w:val="24"/>
        </w:rPr>
        <w:t>Fiscal transparency and participation are mutually reinforcing.</w:t>
      </w:r>
      <w:r w:rsidRPr="00470ECC">
        <w:rPr>
          <w:rFonts w:ascii="Arial" w:hAnsi="Arial" w:cs="Arial"/>
          <w:color w:val="69557F"/>
          <w:sz w:val="24"/>
          <w:szCs w:val="24"/>
        </w:rPr>
        <w:t xml:space="preserve"> </w:t>
      </w:r>
      <w:r w:rsidRPr="00470ECC">
        <w:rPr>
          <w:rFonts w:ascii="Arial" w:hAnsi="Arial" w:cs="Arial"/>
          <w:sz w:val="24"/>
          <w:szCs w:val="24"/>
        </w:rPr>
        <w:t>Access to adequate, timely, useful information is essential for informed, effective public participation. Simultaneously, opportunities for participation create incentives for the public to request, and utilize available information.</w:t>
      </w:r>
    </w:p>
    <w:p w14:paraId="0ED74D47" w14:textId="22F3458D" w:rsidR="00470ECC" w:rsidRPr="00470ECC" w:rsidRDefault="001A11AE" w:rsidP="00470ECC">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06782" behindDoc="0" locked="0" layoutInCell="1" allowOverlap="1" wp14:anchorId="75C33F17" wp14:editId="5F0DD4F0">
                <wp:simplePos x="0" y="0"/>
                <wp:positionH relativeFrom="column">
                  <wp:posOffset>4528820</wp:posOffset>
                </wp:positionH>
                <wp:positionV relativeFrom="paragraph">
                  <wp:posOffset>1304925</wp:posOffset>
                </wp:positionV>
                <wp:extent cx="1471930" cy="278765"/>
                <wp:effectExtent l="0" t="0" r="0" b="0"/>
                <wp:wrapNone/>
                <wp:docPr id="487" name="Text Box 487"/>
                <wp:cNvGraphicFramePr/>
                <a:graphic xmlns:a="http://schemas.openxmlformats.org/drawingml/2006/main">
                  <a:graphicData uri="http://schemas.microsoft.com/office/word/2010/wordprocessingShape">
                    <wps:wsp>
                      <wps:cNvSpPr txBox="1"/>
                      <wps:spPr>
                        <a:xfrm>
                          <a:off x="0" y="0"/>
                          <a:ext cx="1471930" cy="278765"/>
                        </a:xfrm>
                        <a:prstGeom prst="rect">
                          <a:avLst/>
                        </a:prstGeom>
                        <a:noFill/>
                        <a:ln w="6350">
                          <a:noFill/>
                        </a:ln>
                      </wps:spPr>
                      <wps:txbx>
                        <w:txbxContent>
                          <w:p w14:paraId="4703AF01" w14:textId="30CDE497" w:rsidR="00D15FD8" w:rsidRPr="00470ECC" w:rsidRDefault="00D15FD8" w:rsidP="00470ECC">
                            <w:pPr>
                              <w:jc w:val="center"/>
                              <w:rPr>
                                <w:rFonts w:ascii="Arial" w:hAnsi="Arial" w:cs="Arial"/>
                                <w:color w:val="69557F"/>
                                <w:lang w:val="en-US"/>
                              </w:rPr>
                            </w:pPr>
                            <w:r>
                              <w:rPr>
                                <w:rFonts w:ascii="Arial" w:hAnsi="Arial" w:cs="Arial"/>
                                <w:color w:val="69557F"/>
                                <w:lang w:val="en-US"/>
                              </w:rPr>
                              <w:t>Public Participation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C33F17" id="Text Box 487" o:spid="_x0000_s1286" type="#_x0000_t202" style="position:absolute;left:0;text-align:left;margin-left:356.6pt;margin-top:102.75pt;width:115.9pt;height:21.95pt;z-index:2524067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" filled="f" stroked="f" strokeweight=".5pt">
                <v:textbox>
                  <w:txbxContent>
                    <w:p w14:paraId="4703AF01" w14:textId="30CDE497" w:rsidR="00D15FD8" w:rsidRPr="00470ECC" w:rsidRDefault="00D15FD8" w:rsidP="00470ECC">
                      <w:pPr>
                        <w:jc w:val="center"/>
                        <w:rPr>
                          <w:rFonts w:ascii="Arial" w:hAnsi="Arial" w:cs="Arial"/>
                          <w:color w:val="69557F"/>
                          <w:lang w:val="en-US"/>
                        </w:rPr>
                      </w:pPr>
                      <w:r>
                        <w:rPr>
                          <w:rFonts w:ascii="Arial" w:hAnsi="Arial" w:cs="Arial"/>
                          <w:color w:val="69557F"/>
                          <w:lang w:val="en-US"/>
                        </w:rPr>
                        <w:t>Public Participation</w:t>
                      </w:r>
                    </w:p>
                  </w:txbxContent>
                </v:textbox>
              </v:shape>
            </w:pict>
          </mc:Fallback>
        </mc:AlternateContent>
      </w:r>
      <w:r>
        <w:rPr>
          <w:rFonts w:ascii="Arial" w:hAnsi="Arial" w:cs="Arial"/>
          <w:noProof/>
          <w:sz w:val="24"/>
          <w:szCs w:val="24"/>
          <w:lang w:val="en-US"/>
        </w:rPr>
        <w:drawing>
          <wp:anchor distT="0" distB="0" distL="114300" distR="114300" simplePos="0" relativeHeight="254794750" behindDoc="1" locked="0" layoutInCell="1" allowOverlap="1" wp14:anchorId="335344C2" wp14:editId="3DBEE2C1">
            <wp:simplePos x="0" y="0"/>
            <wp:positionH relativeFrom="column">
              <wp:posOffset>726440</wp:posOffset>
            </wp:positionH>
            <wp:positionV relativeFrom="paragraph">
              <wp:posOffset>50800</wp:posOffset>
            </wp:positionV>
            <wp:extent cx="1026795" cy="1155700"/>
            <wp:effectExtent l="0" t="0" r="1905" b="0"/>
            <wp:wrapTight wrapText="bothSides">
              <wp:wrapPolygon edited="0">
                <wp:start x="2672" y="475"/>
                <wp:lineTo x="2672" y="4747"/>
                <wp:lineTo x="801" y="7121"/>
                <wp:lineTo x="0" y="8308"/>
                <wp:lineTo x="0" y="17090"/>
                <wp:lineTo x="534" y="19938"/>
                <wp:lineTo x="1336" y="20651"/>
                <wp:lineTo x="20037" y="20651"/>
                <wp:lineTo x="20839" y="19938"/>
                <wp:lineTo x="21373" y="16141"/>
                <wp:lineTo x="21106" y="8545"/>
                <wp:lineTo x="18968" y="4747"/>
                <wp:lineTo x="17900" y="3560"/>
                <wp:lineTo x="14961" y="475"/>
                <wp:lineTo x="2672" y="475"/>
              </wp:wrapPolygon>
            </wp:wrapTight>
            <wp:docPr id="2665" name="Picture 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 name="Picture 2665"/>
                    <pic:cNvPicPr/>
                  </pic:nvPicPr>
                  <pic:blipFill rotWithShape="1">
                    <a:blip r:embed="rId486" cstate="email">
                      <a:extLst>
                        <a:ext uri="{28A0092B-C50C-407E-A947-70E740481C1C}">
                          <a14:useLocalDpi xmlns:a14="http://schemas.microsoft.com/office/drawing/2010/main"/>
                        </a:ext>
                      </a:extLst>
                    </a:blip>
                    <a:srcRect/>
                    <a:stretch/>
                  </pic:blipFill>
                  <pic:spPr bwMode="auto">
                    <a:xfrm>
                      <a:off x="0" y="0"/>
                      <a:ext cx="1026795" cy="115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2759038" behindDoc="1" locked="0" layoutInCell="1" allowOverlap="1" wp14:anchorId="16A5DB2B" wp14:editId="6184C678">
            <wp:simplePos x="0" y="0"/>
            <wp:positionH relativeFrom="margin">
              <wp:posOffset>1816735</wp:posOffset>
            </wp:positionH>
            <wp:positionV relativeFrom="paragraph">
              <wp:posOffset>-12700</wp:posOffset>
            </wp:positionV>
            <wp:extent cx="4242435" cy="1289685"/>
            <wp:effectExtent l="0" t="0" r="0" b="0"/>
            <wp:wrapTight wrapText="bothSides">
              <wp:wrapPolygon edited="0">
                <wp:start x="17135" y="425"/>
                <wp:lineTo x="16747" y="1276"/>
                <wp:lineTo x="15971" y="3616"/>
                <wp:lineTo x="15454" y="4254"/>
                <wp:lineTo x="14613" y="6381"/>
                <wp:lineTo x="14613" y="7657"/>
                <wp:lineTo x="2845" y="9784"/>
                <wp:lineTo x="0" y="10422"/>
                <wp:lineTo x="0" y="11911"/>
                <wp:lineTo x="5044" y="14464"/>
                <wp:lineTo x="6466" y="14464"/>
                <wp:lineTo x="6466" y="16378"/>
                <wp:lineTo x="10152" y="17867"/>
                <wp:lineTo x="14355" y="17867"/>
                <wp:lineTo x="14355" y="18931"/>
                <wp:lineTo x="14937" y="19143"/>
                <wp:lineTo x="19980" y="19569"/>
                <wp:lineTo x="20304" y="19569"/>
                <wp:lineTo x="21273" y="15102"/>
                <wp:lineTo x="21273" y="14464"/>
                <wp:lineTo x="21015" y="11911"/>
                <wp:lineTo x="20110" y="7232"/>
                <wp:lineTo x="19463" y="4467"/>
                <wp:lineTo x="17588" y="425"/>
                <wp:lineTo x="17135" y="425"/>
              </wp:wrapPolygon>
            </wp:wrapTight>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Picture 1711"/>
                    <pic:cNvPicPr/>
                  </pic:nvPicPr>
                  <pic:blipFill rotWithShape="1">
                    <a:blip r:embed="rId487" cstate="email">
                      <a:extLst>
                        <a:ext uri="{28A0092B-C50C-407E-A947-70E740481C1C}">
                          <a14:useLocalDpi xmlns:a14="http://schemas.microsoft.com/office/drawing/2010/main"/>
                        </a:ext>
                      </a:extLst>
                    </a:blip>
                    <a:srcRect/>
                    <a:stretch/>
                  </pic:blipFill>
                  <pic:spPr bwMode="auto">
                    <a:xfrm>
                      <a:off x="0" y="0"/>
                      <a:ext cx="4242435" cy="1289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2404734" behindDoc="0" locked="0" layoutInCell="1" allowOverlap="1" wp14:anchorId="673D22EC" wp14:editId="07E46F0C">
                <wp:simplePos x="0" y="0"/>
                <wp:positionH relativeFrom="column">
                  <wp:posOffset>113665</wp:posOffset>
                </wp:positionH>
                <wp:positionV relativeFrom="paragraph">
                  <wp:posOffset>1280160</wp:posOffset>
                </wp:positionV>
                <wp:extent cx="2243455" cy="278765"/>
                <wp:effectExtent l="0" t="0" r="0" b="0"/>
                <wp:wrapNone/>
                <wp:docPr id="486" name="Text Box 486"/>
                <wp:cNvGraphicFramePr/>
                <a:graphic xmlns:a="http://schemas.openxmlformats.org/drawingml/2006/main">
                  <a:graphicData uri="http://schemas.microsoft.com/office/word/2010/wordprocessingShape">
                    <wps:wsp>
                      <wps:cNvSpPr txBox="1"/>
                      <wps:spPr>
                        <a:xfrm>
                          <a:off x="0" y="0"/>
                          <a:ext cx="2243455" cy="278765"/>
                        </a:xfrm>
                        <a:prstGeom prst="rect">
                          <a:avLst/>
                        </a:prstGeom>
                        <a:noFill/>
                        <a:ln w="6350">
                          <a:noFill/>
                        </a:ln>
                      </wps:spPr>
                      <wps:txbx>
                        <w:txbxContent>
                          <w:p w14:paraId="33E77AB2" w14:textId="500824B2" w:rsidR="00D15FD8" w:rsidRPr="00470ECC" w:rsidRDefault="00D15FD8" w:rsidP="00470ECC">
                            <w:pPr>
                              <w:jc w:val="center"/>
                              <w:rPr>
                                <w:rFonts w:ascii="Arial" w:hAnsi="Arial" w:cs="Arial"/>
                                <w:color w:val="69557F"/>
                                <w:lang w:val="en-US"/>
                              </w:rPr>
                            </w:pPr>
                            <w:r w:rsidRPr="000E5CBA">
                              <w:rPr>
                                <w:rFonts w:ascii="Arial" w:hAnsi="Arial" w:cs="Arial"/>
                                <w:color w:val="69557F"/>
                                <w:lang w:val="en-US"/>
                              </w:rPr>
                              <w:t>Fiscal</w:t>
                            </w:r>
                            <w:r>
                              <w:rPr>
                                <w:rFonts w:ascii="Arial" w:hAnsi="Arial" w:cs="Arial"/>
                                <w:color w:val="69557F"/>
                                <w:lang w:val="en-US"/>
                              </w:rPr>
                              <w:t xml:space="preserve"> </w:t>
                            </w:r>
                            <w:r w:rsidRPr="000E5CBA">
                              <w:rPr>
                                <w:rFonts w:ascii="Arial" w:hAnsi="Arial" w:cs="Arial"/>
                                <w:color w:val="69557F"/>
                                <w:lang w:val="en-US"/>
                              </w:rPr>
                              <w:t>Transparency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D22EC" id="Text Box 486" o:spid="_x0000_s1287" type="#_x0000_t202" style="position:absolute;left:0;text-align:left;margin-left:8.95pt;margin-top:100.8pt;width:176.65pt;height:21.95pt;z-index:252404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" filled="f" stroked="f" strokeweight=".5pt">
                <v:textbox>
                  <w:txbxContent>
                    <w:p w14:paraId="33E77AB2" w14:textId="500824B2" w:rsidR="00D15FD8" w:rsidRPr="00470ECC" w:rsidRDefault="00D15FD8" w:rsidP="00470ECC">
                      <w:pPr>
                        <w:jc w:val="center"/>
                        <w:rPr>
                          <w:rFonts w:ascii="Arial" w:hAnsi="Arial" w:cs="Arial"/>
                          <w:color w:val="69557F"/>
                          <w:lang w:val="en-US"/>
                        </w:rPr>
                      </w:pPr>
                      <w:r w:rsidRPr="000E5CBA">
                        <w:rPr>
                          <w:rFonts w:ascii="Arial" w:hAnsi="Arial" w:cs="Arial"/>
                          <w:color w:val="69557F"/>
                          <w:lang w:val="en-US"/>
                        </w:rPr>
                        <w:t>Fiscal</w:t>
                      </w:r>
                      <w:r>
                        <w:rPr>
                          <w:rFonts w:ascii="Arial" w:hAnsi="Arial" w:cs="Arial"/>
                          <w:color w:val="69557F"/>
                          <w:lang w:val="en-US"/>
                        </w:rPr>
                        <w:t xml:space="preserve"> </w:t>
                      </w:r>
                      <w:r w:rsidRPr="000E5CBA">
                        <w:rPr>
                          <w:rFonts w:ascii="Arial" w:hAnsi="Arial" w:cs="Arial"/>
                          <w:color w:val="69557F"/>
                          <w:lang w:val="en-US"/>
                        </w:rPr>
                        <w:t>Transparency</w:t>
                      </w:r>
                    </w:p>
                  </w:txbxContent>
                </v:textbox>
              </v:shape>
            </w:pict>
          </mc:Fallback>
        </mc:AlternateContent>
      </w:r>
    </w:p>
    <w:p w14:paraId="5447819B" w14:textId="71A466ED" w:rsidR="0087228A" w:rsidRDefault="0087228A" w:rsidP="00470ECC">
      <w:pPr>
        <w:spacing w:line="276" w:lineRule="auto"/>
        <w:jc w:val="both"/>
        <w:rPr>
          <w:rFonts w:ascii="Arial" w:hAnsi="Arial" w:cs="Arial"/>
          <w:sz w:val="24"/>
          <w:szCs w:val="24"/>
        </w:rPr>
      </w:pPr>
    </w:p>
    <w:p w14:paraId="06CF18C2" w14:textId="77777777" w:rsidR="0087228A" w:rsidRDefault="0087228A" w:rsidP="00470ECC">
      <w:pPr>
        <w:spacing w:line="276" w:lineRule="auto"/>
        <w:jc w:val="both"/>
        <w:rPr>
          <w:rFonts w:ascii="Arial" w:hAnsi="Arial" w:cs="Arial"/>
          <w:sz w:val="24"/>
          <w:szCs w:val="24"/>
        </w:rPr>
      </w:pPr>
    </w:p>
    <w:p w14:paraId="5124945D" w14:textId="77777777" w:rsidR="0087228A" w:rsidRDefault="0087228A" w:rsidP="00470ECC">
      <w:pPr>
        <w:spacing w:line="276" w:lineRule="auto"/>
        <w:jc w:val="both"/>
        <w:rPr>
          <w:rFonts w:ascii="Arial" w:hAnsi="Arial" w:cs="Arial"/>
          <w:sz w:val="24"/>
          <w:szCs w:val="24"/>
        </w:rPr>
      </w:pPr>
    </w:p>
    <w:p w14:paraId="139D632D" w14:textId="77777777" w:rsidR="0087228A" w:rsidRDefault="0087228A" w:rsidP="00470ECC">
      <w:pPr>
        <w:spacing w:line="276" w:lineRule="auto"/>
        <w:jc w:val="both"/>
        <w:rPr>
          <w:rFonts w:ascii="Arial" w:hAnsi="Arial" w:cs="Arial"/>
          <w:sz w:val="24"/>
          <w:szCs w:val="24"/>
        </w:rPr>
      </w:pPr>
    </w:p>
    <w:p w14:paraId="4A027472" w14:textId="115BC06A" w:rsidR="0087228A" w:rsidRDefault="0087228A" w:rsidP="00470ECC">
      <w:pPr>
        <w:spacing w:line="276" w:lineRule="auto"/>
        <w:jc w:val="both"/>
        <w:rPr>
          <w:rFonts w:ascii="Arial" w:hAnsi="Arial" w:cs="Arial"/>
          <w:sz w:val="24"/>
          <w:szCs w:val="24"/>
        </w:rPr>
      </w:pPr>
    </w:p>
    <w:p w14:paraId="5CA885CE" w14:textId="6690F3D6" w:rsidR="0087228A" w:rsidRDefault="0087228A" w:rsidP="00470ECC">
      <w:pPr>
        <w:spacing w:line="276" w:lineRule="auto"/>
        <w:jc w:val="both"/>
        <w:rPr>
          <w:rFonts w:ascii="Arial" w:hAnsi="Arial" w:cs="Arial"/>
          <w:sz w:val="24"/>
          <w:szCs w:val="24"/>
        </w:rPr>
      </w:pPr>
    </w:p>
    <w:p w14:paraId="5C27CB89" w14:textId="1BA538D0" w:rsidR="0087228A" w:rsidRDefault="0087228A" w:rsidP="00470ECC">
      <w:pPr>
        <w:spacing w:line="276" w:lineRule="auto"/>
        <w:jc w:val="both"/>
        <w:rPr>
          <w:rFonts w:ascii="Arial" w:hAnsi="Arial" w:cs="Arial"/>
          <w:sz w:val="24"/>
          <w:szCs w:val="24"/>
        </w:rPr>
      </w:pPr>
    </w:p>
    <w:p w14:paraId="74BC66AB" w14:textId="310112E1" w:rsidR="00470ECC" w:rsidRPr="00470ECC" w:rsidRDefault="00B24C3F" w:rsidP="00470ECC">
      <w:pPr>
        <w:spacing w:line="276" w:lineRule="auto"/>
        <w:jc w:val="both"/>
        <w:rPr>
          <w:rFonts w:ascii="Arial" w:hAnsi="Arial" w:cs="Arial"/>
          <w:sz w:val="24"/>
          <w:szCs w:val="24"/>
          <w:lang w:val="en-ZA"/>
        </w:rPr>
      </w:pPr>
      <w:r>
        <w:rPr>
          <w:rFonts w:ascii="Arial" w:hAnsi="Arial" w:cs="Arial"/>
          <w:noProof/>
          <w:sz w:val="24"/>
          <w:szCs w:val="24"/>
          <w:lang w:val="en-US"/>
        </w:rPr>
        <w:lastRenderedPageBreak/>
        <w:drawing>
          <wp:anchor distT="0" distB="0" distL="114300" distR="114300" simplePos="0" relativeHeight="252403710" behindDoc="0" locked="0" layoutInCell="1" allowOverlap="1" wp14:anchorId="6533C41C" wp14:editId="150B6195">
            <wp:simplePos x="0" y="0"/>
            <wp:positionH relativeFrom="column">
              <wp:posOffset>2999105</wp:posOffset>
            </wp:positionH>
            <wp:positionV relativeFrom="paragraph">
              <wp:posOffset>152121</wp:posOffset>
            </wp:positionV>
            <wp:extent cx="3693160" cy="2475230"/>
            <wp:effectExtent l="0" t="0" r="0" b="0"/>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pic:cNvPicPr/>
                  </pic:nvPicPr>
                  <pic:blipFill rotWithShape="1">
                    <a:blip r:embed="rId488" cstate="email">
                      <a:extLst>
                        <a:ext uri="{28A0092B-C50C-407E-A947-70E740481C1C}">
                          <a14:useLocalDpi xmlns:a14="http://schemas.microsoft.com/office/drawing/2010/main"/>
                        </a:ext>
                      </a:extLst>
                    </a:blip>
                    <a:srcRect/>
                    <a:stretch/>
                  </pic:blipFill>
                  <pic:spPr bwMode="auto">
                    <a:xfrm>
                      <a:off x="0" y="0"/>
                      <a:ext cx="3693160" cy="2475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ECC" w:rsidRPr="00470ECC">
        <w:rPr>
          <w:rFonts w:ascii="Arial" w:hAnsi="Arial" w:cs="Arial"/>
          <w:sz w:val="24"/>
          <w:szCs w:val="24"/>
        </w:rPr>
        <w:t xml:space="preserve">The importance that </w:t>
      </w:r>
      <w:r w:rsidR="00470ECC" w:rsidRPr="00470ECC">
        <w:rPr>
          <w:rFonts w:ascii="Arial" w:hAnsi="Arial" w:cs="Arial"/>
          <w:sz w:val="24"/>
          <w:szCs w:val="24"/>
          <w:lang w:val="en-US"/>
        </w:rPr>
        <w:t>state actors give to public participation reflects their acceptance and commitment to democratic life and the basic principle that non-state actors are key agents of good governance and sustainable development</w:t>
      </w:r>
      <w:r w:rsidR="00470ECC" w:rsidRPr="00470ECC">
        <w:rPr>
          <w:rFonts w:ascii="Arial" w:hAnsi="Arial" w:cs="Arial"/>
          <w:sz w:val="24"/>
          <w:szCs w:val="24"/>
        </w:rPr>
        <w:t xml:space="preserve">. </w:t>
      </w:r>
      <w:r w:rsidR="00470ECC" w:rsidRPr="00470ECC">
        <w:rPr>
          <w:rFonts w:ascii="Arial" w:hAnsi="Arial" w:cs="Arial"/>
          <w:sz w:val="24"/>
          <w:szCs w:val="24"/>
          <w:lang w:val="en-ZA"/>
        </w:rPr>
        <w:t>Public participation by non-state actors is a critical democratic mechanism through which the government's decision-making process and public policies can be made more legitimate, efficient, equitable, accountable, and sustainable</w:t>
      </w:r>
      <w:r w:rsidR="00470ECC" w:rsidRPr="00470ECC">
        <w:rPr>
          <w:rFonts w:ascii="Arial" w:hAnsi="Arial" w:cs="Arial"/>
          <w:sz w:val="24"/>
          <w:szCs w:val="24"/>
          <w:lang w:val="en-US"/>
        </w:rPr>
        <w:t xml:space="preserve">. </w:t>
      </w:r>
      <w:r w:rsidR="00470ECC" w:rsidRPr="00470ECC">
        <w:rPr>
          <w:rFonts w:ascii="Arial" w:hAnsi="Arial" w:cs="Arial"/>
          <w:sz w:val="24"/>
          <w:szCs w:val="24"/>
          <w:lang w:val="en-ZA"/>
        </w:rPr>
        <w:t xml:space="preserve">It can strengthen policy choices, increase public support for budget decisions, and strengthen oversight, all of which can ultimately improve outcomes. When public participation is inclusive and effective, listening and engaging with the marginalized members of society, it especially benefits the poor and the most vulnerable, who are traditionally excluded. </w:t>
      </w:r>
      <w:r w:rsidR="00470ECC" w:rsidRPr="00470ECC">
        <w:rPr>
          <w:rFonts w:ascii="Arial" w:hAnsi="Arial" w:cs="Arial"/>
          <w:sz w:val="24"/>
          <w:szCs w:val="24"/>
        </w:rPr>
        <w:t>Members of the public can provide critical information on needs and priorities and, through monitoring budget implementation reduce mismanagement and opportunities for corruption, thus further enhancing budget efficiency and effectiveness.</w:t>
      </w:r>
    </w:p>
    <w:p w14:paraId="7ABBB211" w14:textId="450C66B8" w:rsidR="00470ECC" w:rsidRPr="00470ECC" w:rsidRDefault="00470ECC" w:rsidP="00470ECC">
      <w:pPr>
        <w:spacing w:line="276" w:lineRule="auto"/>
        <w:jc w:val="both"/>
        <w:rPr>
          <w:rFonts w:ascii="Arial" w:hAnsi="Arial" w:cs="Arial"/>
          <w:sz w:val="24"/>
          <w:szCs w:val="24"/>
          <w:lang w:val="en-ZA"/>
        </w:rPr>
      </w:pPr>
    </w:p>
    <w:p w14:paraId="0DAB3170" w14:textId="17D57C3C" w:rsidR="00470ECC" w:rsidRDefault="00470ECC" w:rsidP="00470ECC">
      <w:pPr>
        <w:spacing w:line="276" w:lineRule="auto"/>
        <w:jc w:val="both"/>
        <w:rPr>
          <w:rFonts w:ascii="Arial" w:hAnsi="Arial" w:cs="Arial"/>
          <w:sz w:val="24"/>
          <w:szCs w:val="24"/>
        </w:rPr>
      </w:pPr>
      <w:r w:rsidRPr="00470ECC">
        <w:rPr>
          <w:rFonts w:ascii="Arial" w:hAnsi="Arial" w:cs="Arial"/>
          <w:sz w:val="24"/>
          <w:szCs w:val="24"/>
        </w:rPr>
        <w:t>Although public participation in budgeting is relatively new, the evidence attesting to its impact on resource allocation and service delivery, and development outcomes, is growing</w:t>
      </w:r>
      <w:r w:rsidRPr="00470ECC">
        <w:rPr>
          <w:rFonts w:ascii="Arial" w:hAnsi="Arial" w:cs="Arial"/>
          <w:sz w:val="24"/>
          <w:szCs w:val="24"/>
          <w:vertAlign w:val="superscript"/>
        </w:rPr>
        <w:footnoteReference w:id="29"/>
      </w:r>
      <w:r w:rsidRPr="00470ECC">
        <w:rPr>
          <w:rFonts w:ascii="Arial" w:hAnsi="Arial" w:cs="Arial"/>
          <w:sz w:val="24"/>
          <w:szCs w:val="24"/>
        </w:rPr>
        <w:t xml:space="preserve">. In contrast, the lack of public participation means that the benefits derived from engaging with the public are not realised, for example, policies may be designed without fully understanding the needs and priorities of the public, resulting in the provision of goods and services that may be mismatched with their needs, thereby leading to the sub-optimal use of resources and potentially to the non-realisation of broader developmental outcomes. </w:t>
      </w:r>
    </w:p>
    <w:p w14:paraId="5117793C" w14:textId="533EB866" w:rsidR="00BA59CB" w:rsidRDefault="00E45093" w:rsidP="00470EC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5322110" behindDoc="0" locked="0" layoutInCell="1" allowOverlap="1" wp14:anchorId="2834FC52" wp14:editId="500B622B">
            <wp:simplePos x="0" y="0"/>
            <wp:positionH relativeFrom="column">
              <wp:posOffset>-31750</wp:posOffset>
            </wp:positionH>
            <wp:positionV relativeFrom="paragraph">
              <wp:posOffset>-6985</wp:posOffset>
            </wp:positionV>
            <wp:extent cx="2569210" cy="2480945"/>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rotWithShape="1">
                    <a:blip r:embed="rId489" cstate="screen">
                      <a:extLst>
                        <a:ext uri="{28A0092B-C50C-407E-A947-70E740481C1C}">
                          <a14:useLocalDpi xmlns:a14="http://schemas.microsoft.com/office/drawing/2010/main"/>
                        </a:ext>
                      </a:extLst>
                    </a:blip>
                    <a:srcRect/>
                    <a:stretch/>
                  </pic:blipFill>
                  <pic:spPr bwMode="auto">
                    <a:xfrm>
                      <a:off x="0" y="0"/>
                      <a:ext cx="2569210" cy="248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C1C733" w14:textId="2E499E2E" w:rsidR="00BA59CB" w:rsidRDefault="00BA59CB">
      <w:pPr>
        <w:pStyle w:val="Heading2"/>
        <w:numPr>
          <w:ilvl w:val="1"/>
          <w:numId w:val="47"/>
        </w:numPr>
        <w:rPr>
          <w:rFonts w:ascii="Arial" w:hAnsi="Arial" w:cs="Arial"/>
          <w:b/>
          <w:bCs/>
          <w:color w:val="69557F"/>
          <w:sz w:val="36"/>
          <w:szCs w:val="36"/>
        </w:rPr>
      </w:pPr>
      <w:bookmarkStart w:id="1048" w:name="_Toc119794468"/>
      <w:bookmarkStart w:id="1049" w:name="_Toc123204455"/>
      <w:bookmarkStart w:id="1050" w:name="_Toc123216546"/>
      <w:bookmarkStart w:id="1051" w:name="_Toc123217386"/>
      <w:bookmarkStart w:id="1052" w:name="_Toc123913355"/>
      <w:bookmarkStart w:id="1053" w:name="_Toc123914011"/>
      <w:bookmarkStart w:id="1054" w:name="_Toc125566630"/>
      <w:r>
        <w:rPr>
          <w:rFonts w:ascii="Arial" w:hAnsi="Arial" w:cs="Arial"/>
          <w:b/>
          <w:bCs/>
          <w:color w:val="69557F"/>
          <w:sz w:val="36"/>
          <w:szCs w:val="36"/>
        </w:rPr>
        <w:t xml:space="preserve">Public </w:t>
      </w:r>
      <w:r w:rsidR="00C418EF">
        <w:rPr>
          <w:rFonts w:ascii="Arial" w:hAnsi="Arial" w:cs="Arial"/>
          <w:b/>
          <w:bCs/>
          <w:color w:val="69557F"/>
          <w:sz w:val="36"/>
          <w:szCs w:val="36"/>
        </w:rPr>
        <w:t>p</w:t>
      </w:r>
      <w:r>
        <w:rPr>
          <w:rFonts w:ascii="Arial" w:hAnsi="Arial" w:cs="Arial"/>
          <w:b/>
          <w:bCs/>
          <w:color w:val="69557F"/>
          <w:sz w:val="36"/>
          <w:szCs w:val="36"/>
        </w:rPr>
        <w:t xml:space="preserve">articipation </w:t>
      </w:r>
      <w:r w:rsidR="00C418EF">
        <w:rPr>
          <w:rFonts w:ascii="Arial" w:hAnsi="Arial" w:cs="Arial"/>
          <w:b/>
          <w:bCs/>
          <w:color w:val="69557F"/>
          <w:sz w:val="36"/>
          <w:szCs w:val="36"/>
        </w:rPr>
        <w:t>t</w:t>
      </w:r>
      <w:r>
        <w:rPr>
          <w:rFonts w:ascii="Arial" w:hAnsi="Arial" w:cs="Arial"/>
          <w:b/>
          <w:bCs/>
          <w:color w:val="69557F"/>
          <w:sz w:val="36"/>
          <w:szCs w:val="36"/>
        </w:rPr>
        <w:t xml:space="preserve">hroughout the </w:t>
      </w:r>
      <w:r w:rsidR="00C418EF">
        <w:rPr>
          <w:rFonts w:ascii="Arial" w:hAnsi="Arial" w:cs="Arial"/>
          <w:b/>
          <w:bCs/>
          <w:color w:val="69557F"/>
          <w:sz w:val="36"/>
          <w:szCs w:val="36"/>
        </w:rPr>
        <w:t>f</w:t>
      </w:r>
      <w:r>
        <w:rPr>
          <w:rFonts w:ascii="Arial" w:hAnsi="Arial" w:cs="Arial"/>
          <w:b/>
          <w:bCs/>
          <w:color w:val="69557F"/>
          <w:sz w:val="36"/>
          <w:szCs w:val="36"/>
        </w:rPr>
        <w:t xml:space="preserve">iscal </w:t>
      </w:r>
      <w:r w:rsidR="00C418EF">
        <w:rPr>
          <w:rFonts w:ascii="Arial" w:hAnsi="Arial" w:cs="Arial"/>
          <w:b/>
          <w:bCs/>
          <w:color w:val="69557F"/>
          <w:sz w:val="36"/>
          <w:szCs w:val="36"/>
        </w:rPr>
        <w:t>p</w:t>
      </w:r>
      <w:r>
        <w:rPr>
          <w:rFonts w:ascii="Arial" w:hAnsi="Arial" w:cs="Arial"/>
          <w:b/>
          <w:bCs/>
          <w:color w:val="69557F"/>
          <w:sz w:val="36"/>
          <w:szCs w:val="36"/>
        </w:rPr>
        <w:t xml:space="preserve">olicy </w:t>
      </w:r>
      <w:r w:rsidR="00C418EF">
        <w:rPr>
          <w:rFonts w:ascii="Arial" w:hAnsi="Arial" w:cs="Arial"/>
          <w:b/>
          <w:bCs/>
          <w:color w:val="69557F"/>
          <w:sz w:val="36"/>
          <w:szCs w:val="36"/>
        </w:rPr>
        <w:t>c</w:t>
      </w:r>
      <w:r>
        <w:rPr>
          <w:rFonts w:ascii="Arial" w:hAnsi="Arial" w:cs="Arial"/>
          <w:b/>
          <w:bCs/>
          <w:color w:val="69557F"/>
          <w:sz w:val="36"/>
          <w:szCs w:val="36"/>
        </w:rPr>
        <w:t>ycle</w:t>
      </w:r>
      <w:bookmarkEnd w:id="1048"/>
      <w:bookmarkEnd w:id="1049"/>
      <w:bookmarkEnd w:id="1050"/>
      <w:bookmarkEnd w:id="1051"/>
      <w:bookmarkEnd w:id="1052"/>
      <w:bookmarkEnd w:id="1053"/>
      <w:bookmarkEnd w:id="1054"/>
    </w:p>
    <w:p w14:paraId="453BF103" w14:textId="77777777" w:rsidR="00BA59CB" w:rsidRPr="00BA59CB" w:rsidRDefault="00BA59CB" w:rsidP="00BA59CB">
      <w:pPr>
        <w:spacing w:line="276" w:lineRule="auto"/>
        <w:jc w:val="both"/>
        <w:rPr>
          <w:rFonts w:ascii="Arial" w:hAnsi="Arial" w:cs="Arial"/>
          <w:sz w:val="24"/>
          <w:szCs w:val="24"/>
        </w:rPr>
      </w:pPr>
    </w:p>
    <w:p w14:paraId="776EB53C" w14:textId="439E0943" w:rsidR="00FB290E" w:rsidRDefault="00BA59CB" w:rsidP="00BA59CB">
      <w:pPr>
        <w:spacing w:line="276" w:lineRule="auto"/>
        <w:jc w:val="both"/>
        <w:rPr>
          <w:rFonts w:ascii="Arial" w:hAnsi="Arial" w:cs="Arial"/>
          <w:sz w:val="24"/>
          <w:szCs w:val="24"/>
          <w:lang w:val="en-ZA"/>
        </w:rPr>
      </w:pPr>
      <w:r w:rsidRPr="00BA59CB">
        <w:rPr>
          <w:rFonts w:ascii="Arial" w:hAnsi="Arial" w:cs="Arial"/>
          <w:sz w:val="24"/>
          <w:szCs w:val="24"/>
        </w:rPr>
        <w:t>Public participation should take place across the fiscal policy cycle, that is in the design, implementation and review of fiscal policies. T</w:t>
      </w:r>
      <w:r w:rsidRPr="00BA59CB">
        <w:rPr>
          <w:rFonts w:ascii="Arial" w:hAnsi="Arial" w:cs="Arial"/>
          <w:sz w:val="24"/>
          <w:szCs w:val="24"/>
          <w:lang w:val="en-ZA"/>
        </w:rPr>
        <w:t xml:space="preserve">he executive and oversight institutions should actively use public participation to address distinctive goals and challenges. The way they do this is normally closely related to their formal responsibilities regarding fiscal issues, as well as the broader governmental structures in which they are embedded. For example, legislation might formally require the executive to engage with other actors before and after the budget is formally tabled in the legislature for approval. There are also different purposes for </w:t>
      </w:r>
      <w:r w:rsidRPr="00BA59CB">
        <w:rPr>
          <w:rFonts w:ascii="Arial" w:hAnsi="Arial" w:cs="Arial"/>
          <w:sz w:val="24"/>
          <w:szCs w:val="24"/>
          <w:lang w:val="en-ZA"/>
        </w:rPr>
        <w:lastRenderedPageBreak/>
        <w:t>public participation across the stages of the fiscal policy cycle, with distinct tools that can be used to design, plan, and implement appropriate participation mechanisms</w:t>
      </w:r>
      <w:r w:rsidRPr="00BA59CB">
        <w:rPr>
          <w:rFonts w:ascii="Arial" w:hAnsi="Arial" w:cs="Arial"/>
          <w:sz w:val="24"/>
          <w:szCs w:val="24"/>
          <w:vertAlign w:val="superscript"/>
        </w:rPr>
        <w:footnoteReference w:id="30"/>
      </w:r>
      <w:r w:rsidR="006A54DE">
        <w:rPr>
          <w:rFonts w:ascii="Arial" w:hAnsi="Arial" w:cs="Arial"/>
          <w:sz w:val="24"/>
          <w:szCs w:val="24"/>
          <w:lang w:val="en-ZA"/>
        </w:rPr>
        <w:t>.</w:t>
      </w:r>
      <w:r w:rsidRPr="00BA59CB">
        <w:rPr>
          <w:rFonts w:ascii="Arial" w:hAnsi="Arial" w:cs="Arial"/>
          <w:sz w:val="24"/>
          <w:szCs w:val="24"/>
          <w:lang w:val="en-ZA"/>
        </w:rPr>
        <w:t xml:space="preserve"> </w:t>
      </w:r>
    </w:p>
    <w:p w14:paraId="47E93C1E" w14:textId="59B43538" w:rsidR="00BA59CB" w:rsidRDefault="00BA59CB" w:rsidP="00BA59CB">
      <w:pPr>
        <w:spacing w:line="276" w:lineRule="auto"/>
        <w:jc w:val="both"/>
        <w:rPr>
          <w:rFonts w:ascii="Arial" w:hAnsi="Arial" w:cs="Arial"/>
          <w:sz w:val="24"/>
          <w:szCs w:val="24"/>
          <w:lang w:val="en-ZA"/>
        </w:rPr>
      </w:pPr>
    </w:p>
    <w:p w14:paraId="716A9BE1" w14:textId="62B15F20" w:rsidR="00BA59CB" w:rsidRPr="00D15FA1" w:rsidRDefault="00BA59CB" w:rsidP="003625BA">
      <w:pPr>
        <w:jc w:val="both"/>
        <w:rPr>
          <w:rFonts w:ascii="Arial" w:hAnsi="Arial" w:cs="Arial"/>
          <w:sz w:val="26"/>
          <w:szCs w:val="26"/>
          <w:lang w:val="en-ZA"/>
        </w:rPr>
      </w:pPr>
      <w:r w:rsidRPr="00D15FA1">
        <w:rPr>
          <w:rFonts w:ascii="Arial" w:eastAsiaTheme="minorEastAsia" w:hAnsi="Arial" w:cs="Arial"/>
          <w:b/>
          <w:bCs/>
          <w:color w:val="69567F"/>
          <w:sz w:val="26"/>
          <w:szCs w:val="26"/>
          <w:lang w:val="en-US"/>
        </w:rPr>
        <w:t>Main purposes of public participation in each stage of the fiscal policy cycle</w:t>
      </w:r>
    </w:p>
    <w:p w14:paraId="63D441FD" w14:textId="4ACFCF34" w:rsidR="00C5477D" w:rsidRPr="003625BA" w:rsidRDefault="00C5477D" w:rsidP="00C5477D">
      <w:pPr>
        <w:spacing w:before="240" w:after="240"/>
        <w:jc w:val="both"/>
        <w:rPr>
          <w:rFonts w:ascii="Arial" w:eastAsia="Arial" w:hAnsi="Arial" w:cs="Arial"/>
          <w:b/>
          <w:bCs/>
          <w:color w:val="16988A"/>
          <w:sz w:val="24"/>
          <w:szCs w:val="24"/>
        </w:rPr>
      </w:pPr>
      <w:r w:rsidRPr="003625BA">
        <w:rPr>
          <w:rFonts w:ascii="Arial" w:eastAsia="Arial" w:hAnsi="Arial" w:cs="Arial"/>
          <w:b/>
          <w:bCs/>
          <w:color w:val="16988A"/>
          <w:sz w:val="24"/>
          <w:szCs w:val="24"/>
        </w:rPr>
        <w:t xml:space="preserve">Executive </w:t>
      </w:r>
      <w:r w:rsidR="00FB78A0" w:rsidRPr="003625BA">
        <w:rPr>
          <w:rFonts w:ascii="Arial" w:eastAsia="Arial" w:hAnsi="Arial" w:cs="Arial"/>
          <w:b/>
          <w:bCs/>
          <w:color w:val="16988A"/>
          <w:sz w:val="24"/>
          <w:szCs w:val="24"/>
        </w:rPr>
        <w:t>f</w:t>
      </w:r>
      <w:r w:rsidRPr="003625BA">
        <w:rPr>
          <w:rFonts w:ascii="Arial" w:eastAsia="Arial" w:hAnsi="Arial" w:cs="Arial"/>
          <w:b/>
          <w:bCs/>
          <w:color w:val="16988A"/>
          <w:sz w:val="24"/>
          <w:szCs w:val="24"/>
        </w:rPr>
        <w:t xml:space="preserve">iscal </w:t>
      </w:r>
      <w:r w:rsidR="00FB78A0" w:rsidRPr="003625BA">
        <w:rPr>
          <w:rFonts w:ascii="Arial" w:eastAsia="Arial" w:hAnsi="Arial" w:cs="Arial"/>
          <w:b/>
          <w:bCs/>
          <w:color w:val="16988A"/>
          <w:sz w:val="24"/>
          <w:szCs w:val="24"/>
        </w:rPr>
        <w:t>p</w:t>
      </w:r>
      <w:r w:rsidRPr="003625BA">
        <w:rPr>
          <w:rFonts w:ascii="Arial" w:eastAsia="Arial" w:hAnsi="Arial" w:cs="Arial"/>
          <w:b/>
          <w:bCs/>
          <w:color w:val="16988A"/>
          <w:sz w:val="24"/>
          <w:szCs w:val="24"/>
        </w:rPr>
        <w:t xml:space="preserve">olicy and </w:t>
      </w:r>
      <w:r w:rsidR="00E601D2" w:rsidRPr="003625BA">
        <w:rPr>
          <w:rFonts w:ascii="Arial" w:eastAsia="Arial" w:hAnsi="Arial" w:cs="Arial"/>
          <w:b/>
          <w:bCs/>
          <w:color w:val="16988A"/>
          <w:sz w:val="24"/>
          <w:szCs w:val="24"/>
        </w:rPr>
        <w:t>b</w:t>
      </w:r>
      <w:r w:rsidRPr="003625BA">
        <w:rPr>
          <w:rFonts w:ascii="Arial" w:eastAsia="Arial" w:hAnsi="Arial" w:cs="Arial"/>
          <w:b/>
          <w:bCs/>
          <w:color w:val="16988A"/>
          <w:sz w:val="24"/>
          <w:szCs w:val="24"/>
        </w:rPr>
        <w:t xml:space="preserve">udget </w:t>
      </w:r>
      <w:r w:rsidR="00E601D2" w:rsidRPr="003625BA">
        <w:rPr>
          <w:rFonts w:ascii="Arial" w:eastAsia="Arial" w:hAnsi="Arial" w:cs="Arial"/>
          <w:b/>
          <w:bCs/>
          <w:color w:val="16988A"/>
          <w:sz w:val="24"/>
          <w:szCs w:val="24"/>
        </w:rPr>
        <w:t>f</w:t>
      </w:r>
      <w:r w:rsidRPr="003625BA">
        <w:rPr>
          <w:rFonts w:ascii="Arial" w:eastAsia="Arial" w:hAnsi="Arial" w:cs="Arial"/>
          <w:b/>
          <w:bCs/>
          <w:color w:val="16988A"/>
          <w:sz w:val="24"/>
          <w:szCs w:val="24"/>
        </w:rPr>
        <w:t>ormulation</w:t>
      </w:r>
      <w:r w:rsidR="00D15FA1">
        <w:rPr>
          <w:rFonts w:ascii="Arial" w:eastAsia="Arial" w:hAnsi="Arial" w:cs="Arial"/>
          <w:b/>
          <w:bCs/>
          <w:color w:val="16988A"/>
          <w:sz w:val="24"/>
          <w:szCs w:val="24"/>
        </w:rPr>
        <w:t xml:space="preserve"> stage</w:t>
      </w:r>
    </w:p>
    <w:p w14:paraId="1E3B48DE" w14:textId="40F55049" w:rsidR="00C5477D" w:rsidRPr="003625BA" w:rsidRDefault="00C5477D" w:rsidP="00C5477D">
      <w:pPr>
        <w:jc w:val="both"/>
        <w:rPr>
          <w:rFonts w:ascii="Arial" w:hAnsi="Arial" w:cs="Arial"/>
          <w:sz w:val="24"/>
          <w:szCs w:val="24"/>
        </w:rPr>
      </w:pPr>
      <w:r w:rsidRPr="003625BA">
        <w:rPr>
          <w:rFonts w:ascii="Arial" w:hAnsi="Arial" w:cs="Arial"/>
          <w:sz w:val="24"/>
          <w:szCs w:val="24"/>
        </w:rPr>
        <w:t>As the lead actor in this stage, the executive often invites non-state actors to engage in various forums. Engaging diverse actors enables public authorities to draw on the wide range of information and perspectives throughout society, such that their feedback and perspectives can be integrated into the blueprint of financial management. This is generally impactful as it assists in getting a common understanding of issues; in ensuring that budget policy priorities match the public interest; in garnering support for their implementation</w:t>
      </w:r>
      <w:r w:rsidR="005E460C">
        <w:rPr>
          <w:rFonts w:ascii="Arial" w:hAnsi="Arial" w:cs="Arial"/>
          <w:sz w:val="24"/>
          <w:szCs w:val="24"/>
        </w:rPr>
        <w:t>;</w:t>
      </w:r>
      <w:r w:rsidRPr="003625BA">
        <w:rPr>
          <w:rFonts w:ascii="Arial" w:hAnsi="Arial" w:cs="Arial"/>
          <w:sz w:val="24"/>
          <w:szCs w:val="24"/>
        </w:rPr>
        <w:t xml:space="preserve"> and in building trust.</w:t>
      </w:r>
    </w:p>
    <w:p w14:paraId="63672C43" w14:textId="3596CB48" w:rsidR="00C5477D" w:rsidRPr="003625BA" w:rsidRDefault="00C5477D" w:rsidP="00C5477D">
      <w:pPr>
        <w:spacing w:before="240" w:after="240"/>
        <w:jc w:val="both"/>
        <w:rPr>
          <w:rFonts w:ascii="Arial" w:eastAsia="Arial" w:hAnsi="Arial" w:cs="Arial"/>
          <w:sz w:val="24"/>
          <w:szCs w:val="24"/>
        </w:rPr>
      </w:pPr>
      <w:r w:rsidRPr="003625BA">
        <w:rPr>
          <w:rFonts w:ascii="Arial" w:hAnsi="Arial" w:cs="Arial"/>
          <w:sz w:val="24"/>
          <w:szCs w:val="24"/>
        </w:rPr>
        <w:t>Executive and legislative engagements may take the form of pre-budget consultation meetings with the general public and/or consultations with expert groups, such as think tanks, independent fiscal institutions and academia. The latter help in assessing government fiscal plans and performance as well as budget proposals, and in the evaluation of, or provision of, macroeconomic and budgetary forecasts. Expert groups can also be formed as multi-stakeholder groups, represented by the government, civil society, and the private sector</w:t>
      </w:r>
      <w:r w:rsidR="00097E9A">
        <w:rPr>
          <w:rFonts w:ascii="Arial" w:hAnsi="Arial" w:cs="Arial"/>
          <w:sz w:val="24"/>
          <w:szCs w:val="24"/>
        </w:rPr>
        <w:t>.</w:t>
      </w:r>
    </w:p>
    <w:p w14:paraId="74474407" w14:textId="5E7EFAF1" w:rsidR="005E460C" w:rsidRDefault="00C5477D" w:rsidP="00C5477D">
      <w:pPr>
        <w:spacing w:before="240" w:after="240"/>
        <w:jc w:val="both"/>
        <w:rPr>
          <w:rFonts w:ascii="Arial" w:eastAsia="Arial" w:hAnsi="Arial" w:cs="Arial"/>
          <w:sz w:val="24"/>
          <w:szCs w:val="24"/>
        </w:rPr>
      </w:pPr>
      <w:r w:rsidRPr="003625BA">
        <w:rPr>
          <w:rFonts w:ascii="Arial" w:eastAsia="Arial" w:hAnsi="Arial" w:cs="Arial"/>
          <w:sz w:val="24"/>
          <w:szCs w:val="24"/>
        </w:rPr>
        <w:t xml:space="preserve">Governments manage revenue, </w:t>
      </w:r>
      <w:r w:rsidR="005E460C">
        <w:rPr>
          <w:rFonts w:ascii="Arial" w:eastAsia="Arial" w:hAnsi="Arial" w:cs="Arial"/>
          <w:sz w:val="24"/>
          <w:szCs w:val="24"/>
        </w:rPr>
        <w:t>spending</w:t>
      </w:r>
      <w:r w:rsidRPr="003625BA">
        <w:rPr>
          <w:rFonts w:ascii="Arial" w:eastAsia="Arial" w:hAnsi="Arial" w:cs="Arial"/>
          <w:sz w:val="24"/>
          <w:szCs w:val="24"/>
        </w:rPr>
        <w:t xml:space="preserve">, and debt in accordance with fiscal policies. When it comes to taxation and resource mobilisation, public participation establishes legitimacy of policies and ensure that it is equitable and reflects </w:t>
      </w:r>
      <w:r w:rsidR="005E460C">
        <w:rPr>
          <w:rFonts w:ascii="Arial" w:eastAsia="Arial" w:hAnsi="Arial" w:cs="Arial"/>
          <w:sz w:val="24"/>
          <w:szCs w:val="24"/>
        </w:rPr>
        <w:t>public needs</w:t>
      </w:r>
      <w:r w:rsidRPr="003625BA">
        <w:rPr>
          <w:rFonts w:ascii="Arial" w:eastAsia="Arial" w:hAnsi="Arial" w:cs="Arial"/>
          <w:sz w:val="24"/>
          <w:szCs w:val="24"/>
        </w:rPr>
        <w:t xml:space="preserve">, not </w:t>
      </w:r>
      <w:r w:rsidR="005E460C">
        <w:rPr>
          <w:rFonts w:ascii="Arial" w:eastAsia="Arial" w:hAnsi="Arial" w:cs="Arial"/>
          <w:sz w:val="24"/>
          <w:szCs w:val="24"/>
        </w:rPr>
        <w:t>only</w:t>
      </w:r>
      <w:r w:rsidRPr="003625BA">
        <w:rPr>
          <w:rFonts w:ascii="Arial" w:eastAsia="Arial" w:hAnsi="Arial" w:cs="Arial"/>
          <w:sz w:val="24"/>
          <w:szCs w:val="24"/>
        </w:rPr>
        <w:t xml:space="preserve"> serv</w:t>
      </w:r>
      <w:r w:rsidR="005E460C">
        <w:rPr>
          <w:rFonts w:ascii="Arial" w:eastAsia="Arial" w:hAnsi="Arial" w:cs="Arial"/>
          <w:sz w:val="24"/>
          <w:szCs w:val="24"/>
        </w:rPr>
        <w:t>ing</w:t>
      </w:r>
      <w:r w:rsidRPr="003625BA">
        <w:rPr>
          <w:rFonts w:ascii="Arial" w:eastAsia="Arial" w:hAnsi="Arial" w:cs="Arial"/>
          <w:sz w:val="24"/>
          <w:szCs w:val="24"/>
        </w:rPr>
        <w:t xml:space="preserve"> </w:t>
      </w:r>
      <w:r w:rsidR="005E460C">
        <w:rPr>
          <w:rFonts w:ascii="Arial" w:eastAsia="Arial" w:hAnsi="Arial" w:cs="Arial"/>
          <w:sz w:val="24"/>
          <w:szCs w:val="24"/>
        </w:rPr>
        <w:t>selected interests</w:t>
      </w:r>
      <w:r w:rsidRPr="003625BA">
        <w:rPr>
          <w:rFonts w:ascii="Arial" w:eastAsia="Arial" w:hAnsi="Arial" w:cs="Arial"/>
          <w:sz w:val="24"/>
          <w:szCs w:val="24"/>
        </w:rPr>
        <w:t>. On the expenditure side, citizen’s participation help</w:t>
      </w:r>
      <w:r w:rsidR="004B386E">
        <w:rPr>
          <w:rFonts w:ascii="Arial" w:eastAsia="Arial" w:hAnsi="Arial" w:cs="Arial"/>
          <w:sz w:val="24"/>
          <w:szCs w:val="24"/>
        </w:rPr>
        <w:t>s</w:t>
      </w:r>
      <w:r w:rsidRPr="003625BA">
        <w:rPr>
          <w:rFonts w:ascii="Arial" w:eastAsia="Arial" w:hAnsi="Arial" w:cs="Arial"/>
          <w:sz w:val="24"/>
          <w:szCs w:val="24"/>
        </w:rPr>
        <w:t xml:space="preserve"> to ensure that the allocation of public resources is efficient, effective, equitable, and aligned with people’s aspirations.</w:t>
      </w:r>
      <w:r w:rsidRPr="003625BA">
        <w:rPr>
          <w:sz w:val="24"/>
          <w:szCs w:val="24"/>
        </w:rPr>
        <w:t xml:space="preserve"> </w:t>
      </w:r>
      <w:r w:rsidR="00097E9A" w:rsidRPr="003625BA">
        <w:rPr>
          <w:rFonts w:ascii="Arial" w:hAnsi="Arial" w:cs="Arial"/>
          <w:sz w:val="24"/>
          <w:szCs w:val="24"/>
        </w:rPr>
        <w:t>Some examples of public participation in this stage include those described below.</w:t>
      </w:r>
    </w:p>
    <w:p w14:paraId="68F49D12" w14:textId="7D144061" w:rsidR="00C5477D" w:rsidRPr="003625BA" w:rsidRDefault="00C5477D" w:rsidP="00C5477D">
      <w:pPr>
        <w:spacing w:before="240" w:after="240"/>
        <w:jc w:val="both"/>
        <w:rPr>
          <w:rFonts w:ascii="Arial" w:eastAsia="Arial" w:hAnsi="Arial" w:cs="Arial"/>
          <w:sz w:val="24"/>
          <w:szCs w:val="24"/>
        </w:rPr>
      </w:pPr>
      <w:r w:rsidRPr="003625BA">
        <w:rPr>
          <w:rFonts w:ascii="Arial" w:eastAsia="Arial" w:hAnsi="Arial" w:cs="Arial"/>
          <w:sz w:val="24"/>
          <w:szCs w:val="24"/>
        </w:rPr>
        <w:t xml:space="preserve">In </w:t>
      </w:r>
      <w:hyperlink r:id="rId490" w:history="1">
        <w:r w:rsidRPr="00D63C61">
          <w:rPr>
            <w:rStyle w:val="Hyperlink"/>
            <w:rFonts w:ascii="Arial" w:eastAsia="Arial" w:hAnsi="Arial" w:cs="Arial"/>
            <w:bCs/>
            <w:sz w:val="24"/>
            <w:szCs w:val="24"/>
          </w:rPr>
          <w:t>Mexico</w:t>
        </w:r>
      </w:hyperlink>
      <w:r w:rsidRPr="003625BA">
        <w:rPr>
          <w:rFonts w:ascii="Arial" w:eastAsia="Arial" w:hAnsi="Arial" w:cs="Arial"/>
          <w:sz w:val="24"/>
          <w:szCs w:val="24"/>
        </w:rPr>
        <w:t xml:space="preserve">, the government involved citizens in </w:t>
      </w:r>
      <w:r w:rsidR="00696ADF" w:rsidRPr="007965ED">
        <w:rPr>
          <w:rFonts w:ascii="Arial" w:eastAsia="Arial" w:hAnsi="Arial" w:cs="Arial"/>
          <w:sz w:val="24"/>
          <w:szCs w:val="24"/>
        </w:rPr>
        <w:t xml:space="preserve">education sector </w:t>
      </w:r>
      <w:r w:rsidRPr="003625BA">
        <w:rPr>
          <w:rFonts w:ascii="Arial" w:eastAsia="Arial" w:hAnsi="Arial" w:cs="Arial"/>
          <w:sz w:val="24"/>
          <w:szCs w:val="24"/>
        </w:rPr>
        <w:t>expenditure policy design through the Education Reform Program, a federal government program overseen by the Ministry of Finance and Public Credit. Under this program, a public trust fund is created for school</w:t>
      </w:r>
      <w:r w:rsidR="00D63E88">
        <w:rPr>
          <w:rFonts w:ascii="Arial" w:eastAsia="Arial" w:hAnsi="Arial" w:cs="Arial"/>
          <w:sz w:val="24"/>
          <w:szCs w:val="24"/>
        </w:rPr>
        <w:t>s</w:t>
      </w:r>
      <w:r w:rsidRPr="003625BA">
        <w:rPr>
          <w:rFonts w:ascii="Arial" w:eastAsia="Arial" w:hAnsi="Arial" w:cs="Arial"/>
          <w:sz w:val="24"/>
          <w:szCs w:val="24"/>
        </w:rPr>
        <w:t xml:space="preserve"> that is administered together with the School Board of Social Participation in Education, composed of parents and representatives of family associations, teachers, school officials, students, and other interested community members. The main responsibilities of the School Board include defining the projects the school is to carry out with government resources through the crafting of the “School Improvement Roadmap"; and promoting accountability through the generation of an annual activity report on the main results of the program. The report is presented to the school community annually.</w:t>
      </w:r>
    </w:p>
    <w:p w14:paraId="0B3AB29B" w14:textId="66322916" w:rsidR="00C5477D" w:rsidRDefault="00C5477D" w:rsidP="00C5477D">
      <w:pPr>
        <w:spacing w:before="240" w:after="240"/>
        <w:jc w:val="both"/>
        <w:rPr>
          <w:rFonts w:ascii="Arial" w:eastAsia="Arial" w:hAnsi="Arial" w:cs="Arial"/>
          <w:sz w:val="24"/>
          <w:szCs w:val="24"/>
        </w:rPr>
      </w:pPr>
      <w:r w:rsidRPr="003625BA">
        <w:rPr>
          <w:rFonts w:ascii="Arial" w:eastAsia="Arial" w:hAnsi="Arial" w:cs="Arial"/>
          <w:sz w:val="24"/>
          <w:szCs w:val="24"/>
        </w:rPr>
        <w:t>Under the Fiscal Openness Accelerator Project,</w:t>
      </w:r>
      <w:r w:rsidRPr="003625BA">
        <w:rPr>
          <w:rFonts w:ascii="Arial" w:eastAsia="Arial" w:hAnsi="Arial" w:cs="Arial"/>
          <w:b/>
          <w:bCs/>
          <w:sz w:val="24"/>
          <w:szCs w:val="24"/>
        </w:rPr>
        <w:t xml:space="preserve"> </w:t>
      </w:r>
      <w:hyperlink r:id="rId491" w:history="1">
        <w:r w:rsidRPr="00D63C61">
          <w:rPr>
            <w:rStyle w:val="Hyperlink"/>
            <w:rFonts w:ascii="Arial" w:eastAsia="Arial" w:hAnsi="Arial" w:cs="Arial"/>
            <w:bCs/>
            <w:sz w:val="24"/>
            <w:szCs w:val="24"/>
          </w:rPr>
          <w:t>Nigeria</w:t>
        </w:r>
      </w:hyperlink>
      <w:r w:rsidRPr="003625BA">
        <w:rPr>
          <w:rFonts w:ascii="Arial" w:eastAsia="Arial" w:hAnsi="Arial" w:cs="Arial"/>
          <w:b/>
          <w:bCs/>
          <w:sz w:val="24"/>
          <w:szCs w:val="24"/>
        </w:rPr>
        <w:t xml:space="preserve"> </w:t>
      </w:r>
      <w:r w:rsidRPr="003625BA">
        <w:rPr>
          <w:rFonts w:ascii="Arial" w:eastAsia="Arial" w:hAnsi="Arial" w:cs="Arial"/>
          <w:sz w:val="24"/>
          <w:szCs w:val="24"/>
        </w:rPr>
        <w:t xml:space="preserve">held regional consultations on public participation in the budget process and a national consultative forum where the Minister of Finance, Budget and National Planning presented the draft 2023-2025 Medium Term Fiscal Framework (MTFF) for citizen inputs. The event was done in hybrid format. The in-person event was held in the country capital, Abuja, while other members of the public were also allowed to join online via Zoom teleconference. The event was recorded </w:t>
      </w:r>
      <w:r w:rsidR="00C822F8">
        <w:rPr>
          <w:rFonts w:ascii="Arial" w:eastAsia="Arial" w:hAnsi="Arial" w:cs="Arial"/>
          <w:sz w:val="24"/>
          <w:szCs w:val="24"/>
        </w:rPr>
        <w:t>with a video</w:t>
      </w:r>
      <w:r w:rsidRPr="003625BA">
        <w:rPr>
          <w:rFonts w:ascii="Arial" w:eastAsia="Arial" w:hAnsi="Arial" w:cs="Arial"/>
          <w:sz w:val="24"/>
          <w:szCs w:val="24"/>
        </w:rPr>
        <w:t xml:space="preserve"> published online. After the consultations, issues on the introduction of new tax measures were revisited and reconsidered in the updated version of the MTFF. </w:t>
      </w:r>
    </w:p>
    <w:p w14:paraId="2515F4DA" w14:textId="7B991F58" w:rsidR="006A1A47" w:rsidRDefault="006A1A47">
      <w:pPr>
        <w:pStyle w:val="NormalWeb"/>
        <w:rPr>
          <w:rFonts w:ascii="Roboto" w:hAnsi="Roboto" w:cs="Arial"/>
          <w:b/>
          <w:bCs/>
          <w:color w:val="000000"/>
          <w:sz w:val="20"/>
          <w:szCs w:val="20"/>
        </w:rPr>
      </w:pPr>
    </w:p>
    <w:p w14:paraId="3C547B0A" w14:textId="4E24AF29" w:rsidR="00832C78" w:rsidRDefault="00832C78">
      <w:pPr>
        <w:pStyle w:val="NormalWeb"/>
        <w:rPr>
          <w:rFonts w:ascii="Roboto" w:hAnsi="Roboto" w:cs="Arial"/>
          <w:b/>
          <w:bCs/>
          <w:color w:val="000000"/>
          <w:sz w:val="20"/>
          <w:szCs w:val="20"/>
        </w:rPr>
      </w:pPr>
    </w:p>
    <w:p w14:paraId="5F258E7C" w14:textId="30C08E41" w:rsidR="00832C78" w:rsidRDefault="00832C78" w:rsidP="003625BA">
      <w:pPr>
        <w:pStyle w:val="NormalWeb"/>
        <w:rPr>
          <w:rFonts w:ascii="Roboto" w:hAnsi="Roboto" w:cs="Arial"/>
          <w:b/>
          <w:bCs/>
          <w:color w:val="16988A"/>
          <w:sz w:val="20"/>
          <w:szCs w:val="20"/>
        </w:rPr>
      </w:pPr>
    </w:p>
    <w:p w14:paraId="31D0FE4F" w14:textId="50C94B4B" w:rsidR="00775C33" w:rsidRPr="00775C33" w:rsidRDefault="00F97CAF" w:rsidP="00330914">
      <w:pPr>
        <w:rPr>
          <w:rFonts w:ascii="Arial" w:hAnsi="Arial" w:cs="Arial"/>
          <w:color w:val="19998C"/>
          <w:sz w:val="20"/>
          <w:szCs w:val="20"/>
        </w:rPr>
      </w:pPr>
      <w:bookmarkStart w:id="1055" w:name="_Toc125566631"/>
      <w:bookmarkStart w:id="1056" w:name="_Toc123217387"/>
      <w:r w:rsidRPr="00775C33">
        <w:rPr>
          <w:noProof/>
          <w:lang w:val="en-US"/>
        </w:rPr>
        <w:lastRenderedPageBreak/>
        <mc:AlternateContent>
          <mc:Choice Requires="wps">
            <w:drawing>
              <wp:anchor distT="0" distB="0" distL="114300" distR="114300" simplePos="0" relativeHeight="254835710" behindDoc="1" locked="0" layoutInCell="1" allowOverlap="1" wp14:anchorId="526A769B" wp14:editId="5FB4CF45">
                <wp:simplePos x="0" y="0"/>
                <wp:positionH relativeFrom="margin">
                  <wp:posOffset>-168275</wp:posOffset>
                </wp:positionH>
                <wp:positionV relativeFrom="margin">
                  <wp:posOffset>-100331</wp:posOffset>
                </wp:positionV>
                <wp:extent cx="7010400" cy="5311775"/>
                <wp:effectExtent l="0" t="0" r="19050" b="22225"/>
                <wp:wrapNone/>
                <wp:docPr id="2666" name="Rectangle 2666"/>
                <wp:cNvGraphicFramePr/>
                <a:graphic xmlns:a="http://schemas.openxmlformats.org/drawingml/2006/main">
                  <a:graphicData uri="http://schemas.microsoft.com/office/word/2010/wordprocessingShape">
                    <wps:wsp>
                      <wps:cNvSpPr/>
                      <wps:spPr>
                        <a:xfrm>
                          <a:off x="0" y="0"/>
                          <a:ext cx="7010400" cy="5311775"/>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DC404" w14:textId="77777777" w:rsidR="00D15FD8" w:rsidRDefault="00D15FD8" w:rsidP="001A11AE"/>
                          <w:p w14:paraId="46A5AEEF"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A769B" id="Rectangle 2666" o:spid="_x0000_s1288" style="position:absolute;margin-left:-13.25pt;margin-top:-7.9pt;width:552pt;height:418.25pt;z-index:-24848077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" fillcolor="#f2f2f2 [3052]" strokecolor="#16988a" strokeweight="1.5pt">
                <v:textbox>
                  <w:txbxContent>
                    <w:p w14:paraId="518DC404" w14:textId="77777777" w:rsidR="00D15FD8" w:rsidRDefault="00D15FD8" w:rsidP="001A11AE"/>
                    <w:p w14:paraId="46A5AEEF" w14:textId="77777777" w:rsidR="00D15FD8" w:rsidRPr="003625BA" w:rsidRDefault="00D15FD8" w:rsidP="003625BA">
                      <w:pPr>
                        <w:jc w:val="center"/>
                        <w:rPr>
                          <w:lang w:val="en-US"/>
                        </w:rPr>
                      </w:pPr>
                    </w:p>
                  </w:txbxContent>
                </v:textbox>
                <w10:wrap anchorx="margin" anchory="margin"/>
              </v:rect>
            </w:pict>
          </mc:Fallback>
        </mc:AlternateContent>
      </w:r>
      <w:bookmarkEnd w:id="1055"/>
    </w:p>
    <w:p w14:paraId="48D7FB97" w14:textId="70DC5C2E" w:rsidR="006A1A47" w:rsidRPr="00775C33" w:rsidRDefault="006A1A47" w:rsidP="003625BA">
      <w:pPr>
        <w:pStyle w:val="Heading3"/>
        <w:jc w:val="center"/>
        <w:rPr>
          <w:rFonts w:ascii="Arial" w:hAnsi="Arial" w:cs="Arial"/>
          <w:b/>
          <w:bCs/>
          <w:sz w:val="26"/>
          <w:szCs w:val="26"/>
        </w:rPr>
      </w:pPr>
      <w:bookmarkStart w:id="1057" w:name="_Box_2.3._The"/>
      <w:bookmarkStart w:id="1058" w:name="_Toc123914012"/>
      <w:bookmarkStart w:id="1059" w:name="_Toc125566632"/>
      <w:bookmarkEnd w:id="1057"/>
      <w:r w:rsidRPr="00775C33">
        <w:rPr>
          <w:rFonts w:ascii="Arial" w:hAnsi="Arial" w:cs="Arial"/>
          <w:b/>
          <w:bCs/>
          <w:color w:val="19998C"/>
          <w:sz w:val="26"/>
          <w:szCs w:val="26"/>
        </w:rPr>
        <w:t xml:space="preserve">Box </w:t>
      </w:r>
      <w:r w:rsidR="0065711A" w:rsidRPr="00775C33">
        <w:rPr>
          <w:rFonts w:ascii="Arial" w:hAnsi="Arial" w:cs="Arial"/>
          <w:b/>
          <w:bCs/>
          <w:color w:val="19998C"/>
          <w:sz w:val="26"/>
          <w:szCs w:val="26"/>
        </w:rPr>
        <w:t>2.3</w:t>
      </w:r>
      <w:r w:rsidR="003737A1">
        <w:rPr>
          <w:rFonts w:ascii="Arial" w:hAnsi="Arial" w:cs="Arial"/>
          <w:b/>
          <w:bCs/>
          <w:color w:val="19998C"/>
          <w:sz w:val="26"/>
          <w:szCs w:val="26"/>
        </w:rPr>
        <w:t>.</w:t>
      </w:r>
      <w:r w:rsidR="0065711A" w:rsidRPr="00775C33">
        <w:rPr>
          <w:rFonts w:ascii="Arial" w:hAnsi="Arial" w:cs="Arial"/>
          <w:b/>
          <w:bCs/>
          <w:color w:val="19998C"/>
          <w:sz w:val="26"/>
          <w:szCs w:val="26"/>
        </w:rPr>
        <w:t xml:space="preserve"> </w:t>
      </w:r>
      <w:r w:rsidRPr="00775C33">
        <w:rPr>
          <w:rFonts w:ascii="Arial" w:hAnsi="Arial" w:cs="Arial"/>
          <w:b/>
          <w:bCs/>
          <w:color w:val="19998C"/>
          <w:sz w:val="26"/>
          <w:szCs w:val="26"/>
        </w:rPr>
        <w:t>The Fiscal Openness Accelerator (FOA) Project</w:t>
      </w:r>
      <w:bookmarkEnd w:id="1056"/>
      <w:bookmarkEnd w:id="1058"/>
      <w:bookmarkEnd w:id="1059"/>
    </w:p>
    <w:p w14:paraId="20DBA593" w14:textId="77777777" w:rsidR="006A1A47" w:rsidRPr="003625BA" w:rsidRDefault="006A1A47" w:rsidP="006A1A47">
      <w:pPr>
        <w:pStyle w:val="NormalWeb"/>
        <w:jc w:val="center"/>
        <w:rPr>
          <w:rFonts w:ascii="Roboto" w:hAnsi="Roboto" w:cs="Arial"/>
          <w:b/>
          <w:bCs/>
          <w:color w:val="000000"/>
          <w:sz w:val="20"/>
          <w:szCs w:val="20"/>
        </w:rPr>
      </w:pPr>
    </w:p>
    <w:p w14:paraId="256BCA73" w14:textId="2404C8D0" w:rsidR="006A1A47" w:rsidRPr="003625BA" w:rsidRDefault="006A1A47" w:rsidP="006A1A47">
      <w:pPr>
        <w:pStyle w:val="NormalWeb"/>
        <w:jc w:val="both"/>
        <w:rPr>
          <w:rFonts w:ascii="Roboto" w:hAnsi="Roboto" w:cs="Arial"/>
          <w:color w:val="000000"/>
          <w:sz w:val="20"/>
          <w:szCs w:val="20"/>
        </w:rPr>
      </w:pPr>
      <w:r w:rsidRPr="003625BA">
        <w:rPr>
          <w:rFonts w:ascii="Roboto" w:hAnsi="Roboto" w:cs="Arial"/>
          <w:color w:val="000000"/>
          <w:sz w:val="20"/>
          <w:szCs w:val="20"/>
        </w:rPr>
        <w:t>With the support of the United States Department of State, the Fiscal Openness Accelerator (</w:t>
      </w:r>
      <w:hyperlink r:id="rId492" w:history="1">
        <w:r w:rsidRPr="003625BA">
          <w:rPr>
            <w:rStyle w:val="Hyperlink"/>
            <w:rFonts w:ascii="Roboto" w:hAnsi="Roboto" w:cs="Arial"/>
            <w:color w:val="0563C1"/>
            <w:sz w:val="20"/>
            <w:szCs w:val="20"/>
          </w:rPr>
          <w:t>FOA</w:t>
        </w:r>
      </w:hyperlink>
      <w:r w:rsidRPr="003625BA">
        <w:rPr>
          <w:rFonts w:ascii="Roboto" w:hAnsi="Roboto" w:cs="Arial"/>
          <w:color w:val="000000"/>
          <w:sz w:val="20"/>
          <w:szCs w:val="20"/>
        </w:rPr>
        <w:t xml:space="preserve">) project was launched in 2019 by the IBP and GIFT with the objective of improving fiscal transparency in Benin, Liberia and Nigeria, and supporting the implementation of a public participation pilot mechanisms in the budget cycle in these countries as well as in Senegal and South Africa. </w:t>
      </w:r>
    </w:p>
    <w:p w14:paraId="334273A5" w14:textId="24DD4C4B" w:rsidR="006A1A47" w:rsidRPr="003625BA" w:rsidRDefault="006A1A47" w:rsidP="006A1A47">
      <w:pPr>
        <w:pStyle w:val="NormalWeb"/>
        <w:jc w:val="both"/>
        <w:rPr>
          <w:rFonts w:ascii="Roboto" w:hAnsi="Roboto" w:cs="Arial"/>
          <w:color w:val="000000"/>
          <w:sz w:val="20"/>
          <w:szCs w:val="20"/>
        </w:rPr>
      </w:pPr>
    </w:p>
    <w:p w14:paraId="175B60ED" w14:textId="36C36D50" w:rsidR="006A1A47" w:rsidRDefault="006A1A47" w:rsidP="006A1A47">
      <w:pPr>
        <w:pStyle w:val="NormalWeb"/>
        <w:jc w:val="both"/>
        <w:rPr>
          <w:rFonts w:ascii="Roboto" w:hAnsi="Roboto" w:cs="Arial"/>
          <w:color w:val="000000" w:themeColor="text1"/>
          <w:sz w:val="20"/>
          <w:szCs w:val="20"/>
        </w:rPr>
      </w:pPr>
      <w:r w:rsidRPr="003625BA">
        <w:rPr>
          <w:rFonts w:ascii="Roboto" w:hAnsi="Roboto" w:cs="Arial"/>
          <w:color w:val="000000" w:themeColor="text1"/>
          <w:sz w:val="20"/>
          <w:szCs w:val="20"/>
        </w:rPr>
        <w:t>As part of the key results from this engagement, Benin, Liberia, and Nigeria achieved significant improvements in selected fiscal transparency indicators as measured by the U</w:t>
      </w:r>
      <w:r w:rsidR="00B42401">
        <w:rPr>
          <w:rFonts w:ascii="Roboto" w:hAnsi="Roboto" w:cs="Arial"/>
          <w:color w:val="000000" w:themeColor="text1"/>
          <w:sz w:val="20"/>
          <w:szCs w:val="20"/>
        </w:rPr>
        <w:t>nited States</w:t>
      </w:r>
      <w:r w:rsidRPr="003625BA">
        <w:rPr>
          <w:rFonts w:ascii="Roboto" w:hAnsi="Roboto" w:cs="Arial"/>
          <w:color w:val="000000" w:themeColor="text1"/>
          <w:sz w:val="20"/>
          <w:szCs w:val="20"/>
        </w:rPr>
        <w:t xml:space="preserve"> Department of State’s Fiscal Transparency Report and IBP’s Open Budget Survey. The following citizen engagement mechanisms were successfully piloted</w:t>
      </w:r>
      <w:r w:rsidRPr="003625BA" w:rsidDel="00FB78A0">
        <w:rPr>
          <w:rFonts w:ascii="Roboto" w:hAnsi="Roboto" w:cs="Arial"/>
          <w:color w:val="000000" w:themeColor="text1"/>
          <w:sz w:val="20"/>
          <w:szCs w:val="20"/>
        </w:rPr>
        <w:t xml:space="preserve"> </w:t>
      </w:r>
      <w:r w:rsidRPr="003625BA">
        <w:rPr>
          <w:rFonts w:ascii="Roboto" w:hAnsi="Roboto" w:cs="Arial"/>
          <w:color w:val="000000" w:themeColor="text1"/>
          <w:sz w:val="20"/>
          <w:szCs w:val="20"/>
        </w:rPr>
        <w:t>under the public participation workstream of the initiative:</w:t>
      </w:r>
    </w:p>
    <w:p w14:paraId="7EBA2E32" w14:textId="77777777" w:rsidR="00435DC2" w:rsidRPr="003625BA" w:rsidRDefault="00435DC2" w:rsidP="006A1A47">
      <w:pPr>
        <w:pStyle w:val="NormalWeb"/>
        <w:jc w:val="both"/>
        <w:rPr>
          <w:rFonts w:ascii="Roboto" w:hAnsi="Roboto" w:cs="Arial"/>
          <w:color w:val="000000" w:themeColor="text1"/>
          <w:sz w:val="20"/>
          <w:szCs w:val="20"/>
        </w:rPr>
      </w:pPr>
    </w:p>
    <w:p w14:paraId="27A231BA" w14:textId="77777777" w:rsidR="006A1A47" w:rsidRPr="003625BA" w:rsidRDefault="006A1A47" w:rsidP="006A1A47">
      <w:pPr>
        <w:pStyle w:val="NormalWeb"/>
        <w:numPr>
          <w:ilvl w:val="0"/>
          <w:numId w:val="160"/>
        </w:numPr>
        <w:jc w:val="both"/>
        <w:rPr>
          <w:rFonts w:ascii="Roboto" w:hAnsi="Roboto" w:cs="Arial"/>
          <w:color w:val="000000" w:themeColor="text1"/>
          <w:sz w:val="20"/>
          <w:szCs w:val="20"/>
        </w:rPr>
      </w:pPr>
      <w:r w:rsidRPr="003625BA">
        <w:rPr>
          <w:rFonts w:ascii="Roboto" w:hAnsi="Roboto" w:cs="Arial"/>
          <w:b/>
          <w:bCs/>
          <w:color w:val="16988A"/>
          <w:sz w:val="20"/>
          <w:szCs w:val="20"/>
        </w:rPr>
        <w:t>Benin</w:t>
      </w:r>
      <w:r w:rsidRPr="003625BA">
        <w:rPr>
          <w:rFonts w:ascii="Roboto" w:hAnsi="Roboto" w:cs="Arial"/>
          <w:color w:val="000000" w:themeColor="text1"/>
          <w:sz w:val="20"/>
          <w:szCs w:val="20"/>
        </w:rPr>
        <w:t xml:space="preserve"> developed and rolled out the </w:t>
      </w:r>
      <w:proofErr w:type="spellStart"/>
      <w:r w:rsidRPr="003625BA">
        <w:rPr>
          <w:rFonts w:ascii="Roboto" w:hAnsi="Roboto" w:cs="Arial"/>
          <w:b/>
          <w:bCs/>
          <w:i/>
          <w:iCs/>
          <w:color w:val="16988A"/>
          <w:sz w:val="20"/>
          <w:szCs w:val="20"/>
        </w:rPr>
        <w:t>Bousprob</w:t>
      </w:r>
      <w:proofErr w:type="spellEnd"/>
      <w:r w:rsidRPr="003625BA">
        <w:rPr>
          <w:rFonts w:ascii="Roboto" w:hAnsi="Roboto" w:cs="Arial"/>
          <w:b/>
          <w:bCs/>
          <w:i/>
          <w:iCs/>
          <w:color w:val="16988A"/>
          <w:sz w:val="20"/>
          <w:szCs w:val="20"/>
        </w:rPr>
        <w:t xml:space="preserve"> mobile application</w:t>
      </w:r>
      <w:r w:rsidRPr="003625BA">
        <w:rPr>
          <w:rFonts w:ascii="Roboto" w:hAnsi="Roboto" w:cs="Arial"/>
          <w:color w:val="16988A"/>
          <w:sz w:val="20"/>
          <w:szCs w:val="20"/>
        </w:rPr>
        <w:t xml:space="preserve">, </w:t>
      </w:r>
      <w:r w:rsidRPr="003625BA">
        <w:rPr>
          <w:rFonts w:ascii="Roboto" w:hAnsi="Roboto" w:cs="Arial"/>
          <w:color w:val="000000" w:themeColor="text1"/>
          <w:sz w:val="20"/>
          <w:szCs w:val="20"/>
        </w:rPr>
        <w:t xml:space="preserve">an alert and monitoring tool available freely on the Google </w:t>
      </w:r>
      <w:proofErr w:type="spellStart"/>
      <w:r w:rsidRPr="003625BA">
        <w:rPr>
          <w:rFonts w:ascii="Roboto" w:hAnsi="Roboto" w:cs="Arial"/>
          <w:color w:val="000000" w:themeColor="text1"/>
          <w:sz w:val="20"/>
          <w:szCs w:val="20"/>
        </w:rPr>
        <w:t>Playstore</w:t>
      </w:r>
      <w:proofErr w:type="spellEnd"/>
      <w:r w:rsidRPr="003625BA">
        <w:rPr>
          <w:rFonts w:ascii="Roboto" w:hAnsi="Roboto" w:cs="Arial"/>
          <w:color w:val="000000" w:themeColor="text1"/>
          <w:sz w:val="20"/>
          <w:szCs w:val="20"/>
        </w:rPr>
        <w:t xml:space="preserve"> that features a library of budget information, informs citizens on opportunities to engage in the budget process and provides a platform to collect their feedback. </w:t>
      </w:r>
    </w:p>
    <w:p w14:paraId="145A66F1" w14:textId="77777777" w:rsidR="006A1A47" w:rsidRPr="003625BA" w:rsidRDefault="006A1A47" w:rsidP="006A1A47">
      <w:pPr>
        <w:pStyle w:val="NormalWeb"/>
        <w:numPr>
          <w:ilvl w:val="0"/>
          <w:numId w:val="160"/>
        </w:numPr>
        <w:spacing w:before="100" w:beforeAutospacing="1"/>
        <w:jc w:val="both"/>
        <w:rPr>
          <w:rFonts w:ascii="Roboto" w:hAnsi="Roboto" w:cs="Arial"/>
          <w:color w:val="000000" w:themeColor="text1"/>
          <w:sz w:val="20"/>
          <w:szCs w:val="20"/>
        </w:rPr>
      </w:pPr>
      <w:r w:rsidRPr="003625BA">
        <w:rPr>
          <w:rFonts w:ascii="Roboto" w:hAnsi="Roboto" w:cs="Arial"/>
          <w:b/>
          <w:bCs/>
          <w:color w:val="16988A"/>
          <w:sz w:val="20"/>
          <w:szCs w:val="20"/>
        </w:rPr>
        <w:t>Liberia</w:t>
      </w:r>
      <w:r w:rsidRPr="003625BA">
        <w:rPr>
          <w:rFonts w:ascii="Roboto" w:hAnsi="Roboto" w:cs="Arial"/>
          <w:b/>
          <w:bCs/>
          <w:color w:val="000000" w:themeColor="text1"/>
          <w:sz w:val="20"/>
          <w:szCs w:val="20"/>
        </w:rPr>
        <w:t xml:space="preserve"> </w:t>
      </w:r>
      <w:r w:rsidRPr="003625BA">
        <w:rPr>
          <w:rFonts w:ascii="Roboto" w:hAnsi="Roboto" w:cs="Arial"/>
          <w:color w:val="000000" w:themeColor="text1"/>
          <w:sz w:val="20"/>
          <w:szCs w:val="20"/>
        </w:rPr>
        <w:t xml:space="preserve">conducted several pre-budget consultations with civil society and members of the general public in different counties towards the development of a Shadow Budget Options paper consolidating citizen inputs in the formulation of the 2023 executive’s budget proposal. </w:t>
      </w:r>
    </w:p>
    <w:p w14:paraId="6B2BF222" w14:textId="082FA913" w:rsidR="006A1A47" w:rsidRPr="003625BA" w:rsidRDefault="006A1A47" w:rsidP="006A1A47">
      <w:pPr>
        <w:pStyle w:val="NormalWeb"/>
        <w:numPr>
          <w:ilvl w:val="0"/>
          <w:numId w:val="160"/>
        </w:numPr>
        <w:spacing w:before="100" w:beforeAutospacing="1"/>
        <w:jc w:val="both"/>
        <w:rPr>
          <w:rFonts w:ascii="Roboto" w:hAnsi="Roboto" w:cs="Arial"/>
          <w:color w:val="000000" w:themeColor="text1"/>
          <w:sz w:val="20"/>
          <w:szCs w:val="20"/>
        </w:rPr>
      </w:pPr>
      <w:r w:rsidRPr="003625BA">
        <w:rPr>
          <w:rFonts w:ascii="Roboto" w:hAnsi="Roboto" w:cs="Arial"/>
          <w:b/>
          <w:bCs/>
          <w:color w:val="16988A"/>
          <w:sz w:val="20"/>
          <w:szCs w:val="20"/>
        </w:rPr>
        <w:t>Nigeria</w:t>
      </w:r>
      <w:r w:rsidRPr="003625BA">
        <w:rPr>
          <w:rFonts w:ascii="Roboto" w:hAnsi="Roboto" w:cs="Arial"/>
          <w:color w:val="16988A"/>
          <w:sz w:val="20"/>
          <w:szCs w:val="20"/>
        </w:rPr>
        <w:t xml:space="preserve"> </w:t>
      </w:r>
      <w:r w:rsidRPr="003625BA">
        <w:rPr>
          <w:rFonts w:ascii="Roboto" w:hAnsi="Roboto" w:cs="Arial"/>
          <w:color w:val="000000" w:themeColor="text1"/>
          <w:sz w:val="20"/>
          <w:szCs w:val="20"/>
        </w:rPr>
        <w:t xml:space="preserve">implemented regional consultations on public participation in the budget process and a national consultation event in hybrid format. The Minister of Finance, Budget and National Planning, presented the draft 2023-2025 Medium Term Fiscal Framework for public inputs, with other high-level government officials also participating in an open forum on key budget and fiscal policy issues. </w:t>
      </w:r>
    </w:p>
    <w:p w14:paraId="374241B9" w14:textId="66BF0940" w:rsidR="00CE58CE" w:rsidRPr="00B67D4E" w:rsidRDefault="006A1A47" w:rsidP="006A1A47">
      <w:pPr>
        <w:pStyle w:val="NormalWeb"/>
        <w:numPr>
          <w:ilvl w:val="0"/>
          <w:numId w:val="160"/>
        </w:numPr>
        <w:spacing w:before="100" w:beforeAutospacing="1"/>
        <w:jc w:val="both"/>
        <w:rPr>
          <w:rFonts w:ascii="Roboto" w:hAnsi="Roboto" w:cs="Arial"/>
          <w:color w:val="000000" w:themeColor="text1"/>
          <w:sz w:val="20"/>
          <w:szCs w:val="20"/>
        </w:rPr>
      </w:pPr>
      <w:r w:rsidRPr="003625BA">
        <w:rPr>
          <w:rFonts w:ascii="Roboto" w:hAnsi="Roboto" w:cs="Arial"/>
          <w:b/>
          <w:bCs/>
          <w:color w:val="16988A"/>
          <w:sz w:val="20"/>
          <w:szCs w:val="20"/>
        </w:rPr>
        <w:t>Senegal</w:t>
      </w:r>
      <w:r w:rsidRPr="003625BA">
        <w:rPr>
          <w:rFonts w:ascii="Roboto" w:hAnsi="Roboto" w:cs="Arial"/>
          <w:color w:val="16988A"/>
          <w:sz w:val="20"/>
          <w:szCs w:val="20"/>
        </w:rPr>
        <w:t xml:space="preserve"> </w:t>
      </w:r>
      <w:r w:rsidRPr="003625BA">
        <w:rPr>
          <w:rFonts w:ascii="Roboto" w:hAnsi="Roboto" w:cs="Arial"/>
          <w:color w:val="000000" w:themeColor="text1"/>
          <w:sz w:val="20"/>
          <w:szCs w:val="20"/>
        </w:rPr>
        <w:t xml:space="preserve">organized a meeting with civil society on the Document de </w:t>
      </w:r>
      <w:proofErr w:type="spellStart"/>
      <w:r w:rsidRPr="003625BA">
        <w:rPr>
          <w:rFonts w:ascii="Roboto" w:hAnsi="Roboto" w:cs="Arial"/>
          <w:color w:val="000000" w:themeColor="text1"/>
          <w:sz w:val="20"/>
          <w:szCs w:val="20"/>
        </w:rPr>
        <w:t>Programmation</w:t>
      </w:r>
      <w:proofErr w:type="spellEnd"/>
      <w:r w:rsidRPr="003625BA">
        <w:rPr>
          <w:rFonts w:ascii="Roboto" w:hAnsi="Roboto" w:cs="Arial"/>
          <w:color w:val="000000" w:themeColor="text1"/>
          <w:sz w:val="20"/>
          <w:szCs w:val="20"/>
        </w:rPr>
        <w:t xml:space="preserve"> </w:t>
      </w:r>
      <w:proofErr w:type="spellStart"/>
      <w:r w:rsidRPr="003625BA">
        <w:rPr>
          <w:rFonts w:ascii="Roboto" w:hAnsi="Roboto" w:cs="Arial"/>
          <w:color w:val="000000" w:themeColor="text1"/>
          <w:sz w:val="20"/>
          <w:szCs w:val="20"/>
        </w:rPr>
        <w:t>budgétaire</w:t>
      </w:r>
      <w:proofErr w:type="spellEnd"/>
      <w:r w:rsidRPr="003625BA">
        <w:rPr>
          <w:rFonts w:ascii="Roboto" w:hAnsi="Roboto" w:cs="Arial"/>
          <w:color w:val="000000" w:themeColor="text1"/>
          <w:sz w:val="20"/>
          <w:szCs w:val="20"/>
        </w:rPr>
        <w:t xml:space="preserve"> et </w:t>
      </w:r>
      <w:proofErr w:type="spellStart"/>
      <w:r w:rsidRPr="003625BA">
        <w:rPr>
          <w:rFonts w:ascii="Roboto" w:hAnsi="Roboto" w:cs="Arial"/>
          <w:color w:val="000000" w:themeColor="text1"/>
          <w:sz w:val="20"/>
          <w:szCs w:val="20"/>
        </w:rPr>
        <w:t>économique</w:t>
      </w:r>
      <w:proofErr w:type="spellEnd"/>
      <w:r w:rsidRPr="003625BA">
        <w:rPr>
          <w:rFonts w:ascii="Roboto" w:hAnsi="Roboto" w:cs="Arial"/>
          <w:color w:val="000000" w:themeColor="text1"/>
          <w:sz w:val="20"/>
          <w:szCs w:val="20"/>
        </w:rPr>
        <w:t xml:space="preserve"> </w:t>
      </w:r>
      <w:proofErr w:type="spellStart"/>
      <w:r w:rsidRPr="003625BA">
        <w:rPr>
          <w:rFonts w:ascii="Roboto" w:hAnsi="Roboto" w:cs="Arial"/>
          <w:color w:val="000000" w:themeColor="text1"/>
          <w:sz w:val="20"/>
          <w:szCs w:val="20"/>
        </w:rPr>
        <w:t>pluriannuelle</w:t>
      </w:r>
      <w:proofErr w:type="spellEnd"/>
      <w:r w:rsidRPr="003625BA">
        <w:rPr>
          <w:rFonts w:ascii="Roboto" w:hAnsi="Roboto" w:cs="Arial"/>
          <w:color w:val="000000" w:themeColor="text1"/>
          <w:sz w:val="20"/>
          <w:szCs w:val="20"/>
        </w:rPr>
        <w:t xml:space="preserve"> 2023-2025 (Multi-Year Budgetary and Economic Programming Document 2023</w:t>
      </w:r>
      <w:r w:rsidRPr="00FE7652">
        <w:rPr>
          <w:rFonts w:ascii="Arial" w:hAnsi="Arial" w:cs="Arial"/>
          <w:color w:val="000000" w:themeColor="text1"/>
          <w:sz w:val="20"/>
          <w:szCs w:val="20"/>
        </w:rPr>
        <w:t>-25</w:t>
      </w:r>
      <w:r>
        <w:rPr>
          <w:rFonts w:ascii="Arial" w:hAnsi="Arial" w:cs="Arial"/>
          <w:color w:val="000000" w:themeColor="text1"/>
          <w:sz w:val="20"/>
          <w:szCs w:val="20"/>
        </w:rPr>
        <w:t>)</w:t>
      </w:r>
      <w:r w:rsidRPr="00FE7652">
        <w:rPr>
          <w:rFonts w:ascii="Arial" w:hAnsi="Arial" w:cs="Arial"/>
          <w:color w:val="000000" w:themeColor="text1"/>
          <w:sz w:val="20"/>
          <w:szCs w:val="20"/>
        </w:rPr>
        <w:t xml:space="preserve"> </w:t>
      </w:r>
      <w:r w:rsidRPr="00B67D4E">
        <w:rPr>
          <w:rFonts w:ascii="Roboto" w:hAnsi="Roboto" w:cs="Arial"/>
          <w:color w:val="000000" w:themeColor="text1"/>
          <w:sz w:val="20"/>
          <w:szCs w:val="20"/>
        </w:rPr>
        <w:t>that provided a platform for civil society to provide recommendations and comment on the content of this multi-year budget programming document and economic framework, that includes assumptions on expenditure and revenue.</w:t>
      </w:r>
    </w:p>
    <w:p w14:paraId="4BD08979" w14:textId="71B906BF" w:rsidR="00775C33" w:rsidRPr="00775C33" w:rsidRDefault="006A1A47" w:rsidP="00775C33">
      <w:pPr>
        <w:pStyle w:val="NormalWeb"/>
        <w:numPr>
          <w:ilvl w:val="0"/>
          <w:numId w:val="160"/>
        </w:numPr>
        <w:spacing w:before="100" w:beforeAutospacing="1"/>
        <w:jc w:val="both"/>
        <w:rPr>
          <w:rFonts w:ascii="Roboto" w:eastAsia="Arial" w:hAnsi="Roboto" w:cs="Arial"/>
        </w:rPr>
      </w:pPr>
      <w:r w:rsidRPr="00B67D4E">
        <w:rPr>
          <w:rFonts w:ascii="Roboto" w:hAnsi="Roboto" w:cs="Arial"/>
          <w:color w:val="000000" w:themeColor="text1"/>
          <w:sz w:val="20"/>
          <w:szCs w:val="20"/>
        </w:rPr>
        <w:t xml:space="preserve">From 2021 to 2022, </w:t>
      </w:r>
      <w:r w:rsidRPr="00B67D4E">
        <w:rPr>
          <w:rFonts w:ascii="Roboto" w:hAnsi="Roboto" w:cs="Arial"/>
          <w:b/>
          <w:bCs/>
          <w:color w:val="16988A"/>
          <w:sz w:val="20"/>
          <w:szCs w:val="20"/>
        </w:rPr>
        <w:t>South Africa</w:t>
      </w:r>
      <w:r w:rsidRPr="00B67D4E">
        <w:rPr>
          <w:rFonts w:ascii="Roboto" w:hAnsi="Roboto" w:cs="Arial"/>
          <w:color w:val="16988A"/>
          <w:sz w:val="20"/>
          <w:szCs w:val="20"/>
        </w:rPr>
        <w:t xml:space="preserve"> </w:t>
      </w:r>
      <w:r w:rsidRPr="00B67D4E">
        <w:rPr>
          <w:rFonts w:ascii="Roboto" w:hAnsi="Roboto" w:cs="Arial"/>
          <w:color w:val="000000" w:themeColor="text1"/>
          <w:sz w:val="20"/>
          <w:szCs w:val="20"/>
        </w:rPr>
        <w:t>implemented two rounds of pre-budget consultations to solicit citizen inputs on fiscal policies through a public consultation event and other online and offline platforms for the submission of written inputs. The submissions were also published online and presented for consideration of the Medium-Term Expenditure Committee, a high-level national technical decision-making authority on fiscal policy.</w:t>
      </w:r>
    </w:p>
    <w:p w14:paraId="42E80C9B" w14:textId="77777777" w:rsidR="00775C33" w:rsidRDefault="00775C33" w:rsidP="003625BA">
      <w:pPr>
        <w:tabs>
          <w:tab w:val="left" w:pos="1800"/>
        </w:tabs>
        <w:spacing w:before="240" w:after="240"/>
        <w:rPr>
          <w:rFonts w:ascii="Arial" w:hAnsi="Arial" w:cs="Arial"/>
          <w:b/>
          <w:bCs/>
          <w:color w:val="69567F"/>
          <w:sz w:val="24"/>
          <w:szCs w:val="24"/>
        </w:rPr>
      </w:pPr>
    </w:p>
    <w:p w14:paraId="3AC10302" w14:textId="25BBB1D5" w:rsidR="00C5477D" w:rsidRPr="00D15FA1" w:rsidRDefault="00C5477D" w:rsidP="00D15FA1">
      <w:pPr>
        <w:spacing w:before="240" w:after="240"/>
        <w:jc w:val="both"/>
        <w:rPr>
          <w:rFonts w:ascii="Arial" w:eastAsia="Arial" w:hAnsi="Arial" w:cs="Arial"/>
          <w:b/>
          <w:bCs/>
          <w:color w:val="16988A"/>
          <w:sz w:val="24"/>
          <w:szCs w:val="24"/>
        </w:rPr>
      </w:pPr>
      <w:r w:rsidRPr="00D15FA1">
        <w:rPr>
          <w:rFonts w:ascii="Arial" w:eastAsia="Arial" w:hAnsi="Arial" w:cs="Arial"/>
          <w:b/>
          <w:bCs/>
          <w:color w:val="16988A"/>
          <w:sz w:val="24"/>
          <w:szCs w:val="24"/>
        </w:rPr>
        <w:t xml:space="preserve">Legislative </w:t>
      </w:r>
      <w:r w:rsidR="00E601D2" w:rsidRPr="00D15FA1">
        <w:rPr>
          <w:rFonts w:ascii="Arial" w:eastAsia="Arial" w:hAnsi="Arial" w:cs="Arial"/>
          <w:b/>
          <w:bCs/>
          <w:color w:val="16988A"/>
          <w:sz w:val="24"/>
          <w:szCs w:val="24"/>
        </w:rPr>
        <w:t>a</w:t>
      </w:r>
      <w:r w:rsidRPr="00D15FA1">
        <w:rPr>
          <w:rFonts w:ascii="Arial" w:eastAsia="Arial" w:hAnsi="Arial" w:cs="Arial"/>
          <w:b/>
          <w:bCs/>
          <w:color w:val="16988A"/>
          <w:sz w:val="24"/>
          <w:szCs w:val="24"/>
        </w:rPr>
        <w:t xml:space="preserve">pproval and </w:t>
      </w:r>
      <w:r w:rsidR="00E601D2" w:rsidRPr="00D15FA1">
        <w:rPr>
          <w:rFonts w:ascii="Arial" w:eastAsia="Arial" w:hAnsi="Arial" w:cs="Arial"/>
          <w:b/>
          <w:bCs/>
          <w:color w:val="16988A"/>
          <w:sz w:val="24"/>
          <w:szCs w:val="24"/>
        </w:rPr>
        <w:t>a</w:t>
      </w:r>
      <w:r w:rsidRPr="00D15FA1">
        <w:rPr>
          <w:rFonts w:ascii="Arial" w:eastAsia="Arial" w:hAnsi="Arial" w:cs="Arial"/>
          <w:b/>
          <w:bCs/>
          <w:color w:val="16988A"/>
          <w:sz w:val="24"/>
          <w:szCs w:val="24"/>
        </w:rPr>
        <w:t>mendment</w:t>
      </w:r>
      <w:r w:rsidR="00D15FA1" w:rsidRPr="00D15FA1">
        <w:rPr>
          <w:rFonts w:ascii="Arial" w:eastAsia="Arial" w:hAnsi="Arial" w:cs="Arial"/>
          <w:b/>
          <w:bCs/>
          <w:color w:val="16988A"/>
          <w:sz w:val="24"/>
          <w:szCs w:val="24"/>
        </w:rPr>
        <w:t xml:space="preserve"> stage</w:t>
      </w:r>
    </w:p>
    <w:p w14:paraId="3D9814A5" w14:textId="5A18EC5D" w:rsidR="00C5477D" w:rsidRPr="003625BA" w:rsidRDefault="00C5477D" w:rsidP="00C5477D">
      <w:pPr>
        <w:spacing w:before="240" w:after="240"/>
        <w:jc w:val="both"/>
        <w:rPr>
          <w:rFonts w:ascii="Arial" w:hAnsi="Arial" w:cs="Arial"/>
          <w:sz w:val="24"/>
          <w:szCs w:val="24"/>
        </w:rPr>
      </w:pPr>
      <w:r w:rsidRPr="003625BA">
        <w:rPr>
          <w:rFonts w:ascii="Arial" w:hAnsi="Arial" w:cs="Arial"/>
          <w:sz w:val="24"/>
          <w:szCs w:val="24"/>
        </w:rPr>
        <w:t xml:space="preserve">Public participation aims to provide legislators with non-partisan budget analysis and various viewpoints. This is </w:t>
      </w:r>
      <w:r w:rsidR="00E601D2" w:rsidRPr="007304C9">
        <w:rPr>
          <w:rFonts w:ascii="Arial" w:hAnsi="Arial" w:cs="Arial"/>
          <w:sz w:val="24"/>
          <w:szCs w:val="24"/>
        </w:rPr>
        <w:t xml:space="preserve">mainly </w:t>
      </w:r>
      <w:r w:rsidRPr="003625BA">
        <w:rPr>
          <w:rFonts w:ascii="Arial" w:hAnsi="Arial" w:cs="Arial"/>
          <w:sz w:val="24"/>
          <w:szCs w:val="24"/>
        </w:rPr>
        <w:t xml:space="preserve">achieved through </w:t>
      </w:r>
      <w:r w:rsidR="00E601D2">
        <w:rPr>
          <w:rFonts w:ascii="Arial" w:hAnsi="Arial" w:cs="Arial"/>
          <w:sz w:val="24"/>
          <w:szCs w:val="24"/>
        </w:rPr>
        <w:t>f</w:t>
      </w:r>
      <w:r w:rsidRPr="003625BA">
        <w:rPr>
          <w:rFonts w:ascii="Arial" w:hAnsi="Arial" w:cs="Arial"/>
          <w:sz w:val="24"/>
          <w:szCs w:val="24"/>
        </w:rPr>
        <w:t xml:space="preserve">inance or </w:t>
      </w:r>
      <w:r w:rsidR="00E601D2">
        <w:rPr>
          <w:rFonts w:ascii="Arial" w:hAnsi="Arial" w:cs="Arial"/>
          <w:sz w:val="24"/>
          <w:szCs w:val="24"/>
        </w:rPr>
        <w:t>a</w:t>
      </w:r>
      <w:r w:rsidRPr="003625BA">
        <w:rPr>
          <w:rFonts w:ascii="Arial" w:hAnsi="Arial" w:cs="Arial"/>
          <w:sz w:val="24"/>
          <w:szCs w:val="24"/>
        </w:rPr>
        <w:t xml:space="preserve">ppropriations committee, </w:t>
      </w:r>
      <w:r w:rsidR="00E601D2">
        <w:rPr>
          <w:rFonts w:ascii="Arial" w:hAnsi="Arial" w:cs="Arial"/>
          <w:sz w:val="24"/>
          <w:szCs w:val="24"/>
        </w:rPr>
        <w:t>as well as</w:t>
      </w:r>
      <w:r w:rsidRPr="003625BA">
        <w:rPr>
          <w:rFonts w:ascii="Arial" w:hAnsi="Arial" w:cs="Arial"/>
          <w:sz w:val="24"/>
          <w:szCs w:val="24"/>
        </w:rPr>
        <w:t xml:space="preserve"> other committee budget hearings </w:t>
      </w:r>
      <w:r w:rsidR="00E601D2">
        <w:rPr>
          <w:rFonts w:ascii="Arial" w:hAnsi="Arial" w:cs="Arial"/>
          <w:sz w:val="24"/>
          <w:szCs w:val="24"/>
        </w:rPr>
        <w:t>as well as through</w:t>
      </w:r>
      <w:r w:rsidRPr="003625BA">
        <w:rPr>
          <w:rFonts w:ascii="Arial" w:hAnsi="Arial" w:cs="Arial"/>
          <w:sz w:val="24"/>
          <w:szCs w:val="24"/>
        </w:rPr>
        <w:t xml:space="preserve"> other mechanisms available to gather public inputs. Expert groups such as think tanks, CSOs that specialize in the budget, and academia </w:t>
      </w:r>
      <w:r w:rsidR="00E601D2">
        <w:rPr>
          <w:rFonts w:ascii="Arial" w:hAnsi="Arial" w:cs="Arial"/>
          <w:sz w:val="24"/>
          <w:szCs w:val="24"/>
        </w:rPr>
        <w:t>can</w:t>
      </w:r>
      <w:r w:rsidRPr="003625BA">
        <w:rPr>
          <w:rFonts w:ascii="Arial" w:hAnsi="Arial" w:cs="Arial"/>
          <w:sz w:val="24"/>
          <w:szCs w:val="24"/>
        </w:rPr>
        <w:t xml:space="preserve"> provide valuable analyses. The legislature can, for instance, use </w:t>
      </w:r>
      <w:proofErr w:type="gramStart"/>
      <w:r w:rsidRPr="003625BA">
        <w:rPr>
          <w:rFonts w:ascii="Arial" w:hAnsi="Arial" w:cs="Arial"/>
          <w:sz w:val="24"/>
          <w:szCs w:val="24"/>
        </w:rPr>
        <w:t>th</w:t>
      </w:r>
      <w:r w:rsidR="00696ADF">
        <w:rPr>
          <w:rFonts w:ascii="Arial" w:hAnsi="Arial" w:cs="Arial"/>
          <w:sz w:val="24"/>
          <w:szCs w:val="24"/>
        </w:rPr>
        <w:t>is</w:t>
      </w:r>
      <w:r w:rsidRPr="003625BA">
        <w:rPr>
          <w:rFonts w:ascii="Arial" w:hAnsi="Arial" w:cs="Arial"/>
          <w:sz w:val="24"/>
          <w:szCs w:val="24"/>
        </w:rPr>
        <w:t xml:space="preserve"> analyses</w:t>
      </w:r>
      <w:proofErr w:type="gramEnd"/>
      <w:r w:rsidRPr="003625BA">
        <w:rPr>
          <w:rFonts w:ascii="Arial" w:hAnsi="Arial" w:cs="Arial"/>
          <w:sz w:val="24"/>
          <w:szCs w:val="24"/>
        </w:rPr>
        <w:t> to alter budget priorities, shift allocations, or increase executive accountability.</w:t>
      </w:r>
    </w:p>
    <w:p w14:paraId="0E5CD72F" w14:textId="5B3875C4" w:rsidR="00C5477D" w:rsidRDefault="00097E9A" w:rsidP="00C5477D">
      <w:pPr>
        <w:spacing w:before="240" w:after="240"/>
        <w:jc w:val="both"/>
        <w:rPr>
          <w:rFonts w:ascii="Arial" w:hAnsi="Arial" w:cs="Arial"/>
          <w:sz w:val="24"/>
          <w:szCs w:val="24"/>
        </w:rPr>
      </w:pPr>
      <w:r>
        <w:rPr>
          <w:rFonts w:ascii="Arial" w:hAnsi="Arial" w:cs="Arial"/>
          <w:sz w:val="24"/>
          <w:szCs w:val="24"/>
        </w:rPr>
        <w:t xml:space="preserve">An example of this comes from </w:t>
      </w:r>
      <w:hyperlink r:id="rId493" w:history="1">
        <w:r w:rsidR="00C5477D" w:rsidRPr="00F20076">
          <w:rPr>
            <w:rStyle w:val="Hyperlink"/>
            <w:rFonts w:ascii="Arial" w:hAnsi="Arial" w:cs="Arial"/>
            <w:bCs/>
            <w:sz w:val="24"/>
            <w:szCs w:val="24"/>
          </w:rPr>
          <w:t>Georgia</w:t>
        </w:r>
      </w:hyperlink>
      <w:r w:rsidR="00C5477D" w:rsidRPr="003625BA">
        <w:rPr>
          <w:rFonts w:ascii="Arial" w:hAnsi="Arial" w:cs="Arial"/>
          <w:sz w:val="24"/>
          <w:szCs w:val="24"/>
        </w:rPr>
        <w:t xml:space="preserve">, </w:t>
      </w:r>
      <w:r>
        <w:rPr>
          <w:rFonts w:ascii="Arial" w:hAnsi="Arial" w:cs="Arial"/>
          <w:sz w:val="24"/>
          <w:szCs w:val="24"/>
        </w:rPr>
        <w:t xml:space="preserve">where </w:t>
      </w:r>
      <w:r w:rsidR="00C5477D" w:rsidRPr="003625BA">
        <w:rPr>
          <w:rFonts w:ascii="Arial" w:hAnsi="Arial" w:cs="Arial"/>
          <w:sz w:val="24"/>
          <w:szCs w:val="24"/>
        </w:rPr>
        <w:t xml:space="preserve">legislative committee meetings on the proposed budget are open for anyone to attend and also allow members of the public to testify. This right is guaranteed by </w:t>
      </w:r>
      <w:r w:rsidR="00E601D2">
        <w:rPr>
          <w:rFonts w:ascii="Arial" w:hAnsi="Arial" w:cs="Arial"/>
          <w:sz w:val="24"/>
          <w:szCs w:val="24"/>
        </w:rPr>
        <w:t xml:space="preserve">the </w:t>
      </w:r>
      <w:r w:rsidR="00E601D2" w:rsidRPr="00B8177F">
        <w:rPr>
          <w:rFonts w:ascii="Arial" w:hAnsi="Arial" w:cs="Arial"/>
          <w:sz w:val="24"/>
          <w:szCs w:val="24"/>
        </w:rPr>
        <w:t>Parliament of Georgia</w:t>
      </w:r>
      <w:r w:rsidR="00E601D2">
        <w:rPr>
          <w:rFonts w:ascii="Arial" w:hAnsi="Arial" w:cs="Arial"/>
          <w:sz w:val="24"/>
          <w:szCs w:val="24"/>
        </w:rPr>
        <w:t>’s p</w:t>
      </w:r>
      <w:r w:rsidR="00E601D2" w:rsidRPr="00D420C7">
        <w:rPr>
          <w:rFonts w:ascii="Arial" w:hAnsi="Arial" w:cs="Arial"/>
          <w:sz w:val="24"/>
          <w:szCs w:val="24"/>
        </w:rPr>
        <w:t>rocedure</w:t>
      </w:r>
      <w:r w:rsidR="00E601D2">
        <w:rPr>
          <w:rFonts w:ascii="Arial" w:hAnsi="Arial" w:cs="Arial"/>
          <w:sz w:val="24"/>
          <w:szCs w:val="24"/>
        </w:rPr>
        <w:t xml:space="preserve"> r</w:t>
      </w:r>
      <w:r w:rsidR="00C5477D" w:rsidRPr="003625BA">
        <w:rPr>
          <w:rFonts w:ascii="Arial" w:hAnsi="Arial" w:cs="Arial"/>
          <w:sz w:val="24"/>
          <w:szCs w:val="24"/>
        </w:rPr>
        <w:t>ules</w:t>
      </w:r>
      <w:r w:rsidR="00E601D2">
        <w:rPr>
          <w:rFonts w:ascii="Arial" w:hAnsi="Arial" w:cs="Arial"/>
          <w:sz w:val="24"/>
          <w:szCs w:val="24"/>
        </w:rPr>
        <w:t>.</w:t>
      </w:r>
      <w:r w:rsidR="00C5477D" w:rsidRPr="003625BA">
        <w:rPr>
          <w:rFonts w:ascii="Arial" w:hAnsi="Arial" w:cs="Arial"/>
          <w:sz w:val="24"/>
          <w:szCs w:val="24"/>
        </w:rPr>
        <w:t xml:space="preserve"> The Committee hearings are public and televised</w:t>
      </w:r>
      <w:r w:rsidR="00E601D2">
        <w:rPr>
          <w:rFonts w:ascii="Arial" w:hAnsi="Arial" w:cs="Arial"/>
          <w:sz w:val="24"/>
          <w:szCs w:val="24"/>
        </w:rPr>
        <w:t>, covering</w:t>
      </w:r>
      <w:r w:rsidR="00C5477D" w:rsidRPr="003625BA">
        <w:rPr>
          <w:rFonts w:ascii="Arial" w:hAnsi="Arial" w:cs="Arial"/>
          <w:sz w:val="24"/>
          <w:szCs w:val="24"/>
        </w:rPr>
        <w:t xml:space="preserve"> key topics such as macroeconomic issues, revenue forecasts, administration, social spending, debt and deficit levels, public investment projects and public services. The Finance and Budget Committee then publishes a report on Transparency of the State Budget and Citizens Participation in the Budget Process</w:t>
      </w:r>
      <w:r w:rsidR="00E601D2">
        <w:rPr>
          <w:rFonts w:ascii="Arial" w:hAnsi="Arial" w:cs="Arial"/>
          <w:sz w:val="24"/>
          <w:szCs w:val="24"/>
        </w:rPr>
        <w:t>, that</w:t>
      </w:r>
      <w:r w:rsidR="00C5477D" w:rsidRPr="003625BA">
        <w:rPr>
          <w:rFonts w:ascii="Arial" w:hAnsi="Arial" w:cs="Arial"/>
          <w:sz w:val="24"/>
          <w:szCs w:val="24"/>
        </w:rPr>
        <w:t xml:space="preserve"> includes a summary of inputs received </w:t>
      </w:r>
      <w:r w:rsidR="00696ADF">
        <w:rPr>
          <w:rFonts w:ascii="Arial" w:hAnsi="Arial" w:cs="Arial"/>
          <w:sz w:val="24"/>
          <w:szCs w:val="24"/>
        </w:rPr>
        <w:t>in</w:t>
      </w:r>
      <w:r w:rsidR="00C5477D" w:rsidRPr="003625BA">
        <w:rPr>
          <w:rFonts w:ascii="Arial" w:hAnsi="Arial" w:cs="Arial"/>
          <w:sz w:val="24"/>
          <w:szCs w:val="24"/>
        </w:rPr>
        <w:t xml:space="preserve"> legislative budget hearings. </w:t>
      </w:r>
    </w:p>
    <w:p w14:paraId="200AC9C8" w14:textId="555A5C61" w:rsidR="00775C33" w:rsidRDefault="00775C33" w:rsidP="00C5477D">
      <w:pPr>
        <w:spacing w:before="240" w:after="240"/>
        <w:jc w:val="both"/>
        <w:rPr>
          <w:rFonts w:ascii="Arial" w:hAnsi="Arial" w:cs="Arial"/>
          <w:sz w:val="24"/>
          <w:szCs w:val="24"/>
        </w:rPr>
      </w:pPr>
    </w:p>
    <w:p w14:paraId="0BD45D5F" w14:textId="1A094EBA" w:rsidR="00F97CAF" w:rsidRDefault="00F97CAF" w:rsidP="00C5477D">
      <w:pPr>
        <w:spacing w:before="240" w:after="240"/>
        <w:jc w:val="both"/>
        <w:rPr>
          <w:rFonts w:ascii="Arial" w:hAnsi="Arial" w:cs="Arial"/>
          <w:sz w:val="24"/>
          <w:szCs w:val="24"/>
        </w:rPr>
      </w:pPr>
    </w:p>
    <w:p w14:paraId="721DFFE5" w14:textId="77777777" w:rsidR="00B5708B" w:rsidRPr="003625BA" w:rsidRDefault="00B5708B" w:rsidP="00C5477D">
      <w:pPr>
        <w:spacing w:before="240" w:after="240"/>
        <w:jc w:val="both"/>
        <w:rPr>
          <w:rFonts w:ascii="Arial" w:hAnsi="Arial" w:cs="Arial"/>
          <w:sz w:val="24"/>
          <w:szCs w:val="24"/>
        </w:rPr>
      </w:pPr>
    </w:p>
    <w:p w14:paraId="1AB7E65E" w14:textId="719CDF68" w:rsidR="00C5477D" w:rsidRPr="00D15FA1" w:rsidRDefault="00C5477D" w:rsidP="00C5477D">
      <w:pPr>
        <w:spacing w:before="240" w:after="240"/>
        <w:jc w:val="both"/>
        <w:rPr>
          <w:rFonts w:ascii="Arial" w:eastAsia="Arial" w:hAnsi="Arial" w:cs="Arial"/>
          <w:b/>
          <w:bCs/>
          <w:color w:val="16988A"/>
          <w:sz w:val="24"/>
          <w:szCs w:val="24"/>
        </w:rPr>
      </w:pPr>
      <w:r w:rsidRPr="00D15FA1">
        <w:rPr>
          <w:rFonts w:ascii="Arial" w:eastAsia="Arial" w:hAnsi="Arial" w:cs="Arial"/>
          <w:b/>
          <w:bCs/>
          <w:color w:val="16988A"/>
          <w:sz w:val="24"/>
          <w:szCs w:val="24"/>
        </w:rPr>
        <w:lastRenderedPageBreak/>
        <w:t xml:space="preserve">Fiscal </w:t>
      </w:r>
      <w:r w:rsidR="00E601D2" w:rsidRPr="00D15FA1">
        <w:rPr>
          <w:rFonts w:ascii="Arial" w:eastAsia="Arial" w:hAnsi="Arial" w:cs="Arial"/>
          <w:b/>
          <w:bCs/>
          <w:color w:val="16988A"/>
          <w:sz w:val="24"/>
          <w:szCs w:val="24"/>
        </w:rPr>
        <w:t>p</w:t>
      </w:r>
      <w:r w:rsidRPr="00D15FA1">
        <w:rPr>
          <w:rFonts w:ascii="Arial" w:eastAsia="Arial" w:hAnsi="Arial" w:cs="Arial"/>
          <w:b/>
          <w:bCs/>
          <w:color w:val="16988A"/>
          <w:sz w:val="24"/>
          <w:szCs w:val="24"/>
        </w:rPr>
        <w:t xml:space="preserve">olicy and </w:t>
      </w:r>
      <w:r w:rsidR="00E601D2" w:rsidRPr="00D15FA1">
        <w:rPr>
          <w:rFonts w:ascii="Arial" w:eastAsia="Arial" w:hAnsi="Arial" w:cs="Arial"/>
          <w:b/>
          <w:bCs/>
          <w:color w:val="16988A"/>
          <w:sz w:val="24"/>
          <w:szCs w:val="24"/>
        </w:rPr>
        <w:t>b</w:t>
      </w:r>
      <w:r w:rsidRPr="00D15FA1">
        <w:rPr>
          <w:rFonts w:ascii="Arial" w:eastAsia="Arial" w:hAnsi="Arial" w:cs="Arial"/>
          <w:b/>
          <w:bCs/>
          <w:color w:val="16988A"/>
          <w:sz w:val="24"/>
          <w:szCs w:val="24"/>
        </w:rPr>
        <w:t xml:space="preserve">udget </w:t>
      </w:r>
      <w:r w:rsidR="00E601D2" w:rsidRPr="00D15FA1">
        <w:rPr>
          <w:rFonts w:ascii="Arial" w:eastAsia="Arial" w:hAnsi="Arial" w:cs="Arial"/>
          <w:b/>
          <w:bCs/>
          <w:color w:val="16988A"/>
          <w:sz w:val="24"/>
          <w:szCs w:val="24"/>
        </w:rPr>
        <w:t>i</w:t>
      </w:r>
      <w:r w:rsidRPr="00D15FA1">
        <w:rPr>
          <w:rFonts w:ascii="Arial" w:eastAsia="Arial" w:hAnsi="Arial" w:cs="Arial"/>
          <w:b/>
          <w:bCs/>
          <w:color w:val="16988A"/>
          <w:sz w:val="24"/>
          <w:szCs w:val="24"/>
        </w:rPr>
        <w:t>mplementation</w:t>
      </w:r>
      <w:r w:rsidR="00D15FA1" w:rsidRPr="00D15FA1">
        <w:rPr>
          <w:rFonts w:ascii="Arial" w:eastAsia="Arial" w:hAnsi="Arial" w:cs="Arial"/>
          <w:b/>
          <w:bCs/>
          <w:color w:val="16988A"/>
          <w:sz w:val="24"/>
          <w:szCs w:val="24"/>
        </w:rPr>
        <w:t xml:space="preserve"> stage</w:t>
      </w:r>
    </w:p>
    <w:p w14:paraId="460730E2" w14:textId="14906AD2" w:rsidR="00C5477D" w:rsidRPr="003625BA" w:rsidRDefault="00C5477D" w:rsidP="00C5477D">
      <w:pPr>
        <w:spacing w:before="240" w:after="240"/>
        <w:jc w:val="both"/>
        <w:rPr>
          <w:rFonts w:ascii="Arial" w:hAnsi="Arial" w:cs="Arial"/>
          <w:sz w:val="24"/>
          <w:szCs w:val="24"/>
        </w:rPr>
      </w:pPr>
      <w:r w:rsidRPr="003625BA">
        <w:rPr>
          <w:rFonts w:ascii="Arial" w:hAnsi="Arial" w:cs="Arial"/>
          <w:sz w:val="24"/>
          <w:szCs w:val="24"/>
        </w:rPr>
        <w:t xml:space="preserve">A variety of mechanisms can be used to oversee government’s implementation of fiscal policy. Key </w:t>
      </w:r>
      <w:r w:rsidR="00286275">
        <w:rPr>
          <w:rFonts w:ascii="Arial" w:hAnsi="Arial" w:cs="Arial"/>
          <w:sz w:val="24"/>
          <w:szCs w:val="24"/>
        </w:rPr>
        <w:t>stakeholders</w:t>
      </w:r>
      <w:r w:rsidRPr="003625BA">
        <w:rPr>
          <w:rFonts w:ascii="Arial" w:hAnsi="Arial" w:cs="Arial"/>
          <w:sz w:val="24"/>
          <w:szCs w:val="24"/>
        </w:rPr>
        <w:t xml:space="preserve"> include government at different levels, legislature, CSOs, the media, community groups, the private sector, academia, and the general public. The </w:t>
      </w:r>
      <w:r w:rsidR="00286275">
        <w:rPr>
          <w:rFonts w:ascii="Arial" w:hAnsi="Arial" w:cs="Arial"/>
          <w:sz w:val="24"/>
          <w:szCs w:val="24"/>
        </w:rPr>
        <w:t>g</w:t>
      </w:r>
      <w:r w:rsidRPr="003625BA">
        <w:rPr>
          <w:rFonts w:ascii="Arial" w:hAnsi="Arial" w:cs="Arial"/>
          <w:sz w:val="24"/>
          <w:szCs w:val="24"/>
        </w:rPr>
        <w:t xml:space="preserve">overnment can consult and collaborate with these actors to ensure that the budget is executed as intended for public service delivery. </w:t>
      </w:r>
      <w:r w:rsidR="00286275">
        <w:rPr>
          <w:rFonts w:ascii="Arial" w:hAnsi="Arial" w:cs="Arial"/>
          <w:sz w:val="24"/>
          <w:szCs w:val="24"/>
        </w:rPr>
        <w:t>C</w:t>
      </w:r>
      <w:r w:rsidRPr="003625BA">
        <w:rPr>
          <w:rFonts w:ascii="Arial" w:hAnsi="Arial" w:cs="Arial"/>
          <w:sz w:val="24"/>
          <w:szCs w:val="24"/>
        </w:rPr>
        <w:t>ivil society actors can also take proactive initiatives to hold the government or the elected officials accountable by following budget and expenditure data, that is, by following the money</w:t>
      </w:r>
      <w:r w:rsidR="00C72385">
        <w:rPr>
          <w:rFonts w:ascii="Arial" w:hAnsi="Arial" w:cs="Arial"/>
          <w:sz w:val="24"/>
          <w:szCs w:val="24"/>
        </w:rPr>
        <w:t>.</w:t>
      </w:r>
    </w:p>
    <w:p w14:paraId="20A86E28" w14:textId="0F3948B9" w:rsidR="00BB3C42" w:rsidRPr="003625BA" w:rsidRDefault="00BB3C42" w:rsidP="003625BA">
      <w:pPr>
        <w:spacing w:before="240" w:after="240"/>
        <w:jc w:val="both"/>
        <w:rPr>
          <w:rFonts w:ascii="Arial" w:hAnsi="Arial" w:cs="Arial"/>
          <w:sz w:val="24"/>
          <w:szCs w:val="24"/>
        </w:rPr>
      </w:pPr>
      <w:r w:rsidRPr="00BB3C42">
        <w:rPr>
          <w:rFonts w:ascii="Arial" w:eastAsia="Arial" w:hAnsi="Arial" w:cs="Arial"/>
          <w:sz w:val="24"/>
          <w:szCs w:val="24"/>
        </w:rPr>
        <w:t xml:space="preserve">In the Philippines there is a mobile android application called  </w:t>
      </w:r>
      <w:hyperlink r:id="rId494" w:history="1">
        <w:proofErr w:type="spellStart"/>
        <w:r w:rsidRPr="00BB3C42">
          <w:rPr>
            <w:rStyle w:val="Hyperlink"/>
            <w:rFonts w:ascii="Arial" w:eastAsia="Arial" w:hAnsi="Arial" w:cs="Arial"/>
            <w:sz w:val="24"/>
            <w:szCs w:val="24"/>
          </w:rPr>
          <w:t>DevLIVE</w:t>
        </w:r>
        <w:proofErr w:type="spellEnd"/>
      </w:hyperlink>
      <w:r w:rsidRPr="00BB3C42">
        <w:rPr>
          <w:rFonts w:ascii="Arial" w:eastAsia="Arial" w:hAnsi="Arial" w:cs="Arial"/>
          <w:sz w:val="24"/>
          <w:szCs w:val="24"/>
        </w:rPr>
        <w:t xml:space="preserve">  that was designed to gather citizens’ satisfaction feedback on the quality and implementation progress of government’s local infrastructure projects</w:t>
      </w:r>
      <w:r w:rsidR="00C5477D" w:rsidRPr="003625BA">
        <w:rPr>
          <w:rFonts w:ascii="Arial" w:eastAsia="Arial" w:hAnsi="Arial" w:cs="Arial"/>
          <w:sz w:val="24"/>
          <w:szCs w:val="24"/>
        </w:rPr>
        <w:t xml:space="preserve">. </w:t>
      </w:r>
      <w:r w:rsidRPr="003625BA">
        <w:rPr>
          <w:rFonts w:ascii="Arial" w:hAnsi="Arial" w:cs="Arial"/>
          <w:sz w:val="24"/>
          <w:szCs w:val="24"/>
        </w:rPr>
        <w:t xml:space="preserve">Administered by the Department of the Interior and Local Government, it hosts budget execution and project implementation data of </w:t>
      </w:r>
      <w:r>
        <w:rPr>
          <w:rFonts w:ascii="Arial" w:hAnsi="Arial" w:cs="Arial"/>
          <w:sz w:val="24"/>
          <w:szCs w:val="24"/>
        </w:rPr>
        <w:t xml:space="preserve">over </w:t>
      </w:r>
      <w:r w:rsidRPr="003625BA">
        <w:rPr>
          <w:rFonts w:ascii="Arial" w:hAnsi="Arial" w:cs="Arial"/>
          <w:sz w:val="24"/>
          <w:szCs w:val="24"/>
        </w:rPr>
        <w:t>3</w:t>
      </w:r>
      <w:r>
        <w:rPr>
          <w:rFonts w:ascii="Arial" w:hAnsi="Arial" w:cs="Arial"/>
          <w:sz w:val="24"/>
          <w:szCs w:val="24"/>
        </w:rPr>
        <w:t>0</w:t>
      </w:r>
      <w:r w:rsidRPr="003625BA">
        <w:rPr>
          <w:rFonts w:ascii="Arial" w:hAnsi="Arial" w:cs="Arial"/>
          <w:sz w:val="24"/>
          <w:szCs w:val="24"/>
        </w:rPr>
        <w:t xml:space="preserve"> billion </w:t>
      </w:r>
      <w:r w:rsidRPr="00BB3C42">
        <w:rPr>
          <w:rFonts w:ascii="Arial" w:hAnsi="Arial" w:cs="Arial"/>
          <w:sz w:val="24"/>
          <w:szCs w:val="24"/>
        </w:rPr>
        <w:t>P</w:t>
      </w:r>
      <w:r>
        <w:rPr>
          <w:rFonts w:ascii="Arial" w:hAnsi="Arial" w:cs="Arial"/>
          <w:sz w:val="24"/>
          <w:szCs w:val="24"/>
        </w:rPr>
        <w:t>hilippine</w:t>
      </w:r>
      <w:r w:rsidRPr="003625BA">
        <w:rPr>
          <w:rFonts w:ascii="Arial" w:hAnsi="Arial" w:cs="Arial"/>
          <w:sz w:val="24"/>
          <w:szCs w:val="24"/>
        </w:rPr>
        <w:t xml:space="preserve"> </w:t>
      </w:r>
      <w:r>
        <w:rPr>
          <w:rFonts w:ascii="Arial" w:hAnsi="Arial" w:cs="Arial"/>
          <w:sz w:val="24"/>
          <w:szCs w:val="24"/>
        </w:rPr>
        <w:t>P</w:t>
      </w:r>
      <w:r w:rsidRPr="003625BA">
        <w:rPr>
          <w:rFonts w:ascii="Arial" w:hAnsi="Arial" w:cs="Arial"/>
          <w:sz w:val="24"/>
          <w:szCs w:val="24"/>
        </w:rPr>
        <w:t xml:space="preserve">eso worth of locally implemented projects. It specifically collects user feedback on the following performance indicators: visibility, functionality, quality, accessibility, timeliness, relevance, and operations. From its pilot rollout in 2019, </w:t>
      </w:r>
      <w:r w:rsidR="00110950">
        <w:rPr>
          <w:rFonts w:ascii="Arial" w:hAnsi="Arial" w:cs="Arial"/>
          <w:sz w:val="24"/>
          <w:szCs w:val="24"/>
        </w:rPr>
        <w:t xml:space="preserve">by 2022, </w:t>
      </w:r>
      <w:r w:rsidRPr="003625BA">
        <w:rPr>
          <w:rFonts w:ascii="Arial" w:hAnsi="Arial" w:cs="Arial"/>
          <w:sz w:val="24"/>
          <w:szCs w:val="24"/>
        </w:rPr>
        <w:t xml:space="preserve">the government received </w:t>
      </w:r>
      <w:r w:rsidR="00110950">
        <w:rPr>
          <w:rFonts w:ascii="Arial" w:hAnsi="Arial" w:cs="Arial"/>
          <w:sz w:val="24"/>
          <w:szCs w:val="24"/>
        </w:rPr>
        <w:t>approximately 5 000</w:t>
      </w:r>
      <w:r w:rsidRPr="003625BA">
        <w:rPr>
          <w:rFonts w:ascii="Arial" w:hAnsi="Arial" w:cs="Arial"/>
          <w:sz w:val="24"/>
          <w:szCs w:val="24"/>
        </w:rPr>
        <w:t xml:space="preserve"> different </w:t>
      </w:r>
      <w:r w:rsidR="00675469">
        <w:rPr>
          <w:rFonts w:ascii="Arial" w:hAnsi="Arial" w:cs="Arial"/>
          <w:sz w:val="24"/>
          <w:szCs w:val="24"/>
        </w:rPr>
        <w:t xml:space="preserve">public </w:t>
      </w:r>
      <w:r w:rsidR="00110950">
        <w:rPr>
          <w:rFonts w:ascii="Arial" w:hAnsi="Arial" w:cs="Arial"/>
          <w:sz w:val="24"/>
          <w:szCs w:val="24"/>
        </w:rPr>
        <w:t>responses</w:t>
      </w:r>
      <w:r w:rsidRPr="003625BA">
        <w:rPr>
          <w:rFonts w:ascii="Arial" w:hAnsi="Arial" w:cs="Arial"/>
          <w:sz w:val="24"/>
          <w:szCs w:val="24"/>
        </w:rPr>
        <w:t xml:space="preserve"> covering </w:t>
      </w:r>
      <w:r w:rsidR="00110950">
        <w:rPr>
          <w:rFonts w:ascii="Arial" w:hAnsi="Arial" w:cs="Arial"/>
          <w:sz w:val="24"/>
          <w:szCs w:val="24"/>
        </w:rPr>
        <w:t>more than 1 000</w:t>
      </w:r>
      <w:r w:rsidRPr="003625BA">
        <w:rPr>
          <w:rFonts w:ascii="Arial" w:hAnsi="Arial" w:cs="Arial"/>
          <w:sz w:val="24"/>
          <w:szCs w:val="24"/>
        </w:rPr>
        <w:t xml:space="preserve"> projects in</w:t>
      </w:r>
      <w:r w:rsidR="00110950">
        <w:rPr>
          <w:rFonts w:ascii="Arial" w:hAnsi="Arial" w:cs="Arial"/>
          <w:sz w:val="24"/>
          <w:szCs w:val="24"/>
        </w:rPr>
        <w:t xml:space="preserve"> over 260</w:t>
      </w:r>
      <w:r w:rsidRPr="003625BA">
        <w:rPr>
          <w:rFonts w:ascii="Arial" w:hAnsi="Arial" w:cs="Arial"/>
          <w:sz w:val="24"/>
          <w:szCs w:val="24"/>
        </w:rPr>
        <w:t xml:space="preserve"> pilot local government units, with a satisfaction rate of 95</w:t>
      </w:r>
      <w:r w:rsidR="00110950">
        <w:rPr>
          <w:rFonts w:ascii="Arial" w:hAnsi="Arial" w:cs="Arial"/>
          <w:sz w:val="24"/>
          <w:szCs w:val="24"/>
        </w:rPr>
        <w:t xml:space="preserve"> percent</w:t>
      </w:r>
      <w:r w:rsidRPr="003625BA">
        <w:rPr>
          <w:rFonts w:ascii="Arial" w:hAnsi="Arial" w:cs="Arial"/>
          <w:sz w:val="24"/>
          <w:szCs w:val="24"/>
        </w:rPr>
        <w:t xml:space="preserve"> on the progress of projects monitored.</w:t>
      </w:r>
    </w:p>
    <w:p w14:paraId="068481EA" w14:textId="507D4DDA" w:rsidR="00C5477D" w:rsidRPr="00D15FA1" w:rsidRDefault="00C5477D" w:rsidP="00C5477D">
      <w:pPr>
        <w:spacing w:before="240" w:after="240"/>
        <w:jc w:val="both"/>
        <w:rPr>
          <w:rFonts w:ascii="Arial" w:eastAsia="Arial" w:hAnsi="Arial" w:cs="Arial"/>
          <w:b/>
          <w:bCs/>
          <w:color w:val="16988A"/>
          <w:sz w:val="24"/>
          <w:szCs w:val="24"/>
        </w:rPr>
      </w:pPr>
      <w:r w:rsidRPr="00D15FA1">
        <w:rPr>
          <w:rFonts w:ascii="Arial" w:eastAsia="Arial" w:hAnsi="Arial" w:cs="Arial"/>
          <w:b/>
          <w:bCs/>
          <w:color w:val="16988A"/>
          <w:sz w:val="24"/>
          <w:szCs w:val="24"/>
        </w:rPr>
        <w:t xml:space="preserve">Audit and </w:t>
      </w:r>
      <w:r w:rsidR="00E601D2" w:rsidRPr="00D15FA1">
        <w:rPr>
          <w:rFonts w:ascii="Arial" w:eastAsia="Arial" w:hAnsi="Arial" w:cs="Arial"/>
          <w:b/>
          <w:bCs/>
          <w:color w:val="16988A"/>
          <w:sz w:val="24"/>
          <w:szCs w:val="24"/>
        </w:rPr>
        <w:t>o</w:t>
      </w:r>
      <w:r w:rsidRPr="00D15FA1">
        <w:rPr>
          <w:rFonts w:ascii="Arial" w:eastAsia="Arial" w:hAnsi="Arial" w:cs="Arial"/>
          <w:b/>
          <w:bCs/>
          <w:color w:val="16988A"/>
          <w:sz w:val="24"/>
          <w:szCs w:val="24"/>
        </w:rPr>
        <w:t>versight</w:t>
      </w:r>
      <w:r w:rsidR="00D15FA1" w:rsidRPr="00D15FA1">
        <w:rPr>
          <w:rFonts w:ascii="Arial" w:eastAsia="Arial" w:hAnsi="Arial" w:cs="Arial"/>
          <w:b/>
          <w:bCs/>
          <w:color w:val="16988A"/>
          <w:sz w:val="24"/>
          <w:szCs w:val="24"/>
        </w:rPr>
        <w:t xml:space="preserve"> stage</w:t>
      </w:r>
    </w:p>
    <w:p w14:paraId="41A7316D" w14:textId="772BFF94" w:rsidR="00C5477D" w:rsidRPr="003625BA" w:rsidRDefault="00C5477D" w:rsidP="00C5477D">
      <w:pPr>
        <w:spacing w:before="240" w:after="240"/>
        <w:jc w:val="both"/>
        <w:rPr>
          <w:rFonts w:ascii="Arial" w:hAnsi="Arial" w:cs="Arial"/>
          <w:sz w:val="24"/>
          <w:szCs w:val="24"/>
        </w:rPr>
      </w:pPr>
      <w:r w:rsidRPr="003625BA">
        <w:rPr>
          <w:rFonts w:ascii="Arial" w:hAnsi="Arial" w:cs="Arial"/>
          <w:sz w:val="24"/>
          <w:szCs w:val="24"/>
        </w:rPr>
        <w:t xml:space="preserve">Public participation opportunities should be created by the executive and government oversight institutions. The supreme audit institution should inform the public about its audit findings and recommendations as well as create spaces for the public to assist in the monitoring and audit of public spending, outputs, and outcomes. For instance, it should hold consultations to receive proposals on entities and programs to be audited, and to garner focused contributions on particular areas, such as </w:t>
      </w:r>
      <w:r w:rsidR="00286275">
        <w:rPr>
          <w:rFonts w:ascii="Arial" w:hAnsi="Arial" w:cs="Arial"/>
          <w:sz w:val="24"/>
          <w:szCs w:val="24"/>
        </w:rPr>
        <w:t xml:space="preserve">inviting </w:t>
      </w:r>
      <w:r w:rsidRPr="003625BA">
        <w:rPr>
          <w:rFonts w:ascii="Arial" w:hAnsi="Arial" w:cs="Arial"/>
          <w:sz w:val="24"/>
          <w:szCs w:val="24"/>
        </w:rPr>
        <w:t xml:space="preserve">civil society collaborations on social audits. The legislature, mostly through its </w:t>
      </w:r>
      <w:r w:rsidR="00097E9A">
        <w:rPr>
          <w:rFonts w:ascii="Arial" w:hAnsi="Arial" w:cs="Arial"/>
          <w:sz w:val="24"/>
          <w:szCs w:val="24"/>
        </w:rPr>
        <w:t>p</w:t>
      </w:r>
      <w:r w:rsidRPr="003625BA">
        <w:rPr>
          <w:rFonts w:ascii="Arial" w:hAnsi="Arial" w:cs="Arial"/>
          <w:sz w:val="24"/>
          <w:szCs w:val="24"/>
        </w:rPr>
        <w:t xml:space="preserve">ublic </w:t>
      </w:r>
      <w:r w:rsidR="00097E9A">
        <w:rPr>
          <w:rFonts w:ascii="Arial" w:hAnsi="Arial" w:cs="Arial"/>
          <w:sz w:val="24"/>
          <w:szCs w:val="24"/>
        </w:rPr>
        <w:t>a</w:t>
      </w:r>
      <w:r w:rsidRPr="003625BA">
        <w:rPr>
          <w:rFonts w:ascii="Arial" w:hAnsi="Arial" w:cs="Arial"/>
          <w:sz w:val="24"/>
          <w:szCs w:val="24"/>
        </w:rPr>
        <w:t xml:space="preserve">ccounts </w:t>
      </w:r>
      <w:r w:rsidR="00097E9A">
        <w:rPr>
          <w:rFonts w:ascii="Arial" w:hAnsi="Arial" w:cs="Arial"/>
          <w:sz w:val="24"/>
          <w:szCs w:val="24"/>
        </w:rPr>
        <w:t>c</w:t>
      </w:r>
      <w:r w:rsidRPr="003625BA">
        <w:rPr>
          <w:rFonts w:ascii="Arial" w:hAnsi="Arial" w:cs="Arial"/>
          <w:sz w:val="24"/>
          <w:szCs w:val="24"/>
        </w:rPr>
        <w:t xml:space="preserve">ommittee, can hold public hearings on issues related to the implementation of select government programs and invite members of civil society and the public to provide inputs and/or testify. The executive can also invite members of the public </w:t>
      </w:r>
      <w:r w:rsidR="00097E9A">
        <w:rPr>
          <w:rFonts w:ascii="Arial" w:hAnsi="Arial" w:cs="Arial"/>
          <w:sz w:val="24"/>
          <w:szCs w:val="24"/>
        </w:rPr>
        <w:t>to assist it in</w:t>
      </w:r>
      <w:r w:rsidRPr="003625BA">
        <w:rPr>
          <w:rFonts w:ascii="Arial" w:hAnsi="Arial" w:cs="Arial"/>
          <w:sz w:val="24"/>
          <w:szCs w:val="24"/>
        </w:rPr>
        <w:t xml:space="preserve"> program monitoring and audit activities.</w:t>
      </w:r>
    </w:p>
    <w:p w14:paraId="4F1F8240" w14:textId="002DBA83" w:rsidR="00D42939" w:rsidRDefault="00097E9A" w:rsidP="00C5477D">
      <w:pPr>
        <w:spacing w:before="240" w:after="240"/>
        <w:jc w:val="both"/>
        <w:rPr>
          <w:rFonts w:ascii="Arial" w:eastAsia="Arial" w:hAnsi="Arial" w:cs="Arial"/>
          <w:sz w:val="24"/>
          <w:szCs w:val="24"/>
        </w:rPr>
      </w:pPr>
      <w:r>
        <w:rPr>
          <w:rFonts w:ascii="Arial" w:hAnsi="Arial" w:cs="Arial"/>
          <w:sz w:val="24"/>
          <w:szCs w:val="24"/>
        </w:rPr>
        <w:t>C</w:t>
      </w:r>
      <w:r w:rsidR="00C5477D" w:rsidRPr="003625BA">
        <w:rPr>
          <w:rFonts w:ascii="Arial" w:hAnsi="Arial" w:cs="Arial"/>
          <w:sz w:val="24"/>
          <w:szCs w:val="24"/>
        </w:rPr>
        <w:t xml:space="preserve">ivil society, the media, academia or any member of the interested public can also initiate </w:t>
      </w:r>
      <w:r>
        <w:rPr>
          <w:rFonts w:ascii="Arial" w:hAnsi="Arial" w:cs="Arial"/>
          <w:sz w:val="24"/>
          <w:szCs w:val="24"/>
        </w:rPr>
        <w:t>activities, for example</w:t>
      </w:r>
      <w:r w:rsidR="00286275">
        <w:rPr>
          <w:rFonts w:ascii="Arial" w:hAnsi="Arial" w:cs="Arial"/>
          <w:sz w:val="24"/>
          <w:szCs w:val="24"/>
        </w:rPr>
        <w:t>,</w:t>
      </w:r>
      <w:r>
        <w:rPr>
          <w:rFonts w:ascii="Arial" w:hAnsi="Arial" w:cs="Arial"/>
          <w:sz w:val="24"/>
          <w:szCs w:val="24"/>
        </w:rPr>
        <w:t xml:space="preserve"> they can</w:t>
      </w:r>
      <w:r w:rsidR="00C5477D" w:rsidRPr="003625BA">
        <w:rPr>
          <w:rFonts w:ascii="Arial" w:hAnsi="Arial" w:cs="Arial"/>
          <w:sz w:val="24"/>
          <w:szCs w:val="24"/>
        </w:rPr>
        <w:t xml:space="preserve"> conduct an external review or a social audit exercise to assess the effectiveness and efficiency of government programs</w:t>
      </w:r>
      <w:r w:rsidR="00286275">
        <w:rPr>
          <w:rFonts w:ascii="Arial" w:hAnsi="Arial" w:cs="Arial"/>
          <w:sz w:val="24"/>
          <w:szCs w:val="24"/>
        </w:rPr>
        <w:t>.</w:t>
      </w:r>
      <w:r w:rsidR="00286275">
        <w:rPr>
          <w:rFonts w:ascii="Arial" w:eastAsia="Arial" w:hAnsi="Arial" w:cs="Arial"/>
          <w:sz w:val="24"/>
          <w:szCs w:val="24"/>
        </w:rPr>
        <w:t xml:space="preserve"> </w:t>
      </w:r>
    </w:p>
    <w:p w14:paraId="16C6EF56" w14:textId="479625F5" w:rsidR="00FB290E" w:rsidRPr="00BA59CB" w:rsidRDefault="00286275" w:rsidP="00BA59CB">
      <w:pPr>
        <w:spacing w:line="276" w:lineRule="auto"/>
        <w:jc w:val="both"/>
        <w:rPr>
          <w:rFonts w:ascii="Arial" w:hAnsi="Arial" w:cs="Arial"/>
          <w:sz w:val="24"/>
          <w:szCs w:val="24"/>
          <w:lang w:val="en-ZA"/>
        </w:rPr>
      </w:pPr>
      <w:r>
        <w:rPr>
          <w:rFonts w:ascii="Arial" w:eastAsia="Arial" w:hAnsi="Arial" w:cs="Arial"/>
          <w:sz w:val="24"/>
          <w:szCs w:val="24"/>
        </w:rPr>
        <w:t>An example of th</w:t>
      </w:r>
      <w:r w:rsidR="00D42939">
        <w:rPr>
          <w:rFonts w:ascii="Arial" w:eastAsia="Arial" w:hAnsi="Arial" w:cs="Arial"/>
          <w:sz w:val="24"/>
          <w:szCs w:val="24"/>
        </w:rPr>
        <w:t>is</w:t>
      </w:r>
      <w:r>
        <w:rPr>
          <w:rFonts w:ascii="Arial" w:eastAsia="Arial" w:hAnsi="Arial" w:cs="Arial"/>
          <w:sz w:val="24"/>
          <w:szCs w:val="24"/>
        </w:rPr>
        <w:t xml:space="preserve"> emanates from </w:t>
      </w:r>
      <w:hyperlink r:id="rId495" w:history="1">
        <w:proofErr w:type="spellStart"/>
        <w:r w:rsidRPr="003625BA">
          <w:rPr>
            <w:rStyle w:val="Hyperlink"/>
            <w:rFonts w:ascii="Arial" w:eastAsia="Arial" w:hAnsi="Arial" w:cs="Arial"/>
            <w:bCs/>
            <w:sz w:val="24"/>
            <w:szCs w:val="24"/>
          </w:rPr>
          <w:t>Andra</w:t>
        </w:r>
        <w:proofErr w:type="spellEnd"/>
        <w:r w:rsidRPr="003625BA">
          <w:rPr>
            <w:rStyle w:val="Hyperlink"/>
            <w:rFonts w:ascii="Arial" w:eastAsia="Arial" w:hAnsi="Arial" w:cs="Arial"/>
            <w:bCs/>
            <w:sz w:val="24"/>
            <w:szCs w:val="24"/>
          </w:rPr>
          <w:t xml:space="preserve"> Pradesh, India</w:t>
        </w:r>
      </w:hyperlink>
      <w:r w:rsidR="00D42939">
        <w:rPr>
          <w:rFonts w:ascii="Arial" w:eastAsia="Arial" w:hAnsi="Arial" w:cs="Arial"/>
          <w:sz w:val="24"/>
          <w:szCs w:val="24"/>
        </w:rPr>
        <w:t xml:space="preserve">, </w:t>
      </w:r>
      <w:r w:rsidR="00D42939" w:rsidRPr="003625BA">
        <w:rPr>
          <w:rFonts w:ascii="Arial" w:hAnsi="Arial" w:cs="Arial"/>
          <w:sz w:val="24"/>
          <w:szCs w:val="24"/>
        </w:rPr>
        <w:t xml:space="preserve">where the Ministry of Rural Development initiated the engagement of non-government actors in the audit process on the Mahatma Gandhi National Rural Employment Guarantee, an employment guarantee program targeting the poorer sections of society. </w:t>
      </w:r>
      <w:r w:rsidR="008B78AE" w:rsidRPr="003413B3">
        <w:rPr>
          <w:rFonts w:ascii="Arial" w:hAnsi="Arial" w:cs="Arial"/>
          <w:sz w:val="24"/>
          <w:szCs w:val="24"/>
        </w:rPr>
        <w:t xml:space="preserve">A </w:t>
      </w:r>
      <w:hyperlink r:id="rId496" w:history="1">
        <w:r w:rsidR="00C5477D" w:rsidRPr="00655472">
          <w:rPr>
            <w:rStyle w:val="Hyperlink"/>
            <w:rFonts w:ascii="Arial" w:hAnsi="Arial" w:cs="Arial"/>
            <w:sz w:val="24"/>
            <w:szCs w:val="24"/>
          </w:rPr>
          <w:t>study</w:t>
        </w:r>
      </w:hyperlink>
      <w:r w:rsidR="00D42939" w:rsidRPr="009C36A7">
        <w:rPr>
          <w:rStyle w:val="FootnoteReference"/>
          <w:rFonts w:ascii="Arial" w:eastAsia="Arial" w:hAnsi="Arial" w:cs="Arial"/>
          <w:sz w:val="24"/>
          <w:szCs w:val="24"/>
        </w:rPr>
        <w:footnoteReference w:id="31"/>
      </w:r>
      <w:r w:rsidR="00C5477D" w:rsidRPr="003625BA">
        <w:rPr>
          <w:rFonts w:ascii="Arial" w:eastAsia="Arial" w:hAnsi="Arial" w:cs="Arial"/>
          <w:sz w:val="24"/>
          <w:szCs w:val="24"/>
        </w:rPr>
        <w:t xml:space="preserve"> </w:t>
      </w:r>
      <w:r w:rsidR="008B78AE" w:rsidRPr="003625BA">
        <w:rPr>
          <w:rFonts w:ascii="Arial" w:hAnsi="Arial" w:cs="Arial"/>
          <w:sz w:val="24"/>
          <w:szCs w:val="24"/>
        </w:rPr>
        <w:t xml:space="preserve">in this regard found that these repeated social audits led to an increase in beneficiary awareness of entitlements. Given the low cost of conducting these audits it was found to provide a </w:t>
      </w:r>
      <w:proofErr w:type="gramStart"/>
      <w:r w:rsidR="008B78AE" w:rsidRPr="003625BA">
        <w:rPr>
          <w:rFonts w:ascii="Arial" w:hAnsi="Arial" w:cs="Arial"/>
          <w:sz w:val="24"/>
          <w:szCs w:val="24"/>
        </w:rPr>
        <w:t>cost effective</w:t>
      </w:r>
      <w:proofErr w:type="gramEnd"/>
      <w:r w:rsidR="008B78AE" w:rsidRPr="003625BA">
        <w:rPr>
          <w:rFonts w:ascii="Arial" w:hAnsi="Arial" w:cs="Arial"/>
          <w:sz w:val="24"/>
          <w:szCs w:val="24"/>
        </w:rPr>
        <w:t xml:space="preserve"> mechanism to improve delivery through community monitoring.</w:t>
      </w:r>
      <w:r w:rsidR="008B78AE">
        <w:rPr>
          <w:rFonts w:ascii="Arial" w:eastAsia="Arial" w:hAnsi="Arial" w:cs="Arial"/>
          <w:lang w:val="en-US"/>
        </w:rPr>
        <w:t xml:space="preserve"> </w:t>
      </w:r>
    </w:p>
    <w:p w14:paraId="11512783" w14:textId="1BF98C9F" w:rsidR="00D97BAA" w:rsidRDefault="00BA59CB" w:rsidP="00330914">
      <w:pPr>
        <w:rPr>
          <w:lang w:val="en-US"/>
        </w:rPr>
      </w:pPr>
      <w:r w:rsidRPr="00470ECC">
        <w:tab/>
      </w:r>
      <w:bookmarkStart w:id="1060" w:name="_Toc123204456"/>
      <w:bookmarkStart w:id="1061" w:name="_Toc123216548"/>
      <w:bookmarkStart w:id="1062" w:name="_Toc123217388"/>
      <w:bookmarkStart w:id="1063" w:name="_Toc123913357"/>
      <w:bookmarkStart w:id="1064" w:name="_Toc123914013"/>
      <w:bookmarkStart w:id="1065" w:name="_Toc125566633"/>
      <w:r w:rsidR="005A5821">
        <w:rPr>
          <w:noProof/>
          <w:lang w:val="en-US"/>
        </w:rPr>
        <mc:AlternateContent>
          <mc:Choice Requires="wps">
            <w:drawing>
              <wp:anchor distT="0" distB="0" distL="114300" distR="114300" simplePos="0" relativeHeight="252428286" behindDoc="0" locked="0" layoutInCell="1" allowOverlap="1" wp14:anchorId="2375BE05" wp14:editId="09E09D92">
                <wp:simplePos x="0" y="0"/>
                <wp:positionH relativeFrom="column">
                  <wp:posOffset>819785</wp:posOffset>
                </wp:positionH>
                <wp:positionV relativeFrom="paragraph">
                  <wp:posOffset>167005</wp:posOffset>
                </wp:positionV>
                <wp:extent cx="4872990" cy="323215"/>
                <wp:effectExtent l="0" t="0" r="0" b="0"/>
                <wp:wrapNone/>
                <wp:docPr id="506" name="Text Box 506"/>
                <wp:cNvGraphicFramePr/>
                <a:graphic xmlns:a="http://schemas.openxmlformats.org/drawingml/2006/main">
                  <a:graphicData uri="http://schemas.microsoft.com/office/word/2010/wordprocessingShape">
                    <wps:wsp>
                      <wps:cNvSpPr txBox="1"/>
                      <wps:spPr>
                        <a:xfrm>
                          <a:off x="0" y="0"/>
                          <a:ext cx="4872990" cy="323215"/>
                        </a:xfrm>
                        <a:prstGeom prst="rect">
                          <a:avLst/>
                        </a:prstGeom>
                        <a:noFill/>
                        <a:ln w="6350">
                          <a:noFill/>
                        </a:ln>
                      </wps:spPr>
                      <wps:txbx>
                        <w:txbxContent>
                          <w:p w14:paraId="5551D10F" w14:textId="77777777" w:rsidR="00D15FD8" w:rsidRPr="00D97BAA" w:rsidRDefault="00D15FD8" w:rsidP="00D97BAA">
                            <w:pPr>
                              <w:spacing w:line="276" w:lineRule="auto"/>
                              <w:jc w:val="both"/>
                              <w:rPr>
                                <w:rFonts w:ascii="Arial" w:hAnsi="Arial" w:cs="Arial"/>
                                <w:b/>
                                <w:bCs/>
                                <w:color w:val="FFFFFF" w:themeColor="background1"/>
                                <w:sz w:val="24"/>
                                <w:szCs w:val="24"/>
                              </w:rPr>
                            </w:pPr>
                            <w:r w:rsidRPr="00D97BAA">
                              <w:rPr>
                                <w:rFonts w:ascii="Arial" w:hAnsi="Arial" w:cs="Arial"/>
                                <w:b/>
                                <w:bCs/>
                                <w:color w:val="FFFFFF" w:themeColor="background1"/>
                                <w:sz w:val="24"/>
                                <w:szCs w:val="24"/>
                                <w:lang w:val="en-US"/>
                              </w:rPr>
                              <w:t>Key points of public participation include, participation</w:t>
                            </w:r>
                            <w:r w:rsidRPr="00D97BAA">
                              <w:rPr>
                                <w:rFonts w:ascii="Arial" w:hAnsi="Arial" w:cs="Arial"/>
                                <w:b/>
                                <w:bCs/>
                                <w:color w:val="FFFFFF" w:themeColor="background1"/>
                                <w:sz w:val="24"/>
                                <w:szCs w:val="24"/>
                              </w:rPr>
                              <w:t>:</w:t>
                            </w:r>
                          </w:p>
                          <w:p w14:paraId="76CD4C82" w14:textId="77777777" w:rsidR="00D15FD8" w:rsidRPr="00D97BAA" w:rsidRDefault="00D15FD8">
                            <w:pPr>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75BE05" id="Text Box 506" o:spid="_x0000_s1289" type="#_x0000_t202" style="position:absolute;margin-left:64.55pt;margin-top:13.15pt;width:383.7pt;height:25.45pt;z-index:2524282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" filled="f" stroked="f" strokeweight=".5pt">
                <v:textbox>
                  <w:txbxContent>
                    <w:p w14:paraId="5551D10F" w14:textId="77777777" w:rsidR="00D15FD8" w:rsidRPr="00D97BAA" w:rsidRDefault="00D15FD8" w:rsidP="00D97BAA">
                      <w:pPr>
                        <w:spacing w:line="276" w:lineRule="auto"/>
                        <w:jc w:val="both"/>
                        <w:rPr>
                          <w:rFonts w:ascii="Arial" w:hAnsi="Arial" w:cs="Arial"/>
                          <w:b/>
                          <w:bCs/>
                          <w:color w:val="FFFFFF" w:themeColor="background1"/>
                          <w:sz w:val="24"/>
                          <w:szCs w:val="24"/>
                        </w:rPr>
                      </w:pPr>
                      <w:r w:rsidRPr="00D97BAA">
                        <w:rPr>
                          <w:rFonts w:ascii="Arial" w:hAnsi="Arial" w:cs="Arial"/>
                          <w:b/>
                          <w:bCs/>
                          <w:color w:val="FFFFFF" w:themeColor="background1"/>
                          <w:sz w:val="24"/>
                          <w:szCs w:val="24"/>
                          <w:lang w:val="en-US"/>
                        </w:rPr>
                        <w:t>Key points of public participation include, participation</w:t>
                      </w:r>
                      <w:r w:rsidRPr="00D97BAA">
                        <w:rPr>
                          <w:rFonts w:ascii="Arial" w:hAnsi="Arial" w:cs="Arial"/>
                          <w:b/>
                          <w:bCs/>
                          <w:color w:val="FFFFFF" w:themeColor="background1"/>
                          <w:sz w:val="24"/>
                          <w:szCs w:val="24"/>
                        </w:rPr>
                        <w:t>:</w:t>
                      </w:r>
                    </w:p>
                    <w:p w14:paraId="76CD4C82" w14:textId="77777777" w:rsidR="00D15FD8" w:rsidRPr="00D97BAA" w:rsidRDefault="00D15FD8">
                      <w:pPr>
                        <w:rPr>
                          <w:b/>
                          <w:bCs/>
                          <w:color w:val="FFFFFF" w:themeColor="background1"/>
                        </w:rPr>
                      </w:pPr>
                    </w:p>
                  </w:txbxContent>
                </v:textbox>
              </v:shape>
            </w:pict>
          </mc:Fallback>
        </mc:AlternateContent>
      </w:r>
      <w:r w:rsidR="005A5821">
        <w:rPr>
          <w:noProof/>
          <w:lang w:val="en-US"/>
        </w:rPr>
        <mc:AlternateContent>
          <mc:Choice Requires="wps">
            <w:drawing>
              <wp:anchor distT="0" distB="0" distL="114300" distR="114300" simplePos="0" relativeHeight="252427262" behindDoc="0" locked="0" layoutInCell="1" allowOverlap="1" wp14:anchorId="4DB6840B" wp14:editId="658C87F2">
                <wp:simplePos x="0" y="0"/>
                <wp:positionH relativeFrom="column">
                  <wp:posOffset>646430</wp:posOffset>
                </wp:positionH>
                <wp:positionV relativeFrom="paragraph">
                  <wp:posOffset>97155</wp:posOffset>
                </wp:positionV>
                <wp:extent cx="6054725" cy="379095"/>
                <wp:effectExtent l="0" t="0" r="3175" b="1905"/>
                <wp:wrapNone/>
                <wp:docPr id="505" name="Rounded Rectangle 505"/>
                <wp:cNvGraphicFramePr/>
                <a:graphic xmlns:a="http://schemas.openxmlformats.org/drawingml/2006/main">
                  <a:graphicData uri="http://schemas.microsoft.com/office/word/2010/wordprocessingShape">
                    <wps:wsp>
                      <wps:cNvSpPr/>
                      <wps:spPr>
                        <a:xfrm>
                          <a:off x="0" y="0"/>
                          <a:ext cx="6054725" cy="379095"/>
                        </a:xfrm>
                        <a:prstGeom prst="round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3956A383" id="Rounded Rectangle 505" o:spid="_x0000_s1026" style="position:absolute;margin-left:50.9pt;margin-top:7.65pt;width:476.75pt;height:29.85pt;z-index:252427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" fillcolor="#69557f" stroked="f" strokeweight="1pt">
                <v:stroke joinstyle="miter"/>
              </v:roundrect>
            </w:pict>
          </mc:Fallback>
        </mc:AlternateContent>
      </w:r>
      <w:r w:rsidR="005A5821">
        <w:rPr>
          <w:noProof/>
          <w:lang w:val="en-US"/>
        </w:rPr>
        <w:drawing>
          <wp:anchor distT="0" distB="0" distL="114300" distR="114300" simplePos="0" relativeHeight="252426238" behindDoc="1" locked="0" layoutInCell="1" allowOverlap="1" wp14:anchorId="1132CDD1" wp14:editId="5BF08500">
            <wp:simplePos x="0" y="0"/>
            <wp:positionH relativeFrom="column">
              <wp:posOffset>0</wp:posOffset>
            </wp:positionH>
            <wp:positionV relativeFrom="paragraph">
              <wp:posOffset>155575</wp:posOffset>
            </wp:positionV>
            <wp:extent cx="512445" cy="245110"/>
            <wp:effectExtent l="0" t="0" r="0" b="0"/>
            <wp:wrapTight wrapText="bothSides">
              <wp:wrapPolygon edited="0">
                <wp:start x="2141" y="0"/>
                <wp:lineTo x="0" y="4477"/>
                <wp:lineTo x="0" y="13430"/>
                <wp:lineTo x="3212" y="20145"/>
                <wp:lineTo x="20877" y="20145"/>
                <wp:lineTo x="20877" y="6715"/>
                <wp:lineTo x="19271" y="4477"/>
                <wp:lineTo x="7494" y="0"/>
                <wp:lineTo x="2141" y="0"/>
              </wp:wrapPolygon>
            </wp:wrapTight>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rotWithShape="1">
                    <a:blip r:embed="rId497" cstate="email">
                      <a:extLst>
                        <a:ext uri="{28A0092B-C50C-407E-A947-70E740481C1C}">
                          <a14:useLocalDpi xmlns:a14="http://schemas.microsoft.com/office/drawing/2010/main"/>
                        </a:ext>
                      </a:extLst>
                    </a:blip>
                    <a:srcRect/>
                    <a:stretch/>
                  </pic:blipFill>
                  <pic:spPr bwMode="auto">
                    <a:xfrm>
                      <a:off x="0" y="0"/>
                      <a:ext cx="512445" cy="245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60"/>
      <w:bookmarkEnd w:id="1061"/>
      <w:bookmarkEnd w:id="1062"/>
      <w:bookmarkEnd w:id="1063"/>
      <w:bookmarkEnd w:id="1064"/>
      <w:bookmarkEnd w:id="1065"/>
    </w:p>
    <w:p w14:paraId="5D9B8199" w14:textId="0251A1DC" w:rsidR="00D97BAA" w:rsidRDefault="00D97BAA" w:rsidP="00FA6802">
      <w:pPr>
        <w:spacing w:line="276" w:lineRule="auto"/>
        <w:jc w:val="both"/>
        <w:rPr>
          <w:rFonts w:ascii="Arial" w:hAnsi="Arial" w:cs="Arial"/>
          <w:sz w:val="24"/>
          <w:szCs w:val="24"/>
          <w:lang w:val="en-US"/>
        </w:rPr>
      </w:pPr>
    </w:p>
    <w:p w14:paraId="0EA4BCAA" w14:textId="340E31C0" w:rsidR="00D97BAA" w:rsidRDefault="00D97BAA" w:rsidP="00FA6802">
      <w:pPr>
        <w:spacing w:line="276" w:lineRule="auto"/>
        <w:jc w:val="both"/>
        <w:rPr>
          <w:rFonts w:ascii="Arial" w:hAnsi="Arial" w:cs="Arial"/>
          <w:sz w:val="24"/>
          <w:szCs w:val="24"/>
          <w:lang w:val="en-US"/>
        </w:rPr>
      </w:pPr>
    </w:p>
    <w:p w14:paraId="3D0C648D" w14:textId="77777777" w:rsidR="00FA6802" w:rsidRPr="00FA6802" w:rsidRDefault="00FA6802" w:rsidP="00FA6802">
      <w:pPr>
        <w:numPr>
          <w:ilvl w:val="0"/>
          <w:numId w:val="43"/>
        </w:numPr>
        <w:spacing w:line="276" w:lineRule="auto"/>
        <w:jc w:val="both"/>
        <w:rPr>
          <w:rFonts w:ascii="Arial" w:hAnsi="Arial" w:cs="Arial"/>
          <w:sz w:val="24"/>
          <w:szCs w:val="24"/>
        </w:rPr>
      </w:pPr>
      <w:r w:rsidRPr="00FA6802">
        <w:rPr>
          <w:rFonts w:ascii="Arial" w:hAnsi="Arial" w:cs="Arial"/>
          <w:sz w:val="24"/>
          <w:szCs w:val="24"/>
        </w:rPr>
        <w:t xml:space="preserve">Across the annual budget cycle, that is from the executive developing the fiscal strategy, annual budget and tabling it in the legislature; to the legislature adopting it; it being implemented and reported on by the executive; to this implementation being monitored, reviewed and audited by oversight institutions and other actors. </w:t>
      </w:r>
    </w:p>
    <w:p w14:paraId="1F7A3A62" w14:textId="77777777" w:rsidR="00FA6802" w:rsidRPr="00FA6802" w:rsidRDefault="00FA6802" w:rsidP="00FA6802">
      <w:pPr>
        <w:numPr>
          <w:ilvl w:val="0"/>
          <w:numId w:val="43"/>
        </w:numPr>
        <w:spacing w:line="276" w:lineRule="auto"/>
        <w:jc w:val="both"/>
        <w:rPr>
          <w:rFonts w:ascii="Arial" w:hAnsi="Arial" w:cs="Arial"/>
          <w:sz w:val="24"/>
          <w:szCs w:val="24"/>
        </w:rPr>
      </w:pPr>
      <w:r w:rsidRPr="00FA6802">
        <w:rPr>
          <w:rFonts w:ascii="Arial" w:hAnsi="Arial" w:cs="Arial"/>
          <w:sz w:val="24"/>
          <w:szCs w:val="24"/>
        </w:rPr>
        <w:lastRenderedPageBreak/>
        <w:t xml:space="preserve">In revenue, expenditure, financing, and assets and liability policy initiatives and reviews that may take place over a longer time frame than the annual budget cycle. </w:t>
      </w:r>
    </w:p>
    <w:p w14:paraId="2F1E8E2E" w14:textId="77777777" w:rsidR="00FA6802" w:rsidRPr="00FA6802" w:rsidRDefault="00FA6802" w:rsidP="00FA6802">
      <w:pPr>
        <w:numPr>
          <w:ilvl w:val="0"/>
          <w:numId w:val="43"/>
        </w:numPr>
        <w:spacing w:line="276" w:lineRule="auto"/>
        <w:jc w:val="both"/>
        <w:rPr>
          <w:rFonts w:ascii="Arial" w:hAnsi="Arial" w:cs="Arial"/>
          <w:sz w:val="24"/>
          <w:szCs w:val="24"/>
        </w:rPr>
      </w:pPr>
      <w:r w:rsidRPr="00FA6802">
        <w:rPr>
          <w:rFonts w:ascii="Arial" w:hAnsi="Arial" w:cs="Arial"/>
          <w:sz w:val="24"/>
          <w:szCs w:val="24"/>
        </w:rPr>
        <w:t xml:space="preserve">In the design, production and delivery of public goods and services. </w:t>
      </w:r>
    </w:p>
    <w:p w14:paraId="4241469D" w14:textId="77777777" w:rsidR="00FA6802" w:rsidRPr="00FA6802" w:rsidRDefault="00FA6802" w:rsidP="00FA6802">
      <w:pPr>
        <w:numPr>
          <w:ilvl w:val="0"/>
          <w:numId w:val="43"/>
        </w:numPr>
        <w:spacing w:line="276" w:lineRule="auto"/>
        <w:jc w:val="both"/>
        <w:rPr>
          <w:rFonts w:ascii="Arial" w:hAnsi="Arial" w:cs="Arial"/>
          <w:sz w:val="24"/>
          <w:szCs w:val="24"/>
        </w:rPr>
      </w:pPr>
      <w:r w:rsidRPr="00FA6802">
        <w:rPr>
          <w:rFonts w:ascii="Arial" w:hAnsi="Arial" w:cs="Arial"/>
          <w:sz w:val="24"/>
          <w:szCs w:val="24"/>
        </w:rPr>
        <w:t xml:space="preserve">In the design and delivery of public investment projects. </w:t>
      </w:r>
    </w:p>
    <w:p w14:paraId="5D3ECEF3" w14:textId="0EA55709" w:rsidR="00FA6802" w:rsidRDefault="00FA6802" w:rsidP="00FA6802">
      <w:pPr>
        <w:numPr>
          <w:ilvl w:val="0"/>
          <w:numId w:val="43"/>
        </w:numPr>
        <w:spacing w:line="276" w:lineRule="auto"/>
        <w:jc w:val="both"/>
        <w:rPr>
          <w:rFonts w:ascii="Arial" w:hAnsi="Arial" w:cs="Arial"/>
          <w:sz w:val="24"/>
          <w:szCs w:val="24"/>
        </w:rPr>
      </w:pPr>
      <w:r w:rsidRPr="00FA6802">
        <w:rPr>
          <w:rFonts w:ascii="Arial" w:hAnsi="Arial" w:cs="Arial"/>
          <w:sz w:val="24"/>
          <w:szCs w:val="24"/>
        </w:rPr>
        <w:t>That covers both macro-fiscal policy – the main fiscal aggregates, the appropriate size of the deficit et cetera as well as more micro issues of tax design and administration, and the allocation and effectiveness of spending.</w:t>
      </w:r>
    </w:p>
    <w:p w14:paraId="2779D70F" w14:textId="77777777" w:rsidR="004978C2" w:rsidRPr="00FA6802" w:rsidRDefault="004978C2" w:rsidP="003625BA">
      <w:pPr>
        <w:spacing w:line="276" w:lineRule="auto"/>
        <w:jc w:val="both"/>
        <w:rPr>
          <w:rFonts w:ascii="Arial" w:hAnsi="Arial" w:cs="Arial"/>
          <w:sz w:val="24"/>
          <w:szCs w:val="24"/>
        </w:rPr>
      </w:pPr>
    </w:p>
    <w:p w14:paraId="4523EF6F" w14:textId="16C53CDD" w:rsidR="00D97BAA" w:rsidRDefault="00D97BAA">
      <w:pPr>
        <w:pStyle w:val="Heading2"/>
        <w:numPr>
          <w:ilvl w:val="1"/>
          <w:numId w:val="47"/>
        </w:numPr>
        <w:rPr>
          <w:rFonts w:ascii="Arial" w:hAnsi="Arial" w:cs="Arial"/>
          <w:b/>
          <w:bCs/>
          <w:color w:val="69557F"/>
          <w:sz w:val="36"/>
          <w:szCs w:val="36"/>
        </w:rPr>
      </w:pPr>
      <w:bookmarkStart w:id="1066" w:name="_Toc119794469"/>
      <w:bookmarkStart w:id="1067" w:name="_Toc123204457"/>
      <w:bookmarkStart w:id="1068" w:name="_Toc123216549"/>
      <w:bookmarkStart w:id="1069" w:name="_Toc123217389"/>
      <w:bookmarkStart w:id="1070" w:name="_Toc123913358"/>
      <w:bookmarkStart w:id="1071" w:name="_Toc123914014"/>
      <w:bookmarkStart w:id="1072" w:name="_Toc125566634"/>
      <w:r>
        <w:rPr>
          <w:rFonts w:ascii="Arial" w:hAnsi="Arial" w:cs="Arial"/>
          <w:b/>
          <w:bCs/>
          <w:color w:val="69557F"/>
          <w:sz w:val="36"/>
          <w:szCs w:val="36"/>
        </w:rPr>
        <w:t xml:space="preserve">Norms and </w:t>
      </w:r>
      <w:r w:rsidR="00D75303">
        <w:rPr>
          <w:rFonts w:ascii="Arial" w:hAnsi="Arial" w:cs="Arial"/>
          <w:b/>
          <w:bCs/>
          <w:color w:val="69557F"/>
          <w:sz w:val="36"/>
          <w:szCs w:val="36"/>
        </w:rPr>
        <w:t>s</w:t>
      </w:r>
      <w:r>
        <w:rPr>
          <w:rFonts w:ascii="Arial" w:hAnsi="Arial" w:cs="Arial"/>
          <w:b/>
          <w:bCs/>
          <w:color w:val="69557F"/>
          <w:sz w:val="36"/>
          <w:szCs w:val="36"/>
        </w:rPr>
        <w:t xml:space="preserve">tandards on </w:t>
      </w:r>
      <w:r w:rsidR="00D75303">
        <w:rPr>
          <w:rFonts w:ascii="Arial" w:hAnsi="Arial" w:cs="Arial"/>
          <w:b/>
          <w:bCs/>
          <w:color w:val="69557F"/>
          <w:sz w:val="36"/>
          <w:szCs w:val="36"/>
        </w:rPr>
        <w:t>p</w:t>
      </w:r>
      <w:r>
        <w:rPr>
          <w:rFonts w:ascii="Arial" w:hAnsi="Arial" w:cs="Arial"/>
          <w:b/>
          <w:bCs/>
          <w:color w:val="69557F"/>
          <w:sz w:val="36"/>
          <w:szCs w:val="36"/>
        </w:rPr>
        <w:t xml:space="preserve">ublic </w:t>
      </w:r>
      <w:r w:rsidR="00D75303">
        <w:rPr>
          <w:rFonts w:ascii="Arial" w:hAnsi="Arial" w:cs="Arial"/>
          <w:b/>
          <w:bCs/>
          <w:color w:val="69557F"/>
          <w:sz w:val="36"/>
          <w:szCs w:val="36"/>
        </w:rPr>
        <w:t>p</w:t>
      </w:r>
      <w:r>
        <w:rPr>
          <w:rFonts w:ascii="Arial" w:hAnsi="Arial" w:cs="Arial"/>
          <w:b/>
          <w:bCs/>
          <w:color w:val="69557F"/>
          <w:sz w:val="36"/>
          <w:szCs w:val="36"/>
        </w:rPr>
        <w:t>articipation</w:t>
      </w:r>
      <w:bookmarkEnd w:id="1066"/>
      <w:bookmarkEnd w:id="1067"/>
      <w:bookmarkEnd w:id="1068"/>
      <w:bookmarkEnd w:id="1069"/>
      <w:bookmarkEnd w:id="1070"/>
      <w:bookmarkEnd w:id="1071"/>
      <w:bookmarkEnd w:id="1072"/>
      <w:r>
        <w:rPr>
          <w:rFonts w:ascii="Arial" w:hAnsi="Arial" w:cs="Arial"/>
          <w:b/>
          <w:bCs/>
          <w:color w:val="69557F"/>
          <w:sz w:val="36"/>
          <w:szCs w:val="36"/>
        </w:rPr>
        <w:t xml:space="preserve"> </w:t>
      </w:r>
    </w:p>
    <w:p w14:paraId="2045913C" w14:textId="77777777" w:rsidR="005A5821" w:rsidRPr="005A5821" w:rsidRDefault="005A5821" w:rsidP="005A5821"/>
    <w:p w14:paraId="7D5CDE73" w14:textId="6B8AFDBC" w:rsidR="00D97BAA" w:rsidRPr="00D97BAA" w:rsidRDefault="003F5DCC" w:rsidP="00D97BAA">
      <w:pPr>
        <w:spacing w:before="240" w:after="240"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434430" behindDoc="0" locked="0" layoutInCell="1" allowOverlap="1" wp14:anchorId="41B96ADD" wp14:editId="3384A0AE">
            <wp:simplePos x="0" y="0"/>
            <wp:positionH relativeFrom="column">
              <wp:posOffset>0</wp:posOffset>
            </wp:positionH>
            <wp:positionV relativeFrom="paragraph">
              <wp:posOffset>153670</wp:posOffset>
            </wp:positionV>
            <wp:extent cx="1170305" cy="1170305"/>
            <wp:effectExtent l="25400" t="25400" r="86995" b="86995"/>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498" cstate="email">
                      <a:extLst>
                        <a:ext uri="{28A0092B-C50C-407E-A947-70E740481C1C}">
                          <a14:useLocalDpi xmlns:a14="http://schemas.microsoft.com/office/drawing/2010/main"/>
                        </a:ext>
                      </a:extLst>
                    </a:blip>
                    <a:stretch>
                      <a:fillRect/>
                    </a:stretch>
                  </pic:blipFill>
                  <pic:spPr>
                    <a:xfrm>
                      <a:off x="0" y="0"/>
                      <a:ext cx="1170305" cy="117030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97BAA" w:rsidRPr="00D97BAA">
        <w:rPr>
          <w:rFonts w:ascii="Arial" w:hAnsi="Arial" w:cs="Arial"/>
          <w:sz w:val="24"/>
          <w:szCs w:val="24"/>
        </w:rPr>
        <w:t>The</w:t>
      </w:r>
      <w:r w:rsidR="00D97BAA" w:rsidRPr="00D97BAA">
        <w:rPr>
          <w:rFonts w:ascii="Arial" w:hAnsi="Arial" w:cs="Arial"/>
          <w:b/>
          <w:color w:val="ED7D31" w:themeColor="accent2"/>
          <w:sz w:val="24"/>
          <w:szCs w:val="24"/>
        </w:rPr>
        <w:t xml:space="preserve"> </w:t>
      </w:r>
      <w:hyperlink r:id="rId499" w:history="1">
        <w:r w:rsidR="00D97BAA" w:rsidRPr="00D97BAA">
          <w:rPr>
            <w:rFonts w:ascii="Arial" w:hAnsi="Arial" w:cs="Arial"/>
            <w:color w:val="0563C1" w:themeColor="hyperlink"/>
            <w:sz w:val="24"/>
            <w:szCs w:val="24"/>
            <w:u w:val="single"/>
          </w:rPr>
          <w:t>Open Government Partnership</w:t>
        </w:r>
      </w:hyperlink>
      <w:r w:rsidR="00D97BAA" w:rsidRPr="00D97BAA">
        <w:rPr>
          <w:rFonts w:ascii="Arial" w:hAnsi="Arial" w:cs="Arial"/>
          <w:sz w:val="24"/>
          <w:szCs w:val="24"/>
        </w:rPr>
        <w:t xml:space="preserve"> (OGP) in its 2011</w:t>
      </w:r>
      <w:r w:rsidR="00D97BAA" w:rsidRPr="00D97BAA">
        <w:rPr>
          <w:rFonts w:ascii="Arial" w:hAnsi="Arial" w:cs="Arial"/>
          <w:b/>
          <w:color w:val="ED7D31" w:themeColor="accent2"/>
          <w:sz w:val="24"/>
          <w:szCs w:val="24"/>
        </w:rPr>
        <w:t xml:space="preserve"> </w:t>
      </w:r>
      <w:hyperlink r:id="rId500" w:history="1">
        <w:r w:rsidR="00D97BAA" w:rsidRPr="00D7279F">
          <w:rPr>
            <w:rFonts w:ascii="Arial" w:hAnsi="Arial" w:cs="Arial"/>
            <w:color w:val="0563C1" w:themeColor="hyperlink"/>
            <w:sz w:val="24"/>
            <w:szCs w:val="24"/>
            <w:u w:val="single"/>
          </w:rPr>
          <w:t>Open Government Declaration</w:t>
        </w:r>
      </w:hyperlink>
      <w:r w:rsidR="00D97BAA" w:rsidRPr="00D97BAA">
        <w:rPr>
          <w:rFonts w:ascii="Arial" w:hAnsi="Arial" w:cs="Arial"/>
          <w:sz w:val="24"/>
          <w:szCs w:val="24"/>
        </w:rPr>
        <w:t xml:space="preserve"> included a commitment to support civic participation, including making policy </w:t>
      </w:r>
      <w:r w:rsidR="009920C6">
        <w:rPr>
          <w:rFonts w:ascii="Arial" w:hAnsi="Arial" w:cs="Arial"/>
          <w:sz w:val="24"/>
          <w:szCs w:val="24"/>
        </w:rPr>
        <w:t>formulation</w:t>
      </w:r>
      <w:r w:rsidR="00D97BAA" w:rsidRPr="00D97BAA">
        <w:rPr>
          <w:rFonts w:ascii="Arial" w:hAnsi="Arial" w:cs="Arial"/>
          <w:sz w:val="24"/>
          <w:szCs w:val="24"/>
        </w:rPr>
        <w:t xml:space="preserve"> and decision making more transparent, creating and using channels (including new technologies) to solicit public feedback, and deepening public participation in developing, monitoring and evaluating government activities.</w:t>
      </w:r>
    </w:p>
    <w:p w14:paraId="6ECEE845" w14:textId="7FA87473" w:rsidR="00D97BAA" w:rsidRDefault="00D97BAA" w:rsidP="004978C2">
      <w:pPr>
        <w:spacing w:line="276" w:lineRule="auto"/>
        <w:jc w:val="both"/>
        <w:rPr>
          <w:rFonts w:ascii="Arial" w:hAnsi="Arial" w:cs="Arial"/>
          <w:sz w:val="24"/>
          <w:szCs w:val="24"/>
        </w:rPr>
      </w:pPr>
      <w:r w:rsidRPr="00D97BAA">
        <w:rPr>
          <w:rFonts w:ascii="Arial" w:hAnsi="Arial" w:cs="Arial"/>
          <w:sz w:val="24"/>
          <w:szCs w:val="24"/>
        </w:rPr>
        <w:t xml:space="preserve">A right to direct public participation in fiscal policy had however not been included in an international instrument on fiscal transparency prior to the promulgation of the </w:t>
      </w:r>
      <w:hyperlink r:id="rId501" w:history="1">
        <w:r w:rsidRPr="00D97BAA">
          <w:rPr>
            <w:rStyle w:val="Hyperlink"/>
            <w:rFonts w:ascii="Arial" w:hAnsi="Arial" w:cs="Arial"/>
            <w:sz w:val="24"/>
            <w:szCs w:val="24"/>
          </w:rPr>
          <w:t>GIFT High-Level Principles</w:t>
        </w:r>
      </w:hyperlink>
      <w:r w:rsidRPr="00D97BAA">
        <w:rPr>
          <w:rFonts w:ascii="Arial" w:hAnsi="Arial" w:cs="Arial"/>
          <w:sz w:val="24"/>
          <w:szCs w:val="24"/>
        </w:rPr>
        <w:t xml:space="preserve"> (2012).</w:t>
      </w:r>
      <w:r w:rsidR="00A33B49" w:rsidRPr="00A33B49">
        <w:rPr>
          <w:rFonts w:ascii="Arial" w:hAnsi="Arial" w:cs="Arial"/>
          <w:noProof/>
          <w:sz w:val="24"/>
          <w:szCs w:val="24"/>
        </w:rPr>
        <w:t xml:space="preserve"> </w:t>
      </w:r>
    </w:p>
    <w:p w14:paraId="484328E7" w14:textId="3F2023ED" w:rsidR="00A33B49" w:rsidRDefault="00A33B49" w:rsidP="00D97BAA">
      <w:pPr>
        <w:spacing w:line="276" w:lineRule="auto"/>
        <w:rPr>
          <w:rFonts w:ascii="Arial" w:hAnsi="Arial" w:cs="Arial"/>
          <w:sz w:val="24"/>
          <w:szCs w:val="24"/>
        </w:rPr>
      </w:pPr>
      <w:r w:rsidRPr="009E337A">
        <w:rPr>
          <w:rFonts w:ascii="Arial" w:hAnsi="Arial" w:cs="Arial"/>
          <w:b/>
          <w:bCs/>
          <w:noProof/>
          <w:color w:val="F26D24"/>
          <w:sz w:val="32"/>
          <w:szCs w:val="32"/>
          <w:lang w:val="en-US"/>
        </w:rPr>
        <w:drawing>
          <wp:anchor distT="0" distB="0" distL="114300" distR="114300" simplePos="0" relativeHeight="252430334" behindDoc="1" locked="0" layoutInCell="1" allowOverlap="1" wp14:anchorId="3D7D5BF2" wp14:editId="6FD65667">
            <wp:simplePos x="0" y="0"/>
            <wp:positionH relativeFrom="margin">
              <wp:posOffset>-85725</wp:posOffset>
            </wp:positionH>
            <wp:positionV relativeFrom="paragraph">
              <wp:posOffset>96164</wp:posOffset>
            </wp:positionV>
            <wp:extent cx="6816725" cy="1906270"/>
            <wp:effectExtent l="0" t="0" r="0" b="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502" cstate="email">
                      <a:extLst>
                        <a:ext uri="{28A0092B-C50C-407E-A947-70E740481C1C}">
                          <a14:useLocalDpi xmlns:a14="http://schemas.microsoft.com/office/drawing/2010/main"/>
                        </a:ext>
                      </a:extLst>
                    </a:blip>
                    <a:srcRect/>
                    <a:stretch/>
                  </pic:blipFill>
                  <pic:spPr bwMode="auto">
                    <a:xfrm>
                      <a:off x="0" y="0"/>
                      <a:ext cx="6816725" cy="190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F83445" w14:textId="65E28BF5" w:rsidR="00A33B49" w:rsidRDefault="00A33B49" w:rsidP="00D97BAA">
      <w:pPr>
        <w:spacing w:line="276" w:lineRule="auto"/>
        <w:rPr>
          <w:rFonts w:ascii="Arial" w:hAnsi="Arial" w:cs="Arial"/>
          <w:sz w:val="24"/>
          <w:szCs w:val="24"/>
        </w:rPr>
      </w:pPr>
    </w:p>
    <w:p w14:paraId="4D5EEA45" w14:textId="7C8861D9" w:rsidR="00D97BAA" w:rsidRDefault="00A33B49" w:rsidP="00D97BAA">
      <w:pPr>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433406" behindDoc="1" locked="0" layoutInCell="1" allowOverlap="1" wp14:anchorId="4E2ED11C" wp14:editId="50B8EC1B">
            <wp:simplePos x="0" y="0"/>
            <wp:positionH relativeFrom="column">
              <wp:posOffset>1334770</wp:posOffset>
            </wp:positionH>
            <wp:positionV relativeFrom="paragraph">
              <wp:posOffset>66954</wp:posOffset>
            </wp:positionV>
            <wp:extent cx="3261600" cy="652320"/>
            <wp:effectExtent l="0" t="0" r="0" b="0"/>
            <wp:wrapTight wrapText="bothSides">
              <wp:wrapPolygon edited="0">
                <wp:start x="1430" y="1683"/>
                <wp:lineTo x="336" y="7992"/>
                <wp:lineTo x="336" y="10095"/>
                <wp:lineTo x="673" y="15984"/>
                <wp:lineTo x="1430" y="18508"/>
                <wp:lineTo x="1514" y="19350"/>
                <wp:lineTo x="20692" y="19350"/>
                <wp:lineTo x="20776" y="18508"/>
                <wp:lineTo x="21112" y="15984"/>
                <wp:lineTo x="21364" y="2944"/>
                <wp:lineTo x="19682" y="2524"/>
                <wp:lineTo x="2860" y="1683"/>
                <wp:lineTo x="1430" y="1683"/>
              </wp:wrapPolygon>
            </wp:wrapTight>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482" cstate="email">
                      <a:extLst>
                        <a:ext uri="{28A0092B-C50C-407E-A947-70E740481C1C}">
                          <a14:useLocalDpi xmlns:a14="http://schemas.microsoft.com/office/drawing/2010/main"/>
                        </a:ext>
                      </a:extLst>
                    </a:blip>
                    <a:stretch>
                      <a:fillRect/>
                    </a:stretch>
                  </pic:blipFill>
                  <pic:spPr>
                    <a:xfrm>
                      <a:off x="0" y="0"/>
                      <a:ext cx="3261600" cy="652320"/>
                    </a:xfrm>
                    <a:prstGeom prst="rect">
                      <a:avLst/>
                    </a:prstGeom>
                  </pic:spPr>
                </pic:pic>
              </a:graphicData>
            </a:graphic>
            <wp14:sizeRelH relativeFrom="page">
              <wp14:pctWidth>0</wp14:pctWidth>
            </wp14:sizeRelH>
            <wp14:sizeRelV relativeFrom="page">
              <wp14:pctHeight>0</wp14:pctHeight>
            </wp14:sizeRelV>
          </wp:anchor>
        </w:drawing>
      </w:r>
    </w:p>
    <w:p w14:paraId="4C9C1919" w14:textId="77777777" w:rsidR="00D97BAA" w:rsidRPr="00D97BAA" w:rsidRDefault="00D97BAA" w:rsidP="00D97BAA">
      <w:pPr>
        <w:spacing w:line="276" w:lineRule="auto"/>
        <w:rPr>
          <w:rFonts w:ascii="Arial" w:hAnsi="Arial" w:cs="Arial"/>
          <w:sz w:val="24"/>
          <w:szCs w:val="24"/>
        </w:rPr>
      </w:pPr>
    </w:p>
    <w:p w14:paraId="7F01A67C" w14:textId="77777777" w:rsidR="00D97BAA" w:rsidRPr="00D97BAA" w:rsidRDefault="00D97BAA" w:rsidP="00D97BAA"/>
    <w:p w14:paraId="611A41F0" w14:textId="01C474AE" w:rsidR="00FA6802" w:rsidRDefault="00FA6802" w:rsidP="00FA6802">
      <w:pPr>
        <w:tabs>
          <w:tab w:val="left" w:pos="1054"/>
        </w:tabs>
        <w:rPr>
          <w:rFonts w:ascii="Arial" w:hAnsi="Arial" w:cs="Arial"/>
          <w:sz w:val="24"/>
          <w:szCs w:val="24"/>
        </w:rPr>
      </w:pPr>
    </w:p>
    <w:p w14:paraId="72AD7BB3" w14:textId="68BCDC86" w:rsidR="00542FAC" w:rsidRPr="00542FAC" w:rsidRDefault="00542FAC" w:rsidP="00542FAC">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31358" behindDoc="0" locked="0" layoutInCell="1" allowOverlap="1" wp14:anchorId="00B6A519" wp14:editId="77361F07">
                <wp:simplePos x="0" y="0"/>
                <wp:positionH relativeFrom="margin">
                  <wp:align>center</wp:align>
                </wp:positionH>
                <wp:positionV relativeFrom="paragraph">
                  <wp:posOffset>14249</wp:posOffset>
                </wp:positionV>
                <wp:extent cx="6366510" cy="735965"/>
                <wp:effectExtent l="0" t="0" r="0" b="0"/>
                <wp:wrapNone/>
                <wp:docPr id="507" name="Text Box 507"/>
                <wp:cNvGraphicFramePr/>
                <a:graphic xmlns:a="http://schemas.openxmlformats.org/drawingml/2006/main">
                  <a:graphicData uri="http://schemas.microsoft.com/office/word/2010/wordprocessingShape">
                    <wps:wsp>
                      <wps:cNvSpPr txBox="1"/>
                      <wps:spPr>
                        <a:xfrm>
                          <a:off x="0" y="0"/>
                          <a:ext cx="6366510" cy="735965"/>
                        </a:xfrm>
                        <a:prstGeom prst="rect">
                          <a:avLst/>
                        </a:prstGeom>
                        <a:noFill/>
                        <a:ln w="6350">
                          <a:noFill/>
                        </a:ln>
                      </wps:spPr>
                      <wps:txbx>
                        <w:txbxContent>
                          <w:p w14:paraId="19F9FA3C" w14:textId="6EE93F02" w:rsidR="00D15FD8" w:rsidRPr="009C5AE5" w:rsidRDefault="00D15FD8" w:rsidP="004978C2">
                            <w:pPr>
                              <w:spacing w:line="276" w:lineRule="auto"/>
                              <w:jc w:val="both"/>
                              <w:rPr>
                                <w:rFonts w:ascii="Arial" w:hAnsi="Arial" w:cs="Arial"/>
                                <w:iCs/>
                                <w:color w:val="FFFFFF" w:themeColor="background1"/>
                                <w:sz w:val="24"/>
                                <w:szCs w:val="24"/>
                              </w:rPr>
                            </w:pPr>
                            <w:r w:rsidRPr="00A33B49">
                              <w:rPr>
                                <w:rFonts w:ascii="Arial" w:eastAsia="Calibri" w:hAnsi="Arial" w:cs="Arial"/>
                                <w:iCs/>
                                <w:color w:val="FFFFFF" w:themeColor="background1"/>
                                <w:sz w:val="24"/>
                                <w:szCs w:val="24"/>
                              </w:rPr>
                              <w:t>Citizens should have the right and they, and all non-state actors, should have effective opportunities to participate directly in public debate and discussion over the design and implementation of fiscal policies.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B6A519" id="Text Box 507" o:spid="_x0000_s1290" type="#_x0000_t202" style="position:absolute;margin-left:0;margin-top:1.1pt;width:501.3pt;height:57.95pt;z-index:25243135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" filled="f" stroked="f" strokeweight=".5pt">
                <v:textbox>
                  <w:txbxContent>
                    <w:p w14:paraId="19F9FA3C" w14:textId="6EE93F02" w:rsidR="00D15FD8" w:rsidRPr="009C5AE5" w:rsidRDefault="00D15FD8" w:rsidP="004978C2">
                      <w:pPr>
                        <w:spacing w:line="276" w:lineRule="auto"/>
                        <w:jc w:val="both"/>
                        <w:rPr>
                          <w:rFonts w:ascii="Arial" w:hAnsi="Arial" w:cs="Arial"/>
                          <w:iCs/>
                          <w:color w:val="FFFFFF" w:themeColor="background1"/>
                          <w:sz w:val="24"/>
                          <w:szCs w:val="24"/>
                        </w:rPr>
                      </w:pPr>
                      <w:r w:rsidRPr="00A33B49">
                        <w:rPr>
                          <w:rFonts w:ascii="Arial" w:eastAsia="Calibri" w:hAnsi="Arial" w:cs="Arial"/>
                          <w:iCs/>
                          <w:color w:val="FFFFFF" w:themeColor="background1"/>
                          <w:sz w:val="24"/>
                          <w:szCs w:val="24"/>
                        </w:rPr>
                        <w:t>Citizens should have the right and they, and all non-state actors, should have effective opportunities to participate directly in public debate and discussion over the design and implementation of fiscal policies.</w:t>
                      </w:r>
                    </w:p>
                  </w:txbxContent>
                </v:textbox>
                <w10:wrap anchorx="margin"/>
              </v:shape>
            </w:pict>
          </mc:Fallback>
        </mc:AlternateContent>
      </w:r>
    </w:p>
    <w:p w14:paraId="5A4EBD49" w14:textId="19C09168" w:rsidR="00542FAC" w:rsidRPr="00542FAC" w:rsidRDefault="00542FAC" w:rsidP="00542FAC">
      <w:pPr>
        <w:rPr>
          <w:rFonts w:ascii="Arial" w:hAnsi="Arial" w:cs="Arial"/>
          <w:sz w:val="24"/>
          <w:szCs w:val="24"/>
        </w:rPr>
      </w:pPr>
    </w:p>
    <w:p w14:paraId="0B970E3D" w14:textId="3D09EA44" w:rsidR="00542FAC" w:rsidRPr="00542FAC" w:rsidRDefault="00542FAC" w:rsidP="00542FAC">
      <w:pPr>
        <w:rPr>
          <w:rFonts w:ascii="Arial" w:hAnsi="Arial" w:cs="Arial"/>
          <w:sz w:val="24"/>
          <w:szCs w:val="24"/>
        </w:rPr>
      </w:pPr>
    </w:p>
    <w:p w14:paraId="406CFDB5" w14:textId="304DDBC7" w:rsidR="00542FAC" w:rsidRPr="00542FAC" w:rsidRDefault="00542FAC" w:rsidP="00542FAC">
      <w:pPr>
        <w:rPr>
          <w:rFonts w:ascii="Arial" w:hAnsi="Arial" w:cs="Arial"/>
          <w:sz w:val="24"/>
          <w:szCs w:val="24"/>
        </w:rPr>
      </w:pPr>
    </w:p>
    <w:p w14:paraId="35F51EA9" w14:textId="17A60A2C" w:rsidR="00542FAC" w:rsidRPr="00542FAC" w:rsidRDefault="00542FAC" w:rsidP="00542FAC">
      <w:pPr>
        <w:rPr>
          <w:rFonts w:ascii="Arial" w:hAnsi="Arial" w:cs="Arial"/>
          <w:sz w:val="24"/>
          <w:szCs w:val="24"/>
        </w:rPr>
      </w:pPr>
    </w:p>
    <w:p w14:paraId="4EAE33DF" w14:textId="0C08D66B" w:rsidR="00542FAC" w:rsidRDefault="00542FAC" w:rsidP="00542FAC">
      <w:pPr>
        <w:rPr>
          <w:rFonts w:ascii="Arial" w:hAnsi="Arial" w:cs="Arial"/>
          <w:sz w:val="24"/>
          <w:szCs w:val="24"/>
        </w:rPr>
      </w:pPr>
    </w:p>
    <w:p w14:paraId="5DAADF9F" w14:textId="77777777" w:rsidR="00542FAC" w:rsidRPr="00542FAC" w:rsidRDefault="00542FAC" w:rsidP="00542FAC">
      <w:pPr>
        <w:spacing w:line="276" w:lineRule="auto"/>
        <w:jc w:val="both"/>
        <w:rPr>
          <w:rFonts w:ascii="Arial" w:hAnsi="Arial" w:cs="Arial"/>
          <w:sz w:val="24"/>
          <w:szCs w:val="24"/>
        </w:rPr>
      </w:pPr>
      <w:r w:rsidRPr="00542FAC">
        <w:rPr>
          <w:rFonts w:ascii="Arial" w:hAnsi="Arial" w:cs="Arial"/>
          <w:sz w:val="24"/>
          <w:szCs w:val="24"/>
        </w:rPr>
        <w:t>The GIFT High Level Principles were subsequently</w:t>
      </w:r>
      <w:r w:rsidRPr="00542FAC">
        <w:rPr>
          <w:rFonts w:ascii="Arial" w:eastAsia="Calibri" w:hAnsi="Arial" w:cs="Arial"/>
          <w:color w:val="404040" w:themeColor="text1" w:themeTint="BF"/>
          <w:sz w:val="24"/>
          <w:szCs w:val="24"/>
        </w:rPr>
        <w:t xml:space="preserve"> </w:t>
      </w:r>
      <w:r w:rsidRPr="00542FAC">
        <w:rPr>
          <w:rFonts w:ascii="Arial" w:hAnsi="Arial" w:cs="Arial"/>
          <w:sz w:val="24"/>
          <w:szCs w:val="24"/>
        </w:rPr>
        <w:t xml:space="preserve">acknowledged by the United Nations General Assembly in December 2012, that encouraged member states to intensify efforts to enhance transparency, participation and accountability in fiscal policies, including through the consideration of the principles set out by GIFT. </w:t>
      </w:r>
    </w:p>
    <w:p w14:paraId="7F51B372" w14:textId="77777777" w:rsidR="00542FAC" w:rsidRPr="00542FAC" w:rsidRDefault="00542FAC" w:rsidP="00542FAC">
      <w:pPr>
        <w:spacing w:line="276" w:lineRule="auto"/>
        <w:jc w:val="both"/>
        <w:rPr>
          <w:rFonts w:ascii="Arial" w:hAnsi="Arial" w:cs="Arial"/>
          <w:sz w:val="24"/>
          <w:szCs w:val="24"/>
        </w:rPr>
      </w:pPr>
    </w:p>
    <w:p w14:paraId="7C5E10B3" w14:textId="77777777" w:rsidR="00542FAC" w:rsidRPr="00542FAC" w:rsidRDefault="00542FAC" w:rsidP="00542FAC">
      <w:pPr>
        <w:spacing w:line="276" w:lineRule="auto"/>
        <w:jc w:val="both"/>
        <w:rPr>
          <w:rFonts w:ascii="Arial" w:hAnsi="Arial" w:cs="Arial"/>
          <w:sz w:val="24"/>
          <w:szCs w:val="24"/>
        </w:rPr>
      </w:pPr>
      <w:r w:rsidRPr="00542FAC">
        <w:rPr>
          <w:rFonts w:ascii="Arial" w:hAnsi="Arial" w:cs="Arial"/>
          <w:sz w:val="24"/>
          <w:szCs w:val="24"/>
        </w:rPr>
        <w:t>The IBP’s</w:t>
      </w:r>
      <w:r w:rsidRPr="00542FAC">
        <w:rPr>
          <w:rFonts w:ascii="Arial" w:eastAsia="Calibri" w:hAnsi="Arial" w:cs="Arial"/>
          <w:b/>
          <w:color w:val="404040" w:themeColor="text1" w:themeTint="BF"/>
          <w:sz w:val="24"/>
          <w:szCs w:val="24"/>
        </w:rPr>
        <w:t xml:space="preserve"> </w:t>
      </w:r>
      <w:hyperlink r:id="rId503" w:history="1">
        <w:r w:rsidRPr="00542FAC">
          <w:rPr>
            <w:rFonts w:ascii="Arial" w:eastAsia="Calibri" w:hAnsi="Arial" w:cs="Arial"/>
            <w:color w:val="0563C1" w:themeColor="hyperlink"/>
            <w:sz w:val="24"/>
            <w:szCs w:val="24"/>
            <w:u w:val="single"/>
          </w:rPr>
          <w:t>Open Budget Survey</w:t>
        </w:r>
      </w:hyperlink>
      <w:r w:rsidRPr="00542FAC">
        <w:rPr>
          <w:rFonts w:ascii="Arial" w:eastAsia="Calibri" w:hAnsi="Arial" w:cs="Arial"/>
          <w:color w:val="404040" w:themeColor="text1" w:themeTint="BF"/>
          <w:sz w:val="24"/>
          <w:szCs w:val="24"/>
          <w:u w:val="single"/>
        </w:rPr>
        <w:t xml:space="preserve"> </w:t>
      </w:r>
      <w:r w:rsidRPr="00542FAC">
        <w:rPr>
          <w:rFonts w:ascii="Arial" w:hAnsi="Arial" w:cs="Arial"/>
          <w:sz w:val="24"/>
          <w:szCs w:val="24"/>
        </w:rPr>
        <w:t xml:space="preserve">(OBS) then led the way when it introduced a section on public participation across the budget cycle in its 2012 Survey. Since 2012, the importance of public participation in fiscal policy has been progressively incorporated in all the main international fiscal transparency instruments. </w:t>
      </w:r>
    </w:p>
    <w:p w14:paraId="3FB39FA2" w14:textId="77777777" w:rsidR="00542FAC" w:rsidRPr="00542FAC" w:rsidRDefault="00542FAC" w:rsidP="00542FAC">
      <w:pPr>
        <w:spacing w:line="276" w:lineRule="auto"/>
        <w:rPr>
          <w:rFonts w:ascii="Arial" w:eastAsia="Calibri" w:hAnsi="Arial" w:cs="Arial"/>
          <w:color w:val="404040" w:themeColor="text1" w:themeTint="BF"/>
          <w:sz w:val="24"/>
          <w:szCs w:val="24"/>
          <w:lang w:val="en-ZA"/>
        </w:rPr>
      </w:pPr>
    </w:p>
    <w:p w14:paraId="4A1689A2" w14:textId="69724433" w:rsidR="00542FAC" w:rsidRDefault="00542FAC" w:rsidP="003625BA">
      <w:pPr>
        <w:spacing w:line="276" w:lineRule="auto"/>
        <w:jc w:val="both"/>
        <w:rPr>
          <w:rFonts w:ascii="Arial" w:hAnsi="Arial" w:cs="Arial"/>
          <w:sz w:val="24"/>
          <w:szCs w:val="24"/>
        </w:rPr>
      </w:pPr>
      <w:r w:rsidRPr="00542FAC">
        <w:rPr>
          <w:rFonts w:ascii="Arial" w:hAnsi="Arial" w:cs="Arial"/>
          <w:sz w:val="24"/>
          <w:szCs w:val="24"/>
        </w:rPr>
        <w:t>Given the limited historical guidance on how public entities should engage directly with the public in managing public resources, the GIFT network then embarked on a substantial multi-year work program to generate greater knowledge about country practices and innovations in citizen engagement. In 2016, after an extensive public consultation process, GIFT launched 10</w:t>
      </w:r>
      <w:r w:rsidRPr="00542FAC">
        <w:rPr>
          <w:rFonts w:ascii="Arial" w:eastAsia="Calibri" w:hAnsi="Arial" w:cs="Arial"/>
          <w:color w:val="404040" w:themeColor="text1" w:themeTint="BF"/>
          <w:sz w:val="24"/>
          <w:szCs w:val="24"/>
          <w:lang w:val="en-ZA"/>
        </w:rPr>
        <w:t> </w:t>
      </w:r>
      <w:r w:rsidRPr="00542FAC">
        <w:rPr>
          <w:rFonts w:ascii="Arial" w:hAnsi="Arial" w:cs="Arial"/>
          <w:sz w:val="24"/>
          <w:szCs w:val="24"/>
        </w:rPr>
        <w:t xml:space="preserve">Principles of Public Participation in Fiscal Policies. This guidance states that public authorities should </w:t>
      </w:r>
      <w:r w:rsidRPr="00542FAC">
        <w:rPr>
          <w:rFonts w:ascii="Arial" w:hAnsi="Arial" w:cs="Arial"/>
          <w:sz w:val="24"/>
          <w:szCs w:val="24"/>
        </w:rPr>
        <w:lastRenderedPageBreak/>
        <w:t>endeavour to ensure that citizens and other non-state actors have effective opportunities to participate directly in public debate and discussion with respect to the design, implementation and review of fiscal policies, while observing 10 interdependent principles.</w:t>
      </w:r>
    </w:p>
    <w:p w14:paraId="42A278EC" w14:textId="77777777" w:rsidR="004978C2" w:rsidRDefault="004978C2" w:rsidP="00542FAC">
      <w:pPr>
        <w:rPr>
          <w:rFonts w:ascii="Arial" w:hAnsi="Arial" w:cs="Arial"/>
          <w:sz w:val="24"/>
          <w:szCs w:val="24"/>
        </w:rPr>
      </w:pPr>
    </w:p>
    <w:p w14:paraId="6001B5C5" w14:textId="43E08D56" w:rsidR="00826E45" w:rsidRPr="003625BA" w:rsidRDefault="00826E45" w:rsidP="003625BA">
      <w:pPr>
        <w:pStyle w:val="Heading3"/>
        <w:jc w:val="center"/>
        <w:rPr>
          <w:rFonts w:ascii="Arial" w:eastAsiaTheme="minorEastAsia" w:hAnsi="Arial" w:cs="Arial"/>
          <w:b/>
          <w:bCs/>
          <w:sz w:val="20"/>
          <w:szCs w:val="20"/>
          <w:lang w:val="en-US"/>
        </w:rPr>
      </w:pPr>
      <w:bookmarkStart w:id="1073" w:name="_Figure_2.1._GIFT"/>
      <w:bookmarkStart w:id="1074" w:name="_Toc123217390"/>
      <w:bookmarkStart w:id="1075" w:name="_Toc123913359"/>
      <w:bookmarkStart w:id="1076" w:name="_Toc123914015"/>
      <w:bookmarkStart w:id="1077" w:name="_Toc125566635"/>
      <w:bookmarkEnd w:id="1073"/>
      <w:r w:rsidRPr="003625BA">
        <w:rPr>
          <w:rFonts w:ascii="Arial" w:eastAsiaTheme="minorEastAsia" w:hAnsi="Arial" w:cs="Arial"/>
          <w:b/>
          <w:bCs/>
          <w:color w:val="69557F"/>
          <w:sz w:val="20"/>
          <w:szCs w:val="20"/>
          <w:lang w:val="en-US"/>
        </w:rPr>
        <w:t xml:space="preserve">Figure </w:t>
      </w:r>
      <w:r w:rsidR="0065711A" w:rsidRPr="003625BA">
        <w:rPr>
          <w:rFonts w:ascii="Arial" w:eastAsiaTheme="minorEastAsia" w:hAnsi="Arial" w:cs="Arial"/>
          <w:b/>
          <w:bCs/>
          <w:color w:val="69557F"/>
          <w:sz w:val="20"/>
          <w:szCs w:val="20"/>
          <w:lang w:val="en-US"/>
        </w:rPr>
        <w:t>2.1</w:t>
      </w:r>
      <w:r w:rsidR="00E20853">
        <w:rPr>
          <w:rFonts w:ascii="Arial" w:eastAsiaTheme="minorEastAsia" w:hAnsi="Arial" w:cs="Arial"/>
          <w:b/>
          <w:bCs/>
          <w:color w:val="69557F"/>
          <w:sz w:val="20"/>
          <w:szCs w:val="20"/>
          <w:lang w:val="en-US"/>
        </w:rPr>
        <w:t>.</w:t>
      </w:r>
      <w:r w:rsidR="00E551F9" w:rsidRPr="003625BA">
        <w:rPr>
          <w:rFonts w:ascii="Arial" w:eastAsiaTheme="minorEastAsia" w:hAnsi="Arial" w:cs="Arial"/>
          <w:b/>
          <w:bCs/>
          <w:color w:val="69557F"/>
          <w:sz w:val="20"/>
          <w:szCs w:val="20"/>
          <w:lang w:val="en-US"/>
        </w:rPr>
        <w:t xml:space="preserve"> </w:t>
      </w:r>
      <w:hyperlink r:id="rId504" w:history="1">
        <w:r w:rsidRPr="003625BA">
          <w:rPr>
            <w:rStyle w:val="Hyperlink"/>
            <w:rFonts w:ascii="Arial" w:eastAsiaTheme="minorEastAsia" w:hAnsi="Arial" w:cs="Arial"/>
            <w:b/>
            <w:bCs/>
            <w:color w:val="69557F"/>
            <w:sz w:val="20"/>
            <w:szCs w:val="20"/>
            <w:lang w:val="en-US"/>
          </w:rPr>
          <w:t>GIFT Principles of Public Participation in Fiscal Policies</w:t>
        </w:r>
        <w:bookmarkEnd w:id="1074"/>
        <w:bookmarkEnd w:id="1075"/>
        <w:bookmarkEnd w:id="1076"/>
        <w:bookmarkEnd w:id="1077"/>
      </w:hyperlink>
    </w:p>
    <w:p w14:paraId="4BB532D3" w14:textId="6C283A4C" w:rsidR="00826E45" w:rsidRPr="00201E14" w:rsidRDefault="004978C2" w:rsidP="00542FAC">
      <w:pPr>
        <w:rPr>
          <w:rFonts w:ascii="Arial" w:eastAsiaTheme="minorEastAsia" w:hAnsi="Arial" w:cs="Arial"/>
          <w:b/>
          <w:bCs/>
          <w:sz w:val="20"/>
          <w:szCs w:val="20"/>
          <w:lang w:val="en-US"/>
        </w:rPr>
      </w:pPr>
      <w:r w:rsidRPr="00A87F80">
        <w:rPr>
          <w:noProof/>
          <w:lang w:val="en-US"/>
        </w:rPr>
        <w:drawing>
          <wp:anchor distT="0" distB="0" distL="114300" distR="114300" simplePos="0" relativeHeight="252780542" behindDoc="1" locked="0" layoutInCell="1" allowOverlap="1" wp14:anchorId="38E7A456" wp14:editId="76387D46">
            <wp:simplePos x="0" y="0"/>
            <wp:positionH relativeFrom="margin">
              <wp:posOffset>46355</wp:posOffset>
            </wp:positionH>
            <wp:positionV relativeFrom="paragraph">
              <wp:posOffset>252730</wp:posOffset>
            </wp:positionV>
            <wp:extent cx="6486525" cy="3957859"/>
            <wp:effectExtent l="25400" t="25400" r="92075" b="93980"/>
            <wp:wrapTight wrapText="bothSides">
              <wp:wrapPolygon edited="0">
                <wp:start x="0" y="-139"/>
                <wp:lineTo x="-85" y="-69"/>
                <wp:lineTo x="-85" y="21766"/>
                <wp:lineTo x="0" y="22044"/>
                <wp:lineTo x="21737" y="22044"/>
                <wp:lineTo x="21864" y="21073"/>
                <wp:lineTo x="21864" y="1040"/>
                <wp:lineTo x="21737" y="0"/>
                <wp:lineTo x="21737" y="-139"/>
                <wp:lineTo x="0" y="-139"/>
              </wp:wrapPolygon>
            </wp:wrapT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cstate="email">
                      <a:extLst>
                        <a:ext uri="{28A0092B-C50C-407E-A947-70E740481C1C}">
                          <a14:useLocalDpi xmlns:a14="http://schemas.microsoft.com/office/drawing/2010/main"/>
                        </a:ext>
                      </a:extLst>
                    </a:blip>
                    <a:stretch>
                      <a:fillRect/>
                    </a:stretch>
                  </pic:blipFill>
                  <pic:spPr>
                    <a:xfrm>
                      <a:off x="0" y="0"/>
                      <a:ext cx="6486525" cy="395785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BD9A639" w14:textId="1C7BD800" w:rsidR="00826E45" w:rsidRPr="003F5DCC" w:rsidRDefault="00826E45" w:rsidP="003F5DCC">
      <w:pPr>
        <w:spacing w:line="276" w:lineRule="auto"/>
        <w:rPr>
          <w:rFonts w:ascii="Arial" w:hAnsi="Arial" w:cs="Arial"/>
          <w:b/>
          <w:bCs/>
          <w:sz w:val="24"/>
          <w:szCs w:val="24"/>
        </w:rPr>
      </w:pPr>
    </w:p>
    <w:p w14:paraId="6538D32D" w14:textId="0F294575" w:rsidR="003F5DCC" w:rsidRPr="003F5DCC" w:rsidRDefault="003F5DCC" w:rsidP="003F5DCC">
      <w:pPr>
        <w:spacing w:after="160" w:line="276" w:lineRule="auto"/>
        <w:jc w:val="both"/>
        <w:rPr>
          <w:rFonts w:ascii="Arial" w:hAnsi="Arial" w:cs="Arial"/>
          <w:sz w:val="24"/>
          <w:szCs w:val="24"/>
        </w:rPr>
      </w:pPr>
      <w:r w:rsidRPr="003F5DCC">
        <w:rPr>
          <w:rFonts w:ascii="Arial" w:hAnsi="Arial" w:cs="Arial"/>
          <w:sz w:val="24"/>
          <w:szCs w:val="24"/>
        </w:rPr>
        <w:t>These principles include select concepts that are also included in other norms and standards. For example, Principle 5 of the OECD’s</w:t>
      </w:r>
      <w:r w:rsidRPr="003F5DCC">
        <w:rPr>
          <w:rFonts w:ascii="Arial" w:eastAsia="Calibri" w:hAnsi="Arial" w:cs="Arial"/>
          <w:bCs/>
          <w:color w:val="404040" w:themeColor="text1" w:themeTint="BF"/>
          <w:sz w:val="24"/>
          <w:szCs w:val="24"/>
        </w:rPr>
        <w:t xml:space="preserve"> </w:t>
      </w:r>
      <w:hyperlink r:id="rId506" w:history="1">
        <w:r w:rsidRPr="003F5DCC">
          <w:rPr>
            <w:rFonts w:ascii="Arial" w:eastAsia="Calibri" w:hAnsi="Arial" w:cs="Arial"/>
            <w:bCs/>
            <w:color w:val="0563C1" w:themeColor="hyperlink"/>
            <w:sz w:val="24"/>
            <w:szCs w:val="24"/>
            <w:u w:val="single"/>
          </w:rPr>
          <w:t>Recommendation of the Council on Budgetary Governance</w:t>
        </w:r>
      </w:hyperlink>
      <w:r w:rsidRPr="003F5DCC">
        <w:rPr>
          <w:rFonts w:ascii="Arial" w:eastAsia="Calibri" w:hAnsi="Arial" w:cs="Arial"/>
          <w:bCs/>
          <w:color w:val="404040" w:themeColor="text1" w:themeTint="BF"/>
          <w:sz w:val="24"/>
          <w:szCs w:val="24"/>
        </w:rPr>
        <w:t xml:space="preserve"> (</w:t>
      </w:r>
      <w:r w:rsidRPr="003F5DCC">
        <w:rPr>
          <w:rFonts w:ascii="Arial" w:hAnsi="Arial" w:cs="Arial"/>
          <w:sz w:val="24"/>
          <w:szCs w:val="24"/>
        </w:rPr>
        <w:t>2015) states that parliamentary debate on</w:t>
      </w:r>
      <w:r w:rsidRPr="003F5DCC">
        <w:rPr>
          <w:rFonts w:ascii="Arial" w:eastAsia="Calibri" w:hAnsi="Arial" w:cs="Arial"/>
          <w:color w:val="404040" w:themeColor="text1" w:themeTint="BF"/>
          <w:sz w:val="24"/>
          <w:szCs w:val="24"/>
        </w:rPr>
        <w:t xml:space="preserve"> </w:t>
      </w:r>
      <w:r w:rsidRPr="003F5DCC">
        <w:rPr>
          <w:rFonts w:ascii="Arial" w:hAnsi="Arial" w:cs="Arial"/>
          <w:sz w:val="24"/>
          <w:szCs w:val="24"/>
        </w:rPr>
        <w:t>budgetary choices should take place throughout the fiscal policy cycle and be inclusive, participative and realistic; Section J of the OECD’s</w:t>
      </w:r>
      <w:r w:rsidRPr="003F5DCC">
        <w:rPr>
          <w:rFonts w:ascii="Arial" w:eastAsia="Calibri" w:hAnsi="Arial" w:cs="Arial"/>
          <w:color w:val="404040" w:themeColor="text1" w:themeTint="BF"/>
          <w:sz w:val="24"/>
          <w:szCs w:val="24"/>
        </w:rPr>
        <w:t xml:space="preserve"> </w:t>
      </w:r>
      <w:hyperlink r:id="rId507" w:history="1">
        <w:r w:rsidRPr="003F5DCC">
          <w:rPr>
            <w:rFonts w:ascii="Arial" w:eastAsia="Calibri" w:hAnsi="Arial" w:cs="Arial"/>
            <w:color w:val="0563C1" w:themeColor="hyperlink"/>
            <w:sz w:val="24"/>
            <w:szCs w:val="24"/>
            <w:u w:val="single"/>
          </w:rPr>
          <w:t>Budget Transparency Toolkit</w:t>
        </w:r>
      </w:hyperlink>
      <w:r w:rsidRPr="003F5DCC">
        <w:rPr>
          <w:rFonts w:ascii="Arial" w:eastAsia="Calibri" w:hAnsi="Arial" w:cs="Arial"/>
          <w:color w:val="404040" w:themeColor="text1" w:themeTint="BF"/>
          <w:sz w:val="24"/>
          <w:szCs w:val="24"/>
        </w:rPr>
        <w:t xml:space="preserve"> </w:t>
      </w:r>
      <w:r w:rsidRPr="003F5DCC">
        <w:rPr>
          <w:rFonts w:ascii="Arial" w:hAnsi="Arial" w:cs="Arial"/>
          <w:sz w:val="24"/>
          <w:szCs w:val="24"/>
        </w:rPr>
        <w:t>(2017) talks to making the budget more inclusive and participative, with relevant examples; Principle 2.3.3 of the IMF’s</w:t>
      </w:r>
      <w:r w:rsidRPr="003F5DCC">
        <w:rPr>
          <w:rFonts w:ascii="Arial" w:eastAsia="Calibri" w:hAnsi="Arial" w:cs="Arial"/>
          <w:bCs/>
          <w:color w:val="404040" w:themeColor="text1" w:themeTint="BF"/>
          <w:sz w:val="24"/>
          <w:szCs w:val="24"/>
        </w:rPr>
        <w:t xml:space="preserve"> </w:t>
      </w:r>
      <w:hyperlink r:id="rId508" w:history="1">
        <w:r w:rsidRPr="003F5DCC">
          <w:rPr>
            <w:rFonts w:ascii="Arial" w:eastAsia="Calibri" w:hAnsi="Arial" w:cs="Arial"/>
            <w:bCs/>
            <w:color w:val="0563C1" w:themeColor="hyperlink"/>
            <w:sz w:val="24"/>
            <w:szCs w:val="24"/>
            <w:u w:val="single"/>
          </w:rPr>
          <w:t>Fiscal Transparency Code</w:t>
        </w:r>
      </w:hyperlink>
      <w:r w:rsidRPr="003F5DCC">
        <w:rPr>
          <w:rFonts w:ascii="Arial" w:eastAsia="Calibri" w:hAnsi="Arial" w:cs="Arial"/>
          <w:bCs/>
          <w:color w:val="404040" w:themeColor="text1" w:themeTint="BF"/>
          <w:sz w:val="24"/>
          <w:szCs w:val="24"/>
        </w:rPr>
        <w:t xml:space="preserve"> </w:t>
      </w:r>
      <w:r w:rsidRPr="003F5DCC">
        <w:rPr>
          <w:rFonts w:ascii="Arial" w:hAnsi="Arial" w:cs="Arial"/>
          <w:sz w:val="24"/>
          <w:szCs w:val="24"/>
        </w:rPr>
        <w:t>(2019) states that the government should provide citizens with an accessible summary of the implications of budget policies and an opportunity to participate in budget deliberations; and Principle B of the</w:t>
      </w:r>
      <w:r w:rsidRPr="003F5DCC">
        <w:rPr>
          <w:rFonts w:ascii="Arial" w:hAnsi="Arial" w:cs="Arial"/>
          <w:b/>
          <w:bCs/>
          <w:sz w:val="24"/>
          <w:szCs w:val="24"/>
        </w:rPr>
        <w:t xml:space="preserve"> </w:t>
      </w:r>
      <w:r w:rsidRPr="003F5DCC">
        <w:rPr>
          <w:rFonts w:ascii="Arial" w:hAnsi="Arial" w:cs="Arial"/>
          <w:bCs/>
          <w:sz w:val="24"/>
          <w:szCs w:val="24"/>
        </w:rPr>
        <w:t>International Federation of Accountants (IFAC) / Chartered Institute of Public Finance and Accountancy (CIPFA)</w:t>
      </w:r>
      <w:r w:rsidRPr="003F5DCC">
        <w:rPr>
          <w:rFonts w:ascii="Arial" w:hAnsi="Arial" w:cs="Arial"/>
          <w:i/>
          <w:sz w:val="24"/>
          <w:szCs w:val="24"/>
        </w:rPr>
        <w:t xml:space="preserve"> </w:t>
      </w:r>
      <w:hyperlink r:id="rId509" w:history="1">
        <w:r w:rsidRPr="003F5DCC">
          <w:rPr>
            <w:rFonts w:ascii="Arial" w:hAnsi="Arial" w:cs="Arial"/>
            <w:iCs/>
            <w:color w:val="0563C1" w:themeColor="hyperlink"/>
            <w:sz w:val="24"/>
            <w:szCs w:val="24"/>
            <w:u w:val="single"/>
          </w:rPr>
          <w:t>International Framework: Good Governance in the Public Sector</w:t>
        </w:r>
      </w:hyperlink>
      <w:r w:rsidRPr="003F5DCC">
        <w:rPr>
          <w:rFonts w:ascii="Arial" w:hAnsi="Arial" w:cs="Arial"/>
          <w:iCs/>
          <w:sz w:val="24"/>
          <w:szCs w:val="24"/>
        </w:rPr>
        <w:t xml:space="preserve"> (2014) states that public entities </w:t>
      </w:r>
      <w:r w:rsidRPr="003F5DCC">
        <w:rPr>
          <w:rFonts w:ascii="Arial" w:hAnsi="Arial" w:cs="Arial"/>
          <w:sz w:val="24"/>
          <w:szCs w:val="24"/>
        </w:rPr>
        <w:t>should be open in their activities engaging with all groups of stakeholders.</w:t>
      </w:r>
    </w:p>
    <w:p w14:paraId="253DEF8C" w14:textId="0B126FB0" w:rsidR="00851D63" w:rsidRDefault="00851D63" w:rsidP="00851D63">
      <w:pPr>
        <w:pStyle w:val="Heading3"/>
        <w:rPr>
          <w:rFonts w:ascii="Arial" w:hAnsi="Arial" w:cs="Arial"/>
          <w:b/>
          <w:bCs/>
          <w:color w:val="16988A"/>
        </w:rPr>
      </w:pPr>
    </w:p>
    <w:p w14:paraId="5D535939" w14:textId="6192D8F0" w:rsidR="00407AD5" w:rsidRDefault="00407AD5" w:rsidP="00407AD5"/>
    <w:p w14:paraId="59996B58" w14:textId="6DB7E7FB" w:rsidR="00407AD5" w:rsidRDefault="00407AD5" w:rsidP="00407AD5"/>
    <w:p w14:paraId="434B804B" w14:textId="42859DAE" w:rsidR="00407AD5" w:rsidRDefault="00407AD5" w:rsidP="00407AD5"/>
    <w:p w14:paraId="1AFEED49" w14:textId="40E1D187" w:rsidR="00407AD5" w:rsidRDefault="00407AD5" w:rsidP="00407AD5"/>
    <w:p w14:paraId="322FF0E0" w14:textId="74388A21" w:rsidR="00407AD5" w:rsidRDefault="00407AD5" w:rsidP="00407AD5"/>
    <w:p w14:paraId="3817FC24" w14:textId="0B30B724" w:rsidR="00407AD5" w:rsidRDefault="00407AD5" w:rsidP="00407AD5"/>
    <w:p w14:paraId="66EE8D2F" w14:textId="68AB2B40" w:rsidR="00407AD5" w:rsidRDefault="00407AD5" w:rsidP="00407AD5"/>
    <w:p w14:paraId="2B490DA4" w14:textId="22CE6D48" w:rsidR="00775C33" w:rsidRPr="00775C33" w:rsidRDefault="00775C33" w:rsidP="00330914">
      <w:pPr>
        <w:rPr>
          <w:sz w:val="20"/>
          <w:szCs w:val="20"/>
        </w:rPr>
      </w:pPr>
      <w:bookmarkStart w:id="1078" w:name="_Toc123913360"/>
      <w:bookmarkStart w:id="1079" w:name="_Toc123914016"/>
      <w:bookmarkStart w:id="1080" w:name="_Toc125566636"/>
      <w:bookmarkStart w:id="1081" w:name="_Toc123204458"/>
      <w:bookmarkStart w:id="1082" w:name="_Toc123217391"/>
      <w:r w:rsidRPr="00775C33">
        <w:rPr>
          <w:noProof/>
          <w:lang w:val="en-US"/>
        </w:rPr>
        <w:lastRenderedPageBreak/>
        <mc:AlternateContent>
          <mc:Choice Requires="wps">
            <w:drawing>
              <wp:anchor distT="0" distB="0" distL="114300" distR="114300" simplePos="0" relativeHeight="254798846" behindDoc="1" locked="0" layoutInCell="1" allowOverlap="1" wp14:anchorId="729497CA" wp14:editId="1E300A09">
                <wp:simplePos x="0" y="0"/>
                <wp:positionH relativeFrom="margin">
                  <wp:posOffset>-168275</wp:posOffset>
                </wp:positionH>
                <wp:positionV relativeFrom="margin">
                  <wp:posOffset>-43181</wp:posOffset>
                </wp:positionV>
                <wp:extent cx="7010400" cy="5635625"/>
                <wp:effectExtent l="0" t="0" r="19050" b="22225"/>
                <wp:wrapNone/>
                <wp:docPr id="2667" name="Rectangle 2667"/>
                <wp:cNvGraphicFramePr/>
                <a:graphic xmlns:a="http://schemas.openxmlformats.org/drawingml/2006/main">
                  <a:graphicData uri="http://schemas.microsoft.com/office/word/2010/wordprocessingShape">
                    <wps:wsp>
                      <wps:cNvSpPr/>
                      <wps:spPr>
                        <a:xfrm>
                          <a:off x="0" y="0"/>
                          <a:ext cx="7010400" cy="5635625"/>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81483" w14:textId="77777777" w:rsidR="00D15FD8" w:rsidRDefault="00D15FD8" w:rsidP="00851D63"/>
                          <w:p w14:paraId="2067D0D1"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497CA" id="Rectangle 2667" o:spid="_x0000_s1291" style="position:absolute;margin-left:-13.25pt;margin-top:-3.4pt;width:552pt;height:443.75pt;z-index:-24851763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" fillcolor="#f2f2f2 [3052]" strokecolor="#16988a" strokeweight="1.5pt">
                <v:textbox>
                  <w:txbxContent>
                    <w:p w14:paraId="56E81483" w14:textId="77777777" w:rsidR="00D15FD8" w:rsidRDefault="00D15FD8" w:rsidP="00851D63"/>
                    <w:p w14:paraId="2067D0D1" w14:textId="77777777" w:rsidR="00D15FD8" w:rsidRPr="003625BA" w:rsidRDefault="00D15FD8" w:rsidP="003625BA">
                      <w:pPr>
                        <w:jc w:val="center"/>
                        <w:rPr>
                          <w:lang w:val="en-US"/>
                        </w:rPr>
                      </w:pPr>
                    </w:p>
                  </w:txbxContent>
                </v:textbox>
                <w10:wrap anchorx="margin" anchory="margin"/>
              </v:rect>
            </w:pict>
          </mc:Fallback>
        </mc:AlternateContent>
      </w:r>
      <w:bookmarkEnd w:id="1078"/>
      <w:bookmarkEnd w:id="1079"/>
      <w:bookmarkEnd w:id="1080"/>
    </w:p>
    <w:p w14:paraId="7EC39F17" w14:textId="5B67E092" w:rsidR="00851D63" w:rsidRPr="00775C33" w:rsidRDefault="00851D63" w:rsidP="00775C33">
      <w:pPr>
        <w:pStyle w:val="Heading3"/>
        <w:jc w:val="center"/>
        <w:rPr>
          <w:rFonts w:ascii="Arial" w:hAnsi="Arial" w:cs="Arial"/>
          <w:b/>
          <w:bCs/>
          <w:color w:val="19998C"/>
          <w:sz w:val="26"/>
          <w:szCs w:val="26"/>
        </w:rPr>
      </w:pPr>
      <w:bookmarkStart w:id="1083" w:name="_Box_2.4._Norms"/>
      <w:bookmarkStart w:id="1084" w:name="_Toc123914017"/>
      <w:bookmarkStart w:id="1085" w:name="_Toc125566637"/>
      <w:bookmarkEnd w:id="1083"/>
      <w:r w:rsidRPr="00775C33">
        <w:rPr>
          <w:rFonts w:ascii="Arial" w:hAnsi="Arial" w:cs="Arial"/>
          <w:b/>
          <w:bCs/>
          <w:color w:val="19998C"/>
          <w:sz w:val="26"/>
          <w:szCs w:val="26"/>
        </w:rPr>
        <w:t xml:space="preserve">Box </w:t>
      </w:r>
      <w:r w:rsidR="0065711A" w:rsidRPr="00775C33">
        <w:rPr>
          <w:rFonts w:ascii="Arial" w:hAnsi="Arial" w:cs="Arial"/>
          <w:b/>
          <w:bCs/>
          <w:color w:val="19998C"/>
          <w:sz w:val="26"/>
          <w:szCs w:val="26"/>
        </w:rPr>
        <w:t>2.</w:t>
      </w:r>
      <w:r w:rsidR="00D25CE6">
        <w:rPr>
          <w:rFonts w:ascii="Arial" w:hAnsi="Arial" w:cs="Arial"/>
          <w:b/>
          <w:bCs/>
          <w:color w:val="19998C"/>
          <w:sz w:val="26"/>
          <w:szCs w:val="26"/>
        </w:rPr>
        <w:t>4</w:t>
      </w:r>
      <w:r w:rsidR="00FB3F3E">
        <w:rPr>
          <w:rFonts w:ascii="Arial" w:hAnsi="Arial" w:cs="Arial"/>
          <w:b/>
          <w:bCs/>
          <w:color w:val="19998C"/>
          <w:sz w:val="26"/>
          <w:szCs w:val="26"/>
        </w:rPr>
        <w:t>.</w:t>
      </w:r>
      <w:r w:rsidRPr="00775C33">
        <w:rPr>
          <w:rFonts w:ascii="Arial" w:hAnsi="Arial" w:cs="Arial"/>
          <w:b/>
          <w:bCs/>
          <w:color w:val="19998C"/>
          <w:sz w:val="26"/>
          <w:szCs w:val="26"/>
        </w:rPr>
        <w:t xml:space="preserve"> Norms and standards on public participation pertaining to specific actors/sectors</w:t>
      </w:r>
      <w:bookmarkEnd w:id="1081"/>
      <w:bookmarkEnd w:id="1082"/>
      <w:bookmarkEnd w:id="1084"/>
      <w:bookmarkEnd w:id="1085"/>
    </w:p>
    <w:p w14:paraId="5CFAB8AF" w14:textId="488DEE7B" w:rsidR="003F5DCC" w:rsidRDefault="00407AD5" w:rsidP="00542FAC">
      <w:pPr>
        <w:rPr>
          <w:rFonts w:ascii="Arial" w:hAnsi="Arial" w:cs="Arial"/>
          <w:b/>
          <w:bCs/>
          <w:sz w:val="24"/>
          <w:szCs w:val="24"/>
        </w:rPr>
      </w:pPr>
      <w:r>
        <w:rPr>
          <w:rFonts w:ascii="Arial" w:hAnsi="Arial" w:cs="Arial"/>
          <w:noProof/>
          <w:sz w:val="24"/>
          <w:szCs w:val="24"/>
          <w:lang w:val="en-US"/>
        </w:rPr>
        <w:drawing>
          <wp:anchor distT="0" distB="0" distL="114300" distR="114300" simplePos="0" relativeHeight="252441598" behindDoc="1" locked="0" layoutInCell="1" allowOverlap="1" wp14:anchorId="18D7CBEB" wp14:editId="77DB9861">
            <wp:simplePos x="0" y="0"/>
            <wp:positionH relativeFrom="margin">
              <wp:posOffset>1824355</wp:posOffset>
            </wp:positionH>
            <wp:positionV relativeFrom="paragraph">
              <wp:posOffset>100330</wp:posOffset>
            </wp:positionV>
            <wp:extent cx="2997200" cy="1809115"/>
            <wp:effectExtent l="0" t="0" r="0" b="0"/>
            <wp:wrapTight wrapText="bothSides">
              <wp:wrapPolygon edited="0">
                <wp:start x="14186" y="455"/>
                <wp:lineTo x="6681" y="2274"/>
                <wp:lineTo x="4302" y="2881"/>
                <wp:lineTo x="3478" y="5004"/>
                <wp:lineTo x="3478" y="5610"/>
                <wp:lineTo x="1647" y="6065"/>
                <wp:lineTo x="1098" y="6672"/>
                <wp:lineTo x="1098" y="8037"/>
                <wp:lineTo x="366" y="9250"/>
                <wp:lineTo x="183" y="9704"/>
                <wp:lineTo x="915" y="12889"/>
                <wp:lineTo x="549" y="16376"/>
                <wp:lineTo x="824" y="16983"/>
                <wp:lineTo x="1831" y="17741"/>
                <wp:lineTo x="1647" y="18347"/>
                <wp:lineTo x="2014" y="19561"/>
                <wp:lineTo x="3661" y="20167"/>
                <wp:lineTo x="3661" y="20622"/>
                <wp:lineTo x="19678" y="20622"/>
                <wp:lineTo x="19769" y="20167"/>
                <wp:lineTo x="20136" y="17741"/>
                <wp:lineTo x="20319" y="15315"/>
                <wp:lineTo x="21142" y="13192"/>
                <wp:lineTo x="21417" y="12282"/>
                <wp:lineTo x="21051" y="11221"/>
                <wp:lineTo x="19495" y="10463"/>
                <wp:lineTo x="19586" y="7278"/>
                <wp:lineTo x="19220" y="5307"/>
                <wp:lineTo x="15468" y="3033"/>
                <wp:lineTo x="15010" y="1061"/>
                <wp:lineTo x="14827" y="455"/>
                <wp:lineTo x="14186" y="455"/>
              </wp:wrapPolygon>
            </wp:wrapTight>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pic:cNvPicPr/>
                  </pic:nvPicPr>
                  <pic:blipFill rotWithShape="1">
                    <a:blip r:embed="rId510" cstate="email">
                      <a:extLst>
                        <a:ext uri="{28A0092B-C50C-407E-A947-70E740481C1C}">
                          <a14:useLocalDpi xmlns:a14="http://schemas.microsoft.com/office/drawing/2010/main"/>
                        </a:ext>
                      </a:extLst>
                    </a:blip>
                    <a:srcRect/>
                    <a:stretch/>
                  </pic:blipFill>
                  <pic:spPr bwMode="auto">
                    <a:xfrm>
                      <a:off x="0" y="0"/>
                      <a:ext cx="2997200" cy="180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A1E31D" w14:textId="33BAEE2B" w:rsidR="003F5DCC" w:rsidRDefault="003F5DCC" w:rsidP="003F5DCC">
      <w:pPr>
        <w:spacing w:line="259" w:lineRule="auto"/>
        <w:rPr>
          <w:b/>
        </w:rPr>
      </w:pPr>
    </w:p>
    <w:p w14:paraId="762FEDF3" w14:textId="0777BEFB" w:rsidR="00201E14" w:rsidRDefault="00201E14" w:rsidP="003F5DCC">
      <w:pPr>
        <w:spacing w:line="259" w:lineRule="auto"/>
        <w:rPr>
          <w:b/>
        </w:rPr>
      </w:pPr>
    </w:p>
    <w:p w14:paraId="5368ABD8" w14:textId="40D8AC86" w:rsidR="00201E14" w:rsidRDefault="00201E14" w:rsidP="003F5DCC">
      <w:pPr>
        <w:spacing w:line="259" w:lineRule="auto"/>
        <w:rPr>
          <w:b/>
        </w:rPr>
      </w:pPr>
    </w:p>
    <w:p w14:paraId="0CADB34D" w14:textId="24EB87F5" w:rsidR="003F5DCC" w:rsidRDefault="003F5DCC" w:rsidP="003F5DCC">
      <w:pPr>
        <w:spacing w:line="259" w:lineRule="auto"/>
        <w:rPr>
          <w:b/>
        </w:rPr>
      </w:pPr>
    </w:p>
    <w:p w14:paraId="4D9C1DC1" w14:textId="6B1D94CF" w:rsidR="003F5DCC" w:rsidRDefault="003F5DCC" w:rsidP="003F5DCC">
      <w:pPr>
        <w:spacing w:line="259" w:lineRule="auto"/>
        <w:rPr>
          <w:b/>
        </w:rPr>
      </w:pPr>
    </w:p>
    <w:p w14:paraId="0291A18E" w14:textId="20B4DCA7" w:rsidR="003F5DCC" w:rsidRDefault="003F5DCC" w:rsidP="003F5DCC">
      <w:pPr>
        <w:spacing w:line="259" w:lineRule="auto"/>
        <w:rPr>
          <w:b/>
        </w:rPr>
      </w:pPr>
    </w:p>
    <w:p w14:paraId="295C49CC" w14:textId="341FA50B" w:rsidR="003F5DCC" w:rsidRDefault="003F5DCC" w:rsidP="003F5DCC">
      <w:pPr>
        <w:spacing w:line="259" w:lineRule="auto"/>
        <w:rPr>
          <w:b/>
        </w:rPr>
      </w:pPr>
    </w:p>
    <w:p w14:paraId="7D675521" w14:textId="200EAAD1" w:rsidR="003F5DCC" w:rsidRDefault="003F5DCC" w:rsidP="003F5DCC">
      <w:pPr>
        <w:spacing w:line="259" w:lineRule="auto"/>
        <w:rPr>
          <w:b/>
        </w:rPr>
      </w:pPr>
    </w:p>
    <w:p w14:paraId="43318A1A" w14:textId="1A6655F5" w:rsidR="003F5DCC" w:rsidRDefault="003F5DCC" w:rsidP="003F5DCC">
      <w:pPr>
        <w:spacing w:line="259" w:lineRule="auto"/>
        <w:rPr>
          <w:b/>
        </w:rPr>
      </w:pPr>
    </w:p>
    <w:p w14:paraId="08D342B4" w14:textId="77777777" w:rsidR="00851D63" w:rsidRPr="003A5A6A" w:rsidRDefault="00851D63" w:rsidP="00851D63">
      <w:pPr>
        <w:spacing w:after="160" w:line="276" w:lineRule="auto"/>
        <w:rPr>
          <w:rFonts w:ascii="Roboto" w:hAnsi="Roboto" w:cs="Arial"/>
          <w:b/>
          <w:bCs/>
          <w:i/>
          <w:color w:val="69557F"/>
        </w:rPr>
      </w:pPr>
      <w:r w:rsidRPr="003A5A6A">
        <w:rPr>
          <w:rFonts w:ascii="Roboto" w:hAnsi="Roboto" w:cs="Arial"/>
          <w:b/>
          <w:bCs/>
          <w:i/>
          <w:color w:val="69557F"/>
        </w:rPr>
        <w:t xml:space="preserve">Public procurement </w:t>
      </w:r>
    </w:p>
    <w:p w14:paraId="2BB29C61" w14:textId="55D0FC22" w:rsidR="00851D63" w:rsidRPr="003625BA" w:rsidRDefault="00851D63" w:rsidP="00851D63">
      <w:pPr>
        <w:spacing w:line="276" w:lineRule="auto"/>
        <w:jc w:val="both"/>
        <w:rPr>
          <w:rFonts w:ascii="Roboto" w:hAnsi="Roboto" w:cs="Arial"/>
          <w:sz w:val="20"/>
          <w:szCs w:val="20"/>
        </w:rPr>
      </w:pPr>
      <w:r w:rsidRPr="003625BA">
        <w:rPr>
          <w:rFonts w:ascii="Roboto" w:hAnsi="Roboto" w:cs="Arial"/>
          <w:bCs/>
          <w:sz w:val="20"/>
          <w:szCs w:val="20"/>
        </w:rPr>
        <w:t>The</w:t>
      </w:r>
      <w:r w:rsidRPr="003625BA">
        <w:rPr>
          <w:rFonts w:ascii="Roboto" w:hAnsi="Roboto" w:cs="Arial"/>
          <w:sz w:val="20"/>
          <w:szCs w:val="20"/>
        </w:rPr>
        <w:t xml:space="preserve"> </w:t>
      </w:r>
      <w:hyperlink r:id="rId511" w:anchor="/" w:history="1">
        <w:r w:rsidRPr="003A5A6A">
          <w:rPr>
            <w:rFonts w:ascii="Roboto" w:hAnsi="Roboto" w:cs="Arial"/>
            <w:color w:val="0563C1" w:themeColor="hyperlink"/>
            <w:sz w:val="20"/>
            <w:szCs w:val="20"/>
            <w:u w:val="single"/>
          </w:rPr>
          <w:t>Open Contracting Partnership</w:t>
        </w:r>
      </w:hyperlink>
      <w:r w:rsidRPr="003625BA">
        <w:rPr>
          <w:rFonts w:ascii="Roboto" w:hAnsi="Roboto" w:cs="Arial"/>
          <w:sz w:val="20"/>
          <w:szCs w:val="20"/>
        </w:rPr>
        <w:t>: Governments shall recognize the right of the public to participate in the oversight of the formation, award, execution, performance, and completion of public contracts.</w:t>
      </w:r>
    </w:p>
    <w:p w14:paraId="7E25F66C" w14:textId="77777777" w:rsidR="00851D63" w:rsidRPr="003625BA" w:rsidRDefault="00851D63" w:rsidP="00851D63">
      <w:pPr>
        <w:spacing w:line="276" w:lineRule="auto"/>
        <w:jc w:val="both"/>
        <w:rPr>
          <w:rFonts w:ascii="Roboto" w:hAnsi="Roboto" w:cs="Arial"/>
          <w:sz w:val="20"/>
          <w:szCs w:val="20"/>
        </w:rPr>
      </w:pPr>
    </w:p>
    <w:p w14:paraId="116B8E7D" w14:textId="2CA6AB3F" w:rsidR="00851D63" w:rsidRPr="003A5A6A" w:rsidRDefault="00851D63" w:rsidP="00851D63">
      <w:pPr>
        <w:spacing w:after="160" w:line="276" w:lineRule="auto"/>
        <w:rPr>
          <w:rFonts w:ascii="Roboto" w:hAnsi="Roboto" w:cs="Arial"/>
          <w:b/>
          <w:bCs/>
          <w:i/>
          <w:color w:val="69557F"/>
        </w:rPr>
      </w:pPr>
      <w:r w:rsidRPr="003A5A6A">
        <w:rPr>
          <w:rFonts w:ascii="Roboto" w:hAnsi="Roboto" w:cs="Arial"/>
          <w:b/>
          <w:bCs/>
          <w:i/>
          <w:color w:val="69557F"/>
        </w:rPr>
        <w:t>Natural resource revenue</w:t>
      </w:r>
    </w:p>
    <w:p w14:paraId="6646119F" w14:textId="77777777" w:rsidR="00851D63" w:rsidRPr="003625BA" w:rsidRDefault="00AC4DF7" w:rsidP="00851D63">
      <w:pPr>
        <w:spacing w:line="276" w:lineRule="auto"/>
        <w:jc w:val="both"/>
        <w:rPr>
          <w:rFonts w:ascii="Roboto" w:hAnsi="Roboto" w:cs="Arial"/>
          <w:sz w:val="20"/>
          <w:szCs w:val="20"/>
        </w:rPr>
      </w:pPr>
      <w:hyperlink r:id="rId512" w:history="1">
        <w:r w:rsidR="00851D63" w:rsidRPr="003625BA">
          <w:rPr>
            <w:rFonts w:ascii="Roboto" w:hAnsi="Roboto" w:cs="Arial"/>
            <w:bCs/>
            <w:iCs/>
            <w:color w:val="0563C1" w:themeColor="hyperlink"/>
            <w:sz w:val="20"/>
            <w:szCs w:val="20"/>
            <w:u w:val="single"/>
          </w:rPr>
          <w:t>Extractive Industries Transparency Initiative (EITI) Standard</w:t>
        </w:r>
      </w:hyperlink>
      <w:r w:rsidR="00851D63" w:rsidRPr="003625BA">
        <w:rPr>
          <w:rFonts w:ascii="Roboto" w:hAnsi="Roboto" w:cs="Arial"/>
          <w:bCs/>
          <w:iCs/>
          <w:sz w:val="20"/>
          <w:szCs w:val="20"/>
        </w:rPr>
        <w:t xml:space="preserve"> (</w:t>
      </w:r>
      <w:r w:rsidR="00851D63" w:rsidRPr="003625BA">
        <w:rPr>
          <w:rFonts w:ascii="Roboto" w:hAnsi="Roboto" w:cs="Arial"/>
          <w:sz w:val="20"/>
          <w:szCs w:val="20"/>
        </w:rPr>
        <w:t>2019) requires:</w:t>
      </w:r>
    </w:p>
    <w:p w14:paraId="291EF427" w14:textId="5D4BA27E" w:rsidR="00851D63" w:rsidRPr="003625BA" w:rsidRDefault="00851D63" w:rsidP="00851D63">
      <w:pPr>
        <w:numPr>
          <w:ilvl w:val="0"/>
          <w:numId w:val="50"/>
        </w:numPr>
        <w:spacing w:line="276" w:lineRule="auto"/>
        <w:ind w:left="284" w:hanging="284"/>
        <w:jc w:val="both"/>
        <w:rPr>
          <w:rFonts w:ascii="Roboto" w:hAnsi="Roboto" w:cs="Arial"/>
          <w:sz w:val="20"/>
          <w:szCs w:val="20"/>
        </w:rPr>
      </w:pPr>
      <w:r w:rsidRPr="003625BA">
        <w:rPr>
          <w:rFonts w:ascii="Roboto" w:hAnsi="Roboto" w:cs="Arial"/>
          <w:sz w:val="20"/>
          <w:szCs w:val="20"/>
        </w:rPr>
        <w:t xml:space="preserve">Effective multi-stakeholder oversight, including a functioning multi-stakeholder group that involves the government, companies, and the full, independent, active and effective participation of civil society. </w:t>
      </w:r>
    </w:p>
    <w:p w14:paraId="23894B85" w14:textId="704355F1" w:rsidR="00851D63" w:rsidRPr="003625BA" w:rsidRDefault="00851D63" w:rsidP="00851D63">
      <w:pPr>
        <w:numPr>
          <w:ilvl w:val="0"/>
          <w:numId w:val="50"/>
        </w:numPr>
        <w:spacing w:after="160" w:line="276" w:lineRule="auto"/>
        <w:ind w:left="284" w:hanging="284"/>
        <w:jc w:val="both"/>
        <w:rPr>
          <w:rFonts w:ascii="Roboto" w:eastAsia="Calibri" w:hAnsi="Roboto" w:cs="Arial"/>
          <w:b/>
          <w:color w:val="404040" w:themeColor="text1" w:themeTint="BF"/>
          <w:sz w:val="20"/>
          <w:szCs w:val="20"/>
        </w:rPr>
      </w:pPr>
      <w:r w:rsidRPr="003625BA">
        <w:rPr>
          <w:rFonts w:ascii="Roboto" w:hAnsi="Roboto" w:cs="Arial"/>
          <w:sz w:val="20"/>
          <w:szCs w:val="20"/>
        </w:rPr>
        <w:t xml:space="preserve">That stakeholders are engaged in dialogue about natural resource revenue management, for instance, by the multi-stakeholder group ensuring that outreach events are undertaken to spread awareness of and facilitate dialogue about governance of extractive resources, building on EITI disclosures across the country in a socially inclusive manner. </w:t>
      </w:r>
    </w:p>
    <w:p w14:paraId="6522EE81" w14:textId="77777777" w:rsidR="00851D63" w:rsidRPr="003625BA" w:rsidRDefault="00851D63" w:rsidP="00851D63">
      <w:pPr>
        <w:spacing w:line="276" w:lineRule="auto"/>
        <w:jc w:val="both"/>
        <w:rPr>
          <w:rFonts w:ascii="Roboto" w:hAnsi="Roboto" w:cs="Arial"/>
          <w:b/>
          <w:bCs/>
          <w:sz w:val="20"/>
          <w:szCs w:val="20"/>
        </w:rPr>
      </w:pPr>
      <w:r w:rsidRPr="003625BA">
        <w:rPr>
          <w:rFonts w:ascii="Roboto" w:hAnsi="Roboto" w:cs="Arial"/>
          <w:sz w:val="20"/>
          <w:szCs w:val="20"/>
        </w:rPr>
        <w:t>Pillar IV of the IMF’s</w:t>
      </w:r>
      <w:r w:rsidRPr="003625BA">
        <w:rPr>
          <w:rFonts w:ascii="Roboto" w:eastAsia="Calibri" w:hAnsi="Roboto" w:cs="Arial"/>
          <w:bCs/>
          <w:color w:val="404040" w:themeColor="text1" w:themeTint="BF"/>
          <w:sz w:val="20"/>
          <w:szCs w:val="20"/>
        </w:rPr>
        <w:t xml:space="preserve"> </w:t>
      </w:r>
      <w:hyperlink r:id="rId513" w:history="1">
        <w:r w:rsidRPr="003625BA">
          <w:rPr>
            <w:rFonts w:ascii="Roboto" w:eastAsia="Calibri" w:hAnsi="Roboto" w:cs="Arial"/>
            <w:bCs/>
            <w:color w:val="0563C1" w:themeColor="hyperlink"/>
            <w:sz w:val="20"/>
            <w:szCs w:val="20"/>
            <w:u w:val="single"/>
          </w:rPr>
          <w:t>Fiscal Transparency Code</w:t>
        </w:r>
      </w:hyperlink>
      <w:r w:rsidRPr="003625BA">
        <w:rPr>
          <w:rFonts w:ascii="Roboto" w:eastAsia="Calibri" w:hAnsi="Roboto" w:cs="Arial"/>
          <w:bCs/>
          <w:color w:val="404040" w:themeColor="text1" w:themeTint="BF"/>
          <w:sz w:val="20"/>
          <w:szCs w:val="20"/>
        </w:rPr>
        <w:t xml:space="preserve"> </w:t>
      </w:r>
      <w:r w:rsidRPr="003625BA">
        <w:rPr>
          <w:rFonts w:ascii="Roboto" w:hAnsi="Roboto" w:cs="Arial"/>
          <w:sz w:val="20"/>
          <w:szCs w:val="20"/>
        </w:rPr>
        <w:t>(2019) states that Government revenues from natural resource exploration and extraction activity should be collected, managed, and disbursed in an open and transparent manner. [IMF</w:t>
      </w:r>
      <w:r w:rsidRPr="003625BA">
        <w:rPr>
          <w:rFonts w:ascii="Roboto" w:eastAsia="Calibri" w:hAnsi="Roboto" w:cs="Arial"/>
          <w:color w:val="404040" w:themeColor="text1" w:themeTint="BF"/>
          <w:sz w:val="20"/>
          <w:szCs w:val="20"/>
        </w:rPr>
        <w:t xml:space="preserve"> </w:t>
      </w:r>
      <w:hyperlink r:id="rId514" w:history="1">
        <w:r w:rsidRPr="003625BA">
          <w:rPr>
            <w:rFonts w:ascii="Roboto" w:eastAsia="Calibri" w:hAnsi="Roboto" w:cs="Arial"/>
            <w:color w:val="0563C1" w:themeColor="hyperlink"/>
            <w:sz w:val="20"/>
            <w:szCs w:val="20"/>
            <w:u w:val="single"/>
          </w:rPr>
          <w:t>Guide on Resource Revenue Transparency</w:t>
        </w:r>
      </w:hyperlink>
      <w:r w:rsidRPr="003625BA">
        <w:rPr>
          <w:rFonts w:ascii="Roboto" w:eastAsia="Calibri" w:hAnsi="Roboto" w:cs="Arial"/>
          <w:color w:val="404040" w:themeColor="text1" w:themeTint="BF"/>
          <w:sz w:val="20"/>
          <w:szCs w:val="20"/>
        </w:rPr>
        <w:t xml:space="preserve"> </w:t>
      </w:r>
      <w:r w:rsidRPr="003625BA">
        <w:rPr>
          <w:rFonts w:ascii="Roboto" w:hAnsi="Roboto" w:cs="Arial"/>
          <w:sz w:val="20"/>
          <w:szCs w:val="20"/>
        </w:rPr>
        <w:t>(2005)]</w:t>
      </w:r>
    </w:p>
    <w:p w14:paraId="0824A5C1" w14:textId="77777777" w:rsidR="00851D63" w:rsidRPr="00495EE4" w:rsidRDefault="00851D63" w:rsidP="00851D63">
      <w:pPr>
        <w:spacing w:line="276" w:lineRule="auto"/>
        <w:rPr>
          <w:rFonts w:ascii="Arial" w:hAnsi="Arial" w:cs="Arial"/>
          <w:sz w:val="24"/>
          <w:szCs w:val="24"/>
        </w:rPr>
      </w:pPr>
    </w:p>
    <w:p w14:paraId="1D3D5ADE" w14:textId="77777777" w:rsidR="00201E14" w:rsidRPr="00257FBA" w:rsidRDefault="00201E14" w:rsidP="00257FBA"/>
    <w:p w14:paraId="3F4C0436" w14:textId="5B14679D" w:rsidR="00C34643" w:rsidRDefault="00C34643">
      <w:pPr>
        <w:pStyle w:val="Heading2"/>
        <w:numPr>
          <w:ilvl w:val="1"/>
          <w:numId w:val="47"/>
        </w:numPr>
        <w:rPr>
          <w:rFonts w:ascii="Arial" w:hAnsi="Arial" w:cs="Arial"/>
          <w:b/>
          <w:bCs/>
          <w:color w:val="69557F"/>
          <w:sz w:val="36"/>
          <w:szCs w:val="36"/>
        </w:rPr>
      </w:pPr>
      <w:bookmarkStart w:id="1086" w:name="_Toc119794471"/>
      <w:bookmarkStart w:id="1087" w:name="_Toc123204460"/>
      <w:bookmarkStart w:id="1088" w:name="_Toc123216553"/>
      <w:bookmarkStart w:id="1089" w:name="_Toc123217393"/>
      <w:bookmarkStart w:id="1090" w:name="_Toc123913362"/>
      <w:bookmarkStart w:id="1091" w:name="_Toc123914018"/>
      <w:bookmarkStart w:id="1092" w:name="_Toc125566638"/>
      <w:r>
        <w:rPr>
          <w:rFonts w:ascii="Arial" w:hAnsi="Arial" w:cs="Arial"/>
          <w:b/>
          <w:bCs/>
          <w:color w:val="69557F"/>
          <w:sz w:val="36"/>
          <w:szCs w:val="36"/>
        </w:rPr>
        <w:t xml:space="preserve">Designing and </w:t>
      </w:r>
      <w:r w:rsidR="0060387C">
        <w:rPr>
          <w:rFonts w:ascii="Arial" w:hAnsi="Arial" w:cs="Arial"/>
          <w:b/>
          <w:bCs/>
          <w:color w:val="69557F"/>
          <w:sz w:val="36"/>
          <w:szCs w:val="36"/>
        </w:rPr>
        <w:t>implementing p</w:t>
      </w:r>
      <w:r>
        <w:rPr>
          <w:rFonts w:ascii="Arial" w:hAnsi="Arial" w:cs="Arial"/>
          <w:b/>
          <w:bCs/>
          <w:color w:val="69557F"/>
          <w:sz w:val="36"/>
          <w:szCs w:val="36"/>
        </w:rPr>
        <w:t xml:space="preserve">ublic </w:t>
      </w:r>
      <w:r w:rsidR="0060387C">
        <w:rPr>
          <w:rFonts w:ascii="Arial" w:hAnsi="Arial" w:cs="Arial"/>
          <w:b/>
          <w:bCs/>
          <w:color w:val="69557F"/>
          <w:sz w:val="36"/>
          <w:szCs w:val="36"/>
        </w:rPr>
        <w:t>p</w:t>
      </w:r>
      <w:r>
        <w:rPr>
          <w:rFonts w:ascii="Arial" w:hAnsi="Arial" w:cs="Arial"/>
          <w:b/>
          <w:bCs/>
          <w:color w:val="69557F"/>
          <w:sz w:val="36"/>
          <w:szCs w:val="36"/>
        </w:rPr>
        <w:t xml:space="preserve">articipation </w:t>
      </w:r>
      <w:r w:rsidR="0060387C">
        <w:rPr>
          <w:rFonts w:ascii="Arial" w:hAnsi="Arial" w:cs="Arial"/>
          <w:b/>
          <w:bCs/>
          <w:color w:val="69557F"/>
          <w:sz w:val="36"/>
          <w:szCs w:val="36"/>
        </w:rPr>
        <w:t>p</w:t>
      </w:r>
      <w:r>
        <w:rPr>
          <w:rFonts w:ascii="Arial" w:hAnsi="Arial" w:cs="Arial"/>
          <w:b/>
          <w:bCs/>
          <w:color w:val="69557F"/>
          <w:sz w:val="36"/>
          <w:szCs w:val="36"/>
        </w:rPr>
        <w:t>ractices</w:t>
      </w:r>
      <w:bookmarkEnd w:id="1086"/>
      <w:bookmarkEnd w:id="1087"/>
      <w:bookmarkEnd w:id="1088"/>
      <w:bookmarkEnd w:id="1089"/>
      <w:bookmarkEnd w:id="1090"/>
      <w:bookmarkEnd w:id="1091"/>
      <w:bookmarkEnd w:id="1092"/>
      <w:r>
        <w:rPr>
          <w:rFonts w:ascii="Arial" w:hAnsi="Arial" w:cs="Arial"/>
          <w:b/>
          <w:bCs/>
          <w:color w:val="69557F"/>
          <w:sz w:val="36"/>
          <w:szCs w:val="36"/>
        </w:rPr>
        <w:t xml:space="preserve"> </w:t>
      </w:r>
    </w:p>
    <w:p w14:paraId="148B367A" w14:textId="77777777" w:rsidR="00C34643" w:rsidRDefault="00C34643" w:rsidP="00C34643">
      <w:pPr>
        <w:jc w:val="both"/>
        <w:rPr>
          <w:rFonts w:asciiTheme="minorHAnsi" w:hAnsiTheme="minorHAnsi" w:cstheme="minorBidi"/>
        </w:rPr>
      </w:pPr>
    </w:p>
    <w:p w14:paraId="64832A2A" w14:textId="02B27DA8" w:rsidR="00C34643" w:rsidRPr="00C34643" w:rsidRDefault="00C34643" w:rsidP="00C34643">
      <w:pPr>
        <w:spacing w:line="276" w:lineRule="auto"/>
        <w:jc w:val="both"/>
        <w:rPr>
          <w:rFonts w:ascii="Arial" w:hAnsi="Arial" w:cs="Arial"/>
          <w:sz w:val="24"/>
          <w:szCs w:val="24"/>
        </w:rPr>
      </w:pPr>
      <w:r w:rsidRPr="00C34643">
        <w:rPr>
          <w:rFonts w:ascii="Arial" w:hAnsi="Arial" w:cs="Arial"/>
          <w:sz w:val="24"/>
          <w:szCs w:val="24"/>
        </w:rPr>
        <w:t>When designing and implementing public participation practices it is important that they are designed to meet the Principles of Public Participation in Fiscal Policies. The Principles are intended to be applicable to all country contexts, although the specific institutions, processes and programs for public participation reflect diverse country circumstances. Variation across countries including disparities in terms of governmental structures and processes, density and vibrancy of civil society, the level of socio-economic wealth, and the availability of different technologies, means that there isn’t a set of best practices that can be uniformly adopted.</w:t>
      </w:r>
    </w:p>
    <w:p w14:paraId="16F58645" w14:textId="484383A0" w:rsidR="00C34643" w:rsidRPr="00C34643" w:rsidRDefault="00C34643" w:rsidP="00C34643">
      <w:pPr>
        <w:spacing w:line="276" w:lineRule="auto"/>
        <w:jc w:val="both"/>
        <w:rPr>
          <w:rFonts w:ascii="Arial" w:hAnsi="Arial" w:cs="Arial"/>
          <w:sz w:val="24"/>
          <w:szCs w:val="24"/>
        </w:rPr>
      </w:pPr>
    </w:p>
    <w:p w14:paraId="642CC5F4" w14:textId="611D7048" w:rsidR="00C34643" w:rsidRPr="00C34643" w:rsidRDefault="007E4585" w:rsidP="00C34643">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442622" behindDoc="0" locked="0" layoutInCell="1" allowOverlap="1" wp14:anchorId="7FC5848C" wp14:editId="41352235">
            <wp:simplePos x="0" y="0"/>
            <wp:positionH relativeFrom="column">
              <wp:posOffset>0</wp:posOffset>
            </wp:positionH>
            <wp:positionV relativeFrom="paragraph">
              <wp:posOffset>10160</wp:posOffset>
            </wp:positionV>
            <wp:extent cx="977900" cy="925195"/>
            <wp:effectExtent l="0" t="0" r="0" b="1905"/>
            <wp:wrapSquare wrapText="bothSides"/>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rotWithShape="1">
                    <a:blip r:embed="rId515" cstate="email">
                      <a:extLst>
                        <a:ext uri="{28A0092B-C50C-407E-A947-70E740481C1C}">
                          <a14:useLocalDpi xmlns:a14="http://schemas.microsoft.com/office/drawing/2010/main"/>
                        </a:ext>
                      </a:extLst>
                    </a:blip>
                    <a:srcRect/>
                    <a:stretch/>
                  </pic:blipFill>
                  <pic:spPr bwMode="auto">
                    <a:xfrm>
                      <a:off x="0" y="0"/>
                      <a:ext cx="977900" cy="925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4643" w:rsidRPr="00C34643">
        <w:rPr>
          <w:rFonts w:ascii="Arial" w:hAnsi="Arial" w:cs="Arial"/>
          <w:sz w:val="24"/>
          <w:szCs w:val="24"/>
        </w:rPr>
        <w:t>Multiple public participation tools and engagement channels are available, however randomly</w:t>
      </w:r>
      <w:r w:rsidR="00C34643" w:rsidRPr="00C34643">
        <w:rPr>
          <w:rFonts w:ascii="Arial" w:hAnsi="Arial" w:cs="Arial"/>
          <w:sz w:val="24"/>
          <w:szCs w:val="24"/>
          <w:lang w:val="en-US"/>
        </w:rPr>
        <w:t xml:space="preserve"> choosing a tool and undertaking public participation just for the sake of doing it, is likely to be ineffective and undermine trust. When embarking on a public participation journey, it is thus important that, desired engagement results are determined and matched with appropriate tools such that meaningful public participation can take place. </w:t>
      </w:r>
      <w:r w:rsidR="00C34643" w:rsidRPr="00C34643">
        <w:rPr>
          <w:rFonts w:ascii="Arial" w:hAnsi="Arial" w:cs="Arial"/>
          <w:sz w:val="24"/>
          <w:szCs w:val="24"/>
        </w:rPr>
        <w:t xml:space="preserve">Governments and non-state actors should work together to design </w:t>
      </w:r>
      <w:r w:rsidR="00C34643" w:rsidRPr="00C34643">
        <w:rPr>
          <w:rFonts w:ascii="Arial" w:hAnsi="Arial" w:cs="Arial"/>
          <w:sz w:val="24"/>
          <w:szCs w:val="24"/>
        </w:rPr>
        <w:lastRenderedPageBreak/>
        <w:t xml:space="preserve">public participation practices that correspond to national specific political and policy needs, adopting appropriate public participation options and tools, towards the progressive achievement of the Principles. </w:t>
      </w:r>
    </w:p>
    <w:p w14:paraId="24B30705" w14:textId="77777777" w:rsidR="00C34643" w:rsidRPr="00C34643" w:rsidRDefault="00C34643" w:rsidP="00C34643">
      <w:pPr>
        <w:spacing w:line="276" w:lineRule="auto"/>
        <w:jc w:val="both"/>
        <w:rPr>
          <w:rFonts w:ascii="Arial" w:hAnsi="Arial" w:cs="Arial"/>
          <w:sz w:val="24"/>
          <w:szCs w:val="24"/>
        </w:rPr>
      </w:pPr>
    </w:p>
    <w:p w14:paraId="03211B71" w14:textId="4BF051CB" w:rsidR="00C34643" w:rsidRDefault="00C34643" w:rsidP="00C34643">
      <w:pPr>
        <w:spacing w:line="276" w:lineRule="auto"/>
        <w:jc w:val="both"/>
        <w:rPr>
          <w:rFonts w:ascii="Arial" w:hAnsi="Arial" w:cs="Arial"/>
          <w:sz w:val="24"/>
          <w:szCs w:val="24"/>
          <w:lang w:val="en-ZA"/>
        </w:rPr>
      </w:pPr>
      <w:r w:rsidRPr="00C34643">
        <w:rPr>
          <w:rFonts w:ascii="Arial" w:hAnsi="Arial" w:cs="Arial"/>
          <w:sz w:val="24"/>
          <w:szCs w:val="24"/>
          <w:lang w:val="en-ZA"/>
        </w:rPr>
        <w:t>Designing appropriate public participation mechanisms requires that decisions are taken on the objectives; target audience; and when and how the participation should take place: </w:t>
      </w:r>
    </w:p>
    <w:p w14:paraId="5D7EC671" w14:textId="759446AD" w:rsidR="00DA10F9" w:rsidRDefault="00DA10F9" w:rsidP="00C34643">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2443646" behindDoc="1" locked="0" layoutInCell="1" allowOverlap="1" wp14:anchorId="609CB414" wp14:editId="45AAD914">
            <wp:simplePos x="0" y="0"/>
            <wp:positionH relativeFrom="column">
              <wp:posOffset>1282700</wp:posOffset>
            </wp:positionH>
            <wp:positionV relativeFrom="paragraph">
              <wp:posOffset>95885</wp:posOffset>
            </wp:positionV>
            <wp:extent cx="1021715" cy="1003300"/>
            <wp:effectExtent l="0" t="0" r="0" b="0"/>
            <wp:wrapTight wrapText="bothSides">
              <wp:wrapPolygon edited="0">
                <wp:start x="18257" y="0"/>
                <wp:lineTo x="7786" y="1641"/>
                <wp:lineTo x="2416" y="3008"/>
                <wp:lineTo x="2416" y="4648"/>
                <wp:lineTo x="1074" y="6835"/>
                <wp:lineTo x="268" y="8749"/>
                <wp:lineTo x="0" y="12851"/>
                <wp:lineTo x="268" y="13944"/>
                <wp:lineTo x="2148" y="17772"/>
                <wp:lineTo x="7249" y="21327"/>
                <wp:lineTo x="12619" y="21327"/>
                <wp:lineTo x="17452" y="18319"/>
                <wp:lineTo x="20137" y="13397"/>
                <wp:lineTo x="19868" y="9023"/>
                <wp:lineTo x="18526" y="6015"/>
                <wp:lineTo x="17720" y="4648"/>
                <wp:lineTo x="20674" y="4375"/>
                <wp:lineTo x="20942" y="1914"/>
                <wp:lineTo x="19600" y="0"/>
                <wp:lineTo x="18257" y="0"/>
              </wp:wrapPolygon>
            </wp:wrapTight>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rotWithShape="1">
                    <a:blip r:embed="rId516" cstate="email">
                      <a:extLst>
                        <a:ext uri="{28A0092B-C50C-407E-A947-70E740481C1C}">
                          <a14:useLocalDpi xmlns:a14="http://schemas.microsoft.com/office/drawing/2010/main"/>
                        </a:ext>
                      </a:extLst>
                    </a:blip>
                    <a:srcRect/>
                    <a:stretch/>
                  </pic:blipFill>
                  <pic:spPr bwMode="auto">
                    <a:xfrm>
                      <a:off x="0" y="0"/>
                      <a:ext cx="1021715" cy="100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F51FAD" w14:textId="0CF64683" w:rsidR="00DA10F9" w:rsidRDefault="00DA10F9" w:rsidP="00C34643">
      <w:pPr>
        <w:spacing w:line="276" w:lineRule="auto"/>
        <w:jc w:val="both"/>
        <w:rPr>
          <w:rFonts w:ascii="Arial" w:hAnsi="Arial" w:cs="Arial"/>
          <w:sz w:val="24"/>
          <w:szCs w:val="24"/>
          <w:lang w:val="en-ZA"/>
        </w:rPr>
      </w:pPr>
    </w:p>
    <w:p w14:paraId="3FAB33CD" w14:textId="43E52D85" w:rsidR="00DA10F9" w:rsidRDefault="006B7DF3" w:rsidP="00C34643">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2445694" behindDoc="0" locked="0" layoutInCell="1" allowOverlap="1" wp14:anchorId="425E9222" wp14:editId="11E02B99">
                <wp:simplePos x="0" y="0"/>
                <wp:positionH relativeFrom="column">
                  <wp:posOffset>2425700</wp:posOffset>
                </wp:positionH>
                <wp:positionV relativeFrom="paragraph">
                  <wp:posOffset>121920</wp:posOffset>
                </wp:positionV>
                <wp:extent cx="2108200" cy="367665"/>
                <wp:effectExtent l="0" t="0" r="0" b="0"/>
                <wp:wrapNone/>
                <wp:docPr id="520" name="Text Box 520"/>
                <wp:cNvGraphicFramePr/>
                <a:graphic xmlns:a="http://schemas.openxmlformats.org/drawingml/2006/main">
                  <a:graphicData uri="http://schemas.microsoft.com/office/word/2010/wordprocessingShape">
                    <wps:wsp>
                      <wps:cNvSpPr txBox="1"/>
                      <wps:spPr>
                        <a:xfrm>
                          <a:off x="0" y="0"/>
                          <a:ext cx="2108200" cy="367665"/>
                        </a:xfrm>
                        <a:prstGeom prst="rect">
                          <a:avLst/>
                        </a:prstGeom>
                        <a:noFill/>
                        <a:ln w="6350">
                          <a:noFill/>
                        </a:ln>
                      </wps:spPr>
                      <wps:txbx>
                        <w:txbxContent>
                          <w:p w14:paraId="0A87FB3F" w14:textId="7F785EFC" w:rsidR="00D15FD8" w:rsidRPr="00775C33" w:rsidRDefault="00D15FD8" w:rsidP="006B7DF3">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Objectives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E9222" id="Text Box 520" o:spid="_x0000_s1292" type="#_x0000_t202" style="position:absolute;left:0;text-align:left;margin-left:191pt;margin-top:9.6pt;width:166pt;height:28.95pt;z-index:252445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" filled="f" stroked="f" strokeweight=".5pt">
                <v:textbox>
                  <w:txbxContent>
                    <w:p w14:paraId="0A87FB3F" w14:textId="7F785EFC" w:rsidR="00D15FD8" w:rsidRPr="00775C33" w:rsidRDefault="00D15FD8" w:rsidP="006B7DF3">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Objectives</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44670" behindDoc="0" locked="0" layoutInCell="1" allowOverlap="1" wp14:anchorId="35EEB6F4" wp14:editId="0146DB45">
                <wp:simplePos x="0" y="0"/>
                <wp:positionH relativeFrom="column">
                  <wp:posOffset>2308225</wp:posOffset>
                </wp:positionH>
                <wp:positionV relativeFrom="paragraph">
                  <wp:posOffset>5080</wp:posOffset>
                </wp:positionV>
                <wp:extent cx="2350800" cy="590550"/>
                <wp:effectExtent l="0" t="0" r="0" b="6350"/>
                <wp:wrapNone/>
                <wp:docPr id="519" name="Rounded Rectangle 519"/>
                <wp:cNvGraphicFramePr/>
                <a:graphic xmlns:a="http://schemas.openxmlformats.org/drawingml/2006/main">
                  <a:graphicData uri="http://schemas.microsoft.com/office/word/2010/wordprocessingShape">
                    <wps:wsp>
                      <wps:cNvSpPr/>
                      <wps:spPr>
                        <a:xfrm>
                          <a:off x="0" y="0"/>
                          <a:ext cx="2350800" cy="590550"/>
                        </a:xfrm>
                        <a:prstGeom prst="roundRect">
                          <a:avLst>
                            <a:gd name="adj" fmla="val 12891"/>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5C916D0F" id="Rounded Rectangle 519" o:spid="_x0000_s1026" style="position:absolute;margin-left:181.75pt;margin-top:.4pt;width:185.1pt;height:46.5pt;z-index:2524446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4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" fillcolor="#69557f" stroked="f" strokeweight="1pt">
                <v:stroke joinstyle="miter"/>
              </v:roundrect>
            </w:pict>
          </mc:Fallback>
        </mc:AlternateContent>
      </w:r>
    </w:p>
    <w:p w14:paraId="73E218CE" w14:textId="44442B8E" w:rsidR="00DA10F9" w:rsidRDefault="00DA10F9" w:rsidP="00C34643">
      <w:pPr>
        <w:spacing w:line="276" w:lineRule="auto"/>
        <w:jc w:val="both"/>
        <w:rPr>
          <w:rFonts w:ascii="Arial" w:hAnsi="Arial" w:cs="Arial"/>
          <w:sz w:val="24"/>
          <w:szCs w:val="24"/>
          <w:lang w:val="en-ZA"/>
        </w:rPr>
      </w:pPr>
    </w:p>
    <w:p w14:paraId="502D5755" w14:textId="767C268D" w:rsidR="00DA10F9" w:rsidRDefault="00DA10F9" w:rsidP="00C34643">
      <w:pPr>
        <w:spacing w:line="276" w:lineRule="auto"/>
        <w:jc w:val="both"/>
        <w:rPr>
          <w:rFonts w:ascii="Arial" w:hAnsi="Arial" w:cs="Arial"/>
          <w:sz w:val="24"/>
          <w:szCs w:val="24"/>
          <w:lang w:val="en-ZA"/>
        </w:rPr>
      </w:pPr>
    </w:p>
    <w:p w14:paraId="13DFE4CA" w14:textId="0F58CCB6" w:rsidR="00DA10F9" w:rsidRDefault="00DA10F9" w:rsidP="00C34643">
      <w:pPr>
        <w:spacing w:line="276" w:lineRule="auto"/>
        <w:jc w:val="both"/>
        <w:rPr>
          <w:rFonts w:ascii="Arial" w:hAnsi="Arial" w:cs="Arial"/>
          <w:sz w:val="24"/>
          <w:szCs w:val="24"/>
          <w:lang w:val="en-ZA"/>
        </w:rPr>
      </w:pPr>
    </w:p>
    <w:p w14:paraId="686D7C3B" w14:textId="6D666F9B" w:rsidR="00C34643" w:rsidRDefault="00C34643" w:rsidP="00DA10F9">
      <w:pPr>
        <w:spacing w:line="276" w:lineRule="auto"/>
        <w:jc w:val="both"/>
        <w:rPr>
          <w:rFonts w:ascii="Arial" w:hAnsi="Arial" w:cs="Arial"/>
          <w:sz w:val="24"/>
          <w:szCs w:val="24"/>
        </w:rPr>
      </w:pPr>
      <w:r w:rsidRPr="00C34643">
        <w:rPr>
          <w:rFonts w:ascii="Arial" w:hAnsi="Arial" w:cs="Arial"/>
          <w:sz w:val="24"/>
          <w:szCs w:val="24"/>
        </w:rPr>
        <w:t>At the outset, public participation mechanisms should have a clear purpose and objectives. To have impact, objectives should align with, reinforce and complement fiscal policy goals. Answering the following questions can assist in this regard:</w:t>
      </w:r>
    </w:p>
    <w:p w14:paraId="1740994F" w14:textId="4E03F821" w:rsidR="00DA10F9" w:rsidRDefault="00DA10F9" w:rsidP="00DA10F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47742" behindDoc="0" locked="0" layoutInCell="1" allowOverlap="1" wp14:anchorId="565292BB" wp14:editId="5B751937">
                <wp:simplePos x="0" y="0"/>
                <wp:positionH relativeFrom="column">
                  <wp:posOffset>-109639</wp:posOffset>
                </wp:positionH>
                <wp:positionV relativeFrom="paragraph">
                  <wp:posOffset>138430</wp:posOffset>
                </wp:positionV>
                <wp:extent cx="6266985" cy="312188"/>
                <wp:effectExtent l="0" t="0" r="0" b="0"/>
                <wp:wrapNone/>
                <wp:docPr id="522" name="Text Box 522"/>
                <wp:cNvGraphicFramePr/>
                <a:graphic xmlns:a="http://schemas.openxmlformats.org/drawingml/2006/main">
                  <a:graphicData uri="http://schemas.microsoft.com/office/word/2010/wordprocessingShape">
                    <wps:wsp>
                      <wps:cNvSpPr txBox="1"/>
                      <wps:spPr>
                        <a:xfrm>
                          <a:off x="0" y="0"/>
                          <a:ext cx="6266985" cy="312188"/>
                        </a:xfrm>
                        <a:prstGeom prst="rect">
                          <a:avLst/>
                        </a:prstGeom>
                        <a:noFill/>
                        <a:ln w="6350">
                          <a:noFill/>
                        </a:ln>
                      </wps:spPr>
                      <wps:txbx>
                        <w:txbxContent>
                          <w:p w14:paraId="7595E7B9" w14:textId="77777777" w:rsidR="00D15FD8" w:rsidRPr="00DA10F9" w:rsidRDefault="00D15FD8">
                            <w:pPr>
                              <w:pStyle w:val="ListParagraph"/>
                              <w:numPr>
                                <w:ilvl w:val="0"/>
                                <w:numId w:val="51"/>
                              </w:numPr>
                              <w:spacing w:line="276" w:lineRule="auto"/>
                              <w:jc w:val="both"/>
                              <w:rPr>
                                <w:rFonts w:ascii="Arial" w:hAnsi="Arial" w:cs="Arial"/>
                                <w:sz w:val="24"/>
                                <w:szCs w:val="24"/>
                              </w:rPr>
                            </w:pPr>
                            <w:r w:rsidRPr="00DA10F9">
                              <w:rPr>
                                <w:rFonts w:ascii="Arial" w:hAnsi="Arial" w:cs="Arial"/>
                                <w:sz w:val="24"/>
                                <w:szCs w:val="24"/>
                              </w:rPr>
                              <w:t>How will participation assist in the achievement of fiscal policy goals? </w:t>
                            </w:r>
                          </w:p>
                          <w:p w14:paraId="288F5FC3"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5292BB" id="Text Box 522" o:spid="_x0000_s1293" type="#_x0000_t202" style="position:absolute;left:0;text-align:left;margin-left:-8.65pt;margin-top:10.9pt;width:493.45pt;height:24.6pt;z-index:2524477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" filled="f" stroked="f" strokeweight=".5pt">
                <v:textbox>
                  <w:txbxContent>
                    <w:p w14:paraId="7595E7B9" w14:textId="77777777" w:rsidR="00D15FD8" w:rsidRPr="00DA10F9" w:rsidRDefault="00D15FD8">
                      <w:pPr>
                        <w:pStyle w:val="ListParagraph"/>
                        <w:numPr>
                          <w:ilvl w:val="0"/>
                          <w:numId w:val="51"/>
                        </w:numPr>
                        <w:spacing w:line="276" w:lineRule="auto"/>
                        <w:jc w:val="both"/>
                        <w:rPr>
                          <w:rFonts w:ascii="Arial" w:hAnsi="Arial" w:cs="Arial"/>
                          <w:sz w:val="24"/>
                          <w:szCs w:val="24"/>
                        </w:rPr>
                      </w:pPr>
                      <w:r w:rsidRPr="00DA10F9">
                        <w:rPr>
                          <w:rFonts w:ascii="Arial" w:hAnsi="Arial" w:cs="Arial"/>
                          <w:sz w:val="24"/>
                          <w:szCs w:val="24"/>
                        </w:rPr>
                        <w:t>How will participation assist in the achievement of fiscal policy goals? </w:t>
                      </w:r>
                    </w:p>
                    <w:p w14:paraId="288F5FC3" w14:textId="77777777" w:rsidR="00D15FD8" w:rsidRDefault="00D15FD8"/>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46718" behindDoc="0" locked="0" layoutInCell="1" allowOverlap="1" wp14:anchorId="1C385A91" wp14:editId="4259D7D6">
                <wp:simplePos x="0" y="0"/>
                <wp:positionH relativeFrom="column">
                  <wp:posOffset>1270</wp:posOffset>
                </wp:positionH>
                <wp:positionV relativeFrom="paragraph">
                  <wp:posOffset>94971</wp:posOffset>
                </wp:positionV>
                <wp:extent cx="6668429" cy="366441"/>
                <wp:effectExtent l="12700" t="12700" r="12065" b="14605"/>
                <wp:wrapNone/>
                <wp:docPr id="521" name="Rounded Rectangle 521"/>
                <wp:cNvGraphicFramePr/>
                <a:graphic xmlns:a="http://schemas.openxmlformats.org/drawingml/2006/main">
                  <a:graphicData uri="http://schemas.microsoft.com/office/word/2010/wordprocessingShape">
                    <wps:wsp>
                      <wps:cNvSpPr/>
                      <wps:spPr>
                        <a:xfrm>
                          <a:off x="0" y="0"/>
                          <a:ext cx="6668429" cy="366441"/>
                        </a:xfrm>
                        <a:prstGeom prst="roundRect">
                          <a:avLst/>
                        </a:prstGeom>
                        <a:noFill/>
                        <a:ln w="28575">
                          <a:solidFill>
                            <a:srgbClr val="F26D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73B49273" id="Rounded Rectangle 521" o:spid="_x0000_s1026" style="position:absolute;margin-left:.1pt;margin-top:7.5pt;width:525.05pt;height:28.85pt;z-index:2524467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" filled="f" strokecolor="#f26d24" strokeweight="2.25pt">
                <v:stroke joinstyle="miter"/>
              </v:roundrect>
            </w:pict>
          </mc:Fallback>
        </mc:AlternateContent>
      </w:r>
    </w:p>
    <w:p w14:paraId="3254A571" w14:textId="10140A5A" w:rsidR="00DA10F9" w:rsidRDefault="00DA10F9" w:rsidP="00DA10F9">
      <w:pPr>
        <w:spacing w:line="276" w:lineRule="auto"/>
        <w:jc w:val="both"/>
        <w:rPr>
          <w:rFonts w:ascii="Arial" w:hAnsi="Arial" w:cs="Arial"/>
          <w:sz w:val="24"/>
          <w:szCs w:val="24"/>
        </w:rPr>
      </w:pPr>
    </w:p>
    <w:p w14:paraId="7C4AE4C4" w14:textId="4638FE7C" w:rsidR="00DA10F9" w:rsidRDefault="00DA10F9" w:rsidP="00DA10F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51838" behindDoc="0" locked="0" layoutInCell="1" allowOverlap="1" wp14:anchorId="7B94EF57" wp14:editId="1FF56C82">
                <wp:simplePos x="0" y="0"/>
                <wp:positionH relativeFrom="column">
                  <wp:posOffset>-114300</wp:posOffset>
                </wp:positionH>
                <wp:positionV relativeFrom="paragraph">
                  <wp:posOffset>231775</wp:posOffset>
                </wp:positionV>
                <wp:extent cx="6266985" cy="312188"/>
                <wp:effectExtent l="0" t="0" r="0" b="0"/>
                <wp:wrapNone/>
                <wp:docPr id="524" name="Text Box 524"/>
                <wp:cNvGraphicFramePr/>
                <a:graphic xmlns:a="http://schemas.openxmlformats.org/drawingml/2006/main">
                  <a:graphicData uri="http://schemas.microsoft.com/office/word/2010/wordprocessingShape">
                    <wps:wsp>
                      <wps:cNvSpPr txBox="1"/>
                      <wps:spPr>
                        <a:xfrm>
                          <a:off x="0" y="0"/>
                          <a:ext cx="6266985" cy="312188"/>
                        </a:xfrm>
                        <a:prstGeom prst="rect">
                          <a:avLst/>
                        </a:prstGeom>
                        <a:noFill/>
                        <a:ln w="6350">
                          <a:noFill/>
                        </a:ln>
                      </wps:spPr>
                      <wps:txbx>
                        <w:txbxContent>
                          <w:p w14:paraId="6ECA5BA9" w14:textId="77777777" w:rsidR="00D15FD8" w:rsidRPr="00DA10F9" w:rsidRDefault="00D15FD8">
                            <w:pPr>
                              <w:pStyle w:val="ListParagraph"/>
                              <w:numPr>
                                <w:ilvl w:val="0"/>
                                <w:numId w:val="52"/>
                              </w:numPr>
                              <w:rPr>
                                <w:rFonts w:ascii="Arial" w:hAnsi="Arial" w:cs="Arial"/>
                                <w:sz w:val="24"/>
                                <w:szCs w:val="24"/>
                              </w:rPr>
                            </w:pPr>
                            <w:r w:rsidRPr="00DA10F9">
                              <w:rPr>
                                <w:rFonts w:ascii="Arial" w:hAnsi="Arial" w:cs="Arial"/>
                                <w:sz w:val="24"/>
                                <w:szCs w:val="24"/>
                              </w:rPr>
                              <w:t xml:space="preserve">Who is the target audience? </w:t>
                            </w:r>
                          </w:p>
                          <w:p w14:paraId="3F58DC23" w14:textId="77777777" w:rsidR="00D15FD8" w:rsidRDefault="00D15FD8" w:rsidP="00DA10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94EF57" id="Text Box 524" o:spid="_x0000_s1294" type="#_x0000_t202" style="position:absolute;left:0;text-align:left;margin-left:-9pt;margin-top:18.25pt;width:493.45pt;height:24.6pt;z-index:2524518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" filled="f" stroked="f" strokeweight=".5pt">
                <v:textbox>
                  <w:txbxContent>
                    <w:p w14:paraId="6ECA5BA9" w14:textId="77777777" w:rsidR="00D15FD8" w:rsidRPr="00DA10F9" w:rsidRDefault="00D15FD8">
                      <w:pPr>
                        <w:pStyle w:val="ListParagraph"/>
                        <w:numPr>
                          <w:ilvl w:val="0"/>
                          <w:numId w:val="52"/>
                        </w:numPr>
                        <w:rPr>
                          <w:rFonts w:ascii="Arial" w:hAnsi="Arial" w:cs="Arial"/>
                          <w:sz w:val="24"/>
                          <w:szCs w:val="24"/>
                        </w:rPr>
                      </w:pPr>
                      <w:r w:rsidRPr="00DA10F9">
                        <w:rPr>
                          <w:rFonts w:ascii="Arial" w:hAnsi="Arial" w:cs="Arial"/>
                          <w:sz w:val="24"/>
                          <w:szCs w:val="24"/>
                        </w:rPr>
                        <w:t xml:space="preserve">Who is the target audience? </w:t>
                      </w:r>
                    </w:p>
                    <w:p w14:paraId="3F58DC23" w14:textId="77777777" w:rsidR="00D15FD8" w:rsidRDefault="00D15FD8" w:rsidP="00DA10F9"/>
                  </w:txbxContent>
                </v:textbox>
              </v:shape>
            </w:pict>
          </mc:Fallback>
        </mc:AlternateContent>
      </w:r>
    </w:p>
    <w:p w14:paraId="40B62EC9" w14:textId="04E6C253" w:rsidR="00DA10F9" w:rsidRDefault="00DA10F9" w:rsidP="00DA10F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49790" behindDoc="0" locked="0" layoutInCell="1" allowOverlap="1" wp14:anchorId="31A1F8EC" wp14:editId="1AACBAF6">
                <wp:simplePos x="0" y="0"/>
                <wp:positionH relativeFrom="column">
                  <wp:posOffset>-1905</wp:posOffset>
                </wp:positionH>
                <wp:positionV relativeFrom="paragraph">
                  <wp:posOffset>7620</wp:posOffset>
                </wp:positionV>
                <wp:extent cx="6668429" cy="366441"/>
                <wp:effectExtent l="12700" t="12700" r="12065" b="14605"/>
                <wp:wrapNone/>
                <wp:docPr id="523" name="Rounded Rectangle 523"/>
                <wp:cNvGraphicFramePr/>
                <a:graphic xmlns:a="http://schemas.openxmlformats.org/drawingml/2006/main">
                  <a:graphicData uri="http://schemas.microsoft.com/office/word/2010/wordprocessingShape">
                    <wps:wsp>
                      <wps:cNvSpPr/>
                      <wps:spPr>
                        <a:xfrm>
                          <a:off x="0" y="0"/>
                          <a:ext cx="6668429" cy="366441"/>
                        </a:xfrm>
                        <a:prstGeom prst="roundRect">
                          <a:avLst/>
                        </a:prstGeom>
                        <a:noFill/>
                        <a:ln w="28575">
                          <a:solidFill>
                            <a:srgbClr val="F26D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043A3629" id="Rounded Rectangle 523" o:spid="_x0000_s1026" style="position:absolute;margin-left:-.15pt;margin-top:.6pt;width:525.05pt;height:28.85pt;z-index:2524497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" filled="f" strokecolor="#f26d24" strokeweight="2.25pt">
                <v:stroke joinstyle="miter"/>
              </v:roundrect>
            </w:pict>
          </mc:Fallback>
        </mc:AlternateContent>
      </w:r>
    </w:p>
    <w:p w14:paraId="7DD0461D" w14:textId="2851F4BA" w:rsidR="00DA10F9" w:rsidRDefault="00DA10F9" w:rsidP="00DA10F9">
      <w:pPr>
        <w:spacing w:line="276" w:lineRule="auto"/>
        <w:jc w:val="both"/>
        <w:rPr>
          <w:rFonts w:ascii="Arial" w:hAnsi="Arial" w:cs="Arial"/>
          <w:sz w:val="24"/>
          <w:szCs w:val="24"/>
        </w:rPr>
      </w:pPr>
    </w:p>
    <w:p w14:paraId="48BB3DFE" w14:textId="7D656E1F" w:rsidR="00DA10F9" w:rsidRDefault="00DA10F9" w:rsidP="00DA10F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54910" behindDoc="0" locked="0" layoutInCell="1" allowOverlap="1" wp14:anchorId="0D021D14" wp14:editId="69B899DD">
                <wp:simplePos x="0" y="0"/>
                <wp:positionH relativeFrom="column">
                  <wp:posOffset>-111125</wp:posOffset>
                </wp:positionH>
                <wp:positionV relativeFrom="paragraph">
                  <wp:posOffset>162560</wp:posOffset>
                </wp:positionV>
                <wp:extent cx="6266815" cy="311785"/>
                <wp:effectExtent l="0" t="0" r="0" b="0"/>
                <wp:wrapNone/>
                <wp:docPr id="526" name="Text Box 526"/>
                <wp:cNvGraphicFramePr/>
                <a:graphic xmlns:a="http://schemas.openxmlformats.org/drawingml/2006/main">
                  <a:graphicData uri="http://schemas.microsoft.com/office/word/2010/wordprocessingShape">
                    <wps:wsp>
                      <wps:cNvSpPr txBox="1"/>
                      <wps:spPr>
                        <a:xfrm>
                          <a:off x="0" y="0"/>
                          <a:ext cx="6266815" cy="311785"/>
                        </a:xfrm>
                        <a:prstGeom prst="rect">
                          <a:avLst/>
                        </a:prstGeom>
                        <a:noFill/>
                        <a:ln w="6350">
                          <a:noFill/>
                        </a:ln>
                      </wps:spPr>
                      <wps:txbx>
                        <w:txbxContent>
                          <w:p w14:paraId="0D11399E" w14:textId="77777777" w:rsidR="00D15FD8" w:rsidRPr="00DA10F9" w:rsidRDefault="00D15FD8">
                            <w:pPr>
                              <w:pStyle w:val="ListParagraph"/>
                              <w:numPr>
                                <w:ilvl w:val="0"/>
                                <w:numId w:val="53"/>
                              </w:numPr>
                              <w:rPr>
                                <w:rFonts w:ascii="Arial" w:hAnsi="Arial" w:cs="Arial"/>
                                <w:sz w:val="24"/>
                                <w:szCs w:val="24"/>
                              </w:rPr>
                            </w:pPr>
                            <w:r w:rsidRPr="00DA10F9">
                              <w:rPr>
                                <w:rFonts w:ascii="Arial" w:hAnsi="Arial" w:cs="Arial"/>
                                <w:sz w:val="24"/>
                                <w:szCs w:val="24"/>
                              </w:rPr>
                              <w:t>What is the degree of involvement necessary to achieve policy objectives?</w:t>
                            </w:r>
                          </w:p>
                          <w:p w14:paraId="4205C4EB" w14:textId="77777777" w:rsidR="00D15FD8" w:rsidRDefault="00D15FD8" w:rsidP="00DA10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021D14" id="Text Box 526" o:spid="_x0000_s1295" type="#_x0000_t202" style="position:absolute;left:0;text-align:left;margin-left:-8.75pt;margin-top:12.8pt;width:493.45pt;height:24.55pt;z-index:2524549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" filled="f" stroked="f" strokeweight=".5pt">
                <v:textbox>
                  <w:txbxContent>
                    <w:p w14:paraId="0D11399E" w14:textId="77777777" w:rsidR="00D15FD8" w:rsidRPr="00DA10F9" w:rsidRDefault="00D15FD8">
                      <w:pPr>
                        <w:pStyle w:val="ListParagraph"/>
                        <w:numPr>
                          <w:ilvl w:val="0"/>
                          <w:numId w:val="53"/>
                        </w:numPr>
                        <w:rPr>
                          <w:rFonts w:ascii="Arial" w:hAnsi="Arial" w:cs="Arial"/>
                          <w:sz w:val="24"/>
                          <w:szCs w:val="24"/>
                        </w:rPr>
                      </w:pPr>
                      <w:r w:rsidRPr="00DA10F9">
                        <w:rPr>
                          <w:rFonts w:ascii="Arial" w:hAnsi="Arial" w:cs="Arial"/>
                          <w:sz w:val="24"/>
                          <w:szCs w:val="24"/>
                        </w:rPr>
                        <w:t>What is the degree of involvement necessary to achieve policy objectives?</w:t>
                      </w:r>
                    </w:p>
                    <w:p w14:paraId="4205C4EB" w14:textId="77777777" w:rsidR="00D15FD8" w:rsidRDefault="00D15FD8" w:rsidP="00DA10F9"/>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53886" behindDoc="0" locked="0" layoutInCell="1" allowOverlap="1" wp14:anchorId="0D08B587" wp14:editId="450016AB">
                <wp:simplePos x="0" y="0"/>
                <wp:positionH relativeFrom="column">
                  <wp:posOffset>635</wp:posOffset>
                </wp:positionH>
                <wp:positionV relativeFrom="paragraph">
                  <wp:posOffset>131166</wp:posOffset>
                </wp:positionV>
                <wp:extent cx="6668135" cy="366395"/>
                <wp:effectExtent l="12700" t="12700" r="12065" b="14605"/>
                <wp:wrapNone/>
                <wp:docPr id="525" name="Rounded Rectangle 525"/>
                <wp:cNvGraphicFramePr/>
                <a:graphic xmlns:a="http://schemas.openxmlformats.org/drawingml/2006/main">
                  <a:graphicData uri="http://schemas.microsoft.com/office/word/2010/wordprocessingShape">
                    <wps:wsp>
                      <wps:cNvSpPr/>
                      <wps:spPr>
                        <a:xfrm>
                          <a:off x="0" y="0"/>
                          <a:ext cx="6668135" cy="366395"/>
                        </a:xfrm>
                        <a:prstGeom prst="roundRect">
                          <a:avLst/>
                        </a:prstGeom>
                        <a:noFill/>
                        <a:ln w="28575">
                          <a:solidFill>
                            <a:srgbClr val="F26D2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70F9BEF3" id="Rounded Rectangle 525" o:spid="_x0000_s1026" style="position:absolute;margin-left:.05pt;margin-top:10.35pt;width:525.05pt;height:28.85pt;z-index:2524538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" filled="f" strokecolor="#f26d24" strokeweight="2.25pt">
                <v:stroke joinstyle="miter"/>
              </v:roundrect>
            </w:pict>
          </mc:Fallback>
        </mc:AlternateContent>
      </w:r>
    </w:p>
    <w:p w14:paraId="533514C0" w14:textId="6A2B12AD" w:rsidR="00DA10F9" w:rsidRDefault="00DA10F9" w:rsidP="00DA10F9">
      <w:pPr>
        <w:spacing w:line="276" w:lineRule="auto"/>
        <w:jc w:val="both"/>
        <w:rPr>
          <w:rFonts w:ascii="Arial" w:hAnsi="Arial" w:cs="Arial"/>
          <w:sz w:val="24"/>
          <w:szCs w:val="24"/>
        </w:rPr>
      </w:pPr>
    </w:p>
    <w:p w14:paraId="15F9B8CA" w14:textId="4AC6D964" w:rsidR="00DA10F9" w:rsidRDefault="00DA10F9" w:rsidP="00DA10F9">
      <w:pPr>
        <w:spacing w:line="276" w:lineRule="auto"/>
        <w:jc w:val="both"/>
        <w:rPr>
          <w:rFonts w:ascii="Arial" w:hAnsi="Arial" w:cs="Arial"/>
          <w:sz w:val="24"/>
          <w:szCs w:val="24"/>
        </w:rPr>
      </w:pPr>
    </w:p>
    <w:p w14:paraId="24ABF7E8" w14:textId="12075016" w:rsidR="00C34643" w:rsidRDefault="00C34643" w:rsidP="00DA10F9">
      <w:pPr>
        <w:spacing w:line="276" w:lineRule="auto"/>
        <w:jc w:val="both"/>
        <w:rPr>
          <w:rFonts w:ascii="Arial" w:hAnsi="Arial" w:cs="Arial"/>
          <w:sz w:val="24"/>
          <w:szCs w:val="24"/>
        </w:rPr>
      </w:pPr>
      <w:r w:rsidRPr="00C34643">
        <w:rPr>
          <w:rFonts w:ascii="Arial" w:hAnsi="Arial" w:cs="Arial"/>
          <w:sz w:val="24"/>
          <w:szCs w:val="24"/>
        </w:rPr>
        <w:t>Public participation should provide inputs to improve the design, integration, processes and/or execution of public resources. Public participation initiatives should be prioritized and sequenced to achieve higher development objectives and results. When thinking about the objectives of public participation, answering the following questions is key, such that efforts can be directed towards participation for results:</w:t>
      </w:r>
    </w:p>
    <w:p w14:paraId="278525B6" w14:textId="5DBD7BA0" w:rsidR="00DA10F9" w:rsidRDefault="00DA10F9" w:rsidP="00DA10F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57982" behindDoc="0" locked="0" layoutInCell="1" allowOverlap="1" wp14:anchorId="527F696D" wp14:editId="4EE4A5E7">
                <wp:simplePos x="0" y="0"/>
                <wp:positionH relativeFrom="column">
                  <wp:posOffset>-111125</wp:posOffset>
                </wp:positionH>
                <wp:positionV relativeFrom="paragraph">
                  <wp:posOffset>94336</wp:posOffset>
                </wp:positionV>
                <wp:extent cx="6266815" cy="311785"/>
                <wp:effectExtent l="0" t="0" r="0" b="0"/>
                <wp:wrapNone/>
                <wp:docPr id="528" name="Text Box 528"/>
                <wp:cNvGraphicFramePr/>
                <a:graphic xmlns:a="http://schemas.openxmlformats.org/drawingml/2006/main">
                  <a:graphicData uri="http://schemas.microsoft.com/office/word/2010/wordprocessingShape">
                    <wps:wsp>
                      <wps:cNvSpPr txBox="1"/>
                      <wps:spPr>
                        <a:xfrm>
                          <a:off x="0" y="0"/>
                          <a:ext cx="6266815" cy="311785"/>
                        </a:xfrm>
                        <a:prstGeom prst="rect">
                          <a:avLst/>
                        </a:prstGeom>
                        <a:noFill/>
                        <a:ln w="6350">
                          <a:noFill/>
                        </a:ln>
                      </wps:spPr>
                      <wps:txbx>
                        <w:txbxContent>
                          <w:p w14:paraId="7DCFE033" w14:textId="77777777" w:rsidR="00D15FD8" w:rsidRPr="00DA10F9" w:rsidRDefault="00D15FD8">
                            <w:pPr>
                              <w:pStyle w:val="ListParagraph"/>
                              <w:numPr>
                                <w:ilvl w:val="0"/>
                                <w:numId w:val="54"/>
                              </w:numPr>
                              <w:rPr>
                                <w:rFonts w:ascii="Arial" w:hAnsi="Arial" w:cs="Arial"/>
                                <w:sz w:val="24"/>
                                <w:szCs w:val="24"/>
                              </w:rPr>
                            </w:pPr>
                            <w:r w:rsidRPr="00DA10F9">
                              <w:rPr>
                                <w:rFonts w:ascii="Arial" w:hAnsi="Arial" w:cs="Arial"/>
                                <w:sz w:val="24"/>
                                <w:szCs w:val="24"/>
                              </w:rPr>
                              <w:t>Are there problems that can be solved or mitigated through public participation?</w:t>
                            </w:r>
                          </w:p>
                          <w:p w14:paraId="13C93368" w14:textId="77777777" w:rsidR="00D15FD8" w:rsidRDefault="00D15FD8" w:rsidP="00DA10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7F696D" id="Text Box 528" o:spid="_x0000_s1296" type="#_x0000_t202" style="position:absolute;left:0;text-align:left;margin-left:-8.75pt;margin-top:7.45pt;width:493.45pt;height:24.55pt;z-index:2524579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" filled="f" stroked="f" strokeweight=".5pt">
                <v:textbox>
                  <w:txbxContent>
                    <w:p w14:paraId="7DCFE033" w14:textId="77777777" w:rsidR="00D15FD8" w:rsidRPr="00DA10F9" w:rsidRDefault="00D15FD8">
                      <w:pPr>
                        <w:pStyle w:val="ListParagraph"/>
                        <w:numPr>
                          <w:ilvl w:val="0"/>
                          <w:numId w:val="54"/>
                        </w:numPr>
                        <w:rPr>
                          <w:rFonts w:ascii="Arial" w:hAnsi="Arial" w:cs="Arial"/>
                          <w:sz w:val="24"/>
                          <w:szCs w:val="24"/>
                        </w:rPr>
                      </w:pPr>
                      <w:r w:rsidRPr="00DA10F9">
                        <w:rPr>
                          <w:rFonts w:ascii="Arial" w:hAnsi="Arial" w:cs="Arial"/>
                          <w:sz w:val="24"/>
                          <w:szCs w:val="24"/>
                        </w:rPr>
                        <w:t>Are there problems that can be solved or mitigated through public participation?</w:t>
                      </w:r>
                    </w:p>
                    <w:p w14:paraId="13C93368" w14:textId="77777777" w:rsidR="00D15FD8" w:rsidRDefault="00D15FD8" w:rsidP="00DA10F9"/>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56958" behindDoc="0" locked="0" layoutInCell="1" allowOverlap="1" wp14:anchorId="43F335B4" wp14:editId="34BD77F8">
                <wp:simplePos x="0" y="0"/>
                <wp:positionH relativeFrom="column">
                  <wp:posOffset>0</wp:posOffset>
                </wp:positionH>
                <wp:positionV relativeFrom="paragraph">
                  <wp:posOffset>64414</wp:posOffset>
                </wp:positionV>
                <wp:extent cx="6668135" cy="366395"/>
                <wp:effectExtent l="12700" t="12700" r="12065" b="14605"/>
                <wp:wrapNone/>
                <wp:docPr id="527" name="Rounded Rectangle 527"/>
                <wp:cNvGraphicFramePr/>
                <a:graphic xmlns:a="http://schemas.openxmlformats.org/drawingml/2006/main">
                  <a:graphicData uri="http://schemas.microsoft.com/office/word/2010/wordprocessingShape">
                    <wps:wsp>
                      <wps:cNvSpPr/>
                      <wps:spPr>
                        <a:xfrm>
                          <a:off x="0" y="0"/>
                          <a:ext cx="6668135" cy="366395"/>
                        </a:xfrm>
                        <a:prstGeom prst="roundRect">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0FFC7804" id="Rounded Rectangle 527" o:spid="_x0000_s1026" style="position:absolute;margin-left:0;margin-top:5.05pt;width:525.05pt;height:28.85pt;z-index:2524569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" filled="f" strokecolor="#16988a" strokeweight="2.25pt">
                <v:stroke joinstyle="miter"/>
              </v:roundrect>
            </w:pict>
          </mc:Fallback>
        </mc:AlternateContent>
      </w:r>
    </w:p>
    <w:p w14:paraId="4D1E726D" w14:textId="6EA2D97C" w:rsidR="00DA10F9" w:rsidRDefault="00DA10F9" w:rsidP="00DA10F9">
      <w:pPr>
        <w:spacing w:line="276" w:lineRule="auto"/>
        <w:jc w:val="both"/>
        <w:rPr>
          <w:rFonts w:ascii="Arial" w:hAnsi="Arial" w:cs="Arial"/>
          <w:sz w:val="24"/>
          <w:szCs w:val="24"/>
        </w:rPr>
      </w:pPr>
    </w:p>
    <w:p w14:paraId="179659E1" w14:textId="1AEBFC98" w:rsidR="00DA10F9" w:rsidRDefault="00DA10F9" w:rsidP="00DA10F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61054" behindDoc="0" locked="0" layoutInCell="1" allowOverlap="1" wp14:anchorId="32165E37" wp14:editId="481435EB">
                <wp:simplePos x="0" y="0"/>
                <wp:positionH relativeFrom="column">
                  <wp:posOffset>-111125</wp:posOffset>
                </wp:positionH>
                <wp:positionV relativeFrom="paragraph">
                  <wp:posOffset>236576</wp:posOffset>
                </wp:positionV>
                <wp:extent cx="6266815" cy="579321"/>
                <wp:effectExtent l="0" t="0" r="0" b="0"/>
                <wp:wrapNone/>
                <wp:docPr id="530" name="Text Box 530"/>
                <wp:cNvGraphicFramePr/>
                <a:graphic xmlns:a="http://schemas.openxmlformats.org/drawingml/2006/main">
                  <a:graphicData uri="http://schemas.microsoft.com/office/word/2010/wordprocessingShape">
                    <wps:wsp>
                      <wps:cNvSpPr txBox="1"/>
                      <wps:spPr>
                        <a:xfrm>
                          <a:off x="0" y="0"/>
                          <a:ext cx="6266815" cy="579321"/>
                        </a:xfrm>
                        <a:prstGeom prst="rect">
                          <a:avLst/>
                        </a:prstGeom>
                        <a:noFill/>
                        <a:ln w="6350">
                          <a:noFill/>
                        </a:ln>
                      </wps:spPr>
                      <wps:txbx>
                        <w:txbxContent>
                          <w:p w14:paraId="2E4E62FB" w14:textId="77777777" w:rsidR="00D15FD8" w:rsidRPr="00DA10F9" w:rsidRDefault="00D15FD8">
                            <w:pPr>
                              <w:pStyle w:val="ListParagraph"/>
                              <w:numPr>
                                <w:ilvl w:val="0"/>
                                <w:numId w:val="55"/>
                              </w:numPr>
                              <w:spacing w:line="276" w:lineRule="auto"/>
                              <w:rPr>
                                <w:rFonts w:ascii="Arial" w:hAnsi="Arial" w:cs="Arial"/>
                                <w:sz w:val="24"/>
                                <w:szCs w:val="24"/>
                              </w:rPr>
                            </w:pPr>
                            <w:r w:rsidRPr="00DA10F9">
                              <w:rPr>
                                <w:rFonts w:ascii="Arial" w:hAnsi="Arial" w:cs="Arial"/>
                                <w:sz w:val="24"/>
                                <w:szCs w:val="24"/>
                              </w:rPr>
                              <w:t>Is there actually room for public influence over the decision? For instance, are there decision constraints that limit the scope of public engagement?</w:t>
                            </w:r>
                          </w:p>
                          <w:p w14:paraId="6283AB71" w14:textId="77777777" w:rsidR="00D15FD8" w:rsidRDefault="00D15FD8" w:rsidP="00DA10F9">
                            <w:pPr>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165E37" id="Text Box 530" o:spid="_x0000_s1297" type="#_x0000_t202" style="position:absolute;left:0;text-align:left;margin-left:-8.75pt;margin-top:18.65pt;width:493.45pt;height:45.6pt;z-index:2524610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" filled="f" stroked="f" strokeweight=".5pt">
                <v:textbox>
                  <w:txbxContent>
                    <w:p w14:paraId="2E4E62FB" w14:textId="77777777" w:rsidR="00D15FD8" w:rsidRPr="00DA10F9" w:rsidRDefault="00D15FD8">
                      <w:pPr>
                        <w:pStyle w:val="ListParagraph"/>
                        <w:numPr>
                          <w:ilvl w:val="0"/>
                          <w:numId w:val="55"/>
                        </w:numPr>
                        <w:spacing w:line="276" w:lineRule="auto"/>
                        <w:rPr>
                          <w:rFonts w:ascii="Arial" w:hAnsi="Arial" w:cs="Arial"/>
                          <w:sz w:val="24"/>
                          <w:szCs w:val="24"/>
                        </w:rPr>
                      </w:pPr>
                      <w:r w:rsidRPr="00DA10F9">
                        <w:rPr>
                          <w:rFonts w:ascii="Arial" w:hAnsi="Arial" w:cs="Arial"/>
                          <w:sz w:val="24"/>
                          <w:szCs w:val="24"/>
                        </w:rPr>
                        <w:t>Is there actually room for public influence over the decision? For instance, are there decision constraints that limit the scope of public engagement?</w:t>
                      </w:r>
                    </w:p>
                    <w:p w14:paraId="6283AB71" w14:textId="77777777" w:rsidR="00D15FD8" w:rsidRDefault="00D15FD8" w:rsidP="00DA10F9">
                      <w:pPr>
                        <w:spacing w:line="276" w:lineRule="auto"/>
                      </w:pP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60030" behindDoc="0" locked="0" layoutInCell="1" allowOverlap="1" wp14:anchorId="2BEE261F" wp14:editId="4A6547F2">
                <wp:simplePos x="0" y="0"/>
                <wp:positionH relativeFrom="column">
                  <wp:posOffset>1549</wp:posOffset>
                </wp:positionH>
                <wp:positionV relativeFrom="paragraph">
                  <wp:posOffset>172689</wp:posOffset>
                </wp:positionV>
                <wp:extent cx="6668135" cy="600617"/>
                <wp:effectExtent l="12700" t="12700" r="12065" b="9525"/>
                <wp:wrapNone/>
                <wp:docPr id="529" name="Rounded Rectangle 529"/>
                <wp:cNvGraphicFramePr/>
                <a:graphic xmlns:a="http://schemas.openxmlformats.org/drawingml/2006/main">
                  <a:graphicData uri="http://schemas.microsoft.com/office/word/2010/wordprocessingShape">
                    <wps:wsp>
                      <wps:cNvSpPr/>
                      <wps:spPr>
                        <a:xfrm>
                          <a:off x="0" y="0"/>
                          <a:ext cx="6668135" cy="600617"/>
                        </a:xfrm>
                        <a:prstGeom prst="roundRect">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F9FA536" id="Rounded Rectangle 529" o:spid="_x0000_s1026" style="position:absolute;margin-left:.1pt;margin-top:13.6pt;width:525.05pt;height:47.3pt;z-index:2524600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" filled="f" strokecolor="#16988a" strokeweight="2.25pt">
                <v:stroke joinstyle="miter"/>
              </v:roundrect>
            </w:pict>
          </mc:Fallback>
        </mc:AlternateContent>
      </w:r>
    </w:p>
    <w:p w14:paraId="3A071B19" w14:textId="43B470EA" w:rsidR="00DA10F9" w:rsidRDefault="00DA10F9" w:rsidP="00DA10F9">
      <w:pPr>
        <w:spacing w:line="276" w:lineRule="auto"/>
        <w:jc w:val="both"/>
        <w:rPr>
          <w:rFonts w:ascii="Arial" w:hAnsi="Arial" w:cs="Arial"/>
          <w:sz w:val="24"/>
          <w:szCs w:val="24"/>
        </w:rPr>
      </w:pPr>
    </w:p>
    <w:p w14:paraId="20D9437F" w14:textId="09249F41" w:rsidR="00DA10F9" w:rsidRDefault="00DA10F9" w:rsidP="00DA10F9">
      <w:pPr>
        <w:spacing w:line="276" w:lineRule="auto"/>
        <w:jc w:val="both"/>
        <w:rPr>
          <w:rFonts w:ascii="Arial" w:hAnsi="Arial" w:cs="Arial"/>
          <w:sz w:val="24"/>
          <w:szCs w:val="24"/>
        </w:rPr>
      </w:pPr>
    </w:p>
    <w:p w14:paraId="1A246467" w14:textId="73C441CB" w:rsidR="00DA10F9" w:rsidRDefault="00DA10F9" w:rsidP="00DA10F9">
      <w:pPr>
        <w:spacing w:line="276" w:lineRule="auto"/>
        <w:jc w:val="both"/>
        <w:rPr>
          <w:rFonts w:ascii="Arial" w:hAnsi="Arial" w:cs="Arial"/>
          <w:sz w:val="24"/>
          <w:szCs w:val="24"/>
        </w:rPr>
      </w:pPr>
    </w:p>
    <w:p w14:paraId="25C8139A" w14:textId="2518F661" w:rsidR="00DA10F9" w:rsidRPr="00C34643" w:rsidRDefault="00407AD5" w:rsidP="00DA10F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64126" behindDoc="0" locked="0" layoutInCell="1" allowOverlap="1" wp14:anchorId="583BE44B" wp14:editId="4416F0BE">
                <wp:simplePos x="0" y="0"/>
                <wp:positionH relativeFrom="column">
                  <wp:posOffset>-106045</wp:posOffset>
                </wp:positionH>
                <wp:positionV relativeFrom="paragraph">
                  <wp:posOffset>167640</wp:posOffset>
                </wp:positionV>
                <wp:extent cx="6266815" cy="311785"/>
                <wp:effectExtent l="0" t="0" r="0" b="0"/>
                <wp:wrapNone/>
                <wp:docPr id="532" name="Text Box 532"/>
                <wp:cNvGraphicFramePr/>
                <a:graphic xmlns:a="http://schemas.openxmlformats.org/drawingml/2006/main">
                  <a:graphicData uri="http://schemas.microsoft.com/office/word/2010/wordprocessingShape">
                    <wps:wsp>
                      <wps:cNvSpPr txBox="1"/>
                      <wps:spPr>
                        <a:xfrm>
                          <a:off x="0" y="0"/>
                          <a:ext cx="6266815" cy="311785"/>
                        </a:xfrm>
                        <a:prstGeom prst="rect">
                          <a:avLst/>
                        </a:prstGeom>
                        <a:noFill/>
                        <a:ln w="6350">
                          <a:noFill/>
                        </a:ln>
                      </wps:spPr>
                      <wps:txbx>
                        <w:txbxContent>
                          <w:p w14:paraId="4FA518B4" w14:textId="77777777" w:rsidR="00D15FD8" w:rsidRPr="00DA10F9" w:rsidRDefault="00D15FD8">
                            <w:pPr>
                              <w:pStyle w:val="ListParagraph"/>
                              <w:numPr>
                                <w:ilvl w:val="0"/>
                                <w:numId w:val="56"/>
                              </w:numPr>
                              <w:rPr>
                                <w:rFonts w:ascii="Arial" w:hAnsi="Arial" w:cs="Arial"/>
                                <w:sz w:val="24"/>
                                <w:szCs w:val="24"/>
                              </w:rPr>
                            </w:pPr>
                            <w:r w:rsidRPr="00DA10F9">
                              <w:rPr>
                                <w:rFonts w:ascii="Arial" w:hAnsi="Arial" w:cs="Arial"/>
                                <w:sz w:val="24"/>
                                <w:szCs w:val="24"/>
                              </w:rPr>
                              <w:t>How will public inputs be used?</w:t>
                            </w:r>
                          </w:p>
                          <w:p w14:paraId="01725925" w14:textId="77777777" w:rsidR="00D15FD8" w:rsidRDefault="00D15FD8" w:rsidP="00DA10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BE44B" id="Text Box 532" o:spid="_x0000_s1298" type="#_x0000_t202" style="position:absolute;left:0;text-align:left;margin-left:-8.35pt;margin-top:13.2pt;width:493.45pt;height:24.55pt;z-index:252464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" filled="f" stroked="f" strokeweight=".5pt">
                <v:textbox>
                  <w:txbxContent>
                    <w:p w14:paraId="4FA518B4" w14:textId="77777777" w:rsidR="00D15FD8" w:rsidRPr="00DA10F9" w:rsidRDefault="00D15FD8">
                      <w:pPr>
                        <w:pStyle w:val="ListParagraph"/>
                        <w:numPr>
                          <w:ilvl w:val="0"/>
                          <w:numId w:val="56"/>
                        </w:numPr>
                        <w:rPr>
                          <w:rFonts w:ascii="Arial" w:hAnsi="Arial" w:cs="Arial"/>
                          <w:sz w:val="24"/>
                          <w:szCs w:val="24"/>
                        </w:rPr>
                      </w:pPr>
                      <w:r w:rsidRPr="00DA10F9">
                        <w:rPr>
                          <w:rFonts w:ascii="Arial" w:hAnsi="Arial" w:cs="Arial"/>
                          <w:sz w:val="24"/>
                          <w:szCs w:val="24"/>
                        </w:rPr>
                        <w:t>How will public inputs be used?</w:t>
                      </w:r>
                    </w:p>
                    <w:p w14:paraId="01725925" w14:textId="77777777" w:rsidR="00D15FD8" w:rsidRDefault="00D15FD8" w:rsidP="00DA10F9"/>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63102" behindDoc="0" locked="0" layoutInCell="1" allowOverlap="1" wp14:anchorId="7AE21477" wp14:editId="56CAFB49">
                <wp:simplePos x="0" y="0"/>
                <wp:positionH relativeFrom="column">
                  <wp:posOffset>5715</wp:posOffset>
                </wp:positionH>
                <wp:positionV relativeFrom="paragraph">
                  <wp:posOffset>139700</wp:posOffset>
                </wp:positionV>
                <wp:extent cx="6668135" cy="366395"/>
                <wp:effectExtent l="12700" t="12700" r="12065" b="14605"/>
                <wp:wrapNone/>
                <wp:docPr id="531" name="Rounded Rectangle 531"/>
                <wp:cNvGraphicFramePr/>
                <a:graphic xmlns:a="http://schemas.openxmlformats.org/drawingml/2006/main">
                  <a:graphicData uri="http://schemas.microsoft.com/office/word/2010/wordprocessingShape">
                    <wps:wsp>
                      <wps:cNvSpPr/>
                      <wps:spPr>
                        <a:xfrm>
                          <a:off x="0" y="0"/>
                          <a:ext cx="6668135" cy="366395"/>
                        </a:xfrm>
                        <a:prstGeom prst="roundRect">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53107E9E" id="Rounded Rectangle 531" o:spid="_x0000_s1026" style="position:absolute;margin-left:.45pt;margin-top:11pt;width:525.05pt;height:28.85pt;z-index:2524631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" filled="f" strokecolor="#16988a"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2466174" behindDoc="0" locked="0" layoutInCell="1" allowOverlap="1" wp14:anchorId="074675E8" wp14:editId="580BC680">
                <wp:simplePos x="0" y="0"/>
                <wp:positionH relativeFrom="column">
                  <wp:posOffset>17145</wp:posOffset>
                </wp:positionH>
                <wp:positionV relativeFrom="paragraph">
                  <wp:posOffset>673735</wp:posOffset>
                </wp:positionV>
                <wp:extent cx="6668135" cy="366395"/>
                <wp:effectExtent l="12700" t="12700" r="12065" b="14605"/>
                <wp:wrapNone/>
                <wp:docPr id="533" name="Rounded Rectangle 533"/>
                <wp:cNvGraphicFramePr/>
                <a:graphic xmlns:a="http://schemas.openxmlformats.org/drawingml/2006/main">
                  <a:graphicData uri="http://schemas.microsoft.com/office/word/2010/wordprocessingShape">
                    <wps:wsp>
                      <wps:cNvSpPr/>
                      <wps:spPr>
                        <a:xfrm>
                          <a:off x="0" y="0"/>
                          <a:ext cx="6668135" cy="366395"/>
                        </a:xfrm>
                        <a:prstGeom prst="roundRect">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D22F7C7" id="Rounded Rectangle 533" o:spid="_x0000_s1026" style="position:absolute;margin-left:1.35pt;margin-top:53.05pt;width:525.05pt;height:28.85pt;z-index:2524661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" filled="f" strokecolor="#16988a" strokeweight="2.25pt">
                <v:stroke joinstyle="miter"/>
              </v:roundrect>
            </w:pict>
          </mc:Fallback>
        </mc:AlternateContent>
      </w:r>
    </w:p>
    <w:p w14:paraId="6D103CA2" w14:textId="17C54C45" w:rsidR="00DA10F9" w:rsidRDefault="00DA10F9" w:rsidP="00DA10F9">
      <w:pPr>
        <w:spacing w:line="276" w:lineRule="auto"/>
        <w:ind w:left="1440"/>
        <w:jc w:val="both"/>
        <w:rPr>
          <w:rFonts w:ascii="Arial" w:hAnsi="Arial" w:cs="Arial"/>
          <w:sz w:val="24"/>
          <w:szCs w:val="24"/>
        </w:rPr>
      </w:pPr>
    </w:p>
    <w:p w14:paraId="5D3E0ABC" w14:textId="0DB3B328" w:rsidR="00DA10F9" w:rsidRDefault="00DA10F9" w:rsidP="00DA10F9">
      <w:pPr>
        <w:spacing w:line="276" w:lineRule="auto"/>
        <w:ind w:left="1440"/>
        <w:jc w:val="both"/>
        <w:rPr>
          <w:rFonts w:ascii="Arial" w:hAnsi="Arial" w:cs="Arial"/>
          <w:sz w:val="24"/>
          <w:szCs w:val="24"/>
        </w:rPr>
      </w:pPr>
    </w:p>
    <w:p w14:paraId="0B761B8D" w14:textId="445DD8FA" w:rsidR="00DA10F9" w:rsidRDefault="00407AD5" w:rsidP="00DA10F9">
      <w:pPr>
        <w:spacing w:line="276" w:lineRule="auto"/>
        <w:ind w:left="1440"/>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67198" behindDoc="0" locked="0" layoutInCell="1" allowOverlap="1" wp14:anchorId="0BED65DA" wp14:editId="1CA4D09E">
                <wp:simplePos x="0" y="0"/>
                <wp:positionH relativeFrom="column">
                  <wp:posOffset>-93980</wp:posOffset>
                </wp:positionH>
                <wp:positionV relativeFrom="paragraph">
                  <wp:posOffset>106045</wp:posOffset>
                </wp:positionV>
                <wp:extent cx="6266815" cy="311785"/>
                <wp:effectExtent l="0" t="0" r="0" b="0"/>
                <wp:wrapNone/>
                <wp:docPr id="534" name="Text Box 534"/>
                <wp:cNvGraphicFramePr/>
                <a:graphic xmlns:a="http://schemas.openxmlformats.org/drawingml/2006/main">
                  <a:graphicData uri="http://schemas.microsoft.com/office/word/2010/wordprocessingShape">
                    <wps:wsp>
                      <wps:cNvSpPr txBox="1"/>
                      <wps:spPr>
                        <a:xfrm>
                          <a:off x="0" y="0"/>
                          <a:ext cx="6266815" cy="311785"/>
                        </a:xfrm>
                        <a:prstGeom prst="rect">
                          <a:avLst/>
                        </a:prstGeom>
                        <a:noFill/>
                        <a:ln w="6350">
                          <a:noFill/>
                        </a:ln>
                      </wps:spPr>
                      <wps:txbx>
                        <w:txbxContent>
                          <w:p w14:paraId="6DC562C8" w14:textId="77777777" w:rsidR="00D15FD8" w:rsidRPr="00DA10F9" w:rsidRDefault="00D15FD8">
                            <w:pPr>
                              <w:pStyle w:val="ListParagraph"/>
                              <w:numPr>
                                <w:ilvl w:val="0"/>
                                <w:numId w:val="57"/>
                              </w:numPr>
                              <w:rPr>
                                <w:rFonts w:ascii="Arial" w:hAnsi="Arial" w:cs="Arial"/>
                                <w:sz w:val="24"/>
                                <w:szCs w:val="24"/>
                              </w:rPr>
                            </w:pPr>
                            <w:r w:rsidRPr="00DA10F9">
                              <w:rPr>
                                <w:rFonts w:ascii="Arial" w:hAnsi="Arial" w:cs="Arial"/>
                                <w:sz w:val="24"/>
                                <w:szCs w:val="24"/>
                              </w:rPr>
                              <w:t>What characteristics will successful policy decisions/processes have?</w:t>
                            </w:r>
                          </w:p>
                          <w:p w14:paraId="191C9A22" w14:textId="77777777" w:rsidR="00D15FD8" w:rsidRDefault="00D15FD8" w:rsidP="00DA10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ED65DA" id="Text Box 534" o:spid="_x0000_s1299" type="#_x0000_t202" style="position:absolute;left:0;text-align:left;margin-left:-7.4pt;margin-top:8.35pt;width:493.45pt;height:24.55pt;z-index:2524671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" filled="f" stroked="f" strokeweight=".5pt">
                <v:textbox>
                  <w:txbxContent>
                    <w:p w14:paraId="6DC562C8" w14:textId="77777777" w:rsidR="00D15FD8" w:rsidRPr="00DA10F9" w:rsidRDefault="00D15FD8">
                      <w:pPr>
                        <w:pStyle w:val="ListParagraph"/>
                        <w:numPr>
                          <w:ilvl w:val="0"/>
                          <w:numId w:val="57"/>
                        </w:numPr>
                        <w:rPr>
                          <w:rFonts w:ascii="Arial" w:hAnsi="Arial" w:cs="Arial"/>
                          <w:sz w:val="24"/>
                          <w:szCs w:val="24"/>
                        </w:rPr>
                      </w:pPr>
                      <w:r w:rsidRPr="00DA10F9">
                        <w:rPr>
                          <w:rFonts w:ascii="Arial" w:hAnsi="Arial" w:cs="Arial"/>
                          <w:sz w:val="24"/>
                          <w:szCs w:val="24"/>
                        </w:rPr>
                        <w:t>What characteristics will successful policy decisions/processes have?</w:t>
                      </w:r>
                    </w:p>
                    <w:p w14:paraId="191C9A22" w14:textId="77777777" w:rsidR="00D15FD8" w:rsidRDefault="00D15FD8" w:rsidP="00DA10F9"/>
                  </w:txbxContent>
                </v:textbox>
              </v:shape>
            </w:pict>
          </mc:Fallback>
        </mc:AlternateContent>
      </w:r>
    </w:p>
    <w:p w14:paraId="52C4B980" w14:textId="6B59D8BD" w:rsidR="00DA10F9" w:rsidRDefault="00DA10F9" w:rsidP="00DA10F9">
      <w:pPr>
        <w:spacing w:line="276" w:lineRule="auto"/>
        <w:ind w:left="1440"/>
        <w:jc w:val="both"/>
        <w:rPr>
          <w:rFonts w:ascii="Arial" w:hAnsi="Arial" w:cs="Arial"/>
          <w:sz w:val="24"/>
          <w:szCs w:val="24"/>
        </w:rPr>
      </w:pPr>
    </w:p>
    <w:p w14:paraId="7B509B84" w14:textId="61ECACB3" w:rsidR="00C34643" w:rsidRDefault="00C34643" w:rsidP="00DA10F9">
      <w:pPr>
        <w:spacing w:line="276" w:lineRule="auto"/>
        <w:jc w:val="both"/>
        <w:rPr>
          <w:rFonts w:ascii="Arial" w:hAnsi="Arial" w:cs="Arial"/>
          <w:sz w:val="24"/>
          <w:szCs w:val="24"/>
          <w:lang w:val="en-ZA"/>
        </w:rPr>
      </w:pPr>
    </w:p>
    <w:p w14:paraId="4FAA298A" w14:textId="49605E1F" w:rsidR="001A11AE" w:rsidRDefault="001A11AE" w:rsidP="00DA10F9">
      <w:pPr>
        <w:spacing w:line="276" w:lineRule="auto"/>
        <w:jc w:val="both"/>
        <w:rPr>
          <w:rFonts w:ascii="Arial" w:hAnsi="Arial" w:cs="Arial"/>
          <w:sz w:val="24"/>
          <w:szCs w:val="24"/>
          <w:lang w:val="en-ZA"/>
        </w:rPr>
      </w:pPr>
    </w:p>
    <w:p w14:paraId="33C3AD20" w14:textId="77777777" w:rsidR="009C36A7" w:rsidRDefault="009C36A7" w:rsidP="00DA10F9">
      <w:pPr>
        <w:spacing w:line="276" w:lineRule="auto"/>
        <w:jc w:val="both"/>
        <w:rPr>
          <w:rFonts w:ascii="Arial" w:hAnsi="Arial" w:cs="Arial"/>
          <w:sz w:val="24"/>
          <w:szCs w:val="24"/>
          <w:lang w:val="en-ZA"/>
        </w:rPr>
      </w:pPr>
    </w:p>
    <w:p w14:paraId="0CFBDC3A" w14:textId="77777777" w:rsidR="001A11AE" w:rsidRDefault="001A11AE" w:rsidP="00DA10F9">
      <w:pPr>
        <w:spacing w:line="276" w:lineRule="auto"/>
        <w:jc w:val="both"/>
        <w:rPr>
          <w:rFonts w:ascii="Arial" w:hAnsi="Arial" w:cs="Arial"/>
          <w:sz w:val="24"/>
          <w:szCs w:val="24"/>
          <w:lang w:val="en-ZA"/>
        </w:rPr>
      </w:pPr>
    </w:p>
    <w:p w14:paraId="4562A9D0" w14:textId="1331EDD3" w:rsidR="00F13171" w:rsidRDefault="006B7DF3" w:rsidP="00DA10F9">
      <w:pPr>
        <w:spacing w:line="276" w:lineRule="auto"/>
        <w:jc w:val="both"/>
        <w:rPr>
          <w:rFonts w:ascii="Arial" w:hAnsi="Arial" w:cs="Arial"/>
          <w:sz w:val="24"/>
          <w:szCs w:val="24"/>
          <w:lang w:val="en-ZA"/>
        </w:rPr>
      </w:pPr>
      <w:r>
        <w:rPr>
          <w:rFonts w:ascii="Arial" w:hAnsi="Arial" w:cs="Arial"/>
          <w:noProof/>
          <w:sz w:val="24"/>
          <w:szCs w:val="24"/>
          <w:lang w:val="en-US"/>
        </w:rPr>
        <w:lastRenderedPageBreak/>
        <mc:AlternateContent>
          <mc:Choice Requires="wps">
            <w:drawing>
              <wp:anchor distT="0" distB="0" distL="114300" distR="114300" simplePos="0" relativeHeight="252470270" behindDoc="0" locked="0" layoutInCell="1" allowOverlap="1" wp14:anchorId="12A16519" wp14:editId="5E6CE381">
                <wp:simplePos x="0" y="0"/>
                <wp:positionH relativeFrom="column">
                  <wp:posOffset>2512060</wp:posOffset>
                </wp:positionH>
                <wp:positionV relativeFrom="paragraph">
                  <wp:posOffset>36830</wp:posOffset>
                </wp:positionV>
                <wp:extent cx="2349500" cy="590550"/>
                <wp:effectExtent l="0" t="0" r="0" b="6350"/>
                <wp:wrapNone/>
                <wp:docPr id="536" name="Rounded Rectangle 536"/>
                <wp:cNvGraphicFramePr/>
                <a:graphic xmlns:a="http://schemas.openxmlformats.org/drawingml/2006/main">
                  <a:graphicData uri="http://schemas.microsoft.com/office/word/2010/wordprocessingShape">
                    <wps:wsp>
                      <wps:cNvSpPr/>
                      <wps:spPr>
                        <a:xfrm>
                          <a:off x="0" y="0"/>
                          <a:ext cx="2349500" cy="590550"/>
                        </a:xfrm>
                        <a:prstGeom prst="roundRect">
                          <a:avLst>
                            <a:gd name="adj" fmla="val 12891"/>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55EFB15D" id="Rounded Rectangle 536" o:spid="_x0000_s1026" style="position:absolute;margin-left:197.8pt;margin-top:2.9pt;width:185pt;height:46.5pt;z-index:252470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4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" fillcolor="#69557f" stroked="f" strokeweight="1pt">
                <v:stroke joinstyle="miter"/>
              </v:roundrect>
            </w:pict>
          </mc:Fallback>
        </mc:AlternateContent>
      </w:r>
      <w:r>
        <w:rPr>
          <w:rFonts w:ascii="Arial" w:hAnsi="Arial" w:cs="Arial"/>
          <w:noProof/>
          <w:sz w:val="24"/>
          <w:szCs w:val="24"/>
          <w:lang w:val="en-US"/>
        </w:rPr>
        <w:drawing>
          <wp:anchor distT="0" distB="0" distL="114300" distR="114300" simplePos="0" relativeHeight="252468222" behindDoc="0" locked="0" layoutInCell="1" allowOverlap="1" wp14:anchorId="0021F1E7" wp14:editId="64BA6977">
            <wp:simplePos x="0" y="0"/>
            <wp:positionH relativeFrom="column">
              <wp:posOffset>1422400</wp:posOffset>
            </wp:positionH>
            <wp:positionV relativeFrom="paragraph">
              <wp:posOffset>13970</wp:posOffset>
            </wp:positionV>
            <wp:extent cx="1005840" cy="604520"/>
            <wp:effectExtent l="0" t="0" r="0" b="5080"/>
            <wp:wrapSquare wrapText="bothSides"/>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rotWithShape="1">
                    <a:blip r:embed="rId517" cstate="email">
                      <a:extLst>
                        <a:ext uri="{28A0092B-C50C-407E-A947-70E740481C1C}">
                          <a14:useLocalDpi xmlns:a14="http://schemas.microsoft.com/office/drawing/2010/main"/>
                        </a:ext>
                      </a:extLst>
                    </a:blip>
                    <a:srcRect/>
                    <a:stretch/>
                  </pic:blipFill>
                  <pic:spPr bwMode="auto">
                    <a:xfrm>
                      <a:off x="0" y="0"/>
                      <a:ext cx="1005840" cy="60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2471294" behindDoc="0" locked="0" layoutInCell="1" allowOverlap="1" wp14:anchorId="04B871F8" wp14:editId="1EB8F31B">
                <wp:simplePos x="0" y="0"/>
                <wp:positionH relativeFrom="column">
                  <wp:posOffset>2613660</wp:posOffset>
                </wp:positionH>
                <wp:positionV relativeFrom="paragraph">
                  <wp:posOffset>163830</wp:posOffset>
                </wp:positionV>
                <wp:extent cx="2120900" cy="367665"/>
                <wp:effectExtent l="0" t="0" r="0" b="0"/>
                <wp:wrapNone/>
                <wp:docPr id="537" name="Text Box 537"/>
                <wp:cNvGraphicFramePr/>
                <a:graphic xmlns:a="http://schemas.openxmlformats.org/drawingml/2006/main">
                  <a:graphicData uri="http://schemas.microsoft.com/office/word/2010/wordprocessingShape">
                    <wps:wsp>
                      <wps:cNvSpPr txBox="1"/>
                      <wps:spPr>
                        <a:xfrm>
                          <a:off x="0" y="0"/>
                          <a:ext cx="2120900" cy="367665"/>
                        </a:xfrm>
                        <a:prstGeom prst="rect">
                          <a:avLst/>
                        </a:prstGeom>
                        <a:noFill/>
                        <a:ln w="6350">
                          <a:noFill/>
                        </a:ln>
                      </wps:spPr>
                      <wps:txbx>
                        <w:txbxContent>
                          <w:p w14:paraId="5A2477FF" w14:textId="17B6DC0E" w:rsidR="00D15FD8" w:rsidRPr="00775C33" w:rsidRDefault="00D15FD8" w:rsidP="004D719B">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Target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871F8" id="Text Box 537" o:spid="_x0000_s1300" type="#_x0000_t202" style="position:absolute;left:0;text-align:left;margin-left:205.8pt;margin-top:12.9pt;width:167pt;height:28.95pt;z-index:252471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" filled="f" stroked="f" strokeweight=".5pt">
                <v:textbox>
                  <w:txbxContent>
                    <w:p w14:paraId="5A2477FF" w14:textId="17B6DC0E" w:rsidR="00D15FD8" w:rsidRPr="00775C33" w:rsidRDefault="00D15FD8" w:rsidP="004D719B">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Target audience</w:t>
                      </w:r>
                    </w:p>
                  </w:txbxContent>
                </v:textbox>
              </v:shape>
            </w:pict>
          </mc:Fallback>
        </mc:AlternateContent>
      </w:r>
    </w:p>
    <w:p w14:paraId="2BA9B5D0" w14:textId="5A4CF07F" w:rsidR="00F13171" w:rsidRDefault="00F13171" w:rsidP="00DA10F9">
      <w:pPr>
        <w:spacing w:line="276" w:lineRule="auto"/>
        <w:jc w:val="both"/>
        <w:rPr>
          <w:rFonts w:ascii="Arial" w:hAnsi="Arial" w:cs="Arial"/>
          <w:sz w:val="24"/>
          <w:szCs w:val="24"/>
          <w:lang w:val="en-ZA"/>
        </w:rPr>
      </w:pPr>
    </w:p>
    <w:p w14:paraId="650E3272" w14:textId="5494B69D" w:rsidR="00F13171" w:rsidRDefault="00F13171" w:rsidP="00DA10F9">
      <w:pPr>
        <w:spacing w:line="276" w:lineRule="auto"/>
        <w:jc w:val="both"/>
        <w:rPr>
          <w:rFonts w:ascii="Arial" w:hAnsi="Arial" w:cs="Arial"/>
          <w:sz w:val="24"/>
          <w:szCs w:val="24"/>
          <w:lang w:val="en-ZA"/>
        </w:rPr>
      </w:pPr>
    </w:p>
    <w:p w14:paraId="1294769B" w14:textId="77777777" w:rsidR="00F13171" w:rsidRDefault="00F13171" w:rsidP="00F13171">
      <w:pPr>
        <w:spacing w:line="276" w:lineRule="auto"/>
        <w:jc w:val="both"/>
        <w:rPr>
          <w:rFonts w:ascii="Arial" w:hAnsi="Arial" w:cs="Arial"/>
          <w:sz w:val="24"/>
          <w:szCs w:val="24"/>
          <w:lang w:val="en-ZA"/>
        </w:rPr>
      </w:pPr>
    </w:p>
    <w:p w14:paraId="5E6B0998" w14:textId="1DBF7287" w:rsidR="00C34643" w:rsidRDefault="00C34643" w:rsidP="00F13171">
      <w:pPr>
        <w:spacing w:line="276" w:lineRule="auto"/>
        <w:jc w:val="both"/>
        <w:rPr>
          <w:rFonts w:ascii="Arial" w:hAnsi="Arial" w:cs="Arial"/>
          <w:i/>
          <w:sz w:val="24"/>
          <w:szCs w:val="24"/>
        </w:rPr>
      </w:pPr>
      <w:r w:rsidRPr="00C34643">
        <w:rPr>
          <w:rFonts w:ascii="Arial" w:hAnsi="Arial" w:cs="Arial"/>
          <w:sz w:val="24"/>
          <w:szCs w:val="24"/>
        </w:rPr>
        <w:t>The focal audience should be determined based on the policy issue to be addressed, the purpose sought and the context. It is important that traditionally excluded groups of people are included, giving them a voice. Answering the following questions assists in this regard</w:t>
      </w:r>
      <w:r w:rsidRPr="00C34643">
        <w:rPr>
          <w:rFonts w:ascii="Arial" w:hAnsi="Arial" w:cs="Arial"/>
          <w:i/>
          <w:sz w:val="24"/>
          <w:szCs w:val="24"/>
        </w:rPr>
        <w:t>:</w:t>
      </w:r>
    </w:p>
    <w:p w14:paraId="08510CFB" w14:textId="7605A46F" w:rsidR="00F13171" w:rsidRDefault="00F13171" w:rsidP="00F13171">
      <w:pPr>
        <w:spacing w:line="276" w:lineRule="auto"/>
        <w:jc w:val="both"/>
        <w:rPr>
          <w:rFonts w:ascii="Arial" w:hAnsi="Arial" w:cs="Arial"/>
          <w:iCs/>
          <w:sz w:val="24"/>
          <w:szCs w:val="24"/>
        </w:rPr>
      </w:pPr>
      <w:r>
        <w:rPr>
          <w:rFonts w:ascii="Arial" w:hAnsi="Arial" w:cs="Arial"/>
          <w:noProof/>
          <w:sz w:val="24"/>
          <w:szCs w:val="24"/>
          <w:lang w:val="en-US"/>
        </w:rPr>
        <mc:AlternateContent>
          <mc:Choice Requires="wps">
            <w:drawing>
              <wp:anchor distT="0" distB="0" distL="114300" distR="114300" simplePos="0" relativeHeight="252483582" behindDoc="0" locked="0" layoutInCell="1" allowOverlap="1" wp14:anchorId="444BDD7C" wp14:editId="535A9AE7">
                <wp:simplePos x="0" y="0"/>
                <wp:positionH relativeFrom="column">
                  <wp:posOffset>-139700</wp:posOffset>
                </wp:positionH>
                <wp:positionV relativeFrom="paragraph">
                  <wp:posOffset>1882775</wp:posOffset>
                </wp:positionV>
                <wp:extent cx="6266815" cy="311785"/>
                <wp:effectExtent l="0" t="0" r="0" b="0"/>
                <wp:wrapNone/>
                <wp:docPr id="545" name="Text Box 545"/>
                <wp:cNvGraphicFramePr/>
                <a:graphic xmlns:a="http://schemas.openxmlformats.org/drawingml/2006/main">
                  <a:graphicData uri="http://schemas.microsoft.com/office/word/2010/wordprocessingShape">
                    <wps:wsp>
                      <wps:cNvSpPr txBox="1"/>
                      <wps:spPr>
                        <a:xfrm>
                          <a:off x="0" y="0"/>
                          <a:ext cx="6266815" cy="311785"/>
                        </a:xfrm>
                        <a:prstGeom prst="rect">
                          <a:avLst/>
                        </a:prstGeom>
                        <a:noFill/>
                        <a:ln w="6350">
                          <a:noFill/>
                        </a:ln>
                      </wps:spPr>
                      <wps:txbx>
                        <w:txbxContent>
                          <w:p w14:paraId="61FE609D" w14:textId="77777777" w:rsidR="00D15FD8" w:rsidRPr="00F13171" w:rsidRDefault="00D15FD8">
                            <w:pPr>
                              <w:pStyle w:val="ListParagraph"/>
                              <w:numPr>
                                <w:ilvl w:val="0"/>
                                <w:numId w:val="61"/>
                              </w:numPr>
                              <w:rPr>
                                <w:rFonts w:ascii="Arial" w:hAnsi="Arial" w:cs="Arial"/>
                                <w:sz w:val="24"/>
                                <w:szCs w:val="24"/>
                              </w:rPr>
                            </w:pPr>
                            <w:r w:rsidRPr="00F13171">
                              <w:rPr>
                                <w:rFonts w:ascii="Arial" w:hAnsi="Arial" w:cs="Arial"/>
                                <w:sz w:val="24"/>
                                <w:szCs w:val="24"/>
                              </w:rPr>
                              <w:t>Who wants to and who can effectively participate?</w:t>
                            </w:r>
                          </w:p>
                          <w:p w14:paraId="37089A19" w14:textId="77777777" w:rsidR="00D15FD8" w:rsidRDefault="00D15FD8" w:rsidP="00F131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4BDD7C" id="Text Box 545" o:spid="_x0000_s1301" type="#_x0000_t202" style="position:absolute;left:0;text-align:left;margin-left:-11pt;margin-top:148.25pt;width:493.45pt;height:24.55pt;z-index:2524835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" filled="f" stroked="f" strokeweight=".5pt">
                <v:textbox>
                  <w:txbxContent>
                    <w:p w14:paraId="61FE609D" w14:textId="77777777" w:rsidR="00D15FD8" w:rsidRPr="00F13171" w:rsidRDefault="00D15FD8">
                      <w:pPr>
                        <w:pStyle w:val="ListParagraph"/>
                        <w:numPr>
                          <w:ilvl w:val="0"/>
                          <w:numId w:val="61"/>
                        </w:numPr>
                        <w:rPr>
                          <w:rFonts w:ascii="Arial" w:hAnsi="Arial" w:cs="Arial"/>
                          <w:sz w:val="24"/>
                          <w:szCs w:val="24"/>
                        </w:rPr>
                      </w:pPr>
                      <w:r w:rsidRPr="00F13171">
                        <w:rPr>
                          <w:rFonts w:ascii="Arial" w:hAnsi="Arial" w:cs="Arial"/>
                          <w:sz w:val="24"/>
                          <w:szCs w:val="24"/>
                        </w:rPr>
                        <w:t>Who wants to and who can effectively participate?</w:t>
                      </w:r>
                    </w:p>
                    <w:p w14:paraId="37089A19" w14:textId="77777777" w:rsidR="00D15FD8" w:rsidRDefault="00D15FD8" w:rsidP="00F13171"/>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73342" behindDoc="0" locked="0" layoutInCell="1" allowOverlap="1" wp14:anchorId="30FF3524" wp14:editId="55F57D16">
                <wp:simplePos x="0" y="0"/>
                <wp:positionH relativeFrom="column">
                  <wp:posOffset>5715</wp:posOffset>
                </wp:positionH>
                <wp:positionV relativeFrom="paragraph">
                  <wp:posOffset>163195</wp:posOffset>
                </wp:positionV>
                <wp:extent cx="6668135" cy="366395"/>
                <wp:effectExtent l="12700" t="12700" r="12065" b="14605"/>
                <wp:wrapNone/>
                <wp:docPr id="538" name="Rounded Rectangle 538"/>
                <wp:cNvGraphicFramePr/>
                <a:graphic xmlns:a="http://schemas.openxmlformats.org/drawingml/2006/main">
                  <a:graphicData uri="http://schemas.microsoft.com/office/word/2010/wordprocessingShape">
                    <wps:wsp>
                      <wps:cNvSpPr/>
                      <wps:spPr>
                        <a:xfrm>
                          <a:off x="0" y="0"/>
                          <a:ext cx="6668135" cy="366395"/>
                        </a:xfrm>
                        <a:prstGeom prst="roundRect">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A5289A3" id="Rounded Rectangle 538" o:spid="_x0000_s1026" style="position:absolute;margin-left:.45pt;margin-top:12.85pt;width:525.05pt;height:28.85pt;z-index:2524733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" filled="f" strokecolor="#69557f"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2474366" behindDoc="0" locked="0" layoutInCell="1" allowOverlap="1" wp14:anchorId="11C0007B" wp14:editId="45CCA7C8">
                <wp:simplePos x="0" y="0"/>
                <wp:positionH relativeFrom="column">
                  <wp:posOffset>-139700</wp:posOffset>
                </wp:positionH>
                <wp:positionV relativeFrom="paragraph">
                  <wp:posOffset>194310</wp:posOffset>
                </wp:positionV>
                <wp:extent cx="6266815" cy="311785"/>
                <wp:effectExtent l="0" t="0" r="0" b="0"/>
                <wp:wrapNone/>
                <wp:docPr id="539" name="Text Box 539"/>
                <wp:cNvGraphicFramePr/>
                <a:graphic xmlns:a="http://schemas.openxmlformats.org/drawingml/2006/main">
                  <a:graphicData uri="http://schemas.microsoft.com/office/word/2010/wordprocessingShape">
                    <wps:wsp>
                      <wps:cNvSpPr txBox="1"/>
                      <wps:spPr>
                        <a:xfrm>
                          <a:off x="0" y="0"/>
                          <a:ext cx="6266815" cy="311785"/>
                        </a:xfrm>
                        <a:prstGeom prst="rect">
                          <a:avLst/>
                        </a:prstGeom>
                        <a:noFill/>
                        <a:ln w="6350">
                          <a:noFill/>
                        </a:ln>
                      </wps:spPr>
                      <wps:txbx>
                        <w:txbxContent>
                          <w:p w14:paraId="00CD03DB" w14:textId="77777777" w:rsidR="00D15FD8" w:rsidRPr="00F13171" w:rsidRDefault="00D15FD8">
                            <w:pPr>
                              <w:pStyle w:val="ListParagraph"/>
                              <w:numPr>
                                <w:ilvl w:val="0"/>
                                <w:numId w:val="58"/>
                              </w:numPr>
                              <w:rPr>
                                <w:rFonts w:ascii="Arial" w:hAnsi="Arial" w:cs="Arial"/>
                                <w:sz w:val="24"/>
                                <w:szCs w:val="24"/>
                              </w:rPr>
                            </w:pPr>
                            <w:r w:rsidRPr="00F13171">
                              <w:rPr>
                                <w:rFonts w:ascii="Arial" w:hAnsi="Arial" w:cs="Arial"/>
                                <w:sz w:val="24"/>
                                <w:szCs w:val="24"/>
                              </w:rPr>
                              <w:t>Who will be affected by the policy decision?</w:t>
                            </w:r>
                          </w:p>
                          <w:p w14:paraId="3324560A" w14:textId="77777777" w:rsidR="00D15FD8" w:rsidRDefault="00D15FD8" w:rsidP="00F131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C0007B" id="Text Box 539" o:spid="_x0000_s1302" type="#_x0000_t202" style="position:absolute;left:0;text-align:left;margin-left:-11pt;margin-top:15.3pt;width:493.45pt;height:24.55pt;z-index:2524743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" filled="f" stroked="f" strokeweight=".5pt">
                <v:textbox>
                  <w:txbxContent>
                    <w:p w14:paraId="00CD03DB" w14:textId="77777777" w:rsidR="00D15FD8" w:rsidRPr="00F13171" w:rsidRDefault="00D15FD8">
                      <w:pPr>
                        <w:pStyle w:val="ListParagraph"/>
                        <w:numPr>
                          <w:ilvl w:val="0"/>
                          <w:numId w:val="58"/>
                        </w:numPr>
                        <w:rPr>
                          <w:rFonts w:ascii="Arial" w:hAnsi="Arial" w:cs="Arial"/>
                          <w:sz w:val="24"/>
                          <w:szCs w:val="24"/>
                        </w:rPr>
                      </w:pPr>
                      <w:r w:rsidRPr="00F13171">
                        <w:rPr>
                          <w:rFonts w:ascii="Arial" w:hAnsi="Arial" w:cs="Arial"/>
                          <w:sz w:val="24"/>
                          <w:szCs w:val="24"/>
                        </w:rPr>
                        <w:t>Who will be affected by the policy decision?</w:t>
                      </w:r>
                    </w:p>
                    <w:p w14:paraId="3324560A" w14:textId="77777777" w:rsidR="00D15FD8" w:rsidRDefault="00D15FD8" w:rsidP="00F13171"/>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77438" behindDoc="0" locked="0" layoutInCell="1" allowOverlap="1" wp14:anchorId="0B7E2F5A" wp14:editId="574D87FC">
                <wp:simplePos x="0" y="0"/>
                <wp:positionH relativeFrom="column">
                  <wp:posOffset>-139700</wp:posOffset>
                </wp:positionH>
                <wp:positionV relativeFrom="paragraph">
                  <wp:posOffset>704215</wp:posOffset>
                </wp:positionV>
                <wp:extent cx="6266815" cy="311785"/>
                <wp:effectExtent l="0" t="0" r="0" b="0"/>
                <wp:wrapNone/>
                <wp:docPr id="541" name="Text Box 541"/>
                <wp:cNvGraphicFramePr/>
                <a:graphic xmlns:a="http://schemas.openxmlformats.org/drawingml/2006/main">
                  <a:graphicData uri="http://schemas.microsoft.com/office/word/2010/wordprocessingShape">
                    <wps:wsp>
                      <wps:cNvSpPr txBox="1"/>
                      <wps:spPr>
                        <a:xfrm>
                          <a:off x="0" y="0"/>
                          <a:ext cx="6266815" cy="311785"/>
                        </a:xfrm>
                        <a:prstGeom prst="rect">
                          <a:avLst/>
                        </a:prstGeom>
                        <a:noFill/>
                        <a:ln w="6350">
                          <a:noFill/>
                        </a:ln>
                      </wps:spPr>
                      <wps:txbx>
                        <w:txbxContent>
                          <w:p w14:paraId="3D2E2D31" w14:textId="77777777" w:rsidR="00D15FD8" w:rsidRPr="00F13171" w:rsidRDefault="00D15FD8">
                            <w:pPr>
                              <w:pStyle w:val="ListParagraph"/>
                              <w:numPr>
                                <w:ilvl w:val="0"/>
                                <w:numId w:val="59"/>
                              </w:numPr>
                              <w:rPr>
                                <w:rFonts w:ascii="Arial" w:hAnsi="Arial" w:cs="Arial"/>
                                <w:sz w:val="24"/>
                                <w:szCs w:val="24"/>
                              </w:rPr>
                            </w:pPr>
                            <w:r w:rsidRPr="00F13171">
                              <w:rPr>
                                <w:rFonts w:ascii="Arial" w:hAnsi="Arial" w:cs="Arial"/>
                                <w:sz w:val="24"/>
                                <w:szCs w:val="24"/>
                              </w:rPr>
                              <w:t>How can traditionally excluded groups be included?</w:t>
                            </w:r>
                          </w:p>
                          <w:p w14:paraId="7BEC95FF" w14:textId="77777777" w:rsidR="00D15FD8" w:rsidRDefault="00D15FD8" w:rsidP="00F131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7E2F5A" id="Text Box 541" o:spid="_x0000_s1303" type="#_x0000_t202" style="position:absolute;left:0;text-align:left;margin-left:-11pt;margin-top:55.45pt;width:493.45pt;height:24.55pt;z-index:2524774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" filled="f" stroked="f" strokeweight=".5pt">
                <v:textbox>
                  <w:txbxContent>
                    <w:p w14:paraId="3D2E2D31" w14:textId="77777777" w:rsidR="00D15FD8" w:rsidRPr="00F13171" w:rsidRDefault="00D15FD8">
                      <w:pPr>
                        <w:pStyle w:val="ListParagraph"/>
                        <w:numPr>
                          <w:ilvl w:val="0"/>
                          <w:numId w:val="59"/>
                        </w:numPr>
                        <w:rPr>
                          <w:rFonts w:ascii="Arial" w:hAnsi="Arial" w:cs="Arial"/>
                          <w:sz w:val="24"/>
                          <w:szCs w:val="24"/>
                        </w:rPr>
                      </w:pPr>
                      <w:r w:rsidRPr="00F13171">
                        <w:rPr>
                          <w:rFonts w:ascii="Arial" w:hAnsi="Arial" w:cs="Arial"/>
                          <w:sz w:val="24"/>
                          <w:szCs w:val="24"/>
                        </w:rPr>
                        <w:t>How can traditionally excluded groups be included?</w:t>
                      </w:r>
                    </w:p>
                    <w:p w14:paraId="7BEC95FF" w14:textId="77777777" w:rsidR="00D15FD8" w:rsidRDefault="00D15FD8" w:rsidP="00F13171"/>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79486" behindDoc="0" locked="0" layoutInCell="1" allowOverlap="1" wp14:anchorId="172DAAA9" wp14:editId="5466B0B4">
                <wp:simplePos x="0" y="0"/>
                <wp:positionH relativeFrom="column">
                  <wp:posOffset>0</wp:posOffset>
                </wp:positionH>
                <wp:positionV relativeFrom="paragraph">
                  <wp:posOffset>1179195</wp:posOffset>
                </wp:positionV>
                <wp:extent cx="6668135" cy="533400"/>
                <wp:effectExtent l="12700" t="12700" r="12065" b="12700"/>
                <wp:wrapNone/>
                <wp:docPr id="542" name="Rounded Rectangle 542"/>
                <wp:cNvGraphicFramePr/>
                <a:graphic xmlns:a="http://schemas.openxmlformats.org/drawingml/2006/main">
                  <a:graphicData uri="http://schemas.microsoft.com/office/word/2010/wordprocessingShape">
                    <wps:wsp>
                      <wps:cNvSpPr/>
                      <wps:spPr>
                        <a:xfrm>
                          <a:off x="0" y="0"/>
                          <a:ext cx="6668135" cy="533400"/>
                        </a:xfrm>
                        <a:prstGeom prst="roundRect">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0A4BD52B" id="Rounded Rectangle 542" o:spid="_x0000_s1026" style="position:absolute;margin-left:0;margin-top:92.85pt;width:525.05pt;height:42pt;z-index:2524794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" filled="f" strokecolor="#69557f"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2482558" behindDoc="0" locked="0" layoutInCell="1" allowOverlap="1" wp14:anchorId="30EF9C36" wp14:editId="0295C149">
                <wp:simplePos x="0" y="0"/>
                <wp:positionH relativeFrom="column">
                  <wp:posOffset>5715</wp:posOffset>
                </wp:positionH>
                <wp:positionV relativeFrom="paragraph">
                  <wp:posOffset>1851660</wp:posOffset>
                </wp:positionV>
                <wp:extent cx="6668135" cy="366395"/>
                <wp:effectExtent l="12700" t="12700" r="12065" b="14605"/>
                <wp:wrapNone/>
                <wp:docPr id="544" name="Rounded Rectangle 544"/>
                <wp:cNvGraphicFramePr/>
                <a:graphic xmlns:a="http://schemas.openxmlformats.org/drawingml/2006/main">
                  <a:graphicData uri="http://schemas.microsoft.com/office/word/2010/wordprocessingShape">
                    <wps:wsp>
                      <wps:cNvSpPr/>
                      <wps:spPr>
                        <a:xfrm>
                          <a:off x="0" y="0"/>
                          <a:ext cx="6668135" cy="366395"/>
                        </a:xfrm>
                        <a:prstGeom prst="roundRect">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03A8DB7C" id="Rounded Rectangle 544" o:spid="_x0000_s1026" style="position:absolute;margin-left:.45pt;margin-top:145.8pt;width:525.05pt;height:28.85pt;z-index:2524825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" filled="f" strokecolor="#69557f" strokeweight="2.25pt">
                <v:stroke joinstyle="miter"/>
              </v:roundrect>
            </w:pict>
          </mc:Fallback>
        </mc:AlternateContent>
      </w:r>
    </w:p>
    <w:p w14:paraId="1C525F97" w14:textId="1F9C4D0F" w:rsidR="00F13171" w:rsidRPr="00F13171" w:rsidRDefault="00F13171" w:rsidP="00F13171">
      <w:pPr>
        <w:spacing w:line="276" w:lineRule="auto"/>
        <w:jc w:val="both"/>
        <w:rPr>
          <w:rFonts w:ascii="Arial" w:hAnsi="Arial" w:cs="Arial"/>
          <w:iCs/>
          <w:sz w:val="24"/>
          <w:szCs w:val="24"/>
        </w:rPr>
      </w:pPr>
    </w:p>
    <w:p w14:paraId="4441D2C9" w14:textId="31892C90" w:rsidR="00F13171" w:rsidRDefault="00F13171" w:rsidP="00F13171">
      <w:pPr>
        <w:spacing w:line="276" w:lineRule="auto"/>
        <w:jc w:val="both"/>
        <w:rPr>
          <w:rFonts w:ascii="Arial" w:hAnsi="Arial" w:cs="Arial"/>
          <w:i/>
          <w:sz w:val="24"/>
          <w:szCs w:val="24"/>
        </w:rPr>
      </w:pPr>
    </w:p>
    <w:p w14:paraId="168B72A6" w14:textId="0AD922BB" w:rsidR="00F13171" w:rsidRDefault="00F13171" w:rsidP="00F13171">
      <w:pPr>
        <w:spacing w:line="276" w:lineRule="auto"/>
        <w:jc w:val="both"/>
        <w:rPr>
          <w:rFonts w:ascii="Arial" w:hAnsi="Arial" w:cs="Arial"/>
          <w:i/>
          <w:sz w:val="24"/>
          <w:szCs w:val="24"/>
        </w:rPr>
      </w:pPr>
      <w:r>
        <w:rPr>
          <w:rFonts w:ascii="Arial" w:hAnsi="Arial" w:cs="Arial"/>
          <w:noProof/>
          <w:sz w:val="24"/>
          <w:szCs w:val="24"/>
          <w:lang w:val="en-US"/>
        </w:rPr>
        <mc:AlternateContent>
          <mc:Choice Requires="wps">
            <w:drawing>
              <wp:anchor distT="0" distB="0" distL="114300" distR="114300" simplePos="0" relativeHeight="252476414" behindDoc="0" locked="0" layoutInCell="1" allowOverlap="1" wp14:anchorId="388574EA" wp14:editId="181FE351">
                <wp:simplePos x="0" y="0"/>
                <wp:positionH relativeFrom="column">
                  <wp:posOffset>5715</wp:posOffset>
                </wp:positionH>
                <wp:positionV relativeFrom="paragraph">
                  <wp:posOffset>67945</wp:posOffset>
                </wp:positionV>
                <wp:extent cx="6668135" cy="366395"/>
                <wp:effectExtent l="12700" t="12700" r="12065" b="14605"/>
                <wp:wrapNone/>
                <wp:docPr id="540" name="Rounded Rectangle 540"/>
                <wp:cNvGraphicFramePr/>
                <a:graphic xmlns:a="http://schemas.openxmlformats.org/drawingml/2006/main">
                  <a:graphicData uri="http://schemas.microsoft.com/office/word/2010/wordprocessingShape">
                    <wps:wsp>
                      <wps:cNvSpPr/>
                      <wps:spPr>
                        <a:xfrm>
                          <a:off x="0" y="0"/>
                          <a:ext cx="6668135" cy="366395"/>
                        </a:xfrm>
                        <a:prstGeom prst="roundRect">
                          <a:avLst/>
                        </a:prstGeom>
                        <a:noFill/>
                        <a:ln w="28575">
                          <a:solidFill>
                            <a:srgbClr val="6955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546C078" id="Rounded Rectangle 540" o:spid="_x0000_s1026" style="position:absolute;margin-left:.45pt;margin-top:5.35pt;width:525.05pt;height:28.85pt;z-index:2524764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" filled="f" strokecolor="#69557f" strokeweight="2.25pt">
                <v:stroke joinstyle="miter"/>
              </v:roundrect>
            </w:pict>
          </mc:Fallback>
        </mc:AlternateContent>
      </w:r>
    </w:p>
    <w:p w14:paraId="40C82DA3" w14:textId="3455414D" w:rsidR="00F13171" w:rsidRDefault="00F13171" w:rsidP="00F13171">
      <w:pPr>
        <w:spacing w:line="276" w:lineRule="auto"/>
        <w:jc w:val="both"/>
        <w:rPr>
          <w:rFonts w:ascii="Arial" w:hAnsi="Arial" w:cs="Arial"/>
          <w:i/>
          <w:sz w:val="24"/>
          <w:szCs w:val="24"/>
        </w:rPr>
      </w:pPr>
    </w:p>
    <w:p w14:paraId="3B0EF92C" w14:textId="14527C85" w:rsidR="00F13171" w:rsidRDefault="00F13171" w:rsidP="00F13171">
      <w:pPr>
        <w:spacing w:line="276" w:lineRule="auto"/>
        <w:jc w:val="both"/>
        <w:rPr>
          <w:rFonts w:ascii="Arial" w:hAnsi="Arial" w:cs="Arial"/>
          <w:i/>
          <w:sz w:val="24"/>
          <w:szCs w:val="24"/>
        </w:rPr>
      </w:pPr>
      <w:r>
        <w:rPr>
          <w:rFonts w:ascii="Arial" w:hAnsi="Arial" w:cs="Arial"/>
          <w:noProof/>
          <w:sz w:val="24"/>
          <w:szCs w:val="24"/>
          <w:lang w:val="en-US"/>
        </w:rPr>
        <mc:AlternateContent>
          <mc:Choice Requires="wps">
            <w:drawing>
              <wp:anchor distT="0" distB="0" distL="114300" distR="114300" simplePos="0" relativeHeight="252480510" behindDoc="0" locked="0" layoutInCell="1" allowOverlap="1" wp14:anchorId="5F49E1A2" wp14:editId="5979CF3F">
                <wp:simplePos x="0" y="0"/>
                <wp:positionH relativeFrom="column">
                  <wp:posOffset>-139700</wp:posOffset>
                </wp:positionH>
                <wp:positionV relativeFrom="paragraph">
                  <wp:posOffset>196850</wp:posOffset>
                </wp:positionV>
                <wp:extent cx="6266815" cy="520700"/>
                <wp:effectExtent l="0" t="0" r="0" b="0"/>
                <wp:wrapNone/>
                <wp:docPr id="543" name="Text Box 543"/>
                <wp:cNvGraphicFramePr/>
                <a:graphic xmlns:a="http://schemas.openxmlformats.org/drawingml/2006/main">
                  <a:graphicData uri="http://schemas.microsoft.com/office/word/2010/wordprocessingShape">
                    <wps:wsp>
                      <wps:cNvSpPr txBox="1"/>
                      <wps:spPr>
                        <a:xfrm>
                          <a:off x="0" y="0"/>
                          <a:ext cx="6266815" cy="520700"/>
                        </a:xfrm>
                        <a:prstGeom prst="rect">
                          <a:avLst/>
                        </a:prstGeom>
                        <a:noFill/>
                        <a:ln w="6350">
                          <a:noFill/>
                        </a:ln>
                      </wps:spPr>
                      <wps:txbx>
                        <w:txbxContent>
                          <w:p w14:paraId="6092F602" w14:textId="77777777" w:rsidR="00D15FD8" w:rsidRPr="00F13171" w:rsidRDefault="00D15FD8">
                            <w:pPr>
                              <w:pStyle w:val="ListParagraph"/>
                              <w:numPr>
                                <w:ilvl w:val="0"/>
                                <w:numId w:val="60"/>
                              </w:numPr>
                              <w:rPr>
                                <w:rFonts w:ascii="Arial" w:hAnsi="Arial" w:cs="Arial"/>
                                <w:sz w:val="24"/>
                                <w:szCs w:val="24"/>
                              </w:rPr>
                            </w:pPr>
                            <w:r w:rsidRPr="00F13171">
                              <w:rPr>
                                <w:rFonts w:ascii="Arial" w:hAnsi="Arial" w:cs="Arial"/>
                                <w:sz w:val="24"/>
                                <w:szCs w:val="24"/>
                              </w:rPr>
                              <w:t>Are there interest groups or organized groups that could capture or undermine the decision process?</w:t>
                            </w:r>
                          </w:p>
                          <w:p w14:paraId="66E29C23" w14:textId="77777777" w:rsidR="00D15FD8" w:rsidRDefault="00D15FD8" w:rsidP="00F131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49E1A2" id="Text Box 543" o:spid="_x0000_s1304" type="#_x0000_t202" style="position:absolute;left:0;text-align:left;margin-left:-11pt;margin-top:15.5pt;width:493.45pt;height:41pt;z-index:2524805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" filled="f" stroked="f" strokeweight=".5pt">
                <v:textbox>
                  <w:txbxContent>
                    <w:p w14:paraId="6092F602" w14:textId="77777777" w:rsidR="00D15FD8" w:rsidRPr="00F13171" w:rsidRDefault="00D15FD8">
                      <w:pPr>
                        <w:pStyle w:val="ListParagraph"/>
                        <w:numPr>
                          <w:ilvl w:val="0"/>
                          <w:numId w:val="60"/>
                        </w:numPr>
                        <w:rPr>
                          <w:rFonts w:ascii="Arial" w:hAnsi="Arial" w:cs="Arial"/>
                          <w:sz w:val="24"/>
                          <w:szCs w:val="24"/>
                        </w:rPr>
                      </w:pPr>
                      <w:r w:rsidRPr="00F13171">
                        <w:rPr>
                          <w:rFonts w:ascii="Arial" w:hAnsi="Arial" w:cs="Arial"/>
                          <w:sz w:val="24"/>
                          <w:szCs w:val="24"/>
                        </w:rPr>
                        <w:t>Are there interest groups or organized groups that could capture or undermine the decision process?</w:t>
                      </w:r>
                    </w:p>
                    <w:p w14:paraId="66E29C23" w14:textId="77777777" w:rsidR="00D15FD8" w:rsidRDefault="00D15FD8" w:rsidP="00F13171"/>
                  </w:txbxContent>
                </v:textbox>
              </v:shape>
            </w:pict>
          </mc:Fallback>
        </mc:AlternateContent>
      </w:r>
    </w:p>
    <w:p w14:paraId="0406E774" w14:textId="6D0DFECA" w:rsidR="00F13171" w:rsidRDefault="00F13171" w:rsidP="00F13171">
      <w:pPr>
        <w:spacing w:line="276" w:lineRule="auto"/>
        <w:jc w:val="both"/>
        <w:rPr>
          <w:rFonts w:ascii="Arial" w:hAnsi="Arial" w:cs="Arial"/>
          <w:i/>
          <w:sz w:val="24"/>
          <w:szCs w:val="24"/>
        </w:rPr>
      </w:pPr>
    </w:p>
    <w:p w14:paraId="0800F53F" w14:textId="5DFADC85" w:rsidR="00F13171" w:rsidRDefault="00F13171" w:rsidP="00F13171">
      <w:pPr>
        <w:spacing w:line="276" w:lineRule="auto"/>
        <w:jc w:val="both"/>
        <w:rPr>
          <w:rFonts w:ascii="Arial" w:hAnsi="Arial" w:cs="Arial"/>
          <w:i/>
          <w:sz w:val="24"/>
          <w:szCs w:val="24"/>
        </w:rPr>
      </w:pPr>
    </w:p>
    <w:p w14:paraId="031C7E1A" w14:textId="1505CFD0" w:rsidR="00F13171" w:rsidRDefault="00F13171" w:rsidP="00F13171">
      <w:pPr>
        <w:spacing w:line="276" w:lineRule="auto"/>
        <w:jc w:val="both"/>
        <w:rPr>
          <w:rFonts w:ascii="Arial" w:hAnsi="Arial" w:cs="Arial"/>
          <w:i/>
          <w:sz w:val="24"/>
          <w:szCs w:val="24"/>
        </w:rPr>
      </w:pPr>
    </w:p>
    <w:p w14:paraId="61326C2B" w14:textId="68347B69" w:rsidR="00F13171" w:rsidRDefault="00F13171" w:rsidP="00F13171">
      <w:pPr>
        <w:spacing w:line="276" w:lineRule="auto"/>
        <w:jc w:val="both"/>
        <w:rPr>
          <w:rFonts w:ascii="Arial" w:hAnsi="Arial" w:cs="Arial"/>
          <w:i/>
          <w:sz w:val="24"/>
          <w:szCs w:val="24"/>
        </w:rPr>
      </w:pPr>
    </w:p>
    <w:p w14:paraId="6F6FAAB0" w14:textId="5643DEDA" w:rsidR="00F13171" w:rsidRDefault="00F13171" w:rsidP="00F13171">
      <w:pPr>
        <w:spacing w:line="276" w:lineRule="auto"/>
        <w:jc w:val="both"/>
        <w:rPr>
          <w:rFonts w:ascii="Arial" w:hAnsi="Arial" w:cs="Arial"/>
          <w:i/>
          <w:sz w:val="24"/>
          <w:szCs w:val="24"/>
        </w:rPr>
      </w:pPr>
    </w:p>
    <w:p w14:paraId="6AC20B5F" w14:textId="06A942AC" w:rsidR="00F13171" w:rsidRDefault="00F13171" w:rsidP="00F13171">
      <w:pPr>
        <w:spacing w:line="276" w:lineRule="auto"/>
        <w:jc w:val="both"/>
        <w:rPr>
          <w:rFonts w:ascii="Arial" w:hAnsi="Arial" w:cs="Arial"/>
          <w:iCs/>
          <w:sz w:val="24"/>
          <w:szCs w:val="24"/>
        </w:rPr>
      </w:pPr>
    </w:p>
    <w:p w14:paraId="2DA625B6" w14:textId="340D27CB" w:rsidR="00C34643" w:rsidRDefault="00C34643" w:rsidP="00F13171">
      <w:pPr>
        <w:spacing w:line="276" w:lineRule="auto"/>
        <w:jc w:val="both"/>
        <w:rPr>
          <w:rFonts w:ascii="Arial" w:hAnsi="Arial" w:cs="Arial"/>
          <w:sz w:val="24"/>
          <w:szCs w:val="24"/>
          <w:lang w:val="en-ZA"/>
        </w:rPr>
      </w:pPr>
      <w:r w:rsidRPr="00C34643">
        <w:rPr>
          <w:rFonts w:ascii="Arial" w:hAnsi="Arial" w:cs="Arial"/>
          <w:sz w:val="24"/>
          <w:szCs w:val="24"/>
          <w:lang w:val="en-ZA"/>
        </w:rPr>
        <w:t>There are two main approaches that can be taken, either engaging with the general public to receive broad feedback or engaging with small, select, and specialized groups, such as CSOs, academia, think tanks, and multi-stakeholder committees to receive in-depth feedback on particular aspects of the fiscal policy cycle. </w:t>
      </w:r>
    </w:p>
    <w:p w14:paraId="21BC1F32" w14:textId="57B7C851" w:rsidR="00E643E4" w:rsidRDefault="00E643E4" w:rsidP="00F13171">
      <w:pPr>
        <w:spacing w:line="276" w:lineRule="auto"/>
        <w:jc w:val="both"/>
        <w:rPr>
          <w:rFonts w:ascii="Arial" w:hAnsi="Arial" w:cs="Arial"/>
          <w:sz w:val="24"/>
          <w:szCs w:val="24"/>
          <w:lang w:val="en-ZA"/>
        </w:rPr>
      </w:pPr>
      <w:r>
        <w:rPr>
          <w:rFonts w:ascii="Arial" w:hAnsi="Arial" w:cs="Arial"/>
          <w:iCs/>
          <w:noProof/>
          <w:sz w:val="24"/>
          <w:szCs w:val="24"/>
          <w:lang w:val="en-US"/>
        </w:rPr>
        <w:drawing>
          <wp:anchor distT="0" distB="0" distL="114300" distR="114300" simplePos="0" relativeHeight="252484606" behindDoc="0" locked="0" layoutInCell="1" allowOverlap="1" wp14:anchorId="257D300A" wp14:editId="277EEEBD">
            <wp:simplePos x="0" y="0"/>
            <wp:positionH relativeFrom="column">
              <wp:posOffset>1612900</wp:posOffset>
            </wp:positionH>
            <wp:positionV relativeFrom="paragraph">
              <wp:posOffset>62230</wp:posOffset>
            </wp:positionV>
            <wp:extent cx="723900" cy="1032510"/>
            <wp:effectExtent l="0" t="0" r="0" b="0"/>
            <wp:wrapSquare wrapText="bothSides"/>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pic:cNvPicPr/>
                  </pic:nvPicPr>
                  <pic:blipFill rotWithShape="1">
                    <a:blip r:embed="rId518" cstate="email">
                      <a:extLst>
                        <a:ext uri="{28A0092B-C50C-407E-A947-70E740481C1C}">
                          <a14:useLocalDpi xmlns:a14="http://schemas.microsoft.com/office/drawing/2010/main"/>
                        </a:ext>
                      </a:extLst>
                    </a:blip>
                    <a:srcRect/>
                    <a:stretch/>
                  </pic:blipFill>
                  <pic:spPr bwMode="auto">
                    <a:xfrm>
                      <a:off x="0" y="0"/>
                      <a:ext cx="723900" cy="1032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D86163" w14:textId="066F2C78" w:rsidR="00E643E4" w:rsidRPr="00F13171" w:rsidRDefault="00E643E4" w:rsidP="00F13171">
      <w:pPr>
        <w:spacing w:line="276" w:lineRule="auto"/>
        <w:jc w:val="both"/>
        <w:rPr>
          <w:rFonts w:ascii="Arial" w:hAnsi="Arial" w:cs="Arial"/>
          <w:iCs/>
          <w:sz w:val="24"/>
          <w:szCs w:val="24"/>
        </w:rPr>
      </w:pPr>
      <w:r>
        <w:rPr>
          <w:rFonts w:ascii="Arial" w:hAnsi="Arial" w:cs="Arial"/>
          <w:noProof/>
          <w:sz w:val="24"/>
          <w:szCs w:val="24"/>
          <w:lang w:val="en-US"/>
        </w:rPr>
        <mc:AlternateContent>
          <mc:Choice Requires="wps">
            <w:drawing>
              <wp:anchor distT="0" distB="0" distL="114300" distR="114300" simplePos="0" relativeHeight="252486654" behindDoc="0" locked="0" layoutInCell="1" allowOverlap="1" wp14:anchorId="708529A1" wp14:editId="3AA47989">
                <wp:simplePos x="0" y="0"/>
                <wp:positionH relativeFrom="column">
                  <wp:posOffset>2468880</wp:posOffset>
                </wp:positionH>
                <wp:positionV relativeFrom="paragraph">
                  <wp:posOffset>91440</wp:posOffset>
                </wp:positionV>
                <wp:extent cx="2350800" cy="590550"/>
                <wp:effectExtent l="0" t="0" r="0" b="6350"/>
                <wp:wrapNone/>
                <wp:docPr id="547" name="Rounded Rectangle 547"/>
                <wp:cNvGraphicFramePr/>
                <a:graphic xmlns:a="http://schemas.openxmlformats.org/drawingml/2006/main">
                  <a:graphicData uri="http://schemas.microsoft.com/office/word/2010/wordprocessingShape">
                    <wps:wsp>
                      <wps:cNvSpPr/>
                      <wps:spPr>
                        <a:xfrm>
                          <a:off x="0" y="0"/>
                          <a:ext cx="2350800" cy="590550"/>
                        </a:xfrm>
                        <a:prstGeom prst="roundRect">
                          <a:avLst>
                            <a:gd name="adj" fmla="val 12891"/>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74F17576" id="Rounded Rectangle 547" o:spid="_x0000_s1026" style="position:absolute;margin-left:194.4pt;margin-top:7.2pt;width:185.1pt;height:46.5pt;z-index:2524866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4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" fillcolor="#69557f" stroked="f" strokeweight="1pt">
                <v:stroke joinstyle="miter"/>
              </v:roundrect>
            </w:pict>
          </mc:Fallback>
        </mc:AlternateContent>
      </w:r>
    </w:p>
    <w:p w14:paraId="5A017502" w14:textId="18838D93" w:rsidR="00C34643" w:rsidRDefault="00E643E4" w:rsidP="00C34643">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87678" behindDoc="0" locked="0" layoutInCell="1" allowOverlap="1" wp14:anchorId="34C3DC43" wp14:editId="7A5681FE">
                <wp:simplePos x="0" y="0"/>
                <wp:positionH relativeFrom="column">
                  <wp:posOffset>2578100</wp:posOffset>
                </wp:positionH>
                <wp:positionV relativeFrom="paragraph">
                  <wp:posOffset>15240</wp:posOffset>
                </wp:positionV>
                <wp:extent cx="2120900" cy="367665"/>
                <wp:effectExtent l="0" t="0" r="0" b="0"/>
                <wp:wrapNone/>
                <wp:docPr id="548" name="Text Box 548"/>
                <wp:cNvGraphicFramePr/>
                <a:graphic xmlns:a="http://schemas.openxmlformats.org/drawingml/2006/main">
                  <a:graphicData uri="http://schemas.microsoft.com/office/word/2010/wordprocessingShape">
                    <wps:wsp>
                      <wps:cNvSpPr txBox="1"/>
                      <wps:spPr>
                        <a:xfrm>
                          <a:off x="0" y="0"/>
                          <a:ext cx="2120900" cy="367665"/>
                        </a:xfrm>
                        <a:prstGeom prst="rect">
                          <a:avLst/>
                        </a:prstGeom>
                        <a:noFill/>
                        <a:ln w="6350">
                          <a:noFill/>
                        </a:ln>
                      </wps:spPr>
                      <wps:txbx>
                        <w:txbxContent>
                          <w:p w14:paraId="69350474" w14:textId="62B5A411" w:rsidR="00D15FD8" w:rsidRPr="00775C33" w:rsidRDefault="00D15FD8" w:rsidP="004D719B">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3DC43" id="Text Box 548" o:spid="_x0000_s1305" type="#_x0000_t202" style="position:absolute;left:0;text-align:left;margin-left:203pt;margin-top:1.2pt;width:167pt;height:28.95pt;z-index:252487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" filled="f" stroked="f" strokeweight=".5pt">
                <v:textbox>
                  <w:txbxContent>
                    <w:p w14:paraId="69350474" w14:textId="62B5A411" w:rsidR="00D15FD8" w:rsidRPr="00775C33" w:rsidRDefault="00D15FD8" w:rsidP="004D719B">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When</w:t>
                      </w:r>
                    </w:p>
                  </w:txbxContent>
                </v:textbox>
              </v:shape>
            </w:pict>
          </mc:Fallback>
        </mc:AlternateContent>
      </w:r>
    </w:p>
    <w:p w14:paraId="443BE4EE" w14:textId="3AAF9FBA" w:rsidR="00E643E4" w:rsidRDefault="00E643E4" w:rsidP="00C34643">
      <w:pPr>
        <w:spacing w:line="276" w:lineRule="auto"/>
        <w:jc w:val="both"/>
        <w:rPr>
          <w:rFonts w:ascii="Arial" w:hAnsi="Arial" w:cs="Arial"/>
          <w:sz w:val="24"/>
          <w:szCs w:val="24"/>
        </w:rPr>
      </w:pPr>
    </w:p>
    <w:p w14:paraId="16FAA484" w14:textId="5A7F0914" w:rsidR="00E643E4" w:rsidRDefault="00E643E4" w:rsidP="00C34643">
      <w:pPr>
        <w:spacing w:line="276" w:lineRule="auto"/>
        <w:jc w:val="both"/>
        <w:rPr>
          <w:rFonts w:ascii="Arial" w:hAnsi="Arial" w:cs="Arial"/>
          <w:sz w:val="24"/>
          <w:szCs w:val="24"/>
        </w:rPr>
      </w:pPr>
    </w:p>
    <w:p w14:paraId="3C74C4D4" w14:textId="1D65676D" w:rsidR="00E643E4" w:rsidRDefault="00E643E4" w:rsidP="00C34643">
      <w:pPr>
        <w:spacing w:line="276" w:lineRule="auto"/>
        <w:jc w:val="both"/>
        <w:rPr>
          <w:rFonts w:ascii="Arial" w:hAnsi="Arial" w:cs="Arial"/>
          <w:sz w:val="24"/>
          <w:szCs w:val="24"/>
        </w:rPr>
      </w:pPr>
    </w:p>
    <w:p w14:paraId="04F2A8EB" w14:textId="1E015ED7" w:rsidR="00C34643" w:rsidRDefault="00C34643" w:rsidP="00E643E4">
      <w:pPr>
        <w:spacing w:line="276" w:lineRule="auto"/>
        <w:jc w:val="both"/>
        <w:rPr>
          <w:rFonts w:ascii="Arial" w:hAnsi="Arial" w:cs="Arial"/>
          <w:sz w:val="24"/>
          <w:szCs w:val="24"/>
        </w:rPr>
      </w:pPr>
      <w:r w:rsidRPr="00C34643">
        <w:rPr>
          <w:rFonts w:ascii="Arial" w:hAnsi="Arial" w:cs="Arial"/>
          <w:sz w:val="24"/>
          <w:szCs w:val="24"/>
        </w:rPr>
        <w:t>The timing of the public participation initiative is important in optimizing results. It should be determined when participation is feasible and desirable in the fiscal policy cycle as well as what the opportune entry points in the fiscal policy cycle calendar are.</w:t>
      </w:r>
    </w:p>
    <w:p w14:paraId="35A02477" w14:textId="77777777" w:rsidR="009C3F73" w:rsidRPr="00C34643" w:rsidRDefault="009C3F73" w:rsidP="00E643E4">
      <w:pPr>
        <w:spacing w:line="276" w:lineRule="auto"/>
        <w:jc w:val="both"/>
        <w:rPr>
          <w:rFonts w:ascii="Arial" w:hAnsi="Arial" w:cs="Arial"/>
          <w:sz w:val="24"/>
          <w:szCs w:val="24"/>
        </w:rPr>
      </w:pPr>
    </w:p>
    <w:p w14:paraId="37A14B4A" w14:textId="4F0E1B7C" w:rsidR="004F04FD" w:rsidRDefault="004F04FD" w:rsidP="00C34643">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488702" behindDoc="0" locked="0" layoutInCell="1" allowOverlap="1" wp14:anchorId="629F6C71" wp14:editId="128CDF59">
            <wp:simplePos x="0" y="0"/>
            <wp:positionH relativeFrom="column">
              <wp:posOffset>1624330</wp:posOffset>
            </wp:positionH>
            <wp:positionV relativeFrom="paragraph">
              <wp:posOffset>64770</wp:posOffset>
            </wp:positionV>
            <wp:extent cx="753303" cy="1033200"/>
            <wp:effectExtent l="0" t="0" r="0" b="0"/>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pic:cNvPicPr/>
                  </pic:nvPicPr>
                  <pic:blipFill rotWithShape="1">
                    <a:blip r:embed="rId519" cstate="email">
                      <a:extLst>
                        <a:ext uri="{28A0092B-C50C-407E-A947-70E740481C1C}">
                          <a14:useLocalDpi xmlns:a14="http://schemas.microsoft.com/office/drawing/2010/main"/>
                        </a:ext>
                      </a:extLst>
                    </a:blip>
                    <a:srcRect/>
                    <a:stretch/>
                  </pic:blipFill>
                  <pic:spPr bwMode="auto">
                    <a:xfrm>
                      <a:off x="0" y="0"/>
                      <a:ext cx="753303" cy="103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555FB1" w14:textId="7403896E" w:rsidR="004F04FD" w:rsidRDefault="004D719B" w:rsidP="00C34643">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491774" behindDoc="0" locked="0" layoutInCell="1" allowOverlap="1" wp14:anchorId="2142C8D7" wp14:editId="36692C53">
                <wp:simplePos x="0" y="0"/>
                <wp:positionH relativeFrom="column">
                  <wp:posOffset>2571750</wp:posOffset>
                </wp:positionH>
                <wp:positionV relativeFrom="paragraph">
                  <wp:posOffset>203200</wp:posOffset>
                </wp:positionV>
                <wp:extent cx="2120900" cy="367665"/>
                <wp:effectExtent l="0" t="0" r="0" b="0"/>
                <wp:wrapNone/>
                <wp:docPr id="551" name="Text Box 551"/>
                <wp:cNvGraphicFramePr/>
                <a:graphic xmlns:a="http://schemas.openxmlformats.org/drawingml/2006/main">
                  <a:graphicData uri="http://schemas.microsoft.com/office/word/2010/wordprocessingShape">
                    <wps:wsp>
                      <wps:cNvSpPr txBox="1"/>
                      <wps:spPr>
                        <a:xfrm>
                          <a:off x="0" y="0"/>
                          <a:ext cx="2120900" cy="367665"/>
                        </a:xfrm>
                        <a:prstGeom prst="rect">
                          <a:avLst/>
                        </a:prstGeom>
                        <a:noFill/>
                        <a:ln w="6350">
                          <a:noFill/>
                        </a:ln>
                      </wps:spPr>
                      <wps:txbx>
                        <w:txbxContent>
                          <w:p w14:paraId="7F6A508E" w14:textId="4E31C1AD" w:rsidR="00D15FD8" w:rsidRPr="00775C33" w:rsidRDefault="00D15FD8" w:rsidP="004D719B">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2C8D7" id="Text Box 551" o:spid="_x0000_s1306" type="#_x0000_t202" style="position:absolute;left:0;text-align:left;margin-left:202.5pt;margin-top:16pt;width:167pt;height:28.95pt;z-index:2524917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" filled="f" stroked="f" strokeweight=".5pt">
                <v:textbox>
                  <w:txbxContent>
                    <w:p w14:paraId="7F6A508E" w14:textId="4E31C1AD" w:rsidR="00D15FD8" w:rsidRPr="00775C33" w:rsidRDefault="00D15FD8" w:rsidP="004D719B">
                      <w:pPr>
                        <w:jc w:val="center"/>
                        <w:rPr>
                          <w:rFonts w:ascii="Arial" w:hAnsi="Arial" w:cs="Arial"/>
                          <w:b/>
                          <w:bCs/>
                          <w:color w:val="FFFFFF" w:themeColor="background1"/>
                          <w:sz w:val="32"/>
                          <w:szCs w:val="32"/>
                          <w:lang w:val="en-US"/>
                        </w:rPr>
                      </w:pPr>
                      <w:r w:rsidRPr="00775C33">
                        <w:rPr>
                          <w:rFonts w:ascii="Arial" w:hAnsi="Arial" w:cs="Arial"/>
                          <w:b/>
                          <w:bCs/>
                          <w:color w:val="FFFFFF" w:themeColor="background1"/>
                          <w:sz w:val="32"/>
                          <w:szCs w:val="32"/>
                          <w:lang w:val="en-US"/>
                        </w:rPr>
                        <w:t>How</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2490750" behindDoc="0" locked="0" layoutInCell="1" allowOverlap="1" wp14:anchorId="681574A3" wp14:editId="614BDCF9">
                <wp:simplePos x="0" y="0"/>
                <wp:positionH relativeFrom="column">
                  <wp:posOffset>2462530</wp:posOffset>
                </wp:positionH>
                <wp:positionV relativeFrom="paragraph">
                  <wp:posOffset>78105</wp:posOffset>
                </wp:positionV>
                <wp:extent cx="2350770" cy="590550"/>
                <wp:effectExtent l="0" t="0" r="0" b="6350"/>
                <wp:wrapNone/>
                <wp:docPr id="550" name="Rounded Rectangle 550"/>
                <wp:cNvGraphicFramePr/>
                <a:graphic xmlns:a="http://schemas.openxmlformats.org/drawingml/2006/main">
                  <a:graphicData uri="http://schemas.microsoft.com/office/word/2010/wordprocessingShape">
                    <wps:wsp>
                      <wps:cNvSpPr/>
                      <wps:spPr>
                        <a:xfrm>
                          <a:off x="0" y="0"/>
                          <a:ext cx="2350770" cy="590550"/>
                        </a:xfrm>
                        <a:prstGeom prst="roundRect">
                          <a:avLst>
                            <a:gd name="adj" fmla="val 12891"/>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89DC899" id="Rounded Rectangle 550" o:spid="_x0000_s1026" style="position:absolute;margin-left:193.9pt;margin-top:6.15pt;width:185.1pt;height:46.5pt;z-index:252490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4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" fillcolor="#69557f" stroked="f" strokeweight="1pt">
                <v:stroke joinstyle="miter"/>
              </v:roundrect>
            </w:pict>
          </mc:Fallback>
        </mc:AlternateContent>
      </w:r>
    </w:p>
    <w:p w14:paraId="27DF4F60" w14:textId="7A7B16D2" w:rsidR="004F04FD" w:rsidRDefault="004F04FD" w:rsidP="00C34643">
      <w:pPr>
        <w:spacing w:line="276" w:lineRule="auto"/>
        <w:jc w:val="both"/>
        <w:rPr>
          <w:rFonts w:ascii="Arial" w:hAnsi="Arial" w:cs="Arial"/>
          <w:sz w:val="24"/>
          <w:szCs w:val="24"/>
        </w:rPr>
      </w:pPr>
    </w:p>
    <w:p w14:paraId="1B245696" w14:textId="4AE5817B" w:rsidR="004F04FD" w:rsidRDefault="004F04FD" w:rsidP="00C34643">
      <w:pPr>
        <w:spacing w:line="276" w:lineRule="auto"/>
        <w:jc w:val="both"/>
        <w:rPr>
          <w:rFonts w:ascii="Arial" w:hAnsi="Arial" w:cs="Arial"/>
          <w:sz w:val="24"/>
          <w:szCs w:val="24"/>
        </w:rPr>
      </w:pPr>
    </w:p>
    <w:p w14:paraId="7F8CB9A8" w14:textId="5A6314EE" w:rsidR="004F04FD" w:rsidRDefault="004F04FD" w:rsidP="00C34643">
      <w:pPr>
        <w:spacing w:line="276" w:lineRule="auto"/>
        <w:jc w:val="both"/>
        <w:rPr>
          <w:rFonts w:ascii="Arial" w:hAnsi="Arial" w:cs="Arial"/>
          <w:sz w:val="24"/>
          <w:szCs w:val="24"/>
        </w:rPr>
      </w:pPr>
    </w:p>
    <w:p w14:paraId="020E2C38" w14:textId="77777777" w:rsidR="004F04FD" w:rsidRDefault="004F04FD" w:rsidP="004F04FD">
      <w:pPr>
        <w:spacing w:line="276" w:lineRule="auto"/>
        <w:jc w:val="both"/>
        <w:rPr>
          <w:rFonts w:ascii="Arial" w:hAnsi="Arial" w:cs="Arial"/>
          <w:sz w:val="24"/>
          <w:szCs w:val="24"/>
        </w:rPr>
      </w:pPr>
    </w:p>
    <w:p w14:paraId="79329CC0" w14:textId="6230D09A" w:rsidR="00C34643" w:rsidRDefault="00C34643" w:rsidP="004F04FD">
      <w:pPr>
        <w:spacing w:line="276" w:lineRule="auto"/>
        <w:jc w:val="both"/>
        <w:rPr>
          <w:rFonts w:ascii="Arial" w:hAnsi="Arial" w:cs="Arial"/>
          <w:sz w:val="24"/>
          <w:szCs w:val="24"/>
          <w:lang w:val="en-ZA"/>
        </w:rPr>
      </w:pPr>
      <w:r w:rsidRPr="00C34643">
        <w:rPr>
          <w:rFonts w:ascii="Arial" w:hAnsi="Arial" w:cs="Arial"/>
          <w:sz w:val="24"/>
          <w:szCs w:val="24"/>
        </w:rPr>
        <w:t>The</w:t>
      </w:r>
      <w:r w:rsidRPr="00C34643">
        <w:rPr>
          <w:rFonts w:ascii="Arial" w:hAnsi="Arial" w:cs="Arial"/>
          <w:sz w:val="24"/>
          <w:szCs w:val="24"/>
          <w:lang w:val="en-ZA"/>
        </w:rPr>
        <w:t xml:space="preserve"> scope, format and degree of the target audience’s involvement needs to be determined when selecting the appropriate mechanism. The </w:t>
      </w:r>
      <w:hyperlink r:id="rId520" w:history="1">
        <w:r w:rsidRPr="00C34643">
          <w:rPr>
            <w:rStyle w:val="Hyperlink"/>
            <w:rFonts w:ascii="Arial" w:hAnsi="Arial" w:cs="Arial"/>
            <w:sz w:val="24"/>
            <w:szCs w:val="24"/>
            <w:lang w:val="en-ZA"/>
          </w:rPr>
          <w:t>International Association for Public Participation</w:t>
        </w:r>
      </w:hyperlink>
      <w:r w:rsidRPr="00C34643">
        <w:rPr>
          <w:rFonts w:ascii="Arial" w:hAnsi="Arial" w:cs="Arial"/>
          <w:sz w:val="24"/>
          <w:szCs w:val="24"/>
          <w:lang w:val="en-ZA"/>
        </w:rPr>
        <w:t xml:space="preserve"> developed a spectrum to help define the public’s role in, and manage expectations of, public participation processes. It covers different objectives for governments to consider when consulting the public ranging from informing, to consulting, involving, collaborating and finally empowering. This spectrum is based on the idea that the level of public participation is linked to the potential level of public influence on the action or decision being considered. This ranges from the beginning of the </w:t>
      </w:r>
      <w:r w:rsidRPr="00C34643">
        <w:rPr>
          <w:rFonts w:ascii="Arial" w:hAnsi="Arial" w:cs="Arial"/>
          <w:sz w:val="24"/>
          <w:szCs w:val="24"/>
          <w:lang w:val="en-ZA"/>
        </w:rPr>
        <w:lastRenderedPageBreak/>
        <w:t xml:space="preserve">spectrum where the expectation is merely that the audience will be informed, with no feedback expectations or specific public impact expected; to the end of the spectrum where there is an expectation that the audience will be empowered to take decisions with the associated higher level of public impact. Applicable participation tools vary accordingly as shown in the diagram below. There are risks if the public’s potential role is not outlined, for example, if members of the public are led to believe that their feedback will be incorporated or responded to, and this is not the case, they will likely become disillusioned and lose trust in the process. This spectrum thus not only assists governments in shaping the design of a public participation mechanism but also in managing public expectations. </w:t>
      </w:r>
    </w:p>
    <w:p w14:paraId="25B46D29" w14:textId="77777777" w:rsidR="00C34643" w:rsidRPr="00C34643" w:rsidRDefault="00C34643" w:rsidP="00C34643">
      <w:pPr>
        <w:spacing w:line="276" w:lineRule="auto"/>
        <w:ind w:left="720"/>
        <w:jc w:val="both"/>
        <w:rPr>
          <w:rFonts w:ascii="Arial" w:hAnsi="Arial" w:cs="Arial"/>
          <w:sz w:val="24"/>
          <w:szCs w:val="24"/>
          <w:lang w:val="en-ZA"/>
        </w:rPr>
      </w:pPr>
    </w:p>
    <w:p w14:paraId="353F52F1" w14:textId="506AF0CF" w:rsidR="000523FC" w:rsidRPr="00C34643" w:rsidRDefault="00C34643" w:rsidP="00C34643">
      <w:pPr>
        <w:spacing w:line="276" w:lineRule="auto"/>
        <w:jc w:val="both"/>
        <w:rPr>
          <w:rFonts w:ascii="Arial" w:hAnsi="Arial" w:cs="Arial"/>
          <w:sz w:val="24"/>
          <w:szCs w:val="24"/>
        </w:rPr>
      </w:pPr>
      <w:r w:rsidRPr="00C34643">
        <w:rPr>
          <w:rFonts w:ascii="Arial" w:hAnsi="Arial" w:cs="Arial"/>
          <w:sz w:val="24"/>
          <w:szCs w:val="24"/>
        </w:rPr>
        <w:t xml:space="preserve">For meaningful participation to take place, there should be openness regarding the purpose of each engagement, its scope, constraints, intended outcomes, process and timelines, as well as the expected and actual results of public participation. When designing public participation mechanisms, it is also important that their sustainability is taken into consideration, and that they are institutionalized where appropriate. </w:t>
      </w:r>
    </w:p>
    <w:p w14:paraId="4D15AD63" w14:textId="09BE67AD" w:rsidR="00257FBA" w:rsidRDefault="00257FBA" w:rsidP="00C34643">
      <w:pPr>
        <w:tabs>
          <w:tab w:val="left" w:pos="1159"/>
        </w:tabs>
        <w:spacing w:line="276" w:lineRule="auto"/>
        <w:rPr>
          <w:rFonts w:ascii="Arial" w:hAnsi="Arial" w:cs="Arial"/>
          <w:sz w:val="24"/>
          <w:szCs w:val="24"/>
        </w:rPr>
      </w:pPr>
    </w:p>
    <w:p w14:paraId="689C0AA6" w14:textId="00AA2068" w:rsidR="00572E2E" w:rsidRPr="003625BA" w:rsidRDefault="00F32B60" w:rsidP="003625BA">
      <w:pPr>
        <w:pStyle w:val="Heading3"/>
        <w:jc w:val="center"/>
        <w:rPr>
          <w:rFonts w:ascii="Arial" w:hAnsi="Arial" w:cs="Arial"/>
          <w:b/>
          <w:bCs/>
          <w:sz w:val="20"/>
          <w:szCs w:val="20"/>
          <w:lang w:val="en-US"/>
        </w:rPr>
      </w:pPr>
      <w:bookmarkStart w:id="1093" w:name="_Table_2.1._GIFT"/>
      <w:bookmarkStart w:id="1094" w:name="_Toc123216554"/>
      <w:bookmarkStart w:id="1095" w:name="_Toc123217394"/>
      <w:bookmarkStart w:id="1096" w:name="_Toc123914019"/>
      <w:bookmarkStart w:id="1097" w:name="_Toc125566639"/>
      <w:bookmarkEnd w:id="1093"/>
      <w:r w:rsidRPr="003625BA">
        <w:rPr>
          <w:rFonts w:ascii="Arial" w:hAnsi="Arial" w:cs="Arial"/>
          <w:b/>
          <w:bCs/>
          <w:color w:val="ED5625"/>
          <w:sz w:val="20"/>
          <w:szCs w:val="20"/>
          <w:lang w:val="en-US"/>
        </w:rPr>
        <w:t xml:space="preserve">Table </w:t>
      </w:r>
      <w:r w:rsidR="00572E2E" w:rsidRPr="003625BA">
        <w:rPr>
          <w:rFonts w:ascii="Arial" w:hAnsi="Arial" w:cs="Arial"/>
          <w:b/>
          <w:bCs/>
          <w:color w:val="ED5625"/>
          <w:sz w:val="20"/>
          <w:szCs w:val="20"/>
          <w:lang w:val="en-US"/>
        </w:rPr>
        <w:t>2.</w:t>
      </w:r>
      <w:r w:rsidRPr="003625BA">
        <w:rPr>
          <w:rFonts w:ascii="Arial" w:hAnsi="Arial" w:cs="Arial"/>
          <w:b/>
          <w:bCs/>
          <w:color w:val="ED5625"/>
          <w:sz w:val="20"/>
          <w:szCs w:val="20"/>
          <w:lang w:val="en-US"/>
        </w:rPr>
        <w:t>1</w:t>
      </w:r>
      <w:r w:rsidR="00572E2E" w:rsidRPr="003625BA">
        <w:rPr>
          <w:rFonts w:ascii="Arial" w:hAnsi="Arial" w:cs="Arial"/>
          <w:b/>
          <w:bCs/>
          <w:color w:val="ED5625"/>
          <w:sz w:val="20"/>
          <w:szCs w:val="20"/>
          <w:lang w:val="en-US"/>
        </w:rPr>
        <w:t>. GIFT</w:t>
      </w:r>
      <w:r w:rsidR="00572E2E" w:rsidRPr="003625BA">
        <w:rPr>
          <w:rStyle w:val="FootnoteReference"/>
          <w:rFonts w:ascii="Arial" w:hAnsi="Arial" w:cs="Arial"/>
          <w:b/>
          <w:bCs/>
          <w:color w:val="ED5625"/>
          <w:sz w:val="20"/>
          <w:szCs w:val="20"/>
          <w:lang w:val="en-US"/>
        </w:rPr>
        <w:footnoteReference w:id="32"/>
      </w:r>
      <w:r w:rsidR="00572E2E" w:rsidRPr="003625BA">
        <w:rPr>
          <w:rFonts w:ascii="Arial" w:hAnsi="Arial" w:cs="Arial"/>
          <w:b/>
          <w:bCs/>
          <w:color w:val="ED5625"/>
          <w:sz w:val="20"/>
          <w:szCs w:val="20"/>
          <w:lang w:val="en-US"/>
        </w:rPr>
        <w:t xml:space="preserve"> Public Participation Spectrum</w:t>
      </w:r>
      <w:bookmarkEnd w:id="1094"/>
      <w:bookmarkEnd w:id="1095"/>
      <w:bookmarkEnd w:id="1096"/>
      <w:bookmarkEnd w:id="1097"/>
    </w:p>
    <w:p w14:paraId="22786297" w14:textId="77777777" w:rsidR="00E551F9" w:rsidRPr="003625BA" w:rsidRDefault="00E551F9" w:rsidP="003625BA">
      <w:pPr>
        <w:jc w:val="center"/>
        <w:rPr>
          <w:rFonts w:ascii="Arial" w:hAnsi="Arial" w:cs="Arial"/>
          <w:color w:val="ED5625"/>
          <w:sz w:val="24"/>
          <w:szCs w:val="24"/>
        </w:rPr>
      </w:pPr>
    </w:p>
    <w:tbl>
      <w:tblPr>
        <w:tblStyle w:val="GridTable5Dark-Accent21"/>
        <w:tblpPr w:leftFromText="141" w:rightFromText="141" w:vertAnchor="text" w:horzAnchor="margin" w:tblpXSpec="center" w:tblpY="107"/>
        <w:tblW w:w="0" w:type="auto"/>
        <w:tblLook w:val="04A0" w:firstRow="1" w:lastRow="0" w:firstColumn="1" w:lastColumn="0" w:noHBand="0" w:noVBand="1"/>
      </w:tblPr>
      <w:tblGrid>
        <w:gridCol w:w="1722"/>
        <w:gridCol w:w="1696"/>
        <w:gridCol w:w="1627"/>
        <w:gridCol w:w="1690"/>
        <w:gridCol w:w="1932"/>
        <w:gridCol w:w="1789"/>
      </w:tblGrid>
      <w:tr w:rsidR="00572E2E" w:rsidRPr="009536BF" w14:paraId="18B14DDB" w14:textId="77777777" w:rsidTr="003625BA">
        <w:trPr>
          <w:cnfStyle w:val="100000000000" w:firstRow="1" w:lastRow="0" w:firstColumn="0" w:lastColumn="0" w:oddVBand="0" w:evenVBand="0" w:oddHBand="0" w:evenHBand="0" w:firstRowFirstColumn="0" w:firstRowLastColumn="0" w:lastRowFirstColumn="0" w:lastRowLastColumn="0"/>
          <w:trHeight w:val="791"/>
          <w:tblHeader/>
        </w:trPr>
        <w:tc>
          <w:tcPr>
            <w:cnfStyle w:val="001000000000" w:firstRow="0" w:lastRow="0" w:firstColumn="1" w:lastColumn="0" w:oddVBand="0" w:evenVBand="0" w:oddHBand="0" w:evenHBand="0" w:firstRowFirstColumn="0" w:firstRowLastColumn="0" w:lastRowFirstColumn="0" w:lastRowLastColumn="0"/>
            <w:tcW w:w="0" w:type="auto"/>
            <w:gridSpan w:val="6"/>
            <w:shd w:val="clear" w:color="auto" w:fill="6A5780"/>
            <w:noWrap/>
            <w:hideMark/>
          </w:tcPr>
          <w:p w14:paraId="50FE8DCD" w14:textId="18373184" w:rsidR="00572E2E" w:rsidRPr="009536BF" w:rsidRDefault="00572E2E" w:rsidP="00B46860">
            <w:pPr>
              <w:spacing w:line="276" w:lineRule="auto"/>
              <w:jc w:val="center"/>
              <w:rPr>
                <w:rFonts w:ascii="Roboto" w:hAnsi="Roboto" w:cs="Calibri"/>
                <w:color w:val="000000"/>
              </w:rPr>
            </w:pPr>
            <w:r w:rsidRPr="009536BF">
              <w:rPr>
                <w:rFonts w:ascii="Roboto" w:hAnsi="Roboto" w:cs="Calibri"/>
                <w:noProof/>
                <w:lang w:val="en-US"/>
              </w:rPr>
              <w:drawing>
                <wp:anchor distT="0" distB="0" distL="114300" distR="114300" simplePos="0" relativeHeight="252495870" behindDoc="1" locked="0" layoutInCell="1" allowOverlap="1" wp14:anchorId="334EF842" wp14:editId="3F1E08CA">
                  <wp:simplePos x="0" y="0"/>
                  <wp:positionH relativeFrom="column">
                    <wp:posOffset>1130300</wp:posOffset>
                  </wp:positionH>
                  <wp:positionV relativeFrom="paragraph">
                    <wp:posOffset>122555</wp:posOffset>
                  </wp:positionV>
                  <wp:extent cx="267335" cy="226060"/>
                  <wp:effectExtent l="0" t="0" r="0" b="2540"/>
                  <wp:wrapTight wrapText="bothSides">
                    <wp:wrapPolygon edited="0">
                      <wp:start x="0" y="0"/>
                      <wp:lineTo x="0" y="20629"/>
                      <wp:lineTo x="20523" y="20629"/>
                      <wp:lineTo x="20523" y="0"/>
                      <wp:lineTo x="0" y="0"/>
                    </wp:wrapPolygon>
                  </wp:wrapTight>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2_pdf_Icon2-01.png"/>
                          <pic:cNvPicPr/>
                        </pic:nvPicPr>
                        <pic:blipFill>
                          <a:blip r:embed="rId521" cstate="email">
                            <a:extLst>
                              <a:ext uri="{28A0092B-C50C-407E-A947-70E740481C1C}">
                                <a14:useLocalDpi xmlns:a14="http://schemas.microsoft.com/office/drawing/2010/main"/>
                              </a:ext>
                            </a:extLst>
                          </a:blip>
                          <a:stretch>
                            <a:fillRect/>
                          </a:stretch>
                        </pic:blipFill>
                        <pic:spPr>
                          <a:xfrm>
                            <a:off x="0" y="0"/>
                            <a:ext cx="267335" cy="226060"/>
                          </a:xfrm>
                          <a:prstGeom prst="rect">
                            <a:avLst/>
                          </a:prstGeom>
                        </pic:spPr>
                      </pic:pic>
                    </a:graphicData>
                  </a:graphic>
                  <wp14:sizeRelH relativeFrom="page">
                    <wp14:pctWidth>0</wp14:pctWidth>
                  </wp14:sizeRelH>
                  <wp14:sizeRelV relativeFrom="page">
                    <wp14:pctHeight>0</wp14:pctHeight>
                  </wp14:sizeRelV>
                </wp:anchor>
              </w:drawing>
            </w:r>
            <w:r w:rsidRPr="009536BF">
              <w:rPr>
                <w:rFonts w:ascii="Roboto" w:hAnsi="Roboto" w:cs="Calibri"/>
                <w:noProof/>
                <w:lang w:val="en-US"/>
              </w:rPr>
              <w:drawing>
                <wp:anchor distT="0" distB="0" distL="114300" distR="114300" simplePos="0" relativeHeight="252496894" behindDoc="0" locked="0" layoutInCell="1" allowOverlap="1" wp14:anchorId="6F0BB650" wp14:editId="0E591B7F">
                  <wp:simplePos x="0" y="0"/>
                  <wp:positionH relativeFrom="column">
                    <wp:posOffset>5144135</wp:posOffset>
                  </wp:positionH>
                  <wp:positionV relativeFrom="paragraph">
                    <wp:posOffset>129540</wp:posOffset>
                  </wp:positionV>
                  <wp:extent cx="267335" cy="226695"/>
                  <wp:effectExtent l="0" t="0" r="0" b="1905"/>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2_pdf_Icon1-01.png"/>
                          <pic:cNvPicPr/>
                        </pic:nvPicPr>
                        <pic:blipFill>
                          <a:blip r:embed="rId522" cstate="email">
                            <a:extLst>
                              <a:ext uri="{28A0092B-C50C-407E-A947-70E740481C1C}">
                                <a14:useLocalDpi xmlns:a14="http://schemas.microsoft.com/office/drawing/2010/main"/>
                              </a:ext>
                            </a:extLst>
                          </a:blip>
                          <a:stretch>
                            <a:fillRect/>
                          </a:stretch>
                        </pic:blipFill>
                        <pic:spPr>
                          <a:xfrm flipH="1">
                            <a:off x="0" y="0"/>
                            <a:ext cx="267335" cy="226695"/>
                          </a:xfrm>
                          <a:prstGeom prst="rect">
                            <a:avLst/>
                          </a:prstGeom>
                        </pic:spPr>
                      </pic:pic>
                    </a:graphicData>
                  </a:graphic>
                  <wp14:sizeRelH relativeFrom="page">
                    <wp14:pctWidth>0</wp14:pctWidth>
                  </wp14:sizeRelH>
                  <wp14:sizeRelV relativeFrom="page">
                    <wp14:pctHeight>0</wp14:pctHeight>
                  </wp14:sizeRelV>
                </wp:anchor>
              </w:drawing>
            </w:r>
            <w:r w:rsidRPr="009536BF">
              <w:rPr>
                <w:rFonts w:ascii="Roboto" w:hAnsi="Roboto" w:cs="Calibri"/>
                <w:noProof/>
                <w:color w:val="000000"/>
                <w:lang w:val="en-US"/>
              </w:rPr>
              <mc:AlternateContent>
                <mc:Choice Requires="wps">
                  <w:drawing>
                    <wp:anchor distT="45720" distB="45720" distL="114300" distR="114300" simplePos="0" relativeHeight="252498942" behindDoc="0" locked="0" layoutInCell="1" allowOverlap="1" wp14:anchorId="56CF0BA2" wp14:editId="0904C5FB">
                      <wp:simplePos x="0" y="0"/>
                      <wp:positionH relativeFrom="column">
                        <wp:posOffset>1546860</wp:posOffset>
                      </wp:positionH>
                      <wp:positionV relativeFrom="paragraph">
                        <wp:posOffset>124460</wp:posOffset>
                      </wp:positionV>
                      <wp:extent cx="3449955" cy="1404620"/>
                      <wp:effectExtent l="0" t="0" r="0" b="0"/>
                      <wp:wrapNone/>
                      <wp:docPr id="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9955" cy="1404620"/>
                              </a:xfrm>
                              <a:prstGeom prst="rect">
                                <a:avLst/>
                              </a:prstGeom>
                              <a:noFill/>
                              <a:ln w="9525">
                                <a:noFill/>
                                <a:miter lim="800000"/>
                                <a:headEnd/>
                                <a:tailEnd/>
                              </a:ln>
                            </wps:spPr>
                            <wps:txbx>
                              <w:txbxContent>
                                <w:p w14:paraId="11FFD119" w14:textId="77777777" w:rsidR="00D15FD8" w:rsidRPr="007D502F" w:rsidRDefault="00D15FD8" w:rsidP="00572E2E">
                                  <w:pPr>
                                    <w:jc w:val="center"/>
                                    <w:rPr>
                                      <w:b/>
                                      <w:bCs/>
                                      <w:color w:val="FFFFFF"/>
                                    </w:rPr>
                                  </w:pPr>
                                  <w:r w:rsidRPr="007D502F">
                                    <w:rPr>
                                      <w:rFonts w:ascii="Roboto" w:hAnsi="Roboto" w:cs="Calibri"/>
                                      <w:b/>
                                      <w:bCs/>
                                      <w:color w:val="FFFFFF"/>
                                    </w:rPr>
                                    <w:t xml:space="preserve">L E V E </w:t>
                                  </w:r>
                                  <w:proofErr w:type="gramStart"/>
                                  <w:r w:rsidRPr="007D502F">
                                    <w:rPr>
                                      <w:rFonts w:ascii="Roboto" w:hAnsi="Roboto" w:cs="Calibri"/>
                                      <w:b/>
                                      <w:bCs/>
                                      <w:color w:val="FFFFFF"/>
                                    </w:rPr>
                                    <w:t xml:space="preserve">L </w:t>
                                  </w:r>
                                  <w:r>
                                    <w:rPr>
                                      <w:rFonts w:ascii="Roboto" w:hAnsi="Roboto" w:cs="Calibri"/>
                                      <w:b/>
                                      <w:bCs/>
                                      <w:color w:val="FFFFFF"/>
                                    </w:rPr>
                                    <w:t xml:space="preserve"> </w:t>
                                  </w:r>
                                  <w:r w:rsidRPr="007D502F">
                                    <w:rPr>
                                      <w:rFonts w:ascii="Roboto" w:hAnsi="Roboto" w:cs="Calibri"/>
                                      <w:b/>
                                      <w:bCs/>
                                      <w:color w:val="FFFFFF"/>
                                    </w:rPr>
                                    <w:t>O</w:t>
                                  </w:r>
                                  <w:proofErr w:type="gramEnd"/>
                                  <w:r w:rsidRPr="007D502F">
                                    <w:rPr>
                                      <w:rFonts w:ascii="Roboto" w:hAnsi="Roboto" w:cs="Calibri"/>
                                      <w:b/>
                                      <w:bCs/>
                                      <w:color w:val="FFFFFF"/>
                                    </w:rPr>
                                    <w:t xml:space="preserve"> F</w:t>
                                  </w:r>
                                  <w:r>
                                    <w:rPr>
                                      <w:rFonts w:ascii="Roboto" w:hAnsi="Roboto" w:cs="Calibri"/>
                                      <w:b/>
                                      <w:bCs/>
                                      <w:color w:val="FFFFFF"/>
                                    </w:rPr>
                                    <w:t xml:space="preserve">  </w:t>
                                  </w:r>
                                  <w:r w:rsidRPr="007D502F">
                                    <w:rPr>
                                      <w:rFonts w:ascii="Roboto" w:hAnsi="Roboto" w:cs="Calibri"/>
                                      <w:b/>
                                      <w:bCs/>
                                      <w:color w:val="FFFFFF"/>
                                    </w:rPr>
                                    <w:t>P U B L I C</w:t>
                                  </w:r>
                                  <w:r>
                                    <w:rPr>
                                      <w:rFonts w:ascii="Roboto" w:hAnsi="Roboto" w:cs="Calibri"/>
                                      <w:b/>
                                      <w:bCs/>
                                      <w:color w:val="FFFFFF"/>
                                    </w:rPr>
                                    <w:t xml:space="preserve">  </w:t>
                                  </w:r>
                                  <w:r w:rsidRPr="007D502F">
                                    <w:rPr>
                                      <w:rFonts w:ascii="Roboto" w:hAnsi="Roboto" w:cs="Calibri"/>
                                      <w:b/>
                                      <w:bCs/>
                                      <w:color w:val="FFFFFF"/>
                                    </w:rPr>
                                    <w:t>I N V O L V E M E N 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CF0BA2" id="_x0000_s1307" type="#_x0000_t202" style="position:absolute;left:0;text-align:left;margin-left:121.8pt;margin-top:9.8pt;width:271.65pt;height:110.6pt;z-index:2524989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" filled="f" stroked="f">
                      <v:textbox style="mso-fit-shape-to-text:t">
                        <w:txbxContent>
                          <w:p w14:paraId="11FFD119" w14:textId="77777777" w:rsidR="00D15FD8" w:rsidRPr="007D502F" w:rsidRDefault="00D15FD8" w:rsidP="00572E2E">
                            <w:pPr>
                              <w:jc w:val="center"/>
                              <w:rPr>
                                <w:b/>
                                <w:bCs/>
                                <w:color w:val="FFFFFF"/>
                              </w:rPr>
                            </w:pPr>
                            <w:r w:rsidRPr="007D502F">
                              <w:rPr>
                                <w:rFonts w:ascii="Roboto" w:hAnsi="Roboto" w:cs="Calibri"/>
                                <w:b/>
                                <w:bCs/>
                                <w:color w:val="FFFFFF"/>
                              </w:rPr>
                              <w:t xml:space="preserve">L E V E </w:t>
                            </w:r>
                            <w:proofErr w:type="gramStart"/>
                            <w:r w:rsidRPr="007D502F">
                              <w:rPr>
                                <w:rFonts w:ascii="Roboto" w:hAnsi="Roboto" w:cs="Calibri"/>
                                <w:b/>
                                <w:bCs/>
                                <w:color w:val="FFFFFF"/>
                              </w:rPr>
                              <w:t xml:space="preserve">L </w:t>
                            </w:r>
                            <w:r>
                              <w:rPr>
                                <w:rFonts w:ascii="Roboto" w:hAnsi="Roboto" w:cs="Calibri"/>
                                <w:b/>
                                <w:bCs/>
                                <w:color w:val="FFFFFF"/>
                              </w:rPr>
                              <w:t xml:space="preserve"> </w:t>
                            </w:r>
                            <w:r w:rsidRPr="007D502F">
                              <w:rPr>
                                <w:rFonts w:ascii="Roboto" w:hAnsi="Roboto" w:cs="Calibri"/>
                                <w:b/>
                                <w:bCs/>
                                <w:color w:val="FFFFFF"/>
                              </w:rPr>
                              <w:t>O</w:t>
                            </w:r>
                            <w:proofErr w:type="gramEnd"/>
                            <w:r w:rsidRPr="007D502F">
                              <w:rPr>
                                <w:rFonts w:ascii="Roboto" w:hAnsi="Roboto" w:cs="Calibri"/>
                                <w:b/>
                                <w:bCs/>
                                <w:color w:val="FFFFFF"/>
                              </w:rPr>
                              <w:t xml:space="preserve"> F</w:t>
                            </w:r>
                            <w:r>
                              <w:rPr>
                                <w:rFonts w:ascii="Roboto" w:hAnsi="Roboto" w:cs="Calibri"/>
                                <w:b/>
                                <w:bCs/>
                                <w:color w:val="FFFFFF"/>
                              </w:rPr>
                              <w:t xml:space="preserve">  </w:t>
                            </w:r>
                            <w:r w:rsidRPr="007D502F">
                              <w:rPr>
                                <w:rFonts w:ascii="Roboto" w:hAnsi="Roboto" w:cs="Calibri"/>
                                <w:b/>
                                <w:bCs/>
                                <w:color w:val="FFFFFF"/>
                              </w:rPr>
                              <w:t>P U B L I C</w:t>
                            </w:r>
                            <w:r>
                              <w:rPr>
                                <w:rFonts w:ascii="Roboto" w:hAnsi="Roboto" w:cs="Calibri"/>
                                <w:b/>
                                <w:bCs/>
                                <w:color w:val="FFFFFF"/>
                              </w:rPr>
                              <w:t xml:space="preserve">  </w:t>
                            </w:r>
                            <w:r w:rsidRPr="007D502F">
                              <w:rPr>
                                <w:rFonts w:ascii="Roboto" w:hAnsi="Roboto" w:cs="Calibri"/>
                                <w:b/>
                                <w:bCs/>
                                <w:color w:val="FFFFFF"/>
                              </w:rPr>
                              <w:t>I N V O L V E M E N T</w:t>
                            </w:r>
                          </w:p>
                        </w:txbxContent>
                      </v:textbox>
                    </v:shape>
                  </w:pict>
                </mc:Fallback>
              </mc:AlternateContent>
            </w:r>
            <w:r w:rsidRPr="009536BF">
              <w:rPr>
                <w:rFonts w:ascii="Roboto" w:hAnsi="Roboto" w:cs="Calibri"/>
                <w:color w:val="000000"/>
              </w:rPr>
              <w:t xml:space="preserve"> </w:t>
            </w:r>
          </w:p>
          <w:p w14:paraId="28CB420A" w14:textId="77777777" w:rsidR="00572E2E" w:rsidRPr="009536BF" w:rsidRDefault="00572E2E" w:rsidP="003625BA">
            <w:pPr>
              <w:spacing w:line="276" w:lineRule="auto"/>
              <w:rPr>
                <w:rFonts w:cs="Calibri"/>
                <w:color w:val="000000"/>
              </w:rPr>
            </w:pPr>
          </w:p>
        </w:tc>
      </w:tr>
      <w:tr w:rsidR="00572E2E" w:rsidRPr="009536BF" w14:paraId="3DDB65B2" w14:textId="77777777" w:rsidTr="003625BA">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65048454" w14:textId="77777777" w:rsidR="00572E2E" w:rsidRPr="009536BF" w:rsidRDefault="00572E2E" w:rsidP="00B46860">
            <w:pPr>
              <w:spacing w:line="276" w:lineRule="auto"/>
              <w:rPr>
                <w:rFonts w:cs="Calibri"/>
                <w:color w:val="000000"/>
                <w:sz w:val="20"/>
                <w:szCs w:val="20"/>
              </w:rPr>
            </w:pPr>
            <w:r w:rsidRPr="009536BF">
              <w:rPr>
                <w:rFonts w:cs="Calibri"/>
                <w:noProof/>
                <w:color w:val="000000"/>
                <w:sz w:val="20"/>
                <w:szCs w:val="20"/>
                <w:lang w:val="en-US"/>
              </w:rPr>
              <w:drawing>
                <wp:anchor distT="0" distB="0" distL="114300" distR="114300" simplePos="0" relativeHeight="252494846" behindDoc="0" locked="0" layoutInCell="1" allowOverlap="1" wp14:anchorId="4699A4D9" wp14:editId="21059BD0">
                  <wp:simplePos x="0" y="0"/>
                  <wp:positionH relativeFrom="column">
                    <wp:posOffset>-71755</wp:posOffset>
                  </wp:positionH>
                  <wp:positionV relativeFrom="paragraph">
                    <wp:posOffset>355600</wp:posOffset>
                  </wp:positionV>
                  <wp:extent cx="939045" cy="635000"/>
                  <wp:effectExtent l="0" t="0" r="0"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2_pdf_Icon3-01.png"/>
                          <pic:cNvPicPr/>
                        </pic:nvPicPr>
                        <pic:blipFill rotWithShape="1">
                          <a:blip r:embed="rId523" cstate="email">
                            <a:extLst>
                              <a:ext uri="{28A0092B-C50C-407E-A947-70E740481C1C}">
                                <a14:useLocalDpi xmlns:a14="http://schemas.microsoft.com/office/drawing/2010/main"/>
                              </a:ext>
                            </a:extLst>
                          </a:blip>
                          <a:srcRect/>
                          <a:stretch/>
                        </pic:blipFill>
                        <pic:spPr bwMode="auto">
                          <a:xfrm>
                            <a:off x="0" y="0"/>
                            <a:ext cx="939045"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noWrap/>
            <w:hideMark/>
          </w:tcPr>
          <w:p w14:paraId="79556613" w14:textId="77777777" w:rsidR="00572E2E" w:rsidRPr="008D6A44" w:rsidRDefault="00572E2E" w:rsidP="00B46860">
            <w:pPr>
              <w:spacing w:line="276" w:lineRule="auto"/>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lang w:val="en-US"/>
              </w:rPr>
            </w:pPr>
          </w:p>
          <w:p w14:paraId="5C39E5C1"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8D6A44">
              <w:rPr>
                <w:rFonts w:cs="Calibri"/>
                <w:b/>
                <w:bCs/>
                <w:color w:val="ED7D31"/>
                <w:sz w:val="20"/>
                <w:szCs w:val="20"/>
                <w:lang w:val="en-US"/>
              </w:rPr>
              <w:t>Inform</w:t>
            </w:r>
          </w:p>
          <w:p w14:paraId="34300AE2"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inline distT="0" distB="0" distL="0" distR="0" wp14:anchorId="70EC4F67" wp14:editId="34AF0C11">
                  <wp:extent cx="849835" cy="7200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2_pdf_Icon4-01.png"/>
                          <pic:cNvPicPr/>
                        </pic:nvPicPr>
                        <pic:blipFill>
                          <a:blip r:embed="rId524" cstate="email">
                            <a:extLst>
                              <a:ext uri="{28A0092B-C50C-407E-A947-70E740481C1C}">
                                <a14:useLocalDpi xmlns:a14="http://schemas.microsoft.com/office/drawing/2010/main"/>
                              </a:ext>
                            </a:extLst>
                          </a:blip>
                          <a:stretch>
                            <a:fillRect/>
                          </a:stretch>
                        </pic:blipFill>
                        <pic:spPr>
                          <a:xfrm>
                            <a:off x="0" y="0"/>
                            <a:ext cx="849835" cy="720000"/>
                          </a:xfrm>
                          <a:prstGeom prst="rect">
                            <a:avLst/>
                          </a:prstGeom>
                        </pic:spPr>
                      </pic:pic>
                    </a:graphicData>
                  </a:graphic>
                </wp:inline>
              </w:drawing>
            </w:r>
          </w:p>
          <w:p w14:paraId="321E5DEA"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52059D5E"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tc>
        <w:tc>
          <w:tcPr>
            <w:tcW w:w="0" w:type="auto"/>
            <w:noWrap/>
            <w:hideMark/>
          </w:tcPr>
          <w:p w14:paraId="3C73044D" w14:textId="77777777" w:rsidR="00572E2E" w:rsidRPr="009536BF" w:rsidRDefault="00572E2E" w:rsidP="00B46860">
            <w:pPr>
              <w:spacing w:line="276" w:lineRule="auto"/>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2378E00E"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roofErr w:type="spellStart"/>
            <w:r>
              <w:rPr>
                <w:rFonts w:cs="Calibri"/>
                <w:b/>
                <w:bCs/>
                <w:color w:val="ED7D31"/>
                <w:sz w:val="20"/>
                <w:szCs w:val="20"/>
              </w:rPr>
              <w:t>Consult</w:t>
            </w:r>
            <w:proofErr w:type="spellEnd"/>
          </w:p>
          <w:p w14:paraId="6F384A02"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inline distT="0" distB="0" distL="0" distR="0" wp14:anchorId="3A6EC683" wp14:editId="46C25D5E">
                  <wp:extent cx="849836" cy="720000"/>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2_pdf_Icon5-01.png"/>
                          <pic:cNvPicPr/>
                        </pic:nvPicPr>
                        <pic:blipFill>
                          <a:blip r:embed="rId525" cstate="email">
                            <a:extLst>
                              <a:ext uri="{28A0092B-C50C-407E-A947-70E740481C1C}">
                                <a14:useLocalDpi xmlns:a14="http://schemas.microsoft.com/office/drawing/2010/main"/>
                              </a:ext>
                            </a:extLst>
                          </a:blip>
                          <a:stretch>
                            <a:fillRect/>
                          </a:stretch>
                        </pic:blipFill>
                        <pic:spPr>
                          <a:xfrm>
                            <a:off x="0" y="0"/>
                            <a:ext cx="849836" cy="720000"/>
                          </a:xfrm>
                          <a:prstGeom prst="rect">
                            <a:avLst/>
                          </a:prstGeom>
                        </pic:spPr>
                      </pic:pic>
                    </a:graphicData>
                  </a:graphic>
                </wp:inline>
              </w:drawing>
            </w:r>
          </w:p>
        </w:tc>
        <w:tc>
          <w:tcPr>
            <w:tcW w:w="0" w:type="auto"/>
            <w:noWrap/>
            <w:hideMark/>
          </w:tcPr>
          <w:p w14:paraId="5D7C0F28" w14:textId="77777777" w:rsidR="00572E2E" w:rsidRPr="009536BF" w:rsidRDefault="00572E2E" w:rsidP="00B46860">
            <w:pPr>
              <w:spacing w:line="276" w:lineRule="auto"/>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7B5E690A"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roofErr w:type="spellStart"/>
            <w:r w:rsidRPr="009536BF">
              <w:rPr>
                <w:rFonts w:cs="Calibri"/>
                <w:b/>
                <w:bCs/>
                <w:color w:val="ED7D31"/>
                <w:sz w:val="20"/>
                <w:szCs w:val="20"/>
              </w:rPr>
              <w:t>Involve</w:t>
            </w:r>
            <w:proofErr w:type="spellEnd"/>
          </w:p>
          <w:p w14:paraId="6FF099F8"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inline distT="0" distB="0" distL="0" distR="0" wp14:anchorId="2984A775" wp14:editId="6118F1D8">
                  <wp:extent cx="849836" cy="72000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2_pdf_Icon6-01.png"/>
                          <pic:cNvPicPr/>
                        </pic:nvPicPr>
                        <pic:blipFill>
                          <a:blip r:embed="rId526" cstate="email">
                            <a:extLst>
                              <a:ext uri="{28A0092B-C50C-407E-A947-70E740481C1C}">
                                <a14:useLocalDpi xmlns:a14="http://schemas.microsoft.com/office/drawing/2010/main"/>
                              </a:ext>
                            </a:extLst>
                          </a:blip>
                          <a:stretch>
                            <a:fillRect/>
                          </a:stretch>
                        </pic:blipFill>
                        <pic:spPr>
                          <a:xfrm>
                            <a:off x="0" y="0"/>
                            <a:ext cx="849836" cy="720000"/>
                          </a:xfrm>
                          <a:prstGeom prst="rect">
                            <a:avLst/>
                          </a:prstGeom>
                        </pic:spPr>
                      </pic:pic>
                    </a:graphicData>
                  </a:graphic>
                </wp:inline>
              </w:drawing>
            </w:r>
          </w:p>
        </w:tc>
        <w:tc>
          <w:tcPr>
            <w:tcW w:w="0" w:type="auto"/>
            <w:noWrap/>
            <w:hideMark/>
          </w:tcPr>
          <w:p w14:paraId="7C4FAA50" w14:textId="77777777" w:rsidR="00572E2E" w:rsidRPr="009536BF" w:rsidRDefault="00572E2E" w:rsidP="00B46860">
            <w:pPr>
              <w:spacing w:line="276" w:lineRule="auto"/>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1745BC92"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roofErr w:type="spellStart"/>
            <w:r w:rsidRPr="009536BF">
              <w:rPr>
                <w:rFonts w:cs="Calibri"/>
                <w:b/>
                <w:bCs/>
                <w:color w:val="ED7D31"/>
                <w:sz w:val="20"/>
                <w:szCs w:val="20"/>
              </w:rPr>
              <w:t>Collaborate</w:t>
            </w:r>
            <w:proofErr w:type="spellEnd"/>
          </w:p>
          <w:p w14:paraId="695FEA1A"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inline distT="0" distB="0" distL="0" distR="0" wp14:anchorId="1502CA1B" wp14:editId="27103119">
                  <wp:extent cx="849836" cy="72000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2_pdf_Icon7-01.png"/>
                          <pic:cNvPicPr/>
                        </pic:nvPicPr>
                        <pic:blipFill>
                          <a:blip r:embed="rId527" cstate="email">
                            <a:extLst>
                              <a:ext uri="{28A0092B-C50C-407E-A947-70E740481C1C}">
                                <a14:useLocalDpi xmlns:a14="http://schemas.microsoft.com/office/drawing/2010/main"/>
                              </a:ext>
                            </a:extLst>
                          </a:blip>
                          <a:stretch>
                            <a:fillRect/>
                          </a:stretch>
                        </pic:blipFill>
                        <pic:spPr>
                          <a:xfrm>
                            <a:off x="0" y="0"/>
                            <a:ext cx="849836" cy="720000"/>
                          </a:xfrm>
                          <a:prstGeom prst="rect">
                            <a:avLst/>
                          </a:prstGeom>
                        </pic:spPr>
                      </pic:pic>
                    </a:graphicData>
                  </a:graphic>
                </wp:inline>
              </w:drawing>
            </w:r>
            <w:r w:rsidRPr="009536BF">
              <w:rPr>
                <w:rFonts w:cs="Calibri"/>
                <w:b/>
                <w:bCs/>
                <w:color w:val="ED7D31"/>
                <w:sz w:val="20"/>
                <w:szCs w:val="20"/>
              </w:rPr>
              <w:softHyphen/>
            </w:r>
          </w:p>
        </w:tc>
        <w:tc>
          <w:tcPr>
            <w:tcW w:w="0" w:type="auto"/>
            <w:noWrap/>
            <w:hideMark/>
          </w:tcPr>
          <w:p w14:paraId="1FA4E913" w14:textId="77777777" w:rsidR="00572E2E" w:rsidRPr="009536BF" w:rsidRDefault="00572E2E" w:rsidP="00B46860">
            <w:pPr>
              <w:spacing w:line="276" w:lineRule="auto"/>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148E3A86"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roofErr w:type="spellStart"/>
            <w:r w:rsidRPr="009536BF">
              <w:rPr>
                <w:rFonts w:cs="Calibri"/>
                <w:b/>
                <w:bCs/>
                <w:color w:val="ED7D31"/>
                <w:sz w:val="20"/>
                <w:szCs w:val="20"/>
              </w:rPr>
              <w:t>Empower</w:t>
            </w:r>
            <w:proofErr w:type="spellEnd"/>
          </w:p>
          <w:p w14:paraId="2F67D822" w14:textId="77777777" w:rsidR="00572E2E" w:rsidRPr="009536BF" w:rsidRDefault="00572E2E" w:rsidP="00B46860">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anchor distT="0" distB="0" distL="114300" distR="114300" simplePos="0" relativeHeight="252497918" behindDoc="1" locked="0" layoutInCell="1" allowOverlap="1" wp14:anchorId="333843E8" wp14:editId="1E6F9388">
                  <wp:simplePos x="0" y="0"/>
                  <wp:positionH relativeFrom="column">
                    <wp:posOffset>40640</wp:posOffset>
                  </wp:positionH>
                  <wp:positionV relativeFrom="paragraph">
                    <wp:posOffset>98425</wp:posOffset>
                  </wp:positionV>
                  <wp:extent cx="930139" cy="540000"/>
                  <wp:effectExtent l="0" t="0" r="0" b="0"/>
                  <wp:wrapTight wrapText="bothSides">
                    <wp:wrapPolygon edited="0">
                      <wp:start x="10033" y="2033"/>
                      <wp:lineTo x="2951" y="5591"/>
                      <wp:lineTo x="1770" y="7624"/>
                      <wp:lineTo x="590" y="15247"/>
                      <wp:lineTo x="885" y="16772"/>
                      <wp:lineTo x="6492" y="18805"/>
                      <wp:lineTo x="14754" y="18805"/>
                      <wp:lineTo x="20066" y="16772"/>
                      <wp:lineTo x="20951" y="15247"/>
                      <wp:lineTo x="18885" y="11181"/>
                      <wp:lineTo x="20066" y="7624"/>
                      <wp:lineTo x="18000" y="5591"/>
                      <wp:lineTo x="11508" y="2033"/>
                      <wp:lineTo x="10033" y="2033"/>
                    </wp:wrapPolygon>
                  </wp:wrapTight>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2_pdf_Icon8-01.png"/>
                          <pic:cNvPicPr/>
                        </pic:nvPicPr>
                        <pic:blipFill rotWithShape="1">
                          <a:blip r:embed="rId528" cstate="email">
                            <a:extLst>
                              <a:ext uri="{28A0092B-C50C-407E-A947-70E740481C1C}">
                                <a14:useLocalDpi xmlns:a14="http://schemas.microsoft.com/office/drawing/2010/main"/>
                              </a:ext>
                            </a:extLst>
                          </a:blip>
                          <a:srcRect/>
                          <a:stretch/>
                        </pic:blipFill>
                        <pic:spPr bwMode="auto">
                          <a:xfrm>
                            <a:off x="0" y="0"/>
                            <a:ext cx="930139" cy="5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72E2E" w:rsidRPr="009536BF" w14:paraId="6ED0152B" w14:textId="77777777" w:rsidTr="003625BA">
        <w:trPr>
          <w:trHeight w:val="1831"/>
        </w:trPr>
        <w:tc>
          <w:tcPr>
            <w:cnfStyle w:val="001000000000" w:firstRow="0" w:lastRow="0" w:firstColumn="1" w:lastColumn="0" w:oddVBand="0" w:evenVBand="0" w:oddHBand="0" w:evenHBand="0" w:firstRowFirstColumn="0" w:firstRowLastColumn="0" w:lastRowFirstColumn="0" w:lastRowLastColumn="0"/>
            <w:tcW w:w="0" w:type="auto"/>
            <w:hideMark/>
          </w:tcPr>
          <w:p w14:paraId="24D9333C" w14:textId="77777777" w:rsidR="00572E2E" w:rsidRPr="002E7A79" w:rsidRDefault="00572E2E" w:rsidP="00B46860">
            <w:pPr>
              <w:spacing w:line="276" w:lineRule="auto"/>
              <w:rPr>
                <w:rFonts w:cs="Calibri"/>
              </w:rPr>
            </w:pPr>
          </w:p>
          <w:p w14:paraId="3B8F48E8" w14:textId="677698D2" w:rsidR="00572E2E" w:rsidRPr="002E7A79" w:rsidRDefault="006354C4" w:rsidP="00B46860">
            <w:pPr>
              <w:spacing w:line="276" w:lineRule="auto"/>
              <w:jc w:val="center"/>
              <w:rPr>
                <w:rFonts w:ascii="Roboto" w:hAnsi="Roboto" w:cs="Calibri"/>
                <w:color w:val="ED7D31"/>
              </w:rPr>
            </w:pPr>
            <w:proofErr w:type="spellStart"/>
            <w:r>
              <w:rPr>
                <w:rFonts w:ascii="Roboto" w:hAnsi="Roboto" w:cs="Calibri"/>
              </w:rPr>
              <w:t>Objective</w:t>
            </w:r>
            <w:proofErr w:type="spellEnd"/>
            <w:r>
              <w:rPr>
                <w:rFonts w:ascii="Roboto" w:hAnsi="Roboto" w:cs="Calibri"/>
              </w:rPr>
              <w:t xml:space="preserve"> </w:t>
            </w:r>
            <w:proofErr w:type="spellStart"/>
            <w:r>
              <w:rPr>
                <w:rFonts w:ascii="Roboto" w:hAnsi="Roboto" w:cs="Calibri"/>
              </w:rPr>
              <w:t>of</w:t>
            </w:r>
            <w:proofErr w:type="spellEnd"/>
            <w:r>
              <w:rPr>
                <w:rFonts w:ascii="Roboto" w:hAnsi="Roboto" w:cs="Calibri"/>
              </w:rPr>
              <w:t xml:space="preserve"> </w:t>
            </w:r>
            <w:proofErr w:type="spellStart"/>
            <w:r>
              <w:rPr>
                <w:rFonts w:ascii="Roboto" w:hAnsi="Roboto" w:cs="Calibri"/>
              </w:rPr>
              <w:t>public</w:t>
            </w:r>
            <w:proofErr w:type="spellEnd"/>
            <w:r w:rsidR="00572E2E" w:rsidRPr="002E7A79">
              <w:rPr>
                <w:rFonts w:ascii="Roboto" w:hAnsi="Roboto" w:cs="Calibri"/>
              </w:rPr>
              <w:t xml:space="preserve"> </w:t>
            </w:r>
            <w:proofErr w:type="spellStart"/>
            <w:r w:rsidR="00572E2E" w:rsidRPr="002E7A79">
              <w:rPr>
                <w:rFonts w:ascii="Roboto" w:hAnsi="Roboto" w:cs="Calibri"/>
              </w:rPr>
              <w:t>participation</w:t>
            </w:r>
            <w:proofErr w:type="spellEnd"/>
          </w:p>
        </w:tc>
        <w:tc>
          <w:tcPr>
            <w:tcW w:w="0" w:type="auto"/>
            <w:hideMark/>
          </w:tcPr>
          <w:p w14:paraId="02ECCA65"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511D3D90" w14:textId="4B2A6AA0" w:rsidR="00572E2E"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provide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with</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balanced</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objective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information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assisting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them</w:t>
            </w:r>
            <w:proofErr w:type="spellEnd"/>
            <w:r w:rsidRPr="003625BA">
              <w:rPr>
                <w:rFonts w:ascii="Roboto" w:hAnsi="Roboto" w:cs="Arial"/>
                <w:color w:val="000000"/>
                <w:sz w:val="20"/>
                <w:szCs w:val="20"/>
              </w:rPr>
              <w:t xml:space="preserve"> in </w:t>
            </w:r>
            <w:proofErr w:type="spellStart"/>
            <w:r w:rsidRPr="003625BA">
              <w:rPr>
                <w:rFonts w:ascii="Roboto" w:hAnsi="Roboto" w:cs="Arial"/>
                <w:color w:val="000000"/>
                <w:sz w:val="20"/>
                <w:szCs w:val="20"/>
              </w:rPr>
              <w:t>understanding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problem</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alternatives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opportunities</w:t>
            </w:r>
            <w:proofErr w:type="spellEnd"/>
            <w:r w:rsidRPr="003625BA">
              <w:rPr>
                <w:rFonts w:ascii="Roboto" w:hAnsi="Roboto" w:cs="Arial"/>
                <w:color w:val="000000"/>
                <w:sz w:val="20"/>
                <w:szCs w:val="20"/>
              </w:rPr>
              <w:t xml:space="preserve"> and/</w:t>
            </w:r>
            <w:proofErr w:type="spellStart"/>
            <w:r w:rsidRPr="003625BA">
              <w:rPr>
                <w:rFonts w:ascii="Roboto" w:hAnsi="Roboto" w:cs="Arial"/>
                <w:color w:val="000000"/>
                <w:sz w:val="20"/>
                <w:szCs w:val="20"/>
              </w:rPr>
              <w:t>or</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solutions</w:t>
            </w:r>
            <w:proofErr w:type="spellEnd"/>
            <w:r w:rsidRPr="003625BA">
              <w:rPr>
                <w:rFonts w:ascii="Roboto" w:hAnsi="Roboto" w:cs="Arial"/>
                <w:color w:val="000000"/>
                <w:sz w:val="20"/>
                <w:szCs w:val="20"/>
              </w:rPr>
              <w:t>.</w:t>
            </w:r>
          </w:p>
          <w:p w14:paraId="35494B66" w14:textId="57DE68A3" w:rsidR="00D10D36" w:rsidRDefault="00D10D36"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0A61143A" w14:textId="77777777" w:rsidR="00D10D36" w:rsidRDefault="00D10D36"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5825B543" w14:textId="77777777" w:rsidR="00E551F9" w:rsidRPr="003625BA" w:rsidRDefault="00E551F9"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69CF91FB"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tc>
        <w:tc>
          <w:tcPr>
            <w:tcW w:w="0" w:type="auto"/>
            <w:hideMark/>
          </w:tcPr>
          <w:p w14:paraId="5B2044C4"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7FFAF355"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obtain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comments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analyses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alternatives</w:t>
            </w:r>
            <w:proofErr w:type="spellEnd"/>
            <w:r w:rsidRPr="003625BA">
              <w:rPr>
                <w:rFonts w:ascii="Roboto" w:hAnsi="Roboto" w:cs="Arial"/>
                <w:color w:val="000000"/>
                <w:sz w:val="20"/>
                <w:szCs w:val="20"/>
              </w:rPr>
              <w:t>, and/</w:t>
            </w:r>
            <w:proofErr w:type="spellStart"/>
            <w:r w:rsidRPr="003625BA">
              <w:rPr>
                <w:rFonts w:ascii="Roboto" w:hAnsi="Roboto" w:cs="Arial"/>
                <w:color w:val="000000"/>
                <w:sz w:val="20"/>
                <w:szCs w:val="20"/>
              </w:rPr>
              <w:t>or</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decisions</w:t>
            </w:r>
            <w:proofErr w:type="spellEnd"/>
            <w:r w:rsidRPr="003625BA">
              <w:rPr>
                <w:rFonts w:ascii="Roboto" w:hAnsi="Roboto" w:cs="Arial"/>
                <w:color w:val="000000"/>
                <w:sz w:val="20"/>
                <w:szCs w:val="20"/>
              </w:rPr>
              <w:t>.</w:t>
            </w:r>
          </w:p>
        </w:tc>
        <w:tc>
          <w:tcPr>
            <w:tcW w:w="0" w:type="auto"/>
            <w:hideMark/>
          </w:tcPr>
          <w:p w14:paraId="595605CE"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5429887A"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work</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directly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with</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throughout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process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ensuring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that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concerns</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aspirations</w:t>
            </w:r>
            <w:proofErr w:type="spellEnd"/>
            <w:r w:rsidRPr="003625BA">
              <w:rPr>
                <w:rFonts w:ascii="Roboto" w:hAnsi="Roboto" w:cs="Arial"/>
                <w:color w:val="000000"/>
                <w:sz w:val="20"/>
                <w:szCs w:val="20"/>
              </w:rPr>
              <w:t xml:space="preserve"> are </w:t>
            </w:r>
            <w:proofErr w:type="spellStart"/>
            <w:r w:rsidRPr="003625BA">
              <w:rPr>
                <w:rFonts w:ascii="Roboto" w:hAnsi="Roboto" w:cs="Arial"/>
                <w:color w:val="000000"/>
                <w:sz w:val="20"/>
                <w:szCs w:val="20"/>
              </w:rPr>
              <w:t>consistently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understood</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considered</w:t>
            </w:r>
            <w:proofErr w:type="spellEnd"/>
            <w:r w:rsidRPr="003625BA">
              <w:rPr>
                <w:rFonts w:ascii="Roboto" w:hAnsi="Roboto" w:cs="Arial"/>
                <w:color w:val="000000"/>
                <w:sz w:val="20"/>
                <w:szCs w:val="20"/>
              </w:rPr>
              <w:t>.</w:t>
            </w:r>
          </w:p>
        </w:tc>
        <w:tc>
          <w:tcPr>
            <w:tcW w:w="0" w:type="auto"/>
            <w:hideMark/>
          </w:tcPr>
          <w:p w14:paraId="58658596"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49C2C074"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partner</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with</w:t>
            </w:r>
            <w:proofErr w:type="spellEnd"/>
          </w:p>
          <w:p w14:paraId="4F5E10BC"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in </w:t>
            </w:r>
            <w:proofErr w:type="spellStart"/>
            <w:r w:rsidRPr="003625BA">
              <w:rPr>
                <w:rFonts w:ascii="Roboto" w:hAnsi="Roboto" w:cs="Arial"/>
                <w:color w:val="000000"/>
                <w:sz w:val="20"/>
                <w:szCs w:val="20"/>
              </w:rPr>
              <w:t>every</w:t>
            </w:r>
            <w:proofErr w:type="spellEnd"/>
            <w:r w:rsidRPr="003625BA">
              <w:rPr>
                <w:rFonts w:ascii="Roboto" w:hAnsi="Roboto" w:cs="Arial"/>
                <w:color w:val="000000"/>
                <w:sz w:val="20"/>
                <w:szCs w:val="20"/>
              </w:rPr>
              <w:t xml:space="preserve"> </w:t>
            </w:r>
          </w:p>
          <w:p w14:paraId="66B4DA08"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aspect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of</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p>
          <w:p w14:paraId="32AAF576" w14:textId="2EF0B995" w:rsidR="00572E2E" w:rsidRPr="003625BA" w:rsidRDefault="00572E2E" w:rsidP="00F64A9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decision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including</w:t>
            </w:r>
            <w:proofErr w:type="spellEnd"/>
            <w:r w:rsidRPr="003625BA">
              <w:rPr>
                <w:rFonts w:ascii="Roboto" w:hAnsi="Roboto" w:cs="Arial"/>
                <w:color w:val="000000"/>
                <w:sz w:val="20"/>
                <w:szCs w:val="20"/>
              </w:rPr>
              <w:t xml:space="preserve"> in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development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of</w:t>
            </w:r>
            <w:proofErr w:type="spellEnd"/>
            <w:r w:rsidR="00F64A90">
              <w:rPr>
                <w:rFonts w:ascii="Roboto" w:hAnsi="Roboto" w:cs="Arial"/>
                <w:color w:val="000000"/>
                <w:sz w:val="20"/>
                <w:szCs w:val="20"/>
              </w:rPr>
              <w:t xml:space="preserve"> </w:t>
            </w:r>
            <w:proofErr w:type="spellStart"/>
            <w:r w:rsidRPr="003625BA">
              <w:rPr>
                <w:rFonts w:ascii="Roboto" w:hAnsi="Roboto" w:cs="Arial"/>
                <w:color w:val="000000"/>
                <w:sz w:val="20"/>
                <w:szCs w:val="20"/>
              </w:rPr>
              <w:t>alternatives</w:t>
            </w:r>
            <w:proofErr w:type="spellEnd"/>
            <w:r w:rsidRPr="003625BA">
              <w:rPr>
                <w:rFonts w:ascii="Roboto" w:hAnsi="Roboto" w:cs="Arial"/>
                <w:color w:val="000000"/>
                <w:sz w:val="20"/>
                <w:szCs w:val="20"/>
              </w:rPr>
              <w:t xml:space="preserve"> and in </w:t>
            </w:r>
            <w:proofErr w:type="spellStart"/>
            <w:r w:rsidRPr="003625BA">
              <w:rPr>
                <w:rFonts w:ascii="Roboto" w:hAnsi="Roboto" w:cs="Arial"/>
                <w:color w:val="000000"/>
                <w:sz w:val="20"/>
                <w:szCs w:val="20"/>
              </w:rPr>
              <w:t>the</w:t>
            </w:r>
            <w:proofErr w:type="spellEnd"/>
            <w:r w:rsidR="00F64A90">
              <w:rPr>
                <w:rFonts w:ascii="Roboto" w:hAnsi="Roboto" w:cs="Arial"/>
                <w:color w:val="000000"/>
                <w:sz w:val="20"/>
                <w:szCs w:val="20"/>
              </w:rPr>
              <w:t xml:space="preserve"> </w:t>
            </w:r>
            <w:proofErr w:type="spellStart"/>
            <w:r w:rsidRPr="003625BA">
              <w:rPr>
                <w:rFonts w:ascii="Roboto" w:hAnsi="Roboto" w:cs="Arial"/>
                <w:color w:val="000000"/>
                <w:sz w:val="20"/>
                <w:szCs w:val="20"/>
              </w:rPr>
              <w:t>identification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of</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preferred</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solution</w:t>
            </w:r>
            <w:proofErr w:type="spellEnd"/>
            <w:r w:rsidRPr="003625BA">
              <w:rPr>
                <w:rFonts w:ascii="Roboto" w:hAnsi="Roboto" w:cs="Arial"/>
                <w:color w:val="000000"/>
                <w:sz w:val="20"/>
                <w:szCs w:val="20"/>
              </w:rPr>
              <w:t>.</w:t>
            </w:r>
          </w:p>
        </w:tc>
        <w:tc>
          <w:tcPr>
            <w:tcW w:w="0" w:type="auto"/>
            <w:hideMark/>
          </w:tcPr>
          <w:p w14:paraId="63977E9D"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45E14991"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place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final </w:t>
            </w:r>
            <w:proofErr w:type="spellStart"/>
            <w:r w:rsidRPr="003625BA">
              <w:rPr>
                <w:rFonts w:ascii="Roboto" w:hAnsi="Roboto" w:cs="Arial"/>
                <w:color w:val="000000"/>
                <w:sz w:val="20"/>
                <w:szCs w:val="20"/>
              </w:rPr>
              <w:t>decision</w:t>
            </w:r>
            <w:proofErr w:type="spellEnd"/>
            <w:r w:rsidRPr="003625BA">
              <w:rPr>
                <w:rFonts w:ascii="Roboto" w:hAnsi="Roboto" w:cs="Arial"/>
                <w:color w:val="000000"/>
                <w:sz w:val="20"/>
                <w:szCs w:val="20"/>
              </w:rPr>
              <w:t xml:space="preserve"> in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hands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of</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w:t>
            </w:r>
          </w:p>
        </w:tc>
      </w:tr>
      <w:tr w:rsidR="00775C33" w:rsidRPr="009536BF" w14:paraId="549119EA" w14:textId="77777777" w:rsidTr="00775C33">
        <w:trPr>
          <w:cnfStyle w:val="000000100000" w:firstRow="0" w:lastRow="0" w:firstColumn="0" w:lastColumn="0" w:oddVBand="0" w:evenVBand="0" w:oddHBand="1" w:evenHBand="0" w:firstRowFirstColumn="0" w:firstRowLastColumn="0" w:lastRowFirstColumn="0" w:lastRowLastColumn="0"/>
          <w:trHeight w:val="1738"/>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78607C6E" w14:textId="42D22161" w:rsidR="00775C33" w:rsidRPr="002E7A79" w:rsidRDefault="00775C33" w:rsidP="00B46860">
            <w:pPr>
              <w:spacing w:line="276" w:lineRule="auto"/>
              <w:rPr>
                <w:rFonts w:cs="Calibri"/>
              </w:rPr>
            </w:pPr>
            <w:r w:rsidRPr="009536BF">
              <w:rPr>
                <w:rFonts w:cs="Calibri"/>
                <w:noProof/>
                <w:color w:val="000000"/>
                <w:sz w:val="20"/>
                <w:szCs w:val="20"/>
                <w:lang w:val="en-US"/>
              </w:rPr>
              <w:lastRenderedPageBreak/>
              <w:drawing>
                <wp:anchor distT="0" distB="0" distL="114300" distR="114300" simplePos="0" relativeHeight="255179774" behindDoc="1" locked="0" layoutInCell="1" allowOverlap="1" wp14:anchorId="1257633A" wp14:editId="12A9DDC2">
                  <wp:simplePos x="0" y="0"/>
                  <wp:positionH relativeFrom="column">
                    <wp:posOffset>-8255</wp:posOffset>
                  </wp:positionH>
                  <wp:positionV relativeFrom="paragraph">
                    <wp:posOffset>353060</wp:posOffset>
                  </wp:positionV>
                  <wp:extent cx="939045" cy="635000"/>
                  <wp:effectExtent l="0" t="0" r="0" b="0"/>
                  <wp:wrapTight wrapText="bothSides">
                    <wp:wrapPolygon edited="0">
                      <wp:start x="13737" y="0"/>
                      <wp:lineTo x="7892" y="4320"/>
                      <wp:lineTo x="2338" y="7344"/>
                      <wp:lineTo x="877" y="14688"/>
                      <wp:lineTo x="292" y="15552"/>
                      <wp:lineTo x="585" y="18144"/>
                      <wp:lineTo x="1461" y="21168"/>
                      <wp:lineTo x="9061" y="21168"/>
                      <wp:lineTo x="16953" y="20304"/>
                      <wp:lineTo x="20752" y="18576"/>
                      <wp:lineTo x="20460" y="6048"/>
                      <wp:lineTo x="18414" y="1296"/>
                      <wp:lineTo x="17245" y="0"/>
                      <wp:lineTo x="13737" y="0"/>
                    </wp:wrapPolygon>
                  </wp:wrapTight>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2_pdf_Icon3-01.png"/>
                          <pic:cNvPicPr/>
                        </pic:nvPicPr>
                        <pic:blipFill rotWithShape="1">
                          <a:blip r:embed="rId523" cstate="email">
                            <a:extLst>
                              <a:ext uri="{28A0092B-C50C-407E-A947-70E740481C1C}">
                                <a14:useLocalDpi xmlns:a14="http://schemas.microsoft.com/office/drawing/2010/main"/>
                              </a:ext>
                            </a:extLst>
                          </a:blip>
                          <a:srcRect/>
                          <a:stretch/>
                        </pic:blipFill>
                        <pic:spPr bwMode="auto">
                          <a:xfrm>
                            <a:off x="0" y="0"/>
                            <a:ext cx="939045"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Pr>
          <w:p w14:paraId="32144A90" w14:textId="77777777" w:rsid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lang w:val="en-US"/>
              </w:rPr>
            </w:pPr>
          </w:p>
          <w:p w14:paraId="2892731C" w14:textId="00B36A0F" w:rsidR="00775C33" w:rsidRP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anchor distT="0" distB="0" distL="114300" distR="114300" simplePos="0" relativeHeight="255172606" behindDoc="1" locked="0" layoutInCell="1" allowOverlap="1" wp14:anchorId="401A99D7" wp14:editId="19F6C01B">
                  <wp:simplePos x="0" y="0"/>
                  <wp:positionH relativeFrom="column">
                    <wp:posOffset>38100</wp:posOffset>
                  </wp:positionH>
                  <wp:positionV relativeFrom="paragraph">
                    <wp:posOffset>175895</wp:posOffset>
                  </wp:positionV>
                  <wp:extent cx="849630" cy="719455"/>
                  <wp:effectExtent l="0" t="0" r="0" b="0"/>
                  <wp:wrapTight wrapText="bothSides">
                    <wp:wrapPolygon edited="0">
                      <wp:start x="10655" y="763"/>
                      <wp:lineTo x="7103" y="3432"/>
                      <wp:lineTo x="6457" y="4575"/>
                      <wp:lineTo x="6780" y="7626"/>
                      <wp:lineTo x="4843" y="8770"/>
                      <wp:lineTo x="4843" y="9532"/>
                      <wp:lineTo x="6457" y="13726"/>
                      <wp:lineTo x="6457" y="14489"/>
                      <wp:lineTo x="10332" y="20208"/>
                      <wp:lineTo x="12592" y="20208"/>
                      <wp:lineTo x="14852" y="13726"/>
                      <wp:lineTo x="16143" y="8770"/>
                      <wp:lineTo x="15821" y="7626"/>
                      <wp:lineTo x="17112" y="4957"/>
                      <wp:lineTo x="16143" y="3432"/>
                      <wp:lineTo x="12269" y="763"/>
                      <wp:lineTo x="10655" y="763"/>
                    </wp:wrapPolygon>
                  </wp:wrapTight>
                  <wp:docPr id="2757" name="Picture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2_pdf_Icon4-01.png"/>
                          <pic:cNvPicPr/>
                        </pic:nvPicPr>
                        <pic:blipFill>
                          <a:blip r:embed="rId529" cstate="email">
                            <a:extLst>
                              <a:ext uri="{28A0092B-C50C-407E-A947-70E740481C1C}">
                                <a14:useLocalDpi xmlns:a14="http://schemas.microsoft.com/office/drawing/2010/main"/>
                              </a:ext>
                            </a:extLst>
                          </a:blip>
                          <a:stretch>
                            <a:fillRect/>
                          </a:stretch>
                        </pic:blipFill>
                        <pic:spPr>
                          <a:xfrm>
                            <a:off x="0" y="0"/>
                            <a:ext cx="849630" cy="719455"/>
                          </a:xfrm>
                          <a:prstGeom prst="rect">
                            <a:avLst/>
                          </a:prstGeom>
                        </pic:spPr>
                      </pic:pic>
                    </a:graphicData>
                  </a:graphic>
                  <wp14:sizeRelH relativeFrom="page">
                    <wp14:pctWidth>0</wp14:pctWidth>
                  </wp14:sizeRelH>
                  <wp14:sizeRelV relativeFrom="page">
                    <wp14:pctHeight>0</wp14:pctHeight>
                  </wp14:sizeRelV>
                </wp:anchor>
              </w:drawing>
            </w:r>
            <w:r w:rsidRPr="008D6A44">
              <w:rPr>
                <w:rFonts w:cs="Calibri"/>
                <w:b/>
                <w:bCs/>
                <w:color w:val="ED7D31"/>
                <w:sz w:val="20"/>
                <w:szCs w:val="20"/>
                <w:lang w:val="en-US"/>
              </w:rPr>
              <w:t>Inform</w:t>
            </w:r>
          </w:p>
        </w:tc>
        <w:tc>
          <w:tcPr>
            <w:tcW w:w="0" w:type="auto"/>
          </w:tcPr>
          <w:p w14:paraId="195652A2" w14:textId="77777777" w:rsid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1556C96C" w14:textId="045D7BC7" w:rsidR="00775C33" w:rsidRP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anchor distT="0" distB="0" distL="114300" distR="114300" simplePos="0" relativeHeight="255173630" behindDoc="1" locked="0" layoutInCell="1" allowOverlap="1" wp14:anchorId="6CE0BB81" wp14:editId="55D21FA3">
                  <wp:simplePos x="0" y="0"/>
                  <wp:positionH relativeFrom="column">
                    <wp:posOffset>25400</wp:posOffset>
                  </wp:positionH>
                  <wp:positionV relativeFrom="paragraph">
                    <wp:posOffset>175895</wp:posOffset>
                  </wp:positionV>
                  <wp:extent cx="849630" cy="719455"/>
                  <wp:effectExtent l="0" t="0" r="0" b="0"/>
                  <wp:wrapTight wrapText="bothSides">
                    <wp:wrapPolygon edited="0">
                      <wp:start x="5489" y="2288"/>
                      <wp:lineTo x="4843" y="3813"/>
                      <wp:lineTo x="4520" y="15252"/>
                      <wp:lineTo x="3229" y="15633"/>
                      <wp:lineTo x="3552" y="19446"/>
                      <wp:lineTo x="14529" y="19446"/>
                      <wp:lineTo x="18404" y="16014"/>
                      <wp:lineTo x="18404" y="14108"/>
                      <wp:lineTo x="16789" y="10676"/>
                      <wp:lineTo x="15175" y="9151"/>
                      <wp:lineTo x="16466" y="7626"/>
                      <wp:lineTo x="17112" y="4957"/>
                      <wp:lineTo x="16143" y="2288"/>
                      <wp:lineTo x="5489" y="2288"/>
                    </wp:wrapPolygon>
                  </wp:wrapTight>
                  <wp:docPr id="2759" name="Picture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2_pdf_Icon5-01.png"/>
                          <pic:cNvPicPr/>
                        </pic:nvPicPr>
                        <pic:blipFill>
                          <a:blip r:embed="rId530" cstate="email">
                            <a:extLst>
                              <a:ext uri="{28A0092B-C50C-407E-A947-70E740481C1C}">
                                <a14:useLocalDpi xmlns:a14="http://schemas.microsoft.com/office/drawing/2010/main"/>
                              </a:ext>
                            </a:extLst>
                          </a:blip>
                          <a:stretch>
                            <a:fillRect/>
                          </a:stretch>
                        </pic:blipFill>
                        <pic:spPr>
                          <a:xfrm>
                            <a:off x="0" y="0"/>
                            <a:ext cx="849630" cy="719455"/>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cs="Calibri"/>
                <w:b/>
                <w:bCs/>
                <w:color w:val="ED7D31"/>
                <w:sz w:val="20"/>
                <w:szCs w:val="20"/>
              </w:rPr>
              <w:t>Consult</w:t>
            </w:r>
            <w:proofErr w:type="spellEnd"/>
          </w:p>
        </w:tc>
        <w:tc>
          <w:tcPr>
            <w:tcW w:w="0" w:type="auto"/>
          </w:tcPr>
          <w:p w14:paraId="2D40A107" w14:textId="77777777" w:rsid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3D79FC51" w14:textId="5C46446C" w:rsidR="00775C33" w:rsidRP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anchor distT="0" distB="0" distL="114300" distR="114300" simplePos="0" relativeHeight="255174654" behindDoc="1" locked="0" layoutInCell="1" allowOverlap="1" wp14:anchorId="43A92F37" wp14:editId="1E853C65">
                  <wp:simplePos x="0" y="0"/>
                  <wp:positionH relativeFrom="column">
                    <wp:posOffset>50800</wp:posOffset>
                  </wp:positionH>
                  <wp:positionV relativeFrom="paragraph">
                    <wp:posOffset>175895</wp:posOffset>
                  </wp:positionV>
                  <wp:extent cx="849630" cy="719455"/>
                  <wp:effectExtent l="0" t="0" r="0" b="0"/>
                  <wp:wrapTight wrapText="bothSides">
                    <wp:wrapPolygon edited="0">
                      <wp:start x="4197" y="2288"/>
                      <wp:lineTo x="3552" y="4575"/>
                      <wp:lineTo x="3229" y="16014"/>
                      <wp:lineTo x="13561" y="18302"/>
                      <wp:lineTo x="16143" y="19064"/>
                      <wp:lineTo x="18081" y="19064"/>
                      <wp:lineTo x="18726" y="9151"/>
                      <wp:lineTo x="15498" y="2288"/>
                      <wp:lineTo x="4197" y="2288"/>
                    </wp:wrapPolygon>
                  </wp:wrapTight>
                  <wp:docPr id="2763" name="Picture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2_pdf_Icon6-01.png"/>
                          <pic:cNvPicPr/>
                        </pic:nvPicPr>
                        <pic:blipFill>
                          <a:blip r:embed="rId531" cstate="email">
                            <a:extLst>
                              <a:ext uri="{28A0092B-C50C-407E-A947-70E740481C1C}">
                                <a14:useLocalDpi xmlns:a14="http://schemas.microsoft.com/office/drawing/2010/main"/>
                              </a:ext>
                            </a:extLst>
                          </a:blip>
                          <a:stretch>
                            <a:fillRect/>
                          </a:stretch>
                        </pic:blipFill>
                        <pic:spPr>
                          <a:xfrm>
                            <a:off x="0" y="0"/>
                            <a:ext cx="849630" cy="71945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9536BF">
              <w:rPr>
                <w:rFonts w:cs="Calibri"/>
                <w:b/>
                <w:bCs/>
                <w:color w:val="ED7D31"/>
                <w:sz w:val="20"/>
                <w:szCs w:val="20"/>
              </w:rPr>
              <w:t>Involve</w:t>
            </w:r>
            <w:proofErr w:type="spellEnd"/>
          </w:p>
        </w:tc>
        <w:tc>
          <w:tcPr>
            <w:tcW w:w="0" w:type="auto"/>
          </w:tcPr>
          <w:p w14:paraId="1693187F" w14:textId="77777777" w:rsid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0BD17F3A" w14:textId="543659E4" w:rsidR="00775C33" w:rsidRP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anchor distT="0" distB="0" distL="114300" distR="114300" simplePos="0" relativeHeight="255175678" behindDoc="1" locked="0" layoutInCell="1" allowOverlap="1" wp14:anchorId="28ECB330" wp14:editId="2F4AD8DE">
                  <wp:simplePos x="0" y="0"/>
                  <wp:positionH relativeFrom="column">
                    <wp:posOffset>128270</wp:posOffset>
                  </wp:positionH>
                  <wp:positionV relativeFrom="paragraph">
                    <wp:posOffset>175895</wp:posOffset>
                  </wp:positionV>
                  <wp:extent cx="849630" cy="719455"/>
                  <wp:effectExtent l="0" t="0" r="0" b="0"/>
                  <wp:wrapTight wrapText="bothSides">
                    <wp:wrapPolygon edited="0">
                      <wp:start x="8395" y="1906"/>
                      <wp:lineTo x="4520" y="4575"/>
                      <wp:lineTo x="3552" y="5719"/>
                      <wp:lineTo x="3552" y="14870"/>
                      <wp:lineTo x="4197" y="18683"/>
                      <wp:lineTo x="4520" y="19446"/>
                      <wp:lineTo x="14206" y="19446"/>
                      <wp:lineTo x="15175" y="18683"/>
                      <wp:lineTo x="17112" y="16014"/>
                      <wp:lineTo x="17435" y="10295"/>
                      <wp:lineTo x="16789" y="7244"/>
                      <wp:lineTo x="13883" y="4194"/>
                      <wp:lineTo x="10332" y="1906"/>
                      <wp:lineTo x="8395" y="1906"/>
                    </wp:wrapPolygon>
                  </wp:wrapTight>
                  <wp:docPr id="2765" name="Picture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2_pdf_Icon7-01.png"/>
                          <pic:cNvPicPr/>
                        </pic:nvPicPr>
                        <pic:blipFill>
                          <a:blip r:embed="rId532" cstate="email">
                            <a:extLst>
                              <a:ext uri="{28A0092B-C50C-407E-A947-70E740481C1C}">
                                <a14:useLocalDpi xmlns:a14="http://schemas.microsoft.com/office/drawing/2010/main"/>
                              </a:ext>
                            </a:extLst>
                          </a:blip>
                          <a:stretch>
                            <a:fillRect/>
                          </a:stretch>
                        </pic:blipFill>
                        <pic:spPr>
                          <a:xfrm>
                            <a:off x="0" y="0"/>
                            <a:ext cx="849630" cy="71945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9536BF">
              <w:rPr>
                <w:rFonts w:cs="Calibri"/>
                <w:b/>
                <w:bCs/>
                <w:color w:val="ED7D31"/>
                <w:sz w:val="20"/>
                <w:szCs w:val="20"/>
              </w:rPr>
              <w:t>Collaborate</w:t>
            </w:r>
            <w:proofErr w:type="spellEnd"/>
          </w:p>
        </w:tc>
        <w:tc>
          <w:tcPr>
            <w:tcW w:w="0" w:type="auto"/>
          </w:tcPr>
          <w:p w14:paraId="3168502C" w14:textId="77777777" w:rsid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p>
          <w:p w14:paraId="7F0A98B3" w14:textId="4EDA8271" w:rsidR="00775C33" w:rsidRPr="00775C33" w:rsidRDefault="00775C33" w:rsidP="00775C33">
            <w:pPr>
              <w:spacing w:line="276" w:lineRule="auto"/>
              <w:jc w:val="center"/>
              <w:cnfStyle w:val="000000100000" w:firstRow="0" w:lastRow="0" w:firstColumn="0" w:lastColumn="0" w:oddVBand="0" w:evenVBand="0" w:oddHBand="1" w:evenHBand="0" w:firstRowFirstColumn="0" w:firstRowLastColumn="0" w:lastRowFirstColumn="0" w:lastRowLastColumn="0"/>
              <w:rPr>
                <w:rFonts w:cs="Calibri"/>
                <w:b/>
                <w:bCs/>
                <w:color w:val="ED7D31"/>
                <w:sz w:val="20"/>
                <w:szCs w:val="20"/>
              </w:rPr>
            </w:pPr>
            <w:r w:rsidRPr="009536BF">
              <w:rPr>
                <w:rFonts w:cs="Calibri"/>
                <w:b/>
                <w:bCs/>
                <w:noProof/>
                <w:color w:val="ED7D31"/>
                <w:sz w:val="20"/>
                <w:szCs w:val="20"/>
                <w:lang w:val="en-US"/>
              </w:rPr>
              <w:drawing>
                <wp:anchor distT="0" distB="0" distL="114300" distR="114300" simplePos="0" relativeHeight="255177726" behindDoc="1" locked="0" layoutInCell="1" allowOverlap="1" wp14:anchorId="499EEF94" wp14:editId="01AB32FE">
                  <wp:simplePos x="0" y="0"/>
                  <wp:positionH relativeFrom="column">
                    <wp:posOffset>26670</wp:posOffset>
                  </wp:positionH>
                  <wp:positionV relativeFrom="paragraph">
                    <wp:posOffset>271820</wp:posOffset>
                  </wp:positionV>
                  <wp:extent cx="930139" cy="540000"/>
                  <wp:effectExtent l="0" t="0" r="0" b="0"/>
                  <wp:wrapTight wrapText="bothSides">
                    <wp:wrapPolygon edited="0">
                      <wp:start x="10033" y="2033"/>
                      <wp:lineTo x="2951" y="5591"/>
                      <wp:lineTo x="1770" y="7624"/>
                      <wp:lineTo x="590" y="15247"/>
                      <wp:lineTo x="885" y="16772"/>
                      <wp:lineTo x="6492" y="18805"/>
                      <wp:lineTo x="14754" y="18805"/>
                      <wp:lineTo x="20066" y="16772"/>
                      <wp:lineTo x="20951" y="15247"/>
                      <wp:lineTo x="18885" y="11181"/>
                      <wp:lineTo x="20066" y="7624"/>
                      <wp:lineTo x="18000" y="5591"/>
                      <wp:lineTo x="11508" y="2033"/>
                      <wp:lineTo x="10033" y="2033"/>
                    </wp:wrapPolygon>
                  </wp:wrapTight>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2_pdf_Icon8-01.png"/>
                          <pic:cNvPicPr/>
                        </pic:nvPicPr>
                        <pic:blipFill rotWithShape="1">
                          <a:blip r:embed="rId528" cstate="email">
                            <a:extLst>
                              <a:ext uri="{28A0092B-C50C-407E-A947-70E740481C1C}">
                                <a14:useLocalDpi xmlns:a14="http://schemas.microsoft.com/office/drawing/2010/main"/>
                              </a:ext>
                            </a:extLst>
                          </a:blip>
                          <a:srcRect/>
                          <a:stretch/>
                        </pic:blipFill>
                        <pic:spPr bwMode="auto">
                          <a:xfrm>
                            <a:off x="0" y="0"/>
                            <a:ext cx="930139" cy="5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9536BF">
              <w:rPr>
                <w:rFonts w:cs="Calibri"/>
                <w:b/>
                <w:bCs/>
                <w:color w:val="ED7D31"/>
                <w:sz w:val="20"/>
                <w:szCs w:val="20"/>
              </w:rPr>
              <w:t>Empower</w:t>
            </w:r>
            <w:proofErr w:type="spellEnd"/>
          </w:p>
        </w:tc>
      </w:tr>
      <w:tr w:rsidR="00572E2E" w:rsidRPr="009536BF" w14:paraId="687E395E" w14:textId="77777777" w:rsidTr="003625BA">
        <w:trPr>
          <w:trHeight w:val="2335"/>
        </w:trPr>
        <w:tc>
          <w:tcPr>
            <w:cnfStyle w:val="001000000000" w:firstRow="0" w:lastRow="0" w:firstColumn="1" w:lastColumn="0" w:oddVBand="0" w:evenVBand="0" w:oddHBand="0" w:evenHBand="0" w:firstRowFirstColumn="0" w:firstRowLastColumn="0" w:lastRowFirstColumn="0" w:lastRowLastColumn="0"/>
            <w:tcW w:w="0" w:type="auto"/>
            <w:hideMark/>
          </w:tcPr>
          <w:p w14:paraId="3FC8F620" w14:textId="77777777" w:rsidR="00572E2E" w:rsidRPr="002E7A79" w:rsidRDefault="00572E2E" w:rsidP="00B46860">
            <w:pPr>
              <w:spacing w:line="276" w:lineRule="auto"/>
              <w:rPr>
                <w:rFonts w:cs="Calibri"/>
              </w:rPr>
            </w:pPr>
          </w:p>
          <w:p w14:paraId="1B970BDC" w14:textId="77777777" w:rsidR="00572E2E" w:rsidRPr="002E7A79" w:rsidRDefault="00572E2E" w:rsidP="00B46860">
            <w:pPr>
              <w:spacing w:line="276" w:lineRule="auto"/>
              <w:jc w:val="center"/>
              <w:rPr>
                <w:rFonts w:ascii="Roboto" w:hAnsi="Roboto" w:cs="Calibri"/>
                <w:color w:val="ED7D31"/>
              </w:rPr>
            </w:pPr>
            <w:proofErr w:type="spellStart"/>
            <w:r w:rsidRPr="002E7A79">
              <w:rPr>
                <w:rFonts w:ascii="Roboto" w:hAnsi="Roboto" w:cs="Calibri"/>
              </w:rPr>
              <w:t>Objective</w:t>
            </w:r>
            <w:proofErr w:type="spellEnd"/>
            <w:r w:rsidRPr="002E7A79">
              <w:rPr>
                <w:rFonts w:ascii="Roboto" w:hAnsi="Roboto" w:cs="Calibri"/>
              </w:rPr>
              <w:t xml:space="preserve"> </w:t>
            </w:r>
            <w:proofErr w:type="spellStart"/>
            <w:r w:rsidRPr="002E7A79">
              <w:rPr>
                <w:rFonts w:ascii="Roboto" w:hAnsi="Roboto" w:cs="Calibri"/>
              </w:rPr>
              <w:t>from</w:t>
            </w:r>
            <w:proofErr w:type="spellEnd"/>
            <w:r w:rsidRPr="002E7A79">
              <w:rPr>
                <w:rFonts w:ascii="Roboto" w:hAnsi="Roboto" w:cs="Calibri"/>
              </w:rPr>
              <w:t xml:space="preserve"> </w:t>
            </w:r>
            <w:proofErr w:type="spellStart"/>
            <w:r w:rsidRPr="002E7A79">
              <w:rPr>
                <w:rFonts w:ascii="Roboto" w:hAnsi="Roboto" w:cs="Calibri"/>
              </w:rPr>
              <w:t>the</w:t>
            </w:r>
            <w:proofErr w:type="spellEnd"/>
            <w:r w:rsidRPr="002E7A79">
              <w:rPr>
                <w:rFonts w:ascii="Roboto" w:hAnsi="Roboto" w:cs="Calibri"/>
              </w:rPr>
              <w:t xml:space="preserve"> </w:t>
            </w:r>
            <w:proofErr w:type="spellStart"/>
            <w:r w:rsidRPr="002E7A79">
              <w:rPr>
                <w:rFonts w:ascii="Roboto" w:hAnsi="Roboto" w:cs="Calibri"/>
              </w:rPr>
              <w:t>public’s</w:t>
            </w:r>
            <w:proofErr w:type="spellEnd"/>
            <w:r w:rsidRPr="002E7A79">
              <w:rPr>
                <w:rFonts w:ascii="Roboto" w:hAnsi="Roboto" w:cs="Calibri"/>
              </w:rPr>
              <w:t xml:space="preserve"> </w:t>
            </w:r>
            <w:proofErr w:type="spellStart"/>
            <w:r w:rsidRPr="002E7A79">
              <w:rPr>
                <w:rFonts w:ascii="Roboto" w:hAnsi="Roboto" w:cs="Calibri"/>
              </w:rPr>
              <w:t>perspective</w:t>
            </w:r>
            <w:proofErr w:type="spellEnd"/>
            <w:r w:rsidRPr="002E7A79">
              <w:rPr>
                <w:rFonts w:ascii="Roboto" w:hAnsi="Roboto" w:cs="Calibri"/>
              </w:rPr>
              <w:t xml:space="preserve"> </w:t>
            </w:r>
          </w:p>
        </w:tc>
        <w:tc>
          <w:tcPr>
            <w:tcW w:w="0" w:type="auto"/>
            <w:hideMark/>
          </w:tcPr>
          <w:p w14:paraId="0CAEAF6C"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248C7410"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keep</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you</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informed</w:t>
            </w:r>
            <w:proofErr w:type="spellEnd"/>
            <w:r w:rsidRPr="003625BA">
              <w:rPr>
                <w:rFonts w:ascii="Roboto" w:hAnsi="Roboto" w:cs="Arial"/>
                <w:color w:val="000000"/>
                <w:sz w:val="20"/>
                <w:szCs w:val="20"/>
              </w:rPr>
              <w:t>.</w:t>
            </w:r>
          </w:p>
        </w:tc>
        <w:tc>
          <w:tcPr>
            <w:tcW w:w="0" w:type="auto"/>
            <w:hideMark/>
          </w:tcPr>
          <w:p w14:paraId="3B4D5BA3"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21C13D2E"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keep</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you</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informed</w:t>
            </w:r>
            <w:proofErr w:type="spellEnd"/>
            <w:r w:rsidRPr="003625BA">
              <w:rPr>
                <w:rFonts w:ascii="Roboto" w:hAnsi="Roboto" w:cs="Arial"/>
                <w:color w:val="000000"/>
                <w:sz w:val="20"/>
                <w:szCs w:val="20"/>
              </w:rPr>
              <w:t xml:space="preserve">, listen </w:t>
            </w: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acknowledge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your</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concerns</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aspirations</w:t>
            </w:r>
            <w:proofErr w:type="spellEnd"/>
            <w:r w:rsidRPr="003625BA">
              <w:rPr>
                <w:rFonts w:ascii="Roboto" w:hAnsi="Roboto" w:cs="Arial"/>
                <w:color w:val="000000"/>
                <w:sz w:val="20"/>
                <w:szCs w:val="20"/>
              </w:rPr>
              <w:t xml:space="preserve">. </w:t>
            </w:r>
          </w:p>
          <w:p w14:paraId="0D54D3B3"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0A4A202B"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provide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feedback</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how</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inputs </w:t>
            </w:r>
            <w:proofErr w:type="spellStart"/>
            <w:r w:rsidRPr="003625BA">
              <w:rPr>
                <w:rFonts w:ascii="Roboto" w:hAnsi="Roboto" w:cs="Arial"/>
                <w:color w:val="000000"/>
                <w:sz w:val="20"/>
                <w:szCs w:val="20"/>
              </w:rPr>
              <w:t>influenced</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decisions</w:t>
            </w:r>
            <w:proofErr w:type="spellEnd"/>
            <w:r w:rsidRPr="003625BA">
              <w:rPr>
                <w:rFonts w:ascii="Roboto" w:hAnsi="Roboto" w:cs="Arial"/>
                <w:color w:val="000000"/>
                <w:sz w:val="20"/>
                <w:szCs w:val="20"/>
              </w:rPr>
              <w:t>.</w:t>
            </w:r>
          </w:p>
        </w:tc>
        <w:tc>
          <w:tcPr>
            <w:tcW w:w="0" w:type="auto"/>
            <w:hideMark/>
          </w:tcPr>
          <w:p w14:paraId="58C0D68E"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78F3E39E"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work</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with</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you</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ensure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that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your</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concerns</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aspirations</w:t>
            </w:r>
            <w:proofErr w:type="spellEnd"/>
            <w:r w:rsidRPr="003625BA">
              <w:rPr>
                <w:rFonts w:ascii="Roboto" w:hAnsi="Roboto" w:cs="Arial"/>
                <w:color w:val="000000"/>
                <w:sz w:val="20"/>
                <w:szCs w:val="20"/>
              </w:rPr>
              <w:t xml:space="preserve"> are </w:t>
            </w:r>
            <w:proofErr w:type="spellStart"/>
            <w:r w:rsidRPr="003625BA">
              <w:rPr>
                <w:rFonts w:ascii="Roboto" w:hAnsi="Roboto" w:cs="Arial"/>
                <w:color w:val="000000"/>
                <w:sz w:val="20"/>
                <w:szCs w:val="20"/>
              </w:rPr>
              <w:t>directly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reflected</w:t>
            </w:r>
            <w:proofErr w:type="spellEnd"/>
            <w:r w:rsidRPr="003625BA">
              <w:rPr>
                <w:rFonts w:ascii="Roboto" w:hAnsi="Roboto" w:cs="Arial"/>
                <w:color w:val="000000"/>
                <w:sz w:val="20"/>
                <w:szCs w:val="20"/>
              </w:rPr>
              <w:t xml:space="preserve"> in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alternatives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developed</w:t>
            </w:r>
            <w:proofErr w:type="spellEnd"/>
            <w:r w:rsidRPr="003625BA">
              <w:rPr>
                <w:rFonts w:ascii="Roboto" w:hAnsi="Roboto" w:cs="Arial"/>
                <w:color w:val="000000"/>
                <w:sz w:val="20"/>
                <w:szCs w:val="20"/>
              </w:rPr>
              <w:t xml:space="preserve">. </w:t>
            </w:r>
          </w:p>
          <w:p w14:paraId="3F702307"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4BFC9C7C"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provide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feedback</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how</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inputs </w:t>
            </w:r>
            <w:proofErr w:type="spellStart"/>
            <w:r w:rsidRPr="003625BA">
              <w:rPr>
                <w:rFonts w:ascii="Roboto" w:hAnsi="Roboto" w:cs="Arial"/>
                <w:color w:val="000000"/>
                <w:sz w:val="20"/>
                <w:szCs w:val="20"/>
              </w:rPr>
              <w:t>influenced</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decisions</w:t>
            </w:r>
            <w:proofErr w:type="spellEnd"/>
            <w:r w:rsidRPr="003625BA">
              <w:rPr>
                <w:rFonts w:ascii="Roboto" w:hAnsi="Roboto" w:cs="Arial"/>
                <w:color w:val="000000"/>
                <w:sz w:val="20"/>
                <w:szCs w:val="20"/>
              </w:rPr>
              <w:t>.</w:t>
            </w:r>
          </w:p>
        </w:tc>
        <w:tc>
          <w:tcPr>
            <w:tcW w:w="0" w:type="auto"/>
            <w:hideMark/>
          </w:tcPr>
          <w:p w14:paraId="350C0BD4"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2A2E8222"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seek</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advice</w:t>
            </w:r>
            <w:proofErr w:type="spellEnd"/>
            <w:r w:rsidRPr="003625BA">
              <w:rPr>
                <w:rFonts w:ascii="Roboto" w:hAnsi="Roboto" w:cs="Arial"/>
                <w:color w:val="000000"/>
                <w:sz w:val="20"/>
                <w:szCs w:val="20"/>
              </w:rPr>
              <w:t xml:space="preserve"> and ideas </w:t>
            </w:r>
            <w:proofErr w:type="spellStart"/>
            <w:r w:rsidRPr="003625BA">
              <w:rPr>
                <w:rFonts w:ascii="Roboto" w:hAnsi="Roboto" w:cs="Arial"/>
                <w:color w:val="000000"/>
                <w:sz w:val="20"/>
                <w:szCs w:val="20"/>
              </w:rPr>
              <w:t>when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formulating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solutions</w:t>
            </w:r>
            <w:proofErr w:type="spellEnd"/>
            <w:r w:rsidRPr="003625BA">
              <w:rPr>
                <w:rFonts w:ascii="Roboto" w:hAnsi="Roboto" w:cs="Arial"/>
                <w:color w:val="000000"/>
                <w:sz w:val="20"/>
                <w:szCs w:val="20"/>
              </w:rPr>
              <w:t xml:space="preserve">. </w:t>
            </w:r>
          </w:p>
          <w:p w14:paraId="55431C14"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0A992148"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incorporate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this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advice</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recommendations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decisions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taken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maximum</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extent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possible</w:t>
            </w:r>
            <w:proofErr w:type="spellEnd"/>
            <w:r w:rsidRPr="003625BA">
              <w:rPr>
                <w:rFonts w:ascii="Roboto" w:hAnsi="Roboto" w:cs="Arial"/>
                <w:color w:val="000000"/>
                <w:sz w:val="20"/>
                <w:szCs w:val="20"/>
              </w:rPr>
              <w:t>.</w:t>
            </w:r>
          </w:p>
        </w:tc>
        <w:tc>
          <w:tcPr>
            <w:tcW w:w="0" w:type="auto"/>
            <w:hideMark/>
          </w:tcPr>
          <w:p w14:paraId="2F9E7DDB"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6E4F04F6" w14:textId="0212E848" w:rsidR="00572E2E" w:rsidRPr="003625BA" w:rsidRDefault="00572E2E" w:rsidP="000568D4">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We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will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implement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decisions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taken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by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w:t>
            </w:r>
          </w:p>
        </w:tc>
      </w:tr>
      <w:tr w:rsidR="00572E2E" w:rsidRPr="009536BF" w14:paraId="5EA16792" w14:textId="77777777" w:rsidTr="00775C33">
        <w:trPr>
          <w:cnfStyle w:val="000000100000" w:firstRow="0" w:lastRow="0" w:firstColumn="0" w:lastColumn="0" w:oddVBand="0" w:evenVBand="0" w:oddHBand="1" w:evenHBand="0" w:firstRowFirstColumn="0" w:firstRowLastColumn="0" w:lastRowFirstColumn="0" w:lastRowLastColumn="0"/>
          <w:trHeight w:val="2875"/>
        </w:trPr>
        <w:tc>
          <w:tcPr>
            <w:cnfStyle w:val="001000000000" w:firstRow="0" w:lastRow="0" w:firstColumn="1" w:lastColumn="0" w:oddVBand="0" w:evenVBand="0" w:oddHBand="0" w:evenHBand="0" w:firstRowFirstColumn="0" w:firstRowLastColumn="0" w:lastRowFirstColumn="0" w:lastRowLastColumn="0"/>
            <w:tcW w:w="0" w:type="auto"/>
          </w:tcPr>
          <w:p w14:paraId="4D6BA97C" w14:textId="77777777" w:rsidR="00572E2E" w:rsidRPr="002E7A79" w:rsidRDefault="00572E2E" w:rsidP="00B46860">
            <w:pPr>
              <w:spacing w:line="276" w:lineRule="auto"/>
              <w:rPr>
                <w:rFonts w:ascii="Roboto" w:hAnsi="Roboto" w:cs="Calibri"/>
              </w:rPr>
            </w:pPr>
          </w:p>
          <w:p w14:paraId="3651C7D3" w14:textId="77777777" w:rsidR="00572E2E" w:rsidRPr="002E7A79" w:rsidRDefault="00572E2E" w:rsidP="00B46860">
            <w:pPr>
              <w:spacing w:line="276" w:lineRule="auto"/>
              <w:jc w:val="center"/>
              <w:rPr>
                <w:rFonts w:ascii="Roboto" w:hAnsi="Roboto" w:cs="Calibri"/>
              </w:rPr>
            </w:pPr>
            <w:proofErr w:type="spellStart"/>
            <w:r w:rsidRPr="002E7A79">
              <w:rPr>
                <w:rFonts w:ascii="Roboto" w:hAnsi="Roboto" w:cs="Calibri"/>
              </w:rPr>
              <w:t>Examples</w:t>
            </w:r>
            <w:proofErr w:type="spellEnd"/>
          </w:p>
          <w:p w14:paraId="7A6BB1F4" w14:textId="77777777" w:rsidR="00572E2E" w:rsidRPr="002E7A79" w:rsidRDefault="00572E2E" w:rsidP="00B46860">
            <w:pPr>
              <w:spacing w:line="276" w:lineRule="auto"/>
              <w:jc w:val="center"/>
              <w:rPr>
                <w:rFonts w:ascii="Roboto" w:hAnsi="Roboto" w:cs="Calibri"/>
                <w:color w:val="ED7D31"/>
              </w:rPr>
            </w:pPr>
            <w:proofErr w:type="spellStart"/>
            <w:r w:rsidRPr="002E7A79">
              <w:rPr>
                <w:rFonts w:ascii="Roboto" w:hAnsi="Roboto" w:cs="Calibri"/>
              </w:rPr>
              <w:t>of</w:t>
            </w:r>
            <w:proofErr w:type="spellEnd"/>
            <w:r w:rsidRPr="002E7A79">
              <w:rPr>
                <w:rFonts w:ascii="Roboto" w:hAnsi="Roboto" w:cs="Calibri"/>
              </w:rPr>
              <w:t xml:space="preserve"> </w:t>
            </w:r>
            <w:proofErr w:type="spellStart"/>
            <w:r w:rsidRPr="002E7A79">
              <w:rPr>
                <w:rFonts w:ascii="Roboto" w:hAnsi="Roboto" w:cs="Calibri"/>
              </w:rPr>
              <w:t>tools</w:t>
            </w:r>
            <w:proofErr w:type="spellEnd"/>
          </w:p>
        </w:tc>
        <w:tc>
          <w:tcPr>
            <w:tcW w:w="0" w:type="auto"/>
          </w:tcPr>
          <w:p w14:paraId="1096E8B6"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
          <w:p w14:paraId="086A4664"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Newsletters</w:t>
            </w:r>
            <w:proofErr w:type="spellEnd"/>
            <w:r w:rsidRPr="003625BA">
              <w:rPr>
                <w:rFonts w:ascii="Roboto" w:hAnsi="Roboto" w:cs="Arial"/>
                <w:color w:val="000000"/>
                <w:sz w:val="20"/>
                <w:szCs w:val="20"/>
              </w:rPr>
              <w:t xml:space="preserve">, e-mails, videos, </w:t>
            </w:r>
            <w:proofErr w:type="spellStart"/>
            <w:r w:rsidRPr="003625BA">
              <w:rPr>
                <w:rFonts w:ascii="Roboto" w:hAnsi="Roboto" w:cs="Arial"/>
                <w:color w:val="000000"/>
                <w:sz w:val="20"/>
                <w:szCs w:val="20"/>
              </w:rPr>
              <w:t>websites</w:t>
            </w:r>
            <w:proofErr w:type="spellEnd"/>
            <w:r w:rsidRPr="003625BA">
              <w:rPr>
                <w:rFonts w:ascii="Roboto" w:hAnsi="Roboto" w:cs="Arial"/>
                <w:color w:val="000000"/>
                <w:sz w:val="20"/>
                <w:szCs w:val="20"/>
              </w:rPr>
              <w:t xml:space="preserve">, social </w:t>
            </w:r>
            <w:proofErr w:type="spellStart"/>
            <w:r w:rsidRPr="003625BA">
              <w:rPr>
                <w:rFonts w:ascii="Roboto" w:hAnsi="Roboto" w:cs="Arial"/>
                <w:color w:val="000000"/>
                <w:sz w:val="20"/>
                <w:szCs w:val="20"/>
              </w:rPr>
              <w:t>networks</w:t>
            </w:r>
            <w:proofErr w:type="spellEnd"/>
            <w:r w:rsidRPr="003625BA">
              <w:rPr>
                <w:rFonts w:ascii="Roboto" w:hAnsi="Roboto" w:cs="Arial"/>
                <w:color w:val="000000"/>
                <w:sz w:val="20"/>
                <w:szCs w:val="20"/>
              </w:rPr>
              <w:t>, and virtual meetings.</w:t>
            </w:r>
          </w:p>
        </w:tc>
        <w:tc>
          <w:tcPr>
            <w:tcW w:w="0" w:type="auto"/>
          </w:tcPr>
          <w:p w14:paraId="701B2D9C"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
          <w:p w14:paraId="5DB1BE38"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r w:rsidRPr="003625BA">
              <w:rPr>
                <w:rFonts w:ascii="Roboto" w:hAnsi="Roboto" w:cs="Arial"/>
                <w:color w:val="000000"/>
                <w:sz w:val="20"/>
                <w:szCs w:val="20"/>
              </w:rPr>
              <w:t xml:space="preserve">Social media </w:t>
            </w:r>
            <w:proofErr w:type="spellStart"/>
            <w:r w:rsidRPr="003625BA">
              <w:rPr>
                <w:rFonts w:ascii="Roboto" w:hAnsi="Roboto" w:cs="Arial"/>
                <w:color w:val="000000"/>
                <w:sz w:val="20"/>
                <w:szCs w:val="20"/>
              </w:rPr>
              <w:t>discussions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surveys</w:t>
            </w:r>
            <w:proofErr w:type="spellEnd"/>
            <w:r w:rsidRPr="003625BA">
              <w:rPr>
                <w:rFonts w:ascii="Roboto" w:hAnsi="Roboto" w:cs="Arial"/>
                <w:color w:val="000000"/>
                <w:sz w:val="20"/>
                <w:szCs w:val="20"/>
              </w:rPr>
              <w:t>, interviews and blogs.</w:t>
            </w:r>
          </w:p>
        </w:tc>
        <w:tc>
          <w:tcPr>
            <w:tcW w:w="0" w:type="auto"/>
          </w:tcPr>
          <w:p w14:paraId="06DB50A0"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
          <w:p w14:paraId="26B0BB48"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Ideation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surveys</w:t>
            </w:r>
            <w:proofErr w:type="spellEnd"/>
            <w:r w:rsidRPr="003625BA">
              <w:rPr>
                <w:rFonts w:ascii="Roboto" w:hAnsi="Roboto" w:cs="Arial"/>
                <w:color w:val="000000"/>
                <w:sz w:val="20"/>
                <w:szCs w:val="20"/>
              </w:rPr>
              <w:t xml:space="preserve">, interviews, social media </w:t>
            </w:r>
            <w:proofErr w:type="spellStart"/>
            <w:r w:rsidRPr="003625BA">
              <w:rPr>
                <w:rFonts w:ascii="Roboto" w:hAnsi="Roboto" w:cs="Arial"/>
                <w:color w:val="000000"/>
                <w:sz w:val="20"/>
                <w:szCs w:val="20"/>
              </w:rPr>
              <w:t>discussions</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competitions</w:t>
            </w:r>
            <w:proofErr w:type="spellEnd"/>
            <w:r w:rsidRPr="003625BA">
              <w:rPr>
                <w:rFonts w:ascii="Roboto" w:hAnsi="Roboto" w:cs="Arial"/>
                <w:color w:val="000000"/>
                <w:sz w:val="20"/>
                <w:szCs w:val="20"/>
              </w:rPr>
              <w:t>.</w:t>
            </w:r>
          </w:p>
        </w:tc>
        <w:tc>
          <w:tcPr>
            <w:tcW w:w="0" w:type="auto"/>
          </w:tcPr>
          <w:p w14:paraId="650D72A0"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
          <w:p w14:paraId="4FF34A2D"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r w:rsidRPr="003625BA">
              <w:rPr>
                <w:rFonts w:ascii="Roboto" w:hAnsi="Roboto" w:cs="Arial"/>
                <w:color w:val="000000"/>
                <w:sz w:val="20"/>
                <w:szCs w:val="20"/>
              </w:rPr>
              <w:t xml:space="preserve">Online </w:t>
            </w:r>
            <w:proofErr w:type="spellStart"/>
            <w:r w:rsidRPr="003625BA">
              <w:rPr>
                <w:rFonts w:ascii="Roboto" w:hAnsi="Roboto" w:cs="Arial"/>
                <w:color w:val="000000"/>
                <w:sz w:val="20"/>
                <w:szCs w:val="20"/>
              </w:rPr>
              <w:t>forums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collaborative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documents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mapping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twitter</w:t>
            </w:r>
            <w:proofErr w:type="spellEnd"/>
            <w:r w:rsidRPr="003625BA">
              <w:rPr>
                <w:rFonts w:ascii="Roboto" w:hAnsi="Roboto" w:cs="Arial"/>
                <w:color w:val="000000"/>
                <w:sz w:val="20"/>
                <w:szCs w:val="20"/>
              </w:rPr>
              <w:t xml:space="preserve"> chats and video </w:t>
            </w:r>
            <w:proofErr w:type="spellStart"/>
            <w:r w:rsidRPr="003625BA">
              <w:rPr>
                <w:rFonts w:ascii="Roboto" w:hAnsi="Roboto" w:cs="Arial"/>
                <w:color w:val="000000"/>
                <w:sz w:val="20"/>
                <w:szCs w:val="20"/>
              </w:rPr>
              <w:t>calls</w:t>
            </w:r>
            <w:proofErr w:type="spellEnd"/>
            <w:r w:rsidRPr="003625BA">
              <w:rPr>
                <w:rFonts w:ascii="Roboto" w:hAnsi="Roboto" w:cs="Arial"/>
                <w:color w:val="000000"/>
                <w:sz w:val="20"/>
                <w:szCs w:val="20"/>
              </w:rPr>
              <w:t>.</w:t>
            </w:r>
          </w:p>
        </w:tc>
        <w:tc>
          <w:tcPr>
            <w:tcW w:w="0" w:type="auto"/>
          </w:tcPr>
          <w:p w14:paraId="43718953" w14:textId="77777777"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
          <w:p w14:paraId="2E827A7A" w14:textId="21295149" w:rsidR="00572E2E" w:rsidRPr="003625BA" w:rsidRDefault="00572E2E" w:rsidP="00B46860">
            <w:pPr>
              <w:cnfStyle w:val="000000100000" w:firstRow="0" w:lastRow="0" w:firstColumn="0" w:lastColumn="0" w:oddVBand="0" w:evenVBand="0" w:oddHBand="1"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Decision-making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through</w:t>
            </w:r>
            <w:proofErr w:type="spellEnd"/>
            <w:r w:rsidRPr="003625BA">
              <w:rPr>
                <w:rFonts w:ascii="Roboto" w:hAnsi="Roboto" w:cs="Arial"/>
                <w:color w:val="000000"/>
                <w:sz w:val="20"/>
                <w:szCs w:val="20"/>
              </w:rPr>
              <w:t xml:space="preserve"> online </w:t>
            </w:r>
            <w:proofErr w:type="spellStart"/>
            <w:r w:rsidRPr="003625BA">
              <w:rPr>
                <w:rFonts w:ascii="Roboto" w:hAnsi="Roboto" w:cs="Arial"/>
                <w:color w:val="000000"/>
                <w:sz w:val="20"/>
                <w:szCs w:val="20"/>
              </w:rPr>
              <w:t>voting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participatory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budgeting</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direct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community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actions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through</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discussion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forums</w:t>
            </w:r>
            <w:proofErr w:type="spellEnd"/>
            <w:r w:rsidRPr="003625BA">
              <w:rPr>
                <w:rFonts w:ascii="Roboto" w:hAnsi="Roboto" w:cs="Arial"/>
                <w:color w:val="000000"/>
                <w:sz w:val="20"/>
                <w:szCs w:val="20"/>
              </w:rPr>
              <w:t>.</w:t>
            </w:r>
          </w:p>
        </w:tc>
      </w:tr>
      <w:tr w:rsidR="00572E2E" w:rsidRPr="009536BF" w14:paraId="458D3FA2" w14:textId="77777777" w:rsidTr="003625BA">
        <w:trPr>
          <w:trHeight w:val="1956"/>
        </w:trPr>
        <w:tc>
          <w:tcPr>
            <w:cnfStyle w:val="001000000000" w:firstRow="0" w:lastRow="0" w:firstColumn="1" w:lastColumn="0" w:oddVBand="0" w:evenVBand="0" w:oddHBand="0" w:evenHBand="0" w:firstRowFirstColumn="0" w:firstRowLastColumn="0" w:lastRowFirstColumn="0" w:lastRowLastColumn="0"/>
            <w:tcW w:w="0" w:type="auto"/>
          </w:tcPr>
          <w:p w14:paraId="710F304A" w14:textId="77777777" w:rsidR="00572E2E" w:rsidRPr="002E7A79" w:rsidRDefault="00572E2E" w:rsidP="00B46860">
            <w:pPr>
              <w:spacing w:line="276" w:lineRule="auto"/>
              <w:rPr>
                <w:rFonts w:ascii="Roboto" w:hAnsi="Roboto" w:cs="Calibri"/>
              </w:rPr>
            </w:pPr>
          </w:p>
          <w:p w14:paraId="6EBC886E" w14:textId="77777777" w:rsidR="00572E2E" w:rsidRPr="002E7A79" w:rsidRDefault="00572E2E" w:rsidP="00B46860">
            <w:pPr>
              <w:tabs>
                <w:tab w:val="left" w:pos="739"/>
                <w:tab w:val="center" w:pos="1169"/>
              </w:tabs>
              <w:spacing w:line="276" w:lineRule="auto"/>
              <w:jc w:val="center"/>
              <w:rPr>
                <w:rFonts w:ascii="Roboto" w:hAnsi="Roboto" w:cs="Calibri"/>
              </w:rPr>
            </w:pPr>
            <w:proofErr w:type="spellStart"/>
            <w:r w:rsidRPr="002E7A79">
              <w:rPr>
                <w:rFonts w:ascii="Roboto" w:hAnsi="Roboto" w:cs="Calibri"/>
              </w:rPr>
              <w:t>Policy</w:t>
            </w:r>
            <w:proofErr w:type="spellEnd"/>
          </w:p>
          <w:p w14:paraId="51CAE669" w14:textId="77777777" w:rsidR="00572E2E" w:rsidRPr="002E7A79" w:rsidRDefault="00572E2E" w:rsidP="00B46860">
            <w:pPr>
              <w:spacing w:line="276" w:lineRule="auto"/>
              <w:jc w:val="center"/>
              <w:rPr>
                <w:rFonts w:ascii="Roboto" w:hAnsi="Roboto" w:cs="Calibri"/>
                <w:color w:val="ED7D31"/>
              </w:rPr>
            </w:pPr>
            <w:proofErr w:type="spellStart"/>
            <w:r w:rsidRPr="002E7A79">
              <w:rPr>
                <w:rFonts w:ascii="Roboto" w:hAnsi="Roboto" w:cs="Calibri"/>
              </w:rPr>
              <w:t>examples</w:t>
            </w:r>
            <w:proofErr w:type="spellEnd"/>
          </w:p>
        </w:tc>
        <w:tc>
          <w:tcPr>
            <w:tcW w:w="0" w:type="auto"/>
          </w:tcPr>
          <w:p w14:paraId="6FF62D1F"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522DFC71"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Portals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focused</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users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information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needs</w:t>
            </w:r>
            <w:proofErr w:type="spellEnd"/>
            <w:r w:rsidRPr="003625BA">
              <w:rPr>
                <w:rFonts w:ascii="Roboto" w:hAnsi="Roboto" w:cs="Arial"/>
                <w:color w:val="000000"/>
                <w:sz w:val="20"/>
                <w:szCs w:val="20"/>
              </w:rPr>
              <w:t>.</w:t>
            </w:r>
          </w:p>
          <w:p w14:paraId="493A5065"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5D2B0842"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r w:rsidRPr="003625BA">
              <w:rPr>
                <w:rFonts w:ascii="Roboto" w:hAnsi="Roboto" w:cs="Arial"/>
                <w:color w:val="000000"/>
                <w:sz w:val="20"/>
                <w:szCs w:val="20"/>
              </w:rPr>
              <w:t xml:space="preserve">Budget training </w:t>
            </w:r>
            <w:proofErr w:type="spellStart"/>
            <w:r w:rsidRPr="003625BA">
              <w:rPr>
                <w:rFonts w:ascii="Roboto" w:hAnsi="Roboto" w:cs="Arial"/>
                <w:color w:val="000000"/>
                <w:sz w:val="20"/>
                <w:szCs w:val="20"/>
              </w:rPr>
              <w:t>courses</w:t>
            </w:r>
            <w:proofErr w:type="spellEnd"/>
            <w:r w:rsidRPr="003625BA">
              <w:rPr>
                <w:rFonts w:ascii="Roboto" w:hAnsi="Roboto" w:cs="Arial"/>
                <w:color w:val="000000"/>
                <w:sz w:val="20"/>
                <w:szCs w:val="20"/>
              </w:rPr>
              <w:t>.</w:t>
            </w:r>
          </w:p>
        </w:tc>
        <w:tc>
          <w:tcPr>
            <w:tcW w:w="0" w:type="auto"/>
          </w:tcPr>
          <w:p w14:paraId="56E8B673"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38AC37E3"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Consultations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with</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communities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about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works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that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affect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them</w:t>
            </w:r>
            <w:proofErr w:type="spellEnd"/>
            <w:r w:rsidRPr="003625BA">
              <w:rPr>
                <w:rFonts w:ascii="Roboto" w:hAnsi="Roboto" w:cs="Arial"/>
                <w:color w:val="000000"/>
                <w:sz w:val="20"/>
                <w:szCs w:val="20"/>
              </w:rPr>
              <w:t>.</w:t>
            </w:r>
          </w:p>
          <w:p w14:paraId="41E8DEB3"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1DB44DB3"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Consultations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the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national</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development</w:t>
            </w:r>
            <w:proofErr w:type="spellEnd"/>
            <w:r w:rsidRPr="003625BA">
              <w:rPr>
                <w:rFonts w:ascii="Roboto" w:hAnsi="Roboto" w:cs="Arial"/>
                <w:color w:val="000000"/>
                <w:sz w:val="20"/>
                <w:szCs w:val="20"/>
              </w:rPr>
              <w:t xml:space="preserve"> plan.</w:t>
            </w:r>
          </w:p>
        </w:tc>
        <w:tc>
          <w:tcPr>
            <w:tcW w:w="0" w:type="auto"/>
          </w:tcPr>
          <w:p w14:paraId="2915893F"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3A3EF8B9"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Design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of</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tax</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policies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taking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account</w:t>
            </w:r>
            <w:proofErr w:type="spellEnd"/>
            <w:r w:rsidRPr="003625BA">
              <w:rPr>
                <w:rFonts w:ascii="Roboto" w:hAnsi="Roboto" w:cs="Arial"/>
                <w:color w:val="000000"/>
                <w:sz w:val="20"/>
                <w:szCs w:val="20"/>
              </w:rPr>
              <w:t xml:space="preserve"> inputs </w:t>
            </w:r>
            <w:proofErr w:type="spellStart"/>
            <w:r w:rsidRPr="003625BA">
              <w:rPr>
                <w:rFonts w:ascii="Roboto" w:hAnsi="Roboto" w:cs="Arial"/>
                <w:color w:val="000000"/>
                <w:sz w:val="20"/>
                <w:szCs w:val="20"/>
              </w:rPr>
              <w:t>from</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academics</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taxpayers</w:t>
            </w:r>
            <w:proofErr w:type="spellEnd"/>
            <w:r w:rsidRPr="003625BA">
              <w:rPr>
                <w:rFonts w:ascii="Roboto" w:hAnsi="Roboto" w:cs="Arial"/>
                <w:color w:val="000000"/>
                <w:sz w:val="20"/>
                <w:szCs w:val="20"/>
              </w:rPr>
              <w:t>.</w:t>
            </w:r>
          </w:p>
          <w:p w14:paraId="1CD8ABF3"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736E9C4C" w14:textId="77777777" w:rsidR="00572E2E"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Complaint</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denunciation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mailboxes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providing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information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about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program</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improvement</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processes</w:t>
            </w:r>
            <w:proofErr w:type="spellEnd"/>
            <w:r w:rsidRPr="003625BA">
              <w:rPr>
                <w:rFonts w:ascii="Roboto" w:hAnsi="Roboto" w:cs="Arial"/>
                <w:color w:val="000000"/>
                <w:sz w:val="20"/>
                <w:szCs w:val="20"/>
              </w:rPr>
              <w:t>.</w:t>
            </w:r>
          </w:p>
          <w:p w14:paraId="777BABFB" w14:textId="492033C3" w:rsidR="00775C33" w:rsidRPr="003625BA" w:rsidRDefault="00775C33"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tc>
        <w:tc>
          <w:tcPr>
            <w:tcW w:w="0" w:type="auto"/>
          </w:tcPr>
          <w:p w14:paraId="5E81B544"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3113DFED"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Public</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security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policies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designed</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with</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citizen</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oversight</w:t>
            </w:r>
            <w:proofErr w:type="spellEnd"/>
            <w:r w:rsidRPr="003625BA">
              <w:rPr>
                <w:rFonts w:ascii="Roboto" w:hAnsi="Roboto" w:cs="Arial"/>
                <w:color w:val="000000"/>
                <w:sz w:val="20"/>
                <w:szCs w:val="20"/>
              </w:rPr>
              <w:t xml:space="preserve">. </w:t>
            </w:r>
          </w:p>
          <w:p w14:paraId="628241FD"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3A2A7E46"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Surveillance</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committees</w:t>
            </w:r>
            <w:proofErr w:type="spellEnd"/>
            <w:r w:rsidRPr="003625BA">
              <w:rPr>
                <w:rFonts w:ascii="Roboto" w:hAnsi="Roboto" w:cs="Arial"/>
                <w:color w:val="000000"/>
                <w:sz w:val="20"/>
                <w:szCs w:val="20"/>
              </w:rPr>
              <w:t xml:space="preserve"> and social </w:t>
            </w:r>
            <w:proofErr w:type="spellStart"/>
            <w:r w:rsidRPr="003625BA">
              <w:rPr>
                <w:rFonts w:ascii="Roboto" w:hAnsi="Roboto" w:cs="Arial"/>
                <w:color w:val="000000"/>
                <w:sz w:val="20"/>
                <w:szCs w:val="20"/>
              </w:rPr>
              <w:t>audits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linked</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to</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institutional</w:t>
            </w:r>
            <w:proofErr w:type="spellEnd"/>
            <w:r w:rsidRPr="003625BA">
              <w:rPr>
                <w:rFonts w:ascii="Roboto" w:hAnsi="Roboto" w:cs="Arial"/>
                <w:color w:val="000000"/>
                <w:sz w:val="20"/>
                <w:szCs w:val="20"/>
              </w:rPr>
              <w:t xml:space="preserve"> control.</w:t>
            </w:r>
          </w:p>
        </w:tc>
        <w:tc>
          <w:tcPr>
            <w:tcW w:w="0" w:type="auto"/>
          </w:tcPr>
          <w:p w14:paraId="0B3B0479"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72273C8B"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Participatory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budgets</w:t>
            </w:r>
            <w:proofErr w:type="spellEnd"/>
            <w:r w:rsidRPr="003625BA">
              <w:rPr>
                <w:rFonts w:ascii="Roboto" w:hAnsi="Roboto" w:cs="Arial"/>
                <w:color w:val="000000"/>
                <w:sz w:val="20"/>
                <w:szCs w:val="20"/>
              </w:rPr>
              <w:t>.</w:t>
            </w:r>
          </w:p>
          <w:p w14:paraId="664A8F3D"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
          <w:p w14:paraId="556602FB" w14:textId="77777777" w:rsidR="00572E2E" w:rsidRPr="003625BA" w:rsidRDefault="00572E2E" w:rsidP="00B46860">
            <w:pPr>
              <w:cnfStyle w:val="000000000000" w:firstRow="0" w:lastRow="0" w:firstColumn="0" w:lastColumn="0" w:oddVBand="0" w:evenVBand="0" w:oddHBand="0" w:evenHBand="0" w:firstRowFirstColumn="0" w:firstRowLastColumn="0" w:lastRowFirstColumn="0" w:lastRowLastColumn="0"/>
              <w:rPr>
                <w:rFonts w:ascii="Roboto" w:hAnsi="Roboto" w:cs="Arial"/>
                <w:color w:val="000000"/>
                <w:sz w:val="20"/>
                <w:szCs w:val="20"/>
              </w:rPr>
            </w:pPr>
            <w:proofErr w:type="spellStart"/>
            <w:r w:rsidRPr="003625BA">
              <w:rPr>
                <w:rFonts w:ascii="Roboto" w:hAnsi="Roboto" w:cs="Arial"/>
                <w:color w:val="000000"/>
                <w:sz w:val="20"/>
                <w:szCs w:val="20"/>
              </w:rPr>
              <w:t>Advisory</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councils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with</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delegated</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capacities</w:t>
            </w:r>
            <w:proofErr w:type="spellEnd"/>
            <w:r w:rsidRPr="003625BA">
              <w:rPr>
                <w:rFonts w:ascii="Roboto" w:hAnsi="Roboto" w:cs="Arial"/>
                <w:color w:val="000000"/>
                <w:sz w:val="20"/>
                <w:szCs w:val="20"/>
              </w:rPr>
              <w:t xml:space="preserve"> in </w:t>
            </w:r>
            <w:proofErr w:type="spellStart"/>
            <w:r w:rsidRPr="003625BA">
              <w:rPr>
                <w:rFonts w:ascii="Roboto" w:hAnsi="Roboto" w:cs="Arial"/>
                <w:color w:val="000000"/>
                <w:sz w:val="20"/>
                <w:szCs w:val="20"/>
              </w:rPr>
              <w:t>specific</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sectors</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e.g</w:t>
            </w:r>
            <w:proofErr w:type="spellEnd"/>
            <w:r w:rsidRPr="003625BA">
              <w:rPr>
                <w:rFonts w:ascii="Roboto" w:hAnsi="Roboto" w:cs="Arial"/>
                <w:color w:val="000000"/>
                <w:sz w:val="20"/>
                <w:szCs w:val="20"/>
              </w:rPr>
              <w:t xml:space="preserve">. </w:t>
            </w:r>
            <w:proofErr w:type="spellStart"/>
            <w:r w:rsidRPr="003625BA">
              <w:rPr>
                <w:rFonts w:ascii="Roboto" w:hAnsi="Roboto" w:cs="Arial"/>
                <w:color w:val="000000"/>
                <w:sz w:val="20"/>
                <w:szCs w:val="20"/>
              </w:rPr>
              <w:t>science</w:t>
            </w:r>
            <w:proofErr w:type="spellEnd"/>
            <w:r w:rsidRPr="003625BA">
              <w:rPr>
                <w:rFonts w:ascii="Roboto" w:hAnsi="Roboto" w:cs="Arial"/>
                <w:color w:val="000000"/>
                <w:sz w:val="20"/>
                <w:szCs w:val="20"/>
              </w:rPr>
              <w:t xml:space="preserve"> and </w:t>
            </w:r>
            <w:proofErr w:type="spellStart"/>
            <w:r w:rsidRPr="003625BA">
              <w:rPr>
                <w:rFonts w:ascii="Roboto" w:hAnsi="Roboto" w:cs="Arial"/>
                <w:color w:val="000000"/>
                <w:sz w:val="20"/>
                <w:szCs w:val="20"/>
              </w:rPr>
              <w:t>technology</w:t>
            </w:r>
            <w:proofErr w:type="spellEnd"/>
            <w:r w:rsidRPr="003625BA">
              <w:rPr>
                <w:rFonts w:ascii="Roboto" w:hAnsi="Roboto" w:cs="Arial"/>
                <w:color w:val="000000"/>
                <w:sz w:val="20"/>
                <w:szCs w:val="20"/>
              </w:rPr>
              <w:t>).</w:t>
            </w:r>
          </w:p>
        </w:tc>
      </w:tr>
    </w:tbl>
    <w:p w14:paraId="0D02A261" w14:textId="391C1DE8" w:rsidR="00B53BF4" w:rsidRDefault="00B53BF4" w:rsidP="00B53BF4">
      <w:pPr>
        <w:pStyle w:val="Heading2"/>
        <w:ind w:left="720"/>
        <w:rPr>
          <w:rFonts w:ascii="Arial" w:hAnsi="Arial" w:cs="Arial"/>
          <w:b/>
          <w:bCs/>
          <w:color w:val="69557F"/>
          <w:sz w:val="36"/>
          <w:szCs w:val="36"/>
        </w:rPr>
      </w:pPr>
      <w:bookmarkStart w:id="1098" w:name="_Toc119794472"/>
      <w:bookmarkStart w:id="1099" w:name="_Toc123204461"/>
      <w:bookmarkStart w:id="1100" w:name="_Toc123216555"/>
      <w:bookmarkStart w:id="1101" w:name="_Toc123217395"/>
      <w:bookmarkStart w:id="1102" w:name="_Toc123913364"/>
      <w:bookmarkStart w:id="1103" w:name="_Toc123914020"/>
    </w:p>
    <w:p w14:paraId="06B42FBE" w14:textId="49983310" w:rsidR="00B53BF4" w:rsidRDefault="00B53BF4" w:rsidP="00B53BF4"/>
    <w:p w14:paraId="2C0856BD" w14:textId="03EEFB97" w:rsidR="00F26166" w:rsidRDefault="00F26166" w:rsidP="00B53BF4"/>
    <w:p w14:paraId="02368C07" w14:textId="77777777" w:rsidR="00B5708B" w:rsidRPr="00B53BF4" w:rsidRDefault="00B5708B" w:rsidP="00B53BF4"/>
    <w:p w14:paraId="388D62C1" w14:textId="6F2C2E8C" w:rsidR="00056736" w:rsidRDefault="00056736">
      <w:pPr>
        <w:pStyle w:val="Heading2"/>
        <w:numPr>
          <w:ilvl w:val="1"/>
          <w:numId w:val="47"/>
        </w:numPr>
        <w:rPr>
          <w:rFonts w:ascii="Arial" w:hAnsi="Arial" w:cs="Arial"/>
          <w:b/>
          <w:bCs/>
          <w:color w:val="69557F"/>
          <w:sz w:val="36"/>
          <w:szCs w:val="36"/>
        </w:rPr>
      </w:pPr>
      <w:bookmarkStart w:id="1104" w:name="_Toc125566640"/>
      <w:r>
        <w:rPr>
          <w:rFonts w:ascii="Arial" w:hAnsi="Arial" w:cs="Arial"/>
          <w:b/>
          <w:bCs/>
          <w:color w:val="69557F"/>
          <w:sz w:val="36"/>
          <w:szCs w:val="36"/>
        </w:rPr>
        <w:lastRenderedPageBreak/>
        <w:t xml:space="preserve">Resources for </w:t>
      </w:r>
      <w:r w:rsidR="000523FC">
        <w:rPr>
          <w:rFonts w:ascii="Arial" w:hAnsi="Arial" w:cs="Arial"/>
          <w:b/>
          <w:bCs/>
          <w:color w:val="69557F"/>
          <w:sz w:val="36"/>
          <w:szCs w:val="36"/>
        </w:rPr>
        <w:t>learning a</w:t>
      </w:r>
      <w:r>
        <w:rPr>
          <w:rFonts w:ascii="Arial" w:hAnsi="Arial" w:cs="Arial"/>
          <w:b/>
          <w:bCs/>
          <w:color w:val="69557F"/>
          <w:sz w:val="36"/>
          <w:szCs w:val="36"/>
        </w:rPr>
        <w:t xml:space="preserve">bout </w:t>
      </w:r>
      <w:r w:rsidR="000523FC">
        <w:rPr>
          <w:rFonts w:ascii="Arial" w:hAnsi="Arial" w:cs="Arial"/>
          <w:b/>
          <w:bCs/>
          <w:color w:val="69557F"/>
          <w:sz w:val="36"/>
          <w:szCs w:val="36"/>
        </w:rPr>
        <w:t>p</w:t>
      </w:r>
      <w:r>
        <w:rPr>
          <w:rFonts w:ascii="Arial" w:hAnsi="Arial" w:cs="Arial"/>
          <w:b/>
          <w:bCs/>
          <w:color w:val="69557F"/>
          <w:sz w:val="36"/>
          <w:szCs w:val="36"/>
        </w:rPr>
        <w:t xml:space="preserve">ublic </w:t>
      </w:r>
      <w:r w:rsidR="000523FC">
        <w:rPr>
          <w:rFonts w:ascii="Arial" w:hAnsi="Arial" w:cs="Arial"/>
          <w:b/>
          <w:bCs/>
          <w:color w:val="69557F"/>
          <w:sz w:val="36"/>
          <w:szCs w:val="36"/>
        </w:rPr>
        <w:t>p</w:t>
      </w:r>
      <w:r>
        <w:rPr>
          <w:rFonts w:ascii="Arial" w:hAnsi="Arial" w:cs="Arial"/>
          <w:b/>
          <w:bCs/>
          <w:color w:val="69557F"/>
          <w:sz w:val="36"/>
          <w:szCs w:val="36"/>
        </w:rPr>
        <w:t>articipation</w:t>
      </w:r>
      <w:bookmarkEnd w:id="1098"/>
      <w:bookmarkEnd w:id="1099"/>
      <w:bookmarkEnd w:id="1100"/>
      <w:bookmarkEnd w:id="1101"/>
      <w:bookmarkEnd w:id="1102"/>
      <w:bookmarkEnd w:id="1103"/>
      <w:bookmarkEnd w:id="1104"/>
      <w:r>
        <w:rPr>
          <w:rFonts w:ascii="Arial" w:hAnsi="Arial" w:cs="Arial"/>
          <w:b/>
          <w:bCs/>
          <w:color w:val="69557F"/>
          <w:sz w:val="36"/>
          <w:szCs w:val="36"/>
        </w:rPr>
        <w:t xml:space="preserve"> </w:t>
      </w:r>
    </w:p>
    <w:p w14:paraId="14685547" w14:textId="2635F305" w:rsidR="00572E2E" w:rsidRDefault="00572E2E" w:rsidP="00C34643">
      <w:pPr>
        <w:tabs>
          <w:tab w:val="left" w:pos="1159"/>
        </w:tabs>
        <w:spacing w:line="276" w:lineRule="auto"/>
        <w:rPr>
          <w:rFonts w:ascii="Arial" w:hAnsi="Arial" w:cs="Arial"/>
          <w:sz w:val="24"/>
          <w:szCs w:val="24"/>
        </w:rPr>
      </w:pPr>
    </w:p>
    <w:p w14:paraId="0F21AA0F" w14:textId="05253D5E" w:rsidR="003D01DF" w:rsidRDefault="00056736" w:rsidP="00056736">
      <w:pPr>
        <w:spacing w:line="276" w:lineRule="auto"/>
        <w:jc w:val="both"/>
        <w:rPr>
          <w:rFonts w:ascii="Arial" w:hAnsi="Arial" w:cs="Arial"/>
          <w:sz w:val="24"/>
          <w:szCs w:val="24"/>
          <w:lang w:val="en-US"/>
        </w:rPr>
      </w:pPr>
      <w:r w:rsidRPr="00056736">
        <w:rPr>
          <w:rFonts w:ascii="Arial" w:hAnsi="Arial" w:cs="Arial"/>
          <w:sz w:val="24"/>
          <w:szCs w:val="24"/>
          <w:lang w:val="en-US"/>
        </w:rPr>
        <w:t>Despite the fact that there isn’t a blueprint for successfully designing and adopting public participation practices, a lot of valuable lessons can be learnt from examining the practices adopted by other institutions and countries. Among others, the following can be consulted in this regard:</w:t>
      </w:r>
    </w:p>
    <w:p w14:paraId="18888B38" w14:textId="6BFCE5C5" w:rsidR="003D01DF" w:rsidRDefault="003D01DF" w:rsidP="003D01DF">
      <w:pPr>
        <w:spacing w:line="276" w:lineRule="auto"/>
        <w:jc w:val="both"/>
        <w:rPr>
          <w:rFonts w:ascii="Arial" w:hAnsi="Arial" w:cs="Arial"/>
          <w:sz w:val="24"/>
          <w:szCs w:val="24"/>
          <w:lang w:val="en-US"/>
        </w:rPr>
      </w:pPr>
    </w:p>
    <w:p w14:paraId="36E5A654" w14:textId="44541EE1" w:rsidR="00056736" w:rsidRDefault="001F54DF" w:rsidP="003D01DF">
      <w:pPr>
        <w:spacing w:line="276" w:lineRule="auto"/>
        <w:ind w:left="1440"/>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11230" behindDoc="0" locked="0" layoutInCell="1" allowOverlap="1" wp14:anchorId="19A2D040" wp14:editId="7B4518A0">
            <wp:simplePos x="0" y="0"/>
            <wp:positionH relativeFrom="margin">
              <wp:posOffset>0</wp:posOffset>
            </wp:positionH>
            <wp:positionV relativeFrom="paragraph">
              <wp:posOffset>12700</wp:posOffset>
            </wp:positionV>
            <wp:extent cx="720000" cy="691765"/>
            <wp:effectExtent l="0" t="0" r="4445" b="0"/>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pic:nvPicPr>
                  <pic:blipFill rotWithShape="1">
                    <a:blip r:embed="rId533" cstate="email">
                      <a:extLst>
                        <a:ext uri="{28A0092B-C50C-407E-A947-70E740481C1C}">
                          <a14:useLocalDpi xmlns:a14="http://schemas.microsoft.com/office/drawing/2010/main"/>
                        </a:ext>
                      </a:extLst>
                    </a:blip>
                    <a:srcRect/>
                    <a:stretch/>
                  </pic:blipFill>
                  <pic:spPr bwMode="auto">
                    <a:xfrm>
                      <a:off x="0" y="0"/>
                      <a:ext cx="720000" cy="691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736" w:rsidRPr="00056736">
        <w:rPr>
          <w:rFonts w:ascii="Arial" w:hAnsi="Arial" w:cs="Arial"/>
          <w:sz w:val="24"/>
          <w:szCs w:val="24"/>
        </w:rPr>
        <w:t xml:space="preserve">GIFT’s Public Participation primer: </w:t>
      </w:r>
      <w:hyperlink r:id="rId534" w:history="1">
        <w:r w:rsidR="00056736" w:rsidRPr="00056736">
          <w:rPr>
            <w:rStyle w:val="Hyperlink"/>
            <w:rFonts w:ascii="Arial" w:hAnsi="Arial" w:cs="Arial"/>
            <w:sz w:val="24"/>
            <w:szCs w:val="24"/>
          </w:rPr>
          <w:t>The time is now: Advancing public participation in government fiscal policy and budget-making</w:t>
        </w:r>
      </w:hyperlink>
      <w:r w:rsidR="00056736" w:rsidRPr="00056736">
        <w:rPr>
          <w:rFonts w:ascii="Arial" w:hAnsi="Arial" w:cs="Arial"/>
          <w:sz w:val="24"/>
          <w:szCs w:val="24"/>
        </w:rPr>
        <w:t xml:space="preserve"> (2015) includes participation opportunities by institutional type at the different stages of the fiscal</w:t>
      </w:r>
      <w:r w:rsidR="000D1946">
        <w:rPr>
          <w:rFonts w:ascii="Arial" w:hAnsi="Arial" w:cs="Arial"/>
          <w:sz w:val="24"/>
          <w:szCs w:val="24"/>
        </w:rPr>
        <w:t xml:space="preserve"> policy</w:t>
      </w:r>
      <w:r w:rsidR="00056736" w:rsidRPr="00056736">
        <w:rPr>
          <w:rFonts w:ascii="Arial" w:hAnsi="Arial" w:cs="Arial"/>
          <w:sz w:val="24"/>
          <w:szCs w:val="24"/>
        </w:rPr>
        <w:t xml:space="preserve"> cycle; as well as numerous case studies.</w:t>
      </w:r>
      <w:r w:rsidR="00056736" w:rsidRPr="00056736">
        <w:rPr>
          <w:rFonts w:ascii="Arial" w:hAnsi="Arial" w:cs="Arial"/>
          <w:sz w:val="24"/>
          <w:szCs w:val="24"/>
        </w:rPr>
        <w:tab/>
      </w:r>
    </w:p>
    <w:p w14:paraId="5E6F15C8" w14:textId="01B4153E" w:rsidR="003D01DF" w:rsidRDefault="003D01DF" w:rsidP="003D01DF">
      <w:pPr>
        <w:spacing w:line="276" w:lineRule="auto"/>
        <w:jc w:val="both"/>
        <w:rPr>
          <w:rFonts w:ascii="Arial" w:hAnsi="Arial" w:cs="Arial"/>
          <w:sz w:val="24"/>
          <w:szCs w:val="24"/>
        </w:rPr>
      </w:pPr>
    </w:p>
    <w:p w14:paraId="232AA58E" w14:textId="749FA4D7" w:rsidR="00056736" w:rsidRPr="00056736" w:rsidRDefault="00763A1F" w:rsidP="003D01DF">
      <w:pPr>
        <w:spacing w:line="276" w:lineRule="auto"/>
        <w:ind w:left="1440"/>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26590" behindDoc="0" locked="0" layoutInCell="1" allowOverlap="1" wp14:anchorId="44466A30" wp14:editId="79FFBE6C">
            <wp:simplePos x="0" y="0"/>
            <wp:positionH relativeFrom="margin">
              <wp:posOffset>0</wp:posOffset>
            </wp:positionH>
            <wp:positionV relativeFrom="paragraph">
              <wp:posOffset>14605</wp:posOffset>
            </wp:positionV>
            <wp:extent cx="723265" cy="700405"/>
            <wp:effectExtent l="0" t="0" r="635" b="0"/>
            <wp:wrapSquare wrapText="bothSides"/>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pic:cNvPicPr/>
                  </pic:nvPicPr>
                  <pic:blipFill rotWithShape="1">
                    <a:blip r:embed="rId535" cstate="email">
                      <a:extLst>
                        <a:ext uri="{28A0092B-C50C-407E-A947-70E740481C1C}">
                          <a14:useLocalDpi xmlns:a14="http://schemas.microsoft.com/office/drawing/2010/main"/>
                        </a:ext>
                      </a:extLst>
                    </a:blip>
                    <a:srcRect/>
                    <a:stretch/>
                  </pic:blipFill>
                  <pic:spPr bwMode="auto">
                    <a:xfrm>
                      <a:off x="0" y="0"/>
                      <a:ext cx="723265" cy="70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736" w:rsidRPr="00056736">
        <w:rPr>
          <w:rFonts w:ascii="Arial" w:hAnsi="Arial" w:cs="Arial"/>
          <w:sz w:val="24"/>
          <w:szCs w:val="24"/>
        </w:rPr>
        <w:t>The GIFT and the OGP’s</w:t>
      </w:r>
      <w:r w:rsidR="00056736" w:rsidRPr="00056736">
        <w:rPr>
          <w:rFonts w:ascii="Arial" w:eastAsia="Calibri" w:hAnsi="Arial" w:cs="Arial"/>
          <w:bCs/>
          <w:color w:val="404040" w:themeColor="text1" w:themeTint="BF"/>
          <w:sz w:val="24"/>
          <w:szCs w:val="24"/>
        </w:rPr>
        <w:t xml:space="preserve"> </w:t>
      </w:r>
      <w:hyperlink r:id="rId536" w:history="1">
        <w:r w:rsidR="00056736" w:rsidRPr="00056736">
          <w:rPr>
            <w:rFonts w:ascii="Arial" w:eastAsia="Calibri" w:hAnsi="Arial" w:cs="Arial"/>
            <w:bCs/>
            <w:color w:val="0563C1" w:themeColor="hyperlink"/>
            <w:sz w:val="24"/>
            <w:szCs w:val="24"/>
            <w:u w:val="single"/>
          </w:rPr>
          <w:t>Guide on Principles and Mechanisms on Public Participation in Fiscal Policy</w:t>
        </w:r>
      </w:hyperlink>
      <w:r w:rsidR="00056736" w:rsidRPr="00056736">
        <w:rPr>
          <w:rFonts w:ascii="Arial" w:eastAsia="Calibri" w:hAnsi="Arial" w:cs="Arial"/>
          <w:bCs/>
          <w:color w:val="404040" w:themeColor="text1" w:themeTint="BF"/>
          <w:sz w:val="24"/>
          <w:szCs w:val="24"/>
        </w:rPr>
        <w:t xml:space="preserve"> </w:t>
      </w:r>
      <w:r w:rsidR="00056736" w:rsidRPr="00056736">
        <w:rPr>
          <w:rFonts w:ascii="Arial" w:hAnsi="Arial" w:cs="Arial"/>
          <w:sz w:val="24"/>
          <w:szCs w:val="24"/>
        </w:rPr>
        <w:t>(2016) describes participation practices/mechanisms that illustrate the Principles of Public Participation in Fiscal Policies and organizes them across a number of dimensions to provide a “how-to” guide for their implementation. These dimensions include:</w:t>
      </w:r>
    </w:p>
    <w:p w14:paraId="361E058A" w14:textId="1F50FF74" w:rsidR="00056736" w:rsidRPr="003D01DF" w:rsidRDefault="00056736">
      <w:pPr>
        <w:pStyle w:val="ListParagraph"/>
        <w:numPr>
          <w:ilvl w:val="0"/>
          <w:numId w:val="62"/>
        </w:numPr>
        <w:spacing w:line="276" w:lineRule="auto"/>
        <w:jc w:val="both"/>
        <w:rPr>
          <w:rFonts w:ascii="Arial" w:eastAsia="Calibri" w:hAnsi="Arial" w:cs="Arial"/>
          <w:bCs/>
          <w:color w:val="404040" w:themeColor="text1" w:themeTint="BF"/>
          <w:sz w:val="24"/>
          <w:szCs w:val="24"/>
        </w:rPr>
      </w:pPr>
      <w:r w:rsidRPr="003D01DF">
        <w:rPr>
          <w:rFonts w:ascii="Arial" w:hAnsi="Arial" w:cs="Arial"/>
          <w:sz w:val="24"/>
          <w:szCs w:val="24"/>
        </w:rPr>
        <w:t>Summary of the mechanism adopted and its objectives – that is what it seeks to address;</w:t>
      </w:r>
    </w:p>
    <w:p w14:paraId="38C74784" w14:textId="13D65D1C" w:rsidR="00056736" w:rsidRPr="003D01DF" w:rsidRDefault="00056736">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Basic facts including in which stage of the fiscal policy cycle it is utilized, where it happens (level of government), and who implements it (executive, oversight institutions or non-state actors);</w:t>
      </w:r>
    </w:p>
    <w:p w14:paraId="500F5843" w14:textId="552F4B1C" w:rsidR="00056736" w:rsidRPr="003D01DF" w:rsidRDefault="00056736">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Why – that is the objective of public participation and how success is measured;</w:t>
      </w:r>
    </w:p>
    <w:p w14:paraId="77B9DCDA" w14:textId="77777777" w:rsidR="00056736" w:rsidRPr="003D01DF" w:rsidRDefault="00056736">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Authorising environment – that is whether there is a specific law or regulation requiring it;</w:t>
      </w:r>
    </w:p>
    <w:p w14:paraId="305A8138" w14:textId="38698C78" w:rsidR="00056736" w:rsidRPr="003D01DF" w:rsidRDefault="00056736" w:rsidP="003322D8">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 xml:space="preserve">Who and how </w:t>
      </w:r>
      <w:r w:rsidR="003322D8" w:rsidRPr="003322D8">
        <w:rPr>
          <w:rFonts w:ascii="Arial" w:hAnsi="Arial" w:cs="Arial"/>
          <w:sz w:val="24"/>
          <w:szCs w:val="24"/>
        </w:rPr>
        <w:t xml:space="preserve">– </w:t>
      </w:r>
      <w:r w:rsidRPr="003D01DF">
        <w:rPr>
          <w:rFonts w:ascii="Arial" w:hAnsi="Arial" w:cs="Arial"/>
          <w:sz w:val="24"/>
          <w:szCs w:val="24"/>
        </w:rPr>
        <w:t>including who participates, selection processes, diversity of inputs, how decisions are made, whether decisions are binding, how much of the process relies on technology, whether there are an</w:t>
      </w:r>
      <w:r w:rsidRPr="003D01DF">
        <w:rPr>
          <w:rFonts w:ascii="Arial" w:hAnsi="Arial" w:cs="Arial"/>
          <w:sz w:val="24"/>
          <w:szCs w:val="24"/>
          <w:lang w:val="en-ZA"/>
        </w:rPr>
        <w:t>y institutionalized elements, and the resources invested in the implementation of the mechanism, including whether these are one-off or recurring resources;</w:t>
      </w:r>
    </w:p>
    <w:p w14:paraId="1B1C1C16" w14:textId="77777777" w:rsidR="00056736" w:rsidRPr="003D01DF" w:rsidRDefault="00056736">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Results and impact;</w:t>
      </w:r>
    </w:p>
    <w:p w14:paraId="206E2A32" w14:textId="10D84976" w:rsidR="00056736" w:rsidRPr="003D01DF" w:rsidRDefault="00056736">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Lessons learned by the practitioners who implemented the mechanism, including summaries and links to any assessments or evaluations of the intervention. This also includes tips and the main conditions and factors associated with the success of the practice;</w:t>
      </w:r>
    </w:p>
    <w:p w14:paraId="3D558E77" w14:textId="327B6DAF" w:rsidR="00056736" w:rsidRPr="003D01DF" w:rsidRDefault="00056736">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How many of the Principles align with the use of the mechanism. In addition, when appropriate, recommendations of how many principles could be incorporated; and</w:t>
      </w:r>
    </w:p>
    <w:p w14:paraId="16473DF4" w14:textId="2C3EA8A2" w:rsidR="00056736" w:rsidRDefault="00056736">
      <w:pPr>
        <w:pStyle w:val="ListParagraph"/>
        <w:numPr>
          <w:ilvl w:val="0"/>
          <w:numId w:val="62"/>
        </w:numPr>
        <w:spacing w:line="276" w:lineRule="auto"/>
        <w:jc w:val="both"/>
        <w:rPr>
          <w:rFonts w:ascii="Arial" w:hAnsi="Arial" w:cs="Arial"/>
          <w:sz w:val="24"/>
          <w:szCs w:val="24"/>
        </w:rPr>
      </w:pPr>
      <w:r w:rsidRPr="003D01DF">
        <w:rPr>
          <w:rFonts w:ascii="Arial" w:hAnsi="Arial" w:cs="Arial"/>
          <w:sz w:val="24"/>
          <w:szCs w:val="24"/>
        </w:rPr>
        <w:t>Country context, containing information to facilitate a general understanding of the surrounding factors and conditions in which the mechanism in question took place.</w:t>
      </w:r>
    </w:p>
    <w:p w14:paraId="7AD820F8" w14:textId="0E341C62" w:rsidR="003D01DF" w:rsidRDefault="003D01DF" w:rsidP="003D01DF">
      <w:pPr>
        <w:spacing w:line="276" w:lineRule="auto"/>
        <w:jc w:val="both"/>
        <w:rPr>
          <w:rFonts w:ascii="Arial" w:hAnsi="Arial" w:cs="Arial"/>
          <w:sz w:val="24"/>
          <w:szCs w:val="24"/>
        </w:rPr>
      </w:pPr>
    </w:p>
    <w:p w14:paraId="4620817F" w14:textId="2B0B527D" w:rsidR="00056736" w:rsidRDefault="00A72AF7" w:rsidP="00763A1F">
      <w:pPr>
        <w:spacing w:line="276" w:lineRule="auto"/>
        <w:ind w:left="1350" w:hanging="1350"/>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27614" behindDoc="0" locked="0" layoutInCell="1" allowOverlap="1" wp14:anchorId="6191012A" wp14:editId="2BAC00DC">
            <wp:simplePos x="0" y="0"/>
            <wp:positionH relativeFrom="margin">
              <wp:posOffset>0</wp:posOffset>
            </wp:positionH>
            <wp:positionV relativeFrom="paragraph">
              <wp:posOffset>12065</wp:posOffset>
            </wp:positionV>
            <wp:extent cx="723265" cy="681355"/>
            <wp:effectExtent l="0" t="0" r="635" b="4445"/>
            <wp:wrapSquare wrapText="bothSides"/>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rotWithShape="1">
                    <a:blip r:embed="rId537" cstate="email">
                      <a:extLst>
                        <a:ext uri="{28A0092B-C50C-407E-A947-70E740481C1C}">
                          <a14:useLocalDpi xmlns:a14="http://schemas.microsoft.com/office/drawing/2010/main"/>
                        </a:ext>
                      </a:extLst>
                    </a:blip>
                    <a:srcRect/>
                    <a:stretch/>
                  </pic:blipFill>
                  <pic:spPr bwMode="auto">
                    <a:xfrm>
                      <a:off x="0" y="0"/>
                      <a:ext cx="723265" cy="68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736" w:rsidRPr="00056736">
        <w:rPr>
          <w:rFonts w:ascii="Arial" w:hAnsi="Arial" w:cs="Arial"/>
          <w:sz w:val="24"/>
          <w:szCs w:val="24"/>
          <w:lang w:val="en-US"/>
        </w:rPr>
        <w:t xml:space="preserve">GIFT’s </w:t>
      </w:r>
      <w:hyperlink r:id="rId538" w:history="1">
        <w:r w:rsidR="00056736" w:rsidRPr="00056736">
          <w:rPr>
            <w:rFonts w:ascii="Arial" w:hAnsi="Arial" w:cs="Arial"/>
            <w:color w:val="0563C1" w:themeColor="hyperlink"/>
            <w:sz w:val="24"/>
            <w:szCs w:val="24"/>
            <w:u w:val="single"/>
          </w:rPr>
          <w:t>Expanded Version of the High-Level Principles on Fiscal Transparency, Participation and Accountability</w:t>
        </w:r>
      </w:hyperlink>
      <w:r w:rsidR="00056736" w:rsidRPr="00056736">
        <w:rPr>
          <w:rFonts w:ascii="Arial" w:hAnsi="Arial" w:cs="Arial"/>
          <w:bCs/>
          <w:sz w:val="24"/>
          <w:szCs w:val="24"/>
        </w:rPr>
        <w:t xml:space="preserve"> </w:t>
      </w:r>
      <w:r w:rsidR="00056736" w:rsidRPr="00056736">
        <w:rPr>
          <w:rFonts w:ascii="Arial" w:hAnsi="Arial" w:cs="Arial"/>
          <w:sz w:val="24"/>
          <w:szCs w:val="24"/>
        </w:rPr>
        <w:t xml:space="preserve">(2018) under </w:t>
      </w:r>
      <w:r w:rsidR="004A1465">
        <w:rPr>
          <w:rFonts w:ascii="Arial" w:hAnsi="Arial" w:cs="Arial"/>
          <w:sz w:val="24"/>
          <w:szCs w:val="24"/>
        </w:rPr>
        <w:t>P</w:t>
      </w:r>
      <w:r w:rsidR="00056736" w:rsidRPr="00056736">
        <w:rPr>
          <w:rFonts w:ascii="Arial" w:hAnsi="Arial" w:cs="Arial"/>
          <w:sz w:val="24"/>
          <w:szCs w:val="24"/>
        </w:rPr>
        <w:t xml:space="preserve">rinciple 10 contains a link to  comparative country case studies for Brazil, Canada, Croatia, Kenya, Korea, Mexico, the Philippines, and South Africa. These case studies dive into the political economy of </w:t>
      </w:r>
      <w:r w:rsidR="00056736" w:rsidRPr="00056736">
        <w:rPr>
          <w:rFonts w:ascii="Arial" w:hAnsi="Arial" w:cs="Arial"/>
          <w:sz w:val="24"/>
          <w:szCs w:val="24"/>
        </w:rPr>
        <w:lastRenderedPageBreak/>
        <w:t>reforms introducing public participation in budgeting. This publication also includes individual country examples of public participation in fiscal policy, organised by stage in the budget and fiscal policy cycles and by type of participation mechanism. Links are also included to papers describing mechanisms in more detail.</w:t>
      </w:r>
    </w:p>
    <w:p w14:paraId="12F42B8F" w14:textId="3BE4CC6D" w:rsidR="003D01DF" w:rsidRDefault="003D01DF" w:rsidP="003D01DF">
      <w:pPr>
        <w:spacing w:line="276" w:lineRule="auto"/>
        <w:jc w:val="both"/>
        <w:rPr>
          <w:rFonts w:ascii="Arial" w:hAnsi="Arial" w:cs="Arial"/>
          <w:sz w:val="24"/>
          <w:szCs w:val="24"/>
        </w:rPr>
      </w:pPr>
    </w:p>
    <w:p w14:paraId="6814C664" w14:textId="538353AE" w:rsidR="00056736" w:rsidRDefault="00763A1F" w:rsidP="001F54DF">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31710" behindDoc="0" locked="0" layoutInCell="1" allowOverlap="1" wp14:anchorId="29A74E50" wp14:editId="316DF7C9">
            <wp:simplePos x="0" y="0"/>
            <wp:positionH relativeFrom="margin">
              <wp:posOffset>0</wp:posOffset>
            </wp:positionH>
            <wp:positionV relativeFrom="paragraph">
              <wp:posOffset>12700</wp:posOffset>
            </wp:positionV>
            <wp:extent cx="719455" cy="691515"/>
            <wp:effectExtent l="0" t="0" r="4445" b="0"/>
            <wp:wrapSquare wrapText="bothSides"/>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pic:nvPicPr>
                  <pic:blipFill rotWithShape="1">
                    <a:blip r:embed="rId539" cstate="email">
                      <a:extLst>
                        <a:ext uri="{28A0092B-C50C-407E-A947-70E740481C1C}">
                          <a14:useLocalDpi xmlns:a14="http://schemas.microsoft.com/office/drawing/2010/main"/>
                        </a:ext>
                      </a:extLst>
                    </a:blip>
                    <a:srcRect/>
                    <a:stretch/>
                  </pic:blipFill>
                  <pic:spPr bwMode="auto">
                    <a:xfrm>
                      <a:off x="0" y="0"/>
                      <a:ext cx="719455"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736" w:rsidRPr="00056736">
        <w:rPr>
          <w:rFonts w:ascii="Arial" w:hAnsi="Arial" w:cs="Arial"/>
          <w:sz w:val="24"/>
          <w:szCs w:val="24"/>
        </w:rPr>
        <w:t xml:space="preserve">The World Bank Group Open Knowledge Repository’s: </w:t>
      </w:r>
      <w:hyperlink r:id="rId540" w:history="1">
        <w:r w:rsidR="00056736" w:rsidRPr="00056736">
          <w:rPr>
            <w:rFonts w:ascii="Arial" w:hAnsi="Arial" w:cs="Arial"/>
            <w:color w:val="0563C1" w:themeColor="hyperlink"/>
            <w:sz w:val="24"/>
            <w:szCs w:val="24"/>
            <w:u w:val="single"/>
          </w:rPr>
          <w:t>Mainstreaming Citizen Engagement in Public Financial Management for Better Results</w:t>
        </w:r>
      </w:hyperlink>
      <w:r w:rsidR="00056736" w:rsidRPr="00056736">
        <w:rPr>
          <w:rFonts w:ascii="Arial" w:hAnsi="Arial" w:cs="Arial"/>
          <w:sz w:val="24"/>
          <w:szCs w:val="24"/>
        </w:rPr>
        <w:t xml:space="preserve"> (2019) provides numerous country examples and includes, among others a snapshot of the approaches and tools that can be used in engaging with citizens to improve results.</w:t>
      </w:r>
    </w:p>
    <w:p w14:paraId="4A6387FF" w14:textId="00E2E874" w:rsidR="001F54DF" w:rsidRDefault="00BE1A63" w:rsidP="001F54DF">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29662" behindDoc="0" locked="0" layoutInCell="1" allowOverlap="1" wp14:anchorId="274DC130" wp14:editId="2297D56A">
            <wp:simplePos x="0" y="0"/>
            <wp:positionH relativeFrom="margin">
              <wp:posOffset>0</wp:posOffset>
            </wp:positionH>
            <wp:positionV relativeFrom="paragraph">
              <wp:posOffset>158750</wp:posOffset>
            </wp:positionV>
            <wp:extent cx="723265" cy="700405"/>
            <wp:effectExtent l="0" t="0" r="635" b="0"/>
            <wp:wrapSquare wrapText="bothSides"/>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pic:cNvPicPr/>
                  </pic:nvPicPr>
                  <pic:blipFill rotWithShape="1">
                    <a:blip r:embed="rId541" cstate="email">
                      <a:extLst>
                        <a:ext uri="{28A0092B-C50C-407E-A947-70E740481C1C}">
                          <a14:useLocalDpi xmlns:a14="http://schemas.microsoft.com/office/drawing/2010/main"/>
                        </a:ext>
                      </a:extLst>
                    </a:blip>
                    <a:srcRect/>
                    <a:stretch/>
                  </pic:blipFill>
                  <pic:spPr bwMode="auto">
                    <a:xfrm>
                      <a:off x="0" y="0"/>
                      <a:ext cx="723265" cy="70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BE1B1" w14:textId="342B6C34" w:rsidR="00056736" w:rsidRPr="00056736" w:rsidRDefault="00056736" w:rsidP="001F54DF">
      <w:pPr>
        <w:spacing w:line="276" w:lineRule="auto"/>
        <w:jc w:val="both"/>
        <w:rPr>
          <w:rFonts w:ascii="Arial" w:hAnsi="Arial" w:cs="Arial"/>
          <w:sz w:val="24"/>
          <w:szCs w:val="24"/>
        </w:rPr>
      </w:pPr>
      <w:r w:rsidRPr="00056736">
        <w:rPr>
          <w:rFonts w:ascii="Arial" w:hAnsi="Arial" w:cs="Arial"/>
          <w:sz w:val="24"/>
          <w:szCs w:val="24"/>
        </w:rPr>
        <w:t>Specific guidance is also provided by the IBP on social audits, including in its:</w:t>
      </w:r>
    </w:p>
    <w:p w14:paraId="62DE0456" w14:textId="77777777" w:rsidR="00056736" w:rsidRPr="001F54DF" w:rsidRDefault="00AC4DF7">
      <w:pPr>
        <w:pStyle w:val="ListParagraph"/>
        <w:numPr>
          <w:ilvl w:val="0"/>
          <w:numId w:val="63"/>
        </w:numPr>
        <w:spacing w:line="276" w:lineRule="auto"/>
        <w:jc w:val="both"/>
        <w:rPr>
          <w:rFonts w:ascii="Arial" w:hAnsi="Arial" w:cs="Arial"/>
          <w:sz w:val="24"/>
          <w:szCs w:val="24"/>
        </w:rPr>
      </w:pPr>
      <w:hyperlink r:id="rId542" w:history="1">
        <w:r w:rsidR="00056736" w:rsidRPr="001F54DF">
          <w:rPr>
            <w:rFonts w:ascii="Arial" w:hAnsi="Arial" w:cs="Arial"/>
            <w:color w:val="0563C1" w:themeColor="hyperlink"/>
            <w:sz w:val="24"/>
            <w:szCs w:val="24"/>
            <w:u w:val="single"/>
          </w:rPr>
          <w:t>Guidelines for capturing social audit data</w:t>
        </w:r>
      </w:hyperlink>
      <w:r w:rsidR="00056736" w:rsidRPr="001F54DF">
        <w:rPr>
          <w:rFonts w:ascii="Arial" w:hAnsi="Arial" w:cs="Arial"/>
          <w:sz w:val="24"/>
          <w:szCs w:val="24"/>
        </w:rPr>
        <w:t xml:space="preserve">; and </w:t>
      </w:r>
    </w:p>
    <w:p w14:paraId="7A594A8E" w14:textId="21F8EF53" w:rsidR="00056736" w:rsidRPr="001F54DF" w:rsidRDefault="00AC4DF7">
      <w:pPr>
        <w:pStyle w:val="ListParagraph"/>
        <w:numPr>
          <w:ilvl w:val="0"/>
          <w:numId w:val="63"/>
        </w:numPr>
        <w:spacing w:line="276" w:lineRule="auto"/>
        <w:jc w:val="both"/>
        <w:rPr>
          <w:rFonts w:ascii="Arial" w:hAnsi="Arial" w:cs="Arial"/>
          <w:sz w:val="24"/>
          <w:szCs w:val="24"/>
        </w:rPr>
      </w:pPr>
      <w:hyperlink r:id="rId543" w:history="1">
        <w:r w:rsidR="00056736" w:rsidRPr="001F54DF">
          <w:rPr>
            <w:rFonts w:ascii="Arial" w:hAnsi="Arial" w:cs="Arial"/>
            <w:color w:val="0563C1" w:themeColor="hyperlink"/>
            <w:sz w:val="24"/>
            <w:szCs w:val="24"/>
            <w:u w:val="single"/>
          </w:rPr>
          <w:t>Guidelines for developing a social audit questionnaire</w:t>
        </w:r>
      </w:hyperlink>
      <w:r w:rsidR="00056736" w:rsidRPr="001F54DF">
        <w:rPr>
          <w:rFonts w:ascii="Arial" w:hAnsi="Arial" w:cs="Arial"/>
          <w:sz w:val="24"/>
          <w:szCs w:val="24"/>
        </w:rPr>
        <w:t xml:space="preserve">. </w:t>
      </w:r>
    </w:p>
    <w:p w14:paraId="7B692D5B" w14:textId="24FD4E26" w:rsidR="001F54DF" w:rsidRDefault="001F54DF" w:rsidP="001F54DF">
      <w:pPr>
        <w:spacing w:line="276" w:lineRule="auto"/>
        <w:jc w:val="both"/>
        <w:rPr>
          <w:rFonts w:ascii="Arial" w:hAnsi="Arial" w:cs="Arial"/>
          <w:sz w:val="24"/>
          <w:szCs w:val="24"/>
        </w:rPr>
      </w:pPr>
    </w:p>
    <w:p w14:paraId="4E8E25F7" w14:textId="24ABC493" w:rsidR="00056736" w:rsidRDefault="00BE1A63" w:rsidP="00763A1F">
      <w:pPr>
        <w:spacing w:line="276" w:lineRule="auto"/>
        <w:ind w:left="1350" w:hanging="1350"/>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33758" behindDoc="0" locked="0" layoutInCell="1" allowOverlap="1" wp14:anchorId="3C42A0AB" wp14:editId="095E1446">
            <wp:simplePos x="0" y="0"/>
            <wp:positionH relativeFrom="margin">
              <wp:posOffset>0</wp:posOffset>
            </wp:positionH>
            <wp:positionV relativeFrom="paragraph">
              <wp:posOffset>12700</wp:posOffset>
            </wp:positionV>
            <wp:extent cx="723265" cy="681355"/>
            <wp:effectExtent l="0" t="0" r="635" b="4445"/>
            <wp:wrapSquare wrapText="bothSides"/>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rotWithShape="1">
                    <a:blip r:embed="rId537" cstate="email">
                      <a:extLst>
                        <a:ext uri="{28A0092B-C50C-407E-A947-70E740481C1C}">
                          <a14:useLocalDpi xmlns:a14="http://schemas.microsoft.com/office/drawing/2010/main"/>
                        </a:ext>
                      </a:extLst>
                    </a:blip>
                    <a:srcRect/>
                    <a:stretch/>
                  </pic:blipFill>
                  <pic:spPr bwMode="auto">
                    <a:xfrm>
                      <a:off x="0" y="0"/>
                      <a:ext cx="723265" cy="68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736" w:rsidRPr="00056736">
        <w:rPr>
          <w:rFonts w:ascii="Arial" w:hAnsi="Arial" w:cs="Arial"/>
          <w:sz w:val="24"/>
          <w:szCs w:val="24"/>
        </w:rPr>
        <w:t xml:space="preserve">IBP and GIFT’s </w:t>
      </w:r>
      <w:hyperlink r:id="rId544" w:history="1">
        <w:r w:rsidR="00056736" w:rsidRPr="00056736">
          <w:rPr>
            <w:rFonts w:ascii="Arial" w:hAnsi="Arial" w:cs="Arial"/>
            <w:color w:val="0563C1" w:themeColor="hyperlink"/>
            <w:sz w:val="24"/>
            <w:szCs w:val="24"/>
            <w:u w:val="single"/>
          </w:rPr>
          <w:t>Fiscal Openness Accelerator</w:t>
        </w:r>
      </w:hyperlink>
      <w:r w:rsidR="00056736" w:rsidRPr="00056736">
        <w:rPr>
          <w:rFonts w:ascii="Arial" w:hAnsi="Arial" w:cs="Arial"/>
          <w:sz w:val="24"/>
          <w:szCs w:val="24"/>
        </w:rPr>
        <w:t xml:space="preserve"> </w:t>
      </w:r>
      <w:r w:rsidR="00056736" w:rsidRPr="00056736">
        <w:rPr>
          <w:rFonts w:ascii="Arial" w:hAnsi="Arial" w:cs="Arial"/>
          <w:sz w:val="24"/>
          <w:szCs w:val="24"/>
          <w:lang w:val="en-ZA"/>
        </w:rPr>
        <w:t>is a project that aims to deepen work in improving transparency and enhancing public participation in fiscal policies. Governments and civil society are working together to introduce specific mechanisms of public participation in the budget cycle. Documentation related to the project, including write ups on the different mechanisms for public participation and video interviews, can be accessed on the GIFT’s website</w:t>
      </w:r>
      <w:r w:rsidR="00056736" w:rsidRPr="00056736">
        <w:rPr>
          <w:rFonts w:ascii="Arial" w:hAnsi="Arial" w:cs="Arial"/>
          <w:sz w:val="24"/>
          <w:szCs w:val="24"/>
        </w:rPr>
        <w:t>.</w:t>
      </w:r>
    </w:p>
    <w:p w14:paraId="09C62BCE" w14:textId="38C1B20A" w:rsidR="00BE1A63" w:rsidRDefault="00763A1F" w:rsidP="00BE1A63">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535806" behindDoc="0" locked="0" layoutInCell="1" allowOverlap="1" wp14:anchorId="5E52E349" wp14:editId="682A0AF4">
            <wp:simplePos x="0" y="0"/>
            <wp:positionH relativeFrom="margin">
              <wp:posOffset>0</wp:posOffset>
            </wp:positionH>
            <wp:positionV relativeFrom="paragraph">
              <wp:posOffset>200660</wp:posOffset>
            </wp:positionV>
            <wp:extent cx="719455" cy="691515"/>
            <wp:effectExtent l="0" t="0" r="4445" b="0"/>
            <wp:wrapSquare wrapText="bothSides"/>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pic:nvPicPr>
                  <pic:blipFill rotWithShape="1">
                    <a:blip r:embed="rId539" cstate="email">
                      <a:extLst>
                        <a:ext uri="{28A0092B-C50C-407E-A947-70E740481C1C}">
                          <a14:useLocalDpi xmlns:a14="http://schemas.microsoft.com/office/drawing/2010/main"/>
                        </a:ext>
                      </a:extLst>
                    </a:blip>
                    <a:srcRect/>
                    <a:stretch/>
                  </pic:blipFill>
                  <pic:spPr bwMode="auto">
                    <a:xfrm>
                      <a:off x="0" y="0"/>
                      <a:ext cx="719455" cy="69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5362A7" w14:textId="57036836" w:rsidR="00056736" w:rsidRPr="00056736" w:rsidRDefault="00056736" w:rsidP="00D3413A">
      <w:pPr>
        <w:spacing w:line="276" w:lineRule="auto"/>
        <w:ind w:left="1350" w:hanging="1350"/>
        <w:jc w:val="both"/>
        <w:rPr>
          <w:rFonts w:ascii="Arial" w:hAnsi="Arial" w:cs="Arial"/>
          <w:sz w:val="24"/>
          <w:szCs w:val="24"/>
        </w:rPr>
      </w:pPr>
      <w:r w:rsidRPr="00056736">
        <w:rPr>
          <w:rFonts w:ascii="Arial" w:hAnsi="Arial" w:cs="Arial"/>
          <w:sz w:val="24"/>
          <w:szCs w:val="24"/>
        </w:rPr>
        <w:t xml:space="preserve">The IBP’s </w:t>
      </w:r>
      <w:hyperlink r:id="rId545" w:history="1">
        <w:r w:rsidRPr="00056736">
          <w:rPr>
            <w:rStyle w:val="Hyperlink"/>
            <w:rFonts w:ascii="Arial" w:hAnsi="Arial" w:cs="Arial"/>
            <w:sz w:val="24"/>
            <w:szCs w:val="24"/>
          </w:rPr>
          <w:t>Open Budget Survey</w:t>
        </w:r>
      </w:hyperlink>
      <w:r w:rsidRPr="00056736">
        <w:rPr>
          <w:rFonts w:ascii="Arial" w:hAnsi="Arial" w:cs="Arial"/>
          <w:sz w:val="24"/>
          <w:szCs w:val="24"/>
        </w:rPr>
        <w:t xml:space="preserve"> contains public participation</w:t>
      </w:r>
      <w:r w:rsidRPr="00056736">
        <w:rPr>
          <w:rFonts w:ascii="Arial" w:hAnsi="Arial" w:cs="Arial"/>
          <w:i/>
          <w:sz w:val="24"/>
          <w:szCs w:val="24"/>
        </w:rPr>
        <w:t xml:space="preserve"> </w:t>
      </w:r>
      <w:r w:rsidRPr="00056736">
        <w:rPr>
          <w:rFonts w:ascii="Arial" w:hAnsi="Arial" w:cs="Arial"/>
          <w:sz w:val="24"/>
          <w:szCs w:val="24"/>
        </w:rPr>
        <w:t>indicators that assess the degree to which the executive, the legislature, and the supreme audit institution each provide opportunities for the public to engage during the different stages of the budget process</w:t>
      </w:r>
      <w:r w:rsidRPr="00056736">
        <w:rPr>
          <w:rFonts w:ascii="Arial" w:hAnsi="Arial" w:cs="Arial"/>
          <w:sz w:val="24"/>
          <w:szCs w:val="24"/>
          <w:lang w:val="en-ZA"/>
        </w:rPr>
        <w:t xml:space="preserve">; including the quality of participation mechanisms. These indicators are based on the </w:t>
      </w:r>
      <w:r w:rsidRPr="00056736">
        <w:rPr>
          <w:rFonts w:ascii="Arial" w:hAnsi="Arial" w:cs="Arial"/>
          <w:sz w:val="24"/>
          <w:szCs w:val="24"/>
          <w:lang w:val="en-US"/>
        </w:rPr>
        <w:t xml:space="preserve">GIFT Principles of Public Participation in Fiscal Policies, emphasizing the importance of the principles of </w:t>
      </w:r>
      <w:r w:rsidRPr="00056736">
        <w:rPr>
          <w:rFonts w:ascii="Arial" w:hAnsi="Arial" w:cs="Arial"/>
          <w:sz w:val="24"/>
          <w:szCs w:val="24"/>
        </w:rPr>
        <w:t xml:space="preserve">accessibility; openness; inclusiveness; and depth, among others. By so doing, the Survey provides good examples of public participation practices and experiences. </w:t>
      </w:r>
    </w:p>
    <w:p w14:paraId="0AA31874" w14:textId="2A9AFBCE" w:rsidR="00BE1A63" w:rsidRDefault="00BE1A63" w:rsidP="00BE1A63">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2537854" behindDoc="0" locked="0" layoutInCell="1" allowOverlap="1" wp14:anchorId="5F13E5AE" wp14:editId="16BAD283">
            <wp:simplePos x="0" y="0"/>
            <wp:positionH relativeFrom="margin">
              <wp:align>left</wp:align>
            </wp:positionH>
            <wp:positionV relativeFrom="paragraph">
              <wp:posOffset>193675</wp:posOffset>
            </wp:positionV>
            <wp:extent cx="723265" cy="700405"/>
            <wp:effectExtent l="0" t="0" r="635" b="0"/>
            <wp:wrapSquare wrapText="bothSides"/>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pic:cNvPicPr/>
                  </pic:nvPicPr>
                  <pic:blipFill rotWithShape="1">
                    <a:blip r:embed="rId541" cstate="email">
                      <a:extLst>
                        <a:ext uri="{28A0092B-C50C-407E-A947-70E740481C1C}">
                          <a14:useLocalDpi xmlns:a14="http://schemas.microsoft.com/office/drawing/2010/main"/>
                        </a:ext>
                      </a:extLst>
                    </a:blip>
                    <a:srcRect/>
                    <a:stretch/>
                  </pic:blipFill>
                  <pic:spPr bwMode="auto">
                    <a:xfrm>
                      <a:off x="0" y="0"/>
                      <a:ext cx="723265" cy="70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C660E" w14:textId="64D34B1E" w:rsidR="00056736" w:rsidRDefault="00056736" w:rsidP="00BE1A63">
      <w:pPr>
        <w:spacing w:line="276" w:lineRule="auto"/>
        <w:jc w:val="both"/>
        <w:rPr>
          <w:rFonts w:ascii="Arial" w:hAnsi="Arial" w:cs="Arial"/>
          <w:sz w:val="24"/>
          <w:szCs w:val="24"/>
        </w:rPr>
      </w:pPr>
      <w:r w:rsidRPr="00056736">
        <w:rPr>
          <w:rFonts w:ascii="Arial" w:hAnsi="Arial" w:cs="Arial"/>
          <w:sz w:val="24"/>
          <w:szCs w:val="24"/>
          <w:lang w:val="en-ZA"/>
        </w:rPr>
        <w:t>Over and above the resources listed above, there are also other research and articles put forward by different researchers and institutions looking at different aspects of public participation in fiscal policies and in other sectors</w:t>
      </w:r>
      <w:r w:rsidRPr="00056736">
        <w:rPr>
          <w:rFonts w:ascii="Arial" w:hAnsi="Arial" w:cs="Arial"/>
          <w:sz w:val="24"/>
          <w:szCs w:val="24"/>
          <w:vertAlign w:val="superscript"/>
        </w:rPr>
        <w:footnoteReference w:id="33"/>
      </w:r>
      <w:r w:rsidRPr="00056736">
        <w:rPr>
          <w:rFonts w:ascii="Arial" w:hAnsi="Arial" w:cs="Arial"/>
          <w:sz w:val="24"/>
          <w:szCs w:val="24"/>
        </w:rPr>
        <w:t>.</w:t>
      </w:r>
    </w:p>
    <w:p w14:paraId="18F5AB4C" w14:textId="3D479ADB" w:rsidR="00BA6FEA" w:rsidRDefault="00BA6FEA" w:rsidP="00BE1A63">
      <w:pPr>
        <w:spacing w:line="276" w:lineRule="auto"/>
        <w:jc w:val="both"/>
        <w:rPr>
          <w:rFonts w:ascii="Arial" w:hAnsi="Arial" w:cs="Arial"/>
          <w:sz w:val="24"/>
          <w:szCs w:val="24"/>
        </w:rPr>
      </w:pPr>
    </w:p>
    <w:p w14:paraId="7F0CA869" w14:textId="6D7BD31D" w:rsidR="00BA6FEA" w:rsidRDefault="00BA6FEA" w:rsidP="00BE1A63">
      <w:pPr>
        <w:spacing w:line="276" w:lineRule="auto"/>
        <w:jc w:val="both"/>
        <w:rPr>
          <w:rFonts w:ascii="Arial" w:hAnsi="Arial" w:cs="Arial"/>
          <w:sz w:val="24"/>
          <w:szCs w:val="24"/>
        </w:rPr>
      </w:pPr>
    </w:p>
    <w:p w14:paraId="425EF28D" w14:textId="22E65AD1" w:rsidR="00DF1C59" w:rsidRDefault="00DF1C59" w:rsidP="00BE1A63">
      <w:pPr>
        <w:spacing w:line="276" w:lineRule="auto"/>
        <w:jc w:val="both"/>
        <w:rPr>
          <w:rFonts w:ascii="Arial" w:hAnsi="Arial" w:cs="Arial"/>
          <w:sz w:val="24"/>
          <w:szCs w:val="24"/>
        </w:rPr>
      </w:pPr>
    </w:p>
    <w:p w14:paraId="7A36B96C" w14:textId="340B8815" w:rsidR="00DF1C59" w:rsidRDefault="00DF1C59" w:rsidP="00BE1A63">
      <w:pPr>
        <w:spacing w:line="276" w:lineRule="auto"/>
        <w:jc w:val="both"/>
        <w:rPr>
          <w:rFonts w:ascii="Arial" w:hAnsi="Arial" w:cs="Arial"/>
          <w:sz w:val="24"/>
          <w:szCs w:val="24"/>
        </w:rPr>
      </w:pPr>
    </w:p>
    <w:p w14:paraId="39706406" w14:textId="15DC341E" w:rsidR="00DF1C59" w:rsidRDefault="00DF1C59" w:rsidP="00BE1A63">
      <w:pPr>
        <w:spacing w:line="276" w:lineRule="auto"/>
        <w:jc w:val="both"/>
        <w:rPr>
          <w:rFonts w:ascii="Arial" w:hAnsi="Arial" w:cs="Arial"/>
          <w:sz w:val="24"/>
          <w:szCs w:val="24"/>
        </w:rPr>
      </w:pPr>
    </w:p>
    <w:p w14:paraId="3BC81853" w14:textId="77777777" w:rsidR="00511536" w:rsidRDefault="00511536" w:rsidP="00BE1A63">
      <w:pPr>
        <w:spacing w:line="276" w:lineRule="auto"/>
        <w:jc w:val="both"/>
        <w:rPr>
          <w:rFonts w:ascii="Arial" w:hAnsi="Arial" w:cs="Arial"/>
          <w:sz w:val="24"/>
          <w:szCs w:val="24"/>
        </w:rPr>
      </w:pPr>
    </w:p>
    <w:p w14:paraId="5F7C1BDC" w14:textId="1CF16278" w:rsidR="00DF1C59" w:rsidRDefault="00DF1C59" w:rsidP="00BE1A63">
      <w:pPr>
        <w:spacing w:line="276" w:lineRule="auto"/>
        <w:jc w:val="both"/>
        <w:rPr>
          <w:rFonts w:ascii="Arial" w:hAnsi="Arial" w:cs="Arial"/>
          <w:sz w:val="24"/>
          <w:szCs w:val="24"/>
        </w:rPr>
      </w:pPr>
    </w:p>
    <w:p w14:paraId="042FC1F6" w14:textId="7AD9F014" w:rsidR="00F97CAF" w:rsidRDefault="00F97CAF" w:rsidP="00511536">
      <w:pPr>
        <w:tabs>
          <w:tab w:val="left" w:pos="1365"/>
        </w:tabs>
        <w:spacing w:line="276" w:lineRule="auto"/>
        <w:jc w:val="both"/>
        <w:rPr>
          <w:rFonts w:ascii="Arial" w:hAnsi="Arial" w:cs="Arial"/>
          <w:sz w:val="24"/>
          <w:szCs w:val="24"/>
        </w:rPr>
      </w:pPr>
    </w:p>
    <w:p w14:paraId="19418925" w14:textId="4DBDC3F8" w:rsidR="00BE1A63" w:rsidRDefault="00BE1A63">
      <w:pPr>
        <w:pStyle w:val="Heading2"/>
        <w:numPr>
          <w:ilvl w:val="1"/>
          <w:numId w:val="47"/>
        </w:numPr>
        <w:tabs>
          <w:tab w:val="left" w:pos="1159"/>
        </w:tabs>
        <w:spacing w:line="276" w:lineRule="auto"/>
        <w:rPr>
          <w:rFonts w:ascii="Arial" w:hAnsi="Arial" w:cs="Arial"/>
          <w:b/>
          <w:bCs/>
          <w:color w:val="69557F"/>
          <w:sz w:val="36"/>
          <w:szCs w:val="36"/>
        </w:rPr>
      </w:pPr>
      <w:bookmarkStart w:id="1105" w:name="_Toc123204462"/>
      <w:bookmarkStart w:id="1106" w:name="_Toc123215375"/>
      <w:bookmarkStart w:id="1107" w:name="_Toc123216556"/>
      <w:bookmarkStart w:id="1108" w:name="_Toc123217396"/>
      <w:bookmarkStart w:id="1109" w:name="_Toc123204463"/>
      <w:bookmarkStart w:id="1110" w:name="_Toc123215376"/>
      <w:bookmarkStart w:id="1111" w:name="_Toc123216557"/>
      <w:bookmarkStart w:id="1112" w:name="_Toc123217397"/>
      <w:bookmarkStart w:id="1113" w:name="_Toc123204464"/>
      <w:bookmarkStart w:id="1114" w:name="_Toc123215377"/>
      <w:bookmarkStart w:id="1115" w:name="_Toc123216558"/>
      <w:bookmarkStart w:id="1116" w:name="_Toc123217398"/>
      <w:bookmarkStart w:id="1117" w:name="_Toc123204465"/>
      <w:bookmarkStart w:id="1118" w:name="_Toc123215378"/>
      <w:bookmarkStart w:id="1119" w:name="_Toc123216559"/>
      <w:bookmarkStart w:id="1120" w:name="_Toc123217399"/>
      <w:bookmarkStart w:id="1121" w:name="_Toc123204466"/>
      <w:bookmarkStart w:id="1122" w:name="_Toc123215379"/>
      <w:bookmarkStart w:id="1123" w:name="_Toc123216560"/>
      <w:bookmarkStart w:id="1124" w:name="_Toc123217400"/>
      <w:bookmarkStart w:id="1125" w:name="_Toc123204467"/>
      <w:bookmarkStart w:id="1126" w:name="_Toc123215380"/>
      <w:bookmarkStart w:id="1127" w:name="_Toc123216561"/>
      <w:bookmarkStart w:id="1128" w:name="_Toc123217401"/>
      <w:bookmarkStart w:id="1129" w:name="_Toc123204468"/>
      <w:bookmarkStart w:id="1130" w:name="_Toc123215381"/>
      <w:bookmarkStart w:id="1131" w:name="_Toc123216562"/>
      <w:bookmarkStart w:id="1132" w:name="_Toc123217402"/>
      <w:bookmarkStart w:id="1133" w:name="_Toc123204469"/>
      <w:bookmarkStart w:id="1134" w:name="_Toc123215382"/>
      <w:bookmarkStart w:id="1135" w:name="_Toc123216563"/>
      <w:bookmarkStart w:id="1136" w:name="_Toc123217403"/>
      <w:bookmarkStart w:id="1137" w:name="_Toc123204470"/>
      <w:bookmarkStart w:id="1138" w:name="_Toc123215383"/>
      <w:bookmarkStart w:id="1139" w:name="_Toc123216564"/>
      <w:bookmarkStart w:id="1140" w:name="_Toc123217404"/>
      <w:bookmarkStart w:id="1141" w:name="_Toc119794473"/>
      <w:bookmarkStart w:id="1142" w:name="_Toc123204471"/>
      <w:bookmarkStart w:id="1143" w:name="_Toc123216565"/>
      <w:bookmarkStart w:id="1144" w:name="_Toc123217405"/>
      <w:bookmarkStart w:id="1145" w:name="_Toc123913365"/>
      <w:bookmarkStart w:id="1146" w:name="_Toc123914021"/>
      <w:bookmarkStart w:id="1147" w:name="_Toc125566641"/>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r>
        <w:rPr>
          <w:rFonts w:ascii="Arial" w:hAnsi="Arial" w:cs="Arial"/>
          <w:b/>
          <w:bCs/>
          <w:color w:val="69557F"/>
          <w:sz w:val="36"/>
          <w:szCs w:val="36"/>
        </w:rPr>
        <w:lastRenderedPageBreak/>
        <w:t xml:space="preserve">Common </w:t>
      </w:r>
      <w:r w:rsidR="00BA6FEA">
        <w:rPr>
          <w:rFonts w:ascii="Arial" w:hAnsi="Arial" w:cs="Arial"/>
          <w:b/>
          <w:bCs/>
          <w:color w:val="69557F"/>
          <w:sz w:val="36"/>
          <w:szCs w:val="36"/>
        </w:rPr>
        <w:t>o</w:t>
      </w:r>
      <w:r>
        <w:rPr>
          <w:rFonts w:ascii="Arial" w:hAnsi="Arial" w:cs="Arial"/>
          <w:b/>
          <w:bCs/>
          <w:color w:val="69557F"/>
          <w:sz w:val="36"/>
          <w:szCs w:val="36"/>
        </w:rPr>
        <w:t xml:space="preserve">bjections and </w:t>
      </w:r>
      <w:r w:rsidR="00BA6FEA">
        <w:rPr>
          <w:rFonts w:ascii="Arial" w:hAnsi="Arial" w:cs="Arial"/>
          <w:b/>
          <w:bCs/>
          <w:color w:val="69557F"/>
          <w:sz w:val="36"/>
          <w:szCs w:val="36"/>
        </w:rPr>
        <w:t>r</w:t>
      </w:r>
      <w:r>
        <w:rPr>
          <w:rFonts w:ascii="Arial" w:hAnsi="Arial" w:cs="Arial"/>
          <w:b/>
          <w:bCs/>
          <w:color w:val="69557F"/>
          <w:sz w:val="36"/>
          <w:szCs w:val="36"/>
        </w:rPr>
        <w:t xml:space="preserve">esponses to </w:t>
      </w:r>
      <w:r w:rsidR="00BA6FEA">
        <w:rPr>
          <w:rFonts w:ascii="Arial" w:hAnsi="Arial" w:cs="Arial"/>
          <w:b/>
          <w:bCs/>
          <w:color w:val="69557F"/>
          <w:sz w:val="36"/>
          <w:szCs w:val="36"/>
        </w:rPr>
        <w:t xml:space="preserve">increased public participation </w:t>
      </w:r>
      <w:r>
        <w:rPr>
          <w:rFonts w:ascii="Arial" w:hAnsi="Arial" w:cs="Arial"/>
          <w:b/>
          <w:bCs/>
          <w:color w:val="69557F"/>
          <w:sz w:val="36"/>
          <w:szCs w:val="36"/>
        </w:rPr>
        <w:t xml:space="preserve">in </w:t>
      </w:r>
      <w:r w:rsidR="00BA6FEA">
        <w:rPr>
          <w:rFonts w:ascii="Arial" w:hAnsi="Arial" w:cs="Arial"/>
          <w:b/>
          <w:bCs/>
          <w:color w:val="69557F"/>
          <w:sz w:val="36"/>
          <w:szCs w:val="36"/>
        </w:rPr>
        <w:t>fiscal policy</w:t>
      </w:r>
      <w:bookmarkEnd w:id="1141"/>
      <w:bookmarkEnd w:id="1142"/>
      <w:bookmarkEnd w:id="1143"/>
      <w:bookmarkEnd w:id="1144"/>
      <w:bookmarkEnd w:id="1145"/>
      <w:bookmarkEnd w:id="1146"/>
      <w:bookmarkEnd w:id="1147"/>
    </w:p>
    <w:p w14:paraId="4D676C6E" w14:textId="77777777" w:rsidR="00BE1A63" w:rsidRPr="00BE1A63" w:rsidRDefault="00BE1A63" w:rsidP="00BE1A63"/>
    <w:p w14:paraId="0EB59C57" w14:textId="4DA3B1F2" w:rsidR="00D57471" w:rsidRDefault="00BE1A63" w:rsidP="00BE1A63">
      <w:pPr>
        <w:spacing w:after="240" w:line="276" w:lineRule="auto"/>
        <w:jc w:val="both"/>
        <w:rPr>
          <w:rFonts w:ascii="Arial" w:hAnsi="Arial" w:cs="Arial"/>
          <w:sz w:val="24"/>
          <w:szCs w:val="24"/>
        </w:rPr>
      </w:pPr>
      <w:r w:rsidRPr="00BE1A63">
        <w:rPr>
          <w:rFonts w:ascii="Arial" w:hAnsi="Arial" w:cs="Arial"/>
          <w:sz w:val="24"/>
          <w:szCs w:val="24"/>
        </w:rPr>
        <w:t>While direct public engagement in budgeting has fairly become established as an international norm, it is worth considering common possible objections to it, and applicable responses as shown below.</w:t>
      </w:r>
    </w:p>
    <w:p w14:paraId="62DA058D" w14:textId="7CE72CF3" w:rsidR="00BE1A63" w:rsidRPr="003625BA" w:rsidRDefault="009C6894" w:rsidP="003625BA">
      <w:pPr>
        <w:pStyle w:val="Heading3"/>
        <w:jc w:val="center"/>
        <w:rPr>
          <w:rFonts w:ascii="Arial" w:eastAsiaTheme="minorEastAsia" w:hAnsi="Arial" w:cs="Arial"/>
          <w:b/>
          <w:bCs/>
          <w:color w:val="ED5625"/>
          <w:sz w:val="20"/>
          <w:szCs w:val="20"/>
          <w:lang w:val="en-US"/>
        </w:rPr>
      </w:pPr>
      <w:bookmarkStart w:id="1148" w:name="_Table_2.2._Common"/>
      <w:bookmarkStart w:id="1149" w:name="_Toc123216566"/>
      <w:bookmarkStart w:id="1150" w:name="_Toc123217406"/>
      <w:bookmarkStart w:id="1151" w:name="_Toc123914022"/>
      <w:bookmarkStart w:id="1152" w:name="_Toc125566642"/>
      <w:bookmarkEnd w:id="1148"/>
      <w:r w:rsidRPr="003625BA">
        <w:rPr>
          <w:rFonts w:ascii="Arial" w:eastAsiaTheme="minorEastAsia" w:hAnsi="Arial" w:cs="Arial"/>
          <w:b/>
          <w:bCs/>
          <w:color w:val="ED5625"/>
          <w:sz w:val="20"/>
          <w:szCs w:val="20"/>
          <w:lang w:val="en-US"/>
        </w:rPr>
        <w:t xml:space="preserve">Table </w:t>
      </w:r>
      <w:r w:rsidR="00BE1A63" w:rsidRPr="003625BA">
        <w:rPr>
          <w:rFonts w:ascii="Arial" w:eastAsiaTheme="minorEastAsia" w:hAnsi="Arial" w:cs="Arial"/>
          <w:b/>
          <w:bCs/>
          <w:color w:val="ED5625"/>
          <w:sz w:val="20"/>
          <w:szCs w:val="20"/>
          <w:lang w:val="en-US"/>
        </w:rPr>
        <w:t>2.</w:t>
      </w:r>
      <w:r w:rsidR="00F32B60" w:rsidRPr="003625BA">
        <w:rPr>
          <w:rFonts w:ascii="Arial" w:eastAsiaTheme="minorEastAsia" w:hAnsi="Arial" w:cs="Arial"/>
          <w:b/>
          <w:bCs/>
          <w:color w:val="ED5625"/>
          <w:sz w:val="20"/>
          <w:szCs w:val="20"/>
          <w:lang w:val="en-US"/>
        </w:rPr>
        <w:t>2</w:t>
      </w:r>
      <w:r w:rsidR="00BE1A63" w:rsidRPr="003625BA">
        <w:rPr>
          <w:rFonts w:ascii="Arial" w:eastAsiaTheme="minorEastAsia" w:hAnsi="Arial" w:cs="Arial"/>
          <w:b/>
          <w:bCs/>
          <w:color w:val="ED5625"/>
          <w:sz w:val="20"/>
          <w:szCs w:val="20"/>
          <w:lang w:val="en-US"/>
        </w:rPr>
        <w:t>. Common objections and responses to increased public participation in fiscal policy</w:t>
      </w:r>
      <w:r w:rsidR="00BE1A63" w:rsidRPr="003625BA">
        <w:rPr>
          <w:rStyle w:val="FootnoteReference"/>
          <w:rFonts w:ascii="Arial" w:eastAsiaTheme="minorEastAsia" w:hAnsi="Arial" w:cs="Arial"/>
          <w:b/>
          <w:bCs/>
          <w:color w:val="ED5625"/>
          <w:sz w:val="20"/>
          <w:szCs w:val="20"/>
          <w:lang w:val="en-US"/>
        </w:rPr>
        <w:footnoteReference w:id="34"/>
      </w:r>
      <w:bookmarkEnd w:id="1149"/>
      <w:bookmarkEnd w:id="1150"/>
      <w:bookmarkEnd w:id="1151"/>
      <w:bookmarkEnd w:id="1152"/>
    </w:p>
    <w:p w14:paraId="77909D70" w14:textId="60B33DB3" w:rsidR="00DD3E1B" w:rsidRDefault="00DD3E1B" w:rsidP="00BE1A63">
      <w:pPr>
        <w:jc w:val="both"/>
        <w:rPr>
          <w:rFonts w:ascii="Arial" w:eastAsiaTheme="minorEastAsia" w:hAnsi="Arial" w:cs="Arial"/>
          <w:b/>
          <w:bCs/>
          <w:sz w:val="20"/>
          <w:szCs w:val="20"/>
          <w:lang w:val="en-US"/>
        </w:rPr>
      </w:pPr>
    </w:p>
    <w:tbl>
      <w:tblPr>
        <w:tblStyle w:val="TableGrid1"/>
        <w:tblpPr w:leftFromText="180" w:rightFromText="180" w:vertAnchor="text" w:tblpY="-37"/>
        <w:tblW w:w="0" w:type="auto"/>
        <w:tblInd w:w="0" w:type="dxa"/>
        <w:tblCellMar>
          <w:left w:w="284" w:type="dxa"/>
          <w:right w:w="284" w:type="dxa"/>
        </w:tblCellMar>
        <w:tblLook w:val="04A0" w:firstRow="1" w:lastRow="0" w:firstColumn="1" w:lastColumn="0" w:noHBand="0" w:noVBand="1"/>
      </w:tblPr>
      <w:tblGrid>
        <w:gridCol w:w="2972"/>
        <w:gridCol w:w="7484"/>
      </w:tblGrid>
      <w:tr w:rsidR="00C6670E" w14:paraId="25E25D8C" w14:textId="77777777" w:rsidTr="003625BA">
        <w:tc>
          <w:tcPr>
            <w:tcW w:w="2972" w:type="dxa"/>
            <w:tcBorders>
              <w:top w:val="single" w:sz="4" w:space="0" w:color="FFFFFF"/>
              <w:left w:val="single" w:sz="4" w:space="0" w:color="FFFFFF"/>
              <w:bottom w:val="single" w:sz="4" w:space="0" w:color="FFFFFF"/>
              <w:right w:val="single" w:sz="4" w:space="0" w:color="FFFFFF"/>
            </w:tcBorders>
            <w:shd w:val="clear" w:color="auto" w:fill="69557F"/>
          </w:tcPr>
          <w:p w14:paraId="61BBD193" w14:textId="77777777" w:rsidR="00C6670E" w:rsidRPr="003625BA" w:rsidRDefault="00C6670E" w:rsidP="00536F2B">
            <w:pPr>
              <w:jc w:val="center"/>
              <w:rPr>
                <w:rFonts w:ascii="Roboto" w:hAnsi="Roboto"/>
                <w:b/>
                <w:bCs/>
                <w:color w:val="FFFFFF"/>
                <w:sz w:val="20"/>
                <w:szCs w:val="20"/>
                <w:shd w:val="clear" w:color="auto" w:fill="BFA5CE"/>
              </w:rPr>
            </w:pPr>
          </w:p>
          <w:p w14:paraId="79E04733" w14:textId="083BF391" w:rsidR="00C6670E" w:rsidRPr="003625BA" w:rsidRDefault="00707E37" w:rsidP="003625BA">
            <w:pPr>
              <w:shd w:val="clear" w:color="auto" w:fill="69557F"/>
              <w:jc w:val="center"/>
              <w:rPr>
                <w:rFonts w:ascii="Roboto" w:hAnsi="Roboto"/>
                <w:b/>
                <w:bCs/>
                <w:sz w:val="20"/>
                <w:szCs w:val="20"/>
              </w:rPr>
            </w:pPr>
            <w:r w:rsidRPr="003625BA">
              <w:rPr>
                <w:rFonts w:ascii="Roboto" w:hAnsi="Roboto"/>
                <w:b/>
                <w:bCs/>
                <w:color w:val="FFFFFF" w:themeColor="background1"/>
                <w:sz w:val="20"/>
                <w:szCs w:val="20"/>
              </w:rPr>
              <w:t>COMMON OBJECTION</w:t>
            </w:r>
          </w:p>
        </w:tc>
        <w:tc>
          <w:tcPr>
            <w:tcW w:w="7484" w:type="dxa"/>
            <w:tcBorders>
              <w:top w:val="single" w:sz="4" w:space="0" w:color="FFFFFF"/>
              <w:left w:val="single" w:sz="4" w:space="0" w:color="FFFFFF"/>
              <w:bottom w:val="single" w:sz="4" w:space="0" w:color="FFFFFF"/>
              <w:right w:val="single" w:sz="4" w:space="0" w:color="FFFFFF"/>
            </w:tcBorders>
            <w:shd w:val="clear" w:color="auto" w:fill="69557F"/>
          </w:tcPr>
          <w:p w14:paraId="2C186A56" w14:textId="77777777" w:rsidR="00C6670E" w:rsidRPr="003625BA" w:rsidRDefault="00C6670E" w:rsidP="00536F2B">
            <w:pPr>
              <w:rPr>
                <w:rFonts w:ascii="Roboto" w:hAnsi="Roboto"/>
                <w:b/>
                <w:bCs/>
                <w:color w:val="FFFFFF"/>
                <w:sz w:val="20"/>
                <w:szCs w:val="20"/>
                <w:shd w:val="clear" w:color="auto" w:fill="F36E27"/>
              </w:rPr>
            </w:pPr>
          </w:p>
          <w:p w14:paraId="3E4CAD08" w14:textId="77777777" w:rsidR="00C6670E" w:rsidRDefault="00C6670E" w:rsidP="00707E37">
            <w:pPr>
              <w:jc w:val="center"/>
              <w:rPr>
                <w:rFonts w:ascii="Roboto" w:hAnsi="Roboto"/>
                <w:b/>
                <w:bCs/>
                <w:color w:val="FFFFFF"/>
                <w:sz w:val="20"/>
                <w:szCs w:val="20"/>
                <w:shd w:val="clear" w:color="auto" w:fill="69557F"/>
              </w:rPr>
            </w:pPr>
            <w:r w:rsidRPr="003625BA">
              <w:rPr>
                <w:rFonts w:ascii="Roboto" w:hAnsi="Roboto"/>
                <w:b/>
                <w:bCs/>
                <w:color w:val="FFFFFF"/>
                <w:sz w:val="20"/>
                <w:szCs w:val="20"/>
                <w:shd w:val="clear" w:color="auto" w:fill="69557F"/>
              </w:rPr>
              <w:t>RESPONSE</w:t>
            </w:r>
          </w:p>
          <w:p w14:paraId="7F3B6D70" w14:textId="5EC81EA6" w:rsidR="00707E37" w:rsidRPr="003625BA" w:rsidRDefault="00707E37" w:rsidP="00707E37">
            <w:pPr>
              <w:jc w:val="center"/>
              <w:rPr>
                <w:rFonts w:ascii="Roboto" w:hAnsi="Roboto"/>
                <w:sz w:val="20"/>
                <w:szCs w:val="20"/>
              </w:rPr>
            </w:pPr>
          </w:p>
        </w:tc>
      </w:tr>
      <w:tr w:rsidR="00C6670E" w14:paraId="3FA45133" w14:textId="77777777" w:rsidTr="003625BA">
        <w:tc>
          <w:tcPr>
            <w:tcW w:w="2972" w:type="dxa"/>
            <w:tcBorders>
              <w:top w:val="single" w:sz="4" w:space="0" w:color="FFFFFF"/>
              <w:left w:val="single" w:sz="4" w:space="0" w:color="FFFFFF"/>
              <w:bottom w:val="single" w:sz="4" w:space="0" w:color="FFFFFF"/>
              <w:right w:val="single" w:sz="4" w:space="0" w:color="FFFFFF"/>
            </w:tcBorders>
            <w:shd w:val="clear" w:color="auto" w:fill="F27E20"/>
          </w:tcPr>
          <w:p w14:paraId="782B8113" w14:textId="77777777" w:rsidR="00C6670E" w:rsidRPr="003625BA" w:rsidRDefault="00C6670E" w:rsidP="00536F2B">
            <w:pPr>
              <w:rPr>
                <w:rFonts w:ascii="Roboto" w:hAnsi="Roboto"/>
                <w:b/>
                <w:bCs/>
                <w:color w:val="FFFFFF"/>
                <w:sz w:val="20"/>
                <w:szCs w:val="20"/>
                <w:shd w:val="clear" w:color="auto" w:fill="6A5780"/>
              </w:rPr>
            </w:pPr>
          </w:p>
          <w:p w14:paraId="38039F1A" w14:textId="6D2CD484" w:rsidR="00707E37" w:rsidRPr="003625BA" w:rsidRDefault="00707E37" w:rsidP="00536F2B">
            <w:pPr>
              <w:rPr>
                <w:rFonts w:ascii="Roboto" w:hAnsi="Roboto"/>
                <w:b/>
                <w:bCs/>
                <w:color w:val="FFFFFF" w:themeColor="background1"/>
                <w:sz w:val="20"/>
                <w:szCs w:val="20"/>
                <w:shd w:val="clear" w:color="auto" w:fill="ED5625"/>
              </w:rPr>
            </w:pPr>
            <w:r w:rsidRPr="003625BA">
              <w:rPr>
                <w:rFonts w:ascii="Roboto" w:hAnsi="Roboto"/>
                <w:b/>
                <w:bCs/>
                <w:color w:val="FFFFFF"/>
                <w:sz w:val="20"/>
                <w:szCs w:val="20"/>
              </w:rPr>
              <w:t>Public participation is costly</w:t>
            </w:r>
            <w:r w:rsidRPr="00707E37" w:rsidDel="00707E37">
              <w:rPr>
                <w:rFonts w:ascii="Roboto" w:hAnsi="Roboto"/>
                <w:b/>
                <w:bCs/>
                <w:color w:val="FFFFFF" w:themeColor="background1"/>
                <w:sz w:val="20"/>
                <w:szCs w:val="20"/>
                <w:shd w:val="clear" w:color="auto" w:fill="ED5625"/>
              </w:rPr>
              <w:t xml:space="preserve"> </w:t>
            </w:r>
          </w:p>
        </w:tc>
        <w:tc>
          <w:tcPr>
            <w:tcW w:w="7484" w:type="dxa"/>
            <w:tcBorders>
              <w:top w:val="single" w:sz="4" w:space="0" w:color="FFFFFF"/>
              <w:left w:val="single" w:sz="4" w:space="0" w:color="FFFFFF"/>
              <w:bottom w:val="single" w:sz="4" w:space="0" w:color="FFFFFF"/>
              <w:right w:val="single" w:sz="4" w:space="0" w:color="FFFFFF"/>
            </w:tcBorders>
            <w:shd w:val="clear" w:color="auto" w:fill="F8CBAC"/>
          </w:tcPr>
          <w:p w14:paraId="7DFB832E" w14:textId="77777777" w:rsidR="00C6670E" w:rsidRPr="003625BA" w:rsidRDefault="00C6670E" w:rsidP="00B444B1">
            <w:pPr>
              <w:jc w:val="both"/>
              <w:rPr>
                <w:rFonts w:ascii="Roboto" w:hAnsi="Roboto"/>
                <w:color w:val="313131"/>
                <w:sz w:val="20"/>
                <w:szCs w:val="20"/>
                <w:shd w:val="clear" w:color="auto" w:fill="F7CAAC"/>
              </w:rPr>
            </w:pPr>
          </w:p>
          <w:p w14:paraId="34E47AA4" w14:textId="77777777" w:rsidR="00C6670E" w:rsidRPr="003625BA" w:rsidRDefault="00C6670E" w:rsidP="00B444B1">
            <w:pPr>
              <w:jc w:val="both"/>
              <w:rPr>
                <w:rFonts w:ascii="Roboto" w:hAnsi="Roboto"/>
                <w:color w:val="313131"/>
                <w:sz w:val="20"/>
                <w:szCs w:val="20"/>
                <w:shd w:val="clear" w:color="auto" w:fill="F7CAAC"/>
              </w:rPr>
            </w:pPr>
            <w:r w:rsidRPr="003625BA">
              <w:rPr>
                <w:rFonts w:ascii="Roboto" w:hAnsi="Roboto"/>
                <w:color w:val="313131"/>
                <w:sz w:val="20"/>
                <w:szCs w:val="20"/>
                <w:shd w:val="clear" w:color="auto" w:fill="F7CAAC"/>
              </w:rPr>
              <w:t>The ICT revolution has dramatically cut the cost of direct engagement with citizens, as well as created completely new possibilities for interactions. Public participation is a means for government to tap into the information, insights and perspectives distributed throughout society, lowering the cost and improving the effectiveness of official research, policy development, service delivery, monitoring, review, and evaluation. Also, proportionality is one of the Principles, recognizing the need to tailor participation exercises to the size and importance of the fiscal policy issue concerned.</w:t>
            </w:r>
          </w:p>
          <w:p w14:paraId="3C41B407" w14:textId="77777777" w:rsidR="00C6670E" w:rsidRPr="003625BA" w:rsidRDefault="00C6670E" w:rsidP="00B444B1">
            <w:pPr>
              <w:jc w:val="both"/>
              <w:rPr>
                <w:rFonts w:ascii="Roboto" w:hAnsi="Roboto"/>
                <w:sz w:val="20"/>
                <w:szCs w:val="20"/>
              </w:rPr>
            </w:pPr>
          </w:p>
        </w:tc>
      </w:tr>
      <w:tr w:rsidR="00C6670E" w14:paraId="5C984556" w14:textId="77777777" w:rsidTr="003625BA">
        <w:tc>
          <w:tcPr>
            <w:tcW w:w="2972" w:type="dxa"/>
            <w:tcBorders>
              <w:top w:val="single" w:sz="4" w:space="0" w:color="FFFFFF"/>
              <w:left w:val="single" w:sz="4" w:space="0" w:color="FFFFFF"/>
              <w:bottom w:val="single" w:sz="4" w:space="0" w:color="FFFFFF"/>
              <w:right w:val="single" w:sz="4" w:space="0" w:color="FFFFFF"/>
            </w:tcBorders>
            <w:shd w:val="clear" w:color="auto" w:fill="F27E20"/>
          </w:tcPr>
          <w:p w14:paraId="1DCBF782" w14:textId="77777777" w:rsidR="00C6670E" w:rsidRPr="003625BA" w:rsidRDefault="00C6670E" w:rsidP="00536F2B">
            <w:pPr>
              <w:rPr>
                <w:rFonts w:ascii="Roboto" w:hAnsi="Roboto"/>
                <w:b/>
                <w:bCs/>
                <w:color w:val="FFFFFF"/>
                <w:sz w:val="20"/>
                <w:szCs w:val="20"/>
                <w:shd w:val="clear" w:color="auto" w:fill="6A5780"/>
              </w:rPr>
            </w:pPr>
          </w:p>
          <w:p w14:paraId="34E2F1DF" w14:textId="77777777" w:rsidR="00C6670E" w:rsidRPr="003625BA" w:rsidRDefault="00C6670E" w:rsidP="00536F2B">
            <w:pPr>
              <w:rPr>
                <w:rFonts w:ascii="Roboto" w:hAnsi="Roboto"/>
                <w:sz w:val="20"/>
                <w:szCs w:val="20"/>
              </w:rPr>
            </w:pPr>
            <w:r w:rsidRPr="003625BA">
              <w:rPr>
                <w:rFonts w:ascii="Roboto" w:hAnsi="Roboto"/>
                <w:b/>
                <w:bCs/>
                <w:color w:val="FFFFFF"/>
                <w:sz w:val="20"/>
                <w:szCs w:val="20"/>
                <w:shd w:val="clear" w:color="auto" w:fill="F27E20"/>
              </w:rPr>
              <w:t>Direct public engagement could undermine the role of the legislature in representative democracies</w:t>
            </w:r>
          </w:p>
        </w:tc>
        <w:tc>
          <w:tcPr>
            <w:tcW w:w="7484" w:type="dxa"/>
            <w:tcBorders>
              <w:top w:val="single" w:sz="4" w:space="0" w:color="FFFFFF"/>
              <w:left w:val="single" w:sz="4" w:space="0" w:color="FFFFFF"/>
              <w:bottom w:val="single" w:sz="4" w:space="0" w:color="FFFFFF"/>
              <w:right w:val="single" w:sz="4" w:space="0" w:color="FFFFFF"/>
            </w:tcBorders>
            <w:shd w:val="clear" w:color="auto" w:fill="FBE5D5"/>
          </w:tcPr>
          <w:p w14:paraId="0165C1F8" w14:textId="77777777" w:rsidR="00C6670E" w:rsidRPr="003625BA" w:rsidRDefault="00C6670E" w:rsidP="00B444B1">
            <w:pPr>
              <w:jc w:val="both"/>
              <w:rPr>
                <w:rFonts w:ascii="Roboto" w:hAnsi="Roboto"/>
                <w:color w:val="313131"/>
                <w:sz w:val="20"/>
                <w:szCs w:val="20"/>
                <w:shd w:val="clear" w:color="auto" w:fill="FBE4D5"/>
              </w:rPr>
            </w:pPr>
          </w:p>
          <w:p w14:paraId="37CF0549" w14:textId="77777777" w:rsidR="00C6670E" w:rsidRPr="003625BA" w:rsidRDefault="00C6670E" w:rsidP="00B444B1">
            <w:pPr>
              <w:jc w:val="both"/>
              <w:rPr>
                <w:rFonts w:ascii="Roboto" w:hAnsi="Roboto"/>
                <w:color w:val="313131"/>
                <w:sz w:val="20"/>
                <w:szCs w:val="20"/>
                <w:shd w:val="clear" w:color="auto" w:fill="FBE4D5"/>
              </w:rPr>
            </w:pPr>
            <w:r w:rsidRPr="003625BA">
              <w:rPr>
                <w:rFonts w:ascii="Roboto" w:hAnsi="Roboto"/>
                <w:color w:val="313131"/>
                <w:sz w:val="20"/>
                <w:szCs w:val="20"/>
                <w:shd w:val="clear" w:color="auto" w:fill="FBE4D5"/>
              </w:rPr>
              <w:t>Direct public participation is designed to complement and strengthen existing governance arrangements - and increase trust in government - not to set up parallel processes. Calling for public submissions during consideration of money bills is a long-standing and widespread practice that illustrates well the complementarity between direct public participation and legislative oversight.</w:t>
            </w:r>
          </w:p>
          <w:p w14:paraId="1C0A9239" w14:textId="77777777" w:rsidR="00C6670E" w:rsidRPr="003625BA" w:rsidRDefault="00C6670E" w:rsidP="00B444B1">
            <w:pPr>
              <w:jc w:val="both"/>
              <w:rPr>
                <w:rFonts w:ascii="Roboto" w:hAnsi="Roboto"/>
                <w:sz w:val="20"/>
                <w:szCs w:val="20"/>
              </w:rPr>
            </w:pPr>
          </w:p>
        </w:tc>
      </w:tr>
      <w:tr w:rsidR="00C6670E" w14:paraId="6AE0EF2E" w14:textId="77777777" w:rsidTr="003625BA">
        <w:tc>
          <w:tcPr>
            <w:tcW w:w="2972" w:type="dxa"/>
            <w:tcBorders>
              <w:top w:val="single" w:sz="4" w:space="0" w:color="FFFFFF"/>
              <w:left w:val="single" w:sz="4" w:space="0" w:color="FFFFFF"/>
              <w:bottom w:val="single" w:sz="4" w:space="0" w:color="FFFFFF"/>
              <w:right w:val="single" w:sz="4" w:space="0" w:color="FFFFFF"/>
            </w:tcBorders>
            <w:shd w:val="clear" w:color="auto" w:fill="F27E20"/>
          </w:tcPr>
          <w:p w14:paraId="58A8C9A9" w14:textId="77777777" w:rsidR="00C6670E" w:rsidRPr="003625BA" w:rsidRDefault="00C6670E" w:rsidP="00536F2B">
            <w:pPr>
              <w:rPr>
                <w:rFonts w:ascii="Roboto" w:hAnsi="Roboto"/>
                <w:b/>
                <w:bCs/>
                <w:color w:val="FFFFFF"/>
                <w:sz w:val="20"/>
                <w:szCs w:val="20"/>
                <w:shd w:val="clear" w:color="auto" w:fill="6A5780"/>
              </w:rPr>
            </w:pPr>
          </w:p>
          <w:p w14:paraId="2C564365" w14:textId="6BE1B26F" w:rsidR="00707E37" w:rsidRPr="003625BA" w:rsidRDefault="008573D9" w:rsidP="003625BA">
            <w:pPr>
              <w:shd w:val="clear" w:color="auto" w:fill="F27E20"/>
              <w:rPr>
                <w:rFonts w:ascii="Roboto" w:hAnsi="Roboto"/>
                <w:b/>
                <w:bCs/>
                <w:color w:val="FFFFFF" w:themeColor="background1"/>
                <w:sz w:val="20"/>
                <w:szCs w:val="20"/>
                <w:shd w:val="clear" w:color="auto" w:fill="6A5780"/>
              </w:rPr>
            </w:pPr>
            <w:r w:rsidRPr="003625BA">
              <w:rPr>
                <w:rFonts w:ascii="Roboto" w:hAnsi="Roboto" w:cs="Helvetica Neue"/>
                <w:b/>
                <w:bCs/>
                <w:color w:val="FFFFFF" w:themeColor="background1"/>
                <w:sz w:val="20"/>
                <w:szCs w:val="20"/>
              </w:rPr>
              <w:t>Fiscal policy is too complicated for the general public, and should be left to the experts</w:t>
            </w:r>
            <w:r w:rsidRPr="003625BA" w:rsidDel="008573D9">
              <w:rPr>
                <w:rFonts w:ascii="Roboto" w:hAnsi="Roboto"/>
                <w:b/>
                <w:bCs/>
                <w:color w:val="FFFFFF" w:themeColor="background1"/>
                <w:sz w:val="20"/>
                <w:szCs w:val="20"/>
                <w:shd w:val="clear" w:color="auto" w:fill="6A5780"/>
              </w:rPr>
              <w:t xml:space="preserve"> </w:t>
            </w:r>
          </w:p>
          <w:p w14:paraId="52F474D0" w14:textId="77777777" w:rsidR="00C6670E" w:rsidRPr="003625BA" w:rsidRDefault="00C6670E" w:rsidP="00536F2B">
            <w:pPr>
              <w:rPr>
                <w:rFonts w:ascii="Roboto" w:hAnsi="Roboto"/>
                <w:sz w:val="20"/>
                <w:szCs w:val="20"/>
              </w:rPr>
            </w:pPr>
          </w:p>
        </w:tc>
        <w:tc>
          <w:tcPr>
            <w:tcW w:w="7484" w:type="dxa"/>
            <w:tcBorders>
              <w:top w:val="single" w:sz="4" w:space="0" w:color="FFFFFF"/>
              <w:left w:val="single" w:sz="4" w:space="0" w:color="FFFFFF"/>
              <w:bottom w:val="single" w:sz="4" w:space="0" w:color="FFFFFF"/>
              <w:right w:val="single" w:sz="4" w:space="0" w:color="FFFFFF"/>
            </w:tcBorders>
            <w:shd w:val="clear" w:color="auto" w:fill="F8CBAC"/>
          </w:tcPr>
          <w:p w14:paraId="07322E0D" w14:textId="77777777" w:rsidR="00C6670E" w:rsidRPr="003625BA" w:rsidRDefault="00C6670E" w:rsidP="00B444B1">
            <w:pPr>
              <w:jc w:val="both"/>
              <w:rPr>
                <w:rFonts w:ascii="Roboto" w:hAnsi="Roboto"/>
                <w:color w:val="313131"/>
                <w:sz w:val="20"/>
                <w:szCs w:val="20"/>
                <w:shd w:val="clear" w:color="auto" w:fill="F7CAAC"/>
              </w:rPr>
            </w:pPr>
          </w:p>
          <w:p w14:paraId="2B1D5E13" w14:textId="77777777" w:rsidR="00C6670E" w:rsidRPr="003625BA" w:rsidRDefault="00C6670E" w:rsidP="00B444B1">
            <w:pPr>
              <w:jc w:val="both"/>
              <w:rPr>
                <w:rFonts w:ascii="Roboto" w:hAnsi="Roboto"/>
                <w:color w:val="313131"/>
                <w:sz w:val="20"/>
                <w:szCs w:val="20"/>
                <w:shd w:val="clear" w:color="auto" w:fill="F7CAAC"/>
              </w:rPr>
            </w:pPr>
            <w:r w:rsidRPr="003625BA">
              <w:rPr>
                <w:rFonts w:ascii="Roboto" w:hAnsi="Roboto"/>
                <w:color w:val="313131"/>
                <w:sz w:val="20"/>
                <w:szCs w:val="20"/>
                <w:shd w:val="clear" w:color="auto" w:fill="F7CAAC"/>
              </w:rPr>
              <w:t>Open engagement of external experts is a participation mechanism. In addition, fiscal policy involves ethical and distributional choices that should not be the sole preserve of ‘experts’, it is inherently political and will not be left to experts in any case.</w:t>
            </w:r>
          </w:p>
          <w:p w14:paraId="20AEBEF8" w14:textId="77777777" w:rsidR="00C6670E" w:rsidRPr="003625BA" w:rsidRDefault="00C6670E" w:rsidP="00B444B1">
            <w:pPr>
              <w:jc w:val="both"/>
              <w:rPr>
                <w:rFonts w:ascii="Roboto" w:hAnsi="Roboto"/>
                <w:sz w:val="20"/>
                <w:szCs w:val="20"/>
              </w:rPr>
            </w:pPr>
          </w:p>
        </w:tc>
      </w:tr>
      <w:tr w:rsidR="00C6670E" w14:paraId="73BB10CF" w14:textId="77777777" w:rsidTr="003625BA">
        <w:tc>
          <w:tcPr>
            <w:tcW w:w="2972" w:type="dxa"/>
            <w:tcBorders>
              <w:top w:val="single" w:sz="4" w:space="0" w:color="FFFFFF"/>
              <w:left w:val="single" w:sz="4" w:space="0" w:color="FFFFFF"/>
              <w:bottom w:val="single" w:sz="4" w:space="0" w:color="FFFFFF"/>
              <w:right w:val="single" w:sz="4" w:space="0" w:color="FFFFFF"/>
            </w:tcBorders>
            <w:shd w:val="clear" w:color="auto" w:fill="F27E20"/>
          </w:tcPr>
          <w:p w14:paraId="5244B5AA" w14:textId="77777777" w:rsidR="00C6670E" w:rsidRPr="003625BA" w:rsidRDefault="00C6670E" w:rsidP="00536F2B">
            <w:pPr>
              <w:rPr>
                <w:rFonts w:ascii="Roboto" w:hAnsi="Roboto"/>
                <w:b/>
                <w:bCs/>
                <w:color w:val="FFFFFF"/>
                <w:sz w:val="20"/>
                <w:szCs w:val="20"/>
                <w:shd w:val="clear" w:color="auto" w:fill="6A5780"/>
              </w:rPr>
            </w:pPr>
          </w:p>
          <w:p w14:paraId="30FA21A3" w14:textId="77777777" w:rsidR="00C6670E" w:rsidRPr="003625BA" w:rsidRDefault="00C6670E" w:rsidP="00536F2B">
            <w:pPr>
              <w:rPr>
                <w:rFonts w:ascii="Roboto" w:hAnsi="Roboto"/>
                <w:sz w:val="20"/>
                <w:szCs w:val="20"/>
              </w:rPr>
            </w:pPr>
            <w:r w:rsidRPr="003625BA">
              <w:rPr>
                <w:rFonts w:ascii="Roboto" w:hAnsi="Roboto"/>
                <w:b/>
                <w:bCs/>
                <w:color w:val="FFFFFF"/>
                <w:sz w:val="20"/>
                <w:szCs w:val="20"/>
                <w:shd w:val="clear" w:color="auto" w:fill="F27E20"/>
              </w:rPr>
              <w:t>There is a culture and long-standing practice of budget secrecy</w:t>
            </w:r>
          </w:p>
        </w:tc>
        <w:tc>
          <w:tcPr>
            <w:tcW w:w="7484" w:type="dxa"/>
            <w:tcBorders>
              <w:top w:val="single" w:sz="4" w:space="0" w:color="FFFFFF"/>
              <w:left w:val="single" w:sz="4" w:space="0" w:color="FFFFFF"/>
              <w:bottom w:val="single" w:sz="4" w:space="0" w:color="FFFFFF"/>
              <w:right w:val="single" w:sz="4" w:space="0" w:color="FFFFFF"/>
            </w:tcBorders>
            <w:shd w:val="clear" w:color="auto" w:fill="FBE5D5"/>
          </w:tcPr>
          <w:p w14:paraId="06E92CC1" w14:textId="77777777" w:rsidR="00C6670E" w:rsidRPr="003625BA" w:rsidRDefault="00C6670E" w:rsidP="00B444B1">
            <w:pPr>
              <w:jc w:val="both"/>
              <w:rPr>
                <w:rFonts w:ascii="Roboto" w:hAnsi="Roboto"/>
                <w:color w:val="313131"/>
                <w:sz w:val="20"/>
                <w:szCs w:val="20"/>
                <w:shd w:val="clear" w:color="auto" w:fill="FBE4D5"/>
              </w:rPr>
            </w:pPr>
          </w:p>
          <w:p w14:paraId="3A66A6FB" w14:textId="77777777" w:rsidR="00C6670E" w:rsidRPr="003625BA" w:rsidRDefault="00C6670E" w:rsidP="00B444B1">
            <w:pPr>
              <w:jc w:val="both"/>
              <w:rPr>
                <w:rFonts w:ascii="Roboto" w:hAnsi="Roboto"/>
                <w:color w:val="313131"/>
                <w:sz w:val="20"/>
                <w:szCs w:val="20"/>
                <w:shd w:val="clear" w:color="auto" w:fill="FBE4D5"/>
              </w:rPr>
            </w:pPr>
            <w:r w:rsidRPr="003625BA">
              <w:rPr>
                <w:rFonts w:ascii="Roboto" w:hAnsi="Roboto"/>
                <w:color w:val="313131"/>
                <w:sz w:val="20"/>
                <w:szCs w:val="20"/>
                <w:shd w:val="clear" w:color="auto" w:fill="FBE4D5"/>
              </w:rPr>
              <w:t>Policy making in general is much more open now, and budget secrecy can be retained in the narrow range of cases where pre-disclosure could result in adverse behavioral responses.</w:t>
            </w:r>
          </w:p>
          <w:p w14:paraId="0F20ADE0" w14:textId="77777777" w:rsidR="00C6670E" w:rsidRPr="003625BA" w:rsidRDefault="00C6670E" w:rsidP="00B444B1">
            <w:pPr>
              <w:jc w:val="both"/>
              <w:rPr>
                <w:rFonts w:ascii="Roboto" w:hAnsi="Roboto"/>
                <w:sz w:val="20"/>
                <w:szCs w:val="20"/>
              </w:rPr>
            </w:pPr>
          </w:p>
        </w:tc>
      </w:tr>
      <w:tr w:rsidR="00C6670E" w14:paraId="700E4B96" w14:textId="77777777" w:rsidTr="003625BA">
        <w:tc>
          <w:tcPr>
            <w:tcW w:w="2972" w:type="dxa"/>
            <w:tcBorders>
              <w:top w:val="single" w:sz="4" w:space="0" w:color="FFFFFF"/>
              <w:left w:val="single" w:sz="4" w:space="0" w:color="FFFFFF"/>
              <w:bottom w:val="single" w:sz="4" w:space="0" w:color="FFFFFF"/>
              <w:right w:val="single" w:sz="4" w:space="0" w:color="FFFFFF"/>
            </w:tcBorders>
            <w:shd w:val="clear" w:color="auto" w:fill="F27E20"/>
          </w:tcPr>
          <w:p w14:paraId="6A80DC5E" w14:textId="77777777" w:rsidR="00C6670E" w:rsidRPr="003625BA" w:rsidRDefault="00C6670E" w:rsidP="00536F2B">
            <w:pPr>
              <w:rPr>
                <w:rFonts w:ascii="Roboto" w:hAnsi="Roboto"/>
                <w:sz w:val="20"/>
                <w:szCs w:val="20"/>
              </w:rPr>
            </w:pPr>
          </w:p>
          <w:p w14:paraId="6C92F60F" w14:textId="77777777" w:rsidR="00C6670E" w:rsidRPr="003625BA" w:rsidRDefault="00C6670E" w:rsidP="00536F2B">
            <w:pPr>
              <w:rPr>
                <w:rFonts w:ascii="Roboto" w:hAnsi="Roboto"/>
                <w:sz w:val="20"/>
                <w:szCs w:val="20"/>
              </w:rPr>
            </w:pPr>
            <w:r w:rsidRPr="003625BA">
              <w:rPr>
                <w:rFonts w:ascii="Roboto" w:hAnsi="Roboto"/>
                <w:b/>
                <w:bCs/>
                <w:color w:val="FFFFFF"/>
                <w:sz w:val="20"/>
                <w:szCs w:val="20"/>
                <w:shd w:val="clear" w:color="auto" w:fill="F27E20"/>
              </w:rPr>
              <w:t>Public engagement takes time, and slows down the policy process</w:t>
            </w:r>
          </w:p>
        </w:tc>
        <w:tc>
          <w:tcPr>
            <w:tcW w:w="7484" w:type="dxa"/>
            <w:tcBorders>
              <w:top w:val="single" w:sz="4" w:space="0" w:color="FFFFFF"/>
              <w:left w:val="single" w:sz="4" w:space="0" w:color="FFFFFF"/>
              <w:bottom w:val="single" w:sz="4" w:space="0" w:color="FFFFFF"/>
              <w:right w:val="single" w:sz="4" w:space="0" w:color="FFFFFF"/>
            </w:tcBorders>
            <w:shd w:val="clear" w:color="auto" w:fill="F8CBAC"/>
          </w:tcPr>
          <w:p w14:paraId="5CF69D93" w14:textId="77777777" w:rsidR="00C6670E" w:rsidRPr="003625BA" w:rsidRDefault="00C6670E" w:rsidP="00B444B1">
            <w:pPr>
              <w:jc w:val="both"/>
              <w:rPr>
                <w:rFonts w:ascii="Roboto" w:hAnsi="Roboto"/>
                <w:color w:val="313131"/>
                <w:sz w:val="20"/>
                <w:szCs w:val="20"/>
                <w:shd w:val="clear" w:color="auto" w:fill="F7CAAC"/>
              </w:rPr>
            </w:pPr>
          </w:p>
          <w:p w14:paraId="7C08019E" w14:textId="24A8F279" w:rsidR="00C6670E" w:rsidRPr="003625BA" w:rsidRDefault="00C6670E" w:rsidP="00B444B1">
            <w:pPr>
              <w:jc w:val="both"/>
              <w:rPr>
                <w:rFonts w:ascii="Roboto" w:hAnsi="Roboto"/>
                <w:color w:val="313131"/>
                <w:sz w:val="20"/>
                <w:szCs w:val="20"/>
                <w:shd w:val="clear" w:color="auto" w:fill="F7CAAC"/>
                <w:lang w:val="en-NZ"/>
              </w:rPr>
            </w:pPr>
            <w:r w:rsidRPr="003625BA">
              <w:rPr>
                <w:rFonts w:ascii="Roboto" w:hAnsi="Roboto"/>
                <w:color w:val="313131"/>
                <w:sz w:val="20"/>
                <w:szCs w:val="20"/>
                <w:shd w:val="clear" w:color="auto" w:fill="F7CAAC"/>
              </w:rPr>
              <w:t>Participation is a right, similar to and complementary to the right to information. In addition, it can help improve policy quality, avoid policy reversals, and thereby save time and cost. It should also be borne in mind that participation can become more efficient over time</w:t>
            </w:r>
            <w:r w:rsidR="009D0276">
              <w:rPr>
                <w:rFonts w:ascii="Roboto" w:hAnsi="Roboto"/>
                <w:color w:val="313131"/>
                <w:sz w:val="20"/>
                <w:szCs w:val="20"/>
                <w:shd w:val="clear" w:color="auto" w:fill="F7CAAC"/>
              </w:rPr>
              <w:t>,</w:t>
            </w:r>
            <w:r w:rsidRPr="003625BA">
              <w:rPr>
                <w:rFonts w:ascii="Roboto" w:hAnsi="Roboto"/>
                <w:color w:val="313131"/>
                <w:sz w:val="20"/>
                <w:szCs w:val="20"/>
                <w:shd w:val="clear" w:color="auto" w:fill="F7CAAC"/>
              </w:rPr>
              <w:t xml:space="preserve"> as when processes are regularly implemented they can be more easily understood by policymakers and the public, potentially revealing needs and ways to meet those needs, including through the refinement of processes/participation spaces, and the provision of appropriate information.</w:t>
            </w:r>
          </w:p>
          <w:p w14:paraId="5A32F5D8" w14:textId="77777777" w:rsidR="00C6670E" w:rsidRPr="003625BA" w:rsidRDefault="00C6670E" w:rsidP="00B444B1">
            <w:pPr>
              <w:jc w:val="both"/>
              <w:rPr>
                <w:rFonts w:ascii="Roboto" w:hAnsi="Roboto"/>
                <w:sz w:val="20"/>
                <w:szCs w:val="20"/>
              </w:rPr>
            </w:pPr>
          </w:p>
        </w:tc>
      </w:tr>
    </w:tbl>
    <w:p w14:paraId="21BD6A0D" w14:textId="55CA4AB6" w:rsidR="00851D63" w:rsidRDefault="00851D63" w:rsidP="00F32B60">
      <w:pPr>
        <w:spacing w:after="160" w:line="259" w:lineRule="auto"/>
        <w:rPr>
          <w:rFonts w:ascii="Arial" w:hAnsi="Arial" w:cs="Arial"/>
          <w:b/>
          <w:bCs/>
          <w:sz w:val="20"/>
          <w:szCs w:val="20"/>
        </w:rPr>
      </w:pPr>
    </w:p>
    <w:p w14:paraId="4CA11EE1" w14:textId="79F7E9B8" w:rsidR="00F97CAF" w:rsidRDefault="00F97CAF" w:rsidP="00F32B60">
      <w:pPr>
        <w:spacing w:after="160" w:line="259" w:lineRule="auto"/>
        <w:rPr>
          <w:rFonts w:ascii="Arial" w:hAnsi="Arial" w:cs="Arial"/>
          <w:b/>
          <w:bCs/>
          <w:sz w:val="20"/>
          <w:szCs w:val="20"/>
        </w:rPr>
      </w:pPr>
    </w:p>
    <w:p w14:paraId="36CE43F6" w14:textId="77777777" w:rsidR="00B5708B" w:rsidRDefault="00B5708B" w:rsidP="00F32B60">
      <w:pPr>
        <w:spacing w:after="160" w:line="259" w:lineRule="auto"/>
        <w:rPr>
          <w:rFonts w:ascii="Arial" w:hAnsi="Arial" w:cs="Arial"/>
          <w:b/>
          <w:bCs/>
          <w:sz w:val="20"/>
          <w:szCs w:val="20"/>
        </w:rPr>
      </w:pPr>
    </w:p>
    <w:p w14:paraId="4339BF68" w14:textId="77777777" w:rsidR="00511536" w:rsidRPr="00B5708B" w:rsidRDefault="00511536" w:rsidP="00F32B60">
      <w:pPr>
        <w:spacing w:after="160" w:line="259" w:lineRule="auto"/>
        <w:rPr>
          <w:rFonts w:ascii="Arial" w:hAnsi="Arial" w:cs="Arial"/>
          <w:b/>
          <w:bCs/>
          <w:sz w:val="6"/>
          <w:szCs w:val="6"/>
        </w:rPr>
      </w:pPr>
    </w:p>
    <w:p w14:paraId="3EC40F9F" w14:textId="7167FA7E" w:rsidR="00BA6FEA" w:rsidRDefault="00067125" w:rsidP="00832C78">
      <w:r>
        <w:rPr>
          <w:noProof/>
          <w:lang w:val="en-US"/>
        </w:rPr>
        <w:lastRenderedPageBreak/>
        <w:drawing>
          <wp:anchor distT="0" distB="0" distL="114300" distR="114300" simplePos="0" relativeHeight="254822398" behindDoc="1" locked="0" layoutInCell="1" allowOverlap="1" wp14:anchorId="5DCDCCF1" wp14:editId="12A78156">
            <wp:simplePos x="0" y="0"/>
            <wp:positionH relativeFrom="column">
              <wp:posOffset>-444500</wp:posOffset>
            </wp:positionH>
            <wp:positionV relativeFrom="paragraph">
              <wp:posOffset>-121920</wp:posOffset>
            </wp:positionV>
            <wp:extent cx="6645910" cy="1435100"/>
            <wp:effectExtent l="0" t="0" r="0" b="0"/>
            <wp:wrapNone/>
            <wp:docPr id="2678" name="Picture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 name="Picture 2678"/>
                    <pic:cNvPicPr/>
                  </pic:nvPicPr>
                  <pic:blipFill rotWithShape="1">
                    <a:blip r:embed="rId546" cstate="screen">
                      <a:extLst>
                        <a:ext uri="{28A0092B-C50C-407E-A947-70E740481C1C}">
                          <a14:useLocalDpi xmlns:a14="http://schemas.microsoft.com/office/drawing/2010/main"/>
                        </a:ext>
                      </a:extLst>
                    </a:blip>
                    <a:srcRect/>
                    <a:stretch/>
                  </pic:blipFill>
                  <pic:spPr bwMode="auto">
                    <a:xfrm>
                      <a:off x="0" y="0"/>
                      <a:ext cx="6645910" cy="143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461C75" w14:textId="7E4A09D0" w:rsidR="00067125" w:rsidRDefault="00D57471" w:rsidP="00832C78">
      <w:r>
        <w:rPr>
          <w:rFonts w:ascii="Arial" w:hAnsi="Arial" w:cs="Arial"/>
          <w:b/>
          <w:bCs/>
          <w:noProof/>
          <w:color w:val="ED5625"/>
          <w:lang w:val="en-US"/>
        </w:rPr>
        <mc:AlternateContent>
          <mc:Choice Requires="wps">
            <w:drawing>
              <wp:anchor distT="0" distB="0" distL="114300" distR="114300" simplePos="0" relativeHeight="254824446" behindDoc="0" locked="0" layoutInCell="1" allowOverlap="1" wp14:anchorId="2C0645B0" wp14:editId="74716A64">
                <wp:simplePos x="0" y="0"/>
                <wp:positionH relativeFrom="margin">
                  <wp:posOffset>1092200</wp:posOffset>
                </wp:positionH>
                <wp:positionV relativeFrom="paragraph">
                  <wp:posOffset>100330</wp:posOffset>
                </wp:positionV>
                <wp:extent cx="4406900" cy="631825"/>
                <wp:effectExtent l="0" t="0" r="0" b="0"/>
                <wp:wrapNone/>
                <wp:docPr id="2679" name="Text Box 2679"/>
                <wp:cNvGraphicFramePr/>
                <a:graphic xmlns:a="http://schemas.openxmlformats.org/drawingml/2006/main">
                  <a:graphicData uri="http://schemas.microsoft.com/office/word/2010/wordprocessingShape">
                    <wps:wsp>
                      <wps:cNvSpPr txBox="1"/>
                      <wps:spPr>
                        <a:xfrm>
                          <a:off x="0" y="0"/>
                          <a:ext cx="4406900" cy="631825"/>
                        </a:xfrm>
                        <a:prstGeom prst="rect">
                          <a:avLst/>
                        </a:prstGeom>
                        <a:noFill/>
                        <a:ln w="6350">
                          <a:noFill/>
                        </a:ln>
                      </wps:spPr>
                      <wps:txbx>
                        <w:txbxContent>
                          <w:p w14:paraId="2D0D377A" w14:textId="1C8E1A7B" w:rsidR="00D15FD8" w:rsidRPr="00D57471" w:rsidRDefault="00D15FD8" w:rsidP="00F33FDE">
                            <w:pPr>
                              <w:pStyle w:val="Heading1"/>
                              <w:rPr>
                                <w:rFonts w:ascii="Arial" w:hAnsi="Arial" w:cs="Arial"/>
                                <w:b/>
                                <w:bCs/>
                                <w:color w:val="FFFFFF" w:themeColor="background1"/>
                                <w:sz w:val="38"/>
                                <w:szCs w:val="38"/>
                                <w:lang w:val="en-US"/>
                              </w:rPr>
                            </w:pPr>
                            <w:bookmarkStart w:id="1153" w:name="_Examples_from_the_1"/>
                            <w:bookmarkStart w:id="1154" w:name="_Toc123204472"/>
                            <w:bookmarkStart w:id="1155" w:name="_Toc123216567"/>
                            <w:bookmarkStart w:id="1156" w:name="_Toc123217407"/>
                            <w:bookmarkStart w:id="1157" w:name="_Toc123828157"/>
                            <w:bookmarkStart w:id="1158" w:name="_Toc123828367"/>
                            <w:bookmarkStart w:id="1159" w:name="_Toc123828563"/>
                            <w:bookmarkStart w:id="1160" w:name="_Toc123912590"/>
                            <w:bookmarkStart w:id="1161" w:name="_Toc123912849"/>
                            <w:bookmarkStart w:id="1162" w:name="_Toc123913076"/>
                            <w:bookmarkStart w:id="1163" w:name="_Toc123914023"/>
                            <w:bookmarkStart w:id="1164" w:name="_Toc125566643"/>
                            <w:bookmarkEnd w:id="1153"/>
                            <w:r w:rsidRPr="00D57471">
                              <w:rPr>
                                <w:rFonts w:ascii="Arial" w:hAnsi="Arial" w:cs="Arial"/>
                                <w:b/>
                                <w:bCs/>
                                <w:color w:val="FFFFFF" w:themeColor="background1"/>
                                <w:sz w:val="38"/>
                                <w:szCs w:val="38"/>
                                <w:lang w:val="en-US"/>
                              </w:rPr>
                              <w:t>Examples from the field</w:t>
                            </w:r>
                            <w:bookmarkEnd w:id="1154"/>
                            <w:bookmarkEnd w:id="1155"/>
                            <w:bookmarkEnd w:id="1156"/>
                            <w:bookmarkEnd w:id="1157"/>
                            <w:bookmarkEnd w:id="1158"/>
                            <w:bookmarkEnd w:id="1159"/>
                            <w:bookmarkEnd w:id="1160"/>
                            <w:bookmarkEnd w:id="1161"/>
                            <w:bookmarkEnd w:id="1162"/>
                            <w:bookmarkEnd w:id="1163"/>
                            <w:bookmarkEnd w:id="116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645B0" id="Text Box 2679" o:spid="_x0000_s1308" type="#_x0000_t202" style="position:absolute;margin-left:86pt;margin-top:7.9pt;width:347pt;height:49.75pt;z-index:254824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" filled="f" stroked="f" strokeweight=".5pt">
                <v:textbox>
                  <w:txbxContent>
                    <w:p w14:paraId="2D0D377A" w14:textId="1C8E1A7B" w:rsidR="00D15FD8" w:rsidRPr="00D57471" w:rsidRDefault="00D15FD8" w:rsidP="00F33FDE">
                      <w:pPr>
                        <w:pStyle w:val="Heading1"/>
                        <w:rPr>
                          <w:rFonts w:ascii="Arial" w:hAnsi="Arial" w:cs="Arial"/>
                          <w:b/>
                          <w:bCs/>
                          <w:color w:val="FFFFFF" w:themeColor="background1"/>
                          <w:sz w:val="38"/>
                          <w:szCs w:val="38"/>
                          <w:lang w:val="en-US"/>
                        </w:rPr>
                      </w:pPr>
                      <w:bookmarkStart w:id="1165" w:name="_Examples_from_the_1"/>
                      <w:bookmarkStart w:id="1166" w:name="_Toc123204472"/>
                      <w:bookmarkStart w:id="1167" w:name="_Toc123216567"/>
                      <w:bookmarkStart w:id="1168" w:name="_Toc123217407"/>
                      <w:bookmarkStart w:id="1169" w:name="_Toc123828157"/>
                      <w:bookmarkStart w:id="1170" w:name="_Toc123828367"/>
                      <w:bookmarkStart w:id="1171" w:name="_Toc123828563"/>
                      <w:bookmarkStart w:id="1172" w:name="_Toc123912590"/>
                      <w:bookmarkStart w:id="1173" w:name="_Toc123912849"/>
                      <w:bookmarkStart w:id="1174" w:name="_Toc123913076"/>
                      <w:bookmarkStart w:id="1175" w:name="_Toc123914023"/>
                      <w:bookmarkStart w:id="1176" w:name="_Toc125566643"/>
                      <w:bookmarkEnd w:id="1165"/>
                      <w:r w:rsidRPr="00D57471">
                        <w:rPr>
                          <w:rFonts w:ascii="Arial" w:hAnsi="Arial" w:cs="Arial"/>
                          <w:b/>
                          <w:bCs/>
                          <w:color w:val="FFFFFF" w:themeColor="background1"/>
                          <w:sz w:val="38"/>
                          <w:szCs w:val="38"/>
                          <w:lang w:val="en-US"/>
                        </w:rPr>
                        <w:t>Examples from the field</w:t>
                      </w:r>
                      <w:bookmarkEnd w:id="1166"/>
                      <w:bookmarkEnd w:id="1167"/>
                      <w:bookmarkEnd w:id="1168"/>
                      <w:bookmarkEnd w:id="1169"/>
                      <w:bookmarkEnd w:id="1170"/>
                      <w:bookmarkEnd w:id="1171"/>
                      <w:bookmarkEnd w:id="1172"/>
                      <w:bookmarkEnd w:id="1173"/>
                      <w:bookmarkEnd w:id="1174"/>
                      <w:bookmarkEnd w:id="1175"/>
                      <w:bookmarkEnd w:id="1176"/>
                    </w:p>
                  </w:txbxContent>
                </v:textbox>
                <w10:wrap anchorx="margin"/>
              </v:shape>
            </w:pict>
          </mc:Fallback>
        </mc:AlternateContent>
      </w:r>
      <w:r w:rsidR="00B602E2">
        <w:rPr>
          <w:rFonts w:ascii="Arial" w:hAnsi="Arial" w:cs="Arial"/>
          <w:b/>
          <w:bCs/>
          <w:noProof/>
          <w:color w:val="ED5625"/>
          <w:lang w:val="en-US"/>
        </w:rPr>
        <mc:AlternateContent>
          <mc:Choice Requires="wps">
            <w:drawing>
              <wp:anchor distT="0" distB="0" distL="114300" distR="114300" simplePos="0" relativeHeight="254825470" behindDoc="0" locked="0" layoutInCell="1" allowOverlap="1" wp14:anchorId="752863B5" wp14:editId="57C72F94">
                <wp:simplePos x="0" y="0"/>
                <wp:positionH relativeFrom="column">
                  <wp:posOffset>66675</wp:posOffset>
                </wp:positionH>
                <wp:positionV relativeFrom="paragraph">
                  <wp:posOffset>97155</wp:posOffset>
                </wp:positionV>
                <wp:extent cx="624205" cy="593725"/>
                <wp:effectExtent l="0" t="0" r="0" b="0"/>
                <wp:wrapNone/>
                <wp:docPr id="2680" name="Text Box 2680"/>
                <wp:cNvGraphicFramePr/>
                <a:graphic xmlns:a="http://schemas.openxmlformats.org/drawingml/2006/main">
                  <a:graphicData uri="http://schemas.microsoft.com/office/word/2010/wordprocessingShape">
                    <wps:wsp>
                      <wps:cNvSpPr txBox="1"/>
                      <wps:spPr>
                        <a:xfrm>
                          <a:off x="0" y="0"/>
                          <a:ext cx="624205" cy="593725"/>
                        </a:xfrm>
                        <a:prstGeom prst="rect">
                          <a:avLst/>
                        </a:prstGeom>
                        <a:noFill/>
                        <a:ln w="6350">
                          <a:noFill/>
                        </a:ln>
                      </wps:spPr>
                      <wps:txbx>
                        <w:txbxContent>
                          <w:p w14:paraId="3B1C6597" w14:textId="0CA0A88E" w:rsidR="00D15FD8" w:rsidRPr="009E337A" w:rsidRDefault="00D15FD8" w:rsidP="00F33FDE">
                            <w:pPr>
                              <w:ind w:left="360"/>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63B5" id="Text Box 2680" o:spid="_x0000_s1309" type="#_x0000_t202" style="position:absolute;margin-left:5.25pt;margin-top:7.65pt;width:49.15pt;height:46.75pt;z-index:254825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" filled="f" stroked="f" strokeweight=".5pt">
                <v:textbox>
                  <w:txbxContent>
                    <w:p w14:paraId="3B1C6597" w14:textId="0CA0A88E" w:rsidR="00D15FD8" w:rsidRPr="009E337A" w:rsidRDefault="00D15FD8" w:rsidP="00F33FDE">
                      <w:pPr>
                        <w:ind w:left="360"/>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v:textbox>
              </v:shape>
            </w:pict>
          </mc:Fallback>
        </mc:AlternateContent>
      </w:r>
    </w:p>
    <w:p w14:paraId="76146798" w14:textId="55C49685" w:rsidR="00067125" w:rsidRDefault="00067125" w:rsidP="00832C78"/>
    <w:p w14:paraId="4882D3DD" w14:textId="429907A3" w:rsidR="00067125" w:rsidRDefault="00067125" w:rsidP="00832C78"/>
    <w:p w14:paraId="4158062C" w14:textId="7F242D52" w:rsidR="00067125" w:rsidRDefault="00067125" w:rsidP="00832C78"/>
    <w:p w14:paraId="1FA45F56" w14:textId="261ED391" w:rsidR="00067125" w:rsidRDefault="00067125" w:rsidP="003625BA"/>
    <w:p w14:paraId="1AB26955" w14:textId="2C069532" w:rsidR="00A72AF7" w:rsidRDefault="00A72AF7" w:rsidP="00BE1A63"/>
    <w:p w14:paraId="3882CBF1" w14:textId="519F5D54" w:rsidR="0005728F" w:rsidRPr="0005728F" w:rsidRDefault="0005728F" w:rsidP="0005728F"/>
    <w:p w14:paraId="2356B50E" w14:textId="2476F823" w:rsidR="0005728F" w:rsidRPr="0005728F" w:rsidRDefault="0051115F" w:rsidP="0005728F">
      <w:r>
        <w:rPr>
          <w:noProof/>
          <w:lang w:val="en-US"/>
        </w:rPr>
        <w:drawing>
          <wp:anchor distT="0" distB="0" distL="114300" distR="114300" simplePos="0" relativeHeight="252541950" behindDoc="1" locked="0" layoutInCell="1" allowOverlap="1" wp14:anchorId="79DE4C85" wp14:editId="7B589A72">
            <wp:simplePos x="0" y="0"/>
            <wp:positionH relativeFrom="column">
              <wp:posOffset>368300</wp:posOffset>
            </wp:positionH>
            <wp:positionV relativeFrom="paragraph">
              <wp:posOffset>157371</wp:posOffset>
            </wp:positionV>
            <wp:extent cx="712470" cy="477520"/>
            <wp:effectExtent l="127000" t="127000" r="176530" b="182880"/>
            <wp:wrapTight wrapText="bothSides">
              <wp:wrapPolygon edited="0">
                <wp:start x="2310" y="-5745"/>
                <wp:lineTo x="-3850" y="-4596"/>
                <wp:lineTo x="-3850" y="13787"/>
                <wp:lineTo x="-3080" y="23553"/>
                <wp:lineTo x="1925" y="28149"/>
                <wp:lineTo x="2310" y="29298"/>
                <wp:lineTo x="20406" y="29298"/>
                <wp:lineTo x="20791" y="28149"/>
                <wp:lineTo x="25797" y="23553"/>
                <wp:lineTo x="26567" y="13787"/>
                <wp:lineTo x="26567" y="3447"/>
                <wp:lineTo x="21176" y="-4596"/>
                <wp:lineTo x="20406" y="-5745"/>
                <wp:lineTo x="2310" y="-5745"/>
              </wp:wrapPolygon>
            </wp:wrapTight>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7" cstate="email">
                      <a:extLst>
                        <a:ext uri="{28A0092B-C50C-407E-A947-70E740481C1C}">
                          <a14:useLocalDpi xmlns:a14="http://schemas.microsoft.com/office/drawing/2010/main"/>
                        </a:ext>
                      </a:extLst>
                    </a:blip>
                    <a:srcRect/>
                    <a:stretch>
                      <a:fillRect/>
                    </a:stretch>
                  </pic:blipFill>
                  <pic:spPr bwMode="auto">
                    <a:xfrm>
                      <a:off x="0" y="0"/>
                      <a:ext cx="712470" cy="477520"/>
                    </a:xfrm>
                    <a:prstGeom prst="rect">
                      <a:avLst/>
                    </a:prstGeom>
                    <a:noFill/>
                    <a:ln>
                      <a:noFill/>
                    </a:ln>
                    <a:effectLst>
                      <a:outerShdw blurRad="169633" dist="38100" dir="2700000" algn="tl" rotWithShape="0">
                        <a:srgbClr val="69557F">
                          <a:alpha val="40000"/>
                        </a:srgbClr>
                      </a:outerShdw>
                    </a:effectLst>
                  </pic:spPr>
                </pic:pic>
              </a:graphicData>
            </a:graphic>
            <wp14:sizeRelH relativeFrom="page">
              <wp14:pctWidth>0</wp14:pctWidth>
            </wp14:sizeRelH>
            <wp14:sizeRelV relativeFrom="page">
              <wp14:pctHeight>0</wp14:pctHeight>
            </wp14:sizeRelV>
          </wp:anchor>
        </w:drawing>
      </w:r>
    </w:p>
    <w:p w14:paraId="7E15F434" w14:textId="36959B63" w:rsidR="0005728F" w:rsidRDefault="00D439BC" w:rsidP="0005728F">
      <w:pPr>
        <w:tabs>
          <w:tab w:val="left" w:pos="2740"/>
        </w:tabs>
      </w:pPr>
      <w:r>
        <w:rPr>
          <w:noProof/>
          <w:lang w:val="en-US"/>
        </w:rPr>
        <mc:AlternateContent>
          <mc:Choice Requires="wps">
            <w:drawing>
              <wp:anchor distT="0" distB="0" distL="114300" distR="114300" simplePos="0" relativeHeight="252542974" behindDoc="0" locked="0" layoutInCell="1" allowOverlap="1" wp14:anchorId="663C0F27" wp14:editId="210DDCC2">
                <wp:simplePos x="0" y="0"/>
                <wp:positionH relativeFrom="column">
                  <wp:posOffset>1206500</wp:posOffset>
                </wp:positionH>
                <wp:positionV relativeFrom="paragraph">
                  <wp:posOffset>33182</wp:posOffset>
                </wp:positionV>
                <wp:extent cx="4660900" cy="414020"/>
                <wp:effectExtent l="0" t="0" r="6350" b="5080"/>
                <wp:wrapNone/>
                <wp:docPr id="592" name="Text Box 592"/>
                <wp:cNvGraphicFramePr/>
                <a:graphic xmlns:a="http://schemas.openxmlformats.org/drawingml/2006/main">
                  <a:graphicData uri="http://schemas.microsoft.com/office/word/2010/wordprocessingShape">
                    <wps:wsp>
                      <wps:cNvSpPr txBox="1"/>
                      <wps:spPr>
                        <a:xfrm>
                          <a:off x="0" y="0"/>
                          <a:ext cx="4660900" cy="414020"/>
                        </a:xfrm>
                        <a:prstGeom prst="rect">
                          <a:avLst/>
                        </a:prstGeom>
                        <a:solidFill>
                          <a:schemeClr val="lt1"/>
                        </a:solidFill>
                        <a:ln w="6350">
                          <a:noFill/>
                        </a:ln>
                      </wps:spPr>
                      <wps:txbx>
                        <w:txbxContent>
                          <w:p w14:paraId="3679ADD5" w14:textId="77777777" w:rsidR="00D15FD8" w:rsidRPr="00F40BC2" w:rsidRDefault="00D15FD8" w:rsidP="00D439BC">
                            <w:pPr>
                              <w:pStyle w:val="Heading2"/>
                              <w:rPr>
                                <w:rFonts w:ascii="Arial" w:hAnsi="Arial" w:cs="Arial"/>
                                <w:b/>
                                <w:bCs/>
                                <w:color w:val="69557F"/>
                              </w:rPr>
                            </w:pPr>
                            <w:bookmarkStart w:id="1177" w:name="_Toc119794475"/>
                            <w:bookmarkStart w:id="1178" w:name="_Toc123204474"/>
                            <w:bookmarkStart w:id="1179" w:name="_Toc123216569"/>
                            <w:bookmarkStart w:id="1180" w:name="_Toc123217409"/>
                            <w:bookmarkStart w:id="1181" w:name="_Toc123828158"/>
                            <w:bookmarkStart w:id="1182" w:name="_Toc123828368"/>
                            <w:bookmarkStart w:id="1183" w:name="_Toc123828564"/>
                            <w:bookmarkStart w:id="1184" w:name="_Toc123912591"/>
                            <w:bookmarkStart w:id="1185" w:name="_Toc123912850"/>
                            <w:bookmarkStart w:id="1186" w:name="_Toc123913077"/>
                            <w:bookmarkStart w:id="1187" w:name="_Toc123913368"/>
                            <w:bookmarkStart w:id="1188" w:name="_Toc123914024"/>
                            <w:bookmarkStart w:id="1189" w:name="_Toc125566644"/>
                            <w:r w:rsidRPr="00F40BC2">
                              <w:rPr>
                                <w:rFonts w:ascii="Arial" w:hAnsi="Arial" w:cs="Arial"/>
                                <w:b/>
                                <w:bCs/>
                                <w:color w:val="69557F"/>
                              </w:rPr>
                              <w:t>Kenyan Parliamentary Budget Office</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p>
                          <w:p w14:paraId="33077BC5" w14:textId="77777777" w:rsidR="00D15FD8" w:rsidRPr="00D439BC" w:rsidRDefault="00D15FD8" w:rsidP="00D439BC">
                            <w:pPr>
                              <w:pStyle w:val="Heading2"/>
                              <w:rPr>
                                <w:rFonts w:ascii="Arial" w:hAnsi="Arial" w:cs="Arial"/>
                                <w:b/>
                                <w:bCs/>
                                <w:color w:val="69557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3C0F27" id="Text Box 592" o:spid="_x0000_s1310" type="#_x0000_t202" style="position:absolute;margin-left:95pt;margin-top:2.6pt;width:367pt;height:32.6pt;z-index:2525429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" fillcolor="white [3201]" stroked="f" strokeweight=".5pt">
                <v:textbox>
                  <w:txbxContent>
                    <w:p w14:paraId="3679ADD5" w14:textId="77777777" w:rsidR="00D15FD8" w:rsidRPr="00F40BC2" w:rsidRDefault="00D15FD8" w:rsidP="00D439BC">
                      <w:pPr>
                        <w:pStyle w:val="Heading2"/>
                        <w:rPr>
                          <w:rFonts w:ascii="Arial" w:hAnsi="Arial" w:cs="Arial"/>
                          <w:b/>
                          <w:bCs/>
                          <w:color w:val="69557F"/>
                        </w:rPr>
                      </w:pPr>
                      <w:bookmarkStart w:id="1190" w:name="_Toc119794475"/>
                      <w:bookmarkStart w:id="1191" w:name="_Toc123204474"/>
                      <w:bookmarkStart w:id="1192" w:name="_Toc123216569"/>
                      <w:bookmarkStart w:id="1193" w:name="_Toc123217409"/>
                      <w:bookmarkStart w:id="1194" w:name="_Toc123828158"/>
                      <w:bookmarkStart w:id="1195" w:name="_Toc123828368"/>
                      <w:bookmarkStart w:id="1196" w:name="_Toc123828564"/>
                      <w:bookmarkStart w:id="1197" w:name="_Toc123912591"/>
                      <w:bookmarkStart w:id="1198" w:name="_Toc123912850"/>
                      <w:bookmarkStart w:id="1199" w:name="_Toc123913077"/>
                      <w:bookmarkStart w:id="1200" w:name="_Toc123913368"/>
                      <w:bookmarkStart w:id="1201" w:name="_Toc123914024"/>
                      <w:bookmarkStart w:id="1202" w:name="_Toc125566644"/>
                      <w:r w:rsidRPr="00F40BC2">
                        <w:rPr>
                          <w:rFonts w:ascii="Arial" w:hAnsi="Arial" w:cs="Arial"/>
                          <w:b/>
                          <w:bCs/>
                          <w:color w:val="69557F"/>
                        </w:rPr>
                        <w:t>Kenyan Parliamentary Budget Office</w:t>
                      </w:r>
                      <w:bookmarkEnd w:id="1190"/>
                      <w:bookmarkEnd w:id="1191"/>
                      <w:bookmarkEnd w:id="1192"/>
                      <w:bookmarkEnd w:id="1193"/>
                      <w:bookmarkEnd w:id="1194"/>
                      <w:bookmarkEnd w:id="1195"/>
                      <w:bookmarkEnd w:id="1196"/>
                      <w:bookmarkEnd w:id="1197"/>
                      <w:bookmarkEnd w:id="1198"/>
                      <w:bookmarkEnd w:id="1199"/>
                      <w:bookmarkEnd w:id="1200"/>
                      <w:bookmarkEnd w:id="1201"/>
                      <w:bookmarkEnd w:id="1202"/>
                    </w:p>
                    <w:p w14:paraId="33077BC5" w14:textId="77777777" w:rsidR="00D15FD8" w:rsidRPr="00D439BC" w:rsidRDefault="00D15FD8" w:rsidP="00D439BC">
                      <w:pPr>
                        <w:pStyle w:val="Heading2"/>
                        <w:rPr>
                          <w:rFonts w:ascii="Arial" w:hAnsi="Arial" w:cs="Arial"/>
                          <w:b/>
                          <w:bCs/>
                          <w:color w:val="69557F"/>
                          <w:sz w:val="24"/>
                          <w:szCs w:val="24"/>
                        </w:rPr>
                      </w:pPr>
                    </w:p>
                  </w:txbxContent>
                </v:textbox>
              </v:shape>
            </w:pict>
          </mc:Fallback>
        </mc:AlternateContent>
      </w:r>
      <w:r w:rsidR="0005728F">
        <w:fldChar w:fldCharType="begin"/>
      </w:r>
      <w:r w:rsidR="0005728F">
        <w:instrText xml:space="preserve"> INCLUDEPICTURE "https://cdn.britannica.com/15/15-004-B5D6BF80/Flag-Kenya.jpg" \* MERGEFORMATINET </w:instrText>
      </w:r>
      <w:r w:rsidR="0005728F">
        <w:fldChar w:fldCharType="end"/>
      </w:r>
    </w:p>
    <w:p w14:paraId="7FAF52A4" w14:textId="064E5DC1" w:rsidR="00406C8A" w:rsidRPr="00406C8A" w:rsidRDefault="00406C8A" w:rsidP="00406C8A"/>
    <w:p w14:paraId="677EAE4D" w14:textId="07594030" w:rsidR="00406C8A" w:rsidRPr="00406C8A" w:rsidRDefault="0051115F" w:rsidP="00406C8A">
      <w:r>
        <w:rPr>
          <w:rFonts w:ascii="Arial" w:hAnsi="Arial" w:cs="Arial"/>
          <w:iCs/>
          <w:noProof/>
          <w:sz w:val="24"/>
          <w:szCs w:val="24"/>
          <w:lang w:val="en-US"/>
        </w:rPr>
        <mc:AlternateContent>
          <mc:Choice Requires="wps">
            <w:drawing>
              <wp:anchor distT="0" distB="0" distL="114300" distR="114300" simplePos="0" relativeHeight="255321086" behindDoc="0" locked="0" layoutInCell="1" allowOverlap="1" wp14:anchorId="1699667D" wp14:editId="445B35B6">
                <wp:simplePos x="0" y="0"/>
                <wp:positionH relativeFrom="column">
                  <wp:posOffset>377825</wp:posOffset>
                </wp:positionH>
                <wp:positionV relativeFrom="paragraph">
                  <wp:posOffset>169436</wp:posOffset>
                </wp:positionV>
                <wp:extent cx="709930" cy="254000"/>
                <wp:effectExtent l="0" t="0" r="1270" b="0"/>
                <wp:wrapSquare wrapText="bothSides"/>
                <wp:docPr id="94" name="Text Box 94"/>
                <wp:cNvGraphicFramePr/>
                <a:graphic xmlns:a="http://schemas.openxmlformats.org/drawingml/2006/main">
                  <a:graphicData uri="http://schemas.microsoft.com/office/word/2010/wordprocessingShape">
                    <wps:wsp>
                      <wps:cNvSpPr txBox="1"/>
                      <wps:spPr>
                        <a:xfrm>
                          <a:off x="0" y="0"/>
                          <a:ext cx="709930" cy="254000"/>
                        </a:xfrm>
                        <a:prstGeom prst="rect">
                          <a:avLst/>
                        </a:prstGeom>
                        <a:solidFill>
                          <a:schemeClr val="lt1"/>
                        </a:solidFill>
                        <a:ln w="6350">
                          <a:noFill/>
                        </a:ln>
                      </wps:spPr>
                      <wps:txbx>
                        <w:txbxContent>
                          <w:p w14:paraId="37FDF5A5" w14:textId="6675ABA1" w:rsidR="00D15FD8" w:rsidRPr="0051115F" w:rsidRDefault="00D15FD8" w:rsidP="0051115F">
                            <w:pPr>
                              <w:jc w:val="center"/>
                              <w:rPr>
                                <w:rFonts w:ascii="Arial" w:hAnsi="Arial" w:cs="Arial"/>
                                <w:b/>
                                <w:bCs/>
                                <w:color w:val="69557F"/>
                                <w:sz w:val="20"/>
                                <w:szCs w:val="20"/>
                                <w:lang w:val="en-US"/>
                              </w:rPr>
                            </w:pPr>
                            <w:r>
                              <w:rPr>
                                <w:rFonts w:ascii="Arial" w:hAnsi="Arial" w:cs="Arial"/>
                                <w:b/>
                                <w:bCs/>
                                <w:color w:val="69557F"/>
                                <w:sz w:val="20"/>
                                <w:szCs w:val="20"/>
                                <w:lang w:val="en-US"/>
                              </w:rPr>
                              <w:t>Kenya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9667D" id="Text Box 94" o:spid="_x0000_s1311" type="#_x0000_t202" style="position:absolute;margin-left:29.75pt;margin-top:13.35pt;width:55.9pt;height:20pt;z-index:255321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" fillcolor="white [3201]" stroked="f" strokeweight=".5pt">
                <v:textbox>
                  <w:txbxContent>
                    <w:p w14:paraId="37FDF5A5" w14:textId="6675ABA1" w:rsidR="00D15FD8" w:rsidRPr="0051115F" w:rsidRDefault="00D15FD8" w:rsidP="0051115F">
                      <w:pPr>
                        <w:jc w:val="center"/>
                        <w:rPr>
                          <w:rFonts w:ascii="Arial" w:hAnsi="Arial" w:cs="Arial"/>
                          <w:b/>
                          <w:bCs/>
                          <w:color w:val="69557F"/>
                          <w:sz w:val="20"/>
                          <w:szCs w:val="20"/>
                          <w:lang w:val="en-US"/>
                        </w:rPr>
                      </w:pPr>
                      <w:r>
                        <w:rPr>
                          <w:rFonts w:ascii="Arial" w:hAnsi="Arial" w:cs="Arial"/>
                          <w:b/>
                          <w:bCs/>
                          <w:color w:val="69557F"/>
                          <w:sz w:val="20"/>
                          <w:szCs w:val="20"/>
                          <w:lang w:val="en-US"/>
                        </w:rPr>
                        <w:t>Kenya</w:t>
                      </w:r>
                    </w:p>
                  </w:txbxContent>
                </v:textbox>
                <w10:wrap type="square"/>
              </v:shape>
            </w:pict>
          </mc:Fallback>
        </mc:AlternateContent>
      </w:r>
    </w:p>
    <w:p w14:paraId="2F9A9039" w14:textId="15E4D8AE" w:rsidR="00406C8A" w:rsidRDefault="00406C8A" w:rsidP="00406C8A">
      <w:pPr>
        <w:spacing w:line="276" w:lineRule="auto"/>
        <w:rPr>
          <w:rFonts w:ascii="Arial" w:hAnsi="Arial" w:cs="Arial"/>
          <w:sz w:val="24"/>
          <w:szCs w:val="24"/>
        </w:rPr>
      </w:pPr>
    </w:p>
    <w:p w14:paraId="53CB4409" w14:textId="491C88A9" w:rsidR="0051115F" w:rsidRPr="00406C8A" w:rsidRDefault="0051115F" w:rsidP="00406C8A">
      <w:pPr>
        <w:spacing w:line="276" w:lineRule="auto"/>
        <w:rPr>
          <w:rFonts w:ascii="Arial" w:hAnsi="Arial" w:cs="Arial"/>
          <w:sz w:val="24"/>
          <w:szCs w:val="24"/>
        </w:rPr>
      </w:pPr>
    </w:p>
    <w:p w14:paraId="0DF82288" w14:textId="37262EC3" w:rsidR="00406C8A" w:rsidRPr="00406C8A" w:rsidRDefault="00D97544" w:rsidP="00406C8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913086" behindDoc="0" locked="0" layoutInCell="1" allowOverlap="1" wp14:anchorId="7B9B7E64" wp14:editId="062D27D9">
                <wp:simplePos x="0" y="0"/>
                <wp:positionH relativeFrom="column">
                  <wp:posOffset>660400</wp:posOffset>
                </wp:positionH>
                <wp:positionV relativeFrom="paragraph">
                  <wp:posOffset>160655</wp:posOffset>
                </wp:positionV>
                <wp:extent cx="1029970" cy="292100"/>
                <wp:effectExtent l="0" t="0" r="0" b="0"/>
                <wp:wrapNone/>
                <wp:docPr id="1732" name="Text Box 1732"/>
                <wp:cNvGraphicFramePr/>
                <a:graphic xmlns:a="http://schemas.openxmlformats.org/drawingml/2006/main">
                  <a:graphicData uri="http://schemas.microsoft.com/office/word/2010/wordprocessingShape">
                    <wps:wsp>
                      <wps:cNvSpPr txBox="1"/>
                      <wps:spPr>
                        <a:xfrm>
                          <a:off x="0" y="0"/>
                          <a:ext cx="1029970" cy="292100"/>
                        </a:xfrm>
                        <a:prstGeom prst="rect">
                          <a:avLst/>
                        </a:prstGeom>
                        <a:noFill/>
                        <a:ln w="6350">
                          <a:noFill/>
                        </a:ln>
                      </wps:spPr>
                      <wps:txbx>
                        <w:txbxContent>
                          <w:p w14:paraId="739F51E1" w14:textId="66C56D0E" w:rsidR="00D15FD8" w:rsidRPr="00B53BF4" w:rsidRDefault="00AC4DF7" w:rsidP="00FF4159">
                            <w:pPr>
                              <w:jc w:val="center"/>
                              <w:rPr>
                                <w:rFonts w:ascii="Arial" w:hAnsi="Arial" w:cs="Arial"/>
                                <w:b/>
                                <w:bCs/>
                                <w:color w:val="FFFFFF" w:themeColor="background1"/>
                                <w:sz w:val="24"/>
                                <w:szCs w:val="24"/>
                                <w:u w:val="single"/>
                                <w:lang w:val="en-US"/>
                              </w:rPr>
                            </w:pPr>
                            <w:hyperlink r:id="rId548" w:history="1">
                              <w:r w:rsidR="00D15FD8" w:rsidRPr="00B53BF4">
                                <w:rPr>
                                  <w:rStyle w:val="Hyperlink"/>
                                  <w:rFonts w:ascii="Arial" w:hAnsi="Arial" w:cs="Arial"/>
                                  <w:b/>
                                  <w:bCs/>
                                  <w:color w:val="FFFFFF" w:themeColor="background1"/>
                                  <w:sz w:val="24"/>
                                  <w:szCs w:val="24"/>
                                  <w:lang w:val="en-US"/>
                                </w:rPr>
                                <w:t>Watch here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9B7E64" id="Text Box 1732" o:spid="_x0000_s1312" type="#_x0000_t202" style="position:absolute;left:0;text-align:left;margin-left:52pt;margin-top:12.65pt;width:81.1pt;height:23pt;z-index:2539130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" filled="f" stroked="f" strokeweight=".5pt">
                <v:textbox>
                  <w:txbxContent>
                    <w:p w14:paraId="739F51E1" w14:textId="66C56D0E" w:rsidR="00D15FD8" w:rsidRPr="00B53BF4" w:rsidRDefault="00AC4DF7" w:rsidP="00FF4159">
                      <w:pPr>
                        <w:jc w:val="center"/>
                        <w:rPr>
                          <w:rFonts w:ascii="Arial" w:hAnsi="Arial" w:cs="Arial"/>
                          <w:b/>
                          <w:bCs/>
                          <w:color w:val="FFFFFF" w:themeColor="background1"/>
                          <w:sz w:val="24"/>
                          <w:szCs w:val="24"/>
                          <w:u w:val="single"/>
                          <w:lang w:val="en-US"/>
                        </w:rPr>
                      </w:pPr>
                      <w:hyperlink r:id="rId549" w:history="1">
                        <w:r w:rsidR="00D15FD8" w:rsidRPr="00B53BF4">
                          <w:rPr>
                            <w:rStyle w:val="Hyperlink"/>
                            <w:rFonts w:ascii="Arial" w:hAnsi="Arial" w:cs="Arial"/>
                            <w:b/>
                            <w:bCs/>
                            <w:color w:val="FFFFFF" w:themeColor="background1"/>
                            <w:sz w:val="24"/>
                            <w:szCs w:val="24"/>
                            <w:lang w:val="en-US"/>
                          </w:rPr>
                          <w:t>Watch here</w:t>
                        </w:r>
                      </w:hyperlink>
                    </w:p>
                  </w:txbxContent>
                </v:textbox>
              </v:shape>
            </w:pict>
          </mc:Fallback>
        </mc:AlternateContent>
      </w:r>
      <w:r>
        <w:rPr>
          <w:rFonts w:ascii="Arial" w:hAnsi="Arial" w:cs="Arial"/>
          <w:noProof/>
          <w:sz w:val="24"/>
          <w:szCs w:val="24"/>
          <w:lang w:val="en-US"/>
        </w:rPr>
        <w:drawing>
          <wp:anchor distT="0" distB="0" distL="114300" distR="114300" simplePos="0" relativeHeight="253911038" behindDoc="0" locked="0" layoutInCell="1" allowOverlap="1" wp14:anchorId="5DAB2D0D" wp14:editId="68B51535">
            <wp:simplePos x="0" y="0"/>
            <wp:positionH relativeFrom="column">
              <wp:posOffset>0</wp:posOffset>
            </wp:positionH>
            <wp:positionV relativeFrom="paragraph">
              <wp:posOffset>88265</wp:posOffset>
            </wp:positionV>
            <wp:extent cx="582930" cy="410210"/>
            <wp:effectExtent l="0" t="0" r="127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912062" behindDoc="0" locked="0" layoutInCell="1" allowOverlap="1" wp14:anchorId="221623B8" wp14:editId="1864A906">
                <wp:simplePos x="0" y="0"/>
                <wp:positionH relativeFrom="column">
                  <wp:posOffset>658495</wp:posOffset>
                </wp:positionH>
                <wp:positionV relativeFrom="paragraph">
                  <wp:posOffset>121285</wp:posOffset>
                </wp:positionV>
                <wp:extent cx="1028700" cy="355600"/>
                <wp:effectExtent l="0" t="0" r="0" b="0"/>
                <wp:wrapSquare wrapText="bothSides"/>
                <wp:docPr id="70" name="Rounded Rectangle 70"/>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40FBCAA" id="Rounded Rectangle 70" o:spid="_x0000_s1026" style="position:absolute;margin-left:51.85pt;margin-top:9.55pt;width:81pt;height:28pt;z-index:253912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" fillcolor="#16988a" stroked="f" strokeweight="1pt">
                <v:stroke joinstyle="miter"/>
                <w10:wrap type="square"/>
              </v:roundrect>
            </w:pict>
          </mc:Fallback>
        </mc:AlternateContent>
      </w:r>
      <w:r w:rsidR="00406C8A" w:rsidRPr="00406C8A">
        <w:rPr>
          <w:rFonts w:ascii="Arial" w:hAnsi="Arial" w:cs="Arial"/>
          <w:sz w:val="24"/>
          <w:szCs w:val="24"/>
        </w:rPr>
        <w:t xml:space="preserve">The legislature and independent fiscal institutions play a key role in fiscal transparency. The role of Parliament and the Parliamentary Budget Office in Kenya has progressed over time as described by </w:t>
      </w:r>
      <w:proofErr w:type="spellStart"/>
      <w:r w:rsidR="00406C8A" w:rsidRPr="00406C8A">
        <w:rPr>
          <w:rFonts w:ascii="Arial" w:hAnsi="Arial" w:cs="Arial"/>
          <w:sz w:val="24"/>
          <w:szCs w:val="24"/>
        </w:rPr>
        <w:t>Dr.</w:t>
      </w:r>
      <w:proofErr w:type="spellEnd"/>
      <w:r w:rsidR="00406C8A" w:rsidRPr="00406C8A">
        <w:rPr>
          <w:rFonts w:ascii="Arial" w:hAnsi="Arial" w:cs="Arial"/>
          <w:sz w:val="24"/>
          <w:szCs w:val="24"/>
        </w:rPr>
        <w:t xml:space="preserve"> Martin Masinde, a Senior Deputy Director in an </w:t>
      </w:r>
      <w:hyperlink r:id="rId550" w:history="1">
        <w:r w:rsidR="00406C8A" w:rsidRPr="00406C8A">
          <w:rPr>
            <w:rStyle w:val="Hyperlink"/>
            <w:rFonts w:ascii="Arial" w:hAnsi="Arial" w:cs="Arial"/>
            <w:sz w:val="24"/>
            <w:szCs w:val="24"/>
          </w:rPr>
          <w:t>interview</w:t>
        </w:r>
      </w:hyperlink>
      <w:r w:rsidR="00406C8A" w:rsidRPr="00406C8A">
        <w:rPr>
          <w:rFonts w:ascii="Arial" w:hAnsi="Arial" w:cs="Arial"/>
          <w:sz w:val="24"/>
          <w:szCs w:val="24"/>
        </w:rPr>
        <w:t xml:space="preserve"> that took place in May 2021. He explains that post 2010, new legislation, including an amended Constitution and a new Public Finance Management Act, meant that Parliament was given a more profound role in reviewing the executive’s budget proposals and in involving the public in public financial management matters. To solicit the views of the public, among others, parliament requests public inputs, especially from civil society, through its website, it then take the public’s views into account when approving the budget. In this regard, it also sets aside funds and visits a different set of counties every year to get their views on how this funding should be allocated, rotating through all the counties over time. </w:t>
      </w:r>
    </w:p>
    <w:p w14:paraId="035183CA" w14:textId="73B923B5" w:rsidR="00406C8A" w:rsidRPr="00406C8A" w:rsidRDefault="00406C8A" w:rsidP="00406C8A">
      <w:pPr>
        <w:spacing w:line="276" w:lineRule="auto"/>
        <w:jc w:val="both"/>
        <w:rPr>
          <w:rFonts w:ascii="Arial" w:hAnsi="Arial" w:cs="Arial"/>
          <w:sz w:val="24"/>
          <w:szCs w:val="24"/>
        </w:rPr>
      </w:pPr>
    </w:p>
    <w:p w14:paraId="6939A1B0" w14:textId="28A4D21D" w:rsidR="00406C8A" w:rsidRPr="00406C8A" w:rsidRDefault="00406C8A" w:rsidP="00406C8A">
      <w:pPr>
        <w:tabs>
          <w:tab w:val="num" w:pos="720"/>
        </w:tabs>
        <w:spacing w:line="276" w:lineRule="auto"/>
        <w:jc w:val="both"/>
        <w:rPr>
          <w:rFonts w:ascii="Arial" w:hAnsi="Arial" w:cs="Arial"/>
          <w:sz w:val="24"/>
          <w:szCs w:val="24"/>
        </w:rPr>
      </w:pPr>
      <w:r w:rsidRPr="00406C8A">
        <w:rPr>
          <w:rFonts w:ascii="Arial" w:hAnsi="Arial" w:cs="Arial"/>
          <w:sz w:val="24"/>
          <w:szCs w:val="24"/>
        </w:rPr>
        <w:t xml:space="preserve">In conducting its oversight role, Parliament analyses the information received from the executive and the Auditor General, gauging they extent to which the executive is meeting its targets. In doing this, various parliamentary committees and agencies, including the Parliamentary Budget Office, work together, including by utilizing their independently developed analyses frameworks to analyse policies, targets and programs, </w:t>
      </w:r>
      <w:r w:rsidRPr="00406C8A">
        <w:rPr>
          <w:rFonts w:ascii="Arial" w:hAnsi="Arial" w:cs="Arial"/>
          <w:sz w:val="24"/>
          <w:szCs w:val="24"/>
          <w:lang w:val="en-ZA"/>
        </w:rPr>
        <w:t xml:space="preserve">providing alternative scenarios and proposals to the budget; producing a budget options paper to stimulate policy discourse; and </w:t>
      </w:r>
      <w:r w:rsidRPr="00406C8A">
        <w:rPr>
          <w:rFonts w:ascii="Arial" w:hAnsi="Arial" w:cs="Arial"/>
          <w:sz w:val="24"/>
          <w:szCs w:val="24"/>
        </w:rPr>
        <w:t xml:space="preserve">making submissions to departmental committees. Challenges experienced include that the Auditor General’s audits aren’t based on programs, that its recommendations often don’t filter into actions, and that state enterprises largely operate outside the budget process.  </w:t>
      </w:r>
    </w:p>
    <w:p w14:paraId="62FCDDD1" w14:textId="7EA26E47" w:rsidR="00406C8A" w:rsidRPr="00406C8A" w:rsidRDefault="00406C8A" w:rsidP="00406C8A">
      <w:pPr>
        <w:tabs>
          <w:tab w:val="num" w:pos="720"/>
        </w:tabs>
        <w:spacing w:line="276" w:lineRule="auto"/>
        <w:jc w:val="both"/>
        <w:rPr>
          <w:rFonts w:ascii="Arial" w:hAnsi="Arial" w:cs="Arial"/>
          <w:sz w:val="24"/>
          <w:szCs w:val="24"/>
        </w:rPr>
      </w:pPr>
    </w:p>
    <w:p w14:paraId="19D67597" w14:textId="2A845750" w:rsidR="00406C8A" w:rsidRDefault="00406C8A" w:rsidP="00406C8A">
      <w:pPr>
        <w:tabs>
          <w:tab w:val="num" w:pos="720"/>
        </w:tabs>
        <w:spacing w:line="276" w:lineRule="auto"/>
        <w:jc w:val="both"/>
        <w:rPr>
          <w:rFonts w:ascii="Arial" w:hAnsi="Arial" w:cs="Arial"/>
          <w:sz w:val="24"/>
          <w:szCs w:val="24"/>
        </w:rPr>
      </w:pPr>
      <w:r w:rsidRPr="00406C8A">
        <w:rPr>
          <w:rFonts w:ascii="Arial" w:hAnsi="Arial" w:cs="Arial"/>
          <w:sz w:val="24"/>
          <w:szCs w:val="24"/>
        </w:rPr>
        <w:t xml:space="preserve">The interview culminates with </w:t>
      </w:r>
      <w:proofErr w:type="spellStart"/>
      <w:r w:rsidRPr="00406C8A">
        <w:rPr>
          <w:rFonts w:ascii="Arial" w:hAnsi="Arial" w:cs="Arial"/>
          <w:sz w:val="24"/>
          <w:szCs w:val="24"/>
        </w:rPr>
        <w:t>Dr.</w:t>
      </w:r>
      <w:proofErr w:type="spellEnd"/>
      <w:r w:rsidRPr="00406C8A">
        <w:rPr>
          <w:rFonts w:ascii="Arial" w:hAnsi="Arial" w:cs="Arial"/>
          <w:sz w:val="24"/>
          <w:szCs w:val="24"/>
        </w:rPr>
        <w:t xml:space="preserve"> Masinde stating that in his view the following factors make a Parliamentary Budget Office function well: enabling legislation that gives it appropriate confines and functions, including that it provides the </w:t>
      </w:r>
      <w:r w:rsidRPr="00406C8A">
        <w:rPr>
          <w:rFonts w:ascii="Arial" w:hAnsi="Arial" w:cs="Arial"/>
          <w:sz w:val="24"/>
          <w:szCs w:val="24"/>
          <w:lang w:val="en-ZA"/>
        </w:rPr>
        <w:t xml:space="preserve">terms of information acquisition and the </w:t>
      </w:r>
      <w:r w:rsidRPr="00406C8A">
        <w:rPr>
          <w:rFonts w:ascii="Arial" w:hAnsi="Arial" w:cs="Arial"/>
          <w:sz w:val="24"/>
          <w:szCs w:val="24"/>
        </w:rPr>
        <w:t xml:space="preserve">frameworks for publishing information, allowing it to operate without interference and safeguarding its independence; </w:t>
      </w:r>
      <w:r w:rsidR="00B67D4E" w:rsidRPr="00406C8A">
        <w:rPr>
          <w:rFonts w:ascii="Arial" w:hAnsi="Arial" w:cs="Arial"/>
          <w:sz w:val="24"/>
          <w:szCs w:val="24"/>
        </w:rPr>
        <w:t>on boarding</w:t>
      </w:r>
      <w:r w:rsidRPr="00406C8A">
        <w:rPr>
          <w:rFonts w:ascii="Arial" w:hAnsi="Arial" w:cs="Arial"/>
          <w:sz w:val="24"/>
          <w:szCs w:val="24"/>
        </w:rPr>
        <w:t xml:space="preserve"> experts who have worked in government for long assists in understanding the complexities around budget making; and lastly its credibility and interface with civil society also contributes to how well it functions.</w:t>
      </w:r>
    </w:p>
    <w:p w14:paraId="486570AD" w14:textId="78A50A00" w:rsidR="00F32B60" w:rsidRDefault="00F32B60" w:rsidP="00406C8A">
      <w:pPr>
        <w:tabs>
          <w:tab w:val="num" w:pos="720"/>
        </w:tabs>
        <w:spacing w:line="276" w:lineRule="auto"/>
        <w:jc w:val="both"/>
        <w:rPr>
          <w:rFonts w:ascii="Arial" w:hAnsi="Arial" w:cs="Arial"/>
          <w:sz w:val="24"/>
          <w:szCs w:val="24"/>
        </w:rPr>
      </w:pPr>
    </w:p>
    <w:p w14:paraId="6E7D92C4" w14:textId="1EAB934F" w:rsidR="00F32B60" w:rsidRDefault="00F32B60" w:rsidP="00406C8A">
      <w:pPr>
        <w:tabs>
          <w:tab w:val="num" w:pos="720"/>
        </w:tabs>
        <w:spacing w:line="276" w:lineRule="auto"/>
        <w:jc w:val="both"/>
        <w:rPr>
          <w:rFonts w:ascii="Arial" w:hAnsi="Arial" w:cs="Arial"/>
          <w:sz w:val="24"/>
          <w:szCs w:val="24"/>
        </w:rPr>
      </w:pPr>
    </w:p>
    <w:p w14:paraId="2418C672" w14:textId="77777777" w:rsidR="00F32B60" w:rsidRDefault="00F32B60" w:rsidP="00406C8A">
      <w:pPr>
        <w:tabs>
          <w:tab w:val="num" w:pos="720"/>
        </w:tabs>
        <w:spacing w:line="276" w:lineRule="auto"/>
        <w:jc w:val="both"/>
        <w:rPr>
          <w:rFonts w:ascii="Arial" w:hAnsi="Arial" w:cs="Arial"/>
          <w:sz w:val="24"/>
          <w:szCs w:val="24"/>
        </w:rPr>
      </w:pPr>
    </w:p>
    <w:p w14:paraId="5E0EE4A9" w14:textId="083D0ED8" w:rsidR="00406C8A" w:rsidRDefault="00F40BC2" w:rsidP="00406C8A">
      <w:pPr>
        <w:tabs>
          <w:tab w:val="num" w:pos="720"/>
        </w:tabs>
        <w:spacing w:line="276" w:lineRule="auto"/>
        <w:jc w:val="both"/>
        <w:rPr>
          <w:rFonts w:ascii="Arial" w:hAnsi="Arial" w:cs="Arial"/>
          <w:sz w:val="24"/>
          <w:szCs w:val="24"/>
        </w:rPr>
      </w:pPr>
      <w:r>
        <w:rPr>
          <w:noProof/>
          <w:lang w:val="en-US"/>
        </w:rPr>
        <w:lastRenderedPageBreak/>
        <mc:AlternateContent>
          <mc:Choice Requires="wps">
            <w:drawing>
              <wp:anchor distT="0" distB="0" distL="114300" distR="114300" simplePos="0" relativeHeight="252546046" behindDoc="0" locked="0" layoutInCell="1" allowOverlap="1" wp14:anchorId="517AA6C1" wp14:editId="2A3F2ADC">
                <wp:simplePos x="0" y="0"/>
                <wp:positionH relativeFrom="column">
                  <wp:posOffset>1201420</wp:posOffset>
                </wp:positionH>
                <wp:positionV relativeFrom="paragraph">
                  <wp:posOffset>198120</wp:posOffset>
                </wp:positionV>
                <wp:extent cx="4660900" cy="414020"/>
                <wp:effectExtent l="0" t="0" r="6350" b="5080"/>
                <wp:wrapNone/>
                <wp:docPr id="594" name="Text Box 594"/>
                <wp:cNvGraphicFramePr/>
                <a:graphic xmlns:a="http://schemas.openxmlformats.org/drawingml/2006/main">
                  <a:graphicData uri="http://schemas.microsoft.com/office/word/2010/wordprocessingShape">
                    <wps:wsp>
                      <wps:cNvSpPr txBox="1"/>
                      <wps:spPr>
                        <a:xfrm>
                          <a:off x="0" y="0"/>
                          <a:ext cx="4660900" cy="414020"/>
                        </a:xfrm>
                        <a:prstGeom prst="rect">
                          <a:avLst/>
                        </a:prstGeom>
                        <a:solidFill>
                          <a:schemeClr val="lt1"/>
                        </a:solidFill>
                        <a:ln w="6350">
                          <a:noFill/>
                        </a:ln>
                      </wps:spPr>
                      <wps:txbx>
                        <w:txbxContent>
                          <w:p w14:paraId="4CFF13D5" w14:textId="00E912F1" w:rsidR="00D15FD8" w:rsidRPr="00F40BC2" w:rsidRDefault="00D15FD8" w:rsidP="00D439BC">
                            <w:pPr>
                              <w:pStyle w:val="Heading2"/>
                              <w:rPr>
                                <w:rFonts w:ascii="Arial" w:hAnsi="Arial" w:cs="Arial"/>
                                <w:b/>
                                <w:bCs/>
                                <w:color w:val="69557F"/>
                              </w:rPr>
                            </w:pPr>
                            <w:bookmarkStart w:id="1203" w:name="_Toc119794476"/>
                            <w:bookmarkStart w:id="1204" w:name="_Toc123204475"/>
                            <w:bookmarkStart w:id="1205" w:name="_Toc123216570"/>
                            <w:bookmarkStart w:id="1206" w:name="_Toc123217410"/>
                            <w:bookmarkStart w:id="1207" w:name="_Toc123828159"/>
                            <w:bookmarkStart w:id="1208" w:name="_Toc123828369"/>
                            <w:bookmarkStart w:id="1209" w:name="_Toc123828565"/>
                            <w:bookmarkStart w:id="1210" w:name="_Toc123912592"/>
                            <w:bookmarkStart w:id="1211" w:name="_Toc123912851"/>
                            <w:bookmarkStart w:id="1212" w:name="_Toc123913078"/>
                            <w:bookmarkStart w:id="1213" w:name="_Toc123913369"/>
                            <w:bookmarkStart w:id="1214" w:name="_Toc123914025"/>
                            <w:bookmarkStart w:id="1215" w:name="_Toc125566645"/>
                            <w:r w:rsidRPr="00F40BC2">
                              <w:rPr>
                                <w:rFonts w:ascii="Arial" w:hAnsi="Arial" w:cs="Arial"/>
                                <w:b/>
                                <w:bCs/>
                                <w:color w:val="69557F"/>
                              </w:rPr>
                              <w:t>Brazilian public councils</w:t>
                            </w:r>
                            <w:bookmarkEnd w:id="1203"/>
                            <w:bookmarkEnd w:id="1204"/>
                            <w:bookmarkEnd w:id="1205"/>
                            <w:bookmarkEnd w:id="1206"/>
                            <w:bookmarkEnd w:id="1207"/>
                            <w:bookmarkEnd w:id="1208"/>
                            <w:bookmarkEnd w:id="1209"/>
                            <w:bookmarkEnd w:id="1210"/>
                            <w:bookmarkEnd w:id="1211"/>
                            <w:bookmarkEnd w:id="1212"/>
                            <w:bookmarkEnd w:id="1213"/>
                            <w:bookmarkEnd w:id="1214"/>
                            <w:bookmarkEnd w:id="12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7AA6C1" id="Text Box 594" o:spid="_x0000_s1313" type="#_x0000_t202" style="position:absolute;left:0;text-align:left;margin-left:94.6pt;margin-top:15.6pt;width:367pt;height:32.6pt;z-index:2525460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" fillcolor="white [3201]" stroked="f" strokeweight=".5pt">
                <v:textbox>
                  <w:txbxContent>
                    <w:p w14:paraId="4CFF13D5" w14:textId="00E912F1" w:rsidR="00D15FD8" w:rsidRPr="00F40BC2" w:rsidRDefault="00D15FD8" w:rsidP="00D439BC">
                      <w:pPr>
                        <w:pStyle w:val="Heading2"/>
                        <w:rPr>
                          <w:rFonts w:ascii="Arial" w:hAnsi="Arial" w:cs="Arial"/>
                          <w:b/>
                          <w:bCs/>
                          <w:color w:val="69557F"/>
                        </w:rPr>
                      </w:pPr>
                      <w:bookmarkStart w:id="1216" w:name="_Toc119794476"/>
                      <w:bookmarkStart w:id="1217" w:name="_Toc123204475"/>
                      <w:bookmarkStart w:id="1218" w:name="_Toc123216570"/>
                      <w:bookmarkStart w:id="1219" w:name="_Toc123217410"/>
                      <w:bookmarkStart w:id="1220" w:name="_Toc123828159"/>
                      <w:bookmarkStart w:id="1221" w:name="_Toc123828369"/>
                      <w:bookmarkStart w:id="1222" w:name="_Toc123828565"/>
                      <w:bookmarkStart w:id="1223" w:name="_Toc123912592"/>
                      <w:bookmarkStart w:id="1224" w:name="_Toc123912851"/>
                      <w:bookmarkStart w:id="1225" w:name="_Toc123913078"/>
                      <w:bookmarkStart w:id="1226" w:name="_Toc123913369"/>
                      <w:bookmarkStart w:id="1227" w:name="_Toc123914025"/>
                      <w:bookmarkStart w:id="1228" w:name="_Toc125566645"/>
                      <w:r w:rsidRPr="00F40BC2">
                        <w:rPr>
                          <w:rFonts w:ascii="Arial" w:hAnsi="Arial" w:cs="Arial"/>
                          <w:b/>
                          <w:bCs/>
                          <w:color w:val="69557F"/>
                        </w:rPr>
                        <w:t>Brazilian public councils</w:t>
                      </w:r>
                      <w:bookmarkEnd w:id="1216"/>
                      <w:bookmarkEnd w:id="1217"/>
                      <w:bookmarkEnd w:id="1218"/>
                      <w:bookmarkEnd w:id="1219"/>
                      <w:bookmarkEnd w:id="1220"/>
                      <w:bookmarkEnd w:id="1221"/>
                      <w:bookmarkEnd w:id="1222"/>
                      <w:bookmarkEnd w:id="1223"/>
                      <w:bookmarkEnd w:id="1224"/>
                      <w:bookmarkEnd w:id="1225"/>
                      <w:bookmarkEnd w:id="1226"/>
                      <w:bookmarkEnd w:id="1227"/>
                      <w:bookmarkEnd w:id="1228"/>
                    </w:p>
                  </w:txbxContent>
                </v:textbox>
              </v:shape>
            </w:pict>
          </mc:Fallback>
        </mc:AlternateContent>
      </w:r>
      <w:r w:rsidR="00406C8A">
        <w:rPr>
          <w:noProof/>
          <w:lang w:val="en-US"/>
        </w:rPr>
        <w:drawing>
          <wp:anchor distT="0" distB="0" distL="114300" distR="114300" simplePos="0" relativeHeight="252543998" behindDoc="1" locked="0" layoutInCell="1" allowOverlap="1" wp14:anchorId="54E03BDA" wp14:editId="03F2B2C9">
            <wp:simplePos x="0" y="0"/>
            <wp:positionH relativeFrom="column">
              <wp:posOffset>368300</wp:posOffset>
            </wp:positionH>
            <wp:positionV relativeFrom="paragraph">
              <wp:posOffset>152969</wp:posOffset>
            </wp:positionV>
            <wp:extent cx="712470" cy="498475"/>
            <wp:effectExtent l="152400" t="152400" r="201930" b="200025"/>
            <wp:wrapTight wrapText="bothSides">
              <wp:wrapPolygon edited="0">
                <wp:start x="1155" y="-6604"/>
                <wp:lineTo x="-4620" y="-5503"/>
                <wp:lineTo x="-4235" y="21462"/>
                <wp:lineTo x="770" y="28617"/>
                <wp:lineTo x="1155" y="29717"/>
                <wp:lineTo x="21561" y="29717"/>
                <wp:lineTo x="21947" y="28617"/>
                <wp:lineTo x="26952" y="21462"/>
                <wp:lineTo x="27337" y="3302"/>
                <wp:lineTo x="21947" y="-4953"/>
                <wp:lineTo x="21561" y="-6604"/>
                <wp:lineTo x="1155" y="-6604"/>
              </wp:wrapPolygon>
            </wp:wrapTight>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1" cstate="email">
                      <a:extLst>
                        <a:ext uri="{28A0092B-C50C-407E-A947-70E740481C1C}">
                          <a14:useLocalDpi xmlns:a14="http://schemas.microsoft.com/office/drawing/2010/main"/>
                        </a:ext>
                      </a:extLst>
                    </a:blip>
                    <a:srcRect/>
                    <a:stretch>
                      <a:fillRect/>
                    </a:stretch>
                  </pic:blipFill>
                  <pic:spPr bwMode="auto">
                    <a:xfrm>
                      <a:off x="0" y="0"/>
                      <a:ext cx="712470" cy="498475"/>
                    </a:xfrm>
                    <a:prstGeom prst="rect">
                      <a:avLst/>
                    </a:prstGeom>
                    <a:noFill/>
                    <a:ln>
                      <a:noFill/>
                    </a:ln>
                    <a:effectLst>
                      <a:outerShdw blurRad="215900" dist="38100" dir="2700000" algn="tl" rotWithShape="0">
                        <a:srgbClr val="7030A0">
                          <a:alpha val="40000"/>
                        </a:srgbClr>
                      </a:outerShdw>
                    </a:effectLst>
                  </pic:spPr>
                </pic:pic>
              </a:graphicData>
            </a:graphic>
            <wp14:sizeRelH relativeFrom="page">
              <wp14:pctWidth>0</wp14:pctWidth>
            </wp14:sizeRelH>
            <wp14:sizeRelV relativeFrom="page">
              <wp14:pctHeight>0</wp14:pctHeight>
            </wp14:sizeRelV>
          </wp:anchor>
        </w:drawing>
      </w:r>
    </w:p>
    <w:p w14:paraId="189B55F8" w14:textId="3E456B95" w:rsidR="00406C8A" w:rsidRPr="00406C8A" w:rsidRDefault="00406C8A" w:rsidP="00406C8A">
      <w:pPr>
        <w:tabs>
          <w:tab w:val="num" w:pos="720"/>
        </w:tabs>
        <w:spacing w:line="276" w:lineRule="auto"/>
        <w:jc w:val="both"/>
        <w:rPr>
          <w:rFonts w:ascii="Arial" w:hAnsi="Arial" w:cs="Arial"/>
          <w:sz w:val="24"/>
          <w:szCs w:val="24"/>
        </w:rPr>
      </w:pPr>
      <w:r>
        <w:fldChar w:fldCharType="begin"/>
      </w:r>
      <w:r>
        <w:instrText xml:space="preserve"> INCLUDEPICTURE "https://cdn.britannica.com/47/6847-004-7D668BB0/Flag-Brazil.jpg" \* MERGEFORMATINET </w:instrText>
      </w:r>
      <w:r>
        <w:fldChar w:fldCharType="end"/>
      </w:r>
    </w:p>
    <w:p w14:paraId="11DBD366" w14:textId="3BBFFF48" w:rsidR="00406C8A" w:rsidRDefault="00406C8A" w:rsidP="00406C8A"/>
    <w:p w14:paraId="6B14A5D0" w14:textId="37E1E9DC" w:rsidR="00406C8A" w:rsidRDefault="0051115F" w:rsidP="00406C8A">
      <w:pPr>
        <w:tabs>
          <w:tab w:val="left" w:pos="2200"/>
        </w:tabs>
      </w:pPr>
      <w:r>
        <w:rPr>
          <w:rFonts w:ascii="Arial" w:hAnsi="Arial" w:cs="Arial"/>
          <w:iCs/>
          <w:noProof/>
          <w:sz w:val="24"/>
          <w:szCs w:val="24"/>
          <w:lang w:val="en-US"/>
        </w:rPr>
        <mc:AlternateContent>
          <mc:Choice Requires="wps">
            <w:drawing>
              <wp:anchor distT="0" distB="0" distL="114300" distR="114300" simplePos="0" relativeHeight="255319038" behindDoc="0" locked="0" layoutInCell="1" allowOverlap="1" wp14:anchorId="6A3DD482" wp14:editId="33583892">
                <wp:simplePos x="0" y="0"/>
                <wp:positionH relativeFrom="column">
                  <wp:posOffset>386606</wp:posOffset>
                </wp:positionH>
                <wp:positionV relativeFrom="paragraph">
                  <wp:posOffset>155575</wp:posOffset>
                </wp:positionV>
                <wp:extent cx="709930" cy="254000"/>
                <wp:effectExtent l="0" t="0" r="1270" b="0"/>
                <wp:wrapSquare wrapText="bothSides"/>
                <wp:docPr id="93" name="Text Box 93"/>
                <wp:cNvGraphicFramePr/>
                <a:graphic xmlns:a="http://schemas.openxmlformats.org/drawingml/2006/main">
                  <a:graphicData uri="http://schemas.microsoft.com/office/word/2010/wordprocessingShape">
                    <wps:wsp>
                      <wps:cNvSpPr txBox="1"/>
                      <wps:spPr>
                        <a:xfrm>
                          <a:off x="0" y="0"/>
                          <a:ext cx="709930" cy="254000"/>
                        </a:xfrm>
                        <a:prstGeom prst="rect">
                          <a:avLst/>
                        </a:prstGeom>
                        <a:solidFill>
                          <a:schemeClr val="lt1"/>
                        </a:solidFill>
                        <a:ln w="6350">
                          <a:noFill/>
                        </a:ln>
                      </wps:spPr>
                      <wps:txbx>
                        <w:txbxContent>
                          <w:p w14:paraId="56D5FB41" w14:textId="7F45BC9C" w:rsidR="00D15FD8" w:rsidRPr="0051115F" w:rsidRDefault="00D15FD8" w:rsidP="0051115F">
                            <w:pPr>
                              <w:jc w:val="center"/>
                              <w:rPr>
                                <w:rFonts w:ascii="Arial" w:hAnsi="Arial" w:cs="Arial"/>
                                <w:b/>
                                <w:bCs/>
                                <w:color w:val="69557F"/>
                                <w:sz w:val="20"/>
                                <w:szCs w:val="20"/>
                                <w:lang w:val="en-US"/>
                              </w:rPr>
                            </w:pPr>
                            <w:r>
                              <w:rPr>
                                <w:rFonts w:ascii="Arial" w:hAnsi="Arial" w:cs="Arial"/>
                                <w:b/>
                                <w:bCs/>
                                <w:color w:val="69557F"/>
                                <w:sz w:val="20"/>
                                <w:szCs w:val="20"/>
                                <w:lang w:val="en-US"/>
                              </w:rPr>
                              <w:t>Brazil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DD482" id="Text Box 93" o:spid="_x0000_s1314" type="#_x0000_t202" style="position:absolute;margin-left:30.45pt;margin-top:12.25pt;width:55.9pt;height:20pt;z-index:255319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" fillcolor="white [3201]" stroked="f" strokeweight=".5pt">
                <v:textbox>
                  <w:txbxContent>
                    <w:p w14:paraId="56D5FB41" w14:textId="7F45BC9C" w:rsidR="00D15FD8" w:rsidRPr="0051115F" w:rsidRDefault="00D15FD8" w:rsidP="0051115F">
                      <w:pPr>
                        <w:jc w:val="center"/>
                        <w:rPr>
                          <w:rFonts w:ascii="Arial" w:hAnsi="Arial" w:cs="Arial"/>
                          <w:b/>
                          <w:bCs/>
                          <w:color w:val="69557F"/>
                          <w:sz w:val="20"/>
                          <w:szCs w:val="20"/>
                          <w:lang w:val="en-US"/>
                        </w:rPr>
                      </w:pPr>
                      <w:r>
                        <w:rPr>
                          <w:rFonts w:ascii="Arial" w:hAnsi="Arial" w:cs="Arial"/>
                          <w:b/>
                          <w:bCs/>
                          <w:color w:val="69557F"/>
                          <w:sz w:val="20"/>
                          <w:szCs w:val="20"/>
                          <w:lang w:val="en-US"/>
                        </w:rPr>
                        <w:t>Brazil</w:t>
                      </w:r>
                    </w:p>
                  </w:txbxContent>
                </v:textbox>
                <w10:wrap type="square"/>
              </v:shape>
            </w:pict>
          </mc:Fallback>
        </mc:AlternateContent>
      </w:r>
    </w:p>
    <w:p w14:paraId="0859EF3D" w14:textId="3549A9D0" w:rsidR="00406C8A" w:rsidRDefault="00406C8A" w:rsidP="00406C8A">
      <w:pPr>
        <w:tabs>
          <w:tab w:val="left" w:pos="2200"/>
        </w:tabs>
      </w:pPr>
    </w:p>
    <w:p w14:paraId="487925AB" w14:textId="77777777" w:rsidR="0051115F" w:rsidRDefault="0051115F" w:rsidP="00406C8A">
      <w:pPr>
        <w:spacing w:line="276" w:lineRule="auto"/>
        <w:jc w:val="both"/>
        <w:rPr>
          <w:rFonts w:ascii="Arial" w:hAnsi="Arial" w:cs="Arial"/>
          <w:sz w:val="24"/>
          <w:szCs w:val="24"/>
        </w:rPr>
      </w:pPr>
    </w:p>
    <w:p w14:paraId="575C6A02" w14:textId="6A2F8372" w:rsidR="00406C8A" w:rsidRPr="00406C8A" w:rsidRDefault="00D50297" w:rsidP="00406C8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917182" behindDoc="0" locked="0" layoutInCell="1" allowOverlap="1" wp14:anchorId="0A15B093" wp14:editId="037391C2">
                <wp:simplePos x="0" y="0"/>
                <wp:positionH relativeFrom="column">
                  <wp:posOffset>673100</wp:posOffset>
                </wp:positionH>
                <wp:positionV relativeFrom="paragraph">
                  <wp:posOffset>527050</wp:posOffset>
                </wp:positionV>
                <wp:extent cx="1041400" cy="279400"/>
                <wp:effectExtent l="0" t="0" r="0" b="6350"/>
                <wp:wrapNone/>
                <wp:docPr id="1735" name="Text Box 1735"/>
                <wp:cNvGraphicFramePr/>
                <a:graphic xmlns:a="http://schemas.openxmlformats.org/drawingml/2006/main">
                  <a:graphicData uri="http://schemas.microsoft.com/office/word/2010/wordprocessingShape">
                    <wps:wsp>
                      <wps:cNvSpPr txBox="1"/>
                      <wps:spPr>
                        <a:xfrm>
                          <a:off x="0" y="0"/>
                          <a:ext cx="1041400" cy="279400"/>
                        </a:xfrm>
                        <a:prstGeom prst="rect">
                          <a:avLst/>
                        </a:prstGeom>
                        <a:noFill/>
                        <a:ln w="6350">
                          <a:noFill/>
                        </a:ln>
                      </wps:spPr>
                      <wps:txbx>
                        <w:txbxContent>
                          <w:p w14:paraId="5E8A1273" w14:textId="4EC8F528" w:rsidR="00D15FD8" w:rsidRPr="00FF4159" w:rsidRDefault="00AC4DF7" w:rsidP="00FF4159">
                            <w:pPr>
                              <w:jc w:val="center"/>
                              <w:rPr>
                                <w:rFonts w:ascii="Arial" w:hAnsi="Arial" w:cs="Arial"/>
                                <w:b/>
                                <w:bCs/>
                                <w:color w:val="FFFFFF" w:themeColor="background1"/>
                                <w:sz w:val="24"/>
                                <w:szCs w:val="24"/>
                                <w:u w:val="single"/>
                              </w:rPr>
                            </w:pPr>
                            <w:hyperlink r:id="rId552" w:history="1">
                              <w:r w:rsidR="00D15FD8" w:rsidRPr="00FF4159">
                                <w:rPr>
                                  <w:rStyle w:val="Hyperlink"/>
                                  <w:rFonts w:ascii="Arial" w:hAnsi="Arial" w:cs="Arial"/>
                                  <w:b/>
                                  <w:bCs/>
                                  <w:color w:val="FFFFFF" w:themeColor="background1"/>
                                  <w:sz w:val="24"/>
                                  <w:szCs w:val="24"/>
                                </w:rPr>
                                <w:t>Watch</w:t>
                              </w:r>
                            </w:hyperlink>
                            <w:r w:rsidR="00D15FD8" w:rsidRPr="00FF4159">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15B093" id="Text Box 1735" o:spid="_x0000_s1315" type="#_x0000_t202" style="position:absolute;left:0;text-align:left;margin-left:53pt;margin-top:41.5pt;width:82pt;height:22pt;z-index:2539171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" filled="f" stroked="f" strokeweight=".5pt">
                <v:textbox>
                  <w:txbxContent>
                    <w:p w14:paraId="5E8A1273" w14:textId="4EC8F528" w:rsidR="00D15FD8" w:rsidRPr="00FF4159" w:rsidRDefault="00AC4DF7" w:rsidP="00FF4159">
                      <w:pPr>
                        <w:jc w:val="center"/>
                        <w:rPr>
                          <w:rFonts w:ascii="Arial" w:hAnsi="Arial" w:cs="Arial"/>
                          <w:b/>
                          <w:bCs/>
                          <w:color w:val="FFFFFF" w:themeColor="background1"/>
                          <w:sz w:val="24"/>
                          <w:szCs w:val="24"/>
                          <w:u w:val="single"/>
                        </w:rPr>
                      </w:pPr>
                      <w:hyperlink r:id="rId553" w:history="1">
                        <w:r w:rsidR="00D15FD8" w:rsidRPr="00FF4159">
                          <w:rPr>
                            <w:rStyle w:val="Hyperlink"/>
                            <w:rFonts w:ascii="Arial" w:hAnsi="Arial" w:cs="Arial"/>
                            <w:b/>
                            <w:bCs/>
                            <w:color w:val="FFFFFF" w:themeColor="background1"/>
                            <w:sz w:val="24"/>
                            <w:szCs w:val="24"/>
                          </w:rPr>
                          <w:t>Watch</w:t>
                        </w:r>
                      </w:hyperlink>
                      <w:r w:rsidR="00D15FD8" w:rsidRPr="00FF4159">
                        <w:rPr>
                          <w:rStyle w:val="Hyperlink"/>
                          <w:rFonts w:ascii="Arial" w:hAnsi="Arial" w:cs="Arial"/>
                          <w:b/>
                          <w:bCs/>
                          <w:color w:val="FFFFFF" w:themeColor="background1"/>
                          <w:sz w:val="24"/>
                          <w:szCs w:val="24"/>
                        </w:rPr>
                        <w:t xml:space="preserve"> here</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916158" behindDoc="0" locked="0" layoutInCell="1" allowOverlap="1" wp14:anchorId="75A00EFB" wp14:editId="1BC96EA0">
                <wp:simplePos x="0" y="0"/>
                <wp:positionH relativeFrom="column">
                  <wp:posOffset>658495</wp:posOffset>
                </wp:positionH>
                <wp:positionV relativeFrom="paragraph">
                  <wp:posOffset>497042</wp:posOffset>
                </wp:positionV>
                <wp:extent cx="1028700" cy="355600"/>
                <wp:effectExtent l="0" t="0" r="0" b="6350"/>
                <wp:wrapSquare wrapText="bothSides"/>
                <wp:docPr id="72" name="Rounded Rectangle 72"/>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4EA727C" id="Rounded Rectangle 72" o:spid="_x0000_s1026" style="position:absolute;margin-left:51.85pt;margin-top:39.15pt;width:81pt;height:28pt;z-index:253916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3915134" behindDoc="0" locked="0" layoutInCell="1" allowOverlap="1" wp14:anchorId="3E162461" wp14:editId="63CE4B33">
            <wp:simplePos x="0" y="0"/>
            <wp:positionH relativeFrom="column">
              <wp:posOffset>0</wp:posOffset>
            </wp:positionH>
            <wp:positionV relativeFrom="paragraph">
              <wp:posOffset>477520</wp:posOffset>
            </wp:positionV>
            <wp:extent cx="582930" cy="410210"/>
            <wp:effectExtent l="0" t="0" r="7620" b="889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6C8A" w:rsidRPr="00406C8A">
        <w:rPr>
          <w:rFonts w:ascii="Arial" w:hAnsi="Arial" w:cs="Arial"/>
          <w:sz w:val="24"/>
          <w:szCs w:val="24"/>
        </w:rPr>
        <w:t>Brazil has a rich history of public councils at different levels of government. These</w:t>
      </w:r>
      <w:r w:rsidR="00406C8A" w:rsidRPr="00406C8A">
        <w:rPr>
          <w:rFonts w:ascii="Arial" w:hAnsi="Arial" w:cs="Arial"/>
          <w:sz w:val="24"/>
          <w:szCs w:val="24"/>
          <w:lang w:val="en-ZA"/>
        </w:rPr>
        <w:t xml:space="preserve"> public councils are consultative bodies/boards, </w:t>
      </w:r>
      <w:r w:rsidR="00406C8A" w:rsidRPr="00406C8A">
        <w:rPr>
          <w:rFonts w:ascii="Arial" w:hAnsi="Arial" w:cs="Arial"/>
          <w:sz w:val="24"/>
          <w:szCs w:val="24"/>
        </w:rPr>
        <w:t xml:space="preserve">composed of governmental and non-governmental representatives, working together to </w:t>
      </w:r>
      <w:r w:rsidR="00406C8A" w:rsidRPr="00406C8A">
        <w:rPr>
          <w:rFonts w:ascii="Arial" w:hAnsi="Arial" w:cs="Arial"/>
          <w:sz w:val="24"/>
          <w:szCs w:val="24"/>
          <w:lang w:val="en-ZA"/>
        </w:rPr>
        <w:t>oversee and evaluate specific fields of public policies.</w:t>
      </w:r>
      <w:r w:rsidR="00406C8A" w:rsidRPr="00406C8A">
        <w:rPr>
          <w:rFonts w:ascii="Arial" w:hAnsi="Arial" w:cs="Arial"/>
          <w:sz w:val="24"/>
          <w:szCs w:val="24"/>
        </w:rPr>
        <w:t xml:space="preserve"> Some councils have been more effective than others. In an </w:t>
      </w:r>
      <w:hyperlink r:id="rId554" w:history="1">
        <w:r w:rsidR="00406C8A" w:rsidRPr="00406C8A">
          <w:rPr>
            <w:rStyle w:val="Hyperlink"/>
            <w:rFonts w:ascii="Arial" w:hAnsi="Arial" w:cs="Arial"/>
            <w:sz w:val="24"/>
            <w:szCs w:val="24"/>
          </w:rPr>
          <w:t>interview</w:t>
        </w:r>
      </w:hyperlink>
      <w:r w:rsidR="00406C8A" w:rsidRPr="00406C8A">
        <w:rPr>
          <w:rFonts w:ascii="Arial" w:hAnsi="Arial" w:cs="Arial"/>
          <w:sz w:val="24"/>
          <w:szCs w:val="24"/>
        </w:rPr>
        <w:t xml:space="preserve">, recorded in April 2021, this was explored to understand some of the factors that underlie this, providing valuable lessons on the effective functioning of these key independent fiscal institutions. </w:t>
      </w:r>
    </w:p>
    <w:p w14:paraId="0F5BA92B" w14:textId="5FFB6812" w:rsidR="00406C8A" w:rsidRPr="00406C8A" w:rsidRDefault="00406C8A" w:rsidP="00406C8A">
      <w:pPr>
        <w:spacing w:line="276" w:lineRule="auto"/>
        <w:jc w:val="both"/>
        <w:rPr>
          <w:rFonts w:ascii="Arial" w:hAnsi="Arial" w:cs="Arial"/>
          <w:sz w:val="24"/>
          <w:szCs w:val="24"/>
        </w:rPr>
      </w:pPr>
    </w:p>
    <w:p w14:paraId="4A759350" w14:textId="32C2BD93" w:rsidR="00406C8A" w:rsidRPr="00406C8A" w:rsidRDefault="00406C8A" w:rsidP="00406C8A">
      <w:pPr>
        <w:spacing w:line="276" w:lineRule="auto"/>
        <w:jc w:val="both"/>
        <w:rPr>
          <w:rFonts w:ascii="Arial" w:hAnsi="Arial" w:cs="Arial"/>
          <w:sz w:val="24"/>
          <w:szCs w:val="24"/>
          <w:lang w:val="en-ZA"/>
        </w:rPr>
      </w:pPr>
      <w:r w:rsidRPr="00406C8A">
        <w:rPr>
          <w:rFonts w:ascii="Arial" w:hAnsi="Arial" w:cs="Arial"/>
          <w:sz w:val="24"/>
          <w:szCs w:val="24"/>
        </w:rPr>
        <w:t xml:space="preserve">Public councils can be very effective in bringing people together with diverse points of view, to discuss and try reach agreement regarding issues that cannot be completely resolved by the government alone. Their success in doing so, depends on many factors, including the strength of their legal foundation, the dynamics of civil society/non-governmental actors in the specific policy area, as well as whether there is a trust relationship between the different actors around the table. For instance, in the Brazilian health sector, there is an established legal framework for councils to function as well as a strong, well organized, civil society that has been present from early on, demanding to play a prominent role. Such councils, have become entrenched in government, and as such, non-government </w:t>
      </w:r>
      <w:proofErr w:type="spellStart"/>
      <w:r w:rsidRPr="00406C8A">
        <w:rPr>
          <w:rFonts w:ascii="Arial" w:hAnsi="Arial" w:cs="Arial"/>
          <w:sz w:val="24"/>
          <w:szCs w:val="24"/>
        </w:rPr>
        <w:t>councilors</w:t>
      </w:r>
      <w:proofErr w:type="spellEnd"/>
      <w:r w:rsidRPr="00406C8A">
        <w:rPr>
          <w:rFonts w:ascii="Arial" w:hAnsi="Arial" w:cs="Arial"/>
          <w:sz w:val="24"/>
          <w:szCs w:val="24"/>
        </w:rPr>
        <w:t xml:space="preserve"> are able to actively access information and engage the bureaucracy directly, playing a proactive role rather than a passive role waiting for government to supply information to them. The advantages of well-functioning social councils include that </w:t>
      </w:r>
      <w:r w:rsidRPr="00406C8A">
        <w:rPr>
          <w:rFonts w:ascii="Arial" w:hAnsi="Arial" w:cs="Arial"/>
          <w:sz w:val="24"/>
          <w:szCs w:val="24"/>
          <w:lang w:val="en-ZA"/>
        </w:rPr>
        <w:t>non-governmental actors become protagonists of public policies, actively getting insights on how government works forming realistic expectations, this is then normally coupled with government becoming more transparent and responsive. Lastly it is critically important that councils are seen to operate in an ethical, transparent manner, for instance, the selection of councillors should be undertaken in a transparent fair manner, such that there is trust that they are operating for the public good.</w:t>
      </w:r>
    </w:p>
    <w:p w14:paraId="775586A1" w14:textId="254202D9" w:rsidR="00406C8A" w:rsidRDefault="00F40BC2" w:rsidP="00406C8A">
      <w:pPr>
        <w:tabs>
          <w:tab w:val="left" w:pos="2200"/>
        </w:tabs>
        <w:spacing w:line="276" w:lineRule="auto"/>
        <w:rPr>
          <w:rFonts w:ascii="Arial" w:hAnsi="Arial" w:cs="Arial"/>
          <w:sz w:val="24"/>
          <w:szCs w:val="24"/>
        </w:rPr>
      </w:pPr>
      <w:r>
        <w:rPr>
          <w:noProof/>
          <w:lang w:val="en-US"/>
        </w:rPr>
        <mc:AlternateContent>
          <mc:Choice Requires="wps">
            <w:drawing>
              <wp:anchor distT="0" distB="0" distL="114300" distR="114300" simplePos="0" relativeHeight="252549118" behindDoc="0" locked="0" layoutInCell="1" allowOverlap="1" wp14:anchorId="70D8716F" wp14:editId="2BAD8C2A">
                <wp:simplePos x="0" y="0"/>
                <wp:positionH relativeFrom="column">
                  <wp:posOffset>1206500</wp:posOffset>
                </wp:positionH>
                <wp:positionV relativeFrom="paragraph">
                  <wp:posOffset>202565</wp:posOffset>
                </wp:positionV>
                <wp:extent cx="4660900" cy="414020"/>
                <wp:effectExtent l="0" t="0" r="6350" b="5080"/>
                <wp:wrapNone/>
                <wp:docPr id="596" name="Text Box 596"/>
                <wp:cNvGraphicFramePr/>
                <a:graphic xmlns:a="http://schemas.openxmlformats.org/drawingml/2006/main">
                  <a:graphicData uri="http://schemas.microsoft.com/office/word/2010/wordprocessingShape">
                    <wps:wsp>
                      <wps:cNvSpPr txBox="1"/>
                      <wps:spPr>
                        <a:xfrm>
                          <a:off x="0" y="0"/>
                          <a:ext cx="4660900" cy="414020"/>
                        </a:xfrm>
                        <a:prstGeom prst="rect">
                          <a:avLst/>
                        </a:prstGeom>
                        <a:solidFill>
                          <a:schemeClr val="lt1"/>
                        </a:solidFill>
                        <a:ln w="6350">
                          <a:noFill/>
                        </a:ln>
                      </wps:spPr>
                      <wps:txbx>
                        <w:txbxContent>
                          <w:p w14:paraId="235C1971" w14:textId="352421D1" w:rsidR="00D15FD8" w:rsidRPr="00F40BC2" w:rsidRDefault="00D15FD8" w:rsidP="00D439BC">
                            <w:pPr>
                              <w:pStyle w:val="Heading2"/>
                              <w:rPr>
                                <w:rFonts w:ascii="Arial" w:hAnsi="Arial" w:cs="Arial"/>
                                <w:b/>
                                <w:bCs/>
                                <w:color w:val="69557F"/>
                              </w:rPr>
                            </w:pPr>
                            <w:bookmarkStart w:id="1229" w:name="_Toc119794477"/>
                            <w:bookmarkStart w:id="1230" w:name="_Toc123204476"/>
                            <w:bookmarkStart w:id="1231" w:name="_Toc123216571"/>
                            <w:bookmarkStart w:id="1232" w:name="_Toc123217411"/>
                            <w:bookmarkStart w:id="1233" w:name="_Toc123828160"/>
                            <w:bookmarkStart w:id="1234" w:name="_Toc123828370"/>
                            <w:bookmarkStart w:id="1235" w:name="_Toc123828566"/>
                            <w:bookmarkStart w:id="1236" w:name="_Toc123912593"/>
                            <w:bookmarkStart w:id="1237" w:name="_Toc123912852"/>
                            <w:bookmarkStart w:id="1238" w:name="_Toc123913079"/>
                            <w:bookmarkStart w:id="1239" w:name="_Toc123913370"/>
                            <w:bookmarkStart w:id="1240" w:name="_Toc123914026"/>
                            <w:bookmarkStart w:id="1241" w:name="_Toc125566646"/>
                            <w:r w:rsidRPr="00F40BC2">
                              <w:rPr>
                                <w:rFonts w:ascii="Arial" w:hAnsi="Arial" w:cs="Arial"/>
                                <w:b/>
                                <w:bCs/>
                                <w:color w:val="69557F"/>
                              </w:rPr>
                              <w:t>Chilean independent commissions</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D8716F" id="Text Box 596" o:spid="_x0000_s1316" type="#_x0000_t202" style="position:absolute;margin-left:95pt;margin-top:15.95pt;width:367pt;height:32.6pt;z-index:2525491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" fillcolor="white [3201]" stroked="f" strokeweight=".5pt">
                <v:textbox>
                  <w:txbxContent>
                    <w:p w14:paraId="235C1971" w14:textId="352421D1" w:rsidR="00D15FD8" w:rsidRPr="00F40BC2" w:rsidRDefault="00D15FD8" w:rsidP="00D439BC">
                      <w:pPr>
                        <w:pStyle w:val="Heading2"/>
                        <w:rPr>
                          <w:rFonts w:ascii="Arial" w:hAnsi="Arial" w:cs="Arial"/>
                          <w:b/>
                          <w:bCs/>
                          <w:color w:val="69557F"/>
                        </w:rPr>
                      </w:pPr>
                      <w:bookmarkStart w:id="1242" w:name="_Toc119794477"/>
                      <w:bookmarkStart w:id="1243" w:name="_Toc123204476"/>
                      <w:bookmarkStart w:id="1244" w:name="_Toc123216571"/>
                      <w:bookmarkStart w:id="1245" w:name="_Toc123217411"/>
                      <w:bookmarkStart w:id="1246" w:name="_Toc123828160"/>
                      <w:bookmarkStart w:id="1247" w:name="_Toc123828370"/>
                      <w:bookmarkStart w:id="1248" w:name="_Toc123828566"/>
                      <w:bookmarkStart w:id="1249" w:name="_Toc123912593"/>
                      <w:bookmarkStart w:id="1250" w:name="_Toc123912852"/>
                      <w:bookmarkStart w:id="1251" w:name="_Toc123913079"/>
                      <w:bookmarkStart w:id="1252" w:name="_Toc123913370"/>
                      <w:bookmarkStart w:id="1253" w:name="_Toc123914026"/>
                      <w:bookmarkStart w:id="1254" w:name="_Toc125566646"/>
                      <w:r w:rsidRPr="00F40BC2">
                        <w:rPr>
                          <w:rFonts w:ascii="Arial" w:hAnsi="Arial" w:cs="Arial"/>
                          <w:b/>
                          <w:bCs/>
                          <w:color w:val="69557F"/>
                        </w:rPr>
                        <w:t>Chilean independent commissions</w:t>
                      </w:r>
                      <w:bookmarkEnd w:id="1242"/>
                      <w:bookmarkEnd w:id="1243"/>
                      <w:bookmarkEnd w:id="1244"/>
                      <w:bookmarkEnd w:id="1245"/>
                      <w:bookmarkEnd w:id="1246"/>
                      <w:bookmarkEnd w:id="1247"/>
                      <w:bookmarkEnd w:id="1248"/>
                      <w:bookmarkEnd w:id="1249"/>
                      <w:bookmarkEnd w:id="1250"/>
                      <w:bookmarkEnd w:id="1251"/>
                      <w:bookmarkEnd w:id="1252"/>
                      <w:bookmarkEnd w:id="1253"/>
                      <w:bookmarkEnd w:id="1254"/>
                    </w:p>
                  </w:txbxContent>
                </v:textbox>
              </v:shape>
            </w:pict>
          </mc:Fallback>
        </mc:AlternateContent>
      </w:r>
      <w:r w:rsidR="00406C8A">
        <w:rPr>
          <w:noProof/>
          <w:lang w:val="en-US"/>
        </w:rPr>
        <w:drawing>
          <wp:anchor distT="0" distB="0" distL="114300" distR="114300" simplePos="0" relativeHeight="252547070" behindDoc="1" locked="0" layoutInCell="1" allowOverlap="1" wp14:anchorId="2C6FD9C2" wp14:editId="087A4C83">
            <wp:simplePos x="0" y="0"/>
            <wp:positionH relativeFrom="column">
              <wp:posOffset>381000</wp:posOffset>
            </wp:positionH>
            <wp:positionV relativeFrom="paragraph">
              <wp:posOffset>159276</wp:posOffset>
            </wp:positionV>
            <wp:extent cx="712470" cy="474345"/>
            <wp:effectExtent l="139700" t="139700" r="189230" b="186055"/>
            <wp:wrapTight wrapText="bothSides">
              <wp:wrapPolygon edited="0">
                <wp:start x="1925" y="-6361"/>
                <wp:lineTo x="-4235" y="-5205"/>
                <wp:lineTo x="-4235" y="13301"/>
                <wp:lineTo x="-3465" y="23133"/>
                <wp:lineTo x="1540" y="28337"/>
                <wp:lineTo x="1925" y="29494"/>
                <wp:lineTo x="20791" y="29494"/>
                <wp:lineTo x="21176" y="28337"/>
                <wp:lineTo x="26182" y="23133"/>
                <wp:lineTo x="26952" y="13301"/>
                <wp:lineTo x="26952" y="3470"/>
                <wp:lineTo x="21176" y="-5205"/>
                <wp:lineTo x="20791" y="-6361"/>
                <wp:lineTo x="1925" y="-6361"/>
              </wp:wrapPolygon>
            </wp:wrapTight>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5" cstate="email">
                      <a:extLst>
                        <a:ext uri="{28A0092B-C50C-407E-A947-70E740481C1C}">
                          <a14:useLocalDpi xmlns:a14="http://schemas.microsoft.com/office/drawing/2010/main"/>
                        </a:ext>
                      </a:extLst>
                    </a:blip>
                    <a:srcRect/>
                    <a:stretch>
                      <a:fillRect/>
                    </a:stretch>
                  </pic:blipFill>
                  <pic:spPr bwMode="auto">
                    <a:xfrm>
                      <a:off x="0" y="0"/>
                      <a:ext cx="712470" cy="474345"/>
                    </a:xfrm>
                    <a:prstGeom prst="rect">
                      <a:avLst/>
                    </a:prstGeom>
                    <a:noFill/>
                    <a:ln>
                      <a:noFill/>
                    </a:ln>
                    <a:effectLst>
                      <a:outerShdw blurRad="190500" dist="38100" dir="2700000" algn="tl" rotWithShape="0">
                        <a:srgbClr val="69557F">
                          <a:alpha val="40000"/>
                        </a:srgbClr>
                      </a:outerShdw>
                    </a:effectLst>
                  </pic:spPr>
                </pic:pic>
              </a:graphicData>
            </a:graphic>
            <wp14:sizeRelH relativeFrom="page">
              <wp14:pctWidth>0</wp14:pctWidth>
            </wp14:sizeRelH>
            <wp14:sizeRelV relativeFrom="page">
              <wp14:pctHeight>0</wp14:pctHeight>
            </wp14:sizeRelV>
          </wp:anchor>
        </w:drawing>
      </w:r>
    </w:p>
    <w:p w14:paraId="2DC0CF09" w14:textId="16DFDD85" w:rsidR="00406C8A" w:rsidRDefault="00406C8A" w:rsidP="00406C8A">
      <w:pPr>
        <w:tabs>
          <w:tab w:val="left" w:pos="2200"/>
        </w:tabs>
        <w:spacing w:line="276" w:lineRule="auto"/>
      </w:pPr>
      <w:r>
        <w:fldChar w:fldCharType="begin"/>
      </w:r>
      <w:r>
        <w:instrText xml:space="preserve"> INCLUDEPICTURE "https://cdn.britannica.com/85/7485-004-00B07230/Flag-Chile.jpg" \* MERGEFORMATINET </w:instrText>
      </w:r>
      <w:r>
        <w:fldChar w:fldCharType="end"/>
      </w:r>
    </w:p>
    <w:p w14:paraId="40114DB9" w14:textId="03BA2CF6" w:rsidR="00406C8A" w:rsidRDefault="00406C8A" w:rsidP="00406C8A">
      <w:pPr>
        <w:rPr>
          <w:rFonts w:ascii="Arial" w:hAnsi="Arial" w:cs="Arial"/>
          <w:sz w:val="24"/>
          <w:szCs w:val="24"/>
        </w:rPr>
      </w:pPr>
    </w:p>
    <w:p w14:paraId="185B828B" w14:textId="5FE24CD6" w:rsidR="0051115F" w:rsidRPr="00406C8A" w:rsidRDefault="0051115F" w:rsidP="00406C8A">
      <w:pPr>
        <w:rPr>
          <w:rFonts w:ascii="Arial" w:hAnsi="Arial" w:cs="Arial"/>
          <w:sz w:val="24"/>
          <w:szCs w:val="24"/>
        </w:rPr>
      </w:pPr>
      <w:r>
        <w:rPr>
          <w:rFonts w:ascii="Arial" w:hAnsi="Arial" w:cs="Arial"/>
          <w:iCs/>
          <w:noProof/>
          <w:sz w:val="24"/>
          <w:szCs w:val="24"/>
          <w:lang w:val="en-US"/>
        </w:rPr>
        <mc:AlternateContent>
          <mc:Choice Requires="wps">
            <w:drawing>
              <wp:anchor distT="0" distB="0" distL="114300" distR="114300" simplePos="0" relativeHeight="255316990" behindDoc="0" locked="0" layoutInCell="1" allowOverlap="1" wp14:anchorId="105985CF" wp14:editId="47C736B6">
                <wp:simplePos x="0" y="0"/>
                <wp:positionH relativeFrom="column">
                  <wp:posOffset>382270</wp:posOffset>
                </wp:positionH>
                <wp:positionV relativeFrom="paragraph">
                  <wp:posOffset>126891</wp:posOffset>
                </wp:positionV>
                <wp:extent cx="709930" cy="254000"/>
                <wp:effectExtent l="0" t="0" r="1270" b="0"/>
                <wp:wrapSquare wrapText="bothSides"/>
                <wp:docPr id="92" name="Text Box 92"/>
                <wp:cNvGraphicFramePr/>
                <a:graphic xmlns:a="http://schemas.openxmlformats.org/drawingml/2006/main">
                  <a:graphicData uri="http://schemas.microsoft.com/office/word/2010/wordprocessingShape">
                    <wps:wsp>
                      <wps:cNvSpPr txBox="1"/>
                      <wps:spPr>
                        <a:xfrm>
                          <a:off x="0" y="0"/>
                          <a:ext cx="709930" cy="254000"/>
                        </a:xfrm>
                        <a:prstGeom prst="rect">
                          <a:avLst/>
                        </a:prstGeom>
                        <a:solidFill>
                          <a:schemeClr val="lt1"/>
                        </a:solidFill>
                        <a:ln w="6350">
                          <a:noFill/>
                        </a:ln>
                      </wps:spPr>
                      <wps:txbx>
                        <w:txbxContent>
                          <w:p w14:paraId="09ABCDED" w14:textId="1B654D03" w:rsidR="00D15FD8" w:rsidRPr="0051115F" w:rsidRDefault="00D15FD8" w:rsidP="0051115F">
                            <w:pPr>
                              <w:jc w:val="center"/>
                              <w:rPr>
                                <w:rFonts w:ascii="Arial" w:hAnsi="Arial" w:cs="Arial"/>
                                <w:b/>
                                <w:bCs/>
                                <w:color w:val="69557F"/>
                                <w:sz w:val="20"/>
                                <w:szCs w:val="20"/>
                                <w:lang w:val="en-US"/>
                              </w:rPr>
                            </w:pPr>
                            <w:r>
                              <w:rPr>
                                <w:rFonts w:ascii="Arial" w:hAnsi="Arial" w:cs="Arial"/>
                                <w:b/>
                                <w:bCs/>
                                <w:color w:val="69557F"/>
                                <w:sz w:val="20"/>
                                <w:szCs w:val="20"/>
                                <w:lang w:val="en-US"/>
                              </w:rPr>
                              <w:t>Chile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985CF" id="Text Box 92" o:spid="_x0000_s1317" type="#_x0000_t202" style="position:absolute;margin-left:30.1pt;margin-top:10pt;width:55.9pt;height:20pt;z-index:255316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" fillcolor="white [3201]" stroked="f" strokeweight=".5pt">
                <v:textbox>
                  <w:txbxContent>
                    <w:p w14:paraId="09ABCDED" w14:textId="1B654D03" w:rsidR="00D15FD8" w:rsidRPr="0051115F" w:rsidRDefault="00D15FD8" w:rsidP="0051115F">
                      <w:pPr>
                        <w:jc w:val="center"/>
                        <w:rPr>
                          <w:rFonts w:ascii="Arial" w:hAnsi="Arial" w:cs="Arial"/>
                          <w:b/>
                          <w:bCs/>
                          <w:color w:val="69557F"/>
                          <w:sz w:val="20"/>
                          <w:szCs w:val="20"/>
                          <w:lang w:val="en-US"/>
                        </w:rPr>
                      </w:pPr>
                      <w:r>
                        <w:rPr>
                          <w:rFonts w:ascii="Arial" w:hAnsi="Arial" w:cs="Arial"/>
                          <w:b/>
                          <w:bCs/>
                          <w:color w:val="69557F"/>
                          <w:sz w:val="20"/>
                          <w:szCs w:val="20"/>
                          <w:lang w:val="en-US"/>
                        </w:rPr>
                        <w:t>Chile</w:t>
                      </w:r>
                    </w:p>
                  </w:txbxContent>
                </v:textbox>
                <w10:wrap type="square"/>
              </v:shape>
            </w:pict>
          </mc:Fallback>
        </mc:AlternateContent>
      </w:r>
    </w:p>
    <w:p w14:paraId="68E7F182" w14:textId="4E103C33" w:rsidR="00406C8A" w:rsidRDefault="00406C8A" w:rsidP="00406C8A">
      <w:pPr>
        <w:jc w:val="both"/>
      </w:pPr>
    </w:p>
    <w:p w14:paraId="09CC5602" w14:textId="6BF01B45" w:rsidR="00406C8A" w:rsidRDefault="005B3852" w:rsidP="00406C8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921278" behindDoc="0" locked="0" layoutInCell="1" allowOverlap="1" wp14:anchorId="1356023A" wp14:editId="61DB5F85">
                <wp:simplePos x="0" y="0"/>
                <wp:positionH relativeFrom="column">
                  <wp:posOffset>660400</wp:posOffset>
                </wp:positionH>
                <wp:positionV relativeFrom="paragraph">
                  <wp:posOffset>229235</wp:posOffset>
                </wp:positionV>
                <wp:extent cx="1028700" cy="266700"/>
                <wp:effectExtent l="0" t="0" r="0" b="0"/>
                <wp:wrapNone/>
                <wp:docPr id="1738" name="Text Box 1738"/>
                <wp:cNvGraphicFramePr/>
                <a:graphic xmlns:a="http://schemas.openxmlformats.org/drawingml/2006/main">
                  <a:graphicData uri="http://schemas.microsoft.com/office/word/2010/wordprocessingShape">
                    <wps:wsp>
                      <wps:cNvSpPr txBox="1"/>
                      <wps:spPr>
                        <a:xfrm>
                          <a:off x="0" y="0"/>
                          <a:ext cx="1028700" cy="266700"/>
                        </a:xfrm>
                        <a:prstGeom prst="rect">
                          <a:avLst/>
                        </a:prstGeom>
                        <a:noFill/>
                        <a:ln w="6350">
                          <a:noFill/>
                        </a:ln>
                      </wps:spPr>
                      <wps:txbx>
                        <w:txbxContent>
                          <w:p w14:paraId="49E63C5C" w14:textId="01603876" w:rsidR="00D15FD8" w:rsidRPr="00BD6508" w:rsidRDefault="00AC4DF7" w:rsidP="00BD6508">
                            <w:pPr>
                              <w:jc w:val="center"/>
                              <w:rPr>
                                <w:rFonts w:ascii="Arial" w:hAnsi="Arial" w:cs="Arial"/>
                                <w:b/>
                                <w:bCs/>
                                <w:color w:val="FFFFFF" w:themeColor="background1"/>
                                <w:sz w:val="24"/>
                                <w:szCs w:val="24"/>
                                <w:u w:val="single"/>
                              </w:rPr>
                            </w:pPr>
                            <w:hyperlink r:id="rId556" w:history="1">
                              <w:r w:rsidR="00D15FD8" w:rsidRPr="00BD6508">
                                <w:rPr>
                                  <w:rStyle w:val="Hyperlink"/>
                                  <w:rFonts w:ascii="Arial" w:hAnsi="Arial" w:cs="Arial"/>
                                  <w:b/>
                                  <w:bCs/>
                                  <w:color w:val="FFFFFF" w:themeColor="background1"/>
                                  <w:sz w:val="24"/>
                                  <w:szCs w:val="24"/>
                                  <w:lang w:val="en-ZA"/>
                                </w:rPr>
                                <w:t>Watch</w:t>
                              </w:r>
                            </w:hyperlink>
                            <w:r w:rsidR="00D15FD8" w:rsidRPr="00BD6508">
                              <w:rPr>
                                <w:rStyle w:val="Hyperlink"/>
                                <w:rFonts w:ascii="Arial" w:hAnsi="Arial" w:cs="Arial"/>
                                <w:b/>
                                <w:bCs/>
                                <w:color w:val="FFFFFF" w:themeColor="background1"/>
                                <w:sz w:val="24"/>
                                <w:szCs w:val="24"/>
                                <w:lang w:val="en-ZA"/>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56023A" id="Text Box 1738" o:spid="_x0000_s1318" type="#_x0000_t202" style="position:absolute;left:0;text-align:left;margin-left:52pt;margin-top:18.05pt;width:81pt;height:21pt;z-index:253921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" filled="f" stroked="f" strokeweight=".5pt">
                <v:textbox>
                  <w:txbxContent>
                    <w:p w14:paraId="49E63C5C" w14:textId="01603876" w:rsidR="00D15FD8" w:rsidRPr="00BD6508" w:rsidRDefault="00AC4DF7" w:rsidP="00BD6508">
                      <w:pPr>
                        <w:jc w:val="center"/>
                        <w:rPr>
                          <w:rFonts w:ascii="Arial" w:hAnsi="Arial" w:cs="Arial"/>
                          <w:b/>
                          <w:bCs/>
                          <w:color w:val="FFFFFF" w:themeColor="background1"/>
                          <w:sz w:val="24"/>
                          <w:szCs w:val="24"/>
                          <w:u w:val="single"/>
                        </w:rPr>
                      </w:pPr>
                      <w:hyperlink r:id="rId557" w:history="1">
                        <w:r w:rsidR="00D15FD8" w:rsidRPr="00BD6508">
                          <w:rPr>
                            <w:rStyle w:val="Hyperlink"/>
                            <w:rFonts w:ascii="Arial" w:hAnsi="Arial" w:cs="Arial"/>
                            <w:b/>
                            <w:bCs/>
                            <w:color w:val="FFFFFF" w:themeColor="background1"/>
                            <w:sz w:val="24"/>
                            <w:szCs w:val="24"/>
                            <w:lang w:val="en-ZA"/>
                          </w:rPr>
                          <w:t>Watch</w:t>
                        </w:r>
                      </w:hyperlink>
                      <w:r w:rsidR="00D15FD8" w:rsidRPr="00BD6508">
                        <w:rPr>
                          <w:rStyle w:val="Hyperlink"/>
                          <w:rFonts w:ascii="Arial" w:hAnsi="Arial" w:cs="Arial"/>
                          <w:b/>
                          <w:bCs/>
                          <w:color w:val="FFFFFF" w:themeColor="background1"/>
                          <w:sz w:val="24"/>
                          <w:szCs w:val="24"/>
                          <w:lang w:val="en-ZA"/>
                        </w:rPr>
                        <w:t xml:space="preserve"> here</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920254" behindDoc="0" locked="0" layoutInCell="1" allowOverlap="1" wp14:anchorId="158D0BCC" wp14:editId="37F58AD2">
                <wp:simplePos x="0" y="0"/>
                <wp:positionH relativeFrom="column">
                  <wp:posOffset>658495</wp:posOffset>
                </wp:positionH>
                <wp:positionV relativeFrom="paragraph">
                  <wp:posOffset>188595</wp:posOffset>
                </wp:positionV>
                <wp:extent cx="1028700" cy="355600"/>
                <wp:effectExtent l="0" t="0" r="0" b="0"/>
                <wp:wrapSquare wrapText="bothSides"/>
                <wp:docPr id="74" name="Rounded Rectangle 74"/>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015A174" id="Rounded Rectangle 74" o:spid="_x0000_s1026" style="position:absolute;margin-left:51.85pt;margin-top:14.85pt;width:81pt;height:28pt;z-index:253920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3919230" behindDoc="0" locked="0" layoutInCell="1" allowOverlap="1" wp14:anchorId="5F4A746B" wp14:editId="2BE2D441">
            <wp:simplePos x="0" y="0"/>
            <wp:positionH relativeFrom="column">
              <wp:posOffset>0</wp:posOffset>
            </wp:positionH>
            <wp:positionV relativeFrom="paragraph">
              <wp:posOffset>155575</wp:posOffset>
            </wp:positionV>
            <wp:extent cx="582930" cy="410210"/>
            <wp:effectExtent l="0" t="0" r="127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2AD375" w14:textId="1E02FAA3" w:rsidR="00406C8A" w:rsidRPr="00406C8A" w:rsidRDefault="00406C8A" w:rsidP="00406C8A">
      <w:pPr>
        <w:spacing w:line="276" w:lineRule="auto"/>
        <w:jc w:val="both"/>
        <w:rPr>
          <w:rFonts w:ascii="Arial" w:hAnsi="Arial" w:cs="Arial"/>
          <w:sz w:val="24"/>
          <w:szCs w:val="24"/>
        </w:rPr>
      </w:pPr>
      <w:r w:rsidRPr="00406C8A">
        <w:rPr>
          <w:rFonts w:ascii="Arial" w:hAnsi="Arial" w:cs="Arial"/>
          <w:sz w:val="24"/>
          <w:szCs w:val="24"/>
        </w:rPr>
        <w:t xml:space="preserve">A temporary Independent Commission on the Efficiency and Transparency of Public Spending was formed in Chile in 2019 after social protests. The Commission was composed of a diverse spectrum of actors </w:t>
      </w:r>
      <w:r w:rsidRPr="00406C8A">
        <w:rPr>
          <w:rFonts w:ascii="Arial" w:hAnsi="Arial" w:cs="Arial"/>
          <w:sz w:val="24"/>
          <w:szCs w:val="24"/>
          <w:lang w:val="en-ZA"/>
        </w:rPr>
        <w:t xml:space="preserve">making budget reform recommendations for fiscal transparency and efficiency. As seen in an </w:t>
      </w:r>
      <w:hyperlink r:id="rId558" w:history="1">
        <w:r w:rsidRPr="00406C8A">
          <w:rPr>
            <w:rStyle w:val="Hyperlink"/>
            <w:rFonts w:ascii="Arial" w:hAnsi="Arial" w:cs="Arial"/>
            <w:sz w:val="24"/>
            <w:szCs w:val="24"/>
            <w:lang w:val="en-ZA"/>
          </w:rPr>
          <w:t>interview</w:t>
        </w:r>
      </w:hyperlink>
      <w:r w:rsidRPr="00406C8A">
        <w:rPr>
          <w:rFonts w:ascii="Arial" w:hAnsi="Arial" w:cs="Arial"/>
          <w:sz w:val="24"/>
          <w:szCs w:val="24"/>
          <w:lang w:val="en-ZA"/>
        </w:rPr>
        <w:t xml:space="preserve"> with the former President of the Commission, it was found that the main issue related to political will as opposed to technical obstacles. A key recommendation thus emanating from the Commission is that fiscal transparency shouldn’t be a </w:t>
      </w:r>
      <w:proofErr w:type="gramStart"/>
      <w:r w:rsidRPr="00406C8A">
        <w:rPr>
          <w:rFonts w:ascii="Arial" w:hAnsi="Arial" w:cs="Arial"/>
          <w:sz w:val="24"/>
          <w:szCs w:val="24"/>
          <w:lang w:val="en-ZA"/>
        </w:rPr>
        <w:t>one off</w:t>
      </w:r>
      <w:proofErr w:type="gramEnd"/>
      <w:r w:rsidRPr="00406C8A">
        <w:rPr>
          <w:rFonts w:ascii="Arial" w:hAnsi="Arial" w:cs="Arial"/>
          <w:sz w:val="24"/>
          <w:szCs w:val="24"/>
          <w:lang w:val="en-ZA"/>
        </w:rPr>
        <w:t xml:space="preserve"> focus, but should rather be embedded in the architecture of an autonomous fiscal institution</w:t>
      </w:r>
      <w:r w:rsidRPr="00406C8A">
        <w:rPr>
          <w:rFonts w:ascii="Arial" w:hAnsi="Arial" w:cs="Arial"/>
          <w:sz w:val="24"/>
          <w:szCs w:val="24"/>
        </w:rPr>
        <w:t>. Essentially, fiscal</w:t>
      </w:r>
      <w:r w:rsidRPr="00406C8A">
        <w:rPr>
          <w:rFonts w:ascii="Arial" w:hAnsi="Arial" w:cs="Arial"/>
          <w:sz w:val="24"/>
          <w:szCs w:val="24"/>
          <w:lang w:val="en-ZA"/>
        </w:rPr>
        <w:t xml:space="preserve"> transparency is a goal that benefits greatly from a multi-stakeholder push, including coordination with experts and expert institutions that call for, advance, and monitor fiscal transparency developments.</w:t>
      </w:r>
    </w:p>
    <w:p w14:paraId="021A0A02" w14:textId="7CC73538" w:rsidR="00406C8A" w:rsidRDefault="00F40BC2" w:rsidP="00406C8A">
      <w:pPr>
        <w:tabs>
          <w:tab w:val="left" w:pos="2400"/>
        </w:tabs>
        <w:rPr>
          <w:rFonts w:ascii="Arial" w:hAnsi="Arial" w:cs="Arial"/>
          <w:sz w:val="24"/>
          <w:szCs w:val="24"/>
        </w:rPr>
      </w:pPr>
      <w:r>
        <w:rPr>
          <w:noProof/>
          <w:lang w:val="en-US"/>
        </w:rPr>
        <w:lastRenderedPageBreak/>
        <mc:AlternateContent>
          <mc:Choice Requires="wps">
            <w:drawing>
              <wp:anchor distT="0" distB="0" distL="114300" distR="114300" simplePos="0" relativeHeight="252552190" behindDoc="0" locked="0" layoutInCell="1" allowOverlap="1" wp14:anchorId="573B6898" wp14:editId="34BDE13F">
                <wp:simplePos x="0" y="0"/>
                <wp:positionH relativeFrom="column">
                  <wp:posOffset>1201420</wp:posOffset>
                </wp:positionH>
                <wp:positionV relativeFrom="paragraph">
                  <wp:posOffset>167802</wp:posOffset>
                </wp:positionV>
                <wp:extent cx="4911725" cy="414020"/>
                <wp:effectExtent l="0" t="0" r="3175" b="5080"/>
                <wp:wrapNone/>
                <wp:docPr id="598" name="Text Box 598"/>
                <wp:cNvGraphicFramePr/>
                <a:graphic xmlns:a="http://schemas.openxmlformats.org/drawingml/2006/main">
                  <a:graphicData uri="http://schemas.microsoft.com/office/word/2010/wordprocessingShape">
                    <wps:wsp>
                      <wps:cNvSpPr txBox="1"/>
                      <wps:spPr>
                        <a:xfrm>
                          <a:off x="0" y="0"/>
                          <a:ext cx="4911725" cy="414020"/>
                        </a:xfrm>
                        <a:prstGeom prst="rect">
                          <a:avLst/>
                        </a:prstGeom>
                        <a:solidFill>
                          <a:schemeClr val="lt1"/>
                        </a:solidFill>
                        <a:ln w="6350">
                          <a:noFill/>
                        </a:ln>
                      </wps:spPr>
                      <wps:txbx>
                        <w:txbxContent>
                          <w:p w14:paraId="752566E6" w14:textId="5C0BB18A" w:rsidR="00D15FD8" w:rsidRPr="00F40BC2" w:rsidRDefault="00D15FD8" w:rsidP="00D439BC">
                            <w:pPr>
                              <w:pStyle w:val="Heading2"/>
                              <w:rPr>
                                <w:rFonts w:ascii="Arial" w:hAnsi="Arial" w:cs="Arial"/>
                                <w:b/>
                                <w:bCs/>
                                <w:color w:val="69557F"/>
                              </w:rPr>
                            </w:pPr>
                            <w:bookmarkStart w:id="1255" w:name="_Toc119794478"/>
                            <w:bookmarkStart w:id="1256" w:name="_Toc123204477"/>
                            <w:bookmarkStart w:id="1257" w:name="_Toc123216572"/>
                            <w:bookmarkStart w:id="1258" w:name="_Toc123217412"/>
                            <w:bookmarkStart w:id="1259" w:name="_Toc123828161"/>
                            <w:bookmarkStart w:id="1260" w:name="_Toc123828371"/>
                            <w:bookmarkStart w:id="1261" w:name="_Toc123828567"/>
                            <w:bookmarkStart w:id="1262" w:name="_Toc123912594"/>
                            <w:bookmarkStart w:id="1263" w:name="_Toc123912853"/>
                            <w:bookmarkStart w:id="1264" w:name="_Toc123913080"/>
                            <w:bookmarkStart w:id="1265" w:name="_Toc123913371"/>
                            <w:bookmarkStart w:id="1266" w:name="_Toc123914027"/>
                            <w:bookmarkStart w:id="1267" w:name="_Toc125566647"/>
                            <w:r w:rsidRPr="00F40BC2">
                              <w:rPr>
                                <w:rFonts w:ascii="Arial" w:hAnsi="Arial" w:cs="Arial"/>
                                <w:b/>
                                <w:bCs/>
                                <w:color w:val="69557F"/>
                              </w:rPr>
                              <w:t>Role of supreme audit institutions: Experience from Peru</w:t>
                            </w:r>
                            <w:bookmarkEnd w:id="1255"/>
                            <w:bookmarkEnd w:id="1256"/>
                            <w:bookmarkEnd w:id="1257"/>
                            <w:bookmarkEnd w:id="1258"/>
                            <w:bookmarkEnd w:id="1259"/>
                            <w:bookmarkEnd w:id="1260"/>
                            <w:bookmarkEnd w:id="1261"/>
                            <w:bookmarkEnd w:id="1262"/>
                            <w:bookmarkEnd w:id="1263"/>
                            <w:bookmarkEnd w:id="1264"/>
                            <w:bookmarkEnd w:id="1265"/>
                            <w:bookmarkEnd w:id="1266"/>
                            <w:bookmarkEnd w:id="126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B6898" id="Text Box 598" o:spid="_x0000_s1319" type="#_x0000_t202" style="position:absolute;margin-left:94.6pt;margin-top:13.2pt;width:386.75pt;height:32.6pt;z-index:252552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" fillcolor="white [3201]" stroked="f" strokeweight=".5pt">
                <v:textbox>
                  <w:txbxContent>
                    <w:p w14:paraId="752566E6" w14:textId="5C0BB18A" w:rsidR="00D15FD8" w:rsidRPr="00F40BC2" w:rsidRDefault="00D15FD8" w:rsidP="00D439BC">
                      <w:pPr>
                        <w:pStyle w:val="Heading2"/>
                        <w:rPr>
                          <w:rFonts w:ascii="Arial" w:hAnsi="Arial" w:cs="Arial"/>
                          <w:b/>
                          <w:bCs/>
                          <w:color w:val="69557F"/>
                        </w:rPr>
                      </w:pPr>
                      <w:bookmarkStart w:id="1268" w:name="_Toc119794478"/>
                      <w:bookmarkStart w:id="1269" w:name="_Toc123204477"/>
                      <w:bookmarkStart w:id="1270" w:name="_Toc123216572"/>
                      <w:bookmarkStart w:id="1271" w:name="_Toc123217412"/>
                      <w:bookmarkStart w:id="1272" w:name="_Toc123828161"/>
                      <w:bookmarkStart w:id="1273" w:name="_Toc123828371"/>
                      <w:bookmarkStart w:id="1274" w:name="_Toc123828567"/>
                      <w:bookmarkStart w:id="1275" w:name="_Toc123912594"/>
                      <w:bookmarkStart w:id="1276" w:name="_Toc123912853"/>
                      <w:bookmarkStart w:id="1277" w:name="_Toc123913080"/>
                      <w:bookmarkStart w:id="1278" w:name="_Toc123913371"/>
                      <w:bookmarkStart w:id="1279" w:name="_Toc123914027"/>
                      <w:bookmarkStart w:id="1280" w:name="_Toc125566647"/>
                      <w:r w:rsidRPr="00F40BC2">
                        <w:rPr>
                          <w:rFonts w:ascii="Arial" w:hAnsi="Arial" w:cs="Arial"/>
                          <w:b/>
                          <w:bCs/>
                          <w:color w:val="69557F"/>
                        </w:rPr>
                        <w:t>Role of supreme audit institutions: Experience from Peru</w:t>
                      </w:r>
                      <w:bookmarkEnd w:id="1268"/>
                      <w:bookmarkEnd w:id="1269"/>
                      <w:bookmarkEnd w:id="1270"/>
                      <w:bookmarkEnd w:id="1271"/>
                      <w:bookmarkEnd w:id="1272"/>
                      <w:bookmarkEnd w:id="1273"/>
                      <w:bookmarkEnd w:id="1274"/>
                      <w:bookmarkEnd w:id="1275"/>
                      <w:bookmarkEnd w:id="1276"/>
                      <w:bookmarkEnd w:id="1277"/>
                      <w:bookmarkEnd w:id="1278"/>
                      <w:bookmarkEnd w:id="1279"/>
                      <w:bookmarkEnd w:id="1280"/>
                    </w:p>
                  </w:txbxContent>
                </v:textbox>
              </v:shape>
            </w:pict>
          </mc:Fallback>
        </mc:AlternateContent>
      </w:r>
      <w:r w:rsidR="00015897">
        <w:rPr>
          <w:noProof/>
          <w:lang w:val="en-US"/>
        </w:rPr>
        <w:drawing>
          <wp:anchor distT="0" distB="0" distL="114300" distR="114300" simplePos="0" relativeHeight="252550142" behindDoc="1" locked="0" layoutInCell="1" allowOverlap="1" wp14:anchorId="43EE35ED" wp14:editId="47319D69">
            <wp:simplePos x="0" y="0"/>
            <wp:positionH relativeFrom="column">
              <wp:posOffset>381000</wp:posOffset>
            </wp:positionH>
            <wp:positionV relativeFrom="paragraph">
              <wp:posOffset>140204</wp:posOffset>
            </wp:positionV>
            <wp:extent cx="712470" cy="475615"/>
            <wp:effectExtent l="139700" t="139700" r="189230" b="184785"/>
            <wp:wrapTight wrapText="bothSides">
              <wp:wrapPolygon edited="0">
                <wp:start x="1925" y="-6344"/>
                <wp:lineTo x="-4235" y="-5191"/>
                <wp:lineTo x="-4235" y="13266"/>
                <wp:lineTo x="-3465" y="23071"/>
                <wp:lineTo x="1540" y="28262"/>
                <wp:lineTo x="1925" y="29415"/>
                <wp:lineTo x="20791" y="29415"/>
                <wp:lineTo x="21176" y="28262"/>
                <wp:lineTo x="26182" y="23071"/>
                <wp:lineTo x="26952" y="13266"/>
                <wp:lineTo x="26952" y="3461"/>
                <wp:lineTo x="21176" y="-5191"/>
                <wp:lineTo x="20791" y="-6344"/>
                <wp:lineTo x="1925" y="-6344"/>
              </wp:wrapPolygon>
            </wp:wrapTight>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9" cstate="email">
                      <a:extLst>
                        <a:ext uri="{28A0092B-C50C-407E-A947-70E740481C1C}">
                          <a14:useLocalDpi xmlns:a14="http://schemas.microsoft.com/office/drawing/2010/main"/>
                        </a:ext>
                      </a:extLst>
                    </a:blip>
                    <a:srcRect/>
                    <a:stretch>
                      <a:fillRect/>
                    </a:stretch>
                  </pic:blipFill>
                  <pic:spPr bwMode="auto">
                    <a:xfrm>
                      <a:off x="0" y="0"/>
                      <a:ext cx="712470" cy="475615"/>
                    </a:xfrm>
                    <a:prstGeom prst="rect">
                      <a:avLst/>
                    </a:prstGeom>
                    <a:noFill/>
                    <a:ln>
                      <a:noFill/>
                    </a:ln>
                    <a:effectLst>
                      <a:outerShdw blurRad="190500" dist="38100" dir="2700000" algn="tl" rotWithShape="0">
                        <a:srgbClr val="69557F">
                          <a:alpha val="40000"/>
                        </a:srgbClr>
                      </a:outerShdw>
                    </a:effectLst>
                  </pic:spPr>
                </pic:pic>
              </a:graphicData>
            </a:graphic>
            <wp14:sizeRelH relativeFrom="page">
              <wp14:pctWidth>0</wp14:pctWidth>
            </wp14:sizeRelH>
            <wp14:sizeRelV relativeFrom="page">
              <wp14:pctHeight>0</wp14:pctHeight>
            </wp14:sizeRelV>
          </wp:anchor>
        </w:drawing>
      </w:r>
    </w:p>
    <w:p w14:paraId="3324AD10" w14:textId="09682E5C" w:rsidR="00406C8A" w:rsidRDefault="00406C8A" w:rsidP="00406C8A">
      <w:pPr>
        <w:tabs>
          <w:tab w:val="left" w:pos="2400"/>
        </w:tabs>
      </w:pPr>
      <w:r>
        <w:fldChar w:fldCharType="begin"/>
      </w:r>
      <w:r>
        <w:instrText xml:space="preserve"> INCLUDEPICTURE "https://cdn.britannica.com/48/3448-004-33B5D198/Flag-Peru.jpg" \* MERGEFORMATINET </w:instrText>
      </w:r>
      <w:r>
        <w:fldChar w:fldCharType="end"/>
      </w:r>
    </w:p>
    <w:p w14:paraId="0837B5CA" w14:textId="760634FF" w:rsidR="00406C8A" w:rsidRPr="00406C8A" w:rsidRDefault="00406C8A" w:rsidP="00406C8A">
      <w:pPr>
        <w:rPr>
          <w:rFonts w:ascii="Arial" w:hAnsi="Arial" w:cs="Arial"/>
          <w:sz w:val="24"/>
          <w:szCs w:val="24"/>
        </w:rPr>
      </w:pPr>
    </w:p>
    <w:p w14:paraId="7D05DB6A" w14:textId="672C01A9" w:rsidR="00406C8A" w:rsidRPr="00406C8A" w:rsidRDefault="0051115F" w:rsidP="00406C8A">
      <w:pPr>
        <w:rPr>
          <w:rFonts w:ascii="Arial" w:hAnsi="Arial" w:cs="Arial"/>
          <w:sz w:val="24"/>
          <w:szCs w:val="24"/>
        </w:rPr>
      </w:pPr>
      <w:r>
        <w:rPr>
          <w:rFonts w:ascii="Arial" w:hAnsi="Arial" w:cs="Arial"/>
          <w:iCs/>
          <w:noProof/>
          <w:sz w:val="24"/>
          <w:szCs w:val="24"/>
          <w:lang w:val="en-US"/>
        </w:rPr>
        <mc:AlternateContent>
          <mc:Choice Requires="wps">
            <w:drawing>
              <wp:anchor distT="0" distB="0" distL="114300" distR="114300" simplePos="0" relativeHeight="255314942" behindDoc="0" locked="0" layoutInCell="1" allowOverlap="1" wp14:anchorId="2BF64C98" wp14:editId="5370C0CC">
                <wp:simplePos x="0" y="0"/>
                <wp:positionH relativeFrom="column">
                  <wp:posOffset>377825</wp:posOffset>
                </wp:positionH>
                <wp:positionV relativeFrom="paragraph">
                  <wp:posOffset>173246</wp:posOffset>
                </wp:positionV>
                <wp:extent cx="709930" cy="254000"/>
                <wp:effectExtent l="0" t="0" r="1270" b="0"/>
                <wp:wrapSquare wrapText="bothSides"/>
                <wp:docPr id="86" name="Text Box 86"/>
                <wp:cNvGraphicFramePr/>
                <a:graphic xmlns:a="http://schemas.openxmlformats.org/drawingml/2006/main">
                  <a:graphicData uri="http://schemas.microsoft.com/office/word/2010/wordprocessingShape">
                    <wps:wsp>
                      <wps:cNvSpPr txBox="1"/>
                      <wps:spPr>
                        <a:xfrm>
                          <a:off x="0" y="0"/>
                          <a:ext cx="709930" cy="254000"/>
                        </a:xfrm>
                        <a:prstGeom prst="rect">
                          <a:avLst/>
                        </a:prstGeom>
                        <a:solidFill>
                          <a:schemeClr val="lt1"/>
                        </a:solidFill>
                        <a:ln w="6350">
                          <a:noFill/>
                        </a:ln>
                      </wps:spPr>
                      <wps:txbx>
                        <w:txbxContent>
                          <w:p w14:paraId="587D4704" w14:textId="7526E18B" w:rsidR="00D15FD8" w:rsidRPr="0051115F" w:rsidRDefault="00D15FD8" w:rsidP="0051115F">
                            <w:pPr>
                              <w:jc w:val="center"/>
                              <w:rPr>
                                <w:rFonts w:ascii="Arial" w:hAnsi="Arial" w:cs="Arial"/>
                                <w:b/>
                                <w:bCs/>
                                <w:color w:val="69557F"/>
                                <w:sz w:val="20"/>
                                <w:szCs w:val="20"/>
                                <w:lang w:val="en-US"/>
                              </w:rPr>
                            </w:pPr>
                            <w:r w:rsidRPr="0051115F">
                              <w:rPr>
                                <w:rFonts w:ascii="Arial" w:hAnsi="Arial" w:cs="Arial"/>
                                <w:b/>
                                <w:bCs/>
                                <w:color w:val="69557F"/>
                                <w:sz w:val="20"/>
                                <w:szCs w:val="20"/>
                                <w:lang w:val="en-US"/>
                              </w:rPr>
                              <w:t>Peru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64C98" id="Text Box 86" o:spid="_x0000_s1320" type="#_x0000_t202" style="position:absolute;margin-left:29.75pt;margin-top:13.65pt;width:55.9pt;height:20pt;z-index:255314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" fillcolor="white [3201]" stroked="f" strokeweight=".5pt">
                <v:textbox>
                  <w:txbxContent>
                    <w:p w14:paraId="587D4704" w14:textId="7526E18B" w:rsidR="00D15FD8" w:rsidRPr="0051115F" w:rsidRDefault="00D15FD8" w:rsidP="0051115F">
                      <w:pPr>
                        <w:jc w:val="center"/>
                        <w:rPr>
                          <w:rFonts w:ascii="Arial" w:hAnsi="Arial" w:cs="Arial"/>
                          <w:b/>
                          <w:bCs/>
                          <w:color w:val="69557F"/>
                          <w:sz w:val="20"/>
                          <w:szCs w:val="20"/>
                          <w:lang w:val="en-US"/>
                        </w:rPr>
                      </w:pPr>
                      <w:r w:rsidRPr="0051115F">
                        <w:rPr>
                          <w:rFonts w:ascii="Arial" w:hAnsi="Arial" w:cs="Arial"/>
                          <w:b/>
                          <w:bCs/>
                          <w:color w:val="69557F"/>
                          <w:sz w:val="20"/>
                          <w:szCs w:val="20"/>
                          <w:lang w:val="en-US"/>
                        </w:rPr>
                        <w:t>Peru</w:t>
                      </w:r>
                    </w:p>
                  </w:txbxContent>
                </v:textbox>
                <w10:wrap type="square"/>
              </v:shape>
            </w:pict>
          </mc:Fallback>
        </mc:AlternateContent>
      </w:r>
    </w:p>
    <w:p w14:paraId="1E26F420" w14:textId="1E48A74F" w:rsidR="00406C8A" w:rsidRDefault="00406C8A" w:rsidP="00406C8A"/>
    <w:p w14:paraId="64473F4A" w14:textId="77777777" w:rsidR="0051115F" w:rsidRDefault="0051115F" w:rsidP="00406C8A"/>
    <w:p w14:paraId="03AF503E" w14:textId="7643AB0E" w:rsidR="00406C8A" w:rsidRPr="00406C8A" w:rsidRDefault="005B3852" w:rsidP="00406C8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925374" behindDoc="0" locked="0" layoutInCell="1" allowOverlap="1" wp14:anchorId="7594B969" wp14:editId="118BEC9F">
                <wp:simplePos x="0" y="0"/>
                <wp:positionH relativeFrom="column">
                  <wp:posOffset>5613400</wp:posOffset>
                </wp:positionH>
                <wp:positionV relativeFrom="paragraph">
                  <wp:posOffset>692785</wp:posOffset>
                </wp:positionV>
                <wp:extent cx="1028700" cy="292100"/>
                <wp:effectExtent l="0" t="0" r="0" b="0"/>
                <wp:wrapNone/>
                <wp:docPr id="1741" name="Text Box 1741"/>
                <wp:cNvGraphicFramePr/>
                <a:graphic xmlns:a="http://schemas.openxmlformats.org/drawingml/2006/main">
                  <a:graphicData uri="http://schemas.microsoft.com/office/word/2010/wordprocessingShape">
                    <wps:wsp>
                      <wps:cNvSpPr txBox="1"/>
                      <wps:spPr>
                        <a:xfrm>
                          <a:off x="0" y="0"/>
                          <a:ext cx="1028700" cy="292100"/>
                        </a:xfrm>
                        <a:prstGeom prst="rect">
                          <a:avLst/>
                        </a:prstGeom>
                        <a:noFill/>
                        <a:ln w="6350">
                          <a:noFill/>
                        </a:ln>
                      </wps:spPr>
                      <wps:txbx>
                        <w:txbxContent>
                          <w:p w14:paraId="5F1A319D" w14:textId="7C3DA4D5" w:rsidR="00D15FD8" w:rsidRPr="00BD6508" w:rsidRDefault="00AC4DF7" w:rsidP="00BD6508">
                            <w:pPr>
                              <w:jc w:val="center"/>
                              <w:rPr>
                                <w:rFonts w:ascii="Arial" w:hAnsi="Arial" w:cs="Arial"/>
                                <w:b/>
                                <w:bCs/>
                                <w:color w:val="FFFFFF" w:themeColor="background1"/>
                                <w:sz w:val="24"/>
                                <w:szCs w:val="24"/>
                                <w:u w:val="single"/>
                              </w:rPr>
                            </w:pPr>
                            <w:hyperlink r:id="rId560"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94B969" id="Text Box 1741" o:spid="_x0000_s1321" type="#_x0000_t202" style="position:absolute;left:0;text-align:left;margin-left:442pt;margin-top:54.55pt;width:81pt;height:23pt;z-index:2539253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" filled="f" stroked="f" strokeweight=".5pt">
                <v:textbox>
                  <w:txbxContent>
                    <w:p w14:paraId="5F1A319D" w14:textId="7C3DA4D5" w:rsidR="00D15FD8" w:rsidRPr="00BD6508" w:rsidRDefault="00AC4DF7" w:rsidP="00BD6508">
                      <w:pPr>
                        <w:jc w:val="center"/>
                        <w:rPr>
                          <w:rFonts w:ascii="Arial" w:hAnsi="Arial" w:cs="Arial"/>
                          <w:b/>
                          <w:bCs/>
                          <w:color w:val="FFFFFF" w:themeColor="background1"/>
                          <w:sz w:val="24"/>
                          <w:szCs w:val="24"/>
                          <w:u w:val="single"/>
                        </w:rPr>
                      </w:pPr>
                      <w:hyperlink r:id="rId561"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924350" behindDoc="0" locked="0" layoutInCell="1" allowOverlap="1" wp14:anchorId="0F120737" wp14:editId="28C57A6A">
                <wp:simplePos x="0" y="0"/>
                <wp:positionH relativeFrom="column">
                  <wp:posOffset>5598795</wp:posOffset>
                </wp:positionH>
                <wp:positionV relativeFrom="paragraph">
                  <wp:posOffset>646430</wp:posOffset>
                </wp:positionV>
                <wp:extent cx="1028700" cy="355600"/>
                <wp:effectExtent l="0" t="0" r="0" b="0"/>
                <wp:wrapSquare wrapText="bothSides"/>
                <wp:docPr id="76" name="Rounded Rectangle 76"/>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5EE1D2A" id="Rounded Rectangle 76" o:spid="_x0000_s1026" style="position:absolute;margin-left:440.85pt;margin-top:50.9pt;width:81pt;height:28pt;z-index:253924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3923326" behindDoc="0" locked="0" layoutInCell="1" allowOverlap="1" wp14:anchorId="3E75AEF4" wp14:editId="51D1D816">
            <wp:simplePos x="0" y="0"/>
            <wp:positionH relativeFrom="column">
              <wp:posOffset>4940300</wp:posOffset>
            </wp:positionH>
            <wp:positionV relativeFrom="paragraph">
              <wp:posOffset>613410</wp:posOffset>
            </wp:positionV>
            <wp:extent cx="582930" cy="410210"/>
            <wp:effectExtent l="0" t="0" r="127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6C8A" w:rsidRPr="00406C8A">
        <w:rPr>
          <w:rFonts w:ascii="Arial" w:hAnsi="Arial" w:cs="Arial"/>
          <w:sz w:val="24"/>
          <w:szCs w:val="24"/>
        </w:rPr>
        <w:t>Supreme audit institutions require fiscal transparency; and should themselves also be transparent and promote fiscal transparency, in order to perform their roles effectively. Understanding this, the Comptroller General of the Republic of Peru promotes a series of initiatives to increase transparency in the way the Peruvian state reports on public finances. </w:t>
      </w:r>
      <w:r w:rsidR="00406C8A" w:rsidRPr="00406C8A">
        <w:rPr>
          <w:rFonts w:ascii="Arial" w:hAnsi="Arial" w:cs="Arial"/>
          <w:sz w:val="24"/>
          <w:szCs w:val="24"/>
          <w:lang w:val="en-ZA"/>
        </w:rPr>
        <w:t>In</w:t>
      </w:r>
      <w:r w:rsidR="00406C8A" w:rsidRPr="00406C8A">
        <w:rPr>
          <w:rFonts w:ascii="Arial" w:hAnsi="Arial" w:cs="Arial"/>
          <w:sz w:val="24"/>
          <w:szCs w:val="24"/>
        </w:rPr>
        <w:t xml:space="preserve"> a </w:t>
      </w:r>
      <w:hyperlink r:id="rId562" w:history="1">
        <w:r w:rsidR="00406C8A" w:rsidRPr="00406C8A">
          <w:rPr>
            <w:rStyle w:val="Hyperlink"/>
            <w:rFonts w:ascii="Arial" w:hAnsi="Arial" w:cs="Arial"/>
            <w:sz w:val="24"/>
            <w:szCs w:val="24"/>
          </w:rPr>
          <w:t>testimonial</w:t>
        </w:r>
      </w:hyperlink>
      <w:r w:rsidR="00406C8A" w:rsidRPr="00406C8A">
        <w:rPr>
          <w:rFonts w:ascii="Arial" w:hAnsi="Arial" w:cs="Arial"/>
          <w:sz w:val="24"/>
          <w:szCs w:val="24"/>
        </w:rPr>
        <w:t xml:space="preserve"> recorded in March 2021, the Comptroller General shared </w:t>
      </w:r>
      <w:r w:rsidR="00406C8A" w:rsidRPr="00406C8A">
        <w:rPr>
          <w:rFonts w:ascii="Arial" w:hAnsi="Arial" w:cs="Arial"/>
          <w:sz w:val="24"/>
          <w:szCs w:val="24"/>
          <w:lang w:val="en-ZA"/>
        </w:rPr>
        <w:t>practical knowledge and experiences on this</w:t>
      </w:r>
      <w:r w:rsidR="00406C8A" w:rsidRPr="00406C8A">
        <w:rPr>
          <w:rFonts w:ascii="Arial" w:hAnsi="Arial" w:cs="Arial"/>
          <w:sz w:val="24"/>
          <w:szCs w:val="24"/>
        </w:rPr>
        <w:t xml:space="preserve">. </w:t>
      </w:r>
    </w:p>
    <w:p w14:paraId="77A61231" w14:textId="31C22957" w:rsidR="00406C8A" w:rsidRPr="00406C8A" w:rsidRDefault="00406C8A" w:rsidP="00406C8A">
      <w:pPr>
        <w:spacing w:line="276" w:lineRule="auto"/>
        <w:jc w:val="both"/>
        <w:rPr>
          <w:rFonts w:ascii="Arial" w:hAnsi="Arial" w:cs="Arial"/>
          <w:sz w:val="24"/>
          <w:szCs w:val="24"/>
        </w:rPr>
      </w:pPr>
    </w:p>
    <w:p w14:paraId="3914E06E" w14:textId="4A21DDF7" w:rsidR="00406C8A" w:rsidRPr="00406C8A" w:rsidRDefault="00406C8A" w:rsidP="00406C8A">
      <w:pPr>
        <w:spacing w:line="276" w:lineRule="auto"/>
        <w:jc w:val="both"/>
        <w:rPr>
          <w:rFonts w:ascii="Arial" w:hAnsi="Arial" w:cs="Arial"/>
          <w:sz w:val="24"/>
          <w:szCs w:val="24"/>
        </w:rPr>
      </w:pPr>
      <w:r w:rsidRPr="00406C8A">
        <w:rPr>
          <w:rFonts w:ascii="Arial" w:hAnsi="Arial" w:cs="Arial"/>
          <w:sz w:val="24"/>
          <w:szCs w:val="24"/>
        </w:rPr>
        <w:t xml:space="preserve">Initiatives undertaken include that legal provisions allow the Office of the Comptroller General to directly access state entity systems where information is processed and stored, allowing it to use the latest advances in data analyses to evaluate fiscal Information produced by public entities, detecting issues/irregularities in a timely manner, such that they can be resolved quickly, potentially limiting their damage. The Office has also sought to lead by example, achieving first place in the Index of Availability of Information to Citizens on the Institutional Management of Supreme Audit Institutions (IDIGI-EFS) in Latin America and the Caribbean in 2019. Other initiatives include the introduction of the </w:t>
      </w:r>
      <w:r w:rsidRPr="00406C8A">
        <w:rPr>
          <w:rFonts w:ascii="Arial" w:hAnsi="Arial" w:cs="Arial"/>
          <w:sz w:val="24"/>
          <w:szCs w:val="24"/>
          <w:lang w:val="en-ZA"/>
        </w:rPr>
        <w:t xml:space="preserve">INFOBRAS platform, a tool that not only provides the public with increased access to information on public works, but also allows it to verify the veracity of what is reported on by public officials, enabling them to provide comments, suggestions, and photographs.  </w:t>
      </w:r>
    </w:p>
    <w:p w14:paraId="70F2B4E6" w14:textId="24CC9710" w:rsidR="00406C8A" w:rsidRPr="00406C8A" w:rsidRDefault="00406C8A" w:rsidP="00406C8A">
      <w:pPr>
        <w:spacing w:line="276" w:lineRule="auto"/>
        <w:jc w:val="both"/>
        <w:rPr>
          <w:rFonts w:ascii="Arial" w:hAnsi="Arial" w:cs="Arial"/>
          <w:sz w:val="24"/>
          <w:szCs w:val="24"/>
        </w:rPr>
      </w:pPr>
    </w:p>
    <w:p w14:paraId="2A12CCB3" w14:textId="07980F43" w:rsidR="00406C8A" w:rsidRPr="00406C8A" w:rsidRDefault="00406C8A" w:rsidP="00406C8A">
      <w:pPr>
        <w:spacing w:line="276" w:lineRule="auto"/>
        <w:jc w:val="both"/>
        <w:rPr>
          <w:rFonts w:ascii="Arial" w:hAnsi="Arial" w:cs="Arial"/>
          <w:sz w:val="24"/>
          <w:szCs w:val="24"/>
          <w:lang w:val="en-ZA"/>
        </w:rPr>
      </w:pPr>
      <w:r w:rsidRPr="00406C8A">
        <w:rPr>
          <w:rFonts w:ascii="Arial" w:hAnsi="Arial" w:cs="Arial"/>
          <w:sz w:val="24"/>
          <w:szCs w:val="24"/>
        </w:rPr>
        <w:t xml:space="preserve">The Office has also placed emphasis on citizen participation as a strategy to strengthen accountability and transparency in all stages of the government’s control cycle. For example, the public </w:t>
      </w:r>
      <w:r w:rsidRPr="00406C8A">
        <w:rPr>
          <w:rFonts w:ascii="Arial" w:hAnsi="Arial" w:cs="Arial"/>
          <w:sz w:val="24"/>
          <w:szCs w:val="24"/>
          <w:lang w:val="en-ZA"/>
        </w:rPr>
        <w:t>are informed about audits that have been conducted and invited to provide feedback about alleged illegal irregularities</w:t>
      </w:r>
      <w:r w:rsidRPr="00406C8A">
        <w:rPr>
          <w:rFonts w:ascii="Arial" w:hAnsi="Arial" w:cs="Arial"/>
          <w:sz w:val="24"/>
          <w:szCs w:val="24"/>
        </w:rPr>
        <w:t xml:space="preserve"> in a Public Hearings Program</w:t>
      </w:r>
      <w:r w:rsidRPr="00406C8A">
        <w:rPr>
          <w:rFonts w:ascii="Arial" w:hAnsi="Arial" w:cs="Arial"/>
          <w:sz w:val="24"/>
          <w:szCs w:val="24"/>
          <w:lang w:val="en-ZA"/>
        </w:rPr>
        <w:t xml:space="preserve">. A series of workshops have also been held with organized civil society; while trained citizen control monitors oversee the implementation of local programs. In addition, a Young Auditors Program, seeks to contribute to the consolidation of a culture of integrity in the citizenry, encouraging high school students to learn to exercise social control in order to ensure the proper functioning of public services. </w:t>
      </w:r>
    </w:p>
    <w:p w14:paraId="2E43AD4B" w14:textId="12C635FA" w:rsidR="00406C8A" w:rsidRPr="00406C8A" w:rsidRDefault="00406C8A" w:rsidP="00406C8A">
      <w:pPr>
        <w:spacing w:line="276" w:lineRule="auto"/>
        <w:jc w:val="both"/>
        <w:rPr>
          <w:rFonts w:ascii="Arial" w:hAnsi="Arial" w:cs="Arial"/>
          <w:sz w:val="24"/>
          <w:szCs w:val="24"/>
          <w:lang w:val="en-ZA"/>
        </w:rPr>
      </w:pPr>
    </w:p>
    <w:p w14:paraId="614BE2E7" w14:textId="13FEB97F" w:rsidR="00406C8A" w:rsidRDefault="00406C8A" w:rsidP="00406C8A">
      <w:pPr>
        <w:tabs>
          <w:tab w:val="left" w:pos="1960"/>
        </w:tabs>
        <w:spacing w:line="276" w:lineRule="auto"/>
        <w:jc w:val="both"/>
        <w:rPr>
          <w:rFonts w:ascii="Arial" w:hAnsi="Arial" w:cs="Arial"/>
          <w:sz w:val="24"/>
          <w:szCs w:val="24"/>
          <w:lang w:val="en-ZA"/>
        </w:rPr>
      </w:pPr>
      <w:r w:rsidRPr="00406C8A">
        <w:rPr>
          <w:rFonts w:ascii="Arial" w:hAnsi="Arial" w:cs="Arial"/>
          <w:sz w:val="24"/>
          <w:szCs w:val="24"/>
          <w:lang w:val="en-ZA"/>
        </w:rPr>
        <w:t>The Comptroller General concludes that these initiatives have shown that social control has a multiplying effect, allowing supreme audit institutions to achieve a coverage that would be unimaginable if they were to act alone; and that this social control in turn leads citizens to have greater awareness and knowledge of what government does with their resources, with the immerse potential to raise fiscal transparency to an unprecedented level and generate greater benefits from state intervention, improving the quality of life and the wellbeing of all citizens.</w:t>
      </w:r>
    </w:p>
    <w:p w14:paraId="2E1EF26A" w14:textId="11DC432A" w:rsidR="00F32B60" w:rsidRDefault="00F32B60" w:rsidP="00406C8A">
      <w:pPr>
        <w:tabs>
          <w:tab w:val="left" w:pos="1960"/>
        </w:tabs>
        <w:spacing w:line="276" w:lineRule="auto"/>
        <w:jc w:val="both"/>
        <w:rPr>
          <w:rFonts w:ascii="Arial" w:hAnsi="Arial" w:cs="Arial"/>
          <w:sz w:val="24"/>
          <w:szCs w:val="24"/>
          <w:lang w:val="en-ZA"/>
        </w:rPr>
      </w:pPr>
    </w:p>
    <w:p w14:paraId="4A0967DE" w14:textId="5CDE65F2" w:rsidR="00F32B60" w:rsidRDefault="00F32B60" w:rsidP="00406C8A">
      <w:pPr>
        <w:tabs>
          <w:tab w:val="left" w:pos="1960"/>
        </w:tabs>
        <w:spacing w:line="276" w:lineRule="auto"/>
        <w:jc w:val="both"/>
        <w:rPr>
          <w:rFonts w:ascii="Arial" w:hAnsi="Arial" w:cs="Arial"/>
          <w:sz w:val="24"/>
          <w:szCs w:val="24"/>
          <w:lang w:val="en-ZA"/>
        </w:rPr>
      </w:pPr>
    </w:p>
    <w:p w14:paraId="5AF9DF89" w14:textId="11CBBC21" w:rsidR="00F32B60" w:rsidRDefault="00F32B60" w:rsidP="00406C8A">
      <w:pPr>
        <w:tabs>
          <w:tab w:val="left" w:pos="1960"/>
        </w:tabs>
        <w:spacing w:line="276" w:lineRule="auto"/>
        <w:jc w:val="both"/>
        <w:rPr>
          <w:rFonts w:ascii="Arial" w:hAnsi="Arial" w:cs="Arial"/>
          <w:sz w:val="24"/>
          <w:szCs w:val="24"/>
          <w:lang w:val="en-ZA"/>
        </w:rPr>
      </w:pPr>
    </w:p>
    <w:p w14:paraId="4FFCE699" w14:textId="238B22A5" w:rsidR="00F32B60" w:rsidRDefault="00F32B60" w:rsidP="00406C8A">
      <w:pPr>
        <w:tabs>
          <w:tab w:val="left" w:pos="1960"/>
        </w:tabs>
        <w:spacing w:line="276" w:lineRule="auto"/>
        <w:jc w:val="both"/>
        <w:rPr>
          <w:rFonts w:ascii="Arial" w:hAnsi="Arial" w:cs="Arial"/>
          <w:sz w:val="24"/>
          <w:szCs w:val="24"/>
          <w:lang w:val="en-ZA"/>
        </w:rPr>
      </w:pPr>
    </w:p>
    <w:p w14:paraId="2BBCD056" w14:textId="77777777" w:rsidR="00F32B60" w:rsidRDefault="00F32B60" w:rsidP="00406C8A">
      <w:pPr>
        <w:tabs>
          <w:tab w:val="left" w:pos="1960"/>
        </w:tabs>
        <w:spacing w:line="276" w:lineRule="auto"/>
        <w:jc w:val="both"/>
        <w:rPr>
          <w:rFonts w:ascii="Arial" w:hAnsi="Arial" w:cs="Arial"/>
          <w:sz w:val="24"/>
          <w:szCs w:val="24"/>
          <w:lang w:val="en-ZA"/>
        </w:rPr>
      </w:pPr>
    </w:p>
    <w:p w14:paraId="4E181722" w14:textId="6DD8CD15" w:rsidR="00406C8A" w:rsidRDefault="00015897" w:rsidP="00406C8A">
      <w:pPr>
        <w:tabs>
          <w:tab w:val="left" w:pos="1960"/>
        </w:tabs>
        <w:spacing w:line="276" w:lineRule="auto"/>
        <w:jc w:val="both"/>
        <w:rPr>
          <w:rFonts w:ascii="Arial" w:hAnsi="Arial" w:cs="Arial"/>
          <w:sz w:val="24"/>
          <w:szCs w:val="24"/>
          <w:lang w:val="en-ZA"/>
        </w:rPr>
      </w:pPr>
      <w:r>
        <w:rPr>
          <w:rFonts w:ascii="Arial" w:hAnsi="Arial" w:cs="Arial"/>
          <w:noProof/>
          <w:sz w:val="24"/>
          <w:szCs w:val="24"/>
          <w:lang w:val="en-US"/>
        </w:rPr>
        <w:lastRenderedPageBreak/>
        <w:drawing>
          <wp:anchor distT="0" distB="0" distL="114300" distR="114300" simplePos="0" relativeHeight="252554238" behindDoc="1" locked="0" layoutInCell="1" allowOverlap="1" wp14:anchorId="0AE208B4" wp14:editId="527EB95D">
            <wp:simplePos x="0" y="0"/>
            <wp:positionH relativeFrom="column">
              <wp:posOffset>381000</wp:posOffset>
            </wp:positionH>
            <wp:positionV relativeFrom="paragraph">
              <wp:posOffset>156845</wp:posOffset>
            </wp:positionV>
            <wp:extent cx="712470" cy="605155"/>
            <wp:effectExtent l="0" t="0" r="0" b="4445"/>
            <wp:wrapTight wrapText="bothSides">
              <wp:wrapPolygon edited="0">
                <wp:start x="9626" y="0"/>
                <wp:lineTo x="5005" y="4986"/>
                <wp:lineTo x="385" y="7706"/>
                <wp:lineTo x="0" y="8159"/>
                <wp:lineTo x="0" y="21305"/>
                <wp:lineTo x="21176" y="21305"/>
                <wp:lineTo x="21176" y="9066"/>
                <wp:lineTo x="20406" y="7706"/>
                <wp:lineTo x="16941" y="7253"/>
                <wp:lineTo x="15786" y="4986"/>
                <wp:lineTo x="11551" y="0"/>
                <wp:lineTo x="9626" y="0"/>
              </wp:wrapPolygon>
            </wp:wrapTight>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563" cstate="email">
                      <a:extLst>
                        <a:ext uri="{28A0092B-C50C-407E-A947-70E740481C1C}">
                          <a14:useLocalDpi xmlns:a14="http://schemas.microsoft.com/office/drawing/2010/main"/>
                        </a:ext>
                      </a:extLst>
                    </a:blip>
                    <a:srcRect/>
                    <a:stretch/>
                  </pic:blipFill>
                  <pic:spPr bwMode="auto">
                    <a:xfrm>
                      <a:off x="0" y="0"/>
                      <a:ext cx="712470" cy="60515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65ABD2" w14:textId="044889BD" w:rsidR="00015897" w:rsidRDefault="00015897" w:rsidP="00406C8A">
      <w:pPr>
        <w:tabs>
          <w:tab w:val="left" w:pos="1960"/>
        </w:tabs>
        <w:spacing w:line="276" w:lineRule="auto"/>
        <w:jc w:val="both"/>
        <w:rPr>
          <w:rFonts w:ascii="Arial" w:hAnsi="Arial" w:cs="Arial"/>
          <w:sz w:val="24"/>
          <w:szCs w:val="24"/>
          <w:lang w:val="en-ZA"/>
        </w:rPr>
      </w:pPr>
      <w:r>
        <w:rPr>
          <w:noProof/>
          <w:lang w:val="en-US"/>
        </w:rPr>
        <mc:AlternateContent>
          <mc:Choice Requires="wps">
            <w:drawing>
              <wp:anchor distT="0" distB="0" distL="114300" distR="114300" simplePos="0" relativeHeight="252556286" behindDoc="0" locked="0" layoutInCell="1" allowOverlap="1" wp14:anchorId="6F36F092" wp14:editId="41ADF331">
                <wp:simplePos x="0" y="0"/>
                <wp:positionH relativeFrom="column">
                  <wp:posOffset>1201479</wp:posOffset>
                </wp:positionH>
                <wp:positionV relativeFrom="paragraph">
                  <wp:posOffset>53606</wp:posOffset>
                </wp:positionV>
                <wp:extent cx="4953000" cy="616688"/>
                <wp:effectExtent l="0" t="0" r="0" b="0"/>
                <wp:wrapNone/>
                <wp:docPr id="600" name="Text Box 600"/>
                <wp:cNvGraphicFramePr/>
                <a:graphic xmlns:a="http://schemas.openxmlformats.org/drawingml/2006/main">
                  <a:graphicData uri="http://schemas.microsoft.com/office/word/2010/wordprocessingShape">
                    <wps:wsp>
                      <wps:cNvSpPr txBox="1"/>
                      <wps:spPr>
                        <a:xfrm>
                          <a:off x="0" y="0"/>
                          <a:ext cx="4953000" cy="616688"/>
                        </a:xfrm>
                        <a:prstGeom prst="rect">
                          <a:avLst/>
                        </a:prstGeom>
                        <a:solidFill>
                          <a:schemeClr val="lt1"/>
                        </a:solidFill>
                        <a:ln w="6350">
                          <a:noFill/>
                        </a:ln>
                      </wps:spPr>
                      <wps:txbx>
                        <w:txbxContent>
                          <w:p w14:paraId="3240B273" w14:textId="10941F3A" w:rsidR="00D15FD8" w:rsidRPr="00F40BC2" w:rsidRDefault="00D15FD8" w:rsidP="00D439BC">
                            <w:pPr>
                              <w:pStyle w:val="Heading2"/>
                              <w:rPr>
                                <w:rFonts w:ascii="Arial" w:hAnsi="Arial" w:cs="Arial"/>
                                <w:b/>
                                <w:bCs/>
                                <w:color w:val="69557F"/>
                              </w:rPr>
                            </w:pPr>
                            <w:bookmarkStart w:id="1281" w:name="_Toc119794479"/>
                            <w:bookmarkStart w:id="1282" w:name="_Toc123204478"/>
                            <w:bookmarkStart w:id="1283" w:name="_Toc123216573"/>
                            <w:bookmarkStart w:id="1284" w:name="_Toc123217413"/>
                            <w:bookmarkStart w:id="1285" w:name="_Toc123828162"/>
                            <w:bookmarkStart w:id="1286" w:name="_Toc123828372"/>
                            <w:bookmarkStart w:id="1287" w:name="_Toc123828568"/>
                            <w:bookmarkStart w:id="1288" w:name="_Toc123912595"/>
                            <w:bookmarkStart w:id="1289" w:name="_Toc123912854"/>
                            <w:bookmarkStart w:id="1290" w:name="_Toc123913081"/>
                            <w:bookmarkStart w:id="1291" w:name="_Toc123913372"/>
                            <w:bookmarkStart w:id="1292" w:name="_Toc123914028"/>
                            <w:bookmarkStart w:id="1293" w:name="_Toc125566648"/>
                            <w:r w:rsidRPr="00F40BC2">
                              <w:rPr>
                                <w:rFonts w:ascii="Arial" w:hAnsi="Arial" w:cs="Arial"/>
                                <w:b/>
                                <w:bCs/>
                                <w:color w:val="69557F"/>
                              </w:rPr>
                              <w:t>Role of supreme audit institutions: Perspective from civil society organizations</w:t>
                            </w:r>
                            <w:bookmarkEnd w:id="1281"/>
                            <w:bookmarkEnd w:id="1282"/>
                            <w:bookmarkEnd w:id="1283"/>
                            <w:bookmarkEnd w:id="1284"/>
                            <w:bookmarkEnd w:id="1285"/>
                            <w:bookmarkEnd w:id="1286"/>
                            <w:bookmarkEnd w:id="1287"/>
                            <w:bookmarkEnd w:id="1288"/>
                            <w:bookmarkEnd w:id="1289"/>
                            <w:bookmarkEnd w:id="1290"/>
                            <w:bookmarkEnd w:id="1291"/>
                            <w:bookmarkEnd w:id="1292"/>
                            <w:bookmarkEnd w:id="129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6F092" id="Text Box 600" o:spid="_x0000_s1322" type="#_x0000_t202" style="position:absolute;left:0;text-align:left;margin-left:94.6pt;margin-top:4.2pt;width:390pt;height:48.55pt;z-index:252556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" fillcolor="white [3201]" stroked="f" strokeweight=".5pt">
                <v:textbox>
                  <w:txbxContent>
                    <w:p w14:paraId="3240B273" w14:textId="10941F3A" w:rsidR="00D15FD8" w:rsidRPr="00F40BC2" w:rsidRDefault="00D15FD8" w:rsidP="00D439BC">
                      <w:pPr>
                        <w:pStyle w:val="Heading2"/>
                        <w:rPr>
                          <w:rFonts w:ascii="Arial" w:hAnsi="Arial" w:cs="Arial"/>
                          <w:b/>
                          <w:bCs/>
                          <w:color w:val="69557F"/>
                        </w:rPr>
                      </w:pPr>
                      <w:bookmarkStart w:id="1294" w:name="_Toc119794479"/>
                      <w:bookmarkStart w:id="1295" w:name="_Toc123204478"/>
                      <w:bookmarkStart w:id="1296" w:name="_Toc123216573"/>
                      <w:bookmarkStart w:id="1297" w:name="_Toc123217413"/>
                      <w:bookmarkStart w:id="1298" w:name="_Toc123828162"/>
                      <w:bookmarkStart w:id="1299" w:name="_Toc123828372"/>
                      <w:bookmarkStart w:id="1300" w:name="_Toc123828568"/>
                      <w:bookmarkStart w:id="1301" w:name="_Toc123912595"/>
                      <w:bookmarkStart w:id="1302" w:name="_Toc123912854"/>
                      <w:bookmarkStart w:id="1303" w:name="_Toc123913081"/>
                      <w:bookmarkStart w:id="1304" w:name="_Toc123913372"/>
                      <w:bookmarkStart w:id="1305" w:name="_Toc123914028"/>
                      <w:bookmarkStart w:id="1306" w:name="_Toc125566648"/>
                      <w:r w:rsidRPr="00F40BC2">
                        <w:rPr>
                          <w:rFonts w:ascii="Arial" w:hAnsi="Arial" w:cs="Arial"/>
                          <w:b/>
                          <w:bCs/>
                          <w:color w:val="69557F"/>
                        </w:rPr>
                        <w:t>Role of supreme audit institutions: Perspective from civil society organizations</w:t>
                      </w:r>
                      <w:bookmarkEnd w:id="1294"/>
                      <w:bookmarkEnd w:id="1295"/>
                      <w:bookmarkEnd w:id="1296"/>
                      <w:bookmarkEnd w:id="1297"/>
                      <w:bookmarkEnd w:id="1298"/>
                      <w:bookmarkEnd w:id="1299"/>
                      <w:bookmarkEnd w:id="1300"/>
                      <w:bookmarkEnd w:id="1301"/>
                      <w:bookmarkEnd w:id="1302"/>
                      <w:bookmarkEnd w:id="1303"/>
                      <w:bookmarkEnd w:id="1304"/>
                      <w:bookmarkEnd w:id="1305"/>
                      <w:bookmarkEnd w:id="1306"/>
                    </w:p>
                  </w:txbxContent>
                </v:textbox>
              </v:shape>
            </w:pict>
          </mc:Fallback>
        </mc:AlternateContent>
      </w:r>
    </w:p>
    <w:p w14:paraId="18058751" w14:textId="5C78EED3" w:rsidR="00406C8A" w:rsidRDefault="00406C8A" w:rsidP="00406C8A">
      <w:pPr>
        <w:tabs>
          <w:tab w:val="left" w:pos="1960"/>
        </w:tabs>
        <w:spacing w:line="276" w:lineRule="auto"/>
        <w:jc w:val="both"/>
        <w:rPr>
          <w:rFonts w:ascii="Arial" w:hAnsi="Arial" w:cs="Arial"/>
          <w:sz w:val="24"/>
          <w:szCs w:val="24"/>
          <w:lang w:val="en-ZA"/>
        </w:rPr>
      </w:pPr>
    </w:p>
    <w:p w14:paraId="5E3A890F" w14:textId="6337A0F4" w:rsidR="00406C8A" w:rsidRDefault="00406C8A" w:rsidP="00406C8A">
      <w:pPr>
        <w:tabs>
          <w:tab w:val="left" w:pos="1960"/>
        </w:tabs>
        <w:spacing w:line="276" w:lineRule="auto"/>
        <w:rPr>
          <w:rFonts w:ascii="Arial" w:hAnsi="Arial" w:cs="Arial"/>
          <w:sz w:val="24"/>
          <w:szCs w:val="24"/>
        </w:rPr>
      </w:pPr>
    </w:p>
    <w:p w14:paraId="4D9DCB6D" w14:textId="07CFDD90" w:rsidR="00015897" w:rsidRDefault="00015897" w:rsidP="00015897">
      <w:pPr>
        <w:spacing w:line="276" w:lineRule="auto"/>
        <w:jc w:val="both"/>
        <w:rPr>
          <w:rFonts w:ascii="Arial" w:hAnsi="Arial" w:cs="Arial"/>
          <w:sz w:val="24"/>
          <w:szCs w:val="24"/>
        </w:rPr>
      </w:pPr>
    </w:p>
    <w:p w14:paraId="15275CC3" w14:textId="5372C28C" w:rsidR="00015897" w:rsidRPr="00015897" w:rsidRDefault="005B3852" w:rsidP="00015897">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929470" behindDoc="0" locked="0" layoutInCell="1" allowOverlap="1" wp14:anchorId="2605D371" wp14:editId="40D95773">
                <wp:simplePos x="0" y="0"/>
                <wp:positionH relativeFrom="column">
                  <wp:posOffset>673100</wp:posOffset>
                </wp:positionH>
                <wp:positionV relativeFrom="paragraph">
                  <wp:posOffset>1282700</wp:posOffset>
                </wp:positionV>
                <wp:extent cx="1028700" cy="266700"/>
                <wp:effectExtent l="0" t="0" r="0" b="0"/>
                <wp:wrapNone/>
                <wp:docPr id="1744" name="Text Box 1744"/>
                <wp:cNvGraphicFramePr/>
                <a:graphic xmlns:a="http://schemas.openxmlformats.org/drawingml/2006/main">
                  <a:graphicData uri="http://schemas.microsoft.com/office/word/2010/wordprocessingShape">
                    <wps:wsp>
                      <wps:cNvSpPr txBox="1"/>
                      <wps:spPr>
                        <a:xfrm>
                          <a:off x="0" y="0"/>
                          <a:ext cx="1028700" cy="266700"/>
                        </a:xfrm>
                        <a:prstGeom prst="rect">
                          <a:avLst/>
                        </a:prstGeom>
                        <a:noFill/>
                        <a:ln w="6350">
                          <a:noFill/>
                        </a:ln>
                      </wps:spPr>
                      <wps:txbx>
                        <w:txbxContent>
                          <w:p w14:paraId="6F926E7B" w14:textId="6CB4A057" w:rsidR="00D15FD8" w:rsidRPr="00BD6508" w:rsidRDefault="00AC4DF7" w:rsidP="00BD6508">
                            <w:pPr>
                              <w:jc w:val="center"/>
                              <w:rPr>
                                <w:rFonts w:ascii="Arial" w:hAnsi="Arial" w:cs="Arial"/>
                                <w:b/>
                                <w:bCs/>
                                <w:color w:val="FFFFFF" w:themeColor="background1"/>
                                <w:sz w:val="24"/>
                                <w:szCs w:val="24"/>
                                <w:u w:val="single"/>
                              </w:rPr>
                            </w:pPr>
                            <w:hyperlink r:id="rId564"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05D371" id="Text Box 1744" o:spid="_x0000_s1323" type="#_x0000_t202" style="position:absolute;left:0;text-align:left;margin-left:53pt;margin-top:101pt;width:81pt;height:21pt;z-index:2539294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" filled="f" stroked="f" strokeweight=".5pt">
                <v:textbox>
                  <w:txbxContent>
                    <w:p w14:paraId="6F926E7B" w14:textId="6CB4A057" w:rsidR="00D15FD8" w:rsidRPr="00BD6508" w:rsidRDefault="00AC4DF7" w:rsidP="00BD6508">
                      <w:pPr>
                        <w:jc w:val="center"/>
                        <w:rPr>
                          <w:rFonts w:ascii="Arial" w:hAnsi="Arial" w:cs="Arial"/>
                          <w:b/>
                          <w:bCs/>
                          <w:color w:val="FFFFFF" w:themeColor="background1"/>
                          <w:sz w:val="24"/>
                          <w:szCs w:val="24"/>
                          <w:u w:val="single"/>
                        </w:rPr>
                      </w:pPr>
                      <w:hyperlink r:id="rId565"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v:textbox>
              </v:shape>
            </w:pict>
          </mc:Fallback>
        </mc:AlternateContent>
      </w:r>
      <w:r>
        <w:rPr>
          <w:rFonts w:ascii="Arial" w:hAnsi="Arial" w:cs="Arial"/>
          <w:noProof/>
          <w:sz w:val="24"/>
          <w:szCs w:val="24"/>
          <w:lang w:val="en-US"/>
        </w:rPr>
        <w:drawing>
          <wp:anchor distT="0" distB="0" distL="114300" distR="114300" simplePos="0" relativeHeight="253927422" behindDoc="0" locked="0" layoutInCell="1" allowOverlap="1" wp14:anchorId="57BD2736" wp14:editId="56DD432C">
            <wp:simplePos x="0" y="0"/>
            <wp:positionH relativeFrom="column">
              <wp:posOffset>0</wp:posOffset>
            </wp:positionH>
            <wp:positionV relativeFrom="paragraph">
              <wp:posOffset>1223010</wp:posOffset>
            </wp:positionV>
            <wp:extent cx="582930" cy="410210"/>
            <wp:effectExtent l="0" t="0" r="127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928446" behindDoc="0" locked="0" layoutInCell="1" allowOverlap="1" wp14:anchorId="31837285" wp14:editId="1A8E0EDF">
                <wp:simplePos x="0" y="0"/>
                <wp:positionH relativeFrom="column">
                  <wp:posOffset>658495</wp:posOffset>
                </wp:positionH>
                <wp:positionV relativeFrom="paragraph">
                  <wp:posOffset>1256030</wp:posOffset>
                </wp:positionV>
                <wp:extent cx="1028700" cy="355600"/>
                <wp:effectExtent l="0" t="0" r="0" b="0"/>
                <wp:wrapSquare wrapText="bothSides"/>
                <wp:docPr id="79" name="Rounded Rectangle 79"/>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2B592BF" id="Rounded Rectangle 79" o:spid="_x0000_s1026" style="position:absolute;margin-left:51.85pt;margin-top:98.9pt;width:81pt;height:28pt;z-index:25392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" fillcolor="#16988a" stroked="f" strokeweight="1pt">
                <v:stroke joinstyle="miter"/>
                <w10:wrap type="square"/>
              </v:roundrect>
            </w:pict>
          </mc:Fallback>
        </mc:AlternateContent>
      </w:r>
      <w:r w:rsidR="00015897" w:rsidRPr="00015897">
        <w:rPr>
          <w:rFonts w:ascii="Arial" w:hAnsi="Arial" w:cs="Arial"/>
          <w:sz w:val="24"/>
          <w:szCs w:val="24"/>
        </w:rPr>
        <w:t xml:space="preserve">The IBP’s Audit Accountability Initiative shows how strong and strategic engagement between supreme audit institutions and civil society can prompt government action on audit findings. The Initiative works towards enhancing the understanding of the types of relationships that can be developed among accountability actors, the strategies that most effectively spur remedial action by governments, and how these strategies can be replicated by audit institutions and civil society in countries seeking to enhance audit impact. This Initiative was described in an </w:t>
      </w:r>
      <w:hyperlink r:id="rId566" w:history="1">
        <w:r w:rsidR="00015897" w:rsidRPr="00015897">
          <w:rPr>
            <w:rStyle w:val="Hyperlink"/>
            <w:rFonts w:ascii="Arial" w:hAnsi="Arial" w:cs="Arial"/>
            <w:sz w:val="24"/>
            <w:szCs w:val="24"/>
          </w:rPr>
          <w:t>interview</w:t>
        </w:r>
      </w:hyperlink>
      <w:r w:rsidR="00015897" w:rsidRPr="00015897">
        <w:rPr>
          <w:rFonts w:ascii="Arial" w:hAnsi="Arial" w:cs="Arial"/>
          <w:sz w:val="24"/>
          <w:szCs w:val="24"/>
        </w:rPr>
        <w:t xml:space="preserve"> that took place in June 2021, with examples provided from Nepal, Sierra Leone and Argentina.</w:t>
      </w:r>
    </w:p>
    <w:p w14:paraId="221E5F96" w14:textId="77777777" w:rsidR="00015897" w:rsidRPr="00015897" w:rsidRDefault="00015897" w:rsidP="00015897">
      <w:pPr>
        <w:spacing w:line="276" w:lineRule="auto"/>
        <w:jc w:val="both"/>
        <w:rPr>
          <w:rFonts w:ascii="Arial" w:hAnsi="Arial" w:cs="Arial"/>
          <w:sz w:val="24"/>
          <w:szCs w:val="24"/>
        </w:rPr>
      </w:pPr>
    </w:p>
    <w:p w14:paraId="0245C08F" w14:textId="77777777" w:rsidR="00015897" w:rsidRPr="00015897" w:rsidRDefault="00015897" w:rsidP="00015897">
      <w:pPr>
        <w:spacing w:line="276" w:lineRule="auto"/>
        <w:jc w:val="both"/>
        <w:rPr>
          <w:rFonts w:ascii="Arial" w:hAnsi="Arial" w:cs="Arial"/>
          <w:sz w:val="24"/>
          <w:szCs w:val="24"/>
          <w:lang w:val="en-ZA"/>
        </w:rPr>
      </w:pPr>
      <w:r w:rsidRPr="00015897">
        <w:rPr>
          <w:rFonts w:ascii="Arial" w:hAnsi="Arial" w:cs="Arial"/>
          <w:sz w:val="24"/>
          <w:szCs w:val="24"/>
          <w:lang w:val="en-ZA"/>
        </w:rPr>
        <w:t>In Nepal, the Office of the Auditor General and Freedom Forum, a CSO, are collaborating to strengthen the management of local development funds that support infrastructure projects such as road, water supply, and sewage works. They contributed to the drafting of a Guideline for user committees tasked with managing local development funds and are now interacting with parliamentarians and local authorities on procedures and controls to ensure the accountability and sustainability of infrastructure projects.</w:t>
      </w:r>
    </w:p>
    <w:p w14:paraId="48F8D0DE" w14:textId="77777777" w:rsidR="00015897" w:rsidRPr="00015897" w:rsidRDefault="00015897" w:rsidP="00015897">
      <w:pPr>
        <w:spacing w:line="276" w:lineRule="auto"/>
        <w:jc w:val="both"/>
        <w:rPr>
          <w:rFonts w:ascii="Arial" w:hAnsi="Arial" w:cs="Arial"/>
          <w:sz w:val="24"/>
          <w:szCs w:val="24"/>
          <w:lang w:val="en-ZA"/>
        </w:rPr>
      </w:pPr>
    </w:p>
    <w:p w14:paraId="0C71A0DB" w14:textId="77777777" w:rsidR="00015897" w:rsidRPr="00015897" w:rsidRDefault="00015897" w:rsidP="00015897">
      <w:pPr>
        <w:spacing w:line="276" w:lineRule="auto"/>
        <w:jc w:val="both"/>
        <w:rPr>
          <w:rFonts w:ascii="Arial" w:hAnsi="Arial" w:cs="Arial"/>
          <w:sz w:val="24"/>
          <w:szCs w:val="24"/>
          <w:lang w:val="en-ZA"/>
        </w:rPr>
      </w:pPr>
      <w:r w:rsidRPr="00015897">
        <w:rPr>
          <w:rFonts w:ascii="Arial" w:hAnsi="Arial" w:cs="Arial"/>
          <w:sz w:val="24"/>
          <w:szCs w:val="24"/>
          <w:lang w:val="en-ZA"/>
        </w:rPr>
        <w:t>In Sierra Leone, the Audit Service and the Budget Advocacy Network, a civil society group, coordinate efforts to ensure proper water, sanitation and hygiene (WASH) facilities in schools across the country. This includes that they have visited schools together with members of the Public Accounts Committee and the media to check WASH conditions and to engage with pupils, teachers and heads of schools. They have discussed the audit recommendations and the earmarking of school fee subsidies towards WASH with school authorities at all levels, to ensure better facilities for students across the country.</w:t>
      </w:r>
    </w:p>
    <w:p w14:paraId="7E34B19E" w14:textId="77777777" w:rsidR="00015897" w:rsidRPr="00015897" w:rsidRDefault="00015897" w:rsidP="00015897">
      <w:pPr>
        <w:spacing w:line="276" w:lineRule="auto"/>
        <w:jc w:val="both"/>
        <w:rPr>
          <w:rFonts w:ascii="Arial" w:hAnsi="Arial" w:cs="Arial"/>
          <w:sz w:val="24"/>
          <w:szCs w:val="24"/>
          <w:lang w:val="en-ZA"/>
        </w:rPr>
      </w:pPr>
    </w:p>
    <w:p w14:paraId="468F0637" w14:textId="65536670" w:rsidR="004B3CF0" w:rsidRDefault="00015897" w:rsidP="00015897">
      <w:pPr>
        <w:spacing w:line="276" w:lineRule="auto"/>
        <w:jc w:val="both"/>
        <w:rPr>
          <w:rFonts w:ascii="Arial" w:hAnsi="Arial" w:cs="Arial"/>
          <w:sz w:val="24"/>
          <w:szCs w:val="24"/>
          <w:lang w:val="en-ZA"/>
        </w:rPr>
      </w:pPr>
      <w:r w:rsidRPr="00015897">
        <w:rPr>
          <w:rFonts w:ascii="Arial" w:hAnsi="Arial" w:cs="Arial"/>
          <w:sz w:val="24"/>
          <w:szCs w:val="24"/>
          <w:lang w:val="en-ZA"/>
        </w:rPr>
        <w:t xml:space="preserve">In Argentina, the </w:t>
      </w:r>
      <w:proofErr w:type="spellStart"/>
      <w:r w:rsidRPr="00015897">
        <w:rPr>
          <w:rFonts w:ascii="Arial" w:hAnsi="Arial" w:cs="Arial"/>
          <w:sz w:val="24"/>
          <w:szCs w:val="24"/>
          <w:lang w:val="en-ZA"/>
        </w:rPr>
        <w:t>Asociación</w:t>
      </w:r>
      <w:proofErr w:type="spellEnd"/>
      <w:r w:rsidRPr="00015897">
        <w:rPr>
          <w:rFonts w:ascii="Arial" w:hAnsi="Arial" w:cs="Arial"/>
          <w:sz w:val="24"/>
          <w:szCs w:val="24"/>
          <w:lang w:val="en-ZA"/>
        </w:rPr>
        <w:t xml:space="preserve"> Civil por la </w:t>
      </w:r>
      <w:proofErr w:type="spellStart"/>
      <w:r w:rsidRPr="00015897">
        <w:rPr>
          <w:rFonts w:ascii="Arial" w:hAnsi="Arial" w:cs="Arial"/>
          <w:sz w:val="24"/>
          <w:szCs w:val="24"/>
          <w:lang w:val="en-ZA"/>
        </w:rPr>
        <w:t>lgualdad</w:t>
      </w:r>
      <w:proofErr w:type="spellEnd"/>
      <w:r w:rsidRPr="00015897">
        <w:rPr>
          <w:rFonts w:ascii="Arial" w:hAnsi="Arial" w:cs="Arial"/>
          <w:sz w:val="24"/>
          <w:szCs w:val="24"/>
          <w:lang w:val="en-ZA"/>
        </w:rPr>
        <w:t xml:space="preserve"> y la Justicia (ACIJ), a CSO, mobilized support for implementing audit recommendations that have helped prevent and treat Chagas, a parasite-driven infection. Performance audits found that funds allocated by the executive had been insufficient and not spent as planned.  The </w:t>
      </w:r>
      <w:r w:rsidRPr="00015897">
        <w:rPr>
          <w:rFonts w:ascii="Arial" w:hAnsi="Arial" w:cs="Arial"/>
          <w:sz w:val="24"/>
          <w:szCs w:val="24"/>
        </w:rPr>
        <w:t xml:space="preserve">Auditor General of the Nation </w:t>
      </w:r>
      <w:r w:rsidRPr="00015897">
        <w:rPr>
          <w:rFonts w:ascii="Arial" w:hAnsi="Arial" w:cs="Arial"/>
          <w:sz w:val="24"/>
          <w:szCs w:val="24"/>
          <w:lang w:val="en-ZA"/>
        </w:rPr>
        <w:t xml:space="preserve">called for the implementation of the Chagas Prevention and Control Law and sufficient state investment to address Chagas. As a result of ACIJ’s and its allies’ advocacy, in August 2020, the Ministry of Health began an ongoing process to regulate the Chagas Prevention and Control Law. Later in 2020, when the annual budget proposal was tabled by the executive, planned funding related to Chagas was at its highest level in 10 years. In addition, in response to the attention ACIJ has drawn to the underspending of funds allocated to address Chagas, the Argentine government collaborated with it in a trans-disciplinary working group for communication and education about Chagas. ACIJ and its allies also developed sensitization materials for distribution through national TV channels and continue to monitor spending and results to prevent, diagnose and treat Chagas. </w:t>
      </w:r>
    </w:p>
    <w:p w14:paraId="4B8DB493" w14:textId="77777777" w:rsidR="004B3CF0" w:rsidRDefault="004B3CF0">
      <w:pPr>
        <w:spacing w:after="160" w:line="259" w:lineRule="auto"/>
        <w:rPr>
          <w:rFonts w:ascii="Arial" w:hAnsi="Arial" w:cs="Arial"/>
          <w:sz w:val="24"/>
          <w:szCs w:val="24"/>
          <w:lang w:val="en-ZA"/>
        </w:rPr>
      </w:pPr>
      <w:r>
        <w:rPr>
          <w:rFonts w:ascii="Arial" w:hAnsi="Arial" w:cs="Arial"/>
          <w:sz w:val="24"/>
          <w:szCs w:val="24"/>
          <w:lang w:val="en-ZA"/>
        </w:rPr>
        <w:br w:type="page"/>
      </w:r>
    </w:p>
    <w:p w14:paraId="356B9F41" w14:textId="578DF7E6" w:rsidR="00402C0F" w:rsidRPr="00BD6508" w:rsidRDefault="002812E5" w:rsidP="003625BA">
      <w:pPr>
        <w:spacing w:line="276" w:lineRule="auto"/>
        <w:jc w:val="both"/>
        <w:rPr>
          <w:rFonts w:ascii="Arial" w:hAnsi="Arial" w:cs="Arial"/>
          <w:sz w:val="24"/>
          <w:szCs w:val="24"/>
        </w:rPr>
      </w:pPr>
      <w:bookmarkStart w:id="1307" w:name="_Toc123216575"/>
      <w:bookmarkStart w:id="1308" w:name="_Toc123217415"/>
      <w:r>
        <w:rPr>
          <w:rFonts w:ascii="Arial" w:hAnsi="Arial" w:cs="Arial"/>
          <w:noProof/>
          <w:sz w:val="24"/>
          <w:szCs w:val="24"/>
          <w:lang w:val="en-US"/>
        </w:rPr>
        <w:lastRenderedPageBreak/>
        <w:drawing>
          <wp:anchor distT="0" distB="0" distL="114300" distR="114300" simplePos="0" relativeHeight="255139838" behindDoc="0" locked="0" layoutInCell="1" allowOverlap="1" wp14:anchorId="33C4202F" wp14:editId="016EABC1">
            <wp:simplePos x="0" y="0"/>
            <wp:positionH relativeFrom="column">
              <wp:posOffset>-457200</wp:posOffset>
            </wp:positionH>
            <wp:positionV relativeFrom="paragraph">
              <wp:posOffset>-799324</wp:posOffset>
            </wp:positionV>
            <wp:extent cx="7583170" cy="10718800"/>
            <wp:effectExtent l="0" t="0" r="0" b="0"/>
            <wp:wrapNone/>
            <wp:docPr id="2787" name="Picture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567" cstate="email">
                      <a:extLst>
                        <a:ext uri="{28A0092B-C50C-407E-A947-70E740481C1C}">
                          <a14:useLocalDpi xmlns:a14="http://schemas.microsoft.com/office/drawing/2010/main"/>
                        </a:ext>
                      </a:extLst>
                    </a:blip>
                    <a:stretch>
                      <a:fillRect/>
                    </a:stretch>
                  </pic:blipFill>
                  <pic:spPr>
                    <a:xfrm>
                      <a:off x="0" y="0"/>
                      <a:ext cx="7583170" cy="10718800"/>
                    </a:xfrm>
                    <a:prstGeom prst="rect">
                      <a:avLst/>
                    </a:prstGeom>
                  </pic:spPr>
                </pic:pic>
              </a:graphicData>
            </a:graphic>
            <wp14:sizeRelH relativeFrom="page">
              <wp14:pctWidth>0</wp14:pctWidth>
            </wp14:sizeRelH>
            <wp14:sizeRelV relativeFrom="page">
              <wp14:pctHeight>0</wp14:pctHeight>
            </wp14:sizeRelV>
          </wp:anchor>
        </w:drawing>
      </w:r>
      <w:bookmarkEnd w:id="1307"/>
      <w:bookmarkEnd w:id="1308"/>
    </w:p>
    <w:p w14:paraId="332A0B6D" w14:textId="5F7F938C" w:rsidR="0065711A" w:rsidRDefault="0065711A" w:rsidP="002D14C0">
      <w:pPr>
        <w:pStyle w:val="Heading1"/>
        <w:spacing w:after="120" w:line="276" w:lineRule="auto"/>
        <w:rPr>
          <w:rFonts w:ascii="Arial" w:hAnsi="Arial" w:cs="Arial"/>
          <w:b/>
          <w:bCs/>
          <w:color w:val="F8A132"/>
          <w:sz w:val="44"/>
          <w:szCs w:val="44"/>
        </w:rPr>
      </w:pPr>
    </w:p>
    <w:p w14:paraId="34D0707D" w14:textId="7D47ECA0" w:rsidR="0065711A" w:rsidRDefault="0065711A">
      <w:pPr>
        <w:spacing w:after="160" w:line="259" w:lineRule="auto"/>
        <w:rPr>
          <w:rFonts w:ascii="Arial" w:eastAsiaTheme="majorEastAsia" w:hAnsi="Arial" w:cs="Arial"/>
          <w:b/>
          <w:bCs/>
          <w:color w:val="F8A132"/>
          <w:sz w:val="44"/>
          <w:szCs w:val="44"/>
        </w:rPr>
      </w:pPr>
      <w:r>
        <w:rPr>
          <w:rFonts w:ascii="Arial" w:hAnsi="Arial" w:cs="Arial"/>
          <w:noProof/>
          <w:sz w:val="24"/>
          <w:szCs w:val="24"/>
          <w:lang w:val="en-US"/>
        </w:rPr>
        <mc:AlternateContent>
          <mc:Choice Requires="wps">
            <w:drawing>
              <wp:anchor distT="0" distB="0" distL="114300" distR="114300" simplePos="0" relativeHeight="251627479" behindDoc="0" locked="0" layoutInCell="1" allowOverlap="1" wp14:anchorId="43612C4E" wp14:editId="6AB8993D">
                <wp:simplePos x="0" y="0"/>
                <wp:positionH relativeFrom="column">
                  <wp:posOffset>488731</wp:posOffset>
                </wp:positionH>
                <wp:positionV relativeFrom="paragraph">
                  <wp:posOffset>369833</wp:posOffset>
                </wp:positionV>
                <wp:extent cx="5905500" cy="1231900"/>
                <wp:effectExtent l="0" t="0" r="0" b="0"/>
                <wp:wrapNone/>
                <wp:docPr id="2788" name="Text Box 2788"/>
                <wp:cNvGraphicFramePr/>
                <a:graphic xmlns:a="http://schemas.openxmlformats.org/drawingml/2006/main">
                  <a:graphicData uri="http://schemas.microsoft.com/office/word/2010/wordprocessingShape">
                    <wps:wsp>
                      <wps:cNvSpPr txBox="1"/>
                      <wps:spPr>
                        <a:xfrm>
                          <a:off x="0" y="0"/>
                          <a:ext cx="5905500" cy="1231900"/>
                        </a:xfrm>
                        <a:prstGeom prst="rect">
                          <a:avLst/>
                        </a:prstGeom>
                        <a:noFill/>
                        <a:ln w="6350">
                          <a:noFill/>
                        </a:ln>
                      </wps:spPr>
                      <wps:txbx>
                        <w:txbxContent>
                          <w:p w14:paraId="608E93FC" w14:textId="77777777" w:rsidR="00D15FD8" w:rsidRPr="00BD6508" w:rsidRDefault="00D15FD8" w:rsidP="0065711A">
                            <w:pPr>
                              <w:pStyle w:val="Heading1"/>
                              <w:rPr>
                                <w:lang w:val="en-US"/>
                              </w:rPr>
                            </w:pPr>
                            <w:bookmarkStart w:id="1309" w:name="_Module_3:_Fiscal"/>
                            <w:bookmarkStart w:id="1310" w:name="_Toc123828163"/>
                            <w:bookmarkStart w:id="1311" w:name="_Toc123828373"/>
                            <w:bookmarkStart w:id="1312" w:name="_Toc123828569"/>
                            <w:bookmarkStart w:id="1313" w:name="_Toc123912596"/>
                            <w:bookmarkStart w:id="1314" w:name="_Toc123912855"/>
                            <w:bookmarkStart w:id="1315" w:name="_Toc123913082"/>
                            <w:bookmarkStart w:id="1316" w:name="_Toc123914029"/>
                            <w:bookmarkStart w:id="1317" w:name="_Toc125566649"/>
                            <w:bookmarkEnd w:id="1309"/>
                            <w:r>
                              <w:rPr>
                                <w:lang w:val="en-US"/>
                              </w:rPr>
                              <w:t>Module 3: Fiscal Transparency Information Disclosures and Standards</w:t>
                            </w:r>
                            <w:bookmarkEnd w:id="1310"/>
                            <w:bookmarkEnd w:id="1311"/>
                            <w:bookmarkEnd w:id="1312"/>
                            <w:bookmarkEnd w:id="1313"/>
                            <w:bookmarkEnd w:id="1314"/>
                            <w:bookmarkEnd w:id="1315"/>
                            <w:bookmarkEnd w:id="1316"/>
                            <w:bookmarkEnd w:id="131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612C4E" id="Text Box 2788" o:spid="_x0000_s1324" type="#_x0000_t202" style="position:absolute;margin-left:38.5pt;margin-top:29.1pt;width:465pt;height:97pt;z-index:251627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" filled="f" stroked="f" strokeweight=".5pt">
                <v:textbox>
                  <w:txbxContent>
                    <w:p w14:paraId="608E93FC" w14:textId="77777777" w:rsidR="00D15FD8" w:rsidRPr="00BD6508" w:rsidRDefault="00D15FD8" w:rsidP="0065711A">
                      <w:pPr>
                        <w:pStyle w:val="Heading1"/>
                        <w:rPr>
                          <w:lang w:val="en-US"/>
                        </w:rPr>
                      </w:pPr>
                      <w:bookmarkStart w:id="1318" w:name="_Module_3:_Fiscal"/>
                      <w:bookmarkStart w:id="1319" w:name="_Toc123828163"/>
                      <w:bookmarkStart w:id="1320" w:name="_Toc123828373"/>
                      <w:bookmarkStart w:id="1321" w:name="_Toc123828569"/>
                      <w:bookmarkStart w:id="1322" w:name="_Toc123912596"/>
                      <w:bookmarkStart w:id="1323" w:name="_Toc123912855"/>
                      <w:bookmarkStart w:id="1324" w:name="_Toc123913082"/>
                      <w:bookmarkStart w:id="1325" w:name="_Toc123914029"/>
                      <w:bookmarkStart w:id="1326" w:name="_Toc125566649"/>
                      <w:bookmarkEnd w:id="1318"/>
                      <w:r>
                        <w:rPr>
                          <w:lang w:val="en-US"/>
                        </w:rPr>
                        <w:t>Module 3: Fiscal Transparency Information Disclosures and Standards</w:t>
                      </w:r>
                      <w:bookmarkEnd w:id="1319"/>
                      <w:bookmarkEnd w:id="1320"/>
                      <w:bookmarkEnd w:id="1321"/>
                      <w:bookmarkEnd w:id="1322"/>
                      <w:bookmarkEnd w:id="1323"/>
                      <w:bookmarkEnd w:id="1324"/>
                      <w:bookmarkEnd w:id="1325"/>
                      <w:bookmarkEnd w:id="1326"/>
                    </w:p>
                  </w:txbxContent>
                </v:textbox>
              </v:shape>
            </w:pict>
          </mc:Fallback>
        </mc:AlternateContent>
      </w:r>
      <w:r>
        <w:rPr>
          <w:rFonts w:ascii="Arial" w:hAnsi="Arial" w:cs="Arial"/>
          <w:b/>
          <w:bCs/>
          <w:color w:val="F8A132"/>
          <w:sz w:val="44"/>
          <w:szCs w:val="44"/>
        </w:rPr>
        <w:br w:type="page"/>
      </w:r>
    </w:p>
    <w:p w14:paraId="0770BAE3" w14:textId="319B20FC" w:rsidR="00402C0F" w:rsidRPr="00B60992" w:rsidRDefault="00402C0F" w:rsidP="002D14C0">
      <w:pPr>
        <w:pStyle w:val="Heading1"/>
        <w:spacing w:after="120" w:line="276" w:lineRule="auto"/>
        <w:rPr>
          <w:rFonts w:ascii="Arial" w:hAnsi="Arial" w:cs="Arial"/>
          <w:b/>
          <w:bCs/>
          <w:color w:val="F8A132"/>
          <w:sz w:val="44"/>
          <w:szCs w:val="44"/>
        </w:rPr>
      </w:pPr>
      <w:bookmarkStart w:id="1327" w:name="_Module_objectives_2"/>
      <w:bookmarkStart w:id="1328" w:name="_Toc123914030"/>
      <w:bookmarkStart w:id="1329" w:name="_Toc125566650"/>
      <w:bookmarkEnd w:id="1327"/>
      <w:r w:rsidRPr="00B60992">
        <w:rPr>
          <w:rFonts w:ascii="Arial" w:hAnsi="Arial" w:cs="Arial"/>
          <w:b/>
          <w:bCs/>
          <w:color w:val="F8A132"/>
          <w:sz w:val="44"/>
          <w:szCs w:val="44"/>
        </w:rPr>
        <w:lastRenderedPageBreak/>
        <w:t>Module</w:t>
      </w:r>
      <w:r>
        <w:rPr>
          <w:rFonts w:ascii="Arial" w:hAnsi="Arial" w:cs="Arial"/>
          <w:b/>
          <w:bCs/>
          <w:color w:val="F8A132"/>
          <w:sz w:val="44"/>
          <w:szCs w:val="44"/>
        </w:rPr>
        <w:t xml:space="preserve"> o</w:t>
      </w:r>
      <w:r w:rsidRPr="00B60992">
        <w:rPr>
          <w:rFonts w:ascii="Arial" w:hAnsi="Arial" w:cs="Arial"/>
          <w:b/>
          <w:bCs/>
          <w:color w:val="F8A132"/>
          <w:sz w:val="44"/>
          <w:szCs w:val="44"/>
        </w:rPr>
        <w:t>bjectives</w:t>
      </w:r>
      <w:bookmarkEnd w:id="1328"/>
      <w:bookmarkEnd w:id="1329"/>
    </w:p>
    <w:p w14:paraId="0ABE5017" w14:textId="1AAAC4E8" w:rsidR="00402C0F" w:rsidRDefault="00402C0F" w:rsidP="002D14C0">
      <w:pPr>
        <w:pStyle w:val="NormalWeb"/>
        <w:shd w:val="clear" w:color="auto" w:fill="FFFFFF"/>
        <w:spacing w:before="120" w:after="120" w:line="276" w:lineRule="auto"/>
        <w:jc w:val="both"/>
        <w:rPr>
          <w:rFonts w:ascii="Arial" w:hAnsi="Arial" w:cs="Arial"/>
          <w:iCs/>
          <w:lang w:val="en-ZA"/>
        </w:rPr>
      </w:pPr>
      <w:r w:rsidRPr="00B60992">
        <w:rPr>
          <w:rFonts w:ascii="Arial" w:hAnsi="Arial" w:cs="Arial"/>
          <w:iCs/>
          <w:lang w:val="en-US"/>
        </w:rPr>
        <w:t>This Module details the executive’s central role in publishing information that meets fiscal transparency standards and how this is measured using fiscal transparency assessments</w:t>
      </w:r>
      <w:r w:rsidRPr="00B60992">
        <w:rPr>
          <w:rFonts w:ascii="Arial" w:hAnsi="Arial" w:cs="Arial"/>
          <w:iCs/>
          <w:lang w:val="en-ZA"/>
        </w:rPr>
        <w:t>. It begins by looking at the processes and tools that the executive branch can use to produce reliable fiscal reports, including the applicable legal frameworks that should be in place, as well as the information and presentation required to produce quality budget related documents. A government’s fiscal transparency is generally assessed based on whether a country has legislation that provides the public with access to fiscal information, mandates governments to proactively disclose this information, and whether this information is actually made available in practice. Assessments assist in creating a shared view of country-specific circumstances, thereby facilitating the identification of actions that can be taken to improve fiscal transparency. This module concludes by examining a number of internationally-recognized fiscal transparency assessments that are undertaken by different organizations. </w:t>
      </w:r>
    </w:p>
    <w:p w14:paraId="4213299E" w14:textId="58B20C9C" w:rsidR="00402C0F" w:rsidRDefault="00D57471" w:rsidP="002D14C0">
      <w:pPr>
        <w:pStyle w:val="NormalWeb"/>
        <w:shd w:val="clear" w:color="auto" w:fill="FFFFFF"/>
        <w:spacing w:before="120" w:after="120" w:line="276" w:lineRule="auto"/>
        <w:jc w:val="both"/>
        <w:rPr>
          <w:rFonts w:ascii="Arial" w:hAnsi="Arial" w:cs="Arial"/>
          <w:iCs/>
          <w:lang w:val="en-ZA"/>
        </w:rPr>
      </w:pPr>
      <w:r>
        <w:rPr>
          <w:rFonts w:ascii="Arial" w:hAnsi="Arial" w:cs="Arial"/>
          <w:iCs/>
          <w:noProof/>
          <w:lang w:val="en-US"/>
        </w:rPr>
        <mc:AlternateContent>
          <mc:Choice Requires="wps">
            <w:drawing>
              <wp:anchor distT="0" distB="0" distL="114300" distR="114300" simplePos="0" relativeHeight="252806142" behindDoc="0" locked="0" layoutInCell="1" allowOverlap="1" wp14:anchorId="58B3242A" wp14:editId="4AC3D7EF">
                <wp:simplePos x="0" y="0"/>
                <wp:positionH relativeFrom="column">
                  <wp:posOffset>1003300</wp:posOffset>
                </wp:positionH>
                <wp:positionV relativeFrom="paragraph">
                  <wp:posOffset>236329</wp:posOffset>
                </wp:positionV>
                <wp:extent cx="4546600" cy="812800"/>
                <wp:effectExtent l="0" t="0" r="0" b="0"/>
                <wp:wrapNone/>
                <wp:docPr id="1745" name="Text Box 1745"/>
                <wp:cNvGraphicFramePr/>
                <a:graphic xmlns:a="http://schemas.openxmlformats.org/drawingml/2006/main">
                  <a:graphicData uri="http://schemas.microsoft.com/office/word/2010/wordprocessingShape">
                    <wps:wsp>
                      <wps:cNvSpPr txBox="1"/>
                      <wps:spPr>
                        <a:xfrm>
                          <a:off x="0" y="0"/>
                          <a:ext cx="4546600" cy="812800"/>
                        </a:xfrm>
                        <a:prstGeom prst="rect">
                          <a:avLst/>
                        </a:prstGeom>
                        <a:noFill/>
                        <a:ln w="6350">
                          <a:noFill/>
                        </a:ln>
                      </wps:spPr>
                      <wps:txbx>
                        <w:txbxContent>
                          <w:p w14:paraId="65F62C32" w14:textId="4C2960E2" w:rsidR="00D15FD8" w:rsidRPr="00D57471" w:rsidRDefault="00D15FD8" w:rsidP="00BD6508">
                            <w:pPr>
                              <w:pStyle w:val="Heading1"/>
                              <w:rPr>
                                <w:rFonts w:ascii="Arial" w:hAnsi="Arial" w:cs="Arial"/>
                                <w:b/>
                                <w:bCs/>
                                <w:color w:val="FFFFFF" w:themeColor="background1"/>
                                <w:sz w:val="38"/>
                                <w:szCs w:val="38"/>
                              </w:rPr>
                            </w:pPr>
                            <w:bookmarkStart w:id="1330" w:name="_The_role_of"/>
                            <w:bookmarkStart w:id="1331" w:name="_Toc123216578"/>
                            <w:bookmarkStart w:id="1332" w:name="_Toc123828165"/>
                            <w:bookmarkStart w:id="1333" w:name="_Toc123828375"/>
                            <w:bookmarkStart w:id="1334" w:name="_Toc123828571"/>
                            <w:bookmarkStart w:id="1335" w:name="_Toc123912598"/>
                            <w:bookmarkStart w:id="1336" w:name="_Toc123912857"/>
                            <w:bookmarkStart w:id="1337" w:name="_Toc123913084"/>
                            <w:bookmarkStart w:id="1338" w:name="_Toc123914031"/>
                            <w:bookmarkStart w:id="1339" w:name="_Toc125566651"/>
                            <w:bookmarkEnd w:id="1330"/>
                            <w:r w:rsidRPr="00D57471">
                              <w:rPr>
                                <w:rFonts w:ascii="Arial" w:hAnsi="Arial" w:cs="Arial"/>
                                <w:b/>
                                <w:bCs/>
                                <w:color w:val="FFFFFF" w:themeColor="background1"/>
                                <w:sz w:val="38"/>
                                <w:szCs w:val="38"/>
                              </w:rPr>
                              <w:t>The role of the executive in the fiscal policy cycle</w:t>
                            </w:r>
                            <w:bookmarkEnd w:id="1331"/>
                            <w:bookmarkEnd w:id="1332"/>
                            <w:bookmarkEnd w:id="1333"/>
                            <w:bookmarkEnd w:id="1334"/>
                            <w:bookmarkEnd w:id="1335"/>
                            <w:bookmarkEnd w:id="1336"/>
                            <w:bookmarkEnd w:id="1337"/>
                            <w:bookmarkEnd w:id="1338"/>
                            <w:bookmarkEnd w:id="1339"/>
                          </w:p>
                          <w:p w14:paraId="300A7A38" w14:textId="77777777" w:rsidR="00D15FD8" w:rsidRPr="00D57471" w:rsidRDefault="00D15FD8" w:rsidP="00BD6508">
                            <w:pPr>
                              <w:pStyle w:val="Heading1"/>
                              <w:rPr>
                                <w:rFonts w:ascii="Arial" w:hAnsi="Arial" w:cs="Arial"/>
                                <w:b/>
                                <w:bCs/>
                                <w:color w:val="FFFFFF" w:themeColor="background1"/>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3242A" id="Text Box 1745" o:spid="_x0000_s1325" type="#_x0000_t202" style="position:absolute;left:0;text-align:left;margin-left:79pt;margin-top:18.6pt;width:358pt;height:64pt;z-index:252806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" filled="f" stroked="f" strokeweight=".5pt">
                <v:textbox>
                  <w:txbxContent>
                    <w:p w14:paraId="65F62C32" w14:textId="4C2960E2" w:rsidR="00D15FD8" w:rsidRPr="00D57471" w:rsidRDefault="00D15FD8" w:rsidP="00BD6508">
                      <w:pPr>
                        <w:pStyle w:val="Heading1"/>
                        <w:rPr>
                          <w:rFonts w:ascii="Arial" w:hAnsi="Arial" w:cs="Arial"/>
                          <w:b/>
                          <w:bCs/>
                          <w:color w:val="FFFFFF" w:themeColor="background1"/>
                          <w:sz w:val="38"/>
                          <w:szCs w:val="38"/>
                        </w:rPr>
                      </w:pPr>
                      <w:bookmarkStart w:id="1340" w:name="_The_role_of"/>
                      <w:bookmarkStart w:id="1341" w:name="_Toc123216578"/>
                      <w:bookmarkStart w:id="1342" w:name="_Toc123828165"/>
                      <w:bookmarkStart w:id="1343" w:name="_Toc123828375"/>
                      <w:bookmarkStart w:id="1344" w:name="_Toc123828571"/>
                      <w:bookmarkStart w:id="1345" w:name="_Toc123912598"/>
                      <w:bookmarkStart w:id="1346" w:name="_Toc123912857"/>
                      <w:bookmarkStart w:id="1347" w:name="_Toc123913084"/>
                      <w:bookmarkStart w:id="1348" w:name="_Toc123914031"/>
                      <w:bookmarkStart w:id="1349" w:name="_Toc125566651"/>
                      <w:bookmarkEnd w:id="1340"/>
                      <w:r w:rsidRPr="00D57471">
                        <w:rPr>
                          <w:rFonts w:ascii="Arial" w:hAnsi="Arial" w:cs="Arial"/>
                          <w:b/>
                          <w:bCs/>
                          <w:color w:val="FFFFFF" w:themeColor="background1"/>
                          <w:sz w:val="38"/>
                          <w:szCs w:val="38"/>
                        </w:rPr>
                        <w:t>The role of the executive in the fiscal policy cycle</w:t>
                      </w:r>
                      <w:bookmarkEnd w:id="1341"/>
                      <w:bookmarkEnd w:id="1342"/>
                      <w:bookmarkEnd w:id="1343"/>
                      <w:bookmarkEnd w:id="1344"/>
                      <w:bookmarkEnd w:id="1345"/>
                      <w:bookmarkEnd w:id="1346"/>
                      <w:bookmarkEnd w:id="1347"/>
                      <w:bookmarkEnd w:id="1348"/>
                      <w:bookmarkEnd w:id="1349"/>
                    </w:p>
                    <w:p w14:paraId="300A7A38" w14:textId="77777777" w:rsidR="00D15FD8" w:rsidRPr="00D57471" w:rsidRDefault="00D15FD8" w:rsidP="00BD6508">
                      <w:pPr>
                        <w:pStyle w:val="Heading1"/>
                        <w:rPr>
                          <w:rFonts w:ascii="Arial" w:hAnsi="Arial" w:cs="Arial"/>
                          <w:b/>
                          <w:bCs/>
                          <w:color w:val="FFFFFF" w:themeColor="background1"/>
                          <w:sz w:val="38"/>
                          <w:szCs w:val="38"/>
                        </w:rPr>
                      </w:pPr>
                    </w:p>
                  </w:txbxContent>
                </v:textbox>
              </v:shape>
            </w:pict>
          </mc:Fallback>
        </mc:AlternateContent>
      </w:r>
      <w:r w:rsidR="006A4F62">
        <w:rPr>
          <w:rFonts w:ascii="Arial" w:hAnsi="Arial" w:cs="Arial"/>
          <w:iCs/>
          <w:noProof/>
          <w:lang w:val="en-US"/>
        </w:rPr>
        <w:drawing>
          <wp:anchor distT="0" distB="0" distL="114300" distR="114300" simplePos="0" relativeHeight="251640804" behindDoc="1" locked="0" layoutInCell="1" allowOverlap="1" wp14:anchorId="1346F221" wp14:editId="736C3C3E">
            <wp:simplePos x="0" y="0"/>
            <wp:positionH relativeFrom="column">
              <wp:posOffset>-203200</wp:posOffset>
            </wp:positionH>
            <wp:positionV relativeFrom="paragraph">
              <wp:posOffset>25400</wp:posOffset>
            </wp:positionV>
            <wp:extent cx="6379210" cy="1384300"/>
            <wp:effectExtent l="0" t="0" r="0" b="0"/>
            <wp:wrapTight wrapText="bothSides">
              <wp:wrapPolygon edited="0">
                <wp:start x="1548" y="0"/>
                <wp:lineTo x="688" y="2180"/>
                <wp:lineTo x="301" y="3369"/>
                <wp:lineTo x="129" y="6539"/>
                <wp:lineTo x="43" y="6936"/>
                <wp:lineTo x="43" y="14466"/>
                <wp:lineTo x="387" y="15853"/>
                <wp:lineTo x="602" y="19024"/>
                <wp:lineTo x="1204" y="19222"/>
                <wp:lineTo x="1204" y="20213"/>
                <wp:lineTo x="1720" y="21006"/>
                <wp:lineTo x="2795" y="21006"/>
                <wp:lineTo x="19437" y="20015"/>
                <wp:lineTo x="19480" y="19024"/>
                <wp:lineTo x="20211" y="16250"/>
                <wp:lineTo x="20512" y="12683"/>
                <wp:lineTo x="20555" y="9512"/>
                <wp:lineTo x="20297" y="6341"/>
                <wp:lineTo x="19781" y="3963"/>
                <wp:lineTo x="19566" y="3171"/>
                <wp:lineTo x="19652" y="793"/>
                <wp:lineTo x="17760" y="594"/>
                <wp:lineTo x="3010" y="0"/>
                <wp:lineTo x="1548" y="0"/>
              </wp:wrapPolygon>
            </wp:wrapTight>
            <wp:docPr id="2735" name="Picture 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Picture 2735"/>
                    <pic:cNvPicPr/>
                  </pic:nvPicPr>
                  <pic:blipFill rotWithShape="1">
                    <a:blip r:embed="rId568" cstate="screen">
                      <a:extLst>
                        <a:ext uri="{28A0092B-C50C-407E-A947-70E740481C1C}">
                          <a14:useLocalDpi xmlns:a14="http://schemas.microsoft.com/office/drawing/2010/main"/>
                        </a:ext>
                      </a:extLst>
                    </a:blip>
                    <a:srcRect/>
                    <a:stretch/>
                  </pic:blipFill>
                  <pic:spPr bwMode="auto">
                    <a:xfrm>
                      <a:off x="0" y="0"/>
                      <a:ext cx="6379210" cy="138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307321" w14:textId="53900F91" w:rsidR="00402C0F" w:rsidRDefault="00402C0F" w:rsidP="002D14C0">
      <w:pPr>
        <w:pStyle w:val="NormalWeb"/>
        <w:shd w:val="clear" w:color="auto" w:fill="FFFFFF"/>
        <w:spacing w:before="120" w:after="120" w:line="276" w:lineRule="auto"/>
        <w:jc w:val="both"/>
        <w:rPr>
          <w:rFonts w:ascii="Arial" w:hAnsi="Arial" w:cs="Arial"/>
          <w:iCs/>
          <w:lang w:val="en-ZA"/>
        </w:rPr>
      </w:pPr>
      <w:r>
        <w:rPr>
          <w:rFonts w:ascii="Arial" w:hAnsi="Arial" w:cs="Arial"/>
          <w:iCs/>
          <w:noProof/>
          <w:lang w:val="en-US"/>
        </w:rPr>
        <mc:AlternateContent>
          <mc:Choice Requires="wps">
            <w:drawing>
              <wp:anchor distT="0" distB="0" distL="114300" distR="114300" simplePos="0" relativeHeight="252805118" behindDoc="0" locked="0" layoutInCell="1" allowOverlap="1" wp14:anchorId="64655649" wp14:editId="1EAC0FB4">
                <wp:simplePos x="0" y="0"/>
                <wp:positionH relativeFrom="column">
                  <wp:posOffset>50800</wp:posOffset>
                </wp:positionH>
                <wp:positionV relativeFrom="paragraph">
                  <wp:posOffset>98425</wp:posOffset>
                </wp:positionV>
                <wp:extent cx="571500" cy="660400"/>
                <wp:effectExtent l="0" t="0" r="0" b="0"/>
                <wp:wrapNone/>
                <wp:docPr id="454" name="Text Box 454"/>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1CFF7A15" w14:textId="77777777" w:rsidR="00D15FD8" w:rsidRPr="00B60992" w:rsidRDefault="00D15FD8" w:rsidP="002D14C0">
                            <w:pPr>
                              <w:pStyle w:val="ListParagraph"/>
                              <w:numPr>
                                <w:ilvl w:val="0"/>
                                <w:numId w:val="66"/>
                              </w:numPr>
                              <w:jc w:val="center"/>
                              <w:rPr>
                                <w:rFonts w:ascii="Arial" w:hAnsi="Arial" w:cs="Arial"/>
                                <w:color w:val="FFFFFF" w:themeColor="background1"/>
                                <w:sz w:val="44"/>
                                <w:szCs w:val="44"/>
                                <w:lang w:val="en-US"/>
                              </w:rPr>
                            </w:pPr>
                            <w:r w:rsidRPr="00B60992">
                              <w:rPr>
                                <w:rFonts w:ascii="Arial" w:hAnsi="Arial" w:cs="Arial"/>
                                <w:color w:val="FFFFFF" w:themeColor="background1"/>
                                <w:sz w:val="44"/>
                                <w:szCs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55649" id="Text Box 454" o:spid="_x0000_s1326" type="#_x0000_t202" style="position:absolute;left:0;text-align:left;margin-left:4pt;margin-top:7.75pt;width:45pt;height:52pt;z-index:252805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" filled="f" stroked="f" strokeweight=".5pt">
                <v:textbox>
                  <w:txbxContent>
                    <w:p w14:paraId="1CFF7A15" w14:textId="77777777" w:rsidR="00D15FD8" w:rsidRPr="00B60992" w:rsidRDefault="00D15FD8" w:rsidP="002D14C0">
                      <w:pPr>
                        <w:pStyle w:val="ListParagraph"/>
                        <w:numPr>
                          <w:ilvl w:val="0"/>
                          <w:numId w:val="66"/>
                        </w:numPr>
                        <w:jc w:val="center"/>
                        <w:rPr>
                          <w:rFonts w:ascii="Arial" w:hAnsi="Arial" w:cs="Arial"/>
                          <w:color w:val="FFFFFF" w:themeColor="background1"/>
                          <w:sz w:val="44"/>
                          <w:szCs w:val="44"/>
                          <w:lang w:val="en-US"/>
                        </w:rPr>
                      </w:pPr>
                      <w:r w:rsidRPr="00B60992">
                        <w:rPr>
                          <w:rFonts w:ascii="Arial" w:hAnsi="Arial" w:cs="Arial"/>
                          <w:color w:val="FFFFFF" w:themeColor="background1"/>
                          <w:sz w:val="44"/>
                          <w:szCs w:val="44"/>
                          <w:lang w:val="en-US"/>
                        </w:rPr>
                        <w:t>1</w:t>
                      </w:r>
                    </w:p>
                  </w:txbxContent>
                </v:textbox>
              </v:shape>
            </w:pict>
          </mc:Fallback>
        </mc:AlternateContent>
      </w:r>
    </w:p>
    <w:p w14:paraId="01BDA5F0" w14:textId="77777777" w:rsidR="00402C0F" w:rsidRDefault="00402C0F" w:rsidP="002D14C0">
      <w:pPr>
        <w:pStyle w:val="NormalWeb"/>
        <w:shd w:val="clear" w:color="auto" w:fill="FFFFFF"/>
        <w:spacing w:before="120" w:after="120" w:line="276" w:lineRule="auto"/>
        <w:jc w:val="both"/>
        <w:rPr>
          <w:rFonts w:ascii="Arial" w:hAnsi="Arial" w:cs="Arial"/>
          <w:iCs/>
          <w:lang w:val="en-ZA"/>
        </w:rPr>
      </w:pPr>
    </w:p>
    <w:p w14:paraId="63939FDB" w14:textId="77777777" w:rsidR="00402C0F" w:rsidRPr="00B60992" w:rsidRDefault="00402C0F" w:rsidP="002D14C0">
      <w:pPr>
        <w:pStyle w:val="NormalWeb"/>
        <w:shd w:val="clear" w:color="auto" w:fill="FFFFFF"/>
        <w:spacing w:before="120" w:after="120" w:line="276" w:lineRule="auto"/>
        <w:jc w:val="both"/>
        <w:rPr>
          <w:rFonts w:ascii="Arial" w:hAnsi="Arial" w:cs="Arial"/>
          <w:iCs/>
          <w:lang w:val="en-ZA"/>
        </w:rPr>
      </w:pPr>
    </w:p>
    <w:p w14:paraId="31689331" w14:textId="77777777" w:rsidR="00402C0F" w:rsidRDefault="00402C0F" w:rsidP="002D14C0">
      <w:pPr>
        <w:spacing w:line="276" w:lineRule="auto"/>
        <w:jc w:val="both"/>
        <w:rPr>
          <w:rFonts w:ascii="Arial" w:hAnsi="Arial" w:cs="Arial"/>
        </w:rPr>
      </w:pPr>
    </w:p>
    <w:p w14:paraId="13E3883C" w14:textId="77777777" w:rsidR="00402C0F" w:rsidRPr="00B60992" w:rsidRDefault="00402C0F" w:rsidP="002D14C0">
      <w:pPr>
        <w:spacing w:line="276" w:lineRule="auto"/>
        <w:jc w:val="both"/>
        <w:rPr>
          <w:rFonts w:ascii="Arial" w:hAnsi="Arial" w:cs="Arial"/>
          <w:sz w:val="24"/>
          <w:szCs w:val="24"/>
        </w:rPr>
      </w:pPr>
    </w:p>
    <w:p w14:paraId="1AEE1993" w14:textId="04B197A8" w:rsidR="00402C0F" w:rsidRDefault="00402C0F" w:rsidP="002D14C0">
      <w:pPr>
        <w:spacing w:line="276" w:lineRule="auto"/>
        <w:jc w:val="both"/>
        <w:rPr>
          <w:rFonts w:ascii="Arial" w:hAnsi="Arial" w:cs="Arial"/>
          <w:sz w:val="24"/>
          <w:szCs w:val="24"/>
        </w:rPr>
      </w:pPr>
      <w:r w:rsidRPr="00B60992">
        <w:rPr>
          <w:rFonts w:ascii="Arial" w:hAnsi="Arial" w:cs="Arial"/>
          <w:sz w:val="24"/>
          <w:szCs w:val="24"/>
        </w:rPr>
        <w:t xml:space="preserve">The executive is responsible for the management of public finances. Throughout the fiscal policy cycle, it should interact with other actors in the fiscal ecosystem, as both a supplier and as a user of information. </w:t>
      </w:r>
      <w:r w:rsidRPr="00B60992">
        <w:rPr>
          <w:rFonts w:ascii="Arial" w:hAnsi="Arial" w:cs="Arial"/>
          <w:sz w:val="24"/>
          <w:szCs w:val="24"/>
          <w:lang w:val="en-US"/>
        </w:rPr>
        <w:t>The executive itself relies on fiscal transparency, in the sense that the different institutions within the executive need to make information available on their activities such that comprehensive information is available for decision making. Other actors in the fiscal ecosystem require fiscal transparency to effectively undertake their roles throughout the fiscal policy cycle; including by them in turn providing the executive with inputs and feedback that assists it in conducting its role; and them being able to ‘follow the money’ in order to hold it accountable for its implementation of policies.</w:t>
      </w:r>
      <w:r w:rsidR="000D0FDE">
        <w:rPr>
          <w:rFonts w:ascii="Arial" w:hAnsi="Arial" w:cs="Arial"/>
          <w:sz w:val="24"/>
          <w:szCs w:val="24"/>
          <w:lang w:val="en-US"/>
        </w:rPr>
        <w:t xml:space="preserve"> </w:t>
      </w:r>
      <w:r w:rsidRPr="00B60992">
        <w:rPr>
          <w:rFonts w:ascii="Arial" w:hAnsi="Arial" w:cs="Arial"/>
          <w:sz w:val="24"/>
          <w:szCs w:val="24"/>
        </w:rPr>
        <w:t xml:space="preserve">The executive’s key role in each stage of the fiscal policy cycle is described </w:t>
      </w:r>
      <w:r w:rsidR="00DF7121">
        <w:rPr>
          <w:rFonts w:ascii="Arial" w:hAnsi="Arial" w:cs="Arial"/>
          <w:sz w:val="24"/>
          <w:szCs w:val="24"/>
        </w:rPr>
        <w:t>below</w:t>
      </w:r>
      <w:r w:rsidRPr="00B60992">
        <w:rPr>
          <w:rFonts w:ascii="Arial" w:hAnsi="Arial" w:cs="Arial"/>
          <w:sz w:val="24"/>
          <w:szCs w:val="24"/>
        </w:rPr>
        <w:t xml:space="preserve">. </w:t>
      </w:r>
    </w:p>
    <w:p w14:paraId="1F616657" w14:textId="769FE7ED" w:rsidR="00395E05" w:rsidRDefault="00395E05" w:rsidP="002D14C0">
      <w:pPr>
        <w:spacing w:line="276" w:lineRule="auto"/>
        <w:jc w:val="both"/>
        <w:rPr>
          <w:rFonts w:ascii="Arial" w:hAnsi="Arial" w:cs="Arial"/>
          <w:sz w:val="24"/>
          <w:szCs w:val="24"/>
        </w:rPr>
      </w:pPr>
    </w:p>
    <w:p w14:paraId="6F916482" w14:textId="7F57328F" w:rsidR="00395E05" w:rsidRDefault="00395E05" w:rsidP="002D14C0">
      <w:pPr>
        <w:spacing w:line="276" w:lineRule="auto"/>
        <w:jc w:val="both"/>
        <w:rPr>
          <w:rFonts w:ascii="Arial" w:hAnsi="Arial" w:cs="Arial"/>
          <w:sz w:val="24"/>
          <w:szCs w:val="24"/>
        </w:rPr>
      </w:pPr>
    </w:p>
    <w:p w14:paraId="4F3B9FCB" w14:textId="3D6E14B9" w:rsidR="00395E05" w:rsidRDefault="00395E05" w:rsidP="002D14C0">
      <w:pPr>
        <w:spacing w:line="276" w:lineRule="auto"/>
        <w:jc w:val="both"/>
        <w:rPr>
          <w:rFonts w:ascii="Arial" w:hAnsi="Arial" w:cs="Arial"/>
          <w:sz w:val="24"/>
          <w:szCs w:val="24"/>
        </w:rPr>
      </w:pPr>
    </w:p>
    <w:p w14:paraId="431DDF37" w14:textId="4D64D068" w:rsidR="00395E05" w:rsidRDefault="00395E05" w:rsidP="002D14C0">
      <w:pPr>
        <w:spacing w:line="276" w:lineRule="auto"/>
        <w:jc w:val="both"/>
        <w:rPr>
          <w:rFonts w:ascii="Arial" w:hAnsi="Arial" w:cs="Arial"/>
          <w:sz w:val="24"/>
          <w:szCs w:val="24"/>
        </w:rPr>
      </w:pPr>
    </w:p>
    <w:p w14:paraId="2F9BFFD9" w14:textId="0EB2E80D" w:rsidR="00395E05" w:rsidRDefault="00395E05" w:rsidP="002D14C0">
      <w:pPr>
        <w:spacing w:line="276" w:lineRule="auto"/>
        <w:jc w:val="both"/>
        <w:rPr>
          <w:rFonts w:ascii="Arial" w:hAnsi="Arial" w:cs="Arial"/>
          <w:sz w:val="24"/>
          <w:szCs w:val="24"/>
        </w:rPr>
      </w:pPr>
    </w:p>
    <w:p w14:paraId="007CE164" w14:textId="50AABA6F" w:rsidR="00395E05" w:rsidRDefault="00395E05" w:rsidP="002D14C0">
      <w:pPr>
        <w:spacing w:line="276" w:lineRule="auto"/>
        <w:jc w:val="both"/>
        <w:rPr>
          <w:rFonts w:ascii="Arial" w:hAnsi="Arial" w:cs="Arial"/>
          <w:sz w:val="24"/>
          <w:szCs w:val="24"/>
        </w:rPr>
      </w:pPr>
    </w:p>
    <w:p w14:paraId="40BF1DE6" w14:textId="7EEAD7C5" w:rsidR="00395E05" w:rsidRDefault="00395E05" w:rsidP="002D14C0">
      <w:pPr>
        <w:spacing w:line="276" w:lineRule="auto"/>
        <w:jc w:val="both"/>
        <w:rPr>
          <w:rFonts w:ascii="Arial" w:hAnsi="Arial" w:cs="Arial"/>
          <w:sz w:val="24"/>
          <w:szCs w:val="24"/>
        </w:rPr>
      </w:pPr>
    </w:p>
    <w:p w14:paraId="12648AE5" w14:textId="42EA167B" w:rsidR="00395E05" w:rsidRDefault="00395E05" w:rsidP="002D14C0">
      <w:pPr>
        <w:spacing w:line="276" w:lineRule="auto"/>
        <w:jc w:val="both"/>
        <w:rPr>
          <w:rFonts w:ascii="Arial" w:hAnsi="Arial" w:cs="Arial"/>
          <w:sz w:val="24"/>
          <w:szCs w:val="24"/>
        </w:rPr>
      </w:pPr>
    </w:p>
    <w:p w14:paraId="296D56A2" w14:textId="62A1588B" w:rsidR="00395E05" w:rsidRDefault="00395E05" w:rsidP="002D14C0">
      <w:pPr>
        <w:spacing w:line="276" w:lineRule="auto"/>
        <w:jc w:val="both"/>
        <w:rPr>
          <w:rFonts w:ascii="Arial" w:hAnsi="Arial" w:cs="Arial"/>
          <w:sz w:val="24"/>
          <w:szCs w:val="24"/>
        </w:rPr>
      </w:pPr>
    </w:p>
    <w:p w14:paraId="62CEC893" w14:textId="60F945FA" w:rsidR="00395E05" w:rsidRDefault="00395E05" w:rsidP="002D14C0">
      <w:pPr>
        <w:spacing w:line="276" w:lineRule="auto"/>
        <w:jc w:val="both"/>
        <w:rPr>
          <w:rFonts w:ascii="Arial" w:hAnsi="Arial" w:cs="Arial"/>
          <w:sz w:val="24"/>
          <w:szCs w:val="24"/>
        </w:rPr>
      </w:pPr>
    </w:p>
    <w:p w14:paraId="55FE6CD3" w14:textId="1CA1AECD" w:rsidR="00395E05" w:rsidRDefault="00395E05" w:rsidP="002D14C0">
      <w:pPr>
        <w:spacing w:line="276" w:lineRule="auto"/>
        <w:jc w:val="both"/>
        <w:rPr>
          <w:rFonts w:ascii="Arial" w:hAnsi="Arial" w:cs="Arial"/>
          <w:sz w:val="24"/>
          <w:szCs w:val="24"/>
        </w:rPr>
      </w:pPr>
    </w:p>
    <w:p w14:paraId="50573136" w14:textId="07111CE7" w:rsidR="00395E05" w:rsidRDefault="00395E05" w:rsidP="002D14C0">
      <w:pPr>
        <w:spacing w:line="276" w:lineRule="auto"/>
        <w:jc w:val="both"/>
        <w:rPr>
          <w:rFonts w:ascii="Arial" w:hAnsi="Arial" w:cs="Arial"/>
          <w:sz w:val="24"/>
          <w:szCs w:val="24"/>
        </w:rPr>
      </w:pPr>
    </w:p>
    <w:p w14:paraId="368E8616" w14:textId="77777777" w:rsidR="00395E05" w:rsidRPr="002E1B76" w:rsidRDefault="00395E05" w:rsidP="002D14C0">
      <w:pPr>
        <w:spacing w:line="276" w:lineRule="auto"/>
        <w:jc w:val="both"/>
        <w:rPr>
          <w:rFonts w:ascii="Arial" w:hAnsi="Arial" w:cs="Arial"/>
          <w:sz w:val="24"/>
          <w:szCs w:val="24"/>
          <w:lang w:val="en-US"/>
        </w:rPr>
      </w:pPr>
    </w:p>
    <w:p w14:paraId="0BCD2367" w14:textId="35FBA288" w:rsidR="007B1CD3" w:rsidRDefault="007B1CD3" w:rsidP="007B1CD3">
      <w:pPr>
        <w:rPr>
          <w:lang w:val="en-US"/>
        </w:rPr>
      </w:pPr>
    </w:p>
    <w:p w14:paraId="06515B53" w14:textId="267330D0" w:rsidR="007B1CD3" w:rsidRDefault="00A543B4" w:rsidP="007B1CD3">
      <w:pPr>
        <w:jc w:val="both"/>
        <w:rPr>
          <w:rFonts w:ascii="Arial" w:eastAsiaTheme="minorEastAsia" w:hAnsi="Arial" w:cs="Arial"/>
          <w:b/>
          <w:bCs/>
          <w:color w:val="69557F"/>
          <w:sz w:val="24"/>
          <w:szCs w:val="24"/>
          <w:lang w:val="en-US"/>
        </w:rPr>
      </w:pPr>
      <w:r>
        <w:rPr>
          <w:rFonts w:ascii="Arial" w:eastAsiaTheme="minorEastAsia" w:hAnsi="Arial" w:cs="Arial"/>
          <w:b/>
          <w:bCs/>
          <w:color w:val="69557F"/>
          <w:sz w:val="24"/>
          <w:szCs w:val="24"/>
        </w:rPr>
        <w:lastRenderedPageBreak/>
        <w:t>Executive f</w:t>
      </w:r>
      <w:r w:rsidR="007B1CD3" w:rsidRPr="007B1CD3">
        <w:rPr>
          <w:rFonts w:ascii="Arial" w:eastAsiaTheme="minorEastAsia" w:hAnsi="Arial" w:cs="Arial"/>
          <w:b/>
          <w:bCs/>
          <w:color w:val="69557F"/>
          <w:sz w:val="24"/>
          <w:szCs w:val="24"/>
        </w:rPr>
        <w:t>iscal policy and budget formulation</w:t>
      </w:r>
      <w:r w:rsidR="000D7ED1">
        <w:rPr>
          <w:rFonts w:ascii="Arial" w:eastAsiaTheme="minorEastAsia" w:hAnsi="Arial" w:cs="Arial"/>
          <w:b/>
          <w:bCs/>
          <w:color w:val="69557F"/>
          <w:sz w:val="24"/>
          <w:szCs w:val="24"/>
        </w:rPr>
        <w:t xml:space="preserve"> stage</w:t>
      </w:r>
    </w:p>
    <w:p w14:paraId="119700A5" w14:textId="37EBF579" w:rsidR="007B1CD3" w:rsidRPr="007B1CD3" w:rsidRDefault="007B1CD3" w:rsidP="007B1CD3">
      <w:pPr>
        <w:rPr>
          <w:lang w:val="en-US"/>
        </w:rPr>
      </w:pPr>
    </w:p>
    <w:p w14:paraId="0A75AAC8" w14:textId="4C256527" w:rsidR="00402C0F" w:rsidRDefault="00402C0F" w:rsidP="002D14C0">
      <w:pPr>
        <w:jc w:val="both"/>
        <w:rPr>
          <w:rFonts w:ascii="Arial" w:eastAsiaTheme="minorEastAsia" w:hAnsi="Arial" w:cs="Arial"/>
          <w:b/>
          <w:bCs/>
          <w:sz w:val="20"/>
          <w:szCs w:val="20"/>
          <w:lang w:val="en-US"/>
        </w:rPr>
      </w:pPr>
    </w:p>
    <w:p w14:paraId="67DED415" w14:textId="4BF3BB02" w:rsidR="003766A7" w:rsidRPr="003625BA" w:rsidRDefault="003766A7" w:rsidP="003625BA">
      <w:pPr>
        <w:jc w:val="both"/>
        <w:rPr>
          <w:rFonts w:ascii="Arial" w:eastAsiaTheme="minorEastAsia" w:hAnsi="Arial" w:cs="Arial"/>
          <w:b/>
          <w:bCs/>
          <w:sz w:val="24"/>
          <w:szCs w:val="24"/>
          <w:lang w:val="en-US"/>
        </w:rPr>
      </w:pPr>
      <w:r w:rsidRPr="003766A7">
        <w:rPr>
          <w:rFonts w:ascii="Arial" w:eastAsiaTheme="minorEastAsia" w:hAnsi="Arial" w:cs="Arial"/>
          <w:b/>
          <w:bCs/>
          <w:noProof/>
          <w:sz w:val="24"/>
          <w:szCs w:val="24"/>
          <w:lang w:val="en-US"/>
        </w:rPr>
        <w:drawing>
          <wp:anchor distT="0" distB="0" distL="114300" distR="114300" simplePos="0" relativeHeight="254836734" behindDoc="0" locked="0" layoutInCell="1" allowOverlap="1" wp14:anchorId="61701AB1" wp14:editId="77ACE7D8">
            <wp:simplePos x="0" y="0"/>
            <wp:positionH relativeFrom="column">
              <wp:posOffset>0</wp:posOffset>
            </wp:positionH>
            <wp:positionV relativeFrom="paragraph">
              <wp:posOffset>-5080</wp:posOffset>
            </wp:positionV>
            <wp:extent cx="2520000" cy="2520000"/>
            <wp:effectExtent l="0" t="0" r="0" b="0"/>
            <wp:wrapSquare wrapText="bothSides"/>
            <wp:docPr id="2684" name="Picture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 name="Picture 2684"/>
                    <pic:cNvPicPr/>
                  </pic:nvPicPr>
                  <pic:blipFill>
                    <a:blip r:embed="rId569" cstate="email">
                      <a:extLst>
                        <a:ext uri="{28A0092B-C50C-407E-A947-70E740481C1C}">
                          <a14:useLocalDpi xmlns:a14="http://schemas.microsoft.com/office/drawing/2010/main"/>
                        </a:ext>
                      </a:extLst>
                    </a:blip>
                    <a:stretch>
                      <a:fillRect/>
                    </a:stretch>
                  </pic:blipFill>
                  <pic:spPr>
                    <a:xfrm>
                      <a:off x="0" y="0"/>
                      <a:ext cx="2520000" cy="2520000"/>
                    </a:xfrm>
                    <a:prstGeom prst="rect">
                      <a:avLst/>
                    </a:prstGeom>
                  </pic:spPr>
                </pic:pic>
              </a:graphicData>
            </a:graphic>
            <wp14:sizeRelH relativeFrom="page">
              <wp14:pctWidth>0</wp14:pctWidth>
            </wp14:sizeRelH>
            <wp14:sizeRelV relativeFrom="page">
              <wp14:pctHeight>0</wp14:pctHeight>
            </wp14:sizeRelV>
          </wp:anchor>
        </w:drawing>
      </w:r>
      <w:r w:rsidRPr="003625BA">
        <w:rPr>
          <w:rFonts w:ascii="Arial" w:hAnsi="Arial" w:cs="Arial"/>
          <w:sz w:val="24"/>
          <w:szCs w:val="24"/>
        </w:rPr>
        <w:t xml:space="preserve">The executive plays the key role in the </w:t>
      </w:r>
      <w:r w:rsidR="00C04DDD">
        <w:rPr>
          <w:rFonts w:ascii="Arial" w:hAnsi="Arial" w:cs="Arial"/>
          <w:sz w:val="24"/>
          <w:szCs w:val="24"/>
        </w:rPr>
        <w:t>Executive f</w:t>
      </w:r>
      <w:r w:rsidRPr="003625BA">
        <w:rPr>
          <w:rFonts w:ascii="Arial" w:hAnsi="Arial" w:cs="Arial"/>
          <w:sz w:val="24"/>
          <w:szCs w:val="24"/>
        </w:rPr>
        <w:t xml:space="preserve">iscal policy and budget formulation stage. </w:t>
      </w:r>
    </w:p>
    <w:p w14:paraId="6A7B0929" w14:textId="77777777" w:rsidR="003766A7" w:rsidRPr="003625BA" w:rsidRDefault="003766A7" w:rsidP="003766A7">
      <w:pPr>
        <w:spacing w:line="276" w:lineRule="auto"/>
        <w:jc w:val="both"/>
        <w:rPr>
          <w:rFonts w:ascii="Arial" w:hAnsi="Arial" w:cs="Arial"/>
          <w:sz w:val="24"/>
          <w:szCs w:val="24"/>
        </w:rPr>
      </w:pPr>
    </w:p>
    <w:p w14:paraId="0D1B5A71" w14:textId="77777777" w:rsidR="003766A7" w:rsidRPr="003625BA" w:rsidRDefault="003766A7" w:rsidP="003766A7">
      <w:pPr>
        <w:spacing w:line="276" w:lineRule="auto"/>
        <w:jc w:val="both"/>
        <w:rPr>
          <w:rFonts w:ascii="Arial" w:hAnsi="Arial" w:cs="Arial"/>
          <w:sz w:val="24"/>
          <w:szCs w:val="24"/>
        </w:rPr>
      </w:pPr>
      <w:r w:rsidRPr="003625BA">
        <w:rPr>
          <w:rFonts w:ascii="Arial" w:hAnsi="Arial" w:cs="Arial"/>
          <w:sz w:val="24"/>
          <w:szCs w:val="24"/>
        </w:rPr>
        <w:t xml:space="preserve">It generally raises revenue through taxation, debt and/or other alternative sources such as donor funding and revenue derived from natural resources. Another way </w:t>
      </w:r>
      <w:proofErr w:type="gramStart"/>
      <w:r w:rsidRPr="003625BA">
        <w:rPr>
          <w:rFonts w:ascii="Arial" w:hAnsi="Arial" w:cs="Arial"/>
          <w:sz w:val="24"/>
          <w:szCs w:val="24"/>
        </w:rPr>
        <w:t>governments</w:t>
      </w:r>
      <w:proofErr w:type="gramEnd"/>
      <w:r w:rsidRPr="003625BA">
        <w:rPr>
          <w:rFonts w:ascii="Arial" w:hAnsi="Arial" w:cs="Arial"/>
          <w:sz w:val="24"/>
          <w:szCs w:val="24"/>
        </w:rPr>
        <w:t xml:space="preserve"> can raise funds is through the central bank, using its currency reserves and/or printing money in the country’s currency to buy government debt. To determine the amount of resources that will be available, the executive needs to analyse macroeconomic projections to determine its ability to raise revenue; and to make choices regarding the share of the revenue to be generated from each of these sources, as well as from each component within these sources. These choices are important as they have different implications, with fiscal transparency being key in revealing these implications. For instance, governments may have more or less fiscal space (capacity to increase spending without risking its own fiscal sustainability) if they assign different weights to the costs or benefits of raising taxes, increasing debt, using donor funding and/ or other revenue sources. Further, </w:t>
      </w:r>
      <w:r w:rsidRPr="003625BA">
        <w:rPr>
          <w:rFonts w:ascii="Arial" w:hAnsi="Arial" w:cs="Arial"/>
          <w:sz w:val="24"/>
          <w:szCs w:val="24"/>
          <w:lang w:val="en-US"/>
        </w:rPr>
        <w:t xml:space="preserve">within each of the different revenue-raising instruments, additional choices need to be made, each with their own implications. </w:t>
      </w:r>
      <w:r w:rsidRPr="003625BA">
        <w:rPr>
          <w:rFonts w:ascii="Arial" w:hAnsi="Arial" w:cs="Arial"/>
          <w:sz w:val="24"/>
          <w:szCs w:val="24"/>
          <w:lang w:val="en-ZA"/>
        </w:rPr>
        <w:t>For example, within taxes, choices need to be made regarding the types of taxes to impose, their rates, their application, as well as any exemptions to be made. The executive uses revenue policies to generate the resources it requires to pay for the goods and services it is tasked with delivering to the people. It also uses these policies to try to achieve other fiscal policy objectives.</w:t>
      </w:r>
    </w:p>
    <w:p w14:paraId="6D694DC8" w14:textId="77777777" w:rsidR="003766A7" w:rsidRPr="003625BA" w:rsidRDefault="003766A7" w:rsidP="003766A7">
      <w:pPr>
        <w:spacing w:line="276" w:lineRule="auto"/>
        <w:jc w:val="both"/>
        <w:rPr>
          <w:rFonts w:ascii="Arial" w:hAnsi="Arial" w:cs="Arial"/>
          <w:sz w:val="24"/>
          <w:szCs w:val="24"/>
        </w:rPr>
      </w:pPr>
    </w:p>
    <w:p w14:paraId="7BD9DC5A" w14:textId="77777777" w:rsidR="003766A7" w:rsidRPr="003625BA" w:rsidRDefault="003766A7" w:rsidP="003766A7">
      <w:pPr>
        <w:spacing w:line="276" w:lineRule="auto"/>
        <w:jc w:val="both"/>
        <w:rPr>
          <w:rFonts w:ascii="Arial" w:hAnsi="Arial" w:cs="Arial"/>
          <w:sz w:val="24"/>
          <w:szCs w:val="24"/>
        </w:rPr>
      </w:pPr>
      <w:r w:rsidRPr="003625BA">
        <w:rPr>
          <w:rFonts w:ascii="Arial" w:hAnsi="Arial" w:cs="Arial"/>
          <w:sz w:val="24"/>
          <w:szCs w:val="24"/>
        </w:rPr>
        <w:t xml:space="preserve">Regarding spending, the executive allocates funding to many different areas, including: </w:t>
      </w:r>
    </w:p>
    <w:p w14:paraId="6FE75BB5" w14:textId="77777777" w:rsidR="003766A7" w:rsidRPr="003625BA" w:rsidRDefault="003766A7" w:rsidP="003766A7">
      <w:pPr>
        <w:numPr>
          <w:ilvl w:val="1"/>
          <w:numId w:val="67"/>
        </w:numPr>
        <w:tabs>
          <w:tab w:val="left" w:pos="270"/>
        </w:tabs>
        <w:spacing w:line="276" w:lineRule="auto"/>
        <w:ind w:left="270" w:hanging="270"/>
        <w:jc w:val="both"/>
        <w:rPr>
          <w:rFonts w:ascii="Arial" w:hAnsi="Arial" w:cs="Arial"/>
          <w:sz w:val="24"/>
          <w:szCs w:val="24"/>
        </w:rPr>
      </w:pPr>
      <w:r w:rsidRPr="003625BA">
        <w:rPr>
          <w:rFonts w:ascii="Arial" w:hAnsi="Arial" w:cs="Arial"/>
          <w:sz w:val="24"/>
          <w:szCs w:val="24"/>
          <w:lang w:val="en-US"/>
        </w:rPr>
        <w:t xml:space="preserve">for goods and services that are exclusive functions of the state, such as </w:t>
      </w:r>
      <w:proofErr w:type="spellStart"/>
      <w:r w:rsidRPr="003625BA">
        <w:rPr>
          <w:rFonts w:ascii="Arial" w:hAnsi="Arial" w:cs="Arial"/>
          <w:sz w:val="24"/>
          <w:szCs w:val="24"/>
          <w:lang w:val="en-US"/>
        </w:rPr>
        <w:t>defence</w:t>
      </w:r>
      <w:proofErr w:type="spellEnd"/>
      <w:r w:rsidRPr="003625BA">
        <w:rPr>
          <w:rFonts w:ascii="Arial" w:hAnsi="Arial" w:cs="Arial"/>
          <w:sz w:val="24"/>
          <w:szCs w:val="24"/>
          <w:lang w:val="en-US"/>
        </w:rPr>
        <w:t xml:space="preserve">, public security, and international relations as well as </w:t>
      </w:r>
      <w:r w:rsidRPr="003625BA">
        <w:rPr>
          <w:rFonts w:ascii="Arial" w:hAnsi="Arial" w:cs="Arial"/>
          <w:sz w:val="24"/>
          <w:szCs w:val="24"/>
          <w:lang w:val="en-ZA"/>
        </w:rPr>
        <w:t xml:space="preserve">goods and services that the private sector may fail to provide or will only provide for profit, such as roads, hospitals, schools, housing, and social welfare </w:t>
      </w:r>
      <w:r w:rsidRPr="003625BA">
        <w:rPr>
          <w:rFonts w:ascii="Arial" w:hAnsi="Arial" w:cs="Arial"/>
          <w:sz w:val="24"/>
          <w:szCs w:val="24"/>
          <w:lang w:val="en-US"/>
        </w:rPr>
        <w:t>payments and benefits;</w:t>
      </w:r>
    </w:p>
    <w:p w14:paraId="19B62811" w14:textId="77777777" w:rsidR="003766A7" w:rsidRPr="003625BA" w:rsidRDefault="003766A7" w:rsidP="003766A7">
      <w:pPr>
        <w:numPr>
          <w:ilvl w:val="1"/>
          <w:numId w:val="67"/>
        </w:numPr>
        <w:tabs>
          <w:tab w:val="left" w:pos="270"/>
        </w:tabs>
        <w:spacing w:line="276" w:lineRule="auto"/>
        <w:ind w:left="270" w:hanging="270"/>
        <w:jc w:val="both"/>
        <w:rPr>
          <w:rFonts w:ascii="Arial" w:hAnsi="Arial" w:cs="Arial"/>
          <w:sz w:val="24"/>
          <w:szCs w:val="24"/>
        </w:rPr>
      </w:pPr>
      <w:r w:rsidRPr="003625BA">
        <w:rPr>
          <w:rFonts w:ascii="Arial" w:hAnsi="Arial" w:cs="Arial"/>
          <w:sz w:val="24"/>
          <w:szCs w:val="24"/>
        </w:rPr>
        <w:t>to assist specific sectors/industries that require financial support in order to grow or survive, such as agricultural sector grants and subsidies;</w:t>
      </w:r>
    </w:p>
    <w:p w14:paraId="7C2BCAA5" w14:textId="77777777" w:rsidR="003766A7" w:rsidRPr="003625BA" w:rsidRDefault="003766A7" w:rsidP="003766A7">
      <w:pPr>
        <w:numPr>
          <w:ilvl w:val="1"/>
          <w:numId w:val="67"/>
        </w:numPr>
        <w:tabs>
          <w:tab w:val="left" w:pos="270"/>
        </w:tabs>
        <w:spacing w:line="276" w:lineRule="auto"/>
        <w:ind w:left="270" w:hanging="270"/>
        <w:jc w:val="both"/>
        <w:rPr>
          <w:rFonts w:ascii="Arial" w:hAnsi="Arial" w:cs="Arial"/>
          <w:sz w:val="24"/>
          <w:szCs w:val="24"/>
        </w:rPr>
      </w:pPr>
      <w:r w:rsidRPr="003625BA">
        <w:rPr>
          <w:rFonts w:ascii="Arial" w:hAnsi="Arial" w:cs="Arial"/>
          <w:sz w:val="24"/>
          <w:szCs w:val="24"/>
        </w:rPr>
        <w:t>expenditure aimed at redistributing income between different sectors of the population;</w:t>
      </w:r>
    </w:p>
    <w:p w14:paraId="370A1E2B" w14:textId="77777777" w:rsidR="003766A7" w:rsidRPr="003625BA" w:rsidRDefault="003766A7" w:rsidP="003766A7">
      <w:pPr>
        <w:numPr>
          <w:ilvl w:val="1"/>
          <w:numId w:val="67"/>
        </w:numPr>
        <w:tabs>
          <w:tab w:val="left" w:pos="270"/>
        </w:tabs>
        <w:spacing w:line="276" w:lineRule="auto"/>
        <w:ind w:left="270" w:hanging="270"/>
        <w:jc w:val="both"/>
        <w:rPr>
          <w:rFonts w:ascii="Arial" w:hAnsi="Arial" w:cs="Arial"/>
          <w:sz w:val="24"/>
          <w:szCs w:val="24"/>
        </w:rPr>
      </w:pPr>
      <w:r w:rsidRPr="003625BA">
        <w:rPr>
          <w:rFonts w:ascii="Arial" w:hAnsi="Arial" w:cs="Arial"/>
          <w:sz w:val="24"/>
          <w:szCs w:val="24"/>
        </w:rPr>
        <w:t>expenditure aimed at increasing spending in the economy to achieve specific fiscal policy objectives such as economic growth; and</w:t>
      </w:r>
    </w:p>
    <w:p w14:paraId="1A3425C6" w14:textId="77777777" w:rsidR="003766A7" w:rsidRPr="003625BA" w:rsidRDefault="003766A7" w:rsidP="003766A7">
      <w:pPr>
        <w:numPr>
          <w:ilvl w:val="1"/>
          <w:numId w:val="67"/>
        </w:numPr>
        <w:tabs>
          <w:tab w:val="left" w:pos="270"/>
        </w:tabs>
        <w:spacing w:line="276" w:lineRule="auto"/>
        <w:ind w:left="270" w:hanging="270"/>
        <w:jc w:val="both"/>
        <w:rPr>
          <w:rFonts w:ascii="Arial" w:hAnsi="Arial" w:cs="Arial"/>
          <w:sz w:val="24"/>
          <w:szCs w:val="24"/>
        </w:rPr>
      </w:pPr>
      <w:r w:rsidRPr="003625BA">
        <w:rPr>
          <w:rFonts w:ascii="Arial" w:hAnsi="Arial" w:cs="Arial"/>
          <w:sz w:val="24"/>
          <w:szCs w:val="24"/>
        </w:rPr>
        <w:t>goods</w:t>
      </w:r>
      <w:r w:rsidRPr="003625BA">
        <w:rPr>
          <w:rFonts w:ascii="Arial" w:hAnsi="Arial" w:cs="Arial"/>
          <w:sz w:val="24"/>
          <w:szCs w:val="24"/>
          <w:lang w:val="en-US"/>
        </w:rPr>
        <w:t xml:space="preserve"> and services to mitigate the effects of negative externalities such as climate change.</w:t>
      </w:r>
      <w:r w:rsidRPr="003625BA">
        <w:rPr>
          <w:rFonts w:ascii="Arial" w:hAnsi="Arial" w:cs="Arial"/>
          <w:sz w:val="24"/>
          <w:szCs w:val="24"/>
        </w:rPr>
        <w:t xml:space="preserve"> </w:t>
      </w:r>
    </w:p>
    <w:p w14:paraId="5D99E1B6" w14:textId="77777777" w:rsidR="003766A7" w:rsidRPr="003625BA" w:rsidRDefault="003766A7" w:rsidP="003766A7">
      <w:pPr>
        <w:tabs>
          <w:tab w:val="left" w:pos="270"/>
        </w:tabs>
        <w:spacing w:line="276" w:lineRule="auto"/>
        <w:ind w:left="270"/>
        <w:jc w:val="both"/>
        <w:rPr>
          <w:rFonts w:ascii="Arial" w:hAnsi="Arial" w:cs="Arial"/>
          <w:sz w:val="24"/>
          <w:szCs w:val="24"/>
        </w:rPr>
      </w:pPr>
    </w:p>
    <w:p w14:paraId="7374F993" w14:textId="77777777" w:rsidR="003766A7" w:rsidRPr="003625BA" w:rsidRDefault="003766A7" w:rsidP="003766A7">
      <w:pPr>
        <w:tabs>
          <w:tab w:val="left" w:pos="270"/>
        </w:tabs>
        <w:spacing w:line="276" w:lineRule="auto"/>
        <w:jc w:val="both"/>
        <w:rPr>
          <w:rFonts w:ascii="Arial" w:hAnsi="Arial" w:cs="Arial"/>
          <w:sz w:val="24"/>
          <w:szCs w:val="24"/>
        </w:rPr>
      </w:pPr>
      <w:r w:rsidRPr="003625BA">
        <w:rPr>
          <w:rFonts w:ascii="Arial" w:hAnsi="Arial" w:cs="Arial"/>
          <w:sz w:val="24"/>
          <w:szCs w:val="24"/>
        </w:rPr>
        <w:t xml:space="preserve">Government spending should be undertaken in the most efficient and effective manner towards the achievement of evolving desired societal goals. As such, another key thing the executive needs to do in this stage is determine its desired fiscal policy objectives and outcomes. These outcomes differ from country to country and over time, depending on country unique contexts. The executive should then design and use the budget process to align its resources with policy priorities. This involves it making choices/trade-offs, as needs exceed resources available. These choices, include how much </w:t>
      </w:r>
      <w:r w:rsidRPr="003625BA">
        <w:rPr>
          <w:rFonts w:ascii="Arial" w:hAnsi="Arial" w:cs="Arial"/>
          <w:sz w:val="24"/>
          <w:szCs w:val="24"/>
        </w:rPr>
        <w:lastRenderedPageBreak/>
        <w:t>of the budget to spend on different economic categories of spending and on different programs, each with their own consequences. For example, current spending (such as on compensation of employees) may be at the expense of capital infrastructure spending with consequences for future generations. Spending on specific programs such as defence may mean that there is less funding available to spend on other programs such as education and healthcare.</w:t>
      </w:r>
    </w:p>
    <w:p w14:paraId="69978345" w14:textId="77777777" w:rsidR="003766A7" w:rsidRPr="003625BA" w:rsidRDefault="003766A7" w:rsidP="003766A7">
      <w:pPr>
        <w:tabs>
          <w:tab w:val="left" w:pos="270"/>
        </w:tabs>
        <w:spacing w:line="276" w:lineRule="auto"/>
        <w:jc w:val="both"/>
        <w:rPr>
          <w:rFonts w:ascii="Arial" w:hAnsi="Arial" w:cs="Arial"/>
          <w:sz w:val="24"/>
          <w:szCs w:val="24"/>
        </w:rPr>
      </w:pPr>
    </w:p>
    <w:p w14:paraId="7493EC78" w14:textId="17C0B84B" w:rsidR="003766A7" w:rsidRPr="003625BA" w:rsidRDefault="003766A7" w:rsidP="003766A7">
      <w:pPr>
        <w:tabs>
          <w:tab w:val="left" w:pos="270"/>
        </w:tabs>
        <w:spacing w:line="276" w:lineRule="auto"/>
        <w:jc w:val="both"/>
        <w:rPr>
          <w:rFonts w:ascii="Arial" w:hAnsi="Arial" w:cs="Arial"/>
          <w:sz w:val="24"/>
          <w:szCs w:val="24"/>
        </w:rPr>
      </w:pPr>
      <w:r w:rsidRPr="003625BA">
        <w:rPr>
          <w:rFonts w:ascii="Arial" w:hAnsi="Arial" w:cs="Arial"/>
          <w:sz w:val="24"/>
          <w:szCs w:val="24"/>
        </w:rPr>
        <w:t>Fiscal transparency helps the executive in making these difficult choices by amongst others, ensuring that economic decisions are informed by a shared and more accurate assessment of the current fiscal position, the costs and benefits of any policy changes, as well as the potential risks to the fiscal outlook.</w:t>
      </w:r>
    </w:p>
    <w:p w14:paraId="69E3A1D7" w14:textId="6C3AFE54" w:rsidR="003766A7" w:rsidRDefault="003766A7" w:rsidP="003766A7">
      <w:pPr>
        <w:spacing w:line="276" w:lineRule="auto"/>
        <w:jc w:val="both"/>
        <w:rPr>
          <w:rFonts w:ascii="Arial" w:hAnsi="Arial" w:cs="Arial"/>
          <w:sz w:val="24"/>
          <w:szCs w:val="24"/>
          <w:lang w:val="en-ZA"/>
        </w:rPr>
      </w:pPr>
    </w:p>
    <w:p w14:paraId="155A54D6" w14:textId="7C7C2CDC" w:rsidR="007B1CD3" w:rsidRDefault="007B1CD3" w:rsidP="007B1CD3">
      <w:pPr>
        <w:spacing w:line="276" w:lineRule="auto"/>
        <w:jc w:val="both"/>
        <w:rPr>
          <w:rFonts w:ascii="Arial" w:hAnsi="Arial" w:cs="Arial"/>
          <w:sz w:val="24"/>
          <w:szCs w:val="24"/>
        </w:rPr>
      </w:pPr>
      <w:r>
        <w:rPr>
          <w:rFonts w:ascii="Arial" w:eastAsiaTheme="minorEastAsia" w:hAnsi="Arial" w:cs="Arial"/>
          <w:b/>
          <w:bCs/>
          <w:color w:val="69557F"/>
          <w:sz w:val="24"/>
          <w:szCs w:val="24"/>
          <w:lang w:val="en-US"/>
        </w:rPr>
        <w:t>Legislative approval and amendment</w:t>
      </w:r>
      <w:r w:rsidR="000D7ED1">
        <w:rPr>
          <w:rFonts w:ascii="Arial" w:eastAsiaTheme="minorEastAsia" w:hAnsi="Arial" w:cs="Arial"/>
          <w:b/>
          <w:bCs/>
          <w:color w:val="69557F"/>
          <w:sz w:val="24"/>
          <w:szCs w:val="24"/>
          <w:lang w:val="en-US"/>
        </w:rPr>
        <w:t xml:space="preserve"> stage</w:t>
      </w:r>
    </w:p>
    <w:p w14:paraId="1A2522F4" w14:textId="04A73721" w:rsidR="007B1CD3" w:rsidRDefault="00DC2BB7" w:rsidP="00330914">
      <w:pPr>
        <w:rPr>
          <w:rFonts w:eastAsiaTheme="minorEastAsia"/>
          <w:color w:val="69557F"/>
          <w:sz w:val="20"/>
          <w:szCs w:val="20"/>
          <w:lang w:val="en-US"/>
        </w:rPr>
      </w:pPr>
      <w:bookmarkStart w:id="1350" w:name="_Toc123913378"/>
      <w:bookmarkStart w:id="1351" w:name="_Toc123914034"/>
      <w:bookmarkStart w:id="1352" w:name="_Toc125566652"/>
      <w:r>
        <w:rPr>
          <w:noProof/>
          <w:lang w:val="en-US"/>
        </w:rPr>
        <w:drawing>
          <wp:anchor distT="0" distB="0" distL="114300" distR="114300" simplePos="0" relativeHeight="255159294" behindDoc="0" locked="0" layoutInCell="1" allowOverlap="1" wp14:anchorId="7AE5EBD6" wp14:editId="7332FE07">
            <wp:simplePos x="0" y="0"/>
            <wp:positionH relativeFrom="margin">
              <wp:posOffset>2065655</wp:posOffset>
            </wp:positionH>
            <wp:positionV relativeFrom="paragraph">
              <wp:posOffset>165100</wp:posOffset>
            </wp:positionV>
            <wp:extent cx="2514600" cy="2514600"/>
            <wp:effectExtent l="0" t="0" r="0" b="0"/>
            <wp:wrapSquare wrapText="bothSides"/>
            <wp:docPr id="2689" name="Picture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 name="Picture 2689"/>
                    <pic:cNvPicPr/>
                  </pic:nvPicPr>
                  <pic:blipFill rotWithShape="1">
                    <a:blip r:embed="rId570" cstate="screen">
                      <a:extLst>
                        <a:ext uri="{28A0092B-C50C-407E-A947-70E740481C1C}">
                          <a14:useLocalDpi xmlns:a14="http://schemas.microsoft.com/office/drawing/2010/main"/>
                        </a:ext>
                      </a:extLst>
                    </a:blip>
                    <a:srcRect/>
                    <a:stretch/>
                  </pic:blipFill>
                  <pic:spPr bwMode="auto">
                    <a:xfrm>
                      <a:off x="0" y="0"/>
                      <a:ext cx="251460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50"/>
      <w:bookmarkEnd w:id="1351"/>
      <w:bookmarkEnd w:id="1352"/>
    </w:p>
    <w:p w14:paraId="78F14D10" w14:textId="134978AD" w:rsidR="007B1CD3" w:rsidRPr="007B1CD3" w:rsidRDefault="007B1CD3" w:rsidP="00330914"/>
    <w:p w14:paraId="6482FD7D" w14:textId="292980D5" w:rsidR="007B1CD3" w:rsidRDefault="007B1CD3" w:rsidP="00330914"/>
    <w:p w14:paraId="45754E9D" w14:textId="70FCF68D" w:rsidR="007B1CD3" w:rsidRDefault="007B1CD3" w:rsidP="00330914">
      <w:pPr>
        <w:rPr>
          <w:rFonts w:ascii="Arial" w:hAnsi="Arial" w:cs="Arial"/>
          <w:sz w:val="24"/>
          <w:szCs w:val="24"/>
        </w:rPr>
      </w:pPr>
    </w:p>
    <w:p w14:paraId="4055B1B4" w14:textId="77777777" w:rsidR="007B1CD3" w:rsidRDefault="007B1CD3" w:rsidP="00330914">
      <w:pPr>
        <w:rPr>
          <w:rFonts w:ascii="Arial" w:hAnsi="Arial" w:cs="Arial"/>
          <w:sz w:val="24"/>
          <w:szCs w:val="24"/>
        </w:rPr>
      </w:pPr>
    </w:p>
    <w:p w14:paraId="328F29F9" w14:textId="77777777" w:rsidR="007B1CD3" w:rsidRDefault="007B1CD3" w:rsidP="00330914">
      <w:pPr>
        <w:rPr>
          <w:rFonts w:ascii="Arial" w:hAnsi="Arial" w:cs="Arial"/>
          <w:sz w:val="24"/>
          <w:szCs w:val="24"/>
        </w:rPr>
      </w:pPr>
    </w:p>
    <w:p w14:paraId="3949F84B" w14:textId="77777777" w:rsidR="007B1CD3" w:rsidRDefault="007B1CD3" w:rsidP="00330914">
      <w:pPr>
        <w:rPr>
          <w:rFonts w:ascii="Arial" w:hAnsi="Arial" w:cs="Arial"/>
          <w:sz w:val="24"/>
          <w:szCs w:val="24"/>
        </w:rPr>
      </w:pPr>
    </w:p>
    <w:p w14:paraId="2588AF1D" w14:textId="77777777" w:rsidR="007B1CD3" w:rsidRDefault="007B1CD3" w:rsidP="00330914">
      <w:pPr>
        <w:rPr>
          <w:rFonts w:ascii="Arial" w:hAnsi="Arial" w:cs="Arial"/>
          <w:sz w:val="24"/>
          <w:szCs w:val="24"/>
        </w:rPr>
      </w:pPr>
    </w:p>
    <w:p w14:paraId="07B2B9D7" w14:textId="77777777" w:rsidR="007B1CD3" w:rsidRDefault="007B1CD3" w:rsidP="00330914">
      <w:pPr>
        <w:rPr>
          <w:rFonts w:ascii="Arial" w:hAnsi="Arial" w:cs="Arial"/>
          <w:sz w:val="24"/>
          <w:szCs w:val="24"/>
        </w:rPr>
      </w:pPr>
    </w:p>
    <w:p w14:paraId="6E901976" w14:textId="77777777" w:rsidR="007B1CD3" w:rsidRDefault="007B1CD3" w:rsidP="00330914">
      <w:pPr>
        <w:rPr>
          <w:rFonts w:ascii="Arial" w:hAnsi="Arial" w:cs="Arial"/>
          <w:sz w:val="24"/>
          <w:szCs w:val="24"/>
        </w:rPr>
      </w:pPr>
    </w:p>
    <w:p w14:paraId="292DB217" w14:textId="77777777" w:rsidR="007B1CD3" w:rsidRDefault="007B1CD3" w:rsidP="00330914">
      <w:pPr>
        <w:rPr>
          <w:rFonts w:ascii="Arial" w:hAnsi="Arial" w:cs="Arial"/>
          <w:sz w:val="24"/>
          <w:szCs w:val="24"/>
        </w:rPr>
      </w:pPr>
    </w:p>
    <w:p w14:paraId="5915D753" w14:textId="77777777" w:rsidR="007B1CD3" w:rsidRDefault="007B1CD3" w:rsidP="00330914">
      <w:pPr>
        <w:rPr>
          <w:rFonts w:ascii="Arial" w:hAnsi="Arial" w:cs="Arial"/>
          <w:sz w:val="24"/>
          <w:szCs w:val="24"/>
        </w:rPr>
      </w:pPr>
    </w:p>
    <w:p w14:paraId="35F2631E" w14:textId="77777777" w:rsidR="007B1CD3" w:rsidRDefault="007B1CD3" w:rsidP="00330914">
      <w:pPr>
        <w:rPr>
          <w:rFonts w:ascii="Arial" w:hAnsi="Arial" w:cs="Arial"/>
          <w:sz w:val="24"/>
          <w:szCs w:val="24"/>
        </w:rPr>
      </w:pPr>
    </w:p>
    <w:p w14:paraId="414E3E26" w14:textId="77777777" w:rsidR="00D57471" w:rsidRDefault="00D57471" w:rsidP="007B1CD3">
      <w:pPr>
        <w:spacing w:line="276" w:lineRule="auto"/>
        <w:jc w:val="both"/>
        <w:rPr>
          <w:rFonts w:ascii="Arial" w:hAnsi="Arial" w:cs="Arial"/>
          <w:sz w:val="24"/>
          <w:szCs w:val="24"/>
        </w:rPr>
      </w:pPr>
    </w:p>
    <w:p w14:paraId="465734BE" w14:textId="77777777" w:rsidR="00D57471" w:rsidRDefault="00D57471" w:rsidP="007B1CD3">
      <w:pPr>
        <w:jc w:val="both"/>
        <w:rPr>
          <w:rFonts w:ascii="Arial" w:hAnsi="Arial" w:cs="Arial"/>
          <w:sz w:val="24"/>
          <w:szCs w:val="24"/>
        </w:rPr>
      </w:pPr>
    </w:p>
    <w:p w14:paraId="0737C411" w14:textId="77777777" w:rsidR="00330914" w:rsidRDefault="00330914" w:rsidP="007B1CD3">
      <w:pPr>
        <w:jc w:val="both"/>
        <w:rPr>
          <w:rFonts w:ascii="Arial" w:hAnsi="Arial" w:cs="Arial"/>
          <w:sz w:val="24"/>
          <w:szCs w:val="24"/>
        </w:rPr>
      </w:pPr>
    </w:p>
    <w:p w14:paraId="779B757C" w14:textId="39B8F264" w:rsidR="00EC7942" w:rsidRPr="00EB25BE" w:rsidRDefault="007B1CD3" w:rsidP="007B1CD3">
      <w:pPr>
        <w:jc w:val="both"/>
        <w:rPr>
          <w:rFonts w:ascii="Arial" w:hAnsi="Arial" w:cs="Arial"/>
          <w:sz w:val="24"/>
          <w:szCs w:val="24"/>
        </w:rPr>
      </w:pPr>
      <w:r w:rsidRPr="003625BA">
        <w:rPr>
          <w:rFonts w:ascii="Arial" w:hAnsi="Arial" w:cs="Arial"/>
          <w:sz w:val="24"/>
          <w:szCs w:val="24"/>
        </w:rPr>
        <w:t xml:space="preserve">The Executive needs to table its detailed budget in the legislature for approval, with thorough explanations of how resources are to be raised; how needs have been determined; how resources will be allocated accordingly; and what outcomes are expected, among others. </w:t>
      </w:r>
    </w:p>
    <w:p w14:paraId="17B612FD" w14:textId="2B274578" w:rsidR="00EC7942" w:rsidRDefault="00EB25BE" w:rsidP="007B1CD3">
      <w:pPr>
        <w:jc w:val="both"/>
        <w:rPr>
          <w:rFonts w:ascii="Arial" w:eastAsiaTheme="minorEastAsia" w:hAnsi="Arial" w:cs="Arial"/>
          <w:b/>
          <w:bCs/>
          <w:color w:val="69557F"/>
          <w:sz w:val="24"/>
          <w:szCs w:val="24"/>
          <w:lang w:val="en-US"/>
        </w:rPr>
      </w:pPr>
      <w:bookmarkStart w:id="1353" w:name="_Toc123913381"/>
      <w:bookmarkStart w:id="1354" w:name="_Toc123914037"/>
      <w:r>
        <w:rPr>
          <w:rFonts w:ascii="Arial" w:hAnsi="Arial" w:cs="Arial"/>
          <w:noProof/>
          <w:lang w:val="en-US"/>
        </w:rPr>
        <w:drawing>
          <wp:anchor distT="0" distB="0" distL="114300" distR="114300" simplePos="0" relativeHeight="254838782" behindDoc="0" locked="0" layoutInCell="1" allowOverlap="1" wp14:anchorId="4A04B6A7" wp14:editId="086C7F03">
            <wp:simplePos x="0" y="0"/>
            <wp:positionH relativeFrom="column">
              <wp:posOffset>3879215</wp:posOffset>
            </wp:positionH>
            <wp:positionV relativeFrom="paragraph">
              <wp:posOffset>128368</wp:posOffset>
            </wp:positionV>
            <wp:extent cx="2778760" cy="2778760"/>
            <wp:effectExtent l="0" t="0" r="0" b="0"/>
            <wp:wrapSquare wrapText="bothSides"/>
            <wp:docPr id="2687" name="Picture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Picture 2687"/>
                    <pic:cNvPicPr/>
                  </pic:nvPicPr>
                  <pic:blipFill>
                    <a:blip r:embed="rId571" cstate="email">
                      <a:extLst>
                        <a:ext uri="{28A0092B-C50C-407E-A947-70E740481C1C}">
                          <a14:useLocalDpi xmlns:a14="http://schemas.microsoft.com/office/drawing/2010/main"/>
                        </a:ext>
                      </a:extLst>
                    </a:blip>
                    <a:stretch>
                      <a:fillRect/>
                    </a:stretch>
                  </pic:blipFill>
                  <pic:spPr>
                    <a:xfrm>
                      <a:off x="0" y="0"/>
                      <a:ext cx="2778760" cy="2778760"/>
                    </a:xfrm>
                    <a:prstGeom prst="rect">
                      <a:avLst/>
                    </a:prstGeom>
                  </pic:spPr>
                </pic:pic>
              </a:graphicData>
            </a:graphic>
            <wp14:sizeRelH relativeFrom="page">
              <wp14:pctWidth>0</wp14:pctWidth>
            </wp14:sizeRelH>
            <wp14:sizeRelV relativeFrom="page">
              <wp14:pctHeight>0</wp14:pctHeight>
            </wp14:sizeRelV>
          </wp:anchor>
        </w:drawing>
      </w:r>
      <w:bookmarkEnd w:id="1353"/>
      <w:bookmarkEnd w:id="1354"/>
    </w:p>
    <w:p w14:paraId="7248F963" w14:textId="1CE365BF" w:rsidR="007B1CD3" w:rsidRDefault="007B1CD3" w:rsidP="007B1CD3">
      <w:pPr>
        <w:jc w:val="both"/>
        <w:rPr>
          <w:rFonts w:ascii="Arial" w:eastAsiaTheme="minorEastAsia" w:hAnsi="Arial" w:cs="Arial"/>
          <w:b/>
          <w:bCs/>
          <w:color w:val="69557F"/>
          <w:sz w:val="24"/>
          <w:szCs w:val="24"/>
          <w:lang w:val="en-US"/>
        </w:rPr>
      </w:pPr>
      <w:r>
        <w:rPr>
          <w:rFonts w:ascii="Arial" w:eastAsiaTheme="minorEastAsia" w:hAnsi="Arial" w:cs="Arial"/>
          <w:b/>
          <w:bCs/>
          <w:color w:val="69557F"/>
          <w:sz w:val="24"/>
          <w:szCs w:val="24"/>
          <w:lang w:val="en-US"/>
        </w:rPr>
        <w:t>Fiscal policy and budget implementation</w:t>
      </w:r>
      <w:r w:rsidR="000D7ED1">
        <w:rPr>
          <w:rFonts w:ascii="Arial" w:eastAsiaTheme="minorEastAsia" w:hAnsi="Arial" w:cs="Arial"/>
          <w:b/>
          <w:bCs/>
          <w:color w:val="69557F"/>
          <w:sz w:val="24"/>
          <w:szCs w:val="24"/>
          <w:lang w:val="en-US"/>
        </w:rPr>
        <w:t xml:space="preserve"> stage</w:t>
      </w:r>
    </w:p>
    <w:p w14:paraId="522D4725" w14:textId="71A03BE9" w:rsidR="007B1CD3" w:rsidRDefault="007B1CD3" w:rsidP="007B1CD3">
      <w:pPr>
        <w:pStyle w:val="Heading3"/>
        <w:rPr>
          <w:rFonts w:ascii="Arial" w:eastAsiaTheme="minorEastAsia" w:hAnsi="Arial" w:cs="Arial"/>
          <w:b/>
          <w:bCs/>
          <w:color w:val="69557F"/>
          <w:sz w:val="20"/>
          <w:szCs w:val="20"/>
          <w:lang w:val="en-US"/>
        </w:rPr>
      </w:pPr>
    </w:p>
    <w:p w14:paraId="779EA7BE" w14:textId="3EBCC505" w:rsidR="007B1CD3" w:rsidRPr="003625BA" w:rsidRDefault="007B1CD3" w:rsidP="007B1CD3">
      <w:pPr>
        <w:spacing w:line="276" w:lineRule="auto"/>
        <w:jc w:val="both"/>
        <w:rPr>
          <w:rFonts w:ascii="Arial" w:hAnsi="Arial" w:cs="Arial"/>
          <w:sz w:val="24"/>
          <w:szCs w:val="24"/>
        </w:rPr>
      </w:pPr>
      <w:r w:rsidRPr="003625BA">
        <w:rPr>
          <w:rFonts w:ascii="Arial" w:hAnsi="Arial" w:cs="Arial"/>
          <w:sz w:val="24"/>
          <w:szCs w:val="24"/>
        </w:rPr>
        <w:t>The executive implements the legislatively approved fiscal and budget policies. It is responsible for implementing its policies in a way that ensures that resources are utilised efficiently and effectively, in accordance with legal frameworks, towards the achievement of fiscal policy objectives and outcomes.</w:t>
      </w:r>
    </w:p>
    <w:p w14:paraId="1C961AF0" w14:textId="77777777" w:rsidR="007B1CD3" w:rsidRPr="00BD6508" w:rsidRDefault="007B1CD3" w:rsidP="007B1CD3">
      <w:pPr>
        <w:spacing w:line="276" w:lineRule="auto"/>
        <w:rPr>
          <w:rFonts w:ascii="Arial" w:hAnsi="Arial" w:cs="Arial"/>
          <w:sz w:val="18"/>
          <w:szCs w:val="18"/>
        </w:rPr>
      </w:pPr>
    </w:p>
    <w:p w14:paraId="5747A4D3" w14:textId="2FF7DCC9" w:rsidR="007B1CD3" w:rsidRDefault="007B1CD3" w:rsidP="003766A7">
      <w:pPr>
        <w:jc w:val="both"/>
        <w:rPr>
          <w:rFonts w:ascii="Arial" w:eastAsiaTheme="minorEastAsia" w:hAnsi="Arial" w:cs="Arial"/>
          <w:b/>
          <w:bCs/>
          <w:color w:val="69557F"/>
          <w:sz w:val="24"/>
          <w:szCs w:val="24"/>
          <w:lang w:val="en-US"/>
        </w:rPr>
      </w:pPr>
    </w:p>
    <w:p w14:paraId="52DDD460" w14:textId="77777777" w:rsidR="00BE33F6" w:rsidRDefault="00BE33F6" w:rsidP="003766A7">
      <w:pPr>
        <w:jc w:val="both"/>
        <w:rPr>
          <w:rFonts w:ascii="Arial" w:eastAsiaTheme="minorEastAsia" w:hAnsi="Arial" w:cs="Arial"/>
          <w:b/>
          <w:bCs/>
          <w:color w:val="69557F"/>
          <w:sz w:val="24"/>
          <w:szCs w:val="24"/>
          <w:lang w:val="en-US"/>
        </w:rPr>
      </w:pPr>
    </w:p>
    <w:p w14:paraId="3D3D0E75" w14:textId="778AE6E0" w:rsidR="007B1CD3" w:rsidRDefault="007B1CD3" w:rsidP="003766A7">
      <w:pPr>
        <w:jc w:val="both"/>
        <w:rPr>
          <w:rFonts w:ascii="Arial" w:eastAsiaTheme="minorEastAsia" w:hAnsi="Arial" w:cs="Arial"/>
          <w:b/>
          <w:bCs/>
          <w:color w:val="69557F"/>
          <w:sz w:val="24"/>
          <w:szCs w:val="24"/>
          <w:lang w:val="en-US"/>
        </w:rPr>
      </w:pPr>
    </w:p>
    <w:p w14:paraId="26C8268C" w14:textId="72B8AAC2" w:rsidR="007B1CD3" w:rsidRDefault="007B1CD3" w:rsidP="003766A7">
      <w:pPr>
        <w:jc w:val="both"/>
        <w:rPr>
          <w:rFonts w:ascii="Arial" w:eastAsiaTheme="minorEastAsia" w:hAnsi="Arial" w:cs="Arial"/>
          <w:b/>
          <w:bCs/>
          <w:color w:val="69557F"/>
          <w:sz w:val="24"/>
          <w:szCs w:val="24"/>
          <w:lang w:val="en-US"/>
        </w:rPr>
      </w:pPr>
    </w:p>
    <w:p w14:paraId="317BC4CC" w14:textId="77777777" w:rsidR="007B1CD3" w:rsidRDefault="007B1CD3" w:rsidP="003766A7">
      <w:pPr>
        <w:jc w:val="both"/>
        <w:rPr>
          <w:rFonts w:ascii="Arial" w:eastAsiaTheme="minorEastAsia" w:hAnsi="Arial" w:cs="Arial"/>
          <w:b/>
          <w:bCs/>
          <w:color w:val="69557F"/>
          <w:sz w:val="24"/>
          <w:szCs w:val="24"/>
          <w:lang w:val="en-US"/>
        </w:rPr>
      </w:pPr>
    </w:p>
    <w:p w14:paraId="3A68F685" w14:textId="77777777" w:rsidR="007B1CD3" w:rsidRDefault="007B1CD3" w:rsidP="003766A7">
      <w:pPr>
        <w:jc w:val="both"/>
        <w:rPr>
          <w:rFonts w:ascii="Arial" w:eastAsiaTheme="minorEastAsia" w:hAnsi="Arial" w:cs="Arial"/>
          <w:b/>
          <w:bCs/>
          <w:color w:val="69557F"/>
          <w:sz w:val="24"/>
          <w:szCs w:val="24"/>
          <w:lang w:val="en-US"/>
        </w:rPr>
      </w:pPr>
    </w:p>
    <w:p w14:paraId="591A39C3" w14:textId="01697C92" w:rsidR="007B1CD3" w:rsidRDefault="007B1CD3" w:rsidP="003766A7">
      <w:pPr>
        <w:jc w:val="both"/>
        <w:rPr>
          <w:rFonts w:ascii="Arial" w:eastAsiaTheme="minorEastAsia" w:hAnsi="Arial" w:cs="Arial"/>
          <w:b/>
          <w:bCs/>
          <w:color w:val="69557F"/>
          <w:sz w:val="24"/>
          <w:szCs w:val="24"/>
          <w:lang w:val="en-US"/>
        </w:rPr>
      </w:pPr>
    </w:p>
    <w:p w14:paraId="46DCAFF3" w14:textId="77777777" w:rsidR="00330914" w:rsidRDefault="00330914" w:rsidP="003766A7">
      <w:pPr>
        <w:jc w:val="both"/>
        <w:rPr>
          <w:rFonts w:ascii="Arial" w:eastAsiaTheme="minorEastAsia" w:hAnsi="Arial" w:cs="Arial"/>
          <w:b/>
          <w:bCs/>
          <w:color w:val="69557F"/>
          <w:sz w:val="24"/>
          <w:szCs w:val="24"/>
          <w:lang w:val="en-US"/>
        </w:rPr>
      </w:pPr>
    </w:p>
    <w:p w14:paraId="1DBEF927" w14:textId="77777777" w:rsidR="00EC7942" w:rsidRDefault="00EC7942" w:rsidP="003766A7">
      <w:pPr>
        <w:jc w:val="both"/>
        <w:rPr>
          <w:rFonts w:ascii="Arial" w:eastAsiaTheme="minorEastAsia" w:hAnsi="Arial" w:cs="Arial"/>
          <w:b/>
          <w:bCs/>
          <w:color w:val="69557F"/>
          <w:sz w:val="24"/>
          <w:szCs w:val="24"/>
          <w:lang w:val="en-US"/>
        </w:rPr>
      </w:pPr>
    </w:p>
    <w:p w14:paraId="359BACD8" w14:textId="1FA15E82" w:rsidR="003766A7" w:rsidRDefault="003766A7" w:rsidP="003766A7">
      <w:pPr>
        <w:jc w:val="both"/>
        <w:rPr>
          <w:rFonts w:ascii="Arial" w:eastAsiaTheme="minorEastAsia" w:hAnsi="Arial" w:cs="Arial"/>
          <w:b/>
          <w:bCs/>
          <w:color w:val="69557F"/>
          <w:sz w:val="24"/>
          <w:szCs w:val="24"/>
          <w:lang w:val="en-US"/>
        </w:rPr>
      </w:pPr>
      <w:r w:rsidRPr="00A6449F">
        <w:rPr>
          <w:rFonts w:ascii="Arial" w:eastAsiaTheme="minorEastAsia" w:hAnsi="Arial" w:cs="Arial"/>
          <w:b/>
          <w:bCs/>
          <w:color w:val="69557F"/>
          <w:sz w:val="24"/>
          <w:szCs w:val="24"/>
          <w:lang w:val="en-US"/>
        </w:rPr>
        <w:lastRenderedPageBreak/>
        <w:t>Audit and oversight</w:t>
      </w:r>
      <w:r w:rsidR="000D7ED1">
        <w:rPr>
          <w:rFonts w:ascii="Arial" w:eastAsiaTheme="minorEastAsia" w:hAnsi="Arial" w:cs="Arial"/>
          <w:b/>
          <w:bCs/>
          <w:color w:val="69557F"/>
          <w:sz w:val="24"/>
          <w:szCs w:val="24"/>
          <w:lang w:val="en-US"/>
        </w:rPr>
        <w:t xml:space="preserve"> stage</w:t>
      </w:r>
    </w:p>
    <w:p w14:paraId="3A5CFAB6" w14:textId="009180E4" w:rsidR="003766A7" w:rsidRPr="00A6449F" w:rsidRDefault="003766A7" w:rsidP="003766A7">
      <w:pPr>
        <w:jc w:val="both"/>
        <w:rPr>
          <w:rFonts w:ascii="Arial" w:eastAsiaTheme="minorEastAsia" w:hAnsi="Arial" w:cs="Arial"/>
          <w:b/>
          <w:bCs/>
          <w:color w:val="69557F"/>
          <w:sz w:val="24"/>
          <w:szCs w:val="24"/>
          <w:lang w:val="en-US"/>
        </w:rPr>
      </w:pPr>
    </w:p>
    <w:p w14:paraId="7531AAB3" w14:textId="3B669681" w:rsidR="003766A7" w:rsidRDefault="003766A7" w:rsidP="003766A7">
      <w:pPr>
        <w:spacing w:line="276" w:lineRule="auto"/>
        <w:jc w:val="both"/>
        <w:rPr>
          <w:rFonts w:ascii="Arial" w:hAnsi="Arial" w:cs="Arial"/>
          <w:sz w:val="24"/>
          <w:szCs w:val="24"/>
        </w:rPr>
      </w:pPr>
      <w:r w:rsidRPr="003625BA">
        <w:rPr>
          <w:rFonts w:ascii="Arial" w:hAnsi="Arial" w:cs="Arial"/>
          <w:sz w:val="24"/>
          <w:szCs w:val="24"/>
        </w:rPr>
        <w:t xml:space="preserve">The executive needs to provide oversight institutions and the public with the information required to hold it accountable. Actual financial and non-financial performance data must be made available, </w:t>
      </w:r>
      <w:r w:rsidRPr="003625BA">
        <w:rPr>
          <w:rFonts w:ascii="Arial" w:hAnsi="Arial" w:cs="Arial"/>
          <w:sz w:val="24"/>
          <w:szCs w:val="24"/>
          <w:lang w:val="en-US"/>
        </w:rPr>
        <w:t xml:space="preserve">together with the reasons for deviations, thereby allowing comparisons of actuals to </w:t>
      </w:r>
      <w:r w:rsidRPr="003625BA">
        <w:rPr>
          <w:rFonts w:ascii="Arial" w:hAnsi="Arial" w:cs="Arial"/>
          <w:sz w:val="24"/>
          <w:szCs w:val="24"/>
        </w:rPr>
        <w:t>targets, to access whether the government achieved what it set out to achieve.</w:t>
      </w:r>
    </w:p>
    <w:p w14:paraId="69A8B47E" w14:textId="10F51A59" w:rsidR="00EC7942" w:rsidRDefault="00EC7942" w:rsidP="003766A7">
      <w:pPr>
        <w:spacing w:line="276" w:lineRule="auto"/>
        <w:jc w:val="both"/>
        <w:rPr>
          <w:rFonts w:ascii="Arial" w:hAnsi="Arial" w:cs="Arial"/>
          <w:sz w:val="24"/>
          <w:szCs w:val="24"/>
        </w:rPr>
      </w:pPr>
    </w:p>
    <w:p w14:paraId="0D6E8BA4" w14:textId="3F3F4F16" w:rsidR="003766A7" w:rsidRPr="00BD6508" w:rsidRDefault="00D57471" w:rsidP="003766A7">
      <w:pPr>
        <w:spacing w:line="276" w:lineRule="auto"/>
        <w:rPr>
          <w:rFonts w:ascii="Arial" w:hAnsi="Arial" w:cs="Arial"/>
          <w:sz w:val="18"/>
          <w:szCs w:val="18"/>
        </w:rPr>
      </w:pPr>
      <w:r>
        <w:rPr>
          <w:rFonts w:ascii="Arial" w:hAnsi="Arial" w:cs="Arial"/>
          <w:noProof/>
          <w:sz w:val="24"/>
          <w:szCs w:val="24"/>
          <w:lang w:val="en-US"/>
        </w:rPr>
        <w:drawing>
          <wp:anchor distT="0" distB="0" distL="114300" distR="114300" simplePos="0" relativeHeight="254837758" behindDoc="0" locked="0" layoutInCell="1" allowOverlap="1" wp14:anchorId="7A44B34F" wp14:editId="6660E15C">
            <wp:simplePos x="0" y="0"/>
            <wp:positionH relativeFrom="margin">
              <wp:align>center</wp:align>
            </wp:positionH>
            <wp:positionV relativeFrom="paragraph">
              <wp:posOffset>74930</wp:posOffset>
            </wp:positionV>
            <wp:extent cx="2438400" cy="2519680"/>
            <wp:effectExtent l="0" t="0" r="0" b="0"/>
            <wp:wrapSquare wrapText="bothSides"/>
            <wp:docPr id="2686" name="Picture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 name="Picture 2686"/>
                    <pic:cNvPicPr/>
                  </pic:nvPicPr>
                  <pic:blipFill rotWithShape="1">
                    <a:blip r:embed="rId572" cstate="screen">
                      <a:extLst>
                        <a:ext uri="{28A0092B-C50C-407E-A947-70E740481C1C}">
                          <a14:useLocalDpi xmlns:a14="http://schemas.microsoft.com/office/drawing/2010/main"/>
                        </a:ext>
                      </a:extLst>
                    </a:blip>
                    <a:srcRect/>
                    <a:stretch/>
                  </pic:blipFill>
                  <pic:spPr bwMode="auto">
                    <a:xfrm>
                      <a:off x="0" y="0"/>
                      <a:ext cx="2438400"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F405D2" w14:textId="39885C07" w:rsidR="003766A7" w:rsidRPr="00BD6508" w:rsidRDefault="003766A7" w:rsidP="00EC7942">
      <w:pPr>
        <w:spacing w:line="276" w:lineRule="auto"/>
        <w:jc w:val="both"/>
        <w:rPr>
          <w:rFonts w:ascii="Arial" w:hAnsi="Arial" w:cs="Arial"/>
          <w:sz w:val="18"/>
          <w:szCs w:val="18"/>
        </w:rPr>
      </w:pPr>
    </w:p>
    <w:p w14:paraId="44730AD1" w14:textId="3DCED17B" w:rsidR="003766A7" w:rsidRDefault="003766A7" w:rsidP="002D14C0">
      <w:pPr>
        <w:jc w:val="both"/>
        <w:rPr>
          <w:rFonts w:ascii="Arial" w:eastAsiaTheme="minorEastAsia" w:hAnsi="Arial" w:cs="Arial"/>
          <w:b/>
          <w:bCs/>
          <w:sz w:val="24"/>
          <w:szCs w:val="24"/>
          <w:lang w:val="en-US"/>
        </w:rPr>
      </w:pPr>
    </w:p>
    <w:p w14:paraId="424740CD" w14:textId="3691A234" w:rsidR="003766A7" w:rsidRPr="00D035D6" w:rsidRDefault="003766A7" w:rsidP="002D14C0">
      <w:pPr>
        <w:jc w:val="both"/>
        <w:rPr>
          <w:rFonts w:ascii="Arial" w:eastAsiaTheme="minorEastAsia" w:hAnsi="Arial" w:cs="Arial"/>
          <w:b/>
          <w:bCs/>
          <w:sz w:val="24"/>
          <w:szCs w:val="24"/>
          <w:lang w:val="en-US"/>
        </w:rPr>
      </w:pPr>
    </w:p>
    <w:p w14:paraId="45E4882F" w14:textId="36CD276F" w:rsidR="003766A7" w:rsidRDefault="003766A7" w:rsidP="003766A7">
      <w:pPr>
        <w:spacing w:line="276" w:lineRule="auto"/>
        <w:jc w:val="both"/>
        <w:rPr>
          <w:rFonts w:ascii="Arial" w:hAnsi="Arial" w:cs="Arial"/>
          <w:sz w:val="24"/>
          <w:szCs w:val="24"/>
        </w:rPr>
      </w:pPr>
    </w:p>
    <w:p w14:paraId="77602FEF" w14:textId="691DDB83" w:rsidR="003766A7" w:rsidRDefault="003766A7" w:rsidP="003766A7">
      <w:pPr>
        <w:spacing w:line="276" w:lineRule="auto"/>
        <w:jc w:val="both"/>
        <w:rPr>
          <w:rFonts w:ascii="Arial" w:hAnsi="Arial" w:cs="Arial"/>
          <w:sz w:val="24"/>
          <w:szCs w:val="24"/>
        </w:rPr>
      </w:pPr>
    </w:p>
    <w:p w14:paraId="38EC9690" w14:textId="55C0213C" w:rsidR="003766A7" w:rsidRDefault="003766A7" w:rsidP="003766A7">
      <w:pPr>
        <w:spacing w:line="276" w:lineRule="auto"/>
        <w:jc w:val="both"/>
        <w:rPr>
          <w:rFonts w:ascii="Arial" w:hAnsi="Arial" w:cs="Arial"/>
          <w:sz w:val="24"/>
          <w:szCs w:val="24"/>
        </w:rPr>
      </w:pPr>
    </w:p>
    <w:p w14:paraId="5B14B292" w14:textId="7031086E" w:rsidR="003766A7" w:rsidRDefault="003766A7" w:rsidP="003766A7">
      <w:pPr>
        <w:spacing w:line="276" w:lineRule="auto"/>
        <w:jc w:val="both"/>
        <w:rPr>
          <w:rFonts w:ascii="Arial" w:hAnsi="Arial" w:cs="Arial"/>
          <w:sz w:val="24"/>
          <w:szCs w:val="24"/>
        </w:rPr>
      </w:pPr>
    </w:p>
    <w:p w14:paraId="419BCE8E" w14:textId="78595FA2" w:rsidR="003766A7" w:rsidRDefault="003766A7" w:rsidP="003766A7">
      <w:pPr>
        <w:spacing w:line="276" w:lineRule="auto"/>
        <w:jc w:val="both"/>
        <w:rPr>
          <w:rFonts w:ascii="Arial" w:hAnsi="Arial" w:cs="Arial"/>
          <w:sz w:val="24"/>
          <w:szCs w:val="24"/>
        </w:rPr>
      </w:pPr>
    </w:p>
    <w:p w14:paraId="442FDE22" w14:textId="57FE3DFB" w:rsidR="003766A7" w:rsidRDefault="003766A7" w:rsidP="003766A7">
      <w:pPr>
        <w:spacing w:line="276" w:lineRule="auto"/>
        <w:jc w:val="both"/>
        <w:rPr>
          <w:rFonts w:ascii="Arial" w:hAnsi="Arial" w:cs="Arial"/>
          <w:sz w:val="24"/>
          <w:szCs w:val="24"/>
        </w:rPr>
      </w:pPr>
    </w:p>
    <w:p w14:paraId="31F4309C" w14:textId="7958C2F9" w:rsidR="003766A7" w:rsidRDefault="003766A7" w:rsidP="003766A7">
      <w:pPr>
        <w:spacing w:line="276" w:lineRule="auto"/>
        <w:jc w:val="both"/>
        <w:rPr>
          <w:rFonts w:ascii="Arial" w:hAnsi="Arial" w:cs="Arial"/>
          <w:sz w:val="24"/>
          <w:szCs w:val="24"/>
        </w:rPr>
      </w:pPr>
    </w:p>
    <w:p w14:paraId="786E9EAA" w14:textId="77777777" w:rsidR="00D57471" w:rsidRDefault="00D57471" w:rsidP="003766A7">
      <w:pPr>
        <w:spacing w:line="276" w:lineRule="auto"/>
        <w:jc w:val="both"/>
        <w:rPr>
          <w:rFonts w:ascii="Arial" w:hAnsi="Arial" w:cs="Arial"/>
          <w:sz w:val="24"/>
          <w:szCs w:val="24"/>
        </w:rPr>
      </w:pPr>
    </w:p>
    <w:p w14:paraId="5402BAD2" w14:textId="7E686F79" w:rsidR="00EC7942" w:rsidRDefault="00FF3237" w:rsidP="003766A7">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639779" behindDoc="1" locked="0" layoutInCell="1" allowOverlap="1" wp14:anchorId="36E0F99A" wp14:editId="770667CD">
            <wp:simplePos x="0" y="0"/>
            <wp:positionH relativeFrom="column">
              <wp:posOffset>-238125</wp:posOffset>
            </wp:positionH>
            <wp:positionV relativeFrom="paragraph">
              <wp:posOffset>258445</wp:posOffset>
            </wp:positionV>
            <wp:extent cx="6341110" cy="1397000"/>
            <wp:effectExtent l="0" t="0" r="0" b="0"/>
            <wp:wrapTight wrapText="bothSides">
              <wp:wrapPolygon edited="0">
                <wp:start x="1752" y="0"/>
                <wp:lineTo x="454" y="1473"/>
                <wp:lineTo x="324" y="4713"/>
                <wp:lineTo x="0" y="4713"/>
                <wp:lineTo x="0" y="14138"/>
                <wp:lineTo x="130" y="15316"/>
                <wp:lineTo x="844" y="18851"/>
                <wp:lineTo x="1298" y="20324"/>
                <wp:lineTo x="1363" y="20913"/>
                <wp:lineTo x="3115" y="20913"/>
                <wp:lineTo x="19597" y="20029"/>
                <wp:lineTo x="19662" y="18851"/>
                <wp:lineTo x="20441" y="14727"/>
                <wp:lineTo x="20635" y="9425"/>
                <wp:lineTo x="20246" y="6185"/>
                <wp:lineTo x="20181" y="1178"/>
                <wp:lineTo x="18040" y="589"/>
                <wp:lineTo x="2596" y="0"/>
                <wp:lineTo x="1752" y="0"/>
              </wp:wrapPolygon>
            </wp:wrapTight>
            <wp:docPr id="2736" name="Picture 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 name="Picture 2736"/>
                    <pic:cNvPicPr/>
                  </pic:nvPicPr>
                  <pic:blipFill rotWithShape="1">
                    <a:blip r:embed="rId573" cstate="screen">
                      <a:extLst>
                        <a:ext uri="{28A0092B-C50C-407E-A947-70E740481C1C}">
                          <a14:useLocalDpi xmlns:a14="http://schemas.microsoft.com/office/drawing/2010/main"/>
                        </a:ext>
                      </a:extLst>
                    </a:blip>
                    <a:srcRect/>
                    <a:stretch/>
                  </pic:blipFill>
                  <pic:spPr bwMode="auto">
                    <a:xfrm>
                      <a:off x="0" y="0"/>
                      <a:ext cx="6341110" cy="139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525971" w14:textId="7090CF2A" w:rsidR="00402C0F" w:rsidRPr="00DF5744" w:rsidRDefault="00402C0F" w:rsidP="002D14C0">
      <w:pPr>
        <w:rPr>
          <w:rFonts w:ascii="Arial" w:hAnsi="Arial" w:cs="Arial"/>
          <w:sz w:val="24"/>
          <w:szCs w:val="24"/>
        </w:rPr>
      </w:pPr>
    </w:p>
    <w:p w14:paraId="613E13B3" w14:textId="65A9D499" w:rsidR="00402C0F" w:rsidRPr="00DF5744" w:rsidRDefault="00FF3237" w:rsidP="002D14C0">
      <w:pPr>
        <w:rPr>
          <w:rFonts w:ascii="Arial" w:hAnsi="Arial" w:cs="Arial"/>
          <w:sz w:val="24"/>
          <w:szCs w:val="24"/>
        </w:rPr>
      </w:pPr>
      <w:r>
        <w:rPr>
          <w:rFonts w:ascii="Arial" w:hAnsi="Arial" w:cs="Arial"/>
          <w:iCs/>
          <w:noProof/>
          <w:lang w:val="en-US"/>
        </w:rPr>
        <mc:AlternateContent>
          <mc:Choice Requires="wps">
            <w:drawing>
              <wp:anchor distT="0" distB="0" distL="114300" distR="114300" simplePos="0" relativeHeight="252823550" behindDoc="0" locked="0" layoutInCell="1" allowOverlap="1" wp14:anchorId="74B41055" wp14:editId="6A1E4F15">
                <wp:simplePos x="0" y="0"/>
                <wp:positionH relativeFrom="column">
                  <wp:posOffset>981075</wp:posOffset>
                </wp:positionH>
                <wp:positionV relativeFrom="paragraph">
                  <wp:posOffset>127635</wp:posOffset>
                </wp:positionV>
                <wp:extent cx="4470400" cy="889000"/>
                <wp:effectExtent l="0" t="0" r="0" b="6350"/>
                <wp:wrapNone/>
                <wp:docPr id="570" name="Text Box 570"/>
                <wp:cNvGraphicFramePr/>
                <a:graphic xmlns:a="http://schemas.openxmlformats.org/drawingml/2006/main">
                  <a:graphicData uri="http://schemas.microsoft.com/office/word/2010/wordprocessingShape">
                    <wps:wsp>
                      <wps:cNvSpPr txBox="1"/>
                      <wps:spPr>
                        <a:xfrm>
                          <a:off x="0" y="0"/>
                          <a:ext cx="4470400" cy="889000"/>
                        </a:xfrm>
                        <a:prstGeom prst="rect">
                          <a:avLst/>
                        </a:prstGeom>
                        <a:noFill/>
                        <a:ln w="6350">
                          <a:noFill/>
                        </a:ln>
                      </wps:spPr>
                      <wps:txbx>
                        <w:txbxContent>
                          <w:p w14:paraId="2009FD88" w14:textId="634FDBB6" w:rsidR="00D15FD8" w:rsidRPr="00BE33F6" w:rsidRDefault="00D15FD8" w:rsidP="002D14C0">
                            <w:pPr>
                              <w:pStyle w:val="Heading1"/>
                              <w:spacing w:after="120"/>
                              <w:rPr>
                                <w:rFonts w:ascii="Arial" w:hAnsi="Arial" w:cs="Arial"/>
                                <w:b/>
                                <w:bCs/>
                                <w:color w:val="FFFFFF" w:themeColor="background1"/>
                                <w:sz w:val="38"/>
                                <w:szCs w:val="38"/>
                              </w:rPr>
                            </w:pPr>
                            <w:bookmarkStart w:id="1355" w:name="_Legal_framework_and"/>
                            <w:bookmarkStart w:id="1356" w:name="_Toc123828173"/>
                            <w:bookmarkStart w:id="1357" w:name="_Toc123828383"/>
                            <w:bookmarkStart w:id="1358" w:name="_Toc123828579"/>
                            <w:bookmarkStart w:id="1359" w:name="_Toc123912606"/>
                            <w:bookmarkStart w:id="1360" w:name="_Toc123912865"/>
                            <w:bookmarkStart w:id="1361" w:name="_Toc123913092"/>
                            <w:bookmarkStart w:id="1362" w:name="_Toc123914039"/>
                            <w:bookmarkStart w:id="1363" w:name="_Toc125566653"/>
                            <w:bookmarkEnd w:id="1355"/>
                            <w:r w:rsidRPr="00BE33F6">
                              <w:rPr>
                                <w:rFonts w:ascii="Arial" w:hAnsi="Arial" w:cs="Arial"/>
                                <w:b/>
                                <w:bCs/>
                                <w:color w:val="FFFFFF" w:themeColor="background1"/>
                                <w:sz w:val="38"/>
                                <w:szCs w:val="38"/>
                              </w:rPr>
                              <w:t>Legal framework and effective fiscal transparency</w:t>
                            </w:r>
                            <w:bookmarkEnd w:id="1356"/>
                            <w:bookmarkEnd w:id="1357"/>
                            <w:bookmarkEnd w:id="1358"/>
                            <w:bookmarkEnd w:id="1359"/>
                            <w:bookmarkEnd w:id="1360"/>
                            <w:bookmarkEnd w:id="1361"/>
                            <w:bookmarkEnd w:id="1362"/>
                            <w:bookmarkEnd w:id="1363"/>
                          </w:p>
                          <w:p w14:paraId="3A500DC4" w14:textId="77777777" w:rsidR="00D15FD8" w:rsidRPr="00EB1B5C" w:rsidRDefault="00D15FD8" w:rsidP="002D14C0">
                            <w:pPr>
                              <w:pStyle w:val="Heading1"/>
                              <w:rPr>
                                <w:rFonts w:ascii="Arial" w:hAnsi="Arial" w:cs="Arial"/>
                                <w:b/>
                                <w:bCs/>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41055" id="Text Box 570" o:spid="_x0000_s1327" type="#_x0000_t202" style="position:absolute;margin-left:77.25pt;margin-top:10.05pt;width:352pt;height:70pt;z-index:252823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" filled="f" stroked="f" strokeweight=".5pt">
                <v:textbox>
                  <w:txbxContent>
                    <w:p w14:paraId="2009FD88" w14:textId="634FDBB6" w:rsidR="00D15FD8" w:rsidRPr="00BE33F6" w:rsidRDefault="00D15FD8" w:rsidP="002D14C0">
                      <w:pPr>
                        <w:pStyle w:val="Heading1"/>
                        <w:spacing w:after="120"/>
                        <w:rPr>
                          <w:rFonts w:ascii="Arial" w:hAnsi="Arial" w:cs="Arial"/>
                          <w:b/>
                          <w:bCs/>
                          <w:color w:val="FFFFFF" w:themeColor="background1"/>
                          <w:sz w:val="38"/>
                          <w:szCs w:val="38"/>
                        </w:rPr>
                      </w:pPr>
                      <w:bookmarkStart w:id="1364" w:name="_Legal_framework_and"/>
                      <w:bookmarkStart w:id="1365" w:name="_Toc123828173"/>
                      <w:bookmarkStart w:id="1366" w:name="_Toc123828383"/>
                      <w:bookmarkStart w:id="1367" w:name="_Toc123828579"/>
                      <w:bookmarkStart w:id="1368" w:name="_Toc123912606"/>
                      <w:bookmarkStart w:id="1369" w:name="_Toc123912865"/>
                      <w:bookmarkStart w:id="1370" w:name="_Toc123913092"/>
                      <w:bookmarkStart w:id="1371" w:name="_Toc123914039"/>
                      <w:bookmarkStart w:id="1372" w:name="_Toc125566653"/>
                      <w:bookmarkEnd w:id="1364"/>
                      <w:r w:rsidRPr="00BE33F6">
                        <w:rPr>
                          <w:rFonts w:ascii="Arial" w:hAnsi="Arial" w:cs="Arial"/>
                          <w:b/>
                          <w:bCs/>
                          <w:color w:val="FFFFFF" w:themeColor="background1"/>
                          <w:sz w:val="38"/>
                          <w:szCs w:val="38"/>
                        </w:rPr>
                        <w:t>Legal framework and effective fiscal transparency</w:t>
                      </w:r>
                      <w:bookmarkEnd w:id="1365"/>
                      <w:bookmarkEnd w:id="1366"/>
                      <w:bookmarkEnd w:id="1367"/>
                      <w:bookmarkEnd w:id="1368"/>
                      <w:bookmarkEnd w:id="1369"/>
                      <w:bookmarkEnd w:id="1370"/>
                      <w:bookmarkEnd w:id="1371"/>
                      <w:bookmarkEnd w:id="1372"/>
                    </w:p>
                    <w:p w14:paraId="3A500DC4" w14:textId="77777777" w:rsidR="00D15FD8" w:rsidRPr="00EB1B5C" w:rsidRDefault="00D15FD8" w:rsidP="002D14C0">
                      <w:pPr>
                        <w:pStyle w:val="Heading1"/>
                        <w:rPr>
                          <w:rFonts w:ascii="Arial" w:hAnsi="Arial" w:cs="Arial"/>
                          <w:b/>
                          <w:bCs/>
                          <w:color w:val="FFFFFF" w:themeColor="background1"/>
                          <w:sz w:val="36"/>
                          <w:szCs w:val="36"/>
                        </w:rPr>
                      </w:pPr>
                    </w:p>
                  </w:txbxContent>
                </v:textbox>
              </v:shape>
            </w:pict>
          </mc:Fallback>
        </mc:AlternateContent>
      </w:r>
    </w:p>
    <w:p w14:paraId="25869717" w14:textId="3F4DECFD" w:rsidR="00402C0F" w:rsidRDefault="00FF3237" w:rsidP="002D14C0">
      <w:pPr>
        <w:rPr>
          <w:rFonts w:ascii="Arial" w:hAnsi="Arial" w:cs="Arial"/>
          <w:sz w:val="24"/>
          <w:szCs w:val="24"/>
        </w:rPr>
      </w:pPr>
      <w:r>
        <w:rPr>
          <w:rFonts w:ascii="Arial" w:hAnsi="Arial" w:cs="Arial"/>
          <w:iCs/>
          <w:noProof/>
          <w:lang w:val="en-US"/>
        </w:rPr>
        <mc:AlternateContent>
          <mc:Choice Requires="wps">
            <w:drawing>
              <wp:anchor distT="0" distB="0" distL="114300" distR="114300" simplePos="0" relativeHeight="252822526" behindDoc="0" locked="0" layoutInCell="1" allowOverlap="1" wp14:anchorId="4318F972" wp14:editId="7BE9725B">
                <wp:simplePos x="0" y="0"/>
                <wp:positionH relativeFrom="column">
                  <wp:posOffset>-22225</wp:posOffset>
                </wp:positionH>
                <wp:positionV relativeFrom="paragraph">
                  <wp:posOffset>81915</wp:posOffset>
                </wp:positionV>
                <wp:extent cx="571500" cy="660400"/>
                <wp:effectExtent l="0" t="0" r="0" b="6350"/>
                <wp:wrapNone/>
                <wp:docPr id="569" name="Text Box 569"/>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2C2CFD5C" w14:textId="77777777" w:rsidR="00D15FD8" w:rsidRPr="00B60992" w:rsidRDefault="00D15FD8" w:rsidP="002D14C0">
                            <w:pPr>
                              <w:pStyle w:val="ListParagraph"/>
                              <w:numPr>
                                <w:ilvl w:val="0"/>
                                <w:numId w:val="66"/>
                              </w:numPr>
                              <w:jc w:val="center"/>
                              <w:rPr>
                                <w:rFonts w:ascii="Arial" w:hAnsi="Arial" w:cs="Arial"/>
                                <w:color w:val="FFFFFF" w:themeColor="background1"/>
                                <w:sz w:val="44"/>
                                <w:szCs w:val="44"/>
                                <w:lang w:val="en-US"/>
                              </w:rPr>
                            </w:pPr>
                            <w:r w:rsidRPr="00B60992">
                              <w:rPr>
                                <w:rFonts w:ascii="Arial" w:hAnsi="Arial" w:cs="Arial"/>
                                <w:color w:val="FFFFFF" w:themeColor="background1"/>
                                <w:sz w:val="44"/>
                                <w:szCs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8F972" id="Text Box 569" o:spid="_x0000_s1328" type="#_x0000_t202" style="position:absolute;margin-left:-1.75pt;margin-top:6.45pt;width:45pt;height:52pt;z-index:252822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" filled="f" stroked="f" strokeweight=".5pt">
                <v:textbox>
                  <w:txbxContent>
                    <w:p w14:paraId="2C2CFD5C" w14:textId="77777777" w:rsidR="00D15FD8" w:rsidRPr="00B60992" w:rsidRDefault="00D15FD8" w:rsidP="002D14C0">
                      <w:pPr>
                        <w:pStyle w:val="ListParagraph"/>
                        <w:numPr>
                          <w:ilvl w:val="0"/>
                          <w:numId w:val="66"/>
                        </w:numPr>
                        <w:jc w:val="center"/>
                        <w:rPr>
                          <w:rFonts w:ascii="Arial" w:hAnsi="Arial" w:cs="Arial"/>
                          <w:color w:val="FFFFFF" w:themeColor="background1"/>
                          <w:sz w:val="44"/>
                          <w:szCs w:val="44"/>
                          <w:lang w:val="en-US"/>
                        </w:rPr>
                      </w:pPr>
                      <w:r w:rsidRPr="00B60992">
                        <w:rPr>
                          <w:rFonts w:ascii="Arial" w:hAnsi="Arial" w:cs="Arial"/>
                          <w:color w:val="FFFFFF" w:themeColor="background1"/>
                          <w:sz w:val="44"/>
                          <w:szCs w:val="44"/>
                          <w:lang w:val="en-US"/>
                        </w:rPr>
                        <w:t>1</w:t>
                      </w:r>
                    </w:p>
                  </w:txbxContent>
                </v:textbox>
              </v:shape>
            </w:pict>
          </mc:Fallback>
        </mc:AlternateContent>
      </w:r>
    </w:p>
    <w:p w14:paraId="375F17C3" w14:textId="283EF1AA" w:rsidR="00402C0F" w:rsidRDefault="00402C0F" w:rsidP="002D14C0">
      <w:pPr>
        <w:rPr>
          <w:rFonts w:ascii="Arial" w:hAnsi="Arial" w:cs="Arial"/>
          <w:sz w:val="24"/>
          <w:szCs w:val="24"/>
        </w:rPr>
      </w:pPr>
    </w:p>
    <w:p w14:paraId="561F557A" w14:textId="77777777" w:rsidR="00402C0F" w:rsidRDefault="00402C0F" w:rsidP="002D14C0">
      <w:pPr>
        <w:tabs>
          <w:tab w:val="left" w:pos="2040"/>
        </w:tabs>
        <w:rPr>
          <w:rFonts w:ascii="Arial" w:hAnsi="Arial" w:cs="Arial"/>
          <w:sz w:val="24"/>
          <w:szCs w:val="24"/>
        </w:rPr>
      </w:pPr>
      <w:r>
        <w:rPr>
          <w:rFonts w:ascii="Arial" w:hAnsi="Arial" w:cs="Arial"/>
          <w:sz w:val="24"/>
          <w:szCs w:val="24"/>
        </w:rPr>
        <w:tab/>
      </w:r>
    </w:p>
    <w:p w14:paraId="0B1F07A9" w14:textId="77777777" w:rsidR="00402C0F" w:rsidRDefault="00402C0F" w:rsidP="002D14C0">
      <w:pPr>
        <w:tabs>
          <w:tab w:val="left" w:pos="2040"/>
        </w:tabs>
        <w:rPr>
          <w:rFonts w:ascii="Arial" w:hAnsi="Arial" w:cs="Arial"/>
          <w:sz w:val="24"/>
          <w:szCs w:val="24"/>
        </w:rPr>
      </w:pPr>
    </w:p>
    <w:p w14:paraId="407585CF" w14:textId="77777777" w:rsidR="00402C0F" w:rsidRDefault="00402C0F" w:rsidP="002D14C0">
      <w:pPr>
        <w:tabs>
          <w:tab w:val="left" w:pos="2040"/>
        </w:tabs>
        <w:rPr>
          <w:rFonts w:ascii="Arial" w:hAnsi="Arial" w:cs="Arial"/>
          <w:sz w:val="24"/>
          <w:szCs w:val="24"/>
        </w:rPr>
      </w:pPr>
    </w:p>
    <w:p w14:paraId="779B1E81" w14:textId="77777777" w:rsidR="00402C0F" w:rsidRPr="00EB1B5C" w:rsidRDefault="00402C0F" w:rsidP="002D14C0">
      <w:pPr>
        <w:tabs>
          <w:tab w:val="left" w:pos="2040"/>
        </w:tabs>
        <w:rPr>
          <w:rFonts w:ascii="Arial" w:hAnsi="Arial" w:cs="Arial"/>
          <w:color w:val="F8A132"/>
          <w:sz w:val="24"/>
          <w:szCs w:val="24"/>
        </w:rPr>
      </w:pPr>
    </w:p>
    <w:p w14:paraId="14EE1F92" w14:textId="77777777" w:rsidR="00402C0F" w:rsidRPr="00EB1B5C" w:rsidRDefault="00402C0F" w:rsidP="002D14C0">
      <w:pPr>
        <w:tabs>
          <w:tab w:val="left" w:pos="2040"/>
        </w:tabs>
        <w:rPr>
          <w:rFonts w:ascii="Arial" w:hAnsi="Arial" w:cs="Arial"/>
          <w:color w:val="F8A132"/>
          <w:sz w:val="24"/>
          <w:szCs w:val="24"/>
        </w:rPr>
      </w:pPr>
    </w:p>
    <w:p w14:paraId="0E3DDC50" w14:textId="3F6791EC" w:rsidR="00402C0F" w:rsidRPr="00BE33F6" w:rsidRDefault="00402C0F" w:rsidP="002D14C0">
      <w:pPr>
        <w:pStyle w:val="Heading2"/>
        <w:numPr>
          <w:ilvl w:val="1"/>
          <w:numId w:val="69"/>
        </w:numPr>
        <w:rPr>
          <w:rFonts w:ascii="Arial" w:hAnsi="Arial" w:cs="Arial"/>
          <w:b/>
          <w:bCs/>
          <w:sz w:val="36"/>
          <w:szCs w:val="36"/>
        </w:rPr>
      </w:pPr>
      <w:r w:rsidRPr="00BE33F6">
        <w:rPr>
          <w:rFonts w:ascii="Arial" w:hAnsi="Arial" w:cs="Arial"/>
          <w:color w:val="F8A132"/>
          <w:sz w:val="36"/>
          <w:szCs w:val="36"/>
          <w:lang w:val="en-US"/>
        </w:rPr>
        <w:t xml:space="preserve"> </w:t>
      </w:r>
      <w:bookmarkStart w:id="1373" w:name="_Toc123204483"/>
      <w:bookmarkStart w:id="1374" w:name="_Toc123216581"/>
      <w:bookmarkStart w:id="1375" w:name="_Toc123217421"/>
      <w:bookmarkStart w:id="1376" w:name="_Toc123913384"/>
      <w:bookmarkStart w:id="1377" w:name="_Toc123914040"/>
      <w:bookmarkStart w:id="1378" w:name="_Toc125566654"/>
      <w:r w:rsidR="00A73BBD" w:rsidRPr="00BE33F6">
        <w:rPr>
          <w:rFonts w:ascii="Arial" w:hAnsi="Arial" w:cs="Arial"/>
          <w:b/>
          <w:bCs/>
          <w:color w:val="F8A132"/>
          <w:sz w:val="36"/>
          <w:szCs w:val="36"/>
          <w:lang w:val="en-US"/>
        </w:rPr>
        <w:t>Right to fiscal information legislation</w:t>
      </w:r>
      <w:bookmarkEnd w:id="1373"/>
      <w:bookmarkEnd w:id="1374"/>
      <w:bookmarkEnd w:id="1375"/>
      <w:bookmarkEnd w:id="1376"/>
      <w:bookmarkEnd w:id="1377"/>
      <w:bookmarkEnd w:id="1378"/>
    </w:p>
    <w:p w14:paraId="7639AC58" w14:textId="77777777" w:rsidR="00402C0F" w:rsidRDefault="00402C0F" w:rsidP="002D14C0">
      <w:pPr>
        <w:tabs>
          <w:tab w:val="left" w:pos="2040"/>
        </w:tabs>
        <w:rPr>
          <w:rFonts w:ascii="Arial" w:hAnsi="Arial" w:cs="Arial"/>
          <w:sz w:val="24"/>
          <w:szCs w:val="24"/>
        </w:rPr>
      </w:pPr>
    </w:p>
    <w:p w14:paraId="1D95B085" w14:textId="77777777" w:rsidR="00402C0F" w:rsidRDefault="00402C0F" w:rsidP="002D14C0">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2824574" behindDoc="0" locked="0" layoutInCell="1" allowOverlap="1" wp14:anchorId="4E33E884" wp14:editId="386BE047">
            <wp:simplePos x="0" y="0"/>
            <wp:positionH relativeFrom="column">
              <wp:posOffset>0</wp:posOffset>
            </wp:positionH>
            <wp:positionV relativeFrom="paragraph">
              <wp:posOffset>26849</wp:posOffset>
            </wp:positionV>
            <wp:extent cx="787400" cy="787400"/>
            <wp:effectExtent l="0" t="0" r="0" b="0"/>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pic:cNvPicPr/>
                  </pic:nvPicPr>
                  <pic:blipFill>
                    <a:blip r:embed="rId574" cstate="email">
                      <a:extLst>
                        <a:ext uri="{28A0092B-C50C-407E-A947-70E740481C1C}">
                          <a14:useLocalDpi xmlns:a14="http://schemas.microsoft.com/office/drawing/2010/main"/>
                        </a:ext>
                      </a:extLst>
                    </a:blip>
                    <a:stretch>
                      <a:fillRect/>
                    </a:stretch>
                  </pic:blipFill>
                  <pic:spPr>
                    <a:xfrm>
                      <a:off x="0" y="0"/>
                      <a:ext cx="787400" cy="787400"/>
                    </a:xfrm>
                    <a:prstGeom prst="rect">
                      <a:avLst/>
                    </a:prstGeom>
                  </pic:spPr>
                </pic:pic>
              </a:graphicData>
            </a:graphic>
            <wp14:sizeRelH relativeFrom="page">
              <wp14:pctWidth>0</wp14:pctWidth>
            </wp14:sizeRelH>
            <wp14:sizeRelV relativeFrom="page">
              <wp14:pctHeight>0</wp14:pctHeight>
            </wp14:sizeRelV>
          </wp:anchor>
        </w:drawing>
      </w:r>
      <w:r w:rsidRPr="00EB1B5C">
        <w:rPr>
          <w:rFonts w:ascii="Arial" w:hAnsi="Arial" w:cs="Arial"/>
          <w:sz w:val="24"/>
          <w:szCs w:val="24"/>
          <w:lang w:val="en-US"/>
        </w:rPr>
        <w:t xml:space="preserve">The right to fiscal information forms the basis for fiscal transparency. This is based on </w:t>
      </w:r>
      <w:r w:rsidRPr="00EB1B5C">
        <w:rPr>
          <w:rFonts w:ascii="Arial" w:hAnsi="Arial" w:cs="Arial"/>
          <w:sz w:val="24"/>
          <w:szCs w:val="24"/>
          <w:lang w:val="en-ZA"/>
        </w:rPr>
        <w:t xml:space="preserve">the notion, acknowledged by most constitutions around the world, that fiscal resources are public and that the public thus has the right to know about their use. This is captured in GIFT’s very first high-level principle: </w:t>
      </w:r>
    </w:p>
    <w:p w14:paraId="12A19E3C" w14:textId="76C4BD37" w:rsidR="00402C0F" w:rsidRDefault="00DF78B8" w:rsidP="002D14C0">
      <w:pPr>
        <w:spacing w:line="276" w:lineRule="auto"/>
        <w:jc w:val="both"/>
        <w:rPr>
          <w:rFonts w:ascii="Arial" w:hAnsi="Arial" w:cs="Arial"/>
          <w:sz w:val="24"/>
          <w:szCs w:val="24"/>
          <w:lang w:val="en-ZA"/>
        </w:rPr>
      </w:pPr>
      <w:r w:rsidRPr="009E337A">
        <w:rPr>
          <w:rFonts w:ascii="Arial" w:hAnsi="Arial" w:cs="Arial"/>
          <w:b/>
          <w:bCs/>
          <w:noProof/>
          <w:color w:val="F26D24"/>
          <w:sz w:val="32"/>
          <w:szCs w:val="32"/>
          <w:lang w:val="en-US"/>
        </w:rPr>
        <w:drawing>
          <wp:anchor distT="0" distB="0" distL="114300" distR="114300" simplePos="0" relativeHeight="253948926" behindDoc="1" locked="0" layoutInCell="1" allowOverlap="1" wp14:anchorId="35AE94DA" wp14:editId="68CFAE23">
            <wp:simplePos x="0" y="0"/>
            <wp:positionH relativeFrom="margin">
              <wp:posOffset>-85725</wp:posOffset>
            </wp:positionH>
            <wp:positionV relativeFrom="paragraph">
              <wp:posOffset>177800</wp:posOffset>
            </wp:positionV>
            <wp:extent cx="6816725" cy="190627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502" cstate="email">
                      <a:extLst>
                        <a:ext uri="{28A0092B-C50C-407E-A947-70E740481C1C}">
                          <a14:useLocalDpi xmlns:a14="http://schemas.microsoft.com/office/drawing/2010/main"/>
                        </a:ext>
                      </a:extLst>
                    </a:blip>
                    <a:srcRect/>
                    <a:stretch/>
                  </pic:blipFill>
                  <pic:spPr bwMode="auto">
                    <a:xfrm>
                      <a:off x="0" y="0"/>
                      <a:ext cx="6816725" cy="190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4014F3" w14:textId="77777777" w:rsidR="00402C0F" w:rsidRPr="00EB1B5C" w:rsidRDefault="00402C0F" w:rsidP="002D14C0">
      <w:pPr>
        <w:spacing w:line="276" w:lineRule="auto"/>
        <w:jc w:val="both"/>
        <w:rPr>
          <w:rFonts w:ascii="Arial" w:hAnsi="Arial" w:cs="Arial"/>
          <w:sz w:val="24"/>
          <w:szCs w:val="24"/>
          <w:lang w:val="en-ZA"/>
        </w:rPr>
      </w:pPr>
    </w:p>
    <w:p w14:paraId="7E708E1B" w14:textId="77777777" w:rsidR="00402C0F" w:rsidRDefault="00402C0F" w:rsidP="002D14C0">
      <w:pPr>
        <w:tabs>
          <w:tab w:val="left" w:pos="2040"/>
        </w:tabs>
        <w:rPr>
          <w:rFonts w:ascii="Arial" w:hAnsi="Arial" w:cs="Arial"/>
          <w:sz w:val="24"/>
          <w:szCs w:val="24"/>
        </w:rPr>
      </w:pPr>
      <w:r>
        <w:rPr>
          <w:rFonts w:ascii="Arial" w:hAnsi="Arial" w:cs="Arial"/>
          <w:noProof/>
          <w:sz w:val="24"/>
          <w:szCs w:val="24"/>
          <w:lang w:val="en-US"/>
        </w:rPr>
        <w:drawing>
          <wp:anchor distT="0" distB="0" distL="114300" distR="114300" simplePos="0" relativeHeight="252826622" behindDoc="1" locked="0" layoutInCell="1" allowOverlap="1" wp14:anchorId="52649AD0" wp14:editId="789402A3">
            <wp:simplePos x="0" y="0"/>
            <wp:positionH relativeFrom="column">
              <wp:posOffset>1331595</wp:posOffset>
            </wp:positionH>
            <wp:positionV relativeFrom="paragraph">
              <wp:posOffset>105410</wp:posOffset>
            </wp:positionV>
            <wp:extent cx="3261600" cy="652320"/>
            <wp:effectExtent l="0" t="0" r="0" b="0"/>
            <wp:wrapTight wrapText="bothSides">
              <wp:wrapPolygon edited="0">
                <wp:start x="1430" y="1683"/>
                <wp:lineTo x="336" y="7992"/>
                <wp:lineTo x="336" y="10095"/>
                <wp:lineTo x="673" y="15984"/>
                <wp:lineTo x="1430" y="18508"/>
                <wp:lineTo x="1514" y="19350"/>
                <wp:lineTo x="20692" y="19350"/>
                <wp:lineTo x="20776" y="18508"/>
                <wp:lineTo x="21112" y="15984"/>
                <wp:lineTo x="21364" y="2944"/>
                <wp:lineTo x="19682" y="2524"/>
                <wp:lineTo x="2860" y="1683"/>
                <wp:lineTo x="1430" y="1683"/>
              </wp:wrapPolygon>
            </wp:wrapTight>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575" cstate="email">
                      <a:extLst>
                        <a:ext uri="{28A0092B-C50C-407E-A947-70E740481C1C}">
                          <a14:useLocalDpi xmlns:a14="http://schemas.microsoft.com/office/drawing/2010/main"/>
                        </a:ext>
                      </a:extLst>
                    </a:blip>
                    <a:stretch>
                      <a:fillRect/>
                    </a:stretch>
                  </pic:blipFill>
                  <pic:spPr>
                    <a:xfrm>
                      <a:off x="0" y="0"/>
                      <a:ext cx="3261600" cy="652320"/>
                    </a:xfrm>
                    <a:prstGeom prst="rect">
                      <a:avLst/>
                    </a:prstGeom>
                  </pic:spPr>
                </pic:pic>
              </a:graphicData>
            </a:graphic>
            <wp14:sizeRelH relativeFrom="page">
              <wp14:pctWidth>0</wp14:pctWidth>
            </wp14:sizeRelH>
            <wp14:sizeRelV relativeFrom="page">
              <wp14:pctHeight>0</wp14:pctHeight>
            </wp14:sizeRelV>
          </wp:anchor>
        </w:drawing>
      </w:r>
    </w:p>
    <w:p w14:paraId="3F08AE39" w14:textId="77777777" w:rsidR="00402C0F" w:rsidRDefault="00402C0F" w:rsidP="002D14C0">
      <w:pPr>
        <w:tabs>
          <w:tab w:val="left" w:pos="2040"/>
        </w:tabs>
        <w:rPr>
          <w:rFonts w:ascii="Arial" w:hAnsi="Arial" w:cs="Arial"/>
          <w:sz w:val="24"/>
          <w:szCs w:val="24"/>
        </w:rPr>
      </w:pPr>
    </w:p>
    <w:p w14:paraId="4B10A9D5" w14:textId="77777777" w:rsidR="00402C0F" w:rsidRDefault="00402C0F" w:rsidP="002D14C0">
      <w:pPr>
        <w:tabs>
          <w:tab w:val="left" w:pos="2040"/>
        </w:tabs>
        <w:rPr>
          <w:rFonts w:ascii="Arial" w:hAnsi="Arial" w:cs="Arial"/>
          <w:sz w:val="24"/>
          <w:szCs w:val="24"/>
        </w:rPr>
      </w:pPr>
    </w:p>
    <w:p w14:paraId="59502426" w14:textId="77777777" w:rsidR="00402C0F" w:rsidRDefault="00402C0F" w:rsidP="002D14C0">
      <w:pPr>
        <w:tabs>
          <w:tab w:val="left" w:pos="2040"/>
        </w:tabs>
        <w:rPr>
          <w:rFonts w:ascii="Arial" w:hAnsi="Arial" w:cs="Arial"/>
          <w:sz w:val="24"/>
          <w:szCs w:val="24"/>
        </w:rPr>
      </w:pPr>
    </w:p>
    <w:p w14:paraId="7287A27D" w14:textId="77777777" w:rsidR="00402C0F" w:rsidRPr="00912BB1" w:rsidRDefault="00402C0F" w:rsidP="002D14C0">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828670" behindDoc="0" locked="0" layoutInCell="1" allowOverlap="1" wp14:anchorId="613628B0" wp14:editId="4EB59F25">
                <wp:simplePos x="0" y="0"/>
                <wp:positionH relativeFrom="margin">
                  <wp:posOffset>139700</wp:posOffset>
                </wp:positionH>
                <wp:positionV relativeFrom="paragraph">
                  <wp:posOffset>102235</wp:posOffset>
                </wp:positionV>
                <wp:extent cx="6366510" cy="1102658"/>
                <wp:effectExtent l="0" t="0" r="0" b="0"/>
                <wp:wrapNone/>
                <wp:docPr id="577" name="Text Box 577"/>
                <wp:cNvGraphicFramePr/>
                <a:graphic xmlns:a="http://schemas.openxmlformats.org/drawingml/2006/main">
                  <a:graphicData uri="http://schemas.microsoft.com/office/word/2010/wordprocessingShape">
                    <wps:wsp>
                      <wps:cNvSpPr txBox="1"/>
                      <wps:spPr>
                        <a:xfrm>
                          <a:off x="0" y="0"/>
                          <a:ext cx="6366510" cy="1102658"/>
                        </a:xfrm>
                        <a:prstGeom prst="rect">
                          <a:avLst/>
                        </a:prstGeom>
                        <a:noFill/>
                        <a:ln w="6350">
                          <a:noFill/>
                        </a:ln>
                      </wps:spPr>
                      <wps:txbx>
                        <w:txbxContent>
                          <w:p w14:paraId="55006E24" w14:textId="77777777" w:rsidR="00D15FD8" w:rsidRPr="009C5AE5" w:rsidRDefault="00D15FD8" w:rsidP="00BD6508">
                            <w:pPr>
                              <w:spacing w:line="276" w:lineRule="auto"/>
                              <w:jc w:val="both"/>
                              <w:rPr>
                                <w:rFonts w:ascii="Arial" w:hAnsi="Arial" w:cs="Arial"/>
                                <w:iCs/>
                                <w:color w:val="FFFFFF" w:themeColor="background1"/>
                                <w:sz w:val="24"/>
                                <w:szCs w:val="24"/>
                              </w:rPr>
                            </w:pPr>
                            <w:r w:rsidRPr="00D22EA9">
                              <w:rPr>
                                <w:rFonts w:ascii="Arial" w:eastAsia="Calibri" w:hAnsi="Arial" w:cs="Arial"/>
                                <w:iCs/>
                                <w:color w:val="FFFFFF" w:themeColor="background1"/>
                                <w:sz w:val="24"/>
                                <w:szCs w:val="24"/>
                              </w:rPr>
                              <w:t>Everyone has the right to seek, receive and impart information on fiscal policies. To help guarantee this right, national legal systems should establish a clear presumption in favour of the public availability of fiscal information without discrimination. Exceptions should be limited in nature, clearly set out in the legal framework, and subject to challenge through low-cost, independent and timely review mechanisms.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3628B0" id="Text Box 577" o:spid="_x0000_s1329" type="#_x0000_t202" style="position:absolute;margin-left:11pt;margin-top:8.05pt;width:501.3pt;height:86.8pt;z-index:25282867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" filled="f" stroked="f" strokeweight=".5pt">
                <v:textbox>
                  <w:txbxContent>
                    <w:p w14:paraId="55006E24" w14:textId="77777777" w:rsidR="00D15FD8" w:rsidRPr="009C5AE5" w:rsidRDefault="00D15FD8" w:rsidP="00BD6508">
                      <w:pPr>
                        <w:spacing w:line="276" w:lineRule="auto"/>
                        <w:jc w:val="both"/>
                        <w:rPr>
                          <w:rFonts w:ascii="Arial" w:hAnsi="Arial" w:cs="Arial"/>
                          <w:iCs/>
                          <w:color w:val="FFFFFF" w:themeColor="background1"/>
                          <w:sz w:val="24"/>
                          <w:szCs w:val="24"/>
                        </w:rPr>
                      </w:pPr>
                      <w:r w:rsidRPr="00D22EA9">
                        <w:rPr>
                          <w:rFonts w:ascii="Arial" w:eastAsia="Calibri" w:hAnsi="Arial" w:cs="Arial"/>
                          <w:iCs/>
                          <w:color w:val="FFFFFF" w:themeColor="background1"/>
                          <w:sz w:val="24"/>
                          <w:szCs w:val="24"/>
                        </w:rPr>
                        <w:t>Everyone has the right to seek, receive and impart information on fiscal policies. To help guarantee this right, national legal systems should establish a clear presumption in favour of the public availability of fiscal information without discrimination. Exceptions should be limited in nature, clearly set out in the legal framework, and subject to challenge through low-cost, independent and timely review mechanisms.</w:t>
                      </w:r>
                    </w:p>
                  </w:txbxContent>
                </v:textbox>
                <w10:wrap anchorx="margin"/>
              </v:shape>
            </w:pict>
          </mc:Fallback>
        </mc:AlternateContent>
      </w:r>
    </w:p>
    <w:p w14:paraId="587189B3" w14:textId="77777777" w:rsidR="00402C0F" w:rsidRPr="00912BB1" w:rsidRDefault="00402C0F" w:rsidP="002D14C0">
      <w:pPr>
        <w:rPr>
          <w:rFonts w:ascii="Arial" w:hAnsi="Arial" w:cs="Arial"/>
          <w:sz w:val="24"/>
          <w:szCs w:val="24"/>
        </w:rPr>
      </w:pPr>
    </w:p>
    <w:p w14:paraId="16BC6E46" w14:textId="77777777" w:rsidR="00402C0F" w:rsidRPr="00912BB1" w:rsidRDefault="00402C0F" w:rsidP="002D14C0">
      <w:pPr>
        <w:rPr>
          <w:rFonts w:ascii="Arial" w:hAnsi="Arial" w:cs="Arial"/>
          <w:sz w:val="24"/>
          <w:szCs w:val="24"/>
        </w:rPr>
      </w:pPr>
    </w:p>
    <w:p w14:paraId="55DF2987" w14:textId="77777777" w:rsidR="00402C0F" w:rsidRPr="00912BB1" w:rsidRDefault="00402C0F" w:rsidP="002D14C0">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827646" behindDoc="0" locked="0" layoutInCell="1" allowOverlap="1" wp14:anchorId="76F58706" wp14:editId="08E72ADA">
                <wp:simplePos x="0" y="0"/>
                <wp:positionH relativeFrom="column">
                  <wp:posOffset>0</wp:posOffset>
                </wp:positionH>
                <wp:positionV relativeFrom="paragraph">
                  <wp:posOffset>122555</wp:posOffset>
                </wp:positionV>
                <wp:extent cx="6634800" cy="594360"/>
                <wp:effectExtent l="0" t="0" r="0" b="2540"/>
                <wp:wrapNone/>
                <wp:docPr id="578" name="Rectangle 578"/>
                <wp:cNvGraphicFramePr/>
                <a:graphic xmlns:a="http://schemas.openxmlformats.org/drawingml/2006/main">
                  <a:graphicData uri="http://schemas.microsoft.com/office/word/2010/wordprocessingShape">
                    <wps:wsp>
                      <wps:cNvSpPr/>
                      <wps:spPr>
                        <a:xfrm>
                          <a:off x="0" y="0"/>
                          <a:ext cx="6634800" cy="594360"/>
                        </a:xfrm>
                        <a:prstGeom prst="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ect w14:anchorId="7064EC77" id="Rectangle 578" o:spid="_x0000_s1026" style="position:absolute;margin-left:0;margin-top:9.65pt;width:522.45pt;height:46.8pt;z-index:2528276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" fillcolor="#69557f" stroked="f" strokeweight="1pt"/>
            </w:pict>
          </mc:Fallback>
        </mc:AlternateContent>
      </w:r>
    </w:p>
    <w:p w14:paraId="6D48FF6D" w14:textId="77777777" w:rsidR="00402C0F" w:rsidRPr="00912BB1" w:rsidRDefault="00402C0F" w:rsidP="002D14C0">
      <w:pPr>
        <w:rPr>
          <w:rFonts w:ascii="Arial" w:hAnsi="Arial" w:cs="Arial"/>
          <w:sz w:val="24"/>
          <w:szCs w:val="24"/>
        </w:rPr>
      </w:pPr>
    </w:p>
    <w:p w14:paraId="247BDB35" w14:textId="77777777" w:rsidR="00402C0F" w:rsidRPr="00912BB1" w:rsidRDefault="00402C0F" w:rsidP="002D14C0">
      <w:pPr>
        <w:rPr>
          <w:rFonts w:ascii="Arial" w:hAnsi="Arial" w:cs="Arial"/>
          <w:sz w:val="24"/>
          <w:szCs w:val="24"/>
        </w:rPr>
      </w:pPr>
    </w:p>
    <w:p w14:paraId="3E95353B" w14:textId="77777777" w:rsidR="00402C0F" w:rsidRPr="00912BB1" w:rsidRDefault="00402C0F" w:rsidP="002D14C0">
      <w:pPr>
        <w:rPr>
          <w:rFonts w:ascii="Arial" w:hAnsi="Arial" w:cs="Arial"/>
          <w:sz w:val="24"/>
          <w:szCs w:val="24"/>
        </w:rPr>
      </w:pPr>
    </w:p>
    <w:p w14:paraId="7D27DC04" w14:textId="77777777" w:rsidR="00402C0F" w:rsidRPr="00D22EA9" w:rsidRDefault="00402C0F" w:rsidP="002D14C0">
      <w:pPr>
        <w:spacing w:line="276" w:lineRule="auto"/>
        <w:rPr>
          <w:rFonts w:ascii="Arial" w:hAnsi="Arial" w:cs="Arial"/>
          <w:sz w:val="24"/>
          <w:szCs w:val="24"/>
        </w:rPr>
      </w:pPr>
    </w:p>
    <w:p w14:paraId="7D307F82" w14:textId="3C688B25" w:rsidR="00402C0F" w:rsidRPr="00D22EA9" w:rsidRDefault="00402C0F" w:rsidP="002D14C0">
      <w:pPr>
        <w:spacing w:line="276" w:lineRule="auto"/>
        <w:jc w:val="both"/>
        <w:rPr>
          <w:rFonts w:ascii="Arial" w:hAnsi="Arial" w:cs="Arial"/>
          <w:sz w:val="24"/>
          <w:szCs w:val="24"/>
        </w:rPr>
      </w:pPr>
      <w:r w:rsidRPr="00D22EA9">
        <w:rPr>
          <w:rFonts w:ascii="Arial" w:hAnsi="Arial" w:cs="Arial"/>
          <w:sz w:val="24"/>
          <w:szCs w:val="24"/>
          <w:lang w:val="en-US"/>
        </w:rPr>
        <w:lastRenderedPageBreak/>
        <w:t xml:space="preserve">Access to information is required for the public to get information on things that concern them; to make informed decisions; to meaningfully participate in fiscal policies; as well as to be able to hold the government accountable for its management of public resources. The right to fiscal information is an important guarantor of the public’s ability to obtain information in practice and, as such, it is critically important that it is set in law. </w:t>
      </w:r>
      <w:r w:rsidRPr="00D22EA9">
        <w:rPr>
          <w:rFonts w:ascii="Arial" w:hAnsi="Arial" w:cs="Arial"/>
          <w:sz w:val="24"/>
          <w:szCs w:val="24"/>
          <w:lang w:val="en-ZA"/>
        </w:rPr>
        <w:t xml:space="preserve">Mandatory rules for government authorities are needed to codify the obligations of public </w:t>
      </w:r>
      <w:r w:rsidR="009C36A7" w:rsidRPr="00D22EA9">
        <w:rPr>
          <w:rFonts w:ascii="Arial" w:hAnsi="Arial" w:cs="Arial"/>
          <w:sz w:val="24"/>
          <w:szCs w:val="24"/>
          <w:lang w:val="en-ZA"/>
        </w:rPr>
        <w:t>officials</w:t>
      </w:r>
      <w:r w:rsidRPr="00D22EA9">
        <w:rPr>
          <w:rFonts w:ascii="Arial" w:hAnsi="Arial" w:cs="Arial"/>
          <w:sz w:val="24"/>
          <w:szCs w:val="24"/>
          <w:lang w:val="en-ZA"/>
        </w:rPr>
        <w:t xml:space="preserve"> </w:t>
      </w:r>
      <w:r w:rsidRPr="00D22EA9">
        <w:rPr>
          <w:rFonts w:ascii="Arial" w:hAnsi="Arial" w:cs="Arial"/>
          <w:bCs/>
          <w:sz w:val="24"/>
          <w:szCs w:val="24"/>
          <w:lang w:val="en-US"/>
        </w:rPr>
        <w:t>vis-à-vis</w:t>
      </w:r>
      <w:r w:rsidRPr="00D22EA9">
        <w:rPr>
          <w:rFonts w:ascii="Arial" w:hAnsi="Arial" w:cs="Arial"/>
          <w:b/>
          <w:bCs/>
          <w:sz w:val="24"/>
          <w:szCs w:val="24"/>
          <w:lang w:val="en-US"/>
        </w:rPr>
        <w:t xml:space="preserve"> </w:t>
      </w:r>
      <w:r w:rsidRPr="00D22EA9">
        <w:rPr>
          <w:rFonts w:ascii="Arial" w:hAnsi="Arial" w:cs="Arial"/>
          <w:sz w:val="24"/>
          <w:szCs w:val="24"/>
          <w:lang w:val="en-ZA"/>
        </w:rPr>
        <w:t>the public they serve. There may be exemptions, normally related to privacy considerations or the public interest. While the right to privacy is also a fundamental right, as the GIFT principle concludes, exceptions related to it should be clearly set out in a legal framework, and subject to challenge through low-cost, independent, and timely review mechanisms. Often privacy considerations can be addressed through mitigating actions, such as the anonymization of information.</w:t>
      </w:r>
    </w:p>
    <w:p w14:paraId="48989A62" w14:textId="77777777" w:rsidR="00402C0F" w:rsidRPr="00D22EA9" w:rsidRDefault="00402C0F" w:rsidP="002D14C0">
      <w:pPr>
        <w:spacing w:line="276" w:lineRule="auto"/>
        <w:jc w:val="both"/>
        <w:rPr>
          <w:rFonts w:ascii="Arial" w:hAnsi="Arial" w:cs="Arial"/>
          <w:sz w:val="24"/>
          <w:szCs w:val="24"/>
        </w:rPr>
      </w:pPr>
    </w:p>
    <w:p w14:paraId="21677AB2" w14:textId="77777777" w:rsidR="00402C0F" w:rsidRPr="00D22EA9" w:rsidRDefault="00402C0F" w:rsidP="002D14C0">
      <w:pPr>
        <w:spacing w:line="276" w:lineRule="auto"/>
        <w:jc w:val="both"/>
        <w:rPr>
          <w:rFonts w:ascii="Arial" w:hAnsi="Arial" w:cs="Arial"/>
          <w:sz w:val="24"/>
          <w:szCs w:val="24"/>
          <w:u w:val="single"/>
        </w:rPr>
      </w:pPr>
      <w:r>
        <w:rPr>
          <w:rFonts w:ascii="Arial" w:hAnsi="Arial" w:cs="Arial"/>
          <w:noProof/>
          <w:sz w:val="24"/>
          <w:szCs w:val="24"/>
          <w:lang w:val="en-US"/>
        </w:rPr>
        <w:drawing>
          <wp:anchor distT="0" distB="0" distL="114300" distR="114300" simplePos="0" relativeHeight="252829694" behindDoc="0" locked="0" layoutInCell="1" allowOverlap="1" wp14:anchorId="62FA9724" wp14:editId="42852C20">
            <wp:simplePos x="0" y="0"/>
            <wp:positionH relativeFrom="column">
              <wp:posOffset>6350</wp:posOffset>
            </wp:positionH>
            <wp:positionV relativeFrom="paragraph">
              <wp:posOffset>61595</wp:posOffset>
            </wp:positionV>
            <wp:extent cx="2278380" cy="2472690"/>
            <wp:effectExtent l="0" t="0" r="0" b="0"/>
            <wp:wrapSquare wrapText="bothSides"/>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pic:cNvPicPr/>
                  </pic:nvPicPr>
                  <pic:blipFill rotWithShape="1">
                    <a:blip r:embed="rId576" cstate="email">
                      <a:extLst>
                        <a:ext uri="{28A0092B-C50C-407E-A947-70E740481C1C}">
                          <a14:useLocalDpi xmlns:a14="http://schemas.microsoft.com/office/drawing/2010/main"/>
                        </a:ext>
                      </a:extLst>
                    </a:blip>
                    <a:srcRect/>
                    <a:stretch/>
                  </pic:blipFill>
                  <pic:spPr bwMode="auto">
                    <a:xfrm>
                      <a:off x="0" y="0"/>
                      <a:ext cx="2278380" cy="247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2EA9">
        <w:rPr>
          <w:rFonts w:ascii="Arial" w:hAnsi="Arial" w:cs="Arial"/>
          <w:sz w:val="24"/>
          <w:szCs w:val="24"/>
        </w:rPr>
        <w:t xml:space="preserve">There are two ways to access government information: governments can proactively disclose it, or they can provide access in response to an information request. Parliaments and governments should decide what information should be proactively disclosed, and make provisions for this in a country’s legal framework.  Legislation should also provide for the public to be able to make requests for information that individuals require. Fiscal transparency best practice requires the disclosure of information, and the setting of norms and standards regarding the type of information that the executive should publish regularly, in a timely manner. Governments can use the guidance provided in norms and standards to decide what information should be proactively disclosed. For example, the IMF’s </w:t>
      </w:r>
      <w:hyperlink r:id="rId577" w:history="1">
        <w:r w:rsidRPr="00D22EA9">
          <w:rPr>
            <w:rFonts w:ascii="Arial" w:hAnsi="Arial" w:cs="Arial"/>
            <w:color w:val="0563C1" w:themeColor="hyperlink"/>
            <w:sz w:val="24"/>
            <w:szCs w:val="24"/>
            <w:u w:val="single"/>
          </w:rPr>
          <w:t>Fiscal Transparency Code</w:t>
        </w:r>
      </w:hyperlink>
      <w:r w:rsidRPr="00D22EA9">
        <w:rPr>
          <w:rFonts w:ascii="Arial" w:hAnsi="Arial" w:cs="Arial"/>
          <w:sz w:val="24"/>
          <w:szCs w:val="24"/>
        </w:rPr>
        <w:t xml:space="preserve"> (2019) provides that information be disclosed to the public in a comprehensive, timely, and transparent manner in respect of four pillars: fiscal reports; fiscal forecasting and budgeting; fiscal risk analysis and management; and resource revenue management.  The  OECD’s </w:t>
      </w:r>
      <w:hyperlink r:id="rId578" w:history="1">
        <w:r w:rsidRPr="00D22EA9">
          <w:rPr>
            <w:rFonts w:ascii="Arial" w:hAnsi="Arial" w:cs="Arial"/>
            <w:bCs/>
            <w:iCs/>
            <w:color w:val="0563C1" w:themeColor="hyperlink"/>
            <w:sz w:val="24"/>
            <w:szCs w:val="24"/>
            <w:u w:val="single"/>
          </w:rPr>
          <w:t>Best Practices for Budget Transparency</w:t>
        </w:r>
      </w:hyperlink>
      <w:r w:rsidRPr="00D22EA9">
        <w:rPr>
          <w:rFonts w:ascii="Arial" w:hAnsi="Arial" w:cs="Arial"/>
          <w:bCs/>
          <w:iCs/>
          <w:sz w:val="24"/>
          <w:szCs w:val="24"/>
        </w:rPr>
        <w:t xml:space="preserve"> (2002) d</w:t>
      </w:r>
      <w:r w:rsidRPr="00D22EA9">
        <w:rPr>
          <w:rFonts w:ascii="Arial" w:hAnsi="Arial" w:cs="Arial"/>
          <w:sz w:val="24"/>
          <w:szCs w:val="24"/>
        </w:rPr>
        <w:t xml:space="preserve">efines budget transparency as “the full disclosure of all relevant fiscal information in a timely and systematic manner”.  Its </w:t>
      </w:r>
      <w:hyperlink r:id="rId579" w:history="1">
        <w:r w:rsidRPr="00D22EA9">
          <w:rPr>
            <w:rFonts w:ascii="Arial" w:hAnsi="Arial" w:cs="Arial"/>
            <w:color w:val="0563C1" w:themeColor="hyperlink"/>
            <w:sz w:val="24"/>
            <w:szCs w:val="24"/>
            <w:u w:val="single"/>
          </w:rPr>
          <w:t>Budget Transparency Toolkit</w:t>
        </w:r>
      </w:hyperlink>
      <w:r w:rsidRPr="00D22EA9">
        <w:rPr>
          <w:rFonts w:ascii="Arial" w:hAnsi="Arial" w:cs="Arial"/>
          <w:sz w:val="24"/>
          <w:szCs w:val="24"/>
          <w:u w:val="single"/>
        </w:rPr>
        <w:t xml:space="preserve"> </w:t>
      </w:r>
      <w:r w:rsidRPr="00D22EA9">
        <w:rPr>
          <w:rFonts w:ascii="Arial" w:hAnsi="Arial" w:cs="Arial"/>
          <w:sz w:val="24"/>
          <w:szCs w:val="24"/>
        </w:rPr>
        <w:t xml:space="preserve">(2017) talks to the main budget-related documents stating what they should contain and when they should be published during the fiscal policy cycle; and also to making budget data publicly available in an open digital form in a regular and timely manner. </w:t>
      </w:r>
    </w:p>
    <w:p w14:paraId="19DAB105" w14:textId="77777777" w:rsidR="00402C0F" w:rsidRPr="00D22EA9" w:rsidRDefault="00402C0F" w:rsidP="002D14C0">
      <w:pPr>
        <w:spacing w:line="276" w:lineRule="auto"/>
        <w:contextualSpacing/>
        <w:jc w:val="both"/>
        <w:rPr>
          <w:rFonts w:ascii="Arial" w:hAnsi="Arial" w:cs="Arial"/>
          <w:sz w:val="24"/>
          <w:szCs w:val="24"/>
          <w:lang w:val="en-US"/>
        </w:rPr>
      </w:pPr>
    </w:p>
    <w:p w14:paraId="75C5C2B0" w14:textId="77777777" w:rsidR="00402C0F" w:rsidRDefault="00402C0F" w:rsidP="002D14C0">
      <w:pPr>
        <w:spacing w:line="276" w:lineRule="auto"/>
        <w:jc w:val="both"/>
        <w:rPr>
          <w:rFonts w:ascii="Arial" w:hAnsi="Arial" w:cs="Arial"/>
          <w:sz w:val="24"/>
          <w:szCs w:val="24"/>
        </w:rPr>
      </w:pPr>
      <w:r w:rsidRPr="00D22EA9">
        <w:rPr>
          <w:rFonts w:ascii="Arial" w:hAnsi="Arial" w:cs="Arial"/>
          <w:sz w:val="24"/>
          <w:szCs w:val="24"/>
        </w:rPr>
        <w:t>In practice, although fiscal transparency is a central part of proactive disclosure legal provisions in many countries, disclosure rules are often spread among many different pieces of legislation, such as procurement laws; public investment, and infrastructure regulations; budget responsibility laws, which frequently include specific stipulations on proactive disclose of fiscal activities and public funds; and naturally also in access to information laws</w:t>
      </w:r>
      <w:r w:rsidRPr="00D22EA9">
        <w:rPr>
          <w:rFonts w:ascii="Arial" w:hAnsi="Arial" w:cs="Arial"/>
          <w:sz w:val="24"/>
          <w:szCs w:val="24"/>
          <w:vertAlign w:val="superscript"/>
        </w:rPr>
        <w:footnoteReference w:id="35"/>
      </w:r>
      <w:r w:rsidRPr="00D22EA9">
        <w:rPr>
          <w:rFonts w:ascii="Arial" w:hAnsi="Arial" w:cs="Arial"/>
          <w:sz w:val="24"/>
          <w:szCs w:val="24"/>
        </w:rPr>
        <w:t xml:space="preserve">. </w:t>
      </w:r>
    </w:p>
    <w:p w14:paraId="3ECACAC8" w14:textId="77777777" w:rsidR="00402C0F" w:rsidRPr="00D22EA9" w:rsidRDefault="00402C0F" w:rsidP="002D14C0">
      <w:pPr>
        <w:spacing w:line="276" w:lineRule="auto"/>
        <w:jc w:val="both"/>
        <w:rPr>
          <w:rFonts w:ascii="Arial" w:hAnsi="Arial" w:cs="Arial"/>
          <w:sz w:val="24"/>
          <w:szCs w:val="24"/>
        </w:rPr>
      </w:pPr>
    </w:p>
    <w:p w14:paraId="04D2236A" w14:textId="076581D4" w:rsidR="00402C0F" w:rsidRPr="00BE33F6" w:rsidRDefault="00A73BBD" w:rsidP="002D14C0">
      <w:pPr>
        <w:pStyle w:val="Heading2"/>
        <w:numPr>
          <w:ilvl w:val="1"/>
          <w:numId w:val="69"/>
        </w:numPr>
        <w:rPr>
          <w:rFonts w:ascii="Arial" w:hAnsi="Arial" w:cs="Arial"/>
          <w:b/>
          <w:bCs/>
          <w:color w:val="F8A132"/>
          <w:sz w:val="36"/>
          <w:szCs w:val="36"/>
          <w:lang w:val="en-US"/>
        </w:rPr>
      </w:pPr>
      <w:bookmarkStart w:id="1379" w:name="_Toc123204484"/>
      <w:bookmarkStart w:id="1380" w:name="_Toc123216582"/>
      <w:bookmarkStart w:id="1381" w:name="_Toc123217422"/>
      <w:bookmarkStart w:id="1382" w:name="_Toc123913385"/>
      <w:bookmarkStart w:id="1383" w:name="_Toc123914041"/>
      <w:bookmarkStart w:id="1384" w:name="_Toc125566655"/>
      <w:r w:rsidRPr="00BE33F6">
        <w:rPr>
          <w:rFonts w:ascii="Arial" w:hAnsi="Arial" w:cs="Arial"/>
          <w:b/>
          <w:bCs/>
          <w:color w:val="F8A132"/>
          <w:sz w:val="36"/>
          <w:szCs w:val="36"/>
          <w:lang w:val="en-US"/>
        </w:rPr>
        <w:lastRenderedPageBreak/>
        <w:t>Clarifying roles and responsibilities in legislation</w:t>
      </w:r>
      <w:bookmarkEnd w:id="1379"/>
      <w:bookmarkEnd w:id="1380"/>
      <w:bookmarkEnd w:id="1381"/>
      <w:bookmarkEnd w:id="1382"/>
      <w:bookmarkEnd w:id="1383"/>
      <w:bookmarkEnd w:id="1384"/>
    </w:p>
    <w:p w14:paraId="0CA55B4C" w14:textId="77777777" w:rsidR="00402C0F" w:rsidRPr="00A638FC" w:rsidRDefault="00402C0F" w:rsidP="002D14C0">
      <w:pPr>
        <w:spacing w:line="276" w:lineRule="auto"/>
        <w:rPr>
          <w:rFonts w:ascii="Arial" w:hAnsi="Arial" w:cs="Arial"/>
          <w:sz w:val="24"/>
          <w:szCs w:val="24"/>
          <w:lang w:val="en-US"/>
        </w:rPr>
      </w:pPr>
    </w:p>
    <w:p w14:paraId="3EAC3885" w14:textId="77777777" w:rsidR="00402C0F" w:rsidRPr="00A638FC" w:rsidRDefault="00402C0F" w:rsidP="002D14C0">
      <w:pPr>
        <w:spacing w:line="276" w:lineRule="auto"/>
        <w:contextualSpacing/>
        <w:jc w:val="both"/>
        <w:rPr>
          <w:rFonts w:ascii="Arial" w:hAnsi="Arial" w:cs="Arial"/>
          <w:iCs/>
          <w:sz w:val="24"/>
          <w:szCs w:val="24"/>
          <w:lang w:val="en-US"/>
        </w:rPr>
      </w:pPr>
      <w:r w:rsidRPr="00A638FC">
        <w:rPr>
          <w:rFonts w:ascii="Arial" w:hAnsi="Arial" w:cs="Arial"/>
          <w:sz w:val="24"/>
          <w:szCs w:val="24"/>
          <w:lang w:val="en-US"/>
        </w:rPr>
        <w:t xml:space="preserve">The laws in each country should give distinct powers to each of the different arms and levels of government, including to the executive thereby defining it, stipulating its roles and responsibilities enabling it to undertake activities to fulfil these responsibilities and subsequently to be held accountable for the manner in which it has done so. The effective and efficient governance of fiscal policy requires everyone to be clear about who is responsible for doing what, and who is accountable to whom. Contested, unclear or overlapping mandates, and gaps in mandates, reduce transparency, act as a barrier to meaningful public participation, and make it harder to hold public officials to account. Roles and responsibilities are typically set out in a constitution and/or in an organic budget law. </w:t>
      </w:r>
      <w:r w:rsidRPr="00A638FC">
        <w:rPr>
          <w:rFonts w:ascii="Arial" w:hAnsi="Arial" w:cs="Arial"/>
          <w:sz w:val="24"/>
          <w:szCs w:val="24"/>
        </w:rPr>
        <w:t xml:space="preserve"> </w:t>
      </w:r>
      <w:r w:rsidRPr="00A638FC">
        <w:rPr>
          <w:rFonts w:ascii="Arial" w:hAnsi="Arial" w:cs="Arial"/>
          <w:sz w:val="24"/>
          <w:szCs w:val="24"/>
          <w:lang w:val="en-US"/>
        </w:rPr>
        <w:t xml:space="preserve">This Principle is consistent with the IMF’s </w:t>
      </w:r>
      <w:hyperlink r:id="rId580" w:history="1">
        <w:r w:rsidRPr="00A638FC">
          <w:rPr>
            <w:rFonts w:ascii="Arial" w:hAnsi="Arial" w:cs="Arial"/>
            <w:color w:val="0563C1" w:themeColor="hyperlink"/>
            <w:sz w:val="24"/>
            <w:szCs w:val="24"/>
            <w:u w:val="single"/>
          </w:rPr>
          <w:t>Manual on Fiscal Transparency</w:t>
        </w:r>
      </w:hyperlink>
      <w:r w:rsidRPr="00A638FC">
        <w:rPr>
          <w:rFonts w:ascii="Arial" w:hAnsi="Arial" w:cs="Arial"/>
          <w:sz w:val="24"/>
          <w:szCs w:val="24"/>
        </w:rPr>
        <w:t xml:space="preserve"> (2007) and </w:t>
      </w:r>
      <w:hyperlink r:id="rId581" w:history="1">
        <w:r w:rsidRPr="00A638FC">
          <w:rPr>
            <w:rFonts w:ascii="Arial" w:hAnsi="Arial" w:cs="Arial"/>
            <w:color w:val="0563C1" w:themeColor="hyperlink"/>
            <w:sz w:val="24"/>
            <w:szCs w:val="24"/>
            <w:u w:val="single"/>
          </w:rPr>
          <w:t>Fiscal Transparency Code</w:t>
        </w:r>
      </w:hyperlink>
      <w:r w:rsidRPr="00A638FC">
        <w:rPr>
          <w:rFonts w:ascii="Arial" w:hAnsi="Arial" w:cs="Arial"/>
          <w:sz w:val="24"/>
          <w:szCs w:val="24"/>
        </w:rPr>
        <w:t xml:space="preserve"> (2019) </w:t>
      </w:r>
      <w:r w:rsidRPr="00A638FC">
        <w:rPr>
          <w:rFonts w:ascii="Arial" w:hAnsi="Arial" w:cs="Arial"/>
          <w:sz w:val="24"/>
          <w:szCs w:val="24"/>
          <w:lang w:val="en-US"/>
        </w:rPr>
        <w:t>that state that the authority of different branches of government at different stages of the fiscal policy cycle should be clearly defined in a budget system law or the constitution</w:t>
      </w:r>
      <w:r w:rsidRPr="00A638FC">
        <w:rPr>
          <w:rFonts w:ascii="Arial" w:hAnsi="Arial" w:cs="Arial"/>
          <w:sz w:val="24"/>
          <w:szCs w:val="24"/>
        </w:rPr>
        <w:t xml:space="preserve">. </w:t>
      </w:r>
    </w:p>
    <w:p w14:paraId="70010BD9" w14:textId="77777777" w:rsidR="00402C0F" w:rsidRPr="00A638FC" w:rsidRDefault="00402C0F" w:rsidP="002D14C0">
      <w:pPr>
        <w:spacing w:line="276" w:lineRule="auto"/>
        <w:jc w:val="both"/>
        <w:rPr>
          <w:rFonts w:ascii="Arial" w:hAnsi="Arial" w:cs="Arial"/>
          <w:sz w:val="24"/>
          <w:szCs w:val="24"/>
          <w:lang w:val="en-US"/>
        </w:rPr>
      </w:pPr>
    </w:p>
    <w:p w14:paraId="7330733F" w14:textId="77777777" w:rsidR="00402C0F" w:rsidRDefault="00402C0F" w:rsidP="002D14C0">
      <w:pPr>
        <w:spacing w:line="276" w:lineRule="auto"/>
        <w:jc w:val="both"/>
        <w:rPr>
          <w:rFonts w:ascii="Arial" w:hAnsi="Arial" w:cs="Arial"/>
          <w:sz w:val="24"/>
          <w:szCs w:val="24"/>
        </w:rPr>
      </w:pPr>
      <w:r w:rsidRPr="00A638FC">
        <w:rPr>
          <w:rFonts w:ascii="Arial" w:hAnsi="Arial" w:cs="Arial"/>
          <w:sz w:val="24"/>
          <w:szCs w:val="24"/>
          <w:lang w:val="en-US"/>
        </w:rPr>
        <w:t>Current international fiscal transparency norms and standards thus address the assignment in legislation of roles and responsibilities within the public sector and the government sector, including the need for legislation to</w:t>
      </w:r>
      <w:r w:rsidRPr="00A638FC">
        <w:rPr>
          <w:rFonts w:ascii="Arial" w:hAnsi="Arial" w:cs="Arial"/>
          <w:sz w:val="24"/>
          <w:szCs w:val="24"/>
        </w:rPr>
        <w:t>:</w:t>
      </w:r>
    </w:p>
    <w:p w14:paraId="24C23BFD" w14:textId="77777777" w:rsidR="00402C0F" w:rsidRDefault="00402C0F" w:rsidP="002D14C0">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830718" behindDoc="0" locked="0" layoutInCell="1" allowOverlap="1" wp14:anchorId="09FA9E9F" wp14:editId="7DA65102">
            <wp:simplePos x="0" y="0"/>
            <wp:positionH relativeFrom="column">
              <wp:posOffset>0</wp:posOffset>
            </wp:positionH>
            <wp:positionV relativeFrom="paragraph">
              <wp:posOffset>186055</wp:posOffset>
            </wp:positionV>
            <wp:extent cx="709200" cy="700438"/>
            <wp:effectExtent l="0" t="0" r="2540" b="0"/>
            <wp:wrapSquare wrapText="bothSides"/>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rotWithShape="1">
                    <a:blip r:embed="rId582" cstate="email">
                      <a:extLst>
                        <a:ext uri="{28A0092B-C50C-407E-A947-70E740481C1C}">
                          <a14:useLocalDpi xmlns:a14="http://schemas.microsoft.com/office/drawing/2010/main"/>
                        </a:ext>
                      </a:extLst>
                    </a:blip>
                    <a:srcRect/>
                    <a:stretch/>
                  </pic:blipFill>
                  <pic:spPr bwMode="auto">
                    <a:xfrm>
                      <a:off x="0" y="0"/>
                      <a:ext cx="709200" cy="7004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34F41E" w14:textId="11AECDF4" w:rsidR="00402C0F" w:rsidRDefault="00402C0F" w:rsidP="002D14C0">
      <w:pPr>
        <w:spacing w:line="276" w:lineRule="auto"/>
        <w:jc w:val="both"/>
        <w:rPr>
          <w:rFonts w:ascii="Arial" w:hAnsi="Arial" w:cs="Arial"/>
          <w:sz w:val="24"/>
          <w:szCs w:val="24"/>
        </w:rPr>
      </w:pPr>
      <w:r w:rsidRPr="00A638FC">
        <w:rPr>
          <w:rFonts w:ascii="Arial" w:hAnsi="Arial" w:cs="Arial"/>
          <w:sz w:val="24"/>
          <w:szCs w:val="24"/>
          <w:lang w:val="en-US"/>
        </w:rPr>
        <w:t>Define and clarify the powers of the different branches of government within the budget process, including the power to amend the executive’s budget proposal and re-direct resources during a fiscal year</w:t>
      </w:r>
      <w:r w:rsidRPr="00A638FC">
        <w:rPr>
          <w:rFonts w:ascii="Arial" w:hAnsi="Arial" w:cs="Arial"/>
          <w:sz w:val="24"/>
          <w:szCs w:val="24"/>
        </w:rPr>
        <w:t xml:space="preserve">; </w:t>
      </w:r>
    </w:p>
    <w:p w14:paraId="3286007C" w14:textId="0B91BA48" w:rsidR="00402C0F" w:rsidRDefault="00A17702" w:rsidP="002D14C0">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49004" behindDoc="0" locked="0" layoutInCell="1" allowOverlap="1" wp14:anchorId="25C6DB2C" wp14:editId="63D8B5A3">
                <wp:simplePos x="0" y="0"/>
                <wp:positionH relativeFrom="column">
                  <wp:posOffset>0</wp:posOffset>
                </wp:positionH>
                <wp:positionV relativeFrom="paragraph">
                  <wp:posOffset>197485</wp:posOffset>
                </wp:positionV>
                <wp:extent cx="708660" cy="939800"/>
                <wp:effectExtent l="0" t="0" r="0" b="0"/>
                <wp:wrapSquare wrapText="bothSides"/>
                <wp:docPr id="102" name="Rectangle 102"/>
                <wp:cNvGraphicFramePr/>
                <a:graphic xmlns:a="http://schemas.openxmlformats.org/drawingml/2006/main">
                  <a:graphicData uri="http://schemas.microsoft.com/office/word/2010/wordprocessingShape">
                    <wps:wsp>
                      <wps:cNvSpPr/>
                      <wps:spPr>
                        <a:xfrm>
                          <a:off x="0" y="0"/>
                          <a:ext cx="708660" cy="939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ect w14:anchorId="284E5CCA" id="Rectangle 102" o:spid="_x0000_s1026" style="position:absolute;margin-left:0;margin-top:15.55pt;width:55.8pt;height:74pt;z-index:2516490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" filled="f" stroked="f" strokeweight="1pt">
                <w10:wrap type="square"/>
              </v:rect>
            </w:pict>
          </mc:Fallback>
        </mc:AlternateContent>
      </w:r>
    </w:p>
    <w:p w14:paraId="59CD69DD" w14:textId="60DEE17C" w:rsidR="00402C0F" w:rsidRDefault="00A17702" w:rsidP="00B602E2">
      <w:pPr>
        <w:tabs>
          <w:tab w:val="left" w:pos="1170"/>
        </w:tabs>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831742" behindDoc="0" locked="0" layoutInCell="1" allowOverlap="1" wp14:anchorId="21277677" wp14:editId="1267189A">
            <wp:simplePos x="0" y="0"/>
            <wp:positionH relativeFrom="column">
              <wp:posOffset>0</wp:posOffset>
            </wp:positionH>
            <wp:positionV relativeFrom="paragraph">
              <wp:posOffset>152400</wp:posOffset>
            </wp:positionV>
            <wp:extent cx="709200" cy="700925"/>
            <wp:effectExtent l="0" t="0" r="2540" b="0"/>
            <wp:wrapSquare wrapText="bothSides"/>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rotWithShape="1">
                    <a:blip r:embed="rId583" cstate="email">
                      <a:extLst>
                        <a:ext uri="{28A0092B-C50C-407E-A947-70E740481C1C}">
                          <a14:useLocalDpi xmlns:a14="http://schemas.microsoft.com/office/drawing/2010/main"/>
                        </a:ext>
                      </a:extLst>
                    </a:blip>
                    <a:srcRect/>
                    <a:stretch/>
                  </pic:blipFill>
                  <pic:spPr bwMode="auto">
                    <a:xfrm>
                      <a:off x="0" y="0"/>
                      <a:ext cx="709200" cy="70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2C0F" w:rsidRPr="00A638FC">
        <w:rPr>
          <w:rFonts w:ascii="Arial" w:hAnsi="Arial" w:cs="Arial"/>
          <w:sz w:val="24"/>
          <w:szCs w:val="24"/>
          <w:lang w:val="en-US"/>
        </w:rPr>
        <w:t>Define and clarify roles and responsibilities within the government sector, clearly assigning functions and mandates to avoid the potential overlap of functions between different levels of government and to avoid fiscal risks (factors that give rise to differences between a government‘s forecasts and the actual fiscal position) arising from the decentralization of government</w:t>
      </w:r>
      <w:r w:rsidR="00402C0F" w:rsidRPr="00A638FC">
        <w:rPr>
          <w:rFonts w:ascii="Arial" w:hAnsi="Arial" w:cs="Arial"/>
          <w:sz w:val="24"/>
          <w:szCs w:val="24"/>
        </w:rPr>
        <w:t xml:space="preserve">; </w:t>
      </w:r>
    </w:p>
    <w:p w14:paraId="386334CD" w14:textId="2C7F6680" w:rsidR="00402C0F" w:rsidRDefault="00B602E2" w:rsidP="002D14C0">
      <w:pPr>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832766" behindDoc="0" locked="0" layoutInCell="1" allowOverlap="1" wp14:anchorId="336BE9B3" wp14:editId="5F718BB9">
            <wp:simplePos x="0" y="0"/>
            <wp:positionH relativeFrom="column">
              <wp:posOffset>0</wp:posOffset>
            </wp:positionH>
            <wp:positionV relativeFrom="paragraph">
              <wp:posOffset>176530</wp:posOffset>
            </wp:positionV>
            <wp:extent cx="709200" cy="700925"/>
            <wp:effectExtent l="0" t="0" r="2540" b="0"/>
            <wp:wrapSquare wrapText="bothSides"/>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rotWithShape="1">
                    <a:blip r:embed="rId583" cstate="email">
                      <a:extLst>
                        <a:ext uri="{28A0092B-C50C-407E-A947-70E740481C1C}">
                          <a14:useLocalDpi xmlns:a14="http://schemas.microsoft.com/office/drawing/2010/main"/>
                        </a:ext>
                      </a:extLst>
                    </a:blip>
                    <a:srcRect/>
                    <a:stretch/>
                  </pic:blipFill>
                  <pic:spPr bwMode="auto">
                    <a:xfrm>
                      <a:off x="0" y="0"/>
                      <a:ext cx="709200" cy="70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F1C073" w14:textId="40DE5569" w:rsidR="00402C0F" w:rsidRPr="00C9279C" w:rsidRDefault="00402C0F" w:rsidP="002D14C0">
      <w:pPr>
        <w:spacing w:line="276" w:lineRule="auto"/>
        <w:contextualSpacing/>
        <w:jc w:val="both"/>
        <w:rPr>
          <w:rFonts w:ascii="Arial" w:hAnsi="Arial" w:cs="Arial"/>
          <w:sz w:val="12"/>
          <w:szCs w:val="12"/>
          <w:lang w:val="en-US"/>
        </w:rPr>
      </w:pPr>
    </w:p>
    <w:p w14:paraId="7270CD4C" w14:textId="77777777" w:rsidR="00402C0F" w:rsidRDefault="00402C0F" w:rsidP="002D14C0">
      <w:pPr>
        <w:spacing w:line="276" w:lineRule="auto"/>
        <w:contextualSpacing/>
        <w:jc w:val="both"/>
        <w:rPr>
          <w:rFonts w:ascii="Arial" w:hAnsi="Arial" w:cs="Arial"/>
          <w:sz w:val="24"/>
          <w:szCs w:val="24"/>
        </w:rPr>
      </w:pPr>
      <w:r w:rsidRPr="00A638FC">
        <w:rPr>
          <w:rFonts w:ascii="Arial" w:hAnsi="Arial" w:cs="Arial"/>
          <w:sz w:val="24"/>
          <w:szCs w:val="24"/>
          <w:lang w:val="en-US"/>
        </w:rPr>
        <w:t>Define and clarify the role of public corporations and their accountability to government; including to address the fiscal risks they may pose; and</w:t>
      </w:r>
      <w:r w:rsidRPr="00A638FC">
        <w:rPr>
          <w:rFonts w:ascii="Arial" w:hAnsi="Arial" w:cs="Arial"/>
          <w:sz w:val="24"/>
          <w:szCs w:val="24"/>
        </w:rPr>
        <w:t xml:space="preserve"> </w:t>
      </w:r>
    </w:p>
    <w:p w14:paraId="6C80CE6C" w14:textId="77777777" w:rsidR="00402C0F" w:rsidRDefault="00402C0F" w:rsidP="002D14C0">
      <w:pPr>
        <w:spacing w:line="276" w:lineRule="auto"/>
        <w:contextualSpacing/>
        <w:jc w:val="both"/>
        <w:rPr>
          <w:rFonts w:ascii="Arial" w:hAnsi="Arial" w:cs="Arial"/>
          <w:sz w:val="24"/>
          <w:szCs w:val="24"/>
        </w:rPr>
      </w:pPr>
    </w:p>
    <w:p w14:paraId="247C0224" w14:textId="77777777" w:rsidR="00402C0F" w:rsidRDefault="00402C0F" w:rsidP="002D14C0">
      <w:pPr>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833790" behindDoc="0" locked="0" layoutInCell="1" allowOverlap="1" wp14:anchorId="3D885E34" wp14:editId="5B7A9CE4">
            <wp:simplePos x="0" y="0"/>
            <wp:positionH relativeFrom="column">
              <wp:posOffset>0</wp:posOffset>
            </wp:positionH>
            <wp:positionV relativeFrom="paragraph">
              <wp:posOffset>139700</wp:posOffset>
            </wp:positionV>
            <wp:extent cx="709200" cy="700925"/>
            <wp:effectExtent l="0" t="0" r="2540" b="0"/>
            <wp:wrapSquare wrapText="bothSides"/>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rotWithShape="1">
                    <a:blip r:embed="rId583" cstate="email">
                      <a:extLst>
                        <a:ext uri="{28A0092B-C50C-407E-A947-70E740481C1C}">
                          <a14:useLocalDpi xmlns:a14="http://schemas.microsoft.com/office/drawing/2010/main"/>
                        </a:ext>
                      </a:extLst>
                    </a:blip>
                    <a:srcRect/>
                    <a:stretch/>
                  </pic:blipFill>
                  <pic:spPr bwMode="auto">
                    <a:xfrm>
                      <a:off x="0" y="0"/>
                      <a:ext cx="709200" cy="70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B12E7E" w14:textId="77777777" w:rsidR="00402C0F" w:rsidRPr="00C9279C" w:rsidRDefault="00402C0F" w:rsidP="002D14C0">
      <w:pPr>
        <w:spacing w:line="276" w:lineRule="auto"/>
        <w:contextualSpacing/>
        <w:jc w:val="both"/>
        <w:rPr>
          <w:rFonts w:ascii="Arial" w:hAnsi="Arial" w:cs="Arial"/>
          <w:sz w:val="10"/>
          <w:szCs w:val="10"/>
        </w:rPr>
      </w:pPr>
    </w:p>
    <w:p w14:paraId="095177C3" w14:textId="77777777" w:rsidR="00402C0F" w:rsidRPr="00A638FC" w:rsidRDefault="00402C0F" w:rsidP="002D14C0">
      <w:pPr>
        <w:spacing w:line="276" w:lineRule="auto"/>
        <w:contextualSpacing/>
        <w:jc w:val="both"/>
        <w:rPr>
          <w:rFonts w:ascii="Arial" w:hAnsi="Arial" w:cs="Arial"/>
          <w:sz w:val="24"/>
          <w:szCs w:val="24"/>
        </w:rPr>
      </w:pPr>
      <w:r w:rsidRPr="00A638FC">
        <w:rPr>
          <w:rFonts w:ascii="Arial" w:hAnsi="Arial" w:cs="Arial"/>
          <w:sz w:val="24"/>
          <w:szCs w:val="24"/>
        </w:rPr>
        <w:t xml:space="preserve">Define and clarify government’s relationship with the private sector. </w:t>
      </w:r>
    </w:p>
    <w:p w14:paraId="156C1B1B" w14:textId="77777777" w:rsidR="00402C0F" w:rsidRPr="00A638FC" w:rsidRDefault="00402C0F" w:rsidP="002D14C0">
      <w:pPr>
        <w:spacing w:line="276" w:lineRule="auto"/>
        <w:contextualSpacing/>
        <w:jc w:val="both"/>
        <w:rPr>
          <w:rFonts w:ascii="Arial" w:hAnsi="Arial" w:cs="Arial"/>
          <w:sz w:val="24"/>
          <w:szCs w:val="24"/>
        </w:rPr>
      </w:pPr>
      <w:r w:rsidRPr="00A638FC">
        <w:rPr>
          <w:rFonts w:ascii="Arial" w:hAnsi="Arial" w:cs="Arial"/>
          <w:sz w:val="24"/>
          <w:szCs w:val="24"/>
        </w:rPr>
        <w:t>Each of these areas is discussed below.</w:t>
      </w:r>
    </w:p>
    <w:p w14:paraId="6F58952D" w14:textId="0F30C59F" w:rsidR="00402C0F" w:rsidRDefault="00402C0F" w:rsidP="002D14C0">
      <w:pPr>
        <w:spacing w:line="276" w:lineRule="auto"/>
        <w:rPr>
          <w:rFonts w:ascii="Arial" w:hAnsi="Arial" w:cs="Arial"/>
          <w:sz w:val="24"/>
          <w:szCs w:val="24"/>
          <w:lang w:val="en-US"/>
        </w:rPr>
      </w:pPr>
    </w:p>
    <w:p w14:paraId="345FCC4B" w14:textId="1CA0CEC2" w:rsidR="00402C0F" w:rsidRDefault="00402C0F" w:rsidP="002D14C0">
      <w:pPr>
        <w:spacing w:line="276" w:lineRule="auto"/>
        <w:rPr>
          <w:rFonts w:ascii="Arial" w:hAnsi="Arial" w:cs="Arial"/>
          <w:sz w:val="24"/>
          <w:szCs w:val="24"/>
          <w:lang w:val="en-US"/>
        </w:rPr>
      </w:pPr>
    </w:p>
    <w:p w14:paraId="6028AADD" w14:textId="132FB794" w:rsidR="00EB25BE" w:rsidRDefault="00EB25BE" w:rsidP="002D14C0">
      <w:pPr>
        <w:spacing w:line="276" w:lineRule="auto"/>
        <w:rPr>
          <w:rFonts w:ascii="Arial" w:hAnsi="Arial" w:cs="Arial"/>
          <w:sz w:val="24"/>
          <w:szCs w:val="24"/>
          <w:lang w:val="en-US"/>
        </w:rPr>
      </w:pPr>
    </w:p>
    <w:p w14:paraId="28A273B2" w14:textId="316BA1A1" w:rsidR="00EB25BE" w:rsidRDefault="00EB25BE" w:rsidP="002D14C0">
      <w:pPr>
        <w:spacing w:line="276" w:lineRule="auto"/>
        <w:rPr>
          <w:rFonts w:ascii="Arial" w:hAnsi="Arial" w:cs="Arial"/>
          <w:sz w:val="24"/>
          <w:szCs w:val="24"/>
          <w:lang w:val="en-US"/>
        </w:rPr>
      </w:pPr>
    </w:p>
    <w:p w14:paraId="092463DA" w14:textId="71D7BB85" w:rsidR="00EB25BE" w:rsidRDefault="00EB25BE" w:rsidP="002D14C0">
      <w:pPr>
        <w:spacing w:line="276" w:lineRule="auto"/>
        <w:rPr>
          <w:rFonts w:ascii="Arial" w:hAnsi="Arial" w:cs="Arial"/>
          <w:sz w:val="24"/>
          <w:szCs w:val="24"/>
          <w:lang w:val="en-US"/>
        </w:rPr>
      </w:pPr>
    </w:p>
    <w:p w14:paraId="7C41CA55" w14:textId="2B1E8D0E" w:rsidR="00EB25BE" w:rsidRDefault="00EB25BE" w:rsidP="002D14C0">
      <w:pPr>
        <w:spacing w:line="276" w:lineRule="auto"/>
        <w:rPr>
          <w:rFonts w:ascii="Arial" w:hAnsi="Arial" w:cs="Arial"/>
          <w:sz w:val="24"/>
          <w:szCs w:val="24"/>
          <w:lang w:val="en-US"/>
        </w:rPr>
      </w:pPr>
    </w:p>
    <w:p w14:paraId="4E161DEA" w14:textId="1685A951" w:rsidR="00EB25BE" w:rsidRDefault="00EB25BE" w:rsidP="002D14C0">
      <w:pPr>
        <w:spacing w:line="276" w:lineRule="auto"/>
        <w:rPr>
          <w:rFonts w:ascii="Arial" w:hAnsi="Arial" w:cs="Arial"/>
          <w:sz w:val="24"/>
          <w:szCs w:val="24"/>
          <w:lang w:val="en-US"/>
        </w:rPr>
      </w:pPr>
    </w:p>
    <w:p w14:paraId="20BD3430" w14:textId="77777777" w:rsidR="00EB25BE" w:rsidRPr="00A638FC" w:rsidRDefault="00EB25BE" w:rsidP="002D14C0">
      <w:pPr>
        <w:spacing w:line="276" w:lineRule="auto"/>
        <w:rPr>
          <w:rFonts w:ascii="Arial" w:hAnsi="Arial" w:cs="Arial"/>
          <w:sz w:val="24"/>
          <w:szCs w:val="24"/>
          <w:lang w:val="en-US"/>
        </w:rPr>
      </w:pPr>
    </w:p>
    <w:p w14:paraId="5A2D3748" w14:textId="622D87F0" w:rsidR="00402C0F" w:rsidRPr="00EA1D58" w:rsidRDefault="00402C0F" w:rsidP="002D14C0">
      <w:pPr>
        <w:pStyle w:val="Heading3"/>
        <w:rPr>
          <w:rFonts w:ascii="Arial" w:hAnsi="Arial" w:cs="Arial"/>
          <w:b/>
          <w:bCs/>
          <w:color w:val="16988A"/>
          <w:sz w:val="32"/>
          <w:szCs w:val="32"/>
        </w:rPr>
      </w:pPr>
      <w:bookmarkStart w:id="1385" w:name="_Toc123204485"/>
      <w:bookmarkStart w:id="1386" w:name="_Toc123216583"/>
      <w:bookmarkStart w:id="1387" w:name="_Toc123217423"/>
      <w:bookmarkStart w:id="1388" w:name="_Toc123913386"/>
      <w:bookmarkStart w:id="1389" w:name="_Toc123914042"/>
      <w:bookmarkStart w:id="1390" w:name="_Toc125566656"/>
      <w:r w:rsidRPr="00EA1D58">
        <w:rPr>
          <w:rFonts w:ascii="Arial" w:hAnsi="Arial" w:cs="Arial"/>
          <w:b/>
          <w:bCs/>
          <w:color w:val="16988A"/>
          <w:sz w:val="32"/>
          <w:szCs w:val="32"/>
        </w:rPr>
        <w:lastRenderedPageBreak/>
        <w:t xml:space="preserve">Roles </w:t>
      </w:r>
      <w:r w:rsidR="00A73BBD" w:rsidRPr="00EA1D58">
        <w:rPr>
          <w:rFonts w:ascii="Arial" w:hAnsi="Arial" w:cs="Arial"/>
          <w:b/>
          <w:bCs/>
          <w:color w:val="16988A"/>
          <w:sz w:val="32"/>
          <w:szCs w:val="32"/>
        </w:rPr>
        <w:t>of the 3 branches of government</w:t>
      </w:r>
      <w:bookmarkEnd w:id="1385"/>
      <w:bookmarkEnd w:id="1386"/>
      <w:bookmarkEnd w:id="1387"/>
      <w:bookmarkEnd w:id="1388"/>
      <w:bookmarkEnd w:id="1389"/>
      <w:bookmarkEnd w:id="1390"/>
      <w:r w:rsidR="00A73BBD" w:rsidRPr="00EA1D58">
        <w:rPr>
          <w:rFonts w:ascii="Arial" w:hAnsi="Arial" w:cs="Arial"/>
          <w:b/>
          <w:bCs/>
          <w:color w:val="16988A"/>
          <w:sz w:val="32"/>
          <w:szCs w:val="32"/>
        </w:rPr>
        <w:t xml:space="preserve"> </w:t>
      </w:r>
    </w:p>
    <w:p w14:paraId="13AE9D6D" w14:textId="77777777" w:rsidR="00402C0F" w:rsidRDefault="00402C0F" w:rsidP="002D14C0"/>
    <w:p w14:paraId="2CDA1107" w14:textId="046FBB31" w:rsidR="00402C0F" w:rsidRPr="00A638FC" w:rsidRDefault="00A17702" w:rsidP="002D14C0">
      <w:pPr>
        <w:spacing w:line="276" w:lineRule="auto"/>
        <w:rPr>
          <w:rFonts w:ascii="Arial" w:hAnsi="Arial" w:cs="Arial"/>
          <w:sz w:val="24"/>
          <w:szCs w:val="24"/>
          <w:lang w:val="en-US"/>
        </w:rPr>
      </w:pPr>
      <w:r w:rsidRPr="009E337A">
        <w:rPr>
          <w:rFonts w:ascii="Arial" w:hAnsi="Arial" w:cs="Arial"/>
          <w:b/>
          <w:bCs/>
          <w:noProof/>
          <w:color w:val="F26D24"/>
          <w:sz w:val="32"/>
          <w:szCs w:val="32"/>
          <w:lang w:val="en-US"/>
        </w:rPr>
        <w:drawing>
          <wp:anchor distT="0" distB="0" distL="114300" distR="114300" simplePos="0" relativeHeight="253950974" behindDoc="1" locked="0" layoutInCell="1" allowOverlap="1" wp14:anchorId="1A1AF4A6" wp14:editId="0440B258">
            <wp:simplePos x="0" y="0"/>
            <wp:positionH relativeFrom="margin">
              <wp:align>center</wp:align>
            </wp:positionH>
            <wp:positionV relativeFrom="paragraph">
              <wp:posOffset>-635</wp:posOffset>
            </wp:positionV>
            <wp:extent cx="6816725" cy="190627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502" cstate="email">
                      <a:extLst>
                        <a:ext uri="{28A0092B-C50C-407E-A947-70E740481C1C}">
                          <a14:useLocalDpi xmlns:a14="http://schemas.microsoft.com/office/drawing/2010/main"/>
                        </a:ext>
                      </a:extLst>
                    </a:blip>
                    <a:srcRect/>
                    <a:stretch/>
                  </pic:blipFill>
                  <pic:spPr bwMode="auto">
                    <a:xfrm>
                      <a:off x="0" y="0"/>
                      <a:ext cx="6816725" cy="190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2C0F">
        <w:rPr>
          <w:rFonts w:ascii="Arial" w:hAnsi="Arial" w:cs="Arial"/>
          <w:noProof/>
          <w:sz w:val="24"/>
          <w:szCs w:val="24"/>
          <w:lang w:val="en-US"/>
        </w:rPr>
        <mc:AlternateContent>
          <mc:Choice Requires="wps">
            <w:drawing>
              <wp:anchor distT="0" distB="0" distL="114300" distR="114300" simplePos="0" relativeHeight="252835838" behindDoc="0" locked="0" layoutInCell="1" allowOverlap="1" wp14:anchorId="37AE369E" wp14:editId="0C755270">
                <wp:simplePos x="0" y="0"/>
                <wp:positionH relativeFrom="margin">
                  <wp:align>center</wp:align>
                </wp:positionH>
                <wp:positionV relativeFrom="paragraph">
                  <wp:posOffset>1639570</wp:posOffset>
                </wp:positionV>
                <wp:extent cx="6638400" cy="594360"/>
                <wp:effectExtent l="0" t="0" r="3810" b="2540"/>
                <wp:wrapNone/>
                <wp:docPr id="606" name="Rectangle 606"/>
                <wp:cNvGraphicFramePr/>
                <a:graphic xmlns:a="http://schemas.openxmlformats.org/drawingml/2006/main">
                  <a:graphicData uri="http://schemas.microsoft.com/office/word/2010/wordprocessingShape">
                    <wps:wsp>
                      <wps:cNvSpPr/>
                      <wps:spPr>
                        <a:xfrm>
                          <a:off x="0" y="0"/>
                          <a:ext cx="6638400" cy="594360"/>
                        </a:xfrm>
                        <a:prstGeom prst="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ect w14:anchorId="75DD04DA" id="Rectangle 606" o:spid="_x0000_s1026" style="position:absolute;margin-left:0;margin-top:129.1pt;width:522.7pt;height:46.8pt;z-index:25283583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" fillcolor="#69557f" stroked="f" strokeweight="1pt">
                <w10:wrap anchorx="margin"/>
              </v:rect>
            </w:pict>
          </mc:Fallback>
        </mc:AlternateContent>
      </w:r>
    </w:p>
    <w:p w14:paraId="44CBF663" w14:textId="77777777" w:rsidR="00402C0F" w:rsidRPr="00D22EA9" w:rsidRDefault="00402C0F" w:rsidP="002D14C0">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2836862" behindDoc="1" locked="0" layoutInCell="1" allowOverlap="1" wp14:anchorId="020BA959" wp14:editId="146C7ACD">
            <wp:simplePos x="0" y="0"/>
            <wp:positionH relativeFrom="column">
              <wp:posOffset>1346200</wp:posOffset>
            </wp:positionH>
            <wp:positionV relativeFrom="paragraph">
              <wp:posOffset>196215</wp:posOffset>
            </wp:positionV>
            <wp:extent cx="3261600" cy="652320"/>
            <wp:effectExtent l="0" t="0" r="0" b="0"/>
            <wp:wrapTight wrapText="bothSides">
              <wp:wrapPolygon edited="0">
                <wp:start x="1514" y="1683"/>
                <wp:lineTo x="1009" y="3786"/>
                <wp:lineTo x="336" y="7992"/>
                <wp:lineTo x="336" y="10095"/>
                <wp:lineTo x="673" y="15984"/>
                <wp:lineTo x="1430" y="18508"/>
                <wp:lineTo x="1514" y="19350"/>
                <wp:lineTo x="20692" y="19350"/>
                <wp:lineTo x="20776" y="18508"/>
                <wp:lineTo x="21112" y="15984"/>
                <wp:lineTo x="21364" y="2944"/>
                <wp:lineTo x="19682" y="2524"/>
                <wp:lineTo x="2860" y="1683"/>
                <wp:lineTo x="1514" y="1683"/>
              </wp:wrapPolygon>
            </wp:wrapTight>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584" cstate="email">
                      <a:extLst>
                        <a:ext uri="{28A0092B-C50C-407E-A947-70E740481C1C}">
                          <a14:useLocalDpi xmlns:a14="http://schemas.microsoft.com/office/drawing/2010/main"/>
                        </a:ext>
                      </a:extLst>
                    </a:blip>
                    <a:stretch>
                      <a:fillRect/>
                    </a:stretch>
                  </pic:blipFill>
                  <pic:spPr>
                    <a:xfrm>
                      <a:off x="0" y="0"/>
                      <a:ext cx="3261600" cy="652320"/>
                    </a:xfrm>
                    <a:prstGeom prst="rect">
                      <a:avLst/>
                    </a:prstGeom>
                  </pic:spPr>
                </pic:pic>
              </a:graphicData>
            </a:graphic>
            <wp14:sizeRelH relativeFrom="page">
              <wp14:pctWidth>0</wp14:pctWidth>
            </wp14:sizeRelH>
            <wp14:sizeRelV relativeFrom="page">
              <wp14:pctHeight>0</wp14:pctHeight>
            </wp14:sizeRelV>
          </wp:anchor>
        </w:drawing>
      </w:r>
    </w:p>
    <w:p w14:paraId="5FB7FA52" w14:textId="77777777" w:rsidR="00402C0F" w:rsidRPr="000414AA" w:rsidRDefault="00402C0F" w:rsidP="002D14C0">
      <w:pPr>
        <w:jc w:val="both"/>
      </w:pPr>
    </w:p>
    <w:p w14:paraId="300B0B22" w14:textId="77777777" w:rsidR="00402C0F" w:rsidRDefault="00402C0F" w:rsidP="002D14C0">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837886" behindDoc="0" locked="0" layoutInCell="1" allowOverlap="1" wp14:anchorId="20AFB82F" wp14:editId="1039A5EA">
                <wp:simplePos x="0" y="0"/>
                <wp:positionH relativeFrom="margin">
                  <wp:align>center</wp:align>
                </wp:positionH>
                <wp:positionV relativeFrom="paragraph">
                  <wp:posOffset>474345</wp:posOffset>
                </wp:positionV>
                <wp:extent cx="6366510" cy="1102658"/>
                <wp:effectExtent l="0" t="0" r="0" b="0"/>
                <wp:wrapNone/>
                <wp:docPr id="609" name="Text Box 609"/>
                <wp:cNvGraphicFramePr/>
                <a:graphic xmlns:a="http://schemas.openxmlformats.org/drawingml/2006/main">
                  <a:graphicData uri="http://schemas.microsoft.com/office/word/2010/wordprocessingShape">
                    <wps:wsp>
                      <wps:cNvSpPr txBox="1"/>
                      <wps:spPr>
                        <a:xfrm>
                          <a:off x="0" y="0"/>
                          <a:ext cx="6366510" cy="1102658"/>
                        </a:xfrm>
                        <a:prstGeom prst="rect">
                          <a:avLst/>
                        </a:prstGeom>
                        <a:noFill/>
                        <a:ln w="6350">
                          <a:noFill/>
                        </a:ln>
                      </wps:spPr>
                      <wps:txbx>
                        <w:txbxContent>
                          <w:p w14:paraId="0C8E2C01" w14:textId="77777777" w:rsidR="00D15FD8" w:rsidRPr="009C5AE5" w:rsidRDefault="00D15FD8" w:rsidP="00BD6508">
                            <w:pPr>
                              <w:spacing w:line="276" w:lineRule="auto"/>
                              <w:jc w:val="both"/>
                              <w:rPr>
                                <w:rFonts w:ascii="Arial" w:hAnsi="Arial" w:cs="Arial"/>
                                <w:iCs/>
                                <w:color w:val="FFFFFF" w:themeColor="background1"/>
                                <w:sz w:val="24"/>
                                <w:szCs w:val="24"/>
                              </w:rPr>
                            </w:pPr>
                            <w:r w:rsidRPr="0001300D">
                              <w:rPr>
                                <w:rFonts w:ascii="Arial" w:eastAsia="Calibri" w:hAnsi="Arial" w:cs="Arial"/>
                                <w:iCs/>
                                <w:color w:val="FFFFFF" w:themeColor="background1"/>
                                <w:sz w:val="24"/>
                                <w:szCs w:val="24"/>
                              </w:rPr>
                              <w:t>Roles and responsibilities for raising revenues, incurring liabilities, consuming resources, investing, and managing public resources should be clearly assigned in legislation between the three branches of government (the legislature, the executive and the judiciary), between national and each sub-national level of government, between the government sector and the rest of the public sector, and within the government sector itself.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AFB82F" id="Text Box 609" o:spid="_x0000_s1330" type="#_x0000_t202" style="position:absolute;margin-left:0;margin-top:37.35pt;width:501.3pt;height:86.8pt;z-index:25283788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" filled="f" stroked="f" strokeweight=".5pt">
                <v:textbox>
                  <w:txbxContent>
                    <w:p w14:paraId="0C8E2C01" w14:textId="77777777" w:rsidR="00D15FD8" w:rsidRPr="009C5AE5" w:rsidRDefault="00D15FD8" w:rsidP="00BD6508">
                      <w:pPr>
                        <w:spacing w:line="276" w:lineRule="auto"/>
                        <w:jc w:val="both"/>
                        <w:rPr>
                          <w:rFonts w:ascii="Arial" w:hAnsi="Arial" w:cs="Arial"/>
                          <w:iCs/>
                          <w:color w:val="FFFFFF" w:themeColor="background1"/>
                          <w:sz w:val="24"/>
                          <w:szCs w:val="24"/>
                        </w:rPr>
                      </w:pPr>
                      <w:r w:rsidRPr="0001300D">
                        <w:rPr>
                          <w:rFonts w:ascii="Arial" w:eastAsia="Calibri" w:hAnsi="Arial" w:cs="Arial"/>
                          <w:iCs/>
                          <w:color w:val="FFFFFF" w:themeColor="background1"/>
                          <w:sz w:val="24"/>
                          <w:szCs w:val="24"/>
                        </w:rPr>
                        <w:t>Roles and responsibilities for raising revenues, incurring liabilities, consuming resources, investing, and managing public resources should be clearly assigned in legislation between the three branches of government (the legislature, the executive and the judiciary), between national and each sub-national level of government, between the government sector and the rest of the public sector, and within the government sector itself.</w:t>
                      </w:r>
                    </w:p>
                  </w:txbxContent>
                </v:textbox>
                <w10:wrap anchorx="margin"/>
              </v:shape>
            </w:pict>
          </mc:Fallback>
        </mc:AlternateContent>
      </w:r>
    </w:p>
    <w:p w14:paraId="32B6EE0B" w14:textId="77777777" w:rsidR="00402C0F" w:rsidRPr="001F0EE8" w:rsidRDefault="00402C0F" w:rsidP="002D14C0">
      <w:pPr>
        <w:rPr>
          <w:rFonts w:ascii="Arial" w:hAnsi="Arial" w:cs="Arial"/>
          <w:sz w:val="24"/>
          <w:szCs w:val="24"/>
        </w:rPr>
      </w:pPr>
    </w:p>
    <w:p w14:paraId="2ED6FBE8" w14:textId="77777777" w:rsidR="00402C0F" w:rsidRPr="001F0EE8" w:rsidRDefault="00402C0F" w:rsidP="002D14C0">
      <w:pPr>
        <w:rPr>
          <w:rFonts w:ascii="Arial" w:hAnsi="Arial" w:cs="Arial"/>
          <w:sz w:val="24"/>
          <w:szCs w:val="24"/>
        </w:rPr>
      </w:pPr>
    </w:p>
    <w:p w14:paraId="088AB9F1" w14:textId="77777777" w:rsidR="00402C0F" w:rsidRPr="001F0EE8" w:rsidRDefault="00402C0F" w:rsidP="002D14C0">
      <w:pPr>
        <w:rPr>
          <w:rFonts w:ascii="Arial" w:hAnsi="Arial" w:cs="Arial"/>
          <w:sz w:val="24"/>
          <w:szCs w:val="24"/>
        </w:rPr>
      </w:pPr>
    </w:p>
    <w:p w14:paraId="4D0C110A" w14:textId="77777777" w:rsidR="00402C0F" w:rsidRPr="001F0EE8" w:rsidRDefault="00402C0F" w:rsidP="002D14C0">
      <w:pPr>
        <w:rPr>
          <w:rFonts w:ascii="Arial" w:hAnsi="Arial" w:cs="Arial"/>
          <w:sz w:val="24"/>
          <w:szCs w:val="24"/>
        </w:rPr>
      </w:pPr>
    </w:p>
    <w:p w14:paraId="62F69934" w14:textId="77777777" w:rsidR="00402C0F" w:rsidRPr="001F0EE8" w:rsidRDefault="00402C0F" w:rsidP="002D14C0">
      <w:pPr>
        <w:rPr>
          <w:rFonts w:ascii="Arial" w:hAnsi="Arial" w:cs="Arial"/>
          <w:sz w:val="24"/>
          <w:szCs w:val="24"/>
        </w:rPr>
      </w:pPr>
    </w:p>
    <w:p w14:paraId="2960414D" w14:textId="77777777" w:rsidR="00402C0F" w:rsidRPr="001F0EE8" w:rsidRDefault="00402C0F" w:rsidP="002D14C0">
      <w:pPr>
        <w:rPr>
          <w:rFonts w:ascii="Arial" w:hAnsi="Arial" w:cs="Arial"/>
          <w:sz w:val="24"/>
          <w:szCs w:val="24"/>
        </w:rPr>
      </w:pPr>
    </w:p>
    <w:p w14:paraId="4721707D" w14:textId="77777777" w:rsidR="00B602E2" w:rsidRDefault="00B602E2" w:rsidP="002D14C0">
      <w:pPr>
        <w:rPr>
          <w:rFonts w:ascii="Arial" w:hAnsi="Arial" w:cs="Arial"/>
          <w:sz w:val="24"/>
          <w:szCs w:val="24"/>
        </w:rPr>
      </w:pPr>
    </w:p>
    <w:p w14:paraId="59786560" w14:textId="50A72CA4" w:rsidR="00402C0F" w:rsidRDefault="00BE33F6" w:rsidP="00BE33F6">
      <w:pPr>
        <w:tabs>
          <w:tab w:val="right" w:pos="5915"/>
        </w:tabs>
        <w:rPr>
          <w:rFonts w:ascii="Arial" w:hAnsi="Arial" w:cs="Arial"/>
          <w:sz w:val="24"/>
          <w:szCs w:val="24"/>
        </w:rPr>
      </w:pPr>
      <w:r>
        <w:rPr>
          <w:rFonts w:ascii="Arial" w:hAnsi="Arial" w:cs="Arial"/>
          <w:sz w:val="24"/>
          <w:szCs w:val="24"/>
        </w:rPr>
        <w:tab/>
      </w:r>
    </w:p>
    <w:p w14:paraId="4F35907C" w14:textId="77777777" w:rsidR="00BE33F6" w:rsidRDefault="00BE33F6" w:rsidP="002D14C0">
      <w:pPr>
        <w:spacing w:line="276" w:lineRule="auto"/>
        <w:rPr>
          <w:rFonts w:ascii="Arial" w:hAnsi="Arial" w:cs="Arial"/>
          <w:sz w:val="24"/>
          <w:szCs w:val="24"/>
        </w:rPr>
      </w:pPr>
    </w:p>
    <w:p w14:paraId="7AD5F49B" w14:textId="5EFEDB7A" w:rsidR="00402C0F" w:rsidRDefault="00BE33F6" w:rsidP="002D14C0">
      <w:pPr>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841982" behindDoc="1" locked="0" layoutInCell="1" allowOverlap="1" wp14:anchorId="7B3E8DEB" wp14:editId="6B964FF5">
            <wp:simplePos x="0" y="0"/>
            <wp:positionH relativeFrom="margin">
              <wp:posOffset>0</wp:posOffset>
            </wp:positionH>
            <wp:positionV relativeFrom="paragraph">
              <wp:posOffset>133350</wp:posOffset>
            </wp:positionV>
            <wp:extent cx="2872740" cy="685800"/>
            <wp:effectExtent l="0" t="0" r="0" b="0"/>
            <wp:wrapTight wrapText="bothSides">
              <wp:wrapPolygon edited="0">
                <wp:start x="0" y="400"/>
                <wp:lineTo x="0" y="16400"/>
                <wp:lineTo x="286" y="20400"/>
                <wp:lineTo x="668" y="21200"/>
                <wp:lineTo x="21199" y="21200"/>
                <wp:lineTo x="21390" y="20400"/>
                <wp:lineTo x="21390" y="5200"/>
                <wp:lineTo x="20817" y="400"/>
                <wp:lineTo x="0" y="400"/>
              </wp:wrapPolygon>
            </wp:wrapTight>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icture 618"/>
                    <pic:cNvPicPr/>
                  </pic:nvPicPr>
                  <pic:blipFill rotWithShape="1">
                    <a:blip r:embed="rId585" cstate="email">
                      <a:extLst>
                        <a:ext uri="{28A0092B-C50C-407E-A947-70E740481C1C}">
                          <a14:useLocalDpi xmlns:a14="http://schemas.microsoft.com/office/drawing/2010/main"/>
                        </a:ext>
                      </a:extLst>
                    </a:blip>
                    <a:srcRect/>
                    <a:stretch/>
                  </pic:blipFill>
                  <pic:spPr bwMode="auto">
                    <a:xfrm>
                      <a:off x="0" y="0"/>
                      <a:ext cx="2872740"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15CB40" w14:textId="7236B1E8" w:rsidR="00402C0F" w:rsidRDefault="00BE33F6" w:rsidP="002D14C0">
      <w:pPr>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843006" behindDoc="0" locked="0" layoutInCell="1" allowOverlap="1" wp14:anchorId="0E9EB663" wp14:editId="1043F593">
                <wp:simplePos x="0" y="0"/>
                <wp:positionH relativeFrom="column">
                  <wp:posOffset>63500</wp:posOffset>
                </wp:positionH>
                <wp:positionV relativeFrom="paragraph">
                  <wp:posOffset>57150</wp:posOffset>
                </wp:positionV>
                <wp:extent cx="2628900" cy="393700"/>
                <wp:effectExtent l="0" t="0" r="0" b="0"/>
                <wp:wrapNone/>
                <wp:docPr id="619" name="Text Box 619"/>
                <wp:cNvGraphicFramePr/>
                <a:graphic xmlns:a="http://schemas.openxmlformats.org/drawingml/2006/main">
                  <a:graphicData uri="http://schemas.microsoft.com/office/word/2010/wordprocessingShape">
                    <wps:wsp>
                      <wps:cNvSpPr txBox="1"/>
                      <wps:spPr>
                        <a:xfrm>
                          <a:off x="0" y="0"/>
                          <a:ext cx="2628900" cy="393700"/>
                        </a:xfrm>
                        <a:prstGeom prst="rect">
                          <a:avLst/>
                        </a:prstGeom>
                        <a:noFill/>
                        <a:ln w="6350">
                          <a:noFill/>
                        </a:ln>
                      </wps:spPr>
                      <wps:txbx>
                        <w:txbxContent>
                          <w:p w14:paraId="453ADC6F" w14:textId="77777777" w:rsidR="00D15FD8" w:rsidRPr="00BE33F6" w:rsidRDefault="00D15FD8" w:rsidP="001B0B3C">
                            <w:pPr>
                              <w:jc w:val="center"/>
                              <w:rPr>
                                <w:rFonts w:ascii="Arial" w:hAnsi="Arial" w:cs="Arial"/>
                                <w:b/>
                                <w:bCs/>
                                <w:color w:val="FFFFFF" w:themeColor="background1"/>
                                <w:sz w:val="32"/>
                                <w:szCs w:val="32"/>
                                <w:lang w:val="en-US"/>
                              </w:rPr>
                            </w:pPr>
                            <w:r w:rsidRPr="00BE33F6">
                              <w:rPr>
                                <w:rFonts w:ascii="Arial" w:hAnsi="Arial" w:cs="Arial"/>
                                <w:b/>
                                <w:bCs/>
                                <w:color w:val="FFFFFF" w:themeColor="background1"/>
                                <w:sz w:val="32"/>
                                <w:szCs w:val="32"/>
                                <w:lang w:val="en-US"/>
                              </w:rPr>
                              <w:t>Legislature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EB663" id="Text Box 619" o:spid="_x0000_s1331" type="#_x0000_t202" style="position:absolute;margin-left:5pt;margin-top:4.5pt;width:207pt;height:31pt;z-index:252843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" filled="f" stroked="f" strokeweight=".5pt">
                <v:textbox>
                  <w:txbxContent>
                    <w:p w14:paraId="453ADC6F" w14:textId="77777777" w:rsidR="00D15FD8" w:rsidRPr="00BE33F6" w:rsidRDefault="00D15FD8" w:rsidP="001B0B3C">
                      <w:pPr>
                        <w:jc w:val="center"/>
                        <w:rPr>
                          <w:rFonts w:ascii="Arial" w:hAnsi="Arial" w:cs="Arial"/>
                          <w:b/>
                          <w:bCs/>
                          <w:color w:val="FFFFFF" w:themeColor="background1"/>
                          <w:sz w:val="32"/>
                          <w:szCs w:val="32"/>
                          <w:lang w:val="en-US"/>
                        </w:rPr>
                      </w:pPr>
                      <w:r w:rsidRPr="00BE33F6">
                        <w:rPr>
                          <w:rFonts w:ascii="Arial" w:hAnsi="Arial" w:cs="Arial"/>
                          <w:b/>
                          <w:bCs/>
                          <w:color w:val="FFFFFF" w:themeColor="background1"/>
                          <w:sz w:val="32"/>
                          <w:szCs w:val="32"/>
                          <w:lang w:val="en-US"/>
                        </w:rPr>
                        <w:t>Legislature</w:t>
                      </w:r>
                    </w:p>
                  </w:txbxContent>
                </v:textbox>
              </v:shape>
            </w:pict>
          </mc:Fallback>
        </mc:AlternateContent>
      </w:r>
    </w:p>
    <w:p w14:paraId="26C9B730" w14:textId="77777777" w:rsidR="00BE33F6" w:rsidRPr="001F0EE8" w:rsidRDefault="00BE33F6" w:rsidP="002D14C0">
      <w:pPr>
        <w:spacing w:line="276" w:lineRule="auto"/>
        <w:rPr>
          <w:rFonts w:ascii="Arial" w:hAnsi="Arial" w:cs="Arial"/>
          <w:sz w:val="24"/>
          <w:szCs w:val="24"/>
        </w:rPr>
      </w:pPr>
    </w:p>
    <w:p w14:paraId="48235AA6" w14:textId="77777777" w:rsidR="00402C0F" w:rsidRDefault="00402C0F" w:rsidP="002D14C0">
      <w:pPr>
        <w:spacing w:line="276" w:lineRule="auto"/>
        <w:contextualSpacing/>
        <w:jc w:val="both"/>
        <w:rPr>
          <w:rFonts w:ascii="Arial" w:hAnsi="Arial" w:cs="Arial"/>
          <w:sz w:val="24"/>
          <w:szCs w:val="24"/>
        </w:rPr>
      </w:pPr>
    </w:p>
    <w:p w14:paraId="0F596AA6" w14:textId="77777777" w:rsidR="00402C0F" w:rsidRDefault="00402C0F" w:rsidP="002D14C0">
      <w:pPr>
        <w:spacing w:line="276" w:lineRule="auto"/>
        <w:contextualSpacing/>
        <w:jc w:val="both"/>
        <w:rPr>
          <w:rFonts w:ascii="Arial" w:hAnsi="Arial" w:cs="Arial"/>
          <w:sz w:val="24"/>
          <w:szCs w:val="24"/>
        </w:rPr>
      </w:pPr>
    </w:p>
    <w:p w14:paraId="745D1BB2" w14:textId="196AEEC2" w:rsidR="00402C0F" w:rsidRDefault="00402C0F" w:rsidP="002D14C0">
      <w:pPr>
        <w:spacing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2838910" behindDoc="0" locked="0" layoutInCell="1" allowOverlap="1" wp14:anchorId="47F8554E" wp14:editId="1CED7571">
            <wp:simplePos x="0" y="0"/>
            <wp:positionH relativeFrom="column">
              <wp:posOffset>165100</wp:posOffset>
            </wp:positionH>
            <wp:positionV relativeFrom="paragraph">
              <wp:posOffset>20955</wp:posOffset>
            </wp:positionV>
            <wp:extent cx="1066800" cy="1236980"/>
            <wp:effectExtent l="0" t="0" r="0" b="0"/>
            <wp:wrapSquare wrapText="bothSides"/>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pic:cNvPicPr/>
                  </pic:nvPicPr>
                  <pic:blipFill rotWithShape="1">
                    <a:blip r:embed="rId586" cstate="email">
                      <a:extLst>
                        <a:ext uri="{28A0092B-C50C-407E-A947-70E740481C1C}">
                          <a14:useLocalDpi xmlns:a14="http://schemas.microsoft.com/office/drawing/2010/main"/>
                        </a:ext>
                      </a:extLst>
                    </a:blip>
                    <a:srcRect/>
                    <a:stretch/>
                  </pic:blipFill>
                  <pic:spPr bwMode="auto">
                    <a:xfrm>
                      <a:off x="0" y="0"/>
                      <a:ext cx="1066800" cy="1236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0EE8">
        <w:rPr>
          <w:rFonts w:ascii="Arial" w:hAnsi="Arial" w:cs="Arial"/>
          <w:sz w:val="24"/>
          <w:szCs w:val="24"/>
        </w:rPr>
        <w:t xml:space="preserve">As detailed in the previous module, the </w:t>
      </w:r>
      <w:r w:rsidRPr="001F0EE8">
        <w:rPr>
          <w:rFonts w:ascii="Arial" w:hAnsi="Arial" w:cs="Arial"/>
          <w:iCs/>
          <w:sz w:val="24"/>
          <w:szCs w:val="24"/>
          <w:lang w:val="en-US"/>
        </w:rPr>
        <w:t>power to approve the budget should always be vested in the legislature.</w:t>
      </w:r>
      <w:r w:rsidRPr="001F0EE8">
        <w:rPr>
          <w:rFonts w:ascii="Arial" w:hAnsi="Arial" w:cs="Arial"/>
          <w:iCs/>
          <w:sz w:val="24"/>
          <w:szCs w:val="24"/>
          <w:lang w:val="en-ZA"/>
        </w:rPr>
        <w:t xml:space="preserve"> Legislation should, however, also clarify the powers and responsibilities of the executive and legislature in the budget process, and in respect of changes to the budget during the fiscal year. For</w:t>
      </w:r>
      <w:r w:rsidRPr="001F0EE8">
        <w:rPr>
          <w:rFonts w:ascii="Arial" w:hAnsi="Arial" w:cs="Arial"/>
          <w:sz w:val="24"/>
          <w:szCs w:val="24"/>
        </w:rPr>
        <w:t xml:space="preserve"> example, the executive may be given power to conduct fiscal policy when the budget for the fiscal year has not yet been adopted by the legislature, before the start of the fiscal year to which it relates. Furthermore, the executive may be permitted to shift funds between budget items during the fiscal year in specific circumstances, but may require legislative approval in other circumstances.</w:t>
      </w:r>
      <w:r w:rsidRPr="001F0EE8">
        <w:rPr>
          <w:rFonts w:ascii="Arial" w:hAnsi="Arial" w:cs="Arial"/>
          <w:sz w:val="24"/>
          <w:szCs w:val="24"/>
          <w:lang w:val="en-US"/>
        </w:rPr>
        <w:t xml:space="preserve"> An example of this is provided in section</w:t>
      </w:r>
      <w:r w:rsidR="00FC15FA">
        <w:rPr>
          <w:rFonts w:ascii="Arial" w:hAnsi="Arial" w:cs="Arial"/>
          <w:sz w:val="24"/>
          <w:szCs w:val="24"/>
          <w:lang w:val="en-US"/>
        </w:rPr>
        <w:t> </w:t>
      </w:r>
      <w:r w:rsidRPr="001F0EE8">
        <w:rPr>
          <w:rFonts w:ascii="Arial" w:hAnsi="Arial" w:cs="Arial"/>
          <w:sz w:val="24"/>
          <w:szCs w:val="24"/>
          <w:lang w:val="en-US"/>
        </w:rPr>
        <w:t xml:space="preserve">43 of South Africa’s </w:t>
      </w:r>
      <w:hyperlink r:id="rId587" w:history="1">
        <w:r w:rsidRPr="001F0EE8">
          <w:rPr>
            <w:rFonts w:ascii="Arial" w:hAnsi="Arial" w:cs="Arial"/>
            <w:color w:val="0563C1" w:themeColor="hyperlink"/>
            <w:sz w:val="24"/>
            <w:szCs w:val="24"/>
            <w:u w:val="single"/>
            <w:lang w:val="en-US"/>
          </w:rPr>
          <w:t>Public Finance Management Act</w:t>
        </w:r>
      </w:hyperlink>
      <w:r w:rsidRPr="001F0EE8">
        <w:rPr>
          <w:rFonts w:ascii="Arial" w:hAnsi="Arial" w:cs="Arial"/>
          <w:sz w:val="24"/>
          <w:szCs w:val="24"/>
          <w:lang w:val="en-US"/>
        </w:rPr>
        <w:t xml:space="preserve"> (1999).</w:t>
      </w:r>
    </w:p>
    <w:p w14:paraId="32FC811D" w14:textId="1B473626" w:rsidR="00402C0F" w:rsidRDefault="00402C0F" w:rsidP="002D14C0">
      <w:pPr>
        <w:spacing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2844030" behindDoc="1" locked="0" layoutInCell="1" allowOverlap="1" wp14:anchorId="18796743" wp14:editId="27DD67D2">
            <wp:simplePos x="0" y="0"/>
            <wp:positionH relativeFrom="margin">
              <wp:posOffset>0</wp:posOffset>
            </wp:positionH>
            <wp:positionV relativeFrom="paragraph">
              <wp:posOffset>175895</wp:posOffset>
            </wp:positionV>
            <wp:extent cx="2872740" cy="685800"/>
            <wp:effectExtent l="0" t="0" r="0" b="0"/>
            <wp:wrapTight wrapText="bothSides">
              <wp:wrapPolygon edited="0">
                <wp:start x="0" y="400"/>
                <wp:lineTo x="0" y="16400"/>
                <wp:lineTo x="286" y="20400"/>
                <wp:lineTo x="668" y="21200"/>
                <wp:lineTo x="21199" y="21200"/>
                <wp:lineTo x="21390" y="20400"/>
                <wp:lineTo x="21390" y="5200"/>
                <wp:lineTo x="20817" y="400"/>
                <wp:lineTo x="0" y="400"/>
              </wp:wrapPolygon>
            </wp:wrapTight>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icture 618"/>
                    <pic:cNvPicPr/>
                  </pic:nvPicPr>
                  <pic:blipFill rotWithShape="1">
                    <a:blip r:embed="rId585" cstate="email">
                      <a:extLst>
                        <a:ext uri="{28A0092B-C50C-407E-A947-70E740481C1C}">
                          <a14:useLocalDpi xmlns:a14="http://schemas.microsoft.com/office/drawing/2010/main"/>
                        </a:ext>
                      </a:extLst>
                    </a:blip>
                    <a:srcRect/>
                    <a:stretch/>
                  </pic:blipFill>
                  <pic:spPr bwMode="auto">
                    <a:xfrm>
                      <a:off x="0" y="0"/>
                      <a:ext cx="2872740"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F1FC58" w14:textId="15F50BC1" w:rsidR="00402C0F" w:rsidRDefault="00BE33F6" w:rsidP="002D14C0">
      <w:pPr>
        <w:spacing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2845054" behindDoc="0" locked="0" layoutInCell="1" allowOverlap="1" wp14:anchorId="5CBF3D4D" wp14:editId="032DAE6C">
                <wp:simplePos x="0" y="0"/>
                <wp:positionH relativeFrom="column">
                  <wp:posOffset>63500</wp:posOffset>
                </wp:positionH>
                <wp:positionV relativeFrom="paragraph">
                  <wp:posOffset>107315</wp:posOffset>
                </wp:positionV>
                <wp:extent cx="2692400" cy="393700"/>
                <wp:effectExtent l="0" t="0" r="0" b="0"/>
                <wp:wrapNone/>
                <wp:docPr id="620" name="Text Box 620"/>
                <wp:cNvGraphicFramePr/>
                <a:graphic xmlns:a="http://schemas.openxmlformats.org/drawingml/2006/main">
                  <a:graphicData uri="http://schemas.microsoft.com/office/word/2010/wordprocessingShape">
                    <wps:wsp>
                      <wps:cNvSpPr txBox="1"/>
                      <wps:spPr>
                        <a:xfrm>
                          <a:off x="0" y="0"/>
                          <a:ext cx="2692400" cy="393700"/>
                        </a:xfrm>
                        <a:prstGeom prst="rect">
                          <a:avLst/>
                        </a:prstGeom>
                        <a:noFill/>
                        <a:ln w="6350">
                          <a:noFill/>
                        </a:ln>
                      </wps:spPr>
                      <wps:txbx>
                        <w:txbxContent>
                          <w:p w14:paraId="7E275F65" w14:textId="77777777" w:rsidR="00D15FD8" w:rsidRPr="00BE33F6" w:rsidRDefault="00D15FD8" w:rsidP="00BE33F6">
                            <w:pPr>
                              <w:pStyle w:val="ListParagraph"/>
                              <w:ind w:left="0"/>
                              <w:jc w:val="center"/>
                              <w:rPr>
                                <w:rFonts w:ascii="Arial" w:hAnsi="Arial" w:cs="Arial"/>
                                <w:b/>
                                <w:bCs/>
                                <w:color w:val="FFFFFF" w:themeColor="background1"/>
                                <w:sz w:val="32"/>
                                <w:szCs w:val="32"/>
                                <w:lang w:val="en-US"/>
                              </w:rPr>
                            </w:pPr>
                            <w:r w:rsidRPr="00BE33F6">
                              <w:rPr>
                                <w:rFonts w:ascii="Arial" w:hAnsi="Arial" w:cs="Arial"/>
                                <w:b/>
                                <w:bCs/>
                                <w:color w:val="FFFFFF" w:themeColor="background1"/>
                                <w:sz w:val="32"/>
                                <w:szCs w:val="32"/>
                                <w:lang w:val="en-US"/>
                              </w:rPr>
                              <w:t>Executive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F3D4D" id="Text Box 620" o:spid="_x0000_s1332" type="#_x0000_t202" style="position:absolute;left:0;text-align:left;margin-left:5pt;margin-top:8.45pt;width:212pt;height:31pt;z-index:252845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" filled="f" stroked="f" strokeweight=".5pt">
                <v:textbox>
                  <w:txbxContent>
                    <w:p w14:paraId="7E275F65" w14:textId="77777777" w:rsidR="00D15FD8" w:rsidRPr="00BE33F6" w:rsidRDefault="00D15FD8" w:rsidP="00BE33F6">
                      <w:pPr>
                        <w:pStyle w:val="ListParagraph"/>
                        <w:ind w:left="0"/>
                        <w:jc w:val="center"/>
                        <w:rPr>
                          <w:rFonts w:ascii="Arial" w:hAnsi="Arial" w:cs="Arial"/>
                          <w:b/>
                          <w:bCs/>
                          <w:color w:val="FFFFFF" w:themeColor="background1"/>
                          <w:sz w:val="32"/>
                          <w:szCs w:val="32"/>
                          <w:lang w:val="en-US"/>
                        </w:rPr>
                      </w:pPr>
                      <w:r w:rsidRPr="00BE33F6">
                        <w:rPr>
                          <w:rFonts w:ascii="Arial" w:hAnsi="Arial" w:cs="Arial"/>
                          <w:b/>
                          <w:bCs/>
                          <w:color w:val="FFFFFF" w:themeColor="background1"/>
                          <w:sz w:val="32"/>
                          <w:szCs w:val="32"/>
                          <w:lang w:val="en-US"/>
                        </w:rPr>
                        <w:t>Executive</w:t>
                      </w:r>
                    </w:p>
                  </w:txbxContent>
                </v:textbox>
              </v:shape>
            </w:pict>
          </mc:Fallback>
        </mc:AlternateContent>
      </w:r>
    </w:p>
    <w:p w14:paraId="2D6A8866" w14:textId="77777777" w:rsidR="00402C0F" w:rsidRDefault="00402C0F" w:rsidP="002D14C0">
      <w:pPr>
        <w:spacing w:line="276" w:lineRule="auto"/>
        <w:contextualSpacing/>
        <w:jc w:val="both"/>
        <w:rPr>
          <w:rFonts w:ascii="Arial" w:hAnsi="Arial" w:cs="Arial"/>
          <w:sz w:val="24"/>
          <w:szCs w:val="24"/>
          <w:lang w:val="en-US"/>
        </w:rPr>
      </w:pPr>
    </w:p>
    <w:p w14:paraId="6AFF6F05" w14:textId="77777777" w:rsidR="00402C0F" w:rsidRDefault="00402C0F" w:rsidP="002D14C0">
      <w:pPr>
        <w:spacing w:line="276" w:lineRule="auto"/>
        <w:contextualSpacing/>
        <w:jc w:val="both"/>
        <w:rPr>
          <w:rFonts w:ascii="Arial" w:hAnsi="Arial" w:cs="Arial"/>
          <w:sz w:val="24"/>
          <w:szCs w:val="24"/>
        </w:rPr>
      </w:pPr>
    </w:p>
    <w:p w14:paraId="6452F4F8" w14:textId="77777777" w:rsidR="00402C0F" w:rsidRDefault="00402C0F" w:rsidP="002D14C0">
      <w:pPr>
        <w:spacing w:line="276" w:lineRule="auto"/>
        <w:contextualSpacing/>
        <w:jc w:val="both"/>
        <w:rPr>
          <w:rFonts w:ascii="Arial" w:hAnsi="Arial" w:cs="Arial"/>
          <w:sz w:val="24"/>
          <w:szCs w:val="24"/>
        </w:rPr>
      </w:pPr>
    </w:p>
    <w:p w14:paraId="5D8CCC7F" w14:textId="77777777" w:rsidR="00402C0F" w:rsidRPr="001727C2" w:rsidRDefault="00402C0F" w:rsidP="002D14C0">
      <w:pPr>
        <w:spacing w:line="276" w:lineRule="auto"/>
        <w:contextualSpacing/>
        <w:jc w:val="both"/>
        <w:rPr>
          <w:rFonts w:ascii="Arial" w:hAnsi="Arial" w:cs="Arial"/>
          <w:iCs/>
          <w:sz w:val="24"/>
          <w:szCs w:val="24"/>
          <w:lang w:val="en-US"/>
        </w:rPr>
      </w:pPr>
      <w:r w:rsidRPr="001727C2">
        <w:rPr>
          <w:rFonts w:ascii="Arial" w:hAnsi="Arial" w:cs="Arial"/>
          <w:sz w:val="24"/>
          <w:szCs w:val="24"/>
        </w:rPr>
        <w:t>T</w:t>
      </w:r>
      <w:r w:rsidRPr="001727C2">
        <w:rPr>
          <w:rFonts w:ascii="Arial" w:hAnsi="Arial" w:cs="Arial"/>
          <w:iCs/>
          <w:sz w:val="24"/>
          <w:szCs w:val="24"/>
          <w:lang w:val="en-ZA"/>
        </w:rPr>
        <w:t xml:space="preserve">he legal framework should among others, provide </w:t>
      </w:r>
      <w:r w:rsidRPr="001727C2">
        <w:rPr>
          <w:rFonts w:ascii="Arial" w:hAnsi="Arial" w:cs="Arial"/>
          <w:iCs/>
          <w:sz w:val="24"/>
          <w:szCs w:val="24"/>
          <w:lang w:val="en-US"/>
        </w:rPr>
        <w:t xml:space="preserve">for the executive’s authority on budget formulation and execution. In some countries, this is an organic law, which has higher status than ordinary laws. </w:t>
      </w:r>
      <w:r w:rsidRPr="001727C2">
        <w:rPr>
          <w:rFonts w:ascii="Arial" w:hAnsi="Arial" w:cs="Arial"/>
          <w:iCs/>
          <w:sz w:val="24"/>
          <w:szCs w:val="24"/>
          <w:lang w:val="en-ZA"/>
        </w:rPr>
        <w:t xml:space="preserve">For example, chapter 13 of the </w:t>
      </w:r>
      <w:hyperlink r:id="rId588" w:history="1">
        <w:r w:rsidRPr="001727C2">
          <w:rPr>
            <w:rStyle w:val="Hyperlink"/>
            <w:rFonts w:ascii="Arial" w:hAnsi="Arial" w:cs="Arial"/>
            <w:iCs/>
            <w:sz w:val="24"/>
            <w:szCs w:val="24"/>
            <w:lang w:val="en-ZA"/>
          </w:rPr>
          <w:t>South African Constitution</w:t>
        </w:r>
      </w:hyperlink>
      <w:r w:rsidRPr="001727C2">
        <w:rPr>
          <w:rFonts w:ascii="Arial" w:hAnsi="Arial" w:cs="Arial"/>
          <w:iCs/>
          <w:sz w:val="24"/>
          <w:szCs w:val="24"/>
          <w:lang w:val="en-ZA"/>
        </w:rPr>
        <w:t xml:space="preserve"> (1996), legislates finance matters, including providing for a national treasury that must ensure transparency and expenditure control. Another example is provided by the </w:t>
      </w:r>
      <w:hyperlink r:id="rId589" w:history="1">
        <w:r w:rsidRPr="001727C2">
          <w:rPr>
            <w:rStyle w:val="Hyperlink"/>
            <w:rFonts w:ascii="Arial" w:hAnsi="Arial" w:cs="Arial"/>
            <w:iCs/>
            <w:sz w:val="24"/>
            <w:szCs w:val="24"/>
            <w:lang w:val="en-ZA"/>
          </w:rPr>
          <w:t>Mexican Constitution</w:t>
        </w:r>
      </w:hyperlink>
      <w:r w:rsidRPr="001727C2">
        <w:rPr>
          <w:rFonts w:ascii="Arial" w:hAnsi="Arial" w:cs="Arial"/>
          <w:iCs/>
          <w:sz w:val="24"/>
          <w:szCs w:val="24"/>
          <w:lang w:val="en-ZA"/>
        </w:rPr>
        <w:t xml:space="preserve"> (1917), which establishes in its Article 76 that it is the exclusive responsibility of the Chamber of Deputies to approve the budget submitted for its consideration each year by the federal executive.</w:t>
      </w:r>
    </w:p>
    <w:p w14:paraId="7D8E0E62" w14:textId="77777777" w:rsidR="00402C0F" w:rsidRPr="001727C2" w:rsidRDefault="00402C0F" w:rsidP="002D14C0">
      <w:pPr>
        <w:spacing w:line="276" w:lineRule="auto"/>
        <w:contextualSpacing/>
        <w:jc w:val="both"/>
        <w:rPr>
          <w:rFonts w:ascii="Arial" w:hAnsi="Arial" w:cs="Arial"/>
          <w:iCs/>
          <w:sz w:val="24"/>
          <w:szCs w:val="24"/>
          <w:lang w:val="en-US"/>
        </w:rPr>
      </w:pPr>
    </w:p>
    <w:p w14:paraId="4DCAB52B" w14:textId="77777777" w:rsidR="00402C0F" w:rsidRPr="001727C2" w:rsidRDefault="00402C0F" w:rsidP="002D14C0">
      <w:pPr>
        <w:spacing w:line="276" w:lineRule="auto"/>
        <w:contextualSpacing/>
        <w:jc w:val="both"/>
        <w:rPr>
          <w:rFonts w:ascii="Arial" w:hAnsi="Arial" w:cs="Arial"/>
          <w:iCs/>
          <w:sz w:val="24"/>
          <w:szCs w:val="24"/>
        </w:rPr>
      </w:pPr>
      <w:r>
        <w:rPr>
          <w:rFonts w:ascii="Arial" w:hAnsi="Arial" w:cs="Arial"/>
          <w:noProof/>
          <w:sz w:val="24"/>
          <w:szCs w:val="24"/>
          <w:lang w:val="en-US"/>
        </w:rPr>
        <w:lastRenderedPageBreak/>
        <w:drawing>
          <wp:anchor distT="0" distB="0" distL="114300" distR="114300" simplePos="0" relativeHeight="252839934" behindDoc="0" locked="0" layoutInCell="1" allowOverlap="1" wp14:anchorId="042D07DA" wp14:editId="4E92E4CD">
            <wp:simplePos x="0" y="0"/>
            <wp:positionH relativeFrom="column">
              <wp:posOffset>0</wp:posOffset>
            </wp:positionH>
            <wp:positionV relativeFrom="paragraph">
              <wp:posOffset>149860</wp:posOffset>
            </wp:positionV>
            <wp:extent cx="1464310" cy="1041400"/>
            <wp:effectExtent l="0" t="0" r="0" b="0"/>
            <wp:wrapSquare wrapText="bothSides"/>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pic:cNvPicPr/>
                  </pic:nvPicPr>
                  <pic:blipFill rotWithShape="1">
                    <a:blip r:embed="rId590" cstate="email">
                      <a:extLst>
                        <a:ext uri="{28A0092B-C50C-407E-A947-70E740481C1C}">
                          <a14:useLocalDpi xmlns:a14="http://schemas.microsoft.com/office/drawing/2010/main"/>
                        </a:ext>
                      </a:extLst>
                    </a:blip>
                    <a:srcRect/>
                    <a:stretch/>
                  </pic:blipFill>
                  <pic:spPr bwMode="auto">
                    <a:xfrm>
                      <a:off x="0" y="0"/>
                      <a:ext cx="1464310" cy="104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27C2">
        <w:rPr>
          <w:rFonts w:ascii="Arial" w:hAnsi="Arial" w:cs="Arial"/>
          <w:sz w:val="24"/>
          <w:szCs w:val="24"/>
          <w:lang w:val="en-US"/>
        </w:rPr>
        <w:t>The effectiveness of the budget depends on it being well grounded in law, with supporting regulations and administrative practices. The legal framework sh</w:t>
      </w:r>
      <w:r w:rsidRPr="001727C2">
        <w:rPr>
          <w:rFonts w:ascii="Arial" w:hAnsi="Arial" w:cs="Arial"/>
          <w:iCs/>
          <w:sz w:val="24"/>
          <w:szCs w:val="24"/>
          <w:lang w:val="en-US"/>
        </w:rPr>
        <w:t>ould among others assign authority for government finance vesting effective power for budget management</w:t>
      </w:r>
      <w:r w:rsidRPr="001727C2">
        <w:rPr>
          <w:rFonts w:ascii="Arial" w:hAnsi="Arial" w:cs="Arial"/>
          <w:iCs/>
          <w:sz w:val="24"/>
          <w:szCs w:val="24"/>
          <w:lang w:val="en-ZA"/>
        </w:rPr>
        <w:t>; clearly define the timetable for budget preparation and approval, including the minimum contents of budget documentation to ensure its comprehensive</w:t>
      </w:r>
      <w:r w:rsidRPr="001727C2">
        <w:rPr>
          <w:rFonts w:ascii="Arial" w:hAnsi="Arial" w:cs="Arial"/>
          <w:iCs/>
          <w:sz w:val="24"/>
          <w:szCs w:val="24"/>
          <w:lang w:val="en-US"/>
        </w:rPr>
        <w:t xml:space="preserve"> and covers all applicable public sector institutions; and also make provision for ensuring that individual agencies are held accountable for funds they collect and/or use. In addition, any contingency or reserve provisions should specify clear and stringent conditions for the use of such funds. Budget laws </w:t>
      </w:r>
      <w:r w:rsidRPr="001727C2">
        <w:rPr>
          <w:rFonts w:ascii="Arial" w:hAnsi="Arial" w:cs="Arial"/>
          <w:iCs/>
          <w:sz w:val="24"/>
          <w:szCs w:val="24"/>
        </w:rPr>
        <w:t>are typically supported by other laws governing specific related areas, such as laws governing treasury operations, the management of public debt, procurement, and public works/infrastructure.</w:t>
      </w:r>
    </w:p>
    <w:p w14:paraId="74951E4A" w14:textId="77777777" w:rsidR="00402C0F" w:rsidRPr="001727C2" w:rsidRDefault="00402C0F" w:rsidP="002D14C0">
      <w:pPr>
        <w:spacing w:line="276" w:lineRule="auto"/>
        <w:contextualSpacing/>
        <w:jc w:val="both"/>
        <w:rPr>
          <w:rFonts w:ascii="Arial" w:hAnsi="Arial" w:cs="Arial"/>
          <w:iCs/>
          <w:sz w:val="24"/>
          <w:szCs w:val="24"/>
        </w:rPr>
      </w:pPr>
    </w:p>
    <w:p w14:paraId="2D3CE09D" w14:textId="18454F4C" w:rsidR="00BE33F6" w:rsidRDefault="00402C0F" w:rsidP="002D14C0">
      <w:pPr>
        <w:spacing w:line="276" w:lineRule="auto"/>
        <w:contextualSpacing/>
        <w:jc w:val="both"/>
        <w:rPr>
          <w:rFonts w:ascii="Arial" w:hAnsi="Arial" w:cs="Arial"/>
          <w:iCs/>
          <w:sz w:val="24"/>
          <w:szCs w:val="24"/>
          <w:lang w:val="en-US"/>
        </w:rPr>
      </w:pPr>
      <w:r w:rsidRPr="001727C2">
        <w:rPr>
          <w:rFonts w:ascii="Arial" w:hAnsi="Arial" w:cs="Arial"/>
          <w:iCs/>
          <w:sz w:val="24"/>
          <w:szCs w:val="24"/>
          <w:lang w:val="en-US"/>
        </w:rPr>
        <w:t>The legal framework should also provide for</w:t>
      </w:r>
      <w:r w:rsidRPr="001727C2">
        <w:rPr>
          <w:rFonts w:ascii="Arial" w:hAnsi="Arial" w:cs="Arial"/>
          <w:iCs/>
          <w:sz w:val="24"/>
          <w:szCs w:val="24"/>
          <w:lang w:val="en-ZA"/>
        </w:rPr>
        <w:t> external and independent control, that is a </w:t>
      </w:r>
      <w:r w:rsidRPr="001727C2">
        <w:rPr>
          <w:rFonts w:ascii="Arial" w:hAnsi="Arial" w:cs="Arial"/>
          <w:bCs/>
          <w:iCs/>
          <w:sz w:val="24"/>
          <w:szCs w:val="24"/>
          <w:lang w:val="en-ZA"/>
        </w:rPr>
        <w:t>supreme audit institution,</w:t>
      </w:r>
      <w:r w:rsidRPr="001727C2">
        <w:rPr>
          <w:rFonts w:ascii="Arial" w:hAnsi="Arial" w:cs="Arial"/>
          <w:iCs/>
          <w:sz w:val="24"/>
          <w:szCs w:val="24"/>
          <w:lang w:val="en-ZA"/>
        </w:rPr>
        <w:t xml:space="preserve"> and the preparation of independently audited reports showing clearly how public funds have been used</w:t>
      </w:r>
      <w:r w:rsidRPr="001727C2">
        <w:rPr>
          <w:rFonts w:ascii="Arial" w:hAnsi="Arial" w:cs="Arial"/>
          <w:iCs/>
          <w:sz w:val="24"/>
          <w:szCs w:val="24"/>
          <w:lang w:val="en-US"/>
        </w:rPr>
        <w:t xml:space="preserve">. </w:t>
      </w:r>
    </w:p>
    <w:p w14:paraId="088EE581" w14:textId="76E3C7A9" w:rsidR="00402C0F" w:rsidRDefault="00BE33F6" w:rsidP="002D14C0">
      <w:pPr>
        <w:spacing w:line="276" w:lineRule="auto"/>
        <w:contextualSpacing/>
        <w:jc w:val="both"/>
        <w:rPr>
          <w:rFonts w:ascii="Arial" w:hAnsi="Arial" w:cs="Arial"/>
          <w:iCs/>
          <w:sz w:val="24"/>
          <w:szCs w:val="24"/>
          <w:lang w:val="en-US"/>
        </w:rPr>
      </w:pPr>
      <w:r>
        <w:rPr>
          <w:rFonts w:ascii="Arial" w:hAnsi="Arial" w:cs="Arial"/>
          <w:noProof/>
          <w:sz w:val="24"/>
          <w:szCs w:val="24"/>
          <w:lang w:val="en-US"/>
        </w:rPr>
        <mc:AlternateContent>
          <mc:Choice Requires="wps">
            <w:drawing>
              <wp:anchor distT="0" distB="0" distL="114300" distR="114300" simplePos="0" relativeHeight="252847102" behindDoc="0" locked="0" layoutInCell="1" allowOverlap="1" wp14:anchorId="7460658F" wp14:editId="677337A9">
                <wp:simplePos x="0" y="0"/>
                <wp:positionH relativeFrom="column">
                  <wp:posOffset>25400</wp:posOffset>
                </wp:positionH>
                <wp:positionV relativeFrom="paragraph">
                  <wp:posOffset>125095</wp:posOffset>
                </wp:positionV>
                <wp:extent cx="2717800" cy="381000"/>
                <wp:effectExtent l="0" t="0" r="0" b="0"/>
                <wp:wrapNone/>
                <wp:docPr id="622" name="Text Box 622"/>
                <wp:cNvGraphicFramePr/>
                <a:graphic xmlns:a="http://schemas.openxmlformats.org/drawingml/2006/main">
                  <a:graphicData uri="http://schemas.microsoft.com/office/word/2010/wordprocessingShape">
                    <wps:wsp>
                      <wps:cNvSpPr txBox="1"/>
                      <wps:spPr>
                        <a:xfrm>
                          <a:off x="0" y="0"/>
                          <a:ext cx="2717800" cy="381000"/>
                        </a:xfrm>
                        <a:prstGeom prst="rect">
                          <a:avLst/>
                        </a:prstGeom>
                        <a:noFill/>
                        <a:ln w="6350">
                          <a:noFill/>
                        </a:ln>
                      </wps:spPr>
                      <wps:txbx>
                        <w:txbxContent>
                          <w:p w14:paraId="47839410" w14:textId="77777777" w:rsidR="00D15FD8" w:rsidRPr="00BE33F6" w:rsidRDefault="00D15FD8" w:rsidP="00BE33F6">
                            <w:pPr>
                              <w:pStyle w:val="ListParagraph"/>
                              <w:ind w:left="0"/>
                              <w:jc w:val="center"/>
                              <w:rPr>
                                <w:rFonts w:ascii="Arial" w:hAnsi="Arial" w:cs="Arial"/>
                                <w:b/>
                                <w:bCs/>
                                <w:color w:val="FFFFFF" w:themeColor="background1"/>
                                <w:sz w:val="32"/>
                                <w:szCs w:val="32"/>
                                <w:lang w:val="en-US"/>
                              </w:rPr>
                            </w:pPr>
                            <w:r w:rsidRPr="00BE33F6">
                              <w:rPr>
                                <w:rFonts w:ascii="Arial" w:hAnsi="Arial" w:cs="Arial"/>
                                <w:b/>
                                <w:bCs/>
                                <w:color w:val="FFFFFF" w:themeColor="background1"/>
                                <w:sz w:val="32"/>
                                <w:szCs w:val="32"/>
                                <w:lang w:val="en-US"/>
                              </w:rPr>
                              <w:t>Judiciary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0658F" id="Text Box 622" o:spid="_x0000_s1333" type="#_x0000_t202" style="position:absolute;left:0;text-align:left;margin-left:2pt;margin-top:9.85pt;width:214pt;height:30pt;z-index:252847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" filled="f" stroked="f" strokeweight=".5pt">
                <v:textbox>
                  <w:txbxContent>
                    <w:p w14:paraId="47839410" w14:textId="77777777" w:rsidR="00D15FD8" w:rsidRPr="00BE33F6" w:rsidRDefault="00D15FD8" w:rsidP="00BE33F6">
                      <w:pPr>
                        <w:pStyle w:val="ListParagraph"/>
                        <w:ind w:left="0"/>
                        <w:jc w:val="center"/>
                        <w:rPr>
                          <w:rFonts w:ascii="Arial" w:hAnsi="Arial" w:cs="Arial"/>
                          <w:b/>
                          <w:bCs/>
                          <w:color w:val="FFFFFF" w:themeColor="background1"/>
                          <w:sz w:val="32"/>
                          <w:szCs w:val="32"/>
                          <w:lang w:val="en-US"/>
                        </w:rPr>
                      </w:pPr>
                      <w:r w:rsidRPr="00BE33F6">
                        <w:rPr>
                          <w:rFonts w:ascii="Arial" w:hAnsi="Arial" w:cs="Arial"/>
                          <w:b/>
                          <w:bCs/>
                          <w:color w:val="FFFFFF" w:themeColor="background1"/>
                          <w:sz w:val="32"/>
                          <w:szCs w:val="32"/>
                          <w:lang w:val="en-US"/>
                        </w:rPr>
                        <w:t>Judiciary</w:t>
                      </w:r>
                    </w:p>
                  </w:txbxContent>
                </v:textbox>
              </v:shape>
            </w:pict>
          </mc:Fallback>
        </mc:AlternateContent>
      </w:r>
      <w:r>
        <w:rPr>
          <w:rFonts w:ascii="Arial" w:hAnsi="Arial" w:cs="Arial"/>
          <w:noProof/>
          <w:sz w:val="24"/>
          <w:szCs w:val="24"/>
          <w:lang w:val="en-US"/>
        </w:rPr>
        <w:drawing>
          <wp:anchor distT="0" distB="0" distL="114300" distR="114300" simplePos="0" relativeHeight="252846078" behindDoc="1" locked="0" layoutInCell="1" allowOverlap="1" wp14:anchorId="77FDCEC7" wp14:editId="52CEDAE8">
            <wp:simplePos x="0" y="0"/>
            <wp:positionH relativeFrom="margin">
              <wp:posOffset>-3810</wp:posOffset>
            </wp:positionH>
            <wp:positionV relativeFrom="paragraph">
              <wp:posOffset>23495</wp:posOffset>
            </wp:positionV>
            <wp:extent cx="2872740" cy="685800"/>
            <wp:effectExtent l="0" t="0" r="0" b="0"/>
            <wp:wrapTight wrapText="bothSides">
              <wp:wrapPolygon edited="0">
                <wp:start x="0" y="400"/>
                <wp:lineTo x="0" y="16400"/>
                <wp:lineTo x="286" y="20400"/>
                <wp:lineTo x="668" y="21200"/>
                <wp:lineTo x="21199" y="21200"/>
                <wp:lineTo x="21390" y="20400"/>
                <wp:lineTo x="21390" y="5200"/>
                <wp:lineTo x="20817" y="400"/>
                <wp:lineTo x="0" y="400"/>
              </wp:wrapPolygon>
            </wp:wrapTight>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icture 618"/>
                    <pic:cNvPicPr/>
                  </pic:nvPicPr>
                  <pic:blipFill rotWithShape="1">
                    <a:blip r:embed="rId585" cstate="email">
                      <a:extLst>
                        <a:ext uri="{28A0092B-C50C-407E-A947-70E740481C1C}">
                          <a14:useLocalDpi xmlns:a14="http://schemas.microsoft.com/office/drawing/2010/main"/>
                        </a:ext>
                      </a:extLst>
                    </a:blip>
                    <a:srcRect/>
                    <a:stretch/>
                  </pic:blipFill>
                  <pic:spPr bwMode="auto">
                    <a:xfrm>
                      <a:off x="0" y="0"/>
                      <a:ext cx="2872740"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73A29" w14:textId="774461CA" w:rsidR="00402C0F" w:rsidRDefault="00402C0F" w:rsidP="002D14C0">
      <w:pPr>
        <w:spacing w:line="276" w:lineRule="auto"/>
        <w:contextualSpacing/>
        <w:jc w:val="both"/>
        <w:rPr>
          <w:rFonts w:ascii="Arial" w:hAnsi="Arial" w:cs="Arial"/>
          <w:iCs/>
          <w:sz w:val="24"/>
          <w:szCs w:val="24"/>
          <w:lang w:val="en-US"/>
        </w:rPr>
      </w:pPr>
    </w:p>
    <w:p w14:paraId="494F2EDB" w14:textId="77777777" w:rsidR="00402C0F" w:rsidRDefault="00402C0F" w:rsidP="002D14C0">
      <w:pPr>
        <w:spacing w:line="276" w:lineRule="auto"/>
        <w:contextualSpacing/>
        <w:jc w:val="both"/>
        <w:rPr>
          <w:rFonts w:ascii="Arial" w:hAnsi="Arial" w:cs="Arial"/>
          <w:iCs/>
          <w:sz w:val="24"/>
          <w:szCs w:val="24"/>
          <w:lang w:val="en-US"/>
        </w:rPr>
      </w:pPr>
    </w:p>
    <w:p w14:paraId="0F2EC450" w14:textId="77777777" w:rsidR="00BE33F6" w:rsidRDefault="00BE33F6" w:rsidP="002D14C0">
      <w:pPr>
        <w:spacing w:line="276" w:lineRule="auto"/>
        <w:contextualSpacing/>
        <w:jc w:val="both"/>
        <w:rPr>
          <w:rFonts w:ascii="Arial" w:hAnsi="Arial" w:cs="Arial"/>
          <w:iCs/>
          <w:sz w:val="24"/>
          <w:szCs w:val="24"/>
          <w:lang w:val="en-US"/>
        </w:rPr>
      </w:pPr>
    </w:p>
    <w:p w14:paraId="171CA467" w14:textId="538ACEDD" w:rsidR="00402C0F" w:rsidRPr="001F0EE8" w:rsidRDefault="00402C0F" w:rsidP="002D14C0">
      <w:pPr>
        <w:spacing w:line="276" w:lineRule="auto"/>
        <w:contextualSpacing/>
        <w:jc w:val="both"/>
        <w:rPr>
          <w:rFonts w:ascii="Arial" w:hAnsi="Arial" w:cs="Arial"/>
          <w:sz w:val="24"/>
          <w:szCs w:val="24"/>
          <w:lang w:val="en-US"/>
        </w:rPr>
      </w:pPr>
      <w:r>
        <w:rPr>
          <w:rFonts w:ascii="Arial" w:hAnsi="Arial" w:cs="Arial"/>
          <w:iCs/>
          <w:noProof/>
          <w:sz w:val="24"/>
          <w:szCs w:val="24"/>
          <w:lang w:val="en-US"/>
        </w:rPr>
        <w:drawing>
          <wp:anchor distT="0" distB="0" distL="114300" distR="114300" simplePos="0" relativeHeight="252840958" behindDoc="0" locked="0" layoutInCell="1" allowOverlap="1" wp14:anchorId="1BE99C79" wp14:editId="6C248FBE">
            <wp:simplePos x="0" y="0"/>
            <wp:positionH relativeFrom="column">
              <wp:posOffset>100965</wp:posOffset>
            </wp:positionH>
            <wp:positionV relativeFrom="paragraph">
              <wp:posOffset>211455</wp:posOffset>
            </wp:positionV>
            <wp:extent cx="1435100" cy="1574800"/>
            <wp:effectExtent l="0" t="0" r="0" b="0"/>
            <wp:wrapSquare wrapText="bothSides"/>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Picture 616"/>
                    <pic:cNvPicPr/>
                  </pic:nvPicPr>
                  <pic:blipFill rotWithShape="1">
                    <a:blip r:embed="rId591" cstate="email">
                      <a:extLst>
                        <a:ext uri="{28A0092B-C50C-407E-A947-70E740481C1C}">
                          <a14:useLocalDpi xmlns:a14="http://schemas.microsoft.com/office/drawing/2010/main"/>
                        </a:ext>
                      </a:extLst>
                    </a:blip>
                    <a:srcRect/>
                    <a:stretch/>
                  </pic:blipFill>
                  <pic:spPr bwMode="auto">
                    <a:xfrm>
                      <a:off x="0" y="0"/>
                      <a:ext cx="1435100"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BCAAD" w14:textId="77777777" w:rsidR="00402C0F" w:rsidRDefault="00402C0F" w:rsidP="002D14C0">
      <w:pPr>
        <w:spacing w:line="276" w:lineRule="auto"/>
        <w:jc w:val="both"/>
        <w:rPr>
          <w:rFonts w:ascii="Arial" w:hAnsi="Arial" w:cs="Arial"/>
          <w:iCs/>
          <w:sz w:val="24"/>
          <w:szCs w:val="24"/>
          <w:lang w:val="en-US"/>
        </w:rPr>
      </w:pPr>
      <w:r w:rsidRPr="00C91844">
        <w:rPr>
          <w:rFonts w:ascii="Arial" w:hAnsi="Arial" w:cs="Arial"/>
          <w:iCs/>
          <w:sz w:val="24"/>
          <w:szCs w:val="24"/>
        </w:rPr>
        <w:t>The judiciary has a role to play in interpreting information disclosure laws and rules, in adjudicating conflicts between the other branches of government about control and disclosure</w:t>
      </w:r>
      <w:r w:rsidRPr="00C91844">
        <w:rPr>
          <w:rFonts w:ascii="Arial" w:hAnsi="Arial" w:cs="Arial"/>
          <w:iCs/>
          <w:sz w:val="24"/>
          <w:szCs w:val="24"/>
          <w:lang w:val="en-US"/>
        </w:rPr>
        <w:t xml:space="preserve"> of information, ensuring that the use of public resources is legal and constitutional, and in settling potential disputes </w:t>
      </w:r>
      <w:r w:rsidRPr="00C91844">
        <w:rPr>
          <w:rFonts w:ascii="Arial" w:hAnsi="Arial" w:cs="Arial"/>
          <w:iCs/>
          <w:sz w:val="24"/>
          <w:szCs w:val="24"/>
        </w:rPr>
        <w:t xml:space="preserve">between the public interest and the private rights of individuals in accordance with legal provisions. For example, </w:t>
      </w:r>
      <w:r w:rsidRPr="00C91844">
        <w:rPr>
          <w:rFonts w:ascii="Arial" w:hAnsi="Arial" w:cs="Arial"/>
          <w:iCs/>
          <w:sz w:val="24"/>
          <w:szCs w:val="24"/>
          <w:lang w:val="en-US"/>
        </w:rPr>
        <w:t xml:space="preserve">in specific circumstances it may be in the public interest to remove individual information privacy rights if the disclosure of the information is of benefit to the general public.  </w:t>
      </w:r>
    </w:p>
    <w:p w14:paraId="4AFB1EB9" w14:textId="77777777" w:rsidR="00402C0F" w:rsidRPr="00767203" w:rsidRDefault="00402C0F" w:rsidP="002D14C0">
      <w:pPr>
        <w:spacing w:line="276" w:lineRule="auto"/>
        <w:rPr>
          <w:rFonts w:ascii="Arial" w:hAnsi="Arial" w:cs="Arial"/>
          <w:sz w:val="24"/>
          <w:szCs w:val="24"/>
        </w:rPr>
      </w:pPr>
    </w:p>
    <w:p w14:paraId="1ED66AD0" w14:textId="7FC0656C" w:rsidR="00402C0F" w:rsidRPr="00767203" w:rsidRDefault="00402C0F" w:rsidP="002D14C0">
      <w:pPr>
        <w:spacing w:line="276" w:lineRule="auto"/>
        <w:rPr>
          <w:rFonts w:ascii="Arial" w:hAnsi="Arial" w:cs="Arial"/>
          <w:b/>
          <w:bCs/>
          <w:color w:val="16988A"/>
          <w:sz w:val="32"/>
          <w:szCs w:val="32"/>
        </w:rPr>
      </w:pPr>
      <w:r w:rsidRPr="00767203">
        <w:rPr>
          <w:rFonts w:ascii="Arial" w:hAnsi="Arial" w:cs="Arial"/>
          <w:b/>
          <w:bCs/>
          <w:color w:val="16988A"/>
          <w:sz w:val="32"/>
          <w:szCs w:val="32"/>
        </w:rPr>
        <w:t xml:space="preserve">Units </w:t>
      </w:r>
      <w:r w:rsidR="00A73BBD" w:rsidRPr="00767203">
        <w:rPr>
          <w:rFonts w:ascii="Arial" w:hAnsi="Arial" w:cs="Arial"/>
          <w:b/>
          <w:bCs/>
          <w:color w:val="16988A"/>
          <w:sz w:val="32"/>
          <w:szCs w:val="32"/>
        </w:rPr>
        <w:t xml:space="preserve">within the executive </w:t>
      </w:r>
    </w:p>
    <w:p w14:paraId="22CC6B9B" w14:textId="77777777" w:rsidR="00402C0F" w:rsidRPr="00767203" w:rsidRDefault="00402C0F" w:rsidP="002D14C0">
      <w:pPr>
        <w:spacing w:line="276" w:lineRule="auto"/>
        <w:rPr>
          <w:rFonts w:ascii="Arial" w:hAnsi="Arial" w:cs="Arial"/>
          <w:sz w:val="24"/>
          <w:szCs w:val="24"/>
        </w:rPr>
      </w:pPr>
    </w:p>
    <w:p w14:paraId="1748DC13" w14:textId="77777777" w:rsidR="00402C0F" w:rsidRPr="00767203" w:rsidRDefault="00402C0F" w:rsidP="002D14C0">
      <w:pPr>
        <w:spacing w:line="276" w:lineRule="auto"/>
        <w:contextualSpacing/>
        <w:jc w:val="both"/>
        <w:rPr>
          <w:rFonts w:ascii="Arial" w:hAnsi="Arial" w:cs="Arial"/>
          <w:iCs/>
          <w:sz w:val="24"/>
          <w:szCs w:val="24"/>
          <w:lang w:val="en-ZA"/>
        </w:rPr>
      </w:pPr>
      <w:r w:rsidRPr="00767203">
        <w:rPr>
          <w:rFonts w:ascii="Arial" w:hAnsi="Arial" w:cs="Arial"/>
          <w:iCs/>
          <w:sz w:val="24"/>
          <w:szCs w:val="24"/>
          <w:lang w:val="en-ZA"/>
        </w:rPr>
        <w:t xml:space="preserve">The executive is typically comprised of a number of government units, each with their own roles and responsibilities. Some of these units are fully funded from the central budget, some are partially funded, and others have completely separate budgets. Even those units that have separate budgets may however perform specific tasks for government at non-market related prices and/or may be subsidised by the government and/or may undertake functions that the government provides guarantees for. For fiscal transparency, it is critical that information is comprehensively provided on each and every one of the government units that form part of the public sector, individually and collectively, such that one can gain a holistic understanding of the workings of the executive. The exact structure of the public sector may differ from country to country, making it extremely important that it is clearly defined in law and comprehensively reported on. In this regard, there are several norms and standards that provide assistance, such as the: </w:t>
      </w:r>
      <w:r w:rsidRPr="00767203">
        <w:rPr>
          <w:rFonts w:ascii="Arial" w:hAnsi="Arial" w:cs="Arial"/>
          <w:iCs/>
          <w:sz w:val="24"/>
          <w:szCs w:val="24"/>
        </w:rPr>
        <w:t xml:space="preserve">United Nations’ </w:t>
      </w:r>
      <w:hyperlink r:id="rId592" w:history="1">
        <w:r w:rsidRPr="00767203">
          <w:rPr>
            <w:rFonts w:ascii="Arial" w:hAnsi="Arial" w:cs="Arial"/>
            <w:iCs/>
            <w:color w:val="0563C1" w:themeColor="hyperlink"/>
            <w:sz w:val="24"/>
            <w:szCs w:val="24"/>
            <w:u w:val="single"/>
          </w:rPr>
          <w:t>System of National Accounts</w:t>
        </w:r>
      </w:hyperlink>
      <w:r w:rsidRPr="00767203">
        <w:rPr>
          <w:rFonts w:ascii="Arial" w:hAnsi="Arial" w:cs="Arial"/>
          <w:iCs/>
          <w:sz w:val="24"/>
          <w:szCs w:val="24"/>
        </w:rPr>
        <w:t xml:space="preserve"> (2008) that explains the distinction between the government sector, the rest of the public sector, and other sectors of the economy; and the IMF’s </w:t>
      </w:r>
      <w:hyperlink r:id="rId593" w:history="1">
        <w:r w:rsidRPr="00767203">
          <w:rPr>
            <w:rFonts w:ascii="Arial" w:hAnsi="Arial" w:cs="Arial"/>
            <w:iCs/>
            <w:color w:val="0563C1" w:themeColor="hyperlink"/>
            <w:sz w:val="24"/>
            <w:szCs w:val="24"/>
            <w:u w:val="single"/>
          </w:rPr>
          <w:t>Government Finance Statistics (GFS) Manual</w:t>
        </w:r>
      </w:hyperlink>
      <w:r w:rsidRPr="00767203">
        <w:rPr>
          <w:rFonts w:ascii="Arial" w:hAnsi="Arial" w:cs="Arial"/>
          <w:iCs/>
          <w:sz w:val="24"/>
          <w:szCs w:val="24"/>
        </w:rPr>
        <w:t xml:space="preserve"> (2014) that explores these distinctions further, together with the treatment of the different </w:t>
      </w:r>
      <w:r w:rsidRPr="00767203">
        <w:rPr>
          <w:rFonts w:ascii="Arial" w:hAnsi="Arial" w:cs="Arial"/>
          <w:iCs/>
          <w:sz w:val="24"/>
          <w:szCs w:val="24"/>
        </w:rPr>
        <w:lastRenderedPageBreak/>
        <w:t xml:space="preserve">levels of government and social security funds. </w:t>
      </w:r>
      <w:r w:rsidRPr="00767203">
        <w:rPr>
          <w:rFonts w:ascii="Arial" w:hAnsi="Arial" w:cs="Arial"/>
          <w:sz w:val="24"/>
          <w:szCs w:val="24"/>
        </w:rPr>
        <w:t xml:space="preserve">The </w:t>
      </w:r>
      <w:hyperlink r:id="rId594" w:history="1">
        <w:r w:rsidRPr="00767203">
          <w:rPr>
            <w:rFonts w:ascii="Arial" w:hAnsi="Arial" w:cs="Arial"/>
            <w:color w:val="0563C1" w:themeColor="hyperlink"/>
            <w:sz w:val="24"/>
            <w:szCs w:val="24"/>
            <w:u w:val="single"/>
          </w:rPr>
          <w:t xml:space="preserve">GFS </w:t>
        </w:r>
        <w:r w:rsidRPr="00767203">
          <w:rPr>
            <w:rFonts w:ascii="Arial" w:hAnsi="Arial" w:cs="Arial"/>
            <w:bCs/>
            <w:color w:val="0563C1" w:themeColor="hyperlink"/>
            <w:sz w:val="24"/>
            <w:szCs w:val="24"/>
            <w:u w:val="single"/>
          </w:rPr>
          <w:t>Compilation Guide for Developing Countries</w:t>
        </w:r>
      </w:hyperlink>
      <w:r w:rsidRPr="00767203">
        <w:rPr>
          <w:rFonts w:ascii="Arial" w:hAnsi="Arial" w:cs="Arial"/>
          <w:bCs/>
          <w:sz w:val="24"/>
          <w:szCs w:val="24"/>
        </w:rPr>
        <w:t xml:space="preserve"> (2011), in particular chapters 2 and 6 also provides extensive information. These manuals should be </w:t>
      </w:r>
      <w:r w:rsidRPr="00767203">
        <w:rPr>
          <w:rFonts w:ascii="Arial" w:hAnsi="Arial" w:cs="Arial"/>
          <w:iCs/>
          <w:sz w:val="24"/>
          <w:szCs w:val="24"/>
        </w:rPr>
        <w:t xml:space="preserve">consulted for detailed definitions and explanations. For examples of the structure of government for many countries see the IMF’s </w:t>
      </w:r>
      <w:hyperlink r:id="rId595" w:history="1">
        <w:r w:rsidRPr="00767203">
          <w:rPr>
            <w:rFonts w:ascii="Arial" w:hAnsi="Arial" w:cs="Arial"/>
            <w:iCs/>
            <w:color w:val="0563C1" w:themeColor="hyperlink"/>
            <w:sz w:val="24"/>
            <w:szCs w:val="24"/>
            <w:u w:val="single"/>
          </w:rPr>
          <w:t>GFS portal</w:t>
        </w:r>
      </w:hyperlink>
      <w:r w:rsidRPr="00767203">
        <w:rPr>
          <w:rFonts w:ascii="Arial" w:hAnsi="Arial" w:cs="Arial"/>
          <w:i/>
          <w:iCs/>
          <w:sz w:val="24"/>
          <w:szCs w:val="24"/>
        </w:rPr>
        <w:t xml:space="preserve">. </w:t>
      </w:r>
      <w:r w:rsidRPr="00767203">
        <w:rPr>
          <w:rFonts w:ascii="Arial" w:hAnsi="Arial" w:cs="Arial"/>
          <w:iCs/>
          <w:sz w:val="24"/>
          <w:szCs w:val="24"/>
          <w:lang w:val="en-ZA"/>
        </w:rPr>
        <w:t>The public sector is examined in more detail below.</w:t>
      </w:r>
    </w:p>
    <w:p w14:paraId="612F724F" w14:textId="77777777" w:rsidR="00402C0F" w:rsidRDefault="00402C0F" w:rsidP="002D14C0">
      <w:pPr>
        <w:spacing w:line="276" w:lineRule="auto"/>
        <w:jc w:val="both"/>
        <w:rPr>
          <w:rFonts w:ascii="Arial" w:hAnsi="Arial" w:cs="Arial"/>
          <w:iCs/>
          <w:sz w:val="24"/>
          <w:szCs w:val="24"/>
          <w:lang w:val="en-US"/>
        </w:rPr>
      </w:pPr>
    </w:p>
    <w:p w14:paraId="74411D62" w14:textId="355E4CF7" w:rsidR="00402C0F" w:rsidRPr="00BE33F6" w:rsidRDefault="00402C0F" w:rsidP="002D14C0">
      <w:pPr>
        <w:pStyle w:val="Heading2"/>
        <w:numPr>
          <w:ilvl w:val="1"/>
          <w:numId w:val="69"/>
        </w:numPr>
        <w:rPr>
          <w:rFonts w:ascii="Arial" w:hAnsi="Arial" w:cs="Arial"/>
          <w:b/>
          <w:bCs/>
          <w:color w:val="F8A132"/>
          <w:sz w:val="36"/>
          <w:szCs w:val="36"/>
          <w:lang w:val="en-US"/>
        </w:rPr>
      </w:pPr>
      <w:bookmarkStart w:id="1391" w:name="_Toc123204486"/>
      <w:bookmarkStart w:id="1392" w:name="_Toc123216584"/>
      <w:bookmarkStart w:id="1393" w:name="_Toc123217424"/>
      <w:bookmarkStart w:id="1394" w:name="_Toc123913387"/>
      <w:bookmarkStart w:id="1395" w:name="_Toc123914043"/>
      <w:bookmarkStart w:id="1396" w:name="_Toc125566657"/>
      <w:r w:rsidRPr="00BE33F6">
        <w:rPr>
          <w:rFonts w:ascii="Arial" w:hAnsi="Arial" w:cs="Arial"/>
          <w:b/>
          <w:bCs/>
          <w:color w:val="F8A132"/>
          <w:sz w:val="36"/>
          <w:szCs w:val="36"/>
          <w:lang w:val="en-US"/>
        </w:rPr>
        <w:t xml:space="preserve">The </w:t>
      </w:r>
      <w:r w:rsidR="00A73BBD" w:rsidRPr="00BE33F6">
        <w:rPr>
          <w:rFonts w:ascii="Arial" w:hAnsi="Arial" w:cs="Arial"/>
          <w:b/>
          <w:bCs/>
          <w:color w:val="F8A132"/>
          <w:sz w:val="36"/>
          <w:szCs w:val="36"/>
          <w:lang w:val="en-US"/>
        </w:rPr>
        <w:t>public sector</w:t>
      </w:r>
      <w:bookmarkEnd w:id="1391"/>
      <w:bookmarkEnd w:id="1392"/>
      <w:bookmarkEnd w:id="1393"/>
      <w:bookmarkEnd w:id="1394"/>
      <w:bookmarkEnd w:id="1395"/>
      <w:bookmarkEnd w:id="1396"/>
    </w:p>
    <w:p w14:paraId="01112CE5" w14:textId="77777777" w:rsidR="00402C0F" w:rsidRPr="008710C2" w:rsidRDefault="00402C0F" w:rsidP="002D14C0">
      <w:pPr>
        <w:spacing w:line="276" w:lineRule="auto"/>
        <w:rPr>
          <w:rFonts w:ascii="Arial" w:hAnsi="Arial" w:cs="Arial"/>
          <w:sz w:val="24"/>
          <w:szCs w:val="24"/>
          <w:lang w:val="en-US"/>
        </w:rPr>
      </w:pPr>
    </w:p>
    <w:p w14:paraId="0AF3FD13" w14:textId="77777777" w:rsidR="00402C0F" w:rsidRPr="008710C2" w:rsidRDefault="00402C0F" w:rsidP="002D14C0">
      <w:pPr>
        <w:spacing w:before="240" w:line="276" w:lineRule="auto"/>
        <w:contextualSpacing/>
        <w:jc w:val="both"/>
        <w:rPr>
          <w:rFonts w:ascii="Arial" w:hAnsi="Arial" w:cs="Arial"/>
          <w:iCs/>
          <w:sz w:val="24"/>
          <w:szCs w:val="24"/>
          <w:lang w:val="en-ZA"/>
        </w:rPr>
      </w:pPr>
      <w:r w:rsidRPr="008710C2">
        <w:rPr>
          <w:rFonts w:ascii="Arial" w:hAnsi="Arial" w:cs="Arial"/>
          <w:iCs/>
          <w:sz w:val="24"/>
          <w:szCs w:val="24"/>
          <w:lang w:val="en-ZA"/>
        </w:rPr>
        <w:t xml:space="preserve">The public sector comprises of general government and public corporations as shown in the diagram below. </w:t>
      </w:r>
    </w:p>
    <w:p w14:paraId="4D407800" w14:textId="77777777" w:rsidR="00402C0F" w:rsidRPr="008710C2" w:rsidRDefault="00402C0F" w:rsidP="002D14C0">
      <w:pPr>
        <w:spacing w:before="240" w:line="276" w:lineRule="auto"/>
        <w:contextualSpacing/>
        <w:jc w:val="both"/>
        <w:rPr>
          <w:rFonts w:ascii="Arial" w:hAnsi="Arial" w:cs="Arial"/>
          <w:iCs/>
          <w:sz w:val="24"/>
          <w:szCs w:val="24"/>
          <w:lang w:val="en-ZA"/>
        </w:rPr>
      </w:pPr>
    </w:p>
    <w:p w14:paraId="3D4882E3" w14:textId="04818AA0" w:rsidR="00402C0F" w:rsidRPr="008710C2" w:rsidRDefault="00402C0F" w:rsidP="002D14C0">
      <w:pPr>
        <w:spacing w:before="240" w:line="276" w:lineRule="auto"/>
        <w:contextualSpacing/>
        <w:jc w:val="both"/>
        <w:rPr>
          <w:rFonts w:ascii="Arial" w:hAnsi="Arial" w:cs="Arial"/>
          <w:iCs/>
          <w:sz w:val="24"/>
          <w:szCs w:val="24"/>
          <w:lang w:val="en-ZA"/>
        </w:rPr>
      </w:pPr>
      <w:r w:rsidRPr="008710C2">
        <w:rPr>
          <w:rFonts w:ascii="Arial" w:hAnsi="Arial" w:cs="Arial"/>
          <w:iCs/>
          <w:sz w:val="24"/>
          <w:szCs w:val="24"/>
          <w:lang w:val="en-ZA"/>
        </w:rPr>
        <w:t xml:space="preserve">The general government consists of levels of government setting the budget from the central level down to the local level. Central government consists of units that have the authority to impose taxes and that are funded from the executive’s budget. They then use this funding to provide goods and services to the public. Further descriptions for each of these units, together with key fiscal transparency considerations, are provided in </w:t>
      </w:r>
      <w:r w:rsidR="004C0273">
        <w:rPr>
          <w:rFonts w:ascii="Arial" w:hAnsi="Arial" w:cs="Arial"/>
          <w:iCs/>
          <w:sz w:val="24"/>
          <w:szCs w:val="24"/>
          <w:lang w:val="en-ZA"/>
        </w:rPr>
        <w:t>Table</w:t>
      </w:r>
      <w:r w:rsidRPr="008710C2">
        <w:rPr>
          <w:rFonts w:ascii="Arial" w:hAnsi="Arial" w:cs="Arial"/>
          <w:iCs/>
          <w:sz w:val="24"/>
          <w:szCs w:val="24"/>
          <w:lang w:val="en-ZA"/>
        </w:rPr>
        <w:t xml:space="preserve"> 3.1. and </w:t>
      </w:r>
      <w:r w:rsidR="004C0273">
        <w:rPr>
          <w:rFonts w:ascii="Arial" w:hAnsi="Arial" w:cs="Arial"/>
          <w:iCs/>
          <w:sz w:val="24"/>
          <w:szCs w:val="24"/>
          <w:lang w:val="en-ZA"/>
        </w:rPr>
        <w:t>Table</w:t>
      </w:r>
      <w:r w:rsidRPr="008710C2">
        <w:rPr>
          <w:rFonts w:ascii="Arial" w:hAnsi="Arial" w:cs="Arial"/>
          <w:iCs/>
          <w:sz w:val="24"/>
          <w:szCs w:val="24"/>
          <w:lang w:val="en-ZA"/>
        </w:rPr>
        <w:t xml:space="preserve"> 3.2. below. </w:t>
      </w:r>
    </w:p>
    <w:p w14:paraId="21D20965" w14:textId="77777777" w:rsidR="00402C0F" w:rsidRPr="008710C2" w:rsidRDefault="00402C0F" w:rsidP="002D14C0">
      <w:pPr>
        <w:spacing w:before="240" w:line="276" w:lineRule="auto"/>
        <w:contextualSpacing/>
        <w:jc w:val="both"/>
        <w:rPr>
          <w:rFonts w:ascii="Arial" w:hAnsi="Arial" w:cs="Arial"/>
          <w:iCs/>
          <w:sz w:val="24"/>
          <w:szCs w:val="24"/>
          <w:lang w:val="en-ZA"/>
        </w:rPr>
      </w:pPr>
    </w:p>
    <w:p w14:paraId="11BF33BF" w14:textId="61E97A2C" w:rsidR="00402C0F" w:rsidRPr="008710C2" w:rsidRDefault="00402C0F" w:rsidP="002D14C0">
      <w:pPr>
        <w:spacing w:before="240" w:line="276" w:lineRule="auto"/>
        <w:contextualSpacing/>
        <w:jc w:val="both"/>
        <w:rPr>
          <w:rFonts w:ascii="Arial" w:hAnsi="Arial" w:cs="Arial"/>
          <w:iCs/>
          <w:sz w:val="24"/>
          <w:szCs w:val="24"/>
          <w:lang w:val="en-ZA"/>
        </w:rPr>
      </w:pPr>
      <w:r w:rsidRPr="008710C2">
        <w:rPr>
          <w:rFonts w:ascii="Arial" w:hAnsi="Arial" w:cs="Arial"/>
          <w:iCs/>
          <w:sz w:val="24"/>
          <w:szCs w:val="24"/>
          <w:lang w:val="en-ZA"/>
        </w:rPr>
        <w:t xml:space="preserve">Public corporations are controlled by government units or by other public corporations. They are distinguished from general government in that their budgets are separate from the executive’s main budget and they have a level of autonomy in their implementation. Further descriptions, together with key fiscal transparency considerations, are provided in </w:t>
      </w:r>
      <w:r w:rsidR="00A710B3">
        <w:rPr>
          <w:rFonts w:ascii="Arial" w:hAnsi="Arial" w:cs="Arial"/>
          <w:iCs/>
          <w:sz w:val="24"/>
          <w:szCs w:val="24"/>
          <w:lang w:val="en-ZA"/>
        </w:rPr>
        <w:t>Table</w:t>
      </w:r>
      <w:r w:rsidRPr="008710C2">
        <w:rPr>
          <w:rFonts w:ascii="Arial" w:hAnsi="Arial" w:cs="Arial"/>
          <w:iCs/>
          <w:sz w:val="24"/>
          <w:szCs w:val="24"/>
          <w:lang w:val="en-ZA"/>
        </w:rPr>
        <w:t xml:space="preserve"> 3.3. below. </w:t>
      </w:r>
    </w:p>
    <w:p w14:paraId="6F30E7DF" w14:textId="0C785AD5" w:rsidR="00402C0F" w:rsidRPr="008710C2" w:rsidRDefault="00402C0F" w:rsidP="002D14C0">
      <w:pPr>
        <w:spacing w:before="240" w:line="276" w:lineRule="auto"/>
        <w:contextualSpacing/>
        <w:jc w:val="both"/>
        <w:rPr>
          <w:rFonts w:ascii="Arial" w:hAnsi="Arial" w:cs="Arial"/>
          <w:iCs/>
          <w:sz w:val="24"/>
          <w:szCs w:val="24"/>
          <w:lang w:val="en-ZA"/>
        </w:rPr>
      </w:pPr>
    </w:p>
    <w:p w14:paraId="423C4CC6" w14:textId="6D02E68C" w:rsidR="00402C0F" w:rsidRPr="003625BA" w:rsidRDefault="00402C0F" w:rsidP="003625BA">
      <w:pPr>
        <w:pStyle w:val="Heading3"/>
        <w:jc w:val="center"/>
        <w:rPr>
          <w:rFonts w:ascii="Arial" w:hAnsi="Arial" w:cs="Arial"/>
          <w:b/>
          <w:bCs/>
          <w:color w:val="69557F"/>
          <w:sz w:val="20"/>
          <w:szCs w:val="20"/>
          <w:lang w:val="en-US"/>
        </w:rPr>
      </w:pPr>
      <w:bookmarkStart w:id="1397" w:name="_Figure_3.1._The"/>
      <w:bookmarkStart w:id="1398" w:name="_Toc123217425"/>
      <w:bookmarkStart w:id="1399" w:name="_Toc123913388"/>
      <w:bookmarkStart w:id="1400" w:name="_Toc123914044"/>
      <w:bookmarkStart w:id="1401" w:name="_Toc125566658"/>
      <w:bookmarkEnd w:id="1397"/>
      <w:r w:rsidRPr="003625BA">
        <w:rPr>
          <w:rFonts w:ascii="Arial" w:hAnsi="Arial" w:cs="Arial"/>
          <w:b/>
          <w:bCs/>
          <w:color w:val="69557F"/>
          <w:sz w:val="20"/>
          <w:szCs w:val="20"/>
          <w:lang w:val="en-US"/>
        </w:rPr>
        <w:t xml:space="preserve">Figure </w:t>
      </w:r>
      <w:r w:rsidR="00281BF5" w:rsidRPr="003625BA">
        <w:rPr>
          <w:rFonts w:ascii="Arial" w:hAnsi="Arial" w:cs="Arial"/>
          <w:b/>
          <w:bCs/>
          <w:color w:val="69557F"/>
          <w:sz w:val="20"/>
          <w:szCs w:val="20"/>
          <w:lang w:val="en-US"/>
        </w:rPr>
        <w:t>3.</w:t>
      </w:r>
      <w:r w:rsidR="003D10E4">
        <w:rPr>
          <w:rFonts w:ascii="Arial" w:hAnsi="Arial" w:cs="Arial"/>
          <w:b/>
          <w:bCs/>
          <w:color w:val="69557F"/>
          <w:sz w:val="20"/>
          <w:szCs w:val="20"/>
          <w:lang w:val="en-US"/>
        </w:rPr>
        <w:t>1.</w:t>
      </w:r>
      <w:r w:rsidR="00E551F9" w:rsidRPr="003625BA">
        <w:rPr>
          <w:rFonts w:ascii="Arial" w:hAnsi="Arial" w:cs="Arial"/>
          <w:b/>
          <w:bCs/>
          <w:color w:val="69557F"/>
          <w:sz w:val="20"/>
          <w:szCs w:val="20"/>
          <w:lang w:val="en-US"/>
        </w:rPr>
        <w:t xml:space="preserve"> </w:t>
      </w:r>
      <w:r w:rsidRPr="003625BA">
        <w:rPr>
          <w:rFonts w:ascii="Arial" w:hAnsi="Arial" w:cs="Arial"/>
          <w:b/>
          <w:bCs/>
          <w:color w:val="69557F"/>
          <w:sz w:val="20"/>
          <w:szCs w:val="20"/>
          <w:lang w:val="en-US"/>
        </w:rPr>
        <w:t>The public sector</w:t>
      </w:r>
      <w:bookmarkEnd w:id="1398"/>
      <w:bookmarkEnd w:id="1399"/>
      <w:bookmarkEnd w:id="1400"/>
      <w:bookmarkEnd w:id="1401"/>
    </w:p>
    <w:p w14:paraId="1E5A1E06" w14:textId="23536A45" w:rsidR="00402C0F" w:rsidRDefault="0066524A" w:rsidP="002D14C0">
      <w:pPr>
        <w:spacing w:line="276" w:lineRule="auto"/>
        <w:jc w:val="both"/>
        <w:rPr>
          <w:rFonts w:ascii="Arial" w:hAnsi="Arial" w:cs="Arial"/>
          <w:iCs/>
          <w:sz w:val="24"/>
          <w:szCs w:val="24"/>
          <w:lang w:val="en-US"/>
        </w:rPr>
      </w:pPr>
      <w:r w:rsidRPr="003625BA">
        <w:rPr>
          <w:rFonts w:ascii="Arial" w:hAnsi="Arial" w:cs="Arial"/>
          <w:b/>
          <w:bCs/>
          <w:noProof/>
          <w:color w:val="69557F"/>
          <w:sz w:val="20"/>
          <w:szCs w:val="20"/>
          <w:lang w:val="en-US"/>
        </w:rPr>
        <w:drawing>
          <wp:anchor distT="0" distB="0" distL="114300" distR="114300" simplePos="0" relativeHeight="252848126" behindDoc="1" locked="0" layoutInCell="1" allowOverlap="1" wp14:anchorId="51AB584B" wp14:editId="1D4E61E0">
            <wp:simplePos x="0" y="0"/>
            <wp:positionH relativeFrom="margin">
              <wp:align>center</wp:align>
            </wp:positionH>
            <wp:positionV relativeFrom="paragraph">
              <wp:posOffset>59055</wp:posOffset>
            </wp:positionV>
            <wp:extent cx="5539740" cy="2926080"/>
            <wp:effectExtent l="0" t="0" r="0" b="0"/>
            <wp:wrapTight wrapText="bothSides">
              <wp:wrapPolygon edited="0">
                <wp:start x="11637" y="94"/>
                <wp:lineTo x="11439" y="563"/>
                <wp:lineTo x="11340" y="1031"/>
                <wp:lineTo x="11340" y="1781"/>
                <wp:lineTo x="10795" y="2063"/>
                <wp:lineTo x="10696" y="2250"/>
                <wp:lineTo x="10696" y="3281"/>
                <wp:lineTo x="6338" y="4688"/>
                <wp:lineTo x="6140" y="5156"/>
                <wp:lineTo x="6091" y="6281"/>
                <wp:lineTo x="5447" y="7781"/>
                <wp:lineTo x="1832" y="8063"/>
                <wp:lineTo x="1040" y="8344"/>
                <wp:lineTo x="1040" y="11906"/>
                <wp:lineTo x="2228" y="12281"/>
                <wp:lineTo x="5398" y="12281"/>
                <wp:lineTo x="5942" y="13781"/>
                <wp:lineTo x="6140" y="15281"/>
                <wp:lineTo x="6140" y="15656"/>
                <wp:lineTo x="9706" y="16781"/>
                <wp:lineTo x="10746" y="16781"/>
                <wp:lineTo x="10746" y="19219"/>
                <wp:lineTo x="10993" y="19781"/>
                <wp:lineTo x="11389" y="19781"/>
                <wp:lineTo x="11389" y="20250"/>
                <wp:lineTo x="11587" y="21094"/>
                <wp:lineTo x="11686" y="21281"/>
                <wp:lineTo x="14806" y="21281"/>
                <wp:lineTo x="14905" y="21094"/>
                <wp:lineTo x="15153" y="20156"/>
                <wp:lineTo x="15202" y="17531"/>
                <wp:lineTo x="14608" y="17344"/>
                <wp:lineTo x="10993" y="16781"/>
                <wp:lineTo x="14608" y="16781"/>
                <wp:lineTo x="15153" y="16594"/>
                <wp:lineTo x="15054" y="13781"/>
                <wp:lineTo x="15895" y="13781"/>
                <wp:lineTo x="20253" y="12563"/>
                <wp:lineTo x="20204" y="656"/>
                <wp:lineTo x="20006" y="94"/>
                <wp:lineTo x="11637" y="94"/>
              </wp:wrapPolygon>
            </wp:wrapTight>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icture 628"/>
                    <pic:cNvPicPr/>
                  </pic:nvPicPr>
                  <pic:blipFill rotWithShape="1">
                    <a:blip r:embed="rId596" cstate="email">
                      <a:extLst>
                        <a:ext uri="{28A0092B-C50C-407E-A947-70E740481C1C}">
                          <a14:useLocalDpi xmlns:a14="http://schemas.microsoft.com/office/drawing/2010/main"/>
                        </a:ext>
                      </a:extLst>
                    </a:blip>
                    <a:srcRect/>
                    <a:stretch/>
                  </pic:blipFill>
                  <pic:spPr bwMode="auto">
                    <a:xfrm>
                      <a:off x="0" y="0"/>
                      <a:ext cx="5539740" cy="292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E9AB5" w14:textId="77777777" w:rsidR="00402C0F" w:rsidRPr="00C91844" w:rsidRDefault="00402C0F" w:rsidP="002D14C0">
      <w:pPr>
        <w:spacing w:line="276" w:lineRule="auto"/>
        <w:jc w:val="both"/>
        <w:rPr>
          <w:rFonts w:ascii="Arial" w:hAnsi="Arial" w:cs="Arial"/>
          <w:iCs/>
          <w:sz w:val="24"/>
          <w:szCs w:val="24"/>
          <w:lang w:val="en-US"/>
        </w:rPr>
      </w:pPr>
    </w:p>
    <w:p w14:paraId="36C1D304" w14:textId="57136127" w:rsidR="00402C0F" w:rsidRDefault="00402C0F" w:rsidP="002D14C0">
      <w:pPr>
        <w:spacing w:line="276" w:lineRule="auto"/>
        <w:rPr>
          <w:rFonts w:ascii="Arial" w:hAnsi="Arial" w:cs="Arial"/>
          <w:sz w:val="24"/>
          <w:szCs w:val="24"/>
        </w:rPr>
      </w:pPr>
    </w:p>
    <w:p w14:paraId="44C92250" w14:textId="77777777" w:rsidR="00402C0F" w:rsidRPr="00D47D65" w:rsidRDefault="00402C0F" w:rsidP="002D14C0">
      <w:pPr>
        <w:rPr>
          <w:rFonts w:ascii="Arial" w:hAnsi="Arial" w:cs="Arial"/>
          <w:sz w:val="24"/>
          <w:szCs w:val="24"/>
        </w:rPr>
      </w:pPr>
    </w:p>
    <w:p w14:paraId="73362A15" w14:textId="77777777" w:rsidR="00402C0F" w:rsidRPr="00D47D65" w:rsidRDefault="00402C0F" w:rsidP="002D14C0">
      <w:pPr>
        <w:rPr>
          <w:rFonts w:ascii="Arial" w:hAnsi="Arial" w:cs="Arial"/>
          <w:sz w:val="24"/>
          <w:szCs w:val="24"/>
        </w:rPr>
      </w:pPr>
    </w:p>
    <w:p w14:paraId="7FF94B5B" w14:textId="77777777" w:rsidR="00402C0F" w:rsidRPr="00D47D65" w:rsidRDefault="00402C0F" w:rsidP="002D14C0">
      <w:pPr>
        <w:rPr>
          <w:rFonts w:ascii="Arial" w:hAnsi="Arial" w:cs="Arial"/>
          <w:sz w:val="24"/>
          <w:szCs w:val="24"/>
        </w:rPr>
      </w:pPr>
    </w:p>
    <w:p w14:paraId="19CCD946" w14:textId="77777777" w:rsidR="00402C0F" w:rsidRPr="00D47D65" w:rsidRDefault="00402C0F" w:rsidP="002D14C0">
      <w:pPr>
        <w:rPr>
          <w:rFonts w:ascii="Arial" w:hAnsi="Arial" w:cs="Arial"/>
          <w:sz w:val="24"/>
          <w:szCs w:val="24"/>
        </w:rPr>
      </w:pPr>
    </w:p>
    <w:p w14:paraId="62B8059B" w14:textId="77777777" w:rsidR="00402C0F" w:rsidRPr="00D47D65" w:rsidRDefault="00402C0F" w:rsidP="002D14C0">
      <w:pPr>
        <w:rPr>
          <w:rFonts w:ascii="Arial" w:hAnsi="Arial" w:cs="Arial"/>
          <w:sz w:val="24"/>
          <w:szCs w:val="24"/>
        </w:rPr>
      </w:pPr>
    </w:p>
    <w:p w14:paraId="48BBE778" w14:textId="77777777" w:rsidR="00402C0F" w:rsidRPr="00D47D65" w:rsidRDefault="00402C0F" w:rsidP="002D14C0">
      <w:pPr>
        <w:rPr>
          <w:rFonts w:ascii="Arial" w:hAnsi="Arial" w:cs="Arial"/>
          <w:sz w:val="24"/>
          <w:szCs w:val="24"/>
        </w:rPr>
      </w:pPr>
    </w:p>
    <w:p w14:paraId="6BABD077" w14:textId="74E45303" w:rsidR="00402C0F" w:rsidRPr="00D47D65" w:rsidRDefault="00402C0F" w:rsidP="002D14C0">
      <w:pPr>
        <w:rPr>
          <w:rFonts w:ascii="Arial" w:hAnsi="Arial" w:cs="Arial"/>
          <w:sz w:val="24"/>
          <w:szCs w:val="24"/>
        </w:rPr>
      </w:pPr>
    </w:p>
    <w:p w14:paraId="39695852" w14:textId="76517EA4" w:rsidR="00402C0F" w:rsidRPr="00D47D65" w:rsidRDefault="0096076C" w:rsidP="002D14C0">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849150" behindDoc="0" locked="0" layoutInCell="1" allowOverlap="1" wp14:anchorId="5072315E" wp14:editId="73586EE6">
                <wp:simplePos x="0" y="0"/>
                <wp:positionH relativeFrom="column">
                  <wp:posOffset>4498467</wp:posOffset>
                </wp:positionH>
                <wp:positionV relativeFrom="paragraph">
                  <wp:posOffset>17780</wp:posOffset>
                </wp:positionV>
                <wp:extent cx="2139315" cy="1206500"/>
                <wp:effectExtent l="0" t="0" r="0" b="0"/>
                <wp:wrapNone/>
                <wp:docPr id="629" name="Text Box 629"/>
                <wp:cNvGraphicFramePr/>
                <a:graphic xmlns:a="http://schemas.openxmlformats.org/drawingml/2006/main">
                  <a:graphicData uri="http://schemas.microsoft.com/office/word/2010/wordprocessingShape">
                    <wps:wsp>
                      <wps:cNvSpPr txBox="1"/>
                      <wps:spPr>
                        <a:xfrm>
                          <a:off x="0" y="0"/>
                          <a:ext cx="2139315" cy="1206500"/>
                        </a:xfrm>
                        <a:prstGeom prst="rect">
                          <a:avLst/>
                        </a:prstGeom>
                        <a:solidFill>
                          <a:schemeClr val="lt1"/>
                        </a:solidFill>
                        <a:ln w="6350">
                          <a:noFill/>
                        </a:ln>
                      </wps:spPr>
                      <wps:txbx>
                        <w:txbxContent>
                          <w:p w14:paraId="1DD3F2B8" w14:textId="51A16BCE" w:rsidR="00D15FD8" w:rsidRPr="00D47D65" w:rsidRDefault="00D15FD8">
                            <w:pPr>
                              <w:rPr>
                                <w:rFonts w:ascii="Arial" w:hAnsi="Arial" w:cs="Arial"/>
                                <w:color w:val="16988A"/>
                                <w:sz w:val="20"/>
                                <w:szCs w:val="20"/>
                              </w:rPr>
                            </w:pPr>
                            <w:r w:rsidRPr="00D47D65">
                              <w:rPr>
                                <w:rFonts w:ascii="Arial" w:hAnsi="Arial" w:cs="Arial"/>
                                <w:b/>
                                <w:bCs/>
                                <w:color w:val="69557F"/>
                                <w:sz w:val="20"/>
                                <w:szCs w:val="20"/>
                                <w:lang w:val="en-US"/>
                              </w:rPr>
                              <w:t>Budgetary:</w:t>
                            </w:r>
                            <w:r w:rsidRPr="00D47D65">
                              <w:rPr>
                                <w:rFonts w:ascii="Arial" w:hAnsi="Arial" w:cs="Arial"/>
                                <w:color w:val="F8A132"/>
                                <w:sz w:val="20"/>
                                <w:szCs w:val="20"/>
                                <w:lang w:val="en-US"/>
                              </w:rPr>
                              <w:t xml:space="preserve"> </w:t>
                            </w:r>
                            <w:r w:rsidRPr="00D47D65">
                              <w:rPr>
                                <w:rFonts w:ascii="Arial" w:hAnsi="Arial" w:cs="Arial"/>
                                <w:color w:val="16988A"/>
                                <w:sz w:val="20"/>
                                <w:szCs w:val="20"/>
                                <w:lang w:val="en-US"/>
                              </w:rPr>
                              <w:t>social security fund</w:t>
                            </w:r>
                            <w:r>
                              <w:rPr>
                                <w:rFonts w:ascii="Arial" w:hAnsi="Arial" w:cs="Arial"/>
                                <w:color w:val="16988A"/>
                                <w:sz w:val="20"/>
                                <w:szCs w:val="20"/>
                                <w:lang w:val="en-US"/>
                              </w:rPr>
                              <w:t>s</w:t>
                            </w:r>
                            <w:r w:rsidRPr="00D47D65">
                              <w:rPr>
                                <w:rFonts w:ascii="Arial" w:hAnsi="Arial" w:cs="Arial"/>
                                <w:color w:val="16988A"/>
                                <w:sz w:val="20"/>
                                <w:szCs w:val="20"/>
                                <w:lang w:val="en-US"/>
                              </w:rPr>
                              <w:t>; and extra-budgetary units can also exist in the state and local governments. Social security funds at the different levels of government can also be combine</w:t>
                            </w:r>
                            <w:r>
                              <w:rPr>
                                <w:rFonts w:ascii="Arial" w:hAnsi="Arial" w:cs="Arial"/>
                                <w:color w:val="16988A"/>
                                <w:sz w:val="20"/>
                                <w:szCs w:val="20"/>
                                <w:lang w:val="en-US"/>
                              </w:rPr>
                              <w:t>d</w:t>
                            </w:r>
                            <w:r w:rsidRPr="00D47D65">
                              <w:rPr>
                                <w:rFonts w:ascii="Arial" w:hAnsi="Arial" w:cs="Arial"/>
                                <w:color w:val="16988A"/>
                                <w:sz w:val="20"/>
                                <w:szCs w:val="20"/>
                                <w:lang w:val="en-US"/>
                              </w:rPr>
                              <w:t xml:space="preserve"> to form a separate subsector.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2315E" id="Text Box 629" o:spid="_x0000_s1334" type="#_x0000_t202" style="position:absolute;margin-left:354.2pt;margin-top:1.4pt;width:168.45pt;height:95pt;z-index:252849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" fillcolor="white [3201]" stroked="f" strokeweight=".5pt">
                <v:textbox>
                  <w:txbxContent>
                    <w:p w14:paraId="1DD3F2B8" w14:textId="51A16BCE" w:rsidR="00D15FD8" w:rsidRPr="00D47D65" w:rsidRDefault="00D15FD8">
                      <w:pPr>
                        <w:rPr>
                          <w:rFonts w:ascii="Arial" w:hAnsi="Arial" w:cs="Arial"/>
                          <w:color w:val="16988A"/>
                          <w:sz w:val="20"/>
                          <w:szCs w:val="20"/>
                        </w:rPr>
                      </w:pPr>
                      <w:r w:rsidRPr="00D47D65">
                        <w:rPr>
                          <w:rFonts w:ascii="Arial" w:hAnsi="Arial" w:cs="Arial"/>
                          <w:b/>
                          <w:bCs/>
                          <w:color w:val="69557F"/>
                          <w:sz w:val="20"/>
                          <w:szCs w:val="20"/>
                          <w:lang w:val="en-US"/>
                        </w:rPr>
                        <w:t>Budgetary:</w:t>
                      </w:r>
                      <w:r w:rsidRPr="00D47D65">
                        <w:rPr>
                          <w:rFonts w:ascii="Arial" w:hAnsi="Arial" w:cs="Arial"/>
                          <w:color w:val="F8A132"/>
                          <w:sz w:val="20"/>
                          <w:szCs w:val="20"/>
                          <w:lang w:val="en-US"/>
                        </w:rPr>
                        <w:t xml:space="preserve"> </w:t>
                      </w:r>
                      <w:r w:rsidRPr="00D47D65">
                        <w:rPr>
                          <w:rFonts w:ascii="Arial" w:hAnsi="Arial" w:cs="Arial"/>
                          <w:color w:val="16988A"/>
                          <w:sz w:val="20"/>
                          <w:szCs w:val="20"/>
                          <w:lang w:val="en-US"/>
                        </w:rPr>
                        <w:t>social security fund</w:t>
                      </w:r>
                      <w:r>
                        <w:rPr>
                          <w:rFonts w:ascii="Arial" w:hAnsi="Arial" w:cs="Arial"/>
                          <w:color w:val="16988A"/>
                          <w:sz w:val="20"/>
                          <w:szCs w:val="20"/>
                          <w:lang w:val="en-US"/>
                        </w:rPr>
                        <w:t>s</w:t>
                      </w:r>
                      <w:r w:rsidRPr="00D47D65">
                        <w:rPr>
                          <w:rFonts w:ascii="Arial" w:hAnsi="Arial" w:cs="Arial"/>
                          <w:color w:val="16988A"/>
                          <w:sz w:val="20"/>
                          <w:szCs w:val="20"/>
                          <w:lang w:val="en-US"/>
                        </w:rPr>
                        <w:t>; and extra-budgetary units can also exist in the state and local governments. Social security funds at the different levels of government can also be combine</w:t>
                      </w:r>
                      <w:r>
                        <w:rPr>
                          <w:rFonts w:ascii="Arial" w:hAnsi="Arial" w:cs="Arial"/>
                          <w:color w:val="16988A"/>
                          <w:sz w:val="20"/>
                          <w:szCs w:val="20"/>
                          <w:lang w:val="en-US"/>
                        </w:rPr>
                        <w:t>d</w:t>
                      </w:r>
                      <w:r w:rsidRPr="00D47D65">
                        <w:rPr>
                          <w:rFonts w:ascii="Arial" w:hAnsi="Arial" w:cs="Arial"/>
                          <w:color w:val="16988A"/>
                          <w:sz w:val="20"/>
                          <w:szCs w:val="20"/>
                          <w:lang w:val="en-US"/>
                        </w:rPr>
                        <w:t xml:space="preserve"> to form a separate subsector.</w:t>
                      </w:r>
                    </w:p>
                  </w:txbxContent>
                </v:textbox>
              </v:shape>
            </w:pict>
          </mc:Fallback>
        </mc:AlternateContent>
      </w:r>
    </w:p>
    <w:p w14:paraId="196E1BA1" w14:textId="012BF2A8" w:rsidR="00402C0F" w:rsidRPr="00D47D65" w:rsidRDefault="00402C0F" w:rsidP="002D14C0">
      <w:pPr>
        <w:rPr>
          <w:rFonts w:ascii="Arial" w:hAnsi="Arial" w:cs="Arial"/>
          <w:sz w:val="24"/>
          <w:szCs w:val="24"/>
        </w:rPr>
      </w:pPr>
    </w:p>
    <w:p w14:paraId="3026C129" w14:textId="77777777" w:rsidR="00402C0F" w:rsidRPr="00D47D65" w:rsidRDefault="00402C0F" w:rsidP="002D14C0">
      <w:pPr>
        <w:rPr>
          <w:rFonts w:ascii="Arial" w:hAnsi="Arial" w:cs="Arial"/>
          <w:sz w:val="24"/>
          <w:szCs w:val="24"/>
        </w:rPr>
      </w:pPr>
    </w:p>
    <w:p w14:paraId="59CD1B48" w14:textId="77777777" w:rsidR="00402C0F" w:rsidRPr="00D47D65" w:rsidRDefault="00402C0F" w:rsidP="002D14C0">
      <w:pPr>
        <w:rPr>
          <w:rFonts w:ascii="Arial" w:hAnsi="Arial" w:cs="Arial"/>
          <w:sz w:val="24"/>
          <w:szCs w:val="24"/>
        </w:rPr>
      </w:pPr>
    </w:p>
    <w:p w14:paraId="2C9C8DBF" w14:textId="77777777" w:rsidR="00402C0F" w:rsidRPr="00D47D65" w:rsidRDefault="00402C0F" w:rsidP="002D14C0">
      <w:pPr>
        <w:rPr>
          <w:rFonts w:ascii="Arial" w:hAnsi="Arial" w:cs="Arial"/>
          <w:sz w:val="24"/>
          <w:szCs w:val="24"/>
        </w:rPr>
      </w:pPr>
    </w:p>
    <w:p w14:paraId="0CF6A425" w14:textId="77777777" w:rsidR="00402C0F" w:rsidRPr="00D47D65" w:rsidRDefault="00402C0F" w:rsidP="002D14C0">
      <w:pPr>
        <w:rPr>
          <w:rFonts w:ascii="Arial" w:hAnsi="Arial" w:cs="Arial"/>
          <w:sz w:val="24"/>
          <w:szCs w:val="24"/>
        </w:rPr>
      </w:pPr>
    </w:p>
    <w:p w14:paraId="293AD42E" w14:textId="77777777" w:rsidR="00402C0F" w:rsidRDefault="00402C0F" w:rsidP="002D14C0">
      <w:pPr>
        <w:tabs>
          <w:tab w:val="left" w:pos="3100"/>
        </w:tabs>
        <w:rPr>
          <w:rFonts w:ascii="Arial" w:hAnsi="Arial" w:cs="Arial"/>
          <w:sz w:val="24"/>
          <w:szCs w:val="24"/>
        </w:rPr>
      </w:pPr>
      <w:r>
        <w:rPr>
          <w:rFonts w:ascii="Arial" w:hAnsi="Arial" w:cs="Arial"/>
          <w:sz w:val="24"/>
          <w:szCs w:val="24"/>
        </w:rPr>
        <w:tab/>
      </w:r>
    </w:p>
    <w:p w14:paraId="715CB759" w14:textId="0CF2D792" w:rsidR="0082509D" w:rsidRPr="00EB25BE" w:rsidRDefault="00402C0F" w:rsidP="00EB25BE">
      <w:pPr>
        <w:spacing w:before="120" w:line="276" w:lineRule="auto"/>
        <w:contextualSpacing/>
        <w:jc w:val="both"/>
        <w:rPr>
          <w:rFonts w:ascii="Arial" w:hAnsi="Arial" w:cs="Arial"/>
          <w:iCs/>
          <w:sz w:val="24"/>
          <w:szCs w:val="24"/>
        </w:rPr>
      </w:pPr>
      <w:r w:rsidRPr="00D47D65">
        <w:rPr>
          <w:rFonts w:ascii="Arial" w:hAnsi="Arial" w:cs="Arial"/>
          <w:iCs/>
          <w:sz w:val="24"/>
          <w:szCs w:val="24"/>
        </w:rPr>
        <w:t>In summation, to ensure that fiscal relations across the public sector can be analysed, norms and standards state that in addition to information on central government being published, there should also be coordinated publication of information on the financial performance of sub-national governments (individually and collectively), any extrabudgetary operations, and public corporations, including any quasi-fiscal activities undertaken by them. This is important such that the fiscal position of the whole of government can be assessed including the fiscal risks that the institutions may be posing.</w:t>
      </w:r>
    </w:p>
    <w:p w14:paraId="3AA6A752" w14:textId="3407CF45" w:rsidR="00A22108" w:rsidRPr="003625BA" w:rsidRDefault="00A22108" w:rsidP="003625BA">
      <w:pPr>
        <w:pStyle w:val="Heading3"/>
        <w:jc w:val="center"/>
        <w:rPr>
          <w:rFonts w:ascii="Arial" w:hAnsi="Arial" w:cs="Arial"/>
          <w:b/>
          <w:bCs/>
          <w:sz w:val="20"/>
          <w:szCs w:val="20"/>
        </w:rPr>
      </w:pPr>
      <w:bookmarkStart w:id="1402" w:name="_Table_3.1._General"/>
      <w:bookmarkStart w:id="1403" w:name="_Toc123204487"/>
      <w:bookmarkStart w:id="1404" w:name="_Toc123216586"/>
      <w:bookmarkStart w:id="1405" w:name="_Toc123217426"/>
      <w:bookmarkStart w:id="1406" w:name="_Toc123914045"/>
      <w:bookmarkEnd w:id="1402"/>
      <w:r w:rsidRPr="003625BA">
        <w:lastRenderedPageBreak/>
        <w:t xml:space="preserve"> </w:t>
      </w:r>
      <w:bookmarkStart w:id="1407" w:name="_Toc125566659"/>
      <w:r w:rsidRPr="003625BA">
        <w:rPr>
          <w:rFonts w:ascii="Arial" w:hAnsi="Arial" w:cs="Arial"/>
          <w:b/>
          <w:bCs/>
          <w:color w:val="ED5625"/>
          <w:sz w:val="20"/>
          <w:szCs w:val="20"/>
        </w:rPr>
        <w:t xml:space="preserve">Table </w:t>
      </w:r>
      <w:r w:rsidR="0065711A" w:rsidRPr="003625BA">
        <w:rPr>
          <w:rFonts w:ascii="Arial" w:hAnsi="Arial" w:cs="Arial"/>
          <w:b/>
          <w:bCs/>
          <w:color w:val="ED5625"/>
          <w:sz w:val="20"/>
          <w:szCs w:val="20"/>
        </w:rPr>
        <w:t>3.1</w:t>
      </w:r>
      <w:r w:rsidR="003D10E4">
        <w:rPr>
          <w:rFonts w:ascii="Arial" w:hAnsi="Arial" w:cs="Arial"/>
          <w:b/>
          <w:bCs/>
          <w:color w:val="ED5625"/>
          <w:sz w:val="20"/>
          <w:szCs w:val="20"/>
        </w:rPr>
        <w:t>.</w:t>
      </w:r>
      <w:r w:rsidR="00162F20" w:rsidRPr="003625BA">
        <w:rPr>
          <w:rFonts w:ascii="Arial" w:hAnsi="Arial" w:cs="Arial"/>
          <w:b/>
          <w:bCs/>
          <w:color w:val="ED5625"/>
          <w:sz w:val="20"/>
          <w:szCs w:val="20"/>
        </w:rPr>
        <w:t xml:space="preserve"> </w:t>
      </w:r>
      <w:r w:rsidRPr="003625BA">
        <w:rPr>
          <w:rFonts w:ascii="Arial" w:hAnsi="Arial" w:cs="Arial"/>
          <w:b/>
          <w:bCs/>
          <w:color w:val="ED5625"/>
          <w:sz w:val="20"/>
          <w:szCs w:val="20"/>
        </w:rPr>
        <w:t>General Government</w:t>
      </w:r>
      <w:bookmarkEnd w:id="1403"/>
      <w:bookmarkEnd w:id="1404"/>
      <w:bookmarkEnd w:id="1405"/>
      <w:bookmarkEnd w:id="1406"/>
      <w:bookmarkEnd w:id="1407"/>
    </w:p>
    <w:p w14:paraId="635AB1F9" w14:textId="6A120DDF" w:rsidR="00402C0F" w:rsidRDefault="00402C0F" w:rsidP="002D14C0">
      <w:pPr>
        <w:tabs>
          <w:tab w:val="left" w:pos="3100"/>
        </w:tabs>
        <w:rPr>
          <w:rFonts w:ascii="Arial" w:hAnsi="Arial" w:cs="Arial"/>
          <w:sz w:val="24"/>
          <w:szCs w:val="24"/>
        </w:rPr>
      </w:pPr>
    </w:p>
    <w:tbl>
      <w:tblPr>
        <w:tblStyle w:val="GridTable5Dark-Accent21"/>
        <w:tblW w:w="10490" w:type="dxa"/>
        <w:tblInd w:w="-5" w:type="dxa"/>
        <w:tblCellMar>
          <w:left w:w="284" w:type="dxa"/>
          <w:right w:w="284" w:type="dxa"/>
        </w:tblCellMar>
        <w:tblLook w:val="04A0" w:firstRow="1" w:lastRow="0" w:firstColumn="1" w:lastColumn="0" w:noHBand="0" w:noVBand="1"/>
      </w:tblPr>
      <w:tblGrid>
        <w:gridCol w:w="10490"/>
      </w:tblGrid>
      <w:tr w:rsidR="003E589A" w:rsidRPr="00EC6719" w14:paraId="63893129" w14:textId="77777777" w:rsidTr="00A36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shd w:val="clear" w:color="auto" w:fill="FBE4D5" w:themeFill="accent2" w:themeFillTint="33"/>
          </w:tcPr>
          <w:p w14:paraId="709613DD" w14:textId="73A3E924" w:rsidR="003E589A" w:rsidRPr="003625BA" w:rsidRDefault="003E589A" w:rsidP="00C5477D">
            <w:pPr>
              <w:autoSpaceDE w:val="0"/>
              <w:autoSpaceDN w:val="0"/>
              <w:adjustRightInd w:val="0"/>
              <w:spacing w:line="276" w:lineRule="auto"/>
              <w:jc w:val="both"/>
              <w:rPr>
                <w:rFonts w:ascii="Roboto" w:hAnsi="Roboto" w:cs="Arial"/>
                <w:color w:val="3B3939"/>
                <w:sz w:val="20"/>
                <w:szCs w:val="20"/>
                <w:lang w:val="en-US"/>
              </w:rPr>
            </w:pPr>
          </w:p>
          <w:p w14:paraId="62030DF0" w14:textId="7233F1DA" w:rsidR="003E589A" w:rsidRPr="003625BA" w:rsidRDefault="003E589A" w:rsidP="00EC6719">
            <w:pPr>
              <w:autoSpaceDE w:val="0"/>
              <w:autoSpaceDN w:val="0"/>
              <w:adjustRightInd w:val="0"/>
              <w:spacing w:line="276" w:lineRule="auto"/>
              <w:jc w:val="both"/>
              <w:rPr>
                <w:rFonts w:ascii="Roboto" w:hAnsi="Roboto" w:cs="Arial"/>
                <w:color w:val="ED5625"/>
                <w:sz w:val="20"/>
                <w:szCs w:val="20"/>
                <w:lang w:val="en-US"/>
              </w:rPr>
            </w:pPr>
            <w:r w:rsidRPr="003625BA">
              <w:rPr>
                <w:rFonts w:ascii="Roboto" w:hAnsi="Roboto" w:cs="Arial"/>
                <w:noProof/>
                <w:color w:val="ED5625"/>
                <w:sz w:val="20"/>
                <w:szCs w:val="20"/>
                <w:lang w:val="en-US"/>
              </w:rPr>
              <w:drawing>
                <wp:anchor distT="0" distB="0" distL="0" distR="0" simplePos="0" relativeHeight="254827518" behindDoc="0" locked="0" layoutInCell="1" allowOverlap="1" wp14:anchorId="3E8C351D" wp14:editId="5993AA1C">
                  <wp:simplePos x="0" y="0"/>
                  <wp:positionH relativeFrom="page">
                    <wp:posOffset>285750</wp:posOffset>
                  </wp:positionH>
                  <wp:positionV relativeFrom="page">
                    <wp:posOffset>231140</wp:posOffset>
                  </wp:positionV>
                  <wp:extent cx="647700" cy="714375"/>
                  <wp:effectExtent l="0" t="0" r="0" b="0"/>
                  <wp:wrapSquare wrapText="bothSides"/>
                  <wp:docPr id="69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rotWithShape="1">
                          <a:blip r:embed="rId597" cstate="email">
                            <a:extLst>
                              <a:ext uri="{28A0092B-C50C-407E-A947-70E740481C1C}">
                                <a14:useLocalDpi xmlns:a14="http://schemas.microsoft.com/office/drawing/2010/main"/>
                              </a:ext>
                            </a:extLst>
                          </a:blip>
                          <a:srcRect r="-83453"/>
                          <a:stretch/>
                        </pic:blipFill>
                        <pic:spPr bwMode="auto">
                          <a:xfrm>
                            <a:off x="0" y="0"/>
                            <a:ext cx="647700" cy="714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625BA">
              <w:rPr>
                <w:rFonts w:ascii="Roboto" w:hAnsi="Roboto" w:cs="Arial"/>
                <w:color w:val="ED5625"/>
                <w:sz w:val="20"/>
                <w:szCs w:val="20"/>
                <w:lang w:val="en-US"/>
              </w:rPr>
              <w:t>Central government</w:t>
            </w:r>
          </w:p>
          <w:p w14:paraId="47D17A76" w14:textId="71BE5D81" w:rsidR="003E589A" w:rsidRPr="00B4006C" w:rsidRDefault="00255530" w:rsidP="00C5477D">
            <w:pPr>
              <w:autoSpaceDE w:val="0"/>
              <w:autoSpaceDN w:val="0"/>
              <w:adjustRightInd w:val="0"/>
              <w:spacing w:line="276" w:lineRule="auto"/>
              <w:jc w:val="both"/>
              <w:rPr>
                <w:rFonts w:ascii="Roboto" w:hAnsi="Roboto" w:cs="Arial"/>
                <w:b w:val="0"/>
                <w:bCs w:val="0"/>
                <w:color w:val="3B3939"/>
                <w:sz w:val="20"/>
                <w:szCs w:val="20"/>
              </w:rPr>
            </w:pPr>
            <w:r w:rsidRPr="00B4006C">
              <w:rPr>
                <w:rFonts w:ascii="Roboto" w:hAnsi="Roboto" w:cs="Arial"/>
                <w:b w:val="0"/>
                <w:color w:val="3B3939"/>
                <w:sz w:val="20"/>
                <w:szCs w:val="20"/>
                <w:lang w:val="en-US"/>
              </w:rPr>
              <w:t xml:space="preserve">Government units that have the authority to impose taxes and that are funded from the executive’s budget. They use this funding to provide goods and services to the public, such as </w:t>
            </w:r>
            <w:proofErr w:type="spellStart"/>
            <w:r w:rsidRPr="00B4006C">
              <w:rPr>
                <w:rFonts w:ascii="Roboto" w:hAnsi="Roboto" w:cs="Arial"/>
                <w:b w:val="0"/>
                <w:color w:val="3B3939"/>
                <w:sz w:val="20"/>
                <w:szCs w:val="20"/>
                <w:lang w:val="en-US"/>
              </w:rPr>
              <w:t>defence</w:t>
            </w:r>
            <w:proofErr w:type="spellEnd"/>
            <w:r w:rsidRPr="00B4006C">
              <w:rPr>
                <w:rFonts w:ascii="Roboto" w:hAnsi="Roboto" w:cs="Arial"/>
                <w:b w:val="0"/>
                <w:color w:val="3B3939"/>
                <w:sz w:val="20"/>
                <w:szCs w:val="20"/>
                <w:lang w:val="en-US"/>
              </w:rPr>
              <w:t>, public administration, education and healthcare.</w:t>
            </w:r>
          </w:p>
          <w:p w14:paraId="2FB23ADE" w14:textId="08925543" w:rsidR="00255530" w:rsidRPr="003625BA" w:rsidRDefault="00255530" w:rsidP="00C5477D">
            <w:pPr>
              <w:autoSpaceDE w:val="0"/>
              <w:autoSpaceDN w:val="0"/>
              <w:adjustRightInd w:val="0"/>
              <w:spacing w:line="276" w:lineRule="auto"/>
              <w:jc w:val="both"/>
              <w:rPr>
                <w:rFonts w:ascii="Roboto" w:hAnsi="Roboto" w:cs="Arial"/>
                <w:color w:val="3B3939"/>
                <w:sz w:val="20"/>
                <w:szCs w:val="20"/>
              </w:rPr>
            </w:pPr>
          </w:p>
        </w:tc>
      </w:tr>
      <w:tr w:rsidR="003E589A" w:rsidRPr="00EC6719" w14:paraId="4134CEF8" w14:textId="77777777" w:rsidTr="00A36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shd w:val="clear" w:color="auto" w:fill="F7CAAC" w:themeFill="accent2" w:themeFillTint="66"/>
          </w:tcPr>
          <w:p w14:paraId="579EC212" w14:textId="4402422A" w:rsidR="003E589A" w:rsidRPr="003625BA" w:rsidRDefault="003E589A" w:rsidP="00C5477D">
            <w:pPr>
              <w:autoSpaceDE w:val="0"/>
              <w:autoSpaceDN w:val="0"/>
              <w:adjustRightInd w:val="0"/>
              <w:spacing w:line="276" w:lineRule="auto"/>
              <w:jc w:val="both"/>
              <w:rPr>
                <w:rFonts w:ascii="Roboto" w:hAnsi="Roboto" w:cs="Arial"/>
                <w:color w:val="3B3939"/>
                <w:sz w:val="20"/>
                <w:szCs w:val="20"/>
                <w:lang w:val="en-US"/>
              </w:rPr>
            </w:pPr>
          </w:p>
          <w:p w14:paraId="2EC879AF" w14:textId="4E440DEA" w:rsidR="003E589A" w:rsidRPr="003625BA" w:rsidRDefault="00B4006C" w:rsidP="00EC6719">
            <w:pPr>
              <w:autoSpaceDE w:val="0"/>
              <w:autoSpaceDN w:val="0"/>
              <w:adjustRightInd w:val="0"/>
              <w:spacing w:line="276" w:lineRule="auto"/>
              <w:jc w:val="both"/>
              <w:rPr>
                <w:rFonts w:ascii="Roboto" w:hAnsi="Roboto" w:cs="Arial"/>
                <w:color w:val="ED5625"/>
                <w:sz w:val="20"/>
                <w:szCs w:val="20"/>
                <w:lang w:val="en-US"/>
              </w:rPr>
            </w:pPr>
            <w:r w:rsidRPr="003625BA">
              <w:rPr>
                <w:rFonts w:ascii="Roboto" w:hAnsi="Roboto" w:cs="Arial"/>
                <w:noProof/>
                <w:color w:val="ED5625"/>
                <w:sz w:val="20"/>
                <w:szCs w:val="20"/>
                <w:lang w:val="en-US"/>
              </w:rPr>
              <w:drawing>
                <wp:anchor distT="0" distB="0" distL="0" distR="0" simplePos="0" relativeHeight="254828542" behindDoc="0" locked="0" layoutInCell="1" allowOverlap="1" wp14:anchorId="183A18FF" wp14:editId="337068C9">
                  <wp:simplePos x="0" y="0"/>
                  <wp:positionH relativeFrom="page">
                    <wp:posOffset>247650</wp:posOffset>
                  </wp:positionH>
                  <wp:positionV relativeFrom="page">
                    <wp:posOffset>212090</wp:posOffset>
                  </wp:positionV>
                  <wp:extent cx="673100" cy="863600"/>
                  <wp:effectExtent l="0" t="0" r="0" b="0"/>
                  <wp:wrapSquare wrapText="bothSides"/>
                  <wp:docPr id="70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rotWithShape="1">
                          <a:blip r:embed="rId598" cstate="email">
                            <a:extLst>
                              <a:ext uri="{28A0092B-C50C-407E-A947-70E740481C1C}">
                                <a14:useLocalDpi xmlns:a14="http://schemas.microsoft.com/office/drawing/2010/main"/>
                              </a:ext>
                            </a:extLst>
                          </a:blip>
                          <a:srcRect r="-30222"/>
                          <a:stretch/>
                        </pic:blipFill>
                        <pic:spPr bwMode="auto">
                          <a:xfrm>
                            <a:off x="0" y="0"/>
                            <a:ext cx="673100" cy="86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589A" w:rsidRPr="003625BA">
              <w:rPr>
                <w:rFonts w:ascii="Roboto" w:hAnsi="Roboto" w:cs="Arial"/>
                <w:color w:val="ED5625"/>
                <w:sz w:val="20"/>
                <w:szCs w:val="20"/>
                <w:lang w:val="en-US"/>
              </w:rPr>
              <w:t>State/ provincial and local governments</w:t>
            </w:r>
          </w:p>
          <w:p w14:paraId="35C7DC88" w14:textId="667FC20B" w:rsidR="003E589A" w:rsidRPr="00B4006C" w:rsidRDefault="00255530" w:rsidP="00C5477D">
            <w:pPr>
              <w:autoSpaceDE w:val="0"/>
              <w:autoSpaceDN w:val="0"/>
              <w:adjustRightInd w:val="0"/>
              <w:spacing w:line="276" w:lineRule="auto"/>
              <w:jc w:val="both"/>
              <w:rPr>
                <w:rFonts w:ascii="Roboto" w:hAnsi="Roboto" w:cs="Arial"/>
                <w:b w:val="0"/>
                <w:bCs w:val="0"/>
                <w:color w:val="3B3939"/>
                <w:sz w:val="20"/>
                <w:szCs w:val="20"/>
              </w:rPr>
            </w:pPr>
            <w:r w:rsidRPr="00B4006C">
              <w:rPr>
                <w:rFonts w:ascii="Roboto" w:hAnsi="Roboto" w:cs="Arial"/>
                <w:b w:val="0"/>
                <w:color w:val="3B3939"/>
                <w:sz w:val="20"/>
                <w:szCs w:val="20"/>
                <w:lang w:val="en-US"/>
              </w:rPr>
              <w:t>State/provincial and local governments are levels of the executive. Intergovernmental structures vary widely between countries; and can also vary over time within a country, ranging from unitary forms of government where roles and responsibilities are concentrated at the central sphere of government to federations in which individual states or provinces have considerable powers.</w:t>
            </w:r>
          </w:p>
          <w:p w14:paraId="7C4A15D7" w14:textId="0D489D51" w:rsidR="00255530" w:rsidRPr="003625BA" w:rsidRDefault="00255530" w:rsidP="00C5477D">
            <w:pPr>
              <w:autoSpaceDE w:val="0"/>
              <w:autoSpaceDN w:val="0"/>
              <w:adjustRightInd w:val="0"/>
              <w:spacing w:line="276" w:lineRule="auto"/>
              <w:jc w:val="both"/>
              <w:rPr>
                <w:rFonts w:ascii="Roboto" w:hAnsi="Roboto" w:cs="Arial"/>
                <w:color w:val="3B3939"/>
                <w:sz w:val="20"/>
                <w:szCs w:val="20"/>
              </w:rPr>
            </w:pPr>
          </w:p>
        </w:tc>
      </w:tr>
      <w:tr w:rsidR="003E589A" w:rsidRPr="00EC6719" w14:paraId="49D37C3F" w14:textId="77777777" w:rsidTr="00A36095">
        <w:trPr>
          <w:trHeight w:val="1557"/>
        </w:trPr>
        <w:tc>
          <w:tcPr>
            <w:cnfStyle w:val="001000000000" w:firstRow="0" w:lastRow="0" w:firstColumn="1" w:lastColumn="0" w:oddVBand="0" w:evenVBand="0" w:oddHBand="0" w:evenHBand="0" w:firstRowFirstColumn="0" w:firstRowLastColumn="0" w:lastRowFirstColumn="0" w:lastRowLastColumn="0"/>
            <w:tcW w:w="10490" w:type="dxa"/>
            <w:shd w:val="clear" w:color="auto" w:fill="FBE4D5" w:themeFill="accent2" w:themeFillTint="33"/>
          </w:tcPr>
          <w:p w14:paraId="497BF5F2" w14:textId="47D7D7D9" w:rsidR="003E589A" w:rsidRPr="003625BA" w:rsidRDefault="00B4006C" w:rsidP="00C5477D">
            <w:pPr>
              <w:autoSpaceDE w:val="0"/>
              <w:autoSpaceDN w:val="0"/>
              <w:adjustRightInd w:val="0"/>
              <w:spacing w:line="276" w:lineRule="auto"/>
              <w:jc w:val="both"/>
              <w:rPr>
                <w:rFonts w:ascii="Roboto" w:hAnsi="Roboto" w:cs="Arial"/>
                <w:color w:val="3B3939"/>
                <w:sz w:val="20"/>
                <w:szCs w:val="20"/>
                <w:lang w:val="en-US"/>
              </w:rPr>
            </w:pPr>
            <w:r w:rsidRPr="003625BA">
              <w:rPr>
                <w:rFonts w:ascii="Roboto" w:hAnsi="Roboto" w:cs="Arial"/>
                <w:noProof/>
                <w:sz w:val="20"/>
                <w:szCs w:val="20"/>
                <w:lang w:val="en-US"/>
              </w:rPr>
              <w:drawing>
                <wp:anchor distT="0" distB="0" distL="0" distR="0" simplePos="0" relativeHeight="254830590" behindDoc="0" locked="0" layoutInCell="1" allowOverlap="1" wp14:anchorId="015AD05A" wp14:editId="370091E4">
                  <wp:simplePos x="0" y="0"/>
                  <wp:positionH relativeFrom="page">
                    <wp:posOffset>285750</wp:posOffset>
                  </wp:positionH>
                  <wp:positionV relativeFrom="page">
                    <wp:posOffset>195580</wp:posOffset>
                  </wp:positionV>
                  <wp:extent cx="635000" cy="1003300"/>
                  <wp:effectExtent l="0" t="0" r="0" b="0"/>
                  <wp:wrapSquare wrapText="bothSides"/>
                  <wp:docPr id="70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rotWithShape="1">
                          <a:blip r:embed="rId599" cstate="email">
                            <a:extLst>
                              <a:ext uri="{28A0092B-C50C-407E-A947-70E740481C1C}">
                                <a14:useLocalDpi xmlns:a14="http://schemas.microsoft.com/office/drawing/2010/main"/>
                              </a:ext>
                            </a:extLst>
                          </a:blip>
                          <a:srcRect t="-1" r="-23457" b="-17036"/>
                          <a:stretch/>
                        </pic:blipFill>
                        <pic:spPr bwMode="auto">
                          <a:xfrm>
                            <a:off x="0" y="0"/>
                            <a:ext cx="635000" cy="1003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D0D21C" w14:textId="734C0E91" w:rsidR="00255530" w:rsidRPr="003625BA" w:rsidRDefault="00255530" w:rsidP="00C5477D">
            <w:pPr>
              <w:autoSpaceDE w:val="0"/>
              <w:autoSpaceDN w:val="0"/>
              <w:adjustRightInd w:val="0"/>
              <w:spacing w:line="276" w:lineRule="auto"/>
              <w:jc w:val="both"/>
              <w:rPr>
                <w:rFonts w:ascii="Roboto" w:hAnsi="Roboto" w:cs="Arial"/>
                <w:color w:val="ED5625"/>
                <w:sz w:val="20"/>
                <w:szCs w:val="20"/>
                <w:lang w:val="en-US"/>
              </w:rPr>
            </w:pPr>
            <w:r w:rsidRPr="003625BA">
              <w:rPr>
                <w:rFonts w:ascii="Roboto" w:eastAsia="Roboto" w:hAnsi="Roboto" w:cs="Roboto"/>
                <w:color w:val="ED5625"/>
                <w:sz w:val="20"/>
                <w:szCs w:val="20"/>
              </w:rPr>
              <w:t xml:space="preserve">Social </w:t>
            </w:r>
            <w:proofErr w:type="spellStart"/>
            <w:r w:rsidRPr="003625BA">
              <w:rPr>
                <w:rFonts w:ascii="Roboto" w:eastAsia="Roboto" w:hAnsi="Roboto" w:cs="Roboto"/>
                <w:color w:val="ED5625"/>
                <w:sz w:val="20"/>
                <w:szCs w:val="20"/>
              </w:rPr>
              <w:t>security</w:t>
            </w:r>
            <w:proofErr w:type="spellEnd"/>
            <w:r w:rsidRPr="003625BA">
              <w:rPr>
                <w:rFonts w:ascii="Roboto" w:eastAsia="Roboto" w:hAnsi="Roboto" w:cs="Roboto"/>
                <w:color w:val="ED5625"/>
                <w:sz w:val="20"/>
                <w:szCs w:val="20"/>
              </w:rPr>
              <w:t xml:space="preserve"> </w:t>
            </w:r>
            <w:proofErr w:type="spellStart"/>
            <w:r w:rsidRPr="003625BA">
              <w:rPr>
                <w:rFonts w:ascii="Roboto" w:eastAsia="Roboto" w:hAnsi="Roboto" w:cs="Roboto"/>
                <w:color w:val="ED5625"/>
                <w:sz w:val="20"/>
                <w:szCs w:val="20"/>
              </w:rPr>
              <w:t>funds</w:t>
            </w:r>
            <w:proofErr w:type="spellEnd"/>
          </w:p>
          <w:p w14:paraId="0AA8A901" w14:textId="4DF97EBA" w:rsidR="008849CF" w:rsidRPr="00B4006C" w:rsidRDefault="00255530" w:rsidP="00C5477D">
            <w:pPr>
              <w:autoSpaceDE w:val="0"/>
              <w:autoSpaceDN w:val="0"/>
              <w:adjustRightInd w:val="0"/>
              <w:spacing w:line="276" w:lineRule="auto"/>
              <w:jc w:val="both"/>
              <w:rPr>
                <w:rFonts w:ascii="Roboto" w:hAnsi="Roboto" w:cs="Arial"/>
                <w:b w:val="0"/>
                <w:color w:val="3B3939"/>
                <w:sz w:val="20"/>
                <w:szCs w:val="20"/>
                <w:lang w:val="en-US"/>
              </w:rPr>
            </w:pPr>
            <w:r w:rsidRPr="00B4006C">
              <w:rPr>
                <w:rFonts w:ascii="Roboto" w:hAnsi="Roboto" w:cs="Arial"/>
                <w:b w:val="0"/>
                <w:color w:val="3B3939"/>
                <w:sz w:val="20"/>
                <w:szCs w:val="20"/>
                <w:lang w:val="en-US"/>
              </w:rPr>
              <w:t>Government unit/s that are devoted to the operation of one or more social security/insurance schemes. These funds are organized and managed separately from the other activities of the government; their assets and liabilities are held separately; and they engage in financial transactions on their own account.</w:t>
            </w:r>
          </w:p>
          <w:p w14:paraId="45C8F7B4" w14:textId="4B2D73B0" w:rsidR="003E589A" w:rsidRPr="003625BA" w:rsidRDefault="003E589A">
            <w:pPr>
              <w:autoSpaceDE w:val="0"/>
              <w:autoSpaceDN w:val="0"/>
              <w:adjustRightInd w:val="0"/>
              <w:spacing w:line="276" w:lineRule="auto"/>
              <w:jc w:val="both"/>
              <w:rPr>
                <w:rFonts w:ascii="Roboto" w:hAnsi="Roboto" w:cs="Arial"/>
                <w:color w:val="3B3939"/>
                <w:sz w:val="20"/>
                <w:szCs w:val="20"/>
              </w:rPr>
            </w:pPr>
          </w:p>
        </w:tc>
      </w:tr>
      <w:tr w:rsidR="003E589A" w:rsidRPr="00EC6719" w14:paraId="2B37F4C2" w14:textId="77777777" w:rsidTr="00A36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shd w:val="clear" w:color="auto" w:fill="F7CAAC" w:themeFill="accent2" w:themeFillTint="66"/>
          </w:tcPr>
          <w:p w14:paraId="5FF28270" w14:textId="1F27E709" w:rsidR="003E589A" w:rsidRDefault="004756AB" w:rsidP="00C5477D">
            <w:pPr>
              <w:autoSpaceDE w:val="0"/>
              <w:autoSpaceDN w:val="0"/>
              <w:adjustRightInd w:val="0"/>
              <w:spacing w:line="276" w:lineRule="auto"/>
              <w:jc w:val="both"/>
              <w:rPr>
                <w:rFonts w:ascii="Roboto" w:hAnsi="Roboto" w:cs="Arial"/>
                <w:color w:val="3B3939"/>
                <w:sz w:val="20"/>
                <w:szCs w:val="20"/>
                <w:lang w:val="en-US"/>
              </w:rPr>
            </w:pPr>
            <w:r w:rsidRPr="003625BA">
              <w:rPr>
                <w:rFonts w:ascii="Roboto" w:hAnsi="Roboto" w:cs="Arial"/>
                <w:noProof/>
                <w:color w:val="69557F"/>
                <w:sz w:val="20"/>
                <w:szCs w:val="20"/>
                <w:lang w:val="en-US"/>
              </w:rPr>
              <w:drawing>
                <wp:anchor distT="0" distB="0" distL="114300" distR="114300" simplePos="0" relativeHeight="255161342" behindDoc="0" locked="0" layoutInCell="1" allowOverlap="1" wp14:anchorId="28CD76F7" wp14:editId="14A29513">
                  <wp:simplePos x="0" y="0"/>
                  <wp:positionH relativeFrom="column">
                    <wp:posOffset>22863</wp:posOffset>
                  </wp:positionH>
                  <wp:positionV relativeFrom="paragraph">
                    <wp:posOffset>198755</wp:posOffset>
                  </wp:positionV>
                  <wp:extent cx="620862" cy="720000"/>
                  <wp:effectExtent l="0" t="0" r="1905" b="0"/>
                  <wp:wrapSquare wrapText="bothSides"/>
                  <wp:docPr id="2752" name="Picture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 name="Picture 2692"/>
                          <pic:cNvPicPr/>
                        </pic:nvPicPr>
                        <pic:blipFill rotWithShape="1">
                          <a:blip r:embed="rId600" cstate="screen">
                            <a:extLst>
                              <a:ext uri="{28A0092B-C50C-407E-A947-70E740481C1C}">
                                <a14:useLocalDpi xmlns:a14="http://schemas.microsoft.com/office/drawing/2010/main"/>
                              </a:ext>
                            </a:extLst>
                          </a:blip>
                          <a:srcRect/>
                          <a:stretch/>
                        </pic:blipFill>
                        <pic:spPr bwMode="auto">
                          <a:xfrm>
                            <a:off x="0" y="0"/>
                            <a:ext cx="620862"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C2C0B0" w14:textId="31F4BF3B" w:rsidR="00255530" w:rsidRPr="003625BA" w:rsidRDefault="00376186" w:rsidP="00C5477D">
            <w:pPr>
              <w:autoSpaceDE w:val="0"/>
              <w:autoSpaceDN w:val="0"/>
              <w:adjustRightInd w:val="0"/>
              <w:spacing w:line="276" w:lineRule="auto"/>
              <w:jc w:val="both"/>
              <w:rPr>
                <w:rFonts w:ascii="Roboto" w:hAnsi="Roboto" w:cs="Arial"/>
                <w:b w:val="0"/>
                <w:bCs w:val="0"/>
                <w:color w:val="ED5625"/>
                <w:sz w:val="20"/>
                <w:szCs w:val="20"/>
                <w:lang w:val="en-US"/>
              </w:rPr>
            </w:pPr>
            <w:r>
              <w:rPr>
                <w:rFonts w:ascii="Roboto" w:hAnsi="Roboto" w:cs="Arial"/>
                <w:noProof/>
                <w:color w:val="3B3939"/>
                <w:sz w:val="20"/>
                <w:szCs w:val="20"/>
                <w:lang w:val="en-US"/>
              </w:rPr>
              <mc:AlternateContent>
                <mc:Choice Requires="wps">
                  <w:drawing>
                    <wp:anchor distT="0" distB="0" distL="114300" distR="114300" simplePos="0" relativeHeight="254852094" behindDoc="0" locked="0" layoutInCell="1" allowOverlap="1" wp14:anchorId="2B9051D2" wp14:editId="5E3249A9">
                      <wp:simplePos x="0" y="0"/>
                      <wp:positionH relativeFrom="column">
                        <wp:posOffset>70485</wp:posOffset>
                      </wp:positionH>
                      <wp:positionV relativeFrom="paragraph">
                        <wp:posOffset>12700</wp:posOffset>
                      </wp:positionV>
                      <wp:extent cx="571500" cy="596900"/>
                      <wp:effectExtent l="0" t="0" r="0" b="0"/>
                      <wp:wrapSquare wrapText="bothSides"/>
                      <wp:docPr id="2695" name="Rectangle 2695"/>
                      <wp:cNvGraphicFramePr/>
                      <a:graphic xmlns:a="http://schemas.openxmlformats.org/drawingml/2006/main">
                        <a:graphicData uri="http://schemas.microsoft.com/office/word/2010/wordprocessingShape">
                          <wps:wsp>
                            <wps:cNvSpPr/>
                            <wps:spPr>
                              <a:xfrm>
                                <a:off x="0" y="0"/>
                                <a:ext cx="571500" cy="596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2A850ACA" id="Rectangle 2695" o:spid="_x0000_s1026" style="position:absolute;margin-left:5.55pt;margin-top:1pt;width:45pt;height:47pt;z-index:2548520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" filled="f" stroked="f" strokeweight="1pt">
                      <w10:wrap type="square"/>
                    </v:rect>
                  </w:pict>
                </mc:Fallback>
              </mc:AlternateContent>
            </w:r>
            <w:r w:rsidR="00255530" w:rsidRPr="003625BA">
              <w:rPr>
                <w:rFonts w:ascii="Roboto" w:eastAsia="Roboto" w:hAnsi="Roboto" w:cs="Roboto"/>
                <w:color w:val="ED5625"/>
                <w:sz w:val="20"/>
                <w:szCs w:val="20"/>
              </w:rPr>
              <w:t xml:space="preserve">Legal </w:t>
            </w:r>
            <w:proofErr w:type="spellStart"/>
            <w:r w:rsidR="00255530" w:rsidRPr="003625BA">
              <w:rPr>
                <w:rFonts w:ascii="Roboto" w:eastAsia="Roboto" w:hAnsi="Roboto" w:cs="Roboto"/>
                <w:color w:val="ED5625"/>
                <w:sz w:val="20"/>
                <w:szCs w:val="20"/>
              </w:rPr>
              <w:t>provisions</w:t>
            </w:r>
            <w:proofErr w:type="spellEnd"/>
            <w:r w:rsidR="00255530" w:rsidRPr="003625BA">
              <w:rPr>
                <w:rFonts w:ascii="Roboto" w:eastAsia="Roboto" w:hAnsi="Roboto" w:cs="Roboto"/>
                <w:color w:val="ED5625"/>
                <w:sz w:val="20"/>
                <w:szCs w:val="20"/>
              </w:rPr>
              <w:t xml:space="preserve"> and </w:t>
            </w:r>
            <w:proofErr w:type="spellStart"/>
            <w:r w:rsidR="00255530" w:rsidRPr="003625BA">
              <w:rPr>
                <w:rFonts w:ascii="Roboto" w:eastAsia="RobotoRegular" w:hAnsi="Roboto" w:cs="RobotoRegular"/>
                <w:color w:val="ED5625"/>
                <w:sz w:val="20"/>
                <w:szCs w:val="20"/>
              </w:rPr>
              <w:t>k</w:t>
            </w:r>
            <w:r w:rsidR="00255530" w:rsidRPr="003625BA">
              <w:rPr>
                <w:rFonts w:ascii="Roboto" w:eastAsia="Roboto" w:hAnsi="Roboto" w:cs="Roboto"/>
                <w:color w:val="ED5625"/>
                <w:sz w:val="20"/>
                <w:szCs w:val="20"/>
              </w:rPr>
              <w:t>ey</w:t>
            </w:r>
            <w:proofErr w:type="spellEnd"/>
            <w:r w:rsidR="00255530" w:rsidRPr="003625BA">
              <w:rPr>
                <w:rFonts w:ascii="Roboto" w:eastAsia="Roboto" w:hAnsi="Roboto" w:cs="Roboto"/>
                <w:color w:val="ED5625"/>
                <w:sz w:val="20"/>
                <w:szCs w:val="20"/>
              </w:rPr>
              <w:t xml:space="preserve"> fiscal </w:t>
            </w:r>
            <w:proofErr w:type="spellStart"/>
            <w:r w:rsidR="00255530" w:rsidRPr="003625BA">
              <w:rPr>
                <w:rFonts w:ascii="Roboto" w:eastAsia="RobotoRegular" w:hAnsi="Roboto" w:cs="RobotoRegular"/>
                <w:color w:val="ED5625"/>
                <w:sz w:val="20"/>
                <w:szCs w:val="20"/>
              </w:rPr>
              <w:t>t</w:t>
            </w:r>
            <w:r w:rsidR="00255530" w:rsidRPr="003625BA">
              <w:rPr>
                <w:rFonts w:ascii="Roboto" w:eastAsia="Roboto" w:hAnsi="Roboto" w:cs="Roboto"/>
                <w:color w:val="ED5625"/>
                <w:sz w:val="20"/>
                <w:szCs w:val="20"/>
              </w:rPr>
              <w:t>ransparency</w:t>
            </w:r>
            <w:proofErr w:type="spellEnd"/>
            <w:r w:rsidR="00255530" w:rsidRPr="003625BA">
              <w:rPr>
                <w:rFonts w:ascii="Roboto" w:eastAsia="Roboto" w:hAnsi="Roboto" w:cs="Roboto"/>
                <w:color w:val="ED5625"/>
                <w:sz w:val="20"/>
                <w:szCs w:val="20"/>
              </w:rPr>
              <w:t xml:space="preserve"> </w:t>
            </w:r>
            <w:proofErr w:type="spellStart"/>
            <w:r w:rsidR="00255530" w:rsidRPr="003625BA">
              <w:rPr>
                <w:rFonts w:ascii="Roboto" w:eastAsia="RobotoRegular" w:hAnsi="Roboto" w:cs="RobotoRegular"/>
                <w:color w:val="ED5625"/>
                <w:sz w:val="20"/>
                <w:szCs w:val="20"/>
              </w:rPr>
              <w:t>c</w:t>
            </w:r>
            <w:r w:rsidR="00255530" w:rsidRPr="003625BA">
              <w:rPr>
                <w:rFonts w:ascii="Roboto" w:eastAsia="Roboto" w:hAnsi="Roboto" w:cs="Roboto"/>
                <w:color w:val="ED5625"/>
                <w:sz w:val="20"/>
                <w:szCs w:val="20"/>
              </w:rPr>
              <w:t>onsiderations</w:t>
            </w:r>
            <w:proofErr w:type="spellEnd"/>
          </w:p>
          <w:p w14:paraId="0B8452A2" w14:textId="310D0C8F" w:rsidR="00255530" w:rsidRPr="00654686" w:rsidRDefault="00255530" w:rsidP="00C5477D">
            <w:pPr>
              <w:autoSpaceDE w:val="0"/>
              <w:autoSpaceDN w:val="0"/>
              <w:adjustRightInd w:val="0"/>
              <w:spacing w:line="276" w:lineRule="auto"/>
              <w:jc w:val="both"/>
              <w:rPr>
                <w:rFonts w:ascii="Roboto" w:hAnsi="Roboto" w:cs="Arial"/>
                <w:b w:val="0"/>
                <w:color w:val="3B3939"/>
                <w:sz w:val="20"/>
                <w:szCs w:val="20"/>
                <w:lang w:val="en-US"/>
              </w:rPr>
            </w:pPr>
            <w:r w:rsidRPr="00B4006C">
              <w:rPr>
                <w:rFonts w:ascii="Roboto" w:hAnsi="Roboto" w:cs="Arial"/>
                <w:b w:val="0"/>
                <w:color w:val="3B3939"/>
                <w:sz w:val="20"/>
                <w:szCs w:val="20"/>
                <w:lang w:val="en-US"/>
              </w:rPr>
              <w:t xml:space="preserve">Decentralization of responsibilities to lower levels of government is normally based on the premise that lower </w:t>
            </w:r>
            <w:r w:rsidRPr="00654686">
              <w:rPr>
                <w:rFonts w:ascii="Roboto" w:hAnsi="Roboto" w:cs="Arial"/>
                <w:b w:val="0"/>
                <w:color w:val="3B3939"/>
                <w:sz w:val="20"/>
                <w:szCs w:val="20"/>
                <w:lang w:val="en-US"/>
              </w:rPr>
              <w:t>levels of government can better respond to local demands and needs at lower cost. Under these circumstances, there are however numerous openings for the duplication of responsibilities and the unclear assignment of revenue or expenditures. Furthermore, because of inequality</w:t>
            </w:r>
            <w:r w:rsidR="00E04B48" w:rsidRPr="00654686">
              <w:rPr>
                <w:rFonts w:ascii="Roboto" w:hAnsi="Roboto" w:cs="Arial"/>
                <w:b w:val="0"/>
                <w:color w:val="3B3939"/>
                <w:sz w:val="20"/>
                <w:szCs w:val="20"/>
                <w:lang w:val="en-US"/>
              </w:rPr>
              <w:t xml:space="preserve"> </w:t>
            </w:r>
            <w:r w:rsidRPr="00654686">
              <w:rPr>
                <w:rFonts w:ascii="Roboto" w:hAnsi="Roboto" w:cs="Arial"/>
                <w:b w:val="0"/>
                <w:color w:val="3B3939"/>
                <w:sz w:val="20"/>
                <w:szCs w:val="20"/>
                <w:lang w:val="en-US"/>
              </w:rPr>
              <w:t>across regions, most</w:t>
            </w:r>
            <w:r w:rsidR="00E04B48" w:rsidRPr="00654686">
              <w:rPr>
                <w:rFonts w:ascii="Roboto" w:hAnsi="Roboto" w:cs="Arial"/>
                <w:b w:val="0"/>
                <w:color w:val="3B3939"/>
                <w:sz w:val="20"/>
                <w:szCs w:val="20"/>
                <w:lang w:val="en-US"/>
              </w:rPr>
              <w:t xml:space="preserve"> c</w:t>
            </w:r>
            <w:r w:rsidRPr="00654686">
              <w:rPr>
                <w:rFonts w:ascii="Roboto" w:hAnsi="Roboto" w:cs="Arial"/>
                <w:b w:val="0"/>
                <w:color w:val="3B3939"/>
                <w:sz w:val="20"/>
                <w:szCs w:val="20"/>
                <w:lang w:val="en-US"/>
              </w:rPr>
              <w:t>ountries</w:t>
            </w:r>
            <w:r w:rsidR="00E04B48" w:rsidRPr="00654686">
              <w:rPr>
                <w:rFonts w:ascii="Roboto" w:hAnsi="Roboto" w:cs="Arial"/>
                <w:b w:val="0"/>
                <w:color w:val="3B3939"/>
                <w:sz w:val="20"/>
                <w:szCs w:val="20"/>
                <w:lang w:val="en-US"/>
              </w:rPr>
              <w:t xml:space="preserve"> </w:t>
            </w:r>
            <w:r w:rsidRPr="00654686">
              <w:rPr>
                <w:rFonts w:ascii="Roboto" w:hAnsi="Roboto" w:cs="Arial"/>
                <w:b w:val="0"/>
                <w:color w:val="3B3939"/>
                <w:sz w:val="20"/>
                <w:szCs w:val="20"/>
                <w:lang w:val="en-US"/>
              </w:rPr>
              <w:t>that pursue decentralization also introduce legislation regarding tax sharing and intergovernmental transfers to address such inequalities.</w:t>
            </w:r>
          </w:p>
          <w:p w14:paraId="5CCD1A9F" w14:textId="61B8D82C" w:rsidR="00B4006C" w:rsidRPr="00654686" w:rsidRDefault="00B4006C" w:rsidP="00C5477D">
            <w:pPr>
              <w:autoSpaceDE w:val="0"/>
              <w:autoSpaceDN w:val="0"/>
              <w:adjustRightInd w:val="0"/>
              <w:spacing w:line="276" w:lineRule="auto"/>
              <w:jc w:val="both"/>
              <w:rPr>
                <w:rFonts w:ascii="Roboto" w:hAnsi="Roboto" w:cs="Arial"/>
                <w:b w:val="0"/>
                <w:color w:val="3B3939"/>
                <w:sz w:val="20"/>
                <w:szCs w:val="20"/>
                <w:lang w:val="en-US"/>
              </w:rPr>
            </w:pPr>
          </w:p>
          <w:p w14:paraId="7160BF25" w14:textId="77777777" w:rsidR="00B4006C" w:rsidRPr="00654686" w:rsidRDefault="00B4006C" w:rsidP="00421674">
            <w:pPr>
              <w:autoSpaceDE w:val="0"/>
              <w:autoSpaceDN w:val="0"/>
              <w:adjustRightInd w:val="0"/>
              <w:spacing w:line="276" w:lineRule="auto"/>
              <w:ind w:left="-11"/>
              <w:jc w:val="both"/>
              <w:rPr>
                <w:rFonts w:ascii="Roboto" w:hAnsi="Roboto" w:cs="Arial"/>
                <w:b w:val="0"/>
                <w:color w:val="3B3939"/>
                <w:sz w:val="20"/>
                <w:szCs w:val="20"/>
                <w:lang w:val="en-NZ"/>
              </w:rPr>
            </w:pPr>
            <w:r w:rsidRPr="00654686">
              <w:rPr>
                <w:rFonts w:ascii="Roboto" w:hAnsi="Roboto" w:cs="Arial"/>
                <w:b w:val="0"/>
                <w:color w:val="3B3939"/>
                <w:sz w:val="20"/>
                <w:szCs w:val="20"/>
                <w:lang w:val="en-NZ"/>
              </w:rPr>
              <w:t xml:space="preserve">Roles and responsibilities assigned to each level should be clearly stipulated in law or in the constitution, this includes in respect of each level’s powers to raise taxes; to borrow or incur debt; as well as to their respective expenditure mandates and accompanying responsibilities for delivering on government priorities and on the related goods and services. For example, in South Africa, the </w:t>
            </w:r>
            <w:hyperlink r:id="rId601">
              <w:r w:rsidRPr="00654686">
                <w:rPr>
                  <w:rStyle w:val="Hyperlink"/>
                  <w:rFonts w:ascii="Roboto" w:hAnsi="Roboto" w:cs="Arial"/>
                  <w:b w:val="0"/>
                  <w:bCs w:val="0"/>
                  <w:sz w:val="20"/>
                  <w:szCs w:val="20"/>
                  <w:lang w:val="en-NZ"/>
                </w:rPr>
                <w:t>Constitution</w:t>
              </w:r>
            </w:hyperlink>
            <w:r w:rsidRPr="00654686">
              <w:rPr>
                <w:rFonts w:ascii="Roboto" w:hAnsi="Roboto" w:cs="Arial"/>
                <w:b w:val="0"/>
                <w:color w:val="3B3939"/>
                <w:sz w:val="20"/>
                <w:szCs w:val="20"/>
                <w:lang w:val="en-NZ"/>
              </w:rPr>
              <w:t xml:space="preserve"> (1996) makes provision for three spheres of government, that is a national government, nine provincial governments and almost 300 local governments, each level with its own roles and responsibilities.</w:t>
            </w:r>
          </w:p>
          <w:p w14:paraId="6A123778" w14:textId="77777777" w:rsidR="00B4006C" w:rsidRPr="00654686" w:rsidRDefault="00B4006C" w:rsidP="00B4006C">
            <w:pPr>
              <w:autoSpaceDE w:val="0"/>
              <w:autoSpaceDN w:val="0"/>
              <w:adjustRightInd w:val="0"/>
              <w:spacing w:line="276" w:lineRule="auto"/>
              <w:ind w:left="169"/>
              <w:jc w:val="both"/>
              <w:rPr>
                <w:rFonts w:ascii="Roboto" w:hAnsi="Roboto" w:cs="Arial"/>
                <w:b w:val="0"/>
                <w:color w:val="3B3939"/>
                <w:sz w:val="20"/>
                <w:szCs w:val="20"/>
                <w:lang w:val="en-NZ"/>
              </w:rPr>
            </w:pPr>
          </w:p>
          <w:p w14:paraId="2B69BFA7" w14:textId="621B5E61" w:rsidR="00421674" w:rsidRPr="00654686" w:rsidRDefault="00421674" w:rsidP="00421674">
            <w:pPr>
              <w:autoSpaceDE w:val="0"/>
              <w:autoSpaceDN w:val="0"/>
              <w:adjustRightInd w:val="0"/>
              <w:spacing w:line="276" w:lineRule="auto"/>
              <w:jc w:val="both"/>
              <w:rPr>
                <w:rFonts w:ascii="Roboto" w:eastAsia="Roboto" w:hAnsi="Roboto" w:cs="Roboto"/>
                <w:color w:val="3B3838"/>
                <w:sz w:val="20"/>
                <w:szCs w:val="20"/>
              </w:rPr>
            </w:pPr>
            <w:r w:rsidRPr="00654686">
              <w:rPr>
                <w:rFonts w:ascii="Roboto" w:eastAsia="Roboto" w:hAnsi="Roboto" w:cs="Roboto"/>
                <w:b w:val="0"/>
                <w:bCs w:val="0"/>
                <w:color w:val="3B3838"/>
                <w:sz w:val="20"/>
                <w:szCs w:val="20"/>
              </w:rPr>
              <w:t>As</w:t>
            </w:r>
            <w:r w:rsidRPr="00654686">
              <w:rPr>
                <w:rFonts w:ascii="Roboto" w:eastAsia="Roboto" w:hAnsi="Roboto" w:cs="Roboto"/>
                <w:b w:val="0"/>
                <w:bCs w:val="0"/>
                <w:color w:val="3B3838"/>
                <w:sz w:val="20"/>
                <w:szCs w:val="20"/>
                <w:lang w:val="en-US"/>
              </w:rPr>
              <w:t xml:space="preserve"> stated</w:t>
            </w:r>
            <w:r w:rsidRPr="00654686">
              <w:rPr>
                <w:rFonts w:ascii="Roboto" w:eastAsia="Roboto" w:hAnsi="Roboto" w:cs="Roboto"/>
                <w:b w:val="0"/>
                <w:bCs w:val="0"/>
                <w:color w:val="3B3838"/>
                <w:sz w:val="20"/>
                <w:szCs w:val="20"/>
              </w:rPr>
              <w:t xml:space="preserve"> in </w:t>
            </w:r>
            <w:proofErr w:type="spellStart"/>
            <w:r w:rsidRPr="00654686">
              <w:rPr>
                <w:rFonts w:ascii="Roboto" w:eastAsia="Roboto" w:hAnsi="Roboto" w:cs="Roboto"/>
                <w:b w:val="0"/>
                <w:bCs w:val="0"/>
                <w:color w:val="3B3838"/>
                <w:sz w:val="20"/>
                <w:szCs w:val="20"/>
              </w:rPr>
              <w:t>the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IMF’s</w:t>
            </w:r>
            <w:proofErr w:type="spellEnd"/>
            <w:r w:rsidRPr="00654686">
              <w:rPr>
                <w:rFonts w:ascii="Roboto" w:eastAsia="Roboto" w:hAnsi="Roboto" w:cs="Roboto"/>
                <w:b w:val="0"/>
                <w:bCs w:val="0"/>
                <w:color w:val="3B3838"/>
                <w:sz w:val="20"/>
                <w:szCs w:val="20"/>
              </w:rPr>
              <w:t xml:space="preserve"> </w:t>
            </w:r>
            <w:hyperlink r:id="rId602">
              <w:r w:rsidRPr="00654686">
                <w:rPr>
                  <w:rStyle w:val="Hyperlink"/>
                  <w:rFonts w:ascii="Roboto" w:hAnsi="Roboto" w:cs="Arial"/>
                  <w:b w:val="0"/>
                  <w:sz w:val="20"/>
                  <w:szCs w:val="20"/>
                  <w:lang w:val="en-NZ"/>
                </w:rPr>
                <w:t>Manual on Fiscal Transparency</w:t>
              </w:r>
            </w:hyperlink>
            <w:r w:rsidRPr="00654686">
              <w:rPr>
                <w:rFonts w:ascii="Roboto" w:eastAsia="Roboto" w:hAnsi="Roboto" w:cs="Roboto"/>
                <w:b w:val="0"/>
                <w:bCs w:val="0"/>
                <w:color w:val="3B3838"/>
                <w:sz w:val="20"/>
                <w:szCs w:val="20"/>
              </w:rPr>
              <w:t xml:space="preserve"> (2007), </w:t>
            </w:r>
            <w:proofErr w:type="spellStart"/>
            <w:r w:rsidRPr="00654686">
              <w:rPr>
                <w:rFonts w:ascii="Roboto" w:eastAsia="Roboto" w:hAnsi="Roboto" w:cs="Roboto"/>
                <w:b w:val="0"/>
                <w:bCs w:val="0"/>
                <w:color w:val="3B3838"/>
                <w:sz w:val="20"/>
                <w:szCs w:val="20"/>
              </w:rPr>
              <w:t>where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they</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exist</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shared</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revenues</w:t>
            </w:r>
            <w:proofErr w:type="spellEnd"/>
            <w:r w:rsidRPr="00654686">
              <w:rPr>
                <w:rFonts w:ascii="Roboto" w:eastAsia="Roboto" w:hAnsi="Roboto" w:cs="Roboto"/>
                <w:b w:val="0"/>
                <w:bCs w:val="0"/>
                <w:color w:val="3B3838"/>
                <w:sz w:val="20"/>
                <w:szCs w:val="20"/>
              </w:rPr>
              <w:t xml:space="preserve"> and </w:t>
            </w:r>
            <w:proofErr w:type="spellStart"/>
            <w:r w:rsidRPr="00654686">
              <w:rPr>
                <w:rFonts w:ascii="Roboto" w:eastAsia="Roboto" w:hAnsi="Roboto" w:cs="Roboto"/>
                <w:b w:val="0"/>
                <w:bCs w:val="0"/>
                <w:color w:val="3B3838"/>
                <w:sz w:val="20"/>
                <w:szCs w:val="20"/>
              </w:rPr>
              <w:t>intergovernmental</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transfers</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should</w:t>
            </w:r>
            <w:proofErr w:type="spellEnd"/>
            <w:r w:rsidRPr="00654686">
              <w:rPr>
                <w:rFonts w:ascii="Roboto" w:eastAsia="Roboto" w:hAnsi="Roboto" w:cs="Roboto"/>
                <w:b w:val="0"/>
                <w:bCs w:val="0"/>
                <w:color w:val="3B3838"/>
                <w:sz w:val="20"/>
                <w:szCs w:val="20"/>
              </w:rPr>
              <w:t xml:space="preserve"> be </w:t>
            </w:r>
            <w:proofErr w:type="spellStart"/>
            <w:r w:rsidRPr="00654686">
              <w:rPr>
                <w:rFonts w:ascii="Roboto" w:eastAsia="Roboto" w:hAnsi="Roboto" w:cs="Roboto"/>
                <w:b w:val="0"/>
                <w:bCs w:val="0"/>
                <w:color w:val="3B3838"/>
                <w:sz w:val="20"/>
                <w:szCs w:val="20"/>
              </w:rPr>
              <w:t>clearly</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specified</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preferably</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based</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on</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stable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criteria</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or</w:t>
            </w:r>
            <w:proofErr w:type="spellEnd"/>
            <w:r w:rsidRPr="00654686">
              <w:rPr>
                <w:rFonts w:ascii="Roboto" w:eastAsia="Roboto" w:hAnsi="Roboto" w:cs="Roboto"/>
                <w:b w:val="0"/>
                <w:bCs w:val="0"/>
                <w:color w:val="3B3838"/>
                <w:sz w:val="20"/>
                <w:szCs w:val="20"/>
              </w:rPr>
              <w:t xml:space="preserve"> formulas </w:t>
            </w:r>
            <w:proofErr w:type="spellStart"/>
            <w:r w:rsidRPr="00654686">
              <w:rPr>
                <w:rFonts w:ascii="Roboto" w:eastAsia="Roboto" w:hAnsi="Roboto" w:cs="Roboto"/>
                <w:b w:val="0"/>
                <w:bCs w:val="0"/>
                <w:color w:val="3B3838"/>
                <w:sz w:val="20"/>
                <w:szCs w:val="20"/>
              </w:rPr>
              <w:t>rather</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than</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discretionary</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criteria</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or</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negotiations</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Distribution</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based</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on</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need</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where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need</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is</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not</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well</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defined</w:t>
            </w:r>
            <w:proofErr w:type="spellEnd"/>
            <w:r w:rsidRPr="00654686">
              <w:rPr>
                <w:rFonts w:ascii="Roboto" w:eastAsia="Roboto" w:hAnsi="Roboto" w:cs="Roboto"/>
                <w:b w:val="0"/>
                <w:bCs w:val="0"/>
                <w:color w:val="3B3838"/>
                <w:sz w:val="20"/>
                <w:szCs w:val="20"/>
              </w:rPr>
              <w:t xml:space="preserve"> opens </w:t>
            </w:r>
            <w:proofErr w:type="spellStart"/>
            <w:r w:rsidRPr="00654686">
              <w:rPr>
                <w:rFonts w:ascii="Roboto" w:eastAsia="Roboto" w:hAnsi="Roboto" w:cs="Roboto"/>
                <w:b w:val="0"/>
                <w:bCs w:val="0"/>
                <w:color w:val="3B3838"/>
                <w:sz w:val="20"/>
                <w:szCs w:val="20"/>
              </w:rPr>
              <w:t>the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process</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to</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subjectivity</w:t>
            </w:r>
            <w:proofErr w:type="spellEnd"/>
            <w:r w:rsidRPr="00654686">
              <w:rPr>
                <w:rFonts w:ascii="Roboto" w:eastAsia="Roboto" w:hAnsi="Roboto" w:cs="Roboto"/>
                <w:b w:val="0"/>
                <w:bCs w:val="0"/>
                <w:color w:val="3B3838"/>
                <w:sz w:val="20"/>
                <w:szCs w:val="20"/>
              </w:rPr>
              <w:t xml:space="preserve"> and reduces </w:t>
            </w:r>
            <w:proofErr w:type="spellStart"/>
            <w:r w:rsidRPr="00654686">
              <w:rPr>
                <w:rFonts w:ascii="Roboto" w:eastAsia="Roboto" w:hAnsi="Roboto" w:cs="Roboto"/>
                <w:b w:val="0"/>
                <w:bCs w:val="0"/>
                <w:color w:val="3B3838"/>
                <w:sz w:val="20"/>
                <w:szCs w:val="20"/>
              </w:rPr>
              <w:t>transparency</w:t>
            </w:r>
            <w:proofErr w:type="spellEnd"/>
            <w:r w:rsidRPr="00654686">
              <w:rPr>
                <w:rFonts w:ascii="Roboto" w:eastAsia="Roboto" w:hAnsi="Roboto" w:cs="Roboto"/>
                <w:b w:val="0"/>
                <w:bCs w:val="0"/>
                <w:color w:val="3B3838"/>
                <w:sz w:val="20"/>
                <w:szCs w:val="20"/>
              </w:rPr>
              <w:t xml:space="preserve">. Project grants are </w:t>
            </w:r>
            <w:proofErr w:type="spellStart"/>
            <w:r w:rsidRPr="00654686">
              <w:rPr>
                <w:rFonts w:ascii="Roboto" w:eastAsia="Roboto" w:hAnsi="Roboto" w:cs="Roboto"/>
                <w:b w:val="0"/>
                <w:bCs w:val="0"/>
                <w:color w:val="3B3838"/>
                <w:sz w:val="20"/>
                <w:szCs w:val="20"/>
              </w:rPr>
              <w:t>also</w:t>
            </w:r>
            <w:proofErr w:type="spellEnd"/>
            <w:r w:rsidRPr="00654686">
              <w:rPr>
                <w:rFonts w:ascii="Roboto" w:eastAsia="Roboto" w:hAnsi="Roboto" w:cs="Roboto"/>
                <w:b w:val="0"/>
                <w:bCs w:val="0"/>
                <w:color w:val="3B3838"/>
                <w:sz w:val="20"/>
                <w:szCs w:val="20"/>
              </w:rPr>
              <w:t xml:space="preserve"> more </w:t>
            </w:r>
            <w:proofErr w:type="spellStart"/>
            <w:r w:rsidRPr="00654686">
              <w:rPr>
                <w:rFonts w:ascii="Roboto" w:eastAsia="Roboto" w:hAnsi="Roboto" w:cs="Roboto"/>
                <w:b w:val="0"/>
                <w:bCs w:val="0"/>
                <w:color w:val="3B3838"/>
                <w:sz w:val="20"/>
                <w:szCs w:val="20"/>
              </w:rPr>
              <w:t>subjective</w:t>
            </w:r>
            <w:proofErr w:type="spellEnd"/>
            <w:r w:rsidRPr="00654686">
              <w:rPr>
                <w:rFonts w:ascii="Roboto" w:eastAsia="Roboto" w:hAnsi="Roboto" w:cs="Roboto"/>
                <w:b w:val="0"/>
                <w:bCs w:val="0"/>
                <w:color w:val="3B3838"/>
                <w:sz w:val="20"/>
                <w:szCs w:val="20"/>
              </w:rPr>
              <w:t xml:space="preserve"> in </w:t>
            </w:r>
            <w:proofErr w:type="spellStart"/>
            <w:r w:rsidRPr="00654686">
              <w:rPr>
                <w:rFonts w:ascii="Roboto" w:eastAsia="Roboto" w:hAnsi="Roboto" w:cs="Roboto"/>
                <w:b w:val="0"/>
                <w:bCs w:val="0"/>
                <w:color w:val="3B3838"/>
                <w:sz w:val="20"/>
                <w:szCs w:val="20"/>
              </w:rPr>
              <w:t>nature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but</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transparency</w:t>
            </w:r>
            <w:proofErr w:type="spellEnd"/>
            <w:r w:rsidRPr="00654686">
              <w:rPr>
                <w:rFonts w:ascii="Roboto" w:eastAsia="Roboto" w:hAnsi="Roboto" w:cs="Roboto"/>
                <w:b w:val="0"/>
                <w:bCs w:val="0"/>
                <w:color w:val="3B3838"/>
                <w:sz w:val="20"/>
                <w:szCs w:val="20"/>
              </w:rPr>
              <w:t xml:space="preserve"> can be </w:t>
            </w:r>
            <w:proofErr w:type="spellStart"/>
            <w:r w:rsidRPr="00654686">
              <w:rPr>
                <w:rFonts w:ascii="Roboto" w:eastAsia="Roboto" w:hAnsi="Roboto" w:cs="Roboto"/>
                <w:b w:val="0"/>
                <w:bCs w:val="0"/>
                <w:color w:val="3B3838"/>
                <w:sz w:val="20"/>
                <w:szCs w:val="20"/>
              </w:rPr>
              <w:t>enhanced</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if</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the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criteria</w:t>
            </w:r>
            <w:proofErr w:type="spellEnd"/>
            <w:r w:rsidRPr="00654686">
              <w:rPr>
                <w:rFonts w:ascii="Roboto" w:eastAsia="Roboto" w:hAnsi="Roboto" w:cs="Roboto"/>
                <w:b w:val="0"/>
                <w:bCs w:val="0"/>
                <w:color w:val="3B3838"/>
                <w:sz w:val="20"/>
                <w:szCs w:val="20"/>
              </w:rPr>
              <w:t xml:space="preserve"> and basis </w:t>
            </w:r>
            <w:proofErr w:type="spellStart"/>
            <w:r w:rsidRPr="00654686">
              <w:rPr>
                <w:rFonts w:ascii="Roboto" w:eastAsia="Roboto" w:hAnsi="Roboto" w:cs="Roboto"/>
                <w:b w:val="0"/>
                <w:bCs w:val="0"/>
                <w:color w:val="3B3838"/>
                <w:sz w:val="20"/>
                <w:szCs w:val="20"/>
              </w:rPr>
              <w:t>for</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decisions</w:t>
            </w:r>
            <w:proofErr w:type="spellEnd"/>
            <w:r w:rsidRPr="00654686">
              <w:rPr>
                <w:rFonts w:ascii="Roboto" w:eastAsia="Roboto" w:hAnsi="Roboto" w:cs="Roboto"/>
                <w:b w:val="0"/>
                <w:bCs w:val="0"/>
                <w:color w:val="3B3838"/>
                <w:sz w:val="20"/>
                <w:szCs w:val="20"/>
              </w:rPr>
              <w:t xml:space="preserve"> are </w:t>
            </w:r>
            <w:proofErr w:type="spellStart"/>
            <w:r w:rsidRPr="00654686">
              <w:rPr>
                <w:rFonts w:ascii="Roboto" w:eastAsia="Roboto" w:hAnsi="Roboto" w:cs="Roboto"/>
                <w:b w:val="0"/>
                <w:bCs w:val="0"/>
                <w:color w:val="3B3838"/>
                <w:sz w:val="20"/>
                <w:szCs w:val="20"/>
              </w:rPr>
              <w:t>made</w:t>
            </w:r>
            <w:proofErr w:type="spellEnd"/>
            <w:r w:rsidRPr="00654686">
              <w:rPr>
                <w:rFonts w:ascii="Roboto" w:eastAsia="Roboto" w:hAnsi="Roboto" w:cs="Roboto"/>
                <w:b w:val="0"/>
                <w:bCs w:val="0"/>
                <w:color w:val="3B3838"/>
                <w:sz w:val="20"/>
                <w:szCs w:val="20"/>
              </w:rPr>
              <w:t xml:space="preserve"> </w:t>
            </w:r>
            <w:proofErr w:type="spellStart"/>
            <w:r w:rsidRPr="00654686">
              <w:rPr>
                <w:rFonts w:ascii="Roboto" w:eastAsia="Roboto" w:hAnsi="Roboto" w:cs="Roboto"/>
                <w:b w:val="0"/>
                <w:bCs w:val="0"/>
                <w:color w:val="3B3838"/>
                <w:sz w:val="20"/>
                <w:szCs w:val="20"/>
              </w:rPr>
              <w:t>public</w:t>
            </w:r>
            <w:proofErr w:type="spellEnd"/>
            <w:r w:rsidRPr="00654686">
              <w:rPr>
                <w:rFonts w:ascii="Roboto" w:eastAsia="Roboto" w:hAnsi="Roboto" w:cs="Roboto"/>
                <w:b w:val="0"/>
                <w:bCs w:val="0"/>
                <w:color w:val="3B3838"/>
                <w:sz w:val="20"/>
                <w:szCs w:val="20"/>
              </w:rPr>
              <w:t>.</w:t>
            </w:r>
          </w:p>
          <w:p w14:paraId="12EA3C9E" w14:textId="77777777" w:rsidR="00421674" w:rsidRPr="00654686" w:rsidRDefault="00421674" w:rsidP="00421674">
            <w:pPr>
              <w:autoSpaceDE w:val="0"/>
              <w:autoSpaceDN w:val="0"/>
              <w:adjustRightInd w:val="0"/>
              <w:spacing w:line="276" w:lineRule="auto"/>
              <w:jc w:val="both"/>
              <w:rPr>
                <w:rFonts w:ascii="Roboto" w:hAnsi="Roboto" w:cs="Arial"/>
                <w:b w:val="0"/>
                <w:bCs w:val="0"/>
                <w:color w:val="3B3939"/>
                <w:sz w:val="20"/>
                <w:szCs w:val="20"/>
              </w:rPr>
            </w:pPr>
          </w:p>
          <w:p w14:paraId="3F242FCC" w14:textId="218736AE" w:rsidR="00421674" w:rsidRPr="00654686" w:rsidRDefault="00421674" w:rsidP="00421674">
            <w:pPr>
              <w:autoSpaceDE w:val="0"/>
              <w:autoSpaceDN w:val="0"/>
              <w:adjustRightInd w:val="0"/>
              <w:spacing w:line="276" w:lineRule="auto"/>
              <w:jc w:val="both"/>
              <w:rPr>
                <w:rFonts w:ascii="Roboto" w:hAnsi="Roboto" w:cs="Arial"/>
                <w:color w:val="3B3939"/>
                <w:sz w:val="20"/>
                <w:szCs w:val="20"/>
              </w:rPr>
            </w:pPr>
            <w:proofErr w:type="spellStart"/>
            <w:r w:rsidRPr="00654686">
              <w:rPr>
                <w:rFonts w:ascii="Roboto" w:hAnsi="Roboto" w:cs="Arial"/>
                <w:b w:val="0"/>
                <w:bCs w:val="0"/>
                <w:color w:val="3B3939"/>
                <w:sz w:val="20"/>
                <w:szCs w:val="20"/>
              </w:rPr>
              <w:t>Principle</w:t>
            </w:r>
            <w:proofErr w:type="spellEnd"/>
            <w:r w:rsidRPr="00654686">
              <w:rPr>
                <w:rFonts w:ascii="Roboto" w:hAnsi="Roboto" w:cs="Arial"/>
                <w:b w:val="0"/>
                <w:bCs w:val="0"/>
                <w:color w:val="3B3939"/>
                <w:sz w:val="20"/>
                <w:szCs w:val="20"/>
              </w:rPr>
              <w:t xml:space="preserve"> 3.3.1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w:t>
            </w:r>
            <w:hyperlink r:id="rId603">
              <w:r w:rsidR="004756AB" w:rsidRPr="00654686">
                <w:rPr>
                  <w:rStyle w:val="Hyperlink"/>
                  <w:rFonts w:ascii="Roboto" w:hAnsi="Roboto" w:cs="Arial"/>
                  <w:b w:val="0"/>
                  <w:sz w:val="20"/>
                  <w:szCs w:val="20"/>
                  <w:lang w:val="en-NZ"/>
                </w:rPr>
                <w:t>Fiscal Transparency Code</w:t>
              </w:r>
            </w:hyperlink>
            <w:r w:rsidRPr="00654686">
              <w:rPr>
                <w:rFonts w:ascii="Roboto" w:hAnsi="Roboto" w:cs="Arial"/>
                <w:b w:val="0"/>
                <w:bCs w:val="0"/>
                <w:color w:val="3B3939"/>
                <w:sz w:val="20"/>
                <w:szCs w:val="20"/>
              </w:rPr>
              <w:t xml:space="preserve"> (2019) </w:t>
            </w:r>
            <w:proofErr w:type="spellStart"/>
            <w:r w:rsidRPr="00654686">
              <w:rPr>
                <w:rFonts w:ascii="Roboto" w:hAnsi="Roboto" w:cs="Arial"/>
                <w:b w:val="0"/>
                <w:bCs w:val="0"/>
                <w:color w:val="3B3939"/>
                <w:sz w:val="20"/>
                <w:szCs w:val="20"/>
              </w:rPr>
              <w:t>states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that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comprehensive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information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financial</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condition</w:t>
            </w:r>
            <w:proofErr w:type="spellEnd"/>
            <w:r w:rsidRPr="00654686">
              <w:rPr>
                <w:rFonts w:ascii="Roboto" w:hAnsi="Roboto" w:cs="Arial"/>
                <w:b w:val="0"/>
                <w:bCs w:val="0"/>
                <w:color w:val="3B3939"/>
                <w:sz w:val="20"/>
                <w:szCs w:val="20"/>
              </w:rPr>
              <w:t xml:space="preserve"> and performance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subnational</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individually</w:t>
            </w:r>
            <w:proofErr w:type="spellEnd"/>
            <w:r w:rsidRPr="00654686">
              <w:rPr>
                <w:rFonts w:ascii="Roboto" w:hAnsi="Roboto" w:cs="Arial"/>
                <w:b w:val="0"/>
                <w:bCs w:val="0"/>
                <w:color w:val="3B3939"/>
                <w:sz w:val="20"/>
                <w:szCs w:val="20"/>
              </w:rPr>
              <w:t xml:space="preserve"> and as a </w:t>
            </w:r>
            <w:proofErr w:type="spellStart"/>
            <w:r w:rsidRPr="00654686">
              <w:rPr>
                <w:rFonts w:ascii="Roboto" w:hAnsi="Roboto" w:cs="Arial"/>
                <w:b w:val="0"/>
                <w:bCs w:val="0"/>
                <w:color w:val="3B3939"/>
                <w:sz w:val="20"/>
                <w:szCs w:val="20"/>
              </w:rPr>
              <w:t>consolidated</w:t>
            </w:r>
            <w:proofErr w:type="spellEnd"/>
            <w:r w:rsidRPr="00654686">
              <w:rPr>
                <w:rFonts w:ascii="Roboto" w:hAnsi="Roboto" w:cs="Arial"/>
                <w:b w:val="0"/>
                <w:bCs w:val="0"/>
                <w:color w:val="3B3939"/>
                <w:sz w:val="20"/>
                <w:szCs w:val="20"/>
              </w:rPr>
              <w:t xml:space="preserve"> sector, </w:t>
            </w:r>
            <w:proofErr w:type="spellStart"/>
            <w:r w:rsidRPr="00654686">
              <w:rPr>
                <w:rFonts w:ascii="Roboto" w:hAnsi="Roboto" w:cs="Arial"/>
                <w:b w:val="0"/>
                <w:bCs w:val="0"/>
                <w:color w:val="3B3939"/>
                <w:sz w:val="20"/>
                <w:szCs w:val="20"/>
              </w:rPr>
              <w:t>should</w:t>
            </w:r>
            <w:proofErr w:type="spellEnd"/>
            <w:r w:rsidRPr="00654686">
              <w:rPr>
                <w:rFonts w:ascii="Roboto" w:hAnsi="Roboto" w:cs="Arial"/>
                <w:b w:val="0"/>
                <w:bCs w:val="0"/>
                <w:color w:val="3B3939"/>
                <w:sz w:val="20"/>
                <w:szCs w:val="20"/>
              </w:rPr>
              <w:t xml:space="preserve"> be </w:t>
            </w:r>
            <w:proofErr w:type="spellStart"/>
            <w:r w:rsidRPr="00654686">
              <w:rPr>
                <w:rFonts w:ascii="Roboto" w:hAnsi="Roboto" w:cs="Arial"/>
                <w:b w:val="0"/>
                <w:bCs w:val="0"/>
                <w:color w:val="3B3939"/>
                <w:sz w:val="20"/>
                <w:szCs w:val="20"/>
              </w:rPr>
              <w:t>collected</w:t>
            </w:r>
            <w:proofErr w:type="spellEnd"/>
            <w:r w:rsidRPr="00654686">
              <w:rPr>
                <w:rFonts w:ascii="Roboto" w:hAnsi="Roboto" w:cs="Arial"/>
                <w:b w:val="0"/>
                <w:bCs w:val="0"/>
                <w:color w:val="3B3939"/>
                <w:sz w:val="20"/>
                <w:szCs w:val="20"/>
              </w:rPr>
              <w:t xml:space="preserve"> and </w:t>
            </w:r>
            <w:proofErr w:type="spellStart"/>
            <w:r w:rsidRPr="00654686">
              <w:rPr>
                <w:rFonts w:ascii="Roboto" w:hAnsi="Roboto" w:cs="Arial"/>
                <w:b w:val="0"/>
                <w:bCs w:val="0"/>
                <w:color w:val="3B3939"/>
                <w:sz w:val="20"/>
                <w:szCs w:val="20"/>
              </w:rPr>
              <w:t>published</w:t>
            </w:r>
            <w:proofErr w:type="spellEnd"/>
            <w:r w:rsidRPr="00654686">
              <w:rPr>
                <w:rFonts w:ascii="Roboto" w:hAnsi="Roboto" w:cs="Arial"/>
                <w:b w:val="0"/>
                <w:bCs w:val="0"/>
                <w:color w:val="3B3939"/>
                <w:sz w:val="20"/>
                <w:szCs w:val="20"/>
              </w:rPr>
              <w:t>.</w:t>
            </w:r>
          </w:p>
          <w:p w14:paraId="6A4A7A00" w14:textId="77777777" w:rsidR="00421674" w:rsidRPr="00654686" w:rsidRDefault="00421674" w:rsidP="00421674">
            <w:pPr>
              <w:autoSpaceDE w:val="0"/>
              <w:autoSpaceDN w:val="0"/>
              <w:adjustRightInd w:val="0"/>
              <w:spacing w:line="276" w:lineRule="auto"/>
              <w:jc w:val="both"/>
              <w:rPr>
                <w:rFonts w:ascii="Roboto" w:hAnsi="Roboto" w:cs="Arial"/>
                <w:color w:val="3B3939"/>
                <w:sz w:val="20"/>
                <w:szCs w:val="20"/>
              </w:rPr>
            </w:pPr>
          </w:p>
          <w:p w14:paraId="46374A7C" w14:textId="2297C7D5" w:rsidR="00421674" w:rsidRPr="00654686" w:rsidRDefault="00421674" w:rsidP="00421674">
            <w:pPr>
              <w:autoSpaceDE w:val="0"/>
              <w:autoSpaceDN w:val="0"/>
              <w:adjustRightInd w:val="0"/>
              <w:spacing w:line="276" w:lineRule="auto"/>
              <w:jc w:val="both"/>
              <w:rPr>
                <w:rFonts w:ascii="Roboto" w:hAnsi="Roboto" w:cs="Arial"/>
                <w:color w:val="3B3939"/>
                <w:sz w:val="20"/>
                <w:szCs w:val="20"/>
              </w:rPr>
            </w:pP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more </w:t>
            </w:r>
            <w:proofErr w:type="spellStart"/>
            <w:r w:rsidRPr="00654686">
              <w:rPr>
                <w:rFonts w:ascii="Roboto" w:hAnsi="Roboto" w:cs="Arial"/>
                <w:b w:val="0"/>
                <w:bCs w:val="0"/>
                <w:color w:val="3B3939"/>
                <w:sz w:val="20"/>
                <w:szCs w:val="20"/>
              </w:rPr>
              <w:t>decentralized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revenue</w:t>
            </w:r>
            <w:proofErr w:type="spellEnd"/>
            <w:r w:rsidRPr="00654686">
              <w:rPr>
                <w:rFonts w:ascii="Roboto" w:hAnsi="Roboto" w:cs="Arial"/>
                <w:b w:val="0"/>
                <w:bCs w:val="0"/>
                <w:color w:val="3B3939"/>
                <w:sz w:val="20"/>
                <w:szCs w:val="20"/>
              </w:rPr>
              <w:t xml:space="preserve"> and </w:t>
            </w:r>
            <w:proofErr w:type="spellStart"/>
            <w:r w:rsidRPr="00654686">
              <w:rPr>
                <w:rFonts w:ascii="Roboto" w:hAnsi="Roboto" w:cs="Arial"/>
                <w:b w:val="0"/>
                <w:bCs w:val="0"/>
                <w:color w:val="3B3939"/>
                <w:sz w:val="20"/>
                <w:szCs w:val="20"/>
              </w:rPr>
              <w:t>spending</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decisions</w:t>
            </w:r>
            <w:proofErr w:type="spellEnd"/>
            <w:r w:rsidR="00001450" w:rsidRPr="00654686">
              <w:rPr>
                <w:rFonts w:ascii="Roboto" w:hAnsi="Roboto" w:cs="Arial"/>
                <w:b w:val="0"/>
                <w:bCs w:val="0"/>
                <w:color w:val="3B3939"/>
                <w:sz w:val="20"/>
                <w:szCs w:val="20"/>
              </w:rPr>
              <w:t>,</w:t>
            </w:r>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more </w:t>
            </w:r>
            <w:proofErr w:type="spellStart"/>
            <w:r w:rsidRPr="00654686">
              <w:rPr>
                <w:rFonts w:ascii="Roboto" w:hAnsi="Roboto" w:cs="Arial"/>
                <w:b w:val="0"/>
                <w:bCs w:val="0"/>
                <w:color w:val="3B3939"/>
                <w:sz w:val="20"/>
                <w:szCs w:val="20"/>
              </w:rPr>
              <w:t>important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becomes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to</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ensure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that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lower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levels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also</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follow</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good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practices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on</w:t>
            </w:r>
            <w:proofErr w:type="spellEnd"/>
            <w:r w:rsidRPr="00654686">
              <w:rPr>
                <w:rFonts w:ascii="Roboto" w:hAnsi="Roboto" w:cs="Arial"/>
                <w:b w:val="0"/>
                <w:bCs w:val="0"/>
                <w:color w:val="3B3939"/>
                <w:sz w:val="20"/>
                <w:szCs w:val="20"/>
              </w:rPr>
              <w:t xml:space="preserve"> fiscal </w:t>
            </w:r>
            <w:proofErr w:type="spellStart"/>
            <w:r w:rsidRPr="00654686">
              <w:rPr>
                <w:rFonts w:ascii="Roboto" w:hAnsi="Roboto" w:cs="Arial"/>
                <w:b w:val="0"/>
                <w:bCs w:val="0"/>
                <w:color w:val="3B3939"/>
                <w:sz w:val="20"/>
                <w:szCs w:val="20"/>
              </w:rPr>
              <w:t>transparency</w:t>
            </w:r>
            <w:proofErr w:type="spellEnd"/>
            <w:r w:rsidRPr="00654686">
              <w:rPr>
                <w:rFonts w:ascii="Roboto" w:hAnsi="Roboto" w:cs="Arial"/>
                <w:b w:val="0"/>
                <w:bCs w:val="0"/>
                <w:color w:val="3B3939"/>
                <w:sz w:val="20"/>
                <w:szCs w:val="20"/>
              </w:rPr>
              <w:t xml:space="preserve">. Central </w:t>
            </w:r>
            <w:proofErr w:type="spellStart"/>
            <w:r w:rsidRPr="00654686">
              <w:rPr>
                <w:rFonts w:ascii="Roboto" w:hAnsi="Roboto" w:cs="Arial"/>
                <w:b w:val="0"/>
                <w:bCs w:val="0"/>
                <w:color w:val="3B3939"/>
                <w:sz w:val="20"/>
                <w:szCs w:val="20"/>
              </w:rPr>
              <w:t>governments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need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adequate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information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on</w:t>
            </w:r>
            <w:proofErr w:type="spellEnd"/>
            <w:r w:rsidRPr="00654686">
              <w:rPr>
                <w:rFonts w:ascii="Roboto" w:hAnsi="Roboto" w:cs="Arial"/>
                <w:b w:val="0"/>
                <w:bCs w:val="0"/>
                <w:color w:val="3B3939"/>
                <w:sz w:val="20"/>
                <w:szCs w:val="20"/>
              </w:rPr>
              <w:t xml:space="preserve"> fiscal </w:t>
            </w:r>
            <w:proofErr w:type="spellStart"/>
            <w:r w:rsidRPr="00654686">
              <w:rPr>
                <w:rFonts w:ascii="Roboto" w:hAnsi="Roboto" w:cs="Arial"/>
                <w:b w:val="0"/>
                <w:bCs w:val="0"/>
                <w:color w:val="3B3939"/>
                <w:sz w:val="20"/>
                <w:szCs w:val="20"/>
              </w:rPr>
              <w:t>activities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lower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levels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w:t>
            </w:r>
            <w:proofErr w:type="spellEnd"/>
            <w:r w:rsidRPr="00654686">
              <w:rPr>
                <w:rFonts w:ascii="Roboto" w:hAnsi="Roboto" w:cs="Arial"/>
                <w:b w:val="0"/>
                <w:bCs w:val="0"/>
                <w:color w:val="3B3939"/>
                <w:sz w:val="20"/>
                <w:szCs w:val="20"/>
              </w:rPr>
              <w:t xml:space="preserve"> in </w:t>
            </w:r>
            <w:proofErr w:type="spellStart"/>
            <w:r w:rsidRPr="00654686">
              <w:rPr>
                <w:rFonts w:ascii="Roboto" w:hAnsi="Roboto" w:cs="Arial"/>
                <w:b w:val="0"/>
                <w:bCs w:val="0"/>
                <w:color w:val="3B3939"/>
                <w:sz w:val="20"/>
                <w:szCs w:val="20"/>
              </w:rPr>
              <w:t>order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to</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have</w:t>
            </w:r>
            <w:proofErr w:type="spellEnd"/>
            <w:r w:rsidRPr="00654686">
              <w:rPr>
                <w:rFonts w:ascii="Roboto" w:hAnsi="Roboto" w:cs="Arial"/>
                <w:b w:val="0"/>
                <w:bCs w:val="0"/>
                <w:color w:val="3B3939"/>
                <w:sz w:val="20"/>
                <w:szCs w:val="20"/>
              </w:rPr>
              <w:t xml:space="preserve"> a full </w:t>
            </w:r>
            <w:proofErr w:type="spellStart"/>
            <w:r w:rsidRPr="00654686">
              <w:rPr>
                <w:rFonts w:ascii="Roboto" w:hAnsi="Roboto" w:cs="Arial"/>
                <w:b w:val="0"/>
                <w:bCs w:val="0"/>
                <w:color w:val="3B3939"/>
                <w:sz w:val="20"/>
                <w:szCs w:val="20"/>
              </w:rPr>
              <w:t>view</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general </w:t>
            </w:r>
            <w:proofErr w:type="spellStart"/>
            <w:r w:rsidRPr="00654686">
              <w:rPr>
                <w:rFonts w:ascii="Roboto" w:hAnsi="Roboto" w:cs="Arial"/>
                <w:b w:val="0"/>
                <w:bCs w:val="0"/>
                <w:color w:val="3B3939"/>
                <w:sz w:val="20"/>
                <w:szCs w:val="20"/>
              </w:rPr>
              <w:t>government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activities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This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especially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important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where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subnational</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have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access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to</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independent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borrowing</w:t>
            </w:r>
            <w:proofErr w:type="spellEnd"/>
            <w:r w:rsidRPr="00654686">
              <w:rPr>
                <w:rFonts w:ascii="Roboto" w:hAnsi="Roboto" w:cs="Arial"/>
                <w:b w:val="0"/>
                <w:bCs w:val="0"/>
                <w:color w:val="3B3939"/>
                <w:sz w:val="20"/>
                <w:szCs w:val="20"/>
              </w:rPr>
              <w:t xml:space="preserve">. In </w:t>
            </w:r>
            <w:proofErr w:type="spellStart"/>
            <w:r w:rsidRPr="00654686">
              <w:rPr>
                <w:rFonts w:ascii="Roboto" w:hAnsi="Roboto" w:cs="Arial"/>
                <w:b w:val="0"/>
                <w:bCs w:val="0"/>
                <w:color w:val="3B3939"/>
                <w:sz w:val="20"/>
                <w:szCs w:val="20"/>
              </w:rPr>
              <w:lastRenderedPageBreak/>
              <w:t>many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countries</w:t>
            </w:r>
            <w:proofErr w:type="spellEnd"/>
            <w:r w:rsidRPr="00654686">
              <w:rPr>
                <w:rFonts w:ascii="Roboto" w:hAnsi="Roboto" w:cs="Arial"/>
                <w:b w:val="0"/>
                <w:bCs w:val="0"/>
                <w:color w:val="3B3939"/>
                <w:sz w:val="20"/>
                <w:szCs w:val="20"/>
              </w:rPr>
              <w:t xml:space="preserve"> central </w:t>
            </w:r>
            <w:proofErr w:type="spellStart"/>
            <w:r w:rsidRPr="00654686">
              <w:rPr>
                <w:rFonts w:ascii="Roboto" w:hAnsi="Roboto" w:cs="Arial"/>
                <w:b w:val="0"/>
                <w:bCs w:val="0"/>
                <w:color w:val="3B3939"/>
                <w:sz w:val="20"/>
                <w:szCs w:val="20"/>
              </w:rPr>
              <w:t>governments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carry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implicit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contingent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liability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subnational</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debt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potentially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causing</w:t>
            </w:r>
            <w:proofErr w:type="spellEnd"/>
            <w:r w:rsidRPr="00654686">
              <w:rPr>
                <w:rFonts w:ascii="Roboto" w:hAnsi="Roboto" w:cs="Arial"/>
                <w:b w:val="0"/>
                <w:bCs w:val="0"/>
                <w:color w:val="3B3939"/>
                <w:sz w:val="20"/>
                <w:szCs w:val="20"/>
              </w:rPr>
              <w:t xml:space="preserve"> fiscal </w:t>
            </w:r>
            <w:proofErr w:type="spellStart"/>
            <w:r w:rsidRPr="00654686">
              <w:rPr>
                <w:rFonts w:ascii="Roboto" w:hAnsi="Roboto" w:cs="Arial"/>
                <w:b w:val="0"/>
                <w:bCs w:val="0"/>
                <w:color w:val="3B3939"/>
                <w:sz w:val="20"/>
                <w:szCs w:val="20"/>
              </w:rPr>
              <w:t>risks</w:t>
            </w:r>
            <w:proofErr w:type="spellEnd"/>
            <w:r w:rsidRPr="00654686">
              <w:rPr>
                <w:rStyle w:val="FootnoteReference"/>
                <w:rFonts w:ascii="Roboto" w:hAnsi="Roboto" w:cs="Arial"/>
                <w:b w:val="0"/>
                <w:bCs w:val="0"/>
                <w:color w:val="3B3939"/>
                <w:sz w:val="20"/>
                <w:szCs w:val="20"/>
              </w:rPr>
              <w:footnoteReference w:id="36"/>
            </w:r>
            <w:r w:rsidRPr="00654686">
              <w:rPr>
                <w:rFonts w:ascii="Roboto" w:hAnsi="Roboto" w:cs="Arial"/>
                <w:b w:val="0"/>
                <w:bCs w:val="0"/>
                <w:color w:val="3B3939"/>
                <w:sz w:val="20"/>
                <w:szCs w:val="20"/>
              </w:rPr>
              <w:t xml:space="preserve">, and in </w:t>
            </w:r>
            <w:proofErr w:type="spellStart"/>
            <w:r w:rsidRPr="00654686">
              <w:rPr>
                <w:rFonts w:ascii="Roboto" w:hAnsi="Roboto" w:cs="Arial"/>
                <w:b w:val="0"/>
                <w:bCs w:val="0"/>
                <w:color w:val="3B3939"/>
                <w:sz w:val="20"/>
                <w:szCs w:val="20"/>
              </w:rPr>
              <w:t>these</w:t>
            </w:r>
            <w:proofErr w:type="spellEnd"/>
            <w:r w:rsidRPr="00654686">
              <w:rPr>
                <w:rFonts w:ascii="Roboto" w:hAnsi="Roboto" w:cs="Arial"/>
                <w:b w:val="0"/>
                <w:bCs w:val="0"/>
                <w:color w:val="3B3939"/>
                <w:sz w:val="20"/>
                <w:szCs w:val="20"/>
              </w:rPr>
              <w:t xml:space="preserve"> cases </w:t>
            </w:r>
            <w:proofErr w:type="spellStart"/>
            <w:r w:rsidRPr="00654686">
              <w:rPr>
                <w:rFonts w:ascii="Roboto" w:hAnsi="Roboto" w:cs="Arial"/>
                <w:b w:val="0"/>
                <w:bCs w:val="0"/>
                <w:color w:val="3B3939"/>
                <w:sz w:val="20"/>
                <w:szCs w:val="20"/>
              </w:rPr>
              <w:t>monitoring</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subnational</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particularly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important</w:t>
            </w:r>
            <w:proofErr w:type="spellEnd"/>
            <w:r w:rsidRPr="00654686">
              <w:rPr>
                <w:rFonts w:ascii="Roboto" w:hAnsi="Roboto" w:cs="Arial"/>
                <w:b w:val="0"/>
                <w:bCs w:val="0"/>
                <w:color w:val="3B3939"/>
                <w:sz w:val="20"/>
                <w:szCs w:val="20"/>
              </w:rPr>
              <w:t xml:space="preserve">. As </w:t>
            </w:r>
            <w:proofErr w:type="spellStart"/>
            <w:r w:rsidRPr="00654686">
              <w:rPr>
                <w:rFonts w:ascii="Roboto" w:hAnsi="Roboto" w:cs="Arial"/>
                <w:b w:val="0"/>
                <w:bCs w:val="0"/>
                <w:color w:val="3B3939"/>
                <w:sz w:val="20"/>
                <w:szCs w:val="20"/>
              </w:rPr>
              <w:t>such</w:t>
            </w:r>
            <w:proofErr w:type="spellEnd"/>
            <w:r w:rsidRPr="00654686">
              <w:rPr>
                <w:rFonts w:ascii="Roboto" w:hAnsi="Roboto" w:cs="Arial"/>
                <w:b w:val="0"/>
                <w:bCs w:val="0"/>
                <w:color w:val="3B3939"/>
                <w:sz w:val="20"/>
                <w:szCs w:val="20"/>
              </w:rPr>
              <w:t xml:space="preserve"> fiscal </w:t>
            </w:r>
            <w:proofErr w:type="spellStart"/>
            <w:r w:rsidRPr="00654686">
              <w:rPr>
                <w:rFonts w:ascii="Roboto" w:hAnsi="Roboto" w:cs="Arial"/>
                <w:b w:val="0"/>
                <w:bCs w:val="0"/>
                <w:color w:val="3B3939"/>
                <w:sz w:val="20"/>
                <w:szCs w:val="20"/>
              </w:rPr>
              <w:t>responsibility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legislation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should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include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reporting</w:t>
            </w:r>
            <w:proofErr w:type="spellEnd"/>
            <w:r w:rsidRPr="00654686">
              <w:rPr>
                <w:rFonts w:ascii="Roboto" w:hAnsi="Roboto" w:cs="Arial"/>
                <w:b w:val="0"/>
                <w:bCs w:val="0"/>
                <w:color w:val="3B3939"/>
                <w:sz w:val="20"/>
                <w:szCs w:val="20"/>
              </w:rPr>
              <w:t xml:space="preserve"> and </w:t>
            </w:r>
            <w:proofErr w:type="spellStart"/>
            <w:r w:rsidRPr="00654686">
              <w:rPr>
                <w:rFonts w:ascii="Roboto" w:hAnsi="Roboto" w:cs="Arial"/>
                <w:b w:val="0"/>
                <w:bCs w:val="0"/>
                <w:color w:val="3B3939"/>
                <w:sz w:val="20"/>
                <w:szCs w:val="20"/>
              </w:rPr>
              <w:t>other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requirements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for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subnational</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governments</w:t>
            </w:r>
            <w:proofErr w:type="spellEnd"/>
            <w:r w:rsidRPr="00654686">
              <w:rPr>
                <w:rFonts w:ascii="Roboto" w:hAnsi="Roboto" w:cs="Arial"/>
                <w:b w:val="0"/>
                <w:bCs w:val="0"/>
                <w:color w:val="3B3939"/>
                <w:sz w:val="20"/>
                <w:szCs w:val="20"/>
              </w:rPr>
              <w:t>.</w:t>
            </w:r>
          </w:p>
          <w:p w14:paraId="523153E2" w14:textId="77777777" w:rsidR="00421674" w:rsidRPr="00654686" w:rsidRDefault="00421674" w:rsidP="00421674">
            <w:pPr>
              <w:autoSpaceDE w:val="0"/>
              <w:autoSpaceDN w:val="0"/>
              <w:adjustRightInd w:val="0"/>
              <w:spacing w:line="276" w:lineRule="auto"/>
              <w:jc w:val="both"/>
              <w:rPr>
                <w:rFonts w:ascii="Roboto" w:hAnsi="Roboto" w:cs="Arial"/>
                <w:color w:val="3B3939"/>
                <w:sz w:val="20"/>
                <w:szCs w:val="20"/>
              </w:rPr>
            </w:pPr>
          </w:p>
          <w:p w14:paraId="496BE0F7" w14:textId="77777777" w:rsidR="00421674" w:rsidRPr="00654686" w:rsidRDefault="00421674" w:rsidP="00421674">
            <w:pPr>
              <w:autoSpaceDE w:val="0"/>
              <w:autoSpaceDN w:val="0"/>
              <w:adjustRightInd w:val="0"/>
              <w:spacing w:line="276" w:lineRule="auto"/>
              <w:jc w:val="both"/>
              <w:rPr>
                <w:rFonts w:ascii="Roboto" w:hAnsi="Roboto" w:cs="Arial"/>
                <w:color w:val="3B3939"/>
                <w:sz w:val="20"/>
                <w:szCs w:val="20"/>
              </w:rPr>
            </w:pPr>
            <w:proofErr w:type="spellStart"/>
            <w:r w:rsidRPr="00654686">
              <w:rPr>
                <w:rFonts w:ascii="Roboto" w:hAnsi="Roboto" w:cs="Arial"/>
                <w:b w:val="0"/>
                <w:bCs w:val="0"/>
                <w:color w:val="3B3939"/>
                <w:sz w:val="20"/>
                <w:szCs w:val="20"/>
              </w:rPr>
              <w:t>For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countries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with</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significant</w:t>
            </w:r>
            <w:proofErr w:type="spellEnd"/>
            <w:r w:rsidRPr="00654686">
              <w:rPr>
                <w:rFonts w:ascii="Roboto" w:hAnsi="Roboto" w:cs="Arial"/>
                <w:b w:val="0"/>
                <w:bCs w:val="0"/>
                <w:color w:val="3B3939"/>
                <w:sz w:val="20"/>
                <w:szCs w:val="20"/>
              </w:rPr>
              <w:t xml:space="preserve"> natural </w:t>
            </w:r>
            <w:proofErr w:type="spellStart"/>
            <w:r w:rsidRPr="00654686">
              <w:rPr>
                <w:rFonts w:ascii="Roboto" w:hAnsi="Roboto" w:cs="Arial"/>
                <w:b w:val="0"/>
                <w:bCs w:val="0"/>
                <w:color w:val="3B3939"/>
                <w:sz w:val="20"/>
                <w:szCs w:val="20"/>
              </w:rPr>
              <w:t>resource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revenues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distribution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resources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between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levels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w:t>
            </w:r>
            <w:proofErr w:type="spellEnd"/>
            <w:r w:rsidRPr="00654686">
              <w:rPr>
                <w:rFonts w:ascii="Roboto" w:hAnsi="Roboto" w:cs="Arial"/>
                <w:b w:val="0"/>
                <w:bCs w:val="0"/>
                <w:color w:val="3B3939"/>
                <w:sz w:val="20"/>
                <w:szCs w:val="20"/>
              </w:rPr>
              <w:t xml:space="preserve"> has </w:t>
            </w:r>
            <w:proofErr w:type="spellStart"/>
            <w:r w:rsidRPr="00654686">
              <w:rPr>
                <w:rFonts w:ascii="Roboto" w:hAnsi="Roboto" w:cs="Arial"/>
                <w:b w:val="0"/>
                <w:bCs w:val="0"/>
                <w:color w:val="3B3939"/>
                <w:sz w:val="20"/>
                <w:szCs w:val="20"/>
              </w:rPr>
              <w:t>an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added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dimension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Arrangements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to</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assign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or</w:t>
            </w:r>
            <w:proofErr w:type="spellEnd"/>
            <w:r w:rsidRPr="00654686">
              <w:rPr>
                <w:rFonts w:ascii="Roboto" w:hAnsi="Roboto" w:cs="Arial"/>
                <w:b w:val="0"/>
                <w:bCs w:val="0"/>
                <w:color w:val="3B3939"/>
                <w:sz w:val="20"/>
                <w:szCs w:val="20"/>
              </w:rPr>
              <w:t xml:space="preserve"> share </w:t>
            </w:r>
            <w:proofErr w:type="spellStart"/>
            <w:r w:rsidRPr="00654686">
              <w:rPr>
                <w:rFonts w:ascii="Roboto" w:hAnsi="Roboto" w:cs="Arial"/>
                <w:b w:val="0"/>
                <w:bCs w:val="0"/>
                <w:color w:val="3B3939"/>
                <w:sz w:val="20"/>
                <w:szCs w:val="20"/>
              </w:rPr>
              <w:t>revenues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from</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these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resources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between</w:t>
            </w:r>
            <w:proofErr w:type="spellEnd"/>
            <w:r w:rsidRPr="00654686">
              <w:rPr>
                <w:rFonts w:ascii="Roboto" w:hAnsi="Roboto" w:cs="Arial"/>
                <w:b w:val="0"/>
                <w:bCs w:val="0"/>
                <w:color w:val="3B3939"/>
                <w:sz w:val="20"/>
                <w:szCs w:val="20"/>
              </w:rPr>
              <w:t xml:space="preserve"> central and </w:t>
            </w:r>
            <w:proofErr w:type="spellStart"/>
            <w:r w:rsidRPr="00654686">
              <w:rPr>
                <w:rFonts w:ascii="Roboto" w:hAnsi="Roboto" w:cs="Arial"/>
                <w:b w:val="0"/>
                <w:bCs w:val="0"/>
                <w:color w:val="3B3939"/>
                <w:sz w:val="20"/>
                <w:szCs w:val="20"/>
              </w:rPr>
              <w:t>lower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levels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government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should</w:t>
            </w:r>
            <w:proofErr w:type="spellEnd"/>
            <w:r w:rsidRPr="00654686">
              <w:rPr>
                <w:rFonts w:ascii="Roboto" w:hAnsi="Roboto" w:cs="Arial"/>
                <w:b w:val="0"/>
                <w:bCs w:val="0"/>
                <w:color w:val="3B3939"/>
                <w:sz w:val="20"/>
                <w:szCs w:val="20"/>
              </w:rPr>
              <w:t xml:space="preserve"> be </w:t>
            </w:r>
            <w:proofErr w:type="spellStart"/>
            <w:r w:rsidRPr="00654686">
              <w:rPr>
                <w:rFonts w:ascii="Roboto" w:hAnsi="Roboto" w:cs="Arial"/>
                <w:b w:val="0"/>
                <w:bCs w:val="0"/>
                <w:color w:val="3B3939"/>
                <w:sz w:val="20"/>
                <w:szCs w:val="20"/>
              </w:rPr>
              <w:t>well</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defined</w:t>
            </w:r>
            <w:proofErr w:type="spellEnd"/>
            <w:r w:rsidRPr="00654686">
              <w:rPr>
                <w:rFonts w:ascii="Roboto" w:hAnsi="Roboto" w:cs="Arial"/>
                <w:b w:val="0"/>
                <w:bCs w:val="0"/>
                <w:color w:val="3B3939"/>
                <w:sz w:val="20"/>
                <w:szCs w:val="20"/>
              </w:rPr>
              <w:t xml:space="preserve"> and </w:t>
            </w:r>
            <w:proofErr w:type="spellStart"/>
            <w:r w:rsidRPr="00654686">
              <w:rPr>
                <w:rFonts w:ascii="Roboto" w:hAnsi="Roboto" w:cs="Arial"/>
                <w:b w:val="0"/>
                <w:bCs w:val="0"/>
                <w:color w:val="3B3939"/>
                <w:sz w:val="20"/>
                <w:szCs w:val="20"/>
              </w:rPr>
              <w:t>any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modification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system</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should</w:t>
            </w:r>
            <w:proofErr w:type="spellEnd"/>
            <w:r w:rsidRPr="00654686">
              <w:rPr>
                <w:rFonts w:ascii="Roboto" w:hAnsi="Roboto" w:cs="Arial"/>
                <w:b w:val="0"/>
                <w:bCs w:val="0"/>
                <w:color w:val="3B3939"/>
                <w:sz w:val="20"/>
                <w:szCs w:val="20"/>
              </w:rPr>
              <w:t xml:space="preserve"> be </w:t>
            </w:r>
            <w:proofErr w:type="spellStart"/>
            <w:r w:rsidRPr="00654686">
              <w:rPr>
                <w:rFonts w:ascii="Roboto" w:hAnsi="Roboto" w:cs="Arial"/>
                <w:b w:val="0"/>
                <w:bCs w:val="0"/>
                <w:color w:val="3B3939"/>
                <w:sz w:val="20"/>
                <w:szCs w:val="20"/>
              </w:rPr>
              <w:t>subject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to</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clear</w:t>
            </w:r>
            <w:proofErr w:type="spellEnd"/>
            <w:r w:rsidRPr="00654686">
              <w:rPr>
                <w:rFonts w:ascii="Roboto" w:hAnsi="Roboto" w:cs="Arial"/>
                <w:b w:val="0"/>
                <w:bCs w:val="0"/>
                <w:color w:val="3B3939"/>
                <w:sz w:val="20"/>
                <w:szCs w:val="20"/>
              </w:rPr>
              <w:t xml:space="preserve"> rules and </w:t>
            </w:r>
            <w:proofErr w:type="spellStart"/>
            <w:r w:rsidRPr="00654686">
              <w:rPr>
                <w:rFonts w:ascii="Roboto" w:hAnsi="Roboto" w:cs="Arial"/>
                <w:b w:val="0"/>
                <w:bCs w:val="0"/>
                <w:color w:val="3B3939"/>
                <w:sz w:val="20"/>
                <w:szCs w:val="20"/>
              </w:rPr>
              <w:t>procedures</w:t>
            </w:r>
            <w:proofErr w:type="spellEnd"/>
            <w:r w:rsidRPr="00654686">
              <w:rPr>
                <w:rFonts w:ascii="Roboto" w:hAnsi="Roboto" w:cs="Arial"/>
                <w:b w:val="0"/>
                <w:bCs w:val="0"/>
                <w:color w:val="3B3939"/>
                <w:sz w:val="20"/>
                <w:szCs w:val="20"/>
              </w:rPr>
              <w:t>.</w:t>
            </w:r>
          </w:p>
          <w:p w14:paraId="4AA231BB" w14:textId="77777777" w:rsidR="00421674" w:rsidRPr="00654686" w:rsidRDefault="00421674" w:rsidP="00421674">
            <w:pPr>
              <w:autoSpaceDE w:val="0"/>
              <w:autoSpaceDN w:val="0"/>
              <w:adjustRightInd w:val="0"/>
              <w:spacing w:line="276" w:lineRule="auto"/>
              <w:jc w:val="both"/>
              <w:rPr>
                <w:rFonts w:ascii="Roboto" w:hAnsi="Roboto" w:cs="Arial"/>
                <w:color w:val="3B3939"/>
                <w:sz w:val="20"/>
                <w:szCs w:val="20"/>
              </w:rPr>
            </w:pPr>
          </w:p>
          <w:p w14:paraId="4B5AB025" w14:textId="77777777" w:rsidR="00421674" w:rsidRPr="00654686" w:rsidRDefault="00421674" w:rsidP="00B53BF4">
            <w:pPr>
              <w:spacing w:line="276" w:lineRule="auto"/>
              <w:jc w:val="both"/>
              <w:rPr>
                <w:rFonts w:ascii="Roboto" w:hAnsi="Roboto"/>
                <w:sz w:val="20"/>
                <w:szCs w:val="20"/>
              </w:rPr>
            </w:pPr>
            <w:proofErr w:type="spellStart"/>
            <w:r w:rsidRPr="00654686">
              <w:rPr>
                <w:rFonts w:ascii="Roboto" w:hAnsi="Roboto" w:cs="Arial"/>
                <w:b w:val="0"/>
                <w:bCs w:val="0"/>
                <w:color w:val="3B3939"/>
                <w:sz w:val="20"/>
                <w:szCs w:val="20"/>
              </w:rPr>
              <w:t>Likewise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information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on</w:t>
            </w:r>
            <w:proofErr w:type="spellEnd"/>
            <w:r w:rsidRPr="00654686">
              <w:rPr>
                <w:rFonts w:ascii="Roboto" w:hAnsi="Roboto" w:cs="Arial"/>
                <w:b w:val="0"/>
                <w:bCs w:val="0"/>
                <w:color w:val="3B3939"/>
                <w:sz w:val="20"/>
                <w:szCs w:val="20"/>
              </w:rPr>
              <w:t xml:space="preserve"> social </w:t>
            </w:r>
            <w:proofErr w:type="spellStart"/>
            <w:r w:rsidRPr="00654686">
              <w:rPr>
                <w:rFonts w:ascii="Roboto" w:hAnsi="Roboto" w:cs="Arial"/>
                <w:b w:val="0"/>
                <w:bCs w:val="0"/>
                <w:color w:val="3B3939"/>
                <w:sz w:val="20"/>
                <w:szCs w:val="20"/>
              </w:rPr>
              <w:t>security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funds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should</w:t>
            </w:r>
            <w:proofErr w:type="spellEnd"/>
            <w:r w:rsidRPr="00654686">
              <w:rPr>
                <w:rFonts w:ascii="Roboto" w:hAnsi="Roboto" w:cs="Arial"/>
                <w:b w:val="0"/>
                <w:bCs w:val="0"/>
                <w:color w:val="3B3939"/>
                <w:sz w:val="20"/>
                <w:szCs w:val="20"/>
              </w:rPr>
              <w:t xml:space="preserve"> be </w:t>
            </w:r>
            <w:proofErr w:type="spellStart"/>
            <w:r w:rsidRPr="00654686">
              <w:rPr>
                <w:rFonts w:ascii="Roboto" w:hAnsi="Roboto" w:cs="Arial"/>
                <w:b w:val="0"/>
                <w:bCs w:val="0"/>
                <w:color w:val="3B3939"/>
                <w:sz w:val="20"/>
                <w:szCs w:val="20"/>
              </w:rPr>
              <w:t>comprehensively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provided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to</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central </w:t>
            </w:r>
            <w:proofErr w:type="spellStart"/>
            <w:r w:rsidRPr="00654686">
              <w:rPr>
                <w:rFonts w:ascii="Roboto" w:hAnsi="Roboto" w:cs="Arial"/>
                <w:b w:val="0"/>
                <w:bCs w:val="0"/>
                <w:color w:val="3B3939"/>
                <w:sz w:val="20"/>
                <w:szCs w:val="20"/>
              </w:rPr>
              <w:t>government</w:t>
            </w:r>
            <w:proofErr w:type="spellEnd"/>
            <w:r w:rsidRPr="00654686">
              <w:rPr>
                <w:rFonts w:ascii="Roboto" w:hAnsi="Roboto" w:cs="Arial"/>
                <w:b w:val="0"/>
                <w:bCs w:val="0"/>
                <w:color w:val="3B3939"/>
                <w:sz w:val="20"/>
                <w:szCs w:val="20"/>
              </w:rPr>
              <w:t xml:space="preserve"> and </w:t>
            </w:r>
            <w:proofErr w:type="spellStart"/>
            <w:r w:rsidRPr="00654686">
              <w:rPr>
                <w:rFonts w:ascii="Roboto" w:hAnsi="Roboto" w:cs="Arial"/>
                <w:b w:val="0"/>
                <w:bCs w:val="0"/>
                <w:color w:val="3B3939"/>
                <w:sz w:val="20"/>
                <w:szCs w:val="20"/>
              </w:rPr>
              <w:t>reported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For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example</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South </w:t>
            </w:r>
            <w:proofErr w:type="spellStart"/>
            <w:r w:rsidRPr="00654686">
              <w:rPr>
                <w:rFonts w:ascii="Roboto" w:hAnsi="Roboto" w:cs="Arial"/>
                <w:b w:val="0"/>
                <w:bCs w:val="0"/>
                <w:color w:val="3B3939"/>
                <w:sz w:val="20"/>
                <w:szCs w:val="20"/>
              </w:rPr>
              <w:t>African</w:t>
            </w:r>
            <w:proofErr w:type="spellEnd"/>
            <w:r w:rsidRPr="00654686">
              <w:rPr>
                <w:rFonts w:ascii="Roboto" w:hAnsi="Roboto" w:cs="Arial"/>
                <w:b w:val="0"/>
                <w:bCs w:val="0"/>
                <w:color w:val="3B3939"/>
                <w:sz w:val="20"/>
                <w:szCs w:val="20"/>
              </w:rPr>
              <w:t xml:space="preserve"> Social Security Agency </w:t>
            </w:r>
            <w:proofErr w:type="spellStart"/>
            <w:r w:rsidRPr="00654686">
              <w:rPr>
                <w:rFonts w:ascii="Roboto" w:hAnsi="Roboto" w:cs="Arial"/>
                <w:b w:val="0"/>
                <w:bCs w:val="0"/>
                <w:color w:val="3B3939"/>
                <w:sz w:val="20"/>
                <w:szCs w:val="20"/>
              </w:rPr>
              <w:t>Act</w:t>
            </w:r>
            <w:proofErr w:type="spellEnd"/>
            <w:r w:rsidRPr="00654686">
              <w:rPr>
                <w:rFonts w:ascii="Roboto" w:hAnsi="Roboto" w:cs="Arial"/>
                <w:b w:val="0"/>
                <w:bCs w:val="0"/>
                <w:color w:val="3B3939"/>
                <w:sz w:val="20"/>
                <w:szCs w:val="20"/>
              </w:rPr>
              <w:t xml:space="preserve"> (2004) </w:t>
            </w:r>
            <w:proofErr w:type="spellStart"/>
            <w:r w:rsidRPr="00654686">
              <w:rPr>
                <w:rFonts w:ascii="Roboto" w:hAnsi="Roboto" w:cs="Arial"/>
                <w:b w:val="0"/>
                <w:bCs w:val="0"/>
                <w:color w:val="3B3939"/>
                <w:sz w:val="20"/>
                <w:szCs w:val="20"/>
              </w:rPr>
              <w:t>provided</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for</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establishment </w:t>
            </w:r>
            <w:proofErr w:type="spellStart"/>
            <w:r w:rsidRPr="00654686">
              <w:rPr>
                <w:rFonts w:ascii="Roboto" w:hAnsi="Roboto" w:cs="Arial"/>
                <w:b w:val="0"/>
                <w:bCs w:val="0"/>
                <w:color w:val="3B3939"/>
                <w:sz w:val="20"/>
                <w:szCs w:val="20"/>
              </w:rPr>
              <w:t>of</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South </w:t>
            </w:r>
            <w:proofErr w:type="spellStart"/>
            <w:r w:rsidRPr="00654686">
              <w:rPr>
                <w:rFonts w:ascii="Roboto" w:hAnsi="Roboto" w:cs="Arial"/>
                <w:b w:val="0"/>
                <w:bCs w:val="0"/>
                <w:color w:val="3B3939"/>
                <w:sz w:val="20"/>
                <w:szCs w:val="20"/>
              </w:rPr>
              <w:t>African</w:t>
            </w:r>
            <w:proofErr w:type="spellEnd"/>
            <w:r w:rsidRPr="00654686">
              <w:rPr>
                <w:rFonts w:ascii="Roboto" w:hAnsi="Roboto" w:cs="Arial"/>
                <w:b w:val="0"/>
                <w:bCs w:val="0"/>
                <w:color w:val="3B3939"/>
                <w:sz w:val="20"/>
                <w:szCs w:val="20"/>
              </w:rPr>
              <w:t xml:space="preserve"> Social Security Agency. </w:t>
            </w:r>
            <w:proofErr w:type="spellStart"/>
            <w:r w:rsidRPr="00654686">
              <w:rPr>
                <w:rFonts w:ascii="Roboto" w:hAnsi="Roboto" w:cs="Arial"/>
                <w:b w:val="0"/>
                <w:bCs w:val="0"/>
                <w:color w:val="3B3939"/>
                <w:sz w:val="20"/>
                <w:szCs w:val="20"/>
              </w:rPr>
              <w:t>Information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on</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this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agency</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is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provided</w:t>
            </w:r>
            <w:proofErr w:type="spellEnd"/>
            <w:r w:rsidRPr="00654686">
              <w:rPr>
                <w:rFonts w:ascii="Roboto" w:hAnsi="Roboto" w:cs="Arial"/>
                <w:b w:val="0"/>
                <w:bCs w:val="0"/>
                <w:color w:val="3B3939"/>
                <w:sz w:val="20"/>
                <w:szCs w:val="20"/>
              </w:rPr>
              <w:t xml:space="preserve"> in </w:t>
            </w:r>
            <w:proofErr w:type="spellStart"/>
            <w:r w:rsidRPr="00654686">
              <w:rPr>
                <w:rFonts w:ascii="Roboto" w:hAnsi="Roboto" w:cs="Arial"/>
                <w:b w:val="0"/>
                <w:bCs w:val="0"/>
                <w:color w:val="3B3939"/>
                <w:sz w:val="20"/>
                <w:szCs w:val="20"/>
              </w:rPr>
              <w:t>the</w:t>
            </w:r>
            <w:proofErr w:type="spellEnd"/>
            <w:r w:rsidRPr="00654686">
              <w:rPr>
                <w:rFonts w:ascii="Roboto" w:hAnsi="Roboto" w:cs="Arial"/>
                <w:b w:val="0"/>
                <w:bCs w:val="0"/>
                <w:color w:val="3B3939"/>
                <w:sz w:val="20"/>
                <w:szCs w:val="20"/>
              </w:rPr>
              <w:t xml:space="preserve"> central </w:t>
            </w:r>
            <w:proofErr w:type="spellStart"/>
            <w:r w:rsidRPr="00654686">
              <w:rPr>
                <w:rFonts w:ascii="Roboto" w:hAnsi="Roboto" w:cs="Arial"/>
                <w:b w:val="0"/>
                <w:bCs w:val="0"/>
                <w:color w:val="3B3939"/>
                <w:sz w:val="20"/>
                <w:szCs w:val="20"/>
              </w:rPr>
              <w:t>government’s</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budget</w:t>
            </w:r>
            <w:proofErr w:type="spellEnd"/>
            <w:r w:rsidRPr="00654686">
              <w:rPr>
                <w:rFonts w:ascii="Roboto" w:hAnsi="Roboto" w:cs="Arial"/>
                <w:b w:val="0"/>
                <w:bCs w:val="0"/>
                <w:color w:val="3B3939"/>
                <w:sz w:val="20"/>
                <w:szCs w:val="20"/>
              </w:rPr>
              <w:t xml:space="preserve"> </w:t>
            </w:r>
            <w:proofErr w:type="spellStart"/>
            <w:r w:rsidRPr="00654686">
              <w:rPr>
                <w:rFonts w:ascii="Roboto" w:hAnsi="Roboto" w:cs="Arial"/>
                <w:b w:val="0"/>
                <w:bCs w:val="0"/>
                <w:color w:val="3B3939"/>
                <w:sz w:val="20"/>
                <w:szCs w:val="20"/>
              </w:rPr>
              <w:t>documentation</w:t>
            </w:r>
            <w:proofErr w:type="spellEnd"/>
            <w:r w:rsidRPr="00654686">
              <w:rPr>
                <w:rStyle w:val="FootnoteReference"/>
                <w:rFonts w:ascii="Roboto" w:hAnsi="Roboto" w:cs="Arial"/>
                <w:b w:val="0"/>
                <w:bCs w:val="0"/>
                <w:color w:val="3B3939"/>
                <w:sz w:val="20"/>
                <w:szCs w:val="20"/>
              </w:rPr>
              <w:footnoteReference w:id="37"/>
            </w:r>
            <w:r w:rsidRPr="00654686">
              <w:rPr>
                <w:rFonts w:ascii="Roboto" w:hAnsi="Roboto" w:cs="Arial"/>
                <w:b w:val="0"/>
                <w:bCs w:val="0"/>
                <w:color w:val="3B3939"/>
                <w:sz w:val="20"/>
                <w:szCs w:val="20"/>
              </w:rPr>
              <w:t>.</w:t>
            </w:r>
          </w:p>
          <w:p w14:paraId="1FD0E042" w14:textId="161501F1" w:rsidR="00A22108" w:rsidRPr="003625BA" w:rsidRDefault="00A22108" w:rsidP="00421674">
            <w:pPr>
              <w:autoSpaceDE w:val="0"/>
              <w:autoSpaceDN w:val="0"/>
              <w:adjustRightInd w:val="0"/>
              <w:spacing w:line="276" w:lineRule="auto"/>
              <w:jc w:val="both"/>
              <w:rPr>
                <w:rFonts w:ascii="Roboto" w:hAnsi="Roboto" w:cs="Arial"/>
                <w:sz w:val="20"/>
                <w:szCs w:val="20"/>
              </w:rPr>
            </w:pPr>
          </w:p>
        </w:tc>
      </w:tr>
    </w:tbl>
    <w:p w14:paraId="2C24300B" w14:textId="77777777" w:rsidR="0082509D" w:rsidRDefault="0082509D" w:rsidP="002D14C0">
      <w:pPr>
        <w:tabs>
          <w:tab w:val="left" w:pos="3100"/>
        </w:tabs>
        <w:spacing w:line="276" w:lineRule="auto"/>
        <w:jc w:val="both"/>
        <w:rPr>
          <w:rFonts w:ascii="Arial" w:hAnsi="Arial" w:cs="Arial"/>
          <w:sz w:val="24"/>
          <w:szCs w:val="24"/>
        </w:rPr>
      </w:pPr>
    </w:p>
    <w:p w14:paraId="142626AF" w14:textId="4FE14F35" w:rsidR="00162F20" w:rsidRPr="003625BA" w:rsidRDefault="00162F20" w:rsidP="003625BA">
      <w:pPr>
        <w:pStyle w:val="Heading3"/>
        <w:jc w:val="center"/>
        <w:rPr>
          <w:rFonts w:ascii="Arial" w:hAnsi="Arial" w:cs="Arial"/>
          <w:b/>
          <w:bCs/>
          <w:color w:val="ED5625"/>
          <w:sz w:val="20"/>
          <w:szCs w:val="20"/>
        </w:rPr>
      </w:pPr>
      <w:bookmarkStart w:id="1408" w:name="_Table_3.2._Extrabudgetary"/>
      <w:bookmarkStart w:id="1409" w:name="_Toc123204488"/>
      <w:bookmarkStart w:id="1410" w:name="_Toc123216587"/>
      <w:bookmarkStart w:id="1411" w:name="_Toc123217427"/>
      <w:bookmarkStart w:id="1412" w:name="_Toc123914046"/>
      <w:bookmarkStart w:id="1413" w:name="_Toc125566660"/>
      <w:bookmarkEnd w:id="1408"/>
      <w:r w:rsidRPr="003625BA">
        <w:rPr>
          <w:rFonts w:ascii="Arial" w:hAnsi="Arial" w:cs="Arial"/>
          <w:b/>
          <w:bCs/>
          <w:color w:val="ED5625"/>
          <w:sz w:val="20"/>
          <w:szCs w:val="20"/>
        </w:rPr>
        <w:t xml:space="preserve">Table </w:t>
      </w:r>
      <w:r w:rsidR="0065711A" w:rsidRPr="003625BA">
        <w:rPr>
          <w:rFonts w:ascii="Arial" w:hAnsi="Arial" w:cs="Arial"/>
          <w:b/>
          <w:bCs/>
          <w:color w:val="ED5625"/>
          <w:sz w:val="20"/>
          <w:szCs w:val="20"/>
        </w:rPr>
        <w:t>3.2</w:t>
      </w:r>
      <w:r w:rsidR="003D10E4">
        <w:rPr>
          <w:rFonts w:ascii="Arial" w:hAnsi="Arial" w:cs="Arial"/>
          <w:b/>
          <w:bCs/>
          <w:color w:val="ED5625"/>
          <w:sz w:val="20"/>
          <w:szCs w:val="20"/>
        </w:rPr>
        <w:t>.</w:t>
      </w:r>
      <w:r w:rsidRPr="003625BA">
        <w:rPr>
          <w:rFonts w:ascii="Arial" w:hAnsi="Arial" w:cs="Arial"/>
          <w:b/>
          <w:bCs/>
          <w:color w:val="ED5625"/>
          <w:sz w:val="20"/>
          <w:szCs w:val="20"/>
        </w:rPr>
        <w:t xml:space="preserve"> Extrabudgetary funds</w:t>
      </w:r>
      <w:bookmarkEnd w:id="1409"/>
      <w:bookmarkEnd w:id="1410"/>
      <w:bookmarkEnd w:id="1411"/>
      <w:bookmarkEnd w:id="1412"/>
      <w:bookmarkEnd w:id="1413"/>
    </w:p>
    <w:p w14:paraId="13B0BDF8" w14:textId="4B3CB921" w:rsidR="00402C0F" w:rsidRDefault="00402C0F" w:rsidP="002D14C0">
      <w:pPr>
        <w:tabs>
          <w:tab w:val="left" w:pos="3100"/>
        </w:tabs>
        <w:rPr>
          <w:rFonts w:ascii="Arial" w:hAnsi="Arial" w:cs="Arial"/>
          <w:sz w:val="24"/>
          <w:szCs w:val="24"/>
        </w:rPr>
      </w:pPr>
    </w:p>
    <w:tbl>
      <w:tblPr>
        <w:tblStyle w:val="GridTable5Dark-Accent2"/>
        <w:tblW w:w="10485" w:type="dxa"/>
        <w:tblLook w:val="04A0" w:firstRow="1" w:lastRow="0" w:firstColumn="1" w:lastColumn="0" w:noHBand="0" w:noVBand="1"/>
      </w:tblPr>
      <w:tblGrid>
        <w:gridCol w:w="10485"/>
      </w:tblGrid>
      <w:tr w:rsidR="00AD76C1" w14:paraId="6B16FA40" w14:textId="77777777" w:rsidTr="00A36095">
        <w:trPr>
          <w:cnfStyle w:val="100000000000" w:firstRow="1" w:lastRow="0" w:firstColumn="0" w:lastColumn="0" w:oddVBand="0" w:evenVBand="0" w:oddHBand="0" w:evenHBand="0" w:firstRowFirstColumn="0" w:firstRowLastColumn="0" w:lastRowFirstColumn="0" w:lastRowLastColumn="0"/>
          <w:trHeight w:val="2856"/>
        </w:trPr>
        <w:tc>
          <w:tcPr>
            <w:cnfStyle w:val="001000000000" w:firstRow="0" w:lastRow="0" w:firstColumn="1" w:lastColumn="0" w:oddVBand="0" w:evenVBand="0" w:oddHBand="0" w:evenHBand="0" w:firstRowFirstColumn="0" w:firstRowLastColumn="0" w:lastRowFirstColumn="0" w:lastRowLastColumn="0"/>
            <w:tcW w:w="10485" w:type="dxa"/>
            <w:shd w:val="clear" w:color="auto" w:fill="FBE4D5" w:themeFill="accent2" w:themeFillTint="33"/>
          </w:tcPr>
          <w:p w14:paraId="56476D20" w14:textId="4BD93594" w:rsidR="00AD76C1" w:rsidRPr="003625BA" w:rsidRDefault="00AD76C1" w:rsidP="002D14C0">
            <w:pPr>
              <w:spacing w:line="276" w:lineRule="auto"/>
              <w:ind w:left="181" w:right="174"/>
              <w:jc w:val="both"/>
              <w:rPr>
                <w:rFonts w:ascii="Roboto" w:hAnsi="Roboto" w:cs="Arial"/>
                <w:color w:val="69557F"/>
                <w:sz w:val="20"/>
                <w:szCs w:val="20"/>
              </w:rPr>
            </w:pPr>
          </w:p>
          <w:p w14:paraId="3E5F2AC1" w14:textId="764F9532" w:rsidR="00AD76C1" w:rsidRPr="003625BA" w:rsidRDefault="002E3651" w:rsidP="004756AB">
            <w:pPr>
              <w:spacing w:line="276" w:lineRule="auto"/>
              <w:ind w:left="164" w:right="321"/>
              <w:jc w:val="both"/>
              <w:rPr>
                <w:rFonts w:ascii="Roboto" w:hAnsi="Roboto" w:cs="Arial"/>
                <w:bCs w:val="0"/>
                <w:color w:val="3B3838" w:themeColor="background2" w:themeShade="40"/>
                <w:sz w:val="20"/>
                <w:szCs w:val="20"/>
              </w:rPr>
            </w:pPr>
            <w:r w:rsidRPr="002E3651">
              <w:rPr>
                <w:rFonts w:ascii="Roboto" w:hAnsi="Roboto" w:cs="Arial"/>
                <w:b w:val="0"/>
                <w:color w:val="3B3838" w:themeColor="background2" w:themeShade="40"/>
                <w:sz w:val="20"/>
                <w:szCs w:val="20"/>
              </w:rPr>
              <w:t>Units with individual budgets that are not fully covered from the executive’s main (or general) budget, in that they source revenue from other sources too. Even though their budgets may be subject to approval by the legislature, similar to that of budgetary accounts, they have discretion over the volume and composition of their spending.</w:t>
            </w:r>
          </w:p>
          <w:p w14:paraId="3FEF73AB" w14:textId="77777777" w:rsidR="003B2442" w:rsidRDefault="003B2442" w:rsidP="003B2442">
            <w:pPr>
              <w:spacing w:line="276" w:lineRule="auto"/>
              <w:ind w:right="321"/>
              <w:jc w:val="both"/>
              <w:rPr>
                <w:rFonts w:ascii="Roboto" w:hAnsi="Roboto" w:cs="Arial"/>
                <w:sz w:val="20"/>
                <w:szCs w:val="20"/>
              </w:rPr>
            </w:pPr>
          </w:p>
          <w:p w14:paraId="5D5398BA" w14:textId="60809560" w:rsidR="00AD76C1" w:rsidRPr="003625BA" w:rsidRDefault="002E3651" w:rsidP="00A36095">
            <w:pPr>
              <w:spacing w:line="276" w:lineRule="auto"/>
              <w:ind w:left="164" w:right="329"/>
              <w:jc w:val="both"/>
              <w:rPr>
                <w:rFonts w:ascii="Roboto" w:hAnsi="Roboto" w:cs="Arial"/>
                <w:b w:val="0"/>
                <w:color w:val="3B3838" w:themeColor="background2" w:themeShade="40"/>
                <w:sz w:val="20"/>
                <w:szCs w:val="20"/>
              </w:rPr>
            </w:pPr>
            <w:r w:rsidRPr="002E3651">
              <w:rPr>
                <w:rFonts w:ascii="Roboto" w:hAnsi="Roboto" w:cs="Arial"/>
                <w:b w:val="0"/>
                <w:bCs w:val="0"/>
                <w:color w:val="3B3838" w:themeColor="background2" w:themeShade="40"/>
                <w:sz w:val="20"/>
                <w:szCs w:val="20"/>
              </w:rPr>
              <w:t>They operate under the authority or control of a central, state, or local government. Such entities may be established to carry out specific government functions, such as road construction, or the nonmarket production of health or education services.</w:t>
            </w:r>
          </w:p>
        </w:tc>
      </w:tr>
      <w:tr w:rsidR="00162F20" w14:paraId="5245AD8D" w14:textId="77777777" w:rsidTr="00A36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F7CAAC" w:themeFill="accent2" w:themeFillTint="66"/>
          </w:tcPr>
          <w:p w14:paraId="5CABEE50" w14:textId="60C9C2BE" w:rsidR="00162F20" w:rsidRPr="003625BA" w:rsidRDefault="00AD76C1" w:rsidP="002D14C0">
            <w:pPr>
              <w:spacing w:line="276" w:lineRule="auto"/>
              <w:rPr>
                <w:rFonts w:ascii="Roboto" w:hAnsi="Roboto" w:cs="Arial"/>
                <w:sz w:val="20"/>
                <w:szCs w:val="20"/>
              </w:rPr>
            </w:pPr>
            <w:r w:rsidRPr="003625BA">
              <w:rPr>
                <w:rFonts w:ascii="Roboto" w:hAnsi="Roboto" w:cs="Arial"/>
                <w:noProof/>
                <w:color w:val="3B3838" w:themeColor="background2" w:themeShade="40"/>
                <w:sz w:val="20"/>
                <w:szCs w:val="20"/>
                <w:lang w:val="en-US"/>
              </w:rPr>
              <w:drawing>
                <wp:anchor distT="0" distB="0" distL="114300" distR="114300" simplePos="0" relativeHeight="254850046" behindDoc="0" locked="0" layoutInCell="1" allowOverlap="1" wp14:anchorId="58D6B36C" wp14:editId="17A85955">
                  <wp:simplePos x="0" y="0"/>
                  <wp:positionH relativeFrom="column">
                    <wp:posOffset>260353</wp:posOffset>
                  </wp:positionH>
                  <wp:positionV relativeFrom="paragraph">
                    <wp:posOffset>196850</wp:posOffset>
                  </wp:positionV>
                  <wp:extent cx="620862" cy="720000"/>
                  <wp:effectExtent l="0" t="0" r="1905" b="0"/>
                  <wp:wrapSquare wrapText="bothSides"/>
                  <wp:docPr id="2694" name="Picture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 name="Picture 2692"/>
                          <pic:cNvPicPr/>
                        </pic:nvPicPr>
                        <pic:blipFill rotWithShape="1">
                          <a:blip r:embed="rId600" cstate="screen">
                            <a:extLst>
                              <a:ext uri="{28A0092B-C50C-407E-A947-70E740481C1C}">
                                <a14:useLocalDpi xmlns:a14="http://schemas.microsoft.com/office/drawing/2010/main"/>
                              </a:ext>
                            </a:extLst>
                          </a:blip>
                          <a:srcRect/>
                          <a:stretch/>
                        </pic:blipFill>
                        <pic:spPr bwMode="auto">
                          <a:xfrm>
                            <a:off x="0" y="0"/>
                            <a:ext cx="620862"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oboto" w:hAnsi="Roboto" w:cs="Arial"/>
                <w:noProof/>
                <w:color w:val="3B3838" w:themeColor="background2" w:themeShade="40"/>
                <w:sz w:val="20"/>
                <w:szCs w:val="20"/>
                <w:lang w:val="en-US"/>
              </w:rPr>
              <mc:AlternateContent>
                <mc:Choice Requires="wps">
                  <w:drawing>
                    <wp:anchor distT="0" distB="0" distL="114300" distR="114300" simplePos="0" relativeHeight="254849021" behindDoc="0" locked="0" layoutInCell="1" allowOverlap="1" wp14:anchorId="03E631A0" wp14:editId="4F145488">
                      <wp:simplePos x="0" y="0"/>
                      <wp:positionH relativeFrom="column">
                        <wp:posOffset>220345</wp:posOffset>
                      </wp:positionH>
                      <wp:positionV relativeFrom="paragraph">
                        <wp:posOffset>197485</wp:posOffset>
                      </wp:positionV>
                      <wp:extent cx="749300" cy="1968500"/>
                      <wp:effectExtent l="0" t="0" r="0" b="0"/>
                      <wp:wrapSquare wrapText="bothSides"/>
                      <wp:docPr id="2696" name="Rectangle 2696"/>
                      <wp:cNvGraphicFramePr/>
                      <a:graphic xmlns:a="http://schemas.openxmlformats.org/drawingml/2006/main">
                        <a:graphicData uri="http://schemas.microsoft.com/office/word/2010/wordprocessingShape">
                          <wps:wsp>
                            <wps:cNvSpPr/>
                            <wps:spPr>
                              <a:xfrm>
                                <a:off x="0" y="0"/>
                                <a:ext cx="749300" cy="1968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ect w14:anchorId="44FBCAF4" id="Rectangle 2696" o:spid="_x0000_s1026" style="position:absolute;margin-left:17.35pt;margin-top:15.55pt;width:59pt;height:155pt;z-index:2548490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" filled="f" stroked="f" strokeweight="1pt">
                      <w10:wrap type="square"/>
                    </v:rect>
                  </w:pict>
                </mc:Fallback>
              </mc:AlternateContent>
            </w:r>
          </w:p>
          <w:p w14:paraId="2121816E" w14:textId="0C818B4D" w:rsidR="00162F20" w:rsidRPr="003625BA" w:rsidRDefault="00162F20" w:rsidP="003625BA">
            <w:pPr>
              <w:spacing w:line="276" w:lineRule="auto"/>
              <w:rPr>
                <w:rFonts w:ascii="Roboto" w:hAnsi="Roboto" w:cs="Arial"/>
                <w:sz w:val="20"/>
                <w:szCs w:val="20"/>
              </w:rPr>
            </w:pPr>
            <w:r w:rsidRPr="003625BA">
              <w:rPr>
                <w:rFonts w:ascii="Roboto" w:hAnsi="Roboto" w:cs="Arial"/>
                <w:color w:val="69557F"/>
                <w:sz w:val="20"/>
                <w:szCs w:val="20"/>
              </w:rPr>
              <w:t>Legal provisions and key fiscal transparency considerations</w:t>
            </w:r>
          </w:p>
          <w:p w14:paraId="48A046BF" w14:textId="3A2CB564" w:rsidR="00162F20" w:rsidRDefault="002E3651" w:rsidP="002D14C0">
            <w:pPr>
              <w:spacing w:line="276" w:lineRule="auto"/>
              <w:ind w:left="321" w:right="321"/>
              <w:jc w:val="both"/>
              <w:rPr>
                <w:rFonts w:ascii="Roboto" w:hAnsi="Roboto" w:cs="Arial"/>
                <w:b w:val="0"/>
                <w:bCs w:val="0"/>
                <w:sz w:val="20"/>
                <w:szCs w:val="20"/>
              </w:rPr>
            </w:pPr>
            <w:r w:rsidRPr="002E3651">
              <w:rPr>
                <w:rFonts w:ascii="Roboto" w:hAnsi="Roboto" w:cs="Arial"/>
                <w:b w:val="0"/>
                <w:bCs w:val="0"/>
                <w:color w:val="3B3838" w:themeColor="background2" w:themeShade="40"/>
                <w:sz w:val="20"/>
                <w:szCs w:val="20"/>
              </w:rPr>
              <w:t xml:space="preserve">For government budgets and financial reports to be comprehensive and accurate presentations of total public revenues and expenditures, the use of extrabudgetary funds should be minimized and authorised by specific legislation, with governance arrangements that guarantee adequate levels of transparency and accountability. This is because transactions outside the budget are unlikely to be subject to the same kind of financial discipline as are budget operations, partly because they are financially independent and partly because they are not explicitly compared with other public expenditures. This may result in an increased level of fraud, irregularity, or the use of such funds for unauthorized purposes. In addition, the use of extra-budgetary funds may also mean that the reported level of government expenditure may be understated. </w:t>
            </w:r>
          </w:p>
          <w:p w14:paraId="69508D32" w14:textId="4BC7BCBC" w:rsidR="002E3651" w:rsidRPr="003625BA" w:rsidRDefault="002E3651" w:rsidP="002D14C0">
            <w:pPr>
              <w:spacing w:line="276" w:lineRule="auto"/>
              <w:ind w:left="321" w:right="321"/>
              <w:jc w:val="both"/>
              <w:rPr>
                <w:rFonts w:ascii="Roboto" w:hAnsi="Roboto" w:cs="Arial"/>
                <w:sz w:val="20"/>
                <w:szCs w:val="20"/>
              </w:rPr>
            </w:pPr>
          </w:p>
        </w:tc>
      </w:tr>
    </w:tbl>
    <w:p w14:paraId="153C5DA4" w14:textId="77777777" w:rsidR="00162F20" w:rsidRDefault="00162F20">
      <w:pPr>
        <w:shd w:val="clear" w:color="auto" w:fill="FFFFFF" w:themeFill="background1"/>
        <w:rPr>
          <w:rFonts w:ascii="Arial" w:hAnsi="Arial" w:cs="Arial"/>
          <w:b/>
          <w:color w:val="F26D24"/>
          <w:sz w:val="24"/>
          <w:szCs w:val="24"/>
        </w:rPr>
      </w:pPr>
    </w:p>
    <w:p w14:paraId="279FD5A9" w14:textId="77777777" w:rsidR="0096076C" w:rsidRDefault="0096076C" w:rsidP="003625BA">
      <w:pPr>
        <w:pStyle w:val="Heading3"/>
        <w:jc w:val="center"/>
        <w:rPr>
          <w:rFonts w:ascii="Arial" w:hAnsi="Arial" w:cs="Arial"/>
          <w:b/>
          <w:bCs/>
          <w:color w:val="ED5625"/>
          <w:sz w:val="20"/>
          <w:szCs w:val="20"/>
        </w:rPr>
      </w:pPr>
      <w:bookmarkStart w:id="1414" w:name="_Toc123216588"/>
      <w:bookmarkStart w:id="1415" w:name="_Toc123217428"/>
      <w:bookmarkStart w:id="1416" w:name="_Toc123914047"/>
    </w:p>
    <w:p w14:paraId="0B551EF8" w14:textId="77777777" w:rsidR="0096076C" w:rsidRDefault="0096076C" w:rsidP="003625BA">
      <w:pPr>
        <w:pStyle w:val="Heading3"/>
        <w:jc w:val="center"/>
        <w:rPr>
          <w:rFonts w:ascii="Arial" w:hAnsi="Arial" w:cs="Arial"/>
          <w:b/>
          <w:bCs/>
          <w:color w:val="ED5625"/>
          <w:sz w:val="20"/>
          <w:szCs w:val="20"/>
        </w:rPr>
      </w:pPr>
    </w:p>
    <w:p w14:paraId="015371DD" w14:textId="77777777" w:rsidR="0096076C" w:rsidRDefault="0096076C" w:rsidP="003625BA">
      <w:pPr>
        <w:pStyle w:val="Heading3"/>
        <w:jc w:val="center"/>
        <w:rPr>
          <w:rFonts w:ascii="Arial" w:hAnsi="Arial" w:cs="Arial"/>
          <w:b/>
          <w:bCs/>
          <w:color w:val="ED5625"/>
          <w:sz w:val="20"/>
          <w:szCs w:val="20"/>
        </w:rPr>
      </w:pPr>
    </w:p>
    <w:p w14:paraId="3A5E60AE" w14:textId="77777777" w:rsidR="0096076C" w:rsidRDefault="0096076C" w:rsidP="003625BA">
      <w:pPr>
        <w:pStyle w:val="Heading3"/>
        <w:jc w:val="center"/>
        <w:rPr>
          <w:rFonts w:ascii="Arial" w:hAnsi="Arial" w:cs="Arial"/>
          <w:b/>
          <w:bCs/>
          <w:color w:val="ED5625"/>
          <w:sz w:val="20"/>
          <w:szCs w:val="20"/>
        </w:rPr>
      </w:pPr>
    </w:p>
    <w:bookmarkEnd w:id="1414"/>
    <w:bookmarkEnd w:id="1415"/>
    <w:bookmarkEnd w:id="1416"/>
    <w:p w14:paraId="514900F9" w14:textId="77777777" w:rsidR="0096076C" w:rsidRDefault="0096076C"/>
    <w:p w14:paraId="25BBF8D6" w14:textId="77777777" w:rsidR="0096076C" w:rsidRDefault="0096076C"/>
    <w:p w14:paraId="3A26FF63" w14:textId="77777777" w:rsidR="0096076C" w:rsidRDefault="0096076C"/>
    <w:p w14:paraId="052047F1" w14:textId="77777777" w:rsidR="0096076C" w:rsidRPr="003625BA" w:rsidRDefault="0096076C" w:rsidP="0096076C">
      <w:pPr>
        <w:pStyle w:val="Heading3"/>
        <w:jc w:val="center"/>
        <w:rPr>
          <w:rFonts w:ascii="Arial" w:hAnsi="Arial" w:cs="Arial"/>
          <w:b/>
          <w:bCs/>
          <w:color w:val="ED5625"/>
          <w:sz w:val="20"/>
          <w:szCs w:val="20"/>
          <w:lang w:val="en-ZA"/>
        </w:rPr>
      </w:pPr>
      <w:bookmarkStart w:id="1417" w:name="_Table_3.3._Public"/>
      <w:bookmarkStart w:id="1418" w:name="_Toc125566661"/>
      <w:bookmarkEnd w:id="1417"/>
      <w:r w:rsidRPr="003625BA">
        <w:rPr>
          <w:rFonts w:ascii="Arial" w:hAnsi="Arial" w:cs="Arial"/>
          <w:b/>
          <w:bCs/>
          <w:color w:val="ED5625"/>
          <w:sz w:val="20"/>
          <w:szCs w:val="20"/>
        </w:rPr>
        <w:lastRenderedPageBreak/>
        <w:t>Table 3.3</w:t>
      </w:r>
      <w:r>
        <w:rPr>
          <w:rFonts w:ascii="Arial" w:hAnsi="Arial" w:cs="Arial"/>
          <w:b/>
          <w:bCs/>
          <w:color w:val="ED5625"/>
          <w:sz w:val="20"/>
          <w:szCs w:val="20"/>
        </w:rPr>
        <w:t>.</w:t>
      </w:r>
      <w:r w:rsidRPr="003625BA">
        <w:rPr>
          <w:rFonts w:ascii="Arial" w:hAnsi="Arial" w:cs="Arial"/>
          <w:b/>
          <w:bCs/>
          <w:color w:val="ED5625"/>
          <w:sz w:val="20"/>
          <w:szCs w:val="20"/>
        </w:rPr>
        <w:t xml:space="preserve"> </w:t>
      </w:r>
      <w:r w:rsidRPr="003625BA">
        <w:rPr>
          <w:rFonts w:ascii="Arial" w:hAnsi="Arial" w:cs="Arial"/>
          <w:b/>
          <w:bCs/>
          <w:color w:val="ED5625"/>
          <w:sz w:val="20"/>
          <w:szCs w:val="20"/>
          <w:lang w:val="en-ZA"/>
        </w:rPr>
        <w:t>Public corporations</w:t>
      </w:r>
      <w:r w:rsidRPr="003625BA">
        <w:rPr>
          <w:rStyle w:val="FootnoteReference"/>
          <w:rFonts w:ascii="Arial" w:hAnsi="Arial" w:cs="Arial"/>
          <w:b/>
          <w:bCs/>
          <w:iCs/>
          <w:color w:val="ED5625"/>
          <w:sz w:val="20"/>
          <w:szCs w:val="20"/>
          <w:lang w:val="en-ZA"/>
        </w:rPr>
        <w:footnoteReference w:id="38"/>
      </w:r>
      <w:bookmarkEnd w:id="1418"/>
    </w:p>
    <w:p w14:paraId="15154DDE" w14:textId="4895E961" w:rsidR="00964091" w:rsidRDefault="00964091">
      <w:r>
        <w:t xml:space="preserve">      </w:t>
      </w:r>
    </w:p>
    <w:tbl>
      <w:tblPr>
        <w:tblStyle w:val="GridTable5Dark-Accent2"/>
        <w:tblW w:w="10485" w:type="dxa"/>
        <w:tblLook w:val="04A0" w:firstRow="1" w:lastRow="0" w:firstColumn="1" w:lastColumn="0" w:noHBand="0" w:noVBand="1"/>
      </w:tblPr>
      <w:tblGrid>
        <w:gridCol w:w="10485"/>
      </w:tblGrid>
      <w:tr w:rsidR="00D67256" w14:paraId="67311264" w14:textId="77777777" w:rsidTr="00A36095">
        <w:trPr>
          <w:cnfStyle w:val="100000000000" w:firstRow="1" w:lastRow="0" w:firstColumn="0" w:lastColumn="0" w:oddVBand="0" w:evenVBand="0" w:oddHBand="0" w:evenHBand="0" w:firstRowFirstColumn="0" w:firstRowLastColumn="0" w:lastRowFirstColumn="0" w:lastRowLastColumn="0"/>
          <w:trHeight w:val="4530"/>
        </w:trPr>
        <w:tc>
          <w:tcPr>
            <w:cnfStyle w:val="001000000000" w:firstRow="0" w:lastRow="0" w:firstColumn="1" w:lastColumn="0" w:oddVBand="0" w:evenVBand="0" w:oddHBand="0" w:evenHBand="0" w:firstRowFirstColumn="0" w:firstRowLastColumn="0" w:lastRowFirstColumn="0" w:lastRowLastColumn="0"/>
            <w:tcW w:w="10485" w:type="dxa"/>
            <w:shd w:val="clear" w:color="auto" w:fill="FBE4D5" w:themeFill="accent2" w:themeFillTint="33"/>
          </w:tcPr>
          <w:p w14:paraId="79BD18D7" w14:textId="77777777" w:rsidR="00A41316" w:rsidRDefault="00A41316" w:rsidP="003625BA">
            <w:pPr>
              <w:spacing w:line="276" w:lineRule="auto"/>
              <w:ind w:right="321"/>
              <w:contextualSpacing/>
              <w:jc w:val="both"/>
              <w:rPr>
                <w:rFonts w:ascii="Roboto" w:hAnsi="Roboto"/>
                <w:color w:val="69557F"/>
                <w:sz w:val="20"/>
                <w:szCs w:val="20"/>
              </w:rPr>
            </w:pPr>
          </w:p>
          <w:p w14:paraId="36502B6F" w14:textId="078595CF" w:rsidR="00AB2B54" w:rsidRPr="003B2442" w:rsidRDefault="00AB2B54" w:rsidP="00D75CA6">
            <w:pPr>
              <w:pStyle w:val="ListParagraph"/>
              <w:numPr>
                <w:ilvl w:val="0"/>
                <w:numId w:val="163"/>
              </w:numPr>
              <w:ind w:left="608" w:hanging="444"/>
              <w:jc w:val="both"/>
              <w:rPr>
                <w:rFonts w:ascii="Roboto" w:hAnsi="Roboto"/>
                <w:b w:val="0"/>
                <w:bCs w:val="0"/>
                <w:color w:val="3B3838" w:themeColor="background2" w:themeShade="40"/>
                <w:sz w:val="20"/>
                <w:szCs w:val="20"/>
              </w:rPr>
            </w:pPr>
            <w:r w:rsidRPr="003B2442">
              <w:rPr>
                <w:rFonts w:ascii="Roboto" w:hAnsi="Roboto"/>
                <w:b w:val="0"/>
                <w:color w:val="3B3838" w:themeColor="background2" w:themeShade="40"/>
                <w:sz w:val="20"/>
                <w:szCs w:val="20"/>
              </w:rPr>
              <w:t xml:space="preserve">Corporations controlled by government units or by other public corporations, that have budgets separate from the executive’s main budget and have a level of autonomy in their implementation. </w:t>
            </w:r>
          </w:p>
          <w:p w14:paraId="47B26F63" w14:textId="3FFAC3E0" w:rsidR="00AB2B54" w:rsidRPr="003B2442" w:rsidRDefault="00AB2B54" w:rsidP="00D75CA6">
            <w:pPr>
              <w:pStyle w:val="ListParagraph"/>
              <w:numPr>
                <w:ilvl w:val="0"/>
                <w:numId w:val="163"/>
              </w:numPr>
              <w:ind w:left="608" w:hanging="444"/>
              <w:jc w:val="both"/>
              <w:rPr>
                <w:rFonts w:ascii="Roboto" w:hAnsi="Roboto"/>
                <w:b w:val="0"/>
                <w:color w:val="3B3838" w:themeColor="background2" w:themeShade="40"/>
                <w:sz w:val="20"/>
                <w:szCs w:val="20"/>
              </w:rPr>
            </w:pPr>
            <w:r w:rsidRPr="003B2442">
              <w:rPr>
                <w:rFonts w:ascii="Roboto" w:hAnsi="Roboto"/>
                <w:b w:val="0"/>
                <w:color w:val="3B3838" w:themeColor="background2" w:themeShade="40"/>
                <w:sz w:val="20"/>
                <w:szCs w:val="20"/>
              </w:rPr>
              <w:t>Public corporations may serve important roles and be created to: generate profits for general government; protect key resources; provide competition where barriers to entry may be large; and provide basic services where costs are prohibitive.</w:t>
            </w:r>
          </w:p>
          <w:p w14:paraId="709A32BC" w14:textId="77777777" w:rsidR="00AB2B54" w:rsidRPr="003B2442" w:rsidRDefault="00AB2B54" w:rsidP="00D75CA6">
            <w:pPr>
              <w:pStyle w:val="ListParagraph"/>
              <w:numPr>
                <w:ilvl w:val="0"/>
                <w:numId w:val="163"/>
              </w:numPr>
              <w:ind w:left="608" w:hanging="444"/>
              <w:jc w:val="both"/>
              <w:rPr>
                <w:rFonts w:ascii="Roboto" w:hAnsi="Roboto"/>
                <w:b w:val="0"/>
                <w:bCs w:val="0"/>
                <w:color w:val="3B3838" w:themeColor="background2" w:themeShade="40"/>
                <w:sz w:val="20"/>
                <w:szCs w:val="20"/>
              </w:rPr>
            </w:pPr>
            <w:r w:rsidRPr="003B2442">
              <w:rPr>
                <w:rFonts w:ascii="Roboto" w:hAnsi="Roboto"/>
                <w:b w:val="0"/>
                <w:color w:val="3B3838" w:themeColor="background2" w:themeShade="40"/>
                <w:sz w:val="20"/>
                <w:szCs w:val="20"/>
              </w:rPr>
              <w:t xml:space="preserve">Public corporations are often large and/or numerous, and may have a significant economic impact—for example, they: </w:t>
            </w:r>
          </w:p>
          <w:p w14:paraId="13A5775F" w14:textId="77777777" w:rsidR="00AB2B54" w:rsidRPr="00AB2B54" w:rsidRDefault="00AB2B54" w:rsidP="00D75CA6">
            <w:pPr>
              <w:pStyle w:val="ListParagraph"/>
              <w:numPr>
                <w:ilvl w:val="2"/>
                <w:numId w:val="166"/>
              </w:numPr>
              <w:spacing w:line="276" w:lineRule="auto"/>
              <w:ind w:left="1148" w:right="174" w:hanging="540"/>
              <w:contextualSpacing/>
              <w:jc w:val="both"/>
              <w:rPr>
                <w:rFonts w:ascii="Roboto" w:hAnsi="Roboto"/>
                <w:b w:val="0"/>
                <w:bCs w:val="0"/>
                <w:color w:val="3B3838" w:themeColor="background2" w:themeShade="40"/>
                <w:sz w:val="20"/>
                <w:szCs w:val="20"/>
              </w:rPr>
            </w:pPr>
            <w:r w:rsidRPr="00AB2B54">
              <w:rPr>
                <w:rFonts w:ascii="Roboto" w:hAnsi="Roboto"/>
                <w:b w:val="0"/>
                <w:bCs w:val="0"/>
                <w:color w:val="3B3838" w:themeColor="background2" w:themeShade="40"/>
                <w:sz w:val="20"/>
                <w:szCs w:val="20"/>
              </w:rPr>
              <w:t>Rank among the world’s largest companies.</w:t>
            </w:r>
          </w:p>
          <w:p w14:paraId="4DE14643" w14:textId="77777777" w:rsidR="00AB2B54" w:rsidRPr="00AB2B54" w:rsidRDefault="00AB2B54" w:rsidP="00D75CA6">
            <w:pPr>
              <w:pStyle w:val="ListParagraph"/>
              <w:numPr>
                <w:ilvl w:val="2"/>
                <w:numId w:val="166"/>
              </w:numPr>
              <w:spacing w:line="276" w:lineRule="auto"/>
              <w:ind w:left="1148" w:right="174" w:hanging="540"/>
              <w:contextualSpacing/>
              <w:jc w:val="both"/>
              <w:rPr>
                <w:rFonts w:ascii="Roboto" w:hAnsi="Roboto"/>
                <w:b w:val="0"/>
                <w:bCs w:val="0"/>
                <w:color w:val="3B3838" w:themeColor="background2" w:themeShade="40"/>
                <w:sz w:val="20"/>
                <w:szCs w:val="20"/>
              </w:rPr>
            </w:pPr>
            <w:r w:rsidRPr="00AB2B54">
              <w:rPr>
                <w:rFonts w:ascii="Roboto" w:hAnsi="Roboto"/>
                <w:b w:val="0"/>
                <w:bCs w:val="0"/>
                <w:color w:val="3B3838" w:themeColor="background2" w:themeShade="40"/>
                <w:sz w:val="20"/>
                <w:szCs w:val="20"/>
              </w:rPr>
              <w:t>May receive subsidies directly from the executive’s main budget.</w:t>
            </w:r>
          </w:p>
          <w:p w14:paraId="56514E82" w14:textId="77777777" w:rsidR="00AB2B54" w:rsidRPr="00AB2B54" w:rsidRDefault="00AB2B54" w:rsidP="00D75CA6">
            <w:pPr>
              <w:pStyle w:val="ListParagraph"/>
              <w:numPr>
                <w:ilvl w:val="2"/>
                <w:numId w:val="166"/>
              </w:numPr>
              <w:spacing w:line="276" w:lineRule="auto"/>
              <w:ind w:left="1148" w:right="174" w:hanging="540"/>
              <w:contextualSpacing/>
              <w:jc w:val="both"/>
              <w:rPr>
                <w:rFonts w:ascii="Roboto" w:hAnsi="Roboto"/>
                <w:b w:val="0"/>
                <w:bCs w:val="0"/>
                <w:color w:val="3B3838" w:themeColor="background2" w:themeShade="40"/>
                <w:sz w:val="20"/>
                <w:szCs w:val="20"/>
              </w:rPr>
            </w:pPr>
            <w:r w:rsidRPr="00AB2B54">
              <w:rPr>
                <w:rFonts w:ascii="Roboto" w:hAnsi="Roboto"/>
                <w:b w:val="0"/>
                <w:bCs w:val="0"/>
                <w:color w:val="3B3838" w:themeColor="background2" w:themeShade="40"/>
                <w:sz w:val="20"/>
                <w:szCs w:val="20"/>
              </w:rPr>
              <w:t xml:space="preserve">Their magnitude or strategic position may have significant effects on macroeconomic objectives, such as bank credit, aggregate demand, borrowing abroad, and on the balance of payments. </w:t>
            </w:r>
          </w:p>
          <w:p w14:paraId="083DA6B9" w14:textId="77777777" w:rsidR="00AB2B54" w:rsidRPr="00AB2B54" w:rsidRDefault="00AB2B54" w:rsidP="00D75CA6">
            <w:pPr>
              <w:pStyle w:val="ListParagraph"/>
              <w:numPr>
                <w:ilvl w:val="2"/>
                <w:numId w:val="166"/>
              </w:numPr>
              <w:spacing w:line="276" w:lineRule="auto"/>
              <w:ind w:left="1148" w:right="174" w:hanging="540"/>
              <w:contextualSpacing/>
              <w:jc w:val="both"/>
              <w:rPr>
                <w:rFonts w:ascii="Roboto" w:hAnsi="Roboto"/>
                <w:b w:val="0"/>
                <w:bCs w:val="0"/>
                <w:color w:val="3B3838" w:themeColor="background2" w:themeShade="40"/>
                <w:sz w:val="20"/>
                <w:szCs w:val="20"/>
              </w:rPr>
            </w:pPr>
            <w:r w:rsidRPr="00AB2B54">
              <w:rPr>
                <w:rFonts w:ascii="Roboto" w:hAnsi="Roboto"/>
                <w:b w:val="0"/>
                <w:bCs w:val="0"/>
                <w:color w:val="3B3838" w:themeColor="background2" w:themeShade="40"/>
                <w:sz w:val="20"/>
                <w:szCs w:val="20"/>
              </w:rPr>
              <w:t xml:space="preserve">May represent a sizeable investment of national resources, at considerable opportunity costs. </w:t>
            </w:r>
          </w:p>
          <w:p w14:paraId="6689396C" w14:textId="77777777" w:rsidR="00C80634" w:rsidRPr="004756AB" w:rsidRDefault="00AB2B54" w:rsidP="00D75CA6">
            <w:pPr>
              <w:pStyle w:val="ListParagraph"/>
              <w:numPr>
                <w:ilvl w:val="2"/>
                <w:numId w:val="166"/>
              </w:numPr>
              <w:spacing w:line="276" w:lineRule="auto"/>
              <w:ind w:left="1148" w:right="174" w:hanging="540"/>
              <w:contextualSpacing/>
              <w:jc w:val="both"/>
              <w:rPr>
                <w:rFonts w:ascii="Roboto" w:hAnsi="Roboto"/>
                <w:b w:val="0"/>
                <w:bCs w:val="0"/>
                <w:color w:val="3B3838" w:themeColor="background2" w:themeShade="40"/>
                <w:sz w:val="20"/>
                <w:szCs w:val="20"/>
              </w:rPr>
            </w:pPr>
            <w:r w:rsidRPr="00AB2B54">
              <w:rPr>
                <w:rFonts w:ascii="Roboto" w:hAnsi="Roboto"/>
                <w:b w:val="0"/>
                <w:bCs w:val="0"/>
                <w:color w:val="3B3838" w:themeColor="background2" w:themeShade="40"/>
                <w:sz w:val="20"/>
                <w:szCs w:val="20"/>
              </w:rPr>
              <w:t xml:space="preserve">Are a potential source of fiscal risk to the extent that their liabilities could be explicitly or implicitly guaranteed by government, or may hold reputational risks for </w:t>
            </w:r>
            <w:proofErr w:type="gramStart"/>
            <w:r w:rsidRPr="00AB2B54">
              <w:rPr>
                <w:rFonts w:ascii="Roboto" w:hAnsi="Roboto"/>
                <w:b w:val="0"/>
                <w:bCs w:val="0"/>
                <w:color w:val="3B3838" w:themeColor="background2" w:themeShade="40"/>
                <w:sz w:val="20"/>
                <w:szCs w:val="20"/>
              </w:rPr>
              <w:t>government.</w:t>
            </w:r>
            <w:proofErr w:type="gramEnd"/>
          </w:p>
          <w:p w14:paraId="38426BDF" w14:textId="30EF4726" w:rsidR="004756AB" w:rsidRPr="004756AB" w:rsidRDefault="004756AB" w:rsidP="004756AB">
            <w:pPr>
              <w:pStyle w:val="ListParagraph"/>
              <w:spacing w:line="276" w:lineRule="auto"/>
              <w:ind w:left="1148" w:right="174"/>
              <w:contextualSpacing/>
              <w:jc w:val="both"/>
              <w:rPr>
                <w:rFonts w:ascii="Roboto" w:hAnsi="Roboto"/>
                <w:b w:val="0"/>
                <w:bCs w:val="0"/>
                <w:color w:val="3B3838" w:themeColor="background2" w:themeShade="40"/>
                <w:sz w:val="20"/>
                <w:szCs w:val="20"/>
              </w:rPr>
            </w:pPr>
          </w:p>
        </w:tc>
      </w:tr>
      <w:tr w:rsidR="00D67256" w14:paraId="4F4758A0" w14:textId="77777777" w:rsidTr="00A36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F4B083" w:themeFill="accent2" w:themeFillTint="99"/>
          </w:tcPr>
          <w:p w14:paraId="46714483" w14:textId="77777777" w:rsidR="00D67256" w:rsidRPr="003625BA" w:rsidRDefault="00D67256">
            <w:pPr>
              <w:rPr>
                <w:rFonts w:ascii="Roboto" w:hAnsi="Roboto"/>
                <w:b w:val="0"/>
                <w:bCs w:val="0"/>
                <w:sz w:val="20"/>
                <w:szCs w:val="20"/>
              </w:rPr>
            </w:pPr>
          </w:p>
          <w:p w14:paraId="279302F5" w14:textId="4722663F" w:rsidR="00D67256" w:rsidRPr="003625BA" w:rsidRDefault="00D67256" w:rsidP="005668DD">
            <w:pPr>
              <w:ind w:left="321" w:right="321"/>
              <w:jc w:val="both"/>
              <w:rPr>
                <w:rFonts w:ascii="Roboto" w:hAnsi="Roboto"/>
                <w:color w:val="69557F"/>
                <w:sz w:val="20"/>
                <w:szCs w:val="20"/>
              </w:rPr>
            </w:pPr>
            <w:r w:rsidRPr="003625BA">
              <w:rPr>
                <w:rFonts w:ascii="Roboto" w:hAnsi="Roboto"/>
                <w:color w:val="69557F"/>
                <w:sz w:val="20"/>
                <w:szCs w:val="20"/>
              </w:rPr>
              <w:t>Quasi-fiscal operations</w:t>
            </w:r>
          </w:p>
          <w:p w14:paraId="30BB81FD" w14:textId="77777777" w:rsidR="00D67256" w:rsidRDefault="00AB2B54" w:rsidP="005668DD">
            <w:pPr>
              <w:ind w:left="321" w:right="321"/>
              <w:jc w:val="both"/>
              <w:rPr>
                <w:rFonts w:ascii="Roboto" w:hAnsi="Roboto"/>
                <w:color w:val="3B3838" w:themeColor="background2" w:themeShade="40"/>
                <w:sz w:val="20"/>
                <w:szCs w:val="20"/>
              </w:rPr>
            </w:pPr>
            <w:r w:rsidRPr="00AB2B54">
              <w:rPr>
                <w:rFonts w:ascii="Roboto" w:hAnsi="Roboto"/>
                <w:b w:val="0"/>
                <w:bCs w:val="0"/>
                <w:color w:val="3B3838" w:themeColor="background2" w:themeShade="40"/>
                <w:sz w:val="20"/>
                <w:szCs w:val="20"/>
              </w:rPr>
              <w:t xml:space="preserve">Public corporations may also carry out government operations at the behest of general government. For example, they can lend funds at a lower-than-market interest rate; or sell their product, such as electric power, at reduced rates. Quasi-fiscal operations are usually thus undertaken at a loss or below the usual rate of profit, often representing hidden expenditures that are difficult to identify. </w:t>
            </w:r>
          </w:p>
          <w:p w14:paraId="74BB44B2" w14:textId="677FE686" w:rsidR="00AB2B54" w:rsidRPr="003625BA" w:rsidRDefault="00AB2B54" w:rsidP="005668DD">
            <w:pPr>
              <w:ind w:left="321" w:right="321"/>
              <w:jc w:val="both"/>
              <w:rPr>
                <w:rFonts w:ascii="Roboto" w:hAnsi="Roboto"/>
                <w:b w:val="0"/>
                <w:bCs w:val="0"/>
                <w:sz w:val="20"/>
                <w:szCs w:val="20"/>
              </w:rPr>
            </w:pPr>
          </w:p>
        </w:tc>
      </w:tr>
      <w:tr w:rsidR="00D67256" w14:paraId="15F604E3" w14:textId="77777777" w:rsidTr="00A36095">
        <w:tc>
          <w:tcPr>
            <w:cnfStyle w:val="001000000000" w:firstRow="0" w:lastRow="0" w:firstColumn="1" w:lastColumn="0" w:oddVBand="0" w:evenVBand="0" w:oddHBand="0" w:evenHBand="0" w:firstRowFirstColumn="0" w:firstRowLastColumn="0" w:lastRowFirstColumn="0" w:lastRowLastColumn="0"/>
            <w:tcW w:w="10485" w:type="dxa"/>
            <w:shd w:val="clear" w:color="auto" w:fill="F7CAAC" w:themeFill="accent2" w:themeFillTint="66"/>
          </w:tcPr>
          <w:p w14:paraId="3F9C256C" w14:textId="7F96B83D" w:rsidR="0062419D" w:rsidRDefault="0062419D" w:rsidP="0062419D">
            <w:pPr>
              <w:spacing w:line="276" w:lineRule="auto"/>
              <w:ind w:right="174"/>
              <w:jc w:val="both"/>
              <w:rPr>
                <w:rFonts w:ascii="Roboto" w:hAnsi="Roboto"/>
                <w:b w:val="0"/>
                <w:bCs w:val="0"/>
                <w:sz w:val="20"/>
                <w:szCs w:val="20"/>
              </w:rPr>
            </w:pPr>
          </w:p>
          <w:p w14:paraId="455CD104" w14:textId="5426EAFA" w:rsidR="00D67256" w:rsidRPr="003625BA" w:rsidRDefault="00A35E3A" w:rsidP="003625BA">
            <w:pPr>
              <w:spacing w:line="276" w:lineRule="auto"/>
              <w:ind w:right="174"/>
              <w:jc w:val="both"/>
              <w:rPr>
                <w:rFonts w:ascii="Roboto" w:hAnsi="Roboto"/>
                <w:color w:val="69557F"/>
                <w:sz w:val="20"/>
                <w:szCs w:val="20"/>
              </w:rPr>
            </w:pPr>
            <w:r w:rsidRPr="003625BA">
              <w:rPr>
                <w:rFonts w:ascii="Roboto" w:hAnsi="Roboto" w:cs="Arial"/>
                <w:noProof/>
                <w:color w:val="3B3838" w:themeColor="background2" w:themeShade="40"/>
                <w:sz w:val="20"/>
                <w:szCs w:val="20"/>
                <w:lang w:val="en-US"/>
              </w:rPr>
              <w:drawing>
                <wp:anchor distT="0" distB="0" distL="114300" distR="114300" simplePos="0" relativeHeight="254865406" behindDoc="0" locked="0" layoutInCell="1" allowOverlap="1" wp14:anchorId="3C45C938" wp14:editId="6AE5D37E">
                  <wp:simplePos x="0" y="0"/>
                  <wp:positionH relativeFrom="column">
                    <wp:posOffset>144145</wp:posOffset>
                  </wp:positionH>
                  <wp:positionV relativeFrom="paragraph">
                    <wp:posOffset>107315</wp:posOffset>
                  </wp:positionV>
                  <wp:extent cx="546100" cy="562610"/>
                  <wp:effectExtent l="0" t="0" r="0" b="0"/>
                  <wp:wrapSquare wrapText="bothSides"/>
                  <wp:docPr id="2705" name="Picture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 name="Picture 2692"/>
                          <pic:cNvPicPr/>
                        </pic:nvPicPr>
                        <pic:blipFill rotWithShape="1">
                          <a:blip r:embed="rId604" cstate="email">
                            <a:extLst>
                              <a:ext uri="{28A0092B-C50C-407E-A947-70E740481C1C}">
                                <a14:useLocalDpi xmlns:a14="http://schemas.microsoft.com/office/drawing/2010/main"/>
                              </a:ext>
                            </a:extLst>
                          </a:blip>
                          <a:srcRect/>
                          <a:stretch/>
                        </pic:blipFill>
                        <pic:spPr bwMode="auto">
                          <a:xfrm>
                            <a:off x="0" y="0"/>
                            <a:ext cx="546100" cy="562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256" w:rsidRPr="003625BA">
              <w:rPr>
                <w:rFonts w:ascii="Roboto" w:hAnsi="Roboto"/>
                <w:color w:val="69557F"/>
                <w:sz w:val="20"/>
                <w:szCs w:val="20"/>
              </w:rPr>
              <w:t xml:space="preserve">Legal provisions and key </w:t>
            </w:r>
            <w:r w:rsidR="003B2442">
              <w:rPr>
                <w:rFonts w:ascii="Roboto" w:hAnsi="Roboto"/>
                <w:color w:val="69557F"/>
                <w:sz w:val="20"/>
                <w:szCs w:val="20"/>
              </w:rPr>
              <w:t>fiscal t</w:t>
            </w:r>
            <w:r w:rsidR="00D67256" w:rsidRPr="003625BA">
              <w:rPr>
                <w:rFonts w:ascii="Roboto" w:hAnsi="Roboto"/>
                <w:color w:val="69557F"/>
                <w:sz w:val="20"/>
                <w:szCs w:val="20"/>
              </w:rPr>
              <w:t>ransparency considerations</w:t>
            </w:r>
          </w:p>
          <w:p w14:paraId="59B149D3" w14:textId="77777777" w:rsidR="00F72CF1" w:rsidRDefault="00F72CF1" w:rsidP="003B2442">
            <w:pPr>
              <w:ind w:left="164" w:right="170"/>
              <w:jc w:val="both"/>
              <w:rPr>
                <w:rFonts w:ascii="Roboto" w:hAnsi="Roboto"/>
                <w:b w:val="0"/>
                <w:bCs w:val="0"/>
                <w:color w:val="3B3838" w:themeColor="background2" w:themeShade="40"/>
                <w:sz w:val="20"/>
                <w:szCs w:val="20"/>
              </w:rPr>
            </w:pPr>
          </w:p>
          <w:p w14:paraId="59364650" w14:textId="2B9A4E0E" w:rsidR="003B2442" w:rsidRDefault="003B2442" w:rsidP="003B2442">
            <w:pPr>
              <w:ind w:left="164" w:right="170"/>
              <w:jc w:val="both"/>
              <w:rPr>
                <w:rFonts w:ascii="Roboto" w:hAnsi="Roboto"/>
                <w:b w:val="0"/>
                <w:bCs w:val="0"/>
                <w:color w:val="3B3838" w:themeColor="background2" w:themeShade="40"/>
                <w:sz w:val="20"/>
                <w:szCs w:val="20"/>
              </w:rPr>
            </w:pPr>
            <w:r w:rsidRPr="00AB2B54">
              <w:rPr>
                <w:rFonts w:ascii="Roboto" w:hAnsi="Roboto"/>
                <w:b w:val="0"/>
                <w:bCs w:val="0"/>
                <w:color w:val="3B3838" w:themeColor="background2" w:themeShade="40"/>
                <w:sz w:val="20"/>
                <w:szCs w:val="20"/>
              </w:rPr>
              <w:t>Fiscal transparency requires that the relationships between the government and public corporations should be based on clear arrangements and that these are clearly reported on.</w:t>
            </w:r>
          </w:p>
          <w:p w14:paraId="079AD08B" w14:textId="77777777" w:rsidR="003B2442" w:rsidRDefault="003B2442" w:rsidP="003B2442">
            <w:pPr>
              <w:ind w:left="164" w:right="170"/>
              <w:jc w:val="both"/>
              <w:rPr>
                <w:rFonts w:ascii="Roboto" w:hAnsi="Roboto"/>
                <w:color w:val="3B3838" w:themeColor="background2" w:themeShade="40"/>
                <w:sz w:val="20"/>
                <w:szCs w:val="20"/>
              </w:rPr>
            </w:pPr>
          </w:p>
          <w:p w14:paraId="5422973F" w14:textId="657676C6" w:rsidR="003B2442" w:rsidRDefault="003B2442" w:rsidP="003B2442">
            <w:pPr>
              <w:ind w:left="180" w:right="179"/>
              <w:jc w:val="both"/>
              <w:rPr>
                <w:rFonts w:ascii="Roboto" w:hAnsi="Roboto"/>
                <w:b w:val="0"/>
                <w:bCs w:val="0"/>
                <w:color w:val="3B3838" w:themeColor="background2" w:themeShade="40"/>
                <w:sz w:val="20"/>
                <w:szCs w:val="20"/>
              </w:rPr>
            </w:pPr>
            <w:r w:rsidRPr="00C80634">
              <w:rPr>
                <w:rFonts w:ascii="Roboto" w:hAnsi="Roboto"/>
                <w:b w:val="0"/>
                <w:bCs w:val="0"/>
                <w:color w:val="3B3838" w:themeColor="background2" w:themeShade="40"/>
                <w:sz w:val="20"/>
                <w:szCs w:val="20"/>
              </w:rPr>
              <w:t xml:space="preserve">Principle 3.3 of the </w:t>
            </w:r>
            <w:hyperlink r:id="rId605">
              <w:r w:rsidR="00A35E3A" w:rsidRPr="00D75CA6">
                <w:rPr>
                  <w:rStyle w:val="Hyperlink"/>
                  <w:rFonts w:ascii="Roboto" w:eastAsia="Calibri" w:hAnsi="Roboto" w:cs="Arial"/>
                  <w:b w:val="0"/>
                  <w:sz w:val="20"/>
                  <w:szCs w:val="20"/>
                </w:rPr>
                <w:t>Fiscal Transparency Code</w:t>
              </w:r>
            </w:hyperlink>
            <w:r w:rsidR="00A35E3A" w:rsidRPr="00C80634">
              <w:rPr>
                <w:rFonts w:ascii="Roboto" w:hAnsi="Roboto"/>
                <w:b w:val="0"/>
                <w:bCs w:val="0"/>
                <w:color w:val="3B3838" w:themeColor="background2" w:themeShade="40"/>
                <w:sz w:val="20"/>
                <w:szCs w:val="20"/>
              </w:rPr>
              <w:t xml:space="preserve"> </w:t>
            </w:r>
            <w:r w:rsidRPr="00C80634">
              <w:rPr>
                <w:rFonts w:ascii="Roboto" w:hAnsi="Roboto"/>
                <w:b w:val="0"/>
                <w:bCs w:val="0"/>
                <w:color w:val="3B3838" w:themeColor="background2" w:themeShade="40"/>
                <w:sz w:val="20"/>
                <w:szCs w:val="20"/>
              </w:rPr>
              <w:t xml:space="preserve">(2019) states that the fiscal relations and performance across the public sector should be analysed, disclosed, and coordinated, with principle 3.3.2 stating that the government should regularly publish comprehensive information on the financial performance of public corporations, including any quasi-fiscal activity undertaken by them. </w:t>
            </w:r>
          </w:p>
          <w:p w14:paraId="21EAB24C" w14:textId="77777777" w:rsidR="003B2442" w:rsidRDefault="003B2442" w:rsidP="003B2442">
            <w:pPr>
              <w:ind w:left="180" w:right="179"/>
              <w:jc w:val="both"/>
              <w:rPr>
                <w:rFonts w:ascii="Roboto" w:hAnsi="Roboto"/>
                <w:b w:val="0"/>
                <w:bCs w:val="0"/>
                <w:color w:val="3B3838" w:themeColor="background2" w:themeShade="40"/>
                <w:sz w:val="20"/>
                <w:szCs w:val="20"/>
              </w:rPr>
            </w:pPr>
          </w:p>
          <w:p w14:paraId="7627180F" w14:textId="77777777" w:rsidR="003B2442" w:rsidRDefault="003B2442" w:rsidP="003B2442">
            <w:pPr>
              <w:ind w:left="180" w:right="179"/>
              <w:jc w:val="both"/>
              <w:rPr>
                <w:rFonts w:ascii="Roboto" w:hAnsi="Roboto"/>
                <w:color w:val="3B3838" w:themeColor="background2" w:themeShade="40"/>
                <w:sz w:val="20"/>
                <w:szCs w:val="20"/>
              </w:rPr>
            </w:pPr>
            <w:r w:rsidRPr="00C80634">
              <w:rPr>
                <w:rFonts w:ascii="Roboto" w:hAnsi="Roboto"/>
                <w:b w:val="0"/>
                <w:bCs w:val="0"/>
                <w:color w:val="3B3838" w:themeColor="background2" w:themeShade="40"/>
                <w:sz w:val="20"/>
                <w:szCs w:val="20"/>
              </w:rPr>
              <w:t xml:space="preserve">While it may be important for the budgets of public corporations to be separate to that of central government; owing to the fiscal risks this may pose; including that they can significantly weaken a country’s fiscal policy position, it is important that this budget flexibility is balanced by fiscal transparency and strict ex post controls such that these institutions remain accountable for their use of public resources.  </w:t>
            </w:r>
          </w:p>
          <w:p w14:paraId="5C08F7BD" w14:textId="3315C25B" w:rsidR="003B2442" w:rsidRDefault="003B2442" w:rsidP="003B2442">
            <w:pPr>
              <w:ind w:left="180" w:right="179"/>
              <w:jc w:val="both"/>
              <w:rPr>
                <w:rFonts w:ascii="Roboto" w:hAnsi="Roboto"/>
                <w:b w:val="0"/>
                <w:bCs w:val="0"/>
                <w:color w:val="3B3838" w:themeColor="background2" w:themeShade="40"/>
                <w:sz w:val="20"/>
                <w:szCs w:val="20"/>
              </w:rPr>
            </w:pPr>
          </w:p>
          <w:p w14:paraId="4153D11A" w14:textId="77777777" w:rsidR="00DA2791" w:rsidRDefault="003B2442" w:rsidP="00DA2791">
            <w:pPr>
              <w:ind w:left="180" w:right="179"/>
              <w:jc w:val="both"/>
              <w:rPr>
                <w:rFonts w:ascii="Roboto" w:hAnsi="Roboto"/>
                <w:color w:val="3B3838" w:themeColor="background2" w:themeShade="40"/>
                <w:sz w:val="20"/>
                <w:szCs w:val="20"/>
              </w:rPr>
            </w:pPr>
            <w:r w:rsidRPr="00C80634">
              <w:rPr>
                <w:rFonts w:ascii="Roboto" w:hAnsi="Roboto"/>
                <w:b w:val="0"/>
                <w:bCs w:val="0"/>
                <w:color w:val="3B3838" w:themeColor="background2" w:themeShade="40"/>
                <w:sz w:val="20"/>
                <w:szCs w:val="20"/>
              </w:rPr>
              <w:t xml:space="preserve">The OECD’s </w:t>
            </w:r>
            <w:hyperlink r:id="rId606">
              <w:r w:rsidR="00A35E3A" w:rsidRPr="00D75CA6">
                <w:rPr>
                  <w:rStyle w:val="Hyperlink"/>
                  <w:rFonts w:ascii="Roboto" w:eastAsia="Calibri" w:hAnsi="Roboto" w:cs="Arial"/>
                  <w:b w:val="0"/>
                  <w:sz w:val="20"/>
                  <w:szCs w:val="20"/>
                </w:rPr>
                <w:t>Guidelines on Corporate Governance of State-Owned Enterprises</w:t>
              </w:r>
            </w:hyperlink>
            <w:r w:rsidR="00A35E3A" w:rsidRPr="00A35E3A">
              <w:rPr>
                <w:rFonts w:ascii="Roboto" w:hAnsi="Roboto"/>
                <w:b w:val="0"/>
                <w:bCs w:val="0"/>
                <w:color w:val="3B3838" w:themeColor="background2" w:themeShade="40"/>
                <w:sz w:val="20"/>
                <w:szCs w:val="20"/>
              </w:rPr>
              <w:t xml:space="preserve"> </w:t>
            </w:r>
            <w:r w:rsidRPr="00A35E3A">
              <w:rPr>
                <w:rFonts w:ascii="Roboto" w:hAnsi="Roboto"/>
                <w:b w:val="0"/>
                <w:bCs w:val="0"/>
                <w:color w:val="3B3838" w:themeColor="background2" w:themeShade="40"/>
                <w:sz w:val="20"/>
                <w:szCs w:val="20"/>
              </w:rPr>
              <w:t>(</w:t>
            </w:r>
            <w:r w:rsidRPr="00C80634">
              <w:rPr>
                <w:rFonts w:ascii="Roboto" w:hAnsi="Roboto"/>
                <w:b w:val="0"/>
                <w:bCs w:val="0"/>
                <w:color w:val="3B3838" w:themeColor="background2" w:themeShade="40"/>
                <w:sz w:val="20"/>
                <w:szCs w:val="20"/>
              </w:rPr>
              <w:t xml:space="preserve">2015) provide detailed recommendations to governments on how to ensure that their commercial enterprises operate transparently and in an accountable manner, as well as efficiently. Of relevance in this context is transparency in the exercise of the </w:t>
            </w:r>
            <w:r w:rsidR="00DA2791" w:rsidRPr="00C80634">
              <w:rPr>
                <w:rFonts w:ascii="Roboto" w:hAnsi="Roboto"/>
                <w:b w:val="0"/>
                <w:bCs w:val="0"/>
                <w:color w:val="3B3838" w:themeColor="background2" w:themeShade="40"/>
                <w:sz w:val="20"/>
                <w:szCs w:val="20"/>
              </w:rPr>
              <w:t xml:space="preserve">government’s ownership functions, and transparency in imposing public service obligations on State-Owned Enterprises.  </w:t>
            </w:r>
          </w:p>
          <w:p w14:paraId="47899DE6" w14:textId="77777777" w:rsidR="00DA2791" w:rsidRDefault="00DA2791" w:rsidP="00DA2791">
            <w:pPr>
              <w:ind w:left="180" w:right="179"/>
              <w:jc w:val="both"/>
              <w:rPr>
                <w:rFonts w:ascii="Roboto" w:hAnsi="Roboto"/>
                <w:color w:val="3B3838" w:themeColor="background2" w:themeShade="40"/>
                <w:sz w:val="20"/>
                <w:szCs w:val="20"/>
              </w:rPr>
            </w:pPr>
          </w:p>
          <w:p w14:paraId="1E6A5309" w14:textId="77777777" w:rsidR="00DA2791" w:rsidRDefault="00DA2791" w:rsidP="00DA2791">
            <w:pPr>
              <w:spacing w:line="276" w:lineRule="auto"/>
              <w:ind w:left="180" w:right="179"/>
              <w:jc w:val="both"/>
              <w:rPr>
                <w:rFonts w:ascii="Roboto" w:hAnsi="Roboto"/>
                <w:b w:val="0"/>
                <w:bCs w:val="0"/>
                <w:color w:val="3B3838" w:themeColor="background2" w:themeShade="40"/>
                <w:sz w:val="20"/>
                <w:szCs w:val="20"/>
              </w:rPr>
            </w:pPr>
            <w:r w:rsidRPr="00C80634">
              <w:rPr>
                <w:rFonts w:ascii="Roboto" w:hAnsi="Roboto"/>
                <w:b w:val="0"/>
                <w:bCs w:val="0"/>
                <w:color w:val="3B3838" w:themeColor="background2" w:themeShade="40"/>
                <w:sz w:val="20"/>
                <w:szCs w:val="20"/>
              </w:rPr>
              <w:t xml:space="preserve">The International Public Sector Accounting Standards Board (IPSASB)’s </w:t>
            </w:r>
            <w:hyperlink r:id="rId607">
              <w:r w:rsidRPr="00D75CA6">
                <w:rPr>
                  <w:rStyle w:val="Hyperlink"/>
                  <w:rFonts w:ascii="Roboto" w:eastAsia="Calibri" w:hAnsi="Roboto" w:cs="Arial"/>
                  <w:b w:val="0"/>
                  <w:sz w:val="20"/>
                  <w:szCs w:val="20"/>
                </w:rPr>
                <w:t>Handbook on International Public Sector Accounting Pronouncements</w:t>
              </w:r>
            </w:hyperlink>
            <w:r w:rsidRPr="00C80634">
              <w:rPr>
                <w:rFonts w:ascii="Roboto" w:hAnsi="Roboto"/>
                <w:b w:val="0"/>
                <w:bCs w:val="0"/>
                <w:color w:val="3B3838" w:themeColor="background2" w:themeShade="40"/>
                <w:sz w:val="20"/>
                <w:szCs w:val="20"/>
              </w:rPr>
              <w:t xml:space="preserve"> (2020) sets out requirements for the presentation and preparation of consolidated financial statements when an entity controls one of more other entities and provides supporting definitions and explanations.</w:t>
            </w:r>
          </w:p>
          <w:p w14:paraId="07C11958" w14:textId="13F95DDF" w:rsidR="003B2442" w:rsidRPr="003625BA" w:rsidRDefault="003B2442" w:rsidP="00DA2791">
            <w:pPr>
              <w:ind w:left="180" w:right="179"/>
              <w:jc w:val="both"/>
              <w:rPr>
                <w:rFonts w:ascii="Roboto" w:hAnsi="Roboto"/>
                <w:b w:val="0"/>
                <w:bCs w:val="0"/>
                <w:sz w:val="20"/>
                <w:szCs w:val="20"/>
              </w:rPr>
            </w:pPr>
          </w:p>
        </w:tc>
      </w:tr>
    </w:tbl>
    <w:p w14:paraId="766026BD" w14:textId="77777777" w:rsidR="004B62A5" w:rsidRDefault="004B62A5" w:rsidP="002D14C0">
      <w:pPr>
        <w:tabs>
          <w:tab w:val="left" w:pos="3100"/>
        </w:tabs>
        <w:rPr>
          <w:rFonts w:ascii="Arial" w:hAnsi="Arial" w:cs="Arial"/>
          <w:sz w:val="24"/>
          <w:szCs w:val="24"/>
        </w:rPr>
      </w:pPr>
    </w:p>
    <w:p w14:paraId="1E0BBC01" w14:textId="392FCF37" w:rsidR="00402C0F" w:rsidRPr="00A35E3A" w:rsidRDefault="00402C0F" w:rsidP="002D14C0">
      <w:pPr>
        <w:pStyle w:val="Heading2"/>
        <w:numPr>
          <w:ilvl w:val="1"/>
          <w:numId w:val="69"/>
        </w:numPr>
        <w:rPr>
          <w:rFonts w:ascii="Arial" w:hAnsi="Arial" w:cs="Arial"/>
          <w:b/>
          <w:bCs/>
          <w:color w:val="F8A132"/>
          <w:sz w:val="36"/>
          <w:szCs w:val="36"/>
          <w:lang w:val="en-US"/>
        </w:rPr>
      </w:pPr>
      <w:bookmarkStart w:id="1419" w:name="_Toc123204489"/>
      <w:bookmarkStart w:id="1420" w:name="_Toc123216589"/>
      <w:bookmarkStart w:id="1421" w:name="_Toc123217429"/>
      <w:bookmarkStart w:id="1422" w:name="_Toc123913392"/>
      <w:bookmarkStart w:id="1423" w:name="_Toc123914048"/>
      <w:bookmarkStart w:id="1424" w:name="_Toc125566662"/>
      <w:r w:rsidRPr="00A35E3A">
        <w:rPr>
          <w:rFonts w:ascii="Arial" w:hAnsi="Arial" w:cs="Arial"/>
          <w:b/>
          <w:bCs/>
          <w:color w:val="F8A132"/>
          <w:sz w:val="36"/>
          <w:szCs w:val="36"/>
          <w:lang w:val="en-US"/>
        </w:rPr>
        <w:t xml:space="preserve">Government’s </w:t>
      </w:r>
      <w:r w:rsidR="004B62A5" w:rsidRPr="00A35E3A">
        <w:rPr>
          <w:rFonts w:ascii="Arial" w:hAnsi="Arial" w:cs="Arial"/>
          <w:b/>
          <w:bCs/>
          <w:color w:val="F8A132"/>
          <w:sz w:val="36"/>
          <w:szCs w:val="36"/>
          <w:lang w:val="en-US"/>
        </w:rPr>
        <w:t xml:space="preserve">relationship with the </w:t>
      </w:r>
      <w:r w:rsidR="00542A15">
        <w:rPr>
          <w:rFonts w:ascii="Arial" w:hAnsi="Arial" w:cs="Arial"/>
          <w:b/>
          <w:bCs/>
          <w:color w:val="F8A132"/>
          <w:sz w:val="36"/>
          <w:szCs w:val="36"/>
          <w:lang w:val="en-US"/>
        </w:rPr>
        <w:t>private</w:t>
      </w:r>
      <w:r w:rsidR="004B62A5" w:rsidRPr="00A35E3A">
        <w:rPr>
          <w:rFonts w:ascii="Arial" w:hAnsi="Arial" w:cs="Arial"/>
          <w:b/>
          <w:bCs/>
          <w:color w:val="F8A132"/>
          <w:sz w:val="36"/>
          <w:szCs w:val="36"/>
          <w:lang w:val="en-US"/>
        </w:rPr>
        <w:t xml:space="preserve"> sector</w:t>
      </w:r>
      <w:bookmarkEnd w:id="1419"/>
      <w:bookmarkEnd w:id="1420"/>
      <w:bookmarkEnd w:id="1421"/>
      <w:bookmarkEnd w:id="1422"/>
      <w:bookmarkEnd w:id="1423"/>
      <w:bookmarkEnd w:id="1424"/>
    </w:p>
    <w:p w14:paraId="433835E0" w14:textId="77777777" w:rsidR="00402C0F" w:rsidRPr="00315C73" w:rsidRDefault="00402C0F" w:rsidP="002D14C0">
      <w:pPr>
        <w:tabs>
          <w:tab w:val="left" w:pos="3100"/>
        </w:tabs>
        <w:spacing w:line="276" w:lineRule="auto"/>
        <w:rPr>
          <w:rFonts w:ascii="Arial" w:hAnsi="Arial" w:cs="Arial"/>
          <w:sz w:val="24"/>
          <w:szCs w:val="24"/>
        </w:rPr>
      </w:pPr>
    </w:p>
    <w:p w14:paraId="5E779F1A" w14:textId="77777777" w:rsidR="00402C0F" w:rsidRDefault="00402C0F" w:rsidP="002D14C0">
      <w:pPr>
        <w:spacing w:line="276" w:lineRule="auto"/>
        <w:jc w:val="both"/>
        <w:rPr>
          <w:rFonts w:ascii="Arial" w:hAnsi="Arial" w:cs="Arial"/>
          <w:sz w:val="24"/>
          <w:szCs w:val="24"/>
          <w:lang w:val="en-US"/>
        </w:rPr>
      </w:pPr>
      <w:r w:rsidRPr="00315C73">
        <w:rPr>
          <w:rFonts w:ascii="Arial" w:hAnsi="Arial" w:cs="Arial"/>
          <w:sz w:val="24"/>
          <w:szCs w:val="24"/>
          <w:lang w:val="en-US"/>
        </w:rPr>
        <w:t>Regardless of a country’s government sector’s form, its configuration should always be clearly defined and identifiable for the purposes of reporting, disclosing information (fiscal transparency) and accountability. This is stated in GIFT’s High-Level principle 6:</w:t>
      </w:r>
    </w:p>
    <w:p w14:paraId="2E1F8249" w14:textId="45622C4F" w:rsidR="00402C0F" w:rsidRDefault="008C3931" w:rsidP="002D14C0">
      <w:pPr>
        <w:spacing w:line="276" w:lineRule="auto"/>
        <w:jc w:val="both"/>
        <w:rPr>
          <w:rFonts w:ascii="Arial" w:hAnsi="Arial" w:cs="Arial"/>
          <w:sz w:val="24"/>
          <w:szCs w:val="24"/>
          <w:lang w:val="en-US"/>
        </w:rPr>
      </w:pPr>
      <w:r w:rsidRPr="009E337A">
        <w:rPr>
          <w:rFonts w:ascii="Arial" w:hAnsi="Arial" w:cs="Arial"/>
          <w:b/>
          <w:bCs/>
          <w:noProof/>
          <w:color w:val="F26D24"/>
          <w:sz w:val="32"/>
          <w:szCs w:val="32"/>
          <w:lang w:val="en-US"/>
        </w:rPr>
        <w:drawing>
          <wp:anchor distT="0" distB="0" distL="114300" distR="114300" simplePos="0" relativeHeight="253965310" behindDoc="1" locked="0" layoutInCell="1" allowOverlap="1" wp14:anchorId="0917DE3F" wp14:editId="5971FA0A">
            <wp:simplePos x="0" y="0"/>
            <wp:positionH relativeFrom="margin">
              <wp:posOffset>-85725</wp:posOffset>
            </wp:positionH>
            <wp:positionV relativeFrom="paragraph">
              <wp:posOffset>127000</wp:posOffset>
            </wp:positionV>
            <wp:extent cx="6816725" cy="201930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502" cstate="email">
                      <a:extLst>
                        <a:ext uri="{28A0092B-C50C-407E-A947-70E740481C1C}">
                          <a14:useLocalDpi xmlns:a14="http://schemas.microsoft.com/office/drawing/2010/main"/>
                        </a:ext>
                      </a:extLst>
                    </a:blip>
                    <a:srcRect b="-5929"/>
                    <a:stretch/>
                  </pic:blipFill>
                  <pic:spPr bwMode="auto">
                    <a:xfrm>
                      <a:off x="0" y="0"/>
                      <a:ext cx="6816725"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D5FC32" w14:textId="27A32C57" w:rsidR="00402C0F" w:rsidRPr="00315C73" w:rsidRDefault="00402C0F" w:rsidP="002D14C0">
      <w:pPr>
        <w:spacing w:line="276" w:lineRule="auto"/>
        <w:jc w:val="both"/>
        <w:rPr>
          <w:rFonts w:ascii="Arial" w:hAnsi="Arial" w:cs="Arial"/>
          <w:sz w:val="24"/>
          <w:szCs w:val="24"/>
          <w:lang w:val="en-US"/>
        </w:rPr>
      </w:pPr>
    </w:p>
    <w:p w14:paraId="7138BD30" w14:textId="39E8D1A9" w:rsidR="00402C0F" w:rsidRDefault="008C3931" w:rsidP="002D14C0">
      <w:pPr>
        <w:tabs>
          <w:tab w:val="left" w:pos="3100"/>
        </w:tabs>
        <w:rPr>
          <w:rFonts w:ascii="Arial" w:hAnsi="Arial" w:cs="Arial"/>
          <w:sz w:val="24"/>
          <w:szCs w:val="24"/>
        </w:rPr>
      </w:pPr>
      <w:r>
        <w:rPr>
          <w:rFonts w:ascii="Arial" w:hAnsi="Arial" w:cs="Arial"/>
          <w:noProof/>
          <w:sz w:val="24"/>
          <w:szCs w:val="24"/>
          <w:lang w:val="en-US"/>
        </w:rPr>
        <w:drawing>
          <wp:anchor distT="0" distB="0" distL="114300" distR="114300" simplePos="0" relativeHeight="252871678" behindDoc="1" locked="0" layoutInCell="1" allowOverlap="1" wp14:anchorId="7223E6CC" wp14:editId="171C921F">
            <wp:simplePos x="0" y="0"/>
            <wp:positionH relativeFrom="column">
              <wp:posOffset>1333500</wp:posOffset>
            </wp:positionH>
            <wp:positionV relativeFrom="paragraph">
              <wp:posOffset>64770</wp:posOffset>
            </wp:positionV>
            <wp:extent cx="3261360" cy="652145"/>
            <wp:effectExtent l="0" t="0" r="0" b="0"/>
            <wp:wrapTight wrapText="bothSides">
              <wp:wrapPolygon edited="0">
                <wp:start x="1514" y="1683"/>
                <wp:lineTo x="925" y="4206"/>
                <wp:lineTo x="421" y="7572"/>
                <wp:lineTo x="421" y="10937"/>
                <wp:lineTo x="673" y="15984"/>
                <wp:lineTo x="1430" y="18508"/>
                <wp:lineTo x="1514" y="19350"/>
                <wp:lineTo x="20692" y="19350"/>
                <wp:lineTo x="20776" y="18508"/>
                <wp:lineTo x="21112" y="15984"/>
                <wp:lineTo x="21364" y="2944"/>
                <wp:lineTo x="19682" y="2524"/>
                <wp:lineTo x="2860" y="1683"/>
                <wp:lineTo x="1514" y="1683"/>
              </wp:wrapPolygon>
            </wp:wrapTight>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Picture 720"/>
                    <pic:cNvPicPr/>
                  </pic:nvPicPr>
                  <pic:blipFill>
                    <a:blip r:embed="rId608" cstate="email">
                      <a:extLst>
                        <a:ext uri="{28A0092B-C50C-407E-A947-70E740481C1C}">
                          <a14:useLocalDpi xmlns:a14="http://schemas.microsoft.com/office/drawing/2010/main"/>
                        </a:ext>
                      </a:extLst>
                    </a:blip>
                    <a:stretch>
                      <a:fillRect/>
                    </a:stretch>
                  </pic:blipFill>
                  <pic:spPr>
                    <a:xfrm>
                      <a:off x="0" y="0"/>
                      <a:ext cx="3261360" cy="652145"/>
                    </a:xfrm>
                    <a:prstGeom prst="rect">
                      <a:avLst/>
                    </a:prstGeom>
                  </pic:spPr>
                </pic:pic>
              </a:graphicData>
            </a:graphic>
            <wp14:sizeRelH relativeFrom="page">
              <wp14:pctWidth>0</wp14:pctWidth>
            </wp14:sizeRelH>
            <wp14:sizeRelV relativeFrom="page">
              <wp14:pctHeight>0</wp14:pctHeight>
            </wp14:sizeRelV>
          </wp:anchor>
        </w:drawing>
      </w:r>
    </w:p>
    <w:p w14:paraId="28BECF07" w14:textId="77777777" w:rsidR="00402C0F" w:rsidRDefault="00402C0F" w:rsidP="002D14C0">
      <w:pPr>
        <w:tabs>
          <w:tab w:val="left" w:pos="3100"/>
        </w:tabs>
        <w:rPr>
          <w:rFonts w:ascii="Arial" w:hAnsi="Arial" w:cs="Arial"/>
          <w:sz w:val="24"/>
          <w:szCs w:val="24"/>
        </w:rPr>
      </w:pPr>
    </w:p>
    <w:p w14:paraId="3B190B4C" w14:textId="77777777" w:rsidR="00402C0F" w:rsidRDefault="00402C0F" w:rsidP="002D14C0">
      <w:pPr>
        <w:tabs>
          <w:tab w:val="left" w:pos="3100"/>
        </w:tabs>
        <w:rPr>
          <w:rFonts w:ascii="Arial" w:hAnsi="Arial" w:cs="Arial"/>
          <w:sz w:val="24"/>
          <w:szCs w:val="24"/>
        </w:rPr>
      </w:pPr>
    </w:p>
    <w:p w14:paraId="4AD32E96" w14:textId="77777777" w:rsidR="00402C0F" w:rsidRDefault="00402C0F" w:rsidP="002D14C0">
      <w:pPr>
        <w:tabs>
          <w:tab w:val="left" w:pos="3100"/>
        </w:tabs>
        <w:rPr>
          <w:rFonts w:ascii="Arial" w:hAnsi="Arial" w:cs="Arial"/>
          <w:sz w:val="24"/>
          <w:szCs w:val="24"/>
        </w:rPr>
      </w:pPr>
    </w:p>
    <w:p w14:paraId="22AF1160" w14:textId="77777777" w:rsidR="00402C0F" w:rsidRDefault="00402C0F" w:rsidP="002D14C0">
      <w:pPr>
        <w:tabs>
          <w:tab w:val="left" w:pos="310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870654" behindDoc="0" locked="0" layoutInCell="1" allowOverlap="1" wp14:anchorId="2AE40B65" wp14:editId="0995E67B">
                <wp:simplePos x="0" y="0"/>
                <wp:positionH relativeFrom="margin">
                  <wp:align>center</wp:align>
                </wp:positionH>
                <wp:positionV relativeFrom="paragraph">
                  <wp:posOffset>8890</wp:posOffset>
                </wp:positionV>
                <wp:extent cx="6366510" cy="914400"/>
                <wp:effectExtent l="0" t="0" r="0" b="0"/>
                <wp:wrapNone/>
                <wp:docPr id="718" name="Text Box 718"/>
                <wp:cNvGraphicFramePr/>
                <a:graphic xmlns:a="http://schemas.openxmlformats.org/drawingml/2006/main">
                  <a:graphicData uri="http://schemas.microsoft.com/office/word/2010/wordprocessingShape">
                    <wps:wsp>
                      <wps:cNvSpPr txBox="1"/>
                      <wps:spPr>
                        <a:xfrm>
                          <a:off x="0" y="0"/>
                          <a:ext cx="6366510" cy="914400"/>
                        </a:xfrm>
                        <a:prstGeom prst="rect">
                          <a:avLst/>
                        </a:prstGeom>
                        <a:noFill/>
                        <a:ln w="6350">
                          <a:noFill/>
                        </a:ln>
                      </wps:spPr>
                      <wps:txbx>
                        <w:txbxContent>
                          <w:p w14:paraId="4A46A74F" w14:textId="77777777" w:rsidR="00D15FD8" w:rsidRPr="009C5AE5" w:rsidRDefault="00D15FD8" w:rsidP="00653DDD">
                            <w:pPr>
                              <w:spacing w:line="276" w:lineRule="auto"/>
                              <w:jc w:val="both"/>
                              <w:rPr>
                                <w:rFonts w:ascii="Arial" w:hAnsi="Arial" w:cs="Arial"/>
                                <w:iCs/>
                                <w:color w:val="FFFFFF" w:themeColor="background1"/>
                                <w:sz w:val="24"/>
                                <w:szCs w:val="24"/>
                              </w:rPr>
                            </w:pPr>
                            <w:r w:rsidRPr="00315C73">
                              <w:rPr>
                                <w:rFonts w:ascii="Arial" w:eastAsia="Calibri" w:hAnsi="Arial" w:cs="Arial"/>
                                <w:iCs/>
                                <w:color w:val="FFFFFF" w:themeColor="background1"/>
                                <w:sz w:val="24"/>
                                <w:szCs w:val="24"/>
                              </w:rPr>
                              <w:t>The Government sector should be clearly defined and identified for the purposes of reporting, transparency, and accountability, and government financial relationships with the private sector should be disclosed, conducted in an open manner, and follow clear rules and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E40B65" id="Text Box 718" o:spid="_x0000_s1335" type="#_x0000_t202" style="position:absolute;margin-left:0;margin-top:.7pt;width:501.3pt;height:1in;z-index:25287065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" filled="f" stroked="f" strokeweight=".5pt">
                <v:textbox>
                  <w:txbxContent>
                    <w:p w14:paraId="4A46A74F" w14:textId="77777777" w:rsidR="00D15FD8" w:rsidRPr="009C5AE5" w:rsidRDefault="00D15FD8" w:rsidP="00653DDD">
                      <w:pPr>
                        <w:spacing w:line="276" w:lineRule="auto"/>
                        <w:jc w:val="both"/>
                        <w:rPr>
                          <w:rFonts w:ascii="Arial" w:hAnsi="Arial" w:cs="Arial"/>
                          <w:iCs/>
                          <w:color w:val="FFFFFF" w:themeColor="background1"/>
                          <w:sz w:val="24"/>
                          <w:szCs w:val="24"/>
                        </w:rPr>
                      </w:pPr>
                      <w:r w:rsidRPr="00315C73">
                        <w:rPr>
                          <w:rFonts w:ascii="Arial" w:eastAsia="Calibri" w:hAnsi="Arial" w:cs="Arial"/>
                          <w:iCs/>
                          <w:color w:val="FFFFFF" w:themeColor="background1"/>
                          <w:sz w:val="24"/>
                          <w:szCs w:val="24"/>
                        </w:rPr>
                        <w:t>The Government sector should be clearly defined and identified for the purposes of reporting, transparency, and accountability, and government financial relationships with the private sector should be disclosed, conducted in an open manner, and follow clear rules and procedures.</w:t>
                      </w:r>
                    </w:p>
                  </w:txbxContent>
                </v:textbox>
                <w10:wrap anchorx="margin"/>
              </v:shape>
            </w:pict>
          </mc:Fallback>
        </mc:AlternateContent>
      </w:r>
    </w:p>
    <w:p w14:paraId="313A6465" w14:textId="77777777" w:rsidR="00402C0F" w:rsidRDefault="00402C0F" w:rsidP="002D14C0">
      <w:pPr>
        <w:tabs>
          <w:tab w:val="left" w:pos="3100"/>
        </w:tabs>
        <w:rPr>
          <w:rFonts w:ascii="Arial" w:hAnsi="Arial" w:cs="Arial"/>
          <w:sz w:val="24"/>
          <w:szCs w:val="24"/>
        </w:rPr>
      </w:pPr>
    </w:p>
    <w:p w14:paraId="282A4C56" w14:textId="77777777" w:rsidR="00402C0F" w:rsidRDefault="00402C0F" w:rsidP="002D14C0">
      <w:pPr>
        <w:tabs>
          <w:tab w:val="left" w:pos="3100"/>
        </w:tabs>
        <w:rPr>
          <w:rFonts w:ascii="Arial" w:hAnsi="Arial" w:cs="Arial"/>
          <w:sz w:val="24"/>
          <w:szCs w:val="24"/>
        </w:rPr>
      </w:pPr>
    </w:p>
    <w:p w14:paraId="79BF4A51" w14:textId="77777777" w:rsidR="00402C0F" w:rsidRPr="00315C73" w:rsidRDefault="00402C0F" w:rsidP="002D14C0">
      <w:pPr>
        <w:rPr>
          <w:rFonts w:ascii="Arial" w:hAnsi="Arial" w:cs="Arial"/>
          <w:sz w:val="24"/>
          <w:szCs w:val="24"/>
        </w:rPr>
      </w:pPr>
    </w:p>
    <w:p w14:paraId="3A9305C7" w14:textId="77777777" w:rsidR="00402C0F" w:rsidRPr="00315C73" w:rsidRDefault="00402C0F" w:rsidP="002D14C0">
      <w:pPr>
        <w:rPr>
          <w:rFonts w:ascii="Arial" w:hAnsi="Arial" w:cs="Arial"/>
          <w:sz w:val="24"/>
          <w:szCs w:val="24"/>
        </w:rPr>
      </w:pPr>
    </w:p>
    <w:p w14:paraId="355182FA" w14:textId="77777777" w:rsidR="00402C0F" w:rsidRPr="00315C73" w:rsidRDefault="00402C0F" w:rsidP="002D14C0">
      <w:pPr>
        <w:rPr>
          <w:rFonts w:ascii="Arial" w:hAnsi="Arial" w:cs="Arial"/>
          <w:sz w:val="24"/>
          <w:szCs w:val="24"/>
        </w:rPr>
      </w:pPr>
    </w:p>
    <w:p w14:paraId="131A88F0" w14:textId="77777777" w:rsidR="00402C0F" w:rsidRDefault="00402C0F" w:rsidP="002D14C0">
      <w:pPr>
        <w:rPr>
          <w:rFonts w:ascii="Arial" w:hAnsi="Arial" w:cs="Arial"/>
          <w:sz w:val="24"/>
          <w:szCs w:val="24"/>
        </w:rPr>
      </w:pPr>
    </w:p>
    <w:p w14:paraId="28A8E8DA" w14:textId="6054C49C" w:rsidR="001F1FE3" w:rsidRDefault="00402C0F" w:rsidP="001F1FE3">
      <w:pPr>
        <w:spacing w:line="276" w:lineRule="auto"/>
        <w:contextualSpacing/>
        <w:jc w:val="both"/>
        <w:rPr>
          <w:rFonts w:ascii="Arial" w:hAnsi="Arial" w:cs="Arial"/>
          <w:iCs/>
          <w:color w:val="F8A132"/>
          <w:sz w:val="24"/>
          <w:szCs w:val="24"/>
          <w:lang w:val="en-ZA"/>
        </w:rPr>
      </w:pPr>
      <w:r w:rsidRPr="00315C73">
        <w:rPr>
          <w:rFonts w:ascii="Arial" w:hAnsi="Arial" w:cs="Arial"/>
          <w:sz w:val="24"/>
          <w:szCs w:val="24"/>
          <w:lang w:val="en-US"/>
        </w:rPr>
        <w:t xml:space="preserve">In addition, the principle also states that the government’s relationship with the private sector should be disclosed. This is because </w:t>
      </w:r>
      <w:r w:rsidRPr="00315C73">
        <w:rPr>
          <w:rFonts w:ascii="Arial" w:hAnsi="Arial" w:cs="Arial"/>
          <w:iCs/>
          <w:sz w:val="24"/>
          <w:szCs w:val="24"/>
          <w:lang w:val="en-ZA"/>
        </w:rPr>
        <w:t xml:space="preserve">unclear relationships are often associated with inappropriate or corrupt behaviour. They also provide a poor basis for decision-making, and make it harder to hold public officials accountable against a clear set of expectations. </w:t>
      </w:r>
    </w:p>
    <w:p w14:paraId="1C003D7F" w14:textId="77777777" w:rsidR="001F1FE3" w:rsidRDefault="001F1FE3" w:rsidP="003625BA">
      <w:pPr>
        <w:spacing w:line="276" w:lineRule="auto"/>
        <w:contextualSpacing/>
        <w:jc w:val="both"/>
        <w:rPr>
          <w:rFonts w:ascii="Arial" w:hAnsi="Arial" w:cs="Arial"/>
          <w:iCs/>
          <w:color w:val="F8A132"/>
          <w:sz w:val="24"/>
          <w:szCs w:val="24"/>
          <w:lang w:val="en-ZA"/>
        </w:rPr>
      </w:pPr>
    </w:p>
    <w:p w14:paraId="5B75C463" w14:textId="0CDECF69" w:rsidR="00402C0F" w:rsidRDefault="00402C0F" w:rsidP="002D14C0">
      <w:pPr>
        <w:spacing w:line="276" w:lineRule="auto"/>
        <w:contextualSpacing/>
        <w:jc w:val="both"/>
        <w:rPr>
          <w:rFonts w:ascii="Arial" w:hAnsi="Arial" w:cs="Arial"/>
          <w:b/>
          <w:bCs/>
          <w:iCs/>
          <w:color w:val="F8A132"/>
          <w:sz w:val="24"/>
          <w:szCs w:val="24"/>
          <w:lang w:val="en-ZA"/>
        </w:rPr>
      </w:pPr>
      <w:r w:rsidRPr="00113B02">
        <w:rPr>
          <w:rFonts w:ascii="Arial" w:hAnsi="Arial" w:cs="Arial"/>
          <w:b/>
          <w:bCs/>
          <w:iCs/>
          <w:color w:val="F8A132"/>
          <w:sz w:val="24"/>
          <w:szCs w:val="24"/>
          <w:lang w:val="en-ZA"/>
        </w:rPr>
        <w:t>As such, several fiscal transparency norms and standards address the relationship between the government and the private sector, including:</w:t>
      </w:r>
    </w:p>
    <w:p w14:paraId="2E4A0125" w14:textId="77777777" w:rsidR="0082509D" w:rsidRDefault="0082509D" w:rsidP="002D14C0">
      <w:pPr>
        <w:spacing w:line="276" w:lineRule="auto"/>
        <w:contextualSpacing/>
        <w:jc w:val="both"/>
        <w:rPr>
          <w:rFonts w:ascii="Arial" w:hAnsi="Arial" w:cs="Arial"/>
          <w:b/>
          <w:bCs/>
          <w:iCs/>
          <w:color w:val="F8A132"/>
          <w:sz w:val="24"/>
          <w:szCs w:val="24"/>
          <w:lang w:val="en-ZA"/>
        </w:rPr>
      </w:pPr>
    </w:p>
    <w:p w14:paraId="4A0276B1" w14:textId="027E99DD" w:rsidR="00A35E3A" w:rsidRPr="003625BA" w:rsidRDefault="00A35E3A" w:rsidP="00A35E3A">
      <w:pPr>
        <w:spacing w:line="276" w:lineRule="auto"/>
        <w:contextualSpacing/>
        <w:jc w:val="both"/>
        <w:rPr>
          <w:rFonts w:ascii="Arial" w:hAnsi="Arial" w:cs="Arial"/>
          <w:iCs/>
          <w:color w:val="3B3838" w:themeColor="background2" w:themeShade="40"/>
          <w:sz w:val="24"/>
          <w:szCs w:val="24"/>
        </w:rPr>
      </w:pPr>
      <w:r>
        <w:rPr>
          <w:rFonts w:ascii="Arial" w:hAnsi="Arial" w:cs="Arial"/>
          <w:iCs/>
          <w:noProof/>
          <w:sz w:val="24"/>
          <w:szCs w:val="24"/>
          <w:lang w:val="en-US"/>
        </w:rPr>
        <w:drawing>
          <wp:anchor distT="0" distB="0" distL="114300" distR="114300" simplePos="0" relativeHeight="252875774" behindDoc="1" locked="0" layoutInCell="1" allowOverlap="1" wp14:anchorId="13AAD80B" wp14:editId="41617ED2">
            <wp:simplePos x="0" y="0"/>
            <wp:positionH relativeFrom="column">
              <wp:posOffset>12700</wp:posOffset>
            </wp:positionH>
            <wp:positionV relativeFrom="paragraph">
              <wp:posOffset>119380</wp:posOffset>
            </wp:positionV>
            <wp:extent cx="1370965" cy="1943100"/>
            <wp:effectExtent l="25400" t="25400" r="89535" b="88900"/>
            <wp:wrapSquare wrapText="bothSides"/>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pic:cNvPicPr/>
                  </pic:nvPicPr>
                  <pic:blipFill>
                    <a:blip r:embed="rId609">
                      <a:extLst>
                        <a:ext uri="{28A0092B-C50C-407E-A947-70E740481C1C}">
                          <a14:useLocalDpi xmlns:a14="http://schemas.microsoft.com/office/drawing/2010/main"/>
                        </a:ext>
                      </a:extLst>
                    </a:blip>
                    <a:stretch>
                      <a:fillRect/>
                    </a:stretch>
                  </pic:blipFill>
                  <pic:spPr>
                    <a:xfrm>
                      <a:off x="0" y="0"/>
                      <a:ext cx="1370965" cy="19431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3625BA">
        <w:rPr>
          <w:rFonts w:ascii="Arial" w:hAnsi="Arial" w:cs="Arial"/>
          <w:iCs/>
          <w:color w:val="3B3838" w:themeColor="background2" w:themeShade="40"/>
          <w:sz w:val="24"/>
          <w:szCs w:val="24"/>
        </w:rPr>
        <w:t xml:space="preserve">The </w:t>
      </w:r>
      <w:r w:rsidRPr="003625BA">
        <w:rPr>
          <w:rFonts w:ascii="Arial" w:hAnsi="Arial" w:cs="Arial"/>
          <w:b/>
          <w:bCs/>
          <w:iCs/>
          <w:color w:val="3B3838" w:themeColor="background2" w:themeShade="40"/>
          <w:sz w:val="24"/>
          <w:szCs w:val="24"/>
        </w:rPr>
        <w:t xml:space="preserve">IMF’s </w:t>
      </w:r>
      <w:hyperlink r:id="rId610" w:history="1">
        <w:r w:rsidRPr="003625BA">
          <w:rPr>
            <w:rFonts w:ascii="Arial" w:hAnsi="Arial" w:cs="Arial"/>
            <w:b/>
            <w:bCs/>
            <w:iCs/>
            <w:color w:val="3B3838" w:themeColor="background2" w:themeShade="40"/>
            <w:sz w:val="24"/>
            <w:szCs w:val="24"/>
            <w:u w:val="single"/>
          </w:rPr>
          <w:t>Manual on Fiscal Transparency</w:t>
        </w:r>
      </w:hyperlink>
      <w:r w:rsidRPr="003625BA">
        <w:rPr>
          <w:rFonts w:ascii="Arial" w:hAnsi="Arial" w:cs="Arial"/>
          <w:b/>
          <w:bCs/>
          <w:iCs/>
          <w:color w:val="3B3838" w:themeColor="background2" w:themeShade="40"/>
          <w:sz w:val="24"/>
          <w:szCs w:val="24"/>
        </w:rPr>
        <w:t xml:space="preserve"> (2007)</w:t>
      </w:r>
      <w:r w:rsidRPr="003625BA">
        <w:rPr>
          <w:rFonts w:ascii="Arial" w:hAnsi="Arial" w:cs="Arial"/>
          <w:iCs/>
          <w:color w:val="3B3838" w:themeColor="background2" w:themeShade="40"/>
          <w:sz w:val="24"/>
          <w:szCs w:val="24"/>
        </w:rPr>
        <w:t xml:space="preserve"> that states that the fiscal powers of the government relationships with the private sector should be conducted in an open manner, following clear rules and procedures. </w:t>
      </w:r>
    </w:p>
    <w:p w14:paraId="5B903DD7" w14:textId="54CC9945" w:rsidR="00A35E3A" w:rsidRPr="003625BA" w:rsidRDefault="00A35E3A" w:rsidP="00A35E3A">
      <w:pPr>
        <w:spacing w:line="276" w:lineRule="auto"/>
        <w:contextualSpacing/>
        <w:jc w:val="both"/>
        <w:rPr>
          <w:rFonts w:ascii="Arial" w:hAnsi="Arial" w:cs="Arial"/>
          <w:iCs/>
          <w:color w:val="3B3838" w:themeColor="background2" w:themeShade="40"/>
          <w:sz w:val="24"/>
          <w:szCs w:val="24"/>
        </w:rPr>
      </w:pPr>
    </w:p>
    <w:p w14:paraId="47A13D44" w14:textId="3300FBBA" w:rsidR="00A35E3A" w:rsidRPr="003625BA" w:rsidRDefault="00A35E3A" w:rsidP="00A35E3A">
      <w:pPr>
        <w:numPr>
          <w:ilvl w:val="0"/>
          <w:numId w:val="71"/>
        </w:numPr>
        <w:spacing w:line="276" w:lineRule="auto"/>
        <w:contextualSpacing/>
        <w:jc w:val="both"/>
        <w:rPr>
          <w:rFonts w:ascii="Arial" w:hAnsi="Arial" w:cs="Arial"/>
          <w:iCs/>
          <w:color w:val="3B3838" w:themeColor="background2" w:themeShade="40"/>
          <w:sz w:val="24"/>
          <w:szCs w:val="24"/>
        </w:rPr>
      </w:pPr>
      <w:r w:rsidRPr="003625BA">
        <w:rPr>
          <w:rFonts w:ascii="Arial" w:hAnsi="Arial" w:cs="Arial"/>
          <w:iCs/>
          <w:color w:val="3B3838" w:themeColor="background2" w:themeShade="40"/>
          <w:sz w:val="24"/>
          <w:szCs w:val="24"/>
        </w:rPr>
        <w:t>The government regulates the private sector in a variety of ways, and transparency in government operations may be of limited benefit if there isn’t clarity in all kinds of regulatory interactions with the private sector.</w:t>
      </w:r>
    </w:p>
    <w:p w14:paraId="0FB84394" w14:textId="77777777" w:rsidR="00A35E3A" w:rsidRPr="003625BA" w:rsidRDefault="00A35E3A" w:rsidP="00A35E3A">
      <w:pPr>
        <w:spacing w:line="276" w:lineRule="auto"/>
        <w:ind w:left="360"/>
        <w:contextualSpacing/>
        <w:jc w:val="both"/>
        <w:rPr>
          <w:rFonts w:ascii="Arial" w:hAnsi="Arial" w:cs="Arial"/>
          <w:iCs/>
          <w:color w:val="3B3838" w:themeColor="background2" w:themeShade="40"/>
          <w:sz w:val="24"/>
          <w:szCs w:val="24"/>
        </w:rPr>
      </w:pPr>
    </w:p>
    <w:p w14:paraId="6D373676" w14:textId="104A5681" w:rsidR="00402C0F" w:rsidRPr="00A35E3A" w:rsidRDefault="00A35E3A" w:rsidP="002D14C0">
      <w:pPr>
        <w:numPr>
          <w:ilvl w:val="0"/>
          <w:numId w:val="71"/>
        </w:numPr>
        <w:spacing w:line="276" w:lineRule="auto"/>
        <w:contextualSpacing/>
        <w:jc w:val="both"/>
        <w:rPr>
          <w:rFonts w:ascii="Arial" w:hAnsi="Arial" w:cs="Arial"/>
          <w:iCs/>
          <w:color w:val="3B3838" w:themeColor="background2" w:themeShade="40"/>
          <w:sz w:val="24"/>
          <w:szCs w:val="24"/>
        </w:rPr>
      </w:pPr>
      <w:r w:rsidRPr="003625BA">
        <w:rPr>
          <w:rFonts w:ascii="Arial" w:hAnsi="Arial" w:cs="Arial"/>
          <w:iCs/>
          <w:color w:val="3B3838" w:themeColor="background2" w:themeShade="40"/>
          <w:sz w:val="24"/>
          <w:szCs w:val="24"/>
        </w:rPr>
        <w:t>Contractual arrangements between the government and public or private entities, including resource companies and operators of government concessions, should be clear and publicly accessible. This includes public-private partnerships, in which the private sector supplies infrastructure assets and services that have traditionally been provided by the government</w:t>
      </w:r>
    </w:p>
    <w:p w14:paraId="459095B1" w14:textId="5C7C967C" w:rsidR="00402C0F" w:rsidRDefault="001F1FE3" w:rsidP="002D14C0">
      <w:pPr>
        <w:spacing w:line="276" w:lineRule="auto"/>
        <w:contextualSpacing/>
        <w:jc w:val="both"/>
        <w:rPr>
          <w:rFonts w:ascii="Arial" w:hAnsi="Arial" w:cs="Arial"/>
          <w:iCs/>
          <w:sz w:val="24"/>
          <w:szCs w:val="24"/>
          <w:lang w:val="en-ZA"/>
        </w:rPr>
      </w:pPr>
      <w:r>
        <w:rPr>
          <w:rFonts w:ascii="Arial" w:hAnsi="Arial" w:cs="Arial"/>
          <w:iCs/>
          <w:noProof/>
          <w:sz w:val="24"/>
          <w:szCs w:val="24"/>
          <w:lang w:val="en-US"/>
        </w:rPr>
        <w:lastRenderedPageBreak/>
        <w:drawing>
          <wp:anchor distT="0" distB="0" distL="114300" distR="114300" simplePos="0" relativeHeight="253966334" behindDoc="0" locked="0" layoutInCell="1" allowOverlap="1" wp14:anchorId="1D591726" wp14:editId="597FE7BB">
            <wp:simplePos x="0" y="0"/>
            <wp:positionH relativeFrom="column">
              <wp:posOffset>114300</wp:posOffset>
            </wp:positionH>
            <wp:positionV relativeFrom="paragraph">
              <wp:posOffset>194310</wp:posOffset>
            </wp:positionV>
            <wp:extent cx="1231900" cy="1569720"/>
            <wp:effectExtent l="25400" t="25400" r="88900" b="9398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rotWithShape="1">
                    <a:blip r:embed="rId611" cstate="screen">
                      <a:extLst>
                        <a:ext uri="{28A0092B-C50C-407E-A947-70E740481C1C}">
                          <a14:useLocalDpi xmlns:a14="http://schemas.microsoft.com/office/drawing/2010/main"/>
                        </a:ext>
                      </a:extLst>
                    </a:blip>
                    <a:srcRect/>
                    <a:stretch/>
                  </pic:blipFill>
                  <pic:spPr bwMode="auto">
                    <a:xfrm>
                      <a:off x="0" y="0"/>
                      <a:ext cx="1231900" cy="156972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B3E2AD" w14:textId="77777777" w:rsidR="00A35E3A" w:rsidRPr="00224555" w:rsidRDefault="00A35E3A" w:rsidP="00A35E3A">
      <w:pPr>
        <w:spacing w:line="276" w:lineRule="auto"/>
        <w:contextualSpacing/>
        <w:rPr>
          <w:rFonts w:ascii="Arial" w:hAnsi="Arial" w:cs="Arial"/>
          <w:iCs/>
          <w:color w:val="3B3838" w:themeColor="background2" w:themeShade="40"/>
          <w:sz w:val="24"/>
          <w:szCs w:val="24"/>
        </w:rPr>
      </w:pPr>
      <w:r w:rsidRPr="00224555">
        <w:rPr>
          <w:rFonts w:ascii="Arial" w:hAnsi="Arial" w:cs="Arial"/>
          <w:iCs/>
          <w:color w:val="3B3838" w:themeColor="background2" w:themeShade="40"/>
          <w:sz w:val="24"/>
          <w:szCs w:val="24"/>
        </w:rPr>
        <w:t xml:space="preserve">The </w:t>
      </w:r>
      <w:r w:rsidRPr="00224555">
        <w:rPr>
          <w:rFonts w:ascii="Arial" w:hAnsi="Arial" w:cs="Arial"/>
          <w:b/>
          <w:bCs/>
          <w:iCs/>
          <w:color w:val="3B3838" w:themeColor="background2" w:themeShade="40"/>
          <w:sz w:val="24"/>
          <w:szCs w:val="24"/>
        </w:rPr>
        <w:t xml:space="preserve">IMF’s </w:t>
      </w:r>
      <w:hyperlink r:id="rId612" w:history="1">
        <w:r w:rsidRPr="00224555">
          <w:rPr>
            <w:rFonts w:ascii="Arial" w:hAnsi="Arial" w:cs="Arial"/>
            <w:b/>
            <w:bCs/>
            <w:iCs/>
            <w:color w:val="3B3838" w:themeColor="background2" w:themeShade="40"/>
            <w:sz w:val="24"/>
            <w:szCs w:val="24"/>
            <w:u w:val="single"/>
          </w:rPr>
          <w:t>Fiscal Transparency Code</w:t>
        </w:r>
      </w:hyperlink>
      <w:r w:rsidRPr="00224555">
        <w:rPr>
          <w:rFonts w:ascii="Arial" w:hAnsi="Arial" w:cs="Arial"/>
          <w:b/>
          <w:bCs/>
          <w:iCs/>
          <w:color w:val="3B3838" w:themeColor="background2" w:themeShade="40"/>
          <w:sz w:val="24"/>
          <w:szCs w:val="24"/>
        </w:rPr>
        <w:t xml:space="preserve"> (2019)</w:t>
      </w:r>
      <w:r w:rsidRPr="00224555">
        <w:rPr>
          <w:rFonts w:ascii="Arial" w:hAnsi="Arial" w:cs="Arial"/>
          <w:iCs/>
          <w:color w:val="3B3838" w:themeColor="background2" w:themeShade="40"/>
          <w:sz w:val="24"/>
          <w:szCs w:val="24"/>
        </w:rPr>
        <w:t xml:space="preserve"> also deals with the boundaries and relationships between the government and the private sector for fiscal reporting and in the contexts of fiscal risk management and natural resource management. </w:t>
      </w:r>
    </w:p>
    <w:p w14:paraId="1D0BF43F" w14:textId="77777777" w:rsidR="00A35E3A" w:rsidRPr="00224555" w:rsidRDefault="00A35E3A" w:rsidP="00A35E3A">
      <w:pPr>
        <w:spacing w:line="276" w:lineRule="auto"/>
        <w:rPr>
          <w:color w:val="3B3838" w:themeColor="background2" w:themeShade="40"/>
          <w:sz w:val="23"/>
          <w:szCs w:val="23"/>
        </w:rPr>
      </w:pPr>
    </w:p>
    <w:p w14:paraId="56CB74A0" w14:textId="19306C35" w:rsidR="00402C0F" w:rsidRDefault="00402C0F" w:rsidP="002D14C0">
      <w:pPr>
        <w:spacing w:line="276" w:lineRule="auto"/>
        <w:contextualSpacing/>
        <w:jc w:val="both"/>
        <w:rPr>
          <w:rFonts w:ascii="Arial" w:hAnsi="Arial" w:cs="Arial"/>
          <w:iCs/>
          <w:sz w:val="24"/>
          <w:szCs w:val="24"/>
          <w:lang w:val="en-ZA"/>
        </w:rPr>
      </w:pPr>
    </w:p>
    <w:p w14:paraId="56460959" w14:textId="04F73D52" w:rsidR="00402C0F" w:rsidRDefault="00402C0F" w:rsidP="002D14C0">
      <w:pPr>
        <w:spacing w:line="276" w:lineRule="auto"/>
        <w:contextualSpacing/>
        <w:jc w:val="both"/>
        <w:rPr>
          <w:rFonts w:ascii="Arial" w:hAnsi="Arial" w:cs="Arial"/>
          <w:iCs/>
          <w:sz w:val="24"/>
          <w:szCs w:val="24"/>
          <w:lang w:val="en-ZA"/>
        </w:rPr>
      </w:pPr>
    </w:p>
    <w:p w14:paraId="57E17266" w14:textId="4A16D6A3" w:rsidR="00402C0F" w:rsidRDefault="00402C0F" w:rsidP="002D14C0">
      <w:pPr>
        <w:spacing w:line="276" w:lineRule="auto"/>
        <w:contextualSpacing/>
        <w:jc w:val="both"/>
        <w:rPr>
          <w:rFonts w:ascii="Arial" w:hAnsi="Arial" w:cs="Arial"/>
          <w:iCs/>
          <w:sz w:val="24"/>
          <w:szCs w:val="24"/>
          <w:lang w:val="en-ZA"/>
        </w:rPr>
      </w:pPr>
    </w:p>
    <w:p w14:paraId="7EEE8F70" w14:textId="095517AC" w:rsidR="00402C0F" w:rsidRDefault="00402C0F" w:rsidP="002D14C0">
      <w:pPr>
        <w:spacing w:line="276" w:lineRule="auto"/>
        <w:contextualSpacing/>
        <w:jc w:val="both"/>
        <w:rPr>
          <w:rFonts w:ascii="Arial" w:hAnsi="Arial" w:cs="Arial"/>
          <w:iCs/>
          <w:sz w:val="24"/>
          <w:szCs w:val="24"/>
          <w:lang w:val="en-ZA"/>
        </w:rPr>
      </w:pPr>
    </w:p>
    <w:p w14:paraId="76B4D151" w14:textId="665FDB1C" w:rsidR="00A35E3A" w:rsidRPr="00224555" w:rsidRDefault="00A35E3A" w:rsidP="00A35E3A">
      <w:pPr>
        <w:spacing w:line="276" w:lineRule="auto"/>
        <w:contextualSpacing/>
        <w:jc w:val="both"/>
        <w:rPr>
          <w:rFonts w:ascii="Arial" w:hAnsi="Arial" w:cs="Arial"/>
          <w:bCs/>
          <w:iCs/>
          <w:color w:val="3B3838" w:themeColor="background2" w:themeShade="40"/>
          <w:sz w:val="24"/>
          <w:szCs w:val="24"/>
          <w:lang w:val="en-US"/>
        </w:rPr>
      </w:pPr>
      <w:r>
        <w:rPr>
          <w:rFonts w:ascii="Arial" w:hAnsi="Arial" w:cs="Arial"/>
          <w:iCs/>
          <w:noProof/>
          <w:sz w:val="24"/>
          <w:szCs w:val="24"/>
          <w:lang w:val="en-US"/>
        </w:rPr>
        <w:drawing>
          <wp:anchor distT="0" distB="0" distL="114300" distR="114300" simplePos="0" relativeHeight="252883966" behindDoc="1" locked="0" layoutInCell="1" allowOverlap="1" wp14:anchorId="60794043" wp14:editId="27BF81A3">
            <wp:simplePos x="0" y="0"/>
            <wp:positionH relativeFrom="column">
              <wp:posOffset>113665</wp:posOffset>
            </wp:positionH>
            <wp:positionV relativeFrom="paragraph">
              <wp:posOffset>81280</wp:posOffset>
            </wp:positionV>
            <wp:extent cx="1241425" cy="1651000"/>
            <wp:effectExtent l="25400" t="25400" r="92075" b="88900"/>
            <wp:wrapSquare wrapText="bothSides"/>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a:blip r:embed="rId613" cstate="screen">
                      <a:extLst>
                        <a:ext uri="{28A0092B-C50C-407E-A947-70E740481C1C}">
                          <a14:useLocalDpi xmlns:a14="http://schemas.microsoft.com/office/drawing/2010/main"/>
                        </a:ext>
                      </a:extLst>
                    </a:blip>
                    <a:stretch>
                      <a:fillRect/>
                    </a:stretch>
                  </pic:blipFill>
                  <pic:spPr>
                    <a:xfrm>
                      <a:off x="0" y="0"/>
                      <a:ext cx="1241425" cy="16510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224555">
        <w:rPr>
          <w:rFonts w:ascii="Arial" w:hAnsi="Arial" w:cs="Arial"/>
          <w:iCs/>
          <w:color w:val="3B3838" w:themeColor="background2" w:themeShade="40"/>
          <w:sz w:val="24"/>
          <w:szCs w:val="24"/>
        </w:rPr>
        <w:t xml:space="preserve">The </w:t>
      </w:r>
      <w:r w:rsidRPr="00224555">
        <w:rPr>
          <w:rFonts w:ascii="Arial" w:hAnsi="Arial" w:cs="Arial"/>
          <w:b/>
          <w:bCs/>
          <w:iCs/>
          <w:color w:val="3B3838" w:themeColor="background2" w:themeShade="40"/>
          <w:sz w:val="24"/>
          <w:szCs w:val="24"/>
        </w:rPr>
        <w:t xml:space="preserve">OECD’s </w:t>
      </w:r>
      <w:hyperlink r:id="rId614" w:history="1">
        <w:r w:rsidRPr="00224555">
          <w:rPr>
            <w:rFonts w:ascii="Arial" w:hAnsi="Arial" w:cs="Arial"/>
            <w:b/>
            <w:bCs/>
            <w:iCs/>
            <w:color w:val="3B3838" w:themeColor="background2" w:themeShade="40"/>
            <w:sz w:val="24"/>
            <w:szCs w:val="24"/>
            <w:u w:val="single"/>
          </w:rPr>
          <w:t>Budget Transparency Toolkit</w:t>
        </w:r>
      </w:hyperlink>
      <w:r w:rsidRPr="00224555">
        <w:rPr>
          <w:rFonts w:ascii="Arial" w:hAnsi="Arial" w:cs="Arial"/>
          <w:b/>
          <w:bCs/>
          <w:iCs/>
          <w:color w:val="3B3838" w:themeColor="background2" w:themeShade="40"/>
          <w:sz w:val="24"/>
          <w:szCs w:val="24"/>
        </w:rPr>
        <w:t xml:space="preserve"> (2017)</w:t>
      </w:r>
      <w:r w:rsidRPr="00224555">
        <w:rPr>
          <w:rFonts w:ascii="Arial" w:hAnsi="Arial" w:cs="Arial"/>
          <w:bCs/>
          <w:iCs/>
          <w:color w:val="3B3838" w:themeColor="background2" w:themeShade="40"/>
          <w:sz w:val="24"/>
          <w:szCs w:val="24"/>
        </w:rPr>
        <w:t xml:space="preserve"> contains a section on promoting integrity with the private sector, including opening up public contracting and procurement, accounting for revenues and expenditures in resource endowments, and managing infrastructure investment for integrity, value for money, and transparency. It also includes citations of relevant international standards, selected country examples of good practice, and sources of further guidance. </w:t>
      </w:r>
    </w:p>
    <w:p w14:paraId="11CF0F6F" w14:textId="6892035F" w:rsidR="00A35E3A" w:rsidRPr="000E1A8E" w:rsidRDefault="00A35E3A" w:rsidP="00A35E3A">
      <w:pPr>
        <w:spacing w:line="276" w:lineRule="auto"/>
        <w:rPr>
          <w:color w:val="FFFFFF" w:themeColor="background1"/>
          <w:sz w:val="23"/>
          <w:szCs w:val="23"/>
        </w:rPr>
      </w:pPr>
    </w:p>
    <w:p w14:paraId="2101BA78" w14:textId="20594895" w:rsidR="00402C0F" w:rsidRDefault="00402C0F" w:rsidP="002D14C0">
      <w:pPr>
        <w:spacing w:line="276" w:lineRule="auto"/>
        <w:contextualSpacing/>
        <w:jc w:val="both"/>
        <w:rPr>
          <w:rFonts w:ascii="Arial" w:hAnsi="Arial" w:cs="Arial"/>
          <w:iCs/>
          <w:sz w:val="24"/>
          <w:szCs w:val="24"/>
          <w:lang w:val="en-ZA"/>
        </w:rPr>
      </w:pPr>
    </w:p>
    <w:p w14:paraId="1E4C7B15" w14:textId="77777777" w:rsidR="001F1FE3" w:rsidRDefault="001F1FE3" w:rsidP="002D14C0">
      <w:pPr>
        <w:spacing w:line="276" w:lineRule="auto"/>
        <w:contextualSpacing/>
        <w:jc w:val="both"/>
        <w:rPr>
          <w:rFonts w:ascii="Arial" w:hAnsi="Arial" w:cs="Arial"/>
          <w:bCs/>
          <w:iCs/>
          <w:sz w:val="24"/>
          <w:szCs w:val="24"/>
        </w:rPr>
      </w:pPr>
    </w:p>
    <w:p w14:paraId="2C65323F" w14:textId="29DA3823" w:rsidR="00402C0F" w:rsidRDefault="00402C0F" w:rsidP="002D14C0">
      <w:pPr>
        <w:spacing w:line="276" w:lineRule="auto"/>
        <w:contextualSpacing/>
        <w:jc w:val="both"/>
        <w:rPr>
          <w:rFonts w:ascii="Arial" w:hAnsi="Arial" w:cs="Arial"/>
          <w:bCs/>
          <w:iCs/>
          <w:sz w:val="24"/>
          <w:szCs w:val="24"/>
        </w:rPr>
      </w:pPr>
      <w:r w:rsidRPr="00315C73">
        <w:rPr>
          <w:rFonts w:ascii="Arial" w:hAnsi="Arial" w:cs="Arial"/>
          <w:bCs/>
          <w:iCs/>
          <w:sz w:val="24"/>
          <w:szCs w:val="24"/>
        </w:rPr>
        <w:t>There are also several focused norms and standards providing sector-specific guidance, for example in respect of public procurement and construction:</w:t>
      </w:r>
    </w:p>
    <w:p w14:paraId="48990E8F" w14:textId="77777777" w:rsidR="0000264D" w:rsidRDefault="0000264D" w:rsidP="001E3046">
      <w:pPr>
        <w:spacing w:line="276" w:lineRule="auto"/>
        <w:contextualSpacing/>
        <w:jc w:val="right"/>
        <w:rPr>
          <w:rFonts w:ascii="Arial" w:hAnsi="Arial" w:cs="Arial"/>
          <w:bCs/>
          <w:iCs/>
          <w:sz w:val="24"/>
          <w:szCs w:val="24"/>
        </w:rPr>
      </w:pPr>
    </w:p>
    <w:p w14:paraId="41455961" w14:textId="77777777" w:rsidR="00402C0F" w:rsidRDefault="00402C0F" w:rsidP="002D14C0">
      <w:pPr>
        <w:spacing w:line="276" w:lineRule="auto"/>
        <w:contextualSpacing/>
        <w:jc w:val="both"/>
        <w:rPr>
          <w:rFonts w:ascii="Arial" w:hAnsi="Arial" w:cs="Arial"/>
          <w:bCs/>
          <w:iCs/>
          <w:sz w:val="24"/>
          <w:szCs w:val="24"/>
        </w:rPr>
      </w:pPr>
      <w:r>
        <w:rPr>
          <w:rFonts w:ascii="Arial" w:hAnsi="Arial" w:cs="Arial"/>
          <w:b/>
          <w:noProof/>
          <w:sz w:val="24"/>
          <w:szCs w:val="24"/>
          <w:lang w:val="en-US"/>
        </w:rPr>
        <mc:AlternateContent>
          <mc:Choice Requires="wps">
            <w:drawing>
              <wp:anchor distT="0" distB="0" distL="114300" distR="114300" simplePos="0" relativeHeight="252890110" behindDoc="0" locked="0" layoutInCell="1" allowOverlap="1" wp14:anchorId="3E113331" wp14:editId="34E5AC81">
                <wp:simplePos x="0" y="0"/>
                <wp:positionH relativeFrom="margin">
                  <wp:posOffset>1235710</wp:posOffset>
                </wp:positionH>
                <wp:positionV relativeFrom="paragraph">
                  <wp:posOffset>104140</wp:posOffset>
                </wp:positionV>
                <wp:extent cx="4174490" cy="300355"/>
                <wp:effectExtent l="0" t="0" r="0" b="0"/>
                <wp:wrapNone/>
                <wp:docPr id="750" name="Text Box 750"/>
                <wp:cNvGraphicFramePr/>
                <a:graphic xmlns:a="http://schemas.openxmlformats.org/drawingml/2006/main">
                  <a:graphicData uri="http://schemas.microsoft.com/office/word/2010/wordprocessingShape">
                    <wps:wsp>
                      <wps:cNvSpPr txBox="1"/>
                      <wps:spPr>
                        <a:xfrm>
                          <a:off x="0" y="0"/>
                          <a:ext cx="4174490" cy="300355"/>
                        </a:xfrm>
                        <a:prstGeom prst="rect">
                          <a:avLst/>
                        </a:prstGeom>
                        <a:noFill/>
                        <a:ln w="6350">
                          <a:noFill/>
                        </a:ln>
                      </wps:spPr>
                      <wps:txbx>
                        <w:txbxContent>
                          <w:p w14:paraId="456201EF" w14:textId="5CF57AFD" w:rsidR="00D15FD8" w:rsidRPr="00113B02" w:rsidRDefault="00D15FD8" w:rsidP="002D14C0">
                            <w:pPr>
                              <w:pStyle w:val="Heading3"/>
                              <w:jc w:val="center"/>
                              <w:rPr>
                                <w:rFonts w:ascii="Arial" w:hAnsi="Arial" w:cs="Arial"/>
                                <w:b/>
                                <w:bCs/>
                                <w:color w:val="FFFFFF" w:themeColor="background1"/>
                                <w:lang w:val="en-US"/>
                              </w:rPr>
                            </w:pPr>
                            <w:bookmarkStart w:id="1425" w:name="_Toc123204490"/>
                            <w:bookmarkStart w:id="1426" w:name="_Toc123216590"/>
                            <w:bookmarkStart w:id="1427" w:name="_Toc123217430"/>
                            <w:bookmarkStart w:id="1428" w:name="_Toc123828183"/>
                            <w:bookmarkStart w:id="1429" w:name="_Toc123828393"/>
                            <w:bookmarkStart w:id="1430" w:name="_Toc123828589"/>
                            <w:bookmarkStart w:id="1431" w:name="_Toc123912616"/>
                            <w:bookmarkStart w:id="1432" w:name="_Toc123912875"/>
                            <w:bookmarkStart w:id="1433" w:name="_Toc123913102"/>
                            <w:bookmarkStart w:id="1434" w:name="_Toc123913393"/>
                            <w:bookmarkStart w:id="1435" w:name="_Toc123914049"/>
                            <w:bookmarkStart w:id="1436" w:name="_Toc125566663"/>
                            <w:r>
                              <w:rPr>
                                <w:rFonts w:ascii="Arial" w:hAnsi="Arial" w:cs="Arial"/>
                                <w:b/>
                                <w:bCs/>
                                <w:color w:val="FFFFFF" w:themeColor="background1"/>
                                <w:lang w:val="en-US"/>
                              </w:rPr>
                              <w:t>Public procurement</w:t>
                            </w:r>
                            <w:bookmarkEnd w:id="1425"/>
                            <w:bookmarkEnd w:id="1426"/>
                            <w:bookmarkEnd w:id="1427"/>
                            <w:bookmarkEnd w:id="1428"/>
                            <w:bookmarkEnd w:id="1429"/>
                            <w:bookmarkEnd w:id="1430"/>
                            <w:bookmarkEnd w:id="1431"/>
                            <w:bookmarkEnd w:id="1432"/>
                            <w:bookmarkEnd w:id="1433"/>
                            <w:bookmarkEnd w:id="1434"/>
                            <w:bookmarkEnd w:id="1435"/>
                            <w:bookmarkEnd w:id="14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13331" id="Text Box 750" o:spid="_x0000_s1336" type="#_x0000_t202" style="position:absolute;left:0;text-align:left;margin-left:97.3pt;margin-top:8.2pt;width:328.7pt;height:23.65pt;z-index:2528901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" filled="f" stroked="f" strokeweight=".5pt">
                <v:textbox>
                  <w:txbxContent>
                    <w:p w14:paraId="456201EF" w14:textId="5CF57AFD" w:rsidR="00D15FD8" w:rsidRPr="00113B02" w:rsidRDefault="00D15FD8" w:rsidP="002D14C0">
                      <w:pPr>
                        <w:pStyle w:val="Heading3"/>
                        <w:jc w:val="center"/>
                        <w:rPr>
                          <w:rFonts w:ascii="Arial" w:hAnsi="Arial" w:cs="Arial"/>
                          <w:b/>
                          <w:bCs/>
                          <w:color w:val="FFFFFF" w:themeColor="background1"/>
                          <w:lang w:val="en-US"/>
                        </w:rPr>
                      </w:pPr>
                      <w:bookmarkStart w:id="1437" w:name="_Toc123204490"/>
                      <w:bookmarkStart w:id="1438" w:name="_Toc123216590"/>
                      <w:bookmarkStart w:id="1439" w:name="_Toc123217430"/>
                      <w:bookmarkStart w:id="1440" w:name="_Toc123828183"/>
                      <w:bookmarkStart w:id="1441" w:name="_Toc123828393"/>
                      <w:bookmarkStart w:id="1442" w:name="_Toc123828589"/>
                      <w:bookmarkStart w:id="1443" w:name="_Toc123912616"/>
                      <w:bookmarkStart w:id="1444" w:name="_Toc123912875"/>
                      <w:bookmarkStart w:id="1445" w:name="_Toc123913102"/>
                      <w:bookmarkStart w:id="1446" w:name="_Toc123913393"/>
                      <w:bookmarkStart w:id="1447" w:name="_Toc123914049"/>
                      <w:bookmarkStart w:id="1448" w:name="_Toc125566663"/>
                      <w:r>
                        <w:rPr>
                          <w:rFonts w:ascii="Arial" w:hAnsi="Arial" w:cs="Arial"/>
                          <w:b/>
                          <w:bCs/>
                          <w:color w:val="FFFFFF" w:themeColor="background1"/>
                          <w:lang w:val="en-US"/>
                        </w:rPr>
                        <w:t>Public procurement</w:t>
                      </w:r>
                      <w:bookmarkEnd w:id="1437"/>
                      <w:bookmarkEnd w:id="1438"/>
                      <w:bookmarkEnd w:id="1439"/>
                      <w:bookmarkEnd w:id="1440"/>
                      <w:bookmarkEnd w:id="1441"/>
                      <w:bookmarkEnd w:id="1442"/>
                      <w:bookmarkEnd w:id="1443"/>
                      <w:bookmarkEnd w:id="1444"/>
                      <w:bookmarkEnd w:id="1445"/>
                      <w:bookmarkEnd w:id="1446"/>
                      <w:bookmarkEnd w:id="1447"/>
                      <w:bookmarkEnd w:id="1448"/>
                    </w:p>
                  </w:txbxContent>
                </v:textbox>
                <w10:wrap anchorx="margin"/>
              </v:shape>
            </w:pict>
          </mc:Fallback>
        </mc:AlternateContent>
      </w:r>
      <w:r>
        <w:rPr>
          <w:rFonts w:ascii="Arial" w:hAnsi="Arial" w:cs="Arial"/>
          <w:b/>
          <w:noProof/>
          <w:sz w:val="24"/>
          <w:szCs w:val="24"/>
          <w:lang w:val="en-US"/>
        </w:rPr>
        <mc:AlternateContent>
          <mc:Choice Requires="wps">
            <w:drawing>
              <wp:anchor distT="0" distB="0" distL="114300" distR="114300" simplePos="0" relativeHeight="252889086" behindDoc="0" locked="0" layoutInCell="1" allowOverlap="1" wp14:anchorId="6A179233" wp14:editId="2550975B">
                <wp:simplePos x="0" y="0"/>
                <wp:positionH relativeFrom="margin">
                  <wp:align>center</wp:align>
                </wp:positionH>
                <wp:positionV relativeFrom="paragraph">
                  <wp:posOffset>81280</wp:posOffset>
                </wp:positionV>
                <wp:extent cx="6614160" cy="363855"/>
                <wp:effectExtent l="0" t="0" r="2540" b="4445"/>
                <wp:wrapNone/>
                <wp:docPr id="749" name="Rounded Rectangle 749"/>
                <wp:cNvGraphicFramePr/>
                <a:graphic xmlns:a="http://schemas.openxmlformats.org/drawingml/2006/main">
                  <a:graphicData uri="http://schemas.microsoft.com/office/word/2010/wordprocessingShape">
                    <wps:wsp>
                      <wps:cNvSpPr/>
                      <wps:spPr>
                        <a:xfrm>
                          <a:off x="0" y="0"/>
                          <a:ext cx="6614160" cy="363855"/>
                        </a:xfrm>
                        <a:prstGeom prst="roundRect">
                          <a:avLst/>
                        </a:prstGeom>
                        <a:solidFill>
                          <a:srgbClr val="F8A13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451A63D" id="Rounded Rectangle 749" o:spid="_x0000_s1026" style="position:absolute;margin-left:0;margin-top:6.4pt;width:520.8pt;height:28.65pt;z-index:25288908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" fillcolor="#f8a132" stroked="f" strokeweight="1pt">
                <v:stroke joinstyle="miter"/>
                <w10:wrap anchorx="margin"/>
              </v:roundrect>
            </w:pict>
          </mc:Fallback>
        </mc:AlternateContent>
      </w:r>
    </w:p>
    <w:p w14:paraId="1C82A473" w14:textId="77777777" w:rsidR="00402C0F" w:rsidRDefault="00402C0F" w:rsidP="002D14C0">
      <w:pPr>
        <w:spacing w:line="276" w:lineRule="auto"/>
        <w:contextualSpacing/>
        <w:jc w:val="both"/>
        <w:rPr>
          <w:rFonts w:ascii="Arial" w:hAnsi="Arial" w:cs="Arial"/>
          <w:bCs/>
          <w:iCs/>
          <w:sz w:val="24"/>
          <w:szCs w:val="24"/>
        </w:rPr>
      </w:pPr>
    </w:p>
    <w:p w14:paraId="5AEB8AD2" w14:textId="77777777" w:rsidR="00402C0F" w:rsidRPr="00315C73" w:rsidRDefault="00402C0F" w:rsidP="002D14C0">
      <w:pPr>
        <w:spacing w:line="276" w:lineRule="auto"/>
        <w:contextualSpacing/>
        <w:jc w:val="both"/>
        <w:rPr>
          <w:rFonts w:ascii="Arial" w:hAnsi="Arial" w:cs="Arial"/>
          <w:bCs/>
          <w:iCs/>
          <w:sz w:val="24"/>
          <w:szCs w:val="24"/>
        </w:rPr>
      </w:pPr>
    </w:p>
    <w:p w14:paraId="1939793A" w14:textId="3B4155FD" w:rsidR="00402C0F" w:rsidRDefault="00402C0F" w:rsidP="002D14C0">
      <w:pPr>
        <w:numPr>
          <w:ilvl w:val="0"/>
          <w:numId w:val="73"/>
        </w:numPr>
        <w:spacing w:line="276" w:lineRule="auto"/>
        <w:ind w:left="306" w:hanging="306"/>
        <w:contextualSpacing/>
        <w:jc w:val="both"/>
        <w:rPr>
          <w:rFonts w:ascii="Arial" w:hAnsi="Arial" w:cs="Arial"/>
          <w:iCs/>
          <w:sz w:val="24"/>
          <w:szCs w:val="24"/>
        </w:rPr>
      </w:pPr>
      <w:r w:rsidRPr="00315C73">
        <w:rPr>
          <w:rFonts w:ascii="Arial" w:hAnsi="Arial" w:cs="Arial"/>
          <w:iCs/>
          <w:sz w:val="24"/>
          <w:szCs w:val="24"/>
        </w:rPr>
        <w:t>The</w:t>
      </w:r>
      <w:r w:rsidRPr="00315C73">
        <w:rPr>
          <w:rFonts w:ascii="Arial" w:hAnsi="Arial" w:cs="Arial"/>
          <w:i/>
          <w:iCs/>
          <w:sz w:val="24"/>
          <w:szCs w:val="24"/>
        </w:rPr>
        <w:t xml:space="preserve"> </w:t>
      </w:r>
      <w:r w:rsidRPr="00315C73">
        <w:rPr>
          <w:rFonts w:ascii="Arial" w:hAnsi="Arial" w:cs="Arial"/>
          <w:bCs/>
          <w:sz w:val="24"/>
          <w:szCs w:val="24"/>
        </w:rPr>
        <w:t xml:space="preserve">OECD has a </w:t>
      </w:r>
      <w:hyperlink r:id="rId615" w:history="1">
        <w:r w:rsidRPr="00315C73">
          <w:rPr>
            <w:rFonts w:ascii="Arial" w:hAnsi="Arial" w:cs="Arial"/>
            <w:iCs/>
            <w:color w:val="0563C1" w:themeColor="hyperlink"/>
            <w:sz w:val="24"/>
            <w:szCs w:val="24"/>
            <w:u w:val="single"/>
          </w:rPr>
          <w:t>Recommendation on Public Procurement</w:t>
        </w:r>
      </w:hyperlink>
      <w:r w:rsidRPr="00315C73">
        <w:rPr>
          <w:rFonts w:ascii="Arial" w:hAnsi="Arial" w:cs="Arial"/>
          <w:iCs/>
          <w:sz w:val="24"/>
          <w:szCs w:val="24"/>
        </w:rPr>
        <w:t xml:space="preserve"> and a </w:t>
      </w:r>
      <w:hyperlink r:id="rId616" w:history="1">
        <w:r w:rsidRPr="00315C73">
          <w:rPr>
            <w:rFonts w:ascii="Arial" w:hAnsi="Arial" w:cs="Arial"/>
            <w:iCs/>
            <w:color w:val="0563C1" w:themeColor="hyperlink"/>
            <w:sz w:val="24"/>
            <w:szCs w:val="24"/>
            <w:u w:val="single"/>
          </w:rPr>
          <w:t>Government Procurement Toolbox</w:t>
        </w:r>
      </w:hyperlink>
      <w:r w:rsidRPr="00315C73">
        <w:rPr>
          <w:rFonts w:ascii="Arial" w:hAnsi="Arial" w:cs="Arial"/>
          <w:iCs/>
          <w:sz w:val="24"/>
          <w:szCs w:val="24"/>
        </w:rPr>
        <w:t xml:space="preserve">. There are also </w:t>
      </w:r>
      <w:hyperlink r:id="rId617" w:history="1">
        <w:r w:rsidRPr="00315C73">
          <w:rPr>
            <w:rFonts w:ascii="Arial" w:hAnsi="Arial" w:cs="Arial"/>
            <w:iCs/>
            <w:color w:val="0563C1" w:themeColor="hyperlink"/>
            <w:sz w:val="24"/>
            <w:szCs w:val="24"/>
            <w:u w:val="single"/>
          </w:rPr>
          <w:t>G20 Guiding Principles on Integrity in Public Procurement</w:t>
        </w:r>
      </w:hyperlink>
      <w:r w:rsidRPr="00315C73">
        <w:rPr>
          <w:rFonts w:ascii="Arial" w:hAnsi="Arial" w:cs="Arial"/>
          <w:iCs/>
          <w:sz w:val="24"/>
          <w:szCs w:val="24"/>
        </w:rPr>
        <w:t xml:space="preserve"> (2015)]. The </w:t>
      </w:r>
      <w:r w:rsidRPr="00315C73">
        <w:rPr>
          <w:rFonts w:ascii="Arial" w:hAnsi="Arial" w:cs="Arial"/>
          <w:bCs/>
          <w:iCs/>
          <w:sz w:val="24"/>
          <w:szCs w:val="24"/>
        </w:rPr>
        <w:t>Open Contracting Partnership’s</w:t>
      </w:r>
      <w:r w:rsidRPr="00315C73">
        <w:rPr>
          <w:rFonts w:ascii="Arial" w:hAnsi="Arial" w:cs="Arial"/>
          <w:iCs/>
          <w:sz w:val="24"/>
          <w:szCs w:val="24"/>
        </w:rPr>
        <w:t xml:space="preserve"> </w:t>
      </w:r>
      <w:hyperlink r:id="rId618" w:anchor=":~:text=The%20Open%20Contracting%20Data%20Standard,a%20wide%20range%20of%20users." w:history="1">
        <w:r w:rsidRPr="00315C73">
          <w:rPr>
            <w:rFonts w:ascii="Arial" w:hAnsi="Arial" w:cs="Arial"/>
            <w:iCs/>
            <w:color w:val="0563C1" w:themeColor="hyperlink"/>
            <w:sz w:val="24"/>
            <w:szCs w:val="24"/>
            <w:u w:val="single"/>
          </w:rPr>
          <w:t>Open Contracting Data Standard</w:t>
        </w:r>
      </w:hyperlink>
      <w:r w:rsidRPr="00315C73">
        <w:rPr>
          <w:rFonts w:ascii="Arial" w:hAnsi="Arial" w:cs="Arial"/>
          <w:iCs/>
          <w:sz w:val="24"/>
          <w:szCs w:val="24"/>
        </w:rPr>
        <w:t xml:space="preserve"> (OCDS) enables disclosure of data and documents at all stages of the contracting process by defining a common data model. It was created to support organizations to increase contracting transparency, and allow deeper analysis of contracting data by a wide range of users. It enables publication of shareable, reusable, machine readable data, joining of that data with related information, and </w:t>
      </w:r>
      <w:r w:rsidR="007E6DCE">
        <w:rPr>
          <w:rFonts w:ascii="Arial" w:hAnsi="Arial" w:cs="Arial"/>
          <w:iCs/>
          <w:sz w:val="24"/>
          <w:szCs w:val="24"/>
        </w:rPr>
        <w:t xml:space="preserve">the </w:t>
      </w:r>
      <w:r w:rsidRPr="00315C73">
        <w:rPr>
          <w:rFonts w:ascii="Arial" w:hAnsi="Arial" w:cs="Arial"/>
          <w:iCs/>
          <w:sz w:val="24"/>
          <w:szCs w:val="24"/>
        </w:rPr>
        <w:t xml:space="preserve">creation of tools to analyse or share that data. Good practices are then described in its </w:t>
      </w:r>
      <w:hyperlink r:id="rId619" w:history="1">
        <w:r w:rsidRPr="00315C73">
          <w:rPr>
            <w:rFonts w:ascii="Arial" w:hAnsi="Arial" w:cs="Arial"/>
            <w:iCs/>
            <w:color w:val="0563C1" w:themeColor="hyperlink"/>
            <w:sz w:val="24"/>
            <w:szCs w:val="24"/>
            <w:u w:val="single"/>
          </w:rPr>
          <w:t>Open Contracting – A Guide for Practitioners by Practitioners</w:t>
        </w:r>
      </w:hyperlink>
      <w:r w:rsidRPr="00315C73">
        <w:rPr>
          <w:rFonts w:ascii="Arial" w:hAnsi="Arial" w:cs="Arial"/>
          <w:iCs/>
          <w:sz w:val="24"/>
          <w:szCs w:val="24"/>
        </w:rPr>
        <w:t>.</w:t>
      </w:r>
    </w:p>
    <w:p w14:paraId="4CEC5EDE" w14:textId="77777777" w:rsidR="00402C0F" w:rsidRDefault="00402C0F" w:rsidP="002D14C0">
      <w:pPr>
        <w:spacing w:line="276" w:lineRule="auto"/>
        <w:ind w:left="306"/>
        <w:contextualSpacing/>
        <w:jc w:val="both"/>
        <w:rPr>
          <w:rFonts w:ascii="Arial" w:hAnsi="Arial" w:cs="Arial"/>
          <w:iCs/>
          <w:sz w:val="24"/>
          <w:szCs w:val="24"/>
        </w:rPr>
      </w:pPr>
      <w:r>
        <w:rPr>
          <w:rFonts w:ascii="Arial" w:hAnsi="Arial" w:cs="Arial"/>
          <w:b/>
          <w:noProof/>
          <w:sz w:val="24"/>
          <w:szCs w:val="24"/>
          <w:lang w:val="en-US"/>
        </w:rPr>
        <mc:AlternateContent>
          <mc:Choice Requires="wps">
            <w:drawing>
              <wp:anchor distT="0" distB="0" distL="114300" distR="114300" simplePos="0" relativeHeight="252892158" behindDoc="0" locked="0" layoutInCell="1" allowOverlap="1" wp14:anchorId="1FCB35F5" wp14:editId="51E1BECF">
                <wp:simplePos x="0" y="0"/>
                <wp:positionH relativeFrom="margin">
                  <wp:posOffset>1235710</wp:posOffset>
                </wp:positionH>
                <wp:positionV relativeFrom="paragraph">
                  <wp:posOffset>149225</wp:posOffset>
                </wp:positionV>
                <wp:extent cx="4174490" cy="300355"/>
                <wp:effectExtent l="0" t="0" r="0" b="0"/>
                <wp:wrapNone/>
                <wp:docPr id="752" name="Text Box 752"/>
                <wp:cNvGraphicFramePr/>
                <a:graphic xmlns:a="http://schemas.openxmlformats.org/drawingml/2006/main">
                  <a:graphicData uri="http://schemas.microsoft.com/office/word/2010/wordprocessingShape">
                    <wps:wsp>
                      <wps:cNvSpPr txBox="1"/>
                      <wps:spPr>
                        <a:xfrm>
                          <a:off x="0" y="0"/>
                          <a:ext cx="4174490" cy="300355"/>
                        </a:xfrm>
                        <a:prstGeom prst="rect">
                          <a:avLst/>
                        </a:prstGeom>
                        <a:noFill/>
                        <a:ln w="6350">
                          <a:noFill/>
                        </a:ln>
                      </wps:spPr>
                      <wps:txbx>
                        <w:txbxContent>
                          <w:p w14:paraId="5BF1039E" w14:textId="77777777" w:rsidR="00D15FD8" w:rsidRPr="00113B02" w:rsidRDefault="00D15FD8" w:rsidP="002D14C0">
                            <w:pPr>
                              <w:pStyle w:val="Heading3"/>
                              <w:jc w:val="center"/>
                              <w:rPr>
                                <w:rFonts w:ascii="Arial" w:hAnsi="Arial" w:cs="Arial"/>
                                <w:b/>
                                <w:bCs/>
                                <w:color w:val="FFFFFF" w:themeColor="background1"/>
                                <w:lang w:val="en-US"/>
                              </w:rPr>
                            </w:pPr>
                            <w:bookmarkStart w:id="1449" w:name="_Toc123204491"/>
                            <w:bookmarkStart w:id="1450" w:name="_Toc123216591"/>
                            <w:bookmarkStart w:id="1451" w:name="_Toc123217431"/>
                            <w:bookmarkStart w:id="1452" w:name="_Toc123828184"/>
                            <w:bookmarkStart w:id="1453" w:name="_Toc123828394"/>
                            <w:bookmarkStart w:id="1454" w:name="_Toc123828590"/>
                            <w:bookmarkStart w:id="1455" w:name="_Toc123912617"/>
                            <w:bookmarkStart w:id="1456" w:name="_Toc123912876"/>
                            <w:bookmarkStart w:id="1457" w:name="_Toc123913103"/>
                            <w:bookmarkStart w:id="1458" w:name="_Toc123913394"/>
                            <w:bookmarkStart w:id="1459" w:name="_Toc123914050"/>
                            <w:bookmarkStart w:id="1460" w:name="_Toc125566664"/>
                            <w:r>
                              <w:rPr>
                                <w:rFonts w:ascii="Arial" w:hAnsi="Arial" w:cs="Arial"/>
                                <w:b/>
                                <w:bCs/>
                                <w:color w:val="FFFFFF" w:themeColor="background1"/>
                                <w:lang w:val="en-US"/>
                              </w:rPr>
                              <w:t>Construction</w:t>
                            </w:r>
                            <w:bookmarkEnd w:id="1449"/>
                            <w:bookmarkEnd w:id="1450"/>
                            <w:bookmarkEnd w:id="1451"/>
                            <w:bookmarkEnd w:id="1452"/>
                            <w:bookmarkEnd w:id="1453"/>
                            <w:bookmarkEnd w:id="1454"/>
                            <w:bookmarkEnd w:id="1455"/>
                            <w:bookmarkEnd w:id="1456"/>
                            <w:bookmarkEnd w:id="1457"/>
                            <w:bookmarkEnd w:id="1458"/>
                            <w:bookmarkEnd w:id="1459"/>
                            <w:bookmarkEnd w:id="146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B35F5" id="Text Box 752" o:spid="_x0000_s1337" type="#_x0000_t202" style="position:absolute;left:0;text-align:left;margin-left:97.3pt;margin-top:11.75pt;width:328.7pt;height:23.65pt;z-index:2528921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" filled="f" stroked="f" strokeweight=".5pt">
                <v:textbox>
                  <w:txbxContent>
                    <w:p w14:paraId="5BF1039E" w14:textId="77777777" w:rsidR="00D15FD8" w:rsidRPr="00113B02" w:rsidRDefault="00D15FD8" w:rsidP="002D14C0">
                      <w:pPr>
                        <w:pStyle w:val="Heading3"/>
                        <w:jc w:val="center"/>
                        <w:rPr>
                          <w:rFonts w:ascii="Arial" w:hAnsi="Arial" w:cs="Arial"/>
                          <w:b/>
                          <w:bCs/>
                          <w:color w:val="FFFFFF" w:themeColor="background1"/>
                          <w:lang w:val="en-US"/>
                        </w:rPr>
                      </w:pPr>
                      <w:bookmarkStart w:id="1461" w:name="_Toc123204491"/>
                      <w:bookmarkStart w:id="1462" w:name="_Toc123216591"/>
                      <w:bookmarkStart w:id="1463" w:name="_Toc123217431"/>
                      <w:bookmarkStart w:id="1464" w:name="_Toc123828184"/>
                      <w:bookmarkStart w:id="1465" w:name="_Toc123828394"/>
                      <w:bookmarkStart w:id="1466" w:name="_Toc123828590"/>
                      <w:bookmarkStart w:id="1467" w:name="_Toc123912617"/>
                      <w:bookmarkStart w:id="1468" w:name="_Toc123912876"/>
                      <w:bookmarkStart w:id="1469" w:name="_Toc123913103"/>
                      <w:bookmarkStart w:id="1470" w:name="_Toc123913394"/>
                      <w:bookmarkStart w:id="1471" w:name="_Toc123914050"/>
                      <w:bookmarkStart w:id="1472" w:name="_Toc125566664"/>
                      <w:r>
                        <w:rPr>
                          <w:rFonts w:ascii="Arial" w:hAnsi="Arial" w:cs="Arial"/>
                          <w:b/>
                          <w:bCs/>
                          <w:color w:val="FFFFFF" w:themeColor="background1"/>
                          <w:lang w:val="en-US"/>
                        </w:rPr>
                        <w:t>Construction</w:t>
                      </w:r>
                      <w:bookmarkEnd w:id="1461"/>
                      <w:bookmarkEnd w:id="1462"/>
                      <w:bookmarkEnd w:id="1463"/>
                      <w:bookmarkEnd w:id="1464"/>
                      <w:bookmarkEnd w:id="1465"/>
                      <w:bookmarkEnd w:id="1466"/>
                      <w:bookmarkEnd w:id="1467"/>
                      <w:bookmarkEnd w:id="1468"/>
                      <w:bookmarkEnd w:id="1469"/>
                      <w:bookmarkEnd w:id="1470"/>
                      <w:bookmarkEnd w:id="1471"/>
                      <w:bookmarkEnd w:id="1472"/>
                    </w:p>
                  </w:txbxContent>
                </v:textbox>
                <w10:wrap anchorx="margin"/>
              </v:shape>
            </w:pict>
          </mc:Fallback>
        </mc:AlternateContent>
      </w:r>
      <w:r>
        <w:rPr>
          <w:rFonts w:ascii="Arial" w:hAnsi="Arial" w:cs="Arial"/>
          <w:b/>
          <w:noProof/>
          <w:sz w:val="24"/>
          <w:szCs w:val="24"/>
          <w:lang w:val="en-US"/>
        </w:rPr>
        <mc:AlternateContent>
          <mc:Choice Requires="wps">
            <w:drawing>
              <wp:anchor distT="0" distB="0" distL="114300" distR="114300" simplePos="0" relativeHeight="252891134" behindDoc="0" locked="0" layoutInCell="1" allowOverlap="1" wp14:anchorId="5C61FDFD" wp14:editId="3659B73D">
                <wp:simplePos x="0" y="0"/>
                <wp:positionH relativeFrom="margin">
                  <wp:align>center</wp:align>
                </wp:positionH>
                <wp:positionV relativeFrom="paragraph">
                  <wp:posOffset>114300</wp:posOffset>
                </wp:positionV>
                <wp:extent cx="6614160" cy="363855"/>
                <wp:effectExtent l="0" t="0" r="2540" b="4445"/>
                <wp:wrapNone/>
                <wp:docPr id="751" name="Rounded Rectangle 751"/>
                <wp:cNvGraphicFramePr/>
                <a:graphic xmlns:a="http://schemas.openxmlformats.org/drawingml/2006/main">
                  <a:graphicData uri="http://schemas.microsoft.com/office/word/2010/wordprocessingShape">
                    <wps:wsp>
                      <wps:cNvSpPr/>
                      <wps:spPr>
                        <a:xfrm>
                          <a:off x="0" y="0"/>
                          <a:ext cx="6614160" cy="363855"/>
                        </a:xfrm>
                        <a:prstGeom prst="roundRect">
                          <a:avLst/>
                        </a:prstGeom>
                        <a:solidFill>
                          <a:srgbClr val="F8A13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51CFC76" id="Rounded Rectangle 751" o:spid="_x0000_s1026" style="position:absolute;margin-left:0;margin-top:9pt;width:520.8pt;height:28.65pt;z-index:2528911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" fillcolor="#f8a132" stroked="f" strokeweight="1pt">
                <v:stroke joinstyle="miter"/>
                <w10:wrap anchorx="margin"/>
              </v:roundrect>
            </w:pict>
          </mc:Fallback>
        </mc:AlternateContent>
      </w:r>
    </w:p>
    <w:p w14:paraId="2300385A" w14:textId="77777777" w:rsidR="00402C0F" w:rsidRDefault="00402C0F" w:rsidP="002D14C0">
      <w:pPr>
        <w:spacing w:line="276" w:lineRule="auto"/>
        <w:contextualSpacing/>
        <w:jc w:val="both"/>
        <w:rPr>
          <w:rFonts w:ascii="Arial" w:hAnsi="Arial" w:cs="Arial"/>
          <w:iCs/>
          <w:sz w:val="24"/>
          <w:szCs w:val="24"/>
        </w:rPr>
      </w:pPr>
    </w:p>
    <w:p w14:paraId="5A7E9608" w14:textId="77777777" w:rsidR="00402C0F" w:rsidRPr="00315C73" w:rsidRDefault="00402C0F" w:rsidP="002D14C0">
      <w:pPr>
        <w:spacing w:line="276" w:lineRule="auto"/>
        <w:contextualSpacing/>
        <w:jc w:val="both"/>
        <w:rPr>
          <w:rFonts w:ascii="Arial" w:hAnsi="Arial" w:cs="Arial"/>
          <w:iCs/>
          <w:sz w:val="24"/>
          <w:szCs w:val="24"/>
        </w:rPr>
      </w:pPr>
    </w:p>
    <w:p w14:paraId="454E99BB" w14:textId="77777777" w:rsidR="00402C0F" w:rsidRPr="00315C73" w:rsidRDefault="00402C0F" w:rsidP="002D14C0">
      <w:pPr>
        <w:numPr>
          <w:ilvl w:val="0"/>
          <w:numId w:val="73"/>
        </w:numPr>
        <w:spacing w:line="276" w:lineRule="auto"/>
        <w:ind w:left="306" w:hanging="306"/>
        <w:contextualSpacing/>
        <w:jc w:val="both"/>
        <w:rPr>
          <w:rFonts w:ascii="Arial" w:hAnsi="Arial" w:cs="Arial"/>
          <w:iCs/>
          <w:sz w:val="24"/>
          <w:szCs w:val="24"/>
          <w:lang w:val="en-ZA"/>
        </w:rPr>
      </w:pPr>
      <w:r w:rsidRPr="00315C73">
        <w:rPr>
          <w:rFonts w:ascii="Arial" w:hAnsi="Arial" w:cs="Arial"/>
          <w:iCs/>
          <w:sz w:val="24"/>
          <w:szCs w:val="24"/>
        </w:rPr>
        <w:t>The</w:t>
      </w:r>
      <w:r w:rsidRPr="00315C73">
        <w:rPr>
          <w:rFonts w:ascii="Arial" w:hAnsi="Arial" w:cs="Arial"/>
          <w:i/>
          <w:iCs/>
          <w:sz w:val="24"/>
          <w:szCs w:val="24"/>
        </w:rPr>
        <w:t xml:space="preserve"> </w:t>
      </w:r>
      <w:hyperlink r:id="rId620" w:history="1">
        <w:r w:rsidRPr="00315C73">
          <w:rPr>
            <w:rFonts w:ascii="Arial" w:hAnsi="Arial" w:cs="Arial"/>
            <w:iCs/>
            <w:color w:val="0563C1" w:themeColor="hyperlink"/>
            <w:sz w:val="24"/>
            <w:szCs w:val="24"/>
            <w:u w:val="single"/>
          </w:rPr>
          <w:t>Construction Sector Transparency Initiative</w:t>
        </w:r>
      </w:hyperlink>
      <w:r w:rsidRPr="00315C73">
        <w:rPr>
          <w:rFonts w:ascii="Arial" w:hAnsi="Arial" w:cs="Arial"/>
          <w:iCs/>
          <w:sz w:val="24"/>
          <w:szCs w:val="24"/>
        </w:rPr>
        <w:t xml:space="preserve"> (</w:t>
      </w:r>
      <w:proofErr w:type="spellStart"/>
      <w:r w:rsidRPr="00315C73">
        <w:rPr>
          <w:rFonts w:ascii="Arial" w:hAnsi="Arial" w:cs="Arial"/>
          <w:iCs/>
          <w:sz w:val="24"/>
          <w:szCs w:val="24"/>
        </w:rPr>
        <w:t>CoST</w:t>
      </w:r>
      <w:proofErr w:type="spellEnd"/>
      <w:r w:rsidRPr="00315C73">
        <w:rPr>
          <w:rFonts w:ascii="Arial" w:hAnsi="Arial" w:cs="Arial"/>
          <w:iCs/>
          <w:sz w:val="24"/>
          <w:szCs w:val="24"/>
        </w:rPr>
        <w:t xml:space="preserve">) is a country-centred initiative designed to promote transparency and accountability in publicly financed construction. The World Bank’s guidance notes for all aspects of Public Private Partnerships (PPPs) includes a </w:t>
      </w:r>
      <w:hyperlink r:id="rId621" w:history="1">
        <w:r w:rsidRPr="00315C73">
          <w:rPr>
            <w:rFonts w:ascii="Arial" w:hAnsi="Arial" w:cs="Arial"/>
            <w:iCs/>
            <w:color w:val="0563C1" w:themeColor="hyperlink"/>
            <w:sz w:val="24"/>
            <w:szCs w:val="24"/>
            <w:u w:val="single"/>
          </w:rPr>
          <w:t>Framework for Disclosure in Public-Private Partnerships</w:t>
        </w:r>
      </w:hyperlink>
      <w:r w:rsidRPr="00315C73">
        <w:rPr>
          <w:rFonts w:ascii="Arial" w:hAnsi="Arial" w:cs="Arial"/>
          <w:iCs/>
          <w:sz w:val="24"/>
          <w:szCs w:val="24"/>
        </w:rPr>
        <w:t xml:space="preserve">; and </w:t>
      </w:r>
      <w:hyperlink r:id="rId622" w:history="1">
        <w:r w:rsidRPr="00315C73">
          <w:rPr>
            <w:rFonts w:ascii="Arial" w:hAnsi="Arial" w:cs="Arial"/>
            <w:iCs/>
            <w:color w:val="0563C1" w:themeColor="hyperlink"/>
            <w:sz w:val="24"/>
            <w:szCs w:val="24"/>
            <w:u w:val="single"/>
          </w:rPr>
          <w:t>Public-Private Partnerships Fiscal Risk Assessment Model User Guide</w:t>
        </w:r>
      </w:hyperlink>
      <w:r w:rsidRPr="00315C73">
        <w:rPr>
          <w:rFonts w:ascii="Arial" w:hAnsi="Arial" w:cs="Arial"/>
          <w:iCs/>
          <w:sz w:val="24"/>
          <w:szCs w:val="24"/>
        </w:rPr>
        <w:t xml:space="preserve"> assessing the fiscal risks associated with individual projects, a Guide developed with the IMF.</w:t>
      </w:r>
    </w:p>
    <w:p w14:paraId="736C7931" w14:textId="77777777" w:rsidR="00402C0F" w:rsidRPr="00315C73" w:rsidRDefault="00402C0F" w:rsidP="002D14C0">
      <w:pPr>
        <w:spacing w:line="276" w:lineRule="auto"/>
        <w:contextualSpacing/>
        <w:jc w:val="both"/>
        <w:rPr>
          <w:rFonts w:ascii="Arial" w:hAnsi="Arial" w:cs="Arial"/>
          <w:bCs/>
          <w:iCs/>
          <w:sz w:val="24"/>
          <w:szCs w:val="24"/>
        </w:rPr>
      </w:pPr>
    </w:p>
    <w:p w14:paraId="237239F9" w14:textId="77777777" w:rsidR="00402C0F" w:rsidRPr="00315C73" w:rsidRDefault="00402C0F" w:rsidP="002D14C0">
      <w:pPr>
        <w:spacing w:line="276" w:lineRule="auto"/>
        <w:contextualSpacing/>
        <w:jc w:val="both"/>
        <w:rPr>
          <w:rFonts w:ascii="Arial" w:hAnsi="Arial" w:cs="Arial"/>
          <w:bCs/>
          <w:iCs/>
          <w:sz w:val="24"/>
          <w:szCs w:val="24"/>
          <w:lang w:val="en-US"/>
        </w:rPr>
      </w:pPr>
      <w:r w:rsidRPr="00315C73">
        <w:rPr>
          <w:rFonts w:ascii="Arial" w:hAnsi="Arial" w:cs="Arial"/>
          <w:bCs/>
          <w:iCs/>
          <w:sz w:val="24"/>
          <w:szCs w:val="24"/>
          <w:lang w:val="en-ZA"/>
        </w:rPr>
        <w:lastRenderedPageBreak/>
        <w:t>It should be noted that the other branches of government also have key roles to play in the government’s relationship with the private sector. For instance, the supreme audit institution should audit the government’s transactions with the private sector to ensure that they are undertaken in accordance with relevant laws and regulations; and the judiciary may also be called upon to adjudicate conflicts or disputes that may occur between the private and the public sector regarding contractual arrangements between them, including in respect of the use of public resources.</w:t>
      </w:r>
    </w:p>
    <w:p w14:paraId="7026D1F5" w14:textId="77777777" w:rsidR="00402C0F" w:rsidRDefault="00402C0F" w:rsidP="002D14C0">
      <w:pPr>
        <w:spacing w:line="276" w:lineRule="auto"/>
        <w:rPr>
          <w:rFonts w:ascii="Arial" w:hAnsi="Arial" w:cs="Arial"/>
          <w:sz w:val="24"/>
          <w:szCs w:val="24"/>
        </w:rPr>
      </w:pPr>
    </w:p>
    <w:p w14:paraId="1C518F4E" w14:textId="0CDDCD0C" w:rsidR="00402C0F" w:rsidRPr="00A35E3A" w:rsidRDefault="00402C0F" w:rsidP="002D14C0">
      <w:pPr>
        <w:pStyle w:val="Heading2"/>
        <w:numPr>
          <w:ilvl w:val="1"/>
          <w:numId w:val="69"/>
        </w:numPr>
        <w:rPr>
          <w:rFonts w:ascii="Arial" w:hAnsi="Arial" w:cs="Arial"/>
          <w:b/>
          <w:bCs/>
          <w:color w:val="F8A132"/>
          <w:sz w:val="36"/>
          <w:szCs w:val="36"/>
          <w:lang w:val="en-US"/>
        </w:rPr>
      </w:pPr>
      <w:bookmarkStart w:id="1473" w:name="_Toc123204492"/>
      <w:bookmarkStart w:id="1474" w:name="_Toc123216592"/>
      <w:bookmarkStart w:id="1475" w:name="_Toc123217432"/>
      <w:bookmarkStart w:id="1476" w:name="_Toc123913395"/>
      <w:bookmarkStart w:id="1477" w:name="_Toc123914051"/>
      <w:bookmarkStart w:id="1478" w:name="_Toc125566665"/>
      <w:r w:rsidRPr="00A35E3A">
        <w:rPr>
          <w:rFonts w:ascii="Arial" w:hAnsi="Arial" w:cs="Arial"/>
          <w:b/>
          <w:bCs/>
          <w:color w:val="F8A132"/>
          <w:sz w:val="36"/>
          <w:szCs w:val="36"/>
          <w:lang w:val="en-US"/>
        </w:rPr>
        <w:t xml:space="preserve">Public </w:t>
      </w:r>
      <w:r w:rsidR="004B62A5" w:rsidRPr="00A35E3A">
        <w:rPr>
          <w:rFonts w:ascii="Arial" w:hAnsi="Arial" w:cs="Arial"/>
          <w:b/>
          <w:bCs/>
          <w:color w:val="F8A132"/>
          <w:sz w:val="36"/>
          <w:szCs w:val="36"/>
          <w:lang w:val="en-US"/>
        </w:rPr>
        <w:t>sector transactions</w:t>
      </w:r>
      <w:bookmarkEnd w:id="1473"/>
      <w:bookmarkEnd w:id="1474"/>
      <w:bookmarkEnd w:id="1475"/>
      <w:bookmarkEnd w:id="1476"/>
      <w:bookmarkEnd w:id="1477"/>
      <w:bookmarkEnd w:id="1478"/>
    </w:p>
    <w:p w14:paraId="7FF35B01" w14:textId="77777777" w:rsidR="00402C0F" w:rsidRDefault="00402C0F" w:rsidP="002D14C0">
      <w:pPr>
        <w:rPr>
          <w:lang w:val="en-US"/>
        </w:rPr>
      </w:pPr>
    </w:p>
    <w:p w14:paraId="41F32DD5" w14:textId="0CF84058" w:rsidR="001E3046" w:rsidRDefault="00402C0F" w:rsidP="002D14C0">
      <w:pPr>
        <w:spacing w:line="276" w:lineRule="auto"/>
        <w:jc w:val="both"/>
        <w:rPr>
          <w:rFonts w:ascii="Arial" w:hAnsi="Arial" w:cs="Arial"/>
          <w:sz w:val="24"/>
          <w:szCs w:val="24"/>
          <w:lang w:val="en-ZA"/>
        </w:rPr>
      </w:pPr>
      <w:r w:rsidRPr="00646010">
        <w:rPr>
          <w:rFonts w:ascii="Arial" w:hAnsi="Arial" w:cs="Arial"/>
          <w:sz w:val="24"/>
          <w:szCs w:val="24"/>
          <w:lang w:val="en-US"/>
        </w:rPr>
        <w:t xml:space="preserve">The rule of law is as fundamental to the management of public finances as it is to all dimensions of governance. All public finance transactions should adhere to a publicly available legal framework, rather than the discretion of government officials. This means that the collection, commitment, and use of public funds should be governed by comprehensive budget, tax, and other public finance laws, regulations, and administrative procedures. This applies to all fiscal and quasi-fiscal activities. Laws, regulations and criteria guiding administrative discretion in their application, should be accessible, clear, and understandable. </w:t>
      </w:r>
      <w:r w:rsidRPr="00646010">
        <w:rPr>
          <w:rFonts w:ascii="Arial" w:hAnsi="Arial" w:cs="Arial"/>
          <w:sz w:val="24"/>
          <w:szCs w:val="24"/>
          <w:lang w:val="en-ZA"/>
        </w:rPr>
        <w:t>This is in line with GIFT’s High-level Principle 5:</w:t>
      </w:r>
    </w:p>
    <w:p w14:paraId="13313FDE" w14:textId="38AD28DD" w:rsidR="00402C0F" w:rsidRPr="00646010" w:rsidRDefault="001E3046" w:rsidP="002D14C0">
      <w:pPr>
        <w:spacing w:line="276" w:lineRule="auto"/>
        <w:jc w:val="both"/>
        <w:rPr>
          <w:rFonts w:ascii="Arial" w:hAnsi="Arial" w:cs="Arial"/>
          <w:sz w:val="24"/>
          <w:szCs w:val="24"/>
          <w:lang w:val="en-US"/>
        </w:rPr>
      </w:pPr>
      <w:r w:rsidRPr="009E337A">
        <w:rPr>
          <w:rFonts w:ascii="Arial" w:hAnsi="Arial" w:cs="Arial"/>
          <w:b/>
          <w:bCs/>
          <w:noProof/>
          <w:color w:val="F26D24"/>
          <w:sz w:val="32"/>
          <w:szCs w:val="32"/>
          <w:lang w:val="en-US"/>
        </w:rPr>
        <w:drawing>
          <wp:anchor distT="0" distB="0" distL="114300" distR="114300" simplePos="0" relativeHeight="253968382" behindDoc="1" locked="0" layoutInCell="1" allowOverlap="1" wp14:anchorId="6E8F294B" wp14:editId="06233386">
            <wp:simplePos x="0" y="0"/>
            <wp:positionH relativeFrom="margin">
              <wp:posOffset>-85725</wp:posOffset>
            </wp:positionH>
            <wp:positionV relativeFrom="paragraph">
              <wp:posOffset>62865</wp:posOffset>
            </wp:positionV>
            <wp:extent cx="6816725" cy="201930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502" cstate="email">
                      <a:extLst>
                        <a:ext uri="{28A0092B-C50C-407E-A947-70E740481C1C}">
                          <a14:useLocalDpi xmlns:a14="http://schemas.microsoft.com/office/drawing/2010/main"/>
                        </a:ext>
                      </a:extLst>
                    </a:blip>
                    <a:srcRect b="-5929"/>
                    <a:stretch/>
                  </pic:blipFill>
                  <pic:spPr bwMode="auto">
                    <a:xfrm>
                      <a:off x="0" y="0"/>
                      <a:ext cx="6816725"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6BF26D" w14:textId="77777777" w:rsidR="00402C0F" w:rsidRPr="00646010" w:rsidRDefault="00402C0F" w:rsidP="002D14C0">
      <w:pPr>
        <w:rPr>
          <w:lang w:val="en-US"/>
        </w:rPr>
      </w:pPr>
    </w:p>
    <w:p w14:paraId="3F402414" w14:textId="77777777" w:rsidR="00402C0F" w:rsidRDefault="00402C0F" w:rsidP="002D14C0">
      <w:pPr>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895230" behindDoc="1" locked="0" layoutInCell="1" allowOverlap="1" wp14:anchorId="4BAA79A8" wp14:editId="6609FC9E">
            <wp:simplePos x="0" y="0"/>
            <wp:positionH relativeFrom="column">
              <wp:posOffset>1422400</wp:posOffset>
            </wp:positionH>
            <wp:positionV relativeFrom="paragraph">
              <wp:posOffset>38100</wp:posOffset>
            </wp:positionV>
            <wp:extent cx="3261600" cy="652320"/>
            <wp:effectExtent l="0" t="0" r="0" b="0"/>
            <wp:wrapTight wrapText="bothSides">
              <wp:wrapPolygon edited="0">
                <wp:start x="1514" y="1683"/>
                <wp:lineTo x="925" y="4206"/>
                <wp:lineTo x="421" y="7572"/>
                <wp:lineTo x="421" y="10937"/>
                <wp:lineTo x="673" y="15984"/>
                <wp:lineTo x="1430" y="18508"/>
                <wp:lineTo x="1514" y="19350"/>
                <wp:lineTo x="20692" y="19350"/>
                <wp:lineTo x="20776" y="18508"/>
                <wp:lineTo x="21112" y="15984"/>
                <wp:lineTo x="21364" y="2944"/>
                <wp:lineTo x="19682" y="2524"/>
                <wp:lineTo x="2860" y="1683"/>
                <wp:lineTo x="1514" y="1683"/>
              </wp:wrapPolygon>
            </wp:wrapTight>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icture 755"/>
                    <pic:cNvPicPr/>
                  </pic:nvPicPr>
                  <pic:blipFill>
                    <a:blip r:embed="rId623" cstate="email">
                      <a:extLst>
                        <a:ext uri="{28A0092B-C50C-407E-A947-70E740481C1C}">
                          <a14:useLocalDpi xmlns:a14="http://schemas.microsoft.com/office/drawing/2010/main"/>
                        </a:ext>
                      </a:extLst>
                    </a:blip>
                    <a:stretch>
                      <a:fillRect/>
                    </a:stretch>
                  </pic:blipFill>
                  <pic:spPr>
                    <a:xfrm>
                      <a:off x="0" y="0"/>
                      <a:ext cx="3261600" cy="652320"/>
                    </a:xfrm>
                    <a:prstGeom prst="rect">
                      <a:avLst/>
                    </a:prstGeom>
                  </pic:spPr>
                </pic:pic>
              </a:graphicData>
            </a:graphic>
            <wp14:sizeRelH relativeFrom="page">
              <wp14:pctWidth>0</wp14:pctWidth>
            </wp14:sizeRelH>
            <wp14:sizeRelV relativeFrom="page">
              <wp14:pctHeight>0</wp14:pctHeight>
            </wp14:sizeRelV>
          </wp:anchor>
        </w:drawing>
      </w:r>
    </w:p>
    <w:p w14:paraId="1AB4DCFF" w14:textId="77777777" w:rsidR="00402C0F" w:rsidRDefault="00402C0F" w:rsidP="002D14C0">
      <w:pPr>
        <w:spacing w:line="276" w:lineRule="auto"/>
        <w:rPr>
          <w:rFonts w:ascii="Arial" w:hAnsi="Arial" w:cs="Arial"/>
          <w:sz w:val="24"/>
          <w:szCs w:val="24"/>
        </w:rPr>
      </w:pPr>
    </w:p>
    <w:p w14:paraId="278EF24A" w14:textId="77777777" w:rsidR="00402C0F" w:rsidRPr="00341AFC" w:rsidRDefault="00402C0F" w:rsidP="002D14C0">
      <w:pPr>
        <w:rPr>
          <w:rFonts w:ascii="Arial" w:hAnsi="Arial" w:cs="Arial"/>
          <w:sz w:val="24"/>
          <w:szCs w:val="24"/>
        </w:rPr>
      </w:pPr>
    </w:p>
    <w:p w14:paraId="31F1B795" w14:textId="0471C884" w:rsidR="00402C0F" w:rsidRPr="00341AFC" w:rsidRDefault="00402C0F" w:rsidP="002D14C0">
      <w:pPr>
        <w:rPr>
          <w:rFonts w:ascii="Arial" w:hAnsi="Arial" w:cs="Arial"/>
          <w:sz w:val="24"/>
          <w:szCs w:val="24"/>
        </w:rPr>
      </w:pPr>
    </w:p>
    <w:p w14:paraId="211C9989" w14:textId="1C261C8A" w:rsidR="00402C0F" w:rsidRPr="00341AFC" w:rsidRDefault="001E3046" w:rsidP="002D14C0">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894206" behindDoc="0" locked="0" layoutInCell="1" allowOverlap="1" wp14:anchorId="24DF77BD" wp14:editId="0BB2864E">
                <wp:simplePos x="0" y="0"/>
                <wp:positionH relativeFrom="margin">
                  <wp:posOffset>139700</wp:posOffset>
                </wp:positionH>
                <wp:positionV relativeFrom="paragraph">
                  <wp:posOffset>3175</wp:posOffset>
                </wp:positionV>
                <wp:extent cx="6366510" cy="749300"/>
                <wp:effectExtent l="0" t="0" r="0" b="0"/>
                <wp:wrapNone/>
                <wp:docPr id="753" name="Text Box 753"/>
                <wp:cNvGraphicFramePr/>
                <a:graphic xmlns:a="http://schemas.openxmlformats.org/drawingml/2006/main">
                  <a:graphicData uri="http://schemas.microsoft.com/office/word/2010/wordprocessingShape">
                    <wps:wsp>
                      <wps:cNvSpPr txBox="1"/>
                      <wps:spPr>
                        <a:xfrm>
                          <a:off x="0" y="0"/>
                          <a:ext cx="6366510" cy="749300"/>
                        </a:xfrm>
                        <a:prstGeom prst="rect">
                          <a:avLst/>
                        </a:prstGeom>
                        <a:noFill/>
                        <a:ln w="6350">
                          <a:noFill/>
                        </a:ln>
                      </wps:spPr>
                      <wps:txbx>
                        <w:txbxContent>
                          <w:p w14:paraId="48249D6A" w14:textId="77777777" w:rsidR="00D15FD8" w:rsidRPr="009C5AE5" w:rsidRDefault="00D15FD8" w:rsidP="00653DDD">
                            <w:pPr>
                              <w:spacing w:line="276" w:lineRule="auto"/>
                              <w:jc w:val="both"/>
                              <w:rPr>
                                <w:rFonts w:ascii="Arial" w:hAnsi="Arial" w:cs="Arial"/>
                                <w:iCs/>
                                <w:color w:val="FFFFFF" w:themeColor="background1"/>
                                <w:sz w:val="24"/>
                                <w:szCs w:val="24"/>
                              </w:rPr>
                            </w:pPr>
                            <w:r w:rsidRPr="00341AFC">
                              <w:rPr>
                                <w:rFonts w:ascii="Arial" w:eastAsia="Calibri" w:hAnsi="Arial" w:cs="Arial"/>
                                <w:iCs/>
                                <w:color w:val="FFFFFF" w:themeColor="background1"/>
                                <w:sz w:val="24"/>
                                <w:szCs w:val="24"/>
                              </w:rPr>
                              <w:t>All financial transactions of the public sector should have their basis in law. Laws, regulations and administrative procedures regulating public financial management should be available to the public, and their implementation should be subject to independent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F77BD" id="Text Box 753" o:spid="_x0000_s1338" type="#_x0000_t202" style="position:absolute;margin-left:11pt;margin-top:.25pt;width:501.3pt;height:59pt;z-index:25289420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" filled="f" stroked="f" strokeweight=".5pt">
                <v:textbox>
                  <w:txbxContent>
                    <w:p w14:paraId="48249D6A" w14:textId="77777777" w:rsidR="00D15FD8" w:rsidRPr="009C5AE5" w:rsidRDefault="00D15FD8" w:rsidP="00653DDD">
                      <w:pPr>
                        <w:spacing w:line="276" w:lineRule="auto"/>
                        <w:jc w:val="both"/>
                        <w:rPr>
                          <w:rFonts w:ascii="Arial" w:hAnsi="Arial" w:cs="Arial"/>
                          <w:iCs/>
                          <w:color w:val="FFFFFF" w:themeColor="background1"/>
                          <w:sz w:val="24"/>
                          <w:szCs w:val="24"/>
                        </w:rPr>
                      </w:pPr>
                      <w:r w:rsidRPr="00341AFC">
                        <w:rPr>
                          <w:rFonts w:ascii="Arial" w:eastAsia="Calibri" w:hAnsi="Arial" w:cs="Arial"/>
                          <w:iCs/>
                          <w:color w:val="FFFFFF" w:themeColor="background1"/>
                          <w:sz w:val="24"/>
                          <w:szCs w:val="24"/>
                        </w:rPr>
                        <w:t>All financial transactions of the public sector should have their basis in law. Laws, regulations and administrative procedures regulating public financial management should be available to the public, and their implementation should be subject to independent review.</w:t>
                      </w:r>
                    </w:p>
                  </w:txbxContent>
                </v:textbox>
                <w10:wrap anchorx="margin"/>
              </v:shape>
            </w:pict>
          </mc:Fallback>
        </mc:AlternateContent>
      </w:r>
    </w:p>
    <w:p w14:paraId="613ADE68" w14:textId="77777777" w:rsidR="00402C0F" w:rsidRPr="00341AFC" w:rsidRDefault="00402C0F" w:rsidP="002D14C0">
      <w:pPr>
        <w:rPr>
          <w:rFonts w:ascii="Arial" w:hAnsi="Arial" w:cs="Arial"/>
          <w:sz w:val="24"/>
          <w:szCs w:val="24"/>
        </w:rPr>
      </w:pPr>
    </w:p>
    <w:p w14:paraId="1F40ABE0" w14:textId="77777777" w:rsidR="00402C0F" w:rsidRPr="00341AFC" w:rsidRDefault="00402C0F" w:rsidP="002D14C0">
      <w:pPr>
        <w:rPr>
          <w:rFonts w:ascii="Arial" w:hAnsi="Arial" w:cs="Arial"/>
          <w:sz w:val="24"/>
          <w:szCs w:val="24"/>
        </w:rPr>
      </w:pPr>
    </w:p>
    <w:p w14:paraId="0F0E68A6" w14:textId="77777777" w:rsidR="00402C0F" w:rsidRDefault="00402C0F" w:rsidP="002D14C0">
      <w:pPr>
        <w:rPr>
          <w:rFonts w:ascii="Arial" w:hAnsi="Arial" w:cs="Arial"/>
          <w:sz w:val="24"/>
          <w:szCs w:val="24"/>
        </w:rPr>
      </w:pPr>
    </w:p>
    <w:p w14:paraId="3E570EA6" w14:textId="77777777" w:rsidR="00465CD0" w:rsidRDefault="00465CD0" w:rsidP="002D14C0">
      <w:pPr>
        <w:spacing w:line="276" w:lineRule="auto"/>
        <w:jc w:val="both"/>
        <w:rPr>
          <w:rFonts w:ascii="Arial" w:hAnsi="Arial" w:cs="Arial"/>
          <w:sz w:val="24"/>
          <w:szCs w:val="24"/>
          <w:lang w:val="en-ZA"/>
        </w:rPr>
      </w:pPr>
    </w:p>
    <w:p w14:paraId="55CA3760" w14:textId="77777777" w:rsidR="00465CD0" w:rsidRDefault="00465CD0" w:rsidP="002D14C0">
      <w:pPr>
        <w:spacing w:line="276" w:lineRule="auto"/>
        <w:jc w:val="both"/>
        <w:rPr>
          <w:rFonts w:ascii="Arial" w:hAnsi="Arial" w:cs="Arial"/>
          <w:sz w:val="24"/>
          <w:szCs w:val="24"/>
          <w:lang w:val="en-ZA"/>
        </w:rPr>
      </w:pPr>
    </w:p>
    <w:p w14:paraId="36D16B97" w14:textId="36A0E6FD" w:rsidR="00402C0F" w:rsidRPr="00341AFC" w:rsidRDefault="00402C0F" w:rsidP="002D14C0">
      <w:pPr>
        <w:spacing w:line="276" w:lineRule="auto"/>
        <w:jc w:val="both"/>
        <w:rPr>
          <w:rFonts w:ascii="Arial" w:hAnsi="Arial" w:cs="Arial"/>
          <w:sz w:val="24"/>
          <w:szCs w:val="24"/>
          <w:lang w:val="en-ZA"/>
        </w:rPr>
      </w:pPr>
      <w:r w:rsidRPr="00341AFC">
        <w:rPr>
          <w:rFonts w:ascii="Arial" w:hAnsi="Arial" w:cs="Arial"/>
          <w:sz w:val="24"/>
          <w:szCs w:val="24"/>
          <w:lang w:val="en-ZA"/>
        </w:rPr>
        <w:t>There are numerous other norms and standards also pertaining to transactions having their basis in law, including: </w:t>
      </w:r>
    </w:p>
    <w:p w14:paraId="1B195E0B" w14:textId="77777777" w:rsidR="00402C0F" w:rsidRPr="00341AFC" w:rsidRDefault="00402C0F" w:rsidP="002D14C0">
      <w:pPr>
        <w:numPr>
          <w:ilvl w:val="0"/>
          <w:numId w:val="73"/>
        </w:numPr>
        <w:spacing w:line="276" w:lineRule="auto"/>
        <w:ind w:left="313" w:hanging="313"/>
        <w:jc w:val="both"/>
        <w:rPr>
          <w:rFonts w:ascii="Arial" w:hAnsi="Arial" w:cs="Arial"/>
          <w:sz w:val="24"/>
          <w:szCs w:val="24"/>
        </w:rPr>
      </w:pPr>
      <w:r w:rsidRPr="00341AFC">
        <w:rPr>
          <w:rFonts w:ascii="Arial" w:hAnsi="Arial" w:cs="Arial"/>
          <w:bCs/>
          <w:sz w:val="24"/>
          <w:szCs w:val="24"/>
        </w:rPr>
        <w:t>International Federation of Accountants (IFAC) / Chartered Institute of Public Finance and Accountancy (CIPFA):</w:t>
      </w:r>
      <w:r w:rsidRPr="00341AFC">
        <w:rPr>
          <w:rFonts w:ascii="Arial" w:hAnsi="Arial" w:cs="Arial"/>
          <w:i/>
          <w:sz w:val="24"/>
          <w:szCs w:val="24"/>
        </w:rPr>
        <w:t xml:space="preserve"> </w:t>
      </w:r>
      <w:hyperlink r:id="rId624" w:history="1">
        <w:r w:rsidRPr="00341AFC">
          <w:rPr>
            <w:rFonts w:ascii="Arial" w:hAnsi="Arial" w:cs="Arial"/>
            <w:iCs/>
            <w:color w:val="0563C1" w:themeColor="hyperlink"/>
            <w:sz w:val="24"/>
            <w:szCs w:val="24"/>
            <w:u w:val="single"/>
          </w:rPr>
          <w:t>International Framework: Good Governance in the Public Sector</w:t>
        </w:r>
      </w:hyperlink>
      <w:r w:rsidRPr="00341AFC">
        <w:rPr>
          <w:rFonts w:ascii="Arial" w:hAnsi="Arial" w:cs="Arial"/>
          <w:iCs/>
          <w:sz w:val="24"/>
          <w:szCs w:val="24"/>
        </w:rPr>
        <w:t xml:space="preserve">: </w:t>
      </w:r>
      <w:r w:rsidRPr="00341AFC">
        <w:rPr>
          <w:rFonts w:ascii="Arial" w:hAnsi="Arial" w:cs="Arial"/>
          <w:sz w:val="24"/>
          <w:szCs w:val="24"/>
        </w:rPr>
        <w:t>Principle A requires behaving with integrity, demonstrating strong commitment to ethical values, and respecting the rule of law.</w:t>
      </w:r>
    </w:p>
    <w:p w14:paraId="37398BD6" w14:textId="77777777" w:rsidR="00402C0F" w:rsidRPr="00341AFC" w:rsidRDefault="00AC4DF7" w:rsidP="002D14C0">
      <w:pPr>
        <w:numPr>
          <w:ilvl w:val="0"/>
          <w:numId w:val="73"/>
        </w:numPr>
        <w:spacing w:line="276" w:lineRule="auto"/>
        <w:ind w:left="313" w:hanging="313"/>
        <w:jc w:val="both"/>
        <w:rPr>
          <w:rFonts w:ascii="Arial" w:hAnsi="Arial" w:cs="Arial"/>
          <w:sz w:val="24"/>
          <w:szCs w:val="24"/>
        </w:rPr>
      </w:pPr>
      <w:hyperlink r:id="rId625" w:history="1">
        <w:r w:rsidR="00402C0F" w:rsidRPr="00341AFC">
          <w:rPr>
            <w:rFonts w:ascii="Arial" w:hAnsi="Arial" w:cs="Arial"/>
            <w:color w:val="0563C1" w:themeColor="hyperlink"/>
            <w:sz w:val="24"/>
            <w:szCs w:val="24"/>
            <w:u w:val="single"/>
          </w:rPr>
          <w:t>Technical guide to the United Nations Convention Against Corruption</w:t>
        </w:r>
      </w:hyperlink>
      <w:r w:rsidR="00402C0F" w:rsidRPr="00341AFC">
        <w:rPr>
          <w:rFonts w:ascii="Arial" w:hAnsi="Arial" w:cs="Arial"/>
          <w:sz w:val="24"/>
          <w:szCs w:val="24"/>
        </w:rPr>
        <w:t>: Article 9: Identifies measures to establish transparent procurement and public finance management systems.</w:t>
      </w:r>
    </w:p>
    <w:p w14:paraId="35B6614B" w14:textId="77777777" w:rsidR="00402C0F" w:rsidRPr="00341AFC" w:rsidRDefault="00AC4DF7" w:rsidP="002D14C0">
      <w:pPr>
        <w:numPr>
          <w:ilvl w:val="0"/>
          <w:numId w:val="73"/>
        </w:numPr>
        <w:spacing w:line="276" w:lineRule="auto"/>
        <w:ind w:left="313" w:hanging="313"/>
        <w:jc w:val="both"/>
        <w:rPr>
          <w:rFonts w:ascii="Arial" w:hAnsi="Arial" w:cs="Arial"/>
          <w:sz w:val="24"/>
          <w:szCs w:val="24"/>
        </w:rPr>
      </w:pPr>
      <w:hyperlink r:id="rId626" w:history="1">
        <w:r w:rsidR="00402C0F" w:rsidRPr="00341AFC">
          <w:rPr>
            <w:rFonts w:ascii="Arial" w:hAnsi="Arial" w:cs="Arial"/>
            <w:color w:val="0563C1" w:themeColor="hyperlink"/>
            <w:sz w:val="24"/>
            <w:szCs w:val="24"/>
            <w:u w:val="single"/>
          </w:rPr>
          <w:t>G20 Anti-Corruption Action Plan 2017-18</w:t>
        </w:r>
      </w:hyperlink>
      <w:r w:rsidR="00402C0F" w:rsidRPr="00341AFC">
        <w:rPr>
          <w:rFonts w:ascii="Arial" w:hAnsi="Arial" w:cs="Arial"/>
          <w:i/>
          <w:sz w:val="24"/>
          <w:szCs w:val="24"/>
        </w:rPr>
        <w:t xml:space="preserve">: </w:t>
      </w:r>
      <w:r w:rsidR="00402C0F" w:rsidRPr="00341AFC">
        <w:rPr>
          <w:rFonts w:ascii="Arial" w:hAnsi="Arial" w:cs="Arial"/>
          <w:sz w:val="24"/>
          <w:szCs w:val="24"/>
        </w:rPr>
        <w:t xml:space="preserve">Notes that transparency is key to deterring and uncovering corruption, pledges G20 countries to promote greater transparency in the public sector, including in public contracting, budget processes and customs. It draws on the </w:t>
      </w:r>
      <w:hyperlink r:id="rId627" w:history="1">
        <w:r w:rsidR="00402C0F" w:rsidRPr="00341AFC">
          <w:rPr>
            <w:rFonts w:ascii="Arial" w:hAnsi="Arial" w:cs="Arial"/>
            <w:color w:val="0563C1" w:themeColor="hyperlink"/>
            <w:sz w:val="24"/>
            <w:szCs w:val="24"/>
            <w:u w:val="single"/>
          </w:rPr>
          <w:t>G20 Anti-Corruption Open Data Principles</w:t>
        </w:r>
      </w:hyperlink>
      <w:r w:rsidR="00402C0F" w:rsidRPr="00341AFC">
        <w:rPr>
          <w:rFonts w:ascii="Arial" w:hAnsi="Arial" w:cs="Arial"/>
          <w:sz w:val="24"/>
          <w:szCs w:val="24"/>
        </w:rPr>
        <w:t xml:space="preserve"> (2014). </w:t>
      </w:r>
    </w:p>
    <w:p w14:paraId="30BF37D7" w14:textId="77777777" w:rsidR="00402C0F" w:rsidRPr="00341AFC" w:rsidRDefault="00402C0F" w:rsidP="002D14C0">
      <w:pPr>
        <w:numPr>
          <w:ilvl w:val="0"/>
          <w:numId w:val="73"/>
        </w:numPr>
        <w:spacing w:line="276" w:lineRule="auto"/>
        <w:ind w:left="313" w:hanging="313"/>
        <w:jc w:val="both"/>
        <w:rPr>
          <w:rFonts w:ascii="Arial" w:hAnsi="Arial" w:cs="Arial"/>
          <w:sz w:val="24"/>
          <w:szCs w:val="24"/>
        </w:rPr>
      </w:pPr>
      <w:r w:rsidRPr="00341AFC">
        <w:rPr>
          <w:rFonts w:ascii="Arial" w:hAnsi="Arial" w:cs="Arial"/>
          <w:sz w:val="24"/>
          <w:szCs w:val="24"/>
        </w:rPr>
        <w:t xml:space="preserve">OECD: </w:t>
      </w:r>
      <w:hyperlink r:id="rId628" w:history="1">
        <w:r w:rsidRPr="00341AFC">
          <w:rPr>
            <w:rFonts w:ascii="Arial" w:hAnsi="Arial" w:cs="Arial"/>
            <w:color w:val="0563C1" w:themeColor="hyperlink"/>
            <w:sz w:val="24"/>
            <w:szCs w:val="24"/>
            <w:u w:val="single"/>
          </w:rPr>
          <w:t>Compendium of Good Practices for Integrity in Public Procurement</w:t>
        </w:r>
      </w:hyperlink>
      <w:r w:rsidRPr="00341AFC">
        <w:rPr>
          <w:rFonts w:ascii="Arial" w:hAnsi="Arial" w:cs="Arial"/>
          <w:sz w:val="24"/>
          <w:szCs w:val="24"/>
        </w:rPr>
        <w:t xml:space="preserve"> (2015).</w:t>
      </w:r>
    </w:p>
    <w:p w14:paraId="32CDF26C" w14:textId="77777777" w:rsidR="00402C0F" w:rsidRPr="00341AFC" w:rsidRDefault="00402C0F" w:rsidP="002D14C0">
      <w:pPr>
        <w:spacing w:line="276" w:lineRule="auto"/>
        <w:jc w:val="both"/>
        <w:rPr>
          <w:rFonts w:ascii="Arial" w:hAnsi="Arial" w:cs="Arial"/>
          <w:sz w:val="24"/>
          <w:szCs w:val="24"/>
          <w:lang w:val="en-US"/>
        </w:rPr>
      </w:pPr>
    </w:p>
    <w:p w14:paraId="21D9DF5F" w14:textId="7C028161" w:rsidR="00402C0F" w:rsidRPr="00341AFC" w:rsidRDefault="00402C0F" w:rsidP="002D14C0">
      <w:pPr>
        <w:spacing w:line="276" w:lineRule="auto"/>
        <w:jc w:val="both"/>
        <w:rPr>
          <w:rFonts w:ascii="Arial" w:hAnsi="Arial" w:cs="Arial"/>
          <w:sz w:val="24"/>
          <w:szCs w:val="24"/>
          <w:lang w:val="en-US"/>
        </w:rPr>
      </w:pPr>
      <w:r w:rsidRPr="00341AFC">
        <w:rPr>
          <w:rFonts w:ascii="Arial" w:hAnsi="Arial" w:cs="Arial"/>
          <w:sz w:val="24"/>
          <w:szCs w:val="24"/>
          <w:lang w:val="en-US"/>
        </w:rPr>
        <w:t xml:space="preserve">As such clear laws and regulations are critical for fiscal transparency, it is however just as important for them to actually be followed in practice. Often, it is found that the main weakness is the ineffective </w:t>
      </w:r>
      <w:r w:rsidRPr="00341AFC">
        <w:rPr>
          <w:rFonts w:ascii="Arial" w:hAnsi="Arial" w:cs="Arial"/>
          <w:sz w:val="24"/>
          <w:szCs w:val="24"/>
          <w:lang w:val="en-US"/>
        </w:rPr>
        <w:lastRenderedPageBreak/>
        <w:t>implementation of the laws and regulations rather than in the laws themselves. This is discussed further in Module 5, dedicated to actions to enhance fiscal transparency.</w:t>
      </w:r>
    </w:p>
    <w:p w14:paraId="3E5AF396" w14:textId="5D45268D" w:rsidR="00402C0F" w:rsidRDefault="00402C0F" w:rsidP="002D14C0">
      <w:pPr>
        <w:rPr>
          <w:rFonts w:ascii="Arial" w:hAnsi="Arial" w:cs="Arial"/>
          <w:sz w:val="24"/>
          <w:szCs w:val="24"/>
        </w:rPr>
      </w:pPr>
    </w:p>
    <w:p w14:paraId="7EE8C55D" w14:textId="2F1CF5F6" w:rsidR="009F0680" w:rsidRDefault="00F971FF" w:rsidP="002D14C0">
      <w:pPr>
        <w:rPr>
          <w:rFonts w:ascii="Arial" w:hAnsi="Arial" w:cs="Arial"/>
          <w:sz w:val="24"/>
          <w:szCs w:val="24"/>
        </w:rPr>
      </w:pPr>
      <w:r>
        <w:rPr>
          <w:rFonts w:ascii="Arial" w:hAnsi="Arial" w:cs="Arial"/>
          <w:noProof/>
          <w:sz w:val="24"/>
          <w:szCs w:val="24"/>
          <w:lang w:val="en-US"/>
        </w:rPr>
        <w:drawing>
          <wp:anchor distT="0" distB="0" distL="114300" distR="114300" simplePos="0" relativeHeight="251638754" behindDoc="1" locked="0" layoutInCell="1" allowOverlap="1" wp14:anchorId="05149C7D" wp14:editId="6B3D3988">
            <wp:simplePos x="0" y="0"/>
            <wp:positionH relativeFrom="column">
              <wp:posOffset>-38100</wp:posOffset>
            </wp:positionH>
            <wp:positionV relativeFrom="paragraph">
              <wp:posOffset>0</wp:posOffset>
            </wp:positionV>
            <wp:extent cx="6366510" cy="1422400"/>
            <wp:effectExtent l="0" t="0" r="0" b="0"/>
            <wp:wrapTight wrapText="bothSides">
              <wp:wrapPolygon edited="0">
                <wp:start x="1508" y="386"/>
                <wp:lineTo x="259" y="4050"/>
                <wp:lineTo x="86" y="7136"/>
                <wp:lineTo x="0" y="7521"/>
                <wp:lineTo x="0" y="14850"/>
                <wp:lineTo x="345" y="16200"/>
                <wp:lineTo x="560" y="19286"/>
                <wp:lineTo x="1163" y="19479"/>
                <wp:lineTo x="1163" y="20443"/>
                <wp:lineTo x="1680" y="21214"/>
                <wp:lineTo x="2758" y="21214"/>
                <wp:lineTo x="19433" y="20250"/>
                <wp:lineTo x="19476" y="19286"/>
                <wp:lineTo x="20208" y="16586"/>
                <wp:lineTo x="20510" y="13114"/>
                <wp:lineTo x="20553" y="10029"/>
                <wp:lineTo x="20294" y="6943"/>
                <wp:lineTo x="19777" y="4629"/>
                <wp:lineTo x="19562" y="3857"/>
                <wp:lineTo x="19648" y="1543"/>
                <wp:lineTo x="17752" y="1350"/>
                <wp:lineTo x="2973" y="386"/>
                <wp:lineTo x="1508" y="386"/>
              </wp:wrapPolygon>
            </wp:wrapTight>
            <wp:docPr id="2739" name="Picture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Picture 2739"/>
                    <pic:cNvPicPr/>
                  </pic:nvPicPr>
                  <pic:blipFill rotWithShape="1">
                    <a:blip r:embed="rId629" cstate="screen">
                      <a:extLst>
                        <a:ext uri="{28A0092B-C50C-407E-A947-70E740481C1C}">
                          <a14:useLocalDpi xmlns:a14="http://schemas.microsoft.com/office/drawing/2010/main"/>
                        </a:ext>
                      </a:extLst>
                    </a:blip>
                    <a:srcRect/>
                    <a:stretch/>
                  </pic:blipFill>
                  <pic:spPr bwMode="auto">
                    <a:xfrm>
                      <a:off x="0" y="0"/>
                      <a:ext cx="6366510"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7C5281" w14:textId="65E6D8BA" w:rsidR="009F0680" w:rsidRPr="00341AFC" w:rsidRDefault="009F0680" w:rsidP="002D14C0">
      <w:pPr>
        <w:rPr>
          <w:rFonts w:ascii="Arial" w:hAnsi="Arial" w:cs="Arial"/>
          <w:sz w:val="24"/>
          <w:szCs w:val="24"/>
        </w:rPr>
      </w:pPr>
    </w:p>
    <w:p w14:paraId="3B9C3692" w14:textId="07C6AFB7" w:rsidR="00FA5FB8" w:rsidRDefault="00240F06" w:rsidP="00015897">
      <w:pPr>
        <w:tabs>
          <w:tab w:val="left" w:pos="1960"/>
        </w:tabs>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2907518" behindDoc="0" locked="0" layoutInCell="1" allowOverlap="1" wp14:anchorId="70E68652" wp14:editId="55FD7B0F">
                <wp:simplePos x="0" y="0"/>
                <wp:positionH relativeFrom="column">
                  <wp:posOffset>1130300</wp:posOffset>
                </wp:positionH>
                <wp:positionV relativeFrom="paragraph">
                  <wp:posOffset>15240</wp:posOffset>
                </wp:positionV>
                <wp:extent cx="4610100" cy="596900"/>
                <wp:effectExtent l="0" t="0" r="0" b="0"/>
                <wp:wrapNone/>
                <wp:docPr id="1772" name="Text Box 1772"/>
                <wp:cNvGraphicFramePr/>
                <a:graphic xmlns:a="http://schemas.openxmlformats.org/drawingml/2006/main">
                  <a:graphicData uri="http://schemas.microsoft.com/office/word/2010/wordprocessingShape">
                    <wps:wsp>
                      <wps:cNvSpPr txBox="1"/>
                      <wps:spPr>
                        <a:xfrm>
                          <a:off x="0" y="0"/>
                          <a:ext cx="4610100" cy="596900"/>
                        </a:xfrm>
                        <a:prstGeom prst="rect">
                          <a:avLst/>
                        </a:prstGeom>
                        <a:noFill/>
                        <a:ln w="6350">
                          <a:noFill/>
                        </a:ln>
                      </wps:spPr>
                      <wps:txbx>
                        <w:txbxContent>
                          <w:p w14:paraId="000F4C19" w14:textId="3EB4B35C" w:rsidR="00D15FD8" w:rsidRPr="00A35E3A" w:rsidRDefault="00D15FD8" w:rsidP="00BD6508">
                            <w:pPr>
                              <w:pStyle w:val="Heading1"/>
                              <w:rPr>
                                <w:rFonts w:ascii="Arial" w:hAnsi="Arial" w:cs="Arial"/>
                                <w:b/>
                                <w:bCs/>
                                <w:color w:val="FFFFFF" w:themeColor="background1"/>
                                <w:sz w:val="38"/>
                                <w:szCs w:val="38"/>
                                <w:lang w:val="en-US"/>
                              </w:rPr>
                            </w:pPr>
                            <w:bookmarkStart w:id="1479" w:name="_Processes_and_tools"/>
                            <w:bookmarkStart w:id="1480" w:name="_Toc123828186"/>
                            <w:bookmarkStart w:id="1481" w:name="_Toc123828396"/>
                            <w:bookmarkStart w:id="1482" w:name="_Toc123828592"/>
                            <w:bookmarkStart w:id="1483" w:name="_Toc123912619"/>
                            <w:bookmarkStart w:id="1484" w:name="_Toc123912878"/>
                            <w:bookmarkStart w:id="1485" w:name="_Toc123913105"/>
                            <w:bookmarkStart w:id="1486" w:name="_Toc123914052"/>
                            <w:bookmarkStart w:id="1487" w:name="_Toc125566666"/>
                            <w:bookmarkEnd w:id="1479"/>
                            <w:r w:rsidRPr="00A35E3A">
                              <w:rPr>
                                <w:rFonts w:ascii="Arial" w:hAnsi="Arial" w:cs="Arial"/>
                                <w:b/>
                                <w:bCs/>
                                <w:color w:val="FFFFFF" w:themeColor="background1"/>
                                <w:sz w:val="38"/>
                                <w:szCs w:val="38"/>
                                <w:lang w:val="en-US"/>
                              </w:rPr>
                              <w:t>Processes and tools for fiscal reports</w:t>
                            </w:r>
                            <w:bookmarkEnd w:id="1480"/>
                            <w:bookmarkEnd w:id="1481"/>
                            <w:bookmarkEnd w:id="1482"/>
                            <w:bookmarkEnd w:id="1483"/>
                            <w:bookmarkEnd w:id="1484"/>
                            <w:bookmarkEnd w:id="1485"/>
                            <w:bookmarkEnd w:id="1486"/>
                            <w:bookmarkEnd w:id="148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68652" id="Text Box 1772" o:spid="_x0000_s1339" type="#_x0000_t202" style="position:absolute;margin-left:89pt;margin-top:1.2pt;width:363pt;height:47pt;z-index:252907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" filled="f" stroked="f" strokeweight=".5pt">
                <v:textbox>
                  <w:txbxContent>
                    <w:p w14:paraId="000F4C19" w14:textId="3EB4B35C" w:rsidR="00D15FD8" w:rsidRPr="00A35E3A" w:rsidRDefault="00D15FD8" w:rsidP="00BD6508">
                      <w:pPr>
                        <w:pStyle w:val="Heading1"/>
                        <w:rPr>
                          <w:rFonts w:ascii="Arial" w:hAnsi="Arial" w:cs="Arial"/>
                          <w:b/>
                          <w:bCs/>
                          <w:color w:val="FFFFFF" w:themeColor="background1"/>
                          <w:sz w:val="38"/>
                          <w:szCs w:val="38"/>
                          <w:lang w:val="en-US"/>
                        </w:rPr>
                      </w:pPr>
                      <w:bookmarkStart w:id="1488" w:name="_Processes_and_tools"/>
                      <w:bookmarkStart w:id="1489" w:name="_Toc123828186"/>
                      <w:bookmarkStart w:id="1490" w:name="_Toc123828396"/>
                      <w:bookmarkStart w:id="1491" w:name="_Toc123828592"/>
                      <w:bookmarkStart w:id="1492" w:name="_Toc123912619"/>
                      <w:bookmarkStart w:id="1493" w:name="_Toc123912878"/>
                      <w:bookmarkStart w:id="1494" w:name="_Toc123913105"/>
                      <w:bookmarkStart w:id="1495" w:name="_Toc123914052"/>
                      <w:bookmarkStart w:id="1496" w:name="_Toc125566666"/>
                      <w:bookmarkEnd w:id="1488"/>
                      <w:r w:rsidRPr="00A35E3A">
                        <w:rPr>
                          <w:rFonts w:ascii="Arial" w:hAnsi="Arial" w:cs="Arial"/>
                          <w:b/>
                          <w:bCs/>
                          <w:color w:val="FFFFFF" w:themeColor="background1"/>
                          <w:sz w:val="38"/>
                          <w:szCs w:val="38"/>
                          <w:lang w:val="en-US"/>
                        </w:rPr>
                        <w:t>Processes and tools for fiscal reports</w:t>
                      </w:r>
                      <w:bookmarkEnd w:id="1489"/>
                      <w:bookmarkEnd w:id="1490"/>
                      <w:bookmarkEnd w:id="1491"/>
                      <w:bookmarkEnd w:id="1492"/>
                      <w:bookmarkEnd w:id="1493"/>
                      <w:bookmarkEnd w:id="1494"/>
                      <w:bookmarkEnd w:id="1495"/>
                      <w:bookmarkEnd w:id="1496"/>
                    </w:p>
                  </w:txbxContent>
                </v:textbox>
              </v:shape>
            </w:pict>
          </mc:Fallback>
        </mc:AlternateContent>
      </w:r>
      <w:r>
        <w:rPr>
          <w:rFonts w:ascii="Arial" w:hAnsi="Arial" w:cs="Arial"/>
          <w:iCs/>
          <w:noProof/>
          <w:lang w:val="en-US"/>
        </w:rPr>
        <mc:AlternateContent>
          <mc:Choice Requires="wps">
            <w:drawing>
              <wp:anchor distT="0" distB="0" distL="114300" distR="114300" simplePos="0" relativeHeight="252909566" behindDoc="0" locked="0" layoutInCell="1" allowOverlap="1" wp14:anchorId="69ACB9FF" wp14:editId="318F888B">
                <wp:simplePos x="0" y="0"/>
                <wp:positionH relativeFrom="column">
                  <wp:posOffset>381000</wp:posOffset>
                </wp:positionH>
                <wp:positionV relativeFrom="paragraph">
                  <wp:posOffset>25400</wp:posOffset>
                </wp:positionV>
                <wp:extent cx="571500" cy="660400"/>
                <wp:effectExtent l="0" t="0" r="0" b="0"/>
                <wp:wrapNone/>
                <wp:docPr id="1774" name="Text Box 1774"/>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215BA9B8" w14:textId="4800A86E" w:rsidR="00D15FD8" w:rsidRPr="00653DDD" w:rsidRDefault="00D15FD8" w:rsidP="00653DDD">
                            <w:pPr>
                              <w:jc w:val="center"/>
                              <w:rPr>
                                <w:rFonts w:ascii="Arial" w:hAnsi="Arial" w:cs="Arial"/>
                                <w:b/>
                                <w:bCs/>
                                <w:color w:val="FFFFFF" w:themeColor="background1"/>
                                <w:sz w:val="72"/>
                                <w:szCs w:val="72"/>
                                <w:lang w:val="en-US"/>
                              </w:rPr>
                            </w:pPr>
                            <w:r w:rsidRPr="00653DDD">
                              <w:rPr>
                                <w:rFonts w:ascii="Arial" w:hAnsi="Arial" w:cs="Arial"/>
                                <w:b/>
                                <w:bCs/>
                                <w:color w:val="FFFFFF" w:themeColor="background1"/>
                                <w:sz w:val="72"/>
                                <w:szCs w:val="7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CB9FF" id="Text Box 1774" o:spid="_x0000_s1340" type="#_x0000_t202" style="position:absolute;margin-left:30pt;margin-top:2pt;width:45pt;height:52pt;z-index:252909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" filled="f" stroked="f" strokeweight=".5pt">
                <v:textbox>
                  <w:txbxContent>
                    <w:p w14:paraId="215BA9B8" w14:textId="4800A86E" w:rsidR="00D15FD8" w:rsidRPr="00653DDD" w:rsidRDefault="00D15FD8" w:rsidP="00653DDD">
                      <w:pPr>
                        <w:jc w:val="center"/>
                        <w:rPr>
                          <w:rFonts w:ascii="Arial" w:hAnsi="Arial" w:cs="Arial"/>
                          <w:b/>
                          <w:bCs/>
                          <w:color w:val="FFFFFF" w:themeColor="background1"/>
                          <w:sz w:val="72"/>
                          <w:szCs w:val="72"/>
                          <w:lang w:val="en-US"/>
                        </w:rPr>
                      </w:pPr>
                      <w:r w:rsidRPr="00653DDD">
                        <w:rPr>
                          <w:rFonts w:ascii="Arial" w:hAnsi="Arial" w:cs="Arial"/>
                          <w:b/>
                          <w:bCs/>
                          <w:color w:val="FFFFFF" w:themeColor="background1"/>
                          <w:sz w:val="72"/>
                          <w:szCs w:val="72"/>
                          <w:lang w:val="en-US"/>
                        </w:rPr>
                        <w:t>3</w:t>
                      </w:r>
                    </w:p>
                  </w:txbxContent>
                </v:textbox>
              </v:shape>
            </w:pict>
          </mc:Fallback>
        </mc:AlternateContent>
      </w:r>
    </w:p>
    <w:p w14:paraId="07B91AC3" w14:textId="42946237" w:rsidR="00FA5FB8" w:rsidRDefault="00FA5FB8" w:rsidP="00015897">
      <w:pPr>
        <w:tabs>
          <w:tab w:val="left" w:pos="1960"/>
        </w:tabs>
        <w:spacing w:line="276" w:lineRule="auto"/>
        <w:rPr>
          <w:rFonts w:ascii="Arial" w:hAnsi="Arial" w:cs="Arial"/>
          <w:sz w:val="24"/>
          <w:szCs w:val="24"/>
        </w:rPr>
      </w:pPr>
    </w:p>
    <w:p w14:paraId="18AB069B" w14:textId="74293974" w:rsidR="00FA5FB8" w:rsidRDefault="00FA5FB8" w:rsidP="00015897">
      <w:pPr>
        <w:tabs>
          <w:tab w:val="left" w:pos="1960"/>
        </w:tabs>
        <w:spacing w:line="276" w:lineRule="auto"/>
        <w:rPr>
          <w:rFonts w:ascii="Arial" w:hAnsi="Arial" w:cs="Arial"/>
          <w:sz w:val="24"/>
          <w:szCs w:val="24"/>
        </w:rPr>
      </w:pPr>
    </w:p>
    <w:p w14:paraId="6C8E0C7A" w14:textId="108EED91" w:rsidR="00FA5FB8" w:rsidRDefault="00FA5FB8" w:rsidP="00015897">
      <w:pPr>
        <w:tabs>
          <w:tab w:val="left" w:pos="1960"/>
        </w:tabs>
        <w:spacing w:line="276" w:lineRule="auto"/>
        <w:rPr>
          <w:rFonts w:ascii="Arial" w:hAnsi="Arial" w:cs="Arial"/>
          <w:sz w:val="24"/>
          <w:szCs w:val="24"/>
        </w:rPr>
      </w:pPr>
    </w:p>
    <w:p w14:paraId="0D0CB34C" w14:textId="77777777" w:rsidR="001E3046" w:rsidRDefault="001E3046" w:rsidP="00015897">
      <w:pPr>
        <w:tabs>
          <w:tab w:val="left" w:pos="1960"/>
        </w:tabs>
        <w:spacing w:line="276" w:lineRule="auto"/>
        <w:rPr>
          <w:rFonts w:ascii="Arial" w:hAnsi="Arial" w:cs="Arial"/>
          <w:sz w:val="24"/>
          <w:szCs w:val="24"/>
        </w:rPr>
      </w:pPr>
    </w:p>
    <w:p w14:paraId="3C6FDBE0" w14:textId="2A52E948" w:rsidR="00FA5FB8" w:rsidRDefault="00FA5FB8" w:rsidP="00015897">
      <w:pPr>
        <w:tabs>
          <w:tab w:val="left" w:pos="1960"/>
        </w:tabs>
        <w:spacing w:line="276" w:lineRule="auto"/>
        <w:rPr>
          <w:rFonts w:ascii="Arial" w:hAnsi="Arial" w:cs="Arial"/>
          <w:sz w:val="24"/>
          <w:szCs w:val="24"/>
        </w:rPr>
      </w:pPr>
    </w:p>
    <w:p w14:paraId="49CC3EE1" w14:textId="657C2EF4" w:rsidR="00FA5FB8" w:rsidRPr="00A35E3A" w:rsidRDefault="00653DDD" w:rsidP="00BD6508">
      <w:pPr>
        <w:pStyle w:val="Heading2"/>
        <w:numPr>
          <w:ilvl w:val="1"/>
          <w:numId w:val="94"/>
        </w:numPr>
        <w:rPr>
          <w:rFonts w:ascii="Arial" w:hAnsi="Arial" w:cs="Arial"/>
          <w:b/>
          <w:bCs/>
          <w:color w:val="F39C32"/>
          <w:sz w:val="36"/>
          <w:szCs w:val="36"/>
        </w:rPr>
      </w:pPr>
      <w:bookmarkStart w:id="1497" w:name="_Toc123204494"/>
      <w:bookmarkStart w:id="1498" w:name="_Toc123216594"/>
      <w:bookmarkStart w:id="1499" w:name="_Toc123217434"/>
      <w:bookmarkStart w:id="1500" w:name="_Toc123913397"/>
      <w:bookmarkStart w:id="1501" w:name="_Toc123914053"/>
      <w:bookmarkStart w:id="1502" w:name="_Toc125566667"/>
      <w:r w:rsidRPr="00A35E3A">
        <w:rPr>
          <w:rFonts w:ascii="Arial" w:hAnsi="Arial" w:cs="Arial"/>
          <w:b/>
          <w:bCs/>
          <w:color w:val="F39C32"/>
          <w:sz w:val="36"/>
          <w:szCs w:val="36"/>
          <w:lang w:val="en-US"/>
        </w:rPr>
        <w:t>Key budget-related documents</w:t>
      </w:r>
      <w:bookmarkEnd w:id="1497"/>
      <w:bookmarkEnd w:id="1498"/>
      <w:bookmarkEnd w:id="1499"/>
      <w:bookmarkEnd w:id="1500"/>
      <w:bookmarkEnd w:id="1501"/>
      <w:bookmarkEnd w:id="1502"/>
    </w:p>
    <w:p w14:paraId="6A244336" w14:textId="551E5EC8" w:rsidR="00FA5FB8" w:rsidRDefault="00057BE0" w:rsidP="00015897">
      <w:pPr>
        <w:tabs>
          <w:tab w:val="left" w:pos="196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920830" behindDoc="0" locked="0" layoutInCell="1" allowOverlap="1" wp14:anchorId="061FF18D" wp14:editId="009DF9B4">
            <wp:simplePos x="0" y="0"/>
            <wp:positionH relativeFrom="column">
              <wp:posOffset>0</wp:posOffset>
            </wp:positionH>
            <wp:positionV relativeFrom="paragraph">
              <wp:posOffset>204470</wp:posOffset>
            </wp:positionV>
            <wp:extent cx="1401445" cy="1397000"/>
            <wp:effectExtent l="0" t="0" r="0" b="0"/>
            <wp:wrapSquare wrapText="bothSides"/>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Picture 1786"/>
                    <pic:cNvPicPr/>
                  </pic:nvPicPr>
                  <pic:blipFill rotWithShape="1">
                    <a:blip r:embed="rId630" cstate="email">
                      <a:extLst>
                        <a:ext uri="{28A0092B-C50C-407E-A947-70E740481C1C}">
                          <a14:useLocalDpi xmlns:a14="http://schemas.microsoft.com/office/drawing/2010/main"/>
                        </a:ext>
                      </a:extLst>
                    </a:blip>
                    <a:srcRect/>
                    <a:stretch/>
                  </pic:blipFill>
                  <pic:spPr bwMode="auto">
                    <a:xfrm>
                      <a:off x="0" y="0"/>
                      <a:ext cx="1401445" cy="139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BC2110" w14:textId="71F4BDB3" w:rsidR="00653DDD" w:rsidRPr="00BD6508" w:rsidRDefault="00653DDD" w:rsidP="00BD6508">
      <w:pPr>
        <w:spacing w:line="276" w:lineRule="auto"/>
        <w:jc w:val="both"/>
        <w:rPr>
          <w:rFonts w:ascii="Arial" w:hAnsi="Arial" w:cs="Arial"/>
          <w:sz w:val="24"/>
          <w:szCs w:val="24"/>
          <w:lang w:val="en-US"/>
        </w:rPr>
      </w:pPr>
      <w:r w:rsidRPr="00BD6508">
        <w:rPr>
          <w:rFonts w:ascii="Arial" w:hAnsi="Arial" w:cs="Arial"/>
          <w:sz w:val="24"/>
          <w:szCs w:val="24"/>
          <w:lang w:val="en-US"/>
        </w:rPr>
        <w:t xml:space="preserve">For fiscal transparency, the executive needs to publish information throughout the fiscal policy cycle. Official documents should provide a useful overview of the fiscal activities of the public sector in a regular and timely manner, to inform better scrutiny and decision-making throughout the fiscal policy cycle. As stated in the section above, details of the information to be published at the different stages should be stipulated in a country’s legal framework. </w:t>
      </w:r>
    </w:p>
    <w:p w14:paraId="364D639D" w14:textId="77777777" w:rsidR="00653DDD" w:rsidRPr="00BD6508" w:rsidRDefault="00653DDD" w:rsidP="00BD6508">
      <w:pPr>
        <w:spacing w:line="276" w:lineRule="auto"/>
        <w:jc w:val="both"/>
        <w:rPr>
          <w:rFonts w:ascii="Arial" w:hAnsi="Arial" w:cs="Arial"/>
          <w:sz w:val="24"/>
          <w:szCs w:val="24"/>
          <w:lang w:val="en-US"/>
        </w:rPr>
      </w:pPr>
    </w:p>
    <w:p w14:paraId="51F3612A" w14:textId="7FC700EF" w:rsidR="00653DDD" w:rsidRDefault="00653DDD" w:rsidP="00653DDD">
      <w:pPr>
        <w:spacing w:line="276" w:lineRule="auto"/>
        <w:jc w:val="both"/>
        <w:rPr>
          <w:rFonts w:ascii="Arial" w:hAnsi="Arial" w:cs="Arial"/>
          <w:sz w:val="24"/>
          <w:szCs w:val="24"/>
        </w:rPr>
      </w:pPr>
      <w:r w:rsidRPr="00BD6508">
        <w:rPr>
          <w:rFonts w:ascii="Arial" w:hAnsi="Arial" w:cs="Arial"/>
          <w:sz w:val="24"/>
          <w:szCs w:val="24"/>
          <w:lang w:val="en-US"/>
        </w:rPr>
        <w:t xml:space="preserve">Fiscal transparency norms and standards assist the executive in doing this, including the </w:t>
      </w:r>
      <w:r w:rsidRPr="00BD6508">
        <w:rPr>
          <w:rFonts w:ascii="Arial" w:hAnsi="Arial" w:cs="Arial"/>
          <w:sz w:val="24"/>
          <w:szCs w:val="24"/>
        </w:rPr>
        <w:t xml:space="preserve"> OECD’s </w:t>
      </w:r>
      <w:hyperlink r:id="rId631" w:history="1">
        <w:r w:rsidRPr="00BD6508">
          <w:rPr>
            <w:rFonts w:ascii="Arial" w:hAnsi="Arial" w:cs="Arial"/>
            <w:color w:val="0563C1" w:themeColor="hyperlink"/>
            <w:sz w:val="24"/>
            <w:szCs w:val="24"/>
            <w:u w:val="single"/>
          </w:rPr>
          <w:t>Budget Transparency Toolkit</w:t>
        </w:r>
      </w:hyperlink>
      <w:r w:rsidRPr="00BD6508">
        <w:rPr>
          <w:rFonts w:ascii="Arial" w:hAnsi="Arial" w:cs="Arial"/>
          <w:sz w:val="24"/>
          <w:szCs w:val="24"/>
          <w:u w:val="single"/>
        </w:rPr>
        <w:t xml:space="preserve"> </w:t>
      </w:r>
      <w:r w:rsidRPr="00BD6508">
        <w:rPr>
          <w:rFonts w:ascii="Arial" w:hAnsi="Arial" w:cs="Arial"/>
          <w:sz w:val="24"/>
          <w:szCs w:val="24"/>
        </w:rPr>
        <w:t xml:space="preserve">(2017) that includes a section devoted to the main budget-related documents that should be published during the fiscal policy cycle. The IBP’s </w:t>
      </w:r>
      <w:hyperlink r:id="rId632" w:history="1">
        <w:r w:rsidRPr="00BD6508">
          <w:rPr>
            <w:rFonts w:ascii="Arial" w:hAnsi="Arial" w:cs="Arial"/>
            <w:color w:val="0563C1" w:themeColor="hyperlink"/>
            <w:sz w:val="24"/>
            <w:szCs w:val="24"/>
            <w:u w:val="single"/>
          </w:rPr>
          <w:t>Guide to Transparency in Government Budget Reports: Why are Budget Reports Important, and What Should They Include?</w:t>
        </w:r>
      </w:hyperlink>
      <w:r w:rsidRPr="00BD6508">
        <w:rPr>
          <w:rFonts w:ascii="Arial" w:hAnsi="Arial" w:cs="Arial"/>
          <w:sz w:val="24"/>
          <w:szCs w:val="24"/>
        </w:rPr>
        <w:t xml:space="preserve"> describes the importance of eight key budget documents; what they should contain; when they should be published and provides examples of each document.</w:t>
      </w:r>
      <w:r w:rsidRPr="00BD6508">
        <w:rPr>
          <w:rFonts w:ascii="Arial" w:hAnsi="Arial" w:cs="Arial"/>
          <w:bCs/>
          <w:sz w:val="24"/>
          <w:szCs w:val="24"/>
          <w:lang w:val="en-ZA"/>
        </w:rPr>
        <w:t xml:space="preserve"> The IBP’s</w:t>
      </w:r>
      <w:r w:rsidRPr="00BD6508">
        <w:rPr>
          <w:rFonts w:ascii="Arial" w:hAnsi="Arial" w:cs="Arial"/>
          <w:sz w:val="24"/>
          <w:szCs w:val="24"/>
          <w:vertAlign w:val="superscript"/>
        </w:rPr>
        <w:footnoteReference w:id="39"/>
      </w:r>
      <w:r w:rsidRPr="00BD6508">
        <w:rPr>
          <w:rFonts w:ascii="Arial" w:hAnsi="Arial" w:cs="Arial"/>
          <w:bCs/>
          <w:sz w:val="24"/>
          <w:szCs w:val="24"/>
          <w:lang w:val="en-ZA"/>
        </w:rPr>
        <w:t xml:space="preserve"> </w:t>
      </w:r>
      <w:hyperlink r:id="rId633" w:history="1">
        <w:r w:rsidRPr="00BD6508">
          <w:rPr>
            <w:rFonts w:ascii="Arial" w:hAnsi="Arial" w:cs="Arial"/>
            <w:color w:val="0563C1" w:themeColor="hyperlink"/>
            <w:sz w:val="24"/>
            <w:szCs w:val="24"/>
            <w:u w:val="single"/>
            <w:lang w:val="en-ZA"/>
          </w:rPr>
          <w:t>Guide to  Transparency  in Public Finances Looking Beyond the Core Budget</w:t>
        </w:r>
      </w:hyperlink>
      <w:r w:rsidRPr="00BD6508">
        <w:rPr>
          <w:rFonts w:ascii="Arial" w:hAnsi="Arial" w:cs="Arial"/>
          <w:sz w:val="24"/>
          <w:szCs w:val="24"/>
        </w:rPr>
        <w:t xml:space="preserve"> then goes beyond the eight key budget documents to</w:t>
      </w:r>
      <w:r w:rsidRPr="00BD6508">
        <w:rPr>
          <w:rFonts w:ascii="Arial" w:hAnsi="Arial" w:cs="Arial"/>
          <w:sz w:val="24"/>
          <w:szCs w:val="24"/>
          <w:lang w:val="en-US"/>
        </w:rPr>
        <w:t xml:space="preserve"> examine other areas of public finance that are less well understood and especially vulnerable to efforts to shield them from public scrutiny. These areas include extra-budgetary funds; quasi-fiscal activities; tax expenditures (to be discussed further under the section devoted to revenue transparency); contingent liabilities and future liabilities. Contingent liabilities are amounts that the government may owe, but the amount, or indeed the existence, of the liability will depend on future uncertain events, for example those emanating from government guarantees. Future liabilities are estimates of the future costs of current government programs that have a bearing on medium- and long-term fiscal policies and outcomes. These estimates need to be based primarily on projected changes in population</w:t>
      </w:r>
      <w:r w:rsidRPr="00BD6508">
        <w:rPr>
          <w:rFonts w:ascii="Arial" w:hAnsi="Arial" w:cs="Arial"/>
          <w:sz w:val="24"/>
          <w:szCs w:val="24"/>
        </w:rPr>
        <w:t>.</w:t>
      </w:r>
    </w:p>
    <w:p w14:paraId="107BD334" w14:textId="375DA48E" w:rsidR="00C5067C" w:rsidRDefault="00C5067C" w:rsidP="00653DDD">
      <w:pPr>
        <w:spacing w:line="276" w:lineRule="auto"/>
        <w:jc w:val="both"/>
        <w:rPr>
          <w:rFonts w:ascii="Arial" w:hAnsi="Arial" w:cs="Arial"/>
          <w:sz w:val="24"/>
          <w:szCs w:val="24"/>
        </w:rPr>
      </w:pPr>
    </w:p>
    <w:p w14:paraId="705B3C46" w14:textId="0D79AF4D" w:rsidR="00653DDD" w:rsidRDefault="00653DDD" w:rsidP="00BD6508">
      <w:pPr>
        <w:spacing w:line="276" w:lineRule="auto"/>
        <w:jc w:val="both"/>
        <w:rPr>
          <w:rFonts w:ascii="Arial" w:hAnsi="Arial" w:cs="Arial"/>
          <w:sz w:val="24"/>
          <w:szCs w:val="24"/>
        </w:rPr>
      </w:pPr>
      <w:r w:rsidRPr="00BD6508">
        <w:rPr>
          <w:rFonts w:ascii="Arial" w:hAnsi="Arial" w:cs="Arial"/>
          <w:sz w:val="24"/>
          <w:szCs w:val="24"/>
        </w:rPr>
        <w:t xml:space="preserve">In the </w:t>
      </w:r>
      <w:r w:rsidR="009C36A7">
        <w:rPr>
          <w:rFonts w:ascii="Arial" w:hAnsi="Arial" w:cs="Arial"/>
          <w:sz w:val="24"/>
          <w:szCs w:val="24"/>
        </w:rPr>
        <w:t>following tables</w:t>
      </w:r>
      <w:r w:rsidRPr="00BD6508">
        <w:rPr>
          <w:rFonts w:ascii="Arial" w:hAnsi="Arial" w:cs="Arial"/>
          <w:sz w:val="24"/>
          <w:szCs w:val="24"/>
        </w:rPr>
        <w:t>, summaries are provided of the key budget-related documents required to produce reliable fiscal reports. Information is provided on when the document should be published; its importance; what it should contain, together with practical examples from different countries. The following documents are reviewed:</w:t>
      </w:r>
    </w:p>
    <w:p w14:paraId="2AF5EE0F" w14:textId="1207D727" w:rsidR="00FA5FB8" w:rsidRDefault="00C5067C" w:rsidP="00015897">
      <w:pPr>
        <w:tabs>
          <w:tab w:val="left" w:pos="1960"/>
        </w:tabs>
        <w:spacing w:line="276" w:lineRule="auto"/>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2918782" behindDoc="1" locked="0" layoutInCell="1" allowOverlap="1" wp14:anchorId="5695D486" wp14:editId="0A1C9785">
            <wp:simplePos x="0" y="0"/>
            <wp:positionH relativeFrom="column">
              <wp:posOffset>368300</wp:posOffset>
            </wp:positionH>
            <wp:positionV relativeFrom="paragraph">
              <wp:posOffset>3673475</wp:posOffset>
            </wp:positionV>
            <wp:extent cx="2879725" cy="749935"/>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Picture 1784"/>
                    <pic:cNvPicPr/>
                  </pic:nvPicPr>
                  <pic:blipFill>
                    <a:blip r:embed="rId634"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2916734" behindDoc="1" locked="0" layoutInCell="1" allowOverlap="1" wp14:anchorId="2B15A1D1" wp14:editId="0F63FE39">
            <wp:simplePos x="0" y="0"/>
            <wp:positionH relativeFrom="column">
              <wp:posOffset>368300</wp:posOffset>
            </wp:positionH>
            <wp:positionV relativeFrom="paragraph">
              <wp:posOffset>2807335</wp:posOffset>
            </wp:positionV>
            <wp:extent cx="2879725" cy="749935"/>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 name="Picture 1781"/>
                    <pic:cNvPicPr/>
                  </pic:nvPicPr>
                  <pic:blipFill>
                    <a:blip r:embed="rId635"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2914686" behindDoc="1" locked="0" layoutInCell="1" allowOverlap="1" wp14:anchorId="44D246D1" wp14:editId="672EF46E">
            <wp:simplePos x="0" y="0"/>
            <wp:positionH relativeFrom="column">
              <wp:posOffset>368300</wp:posOffset>
            </wp:positionH>
            <wp:positionV relativeFrom="paragraph">
              <wp:posOffset>1927860</wp:posOffset>
            </wp:positionV>
            <wp:extent cx="2879725" cy="749935"/>
            <wp:effectExtent l="0" t="0" r="0" b="0"/>
            <wp:wrapTight wrapText="bothSides">
              <wp:wrapPolygon edited="0">
                <wp:start x="572" y="366"/>
                <wp:lineTo x="191" y="2561"/>
                <wp:lineTo x="191" y="18655"/>
                <wp:lineTo x="381" y="20484"/>
                <wp:lineTo x="21148" y="20484"/>
                <wp:lineTo x="21338" y="18655"/>
                <wp:lineTo x="21338" y="2926"/>
                <wp:lineTo x="20957" y="366"/>
                <wp:lineTo x="572" y="366"/>
              </wp:wrapPolygon>
            </wp:wrapTight>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Picture 1779"/>
                    <pic:cNvPicPr/>
                  </pic:nvPicPr>
                  <pic:blipFill>
                    <a:blip r:embed="rId636"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2912638" behindDoc="1" locked="0" layoutInCell="1" allowOverlap="1" wp14:anchorId="105A4802" wp14:editId="34D4EA58">
            <wp:simplePos x="0" y="0"/>
            <wp:positionH relativeFrom="column">
              <wp:posOffset>368300</wp:posOffset>
            </wp:positionH>
            <wp:positionV relativeFrom="paragraph">
              <wp:posOffset>1060450</wp:posOffset>
            </wp:positionV>
            <wp:extent cx="2879725" cy="749935"/>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Picture 1777"/>
                    <pic:cNvPicPr/>
                  </pic:nvPicPr>
                  <pic:blipFill>
                    <a:blip r:embed="rId637"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2910590" behindDoc="1" locked="0" layoutInCell="1" allowOverlap="1" wp14:anchorId="69BA50C7" wp14:editId="54D61AF4">
            <wp:simplePos x="0" y="0"/>
            <wp:positionH relativeFrom="column">
              <wp:posOffset>368300</wp:posOffset>
            </wp:positionH>
            <wp:positionV relativeFrom="paragraph">
              <wp:posOffset>207010</wp:posOffset>
            </wp:positionV>
            <wp:extent cx="2879725" cy="749935"/>
            <wp:effectExtent l="0" t="0" r="0" b="0"/>
            <wp:wrapTight wrapText="bothSides">
              <wp:wrapPolygon edited="0">
                <wp:start x="476" y="366"/>
                <wp:lineTo x="191" y="2561"/>
                <wp:lineTo x="191" y="18655"/>
                <wp:lineTo x="381" y="20484"/>
                <wp:lineTo x="21148" y="20484"/>
                <wp:lineTo x="21338" y="18655"/>
                <wp:lineTo x="21338" y="2561"/>
                <wp:lineTo x="20957" y="366"/>
                <wp:lineTo x="476" y="366"/>
              </wp:wrapPolygon>
            </wp:wrapTight>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Picture 1775"/>
                    <pic:cNvPicPr/>
                  </pic:nvPicPr>
                  <pic:blipFill>
                    <a:blip r:embed="rId638"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2911614" behindDoc="1" locked="0" layoutInCell="1" allowOverlap="1" wp14:anchorId="3E26D527" wp14:editId="70A817AE">
            <wp:simplePos x="0" y="0"/>
            <wp:positionH relativeFrom="column">
              <wp:posOffset>3314700</wp:posOffset>
            </wp:positionH>
            <wp:positionV relativeFrom="paragraph">
              <wp:posOffset>195580</wp:posOffset>
            </wp:positionV>
            <wp:extent cx="2880000" cy="750132"/>
            <wp:effectExtent l="0" t="0" r="0" b="0"/>
            <wp:wrapTight wrapText="bothSides">
              <wp:wrapPolygon edited="0">
                <wp:start x="572" y="366"/>
                <wp:lineTo x="191" y="2561"/>
                <wp:lineTo x="191" y="18655"/>
                <wp:lineTo x="381" y="20484"/>
                <wp:lineTo x="21148" y="20484"/>
                <wp:lineTo x="21338" y="18655"/>
                <wp:lineTo x="21338" y="2926"/>
                <wp:lineTo x="20957" y="366"/>
                <wp:lineTo x="572" y="366"/>
              </wp:wrapPolygon>
            </wp:wrapTight>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639" cstate="email">
                      <a:extLst>
                        <a:ext uri="{28A0092B-C50C-407E-A947-70E740481C1C}">
                          <a14:useLocalDpi xmlns:a14="http://schemas.microsoft.com/office/drawing/2010/main"/>
                        </a:ext>
                      </a:extLst>
                    </a:blip>
                    <a:stretch>
                      <a:fillRect/>
                    </a:stretch>
                  </pic:blipFill>
                  <pic:spPr>
                    <a:xfrm>
                      <a:off x="0" y="0"/>
                      <a:ext cx="2880000" cy="750132"/>
                    </a:xfrm>
                    <a:prstGeom prst="rect">
                      <a:avLst/>
                    </a:prstGeom>
                  </pic:spPr>
                </pic:pic>
              </a:graphicData>
            </a:graphic>
            <wp14:sizeRelH relativeFrom="page">
              <wp14:pctWidth>0</wp14:pctWidth>
            </wp14:sizeRelH>
            <wp14:sizeRelV relativeFrom="page">
              <wp14:pctHeight>0</wp14:pctHeight>
            </wp14:sizeRelV>
          </wp:anchor>
        </w:drawing>
      </w:r>
    </w:p>
    <w:p w14:paraId="6F3457AE" w14:textId="458F0E21" w:rsidR="00FA5FB8" w:rsidRDefault="00FA5FB8" w:rsidP="00015897">
      <w:pPr>
        <w:tabs>
          <w:tab w:val="left" w:pos="1960"/>
        </w:tabs>
        <w:spacing w:line="276" w:lineRule="auto"/>
        <w:rPr>
          <w:rFonts w:ascii="Arial" w:hAnsi="Arial" w:cs="Arial"/>
          <w:sz w:val="24"/>
          <w:szCs w:val="24"/>
        </w:rPr>
      </w:pPr>
    </w:p>
    <w:p w14:paraId="1EF8D259" w14:textId="33FCEBC3" w:rsidR="00FA5FB8" w:rsidRDefault="00FA5FB8" w:rsidP="00015897">
      <w:pPr>
        <w:tabs>
          <w:tab w:val="left" w:pos="1960"/>
        </w:tabs>
        <w:spacing w:line="276" w:lineRule="auto"/>
        <w:rPr>
          <w:rFonts w:ascii="Arial" w:hAnsi="Arial" w:cs="Arial"/>
          <w:sz w:val="24"/>
          <w:szCs w:val="24"/>
        </w:rPr>
      </w:pPr>
    </w:p>
    <w:p w14:paraId="0612BEB5" w14:textId="70B24D15" w:rsidR="00FA5FB8" w:rsidRDefault="00FA5FB8" w:rsidP="00015897">
      <w:pPr>
        <w:tabs>
          <w:tab w:val="left" w:pos="1960"/>
        </w:tabs>
        <w:spacing w:line="276" w:lineRule="auto"/>
        <w:rPr>
          <w:rFonts w:ascii="Arial" w:hAnsi="Arial" w:cs="Arial"/>
          <w:sz w:val="24"/>
          <w:szCs w:val="24"/>
        </w:rPr>
      </w:pPr>
    </w:p>
    <w:p w14:paraId="0A58C75F" w14:textId="7F12A5B0" w:rsidR="00057BE0" w:rsidRDefault="00057BE0" w:rsidP="00015897">
      <w:pPr>
        <w:tabs>
          <w:tab w:val="left" w:pos="1960"/>
        </w:tabs>
        <w:spacing w:line="276" w:lineRule="auto"/>
        <w:rPr>
          <w:rFonts w:ascii="Arial" w:hAnsi="Arial" w:cs="Arial"/>
          <w:sz w:val="24"/>
          <w:szCs w:val="24"/>
        </w:rPr>
      </w:pPr>
    </w:p>
    <w:p w14:paraId="7FCC3ED0" w14:textId="5C6DF1C9" w:rsidR="00057BE0" w:rsidRDefault="00C5067C" w:rsidP="00015897">
      <w:pPr>
        <w:tabs>
          <w:tab w:val="left" w:pos="196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913662" behindDoc="1" locked="0" layoutInCell="1" allowOverlap="1" wp14:anchorId="74B076F7" wp14:editId="1C2570B9">
            <wp:simplePos x="0" y="0"/>
            <wp:positionH relativeFrom="column">
              <wp:posOffset>3314700</wp:posOffset>
            </wp:positionH>
            <wp:positionV relativeFrom="paragraph">
              <wp:posOffset>54610</wp:posOffset>
            </wp:positionV>
            <wp:extent cx="2880000" cy="750132"/>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Picture 1778"/>
                    <pic:cNvPicPr/>
                  </pic:nvPicPr>
                  <pic:blipFill>
                    <a:blip r:embed="rId640" cstate="email">
                      <a:extLst>
                        <a:ext uri="{28A0092B-C50C-407E-A947-70E740481C1C}">
                          <a14:useLocalDpi xmlns:a14="http://schemas.microsoft.com/office/drawing/2010/main"/>
                        </a:ext>
                      </a:extLst>
                    </a:blip>
                    <a:stretch>
                      <a:fillRect/>
                    </a:stretch>
                  </pic:blipFill>
                  <pic:spPr>
                    <a:xfrm>
                      <a:off x="0" y="0"/>
                      <a:ext cx="2880000" cy="750132"/>
                    </a:xfrm>
                    <a:prstGeom prst="rect">
                      <a:avLst/>
                    </a:prstGeom>
                  </pic:spPr>
                </pic:pic>
              </a:graphicData>
            </a:graphic>
            <wp14:sizeRelH relativeFrom="page">
              <wp14:pctWidth>0</wp14:pctWidth>
            </wp14:sizeRelH>
            <wp14:sizeRelV relativeFrom="page">
              <wp14:pctHeight>0</wp14:pctHeight>
            </wp14:sizeRelV>
          </wp:anchor>
        </w:drawing>
      </w:r>
    </w:p>
    <w:p w14:paraId="3F6F1783" w14:textId="0793A2BC" w:rsidR="00FA5FB8" w:rsidRDefault="00FA5FB8" w:rsidP="00015897">
      <w:pPr>
        <w:tabs>
          <w:tab w:val="left" w:pos="1960"/>
        </w:tabs>
        <w:spacing w:line="276" w:lineRule="auto"/>
        <w:rPr>
          <w:rFonts w:ascii="Arial" w:hAnsi="Arial" w:cs="Arial"/>
          <w:sz w:val="24"/>
          <w:szCs w:val="24"/>
        </w:rPr>
      </w:pPr>
    </w:p>
    <w:p w14:paraId="408E8C18" w14:textId="3A4E28BA" w:rsidR="00FA5FB8" w:rsidRDefault="00FA5FB8" w:rsidP="00015897">
      <w:pPr>
        <w:tabs>
          <w:tab w:val="left" w:pos="1960"/>
        </w:tabs>
        <w:spacing w:line="276" w:lineRule="auto"/>
        <w:rPr>
          <w:rFonts w:ascii="Arial" w:hAnsi="Arial" w:cs="Arial"/>
          <w:sz w:val="24"/>
          <w:szCs w:val="24"/>
        </w:rPr>
      </w:pPr>
    </w:p>
    <w:p w14:paraId="131CA754" w14:textId="435C1664" w:rsidR="00FA5FB8" w:rsidRDefault="00FA5FB8" w:rsidP="00015897">
      <w:pPr>
        <w:tabs>
          <w:tab w:val="left" w:pos="1960"/>
        </w:tabs>
        <w:spacing w:line="276" w:lineRule="auto"/>
        <w:rPr>
          <w:rFonts w:ascii="Arial" w:hAnsi="Arial" w:cs="Arial"/>
          <w:sz w:val="24"/>
          <w:szCs w:val="24"/>
        </w:rPr>
      </w:pPr>
    </w:p>
    <w:p w14:paraId="3ED3D956" w14:textId="30042433" w:rsidR="00057BE0" w:rsidRDefault="00C5067C" w:rsidP="00015897">
      <w:pPr>
        <w:tabs>
          <w:tab w:val="left" w:pos="196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915710" behindDoc="1" locked="0" layoutInCell="1" allowOverlap="1" wp14:anchorId="414057E1" wp14:editId="4A4025B7">
            <wp:simplePos x="0" y="0"/>
            <wp:positionH relativeFrom="column">
              <wp:posOffset>3314700</wp:posOffset>
            </wp:positionH>
            <wp:positionV relativeFrom="paragraph">
              <wp:posOffset>114935</wp:posOffset>
            </wp:positionV>
            <wp:extent cx="2879725" cy="749935"/>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Picture 1780"/>
                    <pic:cNvPicPr/>
                  </pic:nvPicPr>
                  <pic:blipFill>
                    <a:blip r:embed="rId641"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p>
    <w:p w14:paraId="75982ABA" w14:textId="4BE90D5A" w:rsidR="00FA5FB8" w:rsidRDefault="00FA5FB8" w:rsidP="00015897">
      <w:pPr>
        <w:tabs>
          <w:tab w:val="left" w:pos="1960"/>
        </w:tabs>
        <w:spacing w:line="276" w:lineRule="auto"/>
        <w:rPr>
          <w:rFonts w:ascii="Arial" w:hAnsi="Arial" w:cs="Arial"/>
          <w:sz w:val="24"/>
          <w:szCs w:val="24"/>
        </w:rPr>
      </w:pPr>
    </w:p>
    <w:p w14:paraId="0B61DD10" w14:textId="3C3E0DBA" w:rsidR="00FA5FB8" w:rsidRDefault="00FA5FB8" w:rsidP="00015897">
      <w:pPr>
        <w:tabs>
          <w:tab w:val="left" w:pos="1960"/>
        </w:tabs>
        <w:spacing w:line="276" w:lineRule="auto"/>
        <w:rPr>
          <w:rFonts w:ascii="Arial" w:hAnsi="Arial" w:cs="Arial"/>
          <w:sz w:val="24"/>
          <w:szCs w:val="24"/>
        </w:rPr>
      </w:pPr>
    </w:p>
    <w:p w14:paraId="304FB90A" w14:textId="4BB025BE" w:rsidR="00057BE0" w:rsidRDefault="00057BE0" w:rsidP="00015897">
      <w:pPr>
        <w:tabs>
          <w:tab w:val="left" w:pos="1960"/>
        </w:tabs>
        <w:spacing w:line="276" w:lineRule="auto"/>
        <w:rPr>
          <w:rFonts w:ascii="Arial" w:hAnsi="Arial" w:cs="Arial"/>
          <w:sz w:val="24"/>
          <w:szCs w:val="24"/>
        </w:rPr>
      </w:pPr>
    </w:p>
    <w:p w14:paraId="351AA1CB" w14:textId="00501AB0" w:rsidR="00057BE0" w:rsidRDefault="00C5067C" w:rsidP="00015897">
      <w:pPr>
        <w:tabs>
          <w:tab w:val="left" w:pos="196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917758" behindDoc="1" locked="0" layoutInCell="1" allowOverlap="1" wp14:anchorId="0ECA8A7A" wp14:editId="34E980AE">
            <wp:simplePos x="0" y="0"/>
            <wp:positionH relativeFrom="column">
              <wp:posOffset>3314700</wp:posOffset>
            </wp:positionH>
            <wp:positionV relativeFrom="paragraph">
              <wp:posOffset>189865</wp:posOffset>
            </wp:positionV>
            <wp:extent cx="2879725" cy="749935"/>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Picture 1783"/>
                    <pic:cNvPicPr/>
                  </pic:nvPicPr>
                  <pic:blipFill>
                    <a:blip r:embed="rId642"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p>
    <w:p w14:paraId="4074A09D" w14:textId="68C8A5EB" w:rsidR="00FA5FB8" w:rsidRDefault="00FA5FB8" w:rsidP="00015897">
      <w:pPr>
        <w:tabs>
          <w:tab w:val="left" w:pos="1960"/>
        </w:tabs>
        <w:spacing w:line="276" w:lineRule="auto"/>
        <w:rPr>
          <w:rFonts w:ascii="Arial" w:hAnsi="Arial" w:cs="Arial"/>
          <w:sz w:val="24"/>
          <w:szCs w:val="24"/>
        </w:rPr>
      </w:pPr>
    </w:p>
    <w:p w14:paraId="7581AA16" w14:textId="0B4871D6" w:rsidR="00FA5FB8" w:rsidRDefault="00FA5FB8" w:rsidP="00015897">
      <w:pPr>
        <w:tabs>
          <w:tab w:val="left" w:pos="1960"/>
        </w:tabs>
        <w:spacing w:line="276" w:lineRule="auto"/>
        <w:rPr>
          <w:rFonts w:ascii="Arial" w:hAnsi="Arial" w:cs="Arial"/>
          <w:sz w:val="24"/>
          <w:szCs w:val="24"/>
        </w:rPr>
      </w:pPr>
    </w:p>
    <w:p w14:paraId="0C77091C" w14:textId="582D8B5A" w:rsidR="00FA5FB8" w:rsidRDefault="00FA5FB8" w:rsidP="00015897">
      <w:pPr>
        <w:tabs>
          <w:tab w:val="left" w:pos="1960"/>
        </w:tabs>
        <w:spacing w:line="276" w:lineRule="auto"/>
        <w:rPr>
          <w:rFonts w:ascii="Arial" w:hAnsi="Arial" w:cs="Arial"/>
          <w:sz w:val="24"/>
          <w:szCs w:val="24"/>
        </w:rPr>
      </w:pPr>
    </w:p>
    <w:p w14:paraId="6647D59B" w14:textId="09736E48" w:rsidR="00057BE0" w:rsidRDefault="00057BE0" w:rsidP="00015897">
      <w:pPr>
        <w:tabs>
          <w:tab w:val="left" w:pos="1960"/>
        </w:tabs>
        <w:spacing w:line="276" w:lineRule="auto"/>
        <w:rPr>
          <w:rFonts w:ascii="Arial" w:hAnsi="Arial" w:cs="Arial"/>
          <w:sz w:val="24"/>
          <w:szCs w:val="24"/>
        </w:rPr>
      </w:pPr>
    </w:p>
    <w:p w14:paraId="523CECAD" w14:textId="54F24994" w:rsidR="00FA5FB8" w:rsidRDefault="00C5067C" w:rsidP="00015897">
      <w:pPr>
        <w:tabs>
          <w:tab w:val="left" w:pos="196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919806" behindDoc="1" locked="0" layoutInCell="1" allowOverlap="1" wp14:anchorId="64086FA8" wp14:editId="2B31202F">
            <wp:simplePos x="0" y="0"/>
            <wp:positionH relativeFrom="column">
              <wp:posOffset>3314700</wp:posOffset>
            </wp:positionH>
            <wp:positionV relativeFrom="paragraph">
              <wp:posOffset>45720</wp:posOffset>
            </wp:positionV>
            <wp:extent cx="2879725" cy="749935"/>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Picture 1785"/>
                    <pic:cNvPicPr/>
                  </pic:nvPicPr>
                  <pic:blipFill>
                    <a:blip r:embed="rId643"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p>
    <w:p w14:paraId="5C9AEA1D" w14:textId="03443A9D" w:rsidR="00FA5FB8" w:rsidRDefault="00FA5FB8" w:rsidP="00015897">
      <w:pPr>
        <w:tabs>
          <w:tab w:val="left" w:pos="1960"/>
        </w:tabs>
        <w:spacing w:line="276" w:lineRule="auto"/>
        <w:rPr>
          <w:rFonts w:ascii="Arial" w:hAnsi="Arial" w:cs="Arial"/>
          <w:sz w:val="24"/>
          <w:szCs w:val="24"/>
        </w:rPr>
      </w:pPr>
    </w:p>
    <w:p w14:paraId="7004DD2B" w14:textId="72D09F17" w:rsidR="00057BE0" w:rsidRDefault="00057BE0" w:rsidP="00015897">
      <w:pPr>
        <w:tabs>
          <w:tab w:val="left" w:pos="1960"/>
        </w:tabs>
        <w:spacing w:line="276" w:lineRule="auto"/>
        <w:rPr>
          <w:rFonts w:ascii="Arial" w:hAnsi="Arial" w:cs="Arial"/>
          <w:sz w:val="24"/>
          <w:szCs w:val="24"/>
        </w:rPr>
      </w:pPr>
    </w:p>
    <w:p w14:paraId="27419ECE" w14:textId="7A3A5123" w:rsidR="00057BE0" w:rsidRDefault="00057BE0" w:rsidP="00015897">
      <w:pPr>
        <w:tabs>
          <w:tab w:val="left" w:pos="1960"/>
        </w:tabs>
        <w:spacing w:line="276" w:lineRule="auto"/>
        <w:rPr>
          <w:rFonts w:ascii="Arial" w:hAnsi="Arial" w:cs="Arial"/>
          <w:sz w:val="24"/>
          <w:szCs w:val="24"/>
        </w:rPr>
      </w:pPr>
    </w:p>
    <w:p w14:paraId="18F3E2B7" w14:textId="54B43286" w:rsidR="00FA5FB8" w:rsidRDefault="00C5067C" w:rsidP="00015897">
      <w:pPr>
        <w:tabs>
          <w:tab w:val="left" w:pos="196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2921854" behindDoc="1" locked="0" layoutInCell="1" allowOverlap="1" wp14:anchorId="368AAD4B" wp14:editId="54F6787C">
            <wp:simplePos x="0" y="0"/>
            <wp:positionH relativeFrom="column">
              <wp:posOffset>368300</wp:posOffset>
            </wp:positionH>
            <wp:positionV relativeFrom="paragraph">
              <wp:posOffset>123825</wp:posOffset>
            </wp:positionV>
            <wp:extent cx="2879725" cy="749935"/>
            <wp:effectExtent l="0" t="0" r="0" b="0"/>
            <wp:wrapTight wrapText="bothSides">
              <wp:wrapPolygon edited="0">
                <wp:start x="572" y="366"/>
                <wp:lineTo x="191" y="2561"/>
                <wp:lineTo x="191" y="18655"/>
                <wp:lineTo x="381" y="20484"/>
                <wp:lineTo x="21148" y="20484"/>
                <wp:lineTo x="21338" y="18655"/>
                <wp:lineTo x="21338" y="2561"/>
                <wp:lineTo x="20957" y="366"/>
                <wp:lineTo x="572" y="366"/>
              </wp:wrapPolygon>
            </wp:wrapTight>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 name="Picture 1787"/>
                    <pic:cNvPicPr/>
                  </pic:nvPicPr>
                  <pic:blipFill>
                    <a:blip r:embed="rId644" cstate="email">
                      <a:extLst>
                        <a:ext uri="{28A0092B-C50C-407E-A947-70E740481C1C}">
                          <a14:useLocalDpi xmlns:a14="http://schemas.microsoft.com/office/drawing/2010/main"/>
                        </a:ext>
                      </a:extLst>
                    </a:blip>
                    <a:stretch>
                      <a:fillRect/>
                    </a:stretch>
                  </pic:blipFill>
                  <pic:spPr>
                    <a:xfrm>
                      <a:off x="0" y="0"/>
                      <a:ext cx="2879725" cy="749935"/>
                    </a:xfrm>
                    <a:prstGeom prst="rect">
                      <a:avLst/>
                    </a:prstGeom>
                  </pic:spPr>
                </pic:pic>
              </a:graphicData>
            </a:graphic>
            <wp14:sizeRelH relativeFrom="page">
              <wp14:pctWidth>0</wp14:pctWidth>
            </wp14:sizeRelH>
            <wp14:sizeRelV relativeFrom="page">
              <wp14:pctHeight>0</wp14:pctHeight>
            </wp14:sizeRelV>
          </wp:anchor>
        </w:drawing>
      </w:r>
    </w:p>
    <w:p w14:paraId="11C92AE1" w14:textId="7E8835EA" w:rsidR="00057BE0" w:rsidRDefault="00057BE0" w:rsidP="00015897">
      <w:pPr>
        <w:tabs>
          <w:tab w:val="left" w:pos="1960"/>
        </w:tabs>
        <w:spacing w:line="276" w:lineRule="auto"/>
        <w:rPr>
          <w:rFonts w:ascii="Arial" w:hAnsi="Arial" w:cs="Arial"/>
          <w:sz w:val="24"/>
          <w:szCs w:val="24"/>
        </w:rPr>
      </w:pPr>
    </w:p>
    <w:p w14:paraId="505E225D" w14:textId="662A131E" w:rsidR="00057BE0" w:rsidRDefault="00057BE0" w:rsidP="00015897">
      <w:pPr>
        <w:tabs>
          <w:tab w:val="left" w:pos="1960"/>
        </w:tabs>
        <w:spacing w:line="276" w:lineRule="auto"/>
        <w:rPr>
          <w:rFonts w:ascii="Arial" w:hAnsi="Arial" w:cs="Arial"/>
          <w:sz w:val="24"/>
          <w:szCs w:val="24"/>
        </w:rPr>
      </w:pPr>
    </w:p>
    <w:p w14:paraId="530182FC" w14:textId="60215CC6" w:rsidR="00057BE0" w:rsidRDefault="00057BE0" w:rsidP="00015897">
      <w:pPr>
        <w:tabs>
          <w:tab w:val="left" w:pos="1960"/>
        </w:tabs>
        <w:spacing w:line="276" w:lineRule="auto"/>
        <w:rPr>
          <w:rFonts w:ascii="Arial" w:hAnsi="Arial" w:cs="Arial"/>
          <w:sz w:val="24"/>
          <w:szCs w:val="24"/>
        </w:rPr>
      </w:pPr>
    </w:p>
    <w:p w14:paraId="54C7F47A" w14:textId="43349E92" w:rsidR="00057BE0" w:rsidRDefault="00057BE0" w:rsidP="00057BE0">
      <w:pPr>
        <w:rPr>
          <w:rFonts w:ascii="Arial" w:hAnsi="Arial" w:cs="Arial"/>
          <w:sz w:val="24"/>
          <w:szCs w:val="24"/>
        </w:rPr>
      </w:pPr>
    </w:p>
    <w:p w14:paraId="255D2A55" w14:textId="028F0D7C" w:rsidR="00057BE0" w:rsidRDefault="00057BE0" w:rsidP="00057BE0">
      <w:pPr>
        <w:tabs>
          <w:tab w:val="left" w:pos="1180"/>
        </w:tabs>
        <w:rPr>
          <w:rFonts w:ascii="Arial" w:hAnsi="Arial" w:cs="Arial"/>
          <w:sz w:val="24"/>
          <w:szCs w:val="24"/>
        </w:rPr>
      </w:pPr>
    </w:p>
    <w:p w14:paraId="2F38BDFA" w14:textId="4C25B2C2" w:rsidR="00057BE0" w:rsidRDefault="00057BE0" w:rsidP="00057BE0">
      <w:pPr>
        <w:tabs>
          <w:tab w:val="left" w:pos="1180"/>
        </w:tabs>
        <w:rPr>
          <w:rFonts w:ascii="Arial" w:hAnsi="Arial" w:cs="Arial"/>
          <w:sz w:val="24"/>
          <w:szCs w:val="24"/>
        </w:rPr>
      </w:pPr>
    </w:p>
    <w:p w14:paraId="3648AF2C" w14:textId="46205486" w:rsidR="00057BE0" w:rsidRDefault="00057BE0" w:rsidP="00057BE0">
      <w:pPr>
        <w:tabs>
          <w:tab w:val="left" w:pos="1180"/>
        </w:tabs>
        <w:rPr>
          <w:rFonts w:ascii="Arial" w:hAnsi="Arial" w:cs="Arial"/>
          <w:sz w:val="24"/>
          <w:szCs w:val="24"/>
        </w:rPr>
      </w:pPr>
    </w:p>
    <w:p w14:paraId="495ED3DC" w14:textId="232A165E" w:rsidR="001E3046" w:rsidRDefault="001E3046" w:rsidP="00057BE0">
      <w:pPr>
        <w:tabs>
          <w:tab w:val="left" w:pos="1180"/>
        </w:tabs>
        <w:rPr>
          <w:rFonts w:ascii="Arial" w:hAnsi="Arial" w:cs="Arial"/>
          <w:sz w:val="24"/>
          <w:szCs w:val="24"/>
        </w:rPr>
      </w:pPr>
    </w:p>
    <w:p w14:paraId="20A8D244" w14:textId="12941EF3" w:rsidR="001E3046" w:rsidRDefault="001E3046">
      <w:pPr>
        <w:spacing w:after="160" w:line="259" w:lineRule="auto"/>
        <w:rPr>
          <w:rFonts w:ascii="Arial" w:hAnsi="Arial" w:cs="Arial"/>
          <w:sz w:val="24"/>
          <w:szCs w:val="24"/>
        </w:rPr>
      </w:pPr>
      <w:r>
        <w:rPr>
          <w:rFonts w:ascii="Arial" w:hAnsi="Arial" w:cs="Arial"/>
          <w:sz w:val="24"/>
          <w:szCs w:val="24"/>
        </w:rPr>
        <w:br w:type="page"/>
      </w:r>
    </w:p>
    <w:p w14:paraId="5D501AA8" w14:textId="77777777" w:rsidR="00E551F9" w:rsidRPr="003625BA" w:rsidRDefault="00E551F9" w:rsidP="00170415">
      <w:pPr>
        <w:pStyle w:val="Heading3"/>
        <w:jc w:val="center"/>
        <w:rPr>
          <w:rFonts w:ascii="Arial" w:hAnsi="Arial" w:cs="Arial"/>
          <w:b/>
          <w:bCs/>
          <w:color w:val="F26D24"/>
          <w:sz w:val="4"/>
          <w:szCs w:val="4"/>
        </w:rPr>
      </w:pPr>
    </w:p>
    <w:p w14:paraId="71C03619" w14:textId="29AB0C87" w:rsidR="001E3046" w:rsidRPr="003625BA" w:rsidRDefault="0065711A" w:rsidP="003625BA">
      <w:pPr>
        <w:pStyle w:val="Heading3"/>
        <w:jc w:val="center"/>
        <w:rPr>
          <w:rFonts w:ascii="Arial" w:hAnsi="Arial" w:cs="Arial"/>
          <w:b/>
          <w:bCs/>
          <w:color w:val="ED5625"/>
          <w:sz w:val="20"/>
          <w:szCs w:val="20"/>
        </w:rPr>
      </w:pPr>
      <w:bookmarkStart w:id="1503" w:name="_Table_3.4._Pre-budget"/>
      <w:bookmarkStart w:id="1504" w:name="_Toc123204495"/>
      <w:bookmarkStart w:id="1505" w:name="_Toc123217435"/>
      <w:bookmarkStart w:id="1506" w:name="_Toc123914054"/>
      <w:bookmarkStart w:id="1507" w:name="_Toc125566668"/>
      <w:bookmarkEnd w:id="1503"/>
      <w:r w:rsidRPr="003625BA">
        <w:rPr>
          <w:rFonts w:ascii="Arial" w:hAnsi="Arial" w:cs="Arial"/>
          <w:b/>
          <w:bCs/>
          <w:color w:val="ED5625"/>
          <w:sz w:val="20"/>
          <w:szCs w:val="20"/>
        </w:rPr>
        <w:t>Table 3.4</w:t>
      </w:r>
      <w:r w:rsidR="003D10E4">
        <w:rPr>
          <w:rFonts w:ascii="Arial" w:hAnsi="Arial" w:cs="Arial"/>
          <w:b/>
          <w:bCs/>
          <w:color w:val="ED5625"/>
          <w:sz w:val="20"/>
          <w:szCs w:val="20"/>
        </w:rPr>
        <w:t xml:space="preserve">. </w:t>
      </w:r>
      <w:r w:rsidR="004D0047" w:rsidRPr="003625BA">
        <w:rPr>
          <w:rFonts w:ascii="Arial" w:hAnsi="Arial" w:cs="Arial"/>
          <w:b/>
          <w:bCs/>
          <w:color w:val="ED5625"/>
          <w:sz w:val="20"/>
          <w:szCs w:val="20"/>
        </w:rPr>
        <w:t>P</w:t>
      </w:r>
      <w:r w:rsidR="009C36A7">
        <w:rPr>
          <w:rFonts w:ascii="Arial" w:hAnsi="Arial" w:cs="Arial"/>
          <w:b/>
          <w:bCs/>
          <w:color w:val="ED5625"/>
          <w:sz w:val="20"/>
          <w:szCs w:val="20"/>
        </w:rPr>
        <w:t>re-</w:t>
      </w:r>
      <w:r w:rsidR="00AD5BE2">
        <w:rPr>
          <w:rFonts w:ascii="Arial" w:hAnsi="Arial" w:cs="Arial"/>
          <w:b/>
          <w:bCs/>
          <w:color w:val="ED5625"/>
          <w:sz w:val="20"/>
          <w:szCs w:val="20"/>
        </w:rPr>
        <w:t>b</w:t>
      </w:r>
      <w:r w:rsidR="009C36A7" w:rsidRPr="00121AD8">
        <w:rPr>
          <w:rFonts w:ascii="Arial" w:hAnsi="Arial" w:cs="Arial"/>
          <w:b/>
          <w:bCs/>
          <w:color w:val="ED5625"/>
          <w:sz w:val="20"/>
          <w:szCs w:val="20"/>
        </w:rPr>
        <w:t>ud</w:t>
      </w:r>
      <w:r w:rsidR="009C36A7">
        <w:rPr>
          <w:rFonts w:ascii="Arial" w:hAnsi="Arial" w:cs="Arial"/>
          <w:b/>
          <w:bCs/>
          <w:color w:val="ED5625"/>
          <w:sz w:val="20"/>
          <w:szCs w:val="20"/>
        </w:rPr>
        <w:t xml:space="preserve">get </w:t>
      </w:r>
      <w:r w:rsidR="00AD5BE2">
        <w:rPr>
          <w:rFonts w:ascii="Arial" w:hAnsi="Arial" w:cs="Arial"/>
          <w:b/>
          <w:bCs/>
          <w:color w:val="ED5625"/>
          <w:sz w:val="20"/>
          <w:szCs w:val="20"/>
        </w:rPr>
        <w:t>s</w:t>
      </w:r>
      <w:r w:rsidR="009C36A7">
        <w:rPr>
          <w:rFonts w:ascii="Arial" w:hAnsi="Arial" w:cs="Arial"/>
          <w:b/>
          <w:bCs/>
          <w:color w:val="ED5625"/>
          <w:sz w:val="20"/>
          <w:szCs w:val="20"/>
        </w:rPr>
        <w:t>tatement</w:t>
      </w:r>
      <w:bookmarkEnd w:id="1504"/>
      <w:bookmarkEnd w:id="1505"/>
      <w:bookmarkEnd w:id="1506"/>
      <w:bookmarkEnd w:id="1507"/>
    </w:p>
    <w:tbl>
      <w:tblPr>
        <w:tblStyle w:val="GridTable5Dark-Accent2"/>
        <w:tblpPr w:leftFromText="180" w:rightFromText="180" w:vertAnchor="page" w:tblpY="1961"/>
        <w:tblW w:w="0" w:type="auto"/>
        <w:tblBorders>
          <w:insideH w:val="single" w:sz="4" w:space="0" w:color="FFFFFF"/>
          <w:insideV w:val="single" w:sz="4" w:space="0" w:color="FFFFFF"/>
        </w:tblBorders>
        <w:tblLook w:val="04A0" w:firstRow="1" w:lastRow="0" w:firstColumn="1" w:lastColumn="0" w:noHBand="0" w:noVBand="1"/>
      </w:tblPr>
      <w:tblGrid>
        <w:gridCol w:w="1555"/>
        <w:gridCol w:w="8901"/>
      </w:tblGrid>
      <w:tr w:rsidR="00170415" w14:paraId="288674A7" w14:textId="77777777" w:rsidTr="00C80E06">
        <w:trPr>
          <w:cnfStyle w:val="100000000000" w:firstRow="1" w:lastRow="0" w:firstColumn="0" w:lastColumn="0" w:oddVBand="0" w:evenVBand="0" w:oddHBand="0" w:evenHBand="0" w:firstRowFirstColumn="0" w:firstRowLastColumn="0" w:lastRowFirstColumn="0" w:lastRowLastColumn="0"/>
          <w:trHeight w:val="2593"/>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bottom w:val="single" w:sz="4" w:space="0" w:color="FFFFFF"/>
              <w:right w:val="single" w:sz="4" w:space="0" w:color="FFFFFF" w:themeColor="background1"/>
            </w:tcBorders>
          </w:tcPr>
          <w:p w14:paraId="1D1A4011" w14:textId="5A45A205" w:rsidR="00170415" w:rsidRDefault="00B51687" w:rsidP="00170415">
            <w:r>
              <w:rPr>
                <w:noProof/>
                <w:lang w:val="en-US"/>
              </w:rPr>
              <w:drawing>
                <wp:anchor distT="0" distB="0" distL="114300" distR="114300" simplePos="0" relativeHeight="254867454" behindDoc="1" locked="0" layoutInCell="1" allowOverlap="1" wp14:anchorId="012B4474" wp14:editId="67064C94">
                  <wp:simplePos x="0" y="0"/>
                  <wp:positionH relativeFrom="margin">
                    <wp:posOffset>102235</wp:posOffset>
                  </wp:positionH>
                  <wp:positionV relativeFrom="paragraph">
                    <wp:posOffset>153670</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4868478" behindDoc="0" locked="0" layoutInCell="1" allowOverlap="1" wp14:anchorId="6417C75B" wp14:editId="77B4BD14">
                      <wp:simplePos x="0" y="0"/>
                      <wp:positionH relativeFrom="column">
                        <wp:posOffset>73660</wp:posOffset>
                      </wp:positionH>
                      <wp:positionV relativeFrom="paragraph">
                        <wp:posOffset>803275</wp:posOffset>
                      </wp:positionV>
                      <wp:extent cx="734695" cy="38862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734695" cy="388620"/>
                              </a:xfrm>
                              <a:prstGeom prst="rect">
                                <a:avLst/>
                              </a:prstGeom>
                              <a:noFill/>
                              <a:ln w="6350">
                                <a:noFill/>
                              </a:ln>
                            </wps:spPr>
                            <wps:txbx>
                              <w:txbxContent>
                                <w:p w14:paraId="16C36996" w14:textId="520A8B96" w:rsidR="00D15FD8" w:rsidRPr="003625BA" w:rsidRDefault="00D15FD8" w:rsidP="00170415">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r>
                                    <w:rPr>
                                      <w:rFonts w:ascii="Roboto" w:hAnsi="Roboto"/>
                                      <w:b/>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7C75B" id="Text Box 125" o:spid="_x0000_s1341" type="#_x0000_t202" style="position:absolute;margin-left:5.8pt;margin-top:63.25pt;width:57.85pt;height:30.6pt;z-index:25486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" filled="f" stroked="f" strokeweight=".5pt">
                      <v:textbox>
                        <w:txbxContent>
                          <w:p w14:paraId="16C36996" w14:textId="520A8B96" w:rsidR="00D15FD8" w:rsidRPr="003625BA" w:rsidRDefault="00D15FD8" w:rsidP="00170415">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r>
                              <w:rPr>
                                <w:rFonts w:ascii="Roboto" w:hAnsi="Roboto"/>
                                <w:b/>
                                <w:color w:val="FFFFFF" w:themeColor="background1"/>
                                <w:sz w:val="20"/>
                                <w:szCs w:val="20"/>
                              </w:rPr>
                              <w:t>:</w:t>
                            </w:r>
                          </w:p>
                        </w:txbxContent>
                      </v:textbox>
                    </v:shape>
                  </w:pict>
                </mc:Fallback>
              </mc:AlternateContent>
            </w:r>
          </w:p>
        </w:tc>
        <w:tc>
          <w:tcPr>
            <w:tcW w:w="8901" w:type="dxa"/>
            <w:tcBorders>
              <w:left w:val="single" w:sz="4" w:space="0" w:color="FFFFFF" w:themeColor="background1"/>
              <w:bottom w:val="single" w:sz="4" w:space="0" w:color="FFFFFF"/>
            </w:tcBorders>
            <w:shd w:val="clear" w:color="auto" w:fill="FBE4D5" w:themeFill="accent2" w:themeFillTint="33"/>
          </w:tcPr>
          <w:p w14:paraId="13188473" w14:textId="77777777" w:rsidR="00170415" w:rsidRDefault="00170415" w:rsidP="00170415">
            <w:pPr>
              <w:cnfStyle w:val="100000000000" w:firstRow="1" w:lastRow="0" w:firstColumn="0" w:lastColumn="0" w:oddVBand="0" w:evenVBand="0" w:oddHBand="0" w:evenHBand="0" w:firstRowFirstColumn="0" w:firstRowLastColumn="0" w:lastRowFirstColumn="0" w:lastRowLastColumn="0"/>
            </w:pPr>
            <w:r>
              <w:rPr>
                <w:noProof/>
                <w:lang w:val="en-US"/>
              </w:rPr>
              <mc:AlternateContent>
                <mc:Choice Requires="wps">
                  <w:drawing>
                    <wp:anchor distT="0" distB="0" distL="114300" distR="114300" simplePos="0" relativeHeight="254869502" behindDoc="0" locked="0" layoutInCell="1" allowOverlap="1" wp14:anchorId="03B00BD6" wp14:editId="1AFCE199">
                      <wp:simplePos x="0" y="0"/>
                      <wp:positionH relativeFrom="column">
                        <wp:posOffset>7620</wp:posOffset>
                      </wp:positionH>
                      <wp:positionV relativeFrom="paragraph">
                        <wp:posOffset>119380</wp:posOffset>
                      </wp:positionV>
                      <wp:extent cx="5410200" cy="1498600"/>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5410200" cy="1498600"/>
                              </a:xfrm>
                              <a:prstGeom prst="rect">
                                <a:avLst/>
                              </a:prstGeom>
                              <a:noFill/>
                              <a:ln w="6350">
                                <a:noFill/>
                              </a:ln>
                            </wps:spPr>
                            <wps:txbx>
                              <w:txbxContent>
                                <w:p w14:paraId="61B66027" w14:textId="76ACFF20" w:rsidR="00D15FD8" w:rsidRPr="003625BA" w:rsidRDefault="00D15FD8" w:rsidP="00170415">
                                  <w:pPr>
                                    <w:jc w:val="both"/>
                                    <w:rPr>
                                      <w:rFonts w:ascii="Roboto" w:hAnsi="Roboto"/>
                                      <w:sz w:val="20"/>
                                      <w:szCs w:val="20"/>
                                    </w:rPr>
                                  </w:pPr>
                                  <w:r w:rsidRPr="003625BA">
                                    <w:rPr>
                                      <w:rFonts w:ascii="Roboto" w:hAnsi="Roboto"/>
                                      <w:sz w:val="20"/>
                                      <w:szCs w:val="20"/>
                                    </w:rPr>
                                    <w:t>The OECD’s Budget Transparency Toolkit (2017) recommends publication of the pre-budget statement at least one month before the executive’s budget proposal. Ideally it should be published in the fourth or fifth month of the previous budget year. Sometimes combined with midterm evaluation of the previous year (seventh month). The timing of the statement’s release influences the nature of its role and its importance in the budget process. The earlier in the budget formulation stage the statement is released, the more likely the executive can solicit views and inputs from other actors in the fiscal ecosystem, including the legislature and the public, and incorporate that feedback in its formulation of the budget.</w:t>
                                  </w:r>
                                  <w:r w:rsidRPr="003625BA">
                                    <w:rPr>
                                      <w:rFonts w:ascii="Roboto" w:hAnsi="Roboto"/>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00BD6" id="Text Box 126" o:spid="_x0000_s1342" type="#_x0000_t202" style="position:absolute;margin-left:.6pt;margin-top:9.4pt;width:426pt;height:118pt;z-index:254869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" filled="f" stroked="f" strokeweight=".5pt">
                      <v:textbox>
                        <w:txbxContent>
                          <w:p w14:paraId="61B66027" w14:textId="76ACFF20" w:rsidR="00D15FD8" w:rsidRPr="003625BA" w:rsidRDefault="00D15FD8" w:rsidP="00170415">
                            <w:pPr>
                              <w:jc w:val="both"/>
                              <w:rPr>
                                <w:rFonts w:ascii="Roboto" w:hAnsi="Roboto"/>
                                <w:sz w:val="20"/>
                                <w:szCs w:val="20"/>
                              </w:rPr>
                            </w:pPr>
                            <w:r w:rsidRPr="003625BA">
                              <w:rPr>
                                <w:rFonts w:ascii="Roboto" w:hAnsi="Roboto"/>
                                <w:sz w:val="20"/>
                                <w:szCs w:val="20"/>
                              </w:rPr>
                              <w:t>The OECD’s Budget Transparency Toolkit (2017) recommends publication of the pre-budget statement at least one month before the executive’s budget proposal. Ideally it should be published in the fourth or fifth month of the previous budget year. Sometimes combined with midterm evaluation of the previous year (seventh month). The timing of the statement’s release influences the nature of its role and its importance in the budget process. The earlier in the budget formulation stage the statement is released, the more likely the executive can solicit views and inputs from other actors in the fiscal ecosystem, including the legislature and the public, and incorporate that feedback in its formulation of the budget.</w:t>
                            </w:r>
                            <w:r w:rsidRPr="003625BA">
                              <w:rPr>
                                <w:rFonts w:ascii="Roboto" w:hAnsi="Roboto"/>
                                <w:sz w:val="20"/>
                                <w:szCs w:val="20"/>
                              </w:rPr>
                              <w:tab/>
                            </w:r>
                          </w:p>
                        </w:txbxContent>
                      </v:textbox>
                    </v:shape>
                  </w:pict>
                </mc:Fallback>
              </mc:AlternateContent>
            </w:r>
          </w:p>
          <w:p w14:paraId="2E9DF310" w14:textId="77777777" w:rsidR="00170415" w:rsidRPr="001E3046" w:rsidRDefault="00170415" w:rsidP="00170415">
            <w:pPr>
              <w:cnfStyle w:val="100000000000" w:firstRow="1" w:lastRow="0" w:firstColumn="0" w:lastColumn="0" w:oddVBand="0" w:evenVBand="0" w:oddHBand="0" w:evenHBand="0" w:firstRowFirstColumn="0" w:firstRowLastColumn="0" w:lastRowFirstColumn="0" w:lastRowLastColumn="0"/>
            </w:pPr>
          </w:p>
          <w:p w14:paraId="7C828AFE" w14:textId="77777777" w:rsidR="00170415" w:rsidRPr="001E3046" w:rsidRDefault="00170415" w:rsidP="00170415">
            <w:pPr>
              <w:cnfStyle w:val="100000000000" w:firstRow="1" w:lastRow="0" w:firstColumn="0" w:lastColumn="0" w:oddVBand="0" w:evenVBand="0" w:oddHBand="0" w:evenHBand="0" w:firstRowFirstColumn="0" w:firstRowLastColumn="0" w:lastRowFirstColumn="0" w:lastRowLastColumn="0"/>
            </w:pPr>
          </w:p>
          <w:p w14:paraId="371B3ED7" w14:textId="77777777" w:rsidR="00170415" w:rsidRPr="001E3046" w:rsidRDefault="00170415" w:rsidP="00170415">
            <w:pPr>
              <w:cnfStyle w:val="100000000000" w:firstRow="1" w:lastRow="0" w:firstColumn="0" w:lastColumn="0" w:oddVBand="0" w:evenVBand="0" w:oddHBand="0" w:evenHBand="0" w:firstRowFirstColumn="0" w:firstRowLastColumn="0" w:lastRowFirstColumn="0" w:lastRowLastColumn="0"/>
            </w:pPr>
          </w:p>
          <w:p w14:paraId="2B468EA8" w14:textId="77777777" w:rsidR="00170415" w:rsidRPr="001E3046" w:rsidRDefault="00170415" w:rsidP="00170415">
            <w:pPr>
              <w:cnfStyle w:val="100000000000" w:firstRow="1" w:lastRow="0" w:firstColumn="0" w:lastColumn="0" w:oddVBand="0" w:evenVBand="0" w:oddHBand="0" w:evenHBand="0" w:firstRowFirstColumn="0" w:firstRowLastColumn="0" w:lastRowFirstColumn="0" w:lastRowLastColumn="0"/>
            </w:pPr>
          </w:p>
          <w:p w14:paraId="4CDB809F" w14:textId="77777777" w:rsidR="00170415" w:rsidRPr="001E3046" w:rsidRDefault="00170415" w:rsidP="00170415">
            <w:pPr>
              <w:cnfStyle w:val="100000000000" w:firstRow="1" w:lastRow="0" w:firstColumn="0" w:lastColumn="0" w:oddVBand="0" w:evenVBand="0" w:oddHBand="0" w:evenHBand="0" w:firstRowFirstColumn="0" w:firstRowLastColumn="0" w:lastRowFirstColumn="0" w:lastRowLastColumn="0"/>
            </w:pPr>
          </w:p>
          <w:p w14:paraId="09CA14A3" w14:textId="77777777" w:rsidR="00170415" w:rsidRPr="001E3046" w:rsidRDefault="00170415" w:rsidP="00170415">
            <w:pPr>
              <w:cnfStyle w:val="100000000000" w:firstRow="1" w:lastRow="0" w:firstColumn="0" w:lastColumn="0" w:oddVBand="0" w:evenVBand="0" w:oddHBand="0" w:evenHBand="0" w:firstRowFirstColumn="0" w:firstRowLastColumn="0" w:lastRowFirstColumn="0" w:lastRowLastColumn="0"/>
            </w:pPr>
          </w:p>
        </w:tc>
      </w:tr>
      <w:tr w:rsidR="00170415" w14:paraId="4F23B2EC" w14:textId="77777777" w:rsidTr="00C80E06">
        <w:trPr>
          <w:cnfStyle w:val="000000100000" w:firstRow="0" w:lastRow="0" w:firstColumn="0" w:lastColumn="0" w:oddVBand="0" w:evenVBand="0" w:oddHBand="1" w:evenHBand="0" w:firstRowFirstColumn="0" w:firstRowLastColumn="0" w:lastRowFirstColumn="0" w:lastRowLastColumn="0"/>
          <w:trHeight w:val="3179"/>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FFFFFF"/>
              <w:left w:val="none" w:sz="0" w:space="0" w:color="auto"/>
            </w:tcBorders>
          </w:tcPr>
          <w:p w14:paraId="4935F06D" w14:textId="1F3E8CD9" w:rsidR="00170415" w:rsidRDefault="00B51687" w:rsidP="00170415">
            <w:r>
              <w:rPr>
                <w:noProof/>
                <w:lang w:val="en-US"/>
              </w:rPr>
              <mc:AlternateContent>
                <mc:Choice Requires="wps">
                  <w:drawing>
                    <wp:anchor distT="0" distB="0" distL="114300" distR="114300" simplePos="0" relativeHeight="254871550" behindDoc="0" locked="0" layoutInCell="1" allowOverlap="1" wp14:anchorId="30677B9B" wp14:editId="3C9C138D">
                      <wp:simplePos x="0" y="0"/>
                      <wp:positionH relativeFrom="column">
                        <wp:posOffset>-46355</wp:posOffset>
                      </wp:positionH>
                      <wp:positionV relativeFrom="paragraph">
                        <wp:posOffset>904875</wp:posOffset>
                      </wp:positionV>
                      <wp:extent cx="952500" cy="31115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952500" cy="311150"/>
                              </a:xfrm>
                              <a:prstGeom prst="rect">
                                <a:avLst/>
                              </a:prstGeom>
                              <a:noFill/>
                              <a:ln w="6350">
                                <a:noFill/>
                              </a:ln>
                            </wps:spPr>
                            <wps:txbx>
                              <w:txbxContent>
                                <w:p w14:paraId="2C93AF01" w14:textId="77777777" w:rsidR="00D15FD8" w:rsidRPr="003625BA" w:rsidRDefault="00D15FD8" w:rsidP="00170415">
                                  <w:pPr>
                                    <w:jc w:val="center"/>
                                    <w:rPr>
                                      <w:rFonts w:ascii="Roboto" w:hAnsi="Roboto"/>
                                      <w:b/>
                                      <w:color w:val="FFFFFF" w:themeColor="background1"/>
                                      <w:sz w:val="20"/>
                                      <w:szCs w:val="20"/>
                                    </w:rPr>
                                  </w:pPr>
                                  <w:r w:rsidRPr="00EF4223">
                                    <w:rPr>
                                      <w:rFonts w:ascii="Roboto" w:hAnsi="Roboto"/>
                                      <w:b/>
                                      <w:color w:val="FFFFFF" w:themeColor="background1"/>
                                      <w:sz w:val="18"/>
                                      <w:szCs w:val="18"/>
                                    </w:rPr>
                                    <w:t>IMPORTANCE</w:t>
                                  </w:r>
                                  <w:r w:rsidRPr="003625BA">
                                    <w:rPr>
                                      <w:rFonts w:ascii="Roboto" w:hAnsi="Roboto"/>
                                      <w:b/>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77B9B" id="Text Box 133" o:spid="_x0000_s1343" type="#_x0000_t202" style="position:absolute;margin-left:-3.65pt;margin-top:71.25pt;width:75pt;height:24.5pt;z-index:254871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" filled="f" stroked="f" strokeweight=".5pt">
                      <v:textbox>
                        <w:txbxContent>
                          <w:p w14:paraId="2C93AF01" w14:textId="77777777" w:rsidR="00D15FD8" w:rsidRPr="003625BA" w:rsidRDefault="00D15FD8" w:rsidP="00170415">
                            <w:pPr>
                              <w:jc w:val="center"/>
                              <w:rPr>
                                <w:rFonts w:ascii="Roboto" w:hAnsi="Roboto"/>
                                <w:b/>
                                <w:color w:val="FFFFFF" w:themeColor="background1"/>
                                <w:sz w:val="20"/>
                                <w:szCs w:val="20"/>
                              </w:rPr>
                            </w:pPr>
                            <w:r w:rsidRPr="00EF4223">
                              <w:rPr>
                                <w:rFonts w:ascii="Roboto" w:hAnsi="Roboto"/>
                                <w:b/>
                                <w:color w:val="FFFFFF" w:themeColor="background1"/>
                                <w:sz w:val="18"/>
                                <w:szCs w:val="18"/>
                              </w:rPr>
                              <w:t>IMPORTANCE</w:t>
                            </w:r>
                            <w:r w:rsidRPr="003625BA">
                              <w:rPr>
                                <w:rFonts w:ascii="Roboto" w:hAnsi="Roboto"/>
                                <w:b/>
                                <w:color w:val="FFFFFF" w:themeColor="background1"/>
                                <w:sz w:val="20"/>
                                <w:szCs w:val="20"/>
                              </w:rPr>
                              <w:t>:</w:t>
                            </w:r>
                          </w:p>
                        </w:txbxContent>
                      </v:textbox>
                    </v:shape>
                  </w:pict>
                </mc:Fallback>
              </mc:AlternateContent>
            </w:r>
            <w:r>
              <w:rPr>
                <w:noProof/>
                <w:lang w:val="en-US"/>
              </w:rPr>
              <w:drawing>
                <wp:anchor distT="0" distB="0" distL="114300" distR="114300" simplePos="0" relativeHeight="254870526" behindDoc="1" locked="0" layoutInCell="1" allowOverlap="1" wp14:anchorId="7BE4351D" wp14:editId="4AA6CA62">
                  <wp:simplePos x="0" y="0"/>
                  <wp:positionH relativeFrom="margin">
                    <wp:posOffset>102235</wp:posOffset>
                  </wp:positionH>
                  <wp:positionV relativeFrom="paragraph">
                    <wp:posOffset>175260</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46"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901" w:type="dxa"/>
            <w:tcBorders>
              <w:top w:val="single" w:sz="4" w:space="0" w:color="FFFFFF"/>
            </w:tcBorders>
          </w:tcPr>
          <w:p w14:paraId="3555638F" w14:textId="77777777" w:rsidR="00170415" w:rsidRDefault="00170415" w:rsidP="00170415">
            <w:pPr>
              <w:cnfStyle w:val="000000100000" w:firstRow="0" w:lastRow="0" w:firstColumn="0" w:lastColumn="0" w:oddVBand="0" w:evenVBand="0" w:oddHBand="1" w:evenHBand="0" w:firstRowFirstColumn="0" w:firstRowLastColumn="0" w:lastRowFirstColumn="0" w:lastRowLastColumn="0"/>
            </w:pPr>
            <w:r>
              <w:rPr>
                <w:noProof/>
                <w:lang w:val="en-US"/>
              </w:rPr>
              <mc:AlternateContent>
                <mc:Choice Requires="wps">
                  <w:drawing>
                    <wp:anchor distT="0" distB="0" distL="114300" distR="114300" simplePos="0" relativeHeight="254872574" behindDoc="0" locked="0" layoutInCell="1" allowOverlap="1" wp14:anchorId="508131A6" wp14:editId="7BAEFA59">
                      <wp:simplePos x="0" y="0"/>
                      <wp:positionH relativeFrom="column">
                        <wp:posOffset>20320</wp:posOffset>
                      </wp:positionH>
                      <wp:positionV relativeFrom="paragraph">
                        <wp:posOffset>92075</wp:posOffset>
                      </wp:positionV>
                      <wp:extent cx="5397500" cy="2476500"/>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5397500" cy="2476500"/>
                              </a:xfrm>
                              <a:prstGeom prst="rect">
                                <a:avLst/>
                              </a:prstGeom>
                              <a:noFill/>
                              <a:ln w="6350">
                                <a:noFill/>
                              </a:ln>
                            </wps:spPr>
                            <wps:txbx>
                              <w:txbxContent>
                                <w:p w14:paraId="38AD965A" w14:textId="3B6D9E00" w:rsidR="00D15FD8" w:rsidRPr="003625BA" w:rsidRDefault="00D15FD8" w:rsidP="00170415">
                                  <w:pPr>
                                    <w:jc w:val="both"/>
                                    <w:rPr>
                                      <w:rFonts w:ascii="Roboto" w:hAnsi="Roboto"/>
                                      <w:sz w:val="20"/>
                                      <w:szCs w:val="20"/>
                                    </w:rPr>
                                  </w:pPr>
                                  <w:r w:rsidRPr="003625BA">
                                    <w:rPr>
                                      <w:rFonts w:ascii="Roboto" w:hAnsi="Roboto"/>
                                      <w:sz w:val="20"/>
                                      <w:szCs w:val="20"/>
                                    </w:rPr>
                                    <w:t>It sets out the budget strategy, introducing the government’s high-level budget plans for the forthcoming fiscal year, including its revenue, expenditure and financing strategies. Allows actors outside of the executive to understand the executive’s budget strategies for the coming budget year and, ideally, for the two subsequent budget years; including the link between fiscal policies and budget allocations. By promoting awareness and debate on the budget aggregates including in respect of revenue and expenditure, the implications of maintaining existing policies, and interactions with the broader economy, it sets expectations for the budget and paves the way for an informed scrutiny of the actual budget. This calibrates expectations for the budget across actors in the fiscal ecosystem, and provides the basis for these actors to engage the executive on its strategies and to provide it with feedback. It also improves the budget formulation process within the executive itself, as estimates of allocations widely published tend to be more realistic, than those used internally that may be subject to budget games being played between different role-players within the executive.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131A6" id="Text Box 134" o:spid="_x0000_s1344" type="#_x0000_t202" style="position:absolute;margin-left:1.6pt;margin-top:7.25pt;width:425pt;height:195pt;z-index:254872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" filled="f" stroked="f" strokeweight=".5pt">
                      <v:textbox>
                        <w:txbxContent>
                          <w:p w14:paraId="38AD965A" w14:textId="3B6D9E00" w:rsidR="00D15FD8" w:rsidRPr="003625BA" w:rsidRDefault="00D15FD8" w:rsidP="00170415">
                            <w:pPr>
                              <w:jc w:val="both"/>
                              <w:rPr>
                                <w:rFonts w:ascii="Roboto" w:hAnsi="Roboto"/>
                                <w:sz w:val="20"/>
                                <w:szCs w:val="20"/>
                              </w:rPr>
                            </w:pPr>
                            <w:r w:rsidRPr="003625BA">
                              <w:rPr>
                                <w:rFonts w:ascii="Roboto" w:hAnsi="Roboto"/>
                                <w:sz w:val="20"/>
                                <w:szCs w:val="20"/>
                              </w:rPr>
                              <w:t>It sets out the budget strategy, introducing the government’s high-level budget plans for the forthcoming fiscal year, including its revenue, expenditure and financing strategies. Allows actors outside of the executive to understand the executive’s budget strategies for the coming budget year and, ideally, for the two subsequent budget years; including the link between fiscal policies and budget allocations. By promoting awareness and debate on the budget aggregates including in respect of revenue and expenditure, the implications of maintaining existing policies, and interactions with the broader economy, it sets expectations for the budget and paves the way for an informed scrutiny of the actual budget. This calibrates expectations for the budget across actors in the fiscal ecosystem, and provides the basis for these actors to engage the executive on its strategies and to provide it with feedback. It also improves the budget formulation process within the executive itself, as estimates of allocations widely published tend to be more realistic, than those used internally that may be subject to budget games being played between different role-players within the executive.</w:t>
                            </w:r>
                          </w:p>
                        </w:txbxContent>
                      </v:textbox>
                    </v:shape>
                  </w:pict>
                </mc:Fallback>
              </mc:AlternateContent>
            </w:r>
          </w:p>
          <w:p w14:paraId="27D93640"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5302EBCC"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321CD3F1"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16FB8E6F"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4B93EF8C"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0559A2AF"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5AC2B85D"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7B27A8BD" w14:textId="77777777" w:rsidR="00170415" w:rsidRDefault="00170415" w:rsidP="00170415">
            <w:pPr>
              <w:cnfStyle w:val="000000100000" w:firstRow="0" w:lastRow="0" w:firstColumn="0" w:lastColumn="0" w:oddVBand="0" w:evenVBand="0" w:oddHBand="1" w:evenHBand="0" w:firstRowFirstColumn="0" w:firstRowLastColumn="0" w:lastRowFirstColumn="0" w:lastRowLastColumn="0"/>
            </w:pPr>
          </w:p>
          <w:p w14:paraId="3B815C83" w14:textId="77777777" w:rsidR="00170415" w:rsidRDefault="00170415" w:rsidP="00170415">
            <w:pPr>
              <w:cnfStyle w:val="000000100000" w:firstRow="0" w:lastRow="0" w:firstColumn="0" w:lastColumn="0" w:oddVBand="0" w:evenVBand="0" w:oddHBand="1" w:evenHBand="0" w:firstRowFirstColumn="0" w:firstRowLastColumn="0" w:lastRowFirstColumn="0" w:lastRowLastColumn="0"/>
            </w:pPr>
          </w:p>
          <w:p w14:paraId="6CC6DF2F" w14:textId="77777777" w:rsidR="00170415" w:rsidRDefault="00170415" w:rsidP="00170415">
            <w:pPr>
              <w:cnfStyle w:val="000000100000" w:firstRow="0" w:lastRow="0" w:firstColumn="0" w:lastColumn="0" w:oddVBand="0" w:evenVBand="0" w:oddHBand="1" w:evenHBand="0" w:firstRowFirstColumn="0" w:firstRowLastColumn="0" w:lastRowFirstColumn="0" w:lastRowLastColumn="0"/>
            </w:pPr>
          </w:p>
          <w:p w14:paraId="246D06DC" w14:textId="77777777" w:rsidR="00170415" w:rsidRDefault="00170415" w:rsidP="00170415">
            <w:pPr>
              <w:cnfStyle w:val="000000100000" w:firstRow="0" w:lastRow="0" w:firstColumn="0" w:lastColumn="0" w:oddVBand="0" w:evenVBand="0" w:oddHBand="1" w:evenHBand="0" w:firstRowFirstColumn="0" w:firstRowLastColumn="0" w:lastRowFirstColumn="0" w:lastRowLastColumn="0"/>
            </w:pPr>
          </w:p>
          <w:p w14:paraId="05ACF846" w14:textId="77777777" w:rsidR="00170415" w:rsidRDefault="00170415" w:rsidP="00170415">
            <w:pPr>
              <w:cnfStyle w:val="000000100000" w:firstRow="0" w:lastRow="0" w:firstColumn="0" w:lastColumn="0" w:oddVBand="0" w:evenVBand="0" w:oddHBand="1" w:evenHBand="0" w:firstRowFirstColumn="0" w:firstRowLastColumn="0" w:lastRowFirstColumn="0" w:lastRowLastColumn="0"/>
            </w:pPr>
          </w:p>
          <w:p w14:paraId="57BD3A71"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p w14:paraId="7E6EC917" w14:textId="77777777" w:rsidR="00170415" w:rsidRPr="00732E71" w:rsidRDefault="00170415" w:rsidP="00170415">
            <w:pPr>
              <w:cnfStyle w:val="000000100000" w:firstRow="0" w:lastRow="0" w:firstColumn="0" w:lastColumn="0" w:oddVBand="0" w:evenVBand="0" w:oddHBand="1" w:evenHBand="0" w:firstRowFirstColumn="0" w:firstRowLastColumn="0" w:lastRowFirstColumn="0" w:lastRowLastColumn="0"/>
            </w:pPr>
          </w:p>
        </w:tc>
      </w:tr>
      <w:tr w:rsidR="0060782D" w14:paraId="1E481C01" w14:textId="77777777" w:rsidTr="0060782D">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69557F"/>
          </w:tcPr>
          <w:p w14:paraId="64381F6C" w14:textId="77777777" w:rsidR="00170415" w:rsidRDefault="00170415" w:rsidP="00170415">
            <w:r>
              <w:rPr>
                <w:noProof/>
                <w:lang w:val="en-US"/>
              </w:rPr>
              <w:drawing>
                <wp:anchor distT="0" distB="0" distL="114300" distR="114300" simplePos="0" relativeHeight="254883838" behindDoc="1" locked="0" layoutInCell="1" allowOverlap="1" wp14:anchorId="356CFA38" wp14:editId="02C725FE">
                  <wp:simplePos x="0" y="0"/>
                  <wp:positionH relativeFrom="column">
                    <wp:posOffset>-1905</wp:posOffset>
                  </wp:positionH>
                  <wp:positionV relativeFrom="paragraph">
                    <wp:posOffset>88900</wp:posOffset>
                  </wp:positionV>
                  <wp:extent cx="2476500" cy="495300"/>
                  <wp:effectExtent l="0" t="0" r="0" b="0"/>
                  <wp:wrapTight wrapText="bothSides">
                    <wp:wrapPolygon edited="0">
                      <wp:start x="1551" y="1108"/>
                      <wp:lineTo x="997" y="3323"/>
                      <wp:lineTo x="222" y="8862"/>
                      <wp:lineTo x="222" y="12738"/>
                      <wp:lineTo x="1329" y="18831"/>
                      <wp:lineTo x="1662" y="19938"/>
                      <wp:lineTo x="20603" y="19938"/>
                      <wp:lineTo x="20825" y="18831"/>
                      <wp:lineTo x="21268" y="13292"/>
                      <wp:lineTo x="21378" y="2769"/>
                      <wp:lineTo x="19717" y="2215"/>
                      <wp:lineTo x="2769" y="1108"/>
                      <wp:lineTo x="1551" y="1108"/>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2_Icon_titles_quarterof1920-01.png"/>
                          <pic:cNvPicPr/>
                        </pic:nvPicPr>
                        <pic:blipFill>
                          <a:blip r:embed="rId647" cstate="email">
                            <a:extLst>
                              <a:ext uri="{28A0092B-C50C-407E-A947-70E740481C1C}">
                                <a14:useLocalDpi xmlns:a14="http://schemas.microsoft.com/office/drawing/2010/main"/>
                              </a:ext>
                            </a:extLst>
                          </a:blip>
                          <a:stretch>
                            <a:fillRect/>
                          </a:stretch>
                        </pic:blipFill>
                        <pic:spPr>
                          <a:xfrm>
                            <a:off x="0" y="0"/>
                            <a:ext cx="2476500" cy="495300"/>
                          </a:xfrm>
                          <a:prstGeom prst="rect">
                            <a:avLst/>
                          </a:prstGeom>
                        </pic:spPr>
                      </pic:pic>
                    </a:graphicData>
                  </a:graphic>
                  <wp14:sizeRelH relativeFrom="page">
                    <wp14:pctWidth>0</wp14:pctWidth>
                  </wp14:sizeRelH>
                  <wp14:sizeRelV relativeFrom="page">
                    <wp14:pctHeight>0</wp14:pctHeight>
                  </wp14:sizeRelV>
                </wp:anchor>
              </w:drawing>
            </w:r>
          </w:p>
          <w:p w14:paraId="581A6626" w14:textId="77777777" w:rsidR="00170415" w:rsidRDefault="00170415" w:rsidP="00170415"/>
          <w:p w14:paraId="07CD9993" w14:textId="77777777" w:rsidR="00170415" w:rsidRDefault="00170415" w:rsidP="00170415">
            <w:pPr>
              <w:rPr>
                <w:b w:val="0"/>
                <w:bCs w:val="0"/>
              </w:rPr>
            </w:pPr>
          </w:p>
          <w:p w14:paraId="758940BD" w14:textId="7372EF6D" w:rsidR="00170415" w:rsidRDefault="00170415" w:rsidP="00170415">
            <w:r>
              <w:rPr>
                <w:noProof/>
                <w:lang w:val="en-US"/>
              </w:rPr>
              <mc:AlternateContent>
                <mc:Choice Requires="wps">
                  <w:drawing>
                    <wp:anchor distT="0" distB="0" distL="114300" distR="114300" simplePos="0" relativeHeight="254873598" behindDoc="0" locked="0" layoutInCell="1" allowOverlap="1" wp14:anchorId="0649EAF0" wp14:editId="2D0925EA">
                      <wp:simplePos x="0" y="0"/>
                      <wp:positionH relativeFrom="margin">
                        <wp:posOffset>-1270</wp:posOffset>
                      </wp:positionH>
                      <wp:positionV relativeFrom="paragraph">
                        <wp:posOffset>83185</wp:posOffset>
                      </wp:positionV>
                      <wp:extent cx="6479540" cy="476250"/>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6479540" cy="476250"/>
                              </a:xfrm>
                              <a:prstGeom prst="rect">
                                <a:avLst/>
                              </a:prstGeom>
                              <a:noFill/>
                              <a:ln w="6350">
                                <a:noFill/>
                              </a:ln>
                            </wps:spPr>
                            <wps:txbx>
                              <w:txbxContent>
                                <w:p w14:paraId="766DBE21" w14:textId="5020E8A3" w:rsidR="00D15FD8" w:rsidRPr="003625BA" w:rsidRDefault="00D15FD8" w:rsidP="00170415">
                                  <w:pPr>
                                    <w:jc w:val="both"/>
                                    <w:rPr>
                                      <w:rFonts w:ascii="Roboto" w:hAnsi="Roboto"/>
                                      <w:color w:val="FFFFFF" w:themeColor="background1"/>
                                      <w:sz w:val="23"/>
                                      <w:szCs w:val="23"/>
                                    </w:rPr>
                                  </w:pPr>
                                  <w:r w:rsidRPr="0060782D">
                                    <w:rPr>
                                      <w:rFonts w:ascii="Roboto" w:hAnsi="Roboto"/>
                                      <w:color w:val="FFFFFF" w:themeColor="background1"/>
                                      <w:sz w:val="23"/>
                                      <w:szCs w:val="23"/>
                                    </w:rPr>
                                    <w:t>Governments should publish clear and measurable objectives for aggregate fiscal policy, regularly report progress against them, and explain deviations from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9EAF0" id="Text Box 135" o:spid="_x0000_s1345" type="#_x0000_t202" style="position:absolute;margin-left:-.1pt;margin-top:6.55pt;width:510.2pt;height:37.5pt;z-index:2548735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" filled="f" stroked="f" strokeweight=".5pt">
                      <v:textbox>
                        <w:txbxContent>
                          <w:p w14:paraId="766DBE21" w14:textId="5020E8A3" w:rsidR="00D15FD8" w:rsidRPr="003625BA" w:rsidRDefault="00D15FD8" w:rsidP="00170415">
                            <w:pPr>
                              <w:jc w:val="both"/>
                              <w:rPr>
                                <w:rFonts w:ascii="Roboto" w:hAnsi="Roboto"/>
                                <w:color w:val="FFFFFF" w:themeColor="background1"/>
                                <w:sz w:val="23"/>
                                <w:szCs w:val="23"/>
                              </w:rPr>
                            </w:pPr>
                            <w:r w:rsidRPr="0060782D">
                              <w:rPr>
                                <w:rFonts w:ascii="Roboto" w:hAnsi="Roboto"/>
                                <w:color w:val="FFFFFF" w:themeColor="background1"/>
                                <w:sz w:val="23"/>
                                <w:szCs w:val="23"/>
                              </w:rPr>
                              <w:t>Governments should publish clear and measurable objectives for aggregate fiscal policy, regularly report progress against them, and explain deviations from plans.</w:t>
                            </w:r>
                          </w:p>
                        </w:txbxContent>
                      </v:textbox>
                      <w10:wrap anchorx="margin"/>
                    </v:shape>
                  </w:pict>
                </mc:Fallback>
              </mc:AlternateContent>
            </w:r>
          </w:p>
          <w:p w14:paraId="2D859689" w14:textId="77777777" w:rsidR="00170415" w:rsidRDefault="00170415" w:rsidP="00170415">
            <w:pPr>
              <w:rPr>
                <w:b w:val="0"/>
                <w:bCs w:val="0"/>
              </w:rPr>
            </w:pPr>
          </w:p>
          <w:p w14:paraId="78ECD39E" w14:textId="77777777" w:rsidR="00170415" w:rsidRDefault="00170415" w:rsidP="00170415">
            <w:pPr>
              <w:rPr>
                <w:b w:val="0"/>
                <w:bCs w:val="0"/>
              </w:rPr>
            </w:pPr>
          </w:p>
          <w:p w14:paraId="307F4A0A" w14:textId="77777777" w:rsidR="00170415" w:rsidRDefault="00170415" w:rsidP="00170415"/>
        </w:tc>
      </w:tr>
      <w:tr w:rsidR="00170415" w14:paraId="0CF93482" w14:textId="77777777" w:rsidTr="00B516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2"/>
            <w:tcBorders>
              <w:left w:val="none" w:sz="0" w:space="0" w:color="auto"/>
            </w:tcBorders>
            <w:shd w:val="clear" w:color="auto" w:fill="675380"/>
          </w:tcPr>
          <w:p w14:paraId="4F6718F2" w14:textId="3AE71E29" w:rsidR="00170415" w:rsidRDefault="00170415" w:rsidP="00170415">
            <w:pPr>
              <w:rPr>
                <w:b w:val="0"/>
                <w:bCs w:val="0"/>
                <w:noProof/>
              </w:rPr>
            </w:pPr>
            <w:r>
              <w:rPr>
                <w:noProof/>
                <w:lang w:val="en-US"/>
              </w:rPr>
              <mc:AlternateContent>
                <mc:Choice Requires="wps">
                  <w:drawing>
                    <wp:anchor distT="0" distB="0" distL="114300" distR="114300" simplePos="0" relativeHeight="254874622" behindDoc="0" locked="0" layoutInCell="1" allowOverlap="1" wp14:anchorId="4FA3A75B" wp14:editId="53005508">
                      <wp:simplePos x="0" y="0"/>
                      <wp:positionH relativeFrom="margin">
                        <wp:posOffset>29845</wp:posOffset>
                      </wp:positionH>
                      <wp:positionV relativeFrom="paragraph">
                        <wp:posOffset>24765</wp:posOffset>
                      </wp:positionV>
                      <wp:extent cx="6451600" cy="482600"/>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6451600" cy="482600"/>
                              </a:xfrm>
                              <a:prstGeom prst="rect">
                                <a:avLst/>
                              </a:prstGeom>
                              <a:noFill/>
                              <a:ln w="6350">
                                <a:noFill/>
                              </a:ln>
                            </wps:spPr>
                            <wps:txbx>
                              <w:txbxContent>
                                <w:p w14:paraId="6B23E41C" w14:textId="50723907" w:rsidR="00D15FD8" w:rsidRPr="00853AF1" w:rsidRDefault="00D15FD8" w:rsidP="00170415">
                                  <w:pPr>
                                    <w:rPr>
                                      <w:rFonts w:ascii="Roboto" w:hAnsi="Roboto"/>
                                      <w:b/>
                                      <w:color w:val="FFFFFF" w:themeColor="background1"/>
                                    </w:rPr>
                                  </w:pPr>
                                  <w:r w:rsidRPr="0060782D">
                                    <w:rPr>
                                      <w:rFonts w:ascii="Roboto" w:hAnsi="Roboto"/>
                                      <w:b/>
                                      <w:color w:val="FFFFFF" w:themeColor="background1"/>
                                    </w:rPr>
                                    <w:t>The importance of publishing the executive’s fiscal policy strategy is in line with GIFT High-level Principle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3A75B" id="Text Box 136" o:spid="_x0000_s1346" type="#_x0000_t202" style="position:absolute;margin-left:2.35pt;margin-top:1.95pt;width:508pt;height:38pt;z-index:2548746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" filled="f" stroked="f" strokeweight=".5pt">
                      <v:textbox>
                        <w:txbxContent>
                          <w:p w14:paraId="6B23E41C" w14:textId="50723907" w:rsidR="00D15FD8" w:rsidRPr="00853AF1" w:rsidRDefault="00D15FD8" w:rsidP="00170415">
                            <w:pPr>
                              <w:rPr>
                                <w:rFonts w:ascii="Roboto" w:hAnsi="Roboto"/>
                                <w:b/>
                                <w:color w:val="FFFFFF" w:themeColor="background1"/>
                              </w:rPr>
                            </w:pPr>
                            <w:r w:rsidRPr="0060782D">
                              <w:rPr>
                                <w:rFonts w:ascii="Roboto" w:hAnsi="Roboto"/>
                                <w:b/>
                                <w:color w:val="FFFFFF" w:themeColor="background1"/>
                              </w:rPr>
                              <w:t>The importance of publishing the executive’s fiscal policy strategy is in line with GIFT High-level Principle 2.</w:t>
                            </w:r>
                          </w:p>
                        </w:txbxContent>
                      </v:textbox>
                      <w10:wrap anchorx="margin"/>
                    </v:shape>
                  </w:pict>
                </mc:Fallback>
              </mc:AlternateContent>
            </w:r>
          </w:p>
          <w:p w14:paraId="4134D9CD" w14:textId="77777777" w:rsidR="00170415" w:rsidRDefault="00170415" w:rsidP="00170415">
            <w:pPr>
              <w:rPr>
                <w:b w:val="0"/>
                <w:bCs w:val="0"/>
                <w:noProof/>
              </w:rPr>
            </w:pPr>
          </w:p>
          <w:p w14:paraId="239457CE" w14:textId="77777777" w:rsidR="00170415" w:rsidRDefault="00170415" w:rsidP="00170415">
            <w:pPr>
              <w:rPr>
                <w:noProof/>
              </w:rPr>
            </w:pPr>
          </w:p>
        </w:tc>
      </w:tr>
      <w:tr w:rsidR="00170415" w14:paraId="5D2A8E1D" w14:textId="77777777" w:rsidTr="00B51687">
        <w:trPr>
          <w:trHeight w:val="3960"/>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tcBorders>
          </w:tcPr>
          <w:p w14:paraId="4F601B52" w14:textId="59748B06" w:rsidR="00170415" w:rsidRDefault="00B51687" w:rsidP="00170415">
            <w:pPr>
              <w:rPr>
                <w:b w:val="0"/>
                <w:bCs w:val="0"/>
              </w:rPr>
            </w:pPr>
            <w:r>
              <w:rPr>
                <w:noProof/>
                <w:lang w:val="en-US"/>
              </w:rPr>
              <mc:AlternateContent>
                <mc:Choice Requires="wps">
                  <w:drawing>
                    <wp:anchor distT="0" distB="0" distL="114300" distR="114300" simplePos="0" relativeHeight="254876670" behindDoc="0" locked="0" layoutInCell="1" allowOverlap="1" wp14:anchorId="50B3772F" wp14:editId="0DC4D0BB">
                      <wp:simplePos x="0" y="0"/>
                      <wp:positionH relativeFrom="margin">
                        <wp:posOffset>-62865</wp:posOffset>
                      </wp:positionH>
                      <wp:positionV relativeFrom="paragraph">
                        <wp:posOffset>838835</wp:posOffset>
                      </wp:positionV>
                      <wp:extent cx="975995" cy="311150"/>
                      <wp:effectExtent l="0" t="0" r="0" b="0"/>
                      <wp:wrapNone/>
                      <wp:docPr id="137" name="Text Box 137"/>
                      <wp:cNvGraphicFramePr/>
                      <a:graphic xmlns:a="http://schemas.openxmlformats.org/drawingml/2006/main">
                        <a:graphicData uri="http://schemas.microsoft.com/office/word/2010/wordprocessingShape">
                          <wps:wsp>
                            <wps:cNvSpPr txBox="1"/>
                            <wps:spPr>
                              <a:xfrm>
                                <a:off x="0" y="0"/>
                                <a:ext cx="975995" cy="311150"/>
                              </a:xfrm>
                              <a:prstGeom prst="rect">
                                <a:avLst/>
                              </a:prstGeom>
                              <a:noFill/>
                              <a:ln w="6350">
                                <a:noFill/>
                              </a:ln>
                            </wps:spPr>
                            <wps:txbx>
                              <w:txbxContent>
                                <w:p w14:paraId="5AF2E435" w14:textId="77777777" w:rsidR="00D15FD8" w:rsidRPr="003625BA" w:rsidRDefault="00D15FD8" w:rsidP="00170415">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3772F" id="Text Box 137" o:spid="_x0000_s1347" type="#_x0000_t202" style="position:absolute;margin-left:-4.95pt;margin-top:66.05pt;width:76.85pt;height:24.5pt;z-index:2548766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" filled="f" stroked="f" strokeweight=".5pt">
                      <v:textbox>
                        <w:txbxContent>
                          <w:p w14:paraId="5AF2E435" w14:textId="77777777" w:rsidR="00D15FD8" w:rsidRPr="003625BA" w:rsidRDefault="00D15FD8" w:rsidP="00170415">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v:textbox>
                      <w10:wrap anchorx="margin"/>
                    </v:shape>
                  </w:pict>
                </mc:Fallback>
              </mc:AlternateContent>
            </w:r>
            <w:r>
              <w:rPr>
                <w:noProof/>
                <w:lang w:val="en-US"/>
              </w:rPr>
              <w:drawing>
                <wp:anchor distT="0" distB="0" distL="114300" distR="114300" simplePos="0" relativeHeight="254875646" behindDoc="1" locked="0" layoutInCell="1" allowOverlap="1" wp14:anchorId="56FF1D35" wp14:editId="52547978">
                  <wp:simplePos x="0" y="0"/>
                  <wp:positionH relativeFrom="margin">
                    <wp:posOffset>94615</wp:posOffset>
                  </wp:positionH>
                  <wp:positionV relativeFrom="paragraph">
                    <wp:posOffset>154940</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4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3504E631" w14:textId="0A0413B4" w:rsidR="00170415" w:rsidRDefault="00170415" w:rsidP="00170415">
            <w:pPr>
              <w:rPr>
                <w:b w:val="0"/>
                <w:bCs w:val="0"/>
              </w:rPr>
            </w:pPr>
          </w:p>
          <w:p w14:paraId="17FFB1A2" w14:textId="1FD06F27" w:rsidR="00170415" w:rsidRDefault="00170415" w:rsidP="00170415">
            <w:pPr>
              <w:rPr>
                <w:b w:val="0"/>
                <w:bCs w:val="0"/>
              </w:rPr>
            </w:pPr>
          </w:p>
          <w:p w14:paraId="474E406F" w14:textId="606926DF" w:rsidR="00170415" w:rsidRDefault="00170415" w:rsidP="00170415"/>
        </w:tc>
        <w:tc>
          <w:tcPr>
            <w:tcW w:w="8901" w:type="dxa"/>
          </w:tcPr>
          <w:p w14:paraId="200ABF16"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r>
              <w:rPr>
                <w:noProof/>
                <w:lang w:val="en-US"/>
              </w:rPr>
              <mc:AlternateContent>
                <mc:Choice Requires="wps">
                  <w:drawing>
                    <wp:anchor distT="0" distB="0" distL="114300" distR="114300" simplePos="0" relativeHeight="254877694" behindDoc="0" locked="0" layoutInCell="1" allowOverlap="1" wp14:anchorId="0BB45249" wp14:editId="2F1C08D2">
                      <wp:simplePos x="0" y="0"/>
                      <wp:positionH relativeFrom="column">
                        <wp:posOffset>45720</wp:posOffset>
                      </wp:positionH>
                      <wp:positionV relativeFrom="paragraph">
                        <wp:posOffset>96520</wp:posOffset>
                      </wp:positionV>
                      <wp:extent cx="5372100" cy="1295400"/>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5372100" cy="1295400"/>
                              </a:xfrm>
                              <a:prstGeom prst="rect">
                                <a:avLst/>
                              </a:prstGeom>
                              <a:noFill/>
                              <a:ln w="6350">
                                <a:noFill/>
                              </a:ln>
                            </wps:spPr>
                            <wps:txbx>
                              <w:txbxContent>
                                <w:p w14:paraId="33299D98" w14:textId="655FA7EC" w:rsidR="00D15FD8" w:rsidRPr="003625BA" w:rsidRDefault="00D15FD8" w:rsidP="00170415">
                                  <w:pPr>
                                    <w:jc w:val="both"/>
                                    <w:rPr>
                                      <w:rFonts w:ascii="Roboto" w:hAnsi="Roboto"/>
                                      <w:sz w:val="20"/>
                                      <w:szCs w:val="20"/>
                                    </w:rPr>
                                  </w:pPr>
                                  <w:r w:rsidRPr="003625BA">
                                    <w:rPr>
                                      <w:rFonts w:ascii="Roboto" w:hAnsi="Roboto"/>
                                      <w:sz w:val="20"/>
                                      <w:szCs w:val="20"/>
                                    </w:rPr>
                                    <w:t>The contents should reflect government’s initial thinking about the budget for the coming year, containing information on government’s perspective on how fiscal policy will relate to the broader economy and how budget priorities will be shaped in the coming years. It provides a general sense of the government’s budget priorities and policies without the detail that will ultimately be contained in the budget itself, that should then also take account of new developments that emerge and the feedback received on the Pre-budget Statement.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45249" id="Text Box 138" o:spid="_x0000_s1348" type="#_x0000_t202" style="position:absolute;margin-left:3.6pt;margin-top:7.6pt;width:423pt;height:102pt;z-index:254877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" filled="f" stroked="f" strokeweight=".5pt">
                      <v:textbox>
                        <w:txbxContent>
                          <w:p w14:paraId="33299D98" w14:textId="655FA7EC" w:rsidR="00D15FD8" w:rsidRPr="003625BA" w:rsidRDefault="00D15FD8" w:rsidP="00170415">
                            <w:pPr>
                              <w:jc w:val="both"/>
                              <w:rPr>
                                <w:rFonts w:ascii="Roboto" w:hAnsi="Roboto"/>
                                <w:sz w:val="20"/>
                                <w:szCs w:val="20"/>
                              </w:rPr>
                            </w:pPr>
                            <w:r w:rsidRPr="003625BA">
                              <w:rPr>
                                <w:rFonts w:ascii="Roboto" w:hAnsi="Roboto"/>
                                <w:sz w:val="20"/>
                                <w:szCs w:val="20"/>
                              </w:rPr>
                              <w:t>The contents should reflect government’s initial thinking about the budget for the coming year, containing information on government’s perspective on how fiscal policy will relate to the broader economy and how budget priorities will be shaped in the coming years. It provides a general sense of the government’s budget priorities and policies without the detail that will ultimately be contained in the budget itself, that should then also take account of new developments that emerge and the feedback received on the Pre-budget Statement.</w:t>
                            </w:r>
                          </w:p>
                        </w:txbxContent>
                      </v:textbox>
                    </v:shape>
                  </w:pict>
                </mc:Fallback>
              </mc:AlternateContent>
            </w:r>
          </w:p>
          <w:p w14:paraId="575183E3"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6D3D6D95" w14:textId="150BCB5A"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68A1F054" w14:textId="438A7A19"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278DA274" w14:textId="721098C1"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7F9E111B" w14:textId="6DE4457B"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6E033842" w14:textId="7D3DE59C"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6F8ED864" w14:textId="2DB19B5D"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12A5E88B" w14:textId="11A1FABB" w:rsidR="00AD5BE2" w:rsidRDefault="00B51687" w:rsidP="00170415">
            <w:pPr>
              <w:cnfStyle w:val="000000000000" w:firstRow="0" w:lastRow="0" w:firstColumn="0" w:lastColumn="0" w:oddVBand="0" w:evenVBand="0" w:oddHBand="0" w:evenHBand="0" w:firstRowFirstColumn="0" w:firstRowLastColumn="0" w:lastRowFirstColumn="0" w:lastRowLastColumn="0"/>
            </w:pPr>
            <w:r>
              <w:rPr>
                <w:noProof/>
                <w:lang w:val="en-US"/>
              </w:rPr>
              <mc:AlternateContent>
                <mc:Choice Requires="wps">
                  <w:drawing>
                    <wp:anchor distT="0" distB="0" distL="114300" distR="114300" simplePos="0" relativeHeight="254878718" behindDoc="0" locked="0" layoutInCell="1" allowOverlap="1" wp14:anchorId="7361A995" wp14:editId="0D3F6757">
                      <wp:simplePos x="0" y="0"/>
                      <wp:positionH relativeFrom="column">
                        <wp:posOffset>53628</wp:posOffset>
                      </wp:positionH>
                      <wp:positionV relativeFrom="paragraph">
                        <wp:posOffset>15755</wp:posOffset>
                      </wp:positionV>
                      <wp:extent cx="5362994" cy="1233170"/>
                      <wp:effectExtent l="0" t="0" r="0" b="5080"/>
                      <wp:wrapNone/>
                      <wp:docPr id="139" name="Text Box 139"/>
                      <wp:cNvGraphicFramePr/>
                      <a:graphic xmlns:a="http://schemas.openxmlformats.org/drawingml/2006/main">
                        <a:graphicData uri="http://schemas.microsoft.com/office/word/2010/wordprocessingShape">
                          <wps:wsp>
                            <wps:cNvSpPr txBox="1"/>
                            <wps:spPr>
                              <a:xfrm>
                                <a:off x="0" y="0"/>
                                <a:ext cx="5362994" cy="1233170"/>
                              </a:xfrm>
                              <a:prstGeom prst="rect">
                                <a:avLst/>
                              </a:prstGeom>
                              <a:noFill/>
                              <a:ln w="6350">
                                <a:noFill/>
                              </a:ln>
                            </wps:spPr>
                            <wps:txbx>
                              <w:txbxContent>
                                <w:p w14:paraId="5E8FAFFA" w14:textId="72611DEA" w:rsidR="00D15FD8" w:rsidRDefault="00D15FD8" w:rsidP="00170415">
                                  <w:pPr>
                                    <w:rPr>
                                      <w:rFonts w:ascii="Roboto" w:hAnsi="Roboto"/>
                                      <w:b/>
                                      <w:color w:val="69557F"/>
                                      <w:sz w:val="23"/>
                                      <w:szCs w:val="23"/>
                                    </w:rPr>
                                  </w:pPr>
                                  <w:r w:rsidRPr="003625BA">
                                    <w:rPr>
                                      <w:rFonts w:ascii="Roboto" w:hAnsi="Roboto"/>
                                      <w:b/>
                                      <w:color w:val="69557F"/>
                                      <w:sz w:val="23"/>
                                      <w:szCs w:val="23"/>
                                    </w:rPr>
                                    <w:t>Five key components providing executive’s views and rationale thereof, on:</w:t>
                                  </w:r>
                                </w:p>
                                <w:p w14:paraId="12C592CC" w14:textId="409D4818" w:rsidR="00D15FD8" w:rsidRPr="003625BA" w:rsidRDefault="00D15FD8" w:rsidP="00170415">
                                  <w:pPr>
                                    <w:rPr>
                                      <w:rFonts w:ascii="Roboto" w:hAnsi="Roboto"/>
                                      <w:b/>
                                      <w:color w:val="3B3838" w:themeColor="background2" w:themeShade="40"/>
                                      <w:sz w:val="23"/>
                                      <w:szCs w:val="23"/>
                                    </w:rPr>
                                  </w:pPr>
                                </w:p>
                                <w:p w14:paraId="62B66134" w14:textId="77777777" w:rsidR="00D15FD8" w:rsidRPr="00AD5BE2" w:rsidRDefault="00D15FD8" w:rsidP="00AD5BE2">
                                  <w:pPr>
                                    <w:pStyle w:val="ListParagraph"/>
                                    <w:numPr>
                                      <w:ilvl w:val="0"/>
                                      <w:numId w:val="79"/>
                                    </w:numPr>
                                    <w:contextualSpacing/>
                                    <w:jc w:val="both"/>
                                    <w:rPr>
                                      <w:rFonts w:ascii="Roboto" w:hAnsi="Roboto"/>
                                      <w:sz w:val="20"/>
                                      <w:szCs w:val="20"/>
                                    </w:rPr>
                                  </w:pPr>
                                  <w:r w:rsidRPr="003413B3">
                                    <w:rPr>
                                      <w:rFonts w:ascii="Roboto" w:hAnsi="Roboto"/>
                                      <w:sz w:val="20"/>
                                      <w:szCs w:val="20"/>
                                    </w:rPr>
                                    <w:t>Expected macroeconomic conditions, including assump</w:t>
                                  </w:r>
                                  <w:r w:rsidRPr="00AD5BE2">
                                    <w:rPr>
                                      <w:rFonts w:ascii="Roboto" w:hAnsi="Roboto"/>
                                      <w:sz w:val="20"/>
                                      <w:szCs w:val="20"/>
                                    </w:rPr>
                                    <w:t xml:space="preserve">tions about macroeconomic indicators such as real output growth; composition of GDP growth; employment; prices; the current account; and interest rates, over the medium term. </w:t>
                                  </w:r>
                                </w:p>
                                <w:p w14:paraId="563FA554" w14:textId="77777777" w:rsidR="00D15FD8" w:rsidRPr="0078463C" w:rsidRDefault="00D15FD8" w:rsidP="00170415">
                                  <w:pPr>
                                    <w:rPr>
                                      <w:rFonts w:ascii="Roboto" w:hAnsi="Roboto"/>
                                      <w:b/>
                                      <w:color w:val="69557F"/>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1A995" id="Text Box 139" o:spid="_x0000_s1349" type="#_x0000_t202" style="position:absolute;margin-left:4.2pt;margin-top:1.25pt;width:422.3pt;height:97.1pt;z-index:254878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" filled="f" stroked="f" strokeweight=".5pt">
                      <v:textbox>
                        <w:txbxContent>
                          <w:p w14:paraId="5E8FAFFA" w14:textId="72611DEA" w:rsidR="00D15FD8" w:rsidRDefault="00D15FD8" w:rsidP="00170415">
                            <w:pPr>
                              <w:rPr>
                                <w:rFonts w:ascii="Roboto" w:hAnsi="Roboto"/>
                                <w:b/>
                                <w:color w:val="69557F"/>
                                <w:sz w:val="23"/>
                                <w:szCs w:val="23"/>
                              </w:rPr>
                            </w:pPr>
                            <w:r w:rsidRPr="003625BA">
                              <w:rPr>
                                <w:rFonts w:ascii="Roboto" w:hAnsi="Roboto"/>
                                <w:b/>
                                <w:color w:val="69557F"/>
                                <w:sz w:val="23"/>
                                <w:szCs w:val="23"/>
                              </w:rPr>
                              <w:t>Five key components providing executive’s views and rationale thereof, on:</w:t>
                            </w:r>
                          </w:p>
                          <w:p w14:paraId="12C592CC" w14:textId="409D4818" w:rsidR="00D15FD8" w:rsidRPr="003625BA" w:rsidRDefault="00D15FD8" w:rsidP="00170415">
                            <w:pPr>
                              <w:rPr>
                                <w:rFonts w:ascii="Roboto" w:hAnsi="Roboto"/>
                                <w:b/>
                                <w:color w:val="3B3838" w:themeColor="background2" w:themeShade="40"/>
                                <w:sz w:val="23"/>
                                <w:szCs w:val="23"/>
                              </w:rPr>
                            </w:pPr>
                          </w:p>
                          <w:p w14:paraId="62B66134" w14:textId="77777777" w:rsidR="00D15FD8" w:rsidRPr="00AD5BE2" w:rsidRDefault="00D15FD8" w:rsidP="00AD5BE2">
                            <w:pPr>
                              <w:pStyle w:val="ListParagraph"/>
                              <w:numPr>
                                <w:ilvl w:val="0"/>
                                <w:numId w:val="79"/>
                              </w:numPr>
                              <w:contextualSpacing/>
                              <w:jc w:val="both"/>
                              <w:rPr>
                                <w:rFonts w:ascii="Roboto" w:hAnsi="Roboto"/>
                                <w:sz w:val="20"/>
                                <w:szCs w:val="20"/>
                              </w:rPr>
                            </w:pPr>
                            <w:r w:rsidRPr="003413B3">
                              <w:rPr>
                                <w:rFonts w:ascii="Roboto" w:hAnsi="Roboto"/>
                                <w:sz w:val="20"/>
                                <w:szCs w:val="20"/>
                              </w:rPr>
                              <w:t>Expected macroeconomic conditions, including assump</w:t>
                            </w:r>
                            <w:r w:rsidRPr="00AD5BE2">
                              <w:rPr>
                                <w:rFonts w:ascii="Roboto" w:hAnsi="Roboto"/>
                                <w:sz w:val="20"/>
                                <w:szCs w:val="20"/>
                              </w:rPr>
                              <w:t xml:space="preserve">tions about macroeconomic indicators such as real output growth; composition of GDP growth; employment; prices; the current account; and interest rates, over the medium term. </w:t>
                            </w:r>
                          </w:p>
                          <w:p w14:paraId="563FA554" w14:textId="77777777" w:rsidR="00D15FD8" w:rsidRPr="0078463C" w:rsidRDefault="00D15FD8" w:rsidP="00170415">
                            <w:pPr>
                              <w:rPr>
                                <w:rFonts w:ascii="Roboto" w:hAnsi="Roboto"/>
                                <w:b/>
                                <w:color w:val="69557F"/>
                                <w:sz w:val="23"/>
                                <w:szCs w:val="23"/>
                              </w:rPr>
                            </w:pPr>
                          </w:p>
                        </w:txbxContent>
                      </v:textbox>
                    </v:shape>
                  </w:pict>
                </mc:Fallback>
              </mc:AlternateContent>
            </w:r>
          </w:p>
          <w:p w14:paraId="2AE3BEE3" w14:textId="7E1ED192" w:rsidR="00AD5BE2" w:rsidRDefault="00AD5BE2" w:rsidP="00170415">
            <w:pPr>
              <w:cnfStyle w:val="000000000000" w:firstRow="0" w:lastRow="0" w:firstColumn="0" w:lastColumn="0" w:oddVBand="0" w:evenVBand="0" w:oddHBand="0" w:evenHBand="0" w:firstRowFirstColumn="0" w:firstRowLastColumn="0" w:lastRowFirstColumn="0" w:lastRowLastColumn="0"/>
            </w:pPr>
          </w:p>
          <w:p w14:paraId="7F5ACD57" w14:textId="598473D2" w:rsidR="00AD5BE2" w:rsidRDefault="00AD5BE2" w:rsidP="00170415">
            <w:pPr>
              <w:cnfStyle w:val="000000000000" w:firstRow="0" w:lastRow="0" w:firstColumn="0" w:lastColumn="0" w:oddVBand="0" w:evenVBand="0" w:oddHBand="0" w:evenHBand="0" w:firstRowFirstColumn="0" w:firstRowLastColumn="0" w:lastRowFirstColumn="0" w:lastRowLastColumn="0"/>
            </w:pPr>
          </w:p>
          <w:p w14:paraId="495C2AD0" w14:textId="6FE33A23" w:rsidR="00AD5BE2" w:rsidRDefault="00AD5BE2" w:rsidP="00170415">
            <w:pPr>
              <w:cnfStyle w:val="000000000000" w:firstRow="0" w:lastRow="0" w:firstColumn="0" w:lastColumn="0" w:oddVBand="0" w:evenVBand="0" w:oddHBand="0" w:evenHBand="0" w:firstRowFirstColumn="0" w:firstRowLastColumn="0" w:lastRowFirstColumn="0" w:lastRowLastColumn="0"/>
            </w:pPr>
          </w:p>
          <w:p w14:paraId="7B3A42FA" w14:textId="0528712D" w:rsidR="00AD5BE2" w:rsidRDefault="00AD5BE2" w:rsidP="00170415">
            <w:pPr>
              <w:cnfStyle w:val="000000000000" w:firstRow="0" w:lastRow="0" w:firstColumn="0" w:lastColumn="0" w:oddVBand="0" w:evenVBand="0" w:oddHBand="0" w:evenHBand="0" w:firstRowFirstColumn="0" w:firstRowLastColumn="0" w:lastRowFirstColumn="0" w:lastRowLastColumn="0"/>
            </w:pPr>
          </w:p>
          <w:p w14:paraId="7B8A84AA" w14:textId="0C106C3E" w:rsidR="00AD5BE2" w:rsidRDefault="00AD5BE2" w:rsidP="00170415">
            <w:pPr>
              <w:cnfStyle w:val="000000000000" w:firstRow="0" w:lastRow="0" w:firstColumn="0" w:lastColumn="0" w:oddVBand="0" w:evenVBand="0" w:oddHBand="0" w:evenHBand="0" w:firstRowFirstColumn="0" w:firstRowLastColumn="0" w:lastRowFirstColumn="0" w:lastRowLastColumn="0"/>
            </w:pPr>
          </w:p>
          <w:p w14:paraId="6D152B03" w14:textId="77777777" w:rsidR="00AD5BE2" w:rsidRDefault="00AD5BE2" w:rsidP="00170415">
            <w:pPr>
              <w:cnfStyle w:val="000000000000" w:firstRow="0" w:lastRow="0" w:firstColumn="0" w:lastColumn="0" w:oddVBand="0" w:evenVBand="0" w:oddHBand="0" w:evenHBand="0" w:firstRowFirstColumn="0" w:firstRowLastColumn="0" w:lastRowFirstColumn="0" w:lastRowLastColumn="0"/>
            </w:pPr>
          </w:p>
          <w:p w14:paraId="56105F8D" w14:textId="6E382CA4"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4D2E7B5D"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0B3F8225"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r>
              <w:rPr>
                <w:noProof/>
                <w:lang w:val="en-US"/>
              </w:rPr>
              <w:lastRenderedPageBreak/>
              <mc:AlternateContent>
                <mc:Choice Requires="wps">
                  <w:drawing>
                    <wp:anchor distT="0" distB="0" distL="114300" distR="114300" simplePos="0" relativeHeight="254879742" behindDoc="0" locked="0" layoutInCell="1" allowOverlap="1" wp14:anchorId="7D108CAD" wp14:editId="352AD6B2">
                      <wp:simplePos x="0" y="0"/>
                      <wp:positionH relativeFrom="column">
                        <wp:posOffset>45720</wp:posOffset>
                      </wp:positionH>
                      <wp:positionV relativeFrom="paragraph">
                        <wp:posOffset>112395</wp:posOffset>
                      </wp:positionV>
                      <wp:extent cx="5372100" cy="3670300"/>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5372100" cy="3670300"/>
                              </a:xfrm>
                              <a:prstGeom prst="rect">
                                <a:avLst/>
                              </a:prstGeom>
                              <a:noFill/>
                              <a:ln w="6350">
                                <a:noFill/>
                              </a:ln>
                            </wps:spPr>
                            <wps:txbx>
                              <w:txbxContent>
                                <w:p w14:paraId="1B754EC6" w14:textId="45990FC1" w:rsidR="00D15FD8" w:rsidRPr="003625BA" w:rsidRDefault="00D15FD8" w:rsidP="0060782D">
                                  <w:pPr>
                                    <w:pStyle w:val="ListParagraph"/>
                                    <w:numPr>
                                      <w:ilvl w:val="0"/>
                                      <w:numId w:val="79"/>
                                    </w:numPr>
                                    <w:contextualSpacing/>
                                    <w:jc w:val="both"/>
                                    <w:rPr>
                                      <w:rFonts w:ascii="Roboto" w:hAnsi="Roboto"/>
                                      <w:sz w:val="20"/>
                                      <w:szCs w:val="20"/>
                                    </w:rPr>
                                  </w:pPr>
                                  <w:r w:rsidRPr="003625BA">
                                    <w:rPr>
                                      <w:rFonts w:ascii="Roboto" w:hAnsi="Roboto"/>
                                      <w:sz w:val="20"/>
                                      <w:szCs w:val="20"/>
                                    </w:rPr>
                                    <w:t xml:space="preserve">Long-term economic and fiscal policy objectives and the government’s economic and fiscal policy intentions for the forthcoming budget and, at least, the following two fiscal years. Including the total level of revenue, expenditure, deficit or surplus, and debt and the role that fiscal policy is expected to play in the context of overall macroeconomic policy. Should also discuss, for the medium-term period, the sensitivity of budget aggregates to macroeconomic conditions and provide estimates of the net borrowing requirement and assumptions concerning debt-servicing costs. </w:t>
                                  </w:r>
                                </w:p>
                                <w:p w14:paraId="1BFE3968" w14:textId="77777777" w:rsidR="00D15FD8" w:rsidRPr="003625BA" w:rsidRDefault="00D15FD8" w:rsidP="003625BA">
                                  <w:pPr>
                                    <w:contextualSpacing/>
                                    <w:jc w:val="both"/>
                                    <w:rPr>
                                      <w:rFonts w:ascii="Roboto" w:hAnsi="Roboto"/>
                                      <w:sz w:val="20"/>
                                      <w:szCs w:val="20"/>
                                    </w:rPr>
                                  </w:pPr>
                                </w:p>
                                <w:p w14:paraId="594ED7AA" w14:textId="212AFA87" w:rsidR="00D15FD8" w:rsidRPr="003625BA" w:rsidRDefault="00D15FD8" w:rsidP="0060782D">
                                  <w:pPr>
                                    <w:pStyle w:val="ListParagraph"/>
                                    <w:numPr>
                                      <w:ilvl w:val="0"/>
                                      <w:numId w:val="79"/>
                                    </w:numPr>
                                    <w:contextualSpacing/>
                                    <w:jc w:val="both"/>
                                    <w:rPr>
                                      <w:rFonts w:ascii="Roboto" w:hAnsi="Roboto"/>
                                      <w:sz w:val="20"/>
                                      <w:szCs w:val="20"/>
                                    </w:rPr>
                                  </w:pPr>
                                  <w:r w:rsidRPr="003625BA">
                                    <w:rPr>
                                      <w:rFonts w:ascii="Roboto" w:hAnsi="Roboto"/>
                                      <w:sz w:val="20"/>
                                      <w:szCs w:val="20"/>
                                    </w:rPr>
                                    <w:t xml:space="preserve">Broad policy strategy envisaged for different sectors, providing an initial perspective on how different sectors will fare in terms of budget allocations and how these allocations might be influenced by any new policy initiatives. This should include justifications for shifts in the relative priority of different sectors in the coming years, relative to the current year. Aggregate estimates should provide for current outlays and investment by sector or ministry and the different elements of expenditure on a functional and economic classification basis. </w:t>
                                  </w:r>
                                </w:p>
                                <w:p w14:paraId="08D9C325" w14:textId="77777777" w:rsidR="00D15FD8" w:rsidRPr="003625BA" w:rsidRDefault="00D15FD8" w:rsidP="003625BA">
                                  <w:pPr>
                                    <w:contextualSpacing/>
                                    <w:jc w:val="both"/>
                                    <w:rPr>
                                      <w:rFonts w:ascii="Roboto" w:hAnsi="Roboto"/>
                                      <w:sz w:val="20"/>
                                      <w:szCs w:val="20"/>
                                    </w:rPr>
                                  </w:pPr>
                                </w:p>
                                <w:p w14:paraId="123C23F6" w14:textId="5B61B203" w:rsidR="00D15FD8" w:rsidRPr="003625BA" w:rsidRDefault="00D15FD8" w:rsidP="0060782D">
                                  <w:pPr>
                                    <w:pStyle w:val="ListParagraph"/>
                                    <w:numPr>
                                      <w:ilvl w:val="0"/>
                                      <w:numId w:val="79"/>
                                    </w:numPr>
                                    <w:rPr>
                                      <w:rFonts w:ascii="Roboto" w:hAnsi="Roboto"/>
                                      <w:sz w:val="20"/>
                                      <w:szCs w:val="20"/>
                                    </w:rPr>
                                  </w:pPr>
                                  <w:r w:rsidRPr="003625BA">
                                    <w:rPr>
                                      <w:rFonts w:ascii="Roboto" w:hAnsi="Roboto"/>
                                      <w:sz w:val="20"/>
                                      <w:szCs w:val="20"/>
                                    </w:rPr>
                                    <w:t xml:space="preserve">Expectations for broad categories of taxation and revenue. </w:t>
                                  </w:r>
                                </w:p>
                                <w:p w14:paraId="4DF6F5F4" w14:textId="77777777" w:rsidR="00D15FD8" w:rsidRPr="003625BA" w:rsidRDefault="00D15FD8" w:rsidP="003625BA">
                                  <w:pPr>
                                    <w:rPr>
                                      <w:rFonts w:ascii="Roboto" w:hAnsi="Roboto"/>
                                      <w:sz w:val="20"/>
                                      <w:szCs w:val="20"/>
                                    </w:rPr>
                                  </w:pPr>
                                </w:p>
                                <w:p w14:paraId="7F33F2CB" w14:textId="26DD1BEE" w:rsidR="00D15FD8" w:rsidRPr="003625BA" w:rsidRDefault="00D15FD8" w:rsidP="00A02F1E">
                                  <w:pPr>
                                    <w:pStyle w:val="ListParagraph"/>
                                    <w:numPr>
                                      <w:ilvl w:val="0"/>
                                      <w:numId w:val="79"/>
                                    </w:numPr>
                                    <w:jc w:val="both"/>
                                    <w:rPr>
                                      <w:rFonts w:ascii="Roboto" w:hAnsi="Roboto"/>
                                      <w:sz w:val="20"/>
                                      <w:szCs w:val="20"/>
                                    </w:rPr>
                                  </w:pPr>
                                  <w:r w:rsidRPr="003625BA">
                                    <w:rPr>
                                      <w:rFonts w:ascii="Roboto" w:hAnsi="Roboto"/>
                                      <w:sz w:val="20"/>
                                      <w:szCs w:val="20"/>
                                    </w:rPr>
                                    <w:t>Description and cost estimates for any important new policy initiatives to be undertaken in the coming budget year, highlighting how such initiatives will affect the budget over the medium term and possibly the long term.</w:t>
                                  </w:r>
                                </w:p>
                                <w:p w14:paraId="4EC105E9" w14:textId="4CD9615F" w:rsidR="00D15FD8" w:rsidRPr="003A7D11" w:rsidRDefault="00D15FD8" w:rsidP="003625BA">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08CAD" id="Text Box 140" o:spid="_x0000_s1350" type="#_x0000_t202" style="position:absolute;margin-left:3.6pt;margin-top:8.85pt;width:423pt;height:289pt;z-index:254879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" filled="f" stroked="f" strokeweight=".5pt">
                      <v:textbox>
                        <w:txbxContent>
                          <w:p w14:paraId="1B754EC6" w14:textId="45990FC1" w:rsidR="00D15FD8" w:rsidRPr="003625BA" w:rsidRDefault="00D15FD8" w:rsidP="0060782D">
                            <w:pPr>
                              <w:pStyle w:val="ListParagraph"/>
                              <w:numPr>
                                <w:ilvl w:val="0"/>
                                <w:numId w:val="79"/>
                              </w:numPr>
                              <w:contextualSpacing/>
                              <w:jc w:val="both"/>
                              <w:rPr>
                                <w:rFonts w:ascii="Roboto" w:hAnsi="Roboto"/>
                                <w:sz w:val="20"/>
                                <w:szCs w:val="20"/>
                              </w:rPr>
                            </w:pPr>
                            <w:r w:rsidRPr="003625BA">
                              <w:rPr>
                                <w:rFonts w:ascii="Roboto" w:hAnsi="Roboto"/>
                                <w:sz w:val="20"/>
                                <w:szCs w:val="20"/>
                              </w:rPr>
                              <w:t xml:space="preserve">Long-term economic and fiscal policy objectives and the government’s economic and fiscal policy intentions for the forthcoming budget and, at least, the following two fiscal years. Including the total level of revenue, expenditure, deficit or surplus, and debt and the role that fiscal policy is expected to play in the context of overall macroeconomic policy. Should also discuss, for the medium-term period, the sensitivity of budget aggregates to macroeconomic conditions and provide estimates of the net borrowing requirement and assumptions concerning debt-servicing costs. </w:t>
                            </w:r>
                          </w:p>
                          <w:p w14:paraId="1BFE3968" w14:textId="77777777" w:rsidR="00D15FD8" w:rsidRPr="003625BA" w:rsidRDefault="00D15FD8" w:rsidP="003625BA">
                            <w:pPr>
                              <w:contextualSpacing/>
                              <w:jc w:val="both"/>
                              <w:rPr>
                                <w:rFonts w:ascii="Roboto" w:hAnsi="Roboto"/>
                                <w:sz w:val="20"/>
                                <w:szCs w:val="20"/>
                              </w:rPr>
                            </w:pPr>
                          </w:p>
                          <w:p w14:paraId="594ED7AA" w14:textId="212AFA87" w:rsidR="00D15FD8" w:rsidRPr="003625BA" w:rsidRDefault="00D15FD8" w:rsidP="0060782D">
                            <w:pPr>
                              <w:pStyle w:val="ListParagraph"/>
                              <w:numPr>
                                <w:ilvl w:val="0"/>
                                <w:numId w:val="79"/>
                              </w:numPr>
                              <w:contextualSpacing/>
                              <w:jc w:val="both"/>
                              <w:rPr>
                                <w:rFonts w:ascii="Roboto" w:hAnsi="Roboto"/>
                                <w:sz w:val="20"/>
                                <w:szCs w:val="20"/>
                              </w:rPr>
                            </w:pPr>
                            <w:r w:rsidRPr="003625BA">
                              <w:rPr>
                                <w:rFonts w:ascii="Roboto" w:hAnsi="Roboto"/>
                                <w:sz w:val="20"/>
                                <w:szCs w:val="20"/>
                              </w:rPr>
                              <w:t xml:space="preserve">Broad policy strategy envisaged for different sectors, providing an initial perspective on how different sectors will fare in terms of budget allocations and how these allocations might be influenced by any new policy initiatives. This should include justifications for shifts in the relative priority of different sectors in the coming years, relative to the current year. Aggregate estimates should provide for current outlays and investment by sector or ministry and the different elements of expenditure on a functional and economic classification basis. </w:t>
                            </w:r>
                          </w:p>
                          <w:p w14:paraId="08D9C325" w14:textId="77777777" w:rsidR="00D15FD8" w:rsidRPr="003625BA" w:rsidRDefault="00D15FD8" w:rsidP="003625BA">
                            <w:pPr>
                              <w:contextualSpacing/>
                              <w:jc w:val="both"/>
                              <w:rPr>
                                <w:rFonts w:ascii="Roboto" w:hAnsi="Roboto"/>
                                <w:sz w:val="20"/>
                                <w:szCs w:val="20"/>
                              </w:rPr>
                            </w:pPr>
                          </w:p>
                          <w:p w14:paraId="123C23F6" w14:textId="5B61B203" w:rsidR="00D15FD8" w:rsidRPr="003625BA" w:rsidRDefault="00D15FD8" w:rsidP="0060782D">
                            <w:pPr>
                              <w:pStyle w:val="ListParagraph"/>
                              <w:numPr>
                                <w:ilvl w:val="0"/>
                                <w:numId w:val="79"/>
                              </w:numPr>
                              <w:rPr>
                                <w:rFonts w:ascii="Roboto" w:hAnsi="Roboto"/>
                                <w:sz w:val="20"/>
                                <w:szCs w:val="20"/>
                              </w:rPr>
                            </w:pPr>
                            <w:r w:rsidRPr="003625BA">
                              <w:rPr>
                                <w:rFonts w:ascii="Roboto" w:hAnsi="Roboto"/>
                                <w:sz w:val="20"/>
                                <w:szCs w:val="20"/>
                              </w:rPr>
                              <w:t xml:space="preserve">Expectations for broad categories of taxation and revenue. </w:t>
                            </w:r>
                          </w:p>
                          <w:p w14:paraId="4DF6F5F4" w14:textId="77777777" w:rsidR="00D15FD8" w:rsidRPr="003625BA" w:rsidRDefault="00D15FD8" w:rsidP="003625BA">
                            <w:pPr>
                              <w:rPr>
                                <w:rFonts w:ascii="Roboto" w:hAnsi="Roboto"/>
                                <w:sz w:val="20"/>
                                <w:szCs w:val="20"/>
                              </w:rPr>
                            </w:pPr>
                          </w:p>
                          <w:p w14:paraId="7F33F2CB" w14:textId="26DD1BEE" w:rsidR="00D15FD8" w:rsidRPr="003625BA" w:rsidRDefault="00D15FD8" w:rsidP="00A02F1E">
                            <w:pPr>
                              <w:pStyle w:val="ListParagraph"/>
                              <w:numPr>
                                <w:ilvl w:val="0"/>
                                <w:numId w:val="79"/>
                              </w:numPr>
                              <w:jc w:val="both"/>
                              <w:rPr>
                                <w:rFonts w:ascii="Roboto" w:hAnsi="Roboto"/>
                                <w:sz w:val="20"/>
                                <w:szCs w:val="20"/>
                              </w:rPr>
                            </w:pPr>
                            <w:r w:rsidRPr="003625BA">
                              <w:rPr>
                                <w:rFonts w:ascii="Roboto" w:hAnsi="Roboto"/>
                                <w:sz w:val="20"/>
                                <w:szCs w:val="20"/>
                              </w:rPr>
                              <w:t>Description and cost estimates for any important new policy initiatives to be undertaken in the coming budget year, highlighting how such initiatives will affect the budget over the medium term and possibly the long term.</w:t>
                            </w:r>
                          </w:p>
                          <w:p w14:paraId="4EC105E9" w14:textId="4CD9615F" w:rsidR="00D15FD8" w:rsidRPr="003A7D11" w:rsidRDefault="00D15FD8" w:rsidP="003625BA">
                            <w:pPr>
                              <w:pStyle w:val="ListParagraph"/>
                            </w:pPr>
                          </w:p>
                        </w:txbxContent>
                      </v:textbox>
                    </v:shape>
                  </w:pict>
                </mc:Fallback>
              </mc:AlternateContent>
            </w:r>
          </w:p>
          <w:p w14:paraId="1E707360"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5B06EA9D"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3363607A"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06790130"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6B2F523F" w14:textId="30EF4644"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1173237D" w14:textId="0C086098"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09253BC5" w14:textId="3638E90D"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7472A15F"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6CA5AB2D" w14:textId="2547468D"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2AA4CC51" w14:textId="4DD6AFC4"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0F3F19B8"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02CA569A" w14:textId="518598EE"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2769129C" w14:textId="0D3B3B9D"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04FBBB27"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48476E6E"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776452B1"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5EC53D3F"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4FCB77EC"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08E47E10"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40C4E55C"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p w14:paraId="77BF011E" w14:textId="77777777" w:rsidR="00170415" w:rsidRDefault="00170415" w:rsidP="00170415">
            <w:pPr>
              <w:cnfStyle w:val="000000000000" w:firstRow="0" w:lastRow="0" w:firstColumn="0" w:lastColumn="0" w:oddVBand="0" w:evenVBand="0" w:oddHBand="0" w:evenHBand="0" w:firstRowFirstColumn="0" w:firstRowLastColumn="0" w:lastRowFirstColumn="0" w:lastRowLastColumn="0"/>
            </w:pPr>
          </w:p>
        </w:tc>
      </w:tr>
      <w:tr w:rsidR="00170415" w14:paraId="3AC1C0FF" w14:textId="77777777" w:rsidTr="00B51687">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bottom w:val="none" w:sz="0" w:space="0" w:color="auto"/>
            </w:tcBorders>
          </w:tcPr>
          <w:p w14:paraId="4E098513" w14:textId="365A2E98" w:rsidR="00170415" w:rsidRDefault="004B21BF" w:rsidP="00170415">
            <w:pPr>
              <w:rPr>
                <w:b w:val="0"/>
                <w:bCs w:val="0"/>
                <w:noProof/>
              </w:rPr>
            </w:pPr>
            <w:r>
              <w:rPr>
                <w:noProof/>
                <w:lang w:val="en-US"/>
              </w:rPr>
              <w:lastRenderedPageBreak/>
              <w:drawing>
                <wp:anchor distT="0" distB="0" distL="114300" distR="114300" simplePos="0" relativeHeight="254881790" behindDoc="1" locked="0" layoutInCell="1" allowOverlap="1" wp14:anchorId="7B4C607B" wp14:editId="477B3EA9">
                  <wp:simplePos x="0" y="0"/>
                  <wp:positionH relativeFrom="margin">
                    <wp:posOffset>94615</wp:posOffset>
                  </wp:positionH>
                  <wp:positionV relativeFrom="paragraph">
                    <wp:posOffset>95885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4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4885886" behindDoc="0" locked="0" layoutInCell="1" allowOverlap="1" wp14:anchorId="32544C76" wp14:editId="5E1FA49F">
                      <wp:simplePos x="0" y="0"/>
                      <wp:positionH relativeFrom="column">
                        <wp:posOffset>-20955</wp:posOffset>
                      </wp:positionH>
                      <wp:positionV relativeFrom="paragraph">
                        <wp:posOffset>739140</wp:posOffset>
                      </wp:positionV>
                      <wp:extent cx="889000" cy="311150"/>
                      <wp:effectExtent l="0" t="0" r="0" b="0"/>
                      <wp:wrapNone/>
                      <wp:docPr id="2707" name="Text Box 2707"/>
                      <wp:cNvGraphicFramePr/>
                      <a:graphic xmlns:a="http://schemas.openxmlformats.org/drawingml/2006/main">
                        <a:graphicData uri="http://schemas.microsoft.com/office/word/2010/wordprocessingShape">
                          <wps:wsp>
                            <wps:cNvSpPr txBox="1"/>
                            <wps:spPr>
                              <a:xfrm>
                                <a:off x="0" y="0"/>
                                <a:ext cx="889000" cy="311150"/>
                              </a:xfrm>
                              <a:prstGeom prst="rect">
                                <a:avLst/>
                              </a:prstGeom>
                              <a:noFill/>
                              <a:ln w="6350">
                                <a:noFill/>
                              </a:ln>
                            </wps:spPr>
                            <wps:txbx>
                              <w:txbxContent>
                                <w:p w14:paraId="5C9EF5DE" w14:textId="4A795C0B" w:rsidR="00D15FD8" w:rsidRPr="003625BA" w:rsidRDefault="00D15FD8" w:rsidP="0060782D">
                                  <w:pPr>
                                    <w:jc w:val="center"/>
                                    <w:rPr>
                                      <w:rFonts w:ascii="Roboto" w:hAnsi="Roboto"/>
                                      <w:b/>
                                      <w:color w:val="FFFFFF" w:themeColor="background1"/>
                                      <w:sz w:val="20"/>
                                      <w:szCs w:val="20"/>
                                    </w:rPr>
                                  </w:pPr>
                                  <w:r>
                                    <w:rPr>
                                      <w:rFonts w:ascii="Roboto" w:hAnsi="Roboto"/>
                                      <w:b/>
                                      <w:color w:val="FFFFFF" w:themeColor="background1"/>
                                      <w:sz w:val="20"/>
                                      <w:szCs w:val="20"/>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44C76" id="Text Box 2707" o:spid="_x0000_s1351" type="#_x0000_t202" style="position:absolute;margin-left:-1.65pt;margin-top:58.2pt;width:70pt;height:24.5pt;z-index:254885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" filled="f" stroked="f" strokeweight=".5pt">
                      <v:textbox>
                        <w:txbxContent>
                          <w:p w14:paraId="5C9EF5DE" w14:textId="4A795C0B" w:rsidR="00D15FD8" w:rsidRPr="003625BA" w:rsidRDefault="00D15FD8" w:rsidP="0060782D">
                            <w:pPr>
                              <w:jc w:val="center"/>
                              <w:rPr>
                                <w:rFonts w:ascii="Roboto" w:hAnsi="Roboto"/>
                                <w:b/>
                                <w:color w:val="FFFFFF" w:themeColor="background1"/>
                                <w:sz w:val="20"/>
                                <w:szCs w:val="20"/>
                              </w:rPr>
                            </w:pPr>
                            <w:r>
                              <w:rPr>
                                <w:rFonts w:ascii="Roboto" w:hAnsi="Roboto"/>
                                <w:b/>
                                <w:color w:val="FFFFFF" w:themeColor="background1"/>
                                <w:sz w:val="20"/>
                                <w:szCs w:val="20"/>
                              </w:rPr>
                              <w:t>EXAMPLES:</w:t>
                            </w:r>
                          </w:p>
                        </w:txbxContent>
                      </v:textbox>
                    </v:shape>
                  </w:pict>
                </mc:Fallback>
              </mc:AlternateContent>
            </w:r>
          </w:p>
        </w:tc>
        <w:tc>
          <w:tcPr>
            <w:tcW w:w="8901" w:type="dxa"/>
          </w:tcPr>
          <w:p w14:paraId="5E430FE1" w14:textId="77777777" w:rsidR="00170415" w:rsidRDefault="00170415" w:rsidP="00170415">
            <w:pPr>
              <w:cnfStyle w:val="000000100000" w:firstRow="0" w:lastRow="0" w:firstColumn="0" w:lastColumn="0" w:oddVBand="0" w:evenVBand="0" w:oddHBand="1" w:evenHBand="0" w:firstRowFirstColumn="0" w:firstRowLastColumn="0" w:lastRowFirstColumn="0" w:lastRowLastColumn="0"/>
              <w:rPr>
                <w:noProof/>
              </w:rPr>
            </w:pPr>
            <w:r>
              <w:rPr>
                <w:noProof/>
                <w:lang w:val="en-US"/>
              </w:rPr>
              <mc:AlternateContent>
                <mc:Choice Requires="wps">
                  <w:drawing>
                    <wp:anchor distT="0" distB="0" distL="114300" distR="114300" simplePos="0" relativeHeight="254882814" behindDoc="0" locked="0" layoutInCell="1" allowOverlap="1" wp14:anchorId="72776431" wp14:editId="7EFB4FAF">
                      <wp:simplePos x="0" y="0"/>
                      <wp:positionH relativeFrom="column">
                        <wp:posOffset>45720</wp:posOffset>
                      </wp:positionH>
                      <wp:positionV relativeFrom="paragraph">
                        <wp:posOffset>104140</wp:posOffset>
                      </wp:positionV>
                      <wp:extent cx="5435600" cy="914400"/>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5435600" cy="914400"/>
                              </a:xfrm>
                              <a:prstGeom prst="rect">
                                <a:avLst/>
                              </a:prstGeom>
                              <a:noFill/>
                              <a:ln w="6350">
                                <a:noFill/>
                              </a:ln>
                            </wps:spPr>
                            <wps:txbx>
                              <w:txbxContent>
                                <w:p w14:paraId="2629F035" w14:textId="11FBADC6" w:rsidR="00D15FD8" w:rsidRPr="003625BA" w:rsidRDefault="00D15FD8" w:rsidP="0060782D">
                                  <w:pPr>
                                    <w:pStyle w:val="ListParagraph"/>
                                    <w:numPr>
                                      <w:ilvl w:val="0"/>
                                      <w:numId w:val="170"/>
                                    </w:numPr>
                                    <w:rPr>
                                      <w:rFonts w:ascii="Roboto" w:hAnsi="Roboto"/>
                                      <w:color w:val="675380"/>
                                      <w:sz w:val="20"/>
                                      <w:szCs w:val="20"/>
                                    </w:rPr>
                                  </w:pPr>
                                  <w:r w:rsidRPr="003625BA">
                                    <w:rPr>
                                      <w:rFonts w:ascii="Roboto" w:hAnsi="Roboto"/>
                                      <w:sz w:val="20"/>
                                      <w:szCs w:val="20"/>
                                    </w:rPr>
                                    <w:t xml:space="preserve">Kenyan Budget Policy Statements can be found on this </w:t>
                                  </w:r>
                                  <w:hyperlink r:id="rId650" w:history="1">
                                    <w:r w:rsidRPr="0051663B">
                                      <w:rPr>
                                        <w:rStyle w:val="Hyperlink"/>
                                        <w:rFonts w:ascii="Roboto" w:hAnsi="Roboto"/>
                                        <w:sz w:val="20"/>
                                        <w:szCs w:val="20"/>
                                      </w:rPr>
                                      <w:t>link</w:t>
                                    </w:r>
                                  </w:hyperlink>
                                  <w:r w:rsidRPr="003625BA">
                                    <w:rPr>
                                      <w:rStyle w:val="Hyperlink"/>
                                      <w:rFonts w:ascii="Roboto" w:hAnsi="Roboto"/>
                                      <w:sz w:val="20"/>
                                      <w:szCs w:val="20"/>
                                      <w:u w:val="none"/>
                                    </w:rPr>
                                    <w:t>.</w:t>
                                  </w:r>
                                </w:p>
                                <w:p w14:paraId="7349F188" w14:textId="77777777" w:rsidR="00D15FD8" w:rsidRPr="003625BA" w:rsidRDefault="00D15FD8" w:rsidP="003625BA">
                                  <w:pPr>
                                    <w:pStyle w:val="ListParagraph"/>
                                    <w:ind w:left="360"/>
                                    <w:rPr>
                                      <w:rFonts w:ascii="Roboto" w:hAnsi="Roboto"/>
                                      <w:sz w:val="20"/>
                                      <w:szCs w:val="20"/>
                                    </w:rPr>
                                  </w:pPr>
                                </w:p>
                                <w:p w14:paraId="183158EE" w14:textId="06601A1D" w:rsidR="00D15FD8" w:rsidRPr="003625BA" w:rsidRDefault="00D15FD8" w:rsidP="003625BA">
                                  <w:pPr>
                                    <w:pStyle w:val="ListParagraph"/>
                                    <w:numPr>
                                      <w:ilvl w:val="0"/>
                                      <w:numId w:val="170"/>
                                    </w:numPr>
                                    <w:rPr>
                                      <w:rFonts w:ascii="Roboto" w:hAnsi="Roboto"/>
                                      <w:color w:val="675380"/>
                                      <w:sz w:val="20"/>
                                      <w:szCs w:val="20"/>
                                    </w:rPr>
                                  </w:pPr>
                                  <w:r w:rsidRPr="003625BA">
                                    <w:rPr>
                                      <w:rFonts w:ascii="Roboto" w:hAnsi="Roboto"/>
                                      <w:sz w:val="20"/>
                                      <w:szCs w:val="20"/>
                                    </w:rPr>
                                    <w:t xml:space="preserve">The IBP has published Open Budget Index (OBI) training materials for governments on the pre-budget statement that can be found on this </w:t>
                                  </w:r>
                                  <w:hyperlink r:id="rId651" w:history="1">
                                    <w:r w:rsidRPr="003625BA">
                                      <w:rPr>
                                        <w:rStyle w:val="Hyperlink"/>
                                        <w:rFonts w:ascii="Roboto" w:hAnsi="Roboto"/>
                                        <w:sz w:val="20"/>
                                        <w:szCs w:val="20"/>
                                      </w:rPr>
                                      <w:t>link</w:t>
                                    </w:r>
                                  </w:hyperlink>
                                  <w:r w:rsidRPr="003625BA">
                                    <w:rPr>
                                      <w:rStyle w:val="Hyperlink"/>
                                      <w:rFonts w:ascii="Roboto" w:hAnsi="Roboto"/>
                                      <w:sz w:val="20"/>
                                      <w:szCs w:val="20"/>
                                    </w:rPr>
                                    <w:t>.</w:t>
                                  </w:r>
                                </w:p>
                                <w:p w14:paraId="3D56BCC9" w14:textId="3866888C" w:rsidR="00D15FD8" w:rsidRPr="000C0716" w:rsidRDefault="00D15FD8" w:rsidP="003625BA">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76431" id="Text Box 143" o:spid="_x0000_s1352" type="#_x0000_t202" style="position:absolute;margin-left:3.6pt;margin-top:8.2pt;width:428pt;height:1in;z-index:254882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" filled="f" stroked="f" strokeweight=".5pt">
                      <v:textbox>
                        <w:txbxContent>
                          <w:p w14:paraId="2629F035" w14:textId="11FBADC6" w:rsidR="00D15FD8" w:rsidRPr="003625BA" w:rsidRDefault="00D15FD8" w:rsidP="0060782D">
                            <w:pPr>
                              <w:pStyle w:val="ListParagraph"/>
                              <w:numPr>
                                <w:ilvl w:val="0"/>
                                <w:numId w:val="170"/>
                              </w:numPr>
                              <w:rPr>
                                <w:rFonts w:ascii="Roboto" w:hAnsi="Roboto"/>
                                <w:color w:val="675380"/>
                                <w:sz w:val="20"/>
                                <w:szCs w:val="20"/>
                              </w:rPr>
                            </w:pPr>
                            <w:r w:rsidRPr="003625BA">
                              <w:rPr>
                                <w:rFonts w:ascii="Roboto" w:hAnsi="Roboto"/>
                                <w:sz w:val="20"/>
                                <w:szCs w:val="20"/>
                              </w:rPr>
                              <w:t xml:space="preserve">Kenyan Budget Policy Statements can be found on this </w:t>
                            </w:r>
                            <w:hyperlink r:id="rId652" w:history="1">
                              <w:r w:rsidRPr="0051663B">
                                <w:rPr>
                                  <w:rStyle w:val="Hyperlink"/>
                                  <w:rFonts w:ascii="Roboto" w:hAnsi="Roboto"/>
                                  <w:sz w:val="20"/>
                                  <w:szCs w:val="20"/>
                                </w:rPr>
                                <w:t>link</w:t>
                              </w:r>
                            </w:hyperlink>
                            <w:r w:rsidRPr="003625BA">
                              <w:rPr>
                                <w:rStyle w:val="Hyperlink"/>
                                <w:rFonts w:ascii="Roboto" w:hAnsi="Roboto"/>
                                <w:sz w:val="20"/>
                                <w:szCs w:val="20"/>
                                <w:u w:val="none"/>
                              </w:rPr>
                              <w:t>.</w:t>
                            </w:r>
                          </w:p>
                          <w:p w14:paraId="7349F188" w14:textId="77777777" w:rsidR="00D15FD8" w:rsidRPr="003625BA" w:rsidRDefault="00D15FD8" w:rsidP="003625BA">
                            <w:pPr>
                              <w:pStyle w:val="ListParagraph"/>
                              <w:ind w:left="360"/>
                              <w:rPr>
                                <w:rFonts w:ascii="Roboto" w:hAnsi="Roboto"/>
                                <w:sz w:val="20"/>
                                <w:szCs w:val="20"/>
                              </w:rPr>
                            </w:pPr>
                          </w:p>
                          <w:p w14:paraId="183158EE" w14:textId="06601A1D" w:rsidR="00D15FD8" w:rsidRPr="003625BA" w:rsidRDefault="00D15FD8" w:rsidP="003625BA">
                            <w:pPr>
                              <w:pStyle w:val="ListParagraph"/>
                              <w:numPr>
                                <w:ilvl w:val="0"/>
                                <w:numId w:val="170"/>
                              </w:numPr>
                              <w:rPr>
                                <w:rFonts w:ascii="Roboto" w:hAnsi="Roboto"/>
                                <w:color w:val="675380"/>
                                <w:sz w:val="20"/>
                                <w:szCs w:val="20"/>
                              </w:rPr>
                            </w:pPr>
                            <w:r w:rsidRPr="003625BA">
                              <w:rPr>
                                <w:rFonts w:ascii="Roboto" w:hAnsi="Roboto"/>
                                <w:sz w:val="20"/>
                                <w:szCs w:val="20"/>
                              </w:rPr>
                              <w:t xml:space="preserve">The IBP has published Open Budget Index (OBI) training materials for governments on the pre-budget statement that can be found on this </w:t>
                            </w:r>
                            <w:hyperlink r:id="rId653" w:history="1">
                              <w:r w:rsidRPr="003625BA">
                                <w:rPr>
                                  <w:rStyle w:val="Hyperlink"/>
                                  <w:rFonts w:ascii="Roboto" w:hAnsi="Roboto"/>
                                  <w:sz w:val="20"/>
                                  <w:szCs w:val="20"/>
                                </w:rPr>
                                <w:t>link</w:t>
                              </w:r>
                            </w:hyperlink>
                            <w:r w:rsidRPr="003625BA">
                              <w:rPr>
                                <w:rStyle w:val="Hyperlink"/>
                                <w:rFonts w:ascii="Roboto" w:hAnsi="Roboto"/>
                                <w:sz w:val="20"/>
                                <w:szCs w:val="20"/>
                              </w:rPr>
                              <w:t>.</w:t>
                            </w:r>
                          </w:p>
                          <w:p w14:paraId="3D56BCC9" w14:textId="3866888C" w:rsidR="00D15FD8" w:rsidRPr="000C0716" w:rsidRDefault="00D15FD8" w:rsidP="003625BA">
                            <w:pPr>
                              <w:pStyle w:val="ListParagraph"/>
                            </w:pPr>
                          </w:p>
                        </w:txbxContent>
                      </v:textbox>
                    </v:shape>
                  </w:pict>
                </mc:Fallback>
              </mc:AlternateContent>
            </w:r>
          </w:p>
          <w:p w14:paraId="4DC50CBE" w14:textId="77777777" w:rsidR="00170415" w:rsidRPr="007D3E35" w:rsidRDefault="00170415" w:rsidP="00170415">
            <w:pPr>
              <w:cnfStyle w:val="000000100000" w:firstRow="0" w:lastRow="0" w:firstColumn="0" w:lastColumn="0" w:oddVBand="0" w:evenVBand="0" w:oddHBand="1" w:evenHBand="0" w:firstRowFirstColumn="0" w:firstRowLastColumn="0" w:lastRowFirstColumn="0" w:lastRowLastColumn="0"/>
            </w:pPr>
          </w:p>
          <w:p w14:paraId="1B86C558" w14:textId="77777777" w:rsidR="00170415" w:rsidRPr="007D3E35" w:rsidRDefault="00170415" w:rsidP="00170415">
            <w:pPr>
              <w:cnfStyle w:val="000000100000" w:firstRow="0" w:lastRow="0" w:firstColumn="0" w:lastColumn="0" w:oddVBand="0" w:evenVBand="0" w:oddHBand="1" w:evenHBand="0" w:firstRowFirstColumn="0" w:firstRowLastColumn="0" w:lastRowFirstColumn="0" w:lastRowLastColumn="0"/>
            </w:pPr>
          </w:p>
          <w:p w14:paraId="1C4D7F29" w14:textId="77777777" w:rsidR="00170415" w:rsidRPr="007D3E35" w:rsidRDefault="00170415" w:rsidP="00170415">
            <w:pPr>
              <w:cnfStyle w:val="000000100000" w:firstRow="0" w:lastRow="0" w:firstColumn="0" w:lastColumn="0" w:oddVBand="0" w:evenVBand="0" w:oddHBand="1" w:evenHBand="0" w:firstRowFirstColumn="0" w:firstRowLastColumn="0" w:lastRowFirstColumn="0" w:lastRowLastColumn="0"/>
            </w:pPr>
          </w:p>
          <w:p w14:paraId="64141897" w14:textId="77777777" w:rsidR="00170415" w:rsidRDefault="00170415" w:rsidP="00170415">
            <w:pPr>
              <w:jc w:val="right"/>
              <w:cnfStyle w:val="000000100000" w:firstRow="0" w:lastRow="0" w:firstColumn="0" w:lastColumn="0" w:oddVBand="0" w:evenVBand="0" w:oddHBand="1" w:evenHBand="0" w:firstRowFirstColumn="0" w:firstRowLastColumn="0" w:lastRowFirstColumn="0" w:lastRowLastColumn="0"/>
            </w:pPr>
          </w:p>
          <w:p w14:paraId="10828B9D" w14:textId="45D0CCFE" w:rsidR="0060782D" w:rsidRPr="007D3E35" w:rsidRDefault="0060782D" w:rsidP="003625BA">
            <w:pPr>
              <w:cnfStyle w:val="000000100000" w:firstRow="0" w:lastRow="0" w:firstColumn="0" w:lastColumn="0" w:oddVBand="0" w:evenVBand="0" w:oddHBand="1" w:evenHBand="0" w:firstRowFirstColumn="0" w:firstRowLastColumn="0" w:lastRowFirstColumn="0" w:lastRowLastColumn="0"/>
            </w:pPr>
          </w:p>
        </w:tc>
      </w:tr>
    </w:tbl>
    <w:p w14:paraId="0AD57A67" w14:textId="05AEEE51" w:rsidR="001307A0" w:rsidRPr="001307A0" w:rsidRDefault="001307A0" w:rsidP="001307A0"/>
    <w:p w14:paraId="197D03C2" w14:textId="77777777" w:rsidR="00EA1D58" w:rsidRDefault="00EA1D58" w:rsidP="00EA1D58">
      <w:pPr>
        <w:jc w:val="center"/>
        <w:rPr>
          <w:rFonts w:ascii="Arial" w:hAnsi="Arial" w:cs="Arial"/>
          <w:b/>
          <w:bCs/>
          <w:color w:val="ED5625"/>
          <w:sz w:val="20"/>
          <w:szCs w:val="20"/>
        </w:rPr>
      </w:pPr>
      <w:bookmarkStart w:id="1508" w:name="_Toc123217436"/>
    </w:p>
    <w:p w14:paraId="3A72B1DD" w14:textId="77777777" w:rsidR="00EA1D58" w:rsidRDefault="00EA1D58" w:rsidP="00EA1D58">
      <w:pPr>
        <w:jc w:val="center"/>
        <w:rPr>
          <w:rFonts w:ascii="Arial" w:hAnsi="Arial" w:cs="Arial"/>
          <w:b/>
          <w:bCs/>
          <w:color w:val="ED5625"/>
          <w:sz w:val="20"/>
          <w:szCs w:val="20"/>
        </w:rPr>
      </w:pPr>
    </w:p>
    <w:p w14:paraId="699FD8B7" w14:textId="77777777" w:rsidR="00EA1D58" w:rsidRDefault="00EA1D58" w:rsidP="00EA1D58">
      <w:pPr>
        <w:jc w:val="center"/>
        <w:rPr>
          <w:rFonts w:ascii="Arial" w:hAnsi="Arial" w:cs="Arial"/>
          <w:b/>
          <w:bCs/>
          <w:color w:val="ED5625"/>
          <w:sz w:val="20"/>
          <w:szCs w:val="20"/>
        </w:rPr>
      </w:pPr>
    </w:p>
    <w:p w14:paraId="0D5ED2B9" w14:textId="77777777" w:rsidR="00EA1D58" w:rsidRDefault="00EA1D58" w:rsidP="00EA1D58">
      <w:pPr>
        <w:jc w:val="center"/>
        <w:rPr>
          <w:rFonts w:ascii="Arial" w:hAnsi="Arial" w:cs="Arial"/>
          <w:b/>
          <w:bCs/>
          <w:color w:val="ED5625"/>
          <w:sz w:val="20"/>
          <w:szCs w:val="20"/>
        </w:rPr>
      </w:pPr>
    </w:p>
    <w:p w14:paraId="25DFBA52" w14:textId="77777777" w:rsidR="00EA1D58" w:rsidRDefault="00EA1D58" w:rsidP="00EA1D58">
      <w:pPr>
        <w:jc w:val="center"/>
        <w:rPr>
          <w:rFonts w:ascii="Arial" w:hAnsi="Arial" w:cs="Arial"/>
          <w:b/>
          <w:bCs/>
          <w:color w:val="ED5625"/>
          <w:sz w:val="20"/>
          <w:szCs w:val="20"/>
        </w:rPr>
      </w:pPr>
    </w:p>
    <w:p w14:paraId="58AB2A40" w14:textId="77777777" w:rsidR="00EA1D58" w:rsidRDefault="00EA1D58" w:rsidP="00EA1D58">
      <w:pPr>
        <w:jc w:val="center"/>
        <w:rPr>
          <w:rFonts w:ascii="Arial" w:hAnsi="Arial" w:cs="Arial"/>
          <w:b/>
          <w:bCs/>
          <w:color w:val="ED5625"/>
          <w:sz w:val="20"/>
          <w:szCs w:val="20"/>
        </w:rPr>
      </w:pPr>
    </w:p>
    <w:p w14:paraId="1DB3195E" w14:textId="77777777" w:rsidR="00EA1D58" w:rsidRDefault="00EA1D58" w:rsidP="00EA1D58">
      <w:pPr>
        <w:jc w:val="center"/>
        <w:rPr>
          <w:rFonts w:ascii="Arial" w:hAnsi="Arial" w:cs="Arial"/>
          <w:b/>
          <w:bCs/>
          <w:color w:val="ED5625"/>
          <w:sz w:val="20"/>
          <w:szCs w:val="20"/>
        </w:rPr>
      </w:pPr>
    </w:p>
    <w:p w14:paraId="240800EA" w14:textId="77777777" w:rsidR="00EA1D58" w:rsidRDefault="00EA1D58" w:rsidP="00EA1D58">
      <w:pPr>
        <w:jc w:val="center"/>
        <w:rPr>
          <w:rFonts w:ascii="Arial" w:hAnsi="Arial" w:cs="Arial"/>
          <w:b/>
          <w:bCs/>
          <w:color w:val="ED5625"/>
          <w:sz w:val="20"/>
          <w:szCs w:val="20"/>
        </w:rPr>
      </w:pPr>
    </w:p>
    <w:p w14:paraId="470D015F" w14:textId="77777777" w:rsidR="00EA1D58" w:rsidRDefault="00EA1D58" w:rsidP="00EA1D58">
      <w:pPr>
        <w:jc w:val="center"/>
        <w:rPr>
          <w:rFonts w:ascii="Arial" w:hAnsi="Arial" w:cs="Arial"/>
          <w:b/>
          <w:bCs/>
          <w:color w:val="ED5625"/>
          <w:sz w:val="20"/>
          <w:szCs w:val="20"/>
        </w:rPr>
      </w:pPr>
    </w:p>
    <w:p w14:paraId="1AC659C4" w14:textId="77777777" w:rsidR="00EA1D58" w:rsidRDefault="00EA1D58" w:rsidP="00EA1D58">
      <w:pPr>
        <w:jc w:val="center"/>
        <w:rPr>
          <w:rFonts w:ascii="Arial" w:hAnsi="Arial" w:cs="Arial"/>
          <w:b/>
          <w:bCs/>
          <w:color w:val="ED5625"/>
          <w:sz w:val="20"/>
          <w:szCs w:val="20"/>
        </w:rPr>
      </w:pPr>
    </w:p>
    <w:p w14:paraId="183B2577" w14:textId="77777777" w:rsidR="00EA1D58" w:rsidRDefault="00EA1D58" w:rsidP="00EA1D58">
      <w:pPr>
        <w:jc w:val="center"/>
        <w:rPr>
          <w:rFonts w:ascii="Arial" w:hAnsi="Arial" w:cs="Arial"/>
          <w:b/>
          <w:bCs/>
          <w:color w:val="ED5625"/>
          <w:sz w:val="20"/>
          <w:szCs w:val="20"/>
        </w:rPr>
      </w:pPr>
    </w:p>
    <w:p w14:paraId="4D85F481" w14:textId="77777777" w:rsidR="00EA1D58" w:rsidRDefault="00EA1D58" w:rsidP="00EA1D58">
      <w:pPr>
        <w:jc w:val="center"/>
        <w:rPr>
          <w:rFonts w:ascii="Arial" w:hAnsi="Arial" w:cs="Arial"/>
          <w:b/>
          <w:bCs/>
          <w:color w:val="ED5625"/>
          <w:sz w:val="20"/>
          <w:szCs w:val="20"/>
        </w:rPr>
      </w:pPr>
    </w:p>
    <w:p w14:paraId="0EFF7268" w14:textId="77777777" w:rsidR="00EA1D58" w:rsidRDefault="00EA1D58" w:rsidP="00EA1D58">
      <w:pPr>
        <w:jc w:val="center"/>
        <w:rPr>
          <w:rFonts w:ascii="Arial" w:hAnsi="Arial" w:cs="Arial"/>
          <w:b/>
          <w:bCs/>
          <w:color w:val="ED5625"/>
          <w:sz w:val="20"/>
          <w:szCs w:val="20"/>
        </w:rPr>
      </w:pPr>
    </w:p>
    <w:p w14:paraId="1412EF76" w14:textId="77777777" w:rsidR="00EA1D58" w:rsidRDefault="00EA1D58" w:rsidP="00EA1D58">
      <w:pPr>
        <w:jc w:val="center"/>
        <w:rPr>
          <w:rFonts w:ascii="Arial" w:hAnsi="Arial" w:cs="Arial"/>
          <w:b/>
          <w:bCs/>
          <w:color w:val="ED5625"/>
          <w:sz w:val="20"/>
          <w:szCs w:val="20"/>
        </w:rPr>
      </w:pPr>
    </w:p>
    <w:p w14:paraId="062E4093" w14:textId="77777777" w:rsidR="00EA1D58" w:rsidRDefault="00EA1D58" w:rsidP="00EA1D58">
      <w:pPr>
        <w:jc w:val="center"/>
        <w:rPr>
          <w:rFonts w:ascii="Arial" w:hAnsi="Arial" w:cs="Arial"/>
          <w:b/>
          <w:bCs/>
          <w:color w:val="ED5625"/>
          <w:sz w:val="20"/>
          <w:szCs w:val="20"/>
        </w:rPr>
      </w:pPr>
    </w:p>
    <w:p w14:paraId="5F850990" w14:textId="77777777" w:rsidR="00EA1D58" w:rsidRDefault="00EA1D58" w:rsidP="00EA1D58">
      <w:pPr>
        <w:jc w:val="center"/>
        <w:rPr>
          <w:rFonts w:ascii="Arial" w:hAnsi="Arial" w:cs="Arial"/>
          <w:b/>
          <w:bCs/>
          <w:color w:val="ED5625"/>
          <w:sz w:val="20"/>
          <w:szCs w:val="20"/>
        </w:rPr>
      </w:pPr>
    </w:p>
    <w:p w14:paraId="01F325FB" w14:textId="77777777" w:rsidR="00EA1D58" w:rsidRDefault="00EA1D58" w:rsidP="00EA1D58">
      <w:pPr>
        <w:jc w:val="center"/>
        <w:rPr>
          <w:rFonts w:ascii="Arial" w:hAnsi="Arial" w:cs="Arial"/>
          <w:b/>
          <w:bCs/>
          <w:color w:val="ED5625"/>
          <w:sz w:val="20"/>
          <w:szCs w:val="20"/>
        </w:rPr>
      </w:pPr>
    </w:p>
    <w:p w14:paraId="19528466" w14:textId="77777777" w:rsidR="00EA1D58" w:rsidRDefault="00EA1D58" w:rsidP="00EA1D58">
      <w:pPr>
        <w:jc w:val="center"/>
        <w:rPr>
          <w:rFonts w:ascii="Arial" w:hAnsi="Arial" w:cs="Arial"/>
          <w:b/>
          <w:bCs/>
          <w:color w:val="ED5625"/>
          <w:sz w:val="20"/>
          <w:szCs w:val="20"/>
        </w:rPr>
      </w:pPr>
    </w:p>
    <w:p w14:paraId="67F0E08C" w14:textId="77777777" w:rsidR="00EA1D58" w:rsidRDefault="00EA1D58" w:rsidP="00EA1D58">
      <w:pPr>
        <w:jc w:val="center"/>
        <w:rPr>
          <w:rFonts w:ascii="Arial" w:hAnsi="Arial" w:cs="Arial"/>
          <w:b/>
          <w:bCs/>
          <w:color w:val="ED5625"/>
          <w:sz w:val="20"/>
          <w:szCs w:val="20"/>
        </w:rPr>
      </w:pPr>
    </w:p>
    <w:p w14:paraId="0F2CD466" w14:textId="77777777" w:rsidR="00EA1D58" w:rsidRDefault="00EA1D58" w:rsidP="00EA1D58">
      <w:pPr>
        <w:jc w:val="center"/>
        <w:rPr>
          <w:rFonts w:ascii="Arial" w:hAnsi="Arial" w:cs="Arial"/>
          <w:b/>
          <w:bCs/>
          <w:color w:val="ED5625"/>
          <w:sz w:val="20"/>
          <w:szCs w:val="20"/>
        </w:rPr>
      </w:pPr>
    </w:p>
    <w:p w14:paraId="4B1F4AEE" w14:textId="77777777" w:rsidR="00EA1D58" w:rsidRDefault="00EA1D58" w:rsidP="00EA1D58">
      <w:pPr>
        <w:jc w:val="center"/>
        <w:rPr>
          <w:rFonts w:ascii="Arial" w:hAnsi="Arial" w:cs="Arial"/>
          <w:b/>
          <w:bCs/>
          <w:color w:val="ED5625"/>
          <w:sz w:val="20"/>
          <w:szCs w:val="20"/>
        </w:rPr>
      </w:pPr>
    </w:p>
    <w:p w14:paraId="7BC83B07" w14:textId="77777777" w:rsidR="00EA1D58" w:rsidRDefault="00EA1D58" w:rsidP="00EA1D58">
      <w:pPr>
        <w:jc w:val="center"/>
        <w:rPr>
          <w:rFonts w:ascii="Arial" w:hAnsi="Arial" w:cs="Arial"/>
          <w:b/>
          <w:bCs/>
          <w:color w:val="ED5625"/>
          <w:sz w:val="20"/>
          <w:szCs w:val="20"/>
        </w:rPr>
      </w:pPr>
    </w:p>
    <w:p w14:paraId="0CF3CA2C" w14:textId="77777777" w:rsidR="00EA1D58" w:rsidRDefault="00EA1D58" w:rsidP="00EA1D58">
      <w:pPr>
        <w:jc w:val="center"/>
        <w:rPr>
          <w:rFonts w:ascii="Arial" w:hAnsi="Arial" w:cs="Arial"/>
          <w:b/>
          <w:bCs/>
          <w:color w:val="ED5625"/>
          <w:sz w:val="20"/>
          <w:szCs w:val="20"/>
        </w:rPr>
      </w:pPr>
    </w:p>
    <w:p w14:paraId="29A39280" w14:textId="77777777" w:rsidR="00EA1D58" w:rsidRDefault="00EA1D58" w:rsidP="00EA1D58">
      <w:pPr>
        <w:jc w:val="center"/>
        <w:rPr>
          <w:rFonts w:ascii="Arial" w:hAnsi="Arial" w:cs="Arial"/>
          <w:b/>
          <w:bCs/>
          <w:color w:val="ED5625"/>
          <w:sz w:val="20"/>
          <w:szCs w:val="20"/>
        </w:rPr>
      </w:pPr>
    </w:p>
    <w:p w14:paraId="178C37A5" w14:textId="77777777" w:rsidR="00EA1D58" w:rsidRDefault="00EA1D58" w:rsidP="00EA1D58">
      <w:pPr>
        <w:jc w:val="center"/>
        <w:rPr>
          <w:rFonts w:ascii="Arial" w:hAnsi="Arial" w:cs="Arial"/>
          <w:b/>
          <w:bCs/>
          <w:color w:val="ED5625"/>
          <w:sz w:val="20"/>
          <w:szCs w:val="20"/>
        </w:rPr>
      </w:pPr>
    </w:p>
    <w:p w14:paraId="11FA2983" w14:textId="77777777" w:rsidR="00EA1D58" w:rsidRDefault="00EA1D58" w:rsidP="00EA1D58">
      <w:pPr>
        <w:jc w:val="center"/>
        <w:rPr>
          <w:rFonts w:ascii="Arial" w:hAnsi="Arial" w:cs="Arial"/>
          <w:b/>
          <w:bCs/>
          <w:color w:val="ED5625"/>
          <w:sz w:val="20"/>
          <w:szCs w:val="20"/>
        </w:rPr>
      </w:pPr>
    </w:p>
    <w:p w14:paraId="29999324" w14:textId="77777777" w:rsidR="00EA1D58" w:rsidRDefault="00EA1D58" w:rsidP="00EA1D58">
      <w:pPr>
        <w:jc w:val="center"/>
        <w:rPr>
          <w:rFonts w:ascii="Arial" w:hAnsi="Arial" w:cs="Arial"/>
          <w:b/>
          <w:bCs/>
          <w:color w:val="ED5625"/>
          <w:sz w:val="20"/>
          <w:szCs w:val="20"/>
        </w:rPr>
      </w:pPr>
    </w:p>
    <w:p w14:paraId="592F32F2" w14:textId="77777777" w:rsidR="00EA1D58" w:rsidRDefault="00EA1D58" w:rsidP="00EA1D58">
      <w:pPr>
        <w:jc w:val="center"/>
        <w:rPr>
          <w:rFonts w:ascii="Arial" w:hAnsi="Arial" w:cs="Arial"/>
          <w:b/>
          <w:bCs/>
          <w:color w:val="ED5625"/>
          <w:sz w:val="20"/>
          <w:szCs w:val="20"/>
        </w:rPr>
      </w:pPr>
    </w:p>
    <w:p w14:paraId="73BD37F8" w14:textId="77777777" w:rsidR="00EA1D58" w:rsidRDefault="00EA1D58" w:rsidP="00EA1D58">
      <w:pPr>
        <w:jc w:val="center"/>
        <w:rPr>
          <w:rFonts w:ascii="Arial" w:hAnsi="Arial" w:cs="Arial"/>
          <w:b/>
          <w:bCs/>
          <w:color w:val="ED5625"/>
          <w:sz w:val="20"/>
          <w:szCs w:val="20"/>
        </w:rPr>
      </w:pPr>
    </w:p>
    <w:p w14:paraId="03E3A5F1" w14:textId="4E78A1FA" w:rsidR="00494CA9" w:rsidRPr="00121AD8" w:rsidRDefault="00EA1D58" w:rsidP="00121AD8">
      <w:pPr>
        <w:pStyle w:val="Heading3"/>
        <w:jc w:val="center"/>
        <w:rPr>
          <w:rFonts w:ascii="Arial" w:hAnsi="Arial" w:cs="Arial"/>
          <w:b/>
          <w:bCs/>
          <w:color w:val="ED5625"/>
          <w:sz w:val="20"/>
          <w:szCs w:val="20"/>
        </w:rPr>
      </w:pPr>
      <w:bookmarkStart w:id="1509" w:name="_Table_3.5._Executive’s"/>
      <w:bookmarkEnd w:id="1509"/>
      <w:r w:rsidRPr="00121AD8">
        <w:rPr>
          <w:rFonts w:ascii="Arial" w:hAnsi="Arial" w:cs="Arial"/>
          <w:b/>
          <w:bCs/>
          <w:color w:val="ED5625"/>
          <w:sz w:val="20"/>
          <w:szCs w:val="20"/>
        </w:rPr>
        <w:lastRenderedPageBreak/>
        <w:t>Table 3.5</w:t>
      </w:r>
      <w:r w:rsidR="003D10E4" w:rsidRPr="00121AD8">
        <w:rPr>
          <w:rFonts w:ascii="Arial" w:hAnsi="Arial" w:cs="Arial"/>
          <w:b/>
          <w:bCs/>
          <w:color w:val="ED5625"/>
          <w:sz w:val="20"/>
          <w:szCs w:val="20"/>
        </w:rPr>
        <w:t>.</w:t>
      </w:r>
      <w:r w:rsidRPr="00121AD8">
        <w:rPr>
          <w:rFonts w:ascii="Arial" w:hAnsi="Arial" w:cs="Arial"/>
          <w:b/>
          <w:bCs/>
          <w:color w:val="ED5625"/>
          <w:sz w:val="20"/>
          <w:szCs w:val="20"/>
        </w:rPr>
        <w:t xml:space="preserve"> </w:t>
      </w:r>
      <w:bookmarkEnd w:id="1508"/>
      <w:r w:rsidRPr="00121AD8">
        <w:rPr>
          <w:rFonts w:ascii="Arial" w:hAnsi="Arial" w:cs="Arial"/>
          <w:b/>
          <w:bCs/>
          <w:color w:val="ED5625"/>
          <w:sz w:val="20"/>
          <w:szCs w:val="20"/>
        </w:rPr>
        <w:t>Executive’s budget proposal (Draft budget)</w:t>
      </w:r>
    </w:p>
    <w:p w14:paraId="2DA3D507" w14:textId="77777777" w:rsidR="009B7CF5" w:rsidRDefault="009B7CF5" w:rsidP="00847A09">
      <w:pPr>
        <w:framePr w:hSpace="180" w:wrap="around" w:vAnchor="page" w:hAnchor="margin" w:y="3261"/>
      </w:pPr>
    </w:p>
    <w:tbl>
      <w:tblPr>
        <w:tblStyle w:val="GridTable5Dark-Accent2"/>
        <w:tblpPr w:leftFromText="180" w:rightFromText="180" w:vertAnchor="page" w:horzAnchor="margin" w:tblpY="1913"/>
        <w:tblW w:w="0" w:type="auto"/>
        <w:tblLook w:val="04A0" w:firstRow="1" w:lastRow="0" w:firstColumn="1" w:lastColumn="0" w:noHBand="0" w:noVBand="1"/>
      </w:tblPr>
      <w:tblGrid>
        <w:gridCol w:w="1696"/>
        <w:gridCol w:w="8760"/>
      </w:tblGrid>
      <w:tr w:rsidR="00EA1D58" w14:paraId="423F55AD" w14:textId="77777777" w:rsidTr="00EA1D58">
        <w:trPr>
          <w:cnfStyle w:val="100000000000" w:firstRow="1" w:lastRow="0" w:firstColumn="0" w:lastColumn="0" w:oddVBand="0" w:evenVBand="0" w:oddHBand="0"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tcPr>
          <w:p w14:paraId="06EB41DE" w14:textId="77777777" w:rsidR="00EA1D58" w:rsidRPr="003625BA" w:rsidRDefault="00EA1D58" w:rsidP="00EA1D58">
            <w:pPr>
              <w:rPr>
                <w:b w:val="0"/>
                <w:bCs w:val="0"/>
              </w:rPr>
            </w:pPr>
            <w:r>
              <w:rPr>
                <w:noProof/>
                <w:lang w:val="en-US"/>
              </w:rPr>
              <mc:AlternateContent>
                <mc:Choice Requires="wps">
                  <w:drawing>
                    <wp:anchor distT="0" distB="0" distL="114300" distR="114300" simplePos="0" relativeHeight="255288318" behindDoc="0" locked="0" layoutInCell="1" allowOverlap="1" wp14:anchorId="7F1E8161" wp14:editId="50566577">
                      <wp:simplePos x="0" y="0"/>
                      <wp:positionH relativeFrom="margin">
                        <wp:align>center</wp:align>
                      </wp:positionH>
                      <wp:positionV relativeFrom="paragraph">
                        <wp:posOffset>727075</wp:posOffset>
                      </wp:positionV>
                      <wp:extent cx="762000" cy="304800"/>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762000" cy="304800"/>
                              </a:xfrm>
                              <a:prstGeom prst="rect">
                                <a:avLst/>
                              </a:prstGeom>
                              <a:noFill/>
                              <a:ln w="6350">
                                <a:noFill/>
                              </a:ln>
                            </wps:spPr>
                            <wps:txbx>
                              <w:txbxContent>
                                <w:p w14:paraId="7BCFA334" w14:textId="77777777" w:rsidR="00D15FD8" w:rsidRPr="00A6449F" w:rsidRDefault="00D15FD8" w:rsidP="00EA1D58">
                                  <w:pPr>
                                    <w:jc w:val="center"/>
                                    <w:rPr>
                                      <w:rFonts w:ascii="Roboto" w:hAnsi="Roboto"/>
                                      <w:b/>
                                      <w:color w:val="FFFFFF" w:themeColor="background1"/>
                                      <w:sz w:val="20"/>
                                      <w:szCs w:val="20"/>
                                    </w:rPr>
                                  </w:pPr>
                                  <w:r w:rsidRPr="00A6449F">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E8161" id="Text Box 153" o:spid="_x0000_s1353" type="#_x0000_t202" style="position:absolute;margin-left:0;margin-top:57.25pt;width:60pt;height:24pt;z-index:25528831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" filled="f" stroked="f" strokeweight=".5pt">
                      <v:textbox>
                        <w:txbxContent>
                          <w:p w14:paraId="7BCFA334" w14:textId="77777777" w:rsidR="00D15FD8" w:rsidRPr="00A6449F" w:rsidRDefault="00D15FD8" w:rsidP="00EA1D58">
                            <w:pPr>
                              <w:jc w:val="center"/>
                              <w:rPr>
                                <w:rFonts w:ascii="Roboto" w:hAnsi="Roboto"/>
                                <w:b/>
                                <w:color w:val="FFFFFF" w:themeColor="background1"/>
                                <w:sz w:val="20"/>
                                <w:szCs w:val="20"/>
                              </w:rPr>
                            </w:pPr>
                            <w:r w:rsidRPr="00A6449F">
                              <w:rPr>
                                <w:rFonts w:ascii="Roboto" w:hAnsi="Roboto"/>
                                <w:b/>
                                <w:color w:val="FFFFFF" w:themeColor="background1"/>
                                <w:sz w:val="20"/>
                                <w:szCs w:val="20"/>
                              </w:rPr>
                              <w:t>WHEN:</w:t>
                            </w:r>
                          </w:p>
                        </w:txbxContent>
                      </v:textbox>
                      <w10:wrap anchorx="margin"/>
                    </v:shape>
                  </w:pict>
                </mc:Fallback>
              </mc:AlternateContent>
            </w:r>
            <w:r>
              <w:rPr>
                <w:noProof/>
                <w:lang w:val="en-US"/>
              </w:rPr>
              <w:drawing>
                <wp:anchor distT="0" distB="0" distL="114300" distR="114300" simplePos="0" relativeHeight="255287294" behindDoc="1" locked="0" layoutInCell="1" allowOverlap="1" wp14:anchorId="1D7F708E" wp14:editId="3D0DC7C2">
                  <wp:simplePos x="0" y="0"/>
                  <wp:positionH relativeFrom="margin">
                    <wp:align>center</wp:align>
                  </wp:positionH>
                  <wp:positionV relativeFrom="paragraph">
                    <wp:posOffset>68580</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p>
        </w:tc>
        <w:tc>
          <w:tcPr>
            <w:tcW w:w="8760" w:type="dxa"/>
            <w:tcBorders>
              <w:left w:val="single" w:sz="4" w:space="0" w:color="FFFFFF" w:themeColor="background1"/>
            </w:tcBorders>
            <w:shd w:val="clear" w:color="auto" w:fill="FBE4D5" w:themeFill="accent2" w:themeFillTint="33"/>
          </w:tcPr>
          <w:p w14:paraId="0A4A82D8" w14:textId="77777777" w:rsidR="00EA1D58" w:rsidRPr="003625BA" w:rsidRDefault="00EA1D58" w:rsidP="00EA1D58">
            <w:pPr>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p w14:paraId="678A5DDA" w14:textId="77777777" w:rsidR="00EA1D58" w:rsidRPr="00B51687" w:rsidRDefault="00EA1D58" w:rsidP="00EA1D58">
            <w:pPr>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3B3838" w:themeColor="background2" w:themeShade="40"/>
                <w:sz w:val="20"/>
                <w:szCs w:val="20"/>
              </w:rPr>
            </w:pPr>
            <w:r w:rsidRPr="00B51687">
              <w:rPr>
                <w:rFonts w:ascii="Roboto" w:hAnsi="Roboto"/>
                <w:b w:val="0"/>
                <w:bCs w:val="0"/>
                <w:color w:val="000000" w:themeColor="text1"/>
                <w:sz w:val="20"/>
                <w:szCs w:val="20"/>
              </w:rPr>
              <w:t>The OECD’s Budget Transparency Toolkit (2017) states that the tabling of the executive’s budget proposal should allow enough time for the parliament to undertake in-depth scrutiny and that three months is a useful benchmark, although the quality and depth of review are important.</w:t>
            </w:r>
          </w:p>
        </w:tc>
      </w:tr>
      <w:tr w:rsidR="00EA1D58" w14:paraId="607865C7" w14:textId="77777777" w:rsidTr="00EA1D58">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696" w:type="dxa"/>
          </w:tcPr>
          <w:p w14:paraId="12C6B3C1" w14:textId="77777777" w:rsidR="00EA1D58" w:rsidRDefault="00EA1D58" w:rsidP="00EA1D58">
            <w:pPr>
              <w:rPr>
                <w:b w:val="0"/>
                <w:bCs w:val="0"/>
              </w:rPr>
            </w:pPr>
            <w:r>
              <w:rPr>
                <w:noProof/>
                <w:lang w:val="en-US"/>
              </w:rPr>
              <w:drawing>
                <wp:anchor distT="0" distB="0" distL="114300" distR="114300" simplePos="0" relativeHeight="255289342" behindDoc="1" locked="0" layoutInCell="1" allowOverlap="1" wp14:anchorId="54B544F4" wp14:editId="4923188F">
                  <wp:simplePos x="0" y="0"/>
                  <wp:positionH relativeFrom="margin">
                    <wp:posOffset>140970</wp:posOffset>
                  </wp:positionH>
                  <wp:positionV relativeFrom="paragraph">
                    <wp:posOffset>201103</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6BEAA7C9" w14:textId="77777777" w:rsidR="00EA1D58" w:rsidRPr="00A6449F" w:rsidRDefault="00EA1D58" w:rsidP="00EA1D58">
            <w:r>
              <w:rPr>
                <w:noProof/>
                <w:lang w:val="en-US"/>
              </w:rPr>
              <mc:AlternateContent>
                <mc:Choice Requires="wps">
                  <w:drawing>
                    <wp:anchor distT="0" distB="0" distL="114300" distR="114300" simplePos="0" relativeHeight="255296510" behindDoc="0" locked="0" layoutInCell="1" allowOverlap="1" wp14:anchorId="62721092" wp14:editId="4CF29D16">
                      <wp:simplePos x="0" y="0"/>
                      <wp:positionH relativeFrom="margin">
                        <wp:posOffset>-45587</wp:posOffset>
                      </wp:positionH>
                      <wp:positionV relativeFrom="paragraph">
                        <wp:posOffset>713829</wp:posOffset>
                      </wp:positionV>
                      <wp:extent cx="1054100" cy="304800"/>
                      <wp:effectExtent l="0" t="0" r="0" b="0"/>
                      <wp:wrapNone/>
                      <wp:docPr id="2713" name="Text Box 2713"/>
                      <wp:cNvGraphicFramePr/>
                      <a:graphic xmlns:a="http://schemas.openxmlformats.org/drawingml/2006/main">
                        <a:graphicData uri="http://schemas.microsoft.com/office/word/2010/wordprocessingShape">
                          <wps:wsp>
                            <wps:cNvSpPr txBox="1"/>
                            <wps:spPr>
                              <a:xfrm>
                                <a:off x="0" y="0"/>
                                <a:ext cx="1054100" cy="304800"/>
                              </a:xfrm>
                              <a:prstGeom prst="rect">
                                <a:avLst/>
                              </a:prstGeom>
                              <a:noFill/>
                              <a:ln w="6350">
                                <a:noFill/>
                              </a:ln>
                            </wps:spPr>
                            <wps:txbx>
                              <w:txbxContent>
                                <w:p w14:paraId="67B4F32E" w14:textId="77777777" w:rsidR="00D15FD8" w:rsidRPr="006967FD" w:rsidRDefault="00D15FD8" w:rsidP="00EA1D58">
                                  <w:pPr>
                                    <w:jc w:val="center"/>
                                    <w:rPr>
                                      <w:rFonts w:ascii="Roboto" w:hAnsi="Roboto"/>
                                      <w:b/>
                                      <w:color w:val="FFFFFF" w:themeColor="background1"/>
                                      <w:sz w:val="18"/>
                                      <w:szCs w:val="18"/>
                                    </w:rPr>
                                  </w:pPr>
                                  <w:r w:rsidRPr="006967FD">
                                    <w:rPr>
                                      <w:rFonts w:ascii="Roboto" w:hAnsi="Roboto"/>
                                      <w:b/>
                                      <w:color w:val="FFFFFF" w:themeColor="background1"/>
                                      <w:sz w:val="18"/>
                                      <w:szCs w:val="18"/>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21092" id="Text Box 2713" o:spid="_x0000_s1354" type="#_x0000_t202" style="position:absolute;margin-left:-3.6pt;margin-top:56.2pt;width:83pt;height:24pt;z-index:2552965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" filled="f" stroked="f" strokeweight=".5pt">
                      <v:textbox>
                        <w:txbxContent>
                          <w:p w14:paraId="67B4F32E" w14:textId="77777777" w:rsidR="00D15FD8" w:rsidRPr="006967FD" w:rsidRDefault="00D15FD8" w:rsidP="00EA1D58">
                            <w:pPr>
                              <w:jc w:val="center"/>
                              <w:rPr>
                                <w:rFonts w:ascii="Roboto" w:hAnsi="Roboto"/>
                                <w:b/>
                                <w:color w:val="FFFFFF" w:themeColor="background1"/>
                                <w:sz w:val="18"/>
                                <w:szCs w:val="18"/>
                              </w:rPr>
                            </w:pPr>
                            <w:r w:rsidRPr="006967FD">
                              <w:rPr>
                                <w:rFonts w:ascii="Roboto" w:hAnsi="Roboto"/>
                                <w:b/>
                                <w:color w:val="FFFFFF" w:themeColor="background1"/>
                                <w:sz w:val="18"/>
                                <w:szCs w:val="18"/>
                              </w:rPr>
                              <w:t>IMPORTANCE:</w:t>
                            </w:r>
                          </w:p>
                        </w:txbxContent>
                      </v:textbox>
                      <w10:wrap anchorx="margin"/>
                    </v:shape>
                  </w:pict>
                </mc:Fallback>
              </mc:AlternateContent>
            </w:r>
          </w:p>
          <w:p w14:paraId="2433BE76" w14:textId="77777777" w:rsidR="00EA1D58" w:rsidRPr="00A6449F" w:rsidRDefault="00EA1D58" w:rsidP="00EA1D58"/>
          <w:p w14:paraId="701E72D5" w14:textId="77777777" w:rsidR="00EA1D58" w:rsidRDefault="00EA1D58" w:rsidP="00EA1D58">
            <w:pPr>
              <w:rPr>
                <w:b w:val="0"/>
                <w:bCs w:val="0"/>
              </w:rPr>
            </w:pPr>
          </w:p>
          <w:p w14:paraId="5B283789" w14:textId="77777777" w:rsidR="00EA1D58" w:rsidRPr="00494CA9" w:rsidRDefault="00EA1D58" w:rsidP="00EA1D58"/>
        </w:tc>
        <w:tc>
          <w:tcPr>
            <w:tcW w:w="8760" w:type="dxa"/>
          </w:tcPr>
          <w:p w14:paraId="30E75AD0" w14:textId="77777777" w:rsidR="00EA1D58" w:rsidRPr="003625BA" w:rsidRDefault="00EA1D58" w:rsidP="00EA1D58">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3693A173" w14:textId="77777777" w:rsidR="00EA1D58" w:rsidRDefault="00EA1D58" w:rsidP="00EA1D58">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The Executive’s Budget Proposal is the most important economic policy instrument. It is a comprehensive document (or set of documents) submitted to parliament for approval, specifying the executive’s priorities and plans for the forthcoming year. Other actors in the fiscal ecosystem require information on what the government is intending to spend its budget on, including how resources will be distributed among different segments of the population; as well as how it intends to finance its activities, including in terms of taxation and debt that has intergenerational implications; in order to be able to influence the design and implementation of government policies, including those related to poverty alleviation, health, education, gender equity, or the environment. The executive must provide detailed comprehensive budget information, including its rationale and explanations to allow for informed public debate and legislative discussion before the budget proposal is approved/enacted.</w:t>
            </w:r>
          </w:p>
          <w:p w14:paraId="58A581FB" w14:textId="77777777" w:rsidR="00EA1D58" w:rsidRPr="003625BA" w:rsidRDefault="00EA1D58" w:rsidP="00EA1D58">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EA1D58" w14:paraId="125D0801" w14:textId="77777777" w:rsidTr="00EA1D58">
        <w:trPr>
          <w:trHeight w:val="1299"/>
        </w:trPr>
        <w:tc>
          <w:tcPr>
            <w:cnfStyle w:val="001000000000" w:firstRow="0" w:lastRow="0" w:firstColumn="1" w:lastColumn="0" w:oddVBand="0" w:evenVBand="0" w:oddHBand="0" w:evenHBand="0" w:firstRowFirstColumn="0" w:firstRowLastColumn="0" w:lastRowFirstColumn="0" w:lastRowLastColumn="0"/>
            <w:tcW w:w="1696" w:type="dxa"/>
          </w:tcPr>
          <w:p w14:paraId="05E57D35" w14:textId="77777777" w:rsidR="00EA1D58" w:rsidRDefault="00EA1D58" w:rsidP="00EA1D58">
            <w:pPr>
              <w:rPr>
                <w:b w:val="0"/>
                <w:bCs w:val="0"/>
              </w:rPr>
            </w:pPr>
            <w:r>
              <w:rPr>
                <w:noProof/>
                <w:lang w:val="en-US"/>
              </w:rPr>
              <w:drawing>
                <wp:anchor distT="0" distB="0" distL="114300" distR="114300" simplePos="0" relativeHeight="255290366" behindDoc="1" locked="0" layoutInCell="1" allowOverlap="1" wp14:anchorId="12812BFD" wp14:editId="008137F8">
                  <wp:simplePos x="0" y="0"/>
                  <wp:positionH relativeFrom="margin">
                    <wp:posOffset>139700</wp:posOffset>
                  </wp:positionH>
                  <wp:positionV relativeFrom="paragraph">
                    <wp:posOffset>177165</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4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91390" behindDoc="0" locked="0" layoutInCell="1" allowOverlap="1" wp14:anchorId="784CDB44" wp14:editId="3784A60F">
                      <wp:simplePos x="0" y="0"/>
                      <wp:positionH relativeFrom="margin">
                        <wp:posOffset>6350</wp:posOffset>
                      </wp:positionH>
                      <wp:positionV relativeFrom="paragraph">
                        <wp:posOffset>840105</wp:posOffset>
                      </wp:positionV>
                      <wp:extent cx="927100" cy="311150"/>
                      <wp:effectExtent l="0" t="0" r="0" b="0"/>
                      <wp:wrapNone/>
                      <wp:docPr id="588" name="Text Box 588"/>
                      <wp:cNvGraphicFramePr/>
                      <a:graphic xmlns:a="http://schemas.openxmlformats.org/drawingml/2006/main">
                        <a:graphicData uri="http://schemas.microsoft.com/office/word/2010/wordprocessingShape">
                          <wps:wsp>
                            <wps:cNvSpPr txBox="1"/>
                            <wps:spPr>
                              <a:xfrm>
                                <a:off x="0" y="0"/>
                                <a:ext cx="927100" cy="311150"/>
                              </a:xfrm>
                              <a:prstGeom prst="rect">
                                <a:avLst/>
                              </a:prstGeom>
                              <a:noFill/>
                              <a:ln w="6350">
                                <a:noFill/>
                              </a:ln>
                            </wps:spPr>
                            <wps:txbx>
                              <w:txbxContent>
                                <w:p w14:paraId="23E21E21" w14:textId="77777777" w:rsidR="00D15FD8" w:rsidRPr="00732E71" w:rsidRDefault="00D15FD8" w:rsidP="00EA1D58">
                                  <w:pPr>
                                    <w:jc w:val="center"/>
                                    <w:rPr>
                                      <w:rFonts w:ascii="Roboto" w:hAnsi="Roboto"/>
                                      <w:b/>
                                      <w:color w:val="FFFFFF" w:themeColor="background1"/>
                                      <w:sz w:val="28"/>
                                      <w:szCs w:val="28"/>
                                    </w:rPr>
                                  </w:pPr>
                                  <w:r w:rsidRPr="006967FD">
                                    <w:rPr>
                                      <w:rFonts w:ascii="Roboto" w:hAnsi="Roboto"/>
                                      <w:b/>
                                      <w:color w:val="FFFFFF" w:themeColor="background1"/>
                                      <w:sz w:val="18"/>
                                      <w:szCs w:val="18"/>
                                    </w:rPr>
                                    <w:t>CONTENTS</w:t>
                                  </w:r>
                                  <w:r>
                                    <w:rPr>
                                      <w:rFonts w:ascii="Roboto" w:hAnsi="Roboto"/>
                                      <w:b/>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CDB44" id="Text Box 588" o:spid="_x0000_s1355" type="#_x0000_t202" style="position:absolute;margin-left:.5pt;margin-top:66.15pt;width:73pt;height:24.5pt;z-index:2552913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" filled="f" stroked="f" strokeweight=".5pt">
                      <v:textbox>
                        <w:txbxContent>
                          <w:p w14:paraId="23E21E21" w14:textId="77777777" w:rsidR="00D15FD8" w:rsidRPr="00732E71" w:rsidRDefault="00D15FD8" w:rsidP="00EA1D58">
                            <w:pPr>
                              <w:jc w:val="center"/>
                              <w:rPr>
                                <w:rFonts w:ascii="Roboto" w:hAnsi="Roboto"/>
                                <w:b/>
                                <w:color w:val="FFFFFF" w:themeColor="background1"/>
                                <w:sz w:val="28"/>
                                <w:szCs w:val="28"/>
                              </w:rPr>
                            </w:pPr>
                            <w:r w:rsidRPr="006967FD">
                              <w:rPr>
                                <w:rFonts w:ascii="Roboto" w:hAnsi="Roboto"/>
                                <w:b/>
                                <w:color w:val="FFFFFF" w:themeColor="background1"/>
                                <w:sz w:val="18"/>
                                <w:szCs w:val="18"/>
                              </w:rPr>
                              <w:t>CONTENTS</w:t>
                            </w:r>
                            <w:r>
                              <w:rPr>
                                <w:rFonts w:ascii="Roboto" w:hAnsi="Roboto"/>
                                <w:b/>
                                <w:color w:val="FFFFFF" w:themeColor="background1"/>
                                <w:sz w:val="20"/>
                                <w:szCs w:val="20"/>
                              </w:rPr>
                              <w:t>:</w:t>
                            </w:r>
                          </w:p>
                        </w:txbxContent>
                      </v:textbox>
                      <w10:wrap anchorx="margin"/>
                    </v:shape>
                  </w:pict>
                </mc:Fallback>
              </mc:AlternateContent>
            </w:r>
          </w:p>
          <w:p w14:paraId="5000FBAC" w14:textId="77777777" w:rsidR="00EA1D58" w:rsidRDefault="00EA1D58" w:rsidP="00EA1D58">
            <w:pPr>
              <w:rPr>
                <w:b w:val="0"/>
                <w:bCs w:val="0"/>
              </w:rPr>
            </w:pPr>
          </w:p>
          <w:p w14:paraId="50C3CFC6" w14:textId="77777777" w:rsidR="00EA1D58" w:rsidRDefault="00EA1D58" w:rsidP="00EA1D58">
            <w:pPr>
              <w:rPr>
                <w:b w:val="0"/>
                <w:bCs w:val="0"/>
              </w:rPr>
            </w:pPr>
          </w:p>
          <w:p w14:paraId="0306B40D" w14:textId="77777777" w:rsidR="00EA1D58" w:rsidRDefault="00EA1D58" w:rsidP="00EA1D58"/>
        </w:tc>
        <w:tc>
          <w:tcPr>
            <w:tcW w:w="8760" w:type="dxa"/>
          </w:tcPr>
          <w:p w14:paraId="33361763" w14:textId="77777777" w:rsidR="00EA1D58" w:rsidRPr="003625BA" w:rsidRDefault="00EA1D58" w:rsidP="00EA1D58">
            <w:pPr>
              <w:ind w:left="170"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3D2C0171" w14:textId="77777777" w:rsidR="00EA1D58" w:rsidRPr="003625BA" w:rsidRDefault="00EA1D58" w:rsidP="00EA1D58">
            <w:pPr>
              <w:ind w:left="170"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Minister of Finance’s Budget speech in Parliament setting out reasons and explanations for the government’s fiscal strategy, the budget, and the new initiatives being introduced. The Minister formally tables the budget bills and accompanying explanatory document/documentation.</w:t>
            </w:r>
          </w:p>
          <w:p w14:paraId="5C4019AD" w14:textId="77777777" w:rsidR="00EA1D58" w:rsidRPr="003625BA" w:rsidRDefault="00EA1D58" w:rsidP="00EA1D58">
            <w:pPr>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2225E295" w14:textId="77777777" w:rsidR="00EA1D58" w:rsidRPr="003625BA" w:rsidRDefault="00EA1D58" w:rsidP="00EA1D58">
            <w:pPr>
              <w:pStyle w:val="ListParagraph"/>
              <w:numPr>
                <w:ilvl w:val="0"/>
                <w:numId w:val="82"/>
              </w:numPr>
              <w:ind w:left="426" w:right="295" w:hanging="284"/>
              <w:contextualSpacing/>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Budget bills on revenues and appropriations: The executive’s legal proposal/s to the legislature according to the format/s required in the public finance law/s in each country. Once approved by the legislature, it provides the legal authority for the executive to tax and spend in the coming fiscal year. The bills should be accompanied by a document/s that provides the rationale for and explains the budget in detail, together with supporting technical information.</w:t>
            </w:r>
          </w:p>
          <w:p w14:paraId="227234B7" w14:textId="77777777" w:rsidR="00EA1D58" w:rsidRPr="003625BA" w:rsidRDefault="00EA1D58" w:rsidP="00EA1D58">
            <w:pPr>
              <w:pStyle w:val="ListParagraph"/>
              <w:ind w:left="426" w:right="295"/>
              <w:contextualSpacing/>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EA1D58" w14:paraId="31E82154" w14:textId="77777777" w:rsidTr="0066524A">
        <w:trPr>
          <w:cnfStyle w:val="000000100000" w:firstRow="0" w:lastRow="0" w:firstColumn="0" w:lastColumn="0" w:oddVBand="0" w:evenVBand="0" w:oddHBand="1" w:evenHBand="0" w:firstRowFirstColumn="0" w:firstRowLastColumn="0" w:lastRowFirstColumn="0" w:lastRowLastColumn="0"/>
          <w:trHeight w:val="4819"/>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F7CAAC" w:themeFill="accent2" w:themeFillTint="66"/>
          </w:tcPr>
          <w:p w14:paraId="1608D8B2" w14:textId="77777777" w:rsidR="00EA1D58" w:rsidRPr="00B51687" w:rsidRDefault="00EA1D58" w:rsidP="00EA1D58">
            <w:pPr>
              <w:rPr>
                <w:b w:val="0"/>
                <w:bCs w:val="0"/>
                <w:noProof/>
                <w:sz w:val="20"/>
                <w:szCs w:val="20"/>
              </w:rPr>
            </w:pPr>
          </w:p>
          <w:p w14:paraId="6C6DDF55" w14:textId="77777777" w:rsidR="00EA1D58" w:rsidRPr="00B51687" w:rsidRDefault="00EA1D58" w:rsidP="00EA1D58">
            <w:pPr>
              <w:ind w:left="164" w:right="295"/>
              <w:jc w:val="both"/>
              <w:rPr>
                <w:rFonts w:ascii="Roboto" w:hAnsi="Roboto"/>
                <w:color w:val="675380"/>
                <w:sz w:val="20"/>
                <w:szCs w:val="20"/>
              </w:rPr>
            </w:pPr>
            <w:r w:rsidRPr="00B51687">
              <w:rPr>
                <w:rFonts w:ascii="Roboto" w:hAnsi="Roboto"/>
                <w:color w:val="675380"/>
                <w:sz w:val="20"/>
                <w:szCs w:val="20"/>
              </w:rPr>
              <w:t xml:space="preserve">APPROPRIATIONS STRUCTURES </w:t>
            </w:r>
            <w:r w:rsidRPr="00B51687">
              <w:rPr>
                <w:rFonts w:ascii="Roboto" w:hAnsi="Roboto"/>
                <w:b w:val="0"/>
                <w:bCs w:val="0"/>
                <w:color w:val="675380"/>
                <w:sz w:val="20"/>
                <w:szCs w:val="20"/>
              </w:rPr>
              <w:t>form the basis through which expenditure allocations are approved by the legislature. These vary across countries, with implications for accountability and decision-making:</w:t>
            </w:r>
          </w:p>
          <w:p w14:paraId="4E1DA256" w14:textId="77777777" w:rsidR="00EA1D58" w:rsidRPr="00A6449F" w:rsidRDefault="00EA1D58" w:rsidP="00EA1D58">
            <w:pPr>
              <w:ind w:left="164" w:right="295"/>
              <w:jc w:val="both"/>
              <w:rPr>
                <w:rFonts w:ascii="Roboto" w:hAnsi="Roboto"/>
                <w:color w:val="3B3838" w:themeColor="background2" w:themeShade="40"/>
                <w:sz w:val="20"/>
                <w:szCs w:val="20"/>
              </w:rPr>
            </w:pPr>
          </w:p>
          <w:p w14:paraId="61E98ACB" w14:textId="77777777" w:rsidR="00EA1D58" w:rsidRPr="00DB4261" w:rsidRDefault="00EA1D58" w:rsidP="00EA1D58">
            <w:pPr>
              <w:pStyle w:val="ListParagraph"/>
              <w:numPr>
                <w:ilvl w:val="0"/>
                <w:numId w:val="82"/>
              </w:numPr>
              <w:ind w:right="295"/>
              <w:jc w:val="both"/>
              <w:rPr>
                <w:rFonts w:ascii="Roboto" w:hAnsi="Roboto"/>
                <w:b w:val="0"/>
                <w:bCs w:val="0"/>
                <w:color w:val="auto"/>
                <w:sz w:val="20"/>
                <w:szCs w:val="20"/>
              </w:rPr>
            </w:pPr>
            <w:r w:rsidRPr="00DB4261">
              <w:rPr>
                <w:rFonts w:ascii="Roboto" w:hAnsi="Roboto"/>
                <w:b w:val="0"/>
                <w:color w:val="auto"/>
                <w:sz w:val="20"/>
                <w:szCs w:val="20"/>
              </w:rPr>
              <w:t xml:space="preserve">Line item/ input budgeting means that the legislature approves each line item of expenditure. This promotes detailed control of inputs, but doesn’t provide a basis for the prioritization of expenditure. </w:t>
            </w:r>
          </w:p>
          <w:p w14:paraId="577E6782" w14:textId="77777777" w:rsidR="00EA1D58" w:rsidRPr="00DB4261" w:rsidRDefault="00EA1D58" w:rsidP="00EA1D58">
            <w:pPr>
              <w:pStyle w:val="ListParagraph"/>
              <w:ind w:left="862" w:right="295"/>
              <w:jc w:val="both"/>
              <w:rPr>
                <w:rFonts w:ascii="Roboto" w:hAnsi="Roboto"/>
                <w:b w:val="0"/>
                <w:bCs w:val="0"/>
                <w:color w:val="auto"/>
                <w:sz w:val="20"/>
                <w:szCs w:val="20"/>
              </w:rPr>
            </w:pPr>
          </w:p>
          <w:p w14:paraId="2755D74C" w14:textId="6DDF93B8" w:rsidR="00EA1D58" w:rsidRPr="00DB4261" w:rsidRDefault="00EA1D58" w:rsidP="00EA1D58">
            <w:pPr>
              <w:pStyle w:val="ListParagraph"/>
              <w:numPr>
                <w:ilvl w:val="0"/>
                <w:numId w:val="82"/>
              </w:numPr>
              <w:ind w:right="295"/>
              <w:jc w:val="both"/>
              <w:rPr>
                <w:rFonts w:ascii="Roboto" w:hAnsi="Roboto"/>
                <w:b w:val="0"/>
                <w:bCs w:val="0"/>
                <w:color w:val="auto"/>
                <w:sz w:val="20"/>
                <w:szCs w:val="20"/>
              </w:rPr>
            </w:pPr>
            <w:r w:rsidRPr="00DB4261">
              <w:rPr>
                <w:rFonts w:ascii="Roboto" w:hAnsi="Roboto"/>
                <w:b w:val="0"/>
                <w:color w:val="auto"/>
                <w:sz w:val="20"/>
                <w:szCs w:val="20"/>
              </w:rPr>
              <w:t xml:space="preserve">Program budgeting structures the budget by program, for example for health and education. These structures provide information on what areas the government is prioritizing its spending on and as such elucidates priority setting, while somewhat loosening controls on inputs. There are as such trade-offs between the benefits of line item and program budgeting. Performance based budgeting is linked to program-based budgeting, it includes information on program goals, and expected results measured in the form of outputs or outcomes, aimed at holding governments accountable for the attainment of results. For examples see: </w:t>
            </w:r>
            <w:hyperlink r:id="rId655" w:history="1">
              <w:r w:rsidRPr="003039FA">
                <w:rPr>
                  <w:rStyle w:val="Hyperlink"/>
                  <w:rFonts w:ascii="Roboto" w:hAnsi="Roboto"/>
                  <w:b w:val="0"/>
                  <w:bCs w:val="0"/>
                  <w:sz w:val="20"/>
                  <w:szCs w:val="20"/>
                </w:rPr>
                <w:t>OECD Journal on Budgeting</w:t>
              </w:r>
            </w:hyperlink>
            <w:r w:rsidRPr="00DB4261">
              <w:rPr>
                <w:rFonts w:ascii="Roboto" w:hAnsi="Roboto"/>
                <w:b w:val="0"/>
                <w:color w:val="auto"/>
                <w:sz w:val="20"/>
                <w:szCs w:val="20"/>
              </w:rPr>
              <w:t>, that contains examples of performance budgeting in different countries including Korea [Volume 14 (2014)], Poland [(Volume 11 (2011)], Turkey [(Volume 10 (2010), as well as in numerous other countries in the earlier published volumes.</w:t>
            </w:r>
          </w:p>
          <w:p w14:paraId="233135C2" w14:textId="77777777" w:rsidR="00EA1D58" w:rsidRPr="00D850D1" w:rsidRDefault="00EA1D58" w:rsidP="00EA1D58"/>
        </w:tc>
      </w:tr>
      <w:tr w:rsidR="00EA1D58" w14:paraId="763FC128" w14:textId="77777777" w:rsidTr="00B53BF4">
        <w:trPr>
          <w:trHeight w:val="4819"/>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FBE4D5" w:themeFill="accent2" w:themeFillTint="33"/>
          </w:tcPr>
          <w:p w14:paraId="315362CA" w14:textId="77777777" w:rsidR="00EA1D58" w:rsidRDefault="00EA1D58" w:rsidP="00EA1D58">
            <w:pPr>
              <w:pStyle w:val="ListParagraph"/>
              <w:ind w:left="862" w:right="295"/>
              <w:jc w:val="both"/>
              <w:rPr>
                <w:noProof/>
                <w:color w:val="000000" w:themeColor="text1"/>
              </w:rPr>
            </w:pPr>
          </w:p>
          <w:p w14:paraId="6701BFF7" w14:textId="77777777" w:rsidR="00EA1D58" w:rsidRPr="00A6449F" w:rsidRDefault="00EA1D58" w:rsidP="00B53BF4">
            <w:pPr>
              <w:shd w:val="clear" w:color="auto" w:fill="FBE4D5" w:themeFill="accent2" w:themeFillTint="33"/>
              <w:ind w:right="295"/>
              <w:jc w:val="both"/>
              <w:rPr>
                <w:noProof/>
                <w:color w:val="000000" w:themeColor="text1"/>
                <w:sz w:val="14"/>
                <w:szCs w:val="14"/>
              </w:rPr>
            </w:pPr>
          </w:p>
          <w:p w14:paraId="492E45BD" w14:textId="77777777" w:rsidR="00EA1D58" w:rsidRPr="00B53BF4" w:rsidRDefault="00EA1D58" w:rsidP="00B53BF4">
            <w:pPr>
              <w:pStyle w:val="ListParagraph"/>
              <w:numPr>
                <w:ilvl w:val="0"/>
                <w:numId w:val="82"/>
              </w:numPr>
              <w:shd w:val="clear" w:color="auto" w:fill="FBE4D5" w:themeFill="accent2" w:themeFillTint="33"/>
              <w:ind w:right="295"/>
              <w:jc w:val="both"/>
              <w:rPr>
                <w:rFonts w:ascii="Roboto" w:hAnsi="Roboto"/>
                <w:b w:val="0"/>
                <w:bCs w:val="0"/>
                <w:noProof/>
                <w:color w:val="auto"/>
                <w:sz w:val="20"/>
                <w:szCs w:val="20"/>
              </w:rPr>
            </w:pPr>
            <w:r w:rsidRPr="00B53BF4">
              <w:rPr>
                <w:rFonts w:ascii="Roboto" w:hAnsi="Roboto"/>
                <w:b w:val="0"/>
                <w:noProof/>
                <w:color w:val="auto"/>
                <w:sz w:val="20"/>
                <w:szCs w:val="20"/>
              </w:rPr>
              <w:t>Explanatory document/documentation should use internationally-recognised data standards, such as the IMF’s GFS and include:</w:t>
            </w:r>
          </w:p>
          <w:p w14:paraId="0F3649CA" w14:textId="77777777" w:rsidR="00EA1D58" w:rsidRPr="00B53BF4" w:rsidRDefault="00EA1D58" w:rsidP="00B53BF4">
            <w:pPr>
              <w:pStyle w:val="ListParagraph"/>
              <w:numPr>
                <w:ilvl w:val="0"/>
                <w:numId w:val="82"/>
              </w:numPr>
              <w:shd w:val="clear" w:color="auto" w:fill="FBE4D5" w:themeFill="accent2" w:themeFillTint="33"/>
              <w:ind w:left="1057" w:right="295" w:hanging="180"/>
              <w:jc w:val="both"/>
              <w:rPr>
                <w:rFonts w:ascii="Roboto" w:hAnsi="Roboto"/>
                <w:b w:val="0"/>
                <w:bCs w:val="0"/>
                <w:noProof/>
                <w:color w:val="auto"/>
                <w:sz w:val="20"/>
                <w:szCs w:val="20"/>
              </w:rPr>
            </w:pPr>
            <w:r w:rsidRPr="00B53BF4">
              <w:rPr>
                <w:rFonts w:ascii="Roboto" w:hAnsi="Roboto"/>
                <w:b w:val="0"/>
                <w:noProof/>
                <w:color w:val="auto"/>
                <w:sz w:val="20"/>
                <w:szCs w:val="20"/>
              </w:rPr>
              <w:t>Budget summary: A relatively short technical explanation of the main points in the proposal.</w:t>
            </w:r>
          </w:p>
          <w:p w14:paraId="30B993F7" w14:textId="77777777" w:rsidR="00EA1D58" w:rsidRPr="00B53BF4" w:rsidRDefault="00EA1D58" w:rsidP="00B53BF4">
            <w:pPr>
              <w:pStyle w:val="ListParagraph"/>
              <w:numPr>
                <w:ilvl w:val="0"/>
                <w:numId w:val="82"/>
              </w:numPr>
              <w:shd w:val="clear" w:color="auto" w:fill="FBE4D5" w:themeFill="accent2" w:themeFillTint="33"/>
              <w:ind w:left="1057" w:right="295" w:hanging="180"/>
              <w:jc w:val="both"/>
              <w:rPr>
                <w:rFonts w:ascii="Roboto" w:hAnsi="Roboto"/>
                <w:b w:val="0"/>
                <w:bCs w:val="0"/>
                <w:noProof/>
                <w:color w:val="auto"/>
                <w:sz w:val="20"/>
                <w:szCs w:val="20"/>
              </w:rPr>
            </w:pPr>
            <w:r w:rsidRPr="00B53BF4">
              <w:rPr>
                <w:rFonts w:ascii="Roboto" w:hAnsi="Roboto"/>
                <w:b w:val="0"/>
                <w:noProof/>
                <w:color w:val="auto"/>
                <w:sz w:val="20"/>
                <w:szCs w:val="20"/>
              </w:rPr>
              <w:t>Description of recent economic developments in the domestic and international economies, and a summary of the forecasts of macroeconomic variables that influence the government’s finances.</w:t>
            </w:r>
          </w:p>
          <w:p w14:paraId="5A6E2C71" w14:textId="77777777" w:rsidR="00EA1D58" w:rsidRPr="00B53BF4" w:rsidRDefault="00EA1D58" w:rsidP="00B53BF4">
            <w:pPr>
              <w:pStyle w:val="ListParagraph"/>
              <w:numPr>
                <w:ilvl w:val="0"/>
                <w:numId w:val="82"/>
              </w:numPr>
              <w:shd w:val="clear" w:color="auto" w:fill="FBE4D5" w:themeFill="accent2" w:themeFillTint="33"/>
              <w:ind w:left="1057" w:right="295" w:hanging="180"/>
              <w:jc w:val="both"/>
              <w:rPr>
                <w:rFonts w:ascii="Roboto" w:hAnsi="Roboto"/>
                <w:b w:val="0"/>
                <w:bCs w:val="0"/>
                <w:noProof/>
                <w:color w:val="auto"/>
                <w:sz w:val="20"/>
                <w:szCs w:val="20"/>
              </w:rPr>
            </w:pPr>
            <w:r w:rsidRPr="00B53BF4">
              <w:rPr>
                <w:rFonts w:ascii="Roboto" w:hAnsi="Roboto"/>
                <w:b w:val="0"/>
                <w:noProof/>
                <w:color w:val="auto"/>
                <w:sz w:val="20"/>
                <w:szCs w:val="20"/>
              </w:rPr>
              <w:t>Discussion of the government’s medium-term fiscal strategy and forecasts, and an assessment of the sustainability of current policies.</w:t>
            </w:r>
          </w:p>
          <w:p w14:paraId="4FABD05A" w14:textId="77777777" w:rsidR="00EA1D58" w:rsidRPr="00B53BF4" w:rsidRDefault="00EA1D58" w:rsidP="00B53BF4">
            <w:pPr>
              <w:pStyle w:val="ListParagraph"/>
              <w:numPr>
                <w:ilvl w:val="0"/>
                <w:numId w:val="82"/>
              </w:numPr>
              <w:shd w:val="clear" w:color="auto" w:fill="FBE4D5" w:themeFill="accent2" w:themeFillTint="33"/>
              <w:ind w:left="1057" w:right="295" w:hanging="180"/>
              <w:jc w:val="both"/>
              <w:rPr>
                <w:rFonts w:ascii="Roboto" w:hAnsi="Roboto"/>
                <w:b w:val="0"/>
                <w:bCs w:val="0"/>
                <w:noProof/>
                <w:color w:val="auto"/>
                <w:sz w:val="20"/>
                <w:szCs w:val="20"/>
              </w:rPr>
            </w:pPr>
            <w:r w:rsidRPr="00B53BF4">
              <w:rPr>
                <w:rFonts w:ascii="Roboto" w:hAnsi="Roboto"/>
                <w:b w:val="0"/>
                <w:noProof/>
                <w:color w:val="auto"/>
                <w:sz w:val="20"/>
                <w:szCs w:val="20"/>
              </w:rPr>
              <w:t xml:space="preserve">Detailed explanations of the government’s forecast revenues, by main revenue type, describing any new revenue measures being introduced, the contribution they are expected to make to policy objectives, and their individual estimated fiscal impacts, including information on tax expenditures. </w:t>
            </w:r>
          </w:p>
          <w:p w14:paraId="0D64FCB7" w14:textId="77777777" w:rsidR="00EA1D58" w:rsidRPr="00A6449F" w:rsidRDefault="00EA1D58" w:rsidP="00B53BF4">
            <w:pPr>
              <w:pStyle w:val="ListParagraph"/>
              <w:numPr>
                <w:ilvl w:val="0"/>
                <w:numId w:val="82"/>
              </w:numPr>
              <w:shd w:val="clear" w:color="auto" w:fill="FBE4D5" w:themeFill="accent2" w:themeFillTint="33"/>
              <w:ind w:left="1057" w:right="295" w:hanging="180"/>
              <w:jc w:val="both"/>
              <w:rPr>
                <w:b w:val="0"/>
                <w:bCs w:val="0"/>
                <w:noProof/>
                <w:color w:val="000000" w:themeColor="text1"/>
              </w:rPr>
            </w:pPr>
            <w:r w:rsidRPr="00B53BF4">
              <w:rPr>
                <w:rFonts w:ascii="Roboto" w:hAnsi="Roboto"/>
                <w:b w:val="0"/>
                <w:noProof/>
                <w:color w:val="auto"/>
                <w:sz w:val="20"/>
                <w:szCs w:val="20"/>
              </w:rPr>
              <w:t>Detailed explanations of government expenditures, by administrative unit, economic classification, and functional classification. New measures being introduced should be described. For capital (or development) spending, a table should show at least basic information on each individual project (project name, responsible institution, location, total approved project cost, total expenditure to date, and source and type of financing).</w:t>
            </w:r>
          </w:p>
        </w:tc>
      </w:tr>
      <w:tr w:rsidR="00EA1D58" w14:paraId="00A1D9C3" w14:textId="77777777" w:rsidTr="0066524A">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F7CAAC" w:themeFill="accent2" w:themeFillTint="66"/>
          </w:tcPr>
          <w:p w14:paraId="06E22315" w14:textId="77777777" w:rsidR="00EA1D58" w:rsidRDefault="00EA1D58" w:rsidP="00EA1D58">
            <w:pPr>
              <w:rPr>
                <w:noProof/>
              </w:rPr>
            </w:pPr>
          </w:p>
          <w:p w14:paraId="2C68805F" w14:textId="77777777" w:rsidR="00EA1D58" w:rsidRPr="0066524A" w:rsidRDefault="00EA1D58" w:rsidP="0066524A">
            <w:pPr>
              <w:ind w:left="164"/>
              <w:rPr>
                <w:rFonts w:ascii="Roboto" w:hAnsi="Roboto"/>
                <w:color w:val="69557F"/>
                <w:sz w:val="20"/>
                <w:szCs w:val="20"/>
              </w:rPr>
            </w:pPr>
            <w:r w:rsidRPr="0066524A">
              <w:rPr>
                <w:rFonts w:ascii="Roboto" w:hAnsi="Roboto"/>
                <w:color w:val="69557F"/>
                <w:sz w:val="20"/>
                <w:szCs w:val="20"/>
              </w:rPr>
              <w:t>MULTI-YEAR INFORMATION</w:t>
            </w:r>
          </w:p>
          <w:p w14:paraId="401188A4" w14:textId="77777777" w:rsidR="00EA1D58" w:rsidRPr="0066524A" w:rsidRDefault="00EA1D58" w:rsidP="0066524A">
            <w:pPr>
              <w:ind w:left="164" w:right="295"/>
              <w:jc w:val="both"/>
              <w:rPr>
                <w:rFonts w:ascii="Roboto" w:hAnsi="Roboto"/>
                <w:b w:val="0"/>
                <w:bCs w:val="0"/>
                <w:color w:val="000000" w:themeColor="text1"/>
                <w:sz w:val="20"/>
                <w:szCs w:val="20"/>
              </w:rPr>
            </w:pPr>
            <w:r w:rsidRPr="0066524A">
              <w:rPr>
                <w:rFonts w:ascii="Roboto" w:hAnsi="Roboto"/>
                <w:b w:val="0"/>
                <w:bCs w:val="0"/>
                <w:color w:val="000000" w:themeColor="text1"/>
                <w:sz w:val="20"/>
                <w:szCs w:val="20"/>
              </w:rPr>
              <w:t>Budgets are developed within a set of economic assumptions. The executive should take a medium-term perspective in order to anticipate the consequences of budget decisions (new and current policies), as well as the impact of any unexpected events for the next three to five years (medium term), on its fiscal policy. Preceding year data provides a benchmark for future years, assisting in assessing the realism of budget estimates. Multi-year perspectives are required such that the executive can show whether or not the decisions taken in the budget are fiscally sustainable over time and in line with fiscal policy objectives. This assists in assessing budget credibility and risks. Medium-term perspectives, lead to more effective planning and the more strategic allocation of resources over time.</w:t>
            </w:r>
          </w:p>
          <w:p w14:paraId="7BB3C408" w14:textId="77777777" w:rsidR="00EA1D58" w:rsidRPr="0066524A" w:rsidRDefault="00EA1D58" w:rsidP="0066524A">
            <w:pPr>
              <w:rPr>
                <w:b w:val="0"/>
                <w:bCs w:val="0"/>
              </w:rPr>
            </w:pPr>
          </w:p>
          <w:p w14:paraId="3A74598C" w14:textId="77777777" w:rsidR="00EA1D58" w:rsidRPr="0066524A" w:rsidRDefault="00EA1D58" w:rsidP="0066524A">
            <w:pPr>
              <w:ind w:left="164" w:right="295"/>
              <w:jc w:val="both"/>
              <w:rPr>
                <w:rFonts w:ascii="Roboto" w:hAnsi="Roboto"/>
                <w:color w:val="000000" w:themeColor="text1"/>
                <w:sz w:val="20"/>
                <w:szCs w:val="20"/>
              </w:rPr>
            </w:pPr>
            <w:r w:rsidRPr="0066524A">
              <w:rPr>
                <w:rFonts w:ascii="Roboto" w:hAnsi="Roboto"/>
                <w:b w:val="0"/>
                <w:bCs w:val="0"/>
                <w:color w:val="000000" w:themeColor="text1"/>
                <w:sz w:val="20"/>
                <w:szCs w:val="20"/>
              </w:rPr>
              <w:t>Good practice is that information should be presented for at least two preceding fiscal years, together with estimates/forecasts for at least two years following the budget year. There are different types of medium-term frameworks:</w:t>
            </w:r>
          </w:p>
          <w:p w14:paraId="2D7A0F64" w14:textId="78EFE47F" w:rsidR="00EA1D58" w:rsidRDefault="00EA1D58" w:rsidP="0066524A">
            <w:pPr>
              <w:shd w:val="clear" w:color="auto" w:fill="F7CAAC" w:themeFill="accent2" w:themeFillTint="66"/>
              <w:ind w:right="295"/>
              <w:jc w:val="both"/>
              <w:rPr>
                <w:rFonts w:ascii="Roboto" w:hAnsi="Roboto"/>
                <w:b w:val="0"/>
                <w:bCs w:val="0"/>
                <w:color w:val="000000" w:themeColor="text1"/>
                <w:sz w:val="20"/>
                <w:szCs w:val="20"/>
              </w:rPr>
            </w:pPr>
          </w:p>
          <w:p w14:paraId="261DD932" w14:textId="77777777" w:rsidR="0066524A" w:rsidRPr="0066524A" w:rsidRDefault="0066524A" w:rsidP="0066524A">
            <w:pPr>
              <w:shd w:val="clear" w:color="auto" w:fill="F7CAAC" w:themeFill="accent2" w:themeFillTint="66"/>
              <w:ind w:right="295"/>
              <w:jc w:val="both"/>
              <w:rPr>
                <w:rFonts w:ascii="Roboto" w:hAnsi="Roboto"/>
                <w:color w:val="000000" w:themeColor="text1"/>
                <w:sz w:val="20"/>
                <w:szCs w:val="20"/>
              </w:rPr>
            </w:pPr>
          </w:p>
          <w:p w14:paraId="3EAD3E3A" w14:textId="77777777" w:rsidR="00EA1D58" w:rsidRPr="0066524A" w:rsidRDefault="00EA1D58" w:rsidP="0066524A">
            <w:pPr>
              <w:pStyle w:val="ListParagraph"/>
              <w:numPr>
                <w:ilvl w:val="0"/>
                <w:numId w:val="174"/>
              </w:numPr>
              <w:shd w:val="clear" w:color="auto" w:fill="F7CAAC" w:themeFill="accent2" w:themeFillTint="66"/>
              <w:ind w:right="295"/>
              <w:jc w:val="both"/>
              <w:rPr>
                <w:rFonts w:ascii="Roboto" w:hAnsi="Roboto"/>
                <w:b w:val="0"/>
                <w:bCs w:val="0"/>
                <w:color w:val="000000" w:themeColor="text1"/>
                <w:sz w:val="20"/>
                <w:szCs w:val="20"/>
              </w:rPr>
            </w:pPr>
            <w:r w:rsidRPr="0066524A">
              <w:rPr>
                <w:rFonts w:ascii="Roboto" w:hAnsi="Roboto"/>
                <w:b w:val="0"/>
                <w:bCs w:val="0"/>
                <w:color w:val="000000" w:themeColor="text1"/>
                <w:sz w:val="20"/>
                <w:szCs w:val="20"/>
              </w:rPr>
              <w:t>Medium term fiscal framework (MTFF): Set multi-year fiscal forecasts: Macro-fiscal forecasts on macroeconomic indicators include GDP, exchange rates, interest rates, inflation; and fiscal indicator forecasts include aggregate government revenue, spending, fiscal balance, borrowing, and debt into the future.</w:t>
            </w:r>
          </w:p>
          <w:p w14:paraId="17391B2D" w14:textId="77777777" w:rsidR="00EA1D58" w:rsidRPr="0066524A" w:rsidRDefault="00EA1D58" w:rsidP="0066524A">
            <w:pPr>
              <w:shd w:val="clear" w:color="auto" w:fill="F7CAAC" w:themeFill="accent2" w:themeFillTint="66"/>
              <w:ind w:left="306"/>
              <w:jc w:val="both"/>
              <w:rPr>
                <w:rFonts w:ascii="Roboto" w:hAnsi="Roboto"/>
                <w:b w:val="0"/>
                <w:bCs w:val="0"/>
                <w:color w:val="000000" w:themeColor="text1"/>
                <w:sz w:val="20"/>
                <w:szCs w:val="20"/>
              </w:rPr>
            </w:pPr>
          </w:p>
          <w:p w14:paraId="04D45A9A" w14:textId="1A3685A1" w:rsidR="00EA1D58" w:rsidRPr="0066524A" w:rsidRDefault="00EA1D58" w:rsidP="0066524A">
            <w:pPr>
              <w:pStyle w:val="ListParagraph"/>
              <w:numPr>
                <w:ilvl w:val="0"/>
                <w:numId w:val="174"/>
              </w:numPr>
              <w:shd w:val="clear" w:color="auto" w:fill="F7CAAC" w:themeFill="accent2" w:themeFillTint="66"/>
              <w:ind w:right="295"/>
              <w:jc w:val="both"/>
              <w:rPr>
                <w:rFonts w:ascii="Roboto" w:hAnsi="Roboto"/>
                <w:b w:val="0"/>
                <w:bCs w:val="0"/>
                <w:color w:val="000000" w:themeColor="text1"/>
                <w:sz w:val="20"/>
                <w:szCs w:val="20"/>
              </w:rPr>
            </w:pPr>
            <w:r w:rsidRPr="0066524A">
              <w:rPr>
                <w:rFonts w:ascii="Roboto" w:hAnsi="Roboto"/>
                <w:b w:val="0"/>
                <w:bCs w:val="0"/>
                <w:color w:val="000000" w:themeColor="text1"/>
                <w:sz w:val="20"/>
                <w:szCs w:val="20"/>
              </w:rPr>
              <w:t>Medium-term budget framework (MTBF): Goes beyond the MTFF, by developing detailed policy and budget lines, often at the same level of detail as the annual budget, within the fiscal aggregate set in the MTFF. This means that MTBFs include the allocation of expenditure by sector, ministry, or policy over several years in the future. MTBFs set out revenues and expenditures over the medium term, and the policies required for this to transpire.</w:t>
            </w:r>
          </w:p>
          <w:p w14:paraId="61A483D6" w14:textId="77777777" w:rsidR="00EA1D58" w:rsidRPr="0066524A" w:rsidRDefault="00EA1D58" w:rsidP="0066524A">
            <w:pPr>
              <w:shd w:val="clear" w:color="auto" w:fill="F7CAAC" w:themeFill="accent2" w:themeFillTint="66"/>
              <w:jc w:val="both"/>
              <w:rPr>
                <w:rFonts w:ascii="Roboto" w:hAnsi="Roboto"/>
                <w:b w:val="0"/>
                <w:bCs w:val="0"/>
                <w:color w:val="000000" w:themeColor="text1"/>
                <w:sz w:val="20"/>
                <w:szCs w:val="20"/>
              </w:rPr>
            </w:pPr>
          </w:p>
          <w:p w14:paraId="7F6283ED" w14:textId="77777777" w:rsidR="00EA1D58" w:rsidRPr="0066524A" w:rsidRDefault="00EA1D58" w:rsidP="0066524A">
            <w:pPr>
              <w:shd w:val="clear" w:color="auto" w:fill="F7CAAC" w:themeFill="accent2" w:themeFillTint="66"/>
              <w:ind w:left="164" w:right="295"/>
              <w:jc w:val="both"/>
              <w:rPr>
                <w:rFonts w:ascii="Roboto" w:hAnsi="Roboto"/>
                <w:b w:val="0"/>
                <w:bCs w:val="0"/>
                <w:color w:val="000000" w:themeColor="text1"/>
                <w:sz w:val="20"/>
                <w:szCs w:val="20"/>
              </w:rPr>
            </w:pPr>
            <w:r w:rsidRPr="0066524A">
              <w:rPr>
                <w:rFonts w:ascii="Roboto" w:hAnsi="Roboto"/>
                <w:b w:val="0"/>
                <w:bCs w:val="0"/>
                <w:color w:val="000000" w:themeColor="text1"/>
                <w:sz w:val="20"/>
                <w:szCs w:val="20"/>
              </w:rPr>
              <w:t xml:space="preserve">Providing information in the budget about assumptions is important because it allows oversight bodies and the public to check the assumptions against those of others. As stated in Module 2, forecasts may also be compiled by independent fiscal institutions. The aim of getting independent forecasts is to try to reduce gaming and ensure more realistic and credible budgets, thereby potentially reducing the need for in-year budget changes to alter priorities, et cetera.   </w:t>
            </w:r>
          </w:p>
          <w:p w14:paraId="016C1D7A" w14:textId="77777777" w:rsidR="00EA1D58" w:rsidRPr="0066524A" w:rsidRDefault="00EA1D58" w:rsidP="0066524A">
            <w:pPr>
              <w:shd w:val="clear" w:color="auto" w:fill="F7CAAC" w:themeFill="accent2" w:themeFillTint="66"/>
              <w:jc w:val="both"/>
              <w:rPr>
                <w:rFonts w:ascii="Roboto" w:hAnsi="Roboto"/>
                <w:b w:val="0"/>
                <w:bCs w:val="0"/>
                <w:color w:val="000000" w:themeColor="text1"/>
                <w:sz w:val="20"/>
                <w:szCs w:val="20"/>
              </w:rPr>
            </w:pPr>
          </w:p>
          <w:p w14:paraId="2BB386E5" w14:textId="77777777" w:rsidR="00EA1D58" w:rsidRPr="0066524A" w:rsidRDefault="00EA1D58" w:rsidP="0066524A">
            <w:pPr>
              <w:shd w:val="clear" w:color="auto" w:fill="F7CAAC" w:themeFill="accent2" w:themeFillTint="66"/>
              <w:ind w:left="164" w:right="295"/>
              <w:jc w:val="both"/>
              <w:rPr>
                <w:rFonts w:ascii="Roboto" w:hAnsi="Roboto"/>
                <w:b w:val="0"/>
                <w:bCs w:val="0"/>
                <w:color w:val="000000" w:themeColor="text1"/>
                <w:sz w:val="20"/>
                <w:szCs w:val="20"/>
              </w:rPr>
            </w:pPr>
            <w:r w:rsidRPr="0066524A">
              <w:rPr>
                <w:rFonts w:ascii="Roboto" w:hAnsi="Roboto"/>
                <w:b w:val="0"/>
                <w:bCs w:val="0"/>
                <w:color w:val="000000" w:themeColor="text1"/>
                <w:sz w:val="20"/>
                <w:szCs w:val="20"/>
              </w:rPr>
              <w:t>The budget should as such provide more than a single year of spending, revenue and performance projections. Regarding expenditure, this is because a large part of the budget consists of recurring spending items such as for the compensation of employees and on projects that are implemented over several years.</w:t>
            </w:r>
          </w:p>
          <w:p w14:paraId="214AD42A" w14:textId="77777777" w:rsidR="00EA1D58" w:rsidRPr="0066524A" w:rsidRDefault="00EA1D58" w:rsidP="0066524A">
            <w:pPr>
              <w:shd w:val="clear" w:color="auto" w:fill="F7CAAC" w:themeFill="accent2" w:themeFillTint="66"/>
              <w:jc w:val="both"/>
              <w:rPr>
                <w:rFonts w:ascii="Roboto" w:hAnsi="Roboto"/>
                <w:b w:val="0"/>
                <w:bCs w:val="0"/>
                <w:color w:val="000000" w:themeColor="text1"/>
                <w:sz w:val="20"/>
                <w:szCs w:val="20"/>
              </w:rPr>
            </w:pPr>
          </w:p>
          <w:p w14:paraId="4EBA0D7C" w14:textId="77777777" w:rsidR="00EA1D58" w:rsidRPr="0066524A" w:rsidRDefault="00EA1D58" w:rsidP="0066524A">
            <w:pPr>
              <w:shd w:val="clear" w:color="auto" w:fill="F7CAAC" w:themeFill="accent2" w:themeFillTint="66"/>
              <w:ind w:left="164" w:right="295"/>
              <w:jc w:val="both"/>
              <w:rPr>
                <w:rFonts w:ascii="Roboto" w:hAnsi="Roboto"/>
                <w:color w:val="000000" w:themeColor="text1"/>
                <w:sz w:val="20"/>
                <w:szCs w:val="20"/>
              </w:rPr>
            </w:pPr>
          </w:p>
          <w:p w14:paraId="52A43569" w14:textId="77777777" w:rsidR="00EA1D58" w:rsidRPr="00B51687" w:rsidRDefault="00EA1D58" w:rsidP="0066524A">
            <w:pPr>
              <w:shd w:val="clear" w:color="auto" w:fill="F7CAAC" w:themeFill="accent2" w:themeFillTint="66"/>
              <w:ind w:left="164" w:right="295"/>
              <w:jc w:val="both"/>
              <w:rPr>
                <w:rFonts w:ascii="Roboto" w:hAnsi="Roboto"/>
                <w:b w:val="0"/>
                <w:bCs w:val="0"/>
                <w:color w:val="000000" w:themeColor="text1"/>
                <w:sz w:val="20"/>
                <w:szCs w:val="20"/>
              </w:rPr>
            </w:pPr>
            <w:r w:rsidRPr="0066524A">
              <w:rPr>
                <w:rFonts w:ascii="Roboto" w:hAnsi="Roboto"/>
                <w:b w:val="0"/>
                <w:bCs w:val="0"/>
                <w:color w:val="000000" w:themeColor="text1"/>
                <w:sz w:val="20"/>
                <w:szCs w:val="20"/>
              </w:rPr>
              <w:lastRenderedPageBreak/>
              <w:t>Multi-year spending commitments made in the past reduce the choices available for future year budgets, such that only a small portion of each year aggregate expenditure budget may be effectively open to allocation in a particular year’s budget process.</w:t>
            </w:r>
          </w:p>
        </w:tc>
      </w:tr>
      <w:tr w:rsidR="00EA1D58" w14:paraId="4506F17D" w14:textId="77777777" w:rsidTr="0066524A">
        <w:trPr>
          <w:trHeight w:val="1084"/>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FBE4D5" w:themeFill="accent2" w:themeFillTint="33"/>
          </w:tcPr>
          <w:p w14:paraId="5C2BAE6F" w14:textId="77777777" w:rsidR="00EA1D58" w:rsidRPr="003625BA" w:rsidRDefault="00EA1D58" w:rsidP="00EA1D58">
            <w:pPr>
              <w:pStyle w:val="ListParagraph"/>
              <w:ind w:left="589" w:right="295"/>
              <w:jc w:val="both"/>
              <w:rPr>
                <w:rFonts w:ascii="Roboto" w:hAnsi="Roboto"/>
                <w:noProof/>
                <w:color w:val="000000" w:themeColor="text1"/>
                <w:sz w:val="10"/>
                <w:szCs w:val="10"/>
              </w:rPr>
            </w:pPr>
          </w:p>
          <w:p w14:paraId="12CFB2B1" w14:textId="77777777" w:rsidR="00EA1D58" w:rsidRPr="00DB4261" w:rsidRDefault="00EA1D58" w:rsidP="00EA1D58">
            <w:pPr>
              <w:pStyle w:val="ListParagraph"/>
              <w:numPr>
                <w:ilvl w:val="0"/>
                <w:numId w:val="177"/>
              </w:numPr>
              <w:ind w:left="589" w:right="295"/>
              <w:jc w:val="both"/>
              <w:rPr>
                <w:rFonts w:ascii="Roboto" w:hAnsi="Roboto"/>
                <w:b w:val="0"/>
                <w:noProof/>
                <w:color w:val="000000" w:themeColor="text1"/>
                <w:sz w:val="20"/>
                <w:szCs w:val="20"/>
              </w:rPr>
            </w:pPr>
            <w:r w:rsidRPr="00DB4261">
              <w:rPr>
                <w:rFonts w:ascii="Roboto" w:hAnsi="Roboto"/>
                <w:b w:val="0"/>
                <w:color w:val="000000" w:themeColor="text1"/>
                <w:sz w:val="20"/>
                <w:szCs w:val="20"/>
              </w:rPr>
              <w:t>Nonfinancial and financial performance indicators including baseline data and targets, a discussion of priority spending programs and an indication of what the government is doing to improve the delivery of public services.</w:t>
            </w:r>
          </w:p>
        </w:tc>
      </w:tr>
      <w:tr w:rsidR="00EA1D58" w14:paraId="68CF12B0" w14:textId="77777777" w:rsidTr="00EA1D58">
        <w:trPr>
          <w:cnfStyle w:val="000000100000" w:firstRow="0" w:lastRow="0" w:firstColumn="0" w:lastColumn="0" w:oddVBand="0" w:evenVBand="0" w:oddHBand="1" w:evenHBand="0" w:firstRowFirstColumn="0" w:firstRowLastColumn="0" w:lastRowFirstColumn="0" w:lastRowLastColumn="0"/>
          <w:trHeight w:val="1978"/>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69557F"/>
          </w:tcPr>
          <w:p w14:paraId="366B234D" w14:textId="77777777" w:rsidR="00EA1D58" w:rsidRDefault="00EA1D58" w:rsidP="00EA1D58">
            <w:pPr>
              <w:rPr>
                <w:b w:val="0"/>
                <w:bCs w:val="0"/>
                <w:noProof/>
              </w:rPr>
            </w:pPr>
            <w:r>
              <w:rPr>
                <w:noProof/>
                <w:lang w:val="en-US"/>
              </w:rPr>
              <w:drawing>
                <wp:anchor distT="0" distB="0" distL="114300" distR="114300" simplePos="0" relativeHeight="255294462" behindDoc="1" locked="0" layoutInCell="1" allowOverlap="1" wp14:anchorId="76E3511B" wp14:editId="09AB79D7">
                  <wp:simplePos x="0" y="0"/>
                  <wp:positionH relativeFrom="column">
                    <wp:posOffset>40640</wp:posOffset>
                  </wp:positionH>
                  <wp:positionV relativeFrom="paragraph">
                    <wp:posOffset>82550</wp:posOffset>
                  </wp:positionV>
                  <wp:extent cx="2476800" cy="495360"/>
                  <wp:effectExtent l="0" t="0" r="0" b="0"/>
                  <wp:wrapTight wrapText="bothSides">
                    <wp:wrapPolygon edited="0">
                      <wp:start x="1662" y="1108"/>
                      <wp:lineTo x="997" y="3323"/>
                      <wp:lineTo x="332" y="7754"/>
                      <wp:lineTo x="332" y="13846"/>
                      <wp:lineTo x="1218" y="18831"/>
                      <wp:lineTo x="1662" y="19938"/>
                      <wp:lineTo x="20603" y="19938"/>
                      <wp:lineTo x="20825" y="18831"/>
                      <wp:lineTo x="21268" y="13292"/>
                      <wp:lineTo x="21378" y="3323"/>
                      <wp:lineTo x="19828" y="2769"/>
                      <wp:lineTo x="2658" y="1108"/>
                      <wp:lineTo x="1662" y="1108"/>
                    </wp:wrapPolygon>
                  </wp:wrapTight>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4_Icon_titles_quarterof1920-01.png"/>
                          <pic:cNvPicPr/>
                        </pic:nvPicPr>
                        <pic:blipFill>
                          <a:blip r:embed="rId656" cstate="email">
                            <a:extLst>
                              <a:ext uri="{28A0092B-C50C-407E-A947-70E740481C1C}">
                                <a14:useLocalDpi xmlns:a14="http://schemas.microsoft.com/office/drawing/2010/main"/>
                              </a:ext>
                            </a:extLst>
                          </a:blip>
                          <a:stretch>
                            <a:fillRect/>
                          </a:stretch>
                        </pic:blipFill>
                        <pic:spPr>
                          <a:xfrm>
                            <a:off x="0" y="0"/>
                            <a:ext cx="2476800" cy="495360"/>
                          </a:xfrm>
                          <a:prstGeom prst="rect">
                            <a:avLst/>
                          </a:prstGeom>
                        </pic:spPr>
                      </pic:pic>
                    </a:graphicData>
                  </a:graphic>
                  <wp14:sizeRelH relativeFrom="page">
                    <wp14:pctWidth>0</wp14:pctWidth>
                  </wp14:sizeRelH>
                  <wp14:sizeRelV relativeFrom="page">
                    <wp14:pctHeight>0</wp14:pctHeight>
                  </wp14:sizeRelV>
                </wp:anchor>
              </w:drawing>
            </w:r>
          </w:p>
          <w:p w14:paraId="4736011C" w14:textId="77777777" w:rsidR="00EA1D58" w:rsidRDefault="00EA1D58" w:rsidP="00EA1D58">
            <w:pPr>
              <w:rPr>
                <w:b w:val="0"/>
                <w:bCs w:val="0"/>
                <w:noProof/>
              </w:rPr>
            </w:pPr>
          </w:p>
          <w:p w14:paraId="7DD57B97" w14:textId="77777777" w:rsidR="00EA1D58" w:rsidRDefault="00EA1D58" w:rsidP="00EA1D58">
            <w:pPr>
              <w:rPr>
                <w:b w:val="0"/>
                <w:bCs w:val="0"/>
                <w:noProof/>
              </w:rPr>
            </w:pPr>
          </w:p>
          <w:p w14:paraId="01F349B1" w14:textId="77777777" w:rsidR="00EA1D58" w:rsidRPr="00A6449F" w:rsidRDefault="00EA1D58" w:rsidP="00EA1D58">
            <w:pPr>
              <w:rPr>
                <w:b w:val="0"/>
                <w:bCs w:val="0"/>
                <w:noProof/>
              </w:rPr>
            </w:pPr>
            <w:r>
              <w:rPr>
                <w:noProof/>
                <w:lang w:val="en-US"/>
              </w:rPr>
              <mc:AlternateContent>
                <mc:Choice Requires="wps">
                  <w:drawing>
                    <wp:anchor distT="0" distB="0" distL="114300" distR="114300" simplePos="0" relativeHeight="255295486" behindDoc="0" locked="0" layoutInCell="1" allowOverlap="1" wp14:anchorId="126DD87E" wp14:editId="1B1713C5">
                      <wp:simplePos x="0" y="0"/>
                      <wp:positionH relativeFrom="column">
                        <wp:posOffset>42545</wp:posOffset>
                      </wp:positionH>
                      <wp:positionV relativeFrom="paragraph">
                        <wp:posOffset>19685</wp:posOffset>
                      </wp:positionV>
                      <wp:extent cx="6337300" cy="685800"/>
                      <wp:effectExtent l="0" t="0" r="0" b="0"/>
                      <wp:wrapNone/>
                      <wp:docPr id="1644" name="Text Box 1644"/>
                      <wp:cNvGraphicFramePr/>
                      <a:graphic xmlns:a="http://schemas.openxmlformats.org/drawingml/2006/main">
                        <a:graphicData uri="http://schemas.microsoft.com/office/word/2010/wordprocessingShape">
                          <wps:wsp>
                            <wps:cNvSpPr txBox="1"/>
                            <wps:spPr>
                              <a:xfrm>
                                <a:off x="0" y="0"/>
                                <a:ext cx="6337300" cy="685800"/>
                              </a:xfrm>
                              <a:prstGeom prst="rect">
                                <a:avLst/>
                              </a:prstGeom>
                              <a:noFill/>
                              <a:ln w="6350">
                                <a:noFill/>
                              </a:ln>
                            </wps:spPr>
                            <wps:txbx>
                              <w:txbxContent>
                                <w:p w14:paraId="34AA997A" w14:textId="77777777" w:rsidR="00D15FD8" w:rsidRPr="00A6449F" w:rsidRDefault="00D15FD8" w:rsidP="00EA1D58">
                                  <w:pPr>
                                    <w:jc w:val="both"/>
                                    <w:rPr>
                                      <w:rFonts w:ascii="Roboto" w:hAnsi="Roboto"/>
                                      <w:color w:val="FFFFFF" w:themeColor="background1"/>
                                      <w:sz w:val="23"/>
                                      <w:szCs w:val="23"/>
                                    </w:rPr>
                                  </w:pPr>
                                  <w:r w:rsidRPr="00A6449F">
                                    <w:rPr>
                                      <w:rFonts w:ascii="Roboto" w:hAnsi="Roboto"/>
                                      <w:color w:val="FFFFFF" w:themeColor="background1"/>
                                      <w:sz w:val="23"/>
                                      <w:szCs w:val="23"/>
                                    </w:rPr>
                                    <w:t>Governments should communicate the objectives they are pursuing and the outputs they are producing with the resources entrusted to them, and endeavour to assess and disclose the anticipated and actual social, economic and environmental outcomes.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DD87E" id="Text Box 1644" o:spid="_x0000_s1356" type="#_x0000_t202" style="position:absolute;margin-left:3.35pt;margin-top:1.55pt;width:499pt;height:54pt;z-index:255295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" filled="f" stroked="f" strokeweight=".5pt">
                      <v:textbox>
                        <w:txbxContent>
                          <w:p w14:paraId="34AA997A" w14:textId="77777777" w:rsidR="00D15FD8" w:rsidRPr="00A6449F" w:rsidRDefault="00D15FD8" w:rsidP="00EA1D58">
                            <w:pPr>
                              <w:jc w:val="both"/>
                              <w:rPr>
                                <w:rFonts w:ascii="Roboto" w:hAnsi="Roboto"/>
                                <w:color w:val="FFFFFF" w:themeColor="background1"/>
                                <w:sz w:val="23"/>
                                <w:szCs w:val="23"/>
                              </w:rPr>
                            </w:pPr>
                            <w:r w:rsidRPr="00A6449F">
                              <w:rPr>
                                <w:rFonts w:ascii="Roboto" w:hAnsi="Roboto"/>
                                <w:color w:val="FFFFFF" w:themeColor="background1"/>
                                <w:sz w:val="23"/>
                                <w:szCs w:val="23"/>
                              </w:rPr>
                              <w:t>Governments should communicate the objectives they are pursuing and the outputs they are producing with the resources entrusted to them, and endeavour to assess and disclose the anticipated and actual social, economic and environmental outcomes.</w:t>
                            </w:r>
                          </w:p>
                        </w:txbxContent>
                      </v:textbox>
                    </v:shape>
                  </w:pict>
                </mc:Fallback>
              </mc:AlternateContent>
            </w:r>
          </w:p>
          <w:p w14:paraId="6D5ECC43" w14:textId="77777777" w:rsidR="00EA1D58" w:rsidRDefault="00EA1D58" w:rsidP="00EA1D58">
            <w:pPr>
              <w:rPr>
                <w:b w:val="0"/>
                <w:bCs w:val="0"/>
                <w:noProof/>
              </w:rPr>
            </w:pPr>
          </w:p>
        </w:tc>
      </w:tr>
      <w:tr w:rsidR="00EA1D58" w14:paraId="624D5945" w14:textId="77777777" w:rsidTr="00EA1D58">
        <w:trPr>
          <w:trHeight w:val="2265"/>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FBE4D5" w:themeFill="accent2" w:themeFillTint="33"/>
          </w:tcPr>
          <w:p w14:paraId="6B0CCD84" w14:textId="77777777" w:rsidR="00EA1D58" w:rsidRPr="00A6449F" w:rsidRDefault="00EA1D58" w:rsidP="00EA1D58">
            <w:pPr>
              <w:pStyle w:val="ListParagraph"/>
              <w:ind w:left="589" w:hanging="276"/>
              <w:rPr>
                <w:rFonts w:ascii="Roboto" w:hAnsi="Roboto"/>
                <w:b w:val="0"/>
                <w:bCs w:val="0"/>
                <w:color w:val="000000" w:themeColor="text1"/>
                <w:sz w:val="20"/>
                <w:szCs w:val="20"/>
              </w:rPr>
            </w:pPr>
          </w:p>
          <w:p w14:paraId="65352A27" w14:textId="77777777" w:rsidR="00EA1D58" w:rsidRPr="00A6449F" w:rsidRDefault="00EA1D58" w:rsidP="00A02F1E">
            <w:pPr>
              <w:pStyle w:val="ListParagraph"/>
              <w:numPr>
                <w:ilvl w:val="0"/>
                <w:numId w:val="175"/>
              </w:num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Explanation of how the Executive’s Budget Proposal will be financed, with details of domestic and external financing of the deficit. </w:t>
            </w:r>
          </w:p>
          <w:p w14:paraId="439EF4E8" w14:textId="77777777" w:rsidR="00EA1D58" w:rsidRPr="00A6449F" w:rsidRDefault="00EA1D58" w:rsidP="00A02F1E">
            <w:pPr>
              <w:pStyle w:val="ListParagraph"/>
              <w:ind w:left="313" w:right="295"/>
              <w:jc w:val="both"/>
              <w:rPr>
                <w:rFonts w:ascii="Roboto" w:hAnsi="Roboto"/>
                <w:b w:val="0"/>
                <w:bCs w:val="0"/>
                <w:color w:val="000000" w:themeColor="text1"/>
                <w:sz w:val="20"/>
                <w:szCs w:val="20"/>
              </w:rPr>
            </w:pPr>
          </w:p>
          <w:p w14:paraId="442640D9" w14:textId="77777777" w:rsidR="00EA1D58" w:rsidRPr="00A6449F" w:rsidRDefault="00EA1D58" w:rsidP="00A02F1E">
            <w:pPr>
              <w:pStyle w:val="ListParagraph"/>
              <w:numPr>
                <w:ilvl w:val="0"/>
                <w:numId w:val="175"/>
              </w:num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Detailed information on the level and composition of public debt</w:t>
            </w:r>
            <w:r w:rsidRPr="00A6449F">
              <w:rPr>
                <w:rStyle w:val="FootnoteReference"/>
                <w:rFonts w:ascii="Roboto" w:hAnsi="Roboto"/>
                <w:b w:val="0"/>
                <w:bCs w:val="0"/>
                <w:color w:val="000000" w:themeColor="text1"/>
                <w:sz w:val="20"/>
                <w:szCs w:val="20"/>
              </w:rPr>
              <w:footnoteReference w:id="40"/>
            </w:r>
            <w:r w:rsidRPr="00A6449F">
              <w:rPr>
                <w:rFonts w:ascii="Roboto" w:hAnsi="Roboto"/>
                <w:b w:val="0"/>
                <w:bCs w:val="0"/>
                <w:color w:val="000000" w:themeColor="text1"/>
                <w:sz w:val="20"/>
                <w:szCs w:val="20"/>
              </w:rPr>
              <w:t>, debt servicing, and how the debt is being managed.</w:t>
            </w:r>
          </w:p>
          <w:p w14:paraId="0A929323" w14:textId="77777777" w:rsidR="00EA1D58" w:rsidRPr="00A6449F" w:rsidRDefault="00EA1D58" w:rsidP="00A02F1E">
            <w:pPr>
              <w:ind w:right="295"/>
              <w:jc w:val="both"/>
              <w:rPr>
                <w:rFonts w:ascii="Roboto" w:hAnsi="Roboto"/>
                <w:b w:val="0"/>
                <w:bCs w:val="0"/>
                <w:color w:val="000000" w:themeColor="text1"/>
                <w:sz w:val="20"/>
                <w:szCs w:val="20"/>
              </w:rPr>
            </w:pPr>
          </w:p>
          <w:p w14:paraId="34235213" w14:textId="77777777" w:rsidR="00EA1D58" w:rsidRPr="00A6449F" w:rsidRDefault="00EA1D58" w:rsidP="00A02F1E">
            <w:pPr>
              <w:pStyle w:val="ListParagraph"/>
              <w:numPr>
                <w:ilvl w:val="0"/>
                <w:numId w:val="175"/>
              </w:numPr>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Information on the financial assets being held by government, by entity and category. </w:t>
            </w:r>
          </w:p>
          <w:p w14:paraId="4A106AC2" w14:textId="77777777" w:rsidR="00EA1D58" w:rsidRPr="00A6449F" w:rsidRDefault="00EA1D58" w:rsidP="00A02F1E">
            <w:pPr>
              <w:jc w:val="both"/>
              <w:rPr>
                <w:rFonts w:ascii="Roboto" w:hAnsi="Roboto"/>
                <w:b w:val="0"/>
                <w:bCs w:val="0"/>
                <w:color w:val="000000" w:themeColor="text1"/>
                <w:sz w:val="20"/>
                <w:szCs w:val="20"/>
              </w:rPr>
            </w:pPr>
          </w:p>
          <w:p w14:paraId="72DC75BB" w14:textId="74722DDE" w:rsidR="00EA1D58" w:rsidRDefault="00EA1D58" w:rsidP="00A02F1E">
            <w:pPr>
              <w:pStyle w:val="ListParagraph"/>
              <w:numPr>
                <w:ilvl w:val="0"/>
                <w:numId w:val="175"/>
              </w:num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Details of fiscal activities that do not require annual appropriations, such as social security funds, including details of any earmarking of revenues.</w:t>
            </w:r>
          </w:p>
          <w:p w14:paraId="6A9BB328" w14:textId="77777777" w:rsidR="006021D1" w:rsidRPr="006021D1" w:rsidRDefault="006021D1" w:rsidP="00A02F1E">
            <w:pPr>
              <w:pStyle w:val="ListParagraph"/>
              <w:jc w:val="both"/>
              <w:rPr>
                <w:rFonts w:ascii="Roboto" w:hAnsi="Roboto"/>
                <w:color w:val="000000" w:themeColor="text1"/>
                <w:sz w:val="20"/>
                <w:szCs w:val="20"/>
              </w:rPr>
            </w:pPr>
          </w:p>
          <w:p w14:paraId="0E9D7E4C" w14:textId="77777777" w:rsidR="00EA1D58" w:rsidRPr="00A6449F" w:rsidRDefault="00EA1D58" w:rsidP="00A02F1E">
            <w:pPr>
              <w:pStyle w:val="ListParagraph"/>
              <w:numPr>
                <w:ilvl w:val="0"/>
                <w:numId w:val="175"/>
              </w:num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Overview of the financial position (i.e., assets and liabilities) and financial performance (i.e., profit and loss) of the public </w:t>
            </w:r>
            <w:proofErr w:type="gramStart"/>
            <w:r w:rsidRPr="00A6449F">
              <w:rPr>
                <w:rFonts w:ascii="Roboto" w:hAnsi="Roboto"/>
                <w:b w:val="0"/>
                <w:bCs w:val="0"/>
                <w:color w:val="000000" w:themeColor="text1"/>
                <w:sz w:val="20"/>
                <w:szCs w:val="20"/>
              </w:rPr>
              <w:t>corporations</w:t>
            </w:r>
            <w:proofErr w:type="gramEnd"/>
            <w:r w:rsidRPr="00A6449F">
              <w:rPr>
                <w:rFonts w:ascii="Roboto" w:hAnsi="Roboto"/>
                <w:b w:val="0"/>
                <w:bCs w:val="0"/>
                <w:color w:val="000000" w:themeColor="text1"/>
                <w:sz w:val="20"/>
                <w:szCs w:val="20"/>
              </w:rPr>
              <w:t xml:space="preserve"> sector. </w:t>
            </w:r>
          </w:p>
          <w:p w14:paraId="4B02EAB9" w14:textId="77777777" w:rsidR="00EA1D58" w:rsidRPr="00A6449F" w:rsidRDefault="00EA1D58" w:rsidP="00A02F1E">
            <w:pPr>
              <w:ind w:right="295"/>
              <w:jc w:val="both"/>
              <w:rPr>
                <w:rFonts w:ascii="Roboto" w:hAnsi="Roboto"/>
                <w:color w:val="000000" w:themeColor="text1"/>
                <w:sz w:val="20"/>
                <w:szCs w:val="20"/>
              </w:rPr>
            </w:pPr>
          </w:p>
          <w:p w14:paraId="49F38F20" w14:textId="77777777" w:rsidR="00EA1D58" w:rsidRPr="00A6449F" w:rsidRDefault="00EA1D58" w:rsidP="00A02F1E">
            <w:pPr>
              <w:pStyle w:val="ListParagraph"/>
              <w:numPr>
                <w:ilvl w:val="0"/>
                <w:numId w:val="175"/>
              </w:num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All budget year tables should show the totals for the budget year, plus corresponding information for the two years prior to the budget, clearly indicating whether the prior year’s data is final, provisional, or</w:t>
            </w:r>
            <w:r w:rsidRPr="00A6449F">
              <w:rPr>
                <w:color w:val="000000" w:themeColor="text1"/>
              </w:rPr>
              <w:t xml:space="preserve"> </w:t>
            </w:r>
            <w:r w:rsidRPr="00A6449F">
              <w:rPr>
                <w:rFonts w:ascii="Roboto" w:hAnsi="Roboto"/>
                <w:b w:val="0"/>
                <w:bCs w:val="0"/>
                <w:color w:val="000000" w:themeColor="text1"/>
                <w:sz w:val="20"/>
                <w:szCs w:val="20"/>
              </w:rPr>
              <w:t xml:space="preserve">estimated. </w:t>
            </w:r>
          </w:p>
          <w:p w14:paraId="1FC6A940" w14:textId="77777777" w:rsidR="00EA1D58" w:rsidRPr="00D46B66" w:rsidRDefault="00EA1D58" w:rsidP="00A02F1E">
            <w:pPr>
              <w:jc w:val="both"/>
              <w:rPr>
                <w:rFonts w:ascii="Roboto" w:hAnsi="Roboto"/>
                <w:color w:val="000000" w:themeColor="text1"/>
                <w:sz w:val="20"/>
                <w:szCs w:val="20"/>
              </w:rPr>
            </w:pPr>
          </w:p>
          <w:p w14:paraId="2357C1EF" w14:textId="77777777" w:rsidR="00EA1D58" w:rsidRPr="00A6449F" w:rsidRDefault="00EA1D58" w:rsidP="00A02F1E">
            <w:pPr>
              <w:pStyle w:val="ListParagraph"/>
              <w:numPr>
                <w:ilvl w:val="0"/>
                <w:numId w:val="175"/>
              </w:numPr>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Where there have been changes to budget classifications, the effect of these should be explained. </w:t>
            </w:r>
          </w:p>
          <w:p w14:paraId="78B7C4D0" w14:textId="77777777" w:rsidR="00EA1D58" w:rsidRPr="00A6449F" w:rsidRDefault="00EA1D58" w:rsidP="00A02F1E">
            <w:pPr>
              <w:jc w:val="both"/>
              <w:rPr>
                <w:rFonts w:ascii="Roboto" w:hAnsi="Roboto"/>
                <w:color w:val="000000" w:themeColor="text1"/>
                <w:sz w:val="20"/>
                <w:szCs w:val="20"/>
              </w:rPr>
            </w:pPr>
          </w:p>
          <w:p w14:paraId="3D065B58" w14:textId="77777777" w:rsidR="00EA1D58" w:rsidRPr="00A6449F" w:rsidRDefault="00EA1D58" w:rsidP="00A02F1E">
            <w:pPr>
              <w:pStyle w:val="ListParagraph"/>
              <w:numPr>
                <w:ilvl w:val="0"/>
                <w:numId w:val="175"/>
              </w:num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All financial flows between the government and public corporations, including taxes and dividends paid by public corporations; any government subsidies paid to public corporations; and any loans or guarantees made by government to public corporations, as well as any capital injections. </w:t>
            </w:r>
          </w:p>
          <w:p w14:paraId="37EB1B82" w14:textId="77777777" w:rsidR="00EA1D58" w:rsidRPr="00A6449F" w:rsidRDefault="00EA1D58" w:rsidP="00A02F1E">
            <w:pPr>
              <w:jc w:val="both"/>
              <w:rPr>
                <w:rFonts w:ascii="Roboto" w:hAnsi="Roboto"/>
                <w:color w:val="000000" w:themeColor="text1"/>
                <w:sz w:val="20"/>
                <w:szCs w:val="20"/>
              </w:rPr>
            </w:pPr>
          </w:p>
          <w:p w14:paraId="518B0A37" w14:textId="77777777" w:rsidR="00EA1D58" w:rsidRPr="00A6449F" w:rsidRDefault="00EA1D58" w:rsidP="00A02F1E">
            <w:pPr>
              <w:pStyle w:val="ListParagraph"/>
              <w:numPr>
                <w:ilvl w:val="0"/>
                <w:numId w:val="175"/>
              </w:num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All quasi-fiscal activities should be reported, including any non-commercial activities conducted by primarily commercial state corporations; an overview of the finances of public corporations; and reporting on the balance of the consolidated public sector, in addition to the budget balance of the central government sector.</w:t>
            </w:r>
          </w:p>
          <w:p w14:paraId="5E13BE77" w14:textId="77777777" w:rsidR="00EA1D58" w:rsidRPr="00A6449F" w:rsidRDefault="00EA1D58" w:rsidP="00EA1D58">
            <w:pPr>
              <w:pStyle w:val="ListParagraph"/>
              <w:rPr>
                <w:rFonts w:ascii="Roboto" w:hAnsi="Roboto"/>
                <w:color w:val="000000" w:themeColor="text1"/>
                <w:sz w:val="20"/>
                <w:szCs w:val="20"/>
              </w:rPr>
            </w:pPr>
          </w:p>
          <w:p w14:paraId="367EB6F2" w14:textId="77777777" w:rsidR="00EA1D58" w:rsidRDefault="00EA1D58" w:rsidP="00A02F1E">
            <w:pPr>
              <w:ind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Information on fiscal risks</w:t>
            </w:r>
            <w:r w:rsidRPr="00D46B66">
              <w:rPr>
                <w:rStyle w:val="FootnoteReference"/>
                <w:rFonts w:ascii="Roboto" w:hAnsi="Roboto"/>
                <w:b w:val="0"/>
                <w:bCs w:val="0"/>
                <w:color w:val="000000" w:themeColor="text1"/>
                <w:sz w:val="20"/>
                <w:szCs w:val="20"/>
              </w:rPr>
              <w:footnoteReference w:id="41"/>
            </w:r>
            <w:r w:rsidRPr="00A6449F">
              <w:rPr>
                <w:rFonts w:ascii="Roboto" w:hAnsi="Roboto"/>
                <w:b w:val="0"/>
                <w:bCs w:val="0"/>
                <w:color w:val="000000" w:themeColor="text1"/>
                <w:sz w:val="20"/>
                <w:szCs w:val="20"/>
              </w:rPr>
              <w:t>, including on the sensitivity of the budget to variations in macroeconomic assumptions (including assumptions about natural resource prices), risks in public debt management, risks from contingent liabilities (guarantees, indemnities, legal action against the government), and risks from subnational governments and public corporations</w:t>
            </w:r>
            <w:r>
              <w:rPr>
                <w:rFonts w:ascii="Roboto" w:hAnsi="Roboto"/>
                <w:b w:val="0"/>
                <w:bCs w:val="0"/>
                <w:color w:val="000000" w:themeColor="text1"/>
                <w:sz w:val="20"/>
                <w:szCs w:val="20"/>
              </w:rPr>
              <w:t>.</w:t>
            </w:r>
          </w:p>
          <w:p w14:paraId="363D21FB" w14:textId="77777777" w:rsidR="00EA1D58" w:rsidRPr="003625BA" w:rsidRDefault="00EA1D58" w:rsidP="00EA1D58">
            <w:pPr>
              <w:ind w:right="295"/>
              <w:jc w:val="both"/>
              <w:rPr>
                <w:rFonts w:ascii="Roboto" w:hAnsi="Roboto"/>
                <w:color w:val="000000" w:themeColor="text1"/>
                <w:sz w:val="20"/>
                <w:szCs w:val="20"/>
              </w:rPr>
            </w:pPr>
          </w:p>
        </w:tc>
      </w:tr>
      <w:tr w:rsidR="00EA1D58" w14:paraId="1D3C665A" w14:textId="77777777" w:rsidTr="00EA1D58">
        <w:trPr>
          <w:cnfStyle w:val="000000100000" w:firstRow="0" w:lastRow="0" w:firstColumn="0" w:lastColumn="0" w:oddVBand="0" w:evenVBand="0" w:oddHBand="1" w:evenHBand="0" w:firstRowFirstColumn="0" w:firstRowLastColumn="0" w:lastRowFirstColumn="0" w:lastRowLastColumn="0"/>
          <w:trHeight w:val="5666"/>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F7CAAC" w:themeFill="accent2" w:themeFillTint="66"/>
          </w:tcPr>
          <w:p w14:paraId="4C66AA05" w14:textId="77777777" w:rsidR="00EA1D58" w:rsidRDefault="00EA1D58" w:rsidP="00EA1D58">
            <w:pPr>
              <w:rPr>
                <w:rFonts w:ascii="Roboto" w:hAnsi="Roboto"/>
                <w:b w:val="0"/>
                <w:bCs w:val="0"/>
                <w:color w:val="69557F"/>
                <w:sz w:val="20"/>
                <w:szCs w:val="20"/>
              </w:rPr>
            </w:pPr>
          </w:p>
          <w:p w14:paraId="1995689F" w14:textId="77777777" w:rsidR="00EA1D58" w:rsidRDefault="00EA1D58" w:rsidP="00EA1D58">
            <w:pPr>
              <w:ind w:left="164"/>
              <w:rPr>
                <w:rFonts w:ascii="Roboto" w:hAnsi="Roboto"/>
                <w:b w:val="0"/>
                <w:bCs w:val="0"/>
                <w:color w:val="69557F"/>
                <w:sz w:val="20"/>
                <w:szCs w:val="20"/>
              </w:rPr>
            </w:pPr>
            <w:r w:rsidRPr="00A6449F">
              <w:rPr>
                <w:rFonts w:ascii="Roboto" w:hAnsi="Roboto"/>
                <w:color w:val="69557F"/>
                <w:sz w:val="20"/>
                <w:szCs w:val="20"/>
              </w:rPr>
              <w:t>FISCAL RISK REPORT</w:t>
            </w:r>
          </w:p>
          <w:p w14:paraId="13DB5755" w14:textId="77777777" w:rsidR="00EA1D58" w:rsidRPr="00A6449F" w:rsidRDefault="00EA1D58" w:rsidP="00EA1D58">
            <w:pPr>
              <w:ind w:left="164"/>
              <w:rPr>
                <w:rFonts w:ascii="Roboto" w:hAnsi="Roboto"/>
                <w:color w:val="69557F"/>
                <w:sz w:val="20"/>
                <w:szCs w:val="20"/>
              </w:rPr>
            </w:pPr>
          </w:p>
          <w:p w14:paraId="60B21ADD" w14:textId="77777777" w:rsidR="00EA1D58" w:rsidRPr="00A6449F" w:rsidRDefault="00EA1D58" w:rsidP="00EA1D58">
            <w:pPr>
              <w:ind w:left="164"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Fiscal risks are factors that give rise to differences between a </w:t>
            </w:r>
            <w:proofErr w:type="gramStart"/>
            <w:r w:rsidRPr="00A6449F">
              <w:rPr>
                <w:rFonts w:ascii="Roboto" w:hAnsi="Roboto"/>
                <w:b w:val="0"/>
                <w:bCs w:val="0"/>
                <w:color w:val="000000" w:themeColor="text1"/>
                <w:sz w:val="20"/>
                <w:szCs w:val="20"/>
              </w:rPr>
              <w:t>government‘</w:t>
            </w:r>
            <w:proofErr w:type="gramEnd"/>
            <w:r w:rsidRPr="00A6449F">
              <w:rPr>
                <w:rFonts w:ascii="Roboto" w:hAnsi="Roboto"/>
                <w:b w:val="0"/>
                <w:bCs w:val="0"/>
                <w:color w:val="000000" w:themeColor="text1"/>
                <w:sz w:val="20"/>
                <w:szCs w:val="20"/>
              </w:rPr>
              <w:t>s forecasts and the actual fiscal position. These risks can result from an incomplete understanding of the underlying fiscal position; exogenous (external) shocks to public finances; or endogenous (internal) changes in fiscal policy settings. The fiscal risk report should provide an indicative quantification or measure of fiscal risks and outline the government strategies to manage and mitigate the various types of risk. Reporting on fiscal risks provides an overall assessment of the range and scale of factors which have the potential to put public finances on a different path to that planned for. It can assist policymakers and the public in understanding and responding to those risks. Regular risk forecasts that are based on the latest information can amongst others facilitate rapid policy responses, raise awareness of the magnitude of potential shocks thereby potentially encouraging actions to be taken to mitigate or provide for those risks, and can reduce the scope for off-budget activities by highlighting the risks associated with them. As such, fiscal risk reporting, if integrated alongside the annual economic and fiscal documentation, can provide a good sense of how robust and resilient the public finances are, thus informing the national debate about the appropriate budgetary strategy and whether there are sufficient safety mechanisms in place. An additional benefit is that aligning the methodologies and standards for fiscal forecasting, budgeting, and reporting can help eliminate unexplained inconsistencies between forecasts and outturns.</w:t>
            </w:r>
          </w:p>
          <w:p w14:paraId="2BBD78F6" w14:textId="77777777" w:rsidR="00EA1D58" w:rsidRPr="00A6449F" w:rsidRDefault="00EA1D58" w:rsidP="00EA1D58">
            <w:pPr>
              <w:jc w:val="both"/>
              <w:rPr>
                <w:rFonts w:ascii="Roboto" w:hAnsi="Roboto"/>
                <w:b w:val="0"/>
                <w:bCs w:val="0"/>
                <w:color w:val="000000" w:themeColor="text1"/>
                <w:sz w:val="20"/>
                <w:szCs w:val="20"/>
              </w:rPr>
            </w:pPr>
          </w:p>
          <w:p w14:paraId="1ED645B1" w14:textId="77777777" w:rsidR="00EA1D58" w:rsidRPr="00A6449F" w:rsidRDefault="00EA1D58" w:rsidP="00EA1D58">
            <w:pPr>
              <w:ind w:left="164"/>
              <w:jc w:val="both"/>
              <w:rPr>
                <w:rFonts w:ascii="Roboto" w:hAnsi="Roboto"/>
                <w:color w:val="000000" w:themeColor="text1"/>
                <w:sz w:val="20"/>
                <w:szCs w:val="20"/>
              </w:rPr>
            </w:pPr>
            <w:r w:rsidRPr="00A6449F">
              <w:rPr>
                <w:rFonts w:ascii="Roboto" w:hAnsi="Roboto"/>
                <w:b w:val="0"/>
                <w:bCs w:val="0"/>
                <w:color w:val="000000" w:themeColor="text1"/>
                <w:sz w:val="20"/>
                <w:szCs w:val="20"/>
              </w:rPr>
              <w:t>Example: The Philippines publishes a fiscal risks report every year on this</w:t>
            </w:r>
            <w:r w:rsidRPr="00A6449F">
              <w:rPr>
                <w:rFonts w:ascii="Roboto" w:hAnsi="Roboto"/>
                <w:color w:val="000000" w:themeColor="text1"/>
                <w:sz w:val="20"/>
                <w:szCs w:val="20"/>
              </w:rPr>
              <w:t xml:space="preserve"> </w:t>
            </w:r>
            <w:hyperlink r:id="rId657" w:history="1">
              <w:r w:rsidRPr="00A6449F">
                <w:rPr>
                  <w:rStyle w:val="Hyperlink"/>
                  <w:rFonts w:ascii="Roboto" w:hAnsi="Roboto"/>
                  <w:b w:val="0"/>
                  <w:bCs w:val="0"/>
                  <w:sz w:val="20"/>
                  <w:szCs w:val="20"/>
                </w:rPr>
                <w:t>link.</w:t>
              </w:r>
            </w:hyperlink>
            <w:r w:rsidRPr="00A6449F">
              <w:rPr>
                <w:rFonts w:ascii="Roboto" w:hAnsi="Roboto"/>
                <w:color w:val="000000" w:themeColor="text1"/>
                <w:sz w:val="20"/>
                <w:szCs w:val="20"/>
              </w:rPr>
              <w:t xml:space="preserve">  </w:t>
            </w:r>
          </w:p>
        </w:tc>
      </w:tr>
      <w:tr w:rsidR="00EA1D58" w14:paraId="0F045EB1" w14:textId="77777777" w:rsidTr="00EA1D58">
        <w:trPr>
          <w:trHeight w:val="2265"/>
        </w:trPr>
        <w:tc>
          <w:tcPr>
            <w:cnfStyle w:val="001000000000" w:firstRow="0" w:lastRow="0" w:firstColumn="1" w:lastColumn="0" w:oddVBand="0" w:evenVBand="0" w:oddHBand="0" w:evenHBand="0" w:firstRowFirstColumn="0" w:firstRowLastColumn="0" w:lastRowFirstColumn="0" w:lastRowLastColumn="0"/>
            <w:tcW w:w="10456" w:type="dxa"/>
            <w:gridSpan w:val="2"/>
            <w:shd w:val="clear" w:color="auto" w:fill="FBE4D5" w:themeFill="accent2" w:themeFillTint="33"/>
          </w:tcPr>
          <w:p w14:paraId="312F5660" w14:textId="77777777" w:rsidR="00EA1D58" w:rsidRPr="00A6449F" w:rsidRDefault="00EA1D58" w:rsidP="00EA1D58">
            <w:pPr>
              <w:rPr>
                <w:rFonts w:ascii="Roboto" w:hAnsi="Roboto"/>
                <w:b w:val="0"/>
                <w:bCs w:val="0"/>
                <w:color w:val="000000" w:themeColor="text1"/>
                <w:sz w:val="20"/>
                <w:szCs w:val="20"/>
              </w:rPr>
            </w:pPr>
          </w:p>
          <w:p w14:paraId="001165E3" w14:textId="77777777" w:rsidR="00EA1D58" w:rsidRDefault="00EA1D58" w:rsidP="00EA1D58">
            <w:pPr>
              <w:ind w:left="164"/>
              <w:jc w:val="both"/>
              <w:rPr>
                <w:rFonts w:ascii="Roboto" w:hAnsi="Roboto"/>
                <w:color w:val="000000" w:themeColor="text1"/>
                <w:sz w:val="20"/>
                <w:szCs w:val="20"/>
              </w:rPr>
            </w:pPr>
            <w:r w:rsidRPr="00A6449F">
              <w:rPr>
                <w:rFonts w:ascii="Roboto" w:hAnsi="Roboto"/>
                <w:b w:val="0"/>
                <w:bCs w:val="0"/>
                <w:color w:val="000000" w:themeColor="text1"/>
                <w:sz w:val="20"/>
                <w:szCs w:val="20"/>
              </w:rPr>
              <w:t xml:space="preserve">Information needs that reflect </w:t>
            </w:r>
            <w:r w:rsidRPr="00A6449F">
              <w:rPr>
                <w:rFonts w:ascii="Roboto" w:hAnsi="Roboto"/>
                <w:color w:val="69557F"/>
                <w:sz w:val="20"/>
                <w:szCs w:val="20"/>
              </w:rPr>
              <w:t>country specific circumstances</w:t>
            </w:r>
            <w:r w:rsidRPr="00A6449F">
              <w:rPr>
                <w:rFonts w:ascii="Roboto" w:hAnsi="Roboto"/>
                <w:b w:val="0"/>
                <w:bCs w:val="0"/>
                <w:color w:val="000000" w:themeColor="text1"/>
                <w:sz w:val="20"/>
                <w:szCs w:val="20"/>
              </w:rPr>
              <w:t xml:space="preserve">. For instance: </w:t>
            </w:r>
          </w:p>
          <w:p w14:paraId="367E741B" w14:textId="77777777" w:rsidR="00EA1D58" w:rsidRPr="00A6449F" w:rsidRDefault="00EA1D58" w:rsidP="00EA1D58">
            <w:pPr>
              <w:jc w:val="both"/>
              <w:rPr>
                <w:rFonts w:ascii="Roboto" w:hAnsi="Roboto"/>
                <w:b w:val="0"/>
                <w:bCs w:val="0"/>
                <w:color w:val="000000" w:themeColor="text1"/>
                <w:sz w:val="20"/>
                <w:szCs w:val="20"/>
              </w:rPr>
            </w:pPr>
          </w:p>
          <w:p w14:paraId="2C3903F5" w14:textId="77777777" w:rsidR="00EA1D58" w:rsidRPr="00A6449F" w:rsidRDefault="00EA1D58" w:rsidP="00FA2620">
            <w:pPr>
              <w:numPr>
                <w:ilvl w:val="0"/>
                <w:numId w:val="81"/>
              </w:numPr>
              <w:tabs>
                <w:tab w:val="left" w:pos="9791"/>
              </w:tabs>
              <w:ind w:left="720" w:right="437"/>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In countries with subnational governments it is important that the central government’s budget presents an overview of the general government’s fiscal position. Transfers to subnational governments should be shown.</w:t>
            </w:r>
          </w:p>
          <w:p w14:paraId="22598E72" w14:textId="77777777" w:rsidR="00EA1D58" w:rsidRPr="00A6449F" w:rsidRDefault="00EA1D58" w:rsidP="00FA2620">
            <w:pPr>
              <w:numPr>
                <w:ilvl w:val="0"/>
                <w:numId w:val="81"/>
              </w:numPr>
              <w:tabs>
                <w:tab w:val="left" w:pos="9791"/>
              </w:tabs>
              <w:ind w:left="720" w:right="437"/>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In countries dependent on natural resources, a range of additional information should be disclosed on the government’s policy on resource exploitation and fiscal sustainability, and on resource revenue receipts, including the operation of any natural resource funds. </w:t>
            </w:r>
          </w:p>
          <w:p w14:paraId="60BA66FB" w14:textId="77777777" w:rsidR="00EA1D58" w:rsidRPr="00A6449F" w:rsidRDefault="00EA1D58" w:rsidP="00FA2620">
            <w:pPr>
              <w:numPr>
                <w:ilvl w:val="0"/>
                <w:numId w:val="81"/>
              </w:numPr>
              <w:tabs>
                <w:tab w:val="left" w:pos="9791"/>
              </w:tabs>
              <w:ind w:left="720" w:right="437"/>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In countries receiving development assistance, information should be included by donor on assistance received, both financial and in-kind assistance, and by project and program. The budget balance net of development assistance should be presented as an indicator of budget sustainability.</w:t>
            </w:r>
          </w:p>
          <w:p w14:paraId="6A0D9488" w14:textId="77777777" w:rsidR="00EA1D58" w:rsidRPr="00A6449F" w:rsidRDefault="00EA1D58" w:rsidP="00FA2620">
            <w:pPr>
              <w:ind w:left="720"/>
              <w:jc w:val="both"/>
              <w:rPr>
                <w:rFonts w:ascii="Roboto" w:hAnsi="Roboto"/>
                <w:b w:val="0"/>
                <w:bCs w:val="0"/>
                <w:color w:val="000000" w:themeColor="text1"/>
                <w:sz w:val="20"/>
                <w:szCs w:val="20"/>
              </w:rPr>
            </w:pPr>
          </w:p>
          <w:p w14:paraId="26080E15" w14:textId="77777777" w:rsidR="00EA1D58" w:rsidRPr="00A6449F" w:rsidRDefault="00EA1D58" w:rsidP="00EA1D58">
            <w:pPr>
              <w:ind w:left="164" w:right="295"/>
              <w:jc w:val="both"/>
              <w:rPr>
                <w:rFonts w:ascii="Roboto" w:hAnsi="Roboto"/>
                <w:b w:val="0"/>
                <w:bCs w:val="0"/>
                <w:color w:val="000000" w:themeColor="text1"/>
                <w:sz w:val="20"/>
                <w:szCs w:val="20"/>
              </w:rPr>
            </w:pPr>
            <w:r w:rsidRPr="00A6449F">
              <w:rPr>
                <w:rFonts w:ascii="Roboto" w:hAnsi="Roboto"/>
                <w:b w:val="0"/>
                <w:bCs w:val="0"/>
                <w:color w:val="000000" w:themeColor="text1"/>
                <w:sz w:val="20"/>
                <w:szCs w:val="20"/>
              </w:rPr>
              <w:t xml:space="preserve">Some countries are taking an outcome approach to budget information, such that their budget documentation would contain detailed information specifically reflecting the high-level priorities of their governments for example on the </w:t>
            </w:r>
            <w:hyperlink r:id="rId658" w:history="1">
              <w:r w:rsidRPr="00A6449F">
                <w:rPr>
                  <w:rStyle w:val="Hyperlink"/>
                  <w:rFonts w:ascii="Roboto" w:hAnsi="Roboto"/>
                  <w:b w:val="0"/>
                  <w:bCs w:val="0"/>
                  <w:color w:val="000000" w:themeColor="text1"/>
                  <w:sz w:val="20"/>
                  <w:szCs w:val="20"/>
                </w:rPr>
                <w:t>Sustainable Development Goals</w:t>
              </w:r>
            </w:hyperlink>
            <w:r w:rsidRPr="00A6449F">
              <w:rPr>
                <w:rFonts w:ascii="Roboto" w:hAnsi="Roboto"/>
                <w:b w:val="0"/>
                <w:bCs w:val="0"/>
                <w:color w:val="000000" w:themeColor="text1"/>
                <w:sz w:val="20"/>
                <w:szCs w:val="20"/>
              </w:rPr>
              <w:t>; climate change</w:t>
            </w:r>
            <w:r w:rsidRPr="00A6449F">
              <w:rPr>
                <w:rFonts w:ascii="Roboto" w:hAnsi="Roboto"/>
                <w:b w:val="0"/>
                <w:bCs w:val="0"/>
                <w:color w:val="000000" w:themeColor="text1"/>
                <w:sz w:val="20"/>
                <w:szCs w:val="20"/>
                <w:vertAlign w:val="superscript"/>
              </w:rPr>
              <w:footnoteReference w:id="42"/>
            </w:r>
            <w:r w:rsidRPr="00A6449F">
              <w:rPr>
                <w:rFonts w:ascii="Roboto" w:hAnsi="Roboto"/>
                <w:b w:val="0"/>
                <w:bCs w:val="0"/>
                <w:color w:val="000000" w:themeColor="text1"/>
                <w:sz w:val="20"/>
                <w:szCs w:val="20"/>
              </w:rPr>
              <w:t>; gender equality; poverty reduction et cetera.</w:t>
            </w:r>
          </w:p>
          <w:p w14:paraId="1E110BF4" w14:textId="77777777" w:rsidR="00EA1D58" w:rsidRPr="00A6449F" w:rsidRDefault="00EA1D58" w:rsidP="00EA1D58">
            <w:pPr>
              <w:rPr>
                <w:rFonts w:ascii="Roboto" w:hAnsi="Roboto"/>
                <w:b w:val="0"/>
                <w:bCs w:val="0"/>
                <w:color w:val="000000" w:themeColor="text1"/>
                <w:sz w:val="20"/>
                <w:szCs w:val="20"/>
              </w:rPr>
            </w:pPr>
          </w:p>
        </w:tc>
      </w:tr>
      <w:tr w:rsidR="00EA1D58" w14:paraId="046DB0A6" w14:textId="77777777" w:rsidTr="00EA1D58">
        <w:trPr>
          <w:cnfStyle w:val="000000100000" w:firstRow="0" w:lastRow="0" w:firstColumn="0" w:lastColumn="0" w:oddVBand="0" w:evenVBand="0" w:oddHBand="1" w:evenHBand="0" w:firstRowFirstColumn="0" w:firstRowLastColumn="0" w:lastRowFirstColumn="0" w:lastRowLastColumn="0"/>
          <w:trHeight w:val="2688"/>
        </w:trPr>
        <w:tc>
          <w:tcPr>
            <w:cnfStyle w:val="001000000000" w:firstRow="0" w:lastRow="0" w:firstColumn="1" w:lastColumn="0" w:oddVBand="0" w:evenVBand="0" w:oddHBand="0" w:evenHBand="0" w:firstRowFirstColumn="0" w:firstRowLastColumn="0" w:lastRowFirstColumn="0" w:lastRowLastColumn="0"/>
            <w:tcW w:w="1696" w:type="dxa"/>
          </w:tcPr>
          <w:p w14:paraId="35B177FB" w14:textId="77777777" w:rsidR="00EA1D58" w:rsidRDefault="00EA1D58" w:rsidP="00EA1D58">
            <w:pPr>
              <w:rPr>
                <w:b w:val="0"/>
                <w:bCs w:val="0"/>
                <w:noProof/>
              </w:rPr>
            </w:pPr>
            <w:r>
              <w:rPr>
                <w:noProof/>
                <w:lang w:val="en-US"/>
              </w:rPr>
              <mc:AlternateContent>
                <mc:Choice Requires="wps">
                  <w:drawing>
                    <wp:anchor distT="0" distB="0" distL="114300" distR="114300" simplePos="0" relativeHeight="255293438" behindDoc="0" locked="0" layoutInCell="1" allowOverlap="1" wp14:anchorId="5F5E36AB" wp14:editId="3C64309D">
                      <wp:simplePos x="0" y="0"/>
                      <wp:positionH relativeFrom="margin">
                        <wp:posOffset>6985</wp:posOffset>
                      </wp:positionH>
                      <wp:positionV relativeFrom="paragraph">
                        <wp:posOffset>848360</wp:posOffset>
                      </wp:positionV>
                      <wp:extent cx="925195" cy="311150"/>
                      <wp:effectExtent l="0" t="0" r="0" b="0"/>
                      <wp:wrapNone/>
                      <wp:docPr id="1645" name="Text Box 1645"/>
                      <wp:cNvGraphicFramePr/>
                      <a:graphic xmlns:a="http://schemas.openxmlformats.org/drawingml/2006/main">
                        <a:graphicData uri="http://schemas.microsoft.com/office/word/2010/wordprocessingShape">
                          <wps:wsp>
                            <wps:cNvSpPr txBox="1"/>
                            <wps:spPr>
                              <a:xfrm>
                                <a:off x="0" y="0"/>
                                <a:ext cx="925195" cy="311150"/>
                              </a:xfrm>
                              <a:prstGeom prst="rect">
                                <a:avLst/>
                              </a:prstGeom>
                              <a:noFill/>
                              <a:ln w="6350">
                                <a:noFill/>
                              </a:ln>
                            </wps:spPr>
                            <wps:txbx>
                              <w:txbxContent>
                                <w:p w14:paraId="0FCEADB9" w14:textId="77777777" w:rsidR="00D15FD8" w:rsidRPr="00A6449F" w:rsidRDefault="00D15FD8" w:rsidP="00EA1D58">
                                  <w:pPr>
                                    <w:jc w:val="center"/>
                                    <w:rPr>
                                      <w:rFonts w:ascii="Roboto" w:hAnsi="Roboto"/>
                                      <w:b/>
                                      <w:color w:val="FFFFFF" w:themeColor="background1"/>
                                      <w:sz w:val="20"/>
                                      <w:szCs w:val="20"/>
                                    </w:rPr>
                                  </w:pPr>
                                  <w:r w:rsidRPr="00A6449F">
                                    <w:rPr>
                                      <w:rFonts w:ascii="Roboto" w:hAnsi="Roboto"/>
                                      <w:b/>
                                      <w:color w:val="FFFFFF" w:themeColor="background1"/>
                                      <w:sz w:val="20"/>
                                      <w:szCs w:val="20"/>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E36AB" id="Text Box 1645" o:spid="_x0000_s1357" type="#_x0000_t202" style="position:absolute;margin-left:.55pt;margin-top:66.8pt;width:72.85pt;height:24.5pt;z-index:2552934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" filled="f" stroked="f" strokeweight=".5pt">
                      <v:textbox>
                        <w:txbxContent>
                          <w:p w14:paraId="0FCEADB9" w14:textId="77777777" w:rsidR="00D15FD8" w:rsidRPr="00A6449F" w:rsidRDefault="00D15FD8" w:rsidP="00EA1D58">
                            <w:pPr>
                              <w:jc w:val="center"/>
                              <w:rPr>
                                <w:rFonts w:ascii="Roboto" w:hAnsi="Roboto"/>
                                <w:b/>
                                <w:color w:val="FFFFFF" w:themeColor="background1"/>
                                <w:sz w:val="20"/>
                                <w:szCs w:val="20"/>
                              </w:rPr>
                            </w:pPr>
                            <w:r w:rsidRPr="00A6449F">
                              <w:rPr>
                                <w:rFonts w:ascii="Roboto" w:hAnsi="Roboto"/>
                                <w:b/>
                                <w:color w:val="FFFFFF" w:themeColor="background1"/>
                                <w:sz w:val="20"/>
                                <w:szCs w:val="20"/>
                              </w:rPr>
                              <w:t>EXAMPLES:</w:t>
                            </w:r>
                          </w:p>
                        </w:txbxContent>
                      </v:textbox>
                      <w10:wrap anchorx="margin"/>
                    </v:shape>
                  </w:pict>
                </mc:Fallback>
              </mc:AlternateContent>
            </w:r>
            <w:r>
              <w:rPr>
                <w:noProof/>
                <w:lang w:val="en-US"/>
              </w:rPr>
              <w:drawing>
                <wp:anchor distT="0" distB="0" distL="114300" distR="114300" simplePos="0" relativeHeight="255292414" behindDoc="1" locked="0" layoutInCell="1" allowOverlap="1" wp14:anchorId="6AA9BF7D" wp14:editId="0D24110E">
                  <wp:simplePos x="0" y="0"/>
                  <wp:positionH relativeFrom="margin">
                    <wp:posOffset>139700</wp:posOffset>
                  </wp:positionH>
                  <wp:positionV relativeFrom="paragraph">
                    <wp:posOffset>178435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4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760" w:type="dxa"/>
          </w:tcPr>
          <w:p w14:paraId="74549D31" w14:textId="77777777" w:rsidR="00EA1D58" w:rsidRDefault="00EA1D58" w:rsidP="00EA1D58">
            <w:pPr>
              <w:pStyle w:val="ListParagraph"/>
              <w:ind w:left="176"/>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bookmarkStart w:id="1510" w:name="_Hlk78325902"/>
          </w:p>
          <w:p w14:paraId="6D1F45CD" w14:textId="77777777" w:rsidR="00EA1D58" w:rsidRDefault="00EA1D58" w:rsidP="00EA1D58">
            <w:pPr>
              <w:pStyle w:val="ListParagraph"/>
              <w:numPr>
                <w:ilvl w:val="0"/>
                <w:numId w:val="81"/>
              </w:numPr>
              <w:ind w:left="176" w:hanging="176"/>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A6449F">
              <w:rPr>
                <w:rFonts w:ascii="Roboto" w:hAnsi="Roboto"/>
                <w:sz w:val="20"/>
                <w:szCs w:val="20"/>
              </w:rPr>
              <w:t xml:space="preserve">The South African budget documents can be found on this </w:t>
            </w:r>
            <w:hyperlink r:id="rId659" w:history="1">
              <w:r w:rsidRPr="00A6449F">
                <w:rPr>
                  <w:rStyle w:val="Hyperlink"/>
                  <w:rFonts w:ascii="Roboto" w:hAnsi="Roboto"/>
                  <w:sz w:val="20"/>
                  <w:szCs w:val="20"/>
                </w:rPr>
                <w:t>link</w:t>
              </w:r>
            </w:hyperlink>
            <w:r w:rsidRPr="00A6449F">
              <w:rPr>
                <w:rFonts w:ascii="Roboto" w:hAnsi="Roboto"/>
                <w:sz w:val="20"/>
                <w:szCs w:val="20"/>
              </w:rPr>
              <w:t xml:space="preserve"> under the budget information and legislation tabs. </w:t>
            </w:r>
          </w:p>
          <w:p w14:paraId="63C5C3FB" w14:textId="77777777" w:rsidR="00EA1D58" w:rsidRPr="00A6449F" w:rsidRDefault="00EA1D58" w:rsidP="00EA1D58">
            <w:pPr>
              <w:pStyle w:val="ListParagraph"/>
              <w:ind w:left="176"/>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34FC4D6D" w14:textId="77777777" w:rsidR="00EA1D58" w:rsidRDefault="00EA1D58" w:rsidP="00510A9B">
            <w:pPr>
              <w:pStyle w:val="ListParagraph"/>
              <w:numPr>
                <w:ilvl w:val="0"/>
                <w:numId w:val="81"/>
              </w:numPr>
              <w:ind w:left="176" w:right="273" w:hanging="176"/>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A6449F">
              <w:rPr>
                <w:rFonts w:ascii="Roboto" w:hAnsi="Roboto"/>
                <w:sz w:val="20"/>
                <w:szCs w:val="20"/>
              </w:rPr>
              <w:t xml:space="preserve">The IBP has published OBI training materials for governments on the executive’s budget proposal that can be found on this </w:t>
            </w:r>
            <w:hyperlink r:id="rId660" w:history="1">
              <w:r w:rsidRPr="00A6449F">
                <w:rPr>
                  <w:rStyle w:val="Hyperlink"/>
                  <w:rFonts w:ascii="Roboto" w:hAnsi="Roboto"/>
                  <w:sz w:val="20"/>
                  <w:szCs w:val="20"/>
                </w:rPr>
                <w:t>link</w:t>
              </w:r>
            </w:hyperlink>
            <w:r w:rsidRPr="00A6449F">
              <w:rPr>
                <w:rFonts w:ascii="Roboto" w:hAnsi="Roboto"/>
                <w:sz w:val="20"/>
                <w:szCs w:val="20"/>
              </w:rPr>
              <w:t>.</w:t>
            </w:r>
          </w:p>
          <w:p w14:paraId="4E330EE3" w14:textId="77777777" w:rsidR="00EA1D58" w:rsidRPr="00A6449F" w:rsidRDefault="00EA1D58" w:rsidP="00EA1D58">
            <w:pPr>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bookmarkEnd w:id="1510"/>
          <w:p w14:paraId="17CEEE76" w14:textId="77777777" w:rsidR="00EA1D58" w:rsidRPr="00A6449F" w:rsidRDefault="00EA1D58" w:rsidP="00EA1D58">
            <w:pPr>
              <w:pStyle w:val="ListParagraph"/>
              <w:numPr>
                <w:ilvl w:val="0"/>
                <w:numId w:val="81"/>
              </w:numPr>
              <w:ind w:left="176" w:hanging="176"/>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A6449F">
              <w:rPr>
                <w:rFonts w:ascii="Roboto" w:hAnsi="Roboto"/>
                <w:sz w:val="20"/>
                <w:szCs w:val="20"/>
              </w:rPr>
              <w:t xml:space="preserve">The Government of Canada’s </w:t>
            </w:r>
            <w:hyperlink r:id="rId661" w:history="1">
              <w:r w:rsidRPr="00D46B66">
                <w:rPr>
                  <w:rStyle w:val="Hyperlink"/>
                  <w:rFonts w:ascii="Roboto" w:hAnsi="Roboto"/>
                  <w:sz w:val="20"/>
                  <w:szCs w:val="20"/>
                </w:rPr>
                <w:t>budget plan</w:t>
              </w:r>
            </w:hyperlink>
            <w:r w:rsidRPr="00A6449F">
              <w:rPr>
                <w:rFonts w:ascii="Roboto" w:hAnsi="Roboto"/>
                <w:sz w:val="20"/>
                <w:szCs w:val="20"/>
              </w:rPr>
              <w:t xml:space="preserve"> contains sections devoted to achieving specific outcomes including a gender equality statement.</w:t>
            </w:r>
          </w:p>
          <w:p w14:paraId="789EF018" w14:textId="77777777" w:rsidR="00EA1D58" w:rsidRPr="00A6449F" w:rsidRDefault="00EA1D58" w:rsidP="00EA1D58">
            <w:pPr>
              <w:cnfStyle w:val="000000100000" w:firstRow="0" w:lastRow="0" w:firstColumn="0" w:lastColumn="0" w:oddVBand="0" w:evenVBand="0" w:oddHBand="1" w:evenHBand="0" w:firstRowFirstColumn="0" w:firstRowLastColumn="0" w:lastRowFirstColumn="0" w:lastRowLastColumn="0"/>
            </w:pPr>
          </w:p>
        </w:tc>
      </w:tr>
    </w:tbl>
    <w:p w14:paraId="24BC893B" w14:textId="11DC5383" w:rsidR="009B7CF5" w:rsidRPr="003625BA" w:rsidRDefault="009B7CF5" w:rsidP="00EA1D58">
      <w:pPr>
        <w:pStyle w:val="Heading3"/>
        <w:jc w:val="center"/>
        <w:rPr>
          <w:rFonts w:ascii="Arial" w:hAnsi="Arial" w:cs="Arial"/>
          <w:b/>
          <w:bCs/>
          <w:color w:val="ED5625"/>
          <w:sz w:val="20"/>
          <w:szCs w:val="20"/>
        </w:rPr>
      </w:pPr>
    </w:p>
    <w:p w14:paraId="66D0769D" w14:textId="66635101" w:rsidR="009B7CF5" w:rsidRDefault="009B7CF5"/>
    <w:p w14:paraId="66926478" w14:textId="162F3FAC" w:rsidR="00B51687" w:rsidRPr="003625BA" w:rsidRDefault="0096076C" w:rsidP="00C80E06">
      <w:pPr>
        <w:pStyle w:val="Heading3"/>
        <w:jc w:val="center"/>
        <w:rPr>
          <w:rFonts w:ascii="Arial" w:hAnsi="Arial" w:cs="Arial"/>
          <w:b/>
          <w:bCs/>
          <w:color w:val="ED5625"/>
          <w:sz w:val="20"/>
          <w:szCs w:val="20"/>
        </w:rPr>
      </w:pPr>
      <w:bookmarkStart w:id="1511" w:name="_Table_3.6._Citizen’s"/>
      <w:bookmarkStart w:id="1512" w:name="_Toc123914055"/>
      <w:bookmarkStart w:id="1513" w:name="_Toc125566669"/>
      <w:bookmarkEnd w:id="1511"/>
      <w:r>
        <w:rPr>
          <w:noProof/>
          <w:lang w:val="en-US"/>
        </w:rPr>
        <w:lastRenderedPageBreak/>
        <mc:AlternateContent>
          <mc:Choice Requires="wps">
            <w:drawing>
              <wp:anchor distT="0" distB="0" distL="114300" distR="114300" simplePos="0" relativeHeight="255255550" behindDoc="0" locked="0" layoutInCell="1" allowOverlap="1" wp14:anchorId="259B2397" wp14:editId="71A5F3AD">
                <wp:simplePos x="0" y="0"/>
                <wp:positionH relativeFrom="margin">
                  <wp:posOffset>-35052</wp:posOffset>
                </wp:positionH>
                <wp:positionV relativeFrom="paragraph">
                  <wp:posOffset>2172335</wp:posOffset>
                </wp:positionV>
                <wp:extent cx="1170305" cy="266700"/>
                <wp:effectExtent l="0" t="0" r="0" b="0"/>
                <wp:wrapNone/>
                <wp:docPr id="2715" name="Text Box 2715"/>
                <wp:cNvGraphicFramePr/>
                <a:graphic xmlns:a="http://schemas.openxmlformats.org/drawingml/2006/main">
                  <a:graphicData uri="http://schemas.microsoft.com/office/word/2010/wordprocessingShape">
                    <wps:wsp>
                      <wps:cNvSpPr txBox="1"/>
                      <wps:spPr>
                        <a:xfrm>
                          <a:off x="0" y="0"/>
                          <a:ext cx="1170305" cy="266700"/>
                        </a:xfrm>
                        <a:prstGeom prst="rect">
                          <a:avLst/>
                        </a:prstGeom>
                        <a:noFill/>
                        <a:ln w="6350">
                          <a:noFill/>
                        </a:ln>
                      </wps:spPr>
                      <wps:txbx>
                        <w:txbxContent>
                          <w:p w14:paraId="67C8D4DE" w14:textId="77777777" w:rsidR="00D15FD8" w:rsidRPr="003A63D0" w:rsidRDefault="00D15FD8" w:rsidP="00C80E06">
                            <w:pPr>
                              <w:jc w:val="center"/>
                              <w:rPr>
                                <w:rFonts w:ascii="Roboto" w:hAnsi="Roboto"/>
                                <w:b/>
                                <w:color w:val="FFFFFF" w:themeColor="background1"/>
                                <w:sz w:val="20"/>
                                <w:szCs w:val="20"/>
                              </w:rPr>
                            </w:pPr>
                            <w:r>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B2397" id="Text Box 2715" o:spid="_x0000_s1358" type="#_x0000_t202" style="position:absolute;left:0;text-align:left;margin-left:-2.75pt;margin-top:171.05pt;width:92.15pt;height:21pt;z-index:255255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" filled="f" stroked="f" strokeweight=".5pt">
                <v:textbox>
                  <w:txbxContent>
                    <w:p w14:paraId="67C8D4DE" w14:textId="77777777" w:rsidR="00D15FD8" w:rsidRPr="003A63D0" w:rsidRDefault="00D15FD8" w:rsidP="00C80E06">
                      <w:pPr>
                        <w:jc w:val="center"/>
                        <w:rPr>
                          <w:rFonts w:ascii="Roboto" w:hAnsi="Roboto"/>
                          <w:b/>
                          <w:color w:val="FFFFFF" w:themeColor="background1"/>
                          <w:sz w:val="20"/>
                          <w:szCs w:val="20"/>
                        </w:rPr>
                      </w:pPr>
                      <w:r>
                        <w:rPr>
                          <w:rFonts w:ascii="Roboto" w:hAnsi="Roboto"/>
                          <w:b/>
                          <w:color w:val="FFFFFF" w:themeColor="background1"/>
                          <w:sz w:val="20"/>
                          <w:szCs w:val="20"/>
                        </w:rPr>
                        <w:t>IMPORTANCE:</w:t>
                      </w:r>
                    </w:p>
                  </w:txbxContent>
                </v:textbox>
                <w10:wrap anchorx="margin"/>
              </v:shape>
            </w:pict>
          </mc:Fallback>
        </mc:AlternateContent>
      </w:r>
      <w:r w:rsidR="00B51687" w:rsidRPr="003625BA">
        <w:rPr>
          <w:rFonts w:ascii="Arial" w:hAnsi="Arial" w:cs="Arial"/>
          <w:b/>
          <w:bCs/>
          <w:color w:val="ED5625"/>
          <w:sz w:val="20"/>
          <w:szCs w:val="20"/>
        </w:rPr>
        <w:t>Table 3.6</w:t>
      </w:r>
      <w:r w:rsidR="003D10E4">
        <w:rPr>
          <w:rFonts w:ascii="Arial" w:hAnsi="Arial" w:cs="Arial"/>
          <w:b/>
          <w:bCs/>
          <w:color w:val="ED5625"/>
          <w:sz w:val="20"/>
          <w:szCs w:val="20"/>
        </w:rPr>
        <w:t>.</w:t>
      </w:r>
      <w:r w:rsidR="00B51687" w:rsidRPr="003625BA">
        <w:rPr>
          <w:rFonts w:ascii="Arial" w:hAnsi="Arial" w:cs="Arial"/>
          <w:b/>
          <w:bCs/>
          <w:color w:val="ED5625"/>
          <w:sz w:val="20"/>
          <w:szCs w:val="20"/>
        </w:rPr>
        <w:t xml:space="preserve"> </w:t>
      </w:r>
      <w:r w:rsidR="00B51687">
        <w:rPr>
          <w:rFonts w:ascii="Arial" w:hAnsi="Arial" w:cs="Arial"/>
          <w:b/>
          <w:bCs/>
          <w:color w:val="ED5625"/>
          <w:sz w:val="20"/>
          <w:szCs w:val="20"/>
        </w:rPr>
        <w:t>Citizen’s budget</w:t>
      </w:r>
      <w:bookmarkEnd w:id="1512"/>
      <w:bookmarkEnd w:id="1513"/>
    </w:p>
    <w:tbl>
      <w:tblPr>
        <w:tblStyle w:val="GridTable5Dark-Accent2"/>
        <w:tblpPr w:leftFromText="180" w:rightFromText="180" w:vertAnchor="page" w:horzAnchor="margin" w:tblpY="1681"/>
        <w:tblW w:w="0" w:type="auto"/>
        <w:tblLook w:val="04A0" w:firstRow="1" w:lastRow="0" w:firstColumn="1" w:lastColumn="0" w:noHBand="0" w:noVBand="1"/>
      </w:tblPr>
      <w:tblGrid>
        <w:gridCol w:w="1696"/>
        <w:gridCol w:w="8760"/>
      </w:tblGrid>
      <w:tr w:rsidR="00C80E06" w14:paraId="0F5E829C" w14:textId="77777777" w:rsidTr="00C80E06">
        <w:trPr>
          <w:cnfStyle w:val="100000000000" w:firstRow="1" w:lastRow="0" w:firstColumn="0" w:lastColumn="0" w:oddVBand="0" w:evenVBand="0" w:oddHBand="0"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tcPr>
          <w:p w14:paraId="66B19C02" w14:textId="77777777" w:rsidR="00C80E06" w:rsidRPr="003A63D0" w:rsidRDefault="00C80E06" w:rsidP="00C80E06">
            <w:pPr>
              <w:rPr>
                <w:b w:val="0"/>
                <w:bCs w:val="0"/>
              </w:rPr>
            </w:pPr>
            <w:r>
              <w:rPr>
                <w:noProof/>
                <w:lang w:val="en-US"/>
              </w:rPr>
              <w:drawing>
                <wp:anchor distT="0" distB="0" distL="114300" distR="114300" simplePos="0" relativeHeight="255248382" behindDoc="1" locked="0" layoutInCell="1" allowOverlap="1" wp14:anchorId="28809AAA" wp14:editId="68BA3556">
                  <wp:simplePos x="0" y="0"/>
                  <wp:positionH relativeFrom="margin">
                    <wp:posOffset>140335</wp:posOffset>
                  </wp:positionH>
                  <wp:positionV relativeFrom="paragraph">
                    <wp:posOffset>76835</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49406" behindDoc="0" locked="0" layoutInCell="1" allowOverlap="1" wp14:anchorId="4A9D0C51" wp14:editId="05EE64BC">
                      <wp:simplePos x="0" y="0"/>
                      <wp:positionH relativeFrom="margin">
                        <wp:align>center</wp:align>
                      </wp:positionH>
                      <wp:positionV relativeFrom="paragraph">
                        <wp:posOffset>715645</wp:posOffset>
                      </wp:positionV>
                      <wp:extent cx="774700" cy="292100"/>
                      <wp:effectExtent l="0" t="0" r="0" b="0"/>
                      <wp:wrapNone/>
                      <wp:docPr id="1669" name="Text Box 1669"/>
                      <wp:cNvGraphicFramePr/>
                      <a:graphic xmlns:a="http://schemas.openxmlformats.org/drawingml/2006/main">
                        <a:graphicData uri="http://schemas.microsoft.com/office/word/2010/wordprocessingShape">
                          <wps:wsp>
                            <wps:cNvSpPr txBox="1"/>
                            <wps:spPr>
                              <a:xfrm>
                                <a:off x="0" y="0"/>
                                <a:ext cx="774700" cy="292100"/>
                              </a:xfrm>
                              <a:prstGeom prst="rect">
                                <a:avLst/>
                              </a:prstGeom>
                              <a:noFill/>
                              <a:ln w="6350">
                                <a:noFill/>
                              </a:ln>
                            </wps:spPr>
                            <wps:txbx>
                              <w:txbxContent>
                                <w:p w14:paraId="399A1949" w14:textId="77777777" w:rsidR="00D15FD8" w:rsidRPr="003A63D0" w:rsidRDefault="00D15FD8" w:rsidP="00C80E06">
                                  <w:pPr>
                                    <w:jc w:val="center"/>
                                    <w:rPr>
                                      <w:rFonts w:ascii="Roboto" w:hAnsi="Roboto"/>
                                      <w:b/>
                                      <w:color w:val="FFFFFF" w:themeColor="background1"/>
                                      <w:sz w:val="20"/>
                                      <w:szCs w:val="20"/>
                                    </w:rPr>
                                  </w:pPr>
                                  <w:r w:rsidRPr="003A63D0">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D0C51" id="Text Box 1669" o:spid="_x0000_s1359" type="#_x0000_t202" style="position:absolute;margin-left:0;margin-top:56.35pt;width:61pt;height:23pt;z-index:2552494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" filled="f" stroked="f" strokeweight=".5pt">
                      <v:textbox>
                        <w:txbxContent>
                          <w:p w14:paraId="399A1949" w14:textId="77777777" w:rsidR="00D15FD8" w:rsidRPr="003A63D0" w:rsidRDefault="00D15FD8" w:rsidP="00C80E06">
                            <w:pPr>
                              <w:jc w:val="center"/>
                              <w:rPr>
                                <w:rFonts w:ascii="Roboto" w:hAnsi="Roboto"/>
                                <w:b/>
                                <w:color w:val="FFFFFF" w:themeColor="background1"/>
                                <w:sz w:val="20"/>
                                <w:szCs w:val="20"/>
                              </w:rPr>
                            </w:pPr>
                            <w:r w:rsidRPr="003A63D0">
                              <w:rPr>
                                <w:rFonts w:ascii="Roboto" w:hAnsi="Roboto"/>
                                <w:b/>
                                <w:color w:val="FFFFFF" w:themeColor="background1"/>
                                <w:sz w:val="20"/>
                                <w:szCs w:val="20"/>
                              </w:rPr>
                              <w:t>WHEN:</w:t>
                            </w:r>
                          </w:p>
                        </w:txbxContent>
                      </v:textbox>
                      <w10:wrap anchorx="margin"/>
                    </v:shape>
                  </w:pict>
                </mc:Fallback>
              </mc:AlternateContent>
            </w:r>
          </w:p>
        </w:tc>
        <w:tc>
          <w:tcPr>
            <w:tcW w:w="8760" w:type="dxa"/>
            <w:tcBorders>
              <w:left w:val="single" w:sz="4" w:space="0" w:color="FFFFFF" w:themeColor="background1"/>
            </w:tcBorders>
            <w:shd w:val="clear" w:color="auto" w:fill="FBE4D5" w:themeFill="accent2" w:themeFillTint="33"/>
          </w:tcPr>
          <w:p w14:paraId="46BAE526" w14:textId="77777777" w:rsidR="00C80E06" w:rsidRPr="00C80E06" w:rsidRDefault="00C80E06" w:rsidP="00C80E06">
            <w:pPr>
              <w:ind w:left="185"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0AF5B647" w14:textId="0F0DB8C0" w:rsidR="00C80E06" w:rsidRPr="00C80E06" w:rsidRDefault="00C80E06" w:rsidP="00C80E06">
            <w:pPr>
              <w:ind w:left="185"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C80E06">
              <w:rPr>
                <w:rFonts w:ascii="Roboto" w:hAnsi="Roboto"/>
                <w:b w:val="0"/>
                <w:bCs w:val="0"/>
                <w:color w:val="000000" w:themeColor="text1"/>
                <w:sz w:val="20"/>
                <w:szCs w:val="20"/>
              </w:rPr>
              <w:t xml:space="preserve">The IBP’s </w:t>
            </w:r>
            <w:hyperlink r:id="rId662">
              <w:r w:rsidRPr="00336F7F">
                <w:rPr>
                  <w:rStyle w:val="Hyperlink"/>
                  <w:rFonts w:ascii="Roboto" w:hAnsi="Roboto"/>
                  <w:b w:val="0"/>
                  <w:bCs w:val="0"/>
                  <w:sz w:val="20"/>
                  <w:szCs w:val="20"/>
                </w:rPr>
                <w:t>Open Budget Survey Guidelines on the Public Availability of Budget Documents</w:t>
              </w:r>
            </w:hyperlink>
            <w:r w:rsidRPr="00C80E06">
              <w:rPr>
                <w:rFonts w:ascii="Roboto" w:hAnsi="Roboto"/>
                <w:b w:val="0"/>
                <w:bCs w:val="0"/>
                <w:color w:val="000000" w:themeColor="text1"/>
                <w:sz w:val="20"/>
                <w:szCs w:val="20"/>
              </w:rPr>
              <w:t xml:space="preserve"> (2016) state that Citizen’s budgets should be published in the same timeframe as the document which the Citizen</w:t>
            </w:r>
            <w:r w:rsidR="000422C4">
              <w:rPr>
                <w:rFonts w:ascii="Roboto" w:hAnsi="Roboto"/>
                <w:b w:val="0"/>
                <w:bCs w:val="0"/>
                <w:color w:val="000000" w:themeColor="text1"/>
                <w:sz w:val="20"/>
                <w:szCs w:val="20"/>
              </w:rPr>
              <w:t>’</w:t>
            </w:r>
            <w:r w:rsidRPr="00C80E06">
              <w:rPr>
                <w:rFonts w:ascii="Roboto" w:hAnsi="Roboto"/>
                <w:b w:val="0"/>
                <w:bCs w:val="0"/>
                <w:color w:val="000000" w:themeColor="text1"/>
                <w:sz w:val="20"/>
                <w:szCs w:val="20"/>
              </w:rPr>
              <w:t>s Budget corresponds to.</w:t>
            </w:r>
          </w:p>
        </w:tc>
      </w:tr>
      <w:tr w:rsidR="00C80E06" w:rsidRPr="00732E71" w14:paraId="06EDB73C" w14:textId="77777777" w:rsidTr="00C80E0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696" w:type="dxa"/>
          </w:tcPr>
          <w:p w14:paraId="37C552B8" w14:textId="29F0CE83" w:rsidR="00C80E06" w:rsidRDefault="00C80E06" w:rsidP="00C80E06">
            <w:r>
              <w:rPr>
                <w:noProof/>
                <w:lang w:val="en-US"/>
              </w:rPr>
              <w:drawing>
                <wp:anchor distT="0" distB="0" distL="114300" distR="114300" simplePos="0" relativeHeight="255250430" behindDoc="1" locked="0" layoutInCell="1" allowOverlap="1" wp14:anchorId="653A08F3" wp14:editId="7E7642AB">
                  <wp:simplePos x="0" y="0"/>
                  <wp:positionH relativeFrom="margin">
                    <wp:posOffset>140335</wp:posOffset>
                  </wp:positionH>
                  <wp:positionV relativeFrom="paragraph">
                    <wp:posOffset>213995</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46"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760" w:type="dxa"/>
          </w:tcPr>
          <w:p w14:paraId="28033197" w14:textId="77777777" w:rsidR="00C80E06" w:rsidRDefault="00C80E06" w:rsidP="00C80E06">
            <w:pPr>
              <w:ind w:left="185"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1D92320B" w14:textId="77777777" w:rsidR="00C80E06" w:rsidRPr="003A63D0" w:rsidRDefault="00C80E06" w:rsidP="00C80E06">
            <w:pPr>
              <w:ind w:left="185"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A63D0">
              <w:rPr>
                <w:rFonts w:ascii="Roboto" w:hAnsi="Roboto"/>
                <w:sz w:val="20"/>
                <w:szCs w:val="20"/>
              </w:rPr>
              <w:t>Budget documents are normally long and technical, making it difficult and time-consuming to understand them. Governments should thus assist the general public in understanding them. A Citizens Budget is a nontechnical presentation that can take many forms, but its distinguishing feature is that it is non-technical and designed to reach and be understood by as large a segment of the population as possible. It assists in facilitating wider and more informed debate on fiscal policies.</w:t>
            </w:r>
          </w:p>
          <w:p w14:paraId="0C968EB7" w14:textId="77777777" w:rsidR="00C80E06" w:rsidRPr="003A63D0" w:rsidRDefault="00C80E06" w:rsidP="00C80E06">
            <w:pPr>
              <w:ind w:left="185"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C80E06" w:rsidRPr="00732E71" w14:paraId="6EA1DEBB" w14:textId="77777777" w:rsidTr="00C80E06">
        <w:trPr>
          <w:trHeight w:val="71"/>
        </w:trPr>
        <w:tc>
          <w:tcPr>
            <w:cnfStyle w:val="001000000000" w:firstRow="0" w:lastRow="0" w:firstColumn="1" w:lastColumn="0" w:oddVBand="0" w:evenVBand="0" w:oddHBand="0" w:evenHBand="0" w:firstRowFirstColumn="0" w:firstRowLastColumn="0" w:lastRowFirstColumn="0" w:lastRowLastColumn="0"/>
            <w:tcW w:w="1696" w:type="dxa"/>
          </w:tcPr>
          <w:p w14:paraId="689B277A" w14:textId="77777777" w:rsidR="00C80E06" w:rsidRDefault="00C80E06" w:rsidP="00C80E06">
            <w:pPr>
              <w:rPr>
                <w:b w:val="0"/>
                <w:bCs w:val="0"/>
                <w:noProof/>
              </w:rPr>
            </w:pPr>
          </w:p>
          <w:p w14:paraId="23465361" w14:textId="77777777" w:rsidR="00C80E06" w:rsidRDefault="00C80E06" w:rsidP="00C80E06">
            <w:pPr>
              <w:rPr>
                <w:b w:val="0"/>
                <w:bCs w:val="0"/>
                <w:noProof/>
              </w:rPr>
            </w:pPr>
            <w:r>
              <w:rPr>
                <w:noProof/>
                <w:lang w:val="en-US"/>
              </w:rPr>
              <w:drawing>
                <wp:anchor distT="0" distB="0" distL="114300" distR="114300" simplePos="0" relativeHeight="255251454" behindDoc="0" locked="0" layoutInCell="1" allowOverlap="1" wp14:anchorId="19E885A5" wp14:editId="085BD799">
                  <wp:simplePos x="0" y="0"/>
                  <wp:positionH relativeFrom="margin">
                    <wp:align>center</wp:align>
                  </wp:positionH>
                  <wp:positionV relativeFrom="paragraph">
                    <wp:posOffset>120650</wp:posOffset>
                  </wp:positionV>
                  <wp:extent cx="658495" cy="658495"/>
                  <wp:effectExtent l="0" t="0" r="1905" b="0"/>
                  <wp:wrapNone/>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4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5BF984D5" w14:textId="77777777" w:rsidR="00C80E06" w:rsidRDefault="00C80E06" w:rsidP="00C80E06">
            <w:pPr>
              <w:rPr>
                <w:b w:val="0"/>
                <w:bCs w:val="0"/>
                <w:noProof/>
              </w:rPr>
            </w:pPr>
          </w:p>
          <w:p w14:paraId="0E69BBFE" w14:textId="77777777" w:rsidR="00C80E06" w:rsidRDefault="00C80E06" w:rsidP="00C80E06">
            <w:pPr>
              <w:rPr>
                <w:b w:val="0"/>
                <w:bCs w:val="0"/>
                <w:noProof/>
              </w:rPr>
            </w:pPr>
          </w:p>
          <w:p w14:paraId="095DC63C" w14:textId="77777777" w:rsidR="00C80E06" w:rsidRDefault="00C80E06" w:rsidP="00C80E06">
            <w:pPr>
              <w:rPr>
                <w:b w:val="0"/>
                <w:bCs w:val="0"/>
                <w:noProof/>
              </w:rPr>
            </w:pPr>
          </w:p>
          <w:p w14:paraId="6D8A9FCB" w14:textId="77777777" w:rsidR="00C80E06" w:rsidRDefault="00C80E06" w:rsidP="00C80E06">
            <w:pPr>
              <w:rPr>
                <w:b w:val="0"/>
                <w:bCs w:val="0"/>
                <w:noProof/>
              </w:rPr>
            </w:pPr>
            <w:r>
              <w:rPr>
                <w:noProof/>
                <w:lang w:val="en-US"/>
              </w:rPr>
              <mc:AlternateContent>
                <mc:Choice Requires="wps">
                  <w:drawing>
                    <wp:anchor distT="0" distB="0" distL="114300" distR="114300" simplePos="0" relativeHeight="255252478" behindDoc="0" locked="0" layoutInCell="1" allowOverlap="1" wp14:anchorId="466AB517" wp14:editId="06B20927">
                      <wp:simplePos x="0" y="0"/>
                      <wp:positionH relativeFrom="margin">
                        <wp:align>center</wp:align>
                      </wp:positionH>
                      <wp:positionV relativeFrom="paragraph">
                        <wp:posOffset>102870</wp:posOffset>
                      </wp:positionV>
                      <wp:extent cx="950595" cy="311150"/>
                      <wp:effectExtent l="0" t="0" r="0" b="0"/>
                      <wp:wrapNone/>
                      <wp:docPr id="1679" name="Text Box 1679"/>
                      <wp:cNvGraphicFramePr/>
                      <a:graphic xmlns:a="http://schemas.openxmlformats.org/drawingml/2006/main">
                        <a:graphicData uri="http://schemas.microsoft.com/office/word/2010/wordprocessingShape">
                          <wps:wsp>
                            <wps:cNvSpPr txBox="1"/>
                            <wps:spPr>
                              <a:xfrm>
                                <a:off x="0" y="0"/>
                                <a:ext cx="950595" cy="311150"/>
                              </a:xfrm>
                              <a:prstGeom prst="rect">
                                <a:avLst/>
                              </a:prstGeom>
                              <a:noFill/>
                              <a:ln w="6350">
                                <a:noFill/>
                              </a:ln>
                            </wps:spPr>
                            <wps:txbx>
                              <w:txbxContent>
                                <w:p w14:paraId="1E9B3034" w14:textId="77777777" w:rsidR="00D15FD8" w:rsidRPr="003A63D0" w:rsidRDefault="00D15FD8" w:rsidP="00C80E06">
                                  <w:pPr>
                                    <w:jc w:val="center"/>
                                    <w:rPr>
                                      <w:rFonts w:ascii="Roboto" w:hAnsi="Roboto"/>
                                      <w:b/>
                                      <w:color w:val="FFFFFF" w:themeColor="background1"/>
                                      <w:sz w:val="20"/>
                                      <w:szCs w:val="20"/>
                                    </w:rPr>
                                  </w:pPr>
                                  <w:r w:rsidRPr="003A63D0">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AB517" id="Text Box 1679" o:spid="_x0000_s1360" type="#_x0000_t202" style="position:absolute;margin-left:0;margin-top:8.1pt;width:74.85pt;height:24.5pt;z-index:2552524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" filled="f" stroked="f" strokeweight=".5pt">
                      <v:textbox>
                        <w:txbxContent>
                          <w:p w14:paraId="1E9B3034" w14:textId="77777777" w:rsidR="00D15FD8" w:rsidRPr="003A63D0" w:rsidRDefault="00D15FD8" w:rsidP="00C80E06">
                            <w:pPr>
                              <w:jc w:val="center"/>
                              <w:rPr>
                                <w:rFonts w:ascii="Roboto" w:hAnsi="Roboto"/>
                                <w:b/>
                                <w:color w:val="FFFFFF" w:themeColor="background1"/>
                                <w:sz w:val="20"/>
                                <w:szCs w:val="20"/>
                              </w:rPr>
                            </w:pPr>
                            <w:r w:rsidRPr="003A63D0">
                              <w:rPr>
                                <w:rFonts w:ascii="Roboto" w:hAnsi="Roboto"/>
                                <w:b/>
                                <w:color w:val="FFFFFF" w:themeColor="background1"/>
                                <w:sz w:val="20"/>
                                <w:szCs w:val="20"/>
                              </w:rPr>
                              <w:t>CONTENTS:</w:t>
                            </w:r>
                          </w:p>
                        </w:txbxContent>
                      </v:textbox>
                      <w10:wrap anchorx="margin"/>
                    </v:shape>
                  </w:pict>
                </mc:Fallback>
              </mc:AlternateContent>
            </w:r>
          </w:p>
          <w:p w14:paraId="7A213131" w14:textId="77777777" w:rsidR="00C80E06" w:rsidRDefault="00C80E06" w:rsidP="00C80E06">
            <w:pPr>
              <w:rPr>
                <w:b w:val="0"/>
                <w:bCs w:val="0"/>
                <w:noProof/>
              </w:rPr>
            </w:pPr>
          </w:p>
          <w:p w14:paraId="66692E24" w14:textId="77777777" w:rsidR="00C80E06" w:rsidRDefault="00C80E06" w:rsidP="00C80E06">
            <w:pPr>
              <w:rPr>
                <w:noProof/>
              </w:rPr>
            </w:pPr>
          </w:p>
        </w:tc>
        <w:tc>
          <w:tcPr>
            <w:tcW w:w="8760" w:type="dxa"/>
          </w:tcPr>
          <w:p w14:paraId="6C1C1954" w14:textId="77777777" w:rsidR="00C80E06" w:rsidRPr="003A63D0" w:rsidRDefault="00C80E06" w:rsidP="00C80E06">
            <w:pPr>
              <w:ind w:left="185" w:right="295"/>
              <w:jc w:val="both"/>
              <w:cnfStyle w:val="000000000000" w:firstRow="0" w:lastRow="0" w:firstColumn="0" w:lastColumn="0" w:oddVBand="0" w:evenVBand="0" w:oddHBand="0" w:evenHBand="0" w:firstRowFirstColumn="0" w:firstRowLastColumn="0" w:lastRowFirstColumn="0" w:lastRowLastColumn="0"/>
              <w:rPr>
                <w:rFonts w:ascii="Roboto" w:hAnsi="Roboto"/>
                <w:noProof/>
                <w:sz w:val="20"/>
                <w:szCs w:val="20"/>
              </w:rPr>
            </w:pPr>
          </w:p>
          <w:p w14:paraId="0D04AE32" w14:textId="77777777" w:rsidR="00C80E06" w:rsidRPr="003A63D0" w:rsidRDefault="00C80E06" w:rsidP="00C80E06">
            <w:pPr>
              <w:ind w:left="185" w:right="295"/>
              <w:jc w:val="both"/>
              <w:cnfStyle w:val="000000000000" w:firstRow="0" w:lastRow="0" w:firstColumn="0" w:lastColumn="0" w:oddVBand="0" w:evenVBand="0" w:oddHBand="0" w:evenHBand="0" w:firstRowFirstColumn="0" w:firstRowLastColumn="0" w:lastRowFirstColumn="0" w:lastRowLastColumn="0"/>
              <w:rPr>
                <w:rFonts w:ascii="Roboto" w:hAnsi="Roboto"/>
                <w:noProof/>
                <w:sz w:val="20"/>
                <w:szCs w:val="20"/>
              </w:rPr>
            </w:pPr>
            <w:r w:rsidRPr="003A63D0">
              <w:rPr>
                <w:rFonts w:ascii="Roboto" w:hAnsi="Roboto"/>
                <w:sz w:val="20"/>
                <w:szCs w:val="20"/>
              </w:rPr>
              <w:t>Citizen’s budgets can accompany any of the budget documents, and as such vary widely in focus, content, and length. The public should be consulted in advance such that they can be designed specifically taking into account their needs and information gaps. They should be objective; written to meet the needs of the general public using simple language and illustrations presenting content in forms that are easy to interpret and understandable by different sections of the public at diverse literacy levels; should provide simple access points for those that want further detail; and be widely disseminated to the public at large.</w:t>
            </w:r>
          </w:p>
          <w:p w14:paraId="079B5F40" w14:textId="77777777" w:rsidR="00C80E06" w:rsidRPr="003A63D0" w:rsidRDefault="00C80E06" w:rsidP="00C80E06">
            <w:pPr>
              <w:ind w:right="295"/>
              <w:jc w:val="both"/>
              <w:cnfStyle w:val="000000000000" w:firstRow="0" w:lastRow="0" w:firstColumn="0" w:lastColumn="0" w:oddVBand="0" w:evenVBand="0" w:oddHBand="0" w:evenHBand="0" w:firstRowFirstColumn="0" w:firstRowLastColumn="0" w:lastRowFirstColumn="0" w:lastRowLastColumn="0"/>
              <w:rPr>
                <w:rFonts w:ascii="Roboto" w:hAnsi="Roboto"/>
                <w:noProof/>
                <w:sz w:val="20"/>
                <w:szCs w:val="20"/>
              </w:rPr>
            </w:pPr>
          </w:p>
        </w:tc>
      </w:tr>
      <w:tr w:rsidR="00C80E06" w:rsidRPr="00732E71" w14:paraId="59FF0C1D" w14:textId="77777777" w:rsidTr="00C80E0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696" w:type="dxa"/>
          </w:tcPr>
          <w:p w14:paraId="52EAACE2" w14:textId="77777777" w:rsidR="00C80E06" w:rsidRDefault="00C80E06" w:rsidP="00C80E06">
            <w:pPr>
              <w:rPr>
                <w:b w:val="0"/>
                <w:bCs w:val="0"/>
                <w:noProof/>
              </w:rPr>
            </w:pPr>
            <w:r>
              <w:rPr>
                <w:noProof/>
                <w:lang w:val="en-US"/>
              </w:rPr>
              <w:drawing>
                <wp:anchor distT="0" distB="0" distL="114300" distR="114300" simplePos="0" relativeHeight="255253502" behindDoc="1" locked="0" layoutInCell="1" allowOverlap="1" wp14:anchorId="7715CFD1" wp14:editId="1AD27D0A">
                  <wp:simplePos x="0" y="0"/>
                  <wp:positionH relativeFrom="margin">
                    <wp:posOffset>139700</wp:posOffset>
                  </wp:positionH>
                  <wp:positionV relativeFrom="paragraph">
                    <wp:posOffset>227330</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4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54526" behindDoc="0" locked="0" layoutInCell="1" allowOverlap="1" wp14:anchorId="1813A2B4" wp14:editId="4455A477">
                      <wp:simplePos x="0" y="0"/>
                      <wp:positionH relativeFrom="margin">
                        <wp:align>center</wp:align>
                      </wp:positionH>
                      <wp:positionV relativeFrom="paragraph">
                        <wp:posOffset>888365</wp:posOffset>
                      </wp:positionV>
                      <wp:extent cx="1028700" cy="311150"/>
                      <wp:effectExtent l="0" t="0" r="0" b="0"/>
                      <wp:wrapNone/>
                      <wp:docPr id="1681" name="Text Box 1681"/>
                      <wp:cNvGraphicFramePr/>
                      <a:graphic xmlns:a="http://schemas.openxmlformats.org/drawingml/2006/main">
                        <a:graphicData uri="http://schemas.microsoft.com/office/word/2010/wordprocessingShape">
                          <wps:wsp>
                            <wps:cNvSpPr txBox="1"/>
                            <wps:spPr>
                              <a:xfrm>
                                <a:off x="0" y="0"/>
                                <a:ext cx="1028700" cy="311150"/>
                              </a:xfrm>
                              <a:prstGeom prst="rect">
                                <a:avLst/>
                              </a:prstGeom>
                              <a:noFill/>
                              <a:ln w="6350">
                                <a:noFill/>
                              </a:ln>
                            </wps:spPr>
                            <wps:txbx>
                              <w:txbxContent>
                                <w:p w14:paraId="4294EF6A" w14:textId="77777777" w:rsidR="00D15FD8" w:rsidRPr="003A63D0" w:rsidRDefault="00D15FD8" w:rsidP="00C80E06">
                                  <w:pPr>
                                    <w:jc w:val="center"/>
                                    <w:rPr>
                                      <w:rFonts w:ascii="Roboto" w:hAnsi="Roboto"/>
                                      <w:b/>
                                      <w:color w:val="FFFFFF" w:themeColor="background1"/>
                                      <w:sz w:val="20"/>
                                      <w:szCs w:val="20"/>
                                    </w:rPr>
                                  </w:pPr>
                                  <w:r w:rsidRPr="003A63D0">
                                    <w:rPr>
                                      <w:rFonts w:ascii="Roboto" w:hAnsi="Roboto"/>
                                      <w:b/>
                                      <w:color w:val="FFFFFF" w:themeColor="background1"/>
                                      <w:sz w:val="20"/>
                                      <w:szCs w:val="20"/>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3A2B4" id="Text Box 1681" o:spid="_x0000_s1361" type="#_x0000_t202" style="position:absolute;margin-left:0;margin-top:69.95pt;width:81pt;height:24.5pt;z-index:25525452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" filled="f" stroked="f" strokeweight=".5pt">
                      <v:textbox>
                        <w:txbxContent>
                          <w:p w14:paraId="4294EF6A" w14:textId="77777777" w:rsidR="00D15FD8" w:rsidRPr="003A63D0" w:rsidRDefault="00D15FD8" w:rsidP="00C80E06">
                            <w:pPr>
                              <w:jc w:val="center"/>
                              <w:rPr>
                                <w:rFonts w:ascii="Roboto" w:hAnsi="Roboto"/>
                                <w:b/>
                                <w:color w:val="FFFFFF" w:themeColor="background1"/>
                                <w:sz w:val="20"/>
                                <w:szCs w:val="20"/>
                              </w:rPr>
                            </w:pPr>
                            <w:r w:rsidRPr="003A63D0">
                              <w:rPr>
                                <w:rFonts w:ascii="Roboto" w:hAnsi="Roboto"/>
                                <w:b/>
                                <w:color w:val="FFFFFF" w:themeColor="background1"/>
                                <w:sz w:val="20"/>
                                <w:szCs w:val="20"/>
                              </w:rPr>
                              <w:t>EXAMPLES:</w:t>
                            </w:r>
                          </w:p>
                        </w:txbxContent>
                      </v:textbox>
                      <w10:wrap anchorx="margin"/>
                    </v:shape>
                  </w:pict>
                </mc:Fallback>
              </mc:AlternateContent>
            </w:r>
          </w:p>
        </w:tc>
        <w:tc>
          <w:tcPr>
            <w:tcW w:w="8760" w:type="dxa"/>
          </w:tcPr>
          <w:p w14:paraId="0FF74B2C" w14:textId="77777777" w:rsidR="00C80E06" w:rsidRPr="003A63D0" w:rsidRDefault="00C80E06" w:rsidP="00C80E06">
            <w:pPr>
              <w:pStyle w:val="ListParagraph"/>
              <w:ind w:right="295"/>
              <w:contextualSpacing/>
              <w:cnfStyle w:val="000000100000" w:firstRow="0" w:lastRow="0" w:firstColumn="0" w:lastColumn="0" w:oddVBand="0" w:evenVBand="0" w:oddHBand="1" w:evenHBand="0" w:firstRowFirstColumn="0" w:firstRowLastColumn="0" w:lastRowFirstColumn="0" w:lastRowLastColumn="0"/>
              <w:rPr>
                <w:rFonts w:ascii="Roboto" w:hAnsi="Roboto"/>
                <w:color w:val="0563C1" w:themeColor="hyperlink"/>
                <w:sz w:val="20"/>
                <w:szCs w:val="20"/>
                <w:u w:val="single"/>
              </w:rPr>
            </w:pPr>
          </w:p>
          <w:p w14:paraId="1D0B8E22" w14:textId="77777777" w:rsidR="00C80E06" w:rsidRPr="003A63D0" w:rsidRDefault="00C80E06" w:rsidP="00C80E06">
            <w:pPr>
              <w:pStyle w:val="ListParagraph"/>
              <w:numPr>
                <w:ilvl w:val="0"/>
                <w:numId w:val="178"/>
              </w:numPr>
              <w:ind w:right="295"/>
              <w:contextualSpacing/>
              <w:jc w:val="both"/>
              <w:cnfStyle w:val="000000100000" w:firstRow="0" w:lastRow="0" w:firstColumn="0" w:lastColumn="0" w:oddVBand="0" w:evenVBand="0" w:oddHBand="1" w:evenHBand="0" w:firstRowFirstColumn="0" w:firstRowLastColumn="0" w:lastRowFirstColumn="0" w:lastRowLastColumn="0"/>
              <w:rPr>
                <w:rStyle w:val="Hyperlink"/>
                <w:rFonts w:ascii="Roboto" w:hAnsi="Roboto"/>
                <w:sz w:val="20"/>
                <w:szCs w:val="20"/>
              </w:rPr>
            </w:pPr>
            <w:r w:rsidRPr="003A63D0">
              <w:rPr>
                <w:rFonts w:ascii="Roboto" w:hAnsi="Roboto"/>
                <w:sz w:val="20"/>
                <w:szCs w:val="20"/>
              </w:rPr>
              <w:t xml:space="preserve">The IBP has published a guide to developing Citizen’s budgets: </w:t>
            </w:r>
            <w:hyperlink r:id="rId663">
              <w:r w:rsidRPr="003A63D0">
                <w:rPr>
                  <w:rStyle w:val="Hyperlink"/>
                  <w:rFonts w:ascii="Roboto" w:hAnsi="Roboto"/>
                  <w:sz w:val="20"/>
                  <w:szCs w:val="20"/>
                </w:rPr>
                <w:t>The Power of Making it Simple: A Government Guide to Developing Citizens Budgets.</w:t>
              </w:r>
            </w:hyperlink>
          </w:p>
          <w:p w14:paraId="5F587C33" w14:textId="02D1E941" w:rsidR="00C80E06" w:rsidRPr="003A63D0" w:rsidRDefault="00C80E06" w:rsidP="00C80E06">
            <w:pPr>
              <w:pStyle w:val="ListParagraph"/>
              <w:ind w:right="295"/>
              <w:contextualSpacing/>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A63D0">
              <w:rPr>
                <w:rFonts w:ascii="Roboto" w:hAnsi="Roboto"/>
                <w:sz w:val="20"/>
                <w:szCs w:val="20"/>
              </w:rPr>
              <w:t>Petrie, M</w:t>
            </w:r>
            <w:r w:rsidR="006F2AAA">
              <w:rPr>
                <w:rFonts w:ascii="Roboto" w:hAnsi="Roboto"/>
                <w:sz w:val="20"/>
                <w:szCs w:val="20"/>
              </w:rPr>
              <w:t>.,</w:t>
            </w:r>
            <w:r w:rsidRPr="003A63D0">
              <w:rPr>
                <w:rFonts w:ascii="Roboto" w:hAnsi="Roboto"/>
                <w:sz w:val="20"/>
                <w:szCs w:val="20"/>
              </w:rPr>
              <w:t xml:space="preserve"> and Shields</w:t>
            </w:r>
            <w:r w:rsidR="006F2AAA">
              <w:rPr>
                <w:rFonts w:ascii="Roboto" w:hAnsi="Roboto"/>
                <w:sz w:val="20"/>
                <w:szCs w:val="20"/>
              </w:rPr>
              <w:t>,</w:t>
            </w:r>
            <w:r w:rsidR="006F2AAA" w:rsidRPr="003A63D0">
              <w:rPr>
                <w:rFonts w:ascii="Roboto" w:hAnsi="Roboto"/>
                <w:sz w:val="20"/>
                <w:szCs w:val="20"/>
              </w:rPr>
              <w:t xml:space="preserve"> J. </w:t>
            </w:r>
            <w:r w:rsidRPr="003A63D0">
              <w:rPr>
                <w:rFonts w:ascii="Roboto" w:hAnsi="Roboto"/>
                <w:sz w:val="20"/>
                <w:szCs w:val="20"/>
              </w:rPr>
              <w:t>(2010). “</w:t>
            </w:r>
            <w:hyperlink r:id="rId664">
              <w:r w:rsidRPr="003A63D0">
                <w:rPr>
                  <w:rStyle w:val="Hyperlink"/>
                  <w:rFonts w:ascii="Roboto" w:hAnsi="Roboto"/>
                  <w:sz w:val="20"/>
                  <w:szCs w:val="20"/>
                </w:rPr>
                <w:t>Producing a Citizens’ Guide to the Budget: Why, What and How</w:t>
              </w:r>
            </w:hyperlink>
            <w:r w:rsidRPr="003A63D0">
              <w:rPr>
                <w:rFonts w:ascii="Roboto" w:hAnsi="Roboto"/>
                <w:sz w:val="20"/>
                <w:szCs w:val="20"/>
              </w:rPr>
              <w:t>?” OECD Journal on Budgeting Volume 2010/2.</w:t>
            </w:r>
          </w:p>
          <w:p w14:paraId="60A1A62A" w14:textId="77777777" w:rsidR="00C80E06" w:rsidRPr="003A63D0" w:rsidRDefault="00C80E06" w:rsidP="00C80E06">
            <w:pPr>
              <w:pStyle w:val="ListParagraph"/>
              <w:numPr>
                <w:ilvl w:val="0"/>
                <w:numId w:val="178"/>
              </w:numPr>
              <w:ind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r w:rsidRPr="003A63D0">
              <w:rPr>
                <w:rFonts w:ascii="Roboto" w:hAnsi="Roboto"/>
                <w:sz w:val="20"/>
                <w:szCs w:val="20"/>
              </w:rPr>
              <w:t xml:space="preserve">The Collaborative African Budget Reform Initiative (CABRI)’s: A review of citizens’ budgets in ten African countries can be accessed on this </w:t>
            </w:r>
            <w:hyperlink r:id="rId665">
              <w:r w:rsidRPr="003A63D0">
                <w:rPr>
                  <w:rStyle w:val="Hyperlink"/>
                  <w:rFonts w:ascii="Roboto" w:hAnsi="Roboto"/>
                  <w:sz w:val="20"/>
                  <w:szCs w:val="20"/>
                </w:rPr>
                <w:t>link</w:t>
              </w:r>
            </w:hyperlink>
            <w:r w:rsidRPr="003A63D0">
              <w:rPr>
                <w:rFonts w:ascii="Roboto" w:hAnsi="Roboto"/>
                <w:sz w:val="20"/>
                <w:szCs w:val="20"/>
              </w:rPr>
              <w:t>.</w:t>
            </w:r>
          </w:p>
          <w:p w14:paraId="347079D7" w14:textId="77777777" w:rsidR="00C80E06" w:rsidRPr="003A63D0" w:rsidRDefault="00C80E06" w:rsidP="00C80E06">
            <w:pPr>
              <w:ind w:left="185" w:right="295"/>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p>
        </w:tc>
      </w:tr>
    </w:tbl>
    <w:p w14:paraId="384A574C" w14:textId="1703DD06" w:rsidR="009B7CF5" w:rsidRDefault="009B7CF5"/>
    <w:p w14:paraId="4A54C0BF" w14:textId="77777777" w:rsidR="00872DB5" w:rsidRDefault="00872DB5"/>
    <w:p w14:paraId="0717F177" w14:textId="77777777" w:rsidR="00872DB5" w:rsidRDefault="00872DB5" w:rsidP="00872DB5">
      <w:pPr>
        <w:jc w:val="center"/>
        <w:rPr>
          <w:rFonts w:ascii="Arial" w:hAnsi="Arial" w:cs="Arial"/>
          <w:b/>
          <w:bCs/>
          <w:sz w:val="24"/>
          <w:szCs w:val="24"/>
        </w:rPr>
      </w:pPr>
    </w:p>
    <w:p w14:paraId="7C12C4EA" w14:textId="77777777" w:rsidR="004D0047" w:rsidRDefault="004D0047" w:rsidP="00872DB5">
      <w:pPr>
        <w:jc w:val="center"/>
        <w:rPr>
          <w:rFonts w:ascii="Arial" w:hAnsi="Arial" w:cs="Arial"/>
          <w:b/>
          <w:bCs/>
          <w:color w:val="ED5625"/>
          <w:sz w:val="24"/>
          <w:szCs w:val="24"/>
        </w:rPr>
      </w:pPr>
    </w:p>
    <w:p w14:paraId="1FCE96F3" w14:textId="4DC410F1" w:rsidR="004D0047" w:rsidRDefault="004D0047" w:rsidP="00872DB5">
      <w:pPr>
        <w:jc w:val="center"/>
        <w:rPr>
          <w:rFonts w:ascii="Arial" w:hAnsi="Arial" w:cs="Arial"/>
          <w:b/>
          <w:bCs/>
          <w:color w:val="ED5625"/>
          <w:sz w:val="24"/>
          <w:szCs w:val="24"/>
        </w:rPr>
      </w:pPr>
    </w:p>
    <w:p w14:paraId="75CABFAB" w14:textId="77777777" w:rsidR="00E551F9" w:rsidRDefault="00E551F9" w:rsidP="00872DB5">
      <w:pPr>
        <w:jc w:val="center"/>
        <w:rPr>
          <w:rFonts w:ascii="Arial" w:hAnsi="Arial" w:cs="Arial"/>
          <w:b/>
          <w:bCs/>
          <w:color w:val="ED5625"/>
          <w:sz w:val="24"/>
          <w:szCs w:val="24"/>
        </w:rPr>
      </w:pPr>
    </w:p>
    <w:p w14:paraId="1BB2F743" w14:textId="70841E0C" w:rsidR="004D0047" w:rsidRPr="003625BA" w:rsidRDefault="00AD5BE2" w:rsidP="00B51687">
      <w:pPr>
        <w:spacing w:after="160" w:line="259" w:lineRule="auto"/>
        <w:rPr>
          <w:rFonts w:ascii="Arial" w:hAnsi="Arial" w:cs="Arial"/>
          <w:b/>
          <w:bCs/>
          <w:color w:val="ED5625"/>
          <w:sz w:val="12"/>
          <w:szCs w:val="12"/>
        </w:rPr>
      </w:pPr>
      <w:r>
        <w:rPr>
          <w:rFonts w:ascii="Arial" w:hAnsi="Arial" w:cs="Arial"/>
          <w:b/>
          <w:bCs/>
          <w:color w:val="ED5625"/>
          <w:sz w:val="12"/>
          <w:szCs w:val="12"/>
        </w:rPr>
        <w:br w:type="page"/>
      </w:r>
    </w:p>
    <w:p w14:paraId="3D118063" w14:textId="783727D2" w:rsidR="00C80E06" w:rsidRDefault="0096076C" w:rsidP="00C80E06">
      <w:pPr>
        <w:pStyle w:val="Heading3"/>
        <w:jc w:val="center"/>
      </w:pPr>
      <w:bookmarkStart w:id="1514" w:name="_Table_3.7._Enacted"/>
      <w:bookmarkStart w:id="1515" w:name="_Toc123914056"/>
      <w:bookmarkStart w:id="1516" w:name="_Toc125566670"/>
      <w:bookmarkEnd w:id="1514"/>
      <w:r>
        <w:rPr>
          <w:noProof/>
          <w:lang w:val="en-US"/>
        </w:rPr>
        <w:lastRenderedPageBreak/>
        <mc:AlternateContent>
          <mc:Choice Requires="wps">
            <w:drawing>
              <wp:anchor distT="0" distB="0" distL="114300" distR="114300" simplePos="0" relativeHeight="255262718" behindDoc="0" locked="0" layoutInCell="1" allowOverlap="1" wp14:anchorId="5A5529AA" wp14:editId="458BFD56">
                <wp:simplePos x="0" y="0"/>
                <wp:positionH relativeFrom="margin">
                  <wp:posOffset>-16002</wp:posOffset>
                </wp:positionH>
                <wp:positionV relativeFrom="paragraph">
                  <wp:posOffset>2153920</wp:posOffset>
                </wp:positionV>
                <wp:extent cx="1188720" cy="311150"/>
                <wp:effectExtent l="0" t="0" r="0" b="0"/>
                <wp:wrapNone/>
                <wp:docPr id="1685" name="Text Box 1685"/>
                <wp:cNvGraphicFramePr/>
                <a:graphic xmlns:a="http://schemas.openxmlformats.org/drawingml/2006/main">
                  <a:graphicData uri="http://schemas.microsoft.com/office/word/2010/wordprocessingShape">
                    <wps:wsp>
                      <wps:cNvSpPr txBox="1"/>
                      <wps:spPr>
                        <a:xfrm>
                          <a:off x="0" y="0"/>
                          <a:ext cx="1188720" cy="311150"/>
                        </a:xfrm>
                        <a:prstGeom prst="rect">
                          <a:avLst/>
                        </a:prstGeom>
                        <a:noFill/>
                        <a:ln w="6350">
                          <a:noFill/>
                        </a:ln>
                      </wps:spPr>
                      <wps:txbx>
                        <w:txbxContent>
                          <w:p w14:paraId="0EF0551A"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529AA" id="Text Box 1685" o:spid="_x0000_s1362" type="#_x0000_t202" style="position:absolute;left:0;text-align:left;margin-left:-1.25pt;margin-top:169.6pt;width:93.6pt;height:24.5pt;z-index:2552627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" filled="f" stroked="f" strokeweight=".5pt">
                <v:textbox>
                  <w:txbxContent>
                    <w:p w14:paraId="0EF0551A"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v:textbox>
                <w10:wrap anchorx="margin"/>
              </v:shape>
            </w:pict>
          </mc:Fallback>
        </mc:AlternateContent>
      </w:r>
      <w:r w:rsidR="00C80E06" w:rsidRPr="003625BA">
        <w:rPr>
          <w:rFonts w:ascii="Arial" w:hAnsi="Arial" w:cs="Arial"/>
          <w:b/>
          <w:bCs/>
          <w:color w:val="ED5625"/>
          <w:sz w:val="20"/>
          <w:szCs w:val="20"/>
        </w:rPr>
        <w:t>Table 3.7</w:t>
      </w:r>
      <w:r w:rsidR="003D10E4">
        <w:rPr>
          <w:rFonts w:ascii="Arial" w:hAnsi="Arial" w:cs="Arial"/>
          <w:b/>
          <w:bCs/>
          <w:color w:val="ED5625"/>
          <w:sz w:val="20"/>
          <w:szCs w:val="20"/>
        </w:rPr>
        <w:t>.</w:t>
      </w:r>
      <w:r w:rsidR="00C80E06" w:rsidRPr="003625BA">
        <w:rPr>
          <w:rFonts w:ascii="Arial" w:hAnsi="Arial" w:cs="Arial"/>
          <w:b/>
          <w:bCs/>
          <w:color w:val="ED5625"/>
          <w:sz w:val="20"/>
          <w:szCs w:val="20"/>
        </w:rPr>
        <w:t xml:space="preserve"> </w:t>
      </w:r>
      <w:r w:rsidR="00C80E06">
        <w:rPr>
          <w:rFonts w:ascii="Arial" w:hAnsi="Arial" w:cs="Arial"/>
          <w:b/>
          <w:bCs/>
          <w:color w:val="ED5625"/>
          <w:sz w:val="20"/>
          <w:szCs w:val="20"/>
        </w:rPr>
        <w:t>Enacted budget</w:t>
      </w:r>
      <w:bookmarkEnd w:id="1515"/>
      <w:bookmarkEnd w:id="1516"/>
    </w:p>
    <w:tbl>
      <w:tblPr>
        <w:tblStyle w:val="GridTable5Dark-Accent2"/>
        <w:tblpPr w:leftFromText="180" w:rightFromText="180" w:vertAnchor="page" w:horzAnchor="margin" w:tblpY="1701"/>
        <w:tblW w:w="10485" w:type="dxa"/>
        <w:tblLook w:val="04A0" w:firstRow="1" w:lastRow="0" w:firstColumn="1" w:lastColumn="0" w:noHBand="0" w:noVBand="1"/>
      </w:tblPr>
      <w:tblGrid>
        <w:gridCol w:w="1838"/>
        <w:gridCol w:w="8647"/>
      </w:tblGrid>
      <w:tr w:rsidR="00C80E06" w14:paraId="4AA70FF1" w14:textId="77777777" w:rsidTr="00C80E06">
        <w:trPr>
          <w:cnfStyle w:val="100000000000" w:firstRow="1" w:lastRow="0" w:firstColumn="0" w:lastColumn="0" w:oddVBand="0" w:evenVBand="0" w:oddHBand="0" w:evenHBand="0" w:firstRowFirstColumn="0" w:firstRowLastColumn="0" w:lastRowFirstColumn="0" w:lastRowLastColumn="0"/>
          <w:trHeight w:val="1527"/>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tcPr>
          <w:p w14:paraId="3A71E03D" w14:textId="77777777" w:rsidR="00C80E06" w:rsidRDefault="00C80E06" w:rsidP="00C80E06">
            <w:r>
              <w:rPr>
                <w:noProof/>
                <w:lang w:val="en-US"/>
              </w:rPr>
              <w:drawing>
                <wp:anchor distT="0" distB="0" distL="114300" distR="114300" simplePos="0" relativeHeight="255259646" behindDoc="1" locked="0" layoutInCell="1" allowOverlap="1" wp14:anchorId="4B890AB7" wp14:editId="636CE7B8">
                  <wp:simplePos x="0" y="0"/>
                  <wp:positionH relativeFrom="margin">
                    <wp:align>center</wp:align>
                  </wp:positionH>
                  <wp:positionV relativeFrom="paragraph">
                    <wp:posOffset>94615</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60670" behindDoc="0" locked="0" layoutInCell="1" allowOverlap="1" wp14:anchorId="6402647E" wp14:editId="4AD63022">
                      <wp:simplePos x="0" y="0"/>
                      <wp:positionH relativeFrom="margin">
                        <wp:align>center</wp:align>
                      </wp:positionH>
                      <wp:positionV relativeFrom="paragraph">
                        <wp:posOffset>728345</wp:posOffset>
                      </wp:positionV>
                      <wp:extent cx="850900" cy="304800"/>
                      <wp:effectExtent l="0" t="0" r="0" b="0"/>
                      <wp:wrapNone/>
                      <wp:docPr id="1683" name="Text Box 1683"/>
                      <wp:cNvGraphicFramePr/>
                      <a:graphic xmlns:a="http://schemas.openxmlformats.org/drawingml/2006/main">
                        <a:graphicData uri="http://schemas.microsoft.com/office/word/2010/wordprocessingShape">
                          <wps:wsp>
                            <wps:cNvSpPr txBox="1"/>
                            <wps:spPr>
                              <a:xfrm>
                                <a:off x="0" y="0"/>
                                <a:ext cx="850900" cy="304800"/>
                              </a:xfrm>
                              <a:prstGeom prst="rect">
                                <a:avLst/>
                              </a:prstGeom>
                              <a:noFill/>
                              <a:ln w="6350">
                                <a:noFill/>
                              </a:ln>
                            </wps:spPr>
                            <wps:txbx>
                              <w:txbxContent>
                                <w:p w14:paraId="3A5CA345"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2647E" id="Text Box 1683" o:spid="_x0000_s1363" type="#_x0000_t202" style="position:absolute;margin-left:0;margin-top:57.35pt;width:67pt;height:24pt;z-index:25526067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" filled="f" stroked="f" strokeweight=".5pt">
                      <v:textbox>
                        <w:txbxContent>
                          <w:p w14:paraId="3A5CA345"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v:textbox>
                      <w10:wrap anchorx="margin"/>
                    </v:shape>
                  </w:pict>
                </mc:Fallback>
              </mc:AlternateContent>
            </w:r>
          </w:p>
        </w:tc>
        <w:tc>
          <w:tcPr>
            <w:tcW w:w="8647" w:type="dxa"/>
            <w:tcBorders>
              <w:left w:val="single" w:sz="4" w:space="0" w:color="FFFFFF" w:themeColor="background1"/>
            </w:tcBorders>
            <w:shd w:val="clear" w:color="auto" w:fill="FBE4D5" w:themeFill="accent2" w:themeFillTint="33"/>
          </w:tcPr>
          <w:p w14:paraId="3DB45190" w14:textId="77777777" w:rsidR="00C80E06" w:rsidRPr="00C80E06" w:rsidRDefault="00C80E06" w:rsidP="00C80E06">
            <w:pPr>
              <w:ind w:left="167" w:right="31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49A9CD24" w14:textId="18455F28" w:rsidR="00C80E06" w:rsidRPr="00C80E06" w:rsidRDefault="00C80E06" w:rsidP="00C80E06">
            <w:pPr>
              <w:ind w:left="167" w:right="31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C80E06">
              <w:rPr>
                <w:rFonts w:ascii="Roboto" w:hAnsi="Roboto"/>
                <w:b w:val="0"/>
                <w:bCs w:val="0"/>
                <w:color w:val="000000" w:themeColor="text1"/>
                <w:sz w:val="20"/>
                <w:szCs w:val="20"/>
              </w:rPr>
              <w:t>The OECD’s Budget Transparency Toolkit</w:t>
            </w:r>
            <w:r w:rsidR="00FA6E9C">
              <w:rPr>
                <w:rFonts w:ascii="Roboto" w:hAnsi="Roboto"/>
                <w:b w:val="0"/>
                <w:bCs w:val="0"/>
                <w:color w:val="000000" w:themeColor="text1"/>
                <w:sz w:val="20"/>
                <w:szCs w:val="20"/>
              </w:rPr>
              <w:t xml:space="preserve"> </w:t>
            </w:r>
            <w:r w:rsidRPr="00C80E06">
              <w:rPr>
                <w:rFonts w:ascii="Roboto" w:hAnsi="Roboto"/>
                <w:b w:val="0"/>
                <w:bCs w:val="0"/>
                <w:color w:val="000000" w:themeColor="text1"/>
                <w:sz w:val="20"/>
                <w:szCs w:val="20"/>
              </w:rPr>
              <w:t xml:space="preserve">(2017) recommends publication of the enacted budget as soon as the budget is approved by the legislature. The IBP’s </w:t>
            </w:r>
            <w:hyperlink r:id="rId666" w:history="1">
              <w:r w:rsidRPr="006F7E69">
                <w:rPr>
                  <w:rStyle w:val="Hyperlink"/>
                  <w:rFonts w:ascii="Roboto" w:hAnsi="Roboto"/>
                  <w:b w:val="0"/>
                  <w:bCs w:val="0"/>
                  <w:sz w:val="20"/>
                  <w:szCs w:val="20"/>
                </w:rPr>
                <w:t>Open Budget Survey Guidelines on the Public Availability of Budget Documents</w:t>
              </w:r>
            </w:hyperlink>
            <w:r w:rsidRPr="00C80E06">
              <w:rPr>
                <w:rFonts w:ascii="Roboto" w:hAnsi="Roboto"/>
                <w:b w:val="0"/>
                <w:bCs w:val="0"/>
                <w:color w:val="000000" w:themeColor="text1"/>
                <w:sz w:val="20"/>
                <w:szCs w:val="20"/>
              </w:rPr>
              <w:t xml:space="preserve"> (2016) state that this should be no later than three months after it has been approved.</w:t>
            </w:r>
          </w:p>
          <w:p w14:paraId="122FB107" w14:textId="77777777" w:rsidR="00C80E06" w:rsidRPr="003625BA" w:rsidRDefault="00C80E06" w:rsidP="00C80E06">
            <w:pPr>
              <w:ind w:left="167" w:right="31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3079A3C2" w14:textId="77777777" w:rsidTr="00C80E0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38" w:type="dxa"/>
          </w:tcPr>
          <w:p w14:paraId="061B6573" w14:textId="77777777" w:rsidR="00C80E06" w:rsidRDefault="00C80E06" w:rsidP="00C80E06">
            <w:pPr>
              <w:rPr>
                <w:b w:val="0"/>
                <w:bCs w:val="0"/>
              </w:rPr>
            </w:pPr>
            <w:r>
              <w:rPr>
                <w:noProof/>
                <w:lang w:val="en-US"/>
              </w:rPr>
              <w:drawing>
                <wp:anchor distT="0" distB="0" distL="114300" distR="114300" simplePos="0" relativeHeight="255261694" behindDoc="1" locked="0" layoutInCell="1" allowOverlap="1" wp14:anchorId="16015395" wp14:editId="4BF03CB1">
                  <wp:simplePos x="0" y="0"/>
                  <wp:positionH relativeFrom="margin">
                    <wp:posOffset>185420</wp:posOffset>
                  </wp:positionH>
                  <wp:positionV relativeFrom="paragraph">
                    <wp:posOffset>201295</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640F9889" w14:textId="053FB609" w:rsidR="00C80E06" w:rsidRPr="003C7944" w:rsidRDefault="00C80E06" w:rsidP="00C80E06"/>
          <w:p w14:paraId="455B9C9B" w14:textId="77777777" w:rsidR="00C80E06" w:rsidRPr="002C79BF" w:rsidRDefault="00C80E06" w:rsidP="00C80E06"/>
        </w:tc>
        <w:tc>
          <w:tcPr>
            <w:tcW w:w="8647" w:type="dxa"/>
          </w:tcPr>
          <w:p w14:paraId="6693C22B" w14:textId="77777777" w:rsidR="00C80E06"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4D8CDFFC" w14:textId="77777777" w:rsidR="00C80E06" w:rsidRPr="003625BA"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The budget as formally adopted by the legislature, providing the definitive point of reference for the raising of revenues and allocating, and accounting for, public funds. It is a law and hence should be made public. It enables an assessment of changes made by the legislature to the executive’s budget proposal, and provides the baseline information against which actual budget results are to be compared. </w:t>
            </w:r>
            <w:r w:rsidRPr="003625BA">
              <w:rPr>
                <w:rFonts w:ascii="Roboto" w:hAnsi="Roboto"/>
                <w:sz w:val="20"/>
                <w:szCs w:val="20"/>
              </w:rPr>
              <w:tab/>
            </w:r>
          </w:p>
        </w:tc>
      </w:tr>
      <w:tr w:rsidR="00C80E06" w14:paraId="1418E8DE" w14:textId="77777777" w:rsidTr="00C80E06">
        <w:trPr>
          <w:trHeight w:val="1134"/>
        </w:trPr>
        <w:tc>
          <w:tcPr>
            <w:cnfStyle w:val="001000000000" w:firstRow="0" w:lastRow="0" w:firstColumn="1" w:lastColumn="0" w:oddVBand="0" w:evenVBand="0" w:oddHBand="0" w:evenHBand="0" w:firstRowFirstColumn="0" w:firstRowLastColumn="0" w:lastRowFirstColumn="0" w:lastRowLastColumn="0"/>
            <w:tcW w:w="1838" w:type="dxa"/>
          </w:tcPr>
          <w:p w14:paraId="458C21D1" w14:textId="77777777" w:rsidR="00C80E06" w:rsidRPr="003625BA" w:rsidRDefault="00C80E06" w:rsidP="00C80E06">
            <w:pPr>
              <w:rPr>
                <w:b w:val="0"/>
                <w:bCs w:val="0"/>
              </w:rPr>
            </w:pPr>
            <w:r>
              <w:rPr>
                <w:noProof/>
                <w:lang w:val="en-US"/>
              </w:rPr>
              <w:drawing>
                <wp:anchor distT="0" distB="0" distL="114300" distR="114300" simplePos="0" relativeHeight="255263742" behindDoc="1" locked="0" layoutInCell="1" allowOverlap="1" wp14:anchorId="101322C0" wp14:editId="4928E19D">
                  <wp:simplePos x="0" y="0"/>
                  <wp:positionH relativeFrom="margin">
                    <wp:posOffset>184785</wp:posOffset>
                  </wp:positionH>
                  <wp:positionV relativeFrom="paragraph">
                    <wp:posOffset>92075</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4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57598" behindDoc="0" locked="0" layoutInCell="1" allowOverlap="1" wp14:anchorId="406410E9" wp14:editId="59E9A26B">
                      <wp:simplePos x="0" y="0"/>
                      <wp:positionH relativeFrom="margin">
                        <wp:align>center</wp:align>
                      </wp:positionH>
                      <wp:positionV relativeFrom="paragraph">
                        <wp:posOffset>717550</wp:posOffset>
                      </wp:positionV>
                      <wp:extent cx="875030" cy="311150"/>
                      <wp:effectExtent l="0" t="0" r="0" b="0"/>
                      <wp:wrapNone/>
                      <wp:docPr id="1687" name="Text Box 1687"/>
                      <wp:cNvGraphicFramePr/>
                      <a:graphic xmlns:a="http://schemas.openxmlformats.org/drawingml/2006/main">
                        <a:graphicData uri="http://schemas.microsoft.com/office/word/2010/wordprocessingShape">
                          <wps:wsp>
                            <wps:cNvSpPr txBox="1"/>
                            <wps:spPr>
                              <a:xfrm>
                                <a:off x="0" y="0"/>
                                <a:ext cx="875030" cy="311150"/>
                              </a:xfrm>
                              <a:prstGeom prst="rect">
                                <a:avLst/>
                              </a:prstGeom>
                              <a:noFill/>
                              <a:ln w="6350">
                                <a:noFill/>
                              </a:ln>
                            </wps:spPr>
                            <wps:txbx>
                              <w:txbxContent>
                                <w:p w14:paraId="34FD816A"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410E9" id="Text Box 1687" o:spid="_x0000_s1364" type="#_x0000_t202" style="position:absolute;margin-left:0;margin-top:56.5pt;width:68.9pt;height:24.5pt;z-index:25525759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" filled="f" stroked="f" strokeweight=".5pt">
                      <v:textbox>
                        <w:txbxContent>
                          <w:p w14:paraId="34FD816A"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v:textbox>
                      <w10:wrap anchorx="margin"/>
                    </v:shape>
                  </w:pict>
                </mc:Fallback>
              </mc:AlternateContent>
            </w:r>
          </w:p>
        </w:tc>
        <w:tc>
          <w:tcPr>
            <w:tcW w:w="8647" w:type="dxa"/>
          </w:tcPr>
          <w:p w14:paraId="2BFA2EB0" w14:textId="77777777" w:rsidR="00C80E06" w:rsidRPr="003625BA" w:rsidRDefault="00C80E06" w:rsidP="00C80E06">
            <w:pPr>
              <w:ind w:left="167" w:right="31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37DDCEA9" w14:textId="77777777" w:rsidR="00C80E06" w:rsidRPr="003625BA" w:rsidRDefault="00C80E06" w:rsidP="00C80E06">
            <w:pPr>
              <w:ind w:left="167" w:right="31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It should include the same level of detail as the executive’s budget proposal to help in identifying all significant deviations from it, with explanations for the deviations.</w:t>
            </w:r>
          </w:p>
          <w:p w14:paraId="534DF020" w14:textId="77777777" w:rsidR="00C80E06" w:rsidRPr="003625BA" w:rsidRDefault="00C80E06" w:rsidP="00C80E06">
            <w:pPr>
              <w:ind w:left="167" w:right="31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7001E772" w14:textId="77777777" w:rsidR="00C80E06" w:rsidRPr="003625BA" w:rsidRDefault="00C80E06" w:rsidP="00C80E06">
            <w:pPr>
              <w:tabs>
                <w:tab w:val="left" w:pos="4740"/>
              </w:tabs>
              <w:ind w:left="167" w:right="31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ab/>
            </w:r>
          </w:p>
        </w:tc>
      </w:tr>
      <w:tr w:rsidR="00C80E06" w14:paraId="6E4E43B9" w14:textId="77777777" w:rsidTr="00C80E06">
        <w:trPr>
          <w:cnfStyle w:val="000000100000" w:firstRow="0" w:lastRow="0" w:firstColumn="0" w:lastColumn="0" w:oddVBand="0" w:evenVBand="0" w:oddHBand="1" w:evenHBand="0" w:firstRowFirstColumn="0" w:firstRowLastColumn="0" w:lastRowFirstColumn="0" w:lastRowLastColumn="0"/>
          <w:trHeight w:val="1689"/>
        </w:trPr>
        <w:tc>
          <w:tcPr>
            <w:cnfStyle w:val="001000000000" w:firstRow="0" w:lastRow="0" w:firstColumn="1" w:lastColumn="0" w:oddVBand="0" w:evenVBand="0" w:oddHBand="0" w:evenHBand="0" w:firstRowFirstColumn="0" w:firstRowLastColumn="0" w:lastRowFirstColumn="0" w:lastRowLastColumn="0"/>
            <w:tcW w:w="1838" w:type="dxa"/>
          </w:tcPr>
          <w:p w14:paraId="1AAA4838" w14:textId="77777777" w:rsidR="00C80E06" w:rsidRDefault="00C80E06" w:rsidP="00C80E06">
            <w:pPr>
              <w:rPr>
                <w:b w:val="0"/>
                <w:bCs w:val="0"/>
                <w:noProof/>
              </w:rPr>
            </w:pPr>
            <w:r>
              <w:rPr>
                <w:noProof/>
                <w:lang w:val="en-US"/>
              </w:rPr>
              <w:drawing>
                <wp:anchor distT="0" distB="0" distL="114300" distR="114300" simplePos="0" relativeHeight="255264766" behindDoc="1" locked="0" layoutInCell="1" allowOverlap="1" wp14:anchorId="7308D2A9" wp14:editId="34869DE6">
                  <wp:simplePos x="0" y="0"/>
                  <wp:positionH relativeFrom="margin">
                    <wp:posOffset>184785</wp:posOffset>
                  </wp:positionH>
                  <wp:positionV relativeFrom="paragraph">
                    <wp:posOffset>129540</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4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58622" behindDoc="0" locked="0" layoutInCell="1" allowOverlap="1" wp14:anchorId="2B6447D0" wp14:editId="4123C670">
                      <wp:simplePos x="0" y="0"/>
                      <wp:positionH relativeFrom="margin">
                        <wp:align>center</wp:align>
                      </wp:positionH>
                      <wp:positionV relativeFrom="paragraph">
                        <wp:posOffset>770890</wp:posOffset>
                      </wp:positionV>
                      <wp:extent cx="1077595" cy="241300"/>
                      <wp:effectExtent l="0" t="0" r="0" b="0"/>
                      <wp:wrapNone/>
                      <wp:docPr id="1689" name="Text Box 1689"/>
                      <wp:cNvGraphicFramePr/>
                      <a:graphic xmlns:a="http://schemas.openxmlformats.org/drawingml/2006/main">
                        <a:graphicData uri="http://schemas.microsoft.com/office/word/2010/wordprocessingShape">
                          <wps:wsp>
                            <wps:cNvSpPr txBox="1"/>
                            <wps:spPr>
                              <a:xfrm>
                                <a:off x="0" y="0"/>
                                <a:ext cx="1077595" cy="241300"/>
                              </a:xfrm>
                              <a:prstGeom prst="rect">
                                <a:avLst/>
                              </a:prstGeom>
                              <a:noFill/>
                              <a:ln w="6350">
                                <a:noFill/>
                              </a:ln>
                            </wps:spPr>
                            <wps:txbx>
                              <w:txbxContent>
                                <w:p w14:paraId="7C5A9778"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447D0" id="Text Box 1689" o:spid="_x0000_s1365" type="#_x0000_t202" style="position:absolute;margin-left:0;margin-top:60.7pt;width:84.85pt;height:19pt;z-index:25525862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" filled="f" stroked="f" strokeweight=".5pt">
                      <v:textbox>
                        <w:txbxContent>
                          <w:p w14:paraId="7C5A9778"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w:t>
                            </w:r>
                          </w:p>
                        </w:txbxContent>
                      </v:textbox>
                      <w10:wrap anchorx="margin"/>
                    </v:shape>
                  </w:pict>
                </mc:Fallback>
              </mc:AlternateContent>
            </w:r>
          </w:p>
        </w:tc>
        <w:tc>
          <w:tcPr>
            <w:tcW w:w="8647" w:type="dxa"/>
          </w:tcPr>
          <w:p w14:paraId="11A14F55" w14:textId="77777777" w:rsidR="00C80E06" w:rsidRPr="003625BA"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p>
          <w:p w14:paraId="746D3230" w14:textId="77777777" w:rsidR="00C80E06" w:rsidRPr="003625BA"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The United Kingdom’s budget documents can be found on this </w:t>
            </w:r>
            <w:hyperlink r:id="rId667">
              <w:r w:rsidRPr="003625BA">
                <w:rPr>
                  <w:rStyle w:val="Hyperlink"/>
                  <w:rFonts w:ascii="Roboto" w:hAnsi="Roboto"/>
                  <w:sz w:val="20"/>
                  <w:szCs w:val="20"/>
                </w:rPr>
                <w:t>link</w:t>
              </w:r>
            </w:hyperlink>
            <w:r w:rsidRPr="003625BA">
              <w:rPr>
                <w:rFonts w:ascii="Roboto" w:hAnsi="Roboto"/>
                <w:sz w:val="20"/>
                <w:szCs w:val="20"/>
              </w:rPr>
              <w:t>.</w:t>
            </w:r>
          </w:p>
          <w:p w14:paraId="1C2B5220" w14:textId="77777777" w:rsidR="00C80E06" w:rsidRPr="003625BA"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44FA64AD" w14:textId="77777777" w:rsidR="00C80E06" w:rsidRPr="003625BA"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54F50C86" w14:textId="77777777" w:rsidR="00C80E06" w:rsidRPr="003625BA"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57EE5C0D" w14:textId="77777777" w:rsidR="00C80E06" w:rsidRPr="003625BA" w:rsidRDefault="00C80E06" w:rsidP="00C80E06">
            <w:pPr>
              <w:ind w:left="167" w:right="31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7D16E5C5" w14:textId="7279BA23" w:rsidR="009B7CF5" w:rsidRDefault="009B7CF5"/>
    <w:p w14:paraId="4C153572" w14:textId="64B02204" w:rsidR="009B7CF5" w:rsidRDefault="009B7CF5"/>
    <w:p w14:paraId="1FFBD910" w14:textId="00F11EA9" w:rsidR="00DE0EF1" w:rsidRDefault="00DE0EF1" w:rsidP="00DE0EF1"/>
    <w:p w14:paraId="2338FC28" w14:textId="76E4248C" w:rsidR="00DE0EF1" w:rsidRDefault="00DE0EF1" w:rsidP="00DE0EF1"/>
    <w:p w14:paraId="295B00D4" w14:textId="233B8322" w:rsidR="00EF6A13" w:rsidRDefault="00EF6A13" w:rsidP="00DE0EF1"/>
    <w:p w14:paraId="3D227915" w14:textId="3449E61C" w:rsidR="00EF6A13" w:rsidRDefault="00EF6A13" w:rsidP="00DE0EF1"/>
    <w:p w14:paraId="120D9645" w14:textId="4054EB85" w:rsidR="00EF6A13" w:rsidRDefault="00EF6A13" w:rsidP="00DE0EF1"/>
    <w:p w14:paraId="14DC2FDA" w14:textId="619D96E7" w:rsidR="00EF6A13" w:rsidRDefault="00EF6A13" w:rsidP="00DE0EF1"/>
    <w:p w14:paraId="75B2F528" w14:textId="7F34D694" w:rsidR="00EF6A13" w:rsidRDefault="00EF6A13" w:rsidP="00DE0EF1"/>
    <w:p w14:paraId="2918F8C8" w14:textId="49F1FDE6" w:rsidR="00EF6A13" w:rsidRDefault="00EF6A13" w:rsidP="00DE0EF1"/>
    <w:p w14:paraId="63A638AB" w14:textId="05496DFC" w:rsidR="00EF6A13" w:rsidRDefault="00EF6A13" w:rsidP="00DE0EF1"/>
    <w:p w14:paraId="6D0D1FFB" w14:textId="6F4A693B" w:rsidR="00EF6A13" w:rsidRDefault="00EF6A13" w:rsidP="00DE0EF1"/>
    <w:p w14:paraId="14B3ED94" w14:textId="7DB5A3AB" w:rsidR="00EF6A13" w:rsidRDefault="00EF6A13" w:rsidP="00DE0EF1"/>
    <w:p w14:paraId="3C54DD9E" w14:textId="77777777" w:rsidR="005B3000" w:rsidRDefault="005B3000" w:rsidP="00DE0EF1"/>
    <w:p w14:paraId="1003DB93" w14:textId="77777777" w:rsidR="00EF6A13" w:rsidRDefault="00EF6A13" w:rsidP="00DE0EF1"/>
    <w:p w14:paraId="043D9868" w14:textId="554BDD2B" w:rsidR="00EF6A13" w:rsidRDefault="00EF6A13" w:rsidP="00DE0EF1"/>
    <w:p w14:paraId="5A70A7A4" w14:textId="77777777" w:rsidR="00EF6A13" w:rsidRPr="00DE0EF1" w:rsidRDefault="00EF6A13" w:rsidP="00DE0EF1"/>
    <w:p w14:paraId="450DC83C" w14:textId="77777777" w:rsidR="00E551F9" w:rsidRPr="003625BA" w:rsidRDefault="00E551F9" w:rsidP="003625BA"/>
    <w:p w14:paraId="3BB1EF99" w14:textId="3D683C96" w:rsidR="00AD5BE2" w:rsidRDefault="00AD5BE2">
      <w:pPr>
        <w:spacing w:after="160" w:line="259" w:lineRule="auto"/>
        <w:rPr>
          <w:rFonts w:ascii="Arial" w:eastAsiaTheme="majorEastAsia" w:hAnsi="Arial" w:cs="Arial"/>
          <w:b/>
          <w:bCs/>
          <w:color w:val="ED5625"/>
          <w:sz w:val="20"/>
          <w:szCs w:val="20"/>
        </w:rPr>
      </w:pPr>
      <w:r>
        <w:rPr>
          <w:rFonts w:ascii="Arial" w:hAnsi="Arial" w:cs="Arial"/>
          <w:b/>
          <w:bCs/>
          <w:color w:val="ED5625"/>
          <w:sz w:val="20"/>
          <w:szCs w:val="20"/>
        </w:rPr>
        <w:br w:type="page"/>
      </w:r>
    </w:p>
    <w:p w14:paraId="751D3132" w14:textId="419CE67F" w:rsidR="002C68ED" w:rsidRPr="00C80E06" w:rsidRDefault="00C80E06" w:rsidP="00C80E06">
      <w:pPr>
        <w:pStyle w:val="Heading3"/>
        <w:jc w:val="center"/>
        <w:rPr>
          <w:rFonts w:ascii="Arial" w:hAnsi="Arial" w:cs="Arial"/>
          <w:b/>
          <w:bCs/>
          <w:color w:val="ED5625"/>
          <w:sz w:val="20"/>
          <w:szCs w:val="20"/>
        </w:rPr>
      </w:pPr>
      <w:bookmarkStart w:id="1517" w:name="_Table_3.8._Pre-execution"/>
      <w:bookmarkStart w:id="1518" w:name="_Toc123914057"/>
      <w:bookmarkStart w:id="1519" w:name="_Toc125566671"/>
      <w:bookmarkStart w:id="1520" w:name="_Toc123204497"/>
      <w:bookmarkStart w:id="1521" w:name="_Toc123217439"/>
      <w:bookmarkEnd w:id="1517"/>
      <w:r w:rsidRPr="003625BA">
        <w:rPr>
          <w:rFonts w:ascii="Arial" w:hAnsi="Arial" w:cs="Arial"/>
          <w:b/>
          <w:bCs/>
          <w:color w:val="ED5625"/>
          <w:sz w:val="20"/>
          <w:szCs w:val="20"/>
        </w:rPr>
        <w:lastRenderedPageBreak/>
        <w:t>Table 3.8</w:t>
      </w:r>
      <w:r w:rsidR="008616A4">
        <w:rPr>
          <w:rFonts w:ascii="Arial" w:hAnsi="Arial" w:cs="Arial"/>
          <w:b/>
          <w:bCs/>
          <w:color w:val="ED5625"/>
          <w:sz w:val="20"/>
          <w:szCs w:val="20"/>
        </w:rPr>
        <w:t>.</w:t>
      </w:r>
      <w:r w:rsidRPr="003625BA">
        <w:rPr>
          <w:rFonts w:ascii="Arial" w:hAnsi="Arial" w:cs="Arial"/>
          <w:b/>
          <w:bCs/>
          <w:color w:val="ED5625"/>
          <w:sz w:val="20"/>
          <w:szCs w:val="20"/>
        </w:rPr>
        <w:t xml:space="preserve"> </w:t>
      </w:r>
      <w:r>
        <w:rPr>
          <w:rFonts w:ascii="Arial" w:hAnsi="Arial" w:cs="Arial"/>
          <w:b/>
          <w:bCs/>
          <w:color w:val="ED5625"/>
          <w:sz w:val="20"/>
          <w:szCs w:val="20"/>
        </w:rPr>
        <w:t>Pre-execution budget profiles / Cash-flow forecasts</w:t>
      </w:r>
      <w:bookmarkEnd w:id="1518"/>
      <w:bookmarkEnd w:id="1519"/>
      <w:r>
        <w:rPr>
          <w:rFonts w:ascii="Arial" w:hAnsi="Arial" w:cs="Arial"/>
          <w:b/>
          <w:bCs/>
          <w:color w:val="ED5625"/>
          <w:sz w:val="20"/>
          <w:szCs w:val="20"/>
        </w:rPr>
        <w:t xml:space="preserve"> </w:t>
      </w:r>
      <w:bookmarkEnd w:id="1520"/>
      <w:bookmarkEnd w:id="1521"/>
    </w:p>
    <w:tbl>
      <w:tblPr>
        <w:tblStyle w:val="GridTable5Dark-Accent2"/>
        <w:tblpPr w:leftFromText="180" w:rightFromText="180" w:vertAnchor="page" w:horzAnchor="margin" w:tblpY="1701"/>
        <w:tblW w:w="0" w:type="auto"/>
        <w:tblLook w:val="04A0" w:firstRow="1" w:lastRow="0" w:firstColumn="1" w:lastColumn="0" w:noHBand="0" w:noVBand="1"/>
      </w:tblPr>
      <w:tblGrid>
        <w:gridCol w:w="1838"/>
        <w:gridCol w:w="8618"/>
      </w:tblGrid>
      <w:tr w:rsidR="00C80E06" w14:paraId="59F5F3C9" w14:textId="77777777" w:rsidTr="00C80E06">
        <w:trPr>
          <w:cnfStyle w:val="100000000000" w:firstRow="1" w:lastRow="0" w:firstColumn="0" w:lastColumn="0" w:oddVBand="0" w:evenVBand="0" w:oddHBand="0"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tcPr>
          <w:p w14:paraId="536F242E" w14:textId="77777777" w:rsidR="00C80E06" w:rsidRDefault="00C80E06" w:rsidP="00C80E06">
            <w:r>
              <w:rPr>
                <w:noProof/>
                <w:lang w:val="en-US"/>
              </w:rPr>
              <mc:AlternateContent>
                <mc:Choice Requires="wps">
                  <w:drawing>
                    <wp:anchor distT="0" distB="0" distL="114300" distR="114300" simplePos="0" relativeHeight="255204350" behindDoc="0" locked="0" layoutInCell="1" allowOverlap="1" wp14:anchorId="63981FBA" wp14:editId="5E0615E2">
                      <wp:simplePos x="0" y="0"/>
                      <wp:positionH relativeFrom="column">
                        <wp:posOffset>-27305</wp:posOffset>
                      </wp:positionH>
                      <wp:positionV relativeFrom="paragraph">
                        <wp:posOffset>718185</wp:posOffset>
                      </wp:positionV>
                      <wp:extent cx="1065530" cy="304800"/>
                      <wp:effectExtent l="0" t="0" r="0" b="0"/>
                      <wp:wrapNone/>
                      <wp:docPr id="1751" name="Text Box 1751"/>
                      <wp:cNvGraphicFramePr/>
                      <a:graphic xmlns:a="http://schemas.openxmlformats.org/drawingml/2006/main">
                        <a:graphicData uri="http://schemas.microsoft.com/office/word/2010/wordprocessingShape">
                          <wps:wsp>
                            <wps:cNvSpPr txBox="1"/>
                            <wps:spPr>
                              <a:xfrm>
                                <a:off x="0" y="0"/>
                                <a:ext cx="1065530" cy="304800"/>
                              </a:xfrm>
                              <a:prstGeom prst="rect">
                                <a:avLst/>
                              </a:prstGeom>
                              <a:noFill/>
                              <a:ln w="6350">
                                <a:noFill/>
                              </a:ln>
                            </wps:spPr>
                            <wps:txbx>
                              <w:txbxContent>
                                <w:p w14:paraId="00E1F1F5"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81FBA" id="Text Box 1751" o:spid="_x0000_s1366" type="#_x0000_t202" style="position:absolute;margin-left:-2.15pt;margin-top:56.55pt;width:83.9pt;height:24pt;z-index:255204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" filled="f" stroked="f" strokeweight=".5pt">
                      <v:textbox>
                        <w:txbxContent>
                          <w:p w14:paraId="00E1F1F5"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v:textbox>
                    </v:shape>
                  </w:pict>
                </mc:Fallback>
              </mc:AlternateContent>
            </w:r>
            <w:r>
              <w:rPr>
                <w:noProof/>
                <w:lang w:val="en-US"/>
              </w:rPr>
              <w:drawing>
                <wp:anchor distT="0" distB="0" distL="114300" distR="114300" simplePos="0" relativeHeight="255203326" behindDoc="1" locked="0" layoutInCell="1" allowOverlap="1" wp14:anchorId="2A826DD9" wp14:editId="68BCE323">
                  <wp:simplePos x="0" y="0"/>
                  <wp:positionH relativeFrom="column">
                    <wp:posOffset>177800</wp:posOffset>
                  </wp:positionH>
                  <wp:positionV relativeFrom="paragraph">
                    <wp:posOffset>82550</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p>
        </w:tc>
        <w:tc>
          <w:tcPr>
            <w:tcW w:w="8618" w:type="dxa"/>
            <w:tcBorders>
              <w:left w:val="single" w:sz="4" w:space="0" w:color="FFFFFF" w:themeColor="background1"/>
            </w:tcBorders>
            <w:shd w:val="clear" w:color="auto" w:fill="FBE4D5" w:themeFill="accent2" w:themeFillTint="33"/>
          </w:tcPr>
          <w:p w14:paraId="69CBE402" w14:textId="77777777" w:rsidR="00C80E06" w:rsidRP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4DF6FEC3" w14:textId="0927675B" w:rsidR="00C80E06" w:rsidRP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C80E06">
              <w:rPr>
                <w:rFonts w:ascii="Roboto" w:hAnsi="Roboto"/>
                <w:b w:val="0"/>
                <w:bCs w:val="0"/>
                <w:color w:val="000000" w:themeColor="text1"/>
                <w:sz w:val="20"/>
                <w:szCs w:val="20"/>
              </w:rPr>
              <w:t>The OECD’s Budget Transparency Toolkit</w:t>
            </w:r>
            <w:r w:rsidR="004E41F0">
              <w:rPr>
                <w:rFonts w:ascii="Roboto" w:hAnsi="Roboto"/>
                <w:b w:val="0"/>
                <w:bCs w:val="0"/>
                <w:color w:val="000000" w:themeColor="text1"/>
                <w:sz w:val="20"/>
                <w:szCs w:val="20"/>
              </w:rPr>
              <w:t xml:space="preserve"> </w:t>
            </w:r>
            <w:r w:rsidRPr="00C80E06">
              <w:rPr>
                <w:rFonts w:ascii="Roboto" w:hAnsi="Roboto"/>
                <w:b w:val="0"/>
                <w:bCs w:val="0"/>
                <w:color w:val="000000" w:themeColor="text1"/>
                <w:sz w:val="20"/>
                <w:szCs w:val="20"/>
              </w:rPr>
              <w:t>(2017) states that these forecasts should be published close to, or ideally before, the start of the budget year.</w:t>
            </w:r>
          </w:p>
          <w:p w14:paraId="1798571C" w14:textId="77777777" w:rsidR="00C80E06" w:rsidRP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sz w:val="20"/>
                <w:szCs w:val="20"/>
              </w:rPr>
            </w:pPr>
          </w:p>
          <w:p w14:paraId="4A527F99" w14:textId="77777777" w:rsidR="00C80E06" w:rsidRPr="00C80E06" w:rsidRDefault="00C80E06" w:rsidP="00C80E06">
            <w:pPr>
              <w:tabs>
                <w:tab w:val="left" w:pos="5520"/>
              </w:tabs>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sz w:val="20"/>
                <w:szCs w:val="20"/>
              </w:rPr>
            </w:pPr>
            <w:r w:rsidRPr="00C80E06">
              <w:rPr>
                <w:rFonts w:ascii="Roboto" w:hAnsi="Roboto"/>
                <w:b w:val="0"/>
                <w:bCs w:val="0"/>
                <w:sz w:val="20"/>
                <w:szCs w:val="20"/>
              </w:rPr>
              <w:tab/>
            </w:r>
          </w:p>
        </w:tc>
      </w:tr>
      <w:tr w:rsidR="00C80E06" w14:paraId="5983F64B" w14:textId="77777777" w:rsidTr="00C80E0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38" w:type="dxa"/>
          </w:tcPr>
          <w:p w14:paraId="4B9652BD" w14:textId="77777777" w:rsidR="00C80E06" w:rsidRDefault="00C80E06" w:rsidP="00C80E06">
            <w:r>
              <w:rPr>
                <w:noProof/>
                <w:lang w:val="en-US"/>
              </w:rPr>
              <w:drawing>
                <wp:anchor distT="0" distB="0" distL="114300" distR="114300" simplePos="0" relativeHeight="255205374" behindDoc="1" locked="0" layoutInCell="1" allowOverlap="1" wp14:anchorId="3162B698" wp14:editId="3303A8E1">
                  <wp:simplePos x="0" y="0"/>
                  <wp:positionH relativeFrom="margin">
                    <wp:align>center</wp:align>
                  </wp:positionH>
                  <wp:positionV relativeFrom="paragraph">
                    <wp:posOffset>84455</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09470" behindDoc="0" locked="0" layoutInCell="1" allowOverlap="1" wp14:anchorId="2E729A67" wp14:editId="7D9A3303">
                      <wp:simplePos x="0" y="0"/>
                      <wp:positionH relativeFrom="column">
                        <wp:posOffset>-19050</wp:posOffset>
                      </wp:positionH>
                      <wp:positionV relativeFrom="paragraph">
                        <wp:posOffset>727710</wp:posOffset>
                      </wp:positionV>
                      <wp:extent cx="1065530" cy="304800"/>
                      <wp:effectExtent l="0" t="0" r="0" b="0"/>
                      <wp:wrapNone/>
                      <wp:docPr id="2716" name="Text Box 2716"/>
                      <wp:cNvGraphicFramePr/>
                      <a:graphic xmlns:a="http://schemas.openxmlformats.org/drawingml/2006/main">
                        <a:graphicData uri="http://schemas.microsoft.com/office/word/2010/wordprocessingShape">
                          <wps:wsp>
                            <wps:cNvSpPr txBox="1"/>
                            <wps:spPr>
                              <a:xfrm>
                                <a:off x="0" y="0"/>
                                <a:ext cx="1065530" cy="304800"/>
                              </a:xfrm>
                              <a:prstGeom prst="rect">
                                <a:avLst/>
                              </a:prstGeom>
                              <a:noFill/>
                              <a:ln w="6350">
                                <a:noFill/>
                              </a:ln>
                            </wps:spPr>
                            <wps:txbx>
                              <w:txbxContent>
                                <w:p w14:paraId="770BF0BC" w14:textId="77777777" w:rsidR="00D15FD8" w:rsidRPr="003625BA" w:rsidRDefault="00D15FD8" w:rsidP="00C80E06">
                                  <w:pPr>
                                    <w:jc w:val="center"/>
                                    <w:rPr>
                                      <w:rFonts w:ascii="Roboto" w:hAnsi="Roboto"/>
                                      <w:b/>
                                      <w:color w:val="FFFFFF" w:themeColor="background1"/>
                                      <w:sz w:val="20"/>
                                      <w:szCs w:val="20"/>
                                    </w:rPr>
                                  </w:pPr>
                                  <w:r>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29A67" id="Text Box 2716" o:spid="_x0000_s1367" type="#_x0000_t202" style="position:absolute;margin-left:-1.5pt;margin-top:57.3pt;width:83.9pt;height:24pt;z-index:255209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" filled="f" stroked="f" strokeweight=".5pt">
                      <v:textbox>
                        <w:txbxContent>
                          <w:p w14:paraId="770BF0BC" w14:textId="77777777" w:rsidR="00D15FD8" w:rsidRPr="003625BA" w:rsidRDefault="00D15FD8" w:rsidP="00C80E06">
                            <w:pPr>
                              <w:jc w:val="center"/>
                              <w:rPr>
                                <w:rFonts w:ascii="Roboto" w:hAnsi="Roboto"/>
                                <w:b/>
                                <w:color w:val="FFFFFF" w:themeColor="background1"/>
                                <w:sz w:val="20"/>
                                <w:szCs w:val="20"/>
                              </w:rPr>
                            </w:pPr>
                            <w:r>
                              <w:rPr>
                                <w:rFonts w:ascii="Roboto" w:hAnsi="Roboto"/>
                                <w:b/>
                                <w:color w:val="FFFFFF" w:themeColor="background1"/>
                                <w:sz w:val="20"/>
                                <w:szCs w:val="20"/>
                              </w:rPr>
                              <w:t>IMPORTANCE:</w:t>
                            </w:r>
                          </w:p>
                        </w:txbxContent>
                      </v:textbox>
                    </v:shape>
                  </w:pict>
                </mc:Fallback>
              </mc:AlternateContent>
            </w:r>
          </w:p>
        </w:tc>
        <w:tc>
          <w:tcPr>
            <w:tcW w:w="8618" w:type="dxa"/>
          </w:tcPr>
          <w:p w14:paraId="60F10C00" w14:textId="77777777" w:rsidR="00C80E06"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1A66590F"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Pre-execution budget profiles or cash-flow forecasts show how budget expenditures and revenues are projected to arise over the course of the year in broad terms, and provide a useful benchmark for in-year monitoring. These forecasts assist in identifying potential liquidity risks.</w:t>
            </w:r>
          </w:p>
          <w:p w14:paraId="63734DFE"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C80E06" w14:paraId="59E42E1C" w14:textId="77777777" w:rsidTr="00C80E06">
        <w:trPr>
          <w:trHeight w:val="2438"/>
        </w:trPr>
        <w:tc>
          <w:tcPr>
            <w:cnfStyle w:val="001000000000" w:firstRow="0" w:lastRow="0" w:firstColumn="1" w:lastColumn="0" w:oddVBand="0" w:evenVBand="0" w:oddHBand="0" w:evenHBand="0" w:firstRowFirstColumn="0" w:firstRowLastColumn="0" w:lastRowFirstColumn="0" w:lastRowLastColumn="0"/>
            <w:tcW w:w="1838" w:type="dxa"/>
          </w:tcPr>
          <w:p w14:paraId="368C801A" w14:textId="2060142B" w:rsidR="00C80E06" w:rsidRDefault="00057172" w:rsidP="00C80E06">
            <w:pPr>
              <w:rPr>
                <w:b w:val="0"/>
                <w:bCs w:val="0"/>
              </w:rPr>
            </w:pPr>
            <w:r>
              <w:rPr>
                <w:noProof/>
                <w:lang w:val="en-US"/>
              </w:rPr>
              <w:drawing>
                <wp:anchor distT="0" distB="0" distL="114300" distR="114300" simplePos="0" relativeHeight="255206398" behindDoc="1" locked="0" layoutInCell="1" allowOverlap="1" wp14:anchorId="1FA3F2E0" wp14:editId="64409F7B">
                  <wp:simplePos x="0" y="0"/>
                  <wp:positionH relativeFrom="margin">
                    <wp:posOffset>184785</wp:posOffset>
                  </wp:positionH>
                  <wp:positionV relativeFrom="paragraph">
                    <wp:posOffset>154305</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6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07422" behindDoc="0" locked="0" layoutInCell="1" allowOverlap="1" wp14:anchorId="4D177D96" wp14:editId="66CE7052">
                      <wp:simplePos x="0" y="0"/>
                      <wp:positionH relativeFrom="margin">
                        <wp:posOffset>-11430</wp:posOffset>
                      </wp:positionH>
                      <wp:positionV relativeFrom="paragraph">
                        <wp:posOffset>811530</wp:posOffset>
                      </wp:positionV>
                      <wp:extent cx="1052195" cy="311150"/>
                      <wp:effectExtent l="0" t="0" r="0" b="0"/>
                      <wp:wrapNone/>
                      <wp:docPr id="1902" name="Text Box 1902"/>
                      <wp:cNvGraphicFramePr/>
                      <a:graphic xmlns:a="http://schemas.openxmlformats.org/drawingml/2006/main">
                        <a:graphicData uri="http://schemas.microsoft.com/office/word/2010/wordprocessingShape">
                          <wps:wsp>
                            <wps:cNvSpPr txBox="1"/>
                            <wps:spPr>
                              <a:xfrm>
                                <a:off x="0" y="0"/>
                                <a:ext cx="1052195" cy="311150"/>
                              </a:xfrm>
                              <a:prstGeom prst="rect">
                                <a:avLst/>
                              </a:prstGeom>
                              <a:noFill/>
                              <a:ln w="6350">
                                <a:noFill/>
                              </a:ln>
                            </wps:spPr>
                            <wps:txbx>
                              <w:txbxContent>
                                <w:p w14:paraId="201F4700"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77D96" id="Text Box 1902" o:spid="_x0000_s1368" type="#_x0000_t202" style="position:absolute;margin-left:-.9pt;margin-top:63.9pt;width:82.85pt;height:24.5pt;z-index:255207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" filled="f" stroked="f" strokeweight=".5pt">
                      <v:textbox>
                        <w:txbxContent>
                          <w:p w14:paraId="201F4700"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v:textbox>
                      <w10:wrap anchorx="margin"/>
                    </v:shape>
                  </w:pict>
                </mc:Fallback>
              </mc:AlternateContent>
            </w:r>
          </w:p>
          <w:p w14:paraId="471B2BA7" w14:textId="5239D7DF" w:rsidR="00C80E06" w:rsidRDefault="00C80E06" w:rsidP="00C80E06">
            <w:pPr>
              <w:rPr>
                <w:b w:val="0"/>
                <w:bCs w:val="0"/>
              </w:rPr>
            </w:pPr>
          </w:p>
          <w:p w14:paraId="78668712" w14:textId="7DA8E915" w:rsidR="00C80E06" w:rsidRDefault="00C80E06" w:rsidP="00C80E06">
            <w:pPr>
              <w:rPr>
                <w:b w:val="0"/>
                <w:bCs w:val="0"/>
              </w:rPr>
            </w:pPr>
          </w:p>
          <w:p w14:paraId="1058C2D7" w14:textId="77777777" w:rsidR="00C80E06" w:rsidRDefault="00C80E06" w:rsidP="00C80E06"/>
        </w:tc>
        <w:tc>
          <w:tcPr>
            <w:tcW w:w="8618" w:type="dxa"/>
          </w:tcPr>
          <w:p w14:paraId="38376AFA" w14:textId="77777777" w:rsidR="00C80E06" w:rsidRDefault="00C80E06" w:rsidP="00C80E06">
            <w:pPr>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410FCD7D" w14:textId="793F4979" w:rsidR="00C80E06" w:rsidRPr="003625BA" w:rsidRDefault="00C80E06" w:rsidP="00C80E06">
            <w:pPr>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Preparing useful budget profiles or cash-flow forecasts requires careful attention to seasonal factors, expected one-off events and other factors that can lead to large fluctuations in revenues and expenditures. Broad budget profiles or forecasts should be presented for the course of the fiscal year in comparable, similar formats to the budget, for example showing monthly revenue projections by tax category</w:t>
            </w:r>
            <w:r w:rsidR="00D15D83">
              <w:rPr>
                <w:rFonts w:ascii="Roboto" w:hAnsi="Roboto"/>
                <w:sz w:val="20"/>
                <w:szCs w:val="20"/>
              </w:rPr>
              <w:t>,</w:t>
            </w:r>
            <w:r w:rsidRPr="003625BA">
              <w:rPr>
                <w:rFonts w:ascii="Roboto" w:hAnsi="Roboto"/>
                <w:sz w:val="20"/>
                <w:szCs w:val="20"/>
              </w:rPr>
              <w:t xml:space="preserve"> and spending projections by department by main economic classification, thereby allowing for early identification of budgetary overruns/underspends and other risks. It is also useful to provide explanations for the large fluctuations expected.</w:t>
            </w:r>
          </w:p>
          <w:p w14:paraId="164B17FE" w14:textId="77777777" w:rsidR="00C80E06" w:rsidRPr="003625BA" w:rsidRDefault="00C80E06" w:rsidP="00C80E06">
            <w:pPr>
              <w:tabs>
                <w:tab w:val="left" w:pos="2220"/>
              </w:tabs>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5AB16C64" w14:textId="77777777" w:rsidTr="00C80E06">
        <w:trPr>
          <w:cnfStyle w:val="000000100000" w:firstRow="0" w:lastRow="0" w:firstColumn="0" w:lastColumn="0" w:oddVBand="0" w:evenVBand="0" w:oddHBand="1" w:evenHBand="0" w:firstRowFirstColumn="0" w:firstRowLastColumn="0" w:lastRowFirstColumn="0" w:lastRowLastColumn="0"/>
          <w:trHeight w:val="1183"/>
        </w:trPr>
        <w:tc>
          <w:tcPr>
            <w:cnfStyle w:val="001000000000" w:firstRow="0" w:lastRow="0" w:firstColumn="1" w:lastColumn="0" w:oddVBand="0" w:evenVBand="0" w:oddHBand="0" w:evenHBand="0" w:firstRowFirstColumn="0" w:firstRowLastColumn="0" w:lastRowFirstColumn="0" w:lastRowLastColumn="0"/>
            <w:tcW w:w="1838" w:type="dxa"/>
          </w:tcPr>
          <w:p w14:paraId="21C9C2EA" w14:textId="77777777" w:rsidR="00C80E06" w:rsidRDefault="00C80E06" w:rsidP="00C80E06">
            <w:pPr>
              <w:rPr>
                <w:b w:val="0"/>
                <w:bCs w:val="0"/>
                <w:noProof/>
              </w:rPr>
            </w:pPr>
            <w:r>
              <w:rPr>
                <w:noProof/>
                <w:lang w:val="en-US"/>
              </w:rPr>
              <mc:AlternateContent>
                <mc:Choice Requires="wps">
                  <w:drawing>
                    <wp:anchor distT="0" distB="0" distL="114300" distR="114300" simplePos="0" relativeHeight="255210494" behindDoc="0" locked="0" layoutInCell="1" allowOverlap="1" wp14:anchorId="559A4923" wp14:editId="1AF4B47C">
                      <wp:simplePos x="0" y="0"/>
                      <wp:positionH relativeFrom="margin">
                        <wp:align>center</wp:align>
                      </wp:positionH>
                      <wp:positionV relativeFrom="paragraph">
                        <wp:posOffset>709295</wp:posOffset>
                      </wp:positionV>
                      <wp:extent cx="1052195" cy="311150"/>
                      <wp:effectExtent l="0" t="0" r="0" b="0"/>
                      <wp:wrapNone/>
                      <wp:docPr id="2717" name="Text Box 2717"/>
                      <wp:cNvGraphicFramePr/>
                      <a:graphic xmlns:a="http://schemas.openxmlformats.org/drawingml/2006/main">
                        <a:graphicData uri="http://schemas.microsoft.com/office/word/2010/wordprocessingShape">
                          <wps:wsp>
                            <wps:cNvSpPr txBox="1"/>
                            <wps:spPr>
                              <a:xfrm>
                                <a:off x="0" y="0"/>
                                <a:ext cx="1052195" cy="311150"/>
                              </a:xfrm>
                              <a:prstGeom prst="rect">
                                <a:avLst/>
                              </a:prstGeom>
                              <a:noFill/>
                              <a:ln w="6350">
                                <a:noFill/>
                              </a:ln>
                            </wps:spPr>
                            <wps:txbx>
                              <w:txbxContent>
                                <w:p w14:paraId="6AF37CD3" w14:textId="77777777" w:rsidR="00D15FD8" w:rsidRPr="003625BA" w:rsidRDefault="00D15FD8" w:rsidP="00C80E06">
                                  <w:pPr>
                                    <w:jc w:val="center"/>
                                    <w:rPr>
                                      <w:rFonts w:ascii="Roboto" w:hAnsi="Roboto"/>
                                      <w:b/>
                                      <w:color w:val="FFFFFF" w:themeColor="background1"/>
                                      <w:sz w:val="20"/>
                                      <w:szCs w:val="20"/>
                                    </w:rPr>
                                  </w:pPr>
                                  <w:r>
                                    <w:rPr>
                                      <w:rFonts w:ascii="Roboto" w:hAnsi="Roboto"/>
                                      <w:b/>
                                      <w:color w:val="FFFFFF" w:themeColor="background1"/>
                                      <w:sz w:val="20"/>
                                      <w:szCs w:val="20"/>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A4923" id="Text Box 2717" o:spid="_x0000_s1369" type="#_x0000_t202" style="position:absolute;margin-left:0;margin-top:55.85pt;width:82.85pt;height:24.5pt;z-index:25521049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" filled="f" stroked="f" strokeweight=".5pt">
                      <v:textbox>
                        <w:txbxContent>
                          <w:p w14:paraId="6AF37CD3" w14:textId="77777777" w:rsidR="00D15FD8" w:rsidRPr="003625BA" w:rsidRDefault="00D15FD8" w:rsidP="00C80E06">
                            <w:pPr>
                              <w:jc w:val="center"/>
                              <w:rPr>
                                <w:rFonts w:ascii="Roboto" w:hAnsi="Roboto"/>
                                <w:b/>
                                <w:color w:val="FFFFFF" w:themeColor="background1"/>
                                <w:sz w:val="20"/>
                                <w:szCs w:val="20"/>
                              </w:rPr>
                            </w:pPr>
                            <w:r>
                              <w:rPr>
                                <w:rFonts w:ascii="Roboto" w:hAnsi="Roboto"/>
                                <w:b/>
                                <w:color w:val="FFFFFF" w:themeColor="background1"/>
                                <w:sz w:val="20"/>
                                <w:szCs w:val="20"/>
                              </w:rPr>
                              <w:t>EXAMPLE:</w:t>
                            </w:r>
                          </w:p>
                        </w:txbxContent>
                      </v:textbox>
                      <w10:wrap anchorx="margin"/>
                    </v:shape>
                  </w:pict>
                </mc:Fallback>
              </mc:AlternateContent>
            </w:r>
            <w:r>
              <w:rPr>
                <w:noProof/>
                <w:lang w:val="en-US"/>
              </w:rPr>
              <w:drawing>
                <wp:anchor distT="0" distB="0" distL="114300" distR="114300" simplePos="0" relativeHeight="255208446" behindDoc="1" locked="0" layoutInCell="1" allowOverlap="1" wp14:anchorId="38BCBAAF" wp14:editId="3B52A9E9">
                  <wp:simplePos x="0" y="0"/>
                  <wp:positionH relativeFrom="margin">
                    <wp:align>center</wp:align>
                  </wp:positionH>
                  <wp:positionV relativeFrom="paragraph">
                    <wp:posOffset>56515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6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618" w:type="dxa"/>
          </w:tcPr>
          <w:p w14:paraId="54473D35"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p>
          <w:p w14:paraId="52BD2017" w14:textId="5EA89523" w:rsidR="00C80E06" w:rsidRPr="003625BA" w:rsidRDefault="00542A15"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542A15">
              <w:rPr>
                <w:rFonts w:ascii="Roboto" w:hAnsi="Roboto"/>
                <w:sz w:val="20"/>
                <w:szCs w:val="20"/>
              </w:rPr>
              <w:t xml:space="preserve">The Department of Finance of Ireland publishes estimates of revenue and expenditure of all subsectors of general government on this </w:t>
            </w:r>
            <w:r>
              <w:rPr>
                <w:rFonts w:ascii="Roboto" w:hAnsi="Roboto"/>
                <w:sz w:val="20"/>
                <w:szCs w:val="20"/>
              </w:rPr>
              <w:fldChar w:fldCharType="begin"/>
            </w:r>
            <w:r>
              <w:rPr>
                <w:rFonts w:ascii="Roboto" w:hAnsi="Roboto"/>
                <w:sz w:val="20"/>
                <w:szCs w:val="20"/>
              </w:rPr>
              <w:instrText xml:space="preserve"> HYPERLINK "https://www.gov.ie/en/organisation/department-of-finance/" </w:instrText>
            </w:r>
            <w:r>
              <w:rPr>
                <w:rFonts w:ascii="Roboto" w:hAnsi="Roboto"/>
                <w:sz w:val="20"/>
                <w:szCs w:val="20"/>
              </w:rPr>
            </w:r>
            <w:r>
              <w:rPr>
                <w:rFonts w:ascii="Roboto" w:hAnsi="Roboto"/>
                <w:sz w:val="20"/>
                <w:szCs w:val="20"/>
              </w:rPr>
              <w:fldChar w:fldCharType="separate"/>
            </w:r>
            <w:r w:rsidRPr="00542A15">
              <w:rPr>
                <w:rStyle w:val="Hyperlink"/>
                <w:rFonts w:ascii="Roboto" w:hAnsi="Roboto"/>
                <w:sz w:val="20"/>
                <w:szCs w:val="20"/>
              </w:rPr>
              <w:t>link</w:t>
            </w:r>
            <w:r>
              <w:rPr>
                <w:rFonts w:ascii="Roboto" w:hAnsi="Roboto"/>
                <w:sz w:val="20"/>
                <w:szCs w:val="20"/>
              </w:rPr>
              <w:fldChar w:fldCharType="end"/>
            </w:r>
            <w:r>
              <w:rPr>
                <w:rFonts w:ascii="Roboto" w:hAnsi="Roboto"/>
                <w:sz w:val="20"/>
                <w:szCs w:val="20"/>
              </w:rPr>
              <w:t>.</w:t>
            </w:r>
          </w:p>
          <w:p w14:paraId="3C850093" w14:textId="2682B226" w:rsidR="00C80E06"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7EF9107A" w14:textId="77777777" w:rsidR="0096076C" w:rsidRDefault="0096076C"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5573E8A9"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2DB5A75F" w14:textId="58EB459F" w:rsidR="002C79BF" w:rsidRDefault="002C79BF" w:rsidP="00F708D7">
      <w:pPr>
        <w:tabs>
          <w:tab w:val="left" w:pos="1100"/>
        </w:tabs>
        <w:rPr>
          <w:rFonts w:ascii="Arial" w:hAnsi="Arial" w:cs="Arial"/>
          <w:sz w:val="24"/>
          <w:szCs w:val="24"/>
        </w:rPr>
      </w:pPr>
    </w:p>
    <w:p w14:paraId="4BDB1845" w14:textId="77777777" w:rsidR="00EF6A13" w:rsidRPr="003625BA" w:rsidRDefault="00EF6A13" w:rsidP="003625BA"/>
    <w:p w14:paraId="25B1AAC0" w14:textId="7C5D2FC6" w:rsidR="002C68ED" w:rsidRDefault="002C68ED" w:rsidP="00F708D7">
      <w:pPr>
        <w:tabs>
          <w:tab w:val="left" w:pos="1100"/>
        </w:tabs>
        <w:rPr>
          <w:rFonts w:ascii="Arial" w:hAnsi="Arial" w:cs="Arial"/>
          <w:sz w:val="24"/>
          <w:szCs w:val="24"/>
        </w:rPr>
      </w:pPr>
    </w:p>
    <w:p w14:paraId="1A7FD457" w14:textId="3501D936" w:rsidR="00E44020" w:rsidRDefault="00E44020" w:rsidP="00283702">
      <w:pPr>
        <w:tabs>
          <w:tab w:val="left" w:pos="1280"/>
        </w:tabs>
        <w:rPr>
          <w:rFonts w:ascii="Arial" w:hAnsi="Arial" w:cs="Arial"/>
          <w:sz w:val="24"/>
          <w:szCs w:val="24"/>
        </w:rPr>
      </w:pPr>
    </w:p>
    <w:p w14:paraId="22F6AAA9" w14:textId="77777777" w:rsidR="00E44020" w:rsidRDefault="00E44020" w:rsidP="003625BA">
      <w:pPr>
        <w:tabs>
          <w:tab w:val="left" w:pos="1280"/>
        </w:tabs>
        <w:rPr>
          <w:rFonts w:ascii="Arial" w:hAnsi="Arial" w:cs="Arial"/>
          <w:sz w:val="24"/>
          <w:szCs w:val="24"/>
        </w:rPr>
      </w:pPr>
    </w:p>
    <w:p w14:paraId="29FAA10B" w14:textId="77777777" w:rsidR="00283702" w:rsidRDefault="00283702" w:rsidP="00283702">
      <w:pPr>
        <w:tabs>
          <w:tab w:val="left" w:pos="1280"/>
        </w:tabs>
        <w:rPr>
          <w:rFonts w:ascii="Arial" w:hAnsi="Arial" w:cs="Arial"/>
          <w:sz w:val="24"/>
          <w:szCs w:val="24"/>
        </w:rPr>
      </w:pPr>
      <w:r>
        <w:rPr>
          <w:rFonts w:ascii="Arial" w:hAnsi="Arial" w:cs="Arial"/>
          <w:sz w:val="24"/>
          <w:szCs w:val="24"/>
        </w:rPr>
        <w:tab/>
      </w:r>
    </w:p>
    <w:p w14:paraId="32FC1A68" w14:textId="05D96685" w:rsidR="00A4052D" w:rsidRDefault="00A4052D" w:rsidP="00283702">
      <w:pPr>
        <w:tabs>
          <w:tab w:val="left" w:pos="1280"/>
        </w:tabs>
        <w:rPr>
          <w:rFonts w:ascii="Arial" w:hAnsi="Arial" w:cs="Arial"/>
          <w:sz w:val="24"/>
          <w:szCs w:val="24"/>
        </w:rPr>
      </w:pPr>
    </w:p>
    <w:p w14:paraId="003EB7E3" w14:textId="01214274" w:rsidR="00EF6A13" w:rsidRDefault="00EF6A13" w:rsidP="00283702">
      <w:pPr>
        <w:tabs>
          <w:tab w:val="left" w:pos="1280"/>
        </w:tabs>
        <w:rPr>
          <w:rFonts w:ascii="Arial" w:hAnsi="Arial" w:cs="Arial"/>
          <w:sz w:val="24"/>
          <w:szCs w:val="24"/>
        </w:rPr>
      </w:pPr>
    </w:p>
    <w:p w14:paraId="73FF1E73" w14:textId="1D4026D7" w:rsidR="00EF6A13" w:rsidRDefault="00EF6A13" w:rsidP="00283702">
      <w:pPr>
        <w:tabs>
          <w:tab w:val="left" w:pos="1280"/>
        </w:tabs>
        <w:rPr>
          <w:rFonts w:ascii="Arial" w:hAnsi="Arial" w:cs="Arial"/>
          <w:sz w:val="24"/>
          <w:szCs w:val="24"/>
        </w:rPr>
      </w:pPr>
    </w:p>
    <w:p w14:paraId="411EC51F" w14:textId="547D06E2" w:rsidR="00EF6A13" w:rsidRDefault="00EF6A13" w:rsidP="00283702">
      <w:pPr>
        <w:tabs>
          <w:tab w:val="left" w:pos="1280"/>
        </w:tabs>
        <w:rPr>
          <w:rFonts w:ascii="Arial" w:hAnsi="Arial" w:cs="Arial"/>
          <w:sz w:val="24"/>
          <w:szCs w:val="24"/>
        </w:rPr>
      </w:pPr>
    </w:p>
    <w:p w14:paraId="5B7DF706" w14:textId="03689FBC" w:rsidR="00EF6A13" w:rsidRDefault="00EF6A13" w:rsidP="00283702">
      <w:pPr>
        <w:tabs>
          <w:tab w:val="left" w:pos="1280"/>
        </w:tabs>
        <w:rPr>
          <w:rFonts w:ascii="Arial" w:hAnsi="Arial" w:cs="Arial"/>
          <w:sz w:val="24"/>
          <w:szCs w:val="24"/>
        </w:rPr>
      </w:pPr>
    </w:p>
    <w:p w14:paraId="5FC4AD30" w14:textId="1734E5A1" w:rsidR="00EF6A13" w:rsidRDefault="00EF6A13" w:rsidP="00283702">
      <w:pPr>
        <w:tabs>
          <w:tab w:val="left" w:pos="1280"/>
        </w:tabs>
        <w:rPr>
          <w:rFonts w:ascii="Arial" w:hAnsi="Arial" w:cs="Arial"/>
          <w:sz w:val="24"/>
          <w:szCs w:val="24"/>
        </w:rPr>
      </w:pPr>
    </w:p>
    <w:p w14:paraId="635A0723" w14:textId="3919F205" w:rsidR="00EF6A13" w:rsidRDefault="00EF6A13" w:rsidP="00283702">
      <w:pPr>
        <w:tabs>
          <w:tab w:val="left" w:pos="1280"/>
        </w:tabs>
        <w:rPr>
          <w:rFonts w:ascii="Arial" w:hAnsi="Arial" w:cs="Arial"/>
          <w:sz w:val="24"/>
          <w:szCs w:val="24"/>
        </w:rPr>
      </w:pPr>
    </w:p>
    <w:p w14:paraId="33668468" w14:textId="7EF25468" w:rsidR="00EF6A13" w:rsidRDefault="00EF6A13" w:rsidP="00283702">
      <w:pPr>
        <w:tabs>
          <w:tab w:val="left" w:pos="1280"/>
        </w:tabs>
        <w:rPr>
          <w:rFonts w:ascii="Arial" w:hAnsi="Arial" w:cs="Arial"/>
          <w:sz w:val="24"/>
          <w:szCs w:val="24"/>
        </w:rPr>
      </w:pPr>
    </w:p>
    <w:p w14:paraId="319D16B0" w14:textId="727C2FFB" w:rsidR="00EF6A13" w:rsidRDefault="00EF6A13" w:rsidP="00283702">
      <w:pPr>
        <w:tabs>
          <w:tab w:val="left" w:pos="1280"/>
        </w:tabs>
        <w:rPr>
          <w:rFonts w:ascii="Arial" w:hAnsi="Arial" w:cs="Arial"/>
          <w:sz w:val="24"/>
          <w:szCs w:val="24"/>
        </w:rPr>
      </w:pPr>
    </w:p>
    <w:p w14:paraId="2149AC6B" w14:textId="22683EA5" w:rsidR="00EF6A13" w:rsidRDefault="00EF6A13" w:rsidP="00283702">
      <w:pPr>
        <w:tabs>
          <w:tab w:val="left" w:pos="1280"/>
        </w:tabs>
        <w:rPr>
          <w:rFonts w:ascii="Arial" w:hAnsi="Arial" w:cs="Arial"/>
          <w:sz w:val="24"/>
          <w:szCs w:val="24"/>
        </w:rPr>
      </w:pPr>
    </w:p>
    <w:p w14:paraId="1437F525" w14:textId="41C43E92" w:rsidR="00EF6A13" w:rsidRDefault="00EF6A13" w:rsidP="00283702">
      <w:pPr>
        <w:tabs>
          <w:tab w:val="left" w:pos="1280"/>
        </w:tabs>
        <w:rPr>
          <w:rFonts w:ascii="Arial" w:hAnsi="Arial" w:cs="Arial"/>
          <w:sz w:val="24"/>
          <w:szCs w:val="24"/>
        </w:rPr>
      </w:pPr>
    </w:p>
    <w:p w14:paraId="20A12E5F" w14:textId="627CC95A" w:rsidR="00EF6A13" w:rsidRDefault="00EF6A13" w:rsidP="00283702">
      <w:pPr>
        <w:tabs>
          <w:tab w:val="left" w:pos="1280"/>
        </w:tabs>
        <w:rPr>
          <w:rFonts w:ascii="Arial" w:hAnsi="Arial" w:cs="Arial"/>
          <w:sz w:val="24"/>
          <w:szCs w:val="24"/>
        </w:rPr>
      </w:pPr>
    </w:p>
    <w:p w14:paraId="68456F8A" w14:textId="1E182808" w:rsidR="00EF6A13" w:rsidRDefault="00EF6A13" w:rsidP="00283702">
      <w:pPr>
        <w:tabs>
          <w:tab w:val="left" w:pos="1280"/>
        </w:tabs>
        <w:rPr>
          <w:rFonts w:ascii="Arial" w:hAnsi="Arial" w:cs="Arial"/>
          <w:sz w:val="24"/>
          <w:szCs w:val="24"/>
        </w:rPr>
      </w:pPr>
    </w:p>
    <w:p w14:paraId="1FC48CF4" w14:textId="52604282" w:rsidR="005B3000" w:rsidRDefault="005B3000" w:rsidP="00283702">
      <w:pPr>
        <w:tabs>
          <w:tab w:val="left" w:pos="1280"/>
        </w:tabs>
        <w:rPr>
          <w:rFonts w:ascii="Arial" w:hAnsi="Arial" w:cs="Arial"/>
          <w:sz w:val="24"/>
          <w:szCs w:val="24"/>
        </w:rPr>
      </w:pPr>
    </w:p>
    <w:p w14:paraId="51E45535" w14:textId="17191213" w:rsidR="005B3000" w:rsidRDefault="005B3000" w:rsidP="00283702">
      <w:pPr>
        <w:tabs>
          <w:tab w:val="left" w:pos="1280"/>
        </w:tabs>
        <w:rPr>
          <w:rFonts w:ascii="Arial" w:hAnsi="Arial" w:cs="Arial"/>
          <w:sz w:val="24"/>
          <w:szCs w:val="24"/>
        </w:rPr>
      </w:pPr>
    </w:p>
    <w:p w14:paraId="526FCCA3" w14:textId="77777777" w:rsidR="00EF6A13" w:rsidRDefault="00EF6A13" w:rsidP="00283702">
      <w:pPr>
        <w:tabs>
          <w:tab w:val="left" w:pos="1280"/>
        </w:tabs>
        <w:rPr>
          <w:rFonts w:ascii="Arial" w:hAnsi="Arial" w:cs="Arial"/>
          <w:sz w:val="24"/>
          <w:szCs w:val="24"/>
        </w:rPr>
      </w:pPr>
    </w:p>
    <w:p w14:paraId="2F76EB70" w14:textId="74987AD5" w:rsidR="00594AB5" w:rsidRPr="003625BA" w:rsidRDefault="0065711A" w:rsidP="003625BA">
      <w:pPr>
        <w:pStyle w:val="Heading3"/>
        <w:jc w:val="center"/>
        <w:rPr>
          <w:rFonts w:ascii="Arial" w:hAnsi="Arial" w:cs="Arial"/>
          <w:b/>
          <w:bCs/>
          <w:color w:val="ED5625"/>
          <w:sz w:val="20"/>
          <w:szCs w:val="20"/>
        </w:rPr>
      </w:pPr>
      <w:bookmarkStart w:id="1522" w:name="_Table_3.9._In-year"/>
      <w:bookmarkStart w:id="1523" w:name="_Toc123217440"/>
      <w:bookmarkStart w:id="1524" w:name="_Toc123914058"/>
      <w:bookmarkStart w:id="1525" w:name="_Toc125566672"/>
      <w:bookmarkEnd w:id="1522"/>
      <w:r w:rsidRPr="003625BA">
        <w:rPr>
          <w:rFonts w:ascii="Arial" w:hAnsi="Arial" w:cs="Arial"/>
          <w:b/>
          <w:bCs/>
          <w:color w:val="ED5625"/>
          <w:sz w:val="20"/>
          <w:szCs w:val="20"/>
        </w:rPr>
        <w:lastRenderedPageBreak/>
        <w:t>Table 3.9</w:t>
      </w:r>
      <w:r w:rsidR="008616A4">
        <w:rPr>
          <w:rFonts w:ascii="Arial" w:hAnsi="Arial" w:cs="Arial"/>
          <w:b/>
          <w:bCs/>
          <w:color w:val="ED5625"/>
          <w:sz w:val="20"/>
          <w:szCs w:val="20"/>
        </w:rPr>
        <w:t>.</w:t>
      </w:r>
      <w:r w:rsidR="003A7D11" w:rsidRPr="003625BA">
        <w:rPr>
          <w:rFonts w:ascii="Arial" w:hAnsi="Arial" w:cs="Arial"/>
          <w:b/>
          <w:bCs/>
          <w:color w:val="ED5625"/>
          <w:sz w:val="20"/>
          <w:szCs w:val="20"/>
        </w:rPr>
        <w:t xml:space="preserve"> </w:t>
      </w:r>
      <w:r w:rsidR="00AD5BE2">
        <w:rPr>
          <w:rFonts w:ascii="Arial" w:hAnsi="Arial" w:cs="Arial"/>
          <w:b/>
          <w:bCs/>
          <w:color w:val="ED5625"/>
          <w:sz w:val="20"/>
          <w:szCs w:val="20"/>
        </w:rPr>
        <w:t>In-year budget execution reports</w:t>
      </w:r>
      <w:bookmarkEnd w:id="1523"/>
      <w:bookmarkEnd w:id="1524"/>
      <w:bookmarkEnd w:id="1525"/>
    </w:p>
    <w:tbl>
      <w:tblPr>
        <w:tblStyle w:val="GridTable5Dark-Accent2"/>
        <w:tblpPr w:leftFromText="180" w:rightFromText="180" w:vertAnchor="page" w:horzAnchor="margin" w:tblpY="1761"/>
        <w:tblW w:w="0" w:type="auto"/>
        <w:tblLook w:val="04A0" w:firstRow="1" w:lastRow="0" w:firstColumn="1" w:lastColumn="0" w:noHBand="0" w:noVBand="1"/>
      </w:tblPr>
      <w:tblGrid>
        <w:gridCol w:w="1838"/>
        <w:gridCol w:w="8618"/>
      </w:tblGrid>
      <w:tr w:rsidR="00C80E06" w14:paraId="6CADC34C" w14:textId="77777777" w:rsidTr="00C80E06">
        <w:trPr>
          <w:cnfStyle w:val="100000000000" w:firstRow="1" w:lastRow="0" w:firstColumn="0" w:lastColumn="0" w:oddVBand="0" w:evenVBand="0" w:oddHBand="0" w:evenHBand="0" w:firstRowFirstColumn="0" w:firstRowLastColumn="0" w:lastRowFirstColumn="0" w:lastRowLastColumn="0"/>
          <w:trHeight w:val="1527"/>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tcPr>
          <w:p w14:paraId="32D4F1CF" w14:textId="3B7E29A0" w:rsidR="00C80E06" w:rsidRDefault="00057172" w:rsidP="00C80E06">
            <w:r>
              <w:rPr>
                <w:noProof/>
                <w:lang w:val="en-US"/>
              </w:rPr>
              <w:drawing>
                <wp:anchor distT="0" distB="0" distL="114300" distR="114300" simplePos="0" relativeHeight="255213566" behindDoc="1" locked="0" layoutInCell="1" allowOverlap="1" wp14:anchorId="65F8665E" wp14:editId="1F63CE27">
                  <wp:simplePos x="0" y="0"/>
                  <wp:positionH relativeFrom="margin">
                    <wp:posOffset>185420</wp:posOffset>
                  </wp:positionH>
                  <wp:positionV relativeFrom="paragraph">
                    <wp:posOffset>132080</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14590" behindDoc="0" locked="0" layoutInCell="1" allowOverlap="1" wp14:anchorId="00DCE3CF" wp14:editId="03299357">
                      <wp:simplePos x="0" y="0"/>
                      <wp:positionH relativeFrom="margin">
                        <wp:posOffset>38735</wp:posOffset>
                      </wp:positionH>
                      <wp:positionV relativeFrom="paragraph">
                        <wp:posOffset>770890</wp:posOffset>
                      </wp:positionV>
                      <wp:extent cx="952500" cy="279400"/>
                      <wp:effectExtent l="0" t="0" r="0" b="0"/>
                      <wp:wrapNone/>
                      <wp:docPr id="2107" name="Text Box 2107"/>
                      <wp:cNvGraphicFramePr/>
                      <a:graphic xmlns:a="http://schemas.openxmlformats.org/drawingml/2006/main">
                        <a:graphicData uri="http://schemas.microsoft.com/office/word/2010/wordprocessingShape">
                          <wps:wsp>
                            <wps:cNvSpPr txBox="1"/>
                            <wps:spPr>
                              <a:xfrm>
                                <a:off x="0" y="0"/>
                                <a:ext cx="952500" cy="279400"/>
                              </a:xfrm>
                              <a:prstGeom prst="rect">
                                <a:avLst/>
                              </a:prstGeom>
                              <a:noFill/>
                              <a:ln w="6350">
                                <a:noFill/>
                              </a:ln>
                            </wps:spPr>
                            <wps:txbx>
                              <w:txbxContent>
                                <w:p w14:paraId="105ADBAE"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CE3CF" id="Text Box 2107" o:spid="_x0000_s1370" type="#_x0000_t202" style="position:absolute;margin-left:3.05pt;margin-top:60.7pt;width:75pt;height:22pt;z-index:2552145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" filled="f" stroked="f" strokeweight=".5pt">
                      <v:textbox>
                        <w:txbxContent>
                          <w:p w14:paraId="105ADBAE"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v:textbox>
                      <w10:wrap anchorx="margin"/>
                    </v:shape>
                  </w:pict>
                </mc:Fallback>
              </mc:AlternateContent>
            </w:r>
          </w:p>
        </w:tc>
        <w:tc>
          <w:tcPr>
            <w:tcW w:w="8618" w:type="dxa"/>
            <w:tcBorders>
              <w:left w:val="single" w:sz="4" w:space="0" w:color="FFFFFF" w:themeColor="background1"/>
            </w:tcBorders>
            <w:shd w:val="clear" w:color="auto" w:fill="FBE4D5" w:themeFill="accent2" w:themeFillTint="33"/>
          </w:tcPr>
          <w:p w14:paraId="2E4D5E8D" w14:textId="77777777" w:rsid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p w14:paraId="69312495" w14:textId="77777777" w:rsidR="00C80E06" w:rsidRP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C80E06">
              <w:rPr>
                <w:rFonts w:ascii="Roboto" w:hAnsi="Roboto"/>
                <w:b w:val="0"/>
                <w:bCs w:val="0"/>
                <w:color w:val="000000" w:themeColor="text1"/>
                <w:sz w:val="20"/>
                <w:szCs w:val="20"/>
              </w:rPr>
              <w:t xml:space="preserve">The OECD’s </w:t>
            </w:r>
            <w:hyperlink r:id="rId670" w:history="1">
              <w:r w:rsidRPr="00D46E35">
                <w:rPr>
                  <w:rStyle w:val="Hyperlink"/>
                  <w:rFonts w:ascii="Roboto" w:hAnsi="Roboto"/>
                  <w:b w:val="0"/>
                  <w:bCs w:val="0"/>
                  <w:sz w:val="20"/>
                  <w:szCs w:val="20"/>
                </w:rPr>
                <w:t>Best Practices for Budget Transparency</w:t>
              </w:r>
            </w:hyperlink>
            <w:r w:rsidRPr="00C80E06">
              <w:rPr>
                <w:rFonts w:ascii="Roboto" w:hAnsi="Roboto"/>
                <w:b w:val="0"/>
                <w:bCs w:val="0"/>
                <w:iCs/>
                <w:color w:val="000000" w:themeColor="text1"/>
                <w:sz w:val="20"/>
                <w:szCs w:val="20"/>
                <w:lang w:val="en-ZA"/>
              </w:rPr>
              <w:t xml:space="preserve"> (2002) states that monthly reports should be published within </w:t>
            </w:r>
            <w:r w:rsidRPr="00C80E06">
              <w:rPr>
                <w:rFonts w:ascii="Roboto" w:hAnsi="Roboto"/>
                <w:b w:val="0"/>
                <w:bCs w:val="0"/>
                <w:color w:val="000000" w:themeColor="text1"/>
                <w:sz w:val="20"/>
                <w:szCs w:val="20"/>
              </w:rPr>
              <w:t xml:space="preserve">four weeks after the end of the reporting period. The IBP’s </w:t>
            </w:r>
            <w:hyperlink r:id="rId671" w:history="1">
              <w:r w:rsidRPr="00D46E35">
                <w:rPr>
                  <w:rStyle w:val="Hyperlink"/>
                  <w:rFonts w:ascii="Roboto" w:hAnsi="Roboto"/>
                  <w:b w:val="0"/>
                  <w:bCs w:val="0"/>
                  <w:sz w:val="20"/>
                  <w:szCs w:val="20"/>
                </w:rPr>
                <w:t>Open Budget Survey Guidelines on the Public Availability of Budget Documents</w:t>
              </w:r>
            </w:hyperlink>
            <w:r w:rsidRPr="00C80E06">
              <w:rPr>
                <w:rFonts w:ascii="Roboto" w:hAnsi="Roboto"/>
                <w:b w:val="0"/>
                <w:bCs w:val="0"/>
                <w:color w:val="000000" w:themeColor="text1"/>
                <w:sz w:val="20"/>
                <w:szCs w:val="20"/>
              </w:rPr>
              <w:t xml:space="preserve"> (2016) states in-year reports should be published no later than three months after the reporting period ends.</w:t>
            </w:r>
          </w:p>
          <w:p w14:paraId="1D554E69" w14:textId="77777777" w:rsidR="00C80E06" w:rsidRPr="003625BA" w:rsidRDefault="00C80E06" w:rsidP="00C80E06">
            <w:pPr>
              <w:tabs>
                <w:tab w:val="left" w:pos="6780"/>
              </w:tabs>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632E21FD" w14:textId="77777777" w:rsidTr="00C80E06">
        <w:trPr>
          <w:cnfStyle w:val="000000100000" w:firstRow="0" w:lastRow="0" w:firstColumn="0" w:lastColumn="0" w:oddVBand="0" w:evenVBand="0" w:oddHBand="1" w:evenHBand="0" w:firstRowFirstColumn="0" w:firstRowLastColumn="0" w:lastRowFirstColumn="0" w:lastRowLastColumn="0"/>
          <w:trHeight w:val="2824"/>
        </w:trPr>
        <w:tc>
          <w:tcPr>
            <w:cnfStyle w:val="001000000000" w:firstRow="0" w:lastRow="0" w:firstColumn="1" w:lastColumn="0" w:oddVBand="0" w:evenVBand="0" w:oddHBand="0" w:evenHBand="0" w:firstRowFirstColumn="0" w:firstRowLastColumn="0" w:lastRowFirstColumn="0" w:lastRowLastColumn="0"/>
            <w:tcW w:w="1838" w:type="dxa"/>
          </w:tcPr>
          <w:p w14:paraId="27C8794B" w14:textId="5BA006BD" w:rsidR="00C80E06" w:rsidRDefault="00057172" w:rsidP="00C80E06">
            <w:pPr>
              <w:rPr>
                <w:b w:val="0"/>
                <w:bCs w:val="0"/>
              </w:rPr>
            </w:pPr>
            <w:bookmarkStart w:id="1526" w:name="_Hlk78328566"/>
            <w:r>
              <w:rPr>
                <w:noProof/>
                <w:lang w:val="en-US"/>
              </w:rPr>
              <w:drawing>
                <wp:anchor distT="0" distB="0" distL="114300" distR="114300" simplePos="0" relativeHeight="255215614" behindDoc="1" locked="0" layoutInCell="1" allowOverlap="1" wp14:anchorId="1757BAC3" wp14:editId="3BF04E82">
                  <wp:simplePos x="0" y="0"/>
                  <wp:positionH relativeFrom="margin">
                    <wp:posOffset>185420</wp:posOffset>
                  </wp:positionH>
                  <wp:positionV relativeFrom="paragraph">
                    <wp:posOffset>165735</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50E1F3F5" w14:textId="77777777" w:rsidR="00C80E06" w:rsidRDefault="00C80E06" w:rsidP="00C80E06">
            <w:pPr>
              <w:jc w:val="center"/>
            </w:pPr>
            <w:r>
              <w:t>IMPORTANCE</w:t>
            </w:r>
            <w:r>
              <w:rPr>
                <w:rStyle w:val="FootnoteReference"/>
              </w:rPr>
              <w:footnoteReference w:id="43"/>
            </w:r>
            <w:r w:rsidRPr="001767DF">
              <w:t>:</w:t>
            </w:r>
            <w:r>
              <w:t xml:space="preserve"> </w:t>
            </w:r>
            <w:bookmarkEnd w:id="1526"/>
          </w:p>
        </w:tc>
        <w:tc>
          <w:tcPr>
            <w:tcW w:w="8618" w:type="dxa"/>
          </w:tcPr>
          <w:p w14:paraId="0758E350" w14:textId="77777777" w:rsidR="00C80E06"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7815175A"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These are brief, periodic reports that list the major components of the budget. They thus provide key snapshots of the budget’s implementation during the budget year, providing periodic measures of revenue and expenditure trends, with some explanation of any significant deviations from expectations. In order to produce these reports the government needs to develop the systems and staff expertise required to track aggregate budget spending and revenue trends. These systems and skills improve budget management as they form the basis for the executive being able to produce information that assists it and other actors in the fiscal ecosystem in verifying whether budget implementation is in line with plans and expectations. In-Year Reports can also support the information in the Mid-Year Review to help determine whether the initial strategy in the budget is in need of any adjustment or fine-tuning.</w:t>
            </w:r>
            <w:r w:rsidRPr="003625BA">
              <w:rPr>
                <w:rFonts w:ascii="Roboto" w:hAnsi="Roboto"/>
                <w:sz w:val="20"/>
                <w:szCs w:val="20"/>
              </w:rPr>
              <w:tab/>
            </w:r>
          </w:p>
          <w:p w14:paraId="5C2DC6BD" w14:textId="77777777" w:rsidR="00C80E06" w:rsidRPr="003625BA" w:rsidRDefault="00C80E06" w:rsidP="00C80E06">
            <w:pPr>
              <w:tabs>
                <w:tab w:val="left" w:pos="5260"/>
              </w:tabs>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C80E06" w14:paraId="493BECD4" w14:textId="77777777" w:rsidTr="00C80E06">
        <w:trPr>
          <w:trHeight w:val="2840"/>
        </w:trPr>
        <w:tc>
          <w:tcPr>
            <w:cnfStyle w:val="001000000000" w:firstRow="0" w:lastRow="0" w:firstColumn="1" w:lastColumn="0" w:oddVBand="0" w:evenVBand="0" w:oddHBand="0" w:evenHBand="0" w:firstRowFirstColumn="0" w:firstRowLastColumn="0" w:lastRowFirstColumn="0" w:lastRowLastColumn="0"/>
            <w:tcW w:w="1838" w:type="dxa"/>
          </w:tcPr>
          <w:p w14:paraId="7BDAE53C" w14:textId="188E5497" w:rsidR="00C80E06" w:rsidRDefault="00057172" w:rsidP="00C80E06">
            <w:pPr>
              <w:rPr>
                <w:b w:val="0"/>
                <w:bCs w:val="0"/>
              </w:rPr>
            </w:pPr>
            <w:r>
              <w:rPr>
                <w:noProof/>
                <w:lang w:val="en-US"/>
              </w:rPr>
              <w:drawing>
                <wp:anchor distT="0" distB="0" distL="114300" distR="114300" simplePos="0" relativeHeight="255216638" behindDoc="1" locked="0" layoutInCell="1" allowOverlap="1" wp14:anchorId="109D3AD4" wp14:editId="310866C8">
                  <wp:simplePos x="0" y="0"/>
                  <wp:positionH relativeFrom="margin">
                    <wp:posOffset>184785</wp:posOffset>
                  </wp:positionH>
                  <wp:positionV relativeFrom="paragraph">
                    <wp:posOffset>205105</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6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17993871" w14:textId="274FDAE1" w:rsidR="00C80E06" w:rsidRDefault="00057172" w:rsidP="00C80E06">
            <w:pPr>
              <w:rPr>
                <w:b w:val="0"/>
                <w:bCs w:val="0"/>
              </w:rPr>
            </w:pPr>
            <w:r>
              <w:rPr>
                <w:noProof/>
                <w:lang w:val="en-US"/>
              </w:rPr>
              <mc:AlternateContent>
                <mc:Choice Requires="wps">
                  <w:drawing>
                    <wp:anchor distT="0" distB="0" distL="114300" distR="114300" simplePos="0" relativeHeight="255217662" behindDoc="0" locked="0" layoutInCell="1" allowOverlap="1" wp14:anchorId="12C0B1D1" wp14:editId="1EE05AEB">
                      <wp:simplePos x="0" y="0"/>
                      <wp:positionH relativeFrom="margin">
                        <wp:posOffset>-17780</wp:posOffset>
                      </wp:positionH>
                      <wp:positionV relativeFrom="paragraph">
                        <wp:posOffset>707390</wp:posOffset>
                      </wp:positionV>
                      <wp:extent cx="1065530" cy="311150"/>
                      <wp:effectExtent l="0" t="0" r="0" b="0"/>
                      <wp:wrapNone/>
                      <wp:docPr id="2176" name="Text Box 2176"/>
                      <wp:cNvGraphicFramePr/>
                      <a:graphic xmlns:a="http://schemas.openxmlformats.org/drawingml/2006/main">
                        <a:graphicData uri="http://schemas.microsoft.com/office/word/2010/wordprocessingShape">
                          <wps:wsp>
                            <wps:cNvSpPr txBox="1"/>
                            <wps:spPr>
                              <a:xfrm>
                                <a:off x="0" y="0"/>
                                <a:ext cx="1065530" cy="311150"/>
                              </a:xfrm>
                              <a:prstGeom prst="rect">
                                <a:avLst/>
                              </a:prstGeom>
                              <a:noFill/>
                              <a:ln w="6350">
                                <a:noFill/>
                              </a:ln>
                            </wps:spPr>
                            <wps:txbx>
                              <w:txbxContent>
                                <w:p w14:paraId="08AA51CB"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0B1D1" id="Text Box 2176" o:spid="_x0000_s1371" type="#_x0000_t202" style="position:absolute;margin-left:-1.4pt;margin-top:55.7pt;width:83.9pt;height:24.5pt;z-index:2552176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" filled="f" stroked="f" strokeweight=".5pt">
                      <v:textbox>
                        <w:txbxContent>
                          <w:p w14:paraId="08AA51CB"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v:textbox>
                      <w10:wrap anchorx="margin"/>
                    </v:shape>
                  </w:pict>
                </mc:Fallback>
              </mc:AlternateContent>
            </w:r>
          </w:p>
          <w:p w14:paraId="6C171473" w14:textId="4971DF98" w:rsidR="00C80E06" w:rsidRDefault="00C80E06" w:rsidP="00C80E06">
            <w:pPr>
              <w:rPr>
                <w:b w:val="0"/>
                <w:bCs w:val="0"/>
              </w:rPr>
            </w:pPr>
          </w:p>
          <w:p w14:paraId="4C7871F8" w14:textId="77777777" w:rsidR="00C80E06" w:rsidRDefault="00C80E06" w:rsidP="00C80E06"/>
        </w:tc>
        <w:tc>
          <w:tcPr>
            <w:tcW w:w="8618" w:type="dxa"/>
          </w:tcPr>
          <w:p w14:paraId="43B90A0A" w14:textId="77777777" w:rsidR="00C80E06" w:rsidRDefault="00C80E06" w:rsidP="00C80E06">
            <w:pPr>
              <w:spacing w:after="120"/>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2CC2FE65" w14:textId="77777777" w:rsidR="00C80E06" w:rsidRPr="0000140B" w:rsidRDefault="00C80E06" w:rsidP="0000140B">
            <w:pPr>
              <w:ind w:right="295"/>
              <w:jc w:val="both"/>
              <w:cnfStyle w:val="000000000000" w:firstRow="0" w:lastRow="0" w:firstColumn="0" w:lastColumn="0" w:oddVBand="0" w:evenVBand="0" w:oddHBand="0" w:evenHBand="0" w:firstRowFirstColumn="0" w:firstRowLastColumn="0" w:lastRowFirstColumn="0" w:lastRowLastColumn="0"/>
              <w:rPr>
                <w:rFonts w:ascii="Roboto" w:hAnsi="Roboto"/>
                <w:b/>
                <w:sz w:val="20"/>
                <w:szCs w:val="20"/>
              </w:rPr>
            </w:pPr>
            <w:r w:rsidRPr="0000140B">
              <w:rPr>
                <w:rFonts w:ascii="Roboto" w:hAnsi="Roboto"/>
                <w:sz w:val="20"/>
                <w:szCs w:val="20"/>
              </w:rPr>
              <w:t>Should include numerical data and brief commentary covering:</w:t>
            </w:r>
          </w:p>
          <w:p w14:paraId="4FA63D96" w14:textId="77777777" w:rsidR="00C80E06" w:rsidRPr="003625BA" w:rsidRDefault="00C80E06" w:rsidP="00C80E06">
            <w:pPr>
              <w:pStyle w:val="ListParagraph"/>
              <w:numPr>
                <w:ilvl w:val="0"/>
                <w:numId w:val="179"/>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Progress in implementing the budget, including actual revenues collected and expenditures incurred in each month and year-to-date; and comparisons with plans. Expenditures should be classified by major administrative units (e.g., ministries, departments, and agencies).  Supplementary information classifying expenditures by economic and functional categories should also be presented.</w:t>
            </w:r>
          </w:p>
          <w:p w14:paraId="3795759D" w14:textId="77777777" w:rsidR="00C80E06" w:rsidRPr="003625BA" w:rsidRDefault="00C80E06" w:rsidP="00C80E06">
            <w:pPr>
              <w:pStyle w:val="ListParagraph"/>
              <w:numPr>
                <w:ilvl w:val="0"/>
                <w:numId w:val="179"/>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Initial identification of deviations from budget.</w:t>
            </w:r>
          </w:p>
          <w:p w14:paraId="7BCDE4DE" w14:textId="77777777" w:rsidR="00C80E06" w:rsidRPr="003625BA" w:rsidRDefault="00C80E06" w:rsidP="00C80E06">
            <w:pPr>
              <w:pStyle w:val="ListParagraph"/>
              <w:numPr>
                <w:ilvl w:val="0"/>
                <w:numId w:val="179"/>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 xml:space="preserve">Any in-year adjustments to the original forecast, shown separately. </w:t>
            </w:r>
          </w:p>
          <w:p w14:paraId="24D21AE0" w14:textId="77777777" w:rsidR="00C80E06" w:rsidRPr="003625BA" w:rsidRDefault="00C80E06" w:rsidP="00C80E06">
            <w:pPr>
              <w:pStyle w:val="ListParagraph"/>
              <w:numPr>
                <w:ilvl w:val="0"/>
                <w:numId w:val="179"/>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Government’s borrowing activities.</w:t>
            </w:r>
          </w:p>
          <w:p w14:paraId="2B5DD187" w14:textId="77777777" w:rsidR="00C80E06" w:rsidRPr="003625BA" w:rsidRDefault="00C80E06" w:rsidP="00C80E06">
            <w:pPr>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1F3C438E" w14:textId="77777777" w:rsidTr="00C80E06">
        <w:trPr>
          <w:cnfStyle w:val="000000100000" w:firstRow="0" w:lastRow="0" w:firstColumn="0" w:lastColumn="0" w:oddVBand="0" w:evenVBand="0" w:oddHBand="1" w:evenHBand="0" w:firstRowFirstColumn="0" w:firstRowLastColumn="0" w:lastRowFirstColumn="0" w:lastRowLastColumn="0"/>
          <w:trHeight w:val="1482"/>
        </w:trPr>
        <w:tc>
          <w:tcPr>
            <w:cnfStyle w:val="001000000000" w:firstRow="0" w:lastRow="0" w:firstColumn="1" w:lastColumn="0" w:oddVBand="0" w:evenVBand="0" w:oddHBand="0" w:evenHBand="0" w:firstRowFirstColumn="0" w:firstRowLastColumn="0" w:lastRowFirstColumn="0" w:lastRowLastColumn="0"/>
            <w:tcW w:w="1838" w:type="dxa"/>
          </w:tcPr>
          <w:p w14:paraId="1AF9511E" w14:textId="77777777" w:rsidR="00C80E06" w:rsidRDefault="00C80E06" w:rsidP="00C80E06">
            <w:pPr>
              <w:rPr>
                <w:b w:val="0"/>
                <w:bCs w:val="0"/>
                <w:noProof/>
              </w:rPr>
            </w:pPr>
            <w:r>
              <w:rPr>
                <w:noProof/>
                <w:lang w:val="en-US"/>
              </w:rPr>
              <mc:AlternateContent>
                <mc:Choice Requires="wps">
                  <w:drawing>
                    <wp:anchor distT="0" distB="0" distL="114300" distR="114300" simplePos="0" relativeHeight="255212542" behindDoc="0" locked="0" layoutInCell="1" allowOverlap="1" wp14:anchorId="778E7A33" wp14:editId="2FF2EC64">
                      <wp:simplePos x="0" y="0"/>
                      <wp:positionH relativeFrom="margin">
                        <wp:align>center</wp:align>
                      </wp:positionH>
                      <wp:positionV relativeFrom="paragraph">
                        <wp:posOffset>715645</wp:posOffset>
                      </wp:positionV>
                      <wp:extent cx="952500" cy="228600"/>
                      <wp:effectExtent l="0" t="0" r="0" b="0"/>
                      <wp:wrapNone/>
                      <wp:docPr id="2178" name="Text Box 2178"/>
                      <wp:cNvGraphicFramePr/>
                      <a:graphic xmlns:a="http://schemas.openxmlformats.org/drawingml/2006/main">
                        <a:graphicData uri="http://schemas.microsoft.com/office/word/2010/wordprocessingShape">
                          <wps:wsp>
                            <wps:cNvSpPr txBox="1"/>
                            <wps:spPr>
                              <a:xfrm>
                                <a:off x="0" y="0"/>
                                <a:ext cx="952500" cy="228600"/>
                              </a:xfrm>
                              <a:prstGeom prst="rect">
                                <a:avLst/>
                              </a:prstGeom>
                              <a:noFill/>
                              <a:ln w="6350">
                                <a:noFill/>
                              </a:ln>
                            </wps:spPr>
                            <wps:txbx>
                              <w:txbxContent>
                                <w:p w14:paraId="09109957"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E7A33" id="Text Box 2178" o:spid="_x0000_s1372" type="#_x0000_t202" style="position:absolute;margin-left:0;margin-top:56.35pt;width:75pt;height:18pt;z-index:2552125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" filled="f" stroked="f" strokeweight=".5pt">
                      <v:textbox>
                        <w:txbxContent>
                          <w:p w14:paraId="09109957"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EXAMPLES:</w:t>
                            </w:r>
                          </w:p>
                        </w:txbxContent>
                      </v:textbox>
                      <w10:wrap anchorx="margin"/>
                    </v:shape>
                  </w:pict>
                </mc:Fallback>
              </mc:AlternateContent>
            </w:r>
            <w:r>
              <w:rPr>
                <w:noProof/>
                <w:lang w:val="en-US"/>
              </w:rPr>
              <w:drawing>
                <wp:anchor distT="0" distB="0" distL="114300" distR="114300" simplePos="0" relativeHeight="255218686" behindDoc="1" locked="0" layoutInCell="1" allowOverlap="1" wp14:anchorId="15638788" wp14:editId="26531FA9">
                  <wp:simplePos x="0" y="0"/>
                  <wp:positionH relativeFrom="margin">
                    <wp:align>center</wp:align>
                  </wp:positionH>
                  <wp:positionV relativeFrom="paragraph">
                    <wp:posOffset>71120</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6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618" w:type="dxa"/>
          </w:tcPr>
          <w:p w14:paraId="69A9A60A" w14:textId="77777777" w:rsidR="00C80E06" w:rsidRDefault="00C80E06" w:rsidP="00C80E06">
            <w:pPr>
              <w:pStyle w:val="ListParagraph"/>
              <w:ind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2C53CC0A" w14:textId="77777777" w:rsidR="00C80E06" w:rsidRPr="003625BA" w:rsidRDefault="00C80E06" w:rsidP="00C80E06">
            <w:pPr>
              <w:pStyle w:val="ListParagraph"/>
              <w:numPr>
                <w:ilvl w:val="0"/>
                <w:numId w:val="180"/>
              </w:numPr>
              <w:ind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Egypt’s monthly reports can be found on this </w:t>
            </w:r>
            <w:hyperlink r:id="rId672" w:history="1">
              <w:r w:rsidRPr="003625BA">
                <w:rPr>
                  <w:rStyle w:val="Hyperlink"/>
                  <w:rFonts w:ascii="Roboto" w:hAnsi="Roboto"/>
                  <w:sz w:val="20"/>
                  <w:szCs w:val="20"/>
                </w:rPr>
                <w:t>link</w:t>
              </w:r>
            </w:hyperlink>
            <w:r w:rsidRPr="003625BA">
              <w:rPr>
                <w:rFonts w:ascii="Roboto" w:hAnsi="Roboto"/>
                <w:sz w:val="20"/>
                <w:szCs w:val="20"/>
              </w:rPr>
              <w:t>.</w:t>
            </w:r>
          </w:p>
          <w:p w14:paraId="25C75F85" w14:textId="77777777" w:rsidR="00C80E06" w:rsidRPr="003625BA" w:rsidRDefault="00C80E06" w:rsidP="00C80E06">
            <w:pPr>
              <w:pStyle w:val="ListParagraph"/>
              <w:numPr>
                <w:ilvl w:val="0"/>
                <w:numId w:val="180"/>
              </w:numPr>
              <w:ind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r w:rsidRPr="003625BA">
              <w:rPr>
                <w:rFonts w:ascii="Roboto" w:hAnsi="Roboto"/>
                <w:sz w:val="20"/>
                <w:szCs w:val="20"/>
              </w:rPr>
              <w:t xml:space="preserve">The IBP has published OBI training materials for governments on the in-year report that can be found on this </w:t>
            </w:r>
            <w:hyperlink r:id="rId673" w:history="1">
              <w:r w:rsidRPr="003625BA">
                <w:rPr>
                  <w:rStyle w:val="Hyperlink"/>
                  <w:rFonts w:ascii="Roboto" w:hAnsi="Roboto"/>
                  <w:sz w:val="20"/>
                  <w:szCs w:val="20"/>
                </w:rPr>
                <w:t>link</w:t>
              </w:r>
            </w:hyperlink>
            <w:r w:rsidRPr="003625BA">
              <w:rPr>
                <w:rFonts w:ascii="Roboto" w:hAnsi="Roboto"/>
                <w:sz w:val="20"/>
                <w:szCs w:val="20"/>
              </w:rPr>
              <w:t>.</w:t>
            </w:r>
          </w:p>
          <w:p w14:paraId="6CA83A85"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0CD9EBEB" w14:textId="77777777" w:rsidR="00C80E06" w:rsidRPr="003625BA" w:rsidRDefault="00C80E06" w:rsidP="00C80E06">
            <w:pPr>
              <w:ind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477AD3AD" w14:textId="4E31D915" w:rsidR="00A4052D" w:rsidRDefault="00A4052D" w:rsidP="00283702">
      <w:pPr>
        <w:tabs>
          <w:tab w:val="left" w:pos="1280"/>
        </w:tabs>
        <w:rPr>
          <w:rFonts w:ascii="Arial" w:hAnsi="Arial" w:cs="Arial"/>
          <w:sz w:val="24"/>
          <w:szCs w:val="24"/>
        </w:rPr>
      </w:pPr>
    </w:p>
    <w:p w14:paraId="31D9D201" w14:textId="1D3F6273" w:rsidR="00BF51D2" w:rsidRDefault="00BF51D2" w:rsidP="00BF51D2">
      <w:pPr>
        <w:tabs>
          <w:tab w:val="left" w:pos="3420"/>
        </w:tabs>
        <w:rPr>
          <w:rFonts w:ascii="Arial" w:hAnsi="Arial" w:cs="Arial"/>
          <w:sz w:val="24"/>
          <w:szCs w:val="24"/>
        </w:rPr>
      </w:pPr>
    </w:p>
    <w:p w14:paraId="25F107F7" w14:textId="77777777" w:rsidR="007634B0" w:rsidRDefault="007634B0" w:rsidP="00BF51D2">
      <w:pPr>
        <w:tabs>
          <w:tab w:val="left" w:pos="3420"/>
        </w:tabs>
        <w:rPr>
          <w:rFonts w:ascii="Arial" w:hAnsi="Arial" w:cs="Arial"/>
          <w:sz w:val="24"/>
          <w:szCs w:val="24"/>
        </w:rPr>
      </w:pPr>
    </w:p>
    <w:p w14:paraId="551EE140" w14:textId="77777777" w:rsidR="007634B0" w:rsidRDefault="007634B0" w:rsidP="00BF51D2">
      <w:pPr>
        <w:tabs>
          <w:tab w:val="left" w:pos="3420"/>
        </w:tabs>
        <w:rPr>
          <w:rFonts w:ascii="Arial" w:hAnsi="Arial" w:cs="Arial"/>
          <w:sz w:val="24"/>
          <w:szCs w:val="24"/>
        </w:rPr>
      </w:pPr>
    </w:p>
    <w:p w14:paraId="4758FA07" w14:textId="7787BF61" w:rsidR="007634B0" w:rsidRDefault="007634B0" w:rsidP="00BF51D2">
      <w:pPr>
        <w:tabs>
          <w:tab w:val="left" w:pos="3420"/>
        </w:tabs>
        <w:rPr>
          <w:rFonts w:ascii="Arial" w:hAnsi="Arial" w:cs="Arial"/>
          <w:sz w:val="24"/>
          <w:szCs w:val="24"/>
        </w:rPr>
      </w:pPr>
    </w:p>
    <w:p w14:paraId="2DC5E04E" w14:textId="1B3AD1C0" w:rsidR="0051008A" w:rsidRDefault="0051008A" w:rsidP="00BF51D2">
      <w:pPr>
        <w:tabs>
          <w:tab w:val="left" w:pos="3420"/>
        </w:tabs>
        <w:rPr>
          <w:rFonts w:ascii="Arial" w:hAnsi="Arial" w:cs="Arial"/>
          <w:sz w:val="24"/>
          <w:szCs w:val="24"/>
        </w:rPr>
      </w:pPr>
    </w:p>
    <w:p w14:paraId="3A8D7C2E" w14:textId="77777777" w:rsidR="0051008A" w:rsidRDefault="0051008A" w:rsidP="00BF51D2">
      <w:pPr>
        <w:tabs>
          <w:tab w:val="left" w:pos="3420"/>
        </w:tabs>
        <w:rPr>
          <w:rFonts w:ascii="Arial" w:hAnsi="Arial" w:cs="Arial"/>
          <w:sz w:val="24"/>
          <w:szCs w:val="24"/>
        </w:rPr>
      </w:pPr>
    </w:p>
    <w:p w14:paraId="3F15166F" w14:textId="27DCCE1C" w:rsidR="00BF51D2" w:rsidRDefault="00BF51D2" w:rsidP="00BF51D2">
      <w:pPr>
        <w:tabs>
          <w:tab w:val="left" w:pos="3420"/>
        </w:tabs>
        <w:rPr>
          <w:rFonts w:ascii="Arial" w:hAnsi="Arial" w:cs="Arial"/>
          <w:sz w:val="24"/>
          <w:szCs w:val="24"/>
        </w:rPr>
      </w:pPr>
    </w:p>
    <w:p w14:paraId="0FEE13BB" w14:textId="77777777" w:rsidR="00AD5BE2" w:rsidRDefault="00AD5BE2">
      <w:pPr>
        <w:spacing w:after="160" w:line="259" w:lineRule="auto"/>
        <w:rPr>
          <w:rFonts w:ascii="Arial" w:eastAsiaTheme="majorEastAsia" w:hAnsi="Arial" w:cs="Arial"/>
          <w:b/>
          <w:bCs/>
          <w:color w:val="ED5625"/>
          <w:sz w:val="20"/>
          <w:szCs w:val="20"/>
        </w:rPr>
      </w:pPr>
      <w:bookmarkStart w:id="1527" w:name="_Toc123204498"/>
      <w:bookmarkStart w:id="1528" w:name="_Toc123217441"/>
      <w:r>
        <w:rPr>
          <w:rFonts w:ascii="Arial" w:hAnsi="Arial" w:cs="Arial"/>
          <w:b/>
          <w:bCs/>
          <w:color w:val="ED5625"/>
          <w:sz w:val="20"/>
          <w:szCs w:val="20"/>
        </w:rPr>
        <w:br w:type="page"/>
      </w:r>
    </w:p>
    <w:p w14:paraId="0659491C" w14:textId="259418AF" w:rsidR="00715163" w:rsidRPr="003625BA" w:rsidRDefault="0096076C" w:rsidP="003625BA">
      <w:pPr>
        <w:pStyle w:val="Heading3"/>
        <w:jc w:val="center"/>
        <w:rPr>
          <w:rFonts w:ascii="Arial" w:hAnsi="Arial" w:cs="Arial"/>
          <w:b/>
          <w:bCs/>
          <w:color w:val="ED5625"/>
          <w:sz w:val="20"/>
          <w:szCs w:val="20"/>
        </w:rPr>
      </w:pPr>
      <w:bookmarkStart w:id="1529" w:name="_Table_3.10._Mid-year"/>
      <w:bookmarkStart w:id="1530" w:name="_Toc123914059"/>
      <w:bookmarkStart w:id="1531" w:name="_Toc125566673"/>
      <w:bookmarkEnd w:id="1529"/>
      <w:r>
        <w:rPr>
          <w:noProof/>
          <w:lang w:val="en-US"/>
        </w:rPr>
        <w:lastRenderedPageBreak/>
        <mc:AlternateContent>
          <mc:Choice Requires="wps">
            <w:drawing>
              <wp:anchor distT="0" distB="0" distL="114300" distR="114300" simplePos="0" relativeHeight="255220734" behindDoc="0" locked="0" layoutInCell="1" allowOverlap="1" wp14:anchorId="305BE063" wp14:editId="5CCCAB10">
                <wp:simplePos x="0" y="0"/>
                <wp:positionH relativeFrom="margin">
                  <wp:posOffset>-17018</wp:posOffset>
                </wp:positionH>
                <wp:positionV relativeFrom="paragraph">
                  <wp:posOffset>2153920</wp:posOffset>
                </wp:positionV>
                <wp:extent cx="1170305" cy="311150"/>
                <wp:effectExtent l="0" t="0" r="0" b="0"/>
                <wp:wrapNone/>
                <wp:docPr id="2189" name="Text Box 2189"/>
                <wp:cNvGraphicFramePr/>
                <a:graphic xmlns:a="http://schemas.openxmlformats.org/drawingml/2006/main">
                  <a:graphicData uri="http://schemas.microsoft.com/office/word/2010/wordprocessingShape">
                    <wps:wsp>
                      <wps:cNvSpPr txBox="1"/>
                      <wps:spPr>
                        <a:xfrm>
                          <a:off x="0" y="0"/>
                          <a:ext cx="1170305" cy="311150"/>
                        </a:xfrm>
                        <a:prstGeom prst="rect">
                          <a:avLst/>
                        </a:prstGeom>
                        <a:noFill/>
                        <a:ln w="6350">
                          <a:noFill/>
                        </a:ln>
                      </wps:spPr>
                      <wps:txbx>
                        <w:txbxContent>
                          <w:p w14:paraId="55DD0CFE"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BE063" id="Text Box 2189" o:spid="_x0000_s1373" type="#_x0000_t202" style="position:absolute;left:0;text-align:left;margin-left:-1.35pt;margin-top:169.6pt;width:92.15pt;height:24.5pt;z-index:2552207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" filled="f" stroked="f" strokeweight=".5pt">
                <v:textbox>
                  <w:txbxContent>
                    <w:p w14:paraId="55DD0CFE"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v:textbox>
                <w10:wrap anchorx="margin"/>
              </v:shape>
            </w:pict>
          </mc:Fallback>
        </mc:AlternateContent>
      </w:r>
      <w:r w:rsidR="0065711A" w:rsidRPr="003625BA">
        <w:rPr>
          <w:rFonts w:ascii="Arial" w:hAnsi="Arial" w:cs="Arial"/>
          <w:b/>
          <w:bCs/>
          <w:color w:val="ED5625"/>
          <w:sz w:val="20"/>
          <w:szCs w:val="20"/>
        </w:rPr>
        <w:t>Table 3.10</w:t>
      </w:r>
      <w:r w:rsidR="008616A4">
        <w:rPr>
          <w:rFonts w:ascii="Arial" w:hAnsi="Arial" w:cs="Arial"/>
          <w:b/>
          <w:bCs/>
          <w:color w:val="ED5625"/>
          <w:sz w:val="20"/>
          <w:szCs w:val="20"/>
        </w:rPr>
        <w:t>.</w:t>
      </w:r>
      <w:r w:rsidR="0051008A" w:rsidRPr="003625BA">
        <w:rPr>
          <w:rFonts w:ascii="Arial" w:hAnsi="Arial" w:cs="Arial"/>
          <w:b/>
          <w:bCs/>
          <w:color w:val="ED5625"/>
          <w:sz w:val="20"/>
          <w:szCs w:val="20"/>
        </w:rPr>
        <w:t xml:space="preserve"> </w:t>
      </w:r>
      <w:r w:rsidR="00AD5BE2">
        <w:rPr>
          <w:rFonts w:ascii="Arial" w:hAnsi="Arial" w:cs="Arial"/>
          <w:b/>
          <w:bCs/>
          <w:color w:val="ED5625"/>
          <w:sz w:val="20"/>
          <w:szCs w:val="20"/>
        </w:rPr>
        <w:t>Mid-year review / Implementation report</w:t>
      </w:r>
      <w:bookmarkEnd w:id="1527"/>
      <w:bookmarkEnd w:id="1528"/>
      <w:bookmarkEnd w:id="1530"/>
      <w:bookmarkEnd w:id="1531"/>
    </w:p>
    <w:tbl>
      <w:tblPr>
        <w:tblStyle w:val="GridTable5Dark-Accent2"/>
        <w:tblpPr w:leftFromText="180" w:rightFromText="180" w:vertAnchor="page" w:horzAnchor="margin" w:tblpY="1741"/>
        <w:tblW w:w="0" w:type="auto"/>
        <w:tblLook w:val="04A0" w:firstRow="1" w:lastRow="0" w:firstColumn="1" w:lastColumn="0" w:noHBand="0" w:noVBand="1"/>
      </w:tblPr>
      <w:tblGrid>
        <w:gridCol w:w="1838"/>
        <w:gridCol w:w="8618"/>
      </w:tblGrid>
      <w:tr w:rsidR="00C80E06" w14:paraId="57084B8C" w14:textId="77777777" w:rsidTr="00C80E06">
        <w:trPr>
          <w:cnfStyle w:val="100000000000" w:firstRow="1" w:lastRow="0" w:firstColumn="0" w:lastColumn="0" w:oddVBand="0" w:evenVBand="0" w:oddHBand="0"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FFFFFF" w:themeColor="background1"/>
              <w:right w:val="single" w:sz="4" w:space="0" w:color="FFFFFF" w:themeColor="background1"/>
            </w:tcBorders>
          </w:tcPr>
          <w:p w14:paraId="7A62AC7F" w14:textId="5069F68D" w:rsidR="00C80E06" w:rsidRDefault="0096076C" w:rsidP="00C80E06">
            <w:r>
              <w:rPr>
                <w:noProof/>
                <w:lang w:val="en-US"/>
              </w:rPr>
              <w:drawing>
                <wp:anchor distT="0" distB="0" distL="114300" distR="114300" simplePos="0" relativeHeight="255221758" behindDoc="1" locked="0" layoutInCell="1" allowOverlap="1" wp14:anchorId="1280E312" wp14:editId="2404EAFA">
                  <wp:simplePos x="0" y="0"/>
                  <wp:positionH relativeFrom="margin">
                    <wp:posOffset>185420</wp:posOffset>
                  </wp:positionH>
                  <wp:positionV relativeFrom="paragraph">
                    <wp:posOffset>102870</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22782" behindDoc="0" locked="0" layoutInCell="1" allowOverlap="1" wp14:anchorId="44E050A2" wp14:editId="0C246667">
                      <wp:simplePos x="0" y="0"/>
                      <wp:positionH relativeFrom="margin">
                        <wp:posOffset>83820</wp:posOffset>
                      </wp:positionH>
                      <wp:positionV relativeFrom="paragraph">
                        <wp:posOffset>730250</wp:posOffset>
                      </wp:positionV>
                      <wp:extent cx="861695" cy="228600"/>
                      <wp:effectExtent l="0" t="0" r="0" b="0"/>
                      <wp:wrapNone/>
                      <wp:docPr id="2187" name="Text Box 2187"/>
                      <wp:cNvGraphicFramePr/>
                      <a:graphic xmlns:a="http://schemas.openxmlformats.org/drawingml/2006/main">
                        <a:graphicData uri="http://schemas.microsoft.com/office/word/2010/wordprocessingShape">
                          <wps:wsp>
                            <wps:cNvSpPr txBox="1"/>
                            <wps:spPr>
                              <a:xfrm>
                                <a:off x="0" y="0"/>
                                <a:ext cx="861695" cy="228600"/>
                              </a:xfrm>
                              <a:prstGeom prst="rect">
                                <a:avLst/>
                              </a:prstGeom>
                              <a:noFill/>
                              <a:ln w="6350">
                                <a:noFill/>
                              </a:ln>
                            </wps:spPr>
                            <wps:txbx>
                              <w:txbxContent>
                                <w:p w14:paraId="62F115C5"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050A2" id="Text Box 2187" o:spid="_x0000_s1374" type="#_x0000_t202" style="position:absolute;margin-left:6.6pt;margin-top:57.5pt;width:67.85pt;height:18pt;z-index:2552227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" filled="f" stroked="f" strokeweight=".5pt">
                      <v:textbox>
                        <w:txbxContent>
                          <w:p w14:paraId="62F115C5"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v:textbox>
                      <w10:wrap anchorx="margin"/>
                    </v:shape>
                  </w:pict>
                </mc:Fallback>
              </mc:AlternateContent>
            </w:r>
          </w:p>
        </w:tc>
        <w:tc>
          <w:tcPr>
            <w:tcW w:w="8618" w:type="dxa"/>
            <w:tcBorders>
              <w:left w:val="single" w:sz="4" w:space="0" w:color="FFFFFF" w:themeColor="background1"/>
              <w:bottom w:val="single" w:sz="4" w:space="0" w:color="FFFFFF" w:themeColor="background1"/>
            </w:tcBorders>
            <w:shd w:val="clear" w:color="auto" w:fill="FBE4D5" w:themeFill="accent2" w:themeFillTint="33"/>
          </w:tcPr>
          <w:p w14:paraId="368088C3" w14:textId="77777777" w:rsidR="00C80E06" w:rsidRP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7C0B67CB" w14:textId="74D11494" w:rsidR="00C80E06" w:rsidRP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C80E06">
              <w:rPr>
                <w:rFonts w:ascii="Roboto" w:hAnsi="Roboto"/>
                <w:b w:val="0"/>
                <w:bCs w:val="0"/>
                <w:color w:val="000000" w:themeColor="text1"/>
                <w:sz w:val="20"/>
                <w:szCs w:val="20"/>
              </w:rPr>
              <w:t>The OECD’s Budget Transparency Toolkit</w:t>
            </w:r>
            <w:r w:rsidR="00415CD2">
              <w:rPr>
                <w:rFonts w:ascii="Roboto" w:hAnsi="Roboto"/>
                <w:b w:val="0"/>
                <w:bCs w:val="0"/>
                <w:color w:val="000000" w:themeColor="text1"/>
                <w:sz w:val="20"/>
                <w:szCs w:val="20"/>
              </w:rPr>
              <w:t xml:space="preserve"> </w:t>
            </w:r>
            <w:r w:rsidRPr="00C80E06">
              <w:rPr>
                <w:rFonts w:ascii="Roboto" w:hAnsi="Roboto"/>
                <w:b w:val="0"/>
                <w:bCs w:val="0"/>
                <w:color w:val="000000" w:themeColor="text1"/>
                <w:sz w:val="20"/>
                <w:szCs w:val="20"/>
              </w:rPr>
              <w:t>(2017) states that these reports should be published within at least six weeks of mid-year.</w:t>
            </w:r>
          </w:p>
          <w:p w14:paraId="5C99D779" w14:textId="77777777" w:rsidR="00C80E06" w:rsidRPr="003625BA"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p w14:paraId="14EC1932" w14:textId="77777777" w:rsidR="00C80E06" w:rsidRPr="003625BA"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p w14:paraId="408F5DA5" w14:textId="77777777" w:rsidR="00C80E06" w:rsidRPr="003625BA" w:rsidRDefault="00C80E06" w:rsidP="00C80E06">
            <w:pPr>
              <w:tabs>
                <w:tab w:val="left" w:pos="5080"/>
              </w:tabs>
              <w:ind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4E9307B8" w14:textId="77777777" w:rsidTr="00C80E06">
        <w:trPr>
          <w:cnfStyle w:val="000000100000" w:firstRow="0" w:lastRow="0" w:firstColumn="0" w:lastColumn="0" w:oddVBand="0" w:evenVBand="0" w:oddHBand="1" w:evenHBand="0" w:firstRowFirstColumn="0" w:firstRowLastColumn="0" w:lastRowFirstColumn="0" w:lastRowLastColumn="0"/>
          <w:trHeight w:val="2824"/>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FFFFF" w:themeColor="background1"/>
            </w:tcBorders>
          </w:tcPr>
          <w:p w14:paraId="74471412" w14:textId="5DC69021" w:rsidR="00C80E06" w:rsidRDefault="00057172" w:rsidP="00C80E06">
            <w:r>
              <w:rPr>
                <w:noProof/>
                <w:lang w:val="en-US"/>
              </w:rPr>
              <w:drawing>
                <wp:anchor distT="0" distB="0" distL="114300" distR="114300" simplePos="0" relativeHeight="255223806" behindDoc="1" locked="0" layoutInCell="1" allowOverlap="1" wp14:anchorId="5A170206" wp14:editId="26690671">
                  <wp:simplePos x="0" y="0"/>
                  <wp:positionH relativeFrom="margin">
                    <wp:posOffset>185420</wp:posOffset>
                  </wp:positionH>
                  <wp:positionV relativeFrom="paragraph">
                    <wp:posOffset>147955</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618" w:type="dxa"/>
            <w:tcBorders>
              <w:top w:val="single" w:sz="4" w:space="0" w:color="FFFFFF" w:themeColor="background1"/>
            </w:tcBorders>
          </w:tcPr>
          <w:p w14:paraId="65D9EB0D" w14:textId="77777777" w:rsidR="00C80E06"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741B3CF1" w14:textId="3E8C13CB"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The Mid-Year Review is an analysis of the budget’s effects provided about halfway through the budget year</w:t>
            </w:r>
            <w:r w:rsidR="007D25E7">
              <w:rPr>
                <w:rFonts w:ascii="Roboto" w:hAnsi="Roboto"/>
                <w:sz w:val="20"/>
                <w:szCs w:val="20"/>
              </w:rPr>
              <w:t>, providing</w:t>
            </w:r>
            <w:r w:rsidRPr="003625BA">
              <w:rPr>
                <w:rFonts w:ascii="Roboto" w:hAnsi="Roboto"/>
                <w:sz w:val="20"/>
                <w:szCs w:val="20"/>
              </w:rPr>
              <w:t xml:space="preserve"> a comprehensive update on </w:t>
            </w:r>
            <w:r w:rsidR="001B3937">
              <w:rPr>
                <w:rFonts w:ascii="Roboto" w:hAnsi="Roboto"/>
                <w:sz w:val="20"/>
                <w:szCs w:val="20"/>
              </w:rPr>
              <w:t>its</w:t>
            </w:r>
            <w:r w:rsidRPr="003625BA">
              <w:rPr>
                <w:rFonts w:ascii="Roboto" w:hAnsi="Roboto"/>
                <w:sz w:val="20"/>
                <w:szCs w:val="20"/>
              </w:rPr>
              <w:t xml:space="preserve"> implementation</w:t>
            </w:r>
            <w:r w:rsidR="001B3937">
              <w:rPr>
                <w:rFonts w:ascii="Roboto" w:hAnsi="Roboto"/>
                <w:sz w:val="20"/>
                <w:szCs w:val="20"/>
              </w:rPr>
              <w:t>.</w:t>
            </w:r>
            <w:r w:rsidRPr="003625BA">
              <w:rPr>
                <w:rFonts w:ascii="Roboto" w:hAnsi="Roboto"/>
                <w:sz w:val="20"/>
                <w:szCs w:val="20"/>
              </w:rPr>
              <w:t xml:space="preserve"> As such it enables comprehensive assessment of actual spending and revenue collection against original estimates at the midpoint of the budget year. It allows for an assessment of whether the budget is adequately coping with current macroeconomic developments, including changes in the prices of natural resources, the state of implementation of the different elements of the budget, and revenue collections in the context of expected seasonal patterns. It assists in identifying the need for changes in budget allocations, including the need for virements and/or supplementary budgets. It also takes stock of progress in realizing specific performance targets.</w:t>
            </w:r>
            <w:r w:rsidRPr="003625BA">
              <w:rPr>
                <w:rFonts w:ascii="Roboto" w:hAnsi="Roboto"/>
                <w:sz w:val="20"/>
                <w:szCs w:val="20"/>
              </w:rPr>
              <w:tab/>
            </w:r>
          </w:p>
          <w:p w14:paraId="53FDE6FB" w14:textId="77777777" w:rsidR="00C80E06" w:rsidRPr="003625BA" w:rsidRDefault="00C80E06" w:rsidP="00C80E06">
            <w:pPr>
              <w:tabs>
                <w:tab w:val="left" w:pos="6526"/>
              </w:tabs>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C80E06" w14:paraId="19EB6859" w14:textId="77777777" w:rsidTr="00C80E06">
        <w:trPr>
          <w:trHeight w:val="2967"/>
        </w:trPr>
        <w:tc>
          <w:tcPr>
            <w:cnfStyle w:val="001000000000" w:firstRow="0" w:lastRow="0" w:firstColumn="1" w:lastColumn="0" w:oddVBand="0" w:evenVBand="0" w:oddHBand="0" w:evenHBand="0" w:firstRowFirstColumn="0" w:firstRowLastColumn="0" w:lastRowFirstColumn="0" w:lastRowLastColumn="0"/>
            <w:tcW w:w="1838" w:type="dxa"/>
          </w:tcPr>
          <w:p w14:paraId="799C0431" w14:textId="2859941F" w:rsidR="00C80E06" w:rsidRDefault="00057172" w:rsidP="00C80E06">
            <w:pPr>
              <w:rPr>
                <w:b w:val="0"/>
                <w:bCs w:val="0"/>
              </w:rPr>
            </w:pPr>
            <w:r>
              <w:rPr>
                <w:noProof/>
                <w:lang w:val="en-US"/>
              </w:rPr>
              <w:drawing>
                <wp:anchor distT="0" distB="0" distL="114300" distR="114300" simplePos="0" relativeHeight="255224830" behindDoc="1" locked="0" layoutInCell="1" allowOverlap="1" wp14:anchorId="1BF5DD77" wp14:editId="059EE77A">
                  <wp:simplePos x="0" y="0"/>
                  <wp:positionH relativeFrom="margin">
                    <wp:posOffset>184785</wp:posOffset>
                  </wp:positionH>
                  <wp:positionV relativeFrom="paragraph">
                    <wp:posOffset>167005</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6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25854" behindDoc="0" locked="0" layoutInCell="1" allowOverlap="1" wp14:anchorId="79530A90" wp14:editId="776A3C36">
                      <wp:simplePos x="0" y="0"/>
                      <wp:positionH relativeFrom="margin">
                        <wp:posOffset>6985</wp:posOffset>
                      </wp:positionH>
                      <wp:positionV relativeFrom="paragraph">
                        <wp:posOffset>828675</wp:posOffset>
                      </wp:positionV>
                      <wp:extent cx="1016000" cy="311150"/>
                      <wp:effectExtent l="0" t="0" r="0" b="0"/>
                      <wp:wrapNone/>
                      <wp:docPr id="2191" name="Text Box 2191"/>
                      <wp:cNvGraphicFramePr/>
                      <a:graphic xmlns:a="http://schemas.openxmlformats.org/drawingml/2006/main">
                        <a:graphicData uri="http://schemas.microsoft.com/office/word/2010/wordprocessingShape">
                          <wps:wsp>
                            <wps:cNvSpPr txBox="1"/>
                            <wps:spPr>
                              <a:xfrm>
                                <a:off x="0" y="0"/>
                                <a:ext cx="1016000" cy="311150"/>
                              </a:xfrm>
                              <a:prstGeom prst="rect">
                                <a:avLst/>
                              </a:prstGeom>
                              <a:noFill/>
                              <a:ln w="6350">
                                <a:noFill/>
                              </a:ln>
                            </wps:spPr>
                            <wps:txbx>
                              <w:txbxContent>
                                <w:p w14:paraId="1C4851BB"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30A90" id="Text Box 2191" o:spid="_x0000_s1375" type="#_x0000_t202" style="position:absolute;margin-left:.55pt;margin-top:65.25pt;width:80pt;height:24.5pt;z-index:2552258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" filled="f" stroked="f" strokeweight=".5pt">
                      <v:textbox>
                        <w:txbxContent>
                          <w:p w14:paraId="1C4851BB"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v:textbox>
                      <w10:wrap anchorx="margin"/>
                    </v:shape>
                  </w:pict>
                </mc:Fallback>
              </mc:AlternateContent>
            </w:r>
          </w:p>
          <w:p w14:paraId="7159D0A5" w14:textId="4BFF47B8" w:rsidR="00C80E06" w:rsidRDefault="00C80E06" w:rsidP="00C80E06">
            <w:pPr>
              <w:rPr>
                <w:b w:val="0"/>
                <w:bCs w:val="0"/>
              </w:rPr>
            </w:pPr>
          </w:p>
          <w:p w14:paraId="1DA64C18" w14:textId="77777777" w:rsidR="00C80E06" w:rsidRDefault="00C80E06" w:rsidP="00C80E06">
            <w:pPr>
              <w:rPr>
                <w:b w:val="0"/>
                <w:bCs w:val="0"/>
              </w:rPr>
            </w:pPr>
          </w:p>
          <w:p w14:paraId="0FC1FBD4" w14:textId="77777777" w:rsidR="00C80E06" w:rsidRDefault="00C80E06" w:rsidP="00C80E06"/>
        </w:tc>
        <w:tc>
          <w:tcPr>
            <w:tcW w:w="8618" w:type="dxa"/>
          </w:tcPr>
          <w:p w14:paraId="1FE6B5F4" w14:textId="77777777" w:rsidR="00C80E06" w:rsidRDefault="00C80E06" w:rsidP="00C80E06">
            <w:pPr>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70DF257C" w14:textId="77777777" w:rsidR="00C80E06" w:rsidRPr="003625BA" w:rsidRDefault="00C80E06" w:rsidP="00C80E06">
            <w:pPr>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The Mid-Year Review should provide a comprehensive update on the implementation of the budget, including an updated forecast of the budget outcome for the current fiscal year and, at least, the following two fiscal years. It should include revisions in economic assumptions and their impact on budget estimates; the comprehensive identification and explanation of deviations in budget spending and revenues and estimates; explore policy adjustments, that is assess whether the fiscal strategy continues to be appropriate in the context of the current economic environment, and whether there might be scope to adjust the fiscal policy stance in light of prevailing economic conditions; and provide details on policy decisions taken and policy developments since presentation of the budget.</w:t>
            </w:r>
          </w:p>
          <w:p w14:paraId="3BADE9B4" w14:textId="77777777" w:rsidR="00C80E06" w:rsidRPr="003625BA" w:rsidRDefault="00C80E06" w:rsidP="00C80E06">
            <w:pPr>
              <w:tabs>
                <w:tab w:val="left" w:pos="5260"/>
              </w:tabs>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1645E578" w14:textId="77777777" w:rsidTr="00C80E06">
        <w:trPr>
          <w:cnfStyle w:val="000000100000" w:firstRow="0" w:lastRow="0" w:firstColumn="0" w:lastColumn="0" w:oddVBand="0" w:evenVBand="0" w:oddHBand="1" w:evenHBand="0" w:firstRowFirstColumn="0" w:firstRowLastColumn="0" w:lastRowFirstColumn="0" w:lastRowLastColumn="0"/>
          <w:trHeight w:val="1183"/>
        </w:trPr>
        <w:tc>
          <w:tcPr>
            <w:cnfStyle w:val="001000000000" w:firstRow="0" w:lastRow="0" w:firstColumn="1" w:lastColumn="0" w:oddVBand="0" w:evenVBand="0" w:oddHBand="0" w:evenHBand="0" w:firstRowFirstColumn="0" w:firstRowLastColumn="0" w:lastRowFirstColumn="0" w:lastRowLastColumn="0"/>
            <w:tcW w:w="1838" w:type="dxa"/>
          </w:tcPr>
          <w:p w14:paraId="770EDC85" w14:textId="77777777" w:rsidR="00C80E06" w:rsidRDefault="00C80E06" w:rsidP="00C80E06">
            <w:pPr>
              <w:rPr>
                <w:b w:val="0"/>
                <w:bCs w:val="0"/>
                <w:noProof/>
              </w:rPr>
            </w:pPr>
            <w:r>
              <w:rPr>
                <w:noProof/>
                <w:lang w:val="en-US"/>
              </w:rPr>
              <w:drawing>
                <wp:anchor distT="0" distB="0" distL="114300" distR="114300" simplePos="0" relativeHeight="255226878" behindDoc="1" locked="0" layoutInCell="1" allowOverlap="1" wp14:anchorId="5BB971DD" wp14:editId="74520D37">
                  <wp:simplePos x="0" y="0"/>
                  <wp:positionH relativeFrom="margin">
                    <wp:align>center</wp:align>
                  </wp:positionH>
                  <wp:positionV relativeFrom="paragraph">
                    <wp:posOffset>69215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6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27902" behindDoc="0" locked="0" layoutInCell="1" allowOverlap="1" wp14:anchorId="0AD1E055" wp14:editId="3097DF57">
                      <wp:simplePos x="0" y="0"/>
                      <wp:positionH relativeFrom="margin">
                        <wp:align>center</wp:align>
                      </wp:positionH>
                      <wp:positionV relativeFrom="paragraph">
                        <wp:posOffset>716915</wp:posOffset>
                      </wp:positionV>
                      <wp:extent cx="952500" cy="228600"/>
                      <wp:effectExtent l="0" t="0" r="0" b="0"/>
                      <wp:wrapNone/>
                      <wp:docPr id="2718" name="Text Box 2718"/>
                      <wp:cNvGraphicFramePr/>
                      <a:graphic xmlns:a="http://schemas.openxmlformats.org/drawingml/2006/main">
                        <a:graphicData uri="http://schemas.microsoft.com/office/word/2010/wordprocessingShape">
                          <wps:wsp>
                            <wps:cNvSpPr txBox="1"/>
                            <wps:spPr>
                              <a:xfrm>
                                <a:off x="0" y="0"/>
                                <a:ext cx="952500" cy="228600"/>
                              </a:xfrm>
                              <a:prstGeom prst="rect">
                                <a:avLst/>
                              </a:prstGeom>
                              <a:noFill/>
                              <a:ln w="6350">
                                <a:noFill/>
                              </a:ln>
                            </wps:spPr>
                            <wps:txbx>
                              <w:txbxContent>
                                <w:p w14:paraId="1D74242A"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1E055" id="Text Box 2718" o:spid="_x0000_s1376" type="#_x0000_t202" style="position:absolute;margin-left:0;margin-top:56.45pt;width:75pt;height:18pt;z-index:2552279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" filled="f" stroked="f" strokeweight=".5pt">
                      <v:textbox>
                        <w:txbxContent>
                          <w:p w14:paraId="1D74242A"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EXAMPLES:</w:t>
                            </w:r>
                          </w:p>
                        </w:txbxContent>
                      </v:textbox>
                      <w10:wrap anchorx="margin"/>
                    </v:shape>
                  </w:pict>
                </mc:Fallback>
              </mc:AlternateContent>
            </w:r>
          </w:p>
        </w:tc>
        <w:tc>
          <w:tcPr>
            <w:tcW w:w="8618" w:type="dxa"/>
          </w:tcPr>
          <w:p w14:paraId="102ED161" w14:textId="77777777" w:rsidR="00C80E06" w:rsidRDefault="00C80E06" w:rsidP="00C80E06">
            <w:pPr>
              <w:pStyle w:val="ListParagraph"/>
              <w:ind w:left="167" w:right="295"/>
              <w:contextualSpacing/>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6F2341D7" w14:textId="77777777" w:rsidR="00C80E06" w:rsidRPr="003625BA" w:rsidRDefault="00C80E06" w:rsidP="00C80E06">
            <w:pPr>
              <w:pStyle w:val="ListParagraph"/>
              <w:numPr>
                <w:ilvl w:val="0"/>
                <w:numId w:val="183"/>
              </w:numPr>
              <w:ind w:right="295"/>
              <w:contextualSpacing/>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Ghana’s budget documents can be found on this </w:t>
            </w:r>
            <w:hyperlink r:id="rId674">
              <w:r w:rsidRPr="003625BA">
                <w:rPr>
                  <w:rStyle w:val="Hyperlink"/>
                  <w:rFonts w:ascii="Roboto" w:hAnsi="Roboto"/>
                  <w:sz w:val="20"/>
                  <w:szCs w:val="20"/>
                </w:rPr>
                <w:t>link</w:t>
              </w:r>
            </w:hyperlink>
            <w:r w:rsidRPr="003625BA">
              <w:rPr>
                <w:rFonts w:ascii="Roboto" w:hAnsi="Roboto"/>
                <w:sz w:val="20"/>
                <w:szCs w:val="20"/>
              </w:rPr>
              <w:t>.</w:t>
            </w:r>
          </w:p>
          <w:p w14:paraId="36A1B983" w14:textId="77777777" w:rsidR="00C80E06" w:rsidRPr="003625BA" w:rsidRDefault="00C80E06" w:rsidP="00C80E06">
            <w:pPr>
              <w:pStyle w:val="ListParagraph"/>
              <w:numPr>
                <w:ilvl w:val="0"/>
                <w:numId w:val="183"/>
              </w:numPr>
              <w:ind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r w:rsidRPr="003625BA">
              <w:rPr>
                <w:rFonts w:ascii="Roboto" w:hAnsi="Roboto"/>
                <w:sz w:val="20"/>
                <w:szCs w:val="20"/>
              </w:rPr>
              <w:t xml:space="preserve">The IBP has published OBI training materials for governments on the mid-year review that can be found on this </w:t>
            </w:r>
            <w:hyperlink r:id="rId675">
              <w:r w:rsidRPr="003625BA">
                <w:rPr>
                  <w:rStyle w:val="Hyperlink"/>
                  <w:rFonts w:ascii="Roboto" w:hAnsi="Roboto"/>
                  <w:sz w:val="20"/>
                  <w:szCs w:val="20"/>
                </w:rPr>
                <w:t>link</w:t>
              </w:r>
            </w:hyperlink>
            <w:r w:rsidRPr="003625BA">
              <w:rPr>
                <w:rFonts w:ascii="Roboto" w:hAnsi="Roboto"/>
                <w:sz w:val="20"/>
                <w:szCs w:val="20"/>
              </w:rPr>
              <w:t>.</w:t>
            </w:r>
          </w:p>
          <w:p w14:paraId="75569959"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293B9AD4" w14:textId="58BF5E66" w:rsidR="00541C3B" w:rsidRPr="00541C3B" w:rsidRDefault="0051008A" w:rsidP="003625BA">
      <w:pPr>
        <w:rPr>
          <w:rFonts w:ascii="Arial" w:hAnsi="Arial" w:cs="Arial"/>
          <w:sz w:val="24"/>
          <w:szCs w:val="24"/>
        </w:rPr>
      </w:pPr>
      <w:r>
        <w:rPr>
          <w:noProof/>
          <w:lang w:val="en-US"/>
        </w:rPr>
        <w:t xml:space="preserve"> </w:t>
      </w:r>
    </w:p>
    <w:p w14:paraId="56F3F29C" w14:textId="77777777" w:rsidR="005C4034" w:rsidRDefault="005C4034" w:rsidP="00541C3B">
      <w:pPr>
        <w:rPr>
          <w:rFonts w:ascii="Arial" w:hAnsi="Arial" w:cs="Arial"/>
          <w:sz w:val="24"/>
          <w:szCs w:val="24"/>
        </w:rPr>
      </w:pPr>
    </w:p>
    <w:p w14:paraId="558BBC22" w14:textId="77777777" w:rsidR="0051008A" w:rsidRDefault="0051008A" w:rsidP="001F4998">
      <w:pPr>
        <w:shd w:val="clear" w:color="auto" w:fill="FFFFFF" w:themeFill="background1"/>
        <w:rPr>
          <w:rFonts w:ascii="Arial" w:hAnsi="Arial" w:cs="Arial"/>
          <w:b/>
          <w:color w:val="F26D24"/>
          <w:sz w:val="24"/>
          <w:szCs w:val="24"/>
        </w:rPr>
      </w:pPr>
    </w:p>
    <w:p w14:paraId="34609FF4" w14:textId="77777777" w:rsidR="0051008A" w:rsidRDefault="0051008A" w:rsidP="001F4998">
      <w:pPr>
        <w:shd w:val="clear" w:color="auto" w:fill="FFFFFF" w:themeFill="background1"/>
        <w:rPr>
          <w:rFonts w:ascii="Arial" w:hAnsi="Arial" w:cs="Arial"/>
          <w:b/>
          <w:color w:val="F26D24"/>
          <w:sz w:val="24"/>
          <w:szCs w:val="24"/>
        </w:rPr>
      </w:pPr>
    </w:p>
    <w:p w14:paraId="68A412A1" w14:textId="77777777" w:rsidR="0051008A" w:rsidRDefault="0051008A" w:rsidP="001F4998">
      <w:pPr>
        <w:shd w:val="clear" w:color="auto" w:fill="FFFFFF" w:themeFill="background1"/>
        <w:rPr>
          <w:rFonts w:ascii="Arial" w:hAnsi="Arial" w:cs="Arial"/>
          <w:b/>
          <w:color w:val="F26D24"/>
          <w:sz w:val="24"/>
          <w:szCs w:val="24"/>
        </w:rPr>
      </w:pPr>
    </w:p>
    <w:p w14:paraId="2F16414A" w14:textId="77777777" w:rsidR="0051008A" w:rsidRDefault="0051008A" w:rsidP="001F4998">
      <w:pPr>
        <w:shd w:val="clear" w:color="auto" w:fill="FFFFFF" w:themeFill="background1"/>
        <w:rPr>
          <w:rFonts w:ascii="Arial" w:hAnsi="Arial" w:cs="Arial"/>
          <w:b/>
          <w:color w:val="F26D24"/>
          <w:sz w:val="24"/>
          <w:szCs w:val="24"/>
        </w:rPr>
      </w:pPr>
    </w:p>
    <w:p w14:paraId="63EB5B28" w14:textId="77777777" w:rsidR="0051008A" w:rsidRDefault="0051008A" w:rsidP="001F4998">
      <w:pPr>
        <w:shd w:val="clear" w:color="auto" w:fill="FFFFFF" w:themeFill="background1"/>
        <w:rPr>
          <w:rFonts w:ascii="Arial" w:hAnsi="Arial" w:cs="Arial"/>
          <w:b/>
          <w:color w:val="F26D24"/>
          <w:sz w:val="24"/>
          <w:szCs w:val="24"/>
        </w:rPr>
      </w:pPr>
    </w:p>
    <w:p w14:paraId="29814E6D" w14:textId="77777777" w:rsidR="0051008A" w:rsidRDefault="0051008A" w:rsidP="001F4998">
      <w:pPr>
        <w:shd w:val="clear" w:color="auto" w:fill="FFFFFF" w:themeFill="background1"/>
        <w:rPr>
          <w:rFonts w:ascii="Arial" w:hAnsi="Arial" w:cs="Arial"/>
          <w:b/>
          <w:color w:val="F26D24"/>
          <w:sz w:val="24"/>
          <w:szCs w:val="24"/>
        </w:rPr>
      </w:pPr>
    </w:p>
    <w:p w14:paraId="04B79A70" w14:textId="77777777" w:rsidR="0051008A" w:rsidRDefault="0051008A" w:rsidP="001F4998">
      <w:pPr>
        <w:shd w:val="clear" w:color="auto" w:fill="FFFFFF" w:themeFill="background1"/>
        <w:rPr>
          <w:rFonts w:ascii="Arial" w:hAnsi="Arial" w:cs="Arial"/>
          <w:b/>
          <w:color w:val="F26D24"/>
          <w:sz w:val="24"/>
          <w:szCs w:val="24"/>
        </w:rPr>
      </w:pPr>
    </w:p>
    <w:p w14:paraId="43173979" w14:textId="77777777" w:rsidR="0051008A" w:rsidRDefault="0051008A" w:rsidP="001F4998">
      <w:pPr>
        <w:shd w:val="clear" w:color="auto" w:fill="FFFFFF" w:themeFill="background1"/>
        <w:rPr>
          <w:rFonts w:ascii="Arial" w:hAnsi="Arial" w:cs="Arial"/>
          <w:b/>
          <w:color w:val="F26D24"/>
          <w:sz w:val="24"/>
          <w:szCs w:val="24"/>
        </w:rPr>
      </w:pPr>
    </w:p>
    <w:p w14:paraId="6A8616AE" w14:textId="77777777" w:rsidR="0051008A" w:rsidRDefault="0051008A" w:rsidP="001F4998">
      <w:pPr>
        <w:shd w:val="clear" w:color="auto" w:fill="FFFFFF" w:themeFill="background1"/>
        <w:rPr>
          <w:rFonts w:ascii="Arial" w:hAnsi="Arial" w:cs="Arial"/>
          <w:b/>
          <w:color w:val="F26D24"/>
          <w:sz w:val="24"/>
          <w:szCs w:val="24"/>
        </w:rPr>
      </w:pPr>
    </w:p>
    <w:p w14:paraId="4F9D6D14" w14:textId="77777777" w:rsidR="0051008A" w:rsidRDefault="0051008A" w:rsidP="001F4998">
      <w:pPr>
        <w:shd w:val="clear" w:color="auto" w:fill="FFFFFF" w:themeFill="background1"/>
        <w:rPr>
          <w:rFonts w:ascii="Arial" w:hAnsi="Arial" w:cs="Arial"/>
          <w:b/>
          <w:color w:val="F26D24"/>
          <w:sz w:val="24"/>
          <w:szCs w:val="24"/>
        </w:rPr>
      </w:pPr>
    </w:p>
    <w:p w14:paraId="7DA72360" w14:textId="48BF4F32" w:rsidR="00541C3B" w:rsidRPr="00D25CE6" w:rsidRDefault="00AD5BE2" w:rsidP="00D25CE6">
      <w:pPr>
        <w:pStyle w:val="Heading3"/>
        <w:jc w:val="center"/>
        <w:rPr>
          <w:rFonts w:ascii="Arial" w:hAnsi="Arial" w:cs="Arial"/>
          <w:b/>
          <w:bCs/>
          <w:color w:val="F26D24"/>
          <w:sz w:val="20"/>
          <w:szCs w:val="20"/>
        </w:rPr>
      </w:pPr>
      <w:bookmarkStart w:id="1532" w:name="_Table_3.11._Supplementary"/>
      <w:bookmarkStart w:id="1533" w:name="_Toc123217442"/>
      <w:bookmarkEnd w:id="1532"/>
      <w:r>
        <w:br w:type="page"/>
      </w:r>
      <w:bookmarkStart w:id="1534" w:name="_Toc125566674"/>
      <w:r w:rsidR="0065711A" w:rsidRPr="00D25CE6">
        <w:rPr>
          <w:rFonts w:ascii="Arial" w:hAnsi="Arial" w:cs="Arial"/>
          <w:b/>
          <w:bCs/>
          <w:color w:val="F26D24"/>
          <w:sz w:val="20"/>
          <w:szCs w:val="20"/>
        </w:rPr>
        <w:lastRenderedPageBreak/>
        <w:t>Table 3.11</w:t>
      </w:r>
      <w:r w:rsidR="008616A4">
        <w:rPr>
          <w:rFonts w:ascii="Arial" w:hAnsi="Arial" w:cs="Arial"/>
          <w:b/>
          <w:bCs/>
          <w:color w:val="F26D24"/>
          <w:sz w:val="20"/>
          <w:szCs w:val="20"/>
        </w:rPr>
        <w:t>.</w:t>
      </w:r>
      <w:r w:rsidR="002555EE" w:rsidRPr="00D25CE6">
        <w:rPr>
          <w:rFonts w:ascii="Arial" w:hAnsi="Arial" w:cs="Arial"/>
          <w:b/>
          <w:bCs/>
          <w:color w:val="F26D24"/>
          <w:sz w:val="20"/>
          <w:szCs w:val="20"/>
        </w:rPr>
        <w:t xml:space="preserve"> </w:t>
      </w:r>
      <w:r w:rsidRPr="00D25CE6">
        <w:rPr>
          <w:rFonts w:ascii="Arial" w:hAnsi="Arial" w:cs="Arial"/>
          <w:b/>
          <w:bCs/>
          <w:color w:val="F26D24"/>
          <w:sz w:val="20"/>
          <w:szCs w:val="20"/>
        </w:rPr>
        <w:t>Supplementary budget</w:t>
      </w:r>
      <w:bookmarkEnd w:id="1533"/>
      <w:bookmarkEnd w:id="1534"/>
    </w:p>
    <w:tbl>
      <w:tblPr>
        <w:tblStyle w:val="GridTable5Dark-Accent2"/>
        <w:tblpPr w:leftFromText="180" w:rightFromText="180" w:vertAnchor="page" w:horzAnchor="margin" w:tblpY="1761"/>
        <w:tblW w:w="0" w:type="auto"/>
        <w:tblLook w:val="04A0" w:firstRow="1" w:lastRow="0" w:firstColumn="1" w:lastColumn="0" w:noHBand="0" w:noVBand="1"/>
      </w:tblPr>
      <w:tblGrid>
        <w:gridCol w:w="1838"/>
        <w:gridCol w:w="8618"/>
      </w:tblGrid>
      <w:tr w:rsidR="00C80E06" w14:paraId="1AB51073" w14:textId="77777777" w:rsidTr="00C80E06">
        <w:trPr>
          <w:cnfStyle w:val="100000000000" w:firstRow="1" w:lastRow="0" w:firstColumn="0" w:lastColumn="0" w:oddVBand="0" w:evenVBand="0" w:oddHBand="0"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tcPr>
          <w:p w14:paraId="6E10558D" w14:textId="77777777" w:rsidR="00C80E06" w:rsidRDefault="00C80E06" w:rsidP="00C80E06">
            <w:pPr>
              <w:rPr>
                <w:b w:val="0"/>
                <w:bCs w:val="0"/>
              </w:rPr>
            </w:pPr>
            <w:r>
              <w:rPr>
                <w:noProof/>
                <w:lang w:val="en-US"/>
              </w:rPr>
              <w:drawing>
                <wp:anchor distT="0" distB="0" distL="114300" distR="114300" simplePos="0" relativeHeight="255229950" behindDoc="0" locked="0" layoutInCell="1" allowOverlap="1" wp14:anchorId="4DB39809" wp14:editId="0C833135">
                  <wp:simplePos x="0" y="0"/>
                  <wp:positionH relativeFrom="margin">
                    <wp:posOffset>185420</wp:posOffset>
                  </wp:positionH>
                  <wp:positionV relativeFrom="paragraph">
                    <wp:posOffset>162433</wp:posOffset>
                  </wp:positionV>
                  <wp:extent cx="659130" cy="659130"/>
                  <wp:effectExtent l="0" t="0" r="0" b="0"/>
                  <wp:wrapNone/>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p>
          <w:p w14:paraId="03AEF7A1" w14:textId="77777777" w:rsidR="00C80E06" w:rsidRPr="007137E1" w:rsidRDefault="00C80E06" w:rsidP="00C80E06"/>
          <w:p w14:paraId="6A5E97F4" w14:textId="77777777" w:rsidR="00C80E06" w:rsidRDefault="00C80E06" w:rsidP="00C80E06">
            <w:pPr>
              <w:rPr>
                <w:b w:val="0"/>
                <w:bCs w:val="0"/>
              </w:rPr>
            </w:pPr>
          </w:p>
          <w:p w14:paraId="49F85BE2" w14:textId="6C327436" w:rsidR="00C80E06" w:rsidRDefault="00C80E06" w:rsidP="00C80E06">
            <w:pPr>
              <w:rPr>
                <w:b w:val="0"/>
                <w:bCs w:val="0"/>
              </w:rPr>
            </w:pPr>
          </w:p>
          <w:p w14:paraId="57E9CAB0" w14:textId="66A12E1B" w:rsidR="00C80E06" w:rsidRPr="00F3033C" w:rsidRDefault="0096076C" w:rsidP="00C80E06">
            <w:r>
              <w:rPr>
                <w:noProof/>
                <w:lang w:val="en-US"/>
              </w:rPr>
              <mc:AlternateContent>
                <mc:Choice Requires="wps">
                  <w:drawing>
                    <wp:anchor distT="0" distB="0" distL="114300" distR="114300" simplePos="0" relativeHeight="255230974" behindDoc="0" locked="0" layoutInCell="1" allowOverlap="1" wp14:anchorId="0EE2E1DE" wp14:editId="1249B582">
                      <wp:simplePos x="0" y="0"/>
                      <wp:positionH relativeFrom="margin">
                        <wp:posOffset>83820</wp:posOffset>
                      </wp:positionH>
                      <wp:positionV relativeFrom="paragraph">
                        <wp:posOffset>65913</wp:posOffset>
                      </wp:positionV>
                      <wp:extent cx="861695" cy="266700"/>
                      <wp:effectExtent l="0" t="0" r="0" b="0"/>
                      <wp:wrapNone/>
                      <wp:docPr id="2201" name="Text Box 2201"/>
                      <wp:cNvGraphicFramePr/>
                      <a:graphic xmlns:a="http://schemas.openxmlformats.org/drawingml/2006/main">
                        <a:graphicData uri="http://schemas.microsoft.com/office/word/2010/wordprocessingShape">
                          <wps:wsp>
                            <wps:cNvSpPr txBox="1"/>
                            <wps:spPr>
                              <a:xfrm>
                                <a:off x="0" y="0"/>
                                <a:ext cx="861695" cy="266700"/>
                              </a:xfrm>
                              <a:prstGeom prst="rect">
                                <a:avLst/>
                              </a:prstGeom>
                              <a:noFill/>
                              <a:ln w="6350">
                                <a:noFill/>
                              </a:ln>
                            </wps:spPr>
                            <wps:txbx>
                              <w:txbxContent>
                                <w:p w14:paraId="1A6DECF3"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2E1DE" id="Text Box 2201" o:spid="_x0000_s1377" type="#_x0000_t202" style="position:absolute;margin-left:6.6pt;margin-top:5.2pt;width:67.85pt;height:21pt;z-index:2552309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" filled="f" stroked="f" strokeweight=".5pt">
                      <v:textbox>
                        <w:txbxContent>
                          <w:p w14:paraId="1A6DECF3"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v:textbox>
                      <w10:wrap anchorx="margin"/>
                    </v:shape>
                  </w:pict>
                </mc:Fallback>
              </mc:AlternateContent>
            </w:r>
          </w:p>
        </w:tc>
        <w:tc>
          <w:tcPr>
            <w:tcW w:w="8618" w:type="dxa"/>
            <w:tcBorders>
              <w:left w:val="single" w:sz="4" w:space="0" w:color="FFFFFF" w:themeColor="background1"/>
            </w:tcBorders>
            <w:shd w:val="clear" w:color="auto" w:fill="FBE4D5" w:themeFill="accent2" w:themeFillTint="33"/>
          </w:tcPr>
          <w:p w14:paraId="3F1196C2" w14:textId="77777777" w:rsid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p w14:paraId="4EDF4F40" w14:textId="77777777" w:rsidR="00C80E06" w:rsidRDefault="00C80E06"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color w:val="000000" w:themeColor="text1"/>
                <w:sz w:val="20"/>
                <w:szCs w:val="20"/>
              </w:rPr>
            </w:pPr>
            <w:r w:rsidRPr="00C80E06">
              <w:rPr>
                <w:rFonts w:ascii="Roboto" w:hAnsi="Roboto"/>
                <w:b w:val="0"/>
                <w:bCs w:val="0"/>
                <w:color w:val="000000" w:themeColor="text1"/>
                <w:sz w:val="20"/>
                <w:szCs w:val="20"/>
              </w:rPr>
              <w:t>As required and provided for in a country’s legislation.</w:t>
            </w:r>
          </w:p>
          <w:p w14:paraId="03FB68A4" w14:textId="77777777" w:rsidR="0096076C" w:rsidRDefault="0096076C"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color w:val="000000" w:themeColor="text1"/>
                <w:sz w:val="20"/>
                <w:szCs w:val="20"/>
              </w:rPr>
            </w:pPr>
          </w:p>
          <w:p w14:paraId="557E302D" w14:textId="77777777" w:rsidR="0096076C" w:rsidRDefault="0096076C"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color w:val="000000" w:themeColor="text1"/>
                <w:sz w:val="20"/>
                <w:szCs w:val="20"/>
              </w:rPr>
            </w:pPr>
          </w:p>
          <w:p w14:paraId="77595C29" w14:textId="77777777" w:rsidR="0096076C" w:rsidRDefault="0096076C"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color w:val="000000" w:themeColor="text1"/>
                <w:sz w:val="20"/>
                <w:szCs w:val="20"/>
              </w:rPr>
            </w:pPr>
          </w:p>
          <w:p w14:paraId="1A8F9E25" w14:textId="77777777" w:rsidR="0096076C" w:rsidRDefault="0096076C"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color w:val="000000" w:themeColor="text1"/>
                <w:sz w:val="20"/>
                <w:szCs w:val="20"/>
              </w:rPr>
            </w:pPr>
          </w:p>
          <w:p w14:paraId="20D15BA2" w14:textId="3A3190DF" w:rsidR="0096076C" w:rsidRPr="00C80E06" w:rsidRDefault="0096076C" w:rsidP="00C80E06">
            <w:pPr>
              <w:ind w:left="167"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sz w:val="20"/>
                <w:szCs w:val="20"/>
              </w:rPr>
            </w:pPr>
          </w:p>
        </w:tc>
      </w:tr>
      <w:tr w:rsidR="00C80E06" w14:paraId="12DCFBC2" w14:textId="77777777" w:rsidTr="00C80E06">
        <w:trPr>
          <w:cnfStyle w:val="000000100000" w:firstRow="0" w:lastRow="0" w:firstColumn="0" w:lastColumn="0" w:oddVBand="0" w:evenVBand="0" w:oddHBand="1" w:evenHBand="0" w:firstRowFirstColumn="0" w:firstRowLastColumn="0" w:lastRowFirstColumn="0" w:lastRowLastColumn="0"/>
          <w:trHeight w:val="2824"/>
        </w:trPr>
        <w:tc>
          <w:tcPr>
            <w:cnfStyle w:val="001000000000" w:firstRow="0" w:lastRow="0" w:firstColumn="1" w:lastColumn="0" w:oddVBand="0" w:evenVBand="0" w:oddHBand="0" w:evenHBand="0" w:firstRowFirstColumn="0" w:firstRowLastColumn="0" w:lastRowFirstColumn="0" w:lastRowLastColumn="0"/>
            <w:tcW w:w="1838" w:type="dxa"/>
          </w:tcPr>
          <w:p w14:paraId="2F44C0E7" w14:textId="64474486" w:rsidR="00C80E06" w:rsidRDefault="00057172" w:rsidP="00C80E06">
            <w:r>
              <w:rPr>
                <w:noProof/>
                <w:lang w:val="en-US"/>
              </w:rPr>
              <mc:AlternateContent>
                <mc:Choice Requires="wps">
                  <w:drawing>
                    <wp:anchor distT="0" distB="0" distL="114300" distR="114300" simplePos="0" relativeHeight="255233022" behindDoc="0" locked="0" layoutInCell="1" allowOverlap="1" wp14:anchorId="4B44A345" wp14:editId="7190EA3E">
                      <wp:simplePos x="0" y="0"/>
                      <wp:positionH relativeFrom="margin">
                        <wp:posOffset>-5080</wp:posOffset>
                      </wp:positionH>
                      <wp:positionV relativeFrom="paragraph">
                        <wp:posOffset>869315</wp:posOffset>
                      </wp:positionV>
                      <wp:extent cx="1039495" cy="311150"/>
                      <wp:effectExtent l="0" t="0" r="0" b="0"/>
                      <wp:wrapNone/>
                      <wp:docPr id="2203" name="Text Box 2203"/>
                      <wp:cNvGraphicFramePr/>
                      <a:graphic xmlns:a="http://schemas.openxmlformats.org/drawingml/2006/main">
                        <a:graphicData uri="http://schemas.microsoft.com/office/word/2010/wordprocessingShape">
                          <wps:wsp>
                            <wps:cNvSpPr txBox="1"/>
                            <wps:spPr>
                              <a:xfrm>
                                <a:off x="0" y="0"/>
                                <a:ext cx="1039495" cy="311150"/>
                              </a:xfrm>
                              <a:prstGeom prst="rect">
                                <a:avLst/>
                              </a:prstGeom>
                              <a:noFill/>
                              <a:ln w="6350">
                                <a:noFill/>
                              </a:ln>
                            </wps:spPr>
                            <wps:txbx>
                              <w:txbxContent>
                                <w:p w14:paraId="0627F5A1"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4A345" id="Text Box 2203" o:spid="_x0000_s1378" type="#_x0000_t202" style="position:absolute;margin-left:-.4pt;margin-top:68.45pt;width:81.85pt;height:24.5pt;z-index:2552330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" filled="f" stroked="f" strokeweight=".5pt">
                      <v:textbox>
                        <w:txbxContent>
                          <w:p w14:paraId="0627F5A1"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v:textbox>
                      <w10:wrap anchorx="margin"/>
                    </v:shape>
                  </w:pict>
                </mc:Fallback>
              </mc:AlternateContent>
            </w:r>
            <w:r>
              <w:rPr>
                <w:noProof/>
                <w:lang w:val="en-US"/>
              </w:rPr>
              <w:drawing>
                <wp:anchor distT="0" distB="0" distL="114300" distR="114300" simplePos="0" relativeHeight="255231998" behindDoc="0" locked="0" layoutInCell="1" allowOverlap="1" wp14:anchorId="6043F6B9" wp14:editId="2FA51376">
                  <wp:simplePos x="0" y="0"/>
                  <wp:positionH relativeFrom="margin">
                    <wp:posOffset>185420</wp:posOffset>
                  </wp:positionH>
                  <wp:positionV relativeFrom="paragraph">
                    <wp:posOffset>190500</wp:posOffset>
                  </wp:positionV>
                  <wp:extent cx="658495" cy="658495"/>
                  <wp:effectExtent l="0" t="0" r="0" b="0"/>
                  <wp:wrapNone/>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618" w:type="dxa"/>
          </w:tcPr>
          <w:p w14:paraId="7BA92F70" w14:textId="77777777" w:rsidR="00C80E06"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248DCD81" w14:textId="6DD03A7D"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The supplementary budget contains proposed amendments to the main annual budget. This can include the executive asking for more money, or reallocating existing money, or reducing spending. This could be required for example due to changing economic forecasts, leading to revenues being lower/higher than anticipated, and adjustments needing to be made to expenditures; and/or due to emergencies, such as health pandemics and natural disasters. Like the main budget, the supplementary is tabled by the Minister of Finance in the legislature to get approval for significant additions or changes to allocations which were not foreseen at the time of the origi</w:t>
            </w:r>
            <w:r w:rsidR="005C31F3">
              <w:rPr>
                <w:rFonts w:ascii="Roboto" w:hAnsi="Roboto"/>
                <w:sz w:val="20"/>
                <w:szCs w:val="20"/>
              </w:rPr>
              <w:t>nal budget and appropriations (i</w:t>
            </w:r>
            <w:r w:rsidRPr="003625BA">
              <w:rPr>
                <w:rFonts w:ascii="Roboto" w:hAnsi="Roboto"/>
                <w:sz w:val="20"/>
                <w:szCs w:val="20"/>
              </w:rPr>
              <w:t>t should be noted though that in addition to legal frameworks making provision for potential adjustments to budgets, within that they typically also include provisions related specifically to emergency spending).</w:t>
            </w:r>
          </w:p>
          <w:p w14:paraId="6F11A467" w14:textId="77777777" w:rsidR="00C80E06" w:rsidRPr="003625BA" w:rsidRDefault="00C80E06" w:rsidP="00C80E06">
            <w:pPr>
              <w:tabs>
                <w:tab w:val="left" w:pos="6526"/>
              </w:tabs>
              <w:ind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C80E06" w14:paraId="4FAAB662" w14:textId="77777777" w:rsidTr="00C80E06">
        <w:trPr>
          <w:trHeight w:val="2542"/>
        </w:trPr>
        <w:tc>
          <w:tcPr>
            <w:cnfStyle w:val="001000000000" w:firstRow="0" w:lastRow="0" w:firstColumn="1" w:lastColumn="0" w:oddVBand="0" w:evenVBand="0" w:oddHBand="0" w:evenHBand="0" w:firstRowFirstColumn="0" w:firstRowLastColumn="0" w:lastRowFirstColumn="0" w:lastRowLastColumn="0"/>
            <w:tcW w:w="1838" w:type="dxa"/>
          </w:tcPr>
          <w:p w14:paraId="42B2EA2A" w14:textId="372DC3C5" w:rsidR="00C80E06" w:rsidRDefault="00057172" w:rsidP="00C80E06">
            <w:pPr>
              <w:rPr>
                <w:b w:val="0"/>
                <w:bCs w:val="0"/>
              </w:rPr>
            </w:pPr>
            <w:r>
              <w:rPr>
                <w:noProof/>
                <w:lang w:val="en-US"/>
              </w:rPr>
              <mc:AlternateContent>
                <mc:Choice Requires="wps">
                  <w:drawing>
                    <wp:anchor distT="0" distB="0" distL="114300" distR="114300" simplePos="0" relativeHeight="255235070" behindDoc="0" locked="0" layoutInCell="1" allowOverlap="1" wp14:anchorId="308B9B80" wp14:editId="5A9BC59D">
                      <wp:simplePos x="0" y="0"/>
                      <wp:positionH relativeFrom="margin">
                        <wp:posOffset>39370</wp:posOffset>
                      </wp:positionH>
                      <wp:positionV relativeFrom="paragraph">
                        <wp:posOffset>805815</wp:posOffset>
                      </wp:positionV>
                      <wp:extent cx="950595" cy="311150"/>
                      <wp:effectExtent l="0" t="0" r="0" b="0"/>
                      <wp:wrapNone/>
                      <wp:docPr id="2205" name="Text Box 2205"/>
                      <wp:cNvGraphicFramePr/>
                      <a:graphic xmlns:a="http://schemas.openxmlformats.org/drawingml/2006/main">
                        <a:graphicData uri="http://schemas.microsoft.com/office/word/2010/wordprocessingShape">
                          <wps:wsp>
                            <wps:cNvSpPr txBox="1"/>
                            <wps:spPr>
                              <a:xfrm>
                                <a:off x="0" y="0"/>
                                <a:ext cx="950595" cy="311150"/>
                              </a:xfrm>
                              <a:prstGeom prst="rect">
                                <a:avLst/>
                              </a:prstGeom>
                              <a:noFill/>
                              <a:ln w="6350">
                                <a:noFill/>
                              </a:ln>
                            </wps:spPr>
                            <wps:txbx>
                              <w:txbxContent>
                                <w:p w14:paraId="4606E2AD"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B9B80" id="Text Box 2205" o:spid="_x0000_s1379" type="#_x0000_t202" style="position:absolute;margin-left:3.1pt;margin-top:63.45pt;width:74.85pt;height:24.5pt;z-index:2552350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" filled="f" stroked="f" strokeweight=".5pt">
                      <v:textbox>
                        <w:txbxContent>
                          <w:p w14:paraId="4606E2AD"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v:textbox>
                      <w10:wrap anchorx="margin"/>
                    </v:shape>
                  </w:pict>
                </mc:Fallback>
              </mc:AlternateContent>
            </w:r>
            <w:r>
              <w:rPr>
                <w:noProof/>
                <w:lang w:val="en-US"/>
              </w:rPr>
              <w:drawing>
                <wp:anchor distT="0" distB="0" distL="114300" distR="114300" simplePos="0" relativeHeight="255234046" behindDoc="1" locked="0" layoutInCell="1" allowOverlap="1" wp14:anchorId="49161D00" wp14:editId="2422802B">
                  <wp:simplePos x="0" y="0"/>
                  <wp:positionH relativeFrom="margin">
                    <wp:posOffset>184785</wp:posOffset>
                  </wp:positionH>
                  <wp:positionV relativeFrom="paragraph">
                    <wp:posOffset>133985</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2211" name="Pictur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4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64CE18EF" w14:textId="1A023FB5" w:rsidR="00C80E06" w:rsidRDefault="00C80E06" w:rsidP="00C80E06">
            <w:pPr>
              <w:rPr>
                <w:b w:val="0"/>
                <w:bCs w:val="0"/>
              </w:rPr>
            </w:pPr>
          </w:p>
          <w:p w14:paraId="519F7432" w14:textId="77777777" w:rsidR="00C80E06" w:rsidRDefault="00C80E06" w:rsidP="00C80E06">
            <w:pPr>
              <w:rPr>
                <w:b w:val="0"/>
                <w:bCs w:val="0"/>
              </w:rPr>
            </w:pPr>
          </w:p>
          <w:p w14:paraId="6D39872A" w14:textId="77777777" w:rsidR="00C80E06" w:rsidRDefault="00C80E06" w:rsidP="00C80E06"/>
        </w:tc>
        <w:tc>
          <w:tcPr>
            <w:tcW w:w="8618" w:type="dxa"/>
          </w:tcPr>
          <w:p w14:paraId="530350C4" w14:textId="77777777" w:rsidR="00C80E06" w:rsidRDefault="00C80E06" w:rsidP="00C80E06">
            <w:pPr>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413E4871" w14:textId="77777777" w:rsidR="00C80E06" w:rsidRPr="003625BA" w:rsidRDefault="00C80E06" w:rsidP="00C80E06">
            <w:pPr>
              <w:ind w:left="167"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 xml:space="preserve">A supplementary budget should put forward all proposed amendments in a manner consistent with the original budget presentation, at the same level of detail as the main budget, clearly showing the adjustments for which legislative approval is being sought. As in the main budget, the Minister of Finance formally tables the adjustments budget bill/s required and accompanying explanatory document/documentation in the legislature. Documentation should clearly show the amendments being proposed; the effect of these changes on the information originally tabled in the budget and include explanations for each change, including the basis for the supplementary budget measures put forward.   </w:t>
            </w:r>
          </w:p>
          <w:p w14:paraId="0D6DFDB5" w14:textId="77777777" w:rsidR="00C80E06" w:rsidRPr="003625BA" w:rsidRDefault="00C80E06" w:rsidP="00C80E06">
            <w:pPr>
              <w:tabs>
                <w:tab w:val="left" w:pos="5200"/>
              </w:tabs>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4B59C3A6" w14:textId="77777777" w:rsidTr="00C80E06">
        <w:trPr>
          <w:cnfStyle w:val="000000100000" w:firstRow="0" w:lastRow="0" w:firstColumn="0" w:lastColumn="0" w:oddVBand="0" w:evenVBand="0" w:oddHBand="1" w:evenHBand="0" w:firstRowFirstColumn="0" w:firstRowLastColumn="0" w:lastRowFirstColumn="0" w:lastRowLastColumn="0"/>
          <w:trHeight w:val="1183"/>
        </w:trPr>
        <w:tc>
          <w:tcPr>
            <w:cnfStyle w:val="001000000000" w:firstRow="0" w:lastRow="0" w:firstColumn="1" w:lastColumn="0" w:oddVBand="0" w:evenVBand="0" w:oddHBand="0" w:evenHBand="0" w:firstRowFirstColumn="0" w:firstRowLastColumn="0" w:lastRowFirstColumn="0" w:lastRowLastColumn="0"/>
            <w:tcW w:w="1838" w:type="dxa"/>
          </w:tcPr>
          <w:p w14:paraId="6323BF31" w14:textId="77777777" w:rsidR="00C80E06" w:rsidRDefault="00C80E06" w:rsidP="00C80E06">
            <w:pPr>
              <w:rPr>
                <w:b w:val="0"/>
                <w:bCs w:val="0"/>
                <w:noProof/>
              </w:rPr>
            </w:pPr>
            <w:r>
              <w:rPr>
                <w:noProof/>
                <w:lang w:val="en-US"/>
              </w:rPr>
              <w:drawing>
                <wp:anchor distT="0" distB="0" distL="114300" distR="114300" simplePos="0" relativeHeight="255236094" behindDoc="1" locked="0" layoutInCell="1" allowOverlap="1" wp14:anchorId="0BA4EE85" wp14:editId="515F2CC5">
                  <wp:simplePos x="0" y="0"/>
                  <wp:positionH relativeFrom="margin">
                    <wp:align>center</wp:align>
                  </wp:positionH>
                  <wp:positionV relativeFrom="paragraph">
                    <wp:posOffset>145415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2212" name="Picture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6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5237118" behindDoc="0" locked="0" layoutInCell="1" allowOverlap="1" wp14:anchorId="4B457435" wp14:editId="4287EBA5">
                      <wp:simplePos x="0" y="0"/>
                      <wp:positionH relativeFrom="margin">
                        <wp:align>center</wp:align>
                      </wp:positionH>
                      <wp:positionV relativeFrom="paragraph">
                        <wp:posOffset>807085</wp:posOffset>
                      </wp:positionV>
                      <wp:extent cx="938530" cy="241300"/>
                      <wp:effectExtent l="0" t="0" r="0" b="0"/>
                      <wp:wrapNone/>
                      <wp:docPr id="2207" name="Text Box 2207"/>
                      <wp:cNvGraphicFramePr/>
                      <a:graphic xmlns:a="http://schemas.openxmlformats.org/drawingml/2006/main">
                        <a:graphicData uri="http://schemas.microsoft.com/office/word/2010/wordprocessingShape">
                          <wps:wsp>
                            <wps:cNvSpPr txBox="1"/>
                            <wps:spPr>
                              <a:xfrm>
                                <a:off x="0" y="0"/>
                                <a:ext cx="938530" cy="241300"/>
                              </a:xfrm>
                              <a:prstGeom prst="rect">
                                <a:avLst/>
                              </a:prstGeom>
                              <a:noFill/>
                              <a:ln w="6350">
                                <a:noFill/>
                              </a:ln>
                            </wps:spPr>
                            <wps:txbx>
                              <w:txbxContent>
                                <w:p w14:paraId="1132E1BD"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57435" id="Text Box 2207" o:spid="_x0000_s1380" type="#_x0000_t202" style="position:absolute;margin-left:0;margin-top:63.55pt;width:73.9pt;height:19pt;z-index:25523711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" filled="f" stroked="f" strokeweight=".5pt">
                      <v:textbox>
                        <w:txbxContent>
                          <w:p w14:paraId="1132E1BD"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w:t>
                            </w:r>
                          </w:p>
                        </w:txbxContent>
                      </v:textbox>
                      <w10:wrap anchorx="margin"/>
                    </v:shape>
                  </w:pict>
                </mc:Fallback>
              </mc:AlternateContent>
            </w:r>
          </w:p>
        </w:tc>
        <w:tc>
          <w:tcPr>
            <w:tcW w:w="8618" w:type="dxa"/>
          </w:tcPr>
          <w:p w14:paraId="6D6AA2B9" w14:textId="77777777" w:rsidR="00C80E06"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2EF190F0" w14:textId="16641572" w:rsidR="00C80E06" w:rsidRPr="003625BA" w:rsidRDefault="00C80E06" w:rsidP="00C80E06">
            <w:pPr>
              <w:pStyle w:val="ListParagraph"/>
              <w:numPr>
                <w:ilvl w:val="0"/>
                <w:numId w:val="185"/>
              </w:numPr>
              <w:ind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r w:rsidRPr="003625BA">
              <w:rPr>
                <w:rFonts w:ascii="Roboto" w:hAnsi="Roboto"/>
                <w:sz w:val="20"/>
                <w:szCs w:val="20"/>
              </w:rPr>
              <w:t>The South African adjustments and supplementary budget documents (including the supplementary budget 2020 in response to COVID-19</w:t>
            </w:r>
            <w:r w:rsidR="0067211B">
              <w:rPr>
                <w:rStyle w:val="FootnoteReference"/>
                <w:rFonts w:ascii="Roboto" w:hAnsi="Roboto"/>
                <w:sz w:val="20"/>
                <w:szCs w:val="20"/>
              </w:rPr>
              <w:footnoteReference w:id="44"/>
            </w:r>
            <w:r w:rsidRPr="003625BA">
              <w:rPr>
                <w:rFonts w:ascii="Roboto" w:hAnsi="Roboto"/>
                <w:sz w:val="20"/>
                <w:szCs w:val="20"/>
              </w:rPr>
              <w:t>) can be found on this</w:t>
            </w:r>
            <w:r w:rsidRPr="003625BA">
              <w:rPr>
                <w:rFonts w:ascii="Roboto" w:hAnsi="Roboto"/>
                <w:b/>
                <w:bCs/>
                <w:sz w:val="20"/>
                <w:szCs w:val="20"/>
              </w:rPr>
              <w:t xml:space="preserve"> </w:t>
            </w:r>
            <w:hyperlink r:id="rId676">
              <w:r w:rsidRPr="003625BA">
                <w:rPr>
                  <w:rStyle w:val="Hyperlink"/>
                  <w:rFonts w:ascii="Roboto" w:hAnsi="Roboto"/>
                  <w:sz w:val="20"/>
                  <w:szCs w:val="20"/>
                </w:rPr>
                <w:t>link</w:t>
              </w:r>
            </w:hyperlink>
            <w:r w:rsidRPr="003625BA">
              <w:rPr>
                <w:rFonts w:ascii="Roboto" w:hAnsi="Roboto"/>
                <w:sz w:val="20"/>
                <w:szCs w:val="20"/>
              </w:rPr>
              <w:t xml:space="preserve"> under the budget information and legislation tabs.</w:t>
            </w:r>
          </w:p>
          <w:p w14:paraId="0452193D"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5C9EE8AA" w14:textId="3E2F4D3E" w:rsidR="00C80E06"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37B3236F" w14:textId="77777777" w:rsidR="0096076C" w:rsidRPr="003625BA" w:rsidRDefault="0096076C"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5750A1BD" w14:textId="77777777" w:rsidR="00C80E06" w:rsidRPr="003625BA" w:rsidRDefault="00C80E06" w:rsidP="00C80E06">
            <w:pPr>
              <w:ind w:left="167"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643D5454" w14:textId="4993B29C" w:rsidR="00437DCC" w:rsidRDefault="00437DCC" w:rsidP="00541C3B">
      <w:pPr>
        <w:tabs>
          <w:tab w:val="left" w:pos="1940"/>
        </w:tabs>
        <w:rPr>
          <w:rFonts w:ascii="Arial" w:hAnsi="Arial" w:cs="Arial"/>
          <w:sz w:val="24"/>
          <w:szCs w:val="24"/>
        </w:rPr>
      </w:pPr>
    </w:p>
    <w:p w14:paraId="4237D514" w14:textId="7ECB9702" w:rsidR="002555EE" w:rsidRDefault="002555EE" w:rsidP="00541C3B">
      <w:pPr>
        <w:tabs>
          <w:tab w:val="left" w:pos="1940"/>
        </w:tabs>
        <w:rPr>
          <w:rFonts w:ascii="Arial" w:hAnsi="Arial" w:cs="Arial"/>
          <w:sz w:val="24"/>
          <w:szCs w:val="24"/>
        </w:rPr>
      </w:pPr>
    </w:p>
    <w:p w14:paraId="636D25E7" w14:textId="1621A4EC" w:rsidR="002555EE" w:rsidRDefault="002555EE" w:rsidP="00541C3B">
      <w:pPr>
        <w:tabs>
          <w:tab w:val="left" w:pos="1940"/>
        </w:tabs>
        <w:rPr>
          <w:rFonts w:ascii="Arial" w:hAnsi="Arial" w:cs="Arial"/>
          <w:sz w:val="24"/>
          <w:szCs w:val="24"/>
        </w:rPr>
      </w:pPr>
    </w:p>
    <w:p w14:paraId="23C0A882" w14:textId="310D549A" w:rsidR="002555EE" w:rsidRDefault="002555EE" w:rsidP="00541C3B">
      <w:pPr>
        <w:tabs>
          <w:tab w:val="left" w:pos="1940"/>
        </w:tabs>
        <w:rPr>
          <w:rFonts w:ascii="Arial" w:hAnsi="Arial" w:cs="Arial"/>
          <w:sz w:val="24"/>
          <w:szCs w:val="24"/>
        </w:rPr>
      </w:pPr>
    </w:p>
    <w:p w14:paraId="67735576" w14:textId="4EA26E93" w:rsidR="002555EE" w:rsidRDefault="002555EE" w:rsidP="00541C3B">
      <w:pPr>
        <w:tabs>
          <w:tab w:val="left" w:pos="1940"/>
        </w:tabs>
        <w:rPr>
          <w:rFonts w:ascii="Arial" w:hAnsi="Arial" w:cs="Arial"/>
          <w:sz w:val="24"/>
          <w:szCs w:val="24"/>
        </w:rPr>
      </w:pPr>
    </w:p>
    <w:p w14:paraId="4878EE05" w14:textId="62500FE1" w:rsidR="002555EE" w:rsidRDefault="002555EE" w:rsidP="00541C3B">
      <w:pPr>
        <w:tabs>
          <w:tab w:val="left" w:pos="1940"/>
        </w:tabs>
        <w:rPr>
          <w:rFonts w:ascii="Arial" w:hAnsi="Arial" w:cs="Arial"/>
          <w:sz w:val="24"/>
          <w:szCs w:val="24"/>
        </w:rPr>
      </w:pPr>
    </w:p>
    <w:p w14:paraId="347E1151" w14:textId="636B1D73" w:rsidR="002555EE" w:rsidRDefault="002555EE" w:rsidP="00541C3B">
      <w:pPr>
        <w:tabs>
          <w:tab w:val="left" w:pos="1940"/>
        </w:tabs>
        <w:rPr>
          <w:rFonts w:ascii="Arial" w:hAnsi="Arial" w:cs="Arial"/>
          <w:sz w:val="24"/>
          <w:szCs w:val="24"/>
        </w:rPr>
      </w:pPr>
    </w:p>
    <w:p w14:paraId="1F55BA7E" w14:textId="36E034F6" w:rsidR="002555EE" w:rsidRDefault="002555EE" w:rsidP="00541C3B">
      <w:pPr>
        <w:tabs>
          <w:tab w:val="left" w:pos="1940"/>
        </w:tabs>
        <w:rPr>
          <w:rFonts w:ascii="Arial" w:hAnsi="Arial" w:cs="Arial"/>
          <w:sz w:val="24"/>
          <w:szCs w:val="24"/>
        </w:rPr>
      </w:pPr>
    </w:p>
    <w:p w14:paraId="525C9C41" w14:textId="45E3501D" w:rsidR="002555EE" w:rsidRDefault="002555EE" w:rsidP="00541C3B">
      <w:pPr>
        <w:tabs>
          <w:tab w:val="left" w:pos="1940"/>
        </w:tabs>
        <w:rPr>
          <w:rFonts w:ascii="Arial" w:hAnsi="Arial" w:cs="Arial"/>
          <w:sz w:val="24"/>
          <w:szCs w:val="24"/>
        </w:rPr>
      </w:pPr>
    </w:p>
    <w:p w14:paraId="3C8554F5" w14:textId="61C9B8AD" w:rsidR="002555EE" w:rsidRDefault="002555EE" w:rsidP="00541C3B">
      <w:pPr>
        <w:tabs>
          <w:tab w:val="left" w:pos="1940"/>
        </w:tabs>
        <w:rPr>
          <w:rFonts w:ascii="Arial" w:hAnsi="Arial" w:cs="Arial"/>
          <w:sz w:val="24"/>
          <w:szCs w:val="24"/>
        </w:rPr>
      </w:pPr>
    </w:p>
    <w:p w14:paraId="12BEA9EE" w14:textId="77777777" w:rsidR="002555EE" w:rsidRDefault="002555EE" w:rsidP="00541C3B">
      <w:pPr>
        <w:tabs>
          <w:tab w:val="left" w:pos="1940"/>
        </w:tabs>
        <w:rPr>
          <w:rFonts w:ascii="Arial" w:hAnsi="Arial" w:cs="Arial"/>
          <w:sz w:val="24"/>
          <w:szCs w:val="24"/>
        </w:rPr>
      </w:pPr>
    </w:p>
    <w:p w14:paraId="4269755F" w14:textId="4FD9FF0B" w:rsidR="00F3033C" w:rsidRPr="003625BA" w:rsidRDefault="0065711A" w:rsidP="003625BA">
      <w:pPr>
        <w:pStyle w:val="Heading3"/>
        <w:jc w:val="center"/>
        <w:rPr>
          <w:rFonts w:ascii="Arial" w:hAnsi="Arial" w:cs="Arial"/>
          <w:b/>
          <w:bCs/>
          <w:color w:val="ED5625"/>
          <w:sz w:val="20"/>
          <w:szCs w:val="20"/>
        </w:rPr>
      </w:pPr>
      <w:bookmarkStart w:id="1535" w:name="_Table_3.12._Year-end"/>
      <w:bookmarkStart w:id="1536" w:name="_Toc123914060"/>
      <w:bookmarkStart w:id="1537" w:name="_Toc125566675"/>
      <w:bookmarkStart w:id="1538" w:name="_Toc123217443"/>
      <w:bookmarkEnd w:id="1535"/>
      <w:r w:rsidRPr="003625BA">
        <w:rPr>
          <w:rFonts w:ascii="Arial" w:hAnsi="Arial" w:cs="Arial"/>
          <w:b/>
          <w:bCs/>
          <w:color w:val="ED5625"/>
          <w:sz w:val="20"/>
          <w:szCs w:val="20"/>
        </w:rPr>
        <w:lastRenderedPageBreak/>
        <w:t>Table 3.12</w:t>
      </w:r>
      <w:r w:rsidR="008616A4">
        <w:rPr>
          <w:rFonts w:ascii="Arial" w:hAnsi="Arial" w:cs="Arial"/>
          <w:b/>
          <w:bCs/>
          <w:color w:val="ED5625"/>
          <w:sz w:val="20"/>
          <w:szCs w:val="20"/>
        </w:rPr>
        <w:t>.</w:t>
      </w:r>
      <w:r w:rsidR="00104BAC" w:rsidRPr="003625BA">
        <w:rPr>
          <w:rFonts w:ascii="Arial" w:hAnsi="Arial" w:cs="Arial"/>
          <w:b/>
          <w:bCs/>
          <w:color w:val="ED5625"/>
          <w:sz w:val="20"/>
          <w:szCs w:val="20"/>
        </w:rPr>
        <w:t xml:space="preserve"> </w:t>
      </w:r>
      <w:r w:rsidR="00AD5BE2">
        <w:rPr>
          <w:rFonts w:ascii="Arial" w:hAnsi="Arial" w:cs="Arial"/>
          <w:b/>
          <w:bCs/>
          <w:color w:val="ED5625"/>
          <w:sz w:val="20"/>
          <w:szCs w:val="20"/>
        </w:rPr>
        <w:t>Year-end report</w:t>
      </w:r>
      <w:bookmarkEnd w:id="1536"/>
      <w:bookmarkEnd w:id="1537"/>
      <w:r w:rsidR="00AD5BE2">
        <w:rPr>
          <w:rFonts w:ascii="Arial" w:hAnsi="Arial" w:cs="Arial"/>
          <w:b/>
          <w:bCs/>
          <w:color w:val="ED5625"/>
          <w:sz w:val="20"/>
          <w:szCs w:val="20"/>
        </w:rPr>
        <w:t xml:space="preserve"> </w:t>
      </w:r>
      <w:bookmarkEnd w:id="1538"/>
    </w:p>
    <w:tbl>
      <w:tblPr>
        <w:tblStyle w:val="GridTable5Dark-Accent2"/>
        <w:tblpPr w:leftFromText="180" w:rightFromText="180" w:vertAnchor="page" w:horzAnchor="margin" w:tblpY="1721"/>
        <w:tblW w:w="0" w:type="auto"/>
        <w:tblLook w:val="04A0" w:firstRow="1" w:lastRow="0" w:firstColumn="1" w:lastColumn="0" w:noHBand="0" w:noVBand="1"/>
      </w:tblPr>
      <w:tblGrid>
        <w:gridCol w:w="1980"/>
        <w:gridCol w:w="8476"/>
      </w:tblGrid>
      <w:tr w:rsidR="00C80E06" w14:paraId="459214C5" w14:textId="77777777" w:rsidTr="00C80E06">
        <w:trPr>
          <w:cnfStyle w:val="100000000000" w:firstRow="1" w:lastRow="0" w:firstColumn="0" w:lastColumn="0" w:oddVBand="0" w:evenVBand="0" w:oddHBand="0"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FFFFFF" w:themeColor="background1"/>
            </w:tcBorders>
          </w:tcPr>
          <w:p w14:paraId="48E83BDE" w14:textId="45DF3666" w:rsidR="00C80E06" w:rsidRDefault="0096076C" w:rsidP="00C80E06">
            <w:r>
              <w:rPr>
                <w:noProof/>
                <w:lang w:val="en-US"/>
              </w:rPr>
              <mc:AlternateContent>
                <mc:Choice Requires="wps">
                  <w:drawing>
                    <wp:anchor distT="0" distB="0" distL="114300" distR="114300" simplePos="0" relativeHeight="255265790" behindDoc="0" locked="0" layoutInCell="1" allowOverlap="1" wp14:anchorId="4A26B7D0" wp14:editId="41A97241">
                      <wp:simplePos x="0" y="0"/>
                      <wp:positionH relativeFrom="column">
                        <wp:posOffset>93345</wp:posOffset>
                      </wp:positionH>
                      <wp:positionV relativeFrom="paragraph">
                        <wp:posOffset>761365</wp:posOffset>
                      </wp:positionV>
                      <wp:extent cx="939800" cy="241300"/>
                      <wp:effectExtent l="0" t="0" r="0" b="0"/>
                      <wp:wrapNone/>
                      <wp:docPr id="2215" name="Text Box 2215"/>
                      <wp:cNvGraphicFramePr/>
                      <a:graphic xmlns:a="http://schemas.openxmlformats.org/drawingml/2006/main">
                        <a:graphicData uri="http://schemas.microsoft.com/office/word/2010/wordprocessingShape">
                          <wps:wsp>
                            <wps:cNvSpPr txBox="1"/>
                            <wps:spPr>
                              <a:xfrm>
                                <a:off x="0" y="0"/>
                                <a:ext cx="939800" cy="241300"/>
                              </a:xfrm>
                              <a:prstGeom prst="rect">
                                <a:avLst/>
                              </a:prstGeom>
                              <a:noFill/>
                              <a:ln w="6350">
                                <a:noFill/>
                              </a:ln>
                            </wps:spPr>
                            <wps:txbx>
                              <w:txbxContent>
                                <w:p w14:paraId="42AB0420"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6B7D0" id="Text Box 2215" o:spid="_x0000_s1381" type="#_x0000_t202" style="position:absolute;margin-left:7.35pt;margin-top:59.95pt;width:74pt;height:19pt;z-index:255265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" filled="f" stroked="f" strokeweight=".5pt">
                      <v:textbox>
                        <w:txbxContent>
                          <w:p w14:paraId="42AB0420"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v:textbox>
                    </v:shape>
                  </w:pict>
                </mc:Fallback>
              </mc:AlternateContent>
            </w:r>
            <w:r>
              <w:rPr>
                <w:noProof/>
                <w:lang w:val="en-US"/>
              </w:rPr>
              <w:drawing>
                <wp:anchor distT="0" distB="0" distL="114300" distR="114300" simplePos="0" relativeHeight="255240190" behindDoc="1" locked="0" layoutInCell="1" allowOverlap="1" wp14:anchorId="5802B07A" wp14:editId="1F36C1DF">
                  <wp:simplePos x="0" y="0"/>
                  <wp:positionH relativeFrom="margin">
                    <wp:posOffset>230505</wp:posOffset>
                  </wp:positionH>
                  <wp:positionV relativeFrom="paragraph">
                    <wp:posOffset>114173</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p>
        </w:tc>
        <w:tc>
          <w:tcPr>
            <w:tcW w:w="8476" w:type="dxa"/>
            <w:tcBorders>
              <w:left w:val="single" w:sz="4" w:space="0" w:color="FFFFFF" w:themeColor="background1"/>
            </w:tcBorders>
            <w:shd w:val="clear" w:color="auto" w:fill="FBE4D5" w:themeFill="accent2" w:themeFillTint="33"/>
          </w:tcPr>
          <w:p w14:paraId="104D9057" w14:textId="77777777" w:rsidR="00C80E06" w:rsidRDefault="00C80E06" w:rsidP="00C80E06">
            <w:pPr>
              <w:ind w:left="168"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p w14:paraId="0AA7012C" w14:textId="51AF2294" w:rsidR="00C80E06" w:rsidRPr="00C80E06" w:rsidRDefault="00C80E06" w:rsidP="00C80E06">
            <w:pPr>
              <w:ind w:left="168"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C80E06">
              <w:rPr>
                <w:rFonts w:ascii="Roboto" w:hAnsi="Roboto"/>
                <w:b w:val="0"/>
                <w:bCs w:val="0"/>
                <w:color w:val="000000" w:themeColor="text1"/>
                <w:sz w:val="20"/>
                <w:szCs w:val="20"/>
              </w:rPr>
              <w:t>The OECD’s Budget Transparency Toolkit</w:t>
            </w:r>
            <w:r w:rsidR="00DF4098">
              <w:rPr>
                <w:rFonts w:ascii="Roboto" w:hAnsi="Roboto"/>
                <w:b w:val="0"/>
                <w:bCs w:val="0"/>
                <w:color w:val="000000" w:themeColor="text1"/>
                <w:sz w:val="20"/>
                <w:szCs w:val="20"/>
              </w:rPr>
              <w:t xml:space="preserve"> </w:t>
            </w:r>
            <w:r w:rsidRPr="00C80E06">
              <w:rPr>
                <w:rFonts w:ascii="Roboto" w:hAnsi="Roboto"/>
                <w:b w:val="0"/>
                <w:bCs w:val="0"/>
                <w:color w:val="000000" w:themeColor="text1"/>
                <w:sz w:val="20"/>
                <w:szCs w:val="20"/>
              </w:rPr>
              <w:t>(2017) states that these reports should be published within six months of the end of the fiscal year.</w:t>
            </w:r>
          </w:p>
          <w:p w14:paraId="43E4A4DD" w14:textId="77777777" w:rsidR="00C80E06" w:rsidRPr="003625BA" w:rsidRDefault="00C80E06" w:rsidP="00C80E06">
            <w:pPr>
              <w:ind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p>
          <w:p w14:paraId="35958EBF" w14:textId="77777777" w:rsidR="00C80E06" w:rsidRPr="003625BA" w:rsidRDefault="00C80E06" w:rsidP="00C80E06">
            <w:pPr>
              <w:tabs>
                <w:tab w:val="left" w:pos="5760"/>
              </w:tabs>
              <w:ind w:left="168" w:right="295"/>
              <w:jc w:val="both"/>
              <w:cnfStyle w:val="100000000000" w:firstRow="1"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ab/>
            </w:r>
          </w:p>
        </w:tc>
      </w:tr>
      <w:tr w:rsidR="00C80E06" w14:paraId="58973057" w14:textId="77777777" w:rsidTr="00C80E06">
        <w:trPr>
          <w:cnfStyle w:val="000000100000" w:firstRow="0" w:lastRow="0" w:firstColumn="0" w:lastColumn="0" w:oddVBand="0" w:evenVBand="0" w:oddHBand="1" w:evenHBand="0" w:firstRowFirstColumn="0" w:firstRowLastColumn="0" w:lastRowFirstColumn="0" w:lastRowLastColumn="0"/>
          <w:trHeight w:val="2824"/>
        </w:trPr>
        <w:tc>
          <w:tcPr>
            <w:cnfStyle w:val="001000000000" w:firstRow="0" w:lastRow="0" w:firstColumn="1" w:lastColumn="0" w:oddVBand="0" w:evenVBand="0" w:oddHBand="0" w:evenHBand="0" w:firstRowFirstColumn="0" w:firstRowLastColumn="0" w:lastRowFirstColumn="0" w:lastRowLastColumn="0"/>
            <w:tcW w:w="1980" w:type="dxa"/>
          </w:tcPr>
          <w:p w14:paraId="1033AC2D" w14:textId="7F1CC79B" w:rsidR="00C80E06" w:rsidRDefault="00057172" w:rsidP="00C80E06">
            <w:r>
              <w:rPr>
                <w:noProof/>
                <w:lang w:val="en-US"/>
              </w:rPr>
              <mc:AlternateContent>
                <mc:Choice Requires="wps">
                  <w:drawing>
                    <wp:anchor distT="0" distB="0" distL="114300" distR="114300" simplePos="0" relativeHeight="255243262" behindDoc="0" locked="0" layoutInCell="1" allowOverlap="1" wp14:anchorId="4A083E70" wp14:editId="6B5717D6">
                      <wp:simplePos x="0" y="0"/>
                      <wp:positionH relativeFrom="margin">
                        <wp:posOffset>33557</wp:posOffset>
                      </wp:positionH>
                      <wp:positionV relativeFrom="paragraph">
                        <wp:posOffset>853440</wp:posOffset>
                      </wp:positionV>
                      <wp:extent cx="1075397" cy="396815"/>
                      <wp:effectExtent l="0" t="0" r="0" b="0"/>
                      <wp:wrapNone/>
                      <wp:docPr id="2217" name="Text Box 2217"/>
                      <wp:cNvGraphicFramePr/>
                      <a:graphic xmlns:a="http://schemas.openxmlformats.org/drawingml/2006/main">
                        <a:graphicData uri="http://schemas.microsoft.com/office/word/2010/wordprocessingShape">
                          <wps:wsp>
                            <wps:cNvSpPr txBox="1"/>
                            <wps:spPr>
                              <a:xfrm>
                                <a:off x="0" y="0"/>
                                <a:ext cx="1075397" cy="396815"/>
                              </a:xfrm>
                              <a:prstGeom prst="rect">
                                <a:avLst/>
                              </a:prstGeom>
                              <a:noFill/>
                              <a:ln w="6350">
                                <a:noFill/>
                              </a:ln>
                            </wps:spPr>
                            <wps:txbx>
                              <w:txbxContent>
                                <w:p w14:paraId="35CA1CFD"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83E70" id="Text Box 2217" o:spid="_x0000_s1382" type="#_x0000_t202" style="position:absolute;margin-left:2.65pt;margin-top:67.2pt;width:84.7pt;height:31.25pt;z-index:255243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" filled="f" stroked="f" strokeweight=".5pt">
                      <v:textbox>
                        <w:txbxContent>
                          <w:p w14:paraId="35CA1CFD"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v:textbox>
                      <w10:wrap anchorx="margin"/>
                    </v:shape>
                  </w:pict>
                </mc:Fallback>
              </mc:AlternateContent>
            </w:r>
            <w:r>
              <w:rPr>
                <w:noProof/>
                <w:lang w:val="en-US"/>
              </w:rPr>
              <w:drawing>
                <wp:anchor distT="0" distB="0" distL="114300" distR="114300" simplePos="0" relativeHeight="255242238" behindDoc="1" locked="0" layoutInCell="1" allowOverlap="1" wp14:anchorId="7EE9ED7B" wp14:editId="3B41E959">
                  <wp:simplePos x="0" y="0"/>
                  <wp:positionH relativeFrom="margin">
                    <wp:posOffset>230505</wp:posOffset>
                  </wp:positionH>
                  <wp:positionV relativeFrom="paragraph">
                    <wp:posOffset>189865</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476" w:type="dxa"/>
          </w:tcPr>
          <w:p w14:paraId="2960EF53" w14:textId="77777777" w:rsidR="00C80E06" w:rsidRDefault="00C80E06" w:rsidP="00C80E06">
            <w:pPr>
              <w:tabs>
                <w:tab w:val="left" w:pos="1065"/>
              </w:tabs>
              <w:spacing w:after="120"/>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06CA06BE" w14:textId="77777777" w:rsidR="00C80E06" w:rsidRPr="003625BA" w:rsidRDefault="00C80E06" w:rsidP="00C80E06">
            <w:pPr>
              <w:tabs>
                <w:tab w:val="left" w:pos="1065"/>
              </w:tabs>
              <w:spacing w:after="120"/>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A year-end report presents the executive’s actual budget execution relative to its original budget and any supplementary budget that may have been issued during the course of the year, including in respect of what was actually spent and collected. It is essentially a tool for accountability, both for reporting on actual budget execution during the year (budget execution reports) and for illustrating the situation of the government’s accounts at the end of the fiscal year (financial statements). These reports thus enable a comprehensive assessment of actual spending and revenue collection against original estimates at the end of the budget year, taking stock of government’s performance in realizing its targets and performance indicators. As such they can inform future policy direction. </w:t>
            </w:r>
          </w:p>
          <w:p w14:paraId="0F71545C" w14:textId="77777777" w:rsidR="00C80E06" w:rsidRPr="003625BA" w:rsidRDefault="00C80E06" w:rsidP="00C80E06">
            <w:pPr>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In some cases, the year-end report and the executive’s financial statements, that are submitted to the supreme audit institution for audit, are the same document. Regardless, the in-year report should be published timeously in Parliament which is normally prior to the audit being undertaken by the supreme audit institution. The audit report is then usually tabled separately in Parliament as seen below.  </w:t>
            </w:r>
          </w:p>
          <w:p w14:paraId="09BDFCC8" w14:textId="77777777" w:rsidR="00C80E06" w:rsidRPr="003625BA" w:rsidRDefault="00C80E06" w:rsidP="00C80E06">
            <w:pPr>
              <w:tabs>
                <w:tab w:val="left" w:pos="6526"/>
              </w:tabs>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C80E06" w14:paraId="655E8D35" w14:textId="77777777" w:rsidTr="00C80E06">
        <w:trPr>
          <w:trHeight w:val="3257"/>
        </w:trPr>
        <w:tc>
          <w:tcPr>
            <w:cnfStyle w:val="001000000000" w:firstRow="0" w:lastRow="0" w:firstColumn="1" w:lastColumn="0" w:oddVBand="0" w:evenVBand="0" w:oddHBand="0" w:evenHBand="0" w:firstRowFirstColumn="0" w:firstRowLastColumn="0" w:lastRowFirstColumn="0" w:lastRowLastColumn="0"/>
            <w:tcW w:w="1980" w:type="dxa"/>
          </w:tcPr>
          <w:p w14:paraId="3B264F79" w14:textId="7676B3F4" w:rsidR="00C80E06" w:rsidRDefault="00C80E06" w:rsidP="00C80E06">
            <w:pPr>
              <w:rPr>
                <w:b w:val="0"/>
                <w:bCs w:val="0"/>
              </w:rPr>
            </w:pPr>
          </w:p>
          <w:p w14:paraId="47C3B4F1" w14:textId="42E29BF7" w:rsidR="00C80E06" w:rsidRDefault="00057172" w:rsidP="00C80E06">
            <w:pPr>
              <w:rPr>
                <w:b w:val="0"/>
                <w:bCs w:val="0"/>
              </w:rPr>
            </w:pPr>
            <w:r>
              <w:rPr>
                <w:noProof/>
                <w:lang w:val="en-US"/>
              </w:rPr>
              <w:drawing>
                <wp:anchor distT="0" distB="0" distL="114300" distR="114300" simplePos="0" relativeHeight="255244286" behindDoc="0" locked="0" layoutInCell="1" allowOverlap="1" wp14:anchorId="55C4B6F8" wp14:editId="54CD2AA6">
                  <wp:simplePos x="0" y="0"/>
                  <wp:positionH relativeFrom="margin">
                    <wp:posOffset>229870</wp:posOffset>
                  </wp:positionH>
                  <wp:positionV relativeFrom="paragraph">
                    <wp:posOffset>46990</wp:posOffset>
                  </wp:positionV>
                  <wp:extent cx="658495" cy="658495"/>
                  <wp:effectExtent l="0" t="0" r="1905" b="0"/>
                  <wp:wrapNone/>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4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p w14:paraId="3A014F2D" w14:textId="7353E1D7" w:rsidR="00C80E06" w:rsidRDefault="00C80E06" w:rsidP="00C80E06">
            <w:pPr>
              <w:rPr>
                <w:b w:val="0"/>
                <w:bCs w:val="0"/>
              </w:rPr>
            </w:pPr>
          </w:p>
          <w:p w14:paraId="5F475214" w14:textId="27B99A1F" w:rsidR="00C80E06" w:rsidRDefault="00C80E06" w:rsidP="00C80E06">
            <w:pPr>
              <w:rPr>
                <w:b w:val="0"/>
                <w:bCs w:val="0"/>
              </w:rPr>
            </w:pPr>
          </w:p>
          <w:p w14:paraId="4E24B636" w14:textId="5064BC47" w:rsidR="00C80E06" w:rsidRPr="00DC244C" w:rsidRDefault="00057172" w:rsidP="00C80E06">
            <w:r>
              <w:rPr>
                <w:noProof/>
                <w:lang w:val="en-US"/>
              </w:rPr>
              <mc:AlternateContent>
                <mc:Choice Requires="wps">
                  <w:drawing>
                    <wp:anchor distT="0" distB="0" distL="114300" distR="114300" simplePos="0" relativeHeight="255245310" behindDoc="0" locked="0" layoutInCell="1" allowOverlap="1" wp14:anchorId="463C8CE0" wp14:editId="009113BF">
                      <wp:simplePos x="0" y="0"/>
                      <wp:positionH relativeFrom="margin">
                        <wp:posOffset>1270</wp:posOffset>
                      </wp:positionH>
                      <wp:positionV relativeFrom="paragraph">
                        <wp:posOffset>144145</wp:posOffset>
                      </wp:positionV>
                      <wp:extent cx="1117600" cy="311150"/>
                      <wp:effectExtent l="0" t="0" r="0" b="0"/>
                      <wp:wrapNone/>
                      <wp:docPr id="2219" name="Text Box 2219"/>
                      <wp:cNvGraphicFramePr/>
                      <a:graphic xmlns:a="http://schemas.openxmlformats.org/drawingml/2006/main">
                        <a:graphicData uri="http://schemas.microsoft.com/office/word/2010/wordprocessingShape">
                          <wps:wsp>
                            <wps:cNvSpPr txBox="1"/>
                            <wps:spPr>
                              <a:xfrm>
                                <a:off x="0" y="0"/>
                                <a:ext cx="1117600" cy="311150"/>
                              </a:xfrm>
                              <a:prstGeom prst="rect">
                                <a:avLst/>
                              </a:prstGeom>
                              <a:noFill/>
                              <a:ln w="6350">
                                <a:noFill/>
                              </a:ln>
                            </wps:spPr>
                            <wps:txbx>
                              <w:txbxContent>
                                <w:p w14:paraId="25C6D5D3" w14:textId="77777777" w:rsidR="00D15FD8" w:rsidRPr="00732E71" w:rsidRDefault="00D15FD8" w:rsidP="00C80E06">
                                  <w:pPr>
                                    <w:jc w:val="center"/>
                                    <w:rPr>
                                      <w:rFonts w:ascii="Roboto" w:hAnsi="Roboto"/>
                                      <w:b/>
                                      <w:color w:val="FFFFFF" w:themeColor="background1"/>
                                      <w:sz w:val="28"/>
                                      <w:szCs w:val="28"/>
                                    </w:rPr>
                                  </w:pPr>
                                  <w:r w:rsidRPr="003625BA">
                                    <w:rPr>
                                      <w:rFonts w:ascii="Roboto" w:hAnsi="Roboto"/>
                                      <w:b/>
                                      <w:color w:val="FFFFFF" w:themeColor="background1"/>
                                      <w:sz w:val="20"/>
                                      <w:szCs w:val="20"/>
                                    </w:rPr>
                                    <w:t>CONTENTS</w:t>
                                  </w:r>
                                  <w:r>
                                    <w:rPr>
                                      <w:rFonts w:ascii="Roboto" w:hAnsi="Roboto"/>
                                      <w:b/>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C8CE0" id="Text Box 2219" o:spid="_x0000_s1383" type="#_x0000_t202" style="position:absolute;margin-left:.1pt;margin-top:11.35pt;width:88pt;height:24.5pt;z-index:255245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" filled="f" stroked="f" strokeweight=".5pt">
                      <v:textbox>
                        <w:txbxContent>
                          <w:p w14:paraId="25C6D5D3" w14:textId="77777777" w:rsidR="00D15FD8" w:rsidRPr="00732E71" w:rsidRDefault="00D15FD8" w:rsidP="00C80E06">
                            <w:pPr>
                              <w:jc w:val="center"/>
                              <w:rPr>
                                <w:rFonts w:ascii="Roboto" w:hAnsi="Roboto"/>
                                <w:b/>
                                <w:color w:val="FFFFFF" w:themeColor="background1"/>
                                <w:sz w:val="28"/>
                                <w:szCs w:val="28"/>
                              </w:rPr>
                            </w:pPr>
                            <w:r w:rsidRPr="003625BA">
                              <w:rPr>
                                <w:rFonts w:ascii="Roboto" w:hAnsi="Roboto"/>
                                <w:b/>
                                <w:color w:val="FFFFFF" w:themeColor="background1"/>
                                <w:sz w:val="20"/>
                                <w:szCs w:val="20"/>
                              </w:rPr>
                              <w:t>CONTENTS</w:t>
                            </w:r>
                            <w:r>
                              <w:rPr>
                                <w:rFonts w:ascii="Roboto" w:hAnsi="Roboto"/>
                                <w:b/>
                                <w:color w:val="FFFFFF" w:themeColor="background1"/>
                                <w:sz w:val="28"/>
                                <w:szCs w:val="28"/>
                              </w:rPr>
                              <w:t>:</w:t>
                            </w:r>
                          </w:p>
                        </w:txbxContent>
                      </v:textbox>
                      <w10:wrap anchorx="margin"/>
                    </v:shape>
                  </w:pict>
                </mc:Fallback>
              </mc:AlternateContent>
            </w:r>
          </w:p>
          <w:p w14:paraId="716F1380" w14:textId="24E716DC" w:rsidR="00C80E06" w:rsidRPr="00DC244C" w:rsidRDefault="00C80E06" w:rsidP="00C80E06"/>
          <w:p w14:paraId="4D4C0631" w14:textId="63414CF3" w:rsidR="00C80E06" w:rsidRPr="00DC244C" w:rsidRDefault="00C80E06" w:rsidP="00C80E06"/>
          <w:p w14:paraId="789666D4" w14:textId="77777777" w:rsidR="00C80E06" w:rsidRPr="00DC244C" w:rsidRDefault="00C80E06" w:rsidP="00C80E06"/>
          <w:p w14:paraId="3CF3DBD6" w14:textId="16674446" w:rsidR="00C80E06" w:rsidRPr="00DC244C" w:rsidRDefault="00C80E06" w:rsidP="00C80E06"/>
          <w:p w14:paraId="72456E4A" w14:textId="77777777" w:rsidR="00C80E06" w:rsidRPr="00DC244C" w:rsidRDefault="00C80E06" w:rsidP="00C80E06"/>
          <w:p w14:paraId="6CA50D02" w14:textId="77777777" w:rsidR="00C80E06" w:rsidRPr="00DC244C" w:rsidRDefault="00C80E06" w:rsidP="00C80E06"/>
          <w:p w14:paraId="12F0F6F2" w14:textId="77777777" w:rsidR="00C80E06" w:rsidRPr="008714CA" w:rsidRDefault="00C80E06" w:rsidP="00C80E06"/>
        </w:tc>
        <w:tc>
          <w:tcPr>
            <w:tcW w:w="8476" w:type="dxa"/>
          </w:tcPr>
          <w:p w14:paraId="413E6713" w14:textId="77777777" w:rsidR="00C80E06" w:rsidRDefault="00C80E06" w:rsidP="00C80E06">
            <w:pPr>
              <w:spacing w:after="120"/>
              <w:ind w:left="168"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1205107B" w14:textId="77777777" w:rsidR="00C80E06" w:rsidRPr="003625BA" w:rsidRDefault="00C80E06" w:rsidP="00C80E06">
            <w:pPr>
              <w:spacing w:after="120"/>
              <w:ind w:left="168"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Should include contents in a way that corresponds with the format of the approved budget:</w:t>
            </w:r>
          </w:p>
          <w:p w14:paraId="67560A95" w14:textId="77777777" w:rsidR="00C80E06" w:rsidRPr="003625BA" w:rsidRDefault="00C80E06" w:rsidP="00C80E06">
            <w:pPr>
              <w:pStyle w:val="ListParagraph"/>
              <w:numPr>
                <w:ilvl w:val="0"/>
                <w:numId w:val="186"/>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Aggregate spending and revenues, the overall budget balance, and its financing.</w:t>
            </w:r>
          </w:p>
          <w:p w14:paraId="6AE0F667" w14:textId="77777777" w:rsidR="00C80E06" w:rsidRPr="003625BA" w:rsidRDefault="00C80E06" w:rsidP="00C80E06">
            <w:pPr>
              <w:pStyle w:val="ListParagraph"/>
              <w:numPr>
                <w:ilvl w:val="0"/>
                <w:numId w:val="186"/>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Overall position of government’s assets and liabilities (balance sheet).</w:t>
            </w:r>
          </w:p>
          <w:p w14:paraId="5359CC6C" w14:textId="77777777" w:rsidR="00C80E06" w:rsidRPr="003625BA" w:rsidRDefault="00C80E06" w:rsidP="00C80E06">
            <w:pPr>
              <w:pStyle w:val="ListParagraph"/>
              <w:numPr>
                <w:ilvl w:val="0"/>
                <w:numId w:val="186"/>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Expenditures by functional and economic classification and listing of actual revenues collected under different categories.</w:t>
            </w:r>
          </w:p>
          <w:p w14:paraId="37042094" w14:textId="77777777" w:rsidR="00C80E06" w:rsidRPr="003625BA" w:rsidRDefault="00C80E06" w:rsidP="00C80E06">
            <w:pPr>
              <w:pStyle w:val="ListParagraph"/>
              <w:numPr>
                <w:ilvl w:val="0"/>
                <w:numId w:val="186"/>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Summary of government spending by sector and programs (ideally by sub-program too).</w:t>
            </w:r>
          </w:p>
          <w:p w14:paraId="3462A356" w14:textId="77777777" w:rsidR="00C80E06" w:rsidRPr="003625BA" w:rsidRDefault="00C80E06" w:rsidP="00C80E06">
            <w:pPr>
              <w:pStyle w:val="ListParagraph"/>
              <w:numPr>
                <w:ilvl w:val="0"/>
                <w:numId w:val="186"/>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 xml:space="preserve">Deviations and explanation of deviations between macroeconomic forecast and actual results. </w:t>
            </w:r>
          </w:p>
          <w:p w14:paraId="4720DE5A" w14:textId="77777777" w:rsidR="00C80E06" w:rsidRPr="003625BA" w:rsidRDefault="00C80E06" w:rsidP="00C80E06">
            <w:pPr>
              <w:pStyle w:val="ListParagraph"/>
              <w:numPr>
                <w:ilvl w:val="0"/>
                <w:numId w:val="186"/>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Narrative on strengths and weaknesses in performance of ministries/agencies.</w:t>
            </w:r>
          </w:p>
          <w:p w14:paraId="52FF00CE" w14:textId="77777777" w:rsidR="00C80E06" w:rsidRPr="003625BA" w:rsidRDefault="00C80E06" w:rsidP="00C80E06">
            <w:pPr>
              <w:pStyle w:val="ListParagraph"/>
              <w:numPr>
                <w:ilvl w:val="0"/>
                <w:numId w:val="186"/>
              </w:num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Nonfinancial information on government’s performance in realizing its targets and performance indicators.</w:t>
            </w:r>
          </w:p>
          <w:p w14:paraId="1BCEBE13" w14:textId="77777777" w:rsidR="00C80E06" w:rsidRPr="003625BA" w:rsidRDefault="00C80E06" w:rsidP="00C80E06">
            <w:pPr>
              <w:ind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C80E06" w14:paraId="5B96FAF7" w14:textId="77777777" w:rsidTr="00C80E06">
        <w:trPr>
          <w:cnfStyle w:val="000000100000" w:firstRow="0" w:lastRow="0" w:firstColumn="0" w:lastColumn="0" w:oddVBand="0" w:evenVBand="0" w:oddHBand="1" w:evenHBand="0" w:firstRowFirstColumn="0" w:firstRowLastColumn="0" w:lastRowFirstColumn="0" w:lastRowLastColumn="0"/>
          <w:trHeight w:val="1652"/>
        </w:trPr>
        <w:tc>
          <w:tcPr>
            <w:cnfStyle w:val="001000000000" w:firstRow="0" w:lastRow="0" w:firstColumn="1" w:lastColumn="0" w:oddVBand="0" w:evenVBand="0" w:oddHBand="0" w:evenHBand="0" w:firstRowFirstColumn="0" w:firstRowLastColumn="0" w:lastRowFirstColumn="0" w:lastRowLastColumn="0"/>
            <w:tcW w:w="1980" w:type="dxa"/>
          </w:tcPr>
          <w:p w14:paraId="775C0DD5" w14:textId="77777777" w:rsidR="00C80E06" w:rsidRDefault="00C80E06" w:rsidP="00C80E06">
            <w:pPr>
              <w:rPr>
                <w:b w:val="0"/>
                <w:bCs w:val="0"/>
                <w:noProof/>
              </w:rPr>
            </w:pPr>
            <w:r>
              <w:rPr>
                <w:noProof/>
                <w:lang w:val="en-US"/>
              </w:rPr>
              <mc:AlternateContent>
                <mc:Choice Requires="wps">
                  <w:drawing>
                    <wp:anchor distT="0" distB="0" distL="114300" distR="114300" simplePos="0" relativeHeight="255239166" behindDoc="0" locked="0" layoutInCell="1" allowOverlap="1" wp14:anchorId="28FC7A36" wp14:editId="78E924BC">
                      <wp:simplePos x="0" y="0"/>
                      <wp:positionH relativeFrom="margin">
                        <wp:posOffset>-19050</wp:posOffset>
                      </wp:positionH>
                      <wp:positionV relativeFrom="paragraph">
                        <wp:posOffset>688975</wp:posOffset>
                      </wp:positionV>
                      <wp:extent cx="1130300" cy="228600"/>
                      <wp:effectExtent l="0" t="0" r="0" b="0"/>
                      <wp:wrapNone/>
                      <wp:docPr id="2221" name="Text Box 2221"/>
                      <wp:cNvGraphicFramePr/>
                      <a:graphic xmlns:a="http://schemas.openxmlformats.org/drawingml/2006/main">
                        <a:graphicData uri="http://schemas.microsoft.com/office/word/2010/wordprocessingShape">
                          <wps:wsp>
                            <wps:cNvSpPr txBox="1"/>
                            <wps:spPr>
                              <a:xfrm>
                                <a:off x="0" y="0"/>
                                <a:ext cx="1130300" cy="228600"/>
                              </a:xfrm>
                              <a:prstGeom prst="rect">
                                <a:avLst/>
                              </a:prstGeom>
                              <a:noFill/>
                              <a:ln w="6350">
                                <a:noFill/>
                              </a:ln>
                            </wps:spPr>
                            <wps:txbx>
                              <w:txbxContent>
                                <w:p w14:paraId="5805D72B"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C7A36" id="Text Box 2221" o:spid="_x0000_s1384" type="#_x0000_t202" style="position:absolute;margin-left:-1.5pt;margin-top:54.25pt;width:89pt;height:18pt;z-index:2552391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" filled="f" stroked="f" strokeweight=".5pt">
                      <v:textbox>
                        <w:txbxContent>
                          <w:p w14:paraId="5805D72B" w14:textId="77777777" w:rsidR="00D15FD8" w:rsidRPr="003625BA" w:rsidRDefault="00D15FD8" w:rsidP="00C80E06">
                            <w:pPr>
                              <w:jc w:val="center"/>
                              <w:rPr>
                                <w:rFonts w:ascii="Roboto" w:hAnsi="Roboto"/>
                                <w:b/>
                                <w:color w:val="FFFFFF" w:themeColor="background1"/>
                                <w:sz w:val="20"/>
                                <w:szCs w:val="20"/>
                              </w:rPr>
                            </w:pPr>
                            <w:r w:rsidRPr="003625BA">
                              <w:rPr>
                                <w:rFonts w:ascii="Roboto" w:hAnsi="Roboto"/>
                                <w:b/>
                                <w:color w:val="FFFFFF" w:themeColor="background1"/>
                                <w:sz w:val="20"/>
                                <w:szCs w:val="20"/>
                              </w:rPr>
                              <w:t>EXAMPLES:</w:t>
                            </w:r>
                          </w:p>
                        </w:txbxContent>
                      </v:textbox>
                      <w10:wrap anchorx="margin"/>
                    </v:shape>
                  </w:pict>
                </mc:Fallback>
              </mc:AlternateContent>
            </w:r>
            <w:r>
              <w:rPr>
                <w:noProof/>
                <w:lang w:val="en-US"/>
              </w:rPr>
              <w:drawing>
                <wp:anchor distT="0" distB="0" distL="114300" distR="114300" simplePos="0" relativeHeight="255246334" behindDoc="1" locked="0" layoutInCell="1" allowOverlap="1" wp14:anchorId="23332634" wp14:editId="7C4D4D90">
                  <wp:simplePos x="0" y="0"/>
                  <wp:positionH relativeFrom="margin">
                    <wp:align>center</wp:align>
                  </wp:positionH>
                  <wp:positionV relativeFrom="paragraph">
                    <wp:posOffset>60325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6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476" w:type="dxa"/>
          </w:tcPr>
          <w:p w14:paraId="218B8D95" w14:textId="77777777" w:rsidR="00C80E06" w:rsidRDefault="00C80E06" w:rsidP="00C80E06">
            <w:pPr>
              <w:pStyle w:val="ListParagraph"/>
              <w:ind w:left="735"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01C34182" w14:textId="77777777" w:rsidR="00C80E06" w:rsidRPr="003625BA" w:rsidRDefault="00C80E06" w:rsidP="00C80E06">
            <w:pPr>
              <w:pStyle w:val="ListParagraph"/>
              <w:numPr>
                <w:ilvl w:val="0"/>
                <w:numId w:val="187"/>
              </w:numPr>
              <w:ind w:left="735"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New Zealand’s financial statements can be found on this </w:t>
            </w:r>
            <w:hyperlink r:id="rId677" w:history="1">
              <w:r w:rsidRPr="003625BA">
                <w:rPr>
                  <w:rStyle w:val="Hyperlink"/>
                  <w:rFonts w:ascii="Roboto" w:hAnsi="Roboto"/>
                  <w:sz w:val="20"/>
                  <w:szCs w:val="20"/>
                </w:rPr>
                <w:t>link</w:t>
              </w:r>
            </w:hyperlink>
            <w:r w:rsidRPr="003625BA">
              <w:rPr>
                <w:rFonts w:ascii="Roboto" w:hAnsi="Roboto"/>
                <w:sz w:val="20"/>
                <w:szCs w:val="20"/>
              </w:rPr>
              <w:t>.</w:t>
            </w:r>
          </w:p>
          <w:p w14:paraId="3AB4CA6E" w14:textId="77777777" w:rsidR="00C80E06" w:rsidRPr="003625BA" w:rsidRDefault="00C80E06" w:rsidP="00C80E06">
            <w:pPr>
              <w:pStyle w:val="ListParagraph"/>
              <w:numPr>
                <w:ilvl w:val="0"/>
                <w:numId w:val="187"/>
              </w:numPr>
              <w:ind w:left="735"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r w:rsidRPr="003625BA">
              <w:rPr>
                <w:rFonts w:ascii="Roboto" w:hAnsi="Roboto"/>
                <w:sz w:val="20"/>
                <w:szCs w:val="20"/>
              </w:rPr>
              <w:t xml:space="preserve">The IBP has published OBI training materials for governments on the year-end report that can be found on this </w:t>
            </w:r>
            <w:hyperlink r:id="rId678" w:history="1">
              <w:r w:rsidRPr="003625BA">
                <w:rPr>
                  <w:rStyle w:val="Hyperlink"/>
                  <w:rFonts w:ascii="Roboto" w:hAnsi="Roboto"/>
                  <w:sz w:val="20"/>
                  <w:szCs w:val="20"/>
                </w:rPr>
                <w:t>link</w:t>
              </w:r>
            </w:hyperlink>
            <w:r w:rsidRPr="003625BA">
              <w:rPr>
                <w:rFonts w:ascii="Roboto" w:hAnsi="Roboto"/>
                <w:sz w:val="20"/>
                <w:szCs w:val="20"/>
              </w:rPr>
              <w:t>.</w:t>
            </w:r>
          </w:p>
          <w:p w14:paraId="44C6AC43" w14:textId="77777777" w:rsidR="00C80E06" w:rsidRPr="003625BA" w:rsidRDefault="00C80E06" w:rsidP="00C80E06">
            <w:pPr>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14CB7011" w14:textId="77777777" w:rsidR="00C80E06" w:rsidRPr="003625BA" w:rsidRDefault="00C80E06" w:rsidP="00C80E06">
            <w:pPr>
              <w:ind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6495F588" w14:textId="2838F4A7" w:rsidR="00B25075" w:rsidRDefault="002555EE" w:rsidP="00541C3B">
      <w:pPr>
        <w:tabs>
          <w:tab w:val="left" w:pos="1940"/>
        </w:tabs>
        <w:rPr>
          <w:rFonts w:ascii="Arial" w:hAnsi="Arial" w:cs="Arial"/>
          <w:sz w:val="24"/>
          <w:szCs w:val="24"/>
        </w:rPr>
      </w:pPr>
      <w:r>
        <w:rPr>
          <w:noProof/>
          <w:lang w:val="en-US"/>
        </w:rPr>
        <w:t xml:space="preserve"> </w:t>
      </w:r>
    </w:p>
    <w:p w14:paraId="5E6AC093" w14:textId="77777777" w:rsidR="002555EE" w:rsidRDefault="002555EE" w:rsidP="002E0E6F">
      <w:pPr>
        <w:shd w:val="clear" w:color="auto" w:fill="FFFFFF" w:themeFill="background1"/>
        <w:rPr>
          <w:rFonts w:ascii="Arial" w:hAnsi="Arial" w:cs="Arial"/>
          <w:b/>
          <w:color w:val="F26D24"/>
          <w:sz w:val="24"/>
          <w:szCs w:val="24"/>
        </w:rPr>
      </w:pPr>
    </w:p>
    <w:p w14:paraId="5AB7BFA5" w14:textId="77777777" w:rsidR="002555EE" w:rsidRDefault="002555EE" w:rsidP="002E0E6F">
      <w:pPr>
        <w:shd w:val="clear" w:color="auto" w:fill="FFFFFF" w:themeFill="background1"/>
        <w:rPr>
          <w:rFonts w:ascii="Arial" w:hAnsi="Arial" w:cs="Arial"/>
          <w:b/>
          <w:color w:val="F26D24"/>
          <w:sz w:val="24"/>
          <w:szCs w:val="24"/>
        </w:rPr>
      </w:pPr>
    </w:p>
    <w:p w14:paraId="6FFC3C0A" w14:textId="77777777" w:rsidR="002555EE" w:rsidRDefault="002555EE" w:rsidP="002E0E6F">
      <w:pPr>
        <w:shd w:val="clear" w:color="auto" w:fill="FFFFFF" w:themeFill="background1"/>
        <w:rPr>
          <w:rFonts w:ascii="Arial" w:hAnsi="Arial" w:cs="Arial"/>
          <w:b/>
          <w:color w:val="F26D24"/>
          <w:sz w:val="24"/>
          <w:szCs w:val="24"/>
        </w:rPr>
      </w:pPr>
    </w:p>
    <w:p w14:paraId="737ED018" w14:textId="35CF79C9" w:rsidR="002E0E6F" w:rsidRPr="003625BA" w:rsidRDefault="0065711A" w:rsidP="003625BA">
      <w:pPr>
        <w:pStyle w:val="Heading3"/>
        <w:jc w:val="center"/>
        <w:rPr>
          <w:rFonts w:ascii="Arial" w:hAnsi="Arial" w:cs="Arial"/>
          <w:b/>
          <w:bCs/>
          <w:color w:val="ED5625"/>
          <w:sz w:val="20"/>
          <w:szCs w:val="20"/>
        </w:rPr>
      </w:pPr>
      <w:bookmarkStart w:id="1539" w:name="_Table_3.13._Audit"/>
      <w:bookmarkStart w:id="1540" w:name="_Toc123217444"/>
      <w:bookmarkStart w:id="1541" w:name="_Toc123914061"/>
      <w:bookmarkStart w:id="1542" w:name="_Toc125566676"/>
      <w:bookmarkEnd w:id="1539"/>
      <w:r w:rsidRPr="003625BA">
        <w:rPr>
          <w:rFonts w:ascii="Arial" w:hAnsi="Arial" w:cs="Arial"/>
          <w:b/>
          <w:bCs/>
          <w:color w:val="ED5625"/>
          <w:sz w:val="20"/>
          <w:szCs w:val="20"/>
        </w:rPr>
        <w:lastRenderedPageBreak/>
        <w:t>Table 3.13</w:t>
      </w:r>
      <w:r w:rsidR="008616A4">
        <w:rPr>
          <w:rFonts w:ascii="Arial" w:hAnsi="Arial" w:cs="Arial"/>
          <w:b/>
          <w:bCs/>
          <w:color w:val="ED5625"/>
          <w:sz w:val="20"/>
          <w:szCs w:val="20"/>
        </w:rPr>
        <w:t xml:space="preserve">. </w:t>
      </w:r>
      <w:bookmarkEnd w:id="1540"/>
      <w:r w:rsidR="00AD5BE2">
        <w:rPr>
          <w:rFonts w:ascii="Arial" w:hAnsi="Arial" w:cs="Arial"/>
          <w:b/>
          <w:bCs/>
          <w:color w:val="ED5625"/>
          <w:sz w:val="20"/>
          <w:szCs w:val="20"/>
        </w:rPr>
        <w:t>Audit report</w:t>
      </w:r>
      <w:bookmarkEnd w:id="1541"/>
      <w:bookmarkEnd w:id="1542"/>
    </w:p>
    <w:tbl>
      <w:tblPr>
        <w:tblStyle w:val="GridTable5Dark-Accent2"/>
        <w:tblpPr w:leftFromText="180" w:rightFromText="180" w:vertAnchor="page" w:horzAnchor="margin" w:tblpY="1781"/>
        <w:tblW w:w="0" w:type="auto"/>
        <w:tblLook w:val="04A0" w:firstRow="1" w:lastRow="0" w:firstColumn="1" w:lastColumn="0" w:noHBand="0" w:noVBand="1"/>
      </w:tblPr>
      <w:tblGrid>
        <w:gridCol w:w="1980"/>
        <w:gridCol w:w="8476"/>
      </w:tblGrid>
      <w:tr w:rsidR="00E551F9" w14:paraId="3440A451" w14:textId="77777777" w:rsidTr="00057172">
        <w:trPr>
          <w:cnfStyle w:val="100000000000" w:firstRow="1" w:lastRow="0" w:firstColumn="0" w:lastColumn="0" w:oddVBand="0" w:evenVBand="0" w:oddHBand="0"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1980" w:type="dxa"/>
          </w:tcPr>
          <w:p w14:paraId="1F4A1395" w14:textId="77777777" w:rsidR="00E551F9" w:rsidRDefault="00E551F9" w:rsidP="00E551F9">
            <w:r>
              <w:rPr>
                <w:noProof/>
                <w:lang w:val="en-US"/>
              </w:rPr>
              <mc:AlternateContent>
                <mc:Choice Requires="wps">
                  <w:drawing>
                    <wp:anchor distT="0" distB="0" distL="114300" distR="114300" simplePos="0" relativeHeight="255067134" behindDoc="0" locked="0" layoutInCell="1" allowOverlap="1" wp14:anchorId="6883723E" wp14:editId="15C29FD3">
                      <wp:simplePos x="0" y="0"/>
                      <wp:positionH relativeFrom="margin">
                        <wp:align>center</wp:align>
                      </wp:positionH>
                      <wp:positionV relativeFrom="paragraph">
                        <wp:posOffset>681990</wp:posOffset>
                      </wp:positionV>
                      <wp:extent cx="939800" cy="304800"/>
                      <wp:effectExtent l="0" t="0" r="0" b="0"/>
                      <wp:wrapNone/>
                      <wp:docPr id="2229" name="Text Box 2229"/>
                      <wp:cNvGraphicFramePr/>
                      <a:graphic xmlns:a="http://schemas.openxmlformats.org/drawingml/2006/main">
                        <a:graphicData uri="http://schemas.microsoft.com/office/word/2010/wordprocessingShape">
                          <wps:wsp>
                            <wps:cNvSpPr txBox="1"/>
                            <wps:spPr>
                              <a:xfrm>
                                <a:off x="0" y="0"/>
                                <a:ext cx="939800" cy="304800"/>
                              </a:xfrm>
                              <a:prstGeom prst="rect">
                                <a:avLst/>
                              </a:prstGeom>
                              <a:noFill/>
                              <a:ln w="6350">
                                <a:noFill/>
                              </a:ln>
                            </wps:spPr>
                            <wps:txbx>
                              <w:txbxContent>
                                <w:p w14:paraId="19CF8C07"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3723E" id="Text Box 2229" o:spid="_x0000_s1385" type="#_x0000_t202" style="position:absolute;margin-left:0;margin-top:53.7pt;width:74pt;height:24pt;z-index:2550671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" filled="f" stroked="f" strokeweight=".5pt">
                      <v:textbox>
                        <w:txbxContent>
                          <w:p w14:paraId="19CF8C07"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WHEN:</w:t>
                            </w:r>
                          </w:p>
                        </w:txbxContent>
                      </v:textbox>
                      <w10:wrap anchorx="margin"/>
                    </v:shape>
                  </w:pict>
                </mc:Fallback>
              </mc:AlternateContent>
            </w:r>
            <w:r>
              <w:rPr>
                <w:noProof/>
                <w:lang w:val="en-US"/>
              </w:rPr>
              <w:drawing>
                <wp:anchor distT="0" distB="0" distL="114300" distR="114300" simplePos="0" relativeHeight="255066110" behindDoc="1" locked="0" layoutInCell="1" allowOverlap="1" wp14:anchorId="667A1952" wp14:editId="752A5D6A">
                  <wp:simplePos x="0" y="0"/>
                  <wp:positionH relativeFrom="margin">
                    <wp:align>center</wp:align>
                  </wp:positionH>
                  <wp:positionV relativeFrom="paragraph">
                    <wp:posOffset>76835</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2237" name="Pict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p>
        </w:tc>
        <w:tc>
          <w:tcPr>
            <w:tcW w:w="8476" w:type="dxa"/>
            <w:shd w:val="clear" w:color="auto" w:fill="FBE4D5" w:themeFill="accent2" w:themeFillTint="33"/>
          </w:tcPr>
          <w:p w14:paraId="77DDF485" w14:textId="77777777" w:rsidR="00E551F9" w:rsidRPr="00057172" w:rsidRDefault="00E551F9" w:rsidP="00E551F9">
            <w:pPr>
              <w:ind w:left="168"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18FA97C4" w14:textId="7CF4F3C1" w:rsidR="00E551F9" w:rsidRPr="00057172" w:rsidRDefault="00E551F9" w:rsidP="00E551F9">
            <w:pPr>
              <w:ind w:left="168"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057172">
              <w:rPr>
                <w:rFonts w:ascii="Roboto" w:hAnsi="Roboto"/>
                <w:b w:val="0"/>
                <w:bCs w:val="0"/>
                <w:color w:val="000000" w:themeColor="text1"/>
                <w:sz w:val="20"/>
                <w:szCs w:val="20"/>
              </w:rPr>
              <w:t>The OECD’s Budget Transparency Toolkit</w:t>
            </w:r>
            <w:r w:rsidR="003072FF">
              <w:rPr>
                <w:rFonts w:ascii="Roboto" w:hAnsi="Roboto"/>
                <w:b w:val="0"/>
                <w:bCs w:val="0"/>
                <w:color w:val="000000" w:themeColor="text1"/>
                <w:sz w:val="20"/>
                <w:szCs w:val="20"/>
              </w:rPr>
              <w:t xml:space="preserve"> </w:t>
            </w:r>
            <w:r w:rsidRPr="00057172">
              <w:rPr>
                <w:rFonts w:ascii="Roboto" w:hAnsi="Roboto"/>
                <w:b w:val="0"/>
                <w:bCs w:val="0"/>
                <w:color w:val="000000" w:themeColor="text1"/>
                <w:sz w:val="20"/>
                <w:szCs w:val="20"/>
              </w:rPr>
              <w:t>(2017) states that these reports should be submitted to parliament as soon as practically possible after the year-end reporting.</w:t>
            </w:r>
          </w:p>
          <w:p w14:paraId="609D0102" w14:textId="77777777" w:rsidR="00E551F9" w:rsidRPr="00057172" w:rsidRDefault="00E551F9" w:rsidP="00E551F9">
            <w:pPr>
              <w:ind w:left="168"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023C9C85" w14:textId="77777777" w:rsidR="00E551F9" w:rsidRPr="00057172" w:rsidRDefault="00E551F9" w:rsidP="00E551F9">
            <w:pPr>
              <w:ind w:left="168"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6A4D5848" w14:textId="77777777" w:rsidR="00E551F9" w:rsidRPr="00057172" w:rsidRDefault="00E551F9" w:rsidP="00E551F9">
            <w:pPr>
              <w:tabs>
                <w:tab w:val="left" w:pos="4800"/>
              </w:tabs>
              <w:ind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tc>
      </w:tr>
      <w:tr w:rsidR="00E551F9" w14:paraId="0378D318" w14:textId="77777777" w:rsidTr="00E551F9">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1980" w:type="dxa"/>
          </w:tcPr>
          <w:p w14:paraId="2EEC7FF5" w14:textId="3A3858CD" w:rsidR="00E551F9" w:rsidRDefault="00057172" w:rsidP="00E551F9">
            <w:r>
              <w:rPr>
                <w:noProof/>
                <w:lang w:val="en-US"/>
              </w:rPr>
              <mc:AlternateContent>
                <mc:Choice Requires="wps">
                  <w:drawing>
                    <wp:anchor distT="0" distB="0" distL="114300" distR="114300" simplePos="0" relativeHeight="255069182" behindDoc="0" locked="0" layoutInCell="1" allowOverlap="1" wp14:anchorId="754EAAA8" wp14:editId="60E17062">
                      <wp:simplePos x="0" y="0"/>
                      <wp:positionH relativeFrom="margin">
                        <wp:posOffset>26670</wp:posOffset>
                      </wp:positionH>
                      <wp:positionV relativeFrom="paragraph">
                        <wp:posOffset>774700</wp:posOffset>
                      </wp:positionV>
                      <wp:extent cx="1066800" cy="311150"/>
                      <wp:effectExtent l="0" t="0" r="0" b="0"/>
                      <wp:wrapNone/>
                      <wp:docPr id="2231" name="Text Box 2231"/>
                      <wp:cNvGraphicFramePr/>
                      <a:graphic xmlns:a="http://schemas.openxmlformats.org/drawingml/2006/main">
                        <a:graphicData uri="http://schemas.microsoft.com/office/word/2010/wordprocessingShape">
                          <wps:wsp>
                            <wps:cNvSpPr txBox="1"/>
                            <wps:spPr>
                              <a:xfrm>
                                <a:off x="0" y="0"/>
                                <a:ext cx="1066800" cy="311150"/>
                              </a:xfrm>
                              <a:prstGeom prst="rect">
                                <a:avLst/>
                              </a:prstGeom>
                              <a:noFill/>
                              <a:ln w="6350">
                                <a:noFill/>
                              </a:ln>
                            </wps:spPr>
                            <wps:txbx>
                              <w:txbxContent>
                                <w:p w14:paraId="4A3BB5F2"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EAAA8" id="Text Box 2231" o:spid="_x0000_s1386" type="#_x0000_t202" style="position:absolute;margin-left:2.1pt;margin-top:61pt;width:84pt;height:24.5pt;z-index:2550691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" filled="f" stroked="f" strokeweight=".5pt">
                      <v:textbox>
                        <w:txbxContent>
                          <w:p w14:paraId="4A3BB5F2"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IMPORTANCE:</w:t>
                            </w:r>
                          </w:p>
                        </w:txbxContent>
                      </v:textbox>
                      <w10:wrap anchorx="margin"/>
                    </v:shape>
                  </w:pict>
                </mc:Fallback>
              </mc:AlternateContent>
            </w:r>
            <w:r>
              <w:rPr>
                <w:noProof/>
                <w:lang w:val="en-US"/>
              </w:rPr>
              <w:drawing>
                <wp:anchor distT="0" distB="0" distL="114300" distR="114300" simplePos="0" relativeHeight="255068158" behindDoc="1" locked="0" layoutInCell="1" allowOverlap="1" wp14:anchorId="2851D240" wp14:editId="30A1F3F5">
                  <wp:simplePos x="0" y="0"/>
                  <wp:positionH relativeFrom="margin">
                    <wp:posOffset>230505</wp:posOffset>
                  </wp:positionH>
                  <wp:positionV relativeFrom="paragraph">
                    <wp:posOffset>135255</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2238" name="Pict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476" w:type="dxa"/>
          </w:tcPr>
          <w:p w14:paraId="748F0835" w14:textId="77777777" w:rsidR="00057172" w:rsidRDefault="00057172" w:rsidP="00E551F9">
            <w:pPr>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41F5AD40" w14:textId="5DE9FCAB" w:rsidR="00E551F9" w:rsidRPr="00D90EF3" w:rsidRDefault="00E551F9" w:rsidP="00E551F9">
            <w:pPr>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D90EF3">
              <w:rPr>
                <w:rFonts w:ascii="Roboto" w:hAnsi="Roboto"/>
                <w:sz w:val="20"/>
                <w:szCs w:val="20"/>
              </w:rPr>
              <w:t>The Audit Report should provide the public with an independent and authoritative account of whether the government’s reporting of how it raised taxes and spent public funds during the previous year is accurate.  The Audit Report also indicates whether the government has complied with financial management laws and regulations during the budget year.  In some countries, the Audit Report will also comment on the accuracy of information in the financial statements on assets and liabilities and may also comment on the efficiency and effectiveness of government spending. The Audit Report is therefore a critical element in closing the accountability loop.  Having approved a budget at the start of the year that sets out how the government intends to tax, borrow, and spend public money, the legislature and the other actors in the fiscal ecosystem require a credible assurance that the government’s account of how it actually implemented the budget can be believed, and whether it remained at all times within the law.</w:t>
            </w:r>
          </w:p>
          <w:p w14:paraId="09044286" w14:textId="77777777" w:rsidR="00E551F9" w:rsidRPr="00D90EF3" w:rsidRDefault="00E551F9" w:rsidP="00E551F9">
            <w:pPr>
              <w:tabs>
                <w:tab w:val="left" w:pos="3120"/>
              </w:tabs>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E551F9" w14:paraId="4C3424E4" w14:textId="77777777" w:rsidTr="00E551F9">
        <w:trPr>
          <w:trHeight w:val="2824"/>
        </w:trPr>
        <w:tc>
          <w:tcPr>
            <w:cnfStyle w:val="001000000000" w:firstRow="0" w:lastRow="0" w:firstColumn="1" w:lastColumn="0" w:oddVBand="0" w:evenVBand="0" w:oddHBand="0" w:evenHBand="0" w:firstRowFirstColumn="0" w:firstRowLastColumn="0" w:lastRowFirstColumn="0" w:lastRowLastColumn="0"/>
            <w:tcW w:w="1980" w:type="dxa"/>
          </w:tcPr>
          <w:p w14:paraId="4D46ECFA" w14:textId="75CA2E63" w:rsidR="00E551F9" w:rsidRDefault="00057172" w:rsidP="00E551F9">
            <w:pPr>
              <w:rPr>
                <w:noProof/>
              </w:rPr>
            </w:pPr>
            <w:r>
              <w:rPr>
                <w:noProof/>
                <w:lang w:val="en-US"/>
              </w:rPr>
              <mc:AlternateContent>
                <mc:Choice Requires="wps">
                  <w:drawing>
                    <wp:anchor distT="0" distB="0" distL="114300" distR="114300" simplePos="0" relativeHeight="255071230" behindDoc="0" locked="0" layoutInCell="1" allowOverlap="1" wp14:anchorId="032BAB37" wp14:editId="2B27B959">
                      <wp:simplePos x="0" y="0"/>
                      <wp:positionH relativeFrom="margin">
                        <wp:posOffset>1270</wp:posOffset>
                      </wp:positionH>
                      <wp:positionV relativeFrom="paragraph">
                        <wp:posOffset>808355</wp:posOffset>
                      </wp:positionV>
                      <wp:extent cx="1117600" cy="311150"/>
                      <wp:effectExtent l="0" t="0" r="0" b="0"/>
                      <wp:wrapNone/>
                      <wp:docPr id="2242" name="Text Box 2242"/>
                      <wp:cNvGraphicFramePr/>
                      <a:graphic xmlns:a="http://schemas.openxmlformats.org/drawingml/2006/main">
                        <a:graphicData uri="http://schemas.microsoft.com/office/word/2010/wordprocessingShape">
                          <wps:wsp>
                            <wps:cNvSpPr txBox="1"/>
                            <wps:spPr>
                              <a:xfrm>
                                <a:off x="0" y="0"/>
                                <a:ext cx="1117600" cy="311150"/>
                              </a:xfrm>
                              <a:prstGeom prst="rect">
                                <a:avLst/>
                              </a:prstGeom>
                              <a:noFill/>
                              <a:ln w="6350">
                                <a:noFill/>
                              </a:ln>
                            </wps:spPr>
                            <wps:txbx>
                              <w:txbxContent>
                                <w:p w14:paraId="6FBFD0BD"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BAB37" id="Text Box 2242" o:spid="_x0000_s1387" type="#_x0000_t202" style="position:absolute;margin-left:.1pt;margin-top:63.65pt;width:88pt;height:24.5pt;z-index:255071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" filled="f" stroked="f" strokeweight=".5pt">
                      <v:textbox>
                        <w:txbxContent>
                          <w:p w14:paraId="6FBFD0BD"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CONTENTS:</w:t>
                            </w:r>
                          </w:p>
                        </w:txbxContent>
                      </v:textbox>
                      <w10:wrap anchorx="margin"/>
                    </v:shape>
                  </w:pict>
                </mc:Fallback>
              </mc:AlternateContent>
            </w:r>
            <w:r>
              <w:rPr>
                <w:noProof/>
                <w:lang w:val="en-US"/>
              </w:rPr>
              <w:drawing>
                <wp:anchor distT="0" distB="0" distL="114300" distR="114300" simplePos="0" relativeHeight="255070206" behindDoc="0" locked="0" layoutInCell="1" allowOverlap="1" wp14:anchorId="5D784522" wp14:editId="4C27BA6D">
                  <wp:simplePos x="0" y="0"/>
                  <wp:positionH relativeFrom="margin">
                    <wp:posOffset>229870</wp:posOffset>
                  </wp:positionH>
                  <wp:positionV relativeFrom="paragraph">
                    <wp:posOffset>142875</wp:posOffset>
                  </wp:positionV>
                  <wp:extent cx="658495" cy="658495"/>
                  <wp:effectExtent l="0" t="0" r="1905" b="0"/>
                  <wp:wrapNone/>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6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476" w:type="dxa"/>
          </w:tcPr>
          <w:p w14:paraId="34FE0192" w14:textId="77777777" w:rsidR="00E551F9" w:rsidRDefault="00E551F9" w:rsidP="00E551F9">
            <w:pPr>
              <w:ind w:left="168"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0F8F1436" w14:textId="77777777" w:rsidR="00E551F9" w:rsidRPr="00D90EF3" w:rsidRDefault="00E551F9" w:rsidP="00E551F9">
            <w:pPr>
              <w:ind w:left="168" w:right="295"/>
              <w:jc w:val="both"/>
              <w:cnfStyle w:val="000000000000" w:firstRow="0" w:lastRow="0" w:firstColumn="0" w:lastColumn="0" w:oddVBand="0" w:evenVBand="0" w:oddHBand="0" w:evenHBand="0" w:firstRowFirstColumn="0" w:firstRowLastColumn="0" w:lastRowFirstColumn="0" w:lastRowLastColumn="0"/>
              <w:rPr>
                <w:rFonts w:ascii="Roboto" w:hAnsi="Roboto"/>
                <w:noProof/>
                <w:sz w:val="20"/>
                <w:szCs w:val="20"/>
              </w:rPr>
            </w:pPr>
            <w:r w:rsidRPr="00D90EF3">
              <w:rPr>
                <w:rFonts w:ascii="Roboto" w:hAnsi="Roboto"/>
                <w:sz w:val="20"/>
                <w:szCs w:val="20"/>
              </w:rPr>
              <w:t>Contents are dependent on the type of supreme audit institution concerned and its legal mandate (see Module 2), and on the information contained in the financial reports and statements produced by the government. Regardless, the audit report should indicate the scope and nature of the supreme audit institution’s legal mandate, referring to the specific source legislation; provide comments on the accuracy and fairness of government’s financial statements; on the adequacy of government’s control systems for managing public finances; identify cases in which the government has breached the budget and other related laws on public finances; provide the supreme audit institution’s opinion (qualified, unqualified, disclaimer, et cetera.) on the accounts audited; list recommendations for rectifying problems identified by audit; and track the status of previous audit recommendations.</w:t>
            </w:r>
          </w:p>
          <w:p w14:paraId="7F070ABE" w14:textId="77777777" w:rsidR="00E551F9" w:rsidRPr="00D90EF3" w:rsidRDefault="00E551F9" w:rsidP="00E551F9">
            <w:pPr>
              <w:tabs>
                <w:tab w:val="left" w:pos="4920"/>
              </w:tabs>
              <w:ind w:left="168"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E551F9" w14:paraId="559FA4D5" w14:textId="77777777" w:rsidTr="00E551F9">
        <w:trPr>
          <w:cnfStyle w:val="000000100000" w:firstRow="0" w:lastRow="0" w:firstColumn="0" w:lastColumn="0" w:oddVBand="0" w:evenVBand="0" w:oddHBand="1" w:evenHBand="0" w:firstRowFirstColumn="0" w:firstRowLastColumn="0" w:lastRowFirstColumn="0" w:lastRowLastColumn="0"/>
          <w:trHeight w:val="1768"/>
        </w:trPr>
        <w:tc>
          <w:tcPr>
            <w:cnfStyle w:val="001000000000" w:firstRow="0" w:lastRow="0" w:firstColumn="1" w:lastColumn="0" w:oddVBand="0" w:evenVBand="0" w:oddHBand="0" w:evenHBand="0" w:firstRowFirstColumn="0" w:firstRowLastColumn="0" w:lastRowFirstColumn="0" w:lastRowLastColumn="0"/>
            <w:tcW w:w="1980" w:type="dxa"/>
          </w:tcPr>
          <w:p w14:paraId="07782110" w14:textId="77777777" w:rsidR="00E551F9" w:rsidRDefault="00E551F9" w:rsidP="00E551F9">
            <w:pPr>
              <w:rPr>
                <w:noProof/>
              </w:rPr>
            </w:pPr>
            <w:r>
              <w:rPr>
                <w:noProof/>
                <w:lang w:val="en-US"/>
              </w:rPr>
              <mc:AlternateContent>
                <mc:Choice Requires="wps">
                  <w:drawing>
                    <wp:anchor distT="0" distB="0" distL="114300" distR="114300" simplePos="0" relativeHeight="255073278" behindDoc="0" locked="0" layoutInCell="1" allowOverlap="1" wp14:anchorId="462EA617" wp14:editId="06A69D0C">
                      <wp:simplePos x="0" y="0"/>
                      <wp:positionH relativeFrom="margin">
                        <wp:align>center</wp:align>
                      </wp:positionH>
                      <wp:positionV relativeFrom="paragraph">
                        <wp:posOffset>758825</wp:posOffset>
                      </wp:positionV>
                      <wp:extent cx="1001395" cy="311150"/>
                      <wp:effectExtent l="0" t="0" r="0" b="0"/>
                      <wp:wrapNone/>
                      <wp:docPr id="2245" name="Text Box 2245"/>
                      <wp:cNvGraphicFramePr/>
                      <a:graphic xmlns:a="http://schemas.openxmlformats.org/drawingml/2006/main">
                        <a:graphicData uri="http://schemas.microsoft.com/office/word/2010/wordprocessingShape">
                          <wps:wsp>
                            <wps:cNvSpPr txBox="1"/>
                            <wps:spPr>
                              <a:xfrm>
                                <a:off x="0" y="0"/>
                                <a:ext cx="1001395" cy="311150"/>
                              </a:xfrm>
                              <a:prstGeom prst="rect">
                                <a:avLst/>
                              </a:prstGeom>
                              <a:noFill/>
                              <a:ln w="6350">
                                <a:noFill/>
                              </a:ln>
                            </wps:spPr>
                            <wps:txbx>
                              <w:txbxContent>
                                <w:p w14:paraId="2CB7DBF8"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EA617" id="Text Box 2245" o:spid="_x0000_s1388" type="#_x0000_t202" style="position:absolute;margin-left:0;margin-top:59.75pt;width:78.85pt;height:24.5pt;z-index:2550732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" filled="f" stroked="f" strokeweight=".5pt">
                      <v:textbox>
                        <w:txbxContent>
                          <w:p w14:paraId="2CB7DBF8" w14:textId="77777777" w:rsidR="00D15FD8" w:rsidRPr="00D90EF3" w:rsidRDefault="00D15FD8" w:rsidP="00E551F9">
                            <w:pPr>
                              <w:jc w:val="center"/>
                              <w:rPr>
                                <w:rFonts w:ascii="Roboto" w:hAnsi="Roboto"/>
                                <w:b/>
                                <w:color w:val="FFFFFF" w:themeColor="background1"/>
                                <w:sz w:val="20"/>
                                <w:szCs w:val="20"/>
                              </w:rPr>
                            </w:pPr>
                            <w:r w:rsidRPr="00D90EF3">
                              <w:rPr>
                                <w:rFonts w:ascii="Roboto" w:hAnsi="Roboto"/>
                                <w:b/>
                                <w:color w:val="FFFFFF" w:themeColor="background1"/>
                                <w:sz w:val="20"/>
                                <w:szCs w:val="20"/>
                              </w:rPr>
                              <w:t>EXAMPLES:</w:t>
                            </w:r>
                          </w:p>
                        </w:txbxContent>
                      </v:textbox>
                      <w10:wrap anchorx="margin"/>
                    </v:shape>
                  </w:pict>
                </mc:Fallback>
              </mc:AlternateContent>
            </w:r>
            <w:r>
              <w:rPr>
                <w:noProof/>
                <w:lang w:val="en-US"/>
              </w:rPr>
              <w:drawing>
                <wp:anchor distT="0" distB="0" distL="114300" distR="114300" simplePos="0" relativeHeight="255072254" behindDoc="1" locked="0" layoutInCell="1" allowOverlap="1" wp14:anchorId="40E37CEC" wp14:editId="723C3FF9">
                  <wp:simplePos x="0" y="0"/>
                  <wp:positionH relativeFrom="margin">
                    <wp:align>center</wp:align>
                  </wp:positionH>
                  <wp:positionV relativeFrom="paragraph">
                    <wp:posOffset>102235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6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476" w:type="dxa"/>
          </w:tcPr>
          <w:p w14:paraId="26991B4F" w14:textId="77777777" w:rsidR="00E551F9" w:rsidRDefault="00E551F9" w:rsidP="00E551F9">
            <w:pPr>
              <w:pStyle w:val="ListParagraph"/>
              <w:ind w:right="295"/>
              <w:contextualSpacing/>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5AB97DE3" w14:textId="77777777" w:rsidR="00E551F9" w:rsidRPr="00D90EF3" w:rsidRDefault="00E551F9" w:rsidP="00E551F9">
            <w:pPr>
              <w:pStyle w:val="ListParagraph"/>
              <w:numPr>
                <w:ilvl w:val="0"/>
                <w:numId w:val="189"/>
              </w:numPr>
              <w:ind w:right="295"/>
              <w:contextualSpacing/>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D90EF3">
              <w:rPr>
                <w:rFonts w:ascii="Roboto" w:hAnsi="Roboto"/>
                <w:sz w:val="20"/>
                <w:szCs w:val="20"/>
              </w:rPr>
              <w:t xml:space="preserve">India’s audit reports can be found on this </w:t>
            </w:r>
            <w:hyperlink r:id="rId679">
              <w:r w:rsidRPr="00D90EF3">
                <w:rPr>
                  <w:rStyle w:val="Hyperlink"/>
                  <w:rFonts w:ascii="Roboto" w:hAnsi="Roboto"/>
                  <w:sz w:val="20"/>
                  <w:szCs w:val="20"/>
                </w:rPr>
                <w:t>link</w:t>
              </w:r>
            </w:hyperlink>
            <w:r w:rsidRPr="00D90EF3">
              <w:rPr>
                <w:rFonts w:ascii="Roboto" w:hAnsi="Roboto"/>
                <w:sz w:val="20"/>
                <w:szCs w:val="20"/>
              </w:rPr>
              <w:t>.</w:t>
            </w:r>
          </w:p>
          <w:p w14:paraId="191F65A7" w14:textId="77777777" w:rsidR="00E551F9" w:rsidRPr="00D90EF3" w:rsidRDefault="00E551F9" w:rsidP="00E551F9">
            <w:pPr>
              <w:pStyle w:val="ListParagraph"/>
              <w:numPr>
                <w:ilvl w:val="0"/>
                <w:numId w:val="189"/>
              </w:numPr>
              <w:ind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r w:rsidRPr="00D90EF3">
              <w:rPr>
                <w:rFonts w:ascii="Roboto" w:hAnsi="Roboto"/>
                <w:sz w:val="20"/>
                <w:szCs w:val="20"/>
              </w:rPr>
              <w:t xml:space="preserve">The IBP has published OBI training materials for governments on the audit report that can be found on this </w:t>
            </w:r>
            <w:hyperlink r:id="rId680">
              <w:r w:rsidRPr="00D90EF3">
                <w:rPr>
                  <w:rStyle w:val="Hyperlink"/>
                  <w:rFonts w:ascii="Roboto" w:hAnsi="Roboto"/>
                  <w:sz w:val="20"/>
                  <w:szCs w:val="20"/>
                </w:rPr>
                <w:t>link</w:t>
              </w:r>
            </w:hyperlink>
            <w:r w:rsidRPr="00D90EF3">
              <w:rPr>
                <w:rStyle w:val="Hyperlink"/>
                <w:rFonts w:ascii="Roboto" w:hAnsi="Roboto"/>
                <w:sz w:val="20"/>
                <w:szCs w:val="20"/>
              </w:rPr>
              <w:t>.</w:t>
            </w:r>
          </w:p>
          <w:p w14:paraId="648B78A1" w14:textId="77777777" w:rsidR="00E551F9" w:rsidRPr="00D90EF3" w:rsidRDefault="00E551F9" w:rsidP="00E551F9">
            <w:pPr>
              <w:tabs>
                <w:tab w:val="left" w:pos="2880"/>
              </w:tabs>
              <w:ind w:left="168"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73226A44" w14:textId="724EC8DD" w:rsidR="00B25075" w:rsidRDefault="00B25075" w:rsidP="00541C3B">
      <w:pPr>
        <w:tabs>
          <w:tab w:val="left" w:pos="1940"/>
        </w:tabs>
        <w:rPr>
          <w:rFonts w:ascii="Arial" w:hAnsi="Arial" w:cs="Arial"/>
          <w:sz w:val="24"/>
          <w:szCs w:val="24"/>
        </w:rPr>
      </w:pPr>
    </w:p>
    <w:p w14:paraId="24BD942D" w14:textId="49AD0E51" w:rsidR="002E0E6F" w:rsidRDefault="002E0E6F" w:rsidP="00541C3B">
      <w:pPr>
        <w:tabs>
          <w:tab w:val="left" w:pos="1940"/>
        </w:tabs>
        <w:rPr>
          <w:rFonts w:ascii="Arial" w:hAnsi="Arial" w:cs="Arial"/>
          <w:sz w:val="24"/>
          <w:szCs w:val="24"/>
        </w:rPr>
      </w:pPr>
    </w:p>
    <w:p w14:paraId="0F0B2327" w14:textId="39504DF5" w:rsidR="00104BAC" w:rsidRDefault="00104BAC" w:rsidP="00541C3B">
      <w:pPr>
        <w:tabs>
          <w:tab w:val="left" w:pos="1940"/>
        </w:tabs>
        <w:rPr>
          <w:rFonts w:ascii="Arial" w:hAnsi="Arial" w:cs="Arial"/>
          <w:sz w:val="24"/>
          <w:szCs w:val="24"/>
        </w:rPr>
      </w:pPr>
    </w:p>
    <w:p w14:paraId="58CB9215" w14:textId="14B026EB" w:rsidR="00104BAC" w:rsidRDefault="00104BAC" w:rsidP="00541C3B">
      <w:pPr>
        <w:tabs>
          <w:tab w:val="left" w:pos="1940"/>
        </w:tabs>
        <w:rPr>
          <w:rFonts w:ascii="Arial" w:hAnsi="Arial" w:cs="Arial"/>
          <w:sz w:val="24"/>
          <w:szCs w:val="24"/>
        </w:rPr>
      </w:pPr>
    </w:p>
    <w:p w14:paraId="44D1BF71" w14:textId="3DAA2320" w:rsidR="00104BAC" w:rsidRDefault="00104BAC" w:rsidP="00541C3B">
      <w:pPr>
        <w:tabs>
          <w:tab w:val="left" w:pos="1940"/>
        </w:tabs>
        <w:rPr>
          <w:rFonts w:ascii="Arial" w:hAnsi="Arial" w:cs="Arial"/>
          <w:sz w:val="24"/>
          <w:szCs w:val="24"/>
        </w:rPr>
      </w:pPr>
    </w:p>
    <w:p w14:paraId="43124AA2" w14:textId="2FC5F1AF" w:rsidR="00104BAC" w:rsidRDefault="00104BAC" w:rsidP="00541C3B">
      <w:pPr>
        <w:tabs>
          <w:tab w:val="left" w:pos="1940"/>
        </w:tabs>
        <w:rPr>
          <w:rFonts w:ascii="Arial" w:hAnsi="Arial" w:cs="Arial"/>
          <w:sz w:val="24"/>
          <w:szCs w:val="24"/>
        </w:rPr>
      </w:pPr>
    </w:p>
    <w:p w14:paraId="57D58F54" w14:textId="36E871AB" w:rsidR="00104BAC" w:rsidRDefault="00104BAC" w:rsidP="00541C3B">
      <w:pPr>
        <w:tabs>
          <w:tab w:val="left" w:pos="1940"/>
        </w:tabs>
        <w:rPr>
          <w:rFonts w:ascii="Arial" w:hAnsi="Arial" w:cs="Arial"/>
          <w:sz w:val="24"/>
          <w:szCs w:val="24"/>
        </w:rPr>
      </w:pPr>
    </w:p>
    <w:p w14:paraId="0E5D7308" w14:textId="40101FFC" w:rsidR="00104BAC" w:rsidRDefault="00104BAC" w:rsidP="00541C3B">
      <w:pPr>
        <w:tabs>
          <w:tab w:val="left" w:pos="1940"/>
        </w:tabs>
        <w:rPr>
          <w:rFonts w:ascii="Arial" w:hAnsi="Arial" w:cs="Arial"/>
          <w:sz w:val="24"/>
          <w:szCs w:val="24"/>
        </w:rPr>
      </w:pPr>
    </w:p>
    <w:p w14:paraId="45A7E4BB" w14:textId="54FEC023" w:rsidR="004633F6" w:rsidRDefault="004633F6" w:rsidP="00541C3B">
      <w:pPr>
        <w:tabs>
          <w:tab w:val="left" w:pos="1940"/>
        </w:tabs>
        <w:rPr>
          <w:rFonts w:ascii="Arial" w:hAnsi="Arial" w:cs="Arial"/>
          <w:sz w:val="24"/>
          <w:szCs w:val="24"/>
        </w:rPr>
      </w:pPr>
    </w:p>
    <w:p w14:paraId="4C1DCF43" w14:textId="7A385F98" w:rsidR="004633F6" w:rsidRDefault="004633F6" w:rsidP="00541C3B">
      <w:pPr>
        <w:tabs>
          <w:tab w:val="left" w:pos="1940"/>
        </w:tabs>
        <w:rPr>
          <w:rFonts w:ascii="Arial" w:hAnsi="Arial" w:cs="Arial"/>
          <w:sz w:val="24"/>
          <w:szCs w:val="24"/>
        </w:rPr>
      </w:pPr>
    </w:p>
    <w:p w14:paraId="5FB84A0B" w14:textId="77777777" w:rsidR="00372252" w:rsidRDefault="00372252" w:rsidP="00541C3B">
      <w:pPr>
        <w:tabs>
          <w:tab w:val="left" w:pos="1940"/>
        </w:tabs>
        <w:rPr>
          <w:rFonts w:ascii="Arial" w:hAnsi="Arial" w:cs="Arial"/>
          <w:sz w:val="24"/>
          <w:szCs w:val="24"/>
        </w:rPr>
      </w:pPr>
    </w:p>
    <w:p w14:paraId="14471B1C" w14:textId="77777777" w:rsidR="00104BAC" w:rsidRPr="003625BA" w:rsidRDefault="00104BAC" w:rsidP="00541C3B">
      <w:pPr>
        <w:tabs>
          <w:tab w:val="left" w:pos="1940"/>
        </w:tabs>
        <w:rPr>
          <w:rFonts w:ascii="Arial" w:hAnsi="Arial" w:cs="Arial"/>
          <w:sz w:val="8"/>
          <w:szCs w:val="8"/>
        </w:rPr>
      </w:pPr>
    </w:p>
    <w:p w14:paraId="1C7E69EE" w14:textId="778370A5" w:rsidR="009F1917" w:rsidRPr="003625BA" w:rsidRDefault="0065711A" w:rsidP="003625BA">
      <w:pPr>
        <w:pStyle w:val="Heading3"/>
        <w:jc w:val="center"/>
        <w:rPr>
          <w:rFonts w:ascii="Arial" w:hAnsi="Arial" w:cs="Arial"/>
          <w:b/>
          <w:bCs/>
          <w:color w:val="ED5625"/>
          <w:sz w:val="20"/>
          <w:szCs w:val="20"/>
        </w:rPr>
      </w:pPr>
      <w:bookmarkStart w:id="1543" w:name="_Table_3.14._Long-term"/>
      <w:bookmarkStart w:id="1544" w:name="_Toc123217445"/>
      <w:bookmarkStart w:id="1545" w:name="_Toc123914062"/>
      <w:bookmarkStart w:id="1546" w:name="_Toc125566677"/>
      <w:bookmarkEnd w:id="1543"/>
      <w:r w:rsidRPr="003625BA">
        <w:rPr>
          <w:rFonts w:ascii="Arial" w:hAnsi="Arial" w:cs="Arial"/>
          <w:b/>
          <w:bCs/>
          <w:color w:val="ED5625"/>
          <w:sz w:val="20"/>
          <w:szCs w:val="20"/>
        </w:rPr>
        <w:lastRenderedPageBreak/>
        <w:t>Table 3.14</w:t>
      </w:r>
      <w:r w:rsidR="008616A4">
        <w:rPr>
          <w:rFonts w:ascii="Arial" w:hAnsi="Arial" w:cs="Arial"/>
          <w:b/>
          <w:bCs/>
          <w:color w:val="ED5625"/>
          <w:sz w:val="20"/>
          <w:szCs w:val="20"/>
        </w:rPr>
        <w:t>.</w:t>
      </w:r>
      <w:r w:rsidR="004633F6" w:rsidRPr="003625BA">
        <w:rPr>
          <w:rFonts w:ascii="Arial" w:hAnsi="Arial" w:cs="Arial"/>
          <w:b/>
          <w:bCs/>
          <w:color w:val="ED5625"/>
          <w:sz w:val="20"/>
          <w:szCs w:val="20"/>
        </w:rPr>
        <w:t xml:space="preserve"> </w:t>
      </w:r>
      <w:r w:rsidR="00AD5BE2">
        <w:rPr>
          <w:rFonts w:ascii="Arial" w:hAnsi="Arial" w:cs="Arial"/>
          <w:b/>
          <w:bCs/>
          <w:color w:val="ED5625"/>
          <w:sz w:val="20"/>
          <w:szCs w:val="20"/>
        </w:rPr>
        <w:t>Long-term report</w:t>
      </w:r>
      <w:bookmarkEnd w:id="1544"/>
      <w:bookmarkEnd w:id="1545"/>
      <w:bookmarkEnd w:id="1546"/>
    </w:p>
    <w:tbl>
      <w:tblPr>
        <w:tblStyle w:val="GridTable5Dark-Accent2"/>
        <w:tblpPr w:leftFromText="180" w:rightFromText="180" w:vertAnchor="page" w:horzAnchor="margin" w:tblpY="1701"/>
        <w:tblW w:w="0" w:type="auto"/>
        <w:tblLook w:val="04A0" w:firstRow="1" w:lastRow="0" w:firstColumn="1" w:lastColumn="0" w:noHBand="0" w:noVBand="1"/>
      </w:tblPr>
      <w:tblGrid>
        <w:gridCol w:w="2122"/>
        <w:gridCol w:w="8334"/>
      </w:tblGrid>
      <w:tr w:rsidR="00057172" w14:paraId="59BB3B43" w14:textId="77777777" w:rsidTr="00057172">
        <w:trPr>
          <w:cnfStyle w:val="100000000000" w:firstRow="1" w:lastRow="0" w:firstColumn="0" w:lastColumn="0" w:oddVBand="0" w:evenVBand="0" w:oddHBand="0" w:evenHBand="0" w:firstRowFirstColumn="0" w:firstRowLastColumn="0" w:lastRowFirstColumn="0" w:lastRowLastColumn="0"/>
          <w:trHeight w:val="1102"/>
        </w:trPr>
        <w:tc>
          <w:tcPr>
            <w:cnfStyle w:val="001000000000" w:firstRow="0" w:lastRow="0" w:firstColumn="1" w:lastColumn="0" w:oddVBand="0" w:evenVBand="0" w:oddHBand="0" w:evenHBand="0" w:firstRowFirstColumn="0" w:firstRowLastColumn="0" w:lastRowFirstColumn="0" w:lastRowLastColumn="0"/>
            <w:tcW w:w="2122" w:type="dxa"/>
            <w:tcBorders>
              <w:right w:val="single" w:sz="4" w:space="0" w:color="FFFFFF" w:themeColor="background1"/>
            </w:tcBorders>
          </w:tcPr>
          <w:p w14:paraId="2B9803E8" w14:textId="77777777" w:rsidR="00057172" w:rsidRDefault="00057172" w:rsidP="00057172">
            <w:r>
              <w:rPr>
                <w:noProof/>
                <w:lang w:val="en-US"/>
              </w:rPr>
              <mc:AlternateContent>
                <mc:Choice Requires="wps">
                  <w:drawing>
                    <wp:anchor distT="0" distB="0" distL="114300" distR="114300" simplePos="0" relativeHeight="255268862" behindDoc="0" locked="0" layoutInCell="1" allowOverlap="1" wp14:anchorId="2004D5A9" wp14:editId="7485877D">
                      <wp:simplePos x="0" y="0"/>
                      <wp:positionH relativeFrom="margin">
                        <wp:align>center</wp:align>
                      </wp:positionH>
                      <wp:positionV relativeFrom="paragraph">
                        <wp:posOffset>694690</wp:posOffset>
                      </wp:positionV>
                      <wp:extent cx="1065530" cy="279400"/>
                      <wp:effectExtent l="0" t="0" r="0" b="0"/>
                      <wp:wrapNone/>
                      <wp:docPr id="2250" name="Text Box 2250"/>
                      <wp:cNvGraphicFramePr/>
                      <a:graphic xmlns:a="http://schemas.openxmlformats.org/drawingml/2006/main">
                        <a:graphicData uri="http://schemas.microsoft.com/office/word/2010/wordprocessingShape">
                          <wps:wsp>
                            <wps:cNvSpPr txBox="1"/>
                            <wps:spPr>
                              <a:xfrm>
                                <a:off x="0" y="0"/>
                                <a:ext cx="1065530" cy="279400"/>
                              </a:xfrm>
                              <a:prstGeom prst="rect">
                                <a:avLst/>
                              </a:prstGeom>
                              <a:noFill/>
                              <a:ln w="6350">
                                <a:noFill/>
                              </a:ln>
                            </wps:spPr>
                            <wps:txbx>
                              <w:txbxContent>
                                <w:p w14:paraId="3FC18375"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4D5A9" id="Text Box 2250" o:spid="_x0000_s1389" type="#_x0000_t202" style="position:absolute;margin-left:0;margin-top:54.7pt;width:83.9pt;height:22pt;z-index:2552688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" filled="f" stroked="f" strokeweight=".5pt">
                      <v:textbox>
                        <w:txbxContent>
                          <w:p w14:paraId="3FC18375"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WHEN:</w:t>
                            </w:r>
                          </w:p>
                        </w:txbxContent>
                      </v:textbox>
                      <w10:wrap anchorx="margin"/>
                    </v:shape>
                  </w:pict>
                </mc:Fallback>
              </mc:AlternateContent>
            </w:r>
            <w:r>
              <w:rPr>
                <w:noProof/>
                <w:lang w:val="en-US"/>
              </w:rPr>
              <w:drawing>
                <wp:anchor distT="0" distB="0" distL="114300" distR="114300" simplePos="0" relativeHeight="255267838" behindDoc="1" locked="0" layoutInCell="1" allowOverlap="1" wp14:anchorId="41ABB11C" wp14:editId="72B64BD2">
                  <wp:simplePos x="0" y="0"/>
                  <wp:positionH relativeFrom="margin">
                    <wp:align>center</wp:align>
                  </wp:positionH>
                  <wp:positionV relativeFrom="paragraph">
                    <wp:posOffset>88900</wp:posOffset>
                  </wp:positionV>
                  <wp:extent cx="659130" cy="659130"/>
                  <wp:effectExtent l="0" t="0" r="0" b="0"/>
                  <wp:wrapTight wrapText="bothSides">
                    <wp:wrapPolygon edited="0">
                      <wp:start x="3746" y="416"/>
                      <wp:lineTo x="1665" y="2913"/>
                      <wp:lineTo x="416" y="5410"/>
                      <wp:lineTo x="416" y="16231"/>
                      <wp:lineTo x="3329" y="19977"/>
                      <wp:lineTo x="4578" y="20809"/>
                      <wp:lineTo x="16647" y="20809"/>
                      <wp:lineTo x="17896" y="19977"/>
                      <wp:lineTo x="20809" y="15815"/>
                      <wp:lineTo x="20809" y="6243"/>
                      <wp:lineTo x="19145" y="2497"/>
                      <wp:lineTo x="17480" y="416"/>
                      <wp:lineTo x="3746" y="416"/>
                    </wp:wrapPolygon>
                  </wp:wrapTight>
                  <wp:docPr id="2258" name="Picture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DF_Icon10-01.png"/>
                          <pic:cNvPicPr/>
                        </pic:nvPicPr>
                        <pic:blipFill>
                          <a:blip r:embed="rId645" cstate="email">
                            <a:extLst>
                              <a:ext uri="{28A0092B-C50C-407E-A947-70E740481C1C}">
                                <a14:useLocalDpi xmlns:a14="http://schemas.microsoft.com/office/drawing/2010/main"/>
                              </a:ext>
                            </a:extLst>
                          </a:blip>
                          <a:stretch>
                            <a:fillRect/>
                          </a:stretch>
                        </pic:blipFill>
                        <pic:spPr>
                          <a:xfrm>
                            <a:off x="0" y="0"/>
                            <a:ext cx="659130" cy="659130"/>
                          </a:xfrm>
                          <a:prstGeom prst="rect">
                            <a:avLst/>
                          </a:prstGeom>
                        </pic:spPr>
                      </pic:pic>
                    </a:graphicData>
                  </a:graphic>
                  <wp14:sizeRelH relativeFrom="page">
                    <wp14:pctWidth>0</wp14:pctWidth>
                  </wp14:sizeRelH>
                  <wp14:sizeRelV relativeFrom="page">
                    <wp14:pctHeight>0</wp14:pctHeight>
                  </wp14:sizeRelV>
                </wp:anchor>
              </w:drawing>
            </w:r>
          </w:p>
        </w:tc>
        <w:tc>
          <w:tcPr>
            <w:tcW w:w="8334" w:type="dxa"/>
            <w:tcBorders>
              <w:left w:val="single" w:sz="4" w:space="0" w:color="FFFFFF" w:themeColor="background1"/>
            </w:tcBorders>
            <w:shd w:val="clear" w:color="auto" w:fill="FBE4D5" w:themeFill="accent2" w:themeFillTint="33"/>
          </w:tcPr>
          <w:p w14:paraId="01DA9CFF" w14:textId="77777777" w:rsidR="00057172" w:rsidRPr="00057172" w:rsidRDefault="00057172" w:rsidP="00057172">
            <w:pPr>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3AC5A194" w14:textId="3F738249" w:rsidR="00057172" w:rsidRPr="00057172" w:rsidRDefault="00057172" w:rsidP="00057172">
            <w:pPr>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057172">
              <w:rPr>
                <w:rFonts w:ascii="Roboto" w:hAnsi="Roboto"/>
                <w:b w:val="0"/>
                <w:bCs w:val="0"/>
                <w:color w:val="000000" w:themeColor="text1"/>
                <w:sz w:val="20"/>
                <w:szCs w:val="20"/>
              </w:rPr>
              <w:t>The OECD’s Budget Transparency Toolkit</w:t>
            </w:r>
            <w:r w:rsidR="00825F60">
              <w:rPr>
                <w:rFonts w:ascii="Roboto" w:hAnsi="Roboto"/>
                <w:b w:val="0"/>
                <w:bCs w:val="0"/>
                <w:color w:val="000000" w:themeColor="text1"/>
                <w:sz w:val="20"/>
                <w:szCs w:val="20"/>
              </w:rPr>
              <w:t xml:space="preserve"> </w:t>
            </w:r>
            <w:r w:rsidRPr="00057172">
              <w:rPr>
                <w:rFonts w:ascii="Roboto" w:hAnsi="Roboto"/>
                <w:b w:val="0"/>
                <w:bCs w:val="0"/>
                <w:color w:val="000000" w:themeColor="text1"/>
                <w:sz w:val="20"/>
                <w:szCs w:val="20"/>
              </w:rPr>
              <w:t>(2017) states that these reports should be produced at least every three to five years.</w:t>
            </w:r>
          </w:p>
          <w:p w14:paraId="4AD4746C" w14:textId="77F7A175" w:rsidR="00057172" w:rsidRDefault="00057172" w:rsidP="00057172">
            <w:pPr>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color w:val="000000" w:themeColor="text1"/>
                <w:sz w:val="20"/>
                <w:szCs w:val="20"/>
              </w:rPr>
            </w:pPr>
          </w:p>
          <w:p w14:paraId="71FA0434" w14:textId="77777777" w:rsidR="0096076C" w:rsidRPr="00057172" w:rsidRDefault="0096076C" w:rsidP="00057172">
            <w:pPr>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538332EB" w14:textId="77777777" w:rsidR="00057172" w:rsidRPr="00057172" w:rsidRDefault="00057172" w:rsidP="00057172">
            <w:pPr>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p>
          <w:p w14:paraId="6B45397C" w14:textId="77777777" w:rsidR="00057172" w:rsidRPr="00057172" w:rsidRDefault="00057172" w:rsidP="00057172">
            <w:pPr>
              <w:tabs>
                <w:tab w:val="left" w:pos="5300"/>
              </w:tabs>
              <w:ind w:left="170" w:right="295"/>
              <w:jc w:val="both"/>
              <w:cnfStyle w:val="100000000000" w:firstRow="1" w:lastRow="0" w:firstColumn="0" w:lastColumn="0" w:oddVBand="0" w:evenVBand="0" w:oddHBand="0" w:evenHBand="0" w:firstRowFirstColumn="0" w:firstRowLastColumn="0" w:lastRowFirstColumn="0" w:lastRowLastColumn="0"/>
              <w:rPr>
                <w:rFonts w:ascii="Roboto" w:hAnsi="Roboto"/>
                <w:b w:val="0"/>
                <w:bCs w:val="0"/>
                <w:color w:val="000000" w:themeColor="text1"/>
                <w:sz w:val="20"/>
                <w:szCs w:val="20"/>
              </w:rPr>
            </w:pPr>
            <w:r w:rsidRPr="00057172">
              <w:rPr>
                <w:rFonts w:ascii="Roboto" w:hAnsi="Roboto"/>
                <w:b w:val="0"/>
                <w:bCs w:val="0"/>
                <w:color w:val="000000" w:themeColor="text1"/>
                <w:sz w:val="20"/>
                <w:szCs w:val="20"/>
              </w:rPr>
              <w:tab/>
            </w:r>
          </w:p>
        </w:tc>
      </w:tr>
      <w:tr w:rsidR="00057172" w14:paraId="05101845" w14:textId="77777777" w:rsidTr="00057172">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2122" w:type="dxa"/>
          </w:tcPr>
          <w:p w14:paraId="7EDD64DC" w14:textId="77777777" w:rsidR="00057172" w:rsidRDefault="00057172" w:rsidP="00057172">
            <w:r>
              <w:rPr>
                <w:noProof/>
                <w:lang w:val="en-US"/>
              </w:rPr>
              <mc:AlternateContent>
                <mc:Choice Requires="wps">
                  <w:drawing>
                    <wp:anchor distT="0" distB="0" distL="114300" distR="114300" simplePos="0" relativeHeight="255270910" behindDoc="0" locked="0" layoutInCell="1" allowOverlap="1" wp14:anchorId="5687B086" wp14:editId="2E8BDAA0">
                      <wp:simplePos x="0" y="0"/>
                      <wp:positionH relativeFrom="margin">
                        <wp:posOffset>46355</wp:posOffset>
                      </wp:positionH>
                      <wp:positionV relativeFrom="paragraph">
                        <wp:posOffset>1017270</wp:posOffset>
                      </wp:positionV>
                      <wp:extent cx="1117600" cy="311150"/>
                      <wp:effectExtent l="0" t="0" r="0" b="0"/>
                      <wp:wrapNone/>
                      <wp:docPr id="2252" name="Text Box 2252"/>
                      <wp:cNvGraphicFramePr/>
                      <a:graphic xmlns:a="http://schemas.openxmlformats.org/drawingml/2006/main">
                        <a:graphicData uri="http://schemas.microsoft.com/office/word/2010/wordprocessingShape">
                          <wps:wsp>
                            <wps:cNvSpPr txBox="1"/>
                            <wps:spPr>
                              <a:xfrm>
                                <a:off x="0" y="0"/>
                                <a:ext cx="1117600" cy="311150"/>
                              </a:xfrm>
                              <a:prstGeom prst="rect">
                                <a:avLst/>
                              </a:prstGeom>
                              <a:noFill/>
                              <a:ln w="6350">
                                <a:noFill/>
                              </a:ln>
                            </wps:spPr>
                            <wps:txbx>
                              <w:txbxContent>
                                <w:p w14:paraId="7DDCF704"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B086" id="Text Box 2252" o:spid="_x0000_s1390" type="#_x0000_t202" style="position:absolute;margin-left:3.65pt;margin-top:80.1pt;width:88pt;height:24.5pt;z-index:2552709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" filled="f" stroked="f" strokeweight=".5pt">
                      <v:textbox>
                        <w:txbxContent>
                          <w:p w14:paraId="7DDCF704"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IMPORTANCE:</w:t>
                            </w:r>
                          </w:p>
                        </w:txbxContent>
                      </v:textbox>
                      <w10:wrap anchorx="margin"/>
                    </v:shape>
                  </w:pict>
                </mc:Fallback>
              </mc:AlternateContent>
            </w:r>
            <w:r>
              <w:rPr>
                <w:noProof/>
                <w:lang w:val="en-US"/>
              </w:rPr>
              <w:drawing>
                <wp:anchor distT="0" distB="0" distL="114300" distR="114300" simplePos="0" relativeHeight="255269886" behindDoc="1" locked="0" layoutInCell="1" allowOverlap="1" wp14:anchorId="464EECB7" wp14:editId="5CDBF1FC">
                  <wp:simplePos x="0" y="0"/>
                  <wp:positionH relativeFrom="margin">
                    <wp:posOffset>275590</wp:posOffset>
                  </wp:positionH>
                  <wp:positionV relativeFrom="paragraph">
                    <wp:posOffset>378460</wp:posOffset>
                  </wp:positionV>
                  <wp:extent cx="658495" cy="658495"/>
                  <wp:effectExtent l="0" t="0" r="0" b="0"/>
                  <wp:wrapTight wrapText="bothSides">
                    <wp:wrapPolygon edited="0">
                      <wp:start x="3749" y="417"/>
                      <wp:lineTo x="1666" y="2916"/>
                      <wp:lineTo x="417" y="5416"/>
                      <wp:lineTo x="417" y="16247"/>
                      <wp:lineTo x="3333" y="19996"/>
                      <wp:lineTo x="4582" y="20829"/>
                      <wp:lineTo x="16663" y="20829"/>
                      <wp:lineTo x="17913" y="19996"/>
                      <wp:lineTo x="20829" y="15830"/>
                      <wp:lineTo x="20829" y="6249"/>
                      <wp:lineTo x="19163" y="2500"/>
                      <wp:lineTo x="17497" y="417"/>
                      <wp:lineTo x="3749" y="417"/>
                    </wp:wrapPolygon>
                  </wp:wrapTight>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DF_Icon11-01.png"/>
                          <pic:cNvPicPr/>
                        </pic:nvPicPr>
                        <pic:blipFill>
                          <a:blip r:embed="rId654"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334" w:type="dxa"/>
          </w:tcPr>
          <w:p w14:paraId="0E733EDE" w14:textId="77777777" w:rsidR="00057172" w:rsidRDefault="00057172"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763F7056" w14:textId="77777777" w:rsidR="00057172" w:rsidRPr="003625BA" w:rsidRDefault="00057172"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The long-term report assesses the long-term sustainability of public finances and government policies. The report shows the projections of the evolution of the public finances over the long term, particularly in light of projected demographic changes and (for some countries) the continued availability of natural resource endowments such as oil, natural gas or mineral ores. In addition to long-term sustainability, this report can also contribute to the national debate on the issue of inter-generational equity, that is how the burden of taxation and the enjoyment of benefits, are over a long time period across multiple generations.</w:t>
            </w:r>
          </w:p>
          <w:p w14:paraId="7AC57B17" w14:textId="77777777" w:rsidR="00057172" w:rsidRPr="003625BA" w:rsidRDefault="00057172" w:rsidP="00057172">
            <w:pPr>
              <w:tabs>
                <w:tab w:val="left" w:pos="6526"/>
              </w:tabs>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r w:rsidR="00057172" w14:paraId="0C9DECC6" w14:textId="77777777" w:rsidTr="00057172">
        <w:trPr>
          <w:trHeight w:val="1020"/>
        </w:trPr>
        <w:tc>
          <w:tcPr>
            <w:cnfStyle w:val="001000000000" w:firstRow="0" w:lastRow="0" w:firstColumn="1" w:lastColumn="0" w:oddVBand="0" w:evenVBand="0" w:oddHBand="0" w:evenHBand="0" w:firstRowFirstColumn="0" w:firstRowLastColumn="0" w:lastRowFirstColumn="0" w:lastRowLastColumn="0"/>
            <w:tcW w:w="2122" w:type="dxa"/>
          </w:tcPr>
          <w:p w14:paraId="557FCCBB" w14:textId="1D8F1BFE" w:rsidR="00057172" w:rsidRDefault="0096076C" w:rsidP="00057172">
            <w:pPr>
              <w:rPr>
                <w:b w:val="0"/>
                <w:bCs w:val="0"/>
              </w:rPr>
            </w:pPr>
            <w:r>
              <w:rPr>
                <w:noProof/>
                <w:lang w:val="en-US"/>
              </w:rPr>
              <w:drawing>
                <wp:anchor distT="0" distB="0" distL="114300" distR="114300" simplePos="0" relativeHeight="255271934" behindDoc="1" locked="0" layoutInCell="1" allowOverlap="1" wp14:anchorId="7AE30B12" wp14:editId="54591140">
                  <wp:simplePos x="0" y="0"/>
                  <wp:positionH relativeFrom="margin">
                    <wp:posOffset>274955</wp:posOffset>
                  </wp:positionH>
                  <wp:positionV relativeFrom="paragraph">
                    <wp:posOffset>68580</wp:posOffset>
                  </wp:positionV>
                  <wp:extent cx="658495" cy="658495"/>
                  <wp:effectExtent l="0" t="0" r="1905" b="0"/>
                  <wp:wrapTight wrapText="bothSides">
                    <wp:wrapPolygon edited="0">
                      <wp:start x="3333" y="417"/>
                      <wp:lineTo x="1250" y="3749"/>
                      <wp:lineTo x="417" y="5416"/>
                      <wp:lineTo x="417" y="16247"/>
                      <wp:lineTo x="3333" y="19996"/>
                      <wp:lineTo x="4582" y="20829"/>
                      <wp:lineTo x="16663" y="20829"/>
                      <wp:lineTo x="17913" y="19996"/>
                      <wp:lineTo x="20829" y="15830"/>
                      <wp:lineTo x="21246" y="6249"/>
                      <wp:lineTo x="17913" y="417"/>
                      <wp:lineTo x="3333" y="417"/>
                    </wp:wrapPolygon>
                  </wp:wrapTight>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DF_Icon12-01.png"/>
                          <pic:cNvPicPr/>
                        </pic:nvPicPr>
                        <pic:blipFill>
                          <a:blip r:embed="rId668"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r w:rsidR="00057172">
              <w:rPr>
                <w:noProof/>
                <w:lang w:val="en-US"/>
              </w:rPr>
              <mc:AlternateContent>
                <mc:Choice Requires="wps">
                  <w:drawing>
                    <wp:anchor distT="0" distB="0" distL="114300" distR="114300" simplePos="0" relativeHeight="255272958" behindDoc="0" locked="0" layoutInCell="1" allowOverlap="1" wp14:anchorId="7CDF31A7" wp14:editId="163195C0">
                      <wp:simplePos x="0" y="0"/>
                      <wp:positionH relativeFrom="margin">
                        <wp:posOffset>30480</wp:posOffset>
                      </wp:positionH>
                      <wp:positionV relativeFrom="paragraph">
                        <wp:posOffset>706628</wp:posOffset>
                      </wp:positionV>
                      <wp:extent cx="1149350" cy="311150"/>
                      <wp:effectExtent l="0" t="0" r="0" b="0"/>
                      <wp:wrapNone/>
                      <wp:docPr id="2254" name="Text Box 2254"/>
                      <wp:cNvGraphicFramePr/>
                      <a:graphic xmlns:a="http://schemas.openxmlformats.org/drawingml/2006/main">
                        <a:graphicData uri="http://schemas.microsoft.com/office/word/2010/wordprocessingShape">
                          <wps:wsp>
                            <wps:cNvSpPr txBox="1"/>
                            <wps:spPr>
                              <a:xfrm>
                                <a:off x="0" y="0"/>
                                <a:ext cx="1149350" cy="311150"/>
                              </a:xfrm>
                              <a:prstGeom prst="rect">
                                <a:avLst/>
                              </a:prstGeom>
                              <a:noFill/>
                              <a:ln w="6350">
                                <a:noFill/>
                              </a:ln>
                            </wps:spPr>
                            <wps:txbx>
                              <w:txbxContent>
                                <w:p w14:paraId="20FD5AA7"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F31A7" id="Text Box 2254" o:spid="_x0000_s1391" type="#_x0000_t202" style="position:absolute;margin-left:2.4pt;margin-top:55.65pt;width:90.5pt;height:24.5pt;z-index:2552729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" filled="f" stroked="f" strokeweight=".5pt">
                      <v:textbox>
                        <w:txbxContent>
                          <w:p w14:paraId="20FD5AA7"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CONTENTS:</w:t>
                            </w:r>
                          </w:p>
                        </w:txbxContent>
                      </v:textbox>
                      <w10:wrap anchorx="margin"/>
                    </v:shape>
                  </w:pict>
                </mc:Fallback>
              </mc:AlternateContent>
            </w:r>
          </w:p>
          <w:p w14:paraId="22DE0E95" w14:textId="77777777" w:rsidR="00057172" w:rsidRDefault="00057172" w:rsidP="00057172"/>
        </w:tc>
        <w:tc>
          <w:tcPr>
            <w:tcW w:w="8334" w:type="dxa"/>
          </w:tcPr>
          <w:p w14:paraId="3BE22C24" w14:textId="77777777" w:rsidR="00057172" w:rsidRDefault="00057172" w:rsidP="00057172">
            <w:pPr>
              <w:ind w:left="170"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6EC43BE4" w14:textId="77777777" w:rsidR="00057172" w:rsidRPr="003625BA" w:rsidRDefault="00057172" w:rsidP="00057172">
            <w:pPr>
              <w:ind w:left="170"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r w:rsidRPr="003625BA">
              <w:rPr>
                <w:rFonts w:ascii="Roboto" w:hAnsi="Roboto"/>
                <w:sz w:val="20"/>
                <w:szCs w:val="20"/>
              </w:rPr>
              <w:t>The long-term report should use internationally-comparable indicators of long-term sustainability and suggest near-term (2-5 years) as well as longer-term policy messages.</w:t>
            </w:r>
          </w:p>
          <w:p w14:paraId="793A795C" w14:textId="77777777" w:rsidR="00057172" w:rsidRPr="003625BA" w:rsidRDefault="00057172" w:rsidP="00057172">
            <w:pPr>
              <w:ind w:left="170"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p w14:paraId="534EAF0A" w14:textId="77777777" w:rsidR="00057172" w:rsidRPr="003625BA" w:rsidRDefault="00057172" w:rsidP="00057172">
            <w:pPr>
              <w:tabs>
                <w:tab w:val="left" w:pos="1639"/>
              </w:tabs>
              <w:ind w:left="170" w:right="295"/>
              <w:jc w:val="both"/>
              <w:cnfStyle w:val="000000000000" w:firstRow="0" w:lastRow="0" w:firstColumn="0" w:lastColumn="0" w:oddVBand="0" w:evenVBand="0" w:oddHBand="0" w:evenHBand="0" w:firstRowFirstColumn="0" w:firstRowLastColumn="0" w:lastRowFirstColumn="0" w:lastRowLastColumn="0"/>
              <w:rPr>
                <w:rFonts w:ascii="Roboto" w:hAnsi="Roboto"/>
                <w:sz w:val="20"/>
                <w:szCs w:val="20"/>
              </w:rPr>
            </w:pPr>
          </w:p>
        </w:tc>
      </w:tr>
      <w:tr w:rsidR="00057172" w14:paraId="5B672BB6" w14:textId="77777777" w:rsidTr="00057172">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2122" w:type="dxa"/>
          </w:tcPr>
          <w:p w14:paraId="21912F1D" w14:textId="48BBAB8E" w:rsidR="00057172" w:rsidRDefault="0096076C" w:rsidP="00057172">
            <w:pPr>
              <w:rPr>
                <w:b w:val="0"/>
                <w:bCs w:val="0"/>
                <w:noProof/>
              </w:rPr>
            </w:pPr>
            <w:r>
              <w:rPr>
                <w:noProof/>
                <w:lang w:val="en-US"/>
              </w:rPr>
              <mc:AlternateContent>
                <mc:Choice Requires="wps">
                  <w:drawing>
                    <wp:anchor distT="0" distB="0" distL="114300" distR="114300" simplePos="0" relativeHeight="255275006" behindDoc="0" locked="0" layoutInCell="1" allowOverlap="1" wp14:anchorId="13ABC35C" wp14:editId="48AD9233">
                      <wp:simplePos x="0" y="0"/>
                      <wp:positionH relativeFrom="margin">
                        <wp:posOffset>-4445</wp:posOffset>
                      </wp:positionH>
                      <wp:positionV relativeFrom="paragraph">
                        <wp:posOffset>747395</wp:posOffset>
                      </wp:positionV>
                      <wp:extent cx="1219200" cy="311150"/>
                      <wp:effectExtent l="0" t="0" r="0" b="0"/>
                      <wp:wrapNone/>
                      <wp:docPr id="2256" name="Text Box 2256"/>
                      <wp:cNvGraphicFramePr/>
                      <a:graphic xmlns:a="http://schemas.openxmlformats.org/drawingml/2006/main">
                        <a:graphicData uri="http://schemas.microsoft.com/office/word/2010/wordprocessingShape">
                          <wps:wsp>
                            <wps:cNvSpPr txBox="1"/>
                            <wps:spPr>
                              <a:xfrm>
                                <a:off x="0" y="0"/>
                                <a:ext cx="1219200" cy="311150"/>
                              </a:xfrm>
                              <a:prstGeom prst="rect">
                                <a:avLst/>
                              </a:prstGeom>
                              <a:noFill/>
                              <a:ln w="6350">
                                <a:noFill/>
                              </a:ln>
                            </wps:spPr>
                            <wps:txbx>
                              <w:txbxContent>
                                <w:p w14:paraId="328B786F"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BC35C" id="Text Box 2256" o:spid="_x0000_s1392" type="#_x0000_t202" style="position:absolute;margin-left:-.35pt;margin-top:58.85pt;width:96pt;height:24.5pt;z-index:2552750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" filled="f" stroked="f" strokeweight=".5pt">
                      <v:textbox>
                        <w:txbxContent>
                          <w:p w14:paraId="328B786F" w14:textId="77777777" w:rsidR="00D15FD8" w:rsidRPr="003625BA" w:rsidRDefault="00D15FD8" w:rsidP="00057172">
                            <w:pPr>
                              <w:jc w:val="center"/>
                              <w:rPr>
                                <w:rFonts w:ascii="Roboto" w:hAnsi="Roboto"/>
                                <w:b/>
                                <w:color w:val="FFFFFF" w:themeColor="background1"/>
                                <w:sz w:val="20"/>
                                <w:szCs w:val="20"/>
                              </w:rPr>
                            </w:pPr>
                            <w:r w:rsidRPr="003625BA">
                              <w:rPr>
                                <w:rFonts w:ascii="Roboto" w:hAnsi="Roboto"/>
                                <w:b/>
                                <w:color w:val="FFFFFF" w:themeColor="background1"/>
                                <w:sz w:val="20"/>
                                <w:szCs w:val="20"/>
                              </w:rPr>
                              <w:t>EXAMPLE:</w:t>
                            </w:r>
                          </w:p>
                        </w:txbxContent>
                      </v:textbox>
                      <w10:wrap anchorx="margin"/>
                    </v:shape>
                  </w:pict>
                </mc:Fallback>
              </mc:AlternateContent>
            </w:r>
            <w:r>
              <w:rPr>
                <w:noProof/>
                <w:lang w:val="en-US"/>
              </w:rPr>
              <w:drawing>
                <wp:anchor distT="0" distB="0" distL="114300" distR="114300" simplePos="0" relativeHeight="255273982" behindDoc="1" locked="0" layoutInCell="1" allowOverlap="1" wp14:anchorId="1F8AF5EB" wp14:editId="62B130D7">
                  <wp:simplePos x="0" y="0"/>
                  <wp:positionH relativeFrom="margin">
                    <wp:posOffset>274955</wp:posOffset>
                  </wp:positionH>
                  <wp:positionV relativeFrom="paragraph">
                    <wp:posOffset>99695</wp:posOffset>
                  </wp:positionV>
                  <wp:extent cx="658495" cy="658495"/>
                  <wp:effectExtent l="0" t="0" r="1905" b="0"/>
                  <wp:wrapTight wrapText="bothSides">
                    <wp:wrapPolygon edited="0">
                      <wp:start x="3333" y="417"/>
                      <wp:lineTo x="1666" y="2916"/>
                      <wp:lineTo x="417" y="5832"/>
                      <wp:lineTo x="417" y="15830"/>
                      <wp:lineTo x="2500" y="19580"/>
                      <wp:lineTo x="3333" y="20413"/>
                      <wp:lineTo x="17913" y="20413"/>
                      <wp:lineTo x="18746" y="19580"/>
                      <wp:lineTo x="20829" y="15830"/>
                      <wp:lineTo x="21246" y="6249"/>
                      <wp:lineTo x="17913" y="417"/>
                      <wp:lineTo x="3333" y="417"/>
                    </wp:wrapPolygon>
                  </wp:wrapTight>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F_Icon13-01.png"/>
                          <pic:cNvPicPr/>
                        </pic:nvPicPr>
                        <pic:blipFill>
                          <a:blip r:embed="rId669" cstate="email">
                            <a:extLst>
                              <a:ext uri="{28A0092B-C50C-407E-A947-70E740481C1C}">
                                <a14:useLocalDpi xmlns:a14="http://schemas.microsoft.com/office/drawing/2010/main"/>
                              </a:ext>
                            </a:extLst>
                          </a:blip>
                          <a:stretch>
                            <a:fillRect/>
                          </a:stretch>
                        </pic:blipFill>
                        <pic:spPr>
                          <a:xfrm>
                            <a:off x="0" y="0"/>
                            <a:ext cx="658495" cy="658495"/>
                          </a:xfrm>
                          <a:prstGeom prst="rect">
                            <a:avLst/>
                          </a:prstGeom>
                        </pic:spPr>
                      </pic:pic>
                    </a:graphicData>
                  </a:graphic>
                  <wp14:sizeRelH relativeFrom="page">
                    <wp14:pctWidth>0</wp14:pctWidth>
                  </wp14:sizeRelH>
                  <wp14:sizeRelV relativeFrom="page">
                    <wp14:pctHeight>0</wp14:pctHeight>
                  </wp14:sizeRelV>
                </wp:anchor>
              </w:drawing>
            </w:r>
          </w:p>
        </w:tc>
        <w:tc>
          <w:tcPr>
            <w:tcW w:w="8334" w:type="dxa"/>
          </w:tcPr>
          <w:p w14:paraId="59C93470" w14:textId="77777777" w:rsidR="00057172" w:rsidRPr="003625BA" w:rsidRDefault="00057172"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noProof/>
                <w:sz w:val="20"/>
                <w:szCs w:val="20"/>
              </w:rPr>
            </w:pPr>
          </w:p>
          <w:p w14:paraId="16EDA2C7" w14:textId="77777777" w:rsidR="00057172" w:rsidRPr="003625BA" w:rsidRDefault="00057172" w:rsidP="00057172">
            <w:pPr>
              <w:pStyle w:val="ListParagraph"/>
              <w:numPr>
                <w:ilvl w:val="0"/>
                <w:numId w:val="189"/>
              </w:numPr>
              <w:ind w:right="295"/>
              <w:contextualSpacing/>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r w:rsidRPr="003625BA">
              <w:rPr>
                <w:rFonts w:ascii="Roboto" w:hAnsi="Roboto"/>
                <w:sz w:val="20"/>
                <w:szCs w:val="20"/>
              </w:rPr>
              <w:t xml:space="preserve">Australia’s intergenerational report can be found on this </w:t>
            </w:r>
            <w:hyperlink r:id="rId681">
              <w:r w:rsidRPr="003625BA">
                <w:rPr>
                  <w:rStyle w:val="Hyperlink"/>
                  <w:rFonts w:ascii="Roboto" w:hAnsi="Roboto"/>
                  <w:sz w:val="20"/>
                  <w:szCs w:val="20"/>
                </w:rPr>
                <w:t>link</w:t>
              </w:r>
            </w:hyperlink>
            <w:r w:rsidRPr="003625BA">
              <w:rPr>
                <w:rFonts w:ascii="Roboto" w:hAnsi="Roboto"/>
                <w:sz w:val="20"/>
                <w:szCs w:val="20"/>
              </w:rPr>
              <w:t>.</w:t>
            </w:r>
          </w:p>
          <w:p w14:paraId="358A69F6" w14:textId="77777777" w:rsidR="00057172" w:rsidRPr="003625BA" w:rsidRDefault="00057172"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1A0FC8A7" w14:textId="1C90FAB6" w:rsidR="00057172" w:rsidRDefault="00057172"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00EEDC75" w14:textId="77777777" w:rsidR="0096076C" w:rsidRPr="003625BA" w:rsidRDefault="0096076C"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6A9170AD" w14:textId="77777777" w:rsidR="00057172" w:rsidRPr="003625BA" w:rsidRDefault="00057172"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p w14:paraId="689C9E06" w14:textId="77777777" w:rsidR="00057172" w:rsidRPr="003625BA" w:rsidRDefault="00057172" w:rsidP="00057172">
            <w:pPr>
              <w:ind w:left="170" w:right="295"/>
              <w:jc w:val="both"/>
              <w:cnfStyle w:val="000000100000" w:firstRow="0" w:lastRow="0" w:firstColumn="0" w:lastColumn="0" w:oddVBand="0" w:evenVBand="0" w:oddHBand="1" w:evenHBand="0" w:firstRowFirstColumn="0" w:firstRowLastColumn="0" w:lastRowFirstColumn="0" w:lastRowLastColumn="0"/>
              <w:rPr>
                <w:rFonts w:ascii="Roboto" w:hAnsi="Roboto"/>
                <w:sz w:val="20"/>
                <w:szCs w:val="20"/>
              </w:rPr>
            </w:pPr>
          </w:p>
        </w:tc>
      </w:tr>
    </w:tbl>
    <w:p w14:paraId="321FE957" w14:textId="44EEC3EF" w:rsidR="003466DD" w:rsidRDefault="003466DD" w:rsidP="009F1917">
      <w:pPr>
        <w:shd w:val="clear" w:color="auto" w:fill="FFFFFF" w:themeFill="background1"/>
        <w:rPr>
          <w:rFonts w:ascii="Arial" w:hAnsi="Arial" w:cs="Arial"/>
          <w:b/>
          <w:color w:val="F26D24"/>
          <w:sz w:val="24"/>
          <w:szCs w:val="24"/>
        </w:rPr>
      </w:pPr>
    </w:p>
    <w:p w14:paraId="05C411F9" w14:textId="62A6963B" w:rsidR="0014384C" w:rsidRDefault="0014384C" w:rsidP="009F1917">
      <w:pPr>
        <w:shd w:val="clear" w:color="auto" w:fill="FFFFFF" w:themeFill="background1"/>
        <w:rPr>
          <w:rFonts w:ascii="Arial" w:hAnsi="Arial" w:cs="Arial"/>
          <w:b/>
          <w:color w:val="F26D24"/>
          <w:sz w:val="24"/>
          <w:szCs w:val="24"/>
        </w:rPr>
      </w:pPr>
    </w:p>
    <w:p w14:paraId="3DDB5BAE" w14:textId="67CBBFAB" w:rsidR="004B21BF" w:rsidRDefault="004B21BF" w:rsidP="00BD6508">
      <w:pPr>
        <w:spacing w:line="276" w:lineRule="auto"/>
      </w:pPr>
    </w:p>
    <w:p w14:paraId="0E84EF19" w14:textId="1CD53BBF" w:rsidR="004B21BF" w:rsidRDefault="004B21BF" w:rsidP="00BD6508">
      <w:pPr>
        <w:spacing w:line="276" w:lineRule="auto"/>
      </w:pPr>
    </w:p>
    <w:p w14:paraId="3B61C190" w14:textId="304B8D7A" w:rsidR="004B21BF" w:rsidRDefault="004B21BF" w:rsidP="00BD6508">
      <w:pPr>
        <w:spacing w:line="276" w:lineRule="auto"/>
      </w:pPr>
    </w:p>
    <w:p w14:paraId="5D7F44D4" w14:textId="76806C1A" w:rsidR="004B21BF" w:rsidRDefault="004B21BF" w:rsidP="00BD6508">
      <w:pPr>
        <w:spacing w:line="276" w:lineRule="auto"/>
      </w:pPr>
    </w:p>
    <w:p w14:paraId="37C021A6" w14:textId="60D7AF0D" w:rsidR="004B21BF" w:rsidRDefault="004B21BF" w:rsidP="00BD6508">
      <w:pPr>
        <w:spacing w:line="276" w:lineRule="auto"/>
      </w:pPr>
    </w:p>
    <w:p w14:paraId="4D636614" w14:textId="794FFDBB" w:rsidR="004B21BF" w:rsidRDefault="004B21BF" w:rsidP="00BD6508">
      <w:pPr>
        <w:spacing w:line="276" w:lineRule="auto"/>
      </w:pPr>
    </w:p>
    <w:p w14:paraId="0CC5E16D" w14:textId="1E65DB0E" w:rsidR="004B21BF" w:rsidRDefault="004B21BF" w:rsidP="00BD6508">
      <w:pPr>
        <w:spacing w:line="276" w:lineRule="auto"/>
      </w:pPr>
    </w:p>
    <w:p w14:paraId="4491745D" w14:textId="1B29EA2E" w:rsidR="004B21BF" w:rsidRDefault="004B21BF" w:rsidP="00BD6508">
      <w:pPr>
        <w:spacing w:line="276" w:lineRule="auto"/>
      </w:pPr>
    </w:p>
    <w:p w14:paraId="3209AABF" w14:textId="37E83887" w:rsidR="004B21BF" w:rsidRDefault="004B21BF" w:rsidP="00BD6508">
      <w:pPr>
        <w:spacing w:line="276" w:lineRule="auto"/>
      </w:pPr>
    </w:p>
    <w:p w14:paraId="62CD7665" w14:textId="7F43FB58" w:rsidR="004B21BF" w:rsidRDefault="004B21BF" w:rsidP="00BD6508">
      <w:pPr>
        <w:spacing w:line="276" w:lineRule="auto"/>
      </w:pPr>
    </w:p>
    <w:p w14:paraId="6E0E6C6E" w14:textId="3A62B5C4" w:rsidR="004B21BF" w:rsidRDefault="004B21BF" w:rsidP="00BD6508">
      <w:pPr>
        <w:spacing w:line="276" w:lineRule="auto"/>
      </w:pPr>
    </w:p>
    <w:p w14:paraId="77E3F924" w14:textId="7FD9CB37" w:rsidR="004B21BF" w:rsidRDefault="004B21BF" w:rsidP="00BD6508">
      <w:pPr>
        <w:spacing w:line="276" w:lineRule="auto"/>
      </w:pPr>
    </w:p>
    <w:p w14:paraId="615607F9" w14:textId="77777777" w:rsidR="004B21BF" w:rsidRDefault="004B21BF" w:rsidP="00BD6508">
      <w:pPr>
        <w:spacing w:line="276" w:lineRule="auto"/>
      </w:pPr>
    </w:p>
    <w:p w14:paraId="44AC2250" w14:textId="4887533C" w:rsidR="00330733" w:rsidRDefault="00AD5BE2" w:rsidP="00057172">
      <w:pPr>
        <w:spacing w:after="160" w:line="259" w:lineRule="auto"/>
      </w:pPr>
      <w:r>
        <w:br w:type="page"/>
      </w:r>
    </w:p>
    <w:p w14:paraId="043A15D2" w14:textId="2B94891C" w:rsidR="00330733" w:rsidRPr="00057172" w:rsidRDefault="00330733" w:rsidP="00330733">
      <w:pPr>
        <w:pStyle w:val="Heading2"/>
        <w:numPr>
          <w:ilvl w:val="1"/>
          <w:numId w:val="94"/>
        </w:numPr>
        <w:rPr>
          <w:rFonts w:ascii="Arial" w:hAnsi="Arial" w:cs="Arial"/>
          <w:b/>
          <w:bCs/>
          <w:color w:val="F39C32"/>
          <w:sz w:val="36"/>
          <w:szCs w:val="36"/>
          <w:lang w:val="en-US"/>
        </w:rPr>
      </w:pPr>
      <w:bookmarkStart w:id="1547" w:name="_Toc123204499"/>
      <w:bookmarkStart w:id="1548" w:name="_Toc123216606"/>
      <w:bookmarkStart w:id="1549" w:name="_Toc123217446"/>
      <w:bookmarkStart w:id="1550" w:name="_Toc123913407"/>
      <w:bookmarkStart w:id="1551" w:name="_Toc123914063"/>
      <w:bookmarkStart w:id="1552" w:name="_Toc125566678"/>
      <w:r w:rsidRPr="00057172">
        <w:rPr>
          <w:rFonts w:ascii="Arial" w:hAnsi="Arial" w:cs="Arial"/>
          <w:b/>
          <w:bCs/>
          <w:color w:val="F39C32"/>
          <w:sz w:val="36"/>
          <w:szCs w:val="36"/>
          <w:lang w:val="en-US"/>
        </w:rPr>
        <w:lastRenderedPageBreak/>
        <w:t>Publishing high-quality information</w:t>
      </w:r>
      <w:bookmarkEnd w:id="1547"/>
      <w:bookmarkEnd w:id="1548"/>
      <w:bookmarkEnd w:id="1549"/>
      <w:bookmarkEnd w:id="1550"/>
      <w:bookmarkEnd w:id="1551"/>
      <w:bookmarkEnd w:id="1552"/>
    </w:p>
    <w:p w14:paraId="1281F708" w14:textId="54D68278" w:rsidR="00693F58" w:rsidRPr="00BD6508" w:rsidRDefault="00330733" w:rsidP="00BD6508">
      <w:pPr>
        <w:spacing w:line="276" w:lineRule="auto"/>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190142" behindDoc="0" locked="0" layoutInCell="1" allowOverlap="1" wp14:anchorId="5AE1035C" wp14:editId="01FE7F5F">
            <wp:simplePos x="0" y="0"/>
            <wp:positionH relativeFrom="column">
              <wp:posOffset>12700</wp:posOffset>
            </wp:positionH>
            <wp:positionV relativeFrom="paragraph">
              <wp:posOffset>118110</wp:posOffset>
            </wp:positionV>
            <wp:extent cx="867410" cy="736600"/>
            <wp:effectExtent l="0" t="0" r="0" b="0"/>
            <wp:wrapSquare wrapText="bothSides"/>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pic:cNvPicPr/>
                  </pic:nvPicPr>
                  <pic:blipFill rotWithShape="1">
                    <a:blip r:embed="rId682" cstate="email">
                      <a:extLst>
                        <a:ext uri="{28A0092B-C50C-407E-A947-70E740481C1C}">
                          <a14:useLocalDpi xmlns:a14="http://schemas.microsoft.com/office/drawing/2010/main"/>
                        </a:ext>
                      </a:extLst>
                    </a:blip>
                    <a:srcRect/>
                    <a:stretch/>
                  </pic:blipFill>
                  <pic:spPr bwMode="auto">
                    <a:xfrm>
                      <a:off x="0" y="0"/>
                      <a:ext cx="867410" cy="73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52384C" w14:textId="3E2D7F81" w:rsidR="00693F58" w:rsidRPr="00BD6508" w:rsidRDefault="00693F58" w:rsidP="00BD6508">
      <w:pPr>
        <w:widowControl w:val="0"/>
        <w:spacing w:before="120" w:line="276" w:lineRule="auto"/>
        <w:outlineLvl w:val="1"/>
        <w:rPr>
          <w:rFonts w:ascii="Arial" w:hAnsi="Arial" w:cs="Arial"/>
          <w:sz w:val="24"/>
          <w:szCs w:val="24"/>
          <w:lang w:val="en-US"/>
        </w:rPr>
      </w:pPr>
      <w:bookmarkStart w:id="1553" w:name="_Toc123204500"/>
      <w:bookmarkStart w:id="1554" w:name="_Toc123216607"/>
      <w:bookmarkStart w:id="1555" w:name="_Toc123217447"/>
      <w:bookmarkStart w:id="1556" w:name="_Toc123913408"/>
      <w:bookmarkStart w:id="1557" w:name="_Toc123914064"/>
      <w:bookmarkStart w:id="1558" w:name="_Toc125566679"/>
      <w:r w:rsidRPr="00BD6508">
        <w:rPr>
          <w:rFonts w:ascii="Arial" w:hAnsi="Arial" w:cs="Arial"/>
          <w:sz w:val="24"/>
          <w:szCs w:val="24"/>
          <w:lang w:val="en-US"/>
        </w:rPr>
        <w:t>For fiscal transparency, information must be published and meet quality considerations.</w:t>
      </w:r>
      <w:bookmarkEnd w:id="1553"/>
      <w:bookmarkEnd w:id="1554"/>
      <w:bookmarkEnd w:id="1555"/>
      <w:bookmarkEnd w:id="1556"/>
      <w:bookmarkEnd w:id="1557"/>
      <w:bookmarkEnd w:id="1558"/>
    </w:p>
    <w:p w14:paraId="41F3F530" w14:textId="6B11C4E2" w:rsidR="002351BF" w:rsidRDefault="002351BF" w:rsidP="002351BF">
      <w:pPr>
        <w:tabs>
          <w:tab w:val="left" w:pos="6880"/>
        </w:tabs>
      </w:pPr>
    </w:p>
    <w:p w14:paraId="76EB47F4" w14:textId="212805A1" w:rsidR="00693F58" w:rsidRDefault="00330733" w:rsidP="002351BF">
      <w:pPr>
        <w:tabs>
          <w:tab w:val="left" w:pos="6880"/>
        </w:tabs>
      </w:pPr>
      <w:r w:rsidRPr="009E337A">
        <w:rPr>
          <w:rFonts w:ascii="Arial" w:hAnsi="Arial" w:cs="Arial"/>
          <w:b/>
          <w:bCs/>
          <w:noProof/>
          <w:color w:val="F26D24"/>
          <w:sz w:val="32"/>
          <w:szCs w:val="32"/>
          <w:lang w:val="en-US"/>
        </w:rPr>
        <w:drawing>
          <wp:anchor distT="0" distB="0" distL="114300" distR="114300" simplePos="0" relativeHeight="254219262" behindDoc="1" locked="0" layoutInCell="1" allowOverlap="1" wp14:anchorId="136FDB80" wp14:editId="1CD0473C">
            <wp:simplePos x="0" y="0"/>
            <wp:positionH relativeFrom="margin">
              <wp:posOffset>-85725</wp:posOffset>
            </wp:positionH>
            <wp:positionV relativeFrom="paragraph">
              <wp:posOffset>57785</wp:posOffset>
            </wp:positionV>
            <wp:extent cx="6816725" cy="1906270"/>
            <wp:effectExtent l="0" t="0" r="0" b="0"/>
            <wp:wrapNone/>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rotWithShape="1">
                    <a:blip r:embed="rId502" cstate="email">
                      <a:extLst>
                        <a:ext uri="{28A0092B-C50C-407E-A947-70E740481C1C}">
                          <a14:useLocalDpi xmlns:a14="http://schemas.microsoft.com/office/drawing/2010/main"/>
                        </a:ext>
                      </a:extLst>
                    </a:blip>
                    <a:srcRect/>
                    <a:stretch/>
                  </pic:blipFill>
                  <pic:spPr bwMode="auto">
                    <a:xfrm>
                      <a:off x="0" y="0"/>
                      <a:ext cx="6816725" cy="190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1A24">
        <w:rPr>
          <w:rFonts w:ascii="Arial" w:hAnsi="Arial" w:cs="Arial"/>
          <w:noProof/>
          <w:sz w:val="24"/>
          <w:szCs w:val="24"/>
          <w:lang w:val="en-US"/>
        </w:rPr>
        <w:drawing>
          <wp:anchor distT="0" distB="0" distL="114300" distR="114300" simplePos="0" relativeHeight="253194238" behindDoc="1" locked="0" layoutInCell="1" allowOverlap="1" wp14:anchorId="12FC5B32" wp14:editId="4259D75A">
            <wp:simplePos x="0" y="0"/>
            <wp:positionH relativeFrom="column">
              <wp:posOffset>1435100</wp:posOffset>
            </wp:positionH>
            <wp:positionV relativeFrom="paragraph">
              <wp:posOffset>410210</wp:posOffset>
            </wp:positionV>
            <wp:extent cx="3261600" cy="652320"/>
            <wp:effectExtent l="0" t="0" r="0" b="0"/>
            <wp:wrapTight wrapText="bothSides">
              <wp:wrapPolygon edited="0">
                <wp:start x="1514" y="1683"/>
                <wp:lineTo x="925" y="4206"/>
                <wp:lineTo x="421" y="7572"/>
                <wp:lineTo x="421" y="10937"/>
                <wp:lineTo x="673" y="15984"/>
                <wp:lineTo x="1430" y="18508"/>
                <wp:lineTo x="1514" y="19350"/>
                <wp:lineTo x="20692" y="19350"/>
                <wp:lineTo x="20776" y="18508"/>
                <wp:lineTo x="21112" y="15984"/>
                <wp:lineTo x="21364" y="2944"/>
                <wp:lineTo x="19682" y="2524"/>
                <wp:lineTo x="2860" y="1683"/>
                <wp:lineTo x="1514" y="1683"/>
              </wp:wrapPolygon>
            </wp:wrapTight>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pic:cNvPicPr/>
                  </pic:nvPicPr>
                  <pic:blipFill>
                    <a:blip r:embed="rId683" cstate="email">
                      <a:extLst>
                        <a:ext uri="{28A0092B-C50C-407E-A947-70E740481C1C}">
                          <a14:useLocalDpi xmlns:a14="http://schemas.microsoft.com/office/drawing/2010/main"/>
                        </a:ext>
                      </a:extLst>
                    </a:blip>
                    <a:stretch>
                      <a:fillRect/>
                    </a:stretch>
                  </pic:blipFill>
                  <pic:spPr>
                    <a:xfrm>
                      <a:off x="0" y="0"/>
                      <a:ext cx="3261600" cy="652320"/>
                    </a:xfrm>
                    <a:prstGeom prst="rect">
                      <a:avLst/>
                    </a:prstGeom>
                  </pic:spPr>
                </pic:pic>
              </a:graphicData>
            </a:graphic>
            <wp14:sizeRelH relativeFrom="page">
              <wp14:pctWidth>0</wp14:pctWidth>
            </wp14:sizeRelH>
            <wp14:sizeRelV relativeFrom="page">
              <wp14:pctHeight>0</wp14:pctHeight>
            </wp14:sizeRelV>
          </wp:anchor>
        </w:drawing>
      </w:r>
    </w:p>
    <w:p w14:paraId="0B5FA131" w14:textId="0E1D4D52" w:rsidR="005D1A24" w:rsidRPr="005D1A24" w:rsidRDefault="005D1A24" w:rsidP="00BD6508"/>
    <w:p w14:paraId="152C0567" w14:textId="54D80640" w:rsidR="005D1A24" w:rsidRPr="005D1A24" w:rsidRDefault="005D1A24" w:rsidP="00BD6508"/>
    <w:p w14:paraId="7E74AA2D" w14:textId="5CB173E3" w:rsidR="005D1A24" w:rsidRPr="005D1A24" w:rsidRDefault="005D1A24" w:rsidP="00BD6508"/>
    <w:p w14:paraId="1EB7A8E7" w14:textId="06D76CCE" w:rsidR="005D1A24" w:rsidRPr="005D1A24" w:rsidRDefault="005D1A24" w:rsidP="00BD6508"/>
    <w:p w14:paraId="1175C7DF" w14:textId="6E816FDB" w:rsidR="005D1A24" w:rsidRPr="005D1A24" w:rsidRDefault="005D1A24" w:rsidP="00BD6508"/>
    <w:p w14:paraId="76AD0716" w14:textId="176CC1F7" w:rsidR="005D1A24" w:rsidRPr="005D1A24" w:rsidRDefault="00330733" w:rsidP="00BD6508">
      <w:r>
        <w:rPr>
          <w:rFonts w:ascii="Arial" w:hAnsi="Arial" w:cs="Arial"/>
          <w:noProof/>
          <w:sz w:val="24"/>
          <w:szCs w:val="24"/>
          <w:lang w:val="en-US"/>
        </w:rPr>
        <mc:AlternateContent>
          <mc:Choice Requires="wps">
            <w:drawing>
              <wp:anchor distT="0" distB="0" distL="114300" distR="114300" simplePos="0" relativeHeight="253193214" behindDoc="0" locked="0" layoutInCell="1" allowOverlap="1" wp14:anchorId="516863A2" wp14:editId="341FAAE5">
                <wp:simplePos x="0" y="0"/>
                <wp:positionH relativeFrom="margin">
                  <wp:posOffset>215900</wp:posOffset>
                </wp:positionH>
                <wp:positionV relativeFrom="paragraph">
                  <wp:posOffset>109855</wp:posOffset>
                </wp:positionV>
                <wp:extent cx="6366510" cy="1511300"/>
                <wp:effectExtent l="0" t="0" r="0" b="0"/>
                <wp:wrapNone/>
                <wp:docPr id="680" name="Text Box 680"/>
                <wp:cNvGraphicFramePr/>
                <a:graphic xmlns:a="http://schemas.openxmlformats.org/drawingml/2006/main">
                  <a:graphicData uri="http://schemas.microsoft.com/office/word/2010/wordprocessingShape">
                    <wps:wsp>
                      <wps:cNvSpPr txBox="1"/>
                      <wps:spPr>
                        <a:xfrm>
                          <a:off x="0" y="0"/>
                          <a:ext cx="6366510" cy="1511300"/>
                        </a:xfrm>
                        <a:prstGeom prst="rect">
                          <a:avLst/>
                        </a:prstGeom>
                        <a:noFill/>
                        <a:ln w="6350">
                          <a:noFill/>
                        </a:ln>
                      </wps:spPr>
                      <wps:txbx>
                        <w:txbxContent>
                          <w:p w14:paraId="370E45D8" w14:textId="39EB1D05" w:rsidR="00D15FD8" w:rsidRPr="009C5AE5" w:rsidRDefault="00D15FD8" w:rsidP="005D1A24">
                            <w:pPr>
                              <w:spacing w:line="276" w:lineRule="auto"/>
                              <w:jc w:val="both"/>
                              <w:rPr>
                                <w:rFonts w:ascii="Arial" w:hAnsi="Arial" w:cs="Arial"/>
                                <w:iCs/>
                                <w:color w:val="FFFFFF" w:themeColor="background1"/>
                                <w:sz w:val="24"/>
                                <w:szCs w:val="24"/>
                              </w:rPr>
                            </w:pPr>
                            <w:r w:rsidRPr="005D1A24">
                              <w:rPr>
                                <w:rFonts w:ascii="Arial" w:eastAsia="Calibri" w:hAnsi="Arial" w:cs="Arial"/>
                                <w:iCs/>
                                <w:color w:val="FFFFFF" w:themeColor="background1"/>
                                <w:sz w:val="24"/>
                                <w:szCs w:val="24"/>
                              </w:rPr>
                              <w:t>The public should be presented with high quality financial and non-financial information on past, present, and forecast fiscal activities, performance, fiscal risks, and public assets and liabilities. The presentation of fiscal information in budgets, fiscal reports, financial statements, and National Accounts should be an obligation of government, meet internationally-recognized standards, and should be consistent across the different types of reports or include an explanation and reconciliation of differences. Assurances are required of the integrity of fiscal data and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6863A2" id="Text Box 680" o:spid="_x0000_s1393" type="#_x0000_t202" style="position:absolute;margin-left:17pt;margin-top:8.65pt;width:501.3pt;height:119pt;z-index:25319321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" filled="f" stroked="f" strokeweight=".5pt">
                <v:textbox>
                  <w:txbxContent>
                    <w:p w14:paraId="370E45D8" w14:textId="39EB1D05" w:rsidR="00D15FD8" w:rsidRPr="009C5AE5" w:rsidRDefault="00D15FD8" w:rsidP="005D1A24">
                      <w:pPr>
                        <w:spacing w:line="276" w:lineRule="auto"/>
                        <w:jc w:val="both"/>
                        <w:rPr>
                          <w:rFonts w:ascii="Arial" w:hAnsi="Arial" w:cs="Arial"/>
                          <w:iCs/>
                          <w:color w:val="FFFFFF" w:themeColor="background1"/>
                          <w:sz w:val="24"/>
                          <w:szCs w:val="24"/>
                        </w:rPr>
                      </w:pPr>
                      <w:r w:rsidRPr="005D1A24">
                        <w:rPr>
                          <w:rFonts w:ascii="Arial" w:eastAsia="Calibri" w:hAnsi="Arial" w:cs="Arial"/>
                          <w:iCs/>
                          <w:color w:val="FFFFFF" w:themeColor="background1"/>
                          <w:sz w:val="24"/>
                          <w:szCs w:val="24"/>
                        </w:rPr>
                        <w:t>The public should be presented with high quality financial and non-financial information on past, present, and forecast fiscal activities, performance, fiscal risks, and public assets and liabilities. The presentation of fiscal information in budgets, fiscal reports, financial statements, and National Accounts should be an obligation of government, meet internationally-recognized standards, and should be consistent across the different types of reports or include an explanation and reconciliation of differences. Assurances are required of the integrity of fiscal data and information.</w:t>
                      </w:r>
                    </w:p>
                  </w:txbxContent>
                </v:textbox>
                <w10:wrap anchorx="margin"/>
              </v:shape>
            </w:pict>
          </mc:Fallback>
        </mc:AlternateContent>
      </w:r>
    </w:p>
    <w:p w14:paraId="7F7E7438" w14:textId="313D84E0" w:rsidR="005D1A24" w:rsidRPr="005D1A24" w:rsidRDefault="005D1A24" w:rsidP="00BD6508"/>
    <w:p w14:paraId="201F5B05" w14:textId="6DF399E4" w:rsidR="005D1A24" w:rsidRPr="005D1A24" w:rsidRDefault="005D1A24" w:rsidP="00BD6508"/>
    <w:p w14:paraId="3563C02E" w14:textId="4ED08465" w:rsidR="005D1A24" w:rsidRPr="005D1A24" w:rsidRDefault="005D1A24" w:rsidP="00BD6508"/>
    <w:p w14:paraId="3073EECF" w14:textId="6CCE97C2" w:rsidR="005D1A24" w:rsidRPr="005D1A24" w:rsidRDefault="00330733" w:rsidP="00BD6508">
      <w:r>
        <w:rPr>
          <w:rFonts w:ascii="Arial" w:hAnsi="Arial" w:cs="Arial"/>
          <w:noProof/>
          <w:sz w:val="24"/>
          <w:szCs w:val="24"/>
          <w:lang w:val="en-US"/>
        </w:rPr>
        <mc:AlternateContent>
          <mc:Choice Requires="wps">
            <w:drawing>
              <wp:anchor distT="0" distB="0" distL="114300" distR="114300" simplePos="0" relativeHeight="253189629" behindDoc="0" locked="0" layoutInCell="1" allowOverlap="1" wp14:anchorId="1403181F" wp14:editId="623E7342">
                <wp:simplePos x="0" y="0"/>
                <wp:positionH relativeFrom="column">
                  <wp:posOffset>0</wp:posOffset>
                </wp:positionH>
                <wp:positionV relativeFrom="paragraph">
                  <wp:posOffset>84455</wp:posOffset>
                </wp:positionV>
                <wp:extent cx="6623685" cy="914400"/>
                <wp:effectExtent l="0" t="0" r="5715" b="0"/>
                <wp:wrapNone/>
                <wp:docPr id="685" name="Rectangle 685"/>
                <wp:cNvGraphicFramePr/>
                <a:graphic xmlns:a="http://schemas.openxmlformats.org/drawingml/2006/main">
                  <a:graphicData uri="http://schemas.microsoft.com/office/word/2010/wordprocessingShape">
                    <wps:wsp>
                      <wps:cNvSpPr/>
                      <wps:spPr>
                        <a:xfrm>
                          <a:off x="0" y="0"/>
                          <a:ext cx="6623685" cy="914400"/>
                        </a:xfrm>
                        <a:prstGeom prst="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6E4E6652" id="Rectangle 685" o:spid="_x0000_s1026" style="position:absolute;margin-left:0;margin-top:6.65pt;width:521.55pt;height:1in;z-index:2531896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" fillcolor="#69557f" stroked="f" strokeweight="1pt"/>
            </w:pict>
          </mc:Fallback>
        </mc:AlternateContent>
      </w:r>
    </w:p>
    <w:p w14:paraId="2E954C2C" w14:textId="61C8BB84" w:rsidR="005D1A24" w:rsidRPr="005D1A24" w:rsidRDefault="005D1A24" w:rsidP="00BD6508"/>
    <w:p w14:paraId="514F0C3E" w14:textId="1263B434" w:rsidR="005D1A24" w:rsidRPr="005D1A24" w:rsidRDefault="005D1A24" w:rsidP="00BD6508"/>
    <w:p w14:paraId="625EC1F9" w14:textId="68445754" w:rsidR="005D1A24" w:rsidRPr="005D1A24" w:rsidRDefault="005D1A24" w:rsidP="00BD6508"/>
    <w:p w14:paraId="20D7249C" w14:textId="78A42825" w:rsidR="005D1A24" w:rsidRPr="005D1A24" w:rsidRDefault="005D1A24" w:rsidP="00BD6508"/>
    <w:p w14:paraId="4CA50B7A" w14:textId="72B620DB" w:rsidR="005D1A24" w:rsidRPr="005D1A24" w:rsidRDefault="005D1A24" w:rsidP="00BD6508"/>
    <w:p w14:paraId="50177415" w14:textId="2ECD33A7" w:rsidR="005D1A24" w:rsidRPr="005D1A24" w:rsidRDefault="005D1A24" w:rsidP="00BD6508"/>
    <w:p w14:paraId="6BB3BA8D" w14:textId="3F63AB1B" w:rsidR="005D1A24" w:rsidRDefault="005D1A24" w:rsidP="005D1A24">
      <w:pPr>
        <w:spacing w:line="276" w:lineRule="auto"/>
        <w:jc w:val="both"/>
        <w:rPr>
          <w:rFonts w:ascii="Arial" w:hAnsi="Arial" w:cs="Arial"/>
          <w:sz w:val="24"/>
          <w:szCs w:val="24"/>
          <w:lang w:val="en-US"/>
        </w:rPr>
      </w:pPr>
      <w:r w:rsidRPr="00BD6508">
        <w:rPr>
          <w:rFonts w:ascii="Arial" w:hAnsi="Arial" w:cs="Arial"/>
          <w:sz w:val="24"/>
          <w:szCs w:val="24"/>
          <w:lang w:val="en-US"/>
        </w:rPr>
        <w:t>The publication of</w:t>
      </w:r>
      <w:r w:rsidRPr="00BD6508">
        <w:rPr>
          <w:rFonts w:ascii="Arial" w:hAnsi="Arial" w:cs="Arial"/>
          <w:bCs/>
          <w:sz w:val="24"/>
          <w:szCs w:val="24"/>
          <w:lang w:val="en-US"/>
        </w:rPr>
        <w:t> high-quality</w:t>
      </w:r>
      <w:r w:rsidRPr="00BD6508">
        <w:rPr>
          <w:rFonts w:ascii="Arial" w:hAnsi="Arial" w:cs="Arial"/>
          <w:sz w:val="24"/>
          <w:szCs w:val="24"/>
          <w:lang w:val="en-US"/>
        </w:rPr>
        <w:t> fiscal information that meets internationally recognized standards is at the core of fiscal transparency. It is a pre-condition for legislative oversight, and for the public to understand and participate in budgetary processes, to judge the government’s performance, and to hold it to account. Fiscal information is considered high-quality</w:t>
      </w:r>
      <w:r w:rsidRPr="00BD6508">
        <w:rPr>
          <w:rStyle w:val="FootnoteReference"/>
          <w:rFonts w:ascii="Arial" w:hAnsi="Arial" w:cs="Arial"/>
          <w:sz w:val="24"/>
          <w:szCs w:val="24"/>
          <w:lang w:val="en-US"/>
        </w:rPr>
        <w:footnoteReference w:id="45"/>
      </w:r>
      <w:r w:rsidRPr="00BD6508">
        <w:rPr>
          <w:rFonts w:ascii="Arial" w:hAnsi="Arial" w:cs="Arial"/>
          <w:sz w:val="24"/>
          <w:szCs w:val="24"/>
          <w:lang w:val="en-US"/>
        </w:rPr>
        <w:t xml:space="preserve"> when it is comprehensive; timely; reliable; internationally comparable and understandable.</w:t>
      </w:r>
    </w:p>
    <w:p w14:paraId="6DA80851" w14:textId="6A33B333" w:rsidR="005D1A24" w:rsidRDefault="005D1A24" w:rsidP="005D1A24">
      <w:pPr>
        <w:spacing w:line="276" w:lineRule="auto"/>
        <w:jc w:val="both"/>
        <w:rPr>
          <w:rFonts w:ascii="Arial" w:hAnsi="Arial" w:cs="Arial"/>
          <w:sz w:val="24"/>
          <w:szCs w:val="24"/>
          <w:lang w:val="en-US"/>
        </w:rPr>
      </w:pPr>
    </w:p>
    <w:p w14:paraId="5C6EAC2E" w14:textId="77777777" w:rsidR="005D1A24" w:rsidRPr="00BD6508" w:rsidRDefault="005D1A24" w:rsidP="00BD6508">
      <w:pPr>
        <w:spacing w:line="276" w:lineRule="auto"/>
        <w:jc w:val="both"/>
        <w:rPr>
          <w:rFonts w:ascii="Arial" w:hAnsi="Arial" w:cs="Arial"/>
          <w:sz w:val="24"/>
          <w:szCs w:val="24"/>
          <w:lang w:val="en-US"/>
        </w:rPr>
      </w:pPr>
    </w:p>
    <w:p w14:paraId="0A23A029" w14:textId="75AC0273" w:rsidR="005D1A24" w:rsidRDefault="005D1A24" w:rsidP="005D1A24">
      <w:pPr>
        <w:tabs>
          <w:tab w:val="left" w:pos="1340"/>
        </w:tabs>
      </w:pPr>
    </w:p>
    <w:p w14:paraId="16F503B6" w14:textId="509C0C8C" w:rsidR="005D1A24" w:rsidRDefault="005D1A24" w:rsidP="005D1A24">
      <w:pPr>
        <w:tabs>
          <w:tab w:val="left" w:pos="1340"/>
        </w:tabs>
      </w:pPr>
    </w:p>
    <w:p w14:paraId="0D9A2FE1" w14:textId="6F2B761F" w:rsidR="005D1A24" w:rsidRDefault="005D1A24" w:rsidP="005D1A24">
      <w:pPr>
        <w:tabs>
          <w:tab w:val="left" w:pos="1340"/>
        </w:tabs>
      </w:pPr>
    </w:p>
    <w:p w14:paraId="715F639E" w14:textId="737D9503" w:rsidR="005D1A24" w:rsidRDefault="005D1A24" w:rsidP="005D1A24">
      <w:pPr>
        <w:tabs>
          <w:tab w:val="left" w:pos="1340"/>
        </w:tabs>
      </w:pPr>
    </w:p>
    <w:p w14:paraId="33CA9498" w14:textId="7DB35279" w:rsidR="005D1A24" w:rsidRDefault="005D1A24" w:rsidP="005D1A24">
      <w:pPr>
        <w:tabs>
          <w:tab w:val="left" w:pos="1340"/>
        </w:tabs>
      </w:pPr>
    </w:p>
    <w:p w14:paraId="636FE231" w14:textId="564563EA" w:rsidR="005D1A24" w:rsidRDefault="005D1A24" w:rsidP="005D1A24">
      <w:pPr>
        <w:tabs>
          <w:tab w:val="left" w:pos="1340"/>
        </w:tabs>
      </w:pPr>
    </w:p>
    <w:p w14:paraId="3F16FA59" w14:textId="6F8F0936" w:rsidR="005D1A24" w:rsidRDefault="005D1A24" w:rsidP="005D1A24">
      <w:pPr>
        <w:tabs>
          <w:tab w:val="left" w:pos="1340"/>
        </w:tabs>
      </w:pPr>
    </w:p>
    <w:p w14:paraId="5D615780" w14:textId="7A669F24" w:rsidR="005D1A24" w:rsidRDefault="005D1A24" w:rsidP="005D1A24">
      <w:pPr>
        <w:tabs>
          <w:tab w:val="left" w:pos="1340"/>
        </w:tabs>
      </w:pPr>
    </w:p>
    <w:p w14:paraId="4DF41985" w14:textId="2883DD75" w:rsidR="005D1A24" w:rsidRDefault="005D1A24" w:rsidP="005D1A24">
      <w:pPr>
        <w:tabs>
          <w:tab w:val="left" w:pos="1340"/>
        </w:tabs>
      </w:pPr>
    </w:p>
    <w:p w14:paraId="0E1BDA84" w14:textId="05F85460" w:rsidR="005D1A24" w:rsidRDefault="005D1A24" w:rsidP="005D1A24">
      <w:pPr>
        <w:tabs>
          <w:tab w:val="left" w:pos="1340"/>
        </w:tabs>
      </w:pPr>
    </w:p>
    <w:p w14:paraId="58AF20BF" w14:textId="2A929BA8" w:rsidR="005D1A24" w:rsidRDefault="008610A1" w:rsidP="005D1A24">
      <w:pPr>
        <w:tabs>
          <w:tab w:val="left" w:pos="1340"/>
        </w:tabs>
      </w:pPr>
      <w:r>
        <w:rPr>
          <w:noProof/>
          <w:lang w:val="en-US"/>
        </w:rPr>
        <w:lastRenderedPageBreak/>
        <mc:AlternateContent>
          <mc:Choice Requires="wps">
            <w:drawing>
              <wp:anchor distT="0" distB="0" distL="114300" distR="114300" simplePos="0" relativeHeight="253210622" behindDoc="0" locked="0" layoutInCell="1" allowOverlap="1" wp14:anchorId="5D5B6AC2" wp14:editId="6531D831">
                <wp:simplePos x="0" y="0"/>
                <wp:positionH relativeFrom="column">
                  <wp:posOffset>2891155</wp:posOffset>
                </wp:positionH>
                <wp:positionV relativeFrom="paragraph">
                  <wp:posOffset>521194</wp:posOffset>
                </wp:positionV>
                <wp:extent cx="3681095" cy="381000"/>
                <wp:effectExtent l="0" t="0" r="0" b="0"/>
                <wp:wrapNone/>
                <wp:docPr id="734" name="Text Box 734"/>
                <wp:cNvGraphicFramePr/>
                <a:graphic xmlns:a="http://schemas.openxmlformats.org/drawingml/2006/main">
                  <a:graphicData uri="http://schemas.microsoft.com/office/word/2010/wordprocessingShape">
                    <wps:wsp>
                      <wps:cNvSpPr txBox="1"/>
                      <wps:spPr>
                        <a:xfrm>
                          <a:off x="0" y="0"/>
                          <a:ext cx="3681095" cy="381000"/>
                        </a:xfrm>
                        <a:prstGeom prst="rect">
                          <a:avLst/>
                        </a:prstGeom>
                        <a:noFill/>
                        <a:ln w="6350">
                          <a:noFill/>
                        </a:ln>
                      </wps:spPr>
                      <wps:txbx>
                        <w:txbxContent>
                          <w:p w14:paraId="68F31809" w14:textId="105A90C8" w:rsidR="00D15FD8" w:rsidRPr="00BD6508" w:rsidRDefault="00D15FD8">
                            <w:pPr>
                              <w:rPr>
                                <w:rFonts w:ascii="Arial" w:hAnsi="Arial" w:cs="Arial"/>
                                <w:b/>
                                <w:bCs/>
                                <w:color w:val="FFFFFF" w:themeColor="background1"/>
                                <w:sz w:val="32"/>
                                <w:szCs w:val="32"/>
                                <w:lang w:val="en-US"/>
                              </w:rPr>
                            </w:pPr>
                            <w:r w:rsidRPr="00BD6508">
                              <w:rPr>
                                <w:rFonts w:ascii="Arial" w:hAnsi="Arial" w:cs="Arial"/>
                                <w:b/>
                                <w:bCs/>
                                <w:color w:val="FFFFFF" w:themeColor="background1"/>
                                <w:sz w:val="32"/>
                                <w:szCs w:val="32"/>
                                <w:lang w:val="en-US"/>
                              </w:rPr>
                              <w:t xml:space="preserve">Internationally </w:t>
                            </w:r>
                            <w:r>
                              <w:rPr>
                                <w:rFonts w:ascii="Arial" w:hAnsi="Arial" w:cs="Arial"/>
                                <w:b/>
                                <w:bCs/>
                                <w:color w:val="FFFFFF" w:themeColor="background1"/>
                                <w:sz w:val="32"/>
                                <w:szCs w:val="32"/>
                                <w:lang w:val="en-US"/>
                              </w:rPr>
                              <w:t>c</w:t>
                            </w:r>
                            <w:r w:rsidRPr="00BD6508">
                              <w:rPr>
                                <w:rFonts w:ascii="Arial" w:hAnsi="Arial" w:cs="Arial"/>
                                <w:b/>
                                <w:bCs/>
                                <w:color w:val="FFFFFF" w:themeColor="background1"/>
                                <w:sz w:val="32"/>
                                <w:szCs w:val="32"/>
                                <w:lang w:val="en-US"/>
                              </w:rPr>
                              <w:t>omparable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5B6AC2" id="Text Box 734" o:spid="_x0000_s1394" type="#_x0000_t202" style="position:absolute;margin-left:227.65pt;margin-top:41.05pt;width:289.85pt;height:30pt;z-index:2532106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" filled="f" stroked="f" strokeweight=".5pt">
                <v:textbox>
                  <w:txbxContent>
                    <w:p w14:paraId="68F31809" w14:textId="105A90C8" w:rsidR="00D15FD8" w:rsidRPr="00BD6508" w:rsidRDefault="00D15FD8">
                      <w:pPr>
                        <w:rPr>
                          <w:rFonts w:ascii="Arial" w:hAnsi="Arial" w:cs="Arial"/>
                          <w:b/>
                          <w:bCs/>
                          <w:color w:val="FFFFFF" w:themeColor="background1"/>
                          <w:sz w:val="32"/>
                          <w:szCs w:val="32"/>
                          <w:lang w:val="en-US"/>
                        </w:rPr>
                      </w:pPr>
                      <w:r w:rsidRPr="00BD6508">
                        <w:rPr>
                          <w:rFonts w:ascii="Arial" w:hAnsi="Arial" w:cs="Arial"/>
                          <w:b/>
                          <w:bCs/>
                          <w:color w:val="FFFFFF" w:themeColor="background1"/>
                          <w:sz w:val="32"/>
                          <w:szCs w:val="32"/>
                          <w:lang w:val="en-US"/>
                        </w:rPr>
                        <w:t xml:space="preserve">Internationally </w:t>
                      </w:r>
                      <w:r>
                        <w:rPr>
                          <w:rFonts w:ascii="Arial" w:hAnsi="Arial" w:cs="Arial"/>
                          <w:b/>
                          <w:bCs/>
                          <w:color w:val="FFFFFF" w:themeColor="background1"/>
                          <w:sz w:val="32"/>
                          <w:szCs w:val="32"/>
                          <w:lang w:val="en-US"/>
                        </w:rPr>
                        <w:t>c</w:t>
                      </w:r>
                      <w:r w:rsidRPr="00BD6508">
                        <w:rPr>
                          <w:rFonts w:ascii="Arial" w:hAnsi="Arial" w:cs="Arial"/>
                          <w:b/>
                          <w:bCs/>
                          <w:color w:val="FFFFFF" w:themeColor="background1"/>
                          <w:sz w:val="32"/>
                          <w:szCs w:val="32"/>
                          <w:lang w:val="en-US"/>
                        </w:rPr>
                        <w:t>omparable</w:t>
                      </w:r>
                    </w:p>
                  </w:txbxContent>
                </v:textbox>
              </v:shape>
            </w:pict>
          </mc:Fallback>
        </mc:AlternateContent>
      </w:r>
      <w:r>
        <w:rPr>
          <w:noProof/>
          <w:lang w:val="en-US"/>
        </w:rPr>
        <w:drawing>
          <wp:anchor distT="0" distB="0" distL="114300" distR="114300" simplePos="0" relativeHeight="253209598" behindDoc="1" locked="0" layoutInCell="1" allowOverlap="1" wp14:anchorId="211D580F" wp14:editId="556A4C47">
            <wp:simplePos x="0" y="0"/>
            <wp:positionH relativeFrom="column">
              <wp:posOffset>1651000</wp:posOffset>
            </wp:positionH>
            <wp:positionV relativeFrom="paragraph">
              <wp:posOffset>141</wp:posOffset>
            </wp:positionV>
            <wp:extent cx="4991100" cy="1097915"/>
            <wp:effectExtent l="0" t="0" r="0" b="0"/>
            <wp:wrapTight wrapText="bothSides">
              <wp:wrapPolygon edited="0">
                <wp:start x="4342" y="1249"/>
                <wp:lineTo x="1539" y="2748"/>
                <wp:lineTo x="440" y="3748"/>
                <wp:lineTo x="440" y="5747"/>
                <wp:lineTo x="110" y="8995"/>
                <wp:lineTo x="55" y="9744"/>
                <wp:lineTo x="110" y="13742"/>
                <wp:lineTo x="660" y="18239"/>
                <wp:lineTo x="1814" y="20488"/>
                <wp:lineTo x="21105" y="20488"/>
                <wp:lineTo x="21270" y="19988"/>
                <wp:lineTo x="21490" y="18489"/>
                <wp:lineTo x="21545" y="6496"/>
                <wp:lineTo x="20666" y="6246"/>
                <wp:lineTo x="4452" y="5747"/>
                <wp:lineTo x="4837" y="4747"/>
                <wp:lineTo x="4892" y="3248"/>
                <wp:lineTo x="4617" y="1249"/>
                <wp:lineTo x="4342" y="1249"/>
              </wp:wrapPolygon>
            </wp:wrapTight>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684" cstate="email">
                      <a:extLst>
                        <a:ext uri="{28A0092B-C50C-407E-A947-70E740481C1C}">
                          <a14:useLocalDpi xmlns:a14="http://schemas.microsoft.com/office/drawing/2010/main"/>
                        </a:ext>
                      </a:extLst>
                    </a:blip>
                    <a:srcRect/>
                    <a:stretch/>
                  </pic:blipFill>
                  <pic:spPr bwMode="auto">
                    <a:xfrm>
                      <a:off x="0" y="0"/>
                      <a:ext cx="4991100" cy="109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5150">
        <w:rPr>
          <w:noProof/>
          <w:lang w:val="en-US"/>
        </w:rPr>
        <mc:AlternateContent>
          <mc:Choice Requires="wps">
            <w:drawing>
              <wp:anchor distT="0" distB="0" distL="114300" distR="114300" simplePos="0" relativeHeight="253194749" behindDoc="1" locked="0" layoutInCell="1" allowOverlap="1" wp14:anchorId="0ADC5F01" wp14:editId="518EB07C">
                <wp:simplePos x="0" y="0"/>
                <wp:positionH relativeFrom="margin">
                  <wp:posOffset>12700</wp:posOffset>
                </wp:positionH>
                <wp:positionV relativeFrom="margin">
                  <wp:align>center</wp:align>
                </wp:positionV>
                <wp:extent cx="1447800" cy="8966200"/>
                <wp:effectExtent l="0" t="0" r="0" b="0"/>
                <wp:wrapTight wrapText="bothSides">
                  <wp:wrapPolygon edited="0">
                    <wp:start x="568" y="0"/>
                    <wp:lineTo x="0" y="92"/>
                    <wp:lineTo x="0" y="21447"/>
                    <wp:lineTo x="189" y="21539"/>
                    <wp:lineTo x="568" y="21569"/>
                    <wp:lineTo x="20842" y="21569"/>
                    <wp:lineTo x="21221" y="21539"/>
                    <wp:lineTo x="21411" y="21447"/>
                    <wp:lineTo x="21411" y="92"/>
                    <wp:lineTo x="20842" y="0"/>
                    <wp:lineTo x="568" y="0"/>
                  </wp:wrapPolygon>
                </wp:wrapTight>
                <wp:docPr id="687" name="Rounded Rectangle 687"/>
                <wp:cNvGraphicFramePr/>
                <a:graphic xmlns:a="http://schemas.openxmlformats.org/drawingml/2006/main">
                  <a:graphicData uri="http://schemas.microsoft.com/office/word/2010/wordprocessingShape">
                    <wps:wsp>
                      <wps:cNvSpPr/>
                      <wps:spPr>
                        <a:xfrm>
                          <a:off x="0" y="0"/>
                          <a:ext cx="1447800" cy="8966200"/>
                        </a:xfrm>
                        <a:prstGeom prst="roundRect">
                          <a:avLst>
                            <a:gd name="adj" fmla="val 7277"/>
                          </a:avLst>
                        </a:prstGeom>
                        <a:solidFill>
                          <a:srgbClr val="F39C32"/>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E6BE11F" id="Rounded Rectangle 687" o:spid="_x0000_s1026" style="position:absolute;margin-left:1pt;margin-top:0;width:114pt;height:706pt;z-index:-250121731;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arcsize="47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" fillcolor="#f39c32" stroked="f" strokeweight="2.25pt">
                <v:stroke joinstyle="miter"/>
                <w10:wrap type="tight" anchorx="margin" anchory="margin"/>
              </v:roundrect>
            </w:pict>
          </mc:Fallback>
        </mc:AlternateContent>
      </w:r>
    </w:p>
    <w:p w14:paraId="0734917B" w14:textId="0117D636" w:rsidR="00C1339B" w:rsidRPr="00C1339B" w:rsidRDefault="00CB4860" w:rsidP="00BD6508">
      <w:r>
        <w:rPr>
          <w:noProof/>
          <w:lang w:val="en-US"/>
        </w:rPr>
        <mc:AlternateContent>
          <mc:Choice Requires="wps">
            <w:drawing>
              <wp:anchor distT="0" distB="0" distL="114300" distR="114300" simplePos="0" relativeHeight="253197310" behindDoc="0" locked="0" layoutInCell="1" allowOverlap="1" wp14:anchorId="6073555F" wp14:editId="6A155BE3">
                <wp:simplePos x="0" y="0"/>
                <wp:positionH relativeFrom="column">
                  <wp:posOffset>1619885</wp:posOffset>
                </wp:positionH>
                <wp:positionV relativeFrom="margin">
                  <wp:posOffset>1113014</wp:posOffset>
                </wp:positionV>
                <wp:extent cx="5168900" cy="8128000"/>
                <wp:effectExtent l="0" t="0" r="0" b="0"/>
                <wp:wrapNone/>
                <wp:docPr id="688" name="Text Box 688"/>
                <wp:cNvGraphicFramePr/>
                <a:graphic xmlns:a="http://schemas.openxmlformats.org/drawingml/2006/main">
                  <a:graphicData uri="http://schemas.microsoft.com/office/word/2010/wordprocessingShape">
                    <wps:wsp>
                      <wps:cNvSpPr txBox="1"/>
                      <wps:spPr>
                        <a:xfrm>
                          <a:off x="0" y="0"/>
                          <a:ext cx="5168900" cy="8128000"/>
                        </a:xfrm>
                        <a:prstGeom prst="rect">
                          <a:avLst/>
                        </a:prstGeom>
                        <a:solidFill>
                          <a:schemeClr val="lt1"/>
                        </a:solidFill>
                        <a:ln w="6350">
                          <a:noFill/>
                        </a:ln>
                      </wps:spPr>
                      <wps:txbx>
                        <w:txbxContent>
                          <w:p w14:paraId="5BD777A3" w14:textId="4F476FE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One should be able to compare budgeted information and actual outcomes for a year and over time; as </w:t>
                            </w:r>
                            <w:r>
                              <w:rPr>
                                <w:rFonts w:ascii="Arial" w:hAnsi="Arial" w:cs="Arial"/>
                                <w:sz w:val="24"/>
                                <w:szCs w:val="24"/>
                                <w:lang w:val="en-ZA"/>
                              </w:rPr>
                              <w:t>well</w:t>
                            </w:r>
                            <w:r w:rsidRPr="00BD6508">
                              <w:rPr>
                                <w:rFonts w:ascii="Arial" w:hAnsi="Arial" w:cs="Arial"/>
                                <w:sz w:val="24"/>
                                <w:szCs w:val="24"/>
                                <w:lang w:val="en-ZA"/>
                              </w:rPr>
                              <w:t xml:space="preserve"> as across countries. To ensure this comparability, a number of things can be done, including the use of: </w:t>
                            </w:r>
                          </w:p>
                          <w:p w14:paraId="741585F3" w14:textId="77777777" w:rsidR="00D15FD8" w:rsidRPr="00BD6508" w:rsidRDefault="00D15FD8" w:rsidP="00BD6508">
                            <w:pPr>
                              <w:pStyle w:val="ListParagraph"/>
                              <w:numPr>
                                <w:ilvl w:val="0"/>
                                <w:numId w:val="96"/>
                              </w:numPr>
                              <w:spacing w:line="276" w:lineRule="auto"/>
                              <w:jc w:val="both"/>
                              <w:rPr>
                                <w:rFonts w:ascii="Arial" w:hAnsi="Arial" w:cs="Arial"/>
                                <w:sz w:val="24"/>
                                <w:szCs w:val="24"/>
                                <w:lang w:val="en-ZA"/>
                              </w:rPr>
                            </w:pPr>
                            <w:r w:rsidRPr="00BD6508">
                              <w:rPr>
                                <w:rFonts w:ascii="Arial" w:hAnsi="Arial" w:cs="Arial"/>
                                <w:sz w:val="24"/>
                                <w:szCs w:val="24"/>
                                <w:lang w:val="en-ZA"/>
                              </w:rPr>
                              <w:t>Consistent accounting policies when preparing information, explaining any changes;</w:t>
                            </w:r>
                          </w:p>
                          <w:p w14:paraId="78C09E08" w14:textId="77777777" w:rsidR="00D15FD8" w:rsidRPr="00BD6508" w:rsidRDefault="00D15FD8" w:rsidP="00BD6508">
                            <w:pPr>
                              <w:pStyle w:val="ListParagraph"/>
                              <w:numPr>
                                <w:ilvl w:val="0"/>
                                <w:numId w:val="96"/>
                              </w:numPr>
                              <w:spacing w:line="276" w:lineRule="auto"/>
                              <w:jc w:val="both"/>
                              <w:rPr>
                                <w:rFonts w:ascii="Arial" w:hAnsi="Arial" w:cs="Arial"/>
                                <w:sz w:val="24"/>
                                <w:szCs w:val="24"/>
                                <w:lang w:val="en-ZA"/>
                              </w:rPr>
                            </w:pPr>
                            <w:r w:rsidRPr="00BD6508">
                              <w:rPr>
                                <w:rFonts w:ascii="Arial" w:hAnsi="Arial" w:cs="Arial"/>
                                <w:sz w:val="24"/>
                                <w:szCs w:val="24"/>
                                <w:lang w:val="en-ZA"/>
                              </w:rPr>
                              <w:t>Consistent formats from year to year, and from report to report;</w:t>
                            </w:r>
                          </w:p>
                          <w:p w14:paraId="107B8255" w14:textId="77777777" w:rsidR="00D15FD8" w:rsidRPr="00BD6508" w:rsidRDefault="00D15FD8" w:rsidP="00BD6508">
                            <w:pPr>
                              <w:pStyle w:val="ListParagraph"/>
                              <w:numPr>
                                <w:ilvl w:val="0"/>
                                <w:numId w:val="96"/>
                              </w:numPr>
                              <w:spacing w:line="276" w:lineRule="auto"/>
                              <w:jc w:val="both"/>
                              <w:rPr>
                                <w:rFonts w:ascii="Arial" w:hAnsi="Arial" w:cs="Arial"/>
                                <w:sz w:val="24"/>
                                <w:szCs w:val="24"/>
                                <w:lang w:val="en-ZA"/>
                              </w:rPr>
                            </w:pPr>
                            <w:r w:rsidRPr="00BD6508">
                              <w:rPr>
                                <w:rFonts w:ascii="Arial" w:hAnsi="Arial" w:cs="Arial"/>
                                <w:sz w:val="24"/>
                                <w:szCs w:val="24"/>
                                <w:lang w:val="en-ZA"/>
                              </w:rPr>
                              <w:t>International statistical standards to compile financial and fiscal statistics, including the:</w:t>
                            </w:r>
                          </w:p>
                          <w:p w14:paraId="6D43C03B" w14:textId="0AE3F839" w:rsidR="00D15FD8" w:rsidRPr="00BD6508" w:rsidRDefault="00D15FD8" w:rsidP="0092792D">
                            <w:pPr>
                              <w:numPr>
                                <w:ilvl w:val="1"/>
                                <w:numId w:val="95"/>
                              </w:numPr>
                              <w:tabs>
                                <w:tab w:val="clear" w:pos="1440"/>
                              </w:tabs>
                              <w:spacing w:line="276" w:lineRule="auto"/>
                              <w:ind w:left="990" w:hanging="270"/>
                              <w:jc w:val="both"/>
                              <w:rPr>
                                <w:rFonts w:ascii="Arial" w:hAnsi="Arial" w:cs="Arial"/>
                                <w:sz w:val="24"/>
                                <w:szCs w:val="24"/>
                                <w:lang w:val="en-US"/>
                              </w:rPr>
                            </w:pPr>
                            <w:r w:rsidRPr="00BD6508">
                              <w:rPr>
                                <w:rFonts w:ascii="Arial" w:hAnsi="Arial" w:cs="Arial"/>
                                <w:sz w:val="24"/>
                                <w:szCs w:val="24"/>
                                <w:lang w:val="en-ZA"/>
                              </w:rPr>
                              <w:t xml:space="preserve">IMF’s </w:t>
                            </w:r>
                            <w:hyperlink r:id="rId685" w:history="1">
                              <w:r w:rsidRPr="00BD6508">
                                <w:rPr>
                                  <w:rStyle w:val="Hyperlink"/>
                                  <w:rFonts w:ascii="Arial" w:hAnsi="Arial" w:cs="Arial"/>
                                  <w:sz w:val="24"/>
                                  <w:szCs w:val="24"/>
                                </w:rPr>
                                <w:t>Government Finance Statistics (GFS) Manual</w:t>
                              </w:r>
                            </w:hyperlink>
                            <w:r w:rsidRPr="00BD6508">
                              <w:rPr>
                                <w:rFonts w:ascii="Arial" w:hAnsi="Arial" w:cs="Arial"/>
                                <w:sz w:val="24"/>
                                <w:szCs w:val="24"/>
                              </w:rPr>
                              <w:t xml:space="preserve"> (2014)</w:t>
                            </w:r>
                            <w:r w:rsidRPr="00BD6508">
                              <w:rPr>
                                <w:rFonts w:ascii="Arial" w:hAnsi="Arial" w:cs="Arial"/>
                                <w:sz w:val="24"/>
                                <w:szCs w:val="24"/>
                                <w:lang w:val="en-ZA"/>
                              </w:rPr>
                              <w:t xml:space="preserve">, which contains core standards that are widely adopted across the main fiscal transparency instruments, including on </w:t>
                            </w:r>
                            <w:r w:rsidRPr="00BD6508">
                              <w:rPr>
                                <w:rFonts w:ascii="Arial" w:hAnsi="Arial" w:cs="Arial"/>
                                <w:sz w:val="24"/>
                                <w:szCs w:val="24"/>
                              </w:rPr>
                              <w:t xml:space="preserve">the classification of the government sector and the public sector [based on the </w:t>
                            </w:r>
                            <w:hyperlink r:id="rId686" w:history="1">
                              <w:r w:rsidRPr="00BD6508">
                                <w:rPr>
                                  <w:rStyle w:val="Hyperlink"/>
                                  <w:rFonts w:ascii="Arial" w:hAnsi="Arial" w:cs="Arial"/>
                                  <w:sz w:val="24"/>
                                  <w:szCs w:val="24"/>
                                </w:rPr>
                                <w:t>United Nations’ System of National Accounts</w:t>
                              </w:r>
                            </w:hyperlink>
                            <w:r w:rsidRPr="00BD6508">
                              <w:rPr>
                                <w:rFonts w:ascii="Arial" w:hAnsi="Arial" w:cs="Arial"/>
                                <w:sz w:val="24"/>
                                <w:szCs w:val="24"/>
                              </w:rPr>
                              <w:t xml:space="preserve"> (2008)]; the classification of the levels of government, and the economic and functional classification of expenditures [based on the </w:t>
                            </w:r>
                            <w:hyperlink r:id="rId687" w:history="1">
                              <w:r w:rsidRPr="00BD6508">
                                <w:rPr>
                                  <w:rStyle w:val="Hyperlink"/>
                                  <w:rFonts w:ascii="Arial" w:hAnsi="Arial" w:cs="Arial"/>
                                  <w:sz w:val="24"/>
                                  <w:szCs w:val="24"/>
                                </w:rPr>
                                <w:t>U</w:t>
                              </w:r>
                              <w:r>
                                <w:rPr>
                                  <w:rStyle w:val="Hyperlink"/>
                                  <w:rFonts w:ascii="Arial" w:hAnsi="Arial" w:cs="Arial"/>
                                  <w:sz w:val="24"/>
                                  <w:szCs w:val="24"/>
                                </w:rPr>
                                <w:t xml:space="preserve">nited </w:t>
                              </w:r>
                              <w:r w:rsidRPr="00BD6508">
                                <w:rPr>
                                  <w:rStyle w:val="Hyperlink"/>
                                  <w:rFonts w:ascii="Arial" w:hAnsi="Arial" w:cs="Arial"/>
                                  <w:sz w:val="24"/>
                                  <w:szCs w:val="24"/>
                                </w:rPr>
                                <w:t>N</w:t>
                              </w:r>
                              <w:r>
                                <w:rPr>
                                  <w:rStyle w:val="Hyperlink"/>
                                  <w:rFonts w:ascii="Arial" w:hAnsi="Arial" w:cs="Arial"/>
                                  <w:sz w:val="24"/>
                                  <w:szCs w:val="24"/>
                                </w:rPr>
                                <w:t>ations</w:t>
                              </w:r>
                              <w:r w:rsidRPr="00BD6508">
                                <w:rPr>
                                  <w:rStyle w:val="Hyperlink"/>
                                  <w:rFonts w:ascii="Arial" w:hAnsi="Arial" w:cs="Arial"/>
                                  <w:sz w:val="24"/>
                                  <w:szCs w:val="24"/>
                                </w:rPr>
                                <w:t xml:space="preserve"> Classification of the Functions of Government</w:t>
                              </w:r>
                            </w:hyperlink>
                            <w:r w:rsidRPr="00BD6508">
                              <w:rPr>
                                <w:rFonts w:ascii="Arial" w:hAnsi="Arial" w:cs="Arial"/>
                                <w:sz w:val="24"/>
                                <w:szCs w:val="24"/>
                              </w:rPr>
                              <w:t xml:space="preserve"> (COFOG)]; and a classification of revenues</w:t>
                            </w:r>
                            <w:r w:rsidRPr="00BD6508">
                              <w:rPr>
                                <w:rFonts w:ascii="Arial" w:hAnsi="Arial" w:cs="Arial"/>
                                <w:sz w:val="24"/>
                                <w:szCs w:val="24"/>
                                <w:lang w:val="en-ZA"/>
                              </w:rPr>
                              <w:t>.</w:t>
                            </w:r>
                          </w:p>
                          <w:p w14:paraId="5B3290F7" w14:textId="06764E0B" w:rsidR="00D15FD8" w:rsidRPr="00BD6508" w:rsidRDefault="00D15FD8" w:rsidP="0092792D">
                            <w:pPr>
                              <w:numPr>
                                <w:ilvl w:val="1"/>
                                <w:numId w:val="95"/>
                              </w:numPr>
                              <w:tabs>
                                <w:tab w:val="clear" w:pos="1440"/>
                              </w:tabs>
                              <w:spacing w:line="276" w:lineRule="auto"/>
                              <w:ind w:left="990" w:hanging="270"/>
                              <w:jc w:val="both"/>
                              <w:rPr>
                                <w:rFonts w:ascii="Arial" w:hAnsi="Arial" w:cs="Arial"/>
                                <w:sz w:val="24"/>
                                <w:szCs w:val="24"/>
                                <w:lang w:val="en-US"/>
                              </w:rPr>
                            </w:pPr>
                            <w:r w:rsidRPr="00BD6508">
                              <w:rPr>
                                <w:rFonts w:ascii="Arial" w:hAnsi="Arial" w:cs="Arial"/>
                                <w:sz w:val="24"/>
                                <w:szCs w:val="24"/>
                                <w:lang w:val="en-ZA"/>
                              </w:rPr>
                              <w:t xml:space="preserve">IMF </w:t>
                            </w:r>
                            <w:hyperlink r:id="rId688" w:history="1">
                              <w:r w:rsidRPr="00BD6508">
                                <w:rPr>
                                  <w:rStyle w:val="Hyperlink"/>
                                  <w:rFonts w:ascii="Arial" w:hAnsi="Arial" w:cs="Arial"/>
                                  <w:sz w:val="24"/>
                                  <w:szCs w:val="24"/>
                                  <w:lang w:val="en-ZA"/>
                                </w:rPr>
                                <w:t>Standards for Data Dissemination</w:t>
                              </w:r>
                            </w:hyperlink>
                            <w:r w:rsidRPr="00BD6508">
                              <w:rPr>
                                <w:rFonts w:ascii="Arial" w:hAnsi="Arial" w:cs="Arial"/>
                                <w:sz w:val="24"/>
                                <w:szCs w:val="24"/>
                                <w:lang w:val="en-ZA"/>
                              </w:rPr>
                              <w:t xml:space="preserve"> for economic and financial data; and the </w:t>
                            </w:r>
                            <w:hyperlink r:id="rId689" w:history="1">
                              <w:r w:rsidRPr="00BD6508">
                                <w:rPr>
                                  <w:rStyle w:val="Hyperlink"/>
                                  <w:rFonts w:ascii="Arial" w:hAnsi="Arial" w:cs="Arial"/>
                                  <w:sz w:val="24"/>
                                  <w:szCs w:val="24"/>
                                  <w:lang w:val="en-ZA"/>
                                </w:rPr>
                                <w:t>Special Data Dissemination Standard</w:t>
                              </w:r>
                            </w:hyperlink>
                            <w:r w:rsidRPr="00BD6508">
                              <w:rPr>
                                <w:rFonts w:ascii="Arial" w:hAnsi="Arial" w:cs="Arial"/>
                                <w:sz w:val="24"/>
                                <w:szCs w:val="24"/>
                                <w:lang w:val="en-ZA"/>
                              </w:rPr>
                              <w:t xml:space="preserve"> </w:t>
                            </w:r>
                            <w:r>
                              <w:rPr>
                                <w:rFonts w:ascii="Arial" w:hAnsi="Arial" w:cs="Arial"/>
                                <w:sz w:val="24"/>
                                <w:szCs w:val="24"/>
                                <w:lang w:val="en-ZA"/>
                              </w:rPr>
                              <w:t xml:space="preserve">(SDDS) </w:t>
                            </w:r>
                            <w:r w:rsidRPr="00BD6508">
                              <w:rPr>
                                <w:rFonts w:ascii="Arial" w:hAnsi="Arial" w:cs="Arial"/>
                                <w:sz w:val="24"/>
                                <w:szCs w:val="24"/>
                                <w:lang w:val="en-ZA"/>
                              </w:rPr>
                              <w:t>that sets good practices for data publication in terms of coverage, periodicity, and timeliness; ease of access; integrity; and quality. </w:t>
                            </w:r>
                            <w:r w:rsidRPr="00BD6508">
                              <w:rPr>
                                <w:rFonts w:ascii="Arial" w:hAnsi="Arial" w:cs="Arial"/>
                                <w:iCs/>
                                <w:sz w:val="24"/>
                                <w:szCs w:val="24"/>
                              </w:rPr>
                              <w:t xml:space="preserve">Most countries not subscribing to the SDDS, participate in the General Data Dissemination System (GDDS), or enhanced GDDS, which also provides guidance on the provision of comprehensive, timely, accessible, and reliable statistics to the public. For the fiscal sector, both the SDDS </w:t>
                            </w:r>
                            <w:r w:rsidRPr="00BD6508">
                              <w:rPr>
                                <w:rFonts w:ascii="Arial" w:hAnsi="Arial" w:cs="Arial"/>
                                <w:sz w:val="24"/>
                                <w:szCs w:val="24"/>
                              </w:rPr>
                              <w:t>and</w:t>
                            </w:r>
                            <w:r w:rsidRPr="00BD6508">
                              <w:rPr>
                                <w:rFonts w:ascii="Arial" w:hAnsi="Arial" w:cs="Arial"/>
                                <w:iCs/>
                                <w:sz w:val="24"/>
                                <w:szCs w:val="24"/>
                              </w:rPr>
                              <w:t xml:space="preserve"> GDDS provide detailed guidance on data sets and methodologies pertaining to government operations and gross debt.</w:t>
                            </w:r>
                          </w:p>
                          <w:p w14:paraId="3DF0458C" w14:textId="58703067" w:rsidR="00D15FD8" w:rsidRPr="00BD6508" w:rsidRDefault="00D15FD8" w:rsidP="0092792D">
                            <w:pPr>
                              <w:numPr>
                                <w:ilvl w:val="1"/>
                                <w:numId w:val="95"/>
                              </w:numPr>
                              <w:tabs>
                                <w:tab w:val="clear" w:pos="1440"/>
                              </w:tabs>
                              <w:spacing w:line="276" w:lineRule="auto"/>
                              <w:ind w:left="990" w:hanging="270"/>
                              <w:jc w:val="both"/>
                              <w:rPr>
                                <w:rFonts w:ascii="Arial" w:hAnsi="Arial" w:cs="Arial"/>
                                <w:sz w:val="24"/>
                                <w:szCs w:val="24"/>
                                <w:lang w:val="en-US"/>
                              </w:rPr>
                            </w:pPr>
                            <w:r w:rsidRPr="00BD6508">
                              <w:rPr>
                                <w:rFonts w:ascii="Arial" w:hAnsi="Arial" w:cs="Arial"/>
                                <w:sz w:val="24"/>
                                <w:szCs w:val="24"/>
                                <w:lang w:val="en-ZA"/>
                              </w:rPr>
                              <w:t xml:space="preserve">IMF’s </w:t>
                            </w:r>
                            <w:hyperlink r:id="rId690" w:history="1">
                              <w:r w:rsidRPr="00BD6508">
                                <w:rPr>
                                  <w:rStyle w:val="Hyperlink"/>
                                  <w:rFonts w:ascii="Arial" w:hAnsi="Arial" w:cs="Arial"/>
                                  <w:sz w:val="24"/>
                                  <w:szCs w:val="24"/>
                                  <w:lang w:val="en-ZA"/>
                                </w:rPr>
                                <w:t>Public Sector Debt Statistics Guide for Compilers and Users</w:t>
                              </w:r>
                            </w:hyperlink>
                            <w:r w:rsidRPr="00BD6508">
                              <w:rPr>
                                <w:rFonts w:ascii="Arial" w:hAnsi="Arial" w:cs="Arial"/>
                                <w:sz w:val="24"/>
                                <w:szCs w:val="24"/>
                                <w:lang w:val="en-ZA"/>
                              </w:rPr>
                              <w:t xml:space="preserve"> (2014) provides guidance on the concepts, definitions, and classifications of public sector debt statistics; as well as how to compile </w:t>
                            </w:r>
                            <w:r>
                              <w:rPr>
                                <w:rFonts w:ascii="Arial" w:hAnsi="Arial" w:cs="Arial"/>
                                <w:sz w:val="24"/>
                                <w:szCs w:val="24"/>
                                <w:lang w:val="en-ZA"/>
                              </w:rPr>
                              <w:t xml:space="preserve">and </w:t>
                            </w:r>
                            <w:r w:rsidRPr="00BD6508">
                              <w:rPr>
                                <w:rFonts w:ascii="Arial" w:hAnsi="Arial" w:cs="Arial"/>
                                <w:sz w:val="24"/>
                                <w:szCs w:val="24"/>
                                <w:lang w:val="en-ZA"/>
                              </w:rPr>
                              <w:t>use the information.</w:t>
                            </w:r>
                            <w:r w:rsidRPr="00BD6508">
                              <w:rPr>
                                <w:rFonts w:ascii="Arial" w:hAnsi="Arial" w:cs="Arial"/>
                                <w:sz w:val="24"/>
                                <w:szCs w:val="24"/>
                                <w:lang w:val="en-US"/>
                              </w:rPr>
                              <w:t xml:space="preserve">      </w:t>
                            </w:r>
                          </w:p>
                          <w:p w14:paraId="45A8E254" w14:textId="387A4A23" w:rsidR="00D15FD8" w:rsidRPr="00BD6508" w:rsidRDefault="00D15FD8" w:rsidP="00BD6508">
                            <w:pPr>
                              <w:pStyle w:val="ListParagraph"/>
                              <w:numPr>
                                <w:ilvl w:val="0"/>
                                <w:numId w:val="96"/>
                              </w:numPr>
                              <w:spacing w:line="276" w:lineRule="auto"/>
                              <w:jc w:val="both"/>
                              <w:rPr>
                                <w:rFonts w:ascii="Arial" w:hAnsi="Arial" w:cs="Arial"/>
                                <w:sz w:val="24"/>
                                <w:szCs w:val="24"/>
                              </w:rPr>
                            </w:pPr>
                            <w:r w:rsidRPr="00BD6508">
                              <w:rPr>
                                <w:rFonts w:ascii="Arial" w:hAnsi="Arial" w:cs="Arial"/>
                                <w:sz w:val="24"/>
                                <w:szCs w:val="24"/>
                                <w:lang w:val="en-ZA"/>
                              </w:rPr>
                              <w:t xml:space="preserve">Accounting standards to prepare information, with it being subject to internal controls, independent assessments, and audit. Relevant accounting standards include the International Public Sector Accounting Standards Board’s </w:t>
                            </w:r>
                            <w:hyperlink r:id="rId691" w:history="1">
                              <w:r w:rsidRPr="00BD6508">
                                <w:rPr>
                                  <w:rStyle w:val="Hyperlink"/>
                                  <w:rFonts w:ascii="Arial" w:hAnsi="Arial" w:cs="Arial"/>
                                  <w:sz w:val="24"/>
                                  <w:szCs w:val="24"/>
                                  <w:lang w:val="en-ZA"/>
                                </w:rPr>
                                <w:t>2022 Handbook of International Public Sector Accounting Pronouncements</w:t>
                              </w:r>
                            </w:hyperlink>
                            <w:r w:rsidRPr="00BD6508">
                              <w:rPr>
                                <w:rFonts w:ascii="Arial" w:hAnsi="Arial" w:cs="Arial"/>
                                <w:sz w:val="24"/>
                                <w:szCs w:val="24"/>
                                <w:lang w:val="en-ZA"/>
                              </w:rPr>
                              <w:t xml:space="preserve"> that contains accounting standards for public sector entities; and the </w:t>
                            </w:r>
                            <w:hyperlink r:id="rId692" w:history="1">
                              <w:r w:rsidRPr="00BD6508">
                                <w:rPr>
                                  <w:rStyle w:val="Hyperlink"/>
                                  <w:rFonts w:ascii="Arial" w:hAnsi="Arial" w:cs="Arial"/>
                                  <w:sz w:val="24"/>
                                  <w:szCs w:val="24"/>
                                  <w:lang w:val="en-ZA"/>
                                </w:rPr>
                                <w:t>International Standards of Supreme Auditing Institutions</w:t>
                              </w:r>
                            </w:hyperlink>
                            <w:r w:rsidRPr="00BD6508">
                              <w:rPr>
                                <w:rFonts w:ascii="Arial" w:hAnsi="Arial" w:cs="Arial"/>
                                <w:sz w:val="24"/>
                                <w:szCs w:val="24"/>
                                <w:lang w:val="en-ZA"/>
                              </w:rPr>
                              <w:t xml:space="preserve"> that contains the fundamental principles of public sector auditing. To maintain the comparability of data, any major revisions of historical fiscal data and any changes to data classification should be explained, including why past audited figures may have changed and why audited figures differ substantially from unaudited figures. Data in fiscal reports should also be internally consistent and reconciled with relevant data from other sources, such as that compiled by independent institutions and the private sector.                     </w:t>
                            </w:r>
                            <w:r w:rsidRPr="00BD6508">
                              <w:rPr>
                                <w:rFonts w:ascii="Arial" w:hAnsi="Arial" w:cs="Arial"/>
                                <w:sz w:val="24"/>
                                <w:szCs w:val="24"/>
                                <w:lang w:val="en-US"/>
                              </w:rPr>
                              <w:t xml:space="preserve">               </w:t>
                            </w:r>
                          </w:p>
                          <w:p w14:paraId="1A2FFB7F" w14:textId="77777777" w:rsidR="00D15FD8" w:rsidRPr="00BD6508" w:rsidRDefault="00D15FD8" w:rsidP="00BD6508">
                            <w:pPr>
                              <w:spacing w:line="276" w:lineRule="auto"/>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3555F" id="Text Box 688" o:spid="_x0000_s1395" type="#_x0000_t202" style="position:absolute;margin-left:127.55pt;margin-top:87.65pt;width:407pt;height:640pt;z-index:25319731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" fillcolor="white [3201]" stroked="f" strokeweight=".5pt">
                <v:textbox>
                  <w:txbxContent>
                    <w:p w14:paraId="5BD777A3" w14:textId="4F476FE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One should be able to compare budgeted information and actual outcomes for a year and over time; as </w:t>
                      </w:r>
                      <w:r>
                        <w:rPr>
                          <w:rFonts w:ascii="Arial" w:hAnsi="Arial" w:cs="Arial"/>
                          <w:sz w:val="24"/>
                          <w:szCs w:val="24"/>
                          <w:lang w:val="en-ZA"/>
                        </w:rPr>
                        <w:t>well</w:t>
                      </w:r>
                      <w:r w:rsidRPr="00BD6508">
                        <w:rPr>
                          <w:rFonts w:ascii="Arial" w:hAnsi="Arial" w:cs="Arial"/>
                          <w:sz w:val="24"/>
                          <w:szCs w:val="24"/>
                          <w:lang w:val="en-ZA"/>
                        </w:rPr>
                        <w:t xml:space="preserve"> as across countries. To ensure this comparability, a number of things can be done, including the use of: </w:t>
                      </w:r>
                    </w:p>
                    <w:p w14:paraId="741585F3" w14:textId="77777777" w:rsidR="00D15FD8" w:rsidRPr="00BD6508" w:rsidRDefault="00D15FD8" w:rsidP="00BD6508">
                      <w:pPr>
                        <w:pStyle w:val="ListParagraph"/>
                        <w:numPr>
                          <w:ilvl w:val="0"/>
                          <w:numId w:val="96"/>
                        </w:numPr>
                        <w:spacing w:line="276" w:lineRule="auto"/>
                        <w:jc w:val="both"/>
                        <w:rPr>
                          <w:rFonts w:ascii="Arial" w:hAnsi="Arial" w:cs="Arial"/>
                          <w:sz w:val="24"/>
                          <w:szCs w:val="24"/>
                          <w:lang w:val="en-ZA"/>
                        </w:rPr>
                      </w:pPr>
                      <w:r w:rsidRPr="00BD6508">
                        <w:rPr>
                          <w:rFonts w:ascii="Arial" w:hAnsi="Arial" w:cs="Arial"/>
                          <w:sz w:val="24"/>
                          <w:szCs w:val="24"/>
                          <w:lang w:val="en-ZA"/>
                        </w:rPr>
                        <w:t>Consistent accounting policies when preparing information, explaining any changes;</w:t>
                      </w:r>
                    </w:p>
                    <w:p w14:paraId="78C09E08" w14:textId="77777777" w:rsidR="00D15FD8" w:rsidRPr="00BD6508" w:rsidRDefault="00D15FD8" w:rsidP="00BD6508">
                      <w:pPr>
                        <w:pStyle w:val="ListParagraph"/>
                        <w:numPr>
                          <w:ilvl w:val="0"/>
                          <w:numId w:val="96"/>
                        </w:numPr>
                        <w:spacing w:line="276" w:lineRule="auto"/>
                        <w:jc w:val="both"/>
                        <w:rPr>
                          <w:rFonts w:ascii="Arial" w:hAnsi="Arial" w:cs="Arial"/>
                          <w:sz w:val="24"/>
                          <w:szCs w:val="24"/>
                          <w:lang w:val="en-ZA"/>
                        </w:rPr>
                      </w:pPr>
                      <w:r w:rsidRPr="00BD6508">
                        <w:rPr>
                          <w:rFonts w:ascii="Arial" w:hAnsi="Arial" w:cs="Arial"/>
                          <w:sz w:val="24"/>
                          <w:szCs w:val="24"/>
                          <w:lang w:val="en-ZA"/>
                        </w:rPr>
                        <w:t>Consistent formats from year to year, and from report to report;</w:t>
                      </w:r>
                    </w:p>
                    <w:p w14:paraId="107B8255" w14:textId="77777777" w:rsidR="00D15FD8" w:rsidRPr="00BD6508" w:rsidRDefault="00D15FD8" w:rsidP="00BD6508">
                      <w:pPr>
                        <w:pStyle w:val="ListParagraph"/>
                        <w:numPr>
                          <w:ilvl w:val="0"/>
                          <w:numId w:val="96"/>
                        </w:numPr>
                        <w:spacing w:line="276" w:lineRule="auto"/>
                        <w:jc w:val="both"/>
                        <w:rPr>
                          <w:rFonts w:ascii="Arial" w:hAnsi="Arial" w:cs="Arial"/>
                          <w:sz w:val="24"/>
                          <w:szCs w:val="24"/>
                          <w:lang w:val="en-ZA"/>
                        </w:rPr>
                      </w:pPr>
                      <w:r w:rsidRPr="00BD6508">
                        <w:rPr>
                          <w:rFonts w:ascii="Arial" w:hAnsi="Arial" w:cs="Arial"/>
                          <w:sz w:val="24"/>
                          <w:szCs w:val="24"/>
                          <w:lang w:val="en-ZA"/>
                        </w:rPr>
                        <w:t>International statistical standards to compile financial and fiscal statistics, including the:</w:t>
                      </w:r>
                    </w:p>
                    <w:p w14:paraId="6D43C03B" w14:textId="0AE3F839" w:rsidR="00D15FD8" w:rsidRPr="00BD6508" w:rsidRDefault="00D15FD8" w:rsidP="0092792D">
                      <w:pPr>
                        <w:numPr>
                          <w:ilvl w:val="1"/>
                          <w:numId w:val="95"/>
                        </w:numPr>
                        <w:tabs>
                          <w:tab w:val="clear" w:pos="1440"/>
                        </w:tabs>
                        <w:spacing w:line="276" w:lineRule="auto"/>
                        <w:ind w:left="990" w:hanging="270"/>
                        <w:jc w:val="both"/>
                        <w:rPr>
                          <w:rFonts w:ascii="Arial" w:hAnsi="Arial" w:cs="Arial"/>
                          <w:sz w:val="24"/>
                          <w:szCs w:val="24"/>
                          <w:lang w:val="en-US"/>
                        </w:rPr>
                      </w:pPr>
                      <w:r w:rsidRPr="00BD6508">
                        <w:rPr>
                          <w:rFonts w:ascii="Arial" w:hAnsi="Arial" w:cs="Arial"/>
                          <w:sz w:val="24"/>
                          <w:szCs w:val="24"/>
                          <w:lang w:val="en-ZA"/>
                        </w:rPr>
                        <w:t xml:space="preserve">IMF’s </w:t>
                      </w:r>
                      <w:hyperlink r:id="rId693" w:history="1">
                        <w:r w:rsidRPr="00BD6508">
                          <w:rPr>
                            <w:rStyle w:val="Hyperlink"/>
                            <w:rFonts w:ascii="Arial" w:hAnsi="Arial" w:cs="Arial"/>
                            <w:sz w:val="24"/>
                            <w:szCs w:val="24"/>
                          </w:rPr>
                          <w:t>Government Finance Statistics (GFS) Manual</w:t>
                        </w:r>
                      </w:hyperlink>
                      <w:r w:rsidRPr="00BD6508">
                        <w:rPr>
                          <w:rFonts w:ascii="Arial" w:hAnsi="Arial" w:cs="Arial"/>
                          <w:sz w:val="24"/>
                          <w:szCs w:val="24"/>
                        </w:rPr>
                        <w:t xml:space="preserve"> (2014)</w:t>
                      </w:r>
                      <w:r w:rsidRPr="00BD6508">
                        <w:rPr>
                          <w:rFonts w:ascii="Arial" w:hAnsi="Arial" w:cs="Arial"/>
                          <w:sz w:val="24"/>
                          <w:szCs w:val="24"/>
                          <w:lang w:val="en-ZA"/>
                        </w:rPr>
                        <w:t xml:space="preserve">, which contains core standards that are widely adopted across the main fiscal transparency instruments, including on </w:t>
                      </w:r>
                      <w:r w:rsidRPr="00BD6508">
                        <w:rPr>
                          <w:rFonts w:ascii="Arial" w:hAnsi="Arial" w:cs="Arial"/>
                          <w:sz w:val="24"/>
                          <w:szCs w:val="24"/>
                        </w:rPr>
                        <w:t xml:space="preserve">the classification of the government sector and the public sector [based on the </w:t>
                      </w:r>
                      <w:hyperlink r:id="rId694" w:history="1">
                        <w:r w:rsidRPr="00BD6508">
                          <w:rPr>
                            <w:rStyle w:val="Hyperlink"/>
                            <w:rFonts w:ascii="Arial" w:hAnsi="Arial" w:cs="Arial"/>
                            <w:sz w:val="24"/>
                            <w:szCs w:val="24"/>
                          </w:rPr>
                          <w:t>United Nations’ System of National Accounts</w:t>
                        </w:r>
                      </w:hyperlink>
                      <w:r w:rsidRPr="00BD6508">
                        <w:rPr>
                          <w:rFonts w:ascii="Arial" w:hAnsi="Arial" w:cs="Arial"/>
                          <w:sz w:val="24"/>
                          <w:szCs w:val="24"/>
                        </w:rPr>
                        <w:t xml:space="preserve"> (2008)]; the classification of the levels of government, and the economic and functional classification of expenditures [based on the </w:t>
                      </w:r>
                      <w:hyperlink r:id="rId695" w:history="1">
                        <w:r w:rsidRPr="00BD6508">
                          <w:rPr>
                            <w:rStyle w:val="Hyperlink"/>
                            <w:rFonts w:ascii="Arial" w:hAnsi="Arial" w:cs="Arial"/>
                            <w:sz w:val="24"/>
                            <w:szCs w:val="24"/>
                          </w:rPr>
                          <w:t>U</w:t>
                        </w:r>
                        <w:r>
                          <w:rPr>
                            <w:rStyle w:val="Hyperlink"/>
                            <w:rFonts w:ascii="Arial" w:hAnsi="Arial" w:cs="Arial"/>
                            <w:sz w:val="24"/>
                            <w:szCs w:val="24"/>
                          </w:rPr>
                          <w:t xml:space="preserve">nited </w:t>
                        </w:r>
                        <w:r w:rsidRPr="00BD6508">
                          <w:rPr>
                            <w:rStyle w:val="Hyperlink"/>
                            <w:rFonts w:ascii="Arial" w:hAnsi="Arial" w:cs="Arial"/>
                            <w:sz w:val="24"/>
                            <w:szCs w:val="24"/>
                          </w:rPr>
                          <w:t>N</w:t>
                        </w:r>
                        <w:r>
                          <w:rPr>
                            <w:rStyle w:val="Hyperlink"/>
                            <w:rFonts w:ascii="Arial" w:hAnsi="Arial" w:cs="Arial"/>
                            <w:sz w:val="24"/>
                            <w:szCs w:val="24"/>
                          </w:rPr>
                          <w:t>ations</w:t>
                        </w:r>
                        <w:r w:rsidRPr="00BD6508">
                          <w:rPr>
                            <w:rStyle w:val="Hyperlink"/>
                            <w:rFonts w:ascii="Arial" w:hAnsi="Arial" w:cs="Arial"/>
                            <w:sz w:val="24"/>
                            <w:szCs w:val="24"/>
                          </w:rPr>
                          <w:t xml:space="preserve"> Classification of the Functions of Government</w:t>
                        </w:r>
                      </w:hyperlink>
                      <w:r w:rsidRPr="00BD6508">
                        <w:rPr>
                          <w:rFonts w:ascii="Arial" w:hAnsi="Arial" w:cs="Arial"/>
                          <w:sz w:val="24"/>
                          <w:szCs w:val="24"/>
                        </w:rPr>
                        <w:t xml:space="preserve"> (COFOG)]; and a classification of revenues</w:t>
                      </w:r>
                      <w:r w:rsidRPr="00BD6508">
                        <w:rPr>
                          <w:rFonts w:ascii="Arial" w:hAnsi="Arial" w:cs="Arial"/>
                          <w:sz w:val="24"/>
                          <w:szCs w:val="24"/>
                          <w:lang w:val="en-ZA"/>
                        </w:rPr>
                        <w:t>.</w:t>
                      </w:r>
                    </w:p>
                    <w:p w14:paraId="5B3290F7" w14:textId="06764E0B" w:rsidR="00D15FD8" w:rsidRPr="00BD6508" w:rsidRDefault="00D15FD8" w:rsidP="0092792D">
                      <w:pPr>
                        <w:numPr>
                          <w:ilvl w:val="1"/>
                          <w:numId w:val="95"/>
                        </w:numPr>
                        <w:tabs>
                          <w:tab w:val="clear" w:pos="1440"/>
                        </w:tabs>
                        <w:spacing w:line="276" w:lineRule="auto"/>
                        <w:ind w:left="990" w:hanging="270"/>
                        <w:jc w:val="both"/>
                        <w:rPr>
                          <w:rFonts w:ascii="Arial" w:hAnsi="Arial" w:cs="Arial"/>
                          <w:sz w:val="24"/>
                          <w:szCs w:val="24"/>
                          <w:lang w:val="en-US"/>
                        </w:rPr>
                      </w:pPr>
                      <w:r w:rsidRPr="00BD6508">
                        <w:rPr>
                          <w:rFonts w:ascii="Arial" w:hAnsi="Arial" w:cs="Arial"/>
                          <w:sz w:val="24"/>
                          <w:szCs w:val="24"/>
                          <w:lang w:val="en-ZA"/>
                        </w:rPr>
                        <w:t xml:space="preserve">IMF </w:t>
                      </w:r>
                      <w:hyperlink r:id="rId696" w:history="1">
                        <w:r w:rsidRPr="00BD6508">
                          <w:rPr>
                            <w:rStyle w:val="Hyperlink"/>
                            <w:rFonts w:ascii="Arial" w:hAnsi="Arial" w:cs="Arial"/>
                            <w:sz w:val="24"/>
                            <w:szCs w:val="24"/>
                            <w:lang w:val="en-ZA"/>
                          </w:rPr>
                          <w:t>Standards for Data Dissemination</w:t>
                        </w:r>
                      </w:hyperlink>
                      <w:r w:rsidRPr="00BD6508">
                        <w:rPr>
                          <w:rFonts w:ascii="Arial" w:hAnsi="Arial" w:cs="Arial"/>
                          <w:sz w:val="24"/>
                          <w:szCs w:val="24"/>
                          <w:lang w:val="en-ZA"/>
                        </w:rPr>
                        <w:t xml:space="preserve"> for economic and financial data; and the </w:t>
                      </w:r>
                      <w:hyperlink r:id="rId697" w:history="1">
                        <w:r w:rsidRPr="00BD6508">
                          <w:rPr>
                            <w:rStyle w:val="Hyperlink"/>
                            <w:rFonts w:ascii="Arial" w:hAnsi="Arial" w:cs="Arial"/>
                            <w:sz w:val="24"/>
                            <w:szCs w:val="24"/>
                            <w:lang w:val="en-ZA"/>
                          </w:rPr>
                          <w:t>Special Data Dissemination Standard</w:t>
                        </w:r>
                      </w:hyperlink>
                      <w:r w:rsidRPr="00BD6508">
                        <w:rPr>
                          <w:rFonts w:ascii="Arial" w:hAnsi="Arial" w:cs="Arial"/>
                          <w:sz w:val="24"/>
                          <w:szCs w:val="24"/>
                          <w:lang w:val="en-ZA"/>
                        </w:rPr>
                        <w:t xml:space="preserve"> </w:t>
                      </w:r>
                      <w:r>
                        <w:rPr>
                          <w:rFonts w:ascii="Arial" w:hAnsi="Arial" w:cs="Arial"/>
                          <w:sz w:val="24"/>
                          <w:szCs w:val="24"/>
                          <w:lang w:val="en-ZA"/>
                        </w:rPr>
                        <w:t xml:space="preserve">(SDDS) </w:t>
                      </w:r>
                      <w:r w:rsidRPr="00BD6508">
                        <w:rPr>
                          <w:rFonts w:ascii="Arial" w:hAnsi="Arial" w:cs="Arial"/>
                          <w:sz w:val="24"/>
                          <w:szCs w:val="24"/>
                          <w:lang w:val="en-ZA"/>
                        </w:rPr>
                        <w:t>that sets good practices for data publication in terms of coverage, periodicity, and timeliness; ease of access; integrity; and quality. </w:t>
                      </w:r>
                      <w:r w:rsidRPr="00BD6508">
                        <w:rPr>
                          <w:rFonts w:ascii="Arial" w:hAnsi="Arial" w:cs="Arial"/>
                          <w:iCs/>
                          <w:sz w:val="24"/>
                          <w:szCs w:val="24"/>
                        </w:rPr>
                        <w:t xml:space="preserve">Most countries not subscribing to the SDDS, participate in the General Data Dissemination System (GDDS), or enhanced GDDS, which also provides guidance on the provision of comprehensive, timely, accessible, and reliable statistics to the public. For the fiscal sector, both the SDDS </w:t>
                      </w:r>
                      <w:r w:rsidRPr="00BD6508">
                        <w:rPr>
                          <w:rFonts w:ascii="Arial" w:hAnsi="Arial" w:cs="Arial"/>
                          <w:sz w:val="24"/>
                          <w:szCs w:val="24"/>
                        </w:rPr>
                        <w:t>and</w:t>
                      </w:r>
                      <w:r w:rsidRPr="00BD6508">
                        <w:rPr>
                          <w:rFonts w:ascii="Arial" w:hAnsi="Arial" w:cs="Arial"/>
                          <w:iCs/>
                          <w:sz w:val="24"/>
                          <w:szCs w:val="24"/>
                        </w:rPr>
                        <w:t xml:space="preserve"> GDDS provide detailed guidance on data sets and methodologies pertaining to government operations and gross debt.</w:t>
                      </w:r>
                    </w:p>
                    <w:p w14:paraId="3DF0458C" w14:textId="58703067" w:rsidR="00D15FD8" w:rsidRPr="00BD6508" w:rsidRDefault="00D15FD8" w:rsidP="0092792D">
                      <w:pPr>
                        <w:numPr>
                          <w:ilvl w:val="1"/>
                          <w:numId w:val="95"/>
                        </w:numPr>
                        <w:tabs>
                          <w:tab w:val="clear" w:pos="1440"/>
                        </w:tabs>
                        <w:spacing w:line="276" w:lineRule="auto"/>
                        <w:ind w:left="990" w:hanging="270"/>
                        <w:jc w:val="both"/>
                        <w:rPr>
                          <w:rFonts w:ascii="Arial" w:hAnsi="Arial" w:cs="Arial"/>
                          <w:sz w:val="24"/>
                          <w:szCs w:val="24"/>
                          <w:lang w:val="en-US"/>
                        </w:rPr>
                      </w:pPr>
                      <w:r w:rsidRPr="00BD6508">
                        <w:rPr>
                          <w:rFonts w:ascii="Arial" w:hAnsi="Arial" w:cs="Arial"/>
                          <w:sz w:val="24"/>
                          <w:szCs w:val="24"/>
                          <w:lang w:val="en-ZA"/>
                        </w:rPr>
                        <w:t xml:space="preserve">IMF’s </w:t>
                      </w:r>
                      <w:hyperlink r:id="rId698" w:history="1">
                        <w:r w:rsidRPr="00BD6508">
                          <w:rPr>
                            <w:rStyle w:val="Hyperlink"/>
                            <w:rFonts w:ascii="Arial" w:hAnsi="Arial" w:cs="Arial"/>
                            <w:sz w:val="24"/>
                            <w:szCs w:val="24"/>
                            <w:lang w:val="en-ZA"/>
                          </w:rPr>
                          <w:t>Public Sector Debt Statistics Guide for Compilers and Users</w:t>
                        </w:r>
                      </w:hyperlink>
                      <w:r w:rsidRPr="00BD6508">
                        <w:rPr>
                          <w:rFonts w:ascii="Arial" w:hAnsi="Arial" w:cs="Arial"/>
                          <w:sz w:val="24"/>
                          <w:szCs w:val="24"/>
                          <w:lang w:val="en-ZA"/>
                        </w:rPr>
                        <w:t xml:space="preserve"> (2014) provides guidance on the concepts, definitions, and classifications of public sector debt statistics; as well as how to compile </w:t>
                      </w:r>
                      <w:r>
                        <w:rPr>
                          <w:rFonts w:ascii="Arial" w:hAnsi="Arial" w:cs="Arial"/>
                          <w:sz w:val="24"/>
                          <w:szCs w:val="24"/>
                          <w:lang w:val="en-ZA"/>
                        </w:rPr>
                        <w:t xml:space="preserve">and </w:t>
                      </w:r>
                      <w:r w:rsidRPr="00BD6508">
                        <w:rPr>
                          <w:rFonts w:ascii="Arial" w:hAnsi="Arial" w:cs="Arial"/>
                          <w:sz w:val="24"/>
                          <w:szCs w:val="24"/>
                          <w:lang w:val="en-ZA"/>
                        </w:rPr>
                        <w:t>use the information.</w:t>
                      </w:r>
                      <w:r w:rsidRPr="00BD6508">
                        <w:rPr>
                          <w:rFonts w:ascii="Arial" w:hAnsi="Arial" w:cs="Arial"/>
                          <w:sz w:val="24"/>
                          <w:szCs w:val="24"/>
                          <w:lang w:val="en-US"/>
                        </w:rPr>
                        <w:t xml:space="preserve">      </w:t>
                      </w:r>
                    </w:p>
                    <w:p w14:paraId="45A8E254" w14:textId="387A4A23" w:rsidR="00D15FD8" w:rsidRPr="00BD6508" w:rsidRDefault="00D15FD8" w:rsidP="00BD6508">
                      <w:pPr>
                        <w:pStyle w:val="ListParagraph"/>
                        <w:numPr>
                          <w:ilvl w:val="0"/>
                          <w:numId w:val="96"/>
                        </w:numPr>
                        <w:spacing w:line="276" w:lineRule="auto"/>
                        <w:jc w:val="both"/>
                        <w:rPr>
                          <w:rFonts w:ascii="Arial" w:hAnsi="Arial" w:cs="Arial"/>
                          <w:sz w:val="24"/>
                          <w:szCs w:val="24"/>
                        </w:rPr>
                      </w:pPr>
                      <w:r w:rsidRPr="00BD6508">
                        <w:rPr>
                          <w:rFonts w:ascii="Arial" w:hAnsi="Arial" w:cs="Arial"/>
                          <w:sz w:val="24"/>
                          <w:szCs w:val="24"/>
                          <w:lang w:val="en-ZA"/>
                        </w:rPr>
                        <w:t xml:space="preserve">Accounting standards to prepare information, with it being subject to internal controls, independent assessments, and audit. Relevant accounting standards include the International Public Sector Accounting Standards Board’s </w:t>
                      </w:r>
                      <w:hyperlink r:id="rId699" w:history="1">
                        <w:r w:rsidRPr="00BD6508">
                          <w:rPr>
                            <w:rStyle w:val="Hyperlink"/>
                            <w:rFonts w:ascii="Arial" w:hAnsi="Arial" w:cs="Arial"/>
                            <w:sz w:val="24"/>
                            <w:szCs w:val="24"/>
                            <w:lang w:val="en-ZA"/>
                          </w:rPr>
                          <w:t>2022 Handbook of International Public Sector Accounting Pronouncements</w:t>
                        </w:r>
                      </w:hyperlink>
                      <w:r w:rsidRPr="00BD6508">
                        <w:rPr>
                          <w:rFonts w:ascii="Arial" w:hAnsi="Arial" w:cs="Arial"/>
                          <w:sz w:val="24"/>
                          <w:szCs w:val="24"/>
                          <w:lang w:val="en-ZA"/>
                        </w:rPr>
                        <w:t xml:space="preserve"> that contains accounting standards for public sector entities; and the </w:t>
                      </w:r>
                      <w:hyperlink r:id="rId700" w:history="1">
                        <w:r w:rsidRPr="00BD6508">
                          <w:rPr>
                            <w:rStyle w:val="Hyperlink"/>
                            <w:rFonts w:ascii="Arial" w:hAnsi="Arial" w:cs="Arial"/>
                            <w:sz w:val="24"/>
                            <w:szCs w:val="24"/>
                            <w:lang w:val="en-ZA"/>
                          </w:rPr>
                          <w:t>International Standards of Supreme Auditing Institutions</w:t>
                        </w:r>
                      </w:hyperlink>
                      <w:r w:rsidRPr="00BD6508">
                        <w:rPr>
                          <w:rFonts w:ascii="Arial" w:hAnsi="Arial" w:cs="Arial"/>
                          <w:sz w:val="24"/>
                          <w:szCs w:val="24"/>
                          <w:lang w:val="en-ZA"/>
                        </w:rPr>
                        <w:t xml:space="preserve"> that contains the fundamental principles of public sector auditing. To maintain the comparability of data, any major revisions of historical fiscal data and any changes to data classification should be explained, including why past audited figures may have changed and why audited figures differ substantially from unaudited figures. Data in fiscal reports should also be internally consistent and reconciled with relevant data from other sources, such as that compiled by independent institutions and the private sector.                     </w:t>
                      </w:r>
                      <w:r w:rsidRPr="00BD6508">
                        <w:rPr>
                          <w:rFonts w:ascii="Arial" w:hAnsi="Arial" w:cs="Arial"/>
                          <w:sz w:val="24"/>
                          <w:szCs w:val="24"/>
                          <w:lang w:val="en-US"/>
                        </w:rPr>
                        <w:t xml:space="preserve">               </w:t>
                      </w:r>
                    </w:p>
                    <w:p w14:paraId="1A2FFB7F" w14:textId="77777777" w:rsidR="00D15FD8" w:rsidRPr="00BD6508" w:rsidRDefault="00D15FD8" w:rsidP="00BD6508">
                      <w:pPr>
                        <w:spacing w:line="276" w:lineRule="auto"/>
                        <w:rPr>
                          <w:rFonts w:ascii="Arial" w:hAnsi="Arial" w:cs="Arial"/>
                          <w:sz w:val="24"/>
                          <w:szCs w:val="24"/>
                        </w:rPr>
                      </w:pPr>
                    </w:p>
                  </w:txbxContent>
                </v:textbox>
                <w10:wrap anchory="margin"/>
              </v:shape>
            </w:pict>
          </mc:Fallback>
        </mc:AlternateContent>
      </w:r>
    </w:p>
    <w:p w14:paraId="3CE630DE" w14:textId="5F806E31" w:rsidR="00C1339B" w:rsidRPr="00C1339B" w:rsidRDefault="00C1339B" w:rsidP="00BD6508"/>
    <w:p w14:paraId="62752621" w14:textId="0F3EC796" w:rsidR="00C1339B" w:rsidRPr="00C1339B" w:rsidRDefault="00C1339B" w:rsidP="00BD6508"/>
    <w:p w14:paraId="3A60C518" w14:textId="50C012E3" w:rsidR="00C1339B" w:rsidRPr="00C1339B" w:rsidRDefault="00C1339B" w:rsidP="00BD6508"/>
    <w:p w14:paraId="20A1D716" w14:textId="09464BF5" w:rsidR="00C1339B" w:rsidRPr="00C1339B" w:rsidRDefault="00C1339B" w:rsidP="00BD6508"/>
    <w:p w14:paraId="534D627F" w14:textId="79CA0E2A" w:rsidR="00C1339B" w:rsidRPr="00C1339B" w:rsidRDefault="00C1339B" w:rsidP="00BD6508"/>
    <w:p w14:paraId="5C2B8ABE" w14:textId="74DCC670" w:rsidR="00C1339B" w:rsidRPr="00C1339B" w:rsidRDefault="00C1339B" w:rsidP="00BD6508"/>
    <w:p w14:paraId="19255DA5" w14:textId="1C0E26B7" w:rsidR="00C1339B" w:rsidRPr="00C1339B" w:rsidRDefault="00C1339B" w:rsidP="00BD6508"/>
    <w:p w14:paraId="3C24C114" w14:textId="13346DEB" w:rsidR="00C1339B" w:rsidRPr="00C1339B" w:rsidRDefault="00C1339B" w:rsidP="00BD6508"/>
    <w:p w14:paraId="24D4364F" w14:textId="7C3442B2" w:rsidR="00C1339B" w:rsidRPr="00C1339B" w:rsidRDefault="00C1339B" w:rsidP="00BD6508"/>
    <w:p w14:paraId="7BEFAA3C" w14:textId="3462BE80" w:rsidR="00C1339B" w:rsidRPr="00C1339B" w:rsidRDefault="00C1339B" w:rsidP="00BD6508"/>
    <w:p w14:paraId="4B331455" w14:textId="019FE6EF" w:rsidR="00C1339B" w:rsidRPr="00C1339B" w:rsidRDefault="00C1339B" w:rsidP="00BD6508"/>
    <w:p w14:paraId="6E6B216F" w14:textId="1EEE8B86" w:rsidR="00C1339B" w:rsidRPr="00C1339B" w:rsidRDefault="00C1339B" w:rsidP="00BD6508"/>
    <w:p w14:paraId="406B5DC9" w14:textId="71F9B425" w:rsidR="00C1339B" w:rsidRPr="00C1339B" w:rsidRDefault="00C1339B" w:rsidP="00BD6508"/>
    <w:p w14:paraId="1380DE43" w14:textId="45E695D0" w:rsidR="00C1339B" w:rsidRPr="00C1339B" w:rsidRDefault="002F7246" w:rsidP="00BD6508">
      <w:r>
        <w:rPr>
          <w:noProof/>
          <w:lang w:val="en-US"/>
        </w:rPr>
        <w:drawing>
          <wp:anchor distT="0" distB="0" distL="114300" distR="114300" simplePos="0" relativeHeight="253198334" behindDoc="1" locked="0" layoutInCell="1" allowOverlap="1" wp14:anchorId="3240C9DC" wp14:editId="24FB7A0D">
            <wp:simplePos x="0" y="0"/>
            <wp:positionH relativeFrom="column">
              <wp:posOffset>127000</wp:posOffset>
            </wp:positionH>
            <wp:positionV relativeFrom="margin">
              <wp:posOffset>3564255</wp:posOffset>
            </wp:positionV>
            <wp:extent cx="1206500" cy="1216025"/>
            <wp:effectExtent l="0" t="0" r="0" b="3175"/>
            <wp:wrapTight wrapText="bothSides">
              <wp:wrapPolygon edited="0">
                <wp:start x="8413" y="226"/>
                <wp:lineTo x="7048" y="902"/>
                <wp:lineTo x="2274" y="3609"/>
                <wp:lineTo x="455" y="7896"/>
                <wp:lineTo x="227" y="8798"/>
                <wp:lineTo x="0" y="11505"/>
                <wp:lineTo x="909" y="15114"/>
                <wp:lineTo x="3865" y="19175"/>
                <wp:lineTo x="9095" y="21431"/>
                <wp:lineTo x="12278" y="21431"/>
                <wp:lineTo x="17507" y="19175"/>
                <wp:lineTo x="20236" y="15114"/>
                <wp:lineTo x="21373" y="11505"/>
                <wp:lineTo x="20918" y="7896"/>
                <wp:lineTo x="19326" y="4963"/>
                <wp:lineTo x="18872" y="3609"/>
                <wp:lineTo x="14552" y="902"/>
                <wp:lineTo x="12960" y="226"/>
                <wp:lineTo x="8413" y="226"/>
              </wp:wrapPolygon>
            </wp:wrapTight>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rotWithShape="1">
                    <a:blip r:embed="rId701" cstate="email">
                      <a:extLst>
                        <a:ext uri="{28A0092B-C50C-407E-A947-70E740481C1C}">
                          <a14:useLocalDpi xmlns:a14="http://schemas.microsoft.com/office/drawing/2010/main"/>
                        </a:ext>
                      </a:extLst>
                    </a:blip>
                    <a:srcRect/>
                    <a:stretch/>
                  </pic:blipFill>
                  <pic:spPr bwMode="auto">
                    <a:xfrm>
                      <a:off x="0" y="0"/>
                      <a:ext cx="1206500" cy="121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B6FA9" w14:textId="25078CAC" w:rsidR="00C1339B" w:rsidRPr="00C1339B" w:rsidRDefault="00C1339B" w:rsidP="00BD6508"/>
    <w:p w14:paraId="2DAC7A14" w14:textId="4CD411B4" w:rsidR="00C1339B" w:rsidRPr="00C1339B" w:rsidRDefault="00C1339B" w:rsidP="00BD6508"/>
    <w:p w14:paraId="7EB80852" w14:textId="75241B23" w:rsidR="00C1339B" w:rsidRPr="00C1339B" w:rsidRDefault="00C1339B" w:rsidP="00BD6508"/>
    <w:p w14:paraId="0531F68B" w14:textId="68CBEA77" w:rsidR="00C1339B" w:rsidRPr="00C1339B" w:rsidRDefault="00C1339B" w:rsidP="00BD6508"/>
    <w:p w14:paraId="71EECB5E" w14:textId="366E70B5" w:rsidR="00C1339B" w:rsidRPr="00C1339B" w:rsidRDefault="00C1339B" w:rsidP="00BD6508"/>
    <w:p w14:paraId="2BF10DB5" w14:textId="43BFAFA3" w:rsidR="00C1339B" w:rsidRPr="00C1339B" w:rsidRDefault="00C1339B" w:rsidP="00BD6508"/>
    <w:p w14:paraId="0D81B0AD" w14:textId="1390F49D" w:rsidR="00C1339B" w:rsidRPr="00C1339B" w:rsidRDefault="00C1339B" w:rsidP="00BD6508"/>
    <w:p w14:paraId="5DBB90CA" w14:textId="74865B0B" w:rsidR="00C1339B" w:rsidRPr="00C1339B" w:rsidRDefault="002F7246" w:rsidP="00BD6508">
      <w:r>
        <w:rPr>
          <w:noProof/>
          <w:lang w:val="en-US"/>
        </w:rPr>
        <mc:AlternateContent>
          <mc:Choice Requires="wps">
            <w:drawing>
              <wp:anchor distT="0" distB="0" distL="114300" distR="114300" simplePos="0" relativeHeight="253202430" behindDoc="0" locked="0" layoutInCell="1" allowOverlap="1" wp14:anchorId="67962EBB" wp14:editId="5489CE75">
                <wp:simplePos x="0" y="0"/>
                <wp:positionH relativeFrom="column">
                  <wp:posOffset>76200</wp:posOffset>
                </wp:positionH>
                <wp:positionV relativeFrom="paragraph">
                  <wp:posOffset>133985</wp:posOffset>
                </wp:positionV>
                <wp:extent cx="1320800" cy="711200"/>
                <wp:effectExtent l="0" t="0" r="0" b="0"/>
                <wp:wrapNone/>
                <wp:docPr id="723" name="Text Box 723"/>
                <wp:cNvGraphicFramePr/>
                <a:graphic xmlns:a="http://schemas.openxmlformats.org/drawingml/2006/main">
                  <a:graphicData uri="http://schemas.microsoft.com/office/word/2010/wordprocessingShape">
                    <wps:wsp>
                      <wps:cNvSpPr txBox="1"/>
                      <wps:spPr>
                        <a:xfrm>
                          <a:off x="0" y="0"/>
                          <a:ext cx="1320800" cy="711200"/>
                        </a:xfrm>
                        <a:prstGeom prst="rect">
                          <a:avLst/>
                        </a:prstGeom>
                        <a:noFill/>
                        <a:ln w="6350">
                          <a:noFill/>
                        </a:ln>
                      </wps:spPr>
                      <wps:txbx>
                        <w:txbxContent>
                          <w:p w14:paraId="6FCD6CD2" w14:textId="0BBB759E"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62EBB" id="Text Box 723" o:spid="_x0000_s1396" type="#_x0000_t202" style="position:absolute;margin-left:6pt;margin-top:10.55pt;width:104pt;height:56pt;z-index:253202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" filled="f" stroked="f" strokeweight=".5pt">
                <v:textbox>
                  <w:txbxContent>
                    <w:p w14:paraId="6FCD6CD2" w14:textId="0BBB759E"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v:textbox>
              </v:shape>
            </w:pict>
          </mc:Fallback>
        </mc:AlternateContent>
      </w:r>
    </w:p>
    <w:p w14:paraId="62AB66D7" w14:textId="0D17B403" w:rsidR="00C1339B" w:rsidRPr="00C1339B" w:rsidRDefault="00C1339B" w:rsidP="00BD6508"/>
    <w:p w14:paraId="4D219D18" w14:textId="3AD5010C" w:rsidR="00C1339B" w:rsidRPr="00C1339B" w:rsidRDefault="00C1339B" w:rsidP="00BD6508"/>
    <w:p w14:paraId="67A20899" w14:textId="60388E3A" w:rsidR="00C1339B" w:rsidRPr="00C1339B" w:rsidRDefault="00C1339B" w:rsidP="00BD6508"/>
    <w:p w14:paraId="3F1C7902" w14:textId="39257F65" w:rsidR="00C1339B" w:rsidRPr="00C1339B" w:rsidRDefault="00C1339B" w:rsidP="00BD6508"/>
    <w:p w14:paraId="3A3232E3" w14:textId="0978A609" w:rsidR="00C1339B" w:rsidRPr="00C1339B" w:rsidRDefault="00C1339B" w:rsidP="00BD6508"/>
    <w:p w14:paraId="7BC00886" w14:textId="4E6436B3" w:rsidR="00C1339B" w:rsidRPr="00C1339B" w:rsidRDefault="00C1339B" w:rsidP="00BD6508"/>
    <w:p w14:paraId="48CD6558" w14:textId="73D0960F" w:rsidR="00C1339B" w:rsidRPr="00C1339B" w:rsidRDefault="00C1339B" w:rsidP="00BD6508"/>
    <w:p w14:paraId="7B8CA92F" w14:textId="4EBA7455" w:rsidR="00C1339B" w:rsidRPr="00C1339B" w:rsidRDefault="00C1339B" w:rsidP="00BD6508"/>
    <w:p w14:paraId="5A515B78" w14:textId="7E2EF7D6" w:rsidR="00C1339B" w:rsidRPr="00C1339B" w:rsidRDefault="00C1339B" w:rsidP="00BD6508"/>
    <w:p w14:paraId="6AE6C680" w14:textId="3259FCC9" w:rsidR="00C1339B" w:rsidRPr="00C1339B" w:rsidRDefault="00C1339B" w:rsidP="00BD6508"/>
    <w:p w14:paraId="41436E3B" w14:textId="52E8A4A6" w:rsidR="00C1339B" w:rsidRPr="00C1339B" w:rsidRDefault="00C1339B" w:rsidP="00BD6508"/>
    <w:p w14:paraId="42015EA1" w14:textId="499816A9" w:rsidR="00C1339B" w:rsidRPr="00C1339B" w:rsidRDefault="00C1339B" w:rsidP="00BD6508"/>
    <w:p w14:paraId="6AAA38DE" w14:textId="1F5496EF" w:rsidR="00C1339B" w:rsidRPr="00C1339B" w:rsidRDefault="00C1339B" w:rsidP="00BD6508"/>
    <w:p w14:paraId="0B2F1316" w14:textId="27FBF8AD" w:rsidR="00C1339B" w:rsidRPr="00C1339B" w:rsidRDefault="00C1339B" w:rsidP="00BD6508"/>
    <w:p w14:paraId="087FDBD8" w14:textId="2C219C86" w:rsidR="00C1339B" w:rsidRPr="00C1339B" w:rsidRDefault="00C1339B" w:rsidP="00BD6508"/>
    <w:p w14:paraId="207E9D38" w14:textId="34622D55" w:rsidR="00C1339B" w:rsidRPr="00C1339B" w:rsidRDefault="00C1339B" w:rsidP="00BD6508"/>
    <w:p w14:paraId="3571F45D" w14:textId="6FB86F7F" w:rsidR="00C1339B" w:rsidRPr="00C1339B" w:rsidRDefault="00C1339B" w:rsidP="00BD6508"/>
    <w:p w14:paraId="119A4191" w14:textId="65D216D7" w:rsidR="00C1339B" w:rsidRPr="00C1339B" w:rsidRDefault="00C1339B" w:rsidP="00BD6508"/>
    <w:p w14:paraId="47C314AA" w14:textId="21FCA071" w:rsidR="00C1339B" w:rsidRPr="00C1339B" w:rsidRDefault="00C1339B" w:rsidP="00BD6508"/>
    <w:p w14:paraId="73A3CAFE" w14:textId="6DAF5819" w:rsidR="00C1339B" w:rsidRPr="00C1339B" w:rsidRDefault="00C1339B" w:rsidP="00BD6508"/>
    <w:p w14:paraId="7AD3B196" w14:textId="2650C719" w:rsidR="00C1339B" w:rsidRPr="00C1339B" w:rsidRDefault="00C1339B" w:rsidP="00BD6508"/>
    <w:p w14:paraId="03F2CA73" w14:textId="144D5261" w:rsidR="00C1339B" w:rsidRPr="00C1339B" w:rsidRDefault="00C1339B" w:rsidP="00BD6508"/>
    <w:p w14:paraId="755E1A58" w14:textId="36258A45" w:rsidR="00C1339B" w:rsidRPr="00C1339B" w:rsidRDefault="00C1339B" w:rsidP="00BD6508"/>
    <w:p w14:paraId="59364CE9" w14:textId="13316A4D" w:rsidR="00C1339B" w:rsidRPr="00C1339B" w:rsidRDefault="00C1339B" w:rsidP="00BD6508"/>
    <w:p w14:paraId="69C7D5C6" w14:textId="326109E9" w:rsidR="00C1339B" w:rsidRPr="00C1339B" w:rsidRDefault="00C1339B" w:rsidP="00BD6508"/>
    <w:p w14:paraId="4FC60895" w14:textId="2B1A86DE" w:rsidR="00C1339B" w:rsidRPr="00C1339B" w:rsidRDefault="00C1339B" w:rsidP="00BD6508"/>
    <w:p w14:paraId="0189948D" w14:textId="0A9A8EA3" w:rsidR="00C1339B" w:rsidRPr="00C1339B" w:rsidRDefault="00C1339B" w:rsidP="00BD6508">
      <w:r>
        <w:rPr>
          <w:noProof/>
          <w:lang w:val="en-US"/>
        </w:rPr>
        <mc:AlternateContent>
          <mc:Choice Requires="wps">
            <w:drawing>
              <wp:anchor distT="0" distB="0" distL="114300" distR="114300" simplePos="0" relativeHeight="253212670" behindDoc="0" locked="0" layoutInCell="1" allowOverlap="1" wp14:anchorId="56829772" wp14:editId="05106629">
                <wp:simplePos x="0" y="0"/>
                <wp:positionH relativeFrom="column">
                  <wp:posOffset>1549400</wp:posOffset>
                </wp:positionH>
                <wp:positionV relativeFrom="margin">
                  <wp:posOffset>194945</wp:posOffset>
                </wp:positionV>
                <wp:extent cx="5168900" cy="1524000"/>
                <wp:effectExtent l="0" t="0" r="0" b="0"/>
                <wp:wrapNone/>
                <wp:docPr id="758" name="Text Box 758"/>
                <wp:cNvGraphicFramePr/>
                <a:graphic xmlns:a="http://schemas.openxmlformats.org/drawingml/2006/main">
                  <a:graphicData uri="http://schemas.microsoft.com/office/word/2010/wordprocessingShape">
                    <wps:wsp>
                      <wps:cNvSpPr txBox="1"/>
                      <wps:spPr>
                        <a:xfrm>
                          <a:off x="0" y="0"/>
                          <a:ext cx="5168900" cy="1524000"/>
                        </a:xfrm>
                        <a:prstGeom prst="rect">
                          <a:avLst/>
                        </a:prstGeom>
                        <a:solidFill>
                          <a:schemeClr val="lt1"/>
                        </a:solidFill>
                        <a:ln w="6350">
                          <a:noFill/>
                        </a:ln>
                      </wps:spPr>
                      <wps:txbx>
                        <w:txbxContent>
                          <w:p w14:paraId="4C4FD141" w14:textId="719E1B14" w:rsidR="00D15FD8" w:rsidRPr="00BD6508" w:rsidRDefault="00D15FD8" w:rsidP="00BD6508">
                            <w:pPr>
                              <w:spacing w:line="276" w:lineRule="auto"/>
                              <w:ind w:left="720"/>
                              <w:jc w:val="both"/>
                              <w:rPr>
                                <w:rFonts w:ascii="Arial" w:hAnsi="Arial" w:cs="Arial"/>
                                <w:sz w:val="24"/>
                                <w:szCs w:val="24"/>
                              </w:rPr>
                            </w:pPr>
                            <w:r w:rsidRPr="00BD6508">
                              <w:rPr>
                                <w:rFonts w:ascii="Arial" w:hAnsi="Arial" w:cs="Arial"/>
                                <w:sz w:val="24"/>
                                <w:szCs w:val="24"/>
                                <w:lang w:val="en-ZA"/>
                              </w:rPr>
                              <w:t xml:space="preserve">data, any major revisions of historical fiscal data and any changes to data classification should be explained, including why past audited figures may have changed and why audited figures differ substantially from unaudited figures. Data in fiscal reports should also be internally consistent and reconciled with relevant data from other sources, such as that compiled by independent institutions and the private sector.                     </w:t>
                            </w:r>
                            <w:r w:rsidRPr="00BD6508">
                              <w:rPr>
                                <w:rFonts w:ascii="Arial" w:hAnsi="Arial" w:cs="Arial"/>
                                <w:sz w:val="24"/>
                                <w:szCs w:val="24"/>
                                <w:lang w:val="en-US"/>
                              </w:rPr>
                              <w:t xml:space="preserve">               </w:t>
                            </w:r>
                          </w:p>
                          <w:p w14:paraId="2D1B995C" w14:textId="77777777" w:rsidR="00D15FD8" w:rsidRPr="00BD6508" w:rsidRDefault="00D15FD8" w:rsidP="00BD6508">
                            <w:pPr>
                              <w:spacing w:line="276" w:lineRule="auto"/>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29772" id="Text Box 758" o:spid="_x0000_s1397" type="#_x0000_t202" style="position:absolute;margin-left:122pt;margin-top:15.35pt;width:407pt;height:120pt;z-index:25321267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" fillcolor="white [3201]" stroked="f" strokeweight=".5pt">
                <v:textbox>
                  <w:txbxContent>
                    <w:p w14:paraId="4C4FD141" w14:textId="719E1B14" w:rsidR="00D15FD8" w:rsidRPr="00BD6508" w:rsidRDefault="00D15FD8" w:rsidP="00BD6508">
                      <w:pPr>
                        <w:spacing w:line="276" w:lineRule="auto"/>
                        <w:ind w:left="720"/>
                        <w:jc w:val="both"/>
                        <w:rPr>
                          <w:rFonts w:ascii="Arial" w:hAnsi="Arial" w:cs="Arial"/>
                          <w:sz w:val="24"/>
                          <w:szCs w:val="24"/>
                        </w:rPr>
                      </w:pPr>
                      <w:r w:rsidRPr="00BD6508">
                        <w:rPr>
                          <w:rFonts w:ascii="Arial" w:hAnsi="Arial" w:cs="Arial"/>
                          <w:sz w:val="24"/>
                          <w:szCs w:val="24"/>
                          <w:lang w:val="en-ZA"/>
                        </w:rPr>
                        <w:t xml:space="preserve">data, any major revisions of historical fiscal data and any changes to data classification should be explained, including why past audited figures may have changed and why audited figures differ substantially from unaudited figures. Data in fiscal reports should also be internally consistent and reconciled with relevant data from other sources, such as that compiled by independent institutions and the private sector.                     </w:t>
                      </w:r>
                      <w:r w:rsidRPr="00BD6508">
                        <w:rPr>
                          <w:rFonts w:ascii="Arial" w:hAnsi="Arial" w:cs="Arial"/>
                          <w:sz w:val="24"/>
                          <w:szCs w:val="24"/>
                          <w:lang w:val="en-US"/>
                        </w:rPr>
                        <w:t xml:space="preserve">               </w:t>
                      </w:r>
                    </w:p>
                    <w:p w14:paraId="2D1B995C" w14:textId="77777777" w:rsidR="00D15FD8" w:rsidRPr="00BD6508" w:rsidRDefault="00D15FD8" w:rsidP="00BD6508">
                      <w:pPr>
                        <w:spacing w:line="276" w:lineRule="auto"/>
                        <w:rPr>
                          <w:rFonts w:ascii="Arial" w:hAnsi="Arial" w:cs="Arial"/>
                          <w:sz w:val="24"/>
                          <w:szCs w:val="24"/>
                        </w:rPr>
                      </w:pPr>
                    </w:p>
                  </w:txbxContent>
                </v:textbox>
                <w10:wrap anchory="margin"/>
              </v:shape>
            </w:pict>
          </mc:Fallback>
        </mc:AlternateContent>
      </w:r>
    </w:p>
    <w:p w14:paraId="2CCBB861" w14:textId="169C70A8" w:rsidR="00C1339B" w:rsidRPr="00C1339B" w:rsidRDefault="00C1339B" w:rsidP="00BD6508"/>
    <w:p w14:paraId="5B573FDA" w14:textId="78451515" w:rsidR="00C1339B" w:rsidRDefault="00C1339B" w:rsidP="00C1339B">
      <w:pPr>
        <w:jc w:val="center"/>
      </w:pPr>
    </w:p>
    <w:p w14:paraId="0D46CAA8" w14:textId="6D71DF29" w:rsidR="00C1339B" w:rsidRDefault="00C1339B" w:rsidP="00C1339B">
      <w:pPr>
        <w:jc w:val="center"/>
      </w:pPr>
    </w:p>
    <w:p w14:paraId="2ADE7987" w14:textId="08E1E4A6" w:rsidR="00C1339B" w:rsidRPr="00C1339B" w:rsidRDefault="00C1339B" w:rsidP="00BD6508">
      <w:r>
        <w:rPr>
          <w:noProof/>
          <w:lang w:val="en-US"/>
        </w:rPr>
        <mc:AlternateContent>
          <mc:Choice Requires="wps">
            <w:drawing>
              <wp:anchor distT="0" distB="0" distL="114300" distR="114300" simplePos="0" relativeHeight="253204478" behindDoc="1" locked="0" layoutInCell="1" allowOverlap="1" wp14:anchorId="6740EA35" wp14:editId="4065E179">
                <wp:simplePos x="0" y="0"/>
                <wp:positionH relativeFrom="margin">
                  <wp:posOffset>0</wp:posOffset>
                </wp:positionH>
                <wp:positionV relativeFrom="margin">
                  <wp:posOffset>164465</wp:posOffset>
                </wp:positionV>
                <wp:extent cx="1447800" cy="8966200"/>
                <wp:effectExtent l="0" t="0" r="0" b="0"/>
                <wp:wrapTight wrapText="bothSides">
                  <wp:wrapPolygon edited="0">
                    <wp:start x="568" y="0"/>
                    <wp:lineTo x="0" y="92"/>
                    <wp:lineTo x="0" y="21447"/>
                    <wp:lineTo x="189" y="21539"/>
                    <wp:lineTo x="568" y="21569"/>
                    <wp:lineTo x="20842" y="21569"/>
                    <wp:lineTo x="21221" y="21539"/>
                    <wp:lineTo x="21411" y="21447"/>
                    <wp:lineTo x="21411" y="92"/>
                    <wp:lineTo x="20842" y="0"/>
                    <wp:lineTo x="568" y="0"/>
                  </wp:wrapPolygon>
                </wp:wrapTight>
                <wp:docPr id="724" name="Rounded Rectangle 724"/>
                <wp:cNvGraphicFramePr/>
                <a:graphic xmlns:a="http://schemas.openxmlformats.org/drawingml/2006/main">
                  <a:graphicData uri="http://schemas.microsoft.com/office/word/2010/wordprocessingShape">
                    <wps:wsp>
                      <wps:cNvSpPr/>
                      <wps:spPr>
                        <a:xfrm>
                          <a:off x="0" y="0"/>
                          <a:ext cx="1447800" cy="8966200"/>
                        </a:xfrm>
                        <a:prstGeom prst="roundRect">
                          <a:avLst>
                            <a:gd name="adj" fmla="val 7277"/>
                          </a:avLst>
                        </a:prstGeom>
                        <a:solidFill>
                          <a:srgbClr val="F39C32"/>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FE7A5EB" id="Rounded Rectangle 724" o:spid="_x0000_s1026" style="position:absolute;margin-left:0;margin-top:12.95pt;width:114pt;height:706pt;z-index:-25011200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" fillcolor="#f39c32" stroked="f" strokeweight="2.25pt">
                <v:stroke joinstyle="miter"/>
                <w10:wrap type="tight" anchorx="margin" anchory="margin"/>
              </v:roundrect>
            </w:pict>
          </mc:Fallback>
        </mc:AlternateContent>
      </w:r>
      <w:r>
        <w:rPr>
          <w:noProof/>
          <w:lang w:val="en-US"/>
        </w:rPr>
        <w:drawing>
          <wp:anchor distT="0" distB="0" distL="114300" distR="114300" simplePos="0" relativeHeight="253205502" behindDoc="1" locked="0" layoutInCell="1" allowOverlap="1" wp14:anchorId="1F87C037" wp14:editId="35E5CEFB">
            <wp:simplePos x="0" y="0"/>
            <wp:positionH relativeFrom="column">
              <wp:posOffset>114300</wp:posOffset>
            </wp:positionH>
            <wp:positionV relativeFrom="margin">
              <wp:posOffset>3593465</wp:posOffset>
            </wp:positionV>
            <wp:extent cx="1206500" cy="1216025"/>
            <wp:effectExtent l="0" t="0" r="0" b="3175"/>
            <wp:wrapTight wrapText="bothSides">
              <wp:wrapPolygon edited="0">
                <wp:start x="8413" y="226"/>
                <wp:lineTo x="7048" y="902"/>
                <wp:lineTo x="2274" y="3609"/>
                <wp:lineTo x="455" y="7896"/>
                <wp:lineTo x="227" y="8798"/>
                <wp:lineTo x="0" y="11505"/>
                <wp:lineTo x="909" y="15114"/>
                <wp:lineTo x="3865" y="19175"/>
                <wp:lineTo x="9095" y="21431"/>
                <wp:lineTo x="12278" y="21431"/>
                <wp:lineTo x="17507" y="19175"/>
                <wp:lineTo x="20236" y="15114"/>
                <wp:lineTo x="21373" y="11505"/>
                <wp:lineTo x="20918" y="7896"/>
                <wp:lineTo x="19326" y="4963"/>
                <wp:lineTo x="18872" y="3609"/>
                <wp:lineTo x="14552" y="902"/>
                <wp:lineTo x="12960" y="226"/>
                <wp:lineTo x="8413" y="226"/>
              </wp:wrapPolygon>
            </wp:wrapTight>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rotWithShape="1">
                    <a:blip r:embed="rId701" cstate="email">
                      <a:extLst>
                        <a:ext uri="{28A0092B-C50C-407E-A947-70E740481C1C}">
                          <a14:useLocalDpi xmlns:a14="http://schemas.microsoft.com/office/drawing/2010/main"/>
                        </a:ext>
                      </a:extLst>
                    </a:blip>
                    <a:srcRect/>
                    <a:stretch/>
                  </pic:blipFill>
                  <pic:spPr bwMode="auto">
                    <a:xfrm>
                      <a:off x="0" y="0"/>
                      <a:ext cx="1206500" cy="121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00EFE7" w14:textId="5F561AF7" w:rsidR="00C1339B" w:rsidRDefault="00C1339B" w:rsidP="00C1339B"/>
    <w:p w14:paraId="4E86A608" w14:textId="7E616BA7" w:rsidR="00C1339B" w:rsidRPr="00C1339B" w:rsidRDefault="00C1339B" w:rsidP="00C1339B"/>
    <w:p w14:paraId="7A6BD4B6" w14:textId="15CC4261" w:rsidR="00C1339B" w:rsidRPr="00C1339B" w:rsidRDefault="00C1339B" w:rsidP="00C1339B"/>
    <w:p w14:paraId="581B4B3E" w14:textId="21D84218" w:rsidR="00C1339B" w:rsidRPr="00C1339B" w:rsidRDefault="00C1339B" w:rsidP="00C1339B"/>
    <w:p w14:paraId="077DF39A" w14:textId="5E67B8ED" w:rsidR="00C1339B" w:rsidRPr="00C1339B" w:rsidRDefault="00C1339B" w:rsidP="00C1339B">
      <w:r>
        <w:rPr>
          <w:noProof/>
          <w:lang w:val="en-US"/>
        </w:rPr>
        <w:drawing>
          <wp:anchor distT="0" distB="0" distL="114300" distR="114300" simplePos="0" relativeHeight="253214718" behindDoc="1" locked="0" layoutInCell="1" allowOverlap="1" wp14:anchorId="1346C548" wp14:editId="109AD4D6">
            <wp:simplePos x="0" y="0"/>
            <wp:positionH relativeFrom="column">
              <wp:posOffset>1663700</wp:posOffset>
            </wp:positionH>
            <wp:positionV relativeFrom="paragraph">
              <wp:posOffset>53975</wp:posOffset>
            </wp:positionV>
            <wp:extent cx="4991100" cy="1097915"/>
            <wp:effectExtent l="0" t="0" r="0" b="0"/>
            <wp:wrapTight wrapText="bothSides">
              <wp:wrapPolygon edited="0">
                <wp:start x="4342" y="1249"/>
                <wp:lineTo x="2034" y="2249"/>
                <wp:lineTo x="495" y="3748"/>
                <wp:lineTo x="495" y="5747"/>
                <wp:lineTo x="275" y="7496"/>
                <wp:lineTo x="55" y="9744"/>
                <wp:lineTo x="110" y="13742"/>
                <wp:lineTo x="605" y="17740"/>
                <wp:lineTo x="660" y="17990"/>
                <wp:lineTo x="1429" y="19988"/>
                <wp:lineTo x="1539" y="20488"/>
                <wp:lineTo x="21270" y="20488"/>
                <wp:lineTo x="21325" y="19988"/>
                <wp:lineTo x="21435" y="17740"/>
                <wp:lineTo x="21545" y="6496"/>
                <wp:lineTo x="20666" y="6246"/>
                <wp:lineTo x="4507" y="5747"/>
                <wp:lineTo x="4837" y="4747"/>
                <wp:lineTo x="4892" y="3248"/>
                <wp:lineTo x="4617" y="1249"/>
                <wp:lineTo x="4342" y="1249"/>
              </wp:wrapPolygon>
            </wp:wrapTight>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684" cstate="email">
                      <a:extLst>
                        <a:ext uri="{28A0092B-C50C-407E-A947-70E740481C1C}">
                          <a14:useLocalDpi xmlns:a14="http://schemas.microsoft.com/office/drawing/2010/main"/>
                        </a:ext>
                      </a:extLst>
                    </a:blip>
                    <a:srcRect/>
                    <a:stretch/>
                  </pic:blipFill>
                  <pic:spPr bwMode="auto">
                    <a:xfrm>
                      <a:off x="0" y="0"/>
                      <a:ext cx="4991100" cy="109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61E34" w14:textId="17B6B54B" w:rsidR="00C1339B" w:rsidRPr="00C1339B" w:rsidRDefault="00C1339B" w:rsidP="00C1339B">
      <w:r>
        <w:rPr>
          <w:noProof/>
          <w:lang w:val="en-US"/>
        </w:rPr>
        <mc:AlternateContent>
          <mc:Choice Requires="wps">
            <w:drawing>
              <wp:anchor distT="0" distB="0" distL="114300" distR="114300" simplePos="0" relativeHeight="253215742" behindDoc="0" locked="0" layoutInCell="1" allowOverlap="1" wp14:anchorId="4FFA6375" wp14:editId="7CA42DBE">
                <wp:simplePos x="0" y="0"/>
                <wp:positionH relativeFrom="column">
                  <wp:posOffset>2908300</wp:posOffset>
                </wp:positionH>
                <wp:positionV relativeFrom="paragraph">
                  <wp:posOffset>391795</wp:posOffset>
                </wp:positionV>
                <wp:extent cx="2832100" cy="381000"/>
                <wp:effectExtent l="0" t="0" r="0" b="0"/>
                <wp:wrapNone/>
                <wp:docPr id="766" name="Text Box 766"/>
                <wp:cNvGraphicFramePr/>
                <a:graphic xmlns:a="http://schemas.openxmlformats.org/drawingml/2006/main">
                  <a:graphicData uri="http://schemas.microsoft.com/office/word/2010/wordprocessingShape">
                    <wps:wsp>
                      <wps:cNvSpPr txBox="1"/>
                      <wps:spPr>
                        <a:xfrm>
                          <a:off x="0" y="0"/>
                          <a:ext cx="2832100" cy="381000"/>
                        </a:xfrm>
                        <a:prstGeom prst="rect">
                          <a:avLst/>
                        </a:prstGeom>
                        <a:noFill/>
                        <a:ln w="6350">
                          <a:noFill/>
                        </a:ln>
                      </wps:spPr>
                      <wps:txbx>
                        <w:txbxContent>
                          <w:p w14:paraId="4D0612D5" w14:textId="6C8F4B7C" w:rsidR="00D15FD8" w:rsidRPr="00BD6508" w:rsidRDefault="00D15FD8" w:rsidP="00C1339B">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Comprehensive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FA6375" id="Text Box 766" o:spid="_x0000_s1398" type="#_x0000_t202" style="position:absolute;margin-left:229pt;margin-top:30.85pt;width:223pt;height:30pt;z-index:2532157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" filled="f" stroked="f" strokeweight=".5pt">
                <v:textbox>
                  <w:txbxContent>
                    <w:p w14:paraId="4D0612D5" w14:textId="6C8F4B7C" w:rsidR="00D15FD8" w:rsidRPr="00BD6508" w:rsidRDefault="00D15FD8" w:rsidP="00C1339B">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Comprehensive</w:t>
                      </w:r>
                    </w:p>
                  </w:txbxContent>
                </v:textbox>
              </v:shape>
            </w:pict>
          </mc:Fallback>
        </mc:AlternateContent>
      </w:r>
    </w:p>
    <w:p w14:paraId="6038BA70" w14:textId="7296EE34" w:rsidR="00C1339B" w:rsidRDefault="00C1339B" w:rsidP="00C1339B">
      <w:r>
        <w:rPr>
          <w:noProof/>
          <w:lang w:val="en-US"/>
        </w:rPr>
        <w:drawing>
          <wp:anchor distT="0" distB="0" distL="114300" distR="114300" simplePos="0" relativeHeight="253217790" behindDoc="1" locked="0" layoutInCell="1" allowOverlap="1" wp14:anchorId="5686FB5E" wp14:editId="5D89BF70">
            <wp:simplePos x="0" y="0"/>
            <wp:positionH relativeFrom="column">
              <wp:posOffset>1689100</wp:posOffset>
            </wp:positionH>
            <wp:positionV relativeFrom="paragraph">
              <wp:posOffset>807085</wp:posOffset>
            </wp:positionV>
            <wp:extent cx="4991100" cy="1097915"/>
            <wp:effectExtent l="0" t="0" r="0" b="0"/>
            <wp:wrapTight wrapText="bothSides">
              <wp:wrapPolygon edited="0">
                <wp:start x="4342" y="1249"/>
                <wp:lineTo x="2034" y="2249"/>
                <wp:lineTo x="495" y="3748"/>
                <wp:lineTo x="495" y="5747"/>
                <wp:lineTo x="275" y="7496"/>
                <wp:lineTo x="55" y="9744"/>
                <wp:lineTo x="110" y="13742"/>
                <wp:lineTo x="605" y="17740"/>
                <wp:lineTo x="660" y="17990"/>
                <wp:lineTo x="1429" y="19988"/>
                <wp:lineTo x="1539" y="20488"/>
                <wp:lineTo x="21270" y="20488"/>
                <wp:lineTo x="21325" y="19988"/>
                <wp:lineTo x="21435" y="17740"/>
                <wp:lineTo x="21545" y="6496"/>
                <wp:lineTo x="20666" y="6246"/>
                <wp:lineTo x="4507" y="5747"/>
                <wp:lineTo x="4837" y="4747"/>
                <wp:lineTo x="4892" y="3248"/>
                <wp:lineTo x="4617" y="1249"/>
                <wp:lineTo x="4342" y="1249"/>
              </wp:wrapPolygon>
            </wp:wrapTight>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684" cstate="email">
                      <a:extLst>
                        <a:ext uri="{28A0092B-C50C-407E-A947-70E740481C1C}">
                          <a14:useLocalDpi xmlns:a14="http://schemas.microsoft.com/office/drawing/2010/main"/>
                        </a:ext>
                      </a:extLst>
                    </a:blip>
                    <a:srcRect/>
                    <a:stretch/>
                  </pic:blipFill>
                  <pic:spPr bwMode="auto">
                    <a:xfrm>
                      <a:off x="0" y="0"/>
                      <a:ext cx="4991100" cy="109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F8A1F" w14:textId="246C4217" w:rsidR="00C1339B" w:rsidRDefault="00057172" w:rsidP="00C1339B">
      <w:pPr>
        <w:ind w:firstLine="720"/>
      </w:pPr>
      <w:r>
        <w:rPr>
          <w:noProof/>
          <w:lang w:val="en-US"/>
        </w:rPr>
        <mc:AlternateContent>
          <mc:Choice Requires="wps">
            <w:drawing>
              <wp:anchor distT="0" distB="0" distL="114300" distR="114300" simplePos="0" relativeHeight="253218814" behindDoc="0" locked="0" layoutInCell="1" allowOverlap="1" wp14:anchorId="53D5F282" wp14:editId="5279C88B">
                <wp:simplePos x="0" y="0"/>
                <wp:positionH relativeFrom="column">
                  <wp:posOffset>2933700</wp:posOffset>
                </wp:positionH>
                <wp:positionV relativeFrom="paragraph">
                  <wp:posOffset>462915</wp:posOffset>
                </wp:positionV>
                <wp:extent cx="2832100" cy="381000"/>
                <wp:effectExtent l="0" t="0" r="0" b="0"/>
                <wp:wrapNone/>
                <wp:docPr id="1408" name="Text Box 1408"/>
                <wp:cNvGraphicFramePr/>
                <a:graphic xmlns:a="http://schemas.openxmlformats.org/drawingml/2006/main">
                  <a:graphicData uri="http://schemas.microsoft.com/office/word/2010/wordprocessingShape">
                    <wps:wsp>
                      <wps:cNvSpPr txBox="1"/>
                      <wps:spPr>
                        <a:xfrm>
                          <a:off x="0" y="0"/>
                          <a:ext cx="2832100" cy="381000"/>
                        </a:xfrm>
                        <a:prstGeom prst="rect">
                          <a:avLst/>
                        </a:prstGeom>
                        <a:noFill/>
                        <a:ln w="6350">
                          <a:noFill/>
                        </a:ln>
                      </wps:spPr>
                      <wps:txbx>
                        <w:txbxContent>
                          <w:p w14:paraId="2AFD673F" w14:textId="38115207" w:rsidR="00D15FD8" w:rsidRPr="00BD6508" w:rsidRDefault="00D15FD8" w:rsidP="00C1339B">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Timely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D5F282" id="Text Box 1408" o:spid="_x0000_s1399" type="#_x0000_t202" style="position:absolute;left:0;text-align:left;margin-left:231pt;margin-top:36.45pt;width:223pt;height:30pt;z-index:2532188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" filled="f" stroked="f" strokeweight=".5pt">
                <v:textbox>
                  <w:txbxContent>
                    <w:p w14:paraId="2AFD673F" w14:textId="38115207" w:rsidR="00D15FD8" w:rsidRPr="00BD6508" w:rsidRDefault="00D15FD8" w:rsidP="00C1339B">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Timely</w:t>
                      </w:r>
                    </w:p>
                  </w:txbxContent>
                </v:textbox>
              </v:shape>
            </w:pict>
          </mc:Fallback>
        </mc:AlternateContent>
      </w:r>
      <w:r w:rsidR="00C1339B">
        <w:rPr>
          <w:noProof/>
          <w:lang w:val="en-US"/>
        </w:rPr>
        <mc:AlternateContent>
          <mc:Choice Requires="wps">
            <w:drawing>
              <wp:anchor distT="0" distB="0" distL="114300" distR="114300" simplePos="0" relativeHeight="253220862" behindDoc="0" locked="0" layoutInCell="1" allowOverlap="1" wp14:anchorId="70BE86D8" wp14:editId="683036D5">
                <wp:simplePos x="0" y="0"/>
                <wp:positionH relativeFrom="column">
                  <wp:posOffset>1549400</wp:posOffset>
                </wp:positionH>
                <wp:positionV relativeFrom="margin">
                  <wp:posOffset>4067175</wp:posOffset>
                </wp:positionV>
                <wp:extent cx="5168900" cy="1524000"/>
                <wp:effectExtent l="0" t="0" r="0" b="0"/>
                <wp:wrapNone/>
                <wp:docPr id="1410" name="Text Box 1410"/>
                <wp:cNvGraphicFramePr/>
                <a:graphic xmlns:a="http://schemas.openxmlformats.org/drawingml/2006/main">
                  <a:graphicData uri="http://schemas.microsoft.com/office/word/2010/wordprocessingShape">
                    <wps:wsp>
                      <wps:cNvSpPr txBox="1"/>
                      <wps:spPr>
                        <a:xfrm>
                          <a:off x="0" y="0"/>
                          <a:ext cx="5168900" cy="1524000"/>
                        </a:xfrm>
                        <a:prstGeom prst="rect">
                          <a:avLst/>
                        </a:prstGeom>
                        <a:solidFill>
                          <a:schemeClr val="lt1"/>
                        </a:solidFill>
                        <a:ln w="6350">
                          <a:noFill/>
                        </a:ln>
                      </wps:spPr>
                      <wps:txbx>
                        <w:txbxContent>
                          <w:p w14:paraId="3D7C2342" w14:textId="77777777" w:rsidR="00D15FD8" w:rsidRPr="00BD6508" w:rsidRDefault="00D15FD8" w:rsidP="00BD6508">
                            <w:pPr>
                              <w:spacing w:line="276" w:lineRule="auto"/>
                              <w:jc w:val="both"/>
                              <w:rPr>
                                <w:rFonts w:ascii="Arial" w:hAnsi="Arial" w:cs="Arial"/>
                                <w:sz w:val="24"/>
                                <w:szCs w:val="24"/>
                                <w:lang w:val="en-US"/>
                              </w:rPr>
                            </w:pPr>
                            <w:r w:rsidRPr="00BD6508">
                              <w:rPr>
                                <w:rFonts w:ascii="Arial" w:hAnsi="Arial" w:cs="Arial"/>
                                <w:sz w:val="24"/>
                                <w:szCs w:val="24"/>
                                <w:lang w:val="en-ZA"/>
                              </w:rPr>
                              <w:t>To be useful, comprehensive information needs to be published regularly, frequently, periodically, and in a timely manner. Norms and standards stipulate what information should be released in each of the budget-related documents, when it should be released, and that this timing should be legally provided for. To assist in this, calendars should be published before the start of the fiscal year, containing publication release dates for the year ahead.</w:t>
                            </w:r>
                            <w:r w:rsidRPr="00BD6508">
                              <w:rPr>
                                <w:rFonts w:ascii="Arial" w:hAnsi="Arial" w:cs="Arial"/>
                                <w:sz w:val="24"/>
                                <w:szCs w:val="24"/>
                                <w:lang w:val="en-US"/>
                              </w:rPr>
                              <w:t xml:space="preserve">         </w:t>
                            </w:r>
                          </w:p>
                          <w:p w14:paraId="6DC99892" w14:textId="77777777" w:rsidR="00D15FD8" w:rsidRPr="00BD6508" w:rsidRDefault="00D15FD8" w:rsidP="00BD6508">
                            <w:pPr>
                              <w:spacing w:line="276" w:lineRule="auto"/>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E86D8" id="Text Box 1410" o:spid="_x0000_s1400" type="#_x0000_t202" style="position:absolute;left:0;text-align:left;margin-left:122pt;margin-top:320.25pt;width:407pt;height:120pt;z-index:25322086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" fillcolor="white [3201]" stroked="f" strokeweight=".5pt">
                <v:textbox>
                  <w:txbxContent>
                    <w:p w14:paraId="3D7C2342" w14:textId="77777777" w:rsidR="00D15FD8" w:rsidRPr="00BD6508" w:rsidRDefault="00D15FD8" w:rsidP="00BD6508">
                      <w:pPr>
                        <w:spacing w:line="276" w:lineRule="auto"/>
                        <w:jc w:val="both"/>
                        <w:rPr>
                          <w:rFonts w:ascii="Arial" w:hAnsi="Arial" w:cs="Arial"/>
                          <w:sz w:val="24"/>
                          <w:szCs w:val="24"/>
                          <w:lang w:val="en-US"/>
                        </w:rPr>
                      </w:pPr>
                      <w:r w:rsidRPr="00BD6508">
                        <w:rPr>
                          <w:rFonts w:ascii="Arial" w:hAnsi="Arial" w:cs="Arial"/>
                          <w:sz w:val="24"/>
                          <w:szCs w:val="24"/>
                          <w:lang w:val="en-ZA"/>
                        </w:rPr>
                        <w:t>To be useful, comprehensive information needs to be published regularly, frequently, periodically, and in a timely manner. Norms and standards stipulate what information should be released in each of the budget-related documents, when it should be released, and that this timing should be legally provided for. To assist in this, calendars should be published before the start of the fiscal year, containing publication release dates for the year ahead.</w:t>
                      </w:r>
                      <w:r w:rsidRPr="00BD6508">
                        <w:rPr>
                          <w:rFonts w:ascii="Arial" w:hAnsi="Arial" w:cs="Arial"/>
                          <w:sz w:val="24"/>
                          <w:szCs w:val="24"/>
                          <w:lang w:val="en-US"/>
                        </w:rPr>
                        <w:t xml:space="preserve">         </w:t>
                      </w:r>
                    </w:p>
                    <w:p w14:paraId="6DC99892" w14:textId="77777777" w:rsidR="00D15FD8" w:rsidRPr="00BD6508" w:rsidRDefault="00D15FD8" w:rsidP="00BD6508">
                      <w:pPr>
                        <w:spacing w:line="276" w:lineRule="auto"/>
                        <w:rPr>
                          <w:rFonts w:ascii="Arial" w:hAnsi="Arial" w:cs="Arial"/>
                          <w:sz w:val="24"/>
                          <w:szCs w:val="24"/>
                        </w:rPr>
                      </w:pPr>
                    </w:p>
                  </w:txbxContent>
                </v:textbox>
                <w10:wrap anchory="margin"/>
              </v:shape>
            </w:pict>
          </mc:Fallback>
        </mc:AlternateContent>
      </w:r>
    </w:p>
    <w:p w14:paraId="529D8807" w14:textId="70E4A89D" w:rsidR="00C1339B" w:rsidRPr="00C1339B" w:rsidRDefault="00C1339B" w:rsidP="00BD6508"/>
    <w:p w14:paraId="2471DF9C" w14:textId="3F9C23D0" w:rsidR="00C1339B" w:rsidRPr="00C1339B" w:rsidRDefault="00C1339B" w:rsidP="00BD6508"/>
    <w:p w14:paraId="6416B41F" w14:textId="0E96D05A" w:rsidR="00C1339B" w:rsidRPr="00C1339B" w:rsidRDefault="00C1339B" w:rsidP="00BD6508"/>
    <w:p w14:paraId="2F3C3FC3" w14:textId="1C814576" w:rsidR="00C1339B" w:rsidRPr="00C1339B" w:rsidRDefault="00C1339B" w:rsidP="00BD6508"/>
    <w:p w14:paraId="4A4AC19D" w14:textId="3D207AC2" w:rsidR="00C1339B" w:rsidRPr="00C1339B" w:rsidRDefault="00C1339B" w:rsidP="00BD6508"/>
    <w:p w14:paraId="64604EB0" w14:textId="6D82EAFD" w:rsidR="00C1339B" w:rsidRPr="00C1339B" w:rsidRDefault="00C1339B" w:rsidP="00BD6508"/>
    <w:p w14:paraId="698BCF00" w14:textId="05554F6C" w:rsidR="00C1339B" w:rsidRPr="00C1339B" w:rsidRDefault="002F7246" w:rsidP="00BD6508">
      <w:r>
        <w:rPr>
          <w:noProof/>
          <w:lang w:val="en-US"/>
        </w:rPr>
        <mc:AlternateContent>
          <mc:Choice Requires="wps">
            <w:drawing>
              <wp:anchor distT="0" distB="0" distL="114300" distR="114300" simplePos="0" relativeHeight="253206526" behindDoc="0" locked="0" layoutInCell="1" allowOverlap="1" wp14:anchorId="4C423439" wp14:editId="5A379DEB">
                <wp:simplePos x="0" y="0"/>
                <wp:positionH relativeFrom="column">
                  <wp:posOffset>63500</wp:posOffset>
                </wp:positionH>
                <wp:positionV relativeFrom="paragraph">
                  <wp:posOffset>13970</wp:posOffset>
                </wp:positionV>
                <wp:extent cx="1320800" cy="711200"/>
                <wp:effectExtent l="0" t="0" r="0" b="0"/>
                <wp:wrapNone/>
                <wp:docPr id="730" name="Text Box 730"/>
                <wp:cNvGraphicFramePr/>
                <a:graphic xmlns:a="http://schemas.openxmlformats.org/drawingml/2006/main">
                  <a:graphicData uri="http://schemas.microsoft.com/office/word/2010/wordprocessingShape">
                    <wps:wsp>
                      <wps:cNvSpPr txBox="1"/>
                      <wps:spPr>
                        <a:xfrm>
                          <a:off x="0" y="0"/>
                          <a:ext cx="1320800" cy="711200"/>
                        </a:xfrm>
                        <a:prstGeom prst="rect">
                          <a:avLst/>
                        </a:prstGeom>
                        <a:noFill/>
                        <a:ln w="6350">
                          <a:noFill/>
                        </a:ln>
                      </wps:spPr>
                      <wps:txbx>
                        <w:txbxContent>
                          <w:p w14:paraId="11C1740D" w14:textId="77777777"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23439" id="Text Box 730" o:spid="_x0000_s1401" type="#_x0000_t202" style="position:absolute;margin-left:5pt;margin-top:1.1pt;width:104pt;height:56pt;z-index:253206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" filled="f" stroked="f" strokeweight=".5pt">
                <v:textbox>
                  <w:txbxContent>
                    <w:p w14:paraId="11C1740D" w14:textId="77777777"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v:textbox>
              </v:shape>
            </w:pict>
          </mc:Fallback>
        </mc:AlternateContent>
      </w:r>
    </w:p>
    <w:p w14:paraId="63385124" w14:textId="47959695" w:rsidR="00C1339B" w:rsidRPr="00C1339B" w:rsidRDefault="00C1339B" w:rsidP="00BD6508"/>
    <w:p w14:paraId="1192F654" w14:textId="5C9448D2" w:rsidR="00C1339B" w:rsidRPr="00C1339B" w:rsidRDefault="00C1339B" w:rsidP="00BD6508"/>
    <w:p w14:paraId="0BC931FA" w14:textId="0B3F6CDB" w:rsidR="00C1339B" w:rsidRPr="00C1339B" w:rsidRDefault="00C1339B" w:rsidP="00BD6508">
      <w:r>
        <w:rPr>
          <w:noProof/>
          <w:lang w:val="en-US"/>
        </w:rPr>
        <w:drawing>
          <wp:anchor distT="0" distB="0" distL="114300" distR="114300" simplePos="0" relativeHeight="253222910" behindDoc="1" locked="0" layoutInCell="1" allowOverlap="1" wp14:anchorId="24DF4795" wp14:editId="262BDB39">
            <wp:simplePos x="0" y="0"/>
            <wp:positionH relativeFrom="column">
              <wp:posOffset>1689100</wp:posOffset>
            </wp:positionH>
            <wp:positionV relativeFrom="paragraph">
              <wp:posOffset>79375</wp:posOffset>
            </wp:positionV>
            <wp:extent cx="4991100" cy="1097915"/>
            <wp:effectExtent l="0" t="0" r="0" b="0"/>
            <wp:wrapTight wrapText="bothSides">
              <wp:wrapPolygon edited="0">
                <wp:start x="4342" y="1249"/>
                <wp:lineTo x="2034" y="2249"/>
                <wp:lineTo x="495" y="3748"/>
                <wp:lineTo x="495" y="5747"/>
                <wp:lineTo x="275" y="7496"/>
                <wp:lineTo x="55" y="9744"/>
                <wp:lineTo x="110" y="13742"/>
                <wp:lineTo x="605" y="17740"/>
                <wp:lineTo x="660" y="17990"/>
                <wp:lineTo x="1429" y="19988"/>
                <wp:lineTo x="1539" y="20488"/>
                <wp:lineTo x="21270" y="20488"/>
                <wp:lineTo x="21325" y="19988"/>
                <wp:lineTo x="21435" y="17740"/>
                <wp:lineTo x="21545" y="6496"/>
                <wp:lineTo x="20666" y="6246"/>
                <wp:lineTo x="4507" y="5747"/>
                <wp:lineTo x="4837" y="4747"/>
                <wp:lineTo x="4892" y="3248"/>
                <wp:lineTo x="4617" y="1249"/>
                <wp:lineTo x="4342" y="1249"/>
              </wp:wrapPolygon>
            </wp:wrapTight>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684" cstate="email">
                      <a:extLst>
                        <a:ext uri="{28A0092B-C50C-407E-A947-70E740481C1C}">
                          <a14:useLocalDpi xmlns:a14="http://schemas.microsoft.com/office/drawing/2010/main"/>
                        </a:ext>
                      </a:extLst>
                    </a:blip>
                    <a:srcRect/>
                    <a:stretch/>
                  </pic:blipFill>
                  <pic:spPr bwMode="auto">
                    <a:xfrm>
                      <a:off x="0" y="0"/>
                      <a:ext cx="4991100" cy="109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A97C2E" w14:textId="2385719A" w:rsidR="00C1339B" w:rsidRPr="00C1339B" w:rsidRDefault="00C1339B" w:rsidP="00BD6508">
      <w:r>
        <w:rPr>
          <w:noProof/>
          <w:lang w:val="en-US"/>
        </w:rPr>
        <mc:AlternateContent>
          <mc:Choice Requires="wps">
            <w:drawing>
              <wp:anchor distT="0" distB="0" distL="114300" distR="114300" simplePos="0" relativeHeight="253223934" behindDoc="0" locked="0" layoutInCell="1" allowOverlap="1" wp14:anchorId="6EA6EA36" wp14:editId="77D96500">
                <wp:simplePos x="0" y="0"/>
                <wp:positionH relativeFrom="column">
                  <wp:posOffset>2933700</wp:posOffset>
                </wp:positionH>
                <wp:positionV relativeFrom="paragraph">
                  <wp:posOffset>429895</wp:posOffset>
                </wp:positionV>
                <wp:extent cx="2832100" cy="381000"/>
                <wp:effectExtent l="0" t="0" r="0" b="0"/>
                <wp:wrapNone/>
                <wp:docPr id="1411" name="Text Box 1411"/>
                <wp:cNvGraphicFramePr/>
                <a:graphic xmlns:a="http://schemas.openxmlformats.org/drawingml/2006/main">
                  <a:graphicData uri="http://schemas.microsoft.com/office/word/2010/wordprocessingShape">
                    <wps:wsp>
                      <wps:cNvSpPr txBox="1"/>
                      <wps:spPr>
                        <a:xfrm>
                          <a:off x="0" y="0"/>
                          <a:ext cx="2832100" cy="381000"/>
                        </a:xfrm>
                        <a:prstGeom prst="rect">
                          <a:avLst/>
                        </a:prstGeom>
                        <a:noFill/>
                        <a:ln w="6350">
                          <a:noFill/>
                        </a:ln>
                      </wps:spPr>
                      <wps:txbx>
                        <w:txbxContent>
                          <w:p w14:paraId="5E5B4879" w14:textId="014A19C6" w:rsidR="00D15FD8" w:rsidRPr="00BD6508" w:rsidRDefault="00D15FD8" w:rsidP="00C1339B">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Reliable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A6EA36" id="Text Box 1411" o:spid="_x0000_s1402" type="#_x0000_t202" style="position:absolute;margin-left:231pt;margin-top:33.85pt;width:223pt;height:30pt;z-index:2532239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" filled="f" stroked="f" strokeweight=".5pt">
                <v:textbox>
                  <w:txbxContent>
                    <w:p w14:paraId="5E5B4879" w14:textId="014A19C6" w:rsidR="00D15FD8" w:rsidRPr="00BD6508" w:rsidRDefault="00D15FD8" w:rsidP="00C1339B">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Reliable</w:t>
                      </w:r>
                    </w:p>
                  </w:txbxContent>
                </v:textbox>
              </v:shape>
            </w:pict>
          </mc:Fallback>
        </mc:AlternateContent>
      </w:r>
    </w:p>
    <w:p w14:paraId="7E629D6D" w14:textId="0EA7DC2B" w:rsidR="00C1339B" w:rsidRPr="00C1339B" w:rsidRDefault="00C1339B" w:rsidP="00BD6508"/>
    <w:p w14:paraId="7C3AAB0B" w14:textId="6146B79C" w:rsidR="00C1339B" w:rsidRPr="00C1339B" w:rsidRDefault="002F7246" w:rsidP="00BD6508">
      <w:pPr>
        <w:jc w:val="center"/>
      </w:pPr>
      <w:r>
        <w:rPr>
          <w:noProof/>
          <w:lang w:val="en-US"/>
        </w:rPr>
        <mc:AlternateContent>
          <mc:Choice Requires="wps">
            <w:drawing>
              <wp:anchor distT="0" distB="0" distL="114300" distR="114300" simplePos="0" relativeHeight="253225982" behindDoc="0" locked="0" layoutInCell="1" allowOverlap="1" wp14:anchorId="0C96DE11" wp14:editId="4B5D0E78">
                <wp:simplePos x="0" y="0"/>
                <wp:positionH relativeFrom="column">
                  <wp:posOffset>1549400</wp:posOffset>
                </wp:positionH>
                <wp:positionV relativeFrom="margin">
                  <wp:posOffset>6748145</wp:posOffset>
                </wp:positionV>
                <wp:extent cx="5168900" cy="1930400"/>
                <wp:effectExtent l="0" t="0" r="0" b="0"/>
                <wp:wrapNone/>
                <wp:docPr id="1413" name="Text Box 1413"/>
                <wp:cNvGraphicFramePr/>
                <a:graphic xmlns:a="http://schemas.openxmlformats.org/drawingml/2006/main">
                  <a:graphicData uri="http://schemas.microsoft.com/office/word/2010/wordprocessingShape">
                    <wps:wsp>
                      <wps:cNvSpPr txBox="1"/>
                      <wps:spPr>
                        <a:xfrm>
                          <a:off x="0" y="0"/>
                          <a:ext cx="5168900" cy="1930400"/>
                        </a:xfrm>
                        <a:prstGeom prst="rect">
                          <a:avLst/>
                        </a:prstGeom>
                        <a:solidFill>
                          <a:schemeClr val="lt1"/>
                        </a:solidFill>
                        <a:ln w="6350">
                          <a:noFill/>
                        </a:ln>
                      </wps:spPr>
                      <wps:txbx>
                        <w:txbxContent>
                          <w:p w14:paraId="30649165" w14:textId="77777777" w:rsidR="00D15FD8" w:rsidRPr="002F7246" w:rsidRDefault="00D15FD8" w:rsidP="00BD6508">
                            <w:pPr>
                              <w:spacing w:line="276" w:lineRule="auto"/>
                              <w:jc w:val="both"/>
                              <w:rPr>
                                <w:rFonts w:ascii="Arial" w:hAnsi="Arial" w:cs="Arial"/>
                                <w:sz w:val="24"/>
                                <w:szCs w:val="24"/>
                                <w:lang w:val="en-ZA"/>
                              </w:rPr>
                            </w:pPr>
                            <w:r w:rsidRPr="002F7246">
                              <w:rPr>
                                <w:rFonts w:ascii="Arial" w:hAnsi="Arial" w:cs="Arial"/>
                                <w:sz w:val="24"/>
                                <w:szCs w:val="24"/>
                                <w:lang w:val="en-ZA"/>
                              </w:rPr>
                              <w:t>The reliability and accuracy of information is crucial if it is to form a sound basis for decision-making, scrutiny, and accountability. There are many reasons why information may not be accurate, including that the Executive itself may not have adequate controls in place to ensure that data integrity is intact and/or simply that there may be dishonesty in the information published. It is, however, often difficult for the public (and sometimes the Executive too) to be able to assess whether the information available is accurate. The publication of information should thus meet the following key elements that allow one to more easily assess whether it is accurate:</w:t>
                            </w:r>
                          </w:p>
                          <w:p w14:paraId="1D2A8E09" w14:textId="77777777" w:rsidR="00D15FD8" w:rsidRPr="002F7246" w:rsidRDefault="00D15FD8" w:rsidP="00BD6508">
                            <w:pPr>
                              <w:spacing w:line="276" w:lineRule="auto"/>
                              <w:jc w:val="both"/>
                              <w:rPr>
                                <w:rFonts w:ascii="Arial" w:hAnsi="Arial" w:cs="Arial"/>
                                <w:sz w:val="24"/>
                                <w:szCs w:val="24"/>
                                <w:lang w:val="en-ZA"/>
                              </w:rPr>
                            </w:pPr>
                            <w:r w:rsidRPr="002F7246">
                              <w:rPr>
                                <w:rFonts w:ascii="Arial" w:hAnsi="Arial" w:cs="Arial"/>
                                <w:sz w:val="24"/>
                                <w:szCs w:val="24"/>
                                <w:lang w:val="en-ZA"/>
                              </w:rPr>
                              <w:t>1.</w:t>
                            </w:r>
                            <w:r w:rsidRPr="002F7246">
                              <w:rPr>
                                <w:rFonts w:ascii="Arial" w:hAnsi="Arial" w:cs="Arial"/>
                                <w:sz w:val="24"/>
                                <w:szCs w:val="24"/>
                                <w:lang w:val="en-ZA"/>
                              </w:rPr>
                              <w:tab/>
                              <w:t>The Executive should clarify how it collects and makes data available, and openly provide information on the challenges it faces in collecting and presenting data.</w:t>
                            </w:r>
                          </w:p>
                          <w:p w14:paraId="0497A78B" w14:textId="77777777" w:rsidR="00D15FD8" w:rsidRPr="002F7246" w:rsidRDefault="00D15FD8" w:rsidP="00BD6508">
                            <w:pPr>
                              <w:spacing w:line="276" w:lineRule="auto"/>
                              <w:jc w:val="both"/>
                              <w:rPr>
                                <w:rFonts w:ascii="Arial" w:hAnsi="Arial" w:cs="Arial"/>
                                <w:sz w:val="24"/>
                                <w:szCs w:val="24"/>
                                <w:lang w:val="en-ZA"/>
                              </w:rPr>
                            </w:pPr>
                            <w:r w:rsidRPr="002F7246">
                              <w:rPr>
                                <w:rFonts w:ascii="Arial" w:hAnsi="Arial" w:cs="Arial"/>
                                <w:sz w:val="24"/>
                                <w:szCs w:val="24"/>
                                <w:lang w:val="en-ZA"/>
                              </w:rPr>
                              <w:t>2.</w:t>
                            </w:r>
                            <w:r w:rsidRPr="002F7246">
                              <w:rPr>
                                <w:rFonts w:ascii="Arial" w:hAnsi="Arial" w:cs="Arial"/>
                                <w:sz w:val="24"/>
                                <w:szCs w:val="24"/>
                                <w:lang w:val="en-ZA"/>
                              </w:rPr>
                              <w:tab/>
                              <w:t>Information published should be realistic, that is budget forecasts and updates should reflect recent revenue and expenditure trends, underlying macroeconomic developments, as well as well-defined policy commitments. Forecast data published should also be accompanied by explanations on variations over time and the methodology for all calculations.</w:t>
                            </w:r>
                          </w:p>
                          <w:p w14:paraId="658C78C1" w14:textId="490342C8" w:rsidR="00D15FD8" w:rsidRPr="00BD6508" w:rsidRDefault="00D15FD8" w:rsidP="00BD6508">
                            <w:pPr>
                              <w:spacing w:line="276" w:lineRule="auto"/>
                              <w:jc w:val="both"/>
                              <w:rPr>
                                <w:rFonts w:ascii="Arial" w:hAnsi="Arial" w:cs="Arial"/>
                                <w:sz w:val="24"/>
                                <w:szCs w:val="24"/>
                              </w:rPr>
                            </w:pPr>
                            <w:r w:rsidRPr="002F7246">
                              <w:rPr>
                                <w:rFonts w:ascii="Arial" w:hAnsi="Arial" w:cs="Arial"/>
                                <w:sz w:val="24"/>
                                <w:szCs w:val="24"/>
                                <w:lang w:val="en-ZA"/>
                              </w:rPr>
                              <w:t>3.</w:t>
                            </w:r>
                            <w:r w:rsidRPr="002F7246">
                              <w:rPr>
                                <w:rFonts w:ascii="Arial" w:hAnsi="Arial" w:cs="Arial"/>
                                <w:sz w:val="24"/>
                                <w:szCs w:val="24"/>
                                <w:lang w:val="en-ZA"/>
                              </w:rPr>
                              <w:tab/>
                              <w:t xml:space="preserve">Information should be comparable over time, and internationally.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6DE11" id="Text Box 1413" o:spid="_x0000_s1403" type="#_x0000_t202" style="position:absolute;left:0;text-align:left;margin-left:122pt;margin-top:531.35pt;width:407pt;height:152pt;z-index:25322598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" fillcolor="white [3201]" stroked="f" strokeweight=".5pt">
                <v:textbox>
                  <w:txbxContent>
                    <w:p w14:paraId="30649165" w14:textId="77777777" w:rsidR="00D15FD8" w:rsidRPr="002F7246" w:rsidRDefault="00D15FD8" w:rsidP="00BD6508">
                      <w:pPr>
                        <w:spacing w:line="276" w:lineRule="auto"/>
                        <w:jc w:val="both"/>
                        <w:rPr>
                          <w:rFonts w:ascii="Arial" w:hAnsi="Arial" w:cs="Arial"/>
                          <w:sz w:val="24"/>
                          <w:szCs w:val="24"/>
                          <w:lang w:val="en-ZA"/>
                        </w:rPr>
                      </w:pPr>
                      <w:r w:rsidRPr="002F7246">
                        <w:rPr>
                          <w:rFonts w:ascii="Arial" w:hAnsi="Arial" w:cs="Arial"/>
                          <w:sz w:val="24"/>
                          <w:szCs w:val="24"/>
                          <w:lang w:val="en-ZA"/>
                        </w:rPr>
                        <w:t>The reliability and accuracy of information is crucial if it is to form a sound basis for decision-making, scrutiny, and accountability. There are many reasons why information may not be accurate, including that the Executive itself may not have adequate controls in place to ensure that data integrity is intact and/or simply that there may be dishonesty in the information published. It is, however, often difficult for the public (and sometimes the Executive too) to be able to assess whether the information available is accurate. The publication of information should thus meet the following key elements that allow one to more easily assess whether it is accurate:</w:t>
                      </w:r>
                    </w:p>
                    <w:p w14:paraId="1D2A8E09" w14:textId="77777777" w:rsidR="00D15FD8" w:rsidRPr="002F7246" w:rsidRDefault="00D15FD8" w:rsidP="00BD6508">
                      <w:pPr>
                        <w:spacing w:line="276" w:lineRule="auto"/>
                        <w:jc w:val="both"/>
                        <w:rPr>
                          <w:rFonts w:ascii="Arial" w:hAnsi="Arial" w:cs="Arial"/>
                          <w:sz w:val="24"/>
                          <w:szCs w:val="24"/>
                          <w:lang w:val="en-ZA"/>
                        </w:rPr>
                      </w:pPr>
                      <w:r w:rsidRPr="002F7246">
                        <w:rPr>
                          <w:rFonts w:ascii="Arial" w:hAnsi="Arial" w:cs="Arial"/>
                          <w:sz w:val="24"/>
                          <w:szCs w:val="24"/>
                          <w:lang w:val="en-ZA"/>
                        </w:rPr>
                        <w:t>1.</w:t>
                      </w:r>
                      <w:r w:rsidRPr="002F7246">
                        <w:rPr>
                          <w:rFonts w:ascii="Arial" w:hAnsi="Arial" w:cs="Arial"/>
                          <w:sz w:val="24"/>
                          <w:szCs w:val="24"/>
                          <w:lang w:val="en-ZA"/>
                        </w:rPr>
                        <w:tab/>
                        <w:t>The Executive should clarify how it collects and makes data available, and openly provide information on the challenges it faces in collecting and presenting data.</w:t>
                      </w:r>
                    </w:p>
                    <w:p w14:paraId="0497A78B" w14:textId="77777777" w:rsidR="00D15FD8" w:rsidRPr="002F7246" w:rsidRDefault="00D15FD8" w:rsidP="00BD6508">
                      <w:pPr>
                        <w:spacing w:line="276" w:lineRule="auto"/>
                        <w:jc w:val="both"/>
                        <w:rPr>
                          <w:rFonts w:ascii="Arial" w:hAnsi="Arial" w:cs="Arial"/>
                          <w:sz w:val="24"/>
                          <w:szCs w:val="24"/>
                          <w:lang w:val="en-ZA"/>
                        </w:rPr>
                      </w:pPr>
                      <w:r w:rsidRPr="002F7246">
                        <w:rPr>
                          <w:rFonts w:ascii="Arial" w:hAnsi="Arial" w:cs="Arial"/>
                          <w:sz w:val="24"/>
                          <w:szCs w:val="24"/>
                          <w:lang w:val="en-ZA"/>
                        </w:rPr>
                        <w:t>2.</w:t>
                      </w:r>
                      <w:r w:rsidRPr="002F7246">
                        <w:rPr>
                          <w:rFonts w:ascii="Arial" w:hAnsi="Arial" w:cs="Arial"/>
                          <w:sz w:val="24"/>
                          <w:szCs w:val="24"/>
                          <w:lang w:val="en-ZA"/>
                        </w:rPr>
                        <w:tab/>
                        <w:t>Information published should be realistic, that is budget forecasts and updates should reflect recent revenue and expenditure trends, underlying macroeconomic developments, as well as well-defined policy commitments. Forecast data published should also be accompanied by explanations on variations over time and the methodology for all calculations.</w:t>
                      </w:r>
                    </w:p>
                    <w:p w14:paraId="658C78C1" w14:textId="490342C8" w:rsidR="00D15FD8" w:rsidRPr="00BD6508" w:rsidRDefault="00D15FD8" w:rsidP="00BD6508">
                      <w:pPr>
                        <w:spacing w:line="276" w:lineRule="auto"/>
                        <w:jc w:val="both"/>
                        <w:rPr>
                          <w:rFonts w:ascii="Arial" w:hAnsi="Arial" w:cs="Arial"/>
                          <w:sz w:val="24"/>
                          <w:szCs w:val="24"/>
                        </w:rPr>
                      </w:pPr>
                      <w:r w:rsidRPr="002F7246">
                        <w:rPr>
                          <w:rFonts w:ascii="Arial" w:hAnsi="Arial" w:cs="Arial"/>
                          <w:sz w:val="24"/>
                          <w:szCs w:val="24"/>
                          <w:lang w:val="en-ZA"/>
                        </w:rPr>
                        <w:t>3.</w:t>
                      </w:r>
                      <w:r w:rsidRPr="002F7246">
                        <w:rPr>
                          <w:rFonts w:ascii="Arial" w:hAnsi="Arial" w:cs="Arial"/>
                          <w:sz w:val="24"/>
                          <w:szCs w:val="24"/>
                          <w:lang w:val="en-ZA"/>
                        </w:rPr>
                        <w:tab/>
                        <w:t xml:space="preserve">Information should be comparable over time, and internationally.         </w:t>
                      </w:r>
                    </w:p>
                  </w:txbxContent>
                </v:textbox>
                <w10:wrap anchory="margin"/>
              </v:shape>
            </w:pict>
          </mc:Fallback>
        </mc:AlternateContent>
      </w:r>
    </w:p>
    <w:p w14:paraId="0A9F2FC2" w14:textId="71F689FC" w:rsidR="00C1339B" w:rsidRPr="00C1339B" w:rsidRDefault="00C1339B" w:rsidP="00BD6508"/>
    <w:p w14:paraId="1C394412" w14:textId="0BDF1D50" w:rsidR="00C1339B" w:rsidRPr="00C1339B" w:rsidRDefault="00C1339B" w:rsidP="00BD6508"/>
    <w:p w14:paraId="67E4FB3D" w14:textId="56874D5E" w:rsidR="00C1339B" w:rsidRPr="00C1339B" w:rsidRDefault="00C1339B" w:rsidP="00BD6508"/>
    <w:p w14:paraId="1FAFF2CE" w14:textId="7CBCB55E" w:rsidR="00C1339B" w:rsidRDefault="00C1339B" w:rsidP="00C1339B"/>
    <w:p w14:paraId="7AA0BFA4" w14:textId="50B5D67A" w:rsidR="002F7246" w:rsidRPr="002F7246" w:rsidRDefault="002F7246" w:rsidP="002F7246"/>
    <w:p w14:paraId="02046699" w14:textId="690223D4" w:rsidR="002F7246" w:rsidRPr="002F7246" w:rsidRDefault="002F7246" w:rsidP="002F7246"/>
    <w:p w14:paraId="2DBD1A3D" w14:textId="20862D85" w:rsidR="002F7246" w:rsidRPr="002F7246" w:rsidRDefault="002F7246" w:rsidP="002F7246"/>
    <w:p w14:paraId="212A4485" w14:textId="200EA899" w:rsidR="002F7246" w:rsidRPr="002F7246" w:rsidRDefault="002F7246" w:rsidP="002F7246"/>
    <w:p w14:paraId="4A548724" w14:textId="1030009D" w:rsidR="002F7246" w:rsidRPr="002F7246" w:rsidRDefault="002F7246" w:rsidP="002F7246"/>
    <w:p w14:paraId="2113A4CE" w14:textId="6DE45D9D" w:rsidR="002F7246" w:rsidRPr="002F7246" w:rsidRDefault="002F7246" w:rsidP="002F7246"/>
    <w:p w14:paraId="4B3D2181" w14:textId="033B239D" w:rsidR="002F7246" w:rsidRPr="002F7246" w:rsidRDefault="002F7246" w:rsidP="002F7246"/>
    <w:p w14:paraId="0ED1F808" w14:textId="7ABF199F" w:rsidR="002F7246" w:rsidRPr="002F7246" w:rsidRDefault="002F7246" w:rsidP="002F7246"/>
    <w:p w14:paraId="31A3F739" w14:textId="3F4A7E66" w:rsidR="002F7246" w:rsidRDefault="002F7246" w:rsidP="002F7246"/>
    <w:p w14:paraId="6AE05D2E" w14:textId="6C1B135F" w:rsidR="002F7246" w:rsidRDefault="002F7246" w:rsidP="002F7246">
      <w:pPr>
        <w:tabs>
          <w:tab w:val="left" w:pos="2660"/>
        </w:tabs>
      </w:pPr>
      <w:r>
        <w:tab/>
      </w:r>
    </w:p>
    <w:p w14:paraId="00AA6205" w14:textId="6F4852F9" w:rsidR="002F7246" w:rsidRDefault="002F7246" w:rsidP="002F7246">
      <w:pPr>
        <w:tabs>
          <w:tab w:val="left" w:pos="2660"/>
        </w:tabs>
      </w:pPr>
      <w:r>
        <w:rPr>
          <w:noProof/>
          <w:lang w:val="en-US"/>
        </w:rPr>
        <w:lastRenderedPageBreak/>
        <w:drawing>
          <wp:anchor distT="0" distB="0" distL="114300" distR="114300" simplePos="0" relativeHeight="253234174" behindDoc="1" locked="0" layoutInCell="1" allowOverlap="1" wp14:anchorId="653195B1" wp14:editId="68327A26">
            <wp:simplePos x="0" y="0"/>
            <wp:positionH relativeFrom="column">
              <wp:posOffset>1694815</wp:posOffset>
            </wp:positionH>
            <wp:positionV relativeFrom="paragraph">
              <wp:posOffset>2346960</wp:posOffset>
            </wp:positionV>
            <wp:extent cx="4991100" cy="1097915"/>
            <wp:effectExtent l="0" t="0" r="0" b="0"/>
            <wp:wrapTight wrapText="bothSides">
              <wp:wrapPolygon edited="0">
                <wp:start x="4342" y="1249"/>
                <wp:lineTo x="2034" y="2249"/>
                <wp:lineTo x="495" y="3748"/>
                <wp:lineTo x="495" y="5747"/>
                <wp:lineTo x="275" y="7496"/>
                <wp:lineTo x="55" y="9744"/>
                <wp:lineTo x="110" y="13742"/>
                <wp:lineTo x="605" y="17740"/>
                <wp:lineTo x="660" y="17990"/>
                <wp:lineTo x="1429" y="19988"/>
                <wp:lineTo x="1539" y="20488"/>
                <wp:lineTo x="21270" y="20488"/>
                <wp:lineTo x="21325" y="19988"/>
                <wp:lineTo x="21435" y="17740"/>
                <wp:lineTo x="21545" y="6496"/>
                <wp:lineTo x="20666" y="6246"/>
                <wp:lineTo x="4507" y="5747"/>
                <wp:lineTo x="4837" y="4747"/>
                <wp:lineTo x="4892" y="3248"/>
                <wp:lineTo x="4617" y="1249"/>
                <wp:lineTo x="4342" y="1249"/>
              </wp:wrapPolygon>
            </wp:wrapTight>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684" cstate="email">
                      <a:extLst>
                        <a:ext uri="{28A0092B-C50C-407E-A947-70E740481C1C}">
                          <a14:useLocalDpi xmlns:a14="http://schemas.microsoft.com/office/drawing/2010/main"/>
                        </a:ext>
                      </a:extLst>
                    </a:blip>
                    <a:srcRect/>
                    <a:stretch/>
                  </pic:blipFill>
                  <pic:spPr bwMode="auto">
                    <a:xfrm>
                      <a:off x="0" y="0"/>
                      <a:ext cx="4991100" cy="109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3235198" behindDoc="0" locked="0" layoutInCell="1" allowOverlap="1" wp14:anchorId="0D8E9139" wp14:editId="15E6A759">
                <wp:simplePos x="0" y="0"/>
                <wp:positionH relativeFrom="column">
                  <wp:posOffset>2939415</wp:posOffset>
                </wp:positionH>
                <wp:positionV relativeFrom="paragraph">
                  <wp:posOffset>2854960</wp:posOffset>
                </wp:positionV>
                <wp:extent cx="2832100" cy="381000"/>
                <wp:effectExtent l="0" t="0" r="0" b="0"/>
                <wp:wrapNone/>
                <wp:docPr id="1419" name="Text Box 1419"/>
                <wp:cNvGraphicFramePr/>
                <a:graphic xmlns:a="http://schemas.openxmlformats.org/drawingml/2006/main">
                  <a:graphicData uri="http://schemas.microsoft.com/office/word/2010/wordprocessingShape">
                    <wps:wsp>
                      <wps:cNvSpPr txBox="1"/>
                      <wps:spPr>
                        <a:xfrm>
                          <a:off x="0" y="0"/>
                          <a:ext cx="2832100" cy="381000"/>
                        </a:xfrm>
                        <a:prstGeom prst="rect">
                          <a:avLst/>
                        </a:prstGeom>
                        <a:noFill/>
                        <a:ln w="6350">
                          <a:noFill/>
                        </a:ln>
                      </wps:spPr>
                      <wps:txbx>
                        <w:txbxContent>
                          <w:p w14:paraId="518932CF" w14:textId="7BA79209" w:rsidR="00D15FD8" w:rsidRPr="00BD6508" w:rsidRDefault="00D15FD8" w:rsidP="002F7246">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Understandable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8E9139" id="Text Box 1419" o:spid="_x0000_s1404" type="#_x0000_t202" style="position:absolute;margin-left:231.45pt;margin-top:224.8pt;width:223pt;height:30pt;z-index:25323519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" filled="f" stroked="f" strokeweight=".5pt">
                <v:textbox>
                  <w:txbxContent>
                    <w:p w14:paraId="518932CF" w14:textId="7BA79209" w:rsidR="00D15FD8" w:rsidRPr="00BD6508" w:rsidRDefault="00D15FD8" w:rsidP="002F7246">
                      <w:p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Understandable</w:t>
                      </w:r>
                    </w:p>
                  </w:txbxContent>
                </v:textbox>
              </v:shape>
            </w:pict>
          </mc:Fallback>
        </mc:AlternateContent>
      </w:r>
      <w:r>
        <w:rPr>
          <w:noProof/>
          <w:lang w:val="en-US"/>
        </w:rPr>
        <mc:AlternateContent>
          <mc:Choice Requires="wps">
            <w:drawing>
              <wp:anchor distT="0" distB="0" distL="114300" distR="114300" simplePos="0" relativeHeight="253237246" behindDoc="0" locked="0" layoutInCell="1" allowOverlap="1" wp14:anchorId="3B457318" wp14:editId="51D5707E">
                <wp:simplePos x="0" y="0"/>
                <wp:positionH relativeFrom="column">
                  <wp:posOffset>1600200</wp:posOffset>
                </wp:positionH>
                <wp:positionV relativeFrom="margin">
                  <wp:posOffset>3573145</wp:posOffset>
                </wp:positionV>
                <wp:extent cx="5168900" cy="5130800"/>
                <wp:effectExtent l="0" t="0" r="0" b="0"/>
                <wp:wrapNone/>
                <wp:docPr id="1421" name="Text Box 1421"/>
                <wp:cNvGraphicFramePr/>
                <a:graphic xmlns:a="http://schemas.openxmlformats.org/drawingml/2006/main">
                  <a:graphicData uri="http://schemas.microsoft.com/office/word/2010/wordprocessingShape">
                    <wps:wsp>
                      <wps:cNvSpPr txBox="1"/>
                      <wps:spPr>
                        <a:xfrm>
                          <a:off x="0" y="0"/>
                          <a:ext cx="5168900" cy="5130800"/>
                        </a:xfrm>
                        <a:prstGeom prst="rect">
                          <a:avLst/>
                        </a:prstGeom>
                        <a:solidFill>
                          <a:schemeClr val="lt1"/>
                        </a:solidFill>
                        <a:ln w="6350">
                          <a:noFill/>
                        </a:ln>
                      </wps:spPr>
                      <wps:txbx>
                        <w:txbxContent>
                          <w:p w14:paraId="7E6A812C" w14:textId="771D2264"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Information provided may only lead to meaningful transparency if it is effectively ‘translated’ for the public, that is if it’s user-focused and presented in a clear manner that can be easily understood. Information should also be published in various formats to cater to different audiences. As a starting point, it is useful to get user inputs on their information needs and then design the budget presentation to actually answer the</w:t>
                            </w:r>
                            <w:r>
                              <w:rPr>
                                <w:rFonts w:ascii="Arial" w:hAnsi="Arial" w:cs="Arial"/>
                                <w:sz w:val="24"/>
                                <w:szCs w:val="24"/>
                                <w:lang w:val="en-ZA"/>
                              </w:rPr>
                              <w:t>ir</w:t>
                            </w:r>
                            <w:r w:rsidRPr="00BD6508">
                              <w:rPr>
                                <w:rFonts w:ascii="Arial" w:hAnsi="Arial" w:cs="Arial"/>
                                <w:sz w:val="24"/>
                                <w:szCs w:val="24"/>
                                <w:lang w:val="en-ZA"/>
                              </w:rPr>
                              <w:t xml:space="preserve"> questions.</w:t>
                            </w:r>
                          </w:p>
                          <w:p w14:paraId="56EA7A48" w14:textId="77777777" w:rsidR="00D15FD8" w:rsidRPr="00BD6508" w:rsidRDefault="00D15FD8" w:rsidP="00BD6508">
                            <w:pPr>
                              <w:spacing w:line="276" w:lineRule="auto"/>
                              <w:jc w:val="both"/>
                              <w:rPr>
                                <w:rFonts w:ascii="Arial" w:hAnsi="Arial" w:cs="Arial"/>
                                <w:sz w:val="24"/>
                                <w:szCs w:val="24"/>
                                <w:lang w:val="en-ZA"/>
                              </w:rPr>
                            </w:pPr>
                          </w:p>
                          <w:p w14:paraId="7C61FB63" w14:textId="1739F1BD"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The OECD’s </w:t>
                            </w:r>
                            <w:hyperlink r:id="rId702" w:history="1">
                              <w:r w:rsidRPr="00E00B16">
                                <w:rPr>
                                  <w:rStyle w:val="Hyperlink"/>
                                  <w:rFonts w:ascii="Arial" w:hAnsi="Arial" w:cs="Arial"/>
                                  <w:sz w:val="24"/>
                                  <w:szCs w:val="24"/>
                                  <w:lang w:val="en-ZA"/>
                                </w:rPr>
                                <w:t>Budget Transparency Toolkit</w:t>
                              </w:r>
                            </w:hyperlink>
                            <w:r w:rsidRPr="00BD6508">
                              <w:rPr>
                                <w:rFonts w:ascii="Arial" w:hAnsi="Arial" w:cs="Arial"/>
                                <w:sz w:val="24"/>
                                <w:szCs w:val="24"/>
                                <w:lang w:val="en-ZA"/>
                              </w:rPr>
                              <w:t xml:space="preserve"> (2017) states that careful attention should be paid to the presentation and communication of information. Ways of making information more understandable, include presenting budget tables and headline figures as simply and directly as possible, in a format that is consistent from year to year and from document to document; including a high-level summary of all budget policy measures and their impacts; and putting abstract numbers into perspective with user-friendly graphics and charts. Users of budget information can be very resourceful in suggesting ways for information to be understandable.    </w:t>
                            </w:r>
                          </w:p>
                          <w:p w14:paraId="55F5FFFF"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     </w:t>
                            </w:r>
                          </w:p>
                          <w:p w14:paraId="596ABD5D"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Publishing citizen’s budgets assists greatly in this regard. Narratives, explanations, and additional notes should accompany data to explain budget lines that are not self-evident, including the choices made, how the data was derived, and the reasons for making those choices. The IBP’s Open Budget Survey considers it a </w:t>
                            </w:r>
                            <w:proofErr w:type="gramStart"/>
                            <w:r w:rsidRPr="00BD6508">
                              <w:rPr>
                                <w:rFonts w:ascii="Arial" w:hAnsi="Arial" w:cs="Arial"/>
                                <w:sz w:val="24"/>
                                <w:szCs w:val="24"/>
                                <w:lang w:val="en-ZA"/>
                              </w:rPr>
                              <w:t>higher level</w:t>
                            </w:r>
                            <w:proofErr w:type="gramEnd"/>
                            <w:r w:rsidRPr="00BD6508">
                              <w:rPr>
                                <w:rFonts w:ascii="Arial" w:hAnsi="Arial" w:cs="Arial"/>
                                <w:sz w:val="24"/>
                                <w:szCs w:val="24"/>
                                <w:lang w:val="en-ZA"/>
                              </w:rPr>
                              <w:t xml:space="preserve"> practice if preliminary versions of the citizen’s budget are actually consulted with the public, in order to make sure their feedback is considered.</w:t>
                            </w:r>
                          </w:p>
                          <w:p w14:paraId="6EEF8FEB" w14:textId="77777777" w:rsidR="00D15FD8" w:rsidRPr="00BD6508" w:rsidRDefault="00D15FD8" w:rsidP="00BD6508">
                            <w:pPr>
                              <w:spacing w:line="276" w:lineRule="auto"/>
                              <w:jc w:val="both"/>
                              <w:rPr>
                                <w:rFonts w:ascii="Arial" w:hAnsi="Arial" w:cs="Arial"/>
                                <w:sz w:val="24"/>
                                <w:szCs w:val="24"/>
                                <w:lang w:val="en-ZA"/>
                              </w:rPr>
                            </w:pPr>
                          </w:p>
                          <w:p w14:paraId="7771233A"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Information should be published and disseminated in easy and accessible formats through all possible means, including digital open data formats through the internet, public libraries, information </w:t>
                            </w:r>
                            <w:proofErr w:type="spellStart"/>
                            <w:r w:rsidRPr="00BD6508">
                              <w:rPr>
                                <w:rFonts w:ascii="Arial" w:hAnsi="Arial" w:cs="Arial"/>
                                <w:sz w:val="24"/>
                                <w:szCs w:val="24"/>
                                <w:lang w:val="en-ZA"/>
                              </w:rPr>
                              <w:t>centers</w:t>
                            </w:r>
                            <w:proofErr w:type="spellEnd"/>
                            <w:r w:rsidRPr="00BD6508">
                              <w:rPr>
                                <w:rFonts w:ascii="Arial" w:hAnsi="Arial" w:cs="Arial"/>
                                <w:sz w:val="24"/>
                                <w:szCs w:val="24"/>
                                <w:lang w:val="en-ZA"/>
                              </w:rPr>
                              <w:t xml:space="preserve">, and so forth. Information should be made available in non-proprietary and non-discriminatory formats. It should be freely available without access fees and without any restrictions such as the need to register or the need to obtain specific licensed software. Available data should be standardized to make it easily accessible, reusable, and machine readable. This should allow for different types of analyses. </w:t>
                            </w:r>
                          </w:p>
                          <w:p w14:paraId="4A6167D3" w14:textId="77777777" w:rsidR="00D15FD8" w:rsidRPr="00BD6508" w:rsidRDefault="00D15FD8" w:rsidP="00BD6508">
                            <w:pPr>
                              <w:spacing w:line="276" w:lineRule="auto"/>
                              <w:jc w:val="both"/>
                              <w:rPr>
                                <w:rFonts w:ascii="Arial" w:hAnsi="Arial" w:cs="Arial"/>
                                <w:sz w:val="24"/>
                                <w:szCs w:val="24"/>
                                <w:lang w:val="en-ZA"/>
                              </w:rPr>
                            </w:pPr>
                          </w:p>
                          <w:p w14:paraId="5C3ABA0E" w14:textId="15D8D7F5" w:rsidR="00D15FD8" w:rsidRPr="00BD6508" w:rsidRDefault="00D15FD8" w:rsidP="00BD6508">
                            <w:pPr>
                              <w:spacing w:line="276" w:lineRule="auto"/>
                              <w:jc w:val="both"/>
                              <w:rPr>
                                <w:rFonts w:ascii="Arial" w:hAnsi="Arial" w:cs="Arial"/>
                                <w:sz w:val="24"/>
                                <w:szCs w:val="24"/>
                              </w:rPr>
                            </w:pPr>
                            <w:r w:rsidRPr="00BD6508">
                              <w:rPr>
                                <w:rFonts w:ascii="Arial" w:hAnsi="Arial" w:cs="Arial"/>
                                <w:sz w:val="24"/>
                                <w:szCs w:val="24"/>
                                <w:lang w:val="en-ZA"/>
                              </w:rPr>
                              <w:t xml:space="preserve">In addition, budget data should be released with adequate usage instructions and guidelines, including where information can be found on websites that should themselves be well-organized and easy to navigate. A curated online repository that classifies and stores budget documents can be a very useful tool. Module 4, focused on digital tools, provides more detail on these concepts.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57318" id="Text Box 1421" o:spid="_x0000_s1405" type="#_x0000_t202" style="position:absolute;margin-left:126pt;margin-top:281.35pt;width:407pt;height:404pt;z-index:253237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" fillcolor="white [3201]" stroked="f" strokeweight=".5pt">
                <v:textbox>
                  <w:txbxContent>
                    <w:p w14:paraId="7E6A812C" w14:textId="771D2264"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Information provided may only lead to meaningful transparency if it is effectively ‘translated’ for the public, that is if it’s user-focused and presented in a clear manner that can be easily understood. Information should also be published in various formats to cater to different audiences. As a starting point, it is useful to get user inputs on their information needs and then design the budget presentation to actually answer the</w:t>
                      </w:r>
                      <w:r>
                        <w:rPr>
                          <w:rFonts w:ascii="Arial" w:hAnsi="Arial" w:cs="Arial"/>
                          <w:sz w:val="24"/>
                          <w:szCs w:val="24"/>
                          <w:lang w:val="en-ZA"/>
                        </w:rPr>
                        <w:t>ir</w:t>
                      </w:r>
                      <w:r w:rsidRPr="00BD6508">
                        <w:rPr>
                          <w:rFonts w:ascii="Arial" w:hAnsi="Arial" w:cs="Arial"/>
                          <w:sz w:val="24"/>
                          <w:szCs w:val="24"/>
                          <w:lang w:val="en-ZA"/>
                        </w:rPr>
                        <w:t xml:space="preserve"> questions.</w:t>
                      </w:r>
                    </w:p>
                    <w:p w14:paraId="56EA7A48" w14:textId="77777777" w:rsidR="00D15FD8" w:rsidRPr="00BD6508" w:rsidRDefault="00D15FD8" w:rsidP="00BD6508">
                      <w:pPr>
                        <w:spacing w:line="276" w:lineRule="auto"/>
                        <w:jc w:val="both"/>
                        <w:rPr>
                          <w:rFonts w:ascii="Arial" w:hAnsi="Arial" w:cs="Arial"/>
                          <w:sz w:val="24"/>
                          <w:szCs w:val="24"/>
                          <w:lang w:val="en-ZA"/>
                        </w:rPr>
                      </w:pPr>
                    </w:p>
                    <w:p w14:paraId="7C61FB63" w14:textId="1739F1BD"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The OECD’s </w:t>
                      </w:r>
                      <w:hyperlink r:id="rId703" w:history="1">
                        <w:r w:rsidRPr="00E00B16">
                          <w:rPr>
                            <w:rStyle w:val="Hyperlink"/>
                            <w:rFonts w:ascii="Arial" w:hAnsi="Arial" w:cs="Arial"/>
                            <w:sz w:val="24"/>
                            <w:szCs w:val="24"/>
                            <w:lang w:val="en-ZA"/>
                          </w:rPr>
                          <w:t>Budget Transparency Toolkit</w:t>
                        </w:r>
                      </w:hyperlink>
                      <w:r w:rsidRPr="00BD6508">
                        <w:rPr>
                          <w:rFonts w:ascii="Arial" w:hAnsi="Arial" w:cs="Arial"/>
                          <w:sz w:val="24"/>
                          <w:szCs w:val="24"/>
                          <w:lang w:val="en-ZA"/>
                        </w:rPr>
                        <w:t xml:space="preserve"> (2017) states that careful attention should be paid to the presentation and communication of information. Ways of making information more understandable, include presenting budget tables and headline figures as simply and directly as possible, in a format that is consistent from year to year and from document to document; including a high-level summary of all budget policy measures and their impacts; and putting abstract numbers into perspective with user-friendly graphics and charts. Users of budget information can be very resourceful in suggesting ways for information to be understandable.    </w:t>
                      </w:r>
                    </w:p>
                    <w:p w14:paraId="55F5FFFF"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     </w:t>
                      </w:r>
                    </w:p>
                    <w:p w14:paraId="596ABD5D"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Publishing citizen’s budgets assists greatly in this regard. Narratives, explanations, and additional notes should accompany data to explain budget lines that are not self-evident, including the choices made, how the data was derived, and the reasons for making those choices. The IBP’s Open Budget Survey considers it a </w:t>
                      </w:r>
                      <w:proofErr w:type="gramStart"/>
                      <w:r w:rsidRPr="00BD6508">
                        <w:rPr>
                          <w:rFonts w:ascii="Arial" w:hAnsi="Arial" w:cs="Arial"/>
                          <w:sz w:val="24"/>
                          <w:szCs w:val="24"/>
                          <w:lang w:val="en-ZA"/>
                        </w:rPr>
                        <w:t>higher level</w:t>
                      </w:r>
                      <w:proofErr w:type="gramEnd"/>
                      <w:r w:rsidRPr="00BD6508">
                        <w:rPr>
                          <w:rFonts w:ascii="Arial" w:hAnsi="Arial" w:cs="Arial"/>
                          <w:sz w:val="24"/>
                          <w:szCs w:val="24"/>
                          <w:lang w:val="en-ZA"/>
                        </w:rPr>
                        <w:t xml:space="preserve"> practice if preliminary versions of the citizen’s budget are actually consulted with the public, in order to make sure their feedback is considered.</w:t>
                      </w:r>
                    </w:p>
                    <w:p w14:paraId="6EEF8FEB" w14:textId="77777777" w:rsidR="00D15FD8" w:rsidRPr="00BD6508" w:rsidRDefault="00D15FD8" w:rsidP="00BD6508">
                      <w:pPr>
                        <w:spacing w:line="276" w:lineRule="auto"/>
                        <w:jc w:val="both"/>
                        <w:rPr>
                          <w:rFonts w:ascii="Arial" w:hAnsi="Arial" w:cs="Arial"/>
                          <w:sz w:val="24"/>
                          <w:szCs w:val="24"/>
                          <w:lang w:val="en-ZA"/>
                        </w:rPr>
                      </w:pPr>
                    </w:p>
                    <w:p w14:paraId="7771233A"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Information should be published and disseminated in easy and accessible formats through all possible means, including digital open data formats through the internet, public libraries, information </w:t>
                      </w:r>
                      <w:proofErr w:type="spellStart"/>
                      <w:r w:rsidRPr="00BD6508">
                        <w:rPr>
                          <w:rFonts w:ascii="Arial" w:hAnsi="Arial" w:cs="Arial"/>
                          <w:sz w:val="24"/>
                          <w:szCs w:val="24"/>
                          <w:lang w:val="en-ZA"/>
                        </w:rPr>
                        <w:t>centers</w:t>
                      </w:r>
                      <w:proofErr w:type="spellEnd"/>
                      <w:r w:rsidRPr="00BD6508">
                        <w:rPr>
                          <w:rFonts w:ascii="Arial" w:hAnsi="Arial" w:cs="Arial"/>
                          <w:sz w:val="24"/>
                          <w:szCs w:val="24"/>
                          <w:lang w:val="en-ZA"/>
                        </w:rPr>
                        <w:t xml:space="preserve">, and so forth. Information should be made available in non-proprietary and non-discriminatory formats. It should be freely available without access fees and without any restrictions such as the need to register or the need to obtain specific licensed software. Available data should be standardized to make it easily accessible, reusable, and machine readable. This should allow for different types of analyses. </w:t>
                      </w:r>
                    </w:p>
                    <w:p w14:paraId="4A6167D3" w14:textId="77777777" w:rsidR="00D15FD8" w:rsidRPr="00BD6508" w:rsidRDefault="00D15FD8" w:rsidP="00BD6508">
                      <w:pPr>
                        <w:spacing w:line="276" w:lineRule="auto"/>
                        <w:jc w:val="both"/>
                        <w:rPr>
                          <w:rFonts w:ascii="Arial" w:hAnsi="Arial" w:cs="Arial"/>
                          <w:sz w:val="24"/>
                          <w:szCs w:val="24"/>
                          <w:lang w:val="en-ZA"/>
                        </w:rPr>
                      </w:pPr>
                    </w:p>
                    <w:p w14:paraId="5C3ABA0E" w14:textId="15D8D7F5" w:rsidR="00D15FD8" w:rsidRPr="00BD6508" w:rsidRDefault="00D15FD8" w:rsidP="00BD6508">
                      <w:pPr>
                        <w:spacing w:line="276" w:lineRule="auto"/>
                        <w:jc w:val="both"/>
                        <w:rPr>
                          <w:rFonts w:ascii="Arial" w:hAnsi="Arial" w:cs="Arial"/>
                          <w:sz w:val="24"/>
                          <w:szCs w:val="24"/>
                        </w:rPr>
                      </w:pPr>
                      <w:r w:rsidRPr="00BD6508">
                        <w:rPr>
                          <w:rFonts w:ascii="Arial" w:hAnsi="Arial" w:cs="Arial"/>
                          <w:sz w:val="24"/>
                          <w:szCs w:val="24"/>
                          <w:lang w:val="en-ZA"/>
                        </w:rPr>
                        <w:t xml:space="preserve">In addition, budget data should be released with adequate usage instructions and guidelines, including where information can be found on websites that should themselves be well-organized and easy to navigate. A curated online repository that classifies and stores budget documents can be a very useful tool. Module 4, focused on digital tools, provides more detail on these concepts.                           </w:t>
                      </w:r>
                    </w:p>
                  </w:txbxContent>
                </v:textbox>
                <w10:wrap anchory="margin"/>
              </v:shape>
            </w:pict>
          </mc:Fallback>
        </mc:AlternateContent>
      </w:r>
      <w:r>
        <w:rPr>
          <w:noProof/>
          <w:lang w:val="en-US"/>
        </w:rPr>
        <mc:AlternateContent>
          <mc:Choice Requires="wps">
            <w:drawing>
              <wp:anchor distT="0" distB="0" distL="114300" distR="114300" simplePos="0" relativeHeight="253232126" behindDoc="0" locked="0" layoutInCell="1" allowOverlap="1" wp14:anchorId="3E55FA61" wp14:editId="4A43F57B">
                <wp:simplePos x="0" y="0"/>
                <wp:positionH relativeFrom="column">
                  <wp:posOffset>1524000</wp:posOffset>
                </wp:positionH>
                <wp:positionV relativeFrom="margin">
                  <wp:posOffset>169545</wp:posOffset>
                </wp:positionV>
                <wp:extent cx="5168900" cy="2222500"/>
                <wp:effectExtent l="0" t="0" r="0" b="0"/>
                <wp:wrapNone/>
                <wp:docPr id="1418" name="Text Box 1418"/>
                <wp:cNvGraphicFramePr/>
                <a:graphic xmlns:a="http://schemas.openxmlformats.org/drawingml/2006/main">
                  <a:graphicData uri="http://schemas.microsoft.com/office/word/2010/wordprocessingShape">
                    <wps:wsp>
                      <wps:cNvSpPr txBox="1"/>
                      <wps:spPr>
                        <a:xfrm>
                          <a:off x="0" y="0"/>
                          <a:ext cx="5168900" cy="2222500"/>
                        </a:xfrm>
                        <a:prstGeom prst="rect">
                          <a:avLst/>
                        </a:prstGeom>
                        <a:solidFill>
                          <a:schemeClr val="lt1"/>
                        </a:solidFill>
                        <a:ln w="6350">
                          <a:noFill/>
                        </a:ln>
                      </wps:spPr>
                      <wps:txbx>
                        <w:txbxContent>
                          <w:p w14:paraId="3EBE4488" w14:textId="47A43F33" w:rsidR="00D15FD8" w:rsidRPr="00BD6508" w:rsidRDefault="00D15FD8" w:rsidP="00BD6508">
                            <w:pPr>
                              <w:pStyle w:val="ListParagraph"/>
                              <w:numPr>
                                <w:ilvl w:val="0"/>
                                <w:numId w:val="101"/>
                              </w:numPr>
                              <w:spacing w:line="276" w:lineRule="auto"/>
                              <w:jc w:val="both"/>
                              <w:rPr>
                                <w:rFonts w:ascii="Arial" w:hAnsi="Arial" w:cs="Arial"/>
                                <w:sz w:val="24"/>
                                <w:szCs w:val="24"/>
                                <w:lang w:val="en-ZA"/>
                              </w:rPr>
                            </w:pPr>
                            <w:r w:rsidRPr="00BD6508">
                              <w:rPr>
                                <w:rFonts w:ascii="Arial" w:hAnsi="Arial" w:cs="Arial"/>
                                <w:sz w:val="24"/>
                                <w:szCs w:val="24"/>
                                <w:lang w:val="en-ZA"/>
                              </w:rPr>
                              <w:t>The Executive should clarify how it collects and makes data available, and openly provide information on the challenges it faces in collecting and presenting data.</w:t>
                            </w:r>
                          </w:p>
                          <w:p w14:paraId="2457F3F8" w14:textId="694F5273" w:rsidR="00D15FD8" w:rsidRPr="00BD6508" w:rsidRDefault="00D15FD8" w:rsidP="00BD6508">
                            <w:pPr>
                              <w:pStyle w:val="ListParagraph"/>
                              <w:numPr>
                                <w:ilvl w:val="0"/>
                                <w:numId w:val="101"/>
                              </w:numPr>
                              <w:spacing w:line="276" w:lineRule="auto"/>
                              <w:jc w:val="both"/>
                              <w:rPr>
                                <w:rFonts w:ascii="Arial" w:hAnsi="Arial" w:cs="Arial"/>
                                <w:sz w:val="24"/>
                                <w:szCs w:val="24"/>
                                <w:lang w:val="en-ZA"/>
                              </w:rPr>
                            </w:pPr>
                            <w:r w:rsidRPr="00BD6508">
                              <w:rPr>
                                <w:rFonts w:ascii="Arial" w:hAnsi="Arial" w:cs="Arial"/>
                                <w:sz w:val="24"/>
                                <w:szCs w:val="24"/>
                                <w:lang w:val="en-ZA"/>
                              </w:rPr>
                              <w:t>Information published should be realistic, that is budget forecasts and updates should reflect recent revenue and expenditure trends, underlying macroeconomic developments, as well as well-defined policy commitments. Forecast data published should also be accompanied by explanations on variations over time and the methodology for all calculations.</w:t>
                            </w:r>
                          </w:p>
                          <w:p w14:paraId="5D372D69" w14:textId="08637F15" w:rsidR="00D15FD8" w:rsidRPr="00BD6508" w:rsidRDefault="00D15FD8" w:rsidP="00BD6508">
                            <w:pPr>
                              <w:pStyle w:val="ListParagraph"/>
                              <w:numPr>
                                <w:ilvl w:val="0"/>
                                <w:numId w:val="101"/>
                              </w:numPr>
                              <w:spacing w:line="276" w:lineRule="auto"/>
                              <w:jc w:val="both"/>
                              <w:rPr>
                                <w:rFonts w:ascii="Arial" w:hAnsi="Arial" w:cs="Arial"/>
                                <w:sz w:val="24"/>
                                <w:szCs w:val="24"/>
                              </w:rPr>
                            </w:pPr>
                            <w:r w:rsidRPr="00BD6508">
                              <w:rPr>
                                <w:rFonts w:ascii="Arial" w:hAnsi="Arial" w:cs="Arial"/>
                                <w:sz w:val="24"/>
                                <w:szCs w:val="24"/>
                                <w:lang w:val="en-ZA"/>
                              </w:rPr>
                              <w:t xml:space="preserve">Information should be comparable over time, and internationally.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5FA61" id="Text Box 1418" o:spid="_x0000_s1406" type="#_x0000_t202" style="position:absolute;margin-left:120pt;margin-top:13.35pt;width:407pt;height:175pt;z-index:25323212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" fillcolor="white [3201]" stroked="f" strokeweight=".5pt">
                <v:textbox>
                  <w:txbxContent>
                    <w:p w14:paraId="3EBE4488" w14:textId="47A43F33" w:rsidR="00D15FD8" w:rsidRPr="00BD6508" w:rsidRDefault="00D15FD8" w:rsidP="00BD6508">
                      <w:pPr>
                        <w:pStyle w:val="ListParagraph"/>
                        <w:numPr>
                          <w:ilvl w:val="0"/>
                          <w:numId w:val="101"/>
                        </w:numPr>
                        <w:spacing w:line="276" w:lineRule="auto"/>
                        <w:jc w:val="both"/>
                        <w:rPr>
                          <w:rFonts w:ascii="Arial" w:hAnsi="Arial" w:cs="Arial"/>
                          <w:sz w:val="24"/>
                          <w:szCs w:val="24"/>
                          <w:lang w:val="en-ZA"/>
                        </w:rPr>
                      </w:pPr>
                      <w:r w:rsidRPr="00BD6508">
                        <w:rPr>
                          <w:rFonts w:ascii="Arial" w:hAnsi="Arial" w:cs="Arial"/>
                          <w:sz w:val="24"/>
                          <w:szCs w:val="24"/>
                          <w:lang w:val="en-ZA"/>
                        </w:rPr>
                        <w:t>The Executive should clarify how it collects and makes data available, and openly provide information on the challenges it faces in collecting and presenting data.</w:t>
                      </w:r>
                    </w:p>
                    <w:p w14:paraId="2457F3F8" w14:textId="694F5273" w:rsidR="00D15FD8" w:rsidRPr="00BD6508" w:rsidRDefault="00D15FD8" w:rsidP="00BD6508">
                      <w:pPr>
                        <w:pStyle w:val="ListParagraph"/>
                        <w:numPr>
                          <w:ilvl w:val="0"/>
                          <w:numId w:val="101"/>
                        </w:numPr>
                        <w:spacing w:line="276" w:lineRule="auto"/>
                        <w:jc w:val="both"/>
                        <w:rPr>
                          <w:rFonts w:ascii="Arial" w:hAnsi="Arial" w:cs="Arial"/>
                          <w:sz w:val="24"/>
                          <w:szCs w:val="24"/>
                          <w:lang w:val="en-ZA"/>
                        </w:rPr>
                      </w:pPr>
                      <w:r w:rsidRPr="00BD6508">
                        <w:rPr>
                          <w:rFonts w:ascii="Arial" w:hAnsi="Arial" w:cs="Arial"/>
                          <w:sz w:val="24"/>
                          <w:szCs w:val="24"/>
                          <w:lang w:val="en-ZA"/>
                        </w:rPr>
                        <w:t>Information published should be realistic, that is budget forecasts and updates should reflect recent revenue and expenditure trends, underlying macroeconomic developments, as well as well-defined policy commitments. Forecast data published should also be accompanied by explanations on variations over time and the methodology for all calculations.</w:t>
                      </w:r>
                    </w:p>
                    <w:p w14:paraId="5D372D69" w14:textId="08637F15" w:rsidR="00D15FD8" w:rsidRPr="00BD6508" w:rsidRDefault="00D15FD8" w:rsidP="00BD6508">
                      <w:pPr>
                        <w:pStyle w:val="ListParagraph"/>
                        <w:numPr>
                          <w:ilvl w:val="0"/>
                          <w:numId w:val="101"/>
                        </w:numPr>
                        <w:spacing w:line="276" w:lineRule="auto"/>
                        <w:jc w:val="both"/>
                        <w:rPr>
                          <w:rFonts w:ascii="Arial" w:hAnsi="Arial" w:cs="Arial"/>
                          <w:sz w:val="24"/>
                          <w:szCs w:val="24"/>
                        </w:rPr>
                      </w:pPr>
                      <w:r w:rsidRPr="00BD6508">
                        <w:rPr>
                          <w:rFonts w:ascii="Arial" w:hAnsi="Arial" w:cs="Arial"/>
                          <w:sz w:val="24"/>
                          <w:szCs w:val="24"/>
                          <w:lang w:val="en-ZA"/>
                        </w:rPr>
                        <w:t xml:space="preserve">Information should be comparable over time, and internationally.         </w:t>
                      </w:r>
                    </w:p>
                  </w:txbxContent>
                </v:textbox>
                <w10:wrap anchory="margin"/>
              </v:shape>
            </w:pict>
          </mc:Fallback>
        </mc:AlternateContent>
      </w:r>
      <w:r>
        <w:rPr>
          <w:noProof/>
          <w:lang w:val="en-US"/>
        </w:rPr>
        <mc:AlternateContent>
          <mc:Choice Requires="wps">
            <w:drawing>
              <wp:anchor distT="0" distB="0" distL="114300" distR="114300" simplePos="0" relativeHeight="253228030" behindDoc="1" locked="0" layoutInCell="1" allowOverlap="1" wp14:anchorId="232833D8" wp14:editId="5859A216">
                <wp:simplePos x="0" y="0"/>
                <wp:positionH relativeFrom="margin">
                  <wp:posOffset>0</wp:posOffset>
                </wp:positionH>
                <wp:positionV relativeFrom="margin">
                  <wp:posOffset>164465</wp:posOffset>
                </wp:positionV>
                <wp:extent cx="1447800" cy="8966200"/>
                <wp:effectExtent l="0" t="0" r="0" b="0"/>
                <wp:wrapTight wrapText="bothSides">
                  <wp:wrapPolygon edited="0">
                    <wp:start x="568" y="0"/>
                    <wp:lineTo x="0" y="92"/>
                    <wp:lineTo x="0" y="21447"/>
                    <wp:lineTo x="189" y="21539"/>
                    <wp:lineTo x="568" y="21569"/>
                    <wp:lineTo x="20842" y="21569"/>
                    <wp:lineTo x="21221" y="21539"/>
                    <wp:lineTo x="21411" y="21447"/>
                    <wp:lineTo x="21411" y="92"/>
                    <wp:lineTo x="20842" y="0"/>
                    <wp:lineTo x="568" y="0"/>
                  </wp:wrapPolygon>
                </wp:wrapTight>
                <wp:docPr id="1415" name="Rounded Rectangle 1415"/>
                <wp:cNvGraphicFramePr/>
                <a:graphic xmlns:a="http://schemas.openxmlformats.org/drawingml/2006/main">
                  <a:graphicData uri="http://schemas.microsoft.com/office/word/2010/wordprocessingShape">
                    <wps:wsp>
                      <wps:cNvSpPr/>
                      <wps:spPr>
                        <a:xfrm>
                          <a:off x="0" y="0"/>
                          <a:ext cx="1447800" cy="8966200"/>
                        </a:xfrm>
                        <a:prstGeom prst="roundRect">
                          <a:avLst>
                            <a:gd name="adj" fmla="val 7277"/>
                          </a:avLst>
                        </a:prstGeom>
                        <a:solidFill>
                          <a:srgbClr val="F39C32"/>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C8E6C43" id="Rounded Rectangle 1415" o:spid="_x0000_s1026" style="position:absolute;margin-left:0;margin-top:12.95pt;width:114pt;height:706pt;z-index:-25008845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" fillcolor="#f39c32" stroked="f" strokeweight="2.25pt">
                <v:stroke joinstyle="miter"/>
                <w10:wrap type="tight" anchorx="margin" anchory="margin"/>
              </v:roundrect>
            </w:pict>
          </mc:Fallback>
        </mc:AlternateContent>
      </w:r>
      <w:r>
        <w:rPr>
          <w:noProof/>
          <w:lang w:val="en-US"/>
        </w:rPr>
        <w:drawing>
          <wp:anchor distT="0" distB="0" distL="114300" distR="114300" simplePos="0" relativeHeight="253229054" behindDoc="1" locked="0" layoutInCell="1" allowOverlap="1" wp14:anchorId="01ABFDD0" wp14:editId="3E34C38B">
            <wp:simplePos x="0" y="0"/>
            <wp:positionH relativeFrom="column">
              <wp:posOffset>114300</wp:posOffset>
            </wp:positionH>
            <wp:positionV relativeFrom="margin">
              <wp:posOffset>3568065</wp:posOffset>
            </wp:positionV>
            <wp:extent cx="1206500" cy="1216025"/>
            <wp:effectExtent l="0" t="0" r="0" b="3175"/>
            <wp:wrapTight wrapText="bothSides">
              <wp:wrapPolygon edited="0">
                <wp:start x="8413" y="226"/>
                <wp:lineTo x="7048" y="902"/>
                <wp:lineTo x="2274" y="3609"/>
                <wp:lineTo x="455" y="7896"/>
                <wp:lineTo x="227" y="8798"/>
                <wp:lineTo x="0" y="11505"/>
                <wp:lineTo x="909" y="15114"/>
                <wp:lineTo x="3865" y="19175"/>
                <wp:lineTo x="9095" y="21431"/>
                <wp:lineTo x="12278" y="21431"/>
                <wp:lineTo x="17507" y="19175"/>
                <wp:lineTo x="20236" y="15114"/>
                <wp:lineTo x="21373" y="11505"/>
                <wp:lineTo x="20918" y="7896"/>
                <wp:lineTo x="19326" y="4963"/>
                <wp:lineTo x="18872" y="3609"/>
                <wp:lineTo x="14552" y="902"/>
                <wp:lineTo x="12960" y="226"/>
                <wp:lineTo x="8413" y="226"/>
              </wp:wrapPolygon>
            </wp:wrapTight>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rotWithShape="1">
                    <a:blip r:embed="rId701" cstate="email">
                      <a:extLst>
                        <a:ext uri="{28A0092B-C50C-407E-A947-70E740481C1C}">
                          <a14:useLocalDpi xmlns:a14="http://schemas.microsoft.com/office/drawing/2010/main"/>
                        </a:ext>
                      </a:extLst>
                    </a:blip>
                    <a:srcRect/>
                    <a:stretch/>
                  </pic:blipFill>
                  <pic:spPr bwMode="auto">
                    <a:xfrm>
                      <a:off x="0" y="0"/>
                      <a:ext cx="1206500" cy="121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3230078" behindDoc="0" locked="0" layoutInCell="1" allowOverlap="1" wp14:anchorId="093E8112" wp14:editId="3DEA444A">
                <wp:simplePos x="0" y="0"/>
                <wp:positionH relativeFrom="column">
                  <wp:posOffset>63500</wp:posOffset>
                </wp:positionH>
                <wp:positionV relativeFrom="paragraph">
                  <wp:posOffset>4747260</wp:posOffset>
                </wp:positionV>
                <wp:extent cx="1320800" cy="711200"/>
                <wp:effectExtent l="0" t="0" r="0" b="0"/>
                <wp:wrapNone/>
                <wp:docPr id="1416" name="Text Box 1416"/>
                <wp:cNvGraphicFramePr/>
                <a:graphic xmlns:a="http://schemas.openxmlformats.org/drawingml/2006/main">
                  <a:graphicData uri="http://schemas.microsoft.com/office/word/2010/wordprocessingShape">
                    <wps:wsp>
                      <wps:cNvSpPr txBox="1"/>
                      <wps:spPr>
                        <a:xfrm>
                          <a:off x="0" y="0"/>
                          <a:ext cx="1320800" cy="711200"/>
                        </a:xfrm>
                        <a:prstGeom prst="rect">
                          <a:avLst/>
                        </a:prstGeom>
                        <a:noFill/>
                        <a:ln w="6350">
                          <a:noFill/>
                        </a:ln>
                      </wps:spPr>
                      <wps:txbx>
                        <w:txbxContent>
                          <w:p w14:paraId="768C6D22" w14:textId="77777777"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E8112" id="Text Box 1416" o:spid="_x0000_s1407" type="#_x0000_t202" style="position:absolute;margin-left:5pt;margin-top:373.8pt;width:104pt;height:56pt;z-index:253230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" filled="f" stroked="f" strokeweight=".5pt">
                <v:textbox>
                  <w:txbxContent>
                    <w:p w14:paraId="768C6D22" w14:textId="77777777"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v:textbox>
              </v:shape>
            </w:pict>
          </mc:Fallback>
        </mc:AlternateContent>
      </w:r>
    </w:p>
    <w:p w14:paraId="44A3FF76" w14:textId="4C96AEB9" w:rsidR="002F7246" w:rsidRPr="002F7246" w:rsidRDefault="002F7246" w:rsidP="00BD6508"/>
    <w:p w14:paraId="4BB9E06C" w14:textId="34E37AAF" w:rsidR="002F7246" w:rsidRPr="002F7246" w:rsidRDefault="002F7246" w:rsidP="00BD6508"/>
    <w:p w14:paraId="15E6512F" w14:textId="3FC54819" w:rsidR="002F7246" w:rsidRPr="002F7246" w:rsidRDefault="002F7246" w:rsidP="00BD6508"/>
    <w:p w14:paraId="0E6BC0A0" w14:textId="56C96FEC" w:rsidR="002F7246" w:rsidRPr="002F7246" w:rsidRDefault="002F7246" w:rsidP="00BD6508"/>
    <w:p w14:paraId="08D79A9D" w14:textId="52531F66" w:rsidR="002F7246" w:rsidRPr="002F7246" w:rsidRDefault="002F7246" w:rsidP="00BD6508"/>
    <w:p w14:paraId="59E865E4" w14:textId="4399D3DD" w:rsidR="002F7246" w:rsidRPr="002F7246" w:rsidRDefault="002F7246" w:rsidP="00BD6508"/>
    <w:p w14:paraId="7F619EAC" w14:textId="5F112112" w:rsidR="002F7246" w:rsidRPr="002F7246" w:rsidRDefault="002F7246" w:rsidP="00BD6508"/>
    <w:p w14:paraId="2F2EA1A8" w14:textId="2AFC7603" w:rsidR="002F7246" w:rsidRPr="002F7246" w:rsidRDefault="002F7246" w:rsidP="00BD6508"/>
    <w:p w14:paraId="32480B9C" w14:textId="10F23432" w:rsidR="002F7246" w:rsidRPr="002F7246" w:rsidRDefault="002F7246" w:rsidP="00BD6508"/>
    <w:p w14:paraId="36C91172" w14:textId="5AAF0D7E" w:rsidR="002F7246" w:rsidRPr="002F7246" w:rsidRDefault="002F7246" w:rsidP="00BD6508"/>
    <w:p w14:paraId="08A574C4" w14:textId="4E7D3C73" w:rsidR="002F7246" w:rsidRPr="002F7246" w:rsidRDefault="002F7246" w:rsidP="00BD6508"/>
    <w:p w14:paraId="3584D8ED" w14:textId="4482CB12" w:rsidR="002F7246" w:rsidRPr="002F7246" w:rsidRDefault="002F7246" w:rsidP="00BD6508"/>
    <w:p w14:paraId="68B55C9C" w14:textId="10AEBC2B" w:rsidR="002F7246" w:rsidRPr="002F7246" w:rsidRDefault="002F7246" w:rsidP="00BD6508"/>
    <w:p w14:paraId="1A757BE4" w14:textId="281E8B22" w:rsidR="002F7246" w:rsidRPr="002F7246" w:rsidRDefault="002F7246" w:rsidP="00BD6508"/>
    <w:p w14:paraId="36CC5EC2" w14:textId="595C1649" w:rsidR="002F7246" w:rsidRPr="002F7246" w:rsidRDefault="002F7246" w:rsidP="00BD6508"/>
    <w:p w14:paraId="3CCFD83E" w14:textId="0CA7A7AE" w:rsidR="002F7246" w:rsidRPr="002F7246" w:rsidRDefault="002F7246" w:rsidP="00BD6508"/>
    <w:p w14:paraId="16D879EE" w14:textId="09CA7063" w:rsidR="002F7246" w:rsidRPr="002F7246" w:rsidRDefault="002F7246" w:rsidP="00BD6508"/>
    <w:p w14:paraId="36464009" w14:textId="40136A58" w:rsidR="002F7246" w:rsidRPr="002F7246" w:rsidRDefault="002F7246" w:rsidP="00BD6508"/>
    <w:p w14:paraId="43E379FA" w14:textId="08CB34A8" w:rsidR="002F7246" w:rsidRPr="002F7246" w:rsidRDefault="002F7246" w:rsidP="00BD6508"/>
    <w:p w14:paraId="76AFB36C" w14:textId="4D831E62" w:rsidR="002F7246" w:rsidRPr="002F7246" w:rsidRDefault="002F7246" w:rsidP="00BD6508"/>
    <w:p w14:paraId="3A318206" w14:textId="1855F3A7" w:rsidR="002F7246" w:rsidRPr="002F7246" w:rsidRDefault="002F7246" w:rsidP="00BD6508"/>
    <w:p w14:paraId="34710E7B" w14:textId="70456317" w:rsidR="002F7246" w:rsidRPr="002F7246" w:rsidRDefault="002F7246" w:rsidP="00BD6508"/>
    <w:p w14:paraId="30F76477" w14:textId="1DD5ED7E" w:rsidR="002F7246" w:rsidRPr="002F7246" w:rsidRDefault="002F7246" w:rsidP="00BD6508"/>
    <w:p w14:paraId="3304C075" w14:textId="58581F7F" w:rsidR="002F7246" w:rsidRPr="002F7246" w:rsidRDefault="002F7246" w:rsidP="00BD6508"/>
    <w:p w14:paraId="47BD208E" w14:textId="3D96C41F" w:rsidR="002F7246" w:rsidRPr="002F7246" w:rsidRDefault="002F7246" w:rsidP="00BD6508"/>
    <w:p w14:paraId="5BEEBF9D" w14:textId="7139C884" w:rsidR="002F7246" w:rsidRPr="002F7246" w:rsidRDefault="002F7246" w:rsidP="00BD6508"/>
    <w:p w14:paraId="50CE7207" w14:textId="1AF95CF9" w:rsidR="002F7246" w:rsidRPr="002F7246" w:rsidRDefault="002F7246" w:rsidP="00BD6508"/>
    <w:p w14:paraId="6B707B8B" w14:textId="55408173" w:rsidR="002F7246" w:rsidRPr="002F7246" w:rsidRDefault="002F7246" w:rsidP="00BD6508"/>
    <w:p w14:paraId="26B2FFA8" w14:textId="3C069291" w:rsidR="002F7246" w:rsidRPr="002F7246" w:rsidRDefault="002F7246" w:rsidP="00BD6508"/>
    <w:p w14:paraId="6331A9E7" w14:textId="034FEBF9" w:rsidR="002F7246" w:rsidRPr="002F7246" w:rsidRDefault="002F7246" w:rsidP="00BD6508"/>
    <w:p w14:paraId="2C1C55E6" w14:textId="56181300" w:rsidR="002F7246" w:rsidRPr="002F7246" w:rsidRDefault="002F7246" w:rsidP="00BD6508"/>
    <w:p w14:paraId="749DCB8D" w14:textId="6496D748" w:rsidR="002F7246" w:rsidRPr="002F7246" w:rsidRDefault="002F7246" w:rsidP="00BD6508"/>
    <w:p w14:paraId="09CDD720" w14:textId="38C2A4AB" w:rsidR="002F7246" w:rsidRPr="002F7246" w:rsidRDefault="002F7246" w:rsidP="00BD6508"/>
    <w:p w14:paraId="1E33F6E2" w14:textId="4A930FDF" w:rsidR="002F7246" w:rsidRPr="002F7246" w:rsidRDefault="002F7246" w:rsidP="00BD6508"/>
    <w:p w14:paraId="06D4BAB4" w14:textId="2A0B32F4" w:rsidR="002F7246" w:rsidRPr="002F7246" w:rsidRDefault="002F7246" w:rsidP="00BD6508"/>
    <w:p w14:paraId="0AAE90E3" w14:textId="65F90A90" w:rsidR="002F7246" w:rsidRPr="002F7246" w:rsidRDefault="002F7246" w:rsidP="00BD6508"/>
    <w:p w14:paraId="1E1715B3" w14:textId="76A83044" w:rsidR="002F7246" w:rsidRPr="002F7246" w:rsidRDefault="002F7246" w:rsidP="00BD6508"/>
    <w:p w14:paraId="2D50A268" w14:textId="09733372" w:rsidR="002F7246" w:rsidRPr="002F7246" w:rsidRDefault="002F7246" w:rsidP="00BD6508"/>
    <w:p w14:paraId="238950B7" w14:textId="65EA4E13" w:rsidR="002F7246" w:rsidRPr="002F7246" w:rsidRDefault="002F7246" w:rsidP="00BD6508"/>
    <w:p w14:paraId="68C227AF" w14:textId="7B795D48" w:rsidR="002F7246" w:rsidRPr="002F7246" w:rsidRDefault="002F7246" w:rsidP="00BD6508"/>
    <w:p w14:paraId="79FC84E5" w14:textId="67833B34" w:rsidR="002F7246" w:rsidRPr="002F7246" w:rsidRDefault="002F7246" w:rsidP="00BD6508"/>
    <w:p w14:paraId="30831707" w14:textId="301738EB" w:rsidR="002F7246" w:rsidRPr="002F7246" w:rsidRDefault="002F7246" w:rsidP="00BD6508"/>
    <w:p w14:paraId="05EF4CE4" w14:textId="48657F2D" w:rsidR="002F7246" w:rsidRPr="002F7246" w:rsidRDefault="002F7246" w:rsidP="00BD6508"/>
    <w:p w14:paraId="78CCAB99" w14:textId="5EE00D02" w:rsidR="002F7246" w:rsidRPr="002F7246" w:rsidRDefault="002F7246" w:rsidP="00BD6508"/>
    <w:p w14:paraId="545FEC74" w14:textId="7EFEF91A" w:rsidR="002F7246" w:rsidRPr="002F7246" w:rsidRDefault="002F7246" w:rsidP="00BD6508"/>
    <w:p w14:paraId="16A747EB" w14:textId="2A7EC462" w:rsidR="002F7246" w:rsidRPr="002F7246" w:rsidRDefault="002F7246" w:rsidP="00BD6508"/>
    <w:p w14:paraId="5C40BE6A" w14:textId="0DA0F5F4" w:rsidR="002F7246" w:rsidRDefault="002F7246" w:rsidP="002F7246">
      <w:pPr>
        <w:tabs>
          <w:tab w:val="left" w:pos="3340"/>
        </w:tabs>
      </w:pPr>
      <w:r>
        <w:tab/>
      </w:r>
    </w:p>
    <w:p w14:paraId="73085C57" w14:textId="4A332F7D" w:rsidR="002F7246" w:rsidRDefault="002F7246" w:rsidP="002F7246">
      <w:pPr>
        <w:tabs>
          <w:tab w:val="left" w:pos="3340"/>
        </w:tabs>
      </w:pPr>
    </w:p>
    <w:p w14:paraId="28B1A867" w14:textId="1D0CBCEB" w:rsidR="002F7246" w:rsidRPr="002F7246" w:rsidRDefault="002F7246" w:rsidP="00BD6508">
      <w:pPr>
        <w:tabs>
          <w:tab w:val="left" w:pos="3340"/>
        </w:tabs>
      </w:pPr>
      <w:r>
        <w:rPr>
          <w:noProof/>
          <w:lang w:val="en-US"/>
        </w:rPr>
        <w:lastRenderedPageBreak/>
        <mc:AlternateContent>
          <mc:Choice Requires="wps">
            <w:drawing>
              <wp:anchor distT="0" distB="0" distL="114300" distR="114300" simplePos="0" relativeHeight="253239294" behindDoc="1" locked="0" layoutInCell="1" allowOverlap="1" wp14:anchorId="4EB96676" wp14:editId="05330E12">
                <wp:simplePos x="0" y="0"/>
                <wp:positionH relativeFrom="margin">
                  <wp:posOffset>0</wp:posOffset>
                </wp:positionH>
                <wp:positionV relativeFrom="margin">
                  <wp:posOffset>118745</wp:posOffset>
                </wp:positionV>
                <wp:extent cx="1447800" cy="3251200"/>
                <wp:effectExtent l="0" t="0" r="0" b="0"/>
                <wp:wrapTight wrapText="bothSides">
                  <wp:wrapPolygon edited="0">
                    <wp:start x="568" y="0"/>
                    <wp:lineTo x="0" y="253"/>
                    <wp:lineTo x="0" y="21263"/>
                    <wp:lineTo x="568" y="21516"/>
                    <wp:lineTo x="20842" y="21516"/>
                    <wp:lineTo x="21411" y="21263"/>
                    <wp:lineTo x="21411" y="253"/>
                    <wp:lineTo x="20842" y="0"/>
                    <wp:lineTo x="568" y="0"/>
                  </wp:wrapPolygon>
                </wp:wrapTight>
                <wp:docPr id="1422" name="Rounded Rectangle 1422"/>
                <wp:cNvGraphicFramePr/>
                <a:graphic xmlns:a="http://schemas.openxmlformats.org/drawingml/2006/main">
                  <a:graphicData uri="http://schemas.microsoft.com/office/word/2010/wordprocessingShape">
                    <wps:wsp>
                      <wps:cNvSpPr/>
                      <wps:spPr>
                        <a:xfrm>
                          <a:off x="0" y="0"/>
                          <a:ext cx="1447800" cy="3251200"/>
                        </a:xfrm>
                        <a:prstGeom prst="roundRect">
                          <a:avLst>
                            <a:gd name="adj" fmla="val 7277"/>
                          </a:avLst>
                        </a:prstGeom>
                        <a:solidFill>
                          <a:srgbClr val="F39C32"/>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035E07B" id="Rounded Rectangle 1422" o:spid="_x0000_s1026" style="position:absolute;margin-left:0;margin-top:9.35pt;width:114pt;height:256pt;z-index:-25007718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" fillcolor="#f39c32" stroked="f" strokeweight="2.25pt">
                <v:stroke joinstyle="miter"/>
                <w10:wrap type="tight" anchorx="margin" anchory="margin"/>
              </v:roundrect>
            </w:pict>
          </mc:Fallback>
        </mc:AlternateContent>
      </w:r>
      <w:r>
        <w:rPr>
          <w:noProof/>
          <w:lang w:val="en-US"/>
        </w:rPr>
        <mc:AlternateContent>
          <mc:Choice Requires="wps">
            <w:drawing>
              <wp:anchor distT="0" distB="0" distL="114300" distR="114300" simplePos="0" relativeHeight="253243390" behindDoc="0" locked="0" layoutInCell="1" allowOverlap="1" wp14:anchorId="702298A6" wp14:editId="4D1CC323">
                <wp:simplePos x="0" y="0"/>
                <wp:positionH relativeFrom="column">
                  <wp:posOffset>1625600</wp:posOffset>
                </wp:positionH>
                <wp:positionV relativeFrom="margin">
                  <wp:posOffset>118745</wp:posOffset>
                </wp:positionV>
                <wp:extent cx="5168900" cy="3403600"/>
                <wp:effectExtent l="0" t="0" r="0" b="0"/>
                <wp:wrapNone/>
                <wp:docPr id="1425" name="Text Box 1425"/>
                <wp:cNvGraphicFramePr/>
                <a:graphic xmlns:a="http://schemas.openxmlformats.org/drawingml/2006/main">
                  <a:graphicData uri="http://schemas.microsoft.com/office/word/2010/wordprocessingShape">
                    <wps:wsp>
                      <wps:cNvSpPr txBox="1"/>
                      <wps:spPr>
                        <a:xfrm>
                          <a:off x="0" y="0"/>
                          <a:ext cx="5168900" cy="3403600"/>
                        </a:xfrm>
                        <a:prstGeom prst="rect">
                          <a:avLst/>
                        </a:prstGeom>
                        <a:solidFill>
                          <a:schemeClr val="lt1"/>
                        </a:solidFill>
                        <a:ln w="6350">
                          <a:noFill/>
                        </a:ln>
                      </wps:spPr>
                      <wps:txbx>
                        <w:txbxContent>
                          <w:p w14:paraId="480ECCD3"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Information should be published and disseminated in easy and accessible formats through all possible means, including digital open data formats through the internet, public libraries, information </w:t>
                            </w:r>
                            <w:proofErr w:type="spellStart"/>
                            <w:r w:rsidRPr="00BD6508">
                              <w:rPr>
                                <w:rFonts w:ascii="Arial" w:hAnsi="Arial" w:cs="Arial"/>
                                <w:sz w:val="24"/>
                                <w:szCs w:val="24"/>
                                <w:lang w:val="en-ZA"/>
                              </w:rPr>
                              <w:t>centers</w:t>
                            </w:r>
                            <w:proofErr w:type="spellEnd"/>
                            <w:r w:rsidRPr="00BD6508">
                              <w:rPr>
                                <w:rFonts w:ascii="Arial" w:hAnsi="Arial" w:cs="Arial"/>
                                <w:sz w:val="24"/>
                                <w:szCs w:val="24"/>
                                <w:lang w:val="en-ZA"/>
                              </w:rPr>
                              <w:t xml:space="preserve">, and so forth. Information should be made available in non-proprietary and non-discriminatory formats. It should be freely available without access fees and without any restrictions such as the need to register or the need to obtain specific licensed software. Available data should be standardized to make it easily accessible, reusable, and machine readable. This should allow for different types of analyses. </w:t>
                            </w:r>
                          </w:p>
                          <w:p w14:paraId="7AD485E1" w14:textId="77777777" w:rsidR="00D15FD8" w:rsidRPr="00BD6508" w:rsidRDefault="00D15FD8" w:rsidP="00BD6508">
                            <w:pPr>
                              <w:spacing w:line="276" w:lineRule="auto"/>
                              <w:jc w:val="both"/>
                              <w:rPr>
                                <w:rFonts w:ascii="Arial" w:hAnsi="Arial" w:cs="Arial"/>
                                <w:sz w:val="24"/>
                                <w:szCs w:val="24"/>
                                <w:lang w:val="en-ZA"/>
                              </w:rPr>
                            </w:pPr>
                          </w:p>
                          <w:p w14:paraId="4620F0AA" w14:textId="77777777" w:rsidR="00D15FD8" w:rsidRPr="00BD6508" w:rsidRDefault="00D15FD8" w:rsidP="00BD6508">
                            <w:pPr>
                              <w:spacing w:line="276" w:lineRule="auto"/>
                              <w:jc w:val="both"/>
                              <w:rPr>
                                <w:rFonts w:ascii="Arial" w:hAnsi="Arial" w:cs="Arial"/>
                                <w:sz w:val="24"/>
                                <w:szCs w:val="24"/>
                              </w:rPr>
                            </w:pPr>
                            <w:r w:rsidRPr="00BD6508">
                              <w:rPr>
                                <w:rFonts w:ascii="Arial" w:hAnsi="Arial" w:cs="Arial"/>
                                <w:sz w:val="24"/>
                                <w:szCs w:val="24"/>
                                <w:lang w:val="en-ZA"/>
                              </w:rPr>
                              <w:t xml:space="preserve">In addition, budget data should be released with adequate usage instructions and guidelines, including where information can be found on websites that should themselves be well-organized and easy to navigate. A curated online repository that classifies and stores budget documents can be a very useful tool. Module 4, focused on digital tools, provides more detail on these concepts.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298A6" id="Text Box 1425" o:spid="_x0000_s1408" type="#_x0000_t202" style="position:absolute;margin-left:128pt;margin-top:9.35pt;width:407pt;height:268pt;z-index:25324339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" fillcolor="white [3201]" stroked="f" strokeweight=".5pt">
                <v:textbox>
                  <w:txbxContent>
                    <w:p w14:paraId="480ECCD3" w14:textId="77777777" w:rsidR="00D15FD8" w:rsidRPr="00BD6508" w:rsidRDefault="00D15FD8" w:rsidP="00BD6508">
                      <w:pPr>
                        <w:spacing w:line="276" w:lineRule="auto"/>
                        <w:jc w:val="both"/>
                        <w:rPr>
                          <w:rFonts w:ascii="Arial" w:hAnsi="Arial" w:cs="Arial"/>
                          <w:sz w:val="24"/>
                          <w:szCs w:val="24"/>
                          <w:lang w:val="en-ZA"/>
                        </w:rPr>
                      </w:pPr>
                      <w:r w:rsidRPr="00BD6508">
                        <w:rPr>
                          <w:rFonts w:ascii="Arial" w:hAnsi="Arial" w:cs="Arial"/>
                          <w:sz w:val="24"/>
                          <w:szCs w:val="24"/>
                          <w:lang w:val="en-ZA"/>
                        </w:rPr>
                        <w:t xml:space="preserve">Information should be published and disseminated in easy and accessible formats through all possible means, including digital open data formats through the internet, public libraries, information </w:t>
                      </w:r>
                      <w:proofErr w:type="spellStart"/>
                      <w:r w:rsidRPr="00BD6508">
                        <w:rPr>
                          <w:rFonts w:ascii="Arial" w:hAnsi="Arial" w:cs="Arial"/>
                          <w:sz w:val="24"/>
                          <w:szCs w:val="24"/>
                          <w:lang w:val="en-ZA"/>
                        </w:rPr>
                        <w:t>centers</w:t>
                      </w:r>
                      <w:proofErr w:type="spellEnd"/>
                      <w:r w:rsidRPr="00BD6508">
                        <w:rPr>
                          <w:rFonts w:ascii="Arial" w:hAnsi="Arial" w:cs="Arial"/>
                          <w:sz w:val="24"/>
                          <w:szCs w:val="24"/>
                          <w:lang w:val="en-ZA"/>
                        </w:rPr>
                        <w:t xml:space="preserve">, and so forth. Information should be made available in non-proprietary and non-discriminatory formats. It should be freely available without access fees and without any restrictions such as the need to register or the need to obtain specific licensed software. Available data should be standardized to make it easily accessible, reusable, and machine readable. This should allow for different types of analyses. </w:t>
                      </w:r>
                    </w:p>
                    <w:p w14:paraId="7AD485E1" w14:textId="77777777" w:rsidR="00D15FD8" w:rsidRPr="00BD6508" w:rsidRDefault="00D15FD8" w:rsidP="00BD6508">
                      <w:pPr>
                        <w:spacing w:line="276" w:lineRule="auto"/>
                        <w:jc w:val="both"/>
                        <w:rPr>
                          <w:rFonts w:ascii="Arial" w:hAnsi="Arial" w:cs="Arial"/>
                          <w:sz w:val="24"/>
                          <w:szCs w:val="24"/>
                          <w:lang w:val="en-ZA"/>
                        </w:rPr>
                      </w:pPr>
                    </w:p>
                    <w:p w14:paraId="4620F0AA" w14:textId="77777777" w:rsidR="00D15FD8" w:rsidRPr="00BD6508" w:rsidRDefault="00D15FD8" w:rsidP="00BD6508">
                      <w:pPr>
                        <w:spacing w:line="276" w:lineRule="auto"/>
                        <w:jc w:val="both"/>
                        <w:rPr>
                          <w:rFonts w:ascii="Arial" w:hAnsi="Arial" w:cs="Arial"/>
                          <w:sz w:val="24"/>
                          <w:szCs w:val="24"/>
                        </w:rPr>
                      </w:pPr>
                      <w:r w:rsidRPr="00BD6508">
                        <w:rPr>
                          <w:rFonts w:ascii="Arial" w:hAnsi="Arial" w:cs="Arial"/>
                          <w:sz w:val="24"/>
                          <w:szCs w:val="24"/>
                          <w:lang w:val="en-ZA"/>
                        </w:rPr>
                        <w:t xml:space="preserve">In addition, budget data should be released with adequate usage instructions and guidelines, including where information can be found on websites that should themselves be well-organized and easy to navigate. A curated online repository that classifies and stores budget documents can be a very useful tool. Module 4, focused on digital tools, provides more detail on these concepts.                           </w:t>
                      </w:r>
                    </w:p>
                  </w:txbxContent>
                </v:textbox>
                <w10:wrap anchory="margin"/>
              </v:shape>
            </w:pict>
          </mc:Fallback>
        </mc:AlternateContent>
      </w:r>
    </w:p>
    <w:p w14:paraId="3668182D" w14:textId="6E3CD0DD" w:rsidR="002F7246" w:rsidRPr="002F7246" w:rsidRDefault="002F7246" w:rsidP="00BD6508"/>
    <w:p w14:paraId="52325EBF" w14:textId="41F539E5" w:rsidR="002F7246" w:rsidRPr="002F7246" w:rsidRDefault="002F7246" w:rsidP="00BD6508"/>
    <w:p w14:paraId="7FD41A49" w14:textId="078380AC" w:rsidR="002F7246" w:rsidRPr="002F7246" w:rsidRDefault="002F7246" w:rsidP="00BD6508"/>
    <w:p w14:paraId="5A9FABAD" w14:textId="2F1132D3" w:rsidR="002F7246" w:rsidRPr="002F7246" w:rsidRDefault="002F7246" w:rsidP="00BD6508">
      <w:r>
        <w:rPr>
          <w:noProof/>
          <w:lang w:val="en-US"/>
        </w:rPr>
        <w:drawing>
          <wp:anchor distT="0" distB="0" distL="114300" distR="114300" simplePos="0" relativeHeight="253240318" behindDoc="1" locked="0" layoutInCell="1" allowOverlap="1" wp14:anchorId="4551A651" wp14:editId="6D26EAC2">
            <wp:simplePos x="0" y="0"/>
            <wp:positionH relativeFrom="column">
              <wp:posOffset>114300</wp:posOffset>
            </wp:positionH>
            <wp:positionV relativeFrom="margin">
              <wp:posOffset>788670</wp:posOffset>
            </wp:positionV>
            <wp:extent cx="1206500" cy="1216025"/>
            <wp:effectExtent l="0" t="0" r="0" b="3175"/>
            <wp:wrapTight wrapText="bothSides">
              <wp:wrapPolygon edited="0">
                <wp:start x="8413" y="226"/>
                <wp:lineTo x="7048" y="902"/>
                <wp:lineTo x="2274" y="3609"/>
                <wp:lineTo x="455" y="7896"/>
                <wp:lineTo x="227" y="8798"/>
                <wp:lineTo x="0" y="11505"/>
                <wp:lineTo x="909" y="15114"/>
                <wp:lineTo x="3865" y="19175"/>
                <wp:lineTo x="9095" y="21431"/>
                <wp:lineTo x="12278" y="21431"/>
                <wp:lineTo x="17507" y="19175"/>
                <wp:lineTo x="20236" y="15114"/>
                <wp:lineTo x="21373" y="11505"/>
                <wp:lineTo x="20918" y="7896"/>
                <wp:lineTo x="19326" y="4963"/>
                <wp:lineTo x="18872" y="3609"/>
                <wp:lineTo x="14552" y="902"/>
                <wp:lineTo x="12960" y="226"/>
                <wp:lineTo x="8413" y="226"/>
              </wp:wrapPolygon>
            </wp:wrapTight>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rotWithShape="1">
                    <a:blip r:embed="rId701" cstate="email">
                      <a:extLst>
                        <a:ext uri="{28A0092B-C50C-407E-A947-70E740481C1C}">
                          <a14:useLocalDpi xmlns:a14="http://schemas.microsoft.com/office/drawing/2010/main"/>
                        </a:ext>
                      </a:extLst>
                    </a:blip>
                    <a:srcRect/>
                    <a:stretch/>
                  </pic:blipFill>
                  <pic:spPr bwMode="auto">
                    <a:xfrm>
                      <a:off x="0" y="0"/>
                      <a:ext cx="1206500" cy="121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95D08F" w14:textId="471295FF" w:rsidR="002F7246" w:rsidRPr="002F7246" w:rsidRDefault="002F7246" w:rsidP="00BD6508"/>
    <w:p w14:paraId="42BD7682" w14:textId="0993CA18" w:rsidR="002F7246" w:rsidRDefault="002F7246" w:rsidP="002F7246">
      <w:r>
        <w:rPr>
          <w:noProof/>
          <w:lang w:val="en-US"/>
        </w:rPr>
        <mc:AlternateContent>
          <mc:Choice Requires="wps">
            <w:drawing>
              <wp:anchor distT="0" distB="0" distL="114300" distR="114300" simplePos="0" relativeHeight="253241342" behindDoc="0" locked="0" layoutInCell="1" allowOverlap="1" wp14:anchorId="3765213F" wp14:editId="328A84CD">
                <wp:simplePos x="0" y="0"/>
                <wp:positionH relativeFrom="column">
                  <wp:posOffset>63500</wp:posOffset>
                </wp:positionH>
                <wp:positionV relativeFrom="paragraph">
                  <wp:posOffset>1017905</wp:posOffset>
                </wp:positionV>
                <wp:extent cx="1320800" cy="711200"/>
                <wp:effectExtent l="0" t="0" r="0" b="0"/>
                <wp:wrapNone/>
                <wp:docPr id="1423" name="Text Box 1423"/>
                <wp:cNvGraphicFramePr/>
                <a:graphic xmlns:a="http://schemas.openxmlformats.org/drawingml/2006/main">
                  <a:graphicData uri="http://schemas.microsoft.com/office/word/2010/wordprocessingShape">
                    <wps:wsp>
                      <wps:cNvSpPr txBox="1"/>
                      <wps:spPr>
                        <a:xfrm>
                          <a:off x="0" y="0"/>
                          <a:ext cx="1320800" cy="711200"/>
                        </a:xfrm>
                        <a:prstGeom prst="rect">
                          <a:avLst/>
                        </a:prstGeom>
                        <a:noFill/>
                        <a:ln w="6350">
                          <a:noFill/>
                        </a:ln>
                      </wps:spPr>
                      <wps:txbx>
                        <w:txbxContent>
                          <w:p w14:paraId="035F10FB" w14:textId="77777777"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5213F" id="Text Box 1423" o:spid="_x0000_s1409" type="#_x0000_t202" style="position:absolute;margin-left:5pt;margin-top:80.15pt;width:104pt;height:56pt;z-index:253241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" filled="f" stroked="f" strokeweight=".5pt">
                <v:textbox>
                  <w:txbxContent>
                    <w:p w14:paraId="035F10FB" w14:textId="77777777" w:rsidR="00D15FD8" w:rsidRPr="00BD6508" w:rsidRDefault="00D15FD8" w:rsidP="00BD6508">
                      <w:pPr>
                        <w:jc w:val="center"/>
                        <w:rPr>
                          <w:rFonts w:ascii="Arial" w:hAnsi="Arial" w:cs="Arial"/>
                          <w:b/>
                          <w:bCs/>
                          <w:color w:val="FFFFFF" w:themeColor="background1"/>
                          <w:sz w:val="28"/>
                          <w:szCs w:val="28"/>
                          <w:lang w:val="en-US"/>
                        </w:rPr>
                      </w:pPr>
                      <w:r w:rsidRPr="00BD6508">
                        <w:rPr>
                          <w:rFonts w:ascii="Arial" w:hAnsi="Arial" w:cs="Arial"/>
                          <w:b/>
                          <w:bCs/>
                          <w:color w:val="FFFFFF" w:themeColor="background1"/>
                          <w:sz w:val="28"/>
                          <w:szCs w:val="28"/>
                          <w:lang w:val="en-US"/>
                        </w:rPr>
                        <w:t xml:space="preserve">High-quality </w:t>
                      </w:r>
                      <w:r>
                        <w:rPr>
                          <w:rFonts w:ascii="Arial" w:hAnsi="Arial" w:cs="Arial"/>
                          <w:b/>
                          <w:bCs/>
                          <w:color w:val="FFFFFF" w:themeColor="background1"/>
                          <w:sz w:val="28"/>
                          <w:szCs w:val="28"/>
                          <w:lang w:val="en-US"/>
                        </w:rPr>
                        <w:t>f</w:t>
                      </w:r>
                      <w:r w:rsidRPr="00BD6508">
                        <w:rPr>
                          <w:rFonts w:ascii="Arial" w:hAnsi="Arial" w:cs="Arial"/>
                          <w:b/>
                          <w:bCs/>
                          <w:color w:val="FFFFFF" w:themeColor="background1"/>
                          <w:sz w:val="28"/>
                          <w:szCs w:val="28"/>
                          <w:lang w:val="en-US"/>
                        </w:rPr>
                        <w:t>iscal Information</w:t>
                      </w:r>
                    </w:p>
                  </w:txbxContent>
                </v:textbox>
              </v:shape>
            </w:pict>
          </mc:Fallback>
        </mc:AlternateContent>
      </w:r>
    </w:p>
    <w:p w14:paraId="543C4A88" w14:textId="549FABF8" w:rsidR="00277109" w:rsidRPr="00277109" w:rsidRDefault="00277109" w:rsidP="00277109"/>
    <w:p w14:paraId="0C9527A8" w14:textId="511F1459" w:rsidR="00277109" w:rsidRPr="00277109" w:rsidRDefault="00277109" w:rsidP="00277109"/>
    <w:p w14:paraId="305C7CA4" w14:textId="67265F0A" w:rsidR="00277109" w:rsidRPr="00277109" w:rsidRDefault="00277109" w:rsidP="00277109"/>
    <w:p w14:paraId="4618FD11" w14:textId="47B1475F" w:rsidR="00277109" w:rsidRPr="00277109" w:rsidRDefault="00277109" w:rsidP="00277109"/>
    <w:p w14:paraId="770BEB50" w14:textId="3968AC84" w:rsidR="00277109" w:rsidRPr="00277109" w:rsidRDefault="00277109" w:rsidP="00277109"/>
    <w:p w14:paraId="4242F212" w14:textId="1D4D7D33" w:rsidR="00277109" w:rsidRPr="00277109" w:rsidRDefault="00277109" w:rsidP="00277109"/>
    <w:p w14:paraId="40C8CD24" w14:textId="7272C015" w:rsidR="00277109" w:rsidRPr="00277109" w:rsidRDefault="00277109" w:rsidP="00277109"/>
    <w:p w14:paraId="373FD5F3" w14:textId="26FF898B" w:rsidR="00277109" w:rsidRPr="00277109" w:rsidRDefault="00277109" w:rsidP="00277109"/>
    <w:p w14:paraId="344C712A" w14:textId="25715E54" w:rsidR="00277109" w:rsidRPr="00277109" w:rsidRDefault="00277109" w:rsidP="00277109"/>
    <w:p w14:paraId="14319A92" w14:textId="4E039666" w:rsidR="00277109" w:rsidRPr="00277109" w:rsidRDefault="00277109" w:rsidP="00277109"/>
    <w:p w14:paraId="7AADAC34" w14:textId="73B44F55" w:rsidR="00277109" w:rsidRPr="00277109" w:rsidRDefault="00277109" w:rsidP="00277109"/>
    <w:p w14:paraId="6754673D" w14:textId="2C0976A3" w:rsidR="00277109" w:rsidRPr="00277109" w:rsidRDefault="00277109" w:rsidP="00277109"/>
    <w:p w14:paraId="02191F23" w14:textId="18CC45FA" w:rsidR="00277109" w:rsidRPr="00277109" w:rsidRDefault="00277109" w:rsidP="00277109"/>
    <w:p w14:paraId="6FA54D81" w14:textId="52D8E935" w:rsidR="00277109" w:rsidRDefault="00277109" w:rsidP="00277109">
      <w:pPr>
        <w:tabs>
          <w:tab w:val="left" w:pos="5740"/>
        </w:tabs>
      </w:pPr>
    </w:p>
    <w:p w14:paraId="433514CE" w14:textId="2845D3EA" w:rsidR="00277109" w:rsidRPr="00616D20" w:rsidRDefault="00E00B16" w:rsidP="00BD6508">
      <w:pPr>
        <w:pStyle w:val="Heading2"/>
        <w:numPr>
          <w:ilvl w:val="1"/>
          <w:numId w:val="94"/>
        </w:numPr>
        <w:rPr>
          <w:rFonts w:ascii="Arial" w:hAnsi="Arial" w:cs="Arial"/>
          <w:b/>
          <w:bCs/>
          <w:color w:val="F39C32"/>
          <w:sz w:val="36"/>
          <w:szCs w:val="36"/>
          <w:lang w:val="en-US"/>
        </w:rPr>
      </w:pPr>
      <w:bookmarkStart w:id="1559" w:name="_Toc123204501"/>
      <w:bookmarkStart w:id="1560" w:name="_Toc123216608"/>
      <w:bookmarkStart w:id="1561" w:name="_Toc123217448"/>
      <w:bookmarkStart w:id="1562" w:name="_Toc123913409"/>
      <w:bookmarkStart w:id="1563" w:name="_Toc123914065"/>
      <w:bookmarkStart w:id="1564" w:name="_Toc125566680"/>
      <w:r w:rsidRPr="00616D20">
        <w:rPr>
          <w:rFonts w:ascii="Arial" w:hAnsi="Arial" w:cs="Arial"/>
          <w:b/>
          <w:bCs/>
          <w:color w:val="F39C32"/>
          <w:sz w:val="36"/>
          <w:szCs w:val="36"/>
          <w:lang w:val="en-US"/>
        </w:rPr>
        <w:t>Data beyond documents</w:t>
      </w:r>
      <w:bookmarkEnd w:id="1559"/>
      <w:bookmarkEnd w:id="1560"/>
      <w:bookmarkEnd w:id="1561"/>
      <w:bookmarkEnd w:id="1562"/>
      <w:bookmarkEnd w:id="1563"/>
      <w:bookmarkEnd w:id="1564"/>
    </w:p>
    <w:p w14:paraId="7B94B9C5" w14:textId="7090C0BB" w:rsidR="00277109" w:rsidRPr="00BD6508" w:rsidRDefault="00277109" w:rsidP="00BD6508">
      <w:pPr>
        <w:tabs>
          <w:tab w:val="left" w:pos="5740"/>
        </w:tabs>
        <w:spacing w:line="276" w:lineRule="auto"/>
        <w:rPr>
          <w:rFonts w:ascii="Arial" w:hAnsi="Arial" w:cs="Arial"/>
          <w:sz w:val="24"/>
          <w:szCs w:val="24"/>
        </w:rPr>
      </w:pPr>
    </w:p>
    <w:p w14:paraId="59A0B843" w14:textId="12F1CEDF" w:rsidR="00277109" w:rsidRPr="00BD6508" w:rsidRDefault="00277109" w:rsidP="00BD6508">
      <w:pPr>
        <w:spacing w:line="276" w:lineRule="auto"/>
        <w:jc w:val="both"/>
        <w:rPr>
          <w:rFonts w:ascii="Arial" w:hAnsi="Arial" w:cs="Arial"/>
          <w:sz w:val="24"/>
          <w:szCs w:val="24"/>
          <w:lang w:val="en-US"/>
        </w:rPr>
      </w:pPr>
      <w:r w:rsidRPr="00BD6508">
        <w:rPr>
          <w:rFonts w:ascii="Arial" w:hAnsi="Arial" w:cs="Arial"/>
          <w:sz w:val="24"/>
          <w:szCs w:val="24"/>
        </w:rPr>
        <w:t>While budget related documents are key to fiscal transparency, they are produced at a point in time and thus don’t necessarily provide the real-time information that is often required to keep the public continually informed and thereby able to purposefully participate and support decision making, implementation and monitoring at all times during the fiscal policy cycle. This is particularly important in times of responses to emergencies/unanticipated occurrences</w:t>
      </w:r>
      <w:r w:rsidRPr="00BD6508">
        <w:rPr>
          <w:rFonts w:ascii="Arial" w:hAnsi="Arial" w:cs="Arial"/>
          <w:sz w:val="24"/>
          <w:szCs w:val="24"/>
          <w:lang w:val="en-US"/>
        </w:rPr>
        <w:t xml:space="preserve">.  </w:t>
      </w:r>
    </w:p>
    <w:p w14:paraId="05C9BC42" w14:textId="77777777" w:rsidR="00277109" w:rsidRPr="00BD6508" w:rsidRDefault="00277109" w:rsidP="00BD6508">
      <w:pPr>
        <w:spacing w:line="276" w:lineRule="auto"/>
        <w:jc w:val="both"/>
        <w:rPr>
          <w:rFonts w:ascii="Arial" w:hAnsi="Arial" w:cs="Arial"/>
          <w:sz w:val="24"/>
          <w:szCs w:val="24"/>
          <w:lang w:val="en-US"/>
        </w:rPr>
      </w:pPr>
    </w:p>
    <w:p w14:paraId="7C3ECB87" w14:textId="4487C3C2" w:rsidR="00277109" w:rsidRPr="00BD6508" w:rsidRDefault="00277109" w:rsidP="003625BA">
      <w:pPr>
        <w:spacing w:line="276" w:lineRule="auto"/>
        <w:jc w:val="both"/>
        <w:rPr>
          <w:rFonts w:ascii="Arial" w:hAnsi="Arial" w:cs="Arial"/>
          <w:sz w:val="24"/>
          <w:szCs w:val="24"/>
        </w:rPr>
      </w:pPr>
      <w:r w:rsidRPr="00BD6508">
        <w:rPr>
          <w:rFonts w:ascii="Arial" w:hAnsi="Arial" w:cs="Arial"/>
          <w:sz w:val="24"/>
          <w:szCs w:val="24"/>
        </w:rPr>
        <w:t xml:space="preserve">Open data is digital data of a public nature that is accessible online and that can be used, reused or redistributed by any person. Open data should be used to support fiscal transparency throughout the fiscal policy cycle. As stated in the OECD’s </w:t>
      </w:r>
      <w:hyperlink r:id="rId704" w:history="1">
        <w:r w:rsidRPr="00BD6508">
          <w:rPr>
            <w:rFonts w:ascii="Arial" w:hAnsi="Arial" w:cs="Arial"/>
            <w:color w:val="0563C1" w:themeColor="hyperlink"/>
            <w:sz w:val="24"/>
            <w:szCs w:val="24"/>
            <w:u w:val="single"/>
          </w:rPr>
          <w:t>Budget Transparency Toolkit</w:t>
        </w:r>
      </w:hyperlink>
      <w:r w:rsidRPr="00BD6508">
        <w:rPr>
          <w:rFonts w:ascii="Arial" w:hAnsi="Arial" w:cs="Arial"/>
          <w:sz w:val="24"/>
          <w:szCs w:val="24"/>
          <w:u w:val="single"/>
        </w:rPr>
        <w:t xml:space="preserve"> </w:t>
      </w:r>
      <w:r w:rsidRPr="00BD6508">
        <w:rPr>
          <w:rFonts w:ascii="Arial" w:hAnsi="Arial" w:cs="Arial"/>
          <w:sz w:val="24"/>
          <w:szCs w:val="24"/>
        </w:rPr>
        <w:t>(2017), making budget data publicly available in an open digital form provides the public with a valuable resource to analyse, evaluate and participate in public budgeting. Open budget data enables the public to understand and engage with the budgetary process and policy-making and to contribute new and innovative perspectives.</w:t>
      </w:r>
    </w:p>
    <w:p w14:paraId="7953E120" w14:textId="2CF671B1" w:rsidR="00277109" w:rsidRPr="003625BA" w:rsidRDefault="00277109" w:rsidP="003625BA">
      <w:pPr>
        <w:pStyle w:val="Heading3"/>
        <w:jc w:val="center"/>
        <w:rPr>
          <w:rFonts w:ascii="Arial" w:hAnsi="Arial" w:cs="Arial"/>
          <w:b/>
          <w:bCs/>
          <w:color w:val="69557F"/>
          <w:sz w:val="20"/>
          <w:szCs w:val="20"/>
          <w:lang w:val="en-US"/>
        </w:rPr>
      </w:pPr>
      <w:bookmarkStart w:id="1565" w:name="_Figure_3.2._Open"/>
      <w:bookmarkStart w:id="1566" w:name="_Toc123217449"/>
      <w:bookmarkStart w:id="1567" w:name="_Toc123914066"/>
      <w:bookmarkStart w:id="1568" w:name="_Toc125566681"/>
      <w:bookmarkEnd w:id="1565"/>
      <w:r w:rsidRPr="003625BA">
        <w:rPr>
          <w:rFonts w:ascii="Arial" w:hAnsi="Arial" w:cs="Arial"/>
          <w:b/>
          <w:bCs/>
          <w:color w:val="69557F"/>
          <w:sz w:val="20"/>
          <w:szCs w:val="20"/>
          <w:lang w:val="en-US"/>
        </w:rPr>
        <w:t xml:space="preserve">Figure </w:t>
      </w:r>
      <w:r w:rsidR="0065711A" w:rsidRPr="003625BA">
        <w:rPr>
          <w:rFonts w:ascii="Arial" w:hAnsi="Arial" w:cs="Arial"/>
          <w:b/>
          <w:bCs/>
          <w:color w:val="69557F"/>
          <w:sz w:val="20"/>
          <w:szCs w:val="20"/>
          <w:lang w:val="en-US"/>
        </w:rPr>
        <w:t>3.</w:t>
      </w:r>
      <w:r w:rsidR="004C79A7">
        <w:rPr>
          <w:rFonts w:ascii="Arial" w:hAnsi="Arial" w:cs="Arial"/>
          <w:b/>
          <w:bCs/>
          <w:color w:val="69557F"/>
          <w:sz w:val="20"/>
          <w:szCs w:val="20"/>
          <w:lang w:val="en-US"/>
        </w:rPr>
        <w:t>2.</w:t>
      </w:r>
      <w:r w:rsidR="00372252" w:rsidRPr="003625BA">
        <w:rPr>
          <w:rFonts w:ascii="Arial" w:hAnsi="Arial" w:cs="Arial"/>
          <w:b/>
          <w:bCs/>
          <w:color w:val="69557F"/>
          <w:sz w:val="20"/>
          <w:szCs w:val="20"/>
          <w:lang w:val="en-US"/>
        </w:rPr>
        <w:t xml:space="preserve"> </w:t>
      </w:r>
      <w:r w:rsidRPr="003625BA">
        <w:rPr>
          <w:rFonts w:ascii="Arial" w:hAnsi="Arial" w:cs="Arial"/>
          <w:b/>
          <w:bCs/>
          <w:color w:val="69557F"/>
          <w:sz w:val="20"/>
          <w:szCs w:val="20"/>
          <w:lang w:val="en-US"/>
        </w:rPr>
        <w:t>Open data</w:t>
      </w:r>
      <w:bookmarkEnd w:id="1566"/>
      <w:bookmarkEnd w:id="1567"/>
      <w:bookmarkEnd w:id="1568"/>
    </w:p>
    <w:p w14:paraId="3D126C6C" w14:textId="6776D451" w:rsidR="00277109" w:rsidRDefault="00277109" w:rsidP="00277109">
      <w:pPr>
        <w:tabs>
          <w:tab w:val="left" w:pos="5740"/>
        </w:tabs>
        <w:rPr>
          <w:rFonts w:ascii="Arial" w:hAnsi="Arial" w:cs="Arial"/>
          <w:b/>
          <w:bCs/>
          <w:iCs/>
          <w:sz w:val="20"/>
          <w:szCs w:val="20"/>
          <w:lang w:val="en-US"/>
        </w:rPr>
      </w:pPr>
      <w:r>
        <w:rPr>
          <w:rFonts w:ascii="Arial" w:hAnsi="Arial" w:cs="Arial"/>
          <w:b/>
          <w:bCs/>
          <w:noProof/>
          <w:sz w:val="20"/>
          <w:szCs w:val="20"/>
          <w:lang w:val="en-US"/>
        </w:rPr>
        <w:drawing>
          <wp:anchor distT="0" distB="0" distL="114300" distR="114300" simplePos="0" relativeHeight="253244414" behindDoc="1" locked="0" layoutInCell="1" allowOverlap="1" wp14:anchorId="452E0F78" wp14:editId="44D73916">
            <wp:simplePos x="0" y="0"/>
            <wp:positionH relativeFrom="margin">
              <wp:align>center</wp:align>
            </wp:positionH>
            <wp:positionV relativeFrom="paragraph">
              <wp:posOffset>107315</wp:posOffset>
            </wp:positionV>
            <wp:extent cx="5740400" cy="2092960"/>
            <wp:effectExtent l="0" t="0" r="0" b="0"/>
            <wp:wrapTight wrapText="bothSides">
              <wp:wrapPolygon edited="0">
                <wp:start x="1051" y="524"/>
                <wp:lineTo x="812" y="1311"/>
                <wp:lineTo x="669" y="2097"/>
                <wp:lineTo x="669" y="2883"/>
                <wp:lineTo x="765" y="4981"/>
                <wp:lineTo x="1912" y="7078"/>
                <wp:lineTo x="1959" y="13369"/>
                <wp:lineTo x="1625" y="14549"/>
                <wp:lineTo x="1577" y="20578"/>
                <wp:lineTo x="16773" y="20578"/>
                <wp:lineTo x="16773" y="19660"/>
                <wp:lineTo x="18924" y="19660"/>
                <wp:lineTo x="19211" y="19398"/>
                <wp:lineTo x="19211" y="16252"/>
                <wp:lineTo x="18828" y="15859"/>
                <wp:lineTo x="16821" y="15335"/>
                <wp:lineTo x="16439" y="14417"/>
                <wp:lineTo x="15913" y="13369"/>
                <wp:lineTo x="17634" y="13369"/>
                <wp:lineTo x="20023" y="12189"/>
                <wp:lineTo x="20071" y="8782"/>
                <wp:lineTo x="16773" y="7078"/>
                <wp:lineTo x="17681" y="7078"/>
                <wp:lineTo x="20644" y="5505"/>
                <wp:lineTo x="20692" y="4981"/>
                <wp:lineTo x="20835" y="2359"/>
                <wp:lineTo x="20596" y="1049"/>
                <wp:lineTo x="20405" y="524"/>
                <wp:lineTo x="1051" y="524"/>
              </wp:wrapPolygon>
            </wp:wrapTight>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Picture 1427"/>
                    <pic:cNvPicPr/>
                  </pic:nvPicPr>
                  <pic:blipFill>
                    <a:blip r:embed="rId705" cstate="email">
                      <a:extLst>
                        <a:ext uri="{28A0092B-C50C-407E-A947-70E740481C1C}">
                          <a14:useLocalDpi xmlns:a14="http://schemas.microsoft.com/office/drawing/2010/main"/>
                        </a:ext>
                      </a:extLst>
                    </a:blip>
                    <a:stretch>
                      <a:fillRect/>
                    </a:stretch>
                  </pic:blipFill>
                  <pic:spPr>
                    <a:xfrm>
                      <a:off x="0" y="0"/>
                      <a:ext cx="5740400" cy="2092960"/>
                    </a:xfrm>
                    <a:prstGeom prst="rect">
                      <a:avLst/>
                    </a:prstGeom>
                  </pic:spPr>
                </pic:pic>
              </a:graphicData>
            </a:graphic>
            <wp14:sizeRelH relativeFrom="page">
              <wp14:pctWidth>0</wp14:pctWidth>
            </wp14:sizeRelH>
            <wp14:sizeRelV relativeFrom="page">
              <wp14:pctHeight>0</wp14:pctHeight>
            </wp14:sizeRelV>
          </wp:anchor>
        </w:drawing>
      </w:r>
    </w:p>
    <w:p w14:paraId="147753F7" w14:textId="7AAF0C56" w:rsidR="00277109" w:rsidRDefault="00277109" w:rsidP="00277109">
      <w:pPr>
        <w:tabs>
          <w:tab w:val="left" w:pos="5740"/>
        </w:tabs>
        <w:rPr>
          <w:rFonts w:ascii="Arial" w:hAnsi="Arial" w:cs="Arial"/>
          <w:b/>
          <w:bCs/>
          <w:sz w:val="20"/>
          <w:szCs w:val="20"/>
        </w:rPr>
      </w:pPr>
    </w:p>
    <w:p w14:paraId="287935B5" w14:textId="70B6EB00" w:rsidR="00277109" w:rsidRPr="00BD6508" w:rsidRDefault="00277109" w:rsidP="00BD6508">
      <w:pPr>
        <w:rPr>
          <w:rFonts w:ascii="Arial" w:hAnsi="Arial" w:cs="Arial"/>
          <w:sz w:val="20"/>
          <w:szCs w:val="20"/>
        </w:rPr>
      </w:pPr>
    </w:p>
    <w:p w14:paraId="34624714" w14:textId="394D8948" w:rsidR="00277109" w:rsidRPr="00BD6508" w:rsidRDefault="00277109" w:rsidP="00BD6508">
      <w:pPr>
        <w:rPr>
          <w:rFonts w:ascii="Arial" w:hAnsi="Arial" w:cs="Arial"/>
          <w:sz w:val="20"/>
          <w:szCs w:val="20"/>
        </w:rPr>
      </w:pPr>
    </w:p>
    <w:p w14:paraId="6E985FC7" w14:textId="669F4037" w:rsidR="00277109" w:rsidRPr="00BD6508" w:rsidRDefault="00277109" w:rsidP="00BD6508">
      <w:pPr>
        <w:rPr>
          <w:rFonts w:ascii="Arial" w:hAnsi="Arial" w:cs="Arial"/>
          <w:sz w:val="20"/>
          <w:szCs w:val="20"/>
        </w:rPr>
      </w:pPr>
    </w:p>
    <w:p w14:paraId="066F5F9E" w14:textId="79B3D782" w:rsidR="00277109" w:rsidRPr="00BD6508" w:rsidRDefault="00277109" w:rsidP="00BD6508">
      <w:pPr>
        <w:rPr>
          <w:rFonts w:ascii="Arial" w:hAnsi="Arial" w:cs="Arial"/>
          <w:sz w:val="20"/>
          <w:szCs w:val="20"/>
        </w:rPr>
      </w:pPr>
    </w:p>
    <w:p w14:paraId="035F8F64" w14:textId="040C97DE" w:rsidR="00277109" w:rsidRPr="00BD6508" w:rsidRDefault="00277109" w:rsidP="00BD6508">
      <w:pPr>
        <w:rPr>
          <w:rFonts w:ascii="Arial" w:hAnsi="Arial" w:cs="Arial"/>
          <w:sz w:val="20"/>
          <w:szCs w:val="20"/>
        </w:rPr>
      </w:pPr>
    </w:p>
    <w:p w14:paraId="722ADD63" w14:textId="717C1294" w:rsidR="00277109" w:rsidRPr="00BD6508" w:rsidRDefault="00277109" w:rsidP="00BD6508">
      <w:pPr>
        <w:rPr>
          <w:rFonts w:ascii="Arial" w:hAnsi="Arial" w:cs="Arial"/>
          <w:sz w:val="20"/>
          <w:szCs w:val="20"/>
        </w:rPr>
      </w:pPr>
    </w:p>
    <w:p w14:paraId="3FE19C18" w14:textId="4D2E26F3" w:rsidR="00277109" w:rsidRPr="00BD6508" w:rsidRDefault="00277109" w:rsidP="00BD6508">
      <w:pPr>
        <w:rPr>
          <w:rFonts w:ascii="Arial" w:hAnsi="Arial" w:cs="Arial"/>
          <w:sz w:val="20"/>
          <w:szCs w:val="20"/>
        </w:rPr>
      </w:pPr>
    </w:p>
    <w:p w14:paraId="7E991722" w14:textId="521971E8" w:rsidR="00277109" w:rsidRPr="00BD6508" w:rsidRDefault="00277109" w:rsidP="00BD6508">
      <w:pPr>
        <w:rPr>
          <w:rFonts w:ascii="Arial" w:hAnsi="Arial" w:cs="Arial"/>
          <w:sz w:val="20"/>
          <w:szCs w:val="20"/>
        </w:rPr>
      </w:pPr>
    </w:p>
    <w:p w14:paraId="3533A32E" w14:textId="1907E3A5" w:rsidR="00277109" w:rsidRPr="00BD6508" w:rsidRDefault="00277109" w:rsidP="00BD6508">
      <w:pPr>
        <w:rPr>
          <w:rFonts w:ascii="Arial" w:hAnsi="Arial" w:cs="Arial"/>
          <w:sz w:val="20"/>
          <w:szCs w:val="20"/>
        </w:rPr>
      </w:pPr>
    </w:p>
    <w:p w14:paraId="5EB4F2CD" w14:textId="5ED395B6" w:rsidR="00277109" w:rsidRDefault="00277109" w:rsidP="00277109">
      <w:pPr>
        <w:rPr>
          <w:rFonts w:ascii="Arial" w:hAnsi="Arial" w:cs="Arial"/>
          <w:b/>
          <w:bCs/>
          <w:sz w:val="20"/>
          <w:szCs w:val="20"/>
        </w:rPr>
      </w:pPr>
    </w:p>
    <w:p w14:paraId="76234EE4" w14:textId="4396709F" w:rsidR="00277109" w:rsidRDefault="00277109" w:rsidP="00277109">
      <w:pPr>
        <w:rPr>
          <w:rFonts w:ascii="Arial" w:hAnsi="Arial" w:cs="Arial"/>
          <w:b/>
          <w:bCs/>
          <w:sz w:val="20"/>
          <w:szCs w:val="20"/>
        </w:rPr>
      </w:pPr>
    </w:p>
    <w:p w14:paraId="7D6B5DE6" w14:textId="1AFE2E1A" w:rsidR="00277109" w:rsidRDefault="00277109" w:rsidP="00277109">
      <w:pPr>
        <w:rPr>
          <w:rFonts w:ascii="Arial" w:hAnsi="Arial" w:cs="Arial"/>
          <w:b/>
          <w:bCs/>
          <w:sz w:val="20"/>
          <w:szCs w:val="20"/>
        </w:rPr>
      </w:pPr>
    </w:p>
    <w:p w14:paraId="243B6481" w14:textId="6040C065" w:rsidR="00277109" w:rsidRDefault="00277109" w:rsidP="00277109">
      <w:pPr>
        <w:rPr>
          <w:rFonts w:ascii="Arial" w:hAnsi="Arial" w:cs="Arial"/>
          <w:sz w:val="20"/>
          <w:szCs w:val="20"/>
        </w:rPr>
      </w:pPr>
    </w:p>
    <w:p w14:paraId="692E04C6" w14:textId="0AC2EBC2" w:rsidR="00277109" w:rsidRPr="00BD6508" w:rsidRDefault="00277109" w:rsidP="00BD6508">
      <w:pPr>
        <w:spacing w:line="276" w:lineRule="auto"/>
        <w:jc w:val="both"/>
        <w:rPr>
          <w:rFonts w:ascii="Arial" w:hAnsi="Arial" w:cs="Arial"/>
          <w:sz w:val="24"/>
          <w:szCs w:val="24"/>
        </w:rPr>
      </w:pPr>
      <w:r w:rsidRPr="00BD6508">
        <w:rPr>
          <w:rFonts w:ascii="Arial" w:hAnsi="Arial" w:cs="Arial"/>
          <w:sz w:val="24"/>
          <w:szCs w:val="24"/>
        </w:rPr>
        <w:lastRenderedPageBreak/>
        <w:t>For data to be considered open, it must be non-proprietary; it should be free use, with the only requirement for use being the need to quote the source; it must present information that explains what the data refers to and the metadata that allows it to be interpreted; timely, in that it is published and updated as it is generated, stating its time of publication; accessible without restrictions; be available from the original source; permanent in the sense that historical versions are preserved with appropriate version tracking; and machine readable, that is structured, and bulk-downloadable to allow automated processing</w:t>
      </w:r>
      <w:r w:rsidRPr="00BD6508">
        <w:rPr>
          <w:rStyle w:val="FootnoteReference"/>
          <w:rFonts w:ascii="Arial" w:hAnsi="Arial" w:cs="Arial"/>
          <w:sz w:val="24"/>
          <w:szCs w:val="24"/>
        </w:rPr>
        <w:footnoteReference w:id="46"/>
      </w:r>
      <w:r w:rsidRPr="00BD6508">
        <w:rPr>
          <w:rFonts w:ascii="Arial" w:hAnsi="Arial" w:cs="Arial"/>
          <w:sz w:val="24"/>
          <w:szCs w:val="24"/>
        </w:rPr>
        <w:t>. Open data should be disaggregated, editable, reusable, comparable and inter-operable thereby allowing users to compare, combine and follow the connections among different data sets. All budget related data should be open by default so that the data can be used in a routine manner for the purposes of scrutiny, accountability and public debate.</w:t>
      </w:r>
    </w:p>
    <w:p w14:paraId="257A120C" w14:textId="780A4123" w:rsidR="00277109" w:rsidRPr="00BD6508" w:rsidRDefault="00277109" w:rsidP="00BD6508">
      <w:pPr>
        <w:spacing w:line="276" w:lineRule="auto"/>
        <w:jc w:val="both"/>
        <w:rPr>
          <w:rFonts w:ascii="Arial" w:hAnsi="Arial" w:cs="Arial"/>
          <w:sz w:val="24"/>
          <w:szCs w:val="24"/>
        </w:rPr>
      </w:pPr>
    </w:p>
    <w:p w14:paraId="57132256" w14:textId="7E9977FC" w:rsidR="00277109" w:rsidRDefault="00277109" w:rsidP="00277109">
      <w:pPr>
        <w:spacing w:line="276" w:lineRule="auto"/>
        <w:jc w:val="both"/>
        <w:rPr>
          <w:rFonts w:ascii="Arial" w:hAnsi="Arial" w:cs="Arial"/>
          <w:sz w:val="24"/>
          <w:szCs w:val="24"/>
          <w:lang w:val="en-US"/>
        </w:rPr>
      </w:pPr>
      <w:r w:rsidRPr="00BD6508">
        <w:rPr>
          <w:rFonts w:ascii="Arial" w:hAnsi="Arial" w:cs="Arial"/>
          <w:sz w:val="24"/>
          <w:szCs w:val="24"/>
        </w:rPr>
        <w:t>Open budget data assists in understanding the broader dynamics or daily events that are integrally connected to the fiscal policy cycle. The publication of budget information in open formats, increases the inputs available to all of the actors in the fiscal ecosystem thereby fostering budgetary decisions that enjoy fuller and timely contexts, encouraging the analyses of information through the re-use of information, promoting greater efﬁciency. For example, these actors can analyse the data and add value by linking it to their speciﬁc knowledge/experiences.</w:t>
      </w:r>
      <w:r w:rsidRPr="00BD6508">
        <w:rPr>
          <w:rFonts w:ascii="Arial" w:hAnsi="Arial" w:cs="Arial"/>
          <w:sz w:val="24"/>
          <w:szCs w:val="24"/>
          <w:lang w:val="en-US"/>
        </w:rPr>
        <w:t xml:space="preserve"> </w:t>
      </w:r>
    </w:p>
    <w:p w14:paraId="79A7B1BC" w14:textId="22BA8099" w:rsidR="00277109" w:rsidRDefault="00F971FF" w:rsidP="00277109">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1637729" behindDoc="1" locked="0" layoutInCell="1" allowOverlap="1" wp14:anchorId="300360C2" wp14:editId="209104C0">
            <wp:simplePos x="0" y="0"/>
            <wp:positionH relativeFrom="column">
              <wp:posOffset>-177800</wp:posOffset>
            </wp:positionH>
            <wp:positionV relativeFrom="paragraph">
              <wp:posOffset>172720</wp:posOffset>
            </wp:positionV>
            <wp:extent cx="6391910" cy="1498600"/>
            <wp:effectExtent l="0" t="0" r="0" b="0"/>
            <wp:wrapTight wrapText="bothSides">
              <wp:wrapPolygon edited="0">
                <wp:start x="1588" y="0"/>
                <wp:lineTo x="343" y="3478"/>
                <wp:lineTo x="172" y="6407"/>
                <wp:lineTo x="86" y="6773"/>
                <wp:lineTo x="86" y="13729"/>
                <wp:lineTo x="429" y="15010"/>
                <wp:lineTo x="644" y="17939"/>
                <wp:lineTo x="1245" y="18122"/>
                <wp:lineTo x="1245" y="19037"/>
                <wp:lineTo x="1760" y="19769"/>
                <wp:lineTo x="2833" y="19769"/>
                <wp:lineTo x="19441" y="18854"/>
                <wp:lineTo x="19484" y="17939"/>
                <wp:lineTo x="20214" y="15376"/>
                <wp:lineTo x="20514" y="12081"/>
                <wp:lineTo x="20557" y="9153"/>
                <wp:lineTo x="20300" y="6224"/>
                <wp:lineTo x="19785" y="4027"/>
                <wp:lineTo x="19570" y="3295"/>
                <wp:lineTo x="19656" y="1098"/>
                <wp:lineTo x="17768" y="915"/>
                <wp:lineTo x="3047" y="0"/>
                <wp:lineTo x="1588" y="0"/>
              </wp:wrapPolygon>
            </wp:wrapTight>
            <wp:docPr id="2740" name="Picture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Picture 2740"/>
                    <pic:cNvPicPr/>
                  </pic:nvPicPr>
                  <pic:blipFill rotWithShape="1">
                    <a:blip r:embed="rId706" cstate="screen">
                      <a:extLst>
                        <a:ext uri="{28A0092B-C50C-407E-A947-70E740481C1C}">
                          <a14:useLocalDpi xmlns:a14="http://schemas.microsoft.com/office/drawing/2010/main"/>
                        </a:ext>
                      </a:extLst>
                    </a:blip>
                    <a:srcRect/>
                    <a:stretch/>
                  </pic:blipFill>
                  <pic:spPr bwMode="auto">
                    <a:xfrm>
                      <a:off x="0" y="0"/>
                      <a:ext cx="6391910" cy="149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BD2C31" w14:textId="55ECE7C8" w:rsidR="00277109" w:rsidRPr="00BD6508" w:rsidRDefault="00277109" w:rsidP="00BD6508">
      <w:pPr>
        <w:spacing w:line="276" w:lineRule="auto"/>
        <w:jc w:val="both"/>
        <w:rPr>
          <w:rFonts w:ascii="Arial" w:hAnsi="Arial" w:cs="Arial"/>
          <w:sz w:val="24"/>
          <w:szCs w:val="24"/>
          <w:lang w:val="en-US"/>
        </w:rPr>
      </w:pPr>
    </w:p>
    <w:p w14:paraId="2F21BF61" w14:textId="4D791A99" w:rsidR="00277109" w:rsidRDefault="00ED4E6F" w:rsidP="00277109">
      <w:pPr>
        <w:rPr>
          <w:rFonts w:ascii="Arial" w:hAnsi="Arial" w:cs="Arial"/>
          <w:sz w:val="20"/>
          <w:szCs w:val="20"/>
        </w:rPr>
      </w:pPr>
      <w:r>
        <w:rPr>
          <w:rFonts w:ascii="Arial" w:hAnsi="Arial" w:cs="Arial"/>
          <w:noProof/>
          <w:sz w:val="24"/>
          <w:szCs w:val="24"/>
          <w:lang w:val="en-US"/>
        </w:rPr>
        <mc:AlternateContent>
          <mc:Choice Requires="wps">
            <w:drawing>
              <wp:anchor distT="0" distB="0" distL="114300" distR="114300" simplePos="0" relativeHeight="253248510" behindDoc="0" locked="0" layoutInCell="1" allowOverlap="1" wp14:anchorId="4B4A3D14" wp14:editId="677806B7">
                <wp:simplePos x="0" y="0"/>
                <wp:positionH relativeFrom="column">
                  <wp:posOffset>1041400</wp:posOffset>
                </wp:positionH>
                <wp:positionV relativeFrom="paragraph">
                  <wp:posOffset>125095</wp:posOffset>
                </wp:positionV>
                <wp:extent cx="4292600" cy="533400"/>
                <wp:effectExtent l="0" t="0" r="0" b="0"/>
                <wp:wrapNone/>
                <wp:docPr id="1433" name="Text Box 1433"/>
                <wp:cNvGraphicFramePr/>
                <a:graphic xmlns:a="http://schemas.openxmlformats.org/drawingml/2006/main">
                  <a:graphicData uri="http://schemas.microsoft.com/office/word/2010/wordprocessingShape">
                    <wps:wsp>
                      <wps:cNvSpPr txBox="1"/>
                      <wps:spPr>
                        <a:xfrm>
                          <a:off x="0" y="0"/>
                          <a:ext cx="4292600" cy="533400"/>
                        </a:xfrm>
                        <a:prstGeom prst="rect">
                          <a:avLst/>
                        </a:prstGeom>
                        <a:noFill/>
                        <a:ln w="6350">
                          <a:noFill/>
                        </a:ln>
                      </wps:spPr>
                      <wps:txbx>
                        <w:txbxContent>
                          <w:p w14:paraId="135081E7" w14:textId="1F9F0DA0" w:rsidR="00D15FD8" w:rsidRPr="00057172" w:rsidRDefault="00D15FD8" w:rsidP="00BD6508">
                            <w:pPr>
                              <w:pStyle w:val="Heading1"/>
                              <w:rPr>
                                <w:rFonts w:ascii="Arial" w:hAnsi="Arial" w:cs="Arial"/>
                                <w:b/>
                                <w:bCs/>
                                <w:color w:val="FFFFFF" w:themeColor="background1"/>
                                <w:sz w:val="38"/>
                                <w:szCs w:val="38"/>
                                <w:lang w:val="en-US"/>
                              </w:rPr>
                            </w:pPr>
                            <w:bookmarkStart w:id="1569" w:name="_Revenue_transparency"/>
                            <w:bookmarkStart w:id="1570" w:name="_Toc123828201"/>
                            <w:bookmarkStart w:id="1571" w:name="_Toc123828411"/>
                            <w:bookmarkStart w:id="1572" w:name="_Toc123828607"/>
                            <w:bookmarkStart w:id="1573" w:name="_Toc123912634"/>
                            <w:bookmarkStart w:id="1574" w:name="_Toc123912893"/>
                            <w:bookmarkStart w:id="1575" w:name="_Toc123913120"/>
                            <w:bookmarkStart w:id="1576" w:name="_Toc123914067"/>
                            <w:bookmarkStart w:id="1577" w:name="_Toc125566682"/>
                            <w:bookmarkEnd w:id="1569"/>
                            <w:r w:rsidRPr="00057172">
                              <w:rPr>
                                <w:rFonts w:ascii="Arial" w:hAnsi="Arial" w:cs="Arial"/>
                                <w:b/>
                                <w:bCs/>
                                <w:color w:val="FFFFFF" w:themeColor="background1"/>
                                <w:sz w:val="38"/>
                                <w:szCs w:val="38"/>
                                <w:lang w:val="en-US"/>
                              </w:rPr>
                              <w:t>Revenue transparency</w:t>
                            </w:r>
                            <w:bookmarkEnd w:id="1570"/>
                            <w:bookmarkEnd w:id="1571"/>
                            <w:bookmarkEnd w:id="1572"/>
                            <w:bookmarkEnd w:id="1573"/>
                            <w:bookmarkEnd w:id="1574"/>
                            <w:bookmarkEnd w:id="1575"/>
                            <w:bookmarkEnd w:id="1576"/>
                            <w:bookmarkEnd w:id="157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4A3D14" id="Text Box 1433" o:spid="_x0000_s1410" type="#_x0000_t202" style="position:absolute;margin-left:82pt;margin-top:9.85pt;width:338pt;height:42pt;z-index:2532485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" filled="f" stroked="f" strokeweight=".5pt">
                <v:textbox>
                  <w:txbxContent>
                    <w:p w14:paraId="135081E7" w14:textId="1F9F0DA0" w:rsidR="00D15FD8" w:rsidRPr="00057172" w:rsidRDefault="00D15FD8" w:rsidP="00BD6508">
                      <w:pPr>
                        <w:pStyle w:val="Heading1"/>
                        <w:rPr>
                          <w:rFonts w:ascii="Arial" w:hAnsi="Arial" w:cs="Arial"/>
                          <w:b/>
                          <w:bCs/>
                          <w:color w:val="FFFFFF" w:themeColor="background1"/>
                          <w:sz w:val="38"/>
                          <w:szCs w:val="38"/>
                          <w:lang w:val="en-US"/>
                        </w:rPr>
                      </w:pPr>
                      <w:bookmarkStart w:id="1578" w:name="_Revenue_transparency"/>
                      <w:bookmarkStart w:id="1579" w:name="_Toc123828201"/>
                      <w:bookmarkStart w:id="1580" w:name="_Toc123828411"/>
                      <w:bookmarkStart w:id="1581" w:name="_Toc123828607"/>
                      <w:bookmarkStart w:id="1582" w:name="_Toc123912634"/>
                      <w:bookmarkStart w:id="1583" w:name="_Toc123912893"/>
                      <w:bookmarkStart w:id="1584" w:name="_Toc123913120"/>
                      <w:bookmarkStart w:id="1585" w:name="_Toc123914067"/>
                      <w:bookmarkStart w:id="1586" w:name="_Toc125566682"/>
                      <w:bookmarkEnd w:id="1578"/>
                      <w:r w:rsidRPr="00057172">
                        <w:rPr>
                          <w:rFonts w:ascii="Arial" w:hAnsi="Arial" w:cs="Arial"/>
                          <w:b/>
                          <w:bCs/>
                          <w:color w:val="FFFFFF" w:themeColor="background1"/>
                          <w:sz w:val="38"/>
                          <w:szCs w:val="38"/>
                          <w:lang w:val="en-US"/>
                        </w:rPr>
                        <w:t>Revenue transparency</w:t>
                      </w:r>
                      <w:bookmarkEnd w:id="1579"/>
                      <w:bookmarkEnd w:id="1580"/>
                      <w:bookmarkEnd w:id="1581"/>
                      <w:bookmarkEnd w:id="1582"/>
                      <w:bookmarkEnd w:id="1583"/>
                      <w:bookmarkEnd w:id="1584"/>
                      <w:bookmarkEnd w:id="1585"/>
                      <w:bookmarkEnd w:id="1586"/>
                    </w:p>
                  </w:txbxContent>
                </v:textbox>
              </v:shape>
            </w:pict>
          </mc:Fallback>
        </mc:AlternateContent>
      </w:r>
      <w:r>
        <w:rPr>
          <w:rFonts w:ascii="Arial" w:hAnsi="Arial" w:cs="Arial"/>
          <w:iCs/>
          <w:noProof/>
          <w:lang w:val="en-US"/>
        </w:rPr>
        <mc:AlternateContent>
          <mc:Choice Requires="wps">
            <w:drawing>
              <wp:anchor distT="0" distB="0" distL="114300" distR="114300" simplePos="0" relativeHeight="253249534" behindDoc="0" locked="0" layoutInCell="1" allowOverlap="1" wp14:anchorId="39CE924F" wp14:editId="3F44B58A">
                <wp:simplePos x="0" y="0"/>
                <wp:positionH relativeFrom="column">
                  <wp:posOffset>254000</wp:posOffset>
                </wp:positionH>
                <wp:positionV relativeFrom="paragraph">
                  <wp:posOffset>137795</wp:posOffset>
                </wp:positionV>
                <wp:extent cx="571500" cy="660400"/>
                <wp:effectExtent l="0" t="0" r="0" b="0"/>
                <wp:wrapNone/>
                <wp:docPr id="1434" name="Text Box 1434"/>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5D6AE055" w14:textId="2E55DF76" w:rsidR="00D15FD8" w:rsidRPr="00653DDD" w:rsidRDefault="00D15FD8" w:rsidP="00ED4E6F">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E924F" id="Text Box 1434" o:spid="_x0000_s1411" type="#_x0000_t202" style="position:absolute;margin-left:20pt;margin-top:10.85pt;width:45pt;height:52pt;z-index:25324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" filled="f" stroked="f" strokeweight=".5pt">
                <v:textbox>
                  <w:txbxContent>
                    <w:p w14:paraId="5D6AE055" w14:textId="2E55DF76" w:rsidR="00D15FD8" w:rsidRPr="00653DDD" w:rsidRDefault="00D15FD8" w:rsidP="00ED4E6F">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4</w:t>
                      </w:r>
                    </w:p>
                  </w:txbxContent>
                </v:textbox>
              </v:shape>
            </w:pict>
          </mc:Fallback>
        </mc:AlternateContent>
      </w:r>
    </w:p>
    <w:p w14:paraId="7B3356C3" w14:textId="360EB0D4" w:rsidR="00240F06" w:rsidRPr="00240F06" w:rsidRDefault="00240F06" w:rsidP="00240F06">
      <w:pPr>
        <w:rPr>
          <w:rFonts w:ascii="Arial" w:hAnsi="Arial" w:cs="Arial"/>
          <w:sz w:val="20"/>
          <w:szCs w:val="20"/>
        </w:rPr>
      </w:pPr>
    </w:p>
    <w:p w14:paraId="6B803568" w14:textId="308DD111" w:rsidR="00240F06" w:rsidRPr="00240F06" w:rsidRDefault="00240F06" w:rsidP="00240F06">
      <w:pPr>
        <w:rPr>
          <w:rFonts w:ascii="Arial" w:hAnsi="Arial" w:cs="Arial"/>
          <w:sz w:val="20"/>
          <w:szCs w:val="20"/>
        </w:rPr>
      </w:pPr>
    </w:p>
    <w:p w14:paraId="4B9A3D6F" w14:textId="4C534802" w:rsidR="00240F06" w:rsidRPr="00240F06" w:rsidRDefault="00240F06" w:rsidP="00240F06">
      <w:pPr>
        <w:rPr>
          <w:rFonts w:ascii="Arial" w:hAnsi="Arial" w:cs="Arial"/>
          <w:sz w:val="20"/>
          <w:szCs w:val="20"/>
        </w:rPr>
      </w:pPr>
    </w:p>
    <w:p w14:paraId="160E8E82" w14:textId="477DC05B" w:rsidR="00240F06" w:rsidRPr="00240F06" w:rsidRDefault="00240F06" w:rsidP="00240F06">
      <w:pPr>
        <w:rPr>
          <w:rFonts w:ascii="Arial" w:hAnsi="Arial" w:cs="Arial"/>
          <w:sz w:val="20"/>
          <w:szCs w:val="20"/>
        </w:rPr>
      </w:pPr>
    </w:p>
    <w:p w14:paraId="3E494690" w14:textId="08911C2E" w:rsidR="00240F06" w:rsidRPr="00240F06" w:rsidRDefault="00240F06" w:rsidP="00240F06">
      <w:pPr>
        <w:rPr>
          <w:rFonts w:ascii="Arial" w:hAnsi="Arial" w:cs="Arial"/>
          <w:sz w:val="20"/>
          <w:szCs w:val="20"/>
        </w:rPr>
      </w:pPr>
    </w:p>
    <w:p w14:paraId="4E60875B" w14:textId="67EB162C" w:rsidR="00240F06" w:rsidRPr="00240F06" w:rsidRDefault="00240F06" w:rsidP="00240F06">
      <w:pPr>
        <w:rPr>
          <w:rFonts w:ascii="Arial" w:hAnsi="Arial" w:cs="Arial"/>
          <w:sz w:val="20"/>
          <w:szCs w:val="20"/>
        </w:rPr>
      </w:pPr>
    </w:p>
    <w:p w14:paraId="686C1712" w14:textId="4474174B" w:rsidR="00240F06" w:rsidRPr="00240F06" w:rsidRDefault="00240F06" w:rsidP="00240F06">
      <w:pPr>
        <w:rPr>
          <w:rFonts w:ascii="Arial" w:hAnsi="Arial" w:cs="Arial"/>
          <w:sz w:val="20"/>
          <w:szCs w:val="20"/>
        </w:rPr>
      </w:pPr>
    </w:p>
    <w:p w14:paraId="3367AEA2" w14:textId="5BD5A830" w:rsidR="00240F06" w:rsidRDefault="00792543" w:rsidP="00240F06">
      <w:pPr>
        <w:rPr>
          <w:rFonts w:ascii="Arial" w:hAnsi="Arial" w:cs="Arial"/>
          <w:sz w:val="20"/>
          <w:szCs w:val="20"/>
        </w:rPr>
      </w:pPr>
      <w:r>
        <w:rPr>
          <w:rFonts w:ascii="Arial" w:hAnsi="Arial" w:cs="Arial"/>
          <w:noProof/>
          <w:sz w:val="24"/>
          <w:szCs w:val="24"/>
          <w:lang w:val="en-US"/>
        </w:rPr>
        <w:drawing>
          <wp:anchor distT="0" distB="0" distL="114300" distR="114300" simplePos="0" relativeHeight="253265918" behindDoc="0" locked="0" layoutInCell="1" allowOverlap="1" wp14:anchorId="7A4B8EC4" wp14:editId="1F6C6113">
            <wp:simplePos x="0" y="0"/>
            <wp:positionH relativeFrom="column">
              <wp:posOffset>0</wp:posOffset>
            </wp:positionH>
            <wp:positionV relativeFrom="paragraph">
              <wp:posOffset>137795</wp:posOffset>
            </wp:positionV>
            <wp:extent cx="1812290" cy="2247900"/>
            <wp:effectExtent l="0" t="0" r="381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707" cstate="email">
                      <a:extLst>
                        <a:ext uri="{28A0092B-C50C-407E-A947-70E740481C1C}">
                          <a14:useLocalDpi xmlns:a14="http://schemas.microsoft.com/office/drawing/2010/main"/>
                        </a:ext>
                      </a:extLst>
                    </a:blip>
                    <a:srcRect/>
                    <a:stretch/>
                  </pic:blipFill>
                  <pic:spPr bwMode="auto">
                    <a:xfrm>
                      <a:off x="0" y="0"/>
                      <a:ext cx="1812290" cy="224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5CC4D" w14:textId="47C4F75F" w:rsidR="00792543" w:rsidRPr="00057172" w:rsidRDefault="00507E0F" w:rsidP="00792543">
      <w:pPr>
        <w:pStyle w:val="Heading2"/>
        <w:numPr>
          <w:ilvl w:val="1"/>
          <w:numId w:val="105"/>
        </w:numPr>
        <w:rPr>
          <w:rFonts w:ascii="Arial" w:hAnsi="Arial" w:cs="Arial"/>
          <w:b/>
          <w:bCs/>
          <w:color w:val="F9A133"/>
          <w:sz w:val="36"/>
          <w:szCs w:val="36"/>
          <w:lang w:val="en-US"/>
        </w:rPr>
      </w:pPr>
      <w:bookmarkStart w:id="1587" w:name="_Toc123204503"/>
      <w:bookmarkStart w:id="1588" w:name="_Toc123216611"/>
      <w:bookmarkStart w:id="1589" w:name="_Toc123217451"/>
      <w:bookmarkStart w:id="1590" w:name="_Toc123913412"/>
      <w:bookmarkStart w:id="1591" w:name="_Toc123914068"/>
      <w:r>
        <w:rPr>
          <w:rFonts w:ascii="Arial" w:hAnsi="Arial" w:cs="Arial"/>
          <w:b/>
          <w:bCs/>
          <w:color w:val="F9A133"/>
          <w:sz w:val="36"/>
          <w:szCs w:val="36"/>
          <w:lang w:val="en-US"/>
        </w:rPr>
        <w:t xml:space="preserve"> </w:t>
      </w:r>
      <w:bookmarkStart w:id="1592" w:name="_Toc125566683"/>
      <w:r w:rsidR="00792543" w:rsidRPr="00057172">
        <w:rPr>
          <w:rFonts w:ascii="Arial" w:hAnsi="Arial" w:cs="Arial"/>
          <w:b/>
          <w:bCs/>
          <w:color w:val="F9A133"/>
          <w:sz w:val="36"/>
          <w:szCs w:val="36"/>
          <w:lang w:val="en-US"/>
        </w:rPr>
        <w:t>Defining revenue transparency</w:t>
      </w:r>
      <w:bookmarkEnd w:id="1587"/>
      <w:bookmarkEnd w:id="1588"/>
      <w:bookmarkEnd w:id="1589"/>
      <w:bookmarkEnd w:id="1590"/>
      <w:bookmarkEnd w:id="1591"/>
      <w:bookmarkEnd w:id="1592"/>
    </w:p>
    <w:p w14:paraId="129E81E9" w14:textId="3337DA3A" w:rsidR="00792543" w:rsidRPr="00BD6508" w:rsidRDefault="00792543" w:rsidP="00BD6508">
      <w:pPr>
        <w:spacing w:line="276" w:lineRule="auto"/>
        <w:rPr>
          <w:rFonts w:ascii="Arial" w:hAnsi="Arial" w:cs="Arial"/>
          <w:sz w:val="24"/>
          <w:szCs w:val="24"/>
          <w:lang w:val="en-US"/>
        </w:rPr>
      </w:pPr>
    </w:p>
    <w:p w14:paraId="4A12561F" w14:textId="17E931BA" w:rsidR="00792543" w:rsidRPr="00BD6508" w:rsidRDefault="00792543" w:rsidP="00BD6508">
      <w:pPr>
        <w:spacing w:line="276" w:lineRule="auto"/>
        <w:jc w:val="both"/>
        <w:rPr>
          <w:rFonts w:ascii="Arial" w:hAnsi="Arial" w:cs="Arial"/>
          <w:sz w:val="24"/>
          <w:szCs w:val="24"/>
        </w:rPr>
      </w:pPr>
      <w:r w:rsidRPr="00BD6508">
        <w:rPr>
          <w:rFonts w:ascii="Arial" w:hAnsi="Arial" w:cs="Arial"/>
          <w:sz w:val="24"/>
          <w:szCs w:val="24"/>
        </w:rPr>
        <w:t xml:space="preserve">Revenue transparency refers to information on revenue policy, including tax policy; revenue forecasting; revenue collection; and revenue reporting. The information discussed in this and previous modules applies to revenue as well as to other fiscal information. </w:t>
      </w:r>
      <w:r w:rsidRPr="00BD6508">
        <w:rPr>
          <w:rFonts w:ascii="Arial" w:hAnsi="Arial" w:cs="Arial"/>
          <w:sz w:val="24"/>
          <w:szCs w:val="24"/>
          <w:lang w:val="en-ZA"/>
        </w:rPr>
        <w:t>Most of the attention to fiscal transparency has however been devoted to the use of public resources, not as much to the source of resources, although they are both parts of the same fiscal equation. The government’s function to secure revenue and levy taxes is different in many ways from its spending activities, relating to the income, wealth and the economic exchanges, transactions and trades of individuals and businesses living in the jurisdictions they govern; with authorities that obtain revenue and levy taxes being subject to a series of informational restrictions that do not apply to the authorities in charge of expenditure.</w:t>
      </w:r>
      <w:r w:rsidRPr="00BD6508">
        <w:rPr>
          <w:rFonts w:ascii="Arial" w:hAnsi="Arial" w:cs="Arial"/>
          <w:sz w:val="24"/>
          <w:szCs w:val="24"/>
        </w:rPr>
        <w:t xml:space="preserve"> </w:t>
      </w:r>
    </w:p>
    <w:p w14:paraId="3C7EAD84" w14:textId="77777777" w:rsidR="00792543" w:rsidRPr="00BD6508" w:rsidRDefault="00792543" w:rsidP="00BD6508">
      <w:pPr>
        <w:spacing w:line="276" w:lineRule="auto"/>
        <w:jc w:val="both"/>
        <w:rPr>
          <w:rFonts w:ascii="Arial" w:hAnsi="Arial" w:cs="Arial"/>
          <w:sz w:val="24"/>
          <w:szCs w:val="24"/>
        </w:rPr>
      </w:pPr>
    </w:p>
    <w:p w14:paraId="62D37B04" w14:textId="40D3087C" w:rsidR="00792543" w:rsidRDefault="00792543" w:rsidP="00BD6508">
      <w:pPr>
        <w:spacing w:line="276" w:lineRule="auto"/>
        <w:jc w:val="both"/>
        <w:rPr>
          <w:rFonts w:ascii="Arial" w:hAnsi="Arial" w:cs="Arial"/>
          <w:sz w:val="24"/>
          <w:szCs w:val="24"/>
          <w:lang w:val="en-US"/>
        </w:rPr>
      </w:pPr>
      <w:r w:rsidRPr="00BD6508">
        <w:rPr>
          <w:rFonts w:ascii="Arial" w:hAnsi="Arial" w:cs="Arial"/>
          <w:sz w:val="24"/>
          <w:szCs w:val="24"/>
        </w:rPr>
        <w:t xml:space="preserve">Revenue is however a key element of fiscal policy and as such, fiscal transparency. This means that laws and regulations related to the collection of tax and non-tax revenues and the criteria guiding administrative discretion in their application, should assign clear authorities and responsibilities, be </w:t>
      </w:r>
      <w:r w:rsidRPr="00BD6508">
        <w:rPr>
          <w:rFonts w:ascii="Arial" w:hAnsi="Arial" w:cs="Arial"/>
          <w:sz w:val="24"/>
          <w:szCs w:val="24"/>
        </w:rPr>
        <w:lastRenderedPageBreak/>
        <w:t>accessible, clear, and understandable to the public. This aids fiscal transparency by limiting discretion in their interpretation. Just like with other information, it is vital that information on government revenue is made available throughout the fiscal policy cycle, is reported on in budget related documents and made available online, meeting</w:t>
      </w:r>
      <w:r w:rsidRPr="00BD6508">
        <w:rPr>
          <w:rFonts w:ascii="Arial" w:hAnsi="Arial" w:cs="Arial"/>
          <w:sz w:val="24"/>
          <w:szCs w:val="24"/>
          <w:lang w:val="en-US"/>
        </w:rPr>
        <w:t xml:space="preserve"> quality considerations. </w:t>
      </w:r>
    </w:p>
    <w:p w14:paraId="7AF94A98" w14:textId="155B2D6E" w:rsidR="00E9286F" w:rsidRDefault="00E9286F" w:rsidP="00BD6508">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266942" behindDoc="1" locked="0" layoutInCell="1" allowOverlap="1" wp14:anchorId="1B8B05E2" wp14:editId="6D93E4E8">
            <wp:simplePos x="0" y="0"/>
            <wp:positionH relativeFrom="column">
              <wp:posOffset>-38100</wp:posOffset>
            </wp:positionH>
            <wp:positionV relativeFrom="paragraph">
              <wp:posOffset>125730</wp:posOffset>
            </wp:positionV>
            <wp:extent cx="2905760" cy="1955800"/>
            <wp:effectExtent l="0" t="0" r="254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rotWithShape="1">
                    <a:blip r:embed="rId708" cstate="email">
                      <a:extLst>
                        <a:ext uri="{28A0092B-C50C-407E-A947-70E740481C1C}">
                          <a14:useLocalDpi xmlns:a14="http://schemas.microsoft.com/office/drawing/2010/main"/>
                        </a:ext>
                      </a:extLst>
                    </a:blip>
                    <a:srcRect/>
                    <a:stretch/>
                  </pic:blipFill>
                  <pic:spPr bwMode="auto">
                    <a:xfrm>
                      <a:off x="0" y="0"/>
                      <a:ext cx="2905760"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88956D" w14:textId="5EF6B9AC" w:rsidR="00E9286F" w:rsidRPr="00661D15" w:rsidRDefault="00E9286F" w:rsidP="00E9286F">
      <w:pPr>
        <w:spacing w:line="276" w:lineRule="auto"/>
        <w:jc w:val="both"/>
        <w:rPr>
          <w:color w:val="000000" w:themeColor="text1"/>
        </w:rPr>
      </w:pPr>
      <w:r w:rsidRPr="00661D15">
        <w:rPr>
          <w:rFonts w:ascii="Arial" w:hAnsi="Arial" w:cs="Arial"/>
          <w:color w:val="000000" w:themeColor="text1"/>
          <w:sz w:val="24"/>
          <w:szCs w:val="24"/>
          <w:lang w:val="en-GB"/>
        </w:rPr>
        <w:t>Appropriate accounting for government revenues requires that all sources of revenue, including those from taxes; natural resources; donors, and other resources such as that emanating from the sale of assets and/or profits generated by public corporations are reported in sufficient detail.</w:t>
      </w:r>
    </w:p>
    <w:p w14:paraId="7AA99CC0" w14:textId="77777777" w:rsidR="00F46422" w:rsidRDefault="00F46422" w:rsidP="00792543">
      <w:pPr>
        <w:spacing w:line="276" w:lineRule="auto"/>
        <w:jc w:val="both"/>
        <w:rPr>
          <w:rFonts w:ascii="Arial" w:hAnsi="Arial" w:cs="Arial"/>
          <w:sz w:val="24"/>
          <w:szCs w:val="24"/>
          <w:lang w:val="en-GB"/>
        </w:rPr>
      </w:pPr>
    </w:p>
    <w:p w14:paraId="6ED012EE" w14:textId="22D2A577" w:rsidR="00792543" w:rsidRPr="00BD6508" w:rsidRDefault="00792543" w:rsidP="00BD6508">
      <w:pPr>
        <w:spacing w:line="276" w:lineRule="auto"/>
        <w:jc w:val="both"/>
        <w:rPr>
          <w:rFonts w:ascii="Arial" w:hAnsi="Arial" w:cs="Arial"/>
          <w:sz w:val="24"/>
          <w:szCs w:val="24"/>
        </w:rPr>
      </w:pPr>
      <w:r w:rsidRPr="00BD6508">
        <w:rPr>
          <w:rFonts w:ascii="Arial" w:hAnsi="Arial" w:cs="Arial"/>
          <w:sz w:val="24"/>
          <w:szCs w:val="24"/>
          <w:lang w:val="en-GB"/>
        </w:rPr>
        <w:t>This is to ensure that the source can be identified and explained; and if the matter is of an unusual or non-recurring nature that there is sufficient detail to allow a proper understanding of it. International accounting standards should be used and disclosed accordingly.</w:t>
      </w:r>
      <w:r w:rsidRPr="00BD6508">
        <w:rPr>
          <w:rFonts w:ascii="Arial" w:hAnsi="Arial" w:cs="Arial"/>
          <w:sz w:val="24"/>
          <w:szCs w:val="24"/>
        </w:rPr>
        <w:t xml:space="preserve"> Just as with expenditures, it is also important to provide multiyear information on revenues. Detailed information about revenues is important as revenue sources and their implications need to be well understood; as well as to assess the realism of revenue projections to see whether revenue will be able to support the multiyear spending projections provided for in budgets. Some countries make very ambitious revenue projections. This is problematic as unexpected deficits will arise if revenue projections are not realized, potentially undermining the budget process. </w:t>
      </w:r>
    </w:p>
    <w:p w14:paraId="3F732A2C" w14:textId="3D054317" w:rsidR="00792543" w:rsidRPr="00BD6508" w:rsidRDefault="00792543" w:rsidP="00BD6508">
      <w:pPr>
        <w:spacing w:line="276" w:lineRule="auto"/>
        <w:jc w:val="both"/>
        <w:rPr>
          <w:rFonts w:ascii="Arial" w:hAnsi="Arial" w:cs="Arial"/>
          <w:sz w:val="24"/>
          <w:szCs w:val="24"/>
        </w:rPr>
      </w:pPr>
    </w:p>
    <w:p w14:paraId="4025C19C" w14:textId="0BEBE07B" w:rsidR="00792543" w:rsidRDefault="00792543" w:rsidP="00792543">
      <w:pPr>
        <w:spacing w:line="276" w:lineRule="auto"/>
        <w:jc w:val="both"/>
        <w:rPr>
          <w:rFonts w:ascii="Arial" w:hAnsi="Arial" w:cs="Arial"/>
          <w:sz w:val="24"/>
          <w:szCs w:val="24"/>
        </w:rPr>
      </w:pPr>
      <w:r w:rsidRPr="00BD6508">
        <w:rPr>
          <w:rFonts w:ascii="Arial" w:hAnsi="Arial" w:cs="Arial"/>
          <w:sz w:val="24"/>
          <w:szCs w:val="24"/>
        </w:rPr>
        <w:t>This section delves briefly into areas that are unique to revenue transparency, including those pertaining to tax transparency, natural resources and donor funding.</w:t>
      </w:r>
    </w:p>
    <w:p w14:paraId="2382443F" w14:textId="47892018" w:rsidR="00F46422" w:rsidRDefault="00F46422" w:rsidP="00792543">
      <w:pPr>
        <w:spacing w:line="276" w:lineRule="auto"/>
        <w:jc w:val="both"/>
        <w:rPr>
          <w:rFonts w:ascii="Arial" w:hAnsi="Arial" w:cs="Arial"/>
          <w:sz w:val="24"/>
          <w:szCs w:val="24"/>
        </w:rPr>
      </w:pPr>
    </w:p>
    <w:p w14:paraId="4BCEC750" w14:textId="2E0C329F" w:rsidR="00F46422" w:rsidRPr="00057172" w:rsidRDefault="00F46422" w:rsidP="00F46422">
      <w:pPr>
        <w:pStyle w:val="Heading2"/>
        <w:numPr>
          <w:ilvl w:val="1"/>
          <w:numId w:val="105"/>
        </w:numPr>
        <w:rPr>
          <w:rFonts w:ascii="Arial" w:hAnsi="Arial" w:cs="Arial"/>
          <w:b/>
          <w:bCs/>
          <w:color w:val="F9A133"/>
          <w:sz w:val="36"/>
          <w:szCs w:val="36"/>
          <w:lang w:val="en-US"/>
        </w:rPr>
      </w:pPr>
      <w:bookmarkStart w:id="1593" w:name="_Toc123204504"/>
      <w:bookmarkStart w:id="1594" w:name="_Toc123216612"/>
      <w:bookmarkStart w:id="1595" w:name="_Toc123217452"/>
      <w:bookmarkStart w:id="1596" w:name="_Toc123913413"/>
      <w:bookmarkStart w:id="1597" w:name="_Toc123914069"/>
      <w:bookmarkStart w:id="1598" w:name="_Toc125566684"/>
      <w:r w:rsidRPr="00057172">
        <w:rPr>
          <w:rFonts w:ascii="Arial" w:hAnsi="Arial" w:cs="Arial"/>
          <w:b/>
          <w:bCs/>
          <w:color w:val="F9A133"/>
          <w:sz w:val="36"/>
          <w:szCs w:val="36"/>
          <w:lang w:val="en-US"/>
        </w:rPr>
        <w:t xml:space="preserve">Tax </w:t>
      </w:r>
      <w:r w:rsidR="00E00B16" w:rsidRPr="00057172">
        <w:rPr>
          <w:rFonts w:ascii="Arial" w:hAnsi="Arial" w:cs="Arial"/>
          <w:b/>
          <w:bCs/>
          <w:color w:val="F9A133"/>
          <w:sz w:val="36"/>
          <w:szCs w:val="36"/>
          <w:lang w:val="en-US"/>
        </w:rPr>
        <w:t>t</w:t>
      </w:r>
      <w:r w:rsidRPr="00057172">
        <w:rPr>
          <w:rFonts w:ascii="Arial" w:hAnsi="Arial" w:cs="Arial"/>
          <w:b/>
          <w:bCs/>
          <w:color w:val="F9A133"/>
          <w:sz w:val="36"/>
          <w:szCs w:val="36"/>
          <w:lang w:val="en-US"/>
        </w:rPr>
        <w:t>ransparency</w:t>
      </w:r>
      <w:bookmarkEnd w:id="1593"/>
      <w:bookmarkEnd w:id="1594"/>
      <w:bookmarkEnd w:id="1595"/>
      <w:bookmarkEnd w:id="1596"/>
      <w:bookmarkEnd w:id="1597"/>
      <w:bookmarkEnd w:id="1598"/>
    </w:p>
    <w:p w14:paraId="087A111C" w14:textId="103E6C79" w:rsidR="00F46422" w:rsidRPr="00F46422" w:rsidRDefault="00F46422" w:rsidP="00F46422">
      <w:pPr>
        <w:spacing w:line="276" w:lineRule="auto"/>
        <w:jc w:val="both"/>
        <w:rPr>
          <w:rFonts w:ascii="Arial" w:hAnsi="Arial" w:cs="Arial"/>
          <w:sz w:val="24"/>
          <w:szCs w:val="24"/>
        </w:rPr>
      </w:pPr>
    </w:p>
    <w:p w14:paraId="3AA99BA1" w14:textId="45D416AD" w:rsidR="00F46422" w:rsidRPr="00BD6508" w:rsidRDefault="00F46422" w:rsidP="00BD6508">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270014" behindDoc="0" locked="0" layoutInCell="1" allowOverlap="1" wp14:anchorId="4943D60E" wp14:editId="1C486866">
            <wp:simplePos x="0" y="0"/>
            <wp:positionH relativeFrom="column">
              <wp:posOffset>4565650</wp:posOffset>
            </wp:positionH>
            <wp:positionV relativeFrom="paragraph">
              <wp:posOffset>9525</wp:posOffset>
            </wp:positionV>
            <wp:extent cx="2082165" cy="2400300"/>
            <wp:effectExtent l="0" t="0" r="635"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rotWithShape="1">
                    <a:blip r:embed="rId709" cstate="email">
                      <a:extLst>
                        <a:ext uri="{28A0092B-C50C-407E-A947-70E740481C1C}">
                          <a14:useLocalDpi xmlns:a14="http://schemas.microsoft.com/office/drawing/2010/main"/>
                        </a:ext>
                      </a:extLst>
                    </a:blip>
                    <a:srcRect/>
                    <a:stretch/>
                  </pic:blipFill>
                  <pic:spPr bwMode="auto">
                    <a:xfrm>
                      <a:off x="0" y="0"/>
                      <a:ext cx="2082165"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508">
        <w:rPr>
          <w:rFonts w:ascii="Arial" w:hAnsi="Arial" w:cs="Arial"/>
          <w:noProof/>
          <w:sz w:val="24"/>
          <w:szCs w:val="24"/>
          <w:lang w:val="en-US"/>
        </w:rPr>
        <w:t>Generally</w:t>
      </w:r>
      <w:r w:rsidRPr="00BD6508">
        <w:rPr>
          <w:rFonts w:ascii="Arial" w:hAnsi="Arial" w:cs="Arial"/>
          <w:sz w:val="24"/>
          <w:szCs w:val="24"/>
          <w:lang w:val="en-US"/>
        </w:rPr>
        <w:t xml:space="preserve"> the most important source of revenue is taxation. As seen in the figure below, governments impose taxes for a variety of reasons including to raise revenue to fund government spending or loan repayments; ratify the value of the currency of their jurisdiction (tax having to be paid regularly in a particular currency encourages and incentivizes the use of that currency); to redistribute income and wealth through using a progressive or regressive tax system (a progressive tax is one that overall charges higher rates of tax on a person as their income or wealth rises with the aim of redistributing income from the rich to the poor); to reprice goods and services; and to use it as a fiscal policy lever for example to stimulate economic growth.</w:t>
      </w:r>
    </w:p>
    <w:p w14:paraId="2E504776" w14:textId="77777777" w:rsidR="00F46422" w:rsidRPr="00F46422" w:rsidRDefault="00F46422" w:rsidP="00F46422">
      <w:pPr>
        <w:spacing w:line="276" w:lineRule="auto"/>
        <w:jc w:val="both"/>
        <w:rPr>
          <w:rFonts w:ascii="Arial" w:hAnsi="Arial" w:cs="Arial"/>
          <w:sz w:val="24"/>
          <w:szCs w:val="24"/>
        </w:rPr>
      </w:pPr>
    </w:p>
    <w:p w14:paraId="46F40968" w14:textId="77777777" w:rsidR="00F46422" w:rsidRPr="00BD6508" w:rsidRDefault="00F46422" w:rsidP="00BD6508">
      <w:pPr>
        <w:spacing w:line="276" w:lineRule="auto"/>
        <w:jc w:val="both"/>
        <w:rPr>
          <w:rFonts w:ascii="Arial" w:hAnsi="Arial" w:cs="Arial"/>
          <w:sz w:val="24"/>
          <w:szCs w:val="24"/>
        </w:rPr>
      </w:pPr>
    </w:p>
    <w:p w14:paraId="547F7116" w14:textId="7FEAD1F2" w:rsidR="00792543" w:rsidRDefault="00792543" w:rsidP="00BD6508">
      <w:pPr>
        <w:rPr>
          <w:lang w:val="en-US"/>
        </w:rPr>
      </w:pPr>
    </w:p>
    <w:p w14:paraId="17558E8E" w14:textId="19AFCAB2" w:rsidR="00F46422" w:rsidRDefault="00F46422">
      <w:pPr>
        <w:tabs>
          <w:tab w:val="left" w:pos="1020"/>
        </w:tabs>
        <w:rPr>
          <w:rFonts w:ascii="Arial" w:hAnsi="Arial" w:cs="Arial"/>
          <w:sz w:val="20"/>
          <w:szCs w:val="20"/>
        </w:rPr>
      </w:pPr>
    </w:p>
    <w:p w14:paraId="46211356" w14:textId="5B5ADEC1" w:rsidR="00F46422" w:rsidRPr="003625BA" w:rsidRDefault="00F46422" w:rsidP="003625BA">
      <w:pPr>
        <w:pStyle w:val="Heading3"/>
        <w:jc w:val="center"/>
        <w:rPr>
          <w:rFonts w:ascii="Arial" w:hAnsi="Arial" w:cs="Arial"/>
          <w:b/>
          <w:bCs/>
          <w:color w:val="69557F"/>
          <w:sz w:val="20"/>
          <w:szCs w:val="20"/>
          <w:lang w:val="en-US"/>
        </w:rPr>
      </w:pPr>
      <w:bookmarkStart w:id="1599" w:name="_Figure_3.3._Reasons"/>
      <w:bookmarkStart w:id="1600" w:name="_Toc123217453"/>
      <w:bookmarkStart w:id="1601" w:name="_Toc123914070"/>
      <w:bookmarkStart w:id="1602" w:name="_Toc125566685"/>
      <w:bookmarkEnd w:id="1599"/>
      <w:r w:rsidRPr="003625BA">
        <w:rPr>
          <w:rFonts w:ascii="Arial" w:hAnsi="Arial" w:cs="Arial"/>
          <w:b/>
          <w:bCs/>
          <w:color w:val="69557F"/>
          <w:sz w:val="20"/>
          <w:szCs w:val="20"/>
          <w:lang w:val="en-US"/>
        </w:rPr>
        <w:lastRenderedPageBreak/>
        <w:t xml:space="preserve">Figure </w:t>
      </w:r>
      <w:r w:rsidR="0065711A" w:rsidRPr="003625BA">
        <w:rPr>
          <w:rFonts w:ascii="Arial" w:hAnsi="Arial" w:cs="Arial"/>
          <w:b/>
          <w:bCs/>
          <w:color w:val="69557F"/>
          <w:sz w:val="20"/>
          <w:szCs w:val="20"/>
          <w:lang w:val="en-US"/>
        </w:rPr>
        <w:t>3.</w:t>
      </w:r>
      <w:r w:rsidR="004C79A7">
        <w:rPr>
          <w:rFonts w:ascii="Arial" w:hAnsi="Arial" w:cs="Arial"/>
          <w:b/>
          <w:bCs/>
          <w:color w:val="69557F"/>
          <w:sz w:val="20"/>
          <w:szCs w:val="20"/>
          <w:lang w:val="en-US"/>
        </w:rPr>
        <w:t>3.</w:t>
      </w:r>
      <w:r w:rsidR="0065711A" w:rsidRPr="003625BA">
        <w:rPr>
          <w:rFonts w:ascii="Arial" w:hAnsi="Arial" w:cs="Arial"/>
          <w:b/>
          <w:bCs/>
          <w:color w:val="69557F"/>
          <w:sz w:val="20"/>
          <w:szCs w:val="20"/>
          <w:lang w:val="en-US"/>
        </w:rPr>
        <w:t xml:space="preserve"> </w:t>
      </w:r>
      <w:r w:rsidRPr="003625BA">
        <w:rPr>
          <w:rFonts w:ascii="Arial" w:hAnsi="Arial" w:cs="Arial"/>
          <w:b/>
          <w:bCs/>
          <w:color w:val="69557F"/>
          <w:sz w:val="20"/>
          <w:szCs w:val="20"/>
          <w:lang w:val="en-US"/>
        </w:rPr>
        <w:t>Reasons taxes are imposed</w:t>
      </w:r>
      <w:bookmarkEnd w:id="1600"/>
      <w:bookmarkEnd w:id="1601"/>
      <w:bookmarkEnd w:id="1602"/>
    </w:p>
    <w:p w14:paraId="0E61F95B" w14:textId="0FC1C08A" w:rsidR="00535859" w:rsidRDefault="00890125" w:rsidP="003625BA">
      <w:pPr>
        <w:tabs>
          <w:tab w:val="left" w:pos="1020"/>
        </w:tabs>
        <w:rPr>
          <w:rFonts w:ascii="Arial" w:hAnsi="Arial" w:cs="Arial"/>
          <w:noProof/>
          <w:sz w:val="24"/>
          <w:szCs w:val="24"/>
        </w:rPr>
      </w:pPr>
      <w:r>
        <w:rPr>
          <w:rFonts w:ascii="Arial" w:hAnsi="Arial" w:cs="Arial"/>
          <w:noProof/>
          <w:sz w:val="24"/>
          <w:szCs w:val="24"/>
          <w:lang w:val="en-US"/>
        </w:rPr>
        <w:drawing>
          <wp:anchor distT="0" distB="0" distL="114300" distR="114300" simplePos="0" relativeHeight="254220286" behindDoc="0" locked="0" layoutInCell="1" allowOverlap="1" wp14:anchorId="613609E8" wp14:editId="1775555A">
            <wp:simplePos x="0" y="0"/>
            <wp:positionH relativeFrom="margin">
              <wp:posOffset>676910</wp:posOffset>
            </wp:positionH>
            <wp:positionV relativeFrom="paragraph">
              <wp:posOffset>40640</wp:posOffset>
            </wp:positionV>
            <wp:extent cx="5278120" cy="2968625"/>
            <wp:effectExtent l="0" t="0" r="0" b="0"/>
            <wp:wrapSquare wrapText="bothSides"/>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Picture 2263"/>
                    <pic:cNvPicPr/>
                  </pic:nvPicPr>
                  <pic:blipFill>
                    <a:blip r:embed="rId710" cstate="email">
                      <a:extLst>
                        <a:ext uri="{28A0092B-C50C-407E-A947-70E740481C1C}">
                          <a14:useLocalDpi xmlns:a14="http://schemas.microsoft.com/office/drawing/2010/main" val="0"/>
                        </a:ext>
                      </a:extLst>
                    </a:blip>
                    <a:stretch>
                      <a:fillRect/>
                    </a:stretch>
                  </pic:blipFill>
                  <pic:spPr bwMode="auto">
                    <a:xfrm>
                      <a:off x="0" y="0"/>
                      <a:ext cx="5278120" cy="296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70E3DE" w14:textId="77777777" w:rsidR="00890125" w:rsidRDefault="00890125" w:rsidP="00252491">
      <w:pPr>
        <w:spacing w:line="276" w:lineRule="auto"/>
        <w:jc w:val="both"/>
        <w:rPr>
          <w:rFonts w:ascii="Arial" w:hAnsi="Arial" w:cs="Arial"/>
          <w:sz w:val="24"/>
          <w:szCs w:val="24"/>
        </w:rPr>
      </w:pPr>
    </w:p>
    <w:p w14:paraId="239C38F3" w14:textId="77777777" w:rsidR="00890125" w:rsidRDefault="00890125" w:rsidP="00252491">
      <w:pPr>
        <w:spacing w:line="276" w:lineRule="auto"/>
        <w:jc w:val="both"/>
        <w:rPr>
          <w:rFonts w:ascii="Arial" w:hAnsi="Arial" w:cs="Arial"/>
          <w:sz w:val="24"/>
          <w:szCs w:val="24"/>
        </w:rPr>
      </w:pPr>
    </w:p>
    <w:p w14:paraId="1FF1C55D" w14:textId="77777777" w:rsidR="00890125" w:rsidRDefault="00890125" w:rsidP="00252491">
      <w:pPr>
        <w:spacing w:line="276" w:lineRule="auto"/>
        <w:jc w:val="both"/>
        <w:rPr>
          <w:rFonts w:ascii="Arial" w:hAnsi="Arial" w:cs="Arial"/>
          <w:sz w:val="24"/>
          <w:szCs w:val="24"/>
        </w:rPr>
      </w:pPr>
    </w:p>
    <w:p w14:paraId="79E99597" w14:textId="77777777" w:rsidR="00890125" w:rsidRDefault="00890125" w:rsidP="00252491">
      <w:pPr>
        <w:spacing w:line="276" w:lineRule="auto"/>
        <w:jc w:val="both"/>
        <w:rPr>
          <w:rFonts w:ascii="Arial" w:hAnsi="Arial" w:cs="Arial"/>
          <w:sz w:val="24"/>
          <w:szCs w:val="24"/>
        </w:rPr>
      </w:pPr>
    </w:p>
    <w:p w14:paraId="47D21E6B" w14:textId="77777777" w:rsidR="00890125" w:rsidRDefault="00890125" w:rsidP="00252491">
      <w:pPr>
        <w:spacing w:line="276" w:lineRule="auto"/>
        <w:jc w:val="both"/>
        <w:rPr>
          <w:rFonts w:ascii="Arial" w:hAnsi="Arial" w:cs="Arial"/>
          <w:sz w:val="24"/>
          <w:szCs w:val="24"/>
        </w:rPr>
      </w:pPr>
    </w:p>
    <w:p w14:paraId="2426A1BB" w14:textId="77777777" w:rsidR="00890125" w:rsidRDefault="00890125" w:rsidP="00252491">
      <w:pPr>
        <w:spacing w:line="276" w:lineRule="auto"/>
        <w:jc w:val="both"/>
        <w:rPr>
          <w:rFonts w:ascii="Arial" w:hAnsi="Arial" w:cs="Arial"/>
          <w:sz w:val="24"/>
          <w:szCs w:val="24"/>
        </w:rPr>
      </w:pPr>
    </w:p>
    <w:p w14:paraId="060B8353" w14:textId="77777777" w:rsidR="00890125" w:rsidRDefault="00890125" w:rsidP="00252491">
      <w:pPr>
        <w:spacing w:line="276" w:lineRule="auto"/>
        <w:jc w:val="both"/>
        <w:rPr>
          <w:rFonts w:ascii="Arial" w:hAnsi="Arial" w:cs="Arial"/>
          <w:sz w:val="24"/>
          <w:szCs w:val="24"/>
        </w:rPr>
      </w:pPr>
    </w:p>
    <w:p w14:paraId="2AE31C88" w14:textId="77777777" w:rsidR="00890125" w:rsidRDefault="00890125" w:rsidP="00252491">
      <w:pPr>
        <w:spacing w:line="276" w:lineRule="auto"/>
        <w:jc w:val="both"/>
        <w:rPr>
          <w:rFonts w:ascii="Arial" w:hAnsi="Arial" w:cs="Arial"/>
          <w:sz w:val="24"/>
          <w:szCs w:val="24"/>
        </w:rPr>
      </w:pPr>
    </w:p>
    <w:p w14:paraId="7AD25492" w14:textId="77777777" w:rsidR="00890125" w:rsidRDefault="00890125" w:rsidP="00252491">
      <w:pPr>
        <w:spacing w:line="276" w:lineRule="auto"/>
        <w:jc w:val="both"/>
        <w:rPr>
          <w:rFonts w:ascii="Arial" w:hAnsi="Arial" w:cs="Arial"/>
          <w:sz w:val="24"/>
          <w:szCs w:val="24"/>
        </w:rPr>
      </w:pPr>
    </w:p>
    <w:p w14:paraId="3DECCA03" w14:textId="77777777" w:rsidR="00890125" w:rsidRDefault="00890125" w:rsidP="00252491">
      <w:pPr>
        <w:spacing w:line="276" w:lineRule="auto"/>
        <w:jc w:val="both"/>
        <w:rPr>
          <w:rFonts w:ascii="Arial" w:hAnsi="Arial" w:cs="Arial"/>
          <w:sz w:val="24"/>
          <w:szCs w:val="24"/>
        </w:rPr>
      </w:pPr>
    </w:p>
    <w:p w14:paraId="1081994E" w14:textId="77777777" w:rsidR="00890125" w:rsidRDefault="00890125" w:rsidP="00252491">
      <w:pPr>
        <w:spacing w:line="276" w:lineRule="auto"/>
        <w:jc w:val="both"/>
        <w:rPr>
          <w:rFonts w:ascii="Arial" w:hAnsi="Arial" w:cs="Arial"/>
          <w:sz w:val="24"/>
          <w:szCs w:val="24"/>
        </w:rPr>
      </w:pPr>
    </w:p>
    <w:p w14:paraId="38452E33" w14:textId="77777777" w:rsidR="00890125" w:rsidRDefault="00890125" w:rsidP="00252491">
      <w:pPr>
        <w:spacing w:line="276" w:lineRule="auto"/>
        <w:jc w:val="both"/>
        <w:rPr>
          <w:rFonts w:ascii="Arial" w:hAnsi="Arial" w:cs="Arial"/>
          <w:sz w:val="24"/>
          <w:szCs w:val="24"/>
        </w:rPr>
      </w:pPr>
    </w:p>
    <w:p w14:paraId="24C3F9AB" w14:textId="77777777" w:rsidR="00890125" w:rsidRDefault="00890125" w:rsidP="00252491">
      <w:pPr>
        <w:spacing w:line="276" w:lineRule="auto"/>
        <w:jc w:val="both"/>
        <w:rPr>
          <w:rFonts w:ascii="Arial" w:hAnsi="Arial" w:cs="Arial"/>
          <w:sz w:val="24"/>
          <w:szCs w:val="24"/>
        </w:rPr>
      </w:pPr>
    </w:p>
    <w:p w14:paraId="63E4B8B1" w14:textId="77777777" w:rsidR="00890125" w:rsidRDefault="00890125" w:rsidP="00252491">
      <w:pPr>
        <w:spacing w:line="276" w:lineRule="auto"/>
        <w:jc w:val="both"/>
        <w:rPr>
          <w:rFonts w:ascii="Arial" w:hAnsi="Arial" w:cs="Arial"/>
          <w:sz w:val="24"/>
          <w:szCs w:val="24"/>
        </w:rPr>
      </w:pPr>
    </w:p>
    <w:p w14:paraId="4C08667D" w14:textId="77777777" w:rsidR="00890125" w:rsidRDefault="00890125" w:rsidP="00252491">
      <w:pPr>
        <w:spacing w:line="276" w:lineRule="auto"/>
        <w:jc w:val="both"/>
        <w:rPr>
          <w:rFonts w:ascii="Arial" w:hAnsi="Arial" w:cs="Arial"/>
          <w:sz w:val="24"/>
          <w:szCs w:val="24"/>
        </w:rPr>
      </w:pPr>
    </w:p>
    <w:p w14:paraId="561C5766" w14:textId="6D7C1397" w:rsidR="00252491" w:rsidRDefault="00EF4A27" w:rsidP="00252491">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1663353" behindDoc="0" locked="0" layoutInCell="1" allowOverlap="1" wp14:anchorId="636204FC" wp14:editId="2B7C2BF3">
                <wp:simplePos x="0" y="0"/>
                <wp:positionH relativeFrom="column">
                  <wp:posOffset>114300</wp:posOffset>
                </wp:positionH>
                <wp:positionV relativeFrom="paragraph">
                  <wp:posOffset>2809240</wp:posOffset>
                </wp:positionV>
                <wp:extent cx="6616700" cy="381000"/>
                <wp:effectExtent l="12700" t="12700" r="12700" b="12700"/>
                <wp:wrapNone/>
                <wp:docPr id="638" name="Rounded Rectangle 638"/>
                <wp:cNvGraphicFramePr/>
                <a:graphic xmlns:a="http://schemas.openxmlformats.org/drawingml/2006/main">
                  <a:graphicData uri="http://schemas.microsoft.com/office/word/2010/wordprocessingShape">
                    <wps:wsp>
                      <wps:cNvSpPr/>
                      <wps:spPr>
                        <a:xfrm>
                          <a:off x="0" y="0"/>
                          <a:ext cx="6616700" cy="381000"/>
                        </a:xfrm>
                        <a:prstGeom prst="roundRect">
                          <a:avLst/>
                        </a:prstGeom>
                        <a:noFill/>
                        <a:ln w="28575">
                          <a:solidFill>
                            <a:srgbClr val="4E59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DEA67EC" id="Rounded Rectangle 638" o:spid="_x0000_s1026" style="position:absolute;margin-left:9pt;margin-top:221.2pt;width:521pt;height:30pt;z-index:251663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" filled="f" strokecolor="#4e5958"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272062" behindDoc="0" locked="0" layoutInCell="1" allowOverlap="1" wp14:anchorId="3130652E" wp14:editId="48F1D540">
                <wp:simplePos x="0" y="0"/>
                <wp:positionH relativeFrom="column">
                  <wp:posOffset>127000</wp:posOffset>
                </wp:positionH>
                <wp:positionV relativeFrom="paragraph">
                  <wp:posOffset>2783840</wp:posOffset>
                </wp:positionV>
                <wp:extent cx="6438900" cy="266700"/>
                <wp:effectExtent l="0" t="0" r="0" b="0"/>
                <wp:wrapNone/>
                <wp:docPr id="660" name="Text Box 660"/>
                <wp:cNvGraphicFramePr/>
                <a:graphic xmlns:a="http://schemas.openxmlformats.org/drawingml/2006/main">
                  <a:graphicData uri="http://schemas.microsoft.com/office/word/2010/wordprocessingShape">
                    <wps:wsp>
                      <wps:cNvSpPr txBox="1"/>
                      <wps:spPr>
                        <a:xfrm>
                          <a:off x="0" y="0"/>
                          <a:ext cx="6438900" cy="266700"/>
                        </a:xfrm>
                        <a:prstGeom prst="rect">
                          <a:avLst/>
                        </a:prstGeom>
                        <a:noFill/>
                        <a:ln w="6350">
                          <a:noFill/>
                        </a:ln>
                      </wps:spPr>
                      <wps:txbx>
                        <w:txbxContent>
                          <w:p w14:paraId="236CD4C3" w14:textId="77777777" w:rsidR="00D15FD8" w:rsidRPr="00BD6508" w:rsidRDefault="00D15FD8" w:rsidP="00BD6508">
                            <w:pPr>
                              <w:spacing w:line="276" w:lineRule="auto"/>
                              <w:contextualSpacing/>
                              <w:jc w:val="both"/>
                              <w:rPr>
                                <w:rFonts w:ascii="Arial" w:hAnsi="Arial" w:cs="Arial"/>
                                <w:b/>
                                <w:bCs/>
                                <w:color w:val="FFFFFF" w:themeColor="background1"/>
                                <w:sz w:val="24"/>
                                <w:szCs w:val="24"/>
                                <w:lang w:val="en-US"/>
                              </w:rPr>
                            </w:pPr>
                            <w:r w:rsidRPr="00BD6508">
                              <w:rPr>
                                <w:rFonts w:ascii="Arial" w:hAnsi="Arial" w:cs="Arial"/>
                                <w:b/>
                                <w:bCs/>
                                <w:color w:val="FFFFFF" w:themeColor="background1"/>
                                <w:sz w:val="24"/>
                                <w:szCs w:val="24"/>
                                <w:lang w:val="en-US"/>
                              </w:rPr>
                              <w:t>understand how the tax that people have to pay is determined;</w:t>
                            </w:r>
                          </w:p>
                          <w:p w14:paraId="10385242" w14:textId="77777777" w:rsidR="00D15FD8" w:rsidRPr="00BD6508" w:rsidRDefault="00D15FD8">
                            <w:pPr>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30652E" id="Text Box 660" o:spid="_x0000_s1412" type="#_x0000_t202" style="position:absolute;left:0;text-align:left;margin-left:10pt;margin-top:219.2pt;width:507pt;height:21pt;z-index:2532720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" filled="f" stroked="f" strokeweight=".5pt">
                <v:textbox>
                  <w:txbxContent>
                    <w:p w14:paraId="236CD4C3" w14:textId="77777777" w:rsidR="00D15FD8" w:rsidRPr="00BD6508" w:rsidRDefault="00D15FD8" w:rsidP="00BD6508">
                      <w:pPr>
                        <w:spacing w:line="276" w:lineRule="auto"/>
                        <w:contextualSpacing/>
                        <w:jc w:val="both"/>
                        <w:rPr>
                          <w:rFonts w:ascii="Arial" w:hAnsi="Arial" w:cs="Arial"/>
                          <w:b/>
                          <w:bCs/>
                          <w:color w:val="FFFFFF" w:themeColor="background1"/>
                          <w:sz w:val="24"/>
                          <w:szCs w:val="24"/>
                          <w:lang w:val="en-US"/>
                        </w:rPr>
                      </w:pPr>
                      <w:r w:rsidRPr="00BD6508">
                        <w:rPr>
                          <w:rFonts w:ascii="Arial" w:hAnsi="Arial" w:cs="Arial"/>
                          <w:b/>
                          <w:bCs/>
                          <w:color w:val="FFFFFF" w:themeColor="background1"/>
                          <w:sz w:val="24"/>
                          <w:szCs w:val="24"/>
                          <w:lang w:val="en-US"/>
                        </w:rPr>
                        <w:t>understand how the tax that people have to pay is determined;</w:t>
                      </w:r>
                    </w:p>
                    <w:p w14:paraId="10385242" w14:textId="77777777" w:rsidR="00D15FD8" w:rsidRPr="00BD6508" w:rsidRDefault="00D15FD8">
                      <w:pPr>
                        <w:rPr>
                          <w:b/>
                          <w:bCs/>
                          <w:color w:val="FFFFFF" w:themeColor="background1"/>
                        </w:rPr>
                      </w:pPr>
                    </w:p>
                  </w:txbxContent>
                </v:textbox>
              </v:shape>
            </w:pict>
          </mc:Fallback>
        </mc:AlternateContent>
      </w:r>
      <w:r w:rsidR="00252491" w:rsidRPr="00BD6508">
        <w:rPr>
          <w:rFonts w:ascii="Arial" w:hAnsi="Arial" w:cs="Arial"/>
          <w:sz w:val="24"/>
          <w:szCs w:val="24"/>
        </w:rPr>
        <w:t>Tax transparency concerns</w:t>
      </w:r>
      <w:r w:rsidR="00252491" w:rsidRPr="00BD6508">
        <w:rPr>
          <w:rFonts w:ascii="Arial" w:hAnsi="Arial" w:cs="Arial"/>
          <w:sz w:val="24"/>
          <w:szCs w:val="24"/>
          <w:lang w:val="en-ZA"/>
        </w:rPr>
        <w:t xml:space="preserve"> the publication of information that society needs in order to understand how the tax system works. Authors Andrew Baker and Richard Murphy</w:t>
      </w:r>
      <w:r w:rsidR="00252491" w:rsidRPr="00BD6508">
        <w:rPr>
          <w:rStyle w:val="FootnoteReference"/>
          <w:rFonts w:ascii="Arial" w:hAnsi="Arial" w:cs="Arial"/>
          <w:sz w:val="24"/>
          <w:szCs w:val="24"/>
          <w:lang w:val="en-ZA"/>
        </w:rPr>
        <w:footnoteReference w:id="47"/>
      </w:r>
      <w:r w:rsidR="00252491" w:rsidRPr="00BD6508">
        <w:rPr>
          <w:rFonts w:ascii="Arial" w:hAnsi="Arial" w:cs="Arial"/>
          <w:sz w:val="24"/>
          <w:szCs w:val="24"/>
          <w:lang w:val="en-ZA"/>
        </w:rPr>
        <w:t xml:space="preserve"> have defined tax transparency </w:t>
      </w:r>
      <w:r w:rsidR="00252491" w:rsidRPr="00BD6508">
        <w:rPr>
          <w:rFonts w:ascii="Arial" w:hAnsi="Arial" w:cs="Arial"/>
          <w:sz w:val="24"/>
          <w:szCs w:val="24"/>
        </w:rPr>
        <w:t>as the disclosure and publication of quantitative and qualitative data about the tax system, that a society needs to hold decision makers to account and to reach informed judgements on how the tax system is performing during a particular time period. It is a process that supplies the information required to ensure that a tax system works for the benefit of all stakeholders – in and out of government – tax administrators, other government officials, legislators, those who elected them, and those who pay taxes, including any identified disadvantaged and marginalized groups. The information made available through a tax transparency framework is part of an integrated process that includes the collection, analysis, scrutiny and dissemination of data, and the subsequent discussion of tax system performance, as well as the broader fiscal framework that includes the spending side of public budgets</w:t>
      </w:r>
      <w:r w:rsidR="00252491" w:rsidRPr="00BD6508">
        <w:rPr>
          <w:rFonts w:ascii="Arial" w:hAnsi="Arial" w:cs="Arial"/>
          <w:sz w:val="24"/>
          <w:szCs w:val="24"/>
          <w:lang w:val="en-ZA"/>
        </w:rPr>
        <w:t xml:space="preserve">. </w:t>
      </w:r>
      <w:r w:rsidR="00252491" w:rsidRPr="00BD6508">
        <w:rPr>
          <w:rFonts w:ascii="Arial" w:hAnsi="Arial" w:cs="Arial"/>
          <w:sz w:val="24"/>
          <w:szCs w:val="24"/>
          <w:lang w:val="en-US"/>
        </w:rPr>
        <w:t>Specifically, the stakeholders of a tax system require information that allows them to:</w:t>
      </w:r>
    </w:p>
    <w:p w14:paraId="6B506FA7" w14:textId="0EFC1EE3" w:rsidR="00EF4A27" w:rsidRDefault="00EF4A27" w:rsidP="00252491">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277182" behindDoc="0" locked="0" layoutInCell="1" allowOverlap="1" wp14:anchorId="6622C6CB" wp14:editId="5530AB71">
                <wp:simplePos x="0" y="0"/>
                <wp:positionH relativeFrom="column">
                  <wp:posOffset>120015</wp:posOffset>
                </wp:positionH>
                <wp:positionV relativeFrom="paragraph">
                  <wp:posOffset>795983</wp:posOffset>
                </wp:positionV>
                <wp:extent cx="6438900" cy="266700"/>
                <wp:effectExtent l="0" t="0" r="0" b="0"/>
                <wp:wrapNone/>
                <wp:docPr id="689" name="Text Box 689"/>
                <wp:cNvGraphicFramePr/>
                <a:graphic xmlns:a="http://schemas.openxmlformats.org/drawingml/2006/main">
                  <a:graphicData uri="http://schemas.microsoft.com/office/word/2010/wordprocessingShape">
                    <wps:wsp>
                      <wps:cNvSpPr txBox="1"/>
                      <wps:spPr>
                        <a:xfrm>
                          <a:off x="0" y="0"/>
                          <a:ext cx="6438900" cy="266700"/>
                        </a:xfrm>
                        <a:prstGeom prst="rect">
                          <a:avLst/>
                        </a:prstGeom>
                        <a:noFill/>
                        <a:ln w="6350">
                          <a:noFill/>
                        </a:ln>
                      </wps:spPr>
                      <wps:txbx>
                        <w:txbxContent>
                          <w:p w14:paraId="7B3BA1A2" w14:textId="652F0BDE" w:rsidR="00D15FD8" w:rsidRPr="00BD6508" w:rsidRDefault="00D15FD8" w:rsidP="00EF4A27">
                            <w:pPr>
                              <w:rPr>
                                <w:b/>
                                <w:bCs/>
                                <w:color w:val="FFFFFF" w:themeColor="background1"/>
                              </w:rPr>
                            </w:pPr>
                            <w:r w:rsidRPr="00EF4A27">
                              <w:rPr>
                                <w:rFonts w:ascii="Arial" w:hAnsi="Arial" w:cs="Arial"/>
                                <w:b/>
                                <w:bCs/>
                                <w:color w:val="FFFFFF" w:themeColor="background1"/>
                                <w:sz w:val="24"/>
                                <w:szCs w:val="24"/>
                                <w:lang w:val="en-US"/>
                              </w:rPr>
                              <w:t>understand the administrative procedures that prescribe how taxes are paid;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22C6CB" id="Text Box 689" o:spid="_x0000_s1413" type="#_x0000_t202" style="position:absolute;left:0;text-align:left;margin-left:9.45pt;margin-top:62.7pt;width:507pt;height:21pt;z-index:2532771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" filled="f" stroked="f" strokeweight=".5pt">
                <v:textbox>
                  <w:txbxContent>
                    <w:p w14:paraId="7B3BA1A2" w14:textId="652F0BDE" w:rsidR="00D15FD8" w:rsidRPr="00BD6508" w:rsidRDefault="00D15FD8" w:rsidP="00EF4A27">
                      <w:pPr>
                        <w:rPr>
                          <w:b/>
                          <w:bCs/>
                          <w:color w:val="FFFFFF" w:themeColor="background1"/>
                        </w:rPr>
                      </w:pPr>
                      <w:r w:rsidRPr="00EF4A27">
                        <w:rPr>
                          <w:rFonts w:ascii="Arial" w:hAnsi="Arial" w:cs="Arial"/>
                          <w:b/>
                          <w:bCs/>
                          <w:color w:val="FFFFFF" w:themeColor="background1"/>
                          <w:sz w:val="24"/>
                          <w:szCs w:val="24"/>
                          <w:lang w:val="en-US"/>
                        </w:rPr>
                        <w:t>understand the administrative procedures that prescribe how taxes are paid;</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274110" behindDoc="0" locked="0" layoutInCell="1" allowOverlap="1" wp14:anchorId="370DE2A6" wp14:editId="05086B7E">
                <wp:simplePos x="0" y="0"/>
                <wp:positionH relativeFrom="column">
                  <wp:posOffset>124132</wp:posOffset>
                </wp:positionH>
                <wp:positionV relativeFrom="paragraph">
                  <wp:posOffset>843280</wp:posOffset>
                </wp:positionV>
                <wp:extent cx="6616700" cy="381000"/>
                <wp:effectExtent l="12700" t="12700" r="12700" b="12700"/>
                <wp:wrapNone/>
                <wp:docPr id="682" name="Rounded Rectangle 682"/>
                <wp:cNvGraphicFramePr/>
                <a:graphic xmlns:a="http://schemas.openxmlformats.org/drawingml/2006/main">
                  <a:graphicData uri="http://schemas.microsoft.com/office/word/2010/wordprocessingShape">
                    <wps:wsp>
                      <wps:cNvSpPr/>
                      <wps:spPr>
                        <a:xfrm>
                          <a:off x="0" y="0"/>
                          <a:ext cx="6616700" cy="381000"/>
                        </a:xfrm>
                        <a:prstGeom prst="roundRect">
                          <a:avLst/>
                        </a:prstGeom>
                        <a:noFill/>
                        <a:ln w="28575">
                          <a:solidFill>
                            <a:srgbClr val="4E59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26B7B1C" id="Rounded Rectangle 682" o:spid="_x0000_s1026" style="position:absolute;margin-left:9.75pt;margin-top:66.4pt;width:521pt;height:30pt;z-index:253274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" filled="f" strokecolor="#4e5958"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275134" behindDoc="0" locked="0" layoutInCell="1" allowOverlap="1" wp14:anchorId="2A0F1683" wp14:editId="2F107B38">
                <wp:simplePos x="0" y="0"/>
                <wp:positionH relativeFrom="column">
                  <wp:posOffset>0</wp:posOffset>
                </wp:positionH>
                <wp:positionV relativeFrom="paragraph">
                  <wp:posOffset>751840</wp:posOffset>
                </wp:positionV>
                <wp:extent cx="6645910" cy="381000"/>
                <wp:effectExtent l="0" t="0" r="0" b="0"/>
                <wp:wrapSquare wrapText="bothSides"/>
                <wp:docPr id="686" name="Rounded Rectangle 686"/>
                <wp:cNvGraphicFramePr/>
                <a:graphic xmlns:a="http://schemas.openxmlformats.org/drawingml/2006/main">
                  <a:graphicData uri="http://schemas.microsoft.com/office/word/2010/wordprocessingShape">
                    <wps:wsp>
                      <wps:cNvSpPr/>
                      <wps:spPr>
                        <a:xfrm>
                          <a:off x="0" y="0"/>
                          <a:ext cx="6645910" cy="3810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7CB217C0" id="Rounded Rectangle 686" o:spid="_x0000_s1026" style="position:absolute;margin-left:0;margin-top:59.2pt;width:523.3pt;height:30pt;z-index:2532751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" fillcolor="#f9a133" stroked="f" strokeweight="1pt">
                <v:stroke joinstyle="miter"/>
                <w10:wrap type="square"/>
              </v:roundrect>
            </w:pict>
          </mc:Fallback>
        </mc:AlternateContent>
      </w:r>
      <w:r>
        <w:rPr>
          <w:rFonts w:ascii="Arial" w:hAnsi="Arial" w:cs="Arial"/>
          <w:noProof/>
          <w:sz w:val="24"/>
          <w:szCs w:val="24"/>
          <w:lang w:val="en-US"/>
        </w:rPr>
        <mc:AlternateContent>
          <mc:Choice Requires="wps">
            <w:drawing>
              <wp:anchor distT="0" distB="0" distL="114300" distR="114300" simplePos="0" relativeHeight="253271038" behindDoc="0" locked="0" layoutInCell="1" allowOverlap="1" wp14:anchorId="06862E9B" wp14:editId="2653E0E5">
                <wp:simplePos x="0" y="0"/>
                <wp:positionH relativeFrom="column">
                  <wp:posOffset>0</wp:posOffset>
                </wp:positionH>
                <wp:positionV relativeFrom="paragraph">
                  <wp:posOffset>100330</wp:posOffset>
                </wp:positionV>
                <wp:extent cx="6645910" cy="381000"/>
                <wp:effectExtent l="0" t="0" r="0" b="0"/>
                <wp:wrapSquare wrapText="bothSides"/>
                <wp:docPr id="614" name="Rounded Rectangle 614"/>
                <wp:cNvGraphicFramePr/>
                <a:graphic xmlns:a="http://schemas.openxmlformats.org/drawingml/2006/main">
                  <a:graphicData uri="http://schemas.microsoft.com/office/word/2010/wordprocessingShape">
                    <wps:wsp>
                      <wps:cNvSpPr/>
                      <wps:spPr>
                        <a:xfrm>
                          <a:off x="0" y="0"/>
                          <a:ext cx="6645910" cy="3810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E1FBBDD" id="Rounded Rectangle 614" o:spid="_x0000_s1026" style="position:absolute;margin-left:0;margin-top:7.9pt;width:523.3pt;height:30pt;z-index:2532710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" fillcolor="#f9a133" stroked="f" strokeweight="1pt">
                <v:stroke joinstyle="miter"/>
                <w10:wrap type="square"/>
              </v:roundrect>
            </w:pict>
          </mc:Fallback>
        </mc:AlternateContent>
      </w:r>
    </w:p>
    <w:p w14:paraId="1768ABB3" w14:textId="2C80E2B6" w:rsidR="00EF4A27" w:rsidRDefault="003109E8" w:rsidP="00252491">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282302" behindDoc="0" locked="0" layoutInCell="1" allowOverlap="1" wp14:anchorId="2E095DBD" wp14:editId="23B21A72">
                <wp:simplePos x="0" y="0"/>
                <wp:positionH relativeFrom="column">
                  <wp:posOffset>122555</wp:posOffset>
                </wp:positionH>
                <wp:positionV relativeFrom="paragraph">
                  <wp:posOffset>763598</wp:posOffset>
                </wp:positionV>
                <wp:extent cx="6438900" cy="478852"/>
                <wp:effectExtent l="0" t="0" r="0" b="0"/>
                <wp:wrapNone/>
                <wp:docPr id="697" name="Text Box 697"/>
                <wp:cNvGraphicFramePr/>
                <a:graphic xmlns:a="http://schemas.openxmlformats.org/drawingml/2006/main">
                  <a:graphicData uri="http://schemas.microsoft.com/office/word/2010/wordprocessingShape">
                    <wps:wsp>
                      <wps:cNvSpPr txBox="1"/>
                      <wps:spPr>
                        <a:xfrm>
                          <a:off x="0" y="0"/>
                          <a:ext cx="6438900" cy="478852"/>
                        </a:xfrm>
                        <a:prstGeom prst="rect">
                          <a:avLst/>
                        </a:prstGeom>
                        <a:noFill/>
                        <a:ln w="6350">
                          <a:noFill/>
                        </a:ln>
                      </wps:spPr>
                      <wps:txbx>
                        <w:txbxContent>
                          <w:p w14:paraId="6139383B" w14:textId="26584B1D" w:rsidR="00D15FD8" w:rsidRPr="00BD6508" w:rsidRDefault="00D15FD8" w:rsidP="003109E8">
                            <w:pPr>
                              <w:rPr>
                                <w:b/>
                                <w:bCs/>
                                <w:color w:val="FFFFFF" w:themeColor="background1"/>
                              </w:rPr>
                            </w:pPr>
                            <w:r w:rsidRPr="003109E8">
                              <w:rPr>
                                <w:rFonts w:ascii="Arial" w:hAnsi="Arial" w:cs="Arial"/>
                                <w:b/>
                                <w:bCs/>
                                <w:color w:val="FFFFFF" w:themeColor="background1"/>
                                <w:sz w:val="24"/>
                                <w:szCs w:val="24"/>
                                <w:lang w:val="en-US"/>
                              </w:rPr>
                              <w:t>assess whether the taxes they are expected to pay are fair compared to the contribution required of others within the society of which they are a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095DBD" id="Text Box 697" o:spid="_x0000_s1414" type="#_x0000_t202" style="position:absolute;left:0;text-align:left;margin-left:9.65pt;margin-top:60.15pt;width:507pt;height:37.7pt;z-index:2532823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" filled="f" stroked="f" strokeweight=".5pt">
                <v:textbox>
                  <w:txbxContent>
                    <w:p w14:paraId="6139383B" w14:textId="26584B1D" w:rsidR="00D15FD8" w:rsidRPr="00BD6508" w:rsidRDefault="00D15FD8" w:rsidP="003109E8">
                      <w:pPr>
                        <w:rPr>
                          <w:b/>
                          <w:bCs/>
                          <w:color w:val="FFFFFF" w:themeColor="background1"/>
                        </w:rPr>
                      </w:pPr>
                      <w:r w:rsidRPr="003109E8">
                        <w:rPr>
                          <w:rFonts w:ascii="Arial" w:hAnsi="Arial" w:cs="Arial"/>
                          <w:b/>
                          <w:bCs/>
                          <w:color w:val="FFFFFF" w:themeColor="background1"/>
                          <w:sz w:val="24"/>
                          <w:szCs w:val="24"/>
                          <w:lang w:val="en-US"/>
                        </w:rPr>
                        <w:t>assess whether the taxes they are expected to pay are fair compared to the contribution required of others within the society of which they are a part;</w:t>
                      </w:r>
                    </w:p>
                  </w:txbxContent>
                </v:textbox>
              </v:shape>
            </w:pict>
          </mc:Fallback>
        </mc:AlternateContent>
      </w:r>
      <w:r w:rsidR="00EF4A27">
        <w:rPr>
          <w:rFonts w:ascii="Arial" w:hAnsi="Arial" w:cs="Arial"/>
          <w:noProof/>
          <w:sz w:val="24"/>
          <w:szCs w:val="24"/>
          <w:lang w:val="en-US"/>
        </w:rPr>
        <mc:AlternateContent>
          <mc:Choice Requires="wps">
            <w:drawing>
              <wp:anchor distT="0" distB="0" distL="114300" distR="114300" simplePos="0" relativeHeight="253279230" behindDoc="0" locked="0" layoutInCell="1" allowOverlap="1" wp14:anchorId="60F23904" wp14:editId="03797CE7">
                <wp:simplePos x="0" y="0"/>
                <wp:positionH relativeFrom="column">
                  <wp:posOffset>125771</wp:posOffset>
                </wp:positionH>
                <wp:positionV relativeFrom="paragraph">
                  <wp:posOffset>816344</wp:posOffset>
                </wp:positionV>
                <wp:extent cx="6616700" cy="537906"/>
                <wp:effectExtent l="12700" t="12700" r="12700" b="8255"/>
                <wp:wrapNone/>
                <wp:docPr id="691" name="Rounded Rectangle 691"/>
                <wp:cNvGraphicFramePr/>
                <a:graphic xmlns:a="http://schemas.openxmlformats.org/drawingml/2006/main">
                  <a:graphicData uri="http://schemas.microsoft.com/office/word/2010/wordprocessingShape">
                    <wps:wsp>
                      <wps:cNvSpPr/>
                      <wps:spPr>
                        <a:xfrm>
                          <a:off x="0" y="0"/>
                          <a:ext cx="6616700" cy="537906"/>
                        </a:xfrm>
                        <a:prstGeom prst="roundRect">
                          <a:avLst/>
                        </a:prstGeom>
                        <a:noFill/>
                        <a:ln w="28575">
                          <a:solidFill>
                            <a:srgbClr val="4E59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EAF81B8" id="Rounded Rectangle 691" o:spid="_x0000_s1026" style="position:absolute;margin-left:9.9pt;margin-top:64.3pt;width:521pt;height:42.35pt;z-index:253279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" filled="f" strokecolor="#4e5958" strokeweight="2.25pt">
                <v:stroke joinstyle="miter"/>
              </v:roundrect>
            </w:pict>
          </mc:Fallback>
        </mc:AlternateContent>
      </w:r>
      <w:r w:rsidR="00EF4A27">
        <w:rPr>
          <w:rFonts w:ascii="Arial" w:hAnsi="Arial" w:cs="Arial"/>
          <w:noProof/>
          <w:sz w:val="24"/>
          <w:szCs w:val="24"/>
          <w:lang w:val="en-US"/>
        </w:rPr>
        <mc:AlternateContent>
          <mc:Choice Requires="wps">
            <w:drawing>
              <wp:anchor distT="0" distB="0" distL="114300" distR="114300" simplePos="0" relativeHeight="253280254" behindDoc="0" locked="0" layoutInCell="1" allowOverlap="1" wp14:anchorId="6778D51B" wp14:editId="66B95E24">
                <wp:simplePos x="0" y="0"/>
                <wp:positionH relativeFrom="column">
                  <wp:posOffset>4916</wp:posOffset>
                </wp:positionH>
                <wp:positionV relativeFrom="paragraph">
                  <wp:posOffset>724986</wp:posOffset>
                </wp:positionV>
                <wp:extent cx="6645910" cy="537906"/>
                <wp:effectExtent l="0" t="0" r="0" b="0"/>
                <wp:wrapSquare wrapText="bothSides"/>
                <wp:docPr id="692" name="Rounded Rectangle 692"/>
                <wp:cNvGraphicFramePr/>
                <a:graphic xmlns:a="http://schemas.openxmlformats.org/drawingml/2006/main">
                  <a:graphicData uri="http://schemas.microsoft.com/office/word/2010/wordprocessingShape">
                    <wps:wsp>
                      <wps:cNvSpPr/>
                      <wps:spPr>
                        <a:xfrm>
                          <a:off x="0" y="0"/>
                          <a:ext cx="6645910" cy="537906"/>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129DE482" id="Rounded Rectangle 692" o:spid="_x0000_s1026" style="position:absolute;margin-left:.4pt;margin-top:57.1pt;width:523.3pt;height:42.35pt;z-index:253280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" fillcolor="#f9a133" stroked="f" strokeweight="1pt">
                <v:stroke joinstyle="miter"/>
                <w10:wrap type="square"/>
              </v:roundrect>
            </w:pict>
          </mc:Fallback>
        </mc:AlternateContent>
      </w:r>
    </w:p>
    <w:p w14:paraId="3C769646" w14:textId="79399159" w:rsidR="00EF4A27" w:rsidRDefault="003109E8" w:rsidP="00252491">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287422" behindDoc="0" locked="0" layoutInCell="1" allowOverlap="1" wp14:anchorId="26D70ABD" wp14:editId="5A7AD185">
                <wp:simplePos x="0" y="0"/>
                <wp:positionH relativeFrom="column">
                  <wp:posOffset>162232</wp:posOffset>
                </wp:positionH>
                <wp:positionV relativeFrom="paragraph">
                  <wp:posOffset>958379</wp:posOffset>
                </wp:positionV>
                <wp:extent cx="6282813" cy="322006"/>
                <wp:effectExtent l="0" t="0" r="0" b="0"/>
                <wp:wrapNone/>
                <wp:docPr id="732" name="Text Box 732"/>
                <wp:cNvGraphicFramePr/>
                <a:graphic xmlns:a="http://schemas.openxmlformats.org/drawingml/2006/main">
                  <a:graphicData uri="http://schemas.microsoft.com/office/word/2010/wordprocessingShape">
                    <wps:wsp>
                      <wps:cNvSpPr txBox="1"/>
                      <wps:spPr>
                        <a:xfrm>
                          <a:off x="0" y="0"/>
                          <a:ext cx="6282813" cy="322006"/>
                        </a:xfrm>
                        <a:prstGeom prst="rect">
                          <a:avLst/>
                        </a:prstGeom>
                        <a:noFill/>
                        <a:ln w="6350">
                          <a:noFill/>
                        </a:ln>
                      </wps:spPr>
                      <wps:txbx>
                        <w:txbxContent>
                          <w:p w14:paraId="1FC92E2B" w14:textId="4DD3C1F8" w:rsidR="00D15FD8" w:rsidRPr="00BD6508" w:rsidRDefault="00D15FD8" w:rsidP="003109E8">
                            <w:pPr>
                              <w:rPr>
                                <w:b/>
                                <w:bCs/>
                                <w:color w:val="FFFFFF" w:themeColor="background1"/>
                              </w:rPr>
                            </w:pPr>
                            <w:r w:rsidRPr="003109E8">
                              <w:rPr>
                                <w:rFonts w:ascii="Arial" w:hAnsi="Arial" w:cs="Arial"/>
                                <w:b/>
                                <w:bCs/>
                                <w:color w:val="FFFFFF" w:themeColor="background1"/>
                                <w:sz w:val="24"/>
                                <w:szCs w:val="24"/>
                                <w:lang w:val="en-US"/>
                              </w:rPr>
                              <w:t>determine whether all of those who should pay taxes actually do 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0ABD" id="Text Box 732" o:spid="_x0000_s1415" type="#_x0000_t202" style="position:absolute;left:0;text-align:left;margin-left:12.75pt;margin-top:75.45pt;width:494.7pt;height:25.35pt;z-index:253287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" filled="f" stroked="f" strokeweight=".5pt">
                <v:textbox>
                  <w:txbxContent>
                    <w:p w14:paraId="1FC92E2B" w14:textId="4DD3C1F8" w:rsidR="00D15FD8" w:rsidRPr="00BD6508" w:rsidRDefault="00D15FD8" w:rsidP="003109E8">
                      <w:pPr>
                        <w:rPr>
                          <w:b/>
                          <w:bCs/>
                          <w:color w:val="FFFFFF" w:themeColor="background1"/>
                        </w:rPr>
                      </w:pPr>
                      <w:r w:rsidRPr="003109E8">
                        <w:rPr>
                          <w:rFonts w:ascii="Arial" w:hAnsi="Arial" w:cs="Arial"/>
                          <w:b/>
                          <w:bCs/>
                          <w:color w:val="FFFFFF" w:themeColor="background1"/>
                          <w:sz w:val="24"/>
                          <w:szCs w:val="24"/>
                          <w:lang w:val="en-US"/>
                        </w:rPr>
                        <w:t>determine whether all of those who should pay taxes actually do so;</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284350" behindDoc="0" locked="0" layoutInCell="1" allowOverlap="1" wp14:anchorId="2D6533A2" wp14:editId="50737883">
                <wp:simplePos x="0" y="0"/>
                <wp:positionH relativeFrom="column">
                  <wp:posOffset>123825</wp:posOffset>
                </wp:positionH>
                <wp:positionV relativeFrom="paragraph">
                  <wp:posOffset>992505</wp:posOffset>
                </wp:positionV>
                <wp:extent cx="6616700" cy="381000"/>
                <wp:effectExtent l="12700" t="12700" r="12700" b="12700"/>
                <wp:wrapNone/>
                <wp:docPr id="727" name="Rounded Rectangle 727"/>
                <wp:cNvGraphicFramePr/>
                <a:graphic xmlns:a="http://schemas.openxmlformats.org/drawingml/2006/main">
                  <a:graphicData uri="http://schemas.microsoft.com/office/word/2010/wordprocessingShape">
                    <wps:wsp>
                      <wps:cNvSpPr/>
                      <wps:spPr>
                        <a:xfrm>
                          <a:off x="0" y="0"/>
                          <a:ext cx="6616700" cy="381000"/>
                        </a:xfrm>
                        <a:prstGeom prst="roundRect">
                          <a:avLst/>
                        </a:prstGeom>
                        <a:noFill/>
                        <a:ln w="28575">
                          <a:solidFill>
                            <a:srgbClr val="4E59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088616A" id="Rounded Rectangle 727" o:spid="_x0000_s1026" style="position:absolute;margin-left:9.75pt;margin-top:78.15pt;width:521pt;height:30pt;z-index:253284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" filled="f" strokecolor="#4e5958"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285374" behindDoc="0" locked="0" layoutInCell="1" allowOverlap="1" wp14:anchorId="5E80B103" wp14:editId="16BFA040">
                <wp:simplePos x="0" y="0"/>
                <wp:positionH relativeFrom="column">
                  <wp:posOffset>9525</wp:posOffset>
                </wp:positionH>
                <wp:positionV relativeFrom="paragraph">
                  <wp:posOffset>901372</wp:posOffset>
                </wp:positionV>
                <wp:extent cx="6645910" cy="381000"/>
                <wp:effectExtent l="0" t="0" r="0" b="0"/>
                <wp:wrapSquare wrapText="bothSides"/>
                <wp:docPr id="728" name="Rounded Rectangle 728"/>
                <wp:cNvGraphicFramePr/>
                <a:graphic xmlns:a="http://schemas.openxmlformats.org/drawingml/2006/main">
                  <a:graphicData uri="http://schemas.microsoft.com/office/word/2010/wordprocessingShape">
                    <wps:wsp>
                      <wps:cNvSpPr/>
                      <wps:spPr>
                        <a:xfrm>
                          <a:off x="0" y="0"/>
                          <a:ext cx="6645910" cy="3810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16DA4CAE" id="Rounded Rectangle 728" o:spid="_x0000_s1026" style="position:absolute;margin-left:.75pt;margin-top:70.95pt;width:523.3pt;height:30pt;z-index:2532853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" fillcolor="#f9a133" stroked="f" strokeweight="1pt">
                <v:stroke joinstyle="miter"/>
                <w10:wrap type="square"/>
              </v:roundrect>
            </w:pict>
          </mc:Fallback>
        </mc:AlternateContent>
      </w:r>
    </w:p>
    <w:p w14:paraId="571F4337" w14:textId="34B22C11" w:rsidR="00EF4A27" w:rsidRDefault="00EF4A27" w:rsidP="00252491">
      <w:pPr>
        <w:spacing w:line="276" w:lineRule="auto"/>
        <w:jc w:val="both"/>
        <w:rPr>
          <w:rFonts w:ascii="Arial" w:hAnsi="Arial" w:cs="Arial"/>
          <w:sz w:val="24"/>
          <w:szCs w:val="24"/>
          <w:lang w:val="en-US"/>
        </w:rPr>
      </w:pPr>
    </w:p>
    <w:p w14:paraId="61B8DFFE" w14:textId="516CE8EF" w:rsidR="00EF4A27" w:rsidRDefault="00D22381" w:rsidP="00252491">
      <w:pPr>
        <w:spacing w:line="276" w:lineRule="auto"/>
        <w:jc w:val="both"/>
        <w:rPr>
          <w:rFonts w:ascii="Arial" w:hAnsi="Arial" w:cs="Arial"/>
          <w:sz w:val="24"/>
          <w:szCs w:val="24"/>
          <w:lang w:val="en-US"/>
        </w:rPr>
      </w:pPr>
      <w:r>
        <w:rPr>
          <w:rFonts w:ascii="Arial" w:hAnsi="Arial" w:cs="Arial"/>
          <w:noProof/>
          <w:sz w:val="24"/>
          <w:szCs w:val="24"/>
          <w:lang w:val="en-US"/>
        </w:rPr>
        <w:lastRenderedPageBreak/>
        <mc:AlternateContent>
          <mc:Choice Requires="wps">
            <w:drawing>
              <wp:anchor distT="0" distB="0" distL="114300" distR="114300" simplePos="0" relativeHeight="253294590" behindDoc="0" locked="0" layoutInCell="1" allowOverlap="1" wp14:anchorId="63153DA2" wp14:editId="64503746">
                <wp:simplePos x="0" y="0"/>
                <wp:positionH relativeFrom="column">
                  <wp:posOffset>114300</wp:posOffset>
                </wp:positionH>
                <wp:positionV relativeFrom="paragraph">
                  <wp:posOffset>781685</wp:posOffset>
                </wp:positionV>
                <wp:extent cx="6616700" cy="381000"/>
                <wp:effectExtent l="12700" t="12700" r="12700" b="12700"/>
                <wp:wrapNone/>
                <wp:docPr id="763" name="Rounded Rectangle 763"/>
                <wp:cNvGraphicFramePr/>
                <a:graphic xmlns:a="http://schemas.openxmlformats.org/drawingml/2006/main">
                  <a:graphicData uri="http://schemas.microsoft.com/office/word/2010/wordprocessingShape">
                    <wps:wsp>
                      <wps:cNvSpPr/>
                      <wps:spPr>
                        <a:xfrm>
                          <a:off x="0" y="0"/>
                          <a:ext cx="6616700" cy="381000"/>
                        </a:xfrm>
                        <a:prstGeom prst="roundRect">
                          <a:avLst/>
                        </a:prstGeom>
                        <a:noFill/>
                        <a:ln w="28575">
                          <a:solidFill>
                            <a:srgbClr val="4E59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AC3EFB9" id="Rounded Rectangle 763" o:spid="_x0000_s1026" style="position:absolute;margin-left:9pt;margin-top:61.55pt;width:521pt;height:30pt;z-index:253294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" filled="f" strokecolor="#4e5958"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297662" behindDoc="0" locked="0" layoutInCell="1" allowOverlap="1" wp14:anchorId="2A2CDC46" wp14:editId="407135D7">
                <wp:simplePos x="0" y="0"/>
                <wp:positionH relativeFrom="column">
                  <wp:posOffset>137631</wp:posOffset>
                </wp:positionH>
                <wp:positionV relativeFrom="paragraph">
                  <wp:posOffset>750078</wp:posOffset>
                </wp:positionV>
                <wp:extent cx="6282813" cy="322006"/>
                <wp:effectExtent l="0" t="0" r="0" b="0"/>
                <wp:wrapNone/>
                <wp:docPr id="1426" name="Text Box 1426"/>
                <wp:cNvGraphicFramePr/>
                <a:graphic xmlns:a="http://schemas.openxmlformats.org/drawingml/2006/main">
                  <a:graphicData uri="http://schemas.microsoft.com/office/word/2010/wordprocessingShape">
                    <wps:wsp>
                      <wps:cNvSpPr txBox="1"/>
                      <wps:spPr>
                        <a:xfrm>
                          <a:off x="0" y="0"/>
                          <a:ext cx="6282813" cy="322006"/>
                        </a:xfrm>
                        <a:prstGeom prst="rect">
                          <a:avLst/>
                        </a:prstGeom>
                        <a:noFill/>
                        <a:ln w="6350">
                          <a:noFill/>
                        </a:ln>
                      </wps:spPr>
                      <wps:txbx>
                        <w:txbxContent>
                          <w:p w14:paraId="42C07703" w14:textId="18F4FE54" w:rsidR="00D15FD8" w:rsidRPr="00BD6508" w:rsidRDefault="00D15FD8" w:rsidP="00D22381">
                            <w:pPr>
                              <w:rPr>
                                <w:b/>
                                <w:bCs/>
                                <w:color w:val="FFFFFF" w:themeColor="background1"/>
                              </w:rPr>
                            </w:pPr>
                            <w:r w:rsidRPr="00D22381">
                              <w:rPr>
                                <w:rFonts w:ascii="Arial" w:hAnsi="Arial" w:cs="Arial"/>
                                <w:b/>
                                <w:bCs/>
                                <w:color w:val="FFFFFF" w:themeColor="background1"/>
                                <w:sz w:val="24"/>
                                <w:szCs w:val="24"/>
                                <w:lang w:val="en-US"/>
                              </w:rPr>
                              <w:t>understand how their tax system compares to those of similar jurisdictions; 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CDC46" id="Text Box 1426" o:spid="_x0000_s1416" type="#_x0000_t202" style="position:absolute;left:0;text-align:left;margin-left:10.85pt;margin-top:59.05pt;width:494.7pt;height:25.35pt;z-index:253297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" filled="f" stroked="f" strokeweight=".5pt">
                <v:textbox>
                  <w:txbxContent>
                    <w:p w14:paraId="42C07703" w14:textId="18F4FE54" w:rsidR="00D15FD8" w:rsidRPr="00BD6508" w:rsidRDefault="00D15FD8" w:rsidP="00D22381">
                      <w:pPr>
                        <w:rPr>
                          <w:b/>
                          <w:bCs/>
                          <w:color w:val="FFFFFF" w:themeColor="background1"/>
                        </w:rPr>
                      </w:pPr>
                      <w:r w:rsidRPr="00D22381">
                        <w:rPr>
                          <w:rFonts w:ascii="Arial" w:hAnsi="Arial" w:cs="Arial"/>
                          <w:b/>
                          <w:bCs/>
                          <w:color w:val="FFFFFF" w:themeColor="background1"/>
                          <w:sz w:val="24"/>
                          <w:szCs w:val="24"/>
                          <w:lang w:val="en-US"/>
                        </w:rPr>
                        <w:t>understand how their tax system compares to those of similar jurisdictions; and</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295614" behindDoc="0" locked="0" layoutInCell="1" allowOverlap="1" wp14:anchorId="787B6D10" wp14:editId="5FD3EE69">
                <wp:simplePos x="0" y="0"/>
                <wp:positionH relativeFrom="column">
                  <wp:posOffset>0</wp:posOffset>
                </wp:positionH>
                <wp:positionV relativeFrom="paragraph">
                  <wp:posOffset>689917</wp:posOffset>
                </wp:positionV>
                <wp:extent cx="6645910" cy="381000"/>
                <wp:effectExtent l="0" t="0" r="0" b="0"/>
                <wp:wrapSquare wrapText="bothSides"/>
                <wp:docPr id="1414" name="Rounded Rectangle 1414"/>
                <wp:cNvGraphicFramePr/>
                <a:graphic xmlns:a="http://schemas.openxmlformats.org/drawingml/2006/main">
                  <a:graphicData uri="http://schemas.microsoft.com/office/word/2010/wordprocessingShape">
                    <wps:wsp>
                      <wps:cNvSpPr/>
                      <wps:spPr>
                        <a:xfrm>
                          <a:off x="0" y="0"/>
                          <a:ext cx="6645910" cy="3810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4E4A1452" id="Rounded Rectangle 1414" o:spid="_x0000_s1026" style="position:absolute;margin-left:0;margin-top:54.3pt;width:523.3pt;height:30pt;z-index:2532956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" fillcolor="#f9a133" stroked="f" strokeweight="1pt">
                <v:stroke joinstyle="miter"/>
                <w10:wrap type="square"/>
              </v:roundrect>
            </w:pict>
          </mc:Fallback>
        </mc:AlternateContent>
      </w:r>
      <w:r>
        <w:rPr>
          <w:rFonts w:ascii="Arial" w:hAnsi="Arial" w:cs="Arial"/>
          <w:noProof/>
          <w:sz w:val="24"/>
          <w:szCs w:val="24"/>
          <w:lang w:val="en-US"/>
        </w:rPr>
        <mc:AlternateContent>
          <mc:Choice Requires="wps">
            <w:drawing>
              <wp:anchor distT="0" distB="0" distL="114300" distR="114300" simplePos="0" relativeHeight="253292542" behindDoc="0" locked="0" layoutInCell="1" allowOverlap="1" wp14:anchorId="4BDDE29D" wp14:editId="606E0CCE">
                <wp:simplePos x="0" y="0"/>
                <wp:positionH relativeFrom="column">
                  <wp:posOffset>129540</wp:posOffset>
                </wp:positionH>
                <wp:positionV relativeFrom="paragraph">
                  <wp:posOffset>71448</wp:posOffset>
                </wp:positionV>
                <wp:extent cx="6282813" cy="322006"/>
                <wp:effectExtent l="0" t="0" r="0" b="0"/>
                <wp:wrapNone/>
                <wp:docPr id="761" name="Text Box 761"/>
                <wp:cNvGraphicFramePr/>
                <a:graphic xmlns:a="http://schemas.openxmlformats.org/drawingml/2006/main">
                  <a:graphicData uri="http://schemas.microsoft.com/office/word/2010/wordprocessingShape">
                    <wps:wsp>
                      <wps:cNvSpPr txBox="1"/>
                      <wps:spPr>
                        <a:xfrm>
                          <a:off x="0" y="0"/>
                          <a:ext cx="6282813" cy="322006"/>
                        </a:xfrm>
                        <a:prstGeom prst="rect">
                          <a:avLst/>
                        </a:prstGeom>
                        <a:noFill/>
                        <a:ln w="6350">
                          <a:noFill/>
                        </a:ln>
                      </wps:spPr>
                      <wps:txbx>
                        <w:txbxContent>
                          <w:p w14:paraId="34CD2B15" w14:textId="53352257" w:rsidR="00D15FD8" w:rsidRPr="00BD6508" w:rsidRDefault="00D15FD8" w:rsidP="00D22381">
                            <w:pPr>
                              <w:rPr>
                                <w:b/>
                                <w:bCs/>
                                <w:color w:val="FFFFFF" w:themeColor="background1"/>
                              </w:rPr>
                            </w:pPr>
                            <w:r w:rsidRPr="00D22381">
                              <w:rPr>
                                <w:rFonts w:ascii="Arial" w:hAnsi="Arial" w:cs="Arial"/>
                                <w:b/>
                                <w:bCs/>
                                <w:color w:val="FFFFFF" w:themeColor="background1"/>
                                <w:sz w:val="24"/>
                                <w:szCs w:val="24"/>
                                <w:lang w:val="en-US"/>
                              </w:rPr>
                              <w:t>evaluate what alternative options for raising revenues exist within their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DE29D" id="Text Box 761" o:spid="_x0000_s1417" type="#_x0000_t202" style="position:absolute;left:0;text-align:left;margin-left:10.2pt;margin-top:5.65pt;width:494.7pt;height:25.35pt;z-index:253292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" filled="f" stroked="f" strokeweight=".5pt">
                <v:textbox>
                  <w:txbxContent>
                    <w:p w14:paraId="34CD2B15" w14:textId="53352257" w:rsidR="00D15FD8" w:rsidRPr="00BD6508" w:rsidRDefault="00D15FD8" w:rsidP="00D22381">
                      <w:pPr>
                        <w:rPr>
                          <w:b/>
                          <w:bCs/>
                          <w:color w:val="FFFFFF" w:themeColor="background1"/>
                        </w:rPr>
                      </w:pPr>
                      <w:r w:rsidRPr="00D22381">
                        <w:rPr>
                          <w:rFonts w:ascii="Arial" w:hAnsi="Arial" w:cs="Arial"/>
                          <w:b/>
                          <w:bCs/>
                          <w:color w:val="FFFFFF" w:themeColor="background1"/>
                          <w:sz w:val="24"/>
                          <w:szCs w:val="24"/>
                          <w:lang w:val="en-US"/>
                        </w:rPr>
                        <w:t>evaluate what alternative options for raising revenues exist within their society;</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289470" behindDoc="0" locked="0" layoutInCell="1" allowOverlap="1" wp14:anchorId="26E616EB" wp14:editId="78EE32CB">
                <wp:simplePos x="0" y="0"/>
                <wp:positionH relativeFrom="column">
                  <wp:posOffset>114300</wp:posOffset>
                </wp:positionH>
                <wp:positionV relativeFrom="paragraph">
                  <wp:posOffset>109527</wp:posOffset>
                </wp:positionV>
                <wp:extent cx="6616700" cy="381000"/>
                <wp:effectExtent l="12700" t="12700" r="12700" b="12700"/>
                <wp:wrapNone/>
                <wp:docPr id="756" name="Rounded Rectangle 756"/>
                <wp:cNvGraphicFramePr/>
                <a:graphic xmlns:a="http://schemas.openxmlformats.org/drawingml/2006/main">
                  <a:graphicData uri="http://schemas.microsoft.com/office/word/2010/wordprocessingShape">
                    <wps:wsp>
                      <wps:cNvSpPr/>
                      <wps:spPr>
                        <a:xfrm>
                          <a:off x="0" y="0"/>
                          <a:ext cx="6616700" cy="381000"/>
                        </a:xfrm>
                        <a:prstGeom prst="roundRect">
                          <a:avLst/>
                        </a:prstGeom>
                        <a:noFill/>
                        <a:ln w="28575">
                          <a:solidFill>
                            <a:srgbClr val="4E59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19BB23F" id="Rounded Rectangle 756" o:spid="_x0000_s1026" style="position:absolute;margin-left:9pt;margin-top:8.6pt;width:521pt;height:30pt;z-index:253289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" filled="f" strokecolor="#4e5958"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290494" behindDoc="0" locked="0" layoutInCell="1" allowOverlap="1" wp14:anchorId="6ED154FD" wp14:editId="651F8E87">
                <wp:simplePos x="0" y="0"/>
                <wp:positionH relativeFrom="column">
                  <wp:posOffset>0</wp:posOffset>
                </wp:positionH>
                <wp:positionV relativeFrom="paragraph">
                  <wp:posOffset>18743</wp:posOffset>
                </wp:positionV>
                <wp:extent cx="6645910" cy="381000"/>
                <wp:effectExtent l="0" t="0" r="0" b="0"/>
                <wp:wrapSquare wrapText="bothSides"/>
                <wp:docPr id="757" name="Rounded Rectangle 757"/>
                <wp:cNvGraphicFramePr/>
                <a:graphic xmlns:a="http://schemas.openxmlformats.org/drawingml/2006/main">
                  <a:graphicData uri="http://schemas.microsoft.com/office/word/2010/wordprocessingShape">
                    <wps:wsp>
                      <wps:cNvSpPr/>
                      <wps:spPr>
                        <a:xfrm>
                          <a:off x="0" y="0"/>
                          <a:ext cx="6645910" cy="3810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28C3FFCE" id="Rounded Rectangle 757" o:spid="_x0000_s1026" style="position:absolute;margin-left:0;margin-top:1.5pt;width:523.3pt;height:30pt;z-index:2532904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" fillcolor="#f9a133" stroked="f" strokeweight="1pt">
                <v:stroke joinstyle="miter"/>
                <w10:wrap type="square"/>
              </v:roundrect>
            </w:pict>
          </mc:Fallback>
        </mc:AlternateContent>
      </w:r>
    </w:p>
    <w:p w14:paraId="2823C903" w14:textId="1827CC47" w:rsidR="00EF4A27" w:rsidRDefault="00D22381" w:rsidP="00252491">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02782" behindDoc="0" locked="0" layoutInCell="1" allowOverlap="1" wp14:anchorId="364D5483" wp14:editId="4869AA04">
                <wp:simplePos x="0" y="0"/>
                <wp:positionH relativeFrom="column">
                  <wp:posOffset>140335</wp:posOffset>
                </wp:positionH>
                <wp:positionV relativeFrom="paragraph">
                  <wp:posOffset>814070</wp:posOffset>
                </wp:positionV>
                <wp:extent cx="6282690" cy="321945"/>
                <wp:effectExtent l="0" t="0" r="0" b="0"/>
                <wp:wrapNone/>
                <wp:docPr id="1446" name="Text Box 1446"/>
                <wp:cNvGraphicFramePr/>
                <a:graphic xmlns:a="http://schemas.openxmlformats.org/drawingml/2006/main">
                  <a:graphicData uri="http://schemas.microsoft.com/office/word/2010/wordprocessingShape">
                    <wps:wsp>
                      <wps:cNvSpPr txBox="1"/>
                      <wps:spPr>
                        <a:xfrm>
                          <a:off x="0" y="0"/>
                          <a:ext cx="6282690" cy="321945"/>
                        </a:xfrm>
                        <a:prstGeom prst="rect">
                          <a:avLst/>
                        </a:prstGeom>
                        <a:noFill/>
                        <a:ln w="6350">
                          <a:noFill/>
                        </a:ln>
                      </wps:spPr>
                      <wps:txbx>
                        <w:txbxContent>
                          <w:p w14:paraId="18E15BF6" w14:textId="5E216B01" w:rsidR="00D15FD8" w:rsidRPr="00BD6508" w:rsidRDefault="00D15FD8" w:rsidP="00D22381">
                            <w:pPr>
                              <w:rPr>
                                <w:b/>
                                <w:bCs/>
                                <w:color w:val="FFFFFF" w:themeColor="background1"/>
                              </w:rPr>
                            </w:pPr>
                            <w:r w:rsidRPr="00D22381">
                              <w:rPr>
                                <w:rFonts w:ascii="Arial" w:hAnsi="Arial" w:cs="Arial"/>
                                <w:b/>
                                <w:bCs/>
                                <w:color w:val="FFFFFF" w:themeColor="background1"/>
                                <w:sz w:val="24"/>
                                <w:szCs w:val="24"/>
                                <w:lang w:val="en-US"/>
                              </w:rPr>
                              <w:t>know how the taxes that are collected are used by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D5483" id="Text Box 1446" o:spid="_x0000_s1418" type="#_x0000_t202" style="position:absolute;left:0;text-align:left;margin-left:11.05pt;margin-top:64.1pt;width:494.7pt;height:25.35pt;z-index:2533027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" filled="f" stroked="f" strokeweight=".5pt">
                <v:textbox>
                  <w:txbxContent>
                    <w:p w14:paraId="18E15BF6" w14:textId="5E216B01" w:rsidR="00D15FD8" w:rsidRPr="00BD6508" w:rsidRDefault="00D15FD8" w:rsidP="00D22381">
                      <w:pPr>
                        <w:rPr>
                          <w:b/>
                          <w:bCs/>
                          <w:color w:val="FFFFFF" w:themeColor="background1"/>
                        </w:rPr>
                      </w:pPr>
                      <w:r w:rsidRPr="00D22381">
                        <w:rPr>
                          <w:rFonts w:ascii="Arial" w:hAnsi="Arial" w:cs="Arial"/>
                          <w:b/>
                          <w:bCs/>
                          <w:color w:val="FFFFFF" w:themeColor="background1"/>
                          <w:sz w:val="24"/>
                          <w:szCs w:val="24"/>
                          <w:lang w:val="en-US"/>
                        </w:rPr>
                        <w:t>know how the taxes that are collected are used by government.</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299710" behindDoc="0" locked="0" layoutInCell="1" allowOverlap="1" wp14:anchorId="1894156A" wp14:editId="68FDE158">
                <wp:simplePos x="0" y="0"/>
                <wp:positionH relativeFrom="column">
                  <wp:posOffset>130810</wp:posOffset>
                </wp:positionH>
                <wp:positionV relativeFrom="paragraph">
                  <wp:posOffset>842010</wp:posOffset>
                </wp:positionV>
                <wp:extent cx="6616700" cy="381000"/>
                <wp:effectExtent l="12700" t="12700" r="12700" b="12700"/>
                <wp:wrapNone/>
                <wp:docPr id="1430" name="Rounded Rectangle 1430"/>
                <wp:cNvGraphicFramePr/>
                <a:graphic xmlns:a="http://schemas.openxmlformats.org/drawingml/2006/main">
                  <a:graphicData uri="http://schemas.microsoft.com/office/word/2010/wordprocessingShape">
                    <wps:wsp>
                      <wps:cNvSpPr/>
                      <wps:spPr>
                        <a:xfrm>
                          <a:off x="0" y="0"/>
                          <a:ext cx="6616700" cy="381000"/>
                        </a:xfrm>
                        <a:prstGeom prst="roundRect">
                          <a:avLst/>
                        </a:prstGeom>
                        <a:noFill/>
                        <a:ln w="28575">
                          <a:solidFill>
                            <a:srgbClr val="4E59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A9C498B" id="Rounded Rectangle 1430" o:spid="_x0000_s1026" style="position:absolute;margin-left:10.3pt;margin-top:66.3pt;width:521pt;height:30pt;z-index:253299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" filled="f" strokecolor="#4e5958" strokeweight="2.25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300734" behindDoc="0" locked="0" layoutInCell="1" allowOverlap="1" wp14:anchorId="7FD3D80F" wp14:editId="49D48E05">
                <wp:simplePos x="0" y="0"/>
                <wp:positionH relativeFrom="column">
                  <wp:posOffset>16510</wp:posOffset>
                </wp:positionH>
                <wp:positionV relativeFrom="paragraph">
                  <wp:posOffset>756285</wp:posOffset>
                </wp:positionV>
                <wp:extent cx="6645910" cy="381000"/>
                <wp:effectExtent l="0" t="0" r="0" b="0"/>
                <wp:wrapSquare wrapText="bothSides"/>
                <wp:docPr id="1439" name="Rounded Rectangle 1439"/>
                <wp:cNvGraphicFramePr/>
                <a:graphic xmlns:a="http://schemas.openxmlformats.org/drawingml/2006/main">
                  <a:graphicData uri="http://schemas.microsoft.com/office/word/2010/wordprocessingShape">
                    <wps:wsp>
                      <wps:cNvSpPr/>
                      <wps:spPr>
                        <a:xfrm>
                          <a:off x="0" y="0"/>
                          <a:ext cx="6645910" cy="3810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71F54FBD" id="Rounded Rectangle 1439" o:spid="_x0000_s1026" style="position:absolute;margin-left:1.3pt;margin-top:59.55pt;width:523.3pt;height:30pt;z-index:2533007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" fillcolor="#f9a133" stroked="f" strokeweight="1pt">
                <v:stroke joinstyle="miter"/>
                <w10:wrap type="square"/>
              </v:roundrect>
            </w:pict>
          </mc:Fallback>
        </mc:AlternateContent>
      </w:r>
    </w:p>
    <w:p w14:paraId="1CCF9455" w14:textId="4F7AB1F8" w:rsidR="00EF4A27" w:rsidRDefault="00EF4A27" w:rsidP="00252491">
      <w:pPr>
        <w:spacing w:line="276" w:lineRule="auto"/>
        <w:jc w:val="both"/>
        <w:rPr>
          <w:rFonts w:ascii="Arial" w:hAnsi="Arial" w:cs="Arial"/>
          <w:sz w:val="24"/>
          <w:szCs w:val="24"/>
          <w:lang w:val="en-US"/>
        </w:rPr>
      </w:pPr>
    </w:p>
    <w:p w14:paraId="07217880" w14:textId="77777777" w:rsidR="00252491" w:rsidRPr="00BD6508" w:rsidRDefault="00252491" w:rsidP="00BD6508">
      <w:pPr>
        <w:spacing w:line="276" w:lineRule="auto"/>
        <w:jc w:val="both"/>
        <w:rPr>
          <w:rFonts w:ascii="Arial" w:hAnsi="Arial" w:cs="Arial"/>
          <w:sz w:val="24"/>
          <w:szCs w:val="24"/>
          <w:lang w:val="en-ZA"/>
        </w:rPr>
      </w:pPr>
    </w:p>
    <w:p w14:paraId="2A187748" w14:textId="3602386E" w:rsidR="00252491" w:rsidRDefault="00252491" w:rsidP="00252491">
      <w:pPr>
        <w:spacing w:line="276" w:lineRule="auto"/>
        <w:jc w:val="both"/>
        <w:rPr>
          <w:rFonts w:ascii="Arial" w:hAnsi="Arial" w:cs="Arial"/>
          <w:sz w:val="24"/>
          <w:szCs w:val="24"/>
        </w:rPr>
      </w:pPr>
      <w:r w:rsidRPr="00BD6508">
        <w:rPr>
          <w:rFonts w:ascii="Arial" w:hAnsi="Arial" w:cs="Arial"/>
          <w:sz w:val="24"/>
          <w:szCs w:val="24"/>
          <w:lang w:val="en-US"/>
        </w:rPr>
        <w:t xml:space="preserve">Tax transparency also forms the basis for different stakeholders to be able to engage on the design of, and reform of tax systems. This, in turn, enables societies to discuss and consider collectively how to design and structure the tax systems to best meet mutual needs and their own specific societal challenges. It does this by making available information that enables societal wide scrutiny and debate on the effectiveness and fairness of government tax policies. </w:t>
      </w:r>
      <w:r w:rsidRPr="00BD6508">
        <w:rPr>
          <w:rFonts w:ascii="Arial" w:hAnsi="Arial" w:cs="Arial"/>
          <w:sz w:val="24"/>
          <w:szCs w:val="24"/>
          <w:lang w:val="en-ZA"/>
        </w:rPr>
        <w:t xml:space="preserve">Tax systems are different in every country, and they change through time. Tax transparency allows such systems to better reflect what people want, and the way they have come to agree on the definition of the public interest in a given time. </w:t>
      </w:r>
      <w:r w:rsidRPr="00BD6508">
        <w:rPr>
          <w:rFonts w:ascii="Arial" w:hAnsi="Arial" w:cs="Arial"/>
          <w:sz w:val="24"/>
          <w:szCs w:val="24"/>
        </w:rPr>
        <w:t xml:space="preserve">Comprehensive, complete information needs to be freely available on all respects of the tax system, including, but not limited to, on the rationale and strategy for the chosen system and its link to the national economy; the tax authority itself; all tax legislation; tax sources and rates; tax gaps; tax data on past, current and anticipated future performance; targeted performance outputs and outcomes; accounting policies and reports; and international tax agreements. </w:t>
      </w:r>
    </w:p>
    <w:p w14:paraId="0E3B9F0B" w14:textId="64FD1F8F" w:rsidR="00D320C7" w:rsidRPr="00BD6508" w:rsidRDefault="00F72449"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303806" behindDoc="0" locked="0" layoutInCell="1" allowOverlap="1" wp14:anchorId="647020AF" wp14:editId="7710A7A4">
            <wp:simplePos x="0" y="0"/>
            <wp:positionH relativeFrom="column">
              <wp:posOffset>3415030</wp:posOffset>
            </wp:positionH>
            <wp:positionV relativeFrom="paragraph">
              <wp:posOffset>130810</wp:posOffset>
            </wp:positionV>
            <wp:extent cx="3241040" cy="2463800"/>
            <wp:effectExtent l="0" t="0" r="0" b="0"/>
            <wp:wrapSquare wrapText="bothSides"/>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Picture 1448"/>
                    <pic:cNvPicPr/>
                  </pic:nvPicPr>
                  <pic:blipFill rotWithShape="1">
                    <a:blip r:embed="rId711" cstate="email">
                      <a:extLst>
                        <a:ext uri="{28A0092B-C50C-407E-A947-70E740481C1C}">
                          <a14:useLocalDpi xmlns:a14="http://schemas.microsoft.com/office/drawing/2010/main"/>
                        </a:ext>
                      </a:extLst>
                    </a:blip>
                    <a:srcRect/>
                    <a:stretch/>
                  </pic:blipFill>
                  <pic:spPr bwMode="auto">
                    <a:xfrm>
                      <a:off x="0" y="0"/>
                      <a:ext cx="3241040" cy="246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A4C227" w14:textId="6DDA2653" w:rsidR="00252491" w:rsidRPr="00BD6508" w:rsidRDefault="00252491" w:rsidP="00BD6508">
      <w:pPr>
        <w:spacing w:line="276" w:lineRule="auto"/>
        <w:jc w:val="both"/>
        <w:rPr>
          <w:rFonts w:ascii="Arial" w:hAnsi="Arial" w:cs="Arial"/>
          <w:sz w:val="24"/>
          <w:szCs w:val="24"/>
        </w:rPr>
      </w:pPr>
      <w:r w:rsidRPr="00BD6508">
        <w:rPr>
          <w:rFonts w:ascii="Arial" w:hAnsi="Arial" w:cs="Arial"/>
          <w:sz w:val="24"/>
          <w:szCs w:val="24"/>
          <w:lang w:val="en-ZA"/>
        </w:rPr>
        <w:t xml:space="preserve">Information on the performance of the tax administration authority and its accountability mechanisms is also crucial. </w:t>
      </w:r>
      <w:r w:rsidRPr="00BD6508">
        <w:rPr>
          <w:rFonts w:ascii="Arial" w:hAnsi="Arial" w:cs="Arial"/>
          <w:sz w:val="24"/>
          <w:szCs w:val="24"/>
        </w:rPr>
        <w:t>Tax laws and their implementing regulations can be particularly complicated. As stated in t</w:t>
      </w:r>
      <w:r w:rsidRPr="00BD6508">
        <w:rPr>
          <w:rFonts w:ascii="Arial" w:hAnsi="Arial" w:cs="Arial"/>
          <w:iCs/>
          <w:sz w:val="24"/>
          <w:szCs w:val="24"/>
        </w:rPr>
        <w:t xml:space="preserve">he IMF’s </w:t>
      </w:r>
      <w:hyperlink r:id="rId712" w:history="1">
        <w:r w:rsidRPr="00BD6508">
          <w:rPr>
            <w:rFonts w:ascii="Arial" w:hAnsi="Arial" w:cs="Arial"/>
            <w:iCs/>
            <w:color w:val="0563C1" w:themeColor="hyperlink"/>
            <w:sz w:val="24"/>
            <w:szCs w:val="24"/>
            <w:u w:val="single"/>
          </w:rPr>
          <w:t>Manual on Fiscal Transparency</w:t>
        </w:r>
      </w:hyperlink>
      <w:r w:rsidRPr="00BD6508">
        <w:rPr>
          <w:rFonts w:ascii="Arial" w:hAnsi="Arial" w:cs="Arial"/>
          <w:iCs/>
          <w:sz w:val="24"/>
          <w:szCs w:val="24"/>
        </w:rPr>
        <w:t xml:space="preserve"> (2007) </w:t>
      </w:r>
      <w:r w:rsidRPr="00BD6508">
        <w:rPr>
          <w:rFonts w:ascii="Arial" w:hAnsi="Arial" w:cs="Arial"/>
          <w:sz w:val="24"/>
          <w:szCs w:val="24"/>
        </w:rPr>
        <w:t>it is thus critical that t</w:t>
      </w:r>
      <w:r w:rsidRPr="00BD6508">
        <w:rPr>
          <w:rFonts w:ascii="Arial" w:hAnsi="Arial" w:cs="Arial"/>
          <w:sz w:val="24"/>
          <w:szCs w:val="24"/>
          <w:lang w:val="en-US"/>
        </w:rPr>
        <w:t xml:space="preserve">ax laws are complemented by guidance from the tax administration, for instance through the provision to the </w:t>
      </w:r>
      <w:r w:rsidRPr="00BD6508">
        <w:rPr>
          <w:rFonts w:ascii="Arial" w:hAnsi="Arial" w:cs="Arial"/>
          <w:sz w:val="24"/>
          <w:szCs w:val="24"/>
        </w:rPr>
        <w:t xml:space="preserve">public of regular up-to-date explanatory materials. In addition, countries can provide the public with ‘advance rulings’ on how particular transactions would be treated in tax assessments. Exceptions to the application of tax laws should also be published. It should however be noted that the larger the number of exemptions, the greater the complexity and room for interpretation of the law, thus potentially reducing transparency. </w:t>
      </w:r>
    </w:p>
    <w:p w14:paraId="56B90019" w14:textId="77777777" w:rsidR="00252491" w:rsidRPr="00BD6508" w:rsidRDefault="00252491" w:rsidP="00BD6508">
      <w:pPr>
        <w:spacing w:line="276" w:lineRule="auto"/>
        <w:jc w:val="both"/>
        <w:rPr>
          <w:rFonts w:ascii="Arial" w:hAnsi="Arial" w:cs="Arial"/>
          <w:sz w:val="24"/>
          <w:szCs w:val="24"/>
        </w:rPr>
      </w:pPr>
    </w:p>
    <w:p w14:paraId="1245A630" w14:textId="431B05FD" w:rsidR="00252491" w:rsidRPr="00BD6508" w:rsidRDefault="00252491" w:rsidP="00BD6508">
      <w:pPr>
        <w:spacing w:line="276" w:lineRule="auto"/>
        <w:jc w:val="both"/>
        <w:rPr>
          <w:rFonts w:ascii="Arial" w:hAnsi="Arial" w:cs="Arial"/>
          <w:sz w:val="24"/>
          <w:szCs w:val="24"/>
        </w:rPr>
      </w:pPr>
      <w:r w:rsidRPr="00BD6508">
        <w:rPr>
          <w:rFonts w:ascii="Arial" w:hAnsi="Arial" w:cs="Arial"/>
          <w:iCs/>
          <w:sz w:val="24"/>
          <w:szCs w:val="24"/>
        </w:rPr>
        <w:t>Customs administration is a particular area in which transparency is critical, especially given the high reliance on import duties in many developing countries. As such, the</w:t>
      </w:r>
      <w:r w:rsidRPr="00BD6508">
        <w:rPr>
          <w:rFonts w:ascii="Arial" w:hAnsi="Arial" w:cs="Arial"/>
          <w:b/>
          <w:iCs/>
          <w:sz w:val="24"/>
          <w:szCs w:val="24"/>
        </w:rPr>
        <w:t xml:space="preserve"> </w:t>
      </w:r>
      <w:r w:rsidRPr="00BD6508">
        <w:rPr>
          <w:rFonts w:ascii="Arial" w:hAnsi="Arial" w:cs="Arial"/>
          <w:iCs/>
          <w:sz w:val="24"/>
          <w:szCs w:val="24"/>
        </w:rPr>
        <w:t xml:space="preserve">World Customs Organisation’s </w:t>
      </w:r>
      <w:hyperlink r:id="rId713" w:history="1">
        <w:r w:rsidRPr="00BD6508">
          <w:rPr>
            <w:rFonts w:ascii="Arial" w:hAnsi="Arial" w:cs="Arial"/>
            <w:iCs/>
            <w:color w:val="0563C1" w:themeColor="hyperlink"/>
            <w:sz w:val="24"/>
            <w:szCs w:val="24"/>
            <w:u w:val="single"/>
          </w:rPr>
          <w:t>Arusha Declaration</w:t>
        </w:r>
      </w:hyperlink>
      <w:r w:rsidRPr="00BD6508">
        <w:rPr>
          <w:rFonts w:ascii="Arial" w:hAnsi="Arial" w:cs="Arial"/>
          <w:iCs/>
          <w:sz w:val="24"/>
          <w:szCs w:val="24"/>
        </w:rPr>
        <w:t xml:space="preserve"> stipulates that c</w:t>
      </w:r>
      <w:r w:rsidRPr="00BD6508">
        <w:rPr>
          <w:rFonts w:ascii="Arial" w:hAnsi="Arial" w:cs="Arial"/>
          <w:sz w:val="24"/>
          <w:szCs w:val="24"/>
        </w:rPr>
        <w:t xml:space="preserve">ustoms laws, regulations, procedures and administrative guidelines should be made public, be easily accessible and applied in a uniform and consistent manner; and that </w:t>
      </w:r>
      <w:r w:rsidRPr="00BD6508">
        <w:rPr>
          <w:rFonts w:ascii="Arial" w:hAnsi="Arial" w:cs="Arial"/>
          <w:iCs/>
          <w:sz w:val="24"/>
          <w:szCs w:val="24"/>
        </w:rPr>
        <w:t>a</w:t>
      </w:r>
      <w:r w:rsidRPr="00BD6508">
        <w:rPr>
          <w:rFonts w:ascii="Arial" w:hAnsi="Arial" w:cs="Arial"/>
          <w:sz w:val="24"/>
          <w:szCs w:val="24"/>
        </w:rPr>
        <w:t xml:space="preserve">ppeal and administrative review mechanisms should be established to provide a mechanism for clients to challenge or seek review of customs decisions.  </w:t>
      </w:r>
    </w:p>
    <w:p w14:paraId="1C1FE9ED" w14:textId="1F53C48C" w:rsidR="003F4708" w:rsidRDefault="00636B1E" w:rsidP="003625BA">
      <w:pPr>
        <w:shd w:val="clear" w:color="auto" w:fill="F2F2F2" w:themeFill="background1" w:themeFillShade="F2"/>
        <w:tabs>
          <w:tab w:val="right" w:pos="10466"/>
        </w:tabs>
        <w:rPr>
          <w:rFonts w:ascii="Arial" w:hAnsi="Arial" w:cs="Arial"/>
          <w:b/>
          <w:color w:val="F26D24"/>
          <w:sz w:val="24"/>
          <w:szCs w:val="24"/>
        </w:rPr>
      </w:pPr>
      <w:r w:rsidRPr="003625BA">
        <w:rPr>
          <w:rFonts w:ascii="Roboto" w:hAnsi="Roboto" w:cs="Arial"/>
          <w:noProof/>
          <w:color w:val="ED5625"/>
          <w:sz w:val="20"/>
          <w:szCs w:val="20"/>
          <w:lang w:val="en-US"/>
        </w:rPr>
        <w:lastRenderedPageBreak/>
        <mc:AlternateContent>
          <mc:Choice Requires="wps">
            <w:drawing>
              <wp:anchor distT="0" distB="0" distL="114300" distR="114300" simplePos="0" relativeHeight="255051774" behindDoc="1" locked="0" layoutInCell="1" allowOverlap="1" wp14:anchorId="181727E4" wp14:editId="49363BA1">
                <wp:simplePos x="0" y="0"/>
                <wp:positionH relativeFrom="margin">
                  <wp:posOffset>-176486</wp:posOffset>
                </wp:positionH>
                <wp:positionV relativeFrom="margin">
                  <wp:posOffset>-117738</wp:posOffset>
                </wp:positionV>
                <wp:extent cx="7010400" cy="9194362"/>
                <wp:effectExtent l="12700" t="12700" r="12700" b="13335"/>
                <wp:wrapNone/>
                <wp:docPr id="2719" name="Rectangle 2719"/>
                <wp:cNvGraphicFramePr/>
                <a:graphic xmlns:a="http://schemas.openxmlformats.org/drawingml/2006/main">
                  <a:graphicData uri="http://schemas.microsoft.com/office/word/2010/wordprocessingShape">
                    <wps:wsp>
                      <wps:cNvSpPr/>
                      <wps:spPr>
                        <a:xfrm>
                          <a:off x="0" y="0"/>
                          <a:ext cx="7010400" cy="9194362"/>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21D50E" w14:textId="77777777" w:rsidR="00D15FD8" w:rsidRDefault="00D15FD8" w:rsidP="003625BA">
                            <w:pPr>
                              <w:shd w:val="clear" w:color="auto" w:fill="F2F2F2" w:themeFill="background1" w:themeFillShade="F2"/>
                            </w:pPr>
                          </w:p>
                          <w:p w14:paraId="7EF77424"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727E4" id="Rectangle 2719" o:spid="_x0000_s1419" style="position:absolute;margin-left:-13.9pt;margin-top:-9.25pt;width:552pt;height:723.95pt;z-index:-24826470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" fillcolor="#f2f2f2 [3052]" strokecolor="#16988a" strokeweight="1.5pt">
                <v:textbox>
                  <w:txbxContent>
                    <w:p w14:paraId="7A21D50E" w14:textId="77777777" w:rsidR="00D15FD8" w:rsidRDefault="00D15FD8" w:rsidP="003625BA">
                      <w:pPr>
                        <w:shd w:val="clear" w:color="auto" w:fill="F2F2F2" w:themeFill="background1" w:themeFillShade="F2"/>
                      </w:pPr>
                    </w:p>
                    <w:p w14:paraId="7EF77424" w14:textId="77777777" w:rsidR="00D15FD8" w:rsidRPr="003625BA" w:rsidRDefault="00D15FD8" w:rsidP="003625BA">
                      <w:pPr>
                        <w:jc w:val="center"/>
                        <w:rPr>
                          <w:lang w:val="en-US"/>
                        </w:rPr>
                      </w:pPr>
                    </w:p>
                  </w:txbxContent>
                </v:textbox>
                <w10:wrap anchorx="margin" anchory="margin"/>
              </v:rect>
            </w:pict>
          </mc:Fallback>
        </mc:AlternateContent>
      </w:r>
      <w:r>
        <w:rPr>
          <w:rFonts w:ascii="Arial" w:hAnsi="Arial" w:cs="Arial"/>
          <w:b/>
          <w:color w:val="F26D24"/>
          <w:sz w:val="24"/>
          <w:szCs w:val="24"/>
        </w:rPr>
        <w:tab/>
      </w:r>
    </w:p>
    <w:p w14:paraId="5CCA5FE1" w14:textId="1E209485" w:rsidR="00FE73FC" w:rsidRPr="00057172" w:rsidRDefault="00FE73FC" w:rsidP="003625BA">
      <w:pPr>
        <w:pStyle w:val="Heading3"/>
        <w:jc w:val="center"/>
        <w:rPr>
          <w:rFonts w:ascii="Arial" w:hAnsi="Arial" w:cs="Arial"/>
          <w:b/>
          <w:bCs/>
          <w:sz w:val="26"/>
          <w:szCs w:val="26"/>
        </w:rPr>
      </w:pPr>
      <w:bookmarkStart w:id="1603" w:name="_Box_3.1._Tax"/>
      <w:bookmarkStart w:id="1604" w:name="_Toc123217454"/>
      <w:bookmarkStart w:id="1605" w:name="_Toc123914071"/>
      <w:bookmarkStart w:id="1606" w:name="_Toc125566686"/>
      <w:bookmarkEnd w:id="1603"/>
      <w:r w:rsidRPr="00057172">
        <w:rPr>
          <w:rFonts w:ascii="Arial" w:hAnsi="Arial" w:cs="Arial"/>
          <w:b/>
          <w:bCs/>
          <w:color w:val="19998C"/>
          <w:sz w:val="26"/>
          <w:szCs w:val="26"/>
        </w:rPr>
        <w:t xml:space="preserve">Box </w:t>
      </w:r>
      <w:r w:rsidR="0065711A" w:rsidRPr="00057172">
        <w:rPr>
          <w:rFonts w:ascii="Arial" w:hAnsi="Arial" w:cs="Arial"/>
          <w:b/>
          <w:bCs/>
          <w:color w:val="19998C"/>
          <w:sz w:val="26"/>
          <w:szCs w:val="26"/>
        </w:rPr>
        <w:t>3.1</w:t>
      </w:r>
      <w:r w:rsidR="004C79A7">
        <w:rPr>
          <w:rFonts w:ascii="Arial" w:hAnsi="Arial" w:cs="Arial"/>
          <w:b/>
          <w:bCs/>
          <w:color w:val="19998C"/>
          <w:sz w:val="26"/>
          <w:szCs w:val="26"/>
        </w:rPr>
        <w:t>.</w:t>
      </w:r>
      <w:r w:rsidRPr="00057172">
        <w:rPr>
          <w:rFonts w:ascii="Arial" w:hAnsi="Arial" w:cs="Arial"/>
          <w:b/>
          <w:bCs/>
          <w:color w:val="19998C"/>
          <w:sz w:val="26"/>
          <w:szCs w:val="26"/>
        </w:rPr>
        <w:t xml:space="preserve"> Tax gaps</w:t>
      </w:r>
      <w:bookmarkEnd w:id="1604"/>
      <w:bookmarkEnd w:id="1605"/>
      <w:bookmarkEnd w:id="1606"/>
    </w:p>
    <w:p w14:paraId="453AA14B" w14:textId="68D94379" w:rsidR="00535859" w:rsidRPr="003F4708" w:rsidRDefault="00535859" w:rsidP="00BD6508">
      <w:pPr>
        <w:spacing w:line="276" w:lineRule="auto"/>
        <w:rPr>
          <w:rFonts w:ascii="Arial" w:hAnsi="Arial" w:cs="Arial"/>
          <w:sz w:val="24"/>
          <w:szCs w:val="24"/>
        </w:rPr>
      </w:pPr>
    </w:p>
    <w:p w14:paraId="10AD9222" w14:textId="32DEDBD4" w:rsidR="00FE73FC" w:rsidRDefault="00FE73FC" w:rsidP="003625BA">
      <w:pPr>
        <w:shd w:val="clear" w:color="auto" w:fill="F2F2F2" w:themeFill="background1" w:themeFillShade="F2"/>
        <w:spacing w:line="276" w:lineRule="auto"/>
        <w:jc w:val="both"/>
        <w:rPr>
          <w:rFonts w:ascii="Arial" w:hAnsi="Arial" w:cs="Arial"/>
          <w:sz w:val="24"/>
          <w:szCs w:val="24"/>
        </w:rPr>
      </w:pPr>
      <w:r w:rsidRPr="00BD6508">
        <w:rPr>
          <w:rFonts w:ascii="Arial" w:hAnsi="Arial" w:cs="Arial"/>
          <w:sz w:val="24"/>
          <w:szCs w:val="24"/>
          <w:lang w:val="en-ZA"/>
        </w:rPr>
        <w:t>Tax gaps can be defined as the difference between the tax revenues that a government might be able to collect and the tax revenues it actually does collect during a specific time period</w:t>
      </w:r>
      <w:r w:rsidRPr="00BD6508">
        <w:rPr>
          <w:rFonts w:ascii="Arial" w:hAnsi="Arial" w:cs="Arial"/>
          <w:sz w:val="24"/>
          <w:szCs w:val="24"/>
        </w:rPr>
        <w:t>.</w:t>
      </w:r>
    </w:p>
    <w:p w14:paraId="2AA41A26" w14:textId="107D9805" w:rsidR="003F4708" w:rsidRDefault="003F4708" w:rsidP="003625BA">
      <w:pPr>
        <w:shd w:val="clear" w:color="auto" w:fill="F2F2F2" w:themeFill="background1" w:themeFillShade="F2"/>
        <w:spacing w:line="276" w:lineRule="auto"/>
        <w:jc w:val="both"/>
        <w:rPr>
          <w:rFonts w:ascii="Arial" w:hAnsi="Arial" w:cs="Arial"/>
          <w:sz w:val="24"/>
          <w:szCs w:val="24"/>
        </w:rPr>
      </w:pPr>
    </w:p>
    <w:p w14:paraId="3D3DBC87" w14:textId="7B54254F" w:rsidR="003F4708" w:rsidRPr="00BD6508" w:rsidRDefault="003F4708" w:rsidP="003625BA">
      <w:pPr>
        <w:shd w:val="clear" w:color="auto" w:fill="F2F2F2" w:themeFill="background1" w:themeFillShade="F2"/>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304830" behindDoc="1" locked="0" layoutInCell="1" allowOverlap="1" wp14:anchorId="66283E62" wp14:editId="5AA4EE84">
            <wp:simplePos x="0" y="0"/>
            <wp:positionH relativeFrom="margin">
              <wp:align>center</wp:align>
            </wp:positionH>
            <wp:positionV relativeFrom="paragraph">
              <wp:posOffset>1270</wp:posOffset>
            </wp:positionV>
            <wp:extent cx="5210978" cy="1828800"/>
            <wp:effectExtent l="0" t="0" r="0" b="0"/>
            <wp:wrapTight wrapText="bothSides">
              <wp:wrapPolygon edited="0">
                <wp:start x="2158" y="0"/>
                <wp:lineTo x="1843" y="750"/>
                <wp:lineTo x="1316" y="2250"/>
                <wp:lineTo x="1421" y="5100"/>
                <wp:lineTo x="1895" y="7500"/>
                <wp:lineTo x="1790" y="9900"/>
                <wp:lineTo x="1369" y="13200"/>
                <wp:lineTo x="1316" y="16350"/>
                <wp:lineTo x="4527" y="17100"/>
                <wp:lineTo x="790" y="17250"/>
                <wp:lineTo x="53" y="17400"/>
                <wp:lineTo x="53" y="19500"/>
                <wp:lineTo x="316" y="20850"/>
                <wp:lineTo x="421" y="21150"/>
                <wp:lineTo x="12003" y="21150"/>
                <wp:lineTo x="12319" y="19650"/>
                <wp:lineTo x="12371" y="18000"/>
                <wp:lineTo x="11950" y="17250"/>
                <wp:lineTo x="21163" y="15000"/>
                <wp:lineTo x="21216" y="14700"/>
                <wp:lineTo x="21374" y="12900"/>
                <wp:lineTo x="21479" y="10800"/>
                <wp:lineTo x="20110" y="10350"/>
                <wp:lineTo x="10529" y="9900"/>
                <wp:lineTo x="10529" y="7500"/>
                <wp:lineTo x="11003" y="5100"/>
                <wp:lineTo x="11161" y="750"/>
                <wp:lineTo x="9845" y="300"/>
                <wp:lineTo x="2790" y="0"/>
                <wp:lineTo x="2158" y="0"/>
              </wp:wrapPolygon>
            </wp:wrapTight>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Picture 1449"/>
                    <pic:cNvPicPr/>
                  </pic:nvPicPr>
                  <pic:blipFill rotWithShape="1">
                    <a:blip r:embed="rId714" cstate="email">
                      <a:extLst>
                        <a:ext uri="{28A0092B-C50C-407E-A947-70E740481C1C}">
                          <a14:useLocalDpi xmlns:a14="http://schemas.microsoft.com/office/drawing/2010/main"/>
                        </a:ext>
                      </a:extLst>
                    </a:blip>
                    <a:srcRect/>
                    <a:stretch/>
                  </pic:blipFill>
                  <pic:spPr bwMode="auto">
                    <a:xfrm>
                      <a:off x="0" y="0"/>
                      <a:ext cx="5210978"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E5916" w14:textId="660D2975" w:rsidR="00FE73FC" w:rsidRDefault="00FE73FC" w:rsidP="00535859">
      <w:pPr>
        <w:rPr>
          <w:rFonts w:ascii="Arial" w:hAnsi="Arial" w:cs="Arial"/>
          <w:sz w:val="24"/>
          <w:szCs w:val="24"/>
        </w:rPr>
      </w:pPr>
    </w:p>
    <w:p w14:paraId="21FC4DA4" w14:textId="673B41C6" w:rsidR="003F4708" w:rsidRPr="003F4708" w:rsidRDefault="003F4708" w:rsidP="003F4708">
      <w:pPr>
        <w:rPr>
          <w:rFonts w:ascii="Arial" w:hAnsi="Arial" w:cs="Arial"/>
          <w:sz w:val="24"/>
          <w:szCs w:val="24"/>
        </w:rPr>
      </w:pPr>
    </w:p>
    <w:p w14:paraId="675747C8" w14:textId="1A69B15B" w:rsidR="003F4708" w:rsidRPr="003F4708" w:rsidRDefault="003F4708" w:rsidP="003F4708">
      <w:pPr>
        <w:rPr>
          <w:rFonts w:ascii="Arial" w:hAnsi="Arial" w:cs="Arial"/>
          <w:sz w:val="24"/>
          <w:szCs w:val="24"/>
        </w:rPr>
      </w:pPr>
    </w:p>
    <w:p w14:paraId="63C5A089" w14:textId="2FAC959E" w:rsidR="003F4708" w:rsidRPr="003F4708" w:rsidRDefault="003F4708" w:rsidP="003F4708">
      <w:pPr>
        <w:rPr>
          <w:rFonts w:ascii="Arial" w:hAnsi="Arial" w:cs="Arial"/>
          <w:sz w:val="24"/>
          <w:szCs w:val="24"/>
        </w:rPr>
      </w:pPr>
    </w:p>
    <w:p w14:paraId="0AF48CD1" w14:textId="62CAED2A" w:rsidR="003F4708" w:rsidRPr="003F4708" w:rsidRDefault="003F4708" w:rsidP="003F4708">
      <w:pPr>
        <w:rPr>
          <w:rFonts w:ascii="Arial" w:hAnsi="Arial" w:cs="Arial"/>
          <w:sz w:val="24"/>
          <w:szCs w:val="24"/>
        </w:rPr>
      </w:pPr>
    </w:p>
    <w:p w14:paraId="1DF949CA" w14:textId="7F908293" w:rsidR="003F4708" w:rsidRPr="003F4708" w:rsidRDefault="003F4708" w:rsidP="003F4708">
      <w:pPr>
        <w:rPr>
          <w:rFonts w:ascii="Arial" w:hAnsi="Arial" w:cs="Arial"/>
          <w:sz w:val="24"/>
          <w:szCs w:val="24"/>
        </w:rPr>
      </w:pPr>
    </w:p>
    <w:p w14:paraId="65EE4A72" w14:textId="01AAD9CD" w:rsidR="003F4708" w:rsidRPr="003F4708" w:rsidRDefault="003F4708" w:rsidP="003F4708">
      <w:pPr>
        <w:rPr>
          <w:rFonts w:ascii="Arial" w:hAnsi="Arial" w:cs="Arial"/>
          <w:sz w:val="24"/>
          <w:szCs w:val="24"/>
        </w:rPr>
      </w:pPr>
    </w:p>
    <w:p w14:paraId="12722D8C" w14:textId="4149FD72" w:rsidR="003F4708" w:rsidRPr="003F4708" w:rsidRDefault="003F4708" w:rsidP="003F4708">
      <w:pPr>
        <w:rPr>
          <w:rFonts w:ascii="Arial" w:hAnsi="Arial" w:cs="Arial"/>
          <w:sz w:val="24"/>
          <w:szCs w:val="24"/>
        </w:rPr>
      </w:pPr>
    </w:p>
    <w:p w14:paraId="4E8CE7FD" w14:textId="0EACAC21" w:rsidR="003F4708" w:rsidRPr="003F4708" w:rsidRDefault="003F4708" w:rsidP="003F4708">
      <w:pPr>
        <w:rPr>
          <w:rFonts w:ascii="Arial" w:hAnsi="Arial" w:cs="Arial"/>
          <w:sz w:val="24"/>
          <w:szCs w:val="24"/>
        </w:rPr>
      </w:pPr>
    </w:p>
    <w:p w14:paraId="115431F4" w14:textId="660D0773" w:rsidR="003F4708" w:rsidRPr="003F4708" w:rsidRDefault="003F4708" w:rsidP="00BD6508">
      <w:pPr>
        <w:spacing w:line="276" w:lineRule="auto"/>
        <w:rPr>
          <w:rFonts w:ascii="Arial" w:hAnsi="Arial" w:cs="Arial"/>
          <w:sz w:val="24"/>
          <w:szCs w:val="24"/>
        </w:rPr>
      </w:pPr>
    </w:p>
    <w:p w14:paraId="1CE3AE41" w14:textId="65A0C788" w:rsidR="003F4708" w:rsidRPr="003F4708" w:rsidRDefault="003F4708" w:rsidP="00BD6508">
      <w:pPr>
        <w:spacing w:line="276" w:lineRule="auto"/>
        <w:rPr>
          <w:rFonts w:ascii="Arial" w:hAnsi="Arial" w:cs="Arial"/>
          <w:sz w:val="24"/>
          <w:szCs w:val="24"/>
        </w:rPr>
      </w:pPr>
    </w:p>
    <w:p w14:paraId="2299BD75" w14:textId="3FF453E4" w:rsidR="003F4708" w:rsidRDefault="003F4708" w:rsidP="003625BA">
      <w:pPr>
        <w:shd w:val="clear" w:color="auto" w:fill="F2F2F2" w:themeFill="background1" w:themeFillShade="F2"/>
        <w:spacing w:line="276" w:lineRule="auto"/>
        <w:jc w:val="both"/>
        <w:rPr>
          <w:rFonts w:ascii="Arial" w:hAnsi="Arial" w:cs="Arial"/>
          <w:b/>
          <w:color w:val="F9A133"/>
          <w:sz w:val="24"/>
          <w:szCs w:val="24"/>
        </w:rPr>
      </w:pPr>
      <w:r w:rsidRPr="00BD6508">
        <w:rPr>
          <w:rFonts w:ascii="Arial" w:hAnsi="Arial" w:cs="Arial"/>
          <w:b/>
          <w:color w:val="F9A133"/>
          <w:sz w:val="24"/>
          <w:szCs w:val="24"/>
        </w:rPr>
        <w:t>There are 5 tax gaps that should be measured:</w:t>
      </w:r>
    </w:p>
    <w:p w14:paraId="1B432C45" w14:textId="3E5B1BD7" w:rsidR="003F4708" w:rsidRDefault="004E3B22" w:rsidP="003625BA">
      <w:pPr>
        <w:shd w:val="clear" w:color="auto" w:fill="F2F2F2" w:themeFill="background1" w:themeFillShade="F2"/>
        <w:spacing w:line="276" w:lineRule="auto"/>
        <w:jc w:val="both"/>
        <w:rPr>
          <w:rFonts w:ascii="Arial" w:hAnsi="Arial" w:cs="Arial"/>
          <w:b/>
          <w:color w:val="F9A133"/>
          <w:sz w:val="24"/>
          <w:szCs w:val="24"/>
        </w:rPr>
      </w:pPr>
      <w:r>
        <w:rPr>
          <w:rFonts w:ascii="Arial" w:hAnsi="Arial" w:cs="Arial"/>
          <w:b/>
          <w:noProof/>
          <w:color w:val="F9A133"/>
          <w:sz w:val="24"/>
          <w:szCs w:val="24"/>
          <w:lang w:val="en-US"/>
        </w:rPr>
        <w:drawing>
          <wp:anchor distT="0" distB="0" distL="114300" distR="114300" simplePos="0" relativeHeight="253305854" behindDoc="0" locked="0" layoutInCell="1" allowOverlap="1" wp14:anchorId="21DB9887" wp14:editId="521FEEB1">
            <wp:simplePos x="0" y="0"/>
            <wp:positionH relativeFrom="column">
              <wp:posOffset>0</wp:posOffset>
            </wp:positionH>
            <wp:positionV relativeFrom="paragraph">
              <wp:posOffset>178435</wp:posOffset>
            </wp:positionV>
            <wp:extent cx="482600" cy="540385"/>
            <wp:effectExtent l="0" t="0" r="0" b="5715"/>
            <wp:wrapSquare wrapText="bothSides"/>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Picture 1451"/>
                    <pic:cNvPicPr/>
                  </pic:nvPicPr>
                  <pic:blipFill rotWithShape="1">
                    <a:blip r:embed="rId715" cstate="email">
                      <a:extLst>
                        <a:ext uri="{28A0092B-C50C-407E-A947-70E740481C1C}">
                          <a14:useLocalDpi xmlns:a14="http://schemas.microsoft.com/office/drawing/2010/main"/>
                        </a:ext>
                      </a:extLst>
                    </a:blip>
                    <a:srcRect/>
                    <a:stretch/>
                  </pic:blipFill>
                  <pic:spPr bwMode="auto">
                    <a:xfrm>
                      <a:off x="0" y="0"/>
                      <a:ext cx="482600" cy="54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D93">
        <w:rPr>
          <w:rFonts w:ascii="Arial" w:hAnsi="Arial" w:cs="Arial"/>
          <w:b/>
          <w:noProof/>
          <w:color w:val="F9A133"/>
          <w:sz w:val="24"/>
          <w:szCs w:val="24"/>
          <w:lang w:val="en-US"/>
        </w:rPr>
        <mc:AlternateContent>
          <mc:Choice Requires="wps">
            <w:drawing>
              <wp:anchor distT="0" distB="0" distL="114300" distR="114300" simplePos="0" relativeHeight="253306878" behindDoc="0" locked="0" layoutInCell="1" allowOverlap="1" wp14:anchorId="69448D84" wp14:editId="4847EB6F">
                <wp:simplePos x="0" y="0"/>
                <wp:positionH relativeFrom="column">
                  <wp:posOffset>546100</wp:posOffset>
                </wp:positionH>
                <wp:positionV relativeFrom="paragraph">
                  <wp:posOffset>134620</wp:posOffset>
                </wp:positionV>
                <wp:extent cx="6045200" cy="622300"/>
                <wp:effectExtent l="0" t="0" r="0" b="0"/>
                <wp:wrapNone/>
                <wp:docPr id="1452" name="Rounded Rectangle 1452"/>
                <wp:cNvGraphicFramePr/>
                <a:graphic xmlns:a="http://schemas.openxmlformats.org/drawingml/2006/main">
                  <a:graphicData uri="http://schemas.microsoft.com/office/word/2010/wordprocessingShape">
                    <wps:wsp>
                      <wps:cNvSpPr/>
                      <wps:spPr>
                        <a:xfrm>
                          <a:off x="0" y="0"/>
                          <a:ext cx="6045200" cy="6223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542CA8C" id="Rounded Rectangle 1452" o:spid="_x0000_s1026" style="position:absolute;margin-left:43pt;margin-top:10.6pt;width:476pt;height:49pt;z-index:253306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" fillcolor="#f9a133" stroked="f" strokeweight="1pt">
                <v:stroke joinstyle="miter"/>
              </v:roundrect>
            </w:pict>
          </mc:Fallback>
        </mc:AlternateContent>
      </w:r>
    </w:p>
    <w:p w14:paraId="0B779F7B" w14:textId="19576F8F" w:rsidR="00697D47" w:rsidRDefault="006B4D93" w:rsidP="003F4708">
      <w:pPr>
        <w:shd w:val="clear" w:color="auto" w:fill="FFFFFF" w:themeFill="background1"/>
        <w:spacing w:line="276" w:lineRule="auto"/>
        <w:jc w:val="both"/>
        <w:rPr>
          <w:rFonts w:ascii="Arial" w:hAnsi="Arial" w:cs="Arial"/>
          <w:b/>
          <w:color w:val="F9A133"/>
          <w:sz w:val="24"/>
          <w:szCs w:val="24"/>
        </w:rPr>
      </w:pPr>
      <w:r>
        <w:rPr>
          <w:rFonts w:ascii="Arial" w:hAnsi="Arial" w:cs="Arial"/>
          <w:b/>
          <w:noProof/>
          <w:color w:val="F9A133"/>
          <w:sz w:val="24"/>
          <w:szCs w:val="24"/>
          <w:lang w:val="en-US"/>
        </w:rPr>
        <mc:AlternateContent>
          <mc:Choice Requires="wps">
            <w:drawing>
              <wp:anchor distT="0" distB="0" distL="114300" distR="114300" simplePos="0" relativeHeight="253307902" behindDoc="0" locked="0" layoutInCell="1" allowOverlap="1" wp14:anchorId="7E3B2C99" wp14:editId="00070820">
                <wp:simplePos x="0" y="0"/>
                <wp:positionH relativeFrom="column">
                  <wp:posOffset>698500</wp:posOffset>
                </wp:positionH>
                <wp:positionV relativeFrom="paragraph">
                  <wp:posOffset>9525</wp:posOffset>
                </wp:positionV>
                <wp:extent cx="5867400" cy="508000"/>
                <wp:effectExtent l="0" t="0" r="0" b="0"/>
                <wp:wrapNone/>
                <wp:docPr id="1453" name="Text Box 1453"/>
                <wp:cNvGraphicFramePr/>
                <a:graphic xmlns:a="http://schemas.openxmlformats.org/drawingml/2006/main">
                  <a:graphicData uri="http://schemas.microsoft.com/office/word/2010/wordprocessingShape">
                    <wps:wsp>
                      <wps:cNvSpPr txBox="1"/>
                      <wps:spPr>
                        <a:xfrm>
                          <a:off x="0" y="0"/>
                          <a:ext cx="5867400" cy="508000"/>
                        </a:xfrm>
                        <a:prstGeom prst="rect">
                          <a:avLst/>
                        </a:prstGeom>
                        <a:noFill/>
                        <a:ln w="6350">
                          <a:noFill/>
                        </a:ln>
                      </wps:spPr>
                      <wps:txbx>
                        <w:txbxContent>
                          <w:p w14:paraId="793E7ED6" w14:textId="7D734922" w:rsidR="00D15FD8" w:rsidRDefault="00D15FD8" w:rsidP="00BD6508">
                            <w:pPr>
                              <w:spacing w:line="276" w:lineRule="auto"/>
                              <w:rPr>
                                <w:rFonts w:ascii="Arial" w:hAnsi="Arial" w:cs="Arial"/>
                                <w:b/>
                                <w:bCs/>
                                <w:color w:val="FFFFFF" w:themeColor="background1"/>
                                <w:sz w:val="24"/>
                                <w:szCs w:val="24"/>
                                <w:lang w:val="en-US"/>
                              </w:rPr>
                            </w:pPr>
                            <w:r w:rsidRPr="00BD6508">
                              <w:rPr>
                                <w:rFonts w:ascii="Arial" w:hAnsi="Arial" w:cs="Arial"/>
                                <w:b/>
                                <w:bCs/>
                                <w:color w:val="FFFFFF" w:themeColor="background1"/>
                                <w:sz w:val="24"/>
                                <w:szCs w:val="24"/>
                                <w:lang w:val="en-US"/>
                              </w:rPr>
                              <w:t>Tax base</w:t>
                            </w:r>
                            <w:r>
                              <w:rPr>
                                <w:rFonts w:ascii="Arial" w:hAnsi="Arial" w:cs="Arial"/>
                                <w:b/>
                                <w:bCs/>
                                <w:color w:val="FFFFFF" w:themeColor="background1"/>
                                <w:sz w:val="24"/>
                                <w:szCs w:val="24"/>
                                <w:lang w:val="en-US"/>
                              </w:rPr>
                              <w:t>:</w:t>
                            </w:r>
                          </w:p>
                          <w:p w14:paraId="4AC9A319" w14:textId="3FAEF696" w:rsidR="00D15FD8" w:rsidRPr="00BD6508" w:rsidRDefault="00D15FD8" w:rsidP="00BD6508">
                            <w:pPr>
                              <w:spacing w:line="276" w:lineRule="auto"/>
                              <w:rPr>
                                <w:rFonts w:ascii="Arial" w:hAnsi="Arial" w:cs="Arial"/>
                                <w:b/>
                                <w:bCs/>
                                <w:color w:val="FFFFFF" w:themeColor="background1"/>
                                <w:sz w:val="24"/>
                                <w:szCs w:val="24"/>
                                <w:lang w:val="en-US"/>
                              </w:rPr>
                            </w:pPr>
                            <w:r w:rsidRPr="006836BE">
                              <w:rPr>
                                <w:rFonts w:ascii="Arial" w:hAnsi="Arial" w:cs="Arial"/>
                                <w:bCs/>
                                <w:sz w:val="24"/>
                                <w:szCs w:val="24"/>
                              </w:rPr>
                              <w:t>Cost of tax bases that a jurisdiction decides not to tax, such as wealth.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3B2C99" id="Text Box 1453" o:spid="_x0000_s1420" type="#_x0000_t202" style="position:absolute;left:0;text-align:left;margin-left:55pt;margin-top:.75pt;width:462pt;height:40pt;z-index:2533079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" filled="f" stroked="f" strokeweight=".5pt">
                <v:textbox>
                  <w:txbxContent>
                    <w:p w14:paraId="793E7ED6" w14:textId="7D734922" w:rsidR="00D15FD8" w:rsidRDefault="00D15FD8" w:rsidP="00BD6508">
                      <w:pPr>
                        <w:spacing w:line="276" w:lineRule="auto"/>
                        <w:rPr>
                          <w:rFonts w:ascii="Arial" w:hAnsi="Arial" w:cs="Arial"/>
                          <w:b/>
                          <w:bCs/>
                          <w:color w:val="FFFFFF" w:themeColor="background1"/>
                          <w:sz w:val="24"/>
                          <w:szCs w:val="24"/>
                          <w:lang w:val="en-US"/>
                        </w:rPr>
                      </w:pPr>
                      <w:r w:rsidRPr="00BD6508">
                        <w:rPr>
                          <w:rFonts w:ascii="Arial" w:hAnsi="Arial" w:cs="Arial"/>
                          <w:b/>
                          <w:bCs/>
                          <w:color w:val="FFFFFF" w:themeColor="background1"/>
                          <w:sz w:val="24"/>
                          <w:szCs w:val="24"/>
                          <w:lang w:val="en-US"/>
                        </w:rPr>
                        <w:t>Tax base</w:t>
                      </w:r>
                      <w:r>
                        <w:rPr>
                          <w:rFonts w:ascii="Arial" w:hAnsi="Arial" w:cs="Arial"/>
                          <w:b/>
                          <w:bCs/>
                          <w:color w:val="FFFFFF" w:themeColor="background1"/>
                          <w:sz w:val="24"/>
                          <w:szCs w:val="24"/>
                          <w:lang w:val="en-US"/>
                        </w:rPr>
                        <w:t>:</w:t>
                      </w:r>
                    </w:p>
                    <w:p w14:paraId="4AC9A319" w14:textId="3FAEF696" w:rsidR="00D15FD8" w:rsidRPr="00BD6508" w:rsidRDefault="00D15FD8" w:rsidP="00BD6508">
                      <w:pPr>
                        <w:spacing w:line="276" w:lineRule="auto"/>
                        <w:rPr>
                          <w:rFonts w:ascii="Arial" w:hAnsi="Arial" w:cs="Arial"/>
                          <w:b/>
                          <w:bCs/>
                          <w:color w:val="FFFFFF" w:themeColor="background1"/>
                          <w:sz w:val="24"/>
                          <w:szCs w:val="24"/>
                          <w:lang w:val="en-US"/>
                        </w:rPr>
                      </w:pPr>
                      <w:r w:rsidRPr="006836BE">
                        <w:rPr>
                          <w:rFonts w:ascii="Arial" w:hAnsi="Arial" w:cs="Arial"/>
                          <w:bCs/>
                          <w:sz w:val="24"/>
                          <w:szCs w:val="24"/>
                        </w:rPr>
                        <w:t>Cost of tax bases that a jurisdiction decides not to tax, such as wealth.</w:t>
                      </w:r>
                    </w:p>
                  </w:txbxContent>
                </v:textbox>
              </v:shape>
            </w:pict>
          </mc:Fallback>
        </mc:AlternateContent>
      </w:r>
    </w:p>
    <w:p w14:paraId="55F014FB" w14:textId="4A27817F" w:rsidR="00697D47" w:rsidRDefault="00697D47" w:rsidP="003F4708">
      <w:pPr>
        <w:shd w:val="clear" w:color="auto" w:fill="FFFFFF" w:themeFill="background1"/>
        <w:spacing w:line="276" w:lineRule="auto"/>
        <w:jc w:val="both"/>
        <w:rPr>
          <w:rFonts w:ascii="Arial" w:hAnsi="Arial" w:cs="Arial"/>
          <w:b/>
          <w:color w:val="F9A133"/>
          <w:sz w:val="24"/>
          <w:szCs w:val="24"/>
        </w:rPr>
      </w:pPr>
    </w:p>
    <w:p w14:paraId="20999C93" w14:textId="12356698" w:rsidR="00697D47" w:rsidRDefault="00697D47" w:rsidP="003F4708">
      <w:pPr>
        <w:shd w:val="clear" w:color="auto" w:fill="FFFFFF" w:themeFill="background1"/>
        <w:spacing w:line="276" w:lineRule="auto"/>
        <w:jc w:val="both"/>
        <w:rPr>
          <w:rFonts w:ascii="Arial" w:hAnsi="Arial" w:cs="Arial"/>
          <w:b/>
          <w:color w:val="F9A133"/>
          <w:sz w:val="24"/>
          <w:szCs w:val="24"/>
        </w:rPr>
      </w:pPr>
    </w:p>
    <w:p w14:paraId="69717029" w14:textId="7B38B92B" w:rsidR="006B4D93" w:rsidRDefault="004E3B22" w:rsidP="003625BA">
      <w:pPr>
        <w:shd w:val="clear" w:color="auto" w:fill="F2F2F2" w:themeFill="background1" w:themeFillShade="F2"/>
        <w:spacing w:line="276" w:lineRule="auto"/>
        <w:jc w:val="center"/>
        <w:rPr>
          <w:rFonts w:ascii="Arial" w:hAnsi="Arial" w:cs="Arial"/>
          <w:b/>
          <w:color w:val="F9A133"/>
          <w:sz w:val="24"/>
          <w:szCs w:val="24"/>
        </w:rPr>
      </w:pPr>
      <w:r>
        <w:rPr>
          <w:rFonts w:ascii="Arial" w:hAnsi="Arial" w:cs="Arial"/>
          <w:b/>
          <w:noProof/>
          <w:color w:val="F9A133"/>
          <w:sz w:val="24"/>
          <w:szCs w:val="24"/>
          <w:lang w:val="en-US"/>
        </w:rPr>
        <mc:AlternateContent>
          <mc:Choice Requires="wps">
            <w:drawing>
              <wp:anchor distT="0" distB="0" distL="114300" distR="114300" simplePos="0" relativeHeight="253313022" behindDoc="0" locked="0" layoutInCell="1" allowOverlap="1" wp14:anchorId="3608F1E4" wp14:editId="54E05BDB">
                <wp:simplePos x="0" y="0"/>
                <wp:positionH relativeFrom="column">
                  <wp:posOffset>698500</wp:posOffset>
                </wp:positionH>
                <wp:positionV relativeFrom="paragraph">
                  <wp:posOffset>192405</wp:posOffset>
                </wp:positionV>
                <wp:extent cx="5867400" cy="698500"/>
                <wp:effectExtent l="0" t="0" r="0" b="0"/>
                <wp:wrapNone/>
                <wp:docPr id="1465" name="Text Box 1465"/>
                <wp:cNvGraphicFramePr/>
                <a:graphic xmlns:a="http://schemas.openxmlformats.org/drawingml/2006/main">
                  <a:graphicData uri="http://schemas.microsoft.com/office/word/2010/wordprocessingShape">
                    <wps:wsp>
                      <wps:cNvSpPr txBox="1"/>
                      <wps:spPr>
                        <a:xfrm>
                          <a:off x="0" y="0"/>
                          <a:ext cx="5867400" cy="698500"/>
                        </a:xfrm>
                        <a:prstGeom prst="rect">
                          <a:avLst/>
                        </a:prstGeom>
                        <a:noFill/>
                        <a:ln w="6350">
                          <a:noFill/>
                        </a:ln>
                      </wps:spPr>
                      <wps:txbx>
                        <w:txbxContent>
                          <w:p w14:paraId="2B774699" w14:textId="77777777" w:rsidR="00D15FD8" w:rsidRDefault="00D15FD8" w:rsidP="006B4D93">
                            <w:pPr>
                              <w:spacing w:line="276" w:lineRule="auto"/>
                              <w:rPr>
                                <w:rFonts w:ascii="Arial" w:hAnsi="Arial" w:cs="Arial"/>
                                <w:b/>
                                <w:bCs/>
                                <w:color w:val="FFFFFF" w:themeColor="background1"/>
                                <w:sz w:val="24"/>
                                <w:szCs w:val="24"/>
                                <w:lang w:val="en-US"/>
                              </w:rPr>
                            </w:pPr>
                            <w:r w:rsidRPr="006B4D93">
                              <w:rPr>
                                <w:rFonts w:ascii="Arial" w:hAnsi="Arial" w:cs="Arial"/>
                                <w:b/>
                                <w:bCs/>
                                <w:color w:val="FFFFFF" w:themeColor="background1"/>
                                <w:sz w:val="24"/>
                                <w:szCs w:val="24"/>
                                <w:lang w:val="en-US"/>
                              </w:rPr>
                              <w:t>Tax spend:</w:t>
                            </w:r>
                          </w:p>
                          <w:p w14:paraId="11DE04B5" w14:textId="7A62F6ED" w:rsidR="00D15FD8" w:rsidRPr="00BD6508" w:rsidRDefault="00D15FD8" w:rsidP="00BD6508">
                            <w:pPr>
                              <w:spacing w:line="276" w:lineRule="auto"/>
                              <w:rPr>
                                <w:rFonts w:ascii="Arial" w:hAnsi="Arial" w:cs="Arial"/>
                                <w:b/>
                                <w:bCs/>
                                <w:color w:val="FFFFFF" w:themeColor="background1"/>
                                <w:sz w:val="24"/>
                                <w:szCs w:val="24"/>
                                <w:lang w:val="en-US"/>
                              </w:rPr>
                            </w:pPr>
                            <w:r w:rsidRPr="006B4D93">
                              <w:rPr>
                                <w:rFonts w:ascii="Arial" w:hAnsi="Arial" w:cs="Arial"/>
                                <w:bCs/>
                                <w:sz w:val="24"/>
                                <w:szCs w:val="24"/>
                              </w:rPr>
                              <w:t>Cost of the exemptions, allowances and reliefs granted within tax bases that are otherwise subject to tax.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8F1E4" id="Text Box 1465" o:spid="_x0000_s1421" type="#_x0000_t202" style="position:absolute;left:0;text-align:left;margin-left:55pt;margin-top:15.15pt;width:462pt;height:55pt;z-index:253313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" filled="f" stroked="f" strokeweight=".5pt">
                <v:textbox>
                  <w:txbxContent>
                    <w:p w14:paraId="2B774699" w14:textId="77777777" w:rsidR="00D15FD8" w:rsidRDefault="00D15FD8" w:rsidP="006B4D93">
                      <w:pPr>
                        <w:spacing w:line="276" w:lineRule="auto"/>
                        <w:rPr>
                          <w:rFonts w:ascii="Arial" w:hAnsi="Arial" w:cs="Arial"/>
                          <w:b/>
                          <w:bCs/>
                          <w:color w:val="FFFFFF" w:themeColor="background1"/>
                          <w:sz w:val="24"/>
                          <w:szCs w:val="24"/>
                          <w:lang w:val="en-US"/>
                        </w:rPr>
                      </w:pPr>
                      <w:r w:rsidRPr="006B4D93">
                        <w:rPr>
                          <w:rFonts w:ascii="Arial" w:hAnsi="Arial" w:cs="Arial"/>
                          <w:b/>
                          <w:bCs/>
                          <w:color w:val="FFFFFF" w:themeColor="background1"/>
                          <w:sz w:val="24"/>
                          <w:szCs w:val="24"/>
                          <w:lang w:val="en-US"/>
                        </w:rPr>
                        <w:t>Tax spend:</w:t>
                      </w:r>
                    </w:p>
                    <w:p w14:paraId="11DE04B5" w14:textId="7A62F6ED" w:rsidR="00D15FD8" w:rsidRPr="00BD6508" w:rsidRDefault="00D15FD8" w:rsidP="00BD6508">
                      <w:pPr>
                        <w:spacing w:line="276" w:lineRule="auto"/>
                        <w:rPr>
                          <w:rFonts w:ascii="Arial" w:hAnsi="Arial" w:cs="Arial"/>
                          <w:b/>
                          <w:bCs/>
                          <w:color w:val="FFFFFF" w:themeColor="background1"/>
                          <w:sz w:val="24"/>
                          <w:szCs w:val="24"/>
                          <w:lang w:val="en-US"/>
                        </w:rPr>
                      </w:pPr>
                      <w:r w:rsidRPr="006B4D93">
                        <w:rPr>
                          <w:rFonts w:ascii="Arial" w:hAnsi="Arial" w:cs="Arial"/>
                          <w:bCs/>
                          <w:sz w:val="24"/>
                          <w:szCs w:val="24"/>
                        </w:rPr>
                        <w:t>Cost of the exemptions, allowances and reliefs granted within tax bases that are otherwise subject to tax.</w:t>
                      </w:r>
                    </w:p>
                  </w:txbxContent>
                </v:textbox>
              </v:shape>
            </w:pict>
          </mc:Fallback>
        </mc:AlternateContent>
      </w:r>
      <w:r>
        <w:rPr>
          <w:rFonts w:ascii="Arial" w:hAnsi="Arial" w:cs="Arial"/>
          <w:b/>
          <w:noProof/>
          <w:color w:val="F9A133"/>
          <w:sz w:val="24"/>
          <w:szCs w:val="24"/>
          <w:lang w:val="en-US"/>
        </w:rPr>
        <mc:AlternateContent>
          <mc:Choice Requires="wps">
            <w:drawing>
              <wp:anchor distT="0" distB="0" distL="114300" distR="114300" simplePos="0" relativeHeight="253310974" behindDoc="0" locked="0" layoutInCell="1" allowOverlap="1" wp14:anchorId="507D6327" wp14:editId="4C041D2E">
                <wp:simplePos x="0" y="0"/>
                <wp:positionH relativeFrom="column">
                  <wp:posOffset>546100</wp:posOffset>
                </wp:positionH>
                <wp:positionV relativeFrom="paragraph">
                  <wp:posOffset>128905</wp:posOffset>
                </wp:positionV>
                <wp:extent cx="6045200" cy="787400"/>
                <wp:effectExtent l="0" t="0" r="0" b="0"/>
                <wp:wrapNone/>
                <wp:docPr id="1454" name="Rounded Rectangle 1454"/>
                <wp:cNvGraphicFramePr/>
                <a:graphic xmlns:a="http://schemas.openxmlformats.org/drawingml/2006/main">
                  <a:graphicData uri="http://schemas.microsoft.com/office/word/2010/wordprocessingShape">
                    <wps:wsp>
                      <wps:cNvSpPr/>
                      <wps:spPr>
                        <a:xfrm>
                          <a:off x="0" y="0"/>
                          <a:ext cx="6045200" cy="7874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A1F2BEF" id="Rounded Rectangle 1454" o:spid="_x0000_s1026" style="position:absolute;margin-left:43pt;margin-top:10.15pt;width:476pt;height:62pt;z-index:253310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" fillcolor="#f9a133" stroked="f" strokeweight="1pt">
                <v:stroke joinstyle="miter"/>
              </v:roundrect>
            </w:pict>
          </mc:Fallback>
        </mc:AlternateContent>
      </w:r>
      <w:r>
        <w:rPr>
          <w:rFonts w:ascii="Arial" w:hAnsi="Arial" w:cs="Arial"/>
          <w:b/>
          <w:noProof/>
          <w:color w:val="F9A133"/>
          <w:sz w:val="24"/>
          <w:szCs w:val="24"/>
          <w:lang w:val="en-US"/>
        </w:rPr>
        <mc:AlternateContent>
          <mc:Choice Requires="wps">
            <w:drawing>
              <wp:anchor distT="0" distB="0" distL="114300" distR="114300" simplePos="0" relativeHeight="253318142" behindDoc="0" locked="0" layoutInCell="1" allowOverlap="1" wp14:anchorId="1440CC2F" wp14:editId="687E2FFE">
                <wp:simplePos x="0" y="0"/>
                <wp:positionH relativeFrom="column">
                  <wp:posOffset>698500</wp:posOffset>
                </wp:positionH>
                <wp:positionV relativeFrom="paragraph">
                  <wp:posOffset>1132205</wp:posOffset>
                </wp:positionV>
                <wp:extent cx="5867400" cy="914400"/>
                <wp:effectExtent l="0" t="0" r="0" b="0"/>
                <wp:wrapNone/>
                <wp:docPr id="1475" name="Text Box 1475"/>
                <wp:cNvGraphicFramePr/>
                <a:graphic xmlns:a="http://schemas.openxmlformats.org/drawingml/2006/main">
                  <a:graphicData uri="http://schemas.microsoft.com/office/word/2010/wordprocessingShape">
                    <wps:wsp>
                      <wps:cNvSpPr txBox="1"/>
                      <wps:spPr>
                        <a:xfrm>
                          <a:off x="0" y="0"/>
                          <a:ext cx="5867400" cy="914400"/>
                        </a:xfrm>
                        <a:prstGeom prst="rect">
                          <a:avLst/>
                        </a:prstGeom>
                        <a:noFill/>
                        <a:ln w="6350">
                          <a:noFill/>
                        </a:ln>
                      </wps:spPr>
                      <wps:txbx>
                        <w:txbxContent>
                          <w:p w14:paraId="1FD24887" w14:textId="11A7D8A6" w:rsidR="00D15FD8" w:rsidRDefault="00D15FD8" w:rsidP="006B4D93">
                            <w:pPr>
                              <w:spacing w:line="276" w:lineRule="auto"/>
                              <w:rPr>
                                <w:rFonts w:ascii="Arial" w:hAnsi="Arial" w:cs="Arial"/>
                                <w:b/>
                                <w:bCs/>
                                <w:color w:val="FFFFFF" w:themeColor="background1"/>
                                <w:sz w:val="24"/>
                                <w:szCs w:val="24"/>
                                <w:lang w:val="en-US"/>
                              </w:rPr>
                            </w:pPr>
                            <w:r w:rsidRPr="006B4D93">
                              <w:rPr>
                                <w:rFonts w:ascii="Arial" w:hAnsi="Arial" w:cs="Arial"/>
                                <w:b/>
                                <w:bCs/>
                                <w:color w:val="FFFFFF" w:themeColor="background1"/>
                                <w:sz w:val="24"/>
                                <w:szCs w:val="24"/>
                                <w:lang w:val="en-US"/>
                              </w:rPr>
                              <w:t xml:space="preserve">Tax </w:t>
                            </w:r>
                            <w:r>
                              <w:rPr>
                                <w:rFonts w:ascii="Arial" w:hAnsi="Arial" w:cs="Arial"/>
                                <w:b/>
                                <w:bCs/>
                                <w:color w:val="FFFFFF" w:themeColor="background1"/>
                                <w:sz w:val="24"/>
                                <w:szCs w:val="24"/>
                                <w:lang w:val="en-US"/>
                              </w:rPr>
                              <w:t>evasion</w:t>
                            </w:r>
                            <w:r w:rsidRPr="006B4D93">
                              <w:rPr>
                                <w:rFonts w:ascii="Arial" w:hAnsi="Arial" w:cs="Arial"/>
                                <w:b/>
                                <w:bCs/>
                                <w:color w:val="FFFFFF" w:themeColor="background1"/>
                                <w:sz w:val="24"/>
                                <w:szCs w:val="24"/>
                                <w:lang w:val="en-US"/>
                              </w:rPr>
                              <w:t>:</w:t>
                            </w:r>
                          </w:p>
                          <w:p w14:paraId="6135311E" w14:textId="0A964348" w:rsidR="00D15FD8" w:rsidRPr="00BD6508" w:rsidRDefault="00D15FD8" w:rsidP="00BD6508">
                            <w:pPr>
                              <w:spacing w:line="276" w:lineRule="auto"/>
                              <w:rPr>
                                <w:rFonts w:ascii="Arial" w:hAnsi="Arial" w:cs="Arial"/>
                                <w:b/>
                                <w:bCs/>
                                <w:color w:val="FFFFFF" w:themeColor="background1"/>
                                <w:sz w:val="24"/>
                                <w:szCs w:val="24"/>
                                <w:lang w:val="en-US"/>
                              </w:rPr>
                            </w:pPr>
                            <w:r w:rsidRPr="006B4D93">
                              <w:rPr>
                                <w:rFonts w:ascii="Arial" w:hAnsi="Arial" w:cs="Arial"/>
                                <w:bCs/>
                                <w:sz w:val="24"/>
                                <w:szCs w:val="24"/>
                              </w:rPr>
                              <w:t>Tax cost of the illegal non-declaration of income, that should be taxed, by a taxpayer or the tax cost of their illegal claim for a tax exemption, allowance or relief to which they are not entitled.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0CC2F" id="Text Box 1475" o:spid="_x0000_s1422" type="#_x0000_t202" style="position:absolute;left:0;text-align:left;margin-left:55pt;margin-top:89.15pt;width:462pt;height:1in;z-index:253318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" filled="f" stroked="f" strokeweight=".5pt">
                <v:textbox>
                  <w:txbxContent>
                    <w:p w14:paraId="1FD24887" w14:textId="11A7D8A6" w:rsidR="00D15FD8" w:rsidRDefault="00D15FD8" w:rsidP="006B4D93">
                      <w:pPr>
                        <w:spacing w:line="276" w:lineRule="auto"/>
                        <w:rPr>
                          <w:rFonts w:ascii="Arial" w:hAnsi="Arial" w:cs="Arial"/>
                          <w:b/>
                          <w:bCs/>
                          <w:color w:val="FFFFFF" w:themeColor="background1"/>
                          <w:sz w:val="24"/>
                          <w:szCs w:val="24"/>
                          <w:lang w:val="en-US"/>
                        </w:rPr>
                      </w:pPr>
                      <w:r w:rsidRPr="006B4D93">
                        <w:rPr>
                          <w:rFonts w:ascii="Arial" w:hAnsi="Arial" w:cs="Arial"/>
                          <w:b/>
                          <w:bCs/>
                          <w:color w:val="FFFFFF" w:themeColor="background1"/>
                          <w:sz w:val="24"/>
                          <w:szCs w:val="24"/>
                          <w:lang w:val="en-US"/>
                        </w:rPr>
                        <w:t xml:space="preserve">Tax </w:t>
                      </w:r>
                      <w:r>
                        <w:rPr>
                          <w:rFonts w:ascii="Arial" w:hAnsi="Arial" w:cs="Arial"/>
                          <w:b/>
                          <w:bCs/>
                          <w:color w:val="FFFFFF" w:themeColor="background1"/>
                          <w:sz w:val="24"/>
                          <w:szCs w:val="24"/>
                          <w:lang w:val="en-US"/>
                        </w:rPr>
                        <w:t>evasion</w:t>
                      </w:r>
                      <w:r w:rsidRPr="006B4D93">
                        <w:rPr>
                          <w:rFonts w:ascii="Arial" w:hAnsi="Arial" w:cs="Arial"/>
                          <w:b/>
                          <w:bCs/>
                          <w:color w:val="FFFFFF" w:themeColor="background1"/>
                          <w:sz w:val="24"/>
                          <w:szCs w:val="24"/>
                          <w:lang w:val="en-US"/>
                        </w:rPr>
                        <w:t>:</w:t>
                      </w:r>
                    </w:p>
                    <w:p w14:paraId="6135311E" w14:textId="0A964348" w:rsidR="00D15FD8" w:rsidRPr="00BD6508" w:rsidRDefault="00D15FD8" w:rsidP="00BD6508">
                      <w:pPr>
                        <w:spacing w:line="276" w:lineRule="auto"/>
                        <w:rPr>
                          <w:rFonts w:ascii="Arial" w:hAnsi="Arial" w:cs="Arial"/>
                          <w:b/>
                          <w:bCs/>
                          <w:color w:val="FFFFFF" w:themeColor="background1"/>
                          <w:sz w:val="24"/>
                          <w:szCs w:val="24"/>
                          <w:lang w:val="en-US"/>
                        </w:rPr>
                      </w:pPr>
                      <w:r w:rsidRPr="006B4D93">
                        <w:rPr>
                          <w:rFonts w:ascii="Arial" w:hAnsi="Arial" w:cs="Arial"/>
                          <w:bCs/>
                          <w:sz w:val="24"/>
                          <w:szCs w:val="24"/>
                        </w:rPr>
                        <w:t>Tax cost of the illegal non-declaration of income, that should be taxed, by a taxpayer or the tax cost of their illegal claim for a tax exemption, allowance or relief to which they are not entitled.</w:t>
                      </w:r>
                    </w:p>
                  </w:txbxContent>
                </v:textbox>
              </v:shape>
            </w:pict>
          </mc:Fallback>
        </mc:AlternateContent>
      </w:r>
      <w:r>
        <w:rPr>
          <w:rFonts w:ascii="Arial" w:hAnsi="Arial" w:cs="Arial"/>
          <w:b/>
          <w:noProof/>
          <w:color w:val="F9A133"/>
          <w:sz w:val="24"/>
          <w:szCs w:val="24"/>
          <w:lang w:val="en-US"/>
        </w:rPr>
        <mc:AlternateContent>
          <mc:Choice Requires="wps">
            <w:drawing>
              <wp:anchor distT="0" distB="0" distL="114300" distR="114300" simplePos="0" relativeHeight="253321214" behindDoc="0" locked="0" layoutInCell="1" allowOverlap="1" wp14:anchorId="6386ACC6" wp14:editId="1518839F">
                <wp:simplePos x="0" y="0"/>
                <wp:positionH relativeFrom="column">
                  <wp:posOffset>546100</wp:posOffset>
                </wp:positionH>
                <wp:positionV relativeFrom="paragraph">
                  <wp:posOffset>2237105</wp:posOffset>
                </wp:positionV>
                <wp:extent cx="6045200" cy="1041400"/>
                <wp:effectExtent l="0" t="0" r="0" b="0"/>
                <wp:wrapNone/>
                <wp:docPr id="1478" name="Rounded Rectangle 1478"/>
                <wp:cNvGraphicFramePr/>
                <a:graphic xmlns:a="http://schemas.openxmlformats.org/drawingml/2006/main">
                  <a:graphicData uri="http://schemas.microsoft.com/office/word/2010/wordprocessingShape">
                    <wps:wsp>
                      <wps:cNvSpPr/>
                      <wps:spPr>
                        <a:xfrm>
                          <a:off x="0" y="0"/>
                          <a:ext cx="6045200" cy="10414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4EECF37" id="Rounded Rectangle 1478" o:spid="_x0000_s1026" style="position:absolute;margin-left:43pt;margin-top:176.15pt;width:476pt;height:82pt;z-index:253321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" fillcolor="#f9a133" stroked="f" strokeweight="1pt">
                <v:stroke joinstyle="miter"/>
              </v:roundrect>
            </w:pict>
          </mc:Fallback>
        </mc:AlternateContent>
      </w:r>
      <w:r>
        <w:rPr>
          <w:rFonts w:ascii="Arial" w:hAnsi="Arial" w:cs="Arial"/>
          <w:b/>
          <w:noProof/>
          <w:color w:val="F9A133"/>
          <w:sz w:val="24"/>
          <w:szCs w:val="24"/>
          <w:lang w:val="en-US"/>
        </w:rPr>
        <mc:AlternateContent>
          <mc:Choice Requires="wps">
            <w:drawing>
              <wp:anchor distT="0" distB="0" distL="114300" distR="114300" simplePos="0" relativeHeight="253326334" behindDoc="0" locked="0" layoutInCell="1" allowOverlap="1" wp14:anchorId="605558A2" wp14:editId="78F3177C">
                <wp:simplePos x="0" y="0"/>
                <wp:positionH relativeFrom="column">
                  <wp:posOffset>546100</wp:posOffset>
                </wp:positionH>
                <wp:positionV relativeFrom="paragraph">
                  <wp:posOffset>3467100</wp:posOffset>
                </wp:positionV>
                <wp:extent cx="6045200" cy="787400"/>
                <wp:effectExtent l="0" t="0" r="0" b="0"/>
                <wp:wrapNone/>
                <wp:docPr id="1492" name="Rounded Rectangle 1492"/>
                <wp:cNvGraphicFramePr/>
                <a:graphic xmlns:a="http://schemas.openxmlformats.org/drawingml/2006/main">
                  <a:graphicData uri="http://schemas.microsoft.com/office/word/2010/wordprocessingShape">
                    <wps:wsp>
                      <wps:cNvSpPr/>
                      <wps:spPr>
                        <a:xfrm>
                          <a:off x="0" y="0"/>
                          <a:ext cx="6045200" cy="7874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3C57212" id="Rounded Rectangle 1492" o:spid="_x0000_s1026" style="position:absolute;margin-left:43pt;margin-top:273pt;width:476pt;height:62pt;z-index:253326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" fillcolor="#f9a133" stroked="f" strokeweight="1pt">
                <v:stroke joinstyle="miter"/>
              </v:roundrect>
            </w:pict>
          </mc:Fallback>
        </mc:AlternateContent>
      </w:r>
    </w:p>
    <w:p w14:paraId="0C60FE1F" w14:textId="314684B1"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r>
        <w:rPr>
          <w:rFonts w:ascii="Arial" w:hAnsi="Arial" w:cs="Arial"/>
          <w:b/>
          <w:noProof/>
          <w:color w:val="F9A133"/>
          <w:sz w:val="24"/>
          <w:szCs w:val="24"/>
          <w:lang w:val="en-US"/>
        </w:rPr>
        <w:drawing>
          <wp:anchor distT="0" distB="0" distL="114300" distR="114300" simplePos="0" relativeHeight="253309950" behindDoc="0" locked="0" layoutInCell="1" allowOverlap="1" wp14:anchorId="6CD39E6B" wp14:editId="4EE45310">
            <wp:simplePos x="0" y="0"/>
            <wp:positionH relativeFrom="column">
              <wp:posOffset>0</wp:posOffset>
            </wp:positionH>
            <wp:positionV relativeFrom="paragraph">
              <wp:posOffset>51435</wp:posOffset>
            </wp:positionV>
            <wp:extent cx="482600" cy="540385"/>
            <wp:effectExtent l="0" t="0" r="0" b="5715"/>
            <wp:wrapSquare wrapText="bothSides"/>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Picture 1451"/>
                    <pic:cNvPicPr/>
                  </pic:nvPicPr>
                  <pic:blipFill rotWithShape="1">
                    <a:blip r:embed="rId715" cstate="email">
                      <a:extLst>
                        <a:ext uri="{28A0092B-C50C-407E-A947-70E740481C1C}">
                          <a14:useLocalDpi xmlns:a14="http://schemas.microsoft.com/office/drawing/2010/main"/>
                        </a:ext>
                      </a:extLst>
                    </a:blip>
                    <a:srcRect/>
                    <a:stretch/>
                  </pic:blipFill>
                  <pic:spPr bwMode="auto">
                    <a:xfrm>
                      <a:off x="0" y="0"/>
                      <a:ext cx="482600" cy="54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9D9A07" w14:textId="6745E9C8"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p>
    <w:p w14:paraId="002699F7" w14:textId="19C810CC"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p>
    <w:p w14:paraId="2388684C" w14:textId="41B7BDE4"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p>
    <w:p w14:paraId="1C8F4C9B" w14:textId="73041BC2" w:rsidR="006B4D93" w:rsidRDefault="004E3B22" w:rsidP="003625BA">
      <w:pPr>
        <w:shd w:val="clear" w:color="auto" w:fill="F2F2F2" w:themeFill="background1" w:themeFillShade="F2"/>
        <w:spacing w:line="276" w:lineRule="auto"/>
        <w:jc w:val="center"/>
        <w:rPr>
          <w:rFonts w:ascii="Arial" w:hAnsi="Arial" w:cs="Arial"/>
          <w:b/>
          <w:color w:val="F9A133"/>
          <w:sz w:val="24"/>
          <w:szCs w:val="24"/>
        </w:rPr>
      </w:pPr>
      <w:r>
        <w:rPr>
          <w:rFonts w:ascii="Arial" w:hAnsi="Arial" w:cs="Arial"/>
          <w:b/>
          <w:noProof/>
          <w:color w:val="F9A133"/>
          <w:sz w:val="24"/>
          <w:szCs w:val="24"/>
          <w:lang w:val="en-US"/>
        </w:rPr>
        <mc:AlternateContent>
          <mc:Choice Requires="wps">
            <w:drawing>
              <wp:anchor distT="0" distB="0" distL="114300" distR="114300" simplePos="0" relativeHeight="253316094" behindDoc="0" locked="0" layoutInCell="1" allowOverlap="1" wp14:anchorId="7FF176C5" wp14:editId="26550257">
                <wp:simplePos x="0" y="0"/>
                <wp:positionH relativeFrom="column">
                  <wp:posOffset>546100</wp:posOffset>
                </wp:positionH>
                <wp:positionV relativeFrom="paragraph">
                  <wp:posOffset>73660</wp:posOffset>
                </wp:positionV>
                <wp:extent cx="6045200" cy="979200"/>
                <wp:effectExtent l="0" t="0" r="0" b="0"/>
                <wp:wrapNone/>
                <wp:docPr id="1466" name="Rounded Rectangle 1466"/>
                <wp:cNvGraphicFramePr/>
                <a:graphic xmlns:a="http://schemas.openxmlformats.org/drawingml/2006/main">
                  <a:graphicData uri="http://schemas.microsoft.com/office/word/2010/wordprocessingShape">
                    <wps:wsp>
                      <wps:cNvSpPr/>
                      <wps:spPr>
                        <a:xfrm>
                          <a:off x="0" y="0"/>
                          <a:ext cx="6045200" cy="9792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AAD3DF2" id="Rounded Rectangle 1466" o:spid="_x0000_s1026" style="position:absolute;margin-left:43pt;margin-top:5.8pt;width:476pt;height:77.1pt;z-index:253316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" fillcolor="#f9a133" stroked="f" strokeweight="1pt">
                <v:stroke joinstyle="miter"/>
              </v:roundrect>
            </w:pict>
          </mc:Fallback>
        </mc:AlternateContent>
      </w:r>
    </w:p>
    <w:p w14:paraId="78908833" w14:textId="5017D0F8" w:rsidR="006B4D93" w:rsidRDefault="004E3B22" w:rsidP="003625BA">
      <w:pPr>
        <w:shd w:val="clear" w:color="auto" w:fill="F2F2F2" w:themeFill="background1" w:themeFillShade="F2"/>
        <w:spacing w:line="276" w:lineRule="auto"/>
        <w:jc w:val="center"/>
        <w:rPr>
          <w:rFonts w:ascii="Arial" w:hAnsi="Arial" w:cs="Arial"/>
          <w:b/>
          <w:color w:val="F9A133"/>
          <w:sz w:val="24"/>
          <w:szCs w:val="24"/>
        </w:rPr>
      </w:pPr>
      <w:r>
        <w:rPr>
          <w:rFonts w:ascii="Arial" w:hAnsi="Arial" w:cs="Arial"/>
          <w:b/>
          <w:noProof/>
          <w:color w:val="F9A133"/>
          <w:sz w:val="24"/>
          <w:szCs w:val="24"/>
          <w:lang w:val="en-US"/>
        </w:rPr>
        <w:drawing>
          <wp:anchor distT="0" distB="0" distL="114300" distR="114300" simplePos="0" relativeHeight="253315070" behindDoc="0" locked="0" layoutInCell="1" allowOverlap="1" wp14:anchorId="35096390" wp14:editId="21DACDD5">
            <wp:simplePos x="0" y="0"/>
            <wp:positionH relativeFrom="column">
              <wp:posOffset>0</wp:posOffset>
            </wp:positionH>
            <wp:positionV relativeFrom="paragraph">
              <wp:posOffset>96520</wp:posOffset>
            </wp:positionV>
            <wp:extent cx="482600" cy="540385"/>
            <wp:effectExtent l="0" t="0" r="0" b="5715"/>
            <wp:wrapSquare wrapText="bothSides"/>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Picture 1451"/>
                    <pic:cNvPicPr/>
                  </pic:nvPicPr>
                  <pic:blipFill rotWithShape="1">
                    <a:blip r:embed="rId715" cstate="email">
                      <a:extLst>
                        <a:ext uri="{28A0092B-C50C-407E-A947-70E740481C1C}">
                          <a14:useLocalDpi xmlns:a14="http://schemas.microsoft.com/office/drawing/2010/main"/>
                        </a:ext>
                      </a:extLst>
                    </a:blip>
                    <a:srcRect/>
                    <a:stretch/>
                  </pic:blipFill>
                  <pic:spPr bwMode="auto">
                    <a:xfrm>
                      <a:off x="0" y="0"/>
                      <a:ext cx="482600" cy="54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B4208" w14:textId="778107C6"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p>
    <w:p w14:paraId="3FCEF75E" w14:textId="43662872"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p>
    <w:p w14:paraId="2233BEE1" w14:textId="4B4A90E8"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p>
    <w:p w14:paraId="2F162F85" w14:textId="293525E6" w:rsidR="006B4D93" w:rsidRDefault="006B4D93" w:rsidP="003625BA">
      <w:pPr>
        <w:shd w:val="clear" w:color="auto" w:fill="F2F2F2" w:themeFill="background1" w:themeFillShade="F2"/>
        <w:spacing w:line="276" w:lineRule="auto"/>
        <w:jc w:val="center"/>
        <w:rPr>
          <w:rFonts w:ascii="Arial" w:hAnsi="Arial" w:cs="Arial"/>
          <w:b/>
          <w:color w:val="F9A133"/>
          <w:sz w:val="24"/>
          <w:szCs w:val="24"/>
        </w:rPr>
      </w:pPr>
    </w:p>
    <w:p w14:paraId="38974F19" w14:textId="537BD23F" w:rsidR="006B4D93" w:rsidRDefault="004E3B22" w:rsidP="003625BA">
      <w:pPr>
        <w:shd w:val="clear" w:color="auto" w:fill="F2F2F2" w:themeFill="background1" w:themeFillShade="F2"/>
        <w:spacing w:line="276" w:lineRule="auto"/>
        <w:jc w:val="both"/>
        <w:rPr>
          <w:rFonts w:ascii="Arial" w:hAnsi="Arial" w:cs="Arial"/>
          <w:b/>
          <w:color w:val="F9A133"/>
          <w:sz w:val="24"/>
          <w:szCs w:val="24"/>
        </w:rPr>
      </w:pPr>
      <w:r>
        <w:rPr>
          <w:rFonts w:ascii="Arial" w:hAnsi="Arial" w:cs="Arial"/>
          <w:b/>
          <w:noProof/>
          <w:color w:val="F9A133"/>
          <w:sz w:val="24"/>
          <w:szCs w:val="24"/>
          <w:lang w:val="en-US"/>
        </w:rPr>
        <mc:AlternateContent>
          <mc:Choice Requires="wps">
            <w:drawing>
              <wp:anchor distT="0" distB="0" distL="114300" distR="114300" simplePos="0" relativeHeight="253323262" behindDoc="0" locked="0" layoutInCell="1" allowOverlap="1" wp14:anchorId="4240CD93" wp14:editId="44EEF8DC">
                <wp:simplePos x="0" y="0"/>
                <wp:positionH relativeFrom="column">
                  <wp:posOffset>723900</wp:posOffset>
                </wp:positionH>
                <wp:positionV relativeFrom="paragraph">
                  <wp:posOffset>89535</wp:posOffset>
                </wp:positionV>
                <wp:extent cx="5867400" cy="939800"/>
                <wp:effectExtent l="0" t="0" r="0" b="0"/>
                <wp:wrapNone/>
                <wp:docPr id="1491" name="Text Box 1491"/>
                <wp:cNvGraphicFramePr/>
                <a:graphic xmlns:a="http://schemas.openxmlformats.org/drawingml/2006/main">
                  <a:graphicData uri="http://schemas.microsoft.com/office/word/2010/wordprocessingShape">
                    <wps:wsp>
                      <wps:cNvSpPr txBox="1"/>
                      <wps:spPr>
                        <a:xfrm>
                          <a:off x="0" y="0"/>
                          <a:ext cx="5867400" cy="939800"/>
                        </a:xfrm>
                        <a:prstGeom prst="rect">
                          <a:avLst/>
                        </a:prstGeom>
                        <a:noFill/>
                        <a:ln w="6350">
                          <a:noFill/>
                        </a:ln>
                      </wps:spPr>
                      <wps:txbx>
                        <w:txbxContent>
                          <w:p w14:paraId="0BFB1E0F" w14:textId="789CE0AB" w:rsidR="00D15FD8" w:rsidRDefault="00D15FD8" w:rsidP="006B4D93">
                            <w:pPr>
                              <w:spacing w:line="276" w:lineRule="auto"/>
                              <w:rPr>
                                <w:rFonts w:ascii="Arial" w:hAnsi="Arial" w:cs="Arial"/>
                                <w:b/>
                                <w:bCs/>
                                <w:color w:val="FFFFFF" w:themeColor="background1"/>
                                <w:sz w:val="24"/>
                                <w:szCs w:val="24"/>
                                <w:lang w:val="en-US"/>
                              </w:rPr>
                            </w:pPr>
                            <w:r w:rsidRPr="006B4D93">
                              <w:rPr>
                                <w:rFonts w:ascii="Arial" w:hAnsi="Arial" w:cs="Arial"/>
                                <w:b/>
                                <w:bCs/>
                                <w:color w:val="FFFFFF" w:themeColor="background1"/>
                                <w:sz w:val="24"/>
                                <w:szCs w:val="24"/>
                                <w:lang w:val="en-US"/>
                              </w:rPr>
                              <w:t xml:space="preserve">Tax </w:t>
                            </w:r>
                            <w:r>
                              <w:rPr>
                                <w:rFonts w:ascii="Arial" w:hAnsi="Arial" w:cs="Arial"/>
                                <w:b/>
                                <w:bCs/>
                                <w:color w:val="FFFFFF" w:themeColor="background1"/>
                                <w:sz w:val="24"/>
                                <w:szCs w:val="24"/>
                                <w:lang w:val="en-US"/>
                              </w:rPr>
                              <w:t>avoidance</w:t>
                            </w:r>
                            <w:r w:rsidRPr="006B4D93">
                              <w:rPr>
                                <w:rFonts w:ascii="Arial" w:hAnsi="Arial" w:cs="Arial"/>
                                <w:b/>
                                <w:bCs/>
                                <w:color w:val="FFFFFF" w:themeColor="background1"/>
                                <w:sz w:val="24"/>
                                <w:szCs w:val="24"/>
                                <w:lang w:val="en-US"/>
                              </w:rPr>
                              <w:t>:</w:t>
                            </w:r>
                          </w:p>
                          <w:p w14:paraId="3BBCD208" w14:textId="64059433" w:rsidR="00D15FD8" w:rsidRPr="00BD6508" w:rsidRDefault="00D15FD8" w:rsidP="00BD6508">
                            <w:pPr>
                              <w:spacing w:line="276" w:lineRule="auto"/>
                              <w:rPr>
                                <w:rFonts w:ascii="Arial" w:hAnsi="Arial" w:cs="Arial"/>
                                <w:b/>
                                <w:bCs/>
                                <w:color w:val="FFFFFF" w:themeColor="background1"/>
                                <w:sz w:val="24"/>
                                <w:szCs w:val="24"/>
                                <w:lang w:val="en-US"/>
                              </w:rPr>
                            </w:pPr>
                            <w:r w:rsidRPr="004E3B22">
                              <w:rPr>
                                <w:rFonts w:ascii="Arial" w:hAnsi="Arial" w:cs="Arial"/>
                                <w:bCs/>
                                <w:sz w:val="24"/>
                                <w:szCs w:val="24"/>
                              </w:rPr>
                              <w:t>Tax cost arising from a taxpayer arranging their affairs to pay less tax as a result of their management (manipulation) of the tax laws of a jurisdiction in a way that the tax authority of that jurisdiction thinks is contrary to the spirit of the laws in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0CD93" id="Text Box 1491" o:spid="_x0000_s1423" type="#_x0000_t202" style="position:absolute;left:0;text-align:left;margin-left:57pt;margin-top:7.05pt;width:462pt;height:74pt;z-index:253323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" filled="f" stroked="f" strokeweight=".5pt">
                <v:textbox>
                  <w:txbxContent>
                    <w:p w14:paraId="0BFB1E0F" w14:textId="789CE0AB" w:rsidR="00D15FD8" w:rsidRDefault="00D15FD8" w:rsidP="006B4D93">
                      <w:pPr>
                        <w:spacing w:line="276" w:lineRule="auto"/>
                        <w:rPr>
                          <w:rFonts w:ascii="Arial" w:hAnsi="Arial" w:cs="Arial"/>
                          <w:b/>
                          <w:bCs/>
                          <w:color w:val="FFFFFF" w:themeColor="background1"/>
                          <w:sz w:val="24"/>
                          <w:szCs w:val="24"/>
                          <w:lang w:val="en-US"/>
                        </w:rPr>
                      </w:pPr>
                      <w:r w:rsidRPr="006B4D93">
                        <w:rPr>
                          <w:rFonts w:ascii="Arial" w:hAnsi="Arial" w:cs="Arial"/>
                          <w:b/>
                          <w:bCs/>
                          <w:color w:val="FFFFFF" w:themeColor="background1"/>
                          <w:sz w:val="24"/>
                          <w:szCs w:val="24"/>
                          <w:lang w:val="en-US"/>
                        </w:rPr>
                        <w:t xml:space="preserve">Tax </w:t>
                      </w:r>
                      <w:r>
                        <w:rPr>
                          <w:rFonts w:ascii="Arial" w:hAnsi="Arial" w:cs="Arial"/>
                          <w:b/>
                          <w:bCs/>
                          <w:color w:val="FFFFFF" w:themeColor="background1"/>
                          <w:sz w:val="24"/>
                          <w:szCs w:val="24"/>
                          <w:lang w:val="en-US"/>
                        </w:rPr>
                        <w:t>avoidance</w:t>
                      </w:r>
                      <w:r w:rsidRPr="006B4D93">
                        <w:rPr>
                          <w:rFonts w:ascii="Arial" w:hAnsi="Arial" w:cs="Arial"/>
                          <w:b/>
                          <w:bCs/>
                          <w:color w:val="FFFFFF" w:themeColor="background1"/>
                          <w:sz w:val="24"/>
                          <w:szCs w:val="24"/>
                          <w:lang w:val="en-US"/>
                        </w:rPr>
                        <w:t>:</w:t>
                      </w:r>
                    </w:p>
                    <w:p w14:paraId="3BBCD208" w14:textId="64059433" w:rsidR="00D15FD8" w:rsidRPr="00BD6508" w:rsidRDefault="00D15FD8" w:rsidP="00BD6508">
                      <w:pPr>
                        <w:spacing w:line="276" w:lineRule="auto"/>
                        <w:rPr>
                          <w:rFonts w:ascii="Arial" w:hAnsi="Arial" w:cs="Arial"/>
                          <w:b/>
                          <w:bCs/>
                          <w:color w:val="FFFFFF" w:themeColor="background1"/>
                          <w:sz w:val="24"/>
                          <w:szCs w:val="24"/>
                          <w:lang w:val="en-US"/>
                        </w:rPr>
                      </w:pPr>
                      <w:r w:rsidRPr="004E3B22">
                        <w:rPr>
                          <w:rFonts w:ascii="Arial" w:hAnsi="Arial" w:cs="Arial"/>
                          <w:bCs/>
                          <w:sz w:val="24"/>
                          <w:szCs w:val="24"/>
                        </w:rPr>
                        <w:t>Tax cost arising from a taxpayer arranging their affairs to pay less tax as a result of their management (manipulation) of the tax laws of a jurisdiction in a way that the tax authority of that jurisdiction thinks is contrary to the spirit of the laws in place.</w:t>
                      </w:r>
                    </w:p>
                  </w:txbxContent>
                </v:textbox>
              </v:shape>
            </w:pict>
          </mc:Fallback>
        </mc:AlternateContent>
      </w:r>
    </w:p>
    <w:p w14:paraId="5F24DB02" w14:textId="66EE0165" w:rsidR="006B4D93" w:rsidRDefault="004E3B22" w:rsidP="003625BA">
      <w:pPr>
        <w:shd w:val="clear" w:color="auto" w:fill="F2F2F2" w:themeFill="background1" w:themeFillShade="F2"/>
        <w:spacing w:line="276" w:lineRule="auto"/>
        <w:jc w:val="both"/>
        <w:rPr>
          <w:rFonts w:ascii="Arial" w:hAnsi="Arial" w:cs="Arial"/>
          <w:b/>
          <w:color w:val="F9A133"/>
          <w:sz w:val="24"/>
          <w:szCs w:val="24"/>
        </w:rPr>
      </w:pPr>
      <w:r>
        <w:rPr>
          <w:rFonts w:ascii="Arial" w:hAnsi="Arial" w:cs="Arial"/>
          <w:b/>
          <w:noProof/>
          <w:color w:val="F9A133"/>
          <w:sz w:val="24"/>
          <w:szCs w:val="24"/>
          <w:lang w:val="en-US"/>
        </w:rPr>
        <w:drawing>
          <wp:anchor distT="0" distB="0" distL="114300" distR="114300" simplePos="0" relativeHeight="253320190" behindDoc="0" locked="0" layoutInCell="1" allowOverlap="1" wp14:anchorId="622D6A3C" wp14:editId="5F005351">
            <wp:simplePos x="0" y="0"/>
            <wp:positionH relativeFrom="column">
              <wp:posOffset>0</wp:posOffset>
            </wp:positionH>
            <wp:positionV relativeFrom="paragraph">
              <wp:posOffset>65405</wp:posOffset>
            </wp:positionV>
            <wp:extent cx="482600" cy="540385"/>
            <wp:effectExtent l="0" t="0" r="0" b="5715"/>
            <wp:wrapSquare wrapText="bothSides"/>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Picture 1451"/>
                    <pic:cNvPicPr/>
                  </pic:nvPicPr>
                  <pic:blipFill rotWithShape="1">
                    <a:blip r:embed="rId715" cstate="email">
                      <a:extLst>
                        <a:ext uri="{28A0092B-C50C-407E-A947-70E740481C1C}">
                          <a14:useLocalDpi xmlns:a14="http://schemas.microsoft.com/office/drawing/2010/main"/>
                        </a:ext>
                      </a:extLst>
                    </a:blip>
                    <a:srcRect/>
                    <a:stretch/>
                  </pic:blipFill>
                  <pic:spPr bwMode="auto">
                    <a:xfrm>
                      <a:off x="0" y="0"/>
                      <a:ext cx="482600" cy="54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D2AED4" w14:textId="76429696" w:rsidR="006B4D93" w:rsidRDefault="006B4D93" w:rsidP="003625BA">
      <w:pPr>
        <w:shd w:val="clear" w:color="auto" w:fill="F2F2F2" w:themeFill="background1" w:themeFillShade="F2"/>
        <w:spacing w:line="276" w:lineRule="auto"/>
        <w:jc w:val="both"/>
        <w:rPr>
          <w:rFonts w:ascii="Arial" w:hAnsi="Arial" w:cs="Arial"/>
          <w:b/>
          <w:color w:val="F9A133"/>
          <w:sz w:val="24"/>
          <w:szCs w:val="24"/>
        </w:rPr>
      </w:pPr>
    </w:p>
    <w:p w14:paraId="24A0FF49" w14:textId="0F81B63B" w:rsidR="006B4D93" w:rsidRDefault="006B4D93" w:rsidP="003625BA">
      <w:pPr>
        <w:shd w:val="clear" w:color="auto" w:fill="F2F2F2" w:themeFill="background1" w:themeFillShade="F2"/>
        <w:spacing w:line="276" w:lineRule="auto"/>
        <w:jc w:val="both"/>
        <w:rPr>
          <w:rFonts w:ascii="Arial" w:hAnsi="Arial" w:cs="Arial"/>
          <w:b/>
          <w:color w:val="F9A133"/>
          <w:sz w:val="24"/>
          <w:szCs w:val="24"/>
        </w:rPr>
      </w:pPr>
    </w:p>
    <w:p w14:paraId="2D6874D8" w14:textId="70CBDD8A" w:rsidR="006B4D93" w:rsidRDefault="004E3B22" w:rsidP="003625BA">
      <w:pPr>
        <w:shd w:val="clear" w:color="auto" w:fill="F2F2F2" w:themeFill="background1" w:themeFillShade="F2"/>
        <w:tabs>
          <w:tab w:val="left" w:pos="3180"/>
        </w:tabs>
        <w:spacing w:line="276" w:lineRule="auto"/>
        <w:jc w:val="both"/>
        <w:rPr>
          <w:rFonts w:ascii="Arial" w:hAnsi="Arial" w:cs="Arial"/>
          <w:b/>
          <w:color w:val="F9A133"/>
          <w:sz w:val="24"/>
          <w:szCs w:val="24"/>
        </w:rPr>
      </w:pPr>
      <w:r>
        <w:rPr>
          <w:rFonts w:ascii="Arial" w:hAnsi="Arial" w:cs="Arial"/>
          <w:b/>
          <w:color w:val="F9A133"/>
          <w:sz w:val="24"/>
          <w:szCs w:val="24"/>
        </w:rPr>
        <w:tab/>
      </w:r>
    </w:p>
    <w:p w14:paraId="75551332" w14:textId="53FDA4EA" w:rsidR="004E3B22" w:rsidRDefault="004E3B22" w:rsidP="003625BA">
      <w:pPr>
        <w:shd w:val="clear" w:color="auto" w:fill="F2F2F2" w:themeFill="background1" w:themeFillShade="F2"/>
        <w:tabs>
          <w:tab w:val="left" w:pos="3180"/>
        </w:tabs>
        <w:spacing w:line="276" w:lineRule="auto"/>
        <w:jc w:val="both"/>
        <w:rPr>
          <w:rFonts w:ascii="Arial" w:hAnsi="Arial" w:cs="Arial"/>
          <w:b/>
          <w:color w:val="F9A133"/>
          <w:sz w:val="24"/>
          <w:szCs w:val="24"/>
        </w:rPr>
      </w:pPr>
    </w:p>
    <w:p w14:paraId="188C5377" w14:textId="4A249849" w:rsidR="004E3B22" w:rsidRDefault="003E5F4B" w:rsidP="003625BA">
      <w:pPr>
        <w:shd w:val="clear" w:color="auto" w:fill="F2F2F2" w:themeFill="background1" w:themeFillShade="F2"/>
        <w:tabs>
          <w:tab w:val="left" w:pos="3180"/>
        </w:tabs>
        <w:spacing w:line="276" w:lineRule="auto"/>
        <w:jc w:val="both"/>
        <w:rPr>
          <w:rFonts w:ascii="Arial" w:hAnsi="Arial" w:cs="Arial"/>
          <w:b/>
          <w:color w:val="F9A133"/>
          <w:sz w:val="24"/>
          <w:szCs w:val="24"/>
        </w:rPr>
      </w:pPr>
      <w:r>
        <w:rPr>
          <w:rFonts w:ascii="Arial" w:hAnsi="Arial" w:cs="Arial"/>
          <w:b/>
          <w:noProof/>
          <w:color w:val="F9A133"/>
          <w:sz w:val="24"/>
          <w:szCs w:val="24"/>
          <w:lang w:val="en-US"/>
        </w:rPr>
        <mc:AlternateContent>
          <mc:Choice Requires="wps">
            <w:drawing>
              <wp:anchor distT="0" distB="0" distL="114300" distR="114300" simplePos="0" relativeHeight="253328382" behindDoc="0" locked="0" layoutInCell="1" allowOverlap="1" wp14:anchorId="446724DC" wp14:editId="5226B7DB">
                <wp:simplePos x="0" y="0"/>
                <wp:positionH relativeFrom="column">
                  <wp:posOffset>723900</wp:posOffset>
                </wp:positionH>
                <wp:positionV relativeFrom="paragraph">
                  <wp:posOffset>100330</wp:posOffset>
                </wp:positionV>
                <wp:extent cx="5867400" cy="698500"/>
                <wp:effectExtent l="0" t="0" r="0" b="0"/>
                <wp:wrapNone/>
                <wp:docPr id="1494" name="Text Box 1494"/>
                <wp:cNvGraphicFramePr/>
                <a:graphic xmlns:a="http://schemas.openxmlformats.org/drawingml/2006/main">
                  <a:graphicData uri="http://schemas.microsoft.com/office/word/2010/wordprocessingShape">
                    <wps:wsp>
                      <wps:cNvSpPr txBox="1"/>
                      <wps:spPr>
                        <a:xfrm>
                          <a:off x="0" y="0"/>
                          <a:ext cx="5867400" cy="698500"/>
                        </a:xfrm>
                        <a:prstGeom prst="rect">
                          <a:avLst/>
                        </a:prstGeom>
                        <a:noFill/>
                        <a:ln w="6350">
                          <a:noFill/>
                        </a:ln>
                      </wps:spPr>
                      <wps:txbx>
                        <w:txbxContent>
                          <w:p w14:paraId="3EFF74E6" w14:textId="33757945" w:rsidR="00D15FD8" w:rsidRDefault="00D15FD8" w:rsidP="004E3B22">
                            <w:pPr>
                              <w:spacing w:line="276" w:lineRule="auto"/>
                              <w:rPr>
                                <w:rFonts w:ascii="Arial" w:hAnsi="Arial" w:cs="Arial"/>
                                <w:b/>
                                <w:bCs/>
                                <w:color w:val="FFFFFF" w:themeColor="background1"/>
                                <w:sz w:val="24"/>
                                <w:szCs w:val="24"/>
                                <w:lang w:val="en-US"/>
                              </w:rPr>
                            </w:pPr>
                            <w:r>
                              <w:rPr>
                                <w:rFonts w:ascii="Arial" w:hAnsi="Arial" w:cs="Arial"/>
                                <w:b/>
                                <w:bCs/>
                                <w:color w:val="FFFFFF" w:themeColor="background1"/>
                                <w:sz w:val="24"/>
                                <w:szCs w:val="24"/>
                                <w:lang w:val="en-US"/>
                              </w:rPr>
                              <w:t>Unpaid t</w:t>
                            </w:r>
                            <w:r w:rsidRPr="006B4D93">
                              <w:rPr>
                                <w:rFonts w:ascii="Arial" w:hAnsi="Arial" w:cs="Arial"/>
                                <w:b/>
                                <w:bCs/>
                                <w:color w:val="FFFFFF" w:themeColor="background1"/>
                                <w:sz w:val="24"/>
                                <w:szCs w:val="24"/>
                                <w:lang w:val="en-US"/>
                              </w:rPr>
                              <w:t>ax</w:t>
                            </w:r>
                            <w:r>
                              <w:rPr>
                                <w:rFonts w:ascii="Arial" w:hAnsi="Arial" w:cs="Arial"/>
                                <w:b/>
                                <w:bCs/>
                                <w:color w:val="FFFFFF" w:themeColor="background1"/>
                                <w:sz w:val="24"/>
                                <w:szCs w:val="24"/>
                                <w:lang w:val="en-US"/>
                              </w:rPr>
                              <w:t>:</w:t>
                            </w:r>
                          </w:p>
                          <w:p w14:paraId="693477B7" w14:textId="30230AC2" w:rsidR="00D15FD8" w:rsidRPr="00BD6508" w:rsidRDefault="00D15FD8" w:rsidP="00BD6508">
                            <w:pPr>
                              <w:spacing w:line="276" w:lineRule="auto"/>
                              <w:rPr>
                                <w:rFonts w:ascii="Arial" w:hAnsi="Arial" w:cs="Arial"/>
                                <w:b/>
                                <w:bCs/>
                                <w:color w:val="FFFFFF" w:themeColor="background1"/>
                                <w:sz w:val="24"/>
                                <w:szCs w:val="24"/>
                                <w:lang w:val="en-US"/>
                              </w:rPr>
                            </w:pPr>
                            <w:r w:rsidRPr="004E3B22">
                              <w:rPr>
                                <w:rFonts w:ascii="Arial" w:hAnsi="Arial" w:cs="Arial"/>
                                <w:bCs/>
                                <w:sz w:val="24"/>
                                <w:szCs w:val="24"/>
                              </w:rPr>
                              <w:t>Tax cost of sums known to be owing to the tax authority that are not paid, for example due to the insolvency of a taxpayer.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724DC" id="Text Box 1494" o:spid="_x0000_s1424" type="#_x0000_t202" style="position:absolute;left:0;text-align:left;margin-left:57pt;margin-top:7.9pt;width:462pt;height:55pt;z-index:25332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" filled="f" stroked="f" strokeweight=".5pt">
                <v:textbox>
                  <w:txbxContent>
                    <w:p w14:paraId="3EFF74E6" w14:textId="33757945" w:rsidR="00D15FD8" w:rsidRDefault="00D15FD8" w:rsidP="004E3B22">
                      <w:pPr>
                        <w:spacing w:line="276" w:lineRule="auto"/>
                        <w:rPr>
                          <w:rFonts w:ascii="Arial" w:hAnsi="Arial" w:cs="Arial"/>
                          <w:b/>
                          <w:bCs/>
                          <w:color w:val="FFFFFF" w:themeColor="background1"/>
                          <w:sz w:val="24"/>
                          <w:szCs w:val="24"/>
                          <w:lang w:val="en-US"/>
                        </w:rPr>
                      </w:pPr>
                      <w:r>
                        <w:rPr>
                          <w:rFonts w:ascii="Arial" w:hAnsi="Arial" w:cs="Arial"/>
                          <w:b/>
                          <w:bCs/>
                          <w:color w:val="FFFFFF" w:themeColor="background1"/>
                          <w:sz w:val="24"/>
                          <w:szCs w:val="24"/>
                          <w:lang w:val="en-US"/>
                        </w:rPr>
                        <w:t>Unpaid t</w:t>
                      </w:r>
                      <w:r w:rsidRPr="006B4D93">
                        <w:rPr>
                          <w:rFonts w:ascii="Arial" w:hAnsi="Arial" w:cs="Arial"/>
                          <w:b/>
                          <w:bCs/>
                          <w:color w:val="FFFFFF" w:themeColor="background1"/>
                          <w:sz w:val="24"/>
                          <w:szCs w:val="24"/>
                          <w:lang w:val="en-US"/>
                        </w:rPr>
                        <w:t>ax</w:t>
                      </w:r>
                      <w:r>
                        <w:rPr>
                          <w:rFonts w:ascii="Arial" w:hAnsi="Arial" w:cs="Arial"/>
                          <w:b/>
                          <w:bCs/>
                          <w:color w:val="FFFFFF" w:themeColor="background1"/>
                          <w:sz w:val="24"/>
                          <w:szCs w:val="24"/>
                          <w:lang w:val="en-US"/>
                        </w:rPr>
                        <w:t>:</w:t>
                      </w:r>
                    </w:p>
                    <w:p w14:paraId="693477B7" w14:textId="30230AC2" w:rsidR="00D15FD8" w:rsidRPr="00BD6508" w:rsidRDefault="00D15FD8" w:rsidP="00BD6508">
                      <w:pPr>
                        <w:spacing w:line="276" w:lineRule="auto"/>
                        <w:rPr>
                          <w:rFonts w:ascii="Arial" w:hAnsi="Arial" w:cs="Arial"/>
                          <w:b/>
                          <w:bCs/>
                          <w:color w:val="FFFFFF" w:themeColor="background1"/>
                          <w:sz w:val="24"/>
                          <w:szCs w:val="24"/>
                          <w:lang w:val="en-US"/>
                        </w:rPr>
                      </w:pPr>
                      <w:r w:rsidRPr="004E3B22">
                        <w:rPr>
                          <w:rFonts w:ascii="Arial" w:hAnsi="Arial" w:cs="Arial"/>
                          <w:bCs/>
                          <w:sz w:val="24"/>
                          <w:szCs w:val="24"/>
                        </w:rPr>
                        <w:t>Tax cost of sums known to be owing to the tax authority that are not paid, for example due to the insolvency of a taxpayer.</w:t>
                      </w:r>
                    </w:p>
                  </w:txbxContent>
                </v:textbox>
              </v:shape>
            </w:pict>
          </mc:Fallback>
        </mc:AlternateContent>
      </w:r>
      <w:r w:rsidR="004E3B22">
        <w:rPr>
          <w:rFonts w:ascii="Arial" w:hAnsi="Arial" w:cs="Arial"/>
          <w:b/>
          <w:noProof/>
          <w:color w:val="F9A133"/>
          <w:sz w:val="24"/>
          <w:szCs w:val="24"/>
          <w:lang w:val="en-US"/>
        </w:rPr>
        <w:drawing>
          <wp:anchor distT="0" distB="0" distL="114300" distR="114300" simplePos="0" relativeHeight="253325310" behindDoc="0" locked="0" layoutInCell="1" allowOverlap="1" wp14:anchorId="76873295" wp14:editId="549BDE9E">
            <wp:simplePos x="0" y="0"/>
            <wp:positionH relativeFrom="column">
              <wp:posOffset>0</wp:posOffset>
            </wp:positionH>
            <wp:positionV relativeFrom="paragraph">
              <wp:posOffset>165100</wp:posOffset>
            </wp:positionV>
            <wp:extent cx="482600" cy="540385"/>
            <wp:effectExtent l="0" t="0" r="0" b="5715"/>
            <wp:wrapSquare wrapText="bothSides"/>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Picture 1451"/>
                    <pic:cNvPicPr/>
                  </pic:nvPicPr>
                  <pic:blipFill rotWithShape="1">
                    <a:blip r:embed="rId715" cstate="email">
                      <a:extLst>
                        <a:ext uri="{28A0092B-C50C-407E-A947-70E740481C1C}">
                          <a14:useLocalDpi xmlns:a14="http://schemas.microsoft.com/office/drawing/2010/main"/>
                        </a:ext>
                      </a:extLst>
                    </a:blip>
                    <a:srcRect/>
                    <a:stretch/>
                  </pic:blipFill>
                  <pic:spPr bwMode="auto">
                    <a:xfrm>
                      <a:off x="0" y="0"/>
                      <a:ext cx="482600" cy="54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718868" w14:textId="027F148E" w:rsidR="004E3B22" w:rsidRDefault="004E3B22" w:rsidP="003625BA">
      <w:pPr>
        <w:shd w:val="clear" w:color="auto" w:fill="F2F2F2" w:themeFill="background1" w:themeFillShade="F2"/>
        <w:tabs>
          <w:tab w:val="left" w:pos="3180"/>
        </w:tabs>
        <w:spacing w:line="276" w:lineRule="auto"/>
        <w:jc w:val="both"/>
        <w:rPr>
          <w:rFonts w:ascii="Arial" w:hAnsi="Arial" w:cs="Arial"/>
          <w:b/>
          <w:color w:val="F9A133"/>
          <w:sz w:val="24"/>
          <w:szCs w:val="24"/>
        </w:rPr>
      </w:pPr>
    </w:p>
    <w:p w14:paraId="458222D6" w14:textId="198F1AC3" w:rsidR="004E3B22" w:rsidRDefault="004E3B22" w:rsidP="003625BA">
      <w:pPr>
        <w:shd w:val="clear" w:color="auto" w:fill="F2F2F2" w:themeFill="background1" w:themeFillShade="F2"/>
        <w:tabs>
          <w:tab w:val="left" w:pos="3180"/>
        </w:tabs>
        <w:spacing w:line="276" w:lineRule="auto"/>
        <w:jc w:val="both"/>
        <w:rPr>
          <w:rFonts w:ascii="Arial" w:hAnsi="Arial" w:cs="Arial"/>
          <w:b/>
          <w:color w:val="F9A133"/>
          <w:sz w:val="24"/>
          <w:szCs w:val="24"/>
        </w:rPr>
      </w:pPr>
    </w:p>
    <w:p w14:paraId="1C8873A0" w14:textId="5003ED00" w:rsidR="004E3B22" w:rsidRDefault="004E3B22" w:rsidP="003625BA">
      <w:pPr>
        <w:shd w:val="clear" w:color="auto" w:fill="F2F2F2" w:themeFill="background1" w:themeFillShade="F2"/>
        <w:tabs>
          <w:tab w:val="left" w:pos="3180"/>
        </w:tabs>
        <w:spacing w:line="276" w:lineRule="auto"/>
        <w:jc w:val="both"/>
        <w:rPr>
          <w:rFonts w:ascii="Arial" w:hAnsi="Arial" w:cs="Arial"/>
          <w:b/>
          <w:color w:val="F9A133"/>
          <w:sz w:val="24"/>
          <w:szCs w:val="24"/>
        </w:rPr>
      </w:pPr>
    </w:p>
    <w:p w14:paraId="44C327AD" w14:textId="417D0BC6" w:rsidR="004E3B22" w:rsidRPr="00BD6508" w:rsidRDefault="004E3B22" w:rsidP="003625BA">
      <w:pPr>
        <w:shd w:val="clear" w:color="auto" w:fill="F2F2F2" w:themeFill="background1" w:themeFillShade="F2"/>
        <w:tabs>
          <w:tab w:val="left" w:pos="3180"/>
        </w:tabs>
        <w:spacing w:line="276" w:lineRule="auto"/>
        <w:jc w:val="both"/>
        <w:rPr>
          <w:rFonts w:ascii="Arial" w:hAnsi="Arial" w:cs="Arial"/>
          <w:b/>
          <w:color w:val="F9A133"/>
          <w:sz w:val="24"/>
          <w:szCs w:val="24"/>
        </w:rPr>
      </w:pPr>
    </w:p>
    <w:p w14:paraId="74788845" w14:textId="77777777" w:rsidR="004E3B22" w:rsidRDefault="004E3B22" w:rsidP="004E3B22">
      <w:pPr>
        <w:spacing w:before="240" w:after="120"/>
        <w:jc w:val="both"/>
        <w:rPr>
          <w:rFonts w:eastAsiaTheme="majorEastAsia" w:cs="Calibri"/>
          <w:color w:val="ED7D31" w:themeColor="accent2"/>
          <w:sz w:val="28"/>
          <w:szCs w:val="28"/>
          <w:lang w:val="en-US"/>
        </w:rPr>
      </w:pPr>
    </w:p>
    <w:p w14:paraId="073059BE" w14:textId="0AFF7827" w:rsidR="004E3B22" w:rsidRPr="00354491" w:rsidRDefault="004E3B22" w:rsidP="00057172">
      <w:pPr>
        <w:pStyle w:val="Heading3"/>
        <w:numPr>
          <w:ilvl w:val="2"/>
          <w:numId w:val="105"/>
        </w:numPr>
        <w:ind w:left="1134" w:hanging="1134"/>
        <w:rPr>
          <w:rFonts w:ascii="Arial" w:hAnsi="Arial" w:cs="Arial"/>
          <w:b/>
          <w:bCs/>
          <w:color w:val="F9A133"/>
          <w:sz w:val="32"/>
          <w:szCs w:val="32"/>
          <w:lang w:val="en-US"/>
        </w:rPr>
      </w:pPr>
      <w:bookmarkStart w:id="1607" w:name="_Toc123204505"/>
      <w:bookmarkStart w:id="1608" w:name="_Toc123217455"/>
      <w:bookmarkStart w:id="1609" w:name="_Toc123913416"/>
      <w:bookmarkStart w:id="1610" w:name="_Toc123914072"/>
      <w:bookmarkStart w:id="1611" w:name="_Toc125566687"/>
      <w:r w:rsidRPr="00354491">
        <w:rPr>
          <w:rFonts w:ascii="Arial" w:hAnsi="Arial" w:cs="Arial"/>
          <w:b/>
          <w:bCs/>
          <w:color w:val="F9A133"/>
          <w:sz w:val="32"/>
          <w:szCs w:val="32"/>
          <w:lang w:val="en-US"/>
        </w:rPr>
        <w:lastRenderedPageBreak/>
        <w:t>Tax transparency in practice</w:t>
      </w:r>
      <w:bookmarkEnd w:id="1607"/>
      <w:bookmarkEnd w:id="1608"/>
      <w:bookmarkEnd w:id="1609"/>
      <w:bookmarkEnd w:id="1610"/>
      <w:bookmarkEnd w:id="1611"/>
    </w:p>
    <w:p w14:paraId="56B096F4" w14:textId="56EB1149" w:rsidR="004E3B22" w:rsidRDefault="004E3B22" w:rsidP="004E3B22">
      <w:pPr>
        <w:rPr>
          <w:lang w:val="en-US"/>
        </w:rPr>
      </w:pPr>
    </w:p>
    <w:p w14:paraId="6A0C374C" w14:textId="2FA8AB03" w:rsidR="004E3B22" w:rsidRDefault="004E3B22" w:rsidP="004E3B22">
      <w:pPr>
        <w:spacing w:line="276" w:lineRule="auto"/>
        <w:jc w:val="both"/>
        <w:rPr>
          <w:rFonts w:ascii="Arial" w:hAnsi="Arial" w:cs="Arial"/>
          <w:sz w:val="24"/>
          <w:szCs w:val="24"/>
          <w:lang w:val="en-US"/>
        </w:rPr>
      </w:pPr>
      <w:r w:rsidRPr="00BD6508">
        <w:rPr>
          <w:rFonts w:ascii="Arial" w:hAnsi="Arial" w:cs="Arial"/>
          <w:sz w:val="24"/>
          <w:szCs w:val="24"/>
          <w:lang w:val="en-US"/>
        </w:rPr>
        <w:t>In practice, tax transparency is often lacking, leaving room for improvement. Common areas where this occurs, include those related to:</w:t>
      </w:r>
    </w:p>
    <w:p w14:paraId="74B55EBD" w14:textId="3B451C65" w:rsidR="004E3B22" w:rsidRDefault="004E3B22" w:rsidP="004E3B22">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329406" behindDoc="1" locked="0" layoutInCell="1" allowOverlap="1" wp14:anchorId="24B77FA4" wp14:editId="1054C78E">
            <wp:simplePos x="0" y="0"/>
            <wp:positionH relativeFrom="column">
              <wp:posOffset>0</wp:posOffset>
            </wp:positionH>
            <wp:positionV relativeFrom="paragraph">
              <wp:posOffset>111760</wp:posOffset>
            </wp:positionV>
            <wp:extent cx="627124" cy="622300"/>
            <wp:effectExtent l="0" t="0" r="0" b="0"/>
            <wp:wrapNone/>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Picture 1495"/>
                    <pic:cNvPicPr/>
                  </pic:nvPicPr>
                  <pic:blipFill rotWithShape="1">
                    <a:blip r:embed="rId716" cstate="email">
                      <a:extLst>
                        <a:ext uri="{28A0092B-C50C-407E-A947-70E740481C1C}">
                          <a14:useLocalDpi xmlns:a14="http://schemas.microsoft.com/office/drawing/2010/main"/>
                        </a:ext>
                      </a:extLst>
                    </a:blip>
                    <a:srcRect/>
                    <a:stretch/>
                  </pic:blipFill>
                  <pic:spPr bwMode="auto">
                    <a:xfrm>
                      <a:off x="0" y="0"/>
                      <a:ext cx="630999" cy="6261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E3422" w14:textId="655F33D8" w:rsidR="004E3B22" w:rsidRPr="00BD6508" w:rsidRDefault="004E3B22" w:rsidP="00BD6508">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30430" behindDoc="0" locked="0" layoutInCell="1" allowOverlap="1" wp14:anchorId="06E3011C" wp14:editId="4658495D">
                <wp:simplePos x="0" y="0"/>
                <wp:positionH relativeFrom="column">
                  <wp:posOffset>144145</wp:posOffset>
                </wp:positionH>
                <wp:positionV relativeFrom="paragraph">
                  <wp:posOffset>11430</wp:posOffset>
                </wp:positionV>
                <wp:extent cx="342900" cy="444500"/>
                <wp:effectExtent l="0" t="0" r="0" b="0"/>
                <wp:wrapNone/>
                <wp:docPr id="1498" name="Text Box 1498"/>
                <wp:cNvGraphicFramePr/>
                <a:graphic xmlns:a="http://schemas.openxmlformats.org/drawingml/2006/main">
                  <a:graphicData uri="http://schemas.microsoft.com/office/word/2010/wordprocessingShape">
                    <wps:wsp>
                      <wps:cNvSpPr txBox="1"/>
                      <wps:spPr>
                        <a:xfrm>
                          <a:off x="0" y="0"/>
                          <a:ext cx="342900" cy="444500"/>
                        </a:xfrm>
                        <a:prstGeom prst="rect">
                          <a:avLst/>
                        </a:prstGeom>
                        <a:noFill/>
                        <a:ln w="6350">
                          <a:noFill/>
                        </a:ln>
                      </wps:spPr>
                      <wps:txbx>
                        <w:txbxContent>
                          <w:p w14:paraId="17D14548" w14:textId="7C5C0B6B" w:rsidR="00D15FD8" w:rsidRPr="00BD6508" w:rsidRDefault="00D15FD8">
                            <w:pPr>
                              <w:rPr>
                                <w:rFonts w:ascii="Arial" w:hAnsi="Arial" w:cs="Arial"/>
                                <w:b/>
                                <w:bCs/>
                                <w:color w:val="FFFFFF" w:themeColor="background1"/>
                                <w:sz w:val="44"/>
                                <w:szCs w:val="44"/>
                                <w:lang w:val="en-US"/>
                              </w:rPr>
                            </w:pPr>
                            <w:r w:rsidRPr="00BD6508">
                              <w:rPr>
                                <w:rFonts w:ascii="Arial" w:hAnsi="Arial" w:cs="Arial"/>
                                <w:b/>
                                <w:bCs/>
                                <w:color w:val="FFFFFF" w:themeColor="background1"/>
                                <w:sz w:val="44"/>
                                <w:szCs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E3011C" id="Text Box 1498" o:spid="_x0000_s1425" type="#_x0000_t202" style="position:absolute;left:0;text-align:left;margin-left:11.35pt;margin-top:.9pt;width:27pt;height:35pt;z-index:2533304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" filled="f" stroked="f" strokeweight=".5pt">
                <v:textbox>
                  <w:txbxContent>
                    <w:p w14:paraId="17D14548" w14:textId="7C5C0B6B" w:rsidR="00D15FD8" w:rsidRPr="00BD6508" w:rsidRDefault="00D15FD8">
                      <w:pPr>
                        <w:rPr>
                          <w:rFonts w:ascii="Arial" w:hAnsi="Arial" w:cs="Arial"/>
                          <w:b/>
                          <w:bCs/>
                          <w:color w:val="FFFFFF" w:themeColor="background1"/>
                          <w:sz w:val="44"/>
                          <w:szCs w:val="44"/>
                          <w:lang w:val="en-US"/>
                        </w:rPr>
                      </w:pPr>
                      <w:r w:rsidRPr="00BD6508">
                        <w:rPr>
                          <w:rFonts w:ascii="Arial" w:hAnsi="Arial" w:cs="Arial"/>
                          <w:b/>
                          <w:bCs/>
                          <w:color w:val="FFFFFF" w:themeColor="background1"/>
                          <w:sz w:val="44"/>
                          <w:szCs w:val="44"/>
                          <w:lang w:val="en-US"/>
                        </w:rPr>
                        <w:t>1</w:t>
                      </w:r>
                    </w:p>
                  </w:txbxContent>
                </v:textbox>
              </v:shape>
            </w:pict>
          </mc:Fallback>
        </mc:AlternateContent>
      </w:r>
    </w:p>
    <w:p w14:paraId="71B24C14" w14:textId="44A6A537" w:rsidR="004E3B22" w:rsidRDefault="004E3B22" w:rsidP="004E3B22">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1661303" behindDoc="0" locked="0" layoutInCell="1" allowOverlap="1" wp14:anchorId="481D1063" wp14:editId="06F3AC68">
                <wp:simplePos x="0" y="0"/>
                <wp:positionH relativeFrom="column">
                  <wp:posOffset>355600</wp:posOffset>
                </wp:positionH>
                <wp:positionV relativeFrom="paragraph">
                  <wp:posOffset>51435</wp:posOffset>
                </wp:positionV>
                <wp:extent cx="6273800" cy="0"/>
                <wp:effectExtent l="0" t="12700" r="12700" b="12700"/>
                <wp:wrapNone/>
                <wp:docPr id="1497" name="Straight Connector 1497"/>
                <wp:cNvGraphicFramePr/>
                <a:graphic xmlns:a="http://schemas.openxmlformats.org/drawingml/2006/main">
                  <a:graphicData uri="http://schemas.microsoft.com/office/word/2010/wordprocessingShape">
                    <wps:wsp>
                      <wps:cNvCnPr/>
                      <wps:spPr>
                        <a:xfrm>
                          <a:off x="0" y="0"/>
                          <a:ext cx="6273800" cy="0"/>
                        </a:xfrm>
                        <a:prstGeom prst="line">
                          <a:avLst/>
                        </a:prstGeom>
                        <a:ln w="28575">
                          <a:solidFill>
                            <a:srgbClr val="F9A13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434D506A" id="Straight Connector 1497" o:spid="_x0000_s1026" style="position:absolute;z-index:251661303;visibility:visible;mso-wrap-style:square;mso-wrap-distance-left:9pt;mso-wrap-distance-top:0;mso-wrap-distance-right:9pt;mso-wrap-distance-bottom:0;mso-position-horizontal:absolute;mso-position-horizontal-relative:text;mso-position-vertical:absolute;mso-position-vertical-relative:text" from="28pt,4.05pt" to="522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" strokecolor="#f9a133" strokeweight="2.25pt">
                <v:stroke joinstyle="miter"/>
              </v:line>
            </w:pict>
          </mc:Fallback>
        </mc:AlternateContent>
      </w:r>
    </w:p>
    <w:p w14:paraId="6ADC3384" w14:textId="77777777" w:rsidR="004E3B22" w:rsidRPr="00BD6508" w:rsidRDefault="004E3B22" w:rsidP="00BD6508">
      <w:pPr>
        <w:spacing w:line="276" w:lineRule="auto"/>
        <w:jc w:val="both"/>
        <w:rPr>
          <w:rFonts w:ascii="Arial" w:hAnsi="Arial" w:cs="Arial"/>
          <w:sz w:val="24"/>
          <w:szCs w:val="24"/>
          <w:lang w:val="en-US"/>
        </w:rPr>
      </w:pPr>
    </w:p>
    <w:p w14:paraId="601D8390" w14:textId="251EFF2E" w:rsidR="004E3B22" w:rsidRDefault="004E3B22" w:rsidP="004E3B22">
      <w:pPr>
        <w:pStyle w:val="ListParagraph"/>
        <w:spacing w:line="276" w:lineRule="auto"/>
        <w:ind w:left="780"/>
        <w:jc w:val="both"/>
        <w:rPr>
          <w:rFonts w:ascii="Arial" w:hAnsi="Arial" w:cs="Arial"/>
          <w:sz w:val="24"/>
          <w:szCs w:val="24"/>
          <w:lang w:val="en-US"/>
        </w:rPr>
      </w:pPr>
      <w:r w:rsidRPr="00BD6508">
        <w:rPr>
          <w:rFonts w:ascii="Arial" w:hAnsi="Arial" w:cs="Arial"/>
          <w:sz w:val="24"/>
          <w:szCs w:val="24"/>
          <w:lang w:val="en-US"/>
        </w:rPr>
        <w:t xml:space="preserve">A </w:t>
      </w:r>
      <w:r w:rsidRPr="00BD6508">
        <w:rPr>
          <w:rFonts w:ascii="Arial" w:hAnsi="Arial" w:cs="Arial"/>
          <w:i/>
          <w:sz w:val="24"/>
          <w:szCs w:val="24"/>
          <w:lang w:val="en-US"/>
        </w:rPr>
        <w:t xml:space="preserve">culture of tax transparency </w:t>
      </w:r>
      <w:r w:rsidRPr="00BD6508">
        <w:rPr>
          <w:rFonts w:ascii="Arial" w:hAnsi="Arial" w:cs="Arial"/>
          <w:sz w:val="24"/>
          <w:szCs w:val="24"/>
          <w:lang w:val="en-US"/>
        </w:rPr>
        <w:t>often not being adopted by governments with certain aspects of tax information veiled in secrecy and not freely accessible to the public.</w:t>
      </w:r>
    </w:p>
    <w:p w14:paraId="31305A95" w14:textId="7A8D0AE1" w:rsidR="004E3B22" w:rsidRDefault="004E3B22" w:rsidP="004E3B22">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34526" behindDoc="0" locked="0" layoutInCell="1" allowOverlap="1" wp14:anchorId="70510EB7" wp14:editId="36982526">
                <wp:simplePos x="0" y="0"/>
                <wp:positionH relativeFrom="column">
                  <wp:posOffset>148590</wp:posOffset>
                </wp:positionH>
                <wp:positionV relativeFrom="paragraph">
                  <wp:posOffset>201295</wp:posOffset>
                </wp:positionV>
                <wp:extent cx="342900" cy="444500"/>
                <wp:effectExtent l="0" t="0" r="0" b="0"/>
                <wp:wrapNone/>
                <wp:docPr id="1500" name="Text Box 1500"/>
                <wp:cNvGraphicFramePr/>
                <a:graphic xmlns:a="http://schemas.openxmlformats.org/drawingml/2006/main">
                  <a:graphicData uri="http://schemas.microsoft.com/office/word/2010/wordprocessingShape">
                    <wps:wsp>
                      <wps:cNvSpPr txBox="1"/>
                      <wps:spPr>
                        <a:xfrm>
                          <a:off x="0" y="0"/>
                          <a:ext cx="342900" cy="444500"/>
                        </a:xfrm>
                        <a:prstGeom prst="rect">
                          <a:avLst/>
                        </a:prstGeom>
                        <a:noFill/>
                        <a:ln w="6350">
                          <a:noFill/>
                        </a:ln>
                      </wps:spPr>
                      <wps:txbx>
                        <w:txbxContent>
                          <w:p w14:paraId="3AA4AAA4" w14:textId="5A9EFC36" w:rsidR="00D15FD8" w:rsidRPr="00BD6508" w:rsidRDefault="00D15FD8" w:rsidP="004E3B22">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10EB7" id="Text Box 1500" o:spid="_x0000_s1426" type="#_x0000_t202" style="position:absolute;left:0;text-align:left;margin-left:11.7pt;margin-top:15.85pt;width:27pt;height:35pt;z-index:2533345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" filled="f" stroked="f" strokeweight=".5pt">
                <v:textbox>
                  <w:txbxContent>
                    <w:p w14:paraId="3AA4AAA4" w14:textId="5A9EFC36" w:rsidR="00D15FD8" w:rsidRPr="00BD6508" w:rsidRDefault="00D15FD8" w:rsidP="004E3B22">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v:textbox>
              </v:shape>
            </w:pict>
          </mc:Fallback>
        </mc:AlternateContent>
      </w:r>
      <w:r>
        <w:rPr>
          <w:rFonts w:ascii="Arial" w:hAnsi="Arial" w:cs="Arial"/>
          <w:noProof/>
          <w:sz w:val="24"/>
          <w:szCs w:val="24"/>
          <w:lang w:val="en-US"/>
        </w:rPr>
        <w:drawing>
          <wp:anchor distT="0" distB="0" distL="114300" distR="114300" simplePos="0" relativeHeight="253333502" behindDoc="1" locked="0" layoutInCell="1" allowOverlap="1" wp14:anchorId="78A7B5DE" wp14:editId="65872A26">
            <wp:simplePos x="0" y="0"/>
            <wp:positionH relativeFrom="column">
              <wp:posOffset>0</wp:posOffset>
            </wp:positionH>
            <wp:positionV relativeFrom="paragraph">
              <wp:posOffset>112395</wp:posOffset>
            </wp:positionV>
            <wp:extent cx="626745" cy="622300"/>
            <wp:effectExtent l="0" t="0" r="0" b="0"/>
            <wp:wrapNone/>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Picture 1495"/>
                    <pic:cNvPicPr/>
                  </pic:nvPicPr>
                  <pic:blipFill rotWithShape="1">
                    <a:blip r:embed="rId717" cstate="email">
                      <a:extLst>
                        <a:ext uri="{28A0092B-C50C-407E-A947-70E740481C1C}">
                          <a14:useLocalDpi xmlns:a14="http://schemas.microsoft.com/office/drawing/2010/main"/>
                        </a:ext>
                      </a:extLst>
                    </a:blip>
                    <a:srcRect/>
                    <a:stretch/>
                  </pic:blipFill>
                  <pic:spPr bwMode="auto">
                    <a:xfrm>
                      <a:off x="0" y="0"/>
                      <a:ext cx="626745" cy="62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332478" behindDoc="0" locked="0" layoutInCell="1" allowOverlap="1" wp14:anchorId="3470CA58" wp14:editId="5071CECF">
                <wp:simplePos x="0" y="0"/>
                <wp:positionH relativeFrom="column">
                  <wp:posOffset>355600</wp:posOffset>
                </wp:positionH>
                <wp:positionV relativeFrom="paragraph">
                  <wp:posOffset>467995</wp:posOffset>
                </wp:positionV>
                <wp:extent cx="6273800" cy="0"/>
                <wp:effectExtent l="0" t="12700" r="12700" b="12700"/>
                <wp:wrapNone/>
                <wp:docPr id="1499" name="Straight Connector 1499"/>
                <wp:cNvGraphicFramePr/>
                <a:graphic xmlns:a="http://schemas.openxmlformats.org/drawingml/2006/main">
                  <a:graphicData uri="http://schemas.microsoft.com/office/word/2010/wordprocessingShape">
                    <wps:wsp>
                      <wps:cNvCnPr/>
                      <wps:spPr>
                        <a:xfrm>
                          <a:off x="0" y="0"/>
                          <a:ext cx="6273800" cy="0"/>
                        </a:xfrm>
                        <a:prstGeom prst="line">
                          <a:avLst/>
                        </a:prstGeom>
                        <a:ln w="28575">
                          <a:solidFill>
                            <a:srgbClr val="F9A13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4E665C64" id="Straight Connector 1499" o:spid="_x0000_s1026" style="position:absolute;z-index:2533324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pt,36.85pt" to="522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" strokecolor="#f9a133" strokeweight="2.25pt">
                <v:stroke joinstyle="miter"/>
              </v:line>
            </w:pict>
          </mc:Fallback>
        </mc:AlternateContent>
      </w:r>
    </w:p>
    <w:p w14:paraId="7D4E3EF5" w14:textId="50EEF72B" w:rsidR="004E3B22" w:rsidRPr="00BD6508" w:rsidRDefault="004E3B22" w:rsidP="00BD6508">
      <w:pPr>
        <w:spacing w:line="276" w:lineRule="auto"/>
        <w:jc w:val="both"/>
        <w:rPr>
          <w:rFonts w:ascii="Arial" w:hAnsi="Arial" w:cs="Arial"/>
          <w:sz w:val="24"/>
          <w:szCs w:val="24"/>
          <w:lang w:val="en-US"/>
        </w:rPr>
      </w:pPr>
    </w:p>
    <w:p w14:paraId="6BADEB63" w14:textId="0A2C21B0" w:rsidR="004E3B22" w:rsidRDefault="004E3B22" w:rsidP="004E3B22">
      <w:pPr>
        <w:pStyle w:val="ListParagraph"/>
        <w:spacing w:line="276" w:lineRule="auto"/>
        <w:ind w:left="780"/>
        <w:jc w:val="both"/>
        <w:rPr>
          <w:rFonts w:ascii="Arial" w:hAnsi="Arial" w:cs="Arial"/>
          <w:sz w:val="24"/>
          <w:szCs w:val="24"/>
          <w:lang w:val="en-US"/>
        </w:rPr>
      </w:pPr>
    </w:p>
    <w:p w14:paraId="5A1525FE" w14:textId="785F5EEE" w:rsidR="004E3B22" w:rsidRDefault="004E3B22" w:rsidP="004E3B22">
      <w:pPr>
        <w:pStyle w:val="ListParagraph"/>
        <w:spacing w:line="276" w:lineRule="auto"/>
        <w:ind w:left="780"/>
        <w:jc w:val="both"/>
        <w:rPr>
          <w:rFonts w:ascii="Arial" w:hAnsi="Arial" w:cs="Arial"/>
          <w:sz w:val="24"/>
          <w:szCs w:val="24"/>
          <w:lang w:val="en-US"/>
        </w:rPr>
      </w:pPr>
    </w:p>
    <w:p w14:paraId="674D2585" w14:textId="11BD10FA" w:rsidR="004E3B22" w:rsidRDefault="004E3B22" w:rsidP="004E3B22">
      <w:pPr>
        <w:spacing w:line="276" w:lineRule="auto"/>
        <w:ind w:left="720"/>
        <w:jc w:val="both"/>
        <w:rPr>
          <w:rFonts w:ascii="Arial" w:hAnsi="Arial" w:cs="Arial"/>
          <w:sz w:val="24"/>
          <w:szCs w:val="24"/>
          <w:lang w:val="en-ZA"/>
        </w:rPr>
      </w:pPr>
      <w:r w:rsidRPr="00BD6508">
        <w:rPr>
          <w:rFonts w:ascii="Arial" w:hAnsi="Arial" w:cs="Arial"/>
          <w:i/>
          <w:sz w:val="24"/>
          <w:szCs w:val="24"/>
          <w:lang w:val="en-US"/>
        </w:rPr>
        <w:t>Political and legal environments</w:t>
      </w:r>
      <w:r w:rsidRPr="00BD6508">
        <w:rPr>
          <w:rFonts w:ascii="Arial" w:hAnsi="Arial" w:cs="Arial"/>
          <w:sz w:val="24"/>
          <w:szCs w:val="24"/>
          <w:lang w:val="en-US"/>
        </w:rPr>
        <w:t xml:space="preserve"> not favoring the disclosure of information. </w:t>
      </w:r>
      <w:r w:rsidRPr="00BD6508">
        <w:rPr>
          <w:rFonts w:ascii="Arial" w:hAnsi="Arial" w:cs="Arial"/>
          <w:sz w:val="24"/>
          <w:szCs w:val="24"/>
          <w:lang w:val="en-ZA"/>
        </w:rPr>
        <w:t>The processes of collecting taxes, verifying and auditing taxpayers require discretion, with privacy concerns often put forward as the rationale for not disclosing information. However, while important, there are ways to overcome these concerns, for instance, anonymised data can be made available. </w:t>
      </w:r>
    </w:p>
    <w:p w14:paraId="24DC1DBF" w14:textId="45B7EF54" w:rsidR="004E3B22" w:rsidRDefault="00944796" w:rsidP="00BD650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3338622" behindDoc="0" locked="0" layoutInCell="1" allowOverlap="1" wp14:anchorId="0D7282C2" wp14:editId="4792FFB6">
                <wp:simplePos x="0" y="0"/>
                <wp:positionH relativeFrom="column">
                  <wp:posOffset>144145</wp:posOffset>
                </wp:positionH>
                <wp:positionV relativeFrom="paragraph">
                  <wp:posOffset>227965</wp:posOffset>
                </wp:positionV>
                <wp:extent cx="342900" cy="444500"/>
                <wp:effectExtent l="0" t="0" r="0" b="0"/>
                <wp:wrapNone/>
                <wp:docPr id="1503" name="Text Box 1503"/>
                <wp:cNvGraphicFramePr/>
                <a:graphic xmlns:a="http://schemas.openxmlformats.org/drawingml/2006/main">
                  <a:graphicData uri="http://schemas.microsoft.com/office/word/2010/wordprocessingShape">
                    <wps:wsp>
                      <wps:cNvSpPr txBox="1"/>
                      <wps:spPr>
                        <a:xfrm>
                          <a:off x="0" y="0"/>
                          <a:ext cx="342900" cy="444500"/>
                        </a:xfrm>
                        <a:prstGeom prst="rect">
                          <a:avLst/>
                        </a:prstGeom>
                        <a:noFill/>
                        <a:ln w="6350">
                          <a:noFill/>
                        </a:ln>
                      </wps:spPr>
                      <wps:txbx>
                        <w:txbxContent>
                          <w:p w14:paraId="68272DCB" w14:textId="60211B2C" w:rsidR="00D15FD8" w:rsidRPr="00BD6508" w:rsidRDefault="00D15FD8" w:rsidP="004E3B22">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7282C2" id="Text Box 1503" o:spid="_x0000_s1427" type="#_x0000_t202" style="position:absolute;left:0;text-align:left;margin-left:11.35pt;margin-top:17.95pt;width:27pt;height:35pt;z-index:2533386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" filled="f" stroked="f" strokeweight=".5pt">
                <v:textbox>
                  <w:txbxContent>
                    <w:p w14:paraId="68272DCB" w14:textId="60211B2C" w:rsidR="00D15FD8" w:rsidRPr="00BD6508" w:rsidRDefault="00D15FD8" w:rsidP="004E3B22">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v:textbox>
              </v:shape>
            </w:pict>
          </mc:Fallback>
        </mc:AlternateContent>
      </w:r>
      <w:r>
        <w:rPr>
          <w:rFonts w:ascii="Arial" w:hAnsi="Arial" w:cs="Arial"/>
          <w:noProof/>
          <w:sz w:val="24"/>
          <w:szCs w:val="24"/>
          <w:lang w:val="en-US"/>
        </w:rPr>
        <w:drawing>
          <wp:anchor distT="0" distB="0" distL="114300" distR="114300" simplePos="0" relativeHeight="253337598" behindDoc="1" locked="0" layoutInCell="1" allowOverlap="1" wp14:anchorId="193C2E1E" wp14:editId="7F71B0A7">
            <wp:simplePos x="0" y="0"/>
            <wp:positionH relativeFrom="column">
              <wp:posOffset>0</wp:posOffset>
            </wp:positionH>
            <wp:positionV relativeFrom="paragraph">
              <wp:posOffset>126365</wp:posOffset>
            </wp:positionV>
            <wp:extent cx="626745" cy="622300"/>
            <wp:effectExtent l="0" t="0" r="0" b="0"/>
            <wp:wrapNone/>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Picture 1495"/>
                    <pic:cNvPicPr/>
                  </pic:nvPicPr>
                  <pic:blipFill rotWithShape="1">
                    <a:blip r:embed="rId717" cstate="email">
                      <a:extLst>
                        <a:ext uri="{28A0092B-C50C-407E-A947-70E740481C1C}">
                          <a14:useLocalDpi xmlns:a14="http://schemas.microsoft.com/office/drawing/2010/main"/>
                        </a:ext>
                      </a:extLst>
                    </a:blip>
                    <a:srcRect/>
                    <a:stretch/>
                  </pic:blipFill>
                  <pic:spPr bwMode="auto">
                    <a:xfrm>
                      <a:off x="0" y="0"/>
                      <a:ext cx="626745" cy="62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336574" behindDoc="0" locked="0" layoutInCell="1" allowOverlap="1" wp14:anchorId="30A67754" wp14:editId="60D5A6ED">
                <wp:simplePos x="0" y="0"/>
                <wp:positionH relativeFrom="column">
                  <wp:posOffset>355600</wp:posOffset>
                </wp:positionH>
                <wp:positionV relativeFrom="paragraph">
                  <wp:posOffset>481965</wp:posOffset>
                </wp:positionV>
                <wp:extent cx="6273800" cy="0"/>
                <wp:effectExtent l="0" t="12700" r="12700" b="12700"/>
                <wp:wrapNone/>
                <wp:docPr id="1502" name="Straight Connector 1502"/>
                <wp:cNvGraphicFramePr/>
                <a:graphic xmlns:a="http://schemas.openxmlformats.org/drawingml/2006/main">
                  <a:graphicData uri="http://schemas.microsoft.com/office/word/2010/wordprocessingShape">
                    <wps:wsp>
                      <wps:cNvCnPr/>
                      <wps:spPr>
                        <a:xfrm>
                          <a:off x="0" y="0"/>
                          <a:ext cx="6273800" cy="0"/>
                        </a:xfrm>
                        <a:prstGeom prst="line">
                          <a:avLst/>
                        </a:prstGeom>
                        <a:ln w="28575">
                          <a:solidFill>
                            <a:srgbClr val="F9A13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53FBC956" id="Straight Connector 1502" o:spid="_x0000_s1026" style="position:absolute;z-index:253336574;visibility:visible;mso-wrap-style:square;mso-wrap-distance-left:9pt;mso-wrap-distance-top:0;mso-wrap-distance-right:9pt;mso-wrap-distance-bottom:0;mso-position-horizontal:absolute;mso-position-horizontal-relative:text;mso-position-vertical:absolute;mso-position-vertical-relative:text" from="28pt,37.95pt" to="522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" strokecolor="#f9a133" strokeweight="2.25pt">
                <v:stroke joinstyle="miter"/>
              </v:line>
            </w:pict>
          </mc:Fallback>
        </mc:AlternateContent>
      </w:r>
    </w:p>
    <w:p w14:paraId="062C9E9B" w14:textId="0D92E911" w:rsidR="004E3B22" w:rsidRDefault="004E3B22" w:rsidP="004E3B22">
      <w:pPr>
        <w:spacing w:line="276" w:lineRule="auto"/>
        <w:ind w:left="720"/>
        <w:jc w:val="both"/>
        <w:rPr>
          <w:rFonts w:ascii="Arial" w:hAnsi="Arial" w:cs="Arial"/>
          <w:sz w:val="24"/>
          <w:szCs w:val="24"/>
          <w:lang w:val="en-US"/>
        </w:rPr>
      </w:pPr>
    </w:p>
    <w:p w14:paraId="5803FC54" w14:textId="2BF40379" w:rsidR="004E3B22" w:rsidRDefault="004E3B22" w:rsidP="004E3B22">
      <w:pPr>
        <w:spacing w:line="276" w:lineRule="auto"/>
        <w:ind w:left="720"/>
        <w:jc w:val="both"/>
        <w:rPr>
          <w:rFonts w:ascii="Arial" w:hAnsi="Arial" w:cs="Arial"/>
          <w:sz w:val="24"/>
          <w:szCs w:val="24"/>
          <w:lang w:val="en-US"/>
        </w:rPr>
      </w:pPr>
    </w:p>
    <w:p w14:paraId="09C786EF" w14:textId="77777777" w:rsidR="004E3B22" w:rsidRPr="00BD6508" w:rsidRDefault="004E3B22" w:rsidP="00BD6508">
      <w:pPr>
        <w:spacing w:line="276" w:lineRule="auto"/>
        <w:jc w:val="both"/>
        <w:rPr>
          <w:rFonts w:ascii="Arial" w:hAnsi="Arial" w:cs="Arial"/>
          <w:sz w:val="24"/>
          <w:szCs w:val="24"/>
          <w:lang w:val="en-US"/>
        </w:rPr>
      </w:pPr>
    </w:p>
    <w:p w14:paraId="15A542F9" w14:textId="2EE5727D" w:rsidR="004E3B22" w:rsidRDefault="004E3B22" w:rsidP="00944796">
      <w:pPr>
        <w:pStyle w:val="ListParagraph"/>
        <w:spacing w:line="276" w:lineRule="auto"/>
        <w:ind w:left="780"/>
        <w:jc w:val="both"/>
        <w:rPr>
          <w:rFonts w:ascii="Arial" w:hAnsi="Arial" w:cs="Arial"/>
          <w:sz w:val="24"/>
          <w:szCs w:val="24"/>
          <w:lang w:val="en-ZA"/>
        </w:rPr>
      </w:pPr>
      <w:r w:rsidRPr="00BD6508">
        <w:rPr>
          <w:rFonts w:ascii="Arial" w:hAnsi="Arial" w:cs="Arial"/>
          <w:i/>
          <w:sz w:val="24"/>
          <w:szCs w:val="24"/>
          <w:lang w:val="en-US"/>
        </w:rPr>
        <w:t xml:space="preserve">Tax gap </w:t>
      </w:r>
      <w:r w:rsidRPr="00BD6508">
        <w:rPr>
          <w:rFonts w:ascii="Arial" w:hAnsi="Arial" w:cs="Arial"/>
          <w:sz w:val="24"/>
          <w:szCs w:val="24"/>
          <w:lang w:val="en-US"/>
        </w:rPr>
        <w:t>estimate information not being sufficiently disclosed, if at all.</w:t>
      </w:r>
      <w:r w:rsidRPr="00BD6508">
        <w:rPr>
          <w:rFonts w:ascii="Arial" w:hAnsi="Arial" w:cs="Arial"/>
          <w:i/>
          <w:sz w:val="24"/>
          <w:szCs w:val="24"/>
          <w:lang w:val="en-US"/>
        </w:rPr>
        <w:t xml:space="preserve"> </w:t>
      </w:r>
      <w:r w:rsidRPr="00BD6508">
        <w:rPr>
          <w:rFonts w:ascii="Arial" w:hAnsi="Arial" w:cs="Arial"/>
          <w:sz w:val="24"/>
          <w:szCs w:val="24"/>
          <w:lang w:val="en-ZA"/>
        </w:rPr>
        <w:t>Assessing the efficiency of a tax administration authority provides relevant information of some of the more measurable tax gaps, such as tax evasion estimates.</w:t>
      </w:r>
      <w:r w:rsidRPr="00BD6508">
        <w:rPr>
          <w:rFonts w:ascii="Arial" w:hAnsi="Arial" w:cs="Arial"/>
          <w:b/>
          <w:bCs/>
          <w:sz w:val="24"/>
          <w:szCs w:val="24"/>
          <w:lang w:val="en-ZA"/>
        </w:rPr>
        <w:t> </w:t>
      </w:r>
      <w:r w:rsidRPr="00BD6508">
        <w:rPr>
          <w:rFonts w:ascii="Arial" w:hAnsi="Arial" w:cs="Arial"/>
          <w:sz w:val="24"/>
          <w:szCs w:val="24"/>
          <w:lang w:val="en-ZA"/>
        </w:rPr>
        <w:t>Tax gap analysis can provide critical insights about the success of a government in delivering on its social, economic, and fiscal priorities through the tax system. It is important to know the quantum and motivations of taxpayers who are not paying what they are supposed to according to legal provisions. This helps to determine how tax compliance and the efficiency of tax administration can be improved.</w:t>
      </w:r>
    </w:p>
    <w:p w14:paraId="3365FF7A" w14:textId="43B9557B" w:rsidR="00944796" w:rsidRDefault="00944796" w:rsidP="00944796">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42718" behindDoc="0" locked="0" layoutInCell="1" allowOverlap="1" wp14:anchorId="71144624" wp14:editId="1596F548">
                <wp:simplePos x="0" y="0"/>
                <wp:positionH relativeFrom="column">
                  <wp:posOffset>144145</wp:posOffset>
                </wp:positionH>
                <wp:positionV relativeFrom="paragraph">
                  <wp:posOffset>213995</wp:posOffset>
                </wp:positionV>
                <wp:extent cx="342900" cy="444500"/>
                <wp:effectExtent l="0" t="0" r="0" b="0"/>
                <wp:wrapNone/>
                <wp:docPr id="1509" name="Text Box 1509"/>
                <wp:cNvGraphicFramePr/>
                <a:graphic xmlns:a="http://schemas.openxmlformats.org/drawingml/2006/main">
                  <a:graphicData uri="http://schemas.microsoft.com/office/word/2010/wordprocessingShape">
                    <wps:wsp>
                      <wps:cNvSpPr txBox="1"/>
                      <wps:spPr>
                        <a:xfrm>
                          <a:off x="0" y="0"/>
                          <a:ext cx="342900" cy="444500"/>
                        </a:xfrm>
                        <a:prstGeom prst="rect">
                          <a:avLst/>
                        </a:prstGeom>
                        <a:noFill/>
                        <a:ln w="6350">
                          <a:noFill/>
                        </a:ln>
                      </wps:spPr>
                      <wps:txbx>
                        <w:txbxContent>
                          <w:p w14:paraId="40C35072" w14:textId="52082FDB"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144624" id="Text Box 1509" o:spid="_x0000_s1428" type="#_x0000_t202" style="position:absolute;left:0;text-align:left;margin-left:11.35pt;margin-top:16.85pt;width:27pt;height:35pt;z-index:2533427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" filled="f" stroked="f" strokeweight=".5pt">
                <v:textbox>
                  <w:txbxContent>
                    <w:p w14:paraId="40C35072" w14:textId="52082FDB"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4</w:t>
                      </w:r>
                    </w:p>
                  </w:txbxContent>
                </v:textbox>
              </v:shape>
            </w:pict>
          </mc:Fallback>
        </mc:AlternateContent>
      </w:r>
      <w:r>
        <w:rPr>
          <w:rFonts w:ascii="Arial" w:hAnsi="Arial" w:cs="Arial"/>
          <w:noProof/>
          <w:sz w:val="24"/>
          <w:szCs w:val="24"/>
          <w:lang w:val="en-US"/>
        </w:rPr>
        <w:drawing>
          <wp:anchor distT="0" distB="0" distL="114300" distR="114300" simplePos="0" relativeHeight="253341694" behindDoc="1" locked="0" layoutInCell="1" allowOverlap="1" wp14:anchorId="7C8980A9" wp14:editId="5D620CEE">
            <wp:simplePos x="0" y="0"/>
            <wp:positionH relativeFrom="column">
              <wp:posOffset>0</wp:posOffset>
            </wp:positionH>
            <wp:positionV relativeFrom="paragraph">
              <wp:posOffset>112395</wp:posOffset>
            </wp:positionV>
            <wp:extent cx="626745" cy="622300"/>
            <wp:effectExtent l="0" t="0" r="0" b="0"/>
            <wp:wrapNone/>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Picture 1495"/>
                    <pic:cNvPicPr/>
                  </pic:nvPicPr>
                  <pic:blipFill rotWithShape="1">
                    <a:blip r:embed="rId717" cstate="email">
                      <a:extLst>
                        <a:ext uri="{28A0092B-C50C-407E-A947-70E740481C1C}">
                          <a14:useLocalDpi xmlns:a14="http://schemas.microsoft.com/office/drawing/2010/main"/>
                        </a:ext>
                      </a:extLst>
                    </a:blip>
                    <a:srcRect/>
                    <a:stretch/>
                  </pic:blipFill>
                  <pic:spPr bwMode="auto">
                    <a:xfrm>
                      <a:off x="0" y="0"/>
                      <a:ext cx="626745" cy="62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340670" behindDoc="0" locked="0" layoutInCell="1" allowOverlap="1" wp14:anchorId="21029BFD" wp14:editId="5396DB25">
                <wp:simplePos x="0" y="0"/>
                <wp:positionH relativeFrom="column">
                  <wp:posOffset>355600</wp:posOffset>
                </wp:positionH>
                <wp:positionV relativeFrom="paragraph">
                  <wp:posOffset>467995</wp:posOffset>
                </wp:positionV>
                <wp:extent cx="6273800" cy="0"/>
                <wp:effectExtent l="0" t="12700" r="12700" b="12700"/>
                <wp:wrapNone/>
                <wp:docPr id="1508" name="Straight Connector 1508"/>
                <wp:cNvGraphicFramePr/>
                <a:graphic xmlns:a="http://schemas.openxmlformats.org/drawingml/2006/main">
                  <a:graphicData uri="http://schemas.microsoft.com/office/word/2010/wordprocessingShape">
                    <wps:wsp>
                      <wps:cNvCnPr/>
                      <wps:spPr>
                        <a:xfrm>
                          <a:off x="0" y="0"/>
                          <a:ext cx="6273800" cy="0"/>
                        </a:xfrm>
                        <a:prstGeom prst="line">
                          <a:avLst/>
                        </a:prstGeom>
                        <a:ln w="28575">
                          <a:solidFill>
                            <a:srgbClr val="F9A13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7BEF16B6" id="Straight Connector 1508" o:spid="_x0000_s1026" style="position:absolute;z-index:253340670;visibility:visible;mso-wrap-style:square;mso-wrap-distance-left:9pt;mso-wrap-distance-top:0;mso-wrap-distance-right:9pt;mso-wrap-distance-bottom:0;mso-position-horizontal:absolute;mso-position-horizontal-relative:text;mso-position-vertical:absolute;mso-position-vertical-relative:text" from="28pt,36.85pt" to="522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" strokecolor="#f9a133" strokeweight="2.25pt">
                <v:stroke joinstyle="miter"/>
              </v:line>
            </w:pict>
          </mc:Fallback>
        </mc:AlternateContent>
      </w:r>
    </w:p>
    <w:p w14:paraId="700BD3D6" w14:textId="35ED4FEB" w:rsidR="00944796" w:rsidRPr="00BD6508" w:rsidRDefault="00944796" w:rsidP="00BD6508">
      <w:pPr>
        <w:spacing w:line="276" w:lineRule="auto"/>
        <w:jc w:val="both"/>
        <w:rPr>
          <w:rFonts w:ascii="Arial" w:hAnsi="Arial" w:cs="Arial"/>
          <w:sz w:val="24"/>
          <w:szCs w:val="24"/>
          <w:lang w:val="en-US"/>
        </w:rPr>
      </w:pPr>
    </w:p>
    <w:p w14:paraId="79EF73CB" w14:textId="747815E1" w:rsidR="00944796" w:rsidRDefault="00944796" w:rsidP="00944796">
      <w:pPr>
        <w:pStyle w:val="ListParagraph"/>
        <w:spacing w:line="276" w:lineRule="auto"/>
        <w:ind w:left="780"/>
        <w:jc w:val="both"/>
        <w:rPr>
          <w:rFonts w:ascii="Arial" w:hAnsi="Arial" w:cs="Arial"/>
          <w:sz w:val="24"/>
          <w:szCs w:val="24"/>
          <w:lang w:val="en-US"/>
        </w:rPr>
      </w:pPr>
    </w:p>
    <w:p w14:paraId="170044B8" w14:textId="77777777" w:rsidR="00944796" w:rsidRPr="00BD6508" w:rsidRDefault="00944796" w:rsidP="00BD6508">
      <w:pPr>
        <w:spacing w:line="276" w:lineRule="auto"/>
        <w:jc w:val="both"/>
        <w:rPr>
          <w:rFonts w:ascii="Arial" w:hAnsi="Arial" w:cs="Arial"/>
          <w:sz w:val="24"/>
          <w:szCs w:val="24"/>
          <w:lang w:val="en-US"/>
        </w:rPr>
      </w:pPr>
    </w:p>
    <w:p w14:paraId="00071444" w14:textId="07FA77DD" w:rsidR="004E3B22" w:rsidRDefault="004E3B22" w:rsidP="00944796">
      <w:pPr>
        <w:pStyle w:val="ListParagraph"/>
        <w:spacing w:line="276" w:lineRule="auto"/>
        <w:ind w:left="780"/>
        <w:jc w:val="both"/>
        <w:rPr>
          <w:rFonts w:ascii="Arial" w:hAnsi="Arial" w:cs="Arial"/>
          <w:sz w:val="24"/>
          <w:szCs w:val="24"/>
          <w:lang w:val="en-US"/>
        </w:rPr>
      </w:pPr>
      <w:r w:rsidRPr="00BD6508">
        <w:rPr>
          <w:rFonts w:ascii="Arial" w:hAnsi="Arial" w:cs="Arial"/>
          <w:i/>
          <w:sz w:val="24"/>
          <w:szCs w:val="24"/>
          <w:lang w:val="en-US"/>
        </w:rPr>
        <w:t>Tax expenditures</w:t>
      </w:r>
      <w:r w:rsidRPr="00BD6508">
        <w:rPr>
          <w:rFonts w:ascii="Arial" w:hAnsi="Arial" w:cs="Arial"/>
          <w:sz w:val="24"/>
          <w:szCs w:val="24"/>
          <w:vertAlign w:val="superscript"/>
          <w:lang w:val="en-US"/>
        </w:rPr>
        <w:footnoteReference w:id="48"/>
      </w:r>
      <w:r w:rsidRPr="00BD6508">
        <w:rPr>
          <w:rFonts w:ascii="Arial" w:hAnsi="Arial" w:cs="Arial"/>
          <w:i/>
          <w:sz w:val="24"/>
          <w:szCs w:val="24"/>
          <w:lang w:val="en-US"/>
        </w:rPr>
        <w:t xml:space="preserve"> </w:t>
      </w:r>
      <w:r w:rsidRPr="00BD6508">
        <w:rPr>
          <w:rFonts w:ascii="Arial" w:hAnsi="Arial" w:cs="Arial"/>
          <w:sz w:val="24"/>
          <w:szCs w:val="24"/>
          <w:lang w:val="en-US"/>
        </w:rPr>
        <w:t>information</w:t>
      </w:r>
      <w:r w:rsidRPr="00BD6508">
        <w:rPr>
          <w:rFonts w:ascii="Arial" w:hAnsi="Arial" w:cs="Arial"/>
          <w:i/>
          <w:sz w:val="24"/>
          <w:szCs w:val="24"/>
          <w:lang w:val="en-US"/>
        </w:rPr>
        <w:t xml:space="preserve"> </w:t>
      </w:r>
      <w:r w:rsidRPr="00BD6508">
        <w:rPr>
          <w:rFonts w:ascii="Arial" w:hAnsi="Arial" w:cs="Arial"/>
          <w:sz w:val="24"/>
          <w:szCs w:val="24"/>
          <w:lang w:val="en-US"/>
        </w:rPr>
        <w:t xml:space="preserve">not being disclosed. Just as it is important to understand why and what governments are taxing, it is important to have comprehensive information regarding what governments have decided not to tax or to tax at lower rates than other items, and why. </w:t>
      </w:r>
      <w:r w:rsidRPr="00BD6508">
        <w:rPr>
          <w:rFonts w:ascii="Arial" w:hAnsi="Arial" w:cs="Arial"/>
          <w:sz w:val="24"/>
          <w:szCs w:val="24"/>
          <w:lang w:val="en-ZA"/>
        </w:rPr>
        <w:t>Accessible, timely and reliable information about tax exemptions, allowances and reliefs is crucial in understanding the tax system.</w:t>
      </w:r>
      <w:r w:rsidRPr="00BD6508">
        <w:rPr>
          <w:rFonts w:ascii="Arial" w:hAnsi="Arial" w:cs="Arial"/>
          <w:sz w:val="24"/>
          <w:szCs w:val="24"/>
          <w:lang w:val="en-US"/>
        </w:rPr>
        <w:t xml:space="preserve"> Ideally, the justification for each relief, exemption and allowance should be specified to justify its provision. This information assists in assessing the effectiveness of the tax system and in designing reforms to improve it. </w:t>
      </w:r>
    </w:p>
    <w:p w14:paraId="2ED4FE87" w14:textId="337D729D" w:rsidR="00944796" w:rsidRDefault="00944796" w:rsidP="00944796">
      <w:pPr>
        <w:pStyle w:val="ListParagraph"/>
        <w:spacing w:line="276" w:lineRule="auto"/>
        <w:ind w:left="780"/>
        <w:jc w:val="both"/>
        <w:rPr>
          <w:rFonts w:ascii="Arial" w:hAnsi="Arial" w:cs="Arial"/>
          <w:sz w:val="24"/>
          <w:szCs w:val="24"/>
          <w:lang w:val="en-US"/>
        </w:rPr>
      </w:pPr>
      <w:r>
        <w:rPr>
          <w:rFonts w:ascii="Arial" w:hAnsi="Arial" w:cs="Arial"/>
          <w:noProof/>
          <w:sz w:val="24"/>
          <w:szCs w:val="24"/>
          <w:lang w:val="en-US"/>
        </w:rPr>
        <w:lastRenderedPageBreak/>
        <mc:AlternateContent>
          <mc:Choice Requires="wps">
            <w:drawing>
              <wp:anchor distT="0" distB="0" distL="114300" distR="114300" simplePos="0" relativeHeight="253344766" behindDoc="0" locked="0" layoutInCell="1" allowOverlap="1" wp14:anchorId="6EA2D297" wp14:editId="7775D7B9">
                <wp:simplePos x="0" y="0"/>
                <wp:positionH relativeFrom="column">
                  <wp:posOffset>355600</wp:posOffset>
                </wp:positionH>
                <wp:positionV relativeFrom="paragraph">
                  <wp:posOffset>354965</wp:posOffset>
                </wp:positionV>
                <wp:extent cx="6273800" cy="0"/>
                <wp:effectExtent l="0" t="12700" r="12700" b="12700"/>
                <wp:wrapNone/>
                <wp:docPr id="1511" name="Straight Connector 1511"/>
                <wp:cNvGraphicFramePr/>
                <a:graphic xmlns:a="http://schemas.openxmlformats.org/drawingml/2006/main">
                  <a:graphicData uri="http://schemas.microsoft.com/office/word/2010/wordprocessingShape">
                    <wps:wsp>
                      <wps:cNvCnPr/>
                      <wps:spPr>
                        <a:xfrm>
                          <a:off x="0" y="0"/>
                          <a:ext cx="6273800" cy="0"/>
                        </a:xfrm>
                        <a:prstGeom prst="line">
                          <a:avLst/>
                        </a:prstGeom>
                        <a:ln w="28575">
                          <a:solidFill>
                            <a:srgbClr val="F9A13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1A456865" id="Straight Connector 1511" o:spid="_x0000_s1026" style="position:absolute;z-index:253344766;visibility:visible;mso-wrap-style:square;mso-wrap-distance-left:9pt;mso-wrap-distance-top:0;mso-wrap-distance-right:9pt;mso-wrap-distance-bottom:0;mso-position-horizontal:absolute;mso-position-horizontal-relative:text;mso-position-vertical:absolute;mso-position-vertical-relative:text" from="28pt,27.95pt" to="522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" strokecolor="#f9a133" strokeweight="2.25pt">
                <v:stroke joinstyle="miter"/>
              </v:line>
            </w:pict>
          </mc:Fallback>
        </mc:AlternateContent>
      </w:r>
      <w:r>
        <w:rPr>
          <w:rFonts w:ascii="Arial" w:hAnsi="Arial" w:cs="Arial"/>
          <w:noProof/>
          <w:sz w:val="24"/>
          <w:szCs w:val="24"/>
          <w:lang w:val="en-US"/>
        </w:rPr>
        <w:drawing>
          <wp:anchor distT="0" distB="0" distL="114300" distR="114300" simplePos="0" relativeHeight="253345790" behindDoc="1" locked="0" layoutInCell="1" allowOverlap="1" wp14:anchorId="7EE1D18F" wp14:editId="383156CE">
            <wp:simplePos x="0" y="0"/>
            <wp:positionH relativeFrom="column">
              <wp:posOffset>0</wp:posOffset>
            </wp:positionH>
            <wp:positionV relativeFrom="paragraph">
              <wp:posOffset>-635</wp:posOffset>
            </wp:positionV>
            <wp:extent cx="627124" cy="622300"/>
            <wp:effectExtent l="0" t="0" r="0" b="0"/>
            <wp:wrapNone/>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Picture 1495"/>
                    <pic:cNvPicPr/>
                  </pic:nvPicPr>
                  <pic:blipFill rotWithShape="1">
                    <a:blip r:embed="rId716" cstate="email">
                      <a:extLst>
                        <a:ext uri="{28A0092B-C50C-407E-A947-70E740481C1C}">
                          <a14:useLocalDpi xmlns:a14="http://schemas.microsoft.com/office/drawing/2010/main"/>
                        </a:ext>
                      </a:extLst>
                    </a:blip>
                    <a:srcRect/>
                    <a:stretch/>
                  </pic:blipFill>
                  <pic:spPr bwMode="auto">
                    <a:xfrm>
                      <a:off x="0" y="0"/>
                      <a:ext cx="630999" cy="6261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346814" behindDoc="0" locked="0" layoutInCell="1" allowOverlap="1" wp14:anchorId="57DC006A" wp14:editId="2E08CBB5">
                <wp:simplePos x="0" y="0"/>
                <wp:positionH relativeFrom="column">
                  <wp:posOffset>144145</wp:posOffset>
                </wp:positionH>
                <wp:positionV relativeFrom="paragraph">
                  <wp:posOffset>100965</wp:posOffset>
                </wp:positionV>
                <wp:extent cx="342900" cy="444500"/>
                <wp:effectExtent l="0" t="0" r="0" b="0"/>
                <wp:wrapNone/>
                <wp:docPr id="1512" name="Text Box 1512"/>
                <wp:cNvGraphicFramePr/>
                <a:graphic xmlns:a="http://schemas.openxmlformats.org/drawingml/2006/main">
                  <a:graphicData uri="http://schemas.microsoft.com/office/word/2010/wordprocessingShape">
                    <wps:wsp>
                      <wps:cNvSpPr txBox="1"/>
                      <wps:spPr>
                        <a:xfrm>
                          <a:off x="0" y="0"/>
                          <a:ext cx="342900" cy="444500"/>
                        </a:xfrm>
                        <a:prstGeom prst="rect">
                          <a:avLst/>
                        </a:prstGeom>
                        <a:noFill/>
                        <a:ln w="6350">
                          <a:noFill/>
                        </a:ln>
                      </wps:spPr>
                      <wps:txbx>
                        <w:txbxContent>
                          <w:p w14:paraId="4D25637E" w14:textId="3B5ED02A"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DC006A" id="Text Box 1512" o:spid="_x0000_s1429" type="#_x0000_t202" style="position:absolute;left:0;text-align:left;margin-left:11.35pt;margin-top:7.95pt;width:27pt;height:35pt;z-index:2533468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" filled="f" stroked="f" strokeweight=".5pt">
                <v:textbox>
                  <w:txbxContent>
                    <w:p w14:paraId="4D25637E" w14:textId="3B5ED02A"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5</w:t>
                      </w:r>
                    </w:p>
                  </w:txbxContent>
                </v:textbox>
              </v:shape>
            </w:pict>
          </mc:Fallback>
        </mc:AlternateContent>
      </w:r>
    </w:p>
    <w:p w14:paraId="57844224" w14:textId="7FC0A631" w:rsidR="00944796" w:rsidRDefault="00944796" w:rsidP="00944796">
      <w:pPr>
        <w:pStyle w:val="ListParagraph"/>
        <w:spacing w:line="276" w:lineRule="auto"/>
        <w:ind w:left="780"/>
        <w:jc w:val="both"/>
        <w:rPr>
          <w:rFonts w:ascii="Arial" w:hAnsi="Arial" w:cs="Arial"/>
          <w:sz w:val="24"/>
          <w:szCs w:val="24"/>
          <w:lang w:val="en-US"/>
        </w:rPr>
      </w:pPr>
    </w:p>
    <w:p w14:paraId="1CB49885" w14:textId="77777777" w:rsidR="00944796" w:rsidRPr="00BD6508" w:rsidRDefault="00944796" w:rsidP="00BD6508">
      <w:pPr>
        <w:pStyle w:val="ListParagraph"/>
        <w:spacing w:line="276" w:lineRule="auto"/>
        <w:ind w:left="780"/>
        <w:jc w:val="both"/>
        <w:rPr>
          <w:rFonts w:ascii="Arial" w:hAnsi="Arial" w:cs="Arial"/>
          <w:sz w:val="24"/>
          <w:szCs w:val="24"/>
          <w:lang w:val="en-US"/>
        </w:rPr>
      </w:pPr>
    </w:p>
    <w:p w14:paraId="2AA124F5" w14:textId="73A5ECC6" w:rsidR="004E3B22" w:rsidRDefault="004E3B22" w:rsidP="00944796">
      <w:pPr>
        <w:pStyle w:val="ListParagraph"/>
        <w:spacing w:line="276" w:lineRule="auto"/>
        <w:ind w:left="780"/>
        <w:jc w:val="both"/>
        <w:rPr>
          <w:rFonts w:ascii="Arial" w:hAnsi="Arial" w:cs="Arial"/>
          <w:sz w:val="24"/>
          <w:szCs w:val="24"/>
          <w:lang w:val="en-US"/>
        </w:rPr>
      </w:pPr>
      <w:r w:rsidRPr="00BD6508">
        <w:rPr>
          <w:rFonts w:ascii="Arial" w:hAnsi="Arial" w:cs="Arial"/>
          <w:i/>
          <w:sz w:val="24"/>
          <w:szCs w:val="24"/>
          <w:lang w:val="en-US"/>
        </w:rPr>
        <w:t>Revenue administration</w:t>
      </w:r>
      <w:r w:rsidRPr="00BD6508">
        <w:rPr>
          <w:rFonts w:ascii="Arial" w:hAnsi="Arial" w:cs="Arial"/>
          <w:sz w:val="24"/>
          <w:szCs w:val="24"/>
          <w:lang w:val="en-US"/>
        </w:rPr>
        <w:t xml:space="preserve"> information, including on the performance of the revenue authorities not being sufficiently disclosed. This often leads to a lack of accountability.</w:t>
      </w:r>
      <w:r w:rsidRPr="00BD6508">
        <w:rPr>
          <w:rFonts w:ascii="Arial" w:hAnsi="Arial" w:cs="Arial"/>
          <w:b/>
          <w:sz w:val="24"/>
          <w:szCs w:val="24"/>
          <w:lang w:val="en-US"/>
        </w:rPr>
        <w:t xml:space="preserve"> </w:t>
      </w:r>
      <w:r w:rsidRPr="00BD6508">
        <w:rPr>
          <w:rFonts w:ascii="Arial" w:hAnsi="Arial" w:cs="Arial"/>
          <w:sz w:val="24"/>
          <w:szCs w:val="24"/>
          <w:lang w:val="en-US"/>
        </w:rPr>
        <w:t>For instance, the tax authority’s budget should be comprehensively published and include its performance targets.</w:t>
      </w:r>
      <w:r w:rsidRPr="00BD6508">
        <w:rPr>
          <w:rFonts w:ascii="Arial" w:eastAsiaTheme="minorEastAsia" w:hAnsi="Arial" w:cs="Arial"/>
          <w:sz w:val="24"/>
          <w:szCs w:val="24"/>
          <w:lang w:val="en-US"/>
        </w:rPr>
        <w:t xml:space="preserve"> </w:t>
      </w:r>
      <w:r w:rsidRPr="00BD6508">
        <w:rPr>
          <w:rFonts w:ascii="Arial" w:hAnsi="Arial" w:cs="Arial"/>
          <w:sz w:val="24"/>
          <w:szCs w:val="24"/>
          <w:lang w:val="en-US"/>
        </w:rPr>
        <w:t>Accounts then have to be prepared and published that can be compared against this budget, including in respect of what the tax authority spent to collect taxes and whether tax collection targets were met.</w:t>
      </w:r>
    </w:p>
    <w:p w14:paraId="1CE3B83F" w14:textId="647DEB7F" w:rsidR="00944796" w:rsidRDefault="00944796" w:rsidP="00944796">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48862" behindDoc="0" locked="0" layoutInCell="1" allowOverlap="1" wp14:anchorId="527F12CE" wp14:editId="008BBCDB">
                <wp:simplePos x="0" y="0"/>
                <wp:positionH relativeFrom="column">
                  <wp:posOffset>355600</wp:posOffset>
                </wp:positionH>
                <wp:positionV relativeFrom="paragraph">
                  <wp:posOffset>480695</wp:posOffset>
                </wp:positionV>
                <wp:extent cx="6273800" cy="0"/>
                <wp:effectExtent l="0" t="12700" r="12700" b="12700"/>
                <wp:wrapNone/>
                <wp:docPr id="1514" name="Straight Connector 1514"/>
                <wp:cNvGraphicFramePr/>
                <a:graphic xmlns:a="http://schemas.openxmlformats.org/drawingml/2006/main">
                  <a:graphicData uri="http://schemas.microsoft.com/office/word/2010/wordprocessingShape">
                    <wps:wsp>
                      <wps:cNvCnPr/>
                      <wps:spPr>
                        <a:xfrm>
                          <a:off x="0" y="0"/>
                          <a:ext cx="6273800" cy="0"/>
                        </a:xfrm>
                        <a:prstGeom prst="line">
                          <a:avLst/>
                        </a:prstGeom>
                        <a:ln w="28575">
                          <a:solidFill>
                            <a:srgbClr val="F9A13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50E6CBDA" id="Straight Connector 1514" o:spid="_x0000_s1026" style="position:absolute;z-index:253348862;visibility:visible;mso-wrap-style:square;mso-wrap-distance-left:9pt;mso-wrap-distance-top:0;mso-wrap-distance-right:9pt;mso-wrap-distance-bottom:0;mso-position-horizontal:absolute;mso-position-horizontal-relative:text;mso-position-vertical:absolute;mso-position-vertical-relative:text" from="28pt,37.85pt" to="522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" strokecolor="#f9a133" strokeweight="2.25pt">
                <v:stroke joinstyle="miter"/>
              </v:line>
            </w:pict>
          </mc:Fallback>
        </mc:AlternateContent>
      </w:r>
      <w:r>
        <w:rPr>
          <w:rFonts w:ascii="Arial" w:hAnsi="Arial" w:cs="Arial"/>
          <w:noProof/>
          <w:sz w:val="24"/>
          <w:szCs w:val="24"/>
          <w:lang w:val="en-US"/>
        </w:rPr>
        <w:drawing>
          <wp:anchor distT="0" distB="0" distL="114300" distR="114300" simplePos="0" relativeHeight="253349886" behindDoc="1" locked="0" layoutInCell="1" allowOverlap="1" wp14:anchorId="7DCBFCF8" wp14:editId="45CDBB00">
            <wp:simplePos x="0" y="0"/>
            <wp:positionH relativeFrom="column">
              <wp:posOffset>0</wp:posOffset>
            </wp:positionH>
            <wp:positionV relativeFrom="paragraph">
              <wp:posOffset>125095</wp:posOffset>
            </wp:positionV>
            <wp:extent cx="626745" cy="622300"/>
            <wp:effectExtent l="0" t="0" r="0" b="0"/>
            <wp:wrapNone/>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Picture 1495"/>
                    <pic:cNvPicPr/>
                  </pic:nvPicPr>
                  <pic:blipFill rotWithShape="1">
                    <a:blip r:embed="rId717" cstate="email">
                      <a:extLst>
                        <a:ext uri="{28A0092B-C50C-407E-A947-70E740481C1C}">
                          <a14:useLocalDpi xmlns:a14="http://schemas.microsoft.com/office/drawing/2010/main"/>
                        </a:ext>
                      </a:extLst>
                    </a:blip>
                    <a:srcRect/>
                    <a:stretch/>
                  </pic:blipFill>
                  <pic:spPr bwMode="auto">
                    <a:xfrm>
                      <a:off x="0" y="0"/>
                      <a:ext cx="626745" cy="62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350910" behindDoc="0" locked="0" layoutInCell="1" allowOverlap="1" wp14:anchorId="51634C1D" wp14:editId="787BF0B1">
                <wp:simplePos x="0" y="0"/>
                <wp:positionH relativeFrom="column">
                  <wp:posOffset>144145</wp:posOffset>
                </wp:positionH>
                <wp:positionV relativeFrom="paragraph">
                  <wp:posOffset>226695</wp:posOffset>
                </wp:positionV>
                <wp:extent cx="342900" cy="444500"/>
                <wp:effectExtent l="0" t="0" r="0" b="0"/>
                <wp:wrapNone/>
                <wp:docPr id="1515" name="Text Box 1515"/>
                <wp:cNvGraphicFramePr/>
                <a:graphic xmlns:a="http://schemas.openxmlformats.org/drawingml/2006/main">
                  <a:graphicData uri="http://schemas.microsoft.com/office/word/2010/wordprocessingShape">
                    <wps:wsp>
                      <wps:cNvSpPr txBox="1"/>
                      <wps:spPr>
                        <a:xfrm>
                          <a:off x="0" y="0"/>
                          <a:ext cx="342900" cy="444500"/>
                        </a:xfrm>
                        <a:prstGeom prst="rect">
                          <a:avLst/>
                        </a:prstGeom>
                        <a:noFill/>
                        <a:ln w="6350">
                          <a:noFill/>
                        </a:ln>
                      </wps:spPr>
                      <wps:txbx>
                        <w:txbxContent>
                          <w:p w14:paraId="4C82A746" w14:textId="6E251161"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634C1D" id="Text Box 1515" o:spid="_x0000_s1430" type="#_x0000_t202" style="position:absolute;left:0;text-align:left;margin-left:11.35pt;margin-top:17.85pt;width:27pt;height:35pt;z-index:2533509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" filled="f" stroked="f" strokeweight=".5pt">
                <v:textbox>
                  <w:txbxContent>
                    <w:p w14:paraId="4C82A746" w14:textId="6E251161"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6</w:t>
                      </w:r>
                    </w:p>
                  </w:txbxContent>
                </v:textbox>
              </v:shape>
            </w:pict>
          </mc:Fallback>
        </mc:AlternateContent>
      </w:r>
    </w:p>
    <w:p w14:paraId="670E812C" w14:textId="484ECC5D" w:rsidR="00944796" w:rsidRPr="00BD6508" w:rsidRDefault="00944796" w:rsidP="00BD6508">
      <w:pPr>
        <w:spacing w:line="276" w:lineRule="auto"/>
        <w:jc w:val="both"/>
        <w:rPr>
          <w:rFonts w:ascii="Arial" w:hAnsi="Arial" w:cs="Arial"/>
          <w:sz w:val="24"/>
          <w:szCs w:val="24"/>
          <w:lang w:val="en-US"/>
        </w:rPr>
      </w:pPr>
    </w:p>
    <w:p w14:paraId="4FB8EBB8" w14:textId="34B2ED6B" w:rsidR="00944796" w:rsidRDefault="00944796" w:rsidP="00944796">
      <w:pPr>
        <w:pStyle w:val="ListParagraph"/>
        <w:spacing w:line="276" w:lineRule="auto"/>
        <w:ind w:left="780"/>
        <w:jc w:val="both"/>
        <w:rPr>
          <w:rFonts w:ascii="Arial" w:hAnsi="Arial" w:cs="Arial"/>
          <w:sz w:val="24"/>
          <w:szCs w:val="24"/>
          <w:lang w:val="en-US"/>
        </w:rPr>
      </w:pPr>
    </w:p>
    <w:p w14:paraId="5457B413" w14:textId="77777777" w:rsidR="00944796" w:rsidRPr="00BD6508" w:rsidRDefault="00944796" w:rsidP="00BD6508">
      <w:pPr>
        <w:pStyle w:val="ListParagraph"/>
        <w:spacing w:line="276" w:lineRule="auto"/>
        <w:ind w:left="780"/>
        <w:jc w:val="both"/>
        <w:rPr>
          <w:rFonts w:ascii="Arial" w:hAnsi="Arial" w:cs="Arial"/>
          <w:sz w:val="24"/>
          <w:szCs w:val="24"/>
          <w:lang w:val="en-US"/>
        </w:rPr>
      </w:pPr>
    </w:p>
    <w:p w14:paraId="0313A3F3" w14:textId="2342E2A4" w:rsidR="004E3B22" w:rsidRDefault="004E3B22" w:rsidP="00944796">
      <w:pPr>
        <w:pStyle w:val="ListParagraph"/>
        <w:spacing w:line="276" w:lineRule="auto"/>
        <w:ind w:left="780"/>
        <w:jc w:val="both"/>
        <w:rPr>
          <w:rFonts w:ascii="Arial" w:hAnsi="Arial" w:cs="Arial"/>
          <w:sz w:val="24"/>
          <w:szCs w:val="24"/>
          <w:lang w:val="en-US"/>
        </w:rPr>
      </w:pPr>
      <w:r w:rsidRPr="00BD6508">
        <w:rPr>
          <w:rFonts w:ascii="Arial" w:hAnsi="Arial" w:cs="Arial"/>
          <w:i/>
          <w:sz w:val="24"/>
          <w:szCs w:val="24"/>
          <w:lang w:val="en-US"/>
        </w:rPr>
        <w:t>International tax arrangements and international corporation</w:t>
      </w:r>
      <w:r w:rsidRPr="00BD6508">
        <w:rPr>
          <w:rFonts w:ascii="Arial" w:hAnsi="Arial" w:cs="Arial"/>
          <w:sz w:val="24"/>
          <w:szCs w:val="24"/>
          <w:lang w:val="en-US"/>
        </w:rPr>
        <w:t xml:space="preserve"> information not being </w:t>
      </w:r>
      <w:r w:rsidRPr="00BD6508">
        <w:rPr>
          <w:rFonts w:ascii="Arial" w:hAnsi="Arial" w:cs="Arial"/>
          <w:sz w:val="24"/>
          <w:szCs w:val="24"/>
          <w:lang w:val="en-ZA"/>
        </w:rPr>
        <w:t xml:space="preserve">comprehensively known, </w:t>
      </w:r>
      <w:r w:rsidRPr="00BD6508">
        <w:rPr>
          <w:rFonts w:ascii="Arial" w:hAnsi="Arial" w:cs="Arial"/>
          <w:sz w:val="24"/>
          <w:szCs w:val="24"/>
          <w:lang w:val="en-US"/>
        </w:rPr>
        <w:t>at a sufficiently disaggregated level</w:t>
      </w:r>
      <w:r w:rsidRPr="00BD6508">
        <w:rPr>
          <w:rFonts w:ascii="Arial" w:hAnsi="Arial" w:cs="Arial"/>
          <w:sz w:val="24"/>
          <w:szCs w:val="24"/>
          <w:lang w:val="en-ZA"/>
        </w:rPr>
        <w:t xml:space="preserve">. It is widely accepted that significant tax gaps occur due to international funding flows. </w:t>
      </w:r>
      <w:r w:rsidRPr="00BD6508">
        <w:rPr>
          <w:rFonts w:ascii="Arial" w:hAnsi="Arial" w:cs="Arial"/>
          <w:sz w:val="24"/>
          <w:szCs w:val="24"/>
          <w:lang w:val="en-US"/>
        </w:rPr>
        <w:t>Often the only sources of information available on these flows are from international organizations, with databases that are not customized to unique country contexts.</w:t>
      </w:r>
    </w:p>
    <w:p w14:paraId="0BBC6B3A" w14:textId="747D4B3D" w:rsidR="00944796" w:rsidRDefault="00944796" w:rsidP="00944796">
      <w:pPr>
        <w:pStyle w:val="ListParagraph"/>
        <w:spacing w:line="276" w:lineRule="auto"/>
        <w:ind w:left="780"/>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353982" behindDoc="1" locked="0" layoutInCell="1" allowOverlap="1" wp14:anchorId="4103887C" wp14:editId="23C1A0A0">
            <wp:simplePos x="0" y="0"/>
            <wp:positionH relativeFrom="column">
              <wp:posOffset>0</wp:posOffset>
            </wp:positionH>
            <wp:positionV relativeFrom="paragraph">
              <wp:posOffset>112395</wp:posOffset>
            </wp:positionV>
            <wp:extent cx="626745" cy="622300"/>
            <wp:effectExtent l="0" t="0" r="0" b="0"/>
            <wp:wrapNone/>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Picture 1495"/>
                    <pic:cNvPicPr/>
                  </pic:nvPicPr>
                  <pic:blipFill rotWithShape="1">
                    <a:blip r:embed="rId717" cstate="email">
                      <a:extLst>
                        <a:ext uri="{28A0092B-C50C-407E-A947-70E740481C1C}">
                          <a14:useLocalDpi xmlns:a14="http://schemas.microsoft.com/office/drawing/2010/main"/>
                        </a:ext>
                      </a:extLst>
                    </a:blip>
                    <a:srcRect/>
                    <a:stretch/>
                  </pic:blipFill>
                  <pic:spPr bwMode="auto">
                    <a:xfrm>
                      <a:off x="0" y="0"/>
                      <a:ext cx="626745" cy="62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352958" behindDoc="0" locked="0" layoutInCell="1" allowOverlap="1" wp14:anchorId="7F73A3AB" wp14:editId="7B5E46F4">
                <wp:simplePos x="0" y="0"/>
                <wp:positionH relativeFrom="column">
                  <wp:posOffset>355600</wp:posOffset>
                </wp:positionH>
                <wp:positionV relativeFrom="paragraph">
                  <wp:posOffset>467995</wp:posOffset>
                </wp:positionV>
                <wp:extent cx="6273800" cy="0"/>
                <wp:effectExtent l="0" t="12700" r="12700" b="12700"/>
                <wp:wrapNone/>
                <wp:docPr id="1517" name="Straight Connector 1517"/>
                <wp:cNvGraphicFramePr/>
                <a:graphic xmlns:a="http://schemas.openxmlformats.org/drawingml/2006/main">
                  <a:graphicData uri="http://schemas.microsoft.com/office/word/2010/wordprocessingShape">
                    <wps:wsp>
                      <wps:cNvCnPr/>
                      <wps:spPr>
                        <a:xfrm>
                          <a:off x="0" y="0"/>
                          <a:ext cx="6273800" cy="0"/>
                        </a:xfrm>
                        <a:prstGeom prst="line">
                          <a:avLst/>
                        </a:prstGeom>
                        <a:ln w="28575">
                          <a:solidFill>
                            <a:srgbClr val="F9A13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4C406BD3" id="Straight Connector 1517" o:spid="_x0000_s1026" style="position:absolute;z-index:253352958;visibility:visible;mso-wrap-style:square;mso-wrap-distance-left:9pt;mso-wrap-distance-top:0;mso-wrap-distance-right:9pt;mso-wrap-distance-bottom:0;mso-position-horizontal:absolute;mso-position-horizontal-relative:text;mso-position-vertical:absolute;mso-position-vertical-relative:text" from="28pt,36.85pt" to="522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" strokecolor="#f9a133" strokeweight="2.25pt">
                <v:stroke joinstyle="miter"/>
              </v:line>
            </w:pict>
          </mc:Fallback>
        </mc:AlternateContent>
      </w:r>
    </w:p>
    <w:p w14:paraId="3642C627" w14:textId="034C3607" w:rsidR="00944796" w:rsidRPr="00BD6508" w:rsidRDefault="00944796" w:rsidP="00BD6508">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55006" behindDoc="0" locked="0" layoutInCell="1" allowOverlap="1" wp14:anchorId="3E9A39F5" wp14:editId="5CF0825C">
                <wp:simplePos x="0" y="0"/>
                <wp:positionH relativeFrom="column">
                  <wp:posOffset>152400</wp:posOffset>
                </wp:positionH>
                <wp:positionV relativeFrom="paragraph">
                  <wp:posOffset>10795</wp:posOffset>
                </wp:positionV>
                <wp:extent cx="406400" cy="444500"/>
                <wp:effectExtent l="0" t="0" r="0" b="0"/>
                <wp:wrapNone/>
                <wp:docPr id="1518" name="Text Box 1518"/>
                <wp:cNvGraphicFramePr/>
                <a:graphic xmlns:a="http://schemas.openxmlformats.org/drawingml/2006/main">
                  <a:graphicData uri="http://schemas.microsoft.com/office/word/2010/wordprocessingShape">
                    <wps:wsp>
                      <wps:cNvSpPr txBox="1"/>
                      <wps:spPr>
                        <a:xfrm>
                          <a:off x="0" y="0"/>
                          <a:ext cx="406400" cy="444500"/>
                        </a:xfrm>
                        <a:prstGeom prst="rect">
                          <a:avLst/>
                        </a:prstGeom>
                        <a:noFill/>
                        <a:ln w="6350">
                          <a:noFill/>
                        </a:ln>
                      </wps:spPr>
                      <wps:txbx>
                        <w:txbxContent>
                          <w:p w14:paraId="0CB7D5F8" w14:textId="79F9BD43"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A39F5" id="Text Box 1518" o:spid="_x0000_s1431" type="#_x0000_t202" style="position:absolute;left:0;text-align:left;margin-left:12pt;margin-top:.85pt;width:32pt;height:35pt;z-index:253355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" filled="f" stroked="f" strokeweight=".5pt">
                <v:textbox>
                  <w:txbxContent>
                    <w:p w14:paraId="0CB7D5F8" w14:textId="79F9BD43" w:rsidR="00D15FD8" w:rsidRPr="00BD6508" w:rsidRDefault="00D15FD8" w:rsidP="00944796">
                      <w:pP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7</w:t>
                      </w:r>
                    </w:p>
                  </w:txbxContent>
                </v:textbox>
              </v:shape>
            </w:pict>
          </mc:Fallback>
        </mc:AlternateContent>
      </w:r>
    </w:p>
    <w:p w14:paraId="62F8303C" w14:textId="448ADF5A" w:rsidR="00944796" w:rsidRPr="00BD6508" w:rsidRDefault="00944796" w:rsidP="00BD6508">
      <w:pPr>
        <w:pStyle w:val="ListParagraph"/>
        <w:spacing w:line="276" w:lineRule="auto"/>
        <w:ind w:left="780"/>
        <w:jc w:val="both"/>
        <w:rPr>
          <w:rFonts w:ascii="Arial" w:hAnsi="Arial" w:cs="Arial"/>
          <w:sz w:val="24"/>
          <w:szCs w:val="24"/>
          <w:lang w:val="en-US"/>
        </w:rPr>
      </w:pPr>
    </w:p>
    <w:p w14:paraId="2BA71D0A" w14:textId="101AAE7D" w:rsidR="00944796" w:rsidRPr="00BD6508" w:rsidRDefault="00944796" w:rsidP="00BD6508">
      <w:pPr>
        <w:pStyle w:val="ListParagraph"/>
        <w:spacing w:line="276" w:lineRule="auto"/>
        <w:ind w:left="780"/>
        <w:jc w:val="both"/>
        <w:rPr>
          <w:rFonts w:ascii="Arial" w:hAnsi="Arial" w:cs="Arial"/>
          <w:sz w:val="24"/>
          <w:szCs w:val="24"/>
          <w:lang w:val="en-US"/>
        </w:rPr>
      </w:pPr>
    </w:p>
    <w:p w14:paraId="23855355" w14:textId="312420D2" w:rsidR="004E3B22" w:rsidRDefault="004E3B22" w:rsidP="00944796">
      <w:pPr>
        <w:pStyle w:val="ListParagraph"/>
        <w:spacing w:line="276" w:lineRule="auto"/>
        <w:ind w:left="780"/>
        <w:jc w:val="both"/>
        <w:rPr>
          <w:rFonts w:ascii="Arial" w:hAnsi="Arial" w:cs="Arial"/>
          <w:sz w:val="24"/>
          <w:szCs w:val="24"/>
          <w:lang w:val="en-US"/>
        </w:rPr>
      </w:pPr>
      <w:r w:rsidRPr="00BD6508">
        <w:rPr>
          <w:rFonts w:ascii="Arial" w:hAnsi="Arial" w:cs="Arial"/>
          <w:i/>
          <w:sz w:val="24"/>
          <w:szCs w:val="24"/>
          <w:lang w:val="en-US"/>
        </w:rPr>
        <w:t>Norms and standards on tax transparency</w:t>
      </w:r>
      <w:r w:rsidRPr="00BD6508">
        <w:rPr>
          <w:rFonts w:ascii="Arial" w:hAnsi="Arial" w:cs="Arial"/>
          <w:sz w:val="24"/>
          <w:szCs w:val="24"/>
          <w:lang w:val="en-US"/>
        </w:rPr>
        <w:t xml:space="preserve"> </w:t>
      </w:r>
      <w:r w:rsidRPr="00BD6508">
        <w:rPr>
          <w:rFonts w:ascii="Arial" w:hAnsi="Arial" w:cs="Arial"/>
          <w:sz w:val="24"/>
          <w:szCs w:val="24"/>
          <w:lang w:val="en-ZA"/>
        </w:rPr>
        <w:t xml:space="preserve">not adequately recognizing the kinds of tax information that the public may need in order to be able to engage with tax policy and tax reform processes. </w:t>
      </w:r>
      <w:r w:rsidRPr="00BD6508">
        <w:rPr>
          <w:rFonts w:ascii="Arial" w:hAnsi="Arial" w:cs="Arial"/>
          <w:sz w:val="24"/>
          <w:szCs w:val="24"/>
          <w:lang w:val="en-US"/>
        </w:rPr>
        <w:t xml:space="preserve">While many areas of public services are thoroughly evaluated to see if they are offering 'value for money', the functioning of the tax system itself is rarely one of them, which is problematic given that for most governments the ability to continue funding public services to a large extent depends on the effectiveness of their tax systems. </w:t>
      </w:r>
    </w:p>
    <w:p w14:paraId="3EDB360C" w14:textId="7881F8DB" w:rsidR="002E37FC" w:rsidRDefault="002E37FC" w:rsidP="002E37FC">
      <w:pPr>
        <w:spacing w:line="276" w:lineRule="auto"/>
        <w:jc w:val="both"/>
        <w:rPr>
          <w:rFonts w:ascii="Arial" w:hAnsi="Arial" w:cs="Arial"/>
          <w:sz w:val="24"/>
          <w:szCs w:val="24"/>
          <w:lang w:val="en-US"/>
        </w:rPr>
      </w:pPr>
    </w:p>
    <w:p w14:paraId="01CC465D" w14:textId="5586F2C4" w:rsidR="002E37FC" w:rsidRPr="00354491" w:rsidRDefault="002E37FC" w:rsidP="00057172">
      <w:pPr>
        <w:pStyle w:val="Heading3"/>
        <w:numPr>
          <w:ilvl w:val="2"/>
          <w:numId w:val="105"/>
        </w:numPr>
        <w:ind w:hanging="1004"/>
        <w:rPr>
          <w:rFonts w:ascii="Arial" w:hAnsi="Arial" w:cs="Arial"/>
          <w:b/>
          <w:bCs/>
          <w:color w:val="F9A133"/>
          <w:sz w:val="32"/>
          <w:szCs w:val="32"/>
          <w:lang w:val="en-US"/>
        </w:rPr>
      </w:pPr>
      <w:r w:rsidRPr="00057172">
        <w:rPr>
          <w:rFonts w:ascii="Arial" w:hAnsi="Arial" w:cs="Arial"/>
          <w:b/>
          <w:bCs/>
          <w:color w:val="F9A133"/>
          <w:sz w:val="36"/>
          <w:szCs w:val="36"/>
          <w:lang w:val="en-US"/>
        </w:rPr>
        <w:t xml:space="preserve"> </w:t>
      </w:r>
      <w:bookmarkStart w:id="1612" w:name="_Toc123204506"/>
      <w:bookmarkStart w:id="1613" w:name="_Toc123217456"/>
      <w:bookmarkStart w:id="1614" w:name="_Toc123913417"/>
      <w:bookmarkStart w:id="1615" w:name="_Toc123914073"/>
      <w:bookmarkStart w:id="1616" w:name="_Toc125566688"/>
      <w:r w:rsidRPr="00354491">
        <w:rPr>
          <w:rFonts w:ascii="Arial" w:hAnsi="Arial" w:cs="Arial"/>
          <w:b/>
          <w:bCs/>
          <w:color w:val="F9A133"/>
          <w:sz w:val="32"/>
          <w:szCs w:val="32"/>
          <w:lang w:val="en-US"/>
        </w:rPr>
        <w:t>Work to increase tax transparency</w:t>
      </w:r>
      <w:bookmarkEnd w:id="1612"/>
      <w:bookmarkEnd w:id="1613"/>
      <w:bookmarkEnd w:id="1614"/>
      <w:bookmarkEnd w:id="1615"/>
      <w:bookmarkEnd w:id="1616"/>
    </w:p>
    <w:p w14:paraId="7E24CC5A" w14:textId="505FEC1A" w:rsidR="002E37FC" w:rsidRPr="00354491" w:rsidRDefault="002E37FC" w:rsidP="00BD6508">
      <w:pPr>
        <w:spacing w:line="276" w:lineRule="auto"/>
        <w:rPr>
          <w:rFonts w:ascii="Arial" w:hAnsi="Arial" w:cs="Arial"/>
          <w:sz w:val="32"/>
          <w:szCs w:val="32"/>
          <w:lang w:val="en-US"/>
        </w:rPr>
      </w:pPr>
    </w:p>
    <w:p w14:paraId="768EE269" w14:textId="26D80D54" w:rsidR="002E37FC" w:rsidRPr="00BD6508" w:rsidRDefault="002E37FC" w:rsidP="00BD6508">
      <w:pPr>
        <w:spacing w:line="276" w:lineRule="auto"/>
        <w:jc w:val="both"/>
        <w:rPr>
          <w:rFonts w:ascii="Arial" w:hAnsi="Arial" w:cs="Arial"/>
          <w:sz w:val="24"/>
          <w:szCs w:val="24"/>
        </w:rPr>
      </w:pPr>
      <w:r w:rsidRPr="00BD6508">
        <w:rPr>
          <w:rFonts w:ascii="Arial" w:hAnsi="Arial" w:cs="Arial"/>
          <w:sz w:val="24"/>
          <w:szCs w:val="24"/>
        </w:rPr>
        <w:t>As such, there are a number of areas where tax transparency is lacking. Initiatives are however being undertaken to try and address this issue. This includes the OECD’s</w:t>
      </w:r>
      <w:r w:rsidRPr="00BD6508">
        <w:rPr>
          <w:rFonts w:ascii="Arial" w:hAnsi="Arial" w:cs="Arial"/>
          <w:sz w:val="24"/>
          <w:szCs w:val="24"/>
          <w:lang w:val="en-US"/>
        </w:rPr>
        <w:t xml:space="preserve"> </w:t>
      </w:r>
      <w:hyperlink r:id="rId718" w:history="1">
        <w:r w:rsidRPr="00BD6508">
          <w:rPr>
            <w:rFonts w:ascii="Arial" w:hAnsi="Arial" w:cs="Arial"/>
            <w:color w:val="0563C1" w:themeColor="hyperlink"/>
            <w:sz w:val="24"/>
            <w:szCs w:val="24"/>
            <w:u w:val="single"/>
            <w:lang w:val="en-US"/>
          </w:rPr>
          <w:t>Global Forum on Transparency and Exchange of Information for Tax Purposes</w:t>
        </w:r>
      </w:hyperlink>
      <w:r w:rsidRPr="00BD6508">
        <w:rPr>
          <w:rFonts w:ascii="Arial" w:hAnsi="Arial" w:cs="Arial"/>
          <w:sz w:val="24"/>
          <w:szCs w:val="24"/>
          <w:lang w:val="en-US"/>
        </w:rPr>
        <w:t>,</w:t>
      </w:r>
      <w:r w:rsidRPr="00BD6508">
        <w:rPr>
          <w:rFonts w:ascii="Arial" w:hAnsi="Arial" w:cs="Arial"/>
          <w:color w:val="000000"/>
          <w:sz w:val="24"/>
          <w:szCs w:val="24"/>
          <w:shd w:val="clear" w:color="auto" w:fill="FFFFFF"/>
        </w:rPr>
        <w:t xml:space="preserve"> </w:t>
      </w:r>
      <w:r w:rsidRPr="00BD6508">
        <w:rPr>
          <w:rFonts w:ascii="Arial" w:hAnsi="Arial" w:cs="Arial"/>
          <w:sz w:val="24"/>
          <w:szCs w:val="24"/>
        </w:rPr>
        <w:t xml:space="preserve">an international body working on the implementation of global transparency and exchange of information standards around the world, aiming to amongst others decrease offshore tax evasion. </w:t>
      </w:r>
    </w:p>
    <w:p w14:paraId="6290DAC4" w14:textId="31E7A08C" w:rsidR="002E37FC" w:rsidRPr="00BD6508" w:rsidRDefault="00DD5B4F"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356030" behindDoc="0" locked="0" layoutInCell="1" allowOverlap="1" wp14:anchorId="7F425582" wp14:editId="33E78BFA">
            <wp:simplePos x="0" y="0"/>
            <wp:positionH relativeFrom="column">
              <wp:posOffset>17145</wp:posOffset>
            </wp:positionH>
            <wp:positionV relativeFrom="paragraph">
              <wp:posOffset>172085</wp:posOffset>
            </wp:positionV>
            <wp:extent cx="1066800" cy="1600200"/>
            <wp:effectExtent l="25400" t="25400" r="88900" b="88900"/>
            <wp:wrapSquare wrapText="bothSides"/>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Picture 1520"/>
                    <pic:cNvPicPr/>
                  </pic:nvPicPr>
                  <pic:blipFill>
                    <a:blip r:embed="rId719" cstate="email">
                      <a:extLst>
                        <a:ext uri="{28A0092B-C50C-407E-A947-70E740481C1C}">
                          <a14:useLocalDpi xmlns:a14="http://schemas.microsoft.com/office/drawing/2010/main"/>
                        </a:ext>
                      </a:extLst>
                    </a:blip>
                    <a:stretch>
                      <a:fillRect/>
                    </a:stretch>
                  </pic:blipFill>
                  <pic:spPr>
                    <a:xfrm>
                      <a:off x="0" y="0"/>
                      <a:ext cx="1066800" cy="16002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06DF5DC" w14:textId="630DD391" w:rsidR="002E37FC" w:rsidRPr="00BD6508" w:rsidRDefault="00AC4DF7" w:rsidP="00E36B47">
      <w:pPr>
        <w:spacing w:line="276" w:lineRule="auto"/>
        <w:rPr>
          <w:rFonts w:ascii="Arial" w:hAnsi="Arial" w:cs="Arial"/>
          <w:sz w:val="24"/>
          <w:szCs w:val="24"/>
        </w:rPr>
      </w:pPr>
      <w:hyperlink r:id="rId720" w:history="1">
        <w:proofErr w:type="spellStart"/>
        <w:r w:rsidR="002E37FC" w:rsidRPr="00BD6508">
          <w:rPr>
            <w:rFonts w:ascii="Arial" w:hAnsi="Arial" w:cs="Arial"/>
            <w:color w:val="0563C1" w:themeColor="hyperlink"/>
            <w:sz w:val="24"/>
            <w:szCs w:val="24"/>
            <w:u w:val="single"/>
          </w:rPr>
          <w:t>OpenOwnership</w:t>
        </w:r>
        <w:proofErr w:type="spellEnd"/>
      </w:hyperlink>
      <w:r w:rsidR="002E37FC" w:rsidRPr="00BD6508">
        <w:rPr>
          <w:rFonts w:ascii="Arial" w:hAnsi="Arial" w:cs="Arial"/>
          <w:sz w:val="24"/>
          <w:szCs w:val="24"/>
        </w:rPr>
        <w:t xml:space="preserve"> is an initiative dedicated to increasing corporate transparency across the world by making it easy to publish and access data about who owns companies (beneficial ownership). It published </w:t>
      </w:r>
      <w:r w:rsidR="002E37FC" w:rsidRPr="00BD6508">
        <w:rPr>
          <w:rFonts w:ascii="Arial" w:hAnsi="Arial" w:cs="Arial"/>
          <w:color w:val="0563C1" w:themeColor="hyperlink"/>
          <w:sz w:val="24"/>
          <w:szCs w:val="24"/>
          <w:u w:val="single"/>
        </w:rPr>
        <w:t>A</w:t>
      </w:r>
      <w:hyperlink r:id="rId721" w:history="1">
        <w:r w:rsidR="002E37FC" w:rsidRPr="00BD6508">
          <w:rPr>
            <w:rFonts w:ascii="Arial" w:hAnsi="Arial" w:cs="Arial"/>
            <w:color w:val="0563C1" w:themeColor="hyperlink"/>
            <w:sz w:val="24"/>
            <w:szCs w:val="24"/>
            <w:u w:val="single"/>
          </w:rPr>
          <w:t xml:space="preserve"> Guide to Implementing Beneficial Ownership Transparency</w:t>
        </w:r>
      </w:hyperlink>
      <w:r w:rsidR="002E37FC" w:rsidRPr="00BD6508">
        <w:rPr>
          <w:rFonts w:ascii="Arial" w:hAnsi="Arial" w:cs="Arial"/>
          <w:sz w:val="24"/>
          <w:szCs w:val="24"/>
        </w:rPr>
        <w:t>, and helps countries generate high quality data on company ownership that complies with international standards and meets the needs of data users across government, civil society, and the private sector. It has developed a </w:t>
      </w:r>
      <w:hyperlink r:id="rId722" w:history="1">
        <w:r w:rsidR="002E37FC" w:rsidRPr="00BD6508">
          <w:rPr>
            <w:rStyle w:val="Hyperlink"/>
            <w:rFonts w:ascii="Arial" w:hAnsi="Arial" w:cs="Arial"/>
            <w:sz w:val="24"/>
            <w:szCs w:val="24"/>
          </w:rPr>
          <w:t>data standard</w:t>
        </w:r>
      </w:hyperlink>
      <w:r w:rsidR="002E37FC" w:rsidRPr="00BD6508">
        <w:rPr>
          <w:rFonts w:ascii="Arial" w:hAnsi="Arial" w:cs="Arial"/>
          <w:sz w:val="24"/>
          <w:szCs w:val="24"/>
        </w:rPr>
        <w:t xml:space="preserve"> for beneficial ownership information, </w:t>
      </w:r>
      <w:r w:rsidR="002E37FC" w:rsidRPr="00BD6508">
        <w:rPr>
          <w:rFonts w:ascii="Arial" w:hAnsi="Arial" w:cs="Arial"/>
          <w:sz w:val="24"/>
          <w:szCs w:val="24"/>
        </w:rPr>
        <w:lastRenderedPageBreak/>
        <w:t>co-founded the international </w:t>
      </w:r>
      <w:hyperlink r:id="rId723" w:history="1">
        <w:r w:rsidR="002E37FC" w:rsidRPr="00BD6508">
          <w:rPr>
            <w:rStyle w:val="Hyperlink"/>
            <w:rFonts w:ascii="Arial" w:hAnsi="Arial" w:cs="Arial"/>
            <w:sz w:val="24"/>
            <w:szCs w:val="24"/>
          </w:rPr>
          <w:t>Beneficial Ownership Leadership Group</w:t>
        </w:r>
      </w:hyperlink>
      <w:r w:rsidR="002E37FC" w:rsidRPr="00BD6508">
        <w:rPr>
          <w:rFonts w:ascii="Arial" w:hAnsi="Arial" w:cs="Arial"/>
          <w:sz w:val="24"/>
          <w:szCs w:val="24"/>
        </w:rPr>
        <w:t>, and built the world’s first </w:t>
      </w:r>
      <w:hyperlink r:id="rId724" w:history="1">
        <w:r w:rsidR="002E37FC" w:rsidRPr="00BD6508">
          <w:rPr>
            <w:rStyle w:val="Hyperlink"/>
            <w:rFonts w:ascii="Arial" w:hAnsi="Arial" w:cs="Arial"/>
            <w:sz w:val="24"/>
            <w:szCs w:val="24"/>
          </w:rPr>
          <w:t>transnational public beneficial ownership register</w:t>
        </w:r>
      </w:hyperlink>
      <w:r w:rsidR="002E37FC" w:rsidRPr="00BD6508">
        <w:rPr>
          <w:rFonts w:ascii="Arial" w:hAnsi="Arial" w:cs="Arial"/>
          <w:sz w:val="24"/>
          <w:szCs w:val="24"/>
        </w:rPr>
        <w:t>.</w:t>
      </w:r>
    </w:p>
    <w:p w14:paraId="557DCBDE" w14:textId="6A823CAF" w:rsidR="002E37FC" w:rsidRPr="00BD6508" w:rsidRDefault="003E5F4B"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357054" behindDoc="0" locked="0" layoutInCell="1" allowOverlap="1" wp14:anchorId="5A1AAA5D" wp14:editId="54B57D3E">
            <wp:simplePos x="0" y="0"/>
            <wp:positionH relativeFrom="column">
              <wp:posOffset>0</wp:posOffset>
            </wp:positionH>
            <wp:positionV relativeFrom="paragraph">
              <wp:posOffset>200025</wp:posOffset>
            </wp:positionV>
            <wp:extent cx="533400" cy="770890"/>
            <wp:effectExtent l="0" t="0" r="0" b="3810"/>
            <wp:wrapSquare wrapText="bothSides"/>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Picture 1521"/>
                    <pic:cNvPicPr/>
                  </pic:nvPicPr>
                  <pic:blipFill rotWithShape="1">
                    <a:blip r:embed="rId725" cstate="email">
                      <a:extLst>
                        <a:ext uri="{28A0092B-C50C-407E-A947-70E740481C1C}">
                          <a14:useLocalDpi xmlns:a14="http://schemas.microsoft.com/office/drawing/2010/main"/>
                        </a:ext>
                      </a:extLst>
                    </a:blip>
                    <a:srcRect/>
                    <a:stretch/>
                  </pic:blipFill>
                  <pic:spPr bwMode="auto">
                    <a:xfrm>
                      <a:off x="0" y="0"/>
                      <a:ext cx="533400" cy="770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02E069" w14:textId="72021EA9" w:rsidR="002E37FC" w:rsidRPr="00443455" w:rsidRDefault="002E37FC" w:rsidP="002E37FC">
      <w:pPr>
        <w:spacing w:line="276" w:lineRule="auto"/>
        <w:jc w:val="both"/>
        <w:rPr>
          <w:rFonts w:ascii="Arial" w:hAnsi="Arial" w:cs="Arial"/>
          <w:sz w:val="24"/>
          <w:szCs w:val="24"/>
        </w:rPr>
      </w:pPr>
      <w:r w:rsidRPr="00BD6508">
        <w:rPr>
          <w:rFonts w:ascii="Arial" w:hAnsi="Arial" w:cs="Arial"/>
          <w:sz w:val="24"/>
          <w:szCs w:val="24"/>
          <w:lang w:val="en-US"/>
        </w:rPr>
        <w:t xml:space="preserve">Further work is also being done by GIFT, where, </w:t>
      </w:r>
      <w:r w:rsidRPr="00BD6508">
        <w:rPr>
          <w:rFonts w:ascii="Arial" w:hAnsi="Arial" w:cs="Arial"/>
          <w:sz w:val="24"/>
          <w:szCs w:val="24"/>
        </w:rPr>
        <w:t xml:space="preserve">with the support of the World Bank’s </w:t>
      </w:r>
      <w:hyperlink r:id="rId726" w:anchor=":~:text=The%20World%20Bank's%20Global%20Tax,of%20evidence%2Dbased%20tax%20reforms." w:history="1">
        <w:r w:rsidRPr="00BD6508">
          <w:rPr>
            <w:rStyle w:val="Hyperlink"/>
            <w:rFonts w:ascii="Arial" w:hAnsi="Arial" w:cs="Arial"/>
            <w:sz w:val="24"/>
            <w:szCs w:val="24"/>
          </w:rPr>
          <w:t>Global Tax Program</w:t>
        </w:r>
      </w:hyperlink>
      <w:r w:rsidRPr="00BD6508">
        <w:rPr>
          <w:rFonts w:ascii="Arial" w:hAnsi="Arial" w:cs="Arial"/>
          <w:sz w:val="24"/>
          <w:szCs w:val="24"/>
        </w:rPr>
        <w:t xml:space="preserve"> and in collaboration with the IBP’s </w:t>
      </w:r>
      <w:hyperlink r:id="rId727" w:history="1">
        <w:r w:rsidRPr="00BD6508">
          <w:rPr>
            <w:rStyle w:val="Hyperlink"/>
            <w:rFonts w:ascii="Arial" w:hAnsi="Arial" w:cs="Arial"/>
            <w:sz w:val="24"/>
            <w:szCs w:val="24"/>
          </w:rPr>
          <w:t>Tax Equity Initiative</w:t>
        </w:r>
      </w:hyperlink>
      <w:r w:rsidRPr="00BD6508">
        <w:rPr>
          <w:rFonts w:ascii="Arial" w:hAnsi="Arial" w:cs="Arial"/>
          <w:sz w:val="24"/>
          <w:szCs w:val="24"/>
        </w:rPr>
        <w:t xml:space="preserve">, a set of documents were commissioned in 2019 to inform the development of a comprehensive tax transparency and participation framework.  </w:t>
      </w:r>
      <w:r w:rsidRPr="00BD6508">
        <w:rPr>
          <w:rFonts w:ascii="Arial" w:hAnsi="Arial" w:cs="Arial"/>
          <w:b/>
          <w:bCs/>
          <w:color w:val="F9A133"/>
          <w:sz w:val="24"/>
          <w:szCs w:val="24"/>
        </w:rPr>
        <w:t>This included the publication of:</w:t>
      </w:r>
    </w:p>
    <w:p w14:paraId="719A1159" w14:textId="5327D5A9" w:rsidR="003E5F4B" w:rsidRDefault="003E5F4B" w:rsidP="003625BA">
      <w:pPr>
        <w:spacing w:line="276" w:lineRule="auto"/>
        <w:jc w:val="both"/>
        <w:rPr>
          <w:rFonts w:ascii="Arial" w:hAnsi="Arial" w:cs="Arial"/>
          <w:sz w:val="24"/>
          <w:szCs w:val="24"/>
        </w:rPr>
      </w:pPr>
    </w:p>
    <w:p w14:paraId="4767F10A" w14:textId="33F98453" w:rsidR="002E37FC" w:rsidRPr="003625BA" w:rsidRDefault="003E5F4B" w:rsidP="008D1CAC">
      <w:pPr>
        <w:spacing w:before="120" w:line="276" w:lineRule="auto"/>
        <w:ind w:left="567" w:right="-64"/>
        <w:jc w:val="both"/>
        <w:rPr>
          <w:rFonts w:ascii="Arial" w:hAnsi="Arial" w:cs="Arial"/>
          <w:color w:val="3B3838" w:themeColor="background2" w:themeShade="40"/>
          <w:sz w:val="24"/>
          <w:szCs w:val="24"/>
          <w:lang w:val="en-US"/>
        </w:rPr>
      </w:pPr>
      <w:r w:rsidRPr="005340FD">
        <w:rPr>
          <w:rFonts w:ascii="Arial" w:hAnsi="Arial" w:cs="Arial"/>
          <w:noProof/>
          <w:color w:val="3B3838" w:themeColor="background2" w:themeShade="40"/>
          <w:sz w:val="24"/>
          <w:szCs w:val="24"/>
          <w:lang w:val="en-US"/>
        </w:rPr>
        <w:drawing>
          <wp:anchor distT="0" distB="0" distL="114300" distR="114300" simplePos="0" relativeHeight="253361150" behindDoc="0" locked="0" layoutInCell="1" allowOverlap="1" wp14:anchorId="18399FB0" wp14:editId="335624D0">
            <wp:simplePos x="0" y="0"/>
            <wp:positionH relativeFrom="column">
              <wp:posOffset>355600</wp:posOffset>
            </wp:positionH>
            <wp:positionV relativeFrom="paragraph">
              <wp:posOffset>73660</wp:posOffset>
            </wp:positionV>
            <wp:extent cx="1485900" cy="2069404"/>
            <wp:effectExtent l="25400" t="25400" r="88900" b="90170"/>
            <wp:wrapSquare wrapText="bothSides"/>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Picture 1528"/>
                    <pic:cNvPicPr/>
                  </pic:nvPicPr>
                  <pic:blipFill>
                    <a:blip r:embed="rId728" cstate="email">
                      <a:extLst>
                        <a:ext uri="{28A0092B-C50C-407E-A947-70E740481C1C}">
                          <a14:useLocalDpi xmlns:a14="http://schemas.microsoft.com/office/drawing/2010/main"/>
                        </a:ext>
                      </a:extLst>
                    </a:blip>
                    <a:stretch>
                      <a:fillRect/>
                    </a:stretch>
                  </pic:blipFill>
                  <pic:spPr>
                    <a:xfrm>
                      <a:off x="0" y="0"/>
                      <a:ext cx="1485900" cy="206940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E37FC" w:rsidRPr="005340FD">
        <w:rPr>
          <w:rFonts w:ascii="Arial" w:hAnsi="Arial" w:cs="Arial"/>
          <w:color w:val="3B3838" w:themeColor="background2" w:themeShade="40"/>
          <w:sz w:val="24"/>
          <w:szCs w:val="24"/>
        </w:rPr>
        <w:t>A</w:t>
      </w:r>
      <w:r w:rsidR="002E37FC" w:rsidRPr="005340FD">
        <w:rPr>
          <w:rFonts w:ascii="Arial" w:hAnsi="Arial" w:cs="Arial"/>
          <w:color w:val="3B3838" w:themeColor="background2" w:themeShade="40"/>
          <w:sz w:val="24"/>
          <w:szCs w:val="24"/>
          <w:lang w:val="en-US"/>
        </w:rPr>
        <w:t xml:space="preserve"> </w:t>
      </w:r>
      <w:r w:rsidR="002E37FC" w:rsidRPr="005340FD">
        <w:rPr>
          <w:rFonts w:ascii="Arial" w:hAnsi="Arial" w:cs="Arial"/>
          <w:iCs/>
          <w:color w:val="3B3838" w:themeColor="background2" w:themeShade="40"/>
          <w:sz w:val="24"/>
          <w:szCs w:val="24"/>
          <w:lang w:val="en-US"/>
        </w:rPr>
        <w:t xml:space="preserve">compendium </w:t>
      </w:r>
      <w:r w:rsidR="002E37FC" w:rsidRPr="005340FD">
        <w:rPr>
          <w:rFonts w:ascii="Arial" w:hAnsi="Arial" w:cs="Arial"/>
          <w:color w:val="3B3838" w:themeColor="background2" w:themeShade="40"/>
          <w:sz w:val="24"/>
          <w:szCs w:val="24"/>
          <w:lang w:val="en-US"/>
        </w:rPr>
        <w:t xml:space="preserve">titled </w:t>
      </w:r>
      <w:r w:rsidR="002E37FC" w:rsidRPr="005340FD">
        <w:rPr>
          <w:rFonts w:ascii="Arial" w:hAnsi="Arial" w:cs="Arial"/>
          <w:bCs/>
          <w:color w:val="3B3838" w:themeColor="background2" w:themeShade="40"/>
          <w:sz w:val="24"/>
          <w:szCs w:val="24"/>
          <w:lang w:val="en-US"/>
        </w:rPr>
        <w:t>“</w:t>
      </w:r>
      <w:hyperlink r:id="rId729" w:history="1">
        <w:r w:rsidR="002E37FC" w:rsidRPr="005340FD">
          <w:rPr>
            <w:rStyle w:val="Hyperlink"/>
            <w:rFonts w:ascii="Arial" w:hAnsi="Arial" w:cs="Arial"/>
            <w:sz w:val="24"/>
            <w:szCs w:val="24"/>
          </w:rPr>
          <w:t>Making Tax Work: A Framework for Enhancing Tax Transparency</w:t>
        </w:r>
      </w:hyperlink>
      <w:r w:rsidR="002E37FC" w:rsidRPr="005340FD">
        <w:rPr>
          <w:rStyle w:val="FootnoteReference"/>
          <w:rFonts w:ascii="Arial" w:hAnsi="Arial" w:cs="Arial"/>
          <w:bCs/>
          <w:color w:val="3B3838" w:themeColor="background2" w:themeShade="40"/>
          <w:sz w:val="24"/>
          <w:szCs w:val="24"/>
          <w:lang w:val="en-US"/>
        </w:rPr>
        <w:footnoteReference w:id="49"/>
      </w:r>
      <w:r w:rsidR="002E37FC" w:rsidRPr="005340FD">
        <w:rPr>
          <w:rFonts w:ascii="Arial" w:hAnsi="Arial" w:cs="Arial"/>
          <w:bCs/>
          <w:color w:val="3B3838" w:themeColor="background2" w:themeShade="40"/>
          <w:sz w:val="24"/>
          <w:szCs w:val="24"/>
          <w:lang w:val="en-US"/>
        </w:rPr>
        <w:t>”</w:t>
      </w:r>
      <w:r w:rsidR="002E37FC" w:rsidRPr="005340FD">
        <w:rPr>
          <w:rFonts w:ascii="Arial" w:hAnsi="Arial" w:cs="Arial"/>
          <w:color w:val="3B3838" w:themeColor="background2" w:themeShade="40"/>
          <w:sz w:val="24"/>
          <w:szCs w:val="24"/>
          <w:lang w:val="en-US"/>
        </w:rPr>
        <w:t>.</w:t>
      </w:r>
      <w:r w:rsidR="002E37FC" w:rsidRPr="003625BA">
        <w:rPr>
          <w:rFonts w:ascii="Arial" w:hAnsi="Arial" w:cs="Arial"/>
          <w:color w:val="3B3838" w:themeColor="background2" w:themeShade="40"/>
          <w:sz w:val="24"/>
          <w:szCs w:val="24"/>
          <w:lang w:val="en-US"/>
        </w:rPr>
        <w:t xml:space="preserve"> The compendium details a range of issues surrounding tax reporting and information standards, and examines the systematic appraisals of tax systems required to enhance and enable tax transparency. In this framework, the specific information needs of tax transparency users are defined, together with criteria relating to the necessary quality aspects of this information. The authors explain that tax transparency is a process with multiple information maps or systems, such that “no single report, account, set of data, information or budget will ever, by itself, represent the totality of the tax transparency process. It is, instead, the supply of information from across the tax system that will create an effective tax transparency process so that governments and tax authorities might be held to account for their effectiveness, in managing the tax system”. They state that tax transparency requires:</w:t>
      </w:r>
    </w:p>
    <w:p w14:paraId="3E1899F1" w14:textId="510C26E8" w:rsidR="003E5F4B" w:rsidRPr="003625BA" w:rsidRDefault="003E5F4B" w:rsidP="00BD6508">
      <w:pPr>
        <w:spacing w:before="120" w:line="276" w:lineRule="auto"/>
        <w:ind w:left="567" w:right="543"/>
        <w:jc w:val="both"/>
        <w:rPr>
          <w:rFonts w:ascii="Arial" w:hAnsi="Arial" w:cs="Arial"/>
          <w:color w:val="3B3838" w:themeColor="background2" w:themeShade="40"/>
          <w:sz w:val="24"/>
          <w:szCs w:val="24"/>
          <w:lang w:val="en-US"/>
        </w:rPr>
      </w:pPr>
    </w:p>
    <w:p w14:paraId="7996DEC0" w14:textId="5F763EAA" w:rsidR="002E37FC" w:rsidRPr="003625BA" w:rsidRDefault="002E37FC" w:rsidP="003E5F4B">
      <w:pPr>
        <w:numPr>
          <w:ilvl w:val="1"/>
          <w:numId w:val="71"/>
        </w:numPr>
        <w:spacing w:line="276" w:lineRule="auto"/>
        <w:ind w:left="1440" w:right="543"/>
        <w:contextualSpacing/>
        <w:jc w:val="both"/>
        <w:rPr>
          <w:rFonts w:ascii="Arial" w:hAnsi="Arial" w:cs="Arial"/>
          <w:color w:val="3B3838" w:themeColor="background2" w:themeShade="40"/>
          <w:sz w:val="24"/>
          <w:szCs w:val="24"/>
          <w:lang w:val="en-US"/>
        </w:rPr>
      </w:pPr>
      <w:r w:rsidRPr="003625BA">
        <w:rPr>
          <w:rFonts w:ascii="Arial" w:hAnsi="Arial" w:cs="Arial"/>
          <w:color w:val="3B3838" w:themeColor="background2" w:themeShade="40"/>
          <w:sz w:val="24"/>
          <w:szCs w:val="24"/>
          <w:lang w:val="en-US"/>
        </w:rPr>
        <w:t>A comprehensive commitment to publishing data by a government;</w:t>
      </w:r>
    </w:p>
    <w:p w14:paraId="120214F0" w14:textId="77777777" w:rsidR="003E5F4B" w:rsidRPr="003625BA" w:rsidRDefault="003E5F4B" w:rsidP="00BD6508">
      <w:pPr>
        <w:spacing w:line="276" w:lineRule="auto"/>
        <w:ind w:left="1440" w:right="543"/>
        <w:contextualSpacing/>
        <w:jc w:val="both"/>
        <w:rPr>
          <w:rFonts w:ascii="Arial" w:hAnsi="Arial" w:cs="Arial"/>
          <w:color w:val="3B3838" w:themeColor="background2" w:themeShade="40"/>
          <w:sz w:val="24"/>
          <w:szCs w:val="24"/>
          <w:lang w:val="en-US"/>
        </w:rPr>
      </w:pPr>
    </w:p>
    <w:p w14:paraId="2BEC6EF3" w14:textId="57CCDA33" w:rsidR="002E37FC" w:rsidRPr="003625BA" w:rsidRDefault="002E37FC" w:rsidP="003E5F4B">
      <w:pPr>
        <w:numPr>
          <w:ilvl w:val="1"/>
          <w:numId w:val="71"/>
        </w:numPr>
        <w:spacing w:line="276" w:lineRule="auto"/>
        <w:ind w:left="1440" w:right="543"/>
        <w:contextualSpacing/>
        <w:jc w:val="both"/>
        <w:rPr>
          <w:rFonts w:ascii="Arial" w:hAnsi="Arial" w:cs="Arial"/>
          <w:color w:val="3B3838" w:themeColor="background2" w:themeShade="40"/>
          <w:sz w:val="24"/>
          <w:szCs w:val="24"/>
          <w:lang w:val="en-US"/>
        </w:rPr>
      </w:pPr>
      <w:r w:rsidRPr="003625BA">
        <w:rPr>
          <w:rFonts w:ascii="Arial" w:hAnsi="Arial" w:cs="Arial"/>
          <w:color w:val="3B3838" w:themeColor="background2" w:themeShade="40"/>
          <w:sz w:val="24"/>
          <w:szCs w:val="24"/>
          <w:lang w:val="en-US"/>
        </w:rPr>
        <w:t>A willingness on a government’s part to both interpret this data and to assist others to do so;</w:t>
      </w:r>
    </w:p>
    <w:p w14:paraId="5B34FB7D" w14:textId="4937E64E" w:rsidR="003E5F4B" w:rsidRPr="003625BA" w:rsidRDefault="003E5F4B" w:rsidP="00BD6508">
      <w:pPr>
        <w:spacing w:line="276" w:lineRule="auto"/>
        <w:ind w:right="543"/>
        <w:contextualSpacing/>
        <w:jc w:val="both"/>
        <w:rPr>
          <w:rFonts w:ascii="Arial" w:hAnsi="Arial" w:cs="Arial"/>
          <w:color w:val="3B3838" w:themeColor="background2" w:themeShade="40"/>
          <w:sz w:val="24"/>
          <w:szCs w:val="24"/>
          <w:lang w:val="en-US"/>
        </w:rPr>
      </w:pPr>
    </w:p>
    <w:p w14:paraId="28693C37" w14:textId="164CDF0A" w:rsidR="002E37FC" w:rsidRPr="003625BA" w:rsidRDefault="002E37FC" w:rsidP="003E5F4B">
      <w:pPr>
        <w:numPr>
          <w:ilvl w:val="1"/>
          <w:numId w:val="71"/>
        </w:numPr>
        <w:spacing w:line="276" w:lineRule="auto"/>
        <w:ind w:left="1440" w:right="543"/>
        <w:contextualSpacing/>
        <w:jc w:val="both"/>
        <w:rPr>
          <w:rFonts w:ascii="Arial" w:hAnsi="Arial" w:cs="Arial"/>
          <w:color w:val="3B3838" w:themeColor="background2" w:themeShade="40"/>
          <w:sz w:val="24"/>
          <w:szCs w:val="24"/>
          <w:lang w:val="en-US"/>
        </w:rPr>
      </w:pPr>
      <w:r w:rsidRPr="003625BA">
        <w:rPr>
          <w:rFonts w:ascii="Arial" w:hAnsi="Arial" w:cs="Arial"/>
          <w:color w:val="3B3838" w:themeColor="background2" w:themeShade="40"/>
          <w:sz w:val="24"/>
          <w:szCs w:val="24"/>
          <w:lang w:val="en-US"/>
        </w:rPr>
        <w:t>A commitment to provide missing data on demand;</w:t>
      </w:r>
    </w:p>
    <w:p w14:paraId="6716AD8A" w14:textId="0DCEB46A" w:rsidR="003E5F4B" w:rsidRPr="003625BA" w:rsidRDefault="003E5F4B" w:rsidP="00BD6508">
      <w:pPr>
        <w:spacing w:line="276" w:lineRule="auto"/>
        <w:ind w:right="543"/>
        <w:contextualSpacing/>
        <w:jc w:val="both"/>
        <w:rPr>
          <w:rFonts w:ascii="Arial" w:hAnsi="Arial" w:cs="Arial"/>
          <w:color w:val="3B3838" w:themeColor="background2" w:themeShade="40"/>
          <w:sz w:val="24"/>
          <w:szCs w:val="24"/>
          <w:lang w:val="en-US"/>
        </w:rPr>
      </w:pPr>
    </w:p>
    <w:p w14:paraId="56FF1C62" w14:textId="533977C3" w:rsidR="003E5F4B" w:rsidRPr="003625BA" w:rsidRDefault="002E37FC" w:rsidP="00BD6508">
      <w:pPr>
        <w:numPr>
          <w:ilvl w:val="1"/>
          <w:numId w:val="71"/>
        </w:numPr>
        <w:spacing w:line="276" w:lineRule="auto"/>
        <w:ind w:left="1440" w:right="543"/>
        <w:contextualSpacing/>
        <w:jc w:val="both"/>
        <w:rPr>
          <w:rFonts w:ascii="Arial" w:hAnsi="Arial" w:cs="Arial"/>
          <w:color w:val="3B3838" w:themeColor="background2" w:themeShade="40"/>
          <w:sz w:val="24"/>
          <w:szCs w:val="24"/>
          <w:lang w:val="en-US"/>
        </w:rPr>
      </w:pPr>
      <w:r w:rsidRPr="003625BA">
        <w:rPr>
          <w:rFonts w:ascii="Arial" w:hAnsi="Arial" w:cs="Arial"/>
          <w:color w:val="3B3838" w:themeColor="background2" w:themeShade="40"/>
          <w:sz w:val="24"/>
          <w:szCs w:val="24"/>
          <w:lang w:val="en-US"/>
        </w:rPr>
        <w:t>A willingness to cooperate with actors outside government who suggest what data they require to meet their own needs; and</w:t>
      </w:r>
    </w:p>
    <w:p w14:paraId="50D840AF" w14:textId="5959C752" w:rsidR="003E5F4B" w:rsidRPr="003625BA" w:rsidRDefault="003E5F4B" w:rsidP="00BD6508">
      <w:pPr>
        <w:spacing w:line="276" w:lineRule="auto"/>
        <w:ind w:left="1440" w:right="543"/>
        <w:contextualSpacing/>
        <w:jc w:val="both"/>
        <w:rPr>
          <w:rFonts w:ascii="Arial" w:hAnsi="Arial" w:cs="Arial"/>
          <w:color w:val="3B3838" w:themeColor="background2" w:themeShade="40"/>
          <w:sz w:val="24"/>
          <w:szCs w:val="24"/>
          <w:lang w:val="en-US"/>
        </w:rPr>
      </w:pPr>
    </w:p>
    <w:p w14:paraId="14D3E98D" w14:textId="4F497054" w:rsidR="00FF7743" w:rsidRPr="003625BA" w:rsidRDefault="002E37FC" w:rsidP="00BD6508">
      <w:pPr>
        <w:numPr>
          <w:ilvl w:val="1"/>
          <w:numId w:val="71"/>
        </w:numPr>
        <w:spacing w:line="276" w:lineRule="auto"/>
        <w:ind w:left="1440" w:right="543"/>
        <w:contextualSpacing/>
        <w:jc w:val="both"/>
        <w:rPr>
          <w:rFonts w:ascii="Arial" w:hAnsi="Arial" w:cs="Arial"/>
          <w:color w:val="3B3838" w:themeColor="background2" w:themeShade="40"/>
          <w:sz w:val="24"/>
          <w:szCs w:val="24"/>
          <w:lang w:val="en-US"/>
        </w:rPr>
      </w:pPr>
      <w:r w:rsidRPr="003625BA">
        <w:rPr>
          <w:rFonts w:ascii="Arial" w:hAnsi="Arial" w:cs="Arial"/>
          <w:color w:val="3B3838" w:themeColor="background2" w:themeShade="40"/>
          <w:sz w:val="24"/>
          <w:szCs w:val="24"/>
          <w:lang w:val="en-US"/>
        </w:rPr>
        <w:t>The creation of an environment in which data on tax can be appropriately appraised so that the success or otherwise of tax policy can be determined.</w:t>
      </w:r>
    </w:p>
    <w:p w14:paraId="5BAE4DB4" w14:textId="54D86520" w:rsidR="003E5F4B" w:rsidRDefault="003E5F4B" w:rsidP="003625BA">
      <w:pPr>
        <w:numPr>
          <w:ilvl w:val="1"/>
          <w:numId w:val="71"/>
        </w:numPr>
        <w:spacing w:line="276" w:lineRule="auto"/>
        <w:ind w:left="1440" w:right="543"/>
        <w:contextualSpacing/>
        <w:jc w:val="both"/>
        <w:rPr>
          <w:rFonts w:ascii="Arial" w:hAnsi="Arial" w:cs="Arial"/>
          <w:color w:val="FFFFFF" w:themeColor="background1"/>
          <w:sz w:val="24"/>
          <w:szCs w:val="24"/>
          <w:lang w:val="en-US"/>
        </w:rPr>
      </w:pPr>
    </w:p>
    <w:p w14:paraId="01A5FD0D" w14:textId="6440828F" w:rsidR="000D66D0" w:rsidRPr="003625BA" w:rsidRDefault="00FF7743" w:rsidP="00BD6508">
      <w:pPr>
        <w:spacing w:line="276" w:lineRule="auto"/>
        <w:contextualSpacing/>
        <w:jc w:val="both"/>
        <w:rPr>
          <w:rFonts w:ascii="Arial" w:hAnsi="Arial" w:cs="Arial"/>
          <w:color w:val="FFFFFF" w:themeColor="background1"/>
          <w:sz w:val="18"/>
          <w:szCs w:val="18"/>
          <w:lang w:val="en-US"/>
        </w:rPr>
      </w:pPr>
      <w:r w:rsidRPr="003625BA">
        <w:rPr>
          <w:rFonts w:ascii="Arial" w:hAnsi="Arial" w:cs="Arial"/>
          <w:noProof/>
          <w:color w:val="FFFFFF" w:themeColor="background1"/>
          <w:sz w:val="18"/>
          <w:szCs w:val="18"/>
          <w:lang w:val="en-US"/>
        </w:rPr>
        <w:drawing>
          <wp:anchor distT="0" distB="0" distL="114300" distR="114300" simplePos="0" relativeHeight="253362174" behindDoc="0" locked="0" layoutInCell="1" allowOverlap="1" wp14:anchorId="19E0597D" wp14:editId="0AB77A69">
            <wp:simplePos x="0" y="0"/>
            <wp:positionH relativeFrom="column">
              <wp:posOffset>355600</wp:posOffset>
            </wp:positionH>
            <wp:positionV relativeFrom="paragraph">
              <wp:posOffset>67945</wp:posOffset>
            </wp:positionV>
            <wp:extent cx="1409700" cy="736600"/>
            <wp:effectExtent l="25400" t="25400" r="88900" b="88900"/>
            <wp:wrapSquare wrapText="bothSides"/>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Picture 1531"/>
                    <pic:cNvPicPr/>
                  </pic:nvPicPr>
                  <pic:blipFill>
                    <a:blip r:embed="rId730" cstate="email">
                      <a:extLst>
                        <a:ext uri="{28A0092B-C50C-407E-A947-70E740481C1C}">
                          <a14:useLocalDpi xmlns:a14="http://schemas.microsoft.com/office/drawing/2010/main"/>
                        </a:ext>
                      </a:extLst>
                    </a:blip>
                    <a:stretch>
                      <a:fillRect/>
                    </a:stretch>
                  </pic:blipFill>
                  <pic:spPr>
                    <a:xfrm>
                      <a:off x="0" y="0"/>
                      <a:ext cx="1409700" cy="7366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EFBD05C" w14:textId="4A3CF6F1" w:rsidR="000D66D0" w:rsidRPr="00684451" w:rsidRDefault="002E37FC" w:rsidP="003625BA">
      <w:pPr>
        <w:spacing w:line="276" w:lineRule="auto"/>
        <w:ind w:left="567" w:right="401"/>
        <w:contextualSpacing/>
        <w:jc w:val="both"/>
        <w:rPr>
          <w:rFonts w:ascii="Arial" w:hAnsi="Arial" w:cs="Arial"/>
          <w:color w:val="000000" w:themeColor="text1"/>
          <w:sz w:val="24"/>
          <w:szCs w:val="24"/>
          <w:lang w:val="en-US"/>
        </w:rPr>
      </w:pPr>
      <w:r w:rsidRPr="00684451">
        <w:rPr>
          <w:rFonts w:ascii="Arial" w:hAnsi="Arial" w:cs="Arial"/>
          <w:color w:val="3B3838" w:themeColor="background2" w:themeShade="40"/>
          <w:sz w:val="24"/>
          <w:szCs w:val="24"/>
          <w:lang w:val="en-US"/>
        </w:rPr>
        <w:t xml:space="preserve">A brief </w:t>
      </w:r>
      <w:r w:rsidRPr="00684451">
        <w:rPr>
          <w:rFonts w:ascii="Arial" w:hAnsi="Arial" w:cs="Arial"/>
          <w:color w:val="3B3838" w:themeColor="background2" w:themeShade="40"/>
          <w:sz w:val="24"/>
          <w:szCs w:val="24"/>
        </w:rPr>
        <w:t xml:space="preserve">titled </w:t>
      </w:r>
      <w:r w:rsidRPr="00684451">
        <w:rPr>
          <w:rFonts w:ascii="Arial" w:hAnsi="Arial" w:cs="Arial"/>
          <w:bCs/>
          <w:color w:val="3B3838" w:themeColor="background2" w:themeShade="40"/>
          <w:sz w:val="24"/>
          <w:szCs w:val="24"/>
        </w:rPr>
        <w:t>“</w:t>
      </w:r>
      <w:hyperlink r:id="rId731" w:history="1">
        <w:r w:rsidRPr="00684451">
          <w:rPr>
            <w:rStyle w:val="Hyperlink"/>
            <w:rFonts w:ascii="Arial" w:hAnsi="Arial" w:cs="Arial"/>
            <w:sz w:val="24"/>
            <w:szCs w:val="24"/>
          </w:rPr>
          <w:t xml:space="preserve">Promoting more </w:t>
        </w:r>
        <w:r w:rsidRPr="00684451">
          <w:rPr>
            <w:rStyle w:val="Hyperlink"/>
            <w:rFonts w:ascii="Arial" w:hAnsi="Arial" w:cs="Arial"/>
            <w:sz w:val="24"/>
            <w:szCs w:val="24"/>
          </w:rPr>
          <w:softHyphen/>
          <w:t>open and accountable tax systems: The role of international principles and standards</w:t>
        </w:r>
        <w:r w:rsidRPr="00684451">
          <w:rPr>
            <w:rStyle w:val="Hyperlink"/>
            <w:rFonts w:ascii="Arial" w:hAnsi="Arial" w:cs="Arial"/>
            <w:bCs/>
            <w:color w:val="3B3838" w:themeColor="background2" w:themeShade="40"/>
            <w:sz w:val="24"/>
            <w:szCs w:val="24"/>
          </w:rPr>
          <w:t>”</w:t>
        </w:r>
      </w:hyperlink>
      <w:r w:rsidRPr="00684451">
        <w:rPr>
          <w:rStyle w:val="FootnoteReference"/>
          <w:rFonts w:ascii="Arial" w:hAnsi="Arial" w:cs="Arial"/>
          <w:bCs/>
          <w:color w:val="3B3838" w:themeColor="background2" w:themeShade="40"/>
          <w:sz w:val="24"/>
          <w:szCs w:val="24"/>
        </w:rPr>
        <w:footnoteReference w:id="50"/>
      </w:r>
      <w:r w:rsidRPr="00684451">
        <w:rPr>
          <w:rFonts w:ascii="Arial" w:hAnsi="Arial" w:cs="Arial"/>
          <w:bCs/>
          <w:color w:val="3B3838" w:themeColor="background2" w:themeShade="40"/>
          <w:sz w:val="24"/>
          <w:szCs w:val="24"/>
        </w:rPr>
        <w:t>.</w:t>
      </w:r>
    </w:p>
    <w:p w14:paraId="0418E596" w14:textId="25A58486" w:rsidR="000D66D0" w:rsidRPr="003625BA" w:rsidRDefault="000D66D0" w:rsidP="00E113BA">
      <w:pPr>
        <w:spacing w:line="276" w:lineRule="auto"/>
        <w:contextualSpacing/>
        <w:jc w:val="both"/>
        <w:rPr>
          <w:rFonts w:ascii="Arial" w:hAnsi="Arial" w:cs="Arial"/>
          <w:color w:val="3B3838" w:themeColor="background2" w:themeShade="40"/>
          <w:sz w:val="32"/>
          <w:szCs w:val="32"/>
        </w:rPr>
      </w:pPr>
    </w:p>
    <w:p w14:paraId="31D02658" w14:textId="77777777" w:rsidR="00FF7743" w:rsidRPr="00FF7743" w:rsidRDefault="00FF7743" w:rsidP="00BD6508">
      <w:pPr>
        <w:spacing w:after="120" w:line="276" w:lineRule="auto"/>
        <w:ind w:left="567" w:right="401"/>
        <w:contextualSpacing/>
        <w:jc w:val="both"/>
        <w:rPr>
          <w:rFonts w:ascii="Arial" w:hAnsi="Arial" w:cs="Arial"/>
          <w:color w:val="3B3838" w:themeColor="background2" w:themeShade="40"/>
          <w:sz w:val="24"/>
          <w:szCs w:val="24"/>
        </w:rPr>
      </w:pPr>
    </w:p>
    <w:p w14:paraId="50F66185" w14:textId="5A3D726A" w:rsidR="002E37FC" w:rsidRPr="00336D51" w:rsidRDefault="00D10D36" w:rsidP="00BD6508">
      <w:pPr>
        <w:spacing w:after="120" w:line="276" w:lineRule="auto"/>
        <w:ind w:left="567" w:right="401"/>
        <w:contextualSpacing/>
        <w:jc w:val="both"/>
        <w:rPr>
          <w:rFonts w:ascii="Arial" w:hAnsi="Arial" w:cs="Arial"/>
          <w:color w:val="FFFFFF" w:themeColor="background1"/>
          <w:sz w:val="24"/>
          <w:szCs w:val="24"/>
          <w:lang w:val="en-US"/>
        </w:rPr>
      </w:pPr>
      <w:r w:rsidRPr="003625BA">
        <w:rPr>
          <w:rFonts w:ascii="Arial" w:hAnsi="Arial" w:cs="Arial"/>
          <w:noProof/>
          <w:color w:val="3B3838" w:themeColor="background2" w:themeShade="40"/>
          <w:sz w:val="32"/>
          <w:szCs w:val="32"/>
          <w:lang w:val="en-US"/>
        </w:rPr>
        <w:lastRenderedPageBreak/>
        <w:drawing>
          <wp:anchor distT="0" distB="0" distL="114300" distR="114300" simplePos="0" relativeHeight="255074302" behindDoc="0" locked="0" layoutInCell="1" allowOverlap="1" wp14:anchorId="53B71C37" wp14:editId="1F153CBF">
            <wp:simplePos x="0" y="0"/>
            <wp:positionH relativeFrom="column">
              <wp:posOffset>7620</wp:posOffset>
            </wp:positionH>
            <wp:positionV relativeFrom="paragraph">
              <wp:posOffset>26670</wp:posOffset>
            </wp:positionV>
            <wp:extent cx="842645" cy="1085215"/>
            <wp:effectExtent l="25400" t="25400" r="84455" b="83185"/>
            <wp:wrapSquare wrapText="bothSides"/>
            <wp:docPr id="2741" name="Picture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Picture 2741"/>
                    <pic:cNvPicPr/>
                  </pic:nvPicPr>
                  <pic:blipFill>
                    <a:blip r:embed="rId732" cstate="email">
                      <a:extLst>
                        <a:ext uri="{28A0092B-C50C-407E-A947-70E740481C1C}">
                          <a14:useLocalDpi xmlns:a14="http://schemas.microsoft.com/office/drawing/2010/main"/>
                        </a:ext>
                      </a:extLst>
                    </a:blip>
                    <a:stretch>
                      <a:fillRect/>
                    </a:stretch>
                  </pic:blipFill>
                  <pic:spPr>
                    <a:xfrm>
                      <a:off x="0" y="0"/>
                      <a:ext cx="842645" cy="10852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E37FC" w:rsidRPr="00336D51">
        <w:rPr>
          <w:rFonts w:ascii="Arial" w:hAnsi="Arial" w:cs="Arial"/>
          <w:color w:val="3B3838" w:themeColor="background2" w:themeShade="40"/>
          <w:sz w:val="24"/>
          <w:szCs w:val="24"/>
        </w:rPr>
        <w:t xml:space="preserve">A scoping study titled </w:t>
      </w:r>
      <w:r w:rsidR="002E37FC" w:rsidRPr="00336D51">
        <w:rPr>
          <w:rFonts w:ascii="Arial" w:hAnsi="Arial" w:cs="Arial"/>
          <w:bCs/>
          <w:color w:val="3B3838" w:themeColor="background2" w:themeShade="40"/>
          <w:sz w:val="24"/>
          <w:szCs w:val="24"/>
        </w:rPr>
        <w:t>“</w:t>
      </w:r>
      <w:hyperlink r:id="rId733" w:history="1">
        <w:r w:rsidR="002E37FC" w:rsidRPr="00336D51">
          <w:rPr>
            <w:rStyle w:val="Hyperlink"/>
            <w:rFonts w:ascii="Arial" w:hAnsi="Arial" w:cs="Arial"/>
            <w:sz w:val="24"/>
            <w:szCs w:val="24"/>
          </w:rPr>
          <w:t>Tax Transparency and Informed Public Dialogue in Tax Policies: A civil society perspective on taxes: Scoping Study</w:t>
        </w:r>
        <w:r w:rsidR="002E37FC" w:rsidRPr="00336D51">
          <w:rPr>
            <w:rStyle w:val="Hyperlink"/>
            <w:rFonts w:ascii="Arial" w:hAnsi="Arial" w:cs="Arial"/>
            <w:bCs/>
            <w:color w:val="3B3838" w:themeColor="background2" w:themeShade="40"/>
            <w:sz w:val="24"/>
            <w:szCs w:val="24"/>
          </w:rPr>
          <w:t>”</w:t>
        </w:r>
      </w:hyperlink>
      <w:r w:rsidR="002E37FC" w:rsidRPr="00336D51">
        <w:rPr>
          <w:rFonts w:ascii="Arial" w:hAnsi="Arial" w:cs="Arial"/>
          <w:bCs/>
          <w:color w:val="3B3838" w:themeColor="background2" w:themeShade="40"/>
          <w:sz w:val="24"/>
          <w:szCs w:val="24"/>
          <w:vertAlign w:val="superscript"/>
        </w:rPr>
        <w:footnoteReference w:id="51"/>
      </w:r>
      <w:r w:rsidR="002E37FC" w:rsidRPr="00336D51">
        <w:rPr>
          <w:rFonts w:ascii="Arial" w:hAnsi="Arial" w:cs="Arial"/>
          <w:bCs/>
          <w:color w:val="3B3838" w:themeColor="background2" w:themeShade="40"/>
          <w:sz w:val="24"/>
          <w:szCs w:val="24"/>
        </w:rPr>
        <w:t>.</w:t>
      </w:r>
    </w:p>
    <w:p w14:paraId="667610B5" w14:textId="77777777" w:rsidR="00443455" w:rsidRPr="00BD6508" w:rsidRDefault="00443455" w:rsidP="002E37FC">
      <w:pPr>
        <w:spacing w:before="240" w:line="276" w:lineRule="auto"/>
        <w:jc w:val="both"/>
        <w:rPr>
          <w:rFonts w:ascii="Arial" w:hAnsi="Arial" w:cs="Arial"/>
          <w:sz w:val="10"/>
          <w:szCs w:val="10"/>
        </w:rPr>
      </w:pPr>
    </w:p>
    <w:p w14:paraId="6E58C77E" w14:textId="77777777" w:rsidR="00FF7743" w:rsidRDefault="00FF7743" w:rsidP="00BD6508">
      <w:pPr>
        <w:spacing w:before="240" w:line="276" w:lineRule="auto"/>
        <w:jc w:val="both"/>
        <w:rPr>
          <w:rFonts w:ascii="Arial" w:hAnsi="Arial" w:cs="Arial"/>
          <w:sz w:val="24"/>
          <w:szCs w:val="24"/>
        </w:rPr>
      </w:pPr>
    </w:p>
    <w:p w14:paraId="42046F26" w14:textId="77777777" w:rsidR="003A742D" w:rsidRDefault="003A742D" w:rsidP="00BD6508">
      <w:pPr>
        <w:spacing w:before="240" w:line="276" w:lineRule="auto"/>
        <w:jc w:val="both"/>
        <w:rPr>
          <w:rFonts w:ascii="Arial" w:hAnsi="Arial" w:cs="Arial"/>
          <w:sz w:val="24"/>
          <w:szCs w:val="24"/>
        </w:rPr>
      </w:pPr>
    </w:p>
    <w:p w14:paraId="17081C2A" w14:textId="6AD68049" w:rsidR="002E37FC" w:rsidRPr="00BD6508" w:rsidRDefault="002E37FC" w:rsidP="00BD6508">
      <w:pPr>
        <w:spacing w:before="240" w:line="276" w:lineRule="auto"/>
        <w:jc w:val="both"/>
        <w:rPr>
          <w:rFonts w:ascii="Arial" w:hAnsi="Arial" w:cs="Arial"/>
          <w:sz w:val="24"/>
          <w:szCs w:val="24"/>
        </w:rPr>
      </w:pPr>
      <w:r w:rsidRPr="00BD6508">
        <w:rPr>
          <w:rFonts w:ascii="Arial" w:hAnsi="Arial" w:cs="Arial"/>
          <w:sz w:val="24"/>
          <w:szCs w:val="24"/>
        </w:rPr>
        <w:t xml:space="preserve">These documents were designed to address a gap in the current debate – the lack of consensus around what constitutes revenue transparency and how best to promote public participation in decisions regarding taxation – by identifying the information and tools needed to promote strong civil society engagement in tax policy and administration. This research and related conversations informed the development of the GIFT </w:t>
      </w:r>
      <w:hyperlink r:id="rId734" w:history="1">
        <w:r w:rsidRPr="00BD6508">
          <w:rPr>
            <w:rStyle w:val="Hyperlink"/>
            <w:rFonts w:ascii="Arial" w:hAnsi="Arial" w:cs="Arial"/>
            <w:sz w:val="24"/>
            <w:szCs w:val="24"/>
          </w:rPr>
          <w:t>Transparency Principles for Tax Policy and Administration</w:t>
        </w:r>
      </w:hyperlink>
      <w:r w:rsidRPr="00BD6508">
        <w:rPr>
          <w:rFonts w:ascii="Arial" w:hAnsi="Arial" w:cs="Arial"/>
          <w:sz w:val="24"/>
          <w:szCs w:val="24"/>
        </w:rPr>
        <w:t xml:space="preserve"> (2022)</w:t>
      </w:r>
      <w:r w:rsidRPr="00BD6508">
        <w:rPr>
          <w:rStyle w:val="FootnoteReference"/>
          <w:rFonts w:ascii="Arial" w:hAnsi="Arial" w:cs="Arial"/>
          <w:sz w:val="24"/>
          <w:szCs w:val="24"/>
        </w:rPr>
        <w:footnoteReference w:id="52"/>
      </w:r>
      <w:r w:rsidRPr="00BD6508">
        <w:rPr>
          <w:rFonts w:ascii="Arial" w:hAnsi="Arial" w:cs="Arial"/>
          <w:sz w:val="24"/>
          <w:szCs w:val="24"/>
        </w:rPr>
        <w:t>. This new set of global principles aims to establish standards for the transparency, participation, and accountability of domestic tax systems to promote an informed public and provide the basis for a strong social compact between government and the governed that helps ensure that tax systems raise needed revenues more equitably and efficiently. The new principles are intended to apply to all government jurisdictions with the authority to tax and are intended to apply to all country contexts. They are designed to promote improvements in the scope, consistency, and quality of information that governments make available to the public and to establish a framework for how governments meaningfully engage with their stakeholders around issues of tax policy and administration with the ultimate goal of ensuring that public resources are used to advance the public interest</w:t>
      </w:r>
      <w:r w:rsidRPr="00BD6508">
        <w:rPr>
          <w:rFonts w:ascii="Arial" w:hAnsi="Arial" w:cs="Arial"/>
          <w:sz w:val="24"/>
          <w:szCs w:val="24"/>
          <w:lang w:val="en-US"/>
        </w:rPr>
        <w:t xml:space="preserve">. </w:t>
      </w:r>
      <w:r w:rsidRPr="00BD6508">
        <w:rPr>
          <w:rFonts w:ascii="Arial" w:hAnsi="Arial" w:cs="Arial"/>
          <w:sz w:val="24"/>
          <w:szCs w:val="24"/>
        </w:rPr>
        <w:t>These new principles address fundamental components of good governance and seek to cultivate the trust required to ensure a more sustainable fiscal pact, namely</w:t>
      </w:r>
      <w:r w:rsidR="005F10AD">
        <w:rPr>
          <w:rFonts w:ascii="Arial" w:hAnsi="Arial" w:cs="Arial"/>
          <w:sz w:val="24"/>
          <w:szCs w:val="24"/>
        </w:rPr>
        <w:t xml:space="preserve"> the</w:t>
      </w:r>
      <w:r w:rsidR="005F10AD" w:rsidRPr="005F10AD">
        <w:t xml:space="preserve"> </w:t>
      </w:r>
      <w:r w:rsidR="005F10AD" w:rsidRPr="005F10AD">
        <w:rPr>
          <w:rFonts w:ascii="Arial" w:hAnsi="Arial" w:cs="Arial"/>
          <w:sz w:val="24"/>
          <w:szCs w:val="24"/>
        </w:rPr>
        <w:t>right of access to information, proactive transparency, accountability, and public participation</w:t>
      </w:r>
      <w:r w:rsidR="005F10AD">
        <w:rPr>
          <w:rFonts w:ascii="Arial" w:hAnsi="Arial" w:cs="Arial"/>
          <w:sz w:val="24"/>
          <w:szCs w:val="24"/>
        </w:rPr>
        <w:t>.</w:t>
      </w:r>
      <w:r w:rsidRPr="00BD6508">
        <w:rPr>
          <w:rFonts w:ascii="Arial" w:hAnsi="Arial" w:cs="Arial"/>
          <w:sz w:val="24"/>
          <w:szCs w:val="24"/>
        </w:rPr>
        <w:t xml:space="preserve"> </w:t>
      </w:r>
    </w:p>
    <w:p w14:paraId="4B518C29" w14:textId="7DD0A194" w:rsidR="002E37FC" w:rsidRPr="00BD6508" w:rsidRDefault="00B87908" w:rsidP="00BD6508">
      <w:pPr>
        <w:spacing w:line="276" w:lineRule="auto"/>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69342" behindDoc="0" locked="0" layoutInCell="1" allowOverlap="1" wp14:anchorId="5CC5AE89" wp14:editId="0830E4CF">
                <wp:simplePos x="0" y="0"/>
                <wp:positionH relativeFrom="column">
                  <wp:posOffset>127000</wp:posOffset>
                </wp:positionH>
                <wp:positionV relativeFrom="paragraph">
                  <wp:posOffset>202565</wp:posOffset>
                </wp:positionV>
                <wp:extent cx="228600" cy="266700"/>
                <wp:effectExtent l="0" t="0" r="0" b="0"/>
                <wp:wrapNone/>
                <wp:docPr id="1601" name="Oval 1601"/>
                <wp:cNvGraphicFramePr/>
                <a:graphic xmlns:a="http://schemas.openxmlformats.org/drawingml/2006/main">
                  <a:graphicData uri="http://schemas.microsoft.com/office/word/2010/wordprocessingShape">
                    <wps:wsp>
                      <wps:cNvSpPr/>
                      <wps:spPr>
                        <a:xfrm>
                          <a:off x="0" y="0"/>
                          <a:ext cx="228600" cy="2667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72B4DEEF" id="Oval 1601" o:spid="_x0000_s1026" style="position:absolute;margin-left:10pt;margin-top:15.95pt;width:18pt;height:21pt;z-index:2533693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" fillcolor="white [3212]" stroked="f" strokeweight="1pt">
                <v:stroke joinstyle="miter"/>
              </v:oval>
            </w:pict>
          </mc:Fallback>
        </mc:AlternateContent>
      </w:r>
    </w:p>
    <w:p w14:paraId="4910BC03" w14:textId="6AC5B98E" w:rsidR="002E37FC" w:rsidRPr="00BD6508" w:rsidRDefault="002E37FC" w:rsidP="00BD6508">
      <w:pPr>
        <w:spacing w:line="276" w:lineRule="auto"/>
        <w:jc w:val="both"/>
        <w:rPr>
          <w:rFonts w:ascii="Arial" w:hAnsi="Arial" w:cs="Arial"/>
          <w:sz w:val="24"/>
          <w:szCs w:val="24"/>
          <w:lang w:val="en-US"/>
        </w:rPr>
      </w:pPr>
    </w:p>
    <w:p w14:paraId="130300CD" w14:textId="0D8D59AB" w:rsidR="004E3B22" w:rsidRPr="00BD6508" w:rsidRDefault="004E3B22" w:rsidP="00BD6508">
      <w:pPr>
        <w:spacing w:line="276" w:lineRule="auto"/>
        <w:rPr>
          <w:rFonts w:ascii="Arial" w:hAnsi="Arial" w:cs="Arial"/>
          <w:sz w:val="24"/>
          <w:szCs w:val="24"/>
          <w:lang w:val="en-US"/>
        </w:rPr>
      </w:pPr>
    </w:p>
    <w:p w14:paraId="64139707" w14:textId="5C6AABD3" w:rsidR="003F4708" w:rsidRDefault="003F4708" w:rsidP="004E3B22">
      <w:pPr>
        <w:spacing w:line="276" w:lineRule="auto"/>
        <w:rPr>
          <w:rFonts w:ascii="Arial" w:hAnsi="Arial" w:cs="Arial"/>
          <w:sz w:val="24"/>
          <w:szCs w:val="24"/>
        </w:rPr>
      </w:pPr>
    </w:p>
    <w:p w14:paraId="034EA8E1" w14:textId="7BB17070" w:rsidR="00B87908" w:rsidRPr="00B87908" w:rsidRDefault="00B87908" w:rsidP="00BD6508">
      <w:pPr>
        <w:rPr>
          <w:rFonts w:ascii="Arial" w:hAnsi="Arial" w:cs="Arial"/>
          <w:sz w:val="24"/>
          <w:szCs w:val="24"/>
        </w:rPr>
      </w:pPr>
    </w:p>
    <w:p w14:paraId="61337B70" w14:textId="0F13671C" w:rsidR="00B87908" w:rsidRPr="00B87908" w:rsidRDefault="00B87908" w:rsidP="00BD6508">
      <w:pPr>
        <w:rPr>
          <w:rFonts w:ascii="Arial" w:hAnsi="Arial" w:cs="Arial"/>
          <w:sz w:val="24"/>
          <w:szCs w:val="24"/>
        </w:rPr>
      </w:pPr>
    </w:p>
    <w:p w14:paraId="76675477" w14:textId="2D5AFDA8" w:rsidR="00B87908" w:rsidRDefault="00B87908" w:rsidP="00B87908">
      <w:pPr>
        <w:rPr>
          <w:rFonts w:ascii="Arial" w:hAnsi="Arial" w:cs="Arial"/>
          <w:sz w:val="24"/>
          <w:szCs w:val="24"/>
        </w:rPr>
      </w:pPr>
    </w:p>
    <w:p w14:paraId="16C1EF46" w14:textId="406EB334" w:rsidR="00EA05B2" w:rsidRDefault="00EA05B2" w:rsidP="00B87908">
      <w:pPr>
        <w:rPr>
          <w:rFonts w:ascii="Arial" w:hAnsi="Arial" w:cs="Arial"/>
          <w:sz w:val="24"/>
          <w:szCs w:val="24"/>
        </w:rPr>
      </w:pPr>
    </w:p>
    <w:p w14:paraId="71DDA3C9" w14:textId="4B73A80C" w:rsidR="00EA05B2" w:rsidRDefault="00EA05B2" w:rsidP="00B87908">
      <w:pPr>
        <w:rPr>
          <w:rFonts w:ascii="Arial" w:hAnsi="Arial" w:cs="Arial"/>
          <w:sz w:val="24"/>
          <w:szCs w:val="24"/>
        </w:rPr>
      </w:pPr>
    </w:p>
    <w:p w14:paraId="2F02A56F" w14:textId="1DB21A2B" w:rsidR="00EA05B2" w:rsidRDefault="00EA05B2" w:rsidP="00B87908">
      <w:pPr>
        <w:rPr>
          <w:rFonts w:ascii="Arial" w:hAnsi="Arial" w:cs="Arial"/>
          <w:sz w:val="24"/>
          <w:szCs w:val="24"/>
        </w:rPr>
      </w:pPr>
    </w:p>
    <w:p w14:paraId="54A2A927" w14:textId="2FA80362" w:rsidR="00EA05B2" w:rsidRDefault="00EA05B2" w:rsidP="00B87908">
      <w:pPr>
        <w:rPr>
          <w:rFonts w:ascii="Arial" w:hAnsi="Arial" w:cs="Arial"/>
          <w:sz w:val="24"/>
          <w:szCs w:val="24"/>
        </w:rPr>
      </w:pPr>
    </w:p>
    <w:p w14:paraId="5B969F51" w14:textId="45718E05" w:rsidR="00EA05B2" w:rsidRDefault="00EA05B2" w:rsidP="00B87908">
      <w:pPr>
        <w:rPr>
          <w:rFonts w:ascii="Arial" w:hAnsi="Arial" w:cs="Arial"/>
          <w:sz w:val="24"/>
          <w:szCs w:val="24"/>
        </w:rPr>
      </w:pPr>
    </w:p>
    <w:p w14:paraId="3062410A" w14:textId="77777777" w:rsidR="00EA05B2" w:rsidRDefault="00EA05B2" w:rsidP="00B87908">
      <w:pPr>
        <w:rPr>
          <w:rFonts w:ascii="Arial" w:hAnsi="Arial" w:cs="Arial"/>
          <w:sz w:val="24"/>
          <w:szCs w:val="24"/>
        </w:rPr>
      </w:pPr>
    </w:p>
    <w:p w14:paraId="755E85B5" w14:textId="46916826" w:rsidR="00B87908" w:rsidRPr="003625BA" w:rsidRDefault="00F95E23" w:rsidP="003625BA">
      <w:pPr>
        <w:pStyle w:val="Heading3"/>
        <w:jc w:val="center"/>
        <w:rPr>
          <w:rFonts w:ascii="Arial" w:hAnsi="Arial" w:cs="Arial"/>
          <w:b/>
          <w:bCs/>
          <w:color w:val="69557F"/>
          <w:sz w:val="20"/>
          <w:szCs w:val="20"/>
        </w:rPr>
      </w:pPr>
      <w:bookmarkStart w:id="1617" w:name="_Figure_3.4._GIFT"/>
      <w:bookmarkStart w:id="1618" w:name="_Toc123217457"/>
      <w:bookmarkStart w:id="1619" w:name="_Toc123914074"/>
      <w:bookmarkStart w:id="1620" w:name="_Toc125566689"/>
      <w:bookmarkEnd w:id="1617"/>
      <w:r w:rsidRPr="003625BA">
        <w:rPr>
          <w:rFonts w:ascii="Arial" w:hAnsi="Arial" w:cs="Arial"/>
          <w:b/>
          <w:bCs/>
          <w:noProof/>
          <w:color w:val="69557F"/>
          <w:sz w:val="20"/>
          <w:szCs w:val="20"/>
          <w:lang w:val="en-US"/>
        </w:rPr>
        <w:lastRenderedPageBreak/>
        <w:drawing>
          <wp:anchor distT="0" distB="0" distL="114300" distR="114300" simplePos="0" relativeHeight="255063038" behindDoc="1" locked="0" layoutInCell="1" allowOverlap="1" wp14:anchorId="0CBF8916" wp14:editId="26E5448B">
            <wp:simplePos x="0" y="0"/>
            <wp:positionH relativeFrom="column">
              <wp:posOffset>0</wp:posOffset>
            </wp:positionH>
            <wp:positionV relativeFrom="paragraph">
              <wp:posOffset>7662250</wp:posOffset>
            </wp:positionV>
            <wp:extent cx="6645910" cy="762000"/>
            <wp:effectExtent l="0" t="0" r="0" b="0"/>
            <wp:wrapTight wrapText="bothSides">
              <wp:wrapPolygon edited="0">
                <wp:start x="0" y="0"/>
                <wp:lineTo x="0" y="21240"/>
                <wp:lineTo x="21546" y="21240"/>
                <wp:lineTo x="21546" y="0"/>
                <wp:lineTo x="0" y="0"/>
              </wp:wrapPolygon>
            </wp:wrapTight>
            <wp:docPr id="2732" name="Picture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Picture 2731"/>
                    <pic:cNvPicPr/>
                  </pic:nvPicPr>
                  <pic:blipFill rotWithShape="1">
                    <a:blip r:embed="rId735" cstate="screen">
                      <a:extLst>
                        <a:ext uri="{28A0092B-C50C-407E-A947-70E740481C1C}">
                          <a14:useLocalDpi xmlns:a14="http://schemas.microsoft.com/office/drawing/2010/main"/>
                        </a:ext>
                      </a:extLst>
                    </a:blip>
                    <a:srcRect/>
                    <a:stretch/>
                  </pic:blipFill>
                  <pic:spPr bwMode="auto">
                    <a:xfrm>
                      <a:off x="0" y="0"/>
                      <a:ext cx="6645910" cy="7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5BA">
        <w:rPr>
          <w:rFonts w:ascii="Arial" w:hAnsi="Arial" w:cs="Arial"/>
          <w:b/>
          <w:bCs/>
          <w:noProof/>
          <w:color w:val="69557F"/>
          <w:sz w:val="20"/>
          <w:szCs w:val="20"/>
          <w:lang w:val="en-US"/>
        </w:rPr>
        <w:drawing>
          <wp:anchor distT="0" distB="0" distL="114300" distR="114300" simplePos="0" relativeHeight="255059966" behindDoc="1" locked="0" layoutInCell="1" allowOverlap="1" wp14:anchorId="7843BD0F" wp14:editId="7A3A2710">
            <wp:simplePos x="0" y="0"/>
            <wp:positionH relativeFrom="column">
              <wp:posOffset>0</wp:posOffset>
            </wp:positionH>
            <wp:positionV relativeFrom="paragraph">
              <wp:posOffset>4487545</wp:posOffset>
            </wp:positionV>
            <wp:extent cx="6645910" cy="3238500"/>
            <wp:effectExtent l="0" t="0" r="0" b="0"/>
            <wp:wrapTight wrapText="bothSides">
              <wp:wrapPolygon edited="0">
                <wp:start x="0" y="0"/>
                <wp:lineTo x="0" y="21515"/>
                <wp:lineTo x="21546" y="21515"/>
                <wp:lineTo x="21546" y="0"/>
                <wp:lineTo x="0" y="0"/>
              </wp:wrapPolygon>
            </wp:wrapTight>
            <wp:docPr id="2730" name="Picture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 name="Picture 2730"/>
                    <pic:cNvPicPr/>
                  </pic:nvPicPr>
                  <pic:blipFill rotWithShape="1">
                    <a:blip r:embed="rId736" cstate="screen">
                      <a:extLst>
                        <a:ext uri="{28A0092B-C50C-407E-A947-70E740481C1C}">
                          <a14:useLocalDpi xmlns:a14="http://schemas.microsoft.com/office/drawing/2010/main"/>
                        </a:ext>
                      </a:extLst>
                    </a:blip>
                    <a:srcRect/>
                    <a:stretch/>
                  </pic:blipFill>
                  <pic:spPr bwMode="auto">
                    <a:xfrm>
                      <a:off x="0" y="0"/>
                      <a:ext cx="6645910" cy="323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0125" w:rsidRPr="003625BA">
        <w:rPr>
          <w:rFonts w:ascii="Arial" w:hAnsi="Arial" w:cs="Arial"/>
          <w:b/>
          <w:bCs/>
          <w:color w:val="69557F"/>
          <w:sz w:val="20"/>
          <w:szCs w:val="20"/>
          <w:lang w:val="en-US"/>
        </w:rPr>
        <w:t xml:space="preserve">Figure </w:t>
      </w:r>
      <w:r w:rsidR="004750D1" w:rsidRPr="003625BA">
        <w:rPr>
          <w:rFonts w:ascii="Arial" w:hAnsi="Arial" w:cs="Arial"/>
          <w:b/>
          <w:bCs/>
          <w:color w:val="69557F"/>
          <w:sz w:val="20"/>
          <w:szCs w:val="20"/>
          <w:lang w:val="en-US"/>
        </w:rPr>
        <w:t>3.</w:t>
      </w:r>
      <w:r w:rsidR="004C79A7">
        <w:rPr>
          <w:rFonts w:ascii="Arial" w:hAnsi="Arial" w:cs="Arial"/>
          <w:b/>
          <w:bCs/>
          <w:color w:val="69557F"/>
          <w:sz w:val="20"/>
          <w:szCs w:val="20"/>
          <w:lang w:val="en-US"/>
        </w:rPr>
        <w:t>4.</w:t>
      </w:r>
      <w:r w:rsidRPr="003625BA">
        <w:rPr>
          <w:rFonts w:ascii="Arial" w:hAnsi="Arial" w:cs="Arial"/>
          <w:b/>
          <w:bCs/>
          <w:color w:val="69557F"/>
          <w:sz w:val="20"/>
          <w:szCs w:val="20"/>
          <w:lang w:val="en-US"/>
        </w:rPr>
        <w:t xml:space="preserve"> </w:t>
      </w:r>
      <w:r w:rsidR="00890125" w:rsidRPr="003625BA">
        <w:rPr>
          <w:rFonts w:ascii="Arial" w:hAnsi="Arial" w:cs="Arial"/>
          <w:b/>
          <w:bCs/>
          <w:color w:val="69557F"/>
          <w:sz w:val="20"/>
          <w:szCs w:val="20"/>
          <w:lang w:val="en-US"/>
        </w:rPr>
        <w:t>GIFT Transparency Principles for Tax Policy and Administration</w:t>
      </w:r>
      <w:bookmarkEnd w:id="1618"/>
      <w:bookmarkEnd w:id="1619"/>
      <w:bookmarkEnd w:id="1620"/>
    </w:p>
    <w:p w14:paraId="121E9B27" w14:textId="0DB463E3" w:rsidR="0039114B" w:rsidRDefault="00F95E23" w:rsidP="00C707C3">
      <w:pPr>
        <w:spacing w:before="240"/>
        <w:jc w:val="both"/>
        <w:rPr>
          <w:lang w:val="en-US"/>
        </w:rPr>
      </w:pPr>
      <w:r>
        <w:rPr>
          <w:rFonts w:ascii="Arial" w:hAnsi="Arial" w:cs="Arial"/>
          <w:b/>
          <w:bCs/>
          <w:noProof/>
          <w:sz w:val="20"/>
          <w:szCs w:val="20"/>
          <w:lang w:val="en-US"/>
        </w:rPr>
        <w:drawing>
          <wp:anchor distT="0" distB="0" distL="114300" distR="114300" simplePos="0" relativeHeight="255058942" behindDoc="1" locked="0" layoutInCell="1" allowOverlap="1" wp14:anchorId="2115852D" wp14:editId="1BAD9F4B">
            <wp:simplePos x="0" y="0"/>
            <wp:positionH relativeFrom="margin">
              <wp:align>center</wp:align>
            </wp:positionH>
            <wp:positionV relativeFrom="paragraph">
              <wp:posOffset>151130</wp:posOffset>
            </wp:positionV>
            <wp:extent cx="6645910" cy="4203700"/>
            <wp:effectExtent l="0" t="0" r="0" b="0"/>
            <wp:wrapTight wrapText="bothSides">
              <wp:wrapPolygon edited="0">
                <wp:start x="0" y="0"/>
                <wp:lineTo x="0" y="21535"/>
                <wp:lineTo x="21546" y="21535"/>
                <wp:lineTo x="21546" y="0"/>
                <wp:lineTo x="0" y="0"/>
              </wp:wrapPolygon>
            </wp:wrapTight>
            <wp:docPr id="2729" name="Picture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 name="Picture 2729"/>
                    <pic:cNvPicPr/>
                  </pic:nvPicPr>
                  <pic:blipFill rotWithShape="1">
                    <a:blip r:embed="rId737" cstate="screen">
                      <a:extLst>
                        <a:ext uri="{28A0092B-C50C-407E-A947-70E740481C1C}">
                          <a14:useLocalDpi xmlns:a14="http://schemas.microsoft.com/office/drawing/2010/main"/>
                        </a:ext>
                      </a:extLst>
                    </a:blip>
                    <a:srcRect/>
                    <a:stretch/>
                  </pic:blipFill>
                  <pic:spPr bwMode="auto">
                    <a:xfrm>
                      <a:off x="0" y="0"/>
                      <a:ext cx="6645910" cy="420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61843E" w14:textId="33614FF2" w:rsidR="0039114B" w:rsidRDefault="0039114B" w:rsidP="00C707C3">
      <w:pPr>
        <w:spacing w:before="240"/>
        <w:jc w:val="both"/>
        <w:rPr>
          <w:lang w:val="en-US"/>
        </w:rPr>
      </w:pPr>
    </w:p>
    <w:p w14:paraId="4510F0C6" w14:textId="66480273" w:rsidR="0039114B" w:rsidRDefault="00F95E23" w:rsidP="00C707C3">
      <w:pPr>
        <w:spacing w:before="240"/>
        <w:jc w:val="both"/>
        <w:rPr>
          <w:lang w:val="en-US"/>
        </w:rPr>
      </w:pPr>
      <w:r>
        <w:rPr>
          <w:noProof/>
          <w:lang w:val="en-US"/>
        </w:rPr>
        <w:lastRenderedPageBreak/>
        <w:drawing>
          <wp:anchor distT="0" distB="0" distL="114300" distR="114300" simplePos="0" relativeHeight="255064062" behindDoc="1" locked="0" layoutInCell="1" allowOverlap="1" wp14:anchorId="51846944" wp14:editId="3570C644">
            <wp:simplePos x="0" y="0"/>
            <wp:positionH relativeFrom="margin">
              <wp:posOffset>0</wp:posOffset>
            </wp:positionH>
            <wp:positionV relativeFrom="paragraph">
              <wp:posOffset>2011045</wp:posOffset>
            </wp:positionV>
            <wp:extent cx="6645910" cy="2895600"/>
            <wp:effectExtent l="0" t="0" r="0" b="0"/>
            <wp:wrapTight wrapText="bothSides">
              <wp:wrapPolygon edited="0">
                <wp:start x="0" y="0"/>
                <wp:lineTo x="0" y="21505"/>
                <wp:lineTo x="21546" y="21505"/>
                <wp:lineTo x="21546" y="0"/>
                <wp:lineTo x="0" y="0"/>
              </wp:wrapPolygon>
            </wp:wrapTight>
            <wp:docPr id="2733" name="Picture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 name="Picture 2733"/>
                    <pic:cNvPicPr/>
                  </pic:nvPicPr>
                  <pic:blipFill rotWithShape="1">
                    <a:blip r:embed="rId738" cstate="screen">
                      <a:extLst>
                        <a:ext uri="{28A0092B-C50C-407E-A947-70E740481C1C}">
                          <a14:useLocalDpi xmlns:a14="http://schemas.microsoft.com/office/drawing/2010/main"/>
                        </a:ext>
                      </a:extLst>
                    </a:blip>
                    <a:srcRect/>
                    <a:stretch/>
                  </pic:blipFill>
                  <pic:spPr bwMode="auto">
                    <a:xfrm>
                      <a:off x="0" y="0"/>
                      <a:ext cx="6645910" cy="289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en-US"/>
        </w:rPr>
        <w:drawing>
          <wp:anchor distT="0" distB="0" distL="114300" distR="114300" simplePos="0" relativeHeight="255060990" behindDoc="1" locked="0" layoutInCell="1" allowOverlap="1" wp14:anchorId="2ECF6EDB" wp14:editId="68C9AC37">
            <wp:simplePos x="0" y="0"/>
            <wp:positionH relativeFrom="margin">
              <wp:align>center</wp:align>
            </wp:positionH>
            <wp:positionV relativeFrom="paragraph">
              <wp:posOffset>0</wp:posOffset>
            </wp:positionV>
            <wp:extent cx="6645910" cy="2006600"/>
            <wp:effectExtent l="0" t="0" r="0" b="0"/>
            <wp:wrapTight wrapText="bothSides">
              <wp:wrapPolygon edited="0">
                <wp:start x="0" y="0"/>
                <wp:lineTo x="0" y="21463"/>
                <wp:lineTo x="21546" y="21463"/>
                <wp:lineTo x="21546" y="0"/>
                <wp:lineTo x="0" y="0"/>
              </wp:wrapPolygon>
            </wp:wrapTight>
            <wp:docPr id="2731" name="Picture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Picture 2731"/>
                    <pic:cNvPicPr/>
                  </pic:nvPicPr>
                  <pic:blipFill rotWithShape="1">
                    <a:blip r:embed="rId739" cstate="screen">
                      <a:extLst>
                        <a:ext uri="{28A0092B-C50C-407E-A947-70E740481C1C}">
                          <a14:useLocalDpi xmlns:a14="http://schemas.microsoft.com/office/drawing/2010/main"/>
                        </a:ext>
                      </a:extLst>
                    </a:blip>
                    <a:srcRect/>
                    <a:stretch/>
                  </pic:blipFill>
                  <pic:spPr bwMode="auto">
                    <a:xfrm>
                      <a:off x="0" y="0"/>
                      <a:ext cx="6645910" cy="200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0ECAD" w14:textId="04A40DBC" w:rsidR="0039114B" w:rsidRDefault="0039114B" w:rsidP="00C707C3">
      <w:pPr>
        <w:spacing w:before="240"/>
        <w:jc w:val="both"/>
        <w:rPr>
          <w:lang w:val="en-US"/>
        </w:rPr>
      </w:pPr>
    </w:p>
    <w:p w14:paraId="3E2D3069" w14:textId="6E90FA28" w:rsidR="0039114B" w:rsidRDefault="0039114B" w:rsidP="00C707C3">
      <w:pPr>
        <w:spacing w:before="240"/>
        <w:jc w:val="both"/>
        <w:rPr>
          <w:lang w:val="en-US"/>
        </w:rPr>
      </w:pPr>
    </w:p>
    <w:p w14:paraId="679FDAD3" w14:textId="6E7758B4" w:rsidR="0039114B" w:rsidRDefault="0039114B" w:rsidP="00C707C3">
      <w:pPr>
        <w:spacing w:before="240"/>
        <w:jc w:val="both"/>
        <w:rPr>
          <w:lang w:val="en-US"/>
        </w:rPr>
      </w:pPr>
    </w:p>
    <w:p w14:paraId="31EDA238" w14:textId="0B72B48D" w:rsidR="00F95E23" w:rsidRDefault="00F95E23" w:rsidP="00C707C3">
      <w:pPr>
        <w:spacing w:before="240"/>
        <w:jc w:val="both"/>
        <w:rPr>
          <w:lang w:val="en-US"/>
        </w:rPr>
      </w:pPr>
    </w:p>
    <w:p w14:paraId="4A852B49" w14:textId="2656C687" w:rsidR="00F95E23" w:rsidRDefault="00F95E23" w:rsidP="00C707C3">
      <w:pPr>
        <w:spacing w:before="240"/>
        <w:jc w:val="both"/>
        <w:rPr>
          <w:lang w:val="en-US"/>
        </w:rPr>
      </w:pPr>
    </w:p>
    <w:p w14:paraId="6A0AF23F" w14:textId="1EBD4D01" w:rsidR="00F95E23" w:rsidRDefault="00F95E23" w:rsidP="00C707C3">
      <w:pPr>
        <w:spacing w:before="240"/>
        <w:jc w:val="both"/>
        <w:rPr>
          <w:lang w:val="en-US"/>
        </w:rPr>
      </w:pPr>
    </w:p>
    <w:p w14:paraId="5F3FD349" w14:textId="7E233303" w:rsidR="00F95E23" w:rsidRDefault="00F95E23" w:rsidP="00C707C3">
      <w:pPr>
        <w:spacing w:before="240"/>
        <w:jc w:val="both"/>
        <w:rPr>
          <w:lang w:val="en-US"/>
        </w:rPr>
      </w:pPr>
    </w:p>
    <w:p w14:paraId="2768FD71" w14:textId="67614979" w:rsidR="00F95E23" w:rsidRDefault="00F95E23" w:rsidP="00C707C3">
      <w:pPr>
        <w:spacing w:before="240"/>
        <w:jc w:val="both"/>
        <w:rPr>
          <w:lang w:val="en-US"/>
        </w:rPr>
      </w:pPr>
    </w:p>
    <w:p w14:paraId="1A4C8FA2" w14:textId="637527BB" w:rsidR="00F95E23" w:rsidRDefault="00F95E23" w:rsidP="00C707C3">
      <w:pPr>
        <w:spacing w:before="240"/>
        <w:jc w:val="both"/>
        <w:rPr>
          <w:lang w:val="en-US"/>
        </w:rPr>
      </w:pPr>
    </w:p>
    <w:p w14:paraId="20821C4F" w14:textId="3E1570EA" w:rsidR="00F95E23" w:rsidRDefault="00F95E23" w:rsidP="00C707C3">
      <w:pPr>
        <w:spacing w:before="240"/>
        <w:jc w:val="both"/>
        <w:rPr>
          <w:lang w:val="en-US"/>
        </w:rPr>
      </w:pPr>
    </w:p>
    <w:p w14:paraId="559E92C9" w14:textId="77777777" w:rsidR="00F95E23" w:rsidRDefault="00F95E23" w:rsidP="00C707C3">
      <w:pPr>
        <w:spacing w:before="240"/>
        <w:jc w:val="both"/>
        <w:rPr>
          <w:lang w:val="en-US"/>
        </w:rPr>
      </w:pPr>
    </w:p>
    <w:p w14:paraId="45E0CECD" w14:textId="56182A4D" w:rsidR="0039114B" w:rsidRPr="00057172" w:rsidRDefault="0039114B" w:rsidP="0039114B">
      <w:pPr>
        <w:pStyle w:val="Heading2"/>
        <w:numPr>
          <w:ilvl w:val="1"/>
          <w:numId w:val="105"/>
        </w:numPr>
        <w:rPr>
          <w:rFonts w:ascii="Arial" w:hAnsi="Arial" w:cs="Arial"/>
          <w:b/>
          <w:bCs/>
          <w:color w:val="F9A133"/>
          <w:sz w:val="36"/>
          <w:szCs w:val="36"/>
          <w:lang w:val="en-US"/>
        </w:rPr>
      </w:pPr>
      <w:bookmarkStart w:id="1621" w:name="_Toc123204507"/>
      <w:bookmarkStart w:id="1622" w:name="_Toc123216618"/>
      <w:bookmarkStart w:id="1623" w:name="_Toc123217458"/>
      <w:bookmarkStart w:id="1624" w:name="_Toc123913419"/>
      <w:bookmarkStart w:id="1625" w:name="_Toc123914075"/>
      <w:bookmarkStart w:id="1626" w:name="_Toc125566690"/>
      <w:r w:rsidRPr="00057172">
        <w:rPr>
          <w:rFonts w:ascii="Arial" w:hAnsi="Arial" w:cs="Arial"/>
          <w:b/>
          <w:bCs/>
          <w:color w:val="F9A133"/>
          <w:sz w:val="36"/>
          <w:szCs w:val="36"/>
          <w:lang w:val="en-US"/>
        </w:rPr>
        <w:lastRenderedPageBreak/>
        <w:t xml:space="preserve">Natural </w:t>
      </w:r>
      <w:r w:rsidR="00210326" w:rsidRPr="00057172">
        <w:rPr>
          <w:rFonts w:ascii="Arial" w:hAnsi="Arial" w:cs="Arial"/>
          <w:b/>
          <w:bCs/>
          <w:color w:val="F9A133"/>
          <w:sz w:val="36"/>
          <w:szCs w:val="36"/>
          <w:lang w:val="en-US"/>
        </w:rPr>
        <w:t>r</w:t>
      </w:r>
      <w:r w:rsidRPr="00057172">
        <w:rPr>
          <w:rFonts w:ascii="Arial" w:hAnsi="Arial" w:cs="Arial"/>
          <w:b/>
          <w:bCs/>
          <w:color w:val="F9A133"/>
          <w:sz w:val="36"/>
          <w:szCs w:val="36"/>
          <w:lang w:val="en-US"/>
        </w:rPr>
        <w:t xml:space="preserve">esource </w:t>
      </w:r>
      <w:r w:rsidR="00210326" w:rsidRPr="00057172">
        <w:rPr>
          <w:rFonts w:ascii="Arial" w:hAnsi="Arial" w:cs="Arial"/>
          <w:b/>
          <w:bCs/>
          <w:color w:val="F9A133"/>
          <w:sz w:val="36"/>
          <w:szCs w:val="36"/>
          <w:lang w:val="en-US"/>
        </w:rPr>
        <w:t>r</w:t>
      </w:r>
      <w:r w:rsidRPr="00057172">
        <w:rPr>
          <w:rFonts w:ascii="Arial" w:hAnsi="Arial" w:cs="Arial"/>
          <w:b/>
          <w:bCs/>
          <w:color w:val="F9A133"/>
          <w:sz w:val="36"/>
          <w:szCs w:val="36"/>
          <w:lang w:val="en-US"/>
        </w:rPr>
        <w:t>evenue</w:t>
      </w:r>
      <w:bookmarkEnd w:id="1621"/>
      <w:bookmarkEnd w:id="1622"/>
      <w:bookmarkEnd w:id="1623"/>
      <w:bookmarkEnd w:id="1624"/>
      <w:bookmarkEnd w:id="1625"/>
      <w:bookmarkEnd w:id="1626"/>
    </w:p>
    <w:p w14:paraId="2EE3E638" w14:textId="3F13B4C6" w:rsidR="0039114B" w:rsidRPr="00BD6508" w:rsidRDefault="0039114B" w:rsidP="00BD6508">
      <w:pPr>
        <w:spacing w:line="276" w:lineRule="auto"/>
        <w:rPr>
          <w:rFonts w:ascii="Arial" w:hAnsi="Arial" w:cs="Arial"/>
          <w:sz w:val="24"/>
          <w:szCs w:val="24"/>
          <w:lang w:val="en-US"/>
        </w:rPr>
      </w:pPr>
    </w:p>
    <w:p w14:paraId="7E4C1613" w14:textId="3E5D4429" w:rsidR="00A973F2" w:rsidRDefault="00A973F2" w:rsidP="00A973F2">
      <w:pPr>
        <w:spacing w:before="120" w:after="120"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374462" behindDoc="0" locked="0" layoutInCell="1" allowOverlap="1" wp14:anchorId="1461A389" wp14:editId="1B0CAF4A">
            <wp:simplePos x="0" y="0"/>
            <wp:positionH relativeFrom="column">
              <wp:posOffset>0</wp:posOffset>
            </wp:positionH>
            <wp:positionV relativeFrom="paragraph">
              <wp:posOffset>77470</wp:posOffset>
            </wp:positionV>
            <wp:extent cx="2336800" cy="2054860"/>
            <wp:effectExtent l="0" t="0" r="0" b="2540"/>
            <wp:wrapSquare wrapText="bothSides"/>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Picture 1608"/>
                    <pic:cNvPicPr/>
                  </pic:nvPicPr>
                  <pic:blipFill rotWithShape="1">
                    <a:blip r:embed="rId740" cstate="email">
                      <a:extLst>
                        <a:ext uri="{28A0092B-C50C-407E-A947-70E740481C1C}">
                          <a14:useLocalDpi xmlns:a14="http://schemas.microsoft.com/office/drawing/2010/main"/>
                        </a:ext>
                      </a:extLst>
                    </a:blip>
                    <a:srcRect/>
                    <a:stretch/>
                  </pic:blipFill>
                  <pic:spPr bwMode="auto">
                    <a:xfrm>
                      <a:off x="0" y="0"/>
                      <a:ext cx="2336800" cy="2054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508">
        <w:rPr>
          <w:rFonts w:ascii="Arial" w:hAnsi="Arial" w:cs="Arial"/>
          <w:sz w:val="24"/>
          <w:szCs w:val="24"/>
          <w:lang w:val="en-US"/>
        </w:rPr>
        <w:t xml:space="preserve">For countries endowed with stocks of natural resources, revenues derived from them in the form of license fees, royalties, production shares/dividends can be quite large but need to be carefully managed, given their relative unpredictability. Revenue volatility is a major concern for most countries that are dependent on extractives industries. It makes the associated planning and budgeting of government expenditure difficult, increasing the risk of overspending in boom times, and of drastic expenditure reductions when resource prices or production falls. </w:t>
      </w:r>
    </w:p>
    <w:p w14:paraId="430399BC" w14:textId="55712474" w:rsidR="00A973F2" w:rsidRPr="00BD6508" w:rsidRDefault="00A973F2" w:rsidP="00BD6508">
      <w:pPr>
        <w:spacing w:before="120" w:after="120" w:line="276" w:lineRule="auto"/>
        <w:jc w:val="both"/>
        <w:rPr>
          <w:rFonts w:ascii="Arial" w:hAnsi="Arial" w:cs="Arial"/>
          <w:sz w:val="24"/>
          <w:szCs w:val="24"/>
          <w:lang w:val="en-US"/>
        </w:rPr>
      </w:pPr>
    </w:p>
    <w:p w14:paraId="47F7C3A0" w14:textId="27C183B6" w:rsidR="00A973F2" w:rsidRDefault="00147B3A" w:rsidP="00A973F2">
      <w:pPr>
        <w:spacing w:line="276" w:lineRule="auto"/>
        <w:contextualSpacing/>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375486" behindDoc="0" locked="0" layoutInCell="1" allowOverlap="1" wp14:anchorId="19757B91" wp14:editId="7F171368">
            <wp:simplePos x="0" y="0"/>
            <wp:positionH relativeFrom="column">
              <wp:posOffset>5223510</wp:posOffset>
            </wp:positionH>
            <wp:positionV relativeFrom="paragraph">
              <wp:posOffset>57785</wp:posOffset>
            </wp:positionV>
            <wp:extent cx="1443355" cy="2044700"/>
            <wp:effectExtent l="25400" t="25400" r="93345" b="88900"/>
            <wp:wrapSquare wrapText="bothSides"/>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Picture 1609"/>
                    <pic:cNvPicPr/>
                  </pic:nvPicPr>
                  <pic:blipFill>
                    <a:blip r:embed="rId741" cstate="email">
                      <a:extLst>
                        <a:ext uri="{28A0092B-C50C-407E-A947-70E740481C1C}">
                          <a14:useLocalDpi xmlns:a14="http://schemas.microsoft.com/office/drawing/2010/main"/>
                        </a:ext>
                      </a:extLst>
                    </a:blip>
                    <a:stretch>
                      <a:fillRect/>
                    </a:stretch>
                  </pic:blipFill>
                  <pic:spPr>
                    <a:xfrm>
                      <a:off x="0" y="0"/>
                      <a:ext cx="1443355" cy="20447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973F2" w:rsidRPr="00BD6508">
        <w:rPr>
          <w:rFonts w:ascii="Arial" w:hAnsi="Arial" w:cs="Arial"/>
          <w:sz w:val="24"/>
          <w:szCs w:val="24"/>
          <w:lang w:val="en-US"/>
        </w:rPr>
        <w:t xml:space="preserve">As stated in CABRI’s position paper: </w:t>
      </w:r>
      <w:hyperlink r:id="rId742" w:history="1">
        <w:r w:rsidR="00A973F2" w:rsidRPr="00BD6508">
          <w:rPr>
            <w:rFonts w:ascii="Arial" w:hAnsi="Arial" w:cs="Arial"/>
            <w:color w:val="0563C1" w:themeColor="hyperlink"/>
            <w:sz w:val="24"/>
            <w:szCs w:val="24"/>
            <w:u w:val="single"/>
            <w:lang w:val="en-US"/>
          </w:rPr>
          <w:t>Revenue management in the extractives sector in Africa</w:t>
        </w:r>
      </w:hyperlink>
      <w:r w:rsidR="00A973F2" w:rsidRPr="00BD6508">
        <w:rPr>
          <w:rFonts w:ascii="Arial" w:hAnsi="Arial" w:cs="Arial"/>
          <w:sz w:val="24"/>
          <w:szCs w:val="24"/>
          <w:lang w:val="en-US"/>
        </w:rPr>
        <w:t xml:space="preserve"> (2016), one of the reasons many resource rich countries have not translated their extractives industries’ wealth into economic development is due to a lack of fiscal transparency and accountability. The monetization of natural resources can be difficult to monitor and is as such prone to misuse. Fiscal transparency in the extractives sector is important as it leads to enhanced levels of trust and thereby helps manage expectations within and outside the government, mitigating against resource misallocations and investments that are not in the public’s best interest, thereby fostering sound fiscal management and accountability, sending positive signals to quality investors. On the other hand, a lack of transparency and accountability has a negative impact on the management of revenue from natural resources and on its use in delivering social services. There is some concern about the legal frameworks governing extractives. For instance, some laws include provisions that allow for direct contracting at the discretion of the Executive or for discretionary decisions to be made on case-by-case basis. This warrants a review of laws and, in some cases, a review of how laws are implemented in practice. Transparent decisions are needed across the policy chain of the extractives industry, including information on the following: bidding processes; contractual terms; fiscal regimes; how much revenue is collected from the sector; how much is used for current and capital spending; how much goes into debt and stabilization; and how much is actually saved. To ensure transparency and accountability, resource-producing countries with weak institutional frameworks should consider appointing an independent external auditor, in addition to the usual audit conducted by the country’s supreme audit institution. </w:t>
      </w:r>
    </w:p>
    <w:p w14:paraId="2CDCCBB6" w14:textId="39E25EF7" w:rsidR="00210326" w:rsidRDefault="00210326" w:rsidP="00A973F2">
      <w:pPr>
        <w:spacing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76510" behindDoc="0" locked="0" layoutInCell="1" allowOverlap="1" wp14:anchorId="4C34F9D5" wp14:editId="4EDAC2EF">
                <wp:simplePos x="0" y="0"/>
                <wp:positionH relativeFrom="column">
                  <wp:posOffset>0</wp:posOffset>
                </wp:positionH>
                <wp:positionV relativeFrom="paragraph">
                  <wp:posOffset>146685</wp:posOffset>
                </wp:positionV>
                <wp:extent cx="6663055" cy="431800"/>
                <wp:effectExtent l="0" t="0" r="4445" b="0"/>
                <wp:wrapNone/>
                <wp:docPr id="1610" name="Rounded Rectangle 1610"/>
                <wp:cNvGraphicFramePr/>
                <a:graphic xmlns:a="http://schemas.openxmlformats.org/drawingml/2006/main">
                  <a:graphicData uri="http://schemas.microsoft.com/office/word/2010/wordprocessingShape">
                    <wps:wsp>
                      <wps:cNvSpPr/>
                      <wps:spPr>
                        <a:xfrm>
                          <a:off x="0" y="0"/>
                          <a:ext cx="6663055" cy="4318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1653D418" id="Rounded Rectangle 1610" o:spid="_x0000_s1026" style="position:absolute;margin-left:0;margin-top:11.55pt;width:524.65pt;height:34pt;z-index:25337651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" fillcolor="#f9a133" stroked="f" strokeweight="1pt">
                <v:stroke joinstyle="miter"/>
              </v:roundrect>
            </w:pict>
          </mc:Fallback>
        </mc:AlternateContent>
      </w:r>
    </w:p>
    <w:p w14:paraId="6E9C8FB4" w14:textId="3C61F615" w:rsidR="00210326" w:rsidRPr="00BD6508" w:rsidRDefault="00210326" w:rsidP="00BD6508">
      <w:pPr>
        <w:spacing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77534" behindDoc="0" locked="0" layoutInCell="1" allowOverlap="1" wp14:anchorId="1484095A" wp14:editId="6C72500F">
                <wp:simplePos x="0" y="0"/>
                <wp:positionH relativeFrom="column">
                  <wp:posOffset>114300</wp:posOffset>
                </wp:positionH>
                <wp:positionV relativeFrom="paragraph">
                  <wp:posOffset>34290</wp:posOffset>
                </wp:positionV>
                <wp:extent cx="5816600" cy="292100"/>
                <wp:effectExtent l="0" t="0" r="0" b="0"/>
                <wp:wrapNone/>
                <wp:docPr id="1611" name="Text Box 1611"/>
                <wp:cNvGraphicFramePr/>
                <a:graphic xmlns:a="http://schemas.openxmlformats.org/drawingml/2006/main">
                  <a:graphicData uri="http://schemas.microsoft.com/office/word/2010/wordprocessingShape">
                    <wps:wsp>
                      <wps:cNvSpPr txBox="1"/>
                      <wps:spPr>
                        <a:xfrm>
                          <a:off x="0" y="0"/>
                          <a:ext cx="5816600" cy="292100"/>
                        </a:xfrm>
                        <a:prstGeom prst="rect">
                          <a:avLst/>
                        </a:prstGeom>
                        <a:noFill/>
                        <a:ln w="6350">
                          <a:noFill/>
                        </a:ln>
                      </wps:spPr>
                      <wps:txbx>
                        <w:txbxContent>
                          <w:p w14:paraId="7D85AAD7" w14:textId="15D92583" w:rsidR="00D15FD8" w:rsidRPr="00BD6508" w:rsidRDefault="00D15FD8" w:rsidP="00BD6508">
                            <w:pPr>
                              <w:spacing w:line="276" w:lineRule="auto"/>
                              <w:contextualSpacing/>
                              <w:jc w:val="both"/>
                              <w:rPr>
                                <w:rFonts w:ascii="Arial" w:hAnsi="Arial" w:cs="Arial"/>
                                <w:b/>
                                <w:bCs/>
                                <w:color w:val="FFFFFF" w:themeColor="background1"/>
                                <w:sz w:val="24"/>
                                <w:szCs w:val="24"/>
                              </w:rPr>
                            </w:pPr>
                            <w:r w:rsidRPr="00BD6508">
                              <w:rPr>
                                <w:rFonts w:ascii="Arial" w:hAnsi="Arial" w:cs="Arial"/>
                                <w:b/>
                                <w:bCs/>
                                <w:color w:val="FFFFFF" w:themeColor="background1"/>
                                <w:sz w:val="24"/>
                                <w:szCs w:val="24"/>
                                <w:lang w:val="en-US"/>
                              </w:rPr>
                              <w:t>Norms and standards provide further guidance in this regard: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84095A" id="Text Box 1611" o:spid="_x0000_s1432" type="#_x0000_t202" style="position:absolute;left:0;text-align:left;margin-left:9pt;margin-top:2.7pt;width:458pt;height:23pt;z-index:2533775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" filled="f" stroked="f" strokeweight=".5pt">
                <v:textbox>
                  <w:txbxContent>
                    <w:p w14:paraId="7D85AAD7" w14:textId="15D92583" w:rsidR="00D15FD8" w:rsidRPr="00BD6508" w:rsidRDefault="00D15FD8" w:rsidP="00BD6508">
                      <w:pPr>
                        <w:spacing w:line="276" w:lineRule="auto"/>
                        <w:contextualSpacing/>
                        <w:jc w:val="both"/>
                        <w:rPr>
                          <w:rFonts w:ascii="Arial" w:hAnsi="Arial" w:cs="Arial"/>
                          <w:b/>
                          <w:bCs/>
                          <w:color w:val="FFFFFF" w:themeColor="background1"/>
                          <w:sz w:val="24"/>
                          <w:szCs w:val="24"/>
                        </w:rPr>
                      </w:pPr>
                      <w:r w:rsidRPr="00BD6508">
                        <w:rPr>
                          <w:rFonts w:ascii="Arial" w:hAnsi="Arial" w:cs="Arial"/>
                          <w:b/>
                          <w:bCs/>
                          <w:color w:val="FFFFFF" w:themeColor="background1"/>
                          <w:sz w:val="24"/>
                          <w:szCs w:val="24"/>
                          <w:lang w:val="en-US"/>
                        </w:rPr>
                        <w:t>Norms and standards provide further guidance in this regard:</w:t>
                      </w:r>
                    </w:p>
                  </w:txbxContent>
                </v:textbox>
              </v:shape>
            </w:pict>
          </mc:Fallback>
        </mc:AlternateContent>
      </w:r>
    </w:p>
    <w:p w14:paraId="63FCB0FC" w14:textId="5938537C" w:rsidR="00147B3A" w:rsidRDefault="00147B3A" w:rsidP="0039114B">
      <w:pPr>
        <w:rPr>
          <w:lang w:val="en-US"/>
        </w:rPr>
      </w:pPr>
    </w:p>
    <w:p w14:paraId="26992640" w14:textId="77777777" w:rsidR="00210326" w:rsidRDefault="00210326" w:rsidP="00147B3A">
      <w:pPr>
        <w:spacing w:line="276" w:lineRule="auto"/>
        <w:contextualSpacing/>
        <w:jc w:val="both"/>
        <w:rPr>
          <w:rFonts w:ascii="Arial" w:hAnsi="Arial" w:cs="Arial"/>
          <w:sz w:val="24"/>
          <w:szCs w:val="24"/>
          <w:lang w:val="en-US"/>
        </w:rPr>
      </w:pPr>
    </w:p>
    <w:p w14:paraId="7FFCEEA9" w14:textId="333D3C13" w:rsidR="00147B3A" w:rsidRDefault="00147B3A" w:rsidP="00147B3A">
      <w:pPr>
        <w:numPr>
          <w:ilvl w:val="0"/>
          <w:numId w:val="71"/>
        </w:numPr>
        <w:spacing w:line="276" w:lineRule="auto"/>
        <w:ind w:left="284" w:hanging="284"/>
        <w:contextualSpacing/>
        <w:jc w:val="both"/>
        <w:rPr>
          <w:rFonts w:ascii="Arial" w:hAnsi="Arial" w:cs="Arial"/>
          <w:sz w:val="24"/>
          <w:szCs w:val="24"/>
        </w:rPr>
      </w:pPr>
      <w:r w:rsidRPr="00BD6508">
        <w:rPr>
          <w:rFonts w:ascii="Arial" w:hAnsi="Arial" w:cs="Arial"/>
          <w:sz w:val="24"/>
          <w:szCs w:val="24"/>
        </w:rPr>
        <w:t xml:space="preserve">The </w:t>
      </w:r>
      <w:hyperlink r:id="rId743" w:history="1">
        <w:r w:rsidRPr="00BD6508">
          <w:rPr>
            <w:rFonts w:ascii="Arial" w:hAnsi="Arial" w:cs="Arial"/>
            <w:iCs/>
            <w:color w:val="0563C1" w:themeColor="hyperlink"/>
            <w:sz w:val="24"/>
            <w:szCs w:val="24"/>
            <w:u w:val="single"/>
          </w:rPr>
          <w:t>Extractive Industries Transparency Initiative (EITI) Standard</w:t>
        </w:r>
      </w:hyperlink>
      <w:r w:rsidRPr="00BD6508">
        <w:rPr>
          <w:rFonts w:ascii="Arial" w:hAnsi="Arial" w:cs="Arial"/>
          <w:iCs/>
          <w:sz w:val="24"/>
          <w:szCs w:val="24"/>
        </w:rPr>
        <w:t xml:space="preserve"> </w:t>
      </w:r>
      <w:r w:rsidRPr="00BD6508">
        <w:rPr>
          <w:rFonts w:ascii="Arial" w:hAnsi="Arial" w:cs="Arial"/>
          <w:sz w:val="24"/>
          <w:szCs w:val="24"/>
        </w:rPr>
        <w:t xml:space="preserve">(2019) provides transparency standards for countries with large natural resource sectors, including detailed requirements on the publication of: audited and reconciled data on company payments to government and </w:t>
      </w:r>
      <w:r w:rsidRPr="00BD6508">
        <w:rPr>
          <w:rFonts w:ascii="Arial" w:hAnsi="Arial" w:cs="Arial"/>
          <w:sz w:val="24"/>
          <w:szCs w:val="24"/>
        </w:rPr>
        <w:lastRenderedPageBreak/>
        <w:t>government receipts from companies; legal framework and fiscal regimes; licenses; contract disclosure policies; as well as mandated social expenditure.</w:t>
      </w:r>
    </w:p>
    <w:p w14:paraId="4F3673CD" w14:textId="77777777" w:rsidR="00147B3A" w:rsidRPr="00BD6508" w:rsidRDefault="00147B3A" w:rsidP="00BD6508">
      <w:pPr>
        <w:spacing w:line="276" w:lineRule="auto"/>
        <w:ind w:left="284"/>
        <w:contextualSpacing/>
        <w:jc w:val="both"/>
        <w:rPr>
          <w:rFonts w:ascii="Arial" w:hAnsi="Arial" w:cs="Arial"/>
          <w:sz w:val="24"/>
          <w:szCs w:val="24"/>
        </w:rPr>
      </w:pPr>
    </w:p>
    <w:p w14:paraId="255CD92F" w14:textId="028B84B0" w:rsidR="00147B3A" w:rsidRDefault="00147B3A" w:rsidP="00147B3A">
      <w:pPr>
        <w:numPr>
          <w:ilvl w:val="0"/>
          <w:numId w:val="71"/>
        </w:numPr>
        <w:spacing w:before="120" w:after="120" w:line="276" w:lineRule="auto"/>
        <w:ind w:left="284" w:hanging="284"/>
        <w:contextualSpacing/>
        <w:jc w:val="both"/>
        <w:rPr>
          <w:rFonts w:ascii="Arial" w:hAnsi="Arial" w:cs="Arial"/>
          <w:bCs/>
          <w:sz w:val="24"/>
          <w:szCs w:val="24"/>
          <w:lang w:val="en-ZA"/>
        </w:rPr>
      </w:pPr>
      <w:r w:rsidRPr="00BD6508">
        <w:rPr>
          <w:rFonts w:ascii="Arial" w:hAnsi="Arial" w:cs="Arial"/>
          <w:sz w:val="24"/>
          <w:szCs w:val="24"/>
        </w:rPr>
        <w:t>The IMF’s policy paper:</w:t>
      </w:r>
      <w:r w:rsidRPr="00BD6508">
        <w:rPr>
          <w:rFonts w:ascii="Arial" w:hAnsi="Arial" w:cs="Arial"/>
          <w:b/>
          <w:sz w:val="24"/>
          <w:szCs w:val="24"/>
          <w:lang w:val="en-US"/>
        </w:rPr>
        <w:t xml:space="preserve"> </w:t>
      </w:r>
      <w:hyperlink r:id="rId744" w:history="1">
        <w:r w:rsidRPr="00BD6508">
          <w:rPr>
            <w:rFonts w:ascii="Arial" w:hAnsi="Arial" w:cs="Arial"/>
            <w:color w:val="0563C1" w:themeColor="hyperlink"/>
            <w:sz w:val="24"/>
            <w:szCs w:val="24"/>
            <w:u w:val="single"/>
            <w:lang w:val="en-US"/>
          </w:rPr>
          <w:t>Fiscal transparency initiative: Integration of natural resource management issues</w:t>
        </w:r>
      </w:hyperlink>
      <w:r w:rsidRPr="00BD6508">
        <w:rPr>
          <w:rFonts w:ascii="Arial" w:hAnsi="Arial" w:cs="Arial"/>
          <w:sz w:val="24"/>
          <w:szCs w:val="24"/>
          <w:lang w:val="en-US"/>
        </w:rPr>
        <w:t xml:space="preserve"> </w:t>
      </w:r>
      <w:r w:rsidRPr="00BD6508">
        <w:rPr>
          <w:rFonts w:ascii="Arial" w:hAnsi="Arial" w:cs="Arial"/>
          <w:sz w:val="24"/>
          <w:szCs w:val="24"/>
        </w:rPr>
        <w:t xml:space="preserve">(2019) states that fiscal transparency and good governance are particularly important to help manage non-renewable natural resources in an equitable and sustainable manner. Transparency and governance issues are particularly evident in matters relating to </w:t>
      </w:r>
      <w:r w:rsidR="00E70379">
        <w:rPr>
          <w:rFonts w:ascii="Arial" w:hAnsi="Arial" w:cs="Arial"/>
          <w:sz w:val="24"/>
          <w:szCs w:val="24"/>
        </w:rPr>
        <w:t xml:space="preserve">the </w:t>
      </w:r>
      <w:r w:rsidRPr="00BD6508">
        <w:rPr>
          <w:rFonts w:ascii="Arial" w:hAnsi="Arial" w:cs="Arial"/>
          <w:sz w:val="24"/>
          <w:szCs w:val="24"/>
        </w:rPr>
        <w:t xml:space="preserve">natural resources (minerals and petroleum) sector, reflecting the large potential rents that make the sector prone to revenue leakages (for example, from corruption); large-sized investments that place a premium on investor certainty; heavy involvement of large multinationals and public enterprises; and the volatile and uncertain nature of revenues that make disclosure and mitigation of fiscal risks key for effective fiscal management. The paper introduced Pillar IV of the </w:t>
      </w:r>
      <w:hyperlink r:id="rId745" w:history="1">
        <w:r w:rsidRPr="00BD6508">
          <w:rPr>
            <w:rFonts w:ascii="Arial" w:hAnsi="Arial" w:cs="Arial"/>
            <w:color w:val="0563C1" w:themeColor="hyperlink"/>
            <w:sz w:val="24"/>
            <w:szCs w:val="24"/>
            <w:u w:val="single"/>
            <w:lang w:val="en-US"/>
          </w:rPr>
          <w:t>Fiscal Transparency Code</w:t>
        </w:r>
      </w:hyperlink>
      <w:r w:rsidRPr="00BD6508">
        <w:rPr>
          <w:rFonts w:ascii="Arial" w:hAnsi="Arial" w:cs="Arial"/>
          <w:sz w:val="24"/>
          <w:szCs w:val="24"/>
        </w:rPr>
        <w:t xml:space="preserve"> (2019) on natural resource management to assist in this regard focusing on resource rights and ownership; resource revenue mobilization; resource revenue utilization; and resource activity reporting and disclosure. The IMF’s </w:t>
      </w:r>
      <w:hyperlink r:id="rId746" w:history="1">
        <w:r w:rsidRPr="00BD6508">
          <w:rPr>
            <w:rFonts w:ascii="Arial" w:hAnsi="Arial" w:cs="Arial"/>
            <w:bCs/>
            <w:color w:val="0563C1" w:themeColor="hyperlink"/>
            <w:sz w:val="24"/>
            <w:szCs w:val="24"/>
            <w:u w:val="single"/>
            <w:lang w:val="en-ZA"/>
          </w:rPr>
          <w:t>Guide on Resource Revenue Transparency</w:t>
        </w:r>
      </w:hyperlink>
      <w:r w:rsidRPr="00BD6508">
        <w:rPr>
          <w:rFonts w:ascii="Arial" w:hAnsi="Arial" w:cs="Arial"/>
          <w:bCs/>
          <w:sz w:val="24"/>
          <w:szCs w:val="24"/>
          <w:lang w:val="en-ZA"/>
        </w:rPr>
        <w:t xml:space="preserve"> (2007) also provides norms and standards related to natural resources, providing examples from different countries.</w:t>
      </w:r>
    </w:p>
    <w:p w14:paraId="577341C0" w14:textId="77777777" w:rsidR="00147B3A" w:rsidRPr="00BD6508" w:rsidRDefault="00147B3A" w:rsidP="00BD6508">
      <w:pPr>
        <w:spacing w:before="120" w:after="120" w:line="276" w:lineRule="auto"/>
        <w:ind w:left="284"/>
        <w:contextualSpacing/>
        <w:jc w:val="both"/>
        <w:rPr>
          <w:rFonts w:ascii="Arial" w:hAnsi="Arial" w:cs="Arial"/>
          <w:bCs/>
          <w:sz w:val="24"/>
          <w:szCs w:val="24"/>
          <w:lang w:val="en-ZA"/>
        </w:rPr>
      </w:pPr>
    </w:p>
    <w:p w14:paraId="7604A96D" w14:textId="77777777" w:rsidR="00147B3A" w:rsidRPr="00BD6508" w:rsidRDefault="00147B3A" w:rsidP="00BD6508">
      <w:pPr>
        <w:numPr>
          <w:ilvl w:val="0"/>
          <w:numId w:val="71"/>
        </w:numPr>
        <w:spacing w:line="276" w:lineRule="auto"/>
        <w:ind w:left="284" w:hanging="284"/>
        <w:contextualSpacing/>
        <w:jc w:val="both"/>
        <w:rPr>
          <w:rFonts w:ascii="Arial" w:hAnsi="Arial" w:cs="Arial"/>
          <w:iCs/>
          <w:sz w:val="24"/>
          <w:szCs w:val="24"/>
        </w:rPr>
      </w:pPr>
      <w:r w:rsidRPr="00BD6508">
        <w:rPr>
          <w:rFonts w:ascii="Arial" w:hAnsi="Arial" w:cs="Arial"/>
          <w:sz w:val="24"/>
          <w:szCs w:val="24"/>
        </w:rPr>
        <w:t xml:space="preserve">The Natural Resource Governance Institute’s </w:t>
      </w:r>
      <w:hyperlink r:id="rId747" w:history="1">
        <w:r w:rsidRPr="00BD6508">
          <w:rPr>
            <w:rFonts w:ascii="Arial" w:hAnsi="Arial" w:cs="Arial"/>
            <w:iCs/>
            <w:color w:val="0563C1" w:themeColor="hyperlink"/>
            <w:sz w:val="24"/>
            <w:szCs w:val="24"/>
            <w:u w:val="single"/>
          </w:rPr>
          <w:t>Natural Resource Charter</w:t>
        </w:r>
      </w:hyperlink>
      <w:r w:rsidRPr="00BD6508">
        <w:rPr>
          <w:rFonts w:ascii="Arial" w:hAnsi="Arial" w:cs="Arial"/>
          <w:iCs/>
          <w:sz w:val="24"/>
          <w:szCs w:val="24"/>
        </w:rPr>
        <w:t xml:space="preserve"> sets principles for governments and societies on how to best harness the opportunities created by extractive resources for development. </w:t>
      </w:r>
    </w:p>
    <w:p w14:paraId="60E7A46C" w14:textId="6451EC7A" w:rsidR="00147B3A" w:rsidRDefault="00147B3A" w:rsidP="0039114B">
      <w:pPr>
        <w:rPr>
          <w:lang w:val="en-US"/>
        </w:rPr>
      </w:pPr>
    </w:p>
    <w:p w14:paraId="01BA26DC" w14:textId="3B35D0A9" w:rsidR="00210326" w:rsidRPr="00057172" w:rsidRDefault="00210326" w:rsidP="00210326">
      <w:pPr>
        <w:pStyle w:val="Heading2"/>
        <w:numPr>
          <w:ilvl w:val="1"/>
          <w:numId w:val="105"/>
        </w:numPr>
        <w:rPr>
          <w:rFonts w:ascii="Arial" w:hAnsi="Arial" w:cs="Arial"/>
          <w:b/>
          <w:bCs/>
          <w:color w:val="F9A133"/>
          <w:sz w:val="36"/>
          <w:szCs w:val="36"/>
          <w:lang w:val="en-US"/>
        </w:rPr>
      </w:pPr>
      <w:bookmarkStart w:id="1627" w:name="_Toc123204508"/>
      <w:bookmarkStart w:id="1628" w:name="_Toc123216619"/>
      <w:bookmarkStart w:id="1629" w:name="_Toc123217459"/>
      <w:bookmarkStart w:id="1630" w:name="_Toc123913420"/>
      <w:bookmarkStart w:id="1631" w:name="_Toc123914076"/>
      <w:bookmarkStart w:id="1632" w:name="_Toc125566691"/>
      <w:r w:rsidRPr="00057172">
        <w:rPr>
          <w:rFonts w:ascii="Arial" w:hAnsi="Arial" w:cs="Arial"/>
          <w:b/>
          <w:bCs/>
          <w:color w:val="F9A133"/>
          <w:sz w:val="36"/>
          <w:szCs w:val="36"/>
          <w:lang w:val="en-US"/>
        </w:rPr>
        <w:t>Official development assistance</w:t>
      </w:r>
      <w:bookmarkEnd w:id="1627"/>
      <w:bookmarkEnd w:id="1628"/>
      <w:bookmarkEnd w:id="1629"/>
      <w:bookmarkEnd w:id="1630"/>
      <w:bookmarkEnd w:id="1631"/>
      <w:bookmarkEnd w:id="1632"/>
    </w:p>
    <w:p w14:paraId="35E9F05E" w14:textId="52896083" w:rsidR="00210326" w:rsidRPr="00BD6508" w:rsidRDefault="00210326" w:rsidP="00BD6508">
      <w:pPr>
        <w:rPr>
          <w:lang w:val="en-US"/>
        </w:rPr>
      </w:pPr>
    </w:p>
    <w:p w14:paraId="236E2417" w14:textId="7B485EF2" w:rsidR="005A4CEA" w:rsidRDefault="005A4CEA" w:rsidP="00210326">
      <w:pPr>
        <w:spacing w:before="120" w:after="120"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378558" behindDoc="1" locked="0" layoutInCell="1" allowOverlap="1" wp14:anchorId="1A299835" wp14:editId="26001630">
            <wp:simplePos x="0" y="0"/>
            <wp:positionH relativeFrom="margin">
              <wp:align>center</wp:align>
            </wp:positionH>
            <wp:positionV relativeFrom="paragraph">
              <wp:posOffset>76200</wp:posOffset>
            </wp:positionV>
            <wp:extent cx="4813300" cy="1604010"/>
            <wp:effectExtent l="0" t="0" r="0" b="0"/>
            <wp:wrapTight wrapText="bothSides">
              <wp:wrapPolygon edited="0">
                <wp:start x="10999" y="342"/>
                <wp:lineTo x="9803" y="855"/>
                <wp:lineTo x="6554" y="2736"/>
                <wp:lineTo x="6554" y="3420"/>
                <wp:lineTo x="6155" y="3933"/>
                <wp:lineTo x="4046" y="7696"/>
                <wp:lineTo x="3761" y="8380"/>
                <wp:lineTo x="3704" y="9064"/>
                <wp:lineTo x="2793" y="12314"/>
                <wp:lineTo x="2280" y="14195"/>
                <wp:lineTo x="2109" y="15221"/>
                <wp:lineTo x="1881" y="16931"/>
                <wp:lineTo x="1767" y="17444"/>
                <wp:lineTo x="1596" y="21036"/>
                <wp:lineTo x="16015" y="21378"/>
                <wp:lineTo x="18009" y="21378"/>
                <wp:lineTo x="17782" y="20181"/>
                <wp:lineTo x="17668" y="19838"/>
                <wp:lineTo x="17383" y="17102"/>
                <wp:lineTo x="19035" y="16931"/>
                <wp:lineTo x="19947" y="15905"/>
                <wp:lineTo x="19719" y="14366"/>
                <wp:lineTo x="19035" y="11629"/>
                <wp:lineTo x="18066" y="8380"/>
                <wp:lineTo x="17155" y="6157"/>
                <wp:lineTo x="18066" y="4105"/>
                <wp:lineTo x="18123" y="1026"/>
                <wp:lineTo x="17497" y="855"/>
                <wp:lineTo x="11455" y="342"/>
                <wp:lineTo x="10999" y="342"/>
              </wp:wrapPolygon>
            </wp:wrapTight>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Picture 1613"/>
                    <pic:cNvPicPr/>
                  </pic:nvPicPr>
                  <pic:blipFill>
                    <a:blip r:embed="rId748" cstate="email">
                      <a:extLst>
                        <a:ext uri="{28A0092B-C50C-407E-A947-70E740481C1C}">
                          <a14:useLocalDpi xmlns:a14="http://schemas.microsoft.com/office/drawing/2010/main"/>
                        </a:ext>
                      </a:extLst>
                    </a:blip>
                    <a:stretch>
                      <a:fillRect/>
                    </a:stretch>
                  </pic:blipFill>
                  <pic:spPr>
                    <a:xfrm>
                      <a:off x="0" y="0"/>
                      <a:ext cx="4813300" cy="1604010"/>
                    </a:xfrm>
                    <a:prstGeom prst="rect">
                      <a:avLst/>
                    </a:prstGeom>
                  </pic:spPr>
                </pic:pic>
              </a:graphicData>
            </a:graphic>
            <wp14:sizeRelH relativeFrom="page">
              <wp14:pctWidth>0</wp14:pctWidth>
            </wp14:sizeRelH>
            <wp14:sizeRelV relativeFrom="page">
              <wp14:pctHeight>0</wp14:pctHeight>
            </wp14:sizeRelV>
          </wp:anchor>
        </w:drawing>
      </w:r>
    </w:p>
    <w:p w14:paraId="24A12972" w14:textId="77777777" w:rsidR="005A4CEA" w:rsidRDefault="005A4CEA" w:rsidP="00210326">
      <w:pPr>
        <w:spacing w:before="120" w:after="120" w:line="276" w:lineRule="auto"/>
        <w:jc w:val="both"/>
        <w:rPr>
          <w:rFonts w:ascii="Arial" w:hAnsi="Arial" w:cs="Arial"/>
          <w:sz w:val="24"/>
          <w:szCs w:val="24"/>
          <w:lang w:val="en-US"/>
        </w:rPr>
      </w:pPr>
    </w:p>
    <w:p w14:paraId="54EA10FE" w14:textId="77777777" w:rsidR="005A4CEA" w:rsidRDefault="005A4CEA" w:rsidP="00210326">
      <w:pPr>
        <w:spacing w:before="120" w:after="120" w:line="276" w:lineRule="auto"/>
        <w:jc w:val="both"/>
        <w:rPr>
          <w:rFonts w:ascii="Arial" w:hAnsi="Arial" w:cs="Arial"/>
          <w:sz w:val="24"/>
          <w:szCs w:val="24"/>
          <w:lang w:val="en-US"/>
        </w:rPr>
      </w:pPr>
    </w:p>
    <w:p w14:paraId="78DC4E6C" w14:textId="77777777" w:rsidR="005A4CEA" w:rsidRDefault="005A4CEA" w:rsidP="00210326">
      <w:pPr>
        <w:spacing w:before="120" w:after="120" w:line="276" w:lineRule="auto"/>
        <w:jc w:val="both"/>
        <w:rPr>
          <w:rFonts w:ascii="Arial" w:hAnsi="Arial" w:cs="Arial"/>
          <w:sz w:val="24"/>
          <w:szCs w:val="24"/>
          <w:lang w:val="en-US"/>
        </w:rPr>
      </w:pPr>
    </w:p>
    <w:p w14:paraId="06076E06" w14:textId="77777777" w:rsidR="005A4CEA" w:rsidRDefault="005A4CEA" w:rsidP="00210326">
      <w:pPr>
        <w:spacing w:before="120" w:after="120" w:line="276" w:lineRule="auto"/>
        <w:jc w:val="both"/>
        <w:rPr>
          <w:rFonts w:ascii="Arial" w:hAnsi="Arial" w:cs="Arial"/>
          <w:sz w:val="24"/>
          <w:szCs w:val="24"/>
          <w:lang w:val="en-US"/>
        </w:rPr>
      </w:pPr>
    </w:p>
    <w:p w14:paraId="45DE5AEF" w14:textId="77777777" w:rsidR="005A4CEA" w:rsidRDefault="005A4CEA" w:rsidP="00210326">
      <w:pPr>
        <w:spacing w:before="120" w:after="120" w:line="276" w:lineRule="auto"/>
        <w:jc w:val="both"/>
        <w:rPr>
          <w:rFonts w:ascii="Arial" w:hAnsi="Arial" w:cs="Arial"/>
          <w:sz w:val="24"/>
          <w:szCs w:val="24"/>
          <w:lang w:val="en-US"/>
        </w:rPr>
      </w:pPr>
    </w:p>
    <w:p w14:paraId="52E5CF52" w14:textId="5735CBF5" w:rsidR="00210326" w:rsidRPr="00BD6508" w:rsidRDefault="00210326" w:rsidP="00BD6508">
      <w:pPr>
        <w:spacing w:before="120" w:after="120" w:line="276" w:lineRule="auto"/>
        <w:jc w:val="both"/>
        <w:rPr>
          <w:rFonts w:ascii="Arial" w:hAnsi="Arial" w:cs="Arial"/>
          <w:sz w:val="24"/>
          <w:szCs w:val="24"/>
          <w:lang w:val="en-US"/>
        </w:rPr>
      </w:pPr>
      <w:r w:rsidRPr="00BD6508">
        <w:rPr>
          <w:rFonts w:ascii="Arial" w:hAnsi="Arial" w:cs="Arial"/>
          <w:sz w:val="24"/>
          <w:szCs w:val="24"/>
          <w:lang w:val="en-US"/>
        </w:rPr>
        <w:t xml:space="preserve">Resource flows from international donors and multilateral institutions constitute an important source of revenue for many developing countries. These flows can be used to promote economic development and welfare in recipient countries. Official development assistance (ODA) can be provided directly by a donor government or through its development agencies (bilateral aid) and/or it can be provided by international and regional agencies (multilateral aid) such as the IMF, the World Bank, the African Development Bank, and the Inter-American Development Bank. </w:t>
      </w:r>
    </w:p>
    <w:p w14:paraId="554F71D3" w14:textId="3E5F3BFA" w:rsidR="00210326" w:rsidRDefault="00210326" w:rsidP="00210326">
      <w:pPr>
        <w:spacing w:before="120" w:after="120" w:line="276" w:lineRule="auto"/>
        <w:jc w:val="both"/>
        <w:rPr>
          <w:rFonts w:ascii="Arial" w:hAnsi="Arial" w:cs="Arial"/>
          <w:sz w:val="24"/>
          <w:szCs w:val="24"/>
          <w:lang w:val="en-US"/>
        </w:rPr>
      </w:pPr>
      <w:r w:rsidRPr="00BD6508">
        <w:rPr>
          <w:rFonts w:ascii="Arial" w:hAnsi="Arial" w:cs="Arial"/>
          <w:sz w:val="24"/>
          <w:szCs w:val="24"/>
          <w:lang w:val="en-US"/>
        </w:rPr>
        <w:t xml:space="preserve">ODA can consist of non-reimbursable transfers of funds (financial grants); concessional loans (loan terms that are substantially more generous than market loans, in respect of low interest rates, longer grace period, or longer amortization period); debt forgiveness; debt rescheduling (debt maturities extended) and/or in-kind (non-monetary) aid provided for developmental purposes. Besides in-kind aid, ODA normally takes the form of general budget support; project support and/or capacity development (technical assistance) support. General budget support is not earmarked to specific </w:t>
      </w:r>
      <w:r w:rsidRPr="00BD6508">
        <w:rPr>
          <w:rFonts w:ascii="Arial" w:hAnsi="Arial" w:cs="Arial"/>
          <w:sz w:val="24"/>
          <w:szCs w:val="24"/>
          <w:lang w:val="en-US"/>
        </w:rPr>
        <w:lastRenderedPageBreak/>
        <w:t xml:space="preserve">projects or programs and is made available to finance activities identified through the budget process. This means that it is managed using the recipient country’s public financial management systems, and thus becomes part </w:t>
      </w:r>
      <w:r w:rsidR="003F3C72">
        <w:rPr>
          <w:rFonts w:ascii="Arial" w:hAnsi="Arial" w:cs="Arial"/>
          <w:sz w:val="24"/>
          <w:szCs w:val="24"/>
          <w:lang w:val="en-US"/>
        </w:rPr>
        <w:t xml:space="preserve">of </w:t>
      </w:r>
      <w:r w:rsidRPr="00BD6508">
        <w:rPr>
          <w:rFonts w:ascii="Arial" w:hAnsi="Arial" w:cs="Arial"/>
          <w:sz w:val="24"/>
          <w:szCs w:val="24"/>
          <w:lang w:val="en-US"/>
        </w:rPr>
        <w:t xml:space="preserve">its fiscal policy cycle. Donors do, however, typically set a framework of governance requirements and policy priorities for general budget support, included </w:t>
      </w:r>
      <w:r w:rsidRPr="00BD6508">
        <w:rPr>
          <w:rFonts w:ascii="Arial" w:hAnsi="Arial" w:cs="Arial"/>
          <w:sz w:val="24"/>
          <w:szCs w:val="24"/>
        </w:rPr>
        <w:t xml:space="preserve">in formal agreements with recipient countries. These agreements include the amounts of ODA to be disbursed, the disbursement schedule, and the conditions that would need to be fulfilled before disbursements are made. Project support on the other hand </w:t>
      </w:r>
      <w:r w:rsidRPr="00BD6508">
        <w:rPr>
          <w:rFonts w:ascii="Arial" w:hAnsi="Arial" w:cs="Arial"/>
          <w:sz w:val="24"/>
          <w:szCs w:val="24"/>
          <w:lang w:val="en-US"/>
        </w:rPr>
        <w:t xml:space="preserve">provides resources for specific development projects, such as schools, roads, or hospitals. Project support can also be channeled through the budget of the recipient country, this tends to happen when there are well-functioning treasury and expenditure control systems that prevent the diversion of such resources. Often, however, disbursements are made through specified project accounts that are controlled by the donor, managed by project implementation units, that follow donor specified practices on accounting, reporting, internal control, and procurement, among many other processes. </w:t>
      </w:r>
    </w:p>
    <w:p w14:paraId="03C0B0D3" w14:textId="77777777" w:rsidR="00454542" w:rsidRDefault="00454542" w:rsidP="00210326">
      <w:pPr>
        <w:spacing w:before="120" w:after="120" w:line="276" w:lineRule="auto"/>
        <w:jc w:val="both"/>
        <w:rPr>
          <w:rFonts w:ascii="Arial" w:hAnsi="Arial" w:cs="Arial"/>
          <w:sz w:val="24"/>
          <w:szCs w:val="24"/>
          <w:lang w:val="en-US"/>
        </w:rPr>
      </w:pPr>
    </w:p>
    <w:p w14:paraId="6CDCB050" w14:textId="7392DF6C" w:rsidR="00890125" w:rsidRDefault="00454542" w:rsidP="00BD6508">
      <w:pPr>
        <w:spacing w:before="120" w:after="120"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379582" behindDoc="1" locked="0" layoutInCell="1" allowOverlap="1" wp14:anchorId="3A9F2265" wp14:editId="1DA1F481">
            <wp:simplePos x="0" y="0"/>
            <wp:positionH relativeFrom="margin">
              <wp:posOffset>8255</wp:posOffset>
            </wp:positionH>
            <wp:positionV relativeFrom="paragraph">
              <wp:posOffset>14605</wp:posOffset>
            </wp:positionV>
            <wp:extent cx="3041650" cy="1676400"/>
            <wp:effectExtent l="0" t="0" r="6350" b="0"/>
            <wp:wrapSquare wrapText="bothSides"/>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Picture 1614"/>
                    <pic:cNvPicPr/>
                  </pic:nvPicPr>
                  <pic:blipFill rotWithShape="1">
                    <a:blip r:embed="rId749" cstate="email">
                      <a:extLst>
                        <a:ext uri="{28A0092B-C50C-407E-A947-70E740481C1C}">
                          <a14:useLocalDpi xmlns:a14="http://schemas.microsoft.com/office/drawing/2010/main"/>
                        </a:ext>
                      </a:extLst>
                    </a:blip>
                    <a:srcRect/>
                    <a:stretch/>
                  </pic:blipFill>
                  <pic:spPr bwMode="auto">
                    <a:xfrm>
                      <a:off x="0" y="0"/>
                      <a:ext cx="3041650" cy="16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0326" w:rsidRPr="00BD6508">
        <w:rPr>
          <w:rFonts w:ascii="Arial" w:hAnsi="Arial" w:cs="Arial"/>
          <w:sz w:val="24"/>
          <w:szCs w:val="24"/>
          <w:lang w:val="en-US"/>
        </w:rPr>
        <w:t xml:space="preserve">In many developing countries, provisions in legislation define how ODA should be integrated with budgetary processes. For example, it may require the minister of finance to sign all agreements with respective donors; and the ministry of finance to collect data on all receipts and disbursements of aid resources and to monitor these transactions. Ideally, aid flows should be integrated into a country’s budget process, including that they should form part of a country’s fiscal policy strategy, fiscal forecasts and debt management strategy. Like any other budgetary funds, ODA should be managed through the government’s treasury account and financial management information systems; it should be included in budget execution reports and annual financial accounts and audited by the </w:t>
      </w:r>
      <w:r w:rsidR="00210326" w:rsidRPr="00BD6508">
        <w:rPr>
          <w:rFonts w:ascii="Arial" w:hAnsi="Arial" w:cs="Arial"/>
          <w:sz w:val="24"/>
          <w:szCs w:val="24"/>
          <w:lang w:val="en-ZA"/>
        </w:rPr>
        <w:t>supreme audit institution</w:t>
      </w:r>
      <w:r w:rsidR="00210326" w:rsidRPr="00BD6508">
        <w:rPr>
          <w:rFonts w:ascii="Arial" w:hAnsi="Arial" w:cs="Arial"/>
          <w:sz w:val="24"/>
          <w:szCs w:val="24"/>
          <w:lang w:val="en-US"/>
        </w:rPr>
        <w:t>. Throughout this process, there should be fiscal transparency with detailed information being made available throughout the fiscal policy cycle as described in the earlier sections of this module. This is important as amongst others, it facilitates a comprehensive account of government’s finances, facilitating planning and budgeting with a holistic view of the scarce resources available and allocated. Processes run outside of the central budgetary process may mean that the allocation of funding is inefficient, often due to concealed funding sources potentially leading to the double funding of initiatives and/or trade-offs not being adequately considered, with initiatives not being scrutinized to the same extent as those subject to the central budget process.</w:t>
      </w:r>
    </w:p>
    <w:p w14:paraId="69B73184" w14:textId="33F39349" w:rsidR="00890125" w:rsidRDefault="00890125" w:rsidP="00BD6508">
      <w:pPr>
        <w:spacing w:before="120" w:after="120" w:line="276" w:lineRule="auto"/>
        <w:jc w:val="both"/>
        <w:rPr>
          <w:rFonts w:ascii="Arial" w:hAnsi="Arial" w:cs="Arial"/>
          <w:sz w:val="24"/>
          <w:szCs w:val="24"/>
          <w:lang w:val="en-US"/>
        </w:rPr>
      </w:pPr>
    </w:p>
    <w:p w14:paraId="22661470" w14:textId="3D8B4B7A" w:rsidR="00890125" w:rsidRDefault="00890125" w:rsidP="00BD6508">
      <w:pPr>
        <w:spacing w:before="120" w:after="120" w:line="276" w:lineRule="auto"/>
        <w:jc w:val="both"/>
        <w:rPr>
          <w:rFonts w:ascii="Arial" w:hAnsi="Arial" w:cs="Arial"/>
          <w:sz w:val="24"/>
          <w:szCs w:val="24"/>
          <w:lang w:val="en-US"/>
        </w:rPr>
      </w:pPr>
    </w:p>
    <w:p w14:paraId="23DB5074" w14:textId="2FAA3068" w:rsidR="00890125" w:rsidRDefault="00890125" w:rsidP="00BD6508">
      <w:pPr>
        <w:spacing w:before="120" w:after="120" w:line="276" w:lineRule="auto"/>
        <w:jc w:val="both"/>
        <w:rPr>
          <w:rFonts w:ascii="Arial" w:hAnsi="Arial" w:cs="Arial"/>
          <w:sz w:val="24"/>
          <w:szCs w:val="24"/>
          <w:lang w:val="en-US"/>
        </w:rPr>
      </w:pPr>
    </w:p>
    <w:p w14:paraId="2F0FDD73" w14:textId="2829F145" w:rsidR="00890125" w:rsidRDefault="00890125" w:rsidP="00BD6508">
      <w:pPr>
        <w:spacing w:before="120" w:after="120" w:line="276" w:lineRule="auto"/>
        <w:jc w:val="both"/>
        <w:rPr>
          <w:rFonts w:ascii="Arial" w:hAnsi="Arial" w:cs="Arial"/>
          <w:sz w:val="24"/>
          <w:szCs w:val="24"/>
          <w:lang w:val="en-US"/>
        </w:rPr>
      </w:pPr>
    </w:p>
    <w:p w14:paraId="6C19AFF7" w14:textId="30809702" w:rsidR="00890125" w:rsidRDefault="00890125" w:rsidP="00BD6508">
      <w:pPr>
        <w:spacing w:before="120" w:after="120" w:line="276" w:lineRule="auto"/>
        <w:jc w:val="both"/>
        <w:rPr>
          <w:rFonts w:ascii="Arial" w:hAnsi="Arial" w:cs="Arial"/>
          <w:sz w:val="24"/>
          <w:szCs w:val="24"/>
          <w:lang w:val="en-US"/>
        </w:rPr>
      </w:pPr>
    </w:p>
    <w:p w14:paraId="502E005E" w14:textId="77777777" w:rsidR="00890125" w:rsidRDefault="00890125" w:rsidP="00BD6508">
      <w:pPr>
        <w:spacing w:before="120" w:after="120" w:line="276" w:lineRule="auto"/>
        <w:jc w:val="both"/>
        <w:rPr>
          <w:rFonts w:ascii="Arial" w:hAnsi="Arial" w:cs="Arial"/>
          <w:sz w:val="24"/>
          <w:szCs w:val="24"/>
          <w:lang w:val="en-US"/>
        </w:rPr>
      </w:pPr>
    </w:p>
    <w:p w14:paraId="54EF51A3" w14:textId="77777777" w:rsidR="005F10AD" w:rsidRPr="00BD6508" w:rsidRDefault="005F10AD" w:rsidP="00BD6508">
      <w:pPr>
        <w:spacing w:before="120" w:after="120" w:line="276" w:lineRule="auto"/>
        <w:jc w:val="both"/>
        <w:rPr>
          <w:rFonts w:ascii="Arial" w:hAnsi="Arial" w:cs="Arial"/>
          <w:sz w:val="24"/>
          <w:szCs w:val="24"/>
          <w:lang w:val="en-US"/>
        </w:rPr>
      </w:pPr>
    </w:p>
    <w:p w14:paraId="3CB70DB2" w14:textId="0CE92263" w:rsidR="00454542" w:rsidRDefault="00210326" w:rsidP="00210326">
      <w:pPr>
        <w:spacing w:before="120" w:after="120" w:line="276" w:lineRule="auto"/>
        <w:jc w:val="both"/>
        <w:rPr>
          <w:rFonts w:ascii="Arial" w:hAnsi="Arial" w:cs="Arial"/>
          <w:sz w:val="24"/>
          <w:szCs w:val="24"/>
          <w:lang w:val="en-US"/>
        </w:rPr>
      </w:pPr>
      <w:r w:rsidRPr="00BD6508">
        <w:rPr>
          <w:rFonts w:ascii="Arial" w:hAnsi="Arial" w:cs="Arial"/>
          <w:b/>
          <w:bCs/>
          <w:color w:val="F9A133"/>
          <w:sz w:val="24"/>
          <w:szCs w:val="24"/>
          <w:lang w:val="en-US"/>
        </w:rPr>
        <w:lastRenderedPageBreak/>
        <w:t xml:space="preserve">There are also international </w:t>
      </w:r>
      <w:hyperlink r:id="rId750" w:history="1">
        <w:r w:rsidRPr="00BD6508">
          <w:rPr>
            <w:rFonts w:ascii="Arial" w:hAnsi="Arial" w:cs="Arial"/>
            <w:b/>
            <w:bCs/>
            <w:color w:val="F9A133"/>
            <w:sz w:val="24"/>
            <w:szCs w:val="24"/>
            <w:u w:val="single"/>
            <w:lang w:val="en-US"/>
          </w:rPr>
          <w:t>principles</w:t>
        </w:r>
      </w:hyperlink>
      <w:r w:rsidRPr="00BD6508">
        <w:rPr>
          <w:rFonts w:ascii="Arial" w:hAnsi="Arial" w:cs="Arial"/>
          <w:b/>
          <w:bCs/>
          <w:color w:val="F9A133"/>
          <w:sz w:val="24"/>
          <w:szCs w:val="24"/>
          <w:lang w:val="en-US"/>
        </w:rPr>
        <w:t xml:space="preserve"> for aid effectiveness that can assist governments and donors</w:t>
      </w:r>
      <w:r w:rsidRPr="00BD6508">
        <w:rPr>
          <w:rFonts w:ascii="Arial" w:hAnsi="Arial" w:cs="Arial"/>
          <w:color w:val="F9A133"/>
          <w:sz w:val="24"/>
          <w:szCs w:val="24"/>
          <w:lang w:val="en-US"/>
        </w:rPr>
        <w:t>.</w:t>
      </w:r>
      <w:r w:rsidRPr="00BD6508">
        <w:rPr>
          <w:rFonts w:ascii="Arial" w:hAnsi="Arial" w:cs="Arial"/>
          <w:sz w:val="24"/>
          <w:szCs w:val="24"/>
          <w:lang w:val="en-US"/>
        </w:rPr>
        <w:t xml:space="preserve"> </w:t>
      </w:r>
    </w:p>
    <w:p w14:paraId="2BB1A417" w14:textId="6769CE64" w:rsidR="00454542" w:rsidRDefault="00EA1D58" w:rsidP="00210326">
      <w:pPr>
        <w:spacing w:before="120" w:after="120"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86750" behindDoc="0" locked="0" layoutInCell="1" allowOverlap="1" wp14:anchorId="2384339E" wp14:editId="2CCB31CB">
                <wp:simplePos x="0" y="0"/>
                <wp:positionH relativeFrom="column">
                  <wp:posOffset>4495800</wp:posOffset>
                </wp:positionH>
                <wp:positionV relativeFrom="paragraph">
                  <wp:posOffset>226695</wp:posOffset>
                </wp:positionV>
                <wp:extent cx="2032000" cy="635000"/>
                <wp:effectExtent l="0" t="0" r="0" b="0"/>
                <wp:wrapNone/>
                <wp:docPr id="1619" name="Text Box 1619"/>
                <wp:cNvGraphicFramePr/>
                <a:graphic xmlns:a="http://schemas.openxmlformats.org/drawingml/2006/main">
                  <a:graphicData uri="http://schemas.microsoft.com/office/word/2010/wordprocessingShape">
                    <wps:wsp>
                      <wps:cNvSpPr txBox="1"/>
                      <wps:spPr>
                        <a:xfrm>
                          <a:off x="0" y="0"/>
                          <a:ext cx="2032000" cy="635000"/>
                        </a:xfrm>
                        <a:prstGeom prst="rect">
                          <a:avLst/>
                        </a:prstGeom>
                        <a:noFill/>
                        <a:ln w="6350">
                          <a:noFill/>
                        </a:ln>
                      </wps:spPr>
                      <wps:txbx>
                        <w:txbxContent>
                          <w:p w14:paraId="4DBDDE07" w14:textId="5728503A" w:rsidR="00D15FD8" w:rsidRPr="00BD6508" w:rsidRDefault="00D15FD8" w:rsidP="00BD6508">
                            <w:pPr>
                              <w:jc w:val="center"/>
                              <w:rPr>
                                <w:b/>
                                <w:bCs/>
                                <w:color w:val="FFFFFF" w:themeColor="background1"/>
                              </w:rPr>
                            </w:pPr>
                            <w:r w:rsidRPr="00454542">
                              <w:rPr>
                                <w:rFonts w:ascii="Arial" w:hAnsi="Arial" w:cs="Arial"/>
                                <w:b/>
                                <w:bCs/>
                                <w:color w:val="FFFFFF" w:themeColor="background1"/>
                                <w:sz w:val="24"/>
                                <w:szCs w:val="24"/>
                                <w:lang w:val="en-US"/>
                              </w:rPr>
                              <w:t>Third High Level Forum on Aid Effectiveness</w:t>
                            </w:r>
                            <w:r>
                              <w:rPr>
                                <w:rFonts w:ascii="Arial" w:hAnsi="Arial" w:cs="Arial"/>
                                <w:b/>
                                <w:bCs/>
                                <w:color w:val="FFFFFF" w:themeColor="background1"/>
                                <w:sz w:val="24"/>
                                <w:szCs w:val="24"/>
                                <w:lang w:val="en-US"/>
                              </w:rPr>
                              <w:t xml:space="preserve"> (2008)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4339E" id="Text Box 1619" o:spid="_x0000_s1433" type="#_x0000_t202" style="position:absolute;left:0;text-align:left;margin-left:354pt;margin-top:17.85pt;width:160pt;height:50pt;z-index:253386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" filled="f" stroked="f" strokeweight=".5pt">
                <v:textbox>
                  <w:txbxContent>
                    <w:p w14:paraId="4DBDDE07" w14:textId="5728503A" w:rsidR="00D15FD8" w:rsidRPr="00BD6508" w:rsidRDefault="00D15FD8" w:rsidP="00BD6508">
                      <w:pPr>
                        <w:jc w:val="center"/>
                        <w:rPr>
                          <w:b/>
                          <w:bCs/>
                          <w:color w:val="FFFFFF" w:themeColor="background1"/>
                        </w:rPr>
                      </w:pPr>
                      <w:r w:rsidRPr="00454542">
                        <w:rPr>
                          <w:rFonts w:ascii="Arial" w:hAnsi="Arial" w:cs="Arial"/>
                          <w:b/>
                          <w:bCs/>
                          <w:color w:val="FFFFFF" w:themeColor="background1"/>
                          <w:sz w:val="24"/>
                          <w:szCs w:val="24"/>
                          <w:lang w:val="en-US"/>
                        </w:rPr>
                        <w:t>Third High Level Forum on Aid Effectiveness</w:t>
                      </w:r>
                      <w:r>
                        <w:rPr>
                          <w:rFonts w:ascii="Arial" w:hAnsi="Arial" w:cs="Arial"/>
                          <w:b/>
                          <w:bCs/>
                          <w:color w:val="FFFFFF" w:themeColor="background1"/>
                          <w:sz w:val="24"/>
                          <w:szCs w:val="24"/>
                          <w:lang w:val="en-US"/>
                        </w:rPr>
                        <w:t xml:space="preserve"> (2008)</w:t>
                      </w:r>
                    </w:p>
                  </w:txbxContent>
                </v:textbox>
              </v:shape>
            </w:pict>
          </mc:Fallback>
        </mc:AlternateContent>
      </w:r>
      <w:r w:rsidRPr="00BD6508">
        <w:rPr>
          <w:rFonts w:ascii="Arial" w:hAnsi="Arial" w:cs="Arial"/>
          <w:b/>
          <w:bCs/>
          <w:noProof/>
          <w:color w:val="F9A133"/>
          <w:sz w:val="24"/>
          <w:szCs w:val="24"/>
          <w:lang w:val="en-US"/>
        </w:rPr>
        <mc:AlternateContent>
          <mc:Choice Requires="wps">
            <w:drawing>
              <wp:anchor distT="0" distB="0" distL="114300" distR="114300" simplePos="0" relativeHeight="253380606" behindDoc="0" locked="0" layoutInCell="1" allowOverlap="1" wp14:anchorId="69743DAB" wp14:editId="4E51A246">
                <wp:simplePos x="0" y="0"/>
                <wp:positionH relativeFrom="column">
                  <wp:posOffset>12700</wp:posOffset>
                </wp:positionH>
                <wp:positionV relativeFrom="paragraph">
                  <wp:posOffset>164465</wp:posOffset>
                </wp:positionV>
                <wp:extent cx="2260600" cy="685800"/>
                <wp:effectExtent l="0" t="0" r="0" b="0"/>
                <wp:wrapNone/>
                <wp:docPr id="1615" name="Rounded Rectangle 1615"/>
                <wp:cNvGraphicFramePr/>
                <a:graphic xmlns:a="http://schemas.openxmlformats.org/drawingml/2006/main">
                  <a:graphicData uri="http://schemas.microsoft.com/office/word/2010/wordprocessingShape">
                    <wps:wsp>
                      <wps:cNvSpPr/>
                      <wps:spPr>
                        <a:xfrm>
                          <a:off x="0" y="0"/>
                          <a:ext cx="2260600" cy="6858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C61D2B1" id="Rounded Rectangle 1615" o:spid="_x0000_s1026" style="position:absolute;margin-left:1pt;margin-top:12.95pt;width:178pt;height:54pt;z-index:2533806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" fillcolor="#f9a133" stroked="f" strokeweight="1pt">
                <v:stroke joinstyle="miter"/>
              </v:roundrect>
            </w:pict>
          </mc:Fallback>
        </mc:AlternateContent>
      </w:r>
      <w:r w:rsidRPr="00BD6508">
        <w:rPr>
          <w:rFonts w:ascii="Arial" w:hAnsi="Arial" w:cs="Arial"/>
          <w:b/>
          <w:bCs/>
          <w:noProof/>
          <w:color w:val="F9A133"/>
          <w:sz w:val="24"/>
          <w:szCs w:val="24"/>
          <w:lang w:val="en-US"/>
        </w:rPr>
        <mc:AlternateContent>
          <mc:Choice Requires="wps">
            <w:drawing>
              <wp:anchor distT="0" distB="0" distL="114300" distR="114300" simplePos="0" relativeHeight="253384702" behindDoc="0" locked="0" layoutInCell="1" allowOverlap="1" wp14:anchorId="0435C409" wp14:editId="076BD185">
                <wp:simplePos x="0" y="0"/>
                <wp:positionH relativeFrom="column">
                  <wp:posOffset>4343400</wp:posOffset>
                </wp:positionH>
                <wp:positionV relativeFrom="paragraph">
                  <wp:posOffset>164465</wp:posOffset>
                </wp:positionV>
                <wp:extent cx="2260600" cy="749300"/>
                <wp:effectExtent l="0" t="0" r="0" b="0"/>
                <wp:wrapNone/>
                <wp:docPr id="1618" name="Rounded Rectangle 1618"/>
                <wp:cNvGraphicFramePr/>
                <a:graphic xmlns:a="http://schemas.openxmlformats.org/drawingml/2006/main">
                  <a:graphicData uri="http://schemas.microsoft.com/office/word/2010/wordprocessingShape">
                    <wps:wsp>
                      <wps:cNvSpPr/>
                      <wps:spPr>
                        <a:xfrm>
                          <a:off x="0" y="0"/>
                          <a:ext cx="2260600" cy="7493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5C2B783F" id="Rounded Rectangle 1618" o:spid="_x0000_s1026" style="position:absolute;margin-left:342pt;margin-top:12.95pt;width:178pt;height:59pt;z-index:2533847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" fillcolor="#f9a133" stroked="f" strokeweight="1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381630" behindDoc="0" locked="0" layoutInCell="1" allowOverlap="1" wp14:anchorId="48622BE9" wp14:editId="2834AA09">
                <wp:simplePos x="0" y="0"/>
                <wp:positionH relativeFrom="column">
                  <wp:posOffset>127000</wp:posOffset>
                </wp:positionH>
                <wp:positionV relativeFrom="paragraph">
                  <wp:posOffset>290195</wp:posOffset>
                </wp:positionV>
                <wp:extent cx="2032000" cy="431800"/>
                <wp:effectExtent l="0" t="0" r="0" b="0"/>
                <wp:wrapNone/>
                <wp:docPr id="1616" name="Text Box 1616"/>
                <wp:cNvGraphicFramePr/>
                <a:graphic xmlns:a="http://schemas.openxmlformats.org/drawingml/2006/main">
                  <a:graphicData uri="http://schemas.microsoft.com/office/word/2010/wordprocessingShape">
                    <wps:wsp>
                      <wps:cNvSpPr txBox="1"/>
                      <wps:spPr>
                        <a:xfrm>
                          <a:off x="0" y="0"/>
                          <a:ext cx="2032000" cy="431800"/>
                        </a:xfrm>
                        <a:prstGeom prst="rect">
                          <a:avLst/>
                        </a:prstGeom>
                        <a:noFill/>
                        <a:ln w="6350">
                          <a:noFill/>
                        </a:ln>
                      </wps:spPr>
                      <wps:txbx>
                        <w:txbxContent>
                          <w:p w14:paraId="67B3B673" w14:textId="7D2796B5" w:rsidR="00D15FD8" w:rsidRPr="00BD6508" w:rsidRDefault="00D15FD8" w:rsidP="00BD6508">
                            <w:pPr>
                              <w:jc w:val="center"/>
                              <w:rPr>
                                <w:b/>
                                <w:bCs/>
                                <w:color w:val="FFFFFF" w:themeColor="background1"/>
                              </w:rPr>
                            </w:pPr>
                            <w:r w:rsidRPr="00BD6508">
                              <w:rPr>
                                <w:rFonts w:ascii="Arial" w:hAnsi="Arial" w:cs="Arial"/>
                                <w:b/>
                                <w:bCs/>
                                <w:color w:val="FFFFFF" w:themeColor="background1"/>
                                <w:sz w:val="24"/>
                                <w:szCs w:val="24"/>
                                <w:lang w:val="en-US"/>
                              </w:rPr>
                              <w:t>Paris Declaration on Aid Effectiveness of 2005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622BE9" id="Text Box 1616" o:spid="_x0000_s1434" type="#_x0000_t202" style="position:absolute;left:0;text-align:left;margin-left:10pt;margin-top:22.85pt;width:160pt;height:34pt;z-index:2533816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" filled="f" stroked="f" strokeweight=".5pt">
                <v:textbox>
                  <w:txbxContent>
                    <w:p w14:paraId="67B3B673" w14:textId="7D2796B5" w:rsidR="00D15FD8" w:rsidRPr="00BD6508" w:rsidRDefault="00D15FD8" w:rsidP="00BD6508">
                      <w:pPr>
                        <w:jc w:val="center"/>
                        <w:rPr>
                          <w:b/>
                          <w:bCs/>
                          <w:color w:val="FFFFFF" w:themeColor="background1"/>
                        </w:rPr>
                      </w:pPr>
                      <w:r w:rsidRPr="00BD6508">
                        <w:rPr>
                          <w:rFonts w:ascii="Arial" w:hAnsi="Arial" w:cs="Arial"/>
                          <w:b/>
                          <w:bCs/>
                          <w:color w:val="FFFFFF" w:themeColor="background1"/>
                          <w:sz w:val="24"/>
                          <w:szCs w:val="24"/>
                          <w:lang w:val="en-US"/>
                        </w:rPr>
                        <w:t>Paris Declaration on Aid Effectiveness of 2005</w:t>
                      </w:r>
                    </w:p>
                  </w:txbxContent>
                </v:textbox>
              </v:shape>
            </w:pict>
          </mc:Fallback>
        </mc:AlternateContent>
      </w:r>
      <w:r w:rsidRPr="00BD6508">
        <w:rPr>
          <w:rFonts w:ascii="Arial" w:hAnsi="Arial" w:cs="Arial"/>
          <w:b/>
          <w:bCs/>
          <w:noProof/>
          <w:color w:val="F9A133"/>
          <w:sz w:val="24"/>
          <w:szCs w:val="24"/>
          <w:lang w:val="en-US"/>
        </w:rPr>
        <mc:AlternateContent>
          <mc:Choice Requires="wps">
            <w:drawing>
              <wp:anchor distT="0" distB="0" distL="114300" distR="114300" simplePos="0" relativeHeight="253388798" behindDoc="0" locked="0" layoutInCell="1" allowOverlap="1" wp14:anchorId="6149C8EB" wp14:editId="61D0F42F">
                <wp:simplePos x="0" y="0"/>
                <wp:positionH relativeFrom="column">
                  <wp:posOffset>4343400</wp:posOffset>
                </wp:positionH>
                <wp:positionV relativeFrom="paragraph">
                  <wp:posOffset>1028065</wp:posOffset>
                </wp:positionV>
                <wp:extent cx="2260600" cy="444500"/>
                <wp:effectExtent l="0" t="0" r="0" b="0"/>
                <wp:wrapNone/>
                <wp:docPr id="1620" name="Rounded Rectangle 1620"/>
                <wp:cNvGraphicFramePr/>
                <a:graphic xmlns:a="http://schemas.openxmlformats.org/drawingml/2006/main">
                  <a:graphicData uri="http://schemas.microsoft.com/office/word/2010/wordprocessingShape">
                    <wps:wsp>
                      <wps:cNvSpPr/>
                      <wps:spPr>
                        <a:xfrm>
                          <a:off x="0" y="0"/>
                          <a:ext cx="2260600" cy="444500"/>
                        </a:xfrm>
                        <a:prstGeom prst="roundRect">
                          <a:avLst/>
                        </a:prstGeom>
                        <a:solidFill>
                          <a:srgbClr val="6955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652407C9" id="Rounded Rectangle 1620" o:spid="_x0000_s1026" style="position:absolute;margin-left:342pt;margin-top:80.95pt;width:178pt;height:35pt;z-index:2533887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" fillcolor="#69557f" stroked="f" strokeweight="1pt">
                <v:stroke joinstyle="miter"/>
              </v:roundrect>
            </w:pict>
          </mc:Fallback>
        </mc:AlternateContent>
      </w:r>
    </w:p>
    <w:p w14:paraId="2C0F2D40" w14:textId="3E5B2C4F" w:rsidR="00454542" w:rsidRDefault="00454542" w:rsidP="00210326">
      <w:pPr>
        <w:spacing w:before="120" w:after="120"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1657204" behindDoc="0" locked="0" layoutInCell="1" allowOverlap="1" wp14:anchorId="7E89F96E" wp14:editId="6A5F89B5">
                <wp:simplePos x="0" y="0"/>
                <wp:positionH relativeFrom="column">
                  <wp:posOffset>2235200</wp:posOffset>
                </wp:positionH>
                <wp:positionV relativeFrom="paragraph">
                  <wp:posOffset>241288</wp:posOffset>
                </wp:positionV>
                <wp:extent cx="2124000" cy="0"/>
                <wp:effectExtent l="0" t="12700" r="22860" b="12700"/>
                <wp:wrapNone/>
                <wp:docPr id="1617" name="Straight Connector 1617"/>
                <wp:cNvGraphicFramePr/>
                <a:graphic xmlns:a="http://schemas.openxmlformats.org/drawingml/2006/main">
                  <a:graphicData uri="http://schemas.microsoft.com/office/word/2010/wordprocessingShape">
                    <wps:wsp>
                      <wps:cNvCnPr/>
                      <wps:spPr>
                        <a:xfrm>
                          <a:off x="0" y="0"/>
                          <a:ext cx="212400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25AC4364" id="Straight Connector 1617" o:spid="_x0000_s1026" style="position:absolute;z-index:2516572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6pt,19pt" to="34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" strokecolor="#69557f" strokeweight="2.25pt">
                <v:stroke joinstyle="miter"/>
              </v:line>
            </w:pict>
          </mc:Fallback>
        </mc:AlternateContent>
      </w:r>
    </w:p>
    <w:p w14:paraId="53A3B5CB" w14:textId="0CBBC1A0" w:rsidR="00454542" w:rsidRDefault="00454542" w:rsidP="00210326">
      <w:pPr>
        <w:spacing w:before="120" w:after="120"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1656179" behindDoc="0" locked="0" layoutInCell="1" allowOverlap="1" wp14:anchorId="767E3725" wp14:editId="7D0F596F">
                <wp:simplePos x="0" y="0"/>
                <wp:positionH relativeFrom="column">
                  <wp:posOffset>5130482</wp:posOffset>
                </wp:positionH>
                <wp:positionV relativeFrom="paragraph">
                  <wp:posOffset>153989</wp:posOffset>
                </wp:positionV>
                <wp:extent cx="720000" cy="0"/>
                <wp:effectExtent l="16828" t="0" r="8572" b="21273"/>
                <wp:wrapNone/>
                <wp:docPr id="1622" name="Straight Connector 1622"/>
                <wp:cNvGraphicFramePr/>
                <a:graphic xmlns:a="http://schemas.openxmlformats.org/drawingml/2006/main">
                  <a:graphicData uri="http://schemas.microsoft.com/office/word/2010/wordprocessingShape">
                    <wps:wsp>
                      <wps:cNvCnPr/>
                      <wps:spPr>
                        <a:xfrm rot="5400000">
                          <a:off x="0" y="0"/>
                          <a:ext cx="72000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7E27D9C1" id="Straight Connector 1622" o:spid="_x0000_s1026" style="position:absolute;rotation:90;z-index:2516561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3.95pt,12.15pt" to="460.6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" strokecolor="#69557f" strokeweight="2.25pt">
                <v:stroke joinstyle="miter"/>
              </v:line>
            </w:pict>
          </mc:Fallback>
        </mc:AlternateContent>
      </w:r>
    </w:p>
    <w:p w14:paraId="1A267CEB" w14:textId="66AF4A6E" w:rsidR="00454542" w:rsidRDefault="00454542" w:rsidP="00210326">
      <w:pPr>
        <w:spacing w:before="120" w:after="120"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3390846" behindDoc="0" locked="0" layoutInCell="1" allowOverlap="1" wp14:anchorId="1A65AB15" wp14:editId="6308C095">
                <wp:simplePos x="0" y="0"/>
                <wp:positionH relativeFrom="column">
                  <wp:posOffset>4460240</wp:posOffset>
                </wp:positionH>
                <wp:positionV relativeFrom="paragraph">
                  <wp:posOffset>195568</wp:posOffset>
                </wp:positionV>
                <wp:extent cx="2032000" cy="431800"/>
                <wp:effectExtent l="0" t="0" r="0" b="0"/>
                <wp:wrapNone/>
                <wp:docPr id="1621" name="Text Box 1621"/>
                <wp:cNvGraphicFramePr/>
                <a:graphic xmlns:a="http://schemas.openxmlformats.org/drawingml/2006/main">
                  <a:graphicData uri="http://schemas.microsoft.com/office/word/2010/wordprocessingShape">
                    <wps:wsp>
                      <wps:cNvSpPr txBox="1"/>
                      <wps:spPr>
                        <a:xfrm>
                          <a:off x="0" y="0"/>
                          <a:ext cx="2032000" cy="431800"/>
                        </a:xfrm>
                        <a:prstGeom prst="rect">
                          <a:avLst/>
                        </a:prstGeom>
                        <a:noFill/>
                        <a:ln w="6350">
                          <a:noFill/>
                        </a:ln>
                      </wps:spPr>
                      <wps:txbx>
                        <w:txbxContent>
                          <w:p w14:paraId="2B239CD9" w14:textId="6064B1A4" w:rsidR="00D15FD8" w:rsidRPr="00BD6508" w:rsidRDefault="00D15FD8" w:rsidP="00BD6508">
                            <w:pPr>
                              <w:jc w:val="center"/>
                              <w:rPr>
                                <w:b/>
                                <w:bCs/>
                                <w:color w:val="FFFFFF" w:themeColor="background1"/>
                              </w:rPr>
                            </w:pPr>
                            <w:r w:rsidRPr="00454542">
                              <w:rPr>
                                <w:rFonts w:ascii="Arial" w:hAnsi="Arial" w:cs="Arial"/>
                                <w:b/>
                                <w:bCs/>
                                <w:color w:val="FFFFFF" w:themeColor="background1"/>
                                <w:sz w:val="24"/>
                                <w:szCs w:val="24"/>
                                <w:lang w:val="en-US"/>
                              </w:rPr>
                              <w:t>Accra Agenda for Action (AAA)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65AB15" id="Text Box 1621" o:spid="_x0000_s1435" type="#_x0000_t202" style="position:absolute;left:0;text-align:left;margin-left:351.2pt;margin-top:15.4pt;width:160pt;height:34pt;z-index:2533908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" filled="f" stroked="f" strokeweight=".5pt">
                <v:textbox>
                  <w:txbxContent>
                    <w:p w14:paraId="2B239CD9" w14:textId="6064B1A4" w:rsidR="00D15FD8" w:rsidRPr="00BD6508" w:rsidRDefault="00D15FD8" w:rsidP="00BD6508">
                      <w:pPr>
                        <w:jc w:val="center"/>
                        <w:rPr>
                          <w:b/>
                          <w:bCs/>
                          <w:color w:val="FFFFFF" w:themeColor="background1"/>
                        </w:rPr>
                      </w:pPr>
                      <w:r w:rsidRPr="00454542">
                        <w:rPr>
                          <w:rFonts w:ascii="Arial" w:hAnsi="Arial" w:cs="Arial"/>
                          <w:b/>
                          <w:bCs/>
                          <w:color w:val="FFFFFF" w:themeColor="background1"/>
                          <w:sz w:val="24"/>
                          <w:szCs w:val="24"/>
                          <w:lang w:val="en-US"/>
                        </w:rPr>
                        <w:t>Accra Agenda for Action (AAA)</w:t>
                      </w:r>
                    </w:p>
                  </w:txbxContent>
                </v:textbox>
              </v:shape>
            </w:pict>
          </mc:Fallback>
        </mc:AlternateContent>
      </w:r>
    </w:p>
    <w:p w14:paraId="071B23AA" w14:textId="39FBD233" w:rsidR="00454542" w:rsidRDefault="00454542" w:rsidP="00210326">
      <w:pPr>
        <w:spacing w:before="120" w:after="120" w:line="276" w:lineRule="auto"/>
        <w:jc w:val="both"/>
        <w:rPr>
          <w:rFonts w:ascii="Arial" w:hAnsi="Arial" w:cs="Arial"/>
          <w:sz w:val="24"/>
          <w:szCs w:val="24"/>
          <w:lang w:val="en-US"/>
        </w:rPr>
      </w:pPr>
    </w:p>
    <w:p w14:paraId="60C3F612" w14:textId="77777777" w:rsidR="00EA1D58" w:rsidRDefault="00EA1D58" w:rsidP="00BD6508">
      <w:pPr>
        <w:spacing w:before="120" w:after="120" w:line="276" w:lineRule="auto"/>
        <w:jc w:val="both"/>
        <w:rPr>
          <w:rFonts w:ascii="Arial" w:hAnsi="Arial" w:cs="Arial"/>
          <w:sz w:val="24"/>
          <w:szCs w:val="24"/>
          <w:lang w:val="en-US"/>
        </w:rPr>
      </w:pPr>
    </w:p>
    <w:p w14:paraId="090B9499" w14:textId="231110F3" w:rsidR="00210326" w:rsidRPr="00BD6508" w:rsidRDefault="00210326" w:rsidP="00BD6508">
      <w:pPr>
        <w:spacing w:before="120" w:after="120" w:line="276" w:lineRule="auto"/>
        <w:jc w:val="both"/>
        <w:rPr>
          <w:rFonts w:ascii="Arial" w:hAnsi="Arial" w:cs="Arial"/>
          <w:sz w:val="24"/>
          <w:szCs w:val="24"/>
        </w:rPr>
      </w:pPr>
      <w:r w:rsidRPr="00BD6508">
        <w:rPr>
          <w:rFonts w:ascii="Arial" w:hAnsi="Arial" w:cs="Arial"/>
          <w:sz w:val="24"/>
          <w:szCs w:val="24"/>
          <w:lang w:val="en-US"/>
        </w:rPr>
        <w:t xml:space="preserve">These principles were first set out in the Paris Declaration on Aid Effectiveness of 2005, and then in 2008 </w:t>
      </w:r>
      <w:r w:rsidRPr="00BD6508">
        <w:rPr>
          <w:rFonts w:ascii="Arial" w:hAnsi="Arial" w:cs="Arial"/>
          <w:sz w:val="24"/>
          <w:szCs w:val="24"/>
        </w:rPr>
        <w:t xml:space="preserve">at the Third High Level Forum on Aid Effectiveness where stakeholders endorsed the Accra Agenda for Action (AAA). </w:t>
      </w:r>
      <w:r w:rsidRPr="00BD6508">
        <w:rPr>
          <w:rFonts w:ascii="Arial" w:hAnsi="Arial" w:cs="Arial"/>
          <w:sz w:val="24"/>
          <w:szCs w:val="24"/>
          <w:lang w:val="en-US"/>
        </w:rPr>
        <w:t xml:space="preserve">The principles focus on the achievement of results, country ownership, inclusive partnerships, transparency, and accountability. </w:t>
      </w:r>
      <w:r w:rsidRPr="00BD6508">
        <w:rPr>
          <w:rFonts w:ascii="Arial" w:hAnsi="Arial" w:cs="Arial"/>
          <w:sz w:val="24"/>
          <w:szCs w:val="24"/>
        </w:rPr>
        <w:t>They emphasize the need to increase the use of country systems, including public financial management systems.</w:t>
      </w:r>
      <w:r w:rsidRPr="00BD6508">
        <w:rPr>
          <w:rFonts w:ascii="Arial" w:hAnsi="Arial" w:cs="Arial"/>
          <w:sz w:val="24"/>
          <w:szCs w:val="24"/>
          <w:lang w:val="en-US"/>
        </w:rPr>
        <w:t xml:space="preserve"> The International Aid Transparency Initiative (IATI</w:t>
      </w:r>
      <w:r w:rsidRPr="00BD6508">
        <w:rPr>
          <w:rFonts w:ascii="Arial" w:hAnsi="Arial" w:cs="Arial"/>
          <w:sz w:val="24"/>
          <w:szCs w:val="24"/>
        </w:rPr>
        <w:t xml:space="preserve">)’s </w:t>
      </w:r>
      <w:hyperlink r:id="rId751" w:history="1">
        <w:r w:rsidRPr="00BD6508">
          <w:rPr>
            <w:rFonts w:ascii="Arial" w:hAnsi="Arial" w:cs="Arial"/>
            <w:color w:val="0563C1" w:themeColor="hyperlink"/>
            <w:sz w:val="24"/>
            <w:szCs w:val="24"/>
            <w:u w:val="single"/>
          </w:rPr>
          <w:t>Standard</w:t>
        </w:r>
      </w:hyperlink>
      <w:r w:rsidRPr="00BD6508">
        <w:rPr>
          <w:rFonts w:ascii="Arial" w:hAnsi="Arial" w:cs="Arial"/>
          <w:sz w:val="24"/>
          <w:szCs w:val="24"/>
        </w:rPr>
        <w:t xml:space="preserve"> </w:t>
      </w:r>
      <w:r w:rsidRPr="00BD6508">
        <w:rPr>
          <w:rFonts w:ascii="Arial" w:hAnsi="Arial" w:cs="Arial"/>
          <w:sz w:val="24"/>
          <w:szCs w:val="24"/>
          <w:lang w:val="en-US"/>
        </w:rPr>
        <w:t xml:space="preserve">comprises a set of rules and guidance on </w:t>
      </w:r>
      <w:r w:rsidRPr="00BD6508">
        <w:rPr>
          <w:rFonts w:ascii="Arial" w:hAnsi="Arial" w:cs="Arial"/>
          <w:sz w:val="24"/>
          <w:szCs w:val="24"/>
        </w:rPr>
        <w:t>how to publish useful development and humanitarian data. IATI aims to make data on development and humanitarian spending and projects easier to access, use and understand. Organisations publish information according to the rules and guidance set out in the IATI Standard, with this data then made freely available.</w:t>
      </w:r>
    </w:p>
    <w:p w14:paraId="1C506E5A" w14:textId="3C7B5DE6" w:rsidR="00210326" w:rsidRDefault="00EA1D58" w:rsidP="00210326">
      <w:pPr>
        <w:spacing w:before="120" w:after="120"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391870" behindDoc="0" locked="0" layoutInCell="1" allowOverlap="1" wp14:anchorId="4CA40B06" wp14:editId="1733D11D">
            <wp:simplePos x="0" y="0"/>
            <wp:positionH relativeFrom="column">
              <wp:posOffset>-6350</wp:posOffset>
            </wp:positionH>
            <wp:positionV relativeFrom="paragraph">
              <wp:posOffset>50165</wp:posOffset>
            </wp:positionV>
            <wp:extent cx="1755775" cy="2480945"/>
            <wp:effectExtent l="25400" t="25400" r="85725" b="84455"/>
            <wp:wrapSquare wrapText="bothSides"/>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Picture 1623"/>
                    <pic:cNvPicPr/>
                  </pic:nvPicPr>
                  <pic:blipFill>
                    <a:blip r:embed="rId752" cstate="email">
                      <a:extLst>
                        <a:ext uri="{28A0092B-C50C-407E-A947-70E740481C1C}">
                          <a14:useLocalDpi xmlns:a14="http://schemas.microsoft.com/office/drawing/2010/main"/>
                        </a:ext>
                      </a:extLst>
                    </a:blip>
                    <a:stretch>
                      <a:fillRect/>
                    </a:stretch>
                  </pic:blipFill>
                  <pic:spPr>
                    <a:xfrm>
                      <a:off x="0" y="0"/>
                      <a:ext cx="1755775" cy="248094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10326" w:rsidRPr="00BD6508">
        <w:rPr>
          <w:rFonts w:ascii="Arial" w:hAnsi="Arial" w:cs="Arial"/>
          <w:sz w:val="24"/>
          <w:szCs w:val="24"/>
          <w:lang w:val="en-US"/>
        </w:rPr>
        <w:t xml:space="preserve">As stated in </w:t>
      </w:r>
      <w:hyperlink r:id="rId753" w:history="1">
        <w:r w:rsidR="00210326" w:rsidRPr="00BD6508">
          <w:rPr>
            <w:rFonts w:ascii="Arial" w:hAnsi="Arial" w:cs="Arial"/>
            <w:color w:val="0563C1" w:themeColor="hyperlink"/>
            <w:sz w:val="24"/>
            <w:szCs w:val="24"/>
            <w:u w:val="single"/>
            <w:lang w:val="en-US"/>
          </w:rPr>
          <w:t>CABRI position on Aid Transparency</w:t>
        </w:r>
      </w:hyperlink>
      <w:r w:rsidR="00210326" w:rsidRPr="00BD6508">
        <w:rPr>
          <w:rFonts w:ascii="Arial" w:hAnsi="Arial" w:cs="Arial"/>
          <w:sz w:val="24"/>
          <w:szCs w:val="24"/>
          <w:lang w:val="en-US"/>
        </w:rPr>
        <w:t xml:space="preserve"> (2011), aid transparency is an indispensable pillar for the achievement of sustainable development. Unless aid is transparent, many countries will remain unable to use available resources optimally to deliver essential public goods and services for equitable development and growth. </w:t>
      </w:r>
      <w:proofErr w:type="gramStart"/>
      <w:r w:rsidR="00210326" w:rsidRPr="00BD6508">
        <w:rPr>
          <w:rFonts w:ascii="Arial" w:hAnsi="Arial" w:cs="Arial"/>
          <w:sz w:val="24"/>
          <w:szCs w:val="24"/>
          <w:lang w:val="en-US"/>
        </w:rPr>
        <w:t>It</w:t>
      </w:r>
      <w:proofErr w:type="gramEnd"/>
      <w:r w:rsidR="00210326" w:rsidRPr="00BD6508">
        <w:rPr>
          <w:rFonts w:ascii="Arial" w:hAnsi="Arial" w:cs="Arial"/>
          <w:sz w:val="24"/>
          <w:szCs w:val="24"/>
          <w:lang w:val="en-US"/>
        </w:rPr>
        <w:t xml:space="preserve"> further states that aid transparency requires an adequate flow of and access to information not only between donors and country governments, but also between country institutions. This requires comprehensive, timely, reliable and useful information on aid commitments, disbursements and actual use flows in useful formats and in an accessible manner from donors to country governments, between aid managers and budget managers, between the </w:t>
      </w:r>
      <w:proofErr w:type="spellStart"/>
      <w:r w:rsidR="00210326" w:rsidRPr="00BD6508">
        <w:rPr>
          <w:rFonts w:ascii="Arial" w:hAnsi="Arial" w:cs="Arial"/>
          <w:sz w:val="24"/>
          <w:szCs w:val="24"/>
          <w:lang w:val="en-US"/>
        </w:rPr>
        <w:t>centre</w:t>
      </w:r>
      <w:proofErr w:type="spellEnd"/>
      <w:r w:rsidR="00210326" w:rsidRPr="00BD6508">
        <w:rPr>
          <w:rFonts w:ascii="Arial" w:hAnsi="Arial" w:cs="Arial"/>
          <w:sz w:val="24"/>
          <w:szCs w:val="24"/>
          <w:lang w:val="en-US"/>
        </w:rPr>
        <w:t xml:space="preserve"> and line ministries, and from executive government to domestic stakeholders.</w:t>
      </w:r>
      <w:r w:rsidR="00210326" w:rsidRPr="00BD6508">
        <w:rPr>
          <w:rFonts w:ascii="Arial" w:hAnsi="Arial" w:cs="Arial"/>
          <w:sz w:val="24"/>
          <w:szCs w:val="24"/>
        </w:rPr>
        <w:t xml:space="preserve"> </w:t>
      </w:r>
      <w:r w:rsidR="00210326" w:rsidRPr="00BD6508">
        <w:rPr>
          <w:rFonts w:ascii="Arial" w:hAnsi="Arial" w:cs="Arial"/>
          <w:sz w:val="24"/>
          <w:szCs w:val="24"/>
          <w:lang w:val="en-US"/>
        </w:rPr>
        <w:t>The paper then sets out minimum requirements to be met by donors and countries for effective aid transparency, including in respect of their information flows, systems and integration of aid information into country budgets</w:t>
      </w:r>
      <w:r w:rsidR="00210326" w:rsidRPr="00BD6508">
        <w:rPr>
          <w:rFonts w:ascii="Arial" w:hAnsi="Arial" w:cs="Arial"/>
          <w:sz w:val="24"/>
          <w:szCs w:val="24"/>
          <w:vertAlign w:val="superscript"/>
          <w:lang w:val="en-US"/>
        </w:rPr>
        <w:footnoteReference w:id="53"/>
      </w:r>
      <w:r w:rsidR="00210326" w:rsidRPr="00BD6508">
        <w:rPr>
          <w:rFonts w:ascii="Arial" w:hAnsi="Arial" w:cs="Arial"/>
          <w:sz w:val="24"/>
          <w:szCs w:val="24"/>
          <w:lang w:val="en-US"/>
        </w:rPr>
        <w:t>.</w:t>
      </w:r>
    </w:p>
    <w:p w14:paraId="5FEA061A" w14:textId="69FB890A" w:rsidR="005F10AD" w:rsidRDefault="005F10AD" w:rsidP="00210326">
      <w:pPr>
        <w:spacing w:before="120" w:after="120" w:line="276" w:lineRule="auto"/>
        <w:jc w:val="both"/>
        <w:rPr>
          <w:rFonts w:ascii="Arial" w:hAnsi="Arial" w:cs="Arial"/>
          <w:sz w:val="24"/>
          <w:szCs w:val="24"/>
          <w:lang w:val="en-US"/>
        </w:rPr>
      </w:pPr>
    </w:p>
    <w:p w14:paraId="71C52177" w14:textId="69F01C23" w:rsidR="005F10AD" w:rsidRDefault="005F10AD" w:rsidP="00210326">
      <w:pPr>
        <w:spacing w:before="120" w:after="120" w:line="276" w:lineRule="auto"/>
        <w:jc w:val="both"/>
        <w:rPr>
          <w:rFonts w:ascii="Arial" w:hAnsi="Arial" w:cs="Arial"/>
          <w:sz w:val="24"/>
          <w:szCs w:val="24"/>
          <w:lang w:val="en-US"/>
        </w:rPr>
      </w:pPr>
    </w:p>
    <w:p w14:paraId="3B745EDB" w14:textId="0501C2D9" w:rsidR="005F10AD" w:rsidRDefault="005F10AD" w:rsidP="00210326">
      <w:pPr>
        <w:spacing w:before="120" w:after="120" w:line="276" w:lineRule="auto"/>
        <w:jc w:val="both"/>
        <w:rPr>
          <w:rFonts w:ascii="Arial" w:hAnsi="Arial" w:cs="Arial"/>
          <w:sz w:val="24"/>
          <w:szCs w:val="24"/>
          <w:lang w:val="en-US"/>
        </w:rPr>
      </w:pPr>
    </w:p>
    <w:p w14:paraId="2F9CA532" w14:textId="77777777" w:rsidR="005F10AD" w:rsidRDefault="005F10AD" w:rsidP="00210326">
      <w:pPr>
        <w:spacing w:before="120" w:after="120" w:line="276" w:lineRule="auto"/>
        <w:jc w:val="both"/>
        <w:rPr>
          <w:rFonts w:ascii="Arial" w:hAnsi="Arial" w:cs="Arial"/>
          <w:sz w:val="24"/>
          <w:szCs w:val="24"/>
          <w:lang w:val="en-US"/>
        </w:rPr>
      </w:pPr>
    </w:p>
    <w:p w14:paraId="61701F34" w14:textId="06230DD0" w:rsidR="003A2626" w:rsidRDefault="00FF7743" w:rsidP="00210326">
      <w:pPr>
        <w:spacing w:before="120" w:after="120" w:line="276" w:lineRule="auto"/>
        <w:jc w:val="both"/>
        <w:rPr>
          <w:rFonts w:ascii="Arial" w:hAnsi="Arial" w:cs="Arial"/>
          <w:sz w:val="24"/>
          <w:szCs w:val="24"/>
          <w:lang w:val="en-US"/>
        </w:rPr>
      </w:pPr>
      <w:r>
        <w:rPr>
          <w:rFonts w:ascii="Arial" w:hAnsi="Arial" w:cs="Arial"/>
          <w:noProof/>
          <w:sz w:val="24"/>
          <w:szCs w:val="24"/>
          <w:lang w:val="en-US"/>
        </w:rPr>
        <w:lastRenderedPageBreak/>
        <w:drawing>
          <wp:anchor distT="0" distB="0" distL="114300" distR="114300" simplePos="0" relativeHeight="251636704" behindDoc="1" locked="0" layoutInCell="1" allowOverlap="1" wp14:anchorId="0FB8560D" wp14:editId="48CC5BF2">
            <wp:simplePos x="0" y="0"/>
            <wp:positionH relativeFrom="column">
              <wp:posOffset>-76200</wp:posOffset>
            </wp:positionH>
            <wp:positionV relativeFrom="paragraph">
              <wp:posOffset>5080</wp:posOffset>
            </wp:positionV>
            <wp:extent cx="6341110" cy="1295400"/>
            <wp:effectExtent l="0" t="0" r="0" b="0"/>
            <wp:wrapTight wrapText="bothSides">
              <wp:wrapPolygon edited="0">
                <wp:start x="1428" y="0"/>
                <wp:lineTo x="173" y="4024"/>
                <wp:lineTo x="0" y="7624"/>
                <wp:lineTo x="0" y="16941"/>
                <wp:lineTo x="346" y="17365"/>
                <wp:lineTo x="476" y="20753"/>
                <wp:lineTo x="1038" y="21388"/>
                <wp:lineTo x="19035" y="21388"/>
                <wp:lineTo x="19467" y="20753"/>
                <wp:lineTo x="20203" y="17788"/>
                <wp:lineTo x="20506" y="13976"/>
                <wp:lineTo x="20549" y="10588"/>
                <wp:lineTo x="20289" y="7200"/>
                <wp:lineTo x="19770" y="4659"/>
                <wp:lineTo x="19554" y="3812"/>
                <wp:lineTo x="19640" y="1271"/>
                <wp:lineTo x="17737" y="1059"/>
                <wp:lineTo x="2898" y="0"/>
                <wp:lineTo x="1428" y="0"/>
              </wp:wrapPolygon>
            </wp:wrapTight>
            <wp:docPr id="2743" name="Picture 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Picture 2743"/>
                    <pic:cNvPicPr/>
                  </pic:nvPicPr>
                  <pic:blipFill rotWithShape="1">
                    <a:blip r:embed="rId754" cstate="screen">
                      <a:extLst>
                        <a:ext uri="{28A0092B-C50C-407E-A947-70E740481C1C}">
                          <a14:useLocalDpi xmlns:a14="http://schemas.microsoft.com/office/drawing/2010/main"/>
                        </a:ext>
                      </a:extLst>
                    </a:blip>
                    <a:srcRect/>
                    <a:stretch/>
                  </pic:blipFill>
                  <pic:spPr bwMode="auto">
                    <a:xfrm>
                      <a:off x="0" y="0"/>
                      <a:ext cx="634111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32BF8" w14:textId="44CD9CC5" w:rsidR="003A2626" w:rsidRPr="00BD6508" w:rsidRDefault="00FD1EBF" w:rsidP="00BD6508">
      <w:pPr>
        <w:spacing w:before="120" w:after="120" w:line="276" w:lineRule="auto"/>
        <w:jc w:val="both"/>
        <w:rPr>
          <w:rFonts w:ascii="Arial" w:hAnsi="Arial" w:cs="Arial"/>
          <w:sz w:val="24"/>
          <w:szCs w:val="24"/>
          <w:lang w:val="en-US"/>
        </w:rPr>
      </w:pPr>
      <w:r>
        <w:rPr>
          <w:rFonts w:ascii="Arial" w:hAnsi="Arial" w:cs="Arial"/>
          <w:iCs/>
          <w:noProof/>
          <w:lang w:val="en-US"/>
        </w:rPr>
        <mc:AlternateContent>
          <mc:Choice Requires="wps">
            <w:drawing>
              <wp:anchor distT="0" distB="0" distL="114300" distR="114300" simplePos="0" relativeHeight="253395966" behindDoc="0" locked="0" layoutInCell="1" allowOverlap="1" wp14:anchorId="7C0EA231" wp14:editId="7571B877">
                <wp:simplePos x="0" y="0"/>
                <wp:positionH relativeFrom="column">
                  <wp:posOffset>304800</wp:posOffset>
                </wp:positionH>
                <wp:positionV relativeFrom="paragraph">
                  <wp:posOffset>118745</wp:posOffset>
                </wp:positionV>
                <wp:extent cx="571500" cy="660400"/>
                <wp:effectExtent l="0" t="0" r="0" b="0"/>
                <wp:wrapNone/>
                <wp:docPr id="1626" name="Text Box 1626"/>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4AC28ACA" w14:textId="35DE4604" w:rsidR="00D15FD8" w:rsidRPr="00653DDD" w:rsidRDefault="00D15FD8" w:rsidP="00FD1EBF">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EA231" id="Text Box 1626" o:spid="_x0000_s1436" type="#_x0000_t202" style="position:absolute;left:0;text-align:left;margin-left:24pt;margin-top:9.35pt;width:45pt;height:52pt;z-index:253395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" filled="f" stroked="f" strokeweight=".5pt">
                <v:textbox>
                  <w:txbxContent>
                    <w:p w14:paraId="4AC28ACA" w14:textId="35DE4604" w:rsidR="00D15FD8" w:rsidRPr="00653DDD" w:rsidRDefault="00D15FD8" w:rsidP="00FD1EBF">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394942" behindDoc="0" locked="0" layoutInCell="1" allowOverlap="1" wp14:anchorId="7D2858C5" wp14:editId="1A022DF9">
                <wp:simplePos x="0" y="0"/>
                <wp:positionH relativeFrom="column">
                  <wp:posOffset>1168400</wp:posOffset>
                </wp:positionH>
                <wp:positionV relativeFrom="paragraph">
                  <wp:posOffset>93345</wp:posOffset>
                </wp:positionV>
                <wp:extent cx="4292600" cy="533400"/>
                <wp:effectExtent l="0" t="0" r="0" b="0"/>
                <wp:wrapNone/>
                <wp:docPr id="1625" name="Text Box 1625"/>
                <wp:cNvGraphicFramePr/>
                <a:graphic xmlns:a="http://schemas.openxmlformats.org/drawingml/2006/main">
                  <a:graphicData uri="http://schemas.microsoft.com/office/word/2010/wordprocessingShape">
                    <wps:wsp>
                      <wps:cNvSpPr txBox="1"/>
                      <wps:spPr>
                        <a:xfrm>
                          <a:off x="0" y="0"/>
                          <a:ext cx="4292600" cy="533400"/>
                        </a:xfrm>
                        <a:prstGeom prst="rect">
                          <a:avLst/>
                        </a:prstGeom>
                        <a:noFill/>
                        <a:ln w="6350">
                          <a:noFill/>
                        </a:ln>
                      </wps:spPr>
                      <wps:txbx>
                        <w:txbxContent>
                          <w:p w14:paraId="561B2499" w14:textId="2632CC3F" w:rsidR="00D15FD8" w:rsidRPr="00057172" w:rsidRDefault="00D15FD8" w:rsidP="00BD6508">
                            <w:pPr>
                              <w:pStyle w:val="Heading1"/>
                              <w:rPr>
                                <w:rFonts w:ascii="Arial" w:hAnsi="Arial" w:cs="Arial"/>
                                <w:b/>
                                <w:bCs/>
                                <w:color w:val="FFFFFF" w:themeColor="background1"/>
                                <w:sz w:val="38"/>
                                <w:szCs w:val="38"/>
                                <w:lang w:val="en-US"/>
                              </w:rPr>
                            </w:pPr>
                            <w:bookmarkStart w:id="1633" w:name="_Measuring_fiscal_transparency"/>
                            <w:bookmarkStart w:id="1634" w:name="_Toc123828211"/>
                            <w:bookmarkStart w:id="1635" w:name="_Toc123828421"/>
                            <w:bookmarkStart w:id="1636" w:name="_Toc123828617"/>
                            <w:bookmarkStart w:id="1637" w:name="_Toc123912644"/>
                            <w:bookmarkStart w:id="1638" w:name="_Toc123912903"/>
                            <w:bookmarkStart w:id="1639" w:name="_Toc123913130"/>
                            <w:bookmarkStart w:id="1640" w:name="_Toc123914077"/>
                            <w:bookmarkStart w:id="1641" w:name="_Toc125566692"/>
                            <w:bookmarkEnd w:id="1633"/>
                            <w:r w:rsidRPr="00057172">
                              <w:rPr>
                                <w:rFonts w:ascii="Arial" w:hAnsi="Arial" w:cs="Arial"/>
                                <w:b/>
                                <w:bCs/>
                                <w:color w:val="FFFFFF" w:themeColor="background1"/>
                                <w:sz w:val="38"/>
                                <w:szCs w:val="38"/>
                                <w:lang w:val="en-US"/>
                              </w:rPr>
                              <w:t>Measuring fiscal transparency</w:t>
                            </w:r>
                            <w:bookmarkEnd w:id="1634"/>
                            <w:bookmarkEnd w:id="1635"/>
                            <w:bookmarkEnd w:id="1636"/>
                            <w:bookmarkEnd w:id="1637"/>
                            <w:bookmarkEnd w:id="1638"/>
                            <w:bookmarkEnd w:id="1639"/>
                            <w:bookmarkEnd w:id="1640"/>
                            <w:bookmarkEnd w:id="16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2858C5" id="Text Box 1625" o:spid="_x0000_s1437" type="#_x0000_t202" style="position:absolute;left:0;text-align:left;margin-left:92pt;margin-top:7.35pt;width:338pt;height:42pt;z-index:2533949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" filled="f" stroked="f" strokeweight=".5pt">
                <v:textbox>
                  <w:txbxContent>
                    <w:p w14:paraId="561B2499" w14:textId="2632CC3F" w:rsidR="00D15FD8" w:rsidRPr="00057172" w:rsidRDefault="00D15FD8" w:rsidP="00BD6508">
                      <w:pPr>
                        <w:pStyle w:val="Heading1"/>
                        <w:rPr>
                          <w:rFonts w:ascii="Arial" w:hAnsi="Arial" w:cs="Arial"/>
                          <w:b/>
                          <w:bCs/>
                          <w:color w:val="FFFFFF" w:themeColor="background1"/>
                          <w:sz w:val="38"/>
                          <w:szCs w:val="38"/>
                          <w:lang w:val="en-US"/>
                        </w:rPr>
                      </w:pPr>
                      <w:bookmarkStart w:id="1642" w:name="_Measuring_fiscal_transparency"/>
                      <w:bookmarkStart w:id="1643" w:name="_Toc123828211"/>
                      <w:bookmarkStart w:id="1644" w:name="_Toc123828421"/>
                      <w:bookmarkStart w:id="1645" w:name="_Toc123828617"/>
                      <w:bookmarkStart w:id="1646" w:name="_Toc123912644"/>
                      <w:bookmarkStart w:id="1647" w:name="_Toc123912903"/>
                      <w:bookmarkStart w:id="1648" w:name="_Toc123913130"/>
                      <w:bookmarkStart w:id="1649" w:name="_Toc123914077"/>
                      <w:bookmarkStart w:id="1650" w:name="_Toc125566692"/>
                      <w:bookmarkEnd w:id="1642"/>
                      <w:r w:rsidRPr="00057172">
                        <w:rPr>
                          <w:rFonts w:ascii="Arial" w:hAnsi="Arial" w:cs="Arial"/>
                          <w:b/>
                          <w:bCs/>
                          <w:color w:val="FFFFFF" w:themeColor="background1"/>
                          <w:sz w:val="38"/>
                          <w:szCs w:val="38"/>
                          <w:lang w:val="en-US"/>
                        </w:rPr>
                        <w:t>Measuring fiscal transparency</w:t>
                      </w:r>
                      <w:bookmarkEnd w:id="1643"/>
                      <w:bookmarkEnd w:id="1644"/>
                      <w:bookmarkEnd w:id="1645"/>
                      <w:bookmarkEnd w:id="1646"/>
                      <w:bookmarkEnd w:id="1647"/>
                      <w:bookmarkEnd w:id="1648"/>
                      <w:bookmarkEnd w:id="1649"/>
                      <w:bookmarkEnd w:id="1650"/>
                    </w:p>
                  </w:txbxContent>
                </v:textbox>
              </v:shape>
            </w:pict>
          </mc:Fallback>
        </mc:AlternateContent>
      </w:r>
    </w:p>
    <w:p w14:paraId="4D8BEE45" w14:textId="4CB9C3DD" w:rsidR="0039114B" w:rsidRPr="00BD6508" w:rsidRDefault="0039114B" w:rsidP="00BD6508">
      <w:pPr>
        <w:spacing w:before="240" w:line="276" w:lineRule="auto"/>
        <w:jc w:val="both"/>
        <w:rPr>
          <w:rFonts w:ascii="Arial" w:hAnsi="Arial" w:cs="Arial"/>
          <w:sz w:val="24"/>
          <w:szCs w:val="24"/>
          <w:lang w:val="en-US"/>
        </w:rPr>
      </w:pPr>
    </w:p>
    <w:p w14:paraId="50931597" w14:textId="77777777" w:rsidR="0039114B" w:rsidRDefault="0039114B" w:rsidP="00C707C3">
      <w:pPr>
        <w:spacing w:before="240"/>
        <w:jc w:val="both"/>
        <w:rPr>
          <w:lang w:val="en-US"/>
        </w:rPr>
      </w:pPr>
    </w:p>
    <w:p w14:paraId="51862D22" w14:textId="2337C794" w:rsidR="00B87908" w:rsidRDefault="00B87908" w:rsidP="00B87908">
      <w:pPr>
        <w:tabs>
          <w:tab w:val="left" w:pos="1800"/>
        </w:tabs>
        <w:rPr>
          <w:rFonts w:ascii="Arial" w:hAnsi="Arial" w:cs="Arial"/>
          <w:sz w:val="24"/>
          <w:szCs w:val="24"/>
        </w:rPr>
      </w:pPr>
    </w:p>
    <w:p w14:paraId="2DF04EA3" w14:textId="19AE5B36" w:rsidR="006D0810" w:rsidRDefault="006D0810" w:rsidP="00B87908">
      <w:pPr>
        <w:tabs>
          <w:tab w:val="left" w:pos="1800"/>
        </w:tabs>
        <w:rPr>
          <w:rFonts w:ascii="Arial" w:hAnsi="Arial" w:cs="Arial"/>
          <w:sz w:val="24"/>
          <w:szCs w:val="24"/>
        </w:rPr>
      </w:pPr>
    </w:p>
    <w:p w14:paraId="7F5759F9" w14:textId="46432617" w:rsidR="00A561E7" w:rsidRDefault="00A561E7" w:rsidP="00A561E7">
      <w:pPr>
        <w:spacing w:line="276" w:lineRule="auto"/>
        <w:jc w:val="both"/>
        <w:rPr>
          <w:rFonts w:ascii="Arial" w:hAnsi="Arial" w:cs="Arial"/>
          <w:iCs/>
          <w:sz w:val="24"/>
          <w:szCs w:val="24"/>
          <w:lang w:val="en-ZA"/>
        </w:rPr>
      </w:pPr>
      <w:r w:rsidRPr="00BD6508">
        <w:rPr>
          <w:rFonts w:ascii="Arial" w:hAnsi="Arial" w:cs="Arial"/>
          <w:sz w:val="24"/>
          <w:szCs w:val="24"/>
          <w:lang w:val="en-US"/>
        </w:rPr>
        <w:t>As is often said, what is measured, can be improved! A government’s fiscal transparency is often assessed based on whether a country has laws that give the public access to information, and on the quantity and quality of different types of budget related reports that governments make available to the public. These assessments assist in creating a shared view of country specific circumstances, thereby facilitating the identification of reforms that should be undertaken to improve fiscal transparency and in setting the reform agenda, including reform objectives, priorities, initiatives, and implementation sequencing; the coordination of external support for reforms; and in the monitoring and evaluation of reform progress through the undertaking of subsequent repeat assessments</w:t>
      </w:r>
      <w:r w:rsidRPr="00BD6508">
        <w:rPr>
          <w:rFonts w:ascii="Arial" w:hAnsi="Arial" w:cs="Arial"/>
          <w:iCs/>
          <w:sz w:val="24"/>
          <w:szCs w:val="24"/>
          <w:lang w:val="en-ZA"/>
        </w:rPr>
        <w:t>. Reforms to improve fiscal transparency are discussed in detail in Module 5.</w:t>
      </w:r>
    </w:p>
    <w:p w14:paraId="191920F1" w14:textId="77777777" w:rsidR="000C7B35" w:rsidRDefault="000C7B35" w:rsidP="00A561E7">
      <w:pPr>
        <w:spacing w:line="276" w:lineRule="auto"/>
        <w:jc w:val="both"/>
        <w:rPr>
          <w:rFonts w:ascii="Arial" w:hAnsi="Arial" w:cs="Arial"/>
          <w:iCs/>
          <w:sz w:val="24"/>
          <w:szCs w:val="24"/>
          <w:lang w:val="en-ZA"/>
        </w:rPr>
      </w:pPr>
    </w:p>
    <w:p w14:paraId="3ADFDB84" w14:textId="119D368B" w:rsidR="00A561E7" w:rsidRPr="00057172" w:rsidRDefault="00A561E7" w:rsidP="003D266C">
      <w:pPr>
        <w:pStyle w:val="Heading2"/>
        <w:numPr>
          <w:ilvl w:val="1"/>
          <w:numId w:val="4"/>
        </w:numPr>
        <w:rPr>
          <w:rFonts w:ascii="Arial" w:hAnsi="Arial" w:cs="Arial"/>
          <w:b/>
          <w:bCs/>
          <w:color w:val="F9A133"/>
          <w:sz w:val="36"/>
          <w:szCs w:val="36"/>
          <w:lang w:val="en-US"/>
        </w:rPr>
      </w:pPr>
      <w:bookmarkStart w:id="1651" w:name="_Toc118871469"/>
      <w:bookmarkStart w:id="1652" w:name="_Toc118871619"/>
      <w:bookmarkStart w:id="1653" w:name="_Toc118971117"/>
      <w:bookmarkStart w:id="1654" w:name="_Toc119792759"/>
      <w:bookmarkStart w:id="1655" w:name="_Toc119794513"/>
      <w:bookmarkStart w:id="1656" w:name="_Toc123204510"/>
      <w:bookmarkStart w:id="1657" w:name="_Toc123215425"/>
      <w:bookmarkStart w:id="1658" w:name="_Toc123216621"/>
      <w:bookmarkStart w:id="1659" w:name="_Toc123217461"/>
      <w:bookmarkStart w:id="1660" w:name="_Toc118871470"/>
      <w:bookmarkStart w:id="1661" w:name="_Toc118871620"/>
      <w:bookmarkStart w:id="1662" w:name="_Toc118971118"/>
      <w:bookmarkStart w:id="1663" w:name="_Toc119792760"/>
      <w:bookmarkStart w:id="1664" w:name="_Toc119794514"/>
      <w:bookmarkStart w:id="1665" w:name="_Toc123204511"/>
      <w:bookmarkStart w:id="1666" w:name="_Toc123215426"/>
      <w:bookmarkStart w:id="1667" w:name="_Toc123216622"/>
      <w:bookmarkStart w:id="1668" w:name="_Toc123217462"/>
      <w:bookmarkStart w:id="1669" w:name="_Toc118871471"/>
      <w:bookmarkStart w:id="1670" w:name="_Toc118871621"/>
      <w:bookmarkStart w:id="1671" w:name="_Toc118971119"/>
      <w:bookmarkStart w:id="1672" w:name="_Toc119792761"/>
      <w:bookmarkStart w:id="1673" w:name="_Toc119794515"/>
      <w:bookmarkStart w:id="1674" w:name="_Toc123204512"/>
      <w:bookmarkStart w:id="1675" w:name="_Toc123215427"/>
      <w:bookmarkStart w:id="1676" w:name="_Toc123216623"/>
      <w:bookmarkStart w:id="1677" w:name="_Toc123217463"/>
      <w:bookmarkStart w:id="1678" w:name="_Toc118871472"/>
      <w:bookmarkStart w:id="1679" w:name="_Toc118871622"/>
      <w:bookmarkStart w:id="1680" w:name="_Toc118971120"/>
      <w:bookmarkStart w:id="1681" w:name="_Toc119792762"/>
      <w:bookmarkStart w:id="1682" w:name="_Toc119794516"/>
      <w:bookmarkStart w:id="1683" w:name="_Toc123204513"/>
      <w:bookmarkStart w:id="1684" w:name="_Toc123215428"/>
      <w:bookmarkStart w:id="1685" w:name="_Toc123216624"/>
      <w:bookmarkStart w:id="1686" w:name="_Toc123217464"/>
      <w:bookmarkStart w:id="1687" w:name="_Toc123204514"/>
      <w:bookmarkStart w:id="1688" w:name="_Toc123216625"/>
      <w:bookmarkStart w:id="1689" w:name="_Toc123217465"/>
      <w:bookmarkStart w:id="1690" w:name="_Toc123913422"/>
      <w:bookmarkStart w:id="1691" w:name="_Toc123914078"/>
      <w:bookmarkStart w:id="1692" w:name="_Toc125566693"/>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r w:rsidRPr="00057172">
        <w:rPr>
          <w:rFonts w:ascii="Arial" w:hAnsi="Arial" w:cs="Arial"/>
          <w:b/>
          <w:bCs/>
          <w:color w:val="F9A133"/>
          <w:sz w:val="36"/>
          <w:szCs w:val="36"/>
          <w:lang w:val="en-US"/>
        </w:rPr>
        <w:t>Tools for measuring fiscal transparency</w:t>
      </w:r>
      <w:bookmarkEnd w:id="1687"/>
      <w:bookmarkEnd w:id="1688"/>
      <w:bookmarkEnd w:id="1689"/>
      <w:bookmarkEnd w:id="1690"/>
      <w:bookmarkEnd w:id="1691"/>
      <w:bookmarkEnd w:id="1692"/>
    </w:p>
    <w:p w14:paraId="73F7029C" w14:textId="6E658596" w:rsidR="003D266C" w:rsidRPr="00BD6508" w:rsidRDefault="003D266C" w:rsidP="00BD6508">
      <w:pPr>
        <w:spacing w:line="276" w:lineRule="auto"/>
        <w:rPr>
          <w:rFonts w:ascii="Arial" w:hAnsi="Arial" w:cs="Arial"/>
          <w:sz w:val="24"/>
          <w:szCs w:val="24"/>
          <w:lang w:val="en-US"/>
        </w:rPr>
      </w:pPr>
    </w:p>
    <w:p w14:paraId="50CB2235" w14:textId="720F2AED" w:rsidR="003D266C" w:rsidRDefault="003D266C" w:rsidP="003D266C">
      <w:pPr>
        <w:spacing w:line="276" w:lineRule="auto"/>
        <w:jc w:val="both"/>
        <w:rPr>
          <w:rFonts w:ascii="Arial" w:hAnsi="Arial" w:cs="Arial"/>
          <w:sz w:val="24"/>
          <w:szCs w:val="24"/>
        </w:rPr>
      </w:pPr>
      <w:r w:rsidRPr="00BD6508">
        <w:rPr>
          <w:rFonts w:ascii="Arial" w:hAnsi="Arial" w:cs="Arial"/>
          <w:iCs/>
          <w:sz w:val="24"/>
          <w:szCs w:val="24"/>
          <w:lang w:val="en-US"/>
        </w:rPr>
        <w:t>Several tools are available to undertake fiscal transparency assessments. While self-assessments can be useful, evidence shows that credibility is much higher when assessments are performed by external parties. There are a number of internationally recognized fiscal transparency assessment tools undertaken by different organizations, including those listed and described below</w:t>
      </w:r>
      <w:r w:rsidRPr="00BD6508">
        <w:rPr>
          <w:rFonts w:ascii="Arial" w:hAnsi="Arial" w:cs="Arial"/>
          <w:sz w:val="24"/>
          <w:szCs w:val="24"/>
        </w:rPr>
        <w:t xml:space="preserve">. </w:t>
      </w:r>
    </w:p>
    <w:p w14:paraId="4AEEC3AD" w14:textId="4FA9D2C8" w:rsidR="003D266C" w:rsidRDefault="003D266C" w:rsidP="003D266C">
      <w:pPr>
        <w:spacing w:line="276" w:lineRule="auto"/>
        <w:jc w:val="both"/>
        <w:rPr>
          <w:rFonts w:ascii="Arial" w:hAnsi="Arial" w:cs="Arial"/>
          <w:sz w:val="24"/>
          <w:szCs w:val="24"/>
        </w:rPr>
      </w:pPr>
    </w:p>
    <w:p w14:paraId="67DDB2BB" w14:textId="7C670CD7" w:rsidR="003D266C" w:rsidRPr="00BD6508" w:rsidRDefault="000A4274" w:rsidP="00BD650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3398014" behindDoc="0" locked="0" layoutInCell="1" allowOverlap="1" wp14:anchorId="18648D31" wp14:editId="09DC74C8">
                <wp:simplePos x="0" y="0"/>
                <wp:positionH relativeFrom="column">
                  <wp:posOffset>1701800</wp:posOffset>
                </wp:positionH>
                <wp:positionV relativeFrom="paragraph">
                  <wp:posOffset>136525</wp:posOffset>
                </wp:positionV>
                <wp:extent cx="4648200" cy="393700"/>
                <wp:effectExtent l="0" t="0" r="0" b="0"/>
                <wp:wrapNone/>
                <wp:docPr id="1632" name="Text Box 1632"/>
                <wp:cNvGraphicFramePr/>
                <a:graphic xmlns:a="http://schemas.openxmlformats.org/drawingml/2006/main">
                  <a:graphicData uri="http://schemas.microsoft.com/office/word/2010/wordprocessingShape">
                    <wps:wsp>
                      <wps:cNvSpPr txBox="1"/>
                      <wps:spPr>
                        <a:xfrm>
                          <a:off x="0" y="0"/>
                          <a:ext cx="4648200" cy="393700"/>
                        </a:xfrm>
                        <a:prstGeom prst="rect">
                          <a:avLst/>
                        </a:prstGeom>
                        <a:noFill/>
                        <a:ln w="6350">
                          <a:noFill/>
                        </a:ln>
                      </wps:spPr>
                      <wps:txbx>
                        <w:txbxContent>
                          <w:p w14:paraId="1BCD15E2" w14:textId="28BCE17E"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693" w:name="_Toc123204515"/>
                            <w:bookmarkStart w:id="1694" w:name="_Toc123216626"/>
                            <w:bookmarkStart w:id="1695" w:name="_Toc123217466"/>
                            <w:bookmarkStart w:id="1696" w:name="_Toc123828213"/>
                            <w:bookmarkStart w:id="1697" w:name="_Toc123828423"/>
                            <w:bookmarkStart w:id="1698" w:name="_Toc123828619"/>
                            <w:bookmarkStart w:id="1699" w:name="_Toc123912646"/>
                            <w:bookmarkStart w:id="1700" w:name="_Toc123912905"/>
                            <w:bookmarkStart w:id="1701" w:name="_Toc123913132"/>
                            <w:bookmarkStart w:id="1702" w:name="_Toc123913423"/>
                            <w:bookmarkStart w:id="1703" w:name="_Toc123914079"/>
                            <w:bookmarkStart w:id="1704" w:name="_Toc125566694"/>
                            <w:r w:rsidRPr="00BD6508">
                              <w:rPr>
                                <w:rFonts w:ascii="Arial" w:hAnsi="Arial" w:cs="Arial"/>
                                <w:b/>
                                <w:bCs/>
                                <w:color w:val="FFFFFF" w:themeColor="background1"/>
                                <w:sz w:val="32"/>
                                <w:szCs w:val="32"/>
                                <w:lang w:val="en-US"/>
                              </w:rPr>
                              <w:t>IBP Open Budget Survey</w:t>
                            </w:r>
                            <w:bookmarkEnd w:id="1693"/>
                            <w:bookmarkEnd w:id="1694"/>
                            <w:bookmarkEnd w:id="1695"/>
                            <w:bookmarkEnd w:id="1696"/>
                            <w:bookmarkEnd w:id="1697"/>
                            <w:bookmarkEnd w:id="1698"/>
                            <w:bookmarkEnd w:id="1699"/>
                            <w:bookmarkEnd w:id="1700"/>
                            <w:bookmarkEnd w:id="1701"/>
                            <w:bookmarkEnd w:id="1702"/>
                            <w:bookmarkEnd w:id="1703"/>
                            <w:bookmarkEnd w:id="170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48D31" id="Text Box 1632" o:spid="_x0000_s1438" type="#_x0000_t202" style="position:absolute;left:0;text-align:left;margin-left:134pt;margin-top:10.75pt;width:366pt;height:31pt;z-index:2533980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" filled="f" stroked="f" strokeweight=".5pt">
                <v:textbox>
                  <w:txbxContent>
                    <w:p w14:paraId="1BCD15E2" w14:textId="28BCE17E"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05" w:name="_Toc123204515"/>
                      <w:bookmarkStart w:id="1706" w:name="_Toc123216626"/>
                      <w:bookmarkStart w:id="1707" w:name="_Toc123217466"/>
                      <w:bookmarkStart w:id="1708" w:name="_Toc123828213"/>
                      <w:bookmarkStart w:id="1709" w:name="_Toc123828423"/>
                      <w:bookmarkStart w:id="1710" w:name="_Toc123828619"/>
                      <w:bookmarkStart w:id="1711" w:name="_Toc123912646"/>
                      <w:bookmarkStart w:id="1712" w:name="_Toc123912905"/>
                      <w:bookmarkStart w:id="1713" w:name="_Toc123913132"/>
                      <w:bookmarkStart w:id="1714" w:name="_Toc123913423"/>
                      <w:bookmarkStart w:id="1715" w:name="_Toc123914079"/>
                      <w:bookmarkStart w:id="1716" w:name="_Toc125566694"/>
                      <w:r w:rsidRPr="00BD6508">
                        <w:rPr>
                          <w:rFonts w:ascii="Arial" w:hAnsi="Arial" w:cs="Arial"/>
                          <w:b/>
                          <w:bCs/>
                          <w:color w:val="FFFFFF" w:themeColor="background1"/>
                          <w:sz w:val="32"/>
                          <w:szCs w:val="32"/>
                          <w:lang w:val="en-US"/>
                        </w:rPr>
                        <w:t>IBP Open Budget Survey</w:t>
                      </w:r>
                      <w:bookmarkEnd w:id="1705"/>
                      <w:bookmarkEnd w:id="1706"/>
                      <w:bookmarkEnd w:id="1707"/>
                      <w:bookmarkEnd w:id="1708"/>
                      <w:bookmarkEnd w:id="1709"/>
                      <w:bookmarkEnd w:id="1710"/>
                      <w:bookmarkEnd w:id="1711"/>
                      <w:bookmarkEnd w:id="1712"/>
                      <w:bookmarkEnd w:id="1713"/>
                      <w:bookmarkEnd w:id="1714"/>
                      <w:bookmarkEnd w:id="1715"/>
                      <w:bookmarkEnd w:id="1716"/>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396990" behindDoc="0" locked="0" layoutInCell="1" allowOverlap="1" wp14:anchorId="1777905A" wp14:editId="074B2DA2">
                <wp:simplePos x="0" y="0"/>
                <wp:positionH relativeFrom="column">
                  <wp:posOffset>1625600</wp:posOffset>
                </wp:positionH>
                <wp:positionV relativeFrom="paragraph">
                  <wp:posOffset>73025</wp:posOffset>
                </wp:positionV>
                <wp:extent cx="4991100" cy="520700"/>
                <wp:effectExtent l="0" t="0" r="0" b="0"/>
                <wp:wrapNone/>
                <wp:docPr id="1631" name="Rounded Rectangle 1631"/>
                <wp:cNvGraphicFramePr/>
                <a:graphic xmlns:a="http://schemas.openxmlformats.org/drawingml/2006/main">
                  <a:graphicData uri="http://schemas.microsoft.com/office/word/2010/wordprocessingShape">
                    <wps:wsp>
                      <wps:cNvSpPr/>
                      <wps:spPr>
                        <a:xfrm>
                          <a:off x="0" y="0"/>
                          <a:ext cx="4991100" cy="5207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326BEAE7" id="Rounded Rectangle 1631" o:spid="_x0000_s1026" style="position:absolute;margin-left:128pt;margin-top:5.75pt;width:393pt;height:41pt;z-index:2533969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" fillcolor="#f9a133" stroked="f" strokeweight="1pt">
                <v:stroke joinstyle="miter"/>
              </v:roundrect>
            </w:pict>
          </mc:Fallback>
        </mc:AlternateContent>
      </w:r>
      <w:r>
        <w:rPr>
          <w:rFonts w:ascii="Arial" w:hAnsi="Arial" w:cs="Arial"/>
          <w:noProof/>
          <w:sz w:val="24"/>
          <w:szCs w:val="24"/>
          <w:lang w:val="en-US"/>
        </w:rPr>
        <w:drawing>
          <wp:inline distT="0" distB="0" distL="0" distR="0" wp14:anchorId="79E330A4" wp14:editId="6294501F">
            <wp:extent cx="1518708" cy="63500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Picture 1630"/>
                    <pic:cNvPicPr/>
                  </pic:nvPicPr>
                  <pic:blipFill>
                    <a:blip r:embed="rId755" cstate="email">
                      <a:extLst>
                        <a:ext uri="{28A0092B-C50C-407E-A947-70E740481C1C}">
                          <a14:useLocalDpi xmlns:a14="http://schemas.microsoft.com/office/drawing/2010/main"/>
                        </a:ext>
                      </a:extLst>
                    </a:blip>
                    <a:stretch>
                      <a:fillRect/>
                    </a:stretch>
                  </pic:blipFill>
                  <pic:spPr>
                    <a:xfrm>
                      <a:off x="0" y="0"/>
                      <a:ext cx="1533163" cy="641044"/>
                    </a:xfrm>
                    <a:prstGeom prst="rect">
                      <a:avLst/>
                    </a:prstGeom>
                  </pic:spPr>
                </pic:pic>
              </a:graphicData>
            </a:graphic>
          </wp:inline>
        </w:drawing>
      </w:r>
    </w:p>
    <w:p w14:paraId="47C2CC4B" w14:textId="77777777" w:rsidR="003D266C" w:rsidRPr="003D266C" w:rsidRDefault="003D266C" w:rsidP="00BD6508">
      <w:pPr>
        <w:rPr>
          <w:lang w:val="en-US"/>
        </w:rPr>
      </w:pPr>
    </w:p>
    <w:p w14:paraId="61266838" w14:textId="38899CF5" w:rsidR="00FD12D8" w:rsidRDefault="00FD12D8" w:rsidP="00FD12D8">
      <w:pPr>
        <w:spacing w:line="276" w:lineRule="auto"/>
        <w:jc w:val="both"/>
        <w:rPr>
          <w:rFonts w:ascii="Arial" w:hAnsi="Arial" w:cs="Arial"/>
          <w:sz w:val="24"/>
          <w:szCs w:val="24"/>
          <w:lang w:val="en-ZA"/>
        </w:rPr>
      </w:pPr>
      <w:r w:rsidRPr="00BD6508">
        <w:rPr>
          <w:rFonts w:ascii="Arial" w:hAnsi="Arial" w:cs="Arial"/>
          <w:sz w:val="24"/>
          <w:szCs w:val="24"/>
        </w:rPr>
        <w:t xml:space="preserve">The </w:t>
      </w:r>
      <w:hyperlink r:id="rId756" w:history="1">
        <w:r w:rsidRPr="00BD6508">
          <w:rPr>
            <w:rFonts w:ascii="Arial" w:hAnsi="Arial" w:cs="Arial"/>
            <w:color w:val="0563C1" w:themeColor="hyperlink"/>
            <w:sz w:val="24"/>
            <w:szCs w:val="24"/>
            <w:u w:val="single"/>
          </w:rPr>
          <w:t>Open Budget Survey</w:t>
        </w:r>
      </w:hyperlink>
      <w:r w:rsidRPr="00BD6508">
        <w:rPr>
          <w:rFonts w:ascii="Arial" w:hAnsi="Arial" w:cs="Arial"/>
          <w:sz w:val="24"/>
          <w:szCs w:val="24"/>
          <w:lang w:val="en-US"/>
        </w:rPr>
        <w:t xml:space="preserve"> (OBS)</w:t>
      </w:r>
      <w:r w:rsidRPr="00BD6508">
        <w:rPr>
          <w:rFonts w:ascii="Arial" w:hAnsi="Arial" w:cs="Arial"/>
          <w:sz w:val="24"/>
          <w:szCs w:val="24"/>
        </w:rPr>
        <w:t xml:space="preserve"> was launched by the IBP in 2006 to assess</w:t>
      </w:r>
      <w:r w:rsidRPr="00BD6508">
        <w:rPr>
          <w:rFonts w:ascii="Arial" w:hAnsi="Arial" w:cs="Arial"/>
          <w:sz w:val="24"/>
          <w:szCs w:val="24"/>
          <w:lang w:val="en-US"/>
        </w:rPr>
        <w:t xml:space="preserve"> the openness of national budgets across the budget cycle. Since then, it has been conducted roughly every two years, with the number of countries included growing substantially from 59 in 2006 to 120 countries in 2021</w:t>
      </w:r>
      <w:r w:rsidRPr="00BD6508">
        <w:rPr>
          <w:rFonts w:ascii="Arial" w:hAnsi="Arial" w:cs="Arial"/>
          <w:sz w:val="24"/>
          <w:szCs w:val="24"/>
        </w:rPr>
        <w:t xml:space="preserve">. It is currently the only independent, comparative and regular measure of budget transparency and oversight across the world. The majority of the survey questions assess what occurs in practice, rather than what is required by law. It measures </w:t>
      </w:r>
      <w:r w:rsidRPr="00BD6508">
        <w:rPr>
          <w:rFonts w:ascii="Arial" w:hAnsi="Arial" w:cs="Arial"/>
          <w:sz w:val="24"/>
          <w:szCs w:val="24"/>
          <w:lang w:val="en-ZA"/>
        </w:rPr>
        <w:t>government practices against international norms and standards:</w:t>
      </w:r>
    </w:p>
    <w:p w14:paraId="12573607" w14:textId="5CBE62C2" w:rsidR="00FD12D8" w:rsidRDefault="00FD12D8" w:rsidP="00FD12D8">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3399038" behindDoc="1" locked="0" layoutInCell="1" allowOverlap="1" wp14:anchorId="13728EC7" wp14:editId="67ADDB77">
            <wp:simplePos x="0" y="0"/>
            <wp:positionH relativeFrom="column">
              <wp:posOffset>-63500</wp:posOffset>
            </wp:positionH>
            <wp:positionV relativeFrom="paragraph">
              <wp:posOffset>71755</wp:posOffset>
            </wp:positionV>
            <wp:extent cx="3556000" cy="692563"/>
            <wp:effectExtent l="0" t="0" r="0" b="6350"/>
            <wp:wrapTight wrapText="bothSides">
              <wp:wrapPolygon edited="0">
                <wp:start x="1851" y="396"/>
                <wp:lineTo x="1311" y="1585"/>
                <wp:lineTo x="309" y="5549"/>
                <wp:lineTo x="231" y="9116"/>
                <wp:lineTo x="231" y="15061"/>
                <wp:lineTo x="1157" y="20213"/>
                <wp:lineTo x="1697" y="21402"/>
                <wp:lineTo x="4706" y="21402"/>
                <wp:lineTo x="18437" y="20213"/>
                <wp:lineTo x="21446" y="19024"/>
                <wp:lineTo x="21446" y="3171"/>
                <wp:lineTo x="19749" y="2378"/>
                <wp:lineTo x="6943" y="396"/>
                <wp:lineTo x="1851" y="396"/>
              </wp:wrapPolygon>
            </wp:wrapTight>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Picture 1717"/>
                    <pic:cNvPicPr/>
                  </pic:nvPicPr>
                  <pic:blipFill rotWithShape="1">
                    <a:blip r:embed="rId757" cstate="email">
                      <a:extLst>
                        <a:ext uri="{28A0092B-C50C-407E-A947-70E740481C1C}">
                          <a14:useLocalDpi xmlns:a14="http://schemas.microsoft.com/office/drawing/2010/main"/>
                        </a:ext>
                      </a:extLst>
                    </a:blip>
                    <a:srcRect/>
                    <a:stretch/>
                  </pic:blipFill>
                  <pic:spPr bwMode="auto">
                    <a:xfrm>
                      <a:off x="0" y="0"/>
                      <a:ext cx="3556000" cy="692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E7783B" w14:textId="201BA7AE" w:rsidR="00FD12D8" w:rsidRDefault="005F10AD" w:rsidP="00FD12D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3400062" behindDoc="0" locked="0" layoutInCell="1" allowOverlap="1" wp14:anchorId="46164E15" wp14:editId="6987C71E">
                <wp:simplePos x="0" y="0"/>
                <wp:positionH relativeFrom="column">
                  <wp:posOffset>1181100</wp:posOffset>
                </wp:positionH>
                <wp:positionV relativeFrom="paragraph">
                  <wp:posOffset>79186</wp:posOffset>
                </wp:positionV>
                <wp:extent cx="1993900" cy="317500"/>
                <wp:effectExtent l="0" t="0" r="0" b="0"/>
                <wp:wrapNone/>
                <wp:docPr id="1718" name="Text Box 1718"/>
                <wp:cNvGraphicFramePr/>
                <a:graphic xmlns:a="http://schemas.openxmlformats.org/drawingml/2006/main">
                  <a:graphicData uri="http://schemas.microsoft.com/office/word/2010/wordprocessingShape">
                    <wps:wsp>
                      <wps:cNvSpPr txBox="1"/>
                      <wps:spPr>
                        <a:xfrm>
                          <a:off x="0" y="0"/>
                          <a:ext cx="1993900" cy="317500"/>
                        </a:xfrm>
                        <a:prstGeom prst="rect">
                          <a:avLst/>
                        </a:prstGeom>
                        <a:solidFill>
                          <a:schemeClr val="lt1"/>
                        </a:solidFill>
                        <a:ln w="6350">
                          <a:noFill/>
                        </a:ln>
                      </wps:spPr>
                      <wps:txbx>
                        <w:txbxContent>
                          <w:p w14:paraId="7E46CC44" w14:textId="7D70F622" w:rsidR="00D15FD8" w:rsidRPr="00BD6508" w:rsidRDefault="00D15FD8">
                            <w:pPr>
                              <w:rPr>
                                <w:rFonts w:ascii="Arial" w:hAnsi="Arial" w:cs="Arial"/>
                                <w:b/>
                                <w:bCs/>
                                <w:color w:val="69557F"/>
                                <w:sz w:val="26"/>
                                <w:szCs w:val="26"/>
                                <w:lang w:val="en-US"/>
                              </w:rPr>
                            </w:pPr>
                            <w:r w:rsidRPr="00BD6508">
                              <w:rPr>
                                <w:rFonts w:ascii="Arial" w:hAnsi="Arial" w:cs="Arial"/>
                                <w:b/>
                                <w:bCs/>
                                <w:color w:val="69557F"/>
                                <w:sz w:val="26"/>
                                <w:szCs w:val="26"/>
                                <w:lang w:val="en-US"/>
                              </w:rPr>
                              <w:t xml:space="preserve">Budget </w:t>
                            </w:r>
                            <w:r>
                              <w:rPr>
                                <w:rFonts w:ascii="Arial" w:hAnsi="Arial" w:cs="Arial"/>
                                <w:b/>
                                <w:bCs/>
                                <w:color w:val="69557F"/>
                                <w:sz w:val="26"/>
                                <w:szCs w:val="26"/>
                                <w:lang w:val="en-US"/>
                              </w:rPr>
                              <w:t>t</w:t>
                            </w:r>
                            <w:r w:rsidRPr="00BD6508">
                              <w:rPr>
                                <w:rFonts w:ascii="Arial" w:hAnsi="Arial" w:cs="Arial"/>
                                <w:b/>
                                <w:bCs/>
                                <w:color w:val="69557F"/>
                                <w:sz w:val="26"/>
                                <w:szCs w:val="26"/>
                                <w:lang w:val="en-US"/>
                              </w:rPr>
                              <w:t>ransparency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64E15" id="Text Box 1718" o:spid="_x0000_s1439" type="#_x0000_t202" style="position:absolute;left:0;text-align:left;margin-left:93pt;margin-top:6.25pt;width:157pt;height:25pt;z-index:2534000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" fillcolor="white [3201]" stroked="f" strokeweight=".5pt">
                <v:textbox>
                  <w:txbxContent>
                    <w:p w14:paraId="7E46CC44" w14:textId="7D70F622" w:rsidR="00D15FD8" w:rsidRPr="00BD6508" w:rsidRDefault="00D15FD8">
                      <w:pPr>
                        <w:rPr>
                          <w:rFonts w:ascii="Arial" w:hAnsi="Arial" w:cs="Arial"/>
                          <w:b/>
                          <w:bCs/>
                          <w:color w:val="69557F"/>
                          <w:sz w:val="26"/>
                          <w:szCs w:val="26"/>
                          <w:lang w:val="en-US"/>
                        </w:rPr>
                      </w:pPr>
                      <w:r w:rsidRPr="00BD6508">
                        <w:rPr>
                          <w:rFonts w:ascii="Arial" w:hAnsi="Arial" w:cs="Arial"/>
                          <w:b/>
                          <w:bCs/>
                          <w:color w:val="69557F"/>
                          <w:sz w:val="26"/>
                          <w:szCs w:val="26"/>
                          <w:lang w:val="en-US"/>
                        </w:rPr>
                        <w:t xml:space="preserve">Budget </w:t>
                      </w:r>
                      <w:r>
                        <w:rPr>
                          <w:rFonts w:ascii="Arial" w:hAnsi="Arial" w:cs="Arial"/>
                          <w:b/>
                          <w:bCs/>
                          <w:color w:val="69557F"/>
                          <w:sz w:val="26"/>
                          <w:szCs w:val="26"/>
                          <w:lang w:val="en-US"/>
                        </w:rPr>
                        <w:t>t</w:t>
                      </w:r>
                      <w:r w:rsidRPr="00BD6508">
                        <w:rPr>
                          <w:rFonts w:ascii="Arial" w:hAnsi="Arial" w:cs="Arial"/>
                          <w:b/>
                          <w:bCs/>
                          <w:color w:val="69557F"/>
                          <w:sz w:val="26"/>
                          <w:szCs w:val="26"/>
                          <w:lang w:val="en-US"/>
                        </w:rPr>
                        <w:t>ransparency</w:t>
                      </w:r>
                    </w:p>
                  </w:txbxContent>
                </v:textbox>
              </v:shape>
            </w:pict>
          </mc:Fallback>
        </mc:AlternateContent>
      </w:r>
    </w:p>
    <w:p w14:paraId="514077DA" w14:textId="3A09AC16" w:rsidR="00FD12D8" w:rsidRDefault="00FD12D8" w:rsidP="00FD12D8">
      <w:pPr>
        <w:spacing w:line="276" w:lineRule="auto"/>
        <w:jc w:val="both"/>
        <w:rPr>
          <w:rFonts w:ascii="Arial" w:hAnsi="Arial" w:cs="Arial"/>
          <w:sz w:val="24"/>
          <w:szCs w:val="24"/>
          <w:lang w:val="en-ZA"/>
        </w:rPr>
      </w:pPr>
    </w:p>
    <w:p w14:paraId="5245AA2A" w14:textId="3A9629D4" w:rsidR="00FD12D8" w:rsidRDefault="00FD12D8" w:rsidP="00FD12D8">
      <w:pPr>
        <w:spacing w:line="276" w:lineRule="auto"/>
        <w:jc w:val="both"/>
        <w:rPr>
          <w:rFonts w:ascii="Arial" w:hAnsi="Arial" w:cs="Arial"/>
          <w:sz w:val="24"/>
          <w:szCs w:val="24"/>
          <w:lang w:val="en-ZA"/>
        </w:rPr>
      </w:pPr>
    </w:p>
    <w:p w14:paraId="19790895" w14:textId="5E830F02" w:rsidR="00FD12D8" w:rsidRDefault="00FD12D8" w:rsidP="00FD12D8">
      <w:pPr>
        <w:numPr>
          <w:ilvl w:val="0"/>
          <w:numId w:val="112"/>
        </w:numPr>
        <w:spacing w:before="120" w:line="276" w:lineRule="auto"/>
        <w:jc w:val="both"/>
        <w:rPr>
          <w:rFonts w:ascii="Arial" w:hAnsi="Arial" w:cs="Arial"/>
          <w:sz w:val="24"/>
          <w:szCs w:val="24"/>
        </w:rPr>
      </w:pPr>
      <w:r w:rsidRPr="00BD6508">
        <w:rPr>
          <w:rFonts w:ascii="Arial" w:hAnsi="Arial" w:cs="Arial"/>
          <w:i/>
          <w:sz w:val="24"/>
          <w:szCs w:val="24"/>
        </w:rPr>
        <w:t xml:space="preserve">Budget transparency </w:t>
      </w:r>
      <w:r w:rsidRPr="00BD6508">
        <w:rPr>
          <w:rFonts w:ascii="Arial" w:hAnsi="Arial" w:cs="Arial"/>
          <w:sz w:val="24"/>
          <w:szCs w:val="24"/>
        </w:rPr>
        <w:t>indicators assess the public availability of eight key budget documents</w:t>
      </w:r>
      <w:r w:rsidRPr="00BD6508">
        <w:rPr>
          <w:rFonts w:ascii="Arial" w:hAnsi="Arial" w:cs="Arial"/>
          <w:iCs/>
          <w:sz w:val="24"/>
          <w:szCs w:val="24"/>
          <w:lang w:val="en-US"/>
        </w:rPr>
        <w:t>–</w:t>
      </w:r>
      <w:r w:rsidRPr="00BD6508">
        <w:rPr>
          <w:rFonts w:ascii="Arial" w:hAnsi="Arial" w:cs="Arial"/>
          <w:sz w:val="24"/>
          <w:szCs w:val="24"/>
          <w:lang w:val="en-ZA"/>
        </w:rPr>
        <w:t xml:space="preserve"> pre-budget statement, executive’s budget proposal, enacted budget, citizen</w:t>
      </w:r>
      <w:r w:rsidR="00354491">
        <w:rPr>
          <w:rFonts w:ascii="Arial" w:hAnsi="Arial" w:cs="Arial"/>
          <w:sz w:val="24"/>
          <w:szCs w:val="24"/>
          <w:lang w:val="en-ZA"/>
        </w:rPr>
        <w:t>’</w:t>
      </w:r>
      <w:r w:rsidRPr="00BD6508">
        <w:rPr>
          <w:rFonts w:ascii="Arial" w:hAnsi="Arial" w:cs="Arial"/>
          <w:sz w:val="24"/>
          <w:szCs w:val="24"/>
          <w:lang w:val="en-ZA"/>
        </w:rPr>
        <w:t>s budget, in-year reports, mid-year review, year-end report, and audit report</w:t>
      </w:r>
      <w:r w:rsidRPr="00BD6508">
        <w:rPr>
          <w:rFonts w:ascii="Arial" w:hAnsi="Arial" w:cs="Arial"/>
          <w:iCs/>
          <w:sz w:val="24"/>
          <w:szCs w:val="24"/>
          <w:lang w:val="en-US"/>
        </w:rPr>
        <w:t>–</w:t>
      </w:r>
      <w:r w:rsidRPr="00BD6508">
        <w:rPr>
          <w:rFonts w:ascii="Arial" w:hAnsi="Arial" w:cs="Arial"/>
          <w:sz w:val="24"/>
          <w:szCs w:val="24"/>
        </w:rPr>
        <w:t xml:space="preserve"> which taken together provide a complete view of how public resources have been raised, planned, and spent during the budget year. </w:t>
      </w:r>
    </w:p>
    <w:p w14:paraId="475A9894" w14:textId="17AB5A52" w:rsidR="001629A1" w:rsidRDefault="001629A1" w:rsidP="001629A1">
      <w:pPr>
        <w:spacing w:before="120" w:line="276" w:lineRule="auto"/>
        <w:jc w:val="both"/>
        <w:rPr>
          <w:rFonts w:ascii="Arial" w:hAnsi="Arial" w:cs="Arial"/>
          <w:i/>
          <w:sz w:val="24"/>
          <w:szCs w:val="24"/>
        </w:rPr>
      </w:pPr>
      <w:r>
        <w:rPr>
          <w:rFonts w:ascii="Arial" w:hAnsi="Arial" w:cs="Arial"/>
          <w:noProof/>
          <w:sz w:val="24"/>
          <w:szCs w:val="24"/>
          <w:lang w:val="en-US"/>
        </w:rPr>
        <w:lastRenderedPageBreak/>
        <w:drawing>
          <wp:anchor distT="0" distB="0" distL="114300" distR="114300" simplePos="0" relativeHeight="253402110" behindDoc="1" locked="0" layoutInCell="1" allowOverlap="1" wp14:anchorId="6E93C8C2" wp14:editId="471E2E14">
            <wp:simplePos x="0" y="0"/>
            <wp:positionH relativeFrom="column">
              <wp:posOffset>0</wp:posOffset>
            </wp:positionH>
            <wp:positionV relativeFrom="paragraph">
              <wp:posOffset>80645</wp:posOffset>
            </wp:positionV>
            <wp:extent cx="3553460" cy="711200"/>
            <wp:effectExtent l="0" t="0" r="0" b="0"/>
            <wp:wrapTight wrapText="bothSides">
              <wp:wrapPolygon edited="0">
                <wp:start x="1776" y="771"/>
                <wp:lineTo x="1312" y="1929"/>
                <wp:lineTo x="309" y="6171"/>
                <wp:lineTo x="232" y="9257"/>
                <wp:lineTo x="232" y="15429"/>
                <wp:lineTo x="1235" y="20057"/>
                <wp:lineTo x="1544" y="20829"/>
                <wp:lineTo x="4863" y="20829"/>
                <wp:lineTo x="17833" y="20057"/>
                <wp:lineTo x="21461" y="18900"/>
                <wp:lineTo x="21461" y="3471"/>
                <wp:lineTo x="19763" y="2700"/>
                <wp:lineTo x="6948" y="771"/>
                <wp:lineTo x="1776" y="771"/>
              </wp:wrapPolygon>
            </wp:wrapTight>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Picture 1717"/>
                    <pic:cNvPicPr/>
                  </pic:nvPicPr>
                  <pic:blipFill rotWithShape="1">
                    <a:blip r:embed="rId758" cstate="email">
                      <a:extLst>
                        <a:ext uri="{28A0092B-C50C-407E-A947-70E740481C1C}">
                          <a14:useLocalDpi xmlns:a14="http://schemas.microsoft.com/office/drawing/2010/main"/>
                        </a:ext>
                      </a:extLst>
                    </a:blip>
                    <a:srcRect/>
                    <a:stretch/>
                  </pic:blipFill>
                  <pic:spPr bwMode="auto">
                    <a:xfrm>
                      <a:off x="0" y="0"/>
                      <a:ext cx="3553460" cy="71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5F4AE2" w14:textId="4CE51F2C" w:rsidR="001629A1" w:rsidRDefault="005F10AD" w:rsidP="001629A1">
      <w:pPr>
        <w:spacing w:before="120"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04158" behindDoc="0" locked="0" layoutInCell="1" allowOverlap="1" wp14:anchorId="54B73D12" wp14:editId="1AEF0ADC">
                <wp:simplePos x="0" y="0"/>
                <wp:positionH relativeFrom="column">
                  <wp:posOffset>1257300</wp:posOffset>
                </wp:positionH>
                <wp:positionV relativeFrom="paragraph">
                  <wp:posOffset>114053</wp:posOffset>
                </wp:positionV>
                <wp:extent cx="1993900" cy="317500"/>
                <wp:effectExtent l="0" t="0" r="0" b="0"/>
                <wp:wrapNone/>
                <wp:docPr id="1728" name="Text Box 1728"/>
                <wp:cNvGraphicFramePr/>
                <a:graphic xmlns:a="http://schemas.openxmlformats.org/drawingml/2006/main">
                  <a:graphicData uri="http://schemas.microsoft.com/office/word/2010/wordprocessingShape">
                    <wps:wsp>
                      <wps:cNvSpPr txBox="1"/>
                      <wps:spPr>
                        <a:xfrm>
                          <a:off x="0" y="0"/>
                          <a:ext cx="1993900" cy="317500"/>
                        </a:xfrm>
                        <a:prstGeom prst="rect">
                          <a:avLst/>
                        </a:prstGeom>
                        <a:solidFill>
                          <a:schemeClr val="lt1"/>
                        </a:solidFill>
                        <a:ln w="6350">
                          <a:noFill/>
                        </a:ln>
                      </wps:spPr>
                      <wps:txbx>
                        <w:txbxContent>
                          <w:p w14:paraId="3AA4C854" w14:textId="16AA6043" w:rsidR="00D15FD8" w:rsidRPr="00BD6508" w:rsidRDefault="00D15FD8" w:rsidP="001629A1">
                            <w:pPr>
                              <w:rPr>
                                <w:rFonts w:ascii="Arial" w:hAnsi="Arial" w:cs="Arial"/>
                                <w:b/>
                                <w:bCs/>
                                <w:color w:val="F26D24"/>
                                <w:sz w:val="26"/>
                                <w:szCs w:val="26"/>
                                <w:lang w:val="en-US"/>
                              </w:rPr>
                            </w:pPr>
                            <w:r w:rsidRPr="00BD6508">
                              <w:rPr>
                                <w:rFonts w:ascii="Arial" w:hAnsi="Arial" w:cs="Arial"/>
                                <w:b/>
                                <w:bCs/>
                                <w:color w:val="F26D24"/>
                                <w:sz w:val="26"/>
                                <w:szCs w:val="26"/>
                                <w:lang w:val="en-US"/>
                              </w:rPr>
                              <w:t>Public participation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B73D12" id="Text Box 1728" o:spid="_x0000_s1440" type="#_x0000_t202" style="position:absolute;left:0;text-align:left;margin-left:99pt;margin-top:9pt;width:157pt;height:25pt;z-index:2534041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" fillcolor="white [3201]" stroked="f" strokeweight=".5pt">
                <v:textbox>
                  <w:txbxContent>
                    <w:p w14:paraId="3AA4C854" w14:textId="16AA6043" w:rsidR="00D15FD8" w:rsidRPr="00BD6508" w:rsidRDefault="00D15FD8" w:rsidP="001629A1">
                      <w:pPr>
                        <w:rPr>
                          <w:rFonts w:ascii="Arial" w:hAnsi="Arial" w:cs="Arial"/>
                          <w:b/>
                          <w:bCs/>
                          <w:color w:val="F26D24"/>
                          <w:sz w:val="26"/>
                          <w:szCs w:val="26"/>
                          <w:lang w:val="en-US"/>
                        </w:rPr>
                      </w:pPr>
                      <w:r w:rsidRPr="00BD6508">
                        <w:rPr>
                          <w:rFonts w:ascii="Arial" w:hAnsi="Arial" w:cs="Arial"/>
                          <w:b/>
                          <w:bCs/>
                          <w:color w:val="F26D24"/>
                          <w:sz w:val="26"/>
                          <w:szCs w:val="26"/>
                          <w:lang w:val="en-US"/>
                        </w:rPr>
                        <w:t>Public participation</w:t>
                      </w:r>
                    </w:p>
                  </w:txbxContent>
                </v:textbox>
              </v:shape>
            </w:pict>
          </mc:Fallback>
        </mc:AlternateContent>
      </w:r>
    </w:p>
    <w:p w14:paraId="3A5982D1" w14:textId="6AB21539" w:rsidR="001629A1" w:rsidRPr="00BD6508" w:rsidRDefault="001629A1" w:rsidP="00BD6508">
      <w:pPr>
        <w:spacing w:before="120" w:line="276" w:lineRule="auto"/>
        <w:jc w:val="both"/>
        <w:rPr>
          <w:rFonts w:ascii="Arial" w:hAnsi="Arial" w:cs="Arial"/>
          <w:sz w:val="24"/>
          <w:szCs w:val="24"/>
        </w:rPr>
      </w:pPr>
    </w:p>
    <w:p w14:paraId="0B776EA6" w14:textId="77777777" w:rsidR="00115A90" w:rsidRPr="003625BA" w:rsidRDefault="00115A90" w:rsidP="003625BA">
      <w:pPr>
        <w:spacing w:before="120" w:line="276" w:lineRule="auto"/>
        <w:jc w:val="both"/>
        <w:rPr>
          <w:rFonts w:ascii="Arial" w:hAnsi="Arial" w:cs="Arial"/>
          <w:sz w:val="24"/>
          <w:szCs w:val="24"/>
        </w:rPr>
      </w:pPr>
    </w:p>
    <w:p w14:paraId="534B069B" w14:textId="6EC4B598" w:rsidR="00FD12D8" w:rsidRDefault="00FD12D8" w:rsidP="00FD12D8">
      <w:pPr>
        <w:numPr>
          <w:ilvl w:val="0"/>
          <w:numId w:val="112"/>
        </w:numPr>
        <w:spacing w:before="120" w:line="276" w:lineRule="auto"/>
        <w:jc w:val="both"/>
        <w:rPr>
          <w:rFonts w:ascii="Arial" w:hAnsi="Arial" w:cs="Arial"/>
          <w:sz w:val="24"/>
          <w:szCs w:val="24"/>
        </w:rPr>
      </w:pPr>
      <w:r w:rsidRPr="00BD6508">
        <w:rPr>
          <w:rFonts w:ascii="Arial" w:hAnsi="Arial" w:cs="Arial"/>
          <w:i/>
          <w:sz w:val="24"/>
          <w:szCs w:val="24"/>
        </w:rPr>
        <w:t xml:space="preserve">Public participation </w:t>
      </w:r>
      <w:r w:rsidRPr="00BD6508">
        <w:rPr>
          <w:rFonts w:ascii="Arial" w:hAnsi="Arial" w:cs="Arial"/>
          <w:sz w:val="24"/>
          <w:szCs w:val="24"/>
        </w:rPr>
        <w:t>indicators assess the degree to which the executive, the legislature, and the supreme audit institution each provide opportunities for the public to engage during the different stages of the budget process</w:t>
      </w:r>
      <w:r w:rsidRPr="00BD6508">
        <w:rPr>
          <w:rFonts w:ascii="Arial" w:hAnsi="Arial" w:cs="Arial"/>
          <w:sz w:val="24"/>
          <w:szCs w:val="24"/>
          <w:lang w:val="en-ZA"/>
        </w:rPr>
        <w:t>; including the quality of participation mechanisms used</w:t>
      </w:r>
      <w:r w:rsidRPr="00BD6508">
        <w:rPr>
          <w:rFonts w:ascii="Arial" w:hAnsi="Arial" w:cs="Arial"/>
          <w:sz w:val="24"/>
          <w:szCs w:val="24"/>
        </w:rPr>
        <w:t>. </w:t>
      </w:r>
    </w:p>
    <w:p w14:paraId="08CEA66D" w14:textId="6ACBA379" w:rsidR="001629A1" w:rsidRDefault="001629A1" w:rsidP="001629A1">
      <w:pPr>
        <w:spacing w:before="120"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406206" behindDoc="1" locked="0" layoutInCell="1" allowOverlap="1" wp14:anchorId="3DEC4D87" wp14:editId="6F4C24CD">
            <wp:simplePos x="0" y="0"/>
            <wp:positionH relativeFrom="column">
              <wp:posOffset>0</wp:posOffset>
            </wp:positionH>
            <wp:positionV relativeFrom="paragraph">
              <wp:posOffset>104775</wp:posOffset>
            </wp:positionV>
            <wp:extent cx="3553460" cy="711200"/>
            <wp:effectExtent l="0" t="0" r="0" b="0"/>
            <wp:wrapTight wrapText="bothSides">
              <wp:wrapPolygon edited="0">
                <wp:start x="1544" y="386"/>
                <wp:lineTo x="1081" y="2314"/>
                <wp:lineTo x="309" y="6171"/>
                <wp:lineTo x="232" y="8871"/>
                <wp:lineTo x="309" y="15043"/>
                <wp:lineTo x="1312" y="19671"/>
                <wp:lineTo x="1621" y="20443"/>
                <wp:lineTo x="4786" y="20443"/>
                <wp:lineTo x="17601" y="19671"/>
                <wp:lineTo x="21461" y="18129"/>
                <wp:lineTo x="21461" y="2700"/>
                <wp:lineTo x="19454" y="1929"/>
                <wp:lineTo x="7102" y="386"/>
                <wp:lineTo x="1544" y="386"/>
              </wp:wrapPolygon>
            </wp:wrapTight>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Picture 1717"/>
                    <pic:cNvPicPr/>
                  </pic:nvPicPr>
                  <pic:blipFill rotWithShape="1">
                    <a:blip r:embed="rId759" cstate="email">
                      <a:extLst>
                        <a:ext uri="{28A0092B-C50C-407E-A947-70E740481C1C}">
                          <a14:useLocalDpi xmlns:a14="http://schemas.microsoft.com/office/drawing/2010/main"/>
                        </a:ext>
                      </a:extLst>
                    </a:blip>
                    <a:srcRect/>
                    <a:stretch/>
                  </pic:blipFill>
                  <pic:spPr bwMode="auto">
                    <a:xfrm>
                      <a:off x="0" y="0"/>
                      <a:ext cx="3553460" cy="71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A99DA2" w14:textId="152DD4DF" w:rsidR="001629A1" w:rsidRDefault="001629A1" w:rsidP="001629A1">
      <w:pPr>
        <w:spacing w:before="120"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08254" behindDoc="0" locked="0" layoutInCell="1" allowOverlap="1" wp14:anchorId="2A25394F" wp14:editId="497A748B">
                <wp:simplePos x="0" y="0"/>
                <wp:positionH relativeFrom="column">
                  <wp:posOffset>1257300</wp:posOffset>
                </wp:positionH>
                <wp:positionV relativeFrom="paragraph">
                  <wp:posOffset>34290</wp:posOffset>
                </wp:positionV>
                <wp:extent cx="1993900" cy="317500"/>
                <wp:effectExtent l="0" t="0" r="0" b="0"/>
                <wp:wrapNone/>
                <wp:docPr id="1753" name="Text Box 1753"/>
                <wp:cNvGraphicFramePr/>
                <a:graphic xmlns:a="http://schemas.openxmlformats.org/drawingml/2006/main">
                  <a:graphicData uri="http://schemas.microsoft.com/office/word/2010/wordprocessingShape">
                    <wps:wsp>
                      <wps:cNvSpPr txBox="1"/>
                      <wps:spPr>
                        <a:xfrm>
                          <a:off x="0" y="0"/>
                          <a:ext cx="1993900" cy="317500"/>
                        </a:xfrm>
                        <a:prstGeom prst="rect">
                          <a:avLst/>
                        </a:prstGeom>
                        <a:solidFill>
                          <a:schemeClr val="lt1"/>
                        </a:solidFill>
                        <a:ln w="6350">
                          <a:noFill/>
                        </a:ln>
                      </wps:spPr>
                      <wps:txbx>
                        <w:txbxContent>
                          <w:p w14:paraId="29337083" w14:textId="580FFE58" w:rsidR="00D15FD8" w:rsidRPr="00BD6508" w:rsidRDefault="00D15FD8" w:rsidP="001629A1">
                            <w:pPr>
                              <w:rPr>
                                <w:rFonts w:ascii="Arial" w:hAnsi="Arial" w:cs="Arial"/>
                                <w:b/>
                                <w:bCs/>
                                <w:color w:val="14978A"/>
                                <w:sz w:val="26"/>
                                <w:szCs w:val="26"/>
                                <w:lang w:val="en-US"/>
                              </w:rPr>
                            </w:pPr>
                            <w:r w:rsidRPr="00BD6508">
                              <w:rPr>
                                <w:rFonts w:ascii="Arial" w:hAnsi="Arial" w:cs="Arial"/>
                                <w:b/>
                                <w:bCs/>
                                <w:color w:val="14978A"/>
                                <w:sz w:val="26"/>
                                <w:szCs w:val="26"/>
                                <w:lang w:val="en-US"/>
                              </w:rPr>
                              <w:t>Fiscal policy oversight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25394F" id="Text Box 1753" o:spid="_x0000_s1441" type="#_x0000_t202" style="position:absolute;left:0;text-align:left;margin-left:99pt;margin-top:2.7pt;width:157pt;height:25pt;z-index:25340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" fillcolor="white [3201]" stroked="f" strokeweight=".5pt">
                <v:textbox>
                  <w:txbxContent>
                    <w:p w14:paraId="29337083" w14:textId="580FFE58" w:rsidR="00D15FD8" w:rsidRPr="00BD6508" w:rsidRDefault="00D15FD8" w:rsidP="001629A1">
                      <w:pPr>
                        <w:rPr>
                          <w:rFonts w:ascii="Arial" w:hAnsi="Arial" w:cs="Arial"/>
                          <w:b/>
                          <w:bCs/>
                          <w:color w:val="14978A"/>
                          <w:sz w:val="26"/>
                          <w:szCs w:val="26"/>
                          <w:lang w:val="en-US"/>
                        </w:rPr>
                      </w:pPr>
                      <w:r w:rsidRPr="00BD6508">
                        <w:rPr>
                          <w:rFonts w:ascii="Arial" w:hAnsi="Arial" w:cs="Arial"/>
                          <w:b/>
                          <w:bCs/>
                          <w:color w:val="14978A"/>
                          <w:sz w:val="26"/>
                          <w:szCs w:val="26"/>
                          <w:lang w:val="en-US"/>
                        </w:rPr>
                        <w:t>Fiscal policy oversight</w:t>
                      </w:r>
                    </w:p>
                  </w:txbxContent>
                </v:textbox>
              </v:shape>
            </w:pict>
          </mc:Fallback>
        </mc:AlternateContent>
      </w:r>
    </w:p>
    <w:p w14:paraId="419950AB" w14:textId="77777777" w:rsidR="001629A1" w:rsidRPr="00BD6508" w:rsidRDefault="001629A1" w:rsidP="00BD6508">
      <w:pPr>
        <w:spacing w:before="120" w:line="276" w:lineRule="auto"/>
        <w:jc w:val="both"/>
        <w:rPr>
          <w:rFonts w:ascii="Arial" w:hAnsi="Arial" w:cs="Arial"/>
          <w:sz w:val="24"/>
          <w:szCs w:val="24"/>
        </w:rPr>
      </w:pPr>
    </w:p>
    <w:p w14:paraId="00495748" w14:textId="77777777" w:rsidR="00FD12D8" w:rsidRPr="00BD6508" w:rsidRDefault="00FD12D8" w:rsidP="00BD6508">
      <w:pPr>
        <w:numPr>
          <w:ilvl w:val="0"/>
          <w:numId w:val="112"/>
        </w:numPr>
        <w:spacing w:before="120" w:line="276" w:lineRule="auto"/>
        <w:jc w:val="both"/>
        <w:rPr>
          <w:rFonts w:ascii="Arial" w:hAnsi="Arial" w:cs="Arial"/>
          <w:sz w:val="24"/>
          <w:szCs w:val="24"/>
        </w:rPr>
      </w:pPr>
      <w:r w:rsidRPr="00BD6508">
        <w:rPr>
          <w:rFonts w:ascii="Arial" w:hAnsi="Arial" w:cs="Arial"/>
          <w:i/>
          <w:sz w:val="24"/>
          <w:szCs w:val="24"/>
        </w:rPr>
        <w:t xml:space="preserve">Fiscal policy oversight </w:t>
      </w:r>
      <w:r w:rsidRPr="00BD6508">
        <w:rPr>
          <w:rFonts w:ascii="Arial" w:hAnsi="Arial" w:cs="Arial"/>
          <w:sz w:val="24"/>
          <w:szCs w:val="24"/>
        </w:rPr>
        <w:t>indicators examine the role that legislatures and supreme audit institutions play in the budget processes and the extent to which they are able to provide robust oversight of the budget.</w:t>
      </w:r>
      <w:r w:rsidRPr="00BD6508">
        <w:rPr>
          <w:rFonts w:ascii="Arial" w:eastAsia="Arial" w:hAnsi="Arial" w:cs="Arial"/>
          <w:sz w:val="24"/>
          <w:szCs w:val="24"/>
          <w:lang w:val="en-ZA" w:eastAsia="zh-CN"/>
        </w:rPr>
        <w:t xml:space="preserve"> </w:t>
      </w:r>
      <w:r w:rsidRPr="00BD6508">
        <w:rPr>
          <w:rFonts w:ascii="Arial" w:hAnsi="Arial" w:cs="Arial"/>
          <w:sz w:val="24"/>
          <w:szCs w:val="24"/>
          <w:lang w:val="en-ZA"/>
        </w:rPr>
        <w:t>There are also indicators pertaining to independent fiscal institutions.</w:t>
      </w:r>
    </w:p>
    <w:p w14:paraId="18A61902" w14:textId="77777777" w:rsidR="00FD12D8" w:rsidRPr="00BD6508" w:rsidRDefault="00FD12D8" w:rsidP="00BD6508">
      <w:pPr>
        <w:spacing w:line="276" w:lineRule="auto"/>
        <w:jc w:val="both"/>
        <w:rPr>
          <w:rFonts w:ascii="Arial" w:hAnsi="Arial" w:cs="Arial"/>
          <w:sz w:val="24"/>
          <w:szCs w:val="24"/>
        </w:rPr>
      </w:pPr>
    </w:p>
    <w:p w14:paraId="371A2FE1" w14:textId="4715018B" w:rsidR="00FD12D8" w:rsidRPr="00BD6508" w:rsidRDefault="00FD12D8" w:rsidP="00BD6508">
      <w:pPr>
        <w:spacing w:line="276" w:lineRule="auto"/>
        <w:jc w:val="both"/>
        <w:rPr>
          <w:rFonts w:ascii="Arial" w:hAnsi="Arial" w:cs="Arial"/>
          <w:sz w:val="24"/>
          <w:szCs w:val="24"/>
        </w:rPr>
      </w:pPr>
      <w:r w:rsidRPr="00BD6508">
        <w:rPr>
          <w:rFonts w:ascii="Arial" w:hAnsi="Arial" w:cs="Arial"/>
          <w:sz w:val="24"/>
          <w:szCs w:val="24"/>
          <w:lang w:val="en-US"/>
        </w:rPr>
        <w:t xml:space="preserve">The OBS is completed by civil society researchers, who are typically independent budget experts </w:t>
      </w:r>
      <w:r w:rsidRPr="00BD6508">
        <w:rPr>
          <w:rFonts w:ascii="Arial" w:hAnsi="Arial" w:cs="Arial"/>
          <w:sz w:val="24"/>
          <w:szCs w:val="24"/>
        </w:rPr>
        <w:t xml:space="preserve">with no ties to the government </w:t>
      </w:r>
      <w:r w:rsidRPr="00BD6508">
        <w:rPr>
          <w:rFonts w:ascii="Arial" w:hAnsi="Arial" w:cs="Arial"/>
          <w:sz w:val="24"/>
          <w:szCs w:val="24"/>
          <w:lang w:val="en-US"/>
        </w:rPr>
        <w:t xml:space="preserve">in each country. Once completed, it </w:t>
      </w:r>
      <w:r w:rsidRPr="00BD6508">
        <w:rPr>
          <w:rFonts w:ascii="Arial" w:hAnsi="Arial" w:cs="Arial"/>
          <w:sz w:val="24"/>
          <w:szCs w:val="24"/>
        </w:rPr>
        <w:t>undergoes a rigorous review process to ensure accuracy and comparability across countries.</w:t>
      </w:r>
      <w:r w:rsidRPr="00BD6508">
        <w:rPr>
          <w:rFonts w:ascii="Arial" w:hAnsi="Arial" w:cs="Arial"/>
          <w:sz w:val="24"/>
          <w:szCs w:val="24"/>
          <w:lang w:val="en-US"/>
        </w:rPr>
        <w:t xml:space="preserve"> While most governments are invited to review the draft OBS, not all do so. The survey is open source published on the IBP’s website.</w:t>
      </w:r>
      <w:r w:rsidRPr="00BD6508">
        <w:rPr>
          <w:rFonts w:ascii="Arial" w:hAnsi="Arial" w:cs="Arial"/>
          <w:sz w:val="24"/>
          <w:szCs w:val="24"/>
        </w:rPr>
        <w:t xml:space="preserve"> Some of the survey results are summarised in a transparency score, the Open Budget Index (OBI), which scores countries on a scale from 0 to 100. </w:t>
      </w:r>
      <w:r w:rsidRPr="00BD6508">
        <w:rPr>
          <w:rFonts w:ascii="Arial" w:hAnsi="Arial" w:cs="Arial"/>
          <w:sz w:val="24"/>
          <w:szCs w:val="24"/>
          <w:lang w:val="en-US"/>
        </w:rPr>
        <w:t>Countries are grouped according to their level of transparency, ranging from countries with extensive disclosure to countries with scant or no disclosure.</w:t>
      </w:r>
      <w:r w:rsidRPr="00BD6508">
        <w:rPr>
          <w:rFonts w:ascii="Arial" w:hAnsi="Arial" w:cs="Arial"/>
          <w:sz w:val="24"/>
          <w:szCs w:val="24"/>
        </w:rPr>
        <w:t xml:space="preserve"> By doing this, the OBS provides the only global quantitative scoring of fiscal transparency. A transparency score of 61 (out of 100) or higher indicates a country is likely publishing sufficient material to support informed public debate on the budget. Amongst others, these scores allow identification of country; region and global trends. </w:t>
      </w:r>
    </w:p>
    <w:p w14:paraId="02AB9DE5" w14:textId="77777777" w:rsidR="00FD12D8" w:rsidRPr="00BD6508" w:rsidRDefault="00FD12D8" w:rsidP="00BD6508">
      <w:pPr>
        <w:spacing w:line="276" w:lineRule="auto"/>
        <w:jc w:val="both"/>
        <w:rPr>
          <w:rFonts w:ascii="Arial" w:hAnsi="Arial" w:cs="Arial"/>
          <w:sz w:val="24"/>
          <w:szCs w:val="24"/>
        </w:rPr>
      </w:pPr>
    </w:p>
    <w:p w14:paraId="5057A5F2" w14:textId="77777777" w:rsidR="005F10AD" w:rsidRDefault="00FD12D8" w:rsidP="00FD12D8">
      <w:pPr>
        <w:spacing w:line="276" w:lineRule="auto"/>
        <w:jc w:val="both"/>
        <w:rPr>
          <w:rFonts w:ascii="Arial" w:hAnsi="Arial" w:cs="Arial"/>
          <w:sz w:val="24"/>
          <w:szCs w:val="24"/>
          <w:lang w:val="en-ZA"/>
        </w:rPr>
      </w:pPr>
      <w:r w:rsidRPr="00BD6508">
        <w:rPr>
          <w:rFonts w:ascii="Arial" w:hAnsi="Arial" w:cs="Arial"/>
          <w:sz w:val="24"/>
          <w:szCs w:val="24"/>
        </w:rPr>
        <w:t xml:space="preserve">For each round of the OBS, the IBP produces a </w:t>
      </w:r>
      <w:hyperlink r:id="rId760" w:history="1">
        <w:r w:rsidRPr="00BD6508">
          <w:rPr>
            <w:rFonts w:ascii="Arial" w:hAnsi="Arial" w:cs="Arial"/>
            <w:color w:val="0563C1" w:themeColor="hyperlink"/>
            <w:sz w:val="24"/>
            <w:szCs w:val="24"/>
            <w:u w:val="single"/>
          </w:rPr>
          <w:t>report</w:t>
        </w:r>
      </w:hyperlink>
      <w:r w:rsidRPr="00BD6508">
        <w:rPr>
          <w:rFonts w:ascii="Arial" w:hAnsi="Arial" w:cs="Arial"/>
          <w:sz w:val="24"/>
          <w:szCs w:val="24"/>
        </w:rPr>
        <w:t xml:space="preserve"> on the global findings of the multi-country study as well as </w:t>
      </w:r>
      <w:r w:rsidRPr="00BD6508">
        <w:rPr>
          <w:rFonts w:ascii="Arial" w:hAnsi="Arial" w:cs="Arial"/>
          <w:color w:val="0563C1" w:themeColor="hyperlink"/>
          <w:sz w:val="24"/>
          <w:szCs w:val="24"/>
          <w:u w:val="single"/>
        </w:rPr>
        <w:t>summaries of country-specific assessments</w:t>
      </w:r>
      <w:r w:rsidRPr="00BD6508">
        <w:rPr>
          <w:rFonts w:ascii="Arial" w:hAnsi="Arial" w:cs="Arial"/>
          <w:sz w:val="24"/>
          <w:szCs w:val="24"/>
        </w:rPr>
        <w:t xml:space="preserve">, that </w:t>
      </w:r>
      <w:r w:rsidRPr="00BD6508">
        <w:rPr>
          <w:rFonts w:ascii="Arial" w:hAnsi="Arial" w:cs="Arial"/>
          <w:sz w:val="24"/>
          <w:szCs w:val="24"/>
          <w:lang w:val="en-US"/>
        </w:rPr>
        <w:t>provide recommendations of specific actions that countries can take to improve their scores. Several other resource materials, including the methodology used and specific studies undertaken, can also be found on the IBP website.</w:t>
      </w:r>
      <w:r w:rsidRPr="00BD6508">
        <w:rPr>
          <w:rFonts w:ascii="Arial" w:eastAsia="Arial" w:hAnsi="Arial" w:cs="Arial"/>
          <w:sz w:val="24"/>
          <w:szCs w:val="24"/>
          <w:lang w:val="en-ZA" w:eastAsia="zh-CN"/>
        </w:rPr>
        <w:t xml:space="preserve"> </w:t>
      </w:r>
      <w:r w:rsidRPr="00BD6508">
        <w:rPr>
          <w:rFonts w:ascii="Arial" w:hAnsi="Arial" w:cs="Arial"/>
          <w:sz w:val="24"/>
          <w:szCs w:val="24"/>
          <w:lang w:val="en-ZA"/>
        </w:rPr>
        <w:t xml:space="preserve">Limitations of the OBI include that it is focused on the availability of eight key budget documents without an in-depth, quantified analysis, including on the </w:t>
      </w:r>
      <w:proofErr w:type="gramStart"/>
      <w:r w:rsidRPr="00BD6508">
        <w:rPr>
          <w:rFonts w:ascii="Arial" w:hAnsi="Arial" w:cs="Arial"/>
          <w:sz w:val="24"/>
          <w:szCs w:val="24"/>
          <w:lang w:val="en-ZA"/>
        </w:rPr>
        <w:t>outputs</w:t>
      </w:r>
      <w:proofErr w:type="gramEnd"/>
      <w:r w:rsidRPr="00BD6508">
        <w:rPr>
          <w:rFonts w:ascii="Arial" w:hAnsi="Arial" w:cs="Arial"/>
          <w:sz w:val="24"/>
          <w:szCs w:val="24"/>
          <w:lang w:val="en-ZA"/>
        </w:rPr>
        <w:t xml:space="preserve"> budgets seek to fund.</w:t>
      </w:r>
    </w:p>
    <w:p w14:paraId="3AA8D593" w14:textId="77777777" w:rsidR="005F10AD" w:rsidRDefault="005F10AD" w:rsidP="00FD12D8">
      <w:pPr>
        <w:spacing w:line="276" w:lineRule="auto"/>
        <w:jc w:val="both"/>
        <w:rPr>
          <w:rFonts w:ascii="Arial" w:hAnsi="Arial" w:cs="Arial"/>
          <w:sz w:val="24"/>
          <w:szCs w:val="24"/>
          <w:lang w:val="en-ZA"/>
        </w:rPr>
      </w:pPr>
    </w:p>
    <w:p w14:paraId="15B283F1" w14:textId="77777777" w:rsidR="005F10AD" w:rsidRDefault="005F10AD" w:rsidP="00FD12D8">
      <w:pPr>
        <w:spacing w:line="276" w:lineRule="auto"/>
        <w:jc w:val="both"/>
        <w:rPr>
          <w:rFonts w:ascii="Arial" w:hAnsi="Arial" w:cs="Arial"/>
          <w:sz w:val="24"/>
          <w:szCs w:val="24"/>
          <w:lang w:val="en-ZA"/>
        </w:rPr>
      </w:pPr>
    </w:p>
    <w:p w14:paraId="69C194CD" w14:textId="77777777" w:rsidR="005F10AD" w:rsidRDefault="005F10AD" w:rsidP="00FD12D8">
      <w:pPr>
        <w:spacing w:line="276" w:lineRule="auto"/>
        <w:jc w:val="both"/>
        <w:rPr>
          <w:rFonts w:ascii="Arial" w:hAnsi="Arial" w:cs="Arial"/>
          <w:sz w:val="24"/>
          <w:szCs w:val="24"/>
          <w:lang w:val="en-ZA"/>
        </w:rPr>
      </w:pPr>
    </w:p>
    <w:p w14:paraId="5E950AC3" w14:textId="77777777" w:rsidR="005F10AD" w:rsidRDefault="005F10AD" w:rsidP="00FD12D8">
      <w:pPr>
        <w:spacing w:line="276" w:lineRule="auto"/>
        <w:jc w:val="both"/>
        <w:rPr>
          <w:rFonts w:ascii="Arial" w:hAnsi="Arial" w:cs="Arial"/>
          <w:sz w:val="24"/>
          <w:szCs w:val="24"/>
          <w:lang w:val="en-ZA"/>
        </w:rPr>
      </w:pPr>
    </w:p>
    <w:p w14:paraId="1556D320" w14:textId="77777777" w:rsidR="005F10AD" w:rsidRDefault="005F10AD" w:rsidP="00FD12D8">
      <w:pPr>
        <w:spacing w:line="276" w:lineRule="auto"/>
        <w:jc w:val="both"/>
        <w:rPr>
          <w:rFonts w:ascii="Arial" w:hAnsi="Arial" w:cs="Arial"/>
          <w:sz w:val="24"/>
          <w:szCs w:val="24"/>
          <w:lang w:val="en-ZA"/>
        </w:rPr>
      </w:pPr>
    </w:p>
    <w:p w14:paraId="10904535" w14:textId="77777777" w:rsidR="005F10AD" w:rsidRDefault="005F10AD" w:rsidP="00FD12D8">
      <w:pPr>
        <w:spacing w:line="276" w:lineRule="auto"/>
        <w:jc w:val="both"/>
        <w:rPr>
          <w:rFonts w:ascii="Arial" w:hAnsi="Arial" w:cs="Arial"/>
          <w:sz w:val="24"/>
          <w:szCs w:val="24"/>
          <w:lang w:val="en-ZA"/>
        </w:rPr>
      </w:pPr>
    </w:p>
    <w:p w14:paraId="622C617F" w14:textId="77777777" w:rsidR="005F10AD" w:rsidRDefault="005F10AD" w:rsidP="00FD12D8">
      <w:pPr>
        <w:spacing w:line="276" w:lineRule="auto"/>
        <w:jc w:val="both"/>
        <w:rPr>
          <w:rFonts w:ascii="Arial" w:hAnsi="Arial" w:cs="Arial"/>
          <w:sz w:val="24"/>
          <w:szCs w:val="24"/>
          <w:lang w:val="en-ZA"/>
        </w:rPr>
      </w:pPr>
    </w:p>
    <w:p w14:paraId="0CD50701" w14:textId="776B15B3" w:rsidR="00FD12D8" w:rsidRDefault="00FD12D8" w:rsidP="00FD12D8">
      <w:pPr>
        <w:spacing w:line="276" w:lineRule="auto"/>
        <w:jc w:val="both"/>
        <w:rPr>
          <w:rFonts w:ascii="Arial" w:hAnsi="Arial" w:cs="Arial"/>
          <w:sz w:val="24"/>
          <w:szCs w:val="24"/>
          <w:lang w:val="en-ZA"/>
        </w:rPr>
      </w:pPr>
      <w:r w:rsidRPr="00BD6508">
        <w:rPr>
          <w:rFonts w:ascii="Arial" w:hAnsi="Arial" w:cs="Arial"/>
          <w:sz w:val="24"/>
          <w:szCs w:val="24"/>
          <w:lang w:val="en-ZA"/>
        </w:rPr>
        <w:t xml:space="preserve"> </w:t>
      </w:r>
    </w:p>
    <w:p w14:paraId="5D71A0C1" w14:textId="072929ED" w:rsidR="001629A1" w:rsidRDefault="001629A1" w:rsidP="00FD12D8">
      <w:pPr>
        <w:spacing w:line="276" w:lineRule="auto"/>
        <w:jc w:val="both"/>
        <w:rPr>
          <w:rFonts w:ascii="Arial" w:hAnsi="Arial" w:cs="Arial"/>
          <w:sz w:val="24"/>
          <w:szCs w:val="24"/>
          <w:lang w:val="en-ZA"/>
        </w:rPr>
      </w:pPr>
    </w:p>
    <w:p w14:paraId="384B5BB4" w14:textId="76A1D13D" w:rsidR="001629A1" w:rsidRPr="00BD6508" w:rsidRDefault="008F42CD" w:rsidP="00BD6508">
      <w:pPr>
        <w:spacing w:line="276" w:lineRule="auto"/>
        <w:jc w:val="both"/>
        <w:rPr>
          <w:rFonts w:ascii="Arial" w:hAnsi="Arial" w:cs="Arial"/>
          <w:sz w:val="24"/>
          <w:szCs w:val="24"/>
          <w:lang w:val="en-ZA"/>
        </w:rPr>
      </w:pPr>
      <w:r>
        <w:rPr>
          <w:rFonts w:ascii="Arial" w:hAnsi="Arial" w:cs="Arial"/>
          <w:noProof/>
          <w:sz w:val="24"/>
          <w:szCs w:val="24"/>
          <w:lang w:val="en-US"/>
        </w:rPr>
        <w:lastRenderedPageBreak/>
        <mc:AlternateContent>
          <mc:Choice Requires="wps">
            <w:drawing>
              <wp:anchor distT="0" distB="0" distL="114300" distR="114300" simplePos="0" relativeHeight="253411326" behindDoc="0" locked="0" layoutInCell="1" allowOverlap="1" wp14:anchorId="1956A631" wp14:editId="78CED48C">
                <wp:simplePos x="0" y="0"/>
                <wp:positionH relativeFrom="column">
                  <wp:posOffset>1711842</wp:posOffset>
                </wp:positionH>
                <wp:positionV relativeFrom="paragraph">
                  <wp:posOffset>31617</wp:posOffset>
                </wp:positionV>
                <wp:extent cx="4916672" cy="520700"/>
                <wp:effectExtent l="0" t="0" r="0" b="0"/>
                <wp:wrapNone/>
                <wp:docPr id="1756" name="Rounded Rectangle 1756"/>
                <wp:cNvGraphicFramePr/>
                <a:graphic xmlns:a="http://schemas.openxmlformats.org/drawingml/2006/main">
                  <a:graphicData uri="http://schemas.microsoft.com/office/word/2010/wordprocessingShape">
                    <wps:wsp>
                      <wps:cNvSpPr/>
                      <wps:spPr>
                        <a:xfrm>
                          <a:off x="0" y="0"/>
                          <a:ext cx="4916672" cy="5207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7CBF0354" id="Rounded Rectangle 1756" o:spid="_x0000_s1026" style="position:absolute;margin-left:134.8pt;margin-top:2.5pt;width:387.15pt;height:41pt;z-index:2534113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" fillcolor="#f9a133" stroked="f" strokeweight="1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412350" behindDoc="0" locked="0" layoutInCell="1" allowOverlap="1" wp14:anchorId="26270178" wp14:editId="2EEB4F5E">
                <wp:simplePos x="0" y="0"/>
                <wp:positionH relativeFrom="column">
                  <wp:posOffset>1778000</wp:posOffset>
                </wp:positionH>
                <wp:positionV relativeFrom="paragraph">
                  <wp:posOffset>99695</wp:posOffset>
                </wp:positionV>
                <wp:extent cx="4648200" cy="393700"/>
                <wp:effectExtent l="0" t="0" r="0" b="0"/>
                <wp:wrapNone/>
                <wp:docPr id="1757" name="Text Box 1757"/>
                <wp:cNvGraphicFramePr/>
                <a:graphic xmlns:a="http://schemas.openxmlformats.org/drawingml/2006/main">
                  <a:graphicData uri="http://schemas.microsoft.com/office/word/2010/wordprocessingShape">
                    <wps:wsp>
                      <wps:cNvSpPr txBox="1"/>
                      <wps:spPr>
                        <a:xfrm>
                          <a:off x="0" y="0"/>
                          <a:ext cx="4648200" cy="393700"/>
                        </a:xfrm>
                        <a:prstGeom prst="rect">
                          <a:avLst/>
                        </a:prstGeom>
                        <a:noFill/>
                        <a:ln w="6350">
                          <a:noFill/>
                        </a:ln>
                      </wps:spPr>
                      <wps:txbx>
                        <w:txbxContent>
                          <w:p w14:paraId="6E5697E0" w14:textId="6240E77F"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17" w:name="_Toc123204516"/>
                            <w:bookmarkStart w:id="1718" w:name="_Toc123216627"/>
                            <w:bookmarkStart w:id="1719" w:name="_Toc123217467"/>
                            <w:bookmarkStart w:id="1720" w:name="_Toc123828214"/>
                            <w:bookmarkStart w:id="1721" w:name="_Toc123828424"/>
                            <w:bookmarkStart w:id="1722" w:name="_Toc123828620"/>
                            <w:bookmarkStart w:id="1723" w:name="_Toc123912647"/>
                            <w:bookmarkStart w:id="1724" w:name="_Toc123912906"/>
                            <w:bookmarkStart w:id="1725" w:name="_Toc123913133"/>
                            <w:bookmarkStart w:id="1726" w:name="_Toc123913424"/>
                            <w:bookmarkStart w:id="1727" w:name="_Toc123914080"/>
                            <w:bookmarkStart w:id="1728" w:name="_Toc125566695"/>
                            <w:r>
                              <w:rPr>
                                <w:rFonts w:ascii="Arial" w:hAnsi="Arial" w:cs="Arial"/>
                                <w:b/>
                                <w:bCs/>
                                <w:color w:val="FFFFFF" w:themeColor="background1"/>
                                <w:sz w:val="32"/>
                                <w:szCs w:val="32"/>
                                <w:lang w:val="en-US"/>
                              </w:rPr>
                              <w:t>PEFA Framework</w:t>
                            </w:r>
                            <w:bookmarkEnd w:id="1717"/>
                            <w:bookmarkEnd w:id="1718"/>
                            <w:bookmarkEnd w:id="1719"/>
                            <w:bookmarkEnd w:id="1720"/>
                            <w:bookmarkEnd w:id="1721"/>
                            <w:bookmarkEnd w:id="1722"/>
                            <w:bookmarkEnd w:id="1723"/>
                            <w:bookmarkEnd w:id="1724"/>
                            <w:bookmarkEnd w:id="1725"/>
                            <w:bookmarkEnd w:id="1726"/>
                            <w:bookmarkEnd w:id="1727"/>
                            <w:bookmarkEnd w:id="172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270178" id="Text Box 1757" o:spid="_x0000_s1442" type="#_x0000_t202" style="position:absolute;left:0;text-align:left;margin-left:140pt;margin-top:7.85pt;width:366pt;height:31pt;z-index:2534123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" filled="f" stroked="f" strokeweight=".5pt">
                <v:textbox>
                  <w:txbxContent>
                    <w:p w14:paraId="6E5697E0" w14:textId="6240E77F"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29" w:name="_Toc123204516"/>
                      <w:bookmarkStart w:id="1730" w:name="_Toc123216627"/>
                      <w:bookmarkStart w:id="1731" w:name="_Toc123217467"/>
                      <w:bookmarkStart w:id="1732" w:name="_Toc123828214"/>
                      <w:bookmarkStart w:id="1733" w:name="_Toc123828424"/>
                      <w:bookmarkStart w:id="1734" w:name="_Toc123828620"/>
                      <w:bookmarkStart w:id="1735" w:name="_Toc123912647"/>
                      <w:bookmarkStart w:id="1736" w:name="_Toc123912906"/>
                      <w:bookmarkStart w:id="1737" w:name="_Toc123913133"/>
                      <w:bookmarkStart w:id="1738" w:name="_Toc123913424"/>
                      <w:bookmarkStart w:id="1739" w:name="_Toc123914080"/>
                      <w:bookmarkStart w:id="1740" w:name="_Toc125566695"/>
                      <w:r>
                        <w:rPr>
                          <w:rFonts w:ascii="Arial" w:hAnsi="Arial" w:cs="Arial"/>
                          <w:b/>
                          <w:bCs/>
                          <w:color w:val="FFFFFF" w:themeColor="background1"/>
                          <w:sz w:val="32"/>
                          <w:szCs w:val="32"/>
                          <w:lang w:val="en-US"/>
                        </w:rPr>
                        <w:t>PEFA Framework</w:t>
                      </w:r>
                      <w:bookmarkEnd w:id="1729"/>
                      <w:bookmarkEnd w:id="1730"/>
                      <w:bookmarkEnd w:id="1731"/>
                      <w:bookmarkEnd w:id="1732"/>
                      <w:bookmarkEnd w:id="1733"/>
                      <w:bookmarkEnd w:id="1734"/>
                      <w:bookmarkEnd w:id="1735"/>
                      <w:bookmarkEnd w:id="1736"/>
                      <w:bookmarkEnd w:id="1737"/>
                      <w:bookmarkEnd w:id="1738"/>
                      <w:bookmarkEnd w:id="1739"/>
                      <w:bookmarkEnd w:id="1740"/>
                    </w:p>
                  </w:txbxContent>
                </v:textbox>
              </v:shape>
            </w:pict>
          </mc:Fallback>
        </mc:AlternateContent>
      </w:r>
      <w:r>
        <w:rPr>
          <w:rFonts w:ascii="Arial" w:hAnsi="Arial" w:cs="Arial"/>
          <w:noProof/>
          <w:sz w:val="24"/>
          <w:szCs w:val="24"/>
          <w:lang w:val="en-US"/>
        </w:rPr>
        <w:drawing>
          <wp:anchor distT="0" distB="0" distL="114300" distR="114300" simplePos="0" relativeHeight="253409278" behindDoc="0" locked="0" layoutInCell="1" allowOverlap="1" wp14:anchorId="209EABC9" wp14:editId="04D08300">
            <wp:simplePos x="0" y="0"/>
            <wp:positionH relativeFrom="column">
              <wp:posOffset>12700</wp:posOffset>
            </wp:positionH>
            <wp:positionV relativeFrom="paragraph">
              <wp:posOffset>23495</wp:posOffset>
            </wp:positionV>
            <wp:extent cx="1511935" cy="505460"/>
            <wp:effectExtent l="0" t="0" r="0" b="2540"/>
            <wp:wrapSquare wrapText="bothSides"/>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Picture 1755"/>
                    <pic:cNvPicPr/>
                  </pic:nvPicPr>
                  <pic:blipFill>
                    <a:blip r:embed="rId761" cstate="email">
                      <a:extLst>
                        <a:ext uri="{28A0092B-C50C-407E-A947-70E740481C1C}">
                          <a14:useLocalDpi xmlns:a14="http://schemas.microsoft.com/office/drawing/2010/main"/>
                        </a:ext>
                      </a:extLst>
                    </a:blip>
                    <a:stretch>
                      <a:fillRect/>
                    </a:stretch>
                  </pic:blipFill>
                  <pic:spPr>
                    <a:xfrm>
                      <a:off x="0" y="0"/>
                      <a:ext cx="1511935" cy="505460"/>
                    </a:xfrm>
                    <a:prstGeom prst="rect">
                      <a:avLst/>
                    </a:prstGeom>
                  </pic:spPr>
                </pic:pic>
              </a:graphicData>
            </a:graphic>
            <wp14:sizeRelH relativeFrom="page">
              <wp14:pctWidth>0</wp14:pctWidth>
            </wp14:sizeRelH>
            <wp14:sizeRelV relativeFrom="page">
              <wp14:pctHeight>0</wp14:pctHeight>
            </wp14:sizeRelV>
          </wp:anchor>
        </w:drawing>
      </w:r>
    </w:p>
    <w:p w14:paraId="438B92D0" w14:textId="5527F889" w:rsidR="00A561E7" w:rsidRPr="00BD6508" w:rsidRDefault="00A561E7" w:rsidP="00BD6508">
      <w:pPr>
        <w:spacing w:line="276" w:lineRule="auto"/>
        <w:jc w:val="both"/>
        <w:rPr>
          <w:rFonts w:ascii="Arial" w:hAnsi="Arial" w:cs="Arial"/>
          <w:iCs/>
          <w:sz w:val="24"/>
          <w:szCs w:val="24"/>
          <w:lang w:val="en-ZA"/>
        </w:rPr>
      </w:pPr>
    </w:p>
    <w:p w14:paraId="50EDE794" w14:textId="76F241BF" w:rsidR="006D0810" w:rsidRDefault="006D0810" w:rsidP="00FD12D8">
      <w:pPr>
        <w:tabs>
          <w:tab w:val="left" w:pos="1800"/>
        </w:tabs>
        <w:spacing w:line="276" w:lineRule="auto"/>
        <w:rPr>
          <w:rFonts w:ascii="Arial" w:hAnsi="Arial" w:cs="Arial"/>
          <w:sz w:val="24"/>
          <w:szCs w:val="24"/>
        </w:rPr>
      </w:pPr>
    </w:p>
    <w:p w14:paraId="68D58B66" w14:textId="1BC03686" w:rsidR="008F42CD" w:rsidRPr="008F42CD" w:rsidRDefault="008F42CD" w:rsidP="00BD6508">
      <w:pPr>
        <w:spacing w:line="276" w:lineRule="auto"/>
        <w:rPr>
          <w:rFonts w:ascii="Arial" w:hAnsi="Arial" w:cs="Arial"/>
          <w:sz w:val="24"/>
          <w:szCs w:val="24"/>
        </w:rPr>
      </w:pPr>
    </w:p>
    <w:p w14:paraId="78D6B9A0" w14:textId="37F86781" w:rsidR="008F42CD" w:rsidRPr="00BD6508" w:rsidRDefault="009A2837"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441022" behindDoc="0" locked="0" layoutInCell="1" allowOverlap="1" wp14:anchorId="6C36A03A" wp14:editId="3F9215A4">
            <wp:simplePos x="0" y="0"/>
            <wp:positionH relativeFrom="column">
              <wp:posOffset>48260</wp:posOffset>
            </wp:positionH>
            <wp:positionV relativeFrom="paragraph">
              <wp:posOffset>99060</wp:posOffset>
            </wp:positionV>
            <wp:extent cx="1732280" cy="2245995"/>
            <wp:effectExtent l="25400" t="25400" r="83820" b="90805"/>
            <wp:wrapSquare wrapText="bothSides"/>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Picture 1527"/>
                    <pic:cNvPicPr/>
                  </pic:nvPicPr>
                  <pic:blipFill rotWithShape="1">
                    <a:blip r:embed="rId762" cstate="email">
                      <a:extLst>
                        <a:ext uri="{28A0092B-C50C-407E-A947-70E740481C1C}">
                          <a14:useLocalDpi xmlns:a14="http://schemas.microsoft.com/office/drawing/2010/main"/>
                        </a:ext>
                      </a:extLst>
                    </a:blip>
                    <a:srcRect/>
                    <a:stretch/>
                  </pic:blipFill>
                  <pic:spPr bwMode="auto">
                    <a:xfrm>
                      <a:off x="0" y="0"/>
                      <a:ext cx="1732280" cy="224599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42CD" w:rsidRPr="00BD6508">
        <w:rPr>
          <w:rFonts w:ascii="Arial" w:hAnsi="Arial" w:cs="Arial"/>
          <w:sz w:val="24"/>
          <w:szCs w:val="24"/>
          <w:lang w:val="en-US"/>
        </w:rPr>
        <w:t xml:space="preserve">The goals of the </w:t>
      </w:r>
      <w:hyperlink r:id="rId763" w:history="1">
        <w:r w:rsidR="008F42CD" w:rsidRPr="00BD6508">
          <w:rPr>
            <w:rStyle w:val="Hyperlink"/>
            <w:rFonts w:ascii="Arial" w:hAnsi="Arial" w:cs="Arial"/>
            <w:sz w:val="24"/>
            <w:szCs w:val="24"/>
            <w:lang w:val="en-US"/>
          </w:rPr>
          <w:t>Public Expenditure and Financial Accounting (PEFA) Program</w:t>
        </w:r>
      </w:hyperlink>
      <w:r w:rsidR="008F42CD" w:rsidRPr="00BD6508">
        <w:rPr>
          <w:rFonts w:ascii="Arial" w:hAnsi="Arial" w:cs="Arial"/>
          <w:sz w:val="24"/>
          <w:szCs w:val="24"/>
          <w:lang w:val="en-US"/>
        </w:rPr>
        <w:t xml:space="preserve"> are to strengthen capacities to assess the status of country public financial management systems and to develop a practical sequence of reform and capacity development actions. The PEFA framework for assessing public financial management was introduced in 2001 providing a framework for assessing and reporting on strengths and weaknesses using quantitative indicators to measure performance</w:t>
      </w:r>
      <w:r w:rsidR="008F42CD" w:rsidRPr="00BD6508">
        <w:rPr>
          <w:rFonts w:ascii="Arial" w:hAnsi="Arial" w:cs="Arial"/>
          <w:sz w:val="24"/>
          <w:szCs w:val="24"/>
        </w:rPr>
        <w:t xml:space="preserve">. Subsequent to that, new versions of the Framework were introduced in 2011 and in the 2016 </w:t>
      </w:r>
      <w:hyperlink r:id="rId764" w:history="1">
        <w:r w:rsidR="008F42CD" w:rsidRPr="00BD6508">
          <w:rPr>
            <w:rFonts w:ascii="Arial" w:hAnsi="Arial" w:cs="Arial"/>
            <w:color w:val="0563C1" w:themeColor="hyperlink"/>
            <w:sz w:val="24"/>
            <w:szCs w:val="24"/>
            <w:u w:val="single"/>
          </w:rPr>
          <w:t>Framework for assessing public financial management</w:t>
        </w:r>
      </w:hyperlink>
      <w:r w:rsidR="008F42CD" w:rsidRPr="00BD6508">
        <w:rPr>
          <w:rFonts w:ascii="Arial" w:hAnsi="Arial" w:cs="Arial"/>
          <w:sz w:val="24"/>
          <w:szCs w:val="24"/>
        </w:rPr>
        <w:t xml:space="preserve">, updating and improving the framework in line with the changing landscape of public financial management reforms and the evolution of good practices. </w:t>
      </w:r>
    </w:p>
    <w:p w14:paraId="609C323F" w14:textId="77777777" w:rsidR="008F42CD" w:rsidRPr="00BD6508" w:rsidRDefault="008F42CD" w:rsidP="00BD6508">
      <w:pPr>
        <w:spacing w:line="276" w:lineRule="auto"/>
        <w:jc w:val="both"/>
        <w:rPr>
          <w:rFonts w:ascii="Arial" w:hAnsi="Arial" w:cs="Arial"/>
          <w:sz w:val="24"/>
          <w:szCs w:val="24"/>
        </w:rPr>
      </w:pPr>
    </w:p>
    <w:p w14:paraId="6340964B" w14:textId="77777777" w:rsidR="008F42CD" w:rsidRPr="00BD6508" w:rsidRDefault="008F42CD" w:rsidP="00BD6508">
      <w:pPr>
        <w:spacing w:line="276" w:lineRule="auto"/>
        <w:jc w:val="both"/>
        <w:rPr>
          <w:rFonts w:ascii="Arial" w:hAnsi="Arial" w:cs="Arial"/>
          <w:sz w:val="24"/>
          <w:szCs w:val="24"/>
        </w:rPr>
      </w:pPr>
      <w:r w:rsidRPr="00BD6508">
        <w:rPr>
          <w:rFonts w:ascii="Arial" w:hAnsi="Arial" w:cs="Arial"/>
          <w:sz w:val="24"/>
          <w:szCs w:val="24"/>
        </w:rPr>
        <w:t>Unlike the IBP’s OBS, PEFA assessments are initiated by government and can be implemented by national and sub-national governments. They are often initiated in consultation with the donor community, with donors</w:t>
      </w:r>
      <w:r w:rsidRPr="00BD6508">
        <w:rPr>
          <w:rFonts w:ascii="Arial" w:hAnsi="Arial" w:cs="Arial"/>
          <w:sz w:val="24"/>
          <w:szCs w:val="24"/>
          <w:lang w:val="en-US"/>
        </w:rPr>
        <w:t xml:space="preserve"> often requiring recipient countries to undertake a diagnostic assessment of their public financial management system, to assist in getting reassurance concerning the effectiveness of national budget management. </w:t>
      </w:r>
      <w:r w:rsidRPr="00BD6508">
        <w:rPr>
          <w:rFonts w:ascii="Arial" w:hAnsi="Arial" w:cs="Arial"/>
          <w:sz w:val="24"/>
          <w:szCs w:val="24"/>
        </w:rPr>
        <w:t xml:space="preserve">Another distinction from the OBS, that is principally a transparency assessment, is that the PEFA framework assesses how the whole </w:t>
      </w:r>
      <w:r w:rsidRPr="00BD6508">
        <w:rPr>
          <w:rFonts w:ascii="Arial" w:hAnsi="Arial" w:cs="Arial"/>
          <w:sz w:val="24"/>
          <w:szCs w:val="24"/>
          <w:lang w:val="en-US"/>
        </w:rPr>
        <w:t>public financial management</w:t>
      </w:r>
      <w:r w:rsidRPr="00BD6508">
        <w:rPr>
          <w:rFonts w:ascii="Arial" w:hAnsi="Arial" w:cs="Arial"/>
          <w:sz w:val="24"/>
          <w:szCs w:val="24"/>
        </w:rPr>
        <w:t xml:space="preserve"> system functions. It</w:t>
      </w:r>
      <w:r w:rsidRPr="00BD6508">
        <w:rPr>
          <w:rFonts w:ascii="Arial" w:hAnsi="Arial" w:cs="Arial"/>
          <w:sz w:val="24"/>
          <w:szCs w:val="24"/>
          <w:lang w:val="en-ZA"/>
        </w:rPr>
        <w:t xml:space="preserve"> is a tool that helps governments achieve sustainable improvements in </w:t>
      </w:r>
      <w:r w:rsidRPr="00BD6508">
        <w:rPr>
          <w:rFonts w:ascii="Arial" w:hAnsi="Arial" w:cs="Arial"/>
          <w:sz w:val="24"/>
          <w:szCs w:val="24"/>
          <w:lang w:val="en-US"/>
        </w:rPr>
        <w:t>public financial management</w:t>
      </w:r>
      <w:r w:rsidRPr="00BD6508">
        <w:rPr>
          <w:rFonts w:ascii="Arial" w:hAnsi="Arial" w:cs="Arial"/>
          <w:sz w:val="24"/>
          <w:szCs w:val="24"/>
          <w:lang w:val="en-ZA"/>
        </w:rPr>
        <w:t xml:space="preserve"> practices by providing a means to measure and monitor performance against a set of indicators across the range of important </w:t>
      </w:r>
      <w:r w:rsidRPr="00BD6508">
        <w:rPr>
          <w:rFonts w:ascii="Arial" w:hAnsi="Arial" w:cs="Arial"/>
          <w:sz w:val="24"/>
          <w:szCs w:val="24"/>
          <w:lang w:val="en-US"/>
        </w:rPr>
        <w:t>public financial management</w:t>
      </w:r>
      <w:r w:rsidRPr="00BD6508">
        <w:rPr>
          <w:rFonts w:ascii="Arial" w:hAnsi="Arial" w:cs="Arial"/>
          <w:sz w:val="24"/>
          <w:szCs w:val="24"/>
          <w:lang w:val="en-ZA"/>
        </w:rPr>
        <w:t xml:space="preserve"> institutions, systems, and processes. The PEFA methodology draws on international standards and good practices on crucial aspects of </w:t>
      </w:r>
      <w:r w:rsidRPr="00BD6508">
        <w:rPr>
          <w:rFonts w:ascii="Arial" w:hAnsi="Arial" w:cs="Arial"/>
          <w:sz w:val="24"/>
          <w:szCs w:val="24"/>
          <w:lang w:val="en-US"/>
        </w:rPr>
        <w:t>public financial management</w:t>
      </w:r>
      <w:r w:rsidRPr="00BD6508">
        <w:rPr>
          <w:rFonts w:ascii="Arial" w:hAnsi="Arial" w:cs="Arial"/>
          <w:sz w:val="24"/>
          <w:szCs w:val="24"/>
          <w:lang w:val="en-ZA"/>
        </w:rPr>
        <w:t xml:space="preserve">, as identified by experienced practitioners. PEFA provides a </w:t>
      </w:r>
      <w:r w:rsidRPr="00BD6508">
        <w:rPr>
          <w:rFonts w:ascii="Arial" w:hAnsi="Arial" w:cs="Arial"/>
          <w:sz w:val="24"/>
          <w:szCs w:val="24"/>
          <w:lang w:val="en-US"/>
        </w:rPr>
        <w:t>public financial management</w:t>
      </w:r>
      <w:r w:rsidRPr="00BD6508">
        <w:rPr>
          <w:rFonts w:ascii="Arial" w:hAnsi="Arial" w:cs="Arial"/>
          <w:sz w:val="24"/>
          <w:szCs w:val="24"/>
          <w:lang w:val="en-ZA"/>
        </w:rPr>
        <w:t xml:space="preserve"> performance report for the subject government that presents evidence-based indicator scores and analyses the results based on existing</w:t>
      </w:r>
      <w:r w:rsidRPr="00BD6508">
        <w:rPr>
          <w:rFonts w:ascii="Arial" w:hAnsi="Arial" w:cs="Arial"/>
          <w:sz w:val="24"/>
          <w:szCs w:val="24"/>
          <w:lang w:val="en-US"/>
        </w:rPr>
        <w:t xml:space="preserve"> evidence. </w:t>
      </w:r>
      <w:r w:rsidRPr="00BD6508">
        <w:rPr>
          <w:rFonts w:ascii="Arial" w:hAnsi="Arial" w:cs="Arial"/>
          <w:sz w:val="24"/>
          <w:szCs w:val="24"/>
          <w:lang w:val="en-ZA"/>
        </w:rPr>
        <w:t>It emphasizes a country-led approach to performance improvement and the alignment of stakeholders around common goals.</w:t>
      </w:r>
    </w:p>
    <w:p w14:paraId="3FD29B4E" w14:textId="6EBD0E9A" w:rsidR="008F42CD" w:rsidRPr="00BD6508" w:rsidRDefault="00D92B48" w:rsidP="00BD6508">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3413374" behindDoc="0" locked="0" layoutInCell="1" allowOverlap="1" wp14:anchorId="677984F3" wp14:editId="5C0AA06E">
            <wp:simplePos x="0" y="0"/>
            <wp:positionH relativeFrom="column">
              <wp:posOffset>0</wp:posOffset>
            </wp:positionH>
            <wp:positionV relativeFrom="paragraph">
              <wp:posOffset>198120</wp:posOffset>
            </wp:positionV>
            <wp:extent cx="3511550" cy="4267200"/>
            <wp:effectExtent l="0" t="0" r="6350" b="0"/>
            <wp:wrapSquare wrapText="bothSides"/>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Picture 1768"/>
                    <pic:cNvPicPr/>
                  </pic:nvPicPr>
                  <pic:blipFill rotWithShape="1">
                    <a:blip r:embed="rId765" cstate="email">
                      <a:extLst>
                        <a:ext uri="{28A0092B-C50C-407E-A947-70E740481C1C}">
                          <a14:useLocalDpi xmlns:a14="http://schemas.microsoft.com/office/drawing/2010/main"/>
                        </a:ext>
                      </a:extLst>
                    </a:blip>
                    <a:srcRect/>
                    <a:stretch/>
                  </pic:blipFill>
                  <pic:spPr bwMode="auto">
                    <a:xfrm>
                      <a:off x="0" y="0"/>
                      <a:ext cx="3511550" cy="426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9CD3EF" w14:textId="5E333D21" w:rsidR="008F42CD" w:rsidRPr="00BD6508" w:rsidRDefault="008F42CD" w:rsidP="00BD6508">
      <w:pPr>
        <w:spacing w:line="276" w:lineRule="auto"/>
        <w:jc w:val="both"/>
        <w:rPr>
          <w:rFonts w:ascii="Arial" w:hAnsi="Arial" w:cs="Arial"/>
          <w:sz w:val="24"/>
          <w:szCs w:val="24"/>
        </w:rPr>
      </w:pPr>
      <w:r w:rsidRPr="00BD6508">
        <w:rPr>
          <w:rFonts w:ascii="Arial" w:hAnsi="Arial" w:cs="Arial"/>
          <w:sz w:val="24"/>
          <w:szCs w:val="24"/>
        </w:rPr>
        <w:t xml:space="preserve">The framework identifies 94 characteristics or dimensions across </w:t>
      </w:r>
      <w:r w:rsidRPr="00BD6508">
        <w:rPr>
          <w:rFonts w:ascii="Arial" w:hAnsi="Arial" w:cs="Arial"/>
          <w:sz w:val="24"/>
          <w:szCs w:val="24"/>
          <w:lang w:val="en-US"/>
        </w:rPr>
        <w:t>31 key components of public financial management or indicators in 7 broad areas of activity or pillars. It covers central government, with elements covering public sector and sub-national governments. The 7 pillars include budget reliability; transparency of public finances; management of assets and liabilities; policy-based fiscal strategy and budgeting, predictability and control in budget execution, accounting and reporting, external scrutiny and audit.</w:t>
      </w:r>
      <w:r w:rsidRPr="00BD6508">
        <w:rPr>
          <w:rFonts w:ascii="Arial" w:hAnsi="Arial" w:cs="Arial"/>
          <w:sz w:val="24"/>
          <w:szCs w:val="24"/>
        </w:rPr>
        <w:t xml:space="preserve"> The framework addresses in many of its indicators the questions of public access to public finance information and, in a some of them, the issue of the quality of information.</w:t>
      </w:r>
      <w:r w:rsidRPr="00BD6508">
        <w:rPr>
          <w:rFonts w:ascii="Arial" w:hAnsi="Arial" w:cs="Arial"/>
          <w:color w:val="666666"/>
          <w:sz w:val="24"/>
          <w:szCs w:val="24"/>
          <w:shd w:val="clear" w:color="auto" w:fill="FFFFFF"/>
        </w:rPr>
        <w:t xml:space="preserve"> </w:t>
      </w:r>
      <w:r w:rsidRPr="00BD6508">
        <w:rPr>
          <w:rFonts w:ascii="Arial" w:hAnsi="Arial" w:cs="Arial"/>
          <w:sz w:val="24"/>
          <w:szCs w:val="24"/>
        </w:rPr>
        <w:t>The indicators also contain three pillars that require direct public participation in fiscal policy implementation. PEFA has also introduced a pilot stand-alone indicator on public participation in fiscal policy throughout the annual budget cycle, to address public participation more holistically. The completion of this indicator is currently voluntary for country governments willing to participate. PEFA assessments can however also be used in conjunction with other assessments such as the OBS to get a deeper assessment of public participation.</w:t>
      </w:r>
    </w:p>
    <w:p w14:paraId="547B2E12" w14:textId="77777777" w:rsidR="008F42CD" w:rsidRPr="00BD6508" w:rsidRDefault="008F42CD" w:rsidP="00BD6508">
      <w:pPr>
        <w:spacing w:line="276" w:lineRule="auto"/>
        <w:rPr>
          <w:rFonts w:ascii="Arial" w:hAnsi="Arial" w:cs="Arial"/>
          <w:b/>
          <w:sz w:val="24"/>
          <w:szCs w:val="24"/>
        </w:rPr>
      </w:pPr>
    </w:p>
    <w:p w14:paraId="14A355DD" w14:textId="731FDA87" w:rsidR="008F42CD" w:rsidRDefault="008F42CD" w:rsidP="008F42CD">
      <w:pPr>
        <w:spacing w:line="276" w:lineRule="auto"/>
        <w:jc w:val="both"/>
        <w:rPr>
          <w:rFonts w:ascii="Arial" w:hAnsi="Arial" w:cs="Arial"/>
          <w:sz w:val="24"/>
          <w:szCs w:val="24"/>
        </w:rPr>
      </w:pPr>
      <w:r w:rsidRPr="00BD6508">
        <w:rPr>
          <w:rFonts w:ascii="Arial" w:hAnsi="Arial" w:cs="Arial"/>
          <w:sz w:val="24"/>
          <w:szCs w:val="24"/>
          <w:lang w:val="en-US"/>
        </w:rPr>
        <w:t xml:space="preserve">PEFA has been used in more than 154 countries with over 670 reports, in countries at different levels of income and in different regions around the world – including in Germany, Afghanistan, Norway and Indonesia. In recent years, PEFA has built on this vast experience to adapt to its clients’ evolving needs, and expanded with supplementary assessment tools on gender, climate and guidance for subnational governments with a particular focus on service delivery. </w:t>
      </w:r>
      <w:r w:rsidRPr="00BD6508">
        <w:rPr>
          <w:rFonts w:ascii="Arial" w:hAnsi="Arial" w:cs="Arial"/>
          <w:sz w:val="24"/>
          <w:szCs w:val="24"/>
        </w:rPr>
        <w:t xml:space="preserve">The publication of PEFA assessment reports is voluntary, on it’s </w:t>
      </w:r>
      <w:hyperlink r:id="rId766" w:history="1">
        <w:r w:rsidRPr="00BD6508">
          <w:rPr>
            <w:rFonts w:ascii="Arial" w:hAnsi="Arial" w:cs="Arial"/>
            <w:color w:val="0563C1" w:themeColor="hyperlink"/>
            <w:sz w:val="24"/>
            <w:szCs w:val="24"/>
            <w:u w:val="single"/>
          </w:rPr>
          <w:t>website</w:t>
        </w:r>
      </w:hyperlink>
      <w:r w:rsidRPr="00BD6508">
        <w:rPr>
          <w:rFonts w:ascii="Arial" w:hAnsi="Arial" w:cs="Arial"/>
          <w:sz w:val="24"/>
          <w:szCs w:val="24"/>
        </w:rPr>
        <w:t>. Limitations of PEFA reports for fiscal transparency, relate to it not focusing or providing focused recommendations on it.  These reports can however be used to conduct research and analyses</w:t>
      </w:r>
      <w:r w:rsidRPr="00BD6508">
        <w:rPr>
          <w:rFonts w:ascii="Arial" w:hAnsi="Arial" w:cs="Arial"/>
          <w:sz w:val="24"/>
          <w:szCs w:val="24"/>
          <w:vertAlign w:val="superscript"/>
        </w:rPr>
        <w:footnoteReference w:id="54"/>
      </w:r>
      <w:r w:rsidRPr="00BD6508">
        <w:rPr>
          <w:rFonts w:ascii="Arial" w:hAnsi="Arial" w:cs="Arial"/>
          <w:sz w:val="24"/>
          <w:szCs w:val="24"/>
        </w:rPr>
        <w:t>, and in</w:t>
      </w:r>
      <w:r w:rsidRPr="00BD6508">
        <w:rPr>
          <w:rFonts w:ascii="Arial" w:eastAsia="Arial" w:hAnsi="Arial" w:cs="Arial"/>
          <w:sz w:val="24"/>
          <w:szCs w:val="24"/>
          <w:lang w:val="en-ZA" w:eastAsia="zh-CN"/>
        </w:rPr>
        <w:t xml:space="preserve"> </w:t>
      </w:r>
      <w:r w:rsidRPr="00BD6508">
        <w:rPr>
          <w:rFonts w:ascii="Arial" w:hAnsi="Arial" w:cs="Arial"/>
          <w:sz w:val="24"/>
          <w:szCs w:val="24"/>
          <w:lang w:val="en-ZA"/>
        </w:rPr>
        <w:t>conjunction with other assessments such as the OBS to get a deeper understanding and assessment of fiscal transparency and public participation in a country</w:t>
      </w:r>
      <w:r w:rsidRPr="00BD6508">
        <w:rPr>
          <w:rFonts w:ascii="Arial" w:hAnsi="Arial" w:cs="Arial"/>
          <w:sz w:val="24"/>
          <w:szCs w:val="24"/>
        </w:rPr>
        <w:t xml:space="preserve">. </w:t>
      </w:r>
    </w:p>
    <w:p w14:paraId="280F68D4" w14:textId="2CD449E2" w:rsidR="00D92B48" w:rsidRDefault="00D92B48" w:rsidP="008F42CD">
      <w:pPr>
        <w:spacing w:line="276" w:lineRule="auto"/>
        <w:jc w:val="both"/>
        <w:rPr>
          <w:rFonts w:ascii="Arial" w:hAnsi="Arial" w:cs="Arial"/>
          <w:sz w:val="24"/>
          <w:szCs w:val="24"/>
        </w:rPr>
      </w:pPr>
    </w:p>
    <w:p w14:paraId="5A474341" w14:textId="79A6EF0B" w:rsidR="00D92B48" w:rsidRPr="00BD6508" w:rsidRDefault="00EC137D" w:rsidP="00BD6508">
      <w:pPr>
        <w:spacing w:line="276" w:lineRule="auto"/>
        <w:jc w:val="both"/>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3416446" behindDoc="0" locked="0" layoutInCell="1" allowOverlap="1" wp14:anchorId="4797ABBD" wp14:editId="71F901C1">
                <wp:simplePos x="0" y="0"/>
                <wp:positionH relativeFrom="column">
                  <wp:posOffset>1803400</wp:posOffset>
                </wp:positionH>
                <wp:positionV relativeFrom="paragraph">
                  <wp:posOffset>67945</wp:posOffset>
                </wp:positionV>
                <wp:extent cx="4648200" cy="393700"/>
                <wp:effectExtent l="0" t="0" r="0" b="0"/>
                <wp:wrapNone/>
                <wp:docPr id="1771" name="Text Box 1771"/>
                <wp:cNvGraphicFramePr/>
                <a:graphic xmlns:a="http://schemas.openxmlformats.org/drawingml/2006/main">
                  <a:graphicData uri="http://schemas.microsoft.com/office/word/2010/wordprocessingShape">
                    <wps:wsp>
                      <wps:cNvSpPr txBox="1"/>
                      <wps:spPr>
                        <a:xfrm>
                          <a:off x="0" y="0"/>
                          <a:ext cx="4648200" cy="393700"/>
                        </a:xfrm>
                        <a:prstGeom prst="rect">
                          <a:avLst/>
                        </a:prstGeom>
                        <a:noFill/>
                        <a:ln w="6350">
                          <a:noFill/>
                        </a:ln>
                      </wps:spPr>
                      <wps:txbx>
                        <w:txbxContent>
                          <w:p w14:paraId="5C7F4456" w14:textId="053C0EEB"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41" w:name="_Toc123204517"/>
                            <w:bookmarkStart w:id="1742" w:name="_Toc123216628"/>
                            <w:bookmarkStart w:id="1743" w:name="_Toc123217468"/>
                            <w:bookmarkStart w:id="1744" w:name="_Toc123828215"/>
                            <w:bookmarkStart w:id="1745" w:name="_Toc123828425"/>
                            <w:bookmarkStart w:id="1746" w:name="_Toc123828621"/>
                            <w:bookmarkStart w:id="1747" w:name="_Toc123912648"/>
                            <w:bookmarkStart w:id="1748" w:name="_Toc123912907"/>
                            <w:bookmarkStart w:id="1749" w:name="_Toc123913134"/>
                            <w:bookmarkStart w:id="1750" w:name="_Toc123913425"/>
                            <w:bookmarkStart w:id="1751" w:name="_Toc123914081"/>
                            <w:bookmarkStart w:id="1752" w:name="_Toc125566696"/>
                            <w:r>
                              <w:rPr>
                                <w:rFonts w:ascii="Arial" w:hAnsi="Arial" w:cs="Arial"/>
                                <w:b/>
                                <w:bCs/>
                                <w:color w:val="FFFFFF" w:themeColor="background1"/>
                                <w:sz w:val="32"/>
                                <w:szCs w:val="32"/>
                                <w:lang w:val="en-US"/>
                              </w:rPr>
                              <w:t>OECD Budgetary Governance Reviews</w:t>
                            </w:r>
                            <w:bookmarkEnd w:id="1741"/>
                            <w:bookmarkEnd w:id="1742"/>
                            <w:bookmarkEnd w:id="1743"/>
                            <w:bookmarkEnd w:id="1744"/>
                            <w:bookmarkEnd w:id="1745"/>
                            <w:bookmarkEnd w:id="1746"/>
                            <w:bookmarkEnd w:id="1747"/>
                            <w:bookmarkEnd w:id="1748"/>
                            <w:bookmarkEnd w:id="1749"/>
                            <w:bookmarkEnd w:id="1750"/>
                            <w:bookmarkEnd w:id="1751"/>
                            <w:bookmarkEnd w:id="175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97ABBD" id="Text Box 1771" o:spid="_x0000_s1443" type="#_x0000_t202" style="position:absolute;left:0;text-align:left;margin-left:142pt;margin-top:5.35pt;width:366pt;height:31pt;z-index:2534164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" filled="f" stroked="f" strokeweight=".5pt">
                <v:textbox>
                  <w:txbxContent>
                    <w:p w14:paraId="5C7F4456" w14:textId="053C0EEB"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53" w:name="_Toc123204517"/>
                      <w:bookmarkStart w:id="1754" w:name="_Toc123216628"/>
                      <w:bookmarkStart w:id="1755" w:name="_Toc123217468"/>
                      <w:bookmarkStart w:id="1756" w:name="_Toc123828215"/>
                      <w:bookmarkStart w:id="1757" w:name="_Toc123828425"/>
                      <w:bookmarkStart w:id="1758" w:name="_Toc123828621"/>
                      <w:bookmarkStart w:id="1759" w:name="_Toc123912648"/>
                      <w:bookmarkStart w:id="1760" w:name="_Toc123912907"/>
                      <w:bookmarkStart w:id="1761" w:name="_Toc123913134"/>
                      <w:bookmarkStart w:id="1762" w:name="_Toc123913425"/>
                      <w:bookmarkStart w:id="1763" w:name="_Toc123914081"/>
                      <w:bookmarkStart w:id="1764" w:name="_Toc125566696"/>
                      <w:r>
                        <w:rPr>
                          <w:rFonts w:ascii="Arial" w:hAnsi="Arial" w:cs="Arial"/>
                          <w:b/>
                          <w:bCs/>
                          <w:color w:val="FFFFFF" w:themeColor="background1"/>
                          <w:sz w:val="32"/>
                          <w:szCs w:val="32"/>
                          <w:lang w:val="en-US"/>
                        </w:rPr>
                        <w:t>OECD Budgetary Governance Reviews</w:t>
                      </w:r>
                      <w:bookmarkEnd w:id="1753"/>
                      <w:bookmarkEnd w:id="1754"/>
                      <w:bookmarkEnd w:id="1755"/>
                      <w:bookmarkEnd w:id="1756"/>
                      <w:bookmarkEnd w:id="1757"/>
                      <w:bookmarkEnd w:id="1758"/>
                      <w:bookmarkEnd w:id="1759"/>
                      <w:bookmarkEnd w:id="1760"/>
                      <w:bookmarkEnd w:id="1761"/>
                      <w:bookmarkEnd w:id="1762"/>
                      <w:bookmarkEnd w:id="1763"/>
                      <w:bookmarkEnd w:id="1764"/>
                    </w:p>
                  </w:txbxContent>
                </v:textbox>
              </v:shape>
            </w:pict>
          </mc:Fallback>
        </mc:AlternateContent>
      </w:r>
      <w:r>
        <w:rPr>
          <w:rFonts w:ascii="Arial" w:hAnsi="Arial" w:cs="Arial"/>
          <w:noProof/>
          <w:sz w:val="24"/>
          <w:szCs w:val="24"/>
          <w:lang w:val="en-US"/>
        </w:rPr>
        <w:drawing>
          <wp:anchor distT="0" distB="0" distL="114300" distR="114300" simplePos="0" relativeHeight="253417470" behindDoc="0" locked="0" layoutInCell="1" allowOverlap="1" wp14:anchorId="1E697756" wp14:editId="4B166412">
            <wp:simplePos x="0" y="0"/>
            <wp:positionH relativeFrom="column">
              <wp:posOffset>0</wp:posOffset>
            </wp:positionH>
            <wp:positionV relativeFrom="paragraph">
              <wp:posOffset>0</wp:posOffset>
            </wp:positionV>
            <wp:extent cx="1574800" cy="584200"/>
            <wp:effectExtent l="0" t="0" r="0" b="0"/>
            <wp:wrapSquare wrapText="bothSides"/>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 name="Picture 1769"/>
                    <pic:cNvPicPr/>
                  </pic:nvPicPr>
                  <pic:blipFill rotWithShape="1">
                    <a:blip r:embed="rId767" cstate="email">
                      <a:extLst>
                        <a:ext uri="{28A0092B-C50C-407E-A947-70E740481C1C}">
                          <a14:useLocalDpi xmlns:a14="http://schemas.microsoft.com/office/drawing/2010/main"/>
                        </a:ext>
                      </a:extLst>
                    </a:blip>
                    <a:srcRect t="14959" b="16230"/>
                    <a:stretch/>
                  </pic:blipFill>
                  <pic:spPr bwMode="auto">
                    <a:xfrm>
                      <a:off x="0" y="0"/>
                      <a:ext cx="1574800"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415422" behindDoc="0" locked="0" layoutInCell="1" allowOverlap="1" wp14:anchorId="1B2CCF8A" wp14:editId="2AD4522F">
                <wp:simplePos x="0" y="0"/>
                <wp:positionH relativeFrom="column">
                  <wp:posOffset>1651000</wp:posOffset>
                </wp:positionH>
                <wp:positionV relativeFrom="paragraph">
                  <wp:posOffset>4445</wp:posOffset>
                </wp:positionV>
                <wp:extent cx="4991100" cy="520700"/>
                <wp:effectExtent l="0" t="0" r="0" b="0"/>
                <wp:wrapNone/>
                <wp:docPr id="1770" name="Rounded Rectangle 1770"/>
                <wp:cNvGraphicFramePr/>
                <a:graphic xmlns:a="http://schemas.openxmlformats.org/drawingml/2006/main">
                  <a:graphicData uri="http://schemas.microsoft.com/office/word/2010/wordprocessingShape">
                    <wps:wsp>
                      <wps:cNvSpPr/>
                      <wps:spPr>
                        <a:xfrm>
                          <a:off x="0" y="0"/>
                          <a:ext cx="4991100" cy="5207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2C84822C" id="Rounded Rectangle 1770" o:spid="_x0000_s1026" style="position:absolute;margin-left:130pt;margin-top:.35pt;width:393pt;height:41pt;z-index:2534154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" fillcolor="#f9a133" stroked="f" strokeweight="1pt">
                <v:stroke joinstyle="miter"/>
              </v:roundrect>
            </w:pict>
          </mc:Fallback>
        </mc:AlternateContent>
      </w:r>
    </w:p>
    <w:p w14:paraId="4F187037" w14:textId="74155BCC" w:rsidR="008F42CD" w:rsidRDefault="008F42CD" w:rsidP="008F42CD">
      <w:pPr>
        <w:tabs>
          <w:tab w:val="left" w:pos="3340"/>
        </w:tabs>
        <w:spacing w:line="276" w:lineRule="auto"/>
        <w:rPr>
          <w:rFonts w:ascii="Arial" w:hAnsi="Arial" w:cs="Arial"/>
          <w:sz w:val="24"/>
          <w:szCs w:val="24"/>
        </w:rPr>
      </w:pPr>
    </w:p>
    <w:p w14:paraId="726F95B2" w14:textId="344234B5" w:rsidR="00EC137D" w:rsidRPr="00EC137D" w:rsidRDefault="00EC137D" w:rsidP="00BD6508">
      <w:pPr>
        <w:rPr>
          <w:rFonts w:ascii="Arial" w:hAnsi="Arial" w:cs="Arial"/>
          <w:sz w:val="24"/>
          <w:szCs w:val="24"/>
        </w:rPr>
      </w:pPr>
    </w:p>
    <w:p w14:paraId="6AECD9D8" w14:textId="1B6E285C" w:rsidR="00EC137D" w:rsidRPr="00EC137D" w:rsidRDefault="00EC137D" w:rsidP="00BD6508">
      <w:pPr>
        <w:spacing w:line="276" w:lineRule="auto"/>
        <w:rPr>
          <w:rFonts w:ascii="Arial" w:hAnsi="Arial" w:cs="Arial"/>
          <w:sz w:val="24"/>
          <w:szCs w:val="24"/>
        </w:rPr>
      </w:pPr>
    </w:p>
    <w:p w14:paraId="0CE7B84C" w14:textId="77777777" w:rsidR="00EC137D" w:rsidRPr="00BD6508" w:rsidRDefault="00EC137D" w:rsidP="00BD6508">
      <w:pPr>
        <w:spacing w:line="276" w:lineRule="auto"/>
        <w:jc w:val="both"/>
        <w:rPr>
          <w:rFonts w:ascii="Arial" w:hAnsi="Arial" w:cs="Arial"/>
          <w:sz w:val="24"/>
          <w:szCs w:val="24"/>
          <w:lang w:val="en-US"/>
        </w:rPr>
      </w:pPr>
      <w:r w:rsidRPr="00BD6508">
        <w:rPr>
          <w:rFonts w:ascii="Arial" w:hAnsi="Arial" w:cs="Arial"/>
          <w:sz w:val="24"/>
          <w:szCs w:val="24"/>
          <w:lang w:val="en-US"/>
        </w:rPr>
        <w:t xml:space="preserve">The OECD focuses its efforts on the governance and decision making of budgeting. It looks at good practices in budgeting and provides guidance to governments on designing, preparing, approving, implementing, and reviewing budgets to ensure they are effective, efficient and relevant. </w:t>
      </w:r>
    </w:p>
    <w:p w14:paraId="3095FB00" w14:textId="77777777" w:rsidR="00EC137D" w:rsidRPr="00BD6508" w:rsidRDefault="00EC137D" w:rsidP="00BD6508">
      <w:pPr>
        <w:spacing w:line="276" w:lineRule="auto"/>
        <w:jc w:val="both"/>
        <w:rPr>
          <w:rFonts w:ascii="Arial" w:hAnsi="Arial" w:cs="Arial"/>
          <w:sz w:val="24"/>
          <w:szCs w:val="24"/>
          <w:lang w:val="en-US"/>
        </w:rPr>
      </w:pPr>
    </w:p>
    <w:p w14:paraId="04CAFC1B" w14:textId="736B9065" w:rsidR="00EC137D" w:rsidRPr="00BD6508" w:rsidRDefault="00EC137D" w:rsidP="00BD6508">
      <w:pPr>
        <w:spacing w:line="276" w:lineRule="auto"/>
        <w:jc w:val="both"/>
        <w:rPr>
          <w:rFonts w:ascii="Arial" w:hAnsi="Arial" w:cs="Arial"/>
          <w:sz w:val="24"/>
          <w:szCs w:val="24"/>
          <w:lang w:val="en-ZA"/>
        </w:rPr>
      </w:pPr>
      <w:r w:rsidRPr="00BD6508">
        <w:rPr>
          <w:rFonts w:ascii="Arial" w:hAnsi="Arial" w:cs="Arial"/>
          <w:sz w:val="24"/>
          <w:szCs w:val="24"/>
          <w:lang w:val="en-US"/>
        </w:rPr>
        <w:t xml:space="preserve">It has developed </w:t>
      </w:r>
      <w:hyperlink r:id="rId768" w:history="1">
        <w:r w:rsidRPr="00BD6508">
          <w:rPr>
            <w:rStyle w:val="Hyperlink"/>
            <w:rFonts w:ascii="Arial" w:hAnsi="Arial" w:cs="Arial"/>
            <w:sz w:val="24"/>
            <w:szCs w:val="24"/>
            <w:lang w:val="en-US"/>
          </w:rPr>
          <w:t>10 Principles of Budgetary Governance</w:t>
        </w:r>
      </w:hyperlink>
      <w:r w:rsidRPr="00BD6508">
        <w:rPr>
          <w:rStyle w:val="Hyperlink"/>
          <w:rFonts w:ascii="Arial" w:hAnsi="Arial" w:cs="Arial"/>
          <w:sz w:val="24"/>
          <w:szCs w:val="24"/>
          <w:lang w:val="en-US"/>
        </w:rPr>
        <w:t>,</w:t>
      </w:r>
      <w:r w:rsidRPr="00BD6508">
        <w:rPr>
          <w:rFonts w:ascii="Arial" w:hAnsi="Arial" w:cs="Arial"/>
          <w:sz w:val="24"/>
          <w:szCs w:val="24"/>
          <w:lang w:val="en-US"/>
        </w:rPr>
        <w:t xml:space="preserve"> as seen in the figure below, from the lessons and insights it has gained from cross-country experiences. One of these principles is </w:t>
      </w:r>
      <w:r w:rsidRPr="00BD6508">
        <w:rPr>
          <w:rFonts w:ascii="Arial" w:hAnsi="Arial" w:cs="Arial"/>
          <w:sz w:val="24"/>
          <w:szCs w:val="24"/>
          <w:lang w:val="en-ZA"/>
        </w:rPr>
        <w:t>dedicated to ensuring that budget documents are open, transparent, and accessible. Another principle refers to the provision of a participative, inclusive, and realistic debate on budgetary choices. It looks at the opportunities for parliament and its committees, civil society, and the public to be involved at key stages of the budget process.</w:t>
      </w:r>
      <w:r w:rsidRPr="00BD6508">
        <w:rPr>
          <w:rFonts w:ascii="Arial" w:hAnsi="Arial" w:cs="Arial"/>
          <w:sz w:val="24"/>
          <w:szCs w:val="24"/>
          <w:lang w:val="en-US"/>
        </w:rPr>
        <w:t xml:space="preserve"> </w:t>
      </w:r>
    </w:p>
    <w:p w14:paraId="6C0F12AF" w14:textId="325F671B" w:rsidR="00EC137D" w:rsidRDefault="00EC137D" w:rsidP="00EC137D">
      <w:pPr>
        <w:tabs>
          <w:tab w:val="left" w:pos="3040"/>
        </w:tabs>
        <w:rPr>
          <w:rFonts w:ascii="Arial" w:hAnsi="Arial" w:cs="Arial"/>
          <w:sz w:val="24"/>
          <w:szCs w:val="24"/>
        </w:rPr>
      </w:pPr>
    </w:p>
    <w:p w14:paraId="5926B0B3" w14:textId="13DACBDC" w:rsidR="00EC137D" w:rsidRPr="00C07D5A" w:rsidRDefault="00EC137D" w:rsidP="00C07D5A">
      <w:pPr>
        <w:pStyle w:val="Heading3"/>
        <w:jc w:val="center"/>
        <w:rPr>
          <w:rFonts w:ascii="Arial" w:hAnsi="Arial" w:cs="Arial"/>
          <w:b/>
          <w:bCs/>
          <w:color w:val="69557F"/>
          <w:sz w:val="20"/>
          <w:szCs w:val="20"/>
          <w:lang w:val="en-US"/>
        </w:rPr>
      </w:pPr>
      <w:bookmarkStart w:id="1765" w:name="_Figure_3.5._OECD"/>
      <w:bookmarkStart w:id="1766" w:name="_Toc123914082"/>
      <w:bookmarkStart w:id="1767" w:name="_Toc125566697"/>
      <w:bookmarkEnd w:id="1765"/>
      <w:r w:rsidRPr="00C07D5A">
        <w:rPr>
          <w:rFonts w:ascii="Arial" w:hAnsi="Arial" w:cs="Arial"/>
          <w:b/>
          <w:bCs/>
          <w:color w:val="69557F"/>
          <w:sz w:val="20"/>
          <w:szCs w:val="20"/>
          <w:lang w:val="en-US"/>
        </w:rPr>
        <w:t>Figure 3.</w:t>
      </w:r>
      <w:r w:rsidR="004C79A7">
        <w:rPr>
          <w:rFonts w:ascii="Arial" w:hAnsi="Arial" w:cs="Arial"/>
          <w:b/>
          <w:bCs/>
          <w:color w:val="69557F"/>
          <w:sz w:val="20"/>
          <w:szCs w:val="20"/>
          <w:lang w:val="en-US"/>
        </w:rPr>
        <w:t>5</w:t>
      </w:r>
      <w:r w:rsidRPr="00C07D5A">
        <w:rPr>
          <w:rFonts w:ascii="Arial" w:hAnsi="Arial" w:cs="Arial"/>
          <w:b/>
          <w:bCs/>
          <w:color w:val="69557F"/>
          <w:sz w:val="20"/>
          <w:szCs w:val="20"/>
          <w:lang w:val="en-US"/>
        </w:rPr>
        <w:t>. OECD principles of Budgetary Governance</w:t>
      </w:r>
      <w:bookmarkEnd w:id="1766"/>
      <w:bookmarkEnd w:id="1767"/>
    </w:p>
    <w:p w14:paraId="14B07862" w14:textId="479C575D" w:rsidR="00EC137D" w:rsidRDefault="00EC137D" w:rsidP="00EC137D">
      <w:pPr>
        <w:spacing w:line="276" w:lineRule="auto"/>
        <w:jc w:val="both"/>
        <w:rPr>
          <w:rFonts w:ascii="Arial" w:hAnsi="Arial" w:cs="Arial"/>
          <w:sz w:val="24"/>
          <w:szCs w:val="24"/>
          <w:lang w:val="en-ZA"/>
        </w:rPr>
      </w:pPr>
    </w:p>
    <w:p w14:paraId="06BFF4DC" w14:textId="53D05975" w:rsidR="00EC137D" w:rsidRDefault="00EC137D" w:rsidP="00EC137D">
      <w:pPr>
        <w:spacing w:line="276" w:lineRule="auto"/>
        <w:jc w:val="both"/>
        <w:rPr>
          <w:rFonts w:ascii="Arial" w:hAnsi="Arial" w:cs="Arial"/>
          <w:sz w:val="24"/>
          <w:szCs w:val="24"/>
          <w:lang w:val="en-ZA"/>
        </w:rPr>
      </w:pPr>
      <w:r>
        <w:rPr>
          <w:noProof/>
          <w:lang w:val="en-US"/>
        </w:rPr>
        <w:drawing>
          <wp:anchor distT="0" distB="0" distL="114300" distR="114300" simplePos="0" relativeHeight="253418494" behindDoc="1" locked="0" layoutInCell="1" allowOverlap="1" wp14:anchorId="5989A4F4" wp14:editId="6B9B94A7">
            <wp:simplePos x="0" y="0"/>
            <wp:positionH relativeFrom="column">
              <wp:posOffset>0</wp:posOffset>
            </wp:positionH>
            <wp:positionV relativeFrom="paragraph">
              <wp:posOffset>8255</wp:posOffset>
            </wp:positionV>
            <wp:extent cx="3759200" cy="2800985"/>
            <wp:effectExtent l="0" t="0" r="0" b="5715"/>
            <wp:wrapTight wrapText="bothSides">
              <wp:wrapPolygon edited="0">
                <wp:start x="0" y="0"/>
                <wp:lineTo x="0" y="21546"/>
                <wp:lineTo x="21527" y="21546"/>
                <wp:lineTo x="21527" y="0"/>
                <wp:lineTo x="0" y="0"/>
              </wp:wrapPolygon>
            </wp:wrapTight>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cstate="email">
                      <a:extLst>
                        <a:ext uri="{28A0092B-C50C-407E-A947-70E740481C1C}">
                          <a14:useLocalDpi xmlns:a14="http://schemas.microsoft.com/office/drawing/2010/main"/>
                        </a:ext>
                      </a:extLst>
                    </a:blip>
                    <a:stretch>
                      <a:fillRect/>
                    </a:stretch>
                  </pic:blipFill>
                  <pic:spPr>
                    <a:xfrm>
                      <a:off x="0" y="0"/>
                      <a:ext cx="3759200" cy="2800985"/>
                    </a:xfrm>
                    <a:prstGeom prst="rect">
                      <a:avLst/>
                    </a:prstGeom>
                  </pic:spPr>
                </pic:pic>
              </a:graphicData>
            </a:graphic>
            <wp14:sizeRelH relativeFrom="page">
              <wp14:pctWidth>0</wp14:pctWidth>
            </wp14:sizeRelH>
            <wp14:sizeRelV relativeFrom="page">
              <wp14:pctHeight>0</wp14:pctHeight>
            </wp14:sizeRelV>
          </wp:anchor>
        </w:drawing>
      </w:r>
    </w:p>
    <w:p w14:paraId="51013876" w14:textId="538D1696" w:rsidR="00EC137D" w:rsidRDefault="00EC137D" w:rsidP="00EC137D">
      <w:pPr>
        <w:spacing w:line="276" w:lineRule="auto"/>
        <w:jc w:val="both"/>
        <w:rPr>
          <w:rFonts w:ascii="Arial" w:hAnsi="Arial" w:cs="Arial"/>
          <w:sz w:val="24"/>
          <w:szCs w:val="24"/>
          <w:lang w:val="en-ZA"/>
        </w:rPr>
      </w:pPr>
    </w:p>
    <w:p w14:paraId="027C1747" w14:textId="3AAE021B" w:rsidR="00EC137D" w:rsidRPr="00BD6508" w:rsidRDefault="00EC137D" w:rsidP="00BD6508">
      <w:pPr>
        <w:spacing w:line="276" w:lineRule="auto"/>
        <w:jc w:val="both"/>
        <w:rPr>
          <w:rFonts w:ascii="Arial" w:hAnsi="Arial" w:cs="Arial"/>
          <w:sz w:val="24"/>
          <w:szCs w:val="24"/>
          <w:lang w:val="en-GB"/>
        </w:rPr>
      </w:pPr>
      <w:r w:rsidRPr="00BD6508">
        <w:rPr>
          <w:rFonts w:ascii="Arial" w:hAnsi="Arial" w:cs="Arial"/>
          <w:sz w:val="24"/>
          <w:szCs w:val="24"/>
          <w:lang w:val="en-ZA"/>
        </w:rPr>
        <w:t>The 10 principles are supported with guidance and resources on transparency, financial management, budget performance, and independent oversight. The OECD also provides specialist expertise and resources on gender budgeting, green budgeting, and wellbeing budgeting to help governments increase capacities on the achievement of strategic outcomes from budgeting.  </w:t>
      </w:r>
    </w:p>
    <w:p w14:paraId="6D95BB55" w14:textId="77945776" w:rsidR="00EC137D" w:rsidRPr="00BD6508" w:rsidRDefault="00EC137D" w:rsidP="00BD6508">
      <w:pPr>
        <w:spacing w:line="276" w:lineRule="auto"/>
        <w:jc w:val="both"/>
        <w:rPr>
          <w:rFonts w:ascii="Arial" w:hAnsi="Arial" w:cs="Arial"/>
          <w:sz w:val="24"/>
          <w:szCs w:val="24"/>
          <w:lang w:val="en-GB"/>
        </w:rPr>
      </w:pPr>
    </w:p>
    <w:p w14:paraId="49489592" w14:textId="77777777" w:rsidR="00EC137D" w:rsidRDefault="00EC137D" w:rsidP="00EC137D">
      <w:pPr>
        <w:spacing w:line="276" w:lineRule="auto"/>
        <w:jc w:val="both"/>
        <w:rPr>
          <w:rFonts w:ascii="Arial" w:hAnsi="Arial" w:cs="Arial"/>
          <w:sz w:val="24"/>
          <w:szCs w:val="24"/>
          <w:lang w:val="en-GB"/>
        </w:rPr>
      </w:pPr>
    </w:p>
    <w:p w14:paraId="01ACFFCA" w14:textId="77777777" w:rsidR="00EC137D" w:rsidRDefault="00EC137D" w:rsidP="00EC137D">
      <w:pPr>
        <w:spacing w:line="276" w:lineRule="auto"/>
        <w:jc w:val="both"/>
        <w:rPr>
          <w:rFonts w:ascii="Arial" w:hAnsi="Arial" w:cs="Arial"/>
          <w:sz w:val="24"/>
          <w:szCs w:val="24"/>
          <w:lang w:val="en-GB"/>
        </w:rPr>
      </w:pPr>
    </w:p>
    <w:p w14:paraId="2440A318" w14:textId="6EF32A5C" w:rsidR="00EC137D" w:rsidRPr="00BD6508" w:rsidRDefault="00EC137D" w:rsidP="00BD6508">
      <w:pPr>
        <w:spacing w:line="276" w:lineRule="auto"/>
        <w:jc w:val="both"/>
        <w:rPr>
          <w:rFonts w:ascii="Arial" w:hAnsi="Arial" w:cs="Arial"/>
          <w:sz w:val="24"/>
          <w:szCs w:val="24"/>
          <w:lang w:val="en-GB"/>
        </w:rPr>
      </w:pPr>
      <w:r w:rsidRPr="00BD6508">
        <w:rPr>
          <w:rFonts w:ascii="Arial" w:hAnsi="Arial" w:cs="Arial"/>
          <w:sz w:val="24"/>
          <w:szCs w:val="24"/>
          <w:lang w:val="en-GB"/>
        </w:rPr>
        <w:t xml:space="preserve">The OECD’s reviews of budgeting take place in OECD member countries and non-member countries, usually at the request of the central budget authority in a ministry of finance. </w:t>
      </w:r>
      <w:r w:rsidRPr="00BD6508">
        <w:rPr>
          <w:rFonts w:ascii="Arial" w:hAnsi="Arial" w:cs="Arial"/>
          <w:sz w:val="24"/>
          <w:szCs w:val="24"/>
          <w:lang w:val="en-US"/>
        </w:rPr>
        <w:t xml:space="preserve">The majority of the OECD review reports are published in the </w:t>
      </w:r>
      <w:hyperlink r:id="rId770" w:history="1">
        <w:r w:rsidRPr="00BD6508">
          <w:rPr>
            <w:rStyle w:val="Hyperlink"/>
            <w:rFonts w:ascii="Arial" w:hAnsi="Arial" w:cs="Arial"/>
            <w:sz w:val="24"/>
            <w:szCs w:val="24"/>
            <w:lang w:val="en-US"/>
          </w:rPr>
          <w:t>OECD Journal on Budgeting</w:t>
        </w:r>
      </w:hyperlink>
      <w:r w:rsidRPr="00BD6508">
        <w:rPr>
          <w:rFonts w:ascii="Arial" w:hAnsi="Arial" w:cs="Arial"/>
          <w:sz w:val="24"/>
          <w:szCs w:val="24"/>
          <w:lang w:val="en-GB"/>
        </w:rPr>
        <w:t>. Targeted</w:t>
      </w:r>
      <w:r w:rsidRPr="00BD6508">
        <w:rPr>
          <w:rFonts w:ascii="Arial" w:hAnsi="Arial" w:cs="Arial"/>
          <w:sz w:val="24"/>
          <w:szCs w:val="24"/>
          <w:lang w:val="en-ZA"/>
        </w:rPr>
        <w:t xml:space="preserve"> reviews on individual areas related to fiscal transparency, such as in-depth reviews of independent fiscal institutions, are also published. </w:t>
      </w:r>
      <w:r w:rsidRPr="00BD6508">
        <w:rPr>
          <w:rFonts w:ascii="Arial" w:hAnsi="Arial" w:cs="Arial"/>
          <w:sz w:val="24"/>
          <w:szCs w:val="24"/>
          <w:lang w:val="en-GB"/>
        </w:rPr>
        <w:t xml:space="preserve">The OECD’s reviews can also be performed in conjunction with assessments by other organisations, with the OECD’s reviews providing a distinct and complementary contribution. </w:t>
      </w:r>
    </w:p>
    <w:p w14:paraId="11035585" w14:textId="4A5B7453" w:rsidR="00EC137D" w:rsidRDefault="00EC137D" w:rsidP="00EC137D">
      <w:pPr>
        <w:tabs>
          <w:tab w:val="left" w:pos="3040"/>
        </w:tabs>
        <w:rPr>
          <w:rFonts w:ascii="Arial" w:hAnsi="Arial" w:cs="Arial"/>
          <w:sz w:val="24"/>
          <w:szCs w:val="24"/>
        </w:rPr>
      </w:pPr>
    </w:p>
    <w:p w14:paraId="318A7017" w14:textId="595C0872" w:rsidR="00EC137D" w:rsidRDefault="00EC137D" w:rsidP="00EC137D">
      <w:pPr>
        <w:tabs>
          <w:tab w:val="left" w:pos="3040"/>
        </w:tabs>
        <w:rPr>
          <w:rFonts w:ascii="Arial" w:hAnsi="Arial" w:cs="Arial"/>
          <w:sz w:val="24"/>
          <w:szCs w:val="24"/>
        </w:rPr>
      </w:pPr>
    </w:p>
    <w:p w14:paraId="3ABCDA2D" w14:textId="35D0B6A5" w:rsidR="00EC137D" w:rsidRDefault="00EC137D" w:rsidP="00EC137D">
      <w:pPr>
        <w:tabs>
          <w:tab w:val="left" w:pos="3040"/>
        </w:tabs>
        <w:rPr>
          <w:rFonts w:ascii="Arial" w:hAnsi="Arial" w:cs="Arial"/>
          <w:sz w:val="24"/>
          <w:szCs w:val="24"/>
        </w:rPr>
      </w:pPr>
    </w:p>
    <w:p w14:paraId="22FBB587" w14:textId="2D6FD0DD" w:rsidR="00EC137D" w:rsidRDefault="00EC137D" w:rsidP="00EC137D">
      <w:pPr>
        <w:tabs>
          <w:tab w:val="left" w:pos="3040"/>
        </w:tabs>
        <w:rPr>
          <w:rFonts w:ascii="Arial" w:hAnsi="Arial" w:cs="Arial"/>
          <w:sz w:val="24"/>
          <w:szCs w:val="24"/>
        </w:rPr>
      </w:pPr>
    </w:p>
    <w:p w14:paraId="5F8F7FB3" w14:textId="08014DBD" w:rsidR="00EC137D" w:rsidRDefault="00EC137D" w:rsidP="00EC137D">
      <w:pPr>
        <w:tabs>
          <w:tab w:val="left" w:pos="3040"/>
        </w:tabs>
        <w:rPr>
          <w:rFonts w:ascii="Arial" w:hAnsi="Arial" w:cs="Arial"/>
          <w:sz w:val="24"/>
          <w:szCs w:val="24"/>
        </w:rPr>
      </w:pPr>
    </w:p>
    <w:p w14:paraId="350FFDA3" w14:textId="229CCE6D" w:rsidR="00EC137D" w:rsidRDefault="00EC137D" w:rsidP="00EC137D">
      <w:pPr>
        <w:tabs>
          <w:tab w:val="left" w:pos="3040"/>
        </w:tabs>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3422590" behindDoc="1" locked="0" layoutInCell="1" allowOverlap="1" wp14:anchorId="15A35D53" wp14:editId="3AC444FE">
            <wp:simplePos x="0" y="0"/>
            <wp:positionH relativeFrom="column">
              <wp:posOffset>0</wp:posOffset>
            </wp:positionH>
            <wp:positionV relativeFrom="paragraph">
              <wp:posOffset>0</wp:posOffset>
            </wp:positionV>
            <wp:extent cx="934085" cy="952500"/>
            <wp:effectExtent l="0" t="0" r="5715" b="0"/>
            <wp:wrapTight wrapText="bothSides">
              <wp:wrapPolygon edited="0">
                <wp:start x="8517" y="0"/>
                <wp:lineTo x="5286" y="1440"/>
                <wp:lineTo x="1468" y="4032"/>
                <wp:lineTo x="0" y="8352"/>
                <wp:lineTo x="0" y="11520"/>
                <wp:lineTo x="294" y="14400"/>
                <wp:lineTo x="3524" y="19008"/>
                <wp:lineTo x="8810" y="21312"/>
                <wp:lineTo x="12628" y="21312"/>
                <wp:lineTo x="13803" y="21024"/>
                <wp:lineTo x="18208" y="18720"/>
                <wp:lineTo x="21438" y="14112"/>
                <wp:lineTo x="21438" y="8064"/>
                <wp:lineTo x="20264" y="3744"/>
                <wp:lineTo x="14390" y="576"/>
                <wp:lineTo x="12041" y="0"/>
                <wp:lineTo x="8517" y="0"/>
              </wp:wrapPolygon>
            </wp:wrapTight>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Picture 1793"/>
                    <pic:cNvPicPr/>
                  </pic:nvPicPr>
                  <pic:blipFill>
                    <a:blip r:embed="rId771" cstate="email">
                      <a:extLst>
                        <a:ext uri="{28A0092B-C50C-407E-A947-70E740481C1C}">
                          <a14:useLocalDpi xmlns:a14="http://schemas.microsoft.com/office/drawing/2010/main"/>
                        </a:ext>
                      </a:extLst>
                    </a:blip>
                    <a:stretch>
                      <a:fillRect/>
                    </a:stretch>
                  </pic:blipFill>
                  <pic:spPr>
                    <a:xfrm>
                      <a:off x="0" y="0"/>
                      <a:ext cx="934085" cy="952500"/>
                    </a:xfrm>
                    <a:prstGeom prst="rect">
                      <a:avLst/>
                    </a:prstGeom>
                  </pic:spPr>
                </pic:pic>
              </a:graphicData>
            </a:graphic>
            <wp14:sizeRelH relativeFrom="page">
              <wp14:pctWidth>0</wp14:pctWidth>
            </wp14:sizeRelH>
            <wp14:sizeRelV relativeFrom="page">
              <wp14:pctHeight>0</wp14:pctHeight>
            </wp14:sizeRelV>
          </wp:anchor>
        </w:drawing>
      </w:r>
    </w:p>
    <w:p w14:paraId="3B5D708B" w14:textId="70CF61DB" w:rsidR="00EC137D" w:rsidRDefault="00300C66" w:rsidP="00EC137D">
      <w:pPr>
        <w:tabs>
          <w:tab w:val="left" w:pos="304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21566" behindDoc="0" locked="0" layoutInCell="1" allowOverlap="1" wp14:anchorId="32C29EFE" wp14:editId="5904628D">
                <wp:simplePos x="0" y="0"/>
                <wp:positionH relativeFrom="column">
                  <wp:posOffset>1282700</wp:posOffset>
                </wp:positionH>
                <wp:positionV relativeFrom="paragraph">
                  <wp:posOffset>95885</wp:posOffset>
                </wp:positionV>
                <wp:extent cx="5041900" cy="393700"/>
                <wp:effectExtent l="0" t="0" r="0" b="0"/>
                <wp:wrapNone/>
                <wp:docPr id="1796" name="Text Box 1796"/>
                <wp:cNvGraphicFramePr/>
                <a:graphic xmlns:a="http://schemas.openxmlformats.org/drawingml/2006/main">
                  <a:graphicData uri="http://schemas.microsoft.com/office/word/2010/wordprocessingShape">
                    <wps:wsp>
                      <wps:cNvSpPr txBox="1"/>
                      <wps:spPr>
                        <a:xfrm>
                          <a:off x="0" y="0"/>
                          <a:ext cx="5041900" cy="393700"/>
                        </a:xfrm>
                        <a:prstGeom prst="rect">
                          <a:avLst/>
                        </a:prstGeom>
                        <a:noFill/>
                        <a:ln w="6350">
                          <a:noFill/>
                        </a:ln>
                      </wps:spPr>
                      <wps:txbx>
                        <w:txbxContent>
                          <w:p w14:paraId="039AA23B" w14:textId="0F0C8678"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68" w:name="_Toc123204518"/>
                            <w:bookmarkStart w:id="1769" w:name="_Toc123216629"/>
                            <w:bookmarkStart w:id="1770" w:name="_Toc123217469"/>
                            <w:bookmarkStart w:id="1771" w:name="_Toc123828216"/>
                            <w:bookmarkStart w:id="1772" w:name="_Toc123828426"/>
                            <w:bookmarkStart w:id="1773" w:name="_Toc123828622"/>
                            <w:bookmarkStart w:id="1774" w:name="_Toc123912649"/>
                            <w:bookmarkStart w:id="1775" w:name="_Toc123912908"/>
                            <w:bookmarkStart w:id="1776" w:name="_Toc123913135"/>
                            <w:bookmarkStart w:id="1777" w:name="_Toc123913426"/>
                            <w:bookmarkStart w:id="1778" w:name="_Toc123914083"/>
                            <w:bookmarkStart w:id="1779" w:name="_Toc125566698"/>
                            <w:r>
                              <w:rPr>
                                <w:rFonts w:ascii="Arial" w:hAnsi="Arial" w:cs="Arial"/>
                                <w:b/>
                                <w:bCs/>
                                <w:color w:val="FFFFFF" w:themeColor="background1"/>
                                <w:sz w:val="32"/>
                                <w:szCs w:val="32"/>
                                <w:lang w:val="en-US"/>
                              </w:rPr>
                              <w:t>IMF Fiscal Transparency Evaluations</w:t>
                            </w:r>
                            <w:bookmarkEnd w:id="1768"/>
                            <w:bookmarkEnd w:id="1769"/>
                            <w:bookmarkEnd w:id="1770"/>
                            <w:bookmarkEnd w:id="1771"/>
                            <w:bookmarkEnd w:id="1772"/>
                            <w:bookmarkEnd w:id="1773"/>
                            <w:bookmarkEnd w:id="1774"/>
                            <w:bookmarkEnd w:id="1775"/>
                            <w:bookmarkEnd w:id="1776"/>
                            <w:bookmarkEnd w:id="1777"/>
                            <w:bookmarkEnd w:id="1778"/>
                            <w:bookmarkEnd w:id="177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29EFE" id="Text Box 1796" o:spid="_x0000_s1444" type="#_x0000_t202" style="position:absolute;margin-left:101pt;margin-top:7.55pt;width:397pt;height:31pt;z-index:253421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" filled="f" stroked="f" strokeweight=".5pt">
                <v:textbox>
                  <w:txbxContent>
                    <w:p w14:paraId="039AA23B" w14:textId="0F0C8678"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80" w:name="_Toc123204518"/>
                      <w:bookmarkStart w:id="1781" w:name="_Toc123216629"/>
                      <w:bookmarkStart w:id="1782" w:name="_Toc123217469"/>
                      <w:bookmarkStart w:id="1783" w:name="_Toc123828216"/>
                      <w:bookmarkStart w:id="1784" w:name="_Toc123828426"/>
                      <w:bookmarkStart w:id="1785" w:name="_Toc123828622"/>
                      <w:bookmarkStart w:id="1786" w:name="_Toc123912649"/>
                      <w:bookmarkStart w:id="1787" w:name="_Toc123912908"/>
                      <w:bookmarkStart w:id="1788" w:name="_Toc123913135"/>
                      <w:bookmarkStart w:id="1789" w:name="_Toc123913426"/>
                      <w:bookmarkStart w:id="1790" w:name="_Toc123914083"/>
                      <w:bookmarkStart w:id="1791" w:name="_Toc125566698"/>
                      <w:r>
                        <w:rPr>
                          <w:rFonts w:ascii="Arial" w:hAnsi="Arial" w:cs="Arial"/>
                          <w:b/>
                          <w:bCs/>
                          <w:color w:val="FFFFFF" w:themeColor="background1"/>
                          <w:sz w:val="32"/>
                          <w:szCs w:val="32"/>
                          <w:lang w:val="en-US"/>
                        </w:rPr>
                        <w:t>IMF Fiscal Transparency Evaluations</w:t>
                      </w:r>
                      <w:bookmarkEnd w:id="1780"/>
                      <w:bookmarkEnd w:id="1781"/>
                      <w:bookmarkEnd w:id="1782"/>
                      <w:bookmarkEnd w:id="1783"/>
                      <w:bookmarkEnd w:id="1784"/>
                      <w:bookmarkEnd w:id="1785"/>
                      <w:bookmarkEnd w:id="1786"/>
                      <w:bookmarkEnd w:id="1787"/>
                      <w:bookmarkEnd w:id="1788"/>
                      <w:bookmarkEnd w:id="1789"/>
                      <w:bookmarkEnd w:id="1790"/>
                      <w:bookmarkEnd w:id="1791"/>
                    </w:p>
                  </w:txbxContent>
                </v:textbox>
              </v:shape>
            </w:pict>
          </mc:Fallback>
        </mc:AlternateContent>
      </w:r>
      <w:r w:rsidR="00EC137D">
        <w:rPr>
          <w:rFonts w:ascii="Arial" w:hAnsi="Arial" w:cs="Arial"/>
          <w:noProof/>
          <w:sz w:val="24"/>
          <w:szCs w:val="24"/>
          <w:lang w:val="en-US"/>
        </w:rPr>
        <mc:AlternateContent>
          <mc:Choice Requires="wps">
            <w:drawing>
              <wp:anchor distT="0" distB="0" distL="114300" distR="114300" simplePos="0" relativeHeight="253420542" behindDoc="0" locked="0" layoutInCell="1" allowOverlap="1" wp14:anchorId="00AA4E83" wp14:editId="2BADF8BC">
                <wp:simplePos x="0" y="0"/>
                <wp:positionH relativeFrom="column">
                  <wp:posOffset>1079500</wp:posOffset>
                </wp:positionH>
                <wp:positionV relativeFrom="paragraph">
                  <wp:posOffset>32385</wp:posOffset>
                </wp:positionV>
                <wp:extent cx="5549900" cy="520700"/>
                <wp:effectExtent l="0" t="0" r="0" b="0"/>
                <wp:wrapNone/>
                <wp:docPr id="1795" name="Rounded Rectangle 1795"/>
                <wp:cNvGraphicFramePr/>
                <a:graphic xmlns:a="http://schemas.openxmlformats.org/drawingml/2006/main">
                  <a:graphicData uri="http://schemas.microsoft.com/office/word/2010/wordprocessingShape">
                    <wps:wsp>
                      <wps:cNvSpPr/>
                      <wps:spPr>
                        <a:xfrm>
                          <a:off x="0" y="0"/>
                          <a:ext cx="5549900" cy="5207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630767ED" id="Rounded Rectangle 1795" o:spid="_x0000_s1026" style="position:absolute;margin-left:85pt;margin-top:2.55pt;width:437pt;height:41pt;z-index:2534205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" fillcolor="#f9a133" stroked="f" strokeweight="1pt">
                <v:stroke joinstyle="miter"/>
              </v:roundrect>
            </w:pict>
          </mc:Fallback>
        </mc:AlternateContent>
      </w:r>
    </w:p>
    <w:p w14:paraId="316FB8C2" w14:textId="7AD12958" w:rsidR="00EC137D" w:rsidRPr="00EC137D" w:rsidRDefault="00EC137D" w:rsidP="00BD6508">
      <w:pPr>
        <w:rPr>
          <w:rFonts w:ascii="Arial" w:hAnsi="Arial" w:cs="Arial"/>
          <w:sz w:val="24"/>
          <w:szCs w:val="24"/>
        </w:rPr>
      </w:pPr>
    </w:p>
    <w:p w14:paraId="452C16E5" w14:textId="477727D5" w:rsidR="00EC137D" w:rsidRPr="00EC137D" w:rsidRDefault="00EC137D" w:rsidP="00BD6508">
      <w:pPr>
        <w:rPr>
          <w:rFonts w:ascii="Arial" w:hAnsi="Arial" w:cs="Arial"/>
          <w:sz w:val="24"/>
          <w:szCs w:val="24"/>
        </w:rPr>
      </w:pPr>
    </w:p>
    <w:p w14:paraId="413FEBA6" w14:textId="4C400DE7" w:rsidR="00EC137D" w:rsidRPr="00EC137D" w:rsidRDefault="00EC137D" w:rsidP="00BD6508">
      <w:pPr>
        <w:rPr>
          <w:rFonts w:ascii="Arial" w:hAnsi="Arial" w:cs="Arial"/>
          <w:sz w:val="24"/>
          <w:szCs w:val="24"/>
        </w:rPr>
      </w:pPr>
    </w:p>
    <w:p w14:paraId="50624583" w14:textId="65119053" w:rsidR="00EC137D" w:rsidRDefault="00EC137D" w:rsidP="00EC137D">
      <w:pPr>
        <w:rPr>
          <w:rFonts w:ascii="Arial" w:hAnsi="Arial" w:cs="Arial"/>
          <w:sz w:val="24"/>
          <w:szCs w:val="24"/>
        </w:rPr>
      </w:pPr>
    </w:p>
    <w:p w14:paraId="773E5025" w14:textId="1382C9CD" w:rsidR="007B0920" w:rsidRPr="00BD6508" w:rsidRDefault="007B0920" w:rsidP="00BD6508">
      <w:pPr>
        <w:spacing w:line="276" w:lineRule="auto"/>
        <w:jc w:val="both"/>
        <w:rPr>
          <w:rFonts w:ascii="Arial" w:hAnsi="Arial" w:cs="Arial"/>
          <w:sz w:val="24"/>
          <w:szCs w:val="24"/>
        </w:rPr>
      </w:pPr>
      <w:r w:rsidRPr="00BD6508">
        <w:rPr>
          <w:rFonts w:ascii="Arial" w:hAnsi="Arial" w:cs="Arial"/>
          <w:sz w:val="24"/>
          <w:szCs w:val="24"/>
        </w:rPr>
        <w:t>The IMF’s </w:t>
      </w:r>
      <w:hyperlink r:id="rId772" w:history="1">
        <w:r w:rsidRPr="00BD6508">
          <w:rPr>
            <w:rFonts w:ascii="Arial" w:hAnsi="Arial" w:cs="Arial"/>
            <w:color w:val="0563C1" w:themeColor="hyperlink"/>
            <w:sz w:val="24"/>
            <w:szCs w:val="24"/>
            <w:u w:val="single"/>
          </w:rPr>
          <w:t>Fiscal Transparency Code</w:t>
        </w:r>
      </w:hyperlink>
      <w:r w:rsidRPr="00BD6508">
        <w:rPr>
          <w:rFonts w:ascii="Arial" w:hAnsi="Arial" w:cs="Arial"/>
          <w:sz w:val="24"/>
          <w:szCs w:val="24"/>
        </w:rPr>
        <w:t xml:space="preserve"> </w:t>
      </w:r>
      <w:r w:rsidRPr="00BD6508">
        <w:rPr>
          <w:rFonts w:ascii="Arial" w:hAnsi="Arial" w:cs="Arial"/>
          <w:sz w:val="24"/>
          <w:szCs w:val="24"/>
          <w:lang w:val="en-US"/>
        </w:rPr>
        <w:t xml:space="preserve">is an internationally recognized standard for the disclosure of information about public finances and is endorsed by the international membership of the IMF and World Bank under the Standards and Codes Initiative. It comprises a set of principles built around four pillars: fiscal reporting; fiscal forecasting and budgeting; fiscal risk analysis and management; and resource revenue management. </w:t>
      </w:r>
      <w:r w:rsidRPr="00BD6508">
        <w:rPr>
          <w:rFonts w:ascii="Arial" w:hAnsi="Arial" w:cs="Arial"/>
          <w:sz w:val="24"/>
          <w:szCs w:val="24"/>
        </w:rPr>
        <w:t>It was first published in 1998 and subsequently revised and updated in 2007, 2014 and 2019.</w:t>
      </w:r>
    </w:p>
    <w:p w14:paraId="2C959726" w14:textId="2364C018" w:rsidR="007B0920" w:rsidRDefault="00F968AA">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433854" behindDoc="1" locked="0" layoutInCell="1" allowOverlap="1" wp14:anchorId="2B09D27F" wp14:editId="627DD373">
            <wp:simplePos x="0" y="0"/>
            <wp:positionH relativeFrom="column">
              <wp:posOffset>5645785</wp:posOffset>
            </wp:positionH>
            <wp:positionV relativeFrom="paragraph">
              <wp:posOffset>151130</wp:posOffset>
            </wp:positionV>
            <wp:extent cx="863600" cy="701675"/>
            <wp:effectExtent l="0" t="0" r="0" b="0"/>
            <wp:wrapTight wrapText="bothSides">
              <wp:wrapPolygon edited="0">
                <wp:start x="11435" y="391"/>
                <wp:lineTo x="2224" y="3519"/>
                <wp:lineTo x="635" y="4300"/>
                <wp:lineTo x="953" y="19938"/>
                <wp:lineTo x="1588" y="21111"/>
                <wp:lineTo x="18106" y="21111"/>
                <wp:lineTo x="20965" y="10165"/>
                <wp:lineTo x="20012" y="7819"/>
                <wp:lineTo x="18106" y="7428"/>
                <wp:lineTo x="14612" y="3128"/>
                <wp:lineTo x="13024" y="391"/>
                <wp:lineTo x="11435" y="391"/>
              </wp:wrapPolygon>
            </wp:wrapTight>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rotWithShape="1">
                    <a:blip r:embed="rId773" cstate="email">
                      <a:extLst>
                        <a:ext uri="{28A0092B-C50C-407E-A947-70E740481C1C}">
                          <a14:useLocalDpi xmlns:a14="http://schemas.microsoft.com/office/drawing/2010/main"/>
                        </a:ext>
                      </a:extLst>
                    </a:blip>
                    <a:srcRect/>
                    <a:stretch/>
                  </pic:blipFill>
                  <pic:spPr bwMode="auto">
                    <a:xfrm>
                      <a:off x="0" y="0"/>
                      <a:ext cx="863600" cy="701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434878" behindDoc="0" locked="0" layoutInCell="1" allowOverlap="1" wp14:anchorId="7E4D3668" wp14:editId="789A28D8">
                <wp:simplePos x="0" y="0"/>
                <wp:positionH relativeFrom="column">
                  <wp:posOffset>101600</wp:posOffset>
                </wp:positionH>
                <wp:positionV relativeFrom="paragraph">
                  <wp:posOffset>932180</wp:posOffset>
                </wp:positionV>
                <wp:extent cx="832485" cy="291465"/>
                <wp:effectExtent l="0" t="0" r="5715" b="635"/>
                <wp:wrapNone/>
                <wp:docPr id="1447" name="Rounded Rectangle 1447"/>
                <wp:cNvGraphicFramePr/>
                <a:graphic xmlns:a="http://schemas.openxmlformats.org/drawingml/2006/main">
                  <a:graphicData uri="http://schemas.microsoft.com/office/word/2010/wordprocessingShape">
                    <wps:wsp>
                      <wps:cNvSpPr/>
                      <wps:spPr>
                        <a:xfrm>
                          <a:off x="0" y="0"/>
                          <a:ext cx="832485" cy="291465"/>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440BFFD9" id="Rounded Rectangle 1447" o:spid="_x0000_s1026" style="position:absolute;margin-left:8pt;margin-top:73.4pt;width:65.55pt;height:22.95pt;z-index:25343487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" fillcolor="#16988a" stroked="f" strokeweight="1pt">
                <v:stroke joinstyle="miter"/>
              </v:roundrect>
            </w:pict>
          </mc:Fallback>
        </mc:AlternateContent>
      </w:r>
      <w:r>
        <w:rPr>
          <w:rFonts w:ascii="Arial" w:hAnsi="Arial" w:cs="Arial"/>
          <w:noProof/>
          <w:sz w:val="24"/>
          <w:szCs w:val="24"/>
          <w:lang w:val="en-US"/>
        </w:rPr>
        <w:drawing>
          <wp:anchor distT="0" distB="0" distL="114300" distR="114300" simplePos="0" relativeHeight="253430782" behindDoc="1" locked="0" layoutInCell="1" allowOverlap="1" wp14:anchorId="4F676973" wp14:editId="6B2A1FE6">
            <wp:simplePos x="0" y="0"/>
            <wp:positionH relativeFrom="column">
              <wp:posOffset>3881120</wp:posOffset>
            </wp:positionH>
            <wp:positionV relativeFrom="paragraph">
              <wp:posOffset>152400</wp:posOffset>
            </wp:positionV>
            <wp:extent cx="508635" cy="546100"/>
            <wp:effectExtent l="0" t="18732" r="0" b="6033"/>
            <wp:wrapTight wrapText="bothSides">
              <wp:wrapPolygon edited="0">
                <wp:start x="20322" y="4616"/>
                <wp:lineTo x="14529" y="-2079"/>
                <wp:lineTo x="1693" y="7218"/>
                <wp:lineTo x="3076" y="11155"/>
                <wp:lineTo x="454" y="13877"/>
                <wp:lineTo x="1889" y="16003"/>
                <wp:lineTo x="3090" y="15894"/>
                <wp:lineTo x="8243" y="18809"/>
                <wp:lineTo x="15379" y="15224"/>
                <wp:lineTo x="15836" y="14957"/>
                <wp:lineTo x="21758" y="6742"/>
                <wp:lineTo x="20322" y="4616"/>
              </wp:wrapPolygon>
            </wp:wrapTight>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rotWithShape="1">
                    <a:blip r:embed="rId774" cstate="email">
                      <a:extLst>
                        <a:ext uri="{28A0092B-C50C-407E-A947-70E740481C1C}">
                          <a14:useLocalDpi xmlns:a14="http://schemas.microsoft.com/office/drawing/2010/main"/>
                        </a:ext>
                      </a:extLst>
                    </a:blip>
                    <a:srcRect/>
                    <a:stretch/>
                  </pic:blipFill>
                  <pic:spPr bwMode="auto">
                    <a:xfrm rot="18129508">
                      <a:off x="0" y="0"/>
                      <a:ext cx="508635" cy="54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3432830" behindDoc="1" locked="0" layoutInCell="1" allowOverlap="1" wp14:anchorId="1D426F66" wp14:editId="69ACEB99">
            <wp:simplePos x="0" y="0"/>
            <wp:positionH relativeFrom="column">
              <wp:posOffset>4864100</wp:posOffset>
            </wp:positionH>
            <wp:positionV relativeFrom="paragraph">
              <wp:posOffset>144145</wp:posOffset>
            </wp:positionV>
            <wp:extent cx="508635" cy="546100"/>
            <wp:effectExtent l="0" t="0" r="0" b="0"/>
            <wp:wrapTight wrapText="bothSides">
              <wp:wrapPolygon edited="0">
                <wp:start x="9708" y="0"/>
                <wp:lineTo x="539" y="14567"/>
                <wp:lineTo x="9169" y="20093"/>
                <wp:lineTo x="9708" y="21098"/>
                <wp:lineTo x="11865" y="21098"/>
                <wp:lineTo x="21034" y="7033"/>
                <wp:lineTo x="11865" y="0"/>
                <wp:lineTo x="9708" y="0"/>
              </wp:wrapPolygon>
            </wp:wrapTight>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rotWithShape="1">
                    <a:blip r:embed="rId774" cstate="email">
                      <a:extLst>
                        <a:ext uri="{28A0092B-C50C-407E-A947-70E740481C1C}">
                          <a14:useLocalDpi xmlns:a14="http://schemas.microsoft.com/office/drawing/2010/main"/>
                        </a:ext>
                      </a:extLst>
                    </a:blip>
                    <a:srcRect/>
                    <a:stretch/>
                  </pic:blipFill>
                  <pic:spPr bwMode="auto">
                    <a:xfrm>
                      <a:off x="0" y="0"/>
                      <a:ext cx="508635" cy="54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3428734" behindDoc="1" locked="0" layoutInCell="1" allowOverlap="1" wp14:anchorId="032AF342" wp14:editId="29D735C8">
            <wp:simplePos x="0" y="0"/>
            <wp:positionH relativeFrom="column">
              <wp:posOffset>2908300</wp:posOffset>
            </wp:positionH>
            <wp:positionV relativeFrom="paragraph">
              <wp:posOffset>145415</wp:posOffset>
            </wp:positionV>
            <wp:extent cx="508635" cy="546100"/>
            <wp:effectExtent l="0" t="0" r="0" b="0"/>
            <wp:wrapTight wrapText="bothSides">
              <wp:wrapPolygon edited="0">
                <wp:start x="9708" y="0"/>
                <wp:lineTo x="539" y="14567"/>
                <wp:lineTo x="9169" y="20093"/>
                <wp:lineTo x="9708" y="21098"/>
                <wp:lineTo x="11865" y="21098"/>
                <wp:lineTo x="21034" y="7033"/>
                <wp:lineTo x="11865" y="0"/>
                <wp:lineTo x="9708"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rotWithShape="1">
                    <a:blip r:embed="rId774" cstate="email">
                      <a:extLst>
                        <a:ext uri="{28A0092B-C50C-407E-A947-70E740481C1C}">
                          <a14:useLocalDpi xmlns:a14="http://schemas.microsoft.com/office/drawing/2010/main"/>
                        </a:ext>
                      </a:extLst>
                    </a:blip>
                    <a:srcRect/>
                    <a:stretch/>
                  </pic:blipFill>
                  <pic:spPr bwMode="auto">
                    <a:xfrm>
                      <a:off x="0" y="0"/>
                      <a:ext cx="508635" cy="54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3424638" behindDoc="1" locked="0" layoutInCell="1" allowOverlap="1" wp14:anchorId="034FB4A2" wp14:editId="40371465">
            <wp:simplePos x="0" y="0"/>
            <wp:positionH relativeFrom="column">
              <wp:posOffset>1181100</wp:posOffset>
            </wp:positionH>
            <wp:positionV relativeFrom="paragraph">
              <wp:posOffset>144145</wp:posOffset>
            </wp:positionV>
            <wp:extent cx="508635" cy="546100"/>
            <wp:effectExtent l="0" t="0" r="0" b="0"/>
            <wp:wrapTight wrapText="bothSides">
              <wp:wrapPolygon edited="0">
                <wp:start x="9708" y="0"/>
                <wp:lineTo x="539" y="14567"/>
                <wp:lineTo x="9169" y="20093"/>
                <wp:lineTo x="9708" y="21098"/>
                <wp:lineTo x="11865" y="21098"/>
                <wp:lineTo x="21034" y="7033"/>
                <wp:lineTo x="11865" y="0"/>
                <wp:lineTo x="9708"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rotWithShape="1">
                    <a:blip r:embed="rId774" cstate="email">
                      <a:extLst>
                        <a:ext uri="{28A0092B-C50C-407E-A947-70E740481C1C}">
                          <a14:useLocalDpi xmlns:a14="http://schemas.microsoft.com/office/drawing/2010/main"/>
                        </a:ext>
                      </a:extLst>
                    </a:blip>
                    <a:srcRect/>
                    <a:stretch/>
                  </pic:blipFill>
                  <pic:spPr bwMode="auto">
                    <a:xfrm>
                      <a:off x="0" y="0"/>
                      <a:ext cx="508635" cy="54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3426686" behindDoc="1" locked="0" layoutInCell="1" allowOverlap="1" wp14:anchorId="14EFC593" wp14:editId="1C163F42">
            <wp:simplePos x="0" y="0"/>
            <wp:positionH relativeFrom="column">
              <wp:posOffset>2035175</wp:posOffset>
            </wp:positionH>
            <wp:positionV relativeFrom="paragraph">
              <wp:posOffset>240030</wp:posOffset>
            </wp:positionV>
            <wp:extent cx="508635" cy="546100"/>
            <wp:effectExtent l="0" t="18732" r="0" b="6033"/>
            <wp:wrapTight wrapText="bothSides">
              <wp:wrapPolygon edited="0">
                <wp:start x="20322" y="4616"/>
                <wp:lineTo x="14529" y="-2079"/>
                <wp:lineTo x="1693" y="7218"/>
                <wp:lineTo x="3076" y="11155"/>
                <wp:lineTo x="454" y="13877"/>
                <wp:lineTo x="1889" y="16003"/>
                <wp:lineTo x="3090" y="15894"/>
                <wp:lineTo x="8243" y="18809"/>
                <wp:lineTo x="15379" y="15224"/>
                <wp:lineTo x="15836" y="14957"/>
                <wp:lineTo x="21758" y="6742"/>
                <wp:lineTo x="20322" y="4616"/>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rotWithShape="1">
                    <a:blip r:embed="rId774" cstate="email">
                      <a:extLst>
                        <a:ext uri="{28A0092B-C50C-407E-A947-70E740481C1C}">
                          <a14:useLocalDpi xmlns:a14="http://schemas.microsoft.com/office/drawing/2010/main"/>
                        </a:ext>
                      </a:extLst>
                    </a:blip>
                    <a:srcRect/>
                    <a:stretch/>
                  </pic:blipFill>
                  <pic:spPr bwMode="auto">
                    <a:xfrm rot="18129508">
                      <a:off x="0" y="0"/>
                      <a:ext cx="508635" cy="54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w:drawing>
          <wp:anchor distT="0" distB="0" distL="114300" distR="114300" simplePos="0" relativeHeight="253423614" behindDoc="0" locked="0" layoutInCell="1" allowOverlap="1" wp14:anchorId="3E7DF430" wp14:editId="1C859547">
            <wp:simplePos x="0" y="0"/>
            <wp:positionH relativeFrom="column">
              <wp:posOffset>101600</wp:posOffset>
            </wp:positionH>
            <wp:positionV relativeFrom="paragraph">
              <wp:posOffset>144145</wp:posOffset>
            </wp:positionV>
            <wp:extent cx="863600" cy="724535"/>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775" cstate="email">
                      <a:extLst>
                        <a:ext uri="{28A0092B-C50C-407E-A947-70E740481C1C}">
                          <a14:useLocalDpi xmlns:a14="http://schemas.microsoft.com/office/drawing/2010/main"/>
                        </a:ext>
                      </a:extLst>
                    </a:blip>
                    <a:srcRect/>
                    <a:stretch/>
                  </pic:blipFill>
                  <pic:spPr bwMode="auto">
                    <a:xfrm>
                      <a:off x="0" y="0"/>
                      <a:ext cx="863600" cy="724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FAA40D" w14:textId="65633023" w:rsidR="00F968AA" w:rsidRDefault="00F968AA">
      <w:pPr>
        <w:spacing w:line="276" w:lineRule="auto"/>
        <w:jc w:val="both"/>
        <w:rPr>
          <w:rFonts w:ascii="Arial" w:hAnsi="Arial" w:cs="Arial"/>
          <w:sz w:val="24"/>
          <w:szCs w:val="24"/>
        </w:rPr>
      </w:pPr>
    </w:p>
    <w:p w14:paraId="1A3318F4" w14:textId="16A063F2" w:rsidR="00F968AA" w:rsidRPr="00BD6508" w:rsidRDefault="00F968AA" w:rsidP="00BD6508">
      <w:pPr>
        <w:spacing w:line="276" w:lineRule="auto"/>
        <w:jc w:val="both"/>
        <w:rPr>
          <w:rFonts w:ascii="Arial" w:hAnsi="Arial" w:cs="Arial"/>
          <w:sz w:val="24"/>
          <w:szCs w:val="24"/>
        </w:rPr>
      </w:pPr>
    </w:p>
    <w:p w14:paraId="79787344" w14:textId="1756F3E4" w:rsidR="00F968AA" w:rsidRDefault="00F968AA">
      <w:pPr>
        <w:spacing w:line="276" w:lineRule="auto"/>
        <w:jc w:val="both"/>
        <w:rPr>
          <w:rFonts w:ascii="Arial" w:hAnsi="Arial" w:cs="Arial"/>
          <w:sz w:val="24"/>
          <w:szCs w:val="24"/>
        </w:rPr>
      </w:pPr>
    </w:p>
    <w:p w14:paraId="44A11F0E" w14:textId="064EA6C3" w:rsidR="00F968AA" w:rsidRDefault="00F968A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38974" behindDoc="0" locked="0" layoutInCell="1" allowOverlap="1" wp14:anchorId="3EAEB59F" wp14:editId="2798D765">
                <wp:simplePos x="0" y="0"/>
                <wp:positionH relativeFrom="column">
                  <wp:posOffset>5746115</wp:posOffset>
                </wp:positionH>
                <wp:positionV relativeFrom="paragraph">
                  <wp:posOffset>138430</wp:posOffset>
                </wp:positionV>
                <wp:extent cx="660400" cy="291465"/>
                <wp:effectExtent l="0" t="0" r="0" b="0"/>
                <wp:wrapNone/>
                <wp:docPr id="1506" name="Text Box 1506"/>
                <wp:cNvGraphicFramePr/>
                <a:graphic xmlns:a="http://schemas.openxmlformats.org/drawingml/2006/main">
                  <a:graphicData uri="http://schemas.microsoft.com/office/word/2010/wordprocessingShape">
                    <wps:wsp>
                      <wps:cNvSpPr txBox="1"/>
                      <wps:spPr>
                        <a:xfrm>
                          <a:off x="0" y="0"/>
                          <a:ext cx="660400" cy="291465"/>
                        </a:xfrm>
                        <a:prstGeom prst="rect">
                          <a:avLst/>
                        </a:prstGeom>
                        <a:noFill/>
                        <a:ln w="6350">
                          <a:noFill/>
                        </a:ln>
                      </wps:spPr>
                      <wps:txbx>
                        <w:txbxContent>
                          <w:p w14:paraId="6B06FE51" w14:textId="048A5003" w:rsidR="00D15FD8" w:rsidRPr="00BD6508" w:rsidRDefault="00D15FD8" w:rsidP="00BD6508">
                            <w:pPr>
                              <w:jc w:val="center"/>
                              <w:rPr>
                                <w:rFonts w:ascii="Arial" w:hAnsi="Arial" w:cs="Arial"/>
                                <w:b/>
                                <w:bCs/>
                                <w:color w:val="FFFFFF" w:themeColor="background1"/>
                                <w:sz w:val="24"/>
                                <w:szCs w:val="24"/>
                                <w:lang w:val="en-US"/>
                              </w:rPr>
                            </w:pPr>
                            <w:r>
                              <w:rPr>
                                <w:rFonts w:ascii="Arial" w:hAnsi="Arial" w:cs="Arial"/>
                                <w:b/>
                                <w:bCs/>
                                <w:color w:val="FFFFFF" w:themeColor="background1"/>
                                <w:sz w:val="24"/>
                                <w:szCs w:val="24"/>
                                <w:lang w:val="en-US"/>
                              </w:rPr>
                              <w:t>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AEB59F" id="Text Box 1506" o:spid="_x0000_s1445" type="#_x0000_t202" style="position:absolute;left:0;text-align:left;margin-left:452.45pt;margin-top:10.9pt;width:52pt;height:22.95pt;z-index:2534389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" filled="f" stroked="f" strokeweight=".5pt">
                <v:textbox>
                  <w:txbxContent>
                    <w:p w14:paraId="6B06FE51" w14:textId="048A5003" w:rsidR="00D15FD8" w:rsidRPr="00BD6508" w:rsidRDefault="00D15FD8" w:rsidP="00BD6508">
                      <w:pPr>
                        <w:jc w:val="center"/>
                        <w:rPr>
                          <w:rFonts w:ascii="Arial" w:hAnsi="Arial" w:cs="Arial"/>
                          <w:b/>
                          <w:bCs/>
                          <w:color w:val="FFFFFF" w:themeColor="background1"/>
                          <w:sz w:val="24"/>
                          <w:szCs w:val="24"/>
                          <w:lang w:val="en-US"/>
                        </w:rPr>
                      </w:pPr>
                      <w:r>
                        <w:rPr>
                          <w:rFonts w:ascii="Arial" w:hAnsi="Arial" w:cs="Arial"/>
                          <w:b/>
                          <w:bCs/>
                          <w:color w:val="FFFFFF" w:themeColor="background1"/>
                          <w:sz w:val="24"/>
                          <w:szCs w:val="24"/>
                          <w:lang w:val="en-US"/>
                        </w:rPr>
                        <w:t>2011</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437950" behindDoc="0" locked="0" layoutInCell="1" allowOverlap="1" wp14:anchorId="7776C034" wp14:editId="7D30AE85">
                <wp:simplePos x="0" y="0"/>
                <wp:positionH relativeFrom="column">
                  <wp:posOffset>5669915</wp:posOffset>
                </wp:positionH>
                <wp:positionV relativeFrom="paragraph">
                  <wp:posOffset>113665</wp:posOffset>
                </wp:positionV>
                <wp:extent cx="832485" cy="291465"/>
                <wp:effectExtent l="0" t="0" r="5715" b="635"/>
                <wp:wrapNone/>
                <wp:docPr id="1505" name="Rounded Rectangle 1505"/>
                <wp:cNvGraphicFramePr/>
                <a:graphic xmlns:a="http://schemas.openxmlformats.org/drawingml/2006/main">
                  <a:graphicData uri="http://schemas.microsoft.com/office/word/2010/wordprocessingShape">
                    <wps:wsp>
                      <wps:cNvSpPr/>
                      <wps:spPr>
                        <a:xfrm>
                          <a:off x="0" y="0"/>
                          <a:ext cx="832485" cy="291465"/>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2B8861ED" id="Rounded Rectangle 1505" o:spid="_x0000_s1026" style="position:absolute;margin-left:446.45pt;margin-top:8.95pt;width:65.55pt;height:22.95pt;z-index:25343795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" fillcolor="#16988a" stroked="f" strokeweight="1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435902" behindDoc="0" locked="0" layoutInCell="1" allowOverlap="1" wp14:anchorId="480C32F7" wp14:editId="26C76875">
                <wp:simplePos x="0" y="0"/>
                <wp:positionH relativeFrom="column">
                  <wp:posOffset>177800</wp:posOffset>
                </wp:positionH>
                <wp:positionV relativeFrom="paragraph">
                  <wp:posOffset>150495</wp:posOffset>
                </wp:positionV>
                <wp:extent cx="660400" cy="291465"/>
                <wp:effectExtent l="0" t="0" r="0" b="0"/>
                <wp:wrapNone/>
                <wp:docPr id="1496" name="Text Box 1496"/>
                <wp:cNvGraphicFramePr/>
                <a:graphic xmlns:a="http://schemas.openxmlformats.org/drawingml/2006/main">
                  <a:graphicData uri="http://schemas.microsoft.com/office/word/2010/wordprocessingShape">
                    <wps:wsp>
                      <wps:cNvSpPr txBox="1"/>
                      <wps:spPr>
                        <a:xfrm>
                          <a:off x="0" y="0"/>
                          <a:ext cx="660400" cy="291465"/>
                        </a:xfrm>
                        <a:prstGeom prst="rect">
                          <a:avLst/>
                        </a:prstGeom>
                        <a:noFill/>
                        <a:ln w="6350">
                          <a:noFill/>
                        </a:ln>
                      </wps:spPr>
                      <wps:txbx>
                        <w:txbxContent>
                          <w:p w14:paraId="42E48536" w14:textId="7DAC01B1" w:rsidR="00D15FD8" w:rsidRPr="00BD6508" w:rsidRDefault="00D15FD8" w:rsidP="00BD6508">
                            <w:pPr>
                              <w:jc w:val="center"/>
                              <w:rPr>
                                <w:rFonts w:ascii="Arial" w:hAnsi="Arial" w:cs="Arial"/>
                                <w:b/>
                                <w:bCs/>
                                <w:color w:val="FFFFFF" w:themeColor="background1"/>
                                <w:sz w:val="24"/>
                                <w:szCs w:val="24"/>
                                <w:lang w:val="en-US"/>
                              </w:rPr>
                            </w:pPr>
                            <w:r w:rsidRPr="00BD6508">
                              <w:rPr>
                                <w:rFonts w:ascii="Arial" w:hAnsi="Arial" w:cs="Arial"/>
                                <w:b/>
                                <w:bCs/>
                                <w:color w:val="FFFFFF" w:themeColor="background1"/>
                                <w:sz w:val="24"/>
                                <w:szCs w:val="24"/>
                                <w:lang w:val="en-US"/>
                              </w:rPr>
                              <w:t>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0C32F7" id="Text Box 1496" o:spid="_x0000_s1446" type="#_x0000_t202" style="position:absolute;left:0;text-align:left;margin-left:14pt;margin-top:11.85pt;width:52pt;height:22.95pt;z-index:2534359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" filled="f" stroked="f" strokeweight=".5pt">
                <v:textbox>
                  <w:txbxContent>
                    <w:p w14:paraId="42E48536" w14:textId="7DAC01B1" w:rsidR="00D15FD8" w:rsidRPr="00BD6508" w:rsidRDefault="00D15FD8" w:rsidP="00BD6508">
                      <w:pPr>
                        <w:jc w:val="center"/>
                        <w:rPr>
                          <w:rFonts w:ascii="Arial" w:hAnsi="Arial" w:cs="Arial"/>
                          <w:b/>
                          <w:bCs/>
                          <w:color w:val="FFFFFF" w:themeColor="background1"/>
                          <w:sz w:val="24"/>
                          <w:szCs w:val="24"/>
                          <w:lang w:val="en-US"/>
                        </w:rPr>
                      </w:pPr>
                      <w:r w:rsidRPr="00BD6508">
                        <w:rPr>
                          <w:rFonts w:ascii="Arial" w:hAnsi="Arial" w:cs="Arial"/>
                          <w:b/>
                          <w:bCs/>
                          <w:color w:val="FFFFFF" w:themeColor="background1"/>
                          <w:sz w:val="24"/>
                          <w:szCs w:val="24"/>
                          <w:lang w:val="en-US"/>
                        </w:rPr>
                        <w:t>1999</w:t>
                      </w:r>
                    </w:p>
                  </w:txbxContent>
                </v:textbox>
              </v:shape>
            </w:pict>
          </mc:Fallback>
        </mc:AlternateContent>
      </w:r>
    </w:p>
    <w:p w14:paraId="5B794897" w14:textId="79D9F7DF" w:rsidR="00F968AA" w:rsidRDefault="00F968A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55154" behindDoc="0" locked="0" layoutInCell="1" allowOverlap="1" wp14:anchorId="3A071CEC" wp14:editId="049D7A60">
                <wp:simplePos x="0" y="0"/>
                <wp:positionH relativeFrom="column">
                  <wp:posOffset>838200</wp:posOffset>
                </wp:positionH>
                <wp:positionV relativeFrom="paragraph">
                  <wp:posOffset>76200</wp:posOffset>
                </wp:positionV>
                <wp:extent cx="4902200" cy="0"/>
                <wp:effectExtent l="0" t="12700" r="12700" b="12700"/>
                <wp:wrapNone/>
                <wp:docPr id="1507" name="Straight Connector 1507"/>
                <wp:cNvGraphicFramePr/>
                <a:graphic xmlns:a="http://schemas.openxmlformats.org/drawingml/2006/main">
                  <a:graphicData uri="http://schemas.microsoft.com/office/word/2010/wordprocessingShape">
                    <wps:wsp>
                      <wps:cNvCnPr/>
                      <wps:spPr>
                        <a:xfrm>
                          <a:off x="0" y="0"/>
                          <a:ext cx="4902200" cy="0"/>
                        </a:xfrm>
                        <a:prstGeom prst="line">
                          <a:avLst/>
                        </a:prstGeom>
                        <a:ln w="28575">
                          <a:solidFill>
                            <a:srgbClr val="69557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779C3D8F" id="Straight Connector 1507" o:spid="_x0000_s1026" style="position:absolute;z-index:251655154;visibility:visible;mso-wrap-style:square;mso-wrap-distance-left:9pt;mso-wrap-distance-top:0;mso-wrap-distance-right:9pt;mso-wrap-distance-bottom:0;mso-position-horizontal:absolute;mso-position-horizontal-relative:text;mso-position-vertical:absolute;mso-position-vertical-relative:text" from="66pt,6pt" to="45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" strokecolor="#69557f" strokeweight="2.25pt">
                <v:stroke joinstyle="miter"/>
              </v:line>
            </w:pict>
          </mc:Fallback>
        </mc:AlternateContent>
      </w:r>
    </w:p>
    <w:p w14:paraId="7CDADC9B" w14:textId="77777777" w:rsidR="00F968AA" w:rsidRDefault="00F968AA">
      <w:pPr>
        <w:spacing w:line="276" w:lineRule="auto"/>
        <w:jc w:val="both"/>
        <w:rPr>
          <w:rFonts w:ascii="Arial" w:hAnsi="Arial" w:cs="Arial"/>
          <w:sz w:val="24"/>
          <w:szCs w:val="24"/>
        </w:rPr>
      </w:pPr>
    </w:p>
    <w:p w14:paraId="01D46274" w14:textId="69E738F7" w:rsidR="007B0920" w:rsidRPr="00BD6508" w:rsidRDefault="007B0920" w:rsidP="00BD6508">
      <w:pPr>
        <w:spacing w:line="276" w:lineRule="auto"/>
        <w:jc w:val="both"/>
        <w:rPr>
          <w:rFonts w:ascii="Arial" w:hAnsi="Arial" w:cs="Arial"/>
          <w:sz w:val="24"/>
          <w:szCs w:val="24"/>
        </w:rPr>
      </w:pPr>
      <w:r w:rsidRPr="00BD6508">
        <w:rPr>
          <w:rFonts w:ascii="Arial" w:hAnsi="Arial" w:cs="Arial"/>
          <w:sz w:val="24"/>
          <w:szCs w:val="24"/>
        </w:rPr>
        <w:t>From 1999 to 2011, the IMF published assessments of fiscal transparency laws and practices against requirements in the 1998 and 2007 Codes, known as ROSCs (Reports on the Observance of Standards and Codes).</w:t>
      </w:r>
      <w:r w:rsidR="009A2837">
        <w:rPr>
          <w:rFonts w:ascii="Arial" w:hAnsi="Arial" w:cs="Arial"/>
          <w:noProof/>
          <w:sz w:val="24"/>
          <w:szCs w:val="24"/>
          <w:lang w:val="en-US"/>
        </w:rPr>
        <w:drawing>
          <wp:anchor distT="0" distB="0" distL="114300" distR="114300" simplePos="0" relativeHeight="253439998" behindDoc="0" locked="0" layoutInCell="1" allowOverlap="1" wp14:anchorId="49D1699A" wp14:editId="6FDD0CF8">
            <wp:simplePos x="0" y="0"/>
            <wp:positionH relativeFrom="column">
              <wp:posOffset>0</wp:posOffset>
            </wp:positionH>
            <wp:positionV relativeFrom="paragraph">
              <wp:posOffset>186055</wp:posOffset>
            </wp:positionV>
            <wp:extent cx="1679575" cy="1841500"/>
            <wp:effectExtent l="0" t="0" r="0" b="0"/>
            <wp:wrapSquare wrapText="bothSides"/>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Picture 1524"/>
                    <pic:cNvPicPr/>
                  </pic:nvPicPr>
                  <pic:blipFill rotWithShape="1">
                    <a:blip r:embed="rId776" cstate="email">
                      <a:extLst>
                        <a:ext uri="{28A0092B-C50C-407E-A947-70E740481C1C}">
                          <a14:useLocalDpi xmlns:a14="http://schemas.microsoft.com/office/drawing/2010/main"/>
                        </a:ext>
                      </a:extLst>
                    </a:blip>
                    <a:srcRect/>
                    <a:stretch/>
                  </pic:blipFill>
                  <pic:spPr bwMode="auto">
                    <a:xfrm>
                      <a:off x="0" y="0"/>
                      <a:ext cx="1679575" cy="184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10AD">
        <w:rPr>
          <w:rFonts w:ascii="Arial" w:hAnsi="Arial" w:cs="Arial"/>
          <w:sz w:val="24"/>
          <w:szCs w:val="24"/>
        </w:rPr>
        <w:t xml:space="preserve"> </w:t>
      </w:r>
      <w:r w:rsidRPr="00BD6508">
        <w:rPr>
          <w:rFonts w:ascii="Arial" w:hAnsi="Arial" w:cs="Arial"/>
          <w:sz w:val="24"/>
          <w:szCs w:val="24"/>
        </w:rPr>
        <w:t xml:space="preserve">For these reports, the IMF recognized 12 areas and associated standards as useful for the operational work of the Fund and the World Bank, including one that focused on fiscal transparency. Reports summarizing countries' observance of these standards were prepared and published at the request of the IMF member country. They were used to help sharpen the institutions' policy discussions with national authorities, and in the private sector, including rating agencies for risk assessment. The ROSCs for over 90 countries can be accessed on the IMF’s </w:t>
      </w:r>
      <w:hyperlink r:id="rId777" w:history="1">
        <w:r w:rsidRPr="00BD6508">
          <w:rPr>
            <w:rStyle w:val="Hyperlink"/>
            <w:rFonts w:ascii="Arial" w:hAnsi="Arial" w:cs="Arial"/>
            <w:sz w:val="24"/>
            <w:szCs w:val="24"/>
          </w:rPr>
          <w:t>website</w:t>
        </w:r>
      </w:hyperlink>
      <w:r w:rsidRPr="00BD6508">
        <w:rPr>
          <w:rFonts w:ascii="Arial" w:hAnsi="Arial" w:cs="Arial"/>
          <w:sz w:val="24"/>
          <w:szCs w:val="24"/>
        </w:rPr>
        <w:t>.</w:t>
      </w:r>
    </w:p>
    <w:p w14:paraId="4BD1A0DB" w14:textId="77777777" w:rsidR="007B0920" w:rsidRPr="00BD6508" w:rsidRDefault="007B0920" w:rsidP="00BD6508">
      <w:pPr>
        <w:spacing w:line="276" w:lineRule="auto"/>
        <w:rPr>
          <w:rFonts w:ascii="Arial" w:hAnsi="Arial" w:cs="Arial"/>
          <w:sz w:val="24"/>
          <w:szCs w:val="24"/>
        </w:rPr>
      </w:pPr>
    </w:p>
    <w:p w14:paraId="4414CB8D" w14:textId="77777777" w:rsidR="007B0920" w:rsidRPr="00BD6508" w:rsidRDefault="007B0920" w:rsidP="00BD6508">
      <w:pPr>
        <w:spacing w:line="276" w:lineRule="auto"/>
        <w:jc w:val="both"/>
        <w:rPr>
          <w:rFonts w:ascii="Arial" w:hAnsi="Arial" w:cs="Arial"/>
          <w:sz w:val="24"/>
          <w:szCs w:val="24"/>
          <w:lang w:val="en-US"/>
        </w:rPr>
      </w:pPr>
      <w:r w:rsidRPr="00BD6508">
        <w:rPr>
          <w:rFonts w:ascii="Arial" w:hAnsi="Arial" w:cs="Arial"/>
          <w:sz w:val="24"/>
          <w:szCs w:val="24"/>
        </w:rPr>
        <w:t xml:space="preserve">In the wake of the global financial crisis, the IMF overhauled the Code in 2014 to advance international fiscal transparency standards and monitoring arrangements and to further integrate resource revenue management issues in 2019. Assessments conducted against these later versions of the Fiscal Transparency Code are referred to as Fiscal Transparency Evaluations (FTEs). </w:t>
      </w:r>
      <w:r w:rsidRPr="00BD6508">
        <w:rPr>
          <w:rFonts w:ascii="Arial" w:hAnsi="Arial" w:cs="Arial"/>
          <w:sz w:val="24"/>
          <w:szCs w:val="24"/>
          <w:lang w:val="en-US"/>
        </w:rPr>
        <w:t>They provide countries with:</w:t>
      </w:r>
    </w:p>
    <w:p w14:paraId="6CD1B078" w14:textId="668141B2" w:rsidR="007B0920" w:rsidRPr="00BD6508" w:rsidRDefault="007B0920" w:rsidP="00BD6508">
      <w:pPr>
        <w:pStyle w:val="ListParagraph"/>
        <w:numPr>
          <w:ilvl w:val="0"/>
          <w:numId w:val="113"/>
        </w:numPr>
        <w:spacing w:line="276" w:lineRule="auto"/>
        <w:jc w:val="both"/>
        <w:rPr>
          <w:rFonts w:ascii="Arial" w:hAnsi="Arial" w:cs="Arial"/>
          <w:sz w:val="24"/>
          <w:szCs w:val="24"/>
          <w:u w:val="single"/>
        </w:rPr>
      </w:pPr>
      <w:r w:rsidRPr="00BD6508">
        <w:rPr>
          <w:rFonts w:ascii="Arial" w:hAnsi="Arial" w:cs="Arial"/>
          <w:sz w:val="24"/>
          <w:szCs w:val="24"/>
        </w:rPr>
        <w:t xml:space="preserve">a </w:t>
      </w:r>
      <w:r w:rsidRPr="00BD6508">
        <w:rPr>
          <w:rFonts w:ascii="Arial" w:hAnsi="Arial" w:cs="Arial"/>
          <w:sz w:val="24"/>
          <w:szCs w:val="24"/>
          <w:lang w:val="en-ZA"/>
        </w:rPr>
        <w:t>comprehensive assessment of their fiscal transparency practices against the various standards set by the Code</w:t>
      </w:r>
      <w:r w:rsidRPr="00BD6508">
        <w:rPr>
          <w:rFonts w:ascii="Arial" w:hAnsi="Arial" w:cs="Arial"/>
          <w:sz w:val="24"/>
          <w:szCs w:val="24"/>
        </w:rPr>
        <w:t xml:space="preserve">; </w:t>
      </w:r>
    </w:p>
    <w:p w14:paraId="436BDA0A" w14:textId="77777777" w:rsidR="007B0920" w:rsidRPr="00BD6508" w:rsidRDefault="007B0920" w:rsidP="00BD6508">
      <w:pPr>
        <w:pStyle w:val="ListParagraph"/>
        <w:numPr>
          <w:ilvl w:val="0"/>
          <w:numId w:val="113"/>
        </w:numPr>
        <w:spacing w:line="276" w:lineRule="auto"/>
        <w:jc w:val="both"/>
        <w:rPr>
          <w:rFonts w:ascii="Arial" w:hAnsi="Arial" w:cs="Arial"/>
          <w:sz w:val="24"/>
          <w:szCs w:val="24"/>
          <w:u w:val="single"/>
        </w:rPr>
      </w:pPr>
      <w:r w:rsidRPr="00BD6508">
        <w:rPr>
          <w:rFonts w:ascii="Arial" w:hAnsi="Arial" w:cs="Arial"/>
          <w:sz w:val="24"/>
          <w:szCs w:val="24"/>
          <w:lang w:val="en-ZA"/>
        </w:rPr>
        <w:t>a rigorous and quantified analysis of the scale and sources of fiscal vulnerabilities, including measures of the coverage of fiscal reports, the quality of fiscal forecasts, and the size of unreported contingent liabilities</w:t>
      </w:r>
      <w:r w:rsidRPr="00BD6508">
        <w:rPr>
          <w:rFonts w:ascii="Arial" w:hAnsi="Arial" w:cs="Arial"/>
          <w:sz w:val="24"/>
          <w:szCs w:val="24"/>
        </w:rPr>
        <w:t xml:space="preserve">; </w:t>
      </w:r>
    </w:p>
    <w:p w14:paraId="1B988195" w14:textId="72176B21" w:rsidR="007B0920" w:rsidRPr="00BD6508" w:rsidRDefault="007B0920" w:rsidP="00BD6508">
      <w:pPr>
        <w:pStyle w:val="ListParagraph"/>
        <w:numPr>
          <w:ilvl w:val="0"/>
          <w:numId w:val="113"/>
        </w:numPr>
        <w:spacing w:line="276" w:lineRule="auto"/>
        <w:jc w:val="both"/>
        <w:rPr>
          <w:rFonts w:ascii="Arial" w:hAnsi="Arial" w:cs="Arial"/>
          <w:sz w:val="24"/>
          <w:szCs w:val="24"/>
          <w:u w:val="single"/>
        </w:rPr>
      </w:pPr>
      <w:r w:rsidRPr="00BD6508">
        <w:rPr>
          <w:rFonts w:ascii="Arial" w:hAnsi="Arial" w:cs="Arial"/>
          <w:sz w:val="24"/>
          <w:szCs w:val="24"/>
          <w:lang w:val="en-ZA"/>
        </w:rPr>
        <w:t xml:space="preserve">an accessible summary of the strengths and weaknesses of country practices related to fiscal transparency and their relative importance. This is achieved through a set of </w:t>
      </w:r>
      <w:proofErr w:type="gramStart"/>
      <w:r w:rsidRPr="00BD6508">
        <w:rPr>
          <w:rFonts w:ascii="Arial" w:hAnsi="Arial" w:cs="Arial"/>
          <w:sz w:val="24"/>
          <w:szCs w:val="24"/>
          <w:lang w:val="en-ZA"/>
        </w:rPr>
        <w:t>summary</w:t>
      </w:r>
      <w:proofErr w:type="gramEnd"/>
      <w:r w:rsidRPr="00BD6508">
        <w:rPr>
          <w:rFonts w:ascii="Arial" w:hAnsi="Arial" w:cs="Arial"/>
          <w:sz w:val="24"/>
          <w:szCs w:val="24"/>
          <w:lang w:val="en-ZA"/>
        </w:rPr>
        <w:t xml:space="preserve"> “heatmaps,” which facilitate benchmarking against comparator countries, the identification of reform needs, and the prioritization of recommendations</w:t>
      </w:r>
      <w:r w:rsidRPr="00BD6508">
        <w:rPr>
          <w:rFonts w:ascii="Arial" w:hAnsi="Arial" w:cs="Arial"/>
          <w:sz w:val="24"/>
          <w:szCs w:val="24"/>
        </w:rPr>
        <w:t xml:space="preserve">; and </w:t>
      </w:r>
    </w:p>
    <w:p w14:paraId="44B003B3" w14:textId="59F81D7C" w:rsidR="007B0920" w:rsidRPr="00BD6508" w:rsidRDefault="007B0920" w:rsidP="00BD6508">
      <w:pPr>
        <w:pStyle w:val="ListParagraph"/>
        <w:numPr>
          <w:ilvl w:val="0"/>
          <w:numId w:val="113"/>
        </w:numPr>
        <w:spacing w:line="276" w:lineRule="auto"/>
        <w:jc w:val="both"/>
        <w:rPr>
          <w:rFonts w:ascii="Arial" w:hAnsi="Arial" w:cs="Arial"/>
          <w:sz w:val="24"/>
          <w:szCs w:val="24"/>
          <w:u w:val="single"/>
        </w:rPr>
      </w:pPr>
      <w:r w:rsidRPr="00BD6508">
        <w:rPr>
          <w:rFonts w:ascii="Arial" w:hAnsi="Arial" w:cs="Arial"/>
          <w:sz w:val="24"/>
          <w:szCs w:val="24"/>
          <w:lang w:val="en-ZA"/>
        </w:rPr>
        <w:lastRenderedPageBreak/>
        <w:t>an optional sequenced action plan to help define reform priorities designed to address the main shortcomings in fiscal transparency</w:t>
      </w:r>
      <w:r w:rsidRPr="00BD6508">
        <w:rPr>
          <w:rFonts w:ascii="Arial" w:hAnsi="Arial" w:cs="Arial"/>
          <w:sz w:val="24"/>
          <w:szCs w:val="24"/>
        </w:rPr>
        <w:t>.</w:t>
      </w:r>
    </w:p>
    <w:p w14:paraId="2F8ACA50" w14:textId="79F9B4A3" w:rsidR="007B0920" w:rsidRPr="00BD6508" w:rsidRDefault="007B0920" w:rsidP="00BD6508">
      <w:pPr>
        <w:spacing w:line="276" w:lineRule="auto"/>
        <w:jc w:val="both"/>
        <w:rPr>
          <w:rFonts w:ascii="Arial" w:hAnsi="Arial" w:cs="Arial"/>
          <w:sz w:val="24"/>
          <w:szCs w:val="24"/>
        </w:rPr>
      </w:pPr>
    </w:p>
    <w:p w14:paraId="7A802232" w14:textId="3076F0D8" w:rsidR="007B0920" w:rsidRDefault="007B0920">
      <w:pPr>
        <w:spacing w:line="276" w:lineRule="auto"/>
        <w:jc w:val="both"/>
        <w:rPr>
          <w:rFonts w:ascii="Arial" w:hAnsi="Arial" w:cs="Arial"/>
          <w:sz w:val="24"/>
          <w:szCs w:val="24"/>
        </w:rPr>
      </w:pPr>
      <w:r w:rsidRPr="00BD6508">
        <w:rPr>
          <w:rFonts w:ascii="Arial" w:hAnsi="Arial" w:cs="Arial"/>
          <w:sz w:val="24"/>
          <w:szCs w:val="24"/>
        </w:rPr>
        <w:t xml:space="preserve">FTEs are carried out at the request of governments and form part of the IMF’s policy dialogue and capacity-building efforts with its member countries. </w:t>
      </w:r>
      <w:r w:rsidRPr="00BD6508">
        <w:rPr>
          <w:rFonts w:ascii="Arial" w:hAnsi="Arial" w:cs="Arial"/>
          <w:sz w:val="24"/>
          <w:szCs w:val="24"/>
          <w:lang w:val="en-US"/>
        </w:rPr>
        <w:t>FTEs are country specific, taking into account individual country capacities, and focus on outputs rather than processes, leading to the clear identification of reform priorities. They support the identification of fiscal transparency strengths, weaknesses, and challenges as well as the prioritization and delivery of technical assistance by the IMF and other development partners. They place greater emphasis on fiscal transparency issues that are macro-critical and complement other public financial management standards and frameworks that might cover some elements of fiscal transparency.</w:t>
      </w:r>
      <w:r w:rsidRPr="00BD6508">
        <w:rPr>
          <w:rFonts w:ascii="Arial" w:eastAsia="Arial" w:hAnsi="Arial" w:cs="Arial"/>
          <w:sz w:val="24"/>
          <w:szCs w:val="24"/>
          <w:lang w:val="en-US" w:eastAsia="zh-CN"/>
        </w:rPr>
        <w:t xml:space="preserve"> </w:t>
      </w:r>
      <w:r w:rsidRPr="00BD6508">
        <w:rPr>
          <w:rFonts w:ascii="Arial" w:hAnsi="Arial" w:cs="Arial"/>
          <w:sz w:val="24"/>
          <w:szCs w:val="24"/>
          <w:lang w:val="en-US"/>
        </w:rPr>
        <w:t xml:space="preserve">Their limitation is that they do not </w:t>
      </w:r>
      <w:r w:rsidRPr="00BD6508">
        <w:rPr>
          <w:rFonts w:ascii="Arial" w:hAnsi="Arial" w:cs="Arial"/>
          <w:sz w:val="24"/>
          <w:szCs w:val="24"/>
          <w:lang w:val="en-ZA"/>
        </w:rPr>
        <w:t>evaluate internal management processes and outputs at the micro level.</w:t>
      </w:r>
      <w:r w:rsidRPr="00BD6508">
        <w:rPr>
          <w:rFonts w:ascii="Arial" w:hAnsi="Arial" w:cs="Arial"/>
          <w:sz w:val="24"/>
          <w:szCs w:val="24"/>
          <w:lang w:val="en-US"/>
        </w:rPr>
        <w:t xml:space="preserve"> </w:t>
      </w:r>
      <w:r w:rsidRPr="00BD6508">
        <w:rPr>
          <w:rFonts w:ascii="Arial" w:hAnsi="Arial" w:cs="Arial"/>
          <w:sz w:val="24"/>
          <w:szCs w:val="24"/>
        </w:rPr>
        <w:t xml:space="preserve">FTEs can be found on the IMF’s </w:t>
      </w:r>
      <w:hyperlink r:id="rId778" w:history="1">
        <w:r w:rsidRPr="00BD6508">
          <w:rPr>
            <w:rStyle w:val="Hyperlink"/>
            <w:rFonts w:ascii="Arial" w:hAnsi="Arial" w:cs="Arial"/>
            <w:sz w:val="24"/>
            <w:szCs w:val="24"/>
          </w:rPr>
          <w:t>website</w:t>
        </w:r>
      </w:hyperlink>
      <w:r w:rsidRPr="00BD6508">
        <w:rPr>
          <w:rFonts w:ascii="Arial" w:hAnsi="Arial" w:cs="Arial"/>
          <w:sz w:val="24"/>
          <w:szCs w:val="24"/>
        </w:rPr>
        <w:t>.</w:t>
      </w:r>
    </w:p>
    <w:p w14:paraId="5E026323" w14:textId="77777777" w:rsidR="009A2837" w:rsidRDefault="009A2837">
      <w:pPr>
        <w:spacing w:line="276" w:lineRule="auto"/>
        <w:jc w:val="both"/>
        <w:rPr>
          <w:rFonts w:ascii="Arial" w:hAnsi="Arial" w:cs="Arial"/>
          <w:sz w:val="24"/>
          <w:szCs w:val="24"/>
        </w:rPr>
      </w:pPr>
    </w:p>
    <w:p w14:paraId="1EED62DD" w14:textId="59C11F46" w:rsidR="009A2837" w:rsidRDefault="00A655E7">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43070" behindDoc="0" locked="0" layoutInCell="1" allowOverlap="1" wp14:anchorId="265FB49E" wp14:editId="0D3BFCD2">
                <wp:simplePos x="0" y="0"/>
                <wp:positionH relativeFrom="column">
                  <wp:posOffset>1079500</wp:posOffset>
                </wp:positionH>
                <wp:positionV relativeFrom="paragraph">
                  <wp:posOffset>196215</wp:posOffset>
                </wp:positionV>
                <wp:extent cx="5549900" cy="723900"/>
                <wp:effectExtent l="0" t="0" r="0" b="0"/>
                <wp:wrapNone/>
                <wp:docPr id="1534" name="Rounded Rectangle 1534"/>
                <wp:cNvGraphicFramePr/>
                <a:graphic xmlns:a="http://schemas.openxmlformats.org/drawingml/2006/main">
                  <a:graphicData uri="http://schemas.microsoft.com/office/word/2010/wordprocessingShape">
                    <wps:wsp>
                      <wps:cNvSpPr/>
                      <wps:spPr>
                        <a:xfrm>
                          <a:off x="0" y="0"/>
                          <a:ext cx="5549900" cy="7239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36DA479" id="Rounded Rectangle 1534" o:spid="_x0000_s1026" style="position:absolute;margin-left:85pt;margin-top:15.45pt;width:437pt;height:57pt;z-index:253443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" fillcolor="#f9a133" stroked="f" strokeweight="1pt">
                <v:stroke joinstyle="miter"/>
              </v:roundrect>
            </w:pict>
          </mc:Fallback>
        </mc:AlternateContent>
      </w:r>
      <w:r w:rsidR="009A2837">
        <w:rPr>
          <w:rFonts w:ascii="Arial" w:hAnsi="Arial" w:cs="Arial"/>
          <w:noProof/>
          <w:sz w:val="24"/>
          <w:szCs w:val="24"/>
          <w:lang w:val="en-US"/>
        </w:rPr>
        <w:drawing>
          <wp:anchor distT="0" distB="0" distL="114300" distR="114300" simplePos="0" relativeHeight="253445118" behindDoc="0" locked="0" layoutInCell="1" allowOverlap="1" wp14:anchorId="0F1AAAC7" wp14:editId="2FF60C20">
            <wp:simplePos x="0" y="0"/>
            <wp:positionH relativeFrom="column">
              <wp:posOffset>38100</wp:posOffset>
            </wp:positionH>
            <wp:positionV relativeFrom="paragraph">
              <wp:posOffset>92710</wp:posOffset>
            </wp:positionV>
            <wp:extent cx="914400" cy="914400"/>
            <wp:effectExtent l="0" t="0" r="0" b="0"/>
            <wp:wrapThrough wrapText="bothSides">
              <wp:wrapPolygon edited="0">
                <wp:start x="8400" y="0"/>
                <wp:lineTo x="6000" y="600"/>
                <wp:lineTo x="1200" y="3900"/>
                <wp:lineTo x="0" y="8100"/>
                <wp:lineTo x="0" y="12600"/>
                <wp:lineTo x="300" y="15000"/>
                <wp:lineTo x="3900" y="19500"/>
                <wp:lineTo x="7800" y="21300"/>
                <wp:lineTo x="8400" y="21300"/>
                <wp:lineTo x="12900" y="21300"/>
                <wp:lineTo x="13500" y="21300"/>
                <wp:lineTo x="18000" y="19200"/>
                <wp:lineTo x="21000" y="15000"/>
                <wp:lineTo x="21300" y="12600"/>
                <wp:lineTo x="21300" y="8100"/>
                <wp:lineTo x="20400" y="3900"/>
                <wp:lineTo x="15000" y="600"/>
                <wp:lineTo x="12900" y="0"/>
                <wp:lineTo x="8400" y="0"/>
              </wp:wrapPolygon>
            </wp:wrapThrough>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Picture 1603"/>
                    <pic:cNvPicPr/>
                  </pic:nvPicPr>
                  <pic:blipFill>
                    <a:blip r:embed="rId779" cstate="email">
                      <a:extLst>
                        <a:ext uri="{28A0092B-C50C-407E-A947-70E740481C1C}">
                          <a14:useLocalDpi xmlns:a14="http://schemas.microsoft.com/office/drawing/2010/main"/>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6FA072EE" w14:textId="6EB2BB1C" w:rsidR="009A2837" w:rsidRPr="00BD6508" w:rsidRDefault="009A2837" w:rsidP="00BD6508">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44094" behindDoc="0" locked="0" layoutInCell="1" allowOverlap="1" wp14:anchorId="73123285" wp14:editId="058DBBC6">
                <wp:simplePos x="0" y="0"/>
                <wp:positionH relativeFrom="column">
                  <wp:posOffset>1206500</wp:posOffset>
                </wp:positionH>
                <wp:positionV relativeFrom="paragraph">
                  <wp:posOffset>33020</wp:posOffset>
                </wp:positionV>
                <wp:extent cx="5041900" cy="660400"/>
                <wp:effectExtent l="0" t="0" r="0" b="0"/>
                <wp:wrapNone/>
                <wp:docPr id="1600" name="Text Box 1600"/>
                <wp:cNvGraphicFramePr/>
                <a:graphic xmlns:a="http://schemas.openxmlformats.org/drawingml/2006/main">
                  <a:graphicData uri="http://schemas.microsoft.com/office/word/2010/wordprocessingShape">
                    <wps:wsp>
                      <wps:cNvSpPr txBox="1"/>
                      <wps:spPr>
                        <a:xfrm>
                          <a:off x="0" y="0"/>
                          <a:ext cx="5041900" cy="660400"/>
                        </a:xfrm>
                        <a:prstGeom prst="rect">
                          <a:avLst/>
                        </a:prstGeom>
                        <a:noFill/>
                        <a:ln w="6350">
                          <a:noFill/>
                        </a:ln>
                      </wps:spPr>
                      <wps:txbx>
                        <w:txbxContent>
                          <w:p w14:paraId="5D42D89E" w14:textId="49C7569C" w:rsidR="00D15FD8" w:rsidRPr="00BD6508" w:rsidRDefault="00D15FD8" w:rsidP="00BD6508">
                            <w:pPr>
                              <w:pStyle w:val="Heading3"/>
                              <w:numPr>
                                <w:ilvl w:val="2"/>
                                <w:numId w:val="111"/>
                              </w:numPr>
                              <w:spacing w:line="276" w:lineRule="auto"/>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792" w:name="_Toc123204519"/>
                            <w:bookmarkStart w:id="1793" w:name="_Toc123216630"/>
                            <w:bookmarkStart w:id="1794" w:name="_Toc123217470"/>
                            <w:bookmarkStart w:id="1795" w:name="_Toc123828217"/>
                            <w:bookmarkStart w:id="1796" w:name="_Toc123828427"/>
                            <w:bookmarkStart w:id="1797" w:name="_Toc123828623"/>
                            <w:bookmarkStart w:id="1798" w:name="_Toc123912650"/>
                            <w:bookmarkStart w:id="1799" w:name="_Toc123912909"/>
                            <w:bookmarkStart w:id="1800" w:name="_Toc123913136"/>
                            <w:bookmarkStart w:id="1801" w:name="_Toc123913427"/>
                            <w:bookmarkStart w:id="1802" w:name="_Toc123914084"/>
                            <w:bookmarkStart w:id="1803" w:name="_Toc125566699"/>
                            <w:r>
                              <w:rPr>
                                <w:rFonts w:ascii="Arial" w:hAnsi="Arial" w:cs="Arial"/>
                                <w:b/>
                                <w:bCs/>
                                <w:color w:val="FFFFFF" w:themeColor="background1"/>
                                <w:sz w:val="32"/>
                                <w:szCs w:val="32"/>
                                <w:lang w:val="en-US"/>
                              </w:rPr>
                              <w:t>United States Department of State Fiscal Transparency Report</w:t>
                            </w:r>
                            <w:bookmarkEnd w:id="1792"/>
                            <w:bookmarkEnd w:id="1793"/>
                            <w:bookmarkEnd w:id="1794"/>
                            <w:bookmarkEnd w:id="1795"/>
                            <w:bookmarkEnd w:id="1796"/>
                            <w:bookmarkEnd w:id="1797"/>
                            <w:bookmarkEnd w:id="1798"/>
                            <w:bookmarkEnd w:id="1799"/>
                            <w:bookmarkEnd w:id="1800"/>
                            <w:bookmarkEnd w:id="1801"/>
                            <w:bookmarkEnd w:id="1802"/>
                            <w:bookmarkEnd w:id="180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23285" id="Text Box 1600" o:spid="_x0000_s1447" type="#_x0000_t202" style="position:absolute;left:0;text-align:left;margin-left:95pt;margin-top:2.6pt;width:397pt;height:52pt;z-index:253444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" filled="f" stroked="f" strokeweight=".5pt">
                <v:textbox>
                  <w:txbxContent>
                    <w:p w14:paraId="5D42D89E" w14:textId="49C7569C" w:rsidR="00D15FD8" w:rsidRPr="00BD6508" w:rsidRDefault="00D15FD8" w:rsidP="00BD6508">
                      <w:pPr>
                        <w:pStyle w:val="Heading3"/>
                        <w:numPr>
                          <w:ilvl w:val="2"/>
                          <w:numId w:val="111"/>
                        </w:numPr>
                        <w:spacing w:line="276" w:lineRule="auto"/>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804" w:name="_Toc123204519"/>
                      <w:bookmarkStart w:id="1805" w:name="_Toc123216630"/>
                      <w:bookmarkStart w:id="1806" w:name="_Toc123217470"/>
                      <w:bookmarkStart w:id="1807" w:name="_Toc123828217"/>
                      <w:bookmarkStart w:id="1808" w:name="_Toc123828427"/>
                      <w:bookmarkStart w:id="1809" w:name="_Toc123828623"/>
                      <w:bookmarkStart w:id="1810" w:name="_Toc123912650"/>
                      <w:bookmarkStart w:id="1811" w:name="_Toc123912909"/>
                      <w:bookmarkStart w:id="1812" w:name="_Toc123913136"/>
                      <w:bookmarkStart w:id="1813" w:name="_Toc123913427"/>
                      <w:bookmarkStart w:id="1814" w:name="_Toc123914084"/>
                      <w:bookmarkStart w:id="1815" w:name="_Toc125566699"/>
                      <w:r>
                        <w:rPr>
                          <w:rFonts w:ascii="Arial" w:hAnsi="Arial" w:cs="Arial"/>
                          <w:b/>
                          <w:bCs/>
                          <w:color w:val="FFFFFF" w:themeColor="background1"/>
                          <w:sz w:val="32"/>
                          <w:szCs w:val="32"/>
                          <w:lang w:val="en-US"/>
                        </w:rPr>
                        <w:t>United States Department of State Fiscal Transparency Report</w:t>
                      </w:r>
                      <w:bookmarkEnd w:id="1804"/>
                      <w:bookmarkEnd w:id="1805"/>
                      <w:bookmarkEnd w:id="1806"/>
                      <w:bookmarkEnd w:id="1807"/>
                      <w:bookmarkEnd w:id="1808"/>
                      <w:bookmarkEnd w:id="1809"/>
                      <w:bookmarkEnd w:id="1810"/>
                      <w:bookmarkEnd w:id="1811"/>
                      <w:bookmarkEnd w:id="1812"/>
                      <w:bookmarkEnd w:id="1813"/>
                      <w:bookmarkEnd w:id="1814"/>
                      <w:bookmarkEnd w:id="1815"/>
                    </w:p>
                  </w:txbxContent>
                </v:textbox>
              </v:shape>
            </w:pict>
          </mc:Fallback>
        </mc:AlternateContent>
      </w:r>
    </w:p>
    <w:p w14:paraId="3257D7EF" w14:textId="42871C2B" w:rsidR="009A2837" w:rsidRDefault="009A2837" w:rsidP="009A2837">
      <w:pPr>
        <w:tabs>
          <w:tab w:val="right" w:pos="8806"/>
        </w:tabs>
        <w:spacing w:after="160" w:line="276" w:lineRule="auto"/>
        <w:jc w:val="right"/>
        <w:rPr>
          <w:rFonts w:ascii="Arial" w:hAnsi="Arial" w:cs="Arial"/>
          <w:sz w:val="24"/>
          <w:szCs w:val="24"/>
        </w:rPr>
      </w:pPr>
    </w:p>
    <w:p w14:paraId="545070DE" w14:textId="4E4F3516" w:rsidR="009A2837" w:rsidRDefault="009A2837" w:rsidP="009A2837">
      <w:pPr>
        <w:tabs>
          <w:tab w:val="right" w:pos="8806"/>
        </w:tabs>
        <w:spacing w:after="160" w:line="276" w:lineRule="auto"/>
        <w:jc w:val="right"/>
        <w:rPr>
          <w:rFonts w:ascii="Arial" w:hAnsi="Arial" w:cs="Arial"/>
          <w:sz w:val="24"/>
          <w:szCs w:val="24"/>
        </w:rPr>
      </w:pPr>
    </w:p>
    <w:p w14:paraId="1F2ED6A3" w14:textId="4C0AC7AC" w:rsidR="009A2837" w:rsidRPr="009A2837" w:rsidRDefault="009A2837" w:rsidP="009A2837">
      <w:pPr>
        <w:tabs>
          <w:tab w:val="right" w:pos="8806"/>
        </w:tabs>
        <w:spacing w:after="160" w:line="276" w:lineRule="auto"/>
        <w:rPr>
          <w:rFonts w:ascii="Arial" w:hAnsi="Arial" w:cs="Arial"/>
          <w:sz w:val="24"/>
          <w:szCs w:val="24"/>
        </w:rPr>
      </w:pPr>
    </w:p>
    <w:p w14:paraId="52ACE415" w14:textId="43968E91" w:rsidR="009A2837" w:rsidRPr="00BD6508" w:rsidRDefault="00A655E7" w:rsidP="00BD6508">
      <w:pPr>
        <w:spacing w:after="160"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446142" behindDoc="0" locked="0" layoutInCell="1" allowOverlap="1" wp14:anchorId="6605B746" wp14:editId="2F2894B2">
            <wp:simplePos x="0" y="0"/>
            <wp:positionH relativeFrom="column">
              <wp:posOffset>55880</wp:posOffset>
            </wp:positionH>
            <wp:positionV relativeFrom="paragraph">
              <wp:posOffset>674370</wp:posOffset>
            </wp:positionV>
            <wp:extent cx="1023620" cy="1117600"/>
            <wp:effectExtent l="0" t="0" r="5080" b="0"/>
            <wp:wrapSquare wrapText="bothSides"/>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Picture 1612"/>
                    <pic:cNvPicPr/>
                  </pic:nvPicPr>
                  <pic:blipFill rotWithShape="1">
                    <a:blip r:embed="rId780" cstate="email">
                      <a:extLst>
                        <a:ext uri="{28A0092B-C50C-407E-A947-70E740481C1C}">
                          <a14:useLocalDpi xmlns:a14="http://schemas.microsoft.com/office/drawing/2010/main"/>
                        </a:ext>
                      </a:extLst>
                    </a:blip>
                    <a:srcRect/>
                    <a:stretch/>
                  </pic:blipFill>
                  <pic:spPr bwMode="auto">
                    <a:xfrm>
                      <a:off x="0" y="0"/>
                      <a:ext cx="1023620" cy="111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2837" w:rsidRPr="00BD6508">
        <w:rPr>
          <w:rFonts w:ascii="Arial" w:hAnsi="Arial" w:cs="Arial"/>
          <w:sz w:val="24"/>
          <w:szCs w:val="24"/>
          <w:lang w:val="en-US"/>
        </w:rPr>
        <w:t xml:space="preserve">Each year since 2008, the United States Department of State has reviewed the fiscal transparency of governments receiving Unites States government foreign assistance. The assessment evolved out of interest in public financial management and fiscal transparency issues and the links to governmental accountability, assisting to build market confidence and sustainability. </w:t>
      </w:r>
      <w:r w:rsidR="009A2837" w:rsidRPr="00BD6508">
        <w:rPr>
          <w:rFonts w:ascii="Arial" w:hAnsi="Arial" w:cs="Arial"/>
          <w:sz w:val="24"/>
          <w:szCs w:val="24"/>
        </w:rPr>
        <w:t>The Congressionally mandated Fiscal Transparency Report (FTR) is a tool to identify deficiencies and support needed changes.  The </w:t>
      </w:r>
      <w:hyperlink r:id="rId781" w:history="1">
        <w:r w:rsidR="009A2837" w:rsidRPr="00BD6508">
          <w:rPr>
            <w:rFonts w:ascii="Arial" w:hAnsi="Arial" w:cs="Arial"/>
            <w:bCs/>
            <w:color w:val="0563C1" w:themeColor="hyperlink"/>
            <w:sz w:val="24"/>
            <w:szCs w:val="24"/>
            <w:u w:val="single"/>
          </w:rPr>
          <w:t>Office of Monetary Affairs</w:t>
        </w:r>
      </w:hyperlink>
      <w:r w:rsidR="009A2837" w:rsidRPr="00BD6508">
        <w:rPr>
          <w:rFonts w:ascii="Arial" w:hAnsi="Arial" w:cs="Arial"/>
          <w:sz w:val="24"/>
          <w:szCs w:val="24"/>
        </w:rPr>
        <w:t> of State’s </w:t>
      </w:r>
      <w:hyperlink r:id="rId782" w:history="1">
        <w:r w:rsidR="009A2837" w:rsidRPr="00BD6508">
          <w:rPr>
            <w:rFonts w:ascii="Arial" w:hAnsi="Arial" w:cs="Arial"/>
            <w:bCs/>
            <w:color w:val="0563C1" w:themeColor="hyperlink"/>
            <w:sz w:val="24"/>
            <w:szCs w:val="24"/>
            <w:u w:val="single"/>
          </w:rPr>
          <w:t>Bureau of Economic and Business Affairs</w:t>
        </w:r>
      </w:hyperlink>
      <w:r w:rsidR="009A2837" w:rsidRPr="00BD6508">
        <w:rPr>
          <w:rFonts w:ascii="Arial" w:hAnsi="Arial" w:cs="Arial"/>
          <w:sz w:val="24"/>
          <w:szCs w:val="24"/>
        </w:rPr>
        <w:t> prepares the annual FTR in consultation with </w:t>
      </w:r>
      <w:hyperlink r:id="rId783" w:history="1">
        <w:r w:rsidR="009A2837" w:rsidRPr="00BD6508">
          <w:rPr>
            <w:rFonts w:ascii="Arial" w:hAnsi="Arial" w:cs="Arial"/>
            <w:bCs/>
            <w:color w:val="0563C1" w:themeColor="hyperlink"/>
            <w:sz w:val="24"/>
            <w:szCs w:val="24"/>
            <w:u w:val="single"/>
          </w:rPr>
          <w:t>State’s Bureau of Energy Resources</w:t>
        </w:r>
      </w:hyperlink>
      <w:r w:rsidR="009A2837" w:rsidRPr="00BD6508">
        <w:rPr>
          <w:rFonts w:ascii="Arial" w:hAnsi="Arial" w:cs="Arial"/>
          <w:sz w:val="24"/>
          <w:szCs w:val="24"/>
        </w:rPr>
        <w:t> and the </w:t>
      </w:r>
      <w:hyperlink r:id="rId784" w:tgtFrame="_blank" w:history="1">
        <w:r w:rsidR="009A2837" w:rsidRPr="00BD6508">
          <w:rPr>
            <w:rFonts w:ascii="Arial" w:hAnsi="Arial" w:cs="Arial"/>
            <w:bCs/>
            <w:color w:val="0563C1" w:themeColor="hyperlink"/>
            <w:sz w:val="24"/>
            <w:szCs w:val="24"/>
            <w:u w:val="single"/>
          </w:rPr>
          <w:t>U</w:t>
        </w:r>
        <w:r w:rsidR="000B5158">
          <w:rPr>
            <w:rFonts w:ascii="Arial" w:hAnsi="Arial" w:cs="Arial"/>
            <w:bCs/>
            <w:color w:val="0563C1" w:themeColor="hyperlink"/>
            <w:sz w:val="24"/>
            <w:szCs w:val="24"/>
            <w:u w:val="single"/>
          </w:rPr>
          <w:t>nited States</w:t>
        </w:r>
        <w:r w:rsidR="009A2837" w:rsidRPr="00BD6508">
          <w:rPr>
            <w:rFonts w:ascii="Arial" w:hAnsi="Arial" w:cs="Arial"/>
            <w:bCs/>
            <w:color w:val="0563C1" w:themeColor="hyperlink"/>
            <w:sz w:val="24"/>
            <w:szCs w:val="24"/>
            <w:u w:val="single"/>
          </w:rPr>
          <w:t xml:space="preserve"> Agency for International Development</w:t>
        </w:r>
        <w:r w:rsidR="00AA3258">
          <w:rPr>
            <w:rFonts w:ascii="Arial" w:hAnsi="Arial" w:cs="Arial"/>
            <w:bCs/>
            <w:color w:val="0563C1" w:themeColor="hyperlink"/>
            <w:sz w:val="24"/>
            <w:szCs w:val="24"/>
            <w:u w:val="single"/>
          </w:rPr>
          <w:t xml:space="preserve"> (USAID)</w:t>
        </w:r>
        <w:r w:rsidR="0098335E">
          <w:rPr>
            <w:rFonts w:ascii="Arial" w:hAnsi="Arial" w:cs="Arial"/>
            <w:bCs/>
            <w:color w:val="0563C1" w:themeColor="hyperlink"/>
            <w:sz w:val="24"/>
            <w:szCs w:val="24"/>
            <w:u w:val="single"/>
          </w:rPr>
          <w:t>.</w:t>
        </w:r>
      </w:hyperlink>
    </w:p>
    <w:p w14:paraId="4DB6DEB5" w14:textId="37092586" w:rsidR="009A2837" w:rsidRPr="00BD6508" w:rsidRDefault="00950378" w:rsidP="00BD6508">
      <w:pPr>
        <w:spacing w:after="160"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3447166" behindDoc="0" locked="0" layoutInCell="1" allowOverlap="1" wp14:anchorId="62E1DF10" wp14:editId="4CF4F3E1">
            <wp:simplePos x="0" y="0"/>
            <wp:positionH relativeFrom="column">
              <wp:posOffset>5566410</wp:posOffset>
            </wp:positionH>
            <wp:positionV relativeFrom="paragraph">
              <wp:posOffset>38914</wp:posOffset>
            </wp:positionV>
            <wp:extent cx="1058545" cy="1295400"/>
            <wp:effectExtent l="0" t="0" r="0" b="0"/>
            <wp:wrapSquare wrapText="bothSides"/>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Picture 1634"/>
                    <pic:cNvPicPr/>
                  </pic:nvPicPr>
                  <pic:blipFill rotWithShape="1">
                    <a:blip r:embed="rId785" cstate="email">
                      <a:extLst>
                        <a:ext uri="{28A0092B-C50C-407E-A947-70E740481C1C}">
                          <a14:useLocalDpi xmlns:a14="http://schemas.microsoft.com/office/drawing/2010/main"/>
                        </a:ext>
                      </a:extLst>
                    </a:blip>
                    <a:srcRect/>
                    <a:stretch/>
                  </pic:blipFill>
                  <pic:spPr bwMode="auto">
                    <a:xfrm>
                      <a:off x="0" y="0"/>
                      <a:ext cx="1058545"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2837" w:rsidRPr="00BD6508">
        <w:rPr>
          <w:rFonts w:ascii="Arial" w:hAnsi="Arial" w:cs="Arial"/>
          <w:sz w:val="24"/>
          <w:szCs w:val="24"/>
          <w:lang w:val="en-US"/>
        </w:rPr>
        <w:t>A survey is sent to U</w:t>
      </w:r>
      <w:r w:rsidR="00285486">
        <w:rPr>
          <w:rFonts w:ascii="Arial" w:hAnsi="Arial" w:cs="Arial"/>
          <w:sz w:val="24"/>
          <w:szCs w:val="24"/>
          <w:lang w:val="en-US"/>
        </w:rPr>
        <w:t xml:space="preserve">nited </w:t>
      </w:r>
      <w:r w:rsidR="009A2837" w:rsidRPr="00BD6508">
        <w:rPr>
          <w:rFonts w:ascii="Arial" w:hAnsi="Arial" w:cs="Arial"/>
          <w:sz w:val="24"/>
          <w:szCs w:val="24"/>
          <w:lang w:val="en-US"/>
        </w:rPr>
        <w:t>S</w:t>
      </w:r>
      <w:r w:rsidR="00285486">
        <w:rPr>
          <w:rFonts w:ascii="Arial" w:hAnsi="Arial" w:cs="Arial"/>
          <w:sz w:val="24"/>
          <w:szCs w:val="24"/>
          <w:lang w:val="en-US"/>
        </w:rPr>
        <w:t>tates</w:t>
      </w:r>
      <w:r w:rsidR="009A2837" w:rsidRPr="00BD6508">
        <w:rPr>
          <w:rFonts w:ascii="Arial" w:hAnsi="Arial" w:cs="Arial"/>
          <w:sz w:val="24"/>
          <w:szCs w:val="24"/>
          <w:lang w:val="en-US"/>
        </w:rPr>
        <w:t xml:space="preserve"> embassies and consulates in 140 countries identified in the 2014 FTR plus Equatorial Guinea, collecting data on fiscal transparency. </w:t>
      </w:r>
      <w:r w:rsidR="009A2837" w:rsidRPr="00BD6508">
        <w:rPr>
          <w:rFonts w:ascii="Arial" w:hAnsi="Arial" w:cs="Arial"/>
          <w:sz w:val="24"/>
          <w:szCs w:val="24"/>
          <w:lang w:val="en-ZA"/>
        </w:rPr>
        <w:t>The Department then uses this data to assess whether governments meet minimum requirements of fiscal transparency. For the purpose of the FTR, the minimum requirements of fiscal transparency include having key budget documents that are publicly available, substantially complete, and generally reliable. The review includes an assessment of the transparency of processes for awarding government contracts and licenses for natural resource extraction. </w:t>
      </w:r>
      <w:r w:rsidR="009A2837" w:rsidRPr="00BD6508">
        <w:rPr>
          <w:rFonts w:ascii="Arial" w:hAnsi="Arial" w:cs="Arial"/>
          <w:sz w:val="24"/>
          <w:szCs w:val="24"/>
          <w:lang w:val="en-US"/>
        </w:rPr>
        <w:t xml:space="preserve">The scope of the FTR is unique and relates directly to its aim to </w:t>
      </w:r>
      <w:r w:rsidR="009A2837" w:rsidRPr="00BD6508">
        <w:rPr>
          <w:rFonts w:ascii="Arial" w:hAnsi="Arial" w:cs="Arial"/>
          <w:sz w:val="24"/>
          <w:szCs w:val="24"/>
          <w:lang w:val="en-ZA"/>
        </w:rPr>
        <w:t>help ensure that U</w:t>
      </w:r>
      <w:r w:rsidR="000B5158">
        <w:rPr>
          <w:rFonts w:ascii="Arial" w:hAnsi="Arial" w:cs="Arial"/>
          <w:sz w:val="24"/>
          <w:szCs w:val="24"/>
          <w:lang w:val="en-ZA"/>
        </w:rPr>
        <w:t>nited States</w:t>
      </w:r>
      <w:r w:rsidR="009A2837" w:rsidRPr="00BD6508">
        <w:rPr>
          <w:rFonts w:ascii="Arial" w:hAnsi="Arial" w:cs="Arial"/>
          <w:sz w:val="24"/>
          <w:szCs w:val="24"/>
          <w:lang w:val="en-ZA"/>
        </w:rPr>
        <w:t xml:space="preserve"> taxpayer funds are used appropriately, and to provide opportunities to dialogue with governments on the importance of fiscal transparency. </w:t>
      </w:r>
      <w:r w:rsidR="009A2837" w:rsidRPr="00BD6508">
        <w:rPr>
          <w:rFonts w:ascii="Arial" w:hAnsi="Arial" w:cs="Arial"/>
          <w:sz w:val="24"/>
          <w:szCs w:val="24"/>
          <w:lang w:val="en-US"/>
        </w:rPr>
        <w:t>The report categorizes countries into whether they meet the minimum requirements of fiscal transparency or not. Countries which do not meet the requirements are further divided between those which made significant progress towards those requirements and those which did not.</w:t>
      </w:r>
    </w:p>
    <w:p w14:paraId="7B8AA0DD" w14:textId="3C89D67F" w:rsidR="009A2837" w:rsidRPr="00BD6508" w:rsidRDefault="009A2837" w:rsidP="00BD6508">
      <w:pPr>
        <w:spacing w:after="160" w:line="276" w:lineRule="auto"/>
        <w:jc w:val="both"/>
        <w:rPr>
          <w:rFonts w:ascii="Arial" w:hAnsi="Arial" w:cs="Arial"/>
          <w:sz w:val="24"/>
          <w:szCs w:val="24"/>
          <w:lang w:val="en-US"/>
        </w:rPr>
      </w:pPr>
      <w:r w:rsidRPr="00BD6508">
        <w:rPr>
          <w:rFonts w:ascii="Arial" w:hAnsi="Arial" w:cs="Arial"/>
          <w:sz w:val="24"/>
          <w:szCs w:val="24"/>
        </w:rPr>
        <w:lastRenderedPageBreak/>
        <w:t xml:space="preserve">The fiscal transparency determinations may change from year to year due to updating and strengthening minimum requirements of fiscal transparency as required by law, changes in governments’ performance on public financial management, or new information coming to the Department of State’s attention.  As a result, some governments may fall short of these requirements, despite in some cases maintaining or even improving their overall level of fiscal transparency.  The report includes a description of how governments fell short of the minimum requirements. It outlines any significant progress being made to disclose publicly national budget documentation, contracts, and licenses.  It also provides specific recommendations of short- and long-term steps governments should take to improve fiscal transparency.  Finally, the report outlines the process the Department followed in completing the assessments and describes how United States foreign assistance resources have been used to support fiscal transparency. FTRs can be found on this </w:t>
      </w:r>
      <w:hyperlink r:id="rId786" w:history="1">
        <w:r w:rsidRPr="00BD6508">
          <w:rPr>
            <w:rFonts w:ascii="Arial" w:hAnsi="Arial" w:cs="Arial"/>
            <w:color w:val="0563C1" w:themeColor="hyperlink"/>
            <w:sz w:val="24"/>
            <w:szCs w:val="24"/>
            <w:u w:val="single"/>
          </w:rPr>
          <w:t>link</w:t>
        </w:r>
      </w:hyperlink>
      <w:r w:rsidRPr="00BD6508">
        <w:rPr>
          <w:rFonts w:ascii="Arial" w:hAnsi="Arial" w:cs="Arial"/>
          <w:sz w:val="24"/>
          <w:szCs w:val="24"/>
        </w:rPr>
        <w:t>.</w:t>
      </w:r>
    </w:p>
    <w:p w14:paraId="668B7E94" w14:textId="73B9A968" w:rsidR="009A2837" w:rsidRDefault="00057172" w:rsidP="009A2837">
      <w:pPr>
        <w:tabs>
          <w:tab w:val="right" w:pos="8806"/>
        </w:tabs>
        <w:spacing w:after="160"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50238" behindDoc="0" locked="0" layoutInCell="1" allowOverlap="1" wp14:anchorId="68ED774B" wp14:editId="695E98DE">
                <wp:simplePos x="0" y="0"/>
                <wp:positionH relativeFrom="column">
                  <wp:posOffset>1787525</wp:posOffset>
                </wp:positionH>
                <wp:positionV relativeFrom="paragraph">
                  <wp:posOffset>121920</wp:posOffset>
                </wp:positionV>
                <wp:extent cx="4676140" cy="658495"/>
                <wp:effectExtent l="0" t="0" r="0" b="0"/>
                <wp:wrapNone/>
                <wp:docPr id="1764" name="Text Box 1764"/>
                <wp:cNvGraphicFramePr/>
                <a:graphic xmlns:a="http://schemas.openxmlformats.org/drawingml/2006/main">
                  <a:graphicData uri="http://schemas.microsoft.com/office/word/2010/wordprocessingShape">
                    <wps:wsp>
                      <wps:cNvSpPr txBox="1"/>
                      <wps:spPr>
                        <a:xfrm>
                          <a:off x="0" y="0"/>
                          <a:ext cx="4676140" cy="658495"/>
                        </a:xfrm>
                        <a:prstGeom prst="rect">
                          <a:avLst/>
                        </a:prstGeom>
                        <a:noFill/>
                        <a:ln w="6350">
                          <a:noFill/>
                        </a:ln>
                      </wps:spPr>
                      <wps:txbx>
                        <w:txbxContent>
                          <w:p w14:paraId="5292CC37" w14:textId="05F27CDD" w:rsidR="00D15FD8" w:rsidRPr="00BD6508" w:rsidRDefault="00D15FD8" w:rsidP="00BD6508">
                            <w:pPr>
                              <w:pStyle w:val="Heading3"/>
                              <w:numPr>
                                <w:ilvl w:val="2"/>
                                <w:numId w:val="111"/>
                              </w:numPr>
                              <w:spacing w:line="276" w:lineRule="auto"/>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816" w:name="_Toc123204520"/>
                            <w:bookmarkStart w:id="1817" w:name="_Toc123216631"/>
                            <w:bookmarkStart w:id="1818" w:name="_Toc123217471"/>
                            <w:bookmarkStart w:id="1819" w:name="_Toc123828218"/>
                            <w:bookmarkStart w:id="1820" w:name="_Toc123828428"/>
                            <w:bookmarkStart w:id="1821" w:name="_Toc123828624"/>
                            <w:bookmarkStart w:id="1822" w:name="_Toc123912651"/>
                            <w:bookmarkStart w:id="1823" w:name="_Toc123912910"/>
                            <w:bookmarkStart w:id="1824" w:name="_Toc123913137"/>
                            <w:bookmarkStart w:id="1825" w:name="_Toc123913428"/>
                            <w:bookmarkStart w:id="1826" w:name="_Toc123914085"/>
                            <w:bookmarkStart w:id="1827" w:name="_Toc125566700"/>
                            <w:r w:rsidRPr="00950378">
                              <w:rPr>
                                <w:rFonts w:ascii="Arial" w:hAnsi="Arial" w:cs="Arial"/>
                                <w:b/>
                                <w:bCs/>
                                <w:color w:val="FFFFFF" w:themeColor="background1"/>
                                <w:sz w:val="32"/>
                                <w:szCs w:val="32"/>
                                <w:lang w:val="en-US"/>
                              </w:rPr>
                              <w:t>IMF and partner organizations Tax Administration Diagnostic Assessment Tool</w:t>
                            </w:r>
                            <w:bookmarkEnd w:id="1816"/>
                            <w:bookmarkEnd w:id="1817"/>
                            <w:bookmarkEnd w:id="1818"/>
                            <w:bookmarkEnd w:id="1819"/>
                            <w:bookmarkEnd w:id="1820"/>
                            <w:bookmarkEnd w:id="1821"/>
                            <w:bookmarkEnd w:id="1822"/>
                            <w:bookmarkEnd w:id="1823"/>
                            <w:bookmarkEnd w:id="1824"/>
                            <w:bookmarkEnd w:id="1825"/>
                            <w:bookmarkEnd w:id="1826"/>
                            <w:bookmarkEnd w:id="182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D774B" id="Text Box 1764" o:spid="_x0000_s1448" type="#_x0000_t202" style="position:absolute;margin-left:140.75pt;margin-top:9.6pt;width:368.2pt;height:51.85pt;z-index:253450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" filled="f" stroked="f" strokeweight=".5pt">
                <v:textbox>
                  <w:txbxContent>
                    <w:p w14:paraId="5292CC37" w14:textId="05F27CDD" w:rsidR="00D15FD8" w:rsidRPr="00BD6508" w:rsidRDefault="00D15FD8" w:rsidP="00BD6508">
                      <w:pPr>
                        <w:pStyle w:val="Heading3"/>
                        <w:numPr>
                          <w:ilvl w:val="2"/>
                          <w:numId w:val="111"/>
                        </w:numPr>
                        <w:spacing w:line="276" w:lineRule="auto"/>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828" w:name="_Toc123204520"/>
                      <w:bookmarkStart w:id="1829" w:name="_Toc123216631"/>
                      <w:bookmarkStart w:id="1830" w:name="_Toc123217471"/>
                      <w:bookmarkStart w:id="1831" w:name="_Toc123828218"/>
                      <w:bookmarkStart w:id="1832" w:name="_Toc123828428"/>
                      <w:bookmarkStart w:id="1833" w:name="_Toc123828624"/>
                      <w:bookmarkStart w:id="1834" w:name="_Toc123912651"/>
                      <w:bookmarkStart w:id="1835" w:name="_Toc123912910"/>
                      <w:bookmarkStart w:id="1836" w:name="_Toc123913137"/>
                      <w:bookmarkStart w:id="1837" w:name="_Toc123913428"/>
                      <w:bookmarkStart w:id="1838" w:name="_Toc123914085"/>
                      <w:bookmarkStart w:id="1839" w:name="_Toc125566700"/>
                      <w:r w:rsidRPr="00950378">
                        <w:rPr>
                          <w:rFonts w:ascii="Arial" w:hAnsi="Arial" w:cs="Arial"/>
                          <w:b/>
                          <w:bCs/>
                          <w:color w:val="FFFFFF" w:themeColor="background1"/>
                          <w:sz w:val="32"/>
                          <w:szCs w:val="32"/>
                          <w:lang w:val="en-US"/>
                        </w:rPr>
                        <w:t>IMF and partner organizations Tax Administration Diagnostic Assessment Tool</w:t>
                      </w:r>
                      <w:bookmarkEnd w:id="1828"/>
                      <w:bookmarkEnd w:id="1829"/>
                      <w:bookmarkEnd w:id="1830"/>
                      <w:bookmarkEnd w:id="1831"/>
                      <w:bookmarkEnd w:id="1832"/>
                      <w:bookmarkEnd w:id="1833"/>
                      <w:bookmarkEnd w:id="1834"/>
                      <w:bookmarkEnd w:id="1835"/>
                      <w:bookmarkEnd w:id="1836"/>
                      <w:bookmarkEnd w:id="1837"/>
                      <w:bookmarkEnd w:id="1838"/>
                      <w:bookmarkEnd w:id="1839"/>
                    </w:p>
                  </w:txbxContent>
                </v:textbox>
              </v:shape>
            </w:pict>
          </mc:Fallback>
        </mc:AlternateContent>
      </w:r>
      <w:r w:rsidR="00C42EB4">
        <w:rPr>
          <w:rFonts w:ascii="Arial" w:hAnsi="Arial" w:cs="Arial"/>
          <w:noProof/>
          <w:sz w:val="24"/>
          <w:szCs w:val="24"/>
          <w:lang w:val="en-US"/>
        </w:rPr>
        <mc:AlternateContent>
          <mc:Choice Requires="wps">
            <w:drawing>
              <wp:anchor distT="0" distB="0" distL="114300" distR="114300" simplePos="0" relativeHeight="253449214" behindDoc="0" locked="0" layoutInCell="1" allowOverlap="1" wp14:anchorId="0122E2AB" wp14:editId="34A4F391">
                <wp:simplePos x="0" y="0"/>
                <wp:positionH relativeFrom="column">
                  <wp:posOffset>1654810</wp:posOffset>
                </wp:positionH>
                <wp:positionV relativeFrom="paragraph">
                  <wp:posOffset>83820</wp:posOffset>
                </wp:positionV>
                <wp:extent cx="4982845" cy="723900"/>
                <wp:effectExtent l="0" t="0" r="0" b="0"/>
                <wp:wrapNone/>
                <wp:docPr id="1749" name="Rounded Rectangle 1749"/>
                <wp:cNvGraphicFramePr/>
                <a:graphic xmlns:a="http://schemas.openxmlformats.org/drawingml/2006/main">
                  <a:graphicData uri="http://schemas.microsoft.com/office/word/2010/wordprocessingShape">
                    <wps:wsp>
                      <wps:cNvSpPr/>
                      <wps:spPr>
                        <a:xfrm>
                          <a:off x="0" y="0"/>
                          <a:ext cx="4982845" cy="7239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AF7E54C" id="Rounded Rectangle 1749" o:spid="_x0000_s1026" style="position:absolute;margin-left:130.3pt;margin-top:6.6pt;width:392.35pt;height:57pt;z-index:253449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" fillcolor="#f9a133" stroked="f" strokeweight="1pt">
                <v:stroke joinstyle="miter"/>
              </v:roundrect>
            </w:pict>
          </mc:Fallback>
        </mc:AlternateContent>
      </w:r>
      <w:r w:rsidR="00C42EB4">
        <w:rPr>
          <w:rFonts w:ascii="Arial" w:hAnsi="Arial" w:cs="Arial"/>
          <w:noProof/>
          <w:sz w:val="24"/>
          <w:szCs w:val="24"/>
          <w:lang w:val="en-US"/>
        </w:rPr>
        <w:drawing>
          <wp:anchor distT="0" distB="0" distL="114300" distR="114300" simplePos="0" relativeHeight="253451262" behindDoc="0" locked="0" layoutInCell="1" allowOverlap="1" wp14:anchorId="78E51978" wp14:editId="1BB14740">
            <wp:simplePos x="0" y="0"/>
            <wp:positionH relativeFrom="column">
              <wp:posOffset>6350</wp:posOffset>
            </wp:positionH>
            <wp:positionV relativeFrom="paragraph">
              <wp:posOffset>187468</wp:posOffset>
            </wp:positionV>
            <wp:extent cx="1524000" cy="546100"/>
            <wp:effectExtent l="0" t="0" r="0" b="0"/>
            <wp:wrapSquare wrapText="bothSides"/>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Picture 1765"/>
                    <pic:cNvPicPr/>
                  </pic:nvPicPr>
                  <pic:blipFill>
                    <a:blip r:embed="rId787" cstate="email">
                      <a:extLst>
                        <a:ext uri="{28A0092B-C50C-407E-A947-70E740481C1C}">
                          <a14:useLocalDpi xmlns:a14="http://schemas.microsoft.com/office/drawing/2010/main"/>
                        </a:ext>
                      </a:extLst>
                    </a:blip>
                    <a:stretch>
                      <a:fillRect/>
                    </a:stretch>
                  </pic:blipFill>
                  <pic:spPr>
                    <a:xfrm>
                      <a:off x="0" y="0"/>
                      <a:ext cx="1524000" cy="546100"/>
                    </a:xfrm>
                    <a:prstGeom prst="rect">
                      <a:avLst/>
                    </a:prstGeom>
                  </pic:spPr>
                </pic:pic>
              </a:graphicData>
            </a:graphic>
            <wp14:sizeRelH relativeFrom="page">
              <wp14:pctWidth>0</wp14:pctWidth>
            </wp14:sizeRelH>
            <wp14:sizeRelV relativeFrom="page">
              <wp14:pctHeight>0</wp14:pctHeight>
            </wp14:sizeRelV>
          </wp:anchor>
        </w:drawing>
      </w:r>
    </w:p>
    <w:p w14:paraId="1BDEA2C4" w14:textId="1D2A1125" w:rsidR="00950378" w:rsidRDefault="00950378" w:rsidP="009A2837">
      <w:pPr>
        <w:tabs>
          <w:tab w:val="right" w:pos="8806"/>
        </w:tabs>
        <w:spacing w:after="160" w:line="276" w:lineRule="auto"/>
        <w:rPr>
          <w:rFonts w:ascii="Arial" w:hAnsi="Arial" w:cs="Arial"/>
          <w:sz w:val="24"/>
          <w:szCs w:val="24"/>
        </w:rPr>
      </w:pPr>
    </w:p>
    <w:p w14:paraId="3DB8E5DD" w14:textId="7CF99041" w:rsidR="00C42EB4" w:rsidRDefault="00C42EB4" w:rsidP="009A2837">
      <w:pPr>
        <w:tabs>
          <w:tab w:val="right" w:pos="8806"/>
        </w:tabs>
        <w:spacing w:after="160" w:line="276" w:lineRule="auto"/>
        <w:rPr>
          <w:rFonts w:ascii="Arial" w:hAnsi="Arial" w:cs="Arial"/>
          <w:sz w:val="24"/>
          <w:szCs w:val="24"/>
        </w:rPr>
      </w:pPr>
    </w:p>
    <w:p w14:paraId="20D71688" w14:textId="11774D71" w:rsidR="00C42EB4" w:rsidRPr="00C42EB4" w:rsidRDefault="00C42EB4" w:rsidP="00BD6508">
      <w:pPr>
        <w:spacing w:line="276" w:lineRule="auto"/>
        <w:rPr>
          <w:rFonts w:ascii="Arial" w:hAnsi="Arial" w:cs="Arial"/>
          <w:sz w:val="24"/>
          <w:szCs w:val="24"/>
        </w:rPr>
      </w:pPr>
    </w:p>
    <w:p w14:paraId="10224D65" w14:textId="35766E19" w:rsidR="00C42EB4" w:rsidRPr="00BD6508" w:rsidRDefault="00F230CC" w:rsidP="00BD6508">
      <w:pPr>
        <w:tabs>
          <w:tab w:val="num" w:pos="720"/>
        </w:tabs>
        <w:spacing w:after="160"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452286" behindDoc="0" locked="0" layoutInCell="1" allowOverlap="1" wp14:anchorId="621A73DD" wp14:editId="78B6C2BF">
            <wp:simplePos x="0" y="0"/>
            <wp:positionH relativeFrom="column">
              <wp:posOffset>6350</wp:posOffset>
            </wp:positionH>
            <wp:positionV relativeFrom="paragraph">
              <wp:posOffset>698876</wp:posOffset>
            </wp:positionV>
            <wp:extent cx="3141980" cy="3141980"/>
            <wp:effectExtent l="0" t="0" r="0" b="0"/>
            <wp:wrapSquare wrapText="bothSides"/>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Picture 1798"/>
                    <pic:cNvPicPr/>
                  </pic:nvPicPr>
                  <pic:blipFill>
                    <a:blip r:embed="rId788" cstate="email">
                      <a:extLst>
                        <a:ext uri="{28A0092B-C50C-407E-A947-70E740481C1C}">
                          <a14:useLocalDpi xmlns:a14="http://schemas.microsoft.com/office/drawing/2010/main"/>
                        </a:ext>
                      </a:extLst>
                    </a:blip>
                    <a:stretch>
                      <a:fillRect/>
                    </a:stretch>
                  </pic:blipFill>
                  <pic:spPr>
                    <a:xfrm>
                      <a:off x="0" y="0"/>
                      <a:ext cx="3141980" cy="3141980"/>
                    </a:xfrm>
                    <a:prstGeom prst="rect">
                      <a:avLst/>
                    </a:prstGeom>
                  </pic:spPr>
                </pic:pic>
              </a:graphicData>
            </a:graphic>
            <wp14:sizeRelH relativeFrom="page">
              <wp14:pctWidth>0</wp14:pctWidth>
            </wp14:sizeRelH>
            <wp14:sizeRelV relativeFrom="page">
              <wp14:pctHeight>0</wp14:pctHeight>
            </wp14:sizeRelV>
          </wp:anchor>
        </w:drawing>
      </w:r>
      <w:r w:rsidR="00C42EB4" w:rsidRPr="00BD6508">
        <w:rPr>
          <w:rFonts w:ascii="Arial" w:hAnsi="Arial" w:cs="Arial"/>
          <w:sz w:val="24"/>
          <w:szCs w:val="24"/>
        </w:rPr>
        <w:t xml:space="preserve">The </w:t>
      </w:r>
      <w:hyperlink r:id="rId789" w:history="1">
        <w:r w:rsidR="00C42EB4" w:rsidRPr="00BD6508">
          <w:rPr>
            <w:rFonts w:ascii="Arial" w:hAnsi="Arial" w:cs="Arial"/>
            <w:color w:val="0563C1" w:themeColor="hyperlink"/>
            <w:sz w:val="24"/>
            <w:szCs w:val="24"/>
            <w:u w:val="single"/>
          </w:rPr>
          <w:t>Tax Administration Diagnostic Assessment Tool (TADAT)</w:t>
        </w:r>
      </w:hyperlink>
      <w:r w:rsidR="00C42EB4" w:rsidRPr="00BD6508">
        <w:rPr>
          <w:rFonts w:ascii="Arial" w:hAnsi="Arial" w:cs="Arial"/>
          <w:sz w:val="24"/>
          <w:szCs w:val="24"/>
        </w:rPr>
        <w:t xml:space="preserve"> was developed by the IMF and other partner organizations to provide an assessment of tax administration, identifying the relative strengths and weaknesses in systems, processes, and institutions.</w:t>
      </w:r>
    </w:p>
    <w:p w14:paraId="0EFFC953" w14:textId="16D8817F" w:rsidR="00C42EB4" w:rsidRPr="00BD6508" w:rsidRDefault="00F230CC" w:rsidP="00BD6508">
      <w:pPr>
        <w:tabs>
          <w:tab w:val="num" w:pos="720"/>
        </w:tabs>
        <w:spacing w:after="160"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53310" behindDoc="0" locked="0" layoutInCell="1" allowOverlap="1" wp14:anchorId="0AECA97A" wp14:editId="5C967A59">
                <wp:simplePos x="0" y="0"/>
                <wp:positionH relativeFrom="column">
                  <wp:posOffset>1022529</wp:posOffset>
                </wp:positionH>
                <wp:positionV relativeFrom="paragraph">
                  <wp:posOffset>1304925</wp:posOffset>
                </wp:positionV>
                <wp:extent cx="1132724" cy="631065"/>
                <wp:effectExtent l="0" t="0" r="0" b="4445"/>
                <wp:wrapNone/>
                <wp:docPr id="1802" name="Text Box 1802"/>
                <wp:cNvGraphicFramePr/>
                <a:graphic xmlns:a="http://schemas.openxmlformats.org/drawingml/2006/main">
                  <a:graphicData uri="http://schemas.microsoft.com/office/word/2010/wordprocessingShape">
                    <wps:wsp>
                      <wps:cNvSpPr txBox="1"/>
                      <wps:spPr>
                        <a:xfrm>
                          <a:off x="0" y="0"/>
                          <a:ext cx="1132724" cy="631065"/>
                        </a:xfrm>
                        <a:prstGeom prst="rect">
                          <a:avLst/>
                        </a:prstGeom>
                        <a:solidFill>
                          <a:schemeClr val="lt1"/>
                        </a:solidFill>
                        <a:ln w="6350">
                          <a:noFill/>
                        </a:ln>
                      </wps:spPr>
                      <wps:txbx>
                        <w:txbxContent>
                          <w:p w14:paraId="704A5A8A" w14:textId="147A2070" w:rsidR="00D15FD8" w:rsidRPr="00BD6508" w:rsidRDefault="00D15FD8" w:rsidP="00BD6508">
                            <w:pPr>
                              <w:jc w:val="center"/>
                              <w:rPr>
                                <w:rFonts w:ascii="Arial" w:hAnsi="Arial" w:cs="Arial"/>
                                <w:b/>
                                <w:bCs/>
                                <w:color w:val="F9A133"/>
                                <w:sz w:val="24"/>
                                <w:szCs w:val="24"/>
                                <w:lang w:val="en-US"/>
                              </w:rPr>
                            </w:pPr>
                            <w:r w:rsidRPr="00BD6508">
                              <w:rPr>
                                <w:rFonts w:ascii="Arial" w:hAnsi="Arial" w:cs="Arial"/>
                                <w:b/>
                                <w:bCs/>
                                <w:color w:val="F9A133"/>
                                <w:sz w:val="24"/>
                                <w:szCs w:val="24"/>
                                <w:lang w:val="en-US"/>
                              </w:rPr>
                              <w:t>Performance</w:t>
                            </w:r>
                          </w:p>
                          <w:p w14:paraId="2C3B31E5" w14:textId="67F2217B" w:rsidR="00D15FD8" w:rsidRPr="00BD6508" w:rsidRDefault="00D15FD8" w:rsidP="00BD6508">
                            <w:pPr>
                              <w:jc w:val="center"/>
                              <w:rPr>
                                <w:rFonts w:ascii="Arial" w:hAnsi="Arial" w:cs="Arial"/>
                                <w:b/>
                                <w:bCs/>
                                <w:color w:val="F9A133"/>
                                <w:sz w:val="24"/>
                                <w:szCs w:val="24"/>
                                <w:lang w:val="en-US"/>
                              </w:rPr>
                            </w:pPr>
                            <w:r w:rsidRPr="00BD6508">
                              <w:rPr>
                                <w:rFonts w:ascii="Arial" w:hAnsi="Arial" w:cs="Arial"/>
                                <w:b/>
                                <w:bCs/>
                                <w:color w:val="F9A133"/>
                                <w:sz w:val="24"/>
                                <w:szCs w:val="24"/>
                                <w:lang w:val="en-US"/>
                              </w:rPr>
                              <w:t>Outcome</w:t>
                            </w:r>
                          </w:p>
                          <w:p w14:paraId="4EFB6405" w14:textId="538BF44E" w:rsidR="00D15FD8" w:rsidRPr="00BD6508" w:rsidRDefault="00D15FD8" w:rsidP="00BD6508">
                            <w:pPr>
                              <w:jc w:val="center"/>
                              <w:rPr>
                                <w:rFonts w:ascii="Arial" w:hAnsi="Arial" w:cs="Arial"/>
                                <w:b/>
                                <w:bCs/>
                                <w:color w:val="F9A133"/>
                                <w:sz w:val="24"/>
                                <w:szCs w:val="24"/>
                                <w:lang w:val="en-US"/>
                              </w:rPr>
                            </w:pPr>
                            <w:r w:rsidRPr="00BD6508">
                              <w:rPr>
                                <w:rFonts w:ascii="Arial" w:hAnsi="Arial" w:cs="Arial"/>
                                <w:b/>
                                <w:bCs/>
                                <w:color w:val="F9A133"/>
                                <w:sz w:val="24"/>
                                <w:szCs w:val="24"/>
                                <w:lang w:val="en-US"/>
                              </w:rPr>
                              <w:t>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CA97A" id="Text Box 1802" o:spid="_x0000_s1449" type="#_x0000_t202" style="position:absolute;left:0;text-align:left;margin-left:80.5pt;margin-top:102.75pt;width:89.2pt;height:49.7pt;z-index:253453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" fillcolor="white [3201]" stroked="f" strokeweight=".5pt">
                <v:textbox>
                  <w:txbxContent>
                    <w:p w14:paraId="704A5A8A" w14:textId="147A2070" w:rsidR="00D15FD8" w:rsidRPr="00BD6508" w:rsidRDefault="00D15FD8" w:rsidP="00BD6508">
                      <w:pPr>
                        <w:jc w:val="center"/>
                        <w:rPr>
                          <w:rFonts w:ascii="Arial" w:hAnsi="Arial" w:cs="Arial"/>
                          <w:b/>
                          <w:bCs/>
                          <w:color w:val="F9A133"/>
                          <w:sz w:val="24"/>
                          <w:szCs w:val="24"/>
                          <w:lang w:val="en-US"/>
                        </w:rPr>
                      </w:pPr>
                      <w:r w:rsidRPr="00BD6508">
                        <w:rPr>
                          <w:rFonts w:ascii="Arial" w:hAnsi="Arial" w:cs="Arial"/>
                          <w:b/>
                          <w:bCs/>
                          <w:color w:val="F9A133"/>
                          <w:sz w:val="24"/>
                          <w:szCs w:val="24"/>
                          <w:lang w:val="en-US"/>
                        </w:rPr>
                        <w:t>Performance</w:t>
                      </w:r>
                    </w:p>
                    <w:p w14:paraId="2C3B31E5" w14:textId="67F2217B" w:rsidR="00D15FD8" w:rsidRPr="00BD6508" w:rsidRDefault="00D15FD8" w:rsidP="00BD6508">
                      <w:pPr>
                        <w:jc w:val="center"/>
                        <w:rPr>
                          <w:rFonts w:ascii="Arial" w:hAnsi="Arial" w:cs="Arial"/>
                          <w:b/>
                          <w:bCs/>
                          <w:color w:val="F9A133"/>
                          <w:sz w:val="24"/>
                          <w:szCs w:val="24"/>
                          <w:lang w:val="en-US"/>
                        </w:rPr>
                      </w:pPr>
                      <w:r w:rsidRPr="00BD6508">
                        <w:rPr>
                          <w:rFonts w:ascii="Arial" w:hAnsi="Arial" w:cs="Arial"/>
                          <w:b/>
                          <w:bCs/>
                          <w:color w:val="F9A133"/>
                          <w:sz w:val="24"/>
                          <w:szCs w:val="24"/>
                          <w:lang w:val="en-US"/>
                        </w:rPr>
                        <w:t>Outcome</w:t>
                      </w:r>
                    </w:p>
                    <w:p w14:paraId="4EFB6405" w14:textId="538BF44E" w:rsidR="00D15FD8" w:rsidRPr="00BD6508" w:rsidRDefault="00D15FD8" w:rsidP="00BD6508">
                      <w:pPr>
                        <w:jc w:val="center"/>
                        <w:rPr>
                          <w:rFonts w:ascii="Arial" w:hAnsi="Arial" w:cs="Arial"/>
                          <w:b/>
                          <w:bCs/>
                          <w:color w:val="F9A133"/>
                          <w:sz w:val="24"/>
                          <w:szCs w:val="24"/>
                          <w:lang w:val="en-US"/>
                        </w:rPr>
                      </w:pPr>
                      <w:r w:rsidRPr="00BD6508">
                        <w:rPr>
                          <w:rFonts w:ascii="Arial" w:hAnsi="Arial" w:cs="Arial"/>
                          <w:b/>
                          <w:bCs/>
                          <w:color w:val="F9A133"/>
                          <w:sz w:val="24"/>
                          <w:szCs w:val="24"/>
                          <w:lang w:val="en-US"/>
                        </w:rPr>
                        <w:t>Areas</w:t>
                      </w:r>
                    </w:p>
                  </w:txbxContent>
                </v:textbox>
              </v:shape>
            </w:pict>
          </mc:Fallback>
        </mc:AlternateContent>
      </w:r>
      <w:r w:rsidR="00C42EB4" w:rsidRPr="00BD6508">
        <w:rPr>
          <w:rFonts w:ascii="Arial" w:hAnsi="Arial" w:cs="Arial"/>
          <w:sz w:val="24"/>
          <w:szCs w:val="24"/>
        </w:rPr>
        <w:t>It contains 9 key performance outcome areas covering most critical tax administration functions, processes and institutions. The outcome areas are assessed on 32 high-level indicators, each built on 1 to 5 dimensions adding up to 55 measurement dimensions. TADAT focuses on the performance of the major national taxes –corporate income tax, personal income tax, value added tax or its indirect tax equivalent such as sales tax, and pay as you earn amounts withheld by employers.</w:t>
      </w:r>
      <w:r w:rsidR="00C42EB4" w:rsidRPr="00BD6508">
        <w:rPr>
          <w:rFonts w:ascii="Arial" w:hAnsi="Arial" w:cs="Arial"/>
          <w:sz w:val="24"/>
          <w:szCs w:val="24"/>
          <w:lang w:val="en-ZA"/>
        </w:rPr>
        <w:t> Several of its</w:t>
      </w:r>
      <w:r w:rsidR="00C42EB4" w:rsidRPr="00BD6508">
        <w:rPr>
          <w:rFonts w:ascii="Arial" w:hAnsi="Arial" w:cs="Arial"/>
          <w:sz w:val="24"/>
          <w:szCs w:val="24"/>
        </w:rPr>
        <w:t xml:space="preserve"> indicators are directly related to fiscal transparency, including those related to the rule of law, and dimensions that cover interactions between the tax administration and taxpayers. These include whether taxpayers have the necessary information and support; the ease by which taxpayers obtain information; the use and frequency of methods to obtain feedback; the performance of tax dispute resolution measures and measures of whether an ombudsman or equivalent body investigates taxpayer complaints; as well as the mechanism for monitoring the public’s perception of the integrity of the tax administration. It also c</w:t>
      </w:r>
      <w:r w:rsidR="00C42EB4" w:rsidRPr="00BD6508">
        <w:rPr>
          <w:rFonts w:ascii="Arial" w:hAnsi="Arial" w:cs="Arial"/>
          <w:bCs/>
          <w:sz w:val="24"/>
          <w:szCs w:val="24"/>
        </w:rPr>
        <w:t xml:space="preserve">ites as a good practice external oversight of the tax administration through mandatory reporting to Parliament by way of an annual report of tax administration operational and financial performance, and parliamentary committees probing senior executives in relation to external audit findings. </w:t>
      </w:r>
    </w:p>
    <w:p w14:paraId="05DB4062" w14:textId="19A98A79" w:rsidR="00C42EB4" w:rsidRDefault="00C42EB4" w:rsidP="00C42EB4">
      <w:pPr>
        <w:tabs>
          <w:tab w:val="num" w:pos="720"/>
        </w:tabs>
        <w:spacing w:after="160" w:line="276" w:lineRule="auto"/>
        <w:jc w:val="both"/>
        <w:rPr>
          <w:rFonts w:ascii="Arial" w:hAnsi="Arial" w:cs="Arial"/>
          <w:sz w:val="24"/>
          <w:szCs w:val="24"/>
        </w:rPr>
      </w:pPr>
      <w:r w:rsidRPr="00BD6508">
        <w:rPr>
          <w:rFonts w:ascii="Arial" w:hAnsi="Arial" w:cs="Arial"/>
          <w:sz w:val="24"/>
          <w:szCs w:val="24"/>
          <w:lang w:val="en-ZA"/>
        </w:rPr>
        <w:lastRenderedPageBreak/>
        <w:t>The assessment is conducted at the request of individual countries. An assessment team, together with the country’s officials, uses the TADAT methodology to assess the health status of the country’s tax administration system using collated evidence from desk research and field office visits. The results are then documented in a Performance Assessment Report</w:t>
      </w:r>
      <w:r w:rsidRPr="00BD6508">
        <w:rPr>
          <w:rFonts w:ascii="Arial" w:hAnsi="Arial" w:cs="Arial"/>
          <w:sz w:val="24"/>
          <w:szCs w:val="24"/>
        </w:rPr>
        <w:t>, that are published on the TADAT website, unless the country chooses to opt-out.  </w:t>
      </w:r>
    </w:p>
    <w:p w14:paraId="737F7AC3" w14:textId="668C14AD" w:rsidR="00F230CC" w:rsidRDefault="00616F01" w:rsidP="00C42EB4">
      <w:pPr>
        <w:tabs>
          <w:tab w:val="num" w:pos="720"/>
        </w:tabs>
        <w:spacing w:after="160"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455358" behindDoc="0" locked="0" layoutInCell="1" allowOverlap="1" wp14:anchorId="1B73B26E" wp14:editId="1D3CEB09">
                <wp:simplePos x="0" y="0"/>
                <wp:positionH relativeFrom="margin">
                  <wp:posOffset>45085</wp:posOffset>
                </wp:positionH>
                <wp:positionV relativeFrom="paragraph">
                  <wp:posOffset>140970</wp:posOffset>
                </wp:positionV>
                <wp:extent cx="6555105" cy="514985"/>
                <wp:effectExtent l="0" t="0" r="0" b="5715"/>
                <wp:wrapNone/>
                <wp:docPr id="1803" name="Rounded Rectangle 1803"/>
                <wp:cNvGraphicFramePr/>
                <a:graphic xmlns:a="http://schemas.openxmlformats.org/drawingml/2006/main">
                  <a:graphicData uri="http://schemas.microsoft.com/office/word/2010/wordprocessingShape">
                    <wps:wsp>
                      <wps:cNvSpPr/>
                      <wps:spPr>
                        <a:xfrm>
                          <a:off x="0" y="0"/>
                          <a:ext cx="6555105" cy="514985"/>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98D1F5E" id="Rounded Rectangle 1803" o:spid="_x0000_s1026" style="position:absolute;margin-left:3.55pt;margin-top:11.1pt;width:516.15pt;height:40.55pt;z-index:253455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" fillcolor="#f9a133" stroked="f" strokeweight="1pt">
                <v:stroke joinstyle="miter"/>
                <w10:wrap anchorx="margin"/>
              </v:roundrect>
            </w:pict>
          </mc:Fallback>
        </mc:AlternateContent>
      </w:r>
      <w:r w:rsidR="00F230CC">
        <w:rPr>
          <w:rFonts w:ascii="Arial" w:hAnsi="Arial" w:cs="Arial"/>
          <w:noProof/>
          <w:sz w:val="24"/>
          <w:szCs w:val="24"/>
          <w:lang w:val="en-US"/>
        </w:rPr>
        <mc:AlternateContent>
          <mc:Choice Requires="wps">
            <w:drawing>
              <wp:anchor distT="0" distB="0" distL="114300" distR="114300" simplePos="0" relativeHeight="253456382" behindDoc="0" locked="0" layoutInCell="1" allowOverlap="1" wp14:anchorId="11BE5AAC" wp14:editId="0413ACBD">
                <wp:simplePos x="0" y="0"/>
                <wp:positionH relativeFrom="margin">
                  <wp:posOffset>134620</wp:posOffset>
                </wp:positionH>
                <wp:positionV relativeFrom="paragraph">
                  <wp:posOffset>192861</wp:posOffset>
                </wp:positionV>
                <wp:extent cx="5486400" cy="386080"/>
                <wp:effectExtent l="0" t="0" r="0" b="0"/>
                <wp:wrapNone/>
                <wp:docPr id="1804" name="Text Box 1804"/>
                <wp:cNvGraphicFramePr/>
                <a:graphic xmlns:a="http://schemas.openxmlformats.org/drawingml/2006/main">
                  <a:graphicData uri="http://schemas.microsoft.com/office/word/2010/wordprocessingShape">
                    <wps:wsp>
                      <wps:cNvSpPr txBox="1"/>
                      <wps:spPr>
                        <a:xfrm>
                          <a:off x="0" y="0"/>
                          <a:ext cx="5486400" cy="386080"/>
                        </a:xfrm>
                        <a:prstGeom prst="rect">
                          <a:avLst/>
                        </a:prstGeom>
                        <a:noFill/>
                        <a:ln w="6350">
                          <a:noFill/>
                        </a:ln>
                      </wps:spPr>
                      <wps:txbx>
                        <w:txbxContent>
                          <w:p w14:paraId="1BAE66BB" w14:textId="12CB13A8"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840" w:name="_Toc123204521"/>
                            <w:bookmarkStart w:id="1841" w:name="_Toc123216632"/>
                            <w:bookmarkStart w:id="1842" w:name="_Toc123217472"/>
                            <w:bookmarkStart w:id="1843" w:name="_Toc123828219"/>
                            <w:bookmarkStart w:id="1844" w:name="_Toc123828429"/>
                            <w:bookmarkStart w:id="1845" w:name="_Toc123828625"/>
                            <w:bookmarkStart w:id="1846" w:name="_Toc123912652"/>
                            <w:bookmarkStart w:id="1847" w:name="_Toc123912911"/>
                            <w:bookmarkStart w:id="1848" w:name="_Toc123913138"/>
                            <w:bookmarkStart w:id="1849" w:name="_Toc123913429"/>
                            <w:bookmarkStart w:id="1850" w:name="_Toc123914086"/>
                            <w:bookmarkStart w:id="1851" w:name="_Toc125566701"/>
                            <w:r>
                              <w:rPr>
                                <w:rFonts w:ascii="Arial" w:hAnsi="Arial" w:cs="Arial"/>
                                <w:b/>
                                <w:bCs/>
                                <w:color w:val="FFFFFF" w:themeColor="background1"/>
                                <w:sz w:val="32"/>
                                <w:szCs w:val="32"/>
                                <w:lang w:val="en-US"/>
                              </w:rPr>
                              <w:t>IMF Public Investment Management Assessment</w:t>
                            </w:r>
                            <w:bookmarkEnd w:id="1840"/>
                            <w:bookmarkEnd w:id="1841"/>
                            <w:bookmarkEnd w:id="1842"/>
                            <w:bookmarkEnd w:id="1843"/>
                            <w:bookmarkEnd w:id="1844"/>
                            <w:bookmarkEnd w:id="1845"/>
                            <w:bookmarkEnd w:id="1846"/>
                            <w:bookmarkEnd w:id="1847"/>
                            <w:bookmarkEnd w:id="1848"/>
                            <w:bookmarkEnd w:id="1849"/>
                            <w:bookmarkEnd w:id="1850"/>
                            <w:bookmarkEnd w:id="185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E5AAC" id="Text Box 1804" o:spid="_x0000_s1450" type="#_x0000_t202" style="position:absolute;left:0;text-align:left;margin-left:10.6pt;margin-top:15.2pt;width:6in;height:30.4pt;z-index:253456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" filled="f" stroked="f" strokeweight=".5pt">
                <v:textbox>
                  <w:txbxContent>
                    <w:p w14:paraId="1BAE66BB" w14:textId="12CB13A8"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852" w:name="_Toc123204521"/>
                      <w:bookmarkStart w:id="1853" w:name="_Toc123216632"/>
                      <w:bookmarkStart w:id="1854" w:name="_Toc123217472"/>
                      <w:bookmarkStart w:id="1855" w:name="_Toc123828219"/>
                      <w:bookmarkStart w:id="1856" w:name="_Toc123828429"/>
                      <w:bookmarkStart w:id="1857" w:name="_Toc123828625"/>
                      <w:bookmarkStart w:id="1858" w:name="_Toc123912652"/>
                      <w:bookmarkStart w:id="1859" w:name="_Toc123912911"/>
                      <w:bookmarkStart w:id="1860" w:name="_Toc123913138"/>
                      <w:bookmarkStart w:id="1861" w:name="_Toc123913429"/>
                      <w:bookmarkStart w:id="1862" w:name="_Toc123914086"/>
                      <w:bookmarkStart w:id="1863" w:name="_Toc125566701"/>
                      <w:r>
                        <w:rPr>
                          <w:rFonts w:ascii="Arial" w:hAnsi="Arial" w:cs="Arial"/>
                          <w:b/>
                          <w:bCs/>
                          <w:color w:val="FFFFFF" w:themeColor="background1"/>
                          <w:sz w:val="32"/>
                          <w:szCs w:val="32"/>
                          <w:lang w:val="en-US"/>
                        </w:rPr>
                        <w:t>IMF Public Investment Management Assessment</w:t>
                      </w:r>
                      <w:bookmarkEnd w:id="1852"/>
                      <w:bookmarkEnd w:id="1853"/>
                      <w:bookmarkEnd w:id="1854"/>
                      <w:bookmarkEnd w:id="1855"/>
                      <w:bookmarkEnd w:id="1856"/>
                      <w:bookmarkEnd w:id="1857"/>
                      <w:bookmarkEnd w:id="1858"/>
                      <w:bookmarkEnd w:id="1859"/>
                      <w:bookmarkEnd w:id="1860"/>
                      <w:bookmarkEnd w:id="1861"/>
                      <w:bookmarkEnd w:id="1862"/>
                      <w:bookmarkEnd w:id="1863"/>
                    </w:p>
                  </w:txbxContent>
                </v:textbox>
                <w10:wrap anchorx="margin"/>
              </v:shape>
            </w:pict>
          </mc:Fallback>
        </mc:AlternateContent>
      </w:r>
    </w:p>
    <w:p w14:paraId="1503C2FE" w14:textId="138D35ED" w:rsidR="00F230CC" w:rsidRDefault="00F230CC" w:rsidP="00F230CC">
      <w:pPr>
        <w:tabs>
          <w:tab w:val="num" w:pos="720"/>
        </w:tabs>
        <w:spacing w:after="160" w:line="276" w:lineRule="auto"/>
        <w:jc w:val="both"/>
        <w:rPr>
          <w:rFonts w:ascii="Arial" w:hAnsi="Arial" w:cs="Arial"/>
          <w:sz w:val="24"/>
          <w:szCs w:val="24"/>
          <w:lang w:val="en-ZA"/>
        </w:rPr>
      </w:pPr>
    </w:p>
    <w:p w14:paraId="0D636ABC" w14:textId="77777777" w:rsidR="00F230CC" w:rsidRDefault="00F230CC" w:rsidP="00F230CC">
      <w:pPr>
        <w:tabs>
          <w:tab w:val="num" w:pos="720"/>
        </w:tabs>
        <w:spacing w:after="160" w:line="276" w:lineRule="auto"/>
        <w:jc w:val="both"/>
        <w:rPr>
          <w:rFonts w:ascii="Arial" w:hAnsi="Arial" w:cs="Arial"/>
          <w:sz w:val="24"/>
          <w:szCs w:val="24"/>
          <w:lang w:val="en-ZA"/>
        </w:rPr>
      </w:pPr>
    </w:p>
    <w:p w14:paraId="3AFFE4FF" w14:textId="4F38A8BF" w:rsidR="00F230CC" w:rsidRDefault="00F230CC" w:rsidP="00F230CC">
      <w:pPr>
        <w:tabs>
          <w:tab w:val="num" w:pos="720"/>
        </w:tabs>
        <w:spacing w:after="160"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3457406" behindDoc="0" locked="0" layoutInCell="1" allowOverlap="1" wp14:anchorId="417C8F46" wp14:editId="68E195CE">
            <wp:simplePos x="0" y="0"/>
            <wp:positionH relativeFrom="column">
              <wp:posOffset>-70923</wp:posOffset>
            </wp:positionH>
            <wp:positionV relativeFrom="paragraph">
              <wp:posOffset>109220</wp:posOffset>
            </wp:positionV>
            <wp:extent cx="3502025" cy="3528695"/>
            <wp:effectExtent l="0" t="0" r="3175" b="1905"/>
            <wp:wrapSquare wrapText="bothSides"/>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Picture 1808"/>
                    <pic:cNvPicPr/>
                  </pic:nvPicPr>
                  <pic:blipFill rotWithShape="1">
                    <a:blip r:embed="rId790" cstate="email">
                      <a:extLst>
                        <a:ext uri="{28A0092B-C50C-407E-A947-70E740481C1C}">
                          <a14:useLocalDpi xmlns:a14="http://schemas.microsoft.com/office/drawing/2010/main"/>
                        </a:ext>
                      </a:extLst>
                    </a:blip>
                    <a:srcRect/>
                    <a:stretch/>
                  </pic:blipFill>
                  <pic:spPr bwMode="auto">
                    <a:xfrm>
                      <a:off x="0" y="0"/>
                      <a:ext cx="3502025" cy="3528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508">
        <w:rPr>
          <w:rFonts w:ascii="Arial" w:hAnsi="Arial" w:cs="Arial"/>
          <w:sz w:val="24"/>
          <w:szCs w:val="24"/>
          <w:lang w:val="en-ZA"/>
        </w:rPr>
        <w:t>The</w:t>
      </w:r>
      <w:r w:rsidRPr="00BD6508">
        <w:rPr>
          <w:rFonts w:ascii="Arial" w:eastAsiaTheme="majorEastAsia" w:hAnsi="Arial" w:cs="Arial"/>
          <w:color w:val="ED7D31" w:themeColor="accent2"/>
          <w:sz w:val="24"/>
          <w:szCs w:val="24"/>
          <w:lang w:val="en-US"/>
        </w:rPr>
        <w:t xml:space="preserve"> </w:t>
      </w:r>
      <w:hyperlink r:id="rId791" w:history="1">
        <w:r w:rsidRPr="00BD6508">
          <w:rPr>
            <w:rStyle w:val="Hyperlink"/>
            <w:rFonts w:ascii="Arial" w:hAnsi="Arial" w:cs="Arial"/>
            <w:sz w:val="24"/>
            <w:szCs w:val="24"/>
            <w:lang w:val="en-US"/>
          </w:rPr>
          <w:t>Public Investment Management Assessment</w:t>
        </w:r>
      </w:hyperlink>
      <w:r w:rsidRPr="00BD6508">
        <w:rPr>
          <w:rFonts w:ascii="Arial" w:hAnsi="Arial" w:cs="Arial"/>
          <w:sz w:val="24"/>
          <w:szCs w:val="24"/>
          <w:lang w:val="en-ZA"/>
        </w:rPr>
        <w:t xml:space="preserve"> (PIMA) Framework assesses strengths and weaknesses across all stages of the management of public investment. It evaluates a country’s infrastructure governance, namely, the procedures, tools, and decision-making and monitoring processes used by governments to provide infrastructure assets and services to the public. The framework covers the whole investment cycle, across three main stages (planning, allocation, and implementation), and fifteen institutions. Each institution is assessed on both institutional strength (the organization, policies, rules and procedures on paper) and effectiveness (the degree to which the intended purpose is being achieved in practice or whether there is a clear useful impact). PIMA evaluations help identify reform priorities, and propose practical, sequenced steps for their implementation. Several of the aspects covered in the framework are directly related to fiscal transparency, including publication of comprehensive investment strategies and plans, disclosure of total project costs and breakdowns over the medium-term, publication of appraisal methodologies, explicit selection criteria and access to procurement information.</w:t>
      </w:r>
    </w:p>
    <w:p w14:paraId="20ACCEC7" w14:textId="59B2B9FF" w:rsidR="007B0920" w:rsidRPr="00BD6508" w:rsidRDefault="007B0920" w:rsidP="00BD6508">
      <w:pPr>
        <w:tabs>
          <w:tab w:val="right" w:pos="8806"/>
        </w:tabs>
        <w:spacing w:after="160" w:line="276" w:lineRule="auto"/>
        <w:rPr>
          <w:rFonts w:ascii="Arial" w:hAnsi="Arial" w:cs="Arial"/>
          <w:sz w:val="24"/>
          <w:szCs w:val="24"/>
        </w:rPr>
      </w:pPr>
      <w:r w:rsidRPr="00BD6508">
        <w:rPr>
          <w:rFonts w:ascii="Arial" w:hAnsi="Arial" w:cs="Arial"/>
          <w:sz w:val="24"/>
          <w:szCs w:val="24"/>
        </w:rPr>
        <w:br w:type="page"/>
      </w:r>
      <w:r w:rsidR="00616F01">
        <w:rPr>
          <w:rFonts w:ascii="Arial" w:hAnsi="Arial" w:cs="Arial"/>
          <w:noProof/>
          <w:sz w:val="24"/>
          <w:szCs w:val="24"/>
          <w:lang w:val="en-US"/>
        </w:rPr>
        <w:lastRenderedPageBreak/>
        <w:drawing>
          <wp:anchor distT="0" distB="0" distL="114300" distR="114300" simplePos="0" relativeHeight="253461502" behindDoc="1" locked="0" layoutInCell="1" allowOverlap="1" wp14:anchorId="2BC98881" wp14:editId="4796C024">
            <wp:simplePos x="0" y="0"/>
            <wp:positionH relativeFrom="column">
              <wp:posOffset>6350</wp:posOffset>
            </wp:positionH>
            <wp:positionV relativeFrom="paragraph">
              <wp:posOffset>2540</wp:posOffset>
            </wp:positionV>
            <wp:extent cx="991235" cy="937260"/>
            <wp:effectExtent l="0" t="0" r="0" b="0"/>
            <wp:wrapSquare wrapText="bothSides"/>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Picture 1811"/>
                    <pic:cNvPicPr/>
                  </pic:nvPicPr>
                  <pic:blipFill rotWithShape="1">
                    <a:blip r:embed="rId792" cstate="email">
                      <a:extLst>
                        <a:ext uri="{28A0092B-C50C-407E-A947-70E740481C1C}">
                          <a14:useLocalDpi xmlns:a14="http://schemas.microsoft.com/office/drawing/2010/main"/>
                        </a:ext>
                      </a:extLst>
                    </a:blip>
                    <a:srcRect/>
                    <a:stretch/>
                  </pic:blipFill>
                  <pic:spPr bwMode="auto">
                    <a:xfrm>
                      <a:off x="0" y="0"/>
                      <a:ext cx="991235" cy="93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F01">
        <w:rPr>
          <w:rFonts w:ascii="Arial" w:hAnsi="Arial" w:cs="Arial"/>
          <w:noProof/>
          <w:sz w:val="24"/>
          <w:szCs w:val="24"/>
          <w:lang w:val="en-US"/>
        </w:rPr>
        <mc:AlternateContent>
          <mc:Choice Requires="wps">
            <w:drawing>
              <wp:anchor distT="0" distB="0" distL="114300" distR="114300" simplePos="0" relativeHeight="253460478" behindDoc="0" locked="0" layoutInCell="1" allowOverlap="1" wp14:anchorId="55F6BC9A" wp14:editId="2F6796D0">
                <wp:simplePos x="0" y="0"/>
                <wp:positionH relativeFrom="column">
                  <wp:posOffset>1216660</wp:posOffset>
                </wp:positionH>
                <wp:positionV relativeFrom="paragraph">
                  <wp:posOffset>284936</wp:posOffset>
                </wp:positionV>
                <wp:extent cx="5311775" cy="393700"/>
                <wp:effectExtent l="0" t="0" r="0" b="0"/>
                <wp:wrapNone/>
                <wp:docPr id="1810" name="Text Box 1810"/>
                <wp:cNvGraphicFramePr/>
                <a:graphic xmlns:a="http://schemas.openxmlformats.org/drawingml/2006/main">
                  <a:graphicData uri="http://schemas.microsoft.com/office/word/2010/wordprocessingShape">
                    <wps:wsp>
                      <wps:cNvSpPr txBox="1"/>
                      <wps:spPr>
                        <a:xfrm>
                          <a:off x="0" y="0"/>
                          <a:ext cx="5311775" cy="393700"/>
                        </a:xfrm>
                        <a:prstGeom prst="rect">
                          <a:avLst/>
                        </a:prstGeom>
                        <a:noFill/>
                        <a:ln w="6350">
                          <a:noFill/>
                        </a:ln>
                      </wps:spPr>
                      <wps:txbx>
                        <w:txbxContent>
                          <w:p w14:paraId="724F04CA" w14:textId="0FB695F8"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864" w:name="_Toc123204522"/>
                            <w:bookmarkStart w:id="1865" w:name="_Toc123216633"/>
                            <w:bookmarkStart w:id="1866" w:name="_Toc123217473"/>
                            <w:bookmarkStart w:id="1867" w:name="_Toc123828220"/>
                            <w:bookmarkStart w:id="1868" w:name="_Toc123828430"/>
                            <w:bookmarkStart w:id="1869" w:name="_Toc123828626"/>
                            <w:bookmarkStart w:id="1870" w:name="_Toc123912653"/>
                            <w:bookmarkStart w:id="1871" w:name="_Toc123912912"/>
                            <w:bookmarkStart w:id="1872" w:name="_Toc123913139"/>
                            <w:bookmarkStart w:id="1873" w:name="_Toc123913430"/>
                            <w:bookmarkStart w:id="1874" w:name="_Toc123914087"/>
                            <w:bookmarkStart w:id="1875" w:name="_Toc125566702"/>
                            <w:r>
                              <w:rPr>
                                <w:rFonts w:ascii="Arial" w:hAnsi="Arial" w:cs="Arial"/>
                                <w:b/>
                                <w:bCs/>
                                <w:color w:val="FFFFFF" w:themeColor="background1"/>
                                <w:sz w:val="32"/>
                                <w:szCs w:val="32"/>
                                <w:lang w:val="en-US"/>
                              </w:rPr>
                              <w:t>Global Data Barometer Public Finance Module</w:t>
                            </w:r>
                            <w:bookmarkEnd w:id="1864"/>
                            <w:bookmarkEnd w:id="1865"/>
                            <w:bookmarkEnd w:id="1866"/>
                            <w:bookmarkEnd w:id="1867"/>
                            <w:bookmarkEnd w:id="1868"/>
                            <w:bookmarkEnd w:id="1869"/>
                            <w:bookmarkEnd w:id="1870"/>
                            <w:bookmarkEnd w:id="1871"/>
                            <w:bookmarkEnd w:id="1872"/>
                            <w:bookmarkEnd w:id="1873"/>
                            <w:bookmarkEnd w:id="1874"/>
                            <w:bookmarkEnd w:id="187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6BC9A" id="Text Box 1810" o:spid="_x0000_s1451" type="#_x0000_t202" style="position:absolute;margin-left:95.8pt;margin-top:22.45pt;width:418.25pt;height:31pt;z-index:253460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" filled="f" stroked="f" strokeweight=".5pt">
                <v:textbox>
                  <w:txbxContent>
                    <w:p w14:paraId="724F04CA" w14:textId="0FB695F8" w:rsidR="00D15FD8" w:rsidRPr="00BD6508" w:rsidRDefault="00D15FD8" w:rsidP="00BD6508">
                      <w:pPr>
                        <w:pStyle w:val="Heading3"/>
                        <w:numPr>
                          <w:ilvl w:val="2"/>
                          <w:numId w:val="111"/>
                        </w:numPr>
                        <w:rPr>
                          <w:rFonts w:ascii="Arial" w:hAnsi="Arial" w:cs="Arial"/>
                          <w:b/>
                          <w:bCs/>
                          <w:color w:val="FFFFFF" w:themeColor="background1"/>
                          <w:sz w:val="32"/>
                          <w:szCs w:val="32"/>
                          <w:lang w:val="en-US"/>
                        </w:rPr>
                      </w:pPr>
                      <w:r>
                        <w:rPr>
                          <w:rFonts w:ascii="Arial" w:hAnsi="Arial" w:cs="Arial"/>
                          <w:b/>
                          <w:bCs/>
                          <w:color w:val="FFFFFF" w:themeColor="background1"/>
                          <w:sz w:val="32"/>
                          <w:szCs w:val="32"/>
                          <w:lang w:val="en-US"/>
                        </w:rPr>
                        <w:t xml:space="preserve"> </w:t>
                      </w:r>
                      <w:bookmarkStart w:id="1876" w:name="_Toc123204522"/>
                      <w:bookmarkStart w:id="1877" w:name="_Toc123216633"/>
                      <w:bookmarkStart w:id="1878" w:name="_Toc123217473"/>
                      <w:bookmarkStart w:id="1879" w:name="_Toc123828220"/>
                      <w:bookmarkStart w:id="1880" w:name="_Toc123828430"/>
                      <w:bookmarkStart w:id="1881" w:name="_Toc123828626"/>
                      <w:bookmarkStart w:id="1882" w:name="_Toc123912653"/>
                      <w:bookmarkStart w:id="1883" w:name="_Toc123912912"/>
                      <w:bookmarkStart w:id="1884" w:name="_Toc123913139"/>
                      <w:bookmarkStart w:id="1885" w:name="_Toc123913430"/>
                      <w:bookmarkStart w:id="1886" w:name="_Toc123914087"/>
                      <w:bookmarkStart w:id="1887" w:name="_Toc125566702"/>
                      <w:r>
                        <w:rPr>
                          <w:rFonts w:ascii="Arial" w:hAnsi="Arial" w:cs="Arial"/>
                          <w:b/>
                          <w:bCs/>
                          <w:color w:val="FFFFFF" w:themeColor="background1"/>
                          <w:sz w:val="32"/>
                          <w:szCs w:val="32"/>
                          <w:lang w:val="en-US"/>
                        </w:rPr>
                        <w:t>Global Data Barometer Public Finance Module</w:t>
                      </w:r>
                      <w:bookmarkEnd w:id="1876"/>
                      <w:bookmarkEnd w:id="1877"/>
                      <w:bookmarkEnd w:id="1878"/>
                      <w:bookmarkEnd w:id="1879"/>
                      <w:bookmarkEnd w:id="1880"/>
                      <w:bookmarkEnd w:id="1881"/>
                      <w:bookmarkEnd w:id="1882"/>
                      <w:bookmarkEnd w:id="1883"/>
                      <w:bookmarkEnd w:id="1884"/>
                      <w:bookmarkEnd w:id="1885"/>
                      <w:bookmarkEnd w:id="1886"/>
                      <w:bookmarkEnd w:id="1887"/>
                    </w:p>
                  </w:txbxContent>
                </v:textbox>
              </v:shape>
            </w:pict>
          </mc:Fallback>
        </mc:AlternateContent>
      </w:r>
      <w:r w:rsidR="00616F01">
        <w:rPr>
          <w:rFonts w:ascii="Arial" w:hAnsi="Arial" w:cs="Arial"/>
          <w:noProof/>
          <w:sz w:val="24"/>
          <w:szCs w:val="24"/>
          <w:lang w:val="en-US"/>
        </w:rPr>
        <mc:AlternateContent>
          <mc:Choice Requires="wps">
            <w:drawing>
              <wp:anchor distT="0" distB="0" distL="114300" distR="114300" simplePos="0" relativeHeight="253459454" behindDoc="0" locked="0" layoutInCell="1" allowOverlap="1" wp14:anchorId="770C2D57" wp14:editId="4356369D">
                <wp:simplePos x="0" y="0"/>
                <wp:positionH relativeFrom="column">
                  <wp:posOffset>1079500</wp:posOffset>
                </wp:positionH>
                <wp:positionV relativeFrom="paragraph">
                  <wp:posOffset>207645</wp:posOffset>
                </wp:positionV>
                <wp:extent cx="5549900" cy="520700"/>
                <wp:effectExtent l="0" t="0" r="0" b="0"/>
                <wp:wrapNone/>
                <wp:docPr id="1809" name="Rounded Rectangle 1809"/>
                <wp:cNvGraphicFramePr/>
                <a:graphic xmlns:a="http://schemas.openxmlformats.org/drawingml/2006/main">
                  <a:graphicData uri="http://schemas.microsoft.com/office/word/2010/wordprocessingShape">
                    <wps:wsp>
                      <wps:cNvSpPr/>
                      <wps:spPr>
                        <a:xfrm>
                          <a:off x="0" y="0"/>
                          <a:ext cx="5549900" cy="5207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6292FABA" id="Rounded Rectangle 1809" o:spid="_x0000_s1026" style="position:absolute;margin-left:85pt;margin-top:16.35pt;width:437pt;height:41pt;z-index:2534594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" fillcolor="#f9a133" stroked="f" strokeweight="1pt">
                <v:stroke joinstyle="miter"/>
              </v:roundrect>
            </w:pict>
          </mc:Fallback>
        </mc:AlternateContent>
      </w:r>
      <w:r w:rsidR="009A2837">
        <w:rPr>
          <w:rFonts w:ascii="Arial" w:hAnsi="Arial" w:cs="Arial"/>
          <w:sz w:val="24"/>
          <w:szCs w:val="24"/>
        </w:rPr>
        <w:tab/>
      </w:r>
    </w:p>
    <w:p w14:paraId="1CBF855A" w14:textId="67E3EE5A" w:rsidR="00EC137D" w:rsidRDefault="00EC137D">
      <w:pPr>
        <w:tabs>
          <w:tab w:val="left" w:pos="2220"/>
        </w:tabs>
        <w:rPr>
          <w:rFonts w:ascii="Arial" w:hAnsi="Arial" w:cs="Arial"/>
          <w:sz w:val="24"/>
          <w:szCs w:val="24"/>
        </w:rPr>
      </w:pPr>
    </w:p>
    <w:p w14:paraId="14262059" w14:textId="2448C12F" w:rsidR="00616F01" w:rsidRPr="00616F01" w:rsidRDefault="00616F01" w:rsidP="00BD6508">
      <w:pPr>
        <w:rPr>
          <w:rFonts w:ascii="Arial" w:hAnsi="Arial" w:cs="Arial"/>
          <w:sz w:val="24"/>
          <w:szCs w:val="24"/>
        </w:rPr>
      </w:pPr>
    </w:p>
    <w:p w14:paraId="284FD52D" w14:textId="69416FA9" w:rsidR="00616F01" w:rsidRDefault="00616F01" w:rsidP="00616F01">
      <w:pPr>
        <w:rPr>
          <w:rFonts w:ascii="Arial" w:hAnsi="Arial" w:cs="Arial"/>
          <w:sz w:val="24"/>
          <w:szCs w:val="24"/>
        </w:rPr>
      </w:pPr>
    </w:p>
    <w:p w14:paraId="6D313721" w14:textId="4AA1D717" w:rsidR="00616F01" w:rsidRDefault="00616F01" w:rsidP="00616F01">
      <w:pPr>
        <w:rPr>
          <w:rFonts w:ascii="Arial" w:hAnsi="Arial" w:cs="Arial"/>
          <w:sz w:val="24"/>
          <w:szCs w:val="24"/>
        </w:rPr>
      </w:pPr>
    </w:p>
    <w:p w14:paraId="27304A60" w14:textId="26E84BE2" w:rsidR="00616F01" w:rsidRDefault="00FF7743" w:rsidP="00616F01">
      <w:pPr>
        <w:keepNext/>
        <w:keepLines/>
        <w:spacing w:before="240" w:after="240" w:line="276" w:lineRule="auto"/>
        <w:jc w:val="both"/>
        <w:outlineLvl w:val="1"/>
        <w:rPr>
          <w:rFonts w:ascii="Arial" w:hAnsi="Arial" w:cs="Arial"/>
          <w:sz w:val="24"/>
          <w:szCs w:val="24"/>
        </w:rPr>
      </w:pPr>
      <w:bookmarkStart w:id="1888" w:name="_Toc117950219"/>
      <w:bookmarkStart w:id="1889" w:name="_Toc117951705"/>
      <w:bookmarkStart w:id="1890" w:name="_Toc118229630"/>
      <w:bookmarkStart w:id="1891" w:name="_Toc118229987"/>
      <w:bookmarkStart w:id="1892" w:name="_Toc118871632"/>
      <w:bookmarkStart w:id="1893" w:name="_Toc118971130"/>
      <w:bookmarkStart w:id="1894" w:name="_Toc119792772"/>
      <w:bookmarkStart w:id="1895" w:name="_Toc119794526"/>
      <w:bookmarkStart w:id="1896" w:name="_Toc123204523"/>
      <w:bookmarkStart w:id="1897" w:name="_Toc123216634"/>
      <w:bookmarkStart w:id="1898" w:name="_Toc123217474"/>
      <w:bookmarkStart w:id="1899" w:name="_Toc123913431"/>
      <w:bookmarkStart w:id="1900" w:name="_Toc123914088"/>
      <w:bookmarkStart w:id="1901" w:name="_Toc125566703"/>
      <w:r w:rsidRPr="009820E7">
        <w:rPr>
          <w:rFonts w:ascii="Arial" w:hAnsi="Arial" w:cs="Arial"/>
          <w:noProof/>
          <w:sz w:val="24"/>
          <w:szCs w:val="24"/>
          <w:lang w:val="en-US"/>
        </w:rPr>
        <w:drawing>
          <wp:anchor distT="0" distB="0" distL="114300" distR="114300" simplePos="0" relativeHeight="255075326" behindDoc="1" locked="0" layoutInCell="1" allowOverlap="1" wp14:anchorId="7145CD6F" wp14:editId="21FCEB12">
            <wp:simplePos x="0" y="0"/>
            <wp:positionH relativeFrom="column">
              <wp:posOffset>-177800</wp:posOffset>
            </wp:positionH>
            <wp:positionV relativeFrom="paragraph">
              <wp:posOffset>2289810</wp:posOffset>
            </wp:positionV>
            <wp:extent cx="6341110" cy="1295400"/>
            <wp:effectExtent l="0" t="0" r="0" b="0"/>
            <wp:wrapTight wrapText="bothSides">
              <wp:wrapPolygon edited="0">
                <wp:start x="1428" y="0"/>
                <wp:lineTo x="562" y="2329"/>
                <wp:lineTo x="173" y="3600"/>
                <wp:lineTo x="0" y="7200"/>
                <wp:lineTo x="0" y="16518"/>
                <wp:lineTo x="346" y="16941"/>
                <wp:lineTo x="476" y="20329"/>
                <wp:lineTo x="1082" y="21176"/>
                <wp:lineTo x="1428" y="21388"/>
                <wp:lineTo x="18775" y="21388"/>
                <wp:lineTo x="19467" y="20329"/>
                <wp:lineTo x="20203" y="17365"/>
                <wp:lineTo x="20506" y="13553"/>
                <wp:lineTo x="20549" y="10165"/>
                <wp:lineTo x="20289" y="6776"/>
                <wp:lineTo x="19770" y="4235"/>
                <wp:lineTo x="19554" y="3388"/>
                <wp:lineTo x="19640" y="847"/>
                <wp:lineTo x="17737" y="635"/>
                <wp:lineTo x="2898" y="0"/>
                <wp:lineTo x="1428" y="0"/>
              </wp:wrapPolygon>
            </wp:wrapTight>
            <wp:docPr id="2744" name="Picture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Picture 2744"/>
                    <pic:cNvPicPr/>
                  </pic:nvPicPr>
                  <pic:blipFill rotWithShape="1">
                    <a:blip r:embed="rId793" cstate="screen">
                      <a:extLst>
                        <a:ext uri="{28A0092B-C50C-407E-A947-70E740481C1C}">
                          <a14:useLocalDpi xmlns:a14="http://schemas.microsoft.com/office/drawing/2010/main"/>
                        </a:ext>
                      </a:extLst>
                    </a:blip>
                    <a:srcRect/>
                    <a:stretch/>
                  </pic:blipFill>
                  <pic:spPr bwMode="auto">
                    <a:xfrm>
                      <a:off x="0" y="0"/>
                      <a:ext cx="634111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950" w:rsidRPr="009820E7">
        <w:rPr>
          <w:rFonts w:ascii="Arial" w:hAnsi="Arial" w:cs="Arial"/>
          <w:sz w:val="24"/>
          <w:szCs w:val="24"/>
        </w:rPr>
        <w:t xml:space="preserve">The Global Data Barometer’s </w:t>
      </w:r>
      <w:hyperlink r:id="rId794" w:history="1">
        <w:r w:rsidR="006E0950" w:rsidRPr="009820E7">
          <w:rPr>
            <w:rFonts w:ascii="Arial" w:hAnsi="Arial" w:cs="Arial"/>
            <w:sz w:val="24"/>
            <w:szCs w:val="24"/>
          </w:rPr>
          <w:t>Public Finance Module</w:t>
        </w:r>
      </w:hyperlink>
      <w:r w:rsidR="006E0950" w:rsidRPr="009820E7">
        <w:rPr>
          <w:rFonts w:ascii="Arial" w:hAnsi="Arial" w:cs="Arial"/>
          <w:sz w:val="24"/>
          <w:szCs w:val="24"/>
        </w:rPr>
        <w:t xml:space="preserve"> is one of the most recent assessments, co-developed with the GIFT. It aims to improve the comparative understanding of public finance data, and to contribute to overall Global Data Barometer assessments of data for the public good. Building on extensive research of norms and standards, this module looks specifically for evidence that governance frameworks exist for the publication of detailed, disaggregated, and machine-readable data on key aspects of government finance; and that data is actually available in a granular, machine-readable, and timely form. Additionally, thematic modules on company information, political integrity, and public procurement contain links to the public finance module, looking at questions of interoperability between budgeting, spending, and procurement, and the inclusion of public infrastructure projects and unique counterparty identifiers in published data</w:t>
      </w:r>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r w:rsidR="009820E7">
        <w:rPr>
          <w:rFonts w:ascii="Arial" w:hAnsi="Arial" w:cs="Arial"/>
          <w:sz w:val="24"/>
          <w:szCs w:val="24"/>
        </w:rPr>
        <w:t>.</w:t>
      </w:r>
    </w:p>
    <w:p w14:paraId="5283E7E2" w14:textId="0E87AE6E" w:rsidR="00533160" w:rsidRDefault="00FF7743" w:rsidP="00616F01">
      <w:pPr>
        <w:keepNext/>
        <w:keepLines/>
        <w:spacing w:before="240" w:after="240" w:line="276" w:lineRule="auto"/>
        <w:jc w:val="both"/>
        <w:outlineLvl w:val="1"/>
        <w:rPr>
          <w:rFonts w:ascii="Arial" w:hAnsi="Arial" w:cs="Arial"/>
          <w:sz w:val="24"/>
          <w:szCs w:val="24"/>
        </w:rPr>
      </w:pPr>
      <w:bookmarkStart w:id="1902" w:name="_Toc123204526"/>
      <w:bookmarkStart w:id="1903" w:name="_Toc123216637"/>
      <w:bookmarkStart w:id="1904" w:name="_Toc123217477"/>
      <w:bookmarkStart w:id="1905" w:name="_Toc123913432"/>
      <w:bookmarkStart w:id="1906" w:name="_Toc123914089"/>
      <w:bookmarkStart w:id="1907" w:name="_Toc125566704"/>
      <w:r>
        <w:rPr>
          <w:rFonts w:ascii="Arial" w:hAnsi="Arial" w:cs="Arial"/>
          <w:noProof/>
          <w:sz w:val="24"/>
          <w:szCs w:val="24"/>
          <w:lang w:val="en-US"/>
        </w:rPr>
        <mc:AlternateContent>
          <mc:Choice Requires="wps">
            <w:drawing>
              <wp:anchor distT="0" distB="0" distL="114300" distR="114300" simplePos="0" relativeHeight="255077374" behindDoc="0" locked="0" layoutInCell="1" allowOverlap="1" wp14:anchorId="59453830" wp14:editId="41C866E6">
                <wp:simplePos x="0" y="0"/>
                <wp:positionH relativeFrom="column">
                  <wp:posOffset>1079500</wp:posOffset>
                </wp:positionH>
                <wp:positionV relativeFrom="paragraph">
                  <wp:posOffset>294640</wp:posOffset>
                </wp:positionV>
                <wp:extent cx="4292600" cy="533400"/>
                <wp:effectExtent l="0" t="0" r="0" b="0"/>
                <wp:wrapNone/>
                <wp:docPr id="2745" name="Text Box 2745"/>
                <wp:cNvGraphicFramePr/>
                <a:graphic xmlns:a="http://schemas.openxmlformats.org/drawingml/2006/main">
                  <a:graphicData uri="http://schemas.microsoft.com/office/word/2010/wordprocessingShape">
                    <wps:wsp>
                      <wps:cNvSpPr txBox="1"/>
                      <wps:spPr>
                        <a:xfrm>
                          <a:off x="0" y="0"/>
                          <a:ext cx="4292600" cy="533400"/>
                        </a:xfrm>
                        <a:prstGeom prst="rect">
                          <a:avLst/>
                        </a:prstGeom>
                        <a:noFill/>
                        <a:ln w="6350">
                          <a:noFill/>
                        </a:ln>
                      </wps:spPr>
                      <wps:txbx>
                        <w:txbxContent>
                          <w:p w14:paraId="571A5F79" w14:textId="6E8F67DB" w:rsidR="00D15FD8" w:rsidRPr="00057172" w:rsidRDefault="00D15FD8" w:rsidP="00FF7743">
                            <w:pPr>
                              <w:pStyle w:val="Heading1"/>
                              <w:rPr>
                                <w:rFonts w:ascii="Arial" w:hAnsi="Arial" w:cs="Arial"/>
                                <w:b/>
                                <w:bCs/>
                                <w:color w:val="FFFFFF" w:themeColor="background1"/>
                                <w:sz w:val="38"/>
                                <w:szCs w:val="38"/>
                                <w:lang w:val="en-US"/>
                              </w:rPr>
                            </w:pPr>
                            <w:bookmarkStart w:id="1908" w:name="_Examples_from_the_2"/>
                            <w:bookmarkStart w:id="1909" w:name="_Toc123828628"/>
                            <w:bookmarkStart w:id="1910" w:name="_Toc123912655"/>
                            <w:bookmarkStart w:id="1911" w:name="_Toc123912914"/>
                            <w:bookmarkStart w:id="1912" w:name="_Toc123913141"/>
                            <w:bookmarkStart w:id="1913" w:name="_Toc123914090"/>
                            <w:bookmarkStart w:id="1914" w:name="_Toc125566705"/>
                            <w:bookmarkEnd w:id="1908"/>
                            <w:r w:rsidRPr="00057172">
                              <w:rPr>
                                <w:rFonts w:ascii="Arial" w:hAnsi="Arial" w:cs="Arial"/>
                                <w:b/>
                                <w:bCs/>
                                <w:color w:val="FFFFFF" w:themeColor="background1"/>
                                <w:sz w:val="38"/>
                                <w:szCs w:val="38"/>
                                <w:lang w:val="en-US"/>
                              </w:rPr>
                              <w:t>Examples from the field</w:t>
                            </w:r>
                            <w:bookmarkEnd w:id="1909"/>
                            <w:bookmarkEnd w:id="1910"/>
                            <w:bookmarkEnd w:id="1911"/>
                            <w:bookmarkEnd w:id="1912"/>
                            <w:bookmarkEnd w:id="1913"/>
                            <w:bookmarkEnd w:id="19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53830" id="Text Box 2745" o:spid="_x0000_s1452" type="#_x0000_t202" style="position:absolute;left:0;text-align:left;margin-left:85pt;margin-top:23.2pt;width:338pt;height:42pt;z-index:2550773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" filled="f" stroked="f" strokeweight=".5pt">
                <v:textbox>
                  <w:txbxContent>
                    <w:p w14:paraId="571A5F79" w14:textId="6E8F67DB" w:rsidR="00D15FD8" w:rsidRPr="00057172" w:rsidRDefault="00D15FD8" w:rsidP="00FF7743">
                      <w:pPr>
                        <w:pStyle w:val="Heading1"/>
                        <w:rPr>
                          <w:rFonts w:ascii="Arial" w:hAnsi="Arial" w:cs="Arial"/>
                          <w:b/>
                          <w:bCs/>
                          <w:color w:val="FFFFFF" w:themeColor="background1"/>
                          <w:sz w:val="38"/>
                          <w:szCs w:val="38"/>
                          <w:lang w:val="en-US"/>
                        </w:rPr>
                      </w:pPr>
                      <w:bookmarkStart w:id="1915" w:name="_Examples_from_the_2"/>
                      <w:bookmarkStart w:id="1916" w:name="_Toc123828628"/>
                      <w:bookmarkStart w:id="1917" w:name="_Toc123912655"/>
                      <w:bookmarkStart w:id="1918" w:name="_Toc123912914"/>
                      <w:bookmarkStart w:id="1919" w:name="_Toc123913141"/>
                      <w:bookmarkStart w:id="1920" w:name="_Toc123914090"/>
                      <w:bookmarkStart w:id="1921" w:name="_Toc125566705"/>
                      <w:bookmarkEnd w:id="1915"/>
                      <w:r w:rsidRPr="00057172">
                        <w:rPr>
                          <w:rFonts w:ascii="Arial" w:hAnsi="Arial" w:cs="Arial"/>
                          <w:b/>
                          <w:bCs/>
                          <w:color w:val="FFFFFF" w:themeColor="background1"/>
                          <w:sz w:val="38"/>
                          <w:szCs w:val="38"/>
                          <w:lang w:val="en-US"/>
                        </w:rPr>
                        <w:t>Examples from the field</w:t>
                      </w:r>
                      <w:bookmarkEnd w:id="1916"/>
                      <w:bookmarkEnd w:id="1917"/>
                      <w:bookmarkEnd w:id="1918"/>
                      <w:bookmarkEnd w:id="1919"/>
                      <w:bookmarkEnd w:id="1920"/>
                      <w:bookmarkEnd w:id="1921"/>
                    </w:p>
                  </w:txbxContent>
                </v:textbox>
              </v:shape>
            </w:pict>
          </mc:Fallback>
        </mc:AlternateContent>
      </w:r>
      <w:r>
        <w:rPr>
          <w:rFonts w:ascii="Arial" w:hAnsi="Arial" w:cs="Arial"/>
          <w:iCs/>
          <w:noProof/>
          <w:lang w:val="en-US"/>
        </w:rPr>
        <mc:AlternateContent>
          <mc:Choice Requires="wps">
            <w:drawing>
              <wp:anchor distT="0" distB="0" distL="114300" distR="114300" simplePos="0" relativeHeight="255078398" behindDoc="0" locked="0" layoutInCell="1" allowOverlap="1" wp14:anchorId="67810C22" wp14:editId="028E52B5">
                <wp:simplePos x="0" y="0"/>
                <wp:positionH relativeFrom="column">
                  <wp:posOffset>203200</wp:posOffset>
                </wp:positionH>
                <wp:positionV relativeFrom="paragraph">
                  <wp:posOffset>307340</wp:posOffset>
                </wp:positionV>
                <wp:extent cx="571500" cy="660400"/>
                <wp:effectExtent l="0" t="0" r="0" b="0"/>
                <wp:wrapNone/>
                <wp:docPr id="2746" name="Text Box 2746"/>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29CD84DE" w14:textId="0E903A97" w:rsidR="00D15FD8" w:rsidRPr="00653DDD" w:rsidRDefault="00D15FD8" w:rsidP="00FF7743">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10C22" id="Text Box 2746" o:spid="_x0000_s1453" type="#_x0000_t202" style="position:absolute;left:0;text-align:left;margin-left:16pt;margin-top:24.2pt;width:45pt;height:52pt;z-index:25507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" filled="f" stroked="f" strokeweight=".5pt">
                <v:textbox>
                  <w:txbxContent>
                    <w:p w14:paraId="29CD84DE" w14:textId="0E903A97" w:rsidR="00D15FD8" w:rsidRPr="00653DDD" w:rsidRDefault="00D15FD8" w:rsidP="00FF7743">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6</w:t>
                      </w:r>
                    </w:p>
                  </w:txbxContent>
                </v:textbox>
              </v:shape>
            </w:pict>
          </mc:Fallback>
        </mc:AlternateContent>
      </w:r>
      <w:bookmarkEnd w:id="1902"/>
      <w:bookmarkEnd w:id="1903"/>
      <w:bookmarkEnd w:id="1904"/>
      <w:bookmarkEnd w:id="1905"/>
      <w:bookmarkEnd w:id="1906"/>
      <w:bookmarkEnd w:id="1907"/>
    </w:p>
    <w:p w14:paraId="75B21182" w14:textId="77777777" w:rsidR="00FF7743" w:rsidRDefault="00FF7743" w:rsidP="00BD6508">
      <w:pPr>
        <w:spacing w:line="276" w:lineRule="auto"/>
        <w:rPr>
          <w:rFonts w:ascii="Arial" w:eastAsiaTheme="majorEastAsia" w:hAnsi="Arial" w:cs="Arial"/>
          <w:b/>
          <w:iCs/>
          <w:color w:val="F9A133"/>
          <w:sz w:val="32"/>
          <w:szCs w:val="32"/>
        </w:rPr>
      </w:pPr>
    </w:p>
    <w:p w14:paraId="44A88EC5" w14:textId="77777777" w:rsidR="00FF7743" w:rsidRDefault="00FF7743" w:rsidP="00BD6508">
      <w:pPr>
        <w:spacing w:line="276" w:lineRule="auto"/>
        <w:rPr>
          <w:rFonts w:ascii="Arial" w:eastAsiaTheme="majorEastAsia" w:hAnsi="Arial" w:cs="Arial"/>
          <w:b/>
          <w:iCs/>
          <w:color w:val="F9A133"/>
          <w:sz w:val="32"/>
          <w:szCs w:val="32"/>
        </w:rPr>
      </w:pPr>
    </w:p>
    <w:p w14:paraId="0CCB9F59" w14:textId="77777777" w:rsidR="00FF7743" w:rsidRDefault="00FF7743" w:rsidP="00BD6508">
      <w:pPr>
        <w:spacing w:line="276" w:lineRule="auto"/>
        <w:rPr>
          <w:rFonts w:ascii="Arial" w:eastAsiaTheme="majorEastAsia" w:hAnsi="Arial" w:cs="Arial"/>
          <w:b/>
          <w:iCs/>
          <w:color w:val="F9A133"/>
          <w:sz w:val="32"/>
          <w:szCs w:val="32"/>
        </w:rPr>
      </w:pPr>
    </w:p>
    <w:p w14:paraId="0D53DB9B" w14:textId="1257B30F" w:rsidR="00AD3233" w:rsidRPr="00BD6508" w:rsidRDefault="00EC43AD" w:rsidP="00BD6508">
      <w:pPr>
        <w:spacing w:line="276" w:lineRule="auto"/>
        <w:rPr>
          <w:rFonts w:ascii="Arial" w:eastAsiaTheme="majorEastAsia" w:hAnsi="Arial" w:cs="Arial"/>
          <w:b/>
          <w:iCs/>
          <w:color w:val="F9A133"/>
          <w:sz w:val="32"/>
          <w:szCs w:val="32"/>
        </w:rPr>
      </w:pPr>
      <w:r>
        <w:rPr>
          <w:rFonts w:ascii="Arial" w:eastAsiaTheme="majorEastAsia" w:hAnsi="Arial" w:cs="Arial"/>
          <w:b/>
          <w:iCs/>
          <w:noProof/>
          <w:color w:val="F27E20"/>
          <w:sz w:val="24"/>
          <w:szCs w:val="24"/>
          <w:lang w:val="en-US"/>
        </w:rPr>
        <w:drawing>
          <wp:anchor distT="0" distB="0" distL="114300" distR="114300" simplePos="0" relativeHeight="255276030" behindDoc="0" locked="0" layoutInCell="1" allowOverlap="1" wp14:anchorId="5E8388FD" wp14:editId="05490627">
            <wp:simplePos x="0" y="0"/>
            <wp:positionH relativeFrom="column">
              <wp:posOffset>0</wp:posOffset>
            </wp:positionH>
            <wp:positionV relativeFrom="paragraph">
              <wp:posOffset>264795</wp:posOffset>
            </wp:positionV>
            <wp:extent cx="1270000" cy="431800"/>
            <wp:effectExtent l="0" t="0" r="0" b="0"/>
            <wp:wrapSquare wrapText="bothSides"/>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 name="Picture 2806"/>
                    <pic:cNvPicPr/>
                  </pic:nvPicPr>
                  <pic:blipFill>
                    <a:blip r:embed="rId795" cstate="email">
                      <a:extLst>
                        <a:ext uri="{28A0092B-C50C-407E-A947-70E740481C1C}">
                          <a14:useLocalDpi xmlns:a14="http://schemas.microsoft.com/office/drawing/2010/main"/>
                        </a:ext>
                      </a:extLst>
                    </a:blip>
                    <a:stretch>
                      <a:fillRect/>
                    </a:stretch>
                  </pic:blipFill>
                  <pic:spPr>
                    <a:xfrm>
                      <a:off x="0" y="0"/>
                      <a:ext cx="1270000" cy="431800"/>
                    </a:xfrm>
                    <a:prstGeom prst="rect">
                      <a:avLst/>
                    </a:prstGeom>
                  </pic:spPr>
                </pic:pic>
              </a:graphicData>
            </a:graphic>
            <wp14:sizeRelH relativeFrom="page">
              <wp14:pctWidth>0</wp14:pctWidth>
            </wp14:sizeRelH>
            <wp14:sizeRelV relativeFrom="page">
              <wp14:pctHeight>0</wp14:pctHeight>
            </wp14:sizeRelV>
          </wp:anchor>
        </w:drawing>
      </w:r>
    </w:p>
    <w:p w14:paraId="7F6B8076" w14:textId="1A322F92" w:rsidR="00AD3233" w:rsidRPr="00590086" w:rsidRDefault="00AD3233" w:rsidP="00BD6508">
      <w:pPr>
        <w:spacing w:line="276" w:lineRule="auto"/>
        <w:rPr>
          <w:rFonts w:ascii="Arial" w:eastAsiaTheme="majorEastAsia" w:hAnsi="Arial" w:cs="Arial"/>
          <w:b/>
          <w:iCs/>
          <w:color w:val="F27E20"/>
          <w:sz w:val="26"/>
          <w:szCs w:val="26"/>
        </w:rPr>
      </w:pPr>
      <w:r w:rsidRPr="00590086">
        <w:rPr>
          <w:rFonts w:ascii="Arial" w:eastAsiaTheme="majorEastAsia" w:hAnsi="Arial" w:cs="Arial"/>
          <w:b/>
          <w:iCs/>
          <w:color w:val="F27E20"/>
          <w:sz w:val="26"/>
          <w:szCs w:val="26"/>
        </w:rPr>
        <w:t>National budgeting practices facilitating fiscal transparency: Observations from the OECD</w:t>
      </w:r>
    </w:p>
    <w:p w14:paraId="63671AD7" w14:textId="55899604" w:rsidR="00AD3233" w:rsidRDefault="00AD3233" w:rsidP="00AD3233">
      <w:pPr>
        <w:tabs>
          <w:tab w:val="num" w:pos="720"/>
        </w:tabs>
        <w:spacing w:line="276" w:lineRule="auto"/>
        <w:jc w:val="both"/>
        <w:rPr>
          <w:rFonts w:ascii="Arial" w:hAnsi="Arial" w:cs="Arial"/>
          <w:sz w:val="24"/>
          <w:szCs w:val="24"/>
        </w:rPr>
      </w:pPr>
    </w:p>
    <w:p w14:paraId="5A2C36B6" w14:textId="64EAAD17" w:rsidR="00AD3233" w:rsidRDefault="006F7D55" w:rsidP="00AD3233">
      <w:pPr>
        <w:tabs>
          <w:tab w:val="num" w:pos="720"/>
        </w:tabs>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24382" behindDoc="0" locked="0" layoutInCell="1" allowOverlap="1" wp14:anchorId="25A11A17" wp14:editId="421E1721">
                <wp:simplePos x="0" y="0"/>
                <wp:positionH relativeFrom="column">
                  <wp:posOffset>702945</wp:posOffset>
                </wp:positionH>
                <wp:positionV relativeFrom="paragraph">
                  <wp:posOffset>958850</wp:posOffset>
                </wp:positionV>
                <wp:extent cx="1028700" cy="266700"/>
                <wp:effectExtent l="0" t="0" r="0" b="0"/>
                <wp:wrapNone/>
                <wp:docPr id="1821" name="Text Box 1821"/>
                <wp:cNvGraphicFramePr/>
                <a:graphic xmlns:a="http://schemas.openxmlformats.org/drawingml/2006/main">
                  <a:graphicData uri="http://schemas.microsoft.com/office/word/2010/wordprocessingShape">
                    <wps:wsp>
                      <wps:cNvSpPr txBox="1"/>
                      <wps:spPr>
                        <a:xfrm>
                          <a:off x="0" y="0"/>
                          <a:ext cx="1028700" cy="266700"/>
                        </a:xfrm>
                        <a:prstGeom prst="rect">
                          <a:avLst/>
                        </a:prstGeom>
                        <a:noFill/>
                        <a:ln w="6350">
                          <a:noFill/>
                        </a:ln>
                      </wps:spPr>
                      <wps:txbx>
                        <w:txbxContent>
                          <w:p w14:paraId="37711577" w14:textId="72207461" w:rsidR="00D15FD8" w:rsidRPr="00BD6508" w:rsidRDefault="00AC4DF7" w:rsidP="00BD6508">
                            <w:pPr>
                              <w:jc w:val="center"/>
                              <w:rPr>
                                <w:b/>
                                <w:bCs/>
                                <w:color w:val="FFFFFF" w:themeColor="background1"/>
                              </w:rPr>
                            </w:pPr>
                            <w:hyperlink r:id="rId796"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11A17" id="Text Box 1821" o:spid="_x0000_s1454" type="#_x0000_t202" style="position:absolute;left:0;text-align:left;margin-left:55.35pt;margin-top:75.5pt;width:81pt;height:21pt;z-index:254224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" filled="f" stroked="f" strokeweight=".5pt">
                <v:textbox>
                  <w:txbxContent>
                    <w:p w14:paraId="37711577" w14:textId="72207461" w:rsidR="00D15FD8" w:rsidRPr="00BD6508" w:rsidRDefault="00AC4DF7" w:rsidP="00BD6508">
                      <w:pPr>
                        <w:jc w:val="center"/>
                        <w:rPr>
                          <w:b/>
                          <w:bCs/>
                          <w:color w:val="FFFFFF" w:themeColor="background1"/>
                        </w:rPr>
                      </w:pPr>
                      <w:hyperlink r:id="rId797"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223358" behindDoc="0" locked="0" layoutInCell="1" allowOverlap="1" wp14:anchorId="07F4E087" wp14:editId="7460659E">
                <wp:simplePos x="0" y="0"/>
                <wp:positionH relativeFrom="column">
                  <wp:posOffset>695325</wp:posOffset>
                </wp:positionH>
                <wp:positionV relativeFrom="paragraph">
                  <wp:posOffset>925195</wp:posOffset>
                </wp:positionV>
                <wp:extent cx="1028700" cy="355600"/>
                <wp:effectExtent l="0" t="0" r="0" b="0"/>
                <wp:wrapSquare wrapText="bothSides"/>
                <wp:docPr id="2264" name="Rounded Rectangle 2264"/>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4DE9A48" id="Rounded Rectangle 2264" o:spid="_x0000_s1026" style="position:absolute;margin-left:54.75pt;margin-top:72.85pt;width:81pt;height:28pt;z-index:254223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4222334" behindDoc="0" locked="0" layoutInCell="1" allowOverlap="1" wp14:anchorId="44795B2A" wp14:editId="3DA149BB">
            <wp:simplePos x="0" y="0"/>
            <wp:positionH relativeFrom="column">
              <wp:posOffset>36830</wp:posOffset>
            </wp:positionH>
            <wp:positionV relativeFrom="paragraph">
              <wp:posOffset>892175</wp:posOffset>
            </wp:positionV>
            <wp:extent cx="582930" cy="410210"/>
            <wp:effectExtent l="0" t="0" r="1270" b="0"/>
            <wp:wrapSquare wrapText="bothSides"/>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233" w:rsidRPr="00BD6508">
        <w:rPr>
          <w:rFonts w:ascii="Arial" w:hAnsi="Arial" w:cs="Arial"/>
          <w:sz w:val="24"/>
          <w:szCs w:val="24"/>
        </w:rPr>
        <w:t xml:space="preserve">The OECD works with governments to improve the management of public organisations, including aspects related to the preparation and oversight of governmental budgets. Fiscal transparency forms a key component of this. In a </w:t>
      </w:r>
      <w:hyperlink r:id="rId798" w:history="1">
        <w:r w:rsidR="00AD3233" w:rsidRPr="00BD6508">
          <w:rPr>
            <w:rStyle w:val="Hyperlink"/>
            <w:rFonts w:ascii="Arial" w:hAnsi="Arial" w:cs="Arial"/>
            <w:sz w:val="24"/>
            <w:szCs w:val="24"/>
          </w:rPr>
          <w:t>video</w:t>
        </w:r>
      </w:hyperlink>
      <w:r w:rsidR="00AD3233" w:rsidRPr="00BD6508">
        <w:rPr>
          <w:rFonts w:ascii="Arial" w:hAnsi="Arial" w:cs="Arial"/>
          <w:sz w:val="24"/>
          <w:szCs w:val="24"/>
        </w:rPr>
        <w:t xml:space="preserve"> testimonial recorded in May 2021, this is further explored together with country observations, including examples of how countries are meeting fiscal transparency objectives at all stages of the fiscal policy cycle, benefiting from it, as well as emerging trends, including those related to the COVID-19 pandemic.</w:t>
      </w:r>
    </w:p>
    <w:p w14:paraId="6D3BCA18" w14:textId="3EBFEEEE" w:rsidR="00AD3233" w:rsidRPr="00BD6508" w:rsidRDefault="00A26350" w:rsidP="00BD6508">
      <w:pPr>
        <w:tabs>
          <w:tab w:val="num" w:pos="720"/>
        </w:tabs>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473790" behindDoc="1" locked="0" layoutInCell="1" allowOverlap="1" wp14:anchorId="1A8B922E" wp14:editId="342CAE1B">
            <wp:simplePos x="0" y="0"/>
            <wp:positionH relativeFrom="column">
              <wp:posOffset>3263900</wp:posOffset>
            </wp:positionH>
            <wp:positionV relativeFrom="paragraph">
              <wp:posOffset>132715</wp:posOffset>
            </wp:positionV>
            <wp:extent cx="3505200" cy="1168400"/>
            <wp:effectExtent l="0" t="0" r="0" b="0"/>
            <wp:wrapSquare wrapText="bothSides"/>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Picture 1824"/>
                    <pic:cNvPicPr/>
                  </pic:nvPicPr>
                  <pic:blipFill>
                    <a:blip r:embed="rId799" cstate="email">
                      <a:extLst>
                        <a:ext uri="{28A0092B-C50C-407E-A947-70E740481C1C}">
                          <a14:useLocalDpi xmlns:a14="http://schemas.microsoft.com/office/drawing/2010/main"/>
                        </a:ext>
                      </a:extLst>
                    </a:blip>
                    <a:stretch>
                      <a:fillRect/>
                    </a:stretch>
                  </pic:blipFill>
                  <pic:spPr>
                    <a:xfrm>
                      <a:off x="0" y="0"/>
                      <a:ext cx="3505200" cy="1168400"/>
                    </a:xfrm>
                    <a:prstGeom prst="rect">
                      <a:avLst/>
                    </a:prstGeom>
                  </pic:spPr>
                </pic:pic>
              </a:graphicData>
            </a:graphic>
            <wp14:sizeRelH relativeFrom="page">
              <wp14:pctWidth>0</wp14:pctWidth>
            </wp14:sizeRelH>
            <wp14:sizeRelV relativeFrom="page">
              <wp14:pctHeight>0</wp14:pctHeight>
            </wp14:sizeRelV>
          </wp:anchor>
        </w:drawing>
      </w:r>
    </w:p>
    <w:p w14:paraId="29C4DCBA" w14:textId="13EC6943" w:rsidR="00AD3233" w:rsidRPr="00BD6508" w:rsidRDefault="00AD3233" w:rsidP="00BD6508">
      <w:pPr>
        <w:tabs>
          <w:tab w:val="num" w:pos="720"/>
        </w:tabs>
        <w:spacing w:line="276" w:lineRule="auto"/>
        <w:jc w:val="both"/>
        <w:rPr>
          <w:rFonts w:ascii="Arial" w:hAnsi="Arial" w:cs="Arial"/>
          <w:sz w:val="24"/>
          <w:szCs w:val="24"/>
          <w:lang w:val="en-GB"/>
        </w:rPr>
      </w:pPr>
      <w:r w:rsidRPr="00BD6508">
        <w:rPr>
          <w:rFonts w:ascii="Arial" w:hAnsi="Arial" w:cs="Arial"/>
          <w:sz w:val="24"/>
          <w:szCs w:val="24"/>
          <w:lang w:val="en-GB"/>
        </w:rPr>
        <w:t xml:space="preserve">The OECD provides best practices, data and advice to support its members and other countries in the design and implementation of policies to improve people’s lives. Regarding fiscal transparency, there are three ways the OECD does this– through networks, best practices and by working directly with countries. Fiscal transparency is supporting government accountability by enabling citizens to know how decisions are being taken regarding the use of public money and the choices made on how to deliver public services, helping to demonstrate the integrity, reliability and fairness of budgets. </w:t>
      </w:r>
      <w:r w:rsidRPr="00BD6508">
        <w:rPr>
          <w:rFonts w:ascii="Arial" w:hAnsi="Arial" w:cs="Arial"/>
          <w:sz w:val="24"/>
          <w:szCs w:val="24"/>
        </w:rPr>
        <w:t xml:space="preserve">Two main trends are being observed: firstly, fiscal transparency levels are increasing, especially with </w:t>
      </w:r>
      <w:r w:rsidRPr="00BD6508">
        <w:rPr>
          <w:rFonts w:ascii="Arial" w:hAnsi="Arial" w:cs="Arial"/>
          <w:sz w:val="24"/>
          <w:szCs w:val="24"/>
          <w:lang w:val="en-GB"/>
        </w:rPr>
        <w:t xml:space="preserve">documents such as long-term fiscal sustainability reports and </w:t>
      </w:r>
      <w:r w:rsidRPr="00BD6508">
        <w:rPr>
          <w:rFonts w:ascii="Arial" w:hAnsi="Arial" w:cs="Arial"/>
          <w:sz w:val="24"/>
          <w:szCs w:val="24"/>
          <w:lang w:val="en-GB"/>
        </w:rPr>
        <w:lastRenderedPageBreak/>
        <w:t xml:space="preserve">independent reviews of economic and fiscal assumptions being increasingly published; and secondly, technology is being increasingly used to support fiscal transparency, such as through the publication of e-books and dashboards. </w:t>
      </w:r>
    </w:p>
    <w:p w14:paraId="00549587" w14:textId="77777777" w:rsidR="00AD3233" w:rsidRPr="00BD6508" w:rsidRDefault="00AD3233" w:rsidP="00BD6508">
      <w:pPr>
        <w:tabs>
          <w:tab w:val="num" w:pos="720"/>
        </w:tabs>
        <w:spacing w:line="276" w:lineRule="auto"/>
        <w:jc w:val="both"/>
        <w:rPr>
          <w:rFonts w:ascii="Arial" w:hAnsi="Arial" w:cs="Arial"/>
          <w:sz w:val="24"/>
          <w:szCs w:val="24"/>
          <w:lang w:val="en-GB"/>
        </w:rPr>
      </w:pPr>
    </w:p>
    <w:p w14:paraId="175621B9" w14:textId="757F6420" w:rsidR="0051115F" w:rsidRPr="00945DC6" w:rsidRDefault="00AD3233" w:rsidP="0024281D">
      <w:pPr>
        <w:tabs>
          <w:tab w:val="num" w:pos="720"/>
        </w:tabs>
        <w:spacing w:line="276" w:lineRule="auto"/>
        <w:jc w:val="both"/>
        <w:rPr>
          <w:rFonts w:ascii="Arial" w:hAnsi="Arial" w:cs="Arial"/>
          <w:sz w:val="24"/>
          <w:szCs w:val="24"/>
          <w:lang w:val="en-GB"/>
        </w:rPr>
      </w:pPr>
      <w:r w:rsidRPr="00BD6508">
        <w:rPr>
          <w:rFonts w:ascii="Arial" w:hAnsi="Arial" w:cs="Arial"/>
          <w:sz w:val="24"/>
          <w:szCs w:val="24"/>
          <w:lang w:val="en-GB"/>
        </w:rPr>
        <w:t>COVID-19 changed the way governments needed to prepare budgets, with fiscal transparency being crucial. This is highlighted in three areas:</w:t>
      </w:r>
      <w:r w:rsidR="0024281D">
        <w:rPr>
          <w:rFonts w:ascii="Arial" w:hAnsi="Arial" w:cs="Arial"/>
          <w:sz w:val="24"/>
          <w:szCs w:val="24"/>
          <w:lang w:val="en-GB"/>
        </w:rPr>
        <w:t xml:space="preserve"> </w:t>
      </w:r>
      <w:r w:rsidR="0024281D" w:rsidRPr="00945DC6">
        <w:rPr>
          <w:rFonts w:ascii="Arial" w:hAnsi="Arial" w:cs="Arial"/>
          <w:sz w:val="24"/>
          <w:szCs w:val="24"/>
          <w:lang w:val="en-GB"/>
        </w:rPr>
        <w:t xml:space="preserve">Firstly, independent fiscal institutions have performed a valuable role by analysing changes to the fiscal positions of governments and supported transparency and accountability in budget processes. Examples include Estonia’s </w:t>
      </w:r>
      <w:r w:rsidR="0024281D" w:rsidRPr="00945DC6">
        <w:rPr>
          <w:rFonts w:ascii="Arial" w:hAnsi="Arial" w:cs="Arial"/>
          <w:sz w:val="24"/>
          <w:szCs w:val="24"/>
        </w:rPr>
        <w:t>Fiscal Council emphasizing the importance of continuing and preparing fiscal plans with a long-term fiscal outlook; Portugal’s fiscal council emphasizing the importance of macro-fiscal scenarios in times of uncertainty; and the United States Congressional Budget Office preparing costings on policies that became part of government’s budget response.</w:t>
      </w:r>
      <w:r w:rsidR="0024281D" w:rsidRPr="0024281D">
        <w:rPr>
          <w:rFonts w:ascii="Arial" w:hAnsi="Arial" w:cs="Arial"/>
          <w:sz w:val="24"/>
          <w:szCs w:val="24"/>
          <w:lang w:val="en-GB"/>
        </w:rPr>
        <w:t xml:space="preserve"> </w:t>
      </w:r>
      <w:r w:rsidR="0024281D" w:rsidRPr="00A26350">
        <w:rPr>
          <w:rFonts w:ascii="Arial" w:hAnsi="Arial" w:cs="Arial"/>
          <w:sz w:val="24"/>
          <w:szCs w:val="24"/>
          <w:lang w:val="en-GB"/>
        </w:rPr>
        <w:t xml:space="preserve">Secondly, countries are adopting </w:t>
      </w:r>
      <w:proofErr w:type="gramStart"/>
      <w:r w:rsidR="0024281D" w:rsidRPr="00A26350">
        <w:rPr>
          <w:rFonts w:ascii="Arial" w:hAnsi="Arial" w:cs="Arial"/>
          <w:sz w:val="24"/>
          <w:szCs w:val="24"/>
          <w:lang w:val="en-GB"/>
        </w:rPr>
        <w:t>outcome based</w:t>
      </w:r>
      <w:proofErr w:type="gramEnd"/>
      <w:r w:rsidR="0024281D" w:rsidRPr="00A26350">
        <w:rPr>
          <w:rFonts w:ascii="Arial" w:hAnsi="Arial" w:cs="Arial"/>
          <w:sz w:val="24"/>
          <w:szCs w:val="24"/>
          <w:lang w:val="en-GB"/>
        </w:rPr>
        <w:t xml:space="preserve"> approaches to increase the quality of reporting on how a government makes progress towards a specific result. For instance, in the area of green budgeting, governments are making progress towards climate and biodiversity commitments.</w:t>
      </w:r>
      <w:r w:rsidR="0024281D" w:rsidRPr="0024281D">
        <w:rPr>
          <w:rFonts w:ascii="Arial" w:hAnsi="Arial" w:cs="Arial"/>
          <w:sz w:val="24"/>
          <w:szCs w:val="24"/>
          <w:lang w:val="en-GB"/>
        </w:rPr>
        <w:t xml:space="preserve"> </w:t>
      </w:r>
      <w:r w:rsidR="0024281D" w:rsidRPr="00945DC6">
        <w:rPr>
          <w:rFonts w:ascii="Arial" w:hAnsi="Arial" w:cs="Arial"/>
          <w:sz w:val="24"/>
          <w:szCs w:val="24"/>
          <w:lang w:val="en-GB"/>
        </w:rPr>
        <w:t>Lastly, regarding the management of fiscal risks, budgetary responses to COVID-19 included public loans and guarantees, which have increased government’s need for effective risk management in the event that a loan is not repaid or a guarantee called upon.</w:t>
      </w:r>
    </w:p>
    <w:p w14:paraId="2378195B" w14:textId="2D5B8130" w:rsidR="00A26350" w:rsidRPr="003625BA" w:rsidRDefault="003604F5" w:rsidP="00A26350">
      <w:pPr>
        <w:spacing w:line="276" w:lineRule="auto"/>
        <w:rPr>
          <w:rFonts w:ascii="Arial" w:eastAsiaTheme="majorEastAsia" w:hAnsi="Arial" w:cs="Arial"/>
          <w:b/>
          <w:iCs/>
          <w:color w:val="F27E20"/>
          <w:sz w:val="32"/>
          <w:szCs w:val="32"/>
        </w:rPr>
      </w:pPr>
      <w:r>
        <w:rPr>
          <w:noProof/>
          <w:lang w:val="en-US"/>
        </w:rPr>
        <w:drawing>
          <wp:anchor distT="0" distB="0" distL="114300" distR="114300" simplePos="0" relativeHeight="255277054" behindDoc="0" locked="0" layoutInCell="1" allowOverlap="1" wp14:anchorId="68CB6117" wp14:editId="257D71A3">
            <wp:simplePos x="0" y="0"/>
            <wp:positionH relativeFrom="column">
              <wp:posOffset>0</wp:posOffset>
            </wp:positionH>
            <wp:positionV relativeFrom="paragraph">
              <wp:posOffset>189339</wp:posOffset>
            </wp:positionV>
            <wp:extent cx="774700" cy="516255"/>
            <wp:effectExtent l="0" t="0" r="0" b="4445"/>
            <wp:wrapSquare wrapText="bothSides"/>
            <wp:docPr id="2807" name="Picture 2807" descr="flag of South Africa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South Africa | Britannica"/>
                    <pic:cNvPicPr>
                      <a:picLocks noChangeAspect="1" noChangeArrowheads="1"/>
                    </pic:cNvPicPr>
                  </pic:nvPicPr>
                  <pic:blipFill>
                    <a:blip r:embed="rId800" cstate="email">
                      <a:extLst>
                        <a:ext uri="{28A0092B-C50C-407E-A947-70E740481C1C}">
                          <a14:useLocalDpi xmlns:a14="http://schemas.microsoft.com/office/drawing/2010/main"/>
                        </a:ext>
                      </a:extLst>
                    </a:blip>
                    <a:srcRect/>
                    <a:stretch>
                      <a:fillRect/>
                    </a:stretch>
                  </pic:blipFill>
                  <pic:spPr bwMode="auto">
                    <a:xfrm>
                      <a:off x="0" y="0"/>
                      <a:ext cx="774700" cy="516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94ADB" w14:textId="0D23B175" w:rsidR="00A26350" w:rsidRPr="00590086" w:rsidRDefault="003604F5" w:rsidP="00A26350">
      <w:pPr>
        <w:spacing w:line="276" w:lineRule="auto"/>
        <w:rPr>
          <w:rFonts w:ascii="Arial" w:eastAsiaTheme="majorEastAsia" w:hAnsi="Arial" w:cs="Arial"/>
          <w:b/>
          <w:iCs/>
          <w:color w:val="F27E20"/>
          <w:sz w:val="26"/>
          <w:szCs w:val="26"/>
        </w:rPr>
      </w:pPr>
      <w:r w:rsidRPr="00590086">
        <w:rPr>
          <w:sz w:val="26"/>
          <w:szCs w:val="26"/>
        </w:rPr>
        <w:fldChar w:fldCharType="begin"/>
      </w:r>
      <w:r w:rsidRPr="00590086">
        <w:rPr>
          <w:sz w:val="26"/>
          <w:szCs w:val="26"/>
        </w:rPr>
        <w:instrText xml:space="preserve"> INCLUDEPICTURE "https://cdn.britannica.com/27/4227-004-32423B42/Flag-South-Africa.jpg" \* MERGEFORMATINET </w:instrText>
      </w:r>
      <w:r w:rsidRPr="00590086">
        <w:rPr>
          <w:sz w:val="26"/>
          <w:szCs w:val="26"/>
        </w:rPr>
        <w:fldChar w:fldCharType="end"/>
      </w:r>
      <w:r w:rsidR="00A26350" w:rsidRPr="00590086">
        <w:rPr>
          <w:rFonts w:ascii="Arial" w:eastAsiaTheme="majorEastAsia" w:hAnsi="Arial" w:cs="Arial"/>
          <w:b/>
          <w:iCs/>
          <w:color w:val="F27E20"/>
          <w:sz w:val="26"/>
          <w:szCs w:val="26"/>
        </w:rPr>
        <w:t>Achieving fiscal transparency through the publication of key budget documents: The South African experience</w:t>
      </w:r>
    </w:p>
    <w:p w14:paraId="1EDE7B09" w14:textId="576B03C3" w:rsidR="0057574B" w:rsidRDefault="0057574B" w:rsidP="00BD6508">
      <w:pPr>
        <w:spacing w:line="276" w:lineRule="auto"/>
        <w:rPr>
          <w:rFonts w:ascii="Arial" w:eastAsiaTheme="majorEastAsia" w:hAnsi="Arial" w:cs="Arial"/>
          <w:b/>
          <w:iCs/>
          <w:color w:val="ED7D31" w:themeColor="accent2"/>
          <w:sz w:val="32"/>
          <w:szCs w:val="32"/>
        </w:rPr>
      </w:pPr>
      <w:r>
        <w:rPr>
          <w:rFonts w:ascii="Arial" w:hAnsi="Arial" w:cs="Arial"/>
          <w:iCs/>
          <w:noProof/>
          <w:sz w:val="24"/>
          <w:szCs w:val="24"/>
          <w:lang w:val="en-US"/>
        </w:rPr>
        <mc:AlternateContent>
          <mc:Choice Requires="wps">
            <w:drawing>
              <wp:anchor distT="0" distB="0" distL="114300" distR="114300" simplePos="0" relativeHeight="255312894" behindDoc="0" locked="0" layoutInCell="1" allowOverlap="1" wp14:anchorId="7FEE61F0" wp14:editId="5B226464">
                <wp:simplePos x="0" y="0"/>
                <wp:positionH relativeFrom="column">
                  <wp:posOffset>-156845</wp:posOffset>
                </wp:positionH>
                <wp:positionV relativeFrom="paragraph">
                  <wp:posOffset>75039</wp:posOffset>
                </wp:positionV>
                <wp:extent cx="1087755" cy="236220"/>
                <wp:effectExtent l="0" t="0" r="4445" b="5080"/>
                <wp:wrapSquare wrapText="bothSides"/>
                <wp:docPr id="85" name="Text Box 85"/>
                <wp:cNvGraphicFramePr/>
                <a:graphic xmlns:a="http://schemas.openxmlformats.org/drawingml/2006/main">
                  <a:graphicData uri="http://schemas.microsoft.com/office/word/2010/wordprocessingShape">
                    <wps:wsp>
                      <wps:cNvSpPr txBox="1"/>
                      <wps:spPr>
                        <a:xfrm>
                          <a:off x="0" y="0"/>
                          <a:ext cx="1087755" cy="236220"/>
                        </a:xfrm>
                        <a:prstGeom prst="rect">
                          <a:avLst/>
                        </a:prstGeom>
                        <a:solidFill>
                          <a:schemeClr val="lt1"/>
                        </a:solidFill>
                        <a:ln w="6350">
                          <a:noFill/>
                        </a:ln>
                      </wps:spPr>
                      <wps:txbx>
                        <w:txbxContent>
                          <w:p w14:paraId="57A6F62E" w14:textId="7195EA51" w:rsidR="00D15FD8" w:rsidRPr="0057574B" w:rsidRDefault="00D15FD8" w:rsidP="0057574B">
                            <w:pPr>
                              <w:jc w:val="center"/>
                              <w:rPr>
                                <w:rFonts w:ascii="Arial" w:hAnsi="Arial" w:cs="Arial"/>
                                <w:b/>
                                <w:bCs/>
                                <w:color w:val="F8A133"/>
                                <w:sz w:val="20"/>
                                <w:szCs w:val="20"/>
                                <w:lang w:val="en-US"/>
                              </w:rPr>
                            </w:pPr>
                            <w:r>
                              <w:rPr>
                                <w:rFonts w:ascii="Arial" w:hAnsi="Arial" w:cs="Arial"/>
                                <w:b/>
                                <w:bCs/>
                                <w:color w:val="F8A133"/>
                                <w:sz w:val="20"/>
                                <w:szCs w:val="20"/>
                                <w:lang w:val="en-US"/>
                              </w:rPr>
                              <w:t>South Africa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61F0" id="Text Box 85" o:spid="_x0000_s1455" type="#_x0000_t202" style="position:absolute;margin-left:-12.35pt;margin-top:5.9pt;width:85.65pt;height:18.6pt;z-index:255312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" fillcolor="white [3201]" stroked="f" strokeweight=".5pt">
                <v:textbox>
                  <w:txbxContent>
                    <w:p w14:paraId="57A6F62E" w14:textId="7195EA51" w:rsidR="00D15FD8" w:rsidRPr="0057574B" w:rsidRDefault="00D15FD8" w:rsidP="0057574B">
                      <w:pPr>
                        <w:jc w:val="center"/>
                        <w:rPr>
                          <w:rFonts w:ascii="Arial" w:hAnsi="Arial" w:cs="Arial"/>
                          <w:b/>
                          <w:bCs/>
                          <w:color w:val="F8A133"/>
                          <w:sz w:val="20"/>
                          <w:szCs w:val="20"/>
                          <w:lang w:val="en-US"/>
                        </w:rPr>
                      </w:pPr>
                      <w:r>
                        <w:rPr>
                          <w:rFonts w:ascii="Arial" w:hAnsi="Arial" w:cs="Arial"/>
                          <w:b/>
                          <w:bCs/>
                          <w:color w:val="F8A133"/>
                          <w:sz w:val="20"/>
                          <w:szCs w:val="20"/>
                          <w:lang w:val="en-US"/>
                        </w:rPr>
                        <w:t>South Africa</w:t>
                      </w:r>
                    </w:p>
                  </w:txbxContent>
                </v:textbox>
                <w10:wrap type="square"/>
              </v:shape>
            </w:pict>
          </mc:Fallback>
        </mc:AlternateContent>
      </w:r>
    </w:p>
    <w:p w14:paraId="64D4B95C" w14:textId="060A6255" w:rsidR="00A26350" w:rsidRPr="00BD6508" w:rsidRDefault="006F7D55" w:rsidP="00BD6508">
      <w:pPr>
        <w:spacing w:line="276" w:lineRule="auto"/>
        <w:rPr>
          <w:rFonts w:ascii="Arial" w:eastAsiaTheme="majorEastAsia" w:hAnsi="Arial" w:cs="Arial"/>
          <w:b/>
          <w:iCs/>
          <w:color w:val="ED7D31" w:themeColor="accent2"/>
          <w:sz w:val="32"/>
          <w:szCs w:val="32"/>
        </w:rPr>
      </w:pPr>
      <w:r>
        <w:rPr>
          <w:rFonts w:ascii="Arial" w:hAnsi="Arial" w:cs="Arial"/>
          <w:noProof/>
          <w:sz w:val="24"/>
          <w:szCs w:val="24"/>
          <w:lang w:val="en-US"/>
        </w:rPr>
        <mc:AlternateContent>
          <mc:Choice Requires="wps">
            <w:drawing>
              <wp:anchor distT="0" distB="0" distL="114300" distR="114300" simplePos="0" relativeHeight="254227454" behindDoc="0" locked="0" layoutInCell="1" allowOverlap="1" wp14:anchorId="6C935A5F" wp14:editId="5AFCDBEF">
                <wp:simplePos x="0" y="0"/>
                <wp:positionH relativeFrom="column">
                  <wp:posOffset>658495</wp:posOffset>
                </wp:positionH>
                <wp:positionV relativeFrom="paragraph">
                  <wp:posOffset>262890</wp:posOffset>
                </wp:positionV>
                <wp:extent cx="1028700" cy="355600"/>
                <wp:effectExtent l="0" t="0" r="0" b="0"/>
                <wp:wrapSquare wrapText="bothSides"/>
                <wp:docPr id="2266" name="Rounded Rectangle 2266"/>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82562F1" id="Rounded Rectangle 2266" o:spid="_x0000_s1026" style="position:absolute;margin-left:51.85pt;margin-top:20.7pt;width:81pt;height:28pt;z-index:254227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4226430" behindDoc="0" locked="0" layoutInCell="1" allowOverlap="1" wp14:anchorId="5B3D18DB" wp14:editId="16F018A4">
            <wp:simplePos x="0" y="0"/>
            <wp:positionH relativeFrom="column">
              <wp:posOffset>0</wp:posOffset>
            </wp:positionH>
            <wp:positionV relativeFrom="paragraph">
              <wp:posOffset>229870</wp:posOffset>
            </wp:positionV>
            <wp:extent cx="582930" cy="410210"/>
            <wp:effectExtent l="0" t="0" r="1270" b="0"/>
            <wp:wrapSquare wrapText="bothSides"/>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597233" w14:textId="1B3D49D1" w:rsidR="00A26350" w:rsidRPr="00BD6508" w:rsidRDefault="006F7D55" w:rsidP="00BD650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4228478" behindDoc="0" locked="0" layoutInCell="1" allowOverlap="1" wp14:anchorId="670A56B5" wp14:editId="10A817FB">
                <wp:simplePos x="0" y="0"/>
                <wp:positionH relativeFrom="column">
                  <wp:posOffset>660400</wp:posOffset>
                </wp:positionH>
                <wp:positionV relativeFrom="paragraph">
                  <wp:posOffset>40005</wp:posOffset>
                </wp:positionV>
                <wp:extent cx="1041400" cy="279400"/>
                <wp:effectExtent l="0" t="0" r="0" b="0"/>
                <wp:wrapNone/>
                <wp:docPr id="1835" name="Text Box 1835"/>
                <wp:cNvGraphicFramePr/>
                <a:graphic xmlns:a="http://schemas.openxmlformats.org/drawingml/2006/main">
                  <a:graphicData uri="http://schemas.microsoft.com/office/word/2010/wordprocessingShape">
                    <wps:wsp>
                      <wps:cNvSpPr txBox="1"/>
                      <wps:spPr>
                        <a:xfrm>
                          <a:off x="0" y="0"/>
                          <a:ext cx="1041400" cy="279400"/>
                        </a:xfrm>
                        <a:prstGeom prst="rect">
                          <a:avLst/>
                        </a:prstGeom>
                        <a:noFill/>
                        <a:ln w="6350">
                          <a:noFill/>
                        </a:ln>
                      </wps:spPr>
                      <wps:txbx>
                        <w:txbxContent>
                          <w:p w14:paraId="714C3C9A" w14:textId="725AF022" w:rsidR="00D15FD8" w:rsidRPr="00BD6508" w:rsidRDefault="00AC4DF7" w:rsidP="00BD6508">
                            <w:pPr>
                              <w:jc w:val="center"/>
                              <w:rPr>
                                <w:b/>
                                <w:bCs/>
                                <w:color w:val="FFFFFF" w:themeColor="background1"/>
                              </w:rPr>
                            </w:pPr>
                            <w:hyperlink r:id="rId801" w:history="1">
                              <w:r w:rsidR="00D15FD8" w:rsidRPr="00BD6508">
                                <w:rPr>
                                  <w:rStyle w:val="Hyperlink"/>
                                  <w:rFonts w:ascii="Arial" w:hAnsi="Arial" w:cs="Arial"/>
                                  <w:b/>
                                  <w:bCs/>
                                  <w:color w:val="FFFFFF" w:themeColor="background1"/>
                                  <w:sz w:val="24"/>
                                  <w:szCs w:val="24"/>
                                  <w:lang w:val="en-ZA"/>
                                </w:rPr>
                                <w:t>Watch</w:t>
                              </w:r>
                            </w:hyperlink>
                            <w:r w:rsidR="00D15FD8" w:rsidRPr="00BD6508">
                              <w:rPr>
                                <w:rStyle w:val="Hyperlink"/>
                                <w:rFonts w:ascii="Arial" w:hAnsi="Arial" w:cs="Arial"/>
                                <w:b/>
                                <w:bCs/>
                                <w:color w:val="FFFFFF" w:themeColor="background1"/>
                                <w:sz w:val="24"/>
                                <w:szCs w:val="24"/>
                                <w:lang w:val="en-ZA"/>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A56B5" id="Text Box 1835" o:spid="_x0000_s1456" type="#_x0000_t202" style="position:absolute;left:0;text-align:left;margin-left:52pt;margin-top:3.15pt;width:82pt;height:22pt;z-index:25422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" filled="f" stroked="f" strokeweight=".5pt">
                <v:textbox>
                  <w:txbxContent>
                    <w:p w14:paraId="714C3C9A" w14:textId="725AF022" w:rsidR="00D15FD8" w:rsidRPr="00BD6508" w:rsidRDefault="00AC4DF7" w:rsidP="00BD6508">
                      <w:pPr>
                        <w:jc w:val="center"/>
                        <w:rPr>
                          <w:b/>
                          <w:bCs/>
                          <w:color w:val="FFFFFF" w:themeColor="background1"/>
                        </w:rPr>
                      </w:pPr>
                      <w:hyperlink r:id="rId802" w:history="1">
                        <w:r w:rsidR="00D15FD8" w:rsidRPr="00BD6508">
                          <w:rPr>
                            <w:rStyle w:val="Hyperlink"/>
                            <w:rFonts w:ascii="Arial" w:hAnsi="Arial" w:cs="Arial"/>
                            <w:b/>
                            <w:bCs/>
                            <w:color w:val="FFFFFF" w:themeColor="background1"/>
                            <w:sz w:val="24"/>
                            <w:szCs w:val="24"/>
                            <w:lang w:val="en-ZA"/>
                          </w:rPr>
                          <w:t>Watch</w:t>
                        </w:r>
                      </w:hyperlink>
                      <w:r w:rsidR="00D15FD8" w:rsidRPr="00BD6508">
                        <w:rPr>
                          <w:rStyle w:val="Hyperlink"/>
                          <w:rFonts w:ascii="Arial" w:hAnsi="Arial" w:cs="Arial"/>
                          <w:b/>
                          <w:bCs/>
                          <w:color w:val="FFFFFF" w:themeColor="background1"/>
                          <w:sz w:val="24"/>
                          <w:szCs w:val="24"/>
                          <w:lang w:val="en-ZA"/>
                        </w:rPr>
                        <w:t xml:space="preserve"> here</w:t>
                      </w:r>
                    </w:p>
                  </w:txbxContent>
                </v:textbox>
              </v:shape>
            </w:pict>
          </mc:Fallback>
        </mc:AlternateContent>
      </w:r>
      <w:r w:rsidR="00A26350" w:rsidRPr="00BD6508">
        <w:rPr>
          <w:rFonts w:ascii="Arial" w:hAnsi="Arial" w:cs="Arial"/>
          <w:sz w:val="24"/>
          <w:szCs w:val="24"/>
          <w:lang w:val="en-ZA"/>
        </w:rPr>
        <w:t xml:space="preserve">Since the start of the IBP’s Open Budget Survey in 2006, South Africa has been ranked as a leader in fiscal transparency, continually ranking within the top tier of countries, owing to the extensive budget documentation it publishes across the fiscal policy cycle. In a testimonial </w:t>
      </w:r>
      <w:hyperlink r:id="rId803" w:history="1">
        <w:r w:rsidR="00A26350" w:rsidRPr="00BD6508">
          <w:rPr>
            <w:rStyle w:val="Hyperlink"/>
            <w:rFonts w:ascii="Arial" w:hAnsi="Arial" w:cs="Arial"/>
            <w:sz w:val="24"/>
            <w:szCs w:val="24"/>
            <w:lang w:val="en-ZA"/>
          </w:rPr>
          <w:t>video</w:t>
        </w:r>
      </w:hyperlink>
      <w:r w:rsidR="00A26350" w:rsidRPr="00BD6508">
        <w:rPr>
          <w:rFonts w:ascii="Arial" w:hAnsi="Arial" w:cs="Arial"/>
          <w:sz w:val="24"/>
          <w:szCs w:val="24"/>
          <w:lang w:val="en-ZA"/>
        </w:rPr>
        <w:t>, recorded in April 2021, it is explained how South Africa, a developing country, has done this, providing key insights and lessons for other countries seeking to enhance and maintain high levels of fiscal transparency.</w:t>
      </w:r>
    </w:p>
    <w:p w14:paraId="097EE2AD" w14:textId="77777777" w:rsidR="00A26350" w:rsidRPr="00BD6508" w:rsidRDefault="00A26350" w:rsidP="00BD6508">
      <w:pPr>
        <w:spacing w:line="276" w:lineRule="auto"/>
        <w:jc w:val="both"/>
        <w:rPr>
          <w:rFonts w:ascii="Arial" w:hAnsi="Arial" w:cs="Arial"/>
          <w:sz w:val="24"/>
          <w:szCs w:val="24"/>
          <w:lang w:val="en-ZA"/>
        </w:rPr>
      </w:pPr>
    </w:p>
    <w:p w14:paraId="63CAB9A6" w14:textId="77777777" w:rsidR="00A26350" w:rsidRPr="00BD6508" w:rsidRDefault="00A26350" w:rsidP="00BD6508">
      <w:pPr>
        <w:spacing w:line="276" w:lineRule="auto"/>
        <w:jc w:val="both"/>
        <w:rPr>
          <w:rFonts w:ascii="Arial" w:hAnsi="Arial" w:cs="Arial"/>
          <w:sz w:val="24"/>
          <w:szCs w:val="24"/>
        </w:rPr>
      </w:pPr>
      <w:r w:rsidRPr="00BD6508">
        <w:rPr>
          <w:rFonts w:ascii="Arial" w:hAnsi="Arial" w:cs="Arial"/>
          <w:sz w:val="24"/>
          <w:szCs w:val="24"/>
        </w:rPr>
        <w:t xml:space="preserve">In summary, the advent of democracy in 1994, meant that the new government saw the potential advantages of fiscal transparency and was committed to improving the quality and coverage of public finances. Key pieces of legislation were introduced, including the Constitution (1996) and the Public Finance Management Act (1999) that provide for fiscal transparency including by stipulating the minimum information that must be contained in budget documentation. The South African National Treasury put systems and processes in place to produce and publish quality information, with a culture of fiscal transparency being inculcated in it, leading to fiscal transparency being institutionalized. The Money Bills Amendment Procedure and Related Matters Act, 2009, set the procedure for Parliament to consider money bills tabled by the minister of finance, including the requirement to hold public consultations. It also provided for the establishment of a Parliamentary Budget Office. This has ensured that Parliament has played a more active role in the fiscal policy cycle. </w:t>
      </w:r>
    </w:p>
    <w:p w14:paraId="7340F4FC" w14:textId="77777777" w:rsidR="00A26350" w:rsidRPr="00BD6508" w:rsidRDefault="00A26350" w:rsidP="00BD6508">
      <w:pPr>
        <w:spacing w:line="276" w:lineRule="auto"/>
        <w:jc w:val="both"/>
        <w:rPr>
          <w:rFonts w:ascii="Arial" w:hAnsi="Arial" w:cs="Arial"/>
          <w:sz w:val="24"/>
          <w:szCs w:val="24"/>
        </w:rPr>
      </w:pPr>
    </w:p>
    <w:p w14:paraId="1E036607" w14:textId="3E71B611" w:rsidR="00A26350" w:rsidRDefault="00A26350" w:rsidP="00A26350">
      <w:pPr>
        <w:spacing w:line="276" w:lineRule="auto"/>
        <w:jc w:val="both"/>
        <w:rPr>
          <w:rFonts w:ascii="Arial" w:hAnsi="Arial" w:cs="Arial"/>
          <w:bCs/>
          <w:sz w:val="24"/>
          <w:szCs w:val="24"/>
        </w:rPr>
      </w:pPr>
      <w:r w:rsidRPr="00BD6508">
        <w:rPr>
          <w:rFonts w:ascii="Arial" w:hAnsi="Arial" w:cs="Arial"/>
          <w:sz w:val="24"/>
          <w:szCs w:val="24"/>
        </w:rPr>
        <w:lastRenderedPageBreak/>
        <w:t xml:space="preserve">To ensure that fiscal transparency is continually maintained and improved upon, among others, public officials in the National Treasury keep abreast of the latest developments in the field and continually strive to make improvements, for instance, </w:t>
      </w:r>
      <w:proofErr w:type="spellStart"/>
      <w:r w:rsidRPr="00BD6508">
        <w:rPr>
          <w:rFonts w:ascii="Arial" w:hAnsi="Arial" w:cs="Arial"/>
          <w:i/>
          <w:sz w:val="24"/>
          <w:szCs w:val="24"/>
        </w:rPr>
        <w:t>Vulekamali</w:t>
      </w:r>
      <w:proofErr w:type="spellEnd"/>
      <w:r w:rsidRPr="00BD6508">
        <w:rPr>
          <w:rFonts w:ascii="Arial" w:hAnsi="Arial" w:cs="Arial"/>
          <w:sz w:val="24"/>
          <w:szCs w:val="24"/>
        </w:rPr>
        <w:t xml:space="preserve">, a fiscal transparency portal was developed in partnership with civil society and a fiscal risks statement was introduced, and is now regularly published. Discussions and training sessions are also held with different stakeholders to explain budget information and to get their feedback. Lessons that </w:t>
      </w:r>
      <w:r w:rsidRPr="00BD6508">
        <w:rPr>
          <w:rFonts w:ascii="Arial" w:hAnsi="Arial" w:cs="Arial"/>
          <w:bCs/>
          <w:sz w:val="24"/>
          <w:szCs w:val="24"/>
        </w:rPr>
        <w:t>have been learnt over the years, include that:</w:t>
      </w:r>
    </w:p>
    <w:p w14:paraId="766DBA6A" w14:textId="31CB128D" w:rsidR="00C213AB" w:rsidRDefault="00C213AB" w:rsidP="00A26350">
      <w:pPr>
        <w:spacing w:line="276" w:lineRule="auto"/>
        <w:jc w:val="both"/>
        <w:rPr>
          <w:rFonts w:ascii="Arial" w:hAnsi="Arial" w:cs="Arial"/>
          <w:bCs/>
          <w:sz w:val="24"/>
          <w:szCs w:val="24"/>
        </w:rPr>
      </w:pPr>
      <w:r>
        <w:rPr>
          <w:noProof/>
          <w:lang w:val="en-US"/>
        </w:rPr>
        <w:drawing>
          <wp:anchor distT="0" distB="0" distL="114300" distR="114300" simplePos="0" relativeHeight="253506558" behindDoc="1" locked="0" layoutInCell="1" allowOverlap="1" wp14:anchorId="59F82F2D" wp14:editId="75899EF2">
            <wp:simplePos x="0" y="0"/>
            <wp:positionH relativeFrom="column">
              <wp:posOffset>-12700</wp:posOffset>
            </wp:positionH>
            <wp:positionV relativeFrom="paragraph">
              <wp:posOffset>116840</wp:posOffset>
            </wp:positionV>
            <wp:extent cx="528955" cy="520700"/>
            <wp:effectExtent l="0" t="0" r="4445" b="0"/>
            <wp:wrapTight wrapText="bothSides">
              <wp:wrapPolygon edited="0">
                <wp:start x="18670" y="527"/>
                <wp:lineTo x="6742" y="2107"/>
                <wp:lineTo x="0" y="5268"/>
                <wp:lineTo x="0" y="13171"/>
                <wp:lineTo x="2074" y="18439"/>
                <wp:lineTo x="6742" y="21073"/>
                <wp:lineTo x="11409" y="21073"/>
                <wp:lineTo x="16077" y="18439"/>
                <wp:lineTo x="19188" y="11590"/>
                <wp:lineTo x="18670" y="10010"/>
                <wp:lineTo x="21263" y="4741"/>
                <wp:lineTo x="21263" y="527"/>
                <wp:lineTo x="18670" y="527"/>
              </wp:wrapPolygon>
            </wp:wrapTight>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lang w:val="en-US"/>
        </w:rPr>
        <mc:AlternateContent>
          <mc:Choice Requires="wps">
            <w:drawing>
              <wp:anchor distT="0" distB="0" distL="114300" distR="114300" simplePos="0" relativeHeight="253489150" behindDoc="0" locked="0" layoutInCell="1" allowOverlap="1" wp14:anchorId="26FCFEC7" wp14:editId="2D4DDB62">
                <wp:simplePos x="0" y="0"/>
                <wp:positionH relativeFrom="column">
                  <wp:posOffset>762806</wp:posOffset>
                </wp:positionH>
                <wp:positionV relativeFrom="paragraph">
                  <wp:posOffset>205740</wp:posOffset>
                </wp:positionV>
                <wp:extent cx="5587194" cy="304800"/>
                <wp:effectExtent l="0" t="0" r="0" b="0"/>
                <wp:wrapNone/>
                <wp:docPr id="1837" name="Text Box 1837"/>
                <wp:cNvGraphicFramePr/>
                <a:graphic xmlns:a="http://schemas.openxmlformats.org/drawingml/2006/main">
                  <a:graphicData uri="http://schemas.microsoft.com/office/word/2010/wordprocessingShape">
                    <wps:wsp>
                      <wps:cNvSpPr txBox="1"/>
                      <wps:spPr>
                        <a:xfrm>
                          <a:off x="0" y="0"/>
                          <a:ext cx="5587194" cy="304800"/>
                        </a:xfrm>
                        <a:prstGeom prst="rect">
                          <a:avLst/>
                        </a:prstGeom>
                        <a:noFill/>
                        <a:ln w="6350">
                          <a:noFill/>
                        </a:ln>
                      </wps:spPr>
                      <wps:txbx>
                        <w:txbxContent>
                          <w:p w14:paraId="34376A12" w14:textId="2BF3EAB7" w:rsidR="00D15FD8" w:rsidRPr="00BD6508" w:rsidRDefault="00D15FD8">
                            <w:pPr>
                              <w:rPr>
                                <w:b/>
                                <w:bCs/>
                                <w:color w:val="FFFFFF" w:themeColor="background1"/>
                              </w:rPr>
                            </w:pPr>
                            <w:r w:rsidRPr="00BD6508">
                              <w:rPr>
                                <w:rFonts w:ascii="Arial" w:hAnsi="Arial" w:cs="Arial"/>
                                <w:b/>
                                <w:bCs/>
                                <w:color w:val="FFFFFF" w:themeColor="background1"/>
                                <w:sz w:val="24"/>
                                <w:szCs w:val="24"/>
                              </w:rPr>
                              <w:t>The political setting should be supportive of fiscal transparency</w:t>
                            </w:r>
                            <w:r>
                              <w:rPr>
                                <w:rFonts w:ascii="Arial" w:hAnsi="Arial" w:cs="Arial"/>
                                <w:b/>
                                <w:bCs/>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CFEC7" id="Text Box 1837" o:spid="_x0000_s1457" type="#_x0000_t202" style="position:absolute;left:0;text-align:left;margin-left:60.05pt;margin-top:16.2pt;width:439.95pt;height:24pt;z-index:253489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" filled="f" stroked="f" strokeweight=".5pt">
                <v:textbox>
                  <w:txbxContent>
                    <w:p w14:paraId="34376A12" w14:textId="2BF3EAB7" w:rsidR="00D15FD8" w:rsidRPr="00BD6508" w:rsidRDefault="00D15FD8">
                      <w:pPr>
                        <w:rPr>
                          <w:b/>
                          <w:bCs/>
                          <w:color w:val="FFFFFF" w:themeColor="background1"/>
                        </w:rPr>
                      </w:pPr>
                      <w:r w:rsidRPr="00BD6508">
                        <w:rPr>
                          <w:rFonts w:ascii="Arial" w:hAnsi="Arial" w:cs="Arial"/>
                          <w:b/>
                          <w:bCs/>
                          <w:color w:val="FFFFFF" w:themeColor="background1"/>
                          <w:sz w:val="24"/>
                          <w:szCs w:val="24"/>
                        </w:rPr>
                        <w:t>The political setting should be supportive of fiscal transparency</w:t>
                      </w:r>
                      <w:r>
                        <w:rPr>
                          <w:rFonts w:ascii="Arial" w:hAnsi="Arial" w:cs="Arial"/>
                          <w:b/>
                          <w:bCs/>
                          <w:color w:val="FFFFFF" w:themeColor="background1"/>
                          <w:sz w:val="24"/>
                          <w:szCs w:val="24"/>
                        </w:rPr>
                        <w:t>.</w:t>
                      </w:r>
                    </w:p>
                  </w:txbxContent>
                </v:textbox>
              </v:shape>
            </w:pict>
          </mc:Fallback>
        </mc:AlternateContent>
      </w:r>
      <w:r>
        <w:rPr>
          <w:rFonts w:ascii="Arial" w:hAnsi="Arial" w:cs="Arial"/>
          <w:bCs/>
          <w:noProof/>
          <w:sz w:val="24"/>
          <w:szCs w:val="24"/>
          <w:lang w:val="en-US"/>
        </w:rPr>
        <mc:AlternateContent>
          <mc:Choice Requires="wps">
            <w:drawing>
              <wp:anchor distT="0" distB="0" distL="114300" distR="114300" simplePos="0" relativeHeight="253488126" behindDoc="0" locked="0" layoutInCell="1" allowOverlap="1" wp14:anchorId="6EED4264" wp14:editId="19500148">
                <wp:simplePos x="0" y="0"/>
                <wp:positionH relativeFrom="margin">
                  <wp:posOffset>673100</wp:posOffset>
                </wp:positionH>
                <wp:positionV relativeFrom="paragraph">
                  <wp:posOffset>116840</wp:posOffset>
                </wp:positionV>
                <wp:extent cx="6009640" cy="444500"/>
                <wp:effectExtent l="0" t="0" r="0" b="0"/>
                <wp:wrapNone/>
                <wp:docPr id="1836" name="Rounded Rectangle 1836"/>
                <wp:cNvGraphicFramePr/>
                <a:graphic xmlns:a="http://schemas.openxmlformats.org/drawingml/2006/main">
                  <a:graphicData uri="http://schemas.microsoft.com/office/word/2010/wordprocessingShape">
                    <wps:wsp>
                      <wps:cNvSpPr/>
                      <wps:spPr>
                        <a:xfrm>
                          <a:off x="0" y="0"/>
                          <a:ext cx="6009640" cy="4445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6624226A" id="Rounded Rectangle 1836" o:spid="_x0000_s1026" style="position:absolute;margin-left:53pt;margin-top:9.2pt;width:473.2pt;height:35pt;z-index:25348812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" fillcolor="#f9a133" stroked="f" strokeweight="1pt">
                <v:stroke joinstyle="miter"/>
                <w10:wrap anchorx="margin"/>
              </v:roundrect>
            </w:pict>
          </mc:Fallback>
        </mc:AlternateContent>
      </w:r>
    </w:p>
    <w:p w14:paraId="1865AFA3" w14:textId="230271C9" w:rsidR="00C213AB" w:rsidRDefault="00C213AB" w:rsidP="00A26350">
      <w:pPr>
        <w:spacing w:line="276" w:lineRule="auto"/>
        <w:jc w:val="both"/>
        <w:rPr>
          <w:rFonts w:ascii="Arial" w:hAnsi="Arial" w:cs="Arial"/>
          <w:bCs/>
          <w:sz w:val="24"/>
          <w:szCs w:val="24"/>
        </w:rPr>
      </w:pPr>
    </w:p>
    <w:p w14:paraId="482ABF6B" w14:textId="461A96F9" w:rsidR="00C213AB" w:rsidRDefault="00C213AB" w:rsidP="00A26350">
      <w:pPr>
        <w:spacing w:line="276" w:lineRule="auto"/>
        <w:jc w:val="both"/>
        <w:rPr>
          <w:rFonts w:ascii="Arial" w:hAnsi="Arial" w:cs="Arial"/>
          <w:bCs/>
          <w:sz w:val="24"/>
          <w:szCs w:val="24"/>
        </w:rPr>
      </w:pPr>
    </w:p>
    <w:p w14:paraId="767D7787" w14:textId="27FC967B" w:rsidR="00C213AB" w:rsidRDefault="00C213AB" w:rsidP="00A26350">
      <w:pPr>
        <w:spacing w:line="276" w:lineRule="auto"/>
        <w:jc w:val="both"/>
        <w:rPr>
          <w:rFonts w:ascii="Arial" w:hAnsi="Arial" w:cs="Arial"/>
          <w:bCs/>
          <w:sz w:val="24"/>
          <w:szCs w:val="24"/>
        </w:rPr>
      </w:pPr>
      <w:r>
        <w:rPr>
          <w:noProof/>
          <w:lang w:val="en-US"/>
        </w:rPr>
        <w:drawing>
          <wp:anchor distT="0" distB="0" distL="114300" distR="114300" simplePos="0" relativeHeight="253508606" behindDoc="1" locked="0" layoutInCell="1" allowOverlap="1" wp14:anchorId="7F05BE49" wp14:editId="769671A1">
            <wp:simplePos x="0" y="0"/>
            <wp:positionH relativeFrom="column">
              <wp:posOffset>0</wp:posOffset>
            </wp:positionH>
            <wp:positionV relativeFrom="paragraph">
              <wp:posOffset>172720</wp:posOffset>
            </wp:positionV>
            <wp:extent cx="528955" cy="520700"/>
            <wp:effectExtent l="0" t="0" r="4445" b="0"/>
            <wp:wrapTight wrapText="bothSides">
              <wp:wrapPolygon edited="0">
                <wp:start x="18670" y="527"/>
                <wp:lineTo x="6742" y="2107"/>
                <wp:lineTo x="0" y="5268"/>
                <wp:lineTo x="0" y="13171"/>
                <wp:lineTo x="2074" y="18439"/>
                <wp:lineTo x="6742" y="21073"/>
                <wp:lineTo x="11409" y="21073"/>
                <wp:lineTo x="16077" y="18439"/>
                <wp:lineTo x="19188" y="11590"/>
                <wp:lineTo x="18670" y="10010"/>
                <wp:lineTo x="21263" y="4741"/>
                <wp:lineTo x="21263" y="527"/>
                <wp:lineTo x="18670" y="527"/>
              </wp:wrapPolygon>
            </wp:wrapTight>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lang w:val="en-US"/>
        </w:rPr>
        <mc:AlternateContent>
          <mc:Choice Requires="wps">
            <w:drawing>
              <wp:anchor distT="0" distB="0" distL="114300" distR="114300" simplePos="0" relativeHeight="253492222" behindDoc="0" locked="0" layoutInCell="1" allowOverlap="1" wp14:anchorId="3D4143F0" wp14:editId="79FCF2F9">
                <wp:simplePos x="0" y="0"/>
                <wp:positionH relativeFrom="column">
                  <wp:posOffset>775506</wp:posOffset>
                </wp:positionH>
                <wp:positionV relativeFrom="paragraph">
                  <wp:posOffset>172720</wp:posOffset>
                </wp:positionV>
                <wp:extent cx="5587194" cy="482600"/>
                <wp:effectExtent l="0" t="0" r="0" b="0"/>
                <wp:wrapNone/>
                <wp:docPr id="1839" name="Text Box 1839"/>
                <wp:cNvGraphicFramePr/>
                <a:graphic xmlns:a="http://schemas.openxmlformats.org/drawingml/2006/main">
                  <a:graphicData uri="http://schemas.microsoft.com/office/word/2010/wordprocessingShape">
                    <wps:wsp>
                      <wps:cNvSpPr txBox="1"/>
                      <wps:spPr>
                        <a:xfrm>
                          <a:off x="0" y="0"/>
                          <a:ext cx="5587194" cy="482600"/>
                        </a:xfrm>
                        <a:prstGeom prst="rect">
                          <a:avLst/>
                        </a:prstGeom>
                        <a:noFill/>
                        <a:ln w="6350">
                          <a:noFill/>
                        </a:ln>
                      </wps:spPr>
                      <wps:txbx>
                        <w:txbxContent>
                          <w:p w14:paraId="5BECBE60" w14:textId="3B5868F2" w:rsidR="00D15FD8" w:rsidRPr="00BD6508" w:rsidRDefault="00D15FD8" w:rsidP="00BD6508">
                            <w:pPr>
                              <w:spacing w:line="276" w:lineRule="auto"/>
                              <w:rPr>
                                <w:b/>
                                <w:bCs/>
                                <w:color w:val="FFFFFF" w:themeColor="background1"/>
                              </w:rPr>
                            </w:pPr>
                            <w:r w:rsidRPr="00C213AB">
                              <w:rPr>
                                <w:rFonts w:ascii="Arial" w:hAnsi="Arial" w:cs="Arial"/>
                                <w:b/>
                                <w:bCs/>
                                <w:color w:val="FFFFFF" w:themeColor="background1"/>
                                <w:sz w:val="24"/>
                                <w:szCs w:val="24"/>
                              </w:rPr>
                              <w:t>Underlying base legislation is key in setting minimum information standards for budget documents.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143F0" id="Text Box 1839" o:spid="_x0000_s1458" type="#_x0000_t202" style="position:absolute;left:0;text-align:left;margin-left:61.05pt;margin-top:13.6pt;width:439.95pt;height:38pt;z-index:253492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" filled="f" stroked="f" strokeweight=".5pt">
                <v:textbox>
                  <w:txbxContent>
                    <w:p w14:paraId="5BECBE60" w14:textId="3B5868F2" w:rsidR="00D15FD8" w:rsidRPr="00BD6508" w:rsidRDefault="00D15FD8" w:rsidP="00BD6508">
                      <w:pPr>
                        <w:spacing w:line="276" w:lineRule="auto"/>
                        <w:rPr>
                          <w:b/>
                          <w:bCs/>
                          <w:color w:val="FFFFFF" w:themeColor="background1"/>
                        </w:rPr>
                      </w:pPr>
                      <w:r w:rsidRPr="00C213AB">
                        <w:rPr>
                          <w:rFonts w:ascii="Arial" w:hAnsi="Arial" w:cs="Arial"/>
                          <w:b/>
                          <w:bCs/>
                          <w:color w:val="FFFFFF" w:themeColor="background1"/>
                          <w:sz w:val="24"/>
                          <w:szCs w:val="24"/>
                        </w:rPr>
                        <w:t>Underlying base legislation is key in setting minimum information standards for budget documents.</w:t>
                      </w:r>
                    </w:p>
                  </w:txbxContent>
                </v:textbox>
              </v:shape>
            </w:pict>
          </mc:Fallback>
        </mc:AlternateContent>
      </w:r>
      <w:r>
        <w:rPr>
          <w:rFonts w:ascii="Arial" w:hAnsi="Arial" w:cs="Arial"/>
          <w:bCs/>
          <w:noProof/>
          <w:sz w:val="24"/>
          <w:szCs w:val="24"/>
          <w:lang w:val="en-US"/>
        </w:rPr>
        <mc:AlternateContent>
          <mc:Choice Requires="wps">
            <w:drawing>
              <wp:anchor distT="0" distB="0" distL="114300" distR="114300" simplePos="0" relativeHeight="253491198" behindDoc="0" locked="0" layoutInCell="1" allowOverlap="1" wp14:anchorId="06A7F233" wp14:editId="1EE6093C">
                <wp:simplePos x="0" y="0"/>
                <wp:positionH relativeFrom="margin">
                  <wp:posOffset>673100</wp:posOffset>
                </wp:positionH>
                <wp:positionV relativeFrom="paragraph">
                  <wp:posOffset>134620</wp:posOffset>
                </wp:positionV>
                <wp:extent cx="6009640" cy="533400"/>
                <wp:effectExtent l="0" t="0" r="0" b="0"/>
                <wp:wrapNone/>
                <wp:docPr id="1838" name="Rounded Rectangle 1838"/>
                <wp:cNvGraphicFramePr/>
                <a:graphic xmlns:a="http://schemas.openxmlformats.org/drawingml/2006/main">
                  <a:graphicData uri="http://schemas.microsoft.com/office/word/2010/wordprocessingShape">
                    <wps:wsp>
                      <wps:cNvSpPr/>
                      <wps:spPr>
                        <a:xfrm>
                          <a:off x="0" y="0"/>
                          <a:ext cx="6009640" cy="5334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0FE0275" id="Rounded Rectangle 1838" o:spid="_x0000_s1026" style="position:absolute;margin-left:53pt;margin-top:10.6pt;width:473.2pt;height:42pt;z-index:2534911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" fillcolor="#f9a133" stroked="f" strokeweight="1pt">
                <v:stroke joinstyle="miter"/>
                <w10:wrap anchorx="margin"/>
              </v:roundrect>
            </w:pict>
          </mc:Fallback>
        </mc:AlternateContent>
      </w:r>
    </w:p>
    <w:p w14:paraId="72DBBA80" w14:textId="687B1850" w:rsidR="00C213AB" w:rsidRDefault="00C213AB" w:rsidP="00A26350">
      <w:pPr>
        <w:spacing w:line="276" w:lineRule="auto"/>
        <w:jc w:val="both"/>
        <w:rPr>
          <w:rFonts w:ascii="Arial" w:hAnsi="Arial" w:cs="Arial"/>
          <w:bCs/>
          <w:sz w:val="24"/>
          <w:szCs w:val="24"/>
        </w:rPr>
      </w:pPr>
    </w:p>
    <w:p w14:paraId="4B635049" w14:textId="1150DBAB" w:rsidR="00C213AB" w:rsidRDefault="00C213AB" w:rsidP="00A26350">
      <w:pPr>
        <w:spacing w:line="276" w:lineRule="auto"/>
        <w:jc w:val="both"/>
        <w:rPr>
          <w:rFonts w:ascii="Arial" w:hAnsi="Arial" w:cs="Arial"/>
          <w:bCs/>
          <w:sz w:val="24"/>
          <w:szCs w:val="24"/>
        </w:rPr>
      </w:pPr>
    </w:p>
    <w:p w14:paraId="0EACABC2" w14:textId="5A3C331A" w:rsidR="00C213AB" w:rsidRDefault="00C213AB" w:rsidP="00A26350">
      <w:pPr>
        <w:spacing w:line="276" w:lineRule="auto"/>
        <w:jc w:val="both"/>
        <w:rPr>
          <w:rFonts w:ascii="Arial" w:hAnsi="Arial" w:cs="Arial"/>
          <w:bCs/>
          <w:sz w:val="24"/>
          <w:szCs w:val="24"/>
        </w:rPr>
      </w:pPr>
      <w:r>
        <w:rPr>
          <w:rFonts w:ascii="Arial" w:hAnsi="Arial" w:cs="Arial"/>
          <w:bCs/>
          <w:noProof/>
          <w:sz w:val="24"/>
          <w:szCs w:val="24"/>
          <w:lang w:val="en-US"/>
        </w:rPr>
        <mc:AlternateContent>
          <mc:Choice Requires="wps">
            <w:drawing>
              <wp:anchor distT="0" distB="0" distL="114300" distR="114300" simplePos="0" relativeHeight="253494270" behindDoc="0" locked="0" layoutInCell="1" allowOverlap="1" wp14:anchorId="566E618C" wp14:editId="476BEDEB">
                <wp:simplePos x="0" y="0"/>
                <wp:positionH relativeFrom="margin">
                  <wp:posOffset>673100</wp:posOffset>
                </wp:positionH>
                <wp:positionV relativeFrom="paragraph">
                  <wp:posOffset>228600</wp:posOffset>
                </wp:positionV>
                <wp:extent cx="6009640" cy="800100"/>
                <wp:effectExtent l="0" t="0" r="0" b="0"/>
                <wp:wrapNone/>
                <wp:docPr id="1840" name="Rounded Rectangle 1840"/>
                <wp:cNvGraphicFramePr/>
                <a:graphic xmlns:a="http://schemas.openxmlformats.org/drawingml/2006/main">
                  <a:graphicData uri="http://schemas.microsoft.com/office/word/2010/wordprocessingShape">
                    <wps:wsp>
                      <wps:cNvSpPr/>
                      <wps:spPr>
                        <a:xfrm>
                          <a:off x="0" y="0"/>
                          <a:ext cx="6009640" cy="8001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EDD218C" id="Rounded Rectangle 1840" o:spid="_x0000_s1026" style="position:absolute;margin-left:53pt;margin-top:18pt;width:473.2pt;height:63pt;z-index:253494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" fillcolor="#f9a133" stroked="f" strokeweight="1pt">
                <v:stroke joinstyle="miter"/>
                <w10:wrap anchorx="margin"/>
              </v:roundrect>
            </w:pict>
          </mc:Fallback>
        </mc:AlternateContent>
      </w:r>
    </w:p>
    <w:p w14:paraId="18CC1C6B" w14:textId="5D3E8C82" w:rsidR="00C213AB" w:rsidRDefault="00C213AB" w:rsidP="00A26350">
      <w:pPr>
        <w:spacing w:line="276" w:lineRule="auto"/>
        <w:jc w:val="both"/>
        <w:rPr>
          <w:rFonts w:ascii="Arial" w:hAnsi="Arial" w:cs="Arial"/>
          <w:bCs/>
          <w:sz w:val="24"/>
          <w:szCs w:val="24"/>
        </w:rPr>
      </w:pPr>
      <w:r>
        <w:rPr>
          <w:noProof/>
          <w:lang w:val="en-US"/>
        </w:rPr>
        <w:drawing>
          <wp:anchor distT="0" distB="0" distL="114300" distR="114300" simplePos="0" relativeHeight="253510654" behindDoc="1" locked="0" layoutInCell="1" allowOverlap="1" wp14:anchorId="66072FD0" wp14:editId="495331B0">
            <wp:simplePos x="0" y="0"/>
            <wp:positionH relativeFrom="column">
              <wp:posOffset>0</wp:posOffset>
            </wp:positionH>
            <wp:positionV relativeFrom="paragraph">
              <wp:posOffset>188595</wp:posOffset>
            </wp:positionV>
            <wp:extent cx="528955" cy="520700"/>
            <wp:effectExtent l="0" t="0" r="4445" b="0"/>
            <wp:wrapTight wrapText="bothSides">
              <wp:wrapPolygon edited="0">
                <wp:start x="18670" y="527"/>
                <wp:lineTo x="6742" y="2107"/>
                <wp:lineTo x="0" y="5268"/>
                <wp:lineTo x="0" y="13171"/>
                <wp:lineTo x="2074" y="18439"/>
                <wp:lineTo x="6742" y="21073"/>
                <wp:lineTo x="11409" y="21073"/>
                <wp:lineTo x="16077" y="18439"/>
                <wp:lineTo x="19188" y="11590"/>
                <wp:lineTo x="18670" y="10010"/>
                <wp:lineTo x="21263" y="4741"/>
                <wp:lineTo x="21263" y="527"/>
                <wp:lineTo x="18670" y="527"/>
              </wp:wrapPolygon>
            </wp:wrapTight>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lang w:val="en-US"/>
        </w:rPr>
        <mc:AlternateContent>
          <mc:Choice Requires="wps">
            <w:drawing>
              <wp:anchor distT="0" distB="0" distL="114300" distR="114300" simplePos="0" relativeHeight="253495294" behindDoc="0" locked="0" layoutInCell="1" allowOverlap="1" wp14:anchorId="343C7CB1" wp14:editId="75EDD4C9">
                <wp:simplePos x="0" y="0"/>
                <wp:positionH relativeFrom="column">
                  <wp:posOffset>775506</wp:posOffset>
                </wp:positionH>
                <wp:positionV relativeFrom="paragraph">
                  <wp:posOffset>77470</wp:posOffset>
                </wp:positionV>
                <wp:extent cx="5587194" cy="660400"/>
                <wp:effectExtent l="0" t="0" r="0" b="0"/>
                <wp:wrapNone/>
                <wp:docPr id="1841" name="Text Box 1841"/>
                <wp:cNvGraphicFramePr/>
                <a:graphic xmlns:a="http://schemas.openxmlformats.org/drawingml/2006/main">
                  <a:graphicData uri="http://schemas.microsoft.com/office/word/2010/wordprocessingShape">
                    <wps:wsp>
                      <wps:cNvSpPr txBox="1"/>
                      <wps:spPr>
                        <a:xfrm>
                          <a:off x="0" y="0"/>
                          <a:ext cx="5587194" cy="660400"/>
                        </a:xfrm>
                        <a:prstGeom prst="rect">
                          <a:avLst/>
                        </a:prstGeom>
                        <a:noFill/>
                        <a:ln w="6350">
                          <a:noFill/>
                        </a:ln>
                      </wps:spPr>
                      <wps:txbx>
                        <w:txbxContent>
                          <w:p w14:paraId="5A79E5E1" w14:textId="0779E2A6" w:rsidR="00D15FD8" w:rsidRPr="00BD6508" w:rsidRDefault="00D15FD8" w:rsidP="0058549C">
                            <w:pPr>
                              <w:spacing w:line="276" w:lineRule="auto"/>
                              <w:jc w:val="both"/>
                              <w:rPr>
                                <w:b/>
                                <w:bCs/>
                                <w:color w:val="FFFFFF" w:themeColor="background1"/>
                              </w:rPr>
                            </w:pPr>
                            <w:r w:rsidRPr="00C213AB">
                              <w:rPr>
                                <w:rFonts w:ascii="Arial" w:hAnsi="Arial" w:cs="Arial"/>
                                <w:b/>
                                <w:bCs/>
                                <w:color w:val="FFFFFF" w:themeColor="background1"/>
                                <w:sz w:val="24"/>
                                <w:szCs w:val="24"/>
                              </w:rPr>
                              <w:t>It is important to have public officials that focus on fiscal transparency such that the ‘transparency lens’ is constantly applied in reform efforts to ensure transparency is maintained and improvements made.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C7CB1" id="Text Box 1841" o:spid="_x0000_s1459" type="#_x0000_t202" style="position:absolute;left:0;text-align:left;margin-left:61.05pt;margin-top:6.1pt;width:439.95pt;height:52pt;z-index:253495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" filled="f" stroked="f" strokeweight=".5pt">
                <v:textbox>
                  <w:txbxContent>
                    <w:p w14:paraId="5A79E5E1" w14:textId="0779E2A6" w:rsidR="00D15FD8" w:rsidRPr="00BD6508" w:rsidRDefault="00D15FD8" w:rsidP="0058549C">
                      <w:pPr>
                        <w:spacing w:line="276" w:lineRule="auto"/>
                        <w:jc w:val="both"/>
                        <w:rPr>
                          <w:b/>
                          <w:bCs/>
                          <w:color w:val="FFFFFF" w:themeColor="background1"/>
                        </w:rPr>
                      </w:pPr>
                      <w:r w:rsidRPr="00C213AB">
                        <w:rPr>
                          <w:rFonts w:ascii="Arial" w:hAnsi="Arial" w:cs="Arial"/>
                          <w:b/>
                          <w:bCs/>
                          <w:color w:val="FFFFFF" w:themeColor="background1"/>
                          <w:sz w:val="24"/>
                          <w:szCs w:val="24"/>
                        </w:rPr>
                        <w:t>It is important to have public officials that focus on fiscal transparency such that the ‘transparency lens’ is constantly applied in reform efforts to ensure transparency is maintained and improvements made.</w:t>
                      </w:r>
                    </w:p>
                  </w:txbxContent>
                </v:textbox>
              </v:shape>
            </w:pict>
          </mc:Fallback>
        </mc:AlternateContent>
      </w:r>
    </w:p>
    <w:p w14:paraId="776E8696" w14:textId="382A7E1A" w:rsidR="00C213AB" w:rsidRDefault="00C213AB" w:rsidP="00A26350">
      <w:pPr>
        <w:spacing w:line="276" w:lineRule="auto"/>
        <w:jc w:val="both"/>
        <w:rPr>
          <w:rFonts w:ascii="Arial" w:hAnsi="Arial" w:cs="Arial"/>
          <w:bCs/>
          <w:sz w:val="24"/>
          <w:szCs w:val="24"/>
        </w:rPr>
      </w:pPr>
    </w:p>
    <w:p w14:paraId="68D9F2B1" w14:textId="1B9E4CA9" w:rsidR="00C213AB" w:rsidRPr="00BD6508" w:rsidRDefault="00C213AB" w:rsidP="00BD6508">
      <w:pPr>
        <w:spacing w:line="276" w:lineRule="auto"/>
        <w:jc w:val="both"/>
        <w:rPr>
          <w:rFonts w:ascii="Arial" w:hAnsi="Arial" w:cs="Arial"/>
          <w:bCs/>
          <w:sz w:val="24"/>
          <w:szCs w:val="24"/>
        </w:rPr>
      </w:pPr>
    </w:p>
    <w:p w14:paraId="0E124E55" w14:textId="6FFB1530" w:rsidR="00C213AB" w:rsidRDefault="00C213AB" w:rsidP="00C213AB">
      <w:pPr>
        <w:spacing w:line="276" w:lineRule="auto"/>
        <w:ind w:left="720"/>
        <w:jc w:val="both"/>
        <w:rPr>
          <w:rFonts w:ascii="Arial" w:hAnsi="Arial" w:cs="Arial"/>
          <w:sz w:val="24"/>
          <w:szCs w:val="24"/>
        </w:rPr>
      </w:pPr>
    </w:p>
    <w:p w14:paraId="60D24721" w14:textId="627A5F28" w:rsidR="00C213AB" w:rsidRDefault="00C213AB" w:rsidP="00C213AB">
      <w:pPr>
        <w:spacing w:line="276" w:lineRule="auto"/>
        <w:ind w:left="720"/>
        <w:jc w:val="both"/>
        <w:rPr>
          <w:rFonts w:ascii="Arial" w:hAnsi="Arial" w:cs="Arial"/>
          <w:sz w:val="24"/>
          <w:szCs w:val="24"/>
        </w:rPr>
      </w:pPr>
      <w:r>
        <w:rPr>
          <w:noProof/>
          <w:lang w:val="en-US"/>
        </w:rPr>
        <w:drawing>
          <wp:anchor distT="0" distB="0" distL="114300" distR="114300" simplePos="0" relativeHeight="253512702" behindDoc="1" locked="0" layoutInCell="1" allowOverlap="1" wp14:anchorId="29997E5A" wp14:editId="725CD157">
            <wp:simplePos x="0" y="0"/>
            <wp:positionH relativeFrom="column">
              <wp:posOffset>-4445</wp:posOffset>
            </wp:positionH>
            <wp:positionV relativeFrom="paragraph">
              <wp:posOffset>160655</wp:posOffset>
            </wp:positionV>
            <wp:extent cx="528955" cy="520700"/>
            <wp:effectExtent l="0" t="0" r="4445" b="0"/>
            <wp:wrapTight wrapText="bothSides">
              <wp:wrapPolygon edited="0">
                <wp:start x="18670" y="527"/>
                <wp:lineTo x="6742" y="2107"/>
                <wp:lineTo x="0" y="5268"/>
                <wp:lineTo x="0" y="13171"/>
                <wp:lineTo x="2074" y="18439"/>
                <wp:lineTo x="6742" y="21073"/>
                <wp:lineTo x="11409" y="21073"/>
                <wp:lineTo x="16077" y="18439"/>
                <wp:lineTo x="19188" y="11590"/>
                <wp:lineTo x="18670" y="10010"/>
                <wp:lineTo x="21263" y="4741"/>
                <wp:lineTo x="21263" y="527"/>
                <wp:lineTo x="18670" y="527"/>
              </wp:wrapPolygon>
            </wp:wrapTight>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lang w:val="en-US"/>
        </w:rPr>
        <mc:AlternateContent>
          <mc:Choice Requires="wps">
            <w:drawing>
              <wp:anchor distT="0" distB="0" distL="114300" distR="114300" simplePos="0" relativeHeight="253496829" behindDoc="0" locked="0" layoutInCell="1" allowOverlap="1" wp14:anchorId="3901210C" wp14:editId="02C6514C">
                <wp:simplePos x="0" y="0"/>
                <wp:positionH relativeFrom="margin">
                  <wp:posOffset>673100</wp:posOffset>
                </wp:positionH>
                <wp:positionV relativeFrom="paragraph">
                  <wp:posOffset>198755</wp:posOffset>
                </wp:positionV>
                <wp:extent cx="6009640" cy="444500"/>
                <wp:effectExtent l="0" t="0" r="0" b="0"/>
                <wp:wrapNone/>
                <wp:docPr id="1844" name="Rounded Rectangle 1844"/>
                <wp:cNvGraphicFramePr/>
                <a:graphic xmlns:a="http://schemas.openxmlformats.org/drawingml/2006/main">
                  <a:graphicData uri="http://schemas.microsoft.com/office/word/2010/wordprocessingShape">
                    <wps:wsp>
                      <wps:cNvSpPr/>
                      <wps:spPr>
                        <a:xfrm>
                          <a:off x="0" y="0"/>
                          <a:ext cx="6009640" cy="4445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39FCB6FA" id="Rounded Rectangle 1844" o:spid="_x0000_s1026" style="position:absolute;margin-left:53pt;margin-top:15.65pt;width:473.2pt;height:35pt;z-index:25349682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" fillcolor="#f9a133" stroked="f" strokeweight="1pt">
                <v:stroke joinstyle="miter"/>
                <w10:wrap anchorx="margin"/>
              </v:roundrect>
            </w:pict>
          </mc:Fallback>
        </mc:AlternateContent>
      </w:r>
    </w:p>
    <w:p w14:paraId="5346DDCC" w14:textId="78244D6C" w:rsidR="00C213AB" w:rsidRDefault="00C213AB" w:rsidP="00C213AB">
      <w:pPr>
        <w:spacing w:line="276" w:lineRule="auto"/>
        <w:ind w:left="720"/>
        <w:jc w:val="both"/>
        <w:rPr>
          <w:rFonts w:ascii="Arial" w:hAnsi="Arial" w:cs="Arial"/>
          <w:sz w:val="24"/>
          <w:szCs w:val="24"/>
        </w:rPr>
      </w:pPr>
      <w:r>
        <w:rPr>
          <w:rFonts w:ascii="Arial" w:hAnsi="Arial" w:cs="Arial"/>
          <w:bCs/>
          <w:noProof/>
          <w:sz w:val="24"/>
          <w:szCs w:val="24"/>
          <w:lang w:val="en-US"/>
        </w:rPr>
        <mc:AlternateContent>
          <mc:Choice Requires="wps">
            <w:drawing>
              <wp:anchor distT="0" distB="0" distL="114300" distR="114300" simplePos="0" relativeHeight="253498366" behindDoc="0" locked="0" layoutInCell="1" allowOverlap="1" wp14:anchorId="5799A0DE" wp14:editId="5CA0F2BA">
                <wp:simplePos x="0" y="0"/>
                <wp:positionH relativeFrom="column">
                  <wp:posOffset>813606</wp:posOffset>
                </wp:positionH>
                <wp:positionV relativeFrom="paragraph">
                  <wp:posOffset>85725</wp:posOffset>
                </wp:positionV>
                <wp:extent cx="5587194" cy="317500"/>
                <wp:effectExtent l="0" t="0" r="0" b="0"/>
                <wp:wrapNone/>
                <wp:docPr id="1843" name="Text Box 1843"/>
                <wp:cNvGraphicFramePr/>
                <a:graphic xmlns:a="http://schemas.openxmlformats.org/drawingml/2006/main">
                  <a:graphicData uri="http://schemas.microsoft.com/office/word/2010/wordprocessingShape">
                    <wps:wsp>
                      <wps:cNvSpPr txBox="1"/>
                      <wps:spPr>
                        <a:xfrm>
                          <a:off x="0" y="0"/>
                          <a:ext cx="5587194" cy="317500"/>
                        </a:xfrm>
                        <a:prstGeom prst="rect">
                          <a:avLst/>
                        </a:prstGeom>
                        <a:noFill/>
                        <a:ln w="6350">
                          <a:noFill/>
                        </a:ln>
                      </wps:spPr>
                      <wps:txbx>
                        <w:txbxContent>
                          <w:p w14:paraId="4A05451A" w14:textId="755062C5" w:rsidR="00D15FD8" w:rsidRPr="00BD6508" w:rsidRDefault="00D15FD8" w:rsidP="00BD6508">
                            <w:pPr>
                              <w:spacing w:line="276" w:lineRule="auto"/>
                              <w:rPr>
                                <w:b/>
                                <w:bCs/>
                                <w:color w:val="FFFFFF" w:themeColor="background1"/>
                              </w:rPr>
                            </w:pPr>
                            <w:r w:rsidRPr="00C213AB">
                              <w:rPr>
                                <w:rFonts w:ascii="Arial" w:hAnsi="Arial" w:cs="Arial"/>
                                <w:b/>
                                <w:bCs/>
                                <w:color w:val="FFFFFF" w:themeColor="background1"/>
                                <w:sz w:val="24"/>
                                <w:szCs w:val="24"/>
                              </w:rPr>
                              <w:t>Lessons should be taken from other countries' experiences.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9A0DE" id="Text Box 1843" o:spid="_x0000_s1460" type="#_x0000_t202" style="position:absolute;left:0;text-align:left;margin-left:64.05pt;margin-top:6.75pt;width:439.95pt;height:25pt;z-index:25349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" filled="f" stroked="f" strokeweight=".5pt">
                <v:textbox>
                  <w:txbxContent>
                    <w:p w14:paraId="4A05451A" w14:textId="755062C5" w:rsidR="00D15FD8" w:rsidRPr="00BD6508" w:rsidRDefault="00D15FD8" w:rsidP="00BD6508">
                      <w:pPr>
                        <w:spacing w:line="276" w:lineRule="auto"/>
                        <w:rPr>
                          <w:b/>
                          <w:bCs/>
                          <w:color w:val="FFFFFF" w:themeColor="background1"/>
                        </w:rPr>
                      </w:pPr>
                      <w:r w:rsidRPr="00C213AB">
                        <w:rPr>
                          <w:rFonts w:ascii="Arial" w:hAnsi="Arial" w:cs="Arial"/>
                          <w:b/>
                          <w:bCs/>
                          <w:color w:val="FFFFFF" w:themeColor="background1"/>
                          <w:sz w:val="24"/>
                          <w:szCs w:val="24"/>
                        </w:rPr>
                        <w:t>Lessons should be taken from other countries' experiences.</w:t>
                      </w:r>
                    </w:p>
                  </w:txbxContent>
                </v:textbox>
              </v:shape>
            </w:pict>
          </mc:Fallback>
        </mc:AlternateContent>
      </w:r>
    </w:p>
    <w:p w14:paraId="482B2B15" w14:textId="1F2F7F1F" w:rsidR="00C213AB" w:rsidRDefault="00C213AB" w:rsidP="00C213AB">
      <w:pPr>
        <w:spacing w:line="276" w:lineRule="auto"/>
        <w:ind w:left="720"/>
        <w:jc w:val="both"/>
        <w:rPr>
          <w:rFonts w:ascii="Arial" w:hAnsi="Arial" w:cs="Arial"/>
          <w:sz w:val="24"/>
          <w:szCs w:val="24"/>
        </w:rPr>
      </w:pPr>
    </w:p>
    <w:p w14:paraId="6F40BE2F" w14:textId="63D64BDB" w:rsidR="00C213AB" w:rsidRDefault="00C213AB" w:rsidP="00C213AB">
      <w:pPr>
        <w:spacing w:line="276" w:lineRule="auto"/>
        <w:ind w:left="720"/>
        <w:jc w:val="both"/>
        <w:rPr>
          <w:rFonts w:ascii="Arial" w:hAnsi="Arial" w:cs="Arial"/>
          <w:sz w:val="24"/>
          <w:szCs w:val="24"/>
        </w:rPr>
      </w:pPr>
    </w:p>
    <w:p w14:paraId="7940E08D" w14:textId="2A38400B" w:rsidR="00C213AB" w:rsidRDefault="00C213AB" w:rsidP="00C213AB">
      <w:pPr>
        <w:spacing w:line="276" w:lineRule="auto"/>
        <w:ind w:left="720"/>
        <w:jc w:val="both"/>
        <w:rPr>
          <w:rFonts w:ascii="Arial" w:hAnsi="Arial" w:cs="Arial"/>
          <w:sz w:val="24"/>
          <w:szCs w:val="24"/>
        </w:rPr>
      </w:pPr>
      <w:r>
        <w:rPr>
          <w:rFonts w:ascii="Arial" w:hAnsi="Arial" w:cs="Arial"/>
          <w:bCs/>
          <w:noProof/>
          <w:sz w:val="24"/>
          <w:szCs w:val="24"/>
          <w:lang w:val="en-US"/>
        </w:rPr>
        <mc:AlternateContent>
          <mc:Choice Requires="wps">
            <w:drawing>
              <wp:anchor distT="0" distB="0" distL="114300" distR="114300" simplePos="0" relativeHeight="253501438" behindDoc="0" locked="0" layoutInCell="1" allowOverlap="1" wp14:anchorId="47843DD5" wp14:editId="00B00935">
                <wp:simplePos x="0" y="0"/>
                <wp:positionH relativeFrom="column">
                  <wp:posOffset>812800</wp:posOffset>
                </wp:positionH>
                <wp:positionV relativeFrom="paragraph">
                  <wp:posOffset>78105</wp:posOffset>
                </wp:positionV>
                <wp:extent cx="5586730" cy="889000"/>
                <wp:effectExtent l="0" t="0" r="0" b="0"/>
                <wp:wrapNone/>
                <wp:docPr id="1846" name="Text Box 1846"/>
                <wp:cNvGraphicFramePr/>
                <a:graphic xmlns:a="http://schemas.openxmlformats.org/drawingml/2006/main">
                  <a:graphicData uri="http://schemas.microsoft.com/office/word/2010/wordprocessingShape">
                    <wps:wsp>
                      <wps:cNvSpPr txBox="1"/>
                      <wps:spPr>
                        <a:xfrm>
                          <a:off x="0" y="0"/>
                          <a:ext cx="5586730" cy="889000"/>
                        </a:xfrm>
                        <a:prstGeom prst="rect">
                          <a:avLst/>
                        </a:prstGeom>
                        <a:noFill/>
                        <a:ln w="6350">
                          <a:noFill/>
                        </a:ln>
                      </wps:spPr>
                      <wps:txbx>
                        <w:txbxContent>
                          <w:p w14:paraId="0B612992" w14:textId="507D5171" w:rsidR="00D15FD8" w:rsidRPr="00BD6508" w:rsidRDefault="00D15FD8" w:rsidP="0058549C">
                            <w:pPr>
                              <w:spacing w:line="276" w:lineRule="auto"/>
                              <w:jc w:val="both"/>
                              <w:rPr>
                                <w:b/>
                                <w:bCs/>
                                <w:color w:val="FFFFFF" w:themeColor="background1"/>
                              </w:rPr>
                            </w:pPr>
                            <w:r w:rsidRPr="00C213AB">
                              <w:rPr>
                                <w:rFonts w:ascii="Arial" w:hAnsi="Arial" w:cs="Arial"/>
                                <w:b/>
                                <w:bCs/>
                                <w:color w:val="FFFFFF" w:themeColor="background1"/>
                                <w:sz w:val="24"/>
                                <w:szCs w:val="24"/>
                              </w:rPr>
                              <w:t>It is important to realize the limitations of published budget documents and to see how they can be complemented with other forms of information releases, such as through the publication of real time information using digital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43DD5" id="Text Box 1846" o:spid="_x0000_s1461" type="#_x0000_t202" style="position:absolute;left:0;text-align:left;margin-left:64pt;margin-top:6.15pt;width:439.9pt;height:70pt;z-index:253501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" filled="f" stroked="f" strokeweight=".5pt">
                <v:textbox>
                  <w:txbxContent>
                    <w:p w14:paraId="0B612992" w14:textId="507D5171" w:rsidR="00D15FD8" w:rsidRPr="00BD6508" w:rsidRDefault="00D15FD8" w:rsidP="0058549C">
                      <w:pPr>
                        <w:spacing w:line="276" w:lineRule="auto"/>
                        <w:jc w:val="both"/>
                        <w:rPr>
                          <w:b/>
                          <w:bCs/>
                          <w:color w:val="FFFFFF" w:themeColor="background1"/>
                        </w:rPr>
                      </w:pPr>
                      <w:r w:rsidRPr="00C213AB">
                        <w:rPr>
                          <w:rFonts w:ascii="Arial" w:hAnsi="Arial" w:cs="Arial"/>
                          <w:b/>
                          <w:bCs/>
                          <w:color w:val="FFFFFF" w:themeColor="background1"/>
                          <w:sz w:val="24"/>
                          <w:szCs w:val="24"/>
                        </w:rPr>
                        <w:t>It is important to realize the limitations of published budget documents and to see how they can be complemented with other forms of information releases, such as through the publication of real time information using digital tools.</w:t>
                      </w:r>
                    </w:p>
                  </w:txbxContent>
                </v:textbox>
              </v:shape>
            </w:pict>
          </mc:Fallback>
        </mc:AlternateContent>
      </w:r>
      <w:r>
        <w:rPr>
          <w:rFonts w:ascii="Arial" w:hAnsi="Arial" w:cs="Arial"/>
          <w:bCs/>
          <w:noProof/>
          <w:sz w:val="24"/>
          <w:szCs w:val="24"/>
          <w:lang w:val="en-US"/>
        </w:rPr>
        <mc:AlternateContent>
          <mc:Choice Requires="wps">
            <w:drawing>
              <wp:anchor distT="0" distB="0" distL="114300" distR="114300" simplePos="0" relativeHeight="253500414" behindDoc="0" locked="0" layoutInCell="1" allowOverlap="1" wp14:anchorId="5862E7E6" wp14:editId="225AC0CF">
                <wp:simplePos x="0" y="0"/>
                <wp:positionH relativeFrom="margin">
                  <wp:posOffset>673100</wp:posOffset>
                </wp:positionH>
                <wp:positionV relativeFrom="paragraph">
                  <wp:posOffset>14605</wp:posOffset>
                </wp:positionV>
                <wp:extent cx="6009640" cy="1016000"/>
                <wp:effectExtent l="0" t="0" r="0" b="0"/>
                <wp:wrapNone/>
                <wp:docPr id="1845" name="Rounded Rectangle 1845"/>
                <wp:cNvGraphicFramePr/>
                <a:graphic xmlns:a="http://schemas.openxmlformats.org/drawingml/2006/main">
                  <a:graphicData uri="http://schemas.microsoft.com/office/word/2010/wordprocessingShape">
                    <wps:wsp>
                      <wps:cNvSpPr/>
                      <wps:spPr>
                        <a:xfrm>
                          <a:off x="0" y="0"/>
                          <a:ext cx="6009640" cy="10160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6035128" id="Rounded Rectangle 1845" o:spid="_x0000_s1026" style="position:absolute;margin-left:53pt;margin-top:1.15pt;width:473.2pt;height:80pt;z-index:2535004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" fillcolor="#f9a133" stroked="f" strokeweight="1pt">
                <v:stroke joinstyle="miter"/>
                <w10:wrap anchorx="margin"/>
              </v:roundrect>
            </w:pict>
          </mc:Fallback>
        </mc:AlternateContent>
      </w:r>
    </w:p>
    <w:p w14:paraId="7D417EEC" w14:textId="0D21BB08" w:rsidR="00C213AB" w:rsidRDefault="00C213AB" w:rsidP="00C213AB">
      <w:pPr>
        <w:spacing w:line="276" w:lineRule="auto"/>
        <w:ind w:left="720"/>
        <w:jc w:val="both"/>
        <w:rPr>
          <w:rFonts w:ascii="Arial" w:hAnsi="Arial" w:cs="Arial"/>
          <w:sz w:val="24"/>
          <w:szCs w:val="24"/>
        </w:rPr>
      </w:pPr>
      <w:r>
        <w:rPr>
          <w:noProof/>
          <w:lang w:val="en-US"/>
        </w:rPr>
        <w:drawing>
          <wp:anchor distT="0" distB="0" distL="114300" distR="114300" simplePos="0" relativeHeight="253514750" behindDoc="1" locked="0" layoutInCell="1" allowOverlap="1" wp14:anchorId="2EECD974" wp14:editId="5F8D9A5D">
            <wp:simplePos x="0" y="0"/>
            <wp:positionH relativeFrom="column">
              <wp:posOffset>8255</wp:posOffset>
            </wp:positionH>
            <wp:positionV relativeFrom="paragraph">
              <wp:posOffset>80010</wp:posOffset>
            </wp:positionV>
            <wp:extent cx="528955" cy="520700"/>
            <wp:effectExtent l="0" t="0" r="4445" b="0"/>
            <wp:wrapTight wrapText="bothSides">
              <wp:wrapPolygon edited="0">
                <wp:start x="18670" y="527"/>
                <wp:lineTo x="6742" y="2107"/>
                <wp:lineTo x="0" y="5268"/>
                <wp:lineTo x="0" y="13171"/>
                <wp:lineTo x="2074" y="18439"/>
                <wp:lineTo x="6742" y="21073"/>
                <wp:lineTo x="11409" y="21073"/>
                <wp:lineTo x="16077" y="18439"/>
                <wp:lineTo x="19188" y="11590"/>
                <wp:lineTo x="18670" y="10010"/>
                <wp:lineTo x="21263" y="4741"/>
                <wp:lineTo x="21263" y="527"/>
                <wp:lineTo x="18670" y="527"/>
              </wp:wrapPolygon>
            </wp:wrapTight>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8F44D" w14:textId="21EB5DFE" w:rsidR="00C213AB" w:rsidRDefault="00C213AB" w:rsidP="00C213AB">
      <w:pPr>
        <w:spacing w:line="276" w:lineRule="auto"/>
        <w:ind w:left="720"/>
        <w:jc w:val="both"/>
        <w:rPr>
          <w:rFonts w:ascii="Arial" w:hAnsi="Arial" w:cs="Arial"/>
          <w:sz w:val="24"/>
          <w:szCs w:val="24"/>
        </w:rPr>
      </w:pPr>
    </w:p>
    <w:p w14:paraId="2280EA78" w14:textId="7ABBEA2A" w:rsidR="00C213AB" w:rsidRDefault="00C213AB" w:rsidP="00BD6508">
      <w:pPr>
        <w:spacing w:line="276" w:lineRule="auto"/>
        <w:ind w:left="720"/>
        <w:jc w:val="both"/>
        <w:rPr>
          <w:rFonts w:ascii="Arial" w:hAnsi="Arial" w:cs="Arial"/>
          <w:sz w:val="24"/>
          <w:szCs w:val="24"/>
        </w:rPr>
      </w:pPr>
    </w:p>
    <w:p w14:paraId="664A0CEE" w14:textId="4BD4EB2C" w:rsidR="00C213AB" w:rsidRDefault="00C213AB" w:rsidP="00C213AB">
      <w:pPr>
        <w:spacing w:line="276" w:lineRule="auto"/>
        <w:ind w:left="720" w:firstLine="720"/>
        <w:jc w:val="both"/>
        <w:rPr>
          <w:rFonts w:ascii="Arial" w:hAnsi="Arial" w:cs="Arial"/>
          <w:sz w:val="24"/>
          <w:szCs w:val="24"/>
        </w:rPr>
      </w:pPr>
    </w:p>
    <w:p w14:paraId="3EF507C0" w14:textId="5C8D224F" w:rsidR="00C213AB" w:rsidRDefault="00C213AB" w:rsidP="00C213AB">
      <w:pPr>
        <w:spacing w:line="276" w:lineRule="auto"/>
        <w:ind w:left="720" w:firstLine="720"/>
        <w:jc w:val="both"/>
        <w:rPr>
          <w:rFonts w:ascii="Arial" w:hAnsi="Arial" w:cs="Arial"/>
          <w:sz w:val="24"/>
          <w:szCs w:val="24"/>
        </w:rPr>
      </w:pPr>
    </w:p>
    <w:p w14:paraId="33D9FAFF" w14:textId="6210E7E3" w:rsidR="00C213AB" w:rsidRDefault="00C213AB" w:rsidP="00C213AB">
      <w:pPr>
        <w:spacing w:line="276" w:lineRule="auto"/>
        <w:ind w:left="720" w:firstLine="720"/>
        <w:jc w:val="both"/>
        <w:rPr>
          <w:rFonts w:ascii="Arial" w:hAnsi="Arial" w:cs="Arial"/>
          <w:sz w:val="24"/>
          <w:szCs w:val="24"/>
        </w:rPr>
      </w:pPr>
      <w:r>
        <w:rPr>
          <w:noProof/>
          <w:lang w:val="en-US"/>
        </w:rPr>
        <w:drawing>
          <wp:anchor distT="0" distB="0" distL="114300" distR="114300" simplePos="0" relativeHeight="253516798" behindDoc="1" locked="0" layoutInCell="1" allowOverlap="1" wp14:anchorId="565F7D8C" wp14:editId="4ECB5CE5">
            <wp:simplePos x="0" y="0"/>
            <wp:positionH relativeFrom="column">
              <wp:posOffset>25400</wp:posOffset>
            </wp:positionH>
            <wp:positionV relativeFrom="paragraph">
              <wp:posOffset>36195</wp:posOffset>
            </wp:positionV>
            <wp:extent cx="528955" cy="520700"/>
            <wp:effectExtent l="0" t="0" r="4445" b="0"/>
            <wp:wrapTight wrapText="bothSides">
              <wp:wrapPolygon edited="0">
                <wp:start x="18670" y="527"/>
                <wp:lineTo x="6742" y="2107"/>
                <wp:lineTo x="0" y="5268"/>
                <wp:lineTo x="0" y="13171"/>
                <wp:lineTo x="2074" y="18439"/>
                <wp:lineTo x="6742" y="21073"/>
                <wp:lineTo x="11409" y="21073"/>
                <wp:lineTo x="16077" y="18439"/>
                <wp:lineTo x="19188" y="11590"/>
                <wp:lineTo x="18670" y="10010"/>
                <wp:lineTo x="21263" y="4741"/>
                <wp:lineTo x="21263" y="527"/>
                <wp:lineTo x="18670" y="527"/>
              </wp:wrapPolygon>
            </wp:wrapTight>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noProof/>
          <w:sz w:val="24"/>
          <w:szCs w:val="24"/>
          <w:lang w:val="en-US"/>
        </w:rPr>
        <mc:AlternateContent>
          <mc:Choice Requires="wps">
            <w:drawing>
              <wp:anchor distT="0" distB="0" distL="114300" distR="114300" simplePos="0" relativeHeight="253503486" behindDoc="0" locked="0" layoutInCell="1" allowOverlap="1" wp14:anchorId="0E8BF1A5" wp14:editId="63B43C80">
                <wp:simplePos x="0" y="0"/>
                <wp:positionH relativeFrom="margin">
                  <wp:posOffset>673100</wp:posOffset>
                </wp:positionH>
                <wp:positionV relativeFrom="paragraph">
                  <wp:posOffset>12065</wp:posOffset>
                </wp:positionV>
                <wp:extent cx="6009640" cy="533400"/>
                <wp:effectExtent l="0" t="0" r="0" b="0"/>
                <wp:wrapNone/>
                <wp:docPr id="1847" name="Rounded Rectangle 1847"/>
                <wp:cNvGraphicFramePr/>
                <a:graphic xmlns:a="http://schemas.openxmlformats.org/drawingml/2006/main">
                  <a:graphicData uri="http://schemas.microsoft.com/office/word/2010/wordprocessingShape">
                    <wps:wsp>
                      <wps:cNvSpPr/>
                      <wps:spPr>
                        <a:xfrm>
                          <a:off x="0" y="0"/>
                          <a:ext cx="6009640" cy="533400"/>
                        </a:xfrm>
                        <a:prstGeom prst="roundRect">
                          <a:avLst/>
                        </a:prstGeom>
                        <a:solidFill>
                          <a:srgbClr val="F9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602D2A4" id="Rounded Rectangle 1847" o:spid="_x0000_s1026" style="position:absolute;margin-left:53pt;margin-top:.95pt;width:473.2pt;height:42pt;z-index:2535034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" fillcolor="#f9a133" stroked="f" strokeweight="1pt">
                <v:stroke joinstyle="miter"/>
                <w10:wrap anchorx="margin"/>
              </v:roundrect>
            </w:pict>
          </mc:Fallback>
        </mc:AlternateContent>
      </w:r>
      <w:r>
        <w:rPr>
          <w:rFonts w:ascii="Arial" w:hAnsi="Arial" w:cs="Arial"/>
          <w:bCs/>
          <w:noProof/>
          <w:sz w:val="24"/>
          <w:szCs w:val="24"/>
          <w:lang w:val="en-US"/>
        </w:rPr>
        <mc:AlternateContent>
          <mc:Choice Requires="wps">
            <w:drawing>
              <wp:anchor distT="0" distB="0" distL="114300" distR="114300" simplePos="0" relativeHeight="253504510" behindDoc="0" locked="0" layoutInCell="1" allowOverlap="1" wp14:anchorId="0FFBC034" wp14:editId="6D0BC30B">
                <wp:simplePos x="0" y="0"/>
                <wp:positionH relativeFrom="column">
                  <wp:posOffset>762635</wp:posOffset>
                </wp:positionH>
                <wp:positionV relativeFrom="paragraph">
                  <wp:posOffset>50165</wp:posOffset>
                </wp:positionV>
                <wp:extent cx="5586730" cy="482600"/>
                <wp:effectExtent l="0" t="0" r="0" b="0"/>
                <wp:wrapNone/>
                <wp:docPr id="1848" name="Text Box 1848"/>
                <wp:cNvGraphicFramePr/>
                <a:graphic xmlns:a="http://schemas.openxmlformats.org/drawingml/2006/main">
                  <a:graphicData uri="http://schemas.microsoft.com/office/word/2010/wordprocessingShape">
                    <wps:wsp>
                      <wps:cNvSpPr txBox="1"/>
                      <wps:spPr>
                        <a:xfrm>
                          <a:off x="0" y="0"/>
                          <a:ext cx="5586730" cy="482600"/>
                        </a:xfrm>
                        <a:prstGeom prst="rect">
                          <a:avLst/>
                        </a:prstGeom>
                        <a:noFill/>
                        <a:ln w="6350">
                          <a:noFill/>
                        </a:ln>
                      </wps:spPr>
                      <wps:txbx>
                        <w:txbxContent>
                          <w:p w14:paraId="2D3E0DD9" w14:textId="4CC52F49" w:rsidR="00D15FD8" w:rsidRPr="00BD6508" w:rsidRDefault="00D15FD8" w:rsidP="00BD6508">
                            <w:pPr>
                              <w:spacing w:line="276" w:lineRule="auto"/>
                              <w:rPr>
                                <w:b/>
                                <w:bCs/>
                                <w:color w:val="FFFFFF" w:themeColor="background1"/>
                              </w:rPr>
                            </w:pPr>
                            <w:r w:rsidRPr="00C213AB">
                              <w:rPr>
                                <w:rFonts w:ascii="Arial" w:hAnsi="Arial" w:cs="Arial"/>
                                <w:b/>
                                <w:bCs/>
                                <w:color w:val="FFFFFF" w:themeColor="background1"/>
                                <w:sz w:val="24"/>
                                <w:szCs w:val="24"/>
                              </w:rPr>
                              <w:t>Information users should be involved such that their requirements are known and can be provided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BC034" id="Text Box 1848" o:spid="_x0000_s1462" type="#_x0000_t202" style="position:absolute;left:0;text-align:left;margin-left:60.05pt;margin-top:3.95pt;width:439.9pt;height:38pt;z-index:253504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" filled="f" stroked="f" strokeweight=".5pt">
                <v:textbox>
                  <w:txbxContent>
                    <w:p w14:paraId="2D3E0DD9" w14:textId="4CC52F49" w:rsidR="00D15FD8" w:rsidRPr="00BD6508" w:rsidRDefault="00D15FD8" w:rsidP="00BD6508">
                      <w:pPr>
                        <w:spacing w:line="276" w:lineRule="auto"/>
                        <w:rPr>
                          <w:b/>
                          <w:bCs/>
                          <w:color w:val="FFFFFF" w:themeColor="background1"/>
                        </w:rPr>
                      </w:pPr>
                      <w:r w:rsidRPr="00C213AB">
                        <w:rPr>
                          <w:rFonts w:ascii="Arial" w:hAnsi="Arial" w:cs="Arial"/>
                          <w:b/>
                          <w:bCs/>
                          <w:color w:val="FFFFFF" w:themeColor="background1"/>
                          <w:sz w:val="24"/>
                          <w:szCs w:val="24"/>
                        </w:rPr>
                        <w:t>Information users should be involved such that their requirements are known and can be provided for.</w:t>
                      </w:r>
                    </w:p>
                  </w:txbxContent>
                </v:textbox>
              </v:shape>
            </w:pict>
          </mc:Fallback>
        </mc:AlternateContent>
      </w:r>
    </w:p>
    <w:p w14:paraId="75F90680" w14:textId="52863E42" w:rsidR="00C213AB" w:rsidRDefault="00C213AB" w:rsidP="00A26350">
      <w:pPr>
        <w:keepNext/>
        <w:keepLines/>
        <w:spacing w:before="240" w:after="240" w:line="276" w:lineRule="auto"/>
        <w:jc w:val="both"/>
        <w:outlineLvl w:val="1"/>
        <w:rPr>
          <w:rFonts w:ascii="Arial" w:hAnsi="Arial" w:cs="Arial"/>
          <w:sz w:val="24"/>
          <w:szCs w:val="24"/>
        </w:rPr>
      </w:pPr>
    </w:p>
    <w:p w14:paraId="549A0F22" w14:textId="16655D2C" w:rsidR="005F6F05" w:rsidRDefault="005F6F05" w:rsidP="00D24706">
      <w:pPr>
        <w:spacing w:line="276" w:lineRule="auto"/>
        <w:jc w:val="both"/>
        <w:rPr>
          <w:rFonts w:ascii="Arial" w:eastAsiaTheme="majorEastAsia" w:hAnsi="Arial" w:cs="Arial"/>
          <w:b/>
          <w:iCs/>
          <w:color w:val="ED7D31" w:themeColor="accent2"/>
          <w:sz w:val="32"/>
          <w:szCs w:val="32"/>
        </w:rPr>
      </w:pPr>
    </w:p>
    <w:p w14:paraId="5C160D2C" w14:textId="4EC02B67" w:rsidR="00D24706" w:rsidRPr="00590086" w:rsidRDefault="00D24706" w:rsidP="00D24706">
      <w:pPr>
        <w:spacing w:line="276" w:lineRule="auto"/>
        <w:jc w:val="both"/>
        <w:rPr>
          <w:rFonts w:ascii="Arial" w:eastAsiaTheme="majorEastAsia" w:hAnsi="Arial" w:cs="Arial"/>
          <w:b/>
          <w:iCs/>
          <w:color w:val="69557F"/>
          <w:sz w:val="26"/>
          <w:szCs w:val="26"/>
        </w:rPr>
      </w:pPr>
      <w:r w:rsidRPr="00590086">
        <w:rPr>
          <w:rFonts w:ascii="Arial" w:eastAsiaTheme="majorEastAsia" w:hAnsi="Arial" w:cs="Arial"/>
          <w:b/>
          <w:iCs/>
          <w:color w:val="F27E20"/>
          <w:sz w:val="26"/>
          <w:szCs w:val="26"/>
        </w:rPr>
        <w:t>Importance of revenue transparency</w:t>
      </w:r>
    </w:p>
    <w:p w14:paraId="1C39996C" w14:textId="3D4DFBF7" w:rsidR="00D24706" w:rsidRPr="00BD6508" w:rsidRDefault="00124942" w:rsidP="00BD6508">
      <w:pPr>
        <w:spacing w:line="276" w:lineRule="auto"/>
        <w:jc w:val="both"/>
        <w:rPr>
          <w:rFonts w:ascii="Arial" w:eastAsiaTheme="majorEastAsia" w:hAnsi="Arial" w:cs="Arial"/>
          <w:b/>
          <w:iCs/>
          <w:color w:val="ED7D31" w:themeColor="accent2"/>
          <w:sz w:val="32"/>
          <w:szCs w:val="32"/>
        </w:rPr>
      </w:pPr>
      <w:r>
        <w:rPr>
          <w:rFonts w:ascii="Arial" w:hAnsi="Arial" w:cs="Arial"/>
          <w:noProof/>
          <w:sz w:val="24"/>
          <w:szCs w:val="24"/>
          <w:lang w:val="en-US"/>
        </w:rPr>
        <w:drawing>
          <wp:anchor distT="0" distB="0" distL="114300" distR="114300" simplePos="0" relativeHeight="255329278" behindDoc="0" locked="0" layoutInCell="1" allowOverlap="1" wp14:anchorId="660F0477" wp14:editId="39279765">
            <wp:simplePos x="0" y="0"/>
            <wp:positionH relativeFrom="column">
              <wp:posOffset>4035425</wp:posOffset>
            </wp:positionH>
            <wp:positionV relativeFrom="paragraph">
              <wp:posOffset>130131</wp:posOffset>
            </wp:positionV>
            <wp:extent cx="2758440" cy="218821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rotWithShape="1">
                    <a:blip r:embed="rId805" cstate="email">
                      <a:extLst>
                        <a:ext uri="{28A0092B-C50C-407E-A947-70E740481C1C}">
                          <a14:useLocalDpi xmlns:a14="http://schemas.microsoft.com/office/drawing/2010/main"/>
                        </a:ext>
                      </a:extLst>
                    </a:blip>
                    <a:srcRect/>
                    <a:stretch/>
                  </pic:blipFill>
                  <pic:spPr bwMode="auto">
                    <a:xfrm>
                      <a:off x="0" y="0"/>
                      <a:ext cx="2758440" cy="2188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4706" w:rsidRPr="00BD6508">
        <w:rPr>
          <w:rFonts w:ascii="Arial" w:eastAsiaTheme="majorEastAsia" w:hAnsi="Arial" w:cs="Arial"/>
          <w:b/>
          <w:iCs/>
          <w:color w:val="ED7D31" w:themeColor="accent2"/>
          <w:sz w:val="32"/>
          <w:szCs w:val="32"/>
        </w:rPr>
        <w:t xml:space="preserve"> </w:t>
      </w:r>
    </w:p>
    <w:p w14:paraId="68BF8C03" w14:textId="5E8F3B20" w:rsidR="00D24706" w:rsidRPr="00BD6508" w:rsidRDefault="00124942" w:rsidP="00BD650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4232574" behindDoc="0" locked="0" layoutInCell="1" allowOverlap="1" wp14:anchorId="67B9CDDC" wp14:editId="152C8048">
                <wp:simplePos x="0" y="0"/>
                <wp:positionH relativeFrom="column">
                  <wp:posOffset>647700</wp:posOffset>
                </wp:positionH>
                <wp:positionV relativeFrom="paragraph">
                  <wp:posOffset>959485</wp:posOffset>
                </wp:positionV>
                <wp:extent cx="1041400" cy="279400"/>
                <wp:effectExtent l="0" t="0" r="0" b="0"/>
                <wp:wrapNone/>
                <wp:docPr id="1863" name="Text Box 1863"/>
                <wp:cNvGraphicFramePr/>
                <a:graphic xmlns:a="http://schemas.openxmlformats.org/drawingml/2006/main">
                  <a:graphicData uri="http://schemas.microsoft.com/office/word/2010/wordprocessingShape">
                    <wps:wsp>
                      <wps:cNvSpPr txBox="1"/>
                      <wps:spPr>
                        <a:xfrm>
                          <a:off x="0" y="0"/>
                          <a:ext cx="1041400" cy="279400"/>
                        </a:xfrm>
                        <a:prstGeom prst="rect">
                          <a:avLst/>
                        </a:prstGeom>
                        <a:noFill/>
                        <a:ln w="6350">
                          <a:noFill/>
                        </a:ln>
                      </wps:spPr>
                      <wps:txbx>
                        <w:txbxContent>
                          <w:p w14:paraId="28F8DB08" w14:textId="37C1CCD1" w:rsidR="00D15FD8" w:rsidRPr="003625BA" w:rsidRDefault="00D15FD8" w:rsidP="00BD6508">
                            <w:pPr>
                              <w:jc w:val="center"/>
                              <w:rPr>
                                <w:rFonts w:ascii="Arial" w:hAnsi="Arial" w:cs="Arial"/>
                                <w:b/>
                                <w:bCs/>
                                <w:color w:val="FFFFFF" w:themeColor="background1"/>
                                <w:sz w:val="24"/>
                                <w:szCs w:val="24"/>
                              </w:rPr>
                            </w:pPr>
                            <w:r w:rsidRPr="003625BA">
                              <w:rPr>
                                <w:rFonts w:ascii="Arial" w:hAnsi="Arial" w:cs="Arial"/>
                                <w:b/>
                                <w:bCs/>
                                <w:color w:val="FFFFFF" w:themeColor="background1"/>
                                <w:sz w:val="24"/>
                                <w:szCs w:val="24"/>
                              </w:rPr>
                              <w:t>Wat</w:t>
                            </w:r>
                            <w:r w:rsidRPr="00275D36">
                              <w:rPr>
                                <w:rFonts w:ascii="Arial" w:hAnsi="Arial" w:cs="Arial"/>
                                <w:b/>
                                <w:bCs/>
                                <w:color w:val="FFFFFF" w:themeColor="background1"/>
                                <w:sz w:val="24"/>
                                <w:szCs w:val="24"/>
                              </w:rPr>
                              <w:t>ch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B9CDDC" id="Text Box 1863" o:spid="_x0000_s1463" type="#_x0000_t202" style="position:absolute;left:0;text-align:left;margin-left:51pt;margin-top:75.55pt;width:82pt;height:22pt;z-index:2542325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" filled="f" stroked="f" strokeweight=".5pt">
                <v:textbox>
                  <w:txbxContent>
                    <w:p w14:paraId="28F8DB08" w14:textId="37C1CCD1" w:rsidR="00D15FD8" w:rsidRPr="003625BA" w:rsidRDefault="00D15FD8" w:rsidP="00BD6508">
                      <w:pPr>
                        <w:jc w:val="center"/>
                        <w:rPr>
                          <w:rFonts w:ascii="Arial" w:hAnsi="Arial" w:cs="Arial"/>
                          <w:b/>
                          <w:bCs/>
                          <w:color w:val="FFFFFF" w:themeColor="background1"/>
                          <w:sz w:val="24"/>
                          <w:szCs w:val="24"/>
                        </w:rPr>
                      </w:pPr>
                      <w:r w:rsidRPr="003625BA">
                        <w:rPr>
                          <w:rFonts w:ascii="Arial" w:hAnsi="Arial" w:cs="Arial"/>
                          <w:b/>
                          <w:bCs/>
                          <w:color w:val="FFFFFF" w:themeColor="background1"/>
                          <w:sz w:val="24"/>
                          <w:szCs w:val="24"/>
                        </w:rPr>
                        <w:t>Wat</w:t>
                      </w:r>
                      <w:r w:rsidRPr="00275D36">
                        <w:rPr>
                          <w:rFonts w:ascii="Arial" w:hAnsi="Arial" w:cs="Arial"/>
                          <w:b/>
                          <w:bCs/>
                          <w:color w:val="FFFFFF" w:themeColor="background1"/>
                          <w:sz w:val="24"/>
                          <w:szCs w:val="24"/>
                        </w:rPr>
                        <w:t>ch here</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231550" behindDoc="0" locked="0" layoutInCell="1" allowOverlap="1" wp14:anchorId="2ECFA139" wp14:editId="1ACE3531">
                <wp:simplePos x="0" y="0"/>
                <wp:positionH relativeFrom="column">
                  <wp:posOffset>645795</wp:posOffset>
                </wp:positionH>
                <wp:positionV relativeFrom="paragraph">
                  <wp:posOffset>930275</wp:posOffset>
                </wp:positionV>
                <wp:extent cx="1028700" cy="355600"/>
                <wp:effectExtent l="0" t="0" r="0" b="0"/>
                <wp:wrapSquare wrapText="bothSides"/>
                <wp:docPr id="2268" name="Rounded Rectangle 2268"/>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630E99E" id="Rounded Rectangle 2268" o:spid="_x0000_s1026" style="position:absolute;margin-left:50.85pt;margin-top:73.25pt;width:81pt;height:28pt;z-index:254231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4230526" behindDoc="0" locked="0" layoutInCell="1" allowOverlap="1" wp14:anchorId="0F4DBD40" wp14:editId="37DC17E9">
            <wp:simplePos x="0" y="0"/>
            <wp:positionH relativeFrom="column">
              <wp:posOffset>-19050</wp:posOffset>
            </wp:positionH>
            <wp:positionV relativeFrom="paragraph">
              <wp:posOffset>899160</wp:posOffset>
            </wp:positionV>
            <wp:extent cx="582930" cy="410210"/>
            <wp:effectExtent l="0" t="0" r="1270" b="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4706" w:rsidRPr="00BD6508">
        <w:rPr>
          <w:rFonts w:ascii="Arial" w:hAnsi="Arial" w:cs="Arial"/>
          <w:sz w:val="24"/>
          <w:szCs w:val="24"/>
        </w:rPr>
        <w:t xml:space="preserve">It is vital that information on government revenue is made available throughout the fiscal policy cycle, a key component of fiscal transparency. It should be reported in budget-related documents and made available online, meeting the same quality and coverage considerations as other government information. In a </w:t>
      </w:r>
      <w:hyperlink r:id="rId806" w:history="1">
        <w:r w:rsidR="00D24706" w:rsidRPr="00BD6508">
          <w:rPr>
            <w:rStyle w:val="Hyperlink"/>
            <w:rFonts w:ascii="Arial" w:hAnsi="Arial" w:cs="Arial"/>
            <w:sz w:val="24"/>
            <w:szCs w:val="24"/>
          </w:rPr>
          <w:t>video</w:t>
        </w:r>
      </w:hyperlink>
      <w:r w:rsidR="00D24706" w:rsidRPr="00BD6508">
        <w:rPr>
          <w:rFonts w:ascii="Arial" w:hAnsi="Arial" w:cs="Arial"/>
          <w:sz w:val="24"/>
          <w:szCs w:val="24"/>
        </w:rPr>
        <w:t xml:space="preserve">, recorded in May 2021, three experts explore this topic further explaining why revenue transparency has </w:t>
      </w:r>
      <w:r w:rsidR="00D24706" w:rsidRPr="00BD6508">
        <w:rPr>
          <w:rFonts w:ascii="Arial" w:hAnsi="Arial" w:cs="Arial"/>
          <w:sz w:val="24"/>
          <w:szCs w:val="24"/>
        </w:rPr>
        <w:lastRenderedPageBreak/>
        <w:t>traditionally not received adequate attention, why it matters and how it can be enhanced</w:t>
      </w:r>
      <w:r w:rsidR="00D24706" w:rsidRPr="00BD6508">
        <w:rPr>
          <w:rFonts w:ascii="Arial" w:hAnsi="Arial" w:cs="Arial"/>
          <w:sz w:val="24"/>
          <w:szCs w:val="24"/>
          <w:lang w:val="en-ZA"/>
        </w:rPr>
        <w:t>.</w:t>
      </w:r>
    </w:p>
    <w:p w14:paraId="176B4FBF" w14:textId="0224ECCA" w:rsidR="00D24706" w:rsidRPr="00BD6508" w:rsidRDefault="00D24706" w:rsidP="00BD6508">
      <w:pPr>
        <w:spacing w:line="276" w:lineRule="auto"/>
        <w:jc w:val="both"/>
        <w:rPr>
          <w:rFonts w:ascii="Arial" w:hAnsi="Arial" w:cs="Arial"/>
          <w:sz w:val="24"/>
          <w:szCs w:val="24"/>
          <w:lang w:val="en-ZA"/>
        </w:rPr>
      </w:pPr>
    </w:p>
    <w:p w14:paraId="0ADF0125" w14:textId="6AE0BB11" w:rsidR="00D24706" w:rsidRPr="00BD6508" w:rsidRDefault="00D24706" w:rsidP="00BD6508">
      <w:pPr>
        <w:spacing w:line="276" w:lineRule="auto"/>
        <w:jc w:val="both"/>
        <w:rPr>
          <w:rFonts w:ascii="Arial" w:hAnsi="Arial" w:cs="Arial"/>
          <w:bCs/>
          <w:sz w:val="24"/>
          <w:szCs w:val="24"/>
        </w:rPr>
      </w:pPr>
      <w:r w:rsidRPr="00BD6508">
        <w:rPr>
          <w:rFonts w:ascii="Arial" w:hAnsi="Arial" w:cs="Arial"/>
          <w:sz w:val="24"/>
          <w:szCs w:val="24"/>
          <w:lang w:val="en-ZA"/>
        </w:rPr>
        <w:t xml:space="preserve">Traditionally, </w:t>
      </w:r>
      <w:r w:rsidRPr="00BD6508">
        <w:rPr>
          <w:rFonts w:ascii="Arial" w:hAnsi="Arial" w:cs="Arial"/>
          <w:bCs/>
          <w:sz w:val="24"/>
          <w:szCs w:val="24"/>
        </w:rPr>
        <w:t>revenue transparency has not received as much attention as expenditure transparency owing to a variety of factors, including that government spending information is easier to understand and its impact upon society is more obvious and straightforward; a general lack of opportunity to participate in revenue matters making it less obvious what data could be used for; civic actors often not realizing that how governments raise money is as important as how governments spend money; and also that governments and donors increasingly recognized the importance of broader engagement on tax as a foundation for development.</w:t>
      </w:r>
    </w:p>
    <w:p w14:paraId="283BA91B" w14:textId="77777777" w:rsidR="00D24706" w:rsidRPr="00BD6508" w:rsidRDefault="00D24706" w:rsidP="00BD6508">
      <w:pPr>
        <w:spacing w:line="276" w:lineRule="auto"/>
        <w:jc w:val="both"/>
        <w:rPr>
          <w:rFonts w:ascii="Arial" w:hAnsi="Arial" w:cs="Arial"/>
          <w:bCs/>
          <w:sz w:val="24"/>
          <w:szCs w:val="24"/>
        </w:rPr>
      </w:pPr>
    </w:p>
    <w:p w14:paraId="13D34149" w14:textId="6F5B4DE8" w:rsidR="00D24706" w:rsidRDefault="00D24706" w:rsidP="00D24706">
      <w:pPr>
        <w:spacing w:line="276" w:lineRule="auto"/>
        <w:jc w:val="both"/>
        <w:rPr>
          <w:rFonts w:ascii="Arial" w:hAnsi="Arial" w:cs="Arial"/>
          <w:sz w:val="24"/>
          <w:szCs w:val="24"/>
          <w:lang w:val="en-ZA"/>
        </w:rPr>
      </w:pPr>
      <w:r w:rsidRPr="00BD6508">
        <w:rPr>
          <w:rFonts w:ascii="Arial" w:hAnsi="Arial" w:cs="Arial"/>
          <w:sz w:val="24"/>
          <w:szCs w:val="24"/>
          <w:lang w:val="en-ZA"/>
        </w:rPr>
        <w:t>Among others, stakeholders require tax information to hold government to account, to have meaningful discussions regarding the equity of tax systems in making sure that policies within the tax system are fair and appropriately applied. Tax transparency also assists in increasing tax compliance as taxpayers are more likely to want to pay their taxes when they are convinced that their tax payments are being used appropriately to add value to society.</w:t>
      </w:r>
    </w:p>
    <w:p w14:paraId="07698C46" w14:textId="427616C1" w:rsidR="005F6F05" w:rsidRDefault="0014654B" w:rsidP="00D24706">
      <w:pPr>
        <w:spacing w:line="276" w:lineRule="auto"/>
        <w:jc w:val="both"/>
        <w:rPr>
          <w:rFonts w:ascii="Arial" w:hAnsi="Arial" w:cs="Arial"/>
          <w:bCs/>
          <w:sz w:val="24"/>
          <w:szCs w:val="24"/>
        </w:rPr>
      </w:pPr>
      <w:r>
        <w:rPr>
          <w:rFonts w:ascii="Arial" w:hAnsi="Arial" w:cs="Arial"/>
          <w:bCs/>
          <w:noProof/>
          <w:sz w:val="24"/>
          <w:szCs w:val="24"/>
          <w:lang w:val="en-US"/>
        </w:rPr>
        <w:drawing>
          <wp:anchor distT="0" distB="0" distL="114300" distR="114300" simplePos="0" relativeHeight="253531134" behindDoc="0" locked="0" layoutInCell="1" allowOverlap="1" wp14:anchorId="6B34F43B" wp14:editId="12D0F659">
            <wp:simplePos x="0" y="0"/>
            <wp:positionH relativeFrom="margin">
              <wp:posOffset>-50800</wp:posOffset>
            </wp:positionH>
            <wp:positionV relativeFrom="paragraph">
              <wp:posOffset>224155</wp:posOffset>
            </wp:positionV>
            <wp:extent cx="3714115" cy="1422400"/>
            <wp:effectExtent l="0" t="0" r="0" b="0"/>
            <wp:wrapSquare wrapText="bothSides"/>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Picture 1866"/>
                    <pic:cNvPicPr/>
                  </pic:nvPicPr>
                  <pic:blipFill rotWithShape="1">
                    <a:blip r:embed="rId807" cstate="email">
                      <a:extLst>
                        <a:ext uri="{28A0092B-C50C-407E-A947-70E740481C1C}">
                          <a14:useLocalDpi xmlns:a14="http://schemas.microsoft.com/office/drawing/2010/main"/>
                        </a:ext>
                      </a:extLst>
                    </a:blip>
                    <a:srcRect/>
                    <a:stretch/>
                  </pic:blipFill>
                  <pic:spPr bwMode="auto">
                    <a:xfrm>
                      <a:off x="0" y="0"/>
                      <a:ext cx="3714115"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592A51" w14:textId="2345A921" w:rsidR="0014654B" w:rsidRDefault="0014654B" w:rsidP="00D24706">
      <w:pPr>
        <w:spacing w:line="276" w:lineRule="auto"/>
        <w:jc w:val="both"/>
        <w:rPr>
          <w:rFonts w:ascii="Arial" w:hAnsi="Arial" w:cs="Arial"/>
          <w:bCs/>
          <w:sz w:val="24"/>
          <w:szCs w:val="24"/>
        </w:rPr>
      </w:pPr>
      <w:r>
        <w:rPr>
          <w:rFonts w:ascii="Arial" w:hAnsi="Arial" w:cs="Arial"/>
          <w:bCs/>
          <w:noProof/>
          <w:sz w:val="24"/>
          <w:szCs w:val="24"/>
          <w:lang w:val="en-US"/>
        </w:rPr>
        <mc:AlternateContent>
          <mc:Choice Requires="wps">
            <w:drawing>
              <wp:anchor distT="0" distB="0" distL="114300" distR="114300" simplePos="0" relativeHeight="253532158" behindDoc="0" locked="0" layoutInCell="1" allowOverlap="1" wp14:anchorId="7356F959" wp14:editId="2FDEDB1D">
                <wp:simplePos x="0" y="0"/>
                <wp:positionH relativeFrom="column">
                  <wp:posOffset>3733800</wp:posOffset>
                </wp:positionH>
                <wp:positionV relativeFrom="paragraph">
                  <wp:posOffset>161925</wp:posOffset>
                </wp:positionV>
                <wp:extent cx="2887980" cy="1168400"/>
                <wp:effectExtent l="0" t="0" r="0" b="0"/>
                <wp:wrapNone/>
                <wp:docPr id="1867" name="Text Box 1867"/>
                <wp:cNvGraphicFramePr/>
                <a:graphic xmlns:a="http://schemas.openxmlformats.org/drawingml/2006/main">
                  <a:graphicData uri="http://schemas.microsoft.com/office/word/2010/wordprocessingShape">
                    <wps:wsp>
                      <wps:cNvSpPr txBox="1"/>
                      <wps:spPr>
                        <a:xfrm>
                          <a:off x="0" y="0"/>
                          <a:ext cx="2887980" cy="1168400"/>
                        </a:xfrm>
                        <a:prstGeom prst="rect">
                          <a:avLst/>
                        </a:prstGeom>
                        <a:noFill/>
                        <a:ln w="6350">
                          <a:noFill/>
                        </a:ln>
                      </wps:spPr>
                      <wps:txbx>
                        <w:txbxContent>
                          <w:p w14:paraId="52E43425" w14:textId="1E95D9DD" w:rsidR="00D15FD8" w:rsidRDefault="00D15FD8" w:rsidP="00BD6508">
                            <w:pPr>
                              <w:jc w:val="both"/>
                            </w:pPr>
                            <w:r w:rsidRPr="00945DC6">
                              <w:rPr>
                                <w:rFonts w:ascii="Arial" w:hAnsi="Arial" w:cs="Arial"/>
                                <w:bCs/>
                                <w:sz w:val="24"/>
                                <w:szCs w:val="24"/>
                              </w:rPr>
                              <w:t>Ways to enhance revenue transparency include that there should be a general willingness from civil society, politicians, treasuries and tax authorities to debate the issue, and work towards undertaking appropriate reforms.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6F959" id="Text Box 1867" o:spid="_x0000_s1464" type="#_x0000_t202" style="position:absolute;left:0;text-align:left;margin-left:294pt;margin-top:12.75pt;width:227.4pt;height:92pt;z-index:253532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" filled="f" stroked="f" strokeweight=".5pt">
                <v:textbox>
                  <w:txbxContent>
                    <w:p w14:paraId="52E43425" w14:textId="1E95D9DD" w:rsidR="00D15FD8" w:rsidRDefault="00D15FD8" w:rsidP="00BD6508">
                      <w:pPr>
                        <w:jc w:val="both"/>
                      </w:pPr>
                      <w:r w:rsidRPr="00945DC6">
                        <w:rPr>
                          <w:rFonts w:ascii="Arial" w:hAnsi="Arial" w:cs="Arial"/>
                          <w:bCs/>
                          <w:sz w:val="24"/>
                          <w:szCs w:val="24"/>
                        </w:rPr>
                        <w:t>Ways to enhance revenue transparency include that there should be a general willingness from civil society, politicians, treasuries and tax authorities to debate the issue, and work towards undertaking appropriate reforms.</w:t>
                      </w:r>
                    </w:p>
                  </w:txbxContent>
                </v:textbox>
              </v:shape>
            </w:pict>
          </mc:Fallback>
        </mc:AlternateContent>
      </w:r>
      <w:r>
        <w:rPr>
          <w:rFonts w:ascii="Arial" w:hAnsi="Arial" w:cs="Arial"/>
          <w:bCs/>
          <w:noProof/>
          <w:sz w:val="24"/>
          <w:szCs w:val="24"/>
          <w:lang w:val="en-US"/>
        </w:rPr>
        <mc:AlternateContent>
          <mc:Choice Requires="wps">
            <w:drawing>
              <wp:anchor distT="0" distB="0" distL="114300" distR="114300" simplePos="0" relativeHeight="251654129" behindDoc="0" locked="0" layoutInCell="1" allowOverlap="1" wp14:anchorId="27AA62BB" wp14:editId="0195E3B7">
                <wp:simplePos x="0" y="0"/>
                <wp:positionH relativeFrom="column">
                  <wp:posOffset>3708400</wp:posOffset>
                </wp:positionH>
                <wp:positionV relativeFrom="paragraph">
                  <wp:posOffset>85725</wp:posOffset>
                </wp:positionV>
                <wp:extent cx="2958465" cy="1308100"/>
                <wp:effectExtent l="12700" t="12700" r="13335" b="12700"/>
                <wp:wrapNone/>
                <wp:docPr id="1868" name="Rounded Rectangle 1868"/>
                <wp:cNvGraphicFramePr/>
                <a:graphic xmlns:a="http://schemas.openxmlformats.org/drawingml/2006/main">
                  <a:graphicData uri="http://schemas.microsoft.com/office/word/2010/wordprocessingShape">
                    <wps:wsp>
                      <wps:cNvSpPr/>
                      <wps:spPr>
                        <a:xfrm>
                          <a:off x="0" y="0"/>
                          <a:ext cx="2958465" cy="1308100"/>
                        </a:xfrm>
                        <a:prstGeom prst="roundRect">
                          <a:avLst>
                            <a:gd name="adj" fmla="val 5060"/>
                          </a:avLst>
                        </a:prstGeom>
                        <a:noFill/>
                        <a:ln w="28575">
                          <a:solidFill>
                            <a:srgbClr val="F9A1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412503F5" id="Rounded Rectangle 1868" o:spid="_x0000_s1026" style="position:absolute;margin-left:292pt;margin-top:6.75pt;width:232.95pt;height:103pt;z-index:2516541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3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" filled="f" strokecolor="#f9a133" strokeweight="2.25pt">
                <v:stroke joinstyle="miter"/>
              </v:roundrect>
            </w:pict>
          </mc:Fallback>
        </mc:AlternateContent>
      </w:r>
    </w:p>
    <w:p w14:paraId="26A1F147" w14:textId="77777777" w:rsidR="0014654B" w:rsidRDefault="0014654B" w:rsidP="00D24706">
      <w:pPr>
        <w:spacing w:line="276" w:lineRule="auto"/>
        <w:jc w:val="both"/>
        <w:rPr>
          <w:rFonts w:ascii="Arial" w:hAnsi="Arial" w:cs="Arial"/>
          <w:bCs/>
          <w:sz w:val="24"/>
          <w:szCs w:val="24"/>
        </w:rPr>
      </w:pPr>
    </w:p>
    <w:p w14:paraId="1E83263D" w14:textId="77777777" w:rsidR="0014654B" w:rsidRDefault="0014654B" w:rsidP="00D24706">
      <w:pPr>
        <w:spacing w:line="276" w:lineRule="auto"/>
        <w:jc w:val="both"/>
        <w:rPr>
          <w:rFonts w:ascii="Arial" w:hAnsi="Arial" w:cs="Arial"/>
          <w:bCs/>
          <w:sz w:val="24"/>
          <w:szCs w:val="24"/>
        </w:rPr>
      </w:pPr>
    </w:p>
    <w:p w14:paraId="53BA1C3A" w14:textId="77777777" w:rsidR="0014654B" w:rsidRDefault="0014654B" w:rsidP="00D24706">
      <w:pPr>
        <w:spacing w:line="276" w:lineRule="auto"/>
        <w:jc w:val="both"/>
        <w:rPr>
          <w:rFonts w:ascii="Arial" w:hAnsi="Arial" w:cs="Arial"/>
          <w:bCs/>
          <w:sz w:val="24"/>
          <w:szCs w:val="24"/>
        </w:rPr>
      </w:pPr>
    </w:p>
    <w:p w14:paraId="2B57AE72" w14:textId="77777777" w:rsidR="0014654B" w:rsidRDefault="0014654B" w:rsidP="00D24706">
      <w:pPr>
        <w:spacing w:line="276" w:lineRule="auto"/>
        <w:jc w:val="both"/>
        <w:rPr>
          <w:rFonts w:ascii="Arial" w:hAnsi="Arial" w:cs="Arial"/>
          <w:bCs/>
          <w:sz w:val="24"/>
          <w:szCs w:val="24"/>
        </w:rPr>
      </w:pPr>
    </w:p>
    <w:p w14:paraId="7AD52AC2" w14:textId="77777777" w:rsidR="0014654B" w:rsidRDefault="0014654B" w:rsidP="00D24706">
      <w:pPr>
        <w:spacing w:line="276" w:lineRule="auto"/>
        <w:jc w:val="both"/>
        <w:rPr>
          <w:rFonts w:ascii="Arial" w:hAnsi="Arial" w:cs="Arial"/>
          <w:bCs/>
          <w:sz w:val="24"/>
          <w:szCs w:val="24"/>
        </w:rPr>
      </w:pPr>
    </w:p>
    <w:p w14:paraId="20770B0E" w14:textId="77777777" w:rsidR="0014654B" w:rsidRDefault="0014654B" w:rsidP="00D24706">
      <w:pPr>
        <w:spacing w:line="276" w:lineRule="auto"/>
        <w:jc w:val="both"/>
        <w:rPr>
          <w:rFonts w:ascii="Arial" w:hAnsi="Arial" w:cs="Arial"/>
          <w:bCs/>
          <w:sz w:val="24"/>
          <w:szCs w:val="24"/>
        </w:rPr>
      </w:pPr>
    </w:p>
    <w:p w14:paraId="3B2F9925" w14:textId="77777777" w:rsidR="0014654B" w:rsidRDefault="0014654B" w:rsidP="00D24706">
      <w:pPr>
        <w:spacing w:line="276" w:lineRule="auto"/>
        <w:jc w:val="both"/>
        <w:rPr>
          <w:rFonts w:ascii="Arial" w:hAnsi="Arial" w:cs="Arial"/>
          <w:bCs/>
          <w:sz w:val="24"/>
          <w:szCs w:val="24"/>
        </w:rPr>
      </w:pPr>
    </w:p>
    <w:p w14:paraId="3D704907" w14:textId="7034DB83" w:rsidR="0024281D" w:rsidRDefault="00D24706" w:rsidP="00D24706">
      <w:pPr>
        <w:spacing w:line="276" w:lineRule="auto"/>
        <w:jc w:val="both"/>
        <w:rPr>
          <w:rFonts w:ascii="Arial" w:eastAsiaTheme="minorEastAsia" w:hAnsi="Arial" w:cs="Arial"/>
          <w:sz w:val="24"/>
          <w:szCs w:val="24"/>
          <w:lang w:eastAsia="zh-CN"/>
        </w:rPr>
      </w:pPr>
      <w:r w:rsidRPr="00BD6508">
        <w:rPr>
          <w:rFonts w:ascii="Arial" w:hAnsi="Arial" w:cs="Arial"/>
          <w:bCs/>
          <w:sz w:val="24"/>
          <w:szCs w:val="24"/>
        </w:rPr>
        <w:t xml:space="preserve">Building capacity within civil society to effectively advocate for revenue transparency, both in engaging the government and in engaging the public, is also important. Civil society can play an important role as translators of revenue information for the public, as enablers of dialogue between themselves or between the public and government, and in training the public, governments and other CSOs on what kinds of information can ensure transparency that can lead to meaningful engagement. For example, </w:t>
      </w:r>
      <w:proofErr w:type="spellStart"/>
      <w:r w:rsidRPr="00BD6508">
        <w:rPr>
          <w:rFonts w:ascii="Arial" w:hAnsi="Arial" w:cs="Arial"/>
          <w:bCs/>
          <w:sz w:val="24"/>
          <w:szCs w:val="24"/>
        </w:rPr>
        <w:t>Fundar</w:t>
      </w:r>
      <w:proofErr w:type="spellEnd"/>
      <w:r w:rsidRPr="00BD6508">
        <w:rPr>
          <w:rFonts w:ascii="Arial" w:hAnsi="Arial" w:cs="Arial"/>
          <w:bCs/>
          <w:sz w:val="24"/>
          <w:szCs w:val="24"/>
        </w:rPr>
        <w:t>, a CSO, was able to increase tax transparency in Mexico, particularly regarding the use of tax amnesties by undertaking a series of advocacy activities, starting with advocating with the Executive to release information with the tax administration, moving to using access to information laws, and eventually engaging both in advocacy with the Mexican Congress to change laws and using strategic litigation through the courts to eventually force the government to release information. The IBP’s Latin American Tax Expenditure Research, Advocacy, and Learning (LATERAL) program connects civil society partner organizations in a peer learning network, supporting them to learn about, learn from, and support each other in pursuing advocacy and policy campaigns around improved tax transparency on tax expenditures. Regarding tax administration, transparency is required to ensure that the tax authority is managing that process equitably, to ensure that tax really works to deliver the services that people need to support the prosperity of a country.</w:t>
      </w:r>
      <w:r w:rsidRPr="00BD6508">
        <w:rPr>
          <w:rFonts w:ascii="Arial" w:eastAsiaTheme="minorEastAsia" w:hAnsi="Arial" w:cs="Arial"/>
          <w:sz w:val="24"/>
          <w:szCs w:val="24"/>
          <w:lang w:eastAsia="zh-CN"/>
        </w:rPr>
        <w:t xml:space="preserve"> </w:t>
      </w:r>
    </w:p>
    <w:p w14:paraId="36D621A8" w14:textId="35DC6A62" w:rsidR="00094BA2" w:rsidRDefault="00094BA2" w:rsidP="00D24706">
      <w:pPr>
        <w:spacing w:line="276" w:lineRule="auto"/>
        <w:jc w:val="both"/>
        <w:rPr>
          <w:rFonts w:ascii="Arial" w:eastAsiaTheme="minorEastAsia" w:hAnsi="Arial" w:cs="Arial"/>
          <w:sz w:val="24"/>
          <w:szCs w:val="24"/>
          <w:lang w:eastAsia="zh-CN"/>
        </w:rPr>
      </w:pPr>
    </w:p>
    <w:p w14:paraId="63EA1388" w14:textId="76D174EE" w:rsidR="00094BA2" w:rsidRDefault="00094BA2" w:rsidP="00D24706">
      <w:pPr>
        <w:spacing w:line="276" w:lineRule="auto"/>
        <w:jc w:val="both"/>
        <w:rPr>
          <w:rFonts w:ascii="Arial" w:eastAsiaTheme="minorEastAsia" w:hAnsi="Arial" w:cs="Arial"/>
          <w:sz w:val="24"/>
          <w:szCs w:val="24"/>
          <w:lang w:eastAsia="zh-CN"/>
        </w:rPr>
      </w:pPr>
    </w:p>
    <w:p w14:paraId="5C7FD2A2" w14:textId="46CFDD5C" w:rsidR="00094BA2" w:rsidRDefault="00094BA2" w:rsidP="00D24706">
      <w:pPr>
        <w:spacing w:line="276" w:lineRule="auto"/>
        <w:jc w:val="both"/>
        <w:rPr>
          <w:rFonts w:ascii="Arial" w:eastAsiaTheme="minorEastAsia" w:hAnsi="Arial" w:cs="Arial"/>
          <w:sz w:val="24"/>
          <w:szCs w:val="24"/>
          <w:lang w:eastAsia="zh-CN"/>
        </w:rPr>
      </w:pPr>
    </w:p>
    <w:p w14:paraId="0F5954D9" w14:textId="4BF9C2B2" w:rsidR="00110EC7" w:rsidRDefault="00110EC7" w:rsidP="0014654B">
      <w:pPr>
        <w:spacing w:line="276" w:lineRule="auto"/>
        <w:jc w:val="both"/>
        <w:rPr>
          <w:rFonts w:ascii="Arial" w:eastAsiaTheme="majorEastAsia" w:hAnsi="Arial" w:cs="Arial"/>
          <w:b/>
          <w:iCs/>
          <w:color w:val="ED7D31" w:themeColor="accent2"/>
          <w:sz w:val="32"/>
          <w:szCs w:val="32"/>
        </w:rPr>
      </w:pPr>
    </w:p>
    <w:p w14:paraId="55099E37" w14:textId="22DA18A1" w:rsidR="0014654B" w:rsidRPr="00590086" w:rsidRDefault="0014654B" w:rsidP="00BD6508">
      <w:pPr>
        <w:spacing w:line="276" w:lineRule="auto"/>
        <w:jc w:val="both"/>
        <w:rPr>
          <w:rFonts w:ascii="Arial" w:hAnsi="Arial" w:cs="Arial"/>
          <w:iCs/>
          <w:color w:val="F27E20"/>
          <w:sz w:val="26"/>
          <w:szCs w:val="26"/>
        </w:rPr>
      </w:pPr>
      <w:r w:rsidRPr="00590086">
        <w:rPr>
          <w:rFonts w:ascii="Arial" w:eastAsiaTheme="majorEastAsia" w:hAnsi="Arial" w:cs="Arial"/>
          <w:b/>
          <w:iCs/>
          <w:color w:val="F27E20"/>
          <w:sz w:val="26"/>
          <w:szCs w:val="26"/>
        </w:rPr>
        <w:lastRenderedPageBreak/>
        <w:t>Revenue transparency in extractive industries</w:t>
      </w:r>
      <w:r w:rsidRPr="00590086">
        <w:rPr>
          <w:rFonts w:ascii="Arial" w:hAnsi="Arial" w:cs="Arial"/>
          <w:iCs/>
          <w:color w:val="F27E20"/>
          <w:sz w:val="26"/>
          <w:szCs w:val="26"/>
        </w:rPr>
        <w:t xml:space="preserve"> </w:t>
      </w:r>
    </w:p>
    <w:p w14:paraId="1E7C0915" w14:textId="5C2C874D" w:rsidR="0014654B" w:rsidRDefault="0014654B" w:rsidP="0014654B">
      <w:pPr>
        <w:spacing w:line="276" w:lineRule="auto"/>
        <w:jc w:val="both"/>
        <w:rPr>
          <w:rFonts w:ascii="Arial" w:hAnsi="Arial" w:cs="Arial"/>
          <w:sz w:val="24"/>
          <w:szCs w:val="24"/>
        </w:rPr>
      </w:pPr>
    </w:p>
    <w:p w14:paraId="6D07999E" w14:textId="0D842971" w:rsidR="0014654B" w:rsidRPr="00BD6508" w:rsidRDefault="000A5BCC" w:rsidP="00BD650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4236670" behindDoc="0" locked="0" layoutInCell="1" allowOverlap="1" wp14:anchorId="4409741C" wp14:editId="4A288FE1">
                <wp:simplePos x="0" y="0"/>
                <wp:positionH relativeFrom="column">
                  <wp:posOffset>702945</wp:posOffset>
                </wp:positionH>
                <wp:positionV relativeFrom="paragraph">
                  <wp:posOffset>140970</wp:posOffset>
                </wp:positionV>
                <wp:extent cx="1028700" cy="254000"/>
                <wp:effectExtent l="0" t="0" r="0" b="0"/>
                <wp:wrapNone/>
                <wp:docPr id="1873" name="Text Box 1873"/>
                <wp:cNvGraphicFramePr/>
                <a:graphic xmlns:a="http://schemas.openxmlformats.org/drawingml/2006/main">
                  <a:graphicData uri="http://schemas.microsoft.com/office/word/2010/wordprocessingShape">
                    <wps:wsp>
                      <wps:cNvSpPr txBox="1"/>
                      <wps:spPr>
                        <a:xfrm>
                          <a:off x="0" y="0"/>
                          <a:ext cx="1028700" cy="254000"/>
                        </a:xfrm>
                        <a:prstGeom prst="rect">
                          <a:avLst/>
                        </a:prstGeom>
                        <a:noFill/>
                        <a:ln w="6350">
                          <a:noFill/>
                        </a:ln>
                      </wps:spPr>
                      <wps:txbx>
                        <w:txbxContent>
                          <w:p w14:paraId="05E93D31" w14:textId="6A92AD7A" w:rsidR="00D15FD8" w:rsidRPr="00BD6508" w:rsidRDefault="00AC4DF7" w:rsidP="00BD6508">
                            <w:pPr>
                              <w:jc w:val="center"/>
                              <w:rPr>
                                <w:b/>
                                <w:bCs/>
                                <w:color w:val="FFFFFF" w:themeColor="background1"/>
                              </w:rPr>
                            </w:pPr>
                            <w:hyperlink r:id="rId808"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09741C" id="Text Box 1873" o:spid="_x0000_s1465" type="#_x0000_t202" style="position:absolute;left:0;text-align:left;margin-left:55.35pt;margin-top:11.1pt;width:81pt;height:20pt;z-index:2542366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" filled="f" stroked="f" strokeweight=".5pt">
                <v:textbox>
                  <w:txbxContent>
                    <w:p w14:paraId="05E93D31" w14:textId="6A92AD7A" w:rsidR="00D15FD8" w:rsidRPr="00BD6508" w:rsidRDefault="00AC4DF7" w:rsidP="00BD6508">
                      <w:pPr>
                        <w:jc w:val="center"/>
                        <w:rPr>
                          <w:b/>
                          <w:bCs/>
                          <w:color w:val="FFFFFF" w:themeColor="background1"/>
                        </w:rPr>
                      </w:pPr>
                      <w:hyperlink r:id="rId809"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v:textbox>
              </v:shape>
            </w:pict>
          </mc:Fallback>
        </mc:AlternateContent>
      </w:r>
      <w:r>
        <w:rPr>
          <w:rFonts w:ascii="Arial" w:hAnsi="Arial" w:cs="Arial"/>
          <w:noProof/>
          <w:sz w:val="24"/>
          <w:szCs w:val="24"/>
          <w:lang w:val="en-US"/>
        </w:rPr>
        <w:drawing>
          <wp:anchor distT="0" distB="0" distL="114300" distR="114300" simplePos="0" relativeHeight="254234622" behindDoc="0" locked="0" layoutInCell="1" allowOverlap="1" wp14:anchorId="417DD696" wp14:editId="0185F719">
            <wp:simplePos x="0" y="0"/>
            <wp:positionH relativeFrom="column">
              <wp:posOffset>39370</wp:posOffset>
            </wp:positionH>
            <wp:positionV relativeFrom="paragraph">
              <wp:posOffset>75565</wp:posOffset>
            </wp:positionV>
            <wp:extent cx="582930" cy="410210"/>
            <wp:effectExtent l="0" t="0" r="1270" b="0"/>
            <wp:wrapSquare wrapText="bothSides"/>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235646" behindDoc="0" locked="0" layoutInCell="1" allowOverlap="1" wp14:anchorId="2EFEDD69" wp14:editId="4764CFD5">
                <wp:simplePos x="0" y="0"/>
                <wp:positionH relativeFrom="column">
                  <wp:posOffset>697865</wp:posOffset>
                </wp:positionH>
                <wp:positionV relativeFrom="paragraph">
                  <wp:posOffset>108585</wp:posOffset>
                </wp:positionV>
                <wp:extent cx="1028700" cy="355600"/>
                <wp:effectExtent l="0" t="0" r="0" b="0"/>
                <wp:wrapSquare wrapText="bothSides"/>
                <wp:docPr id="2270" name="Rounded Rectangle 2270"/>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ED83138" id="Rounded Rectangle 2270" o:spid="_x0000_s1026" style="position:absolute;margin-left:54.95pt;margin-top:8.55pt;width:81pt;height:28pt;z-index:254235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" fillcolor="#16988a" stroked="f" strokeweight="1pt">
                <v:stroke joinstyle="miter"/>
                <w10:wrap type="square"/>
              </v:roundrect>
            </w:pict>
          </mc:Fallback>
        </mc:AlternateContent>
      </w:r>
      <w:r w:rsidR="0014654B" w:rsidRPr="00BD6508">
        <w:rPr>
          <w:rFonts w:ascii="Arial" w:hAnsi="Arial" w:cs="Arial"/>
          <w:sz w:val="24"/>
          <w:szCs w:val="24"/>
        </w:rPr>
        <w:t xml:space="preserve">Within the topic of revenue transparency, transparency in the extractives industry is important, especially for resource-rich countries that are able to derive substantial resources from it, potentially contributing to significant economic and social development. It can strengthen public and corporate governance and provide data to inform debate and reform on how a country’s natural resources are managed. The Extractive Industries Transparency Initiative (EITI) Standard assists in this regard by providing tailored transparency norms and standards for the industry. In a </w:t>
      </w:r>
      <w:hyperlink r:id="rId810" w:history="1">
        <w:r w:rsidR="0014654B" w:rsidRPr="00BD6508">
          <w:rPr>
            <w:rStyle w:val="Hyperlink"/>
            <w:rFonts w:ascii="Arial" w:hAnsi="Arial" w:cs="Arial"/>
            <w:sz w:val="24"/>
            <w:szCs w:val="24"/>
          </w:rPr>
          <w:t>video</w:t>
        </w:r>
      </w:hyperlink>
      <w:r w:rsidR="0014654B" w:rsidRPr="00BD6508">
        <w:rPr>
          <w:rFonts w:ascii="Arial" w:hAnsi="Arial" w:cs="Arial"/>
          <w:sz w:val="24"/>
          <w:szCs w:val="24"/>
        </w:rPr>
        <w:t>, recorded in May 2021, presenters from the EITI provide more information about the Standard, and how it assists countries, including how it has benefited Nigeria, Senegal and the Democratic Republic of the Congo</w:t>
      </w:r>
      <w:r w:rsidR="0014654B" w:rsidRPr="00BD6508">
        <w:rPr>
          <w:rFonts w:ascii="Arial" w:hAnsi="Arial" w:cs="Arial"/>
          <w:sz w:val="24"/>
          <w:szCs w:val="24"/>
          <w:lang w:val="en-ZA"/>
        </w:rPr>
        <w:t xml:space="preserve">.  </w:t>
      </w:r>
    </w:p>
    <w:p w14:paraId="579D22FB" w14:textId="5D0F0651" w:rsidR="0014654B" w:rsidRPr="00BD6508" w:rsidRDefault="000A5BCC" w:rsidP="00BD6508">
      <w:pPr>
        <w:spacing w:line="276" w:lineRule="auto"/>
        <w:jc w:val="both"/>
        <w:rPr>
          <w:rFonts w:ascii="Arial" w:hAnsi="Arial" w:cs="Arial"/>
          <w:sz w:val="24"/>
          <w:szCs w:val="24"/>
          <w:lang w:val="en-ZA"/>
        </w:rPr>
      </w:pPr>
      <w:r>
        <w:rPr>
          <w:noProof/>
          <w:lang w:val="en-US"/>
        </w:rPr>
        <w:drawing>
          <wp:anchor distT="0" distB="0" distL="114300" distR="114300" simplePos="0" relativeHeight="253540350" behindDoc="0" locked="0" layoutInCell="1" allowOverlap="1" wp14:anchorId="23FBD5E0" wp14:editId="5CA43C9B">
            <wp:simplePos x="0" y="0"/>
            <wp:positionH relativeFrom="column">
              <wp:posOffset>0</wp:posOffset>
            </wp:positionH>
            <wp:positionV relativeFrom="paragraph">
              <wp:posOffset>191608</wp:posOffset>
            </wp:positionV>
            <wp:extent cx="1397000" cy="927100"/>
            <wp:effectExtent l="38100" t="38100" r="88900" b="101600"/>
            <wp:wrapSquare wrapText="bothSides"/>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1" cstate="email">
                      <a:extLst>
                        <a:ext uri="{28A0092B-C50C-407E-A947-70E740481C1C}">
                          <a14:useLocalDpi xmlns:a14="http://schemas.microsoft.com/office/drawing/2010/main"/>
                        </a:ext>
                      </a:extLst>
                    </a:blip>
                    <a:srcRect/>
                    <a:stretch>
                      <a:fillRect/>
                    </a:stretch>
                  </pic:blipFill>
                  <pic:spPr bwMode="auto">
                    <a:xfrm>
                      <a:off x="0" y="0"/>
                      <a:ext cx="1397000" cy="9271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253D645" w14:textId="72C33FA3" w:rsidR="0014654B" w:rsidRPr="00BD6508" w:rsidRDefault="0057574B" w:rsidP="00BD6508">
      <w:pPr>
        <w:spacing w:line="276" w:lineRule="auto"/>
        <w:jc w:val="both"/>
        <w:rPr>
          <w:rFonts w:ascii="Arial" w:hAnsi="Arial" w:cs="Arial"/>
          <w:sz w:val="24"/>
          <w:szCs w:val="24"/>
        </w:rPr>
      </w:pPr>
      <w:r>
        <w:rPr>
          <w:rFonts w:ascii="Arial" w:hAnsi="Arial" w:cs="Arial"/>
          <w:iCs/>
          <w:noProof/>
          <w:sz w:val="24"/>
          <w:szCs w:val="24"/>
          <w:lang w:val="en-US"/>
        </w:rPr>
        <mc:AlternateContent>
          <mc:Choice Requires="wps">
            <w:drawing>
              <wp:anchor distT="0" distB="0" distL="114300" distR="114300" simplePos="0" relativeHeight="255303678" behindDoc="0" locked="0" layoutInCell="1" allowOverlap="1" wp14:anchorId="48430E3E" wp14:editId="3A38C99A">
                <wp:simplePos x="0" y="0"/>
                <wp:positionH relativeFrom="column">
                  <wp:posOffset>0</wp:posOffset>
                </wp:positionH>
                <wp:positionV relativeFrom="paragraph">
                  <wp:posOffset>932653</wp:posOffset>
                </wp:positionV>
                <wp:extent cx="1397000" cy="254000"/>
                <wp:effectExtent l="0" t="0" r="0" b="0"/>
                <wp:wrapSquare wrapText="bothSides"/>
                <wp:docPr id="2815" name="Text Box 2815"/>
                <wp:cNvGraphicFramePr/>
                <a:graphic xmlns:a="http://schemas.openxmlformats.org/drawingml/2006/main">
                  <a:graphicData uri="http://schemas.microsoft.com/office/word/2010/wordprocessingShape">
                    <wps:wsp>
                      <wps:cNvSpPr txBox="1"/>
                      <wps:spPr>
                        <a:xfrm>
                          <a:off x="0" y="0"/>
                          <a:ext cx="1397000" cy="254000"/>
                        </a:xfrm>
                        <a:prstGeom prst="rect">
                          <a:avLst/>
                        </a:prstGeom>
                        <a:solidFill>
                          <a:schemeClr val="lt1"/>
                        </a:solidFill>
                        <a:ln w="6350">
                          <a:noFill/>
                        </a:ln>
                      </wps:spPr>
                      <wps:txbx>
                        <w:txbxContent>
                          <w:p w14:paraId="056C743C" w14:textId="3C5F9800" w:rsidR="00D15FD8" w:rsidRPr="0057574B" w:rsidRDefault="00D15FD8" w:rsidP="0057574B">
                            <w:pPr>
                              <w:jc w:val="center"/>
                              <w:rPr>
                                <w:rFonts w:ascii="Arial" w:hAnsi="Arial" w:cs="Arial"/>
                                <w:b/>
                                <w:bCs/>
                                <w:color w:val="F8A133"/>
                                <w:sz w:val="20"/>
                                <w:szCs w:val="20"/>
                                <w:lang w:val="en-US"/>
                              </w:rPr>
                            </w:pPr>
                            <w:r w:rsidRPr="0057574B">
                              <w:rPr>
                                <w:rFonts w:ascii="Arial" w:hAnsi="Arial" w:cs="Arial"/>
                                <w:b/>
                                <w:bCs/>
                                <w:color w:val="F8A133"/>
                                <w:sz w:val="20"/>
                                <w:szCs w:val="20"/>
                                <w:lang w:val="en-US"/>
                              </w:rPr>
                              <w:t>Nigeria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430E3E" id="Text Box 2815" o:spid="_x0000_s1466" type="#_x0000_t202" style="position:absolute;left:0;text-align:left;margin-left:0;margin-top:73.45pt;width:110pt;height:20pt;z-index:2553036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" fillcolor="white [3201]" stroked="f" strokeweight=".5pt">
                <v:textbox>
                  <w:txbxContent>
                    <w:p w14:paraId="056C743C" w14:textId="3C5F9800" w:rsidR="00D15FD8" w:rsidRPr="0057574B" w:rsidRDefault="00D15FD8" w:rsidP="0057574B">
                      <w:pPr>
                        <w:jc w:val="center"/>
                        <w:rPr>
                          <w:rFonts w:ascii="Arial" w:hAnsi="Arial" w:cs="Arial"/>
                          <w:b/>
                          <w:bCs/>
                          <w:color w:val="F8A133"/>
                          <w:sz w:val="20"/>
                          <w:szCs w:val="20"/>
                          <w:lang w:val="en-US"/>
                        </w:rPr>
                      </w:pPr>
                      <w:r w:rsidRPr="0057574B">
                        <w:rPr>
                          <w:rFonts w:ascii="Arial" w:hAnsi="Arial" w:cs="Arial"/>
                          <w:b/>
                          <w:bCs/>
                          <w:color w:val="F8A133"/>
                          <w:sz w:val="20"/>
                          <w:szCs w:val="20"/>
                          <w:lang w:val="en-US"/>
                        </w:rPr>
                        <w:t>Nigeria</w:t>
                      </w:r>
                    </w:p>
                  </w:txbxContent>
                </v:textbox>
                <w10:wrap type="square"/>
              </v:shape>
            </w:pict>
          </mc:Fallback>
        </mc:AlternateContent>
      </w:r>
      <w:r w:rsidR="00935C39">
        <w:fldChar w:fldCharType="begin"/>
      </w:r>
      <w:r w:rsidR="00935C39">
        <w:instrText xml:space="preserve"> INCLUDEPICTURE "https://cdn.britannica.com/68/5068-004-72A3F250/Flag-Nigeria.jpg" \* MERGEFORMATINET </w:instrText>
      </w:r>
      <w:r w:rsidR="00935C39">
        <w:fldChar w:fldCharType="end"/>
      </w:r>
      <w:r w:rsidR="0014654B" w:rsidRPr="00BD6508">
        <w:rPr>
          <w:rFonts w:ascii="Arial" w:hAnsi="Arial" w:cs="Arial"/>
          <w:sz w:val="24"/>
          <w:szCs w:val="24"/>
        </w:rPr>
        <w:t>In Nigeria, disclosures enabled Nigeria EITI to undertake financial modelling to estimate how much revenue could have been gained had the government reviewed the terms of its oil contracts, calculating billions of dollars in estimates losses. This revelation led to legislative changes being made by the Nigerian Parliament, to ensure that periodic reviews are undertaken, with stringent penalties introduced for non-compliance. This resulted in increased revenue mobilization as well as an enhanced appreciation for the value of transparency in the sector.</w:t>
      </w:r>
    </w:p>
    <w:p w14:paraId="254FDBCD" w14:textId="6DF74099" w:rsidR="0014654B" w:rsidRPr="00BD6508" w:rsidRDefault="0057574B" w:rsidP="00BD6508">
      <w:pPr>
        <w:spacing w:line="276" w:lineRule="auto"/>
        <w:jc w:val="both"/>
        <w:rPr>
          <w:rFonts w:ascii="Arial" w:hAnsi="Arial" w:cs="Arial"/>
          <w:sz w:val="24"/>
          <w:szCs w:val="24"/>
        </w:rPr>
      </w:pPr>
      <w:r>
        <w:rPr>
          <w:noProof/>
          <w:lang w:val="en-US"/>
        </w:rPr>
        <w:drawing>
          <wp:anchor distT="0" distB="0" distL="114300" distR="114300" simplePos="0" relativeHeight="253541374" behindDoc="0" locked="0" layoutInCell="1" allowOverlap="1" wp14:anchorId="13173842" wp14:editId="3A6EFF35">
            <wp:simplePos x="0" y="0"/>
            <wp:positionH relativeFrom="column">
              <wp:posOffset>0</wp:posOffset>
            </wp:positionH>
            <wp:positionV relativeFrom="paragraph">
              <wp:posOffset>157953</wp:posOffset>
            </wp:positionV>
            <wp:extent cx="1426845" cy="1009650"/>
            <wp:effectExtent l="38100" t="38100" r="97155" b="95250"/>
            <wp:wrapSquare wrapText="bothSides"/>
            <wp:docPr id="1875" name="Picture 1875" descr="Flag of Sene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g of Senegal"/>
                    <pic:cNvPicPr>
                      <a:picLocks noChangeAspect="1" noChangeArrowheads="1"/>
                    </pic:cNvPicPr>
                  </pic:nvPicPr>
                  <pic:blipFill>
                    <a:blip r:embed="rId812" cstate="email">
                      <a:extLst>
                        <a:ext uri="{28A0092B-C50C-407E-A947-70E740481C1C}">
                          <a14:useLocalDpi xmlns:a14="http://schemas.microsoft.com/office/drawing/2010/main"/>
                        </a:ext>
                      </a:extLst>
                    </a:blip>
                    <a:srcRect/>
                    <a:stretch>
                      <a:fillRect/>
                    </a:stretch>
                  </pic:blipFill>
                  <pic:spPr bwMode="auto">
                    <a:xfrm>
                      <a:off x="0" y="0"/>
                      <a:ext cx="1426845" cy="100965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3B00CEF" w14:textId="180E11CE" w:rsidR="0014654B" w:rsidRPr="00BD6508" w:rsidRDefault="0057574B" w:rsidP="00BD6508">
      <w:pPr>
        <w:spacing w:line="276" w:lineRule="auto"/>
        <w:jc w:val="both"/>
        <w:rPr>
          <w:rFonts w:ascii="Arial" w:hAnsi="Arial" w:cs="Arial"/>
          <w:sz w:val="24"/>
          <w:szCs w:val="24"/>
        </w:rPr>
      </w:pPr>
      <w:r>
        <w:rPr>
          <w:rFonts w:ascii="Arial" w:hAnsi="Arial" w:cs="Arial"/>
          <w:iCs/>
          <w:noProof/>
          <w:sz w:val="24"/>
          <w:szCs w:val="24"/>
          <w:lang w:val="en-US"/>
        </w:rPr>
        <mc:AlternateContent>
          <mc:Choice Requires="wps">
            <w:drawing>
              <wp:anchor distT="0" distB="0" distL="114300" distR="114300" simplePos="0" relativeHeight="255305726" behindDoc="0" locked="0" layoutInCell="1" allowOverlap="1" wp14:anchorId="2E3F8417" wp14:editId="17206984">
                <wp:simplePos x="0" y="0"/>
                <wp:positionH relativeFrom="column">
                  <wp:posOffset>19050</wp:posOffset>
                </wp:positionH>
                <wp:positionV relativeFrom="paragraph">
                  <wp:posOffset>970753</wp:posOffset>
                </wp:positionV>
                <wp:extent cx="1397000" cy="25400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1397000" cy="254000"/>
                        </a:xfrm>
                        <a:prstGeom prst="rect">
                          <a:avLst/>
                        </a:prstGeom>
                        <a:solidFill>
                          <a:schemeClr val="lt1"/>
                        </a:solidFill>
                        <a:ln w="6350">
                          <a:noFill/>
                        </a:ln>
                      </wps:spPr>
                      <wps:txbx>
                        <w:txbxContent>
                          <w:p w14:paraId="67F028A2" w14:textId="3EC6D04D" w:rsidR="00D15FD8" w:rsidRPr="0057574B" w:rsidRDefault="00D15FD8" w:rsidP="0057574B">
                            <w:pPr>
                              <w:jc w:val="center"/>
                              <w:rPr>
                                <w:rFonts w:ascii="Arial" w:hAnsi="Arial" w:cs="Arial"/>
                                <w:b/>
                                <w:bCs/>
                                <w:color w:val="F8A133"/>
                                <w:sz w:val="20"/>
                                <w:szCs w:val="20"/>
                                <w:lang w:val="en-US"/>
                              </w:rPr>
                            </w:pPr>
                            <w:r>
                              <w:rPr>
                                <w:rFonts w:ascii="Arial" w:hAnsi="Arial" w:cs="Arial"/>
                                <w:b/>
                                <w:bCs/>
                                <w:color w:val="F8A133"/>
                                <w:sz w:val="20"/>
                                <w:szCs w:val="20"/>
                                <w:lang w:val="en-US"/>
                              </w:rPr>
                              <w:t>Senegal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3F8417" id="Text Box 68" o:spid="_x0000_s1467" type="#_x0000_t202" style="position:absolute;left:0;text-align:left;margin-left:1.5pt;margin-top:76.45pt;width:110pt;height:20pt;z-index:2553057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" fillcolor="white [3201]" stroked="f" strokeweight=".5pt">
                <v:textbox>
                  <w:txbxContent>
                    <w:p w14:paraId="67F028A2" w14:textId="3EC6D04D" w:rsidR="00D15FD8" w:rsidRPr="0057574B" w:rsidRDefault="00D15FD8" w:rsidP="0057574B">
                      <w:pPr>
                        <w:jc w:val="center"/>
                        <w:rPr>
                          <w:rFonts w:ascii="Arial" w:hAnsi="Arial" w:cs="Arial"/>
                          <w:b/>
                          <w:bCs/>
                          <w:color w:val="F8A133"/>
                          <w:sz w:val="20"/>
                          <w:szCs w:val="20"/>
                          <w:lang w:val="en-US"/>
                        </w:rPr>
                      </w:pPr>
                      <w:r>
                        <w:rPr>
                          <w:rFonts w:ascii="Arial" w:hAnsi="Arial" w:cs="Arial"/>
                          <w:b/>
                          <w:bCs/>
                          <w:color w:val="F8A133"/>
                          <w:sz w:val="20"/>
                          <w:szCs w:val="20"/>
                          <w:lang w:val="en-US"/>
                        </w:rPr>
                        <w:t>Senegal</w:t>
                      </w:r>
                    </w:p>
                  </w:txbxContent>
                </v:textbox>
                <w10:wrap type="square"/>
              </v:shape>
            </w:pict>
          </mc:Fallback>
        </mc:AlternateContent>
      </w:r>
      <w:r w:rsidR="00935C39">
        <w:fldChar w:fldCharType="begin"/>
      </w:r>
      <w:r w:rsidR="00935C39">
        <w:instrText xml:space="preserve"> INCLUDEPICTURE "https://cdn.britannica.com/70/5070-004-2963C5E1/Flag-Senegal.jpg" \* MERGEFORMATINET </w:instrText>
      </w:r>
      <w:r w:rsidR="00935C39">
        <w:fldChar w:fldCharType="end"/>
      </w:r>
      <w:r w:rsidR="0014654B" w:rsidRPr="00BD6508">
        <w:rPr>
          <w:rFonts w:ascii="Arial" w:hAnsi="Arial" w:cs="Arial"/>
          <w:sz w:val="24"/>
          <w:szCs w:val="24"/>
        </w:rPr>
        <w:t>In Senegal, EITI stakeholders leveraged technology to better monitor the government’s tax collection as well as strengthen citizen oversight of extractive revenue management. For instance, a public portal was developed where relevant data can be accessed. In this regard it is important that government departments are willing to share information and that they work together in improving systems.</w:t>
      </w:r>
    </w:p>
    <w:p w14:paraId="13ECEEEA" w14:textId="6ECDD5A3" w:rsidR="0014654B" w:rsidRPr="00BD6508" w:rsidRDefault="0057574B" w:rsidP="00BD6508">
      <w:pPr>
        <w:spacing w:line="276" w:lineRule="auto"/>
        <w:jc w:val="both"/>
        <w:rPr>
          <w:rFonts w:ascii="Arial" w:hAnsi="Arial" w:cs="Arial"/>
          <w:sz w:val="24"/>
          <w:szCs w:val="24"/>
        </w:rPr>
      </w:pPr>
      <w:r>
        <w:rPr>
          <w:noProof/>
          <w:lang w:val="en-US"/>
        </w:rPr>
        <w:drawing>
          <wp:anchor distT="0" distB="0" distL="114300" distR="114300" simplePos="0" relativeHeight="253542398" behindDoc="0" locked="0" layoutInCell="1" allowOverlap="1" wp14:anchorId="3D142DB2" wp14:editId="4D6289CE">
            <wp:simplePos x="0" y="0"/>
            <wp:positionH relativeFrom="column">
              <wp:posOffset>0</wp:posOffset>
            </wp:positionH>
            <wp:positionV relativeFrom="paragraph">
              <wp:posOffset>136363</wp:posOffset>
            </wp:positionV>
            <wp:extent cx="1426845" cy="1070610"/>
            <wp:effectExtent l="38100" t="38100" r="97155" b="91440"/>
            <wp:wrapSquare wrapText="bothSides"/>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3" cstate="email">
                      <a:extLst>
                        <a:ext uri="{28A0092B-C50C-407E-A947-70E740481C1C}">
                          <a14:useLocalDpi xmlns:a14="http://schemas.microsoft.com/office/drawing/2010/main"/>
                        </a:ext>
                      </a:extLst>
                    </a:blip>
                    <a:srcRect/>
                    <a:stretch>
                      <a:fillRect/>
                    </a:stretch>
                  </pic:blipFill>
                  <pic:spPr bwMode="auto">
                    <a:xfrm>
                      <a:off x="0" y="0"/>
                      <a:ext cx="1426845" cy="107061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A9A5466" w14:textId="4B8B6448" w:rsidR="00935C39" w:rsidRDefault="0057574B" w:rsidP="0014654B">
      <w:pPr>
        <w:spacing w:line="276" w:lineRule="auto"/>
        <w:jc w:val="both"/>
        <w:rPr>
          <w:rFonts w:ascii="Arial" w:hAnsi="Arial" w:cs="Arial"/>
          <w:sz w:val="24"/>
          <w:szCs w:val="24"/>
        </w:rPr>
      </w:pPr>
      <w:r>
        <w:rPr>
          <w:rFonts w:ascii="Arial" w:hAnsi="Arial" w:cs="Arial"/>
          <w:iCs/>
          <w:noProof/>
          <w:sz w:val="24"/>
          <w:szCs w:val="24"/>
          <w:lang w:val="en-US"/>
        </w:rPr>
        <mc:AlternateContent>
          <mc:Choice Requires="wps">
            <w:drawing>
              <wp:anchor distT="0" distB="0" distL="114300" distR="114300" simplePos="0" relativeHeight="255307774" behindDoc="0" locked="0" layoutInCell="1" allowOverlap="1" wp14:anchorId="27365EAD" wp14:editId="74513049">
                <wp:simplePos x="0" y="0"/>
                <wp:positionH relativeFrom="column">
                  <wp:posOffset>10160</wp:posOffset>
                </wp:positionH>
                <wp:positionV relativeFrom="paragraph">
                  <wp:posOffset>1076163</wp:posOffset>
                </wp:positionV>
                <wp:extent cx="1397000" cy="563245"/>
                <wp:effectExtent l="0" t="0" r="0" b="8255"/>
                <wp:wrapSquare wrapText="bothSides"/>
                <wp:docPr id="78" name="Text Box 78"/>
                <wp:cNvGraphicFramePr/>
                <a:graphic xmlns:a="http://schemas.openxmlformats.org/drawingml/2006/main">
                  <a:graphicData uri="http://schemas.microsoft.com/office/word/2010/wordprocessingShape">
                    <wps:wsp>
                      <wps:cNvSpPr txBox="1"/>
                      <wps:spPr>
                        <a:xfrm>
                          <a:off x="0" y="0"/>
                          <a:ext cx="1397000" cy="563245"/>
                        </a:xfrm>
                        <a:prstGeom prst="rect">
                          <a:avLst/>
                        </a:prstGeom>
                        <a:solidFill>
                          <a:schemeClr val="lt1"/>
                        </a:solidFill>
                        <a:ln w="6350">
                          <a:noFill/>
                        </a:ln>
                      </wps:spPr>
                      <wps:txbx>
                        <w:txbxContent>
                          <w:p w14:paraId="24E03665" w14:textId="6A72D864" w:rsidR="00D15FD8" w:rsidRPr="0057574B" w:rsidRDefault="00D15FD8" w:rsidP="0057574B">
                            <w:pPr>
                              <w:jc w:val="center"/>
                              <w:rPr>
                                <w:rFonts w:ascii="Arial" w:hAnsi="Arial" w:cs="Arial"/>
                                <w:b/>
                                <w:bCs/>
                                <w:color w:val="F8A133"/>
                                <w:sz w:val="20"/>
                                <w:szCs w:val="20"/>
                                <w:lang w:val="en-US"/>
                              </w:rPr>
                            </w:pPr>
                            <w:r w:rsidRPr="00577BCD">
                              <w:rPr>
                                <w:rFonts w:ascii="Arial" w:hAnsi="Arial" w:cs="Arial"/>
                                <w:b/>
                                <w:bCs/>
                                <w:color w:val="F8A133"/>
                                <w:sz w:val="20"/>
                                <w:szCs w:val="20"/>
                              </w:rPr>
                              <w:t xml:space="preserve">Democratic Republic of the </w:t>
                            </w:r>
                            <w:r>
                              <w:rPr>
                                <w:rFonts w:ascii="Arial" w:hAnsi="Arial" w:cs="Arial"/>
                                <w:b/>
                                <w:bCs/>
                                <w:color w:val="F8A133"/>
                                <w:sz w:val="20"/>
                                <w:szCs w:val="20"/>
                                <w:lang w:val="en-US"/>
                              </w:rPr>
                              <w:t>Congo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365EAD" id="Text Box 78" o:spid="_x0000_s1468" type="#_x0000_t202" style="position:absolute;left:0;text-align:left;margin-left:.8pt;margin-top:84.75pt;width:110pt;height:44.35pt;z-index:2553077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" fillcolor="white [3201]" stroked="f" strokeweight=".5pt">
                <v:textbox>
                  <w:txbxContent>
                    <w:p w14:paraId="24E03665" w14:textId="6A72D864" w:rsidR="00D15FD8" w:rsidRPr="0057574B" w:rsidRDefault="00D15FD8" w:rsidP="0057574B">
                      <w:pPr>
                        <w:jc w:val="center"/>
                        <w:rPr>
                          <w:rFonts w:ascii="Arial" w:hAnsi="Arial" w:cs="Arial"/>
                          <w:b/>
                          <w:bCs/>
                          <w:color w:val="F8A133"/>
                          <w:sz w:val="20"/>
                          <w:szCs w:val="20"/>
                          <w:lang w:val="en-US"/>
                        </w:rPr>
                      </w:pPr>
                      <w:r w:rsidRPr="00577BCD">
                        <w:rPr>
                          <w:rFonts w:ascii="Arial" w:hAnsi="Arial" w:cs="Arial"/>
                          <w:b/>
                          <w:bCs/>
                          <w:color w:val="F8A133"/>
                          <w:sz w:val="20"/>
                          <w:szCs w:val="20"/>
                        </w:rPr>
                        <w:t xml:space="preserve">Democratic Republic of the </w:t>
                      </w:r>
                      <w:r>
                        <w:rPr>
                          <w:rFonts w:ascii="Arial" w:hAnsi="Arial" w:cs="Arial"/>
                          <w:b/>
                          <w:bCs/>
                          <w:color w:val="F8A133"/>
                          <w:sz w:val="20"/>
                          <w:szCs w:val="20"/>
                          <w:lang w:val="en-US"/>
                        </w:rPr>
                        <w:t>Congo</w:t>
                      </w:r>
                    </w:p>
                  </w:txbxContent>
                </v:textbox>
                <w10:wrap type="square"/>
              </v:shape>
            </w:pict>
          </mc:Fallback>
        </mc:AlternateContent>
      </w:r>
      <w:r w:rsidR="00935C39">
        <w:fldChar w:fldCharType="begin"/>
      </w:r>
      <w:r w:rsidR="00935C39">
        <w:instrText xml:space="preserve"> INCLUDEPICTURE "https://upload.wikimedia.org/wikipedia/commons/thumb/6/6f/Flag_of_the_Democratic_Republic_of_the_Congo.svg/453px-Flag_of_the_Democratic_Republic_of_the_Congo.svg.png" \* MERGEFORMATINET </w:instrText>
      </w:r>
      <w:r w:rsidR="00935C39">
        <w:fldChar w:fldCharType="end"/>
      </w:r>
      <w:r w:rsidR="0014654B" w:rsidRPr="00BD6508">
        <w:rPr>
          <w:rFonts w:ascii="Arial" w:hAnsi="Arial" w:cs="Arial"/>
          <w:sz w:val="24"/>
          <w:szCs w:val="24"/>
        </w:rPr>
        <w:t>In the Democratic Republic of the Congo, the EITI process enabled stakeholders to identify weaknesses in how state-owned enterprises are managed, prompting them to publish more information about their financial transactions and contracts. Among others, the disclosure of contracts shed light on the revenues received by extractive companies and the financial flows between them and state-owned enterprises.</w:t>
      </w:r>
    </w:p>
    <w:p w14:paraId="3D92F4D9" w14:textId="7210B4CF" w:rsidR="00094BA2" w:rsidRDefault="00094BA2" w:rsidP="0014654B">
      <w:pPr>
        <w:spacing w:line="276" w:lineRule="auto"/>
        <w:jc w:val="both"/>
        <w:rPr>
          <w:rFonts w:ascii="Arial" w:hAnsi="Arial" w:cs="Arial"/>
          <w:sz w:val="24"/>
          <w:szCs w:val="24"/>
        </w:rPr>
      </w:pPr>
    </w:p>
    <w:p w14:paraId="05F557DF" w14:textId="780C5653" w:rsidR="00094BA2" w:rsidRDefault="00094BA2" w:rsidP="0014654B">
      <w:pPr>
        <w:spacing w:line="276" w:lineRule="auto"/>
        <w:jc w:val="both"/>
        <w:rPr>
          <w:rFonts w:ascii="Arial" w:hAnsi="Arial" w:cs="Arial"/>
          <w:sz w:val="24"/>
          <w:szCs w:val="24"/>
        </w:rPr>
      </w:pPr>
    </w:p>
    <w:p w14:paraId="0C589F39" w14:textId="7B4D9835" w:rsidR="00094BA2" w:rsidRDefault="00094BA2" w:rsidP="0014654B">
      <w:pPr>
        <w:spacing w:line="276" w:lineRule="auto"/>
        <w:jc w:val="both"/>
        <w:rPr>
          <w:rFonts w:ascii="Arial" w:hAnsi="Arial" w:cs="Arial"/>
          <w:sz w:val="24"/>
          <w:szCs w:val="24"/>
        </w:rPr>
      </w:pPr>
    </w:p>
    <w:p w14:paraId="6AD5245C" w14:textId="170A3661" w:rsidR="00094BA2" w:rsidRDefault="00094BA2" w:rsidP="0014654B">
      <w:pPr>
        <w:spacing w:line="276" w:lineRule="auto"/>
        <w:jc w:val="both"/>
        <w:rPr>
          <w:rFonts w:ascii="Arial" w:hAnsi="Arial" w:cs="Arial"/>
          <w:sz w:val="24"/>
          <w:szCs w:val="24"/>
        </w:rPr>
      </w:pPr>
    </w:p>
    <w:p w14:paraId="7DD4D83D" w14:textId="29A8F169" w:rsidR="00094BA2" w:rsidRDefault="00094BA2" w:rsidP="0014654B">
      <w:pPr>
        <w:spacing w:line="276" w:lineRule="auto"/>
        <w:jc w:val="both"/>
        <w:rPr>
          <w:rFonts w:ascii="Arial" w:hAnsi="Arial" w:cs="Arial"/>
          <w:sz w:val="24"/>
          <w:szCs w:val="24"/>
        </w:rPr>
      </w:pPr>
    </w:p>
    <w:p w14:paraId="51420AB5" w14:textId="4895592F" w:rsidR="00094BA2" w:rsidRDefault="00094BA2" w:rsidP="0014654B">
      <w:pPr>
        <w:spacing w:line="276" w:lineRule="auto"/>
        <w:jc w:val="both"/>
        <w:rPr>
          <w:rFonts w:ascii="Arial" w:hAnsi="Arial" w:cs="Arial"/>
          <w:sz w:val="24"/>
          <w:szCs w:val="24"/>
        </w:rPr>
      </w:pPr>
    </w:p>
    <w:p w14:paraId="248B4648" w14:textId="5EE6B058" w:rsidR="00094BA2" w:rsidRDefault="00094BA2" w:rsidP="0014654B">
      <w:pPr>
        <w:spacing w:line="276" w:lineRule="auto"/>
        <w:jc w:val="both"/>
        <w:rPr>
          <w:rFonts w:ascii="Arial" w:hAnsi="Arial" w:cs="Arial"/>
          <w:sz w:val="24"/>
          <w:szCs w:val="24"/>
        </w:rPr>
      </w:pPr>
    </w:p>
    <w:p w14:paraId="53081634" w14:textId="184A8530" w:rsidR="00094BA2" w:rsidRDefault="00094BA2" w:rsidP="0014654B">
      <w:pPr>
        <w:spacing w:line="276" w:lineRule="auto"/>
        <w:jc w:val="both"/>
        <w:rPr>
          <w:rFonts w:ascii="Arial" w:hAnsi="Arial" w:cs="Arial"/>
          <w:sz w:val="24"/>
          <w:szCs w:val="24"/>
        </w:rPr>
      </w:pPr>
    </w:p>
    <w:p w14:paraId="7DE4426C" w14:textId="7E31BA17" w:rsidR="00094BA2" w:rsidRDefault="00094BA2" w:rsidP="0014654B">
      <w:pPr>
        <w:spacing w:line="276" w:lineRule="auto"/>
        <w:jc w:val="both"/>
        <w:rPr>
          <w:rFonts w:ascii="Arial" w:hAnsi="Arial" w:cs="Arial"/>
          <w:sz w:val="24"/>
          <w:szCs w:val="24"/>
        </w:rPr>
      </w:pPr>
    </w:p>
    <w:p w14:paraId="54BD02C2" w14:textId="77777777" w:rsidR="00094BA2" w:rsidRDefault="00094BA2" w:rsidP="0014654B">
      <w:pPr>
        <w:spacing w:line="276" w:lineRule="auto"/>
        <w:jc w:val="both"/>
        <w:rPr>
          <w:rFonts w:ascii="Arial" w:hAnsi="Arial" w:cs="Arial"/>
          <w:sz w:val="24"/>
          <w:szCs w:val="24"/>
        </w:rPr>
      </w:pPr>
    </w:p>
    <w:p w14:paraId="72E6A9C9" w14:textId="179E8F25" w:rsidR="00F261C0" w:rsidRPr="00590086" w:rsidRDefault="00F261C0" w:rsidP="00094BA2">
      <w:pPr>
        <w:widowControl w:val="0"/>
        <w:spacing w:line="276" w:lineRule="auto"/>
        <w:jc w:val="both"/>
        <w:rPr>
          <w:rFonts w:ascii="Arial" w:hAnsi="Arial" w:cs="Arial"/>
          <w:color w:val="F27E20"/>
          <w:sz w:val="26"/>
          <w:szCs w:val="26"/>
        </w:rPr>
      </w:pPr>
      <w:r>
        <w:rPr>
          <w:rFonts w:ascii="Arial" w:eastAsiaTheme="majorEastAsia" w:hAnsi="Arial" w:cs="Arial"/>
          <w:b/>
          <w:iCs/>
          <w:color w:val="ED7D31" w:themeColor="accent2"/>
          <w:sz w:val="32"/>
          <w:szCs w:val="32"/>
        </w:rPr>
        <w:br/>
      </w:r>
      <w:r w:rsidR="0057574B" w:rsidRPr="00590086">
        <w:rPr>
          <w:sz w:val="26"/>
          <w:szCs w:val="26"/>
        </w:rPr>
        <w:lastRenderedPageBreak/>
        <w:fldChar w:fldCharType="begin"/>
      </w:r>
      <w:r w:rsidR="0057574B" w:rsidRPr="00590086">
        <w:rPr>
          <w:sz w:val="26"/>
          <w:szCs w:val="26"/>
        </w:rPr>
        <w:instrText xml:space="preserve"> INCLUDEPICTURE "http://imaliyethu.org.za/wp-content/uploads/2020/11/ibp-obs-share-image.png" \* MERGEFORMATINET </w:instrText>
      </w:r>
      <w:r w:rsidR="0057574B" w:rsidRPr="00590086">
        <w:rPr>
          <w:sz w:val="26"/>
          <w:szCs w:val="26"/>
        </w:rPr>
        <w:fldChar w:fldCharType="end"/>
      </w:r>
      <w:r w:rsidRPr="00590086">
        <w:rPr>
          <w:rFonts w:ascii="Arial" w:eastAsiaTheme="majorEastAsia" w:hAnsi="Arial" w:cs="Arial"/>
          <w:b/>
          <w:iCs/>
          <w:color w:val="F27E20"/>
          <w:sz w:val="26"/>
          <w:szCs w:val="26"/>
        </w:rPr>
        <w:t xml:space="preserve">Open Budget Survey experiences </w:t>
      </w:r>
    </w:p>
    <w:p w14:paraId="532B72D2" w14:textId="7317D0CB" w:rsidR="000A5BCC" w:rsidRPr="00BD6508" w:rsidRDefault="000A5BCC" w:rsidP="00F261C0">
      <w:pPr>
        <w:spacing w:line="276" w:lineRule="auto"/>
        <w:jc w:val="both"/>
        <w:rPr>
          <w:rFonts w:ascii="Arial" w:hAnsi="Arial" w:cs="Arial"/>
          <w:sz w:val="26"/>
          <w:szCs w:val="26"/>
        </w:rPr>
      </w:pPr>
      <w:r>
        <w:rPr>
          <w:rFonts w:ascii="Arial" w:hAnsi="Arial" w:cs="Arial"/>
          <w:noProof/>
          <w:sz w:val="24"/>
          <w:szCs w:val="24"/>
          <w:lang w:val="en-US"/>
        </w:rPr>
        <mc:AlternateContent>
          <mc:Choice Requires="wps">
            <w:drawing>
              <wp:anchor distT="0" distB="0" distL="114300" distR="114300" simplePos="0" relativeHeight="254239742" behindDoc="0" locked="0" layoutInCell="1" allowOverlap="1" wp14:anchorId="44B6912F" wp14:editId="0B3B8C23">
                <wp:simplePos x="0" y="0"/>
                <wp:positionH relativeFrom="column">
                  <wp:posOffset>658495</wp:posOffset>
                </wp:positionH>
                <wp:positionV relativeFrom="paragraph">
                  <wp:posOffset>219075</wp:posOffset>
                </wp:positionV>
                <wp:extent cx="1028700" cy="355600"/>
                <wp:effectExtent l="0" t="0" r="0" b="0"/>
                <wp:wrapSquare wrapText="bothSides"/>
                <wp:docPr id="2272" name="Rounded Rectangle 2272"/>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017272C" id="Rounded Rectangle 2272" o:spid="_x0000_s1026" style="position:absolute;margin-left:51.85pt;margin-top:17.25pt;width:81pt;height:28pt;z-index:254239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" fillcolor="#16988a" stroked="f" strokeweight="1pt">
                <v:stroke joinstyle="miter"/>
                <w10:wrap type="square"/>
              </v:roundrect>
            </w:pict>
          </mc:Fallback>
        </mc:AlternateContent>
      </w:r>
      <w:r>
        <w:rPr>
          <w:rFonts w:ascii="Arial" w:hAnsi="Arial" w:cs="Arial"/>
          <w:noProof/>
          <w:sz w:val="24"/>
          <w:szCs w:val="24"/>
          <w:lang w:val="en-US"/>
        </w:rPr>
        <w:drawing>
          <wp:anchor distT="0" distB="0" distL="114300" distR="114300" simplePos="0" relativeHeight="254238718" behindDoc="0" locked="0" layoutInCell="1" allowOverlap="1" wp14:anchorId="54A834F4" wp14:editId="2A09D180">
            <wp:simplePos x="0" y="0"/>
            <wp:positionH relativeFrom="column">
              <wp:posOffset>0</wp:posOffset>
            </wp:positionH>
            <wp:positionV relativeFrom="paragraph">
              <wp:posOffset>186055</wp:posOffset>
            </wp:positionV>
            <wp:extent cx="582930" cy="410210"/>
            <wp:effectExtent l="0" t="0" r="1270" b="0"/>
            <wp:wrapSquare wrapText="bothSides"/>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EAA22F" w14:textId="73B1E8C4" w:rsidR="00F261C0" w:rsidRPr="00BD6508" w:rsidRDefault="00691BB1" w:rsidP="00BD6508">
      <w:pPr>
        <w:spacing w:line="276" w:lineRule="auto"/>
        <w:jc w:val="both"/>
        <w:rPr>
          <w:rFonts w:ascii="Arial" w:hAnsi="Arial" w:cs="Arial"/>
          <w:sz w:val="24"/>
          <w:szCs w:val="24"/>
        </w:rPr>
      </w:pPr>
      <w:r>
        <w:rPr>
          <w:noProof/>
          <w:lang w:val="en-US"/>
        </w:rPr>
        <w:drawing>
          <wp:anchor distT="0" distB="0" distL="114300" distR="114300" simplePos="0" relativeHeight="255308798" behindDoc="0" locked="0" layoutInCell="1" allowOverlap="1" wp14:anchorId="32196C3C" wp14:editId="4488F6E7">
            <wp:simplePos x="0" y="0"/>
            <wp:positionH relativeFrom="column">
              <wp:posOffset>4366895</wp:posOffset>
            </wp:positionH>
            <wp:positionV relativeFrom="paragraph">
              <wp:posOffset>42436</wp:posOffset>
            </wp:positionV>
            <wp:extent cx="2253615" cy="1126490"/>
            <wp:effectExtent l="0" t="0" r="0" b="3810"/>
            <wp:wrapSquare wrapText="bothSides"/>
            <wp:docPr id="82" name="Picture 82" descr="The Open Budget Survey – IMALI YET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Open Budget Survey – IMALI YETHU"/>
                    <pic:cNvPicPr>
                      <a:picLocks noChangeAspect="1" noChangeArrowheads="1"/>
                    </pic:cNvPicPr>
                  </pic:nvPicPr>
                  <pic:blipFill>
                    <a:blip r:embed="rId814" cstate="email">
                      <a:extLst>
                        <a:ext uri="{28A0092B-C50C-407E-A947-70E740481C1C}">
                          <a14:useLocalDpi xmlns:a14="http://schemas.microsoft.com/office/drawing/2010/main"/>
                        </a:ext>
                      </a:extLst>
                    </a:blip>
                    <a:srcRect/>
                    <a:stretch>
                      <a:fillRect/>
                    </a:stretch>
                  </pic:blipFill>
                  <pic:spPr bwMode="auto">
                    <a:xfrm>
                      <a:off x="0" y="0"/>
                      <a:ext cx="225361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BCC">
        <w:rPr>
          <w:rFonts w:ascii="Arial" w:hAnsi="Arial" w:cs="Arial"/>
          <w:noProof/>
          <w:sz w:val="24"/>
          <w:szCs w:val="24"/>
          <w:lang w:val="en-US"/>
        </w:rPr>
        <mc:AlternateContent>
          <mc:Choice Requires="wps">
            <w:drawing>
              <wp:anchor distT="0" distB="0" distL="114300" distR="114300" simplePos="0" relativeHeight="254240766" behindDoc="0" locked="0" layoutInCell="1" allowOverlap="1" wp14:anchorId="0B73A4E2" wp14:editId="781AEDBC">
                <wp:simplePos x="0" y="0"/>
                <wp:positionH relativeFrom="column">
                  <wp:posOffset>660400</wp:posOffset>
                </wp:positionH>
                <wp:positionV relativeFrom="paragraph">
                  <wp:posOffset>21590</wp:posOffset>
                </wp:positionV>
                <wp:extent cx="1028700" cy="292100"/>
                <wp:effectExtent l="0" t="0" r="0" b="0"/>
                <wp:wrapNone/>
                <wp:docPr id="1881" name="Text Box 1881"/>
                <wp:cNvGraphicFramePr/>
                <a:graphic xmlns:a="http://schemas.openxmlformats.org/drawingml/2006/main">
                  <a:graphicData uri="http://schemas.microsoft.com/office/word/2010/wordprocessingShape">
                    <wps:wsp>
                      <wps:cNvSpPr txBox="1"/>
                      <wps:spPr>
                        <a:xfrm>
                          <a:off x="0" y="0"/>
                          <a:ext cx="1028700" cy="292100"/>
                        </a:xfrm>
                        <a:prstGeom prst="rect">
                          <a:avLst/>
                        </a:prstGeom>
                        <a:noFill/>
                        <a:ln w="6350">
                          <a:noFill/>
                        </a:ln>
                      </wps:spPr>
                      <wps:txbx>
                        <w:txbxContent>
                          <w:p w14:paraId="4FF18D89" w14:textId="3E7C29A0" w:rsidR="00D15FD8" w:rsidRPr="00BD6508" w:rsidRDefault="00AC4DF7" w:rsidP="00BD6508">
                            <w:pPr>
                              <w:jc w:val="center"/>
                              <w:rPr>
                                <w:b/>
                                <w:bCs/>
                                <w:color w:val="FFFFFF" w:themeColor="background1"/>
                              </w:rPr>
                            </w:pPr>
                            <w:hyperlink r:id="rId815"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73A4E2" id="Text Box 1881" o:spid="_x0000_s1469" type="#_x0000_t202" style="position:absolute;left:0;text-align:left;margin-left:52pt;margin-top:1.7pt;width:81pt;height:23pt;z-index:2542407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" filled="f" stroked="f" strokeweight=".5pt">
                <v:textbox>
                  <w:txbxContent>
                    <w:p w14:paraId="4FF18D89" w14:textId="3E7C29A0" w:rsidR="00D15FD8" w:rsidRPr="00BD6508" w:rsidRDefault="00AC4DF7" w:rsidP="00BD6508">
                      <w:pPr>
                        <w:jc w:val="center"/>
                        <w:rPr>
                          <w:b/>
                          <w:bCs/>
                          <w:color w:val="FFFFFF" w:themeColor="background1"/>
                        </w:rPr>
                      </w:pPr>
                      <w:hyperlink r:id="rId816"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v:textbox>
              </v:shape>
            </w:pict>
          </mc:Fallback>
        </mc:AlternateContent>
      </w:r>
      <w:r w:rsidR="00F261C0" w:rsidRPr="00BD6508">
        <w:rPr>
          <w:rFonts w:ascii="Arial" w:hAnsi="Arial" w:cs="Arial"/>
          <w:sz w:val="24"/>
          <w:szCs w:val="24"/>
        </w:rPr>
        <w:t xml:space="preserve">The IBP’s OBS is not only a research instrument, but also an advocacy tool used by IBP and its partners to encourage governments to improve budget transparency. In a </w:t>
      </w:r>
      <w:hyperlink r:id="rId817" w:history="1">
        <w:r w:rsidR="00F261C0" w:rsidRPr="00BD6508">
          <w:rPr>
            <w:rStyle w:val="Hyperlink"/>
            <w:rFonts w:ascii="Arial" w:hAnsi="Arial" w:cs="Arial"/>
            <w:sz w:val="24"/>
            <w:szCs w:val="24"/>
          </w:rPr>
          <w:t>video</w:t>
        </w:r>
      </w:hyperlink>
      <w:r w:rsidR="00F261C0" w:rsidRPr="00BD6508">
        <w:rPr>
          <w:rFonts w:ascii="Arial" w:hAnsi="Arial" w:cs="Arial"/>
          <w:sz w:val="24"/>
          <w:szCs w:val="24"/>
        </w:rPr>
        <w:t xml:space="preserve">, recorded in April 2021, this is explained together with examples of how the OBS has been used in practice to enhance fiscal transparency. </w:t>
      </w:r>
    </w:p>
    <w:p w14:paraId="0254D564" w14:textId="6E99CF0A" w:rsidR="00FD23BB" w:rsidRPr="00BD6508" w:rsidRDefault="00FD23BB" w:rsidP="00F261C0">
      <w:pPr>
        <w:spacing w:line="276" w:lineRule="auto"/>
        <w:jc w:val="both"/>
        <w:rPr>
          <w:rFonts w:ascii="Arial" w:hAnsi="Arial" w:cs="Arial"/>
          <w:sz w:val="10"/>
          <w:szCs w:val="10"/>
        </w:rPr>
      </w:pPr>
    </w:p>
    <w:p w14:paraId="1DA8A20E" w14:textId="77777777" w:rsidR="0035265A" w:rsidRDefault="0035265A" w:rsidP="00F261C0">
      <w:pPr>
        <w:spacing w:line="276" w:lineRule="auto"/>
        <w:jc w:val="both"/>
        <w:rPr>
          <w:rFonts w:ascii="Arial" w:hAnsi="Arial" w:cs="Arial"/>
          <w:sz w:val="24"/>
          <w:szCs w:val="24"/>
        </w:rPr>
      </w:pPr>
    </w:p>
    <w:p w14:paraId="5401A322" w14:textId="58FAF8BB" w:rsidR="00F261C0" w:rsidRPr="00BD6508" w:rsidRDefault="0057574B" w:rsidP="00BD6508">
      <w:pPr>
        <w:spacing w:line="276" w:lineRule="auto"/>
        <w:jc w:val="both"/>
        <w:rPr>
          <w:rFonts w:ascii="Arial" w:hAnsi="Arial" w:cs="Arial"/>
          <w:sz w:val="24"/>
          <w:szCs w:val="24"/>
        </w:rPr>
      </w:pPr>
      <w:r>
        <w:rPr>
          <w:noProof/>
          <w:lang w:val="en-US"/>
        </w:rPr>
        <w:drawing>
          <wp:anchor distT="0" distB="0" distL="114300" distR="114300" simplePos="0" relativeHeight="253551614" behindDoc="0" locked="0" layoutInCell="1" allowOverlap="1" wp14:anchorId="1F764E68" wp14:editId="7EBE41D8">
            <wp:simplePos x="0" y="0"/>
            <wp:positionH relativeFrom="column">
              <wp:posOffset>4939030</wp:posOffset>
            </wp:positionH>
            <wp:positionV relativeFrom="paragraph">
              <wp:posOffset>502285</wp:posOffset>
            </wp:positionV>
            <wp:extent cx="1676400" cy="1118870"/>
            <wp:effectExtent l="25400" t="25400" r="88900" b="87630"/>
            <wp:wrapSquare wrapText="bothSides"/>
            <wp:docPr id="1883" name="Picture 1883" descr="Flag of Ug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ag of Uganda"/>
                    <pic:cNvPicPr>
                      <a:picLocks noChangeAspect="1" noChangeArrowheads="1"/>
                    </pic:cNvPicPr>
                  </pic:nvPicPr>
                  <pic:blipFill>
                    <a:blip r:embed="rId818" cstate="email">
                      <a:extLst>
                        <a:ext uri="{28A0092B-C50C-407E-A947-70E740481C1C}">
                          <a14:useLocalDpi xmlns:a14="http://schemas.microsoft.com/office/drawing/2010/main"/>
                        </a:ext>
                      </a:extLst>
                    </a:blip>
                    <a:srcRect/>
                    <a:stretch>
                      <a:fillRect/>
                    </a:stretch>
                  </pic:blipFill>
                  <pic:spPr bwMode="auto">
                    <a:xfrm>
                      <a:off x="0" y="0"/>
                      <a:ext cx="1676400" cy="111887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Arial" w:hAnsi="Arial" w:cs="Arial"/>
          <w:iCs/>
          <w:noProof/>
          <w:sz w:val="24"/>
          <w:szCs w:val="24"/>
          <w:lang w:val="en-US"/>
        </w:rPr>
        <mc:AlternateContent>
          <mc:Choice Requires="wps">
            <w:drawing>
              <wp:anchor distT="0" distB="0" distL="114300" distR="114300" simplePos="0" relativeHeight="255310846" behindDoc="0" locked="0" layoutInCell="1" allowOverlap="1" wp14:anchorId="3C7C3ACD" wp14:editId="63F0F706">
                <wp:simplePos x="0" y="0"/>
                <wp:positionH relativeFrom="column">
                  <wp:posOffset>4948555</wp:posOffset>
                </wp:positionH>
                <wp:positionV relativeFrom="paragraph">
                  <wp:posOffset>1718836</wp:posOffset>
                </wp:positionV>
                <wp:extent cx="1670050" cy="252095"/>
                <wp:effectExtent l="0" t="0" r="6350" b="1905"/>
                <wp:wrapSquare wrapText="bothSides"/>
                <wp:docPr id="84" name="Text Box 84"/>
                <wp:cNvGraphicFramePr/>
                <a:graphic xmlns:a="http://schemas.openxmlformats.org/drawingml/2006/main">
                  <a:graphicData uri="http://schemas.microsoft.com/office/word/2010/wordprocessingShape">
                    <wps:wsp>
                      <wps:cNvSpPr txBox="1"/>
                      <wps:spPr>
                        <a:xfrm>
                          <a:off x="0" y="0"/>
                          <a:ext cx="1670050" cy="252095"/>
                        </a:xfrm>
                        <a:prstGeom prst="rect">
                          <a:avLst/>
                        </a:prstGeom>
                        <a:solidFill>
                          <a:schemeClr val="lt1"/>
                        </a:solidFill>
                        <a:ln w="6350">
                          <a:noFill/>
                        </a:ln>
                      </wps:spPr>
                      <wps:txbx>
                        <w:txbxContent>
                          <w:p w14:paraId="3251DF52" w14:textId="42651A36" w:rsidR="00D15FD8" w:rsidRPr="0057574B" w:rsidRDefault="00D15FD8" w:rsidP="0057574B">
                            <w:pPr>
                              <w:jc w:val="center"/>
                              <w:rPr>
                                <w:rFonts w:ascii="Arial" w:hAnsi="Arial" w:cs="Arial"/>
                                <w:b/>
                                <w:bCs/>
                                <w:color w:val="F8A133"/>
                                <w:sz w:val="20"/>
                                <w:szCs w:val="20"/>
                                <w:lang w:val="en-US"/>
                              </w:rPr>
                            </w:pPr>
                            <w:r>
                              <w:rPr>
                                <w:rFonts w:ascii="Arial" w:hAnsi="Arial" w:cs="Arial"/>
                                <w:b/>
                                <w:bCs/>
                                <w:color w:val="F8A133"/>
                                <w:sz w:val="20"/>
                                <w:szCs w:val="20"/>
                                <w:lang w:val="en-US"/>
                              </w:rPr>
                              <w:t>Uganda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C3ACD" id="Text Box 84" o:spid="_x0000_s1470" type="#_x0000_t202" style="position:absolute;left:0;text-align:left;margin-left:389.65pt;margin-top:135.35pt;width:131.5pt;height:19.85pt;z-index:255310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" fillcolor="white [3201]" stroked="f" strokeweight=".5pt">
                <v:textbox>
                  <w:txbxContent>
                    <w:p w14:paraId="3251DF52" w14:textId="42651A36" w:rsidR="00D15FD8" w:rsidRPr="0057574B" w:rsidRDefault="00D15FD8" w:rsidP="0057574B">
                      <w:pPr>
                        <w:jc w:val="center"/>
                        <w:rPr>
                          <w:rFonts w:ascii="Arial" w:hAnsi="Arial" w:cs="Arial"/>
                          <w:b/>
                          <w:bCs/>
                          <w:color w:val="F8A133"/>
                          <w:sz w:val="20"/>
                          <w:szCs w:val="20"/>
                          <w:lang w:val="en-US"/>
                        </w:rPr>
                      </w:pPr>
                      <w:r>
                        <w:rPr>
                          <w:rFonts w:ascii="Arial" w:hAnsi="Arial" w:cs="Arial"/>
                          <w:b/>
                          <w:bCs/>
                          <w:color w:val="F8A133"/>
                          <w:sz w:val="20"/>
                          <w:szCs w:val="20"/>
                          <w:lang w:val="en-US"/>
                        </w:rPr>
                        <w:t>Uganda</w:t>
                      </w:r>
                    </w:p>
                  </w:txbxContent>
                </v:textbox>
                <w10:wrap type="square"/>
              </v:shape>
            </w:pict>
          </mc:Fallback>
        </mc:AlternateContent>
      </w:r>
      <w:r w:rsidR="00F261C0" w:rsidRPr="00BD6508">
        <w:rPr>
          <w:rFonts w:ascii="Arial" w:hAnsi="Arial" w:cs="Arial"/>
          <w:sz w:val="24"/>
          <w:szCs w:val="24"/>
        </w:rPr>
        <w:t>The OBS’s impact at country level is shown using Uganda as an example, where it played an</w:t>
      </w:r>
      <w:r w:rsidR="00726523">
        <w:fldChar w:fldCharType="begin"/>
      </w:r>
      <w:r w:rsidR="00726523">
        <w:instrText xml:space="preserve"> INCLUDEPICTURE "https://cdn.britannica.com/22/22-004-0165975D/Flag-Uganda.jpg" \* MERGEFORMATINET </w:instrText>
      </w:r>
      <w:r w:rsidR="00726523">
        <w:fldChar w:fldCharType="end"/>
      </w:r>
      <w:r w:rsidR="00F261C0" w:rsidRPr="00BD6508">
        <w:rPr>
          <w:rFonts w:ascii="Arial" w:hAnsi="Arial" w:cs="Arial"/>
          <w:sz w:val="24"/>
          <w:szCs w:val="24"/>
        </w:rPr>
        <w:t xml:space="preserve"> important role in enhancing fiscal transparency. In the 2006 OBS, Uganda scored poorly, with Ministry of Finance officials generally dismissive of the results. However, over time government reform champions reached out to IBP’s local civil society partner, the Uganda Debt Network, to understand the survey methodology and results. These reform-minded officials then began to use the survey results in a variety of ways. The national anti-corruption agency also used the survey data to monitor progress and set specific recommendations in their annual reports on corruption. The </w:t>
      </w:r>
      <w:r w:rsidR="009F6737" w:rsidRPr="00BD6508">
        <w:rPr>
          <w:rFonts w:ascii="Arial" w:hAnsi="Arial" w:cs="Arial"/>
          <w:sz w:val="24"/>
          <w:szCs w:val="24"/>
        </w:rPr>
        <w:t xml:space="preserve">Ministry </w:t>
      </w:r>
      <w:r w:rsidR="009F6737">
        <w:rPr>
          <w:rFonts w:ascii="Arial" w:hAnsi="Arial" w:cs="Arial"/>
          <w:sz w:val="24"/>
          <w:szCs w:val="24"/>
        </w:rPr>
        <w:t xml:space="preserve">of </w:t>
      </w:r>
      <w:r w:rsidR="00F261C0" w:rsidRPr="00BD6508">
        <w:rPr>
          <w:rFonts w:ascii="Arial" w:hAnsi="Arial" w:cs="Arial"/>
          <w:sz w:val="24"/>
          <w:szCs w:val="24"/>
        </w:rPr>
        <w:t xml:space="preserve">Finance then took remedial actions on several recommendations made in the OBS report. As a result, Uganda is currently one of the most transparent countries in Africa. The Ugandan experience shows how the OBS can be an important tool for governments, helping to both assess performance and provide an independent, external method of legitimizing improvements. </w:t>
      </w:r>
    </w:p>
    <w:p w14:paraId="5DDC3E05" w14:textId="169192B6" w:rsidR="00F261C0" w:rsidRPr="00BD6508" w:rsidRDefault="00F261C0" w:rsidP="00BD6508">
      <w:pPr>
        <w:spacing w:line="276" w:lineRule="auto"/>
        <w:jc w:val="both"/>
        <w:rPr>
          <w:rFonts w:ascii="Arial" w:hAnsi="Arial" w:cs="Arial"/>
          <w:sz w:val="24"/>
          <w:szCs w:val="24"/>
        </w:rPr>
      </w:pPr>
    </w:p>
    <w:p w14:paraId="65442A85" w14:textId="69B60BFC" w:rsidR="00F261C0" w:rsidRPr="00BD6508" w:rsidRDefault="000D061E" w:rsidP="00BD6508">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3550590" behindDoc="0" locked="0" layoutInCell="1" allowOverlap="1" wp14:anchorId="5E08A977" wp14:editId="1973B3DB">
            <wp:simplePos x="0" y="0"/>
            <wp:positionH relativeFrom="column">
              <wp:posOffset>-7083</wp:posOffset>
            </wp:positionH>
            <wp:positionV relativeFrom="paragraph">
              <wp:posOffset>46990</wp:posOffset>
            </wp:positionV>
            <wp:extent cx="1231265" cy="1280160"/>
            <wp:effectExtent l="0" t="0" r="635" b="2540"/>
            <wp:wrapSquare wrapText="bothSides"/>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Picture 1882"/>
                    <pic:cNvPicPr/>
                  </pic:nvPicPr>
                  <pic:blipFill rotWithShape="1">
                    <a:blip r:embed="rId819" cstate="email">
                      <a:extLst>
                        <a:ext uri="{28A0092B-C50C-407E-A947-70E740481C1C}">
                          <a14:useLocalDpi xmlns:a14="http://schemas.microsoft.com/office/drawing/2010/main"/>
                        </a:ext>
                      </a:extLst>
                    </a:blip>
                    <a:srcRect/>
                    <a:stretch/>
                  </pic:blipFill>
                  <pic:spPr bwMode="auto">
                    <a:xfrm>
                      <a:off x="0" y="0"/>
                      <a:ext cx="1231265" cy="1280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1C0" w:rsidRPr="00BD6508">
        <w:rPr>
          <w:rFonts w:ascii="Arial" w:hAnsi="Arial" w:cs="Arial"/>
          <w:sz w:val="24"/>
          <w:szCs w:val="24"/>
        </w:rPr>
        <w:t>An example from Senegal illustrates how the OBS can help key actors in the fiscal ecosystem engage governments on budget policies and processes. Civil</w:t>
      </w:r>
      <w:r w:rsidR="00F261C0" w:rsidRPr="00BD6508">
        <w:rPr>
          <w:rFonts w:ascii="Arial" w:hAnsi="Arial" w:cs="Arial"/>
          <w:sz w:val="24"/>
          <w:szCs w:val="24"/>
          <w:lang w:val="en-ZA"/>
        </w:rPr>
        <w:t xml:space="preserve"> society groups and trade unions were frustrated by dysfunctions in Senegal’s education sector. In response, ONG-3D, a local civil society group, began to track the use of education budgets in the country. It used OBS data to identify specific budget documents and data on education spending that were not being published by the government. They then initiated a dialogue with the </w:t>
      </w:r>
      <w:r w:rsidR="00A243CD">
        <w:rPr>
          <w:rFonts w:ascii="Arial" w:hAnsi="Arial" w:cs="Arial"/>
          <w:sz w:val="24"/>
          <w:szCs w:val="24"/>
          <w:lang w:val="en-ZA"/>
        </w:rPr>
        <w:t>Ministry of Finance</w:t>
      </w:r>
      <w:r w:rsidR="00F261C0" w:rsidRPr="00BD6508">
        <w:rPr>
          <w:rFonts w:ascii="Arial" w:hAnsi="Arial" w:cs="Arial"/>
          <w:sz w:val="24"/>
          <w:szCs w:val="24"/>
          <w:lang w:val="en-ZA"/>
        </w:rPr>
        <w:t xml:space="preserve">, requesting that in-year progress reports on education expenditures be published. Once published, this data was used by ONG-3D to convene a dialogue with government and trade unions that led to consensus modifications in the education budget. </w:t>
      </w:r>
    </w:p>
    <w:p w14:paraId="03200EF4" w14:textId="77777777" w:rsidR="00F261C0" w:rsidRPr="00BD6508" w:rsidRDefault="00F261C0" w:rsidP="00BD6508">
      <w:pPr>
        <w:spacing w:line="276" w:lineRule="auto"/>
        <w:jc w:val="both"/>
        <w:rPr>
          <w:rFonts w:ascii="Arial" w:hAnsi="Arial" w:cs="Arial"/>
          <w:sz w:val="24"/>
          <w:szCs w:val="24"/>
        </w:rPr>
      </w:pPr>
    </w:p>
    <w:p w14:paraId="646FDEFB" w14:textId="0446AF96" w:rsidR="00726523" w:rsidRDefault="00F261C0" w:rsidP="00726523">
      <w:pPr>
        <w:spacing w:line="276" w:lineRule="auto"/>
        <w:jc w:val="both"/>
        <w:rPr>
          <w:rFonts w:ascii="Arial" w:hAnsi="Arial" w:cs="Arial"/>
          <w:sz w:val="24"/>
          <w:szCs w:val="24"/>
        </w:rPr>
      </w:pPr>
      <w:r w:rsidRPr="00BD6508">
        <w:rPr>
          <w:rFonts w:ascii="Arial" w:hAnsi="Arial" w:cs="Arial"/>
          <w:sz w:val="24"/>
          <w:szCs w:val="24"/>
        </w:rPr>
        <w:t>The OBS also plays a key role in the international public finance community. As a global measurement tool, the OBS is widely recognized as an authoritative and objective source on fiscal openness practices followed by countries, with its data informing the work done by a diverse set of stakeholders.</w:t>
      </w:r>
      <w:r w:rsidRPr="00BD6508">
        <w:rPr>
          <w:rFonts w:ascii="Arial" w:eastAsiaTheme="minorEastAsia" w:hAnsi="Arial" w:cs="Arial"/>
          <w:sz w:val="24"/>
          <w:szCs w:val="24"/>
          <w:lang w:eastAsia="zh-CN"/>
        </w:rPr>
        <w:t xml:space="preserve"> </w:t>
      </w:r>
      <w:r w:rsidRPr="00BD6508">
        <w:rPr>
          <w:rFonts w:ascii="Arial" w:hAnsi="Arial" w:cs="Arial"/>
          <w:sz w:val="24"/>
          <w:szCs w:val="24"/>
        </w:rPr>
        <w:t>For example, the European Union uses the survey results to determine the eligibility of direct budget support in over seventy countries while USAID uses the data to guide their foreign assistance. Private sector actors, especially credit ratings agencies and investment firms are increasingly using the data in their risk analysis of countries. The World Economic Forum uses the survey as part of its economic competitiveness index. The survey is also one of the key criteria for country eligibility in the Open Government Partnership and part of the World Bank’s Worldwide Governance Indicators.</w:t>
      </w:r>
    </w:p>
    <w:p w14:paraId="1D421B94" w14:textId="76A94F57" w:rsidR="007620E6" w:rsidRPr="00726523" w:rsidRDefault="00C77BF8" w:rsidP="00726523">
      <w:pPr>
        <w:spacing w:line="276" w:lineRule="auto"/>
        <w:jc w:val="both"/>
        <w:rPr>
          <w:rFonts w:ascii="Arial" w:hAnsi="Arial" w:cs="Arial"/>
          <w:sz w:val="24"/>
          <w:szCs w:val="24"/>
        </w:rPr>
      </w:pPr>
      <w:r>
        <w:rPr>
          <w:rFonts w:ascii="Arial" w:eastAsiaTheme="majorEastAsia" w:hAnsi="Arial" w:cs="Arial"/>
          <w:b/>
          <w:bCs/>
          <w:iCs/>
          <w:noProof/>
          <w:color w:val="F27E20"/>
          <w:sz w:val="24"/>
          <w:szCs w:val="24"/>
          <w:lang w:val="en-US"/>
        </w:rPr>
        <w:lastRenderedPageBreak/>
        <w:drawing>
          <wp:anchor distT="0" distB="0" distL="114300" distR="114300" simplePos="0" relativeHeight="255278078" behindDoc="0" locked="0" layoutInCell="1" allowOverlap="1" wp14:anchorId="50ADFF28" wp14:editId="1A0E9D50">
            <wp:simplePos x="0" y="0"/>
            <wp:positionH relativeFrom="column">
              <wp:posOffset>0</wp:posOffset>
            </wp:positionH>
            <wp:positionV relativeFrom="paragraph">
              <wp:posOffset>118745</wp:posOffset>
            </wp:positionV>
            <wp:extent cx="850900" cy="867410"/>
            <wp:effectExtent l="0" t="0" r="0" b="0"/>
            <wp:wrapSquare wrapText="bothSides"/>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 name="Picture 2808"/>
                    <pic:cNvPicPr/>
                  </pic:nvPicPr>
                  <pic:blipFill>
                    <a:blip r:embed="rId820" cstate="email">
                      <a:extLst>
                        <a:ext uri="{28A0092B-C50C-407E-A947-70E740481C1C}">
                          <a14:useLocalDpi xmlns:a14="http://schemas.microsoft.com/office/drawing/2010/main"/>
                        </a:ext>
                      </a:extLst>
                    </a:blip>
                    <a:stretch>
                      <a:fillRect/>
                    </a:stretch>
                  </pic:blipFill>
                  <pic:spPr>
                    <a:xfrm>
                      <a:off x="0" y="0"/>
                      <a:ext cx="850900" cy="867410"/>
                    </a:xfrm>
                    <a:prstGeom prst="rect">
                      <a:avLst/>
                    </a:prstGeom>
                  </pic:spPr>
                </pic:pic>
              </a:graphicData>
            </a:graphic>
            <wp14:sizeRelH relativeFrom="page">
              <wp14:pctWidth>0</wp14:pctWidth>
            </wp14:sizeRelH>
            <wp14:sizeRelV relativeFrom="page">
              <wp14:pctHeight>0</wp14:pctHeight>
            </wp14:sizeRelV>
          </wp:anchor>
        </w:drawing>
      </w:r>
    </w:p>
    <w:p w14:paraId="1214B942" w14:textId="77777777" w:rsidR="00C77BF8" w:rsidRPr="00C77BF8" w:rsidRDefault="00C77BF8" w:rsidP="00726523">
      <w:pPr>
        <w:spacing w:line="276" w:lineRule="auto"/>
        <w:jc w:val="both"/>
        <w:rPr>
          <w:rFonts w:ascii="Arial" w:eastAsiaTheme="majorEastAsia" w:hAnsi="Arial" w:cs="Arial"/>
          <w:b/>
          <w:bCs/>
          <w:iCs/>
          <w:color w:val="F27E20"/>
          <w:sz w:val="26"/>
          <w:szCs w:val="26"/>
        </w:rPr>
      </w:pPr>
    </w:p>
    <w:p w14:paraId="17FFFC21" w14:textId="3DB5B604" w:rsidR="001F701C" w:rsidRPr="00590086" w:rsidRDefault="00726523" w:rsidP="00726523">
      <w:pPr>
        <w:spacing w:line="276" w:lineRule="auto"/>
        <w:jc w:val="both"/>
        <w:rPr>
          <w:rFonts w:ascii="Arial" w:hAnsi="Arial" w:cs="Arial"/>
          <w:sz w:val="26"/>
          <w:szCs w:val="26"/>
          <w:lang w:val="en-ZA"/>
        </w:rPr>
      </w:pPr>
      <w:r w:rsidRPr="00590086">
        <w:rPr>
          <w:rFonts w:ascii="Arial" w:eastAsiaTheme="majorEastAsia" w:hAnsi="Arial" w:cs="Arial"/>
          <w:b/>
          <w:bCs/>
          <w:iCs/>
          <w:color w:val="F27E20"/>
          <w:sz w:val="26"/>
          <w:szCs w:val="26"/>
        </w:rPr>
        <w:t>Putting the IMF Fiscal Transparency Code into practice</w:t>
      </w:r>
      <w:r w:rsidRPr="00590086">
        <w:rPr>
          <w:rFonts w:ascii="Arial" w:eastAsiaTheme="majorEastAsia" w:hAnsi="Arial" w:cs="Arial"/>
          <w:b/>
          <w:iCs/>
          <w:color w:val="F27E20"/>
          <w:sz w:val="26"/>
          <w:szCs w:val="26"/>
        </w:rPr>
        <w:t xml:space="preserve"> </w:t>
      </w:r>
    </w:p>
    <w:p w14:paraId="6D8973BD" w14:textId="77777777" w:rsidR="00C77BF8" w:rsidRDefault="00C77BF8" w:rsidP="00726523">
      <w:pPr>
        <w:spacing w:line="276" w:lineRule="auto"/>
        <w:jc w:val="both"/>
        <w:rPr>
          <w:rFonts w:ascii="Arial" w:hAnsi="Arial" w:cs="Arial"/>
          <w:sz w:val="24"/>
          <w:szCs w:val="24"/>
          <w:lang w:val="en-ZA"/>
        </w:rPr>
      </w:pPr>
    </w:p>
    <w:p w14:paraId="5FD94B84" w14:textId="7A30FB5C" w:rsidR="00C77BF8" w:rsidRDefault="00C77BF8" w:rsidP="00726523">
      <w:pPr>
        <w:spacing w:line="276" w:lineRule="auto"/>
        <w:jc w:val="both"/>
        <w:rPr>
          <w:rFonts w:ascii="Arial" w:hAnsi="Arial" w:cs="Arial"/>
          <w:sz w:val="24"/>
          <w:szCs w:val="24"/>
          <w:lang w:val="en-ZA"/>
        </w:rPr>
      </w:pPr>
    </w:p>
    <w:p w14:paraId="225D5A3C" w14:textId="4D2A039C" w:rsidR="007620E6" w:rsidRDefault="001F701C" w:rsidP="00726523">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242814" behindDoc="0" locked="0" layoutInCell="1" allowOverlap="1" wp14:anchorId="5176ECDB" wp14:editId="012C2173">
            <wp:simplePos x="0" y="0"/>
            <wp:positionH relativeFrom="column">
              <wp:posOffset>28049</wp:posOffset>
            </wp:positionH>
            <wp:positionV relativeFrom="paragraph">
              <wp:posOffset>150495</wp:posOffset>
            </wp:positionV>
            <wp:extent cx="582930" cy="410210"/>
            <wp:effectExtent l="0" t="0" r="1270" b="0"/>
            <wp:wrapSquare wrapText="bothSides"/>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243838" behindDoc="0" locked="0" layoutInCell="1" allowOverlap="1" wp14:anchorId="1C177E8B" wp14:editId="206EA826">
                <wp:simplePos x="0" y="0"/>
                <wp:positionH relativeFrom="column">
                  <wp:posOffset>702310</wp:posOffset>
                </wp:positionH>
                <wp:positionV relativeFrom="paragraph">
                  <wp:posOffset>183515</wp:posOffset>
                </wp:positionV>
                <wp:extent cx="1028700" cy="355600"/>
                <wp:effectExtent l="0" t="0" r="0" b="0"/>
                <wp:wrapSquare wrapText="bothSides"/>
                <wp:docPr id="2274" name="Rounded Rectangle 2274"/>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EC9E377" id="Rounded Rectangle 2274" o:spid="_x0000_s1026" style="position:absolute;margin-left:55.3pt;margin-top:14.45pt;width:81pt;height:28pt;z-index:254243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" fillcolor="#16988a" stroked="f" strokeweight="1pt">
                <v:stroke joinstyle="miter"/>
                <w10:wrap type="square"/>
              </v:roundrect>
            </w:pict>
          </mc:Fallback>
        </mc:AlternateContent>
      </w:r>
      <w:r>
        <w:rPr>
          <w:rFonts w:ascii="Arial" w:hAnsi="Arial" w:cs="Arial"/>
          <w:noProof/>
          <w:sz w:val="26"/>
          <w:szCs w:val="26"/>
          <w:lang w:val="en-US"/>
        </w:rPr>
        <mc:AlternateContent>
          <mc:Choice Requires="wps">
            <w:drawing>
              <wp:anchor distT="0" distB="0" distL="114300" distR="114300" simplePos="0" relativeHeight="254244862" behindDoc="0" locked="0" layoutInCell="1" allowOverlap="1" wp14:anchorId="14187C2D" wp14:editId="18A6B3AA">
                <wp:simplePos x="0" y="0"/>
                <wp:positionH relativeFrom="column">
                  <wp:posOffset>711200</wp:posOffset>
                </wp:positionH>
                <wp:positionV relativeFrom="paragraph">
                  <wp:posOffset>201930</wp:posOffset>
                </wp:positionV>
                <wp:extent cx="1028700" cy="279400"/>
                <wp:effectExtent l="0" t="0" r="0" b="0"/>
                <wp:wrapNone/>
                <wp:docPr id="1888" name="Text Box 1888"/>
                <wp:cNvGraphicFramePr/>
                <a:graphic xmlns:a="http://schemas.openxmlformats.org/drawingml/2006/main">
                  <a:graphicData uri="http://schemas.microsoft.com/office/word/2010/wordprocessingShape">
                    <wps:wsp>
                      <wps:cNvSpPr txBox="1"/>
                      <wps:spPr>
                        <a:xfrm>
                          <a:off x="0" y="0"/>
                          <a:ext cx="1028700" cy="279400"/>
                        </a:xfrm>
                        <a:prstGeom prst="rect">
                          <a:avLst/>
                        </a:prstGeom>
                        <a:noFill/>
                        <a:ln w="6350">
                          <a:noFill/>
                        </a:ln>
                      </wps:spPr>
                      <wps:txbx>
                        <w:txbxContent>
                          <w:p w14:paraId="025F04E6" w14:textId="2AA9AE63" w:rsidR="00D15FD8" w:rsidRPr="00BD6508" w:rsidRDefault="00AC4DF7" w:rsidP="00BD6508">
                            <w:pPr>
                              <w:jc w:val="center"/>
                              <w:rPr>
                                <w:b/>
                                <w:bCs/>
                                <w:color w:val="FFFFFF" w:themeColor="background1"/>
                              </w:rPr>
                            </w:pPr>
                            <w:hyperlink r:id="rId821"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187C2D" id="Text Box 1888" o:spid="_x0000_s1471" type="#_x0000_t202" style="position:absolute;left:0;text-align:left;margin-left:56pt;margin-top:15.9pt;width:81pt;height:22pt;z-index:2542448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" filled="f" stroked="f" strokeweight=".5pt">
                <v:textbox>
                  <w:txbxContent>
                    <w:p w14:paraId="025F04E6" w14:textId="2AA9AE63" w:rsidR="00D15FD8" w:rsidRPr="00BD6508" w:rsidRDefault="00AC4DF7" w:rsidP="00BD6508">
                      <w:pPr>
                        <w:jc w:val="center"/>
                        <w:rPr>
                          <w:b/>
                          <w:bCs/>
                          <w:color w:val="FFFFFF" w:themeColor="background1"/>
                        </w:rPr>
                      </w:pPr>
                      <w:hyperlink r:id="rId822" w:history="1">
                        <w:r w:rsidR="00D15FD8" w:rsidRPr="00BD6508">
                          <w:rPr>
                            <w:rStyle w:val="Hyperlink"/>
                            <w:rFonts w:ascii="Arial" w:hAnsi="Arial" w:cs="Arial"/>
                            <w:b/>
                            <w:bCs/>
                            <w:color w:val="FFFFFF" w:themeColor="background1"/>
                            <w:sz w:val="24"/>
                            <w:szCs w:val="24"/>
                          </w:rPr>
                          <w:t>Watch</w:t>
                        </w:r>
                      </w:hyperlink>
                      <w:r w:rsidR="00D15FD8" w:rsidRPr="00BD6508">
                        <w:rPr>
                          <w:rStyle w:val="Hyperlink"/>
                          <w:rFonts w:ascii="Arial" w:hAnsi="Arial" w:cs="Arial"/>
                          <w:b/>
                          <w:bCs/>
                          <w:color w:val="FFFFFF" w:themeColor="background1"/>
                          <w:sz w:val="24"/>
                          <w:szCs w:val="24"/>
                        </w:rPr>
                        <w:t xml:space="preserve"> here</w:t>
                      </w:r>
                    </w:p>
                  </w:txbxContent>
                </v:textbox>
              </v:shape>
            </w:pict>
          </mc:Fallback>
        </mc:AlternateContent>
      </w:r>
    </w:p>
    <w:p w14:paraId="0E86FC0A" w14:textId="067F5AB7" w:rsidR="00726523" w:rsidRPr="00BD6508" w:rsidRDefault="00726523" w:rsidP="00BD6508">
      <w:pPr>
        <w:spacing w:line="276" w:lineRule="auto"/>
        <w:jc w:val="both"/>
        <w:rPr>
          <w:rFonts w:ascii="Arial" w:hAnsi="Arial" w:cs="Arial"/>
          <w:bCs/>
          <w:sz w:val="24"/>
          <w:szCs w:val="24"/>
        </w:rPr>
      </w:pPr>
      <w:r w:rsidRPr="00BD6508">
        <w:rPr>
          <w:rFonts w:ascii="Arial" w:hAnsi="Arial" w:cs="Arial"/>
          <w:sz w:val="24"/>
          <w:szCs w:val="24"/>
          <w:lang w:val="en-ZA"/>
        </w:rPr>
        <w:t xml:space="preserve">The IMF’s key transparency standard is the Fiscal Transparency Code. It </w:t>
      </w:r>
      <w:r w:rsidRPr="00BD6508">
        <w:rPr>
          <w:rFonts w:ascii="Arial" w:hAnsi="Arial" w:cs="Arial"/>
          <w:bCs/>
          <w:sz w:val="24"/>
          <w:szCs w:val="24"/>
        </w:rPr>
        <w:t xml:space="preserve">is an evolving standard, having been updated three times since its first publication in 1998 to accommodate new insights and learnings. In a </w:t>
      </w:r>
      <w:hyperlink r:id="rId823" w:history="1">
        <w:r w:rsidRPr="00BD6508">
          <w:rPr>
            <w:rStyle w:val="Hyperlink"/>
            <w:rFonts w:ascii="Arial" w:hAnsi="Arial" w:cs="Arial"/>
            <w:bCs/>
            <w:sz w:val="24"/>
            <w:szCs w:val="24"/>
          </w:rPr>
          <w:t>video</w:t>
        </w:r>
      </w:hyperlink>
      <w:r w:rsidRPr="00BD6508">
        <w:rPr>
          <w:rFonts w:ascii="Arial" w:hAnsi="Arial" w:cs="Arial"/>
          <w:bCs/>
          <w:sz w:val="24"/>
          <w:szCs w:val="24"/>
        </w:rPr>
        <w:t xml:space="preserve"> recorded in April 2021, key features of the latest version of the Code are explained, including its emphasis on fiscal risks, the importance of having a comprehensive public sector view of public finances, and of budget documents providing useful information, in an exhaustive, clear manner, that is accessible and understandable by all. </w:t>
      </w:r>
    </w:p>
    <w:p w14:paraId="6B7FB1B2" w14:textId="77777777" w:rsidR="00726523" w:rsidRPr="00BD6508" w:rsidRDefault="00726523" w:rsidP="00BD6508">
      <w:pPr>
        <w:spacing w:line="276" w:lineRule="auto"/>
        <w:jc w:val="both"/>
        <w:rPr>
          <w:rFonts w:ascii="Arial" w:hAnsi="Arial" w:cs="Arial"/>
          <w:bCs/>
          <w:sz w:val="24"/>
          <w:szCs w:val="24"/>
        </w:rPr>
      </w:pPr>
    </w:p>
    <w:p w14:paraId="1CD0DDFF" w14:textId="77777777" w:rsidR="00726523" w:rsidRPr="00BD6508" w:rsidRDefault="00726523" w:rsidP="00BD6508">
      <w:pPr>
        <w:spacing w:line="276" w:lineRule="auto"/>
        <w:jc w:val="both"/>
        <w:rPr>
          <w:rFonts w:ascii="Arial" w:hAnsi="Arial" w:cs="Arial"/>
          <w:bCs/>
          <w:sz w:val="24"/>
          <w:szCs w:val="24"/>
        </w:rPr>
      </w:pPr>
      <w:r w:rsidRPr="00BD6508">
        <w:rPr>
          <w:rFonts w:ascii="Arial" w:hAnsi="Arial" w:cs="Arial"/>
          <w:bCs/>
          <w:sz w:val="24"/>
          <w:szCs w:val="24"/>
        </w:rPr>
        <w:t xml:space="preserve">FTEs provide an opportunity for governments to thoroughly assess their fiscal transparency practices against the Code and prepare a well-sequenced reform strategy. More than 30 FTEs have been conducted, providing valuable insights, especially useful to governments with a strong commitment to enhancing fiscal transparency. For example, Brazil was an early trailblazer of fiscal transparency initiatives. The </w:t>
      </w:r>
      <w:hyperlink r:id="rId824" w:history="1">
        <w:r w:rsidRPr="00BD6508">
          <w:rPr>
            <w:rStyle w:val="Hyperlink"/>
            <w:rFonts w:ascii="Arial" w:hAnsi="Arial" w:cs="Arial"/>
            <w:bCs/>
            <w:sz w:val="24"/>
            <w:szCs w:val="24"/>
          </w:rPr>
          <w:t>FTE</w:t>
        </w:r>
      </w:hyperlink>
      <w:r w:rsidRPr="00BD6508">
        <w:rPr>
          <w:rFonts w:ascii="Arial" w:hAnsi="Arial" w:cs="Arial"/>
          <w:bCs/>
          <w:sz w:val="24"/>
          <w:szCs w:val="24"/>
        </w:rPr>
        <w:t xml:space="preserve"> in 2016 helped the Brazilian authorities take stock of their achievements and highlight priorities to take fiscal transparency to the next level. Recommendations such as the publication of an enhanced fiscal risk statement were implemented the following year. A 2018 </w:t>
      </w:r>
      <w:hyperlink r:id="rId825" w:history="1">
        <w:r w:rsidRPr="00BD6508">
          <w:rPr>
            <w:rStyle w:val="Hyperlink"/>
            <w:rFonts w:ascii="Arial" w:hAnsi="Arial" w:cs="Arial"/>
            <w:bCs/>
            <w:sz w:val="24"/>
            <w:szCs w:val="24"/>
          </w:rPr>
          <w:t>FTE in Senegal</w:t>
        </w:r>
      </w:hyperlink>
      <w:r w:rsidRPr="00BD6508">
        <w:rPr>
          <w:rFonts w:ascii="Arial" w:hAnsi="Arial" w:cs="Arial"/>
          <w:bCs/>
          <w:sz w:val="24"/>
          <w:szCs w:val="24"/>
        </w:rPr>
        <w:t xml:space="preserve"> assisted authorities in preparing and adopting a sequenced action plan that has been gradually implemented since, with the support of development partners. </w:t>
      </w:r>
    </w:p>
    <w:p w14:paraId="13E13B82" w14:textId="77777777" w:rsidR="00726523" w:rsidRPr="00BD6508" w:rsidRDefault="00726523" w:rsidP="00BD6508">
      <w:pPr>
        <w:spacing w:line="276" w:lineRule="auto"/>
        <w:jc w:val="both"/>
        <w:rPr>
          <w:rFonts w:ascii="Arial" w:hAnsi="Arial" w:cs="Arial"/>
          <w:bCs/>
          <w:sz w:val="24"/>
          <w:szCs w:val="24"/>
        </w:rPr>
      </w:pPr>
    </w:p>
    <w:p w14:paraId="7945ED4B" w14:textId="2355948E" w:rsidR="00FF7743" w:rsidRDefault="00726523" w:rsidP="00726523">
      <w:pPr>
        <w:spacing w:line="276" w:lineRule="auto"/>
        <w:jc w:val="both"/>
        <w:rPr>
          <w:rFonts w:ascii="Arial" w:hAnsi="Arial" w:cs="Arial"/>
          <w:bCs/>
          <w:sz w:val="24"/>
          <w:szCs w:val="24"/>
        </w:rPr>
      </w:pPr>
      <w:r w:rsidRPr="00BD6508">
        <w:rPr>
          <w:rFonts w:ascii="Arial" w:hAnsi="Arial" w:cs="Arial"/>
          <w:bCs/>
          <w:sz w:val="24"/>
          <w:szCs w:val="24"/>
        </w:rPr>
        <w:t>Looking forward, fiscal transparency keeps on gaining importance and will remain a core fiscal management issue for years to come. The IMF collaborates with other development partners and civil society in advancing this agenda. In recent years, the IMF has also designed practical tools to produce and analyse public sector balance sheets, a framework to assess institutional vulnerabilities to corruption created by weak public financial management and limited transparency, and a suite of tools to analyse specific fiscal risks. The PIMA was developed to boost infrastructure governance. All of these tools act as essential complements to FTEs, assisting in advancing fiscal transparency for development.</w:t>
      </w:r>
    </w:p>
    <w:p w14:paraId="2530D192" w14:textId="52DD5125" w:rsidR="00094BA2" w:rsidRDefault="00094BA2" w:rsidP="00726523">
      <w:pPr>
        <w:spacing w:line="276" w:lineRule="auto"/>
        <w:jc w:val="both"/>
        <w:rPr>
          <w:rFonts w:ascii="Arial" w:hAnsi="Arial" w:cs="Arial"/>
          <w:bCs/>
          <w:sz w:val="24"/>
          <w:szCs w:val="24"/>
        </w:rPr>
      </w:pPr>
    </w:p>
    <w:p w14:paraId="0F7ED67B" w14:textId="10FB9CAB" w:rsidR="00094BA2" w:rsidRDefault="00094BA2" w:rsidP="00726523">
      <w:pPr>
        <w:spacing w:line="276" w:lineRule="auto"/>
        <w:jc w:val="both"/>
        <w:rPr>
          <w:rFonts w:ascii="Arial" w:hAnsi="Arial" w:cs="Arial"/>
          <w:bCs/>
          <w:sz w:val="24"/>
          <w:szCs w:val="24"/>
        </w:rPr>
      </w:pPr>
    </w:p>
    <w:p w14:paraId="1FB612C8" w14:textId="508FF370" w:rsidR="00094BA2" w:rsidRDefault="00094BA2" w:rsidP="00726523">
      <w:pPr>
        <w:spacing w:line="276" w:lineRule="auto"/>
        <w:jc w:val="both"/>
        <w:rPr>
          <w:rFonts w:ascii="Arial" w:hAnsi="Arial" w:cs="Arial"/>
          <w:bCs/>
          <w:sz w:val="24"/>
          <w:szCs w:val="24"/>
        </w:rPr>
      </w:pPr>
    </w:p>
    <w:p w14:paraId="3D7B0015" w14:textId="413F6FB3" w:rsidR="00094BA2" w:rsidRDefault="00094BA2" w:rsidP="00726523">
      <w:pPr>
        <w:spacing w:line="276" w:lineRule="auto"/>
        <w:jc w:val="both"/>
        <w:rPr>
          <w:rFonts w:ascii="Arial" w:hAnsi="Arial" w:cs="Arial"/>
          <w:bCs/>
          <w:sz w:val="24"/>
          <w:szCs w:val="24"/>
        </w:rPr>
      </w:pPr>
    </w:p>
    <w:p w14:paraId="39AD0304" w14:textId="0CAF61B1" w:rsidR="00094BA2" w:rsidRDefault="00094BA2" w:rsidP="00726523">
      <w:pPr>
        <w:spacing w:line="276" w:lineRule="auto"/>
        <w:jc w:val="both"/>
        <w:rPr>
          <w:rFonts w:ascii="Arial" w:hAnsi="Arial" w:cs="Arial"/>
          <w:bCs/>
          <w:sz w:val="24"/>
          <w:szCs w:val="24"/>
        </w:rPr>
      </w:pPr>
    </w:p>
    <w:p w14:paraId="3F438982" w14:textId="29C88742" w:rsidR="00094BA2" w:rsidRDefault="00094BA2" w:rsidP="00726523">
      <w:pPr>
        <w:spacing w:line="276" w:lineRule="auto"/>
        <w:jc w:val="both"/>
        <w:rPr>
          <w:rFonts w:ascii="Arial" w:hAnsi="Arial" w:cs="Arial"/>
          <w:bCs/>
          <w:sz w:val="24"/>
          <w:szCs w:val="24"/>
        </w:rPr>
      </w:pPr>
    </w:p>
    <w:p w14:paraId="0CF9C273" w14:textId="06C79EEC" w:rsidR="00094BA2" w:rsidRDefault="00094BA2" w:rsidP="00726523">
      <w:pPr>
        <w:spacing w:line="276" w:lineRule="auto"/>
        <w:jc w:val="both"/>
        <w:rPr>
          <w:rFonts w:ascii="Arial" w:hAnsi="Arial" w:cs="Arial"/>
          <w:bCs/>
          <w:sz w:val="24"/>
          <w:szCs w:val="24"/>
        </w:rPr>
      </w:pPr>
    </w:p>
    <w:p w14:paraId="3328665A" w14:textId="2FEB6163" w:rsidR="000D061E" w:rsidRDefault="000D061E" w:rsidP="00726523">
      <w:pPr>
        <w:spacing w:line="276" w:lineRule="auto"/>
        <w:jc w:val="both"/>
        <w:rPr>
          <w:rFonts w:ascii="Arial" w:hAnsi="Arial" w:cs="Arial"/>
          <w:bCs/>
          <w:sz w:val="24"/>
          <w:szCs w:val="24"/>
        </w:rPr>
      </w:pPr>
    </w:p>
    <w:p w14:paraId="7403F2DF" w14:textId="77777777" w:rsidR="000D061E" w:rsidRDefault="000D061E" w:rsidP="00726523">
      <w:pPr>
        <w:spacing w:line="276" w:lineRule="auto"/>
        <w:jc w:val="both"/>
        <w:rPr>
          <w:rFonts w:ascii="Arial" w:hAnsi="Arial" w:cs="Arial"/>
          <w:bCs/>
          <w:sz w:val="24"/>
          <w:szCs w:val="24"/>
        </w:rPr>
      </w:pPr>
    </w:p>
    <w:p w14:paraId="4A56F37C" w14:textId="77777777" w:rsidR="00094BA2" w:rsidRDefault="00094BA2" w:rsidP="00726523">
      <w:pPr>
        <w:spacing w:line="276" w:lineRule="auto"/>
        <w:jc w:val="both"/>
        <w:rPr>
          <w:rFonts w:ascii="Arial" w:hAnsi="Arial" w:cs="Arial"/>
          <w:bCs/>
          <w:sz w:val="24"/>
          <w:szCs w:val="24"/>
        </w:rPr>
      </w:pPr>
    </w:p>
    <w:p w14:paraId="7D58225B" w14:textId="2C1E1042" w:rsidR="006D2C70" w:rsidRDefault="00C77BF8" w:rsidP="00052159">
      <w:pPr>
        <w:spacing w:line="276" w:lineRule="auto"/>
        <w:jc w:val="both"/>
        <w:rPr>
          <w:rFonts w:ascii="Arial" w:eastAsiaTheme="majorEastAsia" w:hAnsi="Arial" w:cs="Arial"/>
          <w:b/>
          <w:bCs/>
          <w:iCs/>
          <w:color w:val="ED7D31" w:themeColor="accent2"/>
          <w:sz w:val="32"/>
          <w:szCs w:val="32"/>
        </w:rPr>
      </w:pPr>
      <w:r>
        <w:rPr>
          <w:rFonts w:ascii="Arial" w:eastAsiaTheme="majorEastAsia" w:hAnsi="Arial" w:cs="Arial"/>
          <w:b/>
          <w:bCs/>
          <w:iCs/>
          <w:noProof/>
          <w:color w:val="F27E20"/>
          <w:sz w:val="24"/>
          <w:szCs w:val="24"/>
          <w:lang w:val="en-US"/>
        </w:rPr>
        <w:lastRenderedPageBreak/>
        <w:drawing>
          <wp:anchor distT="0" distB="0" distL="114300" distR="114300" simplePos="0" relativeHeight="255279102" behindDoc="1" locked="0" layoutInCell="1" allowOverlap="1" wp14:anchorId="4E1583C3" wp14:editId="534CF4F5">
            <wp:simplePos x="0" y="0"/>
            <wp:positionH relativeFrom="column">
              <wp:posOffset>0</wp:posOffset>
            </wp:positionH>
            <wp:positionV relativeFrom="paragraph">
              <wp:posOffset>260350</wp:posOffset>
            </wp:positionV>
            <wp:extent cx="1689100" cy="565150"/>
            <wp:effectExtent l="0" t="0" r="0" b="6350"/>
            <wp:wrapTight wrapText="bothSides">
              <wp:wrapPolygon edited="0">
                <wp:start x="2274" y="0"/>
                <wp:lineTo x="1462" y="4369"/>
                <wp:lineTo x="1462" y="7766"/>
                <wp:lineTo x="0" y="8252"/>
                <wp:lineTo x="0" y="14562"/>
                <wp:lineTo x="325" y="17960"/>
                <wp:lineTo x="1462" y="21357"/>
                <wp:lineTo x="2436" y="21357"/>
                <wp:lineTo x="21438" y="19416"/>
                <wp:lineTo x="21438" y="13591"/>
                <wp:lineTo x="20950" y="6310"/>
                <wp:lineTo x="7958" y="485"/>
                <wp:lineTo x="3411" y="0"/>
                <wp:lineTo x="2274" y="0"/>
              </wp:wrapPolygon>
            </wp:wrapTight>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 name="Picture 2809"/>
                    <pic:cNvPicPr/>
                  </pic:nvPicPr>
                  <pic:blipFill>
                    <a:blip r:embed="rId826" cstate="email">
                      <a:extLst>
                        <a:ext uri="{28A0092B-C50C-407E-A947-70E740481C1C}">
                          <a14:useLocalDpi xmlns:a14="http://schemas.microsoft.com/office/drawing/2010/main"/>
                        </a:ext>
                      </a:extLst>
                    </a:blip>
                    <a:stretch>
                      <a:fillRect/>
                    </a:stretch>
                  </pic:blipFill>
                  <pic:spPr>
                    <a:xfrm>
                      <a:off x="0" y="0"/>
                      <a:ext cx="1689100" cy="565150"/>
                    </a:xfrm>
                    <a:prstGeom prst="rect">
                      <a:avLst/>
                    </a:prstGeom>
                  </pic:spPr>
                </pic:pic>
              </a:graphicData>
            </a:graphic>
            <wp14:sizeRelH relativeFrom="page">
              <wp14:pctWidth>0</wp14:pctWidth>
            </wp14:sizeRelH>
            <wp14:sizeRelV relativeFrom="page">
              <wp14:pctHeight>0</wp14:pctHeight>
            </wp14:sizeRelV>
          </wp:anchor>
        </w:drawing>
      </w:r>
    </w:p>
    <w:p w14:paraId="6B4134FE" w14:textId="77777777" w:rsidR="00C77BF8" w:rsidRDefault="00C77BF8" w:rsidP="00052159">
      <w:pPr>
        <w:spacing w:line="276" w:lineRule="auto"/>
        <w:jc w:val="both"/>
        <w:rPr>
          <w:rFonts w:ascii="Arial" w:eastAsiaTheme="majorEastAsia" w:hAnsi="Arial" w:cs="Arial"/>
          <w:b/>
          <w:bCs/>
          <w:iCs/>
          <w:color w:val="F27E20"/>
          <w:sz w:val="24"/>
          <w:szCs w:val="24"/>
        </w:rPr>
      </w:pPr>
    </w:p>
    <w:p w14:paraId="5E65BB05" w14:textId="4F789842" w:rsidR="00052159" w:rsidRPr="00590086" w:rsidRDefault="00C77BF8" w:rsidP="00052159">
      <w:pPr>
        <w:spacing w:line="276" w:lineRule="auto"/>
        <w:jc w:val="both"/>
        <w:rPr>
          <w:rFonts w:ascii="Arial" w:hAnsi="Arial" w:cs="Arial"/>
          <w:sz w:val="26"/>
          <w:szCs w:val="26"/>
          <w:lang w:val="en-ZA"/>
        </w:rPr>
      </w:pPr>
      <w:r>
        <w:rPr>
          <w:rFonts w:ascii="Arial" w:eastAsiaTheme="majorEastAsia" w:hAnsi="Arial" w:cs="Arial"/>
          <w:b/>
          <w:bCs/>
          <w:iCs/>
          <w:color w:val="F27E20"/>
          <w:sz w:val="24"/>
          <w:szCs w:val="24"/>
        </w:rPr>
        <w:t xml:space="preserve">  </w:t>
      </w:r>
      <w:r w:rsidR="00052159" w:rsidRPr="00590086">
        <w:rPr>
          <w:rFonts w:ascii="Arial" w:eastAsiaTheme="majorEastAsia" w:hAnsi="Arial" w:cs="Arial"/>
          <w:b/>
          <w:bCs/>
          <w:iCs/>
          <w:color w:val="F27E20"/>
          <w:sz w:val="26"/>
          <w:szCs w:val="26"/>
        </w:rPr>
        <w:t>Measuring fiscal transparency: PEFA</w:t>
      </w:r>
    </w:p>
    <w:p w14:paraId="0E431566" w14:textId="38C67F39" w:rsidR="001F701C" w:rsidRDefault="001F701C" w:rsidP="00BD6508">
      <w:pPr>
        <w:spacing w:line="276" w:lineRule="auto"/>
        <w:jc w:val="both"/>
        <w:rPr>
          <w:rFonts w:ascii="Arial" w:hAnsi="Arial" w:cs="Arial"/>
          <w:sz w:val="24"/>
          <w:szCs w:val="24"/>
          <w:lang w:val="en-ZA"/>
        </w:rPr>
      </w:pPr>
    </w:p>
    <w:p w14:paraId="141B2F1E" w14:textId="77777777" w:rsidR="00C77BF8" w:rsidRDefault="00C77BF8" w:rsidP="00BD6508">
      <w:pPr>
        <w:spacing w:line="276" w:lineRule="auto"/>
        <w:jc w:val="both"/>
        <w:rPr>
          <w:rFonts w:ascii="Arial" w:hAnsi="Arial" w:cs="Arial"/>
          <w:sz w:val="24"/>
          <w:szCs w:val="24"/>
          <w:lang w:val="en-ZA"/>
        </w:rPr>
      </w:pPr>
    </w:p>
    <w:p w14:paraId="29DD81BF" w14:textId="0F334E97" w:rsidR="00052159" w:rsidRPr="00BD6508" w:rsidRDefault="00B00F85" w:rsidP="00BD6508">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246910" behindDoc="0" locked="0" layoutInCell="1" allowOverlap="1" wp14:anchorId="6BE997F6" wp14:editId="5FC3CA41">
            <wp:simplePos x="0" y="0"/>
            <wp:positionH relativeFrom="column">
              <wp:posOffset>0</wp:posOffset>
            </wp:positionH>
            <wp:positionV relativeFrom="paragraph">
              <wp:posOffset>647065</wp:posOffset>
            </wp:positionV>
            <wp:extent cx="582930" cy="410210"/>
            <wp:effectExtent l="0" t="0" r="1270" b="0"/>
            <wp:wrapSquare wrapText="bothSides"/>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247934" behindDoc="0" locked="0" layoutInCell="1" allowOverlap="1" wp14:anchorId="39DF76FF" wp14:editId="611E3AD4">
                <wp:simplePos x="0" y="0"/>
                <wp:positionH relativeFrom="column">
                  <wp:posOffset>658495</wp:posOffset>
                </wp:positionH>
                <wp:positionV relativeFrom="paragraph">
                  <wp:posOffset>680085</wp:posOffset>
                </wp:positionV>
                <wp:extent cx="1028700" cy="355600"/>
                <wp:effectExtent l="0" t="0" r="0" b="0"/>
                <wp:wrapSquare wrapText="bothSides"/>
                <wp:docPr id="2276" name="Rounded Rectangle 2276"/>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21672BB" id="Rounded Rectangle 2276" o:spid="_x0000_s1026" style="position:absolute;margin-left:51.85pt;margin-top:53.55pt;width:81pt;height:28pt;z-index:254247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" fillcolor="#16988a" stroked="f" strokeweight="1pt">
                <v:stroke joinstyle="miter"/>
                <w10:wrap type="square"/>
              </v:roundrect>
            </w:pict>
          </mc:Fallback>
        </mc:AlternateContent>
      </w:r>
      <w:r>
        <w:rPr>
          <w:rFonts w:ascii="Arial" w:hAnsi="Arial" w:cs="Arial"/>
          <w:noProof/>
          <w:sz w:val="24"/>
          <w:szCs w:val="24"/>
          <w:lang w:val="en-US"/>
        </w:rPr>
        <mc:AlternateContent>
          <mc:Choice Requires="wps">
            <w:drawing>
              <wp:anchor distT="0" distB="0" distL="114300" distR="114300" simplePos="0" relativeHeight="254248958" behindDoc="0" locked="0" layoutInCell="1" allowOverlap="1" wp14:anchorId="67D22E0D" wp14:editId="2913227D">
                <wp:simplePos x="0" y="0"/>
                <wp:positionH relativeFrom="column">
                  <wp:posOffset>650875</wp:posOffset>
                </wp:positionH>
                <wp:positionV relativeFrom="paragraph">
                  <wp:posOffset>720090</wp:posOffset>
                </wp:positionV>
                <wp:extent cx="1041400" cy="292100"/>
                <wp:effectExtent l="0" t="0" r="0" b="0"/>
                <wp:wrapNone/>
                <wp:docPr id="1894" name="Text Box 1894"/>
                <wp:cNvGraphicFramePr/>
                <a:graphic xmlns:a="http://schemas.openxmlformats.org/drawingml/2006/main">
                  <a:graphicData uri="http://schemas.microsoft.com/office/word/2010/wordprocessingShape">
                    <wps:wsp>
                      <wps:cNvSpPr txBox="1"/>
                      <wps:spPr>
                        <a:xfrm>
                          <a:off x="0" y="0"/>
                          <a:ext cx="1041400" cy="292100"/>
                        </a:xfrm>
                        <a:prstGeom prst="rect">
                          <a:avLst/>
                        </a:prstGeom>
                        <a:noFill/>
                        <a:ln w="6350">
                          <a:noFill/>
                        </a:ln>
                      </wps:spPr>
                      <wps:txbx>
                        <w:txbxContent>
                          <w:p w14:paraId="24C3949B" w14:textId="75FD3F03" w:rsidR="00D15FD8" w:rsidRPr="00BD6508" w:rsidRDefault="00AC4DF7" w:rsidP="00BD6508">
                            <w:pPr>
                              <w:jc w:val="center"/>
                              <w:rPr>
                                <w:b/>
                                <w:bCs/>
                                <w:color w:val="FFFFFF" w:themeColor="background1"/>
                              </w:rPr>
                            </w:pPr>
                            <w:hyperlink r:id="rId827" w:history="1">
                              <w:r w:rsidR="00D15FD8" w:rsidRPr="00BD6508">
                                <w:rPr>
                                  <w:rStyle w:val="Hyperlink"/>
                                  <w:rFonts w:ascii="Arial" w:hAnsi="Arial" w:cs="Arial"/>
                                  <w:b/>
                                  <w:bCs/>
                                  <w:color w:val="FFFFFF" w:themeColor="background1"/>
                                  <w:sz w:val="24"/>
                                  <w:szCs w:val="24"/>
                                  <w:lang w:val="en-ZA"/>
                                </w:rPr>
                                <w:t>Watch</w:t>
                              </w:r>
                            </w:hyperlink>
                            <w:r w:rsidR="00D15FD8" w:rsidRPr="00BD6508">
                              <w:rPr>
                                <w:rStyle w:val="Hyperlink"/>
                                <w:rFonts w:ascii="Arial" w:hAnsi="Arial" w:cs="Arial"/>
                                <w:b/>
                                <w:bCs/>
                                <w:color w:val="FFFFFF" w:themeColor="background1"/>
                                <w:sz w:val="24"/>
                                <w:szCs w:val="24"/>
                                <w:lang w:val="en-ZA"/>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D22E0D" id="Text Box 1894" o:spid="_x0000_s1472" type="#_x0000_t202" style="position:absolute;left:0;text-align:left;margin-left:51.25pt;margin-top:56.7pt;width:82pt;height:23pt;z-index:2542489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" filled="f" stroked="f" strokeweight=".5pt">
                <v:textbox>
                  <w:txbxContent>
                    <w:p w14:paraId="24C3949B" w14:textId="75FD3F03" w:rsidR="00D15FD8" w:rsidRPr="00BD6508" w:rsidRDefault="00AC4DF7" w:rsidP="00BD6508">
                      <w:pPr>
                        <w:jc w:val="center"/>
                        <w:rPr>
                          <w:b/>
                          <w:bCs/>
                          <w:color w:val="FFFFFF" w:themeColor="background1"/>
                        </w:rPr>
                      </w:pPr>
                      <w:hyperlink r:id="rId828" w:history="1">
                        <w:r w:rsidR="00D15FD8" w:rsidRPr="00BD6508">
                          <w:rPr>
                            <w:rStyle w:val="Hyperlink"/>
                            <w:rFonts w:ascii="Arial" w:hAnsi="Arial" w:cs="Arial"/>
                            <w:b/>
                            <w:bCs/>
                            <w:color w:val="FFFFFF" w:themeColor="background1"/>
                            <w:sz w:val="24"/>
                            <w:szCs w:val="24"/>
                            <w:lang w:val="en-ZA"/>
                          </w:rPr>
                          <w:t>Watch</w:t>
                        </w:r>
                      </w:hyperlink>
                      <w:r w:rsidR="00D15FD8" w:rsidRPr="00BD6508">
                        <w:rPr>
                          <w:rStyle w:val="Hyperlink"/>
                          <w:rFonts w:ascii="Arial" w:hAnsi="Arial" w:cs="Arial"/>
                          <w:b/>
                          <w:bCs/>
                          <w:color w:val="FFFFFF" w:themeColor="background1"/>
                          <w:sz w:val="24"/>
                          <w:szCs w:val="24"/>
                          <w:lang w:val="en-ZA"/>
                        </w:rPr>
                        <w:t xml:space="preserve"> here</w:t>
                      </w:r>
                    </w:p>
                  </w:txbxContent>
                </v:textbox>
              </v:shape>
            </w:pict>
          </mc:Fallback>
        </mc:AlternateContent>
      </w:r>
      <w:r w:rsidR="00052159" w:rsidRPr="00BD6508">
        <w:rPr>
          <w:rFonts w:ascii="Arial" w:hAnsi="Arial" w:cs="Arial"/>
          <w:sz w:val="24"/>
          <w:szCs w:val="24"/>
          <w:lang w:val="en-ZA"/>
        </w:rPr>
        <w:t xml:space="preserve">The Public Expenditure and Financial Accountability (PEFA) initiative was developed by nine development partners to support public financial management reforms globally. In a testimonial </w:t>
      </w:r>
      <w:hyperlink r:id="rId829" w:history="1">
        <w:r w:rsidR="00052159" w:rsidRPr="00BD6508">
          <w:rPr>
            <w:rStyle w:val="Hyperlink"/>
            <w:rFonts w:ascii="Arial" w:hAnsi="Arial" w:cs="Arial"/>
            <w:sz w:val="24"/>
            <w:szCs w:val="24"/>
            <w:lang w:val="en-ZA"/>
          </w:rPr>
          <w:t>video</w:t>
        </w:r>
      </w:hyperlink>
      <w:r w:rsidR="00052159" w:rsidRPr="00BD6508">
        <w:rPr>
          <w:rFonts w:ascii="Arial" w:hAnsi="Arial" w:cs="Arial"/>
          <w:sz w:val="24"/>
          <w:szCs w:val="24"/>
          <w:lang w:val="en-ZA"/>
        </w:rPr>
        <w:t xml:space="preserve">, the Head of the PEFA Secretariat explains how </w:t>
      </w:r>
      <w:r w:rsidR="00052159" w:rsidRPr="00BD6508">
        <w:rPr>
          <w:rFonts w:ascii="Arial" w:hAnsi="Arial" w:cs="Arial"/>
          <w:sz w:val="24"/>
          <w:szCs w:val="24"/>
        </w:rPr>
        <w:t>the PEFA framework is used to assess public financial management and consequently to support country level improvements.</w:t>
      </w:r>
    </w:p>
    <w:p w14:paraId="31C75687" w14:textId="77777777" w:rsidR="00052159" w:rsidRPr="00BD6508" w:rsidRDefault="00052159" w:rsidP="00BD6508">
      <w:pPr>
        <w:spacing w:line="276" w:lineRule="auto"/>
        <w:jc w:val="both"/>
        <w:rPr>
          <w:rFonts w:ascii="Arial" w:hAnsi="Arial" w:cs="Arial"/>
          <w:sz w:val="2"/>
          <w:szCs w:val="2"/>
          <w:lang w:val="en-ZA"/>
        </w:rPr>
      </w:pPr>
    </w:p>
    <w:p w14:paraId="33C84517" w14:textId="77777777" w:rsidR="006D2C70" w:rsidRDefault="006D2C70" w:rsidP="00052159">
      <w:pPr>
        <w:spacing w:line="276" w:lineRule="auto"/>
        <w:jc w:val="both"/>
        <w:rPr>
          <w:rFonts w:ascii="Arial" w:hAnsi="Arial" w:cs="Arial"/>
          <w:sz w:val="24"/>
          <w:szCs w:val="24"/>
          <w:lang w:val="en-ZA"/>
        </w:rPr>
      </w:pPr>
    </w:p>
    <w:p w14:paraId="16C75816" w14:textId="1BB24834" w:rsidR="0024281D" w:rsidRPr="00945DC6" w:rsidRDefault="00052159" w:rsidP="0024281D">
      <w:pPr>
        <w:spacing w:line="276" w:lineRule="auto"/>
        <w:jc w:val="both"/>
        <w:rPr>
          <w:rFonts w:ascii="Arial" w:hAnsi="Arial" w:cs="Arial"/>
          <w:sz w:val="24"/>
          <w:szCs w:val="24"/>
          <w:lang w:val="en-ZA"/>
        </w:rPr>
      </w:pPr>
      <w:r w:rsidRPr="00BD6508">
        <w:rPr>
          <w:rFonts w:ascii="Arial" w:hAnsi="Arial" w:cs="Arial"/>
          <w:sz w:val="24"/>
          <w:szCs w:val="24"/>
          <w:lang w:val="en-ZA"/>
        </w:rPr>
        <w:t xml:space="preserve">The PEFA Secretariat also used PEFA data to compile the </w:t>
      </w:r>
      <w:hyperlink r:id="rId830" w:history="1">
        <w:r w:rsidRPr="00BD6508">
          <w:rPr>
            <w:rStyle w:val="Hyperlink"/>
            <w:rFonts w:ascii="Arial" w:hAnsi="Arial" w:cs="Arial"/>
            <w:sz w:val="24"/>
            <w:szCs w:val="24"/>
            <w:lang w:val="en-ZA"/>
          </w:rPr>
          <w:t>2020 Global Report on Public Finance Management</w:t>
        </w:r>
      </w:hyperlink>
      <w:r w:rsidRPr="00BD6508">
        <w:rPr>
          <w:rFonts w:ascii="Arial" w:hAnsi="Arial" w:cs="Arial"/>
          <w:sz w:val="24"/>
          <w:szCs w:val="24"/>
          <w:lang w:val="en-ZA"/>
        </w:rPr>
        <w:t xml:space="preserve"> highlighting key trends across the budget cycle, including that:</w:t>
      </w:r>
      <w:r w:rsidR="0024281D" w:rsidRPr="0024281D">
        <w:rPr>
          <w:rFonts w:ascii="Arial" w:hAnsi="Arial" w:cs="Arial"/>
          <w:sz w:val="24"/>
          <w:szCs w:val="24"/>
          <w:lang w:val="en-ZA"/>
        </w:rPr>
        <w:t xml:space="preserve"> </w:t>
      </w:r>
      <w:r w:rsidR="0024281D" w:rsidRPr="00945DC6">
        <w:rPr>
          <w:rFonts w:ascii="Arial" w:hAnsi="Arial" w:cs="Arial"/>
          <w:sz w:val="24"/>
          <w:szCs w:val="24"/>
          <w:lang w:val="en-ZA"/>
        </w:rPr>
        <w:t xml:space="preserve">countries on average perform better in preparing their budgets than executing them; </w:t>
      </w:r>
      <w:r w:rsidR="0024281D" w:rsidRPr="00945DC6">
        <w:rPr>
          <w:rFonts w:ascii="Arial" w:hAnsi="Arial" w:cs="Arial"/>
          <w:sz w:val="24"/>
          <w:szCs w:val="24"/>
        </w:rPr>
        <w:t>internal audit, management of fiscal risks, external audit, and scrutiny by supreme audit institutions and the legislature remains the weakest areas of public financial management;</w:t>
      </w:r>
      <w:r w:rsidR="0024281D" w:rsidRPr="0024281D">
        <w:rPr>
          <w:rFonts w:ascii="Arial" w:hAnsi="Arial" w:cs="Arial"/>
          <w:color w:val="000000"/>
          <w:sz w:val="24"/>
          <w:szCs w:val="24"/>
        </w:rPr>
        <w:t xml:space="preserve"> </w:t>
      </w:r>
      <w:r w:rsidR="0024281D" w:rsidRPr="00945DC6">
        <w:rPr>
          <w:rFonts w:ascii="Arial" w:hAnsi="Arial" w:cs="Arial"/>
          <w:color w:val="000000"/>
          <w:sz w:val="24"/>
          <w:szCs w:val="24"/>
        </w:rPr>
        <w:t>t</w:t>
      </w:r>
      <w:r w:rsidR="0024281D" w:rsidRPr="00945DC6">
        <w:rPr>
          <w:rFonts w:ascii="Arial" w:hAnsi="Arial" w:cs="Arial"/>
          <w:sz w:val="24"/>
          <w:szCs w:val="24"/>
        </w:rPr>
        <w:t>he budget preparation process, predictability of in-year resource allocation, internal controls on non-salary expenditure, and debt management were the highest scoring areas;</w:t>
      </w:r>
      <w:r w:rsidR="0024281D" w:rsidRPr="0024281D">
        <w:rPr>
          <w:rFonts w:ascii="Arial" w:hAnsi="Arial" w:cs="Arial"/>
          <w:sz w:val="24"/>
          <w:szCs w:val="24"/>
        </w:rPr>
        <w:t xml:space="preserve"> </w:t>
      </w:r>
      <w:r w:rsidR="0024281D" w:rsidRPr="00945DC6">
        <w:rPr>
          <w:rFonts w:ascii="Arial" w:hAnsi="Arial" w:cs="Arial"/>
          <w:sz w:val="24"/>
          <w:szCs w:val="24"/>
        </w:rPr>
        <w:t xml:space="preserve">and that </w:t>
      </w:r>
      <w:r w:rsidR="0024281D" w:rsidRPr="00945DC6">
        <w:rPr>
          <w:rFonts w:ascii="Arial" w:hAnsi="Arial" w:cs="Arial"/>
          <w:sz w:val="24"/>
          <w:szCs w:val="24"/>
          <w:lang w:val="en-ZA"/>
        </w:rPr>
        <w:t>g</w:t>
      </w:r>
      <w:r w:rsidR="0024281D" w:rsidRPr="00945DC6">
        <w:rPr>
          <w:rFonts w:ascii="Arial" w:hAnsi="Arial" w:cs="Arial"/>
          <w:sz w:val="24"/>
          <w:szCs w:val="24"/>
        </w:rPr>
        <w:t>ender considerations in the design, implementation, and evaluation of budget policies are not yet mainstreamed in most countries, though some countries have made important advances in this area</w:t>
      </w:r>
      <w:r w:rsidR="0024281D" w:rsidRPr="00945DC6">
        <w:rPr>
          <w:rFonts w:ascii="Arial" w:hAnsi="Arial" w:cs="Arial"/>
          <w:sz w:val="24"/>
          <w:szCs w:val="24"/>
          <w:lang w:val="en-ZA"/>
        </w:rPr>
        <w:t xml:space="preserve">. </w:t>
      </w:r>
    </w:p>
    <w:p w14:paraId="426CD3F4" w14:textId="640C0F3B" w:rsidR="0024281D" w:rsidRDefault="0024281D" w:rsidP="0024281D">
      <w:pPr>
        <w:spacing w:line="276" w:lineRule="auto"/>
        <w:jc w:val="both"/>
        <w:rPr>
          <w:rFonts w:ascii="Arial" w:hAnsi="Arial" w:cs="Arial"/>
          <w:sz w:val="24"/>
          <w:szCs w:val="24"/>
        </w:rPr>
      </w:pPr>
    </w:p>
    <w:p w14:paraId="1A9DDBDD" w14:textId="5CCE5F6E" w:rsidR="004B3CF0" w:rsidRDefault="000A4213" w:rsidP="0099547A">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3567998" behindDoc="0" locked="0" layoutInCell="1" allowOverlap="1" wp14:anchorId="4DE55179" wp14:editId="307F6EB1">
                <wp:simplePos x="0" y="0"/>
                <wp:positionH relativeFrom="column">
                  <wp:posOffset>50800</wp:posOffset>
                </wp:positionH>
                <wp:positionV relativeFrom="paragraph">
                  <wp:posOffset>95885</wp:posOffset>
                </wp:positionV>
                <wp:extent cx="6553200" cy="685800"/>
                <wp:effectExtent l="0" t="0" r="0" b="0"/>
                <wp:wrapNone/>
                <wp:docPr id="1896" name="Text Box 1896"/>
                <wp:cNvGraphicFramePr/>
                <a:graphic xmlns:a="http://schemas.openxmlformats.org/drawingml/2006/main">
                  <a:graphicData uri="http://schemas.microsoft.com/office/word/2010/wordprocessingShape">
                    <wps:wsp>
                      <wps:cNvSpPr txBox="1"/>
                      <wps:spPr>
                        <a:xfrm>
                          <a:off x="0" y="0"/>
                          <a:ext cx="6553200" cy="685800"/>
                        </a:xfrm>
                        <a:prstGeom prst="rect">
                          <a:avLst/>
                        </a:prstGeom>
                        <a:noFill/>
                        <a:ln w="6350">
                          <a:noFill/>
                        </a:ln>
                      </wps:spPr>
                      <wps:txbx>
                        <w:txbxContent>
                          <w:p w14:paraId="33E75008" w14:textId="63BB0D12" w:rsidR="00D15FD8" w:rsidRDefault="00D15FD8" w:rsidP="000A4213">
                            <w:pPr>
                              <w:spacing w:line="276" w:lineRule="auto"/>
                              <w:jc w:val="both"/>
                              <w:rPr>
                                <w:rFonts w:ascii="Arial" w:hAnsi="Arial" w:cs="Arial"/>
                                <w:color w:val="000000"/>
                                <w:sz w:val="24"/>
                                <w:szCs w:val="24"/>
                              </w:rPr>
                            </w:pPr>
                          </w:p>
                          <w:p w14:paraId="0F03E593"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E55179" id="Text Box 1896" o:spid="_x0000_s1473" type="#_x0000_t202" style="position:absolute;left:0;text-align:left;margin-left:4pt;margin-top:7.55pt;width:516pt;height:54pt;z-index:2535679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" filled="f" stroked="f" strokeweight=".5pt">
                <v:textbox>
                  <w:txbxContent>
                    <w:p w14:paraId="33E75008" w14:textId="63BB0D12" w:rsidR="00D15FD8" w:rsidRDefault="00D15FD8" w:rsidP="000A4213">
                      <w:pPr>
                        <w:spacing w:line="276" w:lineRule="auto"/>
                        <w:jc w:val="both"/>
                        <w:rPr>
                          <w:rFonts w:ascii="Arial" w:hAnsi="Arial" w:cs="Arial"/>
                          <w:color w:val="000000"/>
                          <w:sz w:val="24"/>
                          <w:szCs w:val="24"/>
                        </w:rPr>
                      </w:pPr>
                    </w:p>
                    <w:p w14:paraId="0F03E593" w14:textId="77777777" w:rsidR="00D15FD8" w:rsidRDefault="00D15FD8"/>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572094" behindDoc="0" locked="0" layoutInCell="1" allowOverlap="1" wp14:anchorId="63D9DE4C" wp14:editId="085CA7E0">
                <wp:simplePos x="0" y="0"/>
                <wp:positionH relativeFrom="column">
                  <wp:posOffset>38100</wp:posOffset>
                </wp:positionH>
                <wp:positionV relativeFrom="paragraph">
                  <wp:posOffset>116840</wp:posOffset>
                </wp:positionV>
                <wp:extent cx="6553200" cy="520700"/>
                <wp:effectExtent l="0" t="0" r="0" b="0"/>
                <wp:wrapNone/>
                <wp:docPr id="1898" name="Text Box 1898"/>
                <wp:cNvGraphicFramePr/>
                <a:graphic xmlns:a="http://schemas.openxmlformats.org/drawingml/2006/main">
                  <a:graphicData uri="http://schemas.microsoft.com/office/word/2010/wordprocessingShape">
                    <wps:wsp>
                      <wps:cNvSpPr txBox="1"/>
                      <wps:spPr>
                        <a:xfrm>
                          <a:off x="0" y="0"/>
                          <a:ext cx="6553200" cy="520700"/>
                        </a:xfrm>
                        <a:prstGeom prst="rect">
                          <a:avLst/>
                        </a:prstGeom>
                        <a:noFill/>
                        <a:ln w="6350">
                          <a:noFill/>
                        </a:ln>
                      </wps:spPr>
                      <wps:txbx>
                        <w:txbxContent>
                          <w:p w14:paraId="77AF1199" w14:textId="77777777" w:rsidR="00D15FD8" w:rsidRDefault="00D15FD8" w:rsidP="000A42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D9DE4C" id="Text Box 1898" o:spid="_x0000_s1474" type="#_x0000_t202" style="position:absolute;left:0;text-align:left;margin-left:3pt;margin-top:9.2pt;width:516pt;height:41pt;z-index:2535720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" filled="f" stroked="f" strokeweight=".5pt">
                <v:textbox>
                  <w:txbxContent>
                    <w:p w14:paraId="77AF1199" w14:textId="77777777" w:rsidR="00D15FD8" w:rsidRDefault="00D15FD8" w:rsidP="000A4213"/>
                  </w:txbxContent>
                </v:textbox>
              </v:shape>
            </w:pict>
          </mc:Fallback>
        </mc:AlternateContent>
      </w:r>
      <w:r w:rsidR="00052159" w:rsidRPr="00BD6508">
        <w:rPr>
          <w:rFonts w:ascii="Arial" w:hAnsi="Arial" w:cs="Arial"/>
          <w:sz w:val="24"/>
          <w:szCs w:val="24"/>
          <w:lang w:val="en-ZA"/>
        </w:rPr>
        <w:t xml:space="preserve">The PEFA Secretariat periodically releases new free products to support country development. This includes, firstly, guidance on how to use PEFA assessments to develop an actionable </w:t>
      </w:r>
      <w:r w:rsidR="00052159" w:rsidRPr="00BD6508">
        <w:rPr>
          <w:rFonts w:ascii="Arial" w:hAnsi="Arial" w:cs="Arial"/>
          <w:sz w:val="24"/>
          <w:szCs w:val="24"/>
        </w:rPr>
        <w:t>public financial management</w:t>
      </w:r>
      <w:r w:rsidR="00052159" w:rsidRPr="00BD6508">
        <w:rPr>
          <w:rFonts w:ascii="Arial" w:hAnsi="Arial" w:cs="Arial"/>
          <w:sz w:val="24"/>
          <w:szCs w:val="24"/>
          <w:lang w:val="en-ZA"/>
        </w:rPr>
        <w:t xml:space="preserve"> reform strategy involving stakeholder engagement and the appropriate sequencing of </w:t>
      </w:r>
      <w:r w:rsidR="00052159" w:rsidRPr="00BD6508">
        <w:rPr>
          <w:rFonts w:ascii="Arial" w:hAnsi="Arial" w:cs="Arial"/>
          <w:sz w:val="24"/>
          <w:szCs w:val="24"/>
        </w:rPr>
        <w:t>public financial management</w:t>
      </w:r>
      <w:r w:rsidR="00052159" w:rsidRPr="00BD6508">
        <w:rPr>
          <w:rFonts w:ascii="Arial" w:hAnsi="Arial" w:cs="Arial"/>
          <w:sz w:val="24"/>
          <w:szCs w:val="24"/>
          <w:lang w:val="en-ZA"/>
        </w:rPr>
        <w:t xml:space="preserve"> reforms towards improvements. Secondly, a </w:t>
      </w:r>
      <w:hyperlink r:id="rId831" w:history="1">
        <w:r w:rsidR="00052159" w:rsidRPr="00BD6508">
          <w:rPr>
            <w:rStyle w:val="Hyperlink"/>
            <w:rFonts w:ascii="Arial" w:hAnsi="Arial" w:cs="Arial"/>
            <w:sz w:val="24"/>
            <w:szCs w:val="24"/>
            <w:lang w:val="en-ZA"/>
          </w:rPr>
          <w:t xml:space="preserve">Supplementary Framework </w:t>
        </w:r>
        <w:proofErr w:type="gramStart"/>
        <w:r w:rsidR="00052159" w:rsidRPr="00BD6508">
          <w:rPr>
            <w:rStyle w:val="Hyperlink"/>
            <w:rFonts w:ascii="Arial" w:hAnsi="Arial" w:cs="Arial"/>
            <w:sz w:val="24"/>
            <w:szCs w:val="24"/>
            <w:lang w:val="en-ZA"/>
          </w:rPr>
          <w:t>For</w:t>
        </w:r>
        <w:proofErr w:type="gramEnd"/>
        <w:r w:rsidR="00052159" w:rsidRPr="00BD6508">
          <w:rPr>
            <w:rStyle w:val="Hyperlink"/>
            <w:rFonts w:ascii="Arial" w:hAnsi="Arial" w:cs="Arial"/>
            <w:sz w:val="24"/>
            <w:szCs w:val="24"/>
            <w:lang w:val="en-ZA"/>
          </w:rPr>
          <w:t xml:space="preserve"> Assessing Gender Responsive </w:t>
        </w:r>
        <w:r w:rsidR="00052159" w:rsidRPr="00BD6508">
          <w:rPr>
            <w:rStyle w:val="Hyperlink"/>
            <w:rFonts w:ascii="Arial" w:hAnsi="Arial" w:cs="Arial"/>
            <w:sz w:val="24"/>
            <w:szCs w:val="24"/>
          </w:rPr>
          <w:t>Public Financial Management</w:t>
        </w:r>
      </w:hyperlink>
      <w:r w:rsidR="00052159" w:rsidRPr="00BD6508">
        <w:rPr>
          <w:rFonts w:ascii="Arial" w:hAnsi="Arial" w:cs="Arial"/>
          <w:sz w:val="24"/>
          <w:szCs w:val="24"/>
          <w:lang w:val="en-ZA"/>
        </w:rPr>
        <w:t xml:space="preserve"> in support of a sharper focus on gender responsive public finances. Thirdly, the </w:t>
      </w:r>
      <w:hyperlink r:id="rId832" w:history="1">
        <w:r w:rsidR="00052159" w:rsidRPr="00BD6508">
          <w:rPr>
            <w:rStyle w:val="Hyperlink"/>
            <w:rFonts w:ascii="Arial" w:hAnsi="Arial" w:cs="Arial"/>
            <w:sz w:val="24"/>
            <w:szCs w:val="24"/>
            <w:lang w:val="en-ZA"/>
          </w:rPr>
          <w:t>Climate Responsive Public Financial Management Framework (PEFA climate)</w:t>
        </w:r>
      </w:hyperlink>
      <w:r w:rsidR="00052159" w:rsidRPr="00BD6508">
        <w:rPr>
          <w:rFonts w:ascii="Arial" w:hAnsi="Arial" w:cs="Arial"/>
          <w:sz w:val="24"/>
          <w:szCs w:val="24"/>
          <w:lang w:val="en-ZA"/>
        </w:rPr>
        <w:t xml:space="preserve">, a new supplementary tool to assess the climate responsiveness of </w:t>
      </w:r>
      <w:r w:rsidR="00052159" w:rsidRPr="00BD6508">
        <w:rPr>
          <w:rFonts w:ascii="Arial" w:hAnsi="Arial" w:cs="Arial"/>
          <w:sz w:val="24"/>
          <w:szCs w:val="24"/>
        </w:rPr>
        <w:t>public financial management</w:t>
      </w:r>
      <w:r w:rsidR="00052159" w:rsidRPr="00BD6508">
        <w:rPr>
          <w:rFonts w:ascii="Arial" w:hAnsi="Arial" w:cs="Arial"/>
          <w:sz w:val="24"/>
          <w:szCs w:val="24"/>
          <w:lang w:val="en-ZA"/>
        </w:rPr>
        <w:t xml:space="preserve"> systems, assisting in mainstreaming climate change responses into public finances. Fourthly, the </w:t>
      </w:r>
      <w:hyperlink r:id="rId833" w:history="1">
        <w:r w:rsidR="00052159" w:rsidRPr="00BD6508">
          <w:rPr>
            <w:rStyle w:val="Hyperlink"/>
            <w:rFonts w:ascii="Arial" w:hAnsi="Arial" w:cs="Arial"/>
            <w:sz w:val="24"/>
            <w:szCs w:val="24"/>
            <w:lang w:val="en-ZA"/>
          </w:rPr>
          <w:t xml:space="preserve">Guidance for Subnational </w:t>
        </w:r>
        <w:r w:rsidR="00052159" w:rsidRPr="00BD6508">
          <w:rPr>
            <w:rStyle w:val="Hyperlink"/>
            <w:rFonts w:ascii="Arial" w:hAnsi="Arial" w:cs="Arial"/>
            <w:sz w:val="24"/>
            <w:szCs w:val="24"/>
          </w:rPr>
          <w:t>PEFA</w:t>
        </w:r>
        <w:r w:rsidR="00052159" w:rsidRPr="00BD6508">
          <w:rPr>
            <w:rStyle w:val="Hyperlink"/>
            <w:rFonts w:ascii="Arial" w:hAnsi="Arial" w:cs="Arial"/>
            <w:sz w:val="24"/>
            <w:szCs w:val="24"/>
            <w:lang w:val="en-ZA"/>
          </w:rPr>
          <w:t xml:space="preserve"> Assessments</w:t>
        </w:r>
      </w:hyperlink>
      <w:r w:rsidR="00691BB1">
        <w:rPr>
          <w:rFonts w:ascii="Arial" w:hAnsi="Arial" w:cs="Arial"/>
          <w:sz w:val="24"/>
          <w:szCs w:val="24"/>
          <w:lang w:val="en-ZA"/>
        </w:rPr>
        <w:t xml:space="preserve"> </w:t>
      </w:r>
      <w:r w:rsidR="00052159" w:rsidRPr="00BD6508">
        <w:rPr>
          <w:rFonts w:ascii="Arial" w:hAnsi="Arial" w:cs="Arial"/>
          <w:sz w:val="24"/>
          <w:szCs w:val="24"/>
          <w:lang w:val="en-ZA"/>
        </w:rPr>
        <w:t>provides additional guidance on applying PEFA methodology at the sub national government level.</w:t>
      </w:r>
    </w:p>
    <w:p w14:paraId="742FF44C" w14:textId="77777777" w:rsidR="004B3CF0" w:rsidRDefault="004B3CF0">
      <w:pPr>
        <w:spacing w:after="160" w:line="259" w:lineRule="auto"/>
        <w:rPr>
          <w:rFonts w:ascii="Arial" w:hAnsi="Arial" w:cs="Arial"/>
          <w:sz w:val="24"/>
          <w:szCs w:val="24"/>
          <w:lang w:val="en-ZA"/>
        </w:rPr>
      </w:pPr>
      <w:r>
        <w:rPr>
          <w:rFonts w:ascii="Arial" w:hAnsi="Arial" w:cs="Arial"/>
          <w:sz w:val="24"/>
          <w:szCs w:val="24"/>
          <w:lang w:val="en-ZA"/>
        </w:rPr>
        <w:br w:type="page"/>
      </w:r>
    </w:p>
    <w:p w14:paraId="459BCFA2" w14:textId="08F4DC49" w:rsidR="000C2853" w:rsidRDefault="003A4A7E">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3717502" behindDoc="1" locked="0" layoutInCell="1" allowOverlap="1" wp14:anchorId="34B38B33" wp14:editId="2864CE45">
            <wp:simplePos x="0" y="0"/>
            <wp:positionH relativeFrom="column">
              <wp:posOffset>-455295</wp:posOffset>
            </wp:positionH>
            <wp:positionV relativeFrom="paragraph">
              <wp:posOffset>-808355</wp:posOffset>
            </wp:positionV>
            <wp:extent cx="7560000" cy="10685561"/>
            <wp:effectExtent l="0" t="0" r="0" b="0"/>
            <wp:wrapNone/>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Picture 2021"/>
                    <pic:cNvPicPr/>
                  </pic:nvPicPr>
                  <pic:blipFill>
                    <a:blip r:embed="rId834" cstate="email">
                      <a:extLst>
                        <a:ext uri="{28A0092B-C50C-407E-A947-70E740481C1C}">
                          <a14:useLocalDpi xmlns:a14="http://schemas.microsoft.com/office/drawing/2010/main"/>
                        </a:ext>
                      </a:extLst>
                    </a:blip>
                    <a:stretch>
                      <a:fillRect/>
                    </a:stretch>
                  </pic:blipFill>
                  <pic:spPr>
                    <a:xfrm>
                      <a:off x="0" y="0"/>
                      <a:ext cx="7560000" cy="10685561"/>
                    </a:xfrm>
                    <a:prstGeom prst="rect">
                      <a:avLst/>
                    </a:prstGeom>
                  </pic:spPr>
                </pic:pic>
              </a:graphicData>
            </a:graphic>
            <wp14:sizeRelH relativeFrom="page">
              <wp14:pctWidth>0</wp14:pctWidth>
            </wp14:sizeRelH>
            <wp14:sizeRelV relativeFrom="page">
              <wp14:pctHeight>0</wp14:pctHeight>
            </wp14:sizeRelV>
          </wp:anchor>
        </w:drawing>
      </w:r>
    </w:p>
    <w:p w14:paraId="6C699B26" w14:textId="2A71EF07" w:rsidR="00EE20C4" w:rsidRDefault="00EE20C4">
      <w:pPr>
        <w:spacing w:line="276" w:lineRule="auto"/>
        <w:jc w:val="both"/>
        <w:rPr>
          <w:rFonts w:ascii="Arial" w:hAnsi="Arial" w:cs="Arial"/>
          <w:sz w:val="24"/>
          <w:szCs w:val="24"/>
        </w:rPr>
      </w:pPr>
    </w:p>
    <w:p w14:paraId="6FEB9A82" w14:textId="3C936B8E" w:rsidR="00EE20C4" w:rsidRDefault="00EE20C4">
      <w:pPr>
        <w:spacing w:line="276" w:lineRule="auto"/>
        <w:jc w:val="both"/>
        <w:rPr>
          <w:rFonts w:ascii="Arial" w:hAnsi="Arial" w:cs="Arial"/>
          <w:sz w:val="24"/>
          <w:szCs w:val="24"/>
        </w:rPr>
      </w:pPr>
    </w:p>
    <w:p w14:paraId="7E920A03" w14:textId="439716B7" w:rsidR="00EE20C4" w:rsidRDefault="00EE20C4">
      <w:pPr>
        <w:spacing w:line="276" w:lineRule="auto"/>
        <w:jc w:val="both"/>
        <w:rPr>
          <w:rFonts w:ascii="Arial" w:hAnsi="Arial" w:cs="Arial"/>
          <w:sz w:val="24"/>
          <w:szCs w:val="24"/>
        </w:rPr>
      </w:pPr>
    </w:p>
    <w:p w14:paraId="164F4D9D" w14:textId="7B613F6C" w:rsidR="00EE20C4" w:rsidRDefault="00EE20C4">
      <w:pPr>
        <w:spacing w:line="276" w:lineRule="auto"/>
        <w:jc w:val="both"/>
        <w:rPr>
          <w:rFonts w:ascii="Arial" w:hAnsi="Arial" w:cs="Arial"/>
          <w:sz w:val="24"/>
          <w:szCs w:val="24"/>
        </w:rPr>
      </w:pPr>
    </w:p>
    <w:p w14:paraId="5CCB05B3" w14:textId="73A67A6B" w:rsidR="00EE20C4" w:rsidRDefault="00EE20C4">
      <w:pPr>
        <w:spacing w:line="276" w:lineRule="auto"/>
        <w:jc w:val="both"/>
        <w:rPr>
          <w:rFonts w:ascii="Arial" w:hAnsi="Arial" w:cs="Arial"/>
          <w:sz w:val="24"/>
          <w:szCs w:val="24"/>
        </w:rPr>
      </w:pPr>
    </w:p>
    <w:p w14:paraId="54B34545" w14:textId="7C753F34" w:rsidR="00EE20C4" w:rsidRDefault="00EE20C4">
      <w:pPr>
        <w:spacing w:line="276" w:lineRule="auto"/>
        <w:jc w:val="both"/>
        <w:rPr>
          <w:rFonts w:ascii="Arial" w:hAnsi="Arial" w:cs="Arial"/>
          <w:sz w:val="24"/>
          <w:szCs w:val="24"/>
        </w:rPr>
      </w:pPr>
    </w:p>
    <w:p w14:paraId="3906B79C" w14:textId="51BEB01E" w:rsidR="00EE20C4" w:rsidRDefault="00EE20C4">
      <w:pPr>
        <w:spacing w:line="276" w:lineRule="auto"/>
        <w:jc w:val="both"/>
        <w:rPr>
          <w:rFonts w:ascii="Arial" w:hAnsi="Arial" w:cs="Arial"/>
          <w:sz w:val="24"/>
          <w:szCs w:val="24"/>
        </w:rPr>
      </w:pPr>
    </w:p>
    <w:p w14:paraId="1B773D93" w14:textId="4881FF9A" w:rsidR="00EE20C4" w:rsidRDefault="00EE20C4">
      <w:pPr>
        <w:spacing w:line="276" w:lineRule="auto"/>
        <w:jc w:val="both"/>
        <w:rPr>
          <w:rFonts w:ascii="Arial" w:hAnsi="Arial" w:cs="Arial"/>
          <w:sz w:val="24"/>
          <w:szCs w:val="24"/>
        </w:rPr>
      </w:pPr>
    </w:p>
    <w:p w14:paraId="3E37908F" w14:textId="74B1A114" w:rsidR="00EE20C4" w:rsidRDefault="00EE20C4">
      <w:pPr>
        <w:spacing w:line="276" w:lineRule="auto"/>
        <w:jc w:val="both"/>
        <w:rPr>
          <w:rFonts w:ascii="Arial" w:hAnsi="Arial" w:cs="Arial"/>
          <w:sz w:val="24"/>
          <w:szCs w:val="24"/>
        </w:rPr>
      </w:pPr>
    </w:p>
    <w:p w14:paraId="5D7D6204" w14:textId="2E262712" w:rsidR="00EE20C4" w:rsidRDefault="00EE20C4">
      <w:pPr>
        <w:spacing w:line="276" w:lineRule="auto"/>
        <w:jc w:val="both"/>
        <w:rPr>
          <w:rFonts w:ascii="Arial" w:hAnsi="Arial" w:cs="Arial"/>
          <w:sz w:val="24"/>
          <w:szCs w:val="24"/>
        </w:rPr>
      </w:pPr>
    </w:p>
    <w:p w14:paraId="08B59B6F" w14:textId="3A18A626" w:rsidR="00EE20C4" w:rsidRDefault="00EE20C4">
      <w:pPr>
        <w:spacing w:line="276" w:lineRule="auto"/>
        <w:jc w:val="both"/>
        <w:rPr>
          <w:rFonts w:ascii="Arial" w:hAnsi="Arial" w:cs="Arial"/>
          <w:sz w:val="24"/>
          <w:szCs w:val="24"/>
        </w:rPr>
      </w:pPr>
    </w:p>
    <w:p w14:paraId="5EAADBD1" w14:textId="5BBFBCDD" w:rsidR="00EE20C4" w:rsidRDefault="00EE20C4">
      <w:pPr>
        <w:spacing w:line="276" w:lineRule="auto"/>
        <w:jc w:val="both"/>
        <w:rPr>
          <w:rFonts w:ascii="Arial" w:hAnsi="Arial" w:cs="Arial"/>
          <w:sz w:val="24"/>
          <w:szCs w:val="24"/>
        </w:rPr>
      </w:pPr>
    </w:p>
    <w:p w14:paraId="65BD3F40" w14:textId="283079B4" w:rsidR="00EE20C4" w:rsidRDefault="00EE20C4">
      <w:pPr>
        <w:spacing w:line="276" w:lineRule="auto"/>
        <w:jc w:val="both"/>
        <w:rPr>
          <w:rFonts w:ascii="Arial" w:hAnsi="Arial" w:cs="Arial"/>
          <w:sz w:val="24"/>
          <w:szCs w:val="24"/>
        </w:rPr>
      </w:pPr>
    </w:p>
    <w:p w14:paraId="66B9C71B" w14:textId="0018330D" w:rsidR="00EE20C4" w:rsidRDefault="00EE20C4">
      <w:pPr>
        <w:spacing w:line="276" w:lineRule="auto"/>
        <w:jc w:val="both"/>
        <w:rPr>
          <w:rFonts w:ascii="Arial" w:hAnsi="Arial" w:cs="Arial"/>
          <w:sz w:val="24"/>
          <w:szCs w:val="24"/>
        </w:rPr>
      </w:pPr>
    </w:p>
    <w:p w14:paraId="3B6B1DD7" w14:textId="176489B7" w:rsidR="00EE20C4" w:rsidRDefault="00EE20C4">
      <w:pPr>
        <w:spacing w:line="276" w:lineRule="auto"/>
        <w:jc w:val="both"/>
        <w:rPr>
          <w:rFonts w:ascii="Arial" w:hAnsi="Arial" w:cs="Arial"/>
          <w:sz w:val="24"/>
          <w:szCs w:val="24"/>
        </w:rPr>
      </w:pPr>
    </w:p>
    <w:p w14:paraId="0703F2F9" w14:textId="3D8CE47E" w:rsidR="00EE20C4" w:rsidRDefault="00EE20C4">
      <w:pPr>
        <w:spacing w:line="276" w:lineRule="auto"/>
        <w:jc w:val="both"/>
        <w:rPr>
          <w:rFonts w:ascii="Arial" w:hAnsi="Arial" w:cs="Arial"/>
          <w:sz w:val="24"/>
          <w:szCs w:val="24"/>
        </w:rPr>
      </w:pPr>
    </w:p>
    <w:p w14:paraId="61268BCA" w14:textId="1ECDB24E" w:rsidR="00EE20C4" w:rsidRDefault="00EE20C4">
      <w:pPr>
        <w:spacing w:line="276" w:lineRule="auto"/>
        <w:jc w:val="both"/>
        <w:rPr>
          <w:rFonts w:ascii="Arial" w:hAnsi="Arial" w:cs="Arial"/>
          <w:sz w:val="24"/>
          <w:szCs w:val="24"/>
        </w:rPr>
      </w:pPr>
    </w:p>
    <w:p w14:paraId="543E1FB8" w14:textId="6E53B753" w:rsidR="00EE20C4" w:rsidRDefault="00EE20C4">
      <w:pPr>
        <w:spacing w:line="276" w:lineRule="auto"/>
        <w:jc w:val="both"/>
        <w:rPr>
          <w:rFonts w:ascii="Arial" w:hAnsi="Arial" w:cs="Arial"/>
          <w:sz w:val="24"/>
          <w:szCs w:val="24"/>
        </w:rPr>
      </w:pPr>
    </w:p>
    <w:p w14:paraId="1CACD10F" w14:textId="2CDCE120" w:rsidR="00EE20C4" w:rsidRDefault="00EE20C4">
      <w:pPr>
        <w:spacing w:line="276" w:lineRule="auto"/>
        <w:jc w:val="both"/>
        <w:rPr>
          <w:rFonts w:ascii="Arial" w:hAnsi="Arial" w:cs="Arial"/>
          <w:sz w:val="24"/>
          <w:szCs w:val="24"/>
        </w:rPr>
      </w:pPr>
    </w:p>
    <w:p w14:paraId="30B556B4" w14:textId="37CBF535" w:rsidR="00EE20C4" w:rsidRDefault="00EE20C4">
      <w:pPr>
        <w:spacing w:line="276" w:lineRule="auto"/>
        <w:jc w:val="both"/>
        <w:rPr>
          <w:rFonts w:ascii="Arial" w:hAnsi="Arial" w:cs="Arial"/>
          <w:sz w:val="24"/>
          <w:szCs w:val="24"/>
        </w:rPr>
      </w:pPr>
    </w:p>
    <w:p w14:paraId="268AC67A" w14:textId="34ECF017" w:rsidR="00EE20C4" w:rsidRDefault="00EE20C4">
      <w:pPr>
        <w:spacing w:line="276" w:lineRule="auto"/>
        <w:jc w:val="both"/>
        <w:rPr>
          <w:rFonts w:ascii="Arial" w:hAnsi="Arial" w:cs="Arial"/>
          <w:sz w:val="24"/>
          <w:szCs w:val="24"/>
        </w:rPr>
      </w:pPr>
    </w:p>
    <w:p w14:paraId="00C37DEC" w14:textId="66C278DC" w:rsidR="00EE20C4" w:rsidRDefault="00EE20C4">
      <w:pPr>
        <w:spacing w:line="276" w:lineRule="auto"/>
        <w:jc w:val="both"/>
        <w:rPr>
          <w:rFonts w:ascii="Arial" w:hAnsi="Arial" w:cs="Arial"/>
          <w:sz w:val="24"/>
          <w:szCs w:val="24"/>
        </w:rPr>
      </w:pPr>
    </w:p>
    <w:p w14:paraId="4DA37D9E" w14:textId="1416F8B5" w:rsidR="00EE20C4" w:rsidRDefault="00EE20C4">
      <w:pPr>
        <w:spacing w:line="276" w:lineRule="auto"/>
        <w:jc w:val="both"/>
        <w:rPr>
          <w:rFonts w:ascii="Arial" w:hAnsi="Arial" w:cs="Arial"/>
          <w:sz w:val="24"/>
          <w:szCs w:val="24"/>
        </w:rPr>
      </w:pPr>
    </w:p>
    <w:p w14:paraId="504FF738" w14:textId="26CBF36A" w:rsidR="00EE20C4" w:rsidRDefault="00EE20C4">
      <w:pPr>
        <w:spacing w:line="276" w:lineRule="auto"/>
        <w:jc w:val="both"/>
        <w:rPr>
          <w:rFonts w:ascii="Arial" w:hAnsi="Arial" w:cs="Arial"/>
          <w:sz w:val="24"/>
          <w:szCs w:val="24"/>
        </w:rPr>
      </w:pPr>
    </w:p>
    <w:p w14:paraId="7945FBB3" w14:textId="0CD60C33" w:rsidR="00EE20C4" w:rsidRDefault="00EE20C4">
      <w:pPr>
        <w:spacing w:line="276" w:lineRule="auto"/>
        <w:jc w:val="both"/>
        <w:rPr>
          <w:rFonts w:ascii="Arial" w:hAnsi="Arial" w:cs="Arial"/>
          <w:sz w:val="24"/>
          <w:szCs w:val="24"/>
        </w:rPr>
      </w:pPr>
    </w:p>
    <w:p w14:paraId="0A9EB1E9" w14:textId="051BDFA9" w:rsidR="00EE20C4" w:rsidRDefault="00EE20C4">
      <w:pPr>
        <w:spacing w:line="276" w:lineRule="auto"/>
        <w:jc w:val="both"/>
        <w:rPr>
          <w:rFonts w:ascii="Arial" w:hAnsi="Arial" w:cs="Arial"/>
          <w:sz w:val="24"/>
          <w:szCs w:val="24"/>
        </w:rPr>
      </w:pPr>
    </w:p>
    <w:p w14:paraId="196009B9" w14:textId="1461C1F2" w:rsidR="00EE20C4" w:rsidRDefault="00EE20C4">
      <w:pPr>
        <w:spacing w:line="276" w:lineRule="auto"/>
        <w:jc w:val="both"/>
        <w:rPr>
          <w:rFonts w:ascii="Arial" w:hAnsi="Arial" w:cs="Arial"/>
          <w:sz w:val="24"/>
          <w:szCs w:val="24"/>
        </w:rPr>
      </w:pPr>
    </w:p>
    <w:p w14:paraId="055A1C30" w14:textId="6CF8048C" w:rsidR="00EE20C4" w:rsidRDefault="00EE20C4">
      <w:pPr>
        <w:spacing w:line="276" w:lineRule="auto"/>
        <w:jc w:val="both"/>
        <w:rPr>
          <w:rFonts w:ascii="Arial" w:hAnsi="Arial" w:cs="Arial"/>
          <w:sz w:val="24"/>
          <w:szCs w:val="24"/>
        </w:rPr>
      </w:pPr>
    </w:p>
    <w:p w14:paraId="01D36806" w14:textId="264A56B8" w:rsidR="00EE20C4" w:rsidRDefault="00EE20C4">
      <w:pPr>
        <w:spacing w:line="276" w:lineRule="auto"/>
        <w:jc w:val="both"/>
        <w:rPr>
          <w:rFonts w:ascii="Arial" w:hAnsi="Arial" w:cs="Arial"/>
          <w:sz w:val="24"/>
          <w:szCs w:val="24"/>
        </w:rPr>
      </w:pPr>
    </w:p>
    <w:p w14:paraId="0CED8E97" w14:textId="40851D56" w:rsidR="00EE20C4" w:rsidRDefault="0093174C">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50029" behindDoc="1" locked="0" layoutInCell="1" allowOverlap="1" wp14:anchorId="4DC34568" wp14:editId="0269C216">
                <wp:simplePos x="0" y="0"/>
                <wp:positionH relativeFrom="column">
                  <wp:posOffset>482600</wp:posOffset>
                </wp:positionH>
                <wp:positionV relativeFrom="paragraph">
                  <wp:posOffset>156210</wp:posOffset>
                </wp:positionV>
                <wp:extent cx="6337300" cy="1219200"/>
                <wp:effectExtent l="0" t="0" r="0" b="0"/>
                <wp:wrapNone/>
                <wp:docPr id="2180" name="Text Box 2180"/>
                <wp:cNvGraphicFramePr/>
                <a:graphic xmlns:a="http://schemas.openxmlformats.org/drawingml/2006/main">
                  <a:graphicData uri="http://schemas.microsoft.com/office/word/2010/wordprocessingShape">
                    <wps:wsp>
                      <wps:cNvSpPr txBox="1"/>
                      <wps:spPr>
                        <a:xfrm>
                          <a:off x="0" y="0"/>
                          <a:ext cx="6337300" cy="1219200"/>
                        </a:xfrm>
                        <a:prstGeom prst="rect">
                          <a:avLst/>
                        </a:prstGeom>
                        <a:noFill/>
                        <a:ln w="6350">
                          <a:noFill/>
                        </a:ln>
                      </wps:spPr>
                      <wps:txbx>
                        <w:txbxContent>
                          <w:p w14:paraId="0B5E3030" w14:textId="050DAD37" w:rsidR="00D15FD8" w:rsidRPr="00BD6508" w:rsidRDefault="00D15FD8" w:rsidP="00BD6508">
                            <w:pPr>
                              <w:pStyle w:val="Heading1"/>
                              <w:rPr>
                                <w:lang w:val="en-US"/>
                              </w:rPr>
                            </w:pPr>
                            <w:bookmarkStart w:id="1922" w:name="_Module_4:_Internal"/>
                            <w:bookmarkStart w:id="1923" w:name="_Toc123828224"/>
                            <w:bookmarkStart w:id="1924" w:name="_Toc123828434"/>
                            <w:bookmarkStart w:id="1925" w:name="_Toc123828630"/>
                            <w:bookmarkStart w:id="1926" w:name="_Toc123912657"/>
                            <w:bookmarkStart w:id="1927" w:name="_Toc123912916"/>
                            <w:bookmarkStart w:id="1928" w:name="_Toc123913143"/>
                            <w:bookmarkStart w:id="1929" w:name="_Toc123914091"/>
                            <w:bookmarkStart w:id="1930" w:name="_Toc125566706"/>
                            <w:bookmarkEnd w:id="1922"/>
                            <w:r>
                              <w:rPr>
                                <w:lang w:val="en-US"/>
                              </w:rPr>
                              <w:t>Module 4: Internal Systems and Digital Tools for Better Implementation</w:t>
                            </w:r>
                            <w:bookmarkEnd w:id="1923"/>
                            <w:bookmarkEnd w:id="1924"/>
                            <w:bookmarkEnd w:id="1925"/>
                            <w:bookmarkEnd w:id="1926"/>
                            <w:bookmarkEnd w:id="1927"/>
                            <w:bookmarkEnd w:id="1928"/>
                            <w:bookmarkEnd w:id="1929"/>
                            <w:bookmarkEnd w:id="19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C34568" id="Text Box 2180" o:spid="_x0000_s1475" type="#_x0000_t202" style="position:absolute;left:0;text-align:left;margin-left:38pt;margin-top:12.3pt;width:499pt;height:96pt;z-index:-2516664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" filled="f" stroked="f" strokeweight=".5pt">
                <v:textbox>
                  <w:txbxContent>
                    <w:p w14:paraId="0B5E3030" w14:textId="050DAD37" w:rsidR="00D15FD8" w:rsidRPr="00BD6508" w:rsidRDefault="00D15FD8" w:rsidP="00BD6508">
                      <w:pPr>
                        <w:pStyle w:val="Heading1"/>
                        <w:rPr>
                          <w:lang w:val="en-US"/>
                        </w:rPr>
                      </w:pPr>
                      <w:bookmarkStart w:id="1931" w:name="_Module_4:_Internal"/>
                      <w:bookmarkStart w:id="1932" w:name="_Toc123828224"/>
                      <w:bookmarkStart w:id="1933" w:name="_Toc123828434"/>
                      <w:bookmarkStart w:id="1934" w:name="_Toc123828630"/>
                      <w:bookmarkStart w:id="1935" w:name="_Toc123912657"/>
                      <w:bookmarkStart w:id="1936" w:name="_Toc123912916"/>
                      <w:bookmarkStart w:id="1937" w:name="_Toc123913143"/>
                      <w:bookmarkStart w:id="1938" w:name="_Toc123914091"/>
                      <w:bookmarkStart w:id="1939" w:name="_Toc125566706"/>
                      <w:bookmarkEnd w:id="1931"/>
                      <w:r>
                        <w:rPr>
                          <w:lang w:val="en-US"/>
                        </w:rPr>
                        <w:t>Module 4: Internal Systems and Digital Tools for Better Implementation</w:t>
                      </w:r>
                      <w:bookmarkEnd w:id="1932"/>
                      <w:bookmarkEnd w:id="1933"/>
                      <w:bookmarkEnd w:id="1934"/>
                      <w:bookmarkEnd w:id="1935"/>
                      <w:bookmarkEnd w:id="1936"/>
                      <w:bookmarkEnd w:id="1937"/>
                      <w:bookmarkEnd w:id="1938"/>
                      <w:bookmarkEnd w:id="1939"/>
                    </w:p>
                  </w:txbxContent>
                </v:textbox>
              </v:shape>
            </w:pict>
          </mc:Fallback>
        </mc:AlternateContent>
      </w:r>
    </w:p>
    <w:p w14:paraId="31511E93" w14:textId="100EC96B" w:rsidR="00EE20C4" w:rsidRDefault="00EE20C4">
      <w:pPr>
        <w:spacing w:line="276" w:lineRule="auto"/>
        <w:jc w:val="both"/>
        <w:rPr>
          <w:rFonts w:ascii="Arial" w:hAnsi="Arial" w:cs="Arial"/>
          <w:sz w:val="24"/>
          <w:szCs w:val="24"/>
        </w:rPr>
      </w:pPr>
    </w:p>
    <w:p w14:paraId="2251C372" w14:textId="35C3C162" w:rsidR="00EE20C4" w:rsidRDefault="00EE20C4">
      <w:pPr>
        <w:spacing w:line="276" w:lineRule="auto"/>
        <w:jc w:val="both"/>
        <w:rPr>
          <w:rFonts w:ascii="Arial" w:hAnsi="Arial" w:cs="Arial"/>
          <w:sz w:val="24"/>
          <w:szCs w:val="24"/>
        </w:rPr>
      </w:pPr>
    </w:p>
    <w:p w14:paraId="31DEA5B1" w14:textId="45875004" w:rsidR="00EE20C4" w:rsidRDefault="00EE20C4">
      <w:pPr>
        <w:spacing w:line="276" w:lineRule="auto"/>
        <w:jc w:val="both"/>
        <w:rPr>
          <w:rFonts w:ascii="Arial" w:hAnsi="Arial" w:cs="Arial"/>
          <w:sz w:val="24"/>
          <w:szCs w:val="24"/>
        </w:rPr>
      </w:pPr>
    </w:p>
    <w:p w14:paraId="731585B0" w14:textId="1BB6A1C8" w:rsidR="00EE20C4" w:rsidRDefault="00EE20C4">
      <w:pPr>
        <w:spacing w:line="276" w:lineRule="auto"/>
        <w:jc w:val="both"/>
        <w:rPr>
          <w:rFonts w:ascii="Arial" w:hAnsi="Arial" w:cs="Arial"/>
          <w:sz w:val="24"/>
          <w:szCs w:val="24"/>
        </w:rPr>
      </w:pPr>
    </w:p>
    <w:p w14:paraId="48693E69" w14:textId="088C2A4C" w:rsidR="00EE20C4" w:rsidRDefault="00EE20C4">
      <w:pPr>
        <w:spacing w:line="276" w:lineRule="auto"/>
        <w:jc w:val="both"/>
        <w:rPr>
          <w:rFonts w:ascii="Arial" w:hAnsi="Arial" w:cs="Arial"/>
          <w:sz w:val="24"/>
          <w:szCs w:val="24"/>
        </w:rPr>
      </w:pPr>
    </w:p>
    <w:p w14:paraId="043F6B85" w14:textId="100C92DA" w:rsidR="00EE20C4" w:rsidRDefault="00EE20C4">
      <w:pPr>
        <w:spacing w:line="276" w:lineRule="auto"/>
        <w:jc w:val="both"/>
        <w:rPr>
          <w:rFonts w:ascii="Arial" w:hAnsi="Arial" w:cs="Arial"/>
          <w:sz w:val="24"/>
          <w:szCs w:val="24"/>
        </w:rPr>
      </w:pPr>
    </w:p>
    <w:p w14:paraId="4D6A7E40" w14:textId="097A3AEA" w:rsidR="00EE20C4" w:rsidRDefault="00EE20C4">
      <w:pPr>
        <w:spacing w:line="276" w:lineRule="auto"/>
        <w:jc w:val="both"/>
        <w:rPr>
          <w:rFonts w:ascii="Arial" w:hAnsi="Arial" w:cs="Arial"/>
          <w:sz w:val="24"/>
          <w:szCs w:val="24"/>
        </w:rPr>
      </w:pPr>
    </w:p>
    <w:p w14:paraId="3132D86F" w14:textId="06A5E15C" w:rsidR="00EE20C4" w:rsidRDefault="00EE20C4">
      <w:pPr>
        <w:spacing w:line="276" w:lineRule="auto"/>
        <w:jc w:val="both"/>
        <w:rPr>
          <w:rFonts w:ascii="Arial" w:hAnsi="Arial" w:cs="Arial"/>
          <w:sz w:val="24"/>
          <w:szCs w:val="24"/>
        </w:rPr>
      </w:pPr>
    </w:p>
    <w:p w14:paraId="24C34164" w14:textId="71B0714B" w:rsidR="00EE20C4" w:rsidRDefault="00EE20C4">
      <w:pPr>
        <w:spacing w:line="276" w:lineRule="auto"/>
        <w:jc w:val="both"/>
        <w:rPr>
          <w:rFonts w:ascii="Arial" w:hAnsi="Arial" w:cs="Arial"/>
          <w:sz w:val="24"/>
          <w:szCs w:val="24"/>
        </w:rPr>
      </w:pPr>
    </w:p>
    <w:p w14:paraId="18F72D87" w14:textId="5D9A6171" w:rsidR="00EE20C4" w:rsidRDefault="00EE20C4">
      <w:pPr>
        <w:spacing w:line="276" w:lineRule="auto"/>
        <w:jc w:val="both"/>
        <w:rPr>
          <w:rFonts w:ascii="Arial" w:hAnsi="Arial" w:cs="Arial"/>
          <w:sz w:val="24"/>
          <w:szCs w:val="24"/>
        </w:rPr>
      </w:pPr>
    </w:p>
    <w:p w14:paraId="06991E3F" w14:textId="3B2A0378" w:rsidR="00EE20C4" w:rsidRDefault="00EE20C4">
      <w:pPr>
        <w:spacing w:line="276" w:lineRule="auto"/>
        <w:jc w:val="both"/>
        <w:rPr>
          <w:rFonts w:ascii="Arial" w:hAnsi="Arial" w:cs="Arial"/>
          <w:sz w:val="24"/>
          <w:szCs w:val="24"/>
        </w:rPr>
      </w:pPr>
    </w:p>
    <w:p w14:paraId="55D3EF5B" w14:textId="3E924AF4" w:rsidR="00EE20C4" w:rsidRDefault="00EE20C4">
      <w:pPr>
        <w:spacing w:line="276" w:lineRule="auto"/>
        <w:jc w:val="both"/>
        <w:rPr>
          <w:rFonts w:ascii="Arial" w:hAnsi="Arial" w:cs="Arial"/>
          <w:sz w:val="24"/>
          <w:szCs w:val="24"/>
        </w:rPr>
      </w:pPr>
    </w:p>
    <w:p w14:paraId="0D5244C4" w14:textId="2824C9AE" w:rsidR="00EE20C4" w:rsidRDefault="00EE20C4">
      <w:pPr>
        <w:spacing w:line="276" w:lineRule="auto"/>
        <w:jc w:val="both"/>
        <w:rPr>
          <w:rFonts w:ascii="Arial" w:hAnsi="Arial" w:cs="Arial"/>
          <w:sz w:val="24"/>
          <w:szCs w:val="24"/>
        </w:rPr>
      </w:pPr>
    </w:p>
    <w:p w14:paraId="2659CDB6" w14:textId="5E358D1E" w:rsidR="00EE20C4" w:rsidRDefault="00EE20C4">
      <w:pPr>
        <w:spacing w:line="276" w:lineRule="auto"/>
        <w:jc w:val="both"/>
        <w:rPr>
          <w:rFonts w:ascii="Arial" w:hAnsi="Arial" w:cs="Arial"/>
          <w:sz w:val="24"/>
          <w:szCs w:val="24"/>
        </w:rPr>
      </w:pPr>
    </w:p>
    <w:p w14:paraId="4773951C" w14:textId="382C2B83" w:rsidR="00EE20C4" w:rsidRDefault="00EE20C4">
      <w:pPr>
        <w:spacing w:line="276" w:lineRule="auto"/>
        <w:jc w:val="both"/>
        <w:rPr>
          <w:rFonts w:ascii="Arial" w:hAnsi="Arial" w:cs="Arial"/>
          <w:sz w:val="24"/>
          <w:szCs w:val="24"/>
        </w:rPr>
      </w:pPr>
    </w:p>
    <w:p w14:paraId="08BEAC64" w14:textId="03EEA9C0" w:rsidR="00C576E0" w:rsidRPr="00BD6508" w:rsidRDefault="00C576E0" w:rsidP="00C576E0">
      <w:pPr>
        <w:pStyle w:val="Heading1"/>
        <w:spacing w:after="120"/>
        <w:rPr>
          <w:rFonts w:ascii="Arial" w:hAnsi="Arial" w:cs="Arial"/>
          <w:b/>
          <w:bCs/>
          <w:color w:val="82C9A0"/>
          <w:sz w:val="44"/>
          <w:szCs w:val="44"/>
        </w:rPr>
      </w:pPr>
      <w:bookmarkStart w:id="1940" w:name="_Module_objectives_3"/>
      <w:bookmarkStart w:id="1941" w:name="_Toc123914092"/>
      <w:bookmarkStart w:id="1942" w:name="_Toc125566707"/>
      <w:bookmarkEnd w:id="1940"/>
      <w:r w:rsidRPr="00BD6508">
        <w:rPr>
          <w:rFonts w:ascii="Arial" w:hAnsi="Arial" w:cs="Arial"/>
          <w:b/>
          <w:bCs/>
          <w:color w:val="82C9A0"/>
          <w:sz w:val="44"/>
          <w:szCs w:val="44"/>
        </w:rPr>
        <w:lastRenderedPageBreak/>
        <w:t>Module objectives</w:t>
      </w:r>
      <w:bookmarkEnd w:id="1941"/>
      <w:bookmarkEnd w:id="1942"/>
    </w:p>
    <w:p w14:paraId="15E8364C" w14:textId="77777777" w:rsidR="00C576E0" w:rsidRPr="00BD6508" w:rsidRDefault="00C576E0" w:rsidP="00BD6508">
      <w:pPr>
        <w:pStyle w:val="NormalWeb"/>
        <w:shd w:val="clear" w:color="auto" w:fill="FFFFFF"/>
        <w:spacing w:before="120" w:after="120" w:line="276" w:lineRule="auto"/>
        <w:jc w:val="both"/>
        <w:rPr>
          <w:rFonts w:ascii="Arial" w:hAnsi="Arial" w:cs="Arial"/>
          <w:iCs/>
          <w:lang w:val="en-ZA"/>
        </w:rPr>
      </w:pPr>
      <w:r w:rsidRPr="00BD6508">
        <w:rPr>
          <w:rFonts w:ascii="Arial" w:hAnsi="Arial" w:cs="Arial"/>
          <w:iCs/>
          <w:lang w:val="en-US"/>
        </w:rPr>
        <w:t>In previous modules the need for the publication of quality fiscal information was explained. In this module, the systems where this information is typically generated, stored, and published, are examined in more detail to see how they can facilitate and lead to improved fiscal transparency</w:t>
      </w:r>
      <w:r w:rsidRPr="00BD6508">
        <w:rPr>
          <w:rFonts w:ascii="Arial" w:hAnsi="Arial" w:cs="Arial"/>
          <w:iCs/>
          <w:lang w:val="en-ZA"/>
        </w:rPr>
        <w:t>. Deficient systems typically hamper fiscal transparency.</w:t>
      </w:r>
    </w:p>
    <w:p w14:paraId="0453CB58" w14:textId="759AE9C5" w:rsidR="00C576E0" w:rsidRPr="00BD6508" w:rsidRDefault="00C576E0" w:rsidP="00BD6508">
      <w:pPr>
        <w:pStyle w:val="NormalWeb"/>
        <w:shd w:val="clear" w:color="auto" w:fill="FFFFFF"/>
        <w:spacing w:before="120" w:after="120" w:line="276" w:lineRule="auto"/>
        <w:jc w:val="both"/>
        <w:rPr>
          <w:rFonts w:ascii="Arial" w:hAnsi="Arial" w:cs="Arial"/>
          <w:iCs/>
          <w:lang w:val="en-ZA"/>
        </w:rPr>
      </w:pPr>
      <w:r w:rsidRPr="00BD6508">
        <w:rPr>
          <w:rFonts w:ascii="Arial" w:hAnsi="Arial" w:cs="Arial"/>
          <w:iCs/>
          <w:lang w:val="en-ZA"/>
        </w:rPr>
        <w:t>The module begins by discussing financial management information systems, including how they are defined; typically developed; what their purpose is; their role in fiscal transparency; as well as some of the common challenges countries face in developing and implementing them, providing key insights. This is followed by a discussion of open data characteristics, principles, and policies; and the various tools that have been developed over the years to assist governments in opening their data.</w:t>
      </w:r>
      <w:r w:rsidRPr="00BD6508">
        <w:rPr>
          <w:rFonts w:ascii="Arial" w:eastAsiaTheme="minorEastAsia" w:hAnsi="Arial" w:cs="Arial"/>
          <w:lang w:val="en-ZA" w:eastAsia="zh-CN"/>
        </w:rPr>
        <w:t xml:space="preserve"> T</w:t>
      </w:r>
      <w:r w:rsidRPr="00BD6508">
        <w:rPr>
          <w:rFonts w:ascii="Arial" w:hAnsi="Arial" w:cs="Arial"/>
          <w:iCs/>
          <w:lang w:val="en-ZA"/>
        </w:rPr>
        <w:t>he concept of user-</w:t>
      </w:r>
      <w:proofErr w:type="spellStart"/>
      <w:r w:rsidRPr="00BD6508">
        <w:rPr>
          <w:rFonts w:ascii="Arial" w:hAnsi="Arial" w:cs="Arial"/>
          <w:iCs/>
          <w:lang w:val="en-ZA"/>
        </w:rPr>
        <w:t>centered</w:t>
      </w:r>
      <w:proofErr w:type="spellEnd"/>
      <w:r w:rsidRPr="00BD6508">
        <w:rPr>
          <w:rFonts w:ascii="Arial" w:hAnsi="Arial" w:cs="Arial"/>
          <w:iCs/>
          <w:lang w:val="en-ZA"/>
        </w:rPr>
        <w:t xml:space="preserve"> development for information disclosure and publication is put forward, where the needs of data users– inside and outside of government– are placed at the top of the agenda. The module concludes by scanning studies on digital tools for fiscal transparency as well as field experiences. </w:t>
      </w:r>
    </w:p>
    <w:p w14:paraId="118E205A" w14:textId="0809F7D7" w:rsidR="00EE20C4" w:rsidRDefault="005C2C0B">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635679" behindDoc="1" locked="0" layoutInCell="1" allowOverlap="1" wp14:anchorId="42D8DC41" wp14:editId="77AB4AE2">
            <wp:simplePos x="0" y="0"/>
            <wp:positionH relativeFrom="column">
              <wp:posOffset>-50800</wp:posOffset>
            </wp:positionH>
            <wp:positionV relativeFrom="paragraph">
              <wp:posOffset>0</wp:posOffset>
            </wp:positionV>
            <wp:extent cx="6379210" cy="1422400"/>
            <wp:effectExtent l="0" t="0" r="0" b="0"/>
            <wp:wrapTight wrapText="bothSides">
              <wp:wrapPolygon edited="0">
                <wp:start x="1505" y="0"/>
                <wp:lineTo x="688" y="1736"/>
                <wp:lineTo x="774" y="3086"/>
                <wp:lineTo x="258" y="3471"/>
                <wp:lineTo x="258" y="5979"/>
                <wp:lineTo x="43" y="6171"/>
                <wp:lineTo x="0" y="13886"/>
                <wp:lineTo x="387" y="15429"/>
                <wp:lineTo x="559" y="18321"/>
                <wp:lineTo x="1204" y="18900"/>
                <wp:lineTo x="1505" y="20250"/>
                <wp:lineTo x="3182" y="20250"/>
                <wp:lineTo x="19394" y="19286"/>
                <wp:lineTo x="19437" y="18514"/>
                <wp:lineTo x="20211" y="15621"/>
                <wp:lineTo x="20211" y="15429"/>
                <wp:lineTo x="20469" y="12343"/>
                <wp:lineTo x="20512" y="9257"/>
                <wp:lineTo x="20340" y="6943"/>
                <wp:lineTo x="20297" y="6171"/>
                <wp:lineTo x="19824" y="3857"/>
                <wp:lineTo x="19609" y="3086"/>
                <wp:lineTo x="19695" y="964"/>
                <wp:lineTo x="17201" y="579"/>
                <wp:lineTo x="3182" y="0"/>
                <wp:lineTo x="1505" y="0"/>
              </wp:wrapPolygon>
            </wp:wrapTight>
            <wp:docPr id="2772" name="Picture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 name="Picture 2772"/>
                    <pic:cNvPicPr/>
                  </pic:nvPicPr>
                  <pic:blipFill rotWithShape="1">
                    <a:blip r:embed="rId835" cstate="screen">
                      <a:extLst>
                        <a:ext uri="{28A0092B-C50C-407E-A947-70E740481C1C}">
                          <a14:useLocalDpi xmlns:a14="http://schemas.microsoft.com/office/drawing/2010/main"/>
                        </a:ext>
                      </a:extLst>
                    </a:blip>
                    <a:srcRect/>
                    <a:stretch/>
                  </pic:blipFill>
                  <pic:spPr bwMode="auto">
                    <a:xfrm>
                      <a:off x="0" y="0"/>
                      <a:ext cx="6379210"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B7309A" w14:textId="27C8CA47" w:rsidR="00EE20C4" w:rsidRDefault="00C576E0">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20574" behindDoc="0" locked="0" layoutInCell="1" allowOverlap="1" wp14:anchorId="5B4223D4" wp14:editId="729AB6B1">
                <wp:simplePos x="0" y="0"/>
                <wp:positionH relativeFrom="column">
                  <wp:posOffset>1168400</wp:posOffset>
                </wp:positionH>
                <wp:positionV relativeFrom="paragraph">
                  <wp:posOffset>11430</wp:posOffset>
                </wp:positionV>
                <wp:extent cx="4559300" cy="863600"/>
                <wp:effectExtent l="0" t="0" r="0" b="0"/>
                <wp:wrapNone/>
                <wp:docPr id="2023" name="Text Box 2023"/>
                <wp:cNvGraphicFramePr/>
                <a:graphic xmlns:a="http://schemas.openxmlformats.org/drawingml/2006/main">
                  <a:graphicData uri="http://schemas.microsoft.com/office/word/2010/wordprocessingShape">
                    <wps:wsp>
                      <wps:cNvSpPr txBox="1"/>
                      <wps:spPr>
                        <a:xfrm>
                          <a:off x="0" y="0"/>
                          <a:ext cx="4559300" cy="863600"/>
                        </a:xfrm>
                        <a:prstGeom prst="rect">
                          <a:avLst/>
                        </a:prstGeom>
                        <a:noFill/>
                        <a:ln w="6350">
                          <a:noFill/>
                        </a:ln>
                      </wps:spPr>
                      <wps:txbx>
                        <w:txbxContent>
                          <w:p w14:paraId="15029925" w14:textId="5929C74D" w:rsidR="00D15FD8" w:rsidRPr="00C77BF8" w:rsidRDefault="00D15FD8" w:rsidP="00BD6508">
                            <w:pPr>
                              <w:pStyle w:val="Heading1"/>
                              <w:rPr>
                                <w:sz w:val="38"/>
                                <w:szCs w:val="38"/>
                                <w:lang w:val="en-US"/>
                              </w:rPr>
                            </w:pPr>
                            <w:bookmarkStart w:id="1943" w:name="_Information_systems_and"/>
                            <w:bookmarkStart w:id="1944" w:name="_Toc123828226"/>
                            <w:bookmarkStart w:id="1945" w:name="_Toc123828436"/>
                            <w:bookmarkStart w:id="1946" w:name="_Toc123828632"/>
                            <w:bookmarkStart w:id="1947" w:name="_Toc123912659"/>
                            <w:bookmarkStart w:id="1948" w:name="_Toc123912918"/>
                            <w:bookmarkStart w:id="1949" w:name="_Toc123913145"/>
                            <w:bookmarkStart w:id="1950" w:name="_Toc123914093"/>
                            <w:bookmarkStart w:id="1951" w:name="_Toc125566708"/>
                            <w:bookmarkEnd w:id="1943"/>
                            <w:r w:rsidRPr="00C77BF8">
                              <w:rPr>
                                <w:rFonts w:ascii="Arial" w:hAnsi="Arial" w:cs="Arial"/>
                                <w:b/>
                                <w:bCs/>
                                <w:color w:val="FFFFFF" w:themeColor="background1"/>
                                <w:sz w:val="38"/>
                                <w:szCs w:val="38"/>
                                <w:lang w:val="en-US"/>
                              </w:rPr>
                              <w:t>Information systems and digital tools for fiscal transparency</w:t>
                            </w:r>
                            <w:bookmarkEnd w:id="1944"/>
                            <w:bookmarkEnd w:id="1945"/>
                            <w:bookmarkEnd w:id="1946"/>
                            <w:bookmarkEnd w:id="1947"/>
                            <w:bookmarkEnd w:id="1948"/>
                            <w:bookmarkEnd w:id="1949"/>
                            <w:bookmarkEnd w:id="1950"/>
                            <w:bookmarkEnd w:id="195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223D4" id="Text Box 2023" o:spid="_x0000_s1476" type="#_x0000_t202" style="position:absolute;left:0;text-align:left;margin-left:92pt;margin-top:.9pt;width:359pt;height:68pt;z-index:253720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" filled="f" stroked="f" strokeweight=".5pt">
                <v:textbox>
                  <w:txbxContent>
                    <w:p w14:paraId="15029925" w14:textId="5929C74D" w:rsidR="00D15FD8" w:rsidRPr="00C77BF8" w:rsidRDefault="00D15FD8" w:rsidP="00BD6508">
                      <w:pPr>
                        <w:pStyle w:val="Heading1"/>
                        <w:rPr>
                          <w:sz w:val="38"/>
                          <w:szCs w:val="38"/>
                          <w:lang w:val="en-US"/>
                        </w:rPr>
                      </w:pPr>
                      <w:bookmarkStart w:id="1952" w:name="_Information_systems_and"/>
                      <w:bookmarkStart w:id="1953" w:name="_Toc123828226"/>
                      <w:bookmarkStart w:id="1954" w:name="_Toc123828436"/>
                      <w:bookmarkStart w:id="1955" w:name="_Toc123828632"/>
                      <w:bookmarkStart w:id="1956" w:name="_Toc123912659"/>
                      <w:bookmarkStart w:id="1957" w:name="_Toc123912918"/>
                      <w:bookmarkStart w:id="1958" w:name="_Toc123913145"/>
                      <w:bookmarkStart w:id="1959" w:name="_Toc123914093"/>
                      <w:bookmarkStart w:id="1960" w:name="_Toc125566708"/>
                      <w:bookmarkEnd w:id="1952"/>
                      <w:r w:rsidRPr="00C77BF8">
                        <w:rPr>
                          <w:rFonts w:ascii="Arial" w:hAnsi="Arial" w:cs="Arial"/>
                          <w:b/>
                          <w:bCs/>
                          <w:color w:val="FFFFFF" w:themeColor="background1"/>
                          <w:sz w:val="38"/>
                          <w:szCs w:val="38"/>
                          <w:lang w:val="en-US"/>
                        </w:rPr>
                        <w:t>Information systems and digital tools for fiscal transparency</w:t>
                      </w:r>
                      <w:bookmarkEnd w:id="1953"/>
                      <w:bookmarkEnd w:id="1954"/>
                      <w:bookmarkEnd w:id="1955"/>
                      <w:bookmarkEnd w:id="1956"/>
                      <w:bookmarkEnd w:id="1957"/>
                      <w:bookmarkEnd w:id="1958"/>
                      <w:bookmarkEnd w:id="1959"/>
                      <w:bookmarkEnd w:id="1960"/>
                    </w:p>
                  </w:txbxContent>
                </v:textbox>
              </v:shape>
            </w:pict>
          </mc:Fallback>
        </mc:AlternateContent>
      </w:r>
      <w:r>
        <w:rPr>
          <w:rFonts w:ascii="Arial" w:hAnsi="Arial" w:cs="Arial"/>
          <w:iCs/>
          <w:noProof/>
          <w:lang w:val="en-US"/>
        </w:rPr>
        <mc:AlternateContent>
          <mc:Choice Requires="wps">
            <w:drawing>
              <wp:anchor distT="0" distB="0" distL="114300" distR="114300" simplePos="0" relativeHeight="253721598" behindDoc="0" locked="0" layoutInCell="1" allowOverlap="1" wp14:anchorId="35EB5292" wp14:editId="2EEB0680">
                <wp:simplePos x="0" y="0"/>
                <wp:positionH relativeFrom="column">
                  <wp:posOffset>368300</wp:posOffset>
                </wp:positionH>
                <wp:positionV relativeFrom="paragraph">
                  <wp:posOffset>158750</wp:posOffset>
                </wp:positionV>
                <wp:extent cx="571500" cy="660400"/>
                <wp:effectExtent l="0" t="0" r="0" b="0"/>
                <wp:wrapNone/>
                <wp:docPr id="2024" name="Text Box 2024"/>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05E0BF04" w14:textId="65AD691D" w:rsidR="00D15FD8" w:rsidRPr="00653DDD" w:rsidRDefault="00D15FD8" w:rsidP="00C576E0">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5292" id="Text Box 2024" o:spid="_x0000_s1477" type="#_x0000_t202" style="position:absolute;left:0;text-align:left;margin-left:29pt;margin-top:12.5pt;width:45pt;height:52pt;z-index:253721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" filled="f" stroked="f" strokeweight=".5pt">
                <v:textbox>
                  <w:txbxContent>
                    <w:p w14:paraId="05E0BF04" w14:textId="65AD691D" w:rsidR="00D15FD8" w:rsidRPr="00653DDD" w:rsidRDefault="00D15FD8" w:rsidP="00C576E0">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p>
                  </w:txbxContent>
                </v:textbox>
              </v:shape>
            </w:pict>
          </mc:Fallback>
        </mc:AlternateContent>
      </w:r>
    </w:p>
    <w:p w14:paraId="025C9ABB" w14:textId="51D59036" w:rsidR="00EE20C4" w:rsidRPr="00BD6508" w:rsidRDefault="00EE20C4" w:rsidP="00BD6508">
      <w:pPr>
        <w:spacing w:line="276" w:lineRule="auto"/>
        <w:jc w:val="both"/>
        <w:rPr>
          <w:rFonts w:ascii="Arial" w:hAnsi="Arial" w:cs="Arial"/>
          <w:sz w:val="24"/>
          <w:szCs w:val="24"/>
        </w:rPr>
      </w:pPr>
    </w:p>
    <w:p w14:paraId="125D379A" w14:textId="4926BED1" w:rsidR="00726523" w:rsidRPr="00BD6508" w:rsidRDefault="00726523" w:rsidP="00BD6508">
      <w:pPr>
        <w:spacing w:line="276" w:lineRule="auto"/>
        <w:jc w:val="both"/>
        <w:rPr>
          <w:rFonts w:ascii="Arial" w:hAnsi="Arial" w:cs="Arial"/>
          <w:sz w:val="24"/>
          <w:szCs w:val="24"/>
        </w:rPr>
      </w:pPr>
    </w:p>
    <w:p w14:paraId="3550C340" w14:textId="77A77885" w:rsidR="00935C39" w:rsidRPr="00BD6508" w:rsidRDefault="00935C39" w:rsidP="00BD6508">
      <w:pPr>
        <w:spacing w:line="276" w:lineRule="auto"/>
        <w:jc w:val="both"/>
        <w:rPr>
          <w:rFonts w:ascii="Arial" w:hAnsi="Arial" w:cs="Arial"/>
          <w:sz w:val="24"/>
          <w:szCs w:val="24"/>
        </w:rPr>
      </w:pPr>
    </w:p>
    <w:p w14:paraId="137F6796" w14:textId="0AD48FA7" w:rsidR="0014654B" w:rsidRPr="00BD6508" w:rsidRDefault="0014654B" w:rsidP="00BD6508">
      <w:pPr>
        <w:spacing w:line="276" w:lineRule="auto"/>
        <w:jc w:val="both"/>
        <w:rPr>
          <w:rFonts w:ascii="Arial" w:hAnsi="Arial" w:cs="Arial"/>
          <w:sz w:val="24"/>
          <w:szCs w:val="24"/>
          <w:lang w:val="en-ZA"/>
        </w:rPr>
      </w:pPr>
    </w:p>
    <w:p w14:paraId="587E3CF7" w14:textId="5B744A55" w:rsidR="00616F01" w:rsidRDefault="00616F01">
      <w:pPr>
        <w:tabs>
          <w:tab w:val="left" w:pos="1866"/>
        </w:tabs>
        <w:spacing w:line="276" w:lineRule="auto"/>
        <w:rPr>
          <w:rFonts w:ascii="Arial" w:hAnsi="Arial" w:cs="Arial"/>
          <w:sz w:val="24"/>
          <w:szCs w:val="24"/>
        </w:rPr>
      </w:pPr>
    </w:p>
    <w:p w14:paraId="006D4504" w14:textId="62A8886A" w:rsidR="00C576E0" w:rsidRPr="00BD6508" w:rsidRDefault="00C576E0" w:rsidP="00BD6508">
      <w:pPr>
        <w:tabs>
          <w:tab w:val="left" w:pos="270"/>
          <w:tab w:val="left" w:pos="4050"/>
          <w:tab w:val="left" w:pos="5040"/>
          <w:tab w:val="left" w:pos="6300"/>
        </w:tabs>
        <w:spacing w:line="276" w:lineRule="auto"/>
        <w:jc w:val="both"/>
        <w:rPr>
          <w:rFonts w:ascii="Arial" w:hAnsi="Arial" w:cs="Arial"/>
          <w:sz w:val="24"/>
          <w:szCs w:val="24"/>
          <w:lang w:val="en-US"/>
        </w:rPr>
      </w:pPr>
      <w:r w:rsidRPr="00BD6508">
        <w:rPr>
          <w:rFonts w:ascii="Arial" w:hAnsi="Arial" w:cs="Arial"/>
          <w:sz w:val="24"/>
          <w:szCs w:val="24"/>
          <w:lang w:val="en-US"/>
        </w:rPr>
        <w:t>Data and information constitute the base to produce and publish the material required for fiscal transparency. Internal information systems and digitalization, as tools for gathering and structuring different reports, thus play an important role in facilitating and improving fiscal transparency.</w:t>
      </w:r>
    </w:p>
    <w:p w14:paraId="7AFD4EF1" w14:textId="09875539" w:rsidR="00C576E0" w:rsidRPr="00BD6508" w:rsidRDefault="00C576E0" w:rsidP="00BD6508">
      <w:pPr>
        <w:spacing w:line="276" w:lineRule="auto"/>
        <w:jc w:val="both"/>
        <w:rPr>
          <w:rFonts w:ascii="Arial" w:hAnsi="Arial" w:cs="Arial"/>
          <w:sz w:val="24"/>
          <w:szCs w:val="24"/>
          <w:lang w:val="en-US"/>
        </w:rPr>
      </w:pPr>
    </w:p>
    <w:p w14:paraId="62CA5EFF" w14:textId="27DD1212" w:rsidR="00C576E0" w:rsidRPr="00BD6508" w:rsidRDefault="00BA74A8"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22622" behindDoc="0" locked="0" layoutInCell="1" allowOverlap="1" wp14:anchorId="5D8911D7" wp14:editId="3D264314">
            <wp:simplePos x="0" y="0"/>
            <wp:positionH relativeFrom="column">
              <wp:posOffset>0</wp:posOffset>
            </wp:positionH>
            <wp:positionV relativeFrom="paragraph">
              <wp:posOffset>66040</wp:posOffset>
            </wp:positionV>
            <wp:extent cx="2311400" cy="2438400"/>
            <wp:effectExtent l="0" t="0" r="0" b="0"/>
            <wp:wrapSquare wrapText="bothSides"/>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Picture 2025"/>
                    <pic:cNvPicPr/>
                  </pic:nvPicPr>
                  <pic:blipFill rotWithShape="1">
                    <a:blip r:embed="rId836" cstate="email">
                      <a:extLst>
                        <a:ext uri="{28A0092B-C50C-407E-A947-70E740481C1C}">
                          <a14:useLocalDpi xmlns:a14="http://schemas.microsoft.com/office/drawing/2010/main"/>
                        </a:ext>
                      </a:extLst>
                    </a:blip>
                    <a:srcRect/>
                    <a:stretch/>
                  </pic:blipFill>
                  <pic:spPr bwMode="auto">
                    <a:xfrm>
                      <a:off x="0" y="0"/>
                      <a:ext cx="231140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6E0" w:rsidRPr="00BD6508">
        <w:rPr>
          <w:rFonts w:ascii="Arial" w:hAnsi="Arial" w:cs="Arial"/>
          <w:sz w:val="24"/>
          <w:szCs w:val="24"/>
          <w:lang w:val="en-US"/>
        </w:rPr>
        <w:t>Advances in information and communications technologies have revolutionized the role played by information</w:t>
      </w:r>
      <w:r w:rsidR="00C576E0" w:rsidRPr="00BD6508">
        <w:rPr>
          <w:rFonts w:ascii="Arial" w:hAnsi="Arial" w:cs="Arial"/>
          <w:sz w:val="24"/>
          <w:szCs w:val="24"/>
        </w:rPr>
        <w:t xml:space="preserve"> systems and digital tools in fiscal policies. </w:t>
      </w:r>
      <w:r w:rsidR="00C576E0" w:rsidRPr="00BD6508">
        <w:rPr>
          <w:rFonts w:ascii="Arial" w:hAnsi="Arial" w:cs="Arial"/>
          <w:sz w:val="24"/>
          <w:szCs w:val="24"/>
          <w:lang w:val="en-ZA"/>
        </w:rPr>
        <w:t xml:space="preserve">Fiscal information can be within everyone’s reach, as close as a portable smart device, with the accompanying benefits. </w:t>
      </w:r>
      <w:r w:rsidR="00C576E0" w:rsidRPr="00BD6508">
        <w:rPr>
          <w:rFonts w:ascii="Arial" w:hAnsi="Arial" w:cs="Arial"/>
          <w:sz w:val="24"/>
          <w:szCs w:val="24"/>
          <w:lang w:val="en-US"/>
        </w:rPr>
        <w:t>As stated by Gupta et al</w:t>
      </w:r>
      <w:r w:rsidR="00C576E0" w:rsidRPr="00BD6508">
        <w:rPr>
          <w:rFonts w:ascii="Arial" w:hAnsi="Arial" w:cs="Arial"/>
          <w:sz w:val="24"/>
          <w:szCs w:val="24"/>
          <w:vertAlign w:val="superscript"/>
          <w:lang w:val="en-US"/>
        </w:rPr>
        <w:footnoteReference w:id="55"/>
      </w:r>
      <w:r w:rsidR="00C576E0" w:rsidRPr="00BD6508">
        <w:rPr>
          <w:rFonts w:ascii="Arial" w:hAnsi="Arial" w:cs="Arial"/>
          <w:sz w:val="24"/>
          <w:szCs w:val="24"/>
          <w:lang w:val="en-US"/>
        </w:rPr>
        <w:t xml:space="preserve">, “the digital revolution holds vast potential to improve fiscal policy. By transforming the way countries collect, process, and act on information, digital technology can reshape the way governments design and implement their tax, spending and macro-fiscal policies.”  If technology is used in </w:t>
      </w:r>
      <w:r w:rsidR="00C576E0" w:rsidRPr="00BD6508">
        <w:rPr>
          <w:rFonts w:ascii="Arial" w:hAnsi="Arial" w:cs="Arial"/>
          <w:sz w:val="24"/>
          <w:szCs w:val="24"/>
          <w:lang w:val="en-ZA"/>
        </w:rPr>
        <w:t xml:space="preserve">a purposeful and results oriented manner, fiscal policy can be more efficient, transparent, equitable, and impactful; potentially improving lives the world over. For instance, governments can get access to better data for </w:t>
      </w:r>
      <w:proofErr w:type="gramStart"/>
      <w:r w:rsidR="00C576E0" w:rsidRPr="00BD6508">
        <w:rPr>
          <w:rFonts w:ascii="Arial" w:hAnsi="Arial" w:cs="Arial"/>
          <w:sz w:val="24"/>
          <w:szCs w:val="24"/>
          <w:lang w:val="en-ZA"/>
        </w:rPr>
        <w:t>evidence based</w:t>
      </w:r>
      <w:proofErr w:type="gramEnd"/>
      <w:r w:rsidR="00C576E0" w:rsidRPr="00BD6508">
        <w:rPr>
          <w:rFonts w:ascii="Arial" w:hAnsi="Arial" w:cs="Arial"/>
          <w:sz w:val="24"/>
          <w:szCs w:val="24"/>
          <w:lang w:val="en-ZA"/>
        </w:rPr>
        <w:t xml:space="preserve"> policy making; and the public can potentially access the same information public officials have, directly from the source. This can form a virtuous cycle, as the benefits of fiscal transparency are seen, the pressures to improve the quality of information and as such the underlying systems increase. </w:t>
      </w:r>
      <w:r w:rsidR="00C576E0" w:rsidRPr="00BD6508">
        <w:rPr>
          <w:rFonts w:ascii="Arial" w:hAnsi="Arial" w:cs="Arial"/>
          <w:sz w:val="24"/>
          <w:szCs w:val="24"/>
          <w:lang w:val="en-US"/>
        </w:rPr>
        <w:t xml:space="preserve">Digitalization allows for greater storage and tracking of </w:t>
      </w:r>
      <w:r w:rsidR="00C576E0" w:rsidRPr="00BD6508">
        <w:rPr>
          <w:rFonts w:ascii="Arial" w:hAnsi="Arial" w:cs="Arial"/>
          <w:sz w:val="24"/>
          <w:szCs w:val="24"/>
          <w:lang w:val="en-US"/>
        </w:rPr>
        <w:lastRenderedPageBreak/>
        <w:t xml:space="preserve">information through electronic records, the linking of data registries between different parts of government, and enhanced capabilities to handle and analyze large data sets, in short periods of time. Many countries are already finding that </w:t>
      </w:r>
      <w:r w:rsidR="00C576E0" w:rsidRPr="00BD6508">
        <w:rPr>
          <w:rFonts w:ascii="Arial" w:hAnsi="Arial" w:cs="Arial"/>
          <w:sz w:val="24"/>
          <w:szCs w:val="24"/>
          <w:lang w:val="en-ZA"/>
        </w:rPr>
        <w:t>with digitalization, it costs less to collect taxes, manage public finances, and deliver public services.</w:t>
      </w:r>
    </w:p>
    <w:p w14:paraId="08AB5427" w14:textId="77777777" w:rsidR="00C576E0" w:rsidRPr="00BD6508" w:rsidRDefault="00C576E0" w:rsidP="00BD6508">
      <w:pPr>
        <w:spacing w:line="276" w:lineRule="auto"/>
        <w:jc w:val="both"/>
        <w:rPr>
          <w:rFonts w:ascii="Arial" w:hAnsi="Arial" w:cs="Arial"/>
          <w:sz w:val="24"/>
          <w:szCs w:val="24"/>
        </w:rPr>
      </w:pPr>
    </w:p>
    <w:p w14:paraId="2FC804C8" w14:textId="77777777" w:rsidR="00C576E0" w:rsidRPr="00BD6508" w:rsidRDefault="00C576E0" w:rsidP="00BD6508">
      <w:pPr>
        <w:spacing w:line="276" w:lineRule="auto"/>
        <w:jc w:val="both"/>
        <w:rPr>
          <w:rFonts w:ascii="Arial" w:hAnsi="Arial" w:cs="Arial"/>
          <w:sz w:val="24"/>
          <w:szCs w:val="24"/>
        </w:rPr>
      </w:pPr>
      <w:r w:rsidRPr="00BD6508">
        <w:rPr>
          <w:rFonts w:ascii="Arial" w:hAnsi="Arial" w:cs="Arial"/>
          <w:sz w:val="24"/>
          <w:szCs w:val="24"/>
        </w:rPr>
        <w:t>Information systems have been developed and implemented in different ways across countries by using off-the shelf solutions, ad-hoc in-house development, outsourced development or mixed solutions. There are also different levels of integration within the public financial management functions in these systems.</w:t>
      </w:r>
      <w:r w:rsidRPr="00BD6508">
        <w:rPr>
          <w:rFonts w:ascii="Arial" w:hAnsi="Arial" w:cs="Arial"/>
          <w:sz w:val="24"/>
          <w:szCs w:val="24"/>
          <w:lang w:val="en-US"/>
        </w:rPr>
        <w:t xml:space="preserve"> It should also be noted, </w:t>
      </w:r>
      <w:r w:rsidRPr="00BD6508">
        <w:rPr>
          <w:rFonts w:ascii="Arial" w:hAnsi="Arial" w:cs="Arial"/>
          <w:sz w:val="24"/>
          <w:szCs w:val="24"/>
          <w:lang w:val="en-ZA"/>
        </w:rPr>
        <w:t>that traditionally these systems were not built to be open, or as potent as we now know they can be, but rather to comply with operational or legal mandates. </w:t>
      </w:r>
      <w:r w:rsidRPr="00BD6508">
        <w:rPr>
          <w:rFonts w:ascii="Arial" w:hAnsi="Arial" w:cs="Arial"/>
          <w:sz w:val="24"/>
          <w:szCs w:val="24"/>
          <w:lang w:val="en-US"/>
        </w:rPr>
        <w:t xml:space="preserve">There are, as such, efforts </w:t>
      </w:r>
      <w:r w:rsidRPr="00BD6508">
        <w:rPr>
          <w:rFonts w:ascii="Arial" w:hAnsi="Arial" w:cs="Arial"/>
          <w:sz w:val="24"/>
          <w:szCs w:val="24"/>
        </w:rPr>
        <w:t>to modernize and standardize Financial Management Information Systems (FMISs) in governments around the world. This is important for fiscal transparency as, amongst others, these systems aim to digitize public financial management processes and information, with governments creating a centralized and digital repository of data across the fiscal policy cycle.</w:t>
      </w:r>
    </w:p>
    <w:p w14:paraId="276C315E" w14:textId="6BB3599F" w:rsidR="00C576E0" w:rsidRPr="00BD6508" w:rsidRDefault="00C576E0" w:rsidP="00BD6508">
      <w:pPr>
        <w:spacing w:line="276" w:lineRule="auto"/>
        <w:jc w:val="both"/>
        <w:rPr>
          <w:rFonts w:ascii="Arial" w:hAnsi="Arial" w:cs="Arial"/>
          <w:sz w:val="24"/>
          <w:szCs w:val="24"/>
          <w:lang w:val="en-US"/>
        </w:rPr>
      </w:pPr>
    </w:p>
    <w:p w14:paraId="7CAEAC46" w14:textId="5A8223DE" w:rsidR="00C576E0" w:rsidRPr="00BD6508" w:rsidRDefault="0022187E"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23646" behindDoc="0" locked="0" layoutInCell="1" allowOverlap="1" wp14:anchorId="0B7B5A06" wp14:editId="411E565E">
            <wp:simplePos x="0" y="0"/>
            <wp:positionH relativeFrom="column">
              <wp:posOffset>3238500</wp:posOffset>
            </wp:positionH>
            <wp:positionV relativeFrom="paragraph">
              <wp:posOffset>1047115</wp:posOffset>
            </wp:positionV>
            <wp:extent cx="3364865" cy="2540000"/>
            <wp:effectExtent l="0" t="0" r="635" b="0"/>
            <wp:wrapSquare wrapText="bothSides"/>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Picture 2026"/>
                    <pic:cNvPicPr/>
                  </pic:nvPicPr>
                  <pic:blipFill rotWithShape="1">
                    <a:blip r:embed="rId837" cstate="email">
                      <a:extLst>
                        <a:ext uri="{28A0092B-C50C-407E-A947-70E740481C1C}">
                          <a14:useLocalDpi xmlns:a14="http://schemas.microsoft.com/office/drawing/2010/main"/>
                        </a:ext>
                      </a:extLst>
                    </a:blip>
                    <a:srcRect/>
                    <a:stretch/>
                  </pic:blipFill>
                  <pic:spPr bwMode="auto">
                    <a:xfrm>
                      <a:off x="0" y="0"/>
                      <a:ext cx="3364865" cy="25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6E0" w:rsidRPr="00BD6508">
        <w:rPr>
          <w:rFonts w:ascii="Arial" w:hAnsi="Arial" w:cs="Arial"/>
          <w:sz w:val="24"/>
          <w:szCs w:val="24"/>
        </w:rPr>
        <w:t xml:space="preserve">Based on the vast data made available by information systems, governments can use digital tools to disseminate more information, internally and externally, in different formats. Historically government institutions printed budget related documents. Interested members of the public would then have to request copies of these documents and/or visit a specific location to obtain them. Owing to this, the reach of these documents was significantly restricted. This then transcended to, in addition to physical copies of the documents being available, online versions of the budget documents also being posted on websites created and maintained by government institutions, typically in Portable Document Format (PDF). This expanded the reach of documents significantly. In many cases, online availability replaced physical distribution as the main way budget information was made available to the public. </w:t>
      </w:r>
      <w:r w:rsidR="00C576E0" w:rsidRPr="00BD6508">
        <w:rPr>
          <w:rFonts w:ascii="Arial" w:hAnsi="Arial" w:cs="Arial"/>
          <w:sz w:val="24"/>
          <w:szCs w:val="24"/>
          <w:lang w:val="en-US"/>
        </w:rPr>
        <w:t>PDF versions, however make it difficult for the different stakeholders in the fiscal ecosystem to use the information contained in them to conduct analyses. They are also static, providing information at certain points in time, not providing the real-time information that is often required to keep the Executive and the public continually informed in order to enable the public to participate and support decision making, implementation and monitoring during the fiscal policy cycle. Additionally, they typically don’t contain information at the granular level</w:t>
      </w:r>
      <w:r w:rsidR="00C576E0" w:rsidRPr="00BD6508">
        <w:rPr>
          <w:rFonts w:ascii="Arial" w:hAnsi="Arial" w:cs="Arial"/>
          <w:sz w:val="24"/>
          <w:szCs w:val="24"/>
          <w:vertAlign w:val="superscript"/>
        </w:rPr>
        <w:footnoteReference w:id="56"/>
      </w:r>
      <w:r w:rsidR="00C576E0" w:rsidRPr="00BD6508">
        <w:rPr>
          <w:rFonts w:ascii="Arial" w:hAnsi="Arial" w:cs="Arial"/>
          <w:sz w:val="24"/>
          <w:szCs w:val="24"/>
          <w:lang w:val="en-US"/>
        </w:rPr>
        <w:t xml:space="preserve"> often required to conduct detailed analyses.</w:t>
      </w:r>
    </w:p>
    <w:p w14:paraId="5414046C" w14:textId="77777777" w:rsidR="00C576E0" w:rsidRPr="00BD6508" w:rsidRDefault="00C576E0" w:rsidP="00BD6508">
      <w:pPr>
        <w:spacing w:line="276" w:lineRule="auto"/>
        <w:jc w:val="both"/>
        <w:rPr>
          <w:rFonts w:ascii="Arial" w:hAnsi="Arial" w:cs="Arial"/>
          <w:sz w:val="24"/>
          <w:szCs w:val="24"/>
        </w:rPr>
      </w:pPr>
    </w:p>
    <w:p w14:paraId="1EFA7AFA" w14:textId="491BCF47" w:rsidR="00C576E0" w:rsidRPr="00BD6508" w:rsidRDefault="00C576E0" w:rsidP="00BD6508">
      <w:pPr>
        <w:spacing w:line="276" w:lineRule="auto"/>
        <w:jc w:val="both"/>
        <w:rPr>
          <w:rFonts w:ascii="Arial" w:hAnsi="Arial" w:cs="Arial"/>
          <w:sz w:val="24"/>
          <w:szCs w:val="24"/>
        </w:rPr>
      </w:pPr>
      <w:r w:rsidRPr="00BD6508">
        <w:rPr>
          <w:rFonts w:ascii="Arial" w:hAnsi="Arial" w:cs="Arial"/>
          <w:sz w:val="24"/>
          <w:szCs w:val="24"/>
        </w:rPr>
        <w:t>For fiscal transparency, information technology innovations and digital tools have made it possible to collect, store, organize, share, and interpret/analyse data on a much greater scale, often allowing real-time open information, including granular information, to be made available in a timely and transparent manner to different stakeholders.</w:t>
      </w:r>
      <w:r w:rsidRPr="00BD6508">
        <w:rPr>
          <w:rFonts w:ascii="Arial" w:hAnsi="Arial" w:cs="Arial"/>
          <w:sz w:val="24"/>
          <w:szCs w:val="24"/>
          <w:lang w:val="en-US"/>
        </w:rPr>
        <w:t xml:space="preserve"> This is always crucial, particularly important in times </w:t>
      </w:r>
      <w:r w:rsidRPr="00BD6508">
        <w:rPr>
          <w:rFonts w:ascii="Arial" w:hAnsi="Arial" w:cs="Arial"/>
          <w:sz w:val="24"/>
          <w:szCs w:val="24"/>
          <w:lang w:val="en-US"/>
        </w:rPr>
        <w:lastRenderedPageBreak/>
        <w:t>of responses to emergencies/unanticipated occurrences. Governments have as such increasingly been using the digital space, for example by using websites and dedicated portals to disseminate fiscal information</w:t>
      </w:r>
      <w:r w:rsidRPr="00BD6508">
        <w:rPr>
          <w:rFonts w:ascii="Arial" w:hAnsi="Arial" w:cs="Arial"/>
          <w:sz w:val="24"/>
          <w:szCs w:val="24"/>
        </w:rPr>
        <w:t>. At</w:t>
      </w:r>
      <w:r w:rsidRPr="00BD6508">
        <w:rPr>
          <w:rFonts w:ascii="Arial" w:hAnsi="Arial" w:cs="Arial"/>
          <w:sz w:val="24"/>
          <w:szCs w:val="24"/>
          <w:lang w:val="en-ZA"/>
        </w:rPr>
        <w:t xml:space="preserve"> times, this has been in response to calls for modernization from key stakeholders in the fiscal ecosystem, including in fiscal transparency norms and standards, and from seeing the results derived from the implementation of such tools, including fiscal transparency enhancements and the accompanying benefits. </w:t>
      </w:r>
      <w:r w:rsidRPr="00BD6508">
        <w:rPr>
          <w:rFonts w:ascii="Arial" w:hAnsi="Arial" w:cs="Arial"/>
          <w:sz w:val="24"/>
          <w:szCs w:val="24"/>
        </w:rPr>
        <w:t xml:space="preserve">These portals typically provide comprehensive and </w:t>
      </w:r>
      <w:r w:rsidR="0022187E">
        <w:rPr>
          <w:rFonts w:ascii="Arial" w:hAnsi="Arial" w:cs="Arial"/>
          <w:noProof/>
          <w:sz w:val="24"/>
          <w:szCs w:val="24"/>
          <w:lang w:val="en-US"/>
        </w:rPr>
        <w:drawing>
          <wp:anchor distT="0" distB="0" distL="114300" distR="114300" simplePos="0" relativeHeight="253724670" behindDoc="0" locked="0" layoutInCell="1" allowOverlap="1" wp14:anchorId="2B79DFB1" wp14:editId="5AA78832">
            <wp:simplePos x="0" y="0"/>
            <wp:positionH relativeFrom="column">
              <wp:posOffset>5423047</wp:posOffset>
            </wp:positionH>
            <wp:positionV relativeFrom="paragraph">
              <wp:posOffset>1249680</wp:posOffset>
            </wp:positionV>
            <wp:extent cx="1143000" cy="1420678"/>
            <wp:effectExtent l="0" t="0" r="0" b="1905"/>
            <wp:wrapSquare wrapText="bothSides"/>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Picture 2027"/>
                    <pic:cNvPicPr/>
                  </pic:nvPicPr>
                  <pic:blipFill rotWithShape="1">
                    <a:blip r:embed="rId838" cstate="email">
                      <a:extLst>
                        <a:ext uri="{28A0092B-C50C-407E-A947-70E740481C1C}">
                          <a14:useLocalDpi xmlns:a14="http://schemas.microsoft.com/office/drawing/2010/main"/>
                        </a:ext>
                      </a:extLst>
                    </a:blip>
                    <a:srcRect/>
                    <a:stretch/>
                  </pic:blipFill>
                  <pic:spPr bwMode="auto">
                    <a:xfrm>
                      <a:off x="0" y="0"/>
                      <a:ext cx="1143000" cy="14206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508">
        <w:rPr>
          <w:rFonts w:ascii="Arial" w:hAnsi="Arial" w:cs="Arial"/>
          <w:sz w:val="24"/>
          <w:szCs w:val="24"/>
        </w:rPr>
        <w:t xml:space="preserve">up-to-date data in a variety of formats, allowing anybody to search and download regularly updated budget information. As such they have the potential to not only dramatically increase the public’s access to fiscal information, but also to significantly improve its usability and relevance to the various stakeholders. Publishing data online is made significantly easier if it is already compiled, standardized, and digitized. The global Open Data movement has assisted in this regard by developing standards and principles for online data and information disclosure. </w:t>
      </w:r>
    </w:p>
    <w:p w14:paraId="0A4C9733" w14:textId="437BCAC2" w:rsidR="00C576E0" w:rsidRPr="00BD6508" w:rsidRDefault="00C576E0" w:rsidP="00BD6508">
      <w:pPr>
        <w:spacing w:line="276" w:lineRule="auto"/>
        <w:jc w:val="both"/>
        <w:rPr>
          <w:rFonts w:ascii="Arial" w:hAnsi="Arial" w:cs="Arial"/>
          <w:sz w:val="24"/>
          <w:szCs w:val="24"/>
        </w:rPr>
      </w:pPr>
    </w:p>
    <w:p w14:paraId="375132DB" w14:textId="211A7975" w:rsidR="00C576E0" w:rsidRDefault="00C576E0" w:rsidP="00C576E0">
      <w:pPr>
        <w:spacing w:line="276" w:lineRule="auto"/>
        <w:jc w:val="both"/>
        <w:rPr>
          <w:rFonts w:ascii="Arial" w:hAnsi="Arial" w:cs="Arial"/>
          <w:sz w:val="24"/>
          <w:szCs w:val="24"/>
        </w:rPr>
      </w:pPr>
      <w:r w:rsidRPr="00BD6508">
        <w:rPr>
          <w:rFonts w:ascii="Arial" w:hAnsi="Arial" w:cs="Arial"/>
          <w:sz w:val="24"/>
          <w:szCs w:val="24"/>
        </w:rPr>
        <w:t>The next section builds on this introduction by examining financial management information systems more deeply, including their definition; how they are typically developed; their purpose, including their role in fiscal transparency; and common challenges faced in developing and implementing them. This is followed by a section dedicated to open data, discussing its definition, characteristics, principles, policies, as well as the tools available to assist governments in opening up their data. The importance of user-</w:t>
      </w:r>
      <w:proofErr w:type="spellStart"/>
      <w:r w:rsidRPr="00BD6508">
        <w:rPr>
          <w:rFonts w:ascii="Arial" w:hAnsi="Arial" w:cs="Arial"/>
          <w:sz w:val="24"/>
          <w:szCs w:val="24"/>
        </w:rPr>
        <w:t>centered</w:t>
      </w:r>
      <w:proofErr w:type="spellEnd"/>
      <w:r w:rsidRPr="00BD6508">
        <w:rPr>
          <w:rFonts w:ascii="Arial" w:hAnsi="Arial" w:cs="Arial"/>
          <w:sz w:val="24"/>
          <w:szCs w:val="24"/>
        </w:rPr>
        <w:t xml:space="preserve"> development for information publication is then examined, showing the importance of putting the needs of data users -inside and outside of government- at the top of the agenda. The module concludes by looking at further studies on digital tools for fiscal transparency as well as field examples.</w:t>
      </w:r>
    </w:p>
    <w:p w14:paraId="654CA16D" w14:textId="68A3FF10" w:rsidR="0022187E" w:rsidRDefault="00B62187" w:rsidP="00C576E0">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634654" behindDoc="1" locked="0" layoutInCell="1" allowOverlap="1" wp14:anchorId="13C39D69" wp14:editId="7C0625BE">
            <wp:simplePos x="0" y="0"/>
            <wp:positionH relativeFrom="column">
              <wp:posOffset>-12700</wp:posOffset>
            </wp:positionH>
            <wp:positionV relativeFrom="paragraph">
              <wp:posOffset>120650</wp:posOffset>
            </wp:positionV>
            <wp:extent cx="6379210" cy="1397000"/>
            <wp:effectExtent l="0" t="0" r="0" b="0"/>
            <wp:wrapTight wrapText="bothSides">
              <wp:wrapPolygon edited="0">
                <wp:start x="1505" y="589"/>
                <wp:lineTo x="688" y="2749"/>
                <wp:lineTo x="774" y="4124"/>
                <wp:lineTo x="258" y="4516"/>
                <wp:lineTo x="258" y="7069"/>
                <wp:lineTo x="43" y="7265"/>
                <wp:lineTo x="0" y="15120"/>
                <wp:lineTo x="387" y="16691"/>
                <wp:lineTo x="559" y="19636"/>
                <wp:lineTo x="1204" y="20225"/>
                <wp:lineTo x="1505" y="21404"/>
                <wp:lineTo x="3182" y="21404"/>
                <wp:lineTo x="19394" y="20618"/>
                <wp:lineTo x="19437" y="19833"/>
                <wp:lineTo x="20211" y="16887"/>
                <wp:lineTo x="20211" y="16691"/>
                <wp:lineTo x="20469" y="13549"/>
                <wp:lineTo x="20512" y="10407"/>
                <wp:lineTo x="20340" y="8051"/>
                <wp:lineTo x="20297" y="7265"/>
                <wp:lineTo x="19824" y="4909"/>
                <wp:lineTo x="19609" y="4124"/>
                <wp:lineTo x="19695" y="1964"/>
                <wp:lineTo x="17201" y="1571"/>
                <wp:lineTo x="3182" y="589"/>
                <wp:lineTo x="1505" y="589"/>
              </wp:wrapPolygon>
            </wp:wrapTight>
            <wp:docPr id="2773" name="Picture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 name="Picture 2773"/>
                    <pic:cNvPicPr/>
                  </pic:nvPicPr>
                  <pic:blipFill rotWithShape="1">
                    <a:blip r:embed="rId839" cstate="screen">
                      <a:extLst>
                        <a:ext uri="{28A0092B-C50C-407E-A947-70E740481C1C}">
                          <a14:useLocalDpi xmlns:a14="http://schemas.microsoft.com/office/drawing/2010/main"/>
                        </a:ext>
                      </a:extLst>
                    </a:blip>
                    <a:srcRect/>
                    <a:stretch/>
                  </pic:blipFill>
                  <pic:spPr bwMode="auto">
                    <a:xfrm>
                      <a:off x="0" y="0"/>
                      <a:ext cx="6379210" cy="139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2B6326" w14:textId="0F5BEB33" w:rsidR="0022187E" w:rsidRPr="00BD6508" w:rsidRDefault="0022187E" w:rsidP="00BD6508">
      <w:pPr>
        <w:spacing w:line="276" w:lineRule="auto"/>
        <w:jc w:val="both"/>
        <w:rPr>
          <w:rFonts w:ascii="Arial" w:hAnsi="Arial" w:cs="Arial"/>
          <w:sz w:val="24"/>
          <w:szCs w:val="24"/>
        </w:rPr>
      </w:pPr>
    </w:p>
    <w:p w14:paraId="081115FD" w14:textId="545AADF0" w:rsidR="00C576E0" w:rsidRDefault="00C77BF8" w:rsidP="00C576E0">
      <w:pPr>
        <w:tabs>
          <w:tab w:val="left" w:pos="1866"/>
        </w:tabs>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27742" behindDoc="0" locked="0" layoutInCell="1" allowOverlap="1" wp14:anchorId="3B574220" wp14:editId="79A0ECE3">
                <wp:simplePos x="0" y="0"/>
                <wp:positionH relativeFrom="column">
                  <wp:posOffset>1244600</wp:posOffset>
                </wp:positionH>
                <wp:positionV relativeFrom="paragraph">
                  <wp:posOffset>9525</wp:posOffset>
                </wp:positionV>
                <wp:extent cx="4495800" cy="787400"/>
                <wp:effectExtent l="0" t="0" r="0" b="0"/>
                <wp:wrapNone/>
                <wp:docPr id="2029" name="Text Box 2029"/>
                <wp:cNvGraphicFramePr/>
                <a:graphic xmlns:a="http://schemas.openxmlformats.org/drawingml/2006/main">
                  <a:graphicData uri="http://schemas.microsoft.com/office/word/2010/wordprocessingShape">
                    <wps:wsp>
                      <wps:cNvSpPr txBox="1"/>
                      <wps:spPr>
                        <a:xfrm>
                          <a:off x="0" y="0"/>
                          <a:ext cx="4495800" cy="787400"/>
                        </a:xfrm>
                        <a:prstGeom prst="rect">
                          <a:avLst/>
                        </a:prstGeom>
                        <a:noFill/>
                        <a:ln w="6350">
                          <a:noFill/>
                        </a:ln>
                      </wps:spPr>
                      <wps:txbx>
                        <w:txbxContent>
                          <w:p w14:paraId="6A94380D" w14:textId="76CE1D6C" w:rsidR="00D15FD8" w:rsidRPr="00C77BF8" w:rsidRDefault="00D15FD8" w:rsidP="00BD6508">
                            <w:pPr>
                              <w:pStyle w:val="Heading1"/>
                              <w:rPr>
                                <w:sz w:val="38"/>
                                <w:szCs w:val="38"/>
                                <w:lang w:val="en-US"/>
                              </w:rPr>
                            </w:pPr>
                            <w:bookmarkStart w:id="1961" w:name="_Financial_management_information"/>
                            <w:bookmarkStart w:id="1962" w:name="_Toc123217481"/>
                            <w:bookmarkStart w:id="1963" w:name="_Toc123828227"/>
                            <w:bookmarkStart w:id="1964" w:name="_Toc123828437"/>
                            <w:bookmarkStart w:id="1965" w:name="_Toc123828633"/>
                            <w:bookmarkStart w:id="1966" w:name="_Toc123912660"/>
                            <w:bookmarkStart w:id="1967" w:name="_Toc123912919"/>
                            <w:bookmarkStart w:id="1968" w:name="_Toc123913146"/>
                            <w:bookmarkStart w:id="1969" w:name="_Toc123914094"/>
                            <w:bookmarkStart w:id="1970" w:name="_Toc125566709"/>
                            <w:bookmarkEnd w:id="1961"/>
                            <w:r w:rsidRPr="00C77BF8">
                              <w:rPr>
                                <w:rFonts w:ascii="Arial" w:hAnsi="Arial" w:cs="Arial"/>
                                <w:b/>
                                <w:bCs/>
                                <w:color w:val="FFFFFF" w:themeColor="background1"/>
                                <w:sz w:val="38"/>
                                <w:szCs w:val="38"/>
                                <w:lang w:val="en-US"/>
                              </w:rPr>
                              <w:t>Financial management information systems (FMISs)</w:t>
                            </w:r>
                            <w:bookmarkEnd w:id="1962"/>
                            <w:bookmarkEnd w:id="1963"/>
                            <w:bookmarkEnd w:id="1964"/>
                            <w:bookmarkEnd w:id="1965"/>
                            <w:bookmarkEnd w:id="1966"/>
                            <w:bookmarkEnd w:id="1967"/>
                            <w:bookmarkEnd w:id="1968"/>
                            <w:bookmarkEnd w:id="1969"/>
                            <w:bookmarkEnd w:id="19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74220" id="Text Box 2029" o:spid="_x0000_s1478" type="#_x0000_t202" style="position:absolute;margin-left:98pt;margin-top:.75pt;width:354pt;height:62pt;z-index:253727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" filled="f" stroked="f" strokeweight=".5pt">
                <v:textbox>
                  <w:txbxContent>
                    <w:p w14:paraId="6A94380D" w14:textId="76CE1D6C" w:rsidR="00D15FD8" w:rsidRPr="00C77BF8" w:rsidRDefault="00D15FD8" w:rsidP="00BD6508">
                      <w:pPr>
                        <w:pStyle w:val="Heading1"/>
                        <w:rPr>
                          <w:sz w:val="38"/>
                          <w:szCs w:val="38"/>
                          <w:lang w:val="en-US"/>
                        </w:rPr>
                      </w:pPr>
                      <w:bookmarkStart w:id="1971" w:name="_Financial_management_information"/>
                      <w:bookmarkStart w:id="1972" w:name="_Toc123217481"/>
                      <w:bookmarkStart w:id="1973" w:name="_Toc123828227"/>
                      <w:bookmarkStart w:id="1974" w:name="_Toc123828437"/>
                      <w:bookmarkStart w:id="1975" w:name="_Toc123828633"/>
                      <w:bookmarkStart w:id="1976" w:name="_Toc123912660"/>
                      <w:bookmarkStart w:id="1977" w:name="_Toc123912919"/>
                      <w:bookmarkStart w:id="1978" w:name="_Toc123913146"/>
                      <w:bookmarkStart w:id="1979" w:name="_Toc123914094"/>
                      <w:bookmarkStart w:id="1980" w:name="_Toc125566709"/>
                      <w:bookmarkEnd w:id="1971"/>
                      <w:r w:rsidRPr="00C77BF8">
                        <w:rPr>
                          <w:rFonts w:ascii="Arial" w:hAnsi="Arial" w:cs="Arial"/>
                          <w:b/>
                          <w:bCs/>
                          <w:color w:val="FFFFFF" w:themeColor="background1"/>
                          <w:sz w:val="38"/>
                          <w:szCs w:val="38"/>
                          <w:lang w:val="en-US"/>
                        </w:rPr>
                        <w:t>Financial management information systems (FMISs)</w:t>
                      </w:r>
                      <w:bookmarkEnd w:id="1972"/>
                      <w:bookmarkEnd w:id="1973"/>
                      <w:bookmarkEnd w:id="1974"/>
                      <w:bookmarkEnd w:id="1975"/>
                      <w:bookmarkEnd w:id="1976"/>
                      <w:bookmarkEnd w:id="1977"/>
                      <w:bookmarkEnd w:id="1978"/>
                      <w:bookmarkEnd w:id="1979"/>
                      <w:bookmarkEnd w:id="1980"/>
                    </w:p>
                  </w:txbxContent>
                </v:textbox>
              </v:shape>
            </w:pict>
          </mc:Fallback>
        </mc:AlternateContent>
      </w:r>
      <w:r w:rsidR="00BC7356">
        <w:rPr>
          <w:rFonts w:ascii="Arial" w:hAnsi="Arial" w:cs="Arial"/>
          <w:iCs/>
          <w:noProof/>
          <w:lang w:val="en-US"/>
        </w:rPr>
        <mc:AlternateContent>
          <mc:Choice Requires="wps">
            <w:drawing>
              <wp:anchor distT="0" distB="0" distL="114300" distR="114300" simplePos="0" relativeHeight="253728766" behindDoc="0" locked="0" layoutInCell="1" allowOverlap="1" wp14:anchorId="50312AAD" wp14:editId="46CCA661">
                <wp:simplePos x="0" y="0"/>
                <wp:positionH relativeFrom="column">
                  <wp:posOffset>406400</wp:posOffset>
                </wp:positionH>
                <wp:positionV relativeFrom="paragraph">
                  <wp:posOffset>144145</wp:posOffset>
                </wp:positionV>
                <wp:extent cx="571500" cy="660400"/>
                <wp:effectExtent l="0" t="0" r="0" b="0"/>
                <wp:wrapNone/>
                <wp:docPr id="2030" name="Text Box 2030"/>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09091161" w14:textId="788135E2" w:rsidR="00D15FD8" w:rsidRPr="00653DDD" w:rsidRDefault="00D15FD8" w:rsidP="00BC7356">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2AAD" id="Text Box 2030" o:spid="_x0000_s1479" type="#_x0000_t202" style="position:absolute;margin-left:32pt;margin-top:11.35pt;width:45pt;height:52pt;z-index:253728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" filled="f" stroked="f" strokeweight=".5pt">
                <v:textbox>
                  <w:txbxContent>
                    <w:p w14:paraId="09091161" w14:textId="788135E2" w:rsidR="00D15FD8" w:rsidRPr="00653DDD" w:rsidRDefault="00D15FD8" w:rsidP="00BC7356">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2</w:t>
                      </w:r>
                    </w:p>
                  </w:txbxContent>
                </v:textbox>
              </v:shape>
            </w:pict>
          </mc:Fallback>
        </mc:AlternateContent>
      </w:r>
    </w:p>
    <w:p w14:paraId="2599D677" w14:textId="7D662C6F" w:rsidR="00BC7356" w:rsidRPr="00BC7356" w:rsidRDefault="00BC7356" w:rsidP="00BD6508">
      <w:pPr>
        <w:rPr>
          <w:rFonts w:ascii="Arial" w:hAnsi="Arial" w:cs="Arial"/>
          <w:sz w:val="24"/>
          <w:szCs w:val="24"/>
        </w:rPr>
      </w:pPr>
    </w:p>
    <w:p w14:paraId="42D4214B" w14:textId="75CDFA23" w:rsidR="00BC7356" w:rsidRPr="00BC7356" w:rsidRDefault="00BC7356" w:rsidP="00BD6508">
      <w:pPr>
        <w:rPr>
          <w:rFonts w:ascii="Arial" w:hAnsi="Arial" w:cs="Arial"/>
          <w:sz w:val="24"/>
          <w:szCs w:val="24"/>
        </w:rPr>
      </w:pPr>
    </w:p>
    <w:p w14:paraId="39E90461" w14:textId="3B59E072" w:rsidR="00BC7356" w:rsidRPr="00BC7356" w:rsidRDefault="00BC7356" w:rsidP="00BD6508">
      <w:pPr>
        <w:rPr>
          <w:rFonts w:ascii="Arial" w:hAnsi="Arial" w:cs="Arial"/>
          <w:sz w:val="24"/>
          <w:szCs w:val="24"/>
        </w:rPr>
      </w:pPr>
    </w:p>
    <w:p w14:paraId="02043BC7" w14:textId="3F5668AB" w:rsidR="00BC7356" w:rsidRPr="00BC7356" w:rsidRDefault="00BC7356" w:rsidP="00BD6508">
      <w:pPr>
        <w:rPr>
          <w:rFonts w:ascii="Arial" w:hAnsi="Arial" w:cs="Arial"/>
          <w:sz w:val="24"/>
          <w:szCs w:val="24"/>
        </w:rPr>
      </w:pPr>
    </w:p>
    <w:p w14:paraId="00B53858" w14:textId="78FFDA5C" w:rsidR="00BC7356" w:rsidRPr="00BC7356" w:rsidRDefault="00BC7356" w:rsidP="00BD6508">
      <w:pPr>
        <w:rPr>
          <w:rFonts w:ascii="Arial" w:hAnsi="Arial" w:cs="Arial"/>
          <w:sz w:val="24"/>
          <w:szCs w:val="24"/>
        </w:rPr>
      </w:pPr>
    </w:p>
    <w:p w14:paraId="6A73E61F" w14:textId="494B84D5" w:rsidR="00BC7356" w:rsidRPr="00BC7356" w:rsidRDefault="00BC7356" w:rsidP="00BD6508">
      <w:pPr>
        <w:rPr>
          <w:rFonts w:ascii="Arial" w:hAnsi="Arial" w:cs="Arial"/>
          <w:sz w:val="24"/>
          <w:szCs w:val="24"/>
        </w:rPr>
      </w:pPr>
    </w:p>
    <w:p w14:paraId="494AD1A5" w14:textId="1940897D" w:rsidR="00BC7356" w:rsidRDefault="00C77BF8" w:rsidP="00BC7356">
      <w:pPr>
        <w:tabs>
          <w:tab w:val="left" w:pos="332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31838" behindDoc="0" locked="0" layoutInCell="1" allowOverlap="1" wp14:anchorId="23DAF98A" wp14:editId="3B83FA9B">
                <wp:simplePos x="0" y="0"/>
                <wp:positionH relativeFrom="column">
                  <wp:posOffset>533400</wp:posOffset>
                </wp:positionH>
                <wp:positionV relativeFrom="paragraph">
                  <wp:posOffset>166370</wp:posOffset>
                </wp:positionV>
                <wp:extent cx="4381500" cy="469900"/>
                <wp:effectExtent l="0" t="0" r="0" b="0"/>
                <wp:wrapNone/>
                <wp:docPr id="2033" name="Text Box 2033"/>
                <wp:cNvGraphicFramePr/>
                <a:graphic xmlns:a="http://schemas.openxmlformats.org/drawingml/2006/main">
                  <a:graphicData uri="http://schemas.microsoft.com/office/word/2010/wordprocessingShape">
                    <wps:wsp>
                      <wps:cNvSpPr txBox="1"/>
                      <wps:spPr>
                        <a:xfrm>
                          <a:off x="0" y="0"/>
                          <a:ext cx="4381500" cy="469900"/>
                        </a:xfrm>
                        <a:prstGeom prst="rect">
                          <a:avLst/>
                        </a:prstGeom>
                        <a:noFill/>
                        <a:ln w="6350">
                          <a:noFill/>
                        </a:ln>
                      </wps:spPr>
                      <wps:txbx>
                        <w:txbxContent>
                          <w:p w14:paraId="08947995" w14:textId="1D137AA7" w:rsidR="00D15FD8" w:rsidRPr="00C77BF8" w:rsidRDefault="00D15FD8" w:rsidP="00BD6508">
                            <w:pPr>
                              <w:pStyle w:val="Heading2"/>
                              <w:numPr>
                                <w:ilvl w:val="1"/>
                                <w:numId w:val="115"/>
                              </w:numPr>
                              <w:ind w:left="426"/>
                              <w:rPr>
                                <w:rFonts w:ascii="Arial" w:hAnsi="Arial" w:cs="Arial"/>
                                <w:b/>
                                <w:bCs/>
                                <w:color w:val="F26D24"/>
                                <w:sz w:val="36"/>
                                <w:szCs w:val="36"/>
                              </w:rPr>
                            </w:pPr>
                            <w:bookmarkStart w:id="1981" w:name="_Toc57832252"/>
                            <w:bookmarkStart w:id="1982" w:name="_Toc123204531"/>
                            <w:bookmarkStart w:id="1983" w:name="_Toc123216642"/>
                            <w:bookmarkStart w:id="1984" w:name="_Toc123217482"/>
                            <w:bookmarkStart w:id="1985" w:name="_Toc123828228"/>
                            <w:bookmarkStart w:id="1986" w:name="_Toc123828438"/>
                            <w:bookmarkStart w:id="1987" w:name="_Toc123828634"/>
                            <w:bookmarkStart w:id="1988" w:name="_Toc123912661"/>
                            <w:bookmarkStart w:id="1989" w:name="_Toc123912920"/>
                            <w:bookmarkStart w:id="1990" w:name="_Toc123913147"/>
                            <w:bookmarkStart w:id="1991" w:name="_Toc123913438"/>
                            <w:bookmarkStart w:id="1992" w:name="_Toc123914095"/>
                            <w:bookmarkStart w:id="1993" w:name="_Toc125566710"/>
                            <w:r w:rsidRPr="00C77BF8">
                              <w:rPr>
                                <w:rFonts w:ascii="Arial" w:hAnsi="Arial" w:cs="Arial"/>
                                <w:b/>
                                <w:bCs/>
                                <w:color w:val="F26D24"/>
                                <w:sz w:val="36"/>
                                <w:szCs w:val="36"/>
                              </w:rPr>
                              <w:t>Defining FMISs</w:t>
                            </w:r>
                            <w:bookmarkEnd w:id="1981"/>
                            <w:bookmarkEnd w:id="1982"/>
                            <w:bookmarkEnd w:id="1983"/>
                            <w:bookmarkEnd w:id="1984"/>
                            <w:bookmarkEnd w:id="1985"/>
                            <w:bookmarkEnd w:id="1986"/>
                            <w:bookmarkEnd w:id="1987"/>
                            <w:bookmarkEnd w:id="1988"/>
                            <w:bookmarkEnd w:id="1989"/>
                            <w:bookmarkEnd w:id="1990"/>
                            <w:bookmarkEnd w:id="1991"/>
                            <w:bookmarkEnd w:id="1992"/>
                            <w:bookmarkEnd w:id="1993"/>
                          </w:p>
                          <w:p w14:paraId="3F3F073B" w14:textId="77777777" w:rsidR="00D15FD8" w:rsidRPr="00BD6508" w:rsidRDefault="00D15FD8" w:rsidP="00BD6508">
                            <w:pPr>
                              <w:pStyle w:val="Heading2"/>
                              <w:rPr>
                                <w:rFonts w:ascii="Arial" w:hAnsi="Arial" w:cs="Arial"/>
                                <w:b/>
                                <w:bCs/>
                                <w:color w:val="F26D24"/>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DAF98A" id="Text Box 2033" o:spid="_x0000_s1480" type="#_x0000_t202" style="position:absolute;margin-left:42pt;margin-top:13.1pt;width:345pt;height:37pt;z-index:2537318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" filled="f" stroked="f" strokeweight=".5pt">
                <v:textbox>
                  <w:txbxContent>
                    <w:p w14:paraId="08947995" w14:textId="1D137AA7" w:rsidR="00D15FD8" w:rsidRPr="00C77BF8" w:rsidRDefault="00D15FD8" w:rsidP="00BD6508">
                      <w:pPr>
                        <w:pStyle w:val="Heading2"/>
                        <w:numPr>
                          <w:ilvl w:val="1"/>
                          <w:numId w:val="115"/>
                        </w:numPr>
                        <w:ind w:left="426"/>
                        <w:rPr>
                          <w:rFonts w:ascii="Arial" w:hAnsi="Arial" w:cs="Arial"/>
                          <w:b/>
                          <w:bCs/>
                          <w:color w:val="F26D24"/>
                          <w:sz w:val="36"/>
                          <w:szCs w:val="36"/>
                        </w:rPr>
                      </w:pPr>
                      <w:bookmarkStart w:id="1994" w:name="_Toc57832252"/>
                      <w:bookmarkStart w:id="1995" w:name="_Toc123204531"/>
                      <w:bookmarkStart w:id="1996" w:name="_Toc123216642"/>
                      <w:bookmarkStart w:id="1997" w:name="_Toc123217482"/>
                      <w:bookmarkStart w:id="1998" w:name="_Toc123828228"/>
                      <w:bookmarkStart w:id="1999" w:name="_Toc123828438"/>
                      <w:bookmarkStart w:id="2000" w:name="_Toc123828634"/>
                      <w:bookmarkStart w:id="2001" w:name="_Toc123912661"/>
                      <w:bookmarkStart w:id="2002" w:name="_Toc123912920"/>
                      <w:bookmarkStart w:id="2003" w:name="_Toc123913147"/>
                      <w:bookmarkStart w:id="2004" w:name="_Toc123913438"/>
                      <w:bookmarkStart w:id="2005" w:name="_Toc123914095"/>
                      <w:bookmarkStart w:id="2006" w:name="_Toc125566710"/>
                      <w:r w:rsidRPr="00C77BF8">
                        <w:rPr>
                          <w:rFonts w:ascii="Arial" w:hAnsi="Arial" w:cs="Arial"/>
                          <w:b/>
                          <w:bCs/>
                          <w:color w:val="F26D24"/>
                          <w:sz w:val="36"/>
                          <w:szCs w:val="36"/>
                        </w:rPr>
                        <w:t>Defining FMISs</w:t>
                      </w:r>
                      <w:bookmarkEnd w:id="1994"/>
                      <w:bookmarkEnd w:id="1995"/>
                      <w:bookmarkEnd w:id="1996"/>
                      <w:bookmarkEnd w:id="1997"/>
                      <w:bookmarkEnd w:id="1998"/>
                      <w:bookmarkEnd w:id="1999"/>
                      <w:bookmarkEnd w:id="2000"/>
                      <w:bookmarkEnd w:id="2001"/>
                      <w:bookmarkEnd w:id="2002"/>
                      <w:bookmarkEnd w:id="2003"/>
                      <w:bookmarkEnd w:id="2004"/>
                      <w:bookmarkEnd w:id="2005"/>
                      <w:bookmarkEnd w:id="2006"/>
                    </w:p>
                    <w:p w14:paraId="3F3F073B" w14:textId="77777777" w:rsidR="00D15FD8" w:rsidRPr="00BD6508" w:rsidRDefault="00D15FD8" w:rsidP="00BD6508">
                      <w:pPr>
                        <w:pStyle w:val="Heading2"/>
                        <w:rPr>
                          <w:rFonts w:ascii="Arial" w:hAnsi="Arial" w:cs="Arial"/>
                          <w:b/>
                          <w:bCs/>
                          <w:color w:val="F26D24"/>
                          <w:sz w:val="32"/>
                          <w:szCs w:val="32"/>
                        </w:rPr>
                      </w:pPr>
                    </w:p>
                  </w:txbxContent>
                </v:textbox>
              </v:shape>
            </w:pict>
          </mc:Fallback>
        </mc:AlternateContent>
      </w:r>
      <w:r w:rsidR="0062696F">
        <w:rPr>
          <w:rFonts w:ascii="Arial" w:hAnsi="Arial" w:cs="Arial"/>
          <w:noProof/>
          <w:sz w:val="24"/>
          <w:szCs w:val="24"/>
          <w:lang w:val="en-US"/>
        </w:rPr>
        <w:drawing>
          <wp:anchor distT="0" distB="0" distL="114300" distR="114300" simplePos="0" relativeHeight="253730814" behindDoc="1" locked="0" layoutInCell="1" allowOverlap="1" wp14:anchorId="3ED93AA5" wp14:editId="0C4C02FA">
            <wp:simplePos x="0" y="0"/>
            <wp:positionH relativeFrom="column">
              <wp:posOffset>161290</wp:posOffset>
            </wp:positionH>
            <wp:positionV relativeFrom="paragraph">
              <wp:posOffset>179070</wp:posOffset>
            </wp:positionV>
            <wp:extent cx="359410" cy="359410"/>
            <wp:effectExtent l="0" t="0" r="0" b="0"/>
            <wp:wrapTight wrapText="bothSides">
              <wp:wrapPolygon edited="0">
                <wp:start x="6106" y="0"/>
                <wp:lineTo x="0" y="3053"/>
                <wp:lineTo x="0" y="18318"/>
                <wp:lineTo x="6106" y="20608"/>
                <wp:lineTo x="13739" y="20608"/>
                <wp:lineTo x="16028" y="20608"/>
                <wp:lineTo x="20608" y="15265"/>
                <wp:lineTo x="20608" y="6106"/>
                <wp:lineTo x="18318" y="2290"/>
                <wp:lineTo x="13739" y="0"/>
                <wp:lineTo x="6106" y="0"/>
              </wp:wrapPolygon>
            </wp:wrapTight>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Picture 2031"/>
                    <pic:cNvPicPr/>
                  </pic:nvPicPr>
                  <pic:blipFill rotWithShape="1">
                    <a:blip r:embed="rId840" cstate="email">
                      <a:extLst>
                        <a:ext uri="{28A0092B-C50C-407E-A947-70E740481C1C}">
                          <a14:useLocalDpi xmlns:a14="http://schemas.microsoft.com/office/drawing/2010/main"/>
                        </a:ext>
                      </a:extLst>
                    </a:blip>
                    <a:srcRect/>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696F">
        <w:rPr>
          <w:rFonts w:ascii="Arial" w:hAnsi="Arial" w:cs="Arial"/>
          <w:noProof/>
          <w:sz w:val="24"/>
          <w:szCs w:val="24"/>
          <w:lang w:val="en-US"/>
        </w:rPr>
        <mc:AlternateContent>
          <mc:Choice Requires="wps">
            <w:drawing>
              <wp:anchor distT="0" distB="0" distL="114300" distR="114300" simplePos="0" relativeHeight="253729790" behindDoc="1" locked="0" layoutInCell="1" allowOverlap="1" wp14:anchorId="2BE261D7" wp14:editId="421BFEDB">
                <wp:simplePos x="0" y="0"/>
                <wp:positionH relativeFrom="column">
                  <wp:posOffset>-12700</wp:posOffset>
                </wp:positionH>
                <wp:positionV relativeFrom="paragraph">
                  <wp:posOffset>64770</wp:posOffset>
                </wp:positionV>
                <wp:extent cx="5130800" cy="571500"/>
                <wp:effectExtent l="12700" t="12700" r="12700" b="12700"/>
                <wp:wrapNone/>
                <wp:docPr id="2032" name="Rounded Rectangle 2032"/>
                <wp:cNvGraphicFramePr/>
                <a:graphic xmlns:a="http://schemas.openxmlformats.org/drawingml/2006/main">
                  <a:graphicData uri="http://schemas.microsoft.com/office/word/2010/wordprocessingShape">
                    <wps:wsp>
                      <wps:cNvSpPr/>
                      <wps:spPr>
                        <a:xfrm>
                          <a:off x="0" y="0"/>
                          <a:ext cx="5130800" cy="5715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4097B004" id="Rounded Rectangle 2032" o:spid="_x0000_s1026" style="position:absolute;margin-left:-1pt;margin-top:5.1pt;width:404pt;height:45pt;z-index:-24958669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" filled="f" strokecolor="#82c9a0" strokeweight="2.25pt">
                <v:stroke joinstyle="miter"/>
              </v:roundrect>
            </w:pict>
          </mc:Fallback>
        </mc:AlternateContent>
      </w:r>
    </w:p>
    <w:p w14:paraId="4914D467" w14:textId="12B5D732" w:rsidR="0062696F" w:rsidRPr="0062696F" w:rsidRDefault="0062696F" w:rsidP="00BD6508">
      <w:pPr>
        <w:rPr>
          <w:rFonts w:ascii="Arial" w:hAnsi="Arial" w:cs="Arial"/>
          <w:sz w:val="24"/>
          <w:szCs w:val="24"/>
        </w:rPr>
      </w:pPr>
    </w:p>
    <w:p w14:paraId="14B892A9" w14:textId="559BAA49" w:rsidR="0062696F" w:rsidRPr="0062696F" w:rsidRDefault="0062696F" w:rsidP="00BD6508">
      <w:pPr>
        <w:rPr>
          <w:rFonts w:ascii="Arial" w:hAnsi="Arial" w:cs="Arial"/>
          <w:sz w:val="24"/>
          <w:szCs w:val="24"/>
        </w:rPr>
      </w:pPr>
    </w:p>
    <w:p w14:paraId="156B979B" w14:textId="3E5224E4" w:rsidR="0062696F" w:rsidRPr="0062696F" w:rsidRDefault="0062696F" w:rsidP="00BD6508">
      <w:pPr>
        <w:rPr>
          <w:rFonts w:ascii="Arial" w:hAnsi="Arial" w:cs="Arial"/>
          <w:sz w:val="24"/>
          <w:szCs w:val="24"/>
        </w:rPr>
      </w:pPr>
    </w:p>
    <w:p w14:paraId="381AD902" w14:textId="6DA2D603" w:rsidR="0062696F" w:rsidRDefault="0062696F" w:rsidP="0062696F">
      <w:pPr>
        <w:rPr>
          <w:rFonts w:ascii="Arial" w:hAnsi="Arial" w:cs="Arial"/>
          <w:sz w:val="24"/>
          <w:szCs w:val="24"/>
        </w:rPr>
      </w:pPr>
    </w:p>
    <w:p w14:paraId="4FC1DDE2" w14:textId="1CF26E05" w:rsidR="0062696F" w:rsidRPr="00BD6508" w:rsidRDefault="0062696F" w:rsidP="00BD6508">
      <w:pPr>
        <w:spacing w:line="276" w:lineRule="auto"/>
        <w:jc w:val="both"/>
        <w:rPr>
          <w:rFonts w:ascii="Arial" w:hAnsi="Arial" w:cs="Arial"/>
          <w:sz w:val="24"/>
          <w:szCs w:val="24"/>
        </w:rPr>
      </w:pPr>
      <w:r w:rsidRPr="00BD6508">
        <w:rPr>
          <w:rFonts w:ascii="Arial" w:hAnsi="Arial" w:cs="Arial"/>
          <w:sz w:val="24"/>
          <w:szCs w:val="24"/>
          <w:lang w:val="en-US"/>
        </w:rPr>
        <w:t xml:space="preserve">A financial management information system (FMIS) is a computerized financial management system that has components that support the executive’s </w:t>
      </w:r>
      <w:r w:rsidR="00EF3405">
        <w:rPr>
          <w:rFonts w:ascii="Arial" w:hAnsi="Arial" w:cs="Arial"/>
          <w:sz w:val="24"/>
          <w:szCs w:val="24"/>
          <w:lang w:val="en-US"/>
        </w:rPr>
        <w:t>public financial management</w:t>
      </w:r>
      <w:r w:rsidRPr="00BD6508">
        <w:rPr>
          <w:rFonts w:ascii="Arial" w:hAnsi="Arial" w:cs="Arial"/>
          <w:sz w:val="24"/>
          <w:szCs w:val="24"/>
          <w:lang w:val="en-US"/>
        </w:rPr>
        <w:t xml:space="preserve"> functions throughout the fiscal policy cycle. At their core, these systems provide a complete record of a government’s financial events and transactions</w:t>
      </w:r>
      <w:r w:rsidRPr="00BD6508">
        <w:rPr>
          <w:rFonts w:ascii="Arial" w:hAnsi="Arial" w:cs="Arial"/>
          <w:sz w:val="24"/>
          <w:szCs w:val="24"/>
        </w:rPr>
        <w:t xml:space="preserve">. </w:t>
      </w:r>
    </w:p>
    <w:p w14:paraId="5B6A01B0" w14:textId="45183860" w:rsidR="0062696F" w:rsidRPr="00BD6508" w:rsidRDefault="0062696F" w:rsidP="00BD6508">
      <w:pPr>
        <w:spacing w:line="276" w:lineRule="auto"/>
        <w:jc w:val="both"/>
        <w:rPr>
          <w:rFonts w:ascii="Arial" w:hAnsi="Arial" w:cs="Arial"/>
          <w:sz w:val="24"/>
          <w:szCs w:val="24"/>
        </w:rPr>
      </w:pPr>
    </w:p>
    <w:p w14:paraId="0CCFADEF" w14:textId="30319264" w:rsidR="0062696F" w:rsidRPr="00BD6508" w:rsidRDefault="0062696F" w:rsidP="00BD6508">
      <w:pPr>
        <w:spacing w:line="276" w:lineRule="auto"/>
        <w:jc w:val="both"/>
        <w:rPr>
          <w:rFonts w:ascii="Arial" w:hAnsi="Arial" w:cs="Arial"/>
          <w:sz w:val="24"/>
          <w:szCs w:val="24"/>
        </w:rPr>
      </w:pPr>
      <w:r w:rsidRPr="00BD6508">
        <w:rPr>
          <w:rFonts w:ascii="Arial" w:hAnsi="Arial" w:cs="Arial"/>
          <w:sz w:val="24"/>
          <w:szCs w:val="24"/>
          <w:lang w:val="en-US"/>
        </w:rPr>
        <w:t xml:space="preserve">As defined by </w:t>
      </w:r>
      <w:proofErr w:type="spellStart"/>
      <w:r w:rsidRPr="00BD6508">
        <w:rPr>
          <w:rFonts w:ascii="Arial" w:hAnsi="Arial" w:cs="Arial"/>
          <w:sz w:val="24"/>
          <w:szCs w:val="24"/>
          <w:lang w:val="en-US"/>
        </w:rPr>
        <w:t>Dener</w:t>
      </w:r>
      <w:proofErr w:type="spellEnd"/>
      <w:r w:rsidRPr="00BD6508">
        <w:rPr>
          <w:rFonts w:ascii="Arial" w:hAnsi="Arial" w:cs="Arial"/>
          <w:sz w:val="24"/>
          <w:szCs w:val="24"/>
          <w:lang w:val="en-US"/>
        </w:rPr>
        <w:t xml:space="preserve">, Watkins, and </w:t>
      </w:r>
      <w:proofErr w:type="spellStart"/>
      <w:r w:rsidRPr="00BD6508">
        <w:rPr>
          <w:rFonts w:ascii="Arial" w:hAnsi="Arial" w:cs="Arial"/>
          <w:sz w:val="24"/>
          <w:szCs w:val="24"/>
          <w:lang w:val="en-US"/>
        </w:rPr>
        <w:t>Dorotinsky</w:t>
      </w:r>
      <w:proofErr w:type="spellEnd"/>
      <w:r w:rsidRPr="00BD6508">
        <w:rPr>
          <w:rFonts w:ascii="Arial" w:hAnsi="Arial" w:cs="Arial"/>
          <w:sz w:val="24"/>
          <w:szCs w:val="24"/>
          <w:lang w:val="en-US"/>
        </w:rPr>
        <w:t xml:space="preserve"> (2011), it is a set of automation solutions that enable governments to plan, execute and monitor the budget, by assisting in the prioritization, execution and reporting of expenditures, as well as the custodianship and reporting of revenues. Accordingly, FMIS solutions can contribute to the efficiency and equity of government operations</w:t>
      </w:r>
      <w:r w:rsidRPr="00BD6508">
        <w:rPr>
          <w:rFonts w:ascii="Arial" w:hAnsi="Arial" w:cs="Arial"/>
          <w:sz w:val="24"/>
          <w:szCs w:val="24"/>
        </w:rPr>
        <w:t xml:space="preserve">. </w:t>
      </w:r>
    </w:p>
    <w:p w14:paraId="16505A02" w14:textId="78C9DFA4" w:rsidR="0062696F" w:rsidRPr="00BD6508" w:rsidRDefault="0062696F" w:rsidP="00BD6508">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3732862" behindDoc="0" locked="0" layoutInCell="1" allowOverlap="1" wp14:anchorId="408E03F7" wp14:editId="51BC3243">
            <wp:simplePos x="0" y="0"/>
            <wp:positionH relativeFrom="column">
              <wp:posOffset>-88900</wp:posOffset>
            </wp:positionH>
            <wp:positionV relativeFrom="paragraph">
              <wp:posOffset>55245</wp:posOffset>
            </wp:positionV>
            <wp:extent cx="1343025" cy="1155700"/>
            <wp:effectExtent l="0" t="0" r="3175" b="0"/>
            <wp:wrapSquare wrapText="bothSides"/>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Picture 2034"/>
                    <pic:cNvPicPr/>
                  </pic:nvPicPr>
                  <pic:blipFill rotWithShape="1">
                    <a:blip r:embed="rId841" cstate="email">
                      <a:extLst>
                        <a:ext uri="{28A0092B-C50C-407E-A947-70E740481C1C}">
                          <a14:useLocalDpi xmlns:a14="http://schemas.microsoft.com/office/drawing/2010/main"/>
                        </a:ext>
                      </a:extLst>
                    </a:blip>
                    <a:srcRect/>
                    <a:stretch/>
                  </pic:blipFill>
                  <pic:spPr bwMode="auto">
                    <a:xfrm>
                      <a:off x="0" y="0"/>
                      <a:ext cx="1343025" cy="115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9AA56" w14:textId="0E56B501" w:rsidR="0062696F" w:rsidRDefault="0062696F" w:rsidP="0062696F">
      <w:pPr>
        <w:spacing w:line="276" w:lineRule="auto"/>
        <w:jc w:val="both"/>
        <w:rPr>
          <w:rFonts w:ascii="Arial" w:hAnsi="Arial" w:cs="Arial"/>
          <w:sz w:val="24"/>
          <w:szCs w:val="24"/>
        </w:rPr>
      </w:pPr>
      <w:r w:rsidRPr="00BD6508">
        <w:rPr>
          <w:rFonts w:ascii="Arial" w:hAnsi="Arial" w:cs="Arial"/>
          <w:sz w:val="24"/>
          <w:szCs w:val="24"/>
        </w:rPr>
        <w:t>Whenever FMIS and other public financial management information systems (for example, payroll) share the same central database to record and report all daily financial transactions, offering reliable consolidated results for decision support, performance monitoring and web publishing, they can be referred to as an ‘integrated’ FMIS</w:t>
      </w:r>
      <w:r w:rsidRPr="00BD6508">
        <w:rPr>
          <w:rFonts w:ascii="Arial" w:hAnsi="Arial" w:cs="Arial"/>
          <w:sz w:val="24"/>
          <w:szCs w:val="24"/>
          <w:vertAlign w:val="superscript"/>
        </w:rPr>
        <w:footnoteReference w:id="57"/>
      </w:r>
      <w:r w:rsidRPr="00BD6508">
        <w:rPr>
          <w:rFonts w:ascii="Arial" w:hAnsi="Arial" w:cs="Arial"/>
          <w:sz w:val="24"/>
          <w:szCs w:val="24"/>
        </w:rPr>
        <w:t xml:space="preserve"> (or IFMIS). </w:t>
      </w:r>
    </w:p>
    <w:p w14:paraId="2F5A88AB" w14:textId="2B37CA42" w:rsidR="0062696F" w:rsidRDefault="0062696F" w:rsidP="0062696F">
      <w:pPr>
        <w:spacing w:line="276" w:lineRule="auto"/>
        <w:jc w:val="both"/>
        <w:rPr>
          <w:rFonts w:ascii="Arial" w:hAnsi="Arial" w:cs="Arial"/>
          <w:sz w:val="24"/>
          <w:szCs w:val="24"/>
        </w:rPr>
      </w:pPr>
    </w:p>
    <w:p w14:paraId="714102EF" w14:textId="7FCCCABE" w:rsidR="005F018B" w:rsidRPr="00BD6508" w:rsidRDefault="00CC40E0" w:rsidP="00BD6508">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36958" behindDoc="0" locked="0" layoutInCell="1" allowOverlap="1" wp14:anchorId="07BBC841" wp14:editId="1B95EA3C">
                <wp:simplePos x="0" y="0"/>
                <wp:positionH relativeFrom="column">
                  <wp:posOffset>495300</wp:posOffset>
                </wp:positionH>
                <wp:positionV relativeFrom="paragraph">
                  <wp:posOffset>193675</wp:posOffset>
                </wp:positionV>
                <wp:extent cx="4381500" cy="457200"/>
                <wp:effectExtent l="0" t="0" r="0" b="0"/>
                <wp:wrapNone/>
                <wp:docPr id="2036" name="Text Box 2036"/>
                <wp:cNvGraphicFramePr/>
                <a:graphic xmlns:a="http://schemas.openxmlformats.org/drawingml/2006/main">
                  <a:graphicData uri="http://schemas.microsoft.com/office/word/2010/wordprocessingShape">
                    <wps:wsp>
                      <wps:cNvSpPr txBox="1"/>
                      <wps:spPr>
                        <a:xfrm>
                          <a:off x="0" y="0"/>
                          <a:ext cx="4381500" cy="457200"/>
                        </a:xfrm>
                        <a:prstGeom prst="rect">
                          <a:avLst/>
                        </a:prstGeom>
                        <a:noFill/>
                        <a:ln w="6350">
                          <a:noFill/>
                        </a:ln>
                      </wps:spPr>
                      <wps:txbx>
                        <w:txbxContent>
                          <w:p w14:paraId="72750B1F" w14:textId="755C8EC2" w:rsidR="00D15FD8" w:rsidRPr="00C77BF8" w:rsidRDefault="00D15FD8" w:rsidP="00BD6508">
                            <w:pPr>
                              <w:pStyle w:val="Heading2"/>
                              <w:numPr>
                                <w:ilvl w:val="1"/>
                                <w:numId w:val="115"/>
                              </w:numPr>
                              <w:ind w:left="426"/>
                              <w:rPr>
                                <w:rFonts w:ascii="Arial" w:hAnsi="Arial" w:cs="Arial"/>
                                <w:b/>
                                <w:bCs/>
                                <w:color w:val="F26D24"/>
                                <w:sz w:val="36"/>
                                <w:szCs w:val="36"/>
                              </w:rPr>
                            </w:pPr>
                            <w:bookmarkStart w:id="2007" w:name="_Toc123204532"/>
                            <w:bookmarkStart w:id="2008" w:name="_Toc123216643"/>
                            <w:bookmarkStart w:id="2009" w:name="_Toc123217483"/>
                            <w:bookmarkStart w:id="2010" w:name="_Toc123828229"/>
                            <w:bookmarkStart w:id="2011" w:name="_Toc123828439"/>
                            <w:bookmarkStart w:id="2012" w:name="_Toc123828635"/>
                            <w:bookmarkStart w:id="2013" w:name="_Toc123912662"/>
                            <w:bookmarkStart w:id="2014" w:name="_Toc123912921"/>
                            <w:bookmarkStart w:id="2015" w:name="_Toc123913148"/>
                            <w:bookmarkStart w:id="2016" w:name="_Toc123913439"/>
                            <w:bookmarkStart w:id="2017" w:name="_Toc123914096"/>
                            <w:bookmarkStart w:id="2018" w:name="_Toc125566711"/>
                            <w:r w:rsidRPr="00C77BF8">
                              <w:rPr>
                                <w:rFonts w:ascii="Arial" w:hAnsi="Arial" w:cs="Arial"/>
                                <w:b/>
                                <w:bCs/>
                                <w:color w:val="F26D24"/>
                                <w:sz w:val="36"/>
                                <w:szCs w:val="36"/>
                              </w:rPr>
                              <w:t>Development of FMISs</w:t>
                            </w:r>
                            <w:bookmarkEnd w:id="2007"/>
                            <w:bookmarkEnd w:id="2008"/>
                            <w:bookmarkEnd w:id="2009"/>
                            <w:bookmarkEnd w:id="2010"/>
                            <w:bookmarkEnd w:id="2011"/>
                            <w:bookmarkEnd w:id="2012"/>
                            <w:bookmarkEnd w:id="2013"/>
                            <w:bookmarkEnd w:id="2014"/>
                            <w:bookmarkEnd w:id="2015"/>
                            <w:bookmarkEnd w:id="2016"/>
                            <w:bookmarkEnd w:id="2017"/>
                            <w:bookmarkEnd w:id="2018"/>
                          </w:p>
                          <w:p w14:paraId="0F388765" w14:textId="77777777" w:rsidR="00D15FD8" w:rsidRPr="00BD6508" w:rsidRDefault="00D15FD8" w:rsidP="00BD6508">
                            <w:pPr>
                              <w:pStyle w:val="Heading2"/>
                              <w:rPr>
                                <w:rFonts w:ascii="Arial" w:hAnsi="Arial" w:cs="Arial"/>
                                <w:b/>
                                <w:bCs/>
                                <w:color w:val="F26D24"/>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BBC841" id="Text Box 2036" o:spid="_x0000_s1481" type="#_x0000_t202" style="position:absolute;left:0;text-align:left;margin-left:39pt;margin-top:15.25pt;width:345pt;height:36pt;z-index:2537369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" filled="f" stroked="f" strokeweight=".5pt">
                <v:textbox>
                  <w:txbxContent>
                    <w:p w14:paraId="72750B1F" w14:textId="755C8EC2" w:rsidR="00D15FD8" w:rsidRPr="00C77BF8" w:rsidRDefault="00D15FD8" w:rsidP="00BD6508">
                      <w:pPr>
                        <w:pStyle w:val="Heading2"/>
                        <w:numPr>
                          <w:ilvl w:val="1"/>
                          <w:numId w:val="115"/>
                        </w:numPr>
                        <w:ind w:left="426"/>
                        <w:rPr>
                          <w:rFonts w:ascii="Arial" w:hAnsi="Arial" w:cs="Arial"/>
                          <w:b/>
                          <w:bCs/>
                          <w:color w:val="F26D24"/>
                          <w:sz w:val="36"/>
                          <w:szCs w:val="36"/>
                        </w:rPr>
                      </w:pPr>
                      <w:bookmarkStart w:id="2019" w:name="_Toc123204532"/>
                      <w:bookmarkStart w:id="2020" w:name="_Toc123216643"/>
                      <w:bookmarkStart w:id="2021" w:name="_Toc123217483"/>
                      <w:bookmarkStart w:id="2022" w:name="_Toc123828229"/>
                      <w:bookmarkStart w:id="2023" w:name="_Toc123828439"/>
                      <w:bookmarkStart w:id="2024" w:name="_Toc123828635"/>
                      <w:bookmarkStart w:id="2025" w:name="_Toc123912662"/>
                      <w:bookmarkStart w:id="2026" w:name="_Toc123912921"/>
                      <w:bookmarkStart w:id="2027" w:name="_Toc123913148"/>
                      <w:bookmarkStart w:id="2028" w:name="_Toc123913439"/>
                      <w:bookmarkStart w:id="2029" w:name="_Toc123914096"/>
                      <w:bookmarkStart w:id="2030" w:name="_Toc125566711"/>
                      <w:r w:rsidRPr="00C77BF8">
                        <w:rPr>
                          <w:rFonts w:ascii="Arial" w:hAnsi="Arial" w:cs="Arial"/>
                          <w:b/>
                          <w:bCs/>
                          <w:color w:val="F26D24"/>
                          <w:sz w:val="36"/>
                          <w:szCs w:val="36"/>
                        </w:rPr>
                        <w:t>Development of FMISs</w:t>
                      </w:r>
                      <w:bookmarkEnd w:id="2019"/>
                      <w:bookmarkEnd w:id="2020"/>
                      <w:bookmarkEnd w:id="2021"/>
                      <w:bookmarkEnd w:id="2022"/>
                      <w:bookmarkEnd w:id="2023"/>
                      <w:bookmarkEnd w:id="2024"/>
                      <w:bookmarkEnd w:id="2025"/>
                      <w:bookmarkEnd w:id="2026"/>
                      <w:bookmarkEnd w:id="2027"/>
                      <w:bookmarkEnd w:id="2028"/>
                      <w:bookmarkEnd w:id="2029"/>
                      <w:bookmarkEnd w:id="2030"/>
                    </w:p>
                    <w:p w14:paraId="0F388765" w14:textId="77777777" w:rsidR="00D15FD8" w:rsidRPr="00BD6508" w:rsidRDefault="00D15FD8" w:rsidP="00BD6508">
                      <w:pPr>
                        <w:pStyle w:val="Heading2"/>
                        <w:rPr>
                          <w:rFonts w:ascii="Arial" w:hAnsi="Arial" w:cs="Arial"/>
                          <w:b/>
                          <w:bCs/>
                          <w:color w:val="F26D24"/>
                          <w:sz w:val="32"/>
                          <w:szCs w:val="32"/>
                        </w:rPr>
                      </w:pP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734910" behindDoc="1" locked="0" layoutInCell="1" allowOverlap="1" wp14:anchorId="73774524" wp14:editId="58758F4C">
                <wp:simplePos x="0" y="0"/>
                <wp:positionH relativeFrom="column">
                  <wp:posOffset>-88900</wp:posOffset>
                </wp:positionH>
                <wp:positionV relativeFrom="paragraph">
                  <wp:posOffset>92075</wp:posOffset>
                </wp:positionV>
                <wp:extent cx="5130800" cy="571500"/>
                <wp:effectExtent l="12700" t="12700" r="12700" b="12700"/>
                <wp:wrapNone/>
                <wp:docPr id="2035" name="Rounded Rectangle 2035"/>
                <wp:cNvGraphicFramePr/>
                <a:graphic xmlns:a="http://schemas.openxmlformats.org/drawingml/2006/main">
                  <a:graphicData uri="http://schemas.microsoft.com/office/word/2010/wordprocessingShape">
                    <wps:wsp>
                      <wps:cNvSpPr/>
                      <wps:spPr>
                        <a:xfrm>
                          <a:off x="0" y="0"/>
                          <a:ext cx="5130800" cy="5715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54ECA988" id="Rounded Rectangle 2035" o:spid="_x0000_s1026" style="position:absolute;margin-left:-7pt;margin-top:7.25pt;width:404pt;height:45pt;z-index:-24958157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" filled="f" strokecolor="#82c9a0" strokeweight="2.25pt">
                <v:stroke joinstyle="miter"/>
              </v:roundrect>
            </w:pict>
          </mc:Fallback>
        </mc:AlternateContent>
      </w:r>
      <w:r>
        <w:rPr>
          <w:rFonts w:ascii="Arial" w:hAnsi="Arial" w:cs="Arial"/>
          <w:noProof/>
          <w:sz w:val="24"/>
          <w:szCs w:val="24"/>
          <w:lang w:val="en-US"/>
        </w:rPr>
        <w:drawing>
          <wp:anchor distT="0" distB="0" distL="114300" distR="114300" simplePos="0" relativeHeight="253735934" behindDoc="1" locked="0" layoutInCell="1" allowOverlap="1" wp14:anchorId="591BEAC9" wp14:editId="78651222">
            <wp:simplePos x="0" y="0"/>
            <wp:positionH relativeFrom="column">
              <wp:posOffset>132080</wp:posOffset>
            </wp:positionH>
            <wp:positionV relativeFrom="paragraph">
              <wp:posOffset>206375</wp:posOffset>
            </wp:positionV>
            <wp:extent cx="359410" cy="359410"/>
            <wp:effectExtent l="0" t="0" r="0" b="0"/>
            <wp:wrapTight wrapText="bothSides">
              <wp:wrapPolygon edited="0">
                <wp:start x="6106" y="0"/>
                <wp:lineTo x="0" y="3053"/>
                <wp:lineTo x="0" y="18318"/>
                <wp:lineTo x="6106" y="20608"/>
                <wp:lineTo x="13739" y="20608"/>
                <wp:lineTo x="20608" y="17555"/>
                <wp:lineTo x="20608" y="3053"/>
                <wp:lineTo x="13739" y="0"/>
                <wp:lineTo x="6106" y="0"/>
              </wp:wrapPolygon>
            </wp:wrapTight>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Picture 2031"/>
                    <pic:cNvPicPr/>
                  </pic:nvPicPr>
                  <pic:blipFill rotWithShape="1">
                    <a:blip r:embed="rId840" cstate="email">
                      <a:extLst>
                        <a:ext uri="{28A0092B-C50C-407E-A947-70E740481C1C}">
                          <a14:useLocalDpi xmlns:a14="http://schemas.microsoft.com/office/drawing/2010/main"/>
                        </a:ext>
                      </a:extLst>
                    </a:blip>
                    <a:srcRect/>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F0F135" w14:textId="5DE0DF0A" w:rsidR="0062696F" w:rsidRDefault="0062696F" w:rsidP="0062696F">
      <w:pPr>
        <w:spacing w:line="276" w:lineRule="auto"/>
        <w:rPr>
          <w:rFonts w:ascii="Arial" w:hAnsi="Arial" w:cs="Arial"/>
          <w:sz w:val="24"/>
          <w:szCs w:val="24"/>
        </w:rPr>
      </w:pPr>
    </w:p>
    <w:p w14:paraId="16D9702E" w14:textId="2EDABE88" w:rsidR="005F018B" w:rsidRPr="005F018B" w:rsidRDefault="005F018B" w:rsidP="00BD6508">
      <w:pPr>
        <w:rPr>
          <w:rFonts w:ascii="Arial" w:hAnsi="Arial" w:cs="Arial"/>
          <w:sz w:val="24"/>
          <w:szCs w:val="24"/>
        </w:rPr>
      </w:pPr>
    </w:p>
    <w:p w14:paraId="18CC296C" w14:textId="6B5DC8AF" w:rsidR="005F018B" w:rsidRPr="005F018B" w:rsidRDefault="005F018B" w:rsidP="00BD6508">
      <w:pPr>
        <w:rPr>
          <w:rFonts w:ascii="Arial" w:hAnsi="Arial" w:cs="Arial"/>
          <w:sz w:val="24"/>
          <w:szCs w:val="24"/>
        </w:rPr>
      </w:pPr>
    </w:p>
    <w:p w14:paraId="07E8C11D" w14:textId="0745196E" w:rsidR="005F018B" w:rsidRPr="005F018B" w:rsidRDefault="005F018B" w:rsidP="00BD6508">
      <w:pPr>
        <w:rPr>
          <w:rFonts w:ascii="Arial" w:hAnsi="Arial" w:cs="Arial"/>
          <w:sz w:val="24"/>
          <w:szCs w:val="24"/>
        </w:rPr>
      </w:pPr>
    </w:p>
    <w:p w14:paraId="1FD43FAD" w14:textId="5BD48BE8" w:rsidR="004B4CE4" w:rsidRDefault="004B4CE4" w:rsidP="004B4CE4">
      <w:pPr>
        <w:spacing w:line="276" w:lineRule="auto"/>
        <w:jc w:val="both"/>
        <w:rPr>
          <w:rFonts w:ascii="Arial" w:hAnsi="Arial" w:cs="Arial"/>
          <w:sz w:val="24"/>
          <w:szCs w:val="24"/>
        </w:rPr>
      </w:pPr>
      <w:r w:rsidRPr="00BD6508">
        <w:rPr>
          <w:rFonts w:ascii="Arial" w:hAnsi="Arial" w:cs="Arial"/>
          <w:sz w:val="24"/>
          <w:szCs w:val="24"/>
        </w:rPr>
        <w:t>There are different ways of developing a FMIS. It is essential that the advantages and disadvantages of each method are carefully analysed, together with risk and cost-benefit analyses, to ensure the cost effectiveness and political viability of the product developed over the long term. Four different methods are briefly discussed below:</w:t>
      </w:r>
    </w:p>
    <w:p w14:paraId="04082E6F" w14:textId="240DB189" w:rsidR="00F35972" w:rsidRDefault="00F35972" w:rsidP="004B4CE4">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37982" behindDoc="0" locked="0" layoutInCell="1" allowOverlap="1" wp14:anchorId="15822322" wp14:editId="623FFD8D">
            <wp:simplePos x="0" y="0"/>
            <wp:positionH relativeFrom="column">
              <wp:posOffset>0</wp:posOffset>
            </wp:positionH>
            <wp:positionV relativeFrom="paragraph">
              <wp:posOffset>198755</wp:posOffset>
            </wp:positionV>
            <wp:extent cx="573405" cy="571500"/>
            <wp:effectExtent l="0" t="0" r="0" b="0"/>
            <wp:wrapSquare wrapText="bothSides"/>
            <wp:docPr id="2038" name="Pictur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Picture 2038"/>
                    <pic:cNvPicPr/>
                  </pic:nvPicPr>
                  <pic:blipFill rotWithShape="1">
                    <a:blip r:embed="rId842" cstate="email">
                      <a:extLst>
                        <a:ext uri="{28A0092B-C50C-407E-A947-70E740481C1C}">
                          <a14:useLocalDpi xmlns:a14="http://schemas.microsoft.com/office/drawing/2010/main"/>
                        </a:ext>
                      </a:extLst>
                    </a:blip>
                    <a:srcRect/>
                    <a:stretch/>
                  </pic:blipFill>
                  <pic:spPr bwMode="auto">
                    <a:xfrm>
                      <a:off x="0" y="0"/>
                      <a:ext cx="57340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ABB4B" w14:textId="3C60A252" w:rsidR="00F35972" w:rsidRPr="00BD6508" w:rsidRDefault="00F35972" w:rsidP="00BD6508">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39006" behindDoc="0" locked="0" layoutInCell="1" allowOverlap="1" wp14:anchorId="2A3A9115" wp14:editId="25F82AB9">
                <wp:simplePos x="0" y="0"/>
                <wp:positionH relativeFrom="column">
                  <wp:posOffset>114300</wp:posOffset>
                </wp:positionH>
                <wp:positionV relativeFrom="paragraph">
                  <wp:posOffset>60960</wp:posOffset>
                </wp:positionV>
                <wp:extent cx="359410" cy="495300"/>
                <wp:effectExtent l="0" t="0" r="0" b="0"/>
                <wp:wrapNone/>
                <wp:docPr id="2039" name="Text Box 2039"/>
                <wp:cNvGraphicFramePr/>
                <a:graphic xmlns:a="http://schemas.openxmlformats.org/drawingml/2006/main">
                  <a:graphicData uri="http://schemas.microsoft.com/office/word/2010/wordprocessingShape">
                    <wps:wsp>
                      <wps:cNvSpPr txBox="1"/>
                      <wps:spPr>
                        <a:xfrm>
                          <a:off x="0" y="0"/>
                          <a:ext cx="359410" cy="495300"/>
                        </a:xfrm>
                        <a:prstGeom prst="rect">
                          <a:avLst/>
                        </a:prstGeom>
                        <a:noFill/>
                        <a:ln w="6350">
                          <a:noFill/>
                        </a:ln>
                      </wps:spPr>
                      <wps:txbx>
                        <w:txbxContent>
                          <w:p w14:paraId="4E4212AF" w14:textId="793E1B11" w:rsidR="00D15FD8" w:rsidRPr="00BD6508" w:rsidRDefault="00D15FD8" w:rsidP="00BD6508">
                            <w:pPr>
                              <w:jc w:val="center"/>
                              <w:rPr>
                                <w:rFonts w:ascii="Arial" w:hAnsi="Arial" w:cs="Arial"/>
                                <w:b/>
                                <w:bCs/>
                                <w:color w:val="FFFFFF" w:themeColor="background1"/>
                                <w:sz w:val="44"/>
                                <w:szCs w:val="44"/>
                                <w:lang w:val="en-US"/>
                              </w:rPr>
                            </w:pPr>
                            <w:r w:rsidRPr="00BD6508">
                              <w:rPr>
                                <w:rFonts w:ascii="Arial" w:hAnsi="Arial" w:cs="Arial"/>
                                <w:b/>
                                <w:bCs/>
                                <w:color w:val="FFFFFF" w:themeColor="background1"/>
                                <w:sz w:val="44"/>
                                <w:szCs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A9115" id="Text Box 2039" o:spid="_x0000_s1482" type="#_x0000_t202" style="position:absolute;left:0;text-align:left;margin-left:9pt;margin-top:4.8pt;width:28.3pt;height:39pt;z-index:2537390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" filled="f" stroked="f" strokeweight=".5pt">
                <v:textbox>
                  <w:txbxContent>
                    <w:p w14:paraId="4E4212AF" w14:textId="793E1B11" w:rsidR="00D15FD8" w:rsidRPr="00BD6508" w:rsidRDefault="00D15FD8" w:rsidP="00BD6508">
                      <w:pPr>
                        <w:jc w:val="center"/>
                        <w:rPr>
                          <w:rFonts w:ascii="Arial" w:hAnsi="Arial" w:cs="Arial"/>
                          <w:b/>
                          <w:bCs/>
                          <w:color w:val="FFFFFF" w:themeColor="background1"/>
                          <w:sz w:val="44"/>
                          <w:szCs w:val="44"/>
                          <w:lang w:val="en-US"/>
                        </w:rPr>
                      </w:pPr>
                      <w:r w:rsidRPr="00BD6508">
                        <w:rPr>
                          <w:rFonts w:ascii="Arial" w:hAnsi="Arial" w:cs="Arial"/>
                          <w:b/>
                          <w:bCs/>
                          <w:color w:val="FFFFFF" w:themeColor="background1"/>
                          <w:sz w:val="44"/>
                          <w:szCs w:val="44"/>
                          <w:lang w:val="en-US"/>
                        </w:rPr>
                        <w:t>1</w:t>
                      </w:r>
                    </w:p>
                  </w:txbxContent>
                </v:textbox>
              </v:shape>
            </w:pict>
          </mc:Fallback>
        </mc:AlternateContent>
      </w:r>
    </w:p>
    <w:p w14:paraId="2C9B8E7D" w14:textId="235C34F0" w:rsidR="004B4CE4" w:rsidRDefault="00F35972" w:rsidP="004B4CE4">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53104" behindDoc="0" locked="0" layoutInCell="1" allowOverlap="1" wp14:anchorId="2367B361" wp14:editId="34553F4E">
                <wp:simplePos x="0" y="0"/>
                <wp:positionH relativeFrom="column">
                  <wp:posOffset>495300</wp:posOffset>
                </wp:positionH>
                <wp:positionV relativeFrom="paragraph">
                  <wp:posOffset>75565</wp:posOffset>
                </wp:positionV>
                <wp:extent cx="6120000" cy="0"/>
                <wp:effectExtent l="0" t="12700" r="14605" b="12700"/>
                <wp:wrapNone/>
                <wp:docPr id="2040" name="Straight Connector 2040"/>
                <wp:cNvGraphicFramePr/>
                <a:graphic xmlns:a="http://schemas.openxmlformats.org/drawingml/2006/main">
                  <a:graphicData uri="http://schemas.microsoft.com/office/word/2010/wordprocessingShape">
                    <wps:wsp>
                      <wps:cNvCnPr/>
                      <wps:spPr>
                        <a:xfrm>
                          <a:off x="0" y="0"/>
                          <a:ext cx="6120000" cy="0"/>
                        </a:xfrm>
                        <a:prstGeom prst="line">
                          <a:avLst/>
                        </a:prstGeom>
                        <a:ln w="28575">
                          <a:solidFill>
                            <a:srgbClr val="82C9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1127F744" id="Straight Connector 2040" o:spid="_x0000_s1026" style="position:absolute;z-index:25165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pt,5.95pt" to="520.9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" strokecolor="#82c9a0" strokeweight="2.25pt">
                <v:stroke joinstyle="miter"/>
              </v:line>
            </w:pict>
          </mc:Fallback>
        </mc:AlternateContent>
      </w:r>
    </w:p>
    <w:p w14:paraId="71074E15" w14:textId="5811D73D" w:rsidR="00F35972" w:rsidRDefault="00F35972" w:rsidP="004B4CE4">
      <w:pPr>
        <w:spacing w:line="276" w:lineRule="auto"/>
        <w:jc w:val="both"/>
        <w:rPr>
          <w:rFonts w:ascii="Arial" w:hAnsi="Arial" w:cs="Arial"/>
          <w:sz w:val="24"/>
          <w:szCs w:val="24"/>
        </w:rPr>
      </w:pPr>
    </w:p>
    <w:p w14:paraId="3F7B26F0" w14:textId="77777777" w:rsidR="00F35972" w:rsidRPr="00BD6508" w:rsidRDefault="00F35972" w:rsidP="00BD6508">
      <w:pPr>
        <w:spacing w:line="276" w:lineRule="auto"/>
        <w:jc w:val="both"/>
        <w:rPr>
          <w:rFonts w:ascii="Arial" w:hAnsi="Arial" w:cs="Arial"/>
          <w:sz w:val="24"/>
          <w:szCs w:val="24"/>
        </w:rPr>
      </w:pPr>
    </w:p>
    <w:p w14:paraId="66B6258D" w14:textId="5C36F9FC" w:rsidR="004B4CE4" w:rsidRPr="00BD6508" w:rsidRDefault="004B4CE4" w:rsidP="00BD6508">
      <w:pPr>
        <w:pStyle w:val="ListParagraph"/>
        <w:spacing w:line="276" w:lineRule="auto"/>
        <w:jc w:val="both"/>
        <w:rPr>
          <w:rFonts w:ascii="Arial" w:hAnsi="Arial" w:cs="Arial"/>
          <w:i/>
          <w:sz w:val="24"/>
          <w:szCs w:val="24"/>
        </w:rPr>
      </w:pPr>
      <w:r w:rsidRPr="00BD6508">
        <w:rPr>
          <w:rFonts w:ascii="Arial" w:hAnsi="Arial" w:cs="Arial"/>
          <w:b/>
          <w:bCs/>
          <w:i/>
          <w:color w:val="82C9A0"/>
          <w:sz w:val="24"/>
          <w:szCs w:val="24"/>
        </w:rPr>
        <w:t>In-house development</w:t>
      </w:r>
      <w:r w:rsidR="00143592">
        <w:rPr>
          <w:rFonts w:ascii="Arial" w:hAnsi="Arial" w:cs="Arial"/>
          <w:b/>
          <w:bCs/>
          <w:i/>
          <w:color w:val="82C9A0"/>
          <w:sz w:val="24"/>
          <w:szCs w:val="24"/>
        </w:rPr>
        <w:t>:</w:t>
      </w:r>
      <w:r w:rsidRPr="00BD6508">
        <w:rPr>
          <w:rFonts w:ascii="Arial" w:hAnsi="Arial" w:cs="Arial"/>
          <w:i/>
          <w:sz w:val="24"/>
          <w:szCs w:val="24"/>
        </w:rPr>
        <w:t xml:space="preserve"> </w:t>
      </w:r>
      <w:r w:rsidRPr="00BD6508">
        <w:rPr>
          <w:rFonts w:ascii="Arial" w:hAnsi="Arial" w:cs="Arial"/>
          <w:sz w:val="24"/>
          <w:szCs w:val="24"/>
        </w:rPr>
        <w:t xml:space="preserve">Government uses its own staff or permanently hires experts in various specializations, such as project managers, systems analysts, graphic and user experience designers, developers, as well as software, hardware and data architects to develop the system. This team is responsible for, among others: determination of the project budget; the design, alongside information experts from the different areas of the </w:t>
      </w:r>
      <w:r w:rsidR="00935748">
        <w:rPr>
          <w:rFonts w:ascii="Arial" w:hAnsi="Arial" w:cs="Arial"/>
          <w:sz w:val="24"/>
          <w:szCs w:val="24"/>
        </w:rPr>
        <w:t>m</w:t>
      </w:r>
      <w:r w:rsidRPr="00BD6508">
        <w:rPr>
          <w:rFonts w:ascii="Arial" w:hAnsi="Arial" w:cs="Arial"/>
          <w:sz w:val="24"/>
          <w:szCs w:val="24"/>
        </w:rPr>
        <w:t xml:space="preserve">inistry of </w:t>
      </w:r>
      <w:r w:rsidR="00935748">
        <w:rPr>
          <w:rFonts w:ascii="Arial" w:hAnsi="Arial" w:cs="Arial"/>
          <w:sz w:val="24"/>
          <w:szCs w:val="24"/>
        </w:rPr>
        <w:t>f</w:t>
      </w:r>
      <w:r w:rsidRPr="00BD6508">
        <w:rPr>
          <w:rFonts w:ascii="Arial" w:hAnsi="Arial" w:cs="Arial"/>
          <w:sz w:val="24"/>
          <w:szCs w:val="24"/>
        </w:rPr>
        <w:t xml:space="preserve">inance, of the project scope, priority level, and objectives; evaluation of information infrastructure and security needs; the provision of a timeline and the methodology for delivery, testing, bug-fixing and final approval; determination of the maintenance scheme; the quality control aspects of software and hardware development; the operational and performance testing of the software; and systems maintenance during production. </w:t>
      </w:r>
    </w:p>
    <w:p w14:paraId="74CB91BF" w14:textId="77777777" w:rsidR="004B4CE4" w:rsidRPr="00BD6508" w:rsidRDefault="004B4CE4" w:rsidP="00BD6508">
      <w:pPr>
        <w:pStyle w:val="ListParagraph"/>
        <w:spacing w:line="276" w:lineRule="auto"/>
        <w:jc w:val="both"/>
        <w:rPr>
          <w:rFonts w:ascii="Arial" w:hAnsi="Arial" w:cs="Arial"/>
          <w:i/>
          <w:sz w:val="24"/>
          <w:szCs w:val="24"/>
        </w:rPr>
      </w:pPr>
    </w:p>
    <w:p w14:paraId="40A3526F" w14:textId="77777777" w:rsidR="004B4CE4" w:rsidRPr="00BD6508" w:rsidRDefault="004B4CE4" w:rsidP="00BD6508">
      <w:pPr>
        <w:pStyle w:val="ListParagraph"/>
        <w:spacing w:line="276" w:lineRule="auto"/>
        <w:jc w:val="both"/>
        <w:rPr>
          <w:rFonts w:ascii="Arial" w:hAnsi="Arial" w:cs="Arial"/>
          <w:i/>
          <w:sz w:val="24"/>
          <w:szCs w:val="24"/>
        </w:rPr>
      </w:pPr>
      <w:r w:rsidRPr="00BD6508">
        <w:rPr>
          <w:rFonts w:ascii="Arial" w:hAnsi="Arial" w:cs="Arial"/>
          <w:sz w:val="24"/>
          <w:szCs w:val="24"/>
        </w:rPr>
        <w:t>The disadvantage of this approach is that the government assumes the full costs of development, as well as the potential development risks. The advantage is that the public sector can retain ownership of the source codes, thus reducing the need for external maintenance services and the costs thereof. As the system remains within the expertise of in-house developers, they should also be able to respond quickly to any changes required. However, in practice, this approach has tendered to take very long with costs frequently exceeding budgets. This is partly due to it being difficult to break up or redeploy a project team that has been set up by the ministry of finance once the project has reached completion. In addition, innovations may be limited to the expertise within the team, that is naturally smaller than that typically found in outside institutions whose sole focus is on technological advancements</w:t>
      </w:r>
      <w:r w:rsidRPr="00BD6508">
        <w:rPr>
          <w:rFonts w:ascii="Arial" w:hAnsi="Arial" w:cs="Arial"/>
          <w:i/>
          <w:sz w:val="24"/>
          <w:szCs w:val="24"/>
        </w:rPr>
        <w:t>.</w:t>
      </w:r>
    </w:p>
    <w:p w14:paraId="549E4484" w14:textId="77777777" w:rsidR="004B4CE4" w:rsidRPr="00BD6508" w:rsidRDefault="004B4CE4" w:rsidP="00BD6508">
      <w:pPr>
        <w:spacing w:line="276" w:lineRule="auto"/>
        <w:jc w:val="both"/>
        <w:rPr>
          <w:rFonts w:ascii="Arial" w:hAnsi="Arial" w:cs="Arial"/>
          <w:i/>
          <w:sz w:val="24"/>
          <w:szCs w:val="24"/>
        </w:rPr>
      </w:pPr>
    </w:p>
    <w:p w14:paraId="5DD5613B" w14:textId="2FA67415" w:rsidR="00F35972" w:rsidRDefault="00F35972" w:rsidP="00F35972">
      <w:pPr>
        <w:spacing w:line="276" w:lineRule="auto"/>
        <w:jc w:val="both"/>
        <w:rPr>
          <w:rFonts w:ascii="Arial" w:hAnsi="Arial" w:cs="Arial"/>
          <w:sz w:val="24"/>
          <w:szCs w:val="24"/>
          <w:lang w:val="en-ZA"/>
        </w:rPr>
      </w:pPr>
      <w:r>
        <w:rPr>
          <w:rFonts w:ascii="Arial" w:hAnsi="Arial" w:cs="Arial"/>
          <w:noProof/>
          <w:sz w:val="24"/>
          <w:szCs w:val="24"/>
          <w:lang w:val="en-US"/>
        </w:rPr>
        <w:lastRenderedPageBreak/>
        <mc:AlternateContent>
          <mc:Choice Requires="wps">
            <w:drawing>
              <wp:anchor distT="0" distB="0" distL="114300" distR="114300" simplePos="0" relativeHeight="253743102" behindDoc="0" locked="0" layoutInCell="1" allowOverlap="1" wp14:anchorId="15D989ED" wp14:editId="6B388F3F">
                <wp:simplePos x="0" y="0"/>
                <wp:positionH relativeFrom="column">
                  <wp:posOffset>114300</wp:posOffset>
                </wp:positionH>
                <wp:positionV relativeFrom="paragraph">
                  <wp:posOffset>70485</wp:posOffset>
                </wp:positionV>
                <wp:extent cx="359410" cy="495300"/>
                <wp:effectExtent l="0" t="0" r="0" b="0"/>
                <wp:wrapNone/>
                <wp:docPr id="2042" name="Text Box 2042"/>
                <wp:cNvGraphicFramePr/>
                <a:graphic xmlns:a="http://schemas.openxmlformats.org/drawingml/2006/main">
                  <a:graphicData uri="http://schemas.microsoft.com/office/word/2010/wordprocessingShape">
                    <wps:wsp>
                      <wps:cNvSpPr txBox="1"/>
                      <wps:spPr>
                        <a:xfrm>
                          <a:off x="0" y="0"/>
                          <a:ext cx="359410" cy="495300"/>
                        </a:xfrm>
                        <a:prstGeom prst="rect">
                          <a:avLst/>
                        </a:prstGeom>
                        <a:noFill/>
                        <a:ln w="6350">
                          <a:noFill/>
                        </a:ln>
                      </wps:spPr>
                      <wps:txbx>
                        <w:txbxContent>
                          <w:p w14:paraId="25D3FF5D" w14:textId="7E3F54E0" w:rsidR="00D15FD8" w:rsidRPr="00BD6508" w:rsidRDefault="00D15FD8" w:rsidP="00BD650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D989ED" id="Text Box 2042" o:spid="_x0000_s1483" type="#_x0000_t202" style="position:absolute;left:0;text-align:left;margin-left:9pt;margin-top:5.55pt;width:28.3pt;height:39pt;z-index:2537431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" filled="f" stroked="f" strokeweight=".5pt">
                <v:textbox>
                  <w:txbxContent>
                    <w:p w14:paraId="25D3FF5D" w14:textId="7E3F54E0" w:rsidR="00D15FD8" w:rsidRPr="00BD6508" w:rsidRDefault="00D15FD8" w:rsidP="00BD650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2</w:t>
                      </w:r>
                    </w:p>
                  </w:txbxContent>
                </v:textbox>
              </v:shape>
            </w:pict>
          </mc:Fallback>
        </mc:AlternateContent>
      </w:r>
      <w:r>
        <w:rPr>
          <w:rFonts w:ascii="Arial" w:hAnsi="Arial" w:cs="Arial"/>
          <w:noProof/>
          <w:sz w:val="24"/>
          <w:szCs w:val="24"/>
          <w:lang w:val="en-US"/>
        </w:rPr>
        <w:drawing>
          <wp:anchor distT="0" distB="0" distL="114300" distR="114300" simplePos="0" relativeHeight="253742078" behindDoc="0" locked="0" layoutInCell="1" allowOverlap="1" wp14:anchorId="394C0755" wp14:editId="646294C7">
            <wp:simplePos x="0" y="0"/>
            <wp:positionH relativeFrom="column">
              <wp:posOffset>0</wp:posOffset>
            </wp:positionH>
            <wp:positionV relativeFrom="paragraph">
              <wp:posOffset>0</wp:posOffset>
            </wp:positionV>
            <wp:extent cx="573405" cy="571500"/>
            <wp:effectExtent l="0" t="0" r="0" b="0"/>
            <wp:wrapSquare wrapText="bothSides"/>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Picture 2038"/>
                    <pic:cNvPicPr/>
                  </pic:nvPicPr>
                  <pic:blipFill rotWithShape="1">
                    <a:blip r:embed="rId842" cstate="email">
                      <a:extLst>
                        <a:ext uri="{28A0092B-C50C-407E-A947-70E740481C1C}">
                          <a14:useLocalDpi xmlns:a14="http://schemas.microsoft.com/office/drawing/2010/main"/>
                        </a:ext>
                      </a:extLst>
                    </a:blip>
                    <a:srcRect/>
                    <a:stretch/>
                  </pic:blipFill>
                  <pic:spPr bwMode="auto">
                    <a:xfrm>
                      <a:off x="0" y="0"/>
                      <a:ext cx="57340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2E8A90" w14:textId="30C3E29B" w:rsidR="00F35972" w:rsidRDefault="00F35972" w:rsidP="00F35972">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3741054" behindDoc="0" locked="0" layoutInCell="1" allowOverlap="1" wp14:anchorId="1E3E78DF" wp14:editId="7002CDA5">
                <wp:simplePos x="0" y="0"/>
                <wp:positionH relativeFrom="column">
                  <wp:posOffset>495300</wp:posOffset>
                </wp:positionH>
                <wp:positionV relativeFrom="paragraph">
                  <wp:posOffset>85090</wp:posOffset>
                </wp:positionV>
                <wp:extent cx="6119495" cy="0"/>
                <wp:effectExtent l="0" t="12700" r="14605" b="12700"/>
                <wp:wrapNone/>
                <wp:docPr id="2041" name="Straight Connector 2041"/>
                <wp:cNvGraphicFramePr/>
                <a:graphic xmlns:a="http://schemas.openxmlformats.org/drawingml/2006/main">
                  <a:graphicData uri="http://schemas.microsoft.com/office/word/2010/wordprocessingShape">
                    <wps:wsp>
                      <wps:cNvCnPr/>
                      <wps:spPr>
                        <a:xfrm>
                          <a:off x="0" y="0"/>
                          <a:ext cx="6119495" cy="0"/>
                        </a:xfrm>
                        <a:prstGeom prst="line">
                          <a:avLst/>
                        </a:prstGeom>
                        <a:ln w="28575">
                          <a:solidFill>
                            <a:srgbClr val="82C9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22BDB89C" id="Straight Connector 2041" o:spid="_x0000_s1026" style="position:absolute;z-index:2537410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pt,6.7pt" to="520.8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" strokecolor="#82c9a0" strokeweight="2.25pt">
                <v:stroke joinstyle="miter"/>
              </v:line>
            </w:pict>
          </mc:Fallback>
        </mc:AlternateContent>
      </w:r>
    </w:p>
    <w:p w14:paraId="4601B498" w14:textId="6814CB74" w:rsidR="00F35972" w:rsidRDefault="00F35972" w:rsidP="00F35972">
      <w:pPr>
        <w:spacing w:line="276" w:lineRule="auto"/>
        <w:jc w:val="both"/>
        <w:rPr>
          <w:rFonts w:ascii="Arial" w:hAnsi="Arial" w:cs="Arial"/>
          <w:sz w:val="24"/>
          <w:szCs w:val="24"/>
          <w:lang w:val="en-ZA"/>
        </w:rPr>
      </w:pPr>
    </w:p>
    <w:p w14:paraId="1061EF12" w14:textId="4BAA3533" w:rsidR="00F35972" w:rsidRPr="00BD6508" w:rsidRDefault="00F35972" w:rsidP="00BD6508">
      <w:pPr>
        <w:spacing w:line="276" w:lineRule="auto"/>
        <w:jc w:val="both"/>
        <w:rPr>
          <w:rFonts w:ascii="Arial" w:hAnsi="Arial" w:cs="Arial"/>
          <w:sz w:val="24"/>
          <w:szCs w:val="24"/>
          <w:lang w:val="en-ZA"/>
        </w:rPr>
      </w:pPr>
    </w:p>
    <w:p w14:paraId="56B74DC6" w14:textId="6E0BF0D2" w:rsidR="004B4CE4" w:rsidRDefault="004B4CE4" w:rsidP="00F35972">
      <w:pPr>
        <w:pStyle w:val="ListParagraph"/>
        <w:spacing w:line="276" w:lineRule="auto"/>
        <w:jc w:val="both"/>
        <w:rPr>
          <w:rFonts w:ascii="Arial" w:hAnsi="Arial" w:cs="Arial"/>
          <w:sz w:val="24"/>
          <w:szCs w:val="24"/>
          <w:lang w:val="en-ZA"/>
        </w:rPr>
      </w:pPr>
      <w:r w:rsidRPr="00BD6508">
        <w:rPr>
          <w:rFonts w:ascii="Arial" w:hAnsi="Arial" w:cs="Arial"/>
          <w:b/>
          <w:bCs/>
          <w:i/>
          <w:color w:val="82C9A0"/>
          <w:sz w:val="24"/>
          <w:szCs w:val="24"/>
        </w:rPr>
        <w:t>Development through consulting firms:</w:t>
      </w:r>
      <w:r w:rsidRPr="00BD6508">
        <w:rPr>
          <w:rFonts w:ascii="Arial" w:hAnsi="Arial" w:cs="Arial"/>
          <w:i/>
          <w:color w:val="82C9A0"/>
          <w:sz w:val="24"/>
          <w:szCs w:val="24"/>
        </w:rPr>
        <w:t xml:space="preserve"> </w:t>
      </w:r>
      <w:r w:rsidRPr="00BD6508">
        <w:rPr>
          <w:rFonts w:ascii="Arial" w:hAnsi="Arial" w:cs="Arial"/>
          <w:sz w:val="24"/>
          <w:szCs w:val="24"/>
        </w:rPr>
        <w:t xml:space="preserve">Government hires one or more firms </w:t>
      </w:r>
      <w:r w:rsidRPr="00BD6508">
        <w:rPr>
          <w:rFonts w:ascii="Arial" w:hAnsi="Arial" w:cs="Arial"/>
          <w:sz w:val="24"/>
          <w:szCs w:val="24"/>
          <w:lang w:val="en-ZA"/>
        </w:rPr>
        <w:t>to make available the experts required, based on needs set by the ministry of finance.</w:t>
      </w:r>
      <w:r w:rsidRPr="00BD6508">
        <w:rPr>
          <w:rFonts w:ascii="Arial" w:hAnsi="Arial" w:cs="Arial"/>
          <w:sz w:val="24"/>
          <w:szCs w:val="24"/>
        </w:rPr>
        <w:t xml:space="preserve"> While the ministry of finance usually maintains control of systems development, </w:t>
      </w:r>
      <w:r w:rsidRPr="00BD6508">
        <w:rPr>
          <w:rFonts w:ascii="Arial" w:hAnsi="Arial" w:cs="Arial"/>
          <w:sz w:val="24"/>
          <w:szCs w:val="24"/>
          <w:lang w:val="en-ZA"/>
        </w:rPr>
        <w:t>it can leave the contracting of groups of individual specialists to one or more consulting firms, usually at a monthly rate. The advantage of this approach is that public sector ownership of the source codes is retained, while the cost of capacity building and forward looking or innovation specific recruiting is transferred.</w:t>
      </w:r>
      <w:r w:rsidRPr="00BD6508">
        <w:rPr>
          <w:rFonts w:ascii="Arial" w:eastAsiaTheme="minorEastAsia" w:hAnsi="Arial" w:cs="Arial"/>
          <w:sz w:val="24"/>
          <w:szCs w:val="24"/>
          <w:lang w:val="en-ZA" w:eastAsia="zh-CN"/>
        </w:rPr>
        <w:t xml:space="preserve"> </w:t>
      </w:r>
      <w:r w:rsidRPr="00BD6508">
        <w:rPr>
          <w:rFonts w:ascii="Arial" w:hAnsi="Arial" w:cs="Arial"/>
          <w:sz w:val="24"/>
          <w:szCs w:val="24"/>
          <w:lang w:val="en-ZA"/>
        </w:rPr>
        <w:t>The main risk is that, as with any external contractor, dependence on a specific firm for operational or core matters can lead to divergent results and large initial learning curves. </w:t>
      </w:r>
    </w:p>
    <w:p w14:paraId="5B22AC9C" w14:textId="4ADF304A" w:rsidR="00F35972" w:rsidRDefault="004E4D3E" w:rsidP="00F35972">
      <w:pPr>
        <w:pStyle w:val="ListParagraph"/>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3746174" behindDoc="0" locked="0" layoutInCell="1" allowOverlap="1" wp14:anchorId="57EEA93E" wp14:editId="5E407BEE">
            <wp:simplePos x="0" y="0"/>
            <wp:positionH relativeFrom="column">
              <wp:posOffset>0</wp:posOffset>
            </wp:positionH>
            <wp:positionV relativeFrom="paragraph">
              <wp:posOffset>175895</wp:posOffset>
            </wp:positionV>
            <wp:extent cx="573405" cy="571500"/>
            <wp:effectExtent l="0" t="0" r="0" b="0"/>
            <wp:wrapSquare wrapText="bothSides"/>
            <wp:docPr id="2046" name="Pictur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Picture 2038"/>
                    <pic:cNvPicPr/>
                  </pic:nvPicPr>
                  <pic:blipFill rotWithShape="1">
                    <a:blip r:embed="rId842" cstate="email">
                      <a:extLst>
                        <a:ext uri="{28A0092B-C50C-407E-A947-70E740481C1C}">
                          <a14:useLocalDpi xmlns:a14="http://schemas.microsoft.com/office/drawing/2010/main"/>
                        </a:ext>
                      </a:extLst>
                    </a:blip>
                    <a:srcRect/>
                    <a:stretch/>
                  </pic:blipFill>
                  <pic:spPr bwMode="auto">
                    <a:xfrm>
                      <a:off x="0" y="0"/>
                      <a:ext cx="57340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4DE713" w14:textId="6F4C5C73" w:rsidR="00F35972" w:rsidRPr="00BD6508" w:rsidRDefault="004E4D3E" w:rsidP="00BD650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3747198" behindDoc="0" locked="0" layoutInCell="1" allowOverlap="1" wp14:anchorId="1414F360" wp14:editId="11AE4C67">
                <wp:simplePos x="0" y="0"/>
                <wp:positionH relativeFrom="column">
                  <wp:posOffset>114300</wp:posOffset>
                </wp:positionH>
                <wp:positionV relativeFrom="paragraph">
                  <wp:posOffset>45085</wp:posOffset>
                </wp:positionV>
                <wp:extent cx="359410" cy="495300"/>
                <wp:effectExtent l="0" t="0" r="0" b="0"/>
                <wp:wrapNone/>
                <wp:docPr id="2045" name="Text Box 2045"/>
                <wp:cNvGraphicFramePr/>
                <a:graphic xmlns:a="http://schemas.openxmlformats.org/drawingml/2006/main">
                  <a:graphicData uri="http://schemas.microsoft.com/office/word/2010/wordprocessingShape">
                    <wps:wsp>
                      <wps:cNvSpPr txBox="1"/>
                      <wps:spPr>
                        <a:xfrm>
                          <a:off x="0" y="0"/>
                          <a:ext cx="359410" cy="495300"/>
                        </a:xfrm>
                        <a:prstGeom prst="rect">
                          <a:avLst/>
                        </a:prstGeom>
                        <a:noFill/>
                        <a:ln w="6350">
                          <a:noFill/>
                        </a:ln>
                      </wps:spPr>
                      <wps:txbx>
                        <w:txbxContent>
                          <w:p w14:paraId="1BF03398" w14:textId="4686C6A1" w:rsidR="00D15FD8" w:rsidRPr="00BD6508" w:rsidRDefault="00D15FD8" w:rsidP="00BD650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14F360" id="Text Box 2045" o:spid="_x0000_s1484" type="#_x0000_t202" style="position:absolute;left:0;text-align:left;margin-left:9pt;margin-top:3.55pt;width:28.3pt;height:39pt;z-index:2537471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" filled="f" stroked="f" strokeweight=".5pt">
                <v:textbox>
                  <w:txbxContent>
                    <w:p w14:paraId="1BF03398" w14:textId="4686C6A1" w:rsidR="00D15FD8" w:rsidRPr="00BD6508" w:rsidRDefault="00D15FD8" w:rsidP="00BD650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3</w:t>
                      </w:r>
                    </w:p>
                  </w:txbxContent>
                </v:textbox>
              </v:shape>
            </w:pict>
          </mc:Fallback>
        </mc:AlternateContent>
      </w:r>
    </w:p>
    <w:p w14:paraId="1A86B030" w14:textId="72F16085" w:rsidR="00F35972" w:rsidRDefault="00F35972" w:rsidP="00F35972">
      <w:pPr>
        <w:pStyle w:val="ListParagraph"/>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3745150" behindDoc="0" locked="0" layoutInCell="1" allowOverlap="1" wp14:anchorId="69EBFC73" wp14:editId="686006B8">
                <wp:simplePos x="0" y="0"/>
                <wp:positionH relativeFrom="column">
                  <wp:posOffset>495300</wp:posOffset>
                </wp:positionH>
                <wp:positionV relativeFrom="paragraph">
                  <wp:posOffset>59055</wp:posOffset>
                </wp:positionV>
                <wp:extent cx="6119495" cy="0"/>
                <wp:effectExtent l="0" t="12700" r="14605" b="12700"/>
                <wp:wrapNone/>
                <wp:docPr id="2044" name="Straight Connector 2044"/>
                <wp:cNvGraphicFramePr/>
                <a:graphic xmlns:a="http://schemas.openxmlformats.org/drawingml/2006/main">
                  <a:graphicData uri="http://schemas.microsoft.com/office/word/2010/wordprocessingShape">
                    <wps:wsp>
                      <wps:cNvCnPr/>
                      <wps:spPr>
                        <a:xfrm>
                          <a:off x="0" y="0"/>
                          <a:ext cx="6119495" cy="0"/>
                        </a:xfrm>
                        <a:prstGeom prst="line">
                          <a:avLst/>
                        </a:prstGeom>
                        <a:ln w="28575">
                          <a:solidFill>
                            <a:srgbClr val="82C9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3BD8E83F" id="Straight Connector 2044" o:spid="_x0000_s1026" style="position:absolute;z-index:2537451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pt,4.65pt" to="520.8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" strokecolor="#82c9a0" strokeweight="2.25pt">
                <v:stroke joinstyle="miter"/>
              </v:line>
            </w:pict>
          </mc:Fallback>
        </mc:AlternateContent>
      </w:r>
    </w:p>
    <w:p w14:paraId="3110CBD3" w14:textId="41A90E35" w:rsidR="00F35972" w:rsidRDefault="00F35972" w:rsidP="00F35972">
      <w:pPr>
        <w:pStyle w:val="ListParagraph"/>
        <w:spacing w:line="276" w:lineRule="auto"/>
        <w:jc w:val="both"/>
        <w:rPr>
          <w:rFonts w:ascii="Arial" w:hAnsi="Arial" w:cs="Arial"/>
          <w:sz w:val="24"/>
          <w:szCs w:val="24"/>
          <w:lang w:val="en-ZA"/>
        </w:rPr>
      </w:pPr>
    </w:p>
    <w:p w14:paraId="0D92E811" w14:textId="77777777" w:rsidR="00F35972" w:rsidRPr="00BD6508" w:rsidRDefault="00F35972" w:rsidP="00BD6508">
      <w:pPr>
        <w:pStyle w:val="ListParagraph"/>
        <w:spacing w:line="276" w:lineRule="auto"/>
        <w:jc w:val="both"/>
        <w:rPr>
          <w:rFonts w:ascii="Arial" w:hAnsi="Arial" w:cs="Arial"/>
          <w:sz w:val="24"/>
          <w:szCs w:val="24"/>
          <w:lang w:val="en-ZA"/>
        </w:rPr>
      </w:pPr>
    </w:p>
    <w:p w14:paraId="282485F6" w14:textId="66248CC4" w:rsidR="004B4CE4" w:rsidRDefault="004B4CE4" w:rsidP="00F35972">
      <w:pPr>
        <w:pStyle w:val="ListParagraph"/>
        <w:spacing w:line="276" w:lineRule="auto"/>
        <w:jc w:val="both"/>
        <w:rPr>
          <w:rFonts w:ascii="Arial" w:hAnsi="Arial" w:cs="Arial"/>
          <w:sz w:val="24"/>
          <w:szCs w:val="24"/>
          <w:lang w:val="en-ZA"/>
        </w:rPr>
      </w:pPr>
      <w:r w:rsidRPr="00BD6508">
        <w:rPr>
          <w:rFonts w:ascii="Arial" w:hAnsi="Arial" w:cs="Arial"/>
          <w:b/>
          <w:bCs/>
          <w:i/>
          <w:color w:val="82C9A0"/>
          <w:sz w:val="24"/>
          <w:szCs w:val="24"/>
        </w:rPr>
        <w:t>Outsourced development:</w:t>
      </w:r>
      <w:r w:rsidRPr="00BD6508">
        <w:rPr>
          <w:rFonts w:ascii="Arial" w:hAnsi="Arial" w:cs="Arial"/>
          <w:i/>
          <w:color w:val="82C9A0"/>
          <w:sz w:val="24"/>
          <w:szCs w:val="24"/>
        </w:rPr>
        <w:t xml:space="preserve"> </w:t>
      </w:r>
      <w:r w:rsidRPr="00BD6508">
        <w:rPr>
          <w:rFonts w:ascii="Arial" w:hAnsi="Arial" w:cs="Arial"/>
          <w:sz w:val="24"/>
          <w:szCs w:val="24"/>
        </w:rPr>
        <w:t xml:space="preserve">Development is outsourced to a software factory developer. </w:t>
      </w:r>
      <w:r w:rsidRPr="00BD6508">
        <w:rPr>
          <w:rFonts w:ascii="Arial" w:hAnsi="Arial" w:cs="Arial"/>
          <w:sz w:val="24"/>
          <w:szCs w:val="24"/>
          <w:lang w:val="en-ZA"/>
        </w:rPr>
        <w:t xml:space="preserve">An advantage of this is that the outputs of the system can be precisely defined and the developer is contractually mandated to work within an agreed budget. However, for this to be effective, it does require relevant public officials to have sufficiently strong institutional capacities to be able to elaborate the detailed specifications of the system. </w:t>
      </w:r>
    </w:p>
    <w:p w14:paraId="5FB59DFE" w14:textId="7D206A4D" w:rsidR="00F35972" w:rsidRDefault="00F35972" w:rsidP="00F35972">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50270" behindDoc="0" locked="0" layoutInCell="1" allowOverlap="1" wp14:anchorId="74979644" wp14:editId="24BCBD59">
            <wp:simplePos x="0" y="0"/>
            <wp:positionH relativeFrom="column">
              <wp:posOffset>0</wp:posOffset>
            </wp:positionH>
            <wp:positionV relativeFrom="paragraph">
              <wp:posOffset>200660</wp:posOffset>
            </wp:positionV>
            <wp:extent cx="573405" cy="571500"/>
            <wp:effectExtent l="0" t="0" r="0" b="0"/>
            <wp:wrapSquare wrapText="bothSides"/>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Picture 2038"/>
                    <pic:cNvPicPr/>
                  </pic:nvPicPr>
                  <pic:blipFill rotWithShape="1">
                    <a:blip r:embed="rId842" cstate="email">
                      <a:extLst>
                        <a:ext uri="{28A0092B-C50C-407E-A947-70E740481C1C}">
                          <a14:useLocalDpi xmlns:a14="http://schemas.microsoft.com/office/drawing/2010/main"/>
                        </a:ext>
                      </a:extLst>
                    </a:blip>
                    <a:srcRect/>
                    <a:stretch/>
                  </pic:blipFill>
                  <pic:spPr bwMode="auto">
                    <a:xfrm>
                      <a:off x="0" y="0"/>
                      <a:ext cx="57340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420296" w14:textId="5F9B056E" w:rsidR="00F35972" w:rsidRPr="00BD6508" w:rsidRDefault="00F35972" w:rsidP="00BD6508">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51294" behindDoc="0" locked="0" layoutInCell="1" allowOverlap="1" wp14:anchorId="407F230C" wp14:editId="417F46AB">
                <wp:simplePos x="0" y="0"/>
                <wp:positionH relativeFrom="column">
                  <wp:posOffset>114300</wp:posOffset>
                </wp:positionH>
                <wp:positionV relativeFrom="paragraph">
                  <wp:posOffset>57150</wp:posOffset>
                </wp:positionV>
                <wp:extent cx="359410" cy="495300"/>
                <wp:effectExtent l="0" t="0" r="0" b="0"/>
                <wp:wrapNone/>
                <wp:docPr id="2048" name="Text Box 2048"/>
                <wp:cNvGraphicFramePr/>
                <a:graphic xmlns:a="http://schemas.openxmlformats.org/drawingml/2006/main">
                  <a:graphicData uri="http://schemas.microsoft.com/office/word/2010/wordprocessingShape">
                    <wps:wsp>
                      <wps:cNvSpPr txBox="1"/>
                      <wps:spPr>
                        <a:xfrm>
                          <a:off x="0" y="0"/>
                          <a:ext cx="359410" cy="495300"/>
                        </a:xfrm>
                        <a:prstGeom prst="rect">
                          <a:avLst/>
                        </a:prstGeom>
                        <a:noFill/>
                        <a:ln w="6350">
                          <a:noFill/>
                        </a:ln>
                      </wps:spPr>
                      <wps:txbx>
                        <w:txbxContent>
                          <w:p w14:paraId="6DF4286B" w14:textId="114FEB06" w:rsidR="00D15FD8" w:rsidRPr="00BD6508" w:rsidRDefault="00D15FD8" w:rsidP="00BD650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F230C" id="Text Box 2048" o:spid="_x0000_s1485" type="#_x0000_t202" style="position:absolute;left:0;text-align:left;margin-left:9pt;margin-top:4.5pt;width:28.3pt;height:39pt;z-index:2537512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" filled="f" stroked="f" strokeweight=".5pt">
                <v:textbox>
                  <w:txbxContent>
                    <w:p w14:paraId="6DF4286B" w14:textId="114FEB06" w:rsidR="00D15FD8" w:rsidRPr="00BD6508" w:rsidRDefault="00D15FD8" w:rsidP="00BD6508">
                      <w:pPr>
                        <w:jc w:val="center"/>
                        <w:rPr>
                          <w:rFonts w:ascii="Arial" w:hAnsi="Arial" w:cs="Arial"/>
                          <w:b/>
                          <w:bCs/>
                          <w:color w:val="FFFFFF" w:themeColor="background1"/>
                          <w:sz w:val="44"/>
                          <w:szCs w:val="44"/>
                          <w:lang w:val="en-US"/>
                        </w:rPr>
                      </w:pPr>
                      <w:r>
                        <w:rPr>
                          <w:rFonts w:ascii="Arial" w:hAnsi="Arial" w:cs="Arial"/>
                          <w:b/>
                          <w:bCs/>
                          <w:color w:val="FFFFFF" w:themeColor="background1"/>
                          <w:sz w:val="44"/>
                          <w:szCs w:val="44"/>
                          <w:lang w:val="en-US"/>
                        </w:rPr>
                        <w:t>4</w:t>
                      </w:r>
                    </w:p>
                  </w:txbxContent>
                </v:textbox>
              </v:shape>
            </w:pict>
          </mc:Fallback>
        </mc:AlternateContent>
      </w:r>
    </w:p>
    <w:p w14:paraId="69D5E54F" w14:textId="75077FBA" w:rsidR="00F35972" w:rsidRDefault="00F35972" w:rsidP="00F35972">
      <w:pPr>
        <w:pStyle w:val="ListParagraph"/>
        <w:spacing w:line="276" w:lineRule="auto"/>
        <w:jc w:val="both"/>
        <w:rPr>
          <w:rFonts w:ascii="Arial" w:hAnsi="Arial" w:cs="Arial"/>
          <w:sz w:val="24"/>
          <w:szCs w:val="24"/>
        </w:rPr>
      </w:pPr>
    </w:p>
    <w:p w14:paraId="526A7B1A" w14:textId="3BBC0AF1" w:rsidR="00F35972" w:rsidRPr="00BD6508" w:rsidRDefault="00F35972" w:rsidP="00BD6508">
      <w:pPr>
        <w:pStyle w:val="ListParagraph"/>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49246" behindDoc="0" locked="0" layoutInCell="1" allowOverlap="1" wp14:anchorId="1D28D71E" wp14:editId="5BB41F91">
                <wp:simplePos x="0" y="0"/>
                <wp:positionH relativeFrom="column">
                  <wp:posOffset>495300</wp:posOffset>
                </wp:positionH>
                <wp:positionV relativeFrom="paragraph">
                  <wp:posOffset>-104775</wp:posOffset>
                </wp:positionV>
                <wp:extent cx="6119495" cy="0"/>
                <wp:effectExtent l="0" t="12700" r="14605" b="12700"/>
                <wp:wrapNone/>
                <wp:docPr id="2047" name="Straight Connector 2047"/>
                <wp:cNvGraphicFramePr/>
                <a:graphic xmlns:a="http://schemas.openxmlformats.org/drawingml/2006/main">
                  <a:graphicData uri="http://schemas.microsoft.com/office/word/2010/wordprocessingShape">
                    <wps:wsp>
                      <wps:cNvCnPr/>
                      <wps:spPr>
                        <a:xfrm>
                          <a:off x="0" y="0"/>
                          <a:ext cx="6119495" cy="0"/>
                        </a:xfrm>
                        <a:prstGeom prst="line">
                          <a:avLst/>
                        </a:prstGeom>
                        <a:ln w="28575">
                          <a:solidFill>
                            <a:srgbClr val="82C9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10E91AC0" id="Straight Connector 2047" o:spid="_x0000_s1026" style="position:absolute;z-index:253749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pt,-8.25pt" to="520.8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" strokecolor="#82c9a0" strokeweight="2.25pt">
                <v:stroke joinstyle="miter"/>
              </v:line>
            </w:pict>
          </mc:Fallback>
        </mc:AlternateContent>
      </w:r>
    </w:p>
    <w:p w14:paraId="1C33FADF" w14:textId="77777777" w:rsidR="004B4CE4" w:rsidRPr="00BD6508" w:rsidRDefault="004B4CE4" w:rsidP="00BD6508">
      <w:pPr>
        <w:pStyle w:val="ListParagraph"/>
        <w:spacing w:line="276" w:lineRule="auto"/>
        <w:rPr>
          <w:rFonts w:ascii="Arial" w:hAnsi="Arial" w:cs="Arial"/>
          <w:sz w:val="24"/>
          <w:szCs w:val="24"/>
        </w:rPr>
      </w:pPr>
    </w:p>
    <w:p w14:paraId="112C01F3" w14:textId="7FC31C2F" w:rsidR="004B4CE4" w:rsidRDefault="004B4CE4" w:rsidP="00F35972">
      <w:pPr>
        <w:pStyle w:val="ListParagraph"/>
        <w:spacing w:line="276" w:lineRule="auto"/>
        <w:jc w:val="both"/>
        <w:rPr>
          <w:rFonts w:ascii="Arial" w:hAnsi="Arial" w:cs="Arial"/>
          <w:sz w:val="24"/>
          <w:szCs w:val="24"/>
          <w:lang w:val="en-ZA"/>
        </w:rPr>
      </w:pPr>
      <w:r w:rsidRPr="00BD6508">
        <w:rPr>
          <w:rFonts w:ascii="Arial" w:hAnsi="Arial" w:cs="Arial"/>
          <w:b/>
          <w:bCs/>
          <w:i/>
          <w:color w:val="82C9A0"/>
          <w:sz w:val="24"/>
          <w:szCs w:val="24"/>
        </w:rPr>
        <w:t>Commercial off-the-shelf systems:</w:t>
      </w:r>
      <w:r w:rsidRPr="00BD6508">
        <w:rPr>
          <w:rFonts w:ascii="Arial" w:hAnsi="Arial" w:cs="Arial"/>
          <w:i/>
          <w:color w:val="82C9A0"/>
          <w:sz w:val="24"/>
          <w:szCs w:val="24"/>
        </w:rPr>
        <w:t xml:space="preserve"> </w:t>
      </w:r>
      <w:r w:rsidRPr="00BD6508">
        <w:rPr>
          <w:rFonts w:ascii="Arial" w:hAnsi="Arial" w:cs="Arial"/>
          <w:sz w:val="24"/>
          <w:szCs w:val="24"/>
        </w:rPr>
        <w:t xml:space="preserve">Use of products </w:t>
      </w:r>
      <w:r w:rsidRPr="00BD6508">
        <w:rPr>
          <w:rFonts w:ascii="Arial" w:hAnsi="Arial" w:cs="Arial"/>
          <w:sz w:val="24"/>
          <w:szCs w:val="24"/>
          <w:lang w:val="en-ZA"/>
        </w:rPr>
        <w:t>that are available on the market. The advantage of this is that the development of the system should take less time, as the system itself does not need to be developed, but only customized as required to meet specific needs. Off-the-shelf systems are also likely easier to maintain. The disadvantage is that they will only meet the general needs they were created for, and not a country’s very specific circumstances; and in addition, source codes will also not be owned by the government.</w:t>
      </w:r>
    </w:p>
    <w:p w14:paraId="342E006E" w14:textId="763F7346" w:rsidR="005F018B" w:rsidRDefault="005F018B" w:rsidP="004B4CE4">
      <w:pPr>
        <w:tabs>
          <w:tab w:val="left" w:pos="2100"/>
        </w:tabs>
        <w:spacing w:line="276" w:lineRule="auto"/>
        <w:rPr>
          <w:rFonts w:ascii="Arial" w:hAnsi="Arial" w:cs="Arial"/>
          <w:sz w:val="24"/>
          <w:szCs w:val="24"/>
        </w:rPr>
      </w:pPr>
    </w:p>
    <w:p w14:paraId="7B362EF9" w14:textId="005ED0E2" w:rsidR="00F35972" w:rsidRDefault="00F35972" w:rsidP="004B4CE4">
      <w:pPr>
        <w:tabs>
          <w:tab w:val="left" w:pos="2100"/>
        </w:tabs>
        <w:spacing w:line="276" w:lineRule="auto"/>
        <w:rPr>
          <w:rFonts w:ascii="Arial" w:hAnsi="Arial" w:cs="Arial"/>
          <w:sz w:val="24"/>
          <w:szCs w:val="24"/>
        </w:rPr>
      </w:pPr>
    </w:p>
    <w:p w14:paraId="508013F1" w14:textId="5C89D3FA" w:rsidR="00506E2A" w:rsidRDefault="00506E2A" w:rsidP="004B4CE4">
      <w:pPr>
        <w:tabs>
          <w:tab w:val="left" w:pos="2100"/>
        </w:tabs>
        <w:spacing w:line="276" w:lineRule="auto"/>
        <w:rPr>
          <w:rFonts w:ascii="Arial" w:hAnsi="Arial" w:cs="Arial"/>
          <w:sz w:val="24"/>
          <w:szCs w:val="24"/>
        </w:rPr>
      </w:pPr>
    </w:p>
    <w:p w14:paraId="2E95F45D" w14:textId="49CC65C2" w:rsidR="00506E2A" w:rsidRDefault="00506E2A" w:rsidP="004B4CE4">
      <w:pPr>
        <w:tabs>
          <w:tab w:val="left" w:pos="2100"/>
        </w:tabs>
        <w:spacing w:line="276" w:lineRule="auto"/>
        <w:rPr>
          <w:rFonts w:ascii="Arial" w:hAnsi="Arial" w:cs="Arial"/>
          <w:sz w:val="24"/>
          <w:szCs w:val="24"/>
        </w:rPr>
      </w:pPr>
    </w:p>
    <w:p w14:paraId="41689260" w14:textId="4AAE8F04" w:rsidR="00506E2A" w:rsidRDefault="00506E2A" w:rsidP="004B4CE4">
      <w:pPr>
        <w:tabs>
          <w:tab w:val="left" w:pos="2100"/>
        </w:tabs>
        <w:spacing w:line="276" w:lineRule="auto"/>
        <w:rPr>
          <w:rFonts w:ascii="Arial" w:hAnsi="Arial" w:cs="Arial"/>
          <w:sz w:val="24"/>
          <w:szCs w:val="24"/>
        </w:rPr>
      </w:pPr>
    </w:p>
    <w:p w14:paraId="25B1744E" w14:textId="23C7A4BC" w:rsidR="00506E2A" w:rsidRDefault="00506E2A" w:rsidP="004B4CE4">
      <w:pPr>
        <w:tabs>
          <w:tab w:val="left" w:pos="2100"/>
        </w:tabs>
        <w:spacing w:line="276" w:lineRule="auto"/>
        <w:rPr>
          <w:rFonts w:ascii="Arial" w:hAnsi="Arial" w:cs="Arial"/>
          <w:sz w:val="24"/>
          <w:szCs w:val="24"/>
        </w:rPr>
      </w:pPr>
    </w:p>
    <w:p w14:paraId="3D079651" w14:textId="671E68FB" w:rsidR="00506E2A" w:rsidRDefault="00506E2A" w:rsidP="004B4CE4">
      <w:pPr>
        <w:tabs>
          <w:tab w:val="left" w:pos="2100"/>
        </w:tabs>
        <w:spacing w:line="276" w:lineRule="auto"/>
        <w:rPr>
          <w:rFonts w:ascii="Arial" w:hAnsi="Arial" w:cs="Arial"/>
          <w:sz w:val="24"/>
          <w:szCs w:val="24"/>
        </w:rPr>
      </w:pPr>
    </w:p>
    <w:p w14:paraId="14AE50EF" w14:textId="1CA51A93" w:rsidR="00506E2A" w:rsidRDefault="00506E2A" w:rsidP="004B4CE4">
      <w:pPr>
        <w:tabs>
          <w:tab w:val="left" w:pos="2100"/>
        </w:tabs>
        <w:spacing w:line="276" w:lineRule="auto"/>
        <w:rPr>
          <w:rFonts w:ascii="Arial" w:hAnsi="Arial" w:cs="Arial"/>
          <w:sz w:val="24"/>
          <w:szCs w:val="24"/>
        </w:rPr>
      </w:pPr>
    </w:p>
    <w:p w14:paraId="04F94CF4" w14:textId="6B09CE0E" w:rsidR="00506E2A" w:rsidRDefault="00506E2A" w:rsidP="004B4CE4">
      <w:pPr>
        <w:tabs>
          <w:tab w:val="left" w:pos="2100"/>
        </w:tabs>
        <w:spacing w:line="276" w:lineRule="auto"/>
        <w:rPr>
          <w:rFonts w:ascii="Arial" w:hAnsi="Arial" w:cs="Arial"/>
          <w:sz w:val="24"/>
          <w:szCs w:val="24"/>
        </w:rPr>
      </w:pPr>
    </w:p>
    <w:p w14:paraId="7232EFBC" w14:textId="0A017DFE" w:rsidR="00506E2A" w:rsidRDefault="00506E2A" w:rsidP="004B4CE4">
      <w:pPr>
        <w:tabs>
          <w:tab w:val="left" w:pos="2100"/>
        </w:tabs>
        <w:spacing w:line="276" w:lineRule="auto"/>
        <w:rPr>
          <w:rFonts w:ascii="Arial" w:hAnsi="Arial" w:cs="Arial"/>
          <w:sz w:val="24"/>
          <w:szCs w:val="24"/>
        </w:rPr>
      </w:pPr>
    </w:p>
    <w:p w14:paraId="764B2D45" w14:textId="22A7706B" w:rsidR="00506E2A" w:rsidRDefault="00506E2A" w:rsidP="004B4CE4">
      <w:pPr>
        <w:tabs>
          <w:tab w:val="left" w:pos="2100"/>
        </w:tabs>
        <w:spacing w:line="276" w:lineRule="auto"/>
        <w:rPr>
          <w:rFonts w:ascii="Arial" w:hAnsi="Arial" w:cs="Arial"/>
          <w:sz w:val="24"/>
          <w:szCs w:val="24"/>
        </w:rPr>
      </w:pPr>
    </w:p>
    <w:p w14:paraId="0C9085D3" w14:textId="1F6AB809" w:rsidR="00506E2A" w:rsidRDefault="00506E2A" w:rsidP="004B4CE4">
      <w:pPr>
        <w:tabs>
          <w:tab w:val="left" w:pos="2100"/>
        </w:tabs>
        <w:spacing w:line="276" w:lineRule="auto"/>
        <w:rPr>
          <w:rFonts w:ascii="Arial" w:hAnsi="Arial" w:cs="Arial"/>
          <w:sz w:val="24"/>
          <w:szCs w:val="24"/>
        </w:rPr>
      </w:pPr>
    </w:p>
    <w:p w14:paraId="5C22F694" w14:textId="24BFAECD" w:rsidR="00506E2A" w:rsidRDefault="00506E2A" w:rsidP="004B4CE4">
      <w:pPr>
        <w:tabs>
          <w:tab w:val="left" w:pos="2100"/>
        </w:tabs>
        <w:spacing w:line="276" w:lineRule="auto"/>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3755390" behindDoc="0" locked="0" layoutInCell="1" allowOverlap="1" wp14:anchorId="5A5CE8B5" wp14:editId="6AA3C74A">
                <wp:simplePos x="0" y="0"/>
                <wp:positionH relativeFrom="column">
                  <wp:posOffset>431800</wp:posOffset>
                </wp:positionH>
                <wp:positionV relativeFrom="paragraph">
                  <wp:posOffset>194945</wp:posOffset>
                </wp:positionV>
                <wp:extent cx="4381500" cy="457200"/>
                <wp:effectExtent l="0" t="0" r="0" b="0"/>
                <wp:wrapNone/>
                <wp:docPr id="2051" name="Text Box 2051"/>
                <wp:cNvGraphicFramePr/>
                <a:graphic xmlns:a="http://schemas.openxmlformats.org/drawingml/2006/main">
                  <a:graphicData uri="http://schemas.microsoft.com/office/word/2010/wordprocessingShape">
                    <wps:wsp>
                      <wps:cNvSpPr txBox="1"/>
                      <wps:spPr>
                        <a:xfrm>
                          <a:off x="0" y="0"/>
                          <a:ext cx="4381500" cy="457200"/>
                        </a:xfrm>
                        <a:prstGeom prst="rect">
                          <a:avLst/>
                        </a:prstGeom>
                        <a:noFill/>
                        <a:ln w="6350">
                          <a:noFill/>
                        </a:ln>
                      </wps:spPr>
                      <wps:txbx>
                        <w:txbxContent>
                          <w:p w14:paraId="5D42816A" w14:textId="7812FB48" w:rsidR="00D15FD8" w:rsidRPr="00C77BF8" w:rsidRDefault="00D15FD8" w:rsidP="00BD6508">
                            <w:pPr>
                              <w:pStyle w:val="Heading2"/>
                              <w:numPr>
                                <w:ilvl w:val="1"/>
                                <w:numId w:val="115"/>
                              </w:numPr>
                              <w:ind w:left="426"/>
                              <w:rPr>
                                <w:rFonts w:ascii="Arial" w:hAnsi="Arial" w:cs="Arial"/>
                                <w:b/>
                                <w:bCs/>
                                <w:color w:val="F26D24"/>
                                <w:sz w:val="36"/>
                                <w:szCs w:val="36"/>
                              </w:rPr>
                            </w:pPr>
                            <w:bookmarkStart w:id="2031" w:name="_Toc123204533"/>
                            <w:bookmarkStart w:id="2032" w:name="_Toc123216644"/>
                            <w:bookmarkStart w:id="2033" w:name="_Toc123217484"/>
                            <w:bookmarkStart w:id="2034" w:name="_Toc123828230"/>
                            <w:bookmarkStart w:id="2035" w:name="_Toc123828440"/>
                            <w:bookmarkStart w:id="2036" w:name="_Toc123828636"/>
                            <w:bookmarkStart w:id="2037" w:name="_Toc123912663"/>
                            <w:bookmarkStart w:id="2038" w:name="_Toc123912922"/>
                            <w:bookmarkStart w:id="2039" w:name="_Toc123913149"/>
                            <w:bookmarkStart w:id="2040" w:name="_Toc123913440"/>
                            <w:bookmarkStart w:id="2041" w:name="_Toc123914097"/>
                            <w:bookmarkStart w:id="2042" w:name="_Toc125566712"/>
                            <w:r w:rsidRPr="00C77BF8">
                              <w:rPr>
                                <w:rFonts w:ascii="Arial" w:hAnsi="Arial" w:cs="Arial"/>
                                <w:b/>
                                <w:bCs/>
                                <w:color w:val="F26D24"/>
                                <w:sz w:val="36"/>
                                <w:szCs w:val="36"/>
                              </w:rPr>
                              <w:t>Purpose of FMIS</w:t>
                            </w:r>
                            <w:bookmarkEnd w:id="2031"/>
                            <w:bookmarkEnd w:id="2032"/>
                            <w:bookmarkEnd w:id="2033"/>
                            <w:bookmarkEnd w:id="2034"/>
                            <w:bookmarkEnd w:id="2035"/>
                            <w:bookmarkEnd w:id="2036"/>
                            <w:bookmarkEnd w:id="2037"/>
                            <w:bookmarkEnd w:id="2038"/>
                            <w:bookmarkEnd w:id="2039"/>
                            <w:bookmarkEnd w:id="2040"/>
                            <w:bookmarkEnd w:id="2041"/>
                            <w:bookmarkEnd w:id="2042"/>
                          </w:p>
                          <w:p w14:paraId="5B6B9F31" w14:textId="77777777" w:rsidR="00D15FD8" w:rsidRPr="00BD6508" w:rsidRDefault="00D15FD8" w:rsidP="00BD6508">
                            <w:pPr>
                              <w:pStyle w:val="Heading2"/>
                              <w:rPr>
                                <w:rFonts w:ascii="Arial" w:hAnsi="Arial" w:cs="Arial"/>
                                <w:b/>
                                <w:bCs/>
                                <w:color w:val="F26D24"/>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5CE8B5" id="Text Box 2051" o:spid="_x0000_s1486" type="#_x0000_t202" style="position:absolute;margin-left:34pt;margin-top:15.35pt;width:345pt;height:36pt;z-index:2537553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" filled="f" stroked="f" strokeweight=".5pt">
                <v:textbox>
                  <w:txbxContent>
                    <w:p w14:paraId="5D42816A" w14:textId="7812FB48" w:rsidR="00D15FD8" w:rsidRPr="00C77BF8" w:rsidRDefault="00D15FD8" w:rsidP="00BD6508">
                      <w:pPr>
                        <w:pStyle w:val="Heading2"/>
                        <w:numPr>
                          <w:ilvl w:val="1"/>
                          <w:numId w:val="115"/>
                        </w:numPr>
                        <w:ind w:left="426"/>
                        <w:rPr>
                          <w:rFonts w:ascii="Arial" w:hAnsi="Arial" w:cs="Arial"/>
                          <w:b/>
                          <w:bCs/>
                          <w:color w:val="F26D24"/>
                          <w:sz w:val="36"/>
                          <w:szCs w:val="36"/>
                        </w:rPr>
                      </w:pPr>
                      <w:bookmarkStart w:id="2043" w:name="_Toc123204533"/>
                      <w:bookmarkStart w:id="2044" w:name="_Toc123216644"/>
                      <w:bookmarkStart w:id="2045" w:name="_Toc123217484"/>
                      <w:bookmarkStart w:id="2046" w:name="_Toc123828230"/>
                      <w:bookmarkStart w:id="2047" w:name="_Toc123828440"/>
                      <w:bookmarkStart w:id="2048" w:name="_Toc123828636"/>
                      <w:bookmarkStart w:id="2049" w:name="_Toc123912663"/>
                      <w:bookmarkStart w:id="2050" w:name="_Toc123912922"/>
                      <w:bookmarkStart w:id="2051" w:name="_Toc123913149"/>
                      <w:bookmarkStart w:id="2052" w:name="_Toc123913440"/>
                      <w:bookmarkStart w:id="2053" w:name="_Toc123914097"/>
                      <w:bookmarkStart w:id="2054" w:name="_Toc125566712"/>
                      <w:r w:rsidRPr="00C77BF8">
                        <w:rPr>
                          <w:rFonts w:ascii="Arial" w:hAnsi="Arial" w:cs="Arial"/>
                          <w:b/>
                          <w:bCs/>
                          <w:color w:val="F26D24"/>
                          <w:sz w:val="36"/>
                          <w:szCs w:val="36"/>
                        </w:rPr>
                        <w:t>Purpose of FMIS</w:t>
                      </w:r>
                      <w:bookmarkEnd w:id="2043"/>
                      <w:bookmarkEnd w:id="2044"/>
                      <w:bookmarkEnd w:id="2045"/>
                      <w:bookmarkEnd w:id="2046"/>
                      <w:bookmarkEnd w:id="2047"/>
                      <w:bookmarkEnd w:id="2048"/>
                      <w:bookmarkEnd w:id="2049"/>
                      <w:bookmarkEnd w:id="2050"/>
                      <w:bookmarkEnd w:id="2051"/>
                      <w:bookmarkEnd w:id="2052"/>
                      <w:bookmarkEnd w:id="2053"/>
                      <w:bookmarkEnd w:id="2054"/>
                    </w:p>
                    <w:p w14:paraId="5B6B9F31" w14:textId="77777777" w:rsidR="00D15FD8" w:rsidRPr="00BD6508" w:rsidRDefault="00D15FD8" w:rsidP="00BD6508">
                      <w:pPr>
                        <w:pStyle w:val="Heading2"/>
                        <w:rPr>
                          <w:rFonts w:ascii="Arial" w:hAnsi="Arial" w:cs="Arial"/>
                          <w:b/>
                          <w:bCs/>
                          <w:color w:val="F26D24"/>
                          <w:sz w:val="32"/>
                          <w:szCs w:val="32"/>
                        </w:rPr>
                      </w:pPr>
                    </w:p>
                  </w:txbxContent>
                </v:textbox>
              </v:shape>
            </w:pict>
          </mc:Fallback>
        </mc:AlternateContent>
      </w:r>
      <w:r>
        <w:rPr>
          <w:rFonts w:ascii="Arial" w:hAnsi="Arial" w:cs="Arial"/>
          <w:noProof/>
          <w:sz w:val="24"/>
          <w:szCs w:val="24"/>
          <w:lang w:val="en-US"/>
        </w:rPr>
        <w:drawing>
          <wp:anchor distT="0" distB="0" distL="114300" distR="114300" simplePos="0" relativeHeight="253754366" behindDoc="1" locked="0" layoutInCell="1" allowOverlap="1" wp14:anchorId="673CAB19" wp14:editId="6FA00BB7">
            <wp:simplePos x="0" y="0"/>
            <wp:positionH relativeFrom="column">
              <wp:posOffset>73660</wp:posOffset>
            </wp:positionH>
            <wp:positionV relativeFrom="paragraph">
              <wp:posOffset>194945</wp:posOffset>
            </wp:positionV>
            <wp:extent cx="359410" cy="359410"/>
            <wp:effectExtent l="0" t="0" r="0" b="0"/>
            <wp:wrapTight wrapText="bothSides">
              <wp:wrapPolygon edited="0">
                <wp:start x="6106" y="0"/>
                <wp:lineTo x="0" y="3053"/>
                <wp:lineTo x="0" y="18318"/>
                <wp:lineTo x="6106" y="20608"/>
                <wp:lineTo x="13739" y="20608"/>
                <wp:lineTo x="20608" y="17555"/>
                <wp:lineTo x="20608" y="3053"/>
                <wp:lineTo x="13739" y="0"/>
                <wp:lineTo x="6106" y="0"/>
              </wp:wrapPolygon>
            </wp:wrapTight>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Picture 2031"/>
                    <pic:cNvPicPr/>
                  </pic:nvPicPr>
                  <pic:blipFill rotWithShape="1">
                    <a:blip r:embed="rId840" cstate="email">
                      <a:extLst>
                        <a:ext uri="{28A0092B-C50C-407E-A947-70E740481C1C}">
                          <a14:useLocalDpi xmlns:a14="http://schemas.microsoft.com/office/drawing/2010/main"/>
                        </a:ext>
                      </a:extLst>
                    </a:blip>
                    <a:srcRect/>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3753342" behindDoc="1" locked="0" layoutInCell="1" allowOverlap="1" wp14:anchorId="40B03228" wp14:editId="37DEFAF3">
                <wp:simplePos x="0" y="0"/>
                <wp:positionH relativeFrom="column">
                  <wp:posOffset>-88900</wp:posOffset>
                </wp:positionH>
                <wp:positionV relativeFrom="paragraph">
                  <wp:posOffset>80645</wp:posOffset>
                </wp:positionV>
                <wp:extent cx="5130800" cy="571500"/>
                <wp:effectExtent l="12700" t="12700" r="12700" b="12700"/>
                <wp:wrapNone/>
                <wp:docPr id="2050" name="Rounded Rectangle 2050"/>
                <wp:cNvGraphicFramePr/>
                <a:graphic xmlns:a="http://schemas.openxmlformats.org/drawingml/2006/main">
                  <a:graphicData uri="http://schemas.microsoft.com/office/word/2010/wordprocessingShape">
                    <wps:wsp>
                      <wps:cNvSpPr/>
                      <wps:spPr>
                        <a:xfrm>
                          <a:off x="0" y="0"/>
                          <a:ext cx="5130800" cy="5715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roundrect w14:anchorId="0BC84BCB" id="Rounded Rectangle 2050" o:spid="_x0000_s1026" style="position:absolute;margin-left:-7pt;margin-top:6.35pt;width:404pt;height:45pt;z-index:-24956313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" filled="f" strokecolor="#82c9a0" strokeweight="2.25pt">
                <v:stroke joinstyle="miter"/>
              </v:roundrect>
            </w:pict>
          </mc:Fallback>
        </mc:AlternateContent>
      </w:r>
    </w:p>
    <w:p w14:paraId="2B86938F" w14:textId="64D7A3EC" w:rsidR="00506E2A" w:rsidRPr="00506E2A" w:rsidRDefault="00506E2A" w:rsidP="00BD6508">
      <w:pPr>
        <w:rPr>
          <w:rFonts w:ascii="Arial" w:hAnsi="Arial" w:cs="Arial"/>
          <w:sz w:val="24"/>
          <w:szCs w:val="24"/>
        </w:rPr>
      </w:pPr>
    </w:p>
    <w:p w14:paraId="3FB87FCF" w14:textId="240BF155" w:rsidR="00506E2A" w:rsidRPr="00506E2A" w:rsidRDefault="00506E2A" w:rsidP="00BD6508">
      <w:pPr>
        <w:rPr>
          <w:rFonts w:ascii="Arial" w:hAnsi="Arial" w:cs="Arial"/>
          <w:sz w:val="24"/>
          <w:szCs w:val="24"/>
        </w:rPr>
      </w:pPr>
    </w:p>
    <w:p w14:paraId="79360824" w14:textId="28E34B1C" w:rsidR="00506E2A" w:rsidRDefault="00506E2A" w:rsidP="00506E2A">
      <w:pPr>
        <w:rPr>
          <w:rFonts w:ascii="Arial" w:hAnsi="Arial" w:cs="Arial"/>
          <w:sz w:val="24"/>
          <w:szCs w:val="24"/>
        </w:rPr>
      </w:pPr>
    </w:p>
    <w:p w14:paraId="32C538BB" w14:textId="5FB3F778" w:rsidR="00506E2A" w:rsidRPr="00506E2A" w:rsidRDefault="00506E2A" w:rsidP="00BD6508">
      <w:pPr>
        <w:spacing w:line="276" w:lineRule="auto"/>
        <w:rPr>
          <w:rFonts w:ascii="Arial" w:hAnsi="Arial" w:cs="Arial"/>
          <w:sz w:val="24"/>
          <w:szCs w:val="24"/>
        </w:rPr>
      </w:pPr>
    </w:p>
    <w:p w14:paraId="5ECDBF7A" w14:textId="0E5CC115" w:rsidR="00506E2A" w:rsidRPr="00BD6508" w:rsidRDefault="00506E2A" w:rsidP="00BD6508">
      <w:pPr>
        <w:spacing w:line="276" w:lineRule="auto"/>
        <w:jc w:val="both"/>
        <w:rPr>
          <w:rFonts w:ascii="Arial" w:hAnsi="Arial" w:cs="Arial"/>
          <w:sz w:val="24"/>
          <w:szCs w:val="24"/>
          <w:lang w:val="en-US"/>
        </w:rPr>
      </w:pPr>
      <w:r w:rsidRPr="00BD6508">
        <w:rPr>
          <w:rFonts w:ascii="Arial" w:hAnsi="Arial" w:cs="Arial"/>
          <w:sz w:val="24"/>
          <w:szCs w:val="24"/>
          <w:lang w:val="en-US"/>
        </w:rPr>
        <w:t>The FMIS is a key fiscal management tool. It can generate quality data and reports that support financial decision making and improvements in fiscal discipline, expenditure control and fiscal transparency. A FMIS provides a set of tools to assist government managers to perform financial management functions throughout the fiscal policy cycle, including in budget preparation, execution, accounting and reporting. It can record and track commitments, and maintain the accounts for government revenues and expenditures, providing for the automatic enforcement of various controls, that previously had to be done manually. This includes that the system can record the budget approved by the legislature as spending limits to individual spending units and capture any revisions undertaken during the fiscal year, for example through virements. This data can be used to inform decisions on fiscal policies and programs, and to publish reliable information on budget performance</w:t>
      </w:r>
      <w:r w:rsidRPr="00BD6508">
        <w:rPr>
          <w:rFonts w:ascii="Arial" w:hAnsi="Arial" w:cs="Arial"/>
          <w:sz w:val="24"/>
          <w:szCs w:val="24"/>
        </w:rPr>
        <w:t>.</w:t>
      </w:r>
    </w:p>
    <w:p w14:paraId="16378550" w14:textId="2EF9D3A6" w:rsidR="00506E2A" w:rsidRPr="00BD6508" w:rsidRDefault="00506E2A" w:rsidP="00BD6508">
      <w:pPr>
        <w:spacing w:line="276" w:lineRule="auto"/>
        <w:jc w:val="both"/>
        <w:rPr>
          <w:rFonts w:ascii="Arial" w:hAnsi="Arial" w:cs="Arial"/>
          <w:sz w:val="24"/>
          <w:szCs w:val="24"/>
          <w:lang w:val="en-US"/>
        </w:rPr>
      </w:pPr>
    </w:p>
    <w:p w14:paraId="6B02074E" w14:textId="4204847E" w:rsidR="00506E2A" w:rsidRDefault="00506E2A" w:rsidP="00506E2A">
      <w:pPr>
        <w:spacing w:line="276" w:lineRule="auto"/>
        <w:jc w:val="both"/>
        <w:rPr>
          <w:rFonts w:ascii="Arial" w:hAnsi="Arial" w:cs="Arial"/>
          <w:sz w:val="24"/>
          <w:szCs w:val="24"/>
        </w:rPr>
      </w:pPr>
      <w:r w:rsidRPr="00BD6508">
        <w:rPr>
          <w:rFonts w:ascii="Arial" w:hAnsi="Arial" w:cs="Arial"/>
          <w:sz w:val="24"/>
          <w:szCs w:val="24"/>
          <w:lang w:val="en-US"/>
        </w:rPr>
        <w:t xml:space="preserve">More specifically, FMISs vary in terms of the functionalities they perform: </w:t>
      </w:r>
      <w:r w:rsidRPr="00BD6508">
        <w:rPr>
          <w:rFonts w:ascii="Arial" w:hAnsi="Arial" w:cs="Arial"/>
          <w:sz w:val="24"/>
          <w:szCs w:val="24"/>
        </w:rPr>
        <w:t xml:space="preserve">systems are typically customized to individual country circumstances and thus perform different functions. As seen in the diagram below, however as a minimum they typically provide core functions including treasury and cash management; accounting and </w:t>
      </w:r>
      <w:r w:rsidRPr="00BD6508">
        <w:rPr>
          <w:rFonts w:ascii="Arial" w:hAnsi="Arial" w:cs="Arial"/>
          <w:sz w:val="24"/>
          <w:szCs w:val="24"/>
          <w:lang w:val="en-US"/>
        </w:rPr>
        <w:t>financial</w:t>
      </w:r>
      <w:r w:rsidRPr="00BD6508">
        <w:rPr>
          <w:rFonts w:ascii="Arial" w:hAnsi="Arial" w:cs="Arial"/>
          <w:sz w:val="24"/>
          <w:szCs w:val="24"/>
        </w:rPr>
        <w:t xml:space="preserve"> reporting; and budget execution functions, as such providing for:</w:t>
      </w:r>
    </w:p>
    <w:p w14:paraId="38DA7C3F" w14:textId="37C9BC38" w:rsidR="00D8131F" w:rsidRDefault="003F23CD" w:rsidP="00506E2A">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56414" behindDoc="0" locked="0" layoutInCell="1" allowOverlap="1" wp14:anchorId="773C80F3" wp14:editId="47D3E4BB">
            <wp:simplePos x="0" y="0"/>
            <wp:positionH relativeFrom="column">
              <wp:posOffset>-25400</wp:posOffset>
            </wp:positionH>
            <wp:positionV relativeFrom="paragraph">
              <wp:posOffset>170815</wp:posOffset>
            </wp:positionV>
            <wp:extent cx="730885" cy="635000"/>
            <wp:effectExtent l="0" t="0" r="5715" b="0"/>
            <wp:wrapSquare wrapText="bothSides"/>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pic:cNvPicPr/>
                  </pic:nvPicPr>
                  <pic:blipFill rotWithShape="1">
                    <a:blip r:embed="rId843" cstate="email">
                      <a:extLst>
                        <a:ext uri="{28A0092B-C50C-407E-A947-70E740481C1C}">
                          <a14:useLocalDpi xmlns:a14="http://schemas.microsoft.com/office/drawing/2010/main"/>
                        </a:ext>
                      </a:extLst>
                    </a:blip>
                    <a:srcRect/>
                    <a:stretch/>
                  </pic:blipFill>
                  <pic:spPr bwMode="auto">
                    <a:xfrm>
                      <a:off x="0" y="0"/>
                      <a:ext cx="730885"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31F">
        <w:rPr>
          <w:rFonts w:ascii="Arial" w:hAnsi="Arial" w:cs="Arial"/>
          <w:noProof/>
          <w:sz w:val="24"/>
          <w:szCs w:val="24"/>
          <w:lang w:val="en-US"/>
        </w:rPr>
        <mc:AlternateContent>
          <mc:Choice Requires="wps">
            <w:drawing>
              <wp:anchor distT="0" distB="0" distL="114300" distR="114300" simplePos="0" relativeHeight="253757438" behindDoc="0" locked="0" layoutInCell="1" allowOverlap="1" wp14:anchorId="7045D995" wp14:editId="4037B8F9">
                <wp:simplePos x="0" y="0"/>
                <wp:positionH relativeFrom="column">
                  <wp:posOffset>825500</wp:posOffset>
                </wp:positionH>
                <wp:positionV relativeFrom="paragraph">
                  <wp:posOffset>196215</wp:posOffset>
                </wp:positionV>
                <wp:extent cx="5816600" cy="635000"/>
                <wp:effectExtent l="0" t="0" r="0" b="0"/>
                <wp:wrapNone/>
                <wp:docPr id="2054" name="Rounded Rectangle 2054"/>
                <wp:cNvGraphicFramePr/>
                <a:graphic xmlns:a="http://schemas.openxmlformats.org/drawingml/2006/main">
                  <a:graphicData uri="http://schemas.microsoft.com/office/word/2010/wordprocessingShape">
                    <wps:wsp>
                      <wps:cNvSpPr/>
                      <wps:spPr>
                        <a:xfrm>
                          <a:off x="0" y="0"/>
                          <a:ext cx="5816600" cy="635000"/>
                        </a:xfrm>
                        <a:prstGeom prst="roundRect">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7B165D41" id="Rounded Rectangle 2054" o:spid="_x0000_s1026" style="position:absolute;margin-left:65pt;margin-top:15.45pt;width:458pt;height:50pt;z-index:2537574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" fillcolor="#82c9a0" stroked="f" strokeweight="1pt">
                <v:stroke joinstyle="miter"/>
              </v:roundrect>
            </w:pict>
          </mc:Fallback>
        </mc:AlternateContent>
      </w:r>
    </w:p>
    <w:p w14:paraId="1D4A205C" w14:textId="736654A2" w:rsidR="00D8131F" w:rsidRDefault="00D8131F" w:rsidP="00506E2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58462" behindDoc="0" locked="0" layoutInCell="1" allowOverlap="1" wp14:anchorId="18DDB594" wp14:editId="338B56F3">
                <wp:simplePos x="0" y="0"/>
                <wp:positionH relativeFrom="column">
                  <wp:posOffset>939800</wp:posOffset>
                </wp:positionH>
                <wp:positionV relativeFrom="paragraph">
                  <wp:posOffset>83820</wp:posOffset>
                </wp:positionV>
                <wp:extent cx="5575300" cy="469900"/>
                <wp:effectExtent l="0" t="0" r="0" b="0"/>
                <wp:wrapNone/>
                <wp:docPr id="2055" name="Text Box 2055"/>
                <wp:cNvGraphicFramePr/>
                <a:graphic xmlns:a="http://schemas.openxmlformats.org/drawingml/2006/main">
                  <a:graphicData uri="http://schemas.microsoft.com/office/word/2010/wordprocessingShape">
                    <wps:wsp>
                      <wps:cNvSpPr txBox="1"/>
                      <wps:spPr>
                        <a:xfrm>
                          <a:off x="0" y="0"/>
                          <a:ext cx="5575300" cy="469900"/>
                        </a:xfrm>
                        <a:prstGeom prst="rect">
                          <a:avLst/>
                        </a:prstGeom>
                        <a:noFill/>
                        <a:ln w="6350">
                          <a:noFill/>
                        </a:ln>
                      </wps:spPr>
                      <wps:txbx>
                        <w:txbxContent>
                          <w:p w14:paraId="17B7D611" w14:textId="20233D95" w:rsidR="00D15FD8" w:rsidRPr="00BD6508" w:rsidRDefault="00D15FD8" w:rsidP="00BD6508">
                            <w:pPr>
                              <w:spacing w:line="276" w:lineRule="auto"/>
                              <w:rPr>
                                <w:b/>
                                <w:bCs/>
                                <w:color w:val="FFFFFF" w:themeColor="background1"/>
                              </w:rPr>
                            </w:pPr>
                            <w:r w:rsidRPr="00BD6508">
                              <w:rPr>
                                <w:rFonts w:ascii="Arial" w:hAnsi="Arial" w:cs="Arial"/>
                                <w:b/>
                                <w:bCs/>
                                <w:color w:val="FFFFFF" w:themeColor="background1"/>
                                <w:sz w:val="24"/>
                                <w:szCs w:val="24"/>
                              </w:rPr>
                              <w:t>the storing of budget information, that is classifying and recording all financial transactions;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DDB594" id="Text Box 2055" o:spid="_x0000_s1487" type="#_x0000_t202" style="position:absolute;left:0;text-align:left;margin-left:74pt;margin-top:6.6pt;width:439pt;height:37pt;z-index:2537584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" filled="f" stroked="f" strokeweight=".5pt">
                <v:textbox>
                  <w:txbxContent>
                    <w:p w14:paraId="17B7D611" w14:textId="20233D95" w:rsidR="00D15FD8" w:rsidRPr="00BD6508" w:rsidRDefault="00D15FD8" w:rsidP="00BD6508">
                      <w:pPr>
                        <w:spacing w:line="276" w:lineRule="auto"/>
                        <w:rPr>
                          <w:b/>
                          <w:bCs/>
                          <w:color w:val="FFFFFF" w:themeColor="background1"/>
                        </w:rPr>
                      </w:pPr>
                      <w:r w:rsidRPr="00BD6508">
                        <w:rPr>
                          <w:rFonts w:ascii="Arial" w:hAnsi="Arial" w:cs="Arial"/>
                          <w:b/>
                          <w:bCs/>
                          <w:color w:val="FFFFFF" w:themeColor="background1"/>
                          <w:sz w:val="24"/>
                          <w:szCs w:val="24"/>
                        </w:rPr>
                        <w:t>the storing of budget information, that is classifying and recording all financial transactions;</w:t>
                      </w:r>
                    </w:p>
                  </w:txbxContent>
                </v:textbox>
              </v:shape>
            </w:pict>
          </mc:Fallback>
        </mc:AlternateContent>
      </w:r>
    </w:p>
    <w:p w14:paraId="42E4741B" w14:textId="78F88BC9" w:rsidR="00D8131F" w:rsidRDefault="00D8131F" w:rsidP="00506E2A">
      <w:pPr>
        <w:spacing w:line="276" w:lineRule="auto"/>
        <w:jc w:val="both"/>
        <w:rPr>
          <w:rFonts w:ascii="Arial" w:hAnsi="Arial" w:cs="Arial"/>
          <w:sz w:val="24"/>
          <w:szCs w:val="24"/>
        </w:rPr>
      </w:pPr>
    </w:p>
    <w:p w14:paraId="1A4AEB36" w14:textId="1CC873D1" w:rsidR="00D8131F" w:rsidRDefault="00D8131F" w:rsidP="00506E2A">
      <w:pPr>
        <w:spacing w:line="276" w:lineRule="auto"/>
        <w:jc w:val="both"/>
        <w:rPr>
          <w:rFonts w:ascii="Arial" w:hAnsi="Arial" w:cs="Arial"/>
          <w:sz w:val="24"/>
          <w:szCs w:val="24"/>
        </w:rPr>
      </w:pPr>
    </w:p>
    <w:p w14:paraId="554A7BC3" w14:textId="7A03B135" w:rsidR="00D8131F" w:rsidRDefault="00D8131F" w:rsidP="00506E2A">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59486" behindDoc="0" locked="0" layoutInCell="1" allowOverlap="1" wp14:anchorId="3645109F" wp14:editId="03D4DAE3">
            <wp:simplePos x="0" y="0"/>
            <wp:positionH relativeFrom="column">
              <wp:posOffset>25400</wp:posOffset>
            </wp:positionH>
            <wp:positionV relativeFrom="paragraph">
              <wp:posOffset>203200</wp:posOffset>
            </wp:positionV>
            <wp:extent cx="624840" cy="825500"/>
            <wp:effectExtent l="0" t="0" r="0" b="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pic:cNvPicPr/>
                  </pic:nvPicPr>
                  <pic:blipFill rotWithShape="1">
                    <a:blip r:embed="rId844" cstate="email">
                      <a:extLst>
                        <a:ext uri="{28A0092B-C50C-407E-A947-70E740481C1C}">
                          <a14:useLocalDpi xmlns:a14="http://schemas.microsoft.com/office/drawing/2010/main"/>
                        </a:ext>
                      </a:extLst>
                    </a:blip>
                    <a:srcRect/>
                    <a:stretch/>
                  </pic:blipFill>
                  <pic:spPr bwMode="auto">
                    <a:xfrm>
                      <a:off x="0" y="0"/>
                      <a:ext cx="624840" cy="82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D49A4E" w14:textId="701C9A3B" w:rsidR="00D8131F" w:rsidRDefault="00D8131F" w:rsidP="00506E2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62558" behindDoc="0" locked="0" layoutInCell="1" allowOverlap="1" wp14:anchorId="04CFCB9D" wp14:editId="35963878">
                <wp:simplePos x="0" y="0"/>
                <wp:positionH relativeFrom="column">
                  <wp:posOffset>939800</wp:posOffset>
                </wp:positionH>
                <wp:positionV relativeFrom="paragraph">
                  <wp:posOffset>185420</wp:posOffset>
                </wp:positionV>
                <wp:extent cx="5575300" cy="469900"/>
                <wp:effectExtent l="0" t="0" r="0" b="0"/>
                <wp:wrapNone/>
                <wp:docPr id="2058" name="Text Box 2058"/>
                <wp:cNvGraphicFramePr/>
                <a:graphic xmlns:a="http://schemas.openxmlformats.org/drawingml/2006/main">
                  <a:graphicData uri="http://schemas.microsoft.com/office/word/2010/wordprocessingShape">
                    <wps:wsp>
                      <wps:cNvSpPr txBox="1"/>
                      <wps:spPr>
                        <a:xfrm>
                          <a:off x="0" y="0"/>
                          <a:ext cx="5575300" cy="469900"/>
                        </a:xfrm>
                        <a:prstGeom prst="rect">
                          <a:avLst/>
                        </a:prstGeom>
                        <a:noFill/>
                        <a:ln w="6350">
                          <a:noFill/>
                        </a:ln>
                      </wps:spPr>
                      <wps:txbx>
                        <w:txbxContent>
                          <w:p w14:paraId="0EADC597" w14:textId="45948A19" w:rsidR="00D15FD8" w:rsidRPr="00BD6508" w:rsidRDefault="00D15FD8" w:rsidP="00BD6508">
                            <w:pPr>
                              <w:spacing w:line="276" w:lineRule="auto"/>
                              <w:rPr>
                                <w:b/>
                                <w:bCs/>
                                <w:color w:val="FFFFFF" w:themeColor="background1"/>
                              </w:rPr>
                            </w:pPr>
                            <w:r w:rsidRPr="00D8131F">
                              <w:rPr>
                                <w:rFonts w:ascii="Arial" w:hAnsi="Arial" w:cs="Arial"/>
                                <w:b/>
                                <w:bCs/>
                                <w:color w:val="FFFFFF" w:themeColor="background1"/>
                                <w:sz w:val="24"/>
                                <w:szCs w:val="24"/>
                              </w:rPr>
                              <w:t>reporting tools to produce in-year, year-end financial and management reports for individual institutions as well as consolidated reports;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CFCB9D" id="Text Box 2058" o:spid="_x0000_s1488" type="#_x0000_t202" style="position:absolute;left:0;text-align:left;margin-left:74pt;margin-top:14.6pt;width:439pt;height:37pt;z-index:2537625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" filled="f" stroked="f" strokeweight=".5pt">
                <v:textbox>
                  <w:txbxContent>
                    <w:p w14:paraId="0EADC597" w14:textId="45948A19" w:rsidR="00D15FD8" w:rsidRPr="00BD6508" w:rsidRDefault="00D15FD8" w:rsidP="00BD6508">
                      <w:pPr>
                        <w:spacing w:line="276" w:lineRule="auto"/>
                        <w:rPr>
                          <w:b/>
                          <w:bCs/>
                          <w:color w:val="FFFFFF" w:themeColor="background1"/>
                        </w:rPr>
                      </w:pPr>
                      <w:r w:rsidRPr="00D8131F">
                        <w:rPr>
                          <w:rFonts w:ascii="Arial" w:hAnsi="Arial" w:cs="Arial"/>
                          <w:b/>
                          <w:bCs/>
                          <w:color w:val="FFFFFF" w:themeColor="background1"/>
                          <w:sz w:val="24"/>
                          <w:szCs w:val="24"/>
                        </w:rPr>
                        <w:t>reporting tools to produce in-year, year-end financial and management reports for individual institutions as well as consolidated reports;</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761534" behindDoc="0" locked="0" layoutInCell="1" allowOverlap="1" wp14:anchorId="5DA833AE" wp14:editId="5274CC2F">
                <wp:simplePos x="0" y="0"/>
                <wp:positionH relativeFrom="column">
                  <wp:posOffset>825500</wp:posOffset>
                </wp:positionH>
                <wp:positionV relativeFrom="paragraph">
                  <wp:posOffset>96520</wp:posOffset>
                </wp:positionV>
                <wp:extent cx="5816600" cy="635000"/>
                <wp:effectExtent l="0" t="0" r="0" b="0"/>
                <wp:wrapNone/>
                <wp:docPr id="2057" name="Rounded Rectangle 2057"/>
                <wp:cNvGraphicFramePr/>
                <a:graphic xmlns:a="http://schemas.openxmlformats.org/drawingml/2006/main">
                  <a:graphicData uri="http://schemas.microsoft.com/office/word/2010/wordprocessingShape">
                    <wps:wsp>
                      <wps:cNvSpPr/>
                      <wps:spPr>
                        <a:xfrm>
                          <a:off x="0" y="0"/>
                          <a:ext cx="5816600" cy="635000"/>
                        </a:xfrm>
                        <a:prstGeom prst="roundRect">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63B3540F" id="Rounded Rectangle 2057" o:spid="_x0000_s1026" style="position:absolute;margin-left:65pt;margin-top:7.6pt;width:458pt;height:50pt;z-index:2537615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" fillcolor="#82c9a0" stroked="f" strokeweight="1pt">
                <v:stroke joinstyle="miter"/>
              </v:roundrect>
            </w:pict>
          </mc:Fallback>
        </mc:AlternateContent>
      </w:r>
    </w:p>
    <w:p w14:paraId="7756D722" w14:textId="45E3B2AF" w:rsidR="00D8131F" w:rsidRDefault="00D8131F" w:rsidP="00506E2A">
      <w:pPr>
        <w:spacing w:line="276" w:lineRule="auto"/>
        <w:jc w:val="both"/>
        <w:rPr>
          <w:rFonts w:ascii="Arial" w:hAnsi="Arial" w:cs="Arial"/>
          <w:sz w:val="24"/>
          <w:szCs w:val="24"/>
        </w:rPr>
      </w:pPr>
    </w:p>
    <w:p w14:paraId="7886C273" w14:textId="719A05B9" w:rsidR="00D8131F" w:rsidRDefault="00D8131F" w:rsidP="00506E2A">
      <w:pPr>
        <w:spacing w:line="276" w:lineRule="auto"/>
        <w:jc w:val="both"/>
        <w:rPr>
          <w:rFonts w:ascii="Arial" w:hAnsi="Arial" w:cs="Arial"/>
          <w:sz w:val="24"/>
          <w:szCs w:val="24"/>
        </w:rPr>
      </w:pPr>
    </w:p>
    <w:p w14:paraId="4D5762C2" w14:textId="051E9166" w:rsidR="00D8131F" w:rsidRDefault="00D8131F" w:rsidP="00506E2A">
      <w:pPr>
        <w:spacing w:line="276" w:lineRule="auto"/>
        <w:jc w:val="both"/>
        <w:rPr>
          <w:rFonts w:ascii="Arial" w:hAnsi="Arial" w:cs="Arial"/>
          <w:sz w:val="24"/>
          <w:szCs w:val="24"/>
        </w:rPr>
      </w:pPr>
    </w:p>
    <w:p w14:paraId="75B53191" w14:textId="36B5D471" w:rsidR="00D8131F" w:rsidRDefault="00D8131F" w:rsidP="00506E2A">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65630" behindDoc="0" locked="0" layoutInCell="1" allowOverlap="1" wp14:anchorId="4CCA024D" wp14:editId="3AD64818">
                <wp:simplePos x="0" y="0"/>
                <wp:positionH relativeFrom="column">
                  <wp:posOffset>825500</wp:posOffset>
                </wp:positionH>
                <wp:positionV relativeFrom="paragraph">
                  <wp:posOffset>173355</wp:posOffset>
                </wp:positionV>
                <wp:extent cx="5816600" cy="1044000"/>
                <wp:effectExtent l="0" t="0" r="0" b="0"/>
                <wp:wrapNone/>
                <wp:docPr id="2060" name="Rounded Rectangle 2060"/>
                <wp:cNvGraphicFramePr/>
                <a:graphic xmlns:a="http://schemas.openxmlformats.org/drawingml/2006/main">
                  <a:graphicData uri="http://schemas.microsoft.com/office/word/2010/wordprocessingShape">
                    <wps:wsp>
                      <wps:cNvSpPr/>
                      <wps:spPr>
                        <a:xfrm>
                          <a:off x="0" y="0"/>
                          <a:ext cx="5816600" cy="1044000"/>
                        </a:xfrm>
                        <a:prstGeom prst="roundRect">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12FBC5A" id="Rounded Rectangle 2060" o:spid="_x0000_s1026" style="position:absolute;margin-left:65pt;margin-top:13.65pt;width:458pt;height:82.2pt;z-index:253765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" fillcolor="#82c9a0" stroked="f" strokeweight="1pt">
                <v:stroke joinstyle="miter"/>
              </v:roundrect>
            </w:pict>
          </mc:Fallback>
        </mc:AlternateContent>
      </w:r>
    </w:p>
    <w:p w14:paraId="354035E9" w14:textId="41697314" w:rsidR="00D8131F" w:rsidRDefault="003F23CD" w:rsidP="00506E2A">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63582" behindDoc="0" locked="0" layoutInCell="1" allowOverlap="1" wp14:anchorId="0854A143" wp14:editId="2EF551B8">
            <wp:simplePos x="0" y="0"/>
            <wp:positionH relativeFrom="column">
              <wp:posOffset>-17145</wp:posOffset>
            </wp:positionH>
            <wp:positionV relativeFrom="paragraph">
              <wp:posOffset>210820</wp:posOffset>
            </wp:positionV>
            <wp:extent cx="718185" cy="636905"/>
            <wp:effectExtent l="0" t="0" r="5715" b="0"/>
            <wp:wrapSquare wrapText="bothSides"/>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pic:cNvPicPr/>
                  </pic:nvPicPr>
                  <pic:blipFill rotWithShape="1">
                    <a:blip r:embed="rId845" cstate="email">
                      <a:extLst>
                        <a:ext uri="{28A0092B-C50C-407E-A947-70E740481C1C}">
                          <a14:useLocalDpi xmlns:a14="http://schemas.microsoft.com/office/drawing/2010/main"/>
                        </a:ext>
                      </a:extLst>
                    </a:blip>
                    <a:srcRect/>
                    <a:stretch/>
                  </pic:blipFill>
                  <pic:spPr bwMode="auto">
                    <a:xfrm>
                      <a:off x="0" y="0"/>
                      <a:ext cx="718185" cy="636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31F">
        <w:rPr>
          <w:rFonts w:ascii="Arial" w:hAnsi="Arial" w:cs="Arial"/>
          <w:noProof/>
          <w:sz w:val="24"/>
          <w:szCs w:val="24"/>
          <w:lang w:val="en-US"/>
        </w:rPr>
        <mc:AlternateContent>
          <mc:Choice Requires="wps">
            <w:drawing>
              <wp:anchor distT="0" distB="0" distL="114300" distR="114300" simplePos="0" relativeHeight="253766654" behindDoc="0" locked="0" layoutInCell="1" allowOverlap="1" wp14:anchorId="7BBE9E07" wp14:editId="42C1DA4B">
                <wp:simplePos x="0" y="0"/>
                <wp:positionH relativeFrom="column">
                  <wp:posOffset>939800</wp:posOffset>
                </wp:positionH>
                <wp:positionV relativeFrom="paragraph">
                  <wp:posOffset>60325</wp:posOffset>
                </wp:positionV>
                <wp:extent cx="5575300" cy="863600"/>
                <wp:effectExtent l="0" t="0" r="0" b="0"/>
                <wp:wrapNone/>
                <wp:docPr id="2061" name="Text Box 2061"/>
                <wp:cNvGraphicFramePr/>
                <a:graphic xmlns:a="http://schemas.openxmlformats.org/drawingml/2006/main">
                  <a:graphicData uri="http://schemas.microsoft.com/office/word/2010/wordprocessingShape">
                    <wps:wsp>
                      <wps:cNvSpPr txBox="1"/>
                      <wps:spPr>
                        <a:xfrm>
                          <a:off x="0" y="0"/>
                          <a:ext cx="5575300" cy="863600"/>
                        </a:xfrm>
                        <a:prstGeom prst="rect">
                          <a:avLst/>
                        </a:prstGeom>
                        <a:noFill/>
                        <a:ln w="6350">
                          <a:noFill/>
                        </a:ln>
                      </wps:spPr>
                      <wps:txbx>
                        <w:txbxContent>
                          <w:p w14:paraId="42D7ACE0" w14:textId="095222DF" w:rsidR="00D15FD8" w:rsidRPr="00BD6508" w:rsidRDefault="00D15FD8" w:rsidP="00BD6508">
                            <w:pPr>
                              <w:spacing w:line="276" w:lineRule="auto"/>
                              <w:rPr>
                                <w:b/>
                                <w:bCs/>
                                <w:color w:val="FFFFFF" w:themeColor="background1"/>
                              </w:rPr>
                            </w:pPr>
                            <w:r w:rsidRPr="00D8131F">
                              <w:rPr>
                                <w:rFonts w:ascii="Arial" w:hAnsi="Arial" w:cs="Arial"/>
                                <w:b/>
                                <w:bCs/>
                                <w:color w:val="FFFFFF" w:themeColor="background1"/>
                                <w:sz w:val="24"/>
                                <w:szCs w:val="24"/>
                              </w:rPr>
                              <w:t>cash control, through automated algorithms, including the generation of payment instructions; controls that don’t allow actual spending to exceed budgets and controls that validate suppliers and employees to ensure that payments are made to the right parties; 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BE9E07" id="Text Box 2061" o:spid="_x0000_s1489" type="#_x0000_t202" style="position:absolute;left:0;text-align:left;margin-left:74pt;margin-top:4.75pt;width:439pt;height:68pt;z-index:2537666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" filled="f" stroked="f" strokeweight=".5pt">
                <v:textbox>
                  <w:txbxContent>
                    <w:p w14:paraId="42D7ACE0" w14:textId="095222DF" w:rsidR="00D15FD8" w:rsidRPr="00BD6508" w:rsidRDefault="00D15FD8" w:rsidP="00BD6508">
                      <w:pPr>
                        <w:spacing w:line="276" w:lineRule="auto"/>
                        <w:rPr>
                          <w:b/>
                          <w:bCs/>
                          <w:color w:val="FFFFFF" w:themeColor="background1"/>
                        </w:rPr>
                      </w:pPr>
                      <w:r w:rsidRPr="00D8131F">
                        <w:rPr>
                          <w:rFonts w:ascii="Arial" w:hAnsi="Arial" w:cs="Arial"/>
                          <w:b/>
                          <w:bCs/>
                          <w:color w:val="FFFFFF" w:themeColor="background1"/>
                          <w:sz w:val="24"/>
                          <w:szCs w:val="24"/>
                        </w:rPr>
                        <w:t>cash control, through automated algorithms, including the generation of payment instructions; controls that don’t allow actual spending to exceed budgets and controls that validate suppliers and employees to ensure that payments are made to the right parties; and</w:t>
                      </w:r>
                    </w:p>
                  </w:txbxContent>
                </v:textbox>
              </v:shape>
            </w:pict>
          </mc:Fallback>
        </mc:AlternateContent>
      </w:r>
    </w:p>
    <w:p w14:paraId="53757F38" w14:textId="7EC75DE1" w:rsidR="00D8131F" w:rsidRDefault="00D8131F" w:rsidP="00506E2A">
      <w:pPr>
        <w:spacing w:line="276" w:lineRule="auto"/>
        <w:jc w:val="both"/>
        <w:rPr>
          <w:rFonts w:ascii="Arial" w:hAnsi="Arial" w:cs="Arial"/>
          <w:sz w:val="24"/>
          <w:szCs w:val="24"/>
        </w:rPr>
      </w:pPr>
    </w:p>
    <w:p w14:paraId="21450B44" w14:textId="3947BFB7" w:rsidR="00D8131F" w:rsidRDefault="00D8131F" w:rsidP="00506E2A">
      <w:pPr>
        <w:spacing w:line="276" w:lineRule="auto"/>
        <w:jc w:val="both"/>
        <w:rPr>
          <w:rFonts w:ascii="Arial" w:hAnsi="Arial" w:cs="Arial"/>
          <w:sz w:val="24"/>
          <w:szCs w:val="24"/>
        </w:rPr>
      </w:pPr>
    </w:p>
    <w:p w14:paraId="7D44027D" w14:textId="521F2E71" w:rsidR="00D8131F" w:rsidRDefault="00D8131F" w:rsidP="00506E2A">
      <w:pPr>
        <w:spacing w:line="276" w:lineRule="auto"/>
        <w:jc w:val="both"/>
        <w:rPr>
          <w:rFonts w:ascii="Arial" w:hAnsi="Arial" w:cs="Arial"/>
          <w:sz w:val="24"/>
          <w:szCs w:val="24"/>
        </w:rPr>
      </w:pPr>
    </w:p>
    <w:p w14:paraId="0F7F531D" w14:textId="2608B211" w:rsidR="00D8131F" w:rsidRDefault="00D8131F" w:rsidP="00506E2A">
      <w:pPr>
        <w:spacing w:line="276" w:lineRule="auto"/>
        <w:jc w:val="both"/>
        <w:rPr>
          <w:rFonts w:ascii="Arial" w:hAnsi="Arial" w:cs="Arial"/>
          <w:sz w:val="24"/>
          <w:szCs w:val="24"/>
        </w:rPr>
      </w:pPr>
    </w:p>
    <w:p w14:paraId="63A96E54" w14:textId="162CE446" w:rsidR="00D8131F" w:rsidRPr="00BD6508" w:rsidRDefault="003F23CD"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67678" behindDoc="0" locked="0" layoutInCell="1" allowOverlap="1" wp14:anchorId="4C146024" wp14:editId="4F99B103">
            <wp:simplePos x="0" y="0"/>
            <wp:positionH relativeFrom="column">
              <wp:posOffset>45085</wp:posOffset>
            </wp:positionH>
            <wp:positionV relativeFrom="paragraph">
              <wp:posOffset>156845</wp:posOffset>
            </wp:positionV>
            <wp:extent cx="685800" cy="762635"/>
            <wp:effectExtent l="0" t="0" r="0" b="0"/>
            <wp:wrapSquare wrapText="bothSides"/>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Picture 2062"/>
                    <pic:cNvPicPr/>
                  </pic:nvPicPr>
                  <pic:blipFill rotWithShape="1">
                    <a:blip r:embed="rId846" cstate="email">
                      <a:extLst>
                        <a:ext uri="{28A0092B-C50C-407E-A947-70E740481C1C}">
                          <a14:useLocalDpi xmlns:a14="http://schemas.microsoft.com/office/drawing/2010/main"/>
                        </a:ext>
                      </a:extLst>
                    </a:blip>
                    <a:srcRect/>
                    <a:stretch/>
                  </pic:blipFill>
                  <pic:spPr bwMode="auto">
                    <a:xfrm>
                      <a:off x="0" y="0"/>
                      <a:ext cx="685800" cy="762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197B0C" w14:textId="343FFF2B" w:rsidR="00D8131F" w:rsidRDefault="003F23CD" w:rsidP="00BD6508">
      <w:pPr>
        <w:spacing w:line="276" w:lineRule="auto"/>
        <w:ind w:left="284"/>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769726" behindDoc="0" locked="0" layoutInCell="1" allowOverlap="1" wp14:anchorId="69C65A46" wp14:editId="251715F0">
                <wp:simplePos x="0" y="0"/>
                <wp:positionH relativeFrom="column">
                  <wp:posOffset>825500</wp:posOffset>
                </wp:positionH>
                <wp:positionV relativeFrom="paragraph">
                  <wp:posOffset>72390</wp:posOffset>
                </wp:positionV>
                <wp:extent cx="5816600" cy="635000"/>
                <wp:effectExtent l="0" t="0" r="0" b="0"/>
                <wp:wrapNone/>
                <wp:docPr id="2063" name="Rounded Rectangle 2063"/>
                <wp:cNvGraphicFramePr/>
                <a:graphic xmlns:a="http://schemas.openxmlformats.org/drawingml/2006/main">
                  <a:graphicData uri="http://schemas.microsoft.com/office/word/2010/wordprocessingShape">
                    <wps:wsp>
                      <wps:cNvSpPr/>
                      <wps:spPr>
                        <a:xfrm>
                          <a:off x="0" y="0"/>
                          <a:ext cx="5816600" cy="635000"/>
                        </a:xfrm>
                        <a:prstGeom prst="roundRect">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112B1E4C" id="Rounded Rectangle 2063" o:spid="_x0000_s1026" style="position:absolute;margin-left:65pt;margin-top:5.7pt;width:458pt;height:50pt;z-index:2537697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" fillcolor="#82c9a0" stroked="f" strokeweight="1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3770750" behindDoc="0" locked="0" layoutInCell="1" allowOverlap="1" wp14:anchorId="11EBB138" wp14:editId="7A7B4A9E">
                <wp:simplePos x="0" y="0"/>
                <wp:positionH relativeFrom="column">
                  <wp:posOffset>939800</wp:posOffset>
                </wp:positionH>
                <wp:positionV relativeFrom="paragraph">
                  <wp:posOffset>161290</wp:posOffset>
                </wp:positionV>
                <wp:extent cx="5575300" cy="469900"/>
                <wp:effectExtent l="0" t="0" r="0" b="0"/>
                <wp:wrapNone/>
                <wp:docPr id="2064" name="Text Box 2064"/>
                <wp:cNvGraphicFramePr/>
                <a:graphic xmlns:a="http://schemas.openxmlformats.org/drawingml/2006/main">
                  <a:graphicData uri="http://schemas.microsoft.com/office/word/2010/wordprocessingShape">
                    <wps:wsp>
                      <wps:cNvSpPr txBox="1"/>
                      <wps:spPr>
                        <a:xfrm>
                          <a:off x="0" y="0"/>
                          <a:ext cx="5575300" cy="469900"/>
                        </a:xfrm>
                        <a:prstGeom prst="rect">
                          <a:avLst/>
                        </a:prstGeom>
                        <a:noFill/>
                        <a:ln w="6350">
                          <a:noFill/>
                        </a:ln>
                      </wps:spPr>
                      <wps:txbx>
                        <w:txbxContent>
                          <w:p w14:paraId="0A444814" w14:textId="2A3659B5" w:rsidR="00D15FD8" w:rsidRPr="00BD6508" w:rsidRDefault="00D15FD8" w:rsidP="00BD6508">
                            <w:pPr>
                              <w:spacing w:line="276" w:lineRule="auto"/>
                              <w:rPr>
                                <w:b/>
                                <w:bCs/>
                                <w:color w:val="FFFFFF" w:themeColor="background1"/>
                              </w:rPr>
                            </w:pPr>
                            <w:r w:rsidRPr="003F23CD">
                              <w:rPr>
                                <w:rFonts w:ascii="Arial" w:hAnsi="Arial" w:cs="Arial"/>
                                <w:b/>
                                <w:bCs/>
                                <w:color w:val="FFFFFF" w:themeColor="background1"/>
                                <w:sz w:val="24"/>
                                <w:szCs w:val="24"/>
                              </w:rPr>
                              <w:t>maintenance of accounts allowing for the tracking of budget implementation.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EBB138" id="Text Box 2064" o:spid="_x0000_s1490" type="#_x0000_t202" style="position:absolute;left:0;text-align:left;margin-left:74pt;margin-top:12.7pt;width:439pt;height:37pt;z-index:2537707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" filled="f" stroked="f" strokeweight=".5pt">
                <v:textbox>
                  <w:txbxContent>
                    <w:p w14:paraId="0A444814" w14:textId="2A3659B5" w:rsidR="00D15FD8" w:rsidRPr="00BD6508" w:rsidRDefault="00D15FD8" w:rsidP="00BD6508">
                      <w:pPr>
                        <w:spacing w:line="276" w:lineRule="auto"/>
                        <w:rPr>
                          <w:b/>
                          <w:bCs/>
                          <w:color w:val="FFFFFF" w:themeColor="background1"/>
                        </w:rPr>
                      </w:pPr>
                      <w:r w:rsidRPr="003F23CD">
                        <w:rPr>
                          <w:rFonts w:ascii="Arial" w:hAnsi="Arial" w:cs="Arial"/>
                          <w:b/>
                          <w:bCs/>
                          <w:color w:val="FFFFFF" w:themeColor="background1"/>
                          <w:sz w:val="24"/>
                          <w:szCs w:val="24"/>
                        </w:rPr>
                        <w:t>maintenance of accounts allowing for the tracking of budget implementation.</w:t>
                      </w:r>
                    </w:p>
                  </w:txbxContent>
                </v:textbox>
              </v:shape>
            </w:pict>
          </mc:Fallback>
        </mc:AlternateContent>
      </w:r>
    </w:p>
    <w:p w14:paraId="74520B72" w14:textId="1FE0781E" w:rsidR="00D8131F" w:rsidRDefault="00D8131F" w:rsidP="00BD6508">
      <w:pPr>
        <w:spacing w:line="276" w:lineRule="auto"/>
        <w:ind w:left="284"/>
        <w:contextualSpacing/>
        <w:jc w:val="both"/>
        <w:rPr>
          <w:rFonts w:ascii="Arial" w:hAnsi="Arial" w:cs="Arial"/>
          <w:sz w:val="24"/>
          <w:szCs w:val="24"/>
        </w:rPr>
      </w:pPr>
    </w:p>
    <w:p w14:paraId="5C134473" w14:textId="1663CA50" w:rsidR="00D8131F" w:rsidRDefault="00D8131F" w:rsidP="00BD6508">
      <w:pPr>
        <w:spacing w:line="276" w:lineRule="auto"/>
        <w:ind w:left="284"/>
        <w:contextualSpacing/>
        <w:jc w:val="both"/>
        <w:rPr>
          <w:rFonts w:ascii="Arial" w:hAnsi="Arial" w:cs="Arial"/>
          <w:sz w:val="24"/>
          <w:szCs w:val="24"/>
        </w:rPr>
      </w:pPr>
    </w:p>
    <w:p w14:paraId="2BD2578E" w14:textId="0B152AEC" w:rsidR="00D8131F" w:rsidRDefault="00D8131F" w:rsidP="00D8131F">
      <w:pPr>
        <w:spacing w:line="276" w:lineRule="auto"/>
        <w:ind w:left="284"/>
        <w:contextualSpacing/>
        <w:jc w:val="both"/>
        <w:rPr>
          <w:rFonts w:ascii="Arial" w:hAnsi="Arial" w:cs="Arial"/>
          <w:sz w:val="24"/>
          <w:szCs w:val="24"/>
        </w:rPr>
      </w:pPr>
    </w:p>
    <w:p w14:paraId="461C58AE" w14:textId="4882E6D9" w:rsidR="003F23CD" w:rsidRDefault="003F23CD" w:rsidP="00D8131F">
      <w:pPr>
        <w:spacing w:line="276" w:lineRule="auto"/>
        <w:ind w:left="284"/>
        <w:contextualSpacing/>
        <w:jc w:val="both"/>
        <w:rPr>
          <w:rFonts w:ascii="Arial" w:hAnsi="Arial" w:cs="Arial"/>
          <w:sz w:val="24"/>
          <w:szCs w:val="24"/>
        </w:rPr>
      </w:pPr>
    </w:p>
    <w:p w14:paraId="60DEF24A" w14:textId="0315D352" w:rsidR="003F23CD" w:rsidRDefault="003F23CD" w:rsidP="00D8131F">
      <w:pPr>
        <w:spacing w:line="276" w:lineRule="auto"/>
        <w:ind w:left="284"/>
        <w:contextualSpacing/>
        <w:jc w:val="both"/>
        <w:rPr>
          <w:rFonts w:ascii="Arial" w:hAnsi="Arial" w:cs="Arial"/>
          <w:sz w:val="24"/>
          <w:szCs w:val="24"/>
        </w:rPr>
      </w:pPr>
    </w:p>
    <w:p w14:paraId="7758A623" w14:textId="77777777" w:rsidR="003F23CD" w:rsidRDefault="003F23CD" w:rsidP="00BD6508">
      <w:pPr>
        <w:spacing w:line="276" w:lineRule="auto"/>
        <w:ind w:left="284"/>
        <w:contextualSpacing/>
        <w:jc w:val="both"/>
        <w:rPr>
          <w:rFonts w:ascii="Arial" w:hAnsi="Arial" w:cs="Arial"/>
          <w:sz w:val="24"/>
          <w:szCs w:val="24"/>
        </w:rPr>
      </w:pPr>
    </w:p>
    <w:p w14:paraId="0E0D3D82" w14:textId="77777777" w:rsidR="00D8131F" w:rsidRDefault="00D8131F" w:rsidP="00BD6508">
      <w:pPr>
        <w:spacing w:line="276" w:lineRule="auto"/>
        <w:ind w:left="284"/>
        <w:contextualSpacing/>
        <w:jc w:val="both"/>
        <w:rPr>
          <w:rFonts w:ascii="Arial" w:hAnsi="Arial" w:cs="Arial"/>
          <w:sz w:val="24"/>
          <w:szCs w:val="24"/>
        </w:rPr>
      </w:pPr>
    </w:p>
    <w:p w14:paraId="473329C3" w14:textId="77777777" w:rsidR="00506E2A" w:rsidRPr="00BD6508" w:rsidRDefault="00506E2A" w:rsidP="00BD6508">
      <w:pPr>
        <w:spacing w:line="276" w:lineRule="auto"/>
        <w:jc w:val="both"/>
        <w:rPr>
          <w:rFonts w:ascii="Arial" w:hAnsi="Arial" w:cs="Arial"/>
          <w:sz w:val="24"/>
          <w:szCs w:val="24"/>
          <w:lang w:val="en-US"/>
        </w:rPr>
      </w:pPr>
      <w:r w:rsidRPr="00BD6508">
        <w:rPr>
          <w:rFonts w:ascii="Arial" w:hAnsi="Arial" w:cs="Arial"/>
          <w:sz w:val="24"/>
          <w:szCs w:val="24"/>
          <w:lang w:val="en-US"/>
        </w:rPr>
        <w:lastRenderedPageBreak/>
        <w:t>More advanced systems can provide other functions too including budget planning, cash management, procurement, debt management, asset management, human resource (payroll) et cetera. It is also possible for some of these individual functions to continue to be performed in separate systems with an interface to the FMIS.</w:t>
      </w:r>
    </w:p>
    <w:p w14:paraId="10D5F1FD" w14:textId="77777777" w:rsidR="00506E2A" w:rsidRPr="00BD6508" w:rsidRDefault="00506E2A" w:rsidP="00BD6508">
      <w:pPr>
        <w:spacing w:line="276" w:lineRule="auto"/>
        <w:jc w:val="both"/>
        <w:rPr>
          <w:rFonts w:ascii="Arial" w:hAnsi="Arial" w:cs="Arial"/>
          <w:sz w:val="24"/>
          <w:szCs w:val="24"/>
          <w:lang w:val="en-US"/>
        </w:rPr>
      </w:pPr>
    </w:p>
    <w:p w14:paraId="7AB129B5" w14:textId="77777777" w:rsidR="00506E2A" w:rsidRPr="00BD6508" w:rsidRDefault="00506E2A" w:rsidP="00BD6508">
      <w:pPr>
        <w:spacing w:line="276" w:lineRule="auto"/>
        <w:jc w:val="both"/>
        <w:rPr>
          <w:rFonts w:ascii="Arial" w:hAnsi="Arial" w:cs="Arial"/>
          <w:sz w:val="24"/>
          <w:szCs w:val="24"/>
          <w:lang w:val="en-US"/>
        </w:rPr>
      </w:pPr>
      <w:r w:rsidRPr="00BD6508">
        <w:rPr>
          <w:rFonts w:ascii="Arial" w:hAnsi="Arial" w:cs="Arial"/>
          <w:sz w:val="24"/>
          <w:szCs w:val="24"/>
          <w:lang w:val="en-US"/>
        </w:rPr>
        <w:t>In practice, the architecture of FMISs has undergone a transformation since these systems were first developed in the 1980s. At the beginning systems tried to cover most or all of the PFM functions, while now many FMISs focus on a few core functions</w:t>
      </w:r>
      <w:r w:rsidRPr="00BD6508">
        <w:rPr>
          <w:rFonts w:ascii="Arial" w:hAnsi="Arial" w:cs="Arial"/>
          <w:sz w:val="24"/>
          <w:szCs w:val="24"/>
          <w:vertAlign w:val="superscript"/>
          <w:lang w:val="en-US"/>
        </w:rPr>
        <w:footnoteReference w:id="58"/>
      </w:r>
      <w:r w:rsidRPr="00BD6508">
        <w:rPr>
          <w:rFonts w:ascii="Arial" w:hAnsi="Arial" w:cs="Arial"/>
          <w:sz w:val="24"/>
          <w:szCs w:val="24"/>
          <w:lang w:val="en-US"/>
        </w:rPr>
        <w:t>.</w:t>
      </w:r>
    </w:p>
    <w:p w14:paraId="27B450B6" w14:textId="232B44E1" w:rsidR="00506E2A" w:rsidRDefault="00506E2A" w:rsidP="00506E2A">
      <w:pPr>
        <w:rPr>
          <w:rFonts w:ascii="Arial" w:hAnsi="Arial" w:cs="Arial"/>
          <w:sz w:val="24"/>
          <w:szCs w:val="24"/>
        </w:rPr>
      </w:pPr>
    </w:p>
    <w:p w14:paraId="524D681D" w14:textId="34D58C14" w:rsidR="005A5D73" w:rsidRPr="003625BA" w:rsidRDefault="005A5D73" w:rsidP="003625BA">
      <w:pPr>
        <w:pStyle w:val="Heading3"/>
        <w:jc w:val="center"/>
        <w:rPr>
          <w:rFonts w:ascii="Arial" w:eastAsiaTheme="minorEastAsia" w:hAnsi="Arial" w:cs="Arial"/>
          <w:b/>
          <w:bCs/>
          <w:color w:val="69557F"/>
          <w:sz w:val="20"/>
          <w:szCs w:val="20"/>
          <w:lang w:val="en-US"/>
        </w:rPr>
      </w:pPr>
      <w:bookmarkStart w:id="2055" w:name="_Figure_4.1._FMIS"/>
      <w:bookmarkStart w:id="2056" w:name="_Toc123217485"/>
      <w:bookmarkStart w:id="2057" w:name="_Toc123914098"/>
      <w:bookmarkStart w:id="2058" w:name="_Toc125566713"/>
      <w:bookmarkEnd w:id="2055"/>
      <w:r w:rsidRPr="003625BA">
        <w:rPr>
          <w:rFonts w:ascii="Arial" w:eastAsiaTheme="minorEastAsia" w:hAnsi="Arial" w:cs="Arial"/>
          <w:b/>
          <w:bCs/>
          <w:color w:val="69557F"/>
          <w:sz w:val="20"/>
          <w:szCs w:val="20"/>
          <w:lang w:val="en-US"/>
        </w:rPr>
        <w:t>Figure 4.1</w:t>
      </w:r>
      <w:r w:rsidR="00AC27CC">
        <w:rPr>
          <w:rFonts w:ascii="Arial" w:eastAsiaTheme="minorEastAsia" w:hAnsi="Arial" w:cs="Arial"/>
          <w:b/>
          <w:bCs/>
          <w:color w:val="69557F"/>
          <w:sz w:val="20"/>
          <w:szCs w:val="20"/>
          <w:lang w:val="en-US"/>
        </w:rPr>
        <w:t>.</w:t>
      </w:r>
      <w:r w:rsidR="004750D1" w:rsidRPr="003625BA">
        <w:rPr>
          <w:rFonts w:ascii="Arial" w:eastAsiaTheme="minorEastAsia" w:hAnsi="Arial" w:cs="Arial"/>
          <w:b/>
          <w:bCs/>
          <w:color w:val="69557F"/>
          <w:sz w:val="20"/>
          <w:szCs w:val="20"/>
          <w:lang w:val="en-US"/>
        </w:rPr>
        <w:t xml:space="preserve"> </w:t>
      </w:r>
      <w:r w:rsidRPr="003625BA">
        <w:rPr>
          <w:rFonts w:ascii="Arial" w:eastAsiaTheme="minorEastAsia" w:hAnsi="Arial" w:cs="Arial"/>
          <w:b/>
          <w:bCs/>
          <w:color w:val="69557F"/>
          <w:sz w:val="20"/>
          <w:szCs w:val="20"/>
          <w:lang w:val="en-US"/>
        </w:rPr>
        <w:t>FMIS</w:t>
      </w:r>
      <w:bookmarkEnd w:id="2056"/>
      <w:bookmarkEnd w:id="2057"/>
      <w:bookmarkEnd w:id="2058"/>
    </w:p>
    <w:p w14:paraId="30677B9B" w14:textId="0CFDB3B7" w:rsidR="005A5D73" w:rsidRDefault="005A5D73" w:rsidP="005A5D73">
      <w:pPr>
        <w:jc w:val="both"/>
        <w:rPr>
          <w:rFonts w:ascii="Arial" w:eastAsiaTheme="minorEastAsia" w:hAnsi="Arial" w:cs="Arial"/>
          <w:b/>
          <w:bCs/>
          <w:sz w:val="20"/>
          <w:szCs w:val="20"/>
          <w:lang w:val="en-US"/>
        </w:rPr>
      </w:pPr>
    </w:p>
    <w:p w14:paraId="7BE4351D" w14:textId="29437503" w:rsidR="005A5D73" w:rsidRPr="00BD6508" w:rsidRDefault="0031171E" w:rsidP="005A5D73">
      <w:pPr>
        <w:jc w:val="both"/>
        <w:rPr>
          <w:rFonts w:ascii="Arial" w:hAnsi="Arial" w:cs="Arial"/>
          <w:b/>
          <w:bCs/>
          <w:sz w:val="20"/>
          <w:szCs w:val="20"/>
        </w:rPr>
      </w:pPr>
      <w:r>
        <w:rPr>
          <w:rFonts w:ascii="Arial" w:hAnsi="Arial" w:cs="Arial"/>
          <w:noProof/>
          <w:sz w:val="24"/>
          <w:szCs w:val="24"/>
          <w:lang w:val="en-US"/>
        </w:rPr>
        <mc:AlternateContent>
          <mc:Choice Requires="wps">
            <w:drawing>
              <wp:anchor distT="0" distB="0" distL="114300" distR="114300" simplePos="0" relativeHeight="253775870" behindDoc="0" locked="0" layoutInCell="1" allowOverlap="1" wp14:anchorId="765BB378" wp14:editId="26ECFDE6">
                <wp:simplePos x="0" y="0"/>
                <wp:positionH relativeFrom="column">
                  <wp:posOffset>495300</wp:posOffset>
                </wp:positionH>
                <wp:positionV relativeFrom="paragraph">
                  <wp:posOffset>94615</wp:posOffset>
                </wp:positionV>
                <wp:extent cx="6150610" cy="660400"/>
                <wp:effectExtent l="0" t="0" r="0" b="0"/>
                <wp:wrapNone/>
                <wp:docPr id="2069" name="Text Box 2069"/>
                <wp:cNvGraphicFramePr/>
                <a:graphic xmlns:a="http://schemas.openxmlformats.org/drawingml/2006/main">
                  <a:graphicData uri="http://schemas.microsoft.com/office/word/2010/wordprocessingShape">
                    <wps:wsp>
                      <wps:cNvSpPr txBox="1"/>
                      <wps:spPr>
                        <a:xfrm>
                          <a:off x="0" y="0"/>
                          <a:ext cx="6150610" cy="660400"/>
                        </a:xfrm>
                        <a:prstGeom prst="rect">
                          <a:avLst/>
                        </a:prstGeom>
                        <a:noFill/>
                        <a:ln w="6350">
                          <a:noFill/>
                        </a:ln>
                      </wps:spPr>
                      <wps:txbx>
                        <w:txbxContent>
                          <w:p w14:paraId="07D6DDDA" w14:textId="4E247A69" w:rsidR="00D15FD8" w:rsidRPr="00C77BF8" w:rsidRDefault="00D15FD8" w:rsidP="00C77BF8">
                            <w:pPr>
                              <w:pStyle w:val="Heading2"/>
                              <w:numPr>
                                <w:ilvl w:val="1"/>
                                <w:numId w:val="115"/>
                              </w:numPr>
                              <w:ind w:left="709" w:hanging="643"/>
                              <w:rPr>
                                <w:rFonts w:ascii="Arial" w:hAnsi="Arial" w:cs="Arial"/>
                                <w:b/>
                                <w:bCs/>
                                <w:color w:val="F26D24"/>
                                <w:sz w:val="36"/>
                                <w:szCs w:val="36"/>
                              </w:rPr>
                            </w:pPr>
                            <w:bookmarkStart w:id="2059" w:name="_Toc123204534"/>
                            <w:bookmarkStart w:id="2060" w:name="_Toc123216646"/>
                            <w:bookmarkStart w:id="2061" w:name="_Toc123217486"/>
                            <w:bookmarkStart w:id="2062" w:name="_Toc123828232"/>
                            <w:bookmarkStart w:id="2063" w:name="_Toc123828442"/>
                            <w:bookmarkStart w:id="2064" w:name="_Toc123828638"/>
                            <w:bookmarkStart w:id="2065" w:name="_Toc123912665"/>
                            <w:bookmarkStart w:id="2066" w:name="_Toc123912924"/>
                            <w:bookmarkStart w:id="2067" w:name="_Toc123913151"/>
                            <w:bookmarkStart w:id="2068" w:name="_Toc123913442"/>
                            <w:bookmarkStart w:id="2069" w:name="_Toc123914099"/>
                            <w:bookmarkStart w:id="2070" w:name="_Toc125566714"/>
                            <w:r w:rsidRPr="00C77BF8">
                              <w:rPr>
                                <w:rFonts w:ascii="Arial" w:hAnsi="Arial" w:cs="Arial"/>
                                <w:b/>
                                <w:bCs/>
                                <w:color w:val="F26D24"/>
                                <w:sz w:val="36"/>
                                <w:szCs w:val="36"/>
                              </w:rPr>
                              <w:t>FMIS and fiscal transparency: Standards and function</w:t>
                            </w:r>
                            <w:bookmarkEnd w:id="2059"/>
                            <w:bookmarkEnd w:id="2060"/>
                            <w:bookmarkEnd w:id="2061"/>
                            <w:bookmarkEnd w:id="2062"/>
                            <w:bookmarkEnd w:id="2063"/>
                            <w:bookmarkEnd w:id="2064"/>
                            <w:bookmarkEnd w:id="2065"/>
                            <w:bookmarkEnd w:id="2066"/>
                            <w:bookmarkEnd w:id="2067"/>
                            <w:bookmarkEnd w:id="2068"/>
                            <w:bookmarkEnd w:id="2069"/>
                            <w:bookmarkEnd w:id="2070"/>
                          </w:p>
                          <w:p w14:paraId="5909AD37" w14:textId="77777777" w:rsidR="00D15FD8" w:rsidRPr="00C77BF8" w:rsidRDefault="00D15FD8" w:rsidP="00BD6508">
                            <w:pPr>
                              <w:pStyle w:val="Heading2"/>
                              <w:rPr>
                                <w:rFonts w:ascii="Arial" w:hAnsi="Arial" w:cs="Arial"/>
                                <w:b/>
                                <w:bCs/>
                                <w:color w:val="F26D24"/>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BB378" id="Text Box 2069" o:spid="_x0000_s1491" type="#_x0000_t202" style="position:absolute;left:0;text-align:left;margin-left:39pt;margin-top:7.45pt;width:484.3pt;height:52pt;z-index:253775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" filled="f" stroked="f" strokeweight=".5pt">
                <v:textbox>
                  <w:txbxContent>
                    <w:p w14:paraId="07D6DDDA" w14:textId="4E247A69" w:rsidR="00D15FD8" w:rsidRPr="00C77BF8" w:rsidRDefault="00D15FD8" w:rsidP="00C77BF8">
                      <w:pPr>
                        <w:pStyle w:val="Heading2"/>
                        <w:numPr>
                          <w:ilvl w:val="1"/>
                          <w:numId w:val="115"/>
                        </w:numPr>
                        <w:ind w:left="709" w:hanging="643"/>
                        <w:rPr>
                          <w:rFonts w:ascii="Arial" w:hAnsi="Arial" w:cs="Arial"/>
                          <w:b/>
                          <w:bCs/>
                          <w:color w:val="F26D24"/>
                          <w:sz w:val="36"/>
                          <w:szCs w:val="36"/>
                        </w:rPr>
                      </w:pPr>
                      <w:bookmarkStart w:id="2071" w:name="_Toc123204534"/>
                      <w:bookmarkStart w:id="2072" w:name="_Toc123216646"/>
                      <w:bookmarkStart w:id="2073" w:name="_Toc123217486"/>
                      <w:bookmarkStart w:id="2074" w:name="_Toc123828232"/>
                      <w:bookmarkStart w:id="2075" w:name="_Toc123828442"/>
                      <w:bookmarkStart w:id="2076" w:name="_Toc123828638"/>
                      <w:bookmarkStart w:id="2077" w:name="_Toc123912665"/>
                      <w:bookmarkStart w:id="2078" w:name="_Toc123912924"/>
                      <w:bookmarkStart w:id="2079" w:name="_Toc123913151"/>
                      <w:bookmarkStart w:id="2080" w:name="_Toc123913442"/>
                      <w:bookmarkStart w:id="2081" w:name="_Toc123914099"/>
                      <w:bookmarkStart w:id="2082" w:name="_Toc125566714"/>
                      <w:r w:rsidRPr="00C77BF8">
                        <w:rPr>
                          <w:rFonts w:ascii="Arial" w:hAnsi="Arial" w:cs="Arial"/>
                          <w:b/>
                          <w:bCs/>
                          <w:color w:val="F26D24"/>
                          <w:sz w:val="36"/>
                          <w:szCs w:val="36"/>
                        </w:rPr>
                        <w:t>FMIS and fiscal transparency: Standards and function</w:t>
                      </w:r>
                      <w:bookmarkEnd w:id="2071"/>
                      <w:bookmarkEnd w:id="2072"/>
                      <w:bookmarkEnd w:id="2073"/>
                      <w:bookmarkEnd w:id="2074"/>
                      <w:bookmarkEnd w:id="2075"/>
                      <w:bookmarkEnd w:id="2076"/>
                      <w:bookmarkEnd w:id="2077"/>
                      <w:bookmarkEnd w:id="2078"/>
                      <w:bookmarkEnd w:id="2079"/>
                      <w:bookmarkEnd w:id="2080"/>
                      <w:bookmarkEnd w:id="2081"/>
                      <w:bookmarkEnd w:id="2082"/>
                    </w:p>
                    <w:p w14:paraId="5909AD37" w14:textId="77777777" w:rsidR="00D15FD8" w:rsidRPr="00C77BF8" w:rsidRDefault="00D15FD8" w:rsidP="00BD6508">
                      <w:pPr>
                        <w:pStyle w:val="Heading2"/>
                        <w:rPr>
                          <w:rFonts w:ascii="Arial" w:hAnsi="Arial" w:cs="Arial"/>
                          <w:b/>
                          <w:bCs/>
                          <w:color w:val="F26D24"/>
                          <w:sz w:val="36"/>
                          <w:szCs w:val="36"/>
                        </w:rPr>
                      </w:pP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773822" behindDoc="1" locked="0" layoutInCell="1" allowOverlap="1" wp14:anchorId="34E1CAD5" wp14:editId="18265F90">
                <wp:simplePos x="0" y="0"/>
                <wp:positionH relativeFrom="column">
                  <wp:posOffset>-25400</wp:posOffset>
                </wp:positionH>
                <wp:positionV relativeFrom="paragraph">
                  <wp:posOffset>69215</wp:posOffset>
                </wp:positionV>
                <wp:extent cx="6671310" cy="698500"/>
                <wp:effectExtent l="12700" t="12700" r="8890" b="12700"/>
                <wp:wrapNone/>
                <wp:docPr id="2068" name="Rounded Rectangle 2068"/>
                <wp:cNvGraphicFramePr/>
                <a:graphic xmlns:a="http://schemas.openxmlformats.org/drawingml/2006/main">
                  <a:graphicData uri="http://schemas.microsoft.com/office/word/2010/wordprocessingShape">
                    <wps:wsp>
                      <wps:cNvSpPr/>
                      <wps:spPr>
                        <a:xfrm>
                          <a:off x="0" y="0"/>
                          <a:ext cx="6671310" cy="6985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3C6C806" id="Rounded Rectangle 2068" o:spid="_x0000_s1026" style="position:absolute;margin-left:-2pt;margin-top:5.45pt;width:525.3pt;height:55pt;z-index:-2495426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" filled="f" strokecolor="#82c9a0" strokeweight="2.25pt">
                <v:stroke joinstyle="miter"/>
              </v:roundrect>
            </w:pict>
          </mc:Fallback>
        </mc:AlternateContent>
      </w:r>
      <w:r w:rsidR="006002E3">
        <w:rPr>
          <w:rFonts w:ascii="Arial" w:hAnsi="Arial" w:cs="Arial"/>
          <w:b/>
          <w:bCs/>
          <w:noProof/>
          <w:sz w:val="20"/>
          <w:szCs w:val="20"/>
          <w:lang w:val="en-US"/>
        </w:rPr>
        <w:drawing>
          <wp:anchor distT="0" distB="0" distL="114300" distR="114300" simplePos="0" relativeHeight="253771774" behindDoc="0" locked="0" layoutInCell="1" allowOverlap="1" wp14:anchorId="17FB0ADA" wp14:editId="7FF1F9BF">
            <wp:simplePos x="0" y="0"/>
            <wp:positionH relativeFrom="margin">
              <wp:align>center</wp:align>
            </wp:positionH>
            <wp:positionV relativeFrom="paragraph">
              <wp:posOffset>-4445</wp:posOffset>
            </wp:positionV>
            <wp:extent cx="6645910" cy="3184525"/>
            <wp:effectExtent l="0" t="0" r="0" b="3175"/>
            <wp:wrapSquare wrapText="bothSides"/>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pic:cNvPicPr/>
                  </pic:nvPicPr>
                  <pic:blipFill>
                    <a:blip r:embed="rId847" cstate="email">
                      <a:extLst>
                        <a:ext uri="{28A0092B-C50C-407E-A947-70E740481C1C}">
                          <a14:useLocalDpi xmlns:a14="http://schemas.microsoft.com/office/drawing/2010/main"/>
                        </a:ext>
                      </a:extLst>
                    </a:blip>
                    <a:stretch>
                      <a:fillRect/>
                    </a:stretch>
                  </pic:blipFill>
                  <pic:spPr>
                    <a:xfrm>
                      <a:off x="0" y="0"/>
                      <a:ext cx="6645910" cy="3184525"/>
                    </a:xfrm>
                    <a:prstGeom prst="rect">
                      <a:avLst/>
                    </a:prstGeom>
                  </pic:spPr>
                </pic:pic>
              </a:graphicData>
            </a:graphic>
            <wp14:sizeRelH relativeFrom="page">
              <wp14:pctWidth>0</wp14:pctWidth>
            </wp14:sizeRelH>
            <wp14:sizeRelV relativeFrom="page">
              <wp14:pctHeight>0</wp14:pctHeight>
            </wp14:sizeRelV>
          </wp:anchor>
        </w:drawing>
      </w:r>
    </w:p>
    <w:p w14:paraId="6FD3E754" w14:textId="0351ECF5" w:rsidR="002A58C0" w:rsidRDefault="00E20EAC" w:rsidP="00506E2A">
      <w:pPr>
        <w:rPr>
          <w:rFonts w:ascii="Arial" w:hAnsi="Arial" w:cs="Arial"/>
          <w:sz w:val="24"/>
          <w:szCs w:val="24"/>
        </w:rPr>
      </w:pPr>
      <w:r>
        <w:rPr>
          <w:rFonts w:ascii="Arial" w:hAnsi="Arial" w:cs="Arial"/>
          <w:noProof/>
          <w:sz w:val="24"/>
          <w:szCs w:val="24"/>
          <w:lang w:val="en-US"/>
        </w:rPr>
        <w:drawing>
          <wp:anchor distT="0" distB="0" distL="114300" distR="114300" simplePos="0" relativeHeight="253774846" behindDoc="1" locked="0" layoutInCell="1" allowOverlap="1" wp14:anchorId="09AAA76E" wp14:editId="5D5FA6C3">
            <wp:simplePos x="0" y="0"/>
            <wp:positionH relativeFrom="column">
              <wp:posOffset>134620</wp:posOffset>
            </wp:positionH>
            <wp:positionV relativeFrom="paragraph">
              <wp:posOffset>38100</wp:posOffset>
            </wp:positionV>
            <wp:extent cx="359410" cy="359410"/>
            <wp:effectExtent l="0" t="0" r="0" b="0"/>
            <wp:wrapTight wrapText="bothSides">
              <wp:wrapPolygon edited="0">
                <wp:start x="6106" y="0"/>
                <wp:lineTo x="0" y="3053"/>
                <wp:lineTo x="0" y="18318"/>
                <wp:lineTo x="6106" y="20608"/>
                <wp:lineTo x="14502" y="20608"/>
                <wp:lineTo x="20608" y="18318"/>
                <wp:lineTo x="20608" y="3053"/>
                <wp:lineTo x="14502" y="0"/>
                <wp:lineTo x="6106" y="0"/>
              </wp:wrapPolygon>
            </wp:wrapTight>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Picture 2031"/>
                    <pic:cNvPicPr/>
                  </pic:nvPicPr>
                  <pic:blipFill rotWithShape="1">
                    <a:blip r:embed="rId840" cstate="email">
                      <a:extLst>
                        <a:ext uri="{28A0092B-C50C-407E-A947-70E740481C1C}">
                          <a14:useLocalDpi xmlns:a14="http://schemas.microsoft.com/office/drawing/2010/main"/>
                        </a:ext>
                      </a:extLst>
                    </a:blip>
                    <a:srcRect/>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40B773" w14:textId="4A040BB7" w:rsidR="002A58C0" w:rsidRPr="002A58C0" w:rsidRDefault="002A58C0" w:rsidP="002A58C0">
      <w:pPr>
        <w:rPr>
          <w:rFonts w:ascii="Arial" w:hAnsi="Arial" w:cs="Arial"/>
          <w:sz w:val="24"/>
          <w:szCs w:val="24"/>
        </w:rPr>
      </w:pPr>
    </w:p>
    <w:p w14:paraId="466282C7" w14:textId="6209C215" w:rsidR="002A58C0" w:rsidRPr="002A58C0" w:rsidRDefault="002A58C0" w:rsidP="002A58C0">
      <w:pPr>
        <w:rPr>
          <w:rFonts w:ascii="Arial" w:hAnsi="Arial" w:cs="Arial"/>
          <w:sz w:val="24"/>
          <w:szCs w:val="24"/>
        </w:rPr>
      </w:pPr>
    </w:p>
    <w:p w14:paraId="4A63D869" w14:textId="7E0F512C" w:rsidR="002A58C0" w:rsidRPr="002A58C0" w:rsidRDefault="002A58C0" w:rsidP="002A58C0">
      <w:pPr>
        <w:rPr>
          <w:rFonts w:ascii="Arial" w:hAnsi="Arial" w:cs="Arial"/>
          <w:sz w:val="24"/>
          <w:szCs w:val="24"/>
        </w:rPr>
      </w:pPr>
    </w:p>
    <w:p w14:paraId="157111B6" w14:textId="307A474A" w:rsidR="002A58C0" w:rsidRDefault="002A58C0" w:rsidP="002A58C0">
      <w:pPr>
        <w:rPr>
          <w:rFonts w:ascii="Arial" w:hAnsi="Arial" w:cs="Arial"/>
          <w:sz w:val="24"/>
          <w:szCs w:val="24"/>
        </w:rPr>
      </w:pPr>
    </w:p>
    <w:p w14:paraId="400C6069" w14:textId="5E0DBC78" w:rsidR="00E20EAC" w:rsidRPr="00BD6508" w:rsidRDefault="00A37A8A"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76894" behindDoc="0" locked="0" layoutInCell="1" allowOverlap="1" wp14:anchorId="4F0B694A" wp14:editId="733335B3">
            <wp:simplePos x="0" y="0"/>
            <wp:positionH relativeFrom="column">
              <wp:posOffset>-65314</wp:posOffset>
            </wp:positionH>
            <wp:positionV relativeFrom="paragraph">
              <wp:posOffset>56960</wp:posOffset>
            </wp:positionV>
            <wp:extent cx="2324100" cy="2366695"/>
            <wp:effectExtent l="0" t="0" r="0" b="0"/>
            <wp:wrapSquare wrapText="bothSides"/>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pic:cNvPicPr/>
                  </pic:nvPicPr>
                  <pic:blipFill rotWithShape="1">
                    <a:blip r:embed="rId848" cstate="email">
                      <a:extLst>
                        <a:ext uri="{28A0092B-C50C-407E-A947-70E740481C1C}">
                          <a14:useLocalDpi xmlns:a14="http://schemas.microsoft.com/office/drawing/2010/main"/>
                        </a:ext>
                      </a:extLst>
                    </a:blip>
                    <a:srcRect/>
                    <a:stretch/>
                  </pic:blipFill>
                  <pic:spPr bwMode="auto">
                    <a:xfrm>
                      <a:off x="0" y="0"/>
                      <a:ext cx="2324100" cy="2366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EAC" w:rsidRPr="00BD6508">
        <w:rPr>
          <w:rFonts w:ascii="Arial" w:hAnsi="Arial" w:cs="Arial"/>
          <w:sz w:val="24"/>
          <w:szCs w:val="24"/>
        </w:rPr>
        <w:t xml:space="preserve">The role of a FMIS in fiscal transparency depends on among others its structure; functionalities; and effectiveness. </w:t>
      </w:r>
    </w:p>
    <w:p w14:paraId="35DB73D0" w14:textId="01562319" w:rsidR="00E20EAC" w:rsidRPr="00BD6508" w:rsidRDefault="00E20EAC" w:rsidP="00BD6508">
      <w:pPr>
        <w:spacing w:line="276" w:lineRule="auto"/>
        <w:jc w:val="both"/>
        <w:rPr>
          <w:rFonts w:ascii="Arial" w:hAnsi="Arial" w:cs="Arial"/>
          <w:sz w:val="24"/>
          <w:szCs w:val="24"/>
        </w:rPr>
      </w:pPr>
    </w:p>
    <w:p w14:paraId="3EF6B9F8" w14:textId="2766979F" w:rsidR="00E20EAC" w:rsidRPr="00BD6508" w:rsidRDefault="00E20EAC" w:rsidP="00BD6508">
      <w:pPr>
        <w:spacing w:line="276" w:lineRule="auto"/>
        <w:jc w:val="both"/>
        <w:rPr>
          <w:rFonts w:ascii="Arial" w:hAnsi="Arial" w:cs="Arial"/>
          <w:sz w:val="24"/>
          <w:szCs w:val="24"/>
        </w:rPr>
      </w:pPr>
      <w:r w:rsidRPr="00BD6508">
        <w:rPr>
          <w:rFonts w:ascii="Arial" w:hAnsi="Arial" w:cs="Arial"/>
          <w:sz w:val="24"/>
          <w:szCs w:val="24"/>
        </w:rPr>
        <w:t xml:space="preserve">Experience shows that a well-functioning FMIS can be a significant enabler of fiscal transparency. It can help the executive to collect, store, produce and publish quality fiscal information, including in terms of its timeliness, comprehensiveness, consistency and accuracy, at all stages of the fiscal policy cycle. It can provide quality real-time information that can automatically be made public. To facilitate meaningful fiscal transparency, the financial structure in the FMIS should be consistent with that used for budget classifications and in the </w:t>
      </w:r>
      <w:r w:rsidRPr="00BD6508">
        <w:rPr>
          <w:rFonts w:ascii="Arial" w:hAnsi="Arial" w:cs="Arial"/>
          <w:sz w:val="24"/>
          <w:szCs w:val="24"/>
        </w:rPr>
        <w:lastRenderedPageBreak/>
        <w:t xml:space="preserve">chart of accounts. These classifications should also be aligned to international classification standards. Consistent classifications and structures allow a FMIS </w:t>
      </w:r>
      <w:r w:rsidRPr="00BD6508">
        <w:rPr>
          <w:rFonts w:ascii="Arial" w:hAnsi="Arial" w:cs="Arial"/>
          <w:sz w:val="24"/>
          <w:szCs w:val="24"/>
          <w:lang w:val="en-ZA"/>
        </w:rPr>
        <w:t>to produce comparable, useful fiscal information</w:t>
      </w:r>
      <w:r w:rsidRPr="00BD6508">
        <w:rPr>
          <w:rFonts w:ascii="Arial" w:hAnsi="Arial" w:cs="Arial"/>
          <w:sz w:val="24"/>
          <w:szCs w:val="24"/>
        </w:rPr>
        <w:t>. Consistent classifications, coupled with priority tagging, also allow for budgeting and reporting as well as the analyses that can follow from this, on identified cross-cutting fiscal policy priorities, such as on gender equity and climate change.</w:t>
      </w:r>
    </w:p>
    <w:p w14:paraId="1A493CE8" w14:textId="7C94566A" w:rsidR="00E20EAC" w:rsidRPr="00BD6508" w:rsidRDefault="00E20EAC" w:rsidP="00BD6508">
      <w:pPr>
        <w:spacing w:line="276" w:lineRule="auto"/>
        <w:jc w:val="both"/>
        <w:rPr>
          <w:rFonts w:ascii="Arial" w:hAnsi="Arial" w:cs="Arial"/>
          <w:sz w:val="24"/>
          <w:szCs w:val="24"/>
        </w:rPr>
      </w:pPr>
    </w:p>
    <w:p w14:paraId="06B253A5" w14:textId="0D1CBCE8" w:rsidR="00E20EAC" w:rsidRPr="00BD6508" w:rsidRDefault="008656FD" w:rsidP="00BD6508">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777918" behindDoc="0" locked="0" layoutInCell="1" allowOverlap="1" wp14:anchorId="11C4DD8F" wp14:editId="2DC2C546">
            <wp:simplePos x="0" y="0"/>
            <wp:positionH relativeFrom="column">
              <wp:posOffset>3576320</wp:posOffset>
            </wp:positionH>
            <wp:positionV relativeFrom="paragraph">
              <wp:posOffset>1092200</wp:posOffset>
            </wp:positionV>
            <wp:extent cx="3042920" cy="1663700"/>
            <wp:effectExtent l="0" t="0" r="0" b="0"/>
            <wp:wrapSquare wrapText="bothSides"/>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Picture 2074"/>
                    <pic:cNvPicPr/>
                  </pic:nvPicPr>
                  <pic:blipFill rotWithShape="1">
                    <a:blip r:embed="rId849" cstate="email">
                      <a:extLst>
                        <a:ext uri="{28A0092B-C50C-407E-A947-70E740481C1C}">
                          <a14:useLocalDpi xmlns:a14="http://schemas.microsoft.com/office/drawing/2010/main"/>
                        </a:ext>
                      </a:extLst>
                    </a:blip>
                    <a:srcRect/>
                    <a:stretch/>
                  </pic:blipFill>
                  <pic:spPr bwMode="auto">
                    <a:xfrm>
                      <a:off x="0" y="0"/>
                      <a:ext cx="3042920" cy="166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EAC" w:rsidRPr="00BD6508">
        <w:rPr>
          <w:rFonts w:ascii="Arial" w:hAnsi="Arial" w:cs="Arial"/>
          <w:sz w:val="24"/>
          <w:szCs w:val="24"/>
        </w:rPr>
        <w:t xml:space="preserve">A chart of accounts </w:t>
      </w:r>
      <w:r w:rsidR="00E20EAC" w:rsidRPr="00BD6508">
        <w:rPr>
          <w:rFonts w:ascii="Arial" w:hAnsi="Arial" w:cs="Arial"/>
          <w:sz w:val="24"/>
          <w:szCs w:val="24"/>
          <w:lang w:val="en-ZA"/>
        </w:rPr>
        <w:t xml:space="preserve">is a tool to classify, record, and report on government transactions in a systematic, consistent, and chronological way. It classifies transactions and events according to their economic, legal, or accounting nature. A country’s budget classification should be fully integrated into the chart of accounts, such that the budgeting and the accounting classifications use the same economic classifications, allowing comparisons to be made between budgets and financial outputs. </w:t>
      </w:r>
      <w:r w:rsidR="00E20EAC" w:rsidRPr="00BD6508">
        <w:rPr>
          <w:rFonts w:ascii="Arial" w:hAnsi="Arial" w:cs="Arial"/>
          <w:sz w:val="24"/>
          <w:szCs w:val="24"/>
        </w:rPr>
        <w:t xml:space="preserve">If expenditures are booked under codes in the chart of accounts that are different from those in the budget classification system, the reports produced from the FMIS will consequently not provide expenditure incurred by budget appropriation line items. </w:t>
      </w:r>
      <w:r w:rsidR="00E20EAC" w:rsidRPr="00BD6508">
        <w:rPr>
          <w:rFonts w:ascii="Arial" w:hAnsi="Arial" w:cs="Arial"/>
          <w:sz w:val="24"/>
          <w:szCs w:val="24"/>
          <w:lang w:val="en-ZA"/>
        </w:rPr>
        <w:t xml:space="preserve">If, on the other hand, the codes are the same for the accounting and the budgetary systems, then an integrated system will allow the FMIS to reflect the actual expenditure. </w:t>
      </w:r>
      <w:r w:rsidR="00E20EAC" w:rsidRPr="00BD6508">
        <w:rPr>
          <w:rFonts w:ascii="Arial" w:hAnsi="Arial" w:cs="Arial"/>
          <w:sz w:val="24"/>
          <w:szCs w:val="24"/>
        </w:rPr>
        <w:t xml:space="preserve">For example, France has developed a common budget and accounting code– </w:t>
      </w:r>
      <w:r w:rsidR="00E20EAC" w:rsidRPr="00BD6508">
        <w:rPr>
          <w:rFonts w:ascii="Arial" w:hAnsi="Arial" w:cs="Arial"/>
          <w:i/>
          <w:iCs/>
          <w:sz w:val="24"/>
          <w:szCs w:val="24"/>
        </w:rPr>
        <w:t xml:space="preserve">nomenclature </w:t>
      </w:r>
      <w:proofErr w:type="spellStart"/>
      <w:r w:rsidR="00E20EAC" w:rsidRPr="00BD6508">
        <w:rPr>
          <w:rFonts w:ascii="Arial" w:hAnsi="Arial" w:cs="Arial"/>
          <w:i/>
          <w:iCs/>
          <w:sz w:val="24"/>
          <w:szCs w:val="24"/>
        </w:rPr>
        <w:t>budgétaro-comptable</w:t>
      </w:r>
      <w:proofErr w:type="spellEnd"/>
      <w:r w:rsidR="00E20EAC" w:rsidRPr="00BD6508">
        <w:rPr>
          <w:rFonts w:ascii="Arial" w:hAnsi="Arial" w:cs="Arial"/>
          <w:sz w:val="24"/>
          <w:szCs w:val="24"/>
        </w:rPr>
        <w:t>—which is used for both budgetary accounting and financial accounting/reporting</w:t>
      </w:r>
      <w:r w:rsidR="00E20EAC" w:rsidRPr="00BD6508">
        <w:rPr>
          <w:rFonts w:ascii="Arial" w:hAnsi="Arial" w:cs="Arial"/>
          <w:sz w:val="24"/>
          <w:szCs w:val="24"/>
          <w:vertAlign w:val="superscript"/>
        </w:rPr>
        <w:footnoteReference w:id="59"/>
      </w:r>
      <w:r w:rsidR="00E20EAC" w:rsidRPr="00BD6508">
        <w:rPr>
          <w:rFonts w:ascii="Arial" w:hAnsi="Arial" w:cs="Arial"/>
          <w:sz w:val="24"/>
          <w:szCs w:val="24"/>
        </w:rPr>
        <w:t>. It should however be noted that a chart of accounts should not be overly complex, enabling the allocation of every transaction to the lowest transaction level possible should be balanced by the benefits of doing so. Cumbersome requirements may lead to allocation errors. Therefore, a balance needs to be struck between the level of detail required on the transaction and the quality of the data entry that is possible in given circumstances.</w:t>
      </w:r>
      <w:r w:rsidR="00E20EAC" w:rsidRPr="00BD6508">
        <w:rPr>
          <w:rFonts w:ascii="Arial" w:eastAsiaTheme="minorEastAsia" w:hAnsi="Arial" w:cs="Arial"/>
          <w:sz w:val="24"/>
          <w:szCs w:val="24"/>
          <w:lang w:val="en-ZA" w:eastAsia="zh-CN"/>
        </w:rPr>
        <w:t xml:space="preserve"> </w:t>
      </w:r>
      <w:r w:rsidR="00E20EAC" w:rsidRPr="00BD6508">
        <w:rPr>
          <w:rFonts w:ascii="Arial" w:hAnsi="Arial" w:cs="Arial"/>
          <w:sz w:val="24"/>
          <w:szCs w:val="24"/>
          <w:lang w:val="en-ZA"/>
        </w:rPr>
        <w:t>The system should also allow for some flexibility in very rare and specific, but potentially crucial times, such as in times of emergency.</w:t>
      </w:r>
      <w:r w:rsidR="00E20EAC" w:rsidRPr="00BD6508">
        <w:rPr>
          <w:rFonts w:ascii="Arial" w:hAnsi="Arial" w:cs="Arial"/>
          <w:sz w:val="24"/>
          <w:szCs w:val="24"/>
        </w:rPr>
        <w:t xml:space="preserve"> It is also important that there is transparency about the chart of accounts itself, for example guidance should be provided on the classifications used and how they can be used for analysis. The lack of transparency in this regard can make it difficult to locate information and consequently to understand the flow of resources to different items at a more disaggregated level.</w:t>
      </w:r>
    </w:p>
    <w:p w14:paraId="023F9FBC" w14:textId="77777777" w:rsidR="00E20EAC" w:rsidRPr="00BD6508" w:rsidRDefault="00E20EAC" w:rsidP="00BD6508">
      <w:pPr>
        <w:spacing w:line="276" w:lineRule="auto"/>
        <w:jc w:val="both"/>
        <w:rPr>
          <w:rFonts w:ascii="Arial" w:hAnsi="Arial" w:cs="Arial"/>
          <w:sz w:val="24"/>
          <w:szCs w:val="24"/>
        </w:rPr>
      </w:pPr>
    </w:p>
    <w:p w14:paraId="5DDFAB03" w14:textId="03549A81" w:rsidR="00E20EAC" w:rsidRPr="00BD6508" w:rsidRDefault="00791680" w:rsidP="00BD6508">
      <w:pPr>
        <w:spacing w:line="276" w:lineRule="auto"/>
        <w:jc w:val="both"/>
        <w:rPr>
          <w:rFonts w:ascii="Arial" w:hAnsi="Arial" w:cs="Arial"/>
          <w:sz w:val="24"/>
          <w:szCs w:val="24"/>
          <w:lang w:val="en-US"/>
        </w:rPr>
      </w:pPr>
      <w:r>
        <w:rPr>
          <w:rFonts w:ascii="Arial" w:hAnsi="Arial" w:cs="Arial"/>
          <w:noProof/>
          <w:color w:val="000000" w:themeColor="text1"/>
          <w:sz w:val="24"/>
          <w:szCs w:val="24"/>
          <w:lang w:val="en-US"/>
        </w:rPr>
        <w:drawing>
          <wp:anchor distT="0" distB="0" distL="114300" distR="114300" simplePos="0" relativeHeight="253779966" behindDoc="1" locked="0" layoutInCell="1" allowOverlap="1" wp14:anchorId="5FB7EBF4" wp14:editId="4AB30681">
            <wp:simplePos x="0" y="0"/>
            <wp:positionH relativeFrom="column">
              <wp:posOffset>0</wp:posOffset>
            </wp:positionH>
            <wp:positionV relativeFrom="paragraph">
              <wp:posOffset>1447165</wp:posOffset>
            </wp:positionV>
            <wp:extent cx="1619885" cy="1655445"/>
            <wp:effectExtent l="0" t="0" r="0" b="0"/>
            <wp:wrapSquare wrapText="bothSides"/>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rotWithShape="1">
                    <a:blip r:embed="rId389" cstate="email">
                      <a:extLst>
                        <a:ext uri="{28A0092B-C50C-407E-A947-70E740481C1C}">
                          <a14:useLocalDpi xmlns:a14="http://schemas.microsoft.com/office/drawing/2010/main"/>
                        </a:ext>
                      </a:extLst>
                    </a:blip>
                    <a:srcRect/>
                    <a:stretch/>
                  </pic:blipFill>
                  <pic:spPr bwMode="auto">
                    <a:xfrm>
                      <a:off x="0" y="0"/>
                      <a:ext cx="1619885" cy="1655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EAC" w:rsidRPr="00BD6508">
        <w:rPr>
          <w:rFonts w:ascii="Arial" w:hAnsi="Arial" w:cs="Arial"/>
          <w:sz w:val="24"/>
          <w:szCs w:val="24"/>
        </w:rPr>
        <w:t xml:space="preserve">Turning to the </w:t>
      </w:r>
      <w:r w:rsidR="00E20EAC" w:rsidRPr="00BD6508">
        <w:rPr>
          <w:rFonts w:ascii="Arial" w:hAnsi="Arial" w:cs="Arial"/>
          <w:sz w:val="24"/>
          <w:szCs w:val="24"/>
          <w:lang w:val="en-US"/>
        </w:rPr>
        <w:t xml:space="preserve">functionalities within a FMIS, the automation of processes, significantly enables the production and publication of comprehensive and timely fiscal information. Information on budget execution is made quickly available to governments, thereby providing them with information for different government units, at a detailed, aggregated and consolidated level at all stages of the fiscal policy cycle. Functionalities allow transactions to be tracked at all times, even where these transactions are fully administered in a decentralized manner by line agencies. The executive can use this information to see if budget execution is proceeding according to plan and if not, to put measures in place to rectify this. This also enables them to reduce delays in the </w:t>
      </w:r>
      <w:r w:rsidR="00E20EAC" w:rsidRPr="00BD6508">
        <w:rPr>
          <w:rFonts w:ascii="Arial" w:hAnsi="Arial" w:cs="Arial"/>
          <w:sz w:val="24"/>
          <w:szCs w:val="24"/>
          <w:lang w:val="en-US"/>
        </w:rPr>
        <w:lastRenderedPageBreak/>
        <w:t xml:space="preserve">production and publication of budgets and budget execution reports. Governments are able to publish information at the same time that it is produced. The interoperability of systems, means that information can also be made available on many different detailed facets of budget execution, for instance information can be made available from goods and services procurement, the actual undertaking of those services by service providers, to the payment for those goods and services. </w:t>
      </w:r>
    </w:p>
    <w:p w14:paraId="68B08960" w14:textId="77777777" w:rsidR="00E20EAC" w:rsidRPr="003625BA" w:rsidRDefault="00E20EAC" w:rsidP="00BD6508">
      <w:pPr>
        <w:spacing w:line="276" w:lineRule="auto"/>
        <w:jc w:val="both"/>
        <w:rPr>
          <w:rFonts w:ascii="Arial" w:hAnsi="Arial" w:cs="Arial"/>
          <w:color w:val="ED5625"/>
          <w:sz w:val="24"/>
          <w:szCs w:val="24"/>
          <w:lang w:val="en-US"/>
        </w:rPr>
      </w:pPr>
    </w:p>
    <w:p w14:paraId="57931F4F" w14:textId="16BF80CB" w:rsidR="00E20EAC" w:rsidRPr="00EB2A7C" w:rsidRDefault="00E20EAC" w:rsidP="00E20EAC">
      <w:pPr>
        <w:spacing w:line="276" w:lineRule="auto"/>
        <w:jc w:val="both"/>
        <w:rPr>
          <w:rFonts w:ascii="Arial" w:hAnsi="Arial" w:cs="Arial"/>
          <w:b/>
          <w:bCs/>
          <w:color w:val="ED5625"/>
          <w:sz w:val="32"/>
          <w:szCs w:val="32"/>
          <w:lang w:val="en-US"/>
        </w:rPr>
      </w:pPr>
      <w:r w:rsidRPr="00EB2A7C">
        <w:rPr>
          <w:rFonts w:ascii="Arial" w:hAnsi="Arial" w:cs="Arial"/>
          <w:b/>
          <w:bCs/>
          <w:color w:val="ED5625"/>
          <w:sz w:val="32"/>
          <w:szCs w:val="32"/>
          <w:lang w:val="en-US"/>
        </w:rPr>
        <w:t>The information produced by a FMIS, should allow the following questions, among others, to be answered:</w:t>
      </w:r>
    </w:p>
    <w:p w14:paraId="4BBCBCAB" w14:textId="04539A9E" w:rsidR="00791680" w:rsidRDefault="00A81C0B"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780990" behindDoc="0" locked="0" layoutInCell="1" allowOverlap="1" wp14:anchorId="154CEE2F" wp14:editId="67EC21BB">
                <wp:simplePos x="0" y="0"/>
                <wp:positionH relativeFrom="margin">
                  <wp:posOffset>571500</wp:posOffset>
                </wp:positionH>
                <wp:positionV relativeFrom="paragraph">
                  <wp:posOffset>231140</wp:posOffset>
                </wp:positionV>
                <wp:extent cx="6111240" cy="622300"/>
                <wp:effectExtent l="0" t="0" r="0" b="0"/>
                <wp:wrapNone/>
                <wp:docPr id="2076" name="Rounded Rectangle 2076"/>
                <wp:cNvGraphicFramePr/>
                <a:graphic xmlns:a="http://schemas.openxmlformats.org/drawingml/2006/main">
                  <a:graphicData uri="http://schemas.microsoft.com/office/word/2010/wordprocessingShape">
                    <wps:wsp>
                      <wps:cNvSpPr/>
                      <wps:spPr>
                        <a:xfrm>
                          <a:off x="0" y="0"/>
                          <a:ext cx="6111240" cy="6223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B7BE17C" id="Rounded Rectangle 2076" o:spid="_x0000_s1026" style="position:absolute;margin-left:45pt;margin-top:18.2pt;width:481.2pt;height:49pt;z-index:2537809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" fillcolor="#f8a133" stroked="f" strokeweight="1pt">
                <v:stroke joinstyle="miter"/>
                <w10:wrap anchorx="margin"/>
              </v:roundrect>
            </w:pict>
          </mc:Fallback>
        </mc:AlternateContent>
      </w:r>
    </w:p>
    <w:p w14:paraId="203BAD0B" w14:textId="165F63BC" w:rsidR="00A81C0B" w:rsidRDefault="008C6C25"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784062" behindDoc="0" locked="0" layoutInCell="1" allowOverlap="1" wp14:anchorId="76400C85" wp14:editId="5992BD50">
                <wp:simplePos x="0" y="0"/>
                <wp:positionH relativeFrom="column">
                  <wp:posOffset>777240</wp:posOffset>
                </wp:positionH>
                <wp:positionV relativeFrom="paragraph">
                  <wp:posOffset>141605</wp:posOffset>
                </wp:positionV>
                <wp:extent cx="5588635" cy="443865"/>
                <wp:effectExtent l="0" t="0" r="0" b="0"/>
                <wp:wrapNone/>
                <wp:docPr id="2078" name="Text Box 2078"/>
                <wp:cNvGraphicFramePr/>
                <a:graphic xmlns:a="http://schemas.openxmlformats.org/drawingml/2006/main">
                  <a:graphicData uri="http://schemas.microsoft.com/office/word/2010/wordprocessingShape">
                    <wps:wsp>
                      <wps:cNvSpPr txBox="1"/>
                      <wps:spPr>
                        <a:xfrm>
                          <a:off x="0" y="0"/>
                          <a:ext cx="5588635" cy="443865"/>
                        </a:xfrm>
                        <a:prstGeom prst="rect">
                          <a:avLst/>
                        </a:prstGeom>
                        <a:noFill/>
                        <a:ln w="6350">
                          <a:noFill/>
                        </a:ln>
                      </wps:spPr>
                      <wps:txbx>
                        <w:txbxContent>
                          <w:p w14:paraId="688FACF2" w14:textId="77777777" w:rsidR="00D15FD8" w:rsidRPr="00BD6508" w:rsidRDefault="00D15FD8" w:rsidP="003625BA">
                            <w:pPr>
                              <w:spacing w:line="276" w:lineRule="auto"/>
                              <w:contextualSpacing/>
                              <w:jc w:val="both"/>
                              <w:rPr>
                                <w:rFonts w:ascii="Arial" w:hAnsi="Arial" w:cs="Arial"/>
                                <w:b/>
                                <w:bCs/>
                                <w:color w:val="FFFFFF" w:themeColor="background1"/>
                                <w:sz w:val="24"/>
                                <w:szCs w:val="24"/>
                              </w:rPr>
                            </w:pPr>
                            <w:r w:rsidRPr="00BD6508">
                              <w:rPr>
                                <w:rFonts w:ascii="Arial" w:hAnsi="Arial" w:cs="Arial"/>
                                <w:b/>
                                <w:bCs/>
                                <w:color w:val="FFFFFF" w:themeColor="background1"/>
                                <w:sz w:val="24"/>
                                <w:szCs w:val="24"/>
                              </w:rPr>
                              <w:t>How is the budget appropriated to different institutions at a detailed level?</w:t>
                            </w:r>
                          </w:p>
                          <w:p w14:paraId="6FB01521" w14:textId="77777777" w:rsidR="00D15FD8" w:rsidRPr="00BD6508" w:rsidRDefault="00D15FD8">
                            <w:pPr>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00C85" id="Text Box 2078" o:spid="_x0000_s1492" type="#_x0000_t202" style="position:absolute;left:0;text-align:left;margin-left:61.2pt;margin-top:11.15pt;width:440.05pt;height:34.95pt;z-index:253784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" filled="f" stroked="f" strokeweight=".5pt">
                <v:textbox>
                  <w:txbxContent>
                    <w:p w14:paraId="688FACF2" w14:textId="77777777" w:rsidR="00D15FD8" w:rsidRPr="00BD6508" w:rsidRDefault="00D15FD8" w:rsidP="003625BA">
                      <w:pPr>
                        <w:spacing w:line="276" w:lineRule="auto"/>
                        <w:contextualSpacing/>
                        <w:jc w:val="both"/>
                        <w:rPr>
                          <w:rFonts w:ascii="Arial" w:hAnsi="Arial" w:cs="Arial"/>
                          <w:b/>
                          <w:bCs/>
                          <w:color w:val="FFFFFF" w:themeColor="background1"/>
                          <w:sz w:val="24"/>
                          <w:szCs w:val="24"/>
                        </w:rPr>
                      </w:pPr>
                      <w:r w:rsidRPr="00BD6508">
                        <w:rPr>
                          <w:rFonts w:ascii="Arial" w:hAnsi="Arial" w:cs="Arial"/>
                          <w:b/>
                          <w:bCs/>
                          <w:color w:val="FFFFFF" w:themeColor="background1"/>
                          <w:sz w:val="24"/>
                          <w:szCs w:val="24"/>
                        </w:rPr>
                        <w:t>How is the budget appropriated to different institutions at a detailed level?</w:t>
                      </w:r>
                    </w:p>
                    <w:p w14:paraId="6FB01521" w14:textId="77777777" w:rsidR="00D15FD8" w:rsidRPr="00BD6508" w:rsidRDefault="00D15FD8">
                      <w:pPr>
                        <w:rPr>
                          <w:b/>
                          <w:bCs/>
                          <w:color w:val="FFFFFF" w:themeColor="background1"/>
                        </w:rPr>
                      </w:pPr>
                    </w:p>
                  </w:txbxContent>
                </v:textbox>
              </v:shape>
            </w:pict>
          </mc:Fallback>
        </mc:AlternateContent>
      </w:r>
      <w:r w:rsidR="00C904A1">
        <w:rPr>
          <w:rFonts w:ascii="Arial" w:hAnsi="Arial" w:cs="Arial"/>
          <w:b/>
          <w:bCs/>
          <w:noProof/>
          <w:color w:val="82C9A0"/>
          <w:sz w:val="32"/>
          <w:szCs w:val="32"/>
          <w:lang w:val="en-US"/>
        </w:rPr>
        <mc:AlternateContent>
          <mc:Choice Requires="wps">
            <w:drawing>
              <wp:anchor distT="0" distB="0" distL="114300" distR="114300" simplePos="0" relativeHeight="253805566" behindDoc="0" locked="0" layoutInCell="1" allowOverlap="1" wp14:anchorId="7CC4A191" wp14:editId="54FD97A8">
                <wp:simplePos x="0" y="0"/>
                <wp:positionH relativeFrom="column">
                  <wp:posOffset>127000</wp:posOffset>
                </wp:positionH>
                <wp:positionV relativeFrom="paragraph">
                  <wp:posOffset>153035</wp:posOffset>
                </wp:positionV>
                <wp:extent cx="279400" cy="279400"/>
                <wp:effectExtent l="0" t="0" r="0" b="0"/>
                <wp:wrapNone/>
                <wp:docPr id="2097" name="Oval 2097"/>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3F51E15F" id="Oval 2097" o:spid="_x0000_s1026" style="position:absolute;margin-left:10pt;margin-top:12.05pt;width:22pt;height:22pt;z-index:2538055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" fillcolor="#82c9a0" stroked="f" strokeweight="1pt">
                <v:stroke joinstyle="miter"/>
              </v:oval>
            </w:pict>
          </mc:Fallback>
        </mc:AlternateContent>
      </w:r>
    </w:p>
    <w:p w14:paraId="6C16E320" w14:textId="4D838470" w:rsidR="00A81C0B" w:rsidRDefault="00A81C0B" w:rsidP="00E20EAC">
      <w:pPr>
        <w:spacing w:line="276" w:lineRule="auto"/>
        <w:jc w:val="both"/>
        <w:rPr>
          <w:rFonts w:ascii="Arial" w:hAnsi="Arial" w:cs="Arial"/>
          <w:b/>
          <w:bCs/>
          <w:color w:val="82C9A0"/>
          <w:sz w:val="32"/>
          <w:szCs w:val="32"/>
          <w:lang w:val="en-US"/>
        </w:rPr>
      </w:pPr>
    </w:p>
    <w:p w14:paraId="34DEB624" w14:textId="40525D1D" w:rsidR="00A81C0B" w:rsidRDefault="00A81C0B"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786110" behindDoc="0" locked="0" layoutInCell="1" allowOverlap="1" wp14:anchorId="0B0DBD93" wp14:editId="29011B39">
                <wp:simplePos x="0" y="0"/>
                <wp:positionH relativeFrom="margin">
                  <wp:posOffset>571500</wp:posOffset>
                </wp:positionH>
                <wp:positionV relativeFrom="paragraph">
                  <wp:posOffset>186690</wp:posOffset>
                </wp:positionV>
                <wp:extent cx="6111240" cy="787400"/>
                <wp:effectExtent l="0" t="0" r="0" b="0"/>
                <wp:wrapNone/>
                <wp:docPr id="2079" name="Rounded Rectangle 2079"/>
                <wp:cNvGraphicFramePr/>
                <a:graphic xmlns:a="http://schemas.openxmlformats.org/drawingml/2006/main">
                  <a:graphicData uri="http://schemas.microsoft.com/office/word/2010/wordprocessingShape">
                    <wps:wsp>
                      <wps:cNvSpPr/>
                      <wps:spPr>
                        <a:xfrm>
                          <a:off x="0" y="0"/>
                          <a:ext cx="6111240" cy="7874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8AD0A59" id="Rounded Rectangle 2079" o:spid="_x0000_s1026" style="position:absolute;margin-left:45pt;margin-top:14.7pt;width:481.2pt;height:62pt;z-index:2537861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" fillcolor="#f8a133" stroked="f" strokeweight="1pt">
                <v:stroke joinstyle="miter"/>
                <w10:wrap anchorx="margin"/>
              </v:roundrect>
            </w:pict>
          </mc:Fallback>
        </mc:AlternateContent>
      </w:r>
    </w:p>
    <w:p w14:paraId="1D73AD9F" w14:textId="6A9EC543" w:rsidR="00A81C0B" w:rsidRDefault="00C904A1"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07614" behindDoc="0" locked="0" layoutInCell="1" allowOverlap="1" wp14:anchorId="2757A947" wp14:editId="02FC3BAB">
                <wp:simplePos x="0" y="0"/>
                <wp:positionH relativeFrom="column">
                  <wp:posOffset>127000</wp:posOffset>
                </wp:positionH>
                <wp:positionV relativeFrom="paragraph">
                  <wp:posOffset>197485</wp:posOffset>
                </wp:positionV>
                <wp:extent cx="279400" cy="279400"/>
                <wp:effectExtent l="0" t="0" r="0" b="0"/>
                <wp:wrapNone/>
                <wp:docPr id="2098" name="Oval 2098"/>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3C590C8E" id="Oval 2098" o:spid="_x0000_s1026" style="position:absolute;margin-left:10pt;margin-top:15.55pt;width:22pt;height:22pt;z-index:2538076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" fillcolor="#82c9a0" stroked="f" strokeweight="1pt">
                <v:stroke joinstyle="miter"/>
              </v:oval>
            </w:pict>
          </mc:Fallback>
        </mc:AlternateContent>
      </w:r>
      <w:r w:rsidR="00A81C0B">
        <w:rPr>
          <w:rFonts w:ascii="Arial" w:hAnsi="Arial" w:cs="Arial"/>
          <w:b/>
          <w:bCs/>
          <w:noProof/>
          <w:color w:val="82C9A0"/>
          <w:sz w:val="32"/>
          <w:szCs w:val="32"/>
          <w:lang w:val="en-US"/>
        </w:rPr>
        <mc:AlternateContent>
          <mc:Choice Requires="wps">
            <w:drawing>
              <wp:anchor distT="0" distB="0" distL="114300" distR="114300" simplePos="0" relativeHeight="253788158" behindDoc="0" locked="0" layoutInCell="1" allowOverlap="1" wp14:anchorId="4DEC708B" wp14:editId="05D8940F">
                <wp:simplePos x="0" y="0"/>
                <wp:positionH relativeFrom="column">
                  <wp:posOffset>773432</wp:posOffset>
                </wp:positionH>
                <wp:positionV relativeFrom="paragraph">
                  <wp:posOffset>70485</wp:posOffset>
                </wp:positionV>
                <wp:extent cx="5589267" cy="503555"/>
                <wp:effectExtent l="0" t="0" r="0" b="0"/>
                <wp:wrapNone/>
                <wp:docPr id="2081" name="Text Box 2081"/>
                <wp:cNvGraphicFramePr/>
                <a:graphic xmlns:a="http://schemas.openxmlformats.org/drawingml/2006/main">
                  <a:graphicData uri="http://schemas.microsoft.com/office/word/2010/wordprocessingShape">
                    <wps:wsp>
                      <wps:cNvSpPr txBox="1"/>
                      <wps:spPr>
                        <a:xfrm>
                          <a:off x="0" y="0"/>
                          <a:ext cx="5589267" cy="503555"/>
                        </a:xfrm>
                        <a:prstGeom prst="rect">
                          <a:avLst/>
                        </a:prstGeom>
                        <a:noFill/>
                        <a:ln w="6350">
                          <a:noFill/>
                        </a:ln>
                      </wps:spPr>
                      <wps:txbx>
                        <w:txbxContent>
                          <w:p w14:paraId="3B35705F" w14:textId="77777777" w:rsidR="00D15FD8" w:rsidRPr="003625BA" w:rsidRDefault="00D15FD8" w:rsidP="00286393">
                            <w:pPr>
                              <w:spacing w:line="276" w:lineRule="auto"/>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How are institutions spending their budgets during the course of the fiscal year; are budgets being implemented according to plan?</w:t>
                            </w:r>
                          </w:p>
                          <w:p w14:paraId="5F65B1D3" w14:textId="77777777" w:rsidR="00D15FD8" w:rsidRPr="00BD6508" w:rsidRDefault="00D15FD8" w:rsidP="00BD6508">
                            <w:pPr>
                              <w:spacing w:line="276" w:lineRule="auto"/>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C708B" id="Text Box 2081" o:spid="_x0000_s1493" type="#_x0000_t202" style="position:absolute;left:0;text-align:left;margin-left:60.9pt;margin-top:5.55pt;width:440.1pt;height:39.65pt;z-index:253788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" filled="f" stroked="f" strokeweight=".5pt">
                <v:textbox>
                  <w:txbxContent>
                    <w:p w14:paraId="3B35705F" w14:textId="77777777" w:rsidR="00D15FD8" w:rsidRPr="003625BA" w:rsidRDefault="00D15FD8" w:rsidP="00286393">
                      <w:pPr>
                        <w:spacing w:line="276" w:lineRule="auto"/>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How are institutions spending their budgets during the course of the fiscal year; are budgets being implemented according to plan?</w:t>
                      </w:r>
                    </w:p>
                    <w:p w14:paraId="5F65B1D3" w14:textId="77777777" w:rsidR="00D15FD8" w:rsidRPr="00BD6508" w:rsidRDefault="00D15FD8" w:rsidP="00BD6508">
                      <w:pPr>
                        <w:spacing w:line="276" w:lineRule="auto"/>
                        <w:rPr>
                          <w:b/>
                          <w:bCs/>
                          <w:color w:val="FFFFFF" w:themeColor="background1"/>
                        </w:rPr>
                      </w:pPr>
                    </w:p>
                  </w:txbxContent>
                </v:textbox>
              </v:shape>
            </w:pict>
          </mc:Fallback>
        </mc:AlternateContent>
      </w:r>
    </w:p>
    <w:p w14:paraId="01CD7DD7" w14:textId="10BE0B01" w:rsidR="00A81C0B" w:rsidRDefault="00A81C0B" w:rsidP="00E20EAC">
      <w:pPr>
        <w:spacing w:line="276" w:lineRule="auto"/>
        <w:jc w:val="both"/>
        <w:rPr>
          <w:rFonts w:ascii="Arial" w:hAnsi="Arial" w:cs="Arial"/>
          <w:b/>
          <w:bCs/>
          <w:color w:val="82C9A0"/>
          <w:sz w:val="32"/>
          <w:szCs w:val="32"/>
          <w:lang w:val="en-US"/>
        </w:rPr>
      </w:pPr>
    </w:p>
    <w:p w14:paraId="142871DF" w14:textId="62858E62" w:rsidR="00A81C0B" w:rsidRDefault="00A81C0B" w:rsidP="00E20EAC">
      <w:pPr>
        <w:spacing w:line="276" w:lineRule="auto"/>
        <w:jc w:val="both"/>
        <w:rPr>
          <w:rFonts w:ascii="Arial" w:hAnsi="Arial" w:cs="Arial"/>
          <w:b/>
          <w:bCs/>
          <w:color w:val="82C9A0"/>
          <w:sz w:val="32"/>
          <w:szCs w:val="32"/>
          <w:lang w:val="en-US"/>
        </w:rPr>
      </w:pPr>
    </w:p>
    <w:p w14:paraId="583864C5" w14:textId="329DFB5A" w:rsidR="00A81C0B" w:rsidRDefault="006A63A7"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792254" behindDoc="0" locked="0" layoutInCell="1" allowOverlap="1" wp14:anchorId="16762890" wp14:editId="02DDDE4A">
                <wp:simplePos x="0" y="0"/>
                <wp:positionH relativeFrom="column">
                  <wp:posOffset>773432</wp:posOffset>
                </wp:positionH>
                <wp:positionV relativeFrom="paragraph">
                  <wp:posOffset>204470</wp:posOffset>
                </wp:positionV>
                <wp:extent cx="5589267" cy="482600"/>
                <wp:effectExtent l="0" t="0" r="0" b="0"/>
                <wp:wrapNone/>
                <wp:docPr id="2084" name="Text Box 2084"/>
                <wp:cNvGraphicFramePr/>
                <a:graphic xmlns:a="http://schemas.openxmlformats.org/drawingml/2006/main">
                  <a:graphicData uri="http://schemas.microsoft.com/office/word/2010/wordprocessingShape">
                    <wps:wsp>
                      <wps:cNvSpPr txBox="1"/>
                      <wps:spPr>
                        <a:xfrm>
                          <a:off x="0" y="0"/>
                          <a:ext cx="5589267" cy="482600"/>
                        </a:xfrm>
                        <a:prstGeom prst="rect">
                          <a:avLst/>
                        </a:prstGeom>
                        <a:noFill/>
                        <a:ln w="6350">
                          <a:noFill/>
                        </a:ln>
                      </wps:spPr>
                      <wps:txbx>
                        <w:txbxContent>
                          <w:p w14:paraId="6D05DB0B" w14:textId="77777777" w:rsidR="00D15FD8" w:rsidRPr="003625BA" w:rsidRDefault="00D15FD8" w:rsidP="00286393">
                            <w:pPr>
                              <w:spacing w:line="276" w:lineRule="auto"/>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Are observed failures in non-financial goals associated with failures to spend financial resources, that is with underspending?</w:t>
                            </w:r>
                          </w:p>
                          <w:p w14:paraId="56B53AC6" w14:textId="77777777" w:rsidR="00D15FD8" w:rsidRPr="00BD6508" w:rsidRDefault="00D15FD8" w:rsidP="00BD6508">
                            <w:pPr>
                              <w:spacing w:line="276" w:lineRule="auto"/>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62890" id="Text Box 2084" o:spid="_x0000_s1494" type="#_x0000_t202" style="position:absolute;left:0;text-align:left;margin-left:60.9pt;margin-top:16.1pt;width:440.1pt;height:38pt;z-index:253792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" filled="f" stroked="f" strokeweight=".5pt">
                <v:textbox>
                  <w:txbxContent>
                    <w:p w14:paraId="6D05DB0B" w14:textId="77777777" w:rsidR="00D15FD8" w:rsidRPr="003625BA" w:rsidRDefault="00D15FD8" w:rsidP="00286393">
                      <w:pPr>
                        <w:spacing w:line="276" w:lineRule="auto"/>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Are observed failures in non-financial goals associated with failures to spend financial resources, that is with underspending?</w:t>
                      </w:r>
                    </w:p>
                    <w:p w14:paraId="56B53AC6" w14:textId="77777777" w:rsidR="00D15FD8" w:rsidRPr="00BD6508" w:rsidRDefault="00D15FD8" w:rsidP="00BD6508">
                      <w:pPr>
                        <w:spacing w:line="276" w:lineRule="auto"/>
                        <w:rPr>
                          <w:b/>
                          <w:bCs/>
                          <w:color w:val="FFFFFF" w:themeColor="background1"/>
                        </w:rPr>
                      </w:pPr>
                    </w:p>
                  </w:txbxContent>
                </v:textbox>
              </v:shape>
            </w:pict>
          </mc:Fallback>
        </mc:AlternateContent>
      </w:r>
      <w:r w:rsidR="00A81C0B">
        <w:rPr>
          <w:rFonts w:ascii="Arial" w:hAnsi="Arial" w:cs="Arial"/>
          <w:b/>
          <w:bCs/>
          <w:noProof/>
          <w:color w:val="82C9A0"/>
          <w:sz w:val="32"/>
          <w:szCs w:val="32"/>
          <w:lang w:val="en-US"/>
        </w:rPr>
        <mc:AlternateContent>
          <mc:Choice Requires="wps">
            <w:drawing>
              <wp:anchor distT="0" distB="0" distL="114300" distR="114300" simplePos="0" relativeHeight="253790206" behindDoc="0" locked="0" layoutInCell="1" allowOverlap="1" wp14:anchorId="61E01288" wp14:editId="066DBD5C">
                <wp:simplePos x="0" y="0"/>
                <wp:positionH relativeFrom="margin">
                  <wp:posOffset>571500</wp:posOffset>
                </wp:positionH>
                <wp:positionV relativeFrom="paragraph">
                  <wp:posOffset>39370</wp:posOffset>
                </wp:positionV>
                <wp:extent cx="6111240" cy="792000"/>
                <wp:effectExtent l="0" t="0" r="0" b="0"/>
                <wp:wrapNone/>
                <wp:docPr id="2082" name="Rounded Rectangle 2082"/>
                <wp:cNvGraphicFramePr/>
                <a:graphic xmlns:a="http://schemas.openxmlformats.org/drawingml/2006/main">
                  <a:graphicData uri="http://schemas.microsoft.com/office/word/2010/wordprocessingShape">
                    <wps:wsp>
                      <wps:cNvSpPr/>
                      <wps:spPr>
                        <a:xfrm>
                          <a:off x="0" y="0"/>
                          <a:ext cx="6111240" cy="7920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995A4DF" id="Rounded Rectangle 2082" o:spid="_x0000_s1026" style="position:absolute;margin-left:45pt;margin-top:3.1pt;width:481.2pt;height:62.35pt;z-index:2537902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" fillcolor="#f8a133" stroked="f" strokeweight="1pt">
                <v:stroke joinstyle="miter"/>
                <w10:wrap anchorx="margin"/>
              </v:roundrect>
            </w:pict>
          </mc:Fallback>
        </mc:AlternateContent>
      </w:r>
    </w:p>
    <w:p w14:paraId="43EA23CB" w14:textId="7BC76642" w:rsidR="00A81C0B" w:rsidRDefault="00C904A1"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09662" behindDoc="0" locked="0" layoutInCell="1" allowOverlap="1" wp14:anchorId="54D9DDE3" wp14:editId="56E1095D">
                <wp:simplePos x="0" y="0"/>
                <wp:positionH relativeFrom="column">
                  <wp:posOffset>127000</wp:posOffset>
                </wp:positionH>
                <wp:positionV relativeFrom="paragraph">
                  <wp:posOffset>48260</wp:posOffset>
                </wp:positionV>
                <wp:extent cx="279400" cy="279400"/>
                <wp:effectExtent l="0" t="0" r="0" b="0"/>
                <wp:wrapNone/>
                <wp:docPr id="2099" name="Oval 2099"/>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47C8D1F7" id="Oval 2099" o:spid="_x0000_s1026" style="position:absolute;margin-left:10pt;margin-top:3.8pt;width:22pt;height:22pt;z-index:2538096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" fillcolor="#82c9a0" stroked="f" strokeweight="1pt">
                <v:stroke joinstyle="miter"/>
              </v:oval>
            </w:pict>
          </mc:Fallback>
        </mc:AlternateContent>
      </w:r>
    </w:p>
    <w:p w14:paraId="50837CF8" w14:textId="2E3A346F" w:rsidR="00A81C0B" w:rsidRDefault="00A81C0B" w:rsidP="00E20EAC">
      <w:pPr>
        <w:spacing w:line="276" w:lineRule="auto"/>
        <w:jc w:val="both"/>
        <w:rPr>
          <w:rFonts w:ascii="Arial" w:hAnsi="Arial" w:cs="Arial"/>
          <w:b/>
          <w:bCs/>
          <w:color w:val="82C9A0"/>
          <w:sz w:val="32"/>
          <w:szCs w:val="32"/>
          <w:lang w:val="en-US"/>
        </w:rPr>
      </w:pPr>
    </w:p>
    <w:p w14:paraId="60018705" w14:textId="1161CCEE" w:rsidR="00A81C0B" w:rsidRDefault="00A81C0B"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794302" behindDoc="0" locked="0" layoutInCell="1" allowOverlap="1" wp14:anchorId="3DC412C9" wp14:editId="0E469B6D">
                <wp:simplePos x="0" y="0"/>
                <wp:positionH relativeFrom="margin">
                  <wp:posOffset>571500</wp:posOffset>
                </wp:positionH>
                <wp:positionV relativeFrom="paragraph">
                  <wp:posOffset>172720</wp:posOffset>
                </wp:positionV>
                <wp:extent cx="6111240" cy="828000"/>
                <wp:effectExtent l="0" t="0" r="0" b="0"/>
                <wp:wrapNone/>
                <wp:docPr id="2085" name="Rounded Rectangle 2085"/>
                <wp:cNvGraphicFramePr/>
                <a:graphic xmlns:a="http://schemas.openxmlformats.org/drawingml/2006/main">
                  <a:graphicData uri="http://schemas.microsoft.com/office/word/2010/wordprocessingShape">
                    <wps:wsp>
                      <wps:cNvSpPr/>
                      <wps:spPr>
                        <a:xfrm>
                          <a:off x="0" y="0"/>
                          <a:ext cx="6111240" cy="8280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4B1F4A3" id="Rounded Rectangle 2085" o:spid="_x0000_s1026" style="position:absolute;margin-left:45pt;margin-top:13.6pt;width:481.2pt;height:65.2pt;z-index:253794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" fillcolor="#f8a133" stroked="f" strokeweight="1pt">
                <v:stroke joinstyle="miter"/>
                <w10:wrap anchorx="margin"/>
              </v:roundrect>
            </w:pict>
          </mc:Fallback>
        </mc:AlternateContent>
      </w:r>
    </w:p>
    <w:p w14:paraId="098E59C8" w14:textId="2BAAFA93" w:rsidR="00A81C0B" w:rsidRDefault="00C904A1"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11710" behindDoc="0" locked="0" layoutInCell="1" allowOverlap="1" wp14:anchorId="0EA77628" wp14:editId="7183FBD9">
                <wp:simplePos x="0" y="0"/>
                <wp:positionH relativeFrom="column">
                  <wp:posOffset>127000</wp:posOffset>
                </wp:positionH>
                <wp:positionV relativeFrom="paragraph">
                  <wp:posOffset>203200</wp:posOffset>
                </wp:positionV>
                <wp:extent cx="279400" cy="279400"/>
                <wp:effectExtent l="0" t="0" r="0" b="0"/>
                <wp:wrapNone/>
                <wp:docPr id="2100" name="Oval 2100"/>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0D47CFD9" id="Oval 2100" o:spid="_x0000_s1026" style="position:absolute;margin-left:10pt;margin-top:16pt;width:22pt;height:22pt;z-index:2538117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" fillcolor="#82c9a0" stroked="f" strokeweight="1pt">
                <v:stroke joinstyle="miter"/>
              </v:oval>
            </w:pict>
          </mc:Fallback>
        </mc:AlternateContent>
      </w:r>
      <w:r w:rsidR="006A63A7">
        <w:rPr>
          <w:rFonts w:ascii="Arial" w:hAnsi="Arial" w:cs="Arial"/>
          <w:b/>
          <w:bCs/>
          <w:noProof/>
          <w:color w:val="82C9A0"/>
          <w:sz w:val="32"/>
          <w:szCs w:val="32"/>
          <w:lang w:val="en-US"/>
        </w:rPr>
        <mc:AlternateContent>
          <mc:Choice Requires="wps">
            <w:drawing>
              <wp:anchor distT="0" distB="0" distL="114300" distR="114300" simplePos="0" relativeHeight="253796350" behindDoc="0" locked="0" layoutInCell="1" allowOverlap="1" wp14:anchorId="11BBE439" wp14:editId="4DD7EA22">
                <wp:simplePos x="0" y="0"/>
                <wp:positionH relativeFrom="column">
                  <wp:posOffset>773432</wp:posOffset>
                </wp:positionH>
                <wp:positionV relativeFrom="paragraph">
                  <wp:posOffset>69215</wp:posOffset>
                </wp:positionV>
                <wp:extent cx="5589267" cy="508000"/>
                <wp:effectExtent l="0" t="0" r="0" b="0"/>
                <wp:wrapNone/>
                <wp:docPr id="2087" name="Text Box 2087"/>
                <wp:cNvGraphicFramePr/>
                <a:graphic xmlns:a="http://schemas.openxmlformats.org/drawingml/2006/main">
                  <a:graphicData uri="http://schemas.microsoft.com/office/word/2010/wordprocessingShape">
                    <wps:wsp>
                      <wps:cNvSpPr txBox="1"/>
                      <wps:spPr>
                        <a:xfrm>
                          <a:off x="0" y="0"/>
                          <a:ext cx="5589267" cy="508000"/>
                        </a:xfrm>
                        <a:prstGeom prst="rect">
                          <a:avLst/>
                        </a:prstGeom>
                        <a:noFill/>
                        <a:ln w="6350">
                          <a:noFill/>
                        </a:ln>
                      </wps:spPr>
                      <wps:txbx>
                        <w:txbxContent>
                          <w:p w14:paraId="51B41040" w14:textId="77777777" w:rsidR="00D15FD8" w:rsidRPr="003625BA" w:rsidRDefault="00D15FD8" w:rsidP="00286393">
                            <w:pPr>
                              <w:spacing w:line="276" w:lineRule="auto"/>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Are governments shifting funds around during implementation, and if so, from where, to where?</w:t>
                            </w:r>
                          </w:p>
                          <w:p w14:paraId="27BC6AA2" w14:textId="77777777" w:rsidR="00D15FD8" w:rsidRPr="00BD6508" w:rsidRDefault="00D15FD8" w:rsidP="00BD6508">
                            <w:pPr>
                              <w:spacing w:line="276" w:lineRule="auto"/>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BE439" id="Text Box 2087" o:spid="_x0000_s1495" type="#_x0000_t202" style="position:absolute;left:0;text-align:left;margin-left:60.9pt;margin-top:5.45pt;width:440.1pt;height:40pt;z-index:253796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" filled="f" stroked="f" strokeweight=".5pt">
                <v:textbox>
                  <w:txbxContent>
                    <w:p w14:paraId="51B41040" w14:textId="77777777" w:rsidR="00D15FD8" w:rsidRPr="003625BA" w:rsidRDefault="00D15FD8" w:rsidP="00286393">
                      <w:pPr>
                        <w:spacing w:line="276" w:lineRule="auto"/>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Are governments shifting funds around during implementation, and if so, from where, to where?</w:t>
                      </w:r>
                    </w:p>
                    <w:p w14:paraId="27BC6AA2" w14:textId="77777777" w:rsidR="00D15FD8" w:rsidRPr="00BD6508" w:rsidRDefault="00D15FD8" w:rsidP="00BD6508">
                      <w:pPr>
                        <w:spacing w:line="276" w:lineRule="auto"/>
                        <w:rPr>
                          <w:b/>
                          <w:bCs/>
                          <w:color w:val="FFFFFF" w:themeColor="background1"/>
                        </w:rPr>
                      </w:pPr>
                    </w:p>
                  </w:txbxContent>
                </v:textbox>
              </v:shape>
            </w:pict>
          </mc:Fallback>
        </mc:AlternateContent>
      </w:r>
    </w:p>
    <w:p w14:paraId="661AF1ED" w14:textId="7AFCA892" w:rsidR="00A81C0B" w:rsidRDefault="00A81C0B" w:rsidP="00E20EAC">
      <w:pPr>
        <w:spacing w:line="276" w:lineRule="auto"/>
        <w:jc w:val="both"/>
        <w:rPr>
          <w:rFonts w:ascii="Arial" w:hAnsi="Arial" w:cs="Arial"/>
          <w:b/>
          <w:bCs/>
          <w:color w:val="82C9A0"/>
          <w:sz w:val="32"/>
          <w:szCs w:val="32"/>
          <w:lang w:val="en-US"/>
        </w:rPr>
      </w:pPr>
    </w:p>
    <w:p w14:paraId="0DAD4E07" w14:textId="22E1E749" w:rsidR="00A81C0B" w:rsidRDefault="00A81C0B" w:rsidP="00E20EAC">
      <w:pPr>
        <w:spacing w:line="276" w:lineRule="auto"/>
        <w:jc w:val="both"/>
        <w:rPr>
          <w:rFonts w:ascii="Arial" w:hAnsi="Arial" w:cs="Arial"/>
          <w:b/>
          <w:bCs/>
          <w:color w:val="82C9A0"/>
          <w:sz w:val="32"/>
          <w:szCs w:val="32"/>
          <w:lang w:val="en-US"/>
        </w:rPr>
      </w:pPr>
    </w:p>
    <w:p w14:paraId="623E4174" w14:textId="31709C57" w:rsidR="00837392" w:rsidRDefault="00C904A1" w:rsidP="00E20EAC">
      <w:pPr>
        <w:spacing w:line="276" w:lineRule="auto"/>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13758" behindDoc="0" locked="0" layoutInCell="1" allowOverlap="1" wp14:anchorId="1BD1CA8E" wp14:editId="1A9911AA">
                <wp:simplePos x="0" y="0"/>
                <wp:positionH relativeFrom="column">
                  <wp:posOffset>190500</wp:posOffset>
                </wp:positionH>
                <wp:positionV relativeFrom="paragraph">
                  <wp:posOffset>243840</wp:posOffset>
                </wp:positionV>
                <wp:extent cx="279400" cy="279400"/>
                <wp:effectExtent l="0" t="0" r="0" b="0"/>
                <wp:wrapNone/>
                <wp:docPr id="2101" name="Oval 2101"/>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129A3F3C" id="Oval 2101" o:spid="_x0000_s1026" style="position:absolute;margin-left:15pt;margin-top:19.2pt;width:22pt;height:22pt;z-index:253813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" fillcolor="#82c9a0" stroked="f" strokeweight="1pt">
                <v:stroke joinstyle="miter"/>
              </v:oval>
            </w:pict>
          </mc:Fallback>
        </mc:AlternateContent>
      </w:r>
      <w:r w:rsidR="006A63A7">
        <w:rPr>
          <w:rFonts w:ascii="Arial" w:hAnsi="Arial" w:cs="Arial"/>
          <w:b/>
          <w:bCs/>
          <w:noProof/>
          <w:color w:val="82C9A0"/>
          <w:sz w:val="32"/>
          <w:szCs w:val="32"/>
          <w:lang w:val="en-US"/>
        </w:rPr>
        <mc:AlternateContent>
          <mc:Choice Requires="wps">
            <w:drawing>
              <wp:anchor distT="0" distB="0" distL="114300" distR="114300" simplePos="0" relativeHeight="253800446" behindDoc="0" locked="0" layoutInCell="1" allowOverlap="1" wp14:anchorId="56412C82" wp14:editId="7D476D13">
                <wp:simplePos x="0" y="0"/>
                <wp:positionH relativeFrom="column">
                  <wp:posOffset>811532</wp:posOffset>
                </wp:positionH>
                <wp:positionV relativeFrom="paragraph">
                  <wp:posOffset>194945</wp:posOffset>
                </wp:positionV>
                <wp:extent cx="5589267" cy="304800"/>
                <wp:effectExtent l="0" t="0" r="0" b="0"/>
                <wp:wrapNone/>
                <wp:docPr id="2090" name="Text Box 2090"/>
                <wp:cNvGraphicFramePr/>
                <a:graphic xmlns:a="http://schemas.openxmlformats.org/drawingml/2006/main">
                  <a:graphicData uri="http://schemas.microsoft.com/office/word/2010/wordprocessingShape">
                    <wps:wsp>
                      <wps:cNvSpPr txBox="1"/>
                      <wps:spPr>
                        <a:xfrm>
                          <a:off x="0" y="0"/>
                          <a:ext cx="5589267" cy="304800"/>
                        </a:xfrm>
                        <a:prstGeom prst="rect">
                          <a:avLst/>
                        </a:prstGeom>
                        <a:noFill/>
                        <a:ln w="6350">
                          <a:noFill/>
                        </a:ln>
                      </wps:spPr>
                      <wps:txbx>
                        <w:txbxContent>
                          <w:p w14:paraId="637A678A" w14:textId="491AD7F6" w:rsidR="00D15FD8" w:rsidRPr="003625BA" w:rsidRDefault="00D15FD8" w:rsidP="00286393">
                            <w:pPr>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Was the budget for the full fiscal year spent according to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12C82" id="Text Box 2090" o:spid="_x0000_s1496" type="#_x0000_t202" style="position:absolute;left:0;text-align:left;margin-left:63.9pt;margin-top:15.35pt;width:440.1pt;height:24pt;z-index:253800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" filled="f" stroked="f" strokeweight=".5pt">
                <v:textbox>
                  <w:txbxContent>
                    <w:p w14:paraId="637A678A" w14:textId="491AD7F6" w:rsidR="00D15FD8" w:rsidRPr="003625BA" w:rsidRDefault="00D15FD8" w:rsidP="00286393">
                      <w:pPr>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Was the budget for the full fiscal year spent according to plan?</w:t>
                      </w:r>
                    </w:p>
                  </w:txbxContent>
                </v:textbox>
              </v:shape>
            </w:pict>
          </mc:Fallback>
        </mc:AlternateContent>
      </w:r>
      <w:r w:rsidR="00837392" w:rsidRPr="00EB2A7C">
        <w:rPr>
          <w:rFonts w:ascii="Arial" w:hAnsi="Arial" w:cs="Arial"/>
          <w:b/>
          <w:bCs/>
          <w:noProof/>
          <w:color w:val="F26D24"/>
          <w:sz w:val="32"/>
          <w:szCs w:val="32"/>
          <w:lang w:val="en-US"/>
        </w:rPr>
        <mc:AlternateContent>
          <mc:Choice Requires="wps">
            <w:drawing>
              <wp:anchor distT="0" distB="0" distL="114300" distR="114300" simplePos="0" relativeHeight="253798398" behindDoc="0" locked="0" layoutInCell="1" allowOverlap="1" wp14:anchorId="2299AE45" wp14:editId="0C52126D">
                <wp:simplePos x="0" y="0"/>
                <wp:positionH relativeFrom="margin">
                  <wp:posOffset>609600</wp:posOffset>
                </wp:positionH>
                <wp:positionV relativeFrom="paragraph">
                  <wp:posOffset>4445</wp:posOffset>
                </wp:positionV>
                <wp:extent cx="6111240" cy="673100"/>
                <wp:effectExtent l="0" t="0" r="0" b="0"/>
                <wp:wrapNone/>
                <wp:docPr id="2088" name="Rounded Rectangle 2088"/>
                <wp:cNvGraphicFramePr/>
                <a:graphic xmlns:a="http://schemas.openxmlformats.org/drawingml/2006/main">
                  <a:graphicData uri="http://schemas.microsoft.com/office/word/2010/wordprocessingShape">
                    <wps:wsp>
                      <wps:cNvSpPr/>
                      <wps:spPr>
                        <a:xfrm>
                          <a:off x="0" y="0"/>
                          <a:ext cx="6111240" cy="6731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1931855" id="Rounded Rectangle 2088" o:spid="_x0000_s1026" style="position:absolute;margin-left:48pt;margin-top:.35pt;width:481.2pt;height:53pt;z-index:2537983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" fillcolor="#f8a133" stroked="f" strokeweight="1pt">
                <v:stroke joinstyle="miter"/>
                <w10:wrap anchorx="margin"/>
              </v:roundrect>
            </w:pict>
          </mc:Fallback>
        </mc:AlternateContent>
      </w:r>
    </w:p>
    <w:p w14:paraId="0217036A" w14:textId="78D71701" w:rsidR="00A81C0B" w:rsidRPr="00BD6508" w:rsidRDefault="00A81C0B" w:rsidP="00BD6508">
      <w:pPr>
        <w:spacing w:line="276" w:lineRule="auto"/>
        <w:jc w:val="both"/>
        <w:rPr>
          <w:rFonts w:ascii="Arial" w:hAnsi="Arial" w:cs="Arial"/>
          <w:b/>
          <w:bCs/>
          <w:color w:val="82C9A0"/>
          <w:sz w:val="32"/>
          <w:szCs w:val="32"/>
          <w:lang w:val="en-US"/>
        </w:rPr>
      </w:pPr>
    </w:p>
    <w:p w14:paraId="4BF5AA66" w14:textId="197881BA" w:rsidR="00837392" w:rsidRDefault="00837392" w:rsidP="00BD6508">
      <w:pPr>
        <w:spacing w:line="276" w:lineRule="auto"/>
        <w:contextualSpacing/>
        <w:jc w:val="both"/>
        <w:rPr>
          <w:rFonts w:ascii="Arial" w:hAnsi="Arial" w:cs="Arial"/>
          <w:sz w:val="24"/>
          <w:szCs w:val="24"/>
        </w:rPr>
      </w:pPr>
    </w:p>
    <w:p w14:paraId="2F70938C" w14:textId="6BE0207E" w:rsidR="00837392" w:rsidRDefault="00837392" w:rsidP="00BD6508">
      <w:pPr>
        <w:spacing w:line="276" w:lineRule="auto"/>
        <w:ind w:left="284"/>
        <w:contextualSpacing/>
        <w:jc w:val="both"/>
        <w:rPr>
          <w:rFonts w:ascii="Arial" w:hAnsi="Arial" w:cs="Arial"/>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3802494" behindDoc="0" locked="0" layoutInCell="1" allowOverlap="1" wp14:anchorId="52B8E368" wp14:editId="4B98D7E3">
                <wp:simplePos x="0" y="0"/>
                <wp:positionH relativeFrom="margin">
                  <wp:posOffset>609600</wp:posOffset>
                </wp:positionH>
                <wp:positionV relativeFrom="paragraph">
                  <wp:posOffset>92075</wp:posOffset>
                </wp:positionV>
                <wp:extent cx="6111240" cy="673100"/>
                <wp:effectExtent l="0" t="0" r="0" b="0"/>
                <wp:wrapNone/>
                <wp:docPr id="2094" name="Rounded Rectangle 2094"/>
                <wp:cNvGraphicFramePr/>
                <a:graphic xmlns:a="http://schemas.openxmlformats.org/drawingml/2006/main">
                  <a:graphicData uri="http://schemas.microsoft.com/office/word/2010/wordprocessingShape">
                    <wps:wsp>
                      <wps:cNvSpPr/>
                      <wps:spPr>
                        <a:xfrm>
                          <a:off x="0" y="0"/>
                          <a:ext cx="6111240" cy="6731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5C2B512" id="Rounded Rectangle 2094" o:spid="_x0000_s1026" style="position:absolute;margin-left:48pt;margin-top:7.25pt;width:481.2pt;height:53pt;z-index:2538024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" fillcolor="#f8a133" stroked="f" strokeweight="1pt">
                <v:stroke joinstyle="miter"/>
                <w10:wrap anchorx="margin"/>
              </v:roundrect>
            </w:pict>
          </mc:Fallback>
        </mc:AlternateContent>
      </w:r>
    </w:p>
    <w:p w14:paraId="018FB057" w14:textId="708AD6F1" w:rsidR="00837392" w:rsidRDefault="008C6C25" w:rsidP="00837392">
      <w:pPr>
        <w:spacing w:line="276" w:lineRule="auto"/>
        <w:ind w:left="284"/>
        <w:contextualSpacing/>
        <w:jc w:val="both"/>
        <w:rPr>
          <w:rFonts w:ascii="Arial" w:hAnsi="Arial" w:cs="Arial"/>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3804542" behindDoc="0" locked="0" layoutInCell="1" allowOverlap="1" wp14:anchorId="1DD1D93E" wp14:editId="3C7183D5">
                <wp:simplePos x="0" y="0"/>
                <wp:positionH relativeFrom="column">
                  <wp:posOffset>813460</wp:posOffset>
                </wp:positionH>
                <wp:positionV relativeFrom="paragraph">
                  <wp:posOffset>103761</wp:posOffset>
                </wp:positionV>
                <wp:extent cx="5901442" cy="304800"/>
                <wp:effectExtent l="0" t="0" r="0" b="0"/>
                <wp:wrapNone/>
                <wp:docPr id="2096" name="Text Box 2096"/>
                <wp:cNvGraphicFramePr/>
                <a:graphic xmlns:a="http://schemas.openxmlformats.org/drawingml/2006/main">
                  <a:graphicData uri="http://schemas.microsoft.com/office/word/2010/wordprocessingShape">
                    <wps:wsp>
                      <wps:cNvSpPr txBox="1"/>
                      <wps:spPr>
                        <a:xfrm>
                          <a:off x="0" y="0"/>
                          <a:ext cx="5901442" cy="304800"/>
                        </a:xfrm>
                        <a:prstGeom prst="rect">
                          <a:avLst/>
                        </a:prstGeom>
                        <a:noFill/>
                        <a:ln w="6350">
                          <a:noFill/>
                        </a:ln>
                      </wps:spPr>
                      <wps:txbx>
                        <w:txbxContent>
                          <w:p w14:paraId="01D46DB2" w14:textId="77777777" w:rsidR="00D15FD8" w:rsidRPr="003625BA" w:rsidRDefault="00D15FD8" w:rsidP="00286393">
                            <w:pPr>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If the budget wasn’t spent according to plan, where are the major deviations?</w:t>
                            </w:r>
                          </w:p>
                          <w:p w14:paraId="66571507" w14:textId="46B3FBEC" w:rsidR="00D15FD8" w:rsidRPr="00BD6508" w:rsidRDefault="00D15FD8" w:rsidP="00837392">
                            <w:pPr>
                              <w:rPr>
                                <w:rFonts w:ascii="Arial" w:hAnsi="Arial" w:cs="Arial"/>
                                <w:b/>
                                <w:bCs/>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1D93E" id="Text Box 2096" o:spid="_x0000_s1497" type="#_x0000_t202" style="position:absolute;left:0;text-align:left;margin-left:64.05pt;margin-top:8.15pt;width:464.7pt;height:24pt;z-index:253804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" filled="f" stroked="f" strokeweight=".5pt">
                <v:textbox>
                  <w:txbxContent>
                    <w:p w14:paraId="01D46DB2" w14:textId="77777777" w:rsidR="00D15FD8" w:rsidRPr="003625BA" w:rsidRDefault="00D15FD8" w:rsidP="00286393">
                      <w:pPr>
                        <w:jc w:val="both"/>
                        <w:rPr>
                          <w:rFonts w:ascii="Arial" w:hAnsi="Arial" w:cs="Arial"/>
                          <w:b/>
                          <w:bCs/>
                          <w:color w:val="FFFFFF" w:themeColor="background1"/>
                          <w:sz w:val="24"/>
                          <w:szCs w:val="24"/>
                        </w:rPr>
                      </w:pPr>
                      <w:r w:rsidRPr="003625BA">
                        <w:rPr>
                          <w:rFonts w:ascii="Arial" w:hAnsi="Arial" w:cs="Arial"/>
                          <w:b/>
                          <w:bCs/>
                          <w:color w:val="FFFFFF" w:themeColor="background1"/>
                          <w:sz w:val="24"/>
                          <w:szCs w:val="24"/>
                        </w:rPr>
                        <w:t>If the budget wasn’t spent according to plan, where are the major deviations?</w:t>
                      </w:r>
                    </w:p>
                    <w:p w14:paraId="66571507" w14:textId="46B3FBEC" w:rsidR="00D15FD8" w:rsidRPr="00BD6508" w:rsidRDefault="00D15FD8" w:rsidP="00837392">
                      <w:pPr>
                        <w:rPr>
                          <w:rFonts w:ascii="Arial" w:hAnsi="Arial" w:cs="Arial"/>
                          <w:b/>
                          <w:bCs/>
                          <w:color w:val="FFFFFF" w:themeColor="background1"/>
                          <w:sz w:val="24"/>
                          <w:szCs w:val="24"/>
                        </w:rPr>
                      </w:pPr>
                    </w:p>
                  </w:txbxContent>
                </v:textbox>
              </v:shape>
            </w:pict>
          </mc:Fallback>
        </mc:AlternateContent>
      </w:r>
      <w:r w:rsidR="00C904A1">
        <w:rPr>
          <w:rFonts w:ascii="Arial" w:hAnsi="Arial" w:cs="Arial"/>
          <w:b/>
          <w:bCs/>
          <w:noProof/>
          <w:color w:val="82C9A0"/>
          <w:sz w:val="32"/>
          <w:szCs w:val="32"/>
          <w:lang w:val="en-US"/>
        </w:rPr>
        <mc:AlternateContent>
          <mc:Choice Requires="wps">
            <w:drawing>
              <wp:anchor distT="0" distB="0" distL="114300" distR="114300" simplePos="0" relativeHeight="253815806" behindDoc="0" locked="0" layoutInCell="1" allowOverlap="1" wp14:anchorId="5423EC79" wp14:editId="45F7B5E6">
                <wp:simplePos x="0" y="0"/>
                <wp:positionH relativeFrom="column">
                  <wp:posOffset>190500</wp:posOffset>
                </wp:positionH>
                <wp:positionV relativeFrom="paragraph">
                  <wp:posOffset>124460</wp:posOffset>
                </wp:positionV>
                <wp:extent cx="279400" cy="279400"/>
                <wp:effectExtent l="0" t="0" r="0" b="0"/>
                <wp:wrapNone/>
                <wp:docPr id="2102" name="Oval 2102"/>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3F21724B" id="Oval 2102" o:spid="_x0000_s1026" style="position:absolute;margin-left:15pt;margin-top:9.8pt;width:22pt;height:22pt;z-index:253815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" fillcolor="#82c9a0" stroked="f" strokeweight="1pt">
                <v:stroke joinstyle="miter"/>
              </v:oval>
            </w:pict>
          </mc:Fallback>
        </mc:AlternateContent>
      </w:r>
    </w:p>
    <w:p w14:paraId="0F296F17" w14:textId="5E514A0B" w:rsidR="00837392" w:rsidRDefault="00837392" w:rsidP="00837392">
      <w:pPr>
        <w:spacing w:line="276" w:lineRule="auto"/>
        <w:ind w:left="284"/>
        <w:contextualSpacing/>
        <w:jc w:val="both"/>
        <w:rPr>
          <w:rFonts w:ascii="Arial" w:hAnsi="Arial" w:cs="Arial"/>
          <w:sz w:val="24"/>
          <w:szCs w:val="24"/>
        </w:rPr>
      </w:pPr>
    </w:p>
    <w:p w14:paraId="23E9A1BA" w14:textId="5A92F678" w:rsidR="00837392" w:rsidRDefault="00837392" w:rsidP="00837392">
      <w:pPr>
        <w:spacing w:line="276" w:lineRule="auto"/>
        <w:ind w:left="284"/>
        <w:contextualSpacing/>
        <w:jc w:val="both"/>
        <w:rPr>
          <w:rFonts w:ascii="Arial" w:hAnsi="Arial" w:cs="Arial"/>
          <w:sz w:val="24"/>
          <w:szCs w:val="24"/>
        </w:rPr>
      </w:pPr>
    </w:p>
    <w:p w14:paraId="23FD5081" w14:textId="19591044" w:rsidR="00837392" w:rsidRDefault="00837392" w:rsidP="00BD6508">
      <w:pPr>
        <w:spacing w:line="276" w:lineRule="auto"/>
        <w:contextualSpacing/>
        <w:jc w:val="both"/>
        <w:rPr>
          <w:rFonts w:ascii="Arial" w:hAnsi="Arial" w:cs="Arial"/>
          <w:sz w:val="24"/>
          <w:szCs w:val="24"/>
        </w:rPr>
      </w:pPr>
    </w:p>
    <w:p w14:paraId="3EC36ED3" w14:textId="2D5B4F64" w:rsidR="00E20EAC" w:rsidRPr="00BD6508" w:rsidRDefault="00E20EAC" w:rsidP="00BD6508">
      <w:pPr>
        <w:spacing w:line="276" w:lineRule="auto"/>
        <w:contextualSpacing/>
        <w:jc w:val="both"/>
        <w:rPr>
          <w:rFonts w:ascii="Arial" w:hAnsi="Arial" w:cs="Arial"/>
          <w:sz w:val="24"/>
          <w:szCs w:val="24"/>
        </w:rPr>
      </w:pPr>
      <w:r w:rsidRPr="00BD6508">
        <w:rPr>
          <w:rFonts w:ascii="Arial" w:hAnsi="Arial" w:cs="Arial"/>
          <w:sz w:val="24"/>
          <w:szCs w:val="24"/>
        </w:rPr>
        <w:t xml:space="preserve">The executive and the public require answers to these questions to ensure that budget implementation at individual executive budgetary/spending unit level as well as at the aggregate level, is proceeding according to plan at the different stages of the fiscal policy cycle. </w:t>
      </w:r>
    </w:p>
    <w:p w14:paraId="6A7F730F" w14:textId="0838674D" w:rsidR="00E20EAC" w:rsidRPr="00BD6508" w:rsidRDefault="00E20EAC" w:rsidP="00BD6508">
      <w:pPr>
        <w:spacing w:line="276" w:lineRule="auto"/>
        <w:contextualSpacing/>
        <w:jc w:val="both"/>
        <w:rPr>
          <w:rFonts w:ascii="Arial" w:hAnsi="Arial" w:cs="Arial"/>
          <w:sz w:val="24"/>
          <w:szCs w:val="24"/>
        </w:rPr>
      </w:pPr>
    </w:p>
    <w:p w14:paraId="3F677053" w14:textId="0292958E" w:rsidR="00CC4DB2" w:rsidRDefault="00E20EAC" w:rsidP="00BD6508">
      <w:pPr>
        <w:spacing w:line="276" w:lineRule="auto"/>
        <w:contextualSpacing/>
        <w:jc w:val="both"/>
        <w:rPr>
          <w:rFonts w:ascii="Arial" w:hAnsi="Arial" w:cs="Arial"/>
          <w:sz w:val="24"/>
          <w:szCs w:val="24"/>
          <w:lang w:val="en-US"/>
        </w:rPr>
      </w:pPr>
      <w:r w:rsidRPr="00BD6508">
        <w:rPr>
          <w:rFonts w:ascii="Arial" w:hAnsi="Arial" w:cs="Arial"/>
          <w:sz w:val="24"/>
          <w:szCs w:val="24"/>
          <w:lang w:val="en-US"/>
        </w:rPr>
        <w:t>As such, a well-functioning FMIS can be a significant enabler of fiscal transparency; while an increased demand for fiscal transparency will also add pressures to improve the efficiency of such systems. A FMIS is, however, not the only or perfect solution.</w:t>
      </w:r>
    </w:p>
    <w:p w14:paraId="4C801B63" w14:textId="318DEE63" w:rsidR="0031171E" w:rsidRDefault="0031171E" w:rsidP="00BD6508">
      <w:pPr>
        <w:spacing w:line="276" w:lineRule="auto"/>
        <w:contextualSpacing/>
        <w:jc w:val="both"/>
        <w:rPr>
          <w:rFonts w:ascii="Arial" w:hAnsi="Arial" w:cs="Arial"/>
          <w:sz w:val="24"/>
          <w:szCs w:val="24"/>
          <w:lang w:val="en-US"/>
        </w:rPr>
      </w:pPr>
    </w:p>
    <w:p w14:paraId="2CFF11E0" w14:textId="77777777" w:rsidR="0031171E" w:rsidRPr="00BD6508" w:rsidRDefault="0031171E" w:rsidP="00BD6508">
      <w:pPr>
        <w:spacing w:line="276" w:lineRule="auto"/>
        <w:contextualSpacing/>
        <w:jc w:val="both"/>
        <w:rPr>
          <w:rFonts w:ascii="Arial" w:hAnsi="Arial" w:cs="Arial"/>
          <w:sz w:val="24"/>
          <w:szCs w:val="24"/>
          <w:lang w:val="en-US"/>
        </w:rPr>
      </w:pPr>
    </w:p>
    <w:p w14:paraId="4C5F9820" w14:textId="62C41E77" w:rsidR="002A58C0" w:rsidRDefault="002A58C0" w:rsidP="00E20EAC">
      <w:pPr>
        <w:tabs>
          <w:tab w:val="left" w:pos="3800"/>
        </w:tabs>
        <w:spacing w:line="276" w:lineRule="auto"/>
        <w:rPr>
          <w:rFonts w:ascii="Arial" w:hAnsi="Arial" w:cs="Arial"/>
          <w:sz w:val="24"/>
          <w:szCs w:val="24"/>
        </w:rPr>
      </w:pPr>
      <w:r w:rsidRPr="00E20EAC">
        <w:rPr>
          <w:rFonts w:ascii="Arial" w:hAnsi="Arial" w:cs="Arial"/>
          <w:sz w:val="24"/>
          <w:szCs w:val="24"/>
        </w:rPr>
        <w:tab/>
      </w:r>
    </w:p>
    <w:p w14:paraId="52DB72A7" w14:textId="38B73CE8" w:rsidR="005A6DF9" w:rsidRPr="005A6DF9" w:rsidRDefault="0012666E" w:rsidP="00BD6508">
      <w:pPr>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3819902" behindDoc="0" locked="0" layoutInCell="1" allowOverlap="1" wp14:anchorId="688C0442" wp14:editId="1EA8C832">
                <wp:simplePos x="0" y="0"/>
                <wp:positionH relativeFrom="column">
                  <wp:posOffset>520700</wp:posOffset>
                </wp:positionH>
                <wp:positionV relativeFrom="paragraph">
                  <wp:posOffset>118745</wp:posOffset>
                </wp:positionV>
                <wp:extent cx="5969000" cy="673100"/>
                <wp:effectExtent l="0" t="0" r="0" b="0"/>
                <wp:wrapNone/>
                <wp:docPr id="2104" name="Text Box 2104"/>
                <wp:cNvGraphicFramePr/>
                <a:graphic xmlns:a="http://schemas.openxmlformats.org/drawingml/2006/main">
                  <a:graphicData uri="http://schemas.microsoft.com/office/word/2010/wordprocessingShape">
                    <wps:wsp>
                      <wps:cNvSpPr txBox="1"/>
                      <wps:spPr>
                        <a:xfrm>
                          <a:off x="0" y="0"/>
                          <a:ext cx="5969000" cy="673100"/>
                        </a:xfrm>
                        <a:prstGeom prst="rect">
                          <a:avLst/>
                        </a:prstGeom>
                        <a:noFill/>
                        <a:ln w="6350">
                          <a:noFill/>
                        </a:ln>
                      </wps:spPr>
                      <wps:txbx>
                        <w:txbxContent>
                          <w:p w14:paraId="54E86313" w14:textId="29119BEC" w:rsidR="00D15FD8" w:rsidRPr="0031171E" w:rsidRDefault="00D15FD8" w:rsidP="008C6C25">
                            <w:pPr>
                              <w:pStyle w:val="Heading2"/>
                              <w:numPr>
                                <w:ilvl w:val="1"/>
                                <w:numId w:val="115"/>
                              </w:numPr>
                              <w:ind w:left="810" w:hanging="810"/>
                              <w:rPr>
                                <w:rFonts w:ascii="Arial" w:hAnsi="Arial" w:cs="Arial"/>
                                <w:b/>
                                <w:bCs/>
                                <w:color w:val="F26D24"/>
                                <w:sz w:val="36"/>
                                <w:szCs w:val="36"/>
                              </w:rPr>
                            </w:pPr>
                            <w:bookmarkStart w:id="2083" w:name="_Toc123204535"/>
                            <w:bookmarkStart w:id="2084" w:name="_Toc123216647"/>
                            <w:bookmarkStart w:id="2085" w:name="_Toc123217487"/>
                            <w:bookmarkStart w:id="2086" w:name="_Toc123828233"/>
                            <w:bookmarkStart w:id="2087" w:name="_Toc123828443"/>
                            <w:bookmarkStart w:id="2088" w:name="_Toc123828639"/>
                            <w:bookmarkStart w:id="2089" w:name="_Toc123912666"/>
                            <w:bookmarkStart w:id="2090" w:name="_Toc123912925"/>
                            <w:bookmarkStart w:id="2091" w:name="_Toc123913152"/>
                            <w:bookmarkStart w:id="2092" w:name="_Toc123913443"/>
                            <w:bookmarkStart w:id="2093" w:name="_Toc123914100"/>
                            <w:bookmarkStart w:id="2094" w:name="_Toc125566715"/>
                            <w:r w:rsidRPr="0031171E">
                              <w:rPr>
                                <w:rFonts w:ascii="Arial" w:hAnsi="Arial" w:cs="Arial"/>
                                <w:b/>
                                <w:bCs/>
                                <w:color w:val="F26D24"/>
                                <w:sz w:val="36"/>
                                <w:szCs w:val="36"/>
                              </w:rPr>
                              <w:t>FMIS and fiscal transparency: Limitations and good practices</w:t>
                            </w:r>
                            <w:bookmarkEnd w:id="2083"/>
                            <w:bookmarkEnd w:id="2084"/>
                            <w:bookmarkEnd w:id="2085"/>
                            <w:bookmarkEnd w:id="2086"/>
                            <w:bookmarkEnd w:id="2087"/>
                            <w:bookmarkEnd w:id="2088"/>
                            <w:bookmarkEnd w:id="2089"/>
                            <w:bookmarkEnd w:id="2090"/>
                            <w:bookmarkEnd w:id="2091"/>
                            <w:bookmarkEnd w:id="2092"/>
                            <w:bookmarkEnd w:id="2093"/>
                            <w:bookmarkEnd w:id="209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C0442" id="Text Box 2104" o:spid="_x0000_s1498" type="#_x0000_t202" style="position:absolute;margin-left:41pt;margin-top:9.35pt;width:470pt;height:53pt;z-index:253819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" filled="f" stroked="f" strokeweight=".5pt">
                <v:textbox>
                  <w:txbxContent>
                    <w:p w14:paraId="54E86313" w14:textId="29119BEC" w:rsidR="00D15FD8" w:rsidRPr="0031171E" w:rsidRDefault="00D15FD8" w:rsidP="008C6C25">
                      <w:pPr>
                        <w:pStyle w:val="Heading2"/>
                        <w:numPr>
                          <w:ilvl w:val="1"/>
                          <w:numId w:val="115"/>
                        </w:numPr>
                        <w:ind w:left="810" w:hanging="810"/>
                        <w:rPr>
                          <w:rFonts w:ascii="Arial" w:hAnsi="Arial" w:cs="Arial"/>
                          <w:b/>
                          <w:bCs/>
                          <w:color w:val="F26D24"/>
                          <w:sz w:val="36"/>
                          <w:szCs w:val="36"/>
                        </w:rPr>
                      </w:pPr>
                      <w:bookmarkStart w:id="2095" w:name="_Toc123204535"/>
                      <w:bookmarkStart w:id="2096" w:name="_Toc123216647"/>
                      <w:bookmarkStart w:id="2097" w:name="_Toc123217487"/>
                      <w:bookmarkStart w:id="2098" w:name="_Toc123828233"/>
                      <w:bookmarkStart w:id="2099" w:name="_Toc123828443"/>
                      <w:bookmarkStart w:id="2100" w:name="_Toc123828639"/>
                      <w:bookmarkStart w:id="2101" w:name="_Toc123912666"/>
                      <w:bookmarkStart w:id="2102" w:name="_Toc123912925"/>
                      <w:bookmarkStart w:id="2103" w:name="_Toc123913152"/>
                      <w:bookmarkStart w:id="2104" w:name="_Toc123913443"/>
                      <w:bookmarkStart w:id="2105" w:name="_Toc123914100"/>
                      <w:bookmarkStart w:id="2106" w:name="_Toc125566715"/>
                      <w:r w:rsidRPr="0031171E">
                        <w:rPr>
                          <w:rFonts w:ascii="Arial" w:hAnsi="Arial" w:cs="Arial"/>
                          <w:b/>
                          <w:bCs/>
                          <w:color w:val="F26D24"/>
                          <w:sz w:val="36"/>
                          <w:szCs w:val="36"/>
                        </w:rPr>
                        <w:t>FMIS and fiscal transparency: Limitations and good practices</w:t>
                      </w:r>
                      <w:bookmarkEnd w:id="2095"/>
                      <w:bookmarkEnd w:id="2096"/>
                      <w:bookmarkEnd w:id="2097"/>
                      <w:bookmarkEnd w:id="2098"/>
                      <w:bookmarkEnd w:id="2099"/>
                      <w:bookmarkEnd w:id="2100"/>
                      <w:bookmarkEnd w:id="2101"/>
                      <w:bookmarkEnd w:id="2102"/>
                      <w:bookmarkEnd w:id="2103"/>
                      <w:bookmarkEnd w:id="2104"/>
                      <w:bookmarkEnd w:id="2105"/>
                      <w:bookmarkEnd w:id="2106"/>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3817854" behindDoc="1" locked="0" layoutInCell="1" allowOverlap="1" wp14:anchorId="5D4A02FE" wp14:editId="12362F40">
                <wp:simplePos x="0" y="0"/>
                <wp:positionH relativeFrom="column">
                  <wp:posOffset>0</wp:posOffset>
                </wp:positionH>
                <wp:positionV relativeFrom="paragraph">
                  <wp:posOffset>64770</wp:posOffset>
                </wp:positionV>
                <wp:extent cx="6720840" cy="749300"/>
                <wp:effectExtent l="12700" t="12700" r="10160" b="12700"/>
                <wp:wrapNone/>
                <wp:docPr id="2103" name="Rounded Rectangle 2103"/>
                <wp:cNvGraphicFramePr/>
                <a:graphic xmlns:a="http://schemas.openxmlformats.org/drawingml/2006/main">
                  <a:graphicData uri="http://schemas.microsoft.com/office/word/2010/wordprocessingShape">
                    <wps:wsp>
                      <wps:cNvSpPr/>
                      <wps:spPr>
                        <a:xfrm>
                          <a:off x="0" y="0"/>
                          <a:ext cx="6720840" cy="7493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2477D99" id="Rounded Rectangle 2103" o:spid="_x0000_s1026" style="position:absolute;margin-left:0;margin-top:5.1pt;width:529.2pt;height:59pt;z-index:-249498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" filled="f" strokecolor="#82c9a0" strokeweight="2.25pt">
                <v:stroke joinstyle="miter"/>
              </v:roundrect>
            </w:pict>
          </mc:Fallback>
        </mc:AlternateContent>
      </w:r>
    </w:p>
    <w:p w14:paraId="39876D25" w14:textId="68A86147" w:rsidR="005A6DF9" w:rsidRPr="005A6DF9" w:rsidRDefault="0031171E" w:rsidP="00BD6508">
      <w:pPr>
        <w:rPr>
          <w:rFonts w:ascii="Arial" w:hAnsi="Arial" w:cs="Arial"/>
          <w:sz w:val="24"/>
          <w:szCs w:val="24"/>
        </w:rPr>
      </w:pPr>
      <w:r>
        <w:rPr>
          <w:rFonts w:ascii="Arial" w:hAnsi="Arial" w:cs="Arial"/>
          <w:noProof/>
          <w:sz w:val="24"/>
          <w:szCs w:val="24"/>
          <w:lang w:val="en-US"/>
        </w:rPr>
        <w:drawing>
          <wp:anchor distT="0" distB="0" distL="114300" distR="114300" simplePos="0" relativeHeight="255281150" behindDoc="0" locked="0" layoutInCell="1" allowOverlap="1" wp14:anchorId="1C8595A7" wp14:editId="5509030C">
            <wp:simplePos x="0" y="0"/>
            <wp:positionH relativeFrom="column">
              <wp:posOffset>152400</wp:posOffset>
            </wp:positionH>
            <wp:positionV relativeFrom="paragraph">
              <wp:posOffset>6985</wp:posOffset>
            </wp:positionV>
            <wp:extent cx="359410" cy="359410"/>
            <wp:effectExtent l="0" t="0" r="0" b="0"/>
            <wp:wrapNone/>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Picture 2031"/>
                    <pic:cNvPicPr/>
                  </pic:nvPicPr>
                  <pic:blipFill rotWithShape="1">
                    <a:blip r:embed="rId840" cstate="email">
                      <a:extLst>
                        <a:ext uri="{28A0092B-C50C-407E-A947-70E740481C1C}">
                          <a14:useLocalDpi xmlns:a14="http://schemas.microsoft.com/office/drawing/2010/main"/>
                        </a:ext>
                      </a:extLst>
                    </a:blip>
                    <a:srcRect/>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4A0510" w14:textId="7793F99E" w:rsidR="005A6DF9" w:rsidRPr="005A6DF9" w:rsidRDefault="005A6DF9" w:rsidP="00BD6508">
      <w:pPr>
        <w:rPr>
          <w:rFonts w:ascii="Arial" w:hAnsi="Arial" w:cs="Arial"/>
          <w:sz w:val="24"/>
          <w:szCs w:val="24"/>
        </w:rPr>
      </w:pPr>
    </w:p>
    <w:p w14:paraId="58F89DF0" w14:textId="54CFD741" w:rsidR="005A6DF9" w:rsidRPr="005A6DF9" w:rsidRDefault="005A6DF9" w:rsidP="00BD6508">
      <w:pPr>
        <w:rPr>
          <w:rFonts w:ascii="Arial" w:hAnsi="Arial" w:cs="Arial"/>
          <w:sz w:val="24"/>
          <w:szCs w:val="24"/>
        </w:rPr>
      </w:pPr>
    </w:p>
    <w:p w14:paraId="4481B500" w14:textId="5236EC98" w:rsidR="005A6DF9" w:rsidRDefault="005A6DF9" w:rsidP="005A6DF9">
      <w:pPr>
        <w:rPr>
          <w:rFonts w:ascii="Arial" w:hAnsi="Arial" w:cs="Arial"/>
          <w:sz w:val="24"/>
          <w:szCs w:val="24"/>
        </w:rPr>
      </w:pPr>
    </w:p>
    <w:p w14:paraId="6E4F5E3B" w14:textId="36CE3D7A" w:rsidR="005A6DF9" w:rsidRPr="0012666E" w:rsidRDefault="0024485B" w:rsidP="00BD6508">
      <w:pPr>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3820926" behindDoc="0" locked="0" layoutInCell="1" allowOverlap="1" wp14:anchorId="07F80F3D" wp14:editId="49E0F769">
            <wp:simplePos x="0" y="0"/>
            <wp:positionH relativeFrom="margin">
              <wp:align>center</wp:align>
            </wp:positionH>
            <wp:positionV relativeFrom="paragraph">
              <wp:posOffset>138430</wp:posOffset>
            </wp:positionV>
            <wp:extent cx="4406900" cy="2387600"/>
            <wp:effectExtent l="0" t="0" r="0" b="0"/>
            <wp:wrapSquare wrapText="bothSides"/>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Picture 2108"/>
                    <pic:cNvPicPr/>
                  </pic:nvPicPr>
                  <pic:blipFill rotWithShape="1">
                    <a:blip r:embed="rId850" cstate="email">
                      <a:extLst>
                        <a:ext uri="{28A0092B-C50C-407E-A947-70E740481C1C}">
                          <a14:useLocalDpi xmlns:a14="http://schemas.microsoft.com/office/drawing/2010/main"/>
                        </a:ext>
                      </a:extLst>
                    </a:blip>
                    <a:srcRect/>
                    <a:stretch/>
                  </pic:blipFill>
                  <pic:spPr bwMode="auto">
                    <a:xfrm>
                      <a:off x="0" y="0"/>
                      <a:ext cx="4406900" cy="238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5C62BC" w14:textId="4CA37BB9" w:rsidR="0024485B" w:rsidRDefault="0024485B" w:rsidP="0012666E">
      <w:pPr>
        <w:spacing w:line="276" w:lineRule="auto"/>
        <w:contextualSpacing/>
        <w:jc w:val="both"/>
        <w:rPr>
          <w:rFonts w:ascii="Arial" w:hAnsi="Arial" w:cs="Arial"/>
          <w:sz w:val="24"/>
          <w:szCs w:val="24"/>
          <w:lang w:val="en-US"/>
        </w:rPr>
      </w:pPr>
    </w:p>
    <w:p w14:paraId="6D597180" w14:textId="77777777" w:rsidR="0024485B" w:rsidRDefault="0024485B" w:rsidP="0012666E">
      <w:pPr>
        <w:spacing w:line="276" w:lineRule="auto"/>
        <w:contextualSpacing/>
        <w:jc w:val="both"/>
        <w:rPr>
          <w:rFonts w:ascii="Arial" w:hAnsi="Arial" w:cs="Arial"/>
          <w:sz w:val="24"/>
          <w:szCs w:val="24"/>
          <w:lang w:val="en-US"/>
        </w:rPr>
      </w:pPr>
    </w:p>
    <w:p w14:paraId="6C597C7B" w14:textId="77777777" w:rsidR="0024485B" w:rsidRDefault="0024485B" w:rsidP="0012666E">
      <w:pPr>
        <w:spacing w:line="276" w:lineRule="auto"/>
        <w:contextualSpacing/>
        <w:jc w:val="both"/>
        <w:rPr>
          <w:rFonts w:ascii="Arial" w:hAnsi="Arial" w:cs="Arial"/>
          <w:sz w:val="24"/>
          <w:szCs w:val="24"/>
          <w:lang w:val="en-US"/>
        </w:rPr>
      </w:pPr>
    </w:p>
    <w:p w14:paraId="45B0D450" w14:textId="77777777" w:rsidR="0024485B" w:rsidRDefault="0024485B" w:rsidP="0012666E">
      <w:pPr>
        <w:spacing w:line="276" w:lineRule="auto"/>
        <w:contextualSpacing/>
        <w:jc w:val="both"/>
        <w:rPr>
          <w:rFonts w:ascii="Arial" w:hAnsi="Arial" w:cs="Arial"/>
          <w:sz w:val="24"/>
          <w:szCs w:val="24"/>
          <w:lang w:val="en-US"/>
        </w:rPr>
      </w:pPr>
    </w:p>
    <w:p w14:paraId="7871A918" w14:textId="77777777" w:rsidR="0024485B" w:rsidRDefault="0024485B" w:rsidP="0012666E">
      <w:pPr>
        <w:spacing w:line="276" w:lineRule="auto"/>
        <w:contextualSpacing/>
        <w:jc w:val="both"/>
        <w:rPr>
          <w:rFonts w:ascii="Arial" w:hAnsi="Arial" w:cs="Arial"/>
          <w:sz w:val="24"/>
          <w:szCs w:val="24"/>
          <w:lang w:val="en-US"/>
        </w:rPr>
      </w:pPr>
    </w:p>
    <w:p w14:paraId="77B904B0" w14:textId="77777777" w:rsidR="0024485B" w:rsidRDefault="0024485B" w:rsidP="0012666E">
      <w:pPr>
        <w:spacing w:line="276" w:lineRule="auto"/>
        <w:contextualSpacing/>
        <w:jc w:val="both"/>
        <w:rPr>
          <w:rFonts w:ascii="Arial" w:hAnsi="Arial" w:cs="Arial"/>
          <w:sz w:val="24"/>
          <w:szCs w:val="24"/>
          <w:lang w:val="en-US"/>
        </w:rPr>
      </w:pPr>
    </w:p>
    <w:p w14:paraId="7BEC2887" w14:textId="77777777" w:rsidR="0024485B" w:rsidRDefault="0024485B" w:rsidP="0012666E">
      <w:pPr>
        <w:spacing w:line="276" w:lineRule="auto"/>
        <w:contextualSpacing/>
        <w:jc w:val="both"/>
        <w:rPr>
          <w:rFonts w:ascii="Arial" w:hAnsi="Arial" w:cs="Arial"/>
          <w:sz w:val="24"/>
          <w:szCs w:val="24"/>
          <w:lang w:val="en-US"/>
        </w:rPr>
      </w:pPr>
    </w:p>
    <w:p w14:paraId="61966860" w14:textId="77777777" w:rsidR="0024485B" w:rsidRDefault="0024485B" w:rsidP="0012666E">
      <w:pPr>
        <w:spacing w:line="276" w:lineRule="auto"/>
        <w:contextualSpacing/>
        <w:jc w:val="both"/>
        <w:rPr>
          <w:rFonts w:ascii="Arial" w:hAnsi="Arial" w:cs="Arial"/>
          <w:sz w:val="24"/>
          <w:szCs w:val="24"/>
          <w:lang w:val="en-US"/>
        </w:rPr>
      </w:pPr>
    </w:p>
    <w:p w14:paraId="038843AD" w14:textId="77777777" w:rsidR="0024485B" w:rsidRDefault="0024485B" w:rsidP="0012666E">
      <w:pPr>
        <w:spacing w:line="276" w:lineRule="auto"/>
        <w:contextualSpacing/>
        <w:jc w:val="both"/>
        <w:rPr>
          <w:rFonts w:ascii="Arial" w:hAnsi="Arial" w:cs="Arial"/>
          <w:sz w:val="24"/>
          <w:szCs w:val="24"/>
          <w:lang w:val="en-US"/>
        </w:rPr>
      </w:pPr>
    </w:p>
    <w:p w14:paraId="0F1E8ACB" w14:textId="77777777" w:rsidR="0024485B" w:rsidRDefault="0024485B" w:rsidP="0012666E">
      <w:pPr>
        <w:spacing w:line="276" w:lineRule="auto"/>
        <w:contextualSpacing/>
        <w:jc w:val="both"/>
        <w:rPr>
          <w:rFonts w:ascii="Arial" w:hAnsi="Arial" w:cs="Arial"/>
          <w:sz w:val="24"/>
          <w:szCs w:val="24"/>
          <w:lang w:val="en-US"/>
        </w:rPr>
      </w:pPr>
    </w:p>
    <w:p w14:paraId="1AC6842D" w14:textId="77777777" w:rsidR="0024485B" w:rsidRDefault="0024485B" w:rsidP="0012666E">
      <w:pPr>
        <w:spacing w:line="276" w:lineRule="auto"/>
        <w:contextualSpacing/>
        <w:jc w:val="both"/>
        <w:rPr>
          <w:rFonts w:ascii="Arial" w:hAnsi="Arial" w:cs="Arial"/>
          <w:sz w:val="24"/>
          <w:szCs w:val="24"/>
          <w:lang w:val="en-US"/>
        </w:rPr>
      </w:pPr>
    </w:p>
    <w:p w14:paraId="334D749E" w14:textId="77777777" w:rsidR="0024485B" w:rsidRDefault="0024485B" w:rsidP="0012666E">
      <w:pPr>
        <w:spacing w:line="276" w:lineRule="auto"/>
        <w:contextualSpacing/>
        <w:jc w:val="both"/>
        <w:rPr>
          <w:rFonts w:ascii="Arial" w:hAnsi="Arial" w:cs="Arial"/>
          <w:sz w:val="24"/>
          <w:szCs w:val="24"/>
          <w:lang w:val="en-US"/>
        </w:rPr>
      </w:pPr>
    </w:p>
    <w:p w14:paraId="5E306685" w14:textId="46187501" w:rsidR="0012666E" w:rsidRPr="00BD6508" w:rsidRDefault="0012666E" w:rsidP="00BD6508">
      <w:pPr>
        <w:spacing w:line="276" w:lineRule="auto"/>
        <w:contextualSpacing/>
        <w:jc w:val="both"/>
        <w:rPr>
          <w:rFonts w:ascii="Arial" w:hAnsi="Arial" w:cs="Arial"/>
          <w:sz w:val="24"/>
          <w:szCs w:val="24"/>
        </w:rPr>
      </w:pPr>
      <w:r w:rsidRPr="00BD6508">
        <w:rPr>
          <w:rFonts w:ascii="Arial" w:hAnsi="Arial" w:cs="Arial"/>
          <w:sz w:val="24"/>
          <w:szCs w:val="24"/>
          <w:lang w:val="en-US"/>
        </w:rPr>
        <w:t>FMIS, even well-functioning ones, do however have certain limitations for fiscal transparency. For instance, the information stored in them does not normally automatically provide narrative reasons/justifications for the movement of funds by governments and/or for deviations of plans from budgets. The executive would thus need to complement the information produced by them in order for them to provide sufficient information for fiscal transparency, for example by providing narrative explanations with the data in budget related documents. FMISs can also form the basis for other digital fiscal transparency tools, including that a FMIS database may underlie a fiscal transparency portal</w:t>
      </w:r>
      <w:r w:rsidRPr="00BD6508">
        <w:rPr>
          <w:rFonts w:ascii="Arial" w:hAnsi="Arial" w:cs="Arial"/>
          <w:sz w:val="24"/>
          <w:szCs w:val="24"/>
        </w:rPr>
        <w:t>.</w:t>
      </w:r>
    </w:p>
    <w:p w14:paraId="01D9E7B1" w14:textId="77777777" w:rsidR="0012666E" w:rsidRPr="00BD6508" w:rsidRDefault="0012666E" w:rsidP="00BD6508">
      <w:pPr>
        <w:spacing w:line="276" w:lineRule="auto"/>
        <w:contextualSpacing/>
        <w:jc w:val="both"/>
        <w:rPr>
          <w:rFonts w:ascii="Arial" w:hAnsi="Arial" w:cs="Arial"/>
          <w:sz w:val="24"/>
          <w:szCs w:val="24"/>
        </w:rPr>
      </w:pPr>
    </w:p>
    <w:p w14:paraId="1F9A2FF1" w14:textId="537DDA04" w:rsidR="0012666E" w:rsidRPr="00BD6508" w:rsidRDefault="0012666E" w:rsidP="00BD6508">
      <w:pPr>
        <w:spacing w:line="276" w:lineRule="auto"/>
        <w:contextualSpacing/>
        <w:jc w:val="both"/>
        <w:rPr>
          <w:rFonts w:ascii="Arial" w:hAnsi="Arial" w:cs="Arial"/>
          <w:sz w:val="24"/>
          <w:szCs w:val="24"/>
        </w:rPr>
      </w:pPr>
      <w:r w:rsidRPr="00BD6508">
        <w:rPr>
          <w:rFonts w:ascii="Arial" w:hAnsi="Arial" w:cs="Arial"/>
          <w:sz w:val="24"/>
          <w:szCs w:val="24"/>
        </w:rPr>
        <w:t xml:space="preserve">To explore the actual effects of FMIS on publishing reliable open budget data, and to identify potential improvements in budget transparency, the World Bank initiated a study in 2012, </w:t>
      </w:r>
      <w:r w:rsidR="00AE5EBD">
        <w:rPr>
          <w:rFonts w:ascii="Arial" w:hAnsi="Arial" w:cs="Arial"/>
          <w:sz w:val="24"/>
          <w:szCs w:val="24"/>
        </w:rPr>
        <w:t>titled</w:t>
      </w:r>
      <w:r w:rsidRPr="00BD6508">
        <w:rPr>
          <w:rFonts w:ascii="Arial" w:hAnsi="Arial" w:cs="Arial"/>
          <w:sz w:val="24"/>
          <w:szCs w:val="24"/>
        </w:rPr>
        <w:t xml:space="preserve"> </w:t>
      </w:r>
      <w:hyperlink r:id="rId851" w:history="1">
        <w:r w:rsidRPr="00BD6508">
          <w:rPr>
            <w:rFonts w:ascii="Arial" w:hAnsi="Arial" w:cs="Arial"/>
            <w:color w:val="0563C1" w:themeColor="hyperlink"/>
            <w:sz w:val="24"/>
            <w:szCs w:val="24"/>
            <w:u w:val="single"/>
          </w:rPr>
          <w:t xml:space="preserve">Financial Management Information Systems and Open Budget Data: Do Governments Report on </w:t>
        </w:r>
        <w:r w:rsidR="00C35FB6">
          <w:rPr>
            <w:noProof/>
            <w:lang w:val="en-US"/>
          </w:rPr>
          <w:drawing>
            <wp:anchor distT="0" distB="0" distL="114300" distR="114300" simplePos="0" relativeHeight="253821950" behindDoc="0" locked="0" layoutInCell="1" allowOverlap="1" wp14:anchorId="126A3B13" wp14:editId="652C7030">
              <wp:simplePos x="0" y="0"/>
              <wp:positionH relativeFrom="column">
                <wp:posOffset>63500</wp:posOffset>
              </wp:positionH>
              <wp:positionV relativeFrom="paragraph">
                <wp:posOffset>105410</wp:posOffset>
              </wp:positionV>
              <wp:extent cx="1524000" cy="2176145"/>
              <wp:effectExtent l="25400" t="25400" r="88900" b="84455"/>
              <wp:wrapSquare wrapText="bothSides"/>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2" cstate="email">
                        <a:extLst>
                          <a:ext uri="{28A0092B-C50C-407E-A947-70E740481C1C}">
                            <a14:useLocalDpi xmlns:a14="http://schemas.microsoft.com/office/drawing/2010/main"/>
                          </a:ext>
                        </a:extLst>
                      </a:blip>
                      <a:srcRect/>
                      <a:stretch>
                        <a:fillRect/>
                      </a:stretch>
                    </pic:blipFill>
                    <pic:spPr bwMode="auto">
                      <a:xfrm>
                        <a:off x="0" y="0"/>
                        <a:ext cx="1524000" cy="217614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BD6508">
          <w:rPr>
            <w:rFonts w:ascii="Arial" w:hAnsi="Arial" w:cs="Arial"/>
            <w:color w:val="0563C1" w:themeColor="hyperlink"/>
            <w:sz w:val="24"/>
            <w:szCs w:val="24"/>
            <w:u w:val="single"/>
          </w:rPr>
          <w:t>Where the Money Goes</w:t>
        </w:r>
      </w:hyperlink>
      <w:r w:rsidRPr="00BD6508">
        <w:rPr>
          <w:rFonts w:ascii="Arial" w:hAnsi="Arial" w:cs="Arial"/>
          <w:color w:val="0563C1" w:themeColor="hyperlink"/>
          <w:sz w:val="24"/>
          <w:szCs w:val="24"/>
          <w:u w:val="single"/>
        </w:rPr>
        <w:t>?</w:t>
      </w:r>
      <w:r w:rsidRPr="00BD6508">
        <w:rPr>
          <w:rFonts w:ascii="Arial" w:hAnsi="Arial" w:cs="Arial"/>
          <w:color w:val="0563C1" w:themeColor="hyperlink"/>
          <w:sz w:val="24"/>
          <w:szCs w:val="24"/>
          <w:vertAlign w:val="superscript"/>
        </w:rPr>
        <w:footnoteReference w:id="60"/>
      </w:r>
      <w:r w:rsidRPr="00BD6508">
        <w:rPr>
          <w:rFonts w:ascii="Arial" w:hAnsi="Arial" w:cs="Arial"/>
          <w:sz w:val="24"/>
          <w:szCs w:val="24"/>
        </w:rPr>
        <w:t xml:space="preserve">. The study created a data set by visiting the government public finance </w:t>
      </w:r>
      <w:r w:rsidR="00C35FB6">
        <w:fldChar w:fldCharType="begin"/>
      </w:r>
      <w:r w:rsidR="00C35FB6">
        <w:instrText xml:space="preserve"> INCLUDEPICTURE "https://openknowledge.worldbank.org/bitstream/handle/10986/15897/81332.pdf.jpg?sequence=5&amp;isAllowed=y" \* MERGEFORMATINET </w:instrText>
      </w:r>
      <w:r w:rsidR="00C35FB6">
        <w:fldChar w:fldCharType="end"/>
      </w:r>
      <w:r w:rsidRPr="00BD6508">
        <w:rPr>
          <w:rFonts w:ascii="Arial" w:hAnsi="Arial" w:cs="Arial"/>
          <w:sz w:val="24"/>
          <w:szCs w:val="24"/>
        </w:rPr>
        <w:t xml:space="preserve">websites in 198 economies, and collecting evidence on the use of 176 FMIS platforms in publishing open budget data. The </w:t>
      </w:r>
      <w:hyperlink r:id="rId853" w:history="1">
        <w:r w:rsidRPr="00BD6508">
          <w:rPr>
            <w:rFonts w:ascii="Arial" w:hAnsi="Arial" w:cs="Arial"/>
            <w:color w:val="0563C1" w:themeColor="hyperlink"/>
            <w:sz w:val="24"/>
            <w:szCs w:val="24"/>
            <w:u w:val="single"/>
          </w:rPr>
          <w:t>FMIS World Map</w:t>
        </w:r>
      </w:hyperlink>
      <w:r w:rsidRPr="00BD6508">
        <w:rPr>
          <w:rFonts w:ascii="Arial" w:hAnsi="Arial" w:cs="Arial"/>
          <w:sz w:val="24"/>
          <w:szCs w:val="24"/>
        </w:rPr>
        <w:t xml:space="preserve"> is an output of the study that is periodically updated, it presents basic information about FMIS solutions in economies worldwide using Google Maps</w:t>
      </w:r>
      <w:r w:rsidRPr="00BD6508">
        <w:rPr>
          <w:rFonts w:ascii="Arial" w:hAnsi="Arial" w:cs="Arial"/>
          <w:sz w:val="24"/>
          <w:szCs w:val="24"/>
          <w:vertAlign w:val="superscript"/>
        </w:rPr>
        <w:footnoteReference w:id="61"/>
      </w:r>
      <w:r w:rsidRPr="00BD6508">
        <w:rPr>
          <w:rFonts w:ascii="Arial" w:hAnsi="Arial" w:cs="Arial"/>
          <w:sz w:val="24"/>
          <w:szCs w:val="24"/>
        </w:rPr>
        <w:t>.</w:t>
      </w:r>
    </w:p>
    <w:p w14:paraId="792E04B2" w14:textId="77777777" w:rsidR="0012666E" w:rsidRPr="00BD6508" w:rsidRDefault="0012666E" w:rsidP="00BD6508">
      <w:pPr>
        <w:spacing w:line="276" w:lineRule="auto"/>
        <w:contextualSpacing/>
        <w:jc w:val="both"/>
        <w:rPr>
          <w:rFonts w:ascii="Arial" w:hAnsi="Arial" w:cs="Arial"/>
          <w:sz w:val="24"/>
          <w:szCs w:val="24"/>
        </w:rPr>
      </w:pPr>
    </w:p>
    <w:p w14:paraId="757710D4" w14:textId="1130DE69" w:rsidR="0012666E" w:rsidRDefault="0012666E" w:rsidP="0012666E">
      <w:pPr>
        <w:spacing w:line="276" w:lineRule="auto"/>
        <w:contextualSpacing/>
        <w:jc w:val="both"/>
        <w:rPr>
          <w:rFonts w:ascii="Arial" w:hAnsi="Arial" w:cs="Arial"/>
          <w:sz w:val="24"/>
          <w:szCs w:val="24"/>
        </w:rPr>
      </w:pPr>
      <w:r w:rsidRPr="00BD6508">
        <w:rPr>
          <w:rFonts w:ascii="Arial" w:hAnsi="Arial" w:cs="Arial"/>
          <w:sz w:val="24"/>
          <w:szCs w:val="24"/>
        </w:rPr>
        <w:t xml:space="preserve">The study reported on the availability, source, reliability, and integrity of the budget data published from FMIS, identified good practices, and provided guidelines on publishing reliable budget data to assist in exploring the effects of FMIS on budget transparency. It found that the reliability and accuracy of government budget data depends on the capabilities and integrity of underlying FMIS platforms. The researchers identified 100 cases from various </w:t>
      </w:r>
      <w:r w:rsidRPr="00BD6508">
        <w:rPr>
          <w:rFonts w:ascii="Arial" w:hAnsi="Arial" w:cs="Arial"/>
          <w:sz w:val="24"/>
          <w:szCs w:val="24"/>
        </w:rPr>
        <w:lastRenderedPageBreak/>
        <w:t xml:space="preserve">government websites in 53 countries, from all regions and income levels, to highlight some of the good practices in different areas of publishing open budget data from FMIS. </w:t>
      </w:r>
      <w:r w:rsidRPr="00BD6508">
        <w:rPr>
          <w:rFonts w:ascii="Arial" w:hAnsi="Arial" w:cs="Arial"/>
          <w:sz w:val="24"/>
          <w:szCs w:val="24"/>
          <w:lang w:val="en-ZA"/>
        </w:rPr>
        <w:t xml:space="preserve">From this study, it is clear that the publication of data incentivises improvements in systems and reinforces their robustness. Among others, it allows the different actors in the fiscal ecosystem to engage and use the same information, testing its accuracy and usefulness from different perspectives, revealing gaps and as such providing opportunities for improvements. Highlighted good practices </w:t>
      </w:r>
      <w:r w:rsidRPr="00BD6508">
        <w:rPr>
          <w:rFonts w:ascii="Arial" w:hAnsi="Arial" w:cs="Arial"/>
          <w:sz w:val="24"/>
          <w:szCs w:val="24"/>
        </w:rPr>
        <w:t>include that:</w:t>
      </w:r>
    </w:p>
    <w:p w14:paraId="1AD10A15" w14:textId="17270A70" w:rsidR="00C35FB6" w:rsidRDefault="00C35FB6" w:rsidP="0012666E">
      <w:pPr>
        <w:spacing w:line="276" w:lineRule="auto"/>
        <w:contextualSpacing/>
        <w:jc w:val="both"/>
        <w:rPr>
          <w:rFonts w:ascii="Arial" w:hAnsi="Arial" w:cs="Arial"/>
          <w:sz w:val="24"/>
          <w:szCs w:val="24"/>
        </w:rPr>
      </w:pPr>
      <w:r>
        <w:rPr>
          <w:noProof/>
          <w:lang w:val="en-US"/>
        </w:rPr>
        <w:drawing>
          <wp:anchor distT="0" distB="0" distL="114300" distR="114300" simplePos="0" relativeHeight="253823998" behindDoc="1" locked="0" layoutInCell="1" allowOverlap="1" wp14:anchorId="3EC61CD0" wp14:editId="0178CD4E">
            <wp:simplePos x="0" y="0"/>
            <wp:positionH relativeFrom="margin">
              <wp:posOffset>3056255</wp:posOffset>
            </wp:positionH>
            <wp:positionV relativeFrom="paragraph">
              <wp:posOffset>61595</wp:posOffset>
            </wp:positionV>
            <wp:extent cx="528955" cy="520700"/>
            <wp:effectExtent l="0" t="0" r="4445" b="0"/>
            <wp:wrapTight wrapText="bothSides">
              <wp:wrapPolygon edited="0">
                <wp:start x="18670" y="527"/>
                <wp:lineTo x="7261" y="2107"/>
                <wp:lineTo x="0" y="5268"/>
                <wp:lineTo x="0" y="12644"/>
                <wp:lineTo x="2074" y="18439"/>
                <wp:lineTo x="6223" y="21073"/>
                <wp:lineTo x="11928" y="21073"/>
                <wp:lineTo x="16595" y="18439"/>
                <wp:lineTo x="19188" y="12644"/>
                <wp:lineTo x="18670" y="10010"/>
                <wp:lineTo x="21263" y="4215"/>
                <wp:lineTo x="21263" y="527"/>
                <wp:lineTo x="18670" y="527"/>
              </wp:wrapPolygon>
            </wp:wrapTight>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3A368E" w14:textId="2B93060F" w:rsidR="00C35FB6" w:rsidRDefault="00C35FB6"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51054" behindDoc="0" locked="0" layoutInCell="1" allowOverlap="1" wp14:anchorId="1F291D3E" wp14:editId="3B7C4E9A">
                <wp:simplePos x="0" y="0"/>
                <wp:positionH relativeFrom="margin">
                  <wp:posOffset>228600</wp:posOffset>
                </wp:positionH>
                <wp:positionV relativeFrom="paragraph">
                  <wp:posOffset>203200</wp:posOffset>
                </wp:positionV>
                <wp:extent cx="6426200" cy="1676400"/>
                <wp:effectExtent l="12700" t="12700" r="12700" b="12700"/>
                <wp:wrapNone/>
                <wp:docPr id="2113" name="Rounded Rectangle 2113"/>
                <wp:cNvGraphicFramePr/>
                <a:graphic xmlns:a="http://schemas.openxmlformats.org/drawingml/2006/main">
                  <a:graphicData uri="http://schemas.microsoft.com/office/word/2010/wordprocessingShape">
                    <wps:wsp>
                      <wps:cNvSpPr/>
                      <wps:spPr>
                        <a:xfrm>
                          <a:off x="0" y="0"/>
                          <a:ext cx="6426200" cy="167640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84F4FE"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291D3E" id="Rounded Rectangle 2113" o:spid="_x0000_s1499" style="position:absolute;left:0;text-align:left;margin-left:18pt;margin-top:16pt;width:506pt;height:132pt;z-index:25165105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" filled="f" strokecolor="#16988a" strokeweight="1.5pt">
                <v:stroke joinstyle="miter"/>
                <v:textbox>
                  <w:txbxContent>
                    <w:p w14:paraId="6A84F4FE" w14:textId="77777777" w:rsidR="00D15FD8" w:rsidRPr="00BD6508" w:rsidRDefault="00D15FD8" w:rsidP="00BD6508">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1652079" behindDoc="0" locked="0" layoutInCell="1" allowOverlap="1" wp14:anchorId="5D51DBD9" wp14:editId="4C3B009B">
                <wp:simplePos x="0" y="0"/>
                <wp:positionH relativeFrom="margin">
                  <wp:posOffset>114300</wp:posOffset>
                </wp:positionH>
                <wp:positionV relativeFrom="paragraph">
                  <wp:posOffset>88900</wp:posOffset>
                </wp:positionV>
                <wp:extent cx="6426200" cy="1676400"/>
                <wp:effectExtent l="0" t="0" r="0" b="0"/>
                <wp:wrapNone/>
                <wp:docPr id="2111" name="Rounded Rectangle 2111"/>
                <wp:cNvGraphicFramePr/>
                <a:graphic xmlns:a="http://schemas.openxmlformats.org/drawingml/2006/main">
                  <a:graphicData uri="http://schemas.microsoft.com/office/word/2010/wordprocessingShape">
                    <wps:wsp>
                      <wps:cNvSpPr/>
                      <wps:spPr>
                        <a:xfrm>
                          <a:off x="0" y="0"/>
                          <a:ext cx="6426200" cy="167640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E094ED" w14:textId="52915805"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51DBD9" id="Rounded Rectangle 2111" o:spid="_x0000_s1500" style="position:absolute;left:0;text-align:left;margin-left:9pt;margin-top:7pt;width:506pt;height:132pt;z-index:25165207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" fillcolor="#e2efd9 [665]" stroked="f" strokeweight="1pt">
                <v:stroke joinstyle="miter"/>
                <v:textbox>
                  <w:txbxContent>
                    <w:p w14:paraId="78E094ED" w14:textId="52915805" w:rsidR="00D15FD8" w:rsidRPr="00BD6508" w:rsidRDefault="00D15FD8" w:rsidP="00BD6508">
                      <w:pPr>
                        <w:jc w:val="center"/>
                        <w:rPr>
                          <w:lang w:val="en-US"/>
                        </w:rPr>
                      </w:pPr>
                    </w:p>
                  </w:txbxContent>
                </v:textbox>
                <w10:wrap anchorx="margin"/>
              </v:roundrect>
            </w:pict>
          </mc:Fallback>
        </mc:AlternateContent>
      </w:r>
    </w:p>
    <w:p w14:paraId="04804860" w14:textId="407D8CE5" w:rsidR="00C35FB6" w:rsidRDefault="00C35FB6"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25022" behindDoc="0" locked="0" layoutInCell="1" allowOverlap="1" wp14:anchorId="44155726" wp14:editId="29BABF12">
                <wp:simplePos x="0" y="0"/>
                <wp:positionH relativeFrom="column">
                  <wp:posOffset>266700</wp:posOffset>
                </wp:positionH>
                <wp:positionV relativeFrom="paragraph">
                  <wp:posOffset>179704</wp:posOffset>
                </wp:positionV>
                <wp:extent cx="6121400" cy="1323975"/>
                <wp:effectExtent l="0" t="0" r="0" b="0"/>
                <wp:wrapNone/>
                <wp:docPr id="2112" name="Text Box 2112"/>
                <wp:cNvGraphicFramePr/>
                <a:graphic xmlns:a="http://schemas.openxmlformats.org/drawingml/2006/main">
                  <a:graphicData uri="http://schemas.microsoft.com/office/word/2010/wordprocessingShape">
                    <wps:wsp>
                      <wps:cNvSpPr txBox="1"/>
                      <wps:spPr>
                        <a:xfrm>
                          <a:off x="0" y="0"/>
                          <a:ext cx="6121400" cy="1323975"/>
                        </a:xfrm>
                        <a:prstGeom prst="rect">
                          <a:avLst/>
                        </a:prstGeom>
                        <a:noFill/>
                        <a:ln w="6350">
                          <a:noFill/>
                        </a:ln>
                      </wps:spPr>
                      <wps:txbx>
                        <w:txbxContent>
                          <w:p w14:paraId="4089FCD0" w14:textId="77777777" w:rsidR="00D15FD8" w:rsidRPr="004D2E7D" w:rsidRDefault="00D15FD8" w:rsidP="00BD6508">
                            <w:pPr>
                              <w:spacing w:line="276" w:lineRule="auto"/>
                              <w:contextualSpacing/>
                              <w:jc w:val="both"/>
                              <w:rPr>
                                <w:rFonts w:ascii="Arial" w:hAnsi="Arial" w:cs="Arial"/>
                                <w:sz w:val="24"/>
                                <w:szCs w:val="24"/>
                              </w:rPr>
                            </w:pPr>
                            <w:r w:rsidRPr="004D2E7D">
                              <w:rPr>
                                <w:rFonts w:ascii="Arial" w:hAnsi="Arial" w:cs="Arial"/>
                                <w:sz w:val="24"/>
                                <w:szCs w:val="24"/>
                              </w:rPr>
                              <w:t xml:space="preserve">There should be dedicated government websites that provide timely, comprehensive and regular information on budget plans and execution results. The completeness of the published fiscal information (including off-budget fiscal and quasi-fiscal operations, as well as assets and contingent liabilities), and the presentation of budget execution performance through time-series data, are very important. </w:t>
                            </w:r>
                            <w:r w:rsidRPr="004D2E7D">
                              <w:rPr>
                                <w:rFonts w:ascii="Arial" w:hAnsi="Arial" w:cs="Arial"/>
                                <w:sz w:val="24"/>
                                <w:szCs w:val="24"/>
                                <w:lang w:val="en-ZA"/>
                              </w:rPr>
                              <w:t>Missing or incomplete data hampers its use and consequently the benefits that can be derived therefrom.</w:t>
                            </w:r>
                          </w:p>
                          <w:p w14:paraId="109F0245" w14:textId="77777777" w:rsidR="00D15FD8" w:rsidRDefault="00D15FD8" w:rsidP="00BD6508">
                            <w:pPr>
                              <w:spacing w:line="276"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155726" id="Text Box 2112" o:spid="_x0000_s1501" type="#_x0000_t202" style="position:absolute;left:0;text-align:left;margin-left:21pt;margin-top:14.15pt;width:482pt;height:104.25pt;z-index:2538250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" filled="f" stroked="f" strokeweight=".5pt">
                <v:textbox>
                  <w:txbxContent>
                    <w:p w14:paraId="4089FCD0" w14:textId="77777777" w:rsidR="00D15FD8" w:rsidRPr="004D2E7D" w:rsidRDefault="00D15FD8" w:rsidP="00BD6508">
                      <w:pPr>
                        <w:spacing w:line="276" w:lineRule="auto"/>
                        <w:contextualSpacing/>
                        <w:jc w:val="both"/>
                        <w:rPr>
                          <w:rFonts w:ascii="Arial" w:hAnsi="Arial" w:cs="Arial"/>
                          <w:sz w:val="24"/>
                          <w:szCs w:val="24"/>
                        </w:rPr>
                      </w:pPr>
                      <w:r w:rsidRPr="004D2E7D">
                        <w:rPr>
                          <w:rFonts w:ascii="Arial" w:hAnsi="Arial" w:cs="Arial"/>
                          <w:sz w:val="24"/>
                          <w:szCs w:val="24"/>
                        </w:rPr>
                        <w:t xml:space="preserve">There should be dedicated government websites that provide timely, comprehensive and regular information on budget plans and execution results. The completeness of the published fiscal information (including off-budget fiscal and quasi-fiscal operations, as well as assets and contingent liabilities), and the presentation of budget execution performance through time-series data, are very important. </w:t>
                      </w:r>
                      <w:r w:rsidRPr="004D2E7D">
                        <w:rPr>
                          <w:rFonts w:ascii="Arial" w:hAnsi="Arial" w:cs="Arial"/>
                          <w:sz w:val="24"/>
                          <w:szCs w:val="24"/>
                          <w:lang w:val="en-ZA"/>
                        </w:rPr>
                        <w:t>Missing or incomplete data hampers its use and consequently the benefits that can be derived therefrom.</w:t>
                      </w:r>
                    </w:p>
                    <w:p w14:paraId="109F0245" w14:textId="77777777" w:rsidR="00D15FD8" w:rsidRDefault="00D15FD8" w:rsidP="00BD6508">
                      <w:pPr>
                        <w:spacing w:line="276" w:lineRule="auto"/>
                        <w:jc w:val="both"/>
                      </w:pPr>
                    </w:p>
                  </w:txbxContent>
                </v:textbox>
              </v:shape>
            </w:pict>
          </mc:Fallback>
        </mc:AlternateContent>
      </w:r>
    </w:p>
    <w:p w14:paraId="7094232A" w14:textId="54C29AB4" w:rsidR="00C35FB6" w:rsidRDefault="00C35FB6" w:rsidP="0012666E">
      <w:pPr>
        <w:spacing w:line="276" w:lineRule="auto"/>
        <w:contextualSpacing/>
        <w:jc w:val="both"/>
        <w:rPr>
          <w:rFonts w:ascii="Arial" w:hAnsi="Arial" w:cs="Arial"/>
          <w:sz w:val="24"/>
          <w:szCs w:val="24"/>
        </w:rPr>
      </w:pPr>
    </w:p>
    <w:p w14:paraId="765D87B9" w14:textId="459D6D56" w:rsidR="00C35FB6" w:rsidRDefault="00C35FB6" w:rsidP="0012666E">
      <w:pPr>
        <w:spacing w:line="276" w:lineRule="auto"/>
        <w:contextualSpacing/>
        <w:jc w:val="both"/>
        <w:rPr>
          <w:rFonts w:ascii="Arial" w:hAnsi="Arial" w:cs="Arial"/>
          <w:sz w:val="24"/>
          <w:szCs w:val="24"/>
        </w:rPr>
      </w:pPr>
    </w:p>
    <w:p w14:paraId="43786105" w14:textId="5818EF0C" w:rsidR="00C35FB6" w:rsidRDefault="00C35FB6" w:rsidP="0012666E">
      <w:pPr>
        <w:spacing w:line="276" w:lineRule="auto"/>
        <w:contextualSpacing/>
        <w:jc w:val="both"/>
        <w:rPr>
          <w:rFonts w:ascii="Arial" w:hAnsi="Arial" w:cs="Arial"/>
          <w:sz w:val="24"/>
          <w:szCs w:val="24"/>
        </w:rPr>
      </w:pPr>
    </w:p>
    <w:p w14:paraId="5AB5A84C" w14:textId="06065E11" w:rsidR="00C35FB6" w:rsidRDefault="00C35FB6" w:rsidP="0012666E">
      <w:pPr>
        <w:spacing w:line="276" w:lineRule="auto"/>
        <w:contextualSpacing/>
        <w:jc w:val="both"/>
        <w:rPr>
          <w:rFonts w:ascii="Arial" w:hAnsi="Arial" w:cs="Arial"/>
          <w:sz w:val="24"/>
          <w:szCs w:val="24"/>
        </w:rPr>
      </w:pPr>
    </w:p>
    <w:p w14:paraId="3D5363EE" w14:textId="2B91957B" w:rsidR="00C35FB6" w:rsidRDefault="00C35FB6" w:rsidP="0012666E">
      <w:pPr>
        <w:spacing w:line="276" w:lineRule="auto"/>
        <w:contextualSpacing/>
        <w:jc w:val="both"/>
        <w:rPr>
          <w:rFonts w:ascii="Arial" w:hAnsi="Arial" w:cs="Arial"/>
          <w:sz w:val="24"/>
          <w:szCs w:val="24"/>
        </w:rPr>
      </w:pPr>
    </w:p>
    <w:p w14:paraId="53097F0E" w14:textId="16057628" w:rsidR="00C35FB6" w:rsidRDefault="00C35FB6" w:rsidP="0012666E">
      <w:pPr>
        <w:spacing w:line="276" w:lineRule="auto"/>
        <w:contextualSpacing/>
        <w:jc w:val="both"/>
        <w:rPr>
          <w:rFonts w:ascii="Arial" w:hAnsi="Arial" w:cs="Arial"/>
          <w:sz w:val="24"/>
          <w:szCs w:val="24"/>
        </w:rPr>
      </w:pPr>
    </w:p>
    <w:p w14:paraId="52730AEF" w14:textId="4AB82A05" w:rsidR="00C35FB6" w:rsidRDefault="00C35FB6" w:rsidP="0012666E">
      <w:pPr>
        <w:spacing w:line="276" w:lineRule="auto"/>
        <w:contextualSpacing/>
        <w:jc w:val="both"/>
        <w:rPr>
          <w:rFonts w:ascii="Arial" w:hAnsi="Arial" w:cs="Arial"/>
          <w:sz w:val="24"/>
          <w:szCs w:val="24"/>
        </w:rPr>
      </w:pPr>
    </w:p>
    <w:p w14:paraId="56CA7BA9" w14:textId="396059C1" w:rsidR="00C35FB6" w:rsidRDefault="00C35FB6" w:rsidP="0012666E">
      <w:pPr>
        <w:spacing w:line="276" w:lineRule="auto"/>
        <w:contextualSpacing/>
        <w:jc w:val="both"/>
        <w:rPr>
          <w:rFonts w:ascii="Arial" w:hAnsi="Arial" w:cs="Arial"/>
          <w:sz w:val="24"/>
          <w:szCs w:val="24"/>
        </w:rPr>
      </w:pPr>
      <w:r>
        <w:rPr>
          <w:noProof/>
          <w:lang w:val="en-US"/>
        </w:rPr>
        <w:drawing>
          <wp:anchor distT="0" distB="0" distL="114300" distR="114300" simplePos="0" relativeHeight="253829118" behindDoc="1" locked="0" layoutInCell="1" allowOverlap="1" wp14:anchorId="638B4247" wp14:editId="3DDFEBCD">
            <wp:simplePos x="0" y="0"/>
            <wp:positionH relativeFrom="margin">
              <wp:align>center</wp:align>
            </wp:positionH>
            <wp:positionV relativeFrom="paragraph">
              <wp:posOffset>130810</wp:posOffset>
            </wp:positionV>
            <wp:extent cx="528955" cy="520700"/>
            <wp:effectExtent l="0" t="0" r="4445" b="0"/>
            <wp:wrapTight wrapText="bothSides">
              <wp:wrapPolygon edited="0">
                <wp:start x="18670" y="527"/>
                <wp:lineTo x="7261" y="2107"/>
                <wp:lineTo x="0" y="5268"/>
                <wp:lineTo x="0" y="12644"/>
                <wp:lineTo x="2074" y="18439"/>
                <wp:lineTo x="6223" y="21073"/>
                <wp:lineTo x="11928" y="21073"/>
                <wp:lineTo x="16595" y="18439"/>
                <wp:lineTo x="19188" y="12644"/>
                <wp:lineTo x="18670" y="10010"/>
                <wp:lineTo x="21263" y="4215"/>
                <wp:lineTo x="21263" y="527"/>
                <wp:lineTo x="18670" y="527"/>
              </wp:wrapPolygon>
            </wp:wrapTight>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307127" w14:textId="04A06139" w:rsidR="00C35FB6" w:rsidRDefault="00C35FB6"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28094" behindDoc="0" locked="0" layoutInCell="1" allowOverlap="1" wp14:anchorId="51289483" wp14:editId="5265F150">
                <wp:simplePos x="0" y="0"/>
                <wp:positionH relativeFrom="margin">
                  <wp:posOffset>114300</wp:posOffset>
                </wp:positionH>
                <wp:positionV relativeFrom="paragraph">
                  <wp:posOffset>156210</wp:posOffset>
                </wp:positionV>
                <wp:extent cx="6426200" cy="1473200"/>
                <wp:effectExtent l="0" t="0" r="0" b="0"/>
                <wp:wrapNone/>
                <wp:docPr id="2115" name="Rounded Rectangle 2115"/>
                <wp:cNvGraphicFramePr/>
                <a:graphic xmlns:a="http://schemas.openxmlformats.org/drawingml/2006/main">
                  <a:graphicData uri="http://schemas.microsoft.com/office/word/2010/wordprocessingShape">
                    <wps:wsp>
                      <wps:cNvSpPr/>
                      <wps:spPr>
                        <a:xfrm>
                          <a:off x="0" y="0"/>
                          <a:ext cx="6426200" cy="147320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7F2D2E"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289483" id="Rounded Rectangle 2115" o:spid="_x0000_s1502" style="position:absolute;left:0;text-align:left;margin-left:9pt;margin-top:12.3pt;width:506pt;height:116pt;z-index:25382809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" fillcolor="#e2efd9 [665]" stroked="f" strokeweight="1pt">
                <v:stroke joinstyle="miter"/>
                <v:textbox>
                  <w:txbxContent>
                    <w:p w14:paraId="577F2D2E" w14:textId="77777777" w:rsidR="00D15FD8" w:rsidRPr="00BD6508" w:rsidRDefault="00D15FD8" w:rsidP="00BD6508">
                      <w:pPr>
                        <w:jc w:val="center"/>
                        <w:rPr>
                          <w:lang w:val="en-US"/>
                        </w:rPr>
                      </w:pPr>
                    </w:p>
                  </w:txbxContent>
                </v:textbox>
                <w10:wrap anchorx="margin"/>
              </v:roundrect>
            </w:pict>
          </mc:Fallback>
        </mc:AlternateContent>
      </w:r>
    </w:p>
    <w:p w14:paraId="0D7A18BD" w14:textId="17BE7A5D" w:rsidR="00C35FB6" w:rsidRDefault="00C35FB6"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27070" behindDoc="0" locked="0" layoutInCell="1" allowOverlap="1" wp14:anchorId="14C0DCE6" wp14:editId="5A62FD9C">
                <wp:simplePos x="0" y="0"/>
                <wp:positionH relativeFrom="margin">
                  <wp:posOffset>228600</wp:posOffset>
                </wp:positionH>
                <wp:positionV relativeFrom="paragraph">
                  <wp:posOffset>81280</wp:posOffset>
                </wp:positionV>
                <wp:extent cx="6426200" cy="1473200"/>
                <wp:effectExtent l="12700" t="12700" r="12700" b="12700"/>
                <wp:wrapNone/>
                <wp:docPr id="2114" name="Rounded Rectangle 2114"/>
                <wp:cNvGraphicFramePr/>
                <a:graphic xmlns:a="http://schemas.openxmlformats.org/drawingml/2006/main">
                  <a:graphicData uri="http://schemas.microsoft.com/office/word/2010/wordprocessingShape">
                    <wps:wsp>
                      <wps:cNvSpPr/>
                      <wps:spPr>
                        <a:xfrm>
                          <a:off x="0" y="0"/>
                          <a:ext cx="6426200" cy="147320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3C8F40"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C0DCE6" id="Rounded Rectangle 2114" o:spid="_x0000_s1503" style="position:absolute;left:0;text-align:left;margin-left:18pt;margin-top:6.4pt;width:506pt;height:116pt;z-index:25382707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" filled="f" strokecolor="#16988a" strokeweight="1.5pt">
                <v:stroke joinstyle="miter"/>
                <v:textbox>
                  <w:txbxContent>
                    <w:p w14:paraId="073C8F40" w14:textId="77777777" w:rsidR="00D15FD8" w:rsidRPr="00BD6508" w:rsidRDefault="00D15FD8" w:rsidP="00BD6508">
                      <w:pPr>
                        <w:jc w:val="center"/>
                        <w:rPr>
                          <w:lang w:val="en-US"/>
                        </w:rPr>
                      </w:pPr>
                    </w:p>
                  </w:txbxContent>
                </v:textbox>
                <w10:wrap anchorx="margin"/>
              </v:roundrect>
            </w:pict>
          </mc:Fallback>
        </mc:AlternateContent>
      </w:r>
    </w:p>
    <w:p w14:paraId="7ABC2AF6" w14:textId="39CE8925" w:rsidR="00C35FB6" w:rsidRDefault="00C35FB6"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30142" behindDoc="0" locked="0" layoutInCell="1" allowOverlap="1" wp14:anchorId="25AB2F42" wp14:editId="0AE09A3B">
                <wp:simplePos x="0" y="0"/>
                <wp:positionH relativeFrom="column">
                  <wp:posOffset>266700</wp:posOffset>
                </wp:positionH>
                <wp:positionV relativeFrom="paragraph">
                  <wp:posOffset>45085</wp:posOffset>
                </wp:positionV>
                <wp:extent cx="6121400" cy="1117600"/>
                <wp:effectExtent l="0" t="0" r="0" b="0"/>
                <wp:wrapNone/>
                <wp:docPr id="2116" name="Text Box 2116"/>
                <wp:cNvGraphicFramePr/>
                <a:graphic xmlns:a="http://schemas.openxmlformats.org/drawingml/2006/main">
                  <a:graphicData uri="http://schemas.microsoft.com/office/word/2010/wordprocessingShape">
                    <wps:wsp>
                      <wps:cNvSpPr txBox="1"/>
                      <wps:spPr>
                        <a:xfrm>
                          <a:off x="0" y="0"/>
                          <a:ext cx="6121400" cy="1117600"/>
                        </a:xfrm>
                        <a:prstGeom prst="rect">
                          <a:avLst/>
                        </a:prstGeom>
                        <a:noFill/>
                        <a:ln w="6350">
                          <a:noFill/>
                        </a:ln>
                      </wps:spPr>
                      <wps:txbx>
                        <w:txbxContent>
                          <w:p w14:paraId="556181D1" w14:textId="2C55CA62" w:rsidR="00D15FD8" w:rsidRDefault="00D15FD8" w:rsidP="00BD6508">
                            <w:pPr>
                              <w:spacing w:line="276" w:lineRule="auto"/>
                              <w:jc w:val="both"/>
                            </w:pPr>
                            <w:r w:rsidRPr="00C35FB6">
                              <w:rPr>
                                <w:rFonts w:ascii="Arial" w:hAnsi="Arial" w:cs="Arial"/>
                                <w:sz w:val="24"/>
                                <w:szCs w:val="24"/>
                              </w:rPr>
                              <w:t>Government websites should present the key features of the underlying information systems. This forces the previous systematization of the publication, which has a positive impact on the integrity of the system. Ideal features include the use of interoperability standards and digital signatures, and disclosing data protection and information security policies to build confidence in underlying information systems and relevant ICT practices.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AB2F42" id="Text Box 2116" o:spid="_x0000_s1504" type="#_x0000_t202" style="position:absolute;left:0;text-align:left;margin-left:21pt;margin-top:3.55pt;width:482pt;height:88pt;z-index:2538301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" filled="f" stroked="f" strokeweight=".5pt">
                <v:textbox>
                  <w:txbxContent>
                    <w:p w14:paraId="556181D1" w14:textId="2C55CA62" w:rsidR="00D15FD8" w:rsidRDefault="00D15FD8" w:rsidP="00BD6508">
                      <w:pPr>
                        <w:spacing w:line="276" w:lineRule="auto"/>
                        <w:jc w:val="both"/>
                      </w:pPr>
                      <w:r w:rsidRPr="00C35FB6">
                        <w:rPr>
                          <w:rFonts w:ascii="Arial" w:hAnsi="Arial" w:cs="Arial"/>
                          <w:sz w:val="24"/>
                          <w:szCs w:val="24"/>
                        </w:rPr>
                        <w:t>Government websites should present the key features of the underlying information systems. This forces the previous systematization of the publication, which has a positive impact on the integrity of the system. Ideal features include the use of interoperability standards and digital signatures, and disclosing data protection and information security policies to build confidence in underlying information systems and relevant ICT practices.</w:t>
                      </w:r>
                    </w:p>
                  </w:txbxContent>
                </v:textbox>
              </v:shape>
            </w:pict>
          </mc:Fallback>
        </mc:AlternateContent>
      </w:r>
    </w:p>
    <w:p w14:paraId="009683C2" w14:textId="0486E037" w:rsidR="00C35FB6" w:rsidRDefault="00C35FB6" w:rsidP="0012666E">
      <w:pPr>
        <w:spacing w:line="276" w:lineRule="auto"/>
        <w:contextualSpacing/>
        <w:jc w:val="both"/>
        <w:rPr>
          <w:rFonts w:ascii="Arial" w:hAnsi="Arial" w:cs="Arial"/>
          <w:sz w:val="24"/>
          <w:szCs w:val="24"/>
        </w:rPr>
      </w:pPr>
    </w:p>
    <w:p w14:paraId="45544C23" w14:textId="4DF9B05B" w:rsidR="00C35FB6" w:rsidRDefault="00C35FB6" w:rsidP="0012666E">
      <w:pPr>
        <w:spacing w:line="276" w:lineRule="auto"/>
        <w:contextualSpacing/>
        <w:jc w:val="both"/>
        <w:rPr>
          <w:rFonts w:ascii="Arial" w:hAnsi="Arial" w:cs="Arial"/>
          <w:sz w:val="24"/>
          <w:szCs w:val="24"/>
        </w:rPr>
      </w:pPr>
    </w:p>
    <w:p w14:paraId="7EEF847F" w14:textId="20DA33E3" w:rsidR="00C35FB6" w:rsidRDefault="00C35FB6" w:rsidP="0012666E">
      <w:pPr>
        <w:spacing w:line="276" w:lineRule="auto"/>
        <w:contextualSpacing/>
        <w:jc w:val="both"/>
        <w:rPr>
          <w:rFonts w:ascii="Arial" w:hAnsi="Arial" w:cs="Arial"/>
          <w:sz w:val="24"/>
          <w:szCs w:val="24"/>
        </w:rPr>
      </w:pPr>
    </w:p>
    <w:p w14:paraId="6E0551D2" w14:textId="5D20D4A2" w:rsidR="00C35FB6" w:rsidRDefault="00C35FB6" w:rsidP="0012666E">
      <w:pPr>
        <w:spacing w:line="276" w:lineRule="auto"/>
        <w:contextualSpacing/>
        <w:jc w:val="both"/>
        <w:rPr>
          <w:rFonts w:ascii="Arial" w:hAnsi="Arial" w:cs="Arial"/>
          <w:sz w:val="24"/>
          <w:szCs w:val="24"/>
        </w:rPr>
      </w:pPr>
    </w:p>
    <w:p w14:paraId="4F8A21B1" w14:textId="37DF6A33" w:rsidR="00C35FB6" w:rsidRDefault="00C35FB6" w:rsidP="0012666E">
      <w:pPr>
        <w:spacing w:line="276" w:lineRule="auto"/>
        <w:contextualSpacing/>
        <w:jc w:val="both"/>
        <w:rPr>
          <w:rFonts w:ascii="Arial" w:hAnsi="Arial" w:cs="Arial"/>
          <w:sz w:val="24"/>
          <w:szCs w:val="24"/>
        </w:rPr>
      </w:pPr>
    </w:p>
    <w:p w14:paraId="10F9F116" w14:textId="5FA28233" w:rsidR="00C35FB6" w:rsidRDefault="00C35FB6" w:rsidP="0012666E">
      <w:pPr>
        <w:spacing w:line="276" w:lineRule="auto"/>
        <w:contextualSpacing/>
        <w:jc w:val="both"/>
        <w:rPr>
          <w:rFonts w:ascii="Arial" w:hAnsi="Arial" w:cs="Arial"/>
          <w:sz w:val="24"/>
          <w:szCs w:val="24"/>
        </w:rPr>
      </w:pPr>
    </w:p>
    <w:p w14:paraId="7869DAFB" w14:textId="4EBB7A2D" w:rsidR="00C35FB6" w:rsidRDefault="00C35FB6" w:rsidP="0012666E">
      <w:pPr>
        <w:spacing w:line="276" w:lineRule="auto"/>
        <w:contextualSpacing/>
        <w:jc w:val="both"/>
        <w:rPr>
          <w:rFonts w:ascii="Arial" w:hAnsi="Arial" w:cs="Arial"/>
          <w:sz w:val="24"/>
          <w:szCs w:val="24"/>
        </w:rPr>
      </w:pPr>
    </w:p>
    <w:p w14:paraId="00661877" w14:textId="748A3E02" w:rsidR="00C35FB6" w:rsidRDefault="00C35FB6" w:rsidP="0012666E">
      <w:pPr>
        <w:spacing w:line="276" w:lineRule="auto"/>
        <w:contextualSpacing/>
        <w:jc w:val="both"/>
        <w:rPr>
          <w:rFonts w:ascii="Arial" w:hAnsi="Arial" w:cs="Arial"/>
          <w:sz w:val="24"/>
          <w:szCs w:val="24"/>
        </w:rPr>
      </w:pPr>
      <w:r>
        <w:rPr>
          <w:noProof/>
          <w:lang w:val="en-US"/>
        </w:rPr>
        <w:drawing>
          <wp:anchor distT="0" distB="0" distL="114300" distR="114300" simplePos="0" relativeHeight="253834238" behindDoc="1" locked="0" layoutInCell="1" allowOverlap="1" wp14:anchorId="44DE2314" wp14:editId="5913C386">
            <wp:simplePos x="0" y="0"/>
            <wp:positionH relativeFrom="margin">
              <wp:align>center</wp:align>
            </wp:positionH>
            <wp:positionV relativeFrom="paragraph">
              <wp:posOffset>0</wp:posOffset>
            </wp:positionV>
            <wp:extent cx="528955" cy="520700"/>
            <wp:effectExtent l="0" t="0" r="4445" b="0"/>
            <wp:wrapTight wrapText="bothSides">
              <wp:wrapPolygon edited="0">
                <wp:start x="18670" y="527"/>
                <wp:lineTo x="7261" y="2107"/>
                <wp:lineTo x="0" y="5268"/>
                <wp:lineTo x="0" y="12644"/>
                <wp:lineTo x="2074" y="18439"/>
                <wp:lineTo x="6223" y="21073"/>
                <wp:lineTo x="11928" y="21073"/>
                <wp:lineTo x="16595" y="18439"/>
                <wp:lineTo x="19188" y="12644"/>
                <wp:lineTo x="18670" y="10010"/>
                <wp:lineTo x="21263" y="4215"/>
                <wp:lineTo x="21263" y="527"/>
                <wp:lineTo x="18670" y="527"/>
              </wp:wrapPolygon>
            </wp:wrapTight>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91DA90" w14:textId="4D8097AD" w:rsidR="00C35FB6" w:rsidRDefault="00A37A8A"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33214" behindDoc="0" locked="0" layoutInCell="1" allowOverlap="1" wp14:anchorId="729DAA35" wp14:editId="29FA1FE1">
                <wp:simplePos x="0" y="0"/>
                <wp:positionH relativeFrom="margin">
                  <wp:posOffset>148442</wp:posOffset>
                </wp:positionH>
                <wp:positionV relativeFrom="paragraph">
                  <wp:posOffset>21087</wp:posOffset>
                </wp:positionV>
                <wp:extent cx="6390574" cy="1473200"/>
                <wp:effectExtent l="0" t="0" r="0" b="0"/>
                <wp:wrapNone/>
                <wp:docPr id="2119" name="Rounded Rectangle 2119"/>
                <wp:cNvGraphicFramePr/>
                <a:graphic xmlns:a="http://schemas.openxmlformats.org/drawingml/2006/main">
                  <a:graphicData uri="http://schemas.microsoft.com/office/word/2010/wordprocessingShape">
                    <wps:wsp>
                      <wps:cNvSpPr/>
                      <wps:spPr>
                        <a:xfrm>
                          <a:off x="0" y="0"/>
                          <a:ext cx="6390574" cy="147320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28CB17"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9DAA35" id="Rounded Rectangle 2119" o:spid="_x0000_s1505" style="position:absolute;left:0;text-align:left;margin-left:11.7pt;margin-top:1.65pt;width:503.2pt;height:116pt;z-index:2538332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" fillcolor="#e2efd9 [665]" stroked="f" strokeweight="1pt">
                <v:stroke joinstyle="miter"/>
                <v:textbox>
                  <w:txbxContent>
                    <w:p w14:paraId="6228CB17" w14:textId="77777777" w:rsidR="00D15FD8" w:rsidRPr="00BD6508" w:rsidRDefault="00D15FD8" w:rsidP="00BD6508">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3832190" behindDoc="0" locked="0" layoutInCell="1" allowOverlap="1" wp14:anchorId="3D9D92B1" wp14:editId="7B8F29F9">
                <wp:simplePos x="0" y="0"/>
                <wp:positionH relativeFrom="margin">
                  <wp:posOffset>233053</wp:posOffset>
                </wp:positionH>
                <wp:positionV relativeFrom="paragraph">
                  <wp:posOffset>164465</wp:posOffset>
                </wp:positionV>
                <wp:extent cx="6426200" cy="1473200"/>
                <wp:effectExtent l="12700" t="12700" r="12700" b="12700"/>
                <wp:wrapNone/>
                <wp:docPr id="2118" name="Rounded Rectangle 2118"/>
                <wp:cNvGraphicFramePr/>
                <a:graphic xmlns:a="http://schemas.openxmlformats.org/drawingml/2006/main">
                  <a:graphicData uri="http://schemas.microsoft.com/office/word/2010/wordprocessingShape">
                    <wps:wsp>
                      <wps:cNvSpPr/>
                      <wps:spPr>
                        <a:xfrm>
                          <a:off x="0" y="0"/>
                          <a:ext cx="6426200" cy="147320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50CD06"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D9D92B1" id="Rounded Rectangle 2118" o:spid="_x0000_s1506" style="position:absolute;left:0;text-align:left;margin-left:18.35pt;margin-top:12.95pt;width:506pt;height:116pt;z-index:25383219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" filled="f" strokecolor="#16988a" strokeweight="1.5pt">
                <v:stroke joinstyle="miter"/>
                <v:textbox>
                  <w:txbxContent>
                    <w:p w14:paraId="0250CD06" w14:textId="77777777" w:rsidR="00D15FD8" w:rsidRPr="00BD6508" w:rsidRDefault="00D15FD8" w:rsidP="00BD6508">
                      <w:pPr>
                        <w:jc w:val="center"/>
                        <w:rPr>
                          <w:lang w:val="en-US"/>
                        </w:rPr>
                      </w:pPr>
                    </w:p>
                  </w:txbxContent>
                </v:textbox>
                <w10:wrap anchorx="margin"/>
              </v:roundrect>
            </w:pict>
          </mc:Fallback>
        </mc:AlternateContent>
      </w:r>
    </w:p>
    <w:p w14:paraId="18874A8C" w14:textId="7679DBB1" w:rsidR="00C35FB6" w:rsidRDefault="0011088C"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35262" behindDoc="0" locked="0" layoutInCell="1" allowOverlap="1" wp14:anchorId="7B8533BE" wp14:editId="6D1B1A53">
                <wp:simplePos x="0" y="0"/>
                <wp:positionH relativeFrom="column">
                  <wp:posOffset>264160</wp:posOffset>
                </wp:positionH>
                <wp:positionV relativeFrom="paragraph">
                  <wp:posOffset>114159</wp:posOffset>
                </wp:positionV>
                <wp:extent cx="6121400" cy="1117600"/>
                <wp:effectExtent l="0" t="0" r="0" b="0"/>
                <wp:wrapNone/>
                <wp:docPr id="2120" name="Text Box 2120"/>
                <wp:cNvGraphicFramePr/>
                <a:graphic xmlns:a="http://schemas.openxmlformats.org/drawingml/2006/main">
                  <a:graphicData uri="http://schemas.microsoft.com/office/word/2010/wordprocessingShape">
                    <wps:wsp>
                      <wps:cNvSpPr txBox="1"/>
                      <wps:spPr>
                        <a:xfrm>
                          <a:off x="0" y="0"/>
                          <a:ext cx="6121400" cy="1117600"/>
                        </a:xfrm>
                        <a:prstGeom prst="rect">
                          <a:avLst/>
                        </a:prstGeom>
                        <a:noFill/>
                        <a:ln w="6350">
                          <a:noFill/>
                        </a:ln>
                      </wps:spPr>
                      <wps:txbx>
                        <w:txbxContent>
                          <w:p w14:paraId="001D0F9E" w14:textId="6522B2BA" w:rsidR="00D15FD8" w:rsidRDefault="00D15FD8" w:rsidP="00BD6508">
                            <w:pPr>
                              <w:spacing w:line="276" w:lineRule="auto"/>
                              <w:jc w:val="both"/>
                            </w:pPr>
                            <w:r w:rsidRPr="00C35FB6">
                              <w:rPr>
                                <w:rFonts w:ascii="Arial" w:hAnsi="Arial" w:cs="Arial"/>
                                <w:sz w:val="24"/>
                                <w:szCs w:val="24"/>
                              </w:rPr>
                              <w:t>Government websites should have capabilities for interactive, multidimensional data analysis with flexible and user-friendly dynamic query and reporting options. In addition, the consistency of historical data should be ensured. This dialogue between users and information providers allows a constant improvement of the information published and therefore of the systems that supply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8533BE" id="Text Box 2120" o:spid="_x0000_s1507" type="#_x0000_t202" style="position:absolute;left:0;text-align:left;margin-left:20.8pt;margin-top:9pt;width:482pt;height:88pt;z-index:253835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" filled="f" stroked="f" strokeweight=".5pt">
                <v:textbox>
                  <w:txbxContent>
                    <w:p w14:paraId="001D0F9E" w14:textId="6522B2BA" w:rsidR="00D15FD8" w:rsidRDefault="00D15FD8" w:rsidP="00BD6508">
                      <w:pPr>
                        <w:spacing w:line="276" w:lineRule="auto"/>
                        <w:jc w:val="both"/>
                      </w:pPr>
                      <w:r w:rsidRPr="00C35FB6">
                        <w:rPr>
                          <w:rFonts w:ascii="Arial" w:hAnsi="Arial" w:cs="Arial"/>
                          <w:sz w:val="24"/>
                          <w:szCs w:val="24"/>
                        </w:rPr>
                        <w:t>Government websites should have capabilities for interactive, multidimensional data analysis with flexible and user-friendly dynamic query and reporting options. In addition, the consistency of historical data should be ensured. This dialogue between users and information providers allows a constant improvement of the information published and therefore of the systems that supply it.</w:t>
                      </w:r>
                    </w:p>
                  </w:txbxContent>
                </v:textbox>
              </v:shape>
            </w:pict>
          </mc:Fallback>
        </mc:AlternateContent>
      </w:r>
    </w:p>
    <w:p w14:paraId="4EEB5196" w14:textId="48223D05" w:rsidR="00C35FB6" w:rsidRDefault="00C35FB6" w:rsidP="0012666E">
      <w:pPr>
        <w:spacing w:line="276" w:lineRule="auto"/>
        <w:contextualSpacing/>
        <w:jc w:val="both"/>
        <w:rPr>
          <w:rFonts w:ascii="Arial" w:hAnsi="Arial" w:cs="Arial"/>
          <w:sz w:val="24"/>
          <w:szCs w:val="24"/>
        </w:rPr>
      </w:pPr>
    </w:p>
    <w:p w14:paraId="648BD5AF" w14:textId="639197DA" w:rsidR="00C35FB6" w:rsidRDefault="00C35FB6" w:rsidP="0012666E">
      <w:pPr>
        <w:spacing w:line="276" w:lineRule="auto"/>
        <w:contextualSpacing/>
        <w:jc w:val="both"/>
        <w:rPr>
          <w:rFonts w:ascii="Arial" w:hAnsi="Arial" w:cs="Arial"/>
          <w:sz w:val="24"/>
          <w:szCs w:val="24"/>
        </w:rPr>
      </w:pPr>
    </w:p>
    <w:p w14:paraId="637B7B02" w14:textId="132ADC63" w:rsidR="00C35FB6" w:rsidRDefault="00C35FB6" w:rsidP="0012666E">
      <w:pPr>
        <w:spacing w:line="276" w:lineRule="auto"/>
        <w:contextualSpacing/>
        <w:jc w:val="both"/>
        <w:rPr>
          <w:rFonts w:ascii="Arial" w:hAnsi="Arial" w:cs="Arial"/>
          <w:sz w:val="24"/>
          <w:szCs w:val="24"/>
        </w:rPr>
      </w:pPr>
    </w:p>
    <w:p w14:paraId="6E558194" w14:textId="7E3EFDC1" w:rsidR="00C35FB6" w:rsidRDefault="00C35FB6" w:rsidP="0012666E">
      <w:pPr>
        <w:spacing w:line="276" w:lineRule="auto"/>
        <w:contextualSpacing/>
        <w:jc w:val="both"/>
        <w:rPr>
          <w:rFonts w:ascii="Arial" w:hAnsi="Arial" w:cs="Arial"/>
          <w:sz w:val="24"/>
          <w:szCs w:val="24"/>
        </w:rPr>
      </w:pPr>
    </w:p>
    <w:p w14:paraId="5199D35E" w14:textId="228F7D89" w:rsidR="00C35FB6" w:rsidRDefault="00C35FB6" w:rsidP="0012666E">
      <w:pPr>
        <w:spacing w:line="276" w:lineRule="auto"/>
        <w:contextualSpacing/>
        <w:jc w:val="both"/>
        <w:rPr>
          <w:rFonts w:ascii="Arial" w:hAnsi="Arial" w:cs="Arial"/>
          <w:sz w:val="24"/>
          <w:szCs w:val="24"/>
        </w:rPr>
      </w:pPr>
    </w:p>
    <w:p w14:paraId="75CFBB9F" w14:textId="33AD60C4" w:rsidR="00C35FB6" w:rsidRDefault="00C35FB6" w:rsidP="0012666E">
      <w:pPr>
        <w:spacing w:line="276" w:lineRule="auto"/>
        <w:contextualSpacing/>
        <w:jc w:val="both"/>
        <w:rPr>
          <w:rFonts w:ascii="Arial" w:hAnsi="Arial" w:cs="Arial"/>
          <w:sz w:val="24"/>
          <w:szCs w:val="24"/>
        </w:rPr>
      </w:pPr>
    </w:p>
    <w:p w14:paraId="4DF11360" w14:textId="1D6604AA" w:rsidR="00C35FB6" w:rsidRDefault="00C35FB6" w:rsidP="0012666E">
      <w:pPr>
        <w:spacing w:line="276" w:lineRule="auto"/>
        <w:contextualSpacing/>
        <w:jc w:val="both"/>
        <w:rPr>
          <w:rFonts w:ascii="Arial" w:hAnsi="Arial" w:cs="Arial"/>
          <w:sz w:val="24"/>
          <w:szCs w:val="24"/>
        </w:rPr>
      </w:pPr>
      <w:r>
        <w:rPr>
          <w:noProof/>
          <w:lang w:val="en-US"/>
        </w:rPr>
        <w:drawing>
          <wp:anchor distT="0" distB="0" distL="114300" distR="114300" simplePos="0" relativeHeight="253839358" behindDoc="1" locked="0" layoutInCell="1" allowOverlap="1" wp14:anchorId="2510E063" wp14:editId="3BBDD384">
            <wp:simplePos x="0" y="0"/>
            <wp:positionH relativeFrom="margin">
              <wp:posOffset>3056255</wp:posOffset>
            </wp:positionH>
            <wp:positionV relativeFrom="paragraph">
              <wp:posOffset>147320</wp:posOffset>
            </wp:positionV>
            <wp:extent cx="528955" cy="520700"/>
            <wp:effectExtent l="0" t="0" r="4445" b="0"/>
            <wp:wrapTight wrapText="bothSides">
              <wp:wrapPolygon edited="0">
                <wp:start x="18670" y="527"/>
                <wp:lineTo x="7261" y="2107"/>
                <wp:lineTo x="0" y="5268"/>
                <wp:lineTo x="0" y="12644"/>
                <wp:lineTo x="2074" y="18439"/>
                <wp:lineTo x="6223" y="21073"/>
                <wp:lineTo x="11928" y="21073"/>
                <wp:lineTo x="16595" y="18439"/>
                <wp:lineTo x="19188" y="12644"/>
                <wp:lineTo x="18670" y="10010"/>
                <wp:lineTo x="21263" y="4215"/>
                <wp:lineTo x="21263" y="527"/>
                <wp:lineTo x="18670" y="527"/>
              </wp:wrapPolygon>
            </wp:wrapTight>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C7AF10" w14:textId="2D29BAD3" w:rsidR="00C35FB6" w:rsidRDefault="00C35FB6" w:rsidP="0012666E">
      <w:pPr>
        <w:spacing w:line="276" w:lineRule="auto"/>
        <w:contextualSpacing/>
        <w:jc w:val="both"/>
        <w:rPr>
          <w:rFonts w:ascii="Arial" w:hAnsi="Arial" w:cs="Arial"/>
          <w:sz w:val="24"/>
          <w:szCs w:val="24"/>
        </w:rPr>
      </w:pPr>
    </w:p>
    <w:p w14:paraId="7C089715" w14:textId="21B4E61D" w:rsidR="00C35FB6" w:rsidRDefault="00A37A8A"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37310" behindDoc="0" locked="0" layoutInCell="1" allowOverlap="1" wp14:anchorId="6614245A" wp14:editId="5D8AB3BD">
                <wp:simplePos x="0" y="0"/>
                <wp:positionH relativeFrom="margin">
                  <wp:posOffset>268679</wp:posOffset>
                </wp:positionH>
                <wp:positionV relativeFrom="paragraph">
                  <wp:posOffset>175260</wp:posOffset>
                </wp:positionV>
                <wp:extent cx="6426200" cy="1206500"/>
                <wp:effectExtent l="12700" t="12700" r="12700" b="12700"/>
                <wp:wrapNone/>
                <wp:docPr id="2122" name="Rounded Rectangle 2122"/>
                <wp:cNvGraphicFramePr/>
                <a:graphic xmlns:a="http://schemas.openxmlformats.org/drawingml/2006/main">
                  <a:graphicData uri="http://schemas.microsoft.com/office/word/2010/wordprocessingShape">
                    <wps:wsp>
                      <wps:cNvSpPr/>
                      <wps:spPr>
                        <a:xfrm>
                          <a:off x="0" y="0"/>
                          <a:ext cx="6426200" cy="120650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98F046"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14245A" id="Rounded Rectangle 2122" o:spid="_x0000_s1508" style="position:absolute;left:0;text-align:left;margin-left:21.15pt;margin-top:13.8pt;width:506pt;height:95pt;z-index:25383731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" filled="f" strokecolor="#16988a" strokeweight="1.5pt">
                <v:stroke joinstyle="miter"/>
                <v:textbox>
                  <w:txbxContent>
                    <w:p w14:paraId="7098F046" w14:textId="77777777" w:rsidR="00D15FD8" w:rsidRPr="00BD6508" w:rsidRDefault="00D15FD8" w:rsidP="00BD6508">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3838334" behindDoc="0" locked="0" layoutInCell="1" allowOverlap="1" wp14:anchorId="3D4DD645" wp14:editId="0E83D575">
                <wp:simplePos x="0" y="0"/>
                <wp:positionH relativeFrom="margin">
                  <wp:posOffset>142504</wp:posOffset>
                </wp:positionH>
                <wp:positionV relativeFrom="paragraph">
                  <wp:posOffset>22860</wp:posOffset>
                </wp:positionV>
                <wp:extent cx="6426200" cy="1231900"/>
                <wp:effectExtent l="0" t="0" r="0" b="0"/>
                <wp:wrapNone/>
                <wp:docPr id="2123" name="Rounded Rectangle 2123"/>
                <wp:cNvGraphicFramePr/>
                <a:graphic xmlns:a="http://schemas.openxmlformats.org/drawingml/2006/main">
                  <a:graphicData uri="http://schemas.microsoft.com/office/word/2010/wordprocessingShape">
                    <wps:wsp>
                      <wps:cNvSpPr/>
                      <wps:spPr>
                        <a:xfrm>
                          <a:off x="0" y="0"/>
                          <a:ext cx="6426200" cy="123190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2A6385"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D4DD645" id="Rounded Rectangle 2123" o:spid="_x0000_s1509" style="position:absolute;left:0;text-align:left;margin-left:11.2pt;margin-top:1.8pt;width:506pt;height:97pt;z-index:25383833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" fillcolor="#e2efd9 [665]" stroked="f" strokeweight="1pt">
                <v:stroke joinstyle="miter"/>
                <v:textbox>
                  <w:txbxContent>
                    <w:p w14:paraId="4C2A6385" w14:textId="77777777" w:rsidR="00D15FD8" w:rsidRPr="00BD6508" w:rsidRDefault="00D15FD8" w:rsidP="00BD6508">
                      <w:pPr>
                        <w:jc w:val="center"/>
                        <w:rPr>
                          <w:lang w:val="en-US"/>
                        </w:rPr>
                      </w:pPr>
                    </w:p>
                  </w:txbxContent>
                </v:textbox>
                <w10:wrap anchorx="margin"/>
              </v:roundrect>
            </w:pict>
          </mc:Fallback>
        </mc:AlternateContent>
      </w:r>
    </w:p>
    <w:p w14:paraId="3324F2DD" w14:textId="33ECA58D" w:rsidR="00C35FB6" w:rsidRDefault="0011088C"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40382" behindDoc="0" locked="0" layoutInCell="1" allowOverlap="1" wp14:anchorId="3F9AA618" wp14:editId="427FD4E3">
                <wp:simplePos x="0" y="0"/>
                <wp:positionH relativeFrom="margin">
                  <wp:posOffset>262255</wp:posOffset>
                </wp:positionH>
                <wp:positionV relativeFrom="paragraph">
                  <wp:posOffset>63641</wp:posOffset>
                </wp:positionV>
                <wp:extent cx="6121400" cy="901700"/>
                <wp:effectExtent l="0" t="0" r="0" b="0"/>
                <wp:wrapNone/>
                <wp:docPr id="2124" name="Text Box 2124"/>
                <wp:cNvGraphicFramePr/>
                <a:graphic xmlns:a="http://schemas.openxmlformats.org/drawingml/2006/main">
                  <a:graphicData uri="http://schemas.microsoft.com/office/word/2010/wordprocessingShape">
                    <wps:wsp>
                      <wps:cNvSpPr txBox="1"/>
                      <wps:spPr>
                        <a:xfrm>
                          <a:off x="0" y="0"/>
                          <a:ext cx="6121400" cy="901700"/>
                        </a:xfrm>
                        <a:prstGeom prst="rect">
                          <a:avLst/>
                        </a:prstGeom>
                        <a:noFill/>
                        <a:ln w="6350">
                          <a:noFill/>
                        </a:ln>
                      </wps:spPr>
                      <wps:txbx>
                        <w:txbxContent>
                          <w:p w14:paraId="46F0AB63" w14:textId="6F3E9E0F" w:rsidR="00D15FD8" w:rsidRDefault="00D15FD8" w:rsidP="00BD6508">
                            <w:pPr>
                              <w:spacing w:line="276" w:lineRule="auto"/>
                              <w:jc w:val="both"/>
                            </w:pPr>
                            <w:r w:rsidRPr="00C35FB6">
                              <w:rPr>
                                <w:rFonts w:ascii="Arial" w:hAnsi="Arial" w:cs="Arial"/>
                                <w:sz w:val="24"/>
                                <w:szCs w:val="24"/>
                              </w:rPr>
                              <w:t>Publishing open budget data from FMIS or data warehouse solutions often requires a change in the culture of organizations. Governments can benefit from the various guidelines on publishing “linked open data” to maximize the benefits. The use of open budget data also creates opportunities to add value to public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9AA618" id="Text Box 2124" o:spid="_x0000_s1510" type="#_x0000_t202" style="position:absolute;left:0;text-align:left;margin-left:20.65pt;margin-top:5pt;width:482pt;height:71pt;z-index:25384038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" filled="f" stroked="f" strokeweight=".5pt">
                <v:textbox>
                  <w:txbxContent>
                    <w:p w14:paraId="46F0AB63" w14:textId="6F3E9E0F" w:rsidR="00D15FD8" w:rsidRDefault="00D15FD8" w:rsidP="00BD6508">
                      <w:pPr>
                        <w:spacing w:line="276" w:lineRule="auto"/>
                        <w:jc w:val="both"/>
                      </w:pPr>
                      <w:r w:rsidRPr="00C35FB6">
                        <w:rPr>
                          <w:rFonts w:ascii="Arial" w:hAnsi="Arial" w:cs="Arial"/>
                          <w:sz w:val="24"/>
                          <w:szCs w:val="24"/>
                        </w:rPr>
                        <w:t>Publishing open budget data from FMIS or data warehouse solutions often requires a change in the culture of organizations. Governments can benefit from the various guidelines on publishing “linked open data” to maximize the benefits. The use of open budget data also creates opportunities to add value to public information.</w:t>
                      </w:r>
                    </w:p>
                  </w:txbxContent>
                </v:textbox>
                <w10:wrap anchorx="margin"/>
              </v:shape>
            </w:pict>
          </mc:Fallback>
        </mc:AlternateContent>
      </w:r>
    </w:p>
    <w:p w14:paraId="46EDDD94" w14:textId="54063C23" w:rsidR="00C35FB6" w:rsidRDefault="00C35FB6" w:rsidP="0012666E">
      <w:pPr>
        <w:spacing w:line="276" w:lineRule="auto"/>
        <w:contextualSpacing/>
        <w:jc w:val="both"/>
        <w:rPr>
          <w:rFonts w:ascii="Arial" w:hAnsi="Arial" w:cs="Arial"/>
          <w:sz w:val="24"/>
          <w:szCs w:val="24"/>
        </w:rPr>
      </w:pPr>
    </w:p>
    <w:p w14:paraId="5896EA35" w14:textId="4A64C226" w:rsidR="00C35FB6" w:rsidRDefault="00C35FB6" w:rsidP="0012666E">
      <w:pPr>
        <w:spacing w:line="276" w:lineRule="auto"/>
        <w:contextualSpacing/>
        <w:jc w:val="both"/>
        <w:rPr>
          <w:rFonts w:ascii="Arial" w:hAnsi="Arial" w:cs="Arial"/>
          <w:sz w:val="24"/>
          <w:szCs w:val="24"/>
        </w:rPr>
      </w:pPr>
    </w:p>
    <w:p w14:paraId="38C5E5FF" w14:textId="192372B9" w:rsidR="00C35FB6" w:rsidRDefault="00C35FB6" w:rsidP="0012666E">
      <w:pPr>
        <w:spacing w:line="276" w:lineRule="auto"/>
        <w:contextualSpacing/>
        <w:jc w:val="both"/>
        <w:rPr>
          <w:rFonts w:ascii="Arial" w:hAnsi="Arial" w:cs="Arial"/>
          <w:sz w:val="24"/>
          <w:szCs w:val="24"/>
        </w:rPr>
      </w:pPr>
    </w:p>
    <w:p w14:paraId="17335161" w14:textId="70E7E5CB" w:rsidR="00C35FB6" w:rsidRDefault="00C35FB6" w:rsidP="0012666E">
      <w:pPr>
        <w:spacing w:line="276" w:lineRule="auto"/>
        <w:contextualSpacing/>
        <w:jc w:val="both"/>
        <w:rPr>
          <w:rFonts w:ascii="Arial" w:hAnsi="Arial" w:cs="Arial"/>
          <w:sz w:val="24"/>
          <w:szCs w:val="24"/>
        </w:rPr>
      </w:pPr>
    </w:p>
    <w:p w14:paraId="0B678E7E" w14:textId="1ED22110" w:rsidR="00C35FB6" w:rsidRDefault="00C35FB6" w:rsidP="0012666E">
      <w:pPr>
        <w:spacing w:line="276" w:lineRule="auto"/>
        <w:contextualSpacing/>
        <w:jc w:val="both"/>
        <w:rPr>
          <w:rFonts w:ascii="Arial" w:hAnsi="Arial" w:cs="Arial"/>
          <w:sz w:val="24"/>
          <w:szCs w:val="24"/>
        </w:rPr>
      </w:pPr>
    </w:p>
    <w:p w14:paraId="7E4B1982" w14:textId="6B5FBAF1" w:rsidR="00C35FB6" w:rsidRDefault="00C35FB6" w:rsidP="0012666E">
      <w:pPr>
        <w:spacing w:line="276" w:lineRule="auto"/>
        <w:contextualSpacing/>
        <w:jc w:val="both"/>
        <w:rPr>
          <w:rFonts w:ascii="Arial" w:hAnsi="Arial" w:cs="Arial"/>
          <w:sz w:val="24"/>
          <w:szCs w:val="24"/>
        </w:rPr>
      </w:pPr>
      <w:r>
        <w:rPr>
          <w:noProof/>
          <w:lang w:val="en-US"/>
        </w:rPr>
        <w:lastRenderedPageBreak/>
        <w:drawing>
          <wp:anchor distT="0" distB="0" distL="114300" distR="114300" simplePos="0" relativeHeight="253844478" behindDoc="1" locked="0" layoutInCell="1" allowOverlap="1" wp14:anchorId="60DA6B8D" wp14:editId="1F6B1D8A">
            <wp:simplePos x="0" y="0"/>
            <wp:positionH relativeFrom="margin">
              <wp:posOffset>3056255</wp:posOffset>
            </wp:positionH>
            <wp:positionV relativeFrom="paragraph">
              <wp:posOffset>112395</wp:posOffset>
            </wp:positionV>
            <wp:extent cx="528955" cy="520700"/>
            <wp:effectExtent l="0" t="0" r="4445" b="0"/>
            <wp:wrapTight wrapText="bothSides">
              <wp:wrapPolygon edited="0">
                <wp:start x="18670" y="527"/>
                <wp:lineTo x="7261" y="2107"/>
                <wp:lineTo x="0" y="5268"/>
                <wp:lineTo x="0" y="12644"/>
                <wp:lineTo x="2074" y="18439"/>
                <wp:lineTo x="6223" y="21073"/>
                <wp:lineTo x="11928" y="21073"/>
                <wp:lineTo x="16595" y="18439"/>
                <wp:lineTo x="19188" y="12644"/>
                <wp:lineTo x="18670" y="10010"/>
                <wp:lineTo x="21263" y="4215"/>
                <wp:lineTo x="21263" y="527"/>
                <wp:lineTo x="18670" y="527"/>
              </wp:wrapPolygon>
            </wp:wrapTight>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D98D19" w14:textId="3892D36D" w:rsidR="00C35FB6" w:rsidRDefault="00C35FB6"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42430" behindDoc="0" locked="0" layoutInCell="1" allowOverlap="1" wp14:anchorId="43007C1F" wp14:editId="4F3C036B">
                <wp:simplePos x="0" y="0"/>
                <wp:positionH relativeFrom="margin">
                  <wp:posOffset>114300</wp:posOffset>
                </wp:positionH>
                <wp:positionV relativeFrom="paragraph">
                  <wp:posOffset>342265</wp:posOffset>
                </wp:positionV>
                <wp:extent cx="6426200" cy="1206500"/>
                <wp:effectExtent l="12700" t="12700" r="12700" b="12700"/>
                <wp:wrapNone/>
                <wp:docPr id="2126" name="Rounded Rectangle 2126"/>
                <wp:cNvGraphicFramePr/>
                <a:graphic xmlns:a="http://schemas.openxmlformats.org/drawingml/2006/main">
                  <a:graphicData uri="http://schemas.microsoft.com/office/word/2010/wordprocessingShape">
                    <wps:wsp>
                      <wps:cNvSpPr/>
                      <wps:spPr>
                        <a:xfrm>
                          <a:off x="0" y="0"/>
                          <a:ext cx="6426200" cy="120650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EA598"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007C1F" id="Rounded Rectangle 2126" o:spid="_x0000_s1511" style="position:absolute;left:0;text-align:left;margin-left:9pt;margin-top:26.95pt;width:506pt;height:95pt;z-index:25384243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" filled="f" strokecolor="#16988a" strokeweight="1.5pt">
                <v:stroke joinstyle="miter"/>
                <v:textbox>
                  <w:txbxContent>
                    <w:p w14:paraId="79AEA598" w14:textId="77777777" w:rsidR="00D15FD8" w:rsidRPr="00BD6508" w:rsidRDefault="00D15FD8" w:rsidP="00BD6508">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3843454" behindDoc="0" locked="0" layoutInCell="1" allowOverlap="1" wp14:anchorId="011F998E" wp14:editId="505D8F9D">
                <wp:simplePos x="0" y="0"/>
                <wp:positionH relativeFrom="margin">
                  <wp:posOffset>0</wp:posOffset>
                </wp:positionH>
                <wp:positionV relativeFrom="paragraph">
                  <wp:posOffset>177165</wp:posOffset>
                </wp:positionV>
                <wp:extent cx="6426200" cy="1231900"/>
                <wp:effectExtent l="0" t="0" r="0" b="0"/>
                <wp:wrapNone/>
                <wp:docPr id="2127" name="Rounded Rectangle 2127"/>
                <wp:cNvGraphicFramePr/>
                <a:graphic xmlns:a="http://schemas.openxmlformats.org/drawingml/2006/main">
                  <a:graphicData uri="http://schemas.microsoft.com/office/word/2010/wordprocessingShape">
                    <wps:wsp>
                      <wps:cNvSpPr/>
                      <wps:spPr>
                        <a:xfrm>
                          <a:off x="0" y="0"/>
                          <a:ext cx="6426200" cy="123190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85C531"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1F998E" id="Rounded Rectangle 2127" o:spid="_x0000_s1512" style="position:absolute;left:0;text-align:left;margin-left:0;margin-top:13.95pt;width:506pt;height:97pt;z-index:25384345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" fillcolor="#e2efd9 [665]" stroked="f" strokeweight="1pt">
                <v:stroke joinstyle="miter"/>
                <v:textbox>
                  <w:txbxContent>
                    <w:p w14:paraId="5A85C531" w14:textId="77777777" w:rsidR="00D15FD8" w:rsidRPr="00BD6508" w:rsidRDefault="00D15FD8" w:rsidP="00BD6508">
                      <w:pPr>
                        <w:jc w:val="center"/>
                        <w:rPr>
                          <w:lang w:val="en-US"/>
                        </w:rPr>
                      </w:pPr>
                    </w:p>
                  </w:txbxContent>
                </v:textbox>
                <w10:wrap anchorx="margin"/>
              </v:roundrect>
            </w:pict>
          </mc:Fallback>
        </mc:AlternateContent>
      </w:r>
    </w:p>
    <w:p w14:paraId="7C302501" w14:textId="5E0891CB" w:rsidR="00C35FB6" w:rsidRDefault="00C35FB6" w:rsidP="0012666E">
      <w:pPr>
        <w:spacing w:line="276" w:lineRule="auto"/>
        <w:contextualSpacing/>
        <w:jc w:val="both"/>
        <w:rPr>
          <w:rFonts w:ascii="Arial" w:hAnsi="Arial" w:cs="Arial"/>
          <w:sz w:val="24"/>
          <w:szCs w:val="24"/>
        </w:rPr>
      </w:pPr>
    </w:p>
    <w:p w14:paraId="09CE1176" w14:textId="73C5C281" w:rsidR="00C35FB6" w:rsidRDefault="0011088C"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45502" behindDoc="0" locked="0" layoutInCell="1" allowOverlap="1" wp14:anchorId="23A373E6" wp14:editId="723DA378">
                <wp:simplePos x="0" y="0"/>
                <wp:positionH relativeFrom="margin">
                  <wp:posOffset>200519</wp:posOffset>
                </wp:positionH>
                <wp:positionV relativeFrom="paragraph">
                  <wp:posOffset>27940</wp:posOffset>
                </wp:positionV>
                <wp:extent cx="6121400" cy="901700"/>
                <wp:effectExtent l="0" t="0" r="0" b="0"/>
                <wp:wrapNone/>
                <wp:docPr id="2128" name="Text Box 2128"/>
                <wp:cNvGraphicFramePr/>
                <a:graphic xmlns:a="http://schemas.openxmlformats.org/drawingml/2006/main">
                  <a:graphicData uri="http://schemas.microsoft.com/office/word/2010/wordprocessingShape">
                    <wps:wsp>
                      <wps:cNvSpPr txBox="1"/>
                      <wps:spPr>
                        <a:xfrm>
                          <a:off x="0" y="0"/>
                          <a:ext cx="6121400" cy="901700"/>
                        </a:xfrm>
                        <a:prstGeom prst="rect">
                          <a:avLst/>
                        </a:prstGeom>
                        <a:noFill/>
                        <a:ln w="6350">
                          <a:noFill/>
                        </a:ln>
                      </wps:spPr>
                      <wps:txbx>
                        <w:txbxContent>
                          <w:p w14:paraId="42567272" w14:textId="0C01F796" w:rsidR="00D15FD8" w:rsidRDefault="00D15FD8" w:rsidP="00BD6508">
                            <w:pPr>
                              <w:spacing w:line="276" w:lineRule="auto"/>
                              <w:jc w:val="both"/>
                            </w:pPr>
                            <w:r>
                              <w:rPr>
                                <w:rFonts w:ascii="Arial" w:hAnsi="Arial" w:cs="Arial"/>
                                <w:sz w:val="24"/>
                                <w:szCs w:val="24"/>
                              </w:rPr>
                              <w:t>A</w:t>
                            </w:r>
                            <w:r w:rsidRPr="00C35FB6">
                              <w:rPr>
                                <w:rFonts w:ascii="Arial" w:hAnsi="Arial" w:cs="Arial"/>
                                <w:sz w:val="24"/>
                                <w:szCs w:val="24"/>
                              </w:rPr>
                              <w:t>ppropriate safeguards should be implemented to protect data from unauthorized modification and access, and oversight mechanisms should be in place to ensure the reliability and integrity of systems, the security of operations, and the effectiveness of IT governance and oversight functions.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373E6" id="Text Box 2128" o:spid="_x0000_s1513" type="#_x0000_t202" style="position:absolute;left:0;text-align:left;margin-left:15.8pt;margin-top:2.2pt;width:482pt;height:71pt;z-index:25384550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" filled="f" stroked="f" strokeweight=".5pt">
                <v:textbox>
                  <w:txbxContent>
                    <w:p w14:paraId="42567272" w14:textId="0C01F796" w:rsidR="00D15FD8" w:rsidRDefault="00D15FD8" w:rsidP="00BD6508">
                      <w:pPr>
                        <w:spacing w:line="276" w:lineRule="auto"/>
                        <w:jc w:val="both"/>
                      </w:pPr>
                      <w:r>
                        <w:rPr>
                          <w:rFonts w:ascii="Arial" w:hAnsi="Arial" w:cs="Arial"/>
                          <w:sz w:val="24"/>
                          <w:szCs w:val="24"/>
                        </w:rPr>
                        <w:t>A</w:t>
                      </w:r>
                      <w:r w:rsidRPr="00C35FB6">
                        <w:rPr>
                          <w:rFonts w:ascii="Arial" w:hAnsi="Arial" w:cs="Arial"/>
                          <w:sz w:val="24"/>
                          <w:szCs w:val="24"/>
                        </w:rPr>
                        <w:t>ppropriate safeguards should be implemented to protect data from unauthorized modification and access, and oversight mechanisms should be in place to ensure the reliability and integrity of systems, the security of operations, and the effectiveness of IT governance and oversight functions.</w:t>
                      </w:r>
                    </w:p>
                  </w:txbxContent>
                </v:textbox>
                <w10:wrap anchorx="margin"/>
              </v:shape>
            </w:pict>
          </mc:Fallback>
        </mc:AlternateContent>
      </w:r>
    </w:p>
    <w:p w14:paraId="79DD2D99" w14:textId="6F900F57" w:rsidR="00C35FB6" w:rsidRDefault="00C35FB6" w:rsidP="0012666E">
      <w:pPr>
        <w:spacing w:line="276" w:lineRule="auto"/>
        <w:contextualSpacing/>
        <w:jc w:val="both"/>
        <w:rPr>
          <w:rFonts w:ascii="Arial" w:hAnsi="Arial" w:cs="Arial"/>
          <w:sz w:val="24"/>
          <w:szCs w:val="24"/>
        </w:rPr>
      </w:pPr>
    </w:p>
    <w:p w14:paraId="04A974CB" w14:textId="58B68A17" w:rsidR="00C35FB6" w:rsidRDefault="00C35FB6" w:rsidP="0012666E">
      <w:pPr>
        <w:spacing w:line="276" w:lineRule="auto"/>
        <w:contextualSpacing/>
        <w:jc w:val="both"/>
        <w:rPr>
          <w:rFonts w:ascii="Arial" w:hAnsi="Arial" w:cs="Arial"/>
          <w:sz w:val="24"/>
          <w:szCs w:val="24"/>
        </w:rPr>
      </w:pPr>
    </w:p>
    <w:p w14:paraId="6DDC880B" w14:textId="5AEB90A1" w:rsidR="00C35FB6" w:rsidRDefault="00C35FB6" w:rsidP="0012666E">
      <w:pPr>
        <w:spacing w:line="276" w:lineRule="auto"/>
        <w:contextualSpacing/>
        <w:jc w:val="both"/>
        <w:rPr>
          <w:rFonts w:ascii="Arial" w:hAnsi="Arial" w:cs="Arial"/>
          <w:sz w:val="24"/>
          <w:szCs w:val="24"/>
        </w:rPr>
      </w:pPr>
    </w:p>
    <w:p w14:paraId="2374B07D" w14:textId="2AC77FD9" w:rsidR="00C35FB6" w:rsidRDefault="00C35FB6" w:rsidP="0012666E">
      <w:pPr>
        <w:spacing w:line="276" w:lineRule="auto"/>
        <w:contextualSpacing/>
        <w:jc w:val="both"/>
        <w:rPr>
          <w:rFonts w:ascii="Arial" w:hAnsi="Arial" w:cs="Arial"/>
          <w:sz w:val="24"/>
          <w:szCs w:val="24"/>
        </w:rPr>
      </w:pPr>
    </w:p>
    <w:p w14:paraId="320F1C1A" w14:textId="0C9BAB36" w:rsidR="00C35FB6" w:rsidRDefault="00C35FB6" w:rsidP="0012666E">
      <w:pPr>
        <w:spacing w:line="276" w:lineRule="auto"/>
        <w:contextualSpacing/>
        <w:jc w:val="both"/>
        <w:rPr>
          <w:rFonts w:ascii="Arial" w:hAnsi="Arial" w:cs="Arial"/>
          <w:sz w:val="24"/>
          <w:szCs w:val="24"/>
        </w:rPr>
      </w:pPr>
    </w:p>
    <w:p w14:paraId="52A11028" w14:textId="3483BADB" w:rsidR="00C35FB6" w:rsidRDefault="00175264" w:rsidP="0012666E">
      <w:pPr>
        <w:spacing w:line="276" w:lineRule="auto"/>
        <w:contextualSpacing/>
        <w:jc w:val="both"/>
        <w:rPr>
          <w:rFonts w:ascii="Arial" w:hAnsi="Arial" w:cs="Arial"/>
          <w:sz w:val="24"/>
          <w:szCs w:val="24"/>
        </w:rPr>
      </w:pPr>
      <w:r>
        <w:rPr>
          <w:noProof/>
          <w:lang w:val="en-US"/>
        </w:rPr>
        <w:drawing>
          <wp:anchor distT="0" distB="0" distL="114300" distR="114300" simplePos="0" relativeHeight="253849598" behindDoc="1" locked="0" layoutInCell="1" allowOverlap="1" wp14:anchorId="079546AA" wp14:editId="7999B9B2">
            <wp:simplePos x="0" y="0"/>
            <wp:positionH relativeFrom="margin">
              <wp:align>center</wp:align>
            </wp:positionH>
            <wp:positionV relativeFrom="paragraph">
              <wp:posOffset>90805</wp:posOffset>
            </wp:positionV>
            <wp:extent cx="528955" cy="520700"/>
            <wp:effectExtent l="0" t="0" r="4445" b="0"/>
            <wp:wrapTight wrapText="bothSides">
              <wp:wrapPolygon edited="0">
                <wp:start x="18670" y="527"/>
                <wp:lineTo x="7261" y="2107"/>
                <wp:lineTo x="0" y="5268"/>
                <wp:lineTo x="0" y="12644"/>
                <wp:lineTo x="2074" y="18439"/>
                <wp:lineTo x="6223" y="21073"/>
                <wp:lineTo x="11928" y="21073"/>
                <wp:lineTo x="16595" y="18439"/>
                <wp:lineTo x="19188" y="12644"/>
                <wp:lineTo x="18670" y="10010"/>
                <wp:lineTo x="21263" y="4215"/>
                <wp:lineTo x="21263" y="527"/>
                <wp:lineTo x="18670" y="527"/>
              </wp:wrapPolygon>
            </wp:wrapTight>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453A14" w14:textId="7138C074" w:rsidR="00C35FB6" w:rsidRDefault="00175264"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47550" behindDoc="0" locked="0" layoutInCell="1" allowOverlap="1" wp14:anchorId="6ECF0102" wp14:editId="6E8D9D14">
                <wp:simplePos x="0" y="0"/>
                <wp:positionH relativeFrom="margin">
                  <wp:posOffset>114300</wp:posOffset>
                </wp:positionH>
                <wp:positionV relativeFrom="paragraph">
                  <wp:posOffset>305435</wp:posOffset>
                </wp:positionV>
                <wp:extent cx="6426200" cy="1355758"/>
                <wp:effectExtent l="12700" t="12700" r="12700" b="15875"/>
                <wp:wrapNone/>
                <wp:docPr id="2130" name="Rounded Rectangle 2130"/>
                <wp:cNvGraphicFramePr/>
                <a:graphic xmlns:a="http://schemas.openxmlformats.org/drawingml/2006/main">
                  <a:graphicData uri="http://schemas.microsoft.com/office/word/2010/wordprocessingShape">
                    <wps:wsp>
                      <wps:cNvSpPr/>
                      <wps:spPr>
                        <a:xfrm>
                          <a:off x="0" y="0"/>
                          <a:ext cx="6426200" cy="1355758"/>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9D659"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CF0102" id="Rounded Rectangle 2130" o:spid="_x0000_s1514" style="position:absolute;left:0;text-align:left;margin-left:9pt;margin-top:24.05pt;width:506pt;height:106.75pt;z-index:25384755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" filled="f" strokecolor="#16988a" strokeweight="1.5pt">
                <v:stroke joinstyle="miter"/>
                <v:textbox>
                  <w:txbxContent>
                    <w:p w14:paraId="7949D659" w14:textId="77777777" w:rsidR="00D15FD8" w:rsidRPr="00BD6508" w:rsidRDefault="00D15FD8" w:rsidP="00BD6508">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3848574" behindDoc="0" locked="0" layoutInCell="1" allowOverlap="1" wp14:anchorId="77FFCA55" wp14:editId="43C67C68">
                <wp:simplePos x="0" y="0"/>
                <wp:positionH relativeFrom="margin">
                  <wp:posOffset>0</wp:posOffset>
                </wp:positionH>
                <wp:positionV relativeFrom="paragraph">
                  <wp:posOffset>127635</wp:posOffset>
                </wp:positionV>
                <wp:extent cx="6426200" cy="1384300"/>
                <wp:effectExtent l="0" t="0" r="0" b="0"/>
                <wp:wrapNone/>
                <wp:docPr id="2131" name="Rounded Rectangle 2131"/>
                <wp:cNvGraphicFramePr/>
                <a:graphic xmlns:a="http://schemas.openxmlformats.org/drawingml/2006/main">
                  <a:graphicData uri="http://schemas.microsoft.com/office/word/2010/wordprocessingShape">
                    <wps:wsp>
                      <wps:cNvSpPr/>
                      <wps:spPr>
                        <a:xfrm>
                          <a:off x="0" y="0"/>
                          <a:ext cx="6426200" cy="138430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375712"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FFCA55" id="Rounded Rectangle 2131" o:spid="_x0000_s1515" style="position:absolute;left:0;text-align:left;margin-left:0;margin-top:10.05pt;width:506pt;height:109pt;z-index:25384857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" fillcolor="#e2efd9 [665]" stroked="f" strokeweight="1pt">
                <v:stroke joinstyle="miter"/>
                <v:textbox>
                  <w:txbxContent>
                    <w:p w14:paraId="42375712" w14:textId="77777777" w:rsidR="00D15FD8" w:rsidRPr="00BD6508" w:rsidRDefault="00D15FD8" w:rsidP="00BD6508">
                      <w:pPr>
                        <w:jc w:val="center"/>
                        <w:rPr>
                          <w:lang w:val="en-US"/>
                        </w:rPr>
                      </w:pPr>
                    </w:p>
                  </w:txbxContent>
                </v:textbox>
                <w10:wrap anchorx="margin"/>
              </v:roundrect>
            </w:pict>
          </mc:Fallback>
        </mc:AlternateContent>
      </w:r>
    </w:p>
    <w:p w14:paraId="5B4BE46D" w14:textId="293C0858" w:rsidR="00C35FB6" w:rsidRDefault="00175264"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50622" behindDoc="0" locked="0" layoutInCell="1" allowOverlap="1" wp14:anchorId="048FC977" wp14:editId="309F89DC">
                <wp:simplePos x="0" y="0"/>
                <wp:positionH relativeFrom="margin">
                  <wp:posOffset>114300</wp:posOffset>
                </wp:positionH>
                <wp:positionV relativeFrom="paragraph">
                  <wp:posOffset>179705</wp:posOffset>
                </wp:positionV>
                <wp:extent cx="6121400" cy="1130300"/>
                <wp:effectExtent l="0" t="0" r="0" b="0"/>
                <wp:wrapNone/>
                <wp:docPr id="2132" name="Text Box 2132"/>
                <wp:cNvGraphicFramePr/>
                <a:graphic xmlns:a="http://schemas.openxmlformats.org/drawingml/2006/main">
                  <a:graphicData uri="http://schemas.microsoft.com/office/word/2010/wordprocessingShape">
                    <wps:wsp>
                      <wps:cNvSpPr txBox="1"/>
                      <wps:spPr>
                        <a:xfrm>
                          <a:off x="0" y="0"/>
                          <a:ext cx="6121400" cy="1130300"/>
                        </a:xfrm>
                        <a:prstGeom prst="rect">
                          <a:avLst/>
                        </a:prstGeom>
                        <a:noFill/>
                        <a:ln w="6350">
                          <a:noFill/>
                        </a:ln>
                      </wps:spPr>
                      <wps:txbx>
                        <w:txbxContent>
                          <w:p w14:paraId="7D6BC61C" w14:textId="17C5C27C" w:rsidR="00D15FD8" w:rsidRDefault="00D15FD8" w:rsidP="00BD6508">
                            <w:pPr>
                              <w:spacing w:line="276" w:lineRule="auto"/>
                              <w:jc w:val="both"/>
                            </w:pPr>
                            <w:r w:rsidRPr="00175264">
                              <w:rPr>
                                <w:rFonts w:ascii="Arial" w:hAnsi="Arial" w:cs="Arial"/>
                                <w:sz w:val="24"/>
                                <w:szCs w:val="24"/>
                              </w:rPr>
                              <w:t>To substantially improve the quality of presentation in websites, some technical solutions are effective. These include interactive data visualization options, graphical user interfaces, feedback mechanisms, advanced search/reporting options, innovative tools (searchable interactive maps), broadened access to data through mobile applications, and the provision of daily updates on key performance indicators.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8FC977" id="Text Box 2132" o:spid="_x0000_s1516" type="#_x0000_t202" style="position:absolute;left:0;text-align:left;margin-left:9pt;margin-top:14.15pt;width:482pt;height:89pt;z-index:25385062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" filled="f" stroked="f" strokeweight=".5pt">
                <v:textbox>
                  <w:txbxContent>
                    <w:p w14:paraId="7D6BC61C" w14:textId="17C5C27C" w:rsidR="00D15FD8" w:rsidRDefault="00D15FD8" w:rsidP="00BD6508">
                      <w:pPr>
                        <w:spacing w:line="276" w:lineRule="auto"/>
                        <w:jc w:val="both"/>
                      </w:pPr>
                      <w:r w:rsidRPr="00175264">
                        <w:rPr>
                          <w:rFonts w:ascii="Arial" w:hAnsi="Arial" w:cs="Arial"/>
                          <w:sz w:val="24"/>
                          <w:szCs w:val="24"/>
                        </w:rPr>
                        <w:t>To substantially improve the quality of presentation in websites, some technical solutions are effective. These include interactive data visualization options, graphical user interfaces, feedback mechanisms, advanced search/reporting options, innovative tools (searchable interactive maps), broadened access to data through mobile applications, and the provision of daily updates on key performance indicators.</w:t>
                      </w:r>
                    </w:p>
                  </w:txbxContent>
                </v:textbox>
                <w10:wrap anchorx="margin"/>
              </v:shape>
            </w:pict>
          </mc:Fallback>
        </mc:AlternateContent>
      </w:r>
    </w:p>
    <w:p w14:paraId="2336FB27" w14:textId="6DC1CB96" w:rsidR="00C35FB6" w:rsidRDefault="00C35FB6" w:rsidP="0012666E">
      <w:pPr>
        <w:spacing w:line="276" w:lineRule="auto"/>
        <w:contextualSpacing/>
        <w:jc w:val="both"/>
        <w:rPr>
          <w:rFonts w:ascii="Arial" w:hAnsi="Arial" w:cs="Arial"/>
          <w:sz w:val="24"/>
          <w:szCs w:val="24"/>
        </w:rPr>
      </w:pPr>
    </w:p>
    <w:p w14:paraId="3EAC29CF" w14:textId="5A8FF5FC" w:rsidR="00C35FB6" w:rsidRDefault="00C35FB6" w:rsidP="0012666E">
      <w:pPr>
        <w:spacing w:line="276" w:lineRule="auto"/>
        <w:contextualSpacing/>
        <w:jc w:val="both"/>
        <w:rPr>
          <w:rFonts w:ascii="Arial" w:hAnsi="Arial" w:cs="Arial"/>
          <w:sz w:val="24"/>
          <w:szCs w:val="24"/>
        </w:rPr>
      </w:pPr>
    </w:p>
    <w:p w14:paraId="5FDCB77C" w14:textId="31780250" w:rsidR="00C35FB6" w:rsidRDefault="00C35FB6" w:rsidP="0012666E">
      <w:pPr>
        <w:spacing w:line="276" w:lineRule="auto"/>
        <w:contextualSpacing/>
        <w:jc w:val="both"/>
        <w:rPr>
          <w:rFonts w:ascii="Arial" w:hAnsi="Arial" w:cs="Arial"/>
          <w:sz w:val="24"/>
          <w:szCs w:val="24"/>
        </w:rPr>
      </w:pPr>
    </w:p>
    <w:p w14:paraId="63FD90F9" w14:textId="11AF9F77" w:rsidR="00C35FB6" w:rsidRDefault="00C35FB6" w:rsidP="0012666E">
      <w:pPr>
        <w:spacing w:line="276" w:lineRule="auto"/>
        <w:contextualSpacing/>
        <w:jc w:val="both"/>
        <w:rPr>
          <w:rFonts w:ascii="Arial" w:hAnsi="Arial" w:cs="Arial"/>
          <w:sz w:val="24"/>
          <w:szCs w:val="24"/>
        </w:rPr>
      </w:pPr>
    </w:p>
    <w:p w14:paraId="19854723" w14:textId="2906D851" w:rsidR="00C35FB6" w:rsidRDefault="00C35FB6" w:rsidP="0012666E">
      <w:pPr>
        <w:spacing w:line="276" w:lineRule="auto"/>
        <w:contextualSpacing/>
        <w:jc w:val="both"/>
        <w:rPr>
          <w:rFonts w:ascii="Arial" w:hAnsi="Arial" w:cs="Arial"/>
          <w:sz w:val="24"/>
          <w:szCs w:val="24"/>
        </w:rPr>
      </w:pPr>
    </w:p>
    <w:p w14:paraId="06A563A9" w14:textId="4E6DC4A3" w:rsidR="00C35FB6" w:rsidRDefault="00C35FB6" w:rsidP="0012666E">
      <w:pPr>
        <w:spacing w:line="276" w:lineRule="auto"/>
        <w:contextualSpacing/>
        <w:jc w:val="both"/>
        <w:rPr>
          <w:rFonts w:ascii="Arial" w:hAnsi="Arial" w:cs="Arial"/>
          <w:sz w:val="24"/>
          <w:szCs w:val="24"/>
        </w:rPr>
      </w:pPr>
    </w:p>
    <w:p w14:paraId="641D82D8" w14:textId="30FA7A69" w:rsidR="00C35FB6" w:rsidRDefault="00175264" w:rsidP="0012666E">
      <w:pPr>
        <w:spacing w:line="276" w:lineRule="auto"/>
        <w:contextualSpacing/>
        <w:jc w:val="both"/>
        <w:rPr>
          <w:rFonts w:ascii="Arial" w:hAnsi="Arial" w:cs="Arial"/>
          <w:sz w:val="24"/>
          <w:szCs w:val="24"/>
        </w:rPr>
      </w:pPr>
      <w:r>
        <w:rPr>
          <w:noProof/>
          <w:lang w:val="en-US"/>
        </w:rPr>
        <w:drawing>
          <wp:anchor distT="0" distB="0" distL="114300" distR="114300" simplePos="0" relativeHeight="253854718" behindDoc="1" locked="0" layoutInCell="1" allowOverlap="1" wp14:anchorId="28BE4141" wp14:editId="73787BDC">
            <wp:simplePos x="0" y="0"/>
            <wp:positionH relativeFrom="margin">
              <wp:posOffset>3056255</wp:posOffset>
            </wp:positionH>
            <wp:positionV relativeFrom="paragraph">
              <wp:posOffset>188595</wp:posOffset>
            </wp:positionV>
            <wp:extent cx="528955" cy="520700"/>
            <wp:effectExtent l="0" t="0" r="4445" b="0"/>
            <wp:wrapTight wrapText="bothSides">
              <wp:wrapPolygon edited="0">
                <wp:start x="18670" y="527"/>
                <wp:lineTo x="7261" y="2107"/>
                <wp:lineTo x="0" y="5268"/>
                <wp:lineTo x="0" y="12644"/>
                <wp:lineTo x="2074" y="18439"/>
                <wp:lineTo x="6223" y="21073"/>
                <wp:lineTo x="11928" y="21073"/>
                <wp:lineTo x="16595" y="18439"/>
                <wp:lineTo x="19188" y="12644"/>
                <wp:lineTo x="18670" y="10010"/>
                <wp:lineTo x="21263" y="4215"/>
                <wp:lineTo x="21263" y="527"/>
                <wp:lineTo x="18670" y="527"/>
              </wp:wrapPolygon>
            </wp:wrapTight>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E0857F" w14:textId="4FEF6B8C" w:rsidR="00C35FB6" w:rsidRDefault="00C35FB6" w:rsidP="0012666E">
      <w:pPr>
        <w:spacing w:line="276" w:lineRule="auto"/>
        <w:contextualSpacing/>
        <w:jc w:val="both"/>
        <w:rPr>
          <w:rFonts w:ascii="Arial" w:hAnsi="Arial" w:cs="Arial"/>
          <w:sz w:val="24"/>
          <w:szCs w:val="24"/>
        </w:rPr>
      </w:pPr>
    </w:p>
    <w:p w14:paraId="68E704FD" w14:textId="0A505148" w:rsidR="00175264" w:rsidRDefault="00175264"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53694" behindDoc="0" locked="0" layoutInCell="1" allowOverlap="1" wp14:anchorId="1EB6198B" wp14:editId="703496F0">
                <wp:simplePos x="0" y="0"/>
                <wp:positionH relativeFrom="margin">
                  <wp:posOffset>0</wp:posOffset>
                </wp:positionH>
                <wp:positionV relativeFrom="paragraph">
                  <wp:posOffset>29845</wp:posOffset>
                </wp:positionV>
                <wp:extent cx="6426200" cy="1219200"/>
                <wp:effectExtent l="0" t="0" r="0" b="0"/>
                <wp:wrapNone/>
                <wp:docPr id="2135" name="Rounded Rectangle 2135"/>
                <wp:cNvGraphicFramePr/>
                <a:graphic xmlns:a="http://schemas.openxmlformats.org/drawingml/2006/main">
                  <a:graphicData uri="http://schemas.microsoft.com/office/word/2010/wordprocessingShape">
                    <wps:wsp>
                      <wps:cNvSpPr/>
                      <wps:spPr>
                        <a:xfrm>
                          <a:off x="0" y="0"/>
                          <a:ext cx="6426200" cy="121920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9D2ACD"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B6198B" id="Rounded Rectangle 2135" o:spid="_x0000_s1517" style="position:absolute;left:0;text-align:left;margin-left:0;margin-top:2.35pt;width:506pt;height:96pt;z-index:25385369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" fillcolor="#e2efd9 [665]" stroked="f" strokeweight="1pt">
                <v:stroke joinstyle="miter"/>
                <v:textbox>
                  <w:txbxContent>
                    <w:p w14:paraId="479D2ACD" w14:textId="77777777" w:rsidR="00D15FD8" w:rsidRPr="00BD6508" w:rsidRDefault="00D15FD8" w:rsidP="00BD6508">
                      <w:pPr>
                        <w:jc w:val="center"/>
                        <w:rPr>
                          <w:lang w:val="en-US"/>
                        </w:rPr>
                      </w:pPr>
                    </w:p>
                  </w:txbxContent>
                </v:textbox>
                <w10:wrap anchorx="margin"/>
              </v:roundrect>
            </w:pict>
          </mc:Fallback>
        </mc:AlternateContent>
      </w:r>
    </w:p>
    <w:p w14:paraId="714F1F77" w14:textId="2EFDBE90" w:rsidR="00175264" w:rsidRDefault="00175264" w:rsidP="0012666E">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52670" behindDoc="0" locked="0" layoutInCell="1" allowOverlap="1" wp14:anchorId="22C39A35" wp14:editId="406EBB7D">
                <wp:simplePos x="0" y="0"/>
                <wp:positionH relativeFrom="margin">
                  <wp:posOffset>114300</wp:posOffset>
                </wp:positionH>
                <wp:positionV relativeFrom="paragraph">
                  <wp:posOffset>18416</wp:posOffset>
                </wp:positionV>
                <wp:extent cx="6426200" cy="1181100"/>
                <wp:effectExtent l="12700" t="12700" r="12700" b="12700"/>
                <wp:wrapNone/>
                <wp:docPr id="2134" name="Rounded Rectangle 2134"/>
                <wp:cNvGraphicFramePr/>
                <a:graphic xmlns:a="http://schemas.openxmlformats.org/drawingml/2006/main">
                  <a:graphicData uri="http://schemas.microsoft.com/office/word/2010/wordprocessingShape">
                    <wps:wsp>
                      <wps:cNvSpPr/>
                      <wps:spPr>
                        <a:xfrm>
                          <a:off x="0" y="0"/>
                          <a:ext cx="6426200" cy="118110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B5F67" w14:textId="77777777" w:rsidR="00D15FD8" w:rsidRPr="00BD6508" w:rsidRDefault="00D15FD8" w:rsidP="00BD650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C39A35" id="Rounded Rectangle 2134" o:spid="_x0000_s1518" style="position:absolute;left:0;text-align:left;margin-left:9pt;margin-top:1.45pt;width:506pt;height:93pt;z-index:25385267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" filled="f" strokecolor="#16988a" strokeweight="1.5pt">
                <v:stroke joinstyle="miter"/>
                <v:textbox>
                  <w:txbxContent>
                    <w:p w14:paraId="12DB5F67" w14:textId="77777777" w:rsidR="00D15FD8" w:rsidRPr="00BD6508" w:rsidRDefault="00D15FD8" w:rsidP="00BD6508">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3855742" behindDoc="0" locked="0" layoutInCell="1" allowOverlap="1" wp14:anchorId="3D748AD3" wp14:editId="71735984">
                <wp:simplePos x="0" y="0"/>
                <wp:positionH relativeFrom="margin">
                  <wp:posOffset>114300</wp:posOffset>
                </wp:positionH>
                <wp:positionV relativeFrom="paragraph">
                  <wp:posOffset>81915</wp:posOffset>
                </wp:positionV>
                <wp:extent cx="6121400" cy="889000"/>
                <wp:effectExtent l="0" t="0" r="0" b="0"/>
                <wp:wrapNone/>
                <wp:docPr id="2136" name="Text Box 2136"/>
                <wp:cNvGraphicFramePr/>
                <a:graphic xmlns:a="http://schemas.openxmlformats.org/drawingml/2006/main">
                  <a:graphicData uri="http://schemas.microsoft.com/office/word/2010/wordprocessingShape">
                    <wps:wsp>
                      <wps:cNvSpPr txBox="1"/>
                      <wps:spPr>
                        <a:xfrm>
                          <a:off x="0" y="0"/>
                          <a:ext cx="6121400" cy="889000"/>
                        </a:xfrm>
                        <a:prstGeom prst="rect">
                          <a:avLst/>
                        </a:prstGeom>
                        <a:noFill/>
                        <a:ln w="6350">
                          <a:noFill/>
                        </a:ln>
                      </wps:spPr>
                      <wps:txbx>
                        <w:txbxContent>
                          <w:p w14:paraId="0BABAF7F" w14:textId="6F9CD417" w:rsidR="00D15FD8" w:rsidRDefault="00D15FD8" w:rsidP="00BD6508">
                            <w:pPr>
                              <w:spacing w:line="276" w:lineRule="auto"/>
                              <w:jc w:val="both"/>
                            </w:pPr>
                            <w:r w:rsidRPr="00175264">
                              <w:rPr>
                                <w:rFonts w:ascii="Arial" w:hAnsi="Arial" w:cs="Arial"/>
                                <w:sz w:val="24"/>
                                <w:szCs w:val="24"/>
                              </w:rPr>
                              <w:t>Publishing meaningful open data on budget revenues, spending, and other financial activities is crucial for any government to explain how public money has been spent. Simultaneously, the effort and rigor to publish reliable information, generates positive effects on the FMIS.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748AD3" id="Text Box 2136" o:spid="_x0000_s1519" type="#_x0000_t202" style="position:absolute;left:0;text-align:left;margin-left:9pt;margin-top:6.45pt;width:482pt;height:70pt;z-index:25385574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" filled="f" stroked="f" strokeweight=".5pt">
                <v:textbox>
                  <w:txbxContent>
                    <w:p w14:paraId="0BABAF7F" w14:textId="6F9CD417" w:rsidR="00D15FD8" w:rsidRDefault="00D15FD8" w:rsidP="00BD6508">
                      <w:pPr>
                        <w:spacing w:line="276" w:lineRule="auto"/>
                        <w:jc w:val="both"/>
                      </w:pPr>
                      <w:r w:rsidRPr="00175264">
                        <w:rPr>
                          <w:rFonts w:ascii="Arial" w:hAnsi="Arial" w:cs="Arial"/>
                          <w:sz w:val="24"/>
                          <w:szCs w:val="24"/>
                        </w:rPr>
                        <w:t>Publishing meaningful open data on budget revenues, spending, and other financial activities is crucial for any government to explain how public money has been spent. Simultaneously, the effort and rigor to publish reliable information, generates positive effects on the FMIS.</w:t>
                      </w:r>
                    </w:p>
                  </w:txbxContent>
                </v:textbox>
                <w10:wrap anchorx="margin"/>
              </v:shape>
            </w:pict>
          </mc:Fallback>
        </mc:AlternateContent>
      </w:r>
    </w:p>
    <w:p w14:paraId="79DD17CE" w14:textId="31E73FF5" w:rsidR="00175264" w:rsidRDefault="00175264" w:rsidP="0012666E">
      <w:pPr>
        <w:spacing w:line="276" w:lineRule="auto"/>
        <w:contextualSpacing/>
        <w:jc w:val="both"/>
        <w:rPr>
          <w:rFonts w:ascii="Arial" w:hAnsi="Arial" w:cs="Arial"/>
          <w:sz w:val="24"/>
          <w:szCs w:val="24"/>
        </w:rPr>
      </w:pPr>
    </w:p>
    <w:p w14:paraId="0F8D793E" w14:textId="4170EDD4" w:rsidR="00175264" w:rsidRDefault="00175264" w:rsidP="0012666E">
      <w:pPr>
        <w:spacing w:line="276" w:lineRule="auto"/>
        <w:contextualSpacing/>
        <w:jc w:val="both"/>
        <w:rPr>
          <w:rFonts w:ascii="Arial" w:hAnsi="Arial" w:cs="Arial"/>
          <w:sz w:val="24"/>
          <w:szCs w:val="24"/>
        </w:rPr>
      </w:pPr>
    </w:p>
    <w:p w14:paraId="2460C199" w14:textId="20112533" w:rsidR="00175264" w:rsidRDefault="00175264" w:rsidP="0012666E">
      <w:pPr>
        <w:spacing w:line="276" w:lineRule="auto"/>
        <w:contextualSpacing/>
        <w:jc w:val="both"/>
        <w:rPr>
          <w:rFonts w:ascii="Arial" w:hAnsi="Arial" w:cs="Arial"/>
          <w:sz w:val="24"/>
          <w:szCs w:val="24"/>
        </w:rPr>
      </w:pPr>
    </w:p>
    <w:p w14:paraId="4CCCDD62" w14:textId="6A55D9DB" w:rsidR="00175264" w:rsidRDefault="00175264" w:rsidP="0012666E">
      <w:pPr>
        <w:spacing w:line="276" w:lineRule="auto"/>
        <w:contextualSpacing/>
        <w:jc w:val="both"/>
        <w:rPr>
          <w:rFonts w:ascii="Arial" w:hAnsi="Arial" w:cs="Arial"/>
          <w:sz w:val="24"/>
          <w:szCs w:val="24"/>
        </w:rPr>
      </w:pPr>
    </w:p>
    <w:p w14:paraId="7A939DEB" w14:textId="11F4DC22" w:rsidR="00175264" w:rsidRDefault="00175264" w:rsidP="0012666E">
      <w:pPr>
        <w:spacing w:line="276" w:lineRule="auto"/>
        <w:contextualSpacing/>
        <w:jc w:val="both"/>
        <w:rPr>
          <w:rFonts w:ascii="Arial" w:hAnsi="Arial" w:cs="Arial"/>
          <w:sz w:val="24"/>
          <w:szCs w:val="24"/>
        </w:rPr>
      </w:pPr>
    </w:p>
    <w:p w14:paraId="047CEE71" w14:textId="77777777" w:rsidR="0031171E" w:rsidRDefault="0031171E" w:rsidP="00BD6508">
      <w:pPr>
        <w:spacing w:line="276" w:lineRule="auto"/>
        <w:contextualSpacing/>
        <w:jc w:val="both"/>
        <w:rPr>
          <w:rFonts w:ascii="Arial" w:hAnsi="Arial" w:cs="Arial"/>
          <w:sz w:val="24"/>
          <w:szCs w:val="24"/>
        </w:rPr>
      </w:pPr>
    </w:p>
    <w:p w14:paraId="51C2574A" w14:textId="398D8039" w:rsidR="0012666E" w:rsidRPr="00BD6508" w:rsidRDefault="0012666E" w:rsidP="00BD6508">
      <w:pPr>
        <w:spacing w:line="276" w:lineRule="auto"/>
        <w:contextualSpacing/>
        <w:jc w:val="both"/>
        <w:rPr>
          <w:rFonts w:ascii="Arial" w:hAnsi="Arial" w:cs="Arial"/>
          <w:sz w:val="24"/>
          <w:szCs w:val="24"/>
        </w:rPr>
      </w:pPr>
      <w:r w:rsidRPr="00BD6508">
        <w:rPr>
          <w:rFonts w:ascii="Arial" w:hAnsi="Arial" w:cs="Arial"/>
          <w:sz w:val="24"/>
          <w:szCs w:val="24"/>
        </w:rPr>
        <w:t xml:space="preserve">Importantly, the researchers sought to draw government’s attention to possible improvements in the accuracy, timeliness, and reliability of budget reporting, simply by publishing on their websites budget data that are drawn from underlying FMIS platforms. They also found that, even in difficult settings, innovative solutions to publish budget data and improve budget transparency can be developed rapidly, with a modest investment, if there is commitment from the government and strong interest from the public.  </w:t>
      </w:r>
    </w:p>
    <w:p w14:paraId="279B9637" w14:textId="130F9B2B" w:rsidR="0012666E" w:rsidRPr="00BD6508" w:rsidRDefault="0012666E" w:rsidP="00BD6508">
      <w:pPr>
        <w:spacing w:line="276" w:lineRule="auto"/>
        <w:contextualSpacing/>
        <w:jc w:val="both"/>
        <w:rPr>
          <w:rFonts w:ascii="Arial" w:hAnsi="Arial" w:cs="Arial"/>
          <w:sz w:val="24"/>
          <w:szCs w:val="24"/>
        </w:rPr>
      </w:pPr>
    </w:p>
    <w:p w14:paraId="16DE77C7" w14:textId="127D341D" w:rsidR="0012666E" w:rsidRDefault="0012666E" w:rsidP="00BD6508">
      <w:pPr>
        <w:spacing w:line="276" w:lineRule="auto"/>
        <w:contextualSpacing/>
        <w:jc w:val="both"/>
        <w:rPr>
          <w:rFonts w:ascii="Arial" w:hAnsi="Arial" w:cs="Arial"/>
          <w:sz w:val="24"/>
          <w:szCs w:val="24"/>
          <w:lang w:val="en-ZA"/>
        </w:rPr>
      </w:pPr>
      <w:r w:rsidRPr="00BD6508">
        <w:rPr>
          <w:rFonts w:ascii="Arial" w:hAnsi="Arial" w:cs="Arial"/>
          <w:sz w:val="24"/>
          <w:szCs w:val="24"/>
          <w:lang w:val="en-ZA"/>
        </w:rPr>
        <w:t>All of these conclusions are still relevant, having been taken into consideration by several countries when developing systems. In addition, since the publication of this study, numerous standards, manuals and guidelines have been published making the adoption of these considerations more accessible. In recent practice, it has also been observed that the demand for open data and transparency from non-governmental sectors, as well as the government's need for information to take evidence-based decisions, including that based on more accurate forecasts, has had a profound impact in the push for improved, more flexible and interoperable FMISs.</w:t>
      </w:r>
    </w:p>
    <w:p w14:paraId="6844F03C" w14:textId="1990AFDB" w:rsidR="00A37A8A" w:rsidRDefault="00A37A8A" w:rsidP="00BD6508">
      <w:pPr>
        <w:spacing w:line="276" w:lineRule="auto"/>
        <w:contextualSpacing/>
        <w:jc w:val="both"/>
        <w:rPr>
          <w:rFonts w:ascii="Arial" w:hAnsi="Arial" w:cs="Arial"/>
          <w:sz w:val="24"/>
          <w:szCs w:val="24"/>
          <w:lang w:val="en-ZA"/>
        </w:rPr>
      </w:pPr>
    </w:p>
    <w:p w14:paraId="5EB724C5" w14:textId="468FFEC6" w:rsidR="00A37A8A" w:rsidRDefault="00A37A8A" w:rsidP="00BD6508">
      <w:pPr>
        <w:spacing w:line="276" w:lineRule="auto"/>
        <w:contextualSpacing/>
        <w:jc w:val="both"/>
        <w:rPr>
          <w:rFonts w:ascii="Arial" w:hAnsi="Arial" w:cs="Arial"/>
          <w:sz w:val="24"/>
          <w:szCs w:val="24"/>
          <w:lang w:val="en-ZA"/>
        </w:rPr>
      </w:pPr>
    </w:p>
    <w:p w14:paraId="611DFABD" w14:textId="6139C7E5" w:rsidR="00632DF3" w:rsidRDefault="00632DF3" w:rsidP="00632DF3">
      <w:pPr>
        <w:spacing w:line="276" w:lineRule="auto"/>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3857790" behindDoc="1" locked="0" layoutInCell="1" allowOverlap="1" wp14:anchorId="24C479BE" wp14:editId="57FE241B">
                <wp:simplePos x="0" y="0"/>
                <wp:positionH relativeFrom="column">
                  <wp:posOffset>-25400</wp:posOffset>
                </wp:positionH>
                <wp:positionV relativeFrom="paragraph">
                  <wp:posOffset>233045</wp:posOffset>
                </wp:positionV>
                <wp:extent cx="6692900" cy="596900"/>
                <wp:effectExtent l="12700" t="12700" r="12700" b="12700"/>
                <wp:wrapNone/>
                <wp:docPr id="2138" name="Rounded Rectangle 2138"/>
                <wp:cNvGraphicFramePr/>
                <a:graphic xmlns:a="http://schemas.openxmlformats.org/drawingml/2006/main">
                  <a:graphicData uri="http://schemas.microsoft.com/office/word/2010/wordprocessingShape">
                    <wps:wsp>
                      <wps:cNvSpPr/>
                      <wps:spPr>
                        <a:xfrm>
                          <a:off x="0" y="0"/>
                          <a:ext cx="66929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2235B2E" id="Rounded Rectangle 2138" o:spid="_x0000_s1026" style="position:absolute;margin-left:-2pt;margin-top:18.35pt;width:527pt;height:47pt;z-index:-2494586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" filled="f" strokecolor="#82c9a0" strokeweight="2.25pt">
                <v:stroke joinstyle="miter"/>
              </v:roundrect>
            </w:pict>
          </mc:Fallback>
        </mc:AlternateContent>
      </w:r>
      <w:r>
        <w:rPr>
          <w:rFonts w:ascii="Arial" w:hAnsi="Arial" w:cs="Arial"/>
          <w:noProof/>
          <w:sz w:val="24"/>
          <w:szCs w:val="24"/>
          <w:lang w:val="en-US"/>
        </w:rPr>
        <w:drawing>
          <wp:anchor distT="0" distB="0" distL="114300" distR="114300" simplePos="0" relativeHeight="253858814" behindDoc="1" locked="0" layoutInCell="1" allowOverlap="1" wp14:anchorId="48BC1718" wp14:editId="6789D4BD">
            <wp:simplePos x="0" y="0"/>
            <wp:positionH relativeFrom="column">
              <wp:posOffset>107950</wp:posOffset>
            </wp:positionH>
            <wp:positionV relativeFrom="paragraph">
              <wp:posOffset>358775</wp:posOffset>
            </wp:positionV>
            <wp:extent cx="359410" cy="359410"/>
            <wp:effectExtent l="0" t="0" r="0" b="0"/>
            <wp:wrapTight wrapText="bothSides">
              <wp:wrapPolygon edited="0">
                <wp:start x="6106" y="0"/>
                <wp:lineTo x="0" y="3053"/>
                <wp:lineTo x="0" y="18318"/>
                <wp:lineTo x="6106" y="20608"/>
                <wp:lineTo x="13739" y="20608"/>
                <wp:lineTo x="20608" y="17555"/>
                <wp:lineTo x="20608" y="3053"/>
                <wp:lineTo x="13739" y="0"/>
                <wp:lineTo x="6106" y="0"/>
              </wp:wrapPolygon>
            </wp:wrapTight>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Picture 2031"/>
                    <pic:cNvPicPr/>
                  </pic:nvPicPr>
                  <pic:blipFill rotWithShape="1">
                    <a:blip r:embed="rId840" cstate="email">
                      <a:extLst>
                        <a:ext uri="{28A0092B-C50C-407E-A947-70E740481C1C}">
                          <a14:useLocalDpi xmlns:a14="http://schemas.microsoft.com/office/drawing/2010/main"/>
                        </a:ext>
                      </a:extLst>
                    </a:blip>
                    <a:srcRect/>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0E5A71" w14:textId="00B67390" w:rsidR="00632DF3" w:rsidRPr="00632DF3" w:rsidRDefault="0031171E" w:rsidP="00BD6508">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59838" behindDoc="0" locked="0" layoutInCell="1" allowOverlap="1" wp14:anchorId="02579CA2" wp14:editId="207AD185">
                <wp:simplePos x="0" y="0"/>
                <wp:positionH relativeFrom="column">
                  <wp:posOffset>482600</wp:posOffset>
                </wp:positionH>
                <wp:positionV relativeFrom="paragraph">
                  <wp:posOffset>133350</wp:posOffset>
                </wp:positionV>
                <wp:extent cx="6121400" cy="469900"/>
                <wp:effectExtent l="0" t="0" r="0" b="0"/>
                <wp:wrapNone/>
                <wp:docPr id="2139" name="Text Box 2139"/>
                <wp:cNvGraphicFramePr/>
                <a:graphic xmlns:a="http://schemas.openxmlformats.org/drawingml/2006/main">
                  <a:graphicData uri="http://schemas.microsoft.com/office/word/2010/wordprocessingShape">
                    <wps:wsp>
                      <wps:cNvSpPr txBox="1"/>
                      <wps:spPr>
                        <a:xfrm>
                          <a:off x="0" y="0"/>
                          <a:ext cx="6121400" cy="469900"/>
                        </a:xfrm>
                        <a:prstGeom prst="rect">
                          <a:avLst/>
                        </a:prstGeom>
                        <a:noFill/>
                        <a:ln w="6350">
                          <a:noFill/>
                        </a:ln>
                      </wps:spPr>
                      <wps:txbx>
                        <w:txbxContent>
                          <w:p w14:paraId="7D2E486C" w14:textId="66B6E246" w:rsidR="00D15FD8" w:rsidRPr="0031171E" w:rsidRDefault="00D15FD8" w:rsidP="00BD6508">
                            <w:pPr>
                              <w:pStyle w:val="Heading2"/>
                              <w:numPr>
                                <w:ilvl w:val="1"/>
                                <w:numId w:val="115"/>
                              </w:numPr>
                              <w:ind w:left="426"/>
                              <w:rPr>
                                <w:rFonts w:ascii="Arial" w:hAnsi="Arial" w:cs="Arial"/>
                                <w:b/>
                                <w:bCs/>
                                <w:color w:val="F26D24"/>
                                <w:sz w:val="36"/>
                                <w:szCs w:val="36"/>
                              </w:rPr>
                            </w:pPr>
                            <w:bookmarkStart w:id="2107" w:name="_Toc123204536"/>
                            <w:bookmarkStart w:id="2108" w:name="_Toc123216648"/>
                            <w:bookmarkStart w:id="2109" w:name="_Toc123217488"/>
                            <w:bookmarkStart w:id="2110" w:name="_Toc123828234"/>
                            <w:bookmarkStart w:id="2111" w:name="_Toc123828444"/>
                            <w:bookmarkStart w:id="2112" w:name="_Toc123828640"/>
                            <w:bookmarkStart w:id="2113" w:name="_Toc123912667"/>
                            <w:bookmarkStart w:id="2114" w:name="_Toc123912926"/>
                            <w:bookmarkStart w:id="2115" w:name="_Toc123913153"/>
                            <w:bookmarkStart w:id="2116" w:name="_Toc123913444"/>
                            <w:bookmarkStart w:id="2117" w:name="_Toc123914101"/>
                            <w:bookmarkStart w:id="2118" w:name="_Toc125566716"/>
                            <w:r w:rsidRPr="0031171E">
                              <w:rPr>
                                <w:rFonts w:ascii="Arial" w:hAnsi="Arial" w:cs="Arial"/>
                                <w:b/>
                                <w:bCs/>
                                <w:color w:val="F26D24"/>
                                <w:sz w:val="36"/>
                                <w:szCs w:val="36"/>
                              </w:rPr>
                              <w:t>Challenges and lessons from implementation</w:t>
                            </w:r>
                            <w:bookmarkEnd w:id="2107"/>
                            <w:bookmarkEnd w:id="2108"/>
                            <w:bookmarkEnd w:id="2109"/>
                            <w:bookmarkEnd w:id="2110"/>
                            <w:bookmarkEnd w:id="2111"/>
                            <w:bookmarkEnd w:id="2112"/>
                            <w:bookmarkEnd w:id="2113"/>
                            <w:bookmarkEnd w:id="2114"/>
                            <w:bookmarkEnd w:id="2115"/>
                            <w:bookmarkEnd w:id="2116"/>
                            <w:bookmarkEnd w:id="2117"/>
                            <w:bookmarkEnd w:id="2118"/>
                          </w:p>
                          <w:p w14:paraId="739D3F75" w14:textId="77777777" w:rsidR="00D15FD8" w:rsidRPr="0031171E" w:rsidRDefault="00D15FD8" w:rsidP="00BD6508">
                            <w:pPr>
                              <w:pStyle w:val="Heading2"/>
                              <w:rPr>
                                <w:rFonts w:ascii="Arial" w:hAnsi="Arial" w:cs="Arial"/>
                                <w:b/>
                                <w:bCs/>
                                <w:color w:val="F26D24"/>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79CA2" id="Text Box 2139" o:spid="_x0000_s1520" type="#_x0000_t202" style="position:absolute;margin-left:38pt;margin-top:10.5pt;width:482pt;height:37pt;z-index:253859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" filled="f" stroked="f" strokeweight=".5pt">
                <v:textbox>
                  <w:txbxContent>
                    <w:p w14:paraId="7D2E486C" w14:textId="66B6E246" w:rsidR="00D15FD8" w:rsidRPr="0031171E" w:rsidRDefault="00D15FD8" w:rsidP="00BD6508">
                      <w:pPr>
                        <w:pStyle w:val="Heading2"/>
                        <w:numPr>
                          <w:ilvl w:val="1"/>
                          <w:numId w:val="115"/>
                        </w:numPr>
                        <w:ind w:left="426"/>
                        <w:rPr>
                          <w:rFonts w:ascii="Arial" w:hAnsi="Arial" w:cs="Arial"/>
                          <w:b/>
                          <w:bCs/>
                          <w:color w:val="F26D24"/>
                          <w:sz w:val="36"/>
                          <w:szCs w:val="36"/>
                        </w:rPr>
                      </w:pPr>
                      <w:bookmarkStart w:id="2119" w:name="_Toc123204536"/>
                      <w:bookmarkStart w:id="2120" w:name="_Toc123216648"/>
                      <w:bookmarkStart w:id="2121" w:name="_Toc123217488"/>
                      <w:bookmarkStart w:id="2122" w:name="_Toc123828234"/>
                      <w:bookmarkStart w:id="2123" w:name="_Toc123828444"/>
                      <w:bookmarkStart w:id="2124" w:name="_Toc123828640"/>
                      <w:bookmarkStart w:id="2125" w:name="_Toc123912667"/>
                      <w:bookmarkStart w:id="2126" w:name="_Toc123912926"/>
                      <w:bookmarkStart w:id="2127" w:name="_Toc123913153"/>
                      <w:bookmarkStart w:id="2128" w:name="_Toc123913444"/>
                      <w:bookmarkStart w:id="2129" w:name="_Toc123914101"/>
                      <w:bookmarkStart w:id="2130" w:name="_Toc125566716"/>
                      <w:r w:rsidRPr="0031171E">
                        <w:rPr>
                          <w:rFonts w:ascii="Arial" w:hAnsi="Arial" w:cs="Arial"/>
                          <w:b/>
                          <w:bCs/>
                          <w:color w:val="F26D24"/>
                          <w:sz w:val="36"/>
                          <w:szCs w:val="36"/>
                        </w:rPr>
                        <w:t>Challenges and lessons from implementation</w:t>
                      </w:r>
                      <w:bookmarkEnd w:id="2119"/>
                      <w:bookmarkEnd w:id="2120"/>
                      <w:bookmarkEnd w:id="2121"/>
                      <w:bookmarkEnd w:id="2122"/>
                      <w:bookmarkEnd w:id="2123"/>
                      <w:bookmarkEnd w:id="2124"/>
                      <w:bookmarkEnd w:id="2125"/>
                      <w:bookmarkEnd w:id="2126"/>
                      <w:bookmarkEnd w:id="2127"/>
                      <w:bookmarkEnd w:id="2128"/>
                      <w:bookmarkEnd w:id="2129"/>
                      <w:bookmarkEnd w:id="2130"/>
                    </w:p>
                    <w:p w14:paraId="739D3F75" w14:textId="77777777" w:rsidR="00D15FD8" w:rsidRPr="0031171E" w:rsidRDefault="00D15FD8" w:rsidP="00BD6508">
                      <w:pPr>
                        <w:pStyle w:val="Heading2"/>
                        <w:rPr>
                          <w:rFonts w:ascii="Arial" w:hAnsi="Arial" w:cs="Arial"/>
                          <w:b/>
                          <w:bCs/>
                          <w:color w:val="F26D24"/>
                          <w:sz w:val="36"/>
                          <w:szCs w:val="36"/>
                        </w:rPr>
                      </w:pPr>
                    </w:p>
                  </w:txbxContent>
                </v:textbox>
              </v:shape>
            </w:pict>
          </mc:Fallback>
        </mc:AlternateContent>
      </w:r>
    </w:p>
    <w:p w14:paraId="4497710F" w14:textId="00D9143C" w:rsidR="00632DF3" w:rsidRPr="00632DF3" w:rsidRDefault="00632DF3" w:rsidP="00BD6508">
      <w:pPr>
        <w:rPr>
          <w:rFonts w:ascii="Arial" w:hAnsi="Arial" w:cs="Arial"/>
          <w:sz w:val="24"/>
          <w:szCs w:val="24"/>
        </w:rPr>
      </w:pPr>
    </w:p>
    <w:p w14:paraId="22E9F5B9" w14:textId="04848F55" w:rsidR="00632DF3" w:rsidRPr="00632DF3" w:rsidRDefault="00632DF3" w:rsidP="00BD6508">
      <w:pPr>
        <w:rPr>
          <w:rFonts w:ascii="Arial" w:hAnsi="Arial" w:cs="Arial"/>
          <w:sz w:val="24"/>
          <w:szCs w:val="24"/>
        </w:rPr>
      </w:pPr>
    </w:p>
    <w:p w14:paraId="6C7B55AE" w14:textId="5292D355" w:rsidR="00632DF3" w:rsidRPr="00632DF3" w:rsidRDefault="00632DF3" w:rsidP="00BD6508">
      <w:pPr>
        <w:rPr>
          <w:rFonts w:ascii="Arial" w:hAnsi="Arial" w:cs="Arial"/>
          <w:sz w:val="24"/>
          <w:szCs w:val="24"/>
        </w:rPr>
      </w:pPr>
    </w:p>
    <w:p w14:paraId="7463B517" w14:textId="12A07804" w:rsidR="00632DF3" w:rsidRDefault="00632DF3" w:rsidP="00632DF3">
      <w:pPr>
        <w:tabs>
          <w:tab w:val="left" w:pos="1100"/>
        </w:tabs>
        <w:rPr>
          <w:rFonts w:ascii="Arial" w:hAnsi="Arial" w:cs="Arial"/>
          <w:sz w:val="24"/>
          <w:szCs w:val="24"/>
        </w:rPr>
      </w:pPr>
    </w:p>
    <w:p w14:paraId="58CB1375" w14:textId="60582B7E" w:rsidR="00632DF3" w:rsidRPr="00BD6508" w:rsidRDefault="009030BA" w:rsidP="00BD6508">
      <w:pPr>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860862" behindDoc="0" locked="0" layoutInCell="1" allowOverlap="1" wp14:anchorId="3189675A" wp14:editId="6617F4DB">
            <wp:simplePos x="0" y="0"/>
            <wp:positionH relativeFrom="column">
              <wp:posOffset>0</wp:posOffset>
            </wp:positionH>
            <wp:positionV relativeFrom="paragraph">
              <wp:posOffset>4445</wp:posOffset>
            </wp:positionV>
            <wp:extent cx="1003300" cy="1718768"/>
            <wp:effectExtent l="0" t="0" r="0" b="0"/>
            <wp:wrapSquare wrapText="bothSides"/>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Picture 2141"/>
                    <pic:cNvPicPr/>
                  </pic:nvPicPr>
                  <pic:blipFill rotWithShape="1">
                    <a:blip r:embed="rId854" cstate="email">
                      <a:extLst>
                        <a:ext uri="{28A0092B-C50C-407E-A947-70E740481C1C}">
                          <a14:useLocalDpi xmlns:a14="http://schemas.microsoft.com/office/drawing/2010/main"/>
                        </a:ext>
                      </a:extLst>
                    </a:blip>
                    <a:srcRect/>
                    <a:stretch/>
                  </pic:blipFill>
                  <pic:spPr bwMode="auto">
                    <a:xfrm>
                      <a:off x="0" y="0"/>
                      <a:ext cx="1003300" cy="1718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2DF3" w:rsidRPr="00BD6508">
        <w:rPr>
          <w:rFonts w:ascii="Arial" w:hAnsi="Arial" w:cs="Arial"/>
          <w:sz w:val="24"/>
          <w:szCs w:val="24"/>
          <w:lang w:val="en-US"/>
        </w:rPr>
        <w:t>The FMIS can be a powerful tool for public financial management, including for fiscal transparency. Its implementation is however not a simple task, entailing the allocation of significant resources. In practice, while some countries have successfully implemented a FMIS, others have implemented systems that haven’t met expectations at significant costs, while others are still in the process of implementing systems. Several studies suggest that the performance of FMIS has been mixed, especially in developing countries and in some emerging markets</w:t>
      </w:r>
      <w:r w:rsidR="00632DF3" w:rsidRPr="00BD6508">
        <w:rPr>
          <w:rFonts w:ascii="Arial" w:hAnsi="Arial" w:cs="Arial"/>
          <w:sz w:val="24"/>
          <w:szCs w:val="24"/>
          <w:vertAlign w:val="superscript"/>
          <w:lang w:val="en-US"/>
        </w:rPr>
        <w:footnoteReference w:id="62"/>
      </w:r>
      <w:r w:rsidR="00632DF3" w:rsidRPr="00BD6508">
        <w:rPr>
          <w:rFonts w:ascii="Arial" w:hAnsi="Arial" w:cs="Arial"/>
          <w:sz w:val="24"/>
          <w:szCs w:val="24"/>
          <w:lang w:val="en-US"/>
        </w:rPr>
        <w:t>. Below a few common challenges faced by countries are discussed, followed by preconditions for the successful implementation of a FMIS.</w:t>
      </w:r>
    </w:p>
    <w:p w14:paraId="4DA0932B" w14:textId="0C2BDAFB" w:rsidR="00632DF3" w:rsidRPr="00BD6508" w:rsidRDefault="009030BA" w:rsidP="00BD6508">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61886" behindDoc="0" locked="0" layoutInCell="1" allowOverlap="1" wp14:anchorId="6DA9B03F" wp14:editId="7BE684E7">
                <wp:simplePos x="0" y="0"/>
                <wp:positionH relativeFrom="column">
                  <wp:posOffset>-25400</wp:posOffset>
                </wp:positionH>
                <wp:positionV relativeFrom="paragraph">
                  <wp:posOffset>222250</wp:posOffset>
                </wp:positionV>
                <wp:extent cx="1587500" cy="2070100"/>
                <wp:effectExtent l="0" t="0" r="0" b="0"/>
                <wp:wrapSquare wrapText="bothSides"/>
                <wp:docPr id="2142" name="Rounded Rectangle 2142"/>
                <wp:cNvGraphicFramePr/>
                <a:graphic xmlns:a="http://schemas.openxmlformats.org/drawingml/2006/main">
                  <a:graphicData uri="http://schemas.microsoft.com/office/word/2010/wordprocessingShape">
                    <wps:wsp>
                      <wps:cNvSpPr/>
                      <wps:spPr>
                        <a:xfrm>
                          <a:off x="0" y="0"/>
                          <a:ext cx="1587500" cy="2070100"/>
                        </a:xfrm>
                        <a:prstGeom prst="roundRect">
                          <a:avLst>
                            <a:gd name="adj" fmla="val 8579"/>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482071C" id="Rounded Rectangle 2142" o:spid="_x0000_s1026" style="position:absolute;margin-left:-2pt;margin-top:17.5pt;width:125pt;height:163pt;z-index:253861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" fillcolor="#82c9a0" stroked="f" strokeweight="1pt">
                <v:stroke joinstyle="miter"/>
                <w10:wrap type="square"/>
              </v:roundrect>
            </w:pict>
          </mc:Fallback>
        </mc:AlternateContent>
      </w:r>
    </w:p>
    <w:p w14:paraId="243ABB75" w14:textId="16175C5B" w:rsidR="00632DF3" w:rsidRPr="00BD6508" w:rsidRDefault="008A0A2E" w:rsidP="00BD6508">
      <w:pPr>
        <w:pStyle w:val="ListParagraph"/>
        <w:numPr>
          <w:ilvl w:val="0"/>
          <w:numId w:val="126"/>
        </w:numPr>
        <w:spacing w:line="276" w:lineRule="auto"/>
        <w:contextualSpacing/>
        <w:jc w:val="both"/>
        <w:rPr>
          <w:rFonts w:ascii="Arial" w:hAnsi="Arial" w:cs="Arial"/>
          <w:sz w:val="24"/>
          <w:szCs w:val="24"/>
        </w:rPr>
      </w:pPr>
      <w:r>
        <w:rPr>
          <w:noProof/>
          <w:lang w:val="en-US"/>
        </w:rPr>
        <w:drawing>
          <wp:anchor distT="0" distB="0" distL="114300" distR="114300" simplePos="0" relativeHeight="253865982" behindDoc="1" locked="0" layoutInCell="1" allowOverlap="1" wp14:anchorId="6BC8B94C" wp14:editId="1A69FCB8">
            <wp:simplePos x="0" y="0"/>
            <wp:positionH relativeFrom="column">
              <wp:posOffset>635000</wp:posOffset>
            </wp:positionH>
            <wp:positionV relativeFrom="paragraph">
              <wp:posOffset>213360</wp:posOffset>
            </wp:positionV>
            <wp:extent cx="317500" cy="278130"/>
            <wp:effectExtent l="0" t="0" r="0" b="1270"/>
            <wp:wrapTight wrapText="bothSides">
              <wp:wrapPolygon edited="0">
                <wp:start x="6912" y="0"/>
                <wp:lineTo x="1728" y="9863"/>
                <wp:lineTo x="0" y="14795"/>
                <wp:lineTo x="0" y="20712"/>
                <wp:lineTo x="20736" y="20712"/>
                <wp:lineTo x="20736" y="13808"/>
                <wp:lineTo x="18144" y="6904"/>
                <wp:lineTo x="13824" y="0"/>
                <wp:lineTo x="6912" y="0"/>
              </wp:wrapPolygon>
            </wp:wrapTight>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Picture 2147"/>
                    <pic:cNvPicPr/>
                  </pic:nvPicPr>
                  <pic:blipFill rotWithShape="1">
                    <a:blip r:embed="rId855" cstate="email">
                      <a:extLst>
                        <a:ext uri="{28A0092B-C50C-407E-A947-70E740481C1C}">
                          <a14:useLocalDpi xmlns:a14="http://schemas.microsoft.com/office/drawing/2010/main"/>
                        </a:ext>
                      </a:extLst>
                    </a:blip>
                    <a:srcRect/>
                    <a:stretch/>
                  </pic:blipFill>
                  <pic:spPr bwMode="auto">
                    <a:xfrm>
                      <a:off x="0" y="0"/>
                      <a:ext cx="317500" cy="278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30BA">
        <w:rPr>
          <w:noProof/>
          <w:lang w:val="en-US"/>
        </w:rPr>
        <mc:AlternateContent>
          <mc:Choice Requires="wps">
            <w:drawing>
              <wp:anchor distT="0" distB="0" distL="114300" distR="114300" simplePos="0" relativeHeight="253862397" behindDoc="0" locked="0" layoutInCell="1" allowOverlap="1" wp14:anchorId="08222CBE" wp14:editId="3F8FCAE9">
                <wp:simplePos x="0" y="0"/>
                <wp:positionH relativeFrom="column">
                  <wp:posOffset>88900</wp:posOffset>
                </wp:positionH>
                <wp:positionV relativeFrom="paragraph">
                  <wp:posOffset>122555</wp:posOffset>
                </wp:positionV>
                <wp:extent cx="1371600" cy="1879600"/>
                <wp:effectExtent l="12700" t="12700" r="12700" b="12700"/>
                <wp:wrapSquare wrapText="bothSides"/>
                <wp:docPr id="2145" name="Rounded Rectangle 2145"/>
                <wp:cNvGraphicFramePr/>
                <a:graphic xmlns:a="http://schemas.openxmlformats.org/drawingml/2006/main">
                  <a:graphicData uri="http://schemas.microsoft.com/office/word/2010/wordprocessingShape">
                    <wps:wsp>
                      <wps:cNvSpPr/>
                      <wps:spPr>
                        <a:xfrm>
                          <a:off x="0" y="0"/>
                          <a:ext cx="1371600" cy="1879600"/>
                        </a:xfrm>
                        <a:prstGeom prst="roundRect">
                          <a:avLst>
                            <a:gd name="adj" fmla="val 8579"/>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2473C36" id="Rounded Rectangle 2145" o:spid="_x0000_s1026" style="position:absolute;margin-left:7pt;margin-top:9.65pt;width:108pt;height:148pt;z-index:253862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" filled="f" strokecolor="white [3212]" strokeweight="1.5pt">
                <v:stroke joinstyle="miter"/>
                <w10:wrap type="square"/>
              </v:roundrect>
            </w:pict>
          </mc:Fallback>
        </mc:AlternateContent>
      </w:r>
      <w:r w:rsidR="00632DF3" w:rsidRPr="00BD6508">
        <w:rPr>
          <w:rFonts w:ascii="Arial" w:hAnsi="Arial" w:cs="Arial"/>
          <w:sz w:val="24"/>
          <w:szCs w:val="24"/>
          <w:lang w:val="en-US"/>
        </w:rPr>
        <w:t>the system’s core functions that may be inadequate;</w:t>
      </w:r>
    </w:p>
    <w:p w14:paraId="7C363205" w14:textId="737CCED3" w:rsidR="00632DF3" w:rsidRPr="00BD6508" w:rsidRDefault="009030BA" w:rsidP="00DB27C8">
      <w:pPr>
        <w:pStyle w:val="ListParagraph"/>
        <w:numPr>
          <w:ilvl w:val="0"/>
          <w:numId w:val="126"/>
        </w:numPr>
        <w:spacing w:line="276" w:lineRule="auto"/>
        <w:ind w:left="2880" w:hanging="2520"/>
        <w:contextualSpacing/>
        <w:jc w:val="both"/>
        <w:rPr>
          <w:rFonts w:ascii="Arial" w:hAnsi="Arial" w:cs="Arial"/>
          <w:sz w:val="24"/>
          <w:szCs w:val="24"/>
        </w:rPr>
      </w:pPr>
      <w:r>
        <w:rPr>
          <w:noProof/>
          <w:lang w:val="en-US"/>
        </w:rPr>
        <mc:AlternateContent>
          <mc:Choice Requires="wps">
            <w:drawing>
              <wp:anchor distT="0" distB="0" distL="114300" distR="114300" simplePos="0" relativeHeight="253863934" behindDoc="0" locked="0" layoutInCell="1" allowOverlap="1" wp14:anchorId="3255B746" wp14:editId="3C86D4C6">
                <wp:simplePos x="0" y="0"/>
                <wp:positionH relativeFrom="column">
                  <wp:posOffset>101600</wp:posOffset>
                </wp:positionH>
                <wp:positionV relativeFrom="paragraph">
                  <wp:posOffset>291465</wp:posOffset>
                </wp:positionV>
                <wp:extent cx="1371600" cy="1485900"/>
                <wp:effectExtent l="0" t="0" r="0" b="0"/>
                <wp:wrapNone/>
                <wp:docPr id="2144" name="Text Box 2144"/>
                <wp:cNvGraphicFramePr/>
                <a:graphic xmlns:a="http://schemas.openxmlformats.org/drawingml/2006/main">
                  <a:graphicData uri="http://schemas.microsoft.com/office/word/2010/wordprocessingShape">
                    <wps:wsp>
                      <wps:cNvSpPr txBox="1"/>
                      <wps:spPr>
                        <a:xfrm>
                          <a:off x="0" y="0"/>
                          <a:ext cx="1371600" cy="1485900"/>
                        </a:xfrm>
                        <a:prstGeom prst="rect">
                          <a:avLst/>
                        </a:prstGeom>
                        <a:noFill/>
                        <a:ln w="6350">
                          <a:noFill/>
                        </a:ln>
                      </wps:spPr>
                      <wps:txbx>
                        <w:txbxContent>
                          <w:p w14:paraId="2FAC4F1F" w14:textId="34A84A01" w:rsidR="00D15FD8" w:rsidRPr="00BD6508" w:rsidRDefault="00D15FD8" w:rsidP="00BD6508">
                            <w:pPr>
                              <w:spacing w:line="276" w:lineRule="auto"/>
                              <w:jc w:val="center"/>
                              <w:rPr>
                                <w:b/>
                                <w:bCs/>
                                <w:color w:val="FFFFFF" w:themeColor="background1"/>
                              </w:rPr>
                            </w:pPr>
                            <w:r w:rsidRPr="00BD6508">
                              <w:rPr>
                                <w:rFonts w:ascii="Arial" w:hAnsi="Arial" w:cs="Arial"/>
                                <w:b/>
                                <w:bCs/>
                                <w:color w:val="FFFFFF" w:themeColor="background1"/>
                                <w:sz w:val="24"/>
                                <w:szCs w:val="24"/>
                                <w:lang w:val="en-US"/>
                              </w:rPr>
                              <w:t xml:space="preserve">Challenges faced by </w:t>
                            </w:r>
                            <w:r w:rsidRPr="00BD6508">
                              <w:rPr>
                                <w:rFonts w:ascii="Arial" w:hAnsi="Arial" w:cs="Arial"/>
                                <w:b/>
                                <w:bCs/>
                                <w:color w:val="FFFFFF" w:themeColor="background1"/>
                                <w:sz w:val="24"/>
                                <w:szCs w:val="24"/>
                                <w:lang w:val="en-ZA"/>
                              </w:rPr>
                              <w:t>countries when they develop and implement a FMIS typically relate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5B746" id="Text Box 2144" o:spid="_x0000_s1521" type="#_x0000_t202" style="position:absolute;left:0;text-align:left;margin-left:8pt;margin-top:22.95pt;width:108pt;height:117pt;z-index:253863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" filled="f" stroked="f" strokeweight=".5pt">
                <v:textbox>
                  <w:txbxContent>
                    <w:p w14:paraId="2FAC4F1F" w14:textId="34A84A01" w:rsidR="00D15FD8" w:rsidRPr="00BD6508" w:rsidRDefault="00D15FD8" w:rsidP="00BD6508">
                      <w:pPr>
                        <w:spacing w:line="276" w:lineRule="auto"/>
                        <w:jc w:val="center"/>
                        <w:rPr>
                          <w:b/>
                          <w:bCs/>
                          <w:color w:val="FFFFFF" w:themeColor="background1"/>
                        </w:rPr>
                      </w:pPr>
                      <w:r w:rsidRPr="00BD6508">
                        <w:rPr>
                          <w:rFonts w:ascii="Arial" w:hAnsi="Arial" w:cs="Arial"/>
                          <w:b/>
                          <w:bCs/>
                          <w:color w:val="FFFFFF" w:themeColor="background1"/>
                          <w:sz w:val="24"/>
                          <w:szCs w:val="24"/>
                          <w:lang w:val="en-US"/>
                        </w:rPr>
                        <w:t xml:space="preserve">Challenges faced by </w:t>
                      </w:r>
                      <w:r w:rsidRPr="00BD6508">
                        <w:rPr>
                          <w:rFonts w:ascii="Arial" w:hAnsi="Arial" w:cs="Arial"/>
                          <w:b/>
                          <w:bCs/>
                          <w:color w:val="FFFFFF" w:themeColor="background1"/>
                          <w:sz w:val="24"/>
                          <w:szCs w:val="24"/>
                          <w:lang w:val="en-ZA"/>
                        </w:rPr>
                        <w:t>countries when they develop and implement a FMIS typically relate to:</w:t>
                      </w:r>
                    </w:p>
                  </w:txbxContent>
                </v:textbox>
              </v:shape>
            </w:pict>
          </mc:Fallback>
        </mc:AlternateContent>
      </w:r>
      <w:r w:rsidR="00632DF3" w:rsidRPr="00BD6508">
        <w:rPr>
          <w:rFonts w:ascii="Arial" w:hAnsi="Arial" w:cs="Arial"/>
          <w:sz w:val="24"/>
          <w:szCs w:val="24"/>
          <w:lang w:val="en-US"/>
        </w:rPr>
        <w:t xml:space="preserve">weaknesses in the country’s underlying public financial management systems, for </w:t>
      </w:r>
      <w:r w:rsidR="00632DF3" w:rsidRPr="00BD6508">
        <w:rPr>
          <w:rFonts w:ascii="Arial" w:hAnsi="Arial" w:cs="Arial"/>
          <w:sz w:val="24"/>
          <w:szCs w:val="24"/>
          <w:lang w:val="en-ZA"/>
        </w:rPr>
        <w:t>instance there may be off-budget activity, or inadequate institutional coverage such as a lack of data on some elements of the public sector, including that pertaining to public corporations and extra-budgetary funds;</w:t>
      </w:r>
    </w:p>
    <w:p w14:paraId="4629E4B3" w14:textId="0D5E88EE" w:rsidR="00632DF3" w:rsidRPr="00DB27C8" w:rsidRDefault="00632DF3" w:rsidP="00DB27C8">
      <w:pPr>
        <w:pStyle w:val="ListParagraph"/>
        <w:numPr>
          <w:ilvl w:val="0"/>
          <w:numId w:val="126"/>
        </w:numPr>
        <w:spacing w:line="276" w:lineRule="auto"/>
        <w:ind w:left="2880" w:hanging="2520"/>
        <w:contextualSpacing/>
        <w:jc w:val="both"/>
        <w:rPr>
          <w:rFonts w:ascii="Arial" w:hAnsi="Arial" w:cs="Arial"/>
          <w:sz w:val="24"/>
          <w:szCs w:val="24"/>
          <w:lang w:val="en-US"/>
        </w:rPr>
      </w:pPr>
      <w:r w:rsidRPr="00BD6508">
        <w:rPr>
          <w:rFonts w:ascii="Arial" w:hAnsi="Arial" w:cs="Arial"/>
          <w:sz w:val="24"/>
          <w:szCs w:val="24"/>
          <w:lang w:val="en-US"/>
        </w:rPr>
        <w:t xml:space="preserve">information technology platforms used that may be based on </w:t>
      </w:r>
      <w:r w:rsidRPr="00DB27C8">
        <w:rPr>
          <w:rFonts w:ascii="Arial" w:hAnsi="Arial" w:cs="Arial"/>
          <w:sz w:val="24"/>
          <w:szCs w:val="24"/>
          <w:lang w:val="en-US"/>
        </w:rPr>
        <w:t xml:space="preserve">antiquated technology; and </w:t>
      </w:r>
    </w:p>
    <w:p w14:paraId="50377CAB" w14:textId="191ACFFB" w:rsidR="00632DF3" w:rsidRPr="00DB27C8" w:rsidRDefault="00632DF3" w:rsidP="00DB27C8">
      <w:pPr>
        <w:pStyle w:val="ListParagraph"/>
        <w:numPr>
          <w:ilvl w:val="0"/>
          <w:numId w:val="126"/>
        </w:numPr>
        <w:spacing w:line="276" w:lineRule="auto"/>
        <w:ind w:left="2880" w:hanging="2520"/>
        <w:contextualSpacing/>
        <w:jc w:val="both"/>
        <w:rPr>
          <w:rFonts w:ascii="Arial" w:hAnsi="Arial" w:cs="Arial"/>
          <w:sz w:val="24"/>
          <w:szCs w:val="24"/>
          <w:lang w:val="en-US"/>
        </w:rPr>
      </w:pPr>
      <w:r w:rsidRPr="00BD6508">
        <w:rPr>
          <w:rFonts w:ascii="Arial" w:hAnsi="Arial" w:cs="Arial"/>
          <w:sz w:val="24"/>
          <w:szCs w:val="24"/>
          <w:lang w:val="en-US"/>
        </w:rPr>
        <w:t xml:space="preserve">the ease of sharing data or its interoperability with other IT systems, for </w:t>
      </w:r>
      <w:r w:rsidRPr="00DB27C8">
        <w:rPr>
          <w:rFonts w:ascii="Arial" w:hAnsi="Arial" w:cs="Arial"/>
          <w:sz w:val="24"/>
          <w:szCs w:val="24"/>
          <w:lang w:val="en-US"/>
        </w:rPr>
        <w:t>instance data may be located on multiple incompatible systems.</w:t>
      </w:r>
    </w:p>
    <w:p w14:paraId="2B897D65" w14:textId="77777777" w:rsidR="009030BA" w:rsidRDefault="009030BA" w:rsidP="00632DF3">
      <w:pPr>
        <w:spacing w:line="276" w:lineRule="auto"/>
        <w:contextualSpacing/>
        <w:jc w:val="both"/>
        <w:rPr>
          <w:rFonts w:ascii="Arial" w:hAnsi="Arial" w:cs="Arial"/>
          <w:sz w:val="24"/>
          <w:szCs w:val="24"/>
          <w:lang w:val="en-US"/>
        </w:rPr>
      </w:pPr>
    </w:p>
    <w:p w14:paraId="7BB69D8F" w14:textId="1F1E3E3E" w:rsidR="00632DF3" w:rsidRPr="00BD6508" w:rsidRDefault="00632DF3" w:rsidP="00BD6508">
      <w:pPr>
        <w:spacing w:line="276" w:lineRule="auto"/>
        <w:contextualSpacing/>
        <w:jc w:val="both"/>
        <w:rPr>
          <w:rFonts w:ascii="Arial" w:hAnsi="Arial" w:cs="Arial"/>
          <w:sz w:val="24"/>
          <w:szCs w:val="24"/>
        </w:rPr>
      </w:pPr>
      <w:r w:rsidRPr="00BD6508">
        <w:rPr>
          <w:rFonts w:ascii="Arial" w:hAnsi="Arial" w:cs="Arial"/>
          <w:sz w:val="24"/>
          <w:szCs w:val="24"/>
          <w:lang w:val="en-US"/>
        </w:rPr>
        <w:t xml:space="preserve">Basically, the information produced by a system is only as good as the information going into it. Indeed, garbage information put into systems normally equates to garbage information being extracted from those systems! Also, technical limitations, such as not being able to afford the best technology or experts, or current systems being dispersed and incompatible, or raw data simply not being readily available, means that a system may not be as powerful as it could be. For fiscal transparency, </w:t>
      </w:r>
      <w:r w:rsidRPr="00BD6508">
        <w:rPr>
          <w:rFonts w:ascii="Arial" w:hAnsi="Arial" w:cs="Arial"/>
          <w:sz w:val="24"/>
          <w:szCs w:val="24"/>
          <w:lang w:val="en-ZA"/>
        </w:rPr>
        <w:t>information systems</w:t>
      </w:r>
      <w:r w:rsidRPr="00BD6508">
        <w:rPr>
          <w:rFonts w:ascii="Arial" w:hAnsi="Arial" w:cs="Arial"/>
          <w:b/>
          <w:sz w:val="24"/>
          <w:szCs w:val="24"/>
          <w:lang w:val="en-ZA"/>
        </w:rPr>
        <w:t xml:space="preserve"> </w:t>
      </w:r>
      <w:r w:rsidRPr="00BD6508">
        <w:rPr>
          <w:rFonts w:ascii="Arial" w:hAnsi="Arial" w:cs="Arial"/>
          <w:sz w:val="24"/>
          <w:szCs w:val="24"/>
        </w:rPr>
        <w:t>should comprehensively cover the public sector and enable the publication of open data. Often information systems however only cover a portion of the public sector, even when they appear to cover a large portion of the public sector. For example, it may be that many transactions are carried out outside of systems and keyed in afterwards</w:t>
      </w:r>
      <w:r w:rsidRPr="00BD6508">
        <w:rPr>
          <w:rFonts w:ascii="Arial" w:hAnsi="Arial" w:cs="Arial"/>
          <w:sz w:val="24"/>
          <w:szCs w:val="24"/>
          <w:vertAlign w:val="superscript"/>
        </w:rPr>
        <w:footnoteReference w:id="63"/>
      </w:r>
      <w:r w:rsidRPr="00BD6508">
        <w:rPr>
          <w:rFonts w:ascii="Arial" w:hAnsi="Arial" w:cs="Arial"/>
          <w:sz w:val="24"/>
          <w:szCs w:val="24"/>
        </w:rPr>
        <w:t xml:space="preserve">. Most government data systems were also historically not designed to produce data in open formats, with governments then struggling to transform huge volumes of government data into open data using manual methods. Data published from these systems may then be of inferior quality, </w:t>
      </w:r>
      <w:r w:rsidRPr="00BD6508">
        <w:rPr>
          <w:rFonts w:ascii="Arial" w:hAnsi="Arial" w:cs="Arial"/>
          <w:sz w:val="24"/>
          <w:szCs w:val="24"/>
          <w:lang w:val="en-ZA"/>
        </w:rPr>
        <w:t xml:space="preserve">entailing significant time and human resource investment to get it up to standard. For example, </w:t>
      </w:r>
      <w:r w:rsidRPr="00BD6508">
        <w:rPr>
          <w:rFonts w:ascii="Arial" w:hAnsi="Arial" w:cs="Arial"/>
          <w:sz w:val="24"/>
          <w:szCs w:val="24"/>
        </w:rPr>
        <w:t xml:space="preserve">it may be </w:t>
      </w:r>
      <w:r w:rsidRPr="00BD6508">
        <w:rPr>
          <w:rFonts w:ascii="Arial" w:hAnsi="Arial" w:cs="Arial"/>
          <w:sz w:val="24"/>
          <w:szCs w:val="24"/>
        </w:rPr>
        <w:lastRenderedPageBreak/>
        <w:t>incomplete and/or out of date, and completely subject to human error. This undermines the value and transparency of the FMIS.</w:t>
      </w:r>
    </w:p>
    <w:p w14:paraId="27C7774E" w14:textId="7528EB64" w:rsidR="00632DF3" w:rsidRPr="00BD6508" w:rsidRDefault="00464CD8" w:rsidP="00BD6508">
      <w:pPr>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3864958" behindDoc="0" locked="0" layoutInCell="1" allowOverlap="1" wp14:anchorId="2195FF51" wp14:editId="109B3D0C">
            <wp:simplePos x="0" y="0"/>
            <wp:positionH relativeFrom="column">
              <wp:posOffset>0</wp:posOffset>
            </wp:positionH>
            <wp:positionV relativeFrom="paragraph">
              <wp:posOffset>203200</wp:posOffset>
            </wp:positionV>
            <wp:extent cx="1828800" cy="2429510"/>
            <wp:effectExtent l="25400" t="25400" r="88900" b="85090"/>
            <wp:wrapSquare wrapText="bothSides"/>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 name="Picture 2146"/>
                    <pic:cNvPicPr/>
                  </pic:nvPicPr>
                  <pic:blipFill>
                    <a:blip r:embed="rId856" cstate="email">
                      <a:extLst>
                        <a:ext uri="{28A0092B-C50C-407E-A947-70E740481C1C}">
                          <a14:useLocalDpi xmlns:a14="http://schemas.microsoft.com/office/drawing/2010/main"/>
                        </a:ext>
                      </a:extLst>
                    </a:blip>
                    <a:stretch>
                      <a:fillRect/>
                    </a:stretch>
                  </pic:blipFill>
                  <pic:spPr>
                    <a:xfrm>
                      <a:off x="0" y="0"/>
                      <a:ext cx="1828800" cy="242951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A38A4A8" w14:textId="2F01DA85" w:rsidR="00632DF3" w:rsidRPr="00BD6508" w:rsidRDefault="00632DF3" w:rsidP="00BD6508">
      <w:pPr>
        <w:spacing w:line="276" w:lineRule="auto"/>
        <w:contextualSpacing/>
        <w:jc w:val="both"/>
        <w:rPr>
          <w:rFonts w:ascii="Arial" w:hAnsi="Arial" w:cs="Arial"/>
          <w:sz w:val="24"/>
          <w:szCs w:val="24"/>
          <w:lang w:val="en-US"/>
        </w:rPr>
      </w:pPr>
      <w:r w:rsidRPr="00BD6508">
        <w:rPr>
          <w:rFonts w:ascii="Arial" w:hAnsi="Arial" w:cs="Arial"/>
          <w:sz w:val="24"/>
          <w:szCs w:val="24"/>
          <w:lang w:val="en-US"/>
        </w:rPr>
        <w:t xml:space="preserve">The IMF’s </w:t>
      </w:r>
      <w:hyperlink r:id="rId857" w:history="1">
        <w:r w:rsidRPr="00BD6508">
          <w:rPr>
            <w:rFonts w:ascii="Arial" w:hAnsi="Arial" w:cs="Arial"/>
            <w:color w:val="0563C1" w:themeColor="hyperlink"/>
            <w:sz w:val="24"/>
            <w:szCs w:val="24"/>
            <w:u w:val="single"/>
            <w:lang w:val="en-US"/>
          </w:rPr>
          <w:t>How to Design a Financial Management Information System: A Modular Approach</w:t>
        </w:r>
      </w:hyperlink>
      <w:r w:rsidRPr="00BD6508">
        <w:rPr>
          <w:rFonts w:ascii="Arial" w:hAnsi="Arial" w:cs="Arial"/>
          <w:sz w:val="24"/>
          <w:szCs w:val="24"/>
          <w:lang w:val="en-US"/>
        </w:rPr>
        <w:t xml:space="preserve"> (2019)</w:t>
      </w:r>
      <w:r w:rsidRPr="00BD6508">
        <w:rPr>
          <w:rFonts w:ascii="Arial" w:hAnsi="Arial" w:cs="Arial"/>
          <w:sz w:val="24"/>
          <w:szCs w:val="24"/>
          <w:vertAlign w:val="superscript"/>
          <w:lang w:val="en-US"/>
        </w:rPr>
        <w:footnoteReference w:id="64"/>
      </w:r>
      <w:r w:rsidRPr="00BD6508">
        <w:rPr>
          <w:rFonts w:ascii="Arial" w:hAnsi="Arial" w:cs="Arial"/>
          <w:sz w:val="24"/>
          <w:szCs w:val="24"/>
          <w:lang w:val="en-US"/>
        </w:rPr>
        <w:t xml:space="preserve"> builds on studies to addresses these challenges. It concludes that it may be more useful and cost effective to try to update/replace functionalities using a modular approach, rather than to implement a whole new FMIS. </w:t>
      </w:r>
      <w:r w:rsidRPr="00BD6508">
        <w:rPr>
          <w:rFonts w:ascii="Arial" w:hAnsi="Arial" w:cs="Arial"/>
          <w:sz w:val="24"/>
          <w:szCs w:val="24"/>
          <w:lang w:val="en-ZA"/>
        </w:rPr>
        <w:t>Switching off a FMIS might mean the temporary shutdown of the financial operations of a government, requiring transitional plans and resources. In a modular approach, new</w:t>
      </w:r>
      <w:r w:rsidRPr="00BD6508">
        <w:rPr>
          <w:rFonts w:ascii="Arial" w:hAnsi="Arial" w:cs="Arial"/>
          <w:sz w:val="24"/>
          <w:szCs w:val="24"/>
          <w:lang w:val="en-US"/>
        </w:rPr>
        <w:t xml:space="preserve"> modules can be connected to existing modules, in a manner that can produce reliable and timely information related to the financial management processes they support. Different modules are connected by the same information structure </w:t>
      </w:r>
      <w:r w:rsidRPr="00BD6508">
        <w:rPr>
          <w:rFonts w:ascii="Arial" w:hAnsi="Arial" w:cs="Arial"/>
          <w:sz w:val="24"/>
          <w:szCs w:val="24"/>
          <w:lang w:val="en-ZA"/>
        </w:rPr>
        <w:t>as well as pivot fields linking one data structure to the next, thereby providing solutions and the associated results within a short period of time.</w:t>
      </w:r>
      <w:r w:rsidRPr="00BD6508">
        <w:rPr>
          <w:rFonts w:ascii="Arial" w:hAnsi="Arial" w:cs="Arial"/>
          <w:sz w:val="24"/>
          <w:szCs w:val="24"/>
          <w:lang w:val="en-US"/>
        </w:rPr>
        <w:t xml:space="preserve"> The authors state that the implementation of an effective FMIS, however, depends on two critical preconditions: strong political motivation and commitment, and the system’s ability to meet ongoing and anticipated public financial management needs</w:t>
      </w:r>
      <w:r w:rsidRPr="00BD6508">
        <w:rPr>
          <w:rFonts w:ascii="Arial" w:hAnsi="Arial" w:cs="Arial"/>
          <w:sz w:val="24"/>
          <w:szCs w:val="24"/>
          <w:vertAlign w:val="superscript"/>
          <w:lang w:val="en-US"/>
        </w:rPr>
        <w:footnoteReference w:id="65"/>
      </w:r>
      <w:r w:rsidRPr="00BD6508">
        <w:rPr>
          <w:rFonts w:ascii="Arial" w:hAnsi="Arial" w:cs="Arial"/>
          <w:sz w:val="24"/>
          <w:szCs w:val="24"/>
          <w:lang w:val="en-US"/>
        </w:rPr>
        <w:t xml:space="preserve">. </w:t>
      </w:r>
      <w:r w:rsidRPr="00BD6508">
        <w:rPr>
          <w:rFonts w:ascii="Arial" w:hAnsi="Arial" w:cs="Arial"/>
          <w:sz w:val="24"/>
          <w:szCs w:val="24"/>
        </w:rPr>
        <w:t>Governments should transform their technical infrastructure to allow them to publish open data efficiently. Key concepts in this regard, include governments building information systems that are open by default and open by design, concepts described in the section below.</w:t>
      </w:r>
    </w:p>
    <w:p w14:paraId="3128DAD1" w14:textId="1E1E2BCA" w:rsidR="00632DF3" w:rsidRDefault="00632DF3" w:rsidP="00632DF3">
      <w:pPr>
        <w:tabs>
          <w:tab w:val="left" w:pos="1100"/>
        </w:tabs>
        <w:spacing w:line="276" w:lineRule="auto"/>
        <w:rPr>
          <w:rFonts w:ascii="Arial" w:hAnsi="Arial" w:cs="Arial"/>
          <w:sz w:val="24"/>
          <w:szCs w:val="24"/>
        </w:rPr>
      </w:pPr>
    </w:p>
    <w:p w14:paraId="39F57612" w14:textId="4E0A34C7" w:rsidR="003B3D00" w:rsidRDefault="00B62187" w:rsidP="00632DF3">
      <w:pPr>
        <w:tabs>
          <w:tab w:val="left" w:pos="110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1633629" behindDoc="1" locked="0" layoutInCell="1" allowOverlap="1" wp14:anchorId="2668CE8B" wp14:editId="3B5BF2EB">
            <wp:simplePos x="0" y="0"/>
            <wp:positionH relativeFrom="column">
              <wp:posOffset>-25400</wp:posOffset>
            </wp:positionH>
            <wp:positionV relativeFrom="paragraph">
              <wp:posOffset>4445</wp:posOffset>
            </wp:positionV>
            <wp:extent cx="6379210" cy="1358900"/>
            <wp:effectExtent l="0" t="0" r="0" b="0"/>
            <wp:wrapTight wrapText="bothSides">
              <wp:wrapPolygon edited="0">
                <wp:start x="1505" y="0"/>
                <wp:lineTo x="688" y="2221"/>
                <wp:lineTo x="774" y="3634"/>
                <wp:lineTo x="258" y="4037"/>
                <wp:lineTo x="258" y="6662"/>
                <wp:lineTo x="43" y="6864"/>
                <wp:lineTo x="0" y="14938"/>
                <wp:lineTo x="387" y="16553"/>
                <wp:lineTo x="559" y="19581"/>
                <wp:lineTo x="1204" y="20187"/>
                <wp:lineTo x="1505" y="21398"/>
                <wp:lineTo x="3182" y="21398"/>
                <wp:lineTo x="19394" y="20591"/>
                <wp:lineTo x="19437" y="19783"/>
                <wp:lineTo x="20211" y="16755"/>
                <wp:lineTo x="20211" y="16553"/>
                <wp:lineTo x="20469" y="13323"/>
                <wp:lineTo x="20512" y="10093"/>
                <wp:lineTo x="20340" y="7671"/>
                <wp:lineTo x="20297" y="6864"/>
                <wp:lineTo x="19824" y="4441"/>
                <wp:lineTo x="19609" y="3634"/>
                <wp:lineTo x="19695" y="1413"/>
                <wp:lineTo x="17201" y="1009"/>
                <wp:lineTo x="3182" y="0"/>
                <wp:lineTo x="1505" y="0"/>
              </wp:wrapPolygon>
            </wp:wrapTight>
            <wp:docPr id="2774" name="Picture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 name="Picture 2774"/>
                    <pic:cNvPicPr/>
                  </pic:nvPicPr>
                  <pic:blipFill rotWithShape="1">
                    <a:blip r:embed="rId858" cstate="screen">
                      <a:extLst>
                        <a:ext uri="{28A0092B-C50C-407E-A947-70E740481C1C}">
                          <a14:useLocalDpi xmlns:a14="http://schemas.microsoft.com/office/drawing/2010/main"/>
                        </a:ext>
                      </a:extLst>
                    </a:blip>
                    <a:srcRect/>
                    <a:stretch/>
                  </pic:blipFill>
                  <pic:spPr bwMode="auto">
                    <a:xfrm>
                      <a:off x="0" y="0"/>
                      <a:ext cx="6379210" cy="135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E32C5C" w14:textId="3FE0BBB3" w:rsidR="003B3D00" w:rsidRDefault="008A0A2E" w:rsidP="00632DF3">
      <w:pPr>
        <w:tabs>
          <w:tab w:val="left" w:pos="1100"/>
        </w:tabs>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69054" behindDoc="0" locked="0" layoutInCell="1" allowOverlap="1" wp14:anchorId="333BE71E" wp14:editId="7087DD80">
                <wp:simplePos x="0" y="0"/>
                <wp:positionH relativeFrom="column">
                  <wp:posOffset>1257300</wp:posOffset>
                </wp:positionH>
                <wp:positionV relativeFrom="paragraph">
                  <wp:posOffset>158750</wp:posOffset>
                </wp:positionV>
                <wp:extent cx="4292600" cy="571500"/>
                <wp:effectExtent l="0" t="0" r="0" b="0"/>
                <wp:wrapNone/>
                <wp:docPr id="2149" name="Text Box 2149"/>
                <wp:cNvGraphicFramePr/>
                <a:graphic xmlns:a="http://schemas.openxmlformats.org/drawingml/2006/main">
                  <a:graphicData uri="http://schemas.microsoft.com/office/word/2010/wordprocessingShape">
                    <wps:wsp>
                      <wps:cNvSpPr txBox="1"/>
                      <wps:spPr>
                        <a:xfrm>
                          <a:off x="0" y="0"/>
                          <a:ext cx="4292600" cy="571500"/>
                        </a:xfrm>
                        <a:prstGeom prst="rect">
                          <a:avLst/>
                        </a:prstGeom>
                        <a:noFill/>
                        <a:ln w="6350">
                          <a:noFill/>
                        </a:ln>
                      </wps:spPr>
                      <wps:txbx>
                        <w:txbxContent>
                          <w:p w14:paraId="48260AA3" w14:textId="509285AB" w:rsidR="00D15FD8" w:rsidRPr="0031171E" w:rsidRDefault="00D15FD8" w:rsidP="00BD6508">
                            <w:pPr>
                              <w:pStyle w:val="Heading1"/>
                              <w:rPr>
                                <w:sz w:val="38"/>
                                <w:szCs w:val="38"/>
                                <w:lang w:val="en-US"/>
                              </w:rPr>
                            </w:pPr>
                            <w:bookmarkStart w:id="2131" w:name="_Open_data_movements"/>
                            <w:bookmarkStart w:id="2132" w:name="_Toc123828235"/>
                            <w:bookmarkStart w:id="2133" w:name="_Toc123828445"/>
                            <w:bookmarkStart w:id="2134" w:name="_Toc123828641"/>
                            <w:bookmarkStart w:id="2135" w:name="_Toc123912668"/>
                            <w:bookmarkStart w:id="2136" w:name="_Toc123912927"/>
                            <w:bookmarkStart w:id="2137" w:name="_Toc123913154"/>
                            <w:bookmarkStart w:id="2138" w:name="_Toc123914102"/>
                            <w:bookmarkStart w:id="2139" w:name="_Toc125566717"/>
                            <w:bookmarkEnd w:id="2131"/>
                            <w:r w:rsidRPr="0031171E">
                              <w:rPr>
                                <w:rFonts w:ascii="Arial" w:hAnsi="Arial" w:cs="Arial"/>
                                <w:b/>
                                <w:bCs/>
                                <w:color w:val="FFFFFF" w:themeColor="background1"/>
                                <w:sz w:val="38"/>
                                <w:szCs w:val="38"/>
                                <w:lang w:val="en-US"/>
                              </w:rPr>
                              <w:t>Open data movements and tools</w:t>
                            </w:r>
                            <w:bookmarkEnd w:id="2132"/>
                            <w:bookmarkEnd w:id="2133"/>
                            <w:bookmarkEnd w:id="2134"/>
                            <w:bookmarkEnd w:id="2135"/>
                            <w:bookmarkEnd w:id="2136"/>
                            <w:bookmarkEnd w:id="2137"/>
                            <w:bookmarkEnd w:id="2138"/>
                            <w:bookmarkEnd w:id="213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3BE71E" id="Text Box 2149" o:spid="_x0000_s1522" type="#_x0000_t202" style="position:absolute;margin-left:99pt;margin-top:12.5pt;width:338pt;height:45pt;z-index:2538690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" filled="f" stroked="f" strokeweight=".5pt">
                <v:textbox>
                  <w:txbxContent>
                    <w:p w14:paraId="48260AA3" w14:textId="509285AB" w:rsidR="00D15FD8" w:rsidRPr="0031171E" w:rsidRDefault="00D15FD8" w:rsidP="00BD6508">
                      <w:pPr>
                        <w:pStyle w:val="Heading1"/>
                        <w:rPr>
                          <w:sz w:val="38"/>
                          <w:szCs w:val="38"/>
                          <w:lang w:val="en-US"/>
                        </w:rPr>
                      </w:pPr>
                      <w:bookmarkStart w:id="2140" w:name="_Open_data_movements"/>
                      <w:bookmarkStart w:id="2141" w:name="_Toc123828235"/>
                      <w:bookmarkStart w:id="2142" w:name="_Toc123828445"/>
                      <w:bookmarkStart w:id="2143" w:name="_Toc123828641"/>
                      <w:bookmarkStart w:id="2144" w:name="_Toc123912668"/>
                      <w:bookmarkStart w:id="2145" w:name="_Toc123912927"/>
                      <w:bookmarkStart w:id="2146" w:name="_Toc123913154"/>
                      <w:bookmarkStart w:id="2147" w:name="_Toc123914102"/>
                      <w:bookmarkStart w:id="2148" w:name="_Toc125566717"/>
                      <w:bookmarkEnd w:id="2140"/>
                      <w:r w:rsidRPr="0031171E">
                        <w:rPr>
                          <w:rFonts w:ascii="Arial" w:hAnsi="Arial" w:cs="Arial"/>
                          <w:b/>
                          <w:bCs/>
                          <w:color w:val="FFFFFF" w:themeColor="background1"/>
                          <w:sz w:val="38"/>
                          <w:szCs w:val="38"/>
                          <w:lang w:val="en-US"/>
                        </w:rPr>
                        <w:t>Open data movements and tools</w:t>
                      </w:r>
                      <w:bookmarkEnd w:id="2141"/>
                      <w:bookmarkEnd w:id="2142"/>
                      <w:bookmarkEnd w:id="2143"/>
                      <w:bookmarkEnd w:id="2144"/>
                      <w:bookmarkEnd w:id="2145"/>
                      <w:bookmarkEnd w:id="2146"/>
                      <w:bookmarkEnd w:id="2147"/>
                      <w:bookmarkEnd w:id="2148"/>
                    </w:p>
                  </w:txbxContent>
                </v:textbox>
              </v:shape>
            </w:pict>
          </mc:Fallback>
        </mc:AlternateContent>
      </w:r>
      <w:r>
        <w:rPr>
          <w:rFonts w:ascii="Arial" w:hAnsi="Arial" w:cs="Arial"/>
          <w:iCs/>
          <w:noProof/>
          <w:lang w:val="en-US"/>
        </w:rPr>
        <mc:AlternateContent>
          <mc:Choice Requires="wps">
            <w:drawing>
              <wp:anchor distT="0" distB="0" distL="114300" distR="114300" simplePos="0" relativeHeight="253870078" behindDoc="0" locked="0" layoutInCell="1" allowOverlap="1" wp14:anchorId="4BFA8ACB" wp14:editId="770A1E0C">
                <wp:simplePos x="0" y="0"/>
                <wp:positionH relativeFrom="column">
                  <wp:posOffset>393700</wp:posOffset>
                </wp:positionH>
                <wp:positionV relativeFrom="paragraph">
                  <wp:posOffset>153670</wp:posOffset>
                </wp:positionV>
                <wp:extent cx="571500" cy="660400"/>
                <wp:effectExtent l="0" t="0" r="0" b="0"/>
                <wp:wrapNone/>
                <wp:docPr id="2150" name="Text Box 2150"/>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2F136A66" w14:textId="3D01907E" w:rsidR="00D15FD8" w:rsidRPr="00653DDD" w:rsidRDefault="00D15FD8" w:rsidP="008A0A2E">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A8ACB" id="Text Box 2150" o:spid="_x0000_s1523" type="#_x0000_t202" style="position:absolute;margin-left:31pt;margin-top:12.1pt;width:45pt;height:52pt;z-index:253870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" filled="f" stroked="f" strokeweight=".5pt">
                <v:textbox>
                  <w:txbxContent>
                    <w:p w14:paraId="2F136A66" w14:textId="3D01907E" w:rsidR="00D15FD8" w:rsidRPr="00653DDD" w:rsidRDefault="00D15FD8" w:rsidP="008A0A2E">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txbxContent>
                </v:textbox>
              </v:shape>
            </w:pict>
          </mc:Fallback>
        </mc:AlternateContent>
      </w:r>
    </w:p>
    <w:p w14:paraId="5245388C" w14:textId="7F48000C" w:rsidR="008A0A2E" w:rsidRPr="008A0A2E" w:rsidRDefault="008A0A2E" w:rsidP="00BD6508">
      <w:pPr>
        <w:rPr>
          <w:rFonts w:ascii="Arial" w:hAnsi="Arial" w:cs="Arial"/>
          <w:sz w:val="24"/>
          <w:szCs w:val="24"/>
        </w:rPr>
      </w:pPr>
    </w:p>
    <w:p w14:paraId="666A390B" w14:textId="7C11E472" w:rsidR="008A0A2E" w:rsidRPr="008A0A2E" w:rsidRDefault="008A0A2E" w:rsidP="00BD6508">
      <w:pPr>
        <w:rPr>
          <w:rFonts w:ascii="Arial" w:hAnsi="Arial" w:cs="Arial"/>
          <w:sz w:val="24"/>
          <w:szCs w:val="24"/>
        </w:rPr>
      </w:pPr>
    </w:p>
    <w:p w14:paraId="76F9D70B" w14:textId="7F7D3195" w:rsidR="008A0A2E" w:rsidRPr="008A0A2E" w:rsidRDefault="008A0A2E" w:rsidP="00BD6508">
      <w:pPr>
        <w:rPr>
          <w:rFonts w:ascii="Arial" w:hAnsi="Arial" w:cs="Arial"/>
          <w:sz w:val="24"/>
          <w:szCs w:val="24"/>
        </w:rPr>
      </w:pPr>
    </w:p>
    <w:p w14:paraId="61DB9FB0" w14:textId="16D417FA" w:rsidR="008A0A2E" w:rsidRPr="008A0A2E" w:rsidRDefault="008A0A2E" w:rsidP="00BD6508">
      <w:pPr>
        <w:rPr>
          <w:rFonts w:ascii="Arial" w:hAnsi="Arial" w:cs="Arial"/>
          <w:sz w:val="24"/>
          <w:szCs w:val="24"/>
        </w:rPr>
      </w:pPr>
    </w:p>
    <w:p w14:paraId="68793005" w14:textId="0C341B1E" w:rsidR="008A0A2E" w:rsidRPr="008A0A2E" w:rsidRDefault="008A0A2E" w:rsidP="00BD6508">
      <w:pPr>
        <w:rPr>
          <w:rFonts w:ascii="Arial" w:hAnsi="Arial" w:cs="Arial"/>
          <w:sz w:val="24"/>
          <w:szCs w:val="24"/>
        </w:rPr>
      </w:pPr>
    </w:p>
    <w:p w14:paraId="46010592" w14:textId="099168E0" w:rsidR="008A0A2E" w:rsidRDefault="008A0A2E" w:rsidP="008A0A2E">
      <w:pPr>
        <w:rPr>
          <w:rFonts w:ascii="Arial" w:hAnsi="Arial" w:cs="Arial"/>
          <w:sz w:val="24"/>
          <w:szCs w:val="24"/>
        </w:rPr>
      </w:pPr>
    </w:p>
    <w:p w14:paraId="730B826D" w14:textId="0D3820CA" w:rsidR="008A0A2E" w:rsidRPr="008A0A2E" w:rsidRDefault="0031171E" w:rsidP="00BD6508">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3872126" behindDoc="1" locked="0" layoutInCell="1" allowOverlap="1" wp14:anchorId="43E09048" wp14:editId="3178FBDE">
                <wp:simplePos x="0" y="0"/>
                <wp:positionH relativeFrom="margin">
                  <wp:posOffset>533400</wp:posOffset>
                </wp:positionH>
                <wp:positionV relativeFrom="paragraph">
                  <wp:posOffset>48895</wp:posOffset>
                </wp:positionV>
                <wp:extent cx="2832100" cy="596900"/>
                <wp:effectExtent l="12700" t="12700" r="12700" b="12700"/>
                <wp:wrapNone/>
                <wp:docPr id="2152" name="Rounded Rectangle 2152"/>
                <wp:cNvGraphicFramePr/>
                <a:graphic xmlns:a="http://schemas.openxmlformats.org/drawingml/2006/main">
                  <a:graphicData uri="http://schemas.microsoft.com/office/word/2010/wordprocessingShape">
                    <wps:wsp>
                      <wps:cNvSpPr/>
                      <wps:spPr>
                        <a:xfrm>
                          <a:off x="0" y="0"/>
                          <a:ext cx="28321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9B0BD31" id="Rounded Rectangle 2152" o:spid="_x0000_s1026" style="position:absolute;margin-left:42pt;margin-top:3.85pt;width:223pt;height:47pt;z-index:-249444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" filled="f" strokecolor="#82c9a0" strokeweight="2.25pt">
                <v:stroke joinstyle="miter"/>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3873150" behindDoc="0" locked="0" layoutInCell="1" allowOverlap="1" wp14:anchorId="7BC741DB" wp14:editId="640CC7B5">
                <wp:simplePos x="0" y="0"/>
                <wp:positionH relativeFrom="column">
                  <wp:posOffset>596900</wp:posOffset>
                </wp:positionH>
                <wp:positionV relativeFrom="paragraph">
                  <wp:posOffset>150495</wp:posOffset>
                </wp:positionV>
                <wp:extent cx="2971800" cy="487045"/>
                <wp:effectExtent l="0" t="0" r="0" b="0"/>
                <wp:wrapNone/>
                <wp:docPr id="2153" name="Text Box 2153"/>
                <wp:cNvGraphicFramePr/>
                <a:graphic xmlns:a="http://schemas.openxmlformats.org/drawingml/2006/main">
                  <a:graphicData uri="http://schemas.microsoft.com/office/word/2010/wordprocessingShape">
                    <wps:wsp>
                      <wps:cNvSpPr txBox="1"/>
                      <wps:spPr>
                        <a:xfrm>
                          <a:off x="0" y="0"/>
                          <a:ext cx="2971800" cy="487045"/>
                        </a:xfrm>
                        <a:prstGeom prst="rect">
                          <a:avLst/>
                        </a:prstGeom>
                        <a:noFill/>
                        <a:ln w="6350">
                          <a:noFill/>
                        </a:ln>
                      </wps:spPr>
                      <wps:txbx>
                        <w:txbxContent>
                          <w:p w14:paraId="534D68B0" w14:textId="3A45CF2D" w:rsidR="00D15FD8" w:rsidRPr="0031171E" w:rsidRDefault="00D15FD8" w:rsidP="00BD6508">
                            <w:pPr>
                              <w:pStyle w:val="Heading2"/>
                              <w:numPr>
                                <w:ilvl w:val="1"/>
                                <w:numId w:val="127"/>
                              </w:numPr>
                              <w:rPr>
                                <w:rFonts w:ascii="Arial" w:hAnsi="Arial" w:cs="Arial"/>
                                <w:b/>
                                <w:bCs/>
                                <w:color w:val="F26D24"/>
                                <w:sz w:val="36"/>
                                <w:szCs w:val="36"/>
                              </w:rPr>
                            </w:pPr>
                            <w:bookmarkStart w:id="2149" w:name="_Toc123204538"/>
                            <w:bookmarkStart w:id="2150" w:name="_Toc123216650"/>
                            <w:bookmarkStart w:id="2151" w:name="_Toc123217490"/>
                            <w:bookmarkStart w:id="2152" w:name="_Toc123828236"/>
                            <w:bookmarkStart w:id="2153" w:name="_Toc123828446"/>
                            <w:bookmarkStart w:id="2154" w:name="_Toc123828642"/>
                            <w:bookmarkStart w:id="2155" w:name="_Toc123912669"/>
                            <w:bookmarkStart w:id="2156" w:name="_Toc123912928"/>
                            <w:bookmarkStart w:id="2157" w:name="_Toc123913155"/>
                            <w:bookmarkStart w:id="2158" w:name="_Toc123913446"/>
                            <w:bookmarkStart w:id="2159" w:name="_Toc123914103"/>
                            <w:bookmarkStart w:id="2160" w:name="_Toc125566718"/>
                            <w:r w:rsidRPr="0031171E">
                              <w:rPr>
                                <w:rFonts w:ascii="Arial" w:hAnsi="Arial" w:cs="Arial"/>
                                <w:b/>
                                <w:bCs/>
                                <w:color w:val="F26D24"/>
                                <w:sz w:val="36"/>
                                <w:szCs w:val="36"/>
                              </w:rPr>
                              <w:t>Defining open data</w:t>
                            </w:r>
                            <w:bookmarkEnd w:id="2149"/>
                            <w:bookmarkEnd w:id="2150"/>
                            <w:bookmarkEnd w:id="2151"/>
                            <w:bookmarkEnd w:id="2152"/>
                            <w:bookmarkEnd w:id="2153"/>
                            <w:bookmarkEnd w:id="2154"/>
                            <w:bookmarkEnd w:id="2155"/>
                            <w:bookmarkEnd w:id="2156"/>
                            <w:bookmarkEnd w:id="2157"/>
                            <w:bookmarkEnd w:id="2158"/>
                            <w:bookmarkEnd w:id="2159"/>
                            <w:bookmarkEnd w:id="216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741DB" id="Text Box 2153" o:spid="_x0000_s1524" type="#_x0000_t202" style="position:absolute;margin-left:47pt;margin-top:11.85pt;width:234pt;height:38.35pt;z-index:253873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" filled="f" stroked="f" strokeweight=".5pt">
                <v:textbox>
                  <w:txbxContent>
                    <w:p w14:paraId="534D68B0" w14:textId="3A45CF2D" w:rsidR="00D15FD8" w:rsidRPr="0031171E" w:rsidRDefault="00D15FD8" w:rsidP="00BD6508">
                      <w:pPr>
                        <w:pStyle w:val="Heading2"/>
                        <w:numPr>
                          <w:ilvl w:val="1"/>
                          <w:numId w:val="127"/>
                        </w:numPr>
                        <w:rPr>
                          <w:rFonts w:ascii="Arial" w:hAnsi="Arial" w:cs="Arial"/>
                          <w:b/>
                          <w:bCs/>
                          <w:color w:val="F26D24"/>
                          <w:sz w:val="36"/>
                          <w:szCs w:val="36"/>
                        </w:rPr>
                      </w:pPr>
                      <w:bookmarkStart w:id="2161" w:name="_Toc123204538"/>
                      <w:bookmarkStart w:id="2162" w:name="_Toc123216650"/>
                      <w:bookmarkStart w:id="2163" w:name="_Toc123217490"/>
                      <w:bookmarkStart w:id="2164" w:name="_Toc123828236"/>
                      <w:bookmarkStart w:id="2165" w:name="_Toc123828446"/>
                      <w:bookmarkStart w:id="2166" w:name="_Toc123828642"/>
                      <w:bookmarkStart w:id="2167" w:name="_Toc123912669"/>
                      <w:bookmarkStart w:id="2168" w:name="_Toc123912928"/>
                      <w:bookmarkStart w:id="2169" w:name="_Toc123913155"/>
                      <w:bookmarkStart w:id="2170" w:name="_Toc123913446"/>
                      <w:bookmarkStart w:id="2171" w:name="_Toc123914103"/>
                      <w:bookmarkStart w:id="2172" w:name="_Toc125566718"/>
                      <w:r w:rsidRPr="0031171E">
                        <w:rPr>
                          <w:rFonts w:ascii="Arial" w:hAnsi="Arial" w:cs="Arial"/>
                          <w:b/>
                          <w:bCs/>
                          <w:color w:val="F26D24"/>
                          <w:sz w:val="36"/>
                          <w:szCs w:val="36"/>
                        </w:rPr>
                        <w:t>Defining open data</w:t>
                      </w:r>
                      <w:bookmarkEnd w:id="2161"/>
                      <w:bookmarkEnd w:id="2162"/>
                      <w:bookmarkEnd w:id="2163"/>
                      <w:bookmarkEnd w:id="2164"/>
                      <w:bookmarkEnd w:id="2165"/>
                      <w:bookmarkEnd w:id="2166"/>
                      <w:bookmarkEnd w:id="2167"/>
                      <w:bookmarkEnd w:id="2168"/>
                      <w:bookmarkEnd w:id="2169"/>
                      <w:bookmarkEnd w:id="2170"/>
                      <w:bookmarkEnd w:id="2171"/>
                      <w:bookmarkEnd w:id="2172"/>
                    </w:p>
                  </w:txbxContent>
                </v:textbox>
              </v:shape>
            </w:pict>
          </mc:Fallback>
        </mc:AlternateContent>
      </w:r>
      <w:r w:rsidR="005D7ED1">
        <w:rPr>
          <w:rFonts w:ascii="Arial" w:hAnsi="Arial" w:cs="Arial"/>
          <w:noProof/>
          <w:sz w:val="24"/>
          <w:szCs w:val="24"/>
          <w:lang w:val="en-US"/>
        </w:rPr>
        <w:drawing>
          <wp:anchor distT="0" distB="0" distL="114300" distR="114300" simplePos="0" relativeHeight="253874174" behindDoc="1" locked="0" layoutInCell="1" allowOverlap="1" wp14:anchorId="5CF3543F" wp14:editId="0C529AA7">
            <wp:simplePos x="0" y="0"/>
            <wp:positionH relativeFrom="column">
              <wp:posOffset>0</wp:posOffset>
            </wp:positionH>
            <wp:positionV relativeFrom="paragraph">
              <wp:posOffset>55880</wp:posOffset>
            </wp:positionV>
            <wp:extent cx="469900" cy="575945"/>
            <wp:effectExtent l="0" t="0" r="0" b="0"/>
            <wp:wrapTight wrapText="bothSides">
              <wp:wrapPolygon edited="0">
                <wp:start x="14595" y="0"/>
                <wp:lineTo x="2919" y="3334"/>
                <wp:lineTo x="0" y="4763"/>
                <wp:lineTo x="0" y="19528"/>
                <wp:lineTo x="14011" y="20957"/>
                <wp:lineTo x="18097" y="20957"/>
                <wp:lineTo x="18681" y="20957"/>
                <wp:lineTo x="21016" y="15241"/>
                <wp:lineTo x="21016" y="5716"/>
                <wp:lineTo x="19849" y="2381"/>
                <wp:lineTo x="18097" y="0"/>
                <wp:lineTo x="14595" y="0"/>
              </wp:wrapPolygon>
            </wp:wrapTight>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Picture 2151"/>
                    <pic:cNvPicPr/>
                  </pic:nvPicPr>
                  <pic:blipFill rotWithShape="1">
                    <a:blip r:embed="rId859" cstate="email">
                      <a:extLst>
                        <a:ext uri="{28A0092B-C50C-407E-A947-70E740481C1C}">
                          <a14:useLocalDpi xmlns:a14="http://schemas.microsoft.com/office/drawing/2010/main"/>
                        </a:ext>
                      </a:extLst>
                    </a:blip>
                    <a:srcRect/>
                    <a:stretch/>
                  </pic:blipFill>
                  <pic:spPr bwMode="auto">
                    <a:xfrm>
                      <a:off x="0" y="0"/>
                      <a:ext cx="469900"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A9AB21" w14:textId="570FD825" w:rsidR="008A0A2E" w:rsidRDefault="008A0A2E" w:rsidP="008A0A2E">
      <w:pPr>
        <w:rPr>
          <w:rFonts w:ascii="Arial" w:hAnsi="Arial" w:cs="Arial"/>
          <w:sz w:val="24"/>
          <w:szCs w:val="24"/>
        </w:rPr>
      </w:pPr>
    </w:p>
    <w:p w14:paraId="7DE32ABC" w14:textId="3C703F39" w:rsidR="008A0A2E" w:rsidRDefault="008A0A2E" w:rsidP="008A0A2E">
      <w:pPr>
        <w:rPr>
          <w:rFonts w:ascii="Arial" w:hAnsi="Arial" w:cs="Arial"/>
          <w:sz w:val="24"/>
          <w:szCs w:val="24"/>
        </w:rPr>
      </w:pPr>
    </w:p>
    <w:p w14:paraId="71C64BFA" w14:textId="47E45998" w:rsidR="005D7ED1" w:rsidRDefault="008A0A2E" w:rsidP="005D7ED1">
      <w:pPr>
        <w:tabs>
          <w:tab w:val="left" w:pos="1880"/>
        </w:tabs>
        <w:rPr>
          <w:rFonts w:ascii="Arial" w:hAnsi="Arial" w:cs="Arial"/>
          <w:sz w:val="24"/>
          <w:szCs w:val="24"/>
        </w:rPr>
      </w:pPr>
      <w:r>
        <w:rPr>
          <w:rFonts w:ascii="Arial" w:hAnsi="Arial" w:cs="Arial"/>
          <w:sz w:val="24"/>
          <w:szCs w:val="24"/>
        </w:rPr>
        <w:tab/>
      </w:r>
    </w:p>
    <w:p w14:paraId="7E8DCD4A" w14:textId="57765AA2" w:rsidR="005D7ED1" w:rsidRPr="005D7ED1" w:rsidRDefault="005D7ED1" w:rsidP="00BD6508">
      <w:pPr>
        <w:tabs>
          <w:tab w:val="left" w:pos="1880"/>
        </w:tabs>
        <w:spacing w:line="276" w:lineRule="auto"/>
        <w:rPr>
          <w:rFonts w:ascii="Arial" w:hAnsi="Arial" w:cs="Arial"/>
          <w:sz w:val="24"/>
          <w:szCs w:val="24"/>
        </w:rPr>
      </w:pPr>
    </w:p>
    <w:p w14:paraId="75129C51" w14:textId="3A746196" w:rsidR="005D7ED1" w:rsidRPr="00BD6508" w:rsidRDefault="005D7ED1" w:rsidP="00BD6508">
      <w:pPr>
        <w:spacing w:line="276" w:lineRule="auto"/>
        <w:contextualSpacing/>
        <w:jc w:val="both"/>
        <w:rPr>
          <w:rFonts w:ascii="Arial" w:hAnsi="Arial" w:cs="Arial"/>
          <w:sz w:val="24"/>
          <w:szCs w:val="24"/>
          <w:lang w:val="en-US"/>
        </w:rPr>
      </w:pPr>
      <w:r w:rsidRPr="00BD6508">
        <w:rPr>
          <w:rFonts w:ascii="Arial" w:hAnsi="Arial" w:cs="Arial"/>
          <w:sz w:val="24"/>
          <w:szCs w:val="24"/>
          <w:lang w:val="en-US"/>
        </w:rPr>
        <w:t xml:space="preserve">Open data is </w:t>
      </w:r>
      <w:r w:rsidRPr="00BD6508">
        <w:rPr>
          <w:rFonts w:ascii="Arial" w:hAnsi="Arial" w:cs="Arial"/>
          <w:iCs/>
          <w:sz w:val="24"/>
          <w:szCs w:val="24"/>
          <w:lang w:val="en-US"/>
        </w:rPr>
        <w:t>digital data that is made available with the technical and legal characteristics necessary for it to be freely used, reused, and redistributed by anyone, anytime, anywhere</w:t>
      </w:r>
      <w:r w:rsidRPr="00BD6508">
        <w:rPr>
          <w:rFonts w:ascii="Arial" w:hAnsi="Arial" w:cs="Arial"/>
          <w:i/>
          <w:iCs/>
          <w:sz w:val="24"/>
          <w:szCs w:val="24"/>
          <w:lang w:val="en-US"/>
        </w:rPr>
        <w:t>.</w:t>
      </w:r>
      <w:r w:rsidRPr="00BD6508">
        <w:rPr>
          <w:rFonts w:ascii="Arial" w:hAnsi="Arial" w:cs="Arial"/>
          <w:sz w:val="24"/>
          <w:szCs w:val="24"/>
          <w:lang w:val="en-US"/>
        </w:rPr>
        <w:t xml:space="preserve"> Open data can be published either or both by private and public organizations. Public data is not necessarily open data; while open data is always public data. This is because, while a large amount of data is currently published on government websites, the majority of published data is intended only to be read as stand-alone documents, not re-used for other purposes. To be considered “open,” the data must be </w:t>
      </w:r>
      <w:r w:rsidRPr="00BD6508">
        <w:rPr>
          <w:rFonts w:ascii="Arial" w:hAnsi="Arial" w:cs="Arial"/>
          <w:sz w:val="24"/>
          <w:szCs w:val="24"/>
          <w:lang w:val="en-US"/>
        </w:rPr>
        <w:lastRenderedPageBreak/>
        <w:t xml:space="preserve">re-usable, meaning they can be downloaded in open formats and read by software; and users have a legal right to re-use it.  </w:t>
      </w:r>
    </w:p>
    <w:p w14:paraId="0F7E0318" w14:textId="58E3801C" w:rsidR="005D7ED1" w:rsidRPr="003625BA" w:rsidRDefault="005D7ED1" w:rsidP="003625BA">
      <w:pPr>
        <w:tabs>
          <w:tab w:val="left" w:pos="1880"/>
        </w:tabs>
        <w:jc w:val="center"/>
        <w:rPr>
          <w:rFonts w:ascii="Arial" w:hAnsi="Arial" w:cs="Arial"/>
          <w:color w:val="69557F"/>
          <w:sz w:val="24"/>
          <w:szCs w:val="24"/>
        </w:rPr>
      </w:pPr>
    </w:p>
    <w:p w14:paraId="0DC8B040" w14:textId="30475566" w:rsidR="005D7ED1" w:rsidRPr="003625BA" w:rsidRDefault="005D7ED1" w:rsidP="003625BA">
      <w:pPr>
        <w:pStyle w:val="Heading3"/>
        <w:jc w:val="center"/>
        <w:rPr>
          <w:rFonts w:ascii="Arial" w:hAnsi="Arial" w:cs="Arial"/>
          <w:b/>
          <w:bCs/>
          <w:color w:val="69557F"/>
          <w:sz w:val="20"/>
          <w:szCs w:val="20"/>
          <w:lang w:val="en-US"/>
        </w:rPr>
      </w:pPr>
      <w:bookmarkStart w:id="2173" w:name="_Figure_4.2._Open"/>
      <w:bookmarkStart w:id="2174" w:name="_Toc123217491"/>
      <w:bookmarkStart w:id="2175" w:name="_Toc123914104"/>
      <w:bookmarkStart w:id="2176" w:name="_Toc125566719"/>
      <w:bookmarkEnd w:id="2173"/>
      <w:r w:rsidRPr="003625BA">
        <w:rPr>
          <w:rFonts w:ascii="Arial" w:hAnsi="Arial" w:cs="Arial"/>
          <w:b/>
          <w:bCs/>
          <w:color w:val="69557F"/>
          <w:sz w:val="20"/>
          <w:szCs w:val="20"/>
          <w:lang w:val="en-US"/>
        </w:rPr>
        <w:t>Figure 4.2. Open data</w:t>
      </w:r>
      <w:bookmarkEnd w:id="2174"/>
      <w:bookmarkEnd w:id="2175"/>
      <w:bookmarkEnd w:id="2176"/>
    </w:p>
    <w:p w14:paraId="02D3BC09" w14:textId="30B8FA18" w:rsidR="005D7ED1" w:rsidRDefault="005D7ED1" w:rsidP="005D7ED1">
      <w:pPr>
        <w:tabs>
          <w:tab w:val="left" w:pos="1880"/>
        </w:tabs>
        <w:rPr>
          <w:rFonts w:ascii="Arial" w:hAnsi="Arial" w:cs="Arial"/>
          <w:sz w:val="24"/>
          <w:szCs w:val="24"/>
        </w:rPr>
      </w:pPr>
    </w:p>
    <w:p w14:paraId="2F190626" w14:textId="2CD05398" w:rsidR="005D7ED1" w:rsidRPr="005D7ED1" w:rsidRDefault="00213D6A" w:rsidP="00BD6508">
      <w:pPr>
        <w:tabs>
          <w:tab w:val="left" w:pos="188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4253054" behindDoc="0" locked="0" layoutInCell="1" allowOverlap="1" wp14:anchorId="26C25147" wp14:editId="7A48CD95">
            <wp:simplePos x="0" y="0"/>
            <wp:positionH relativeFrom="margin">
              <wp:align>center</wp:align>
            </wp:positionH>
            <wp:positionV relativeFrom="paragraph">
              <wp:posOffset>0</wp:posOffset>
            </wp:positionV>
            <wp:extent cx="6645910" cy="2423160"/>
            <wp:effectExtent l="0" t="0" r="0" b="0"/>
            <wp:wrapSquare wrapText="bothSides"/>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 name="Picture 2278"/>
                    <pic:cNvPicPr/>
                  </pic:nvPicPr>
                  <pic:blipFill>
                    <a:blip r:embed="rId860" cstate="email">
                      <a:extLst>
                        <a:ext uri="{28A0092B-C50C-407E-A947-70E740481C1C}">
                          <a14:useLocalDpi xmlns:a14="http://schemas.microsoft.com/office/drawing/2010/main"/>
                        </a:ext>
                      </a:extLst>
                    </a:blip>
                    <a:stretch>
                      <a:fillRect/>
                    </a:stretch>
                  </pic:blipFill>
                  <pic:spPr>
                    <a:xfrm>
                      <a:off x="0" y="0"/>
                      <a:ext cx="6645910" cy="2423160"/>
                    </a:xfrm>
                    <a:prstGeom prst="rect">
                      <a:avLst/>
                    </a:prstGeom>
                  </pic:spPr>
                </pic:pic>
              </a:graphicData>
            </a:graphic>
            <wp14:sizeRelH relativeFrom="page">
              <wp14:pctWidth>0</wp14:pctWidth>
            </wp14:sizeRelH>
            <wp14:sizeRelV relativeFrom="page">
              <wp14:pctHeight>0</wp14:pctHeight>
            </wp14:sizeRelV>
          </wp:anchor>
        </w:drawing>
      </w:r>
    </w:p>
    <w:p w14:paraId="6D040F81" w14:textId="41868A7B" w:rsidR="005D7ED1" w:rsidRDefault="005D7ED1" w:rsidP="005D7ED1">
      <w:pPr>
        <w:spacing w:line="276" w:lineRule="auto"/>
        <w:contextualSpacing/>
        <w:jc w:val="both"/>
        <w:rPr>
          <w:rFonts w:ascii="Arial" w:hAnsi="Arial" w:cs="Arial"/>
          <w:b/>
          <w:bCs/>
          <w:color w:val="82C9A0"/>
          <w:sz w:val="32"/>
          <w:szCs w:val="32"/>
          <w:lang w:val="en-US"/>
        </w:rPr>
      </w:pPr>
      <w:r w:rsidRPr="00BD6508">
        <w:rPr>
          <w:rFonts w:ascii="Arial" w:hAnsi="Arial" w:cs="Arial"/>
          <w:b/>
          <w:bCs/>
          <w:color w:val="82C9A0"/>
          <w:sz w:val="32"/>
          <w:szCs w:val="32"/>
          <w:lang w:val="en-US"/>
        </w:rPr>
        <w:t xml:space="preserve">As shown in the figure above, the key characteristics of open data include that it is: </w:t>
      </w:r>
    </w:p>
    <w:p w14:paraId="617B5C96" w14:textId="77777777" w:rsidR="00213D6A" w:rsidRDefault="00213D6A" w:rsidP="005D7ED1">
      <w:pPr>
        <w:spacing w:line="276" w:lineRule="auto"/>
        <w:contextualSpacing/>
        <w:jc w:val="both"/>
        <w:rPr>
          <w:rFonts w:ascii="Arial" w:hAnsi="Arial" w:cs="Arial"/>
          <w:b/>
          <w:bCs/>
          <w:color w:val="82C9A0"/>
          <w:sz w:val="32"/>
          <w:szCs w:val="32"/>
          <w:lang w:val="en-US"/>
        </w:rPr>
      </w:pPr>
    </w:p>
    <w:p w14:paraId="2ABB74FF" w14:textId="59D68EF5" w:rsidR="003516CC" w:rsidRDefault="003516CC"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77246" behindDoc="0" locked="0" layoutInCell="1" allowOverlap="1" wp14:anchorId="273CE13A" wp14:editId="00165653">
                <wp:simplePos x="0" y="0"/>
                <wp:positionH relativeFrom="column">
                  <wp:posOffset>1320800</wp:posOffset>
                </wp:positionH>
                <wp:positionV relativeFrom="paragraph">
                  <wp:posOffset>245744</wp:posOffset>
                </wp:positionV>
                <wp:extent cx="5207000" cy="604465"/>
                <wp:effectExtent l="0" t="0" r="0" b="5715"/>
                <wp:wrapNone/>
                <wp:docPr id="2158" name="Text Box 2158"/>
                <wp:cNvGraphicFramePr/>
                <a:graphic xmlns:a="http://schemas.openxmlformats.org/drawingml/2006/main">
                  <a:graphicData uri="http://schemas.microsoft.com/office/word/2010/wordprocessingShape">
                    <wps:wsp>
                      <wps:cNvSpPr txBox="1"/>
                      <wps:spPr>
                        <a:xfrm>
                          <a:off x="0" y="0"/>
                          <a:ext cx="5207000" cy="604465"/>
                        </a:xfrm>
                        <a:prstGeom prst="rect">
                          <a:avLst/>
                        </a:prstGeom>
                        <a:solidFill>
                          <a:schemeClr val="lt1"/>
                        </a:solidFill>
                        <a:ln w="19050">
                          <a:noFill/>
                        </a:ln>
                      </wps:spPr>
                      <wps:txbx>
                        <w:txbxContent>
                          <w:p w14:paraId="4237F4F9" w14:textId="77777777" w:rsidR="00D15FD8" w:rsidRPr="00BD6508" w:rsidRDefault="00D15FD8" w:rsidP="00BD6508">
                            <w:pPr>
                              <w:pStyle w:val="ListParagraph"/>
                              <w:numPr>
                                <w:ilvl w:val="0"/>
                                <w:numId w:val="128"/>
                              </w:numPr>
                              <w:spacing w:line="276" w:lineRule="auto"/>
                              <w:ind w:left="360"/>
                              <w:jc w:val="both"/>
                              <w:rPr>
                                <w:rFonts w:ascii="Arial" w:hAnsi="Arial" w:cs="Arial"/>
                                <w:sz w:val="24"/>
                                <w:szCs w:val="24"/>
                              </w:rPr>
                            </w:pPr>
                            <w:r w:rsidRPr="003516CC">
                              <w:rPr>
                                <w:rFonts w:ascii="Arial" w:hAnsi="Arial" w:cs="Arial"/>
                                <w:sz w:val="24"/>
                                <w:szCs w:val="24"/>
                              </w:rPr>
                              <w:t>No acquisition costs, available in a format over which no entity has exclusive control.</w:t>
                            </w:r>
                            <w:r w:rsidRPr="00BD6508">
                              <w:rPr>
                                <w:rFonts w:ascii="Arial" w:hAnsi="Arial" w:cs="Arial"/>
                                <w:sz w:val="24"/>
                                <w:szCs w:val="24"/>
                              </w:rPr>
                              <w:t xml:space="preserve"> </w:t>
                            </w:r>
                          </w:p>
                          <w:p w14:paraId="41046E5F" w14:textId="77777777" w:rsidR="00D15FD8" w:rsidRPr="003516CC" w:rsidRDefault="00D15FD8" w:rsidP="00BD6508">
                            <w:pPr>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CE13A" id="Text Box 2158" o:spid="_x0000_s1525" type="#_x0000_t202" style="position:absolute;left:0;text-align:left;margin-left:104pt;margin-top:19.35pt;width:410pt;height:47.6pt;z-index:253877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" fillcolor="white [3201]" stroked="f" strokeweight="1.5pt">
                <v:textbox>
                  <w:txbxContent>
                    <w:p w14:paraId="4237F4F9" w14:textId="77777777" w:rsidR="00D15FD8" w:rsidRPr="00BD6508" w:rsidRDefault="00D15FD8" w:rsidP="00BD6508">
                      <w:pPr>
                        <w:pStyle w:val="ListParagraph"/>
                        <w:numPr>
                          <w:ilvl w:val="0"/>
                          <w:numId w:val="128"/>
                        </w:numPr>
                        <w:spacing w:line="276" w:lineRule="auto"/>
                        <w:ind w:left="360"/>
                        <w:jc w:val="both"/>
                        <w:rPr>
                          <w:rFonts w:ascii="Arial" w:hAnsi="Arial" w:cs="Arial"/>
                          <w:sz w:val="24"/>
                          <w:szCs w:val="24"/>
                        </w:rPr>
                      </w:pPr>
                      <w:r w:rsidRPr="003516CC">
                        <w:rPr>
                          <w:rFonts w:ascii="Arial" w:hAnsi="Arial" w:cs="Arial"/>
                          <w:sz w:val="24"/>
                          <w:szCs w:val="24"/>
                        </w:rPr>
                        <w:t>No acquisition costs, available in a format over which no entity has exclusive control.</w:t>
                      </w:r>
                      <w:r w:rsidRPr="00BD6508">
                        <w:rPr>
                          <w:rFonts w:ascii="Arial" w:hAnsi="Arial" w:cs="Arial"/>
                          <w:sz w:val="24"/>
                          <w:szCs w:val="24"/>
                        </w:rPr>
                        <w:t xml:space="preserve"> </w:t>
                      </w:r>
                    </w:p>
                    <w:p w14:paraId="41046E5F" w14:textId="77777777" w:rsidR="00D15FD8" w:rsidRPr="003516CC" w:rsidRDefault="00D15FD8" w:rsidP="00BD6508">
                      <w:pPr>
                        <w:spacing w:line="276" w:lineRule="auto"/>
                      </w:pPr>
                    </w:p>
                  </w:txbxContent>
                </v:textbox>
              </v:shape>
            </w:pict>
          </mc:Fallback>
        </mc:AlternateContent>
      </w:r>
      <w:r>
        <w:rPr>
          <w:rFonts w:ascii="Arial" w:hAnsi="Arial" w:cs="Arial"/>
          <w:b/>
          <w:bCs/>
          <w:noProof/>
          <w:color w:val="82C9A0"/>
          <w:sz w:val="32"/>
          <w:szCs w:val="32"/>
          <w:lang w:val="en-US"/>
        </w:rPr>
        <w:drawing>
          <wp:anchor distT="0" distB="0" distL="114300" distR="114300" simplePos="0" relativeHeight="253876222" behindDoc="1" locked="0" layoutInCell="1" allowOverlap="1" wp14:anchorId="0B650C3E" wp14:editId="7359C0D0">
            <wp:simplePos x="0" y="0"/>
            <wp:positionH relativeFrom="column">
              <wp:posOffset>0</wp:posOffset>
            </wp:positionH>
            <wp:positionV relativeFrom="paragraph">
              <wp:posOffset>10160</wp:posOffset>
            </wp:positionV>
            <wp:extent cx="1260000" cy="720000"/>
            <wp:effectExtent l="0" t="0" r="0" b="4445"/>
            <wp:wrapTight wrapText="bothSides">
              <wp:wrapPolygon edited="0">
                <wp:start x="0" y="0"/>
                <wp:lineTo x="0" y="21352"/>
                <wp:lineTo x="8492" y="21352"/>
                <wp:lineTo x="8492" y="18302"/>
                <wp:lineTo x="19815" y="18302"/>
                <wp:lineTo x="21339" y="17539"/>
                <wp:lineTo x="21339" y="5338"/>
                <wp:lineTo x="11323" y="2669"/>
                <wp:lineTo x="1089" y="0"/>
                <wp:lineTo x="0" y="0"/>
              </wp:wrapPolygon>
            </wp:wrapTight>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Picture 2157"/>
                    <pic:cNvPicPr/>
                  </pic:nvPicPr>
                  <pic:blipFill rotWithShape="1">
                    <a:blip r:embed="rId861" cstate="email">
                      <a:extLst>
                        <a:ext uri="{28A0092B-C50C-407E-A947-70E740481C1C}">
                          <a14:useLocalDpi xmlns:a14="http://schemas.microsoft.com/office/drawing/2010/main"/>
                        </a:ext>
                      </a:extLst>
                    </a:blip>
                    <a:srcRect/>
                    <a:stretch/>
                  </pic:blipFill>
                  <pic:spPr bwMode="auto">
                    <a:xfrm>
                      <a:off x="0" y="0"/>
                      <a:ext cx="1260000"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0EB65" w14:textId="44F531C4" w:rsidR="003516CC" w:rsidRDefault="003516CC" w:rsidP="005D7ED1">
      <w:pPr>
        <w:spacing w:line="276" w:lineRule="auto"/>
        <w:contextualSpacing/>
        <w:jc w:val="both"/>
        <w:rPr>
          <w:rFonts w:ascii="Arial" w:hAnsi="Arial" w:cs="Arial"/>
          <w:b/>
          <w:bCs/>
          <w:color w:val="82C9A0"/>
          <w:sz w:val="32"/>
          <w:szCs w:val="32"/>
          <w:lang w:val="en-US"/>
        </w:rPr>
      </w:pPr>
    </w:p>
    <w:p w14:paraId="2CAB2578" w14:textId="5E8D4AB2" w:rsidR="003516CC" w:rsidRDefault="003516CC" w:rsidP="005D7ED1">
      <w:pPr>
        <w:spacing w:line="276" w:lineRule="auto"/>
        <w:contextualSpacing/>
        <w:jc w:val="both"/>
        <w:rPr>
          <w:rFonts w:ascii="Arial" w:hAnsi="Arial" w:cs="Arial"/>
          <w:b/>
          <w:bCs/>
          <w:color w:val="82C9A0"/>
          <w:sz w:val="32"/>
          <w:szCs w:val="32"/>
          <w:lang w:val="en-US"/>
        </w:rPr>
      </w:pPr>
    </w:p>
    <w:p w14:paraId="0BBA7785" w14:textId="7CFE6451" w:rsidR="003516CC" w:rsidRDefault="003516CC" w:rsidP="005D7ED1">
      <w:pPr>
        <w:spacing w:line="276" w:lineRule="auto"/>
        <w:contextualSpacing/>
        <w:jc w:val="both"/>
        <w:rPr>
          <w:rFonts w:ascii="Arial" w:hAnsi="Arial" w:cs="Arial"/>
          <w:b/>
          <w:bCs/>
          <w:color w:val="82C9A0"/>
          <w:sz w:val="32"/>
          <w:szCs w:val="32"/>
          <w:lang w:val="en-US"/>
        </w:rPr>
      </w:pPr>
    </w:p>
    <w:p w14:paraId="6DDDB3AC" w14:textId="62FADA66" w:rsidR="003516CC" w:rsidRDefault="0031171E"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80318" behindDoc="0" locked="0" layoutInCell="1" allowOverlap="1" wp14:anchorId="569DD82F" wp14:editId="1D4C7734">
                <wp:simplePos x="0" y="0"/>
                <wp:positionH relativeFrom="column">
                  <wp:posOffset>1358900</wp:posOffset>
                </wp:positionH>
                <wp:positionV relativeFrom="paragraph">
                  <wp:posOffset>250825</wp:posOffset>
                </wp:positionV>
                <wp:extent cx="5207000" cy="339090"/>
                <wp:effectExtent l="0" t="0" r="0" b="3810"/>
                <wp:wrapNone/>
                <wp:docPr id="2160" name="Text Box 2160"/>
                <wp:cNvGraphicFramePr/>
                <a:graphic xmlns:a="http://schemas.openxmlformats.org/drawingml/2006/main">
                  <a:graphicData uri="http://schemas.microsoft.com/office/word/2010/wordprocessingShape">
                    <wps:wsp>
                      <wps:cNvSpPr txBox="1"/>
                      <wps:spPr>
                        <a:xfrm>
                          <a:off x="0" y="0"/>
                          <a:ext cx="5207000" cy="339090"/>
                        </a:xfrm>
                        <a:prstGeom prst="rect">
                          <a:avLst/>
                        </a:prstGeom>
                        <a:solidFill>
                          <a:schemeClr val="lt1"/>
                        </a:solidFill>
                        <a:ln w="19050">
                          <a:noFill/>
                        </a:ln>
                      </wps:spPr>
                      <wps:txbx>
                        <w:txbxContent>
                          <w:p w14:paraId="498D9251" w14:textId="6654B30D" w:rsidR="00D15FD8" w:rsidRPr="003516CC" w:rsidRDefault="00D15FD8" w:rsidP="003516CC">
                            <w:r>
                              <w:rPr>
                                <w:rFonts w:ascii="Arial" w:hAnsi="Arial" w:cs="Arial"/>
                                <w:sz w:val="24"/>
                                <w:szCs w:val="24"/>
                              </w:rPr>
                              <w:t xml:space="preserve">2. </w:t>
                            </w:r>
                            <w:r w:rsidRPr="004D2E7D">
                              <w:rPr>
                                <w:rFonts w:ascii="Arial" w:hAnsi="Arial" w:cs="Arial"/>
                                <w:sz w:val="24"/>
                                <w:szCs w:val="24"/>
                              </w:rPr>
                              <w:t>The only requirement to use it is to quote the 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DD82F" id="Text Box 2160" o:spid="_x0000_s1526" type="#_x0000_t202" style="position:absolute;left:0;text-align:left;margin-left:107pt;margin-top:19.75pt;width:410pt;height:26.7pt;z-index:253880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" fillcolor="white [3201]" stroked="f" strokeweight="1.5pt">
                <v:textbox>
                  <w:txbxContent>
                    <w:p w14:paraId="498D9251" w14:textId="6654B30D" w:rsidR="00D15FD8" w:rsidRPr="003516CC" w:rsidRDefault="00D15FD8" w:rsidP="003516CC">
                      <w:r>
                        <w:rPr>
                          <w:rFonts w:ascii="Arial" w:hAnsi="Arial" w:cs="Arial"/>
                          <w:sz w:val="24"/>
                          <w:szCs w:val="24"/>
                        </w:rPr>
                        <w:t xml:space="preserve">2. </w:t>
                      </w:r>
                      <w:r w:rsidRPr="004D2E7D">
                        <w:rPr>
                          <w:rFonts w:ascii="Arial" w:hAnsi="Arial" w:cs="Arial"/>
                          <w:sz w:val="24"/>
                          <w:szCs w:val="24"/>
                        </w:rPr>
                        <w:t>The only requirement to use it is to quote the source.</w:t>
                      </w:r>
                    </w:p>
                  </w:txbxContent>
                </v:textbox>
              </v:shape>
            </w:pict>
          </mc:Fallback>
        </mc:AlternateContent>
      </w:r>
      <w:r w:rsidR="003516CC">
        <w:rPr>
          <w:rFonts w:ascii="Arial" w:hAnsi="Arial" w:cs="Arial"/>
          <w:b/>
          <w:bCs/>
          <w:noProof/>
          <w:color w:val="82C9A0"/>
          <w:sz w:val="32"/>
          <w:szCs w:val="32"/>
          <w:lang w:val="en-US"/>
        </w:rPr>
        <w:drawing>
          <wp:anchor distT="0" distB="0" distL="114300" distR="114300" simplePos="0" relativeHeight="253878270" behindDoc="1" locked="0" layoutInCell="1" allowOverlap="1" wp14:anchorId="32509E87" wp14:editId="01F44C2A">
            <wp:simplePos x="0" y="0"/>
            <wp:positionH relativeFrom="column">
              <wp:posOffset>0</wp:posOffset>
            </wp:positionH>
            <wp:positionV relativeFrom="paragraph">
              <wp:posOffset>0</wp:posOffset>
            </wp:positionV>
            <wp:extent cx="1260000" cy="720704"/>
            <wp:effectExtent l="0" t="0" r="0" b="3810"/>
            <wp:wrapTight wrapText="bothSides">
              <wp:wrapPolygon edited="0">
                <wp:start x="0" y="0"/>
                <wp:lineTo x="0" y="21333"/>
                <wp:lineTo x="8274" y="21333"/>
                <wp:lineTo x="8492" y="18286"/>
                <wp:lineTo x="21339" y="17905"/>
                <wp:lineTo x="21339" y="5333"/>
                <wp:lineTo x="11323" y="2667"/>
                <wp:lineTo x="1089" y="0"/>
                <wp:lineTo x="0" y="0"/>
              </wp:wrapPolygon>
            </wp:wrapTight>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 name="Picture 2159"/>
                    <pic:cNvPicPr/>
                  </pic:nvPicPr>
                  <pic:blipFill rotWithShape="1">
                    <a:blip r:embed="rId862" cstate="email">
                      <a:extLst>
                        <a:ext uri="{28A0092B-C50C-407E-A947-70E740481C1C}">
                          <a14:useLocalDpi xmlns:a14="http://schemas.microsoft.com/office/drawing/2010/main"/>
                        </a:ext>
                      </a:extLst>
                    </a:blip>
                    <a:srcRect/>
                    <a:stretch/>
                  </pic:blipFill>
                  <pic:spPr bwMode="auto">
                    <a:xfrm>
                      <a:off x="0" y="0"/>
                      <a:ext cx="1260000" cy="7207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E275CF" w14:textId="6990618A" w:rsidR="003516CC" w:rsidRDefault="003516CC" w:rsidP="005D7ED1">
      <w:pPr>
        <w:spacing w:line="276" w:lineRule="auto"/>
        <w:contextualSpacing/>
        <w:jc w:val="both"/>
        <w:rPr>
          <w:rFonts w:ascii="Arial" w:hAnsi="Arial" w:cs="Arial"/>
          <w:b/>
          <w:bCs/>
          <w:color w:val="82C9A0"/>
          <w:sz w:val="32"/>
          <w:szCs w:val="32"/>
          <w:lang w:val="en-US"/>
        </w:rPr>
      </w:pPr>
    </w:p>
    <w:p w14:paraId="43E3185C" w14:textId="062803B5" w:rsidR="003516CC" w:rsidRDefault="003516CC" w:rsidP="005D7ED1">
      <w:pPr>
        <w:spacing w:line="276" w:lineRule="auto"/>
        <w:contextualSpacing/>
        <w:jc w:val="both"/>
        <w:rPr>
          <w:rFonts w:ascii="Arial" w:hAnsi="Arial" w:cs="Arial"/>
          <w:b/>
          <w:bCs/>
          <w:color w:val="82C9A0"/>
          <w:sz w:val="32"/>
          <w:szCs w:val="32"/>
          <w:lang w:val="en-US"/>
        </w:rPr>
      </w:pPr>
    </w:p>
    <w:p w14:paraId="4B12866B" w14:textId="2AD2ABD7" w:rsidR="003516CC" w:rsidRDefault="003516CC" w:rsidP="005D7ED1">
      <w:pPr>
        <w:spacing w:line="276" w:lineRule="auto"/>
        <w:contextualSpacing/>
        <w:jc w:val="both"/>
        <w:rPr>
          <w:rFonts w:ascii="Arial" w:hAnsi="Arial" w:cs="Arial"/>
          <w:b/>
          <w:bCs/>
          <w:color w:val="82C9A0"/>
          <w:sz w:val="32"/>
          <w:szCs w:val="32"/>
          <w:lang w:val="en-US"/>
        </w:rPr>
      </w:pPr>
    </w:p>
    <w:p w14:paraId="58CD8F37" w14:textId="63CBC54D" w:rsidR="003516CC" w:rsidRDefault="003516CC"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83390" behindDoc="0" locked="0" layoutInCell="1" allowOverlap="1" wp14:anchorId="4CCC7527" wp14:editId="18A7B894">
                <wp:simplePos x="0" y="0"/>
                <wp:positionH relativeFrom="column">
                  <wp:posOffset>1358900</wp:posOffset>
                </wp:positionH>
                <wp:positionV relativeFrom="paragraph">
                  <wp:posOffset>26670</wp:posOffset>
                </wp:positionV>
                <wp:extent cx="5207000" cy="1981200"/>
                <wp:effectExtent l="0" t="0" r="0" b="0"/>
                <wp:wrapNone/>
                <wp:docPr id="2162" name="Text Box 2162"/>
                <wp:cNvGraphicFramePr/>
                <a:graphic xmlns:a="http://schemas.openxmlformats.org/drawingml/2006/main">
                  <a:graphicData uri="http://schemas.microsoft.com/office/word/2010/wordprocessingShape">
                    <wps:wsp>
                      <wps:cNvSpPr txBox="1"/>
                      <wps:spPr>
                        <a:xfrm>
                          <a:off x="0" y="0"/>
                          <a:ext cx="5207000" cy="1981200"/>
                        </a:xfrm>
                        <a:prstGeom prst="rect">
                          <a:avLst/>
                        </a:prstGeom>
                        <a:solidFill>
                          <a:schemeClr val="lt1"/>
                        </a:solidFill>
                        <a:ln w="19050">
                          <a:noFill/>
                        </a:ln>
                      </wps:spPr>
                      <wps:txbx>
                        <w:txbxContent>
                          <w:p w14:paraId="2BF821A0" w14:textId="25618A52" w:rsidR="00D15FD8" w:rsidRPr="003516CC" w:rsidRDefault="00D15FD8" w:rsidP="000F71C5">
                            <w:pPr>
                              <w:spacing w:line="276" w:lineRule="auto"/>
                              <w:ind w:left="270" w:hanging="270"/>
                              <w:jc w:val="both"/>
                            </w:pPr>
                            <w:r>
                              <w:rPr>
                                <w:rFonts w:ascii="Arial" w:hAnsi="Arial" w:cs="Arial"/>
                                <w:sz w:val="24"/>
                                <w:szCs w:val="24"/>
                              </w:rPr>
                              <w:t xml:space="preserve">3. </w:t>
                            </w:r>
                            <w:r w:rsidRPr="004D2E7D">
                              <w:rPr>
                                <w:rFonts w:ascii="Arial" w:hAnsi="Arial" w:cs="Arial"/>
                                <w:sz w:val="24"/>
                                <w:szCs w:val="24"/>
                              </w:rPr>
                              <w:t>It must present information that explains what the data refers to and include metadata allowing it to be interpreted.</w:t>
                            </w:r>
                            <w:r w:rsidRPr="004D2E7D">
                              <w:rPr>
                                <w:rFonts w:ascii="Arial" w:eastAsiaTheme="minorEastAsia" w:hAnsi="Arial" w:cs="Arial"/>
                                <w:sz w:val="24"/>
                                <w:szCs w:val="24"/>
                                <w:lang w:eastAsia="zh-CN"/>
                              </w:rPr>
                              <w:t xml:space="preserve"> </w:t>
                            </w:r>
                            <w:r w:rsidRPr="004D2E7D">
                              <w:rPr>
                                <w:rFonts w:ascii="Arial" w:hAnsi="Arial" w:cs="Arial"/>
                                <w:sz w:val="24"/>
                                <w:szCs w:val="24"/>
                              </w:rPr>
                              <w:t>Metadata is essentially data about data, that is the information required to be able to use a particular source of data effectively, including information about its source, structure, underlying methodology, topical, geographic and/or temporal coverage, license, when it was last updated and how it is maintained. Specific types of data often include additional metadata as appropriate; for instance, digital photographs may include a time stamp, information about the equipment used, and possibly the GPS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C7527" id="Text Box 2162" o:spid="_x0000_s1527" type="#_x0000_t202" style="position:absolute;left:0;text-align:left;margin-left:107pt;margin-top:2.1pt;width:410pt;height:156pt;z-index:253883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" fillcolor="white [3201]" stroked="f" strokeweight="1.5pt">
                <v:textbox>
                  <w:txbxContent>
                    <w:p w14:paraId="2BF821A0" w14:textId="25618A52" w:rsidR="00D15FD8" w:rsidRPr="003516CC" w:rsidRDefault="00D15FD8" w:rsidP="000F71C5">
                      <w:pPr>
                        <w:spacing w:line="276" w:lineRule="auto"/>
                        <w:ind w:left="270" w:hanging="270"/>
                        <w:jc w:val="both"/>
                      </w:pPr>
                      <w:r>
                        <w:rPr>
                          <w:rFonts w:ascii="Arial" w:hAnsi="Arial" w:cs="Arial"/>
                          <w:sz w:val="24"/>
                          <w:szCs w:val="24"/>
                        </w:rPr>
                        <w:t xml:space="preserve">3. </w:t>
                      </w:r>
                      <w:r w:rsidRPr="004D2E7D">
                        <w:rPr>
                          <w:rFonts w:ascii="Arial" w:hAnsi="Arial" w:cs="Arial"/>
                          <w:sz w:val="24"/>
                          <w:szCs w:val="24"/>
                        </w:rPr>
                        <w:t>It must present information that explains what the data refers to and include metadata allowing it to be interpreted.</w:t>
                      </w:r>
                      <w:r w:rsidRPr="004D2E7D">
                        <w:rPr>
                          <w:rFonts w:ascii="Arial" w:eastAsiaTheme="minorEastAsia" w:hAnsi="Arial" w:cs="Arial"/>
                          <w:sz w:val="24"/>
                          <w:szCs w:val="24"/>
                          <w:lang w:eastAsia="zh-CN"/>
                        </w:rPr>
                        <w:t xml:space="preserve"> </w:t>
                      </w:r>
                      <w:r w:rsidRPr="004D2E7D">
                        <w:rPr>
                          <w:rFonts w:ascii="Arial" w:hAnsi="Arial" w:cs="Arial"/>
                          <w:sz w:val="24"/>
                          <w:szCs w:val="24"/>
                        </w:rPr>
                        <w:t>Metadata is essentially data about data, that is the information required to be able to use a particular source of data effectively, including information about its source, structure, underlying methodology, topical, geographic and/or temporal coverage, license, when it was last updated and how it is maintained. Specific types of data often include additional metadata as appropriate; for instance, digital photographs may include a time stamp, information about the equipment used, and possibly the GPS location.</w:t>
                      </w:r>
                    </w:p>
                  </w:txbxContent>
                </v:textbox>
              </v:shape>
            </w:pict>
          </mc:Fallback>
        </mc:AlternateContent>
      </w:r>
      <w:r>
        <w:rPr>
          <w:rFonts w:ascii="Arial" w:hAnsi="Arial" w:cs="Arial"/>
          <w:b/>
          <w:bCs/>
          <w:noProof/>
          <w:color w:val="82C9A0"/>
          <w:sz w:val="32"/>
          <w:szCs w:val="32"/>
          <w:lang w:val="en-US"/>
        </w:rPr>
        <w:drawing>
          <wp:anchor distT="0" distB="0" distL="114300" distR="114300" simplePos="0" relativeHeight="253881342" behindDoc="1" locked="0" layoutInCell="1" allowOverlap="1" wp14:anchorId="78FE3BF8" wp14:editId="10F12FE1">
            <wp:simplePos x="0" y="0"/>
            <wp:positionH relativeFrom="column">
              <wp:posOffset>0</wp:posOffset>
            </wp:positionH>
            <wp:positionV relativeFrom="paragraph">
              <wp:posOffset>0</wp:posOffset>
            </wp:positionV>
            <wp:extent cx="1260000" cy="712727"/>
            <wp:effectExtent l="0" t="0" r="0" b="0"/>
            <wp:wrapTight wrapText="bothSides">
              <wp:wrapPolygon edited="0">
                <wp:start x="0" y="0"/>
                <wp:lineTo x="0" y="21176"/>
                <wp:lineTo x="8274" y="21176"/>
                <wp:lineTo x="8492" y="18481"/>
                <wp:lineTo x="21339" y="18096"/>
                <wp:lineTo x="21339" y="5005"/>
                <wp:lineTo x="1089" y="0"/>
                <wp:lineTo x="0" y="0"/>
              </wp:wrapPolygon>
            </wp:wrapTight>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Picture 2161"/>
                    <pic:cNvPicPr/>
                  </pic:nvPicPr>
                  <pic:blipFill rotWithShape="1">
                    <a:blip r:embed="rId863" cstate="email">
                      <a:extLst>
                        <a:ext uri="{28A0092B-C50C-407E-A947-70E740481C1C}">
                          <a14:useLocalDpi xmlns:a14="http://schemas.microsoft.com/office/drawing/2010/main"/>
                        </a:ext>
                      </a:extLst>
                    </a:blip>
                    <a:srcRect/>
                    <a:stretch/>
                  </pic:blipFill>
                  <pic:spPr bwMode="auto">
                    <a:xfrm>
                      <a:off x="0" y="0"/>
                      <a:ext cx="1260000" cy="7127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8AC5AE" w14:textId="219B9A7B" w:rsidR="003516CC" w:rsidRDefault="003516CC" w:rsidP="005D7ED1">
      <w:pPr>
        <w:spacing w:line="276" w:lineRule="auto"/>
        <w:contextualSpacing/>
        <w:jc w:val="both"/>
        <w:rPr>
          <w:rFonts w:ascii="Arial" w:hAnsi="Arial" w:cs="Arial"/>
          <w:b/>
          <w:bCs/>
          <w:color w:val="82C9A0"/>
          <w:sz w:val="32"/>
          <w:szCs w:val="32"/>
          <w:lang w:val="en-US"/>
        </w:rPr>
      </w:pPr>
    </w:p>
    <w:p w14:paraId="0291737F" w14:textId="7CCB0C1B" w:rsidR="003516CC" w:rsidRDefault="003516CC" w:rsidP="005D7ED1">
      <w:pPr>
        <w:spacing w:line="276" w:lineRule="auto"/>
        <w:contextualSpacing/>
        <w:jc w:val="both"/>
        <w:rPr>
          <w:rFonts w:ascii="Arial" w:hAnsi="Arial" w:cs="Arial"/>
          <w:b/>
          <w:bCs/>
          <w:color w:val="82C9A0"/>
          <w:sz w:val="32"/>
          <w:szCs w:val="32"/>
          <w:lang w:val="en-US"/>
        </w:rPr>
      </w:pPr>
    </w:p>
    <w:p w14:paraId="5BCA3243" w14:textId="40F75F14" w:rsidR="003516CC" w:rsidRDefault="003516CC" w:rsidP="005D7ED1">
      <w:pPr>
        <w:spacing w:line="276" w:lineRule="auto"/>
        <w:contextualSpacing/>
        <w:jc w:val="both"/>
        <w:rPr>
          <w:rFonts w:ascii="Arial" w:hAnsi="Arial" w:cs="Arial"/>
          <w:b/>
          <w:bCs/>
          <w:color w:val="82C9A0"/>
          <w:sz w:val="32"/>
          <w:szCs w:val="32"/>
          <w:lang w:val="en-US"/>
        </w:rPr>
      </w:pPr>
    </w:p>
    <w:p w14:paraId="037F777E" w14:textId="137183EF" w:rsidR="003516CC" w:rsidRDefault="003516CC" w:rsidP="005D7ED1">
      <w:pPr>
        <w:spacing w:line="276" w:lineRule="auto"/>
        <w:contextualSpacing/>
        <w:jc w:val="both"/>
        <w:rPr>
          <w:rFonts w:ascii="Arial" w:hAnsi="Arial" w:cs="Arial"/>
          <w:b/>
          <w:bCs/>
          <w:color w:val="82C9A0"/>
          <w:sz w:val="32"/>
          <w:szCs w:val="32"/>
          <w:lang w:val="en-US"/>
        </w:rPr>
      </w:pPr>
    </w:p>
    <w:p w14:paraId="5D3DCD5C" w14:textId="68D288B9" w:rsidR="003516CC" w:rsidRDefault="003516CC" w:rsidP="005D7ED1">
      <w:pPr>
        <w:spacing w:line="276" w:lineRule="auto"/>
        <w:contextualSpacing/>
        <w:jc w:val="both"/>
        <w:rPr>
          <w:rFonts w:ascii="Arial" w:hAnsi="Arial" w:cs="Arial"/>
          <w:b/>
          <w:bCs/>
          <w:color w:val="82C9A0"/>
          <w:sz w:val="32"/>
          <w:szCs w:val="32"/>
          <w:lang w:val="en-US"/>
        </w:rPr>
      </w:pPr>
    </w:p>
    <w:p w14:paraId="34F6D86C" w14:textId="32DD7EA3" w:rsidR="003516CC" w:rsidRDefault="003516CC" w:rsidP="005D7ED1">
      <w:pPr>
        <w:spacing w:line="276" w:lineRule="auto"/>
        <w:contextualSpacing/>
        <w:jc w:val="both"/>
        <w:rPr>
          <w:rFonts w:ascii="Arial" w:hAnsi="Arial" w:cs="Arial"/>
          <w:b/>
          <w:bCs/>
          <w:color w:val="82C9A0"/>
          <w:sz w:val="32"/>
          <w:szCs w:val="32"/>
          <w:lang w:val="en-US"/>
        </w:rPr>
      </w:pPr>
    </w:p>
    <w:p w14:paraId="3C1A6B87" w14:textId="5AF602CF" w:rsidR="003516CC" w:rsidRDefault="003516CC" w:rsidP="005D7ED1">
      <w:pPr>
        <w:spacing w:line="276" w:lineRule="auto"/>
        <w:contextualSpacing/>
        <w:jc w:val="both"/>
        <w:rPr>
          <w:rFonts w:ascii="Arial" w:hAnsi="Arial" w:cs="Arial"/>
          <w:b/>
          <w:bCs/>
          <w:color w:val="82C9A0"/>
          <w:sz w:val="32"/>
          <w:szCs w:val="32"/>
          <w:lang w:val="en-US"/>
        </w:rPr>
      </w:pPr>
    </w:p>
    <w:p w14:paraId="650D809A" w14:textId="02F65D2C" w:rsidR="003516CC" w:rsidRDefault="00F26166"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w:lastRenderedPageBreak/>
        <mc:AlternateContent>
          <mc:Choice Requires="wps">
            <w:drawing>
              <wp:anchor distT="0" distB="0" distL="114300" distR="114300" simplePos="0" relativeHeight="253885438" behindDoc="0" locked="0" layoutInCell="1" allowOverlap="1" wp14:anchorId="05902FB8" wp14:editId="01954FE0">
                <wp:simplePos x="0" y="0"/>
                <wp:positionH relativeFrom="column">
                  <wp:posOffset>1473200</wp:posOffset>
                </wp:positionH>
                <wp:positionV relativeFrom="paragraph">
                  <wp:posOffset>163901</wp:posOffset>
                </wp:positionV>
                <wp:extent cx="5092700" cy="334010"/>
                <wp:effectExtent l="0" t="0" r="0" b="0"/>
                <wp:wrapNone/>
                <wp:docPr id="2164" name="Text Box 2164"/>
                <wp:cNvGraphicFramePr/>
                <a:graphic xmlns:a="http://schemas.openxmlformats.org/drawingml/2006/main">
                  <a:graphicData uri="http://schemas.microsoft.com/office/word/2010/wordprocessingShape">
                    <wps:wsp>
                      <wps:cNvSpPr txBox="1"/>
                      <wps:spPr>
                        <a:xfrm>
                          <a:off x="0" y="0"/>
                          <a:ext cx="5092700" cy="334010"/>
                        </a:xfrm>
                        <a:prstGeom prst="rect">
                          <a:avLst/>
                        </a:prstGeom>
                        <a:solidFill>
                          <a:schemeClr val="lt1"/>
                        </a:solidFill>
                        <a:ln w="19050">
                          <a:noFill/>
                        </a:ln>
                      </wps:spPr>
                      <wps:txbx>
                        <w:txbxContent>
                          <w:p w14:paraId="3AE02E7D" w14:textId="5D96E623" w:rsidR="00D15FD8" w:rsidRPr="00F26166" w:rsidRDefault="00D15FD8" w:rsidP="00F26166">
                            <w:pPr>
                              <w:spacing w:line="276" w:lineRule="auto"/>
                              <w:jc w:val="both"/>
                              <w:rPr>
                                <w:rFonts w:ascii="Arial" w:hAnsi="Arial" w:cs="Arial"/>
                                <w:sz w:val="24"/>
                                <w:szCs w:val="24"/>
                              </w:rPr>
                            </w:pPr>
                            <w:r>
                              <w:rPr>
                                <w:rFonts w:ascii="Arial" w:hAnsi="Arial" w:cs="Arial"/>
                                <w:sz w:val="24"/>
                                <w:szCs w:val="24"/>
                              </w:rPr>
                              <w:t>4. P</w:t>
                            </w:r>
                            <w:r w:rsidRPr="00F26166">
                              <w:rPr>
                                <w:rFonts w:ascii="Arial" w:hAnsi="Arial" w:cs="Arial"/>
                                <w:sz w:val="24"/>
                                <w:szCs w:val="24"/>
                              </w:rPr>
                              <w:t xml:space="preserve">ublished and updated as it is generated. </w:t>
                            </w:r>
                          </w:p>
                          <w:p w14:paraId="6FBF1D26" w14:textId="3F084231" w:rsidR="00D15FD8" w:rsidRPr="003516CC" w:rsidRDefault="00D15FD8" w:rsidP="003516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02FB8" id="Text Box 2164" o:spid="_x0000_s1528" type="#_x0000_t202" style="position:absolute;left:0;text-align:left;margin-left:116pt;margin-top:12.9pt;width:401pt;height:26.3pt;z-index:253885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" fillcolor="white [3201]" stroked="f" strokeweight="1.5pt">
                <v:textbox>
                  <w:txbxContent>
                    <w:p w14:paraId="3AE02E7D" w14:textId="5D96E623" w:rsidR="00D15FD8" w:rsidRPr="00F26166" w:rsidRDefault="00D15FD8" w:rsidP="00F26166">
                      <w:pPr>
                        <w:spacing w:line="276" w:lineRule="auto"/>
                        <w:jc w:val="both"/>
                        <w:rPr>
                          <w:rFonts w:ascii="Arial" w:hAnsi="Arial" w:cs="Arial"/>
                          <w:sz w:val="24"/>
                          <w:szCs w:val="24"/>
                        </w:rPr>
                      </w:pPr>
                      <w:r>
                        <w:rPr>
                          <w:rFonts w:ascii="Arial" w:hAnsi="Arial" w:cs="Arial"/>
                          <w:sz w:val="24"/>
                          <w:szCs w:val="24"/>
                        </w:rPr>
                        <w:t>4. P</w:t>
                      </w:r>
                      <w:r w:rsidRPr="00F26166">
                        <w:rPr>
                          <w:rFonts w:ascii="Arial" w:hAnsi="Arial" w:cs="Arial"/>
                          <w:sz w:val="24"/>
                          <w:szCs w:val="24"/>
                        </w:rPr>
                        <w:t xml:space="preserve">ublished and updated as it is generated. </w:t>
                      </w:r>
                    </w:p>
                    <w:p w14:paraId="6FBF1D26" w14:textId="3F084231" w:rsidR="00D15FD8" w:rsidRPr="003516CC" w:rsidRDefault="00D15FD8" w:rsidP="003516CC"/>
                  </w:txbxContent>
                </v:textbox>
              </v:shape>
            </w:pict>
          </mc:Fallback>
        </mc:AlternateContent>
      </w:r>
      <w:r w:rsidR="003516CC">
        <w:rPr>
          <w:rFonts w:ascii="Arial" w:hAnsi="Arial" w:cs="Arial"/>
          <w:b/>
          <w:bCs/>
          <w:noProof/>
          <w:color w:val="82C9A0"/>
          <w:sz w:val="32"/>
          <w:szCs w:val="32"/>
          <w:lang w:val="en-US"/>
        </w:rPr>
        <w:drawing>
          <wp:inline distT="0" distB="0" distL="0" distR="0" wp14:anchorId="363D21FB" wp14:editId="07EC862E">
            <wp:extent cx="1260000" cy="715135"/>
            <wp:effectExtent l="0" t="0" r="0" b="0"/>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 name="Picture 2163"/>
                    <pic:cNvPicPr/>
                  </pic:nvPicPr>
                  <pic:blipFill rotWithShape="1">
                    <a:blip r:embed="rId864" cstate="email">
                      <a:extLst>
                        <a:ext uri="{28A0092B-C50C-407E-A947-70E740481C1C}">
                          <a14:useLocalDpi xmlns:a14="http://schemas.microsoft.com/office/drawing/2010/main"/>
                        </a:ext>
                      </a:extLst>
                    </a:blip>
                    <a:srcRect/>
                    <a:stretch/>
                  </pic:blipFill>
                  <pic:spPr bwMode="auto">
                    <a:xfrm>
                      <a:off x="0" y="0"/>
                      <a:ext cx="1260000" cy="715135"/>
                    </a:xfrm>
                    <a:prstGeom prst="rect">
                      <a:avLst/>
                    </a:prstGeom>
                    <a:ln>
                      <a:noFill/>
                    </a:ln>
                    <a:extLst>
                      <a:ext uri="{53640926-AAD7-44D8-BBD7-CCE9431645EC}">
                        <a14:shadowObscured xmlns:a14="http://schemas.microsoft.com/office/drawing/2010/main"/>
                      </a:ext>
                    </a:extLst>
                  </pic:spPr>
                </pic:pic>
              </a:graphicData>
            </a:graphic>
          </wp:inline>
        </w:drawing>
      </w:r>
    </w:p>
    <w:p w14:paraId="1C5FBF9B" w14:textId="5917D940" w:rsidR="003516CC" w:rsidRDefault="003516CC" w:rsidP="005D7ED1">
      <w:pPr>
        <w:spacing w:line="276" w:lineRule="auto"/>
        <w:contextualSpacing/>
        <w:jc w:val="both"/>
        <w:rPr>
          <w:rFonts w:ascii="Arial" w:hAnsi="Arial" w:cs="Arial"/>
          <w:b/>
          <w:bCs/>
          <w:color w:val="82C9A0"/>
          <w:sz w:val="32"/>
          <w:szCs w:val="32"/>
          <w:lang w:val="en-US"/>
        </w:rPr>
      </w:pPr>
    </w:p>
    <w:p w14:paraId="241252CC" w14:textId="58F59FCE" w:rsidR="003516CC" w:rsidRDefault="003516CC"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87486" behindDoc="0" locked="0" layoutInCell="1" allowOverlap="1" wp14:anchorId="5659AAB2" wp14:editId="63676D0E">
                <wp:simplePos x="0" y="0"/>
                <wp:positionH relativeFrom="column">
                  <wp:posOffset>1473200</wp:posOffset>
                </wp:positionH>
                <wp:positionV relativeFrom="paragraph">
                  <wp:posOffset>170674</wp:posOffset>
                </wp:positionV>
                <wp:extent cx="5092700" cy="334010"/>
                <wp:effectExtent l="0" t="0" r="0" b="0"/>
                <wp:wrapNone/>
                <wp:docPr id="2166" name="Text Box 2166"/>
                <wp:cNvGraphicFramePr/>
                <a:graphic xmlns:a="http://schemas.openxmlformats.org/drawingml/2006/main">
                  <a:graphicData uri="http://schemas.microsoft.com/office/word/2010/wordprocessingShape">
                    <wps:wsp>
                      <wps:cNvSpPr txBox="1"/>
                      <wps:spPr>
                        <a:xfrm>
                          <a:off x="0" y="0"/>
                          <a:ext cx="5092700" cy="334010"/>
                        </a:xfrm>
                        <a:prstGeom prst="rect">
                          <a:avLst/>
                        </a:prstGeom>
                        <a:solidFill>
                          <a:schemeClr val="lt1"/>
                        </a:solidFill>
                        <a:ln w="19050">
                          <a:noFill/>
                        </a:ln>
                      </wps:spPr>
                      <wps:txbx>
                        <w:txbxContent>
                          <w:p w14:paraId="33707CEB" w14:textId="298DCBFA" w:rsidR="00D15FD8" w:rsidRPr="003516CC" w:rsidRDefault="00D15FD8" w:rsidP="003516CC">
                            <w:r>
                              <w:rPr>
                                <w:rFonts w:ascii="Arial" w:hAnsi="Arial" w:cs="Arial"/>
                                <w:sz w:val="24"/>
                                <w:szCs w:val="24"/>
                              </w:rPr>
                              <w:t xml:space="preserve">5. </w:t>
                            </w:r>
                            <w:r w:rsidRPr="004D2E7D">
                              <w:rPr>
                                <w:rFonts w:ascii="Arial" w:hAnsi="Arial" w:cs="Arial"/>
                                <w:sz w:val="24"/>
                                <w:szCs w:val="24"/>
                              </w:rPr>
                              <w:t>Accessible without restrictions</w:t>
                            </w:r>
                            <w:r w:rsidRPr="004D2E7D">
                              <w:rPr>
                                <w:rFonts w:ascii="Arial" w:hAnsi="Arial" w:cs="Arial"/>
                                <w: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9AAB2" id="Text Box 2166" o:spid="_x0000_s1529" type="#_x0000_t202" style="position:absolute;left:0;text-align:left;margin-left:116pt;margin-top:13.45pt;width:401pt;height:26.3pt;z-index:253887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" fillcolor="white [3201]" stroked="f" strokeweight="1.5pt">
                <v:textbox>
                  <w:txbxContent>
                    <w:p w14:paraId="33707CEB" w14:textId="298DCBFA" w:rsidR="00D15FD8" w:rsidRPr="003516CC" w:rsidRDefault="00D15FD8" w:rsidP="003516CC">
                      <w:r>
                        <w:rPr>
                          <w:rFonts w:ascii="Arial" w:hAnsi="Arial" w:cs="Arial"/>
                          <w:sz w:val="24"/>
                          <w:szCs w:val="24"/>
                        </w:rPr>
                        <w:t xml:space="preserve">5. </w:t>
                      </w:r>
                      <w:r w:rsidRPr="004D2E7D">
                        <w:rPr>
                          <w:rFonts w:ascii="Arial" w:hAnsi="Arial" w:cs="Arial"/>
                          <w:sz w:val="24"/>
                          <w:szCs w:val="24"/>
                        </w:rPr>
                        <w:t>Accessible without restrictions</w:t>
                      </w:r>
                      <w:r w:rsidRPr="004D2E7D">
                        <w:rPr>
                          <w:rFonts w:ascii="Arial" w:hAnsi="Arial" w:cs="Arial"/>
                          <w:i/>
                          <w:sz w:val="24"/>
                          <w:szCs w:val="24"/>
                        </w:rPr>
                        <w:t>.</w:t>
                      </w:r>
                    </w:p>
                  </w:txbxContent>
                </v:textbox>
              </v:shape>
            </w:pict>
          </mc:Fallback>
        </mc:AlternateContent>
      </w:r>
      <w:r>
        <w:rPr>
          <w:rFonts w:ascii="Arial" w:hAnsi="Arial" w:cs="Arial"/>
          <w:b/>
          <w:bCs/>
          <w:noProof/>
          <w:color w:val="82C9A0"/>
          <w:sz w:val="32"/>
          <w:szCs w:val="32"/>
          <w:lang w:val="en-US"/>
        </w:rPr>
        <w:drawing>
          <wp:inline distT="0" distB="0" distL="0" distR="0" wp14:anchorId="5BD7A00D" wp14:editId="6DDBC09A">
            <wp:extent cx="1260000" cy="721212"/>
            <wp:effectExtent l="0" t="0" r="0" b="3175"/>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Picture 2165"/>
                    <pic:cNvPicPr/>
                  </pic:nvPicPr>
                  <pic:blipFill rotWithShape="1">
                    <a:blip r:embed="rId865" cstate="email">
                      <a:extLst>
                        <a:ext uri="{28A0092B-C50C-407E-A947-70E740481C1C}">
                          <a14:useLocalDpi xmlns:a14="http://schemas.microsoft.com/office/drawing/2010/main"/>
                        </a:ext>
                      </a:extLst>
                    </a:blip>
                    <a:srcRect/>
                    <a:stretch/>
                  </pic:blipFill>
                  <pic:spPr bwMode="auto">
                    <a:xfrm>
                      <a:off x="0" y="0"/>
                      <a:ext cx="1260000" cy="721212"/>
                    </a:xfrm>
                    <a:prstGeom prst="rect">
                      <a:avLst/>
                    </a:prstGeom>
                    <a:ln>
                      <a:noFill/>
                    </a:ln>
                    <a:extLst>
                      <a:ext uri="{53640926-AAD7-44D8-BBD7-CCE9431645EC}">
                        <a14:shadowObscured xmlns:a14="http://schemas.microsoft.com/office/drawing/2010/main"/>
                      </a:ext>
                    </a:extLst>
                  </pic:spPr>
                </pic:pic>
              </a:graphicData>
            </a:graphic>
          </wp:inline>
        </w:drawing>
      </w:r>
    </w:p>
    <w:p w14:paraId="47A79A11" w14:textId="3C82A571" w:rsidR="003516CC" w:rsidRDefault="003516CC" w:rsidP="005D7ED1">
      <w:pPr>
        <w:spacing w:line="276" w:lineRule="auto"/>
        <w:contextualSpacing/>
        <w:jc w:val="both"/>
        <w:rPr>
          <w:rFonts w:ascii="Arial" w:hAnsi="Arial" w:cs="Arial"/>
          <w:b/>
          <w:bCs/>
          <w:color w:val="82C9A0"/>
          <w:sz w:val="32"/>
          <w:szCs w:val="32"/>
          <w:lang w:val="en-US"/>
        </w:rPr>
      </w:pPr>
    </w:p>
    <w:p w14:paraId="5BAE69EB" w14:textId="343C5731" w:rsidR="003516CC" w:rsidRDefault="003516CC"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89534" behindDoc="0" locked="0" layoutInCell="1" allowOverlap="1" wp14:anchorId="5F034FE9" wp14:editId="1D7348E9">
                <wp:simplePos x="0" y="0"/>
                <wp:positionH relativeFrom="column">
                  <wp:posOffset>1473200</wp:posOffset>
                </wp:positionH>
                <wp:positionV relativeFrom="paragraph">
                  <wp:posOffset>133209</wp:posOffset>
                </wp:positionV>
                <wp:extent cx="5092700" cy="395111"/>
                <wp:effectExtent l="0" t="0" r="0" b="0"/>
                <wp:wrapNone/>
                <wp:docPr id="2168" name="Text Box 2168"/>
                <wp:cNvGraphicFramePr/>
                <a:graphic xmlns:a="http://schemas.openxmlformats.org/drawingml/2006/main">
                  <a:graphicData uri="http://schemas.microsoft.com/office/word/2010/wordprocessingShape">
                    <wps:wsp>
                      <wps:cNvSpPr txBox="1"/>
                      <wps:spPr>
                        <a:xfrm>
                          <a:off x="0" y="0"/>
                          <a:ext cx="5092700" cy="395111"/>
                        </a:xfrm>
                        <a:prstGeom prst="rect">
                          <a:avLst/>
                        </a:prstGeom>
                        <a:solidFill>
                          <a:schemeClr val="lt1"/>
                        </a:solidFill>
                        <a:ln w="19050">
                          <a:noFill/>
                        </a:ln>
                      </wps:spPr>
                      <wps:txbx>
                        <w:txbxContent>
                          <w:p w14:paraId="6DAABFAB" w14:textId="00297FCF" w:rsidR="00D15FD8" w:rsidRPr="003516CC" w:rsidRDefault="00D15FD8" w:rsidP="000F71C5">
                            <w:pPr>
                              <w:spacing w:line="276" w:lineRule="auto"/>
                              <w:ind w:left="270" w:hanging="270"/>
                              <w:jc w:val="both"/>
                            </w:pPr>
                            <w:r>
                              <w:rPr>
                                <w:rFonts w:ascii="Arial" w:hAnsi="Arial" w:cs="Arial"/>
                                <w:sz w:val="24"/>
                                <w:szCs w:val="24"/>
                              </w:rPr>
                              <w:t xml:space="preserve">6. </w:t>
                            </w:r>
                            <w:r w:rsidRPr="004D2E7D">
                              <w:rPr>
                                <w:rFonts w:ascii="Arial" w:hAnsi="Arial" w:cs="Arial"/>
                                <w:sz w:val="24"/>
                                <w:szCs w:val="24"/>
                              </w:rPr>
                              <w:t>Arises from the original source, with the highest level of disaggregation.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34FE9" id="Text Box 2168" o:spid="_x0000_s1530" type="#_x0000_t202" style="position:absolute;left:0;text-align:left;margin-left:116pt;margin-top:10.5pt;width:401pt;height:31.1pt;z-index:25388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" fillcolor="white [3201]" stroked="f" strokeweight="1.5pt">
                <v:textbox>
                  <w:txbxContent>
                    <w:p w14:paraId="6DAABFAB" w14:textId="00297FCF" w:rsidR="00D15FD8" w:rsidRPr="003516CC" w:rsidRDefault="00D15FD8" w:rsidP="000F71C5">
                      <w:pPr>
                        <w:spacing w:line="276" w:lineRule="auto"/>
                        <w:ind w:left="270" w:hanging="270"/>
                        <w:jc w:val="both"/>
                      </w:pPr>
                      <w:r>
                        <w:rPr>
                          <w:rFonts w:ascii="Arial" w:hAnsi="Arial" w:cs="Arial"/>
                          <w:sz w:val="24"/>
                          <w:szCs w:val="24"/>
                        </w:rPr>
                        <w:t xml:space="preserve">6. </w:t>
                      </w:r>
                      <w:r w:rsidRPr="004D2E7D">
                        <w:rPr>
                          <w:rFonts w:ascii="Arial" w:hAnsi="Arial" w:cs="Arial"/>
                          <w:sz w:val="24"/>
                          <w:szCs w:val="24"/>
                        </w:rPr>
                        <w:t>Arises from the original source, with the highest level of disaggregation.</w:t>
                      </w:r>
                    </w:p>
                  </w:txbxContent>
                </v:textbox>
              </v:shape>
            </w:pict>
          </mc:Fallback>
        </mc:AlternateContent>
      </w:r>
      <w:r>
        <w:rPr>
          <w:rFonts w:ascii="Arial" w:hAnsi="Arial" w:cs="Arial"/>
          <w:b/>
          <w:bCs/>
          <w:noProof/>
          <w:color w:val="82C9A0"/>
          <w:sz w:val="32"/>
          <w:szCs w:val="32"/>
          <w:lang w:val="en-US"/>
        </w:rPr>
        <w:drawing>
          <wp:inline distT="0" distB="0" distL="0" distR="0" wp14:anchorId="3A7B2602" wp14:editId="0FE58DC3">
            <wp:extent cx="1260000" cy="721830"/>
            <wp:effectExtent l="0" t="0" r="0" b="2540"/>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 name="Picture 2167"/>
                    <pic:cNvPicPr/>
                  </pic:nvPicPr>
                  <pic:blipFill rotWithShape="1">
                    <a:blip r:embed="rId866" cstate="email">
                      <a:extLst>
                        <a:ext uri="{28A0092B-C50C-407E-A947-70E740481C1C}">
                          <a14:useLocalDpi xmlns:a14="http://schemas.microsoft.com/office/drawing/2010/main"/>
                        </a:ext>
                      </a:extLst>
                    </a:blip>
                    <a:srcRect/>
                    <a:stretch/>
                  </pic:blipFill>
                  <pic:spPr bwMode="auto">
                    <a:xfrm>
                      <a:off x="0" y="0"/>
                      <a:ext cx="1260000" cy="721830"/>
                    </a:xfrm>
                    <a:prstGeom prst="rect">
                      <a:avLst/>
                    </a:prstGeom>
                    <a:ln>
                      <a:noFill/>
                    </a:ln>
                    <a:extLst>
                      <a:ext uri="{53640926-AAD7-44D8-BBD7-CCE9431645EC}">
                        <a14:shadowObscured xmlns:a14="http://schemas.microsoft.com/office/drawing/2010/main"/>
                      </a:ext>
                    </a:extLst>
                  </pic:spPr>
                </pic:pic>
              </a:graphicData>
            </a:graphic>
          </wp:inline>
        </w:drawing>
      </w:r>
    </w:p>
    <w:p w14:paraId="1C27D93E" w14:textId="6DF2F07D" w:rsidR="003516CC" w:rsidRDefault="003516CC" w:rsidP="005D7ED1">
      <w:pPr>
        <w:spacing w:line="276" w:lineRule="auto"/>
        <w:contextualSpacing/>
        <w:jc w:val="both"/>
        <w:rPr>
          <w:rFonts w:ascii="Arial" w:hAnsi="Arial" w:cs="Arial"/>
          <w:b/>
          <w:bCs/>
          <w:color w:val="82C9A0"/>
          <w:sz w:val="32"/>
          <w:szCs w:val="32"/>
          <w:lang w:val="en-US"/>
        </w:rPr>
      </w:pPr>
    </w:p>
    <w:p w14:paraId="254A8102" w14:textId="5D44E84D" w:rsidR="003516CC" w:rsidRDefault="007201A9"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91582" behindDoc="0" locked="0" layoutInCell="1" allowOverlap="1" wp14:anchorId="21E80E0F" wp14:editId="7C71BE9B">
                <wp:simplePos x="0" y="0"/>
                <wp:positionH relativeFrom="column">
                  <wp:posOffset>1473200</wp:posOffset>
                </wp:positionH>
                <wp:positionV relativeFrom="paragraph">
                  <wp:posOffset>149366</wp:posOffset>
                </wp:positionV>
                <wp:extent cx="5092700" cy="334010"/>
                <wp:effectExtent l="0" t="0" r="0" b="0"/>
                <wp:wrapNone/>
                <wp:docPr id="2170" name="Text Box 2170"/>
                <wp:cNvGraphicFramePr/>
                <a:graphic xmlns:a="http://schemas.openxmlformats.org/drawingml/2006/main">
                  <a:graphicData uri="http://schemas.microsoft.com/office/word/2010/wordprocessingShape">
                    <wps:wsp>
                      <wps:cNvSpPr txBox="1"/>
                      <wps:spPr>
                        <a:xfrm>
                          <a:off x="0" y="0"/>
                          <a:ext cx="5092700" cy="334010"/>
                        </a:xfrm>
                        <a:prstGeom prst="rect">
                          <a:avLst/>
                        </a:prstGeom>
                        <a:solidFill>
                          <a:schemeClr val="lt1"/>
                        </a:solidFill>
                        <a:ln w="19050">
                          <a:noFill/>
                        </a:ln>
                      </wps:spPr>
                      <wps:txbx>
                        <w:txbxContent>
                          <w:p w14:paraId="39926358" w14:textId="1C88920A" w:rsidR="00D15FD8" w:rsidRPr="003516CC" w:rsidRDefault="00D15FD8" w:rsidP="007201A9">
                            <w:r>
                              <w:rPr>
                                <w:rFonts w:ascii="Arial" w:hAnsi="Arial" w:cs="Arial"/>
                                <w:sz w:val="24"/>
                                <w:szCs w:val="24"/>
                              </w:rPr>
                              <w:t xml:space="preserve">7. </w:t>
                            </w:r>
                            <w:r w:rsidRPr="004D2E7D">
                              <w:rPr>
                                <w:rFonts w:ascii="Arial" w:hAnsi="Arial" w:cs="Arial"/>
                                <w:sz w:val="24"/>
                                <w:szCs w:val="24"/>
                              </w:rPr>
                              <w:t>Historical versions are preserved.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80E0F" id="Text Box 2170" o:spid="_x0000_s1531" type="#_x0000_t202" style="position:absolute;left:0;text-align:left;margin-left:116pt;margin-top:11.75pt;width:401pt;height:26.3pt;z-index:2538915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" fillcolor="white [3201]" stroked="f" strokeweight="1.5pt">
                <v:textbox>
                  <w:txbxContent>
                    <w:p w14:paraId="39926358" w14:textId="1C88920A" w:rsidR="00D15FD8" w:rsidRPr="003516CC" w:rsidRDefault="00D15FD8" w:rsidP="007201A9">
                      <w:r>
                        <w:rPr>
                          <w:rFonts w:ascii="Arial" w:hAnsi="Arial" w:cs="Arial"/>
                          <w:sz w:val="24"/>
                          <w:szCs w:val="24"/>
                        </w:rPr>
                        <w:t xml:space="preserve">7. </w:t>
                      </w:r>
                      <w:r w:rsidRPr="004D2E7D">
                        <w:rPr>
                          <w:rFonts w:ascii="Arial" w:hAnsi="Arial" w:cs="Arial"/>
                          <w:sz w:val="24"/>
                          <w:szCs w:val="24"/>
                        </w:rPr>
                        <w:t>Historical versions are preserved.</w:t>
                      </w:r>
                    </w:p>
                  </w:txbxContent>
                </v:textbox>
              </v:shape>
            </w:pict>
          </mc:Fallback>
        </mc:AlternateContent>
      </w:r>
      <w:r>
        <w:rPr>
          <w:rFonts w:ascii="Arial" w:hAnsi="Arial" w:cs="Arial"/>
          <w:b/>
          <w:bCs/>
          <w:noProof/>
          <w:color w:val="82C9A0"/>
          <w:sz w:val="32"/>
          <w:szCs w:val="32"/>
          <w:lang w:val="en-US"/>
        </w:rPr>
        <w:drawing>
          <wp:inline distT="0" distB="0" distL="0" distR="0" wp14:anchorId="77246B94" wp14:editId="5B907080">
            <wp:extent cx="1260000" cy="716970"/>
            <wp:effectExtent l="0" t="0" r="0" b="0"/>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Picture 2169"/>
                    <pic:cNvPicPr/>
                  </pic:nvPicPr>
                  <pic:blipFill rotWithShape="1">
                    <a:blip r:embed="rId867" cstate="email">
                      <a:extLst>
                        <a:ext uri="{28A0092B-C50C-407E-A947-70E740481C1C}">
                          <a14:useLocalDpi xmlns:a14="http://schemas.microsoft.com/office/drawing/2010/main"/>
                        </a:ext>
                      </a:extLst>
                    </a:blip>
                    <a:srcRect/>
                    <a:stretch/>
                  </pic:blipFill>
                  <pic:spPr bwMode="auto">
                    <a:xfrm>
                      <a:off x="0" y="0"/>
                      <a:ext cx="1260000" cy="716970"/>
                    </a:xfrm>
                    <a:prstGeom prst="rect">
                      <a:avLst/>
                    </a:prstGeom>
                    <a:ln>
                      <a:noFill/>
                    </a:ln>
                    <a:extLst>
                      <a:ext uri="{53640926-AAD7-44D8-BBD7-CCE9431645EC}">
                        <a14:shadowObscured xmlns:a14="http://schemas.microsoft.com/office/drawing/2010/main"/>
                      </a:ext>
                    </a:extLst>
                  </pic:spPr>
                </pic:pic>
              </a:graphicData>
            </a:graphic>
          </wp:inline>
        </w:drawing>
      </w:r>
    </w:p>
    <w:p w14:paraId="666FAFB4" w14:textId="3E9F104D" w:rsidR="003516CC" w:rsidRDefault="003516CC" w:rsidP="005D7ED1">
      <w:pPr>
        <w:spacing w:line="276" w:lineRule="auto"/>
        <w:contextualSpacing/>
        <w:jc w:val="both"/>
        <w:rPr>
          <w:rFonts w:ascii="Arial" w:hAnsi="Arial" w:cs="Arial"/>
          <w:b/>
          <w:bCs/>
          <w:color w:val="82C9A0"/>
          <w:sz w:val="32"/>
          <w:szCs w:val="32"/>
          <w:lang w:val="en-US"/>
        </w:rPr>
      </w:pPr>
    </w:p>
    <w:p w14:paraId="585C1795" w14:textId="3790AF8F" w:rsidR="003516CC" w:rsidRDefault="007201A9" w:rsidP="005D7ED1">
      <w:pPr>
        <w:spacing w:line="276" w:lineRule="auto"/>
        <w:contextualSpacing/>
        <w:jc w:val="both"/>
        <w:rPr>
          <w:rFonts w:ascii="Arial" w:hAnsi="Arial" w:cs="Arial"/>
          <w:b/>
          <w:bCs/>
          <w:color w:val="82C9A0"/>
          <w:sz w:val="32"/>
          <w:szCs w:val="32"/>
          <w:lang w:val="en-US"/>
        </w:rPr>
      </w:pPr>
      <w:r>
        <w:rPr>
          <w:rFonts w:ascii="Arial" w:hAnsi="Arial" w:cs="Arial"/>
          <w:b/>
          <w:bCs/>
          <w:noProof/>
          <w:color w:val="82C9A0"/>
          <w:sz w:val="32"/>
          <w:szCs w:val="32"/>
          <w:lang w:val="en-US"/>
        </w:rPr>
        <mc:AlternateContent>
          <mc:Choice Requires="wps">
            <w:drawing>
              <wp:anchor distT="0" distB="0" distL="114300" distR="114300" simplePos="0" relativeHeight="253893630" behindDoc="0" locked="0" layoutInCell="1" allowOverlap="1" wp14:anchorId="2C8170B5" wp14:editId="71F66E7B">
                <wp:simplePos x="0" y="0"/>
                <wp:positionH relativeFrom="column">
                  <wp:posOffset>1473200</wp:posOffset>
                </wp:positionH>
                <wp:positionV relativeFrom="paragraph">
                  <wp:posOffset>144921</wp:posOffset>
                </wp:positionV>
                <wp:extent cx="5092700" cy="334010"/>
                <wp:effectExtent l="0" t="0" r="0" b="0"/>
                <wp:wrapNone/>
                <wp:docPr id="2172" name="Text Box 2172"/>
                <wp:cNvGraphicFramePr/>
                <a:graphic xmlns:a="http://schemas.openxmlformats.org/drawingml/2006/main">
                  <a:graphicData uri="http://schemas.microsoft.com/office/word/2010/wordprocessingShape">
                    <wps:wsp>
                      <wps:cNvSpPr txBox="1"/>
                      <wps:spPr>
                        <a:xfrm>
                          <a:off x="0" y="0"/>
                          <a:ext cx="5092700" cy="334010"/>
                        </a:xfrm>
                        <a:prstGeom prst="rect">
                          <a:avLst/>
                        </a:prstGeom>
                        <a:solidFill>
                          <a:schemeClr val="lt1"/>
                        </a:solidFill>
                        <a:ln w="19050">
                          <a:noFill/>
                        </a:ln>
                      </wps:spPr>
                      <wps:txbx>
                        <w:txbxContent>
                          <w:p w14:paraId="1CBD0F3F" w14:textId="4A208FA0" w:rsidR="00D15FD8" w:rsidRDefault="00D15FD8" w:rsidP="007201A9">
                            <w:pPr>
                              <w:rPr>
                                <w:rFonts w:ascii="Arial" w:hAnsi="Arial" w:cs="Arial"/>
                                <w:sz w:val="24"/>
                                <w:szCs w:val="24"/>
                              </w:rPr>
                            </w:pPr>
                            <w:r>
                              <w:rPr>
                                <w:rFonts w:ascii="Arial" w:hAnsi="Arial" w:cs="Arial"/>
                                <w:sz w:val="24"/>
                                <w:szCs w:val="24"/>
                              </w:rPr>
                              <w:t xml:space="preserve">8. </w:t>
                            </w:r>
                            <w:r w:rsidRPr="004D2E7D">
                              <w:rPr>
                                <w:rFonts w:ascii="Arial" w:hAnsi="Arial" w:cs="Arial"/>
                                <w:sz w:val="24"/>
                                <w:szCs w:val="24"/>
                              </w:rPr>
                              <w:t>Structured to allow automated processing.</w:t>
                            </w:r>
                          </w:p>
                          <w:p w14:paraId="5E32B9B3" w14:textId="079CB308" w:rsidR="00D15FD8" w:rsidRDefault="00D15FD8" w:rsidP="007201A9">
                            <w:pPr>
                              <w:rPr>
                                <w:rFonts w:ascii="Arial" w:hAnsi="Arial" w:cs="Arial"/>
                                <w:sz w:val="24"/>
                                <w:szCs w:val="24"/>
                              </w:rPr>
                            </w:pPr>
                          </w:p>
                          <w:p w14:paraId="218CE764" w14:textId="77777777" w:rsidR="00D15FD8" w:rsidRPr="003516CC" w:rsidRDefault="00D15FD8" w:rsidP="007201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170B5" id="Text Box 2172" o:spid="_x0000_s1532" type="#_x0000_t202" style="position:absolute;left:0;text-align:left;margin-left:116pt;margin-top:11.4pt;width:401pt;height:26.3pt;z-index:253893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" fillcolor="white [3201]" stroked="f" strokeweight="1.5pt">
                <v:textbox>
                  <w:txbxContent>
                    <w:p w14:paraId="1CBD0F3F" w14:textId="4A208FA0" w:rsidR="00D15FD8" w:rsidRDefault="00D15FD8" w:rsidP="007201A9">
                      <w:pPr>
                        <w:rPr>
                          <w:rFonts w:ascii="Arial" w:hAnsi="Arial" w:cs="Arial"/>
                          <w:sz w:val="24"/>
                          <w:szCs w:val="24"/>
                        </w:rPr>
                      </w:pPr>
                      <w:r>
                        <w:rPr>
                          <w:rFonts w:ascii="Arial" w:hAnsi="Arial" w:cs="Arial"/>
                          <w:sz w:val="24"/>
                          <w:szCs w:val="24"/>
                        </w:rPr>
                        <w:t xml:space="preserve">8. </w:t>
                      </w:r>
                      <w:r w:rsidRPr="004D2E7D">
                        <w:rPr>
                          <w:rFonts w:ascii="Arial" w:hAnsi="Arial" w:cs="Arial"/>
                          <w:sz w:val="24"/>
                          <w:szCs w:val="24"/>
                        </w:rPr>
                        <w:t>Structured to allow automated processing.</w:t>
                      </w:r>
                    </w:p>
                    <w:p w14:paraId="5E32B9B3" w14:textId="079CB308" w:rsidR="00D15FD8" w:rsidRDefault="00D15FD8" w:rsidP="007201A9">
                      <w:pPr>
                        <w:rPr>
                          <w:rFonts w:ascii="Arial" w:hAnsi="Arial" w:cs="Arial"/>
                          <w:sz w:val="24"/>
                          <w:szCs w:val="24"/>
                        </w:rPr>
                      </w:pPr>
                    </w:p>
                    <w:p w14:paraId="218CE764" w14:textId="77777777" w:rsidR="00D15FD8" w:rsidRPr="003516CC" w:rsidRDefault="00D15FD8" w:rsidP="007201A9"/>
                  </w:txbxContent>
                </v:textbox>
              </v:shape>
            </w:pict>
          </mc:Fallback>
        </mc:AlternateContent>
      </w:r>
      <w:r>
        <w:rPr>
          <w:rFonts w:ascii="Arial" w:hAnsi="Arial" w:cs="Arial"/>
          <w:b/>
          <w:bCs/>
          <w:noProof/>
          <w:color w:val="82C9A0"/>
          <w:sz w:val="32"/>
          <w:szCs w:val="32"/>
          <w:lang w:val="en-US"/>
        </w:rPr>
        <w:drawing>
          <wp:inline distT="0" distB="0" distL="0" distR="0" wp14:anchorId="43CA9C4F" wp14:editId="034F05C0">
            <wp:extent cx="1260000" cy="715135"/>
            <wp:effectExtent l="0" t="0" r="0" b="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Picture 2171"/>
                    <pic:cNvPicPr/>
                  </pic:nvPicPr>
                  <pic:blipFill rotWithShape="1">
                    <a:blip r:embed="rId868" cstate="email">
                      <a:extLst>
                        <a:ext uri="{28A0092B-C50C-407E-A947-70E740481C1C}">
                          <a14:useLocalDpi xmlns:a14="http://schemas.microsoft.com/office/drawing/2010/main"/>
                        </a:ext>
                      </a:extLst>
                    </a:blip>
                    <a:srcRect/>
                    <a:stretch/>
                  </pic:blipFill>
                  <pic:spPr bwMode="auto">
                    <a:xfrm>
                      <a:off x="0" y="0"/>
                      <a:ext cx="1260000" cy="715135"/>
                    </a:xfrm>
                    <a:prstGeom prst="rect">
                      <a:avLst/>
                    </a:prstGeom>
                    <a:ln>
                      <a:noFill/>
                    </a:ln>
                    <a:extLst>
                      <a:ext uri="{53640926-AAD7-44D8-BBD7-CCE9431645EC}">
                        <a14:shadowObscured xmlns:a14="http://schemas.microsoft.com/office/drawing/2010/main"/>
                      </a:ext>
                    </a:extLst>
                  </pic:spPr>
                </pic:pic>
              </a:graphicData>
            </a:graphic>
          </wp:inline>
        </w:drawing>
      </w:r>
    </w:p>
    <w:p w14:paraId="49D67CDE" w14:textId="77777777" w:rsidR="00A37A8A" w:rsidRDefault="00A37A8A" w:rsidP="005D7ED1">
      <w:pPr>
        <w:tabs>
          <w:tab w:val="left" w:pos="1880"/>
        </w:tabs>
        <w:rPr>
          <w:rFonts w:ascii="Arial" w:hAnsi="Arial" w:cs="Arial"/>
          <w:iCs/>
          <w:sz w:val="24"/>
          <w:szCs w:val="24"/>
        </w:rPr>
      </w:pPr>
    </w:p>
    <w:p w14:paraId="695A167A" w14:textId="7242735A" w:rsidR="005D7ED1" w:rsidRDefault="0031171E" w:rsidP="005D7ED1">
      <w:pPr>
        <w:tabs>
          <w:tab w:val="left" w:pos="1880"/>
        </w:tabs>
        <w:rPr>
          <w:rFonts w:ascii="Arial" w:hAnsi="Arial" w:cs="Arial"/>
          <w:iCs/>
          <w:sz w:val="24"/>
          <w:szCs w:val="24"/>
        </w:rPr>
      </w:pPr>
      <w:r>
        <w:rPr>
          <w:rFonts w:ascii="Arial" w:hAnsi="Arial" w:cs="Arial"/>
          <w:noProof/>
          <w:sz w:val="24"/>
          <w:szCs w:val="24"/>
          <w:lang w:val="en-US"/>
        </w:rPr>
        <mc:AlternateContent>
          <mc:Choice Requires="wps">
            <w:drawing>
              <wp:anchor distT="0" distB="0" distL="114300" distR="114300" simplePos="0" relativeHeight="253895678" behindDoc="1" locked="0" layoutInCell="1" allowOverlap="1" wp14:anchorId="45129FAB" wp14:editId="10EF5696">
                <wp:simplePos x="0" y="0"/>
                <wp:positionH relativeFrom="margin">
                  <wp:posOffset>546100</wp:posOffset>
                </wp:positionH>
                <wp:positionV relativeFrom="paragraph">
                  <wp:posOffset>34925</wp:posOffset>
                </wp:positionV>
                <wp:extent cx="3098800" cy="596900"/>
                <wp:effectExtent l="12700" t="12700" r="12700" b="12700"/>
                <wp:wrapNone/>
                <wp:docPr id="2173" name="Rounded Rectangle 2173"/>
                <wp:cNvGraphicFramePr/>
                <a:graphic xmlns:a="http://schemas.openxmlformats.org/drawingml/2006/main">
                  <a:graphicData uri="http://schemas.microsoft.com/office/word/2010/wordprocessingShape">
                    <wps:wsp>
                      <wps:cNvSpPr/>
                      <wps:spPr>
                        <a:xfrm>
                          <a:off x="0" y="0"/>
                          <a:ext cx="30988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B678C21" id="Rounded Rectangle 2173" o:spid="_x0000_s1026" style="position:absolute;margin-left:43pt;margin-top:2.75pt;width:244pt;height:47pt;z-index:-2494208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" filled="f" strokecolor="#82c9a0" strokeweight="2.25pt">
                <v:stroke joinstyle="miter"/>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3896702" behindDoc="0" locked="0" layoutInCell="1" allowOverlap="1" wp14:anchorId="4823D20F" wp14:editId="295F484B">
                <wp:simplePos x="0" y="0"/>
                <wp:positionH relativeFrom="column">
                  <wp:posOffset>622300</wp:posOffset>
                </wp:positionH>
                <wp:positionV relativeFrom="paragraph">
                  <wp:posOffset>148590</wp:posOffset>
                </wp:positionV>
                <wp:extent cx="3022600" cy="461645"/>
                <wp:effectExtent l="0" t="0" r="0" b="0"/>
                <wp:wrapNone/>
                <wp:docPr id="2174" name="Text Box 2174"/>
                <wp:cNvGraphicFramePr/>
                <a:graphic xmlns:a="http://schemas.openxmlformats.org/drawingml/2006/main">
                  <a:graphicData uri="http://schemas.microsoft.com/office/word/2010/wordprocessingShape">
                    <wps:wsp>
                      <wps:cNvSpPr txBox="1"/>
                      <wps:spPr>
                        <a:xfrm>
                          <a:off x="0" y="0"/>
                          <a:ext cx="3022600" cy="461645"/>
                        </a:xfrm>
                        <a:prstGeom prst="rect">
                          <a:avLst/>
                        </a:prstGeom>
                        <a:noFill/>
                        <a:ln w="6350">
                          <a:noFill/>
                        </a:ln>
                      </wps:spPr>
                      <wps:txbx>
                        <w:txbxContent>
                          <w:p w14:paraId="5DEC6E74" w14:textId="2BAFFDD2" w:rsidR="00D15FD8" w:rsidRPr="0031171E" w:rsidRDefault="00D15FD8" w:rsidP="00BD6508">
                            <w:pPr>
                              <w:pStyle w:val="Heading2"/>
                              <w:numPr>
                                <w:ilvl w:val="1"/>
                                <w:numId w:val="127"/>
                              </w:numPr>
                              <w:rPr>
                                <w:rFonts w:ascii="Arial" w:hAnsi="Arial" w:cs="Arial"/>
                                <w:b/>
                                <w:bCs/>
                                <w:color w:val="F26D24"/>
                                <w:sz w:val="36"/>
                                <w:szCs w:val="36"/>
                              </w:rPr>
                            </w:pPr>
                            <w:bookmarkStart w:id="2177" w:name="_Toc123204539"/>
                            <w:bookmarkStart w:id="2178" w:name="_Toc123216652"/>
                            <w:bookmarkStart w:id="2179" w:name="_Toc123217492"/>
                            <w:bookmarkStart w:id="2180" w:name="_Toc123828238"/>
                            <w:bookmarkStart w:id="2181" w:name="_Toc123828448"/>
                            <w:bookmarkStart w:id="2182" w:name="_Toc123828644"/>
                            <w:bookmarkStart w:id="2183" w:name="_Toc123912671"/>
                            <w:bookmarkStart w:id="2184" w:name="_Toc123912930"/>
                            <w:bookmarkStart w:id="2185" w:name="_Toc123913157"/>
                            <w:bookmarkStart w:id="2186" w:name="_Toc123913448"/>
                            <w:bookmarkStart w:id="2187" w:name="_Toc123914105"/>
                            <w:bookmarkStart w:id="2188" w:name="_Toc125566720"/>
                            <w:r w:rsidRPr="0031171E">
                              <w:rPr>
                                <w:rFonts w:ascii="Arial" w:hAnsi="Arial" w:cs="Arial"/>
                                <w:b/>
                                <w:bCs/>
                                <w:color w:val="F26D24"/>
                                <w:sz w:val="36"/>
                                <w:szCs w:val="36"/>
                              </w:rPr>
                              <w:t>Open data principles</w:t>
                            </w:r>
                            <w:bookmarkEnd w:id="2177"/>
                            <w:bookmarkEnd w:id="2178"/>
                            <w:bookmarkEnd w:id="2179"/>
                            <w:bookmarkEnd w:id="2180"/>
                            <w:bookmarkEnd w:id="2181"/>
                            <w:bookmarkEnd w:id="2182"/>
                            <w:bookmarkEnd w:id="2183"/>
                            <w:bookmarkEnd w:id="2184"/>
                            <w:bookmarkEnd w:id="2185"/>
                            <w:bookmarkEnd w:id="2186"/>
                            <w:bookmarkEnd w:id="2187"/>
                            <w:bookmarkEnd w:id="218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3D20F" id="Text Box 2174" o:spid="_x0000_s1533" type="#_x0000_t202" style="position:absolute;margin-left:49pt;margin-top:11.7pt;width:238pt;height:36.35pt;z-index:253896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" filled="f" stroked="f" strokeweight=".5pt">
                <v:textbox>
                  <w:txbxContent>
                    <w:p w14:paraId="5DEC6E74" w14:textId="2BAFFDD2" w:rsidR="00D15FD8" w:rsidRPr="0031171E" w:rsidRDefault="00D15FD8" w:rsidP="00BD6508">
                      <w:pPr>
                        <w:pStyle w:val="Heading2"/>
                        <w:numPr>
                          <w:ilvl w:val="1"/>
                          <w:numId w:val="127"/>
                        </w:numPr>
                        <w:rPr>
                          <w:rFonts w:ascii="Arial" w:hAnsi="Arial" w:cs="Arial"/>
                          <w:b/>
                          <w:bCs/>
                          <w:color w:val="F26D24"/>
                          <w:sz w:val="36"/>
                          <w:szCs w:val="36"/>
                        </w:rPr>
                      </w:pPr>
                      <w:bookmarkStart w:id="2189" w:name="_Toc123204539"/>
                      <w:bookmarkStart w:id="2190" w:name="_Toc123216652"/>
                      <w:bookmarkStart w:id="2191" w:name="_Toc123217492"/>
                      <w:bookmarkStart w:id="2192" w:name="_Toc123828238"/>
                      <w:bookmarkStart w:id="2193" w:name="_Toc123828448"/>
                      <w:bookmarkStart w:id="2194" w:name="_Toc123828644"/>
                      <w:bookmarkStart w:id="2195" w:name="_Toc123912671"/>
                      <w:bookmarkStart w:id="2196" w:name="_Toc123912930"/>
                      <w:bookmarkStart w:id="2197" w:name="_Toc123913157"/>
                      <w:bookmarkStart w:id="2198" w:name="_Toc123913448"/>
                      <w:bookmarkStart w:id="2199" w:name="_Toc123914105"/>
                      <w:bookmarkStart w:id="2200" w:name="_Toc125566720"/>
                      <w:r w:rsidRPr="0031171E">
                        <w:rPr>
                          <w:rFonts w:ascii="Arial" w:hAnsi="Arial" w:cs="Arial"/>
                          <w:b/>
                          <w:bCs/>
                          <w:color w:val="F26D24"/>
                          <w:sz w:val="36"/>
                          <w:szCs w:val="36"/>
                        </w:rPr>
                        <w:t>Open data principles</w:t>
                      </w:r>
                      <w:bookmarkEnd w:id="2189"/>
                      <w:bookmarkEnd w:id="2190"/>
                      <w:bookmarkEnd w:id="2191"/>
                      <w:bookmarkEnd w:id="2192"/>
                      <w:bookmarkEnd w:id="2193"/>
                      <w:bookmarkEnd w:id="2194"/>
                      <w:bookmarkEnd w:id="2195"/>
                      <w:bookmarkEnd w:id="2196"/>
                      <w:bookmarkEnd w:id="2197"/>
                      <w:bookmarkEnd w:id="2198"/>
                      <w:bookmarkEnd w:id="2199"/>
                      <w:bookmarkEnd w:id="2200"/>
                    </w:p>
                  </w:txbxContent>
                </v:textbox>
              </v:shape>
            </w:pict>
          </mc:Fallback>
        </mc:AlternateContent>
      </w:r>
      <w:r w:rsidR="00512C65">
        <w:rPr>
          <w:rFonts w:ascii="Arial" w:hAnsi="Arial" w:cs="Arial"/>
          <w:noProof/>
          <w:sz w:val="24"/>
          <w:szCs w:val="24"/>
          <w:lang w:val="en-US"/>
        </w:rPr>
        <w:drawing>
          <wp:anchor distT="0" distB="0" distL="114300" distR="114300" simplePos="0" relativeHeight="253897726" behindDoc="1" locked="0" layoutInCell="1" allowOverlap="1" wp14:anchorId="7214D84F" wp14:editId="02D28F29">
            <wp:simplePos x="0" y="0"/>
            <wp:positionH relativeFrom="column">
              <wp:posOffset>0</wp:posOffset>
            </wp:positionH>
            <wp:positionV relativeFrom="paragraph">
              <wp:posOffset>45085</wp:posOffset>
            </wp:positionV>
            <wp:extent cx="469900" cy="575945"/>
            <wp:effectExtent l="0" t="0" r="0" b="0"/>
            <wp:wrapTight wrapText="bothSides">
              <wp:wrapPolygon edited="0">
                <wp:start x="14595" y="0"/>
                <wp:lineTo x="2919" y="3334"/>
                <wp:lineTo x="0" y="4763"/>
                <wp:lineTo x="0" y="19528"/>
                <wp:lineTo x="14011" y="20957"/>
                <wp:lineTo x="18097" y="20957"/>
                <wp:lineTo x="18681" y="20957"/>
                <wp:lineTo x="21016" y="15241"/>
                <wp:lineTo x="21016" y="5716"/>
                <wp:lineTo x="19849" y="2381"/>
                <wp:lineTo x="18097" y="0"/>
                <wp:lineTo x="14595" y="0"/>
              </wp:wrapPolygon>
            </wp:wrapTight>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Picture 2151"/>
                    <pic:cNvPicPr/>
                  </pic:nvPicPr>
                  <pic:blipFill rotWithShape="1">
                    <a:blip r:embed="rId859" cstate="email">
                      <a:extLst>
                        <a:ext uri="{28A0092B-C50C-407E-A947-70E740481C1C}">
                          <a14:useLocalDpi xmlns:a14="http://schemas.microsoft.com/office/drawing/2010/main"/>
                        </a:ext>
                      </a:extLst>
                    </a:blip>
                    <a:srcRect/>
                    <a:stretch/>
                  </pic:blipFill>
                  <pic:spPr bwMode="auto">
                    <a:xfrm>
                      <a:off x="0" y="0"/>
                      <a:ext cx="469900"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2C1E3B" w14:textId="7609DE4A" w:rsidR="00512C65" w:rsidRPr="005976B4" w:rsidRDefault="00512C65" w:rsidP="00BD6508">
      <w:pPr>
        <w:rPr>
          <w:rFonts w:ascii="Arial" w:hAnsi="Arial" w:cs="Arial"/>
          <w:sz w:val="24"/>
          <w:szCs w:val="24"/>
        </w:rPr>
      </w:pPr>
    </w:p>
    <w:p w14:paraId="0A5A130C" w14:textId="3C996483" w:rsidR="00512C65" w:rsidRPr="005976B4" w:rsidRDefault="00512C65" w:rsidP="00BD6508">
      <w:pPr>
        <w:rPr>
          <w:rFonts w:ascii="Arial" w:hAnsi="Arial" w:cs="Arial"/>
          <w:sz w:val="24"/>
          <w:szCs w:val="24"/>
        </w:rPr>
      </w:pPr>
    </w:p>
    <w:p w14:paraId="63B1D56C" w14:textId="00C3572C" w:rsidR="00512C65" w:rsidRDefault="00512C65" w:rsidP="00512C65">
      <w:pPr>
        <w:rPr>
          <w:rFonts w:ascii="Arial" w:hAnsi="Arial" w:cs="Arial"/>
          <w:iCs/>
          <w:sz w:val="24"/>
          <w:szCs w:val="24"/>
        </w:rPr>
      </w:pPr>
    </w:p>
    <w:p w14:paraId="41A7B77F" w14:textId="00D107AA" w:rsidR="00512C65" w:rsidRPr="00F2708D" w:rsidRDefault="00512C65" w:rsidP="00EB2A7C">
      <w:pPr>
        <w:tabs>
          <w:tab w:val="left" w:pos="920"/>
        </w:tabs>
        <w:spacing w:line="276" w:lineRule="auto"/>
        <w:rPr>
          <w:rFonts w:ascii="Arial" w:hAnsi="Arial" w:cs="Arial"/>
          <w:sz w:val="24"/>
          <w:szCs w:val="24"/>
        </w:rPr>
      </w:pPr>
    </w:p>
    <w:p w14:paraId="4D03F180" w14:textId="5DCD72A6" w:rsidR="00F2708D" w:rsidRDefault="0031171E" w:rsidP="00F2708D">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26454" behindDoc="0" locked="0" layoutInCell="1" allowOverlap="1" wp14:anchorId="6B45397C" wp14:editId="1542BD2E">
                <wp:simplePos x="0" y="0"/>
                <wp:positionH relativeFrom="column">
                  <wp:posOffset>0</wp:posOffset>
                </wp:positionH>
                <wp:positionV relativeFrom="paragraph">
                  <wp:posOffset>1603375</wp:posOffset>
                </wp:positionV>
                <wp:extent cx="1371600" cy="1701800"/>
                <wp:effectExtent l="0" t="0" r="0" b="0"/>
                <wp:wrapNone/>
                <wp:docPr id="2279" name="Rounded Rectangle 2279"/>
                <wp:cNvGraphicFramePr/>
                <a:graphic xmlns:a="http://schemas.openxmlformats.org/drawingml/2006/main">
                  <a:graphicData uri="http://schemas.microsoft.com/office/word/2010/wordprocessingShape">
                    <wps:wsp>
                      <wps:cNvSpPr/>
                      <wps:spPr>
                        <a:xfrm>
                          <a:off x="0" y="0"/>
                          <a:ext cx="1371600" cy="1701800"/>
                        </a:xfrm>
                        <a:prstGeom prst="roundRect">
                          <a:avLst>
                            <a:gd name="adj" fmla="val 6808"/>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C11479A" id="Rounded Rectangle 2279" o:spid="_x0000_s1026" style="position:absolute;margin-left:0;margin-top:126.25pt;width:108pt;height:134pt;z-index:251626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" fillcolor="#82c9a0" stroked="f" strokeweight="1pt">
                <v:stroke joinstyle="miter"/>
              </v:roundrect>
            </w:pict>
          </mc:Fallback>
        </mc:AlternateContent>
      </w:r>
      <w:r w:rsidR="00F2708D" w:rsidRPr="00EB2A7C">
        <w:rPr>
          <w:rFonts w:ascii="Arial" w:hAnsi="Arial" w:cs="Arial"/>
          <w:sz w:val="24"/>
          <w:szCs w:val="24"/>
          <w:lang w:val="en-US"/>
        </w:rPr>
        <w:t xml:space="preserve">The concept of open data is still fairly new. In the late 2000s governments began to allow a greater number of users to access open data, with some developing open data policies. </w:t>
      </w:r>
      <w:r w:rsidR="00F2708D" w:rsidRPr="00EB2A7C">
        <w:rPr>
          <w:rFonts w:ascii="Arial" w:hAnsi="Arial" w:cs="Arial"/>
          <w:sz w:val="24"/>
          <w:szCs w:val="24"/>
        </w:rPr>
        <w:t xml:space="preserve">In 2014, the G20’s Anti-corruption Working Group identified open data as being a key issue for the promotion of public sector transparency and integrity, and developed the </w:t>
      </w:r>
      <w:hyperlink r:id="rId869" w:history="1">
        <w:r w:rsidR="00F2708D" w:rsidRPr="00EB2A7C">
          <w:rPr>
            <w:rFonts w:ascii="Arial" w:hAnsi="Arial" w:cs="Arial"/>
            <w:color w:val="0563C1" w:themeColor="hyperlink"/>
            <w:sz w:val="24"/>
            <w:szCs w:val="24"/>
            <w:u w:val="single"/>
          </w:rPr>
          <w:t>G20 Open Data Principles</w:t>
        </w:r>
      </w:hyperlink>
      <w:r w:rsidR="00F2708D" w:rsidRPr="00EB2A7C">
        <w:rPr>
          <w:rFonts w:ascii="Arial" w:hAnsi="Arial" w:cs="Arial"/>
          <w:sz w:val="24"/>
          <w:szCs w:val="24"/>
        </w:rPr>
        <w:t xml:space="preserve"> (2015) for the provision of government data. These principles then formed the core of the </w:t>
      </w:r>
      <w:hyperlink r:id="rId870" w:history="1">
        <w:r w:rsidR="00F2708D" w:rsidRPr="00EB2A7C">
          <w:rPr>
            <w:rFonts w:ascii="Arial" w:hAnsi="Arial" w:cs="Arial"/>
            <w:color w:val="0563C1" w:themeColor="hyperlink"/>
            <w:sz w:val="24"/>
            <w:szCs w:val="24"/>
            <w:u w:val="single"/>
          </w:rPr>
          <w:t>Open Data Charter</w:t>
        </w:r>
      </w:hyperlink>
      <w:r w:rsidR="00F2708D" w:rsidRPr="00EB2A7C">
        <w:rPr>
          <w:rFonts w:ascii="Arial" w:hAnsi="Arial" w:cs="Arial"/>
          <w:sz w:val="24"/>
          <w:szCs w:val="24"/>
        </w:rPr>
        <w:t xml:space="preserve"> (2015) representing a globally-agreed set of aspirational norms for how to publish data. The 6 principles adopted are:</w:t>
      </w:r>
    </w:p>
    <w:p w14:paraId="1F0CB357" w14:textId="69E8A346" w:rsidR="0031171E" w:rsidRDefault="0031171E" w:rsidP="00F2708D">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55102" behindDoc="0" locked="0" layoutInCell="1" allowOverlap="1" wp14:anchorId="1393487D" wp14:editId="6F4115D0">
                <wp:simplePos x="0" y="0"/>
                <wp:positionH relativeFrom="column">
                  <wp:posOffset>1422400</wp:posOffset>
                </wp:positionH>
                <wp:positionV relativeFrom="paragraph">
                  <wp:posOffset>192405</wp:posOffset>
                </wp:positionV>
                <wp:extent cx="5257800" cy="1701800"/>
                <wp:effectExtent l="0" t="0" r="0" b="0"/>
                <wp:wrapNone/>
                <wp:docPr id="2280" name="Text Box 2280"/>
                <wp:cNvGraphicFramePr/>
                <a:graphic xmlns:a="http://schemas.openxmlformats.org/drawingml/2006/main">
                  <a:graphicData uri="http://schemas.microsoft.com/office/word/2010/wordprocessingShape">
                    <wps:wsp>
                      <wps:cNvSpPr txBox="1"/>
                      <wps:spPr>
                        <a:xfrm>
                          <a:off x="0" y="0"/>
                          <a:ext cx="5257800" cy="1701800"/>
                        </a:xfrm>
                        <a:prstGeom prst="rect">
                          <a:avLst/>
                        </a:prstGeom>
                        <a:solidFill>
                          <a:schemeClr val="lt1"/>
                        </a:solidFill>
                        <a:ln w="6350">
                          <a:noFill/>
                        </a:ln>
                      </wps:spPr>
                      <wps:txbx>
                        <w:txbxContent>
                          <w:p w14:paraId="1EE5DC6F" w14:textId="42E35515" w:rsidR="00D15FD8" w:rsidRPr="003625BA" w:rsidRDefault="00D15FD8" w:rsidP="00830023">
                            <w:pPr>
                              <w:spacing w:line="276" w:lineRule="auto"/>
                              <w:jc w:val="both"/>
                              <w:rPr>
                                <w:rFonts w:ascii="Arial" w:hAnsi="Arial" w:cs="Arial"/>
                                <w:b/>
                                <w:bCs/>
                                <w:color w:val="F26D24"/>
                                <w:sz w:val="24"/>
                                <w:szCs w:val="24"/>
                              </w:rPr>
                            </w:pPr>
                            <w:r w:rsidRPr="003625BA">
                              <w:rPr>
                                <w:rFonts w:ascii="Arial" w:hAnsi="Arial" w:cs="Arial"/>
                                <w:b/>
                                <w:bCs/>
                                <w:color w:val="F26D24"/>
                                <w:sz w:val="24"/>
                                <w:szCs w:val="24"/>
                              </w:rPr>
                              <w:t>Open by default</w:t>
                            </w:r>
                          </w:p>
                          <w:p w14:paraId="7562957C" w14:textId="3A385A1D"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rPr>
                              <w:t xml:space="preserve">Data related to government programs and services should be open by default for use and re-use. This means that it should be accessible without the need for requests to be made for it. Clear justifications should be provided when data cannot be released for a legitimate reason, such as privacy considerations. </w:t>
                            </w:r>
                            <w:r w:rsidRPr="003625BA">
                              <w:rPr>
                                <w:rFonts w:ascii="Arial" w:hAnsi="Arial" w:cs="Arial"/>
                                <w:sz w:val="24"/>
                                <w:szCs w:val="24"/>
                                <w:lang w:val="en-ZA"/>
                              </w:rPr>
                              <w:t xml:space="preserve"> To overcome these considerations, data should be anonymized as and when required, ensuring that confidential, sensitive, personally-identifiable data is removed prior to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3487D" id="Text Box 2280" o:spid="_x0000_s1534" type="#_x0000_t202" style="position:absolute;left:0;text-align:left;margin-left:112pt;margin-top:15.15pt;width:414pt;height:134pt;z-index:254255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" fillcolor="white [3201]" stroked="f" strokeweight=".5pt">
                <v:textbox>
                  <w:txbxContent>
                    <w:p w14:paraId="1EE5DC6F" w14:textId="42E35515" w:rsidR="00D15FD8" w:rsidRPr="003625BA" w:rsidRDefault="00D15FD8" w:rsidP="00830023">
                      <w:pPr>
                        <w:spacing w:line="276" w:lineRule="auto"/>
                        <w:jc w:val="both"/>
                        <w:rPr>
                          <w:rFonts w:ascii="Arial" w:hAnsi="Arial" w:cs="Arial"/>
                          <w:b/>
                          <w:bCs/>
                          <w:color w:val="F26D24"/>
                          <w:sz w:val="24"/>
                          <w:szCs w:val="24"/>
                        </w:rPr>
                      </w:pPr>
                      <w:r w:rsidRPr="003625BA">
                        <w:rPr>
                          <w:rFonts w:ascii="Arial" w:hAnsi="Arial" w:cs="Arial"/>
                          <w:b/>
                          <w:bCs/>
                          <w:color w:val="F26D24"/>
                          <w:sz w:val="24"/>
                          <w:szCs w:val="24"/>
                        </w:rPr>
                        <w:t>Open by default</w:t>
                      </w:r>
                    </w:p>
                    <w:p w14:paraId="7562957C" w14:textId="3A385A1D"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rPr>
                        <w:t xml:space="preserve">Data related to government programs and services should be open by default for use and re-use. This means that it should be accessible without the need for requests to be made for it. Clear justifications should be provided when data cannot be released for a legitimate reason, such as privacy considerations. </w:t>
                      </w:r>
                      <w:r w:rsidRPr="003625BA">
                        <w:rPr>
                          <w:rFonts w:ascii="Arial" w:hAnsi="Arial" w:cs="Arial"/>
                          <w:sz w:val="24"/>
                          <w:szCs w:val="24"/>
                          <w:lang w:val="en-ZA"/>
                        </w:rPr>
                        <w:t xml:space="preserve"> To overcome these considerations, data should be anonymized as and when required, ensuring that confidential, sensitive, personally-identifiable data is removed prior to publication.</w:t>
                      </w:r>
                    </w:p>
                  </w:txbxContent>
                </v:textbox>
              </v:shape>
            </w:pict>
          </mc:Fallback>
        </mc:AlternateContent>
      </w:r>
    </w:p>
    <w:p w14:paraId="3EBC6A27" w14:textId="52E6F346" w:rsidR="0031171E" w:rsidRDefault="0031171E" w:rsidP="00F2708D">
      <w:pPr>
        <w:spacing w:line="276" w:lineRule="auto"/>
        <w:contextualSpacing/>
        <w:jc w:val="both"/>
        <w:rPr>
          <w:rFonts w:ascii="Arial" w:hAnsi="Arial" w:cs="Arial"/>
          <w:sz w:val="24"/>
          <w:szCs w:val="24"/>
        </w:rPr>
      </w:pPr>
    </w:p>
    <w:p w14:paraId="2650269D" w14:textId="2DB4274B" w:rsidR="0031171E" w:rsidRDefault="0031171E" w:rsidP="00F2708D">
      <w:pPr>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256126" behindDoc="0" locked="0" layoutInCell="1" allowOverlap="1" wp14:anchorId="0CDAAE74" wp14:editId="799E5DD0">
            <wp:simplePos x="0" y="0"/>
            <wp:positionH relativeFrom="column">
              <wp:posOffset>215900</wp:posOffset>
            </wp:positionH>
            <wp:positionV relativeFrom="paragraph">
              <wp:posOffset>36830</wp:posOffset>
            </wp:positionV>
            <wp:extent cx="939800" cy="939800"/>
            <wp:effectExtent l="0" t="0" r="0" b="0"/>
            <wp:wrapNone/>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Picture 2281"/>
                    <pic:cNvPicPr/>
                  </pic:nvPicPr>
                  <pic:blipFill rotWithShape="1">
                    <a:blip r:embed="rId871" cstate="screen">
                      <a:extLst>
                        <a:ext uri="{28A0092B-C50C-407E-A947-70E740481C1C}">
                          <a14:useLocalDpi xmlns:a14="http://schemas.microsoft.com/office/drawing/2010/main"/>
                        </a:ext>
                      </a:extLst>
                    </a:blip>
                    <a:srcRect/>
                    <a:stretch/>
                  </pic:blipFill>
                  <pic:spPr bwMode="auto">
                    <a:xfrm>
                      <a:off x="0" y="0"/>
                      <a:ext cx="939800" cy="93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4316DD" w14:textId="628901B7" w:rsidR="0031171E" w:rsidRDefault="0031171E" w:rsidP="00F2708D">
      <w:pPr>
        <w:spacing w:line="276" w:lineRule="auto"/>
        <w:contextualSpacing/>
        <w:jc w:val="both"/>
        <w:rPr>
          <w:rFonts w:ascii="Arial" w:hAnsi="Arial" w:cs="Arial"/>
          <w:sz w:val="24"/>
          <w:szCs w:val="24"/>
        </w:rPr>
      </w:pPr>
    </w:p>
    <w:p w14:paraId="406D6521" w14:textId="10680D5A" w:rsidR="0031171E" w:rsidRDefault="0031171E" w:rsidP="00F2708D">
      <w:pPr>
        <w:spacing w:line="276" w:lineRule="auto"/>
        <w:contextualSpacing/>
        <w:jc w:val="both"/>
        <w:rPr>
          <w:rFonts w:ascii="Arial" w:hAnsi="Arial" w:cs="Arial"/>
          <w:sz w:val="24"/>
          <w:szCs w:val="24"/>
        </w:rPr>
      </w:pPr>
    </w:p>
    <w:p w14:paraId="477A36DD" w14:textId="2B7E4428" w:rsidR="0031171E" w:rsidRDefault="0031171E" w:rsidP="00F2708D">
      <w:pPr>
        <w:spacing w:line="276" w:lineRule="auto"/>
        <w:contextualSpacing/>
        <w:jc w:val="both"/>
        <w:rPr>
          <w:rFonts w:ascii="Arial" w:hAnsi="Arial" w:cs="Arial"/>
          <w:sz w:val="24"/>
          <w:szCs w:val="24"/>
        </w:rPr>
      </w:pPr>
    </w:p>
    <w:p w14:paraId="6EF16C1B" w14:textId="2F0200A2" w:rsidR="0031171E" w:rsidRDefault="0031171E" w:rsidP="00F2708D">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5283198" behindDoc="0" locked="0" layoutInCell="1" allowOverlap="1" wp14:anchorId="7E35D07D" wp14:editId="07FB5E34">
                <wp:simplePos x="0" y="0"/>
                <wp:positionH relativeFrom="column">
                  <wp:posOffset>165100</wp:posOffset>
                </wp:positionH>
                <wp:positionV relativeFrom="paragraph">
                  <wp:posOffset>186055</wp:posOffset>
                </wp:positionV>
                <wp:extent cx="1028700" cy="330200"/>
                <wp:effectExtent l="0" t="0" r="0" b="0"/>
                <wp:wrapNone/>
                <wp:docPr id="2810" name="Text Box 2810"/>
                <wp:cNvGraphicFramePr/>
                <a:graphic xmlns:a="http://schemas.openxmlformats.org/drawingml/2006/main">
                  <a:graphicData uri="http://schemas.microsoft.com/office/word/2010/wordprocessingShape">
                    <wps:wsp>
                      <wps:cNvSpPr txBox="1"/>
                      <wps:spPr>
                        <a:xfrm>
                          <a:off x="0" y="0"/>
                          <a:ext cx="1028700" cy="330200"/>
                        </a:xfrm>
                        <a:prstGeom prst="rect">
                          <a:avLst/>
                        </a:prstGeom>
                        <a:noFill/>
                        <a:ln w="6350">
                          <a:noFill/>
                        </a:ln>
                      </wps:spPr>
                      <wps:txbx>
                        <w:txbxContent>
                          <w:p w14:paraId="47766523" w14:textId="17C1314B" w:rsidR="00D15FD8" w:rsidRPr="003625BA" w:rsidRDefault="00D15FD8" w:rsidP="0031171E">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35D07D" id="Text Box 2810" o:spid="_x0000_s1535" type="#_x0000_t202" style="position:absolute;left:0;text-align:left;margin-left:13pt;margin-top:14.65pt;width:81pt;height:26pt;z-index:2552831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" filled="f" stroked="f" strokeweight=".5pt">
                <v:textbox>
                  <w:txbxContent>
                    <w:p w14:paraId="47766523" w14:textId="17C1314B" w:rsidR="00D15FD8" w:rsidRPr="003625BA" w:rsidRDefault="00D15FD8" w:rsidP="0031171E">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1</w:t>
                      </w:r>
                    </w:p>
                  </w:txbxContent>
                </v:textbox>
              </v:shape>
            </w:pict>
          </mc:Fallback>
        </mc:AlternateContent>
      </w:r>
    </w:p>
    <w:p w14:paraId="640B6FF0" w14:textId="555813F2" w:rsidR="0031171E" w:rsidRDefault="0031171E" w:rsidP="00F2708D">
      <w:pPr>
        <w:spacing w:line="276" w:lineRule="auto"/>
        <w:contextualSpacing/>
        <w:jc w:val="both"/>
        <w:rPr>
          <w:rFonts w:ascii="Arial" w:hAnsi="Arial" w:cs="Arial"/>
          <w:sz w:val="24"/>
          <w:szCs w:val="24"/>
        </w:rPr>
      </w:pPr>
    </w:p>
    <w:p w14:paraId="0E09E0B0" w14:textId="2BFD6D7F" w:rsidR="0031171E" w:rsidRDefault="0031171E" w:rsidP="00F2708D">
      <w:pPr>
        <w:spacing w:line="276" w:lineRule="auto"/>
        <w:contextualSpacing/>
        <w:jc w:val="both"/>
        <w:rPr>
          <w:rFonts w:ascii="Arial" w:hAnsi="Arial" w:cs="Arial"/>
          <w:sz w:val="24"/>
          <w:szCs w:val="24"/>
        </w:rPr>
      </w:pPr>
    </w:p>
    <w:p w14:paraId="345E6566" w14:textId="695F5C60" w:rsidR="0031171E" w:rsidRDefault="0031171E" w:rsidP="00F2708D">
      <w:pPr>
        <w:spacing w:line="276" w:lineRule="auto"/>
        <w:contextualSpacing/>
        <w:jc w:val="both"/>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4265342" behindDoc="0" locked="0" layoutInCell="1" allowOverlap="1" wp14:anchorId="733C1726" wp14:editId="7B2A78A8">
                <wp:simplePos x="0" y="0"/>
                <wp:positionH relativeFrom="column">
                  <wp:posOffset>1460500</wp:posOffset>
                </wp:positionH>
                <wp:positionV relativeFrom="paragraph">
                  <wp:posOffset>-59055</wp:posOffset>
                </wp:positionV>
                <wp:extent cx="5257800" cy="3517900"/>
                <wp:effectExtent l="0" t="0" r="0" b="0"/>
                <wp:wrapNone/>
                <wp:docPr id="2287" name="Text Box 2287"/>
                <wp:cNvGraphicFramePr/>
                <a:graphic xmlns:a="http://schemas.openxmlformats.org/drawingml/2006/main">
                  <a:graphicData uri="http://schemas.microsoft.com/office/word/2010/wordprocessingShape">
                    <wps:wsp>
                      <wps:cNvSpPr txBox="1"/>
                      <wps:spPr>
                        <a:xfrm>
                          <a:off x="0" y="0"/>
                          <a:ext cx="5257800" cy="3517900"/>
                        </a:xfrm>
                        <a:prstGeom prst="rect">
                          <a:avLst/>
                        </a:prstGeom>
                        <a:noFill/>
                        <a:ln w="6350">
                          <a:noFill/>
                        </a:ln>
                      </wps:spPr>
                      <wps:txbx>
                        <w:txbxContent>
                          <w:p w14:paraId="2C2D4D0B" w14:textId="5774FDB3" w:rsidR="00D15FD8" w:rsidRPr="003625BA" w:rsidRDefault="00D15FD8" w:rsidP="00830023">
                            <w:pPr>
                              <w:spacing w:line="276" w:lineRule="auto"/>
                              <w:jc w:val="both"/>
                              <w:rPr>
                                <w:rFonts w:ascii="Arial" w:hAnsi="Arial" w:cs="Arial"/>
                                <w:b/>
                                <w:bCs/>
                                <w:color w:val="F26D24"/>
                                <w:sz w:val="24"/>
                                <w:szCs w:val="24"/>
                              </w:rPr>
                            </w:pPr>
                            <w:r>
                              <w:rPr>
                                <w:rFonts w:ascii="Arial" w:hAnsi="Arial" w:cs="Arial"/>
                                <w:b/>
                                <w:bCs/>
                                <w:color w:val="F26D24"/>
                                <w:sz w:val="24"/>
                                <w:szCs w:val="24"/>
                              </w:rPr>
                              <w:t>Accessible and usable</w:t>
                            </w:r>
                          </w:p>
                          <w:p w14:paraId="60F172B0" w14:textId="6DAFA10B"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Released data should be easily discoverable and accessible, and made available without bureaucratic or administrative barriers. Data should be published on a single-window solution, such as central open data portals, so that it is easily discoverable and accessible in one single place. Data should be released in open formats to ensure that it is freely available to the widest range of users to find, access, understand, and use. In many cases, this will include providing data in multiple, standardized formats, so that it can be processed by computers as well as used by people. Data should be released free of charge, under an open and unrestricted license; without mandatory registration. This means that users should be able to download data without being required to identify themselves. Also, it should be ensured that data can be accessed and used by a wide range of users. Initiatives that can assist in this regard include those that raise awareness of open data, promote data literacy, build capacity, and ensure that stakeholders have the tools and resources they need to effectively understand how public resources are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C1726" id="Text Box 2287" o:spid="_x0000_s1536" type="#_x0000_t202" style="position:absolute;left:0;text-align:left;margin-left:115pt;margin-top:-4.65pt;width:414pt;height:277pt;z-index:254265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" filled="f" stroked="f" strokeweight=".5pt">
                <v:textbox>
                  <w:txbxContent>
                    <w:p w14:paraId="2C2D4D0B" w14:textId="5774FDB3" w:rsidR="00D15FD8" w:rsidRPr="003625BA" w:rsidRDefault="00D15FD8" w:rsidP="00830023">
                      <w:pPr>
                        <w:spacing w:line="276" w:lineRule="auto"/>
                        <w:jc w:val="both"/>
                        <w:rPr>
                          <w:rFonts w:ascii="Arial" w:hAnsi="Arial" w:cs="Arial"/>
                          <w:b/>
                          <w:bCs/>
                          <w:color w:val="F26D24"/>
                          <w:sz w:val="24"/>
                          <w:szCs w:val="24"/>
                        </w:rPr>
                      </w:pPr>
                      <w:r>
                        <w:rPr>
                          <w:rFonts w:ascii="Arial" w:hAnsi="Arial" w:cs="Arial"/>
                          <w:b/>
                          <w:bCs/>
                          <w:color w:val="F26D24"/>
                          <w:sz w:val="24"/>
                          <w:szCs w:val="24"/>
                        </w:rPr>
                        <w:t>Accessible and usable</w:t>
                      </w:r>
                    </w:p>
                    <w:p w14:paraId="60F172B0" w14:textId="6DAFA10B"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Released data should be easily discoverable and accessible, and made available without bureaucratic or administrative barriers. Data should be published on a single-window solution, such as central open data portals, so that it is easily discoverable and accessible in one single place. Data should be released in open formats to ensure that it is freely available to the widest range of users to find, access, understand, and use. In many cases, this will include providing data in multiple, standardized formats, so that it can be processed by computers as well as used by people. Data should be released free of charge, under an open and unrestricted license; without mandatory registration. This means that users should be able to download data without being required to identify themselves. Also, it should be ensured that data can be accessed and used by a wide range of users. Initiatives that can assist in this regard include those that raise awareness of open data, promote data literacy, build capacity, and ensure that stakeholders have the tools and resources they need to effectively understand how public resources are used.</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261246" behindDoc="0" locked="0" layoutInCell="1" allowOverlap="1" wp14:anchorId="74E281EF" wp14:editId="1AB1C265">
                <wp:simplePos x="0" y="0"/>
                <wp:positionH relativeFrom="column">
                  <wp:posOffset>0</wp:posOffset>
                </wp:positionH>
                <wp:positionV relativeFrom="paragraph">
                  <wp:posOffset>-12065</wp:posOffset>
                </wp:positionV>
                <wp:extent cx="1371600" cy="3390900"/>
                <wp:effectExtent l="0" t="0" r="0" b="0"/>
                <wp:wrapNone/>
                <wp:docPr id="2284" name="Rounded Rectangle 2284"/>
                <wp:cNvGraphicFramePr/>
                <a:graphic xmlns:a="http://schemas.openxmlformats.org/drawingml/2006/main">
                  <a:graphicData uri="http://schemas.microsoft.com/office/word/2010/wordprocessingShape">
                    <wps:wsp>
                      <wps:cNvSpPr/>
                      <wps:spPr>
                        <a:xfrm>
                          <a:off x="0" y="0"/>
                          <a:ext cx="1371600" cy="3390900"/>
                        </a:xfrm>
                        <a:prstGeom prst="roundRect">
                          <a:avLst>
                            <a:gd name="adj" fmla="val 6808"/>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F878A95" id="Rounded Rectangle 2284" o:spid="_x0000_s1026" style="position:absolute;margin-left:0;margin-top:-.95pt;width:108pt;height:267pt;z-index:254261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" fillcolor="#82c9a0" stroked="f" strokeweight="1pt">
                <v:stroke joinstyle="miter"/>
              </v:roundrect>
            </w:pict>
          </mc:Fallback>
        </mc:AlternateContent>
      </w:r>
    </w:p>
    <w:p w14:paraId="2FD0BBCB" w14:textId="3DC72C15" w:rsidR="00830023" w:rsidRDefault="00830023" w:rsidP="00F2708D">
      <w:pPr>
        <w:spacing w:line="276" w:lineRule="auto"/>
        <w:contextualSpacing/>
        <w:jc w:val="both"/>
        <w:rPr>
          <w:rFonts w:ascii="Arial" w:hAnsi="Arial" w:cs="Arial"/>
          <w:sz w:val="24"/>
          <w:szCs w:val="24"/>
        </w:rPr>
      </w:pPr>
    </w:p>
    <w:p w14:paraId="0C36FC45" w14:textId="0FADEEB0" w:rsidR="00830023" w:rsidRPr="00EB2A7C" w:rsidRDefault="00830023" w:rsidP="00EB2A7C">
      <w:pPr>
        <w:spacing w:line="276" w:lineRule="auto"/>
        <w:contextualSpacing/>
        <w:jc w:val="both"/>
        <w:rPr>
          <w:rFonts w:ascii="Arial" w:hAnsi="Arial" w:cs="Arial"/>
          <w:sz w:val="24"/>
          <w:szCs w:val="24"/>
        </w:rPr>
      </w:pPr>
    </w:p>
    <w:p w14:paraId="788F3F30" w14:textId="6B5821E4" w:rsidR="00512C65" w:rsidRDefault="00512C65" w:rsidP="00BD6508">
      <w:pPr>
        <w:tabs>
          <w:tab w:val="left" w:pos="920"/>
        </w:tabs>
        <w:rPr>
          <w:rFonts w:ascii="Arial" w:hAnsi="Arial" w:cs="Arial"/>
          <w:sz w:val="24"/>
          <w:szCs w:val="24"/>
        </w:rPr>
      </w:pPr>
    </w:p>
    <w:p w14:paraId="03F299AA" w14:textId="5E4CCD09" w:rsidR="00F2708D" w:rsidRDefault="00830023" w:rsidP="00BD6508">
      <w:pPr>
        <w:tabs>
          <w:tab w:val="left" w:pos="92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57150" behindDoc="0" locked="0" layoutInCell="1" allowOverlap="1" wp14:anchorId="4A3252D1" wp14:editId="5296C57D">
                <wp:simplePos x="0" y="0"/>
                <wp:positionH relativeFrom="column">
                  <wp:posOffset>177800</wp:posOffset>
                </wp:positionH>
                <wp:positionV relativeFrom="paragraph">
                  <wp:posOffset>795655</wp:posOffset>
                </wp:positionV>
                <wp:extent cx="1028700" cy="330200"/>
                <wp:effectExtent l="0" t="0" r="0" b="0"/>
                <wp:wrapNone/>
                <wp:docPr id="2282" name="Text Box 2282"/>
                <wp:cNvGraphicFramePr/>
                <a:graphic xmlns:a="http://schemas.openxmlformats.org/drawingml/2006/main">
                  <a:graphicData uri="http://schemas.microsoft.com/office/word/2010/wordprocessingShape">
                    <wps:wsp>
                      <wps:cNvSpPr txBox="1"/>
                      <wps:spPr>
                        <a:xfrm>
                          <a:off x="0" y="0"/>
                          <a:ext cx="1028700" cy="330200"/>
                        </a:xfrm>
                        <a:prstGeom prst="rect">
                          <a:avLst/>
                        </a:prstGeom>
                        <a:noFill/>
                        <a:ln w="6350">
                          <a:noFill/>
                        </a:ln>
                      </wps:spPr>
                      <wps:txbx>
                        <w:txbxContent>
                          <w:p w14:paraId="37F1D3BA" w14:textId="310872A4"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Principle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3252D1" id="Text Box 2282" o:spid="_x0000_s1537" type="#_x0000_t202" style="position:absolute;margin-left:14pt;margin-top:62.65pt;width:81pt;height:26pt;z-index:2542571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" filled="f" stroked="f" strokeweight=".5pt">
                <v:textbox>
                  <w:txbxContent>
                    <w:p w14:paraId="37F1D3BA" w14:textId="310872A4"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Principle 1</w:t>
                      </w:r>
                    </w:p>
                  </w:txbxContent>
                </v:textbox>
              </v:shape>
            </w:pict>
          </mc:Fallback>
        </mc:AlternateContent>
      </w:r>
    </w:p>
    <w:p w14:paraId="02A2E483" w14:textId="0FD1934B" w:rsidR="00830023" w:rsidRPr="00830023" w:rsidRDefault="0031171E" w:rsidP="00EB2A7C">
      <w:pPr>
        <w:rPr>
          <w:rFonts w:ascii="Arial" w:hAnsi="Arial" w:cs="Arial"/>
          <w:sz w:val="24"/>
          <w:szCs w:val="24"/>
        </w:rPr>
      </w:pPr>
      <w:r>
        <w:rPr>
          <w:rFonts w:ascii="Arial" w:hAnsi="Arial" w:cs="Arial"/>
          <w:noProof/>
          <w:sz w:val="24"/>
          <w:szCs w:val="24"/>
          <w:lang w:val="en-US"/>
        </w:rPr>
        <w:drawing>
          <wp:anchor distT="0" distB="0" distL="114300" distR="114300" simplePos="0" relativeHeight="254263294" behindDoc="0" locked="0" layoutInCell="1" allowOverlap="1" wp14:anchorId="01CFD9C0" wp14:editId="3691CD36">
            <wp:simplePos x="0" y="0"/>
            <wp:positionH relativeFrom="column">
              <wp:posOffset>203200</wp:posOffset>
            </wp:positionH>
            <wp:positionV relativeFrom="paragraph">
              <wp:posOffset>86995</wp:posOffset>
            </wp:positionV>
            <wp:extent cx="939165" cy="927100"/>
            <wp:effectExtent l="0" t="0" r="635" b="0"/>
            <wp:wrapNone/>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 name="Picture 2286"/>
                    <pic:cNvPicPr/>
                  </pic:nvPicPr>
                  <pic:blipFill rotWithShape="1">
                    <a:blip r:embed="rId872" cstate="screen">
                      <a:extLst>
                        <a:ext uri="{28A0092B-C50C-407E-A947-70E740481C1C}">
                          <a14:useLocalDpi xmlns:a14="http://schemas.microsoft.com/office/drawing/2010/main"/>
                        </a:ext>
                      </a:extLst>
                    </a:blip>
                    <a:srcRect/>
                    <a:stretch/>
                  </pic:blipFill>
                  <pic:spPr bwMode="auto">
                    <a:xfrm>
                      <a:off x="0" y="0"/>
                      <a:ext cx="939165" cy="92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AA2F61" w14:textId="00D42A7C" w:rsidR="00830023" w:rsidRDefault="00830023" w:rsidP="00830023">
      <w:pPr>
        <w:tabs>
          <w:tab w:val="left" w:pos="2740"/>
        </w:tabs>
        <w:rPr>
          <w:rFonts w:ascii="Arial" w:hAnsi="Arial" w:cs="Arial"/>
          <w:sz w:val="24"/>
          <w:szCs w:val="24"/>
        </w:rPr>
      </w:pPr>
    </w:p>
    <w:p w14:paraId="23A49C51" w14:textId="1ADBFFB5" w:rsidR="00830023" w:rsidRDefault="00830023" w:rsidP="00830023">
      <w:pPr>
        <w:tabs>
          <w:tab w:val="left" w:pos="2740"/>
        </w:tabs>
        <w:rPr>
          <w:rFonts w:ascii="Arial" w:hAnsi="Arial" w:cs="Arial"/>
          <w:sz w:val="24"/>
          <w:szCs w:val="24"/>
        </w:rPr>
      </w:pPr>
    </w:p>
    <w:p w14:paraId="46BB43CC" w14:textId="0458D5DA" w:rsidR="009B794F" w:rsidRPr="009B794F" w:rsidRDefault="009B794F" w:rsidP="00EB2A7C">
      <w:pPr>
        <w:rPr>
          <w:rFonts w:ascii="Arial" w:hAnsi="Arial" w:cs="Arial"/>
          <w:sz w:val="24"/>
          <w:szCs w:val="24"/>
        </w:rPr>
      </w:pPr>
    </w:p>
    <w:p w14:paraId="03A7EB91" w14:textId="3A174312" w:rsidR="009B794F" w:rsidRPr="009B794F" w:rsidRDefault="009B794F" w:rsidP="00EB2A7C">
      <w:pPr>
        <w:rPr>
          <w:rFonts w:ascii="Arial" w:hAnsi="Arial" w:cs="Arial"/>
          <w:sz w:val="24"/>
          <w:szCs w:val="24"/>
        </w:rPr>
      </w:pPr>
    </w:p>
    <w:p w14:paraId="3F89DF7A" w14:textId="401BD650" w:rsidR="009B794F" w:rsidRPr="009B794F" w:rsidRDefault="0031171E" w:rsidP="00EB2A7C">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62270" behindDoc="0" locked="0" layoutInCell="1" allowOverlap="1" wp14:anchorId="76C7AC9A" wp14:editId="17B45308">
                <wp:simplePos x="0" y="0"/>
                <wp:positionH relativeFrom="column">
                  <wp:posOffset>177800</wp:posOffset>
                </wp:positionH>
                <wp:positionV relativeFrom="paragraph">
                  <wp:posOffset>147320</wp:posOffset>
                </wp:positionV>
                <wp:extent cx="1028700" cy="330200"/>
                <wp:effectExtent l="0" t="0" r="0" b="0"/>
                <wp:wrapNone/>
                <wp:docPr id="2285" name="Text Box 2285"/>
                <wp:cNvGraphicFramePr/>
                <a:graphic xmlns:a="http://schemas.openxmlformats.org/drawingml/2006/main">
                  <a:graphicData uri="http://schemas.microsoft.com/office/word/2010/wordprocessingShape">
                    <wps:wsp>
                      <wps:cNvSpPr txBox="1"/>
                      <wps:spPr>
                        <a:xfrm>
                          <a:off x="0" y="0"/>
                          <a:ext cx="1028700" cy="330200"/>
                        </a:xfrm>
                        <a:prstGeom prst="rect">
                          <a:avLst/>
                        </a:prstGeom>
                        <a:noFill/>
                        <a:ln w="6350">
                          <a:noFill/>
                        </a:ln>
                      </wps:spPr>
                      <wps:txbx>
                        <w:txbxContent>
                          <w:p w14:paraId="24D92ADE" w14:textId="32434EC3"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C7AC9A" id="Text Box 2285" o:spid="_x0000_s1538" type="#_x0000_t202" style="position:absolute;margin-left:14pt;margin-top:11.6pt;width:81pt;height:26pt;z-index:254262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" filled="f" stroked="f" strokeweight=".5pt">
                <v:textbox>
                  <w:txbxContent>
                    <w:p w14:paraId="24D92ADE" w14:textId="32434EC3"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2</w:t>
                      </w:r>
                    </w:p>
                  </w:txbxContent>
                </v:textbox>
              </v:shape>
            </w:pict>
          </mc:Fallback>
        </mc:AlternateContent>
      </w:r>
    </w:p>
    <w:p w14:paraId="2370DAA3" w14:textId="02586054" w:rsidR="009B794F" w:rsidRPr="009B794F" w:rsidRDefault="009B794F" w:rsidP="00EB2A7C">
      <w:pPr>
        <w:rPr>
          <w:rFonts w:ascii="Arial" w:hAnsi="Arial" w:cs="Arial"/>
          <w:sz w:val="24"/>
          <w:szCs w:val="24"/>
        </w:rPr>
      </w:pPr>
    </w:p>
    <w:p w14:paraId="465B51AD" w14:textId="18A616BC" w:rsidR="009B794F" w:rsidRPr="009B794F" w:rsidRDefault="009B794F" w:rsidP="00EB2A7C">
      <w:pPr>
        <w:rPr>
          <w:rFonts w:ascii="Arial" w:hAnsi="Arial" w:cs="Arial"/>
          <w:sz w:val="24"/>
          <w:szCs w:val="24"/>
        </w:rPr>
      </w:pPr>
    </w:p>
    <w:p w14:paraId="53BB9A9B" w14:textId="62651D35" w:rsidR="009B794F" w:rsidRPr="009B794F" w:rsidRDefault="009B794F" w:rsidP="00EB2A7C">
      <w:pPr>
        <w:rPr>
          <w:rFonts w:ascii="Arial" w:hAnsi="Arial" w:cs="Arial"/>
          <w:sz w:val="24"/>
          <w:szCs w:val="24"/>
        </w:rPr>
      </w:pPr>
    </w:p>
    <w:p w14:paraId="77856D14" w14:textId="27C70F8D" w:rsidR="009B794F" w:rsidRPr="009B794F" w:rsidRDefault="009B794F" w:rsidP="00EB2A7C">
      <w:pPr>
        <w:rPr>
          <w:rFonts w:ascii="Arial" w:hAnsi="Arial" w:cs="Arial"/>
          <w:sz w:val="24"/>
          <w:szCs w:val="24"/>
        </w:rPr>
      </w:pPr>
    </w:p>
    <w:p w14:paraId="7832B14F" w14:textId="055BA487" w:rsidR="009B794F" w:rsidRPr="009B794F" w:rsidRDefault="009B794F" w:rsidP="00EB2A7C">
      <w:pPr>
        <w:rPr>
          <w:rFonts w:ascii="Arial" w:hAnsi="Arial" w:cs="Arial"/>
          <w:sz w:val="24"/>
          <w:szCs w:val="24"/>
        </w:rPr>
      </w:pPr>
    </w:p>
    <w:p w14:paraId="7CAFDB0A" w14:textId="1216DDAB" w:rsidR="009B794F" w:rsidRPr="009B794F" w:rsidRDefault="009B794F" w:rsidP="00EB2A7C">
      <w:pPr>
        <w:rPr>
          <w:rFonts w:ascii="Arial" w:hAnsi="Arial" w:cs="Arial"/>
          <w:sz w:val="24"/>
          <w:szCs w:val="24"/>
        </w:rPr>
      </w:pPr>
    </w:p>
    <w:p w14:paraId="374C0B36" w14:textId="55E4B1ED" w:rsidR="009B794F" w:rsidRPr="009B794F" w:rsidRDefault="009B794F" w:rsidP="00EB2A7C">
      <w:pPr>
        <w:rPr>
          <w:rFonts w:ascii="Arial" w:hAnsi="Arial" w:cs="Arial"/>
          <w:sz w:val="24"/>
          <w:szCs w:val="24"/>
        </w:rPr>
      </w:pPr>
    </w:p>
    <w:p w14:paraId="4E095B88" w14:textId="36366CD0" w:rsidR="009B794F" w:rsidRPr="009B794F" w:rsidRDefault="009B794F" w:rsidP="00EB2A7C">
      <w:pPr>
        <w:rPr>
          <w:rFonts w:ascii="Arial" w:hAnsi="Arial" w:cs="Arial"/>
          <w:sz w:val="24"/>
          <w:szCs w:val="24"/>
        </w:rPr>
      </w:pPr>
    </w:p>
    <w:p w14:paraId="78ED937C" w14:textId="5BD79866" w:rsidR="009B794F" w:rsidRPr="009B794F" w:rsidRDefault="00356A28" w:rsidP="00EB2A7C">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68414" behindDoc="0" locked="0" layoutInCell="1" allowOverlap="1" wp14:anchorId="3B46B7B8" wp14:editId="65F2CB79">
                <wp:simplePos x="0" y="0"/>
                <wp:positionH relativeFrom="column">
                  <wp:posOffset>163830</wp:posOffset>
                </wp:positionH>
                <wp:positionV relativeFrom="paragraph">
                  <wp:posOffset>2045970</wp:posOffset>
                </wp:positionV>
                <wp:extent cx="1028700" cy="330200"/>
                <wp:effectExtent l="0" t="0" r="0" b="0"/>
                <wp:wrapNone/>
                <wp:docPr id="2289" name="Text Box 2289"/>
                <wp:cNvGraphicFramePr/>
                <a:graphic xmlns:a="http://schemas.openxmlformats.org/drawingml/2006/main">
                  <a:graphicData uri="http://schemas.microsoft.com/office/word/2010/wordprocessingShape">
                    <wps:wsp>
                      <wps:cNvSpPr txBox="1"/>
                      <wps:spPr>
                        <a:xfrm>
                          <a:off x="0" y="0"/>
                          <a:ext cx="1028700" cy="330200"/>
                        </a:xfrm>
                        <a:prstGeom prst="rect">
                          <a:avLst/>
                        </a:prstGeom>
                        <a:noFill/>
                        <a:ln w="6350">
                          <a:noFill/>
                        </a:ln>
                      </wps:spPr>
                      <wps:txbx>
                        <w:txbxContent>
                          <w:p w14:paraId="68DD1216" w14:textId="34F6FDD4"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46B7B8" id="Text Box 2289" o:spid="_x0000_s1539" type="#_x0000_t202" style="position:absolute;margin-left:12.9pt;margin-top:161.1pt;width:81pt;height:26pt;z-index:2542684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" filled="f" stroked="f" strokeweight=".5pt">
                <v:textbox>
                  <w:txbxContent>
                    <w:p w14:paraId="68DD1216" w14:textId="34F6FDD4"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3</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267390" behindDoc="0" locked="0" layoutInCell="1" allowOverlap="1" wp14:anchorId="551E9072" wp14:editId="3ECD52EB">
                <wp:simplePos x="0" y="0"/>
                <wp:positionH relativeFrom="column">
                  <wp:posOffset>-635</wp:posOffset>
                </wp:positionH>
                <wp:positionV relativeFrom="paragraph">
                  <wp:posOffset>113665</wp:posOffset>
                </wp:positionV>
                <wp:extent cx="1371600" cy="3467100"/>
                <wp:effectExtent l="0" t="0" r="0" b="0"/>
                <wp:wrapNone/>
                <wp:docPr id="2288" name="Rounded Rectangle 2288"/>
                <wp:cNvGraphicFramePr/>
                <a:graphic xmlns:a="http://schemas.openxmlformats.org/drawingml/2006/main">
                  <a:graphicData uri="http://schemas.microsoft.com/office/word/2010/wordprocessingShape">
                    <wps:wsp>
                      <wps:cNvSpPr/>
                      <wps:spPr>
                        <a:xfrm>
                          <a:off x="0" y="0"/>
                          <a:ext cx="1371600" cy="3467100"/>
                        </a:xfrm>
                        <a:prstGeom prst="roundRect">
                          <a:avLst>
                            <a:gd name="adj" fmla="val 6808"/>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132ED6C" id="Rounded Rectangle 2288" o:spid="_x0000_s1026" style="position:absolute;margin-left:-.05pt;margin-top:8.95pt;width:108pt;height:273pt;z-index:254267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" fillcolor="#82c9a0" stroked="f" strokeweight="1pt">
                <v:stroke joinstyle="miter"/>
              </v:roundrect>
            </w:pict>
          </mc:Fallback>
        </mc:AlternateContent>
      </w:r>
      <w:r>
        <w:rPr>
          <w:rFonts w:ascii="Arial" w:hAnsi="Arial" w:cs="Arial"/>
          <w:noProof/>
          <w:sz w:val="24"/>
          <w:szCs w:val="24"/>
          <w:lang w:val="en-US"/>
        </w:rPr>
        <w:drawing>
          <wp:anchor distT="0" distB="0" distL="114300" distR="114300" simplePos="0" relativeHeight="254269438" behindDoc="0" locked="0" layoutInCell="1" allowOverlap="1" wp14:anchorId="6B1F8C13" wp14:editId="66C215DB">
            <wp:simplePos x="0" y="0"/>
            <wp:positionH relativeFrom="column">
              <wp:posOffset>215900</wp:posOffset>
            </wp:positionH>
            <wp:positionV relativeFrom="paragraph">
              <wp:posOffset>1066165</wp:posOffset>
            </wp:positionV>
            <wp:extent cx="939165" cy="927735"/>
            <wp:effectExtent l="0" t="0" r="635" b="0"/>
            <wp:wrapNone/>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Picture 2290"/>
                    <pic:cNvPicPr/>
                  </pic:nvPicPr>
                  <pic:blipFill rotWithShape="1">
                    <a:blip r:embed="rId873" cstate="screen">
                      <a:extLst>
                        <a:ext uri="{28A0092B-C50C-407E-A947-70E740481C1C}">
                          <a14:useLocalDpi xmlns:a14="http://schemas.microsoft.com/office/drawing/2010/main"/>
                        </a:ext>
                      </a:extLst>
                    </a:blip>
                    <a:srcRect/>
                    <a:stretch/>
                  </pic:blipFill>
                  <pic:spPr bwMode="auto">
                    <a:xfrm>
                      <a:off x="0" y="0"/>
                      <a:ext cx="939165" cy="927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259198" behindDoc="0" locked="0" layoutInCell="1" allowOverlap="1" wp14:anchorId="7668FD90" wp14:editId="4E534DFB">
                <wp:simplePos x="0" y="0"/>
                <wp:positionH relativeFrom="column">
                  <wp:posOffset>1473200</wp:posOffset>
                </wp:positionH>
                <wp:positionV relativeFrom="paragraph">
                  <wp:posOffset>46355</wp:posOffset>
                </wp:positionV>
                <wp:extent cx="5257800" cy="3543300"/>
                <wp:effectExtent l="0" t="0" r="0" b="0"/>
                <wp:wrapNone/>
                <wp:docPr id="2283" name="Text Box 2283"/>
                <wp:cNvGraphicFramePr/>
                <a:graphic xmlns:a="http://schemas.openxmlformats.org/drawingml/2006/main">
                  <a:graphicData uri="http://schemas.microsoft.com/office/word/2010/wordprocessingShape">
                    <wps:wsp>
                      <wps:cNvSpPr txBox="1"/>
                      <wps:spPr>
                        <a:xfrm>
                          <a:off x="0" y="0"/>
                          <a:ext cx="5257800" cy="3543300"/>
                        </a:xfrm>
                        <a:prstGeom prst="rect">
                          <a:avLst/>
                        </a:prstGeom>
                        <a:solidFill>
                          <a:schemeClr val="lt1"/>
                        </a:solidFill>
                        <a:ln w="6350">
                          <a:noFill/>
                        </a:ln>
                      </wps:spPr>
                      <wps:txbx>
                        <w:txbxContent>
                          <w:p w14:paraId="775B910F" w14:textId="13FD6B35" w:rsidR="00D15FD8" w:rsidRPr="003625BA" w:rsidRDefault="00D15FD8" w:rsidP="00830023">
                            <w:pPr>
                              <w:spacing w:line="276" w:lineRule="auto"/>
                              <w:jc w:val="both"/>
                              <w:rPr>
                                <w:rFonts w:ascii="Arial" w:hAnsi="Arial" w:cs="Arial"/>
                                <w:b/>
                                <w:bCs/>
                                <w:color w:val="F26D24"/>
                                <w:sz w:val="24"/>
                                <w:szCs w:val="24"/>
                              </w:rPr>
                            </w:pPr>
                            <w:r>
                              <w:rPr>
                                <w:rFonts w:ascii="Arial" w:hAnsi="Arial" w:cs="Arial"/>
                                <w:b/>
                                <w:bCs/>
                                <w:color w:val="F26D24"/>
                                <w:sz w:val="24"/>
                                <w:szCs w:val="24"/>
                              </w:rPr>
                              <w:t>Timely and comprehensive</w:t>
                            </w:r>
                          </w:p>
                          <w:p w14:paraId="0ED8ECF4" w14:textId="543AC627"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Data should be published as close to real-time as possible. Data users should be consulted to identify which data to prioritize for release and/or improvement. To the extent possible, data should be released in its original, unmodified form, and be linked to any relevant guidance, documentation, visualizations, or analyses that assist in its interpretation. Data released should also be disaggregated to the lowest levels of administration, including by gender, age, income, and other categories. Consistent information life cycle management practices should be applied as well, ensuring that historical copies of data sets are preserved, archived, and kept accessible as long as they retain value. Importantly, data users should be allowed to provide feedback, and revisions should be made to ensure that data quality is continually improved. They should also be consulted on any proposed significant changes to the structure or supply of data in order to minimize the impact on the tools they may have created based on the data. It is also key that there is transparency regarding data collection, standards, and publishing processes.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8FD90" id="Text Box 2283" o:spid="_x0000_s1540" type="#_x0000_t202" style="position:absolute;margin-left:116pt;margin-top:3.65pt;width:414pt;height:279pt;z-index:254259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" fillcolor="white [3201]" stroked="f" strokeweight=".5pt">
                <v:textbox>
                  <w:txbxContent>
                    <w:p w14:paraId="775B910F" w14:textId="13FD6B35" w:rsidR="00D15FD8" w:rsidRPr="003625BA" w:rsidRDefault="00D15FD8" w:rsidP="00830023">
                      <w:pPr>
                        <w:spacing w:line="276" w:lineRule="auto"/>
                        <w:jc w:val="both"/>
                        <w:rPr>
                          <w:rFonts w:ascii="Arial" w:hAnsi="Arial" w:cs="Arial"/>
                          <w:b/>
                          <w:bCs/>
                          <w:color w:val="F26D24"/>
                          <w:sz w:val="24"/>
                          <w:szCs w:val="24"/>
                        </w:rPr>
                      </w:pPr>
                      <w:r>
                        <w:rPr>
                          <w:rFonts w:ascii="Arial" w:hAnsi="Arial" w:cs="Arial"/>
                          <w:b/>
                          <w:bCs/>
                          <w:color w:val="F26D24"/>
                          <w:sz w:val="24"/>
                          <w:szCs w:val="24"/>
                        </w:rPr>
                        <w:t>Timely and comprehensive</w:t>
                      </w:r>
                    </w:p>
                    <w:p w14:paraId="0ED8ECF4" w14:textId="543AC627"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Data should be published as close to real-time as possible. Data users should be consulted to identify which data to prioritize for release and/or improvement. To the extent possible, data should be released in its original, unmodified form, and be linked to any relevant guidance, documentation, visualizations, or analyses that assist in its interpretation. Data released should also be disaggregated to the lowest levels of administration, including by gender, age, income, and other categories. Consistent information life cycle management practices should be applied as well, ensuring that historical copies of data sets are preserved, archived, and kept accessible as long as they retain value. Importantly, data users should be allowed to provide feedback, and revisions should be made to ensure that data quality is continually improved. They should also be consulted on any proposed significant changes to the structure or supply of data in order to minimize the impact on the tools they may have created based on the data. It is also key that there is transparency regarding data collection, standards, and publishing processes.</w:t>
                      </w:r>
                    </w:p>
                  </w:txbxContent>
                </v:textbox>
              </v:shape>
            </w:pict>
          </mc:Fallback>
        </mc:AlternateContent>
      </w:r>
    </w:p>
    <w:p w14:paraId="29A341AC" w14:textId="30831AC8" w:rsidR="009B794F" w:rsidRPr="009B794F" w:rsidRDefault="009B794F" w:rsidP="00EB2A7C">
      <w:pPr>
        <w:rPr>
          <w:rFonts w:ascii="Arial" w:hAnsi="Arial" w:cs="Arial"/>
          <w:sz w:val="24"/>
          <w:szCs w:val="24"/>
        </w:rPr>
      </w:pPr>
    </w:p>
    <w:p w14:paraId="694EDEDE" w14:textId="009222FD" w:rsidR="009B794F" w:rsidRPr="009B794F" w:rsidRDefault="009B794F" w:rsidP="00EB2A7C">
      <w:pPr>
        <w:rPr>
          <w:rFonts w:ascii="Arial" w:hAnsi="Arial" w:cs="Arial"/>
          <w:sz w:val="24"/>
          <w:szCs w:val="24"/>
        </w:rPr>
      </w:pPr>
    </w:p>
    <w:p w14:paraId="61D596A9" w14:textId="5A01C828" w:rsidR="009B794F" w:rsidRPr="009B794F" w:rsidRDefault="009B794F" w:rsidP="00EB2A7C">
      <w:pPr>
        <w:rPr>
          <w:rFonts w:ascii="Arial" w:hAnsi="Arial" w:cs="Arial"/>
          <w:sz w:val="24"/>
          <w:szCs w:val="24"/>
        </w:rPr>
      </w:pPr>
    </w:p>
    <w:p w14:paraId="11687C8D" w14:textId="74817F8F" w:rsidR="009B794F" w:rsidRPr="009B794F" w:rsidRDefault="009B794F" w:rsidP="00EB2A7C">
      <w:pPr>
        <w:rPr>
          <w:rFonts w:ascii="Arial" w:hAnsi="Arial" w:cs="Arial"/>
          <w:sz w:val="24"/>
          <w:szCs w:val="24"/>
        </w:rPr>
      </w:pPr>
    </w:p>
    <w:p w14:paraId="5181620A" w14:textId="61C35A3E" w:rsidR="009B794F" w:rsidRPr="009B794F" w:rsidRDefault="009B794F" w:rsidP="00EB2A7C">
      <w:pPr>
        <w:rPr>
          <w:rFonts w:ascii="Arial" w:hAnsi="Arial" w:cs="Arial"/>
          <w:sz w:val="24"/>
          <w:szCs w:val="24"/>
        </w:rPr>
      </w:pPr>
    </w:p>
    <w:p w14:paraId="33A62D2E" w14:textId="607382B3" w:rsidR="009B794F" w:rsidRDefault="009B794F" w:rsidP="00EB2A7C">
      <w:pPr>
        <w:rPr>
          <w:rFonts w:ascii="Arial" w:hAnsi="Arial" w:cs="Arial"/>
          <w:sz w:val="24"/>
          <w:szCs w:val="24"/>
        </w:rPr>
      </w:pPr>
    </w:p>
    <w:p w14:paraId="4EB47DF0" w14:textId="7D503C6C" w:rsidR="0031171E" w:rsidRDefault="0031171E" w:rsidP="00EB2A7C">
      <w:pPr>
        <w:rPr>
          <w:rFonts w:ascii="Arial" w:hAnsi="Arial" w:cs="Arial"/>
          <w:sz w:val="24"/>
          <w:szCs w:val="24"/>
        </w:rPr>
      </w:pPr>
    </w:p>
    <w:p w14:paraId="0A2AEC14" w14:textId="37484A12" w:rsidR="0031171E" w:rsidRDefault="0031171E" w:rsidP="00EB2A7C">
      <w:pPr>
        <w:rPr>
          <w:rFonts w:ascii="Arial" w:hAnsi="Arial" w:cs="Arial"/>
          <w:sz w:val="24"/>
          <w:szCs w:val="24"/>
        </w:rPr>
      </w:pPr>
    </w:p>
    <w:p w14:paraId="07689BF8" w14:textId="53343F00" w:rsidR="0031171E" w:rsidRDefault="0031171E" w:rsidP="00EB2A7C">
      <w:pPr>
        <w:rPr>
          <w:rFonts w:ascii="Arial" w:hAnsi="Arial" w:cs="Arial"/>
          <w:sz w:val="24"/>
          <w:szCs w:val="24"/>
        </w:rPr>
      </w:pPr>
    </w:p>
    <w:p w14:paraId="1661CEE6" w14:textId="108704B0" w:rsidR="0031171E" w:rsidRDefault="0031171E" w:rsidP="00EB2A7C">
      <w:pPr>
        <w:rPr>
          <w:rFonts w:ascii="Arial" w:hAnsi="Arial" w:cs="Arial"/>
          <w:sz w:val="24"/>
          <w:szCs w:val="24"/>
        </w:rPr>
      </w:pPr>
    </w:p>
    <w:p w14:paraId="78AF3C54" w14:textId="17182340" w:rsidR="0031171E" w:rsidRDefault="0031171E" w:rsidP="00EB2A7C">
      <w:pPr>
        <w:rPr>
          <w:rFonts w:ascii="Arial" w:hAnsi="Arial" w:cs="Arial"/>
          <w:sz w:val="24"/>
          <w:szCs w:val="24"/>
        </w:rPr>
      </w:pPr>
    </w:p>
    <w:p w14:paraId="24E4BB3B" w14:textId="454666AA" w:rsidR="0031171E" w:rsidRDefault="0031171E" w:rsidP="00EB2A7C">
      <w:pPr>
        <w:rPr>
          <w:rFonts w:ascii="Arial" w:hAnsi="Arial" w:cs="Arial"/>
          <w:sz w:val="24"/>
          <w:szCs w:val="24"/>
        </w:rPr>
      </w:pPr>
    </w:p>
    <w:p w14:paraId="0152583B" w14:textId="22F9470B" w:rsidR="0031171E" w:rsidRDefault="0031171E" w:rsidP="00EB2A7C">
      <w:pPr>
        <w:rPr>
          <w:rFonts w:ascii="Arial" w:hAnsi="Arial" w:cs="Arial"/>
          <w:sz w:val="24"/>
          <w:szCs w:val="24"/>
        </w:rPr>
      </w:pPr>
    </w:p>
    <w:p w14:paraId="21F86C7E" w14:textId="3CDB5641" w:rsidR="0031171E" w:rsidRDefault="0031171E" w:rsidP="00EB2A7C">
      <w:pPr>
        <w:rPr>
          <w:rFonts w:ascii="Arial" w:hAnsi="Arial" w:cs="Arial"/>
          <w:sz w:val="24"/>
          <w:szCs w:val="24"/>
        </w:rPr>
      </w:pPr>
    </w:p>
    <w:p w14:paraId="4E2B6DC6" w14:textId="261FD455" w:rsidR="0031171E" w:rsidRPr="009B794F" w:rsidRDefault="0031171E" w:rsidP="00EB2A7C">
      <w:pPr>
        <w:rPr>
          <w:rFonts w:ascii="Arial" w:hAnsi="Arial" w:cs="Arial"/>
          <w:sz w:val="24"/>
          <w:szCs w:val="24"/>
        </w:rPr>
      </w:pPr>
    </w:p>
    <w:p w14:paraId="2E2BD9CB" w14:textId="3CACC8F2" w:rsidR="009B794F" w:rsidRPr="009B794F" w:rsidRDefault="009B794F" w:rsidP="00EB2A7C">
      <w:pPr>
        <w:rPr>
          <w:rFonts w:ascii="Arial" w:hAnsi="Arial" w:cs="Arial"/>
          <w:sz w:val="24"/>
          <w:szCs w:val="24"/>
        </w:rPr>
      </w:pPr>
    </w:p>
    <w:p w14:paraId="6BFE06B2" w14:textId="572C89E9" w:rsidR="009B794F" w:rsidRPr="009B794F" w:rsidRDefault="009B794F" w:rsidP="00EB2A7C">
      <w:pPr>
        <w:rPr>
          <w:rFonts w:ascii="Arial" w:hAnsi="Arial" w:cs="Arial"/>
          <w:sz w:val="24"/>
          <w:szCs w:val="24"/>
        </w:rPr>
      </w:pPr>
    </w:p>
    <w:p w14:paraId="2B734339" w14:textId="0EAAB11C" w:rsidR="009B794F" w:rsidRPr="009B794F" w:rsidRDefault="009B794F" w:rsidP="00EB2A7C">
      <w:pPr>
        <w:rPr>
          <w:rFonts w:ascii="Arial" w:hAnsi="Arial" w:cs="Arial"/>
          <w:sz w:val="24"/>
          <w:szCs w:val="24"/>
        </w:rPr>
      </w:pPr>
    </w:p>
    <w:p w14:paraId="50FAE3F0" w14:textId="3AA283BD" w:rsidR="009B794F" w:rsidRPr="009B794F" w:rsidRDefault="009B794F" w:rsidP="00EB2A7C">
      <w:pPr>
        <w:rPr>
          <w:rFonts w:ascii="Arial" w:hAnsi="Arial" w:cs="Arial"/>
          <w:sz w:val="24"/>
          <w:szCs w:val="24"/>
        </w:rPr>
      </w:pPr>
    </w:p>
    <w:p w14:paraId="663AC806" w14:textId="5B39A37B" w:rsidR="009B794F" w:rsidRPr="009B794F" w:rsidRDefault="009B794F" w:rsidP="00EB2A7C">
      <w:pPr>
        <w:rPr>
          <w:rFonts w:ascii="Arial" w:hAnsi="Arial" w:cs="Arial"/>
          <w:sz w:val="24"/>
          <w:szCs w:val="24"/>
        </w:rPr>
      </w:pPr>
    </w:p>
    <w:p w14:paraId="5E2FB8E6" w14:textId="4D419F37" w:rsidR="009B794F" w:rsidRPr="009B794F" w:rsidRDefault="00356A28" w:rsidP="00EB2A7C">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71486" behindDoc="0" locked="0" layoutInCell="1" allowOverlap="1" wp14:anchorId="70237F39" wp14:editId="6FB7F0EC">
                <wp:simplePos x="0" y="0"/>
                <wp:positionH relativeFrom="column">
                  <wp:posOffset>1460500</wp:posOffset>
                </wp:positionH>
                <wp:positionV relativeFrom="paragraph">
                  <wp:posOffset>27940</wp:posOffset>
                </wp:positionV>
                <wp:extent cx="5257800" cy="2159000"/>
                <wp:effectExtent l="0" t="0" r="0" b="0"/>
                <wp:wrapNone/>
                <wp:docPr id="2291" name="Text Box 2291"/>
                <wp:cNvGraphicFramePr/>
                <a:graphic xmlns:a="http://schemas.openxmlformats.org/drawingml/2006/main">
                  <a:graphicData uri="http://schemas.microsoft.com/office/word/2010/wordprocessingShape">
                    <wps:wsp>
                      <wps:cNvSpPr txBox="1"/>
                      <wps:spPr>
                        <a:xfrm>
                          <a:off x="0" y="0"/>
                          <a:ext cx="5257800" cy="2159000"/>
                        </a:xfrm>
                        <a:prstGeom prst="rect">
                          <a:avLst/>
                        </a:prstGeom>
                        <a:noFill/>
                        <a:ln w="6350">
                          <a:noFill/>
                        </a:ln>
                      </wps:spPr>
                      <wps:txbx>
                        <w:txbxContent>
                          <w:p w14:paraId="6685E8C0" w14:textId="367EB5F4" w:rsidR="00D15FD8" w:rsidRPr="003625BA" w:rsidRDefault="00D15FD8" w:rsidP="00830023">
                            <w:pPr>
                              <w:spacing w:line="276" w:lineRule="auto"/>
                              <w:jc w:val="both"/>
                              <w:rPr>
                                <w:rFonts w:ascii="Arial" w:hAnsi="Arial" w:cs="Arial"/>
                                <w:b/>
                                <w:bCs/>
                                <w:color w:val="F26D24"/>
                                <w:sz w:val="24"/>
                                <w:szCs w:val="24"/>
                              </w:rPr>
                            </w:pPr>
                            <w:r>
                              <w:rPr>
                                <w:rFonts w:ascii="Arial" w:hAnsi="Arial" w:cs="Arial"/>
                                <w:b/>
                                <w:bCs/>
                                <w:color w:val="F26D24"/>
                                <w:sz w:val="24"/>
                                <w:szCs w:val="24"/>
                              </w:rPr>
                              <w:t>Comparable and interoperable</w:t>
                            </w:r>
                          </w:p>
                          <w:p w14:paraId="3A3EE9B0" w14:textId="127098AC"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Data should be easy to compare within and between sectors, across geographic locations, and over time. Data should be presented in structured and standardized formats to support interoperability, traceability, and effective reuse. Consistent open data standards should also be applied. Open data sets should include consistent core metadata, and be made available in human– and machine-readable formats. Data should be fully described, with accompanying documentation written in clear, plain language, with data users having sufficient information to understand the source, strengths, weaknesses, and analytical limitations of the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37F39" id="Text Box 2291" o:spid="_x0000_s1541" type="#_x0000_t202" style="position:absolute;margin-left:115pt;margin-top:2.2pt;width:414pt;height:170pt;z-index:254271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" filled="f" stroked="f" strokeweight=".5pt">
                <v:textbox>
                  <w:txbxContent>
                    <w:p w14:paraId="6685E8C0" w14:textId="367EB5F4" w:rsidR="00D15FD8" w:rsidRPr="003625BA" w:rsidRDefault="00D15FD8" w:rsidP="00830023">
                      <w:pPr>
                        <w:spacing w:line="276" w:lineRule="auto"/>
                        <w:jc w:val="both"/>
                        <w:rPr>
                          <w:rFonts w:ascii="Arial" w:hAnsi="Arial" w:cs="Arial"/>
                          <w:b/>
                          <w:bCs/>
                          <w:color w:val="F26D24"/>
                          <w:sz w:val="24"/>
                          <w:szCs w:val="24"/>
                        </w:rPr>
                      </w:pPr>
                      <w:r>
                        <w:rPr>
                          <w:rFonts w:ascii="Arial" w:hAnsi="Arial" w:cs="Arial"/>
                          <w:b/>
                          <w:bCs/>
                          <w:color w:val="F26D24"/>
                          <w:sz w:val="24"/>
                          <w:szCs w:val="24"/>
                        </w:rPr>
                        <w:t>Comparable and interoperable</w:t>
                      </w:r>
                    </w:p>
                    <w:p w14:paraId="3A3EE9B0" w14:textId="127098AC"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Data should be easy to compare within and between sectors, across geographic locations, and over time. Data should be presented in structured and standardized formats to support interoperability, traceability, and effective reuse. Consistent open data standards should also be applied. Open data sets should include consistent core metadata, and be made available in human– and machine-readable formats. Data should be fully described, with accompanying documentation written in clear, plain language, with data users having sufficient information to understand the source, strengths, weaknesses, and analytical limitations of the data.</w:t>
                      </w:r>
                    </w:p>
                  </w:txbxContent>
                </v:textbox>
              </v:shape>
            </w:pict>
          </mc:Fallback>
        </mc:AlternateContent>
      </w:r>
      <w:r w:rsidR="0031171E">
        <w:rPr>
          <w:rFonts w:ascii="Arial" w:hAnsi="Arial" w:cs="Arial"/>
          <w:noProof/>
          <w:sz w:val="24"/>
          <w:szCs w:val="24"/>
          <w:lang w:val="en-US"/>
        </w:rPr>
        <mc:AlternateContent>
          <mc:Choice Requires="wps">
            <w:drawing>
              <wp:anchor distT="0" distB="0" distL="114300" distR="114300" simplePos="0" relativeHeight="254274558" behindDoc="0" locked="0" layoutInCell="1" allowOverlap="1" wp14:anchorId="2F5630C9" wp14:editId="572F9333">
                <wp:simplePos x="0" y="0"/>
                <wp:positionH relativeFrom="column">
                  <wp:posOffset>189230</wp:posOffset>
                </wp:positionH>
                <wp:positionV relativeFrom="paragraph">
                  <wp:posOffset>1434465</wp:posOffset>
                </wp:positionV>
                <wp:extent cx="1028700" cy="330200"/>
                <wp:effectExtent l="0" t="0" r="0" b="0"/>
                <wp:wrapNone/>
                <wp:docPr id="2293" name="Text Box 2293"/>
                <wp:cNvGraphicFramePr/>
                <a:graphic xmlns:a="http://schemas.openxmlformats.org/drawingml/2006/main">
                  <a:graphicData uri="http://schemas.microsoft.com/office/word/2010/wordprocessingShape">
                    <wps:wsp>
                      <wps:cNvSpPr txBox="1"/>
                      <wps:spPr>
                        <a:xfrm>
                          <a:off x="0" y="0"/>
                          <a:ext cx="1028700" cy="330200"/>
                        </a:xfrm>
                        <a:prstGeom prst="rect">
                          <a:avLst/>
                        </a:prstGeom>
                        <a:noFill/>
                        <a:ln w="6350">
                          <a:noFill/>
                        </a:ln>
                      </wps:spPr>
                      <wps:txbx>
                        <w:txbxContent>
                          <w:p w14:paraId="174AF631" w14:textId="1F118AE7"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5630C9" id="Text Box 2293" o:spid="_x0000_s1542" type="#_x0000_t202" style="position:absolute;margin-left:14.9pt;margin-top:112.95pt;width:81pt;height:26pt;z-index:2542745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" filled="f" stroked="f" strokeweight=".5pt">
                <v:textbox>
                  <w:txbxContent>
                    <w:p w14:paraId="174AF631" w14:textId="1F118AE7"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4</w:t>
                      </w:r>
                    </w:p>
                  </w:txbxContent>
                </v:textbox>
              </v:shape>
            </w:pict>
          </mc:Fallback>
        </mc:AlternateContent>
      </w:r>
      <w:r w:rsidR="0031171E">
        <w:rPr>
          <w:rFonts w:ascii="Arial" w:hAnsi="Arial" w:cs="Arial"/>
          <w:noProof/>
          <w:sz w:val="24"/>
          <w:szCs w:val="24"/>
          <w:lang w:val="en-US"/>
        </w:rPr>
        <mc:AlternateContent>
          <mc:Choice Requires="wps">
            <w:drawing>
              <wp:anchor distT="0" distB="0" distL="114300" distR="114300" simplePos="0" relativeHeight="254273534" behindDoc="0" locked="0" layoutInCell="1" allowOverlap="1" wp14:anchorId="78466667" wp14:editId="195B1B36">
                <wp:simplePos x="0" y="0"/>
                <wp:positionH relativeFrom="column">
                  <wp:posOffset>0</wp:posOffset>
                </wp:positionH>
                <wp:positionV relativeFrom="paragraph">
                  <wp:posOffset>40640</wp:posOffset>
                </wp:positionV>
                <wp:extent cx="1371600" cy="2070100"/>
                <wp:effectExtent l="0" t="0" r="0" b="0"/>
                <wp:wrapNone/>
                <wp:docPr id="2292" name="Rounded Rectangle 2292"/>
                <wp:cNvGraphicFramePr/>
                <a:graphic xmlns:a="http://schemas.openxmlformats.org/drawingml/2006/main">
                  <a:graphicData uri="http://schemas.microsoft.com/office/word/2010/wordprocessingShape">
                    <wps:wsp>
                      <wps:cNvSpPr/>
                      <wps:spPr>
                        <a:xfrm>
                          <a:off x="0" y="0"/>
                          <a:ext cx="1371600" cy="2070100"/>
                        </a:xfrm>
                        <a:prstGeom prst="roundRect">
                          <a:avLst>
                            <a:gd name="adj" fmla="val 6808"/>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BFA170A" id="Rounded Rectangle 2292" o:spid="_x0000_s1026" style="position:absolute;margin-left:0;margin-top:3.2pt;width:108pt;height:163pt;z-index:254273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" fillcolor="#82c9a0" stroked="f" strokeweight="1pt">
                <v:stroke joinstyle="miter"/>
              </v:roundrect>
            </w:pict>
          </mc:Fallback>
        </mc:AlternateContent>
      </w:r>
      <w:r w:rsidR="0031171E">
        <w:rPr>
          <w:rFonts w:ascii="Arial" w:hAnsi="Arial" w:cs="Arial"/>
          <w:noProof/>
          <w:sz w:val="24"/>
          <w:szCs w:val="24"/>
          <w:lang w:val="en-US"/>
        </w:rPr>
        <w:drawing>
          <wp:anchor distT="0" distB="0" distL="114300" distR="114300" simplePos="0" relativeHeight="254275582" behindDoc="0" locked="0" layoutInCell="1" allowOverlap="1" wp14:anchorId="1516719F" wp14:editId="6C65D2F6">
            <wp:simplePos x="0" y="0"/>
            <wp:positionH relativeFrom="column">
              <wp:posOffset>215900</wp:posOffset>
            </wp:positionH>
            <wp:positionV relativeFrom="paragraph">
              <wp:posOffset>499110</wp:posOffset>
            </wp:positionV>
            <wp:extent cx="939165" cy="913130"/>
            <wp:effectExtent l="0" t="0" r="635" b="1270"/>
            <wp:wrapNone/>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 name="Picture 2294"/>
                    <pic:cNvPicPr/>
                  </pic:nvPicPr>
                  <pic:blipFill rotWithShape="1">
                    <a:blip r:embed="rId874" cstate="screen">
                      <a:extLst>
                        <a:ext uri="{28A0092B-C50C-407E-A947-70E740481C1C}">
                          <a14:useLocalDpi xmlns:a14="http://schemas.microsoft.com/office/drawing/2010/main"/>
                        </a:ext>
                      </a:extLst>
                    </a:blip>
                    <a:srcRect/>
                    <a:stretch/>
                  </pic:blipFill>
                  <pic:spPr bwMode="auto">
                    <a:xfrm>
                      <a:off x="0" y="0"/>
                      <a:ext cx="939165" cy="913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2EDE89" w14:textId="2F1A01EA" w:rsidR="009B794F" w:rsidRPr="009B794F" w:rsidRDefault="009B794F" w:rsidP="00EB2A7C">
      <w:pPr>
        <w:rPr>
          <w:rFonts w:ascii="Arial" w:hAnsi="Arial" w:cs="Arial"/>
          <w:sz w:val="24"/>
          <w:szCs w:val="24"/>
        </w:rPr>
      </w:pPr>
    </w:p>
    <w:p w14:paraId="3C006A8A" w14:textId="36D96B77" w:rsidR="009B794F" w:rsidRPr="009B794F" w:rsidRDefault="009B794F" w:rsidP="00EB2A7C">
      <w:pPr>
        <w:rPr>
          <w:rFonts w:ascii="Arial" w:hAnsi="Arial" w:cs="Arial"/>
          <w:sz w:val="24"/>
          <w:szCs w:val="24"/>
        </w:rPr>
      </w:pPr>
    </w:p>
    <w:p w14:paraId="6E0B6924" w14:textId="104C9844" w:rsidR="009B794F" w:rsidRPr="009B794F" w:rsidRDefault="009B794F" w:rsidP="00EB2A7C">
      <w:pPr>
        <w:rPr>
          <w:rFonts w:ascii="Arial" w:hAnsi="Arial" w:cs="Arial"/>
          <w:sz w:val="24"/>
          <w:szCs w:val="24"/>
        </w:rPr>
      </w:pPr>
    </w:p>
    <w:p w14:paraId="51E37015" w14:textId="1D4FA9B3" w:rsidR="009B794F" w:rsidRPr="009B794F" w:rsidRDefault="009B794F" w:rsidP="00EB2A7C">
      <w:pPr>
        <w:rPr>
          <w:rFonts w:ascii="Arial" w:hAnsi="Arial" w:cs="Arial"/>
          <w:sz w:val="24"/>
          <w:szCs w:val="24"/>
        </w:rPr>
      </w:pPr>
    </w:p>
    <w:p w14:paraId="142E0A3A" w14:textId="35FC9888" w:rsidR="009B794F" w:rsidRPr="009B794F" w:rsidRDefault="009B794F" w:rsidP="00EB2A7C">
      <w:pPr>
        <w:rPr>
          <w:rFonts w:ascii="Arial" w:hAnsi="Arial" w:cs="Arial"/>
          <w:sz w:val="24"/>
          <w:szCs w:val="24"/>
        </w:rPr>
      </w:pPr>
    </w:p>
    <w:p w14:paraId="6BC54954" w14:textId="0A9B1042" w:rsidR="009B794F" w:rsidRPr="009B794F" w:rsidRDefault="009B794F" w:rsidP="00EB2A7C">
      <w:pPr>
        <w:rPr>
          <w:rFonts w:ascii="Arial" w:hAnsi="Arial" w:cs="Arial"/>
          <w:sz w:val="24"/>
          <w:szCs w:val="24"/>
        </w:rPr>
      </w:pPr>
    </w:p>
    <w:p w14:paraId="79CB6773" w14:textId="551624F6" w:rsidR="009B794F" w:rsidRPr="009B794F" w:rsidRDefault="009B794F" w:rsidP="00EB2A7C">
      <w:pPr>
        <w:rPr>
          <w:rFonts w:ascii="Arial" w:hAnsi="Arial" w:cs="Arial"/>
          <w:sz w:val="24"/>
          <w:szCs w:val="24"/>
        </w:rPr>
      </w:pPr>
    </w:p>
    <w:p w14:paraId="15756B1B" w14:textId="53445E16" w:rsidR="009B794F" w:rsidRPr="009B794F" w:rsidRDefault="009B794F" w:rsidP="00EB2A7C">
      <w:pPr>
        <w:rPr>
          <w:rFonts w:ascii="Arial" w:hAnsi="Arial" w:cs="Arial"/>
          <w:sz w:val="24"/>
          <w:szCs w:val="24"/>
        </w:rPr>
      </w:pPr>
    </w:p>
    <w:p w14:paraId="4B10442F" w14:textId="09CA177A" w:rsidR="009B794F" w:rsidRPr="009B794F" w:rsidRDefault="009B794F" w:rsidP="00EB2A7C">
      <w:pPr>
        <w:rPr>
          <w:rFonts w:ascii="Arial" w:hAnsi="Arial" w:cs="Arial"/>
          <w:sz w:val="24"/>
          <w:szCs w:val="24"/>
        </w:rPr>
      </w:pPr>
    </w:p>
    <w:p w14:paraId="6DE080E1" w14:textId="571AF2FD" w:rsidR="009B794F" w:rsidRDefault="009B794F" w:rsidP="00EB2A7C">
      <w:pPr>
        <w:rPr>
          <w:rFonts w:ascii="Arial" w:hAnsi="Arial" w:cs="Arial"/>
          <w:sz w:val="24"/>
          <w:szCs w:val="24"/>
        </w:rPr>
      </w:pPr>
    </w:p>
    <w:p w14:paraId="3FE8AEF3" w14:textId="77777777" w:rsidR="00356A28" w:rsidRPr="009B794F" w:rsidRDefault="00356A28" w:rsidP="00EB2A7C">
      <w:pPr>
        <w:rPr>
          <w:rFonts w:ascii="Arial" w:hAnsi="Arial" w:cs="Arial"/>
          <w:sz w:val="24"/>
          <w:szCs w:val="24"/>
        </w:rPr>
      </w:pPr>
    </w:p>
    <w:p w14:paraId="6B660955" w14:textId="304C479A" w:rsidR="009B794F" w:rsidRPr="009B794F" w:rsidRDefault="00356A28" w:rsidP="00EB2A7C">
      <w:pPr>
        <w:rPr>
          <w:rFonts w:ascii="Arial" w:hAnsi="Arial" w:cs="Arial"/>
          <w:sz w:val="24"/>
          <w:szCs w:val="24"/>
        </w:rPr>
      </w:pPr>
      <w:r>
        <w:rPr>
          <w:rFonts w:ascii="Arial" w:hAnsi="Arial" w:cs="Arial"/>
          <w:noProof/>
          <w:sz w:val="24"/>
          <w:szCs w:val="24"/>
          <w:lang w:val="en-US"/>
        </w:rPr>
        <w:lastRenderedPageBreak/>
        <mc:AlternateContent>
          <mc:Choice Requires="wps">
            <w:drawing>
              <wp:anchor distT="0" distB="0" distL="114300" distR="114300" simplePos="0" relativeHeight="254277630" behindDoc="0" locked="0" layoutInCell="1" allowOverlap="1" wp14:anchorId="7F1BE8AA" wp14:editId="0D4DE673">
                <wp:simplePos x="0" y="0"/>
                <wp:positionH relativeFrom="column">
                  <wp:posOffset>1460500</wp:posOffset>
                </wp:positionH>
                <wp:positionV relativeFrom="paragraph">
                  <wp:posOffset>31115</wp:posOffset>
                </wp:positionV>
                <wp:extent cx="5257800" cy="2159000"/>
                <wp:effectExtent l="0" t="0" r="0" b="0"/>
                <wp:wrapNone/>
                <wp:docPr id="2295" name="Text Box 2295"/>
                <wp:cNvGraphicFramePr/>
                <a:graphic xmlns:a="http://schemas.openxmlformats.org/drawingml/2006/main">
                  <a:graphicData uri="http://schemas.microsoft.com/office/word/2010/wordprocessingShape">
                    <wps:wsp>
                      <wps:cNvSpPr txBox="1"/>
                      <wps:spPr>
                        <a:xfrm>
                          <a:off x="0" y="0"/>
                          <a:ext cx="5257800" cy="2159000"/>
                        </a:xfrm>
                        <a:prstGeom prst="rect">
                          <a:avLst/>
                        </a:prstGeom>
                        <a:noFill/>
                        <a:ln w="6350">
                          <a:noFill/>
                        </a:ln>
                      </wps:spPr>
                      <wps:txbx>
                        <w:txbxContent>
                          <w:p w14:paraId="14CD2ADC" w14:textId="43C94D14" w:rsidR="00D15FD8" w:rsidRDefault="00D15FD8" w:rsidP="009B794F">
                            <w:pPr>
                              <w:spacing w:line="276" w:lineRule="auto"/>
                              <w:jc w:val="both"/>
                              <w:rPr>
                                <w:rFonts w:ascii="Arial" w:hAnsi="Arial" w:cs="Arial"/>
                                <w:b/>
                                <w:bCs/>
                                <w:color w:val="F26D24"/>
                                <w:sz w:val="24"/>
                                <w:szCs w:val="24"/>
                              </w:rPr>
                            </w:pPr>
                            <w:r>
                              <w:rPr>
                                <w:rFonts w:ascii="Arial" w:hAnsi="Arial" w:cs="Arial"/>
                                <w:b/>
                                <w:bCs/>
                                <w:color w:val="F26D24"/>
                                <w:sz w:val="24"/>
                                <w:szCs w:val="24"/>
                              </w:rPr>
                              <w:t>For improved governance and citizen engagement</w:t>
                            </w:r>
                          </w:p>
                          <w:p w14:paraId="26670C36" w14:textId="16B765E8"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rPr>
                              <w:t>Information published as a result of transparency or anti-corruption laws should be released as open data. Training programs, tools, and guidelines should be designed</w:t>
                            </w:r>
                            <w:r w:rsidRPr="003625BA">
                              <w:rPr>
                                <w:rFonts w:ascii="Arial" w:hAnsi="Arial" w:cs="Arial"/>
                                <w:bCs/>
                                <w:sz w:val="24"/>
                                <w:szCs w:val="24"/>
                              </w:rPr>
                              <w:t xml:space="preserve"> </w:t>
                            </w:r>
                            <w:r w:rsidRPr="003625BA">
                              <w:rPr>
                                <w:rFonts w:ascii="Arial" w:hAnsi="Arial" w:cs="Arial"/>
                                <w:sz w:val="24"/>
                                <w:szCs w:val="24"/>
                              </w:rPr>
                              <w:t>to ensure government employees are capable of using open data effectively in policy development processes. There should also be consultations with users that determine what data they need to effectively hold governments accountable. The use of open data should be encouraged to develop innovative, evidence-based policy solutions that benefit all members of society, including marginalized communities</w:t>
                            </w:r>
                            <w:r w:rsidRPr="003625BA">
                              <w:rPr>
                                <w:rFonts w:ascii="Arial" w:hAnsi="Arial" w:cs="Arial"/>
                                <w:sz w:val="24"/>
                                <w:szCs w:val="24"/>
                                <w:lang w:val="en-Z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BE8AA" id="Text Box 2295" o:spid="_x0000_s1543" type="#_x0000_t202" style="position:absolute;margin-left:115pt;margin-top:2.45pt;width:414pt;height:170pt;z-index:254277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" filled="f" stroked="f" strokeweight=".5pt">
                <v:textbox>
                  <w:txbxContent>
                    <w:p w14:paraId="14CD2ADC" w14:textId="43C94D14" w:rsidR="00D15FD8" w:rsidRDefault="00D15FD8" w:rsidP="009B794F">
                      <w:pPr>
                        <w:spacing w:line="276" w:lineRule="auto"/>
                        <w:jc w:val="both"/>
                        <w:rPr>
                          <w:rFonts w:ascii="Arial" w:hAnsi="Arial" w:cs="Arial"/>
                          <w:b/>
                          <w:bCs/>
                          <w:color w:val="F26D24"/>
                          <w:sz w:val="24"/>
                          <w:szCs w:val="24"/>
                        </w:rPr>
                      </w:pPr>
                      <w:r>
                        <w:rPr>
                          <w:rFonts w:ascii="Arial" w:hAnsi="Arial" w:cs="Arial"/>
                          <w:b/>
                          <w:bCs/>
                          <w:color w:val="F26D24"/>
                          <w:sz w:val="24"/>
                          <w:szCs w:val="24"/>
                        </w:rPr>
                        <w:t>For improved governance and citizen engagement</w:t>
                      </w:r>
                    </w:p>
                    <w:p w14:paraId="26670C36" w14:textId="16B765E8"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rPr>
                        <w:t>Information published as a result of transparency or anti-corruption laws should be released as open data. Training programs, tools, and guidelines should be designed</w:t>
                      </w:r>
                      <w:r w:rsidRPr="003625BA">
                        <w:rPr>
                          <w:rFonts w:ascii="Arial" w:hAnsi="Arial" w:cs="Arial"/>
                          <w:bCs/>
                          <w:sz w:val="24"/>
                          <w:szCs w:val="24"/>
                        </w:rPr>
                        <w:t xml:space="preserve"> </w:t>
                      </w:r>
                      <w:r w:rsidRPr="003625BA">
                        <w:rPr>
                          <w:rFonts w:ascii="Arial" w:hAnsi="Arial" w:cs="Arial"/>
                          <w:sz w:val="24"/>
                          <w:szCs w:val="24"/>
                        </w:rPr>
                        <w:t>to ensure government employees are capable of using open data effectively in policy development processes. There should also be consultations with users that determine what data they need to effectively hold governments accountable. The use of open data should be encouraged to develop innovative, evidence-based policy solutions that benefit all members of society, including marginalized communities</w:t>
                      </w:r>
                      <w:r w:rsidRPr="003625BA">
                        <w:rPr>
                          <w:rFonts w:ascii="Arial" w:hAnsi="Arial" w:cs="Arial"/>
                          <w:sz w:val="24"/>
                          <w:szCs w:val="24"/>
                          <w:lang w:val="en-ZA"/>
                        </w:rPr>
                        <w:t>.</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279678" behindDoc="0" locked="0" layoutInCell="1" allowOverlap="1" wp14:anchorId="13599A57" wp14:editId="253688E8">
                <wp:simplePos x="0" y="0"/>
                <wp:positionH relativeFrom="column">
                  <wp:posOffset>0</wp:posOffset>
                </wp:positionH>
                <wp:positionV relativeFrom="paragraph">
                  <wp:posOffset>24765</wp:posOffset>
                </wp:positionV>
                <wp:extent cx="1371600" cy="2070100"/>
                <wp:effectExtent l="0" t="0" r="0" b="0"/>
                <wp:wrapNone/>
                <wp:docPr id="2296" name="Rounded Rectangle 2296"/>
                <wp:cNvGraphicFramePr/>
                <a:graphic xmlns:a="http://schemas.openxmlformats.org/drawingml/2006/main">
                  <a:graphicData uri="http://schemas.microsoft.com/office/word/2010/wordprocessingShape">
                    <wps:wsp>
                      <wps:cNvSpPr/>
                      <wps:spPr>
                        <a:xfrm>
                          <a:off x="0" y="0"/>
                          <a:ext cx="1371600" cy="2070100"/>
                        </a:xfrm>
                        <a:prstGeom prst="roundRect">
                          <a:avLst>
                            <a:gd name="adj" fmla="val 6808"/>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508F44B" id="Rounded Rectangle 2296" o:spid="_x0000_s1026" style="position:absolute;margin-left:0;margin-top:1.95pt;width:108pt;height:163pt;z-index:254279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" fillcolor="#82c9a0" stroked="f" strokeweight="1pt">
                <v:stroke joinstyle="miter"/>
              </v:roundrect>
            </w:pict>
          </mc:Fallback>
        </mc:AlternateContent>
      </w:r>
      <w:r>
        <w:rPr>
          <w:rFonts w:ascii="Arial" w:hAnsi="Arial" w:cs="Arial"/>
          <w:noProof/>
          <w:sz w:val="24"/>
          <w:szCs w:val="24"/>
          <w:lang w:val="en-US"/>
        </w:rPr>
        <w:drawing>
          <wp:anchor distT="0" distB="0" distL="114300" distR="114300" simplePos="0" relativeHeight="254281726" behindDoc="0" locked="0" layoutInCell="1" allowOverlap="1" wp14:anchorId="725DC908" wp14:editId="735EAA81">
            <wp:simplePos x="0" y="0"/>
            <wp:positionH relativeFrom="column">
              <wp:posOffset>215900</wp:posOffset>
            </wp:positionH>
            <wp:positionV relativeFrom="paragraph">
              <wp:posOffset>435610</wp:posOffset>
            </wp:positionV>
            <wp:extent cx="939165" cy="922020"/>
            <wp:effectExtent l="0" t="0" r="635" b="5080"/>
            <wp:wrapNone/>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Picture 2298"/>
                    <pic:cNvPicPr/>
                  </pic:nvPicPr>
                  <pic:blipFill rotWithShape="1">
                    <a:blip r:embed="rId875" cstate="screen">
                      <a:extLst>
                        <a:ext uri="{28A0092B-C50C-407E-A947-70E740481C1C}">
                          <a14:useLocalDpi xmlns:a14="http://schemas.microsoft.com/office/drawing/2010/main"/>
                        </a:ext>
                      </a:extLst>
                    </a:blip>
                    <a:srcRect/>
                    <a:stretch/>
                  </pic:blipFill>
                  <pic:spPr bwMode="auto">
                    <a:xfrm>
                      <a:off x="0" y="0"/>
                      <a:ext cx="939165" cy="92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F1D4B0" w14:textId="041362C4" w:rsidR="009B794F" w:rsidRPr="009B794F" w:rsidRDefault="009B794F" w:rsidP="00EB2A7C">
      <w:pPr>
        <w:rPr>
          <w:rFonts w:ascii="Arial" w:hAnsi="Arial" w:cs="Arial"/>
          <w:sz w:val="24"/>
          <w:szCs w:val="24"/>
        </w:rPr>
      </w:pPr>
    </w:p>
    <w:p w14:paraId="33BAACB9" w14:textId="05C6FEDF" w:rsidR="009B794F" w:rsidRPr="009B794F" w:rsidRDefault="009B794F" w:rsidP="00EB2A7C">
      <w:pPr>
        <w:rPr>
          <w:rFonts w:ascii="Arial" w:hAnsi="Arial" w:cs="Arial"/>
          <w:sz w:val="24"/>
          <w:szCs w:val="24"/>
        </w:rPr>
      </w:pPr>
    </w:p>
    <w:p w14:paraId="40DD7486" w14:textId="065613B9" w:rsidR="009B794F" w:rsidRPr="009B794F" w:rsidRDefault="009B794F" w:rsidP="00EB2A7C">
      <w:pPr>
        <w:rPr>
          <w:rFonts w:ascii="Arial" w:hAnsi="Arial" w:cs="Arial"/>
          <w:sz w:val="24"/>
          <w:szCs w:val="24"/>
        </w:rPr>
      </w:pPr>
    </w:p>
    <w:p w14:paraId="514B715C" w14:textId="3EE9C9E9" w:rsidR="009B794F" w:rsidRPr="009B794F" w:rsidRDefault="009B794F" w:rsidP="00EB2A7C">
      <w:pPr>
        <w:rPr>
          <w:rFonts w:ascii="Arial" w:hAnsi="Arial" w:cs="Arial"/>
          <w:sz w:val="24"/>
          <w:szCs w:val="24"/>
        </w:rPr>
      </w:pPr>
    </w:p>
    <w:p w14:paraId="3E42A4A4" w14:textId="18C42468" w:rsidR="009B794F" w:rsidRDefault="009B794F" w:rsidP="009B794F">
      <w:pPr>
        <w:rPr>
          <w:rFonts w:ascii="Arial" w:hAnsi="Arial" w:cs="Arial"/>
          <w:sz w:val="24"/>
          <w:szCs w:val="24"/>
        </w:rPr>
      </w:pPr>
    </w:p>
    <w:p w14:paraId="7683E077" w14:textId="6FF90301" w:rsidR="009B794F" w:rsidRPr="009B794F" w:rsidRDefault="009B794F" w:rsidP="009B794F">
      <w:pPr>
        <w:rPr>
          <w:rFonts w:ascii="Arial" w:hAnsi="Arial" w:cs="Arial"/>
          <w:sz w:val="24"/>
          <w:szCs w:val="24"/>
        </w:rPr>
      </w:pPr>
    </w:p>
    <w:p w14:paraId="0F673CB4" w14:textId="04E207CA" w:rsidR="009B794F" w:rsidRPr="009B794F" w:rsidRDefault="009B794F" w:rsidP="009B794F">
      <w:pPr>
        <w:rPr>
          <w:rFonts w:ascii="Arial" w:hAnsi="Arial" w:cs="Arial"/>
          <w:sz w:val="24"/>
          <w:szCs w:val="24"/>
        </w:rPr>
      </w:pPr>
    </w:p>
    <w:p w14:paraId="6F48D084" w14:textId="4A0D029F" w:rsidR="009B794F" w:rsidRDefault="00356A28" w:rsidP="009B794F">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80702" behindDoc="0" locked="0" layoutInCell="1" allowOverlap="1" wp14:anchorId="0640EAC0" wp14:editId="7A4F6DD2">
                <wp:simplePos x="0" y="0"/>
                <wp:positionH relativeFrom="column">
                  <wp:posOffset>163195</wp:posOffset>
                </wp:positionH>
                <wp:positionV relativeFrom="paragraph">
                  <wp:posOffset>71755</wp:posOffset>
                </wp:positionV>
                <wp:extent cx="1028700" cy="330200"/>
                <wp:effectExtent l="0" t="0" r="0" b="0"/>
                <wp:wrapNone/>
                <wp:docPr id="2297" name="Text Box 2297"/>
                <wp:cNvGraphicFramePr/>
                <a:graphic xmlns:a="http://schemas.openxmlformats.org/drawingml/2006/main">
                  <a:graphicData uri="http://schemas.microsoft.com/office/word/2010/wordprocessingShape">
                    <wps:wsp>
                      <wps:cNvSpPr txBox="1"/>
                      <wps:spPr>
                        <a:xfrm>
                          <a:off x="0" y="0"/>
                          <a:ext cx="1028700" cy="330200"/>
                        </a:xfrm>
                        <a:prstGeom prst="rect">
                          <a:avLst/>
                        </a:prstGeom>
                        <a:noFill/>
                        <a:ln w="6350">
                          <a:noFill/>
                        </a:ln>
                      </wps:spPr>
                      <wps:txbx>
                        <w:txbxContent>
                          <w:p w14:paraId="0123BEF0" w14:textId="699D29F6"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40EAC0" id="Text Box 2297" o:spid="_x0000_s1544" type="#_x0000_t202" style="position:absolute;margin-left:12.85pt;margin-top:5.65pt;width:81pt;height:26pt;z-index:2542807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" filled="f" stroked="f" strokeweight=".5pt">
                <v:textbox>
                  <w:txbxContent>
                    <w:p w14:paraId="0123BEF0" w14:textId="699D29F6"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5</w:t>
                      </w:r>
                    </w:p>
                  </w:txbxContent>
                </v:textbox>
              </v:shape>
            </w:pict>
          </mc:Fallback>
        </mc:AlternateContent>
      </w:r>
    </w:p>
    <w:p w14:paraId="2455B47E" w14:textId="789D39F4" w:rsidR="009B794F" w:rsidRDefault="009B794F" w:rsidP="009B794F">
      <w:pPr>
        <w:tabs>
          <w:tab w:val="left" w:pos="7580"/>
        </w:tabs>
        <w:rPr>
          <w:rFonts w:ascii="Arial" w:hAnsi="Arial" w:cs="Arial"/>
          <w:sz w:val="24"/>
          <w:szCs w:val="24"/>
        </w:rPr>
      </w:pPr>
      <w:r>
        <w:rPr>
          <w:rFonts w:ascii="Arial" w:hAnsi="Arial" w:cs="Arial"/>
          <w:sz w:val="24"/>
          <w:szCs w:val="24"/>
        </w:rPr>
        <w:tab/>
      </w:r>
    </w:p>
    <w:p w14:paraId="7B98807F" w14:textId="24867B74" w:rsidR="009B794F" w:rsidRDefault="009B794F" w:rsidP="009B794F">
      <w:pPr>
        <w:tabs>
          <w:tab w:val="left" w:pos="7580"/>
        </w:tabs>
        <w:rPr>
          <w:rFonts w:ascii="Arial" w:hAnsi="Arial" w:cs="Arial"/>
          <w:sz w:val="24"/>
          <w:szCs w:val="24"/>
        </w:rPr>
      </w:pPr>
    </w:p>
    <w:p w14:paraId="563AD998" w14:textId="26F8C3EF" w:rsidR="009B794F" w:rsidRDefault="009B794F" w:rsidP="009B794F">
      <w:pPr>
        <w:tabs>
          <w:tab w:val="left" w:pos="7580"/>
        </w:tabs>
        <w:rPr>
          <w:rFonts w:ascii="Arial" w:hAnsi="Arial" w:cs="Arial"/>
          <w:sz w:val="24"/>
          <w:szCs w:val="24"/>
        </w:rPr>
      </w:pPr>
    </w:p>
    <w:p w14:paraId="5A66249D" w14:textId="78C1933C" w:rsidR="009B794F" w:rsidRDefault="00356A28" w:rsidP="009B794F">
      <w:pPr>
        <w:tabs>
          <w:tab w:val="left" w:pos="758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83774" behindDoc="0" locked="0" layoutInCell="1" allowOverlap="1" wp14:anchorId="1F522D94" wp14:editId="2A2B1745">
                <wp:simplePos x="0" y="0"/>
                <wp:positionH relativeFrom="column">
                  <wp:posOffset>1460500</wp:posOffset>
                </wp:positionH>
                <wp:positionV relativeFrom="paragraph">
                  <wp:posOffset>177165</wp:posOffset>
                </wp:positionV>
                <wp:extent cx="5257800" cy="1333500"/>
                <wp:effectExtent l="0" t="0" r="0" b="0"/>
                <wp:wrapNone/>
                <wp:docPr id="2300" name="Text Box 2300"/>
                <wp:cNvGraphicFramePr/>
                <a:graphic xmlns:a="http://schemas.openxmlformats.org/drawingml/2006/main">
                  <a:graphicData uri="http://schemas.microsoft.com/office/word/2010/wordprocessingShape">
                    <wps:wsp>
                      <wps:cNvSpPr txBox="1"/>
                      <wps:spPr>
                        <a:xfrm>
                          <a:off x="0" y="0"/>
                          <a:ext cx="5257800" cy="1333500"/>
                        </a:xfrm>
                        <a:prstGeom prst="rect">
                          <a:avLst/>
                        </a:prstGeom>
                        <a:noFill/>
                        <a:ln w="6350">
                          <a:noFill/>
                        </a:ln>
                      </wps:spPr>
                      <wps:txbx>
                        <w:txbxContent>
                          <w:p w14:paraId="7CCA7395" w14:textId="2AE6386C" w:rsidR="00D15FD8" w:rsidRDefault="00D15FD8" w:rsidP="009B794F">
                            <w:pPr>
                              <w:spacing w:line="276" w:lineRule="auto"/>
                              <w:jc w:val="both"/>
                              <w:rPr>
                                <w:rFonts w:ascii="Arial" w:hAnsi="Arial" w:cs="Arial"/>
                                <w:b/>
                                <w:bCs/>
                                <w:color w:val="F26D24"/>
                                <w:sz w:val="24"/>
                                <w:szCs w:val="24"/>
                              </w:rPr>
                            </w:pPr>
                            <w:r>
                              <w:rPr>
                                <w:rFonts w:ascii="Arial" w:hAnsi="Arial" w:cs="Arial"/>
                                <w:b/>
                                <w:bCs/>
                                <w:color w:val="F26D24"/>
                                <w:sz w:val="24"/>
                                <w:szCs w:val="24"/>
                              </w:rPr>
                              <w:t>For inclusive development and innovation</w:t>
                            </w:r>
                          </w:p>
                          <w:p w14:paraId="7DC11B67" w14:textId="7A2835D1"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The more actors in the fiscal ecosystem that use open data, the greater the benefits that will likely be generated. Its use should thus be encouraged. Potential partnerships between governments and the other actors in the fiscal ecosystem should be explored and created to support the release of open data and maximize the impact of data through its effective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22D94" id="Text Box 2300" o:spid="_x0000_s1545" type="#_x0000_t202" style="position:absolute;margin-left:115pt;margin-top:13.95pt;width:414pt;height:105pt;z-index:2542837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" filled="f" stroked="f" strokeweight=".5pt">
                <v:textbox>
                  <w:txbxContent>
                    <w:p w14:paraId="7CCA7395" w14:textId="2AE6386C" w:rsidR="00D15FD8" w:rsidRDefault="00D15FD8" w:rsidP="009B794F">
                      <w:pPr>
                        <w:spacing w:line="276" w:lineRule="auto"/>
                        <w:jc w:val="both"/>
                        <w:rPr>
                          <w:rFonts w:ascii="Arial" w:hAnsi="Arial" w:cs="Arial"/>
                          <w:b/>
                          <w:bCs/>
                          <w:color w:val="F26D24"/>
                          <w:sz w:val="24"/>
                          <w:szCs w:val="24"/>
                        </w:rPr>
                      </w:pPr>
                      <w:r>
                        <w:rPr>
                          <w:rFonts w:ascii="Arial" w:hAnsi="Arial" w:cs="Arial"/>
                          <w:b/>
                          <w:bCs/>
                          <w:color w:val="F26D24"/>
                          <w:sz w:val="24"/>
                          <w:szCs w:val="24"/>
                        </w:rPr>
                        <w:t>For inclusive development and innovation</w:t>
                      </w:r>
                    </w:p>
                    <w:p w14:paraId="7DC11B67" w14:textId="7A2835D1" w:rsidR="00D15FD8" w:rsidRPr="003625BA" w:rsidRDefault="00D15FD8" w:rsidP="003625BA">
                      <w:pPr>
                        <w:spacing w:line="276" w:lineRule="auto"/>
                        <w:jc w:val="both"/>
                        <w:rPr>
                          <w:rFonts w:ascii="Arial" w:hAnsi="Arial" w:cs="Arial"/>
                          <w:sz w:val="24"/>
                          <w:szCs w:val="24"/>
                        </w:rPr>
                      </w:pPr>
                      <w:r w:rsidRPr="003625BA">
                        <w:rPr>
                          <w:rFonts w:ascii="Arial" w:hAnsi="Arial" w:cs="Arial"/>
                          <w:sz w:val="24"/>
                          <w:szCs w:val="24"/>
                          <w:lang w:val="en-ZA"/>
                        </w:rPr>
                        <w:t>The more actors in the fiscal ecosystem that use open data, the greater the benefits that will likely be generated. Its use should thus be encouraged. Potential partnerships between governments and the other actors in the fiscal ecosystem should be explored and created to support the release of open data and maximize the impact of data through its effective use.</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285822" behindDoc="0" locked="0" layoutInCell="1" allowOverlap="1" wp14:anchorId="25BBE2EE" wp14:editId="2BBD11A2">
                <wp:simplePos x="0" y="0"/>
                <wp:positionH relativeFrom="column">
                  <wp:posOffset>0</wp:posOffset>
                </wp:positionH>
                <wp:positionV relativeFrom="paragraph">
                  <wp:posOffset>164465</wp:posOffset>
                </wp:positionV>
                <wp:extent cx="1371600" cy="1333500"/>
                <wp:effectExtent l="0" t="0" r="0" b="0"/>
                <wp:wrapNone/>
                <wp:docPr id="2301" name="Rounded Rectangle 2301"/>
                <wp:cNvGraphicFramePr/>
                <a:graphic xmlns:a="http://schemas.openxmlformats.org/drawingml/2006/main">
                  <a:graphicData uri="http://schemas.microsoft.com/office/word/2010/wordprocessingShape">
                    <wps:wsp>
                      <wps:cNvSpPr/>
                      <wps:spPr>
                        <a:xfrm>
                          <a:off x="0" y="0"/>
                          <a:ext cx="1371600" cy="1333500"/>
                        </a:xfrm>
                        <a:prstGeom prst="roundRect">
                          <a:avLst>
                            <a:gd name="adj" fmla="val 6808"/>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AA50400" id="Rounded Rectangle 2301" o:spid="_x0000_s1026" style="position:absolute;margin-left:0;margin-top:12.95pt;width:108pt;height:105pt;z-index:254285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" fillcolor="#82c9a0" stroked="f" strokeweight="1pt">
                <v:stroke joinstyle="miter"/>
              </v:roundrect>
            </w:pict>
          </mc:Fallback>
        </mc:AlternateContent>
      </w:r>
      <w:r>
        <w:rPr>
          <w:rFonts w:ascii="Arial" w:hAnsi="Arial" w:cs="Arial"/>
          <w:noProof/>
          <w:sz w:val="24"/>
          <w:szCs w:val="24"/>
          <w:lang w:val="en-US"/>
        </w:rPr>
        <mc:AlternateContent>
          <mc:Choice Requires="wps">
            <w:drawing>
              <wp:anchor distT="0" distB="0" distL="114300" distR="114300" simplePos="0" relativeHeight="254286846" behindDoc="0" locked="0" layoutInCell="1" allowOverlap="1" wp14:anchorId="1EC97A08" wp14:editId="2A020D18">
                <wp:simplePos x="0" y="0"/>
                <wp:positionH relativeFrom="column">
                  <wp:posOffset>176530</wp:posOffset>
                </wp:positionH>
                <wp:positionV relativeFrom="paragraph">
                  <wp:posOffset>1178560</wp:posOffset>
                </wp:positionV>
                <wp:extent cx="1028700" cy="330200"/>
                <wp:effectExtent l="0" t="0" r="0" b="0"/>
                <wp:wrapNone/>
                <wp:docPr id="2302" name="Text Box 2302"/>
                <wp:cNvGraphicFramePr/>
                <a:graphic xmlns:a="http://schemas.openxmlformats.org/drawingml/2006/main">
                  <a:graphicData uri="http://schemas.microsoft.com/office/word/2010/wordprocessingShape">
                    <wps:wsp>
                      <wps:cNvSpPr txBox="1"/>
                      <wps:spPr>
                        <a:xfrm>
                          <a:off x="0" y="0"/>
                          <a:ext cx="1028700" cy="330200"/>
                        </a:xfrm>
                        <a:prstGeom prst="rect">
                          <a:avLst/>
                        </a:prstGeom>
                        <a:noFill/>
                        <a:ln w="6350">
                          <a:noFill/>
                        </a:ln>
                      </wps:spPr>
                      <wps:txbx>
                        <w:txbxContent>
                          <w:p w14:paraId="1AFC72F1" w14:textId="16F774EC"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C97A08" id="Text Box 2302" o:spid="_x0000_s1546" type="#_x0000_t202" style="position:absolute;margin-left:13.9pt;margin-top:92.8pt;width:81pt;height:26pt;z-index:2542868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" filled="f" stroked="f" strokeweight=".5pt">
                <v:textbox>
                  <w:txbxContent>
                    <w:p w14:paraId="1AFC72F1" w14:textId="16F774EC" w:rsidR="00D15FD8" w:rsidRPr="003625BA" w:rsidRDefault="00D15FD8" w:rsidP="003625BA">
                      <w:pPr>
                        <w:jc w:val="center"/>
                        <w:rPr>
                          <w:rFonts w:ascii="Arial" w:hAnsi="Arial" w:cs="Arial"/>
                          <w:b/>
                          <w:bCs/>
                          <w:color w:val="FFFFFF" w:themeColor="background1"/>
                          <w:sz w:val="24"/>
                          <w:szCs w:val="24"/>
                          <w:lang w:val="en-US"/>
                        </w:rPr>
                      </w:pPr>
                      <w:r w:rsidRPr="003625BA">
                        <w:rPr>
                          <w:rFonts w:ascii="Arial" w:hAnsi="Arial" w:cs="Arial"/>
                          <w:b/>
                          <w:bCs/>
                          <w:color w:val="FFFFFF" w:themeColor="background1"/>
                          <w:sz w:val="24"/>
                          <w:szCs w:val="24"/>
                          <w:lang w:val="en-US"/>
                        </w:rPr>
                        <w:t xml:space="preserve">Principle </w:t>
                      </w:r>
                      <w:r>
                        <w:rPr>
                          <w:rFonts w:ascii="Arial" w:hAnsi="Arial" w:cs="Arial"/>
                          <w:b/>
                          <w:bCs/>
                          <w:color w:val="FFFFFF" w:themeColor="background1"/>
                          <w:sz w:val="24"/>
                          <w:szCs w:val="24"/>
                          <w:lang w:val="en-US"/>
                        </w:rPr>
                        <w:t>6</w:t>
                      </w:r>
                    </w:p>
                  </w:txbxContent>
                </v:textbox>
              </v:shape>
            </w:pict>
          </mc:Fallback>
        </mc:AlternateContent>
      </w:r>
    </w:p>
    <w:p w14:paraId="44E75935" w14:textId="406067B7" w:rsidR="009B794F" w:rsidRDefault="00356A28" w:rsidP="009B794F">
      <w:pPr>
        <w:tabs>
          <w:tab w:val="left" w:pos="7580"/>
        </w:tabs>
        <w:rPr>
          <w:rFonts w:ascii="Arial" w:hAnsi="Arial" w:cs="Arial"/>
          <w:sz w:val="24"/>
          <w:szCs w:val="24"/>
        </w:rPr>
      </w:pPr>
      <w:r>
        <w:rPr>
          <w:rFonts w:ascii="Arial" w:hAnsi="Arial" w:cs="Arial"/>
          <w:noProof/>
          <w:sz w:val="24"/>
          <w:szCs w:val="24"/>
          <w:lang w:val="en-US"/>
        </w:rPr>
        <w:drawing>
          <wp:anchor distT="0" distB="0" distL="114300" distR="114300" simplePos="0" relativeHeight="254287870" behindDoc="0" locked="0" layoutInCell="1" allowOverlap="1" wp14:anchorId="06F74818" wp14:editId="0F361CF8">
            <wp:simplePos x="0" y="0"/>
            <wp:positionH relativeFrom="column">
              <wp:posOffset>216535</wp:posOffset>
            </wp:positionH>
            <wp:positionV relativeFrom="paragraph">
              <wp:posOffset>91440</wp:posOffset>
            </wp:positionV>
            <wp:extent cx="939165" cy="933450"/>
            <wp:effectExtent l="0" t="0" r="635" b="6350"/>
            <wp:wrapNone/>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Picture 2303"/>
                    <pic:cNvPicPr/>
                  </pic:nvPicPr>
                  <pic:blipFill rotWithShape="1">
                    <a:blip r:embed="rId876" cstate="screen">
                      <a:extLst>
                        <a:ext uri="{28A0092B-C50C-407E-A947-70E740481C1C}">
                          <a14:useLocalDpi xmlns:a14="http://schemas.microsoft.com/office/drawing/2010/main"/>
                        </a:ext>
                      </a:extLst>
                    </a:blip>
                    <a:srcRect/>
                    <a:stretch/>
                  </pic:blipFill>
                  <pic:spPr bwMode="auto">
                    <a:xfrm>
                      <a:off x="0" y="0"/>
                      <a:ext cx="939165"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C8393" w14:textId="1A743FD5" w:rsidR="009B794F" w:rsidRDefault="009B794F" w:rsidP="009B794F">
      <w:pPr>
        <w:tabs>
          <w:tab w:val="left" w:pos="7580"/>
        </w:tabs>
        <w:rPr>
          <w:rFonts w:ascii="Arial" w:hAnsi="Arial" w:cs="Arial"/>
          <w:sz w:val="24"/>
          <w:szCs w:val="24"/>
        </w:rPr>
      </w:pPr>
    </w:p>
    <w:p w14:paraId="7803178F" w14:textId="2638DA42" w:rsidR="002D002C" w:rsidRPr="002D002C" w:rsidRDefault="002D002C" w:rsidP="00EB2A7C">
      <w:pPr>
        <w:rPr>
          <w:rFonts w:ascii="Arial" w:hAnsi="Arial" w:cs="Arial"/>
          <w:sz w:val="24"/>
          <w:szCs w:val="24"/>
        </w:rPr>
      </w:pPr>
    </w:p>
    <w:p w14:paraId="66E84402" w14:textId="59198AAD" w:rsidR="002D002C" w:rsidRPr="002D002C" w:rsidRDefault="002D002C" w:rsidP="00EB2A7C">
      <w:pPr>
        <w:rPr>
          <w:rFonts w:ascii="Arial" w:hAnsi="Arial" w:cs="Arial"/>
          <w:sz w:val="24"/>
          <w:szCs w:val="24"/>
        </w:rPr>
      </w:pPr>
    </w:p>
    <w:p w14:paraId="6A7700C9" w14:textId="55D4FD20" w:rsidR="002D002C" w:rsidRPr="002D002C" w:rsidRDefault="002D002C" w:rsidP="00EB2A7C">
      <w:pPr>
        <w:rPr>
          <w:rFonts w:ascii="Arial" w:hAnsi="Arial" w:cs="Arial"/>
          <w:sz w:val="24"/>
          <w:szCs w:val="24"/>
        </w:rPr>
      </w:pPr>
    </w:p>
    <w:p w14:paraId="51F9A8B1" w14:textId="71C95DA6" w:rsidR="002D002C" w:rsidRPr="002D002C" w:rsidRDefault="002D002C" w:rsidP="00EB2A7C">
      <w:pPr>
        <w:rPr>
          <w:rFonts w:ascii="Arial" w:hAnsi="Arial" w:cs="Arial"/>
          <w:sz w:val="24"/>
          <w:szCs w:val="24"/>
        </w:rPr>
      </w:pPr>
    </w:p>
    <w:p w14:paraId="551A90DB" w14:textId="7733FC98" w:rsidR="002D002C" w:rsidRPr="002D002C" w:rsidRDefault="002D002C" w:rsidP="00EB2A7C">
      <w:pPr>
        <w:rPr>
          <w:rFonts w:ascii="Arial" w:hAnsi="Arial" w:cs="Arial"/>
          <w:sz w:val="24"/>
          <w:szCs w:val="24"/>
        </w:rPr>
      </w:pPr>
    </w:p>
    <w:p w14:paraId="48FAF77D" w14:textId="77777777" w:rsidR="00EF29A3" w:rsidRDefault="00EF29A3" w:rsidP="002D002C">
      <w:pPr>
        <w:rPr>
          <w:rFonts w:ascii="Arial" w:hAnsi="Arial" w:cs="Arial"/>
          <w:sz w:val="24"/>
          <w:szCs w:val="24"/>
        </w:rPr>
      </w:pPr>
    </w:p>
    <w:p w14:paraId="376B696B" w14:textId="1EE5DC6F" w:rsidR="002D002C" w:rsidRDefault="00356A28" w:rsidP="002D002C">
      <w:pPr>
        <w:tabs>
          <w:tab w:val="left" w:pos="160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89918" behindDoc="1" locked="0" layoutInCell="1" allowOverlap="1" wp14:anchorId="36ED8313" wp14:editId="16A3F9AB">
                <wp:simplePos x="0" y="0"/>
                <wp:positionH relativeFrom="margin">
                  <wp:posOffset>609600</wp:posOffset>
                </wp:positionH>
                <wp:positionV relativeFrom="paragraph">
                  <wp:posOffset>134620</wp:posOffset>
                </wp:positionV>
                <wp:extent cx="3429000" cy="596900"/>
                <wp:effectExtent l="12700" t="12700" r="12700" b="12700"/>
                <wp:wrapNone/>
                <wp:docPr id="2304" name="Rounded Rectangle 2304"/>
                <wp:cNvGraphicFramePr/>
                <a:graphic xmlns:a="http://schemas.openxmlformats.org/drawingml/2006/main">
                  <a:graphicData uri="http://schemas.microsoft.com/office/word/2010/wordprocessingShape">
                    <wps:wsp>
                      <wps:cNvSpPr/>
                      <wps:spPr>
                        <a:xfrm>
                          <a:off x="0" y="0"/>
                          <a:ext cx="34290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54A8CC1" id="Rounded Rectangle 2304" o:spid="_x0000_s1026" style="position:absolute;margin-left:48pt;margin-top:10.6pt;width:270pt;height:47pt;z-index:-2490265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" filled="f" strokecolor="#82c9a0" strokeweight="2.25pt">
                <v:stroke joinstyle="miter"/>
                <w10:wrap anchorx="margin"/>
              </v:roundrect>
            </w:pict>
          </mc:Fallback>
        </mc:AlternateContent>
      </w:r>
      <w:r w:rsidR="00EF29A3">
        <w:rPr>
          <w:rFonts w:ascii="Arial" w:hAnsi="Arial" w:cs="Arial"/>
          <w:noProof/>
          <w:sz w:val="24"/>
          <w:szCs w:val="24"/>
          <w:lang w:val="en-US"/>
        </w:rPr>
        <w:drawing>
          <wp:anchor distT="0" distB="0" distL="114300" distR="114300" simplePos="0" relativeHeight="254291966" behindDoc="1" locked="0" layoutInCell="1" allowOverlap="1" wp14:anchorId="3132FCCB" wp14:editId="301AC5CC">
            <wp:simplePos x="0" y="0"/>
            <wp:positionH relativeFrom="column">
              <wp:posOffset>0</wp:posOffset>
            </wp:positionH>
            <wp:positionV relativeFrom="paragraph">
              <wp:posOffset>142240</wp:posOffset>
            </wp:positionV>
            <wp:extent cx="469900" cy="575945"/>
            <wp:effectExtent l="0" t="0" r="0" b="0"/>
            <wp:wrapTight wrapText="bothSides">
              <wp:wrapPolygon edited="0">
                <wp:start x="14595" y="0"/>
                <wp:lineTo x="2919" y="3334"/>
                <wp:lineTo x="0" y="4763"/>
                <wp:lineTo x="0" y="19528"/>
                <wp:lineTo x="14011" y="20957"/>
                <wp:lineTo x="18097" y="20957"/>
                <wp:lineTo x="18681" y="20957"/>
                <wp:lineTo x="21016" y="15241"/>
                <wp:lineTo x="21016" y="5716"/>
                <wp:lineTo x="19849" y="2381"/>
                <wp:lineTo x="18097" y="0"/>
                <wp:lineTo x="14595" y="0"/>
              </wp:wrapPolygon>
            </wp:wrapTight>
            <wp:docPr id="2306" name="Picture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Picture 2151"/>
                    <pic:cNvPicPr/>
                  </pic:nvPicPr>
                  <pic:blipFill rotWithShape="1">
                    <a:blip r:embed="rId859" cstate="email">
                      <a:extLst>
                        <a:ext uri="{28A0092B-C50C-407E-A947-70E740481C1C}">
                          <a14:useLocalDpi xmlns:a14="http://schemas.microsoft.com/office/drawing/2010/main"/>
                        </a:ext>
                      </a:extLst>
                    </a:blip>
                    <a:srcRect/>
                    <a:stretch/>
                  </pic:blipFill>
                  <pic:spPr bwMode="auto">
                    <a:xfrm>
                      <a:off x="0" y="0"/>
                      <a:ext cx="469900"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834F6B" w14:textId="4A7F4C81" w:rsidR="00860AD5" w:rsidRPr="00860AD5" w:rsidRDefault="00356A28" w:rsidP="00EB2A7C">
      <w:pP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290942" behindDoc="0" locked="0" layoutInCell="1" allowOverlap="1" wp14:anchorId="7BC97A96" wp14:editId="458074AC">
                <wp:simplePos x="0" y="0"/>
                <wp:positionH relativeFrom="column">
                  <wp:posOffset>660400</wp:posOffset>
                </wp:positionH>
                <wp:positionV relativeFrom="paragraph">
                  <wp:posOffset>60960</wp:posOffset>
                </wp:positionV>
                <wp:extent cx="3378200" cy="487045"/>
                <wp:effectExtent l="0" t="0" r="0" b="0"/>
                <wp:wrapNone/>
                <wp:docPr id="2305" name="Text Box 2305"/>
                <wp:cNvGraphicFramePr/>
                <a:graphic xmlns:a="http://schemas.openxmlformats.org/drawingml/2006/main">
                  <a:graphicData uri="http://schemas.microsoft.com/office/word/2010/wordprocessingShape">
                    <wps:wsp>
                      <wps:cNvSpPr txBox="1"/>
                      <wps:spPr>
                        <a:xfrm>
                          <a:off x="0" y="0"/>
                          <a:ext cx="3378200" cy="487045"/>
                        </a:xfrm>
                        <a:prstGeom prst="rect">
                          <a:avLst/>
                        </a:prstGeom>
                        <a:noFill/>
                        <a:ln w="6350">
                          <a:noFill/>
                        </a:ln>
                      </wps:spPr>
                      <wps:txbx>
                        <w:txbxContent>
                          <w:p w14:paraId="18A563AC" w14:textId="6878F9E4" w:rsidR="00D15FD8" w:rsidRPr="00356A28" w:rsidRDefault="00D15FD8" w:rsidP="00860AD5">
                            <w:pPr>
                              <w:pStyle w:val="Heading2"/>
                              <w:numPr>
                                <w:ilvl w:val="1"/>
                                <w:numId w:val="127"/>
                              </w:numPr>
                              <w:rPr>
                                <w:rFonts w:ascii="Arial" w:hAnsi="Arial" w:cs="Arial"/>
                                <w:b/>
                                <w:bCs/>
                                <w:color w:val="F26D24"/>
                                <w:sz w:val="36"/>
                                <w:szCs w:val="36"/>
                              </w:rPr>
                            </w:pPr>
                            <w:bookmarkStart w:id="2201" w:name="_Toc123204540"/>
                            <w:bookmarkStart w:id="2202" w:name="_Toc123216653"/>
                            <w:bookmarkStart w:id="2203" w:name="_Toc123217493"/>
                            <w:bookmarkStart w:id="2204" w:name="_Toc123828239"/>
                            <w:bookmarkStart w:id="2205" w:name="_Toc123828449"/>
                            <w:bookmarkStart w:id="2206" w:name="_Toc123828645"/>
                            <w:bookmarkStart w:id="2207" w:name="_Toc123912672"/>
                            <w:bookmarkStart w:id="2208" w:name="_Toc123912931"/>
                            <w:bookmarkStart w:id="2209" w:name="_Toc123913158"/>
                            <w:bookmarkStart w:id="2210" w:name="_Toc123913449"/>
                            <w:bookmarkStart w:id="2211" w:name="_Toc123914106"/>
                            <w:bookmarkStart w:id="2212" w:name="_Toc125566721"/>
                            <w:r w:rsidRPr="00356A28">
                              <w:rPr>
                                <w:rFonts w:ascii="Arial" w:hAnsi="Arial" w:cs="Arial"/>
                                <w:b/>
                                <w:bCs/>
                                <w:color w:val="F26D24"/>
                                <w:sz w:val="36"/>
                                <w:szCs w:val="36"/>
                              </w:rPr>
                              <w:t>Levels of data openness</w:t>
                            </w:r>
                            <w:bookmarkEnd w:id="2201"/>
                            <w:bookmarkEnd w:id="2202"/>
                            <w:bookmarkEnd w:id="2203"/>
                            <w:bookmarkEnd w:id="2204"/>
                            <w:bookmarkEnd w:id="2205"/>
                            <w:bookmarkEnd w:id="2206"/>
                            <w:bookmarkEnd w:id="2207"/>
                            <w:bookmarkEnd w:id="2208"/>
                            <w:bookmarkEnd w:id="2209"/>
                            <w:bookmarkEnd w:id="2210"/>
                            <w:bookmarkEnd w:id="2211"/>
                            <w:bookmarkEnd w:id="22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97A96" id="Text Box 2305" o:spid="_x0000_s1547" type="#_x0000_t202" style="position:absolute;margin-left:52pt;margin-top:4.8pt;width:266pt;height:38.35pt;z-index:254290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" filled="f" stroked="f" strokeweight=".5pt">
                <v:textbox>
                  <w:txbxContent>
                    <w:p w14:paraId="18A563AC" w14:textId="6878F9E4" w:rsidR="00D15FD8" w:rsidRPr="00356A28" w:rsidRDefault="00D15FD8" w:rsidP="00860AD5">
                      <w:pPr>
                        <w:pStyle w:val="Heading2"/>
                        <w:numPr>
                          <w:ilvl w:val="1"/>
                          <w:numId w:val="127"/>
                        </w:numPr>
                        <w:rPr>
                          <w:rFonts w:ascii="Arial" w:hAnsi="Arial" w:cs="Arial"/>
                          <w:b/>
                          <w:bCs/>
                          <w:color w:val="F26D24"/>
                          <w:sz w:val="36"/>
                          <w:szCs w:val="36"/>
                        </w:rPr>
                      </w:pPr>
                      <w:bookmarkStart w:id="2213" w:name="_Toc123204540"/>
                      <w:bookmarkStart w:id="2214" w:name="_Toc123216653"/>
                      <w:bookmarkStart w:id="2215" w:name="_Toc123217493"/>
                      <w:bookmarkStart w:id="2216" w:name="_Toc123828239"/>
                      <w:bookmarkStart w:id="2217" w:name="_Toc123828449"/>
                      <w:bookmarkStart w:id="2218" w:name="_Toc123828645"/>
                      <w:bookmarkStart w:id="2219" w:name="_Toc123912672"/>
                      <w:bookmarkStart w:id="2220" w:name="_Toc123912931"/>
                      <w:bookmarkStart w:id="2221" w:name="_Toc123913158"/>
                      <w:bookmarkStart w:id="2222" w:name="_Toc123913449"/>
                      <w:bookmarkStart w:id="2223" w:name="_Toc123914106"/>
                      <w:bookmarkStart w:id="2224" w:name="_Toc125566721"/>
                      <w:r w:rsidRPr="00356A28">
                        <w:rPr>
                          <w:rFonts w:ascii="Arial" w:hAnsi="Arial" w:cs="Arial"/>
                          <w:b/>
                          <w:bCs/>
                          <w:color w:val="F26D24"/>
                          <w:sz w:val="36"/>
                          <w:szCs w:val="36"/>
                        </w:rPr>
                        <w:t>Levels of data openness</w:t>
                      </w:r>
                      <w:bookmarkEnd w:id="2213"/>
                      <w:bookmarkEnd w:id="2214"/>
                      <w:bookmarkEnd w:id="2215"/>
                      <w:bookmarkEnd w:id="2216"/>
                      <w:bookmarkEnd w:id="2217"/>
                      <w:bookmarkEnd w:id="2218"/>
                      <w:bookmarkEnd w:id="2219"/>
                      <w:bookmarkEnd w:id="2220"/>
                      <w:bookmarkEnd w:id="2221"/>
                      <w:bookmarkEnd w:id="2222"/>
                      <w:bookmarkEnd w:id="2223"/>
                      <w:bookmarkEnd w:id="2224"/>
                    </w:p>
                  </w:txbxContent>
                </v:textbox>
              </v:shape>
            </w:pict>
          </mc:Fallback>
        </mc:AlternateContent>
      </w:r>
    </w:p>
    <w:p w14:paraId="07950A17" w14:textId="7BB0D491" w:rsidR="00860AD5" w:rsidRPr="00860AD5" w:rsidRDefault="00860AD5" w:rsidP="00EB2A7C">
      <w:pPr>
        <w:rPr>
          <w:rFonts w:ascii="Arial" w:hAnsi="Arial" w:cs="Arial"/>
          <w:sz w:val="24"/>
          <w:szCs w:val="24"/>
        </w:rPr>
      </w:pPr>
    </w:p>
    <w:p w14:paraId="49D7B211" w14:textId="72D70586" w:rsidR="00860AD5" w:rsidRPr="00860AD5" w:rsidRDefault="00860AD5" w:rsidP="00EB2A7C">
      <w:pPr>
        <w:rPr>
          <w:rFonts w:ascii="Arial" w:hAnsi="Arial" w:cs="Arial"/>
          <w:sz w:val="24"/>
          <w:szCs w:val="24"/>
        </w:rPr>
      </w:pPr>
    </w:p>
    <w:p w14:paraId="73A281F3" w14:textId="2E9D6067" w:rsidR="00860AD5" w:rsidRPr="00EF29A3" w:rsidRDefault="00860AD5" w:rsidP="00EB2A7C">
      <w:pPr>
        <w:tabs>
          <w:tab w:val="left" w:pos="1080"/>
        </w:tabs>
        <w:spacing w:line="276" w:lineRule="auto"/>
        <w:rPr>
          <w:rFonts w:ascii="Arial" w:hAnsi="Arial" w:cs="Arial"/>
          <w:sz w:val="24"/>
          <w:szCs w:val="24"/>
        </w:rPr>
      </w:pPr>
    </w:p>
    <w:p w14:paraId="1D2C8AE4" w14:textId="381B52F4" w:rsidR="00EF29A3" w:rsidRPr="00EB2A7C" w:rsidRDefault="00EF29A3" w:rsidP="00EB2A7C">
      <w:pPr>
        <w:spacing w:line="276" w:lineRule="auto"/>
        <w:jc w:val="both"/>
        <w:rPr>
          <w:rFonts w:ascii="Arial" w:hAnsi="Arial" w:cs="Arial"/>
          <w:sz w:val="24"/>
          <w:szCs w:val="24"/>
          <w:lang w:val="en-US"/>
        </w:rPr>
      </w:pPr>
      <w:r w:rsidRPr="00EB2A7C">
        <w:rPr>
          <w:rFonts w:ascii="Arial" w:hAnsi="Arial" w:cs="Arial"/>
          <w:sz w:val="24"/>
          <w:szCs w:val="24"/>
          <w:lang w:val="en-US"/>
        </w:rPr>
        <w:t>Tim Berners-Lee</w:t>
      </w:r>
      <w:r w:rsidRPr="00EB2A7C">
        <w:rPr>
          <w:rFonts w:ascii="Arial" w:hAnsi="Arial" w:cs="Arial"/>
          <w:sz w:val="24"/>
          <w:szCs w:val="24"/>
          <w:vertAlign w:val="superscript"/>
          <w:lang w:val="en-US"/>
        </w:rPr>
        <w:footnoteReference w:id="66"/>
      </w:r>
      <w:r w:rsidRPr="00EB2A7C">
        <w:rPr>
          <w:rFonts w:ascii="Arial" w:hAnsi="Arial" w:cs="Arial"/>
          <w:sz w:val="24"/>
          <w:szCs w:val="24"/>
          <w:lang w:val="en-US"/>
        </w:rPr>
        <w:t>, the creator of the World Wide Web, has suggested a scale, ranging from 1</w:t>
      </w:r>
      <w:r w:rsidR="00EB2A7C">
        <w:rPr>
          <w:rFonts w:ascii="Arial" w:hAnsi="Arial" w:cs="Arial"/>
          <w:sz w:val="24"/>
          <w:szCs w:val="24"/>
          <w:lang w:val="en-US"/>
        </w:rPr>
        <w:t> </w:t>
      </w:r>
      <w:r w:rsidRPr="00EB2A7C">
        <w:rPr>
          <w:rFonts w:ascii="Arial" w:hAnsi="Arial" w:cs="Arial"/>
          <w:sz w:val="24"/>
          <w:szCs w:val="24"/>
          <w:lang w:val="en-US"/>
        </w:rPr>
        <w:t>to</w:t>
      </w:r>
      <w:r w:rsidR="00EB2A7C">
        <w:rPr>
          <w:rFonts w:ascii="Arial" w:hAnsi="Arial" w:cs="Arial"/>
          <w:sz w:val="24"/>
          <w:szCs w:val="24"/>
          <w:lang w:val="en-US"/>
        </w:rPr>
        <w:t> </w:t>
      </w:r>
      <w:r w:rsidRPr="00EB2A7C">
        <w:rPr>
          <w:rFonts w:ascii="Arial" w:hAnsi="Arial" w:cs="Arial"/>
          <w:sz w:val="24"/>
          <w:szCs w:val="24"/>
          <w:lang w:val="en-US"/>
        </w:rPr>
        <w:t>5</w:t>
      </w:r>
      <w:r w:rsidR="00EB2A7C">
        <w:rPr>
          <w:rFonts w:ascii="Arial" w:hAnsi="Arial" w:cs="Arial"/>
          <w:sz w:val="24"/>
          <w:szCs w:val="24"/>
          <w:lang w:val="en-US"/>
        </w:rPr>
        <w:t> </w:t>
      </w:r>
      <w:r w:rsidRPr="00EB2A7C">
        <w:rPr>
          <w:rFonts w:ascii="Arial" w:hAnsi="Arial" w:cs="Arial"/>
          <w:sz w:val="24"/>
          <w:szCs w:val="24"/>
          <w:lang w:val="en-US"/>
        </w:rPr>
        <w:t>stars, to measure the level of data openness</w:t>
      </w:r>
      <w:r w:rsidRPr="00EB2A7C">
        <w:rPr>
          <w:rFonts w:ascii="Arial" w:hAnsi="Arial" w:cs="Arial"/>
          <w:sz w:val="24"/>
          <w:szCs w:val="24"/>
          <w:vertAlign w:val="superscript"/>
          <w:lang w:val="en-US"/>
        </w:rPr>
        <w:footnoteReference w:id="67"/>
      </w:r>
      <w:r w:rsidRPr="00EB2A7C">
        <w:rPr>
          <w:rFonts w:ascii="Arial" w:hAnsi="Arial" w:cs="Arial"/>
          <w:sz w:val="24"/>
          <w:szCs w:val="24"/>
          <w:lang w:val="en-US"/>
        </w:rPr>
        <w:t xml:space="preserve"> as shown in the </w:t>
      </w:r>
      <w:r w:rsidR="000C52CD">
        <w:rPr>
          <w:rFonts w:ascii="Arial" w:hAnsi="Arial" w:cs="Arial"/>
          <w:sz w:val="24"/>
          <w:szCs w:val="24"/>
          <w:lang w:val="en-US"/>
        </w:rPr>
        <w:t>table</w:t>
      </w:r>
      <w:r w:rsidRPr="00EB2A7C">
        <w:rPr>
          <w:rFonts w:ascii="Arial" w:hAnsi="Arial" w:cs="Arial"/>
          <w:sz w:val="24"/>
          <w:szCs w:val="24"/>
          <w:lang w:val="en-US"/>
        </w:rPr>
        <w:t xml:space="preserve"> below.     </w:t>
      </w:r>
    </w:p>
    <w:p w14:paraId="668808E3" w14:textId="619569E8" w:rsidR="00860AD5" w:rsidRDefault="00860AD5" w:rsidP="00860AD5">
      <w:pPr>
        <w:tabs>
          <w:tab w:val="left" w:pos="1080"/>
        </w:tabs>
        <w:rPr>
          <w:rFonts w:ascii="Arial" w:hAnsi="Arial" w:cs="Arial"/>
          <w:sz w:val="24"/>
          <w:szCs w:val="24"/>
        </w:rPr>
      </w:pPr>
    </w:p>
    <w:p w14:paraId="78DB4E2A" w14:textId="59DCB742" w:rsidR="00EF29A3" w:rsidRPr="003625BA" w:rsidRDefault="000C52CD" w:rsidP="003625BA">
      <w:pPr>
        <w:pStyle w:val="Heading3"/>
        <w:jc w:val="center"/>
        <w:rPr>
          <w:rFonts w:ascii="Arial" w:hAnsi="Arial" w:cs="Arial"/>
          <w:b/>
          <w:bCs/>
          <w:color w:val="ED5625"/>
          <w:sz w:val="20"/>
          <w:szCs w:val="20"/>
          <w:lang w:val="en-ZA"/>
        </w:rPr>
      </w:pPr>
      <w:bookmarkStart w:id="2225" w:name="_Table_4.1._Levels"/>
      <w:bookmarkStart w:id="2226" w:name="_Toc123217494"/>
      <w:bookmarkStart w:id="2227" w:name="_Toc123914107"/>
      <w:bookmarkStart w:id="2228" w:name="_Toc125566722"/>
      <w:bookmarkEnd w:id="2225"/>
      <w:r w:rsidRPr="003625BA">
        <w:rPr>
          <w:rFonts w:ascii="Arial" w:hAnsi="Arial" w:cs="Arial"/>
          <w:b/>
          <w:bCs/>
          <w:color w:val="ED5625"/>
          <w:sz w:val="20"/>
          <w:szCs w:val="20"/>
        </w:rPr>
        <w:t xml:space="preserve">Table </w:t>
      </w:r>
      <w:r w:rsidR="004750D1" w:rsidRPr="003625BA">
        <w:rPr>
          <w:rFonts w:ascii="Arial" w:hAnsi="Arial" w:cs="Arial"/>
          <w:b/>
          <w:bCs/>
          <w:color w:val="ED5625"/>
          <w:sz w:val="20"/>
          <w:szCs w:val="20"/>
        </w:rPr>
        <w:t>4.1</w:t>
      </w:r>
      <w:r w:rsidR="00AC27CC">
        <w:rPr>
          <w:rFonts w:ascii="Arial" w:hAnsi="Arial" w:cs="Arial"/>
          <w:b/>
          <w:bCs/>
          <w:color w:val="ED5625"/>
          <w:sz w:val="20"/>
          <w:szCs w:val="20"/>
        </w:rPr>
        <w:t>.</w:t>
      </w:r>
      <w:r w:rsidR="009A14D9" w:rsidRPr="003625BA">
        <w:rPr>
          <w:rFonts w:ascii="Arial" w:hAnsi="Arial" w:cs="Arial"/>
          <w:b/>
          <w:bCs/>
          <w:color w:val="ED5625"/>
          <w:sz w:val="20"/>
          <w:szCs w:val="20"/>
        </w:rPr>
        <w:t xml:space="preserve"> </w:t>
      </w:r>
      <w:r w:rsidR="00EF29A3" w:rsidRPr="003625BA">
        <w:rPr>
          <w:rFonts w:ascii="Arial" w:hAnsi="Arial" w:cs="Arial"/>
          <w:b/>
          <w:bCs/>
          <w:color w:val="ED5625"/>
          <w:sz w:val="20"/>
          <w:szCs w:val="20"/>
          <w:lang w:val="en-ZA"/>
        </w:rPr>
        <w:t>Levels of data openness</w:t>
      </w:r>
      <w:bookmarkEnd w:id="2226"/>
      <w:bookmarkEnd w:id="2227"/>
      <w:bookmarkEnd w:id="2228"/>
    </w:p>
    <w:p w14:paraId="39746209" w14:textId="40E1B97A" w:rsidR="00EF29A3" w:rsidRDefault="00EF29A3" w:rsidP="00EF29A3">
      <w:pPr>
        <w:shd w:val="clear" w:color="auto" w:fill="FFFFFF" w:themeFill="background1"/>
        <w:rPr>
          <w:rFonts w:ascii="Arial" w:hAnsi="Arial" w:cs="Arial"/>
          <w:b/>
          <w:iCs/>
          <w:color w:val="F26D24"/>
          <w:sz w:val="24"/>
          <w:szCs w:val="24"/>
          <w:lang w:val="en-ZA"/>
        </w:rPr>
      </w:pPr>
    </w:p>
    <w:tbl>
      <w:tblPr>
        <w:tblW w:w="0" w:type="auto"/>
        <w:tblBorders>
          <w:insideH w:val="single" w:sz="4" w:space="0" w:color="auto"/>
          <w:insideV w:val="single" w:sz="4" w:space="0" w:color="auto"/>
        </w:tblBorders>
        <w:tblCellMar>
          <w:top w:w="142" w:type="dxa"/>
          <w:left w:w="142" w:type="dxa"/>
          <w:bottom w:w="142" w:type="dxa"/>
          <w:right w:w="142" w:type="dxa"/>
        </w:tblCellMar>
        <w:tblLook w:val="04A0" w:firstRow="1" w:lastRow="0" w:firstColumn="1" w:lastColumn="0" w:noHBand="0" w:noVBand="1"/>
      </w:tblPr>
      <w:tblGrid>
        <w:gridCol w:w="10456"/>
      </w:tblGrid>
      <w:tr w:rsidR="009A14D9" w14:paraId="0A03E268" w14:textId="77777777" w:rsidTr="003625BA">
        <w:tc>
          <w:tcPr>
            <w:tcW w:w="10456" w:type="dxa"/>
            <w:tcBorders>
              <w:bottom w:val="single" w:sz="4" w:space="0" w:color="FFFFFF" w:themeColor="background1"/>
            </w:tcBorders>
            <w:shd w:val="clear" w:color="auto" w:fill="69557F"/>
          </w:tcPr>
          <w:p w14:paraId="07EF7FBB" w14:textId="77777777" w:rsidR="009A14D9" w:rsidRPr="00EB2A7C" w:rsidRDefault="009A14D9" w:rsidP="00EB2A7C">
            <w:pPr>
              <w:spacing w:line="276" w:lineRule="auto"/>
              <w:jc w:val="both"/>
              <w:rPr>
                <w:rFonts w:ascii="Arial" w:hAnsi="Arial" w:cs="Arial"/>
                <w:sz w:val="24"/>
                <w:szCs w:val="24"/>
              </w:rPr>
            </w:pPr>
          </w:p>
        </w:tc>
      </w:tr>
      <w:tr w:rsidR="009A14D9" w14:paraId="6B188956" w14:textId="77777777" w:rsidTr="003625BA">
        <w:tc>
          <w:tcPr>
            <w:tcW w:w="10456" w:type="dxa"/>
            <w:tcBorders>
              <w:top w:val="single" w:sz="4" w:space="0" w:color="FFFFFF"/>
              <w:bottom w:val="single" w:sz="4" w:space="0" w:color="FFFFFF" w:themeColor="background1"/>
            </w:tcBorders>
            <w:shd w:val="clear" w:color="auto" w:fill="FBE4D5" w:themeFill="accent2" w:themeFillTint="33"/>
          </w:tcPr>
          <w:p w14:paraId="4E475E7E" w14:textId="5ABF78D9" w:rsidR="009A14D9" w:rsidRDefault="009A14D9" w:rsidP="00EB2A7C">
            <w:pPr>
              <w:spacing w:line="276" w:lineRule="auto"/>
              <w:jc w:val="both"/>
              <w:rPr>
                <w:rFonts w:ascii="Roboto" w:hAnsi="Roboto" w:cs="Arial"/>
                <w:sz w:val="20"/>
                <w:szCs w:val="20"/>
              </w:rPr>
            </w:pPr>
            <w:r>
              <w:rPr>
                <w:rFonts w:ascii="Arial" w:hAnsi="Arial" w:cs="Arial"/>
                <w:iCs/>
                <w:noProof/>
                <w:color w:val="F26D24"/>
                <w:sz w:val="24"/>
                <w:szCs w:val="24"/>
                <w:lang w:val="en-US"/>
              </w:rPr>
              <w:drawing>
                <wp:anchor distT="0" distB="0" distL="114300" distR="114300" simplePos="0" relativeHeight="255080446" behindDoc="0" locked="0" layoutInCell="1" allowOverlap="1" wp14:anchorId="4F3A0756" wp14:editId="3F00F6AE">
                  <wp:simplePos x="0" y="0"/>
                  <wp:positionH relativeFrom="margin">
                    <wp:posOffset>74930</wp:posOffset>
                  </wp:positionH>
                  <wp:positionV relativeFrom="margin">
                    <wp:posOffset>18415</wp:posOffset>
                  </wp:positionV>
                  <wp:extent cx="1270000" cy="381025"/>
                  <wp:effectExtent l="0" t="0" r="0" b="0"/>
                  <wp:wrapSquare wrapText="bothSides"/>
                  <wp:docPr id="2307" name="Picture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Picture 2307"/>
                          <pic:cNvPicPr/>
                        </pic:nvPicPr>
                        <pic:blipFill>
                          <a:blip r:embed="rId877" cstate="email">
                            <a:extLst>
                              <a:ext uri="{28A0092B-C50C-407E-A947-70E740481C1C}">
                                <a14:useLocalDpi xmlns:a14="http://schemas.microsoft.com/office/drawing/2010/main"/>
                              </a:ext>
                            </a:extLst>
                          </a:blip>
                          <a:stretch>
                            <a:fillRect/>
                          </a:stretch>
                        </pic:blipFill>
                        <pic:spPr>
                          <a:xfrm>
                            <a:off x="0" y="0"/>
                            <a:ext cx="1270000" cy="381025"/>
                          </a:xfrm>
                          <a:prstGeom prst="rect">
                            <a:avLst/>
                          </a:prstGeom>
                        </pic:spPr>
                      </pic:pic>
                    </a:graphicData>
                  </a:graphic>
                  <wp14:sizeRelH relativeFrom="page">
                    <wp14:pctWidth>0</wp14:pctWidth>
                  </wp14:sizeRelH>
                  <wp14:sizeRelV relativeFrom="page">
                    <wp14:pctHeight>0</wp14:pctHeight>
                  </wp14:sizeRelV>
                </wp:anchor>
              </w:drawing>
            </w:r>
            <w:r w:rsidRPr="003625BA">
              <w:rPr>
                <w:rFonts w:ascii="Roboto" w:hAnsi="Roboto" w:cs="Arial"/>
                <w:sz w:val="20"/>
                <w:szCs w:val="20"/>
              </w:rPr>
              <w:t>Data is on the web, however not in a format for agile consumption. Example: PDF format.</w:t>
            </w:r>
          </w:p>
          <w:p w14:paraId="21198538" w14:textId="0ABB4B60" w:rsidR="009A14D9" w:rsidRPr="003625BA" w:rsidRDefault="009A14D9" w:rsidP="00EB2A7C">
            <w:pPr>
              <w:spacing w:line="276" w:lineRule="auto"/>
              <w:jc w:val="both"/>
              <w:rPr>
                <w:rFonts w:ascii="Roboto" w:hAnsi="Roboto" w:cs="Arial"/>
                <w:sz w:val="20"/>
                <w:szCs w:val="20"/>
              </w:rPr>
            </w:pPr>
          </w:p>
        </w:tc>
      </w:tr>
      <w:tr w:rsidR="009A14D9" w14:paraId="54014FB4" w14:textId="77777777" w:rsidTr="003625BA">
        <w:tc>
          <w:tcPr>
            <w:tcW w:w="10456" w:type="dxa"/>
            <w:tcBorders>
              <w:top w:val="single" w:sz="4" w:space="0" w:color="FFFFFF" w:themeColor="background1"/>
              <w:bottom w:val="single" w:sz="4" w:space="0" w:color="FFFFFF" w:themeColor="background1"/>
            </w:tcBorders>
            <w:shd w:val="clear" w:color="auto" w:fill="F7CAAC" w:themeFill="accent2" w:themeFillTint="66"/>
          </w:tcPr>
          <w:p w14:paraId="336F684E" w14:textId="5923EA74" w:rsidR="009A14D9" w:rsidRPr="003625BA" w:rsidRDefault="009A14D9" w:rsidP="00EB2A7C">
            <w:pPr>
              <w:spacing w:line="276" w:lineRule="auto"/>
              <w:jc w:val="both"/>
              <w:rPr>
                <w:rFonts w:ascii="Roboto" w:hAnsi="Roboto" w:cs="Arial"/>
                <w:sz w:val="20"/>
                <w:szCs w:val="20"/>
              </w:rPr>
            </w:pPr>
            <w:r>
              <w:rPr>
                <w:rFonts w:ascii="Arial" w:hAnsi="Arial" w:cs="Arial"/>
                <w:iCs/>
                <w:noProof/>
                <w:color w:val="F26D24"/>
                <w:sz w:val="24"/>
                <w:szCs w:val="24"/>
                <w:lang w:val="en-US"/>
              </w:rPr>
              <w:drawing>
                <wp:anchor distT="0" distB="0" distL="114300" distR="114300" simplePos="0" relativeHeight="255082494" behindDoc="0" locked="0" layoutInCell="1" allowOverlap="1" wp14:anchorId="5189645E" wp14:editId="2F737F5A">
                  <wp:simplePos x="0" y="0"/>
                  <wp:positionH relativeFrom="margin">
                    <wp:posOffset>74930</wp:posOffset>
                  </wp:positionH>
                  <wp:positionV relativeFrom="paragraph">
                    <wp:posOffset>105410</wp:posOffset>
                  </wp:positionV>
                  <wp:extent cx="1271732" cy="381544"/>
                  <wp:effectExtent l="0" t="0" r="0" b="0"/>
                  <wp:wrapSquare wrapText="bothSides"/>
                  <wp:docPr id="2308" name="Pictur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Picture 2308"/>
                          <pic:cNvPicPr/>
                        </pic:nvPicPr>
                        <pic:blipFill>
                          <a:blip r:embed="rId878" cstate="email">
                            <a:extLst>
                              <a:ext uri="{28A0092B-C50C-407E-A947-70E740481C1C}">
                                <a14:useLocalDpi xmlns:a14="http://schemas.microsoft.com/office/drawing/2010/main"/>
                              </a:ext>
                            </a:extLst>
                          </a:blip>
                          <a:stretch>
                            <a:fillRect/>
                          </a:stretch>
                        </pic:blipFill>
                        <pic:spPr>
                          <a:xfrm>
                            <a:off x="0" y="0"/>
                            <a:ext cx="1271732" cy="381544"/>
                          </a:xfrm>
                          <a:prstGeom prst="rect">
                            <a:avLst/>
                          </a:prstGeom>
                        </pic:spPr>
                      </pic:pic>
                    </a:graphicData>
                  </a:graphic>
                  <wp14:sizeRelH relativeFrom="page">
                    <wp14:pctWidth>0</wp14:pctWidth>
                  </wp14:sizeRelH>
                  <wp14:sizeRelV relativeFrom="page">
                    <wp14:pctHeight>0</wp14:pctHeight>
                  </wp14:sizeRelV>
                </wp:anchor>
              </w:drawing>
            </w:r>
            <w:r w:rsidRPr="003625BA">
              <w:rPr>
                <w:rFonts w:ascii="Roboto" w:hAnsi="Roboto" w:cs="Arial"/>
                <w:sz w:val="20"/>
                <w:szCs w:val="20"/>
              </w:rPr>
              <w:t>Machine-readable data, information is captured in a tabular or data set structure and is available in formats that enable it to be processed. Proprietary software is required for analysis</w:t>
            </w:r>
            <w:r w:rsidR="0055279B">
              <w:rPr>
                <w:rFonts w:ascii="Roboto" w:hAnsi="Roboto" w:cs="Arial"/>
                <w:sz w:val="20"/>
                <w:szCs w:val="20"/>
              </w:rPr>
              <w:t>,</w:t>
            </w:r>
            <w:r w:rsidRPr="003625BA">
              <w:rPr>
                <w:rFonts w:ascii="Roboto" w:hAnsi="Roboto" w:cs="Arial"/>
                <w:sz w:val="20"/>
                <w:szCs w:val="20"/>
              </w:rPr>
              <w:t xml:space="preserve"> for example Microsoft Excel or another commercial spreadsheet processor.</w:t>
            </w:r>
          </w:p>
        </w:tc>
      </w:tr>
      <w:tr w:rsidR="009A14D9" w14:paraId="6CA7A7C9" w14:textId="77777777" w:rsidTr="003625BA">
        <w:tc>
          <w:tcPr>
            <w:tcW w:w="10456" w:type="dxa"/>
            <w:tcBorders>
              <w:top w:val="single" w:sz="4" w:space="0" w:color="FFFFFF" w:themeColor="background1"/>
              <w:bottom w:val="single" w:sz="4" w:space="0" w:color="FFFFFF" w:themeColor="background1"/>
            </w:tcBorders>
            <w:shd w:val="clear" w:color="auto" w:fill="FBE4D5" w:themeFill="accent2" w:themeFillTint="33"/>
          </w:tcPr>
          <w:p w14:paraId="3E08A4D0" w14:textId="4FE67305" w:rsidR="009A14D9" w:rsidRPr="003625BA" w:rsidRDefault="009A14D9" w:rsidP="00EB2A7C">
            <w:pPr>
              <w:spacing w:line="276" w:lineRule="auto"/>
              <w:jc w:val="both"/>
              <w:rPr>
                <w:rFonts w:ascii="Roboto" w:hAnsi="Roboto" w:cs="Arial"/>
                <w:sz w:val="20"/>
                <w:szCs w:val="20"/>
              </w:rPr>
            </w:pPr>
            <w:r>
              <w:rPr>
                <w:rFonts w:ascii="Arial" w:hAnsi="Arial" w:cs="Arial"/>
                <w:iCs/>
                <w:noProof/>
                <w:color w:val="F26D24"/>
                <w:sz w:val="24"/>
                <w:szCs w:val="24"/>
                <w:lang w:val="en-US"/>
              </w:rPr>
              <w:drawing>
                <wp:anchor distT="0" distB="0" distL="114300" distR="114300" simplePos="0" relativeHeight="255084542" behindDoc="0" locked="0" layoutInCell="1" allowOverlap="1" wp14:anchorId="3D5BFE58" wp14:editId="6FDBD3A1">
                  <wp:simplePos x="0" y="0"/>
                  <wp:positionH relativeFrom="margin">
                    <wp:posOffset>74930</wp:posOffset>
                  </wp:positionH>
                  <wp:positionV relativeFrom="paragraph">
                    <wp:posOffset>77470</wp:posOffset>
                  </wp:positionV>
                  <wp:extent cx="1271732" cy="381544"/>
                  <wp:effectExtent l="0" t="0" r="0" b="0"/>
                  <wp:wrapSquare wrapText="bothSides"/>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Picture 2309"/>
                          <pic:cNvPicPr/>
                        </pic:nvPicPr>
                        <pic:blipFill>
                          <a:blip r:embed="rId879" cstate="email">
                            <a:extLst>
                              <a:ext uri="{28A0092B-C50C-407E-A947-70E740481C1C}">
                                <a14:useLocalDpi xmlns:a14="http://schemas.microsoft.com/office/drawing/2010/main"/>
                              </a:ext>
                            </a:extLst>
                          </a:blip>
                          <a:stretch>
                            <a:fillRect/>
                          </a:stretch>
                        </pic:blipFill>
                        <pic:spPr>
                          <a:xfrm>
                            <a:off x="0" y="0"/>
                            <a:ext cx="1271732" cy="381544"/>
                          </a:xfrm>
                          <a:prstGeom prst="rect">
                            <a:avLst/>
                          </a:prstGeom>
                        </pic:spPr>
                      </pic:pic>
                    </a:graphicData>
                  </a:graphic>
                  <wp14:sizeRelH relativeFrom="page">
                    <wp14:pctWidth>0</wp14:pctWidth>
                  </wp14:sizeRelH>
                  <wp14:sizeRelV relativeFrom="page">
                    <wp14:pctHeight>0</wp14:pctHeight>
                  </wp14:sizeRelV>
                </wp:anchor>
              </w:drawing>
            </w:r>
            <w:r w:rsidRPr="003625BA">
              <w:rPr>
                <w:rFonts w:ascii="Roboto" w:hAnsi="Roboto" w:cs="Arial"/>
                <w:sz w:val="20"/>
                <w:szCs w:val="20"/>
              </w:rPr>
              <w:t xml:space="preserve">Open source formats, data can be read by open source software. Examples: Data in CSV (Comma Separated Values), XML (Extensible </w:t>
            </w:r>
            <w:proofErr w:type="spellStart"/>
            <w:r w:rsidRPr="003625BA">
              <w:rPr>
                <w:rFonts w:ascii="Roboto" w:hAnsi="Roboto" w:cs="Arial"/>
                <w:sz w:val="20"/>
                <w:szCs w:val="20"/>
              </w:rPr>
              <w:t>Markup</w:t>
            </w:r>
            <w:proofErr w:type="spellEnd"/>
            <w:r w:rsidRPr="003625BA">
              <w:rPr>
                <w:rFonts w:ascii="Roboto" w:hAnsi="Roboto" w:cs="Arial"/>
                <w:sz w:val="20"/>
                <w:szCs w:val="20"/>
              </w:rPr>
              <w:t xml:space="preserve"> Language) or JSON (JavaScript Object Notation) formats.</w:t>
            </w:r>
          </w:p>
        </w:tc>
      </w:tr>
      <w:tr w:rsidR="009A14D9" w14:paraId="1B75CFE7" w14:textId="77777777" w:rsidTr="003625BA">
        <w:tc>
          <w:tcPr>
            <w:tcW w:w="10456" w:type="dxa"/>
            <w:tcBorders>
              <w:top w:val="single" w:sz="4" w:space="0" w:color="FFFFFF" w:themeColor="background1"/>
              <w:bottom w:val="single" w:sz="4" w:space="0" w:color="FFFFFF"/>
            </w:tcBorders>
            <w:shd w:val="clear" w:color="auto" w:fill="F7CAAC" w:themeFill="accent2" w:themeFillTint="66"/>
          </w:tcPr>
          <w:p w14:paraId="0D5574E8" w14:textId="13FB198C" w:rsidR="009A14D9" w:rsidRPr="003625BA" w:rsidRDefault="009A14D9" w:rsidP="00B3750A">
            <w:pPr>
              <w:spacing w:line="276" w:lineRule="auto"/>
              <w:jc w:val="both"/>
              <w:rPr>
                <w:rFonts w:ascii="Roboto" w:hAnsi="Roboto" w:cs="Arial"/>
                <w:sz w:val="20"/>
                <w:szCs w:val="20"/>
              </w:rPr>
            </w:pPr>
            <w:r>
              <w:rPr>
                <w:rFonts w:ascii="Arial" w:hAnsi="Arial" w:cs="Arial"/>
                <w:iCs/>
                <w:noProof/>
                <w:color w:val="F26D24"/>
                <w:sz w:val="24"/>
                <w:szCs w:val="24"/>
                <w:lang w:val="en-US"/>
              </w:rPr>
              <w:lastRenderedPageBreak/>
              <mc:AlternateContent>
                <mc:Choice Requires="wps">
                  <w:drawing>
                    <wp:anchor distT="0" distB="0" distL="114300" distR="114300" simplePos="0" relativeHeight="255089662" behindDoc="0" locked="0" layoutInCell="1" allowOverlap="1" wp14:anchorId="10B16E65" wp14:editId="04F5A17E">
                      <wp:simplePos x="0" y="0"/>
                      <wp:positionH relativeFrom="column">
                        <wp:posOffset>74930</wp:posOffset>
                      </wp:positionH>
                      <wp:positionV relativeFrom="paragraph">
                        <wp:posOffset>125730</wp:posOffset>
                      </wp:positionV>
                      <wp:extent cx="1295400" cy="1333500"/>
                      <wp:effectExtent l="0" t="0" r="0" b="0"/>
                      <wp:wrapSquare wrapText="bothSides"/>
                      <wp:docPr id="2747" name="Rectangle 2747"/>
                      <wp:cNvGraphicFramePr/>
                      <a:graphic xmlns:a="http://schemas.openxmlformats.org/drawingml/2006/main">
                        <a:graphicData uri="http://schemas.microsoft.com/office/word/2010/wordprocessingShape">
                          <wps:wsp>
                            <wps:cNvSpPr/>
                            <wps:spPr>
                              <a:xfrm>
                                <a:off x="0" y="0"/>
                                <a:ext cx="1295400" cy="1333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59263DF1" id="Rectangle 2747" o:spid="_x0000_s1026" style="position:absolute;margin-left:5.9pt;margin-top:9.9pt;width:102pt;height:105pt;z-index:2550896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" filled="f" stroked="f" strokeweight="1pt">
                      <w10:wrap type="square"/>
                    </v:rect>
                  </w:pict>
                </mc:Fallback>
              </mc:AlternateContent>
            </w:r>
            <w:r>
              <w:rPr>
                <w:rFonts w:ascii="Arial" w:hAnsi="Arial" w:cs="Arial"/>
                <w:iCs/>
                <w:noProof/>
                <w:color w:val="F26D24"/>
                <w:sz w:val="24"/>
                <w:szCs w:val="24"/>
                <w:lang w:val="en-US"/>
              </w:rPr>
              <w:drawing>
                <wp:anchor distT="0" distB="0" distL="114300" distR="114300" simplePos="0" relativeHeight="255086590" behindDoc="0" locked="0" layoutInCell="1" allowOverlap="1" wp14:anchorId="5AB3EA6C" wp14:editId="1734073B">
                  <wp:simplePos x="0" y="0"/>
                  <wp:positionH relativeFrom="margin">
                    <wp:posOffset>74930</wp:posOffset>
                  </wp:positionH>
                  <wp:positionV relativeFrom="paragraph">
                    <wp:posOffset>125730</wp:posOffset>
                  </wp:positionV>
                  <wp:extent cx="1271732" cy="381544"/>
                  <wp:effectExtent l="0" t="0" r="0" b="0"/>
                  <wp:wrapSquare wrapText="bothSides"/>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Picture 2310"/>
                          <pic:cNvPicPr/>
                        </pic:nvPicPr>
                        <pic:blipFill>
                          <a:blip r:embed="rId880" cstate="email">
                            <a:extLst>
                              <a:ext uri="{28A0092B-C50C-407E-A947-70E740481C1C}">
                                <a14:useLocalDpi xmlns:a14="http://schemas.microsoft.com/office/drawing/2010/main"/>
                              </a:ext>
                            </a:extLst>
                          </a:blip>
                          <a:stretch>
                            <a:fillRect/>
                          </a:stretch>
                        </pic:blipFill>
                        <pic:spPr>
                          <a:xfrm>
                            <a:off x="0" y="0"/>
                            <a:ext cx="1271732" cy="381544"/>
                          </a:xfrm>
                          <a:prstGeom prst="rect">
                            <a:avLst/>
                          </a:prstGeom>
                        </pic:spPr>
                      </pic:pic>
                    </a:graphicData>
                  </a:graphic>
                  <wp14:sizeRelH relativeFrom="page">
                    <wp14:pctWidth>0</wp14:pctWidth>
                  </wp14:sizeRelH>
                  <wp14:sizeRelV relativeFrom="page">
                    <wp14:pctHeight>0</wp14:pctHeight>
                  </wp14:sizeRelV>
                </wp:anchor>
              </w:drawing>
            </w:r>
            <w:r w:rsidRPr="003625BA">
              <w:rPr>
                <w:rFonts w:ascii="Roboto" w:hAnsi="Roboto" w:cs="Arial"/>
                <w:sz w:val="20"/>
                <w:szCs w:val="20"/>
              </w:rPr>
              <w:t xml:space="preserve">Data is published using open standards from the W3C (RDF and SPARQL), data publisher integrates the information to the web by placing it online through </w:t>
            </w:r>
            <w:proofErr w:type="gramStart"/>
            <w:r w:rsidRPr="003625BA">
              <w:rPr>
                <w:rFonts w:ascii="Roboto" w:hAnsi="Roboto" w:cs="Arial"/>
                <w:sz w:val="20"/>
                <w:szCs w:val="20"/>
              </w:rPr>
              <w:t>an</w:t>
            </w:r>
            <w:proofErr w:type="gramEnd"/>
            <w:r w:rsidRPr="003625BA">
              <w:rPr>
                <w:rFonts w:ascii="Roboto" w:hAnsi="Roboto" w:cs="Arial"/>
                <w:sz w:val="20"/>
                <w:szCs w:val="20"/>
              </w:rPr>
              <w:t xml:space="preserve"> Uniform Resource Identiﬁer (URI)</w:t>
            </w:r>
            <w:r w:rsidRPr="003625BA">
              <w:rPr>
                <w:rStyle w:val="FootnoteReference"/>
                <w:rFonts w:ascii="Roboto" w:hAnsi="Roboto" w:cs="Arial"/>
                <w:sz w:val="20"/>
                <w:szCs w:val="20"/>
              </w:rPr>
              <w:footnoteReference w:id="68"/>
            </w:r>
            <w:r w:rsidRPr="003625BA">
              <w:rPr>
                <w:rFonts w:ascii="Roboto" w:hAnsi="Roboto" w:cs="Arial"/>
                <w:sz w:val="20"/>
                <w:szCs w:val="20"/>
              </w:rPr>
              <w:t>. A URI allows the data’s permanent (you can mark it as</w:t>
            </w:r>
            <w:r w:rsidR="00D238A0">
              <w:rPr>
                <w:rFonts w:ascii="Roboto" w:hAnsi="Roboto" w:cs="Arial"/>
                <w:sz w:val="20"/>
                <w:szCs w:val="20"/>
              </w:rPr>
              <w:t xml:space="preserve"> a</w:t>
            </w:r>
            <w:r w:rsidRPr="003625BA">
              <w:rPr>
                <w:rFonts w:ascii="Roboto" w:hAnsi="Roboto" w:cs="Arial"/>
                <w:sz w:val="20"/>
                <w:szCs w:val="20"/>
              </w:rPr>
              <w:t xml:space="preserve"> </w:t>
            </w:r>
            <w:proofErr w:type="spellStart"/>
            <w:r w:rsidRPr="003625BA">
              <w:rPr>
                <w:rFonts w:ascii="Roboto" w:hAnsi="Roboto" w:cs="Arial"/>
                <w:sz w:val="20"/>
                <w:szCs w:val="20"/>
              </w:rPr>
              <w:t>favorite</w:t>
            </w:r>
            <w:proofErr w:type="spellEnd"/>
            <w:r w:rsidRPr="003625BA">
              <w:rPr>
                <w:rFonts w:ascii="Roboto" w:hAnsi="Roboto" w:cs="Arial"/>
                <w:sz w:val="20"/>
                <w:szCs w:val="20"/>
              </w:rPr>
              <w:t>), automated (without downloading it elsewhere) and fragmented (use directly from its location of origin without having to use/download the whole bulk of the information) consumption. Developers commonly use an Application Programming Interface– REST (API-REST), which allows queries to be run to a speciﬁc datum of the data set without requiring it to be downloaded.</w:t>
            </w:r>
          </w:p>
        </w:tc>
      </w:tr>
      <w:tr w:rsidR="009A14D9" w14:paraId="48C3D93F" w14:textId="77777777" w:rsidTr="003625BA">
        <w:tc>
          <w:tcPr>
            <w:tcW w:w="10456" w:type="dxa"/>
            <w:tcBorders>
              <w:top w:val="single" w:sz="4" w:space="0" w:color="FFFFFF"/>
            </w:tcBorders>
            <w:shd w:val="clear" w:color="auto" w:fill="FBE4D5" w:themeFill="accent2" w:themeFillTint="33"/>
          </w:tcPr>
          <w:p w14:paraId="7EEC4299" w14:textId="0507C619" w:rsidR="009A14D9" w:rsidRPr="003625BA" w:rsidRDefault="009A14D9" w:rsidP="00EB2A7C">
            <w:pPr>
              <w:spacing w:line="276" w:lineRule="auto"/>
              <w:jc w:val="both"/>
              <w:rPr>
                <w:rFonts w:ascii="Roboto" w:hAnsi="Roboto" w:cs="Arial"/>
                <w:sz w:val="20"/>
                <w:szCs w:val="20"/>
              </w:rPr>
            </w:pPr>
            <w:r w:rsidRPr="003625BA">
              <w:rPr>
                <w:rFonts w:ascii="Roboto" w:hAnsi="Roboto" w:cs="Arial"/>
                <w:iCs/>
                <w:noProof/>
                <w:color w:val="F26D24"/>
                <w:sz w:val="20"/>
                <w:szCs w:val="20"/>
                <w:lang w:val="en-US"/>
              </w:rPr>
              <w:drawing>
                <wp:anchor distT="0" distB="0" distL="114300" distR="114300" simplePos="0" relativeHeight="255088638" behindDoc="0" locked="0" layoutInCell="1" allowOverlap="1" wp14:anchorId="0269EBF9" wp14:editId="1C067E7A">
                  <wp:simplePos x="0" y="0"/>
                  <wp:positionH relativeFrom="margin">
                    <wp:posOffset>87630</wp:posOffset>
                  </wp:positionH>
                  <wp:positionV relativeFrom="paragraph">
                    <wp:posOffset>0</wp:posOffset>
                  </wp:positionV>
                  <wp:extent cx="1271732" cy="381544"/>
                  <wp:effectExtent l="0" t="0" r="0" b="0"/>
                  <wp:wrapSquare wrapText="bothSides"/>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Picture 2311"/>
                          <pic:cNvPicPr/>
                        </pic:nvPicPr>
                        <pic:blipFill>
                          <a:blip r:embed="rId881" cstate="email">
                            <a:extLst>
                              <a:ext uri="{28A0092B-C50C-407E-A947-70E740481C1C}">
                                <a14:useLocalDpi xmlns:a14="http://schemas.microsoft.com/office/drawing/2010/main"/>
                              </a:ext>
                            </a:extLst>
                          </a:blip>
                          <a:stretch>
                            <a:fillRect/>
                          </a:stretch>
                        </pic:blipFill>
                        <pic:spPr>
                          <a:xfrm>
                            <a:off x="0" y="0"/>
                            <a:ext cx="1271732" cy="381544"/>
                          </a:xfrm>
                          <a:prstGeom prst="rect">
                            <a:avLst/>
                          </a:prstGeom>
                        </pic:spPr>
                      </pic:pic>
                    </a:graphicData>
                  </a:graphic>
                  <wp14:sizeRelH relativeFrom="page">
                    <wp14:pctWidth>0</wp14:pctWidth>
                  </wp14:sizeRelH>
                  <wp14:sizeRelV relativeFrom="page">
                    <wp14:pctHeight>0</wp14:pctHeight>
                  </wp14:sizeRelV>
                </wp:anchor>
              </w:drawing>
            </w:r>
            <w:r w:rsidRPr="003625BA">
              <w:rPr>
                <w:rFonts w:ascii="Roboto" w:hAnsi="Roboto" w:cs="Arial"/>
                <w:sz w:val="20"/>
                <w:szCs w:val="20"/>
              </w:rPr>
              <w:t xml:space="preserve">Data already integrated to the web, from different sources of information or publishers, is linked providing context for it. </w:t>
            </w:r>
          </w:p>
        </w:tc>
      </w:tr>
    </w:tbl>
    <w:p w14:paraId="6C67E3D6" w14:textId="77777777" w:rsidR="00356A28" w:rsidRDefault="00356A28" w:rsidP="00EF29A3">
      <w:pPr>
        <w:shd w:val="clear" w:color="auto" w:fill="FFFFFF" w:themeFill="background1"/>
        <w:rPr>
          <w:rFonts w:ascii="Arial" w:hAnsi="Arial" w:cs="Arial"/>
          <w:b/>
          <w:iCs/>
          <w:color w:val="F26D24"/>
          <w:sz w:val="24"/>
          <w:szCs w:val="24"/>
          <w:lang w:val="en-ZA"/>
        </w:rPr>
      </w:pPr>
    </w:p>
    <w:p w14:paraId="2E955EBA" w14:textId="73465641" w:rsidR="00EF29A3" w:rsidRPr="00EB2A7C" w:rsidRDefault="009A14D9" w:rsidP="00EF29A3">
      <w:pPr>
        <w:shd w:val="clear" w:color="auto" w:fill="FFFFFF" w:themeFill="background1"/>
        <w:rPr>
          <w:rFonts w:ascii="Arial" w:hAnsi="Arial" w:cs="Arial"/>
          <w:b/>
          <w:iCs/>
          <w:color w:val="F26D24"/>
          <w:sz w:val="24"/>
          <w:szCs w:val="24"/>
          <w:lang w:val="en-ZA"/>
        </w:rPr>
      </w:pPr>
      <w:r>
        <w:rPr>
          <w:rFonts w:ascii="Arial" w:hAnsi="Arial" w:cs="Arial"/>
          <w:noProof/>
          <w:sz w:val="24"/>
          <w:szCs w:val="24"/>
          <w:lang w:val="en-US"/>
        </w:rPr>
        <w:drawing>
          <wp:anchor distT="0" distB="0" distL="114300" distR="114300" simplePos="0" relativeHeight="254301182" behindDoc="1" locked="0" layoutInCell="1" allowOverlap="1" wp14:anchorId="296D943C" wp14:editId="4BD4C344">
            <wp:simplePos x="0" y="0"/>
            <wp:positionH relativeFrom="column">
              <wp:posOffset>38100</wp:posOffset>
            </wp:positionH>
            <wp:positionV relativeFrom="paragraph">
              <wp:posOffset>88900</wp:posOffset>
            </wp:positionV>
            <wp:extent cx="469900" cy="575945"/>
            <wp:effectExtent l="0" t="0" r="0" b="0"/>
            <wp:wrapTight wrapText="bothSides">
              <wp:wrapPolygon edited="0">
                <wp:start x="14595" y="0"/>
                <wp:lineTo x="2919" y="3334"/>
                <wp:lineTo x="0" y="4763"/>
                <wp:lineTo x="0" y="19528"/>
                <wp:lineTo x="14011" y="20957"/>
                <wp:lineTo x="18097" y="20957"/>
                <wp:lineTo x="18681" y="20957"/>
                <wp:lineTo x="21016" y="15241"/>
                <wp:lineTo x="21016" y="5716"/>
                <wp:lineTo x="19849" y="2381"/>
                <wp:lineTo x="18097" y="0"/>
                <wp:lineTo x="14595" y="0"/>
              </wp:wrapPolygon>
            </wp:wrapTight>
            <wp:docPr id="2314" name="Picture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Picture 2151"/>
                    <pic:cNvPicPr/>
                  </pic:nvPicPr>
                  <pic:blipFill rotWithShape="1">
                    <a:blip r:embed="rId859" cstate="email">
                      <a:extLst>
                        <a:ext uri="{28A0092B-C50C-407E-A947-70E740481C1C}">
                          <a14:useLocalDpi xmlns:a14="http://schemas.microsoft.com/office/drawing/2010/main"/>
                        </a:ext>
                      </a:extLst>
                    </a:blip>
                    <a:srcRect/>
                    <a:stretch/>
                  </pic:blipFill>
                  <pic:spPr bwMode="auto">
                    <a:xfrm>
                      <a:off x="0" y="0"/>
                      <a:ext cx="469900"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1625429" behindDoc="0" locked="0" layoutInCell="1" allowOverlap="1" wp14:anchorId="58EAEF0A" wp14:editId="565013E7">
                <wp:simplePos x="0" y="0"/>
                <wp:positionH relativeFrom="margin">
                  <wp:posOffset>635000</wp:posOffset>
                </wp:positionH>
                <wp:positionV relativeFrom="paragraph">
                  <wp:posOffset>80645</wp:posOffset>
                </wp:positionV>
                <wp:extent cx="3124200" cy="596900"/>
                <wp:effectExtent l="12700" t="12700" r="12700" b="12700"/>
                <wp:wrapNone/>
                <wp:docPr id="2312" name="Rounded Rectangle 2312"/>
                <wp:cNvGraphicFramePr/>
                <a:graphic xmlns:a="http://schemas.openxmlformats.org/drawingml/2006/main">
                  <a:graphicData uri="http://schemas.microsoft.com/office/word/2010/wordprocessingShape">
                    <wps:wsp>
                      <wps:cNvSpPr/>
                      <wps:spPr>
                        <a:xfrm>
                          <a:off x="0" y="0"/>
                          <a:ext cx="31242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3369A0A" id="Rounded Rectangle 2312" o:spid="_x0000_s1026" style="position:absolute;margin-left:50pt;margin-top:6.35pt;width:246pt;height:47pt;z-index:251625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" filled="f" strokecolor="#82c9a0" strokeweight="2.25pt">
                <v:stroke joinstyle="miter"/>
                <w10:wrap anchorx="margin"/>
              </v:roundrect>
            </w:pict>
          </mc:Fallback>
        </mc:AlternateContent>
      </w:r>
    </w:p>
    <w:p w14:paraId="3C0CE5F6" w14:textId="28047E6C" w:rsidR="00EF29A3" w:rsidRDefault="009A14D9" w:rsidP="00860AD5">
      <w:pPr>
        <w:tabs>
          <w:tab w:val="left" w:pos="1080"/>
        </w:tabs>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300158" behindDoc="0" locked="0" layoutInCell="1" allowOverlap="1" wp14:anchorId="2659B9C6" wp14:editId="16B97E23">
                <wp:simplePos x="0" y="0"/>
                <wp:positionH relativeFrom="column">
                  <wp:posOffset>685800</wp:posOffset>
                </wp:positionH>
                <wp:positionV relativeFrom="paragraph">
                  <wp:posOffset>21589</wp:posOffset>
                </wp:positionV>
                <wp:extent cx="3276600" cy="474345"/>
                <wp:effectExtent l="0" t="0" r="0" b="0"/>
                <wp:wrapNone/>
                <wp:docPr id="2313" name="Text Box 2313"/>
                <wp:cNvGraphicFramePr/>
                <a:graphic xmlns:a="http://schemas.openxmlformats.org/drawingml/2006/main">
                  <a:graphicData uri="http://schemas.microsoft.com/office/word/2010/wordprocessingShape">
                    <wps:wsp>
                      <wps:cNvSpPr txBox="1"/>
                      <wps:spPr>
                        <a:xfrm>
                          <a:off x="0" y="0"/>
                          <a:ext cx="3276600" cy="474345"/>
                        </a:xfrm>
                        <a:prstGeom prst="rect">
                          <a:avLst/>
                        </a:prstGeom>
                        <a:noFill/>
                        <a:ln w="6350">
                          <a:noFill/>
                        </a:ln>
                      </wps:spPr>
                      <wps:txbx>
                        <w:txbxContent>
                          <w:p w14:paraId="5BCE4C68" w14:textId="04178150" w:rsidR="00D15FD8" w:rsidRPr="00356A28" w:rsidRDefault="00D15FD8" w:rsidP="008A747E">
                            <w:pPr>
                              <w:pStyle w:val="Heading2"/>
                              <w:numPr>
                                <w:ilvl w:val="1"/>
                                <w:numId w:val="127"/>
                              </w:numPr>
                              <w:rPr>
                                <w:rFonts w:ascii="Arial" w:hAnsi="Arial" w:cs="Arial"/>
                                <w:b/>
                                <w:bCs/>
                                <w:color w:val="F26D24"/>
                                <w:sz w:val="36"/>
                                <w:szCs w:val="36"/>
                              </w:rPr>
                            </w:pPr>
                            <w:bookmarkStart w:id="2229" w:name="_Toc123204541"/>
                            <w:bookmarkStart w:id="2230" w:name="_Toc123216655"/>
                            <w:bookmarkStart w:id="2231" w:name="_Toc123217495"/>
                            <w:bookmarkStart w:id="2232" w:name="_Toc123828241"/>
                            <w:bookmarkStart w:id="2233" w:name="_Toc123828451"/>
                            <w:bookmarkStart w:id="2234" w:name="_Toc123828647"/>
                            <w:bookmarkStart w:id="2235" w:name="_Toc123912674"/>
                            <w:bookmarkStart w:id="2236" w:name="_Toc123912933"/>
                            <w:bookmarkStart w:id="2237" w:name="_Toc123913160"/>
                            <w:bookmarkStart w:id="2238" w:name="_Toc123913451"/>
                            <w:bookmarkStart w:id="2239" w:name="_Toc123914108"/>
                            <w:bookmarkStart w:id="2240" w:name="_Toc125566723"/>
                            <w:r w:rsidRPr="00356A28">
                              <w:rPr>
                                <w:rFonts w:ascii="Arial" w:hAnsi="Arial" w:cs="Arial"/>
                                <w:b/>
                                <w:bCs/>
                                <w:color w:val="F26D24"/>
                                <w:sz w:val="36"/>
                                <w:szCs w:val="36"/>
                              </w:rPr>
                              <w:t>Benefits of open data</w:t>
                            </w:r>
                            <w:bookmarkEnd w:id="2229"/>
                            <w:bookmarkEnd w:id="2230"/>
                            <w:bookmarkEnd w:id="2231"/>
                            <w:bookmarkEnd w:id="2232"/>
                            <w:bookmarkEnd w:id="2233"/>
                            <w:bookmarkEnd w:id="2234"/>
                            <w:bookmarkEnd w:id="2235"/>
                            <w:bookmarkEnd w:id="2236"/>
                            <w:bookmarkEnd w:id="2237"/>
                            <w:bookmarkEnd w:id="2238"/>
                            <w:bookmarkEnd w:id="2239"/>
                            <w:bookmarkEnd w:id="22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9B9C6" id="Text Box 2313" o:spid="_x0000_s1548" type="#_x0000_t202" style="position:absolute;margin-left:54pt;margin-top:1.7pt;width:258pt;height:37.35pt;z-index:254300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" filled="f" stroked="f" strokeweight=".5pt">
                <v:textbox>
                  <w:txbxContent>
                    <w:p w14:paraId="5BCE4C68" w14:textId="04178150" w:rsidR="00D15FD8" w:rsidRPr="00356A28" w:rsidRDefault="00D15FD8" w:rsidP="008A747E">
                      <w:pPr>
                        <w:pStyle w:val="Heading2"/>
                        <w:numPr>
                          <w:ilvl w:val="1"/>
                          <w:numId w:val="127"/>
                        </w:numPr>
                        <w:rPr>
                          <w:rFonts w:ascii="Arial" w:hAnsi="Arial" w:cs="Arial"/>
                          <w:b/>
                          <w:bCs/>
                          <w:color w:val="F26D24"/>
                          <w:sz w:val="36"/>
                          <w:szCs w:val="36"/>
                        </w:rPr>
                      </w:pPr>
                      <w:bookmarkStart w:id="2241" w:name="_Toc123204541"/>
                      <w:bookmarkStart w:id="2242" w:name="_Toc123216655"/>
                      <w:bookmarkStart w:id="2243" w:name="_Toc123217495"/>
                      <w:bookmarkStart w:id="2244" w:name="_Toc123828241"/>
                      <w:bookmarkStart w:id="2245" w:name="_Toc123828451"/>
                      <w:bookmarkStart w:id="2246" w:name="_Toc123828647"/>
                      <w:bookmarkStart w:id="2247" w:name="_Toc123912674"/>
                      <w:bookmarkStart w:id="2248" w:name="_Toc123912933"/>
                      <w:bookmarkStart w:id="2249" w:name="_Toc123913160"/>
                      <w:bookmarkStart w:id="2250" w:name="_Toc123913451"/>
                      <w:bookmarkStart w:id="2251" w:name="_Toc123914108"/>
                      <w:bookmarkStart w:id="2252" w:name="_Toc125566723"/>
                      <w:r w:rsidRPr="00356A28">
                        <w:rPr>
                          <w:rFonts w:ascii="Arial" w:hAnsi="Arial" w:cs="Arial"/>
                          <w:b/>
                          <w:bCs/>
                          <w:color w:val="F26D24"/>
                          <w:sz w:val="36"/>
                          <w:szCs w:val="36"/>
                        </w:rPr>
                        <w:t>Benefits of open data</w:t>
                      </w:r>
                      <w:bookmarkEnd w:id="2241"/>
                      <w:bookmarkEnd w:id="2242"/>
                      <w:bookmarkEnd w:id="2243"/>
                      <w:bookmarkEnd w:id="2244"/>
                      <w:bookmarkEnd w:id="2245"/>
                      <w:bookmarkEnd w:id="2246"/>
                      <w:bookmarkEnd w:id="2247"/>
                      <w:bookmarkEnd w:id="2248"/>
                      <w:bookmarkEnd w:id="2249"/>
                      <w:bookmarkEnd w:id="2250"/>
                      <w:bookmarkEnd w:id="2251"/>
                      <w:bookmarkEnd w:id="2252"/>
                    </w:p>
                  </w:txbxContent>
                </v:textbox>
              </v:shape>
            </w:pict>
          </mc:Fallback>
        </mc:AlternateContent>
      </w:r>
    </w:p>
    <w:p w14:paraId="41DEB2C3" w14:textId="5286F305" w:rsidR="00EF29A3" w:rsidRDefault="00EF29A3" w:rsidP="00860AD5">
      <w:pPr>
        <w:tabs>
          <w:tab w:val="left" w:pos="1080"/>
        </w:tabs>
        <w:rPr>
          <w:rFonts w:ascii="Arial" w:hAnsi="Arial" w:cs="Arial"/>
          <w:sz w:val="24"/>
          <w:szCs w:val="24"/>
        </w:rPr>
      </w:pPr>
    </w:p>
    <w:p w14:paraId="71EA2E5F" w14:textId="4001E288" w:rsidR="00773779" w:rsidRPr="00773779" w:rsidRDefault="00773779" w:rsidP="00EB2A7C">
      <w:pPr>
        <w:rPr>
          <w:rFonts w:ascii="Arial" w:hAnsi="Arial" w:cs="Arial"/>
          <w:sz w:val="24"/>
          <w:szCs w:val="24"/>
        </w:rPr>
      </w:pPr>
    </w:p>
    <w:p w14:paraId="628DAF44" w14:textId="7089AF99" w:rsidR="00773779" w:rsidRPr="0057772A" w:rsidRDefault="00773779" w:rsidP="00EB2A7C">
      <w:pPr>
        <w:spacing w:line="276" w:lineRule="auto"/>
        <w:rPr>
          <w:rFonts w:ascii="Arial" w:hAnsi="Arial" w:cs="Arial"/>
          <w:sz w:val="24"/>
          <w:szCs w:val="24"/>
        </w:rPr>
      </w:pPr>
    </w:p>
    <w:p w14:paraId="17598A26" w14:textId="77777777" w:rsidR="0057772A" w:rsidRPr="00EB2A7C" w:rsidRDefault="0057772A" w:rsidP="00EB2A7C">
      <w:pPr>
        <w:spacing w:line="276" w:lineRule="auto"/>
        <w:jc w:val="both"/>
        <w:rPr>
          <w:rFonts w:ascii="Arial" w:hAnsi="Arial" w:cs="Arial"/>
          <w:sz w:val="24"/>
          <w:szCs w:val="24"/>
        </w:rPr>
      </w:pPr>
      <w:r w:rsidRPr="00EB2A7C">
        <w:rPr>
          <w:rFonts w:ascii="Arial" w:hAnsi="Arial" w:cs="Arial"/>
          <w:sz w:val="24"/>
          <w:szCs w:val="24"/>
        </w:rPr>
        <w:t>There are many benefits of open data, including that it provides for and facilitates fiscal transparency, making the information available that actors in the fiscal ecosystem require to fulfil their roles. In particular, it facilitates fiscal transparency by:</w:t>
      </w:r>
    </w:p>
    <w:p w14:paraId="61159E22" w14:textId="77777777" w:rsidR="0057772A" w:rsidRPr="00EB2A7C" w:rsidRDefault="0057772A" w:rsidP="00EB2A7C">
      <w:pPr>
        <w:numPr>
          <w:ilvl w:val="1"/>
          <w:numId w:val="136"/>
        </w:numPr>
        <w:spacing w:line="276" w:lineRule="auto"/>
        <w:contextualSpacing/>
        <w:jc w:val="both"/>
        <w:rPr>
          <w:rFonts w:ascii="Arial" w:hAnsi="Arial" w:cs="Arial"/>
          <w:sz w:val="24"/>
          <w:szCs w:val="24"/>
        </w:rPr>
      </w:pPr>
      <w:r w:rsidRPr="00EB2A7C">
        <w:rPr>
          <w:rFonts w:ascii="Arial" w:hAnsi="Arial" w:cs="Arial"/>
          <w:sz w:val="24"/>
          <w:szCs w:val="24"/>
        </w:rPr>
        <w:t>Enabling the access, storage and analysis of information, directly from the use of software and computer applications, to data processing.</w:t>
      </w:r>
    </w:p>
    <w:p w14:paraId="15605F63" w14:textId="77777777" w:rsidR="0057772A" w:rsidRPr="00EB2A7C" w:rsidRDefault="0057772A" w:rsidP="00EB2A7C">
      <w:pPr>
        <w:numPr>
          <w:ilvl w:val="1"/>
          <w:numId w:val="136"/>
        </w:numPr>
        <w:spacing w:line="276" w:lineRule="auto"/>
        <w:contextualSpacing/>
        <w:jc w:val="both"/>
        <w:rPr>
          <w:rFonts w:ascii="Arial" w:hAnsi="Arial" w:cs="Arial"/>
          <w:sz w:val="24"/>
          <w:szCs w:val="24"/>
        </w:rPr>
      </w:pPr>
      <w:r w:rsidRPr="00EB2A7C">
        <w:rPr>
          <w:rFonts w:ascii="Arial" w:hAnsi="Arial" w:cs="Arial"/>
          <w:sz w:val="24"/>
          <w:szCs w:val="24"/>
        </w:rPr>
        <w:t xml:space="preserve">Making it easier and less costly for government ministries to discover and access their own data or data from other ministries, which reduces acquisition costs, redundancy and overhead. </w:t>
      </w:r>
    </w:p>
    <w:p w14:paraId="2D38150F" w14:textId="77777777" w:rsidR="0057772A" w:rsidRPr="00EB2A7C" w:rsidRDefault="0057772A" w:rsidP="00EB2A7C">
      <w:pPr>
        <w:numPr>
          <w:ilvl w:val="1"/>
          <w:numId w:val="136"/>
        </w:numPr>
        <w:spacing w:line="276" w:lineRule="auto"/>
        <w:contextualSpacing/>
        <w:jc w:val="both"/>
        <w:rPr>
          <w:rFonts w:ascii="Arial" w:hAnsi="Arial" w:cs="Arial"/>
          <w:sz w:val="24"/>
          <w:szCs w:val="24"/>
        </w:rPr>
      </w:pPr>
      <w:r w:rsidRPr="00EB2A7C">
        <w:rPr>
          <w:rFonts w:ascii="Arial" w:hAnsi="Arial" w:cs="Arial"/>
          <w:sz w:val="24"/>
          <w:szCs w:val="24"/>
        </w:rPr>
        <w:t xml:space="preserve">Allowing actors in the fiscal ecosystem to re-use the data easily, </w:t>
      </w:r>
      <w:r w:rsidRPr="00EB2A7C">
        <w:rPr>
          <w:rFonts w:ascii="Arial" w:hAnsi="Arial" w:cs="Arial"/>
          <w:sz w:val="24"/>
          <w:szCs w:val="24"/>
          <w:lang w:val="en-US"/>
        </w:rPr>
        <w:t>potentially enabling them to innovate and contribute to fiscal transparency and decision making in new ways</w:t>
      </w:r>
      <w:r w:rsidRPr="00EB2A7C">
        <w:rPr>
          <w:rFonts w:ascii="Arial" w:hAnsi="Arial" w:cs="Arial"/>
          <w:sz w:val="24"/>
          <w:szCs w:val="24"/>
        </w:rPr>
        <w:t>.</w:t>
      </w:r>
    </w:p>
    <w:p w14:paraId="5B8CADD9" w14:textId="77777777" w:rsidR="0057772A" w:rsidRPr="00EB2A7C" w:rsidRDefault="0057772A" w:rsidP="00EB2A7C">
      <w:pPr>
        <w:spacing w:line="276" w:lineRule="auto"/>
        <w:contextualSpacing/>
        <w:jc w:val="both"/>
        <w:rPr>
          <w:rFonts w:ascii="Arial" w:hAnsi="Arial" w:cs="Arial"/>
          <w:sz w:val="24"/>
          <w:szCs w:val="24"/>
        </w:rPr>
      </w:pPr>
    </w:p>
    <w:p w14:paraId="3EF65006" w14:textId="77777777" w:rsidR="0057772A" w:rsidRPr="00EB2A7C" w:rsidRDefault="0057772A" w:rsidP="00EB2A7C">
      <w:pPr>
        <w:spacing w:line="276" w:lineRule="auto"/>
        <w:contextualSpacing/>
        <w:jc w:val="both"/>
        <w:rPr>
          <w:rFonts w:ascii="Arial" w:hAnsi="Arial" w:cs="Arial"/>
          <w:sz w:val="24"/>
          <w:szCs w:val="24"/>
        </w:rPr>
      </w:pPr>
      <w:r w:rsidRPr="00EB2A7C">
        <w:rPr>
          <w:rFonts w:ascii="Arial" w:hAnsi="Arial" w:cs="Arial"/>
          <w:sz w:val="24"/>
          <w:szCs w:val="24"/>
        </w:rPr>
        <w:t xml:space="preserve">As seen throughout this Guide, the benefits of fiscal transparency are numerous. This section builds on this by briefly exploring two specific views on the benefits of open data, stemming from the European Commission and the </w:t>
      </w:r>
      <w:r w:rsidRPr="00EB2A7C">
        <w:rPr>
          <w:rFonts w:ascii="Arial" w:hAnsi="Arial" w:cs="Arial"/>
          <w:sz w:val="24"/>
          <w:szCs w:val="24"/>
          <w:lang w:val="en-ZA"/>
        </w:rPr>
        <w:t>World Wide Web Foundation.</w:t>
      </w:r>
    </w:p>
    <w:p w14:paraId="0A68C921" w14:textId="77777777" w:rsidR="0057772A" w:rsidRPr="00EB2A7C" w:rsidRDefault="0057772A" w:rsidP="00EB2A7C">
      <w:pPr>
        <w:spacing w:line="276" w:lineRule="auto"/>
        <w:contextualSpacing/>
        <w:jc w:val="both"/>
        <w:rPr>
          <w:rFonts w:ascii="Arial" w:hAnsi="Arial" w:cs="Arial"/>
          <w:sz w:val="24"/>
          <w:szCs w:val="24"/>
        </w:rPr>
      </w:pPr>
    </w:p>
    <w:p w14:paraId="4BB56BE8" w14:textId="77777777" w:rsidR="00711E34" w:rsidRDefault="0057772A" w:rsidP="0057772A">
      <w:pPr>
        <w:spacing w:line="276" w:lineRule="auto"/>
        <w:contextualSpacing/>
        <w:jc w:val="both"/>
        <w:rPr>
          <w:rFonts w:ascii="Arial" w:hAnsi="Arial" w:cs="Arial"/>
          <w:iCs/>
          <w:sz w:val="24"/>
          <w:szCs w:val="24"/>
          <w:lang w:val="en-US"/>
        </w:rPr>
      </w:pPr>
      <w:r w:rsidRPr="00EB2A7C">
        <w:rPr>
          <w:rFonts w:ascii="Arial" w:hAnsi="Arial" w:cs="Arial"/>
          <w:sz w:val="24"/>
          <w:szCs w:val="24"/>
        </w:rPr>
        <w:t xml:space="preserve">The Europe Commission on its </w:t>
      </w:r>
      <w:hyperlink r:id="rId882" w:history="1">
        <w:r w:rsidRPr="00EB2A7C">
          <w:rPr>
            <w:rFonts w:ascii="Arial" w:hAnsi="Arial" w:cs="Arial"/>
            <w:color w:val="0563C1" w:themeColor="hyperlink"/>
            <w:sz w:val="24"/>
            <w:szCs w:val="24"/>
            <w:u w:val="single"/>
          </w:rPr>
          <w:t>European Data Portal</w:t>
        </w:r>
      </w:hyperlink>
      <w:r w:rsidRPr="00EB2A7C">
        <w:rPr>
          <w:rFonts w:ascii="Arial" w:hAnsi="Arial" w:cs="Arial"/>
          <w:sz w:val="24"/>
          <w:szCs w:val="24"/>
          <w:vertAlign w:val="superscript"/>
        </w:rPr>
        <w:footnoteReference w:id="69"/>
      </w:r>
      <w:r w:rsidRPr="00EB2A7C">
        <w:rPr>
          <w:rFonts w:ascii="Arial" w:hAnsi="Arial" w:cs="Arial"/>
          <w:sz w:val="24"/>
          <w:szCs w:val="24"/>
        </w:rPr>
        <w:t>, provides a multifaceted view of the benefits of open data, stating that the benefits range from improved efficiency of public administrations, economic growth in the private sector to wider social welfare:</w:t>
      </w:r>
      <w:r w:rsidRPr="00EB2A7C">
        <w:rPr>
          <w:rFonts w:ascii="Arial" w:hAnsi="Arial" w:cs="Arial"/>
          <w:iCs/>
          <w:sz w:val="24"/>
          <w:szCs w:val="24"/>
          <w:lang w:val="en-US"/>
        </w:rPr>
        <w:t xml:space="preserve"> </w:t>
      </w:r>
      <w:r w:rsidRPr="00EB2A7C">
        <w:rPr>
          <w:rFonts w:ascii="Arial" w:hAnsi="Arial" w:cs="Arial"/>
          <w:iCs/>
          <w:sz w:val="24"/>
          <w:szCs w:val="24"/>
          <w:lang w:val="en-US"/>
        </w:rPr>
        <w:tab/>
      </w:r>
    </w:p>
    <w:p w14:paraId="4F636129" w14:textId="77777777" w:rsidR="00711E34" w:rsidRDefault="00711E34" w:rsidP="0057772A">
      <w:pPr>
        <w:spacing w:line="276" w:lineRule="auto"/>
        <w:contextualSpacing/>
        <w:jc w:val="both"/>
        <w:rPr>
          <w:rFonts w:ascii="Arial" w:hAnsi="Arial" w:cs="Arial"/>
          <w:iCs/>
          <w:sz w:val="24"/>
          <w:szCs w:val="24"/>
          <w:lang w:val="en-US"/>
        </w:rPr>
      </w:pPr>
    </w:p>
    <w:p w14:paraId="3B2B8809" w14:textId="00559D59" w:rsidR="00282EFC" w:rsidRPr="00356A28" w:rsidRDefault="00711E34" w:rsidP="003625BA">
      <w:pPr>
        <w:pStyle w:val="Heading3"/>
        <w:jc w:val="center"/>
        <w:rPr>
          <w:rFonts w:ascii="Arial" w:hAnsi="Arial" w:cs="Arial"/>
          <w:b/>
          <w:bCs/>
          <w:color w:val="69557F"/>
          <w:sz w:val="20"/>
          <w:szCs w:val="20"/>
          <w:lang w:val="en-US"/>
        </w:rPr>
      </w:pPr>
      <w:bookmarkStart w:id="2253" w:name="_Figure_4.3._Benefits"/>
      <w:bookmarkStart w:id="2254" w:name="_Toc123217496"/>
      <w:bookmarkStart w:id="2255" w:name="_Toc123914109"/>
      <w:bookmarkStart w:id="2256" w:name="_Toc125566724"/>
      <w:bookmarkEnd w:id="2253"/>
      <w:r w:rsidRPr="00356A28">
        <w:rPr>
          <w:rFonts w:ascii="Arial" w:hAnsi="Arial" w:cs="Arial"/>
          <w:b/>
          <w:bCs/>
          <w:color w:val="69557F"/>
          <w:sz w:val="20"/>
          <w:szCs w:val="20"/>
          <w:lang w:val="en-US"/>
        </w:rPr>
        <w:lastRenderedPageBreak/>
        <w:t xml:space="preserve">Figure </w:t>
      </w:r>
      <w:r w:rsidR="00281BF5" w:rsidRPr="00356A28">
        <w:rPr>
          <w:rFonts w:ascii="Arial" w:hAnsi="Arial" w:cs="Arial"/>
          <w:b/>
          <w:bCs/>
          <w:color w:val="69557F"/>
          <w:sz w:val="20"/>
          <w:szCs w:val="20"/>
          <w:lang w:val="en-US"/>
        </w:rPr>
        <w:t>4.3</w:t>
      </w:r>
      <w:r w:rsidR="00AC27CC">
        <w:rPr>
          <w:rFonts w:ascii="Arial" w:hAnsi="Arial" w:cs="Arial"/>
          <w:b/>
          <w:bCs/>
          <w:color w:val="69557F"/>
          <w:sz w:val="20"/>
          <w:szCs w:val="20"/>
          <w:lang w:val="en-US"/>
        </w:rPr>
        <w:t>.</w:t>
      </w:r>
      <w:r w:rsidR="009A14D9" w:rsidRPr="00356A28">
        <w:rPr>
          <w:rFonts w:ascii="Arial" w:hAnsi="Arial" w:cs="Arial"/>
          <w:b/>
          <w:bCs/>
          <w:color w:val="69557F"/>
          <w:sz w:val="20"/>
          <w:szCs w:val="20"/>
          <w:lang w:val="en-US"/>
        </w:rPr>
        <w:t xml:space="preserve"> </w:t>
      </w:r>
      <w:r w:rsidRPr="00356A28">
        <w:rPr>
          <w:rFonts w:ascii="Arial" w:hAnsi="Arial" w:cs="Arial"/>
          <w:b/>
          <w:bCs/>
          <w:color w:val="69557F"/>
          <w:sz w:val="20"/>
          <w:szCs w:val="20"/>
          <w:lang w:val="en-US"/>
        </w:rPr>
        <w:t>Benefits of Open data</w:t>
      </w:r>
      <w:bookmarkEnd w:id="2254"/>
      <w:bookmarkEnd w:id="2255"/>
      <w:bookmarkEnd w:id="2256"/>
    </w:p>
    <w:p w14:paraId="70F8AD62" w14:textId="0736BB2C" w:rsidR="0057772A" w:rsidRDefault="00282EFC" w:rsidP="0057772A">
      <w:pPr>
        <w:spacing w:line="276" w:lineRule="auto"/>
        <w:contextualSpacing/>
        <w:jc w:val="both"/>
        <w:rPr>
          <w:rFonts w:ascii="Arial" w:hAnsi="Arial" w:cs="Arial"/>
          <w:iCs/>
          <w:sz w:val="24"/>
          <w:szCs w:val="24"/>
          <w:lang w:val="en-US"/>
        </w:rPr>
      </w:pPr>
      <w:r w:rsidRPr="00C67BB0">
        <w:rPr>
          <w:noProof/>
          <w:lang w:val="en-US"/>
        </w:rPr>
        <w:drawing>
          <wp:anchor distT="0" distB="0" distL="114300" distR="114300" simplePos="0" relativeHeight="254302206" behindDoc="0" locked="0" layoutInCell="1" allowOverlap="1" wp14:anchorId="29483424" wp14:editId="2B751272">
            <wp:simplePos x="0" y="0"/>
            <wp:positionH relativeFrom="margin">
              <wp:align>center</wp:align>
            </wp:positionH>
            <wp:positionV relativeFrom="paragraph">
              <wp:posOffset>205740</wp:posOffset>
            </wp:positionV>
            <wp:extent cx="5335270" cy="2476500"/>
            <wp:effectExtent l="0" t="0" r="0" b="0"/>
            <wp:wrapSquare wrapText="bothSides"/>
            <wp:docPr id="2315" name="Picture 2315" descr="Benefits of Using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efits of Using Data"/>
                    <pic:cNvPicPr>
                      <a:picLocks noChangeAspect="1" noChangeArrowheads="1"/>
                    </pic:cNvPicPr>
                  </pic:nvPicPr>
                  <pic:blipFill>
                    <a:blip r:embed="rId883" cstate="email">
                      <a:extLst>
                        <a:ext uri="{28A0092B-C50C-407E-A947-70E740481C1C}">
                          <a14:useLocalDpi xmlns:a14="http://schemas.microsoft.com/office/drawing/2010/main"/>
                        </a:ext>
                      </a:extLst>
                    </a:blip>
                    <a:srcRect/>
                    <a:stretch>
                      <a:fillRect/>
                    </a:stretch>
                  </pic:blipFill>
                  <pic:spPr bwMode="auto">
                    <a:xfrm>
                      <a:off x="0" y="0"/>
                      <a:ext cx="533527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04E9B" w14:textId="494C17B8" w:rsidR="00282EFC" w:rsidRPr="00EB2A7C" w:rsidRDefault="00282EFC" w:rsidP="00EB2A7C">
      <w:pPr>
        <w:spacing w:line="276" w:lineRule="auto"/>
        <w:contextualSpacing/>
        <w:jc w:val="both"/>
        <w:rPr>
          <w:rFonts w:ascii="Arial" w:hAnsi="Arial" w:cs="Arial"/>
          <w:iCs/>
          <w:sz w:val="24"/>
          <w:szCs w:val="24"/>
          <w:lang w:val="en-US"/>
        </w:rPr>
      </w:pPr>
    </w:p>
    <w:p w14:paraId="0F2083DD" w14:textId="77777777" w:rsidR="0057772A" w:rsidRPr="00EB2A7C" w:rsidRDefault="0057772A" w:rsidP="00EB2A7C">
      <w:pPr>
        <w:spacing w:line="276" w:lineRule="auto"/>
        <w:contextualSpacing/>
        <w:jc w:val="both"/>
        <w:rPr>
          <w:rFonts w:ascii="Arial" w:hAnsi="Arial" w:cs="Arial"/>
          <w:iCs/>
          <w:sz w:val="24"/>
          <w:szCs w:val="24"/>
          <w:lang w:val="en-US"/>
        </w:rPr>
      </w:pPr>
      <w:r w:rsidRPr="00EB2A7C">
        <w:rPr>
          <w:rFonts w:ascii="Arial" w:hAnsi="Arial" w:cs="Arial"/>
          <w:iCs/>
          <w:sz w:val="24"/>
          <w:szCs w:val="24"/>
          <w:lang w:val="en-US"/>
        </w:rPr>
        <w:t xml:space="preserve">   </w:t>
      </w:r>
    </w:p>
    <w:p w14:paraId="15C6993D" w14:textId="59DAF4F9" w:rsidR="00773779" w:rsidRDefault="00282EFC" w:rsidP="00773779">
      <w:pPr>
        <w:tabs>
          <w:tab w:val="left" w:pos="1580"/>
        </w:tabs>
        <w:rPr>
          <w:rFonts w:ascii="Arial" w:hAnsi="Arial" w:cs="Arial"/>
          <w:sz w:val="24"/>
          <w:szCs w:val="24"/>
        </w:rPr>
      </w:pPr>
      <w:r w:rsidRPr="00F26D25">
        <w:rPr>
          <w:noProof/>
          <w:lang w:val="en-US"/>
        </w:rPr>
        <w:drawing>
          <wp:anchor distT="0" distB="0" distL="114300" distR="114300" simplePos="0" relativeHeight="254303230" behindDoc="1" locked="0" layoutInCell="1" allowOverlap="1" wp14:anchorId="7DDDACEF" wp14:editId="0C8988AA">
            <wp:simplePos x="0" y="0"/>
            <wp:positionH relativeFrom="column">
              <wp:posOffset>4844415</wp:posOffset>
            </wp:positionH>
            <wp:positionV relativeFrom="paragraph">
              <wp:posOffset>2096135</wp:posOffset>
            </wp:positionV>
            <wp:extent cx="1153795" cy="205652"/>
            <wp:effectExtent l="0" t="0" r="1905" b="0"/>
            <wp:wrapTight wrapText="bothSides">
              <wp:wrapPolygon edited="0">
                <wp:start x="0" y="0"/>
                <wp:lineTo x="0" y="20062"/>
                <wp:lineTo x="21398" y="20062"/>
                <wp:lineTo x="21398" y="0"/>
                <wp:lineTo x="0" y="0"/>
              </wp:wrapPolygon>
            </wp:wrapTight>
            <wp:docPr id="2316" name="Picture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cstate="email">
                      <a:extLst>
                        <a:ext uri="{28A0092B-C50C-407E-A947-70E740481C1C}">
                          <a14:useLocalDpi xmlns:a14="http://schemas.microsoft.com/office/drawing/2010/main"/>
                        </a:ext>
                      </a:extLst>
                    </a:blip>
                    <a:stretch>
                      <a:fillRect/>
                    </a:stretch>
                  </pic:blipFill>
                  <pic:spPr>
                    <a:xfrm>
                      <a:off x="0" y="0"/>
                      <a:ext cx="1153795" cy="205652"/>
                    </a:xfrm>
                    <a:prstGeom prst="rect">
                      <a:avLst/>
                    </a:prstGeom>
                  </pic:spPr>
                </pic:pic>
              </a:graphicData>
            </a:graphic>
            <wp14:sizeRelH relativeFrom="page">
              <wp14:pctWidth>0</wp14:pctWidth>
            </wp14:sizeRelH>
            <wp14:sizeRelV relativeFrom="page">
              <wp14:pctHeight>0</wp14:pctHeight>
            </wp14:sizeRelV>
          </wp:anchor>
        </w:drawing>
      </w:r>
    </w:p>
    <w:p w14:paraId="3FF4D065" w14:textId="1F48DD14" w:rsidR="00282EFC" w:rsidRPr="00282EFC" w:rsidRDefault="00282EFC" w:rsidP="00EB2A7C">
      <w:pPr>
        <w:rPr>
          <w:rFonts w:ascii="Arial" w:hAnsi="Arial" w:cs="Arial"/>
          <w:sz w:val="24"/>
          <w:szCs w:val="24"/>
        </w:rPr>
      </w:pPr>
    </w:p>
    <w:p w14:paraId="495612BE" w14:textId="0619F1FF" w:rsidR="00282EFC" w:rsidRPr="00282EFC" w:rsidRDefault="00282EFC" w:rsidP="00EB2A7C">
      <w:pPr>
        <w:rPr>
          <w:rFonts w:ascii="Arial" w:hAnsi="Arial" w:cs="Arial"/>
          <w:sz w:val="24"/>
          <w:szCs w:val="24"/>
        </w:rPr>
      </w:pPr>
    </w:p>
    <w:p w14:paraId="2C65777D" w14:textId="4BA5C48F" w:rsidR="00282EFC" w:rsidRPr="00282EFC" w:rsidRDefault="00282EFC" w:rsidP="00EB2A7C">
      <w:pPr>
        <w:rPr>
          <w:rFonts w:ascii="Arial" w:hAnsi="Arial" w:cs="Arial"/>
          <w:sz w:val="24"/>
          <w:szCs w:val="24"/>
        </w:rPr>
      </w:pPr>
    </w:p>
    <w:p w14:paraId="31728D19" w14:textId="129BC82F" w:rsidR="00282EFC" w:rsidRPr="00282EFC" w:rsidRDefault="00282EFC" w:rsidP="00EB2A7C">
      <w:pPr>
        <w:rPr>
          <w:rFonts w:ascii="Arial" w:hAnsi="Arial" w:cs="Arial"/>
          <w:sz w:val="24"/>
          <w:szCs w:val="24"/>
        </w:rPr>
      </w:pPr>
    </w:p>
    <w:p w14:paraId="7D5B6D37" w14:textId="3779D563" w:rsidR="00282EFC" w:rsidRPr="00282EFC" w:rsidRDefault="00282EFC" w:rsidP="00EB2A7C">
      <w:pPr>
        <w:rPr>
          <w:rFonts w:ascii="Arial" w:hAnsi="Arial" w:cs="Arial"/>
          <w:sz w:val="24"/>
          <w:szCs w:val="24"/>
        </w:rPr>
      </w:pPr>
    </w:p>
    <w:p w14:paraId="57FBFAEC" w14:textId="78D62645" w:rsidR="00282EFC" w:rsidRPr="00282EFC" w:rsidRDefault="00282EFC" w:rsidP="00EB2A7C">
      <w:pPr>
        <w:rPr>
          <w:rFonts w:ascii="Arial" w:hAnsi="Arial" w:cs="Arial"/>
          <w:sz w:val="24"/>
          <w:szCs w:val="24"/>
        </w:rPr>
      </w:pPr>
    </w:p>
    <w:p w14:paraId="4A870C8B" w14:textId="39F9047E" w:rsidR="00282EFC" w:rsidRPr="00282EFC" w:rsidRDefault="00282EFC" w:rsidP="00EB2A7C">
      <w:pPr>
        <w:rPr>
          <w:rFonts w:ascii="Arial" w:hAnsi="Arial" w:cs="Arial"/>
          <w:sz w:val="24"/>
          <w:szCs w:val="24"/>
        </w:rPr>
      </w:pPr>
    </w:p>
    <w:p w14:paraId="212E2101" w14:textId="01B4E4EE" w:rsidR="00282EFC" w:rsidRPr="00282EFC" w:rsidRDefault="00282EFC" w:rsidP="00EB2A7C">
      <w:pPr>
        <w:rPr>
          <w:rFonts w:ascii="Arial" w:hAnsi="Arial" w:cs="Arial"/>
          <w:sz w:val="24"/>
          <w:szCs w:val="24"/>
        </w:rPr>
      </w:pPr>
    </w:p>
    <w:p w14:paraId="13BF2F78" w14:textId="288CBA22" w:rsidR="00282EFC" w:rsidRPr="00282EFC" w:rsidRDefault="00282EFC" w:rsidP="00EB2A7C">
      <w:pPr>
        <w:rPr>
          <w:rFonts w:ascii="Arial" w:hAnsi="Arial" w:cs="Arial"/>
          <w:sz w:val="24"/>
          <w:szCs w:val="24"/>
        </w:rPr>
      </w:pPr>
    </w:p>
    <w:p w14:paraId="39CD62EC" w14:textId="1758D6E5" w:rsidR="00282EFC" w:rsidRPr="00282EFC" w:rsidRDefault="00282EFC" w:rsidP="00EB2A7C">
      <w:pPr>
        <w:rPr>
          <w:rFonts w:ascii="Arial" w:hAnsi="Arial" w:cs="Arial"/>
          <w:sz w:val="24"/>
          <w:szCs w:val="24"/>
        </w:rPr>
      </w:pPr>
    </w:p>
    <w:p w14:paraId="4638DCE4" w14:textId="0E7EFE88" w:rsidR="00282EFC" w:rsidRDefault="00282EFC" w:rsidP="00282EFC">
      <w:pPr>
        <w:rPr>
          <w:rFonts w:ascii="Arial" w:hAnsi="Arial" w:cs="Arial"/>
          <w:sz w:val="24"/>
          <w:szCs w:val="24"/>
        </w:rPr>
      </w:pPr>
    </w:p>
    <w:p w14:paraId="38F769DE" w14:textId="06A547E9" w:rsidR="00282EFC" w:rsidRDefault="00282EFC" w:rsidP="00282EFC">
      <w:pPr>
        <w:rPr>
          <w:rFonts w:ascii="Arial" w:hAnsi="Arial" w:cs="Arial"/>
          <w:sz w:val="24"/>
          <w:szCs w:val="24"/>
        </w:rPr>
      </w:pPr>
    </w:p>
    <w:p w14:paraId="0DC47C75" w14:textId="4A83FFF2" w:rsidR="00282EFC" w:rsidRDefault="00282EFC" w:rsidP="00282EFC">
      <w:pPr>
        <w:tabs>
          <w:tab w:val="left" w:pos="6340"/>
        </w:tabs>
        <w:rPr>
          <w:rFonts w:ascii="Arial" w:hAnsi="Arial" w:cs="Arial"/>
          <w:sz w:val="24"/>
          <w:szCs w:val="24"/>
        </w:rPr>
      </w:pPr>
      <w:r>
        <w:rPr>
          <w:rFonts w:ascii="Arial" w:hAnsi="Arial" w:cs="Arial"/>
          <w:sz w:val="24"/>
          <w:szCs w:val="24"/>
        </w:rPr>
        <w:tab/>
      </w:r>
    </w:p>
    <w:p w14:paraId="1F63D9CA" w14:textId="056F9652" w:rsidR="00282EFC" w:rsidRDefault="00282EFC" w:rsidP="00282EFC">
      <w:pPr>
        <w:tabs>
          <w:tab w:val="left" w:pos="6340"/>
        </w:tabs>
        <w:rPr>
          <w:rFonts w:ascii="Arial" w:hAnsi="Arial" w:cs="Arial"/>
          <w:sz w:val="24"/>
          <w:szCs w:val="24"/>
        </w:rPr>
      </w:pPr>
    </w:p>
    <w:p w14:paraId="1F554F25" w14:textId="1DA1E8AD" w:rsidR="00282EFC" w:rsidRDefault="00282EFC" w:rsidP="003625BA">
      <w:pPr>
        <w:numPr>
          <w:ilvl w:val="0"/>
          <w:numId w:val="71"/>
        </w:numPr>
        <w:spacing w:line="276" w:lineRule="auto"/>
        <w:ind w:left="284" w:hanging="284"/>
        <w:contextualSpacing/>
        <w:jc w:val="both"/>
        <w:rPr>
          <w:rFonts w:ascii="Arial" w:hAnsi="Arial" w:cs="Arial"/>
          <w:sz w:val="24"/>
          <w:szCs w:val="24"/>
        </w:rPr>
      </w:pPr>
      <w:r w:rsidRPr="00EB2A7C">
        <w:rPr>
          <w:rFonts w:ascii="Arial" w:hAnsi="Arial" w:cs="Arial"/>
          <w:b/>
          <w:bCs/>
          <w:i/>
          <w:color w:val="F26D24"/>
          <w:sz w:val="24"/>
          <w:szCs w:val="24"/>
        </w:rPr>
        <w:t>Performance</w:t>
      </w:r>
      <w:r w:rsidRPr="00EB2A7C">
        <w:rPr>
          <w:rFonts w:ascii="Arial" w:hAnsi="Arial" w:cs="Arial"/>
          <w:sz w:val="24"/>
          <w:szCs w:val="24"/>
        </w:rPr>
        <w:t xml:space="preserve"> can be enhanced by open data and contribute to improving the efficiency of public services. Greater efficiency in processes and delivery of public services can be achieved thanks to cross-sector sharing of data, which can for example provide an overview of unnecessary spending.</w:t>
      </w:r>
    </w:p>
    <w:p w14:paraId="6767E746" w14:textId="77777777" w:rsidR="00434D39" w:rsidRPr="009A14D9" w:rsidRDefault="00434D39" w:rsidP="00434D39">
      <w:pPr>
        <w:spacing w:line="276" w:lineRule="auto"/>
        <w:ind w:left="284"/>
        <w:contextualSpacing/>
        <w:jc w:val="both"/>
        <w:rPr>
          <w:rFonts w:ascii="Arial" w:hAnsi="Arial" w:cs="Arial"/>
          <w:sz w:val="24"/>
          <w:szCs w:val="24"/>
        </w:rPr>
      </w:pPr>
    </w:p>
    <w:p w14:paraId="26CA0241" w14:textId="7EE62941" w:rsidR="00282EFC" w:rsidRPr="00EB2A7C" w:rsidRDefault="00282EFC" w:rsidP="00EB2A7C">
      <w:pPr>
        <w:numPr>
          <w:ilvl w:val="0"/>
          <w:numId w:val="71"/>
        </w:numPr>
        <w:spacing w:line="276" w:lineRule="auto"/>
        <w:ind w:left="284" w:hanging="284"/>
        <w:contextualSpacing/>
        <w:jc w:val="both"/>
        <w:rPr>
          <w:rFonts w:ascii="Arial" w:hAnsi="Arial" w:cs="Arial"/>
          <w:sz w:val="24"/>
          <w:szCs w:val="24"/>
        </w:rPr>
      </w:pPr>
      <w:r w:rsidRPr="00EB2A7C">
        <w:rPr>
          <w:rFonts w:ascii="Arial" w:hAnsi="Arial" w:cs="Arial"/>
          <w:b/>
          <w:bCs/>
          <w:i/>
          <w:color w:val="F26D24"/>
          <w:sz w:val="24"/>
          <w:szCs w:val="24"/>
        </w:rPr>
        <w:t>Social welfare</w:t>
      </w:r>
      <w:r w:rsidRPr="00EB2A7C">
        <w:rPr>
          <w:rFonts w:ascii="Arial" w:hAnsi="Arial" w:cs="Arial"/>
          <w:color w:val="F26D24"/>
          <w:sz w:val="24"/>
          <w:szCs w:val="24"/>
        </w:rPr>
        <w:t xml:space="preserve"> </w:t>
      </w:r>
      <w:r w:rsidRPr="00EB2A7C">
        <w:rPr>
          <w:rFonts w:ascii="Arial" w:hAnsi="Arial" w:cs="Arial"/>
          <w:sz w:val="24"/>
          <w:szCs w:val="24"/>
        </w:rPr>
        <w:t xml:space="preserve">can be improved as society benefits from information that is more transparent and accessible. Open </w:t>
      </w:r>
      <w:r w:rsidR="0053154C">
        <w:rPr>
          <w:rFonts w:ascii="Arial" w:hAnsi="Arial" w:cs="Arial"/>
          <w:sz w:val="24"/>
          <w:szCs w:val="24"/>
        </w:rPr>
        <w:t>d</w:t>
      </w:r>
      <w:r w:rsidRPr="00EB2A7C">
        <w:rPr>
          <w:rFonts w:ascii="Arial" w:hAnsi="Arial" w:cs="Arial"/>
          <w:sz w:val="24"/>
          <w:szCs w:val="24"/>
        </w:rPr>
        <w:t>ata enhances collaboration, participation and social innovation</w:t>
      </w:r>
      <w:r w:rsidRPr="00EB2A7C">
        <w:rPr>
          <w:rFonts w:ascii="Arial" w:hAnsi="Arial" w:cs="Arial"/>
          <w:noProof/>
          <w:sz w:val="24"/>
          <w:szCs w:val="24"/>
          <w:lang w:val="en-US"/>
        </w:rPr>
        <w:t>.</w:t>
      </w:r>
    </w:p>
    <w:p w14:paraId="2EC539DA" w14:textId="77777777" w:rsidR="00282EFC" w:rsidRPr="00EB2A7C" w:rsidRDefault="00282EFC" w:rsidP="00EB2A7C">
      <w:pPr>
        <w:spacing w:line="276" w:lineRule="auto"/>
        <w:ind w:left="284"/>
        <w:contextualSpacing/>
        <w:jc w:val="both"/>
        <w:rPr>
          <w:rFonts w:ascii="Arial" w:hAnsi="Arial" w:cs="Arial"/>
          <w:sz w:val="24"/>
          <w:szCs w:val="24"/>
        </w:rPr>
      </w:pPr>
    </w:p>
    <w:p w14:paraId="5F49298C" w14:textId="140A9929" w:rsidR="00282EFC" w:rsidRPr="00EB2A7C" w:rsidRDefault="00282EFC" w:rsidP="00282EFC">
      <w:pPr>
        <w:numPr>
          <w:ilvl w:val="0"/>
          <w:numId w:val="71"/>
        </w:numPr>
        <w:spacing w:line="276" w:lineRule="auto"/>
        <w:ind w:left="284" w:hanging="284"/>
        <w:contextualSpacing/>
        <w:jc w:val="both"/>
        <w:rPr>
          <w:rFonts w:ascii="Arial" w:hAnsi="Arial" w:cs="Arial"/>
          <w:sz w:val="24"/>
          <w:szCs w:val="24"/>
        </w:rPr>
      </w:pPr>
      <w:r w:rsidRPr="00EB2A7C">
        <w:rPr>
          <w:rFonts w:ascii="Arial" w:hAnsi="Arial" w:cs="Arial"/>
          <w:sz w:val="24"/>
          <w:szCs w:val="24"/>
        </w:rPr>
        <w:t xml:space="preserve">The </w:t>
      </w:r>
      <w:r w:rsidRPr="00EB2A7C">
        <w:rPr>
          <w:rFonts w:ascii="Arial" w:hAnsi="Arial" w:cs="Arial"/>
          <w:b/>
          <w:bCs/>
          <w:i/>
          <w:color w:val="F26D24"/>
          <w:sz w:val="24"/>
          <w:szCs w:val="24"/>
        </w:rPr>
        <w:t>economy</w:t>
      </w:r>
      <w:r w:rsidRPr="00EB2A7C">
        <w:rPr>
          <w:rFonts w:ascii="Arial" w:hAnsi="Arial" w:cs="Arial"/>
          <w:sz w:val="24"/>
          <w:szCs w:val="24"/>
        </w:rPr>
        <w:t xml:space="preserve"> can benefit from an easier access to information and knowledge, in turn, contributing to the development of innovative services and the creation of new business models. </w:t>
      </w:r>
      <w:r w:rsidRPr="00EB2A7C">
        <w:rPr>
          <w:rFonts w:ascii="Arial" w:hAnsi="Arial" w:cs="Arial"/>
          <w:sz w:val="24"/>
          <w:szCs w:val="24"/>
          <w:lang w:val="en-ZA"/>
        </w:rPr>
        <w:t>Research commissioned by the Open Data Institute has shown that across all core public sector data assets, open data will provide 0.5 percent of GDP more economic value every year than data that users have to pay for</w:t>
      </w:r>
      <w:r w:rsidRPr="00EB2A7C">
        <w:rPr>
          <w:rStyle w:val="FootnoteReference"/>
          <w:rFonts w:ascii="Arial" w:hAnsi="Arial" w:cs="Arial"/>
          <w:sz w:val="24"/>
          <w:szCs w:val="24"/>
          <w:lang w:val="en-ZA"/>
        </w:rPr>
        <w:footnoteReference w:id="70"/>
      </w:r>
      <w:r w:rsidRPr="00EB2A7C">
        <w:rPr>
          <w:rFonts w:ascii="Arial" w:hAnsi="Arial" w:cs="Arial"/>
          <w:sz w:val="24"/>
          <w:szCs w:val="24"/>
          <w:lang w:val="en-ZA"/>
        </w:rPr>
        <w:t>.</w:t>
      </w:r>
    </w:p>
    <w:p w14:paraId="71F1B6B3" w14:textId="45AD9709" w:rsidR="00282EFC" w:rsidRPr="00282EFC" w:rsidRDefault="00281BF5" w:rsidP="00EB2A7C">
      <w:pPr>
        <w:pStyle w:val="ListParagraph"/>
        <w:spacing w:line="276" w:lineRule="auto"/>
        <w:rPr>
          <w:rFonts w:ascii="Arial" w:hAnsi="Arial" w:cs="Arial"/>
          <w:sz w:val="24"/>
          <w:szCs w:val="24"/>
        </w:rPr>
      </w:pPr>
      <w:r>
        <w:rPr>
          <w:rFonts w:ascii="Arial" w:hAnsi="Arial" w:cs="Arial"/>
          <w:bCs/>
          <w:noProof/>
          <w:sz w:val="24"/>
          <w:szCs w:val="24"/>
          <w:lang w:val="en-US"/>
        </w:rPr>
        <w:drawing>
          <wp:anchor distT="0" distB="0" distL="114300" distR="114300" simplePos="0" relativeHeight="255155198" behindDoc="0" locked="0" layoutInCell="1" allowOverlap="1" wp14:anchorId="1F714710" wp14:editId="29989E37">
            <wp:simplePos x="0" y="0"/>
            <wp:positionH relativeFrom="column">
              <wp:posOffset>0</wp:posOffset>
            </wp:positionH>
            <wp:positionV relativeFrom="paragraph">
              <wp:posOffset>207645</wp:posOffset>
            </wp:positionV>
            <wp:extent cx="2886075" cy="1087755"/>
            <wp:effectExtent l="0" t="0" r="0" b="4445"/>
            <wp:wrapSquare wrapText="bothSides"/>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 name="Picture 2804"/>
                    <pic:cNvPicPr/>
                  </pic:nvPicPr>
                  <pic:blipFill>
                    <a:blip r:embed="rId885" cstate="email">
                      <a:extLst>
                        <a:ext uri="{28A0092B-C50C-407E-A947-70E740481C1C}">
                          <a14:useLocalDpi xmlns:a14="http://schemas.microsoft.com/office/drawing/2010/main"/>
                        </a:ext>
                      </a:extLst>
                    </a:blip>
                    <a:stretch>
                      <a:fillRect/>
                    </a:stretch>
                  </pic:blipFill>
                  <pic:spPr>
                    <a:xfrm>
                      <a:off x="0" y="0"/>
                      <a:ext cx="2886075" cy="1087755"/>
                    </a:xfrm>
                    <a:prstGeom prst="rect">
                      <a:avLst/>
                    </a:prstGeom>
                  </pic:spPr>
                </pic:pic>
              </a:graphicData>
            </a:graphic>
            <wp14:sizeRelH relativeFrom="page">
              <wp14:pctWidth>0</wp14:pctWidth>
            </wp14:sizeRelH>
            <wp14:sizeRelV relativeFrom="page">
              <wp14:pctHeight>0</wp14:pctHeight>
            </wp14:sizeRelV>
          </wp:anchor>
        </w:drawing>
      </w:r>
    </w:p>
    <w:p w14:paraId="0FC3E567" w14:textId="072814C0" w:rsidR="00282EFC" w:rsidRDefault="00282EFC" w:rsidP="00282EFC">
      <w:pPr>
        <w:spacing w:line="276" w:lineRule="auto"/>
        <w:contextualSpacing/>
        <w:jc w:val="both"/>
        <w:rPr>
          <w:rFonts w:ascii="Arial" w:hAnsi="Arial" w:cs="Arial"/>
          <w:bCs/>
          <w:sz w:val="24"/>
          <w:szCs w:val="24"/>
        </w:rPr>
      </w:pPr>
      <w:r w:rsidRPr="00EB2A7C">
        <w:rPr>
          <w:rFonts w:ascii="Arial" w:hAnsi="Arial" w:cs="Arial"/>
          <w:bCs/>
          <w:sz w:val="24"/>
          <w:szCs w:val="24"/>
        </w:rPr>
        <w:t xml:space="preserve">The World Wide Web Foundation’s </w:t>
      </w:r>
      <w:hyperlink r:id="rId886" w:history="1">
        <w:r w:rsidRPr="00EB2A7C">
          <w:rPr>
            <w:rFonts w:ascii="Arial" w:hAnsi="Arial" w:cs="Arial"/>
            <w:bCs/>
            <w:color w:val="0563C1" w:themeColor="hyperlink"/>
            <w:sz w:val="24"/>
            <w:szCs w:val="24"/>
            <w:u w:val="single"/>
          </w:rPr>
          <w:t>Open Data Barometer: Leaders Edition: From Promise to Progress</w:t>
        </w:r>
      </w:hyperlink>
      <w:r w:rsidRPr="00EB2A7C">
        <w:rPr>
          <w:rFonts w:ascii="Arial" w:hAnsi="Arial" w:cs="Arial"/>
          <w:bCs/>
          <w:sz w:val="24"/>
          <w:szCs w:val="24"/>
        </w:rPr>
        <w:t xml:space="preserve"> (2018) contains evidence of the open data impact on governments, citizens and the economy. </w:t>
      </w:r>
      <w:r w:rsidRPr="00EB2A7C">
        <w:rPr>
          <w:rFonts w:ascii="Arial" w:hAnsi="Arial" w:cs="Arial"/>
          <w:bCs/>
          <w:sz w:val="24"/>
          <w:szCs w:val="24"/>
          <w:lang w:val="en-ZA"/>
        </w:rPr>
        <w:t xml:space="preserve">Among others it measures public financial management transparency, focusing on accessibility, such that, for example, if a data set is not easily found, it is considered unavailable. It includes </w:t>
      </w:r>
      <w:r w:rsidRPr="00EB2A7C">
        <w:rPr>
          <w:rFonts w:ascii="Arial" w:hAnsi="Arial" w:cs="Arial"/>
          <w:bCs/>
          <w:sz w:val="24"/>
          <w:szCs w:val="24"/>
        </w:rPr>
        <w:t>examples of how open data is:</w:t>
      </w:r>
    </w:p>
    <w:p w14:paraId="10FC300E" w14:textId="25BB2E72" w:rsidR="00282EFC" w:rsidRDefault="00967F4D"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06302" behindDoc="0" locked="0" layoutInCell="1" allowOverlap="1" wp14:anchorId="166E68BC" wp14:editId="3D647156">
                <wp:simplePos x="0" y="0"/>
                <wp:positionH relativeFrom="margin">
                  <wp:posOffset>127000</wp:posOffset>
                </wp:positionH>
                <wp:positionV relativeFrom="paragraph">
                  <wp:posOffset>201295</wp:posOffset>
                </wp:positionV>
                <wp:extent cx="6425308" cy="990600"/>
                <wp:effectExtent l="0" t="0" r="1270" b="0"/>
                <wp:wrapNone/>
                <wp:docPr id="2324" name="Rounded Rectangle 2324"/>
                <wp:cNvGraphicFramePr/>
                <a:graphic xmlns:a="http://schemas.openxmlformats.org/drawingml/2006/main">
                  <a:graphicData uri="http://schemas.microsoft.com/office/word/2010/wordprocessingShape">
                    <wps:wsp>
                      <wps:cNvSpPr/>
                      <wps:spPr>
                        <a:xfrm>
                          <a:off x="0" y="0"/>
                          <a:ext cx="6425308" cy="99060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92512C4" id="Rounded Rectangle 2324" o:spid="_x0000_s1026" style="position:absolute;margin-left:10pt;margin-top:15.85pt;width:505.95pt;height:78pt;z-index:254306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" fillcolor="#e2efd9 [665]" stroked="f" strokeweight="1pt">
                <v:stroke joinstyle="miter"/>
                <w10:wrap anchorx="margin"/>
              </v:roundrect>
            </w:pict>
          </mc:Fallback>
        </mc:AlternateContent>
      </w:r>
    </w:p>
    <w:p w14:paraId="64EACDD7" w14:textId="36AC3E4C" w:rsidR="00282EFC" w:rsidRDefault="00967F4D"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07326" behindDoc="0" locked="0" layoutInCell="1" allowOverlap="1" wp14:anchorId="4394D195" wp14:editId="24FB9F76">
                <wp:simplePos x="0" y="0"/>
                <wp:positionH relativeFrom="column">
                  <wp:posOffset>228600</wp:posOffset>
                </wp:positionH>
                <wp:positionV relativeFrom="paragraph">
                  <wp:posOffset>139065</wp:posOffset>
                </wp:positionV>
                <wp:extent cx="6235700" cy="914400"/>
                <wp:effectExtent l="0" t="0" r="0" b="0"/>
                <wp:wrapNone/>
                <wp:docPr id="2325" name="Text Box 2325"/>
                <wp:cNvGraphicFramePr/>
                <a:graphic xmlns:a="http://schemas.openxmlformats.org/drawingml/2006/main">
                  <a:graphicData uri="http://schemas.microsoft.com/office/word/2010/wordprocessingShape">
                    <wps:wsp>
                      <wps:cNvSpPr txBox="1"/>
                      <wps:spPr>
                        <a:xfrm>
                          <a:off x="0" y="0"/>
                          <a:ext cx="6235700" cy="914400"/>
                        </a:xfrm>
                        <a:prstGeom prst="rect">
                          <a:avLst/>
                        </a:prstGeom>
                        <a:noFill/>
                        <a:ln w="6350">
                          <a:noFill/>
                        </a:ln>
                      </wps:spPr>
                      <wps:txbx>
                        <w:txbxContent>
                          <w:p w14:paraId="2A23D150" w14:textId="5F44EF56" w:rsidR="00D15FD8" w:rsidRPr="005D15AA" w:rsidRDefault="00D15FD8" w:rsidP="005D15AA">
                            <w:pPr>
                              <w:spacing w:line="276" w:lineRule="auto"/>
                              <w:contextualSpacing/>
                              <w:jc w:val="both"/>
                              <w:rPr>
                                <w:rFonts w:ascii="Arial" w:hAnsi="Arial" w:cs="Arial"/>
                                <w:bCs/>
                                <w:sz w:val="24"/>
                                <w:szCs w:val="24"/>
                                <w:lang w:val="en-ZA"/>
                              </w:rPr>
                            </w:pPr>
                            <w:r w:rsidRPr="00661D15">
                              <w:rPr>
                                <w:rFonts w:ascii="Arial" w:hAnsi="Arial" w:cs="Arial"/>
                                <w:bCs/>
                                <w:sz w:val="24"/>
                                <w:szCs w:val="24"/>
                                <w:lang w:val="en-ZA"/>
                              </w:rPr>
                              <w:t>Improving how government resources are used</w:t>
                            </w:r>
                            <w:r w:rsidRPr="00661D15">
                              <w:rPr>
                                <w:rFonts w:ascii="Arial" w:hAnsi="Arial" w:cs="Arial"/>
                                <w:bCs/>
                                <w:i/>
                                <w:sz w:val="24"/>
                                <w:szCs w:val="24"/>
                                <w:lang w:val="en-ZA"/>
                              </w:rPr>
                              <w:t xml:space="preserve">. </w:t>
                            </w:r>
                            <w:r w:rsidRPr="00661D15">
                              <w:rPr>
                                <w:rFonts w:ascii="Arial" w:hAnsi="Arial" w:cs="Arial"/>
                                <w:bCs/>
                                <w:sz w:val="24"/>
                                <w:szCs w:val="24"/>
                                <w:lang w:val="en-ZA"/>
                              </w:rPr>
                              <w:t>For instance, in France, it has helped the government </w:t>
                            </w:r>
                            <w:hyperlink r:id="rId887" w:tgtFrame="_blank" w:history="1">
                              <w:r w:rsidRPr="00437B1C">
                                <w:rPr>
                                  <w:rFonts w:ascii="Arial" w:hAnsi="Arial" w:cs="Arial"/>
                                  <w:bCs/>
                                  <w:color w:val="0563C1" w:themeColor="hyperlink"/>
                                  <w:sz w:val="24"/>
                                  <w:szCs w:val="24"/>
                                  <w:u w:val="single"/>
                                </w:rPr>
                                <w:t>better use energy resources in public buildings</w:t>
                              </w:r>
                            </w:hyperlink>
                            <w:r>
                              <w:rPr>
                                <w:rFonts w:ascii="Arial" w:hAnsi="Arial" w:cs="Arial"/>
                                <w:bCs/>
                                <w:color w:val="0563C1" w:themeColor="hyperlink"/>
                                <w:sz w:val="24"/>
                                <w:szCs w:val="24"/>
                                <w:u w:val="single"/>
                              </w:rPr>
                              <w:t>.</w:t>
                            </w:r>
                            <w:r w:rsidRPr="00661D15">
                              <w:rPr>
                                <w:rFonts w:ascii="Arial" w:hAnsi="Arial" w:cs="Arial"/>
                                <w:bCs/>
                                <w:sz w:val="24"/>
                                <w:szCs w:val="24"/>
                                <w:lang w:val="en-ZA"/>
                              </w:rPr>
                              <w:t xml:space="preserve"> In Australia, government departments have </w:t>
                            </w:r>
                            <w:hyperlink r:id="rId888" w:tgtFrame="_blank" w:history="1">
                              <w:r w:rsidRPr="00437B1C">
                                <w:rPr>
                                  <w:rFonts w:ascii="Arial" w:hAnsi="Arial" w:cs="Arial"/>
                                  <w:bCs/>
                                  <w:color w:val="0563C1" w:themeColor="hyperlink"/>
                                  <w:sz w:val="24"/>
                                  <w:szCs w:val="24"/>
                                  <w:u w:val="single"/>
                                </w:rPr>
                                <w:t>improved collaboration</w:t>
                              </w:r>
                            </w:hyperlink>
                            <w:r w:rsidRPr="00661D15">
                              <w:rPr>
                                <w:rFonts w:ascii="Arial" w:hAnsi="Arial" w:cs="Arial"/>
                                <w:bCs/>
                                <w:sz w:val="24"/>
                                <w:szCs w:val="24"/>
                                <w:lang w:val="en-ZA"/>
                              </w:rPr>
                              <w:t> through a Multi-Agency Data Integration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4D195" id="Text Box 2325" o:spid="_x0000_s1549" type="#_x0000_t202" style="position:absolute;left:0;text-align:left;margin-left:18pt;margin-top:10.95pt;width:491pt;height:1in;z-index:254307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" filled="f" stroked="f" strokeweight=".5pt">
                <v:textbox>
                  <w:txbxContent>
                    <w:p w14:paraId="2A23D150" w14:textId="5F44EF56" w:rsidR="00D15FD8" w:rsidRPr="005D15AA" w:rsidRDefault="00D15FD8" w:rsidP="005D15AA">
                      <w:pPr>
                        <w:spacing w:line="276" w:lineRule="auto"/>
                        <w:contextualSpacing/>
                        <w:jc w:val="both"/>
                        <w:rPr>
                          <w:rFonts w:ascii="Arial" w:hAnsi="Arial" w:cs="Arial"/>
                          <w:bCs/>
                          <w:sz w:val="24"/>
                          <w:szCs w:val="24"/>
                          <w:lang w:val="en-ZA"/>
                        </w:rPr>
                      </w:pPr>
                      <w:r w:rsidRPr="00661D15">
                        <w:rPr>
                          <w:rFonts w:ascii="Arial" w:hAnsi="Arial" w:cs="Arial"/>
                          <w:bCs/>
                          <w:sz w:val="24"/>
                          <w:szCs w:val="24"/>
                          <w:lang w:val="en-ZA"/>
                        </w:rPr>
                        <w:t>Improving how government resources are used</w:t>
                      </w:r>
                      <w:r w:rsidRPr="00661D15">
                        <w:rPr>
                          <w:rFonts w:ascii="Arial" w:hAnsi="Arial" w:cs="Arial"/>
                          <w:bCs/>
                          <w:i/>
                          <w:sz w:val="24"/>
                          <w:szCs w:val="24"/>
                          <w:lang w:val="en-ZA"/>
                        </w:rPr>
                        <w:t xml:space="preserve">. </w:t>
                      </w:r>
                      <w:r w:rsidRPr="00661D15">
                        <w:rPr>
                          <w:rFonts w:ascii="Arial" w:hAnsi="Arial" w:cs="Arial"/>
                          <w:bCs/>
                          <w:sz w:val="24"/>
                          <w:szCs w:val="24"/>
                          <w:lang w:val="en-ZA"/>
                        </w:rPr>
                        <w:t>For instance, in France, it has helped the government </w:t>
                      </w:r>
                      <w:hyperlink r:id="rId889" w:tgtFrame="_blank" w:history="1">
                        <w:r w:rsidRPr="00437B1C">
                          <w:rPr>
                            <w:rFonts w:ascii="Arial" w:hAnsi="Arial" w:cs="Arial"/>
                            <w:bCs/>
                            <w:color w:val="0563C1" w:themeColor="hyperlink"/>
                            <w:sz w:val="24"/>
                            <w:szCs w:val="24"/>
                            <w:u w:val="single"/>
                          </w:rPr>
                          <w:t>better use energy resources in public buildings</w:t>
                        </w:r>
                      </w:hyperlink>
                      <w:r>
                        <w:rPr>
                          <w:rFonts w:ascii="Arial" w:hAnsi="Arial" w:cs="Arial"/>
                          <w:bCs/>
                          <w:color w:val="0563C1" w:themeColor="hyperlink"/>
                          <w:sz w:val="24"/>
                          <w:szCs w:val="24"/>
                          <w:u w:val="single"/>
                        </w:rPr>
                        <w:t>.</w:t>
                      </w:r>
                      <w:r w:rsidRPr="00661D15">
                        <w:rPr>
                          <w:rFonts w:ascii="Arial" w:hAnsi="Arial" w:cs="Arial"/>
                          <w:bCs/>
                          <w:sz w:val="24"/>
                          <w:szCs w:val="24"/>
                          <w:lang w:val="en-ZA"/>
                        </w:rPr>
                        <w:t xml:space="preserve"> In Australia, government departments have </w:t>
                      </w:r>
                      <w:hyperlink r:id="rId890" w:tgtFrame="_blank" w:history="1">
                        <w:r w:rsidRPr="00437B1C">
                          <w:rPr>
                            <w:rFonts w:ascii="Arial" w:hAnsi="Arial" w:cs="Arial"/>
                            <w:bCs/>
                            <w:color w:val="0563C1" w:themeColor="hyperlink"/>
                            <w:sz w:val="24"/>
                            <w:szCs w:val="24"/>
                            <w:u w:val="single"/>
                          </w:rPr>
                          <w:t>improved collaboration</w:t>
                        </w:r>
                      </w:hyperlink>
                      <w:r w:rsidRPr="00661D15">
                        <w:rPr>
                          <w:rFonts w:ascii="Arial" w:hAnsi="Arial" w:cs="Arial"/>
                          <w:bCs/>
                          <w:sz w:val="24"/>
                          <w:szCs w:val="24"/>
                          <w:lang w:val="en-ZA"/>
                        </w:rPr>
                        <w:t> through a Multi-Agency Data Integration Project.</w:t>
                      </w:r>
                    </w:p>
                  </w:txbxContent>
                </v:textbox>
              </v:shape>
            </w:pict>
          </mc:Fallback>
        </mc:AlternateContent>
      </w:r>
    </w:p>
    <w:p w14:paraId="3349EE98" w14:textId="0CB98048" w:rsidR="00282EFC" w:rsidRDefault="009A14D9"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08350" behindDoc="0" locked="0" layoutInCell="1" allowOverlap="1" wp14:anchorId="0C08F690" wp14:editId="601EE47F">
                <wp:simplePos x="0" y="0"/>
                <wp:positionH relativeFrom="column">
                  <wp:posOffset>-101600</wp:posOffset>
                </wp:positionH>
                <wp:positionV relativeFrom="paragraph">
                  <wp:posOffset>217170</wp:posOffset>
                </wp:positionV>
                <wp:extent cx="144000" cy="144000"/>
                <wp:effectExtent l="0" t="0" r="0" b="0"/>
                <wp:wrapNone/>
                <wp:docPr id="2326" name="Oval 232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26D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51343986" id="Oval 2326" o:spid="_x0000_s1026" style="position:absolute;margin-left:-8pt;margin-top:17.1pt;width:11.35pt;height:11.35pt;z-index:25430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" fillcolor="#f26d24" stroked="f" strokeweight="1pt">
                <v:stroke joinstyle="miter"/>
              </v:oval>
            </w:pict>
          </mc:Fallback>
        </mc:AlternateContent>
      </w:r>
    </w:p>
    <w:p w14:paraId="4B759400" w14:textId="3E70E978" w:rsidR="00282EFC" w:rsidRDefault="00282EFC" w:rsidP="00282EFC">
      <w:pPr>
        <w:spacing w:line="276" w:lineRule="auto"/>
        <w:contextualSpacing/>
        <w:jc w:val="both"/>
        <w:rPr>
          <w:rFonts w:ascii="Arial" w:hAnsi="Arial" w:cs="Arial"/>
          <w:bCs/>
          <w:sz w:val="24"/>
          <w:szCs w:val="24"/>
        </w:rPr>
      </w:pPr>
    </w:p>
    <w:p w14:paraId="4FA33E49" w14:textId="5E215172" w:rsidR="00282EFC" w:rsidRDefault="00282EFC" w:rsidP="00282EFC">
      <w:pPr>
        <w:spacing w:line="276" w:lineRule="auto"/>
        <w:contextualSpacing/>
        <w:jc w:val="both"/>
        <w:rPr>
          <w:rFonts w:ascii="Arial" w:hAnsi="Arial" w:cs="Arial"/>
          <w:bCs/>
          <w:sz w:val="24"/>
          <w:szCs w:val="24"/>
        </w:rPr>
      </w:pPr>
    </w:p>
    <w:p w14:paraId="4BD746A0" w14:textId="1BEBD6BF" w:rsidR="00282EFC" w:rsidRDefault="00282EFC" w:rsidP="00282EFC">
      <w:pPr>
        <w:spacing w:line="276" w:lineRule="auto"/>
        <w:contextualSpacing/>
        <w:jc w:val="both"/>
        <w:rPr>
          <w:rFonts w:ascii="Arial" w:hAnsi="Arial" w:cs="Arial"/>
          <w:bCs/>
          <w:sz w:val="24"/>
          <w:szCs w:val="24"/>
        </w:rPr>
      </w:pPr>
    </w:p>
    <w:p w14:paraId="21D80694" w14:textId="07A7BDFD" w:rsidR="00282EFC" w:rsidRDefault="007068FC"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10398" behindDoc="0" locked="0" layoutInCell="1" allowOverlap="1" wp14:anchorId="0D5FD128" wp14:editId="3E72BCFA">
                <wp:simplePos x="0" y="0"/>
                <wp:positionH relativeFrom="margin">
                  <wp:posOffset>127000</wp:posOffset>
                </wp:positionH>
                <wp:positionV relativeFrom="paragraph">
                  <wp:posOffset>172720</wp:posOffset>
                </wp:positionV>
                <wp:extent cx="6425308" cy="1054100"/>
                <wp:effectExtent l="0" t="0" r="1270" b="0"/>
                <wp:wrapNone/>
                <wp:docPr id="2327" name="Rounded Rectangle 2327"/>
                <wp:cNvGraphicFramePr/>
                <a:graphic xmlns:a="http://schemas.openxmlformats.org/drawingml/2006/main">
                  <a:graphicData uri="http://schemas.microsoft.com/office/word/2010/wordprocessingShape">
                    <wps:wsp>
                      <wps:cNvSpPr/>
                      <wps:spPr>
                        <a:xfrm>
                          <a:off x="0" y="0"/>
                          <a:ext cx="6425308" cy="105410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4A2E5FF" id="Rounded Rectangle 2327" o:spid="_x0000_s1026" style="position:absolute;margin-left:10pt;margin-top:13.6pt;width:505.95pt;height:83pt;z-index:2543103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" fillcolor="#e2efd9 [665]" stroked="f" strokeweight="1pt">
                <v:stroke joinstyle="miter"/>
                <w10:wrap anchorx="margin"/>
              </v:roundrect>
            </w:pict>
          </mc:Fallback>
        </mc:AlternateContent>
      </w:r>
    </w:p>
    <w:p w14:paraId="7AB8EB0E" w14:textId="1F7E6C3B" w:rsidR="00282EFC" w:rsidRDefault="007068FC"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11422" behindDoc="0" locked="0" layoutInCell="1" allowOverlap="1" wp14:anchorId="661C06C1" wp14:editId="52C88D13">
                <wp:simplePos x="0" y="0"/>
                <wp:positionH relativeFrom="column">
                  <wp:posOffset>228600</wp:posOffset>
                </wp:positionH>
                <wp:positionV relativeFrom="paragraph">
                  <wp:posOffset>47625</wp:posOffset>
                </wp:positionV>
                <wp:extent cx="6235700" cy="1079500"/>
                <wp:effectExtent l="0" t="0" r="0" b="0"/>
                <wp:wrapNone/>
                <wp:docPr id="2328" name="Text Box 2328"/>
                <wp:cNvGraphicFramePr/>
                <a:graphic xmlns:a="http://schemas.openxmlformats.org/drawingml/2006/main">
                  <a:graphicData uri="http://schemas.microsoft.com/office/word/2010/wordprocessingShape">
                    <wps:wsp>
                      <wps:cNvSpPr txBox="1"/>
                      <wps:spPr>
                        <a:xfrm>
                          <a:off x="0" y="0"/>
                          <a:ext cx="6235700" cy="1079500"/>
                        </a:xfrm>
                        <a:prstGeom prst="rect">
                          <a:avLst/>
                        </a:prstGeom>
                        <a:noFill/>
                        <a:ln w="6350">
                          <a:noFill/>
                        </a:ln>
                      </wps:spPr>
                      <wps:txbx>
                        <w:txbxContent>
                          <w:p w14:paraId="516E0362" w14:textId="77777777" w:rsidR="00D15FD8" w:rsidRPr="003625BA" w:rsidRDefault="00D15FD8" w:rsidP="003625BA">
                            <w:pPr>
                              <w:spacing w:line="276" w:lineRule="auto"/>
                              <w:contextualSpacing/>
                              <w:jc w:val="both"/>
                              <w:rPr>
                                <w:rFonts w:ascii="Arial" w:hAnsi="Arial" w:cs="Arial"/>
                                <w:b/>
                                <w:bCs/>
                                <w:color w:val="000000" w:themeColor="text1"/>
                                <w:sz w:val="24"/>
                                <w:szCs w:val="24"/>
                                <w:lang w:val="en-ZA"/>
                              </w:rPr>
                            </w:pPr>
                            <w:r w:rsidRPr="003625BA">
                              <w:rPr>
                                <w:rFonts w:ascii="Arial" w:hAnsi="Arial" w:cs="Arial"/>
                                <w:bCs/>
                                <w:color w:val="000000" w:themeColor="text1"/>
                                <w:sz w:val="24"/>
                                <w:szCs w:val="24"/>
                                <w:lang w:val="en-ZA"/>
                              </w:rPr>
                              <w:t xml:space="preserve">Driving more transparency, accountability and participation. For instance, </w:t>
                            </w:r>
                            <w:hyperlink r:id="rId891" w:tgtFrame="_blank" w:history="1">
                              <w:r w:rsidRPr="00437B1C">
                                <w:rPr>
                                  <w:rFonts w:ascii="Arial" w:hAnsi="Arial" w:cs="Arial"/>
                                  <w:bCs/>
                                  <w:color w:val="0563C1" w:themeColor="hyperlink"/>
                                  <w:sz w:val="24"/>
                                  <w:szCs w:val="24"/>
                                  <w:u w:val="single"/>
                                </w:rPr>
                                <w:t>citizen participatory budgeting</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in South Korea has allowed the public to scrutinise government spending, and citizens in Japan are now able to monitor government IT investments. In Germany, people can </w:t>
                            </w:r>
                            <w:hyperlink r:id="rId892" w:tgtFrame="_blank" w:history="1">
                              <w:r w:rsidRPr="00437B1C">
                                <w:rPr>
                                  <w:rFonts w:ascii="Arial" w:hAnsi="Arial" w:cs="Arial"/>
                                  <w:bCs/>
                                  <w:color w:val="0563C1" w:themeColor="hyperlink"/>
                                  <w:sz w:val="24"/>
                                  <w:szCs w:val="24"/>
                                  <w:u w:val="single"/>
                                </w:rPr>
                                <w:t>participate in public urban planning and decision making</w:t>
                              </w:r>
                            </w:hyperlink>
                            <w:r w:rsidRPr="00437B1C">
                              <w:rPr>
                                <w:rFonts w:ascii="Arial" w:hAnsi="Arial" w:cs="Arial"/>
                                <w:bCs/>
                                <w:color w:val="0563C1" w:themeColor="hyperlink"/>
                                <w:sz w:val="24"/>
                                <w:szCs w:val="24"/>
                                <w:u w:val="single"/>
                              </w:rPr>
                              <w:t>.</w:t>
                            </w:r>
                          </w:p>
                          <w:p w14:paraId="285D354B" w14:textId="77777777" w:rsidR="00D15FD8" w:rsidRPr="003625BA" w:rsidRDefault="00D15FD8" w:rsidP="003625BA">
                            <w:pPr>
                              <w:spacing w:line="276" w:lineRule="auto"/>
                              <w:rPr>
                                <w:b/>
                                <w:bCs/>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C06C1" id="Text Box 2328" o:spid="_x0000_s1550" type="#_x0000_t202" style="position:absolute;left:0;text-align:left;margin-left:18pt;margin-top:3.75pt;width:491pt;height:85pt;z-index:254311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" filled="f" stroked="f" strokeweight=".5pt">
                <v:textbox>
                  <w:txbxContent>
                    <w:p w14:paraId="516E0362" w14:textId="77777777" w:rsidR="00D15FD8" w:rsidRPr="003625BA" w:rsidRDefault="00D15FD8" w:rsidP="003625BA">
                      <w:pPr>
                        <w:spacing w:line="276" w:lineRule="auto"/>
                        <w:contextualSpacing/>
                        <w:jc w:val="both"/>
                        <w:rPr>
                          <w:rFonts w:ascii="Arial" w:hAnsi="Arial" w:cs="Arial"/>
                          <w:b/>
                          <w:bCs/>
                          <w:color w:val="000000" w:themeColor="text1"/>
                          <w:sz w:val="24"/>
                          <w:szCs w:val="24"/>
                          <w:lang w:val="en-ZA"/>
                        </w:rPr>
                      </w:pPr>
                      <w:r w:rsidRPr="003625BA">
                        <w:rPr>
                          <w:rFonts w:ascii="Arial" w:hAnsi="Arial" w:cs="Arial"/>
                          <w:bCs/>
                          <w:color w:val="000000" w:themeColor="text1"/>
                          <w:sz w:val="24"/>
                          <w:szCs w:val="24"/>
                          <w:lang w:val="en-ZA"/>
                        </w:rPr>
                        <w:t xml:space="preserve">Driving more transparency, accountability and participation. For instance, </w:t>
                      </w:r>
                      <w:hyperlink r:id="rId893" w:tgtFrame="_blank" w:history="1">
                        <w:r w:rsidRPr="00437B1C">
                          <w:rPr>
                            <w:rFonts w:ascii="Arial" w:hAnsi="Arial" w:cs="Arial"/>
                            <w:bCs/>
                            <w:color w:val="0563C1" w:themeColor="hyperlink"/>
                            <w:sz w:val="24"/>
                            <w:szCs w:val="24"/>
                            <w:u w:val="single"/>
                          </w:rPr>
                          <w:t>citizen participatory budgeting</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in South Korea has allowed the public to scrutinise government spending, and citizens in Japan are now able to monitor government IT investments. In Germany, people can </w:t>
                      </w:r>
                      <w:hyperlink r:id="rId894" w:tgtFrame="_blank" w:history="1">
                        <w:r w:rsidRPr="00437B1C">
                          <w:rPr>
                            <w:rFonts w:ascii="Arial" w:hAnsi="Arial" w:cs="Arial"/>
                            <w:bCs/>
                            <w:color w:val="0563C1" w:themeColor="hyperlink"/>
                            <w:sz w:val="24"/>
                            <w:szCs w:val="24"/>
                            <w:u w:val="single"/>
                          </w:rPr>
                          <w:t>participate in public urban planning and decision making</w:t>
                        </w:r>
                      </w:hyperlink>
                      <w:r w:rsidRPr="00437B1C">
                        <w:rPr>
                          <w:rFonts w:ascii="Arial" w:hAnsi="Arial" w:cs="Arial"/>
                          <w:bCs/>
                          <w:color w:val="0563C1" w:themeColor="hyperlink"/>
                          <w:sz w:val="24"/>
                          <w:szCs w:val="24"/>
                          <w:u w:val="single"/>
                        </w:rPr>
                        <w:t>.</w:t>
                      </w:r>
                    </w:p>
                    <w:p w14:paraId="285D354B" w14:textId="77777777" w:rsidR="00D15FD8" w:rsidRPr="003625BA" w:rsidRDefault="00D15FD8" w:rsidP="003625BA">
                      <w:pPr>
                        <w:spacing w:line="276" w:lineRule="auto"/>
                        <w:rPr>
                          <w:b/>
                          <w:bCs/>
                          <w:color w:val="000000" w:themeColor="text1"/>
                        </w:rPr>
                      </w:pPr>
                    </w:p>
                  </w:txbxContent>
                </v:textbox>
              </v:shape>
            </w:pict>
          </mc:Fallback>
        </mc:AlternateContent>
      </w:r>
    </w:p>
    <w:p w14:paraId="5FE3041E" w14:textId="33B9DE2B" w:rsidR="00282EFC" w:rsidRDefault="00282EFC" w:rsidP="00282EFC">
      <w:pPr>
        <w:spacing w:line="276" w:lineRule="auto"/>
        <w:contextualSpacing/>
        <w:jc w:val="both"/>
        <w:rPr>
          <w:rFonts w:ascii="Arial" w:hAnsi="Arial" w:cs="Arial"/>
          <w:bCs/>
          <w:sz w:val="24"/>
          <w:szCs w:val="24"/>
        </w:rPr>
      </w:pPr>
    </w:p>
    <w:p w14:paraId="65C33D48" w14:textId="611FA6B4" w:rsidR="00282EFC" w:rsidRDefault="009A14D9"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12446" behindDoc="0" locked="0" layoutInCell="1" allowOverlap="1" wp14:anchorId="07FB706A" wp14:editId="2BC261BC">
                <wp:simplePos x="0" y="0"/>
                <wp:positionH relativeFrom="column">
                  <wp:posOffset>-101600</wp:posOffset>
                </wp:positionH>
                <wp:positionV relativeFrom="paragraph">
                  <wp:posOffset>53975</wp:posOffset>
                </wp:positionV>
                <wp:extent cx="144000" cy="144000"/>
                <wp:effectExtent l="0" t="0" r="0" b="0"/>
                <wp:wrapNone/>
                <wp:docPr id="2329" name="Oval 232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26D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3B6F8DA4" id="Oval 2329" o:spid="_x0000_s1026" style="position:absolute;margin-left:-8pt;margin-top:4.25pt;width:11.35pt;height:11.35pt;z-index:254312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" fillcolor="#f26d24" stroked="f" strokeweight="1pt">
                <v:stroke joinstyle="miter"/>
              </v:oval>
            </w:pict>
          </mc:Fallback>
        </mc:AlternateContent>
      </w:r>
    </w:p>
    <w:p w14:paraId="71020C39" w14:textId="2B75E238" w:rsidR="00967F4D" w:rsidRDefault="00967F4D" w:rsidP="00282EFC">
      <w:pPr>
        <w:spacing w:line="276" w:lineRule="auto"/>
        <w:contextualSpacing/>
        <w:jc w:val="both"/>
        <w:rPr>
          <w:rFonts w:ascii="Arial" w:hAnsi="Arial" w:cs="Arial"/>
          <w:bCs/>
          <w:sz w:val="24"/>
          <w:szCs w:val="24"/>
        </w:rPr>
      </w:pPr>
    </w:p>
    <w:p w14:paraId="5558316E" w14:textId="65565B6E" w:rsidR="00967F4D" w:rsidRDefault="00967F4D" w:rsidP="00282EFC">
      <w:pPr>
        <w:spacing w:line="276" w:lineRule="auto"/>
        <w:contextualSpacing/>
        <w:jc w:val="both"/>
        <w:rPr>
          <w:rFonts w:ascii="Arial" w:hAnsi="Arial" w:cs="Arial"/>
          <w:bCs/>
          <w:sz w:val="24"/>
          <w:szCs w:val="24"/>
        </w:rPr>
      </w:pPr>
    </w:p>
    <w:p w14:paraId="7C476ADE" w14:textId="28947ECE" w:rsidR="00967F4D" w:rsidRDefault="00967F4D" w:rsidP="00282EFC">
      <w:pPr>
        <w:spacing w:line="276" w:lineRule="auto"/>
        <w:contextualSpacing/>
        <w:jc w:val="both"/>
        <w:rPr>
          <w:rFonts w:ascii="Arial" w:hAnsi="Arial" w:cs="Arial"/>
          <w:bCs/>
          <w:sz w:val="24"/>
          <w:szCs w:val="24"/>
        </w:rPr>
      </w:pPr>
    </w:p>
    <w:p w14:paraId="39F5C723" w14:textId="63D15F94" w:rsidR="00967F4D" w:rsidRDefault="009A14D9"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14494" behindDoc="0" locked="0" layoutInCell="1" allowOverlap="1" wp14:anchorId="50CCD828" wp14:editId="3C518156">
                <wp:simplePos x="0" y="0"/>
                <wp:positionH relativeFrom="margin">
                  <wp:posOffset>127000</wp:posOffset>
                </wp:positionH>
                <wp:positionV relativeFrom="paragraph">
                  <wp:posOffset>6985</wp:posOffset>
                </wp:positionV>
                <wp:extent cx="6424930" cy="1473200"/>
                <wp:effectExtent l="0" t="0" r="1270" b="0"/>
                <wp:wrapNone/>
                <wp:docPr id="2330" name="Rounded Rectangle 2330"/>
                <wp:cNvGraphicFramePr/>
                <a:graphic xmlns:a="http://schemas.openxmlformats.org/drawingml/2006/main">
                  <a:graphicData uri="http://schemas.microsoft.com/office/word/2010/wordprocessingShape">
                    <wps:wsp>
                      <wps:cNvSpPr/>
                      <wps:spPr>
                        <a:xfrm>
                          <a:off x="0" y="0"/>
                          <a:ext cx="6424930" cy="1473200"/>
                        </a:xfrm>
                        <a:prstGeom prst="roundRect">
                          <a:avLst>
                            <a:gd name="adj" fmla="val 10373"/>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206A3EB" id="Rounded Rectangle 2330" o:spid="_x0000_s1026" style="position:absolute;margin-left:10pt;margin-top:.55pt;width:505.9pt;height:116pt;z-index:2543144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7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" fillcolor="#e2efd9 [665]" stroked="f" strokeweight="1pt">
                <v:stroke joinstyle="miter"/>
                <w10:wrap anchorx="margin"/>
              </v:roundrect>
            </w:pict>
          </mc:Fallback>
        </mc:AlternateContent>
      </w:r>
      <w:r>
        <w:rPr>
          <w:rFonts w:ascii="Arial" w:hAnsi="Arial" w:cs="Arial"/>
          <w:b/>
          <w:bCs/>
          <w:noProof/>
          <w:color w:val="82C9A0"/>
          <w:sz w:val="32"/>
          <w:szCs w:val="32"/>
          <w:lang w:val="en-US"/>
        </w:rPr>
        <mc:AlternateContent>
          <mc:Choice Requires="wps">
            <w:drawing>
              <wp:anchor distT="0" distB="0" distL="114300" distR="114300" simplePos="0" relativeHeight="254315518" behindDoc="0" locked="0" layoutInCell="1" allowOverlap="1" wp14:anchorId="120EE11D" wp14:editId="24B484A5">
                <wp:simplePos x="0" y="0"/>
                <wp:positionH relativeFrom="column">
                  <wp:posOffset>228600</wp:posOffset>
                </wp:positionH>
                <wp:positionV relativeFrom="paragraph">
                  <wp:posOffset>95885</wp:posOffset>
                </wp:positionV>
                <wp:extent cx="6235700" cy="1333500"/>
                <wp:effectExtent l="0" t="0" r="0" b="0"/>
                <wp:wrapNone/>
                <wp:docPr id="2331" name="Text Box 2331"/>
                <wp:cNvGraphicFramePr/>
                <a:graphic xmlns:a="http://schemas.openxmlformats.org/drawingml/2006/main">
                  <a:graphicData uri="http://schemas.microsoft.com/office/word/2010/wordprocessingShape">
                    <wps:wsp>
                      <wps:cNvSpPr txBox="1"/>
                      <wps:spPr>
                        <a:xfrm>
                          <a:off x="0" y="0"/>
                          <a:ext cx="6235700" cy="1333500"/>
                        </a:xfrm>
                        <a:prstGeom prst="rect">
                          <a:avLst/>
                        </a:prstGeom>
                        <a:noFill/>
                        <a:ln w="6350">
                          <a:noFill/>
                        </a:ln>
                      </wps:spPr>
                      <wps:txbx>
                        <w:txbxContent>
                          <w:p w14:paraId="1FFFB658" w14:textId="5E09289F" w:rsidR="00D15FD8" w:rsidRPr="003625BA" w:rsidRDefault="00D15FD8" w:rsidP="003625BA">
                            <w:pPr>
                              <w:spacing w:line="276" w:lineRule="auto"/>
                              <w:jc w:val="both"/>
                              <w:rPr>
                                <w:b/>
                                <w:bCs/>
                                <w:color w:val="000000" w:themeColor="text1"/>
                              </w:rPr>
                            </w:pPr>
                            <w:r w:rsidRPr="003625BA">
                              <w:rPr>
                                <w:rFonts w:ascii="Arial" w:hAnsi="Arial" w:cs="Arial"/>
                                <w:bCs/>
                                <w:color w:val="000000" w:themeColor="text1"/>
                                <w:sz w:val="24"/>
                                <w:szCs w:val="24"/>
                                <w:lang w:val="en-ZA"/>
                              </w:rPr>
                              <w:t>Driving social impact by making the policy process more inclusive. New digital data tools have helped to </w:t>
                            </w:r>
                            <w:hyperlink r:id="rId895" w:tgtFrame="_blank" w:history="1">
                              <w:r w:rsidRPr="00437B1C">
                                <w:rPr>
                                  <w:rFonts w:ascii="Arial" w:hAnsi="Arial" w:cs="Arial"/>
                                  <w:bCs/>
                                  <w:color w:val="0563C1" w:themeColor="hyperlink"/>
                                  <w:sz w:val="24"/>
                                  <w:szCs w:val="24"/>
                                  <w:u w:val="single"/>
                                </w:rPr>
                                <w:t>promote financial inclusion in Mexico’s biggest social program</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and are </w:t>
                            </w:r>
                            <w:hyperlink r:id="rId896" w:tgtFrame="_blank" w:history="1">
                              <w:r w:rsidRPr="00437B1C">
                                <w:rPr>
                                  <w:rFonts w:ascii="Arial" w:hAnsi="Arial" w:cs="Arial"/>
                                  <w:bCs/>
                                  <w:color w:val="0563C1" w:themeColor="hyperlink"/>
                                  <w:sz w:val="24"/>
                                  <w:szCs w:val="24"/>
                                  <w:u w:val="single"/>
                                </w:rPr>
                                <w:t>helping communities in South Africa have a voice</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in government. Open data is also being used to </w:t>
                            </w:r>
                            <w:hyperlink r:id="rId897" w:tgtFrame="_blank" w:history="1">
                              <w:r w:rsidRPr="00437B1C">
                                <w:rPr>
                                  <w:rFonts w:ascii="Arial" w:hAnsi="Arial" w:cs="Arial"/>
                                  <w:bCs/>
                                  <w:color w:val="0563C1" w:themeColor="hyperlink"/>
                                  <w:sz w:val="24"/>
                                  <w:szCs w:val="24"/>
                                  <w:u w:val="single"/>
                                </w:rPr>
                                <w:t>tackle pollution</w:t>
                              </w:r>
                            </w:hyperlink>
                            <w:r w:rsidRPr="003625BA">
                              <w:rPr>
                                <w:rFonts w:ascii="Arial" w:hAnsi="Arial" w:cs="Arial"/>
                                <w:bCs/>
                                <w:color w:val="000000" w:themeColor="text1"/>
                                <w:sz w:val="24"/>
                                <w:szCs w:val="24"/>
                                <w:lang w:val="en-ZA"/>
                              </w:rPr>
                              <w:t> in China, address the </w:t>
                            </w:r>
                            <w:hyperlink r:id="rId898" w:tgtFrame="_blank" w:history="1">
                              <w:r w:rsidRPr="00437B1C">
                                <w:rPr>
                                  <w:rFonts w:ascii="Arial" w:hAnsi="Arial" w:cs="Arial"/>
                                  <w:bCs/>
                                  <w:color w:val="0563C1" w:themeColor="hyperlink"/>
                                  <w:sz w:val="24"/>
                                  <w:szCs w:val="24"/>
                                  <w:u w:val="single"/>
                                </w:rPr>
                                <w:t>effects of climate change</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in Canada, manage </w:t>
                            </w:r>
                            <w:hyperlink r:id="rId899" w:tgtFrame="_blank" w:history="1">
                              <w:r w:rsidRPr="00437B1C">
                                <w:rPr>
                                  <w:rFonts w:ascii="Arial" w:hAnsi="Arial" w:cs="Arial"/>
                                  <w:bCs/>
                                  <w:color w:val="0563C1" w:themeColor="hyperlink"/>
                                  <w:sz w:val="24"/>
                                  <w:szCs w:val="24"/>
                                  <w:u w:val="single"/>
                                </w:rPr>
                                <w:t>natural disaster risks</w:t>
                              </w:r>
                            </w:hyperlink>
                            <w:r w:rsidRPr="003625BA">
                              <w:rPr>
                                <w:rFonts w:ascii="Arial" w:hAnsi="Arial" w:cs="Arial"/>
                                <w:bCs/>
                                <w:color w:val="000000" w:themeColor="text1"/>
                                <w:sz w:val="24"/>
                                <w:szCs w:val="24"/>
                                <w:lang w:val="en-ZA"/>
                              </w:rPr>
                              <w:t> and natural resource planning in the Philippines, and </w:t>
                            </w:r>
                            <w:hyperlink r:id="rId900" w:tgtFrame="_blank" w:history="1">
                              <w:r w:rsidRPr="00437B1C">
                                <w:rPr>
                                  <w:rFonts w:ascii="Arial" w:hAnsi="Arial" w:cs="Arial"/>
                                  <w:bCs/>
                                  <w:color w:val="0563C1" w:themeColor="hyperlink"/>
                                  <w:sz w:val="24"/>
                                  <w:szCs w:val="24"/>
                                  <w:u w:val="single"/>
                                </w:rPr>
                                <w:t>improve the management of natural resources</w:t>
                              </w:r>
                            </w:hyperlink>
                            <w:r w:rsidRPr="003625BA">
                              <w:rPr>
                                <w:rFonts w:ascii="Arial" w:hAnsi="Arial" w:cs="Arial"/>
                                <w:b/>
                                <w:bCs/>
                                <w:color w:val="000000" w:themeColor="text1"/>
                                <w:sz w:val="24"/>
                                <w:szCs w:val="24"/>
                                <w:lang w:val="en-ZA"/>
                              </w:rPr>
                              <w:t> </w:t>
                            </w:r>
                            <w:r w:rsidRPr="003625BA">
                              <w:rPr>
                                <w:rFonts w:ascii="Arial" w:hAnsi="Arial" w:cs="Arial"/>
                                <w:color w:val="000000" w:themeColor="text1"/>
                                <w:sz w:val="24"/>
                                <w:szCs w:val="24"/>
                                <w:lang w:val="en-ZA"/>
                              </w:rPr>
                              <w:t>i</w:t>
                            </w:r>
                            <w:r w:rsidRPr="003625BA">
                              <w:rPr>
                                <w:rFonts w:ascii="Arial" w:hAnsi="Arial" w:cs="Arial"/>
                                <w:bCs/>
                                <w:color w:val="000000" w:themeColor="text1"/>
                                <w:sz w:val="24"/>
                                <w:szCs w:val="24"/>
                                <w:lang w:val="en-ZA"/>
                              </w:rPr>
                              <w:t>n New Zealand.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EE11D" id="Text Box 2331" o:spid="_x0000_s1551" type="#_x0000_t202" style="position:absolute;left:0;text-align:left;margin-left:18pt;margin-top:7.55pt;width:491pt;height:105pt;z-index:254315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" filled="f" stroked="f" strokeweight=".5pt">
                <v:textbox>
                  <w:txbxContent>
                    <w:p w14:paraId="1FFFB658" w14:textId="5E09289F" w:rsidR="00D15FD8" w:rsidRPr="003625BA" w:rsidRDefault="00D15FD8" w:rsidP="003625BA">
                      <w:pPr>
                        <w:spacing w:line="276" w:lineRule="auto"/>
                        <w:jc w:val="both"/>
                        <w:rPr>
                          <w:b/>
                          <w:bCs/>
                          <w:color w:val="000000" w:themeColor="text1"/>
                        </w:rPr>
                      </w:pPr>
                      <w:r w:rsidRPr="003625BA">
                        <w:rPr>
                          <w:rFonts w:ascii="Arial" w:hAnsi="Arial" w:cs="Arial"/>
                          <w:bCs/>
                          <w:color w:val="000000" w:themeColor="text1"/>
                          <w:sz w:val="24"/>
                          <w:szCs w:val="24"/>
                          <w:lang w:val="en-ZA"/>
                        </w:rPr>
                        <w:t>Driving social impact by making the policy process more inclusive. New digital data tools have helped to </w:t>
                      </w:r>
                      <w:hyperlink r:id="rId901" w:tgtFrame="_blank" w:history="1">
                        <w:r w:rsidRPr="00437B1C">
                          <w:rPr>
                            <w:rFonts w:ascii="Arial" w:hAnsi="Arial" w:cs="Arial"/>
                            <w:bCs/>
                            <w:color w:val="0563C1" w:themeColor="hyperlink"/>
                            <w:sz w:val="24"/>
                            <w:szCs w:val="24"/>
                            <w:u w:val="single"/>
                          </w:rPr>
                          <w:t>promote financial inclusion in Mexico’s biggest social program</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and are </w:t>
                      </w:r>
                      <w:hyperlink r:id="rId902" w:tgtFrame="_blank" w:history="1">
                        <w:r w:rsidRPr="00437B1C">
                          <w:rPr>
                            <w:rFonts w:ascii="Arial" w:hAnsi="Arial" w:cs="Arial"/>
                            <w:bCs/>
                            <w:color w:val="0563C1" w:themeColor="hyperlink"/>
                            <w:sz w:val="24"/>
                            <w:szCs w:val="24"/>
                            <w:u w:val="single"/>
                          </w:rPr>
                          <w:t>helping communities in South Africa have a voice</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in government. Open data is also being used to </w:t>
                      </w:r>
                      <w:hyperlink r:id="rId903" w:tgtFrame="_blank" w:history="1">
                        <w:r w:rsidRPr="00437B1C">
                          <w:rPr>
                            <w:rFonts w:ascii="Arial" w:hAnsi="Arial" w:cs="Arial"/>
                            <w:bCs/>
                            <w:color w:val="0563C1" w:themeColor="hyperlink"/>
                            <w:sz w:val="24"/>
                            <w:szCs w:val="24"/>
                            <w:u w:val="single"/>
                          </w:rPr>
                          <w:t>tackle pollution</w:t>
                        </w:r>
                      </w:hyperlink>
                      <w:r w:rsidRPr="003625BA">
                        <w:rPr>
                          <w:rFonts w:ascii="Arial" w:hAnsi="Arial" w:cs="Arial"/>
                          <w:bCs/>
                          <w:color w:val="000000" w:themeColor="text1"/>
                          <w:sz w:val="24"/>
                          <w:szCs w:val="24"/>
                          <w:lang w:val="en-ZA"/>
                        </w:rPr>
                        <w:t> in China, address the </w:t>
                      </w:r>
                      <w:hyperlink r:id="rId904" w:tgtFrame="_blank" w:history="1">
                        <w:r w:rsidRPr="00437B1C">
                          <w:rPr>
                            <w:rFonts w:ascii="Arial" w:hAnsi="Arial" w:cs="Arial"/>
                            <w:bCs/>
                            <w:color w:val="0563C1" w:themeColor="hyperlink"/>
                            <w:sz w:val="24"/>
                            <w:szCs w:val="24"/>
                            <w:u w:val="single"/>
                          </w:rPr>
                          <w:t>effects of climate change</w:t>
                        </w:r>
                      </w:hyperlink>
                      <w:r w:rsidRPr="003625BA">
                        <w:rPr>
                          <w:rFonts w:ascii="Arial" w:hAnsi="Arial" w:cs="Arial"/>
                          <w:b/>
                          <w:bCs/>
                          <w:color w:val="000000" w:themeColor="text1"/>
                          <w:sz w:val="24"/>
                          <w:szCs w:val="24"/>
                          <w:lang w:val="en-ZA"/>
                        </w:rPr>
                        <w:t> </w:t>
                      </w:r>
                      <w:r w:rsidRPr="003625BA">
                        <w:rPr>
                          <w:rFonts w:ascii="Arial" w:hAnsi="Arial" w:cs="Arial"/>
                          <w:bCs/>
                          <w:color w:val="000000" w:themeColor="text1"/>
                          <w:sz w:val="24"/>
                          <w:szCs w:val="24"/>
                          <w:lang w:val="en-ZA"/>
                        </w:rPr>
                        <w:t>in Canada, manage </w:t>
                      </w:r>
                      <w:hyperlink r:id="rId905" w:tgtFrame="_blank" w:history="1">
                        <w:r w:rsidRPr="00437B1C">
                          <w:rPr>
                            <w:rFonts w:ascii="Arial" w:hAnsi="Arial" w:cs="Arial"/>
                            <w:bCs/>
                            <w:color w:val="0563C1" w:themeColor="hyperlink"/>
                            <w:sz w:val="24"/>
                            <w:szCs w:val="24"/>
                            <w:u w:val="single"/>
                          </w:rPr>
                          <w:t>natural disaster risks</w:t>
                        </w:r>
                      </w:hyperlink>
                      <w:r w:rsidRPr="003625BA">
                        <w:rPr>
                          <w:rFonts w:ascii="Arial" w:hAnsi="Arial" w:cs="Arial"/>
                          <w:bCs/>
                          <w:color w:val="000000" w:themeColor="text1"/>
                          <w:sz w:val="24"/>
                          <w:szCs w:val="24"/>
                          <w:lang w:val="en-ZA"/>
                        </w:rPr>
                        <w:t> and natural resource planning in the Philippines, and </w:t>
                      </w:r>
                      <w:hyperlink r:id="rId906" w:tgtFrame="_blank" w:history="1">
                        <w:r w:rsidRPr="00437B1C">
                          <w:rPr>
                            <w:rFonts w:ascii="Arial" w:hAnsi="Arial" w:cs="Arial"/>
                            <w:bCs/>
                            <w:color w:val="0563C1" w:themeColor="hyperlink"/>
                            <w:sz w:val="24"/>
                            <w:szCs w:val="24"/>
                            <w:u w:val="single"/>
                          </w:rPr>
                          <w:t>improve the management of natural resources</w:t>
                        </w:r>
                      </w:hyperlink>
                      <w:r w:rsidRPr="003625BA">
                        <w:rPr>
                          <w:rFonts w:ascii="Arial" w:hAnsi="Arial" w:cs="Arial"/>
                          <w:b/>
                          <w:bCs/>
                          <w:color w:val="000000" w:themeColor="text1"/>
                          <w:sz w:val="24"/>
                          <w:szCs w:val="24"/>
                          <w:lang w:val="en-ZA"/>
                        </w:rPr>
                        <w:t> </w:t>
                      </w:r>
                      <w:r w:rsidRPr="003625BA">
                        <w:rPr>
                          <w:rFonts w:ascii="Arial" w:hAnsi="Arial" w:cs="Arial"/>
                          <w:color w:val="000000" w:themeColor="text1"/>
                          <w:sz w:val="24"/>
                          <w:szCs w:val="24"/>
                          <w:lang w:val="en-ZA"/>
                        </w:rPr>
                        <w:t>i</w:t>
                      </w:r>
                      <w:r w:rsidRPr="003625BA">
                        <w:rPr>
                          <w:rFonts w:ascii="Arial" w:hAnsi="Arial" w:cs="Arial"/>
                          <w:bCs/>
                          <w:color w:val="000000" w:themeColor="text1"/>
                          <w:sz w:val="24"/>
                          <w:szCs w:val="24"/>
                          <w:lang w:val="en-ZA"/>
                        </w:rPr>
                        <w:t>n New Zealand.</w:t>
                      </w:r>
                    </w:p>
                  </w:txbxContent>
                </v:textbox>
              </v:shape>
            </w:pict>
          </mc:Fallback>
        </mc:AlternateContent>
      </w:r>
    </w:p>
    <w:p w14:paraId="0CCA8B8D" w14:textId="5E7A4EBD" w:rsidR="00967F4D" w:rsidRDefault="00967F4D" w:rsidP="00282EFC">
      <w:pPr>
        <w:spacing w:line="276" w:lineRule="auto"/>
        <w:contextualSpacing/>
        <w:jc w:val="both"/>
        <w:rPr>
          <w:rFonts w:ascii="Arial" w:hAnsi="Arial" w:cs="Arial"/>
          <w:bCs/>
          <w:sz w:val="24"/>
          <w:szCs w:val="24"/>
        </w:rPr>
      </w:pPr>
    </w:p>
    <w:p w14:paraId="51BD6A02" w14:textId="36AEE694" w:rsidR="00967F4D" w:rsidRDefault="00967F4D" w:rsidP="00282EFC">
      <w:pPr>
        <w:spacing w:line="276" w:lineRule="auto"/>
        <w:contextualSpacing/>
        <w:jc w:val="both"/>
        <w:rPr>
          <w:rFonts w:ascii="Arial" w:hAnsi="Arial" w:cs="Arial"/>
          <w:bCs/>
          <w:sz w:val="24"/>
          <w:szCs w:val="24"/>
        </w:rPr>
      </w:pPr>
    </w:p>
    <w:p w14:paraId="7BC72885" w14:textId="1668401A" w:rsidR="00967F4D" w:rsidRDefault="009A14D9"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16542" behindDoc="0" locked="0" layoutInCell="1" allowOverlap="1" wp14:anchorId="04C8FC1D" wp14:editId="7FCED856">
                <wp:simplePos x="0" y="0"/>
                <wp:positionH relativeFrom="column">
                  <wp:posOffset>-101600</wp:posOffset>
                </wp:positionH>
                <wp:positionV relativeFrom="paragraph">
                  <wp:posOffset>88900</wp:posOffset>
                </wp:positionV>
                <wp:extent cx="144000" cy="144000"/>
                <wp:effectExtent l="0" t="0" r="0" b="0"/>
                <wp:wrapNone/>
                <wp:docPr id="2332" name="Oval 233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26D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2DE750D6" id="Oval 2332" o:spid="_x0000_s1026" style="position:absolute;margin-left:-8pt;margin-top:7pt;width:11.35pt;height:11.35pt;z-index:254316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" fillcolor="#f26d24" stroked="f" strokeweight="1pt">
                <v:stroke joinstyle="miter"/>
              </v:oval>
            </w:pict>
          </mc:Fallback>
        </mc:AlternateContent>
      </w:r>
    </w:p>
    <w:p w14:paraId="67DBEEE0" w14:textId="651BEB26" w:rsidR="00967F4D" w:rsidRDefault="00967F4D" w:rsidP="00282EFC">
      <w:pPr>
        <w:spacing w:line="276" w:lineRule="auto"/>
        <w:contextualSpacing/>
        <w:jc w:val="both"/>
        <w:rPr>
          <w:rFonts w:ascii="Arial" w:hAnsi="Arial" w:cs="Arial"/>
          <w:bCs/>
          <w:sz w:val="24"/>
          <w:szCs w:val="24"/>
        </w:rPr>
      </w:pPr>
    </w:p>
    <w:p w14:paraId="5BFE23BA" w14:textId="492D0E42" w:rsidR="00967F4D" w:rsidRDefault="00967F4D" w:rsidP="00282EFC">
      <w:pPr>
        <w:spacing w:line="276" w:lineRule="auto"/>
        <w:contextualSpacing/>
        <w:jc w:val="both"/>
        <w:rPr>
          <w:rFonts w:ascii="Arial" w:hAnsi="Arial" w:cs="Arial"/>
          <w:bCs/>
          <w:sz w:val="24"/>
          <w:szCs w:val="24"/>
        </w:rPr>
      </w:pPr>
    </w:p>
    <w:p w14:paraId="7CFE5038" w14:textId="4942F7FC" w:rsidR="00967F4D" w:rsidRDefault="00967F4D" w:rsidP="00282EFC">
      <w:pPr>
        <w:spacing w:line="276" w:lineRule="auto"/>
        <w:contextualSpacing/>
        <w:jc w:val="both"/>
        <w:rPr>
          <w:rFonts w:ascii="Arial" w:hAnsi="Arial" w:cs="Arial"/>
          <w:bCs/>
          <w:sz w:val="24"/>
          <w:szCs w:val="24"/>
        </w:rPr>
      </w:pPr>
    </w:p>
    <w:p w14:paraId="68D90D7D" w14:textId="335E46F5" w:rsidR="00967F4D" w:rsidRDefault="00967F4D" w:rsidP="00282EFC">
      <w:pPr>
        <w:spacing w:line="276" w:lineRule="auto"/>
        <w:contextualSpacing/>
        <w:jc w:val="both"/>
        <w:rPr>
          <w:rFonts w:ascii="Arial" w:hAnsi="Arial" w:cs="Arial"/>
          <w:bCs/>
          <w:sz w:val="24"/>
          <w:szCs w:val="24"/>
        </w:rPr>
      </w:pPr>
    </w:p>
    <w:p w14:paraId="0759CA3F" w14:textId="30BFAF4D" w:rsidR="00282EFC" w:rsidRDefault="009A14D9"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18590" behindDoc="0" locked="0" layoutInCell="1" allowOverlap="1" wp14:anchorId="42B0AFAF" wp14:editId="69C44564">
                <wp:simplePos x="0" y="0"/>
                <wp:positionH relativeFrom="margin">
                  <wp:posOffset>127000</wp:posOffset>
                </wp:positionH>
                <wp:positionV relativeFrom="paragraph">
                  <wp:posOffset>58420</wp:posOffset>
                </wp:positionV>
                <wp:extent cx="6424930" cy="1206500"/>
                <wp:effectExtent l="0" t="0" r="1270" b="0"/>
                <wp:wrapNone/>
                <wp:docPr id="2333" name="Rounded Rectangle 2333"/>
                <wp:cNvGraphicFramePr/>
                <a:graphic xmlns:a="http://schemas.openxmlformats.org/drawingml/2006/main">
                  <a:graphicData uri="http://schemas.microsoft.com/office/word/2010/wordprocessingShape">
                    <wps:wsp>
                      <wps:cNvSpPr/>
                      <wps:spPr>
                        <a:xfrm>
                          <a:off x="0" y="0"/>
                          <a:ext cx="6424930" cy="120650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24297AC" id="Rounded Rectangle 2333" o:spid="_x0000_s1026" style="position:absolute;margin-left:10pt;margin-top:4.6pt;width:505.9pt;height:95pt;z-index:2543185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" fillcolor="#e2efd9 [665]" stroked="f" strokeweight="1pt">
                <v:stroke joinstyle="miter"/>
                <w10:wrap anchorx="margin"/>
              </v:roundrect>
            </w:pict>
          </mc:Fallback>
        </mc:AlternateContent>
      </w:r>
      <w:r>
        <w:rPr>
          <w:rFonts w:ascii="Arial" w:hAnsi="Arial" w:cs="Arial"/>
          <w:b/>
          <w:bCs/>
          <w:noProof/>
          <w:color w:val="82C9A0"/>
          <w:sz w:val="32"/>
          <w:szCs w:val="32"/>
          <w:lang w:val="en-US"/>
        </w:rPr>
        <mc:AlternateContent>
          <mc:Choice Requires="wps">
            <w:drawing>
              <wp:anchor distT="0" distB="0" distL="114300" distR="114300" simplePos="0" relativeHeight="254319614" behindDoc="0" locked="0" layoutInCell="1" allowOverlap="1" wp14:anchorId="24074271" wp14:editId="790CFC4C">
                <wp:simplePos x="0" y="0"/>
                <wp:positionH relativeFrom="column">
                  <wp:posOffset>228600</wp:posOffset>
                </wp:positionH>
                <wp:positionV relativeFrom="paragraph">
                  <wp:posOffset>147320</wp:posOffset>
                </wp:positionV>
                <wp:extent cx="6235700" cy="1080000"/>
                <wp:effectExtent l="0" t="0" r="0" b="0"/>
                <wp:wrapNone/>
                <wp:docPr id="2334" name="Text Box 2334"/>
                <wp:cNvGraphicFramePr/>
                <a:graphic xmlns:a="http://schemas.openxmlformats.org/drawingml/2006/main">
                  <a:graphicData uri="http://schemas.microsoft.com/office/word/2010/wordprocessingShape">
                    <wps:wsp>
                      <wps:cNvSpPr txBox="1"/>
                      <wps:spPr>
                        <a:xfrm>
                          <a:off x="0" y="0"/>
                          <a:ext cx="6235700" cy="1080000"/>
                        </a:xfrm>
                        <a:prstGeom prst="rect">
                          <a:avLst/>
                        </a:prstGeom>
                        <a:noFill/>
                        <a:ln w="6350">
                          <a:noFill/>
                        </a:ln>
                      </wps:spPr>
                      <wps:txbx>
                        <w:txbxContent>
                          <w:p w14:paraId="51998120" w14:textId="77777777" w:rsidR="00D15FD8" w:rsidRPr="003625BA" w:rsidRDefault="00D15FD8" w:rsidP="003625BA">
                            <w:pPr>
                              <w:spacing w:line="276" w:lineRule="auto"/>
                              <w:contextualSpacing/>
                              <w:jc w:val="both"/>
                              <w:rPr>
                                <w:rFonts w:ascii="Arial" w:hAnsi="Arial" w:cs="Arial"/>
                                <w:bCs/>
                                <w:color w:val="000000" w:themeColor="text1"/>
                                <w:sz w:val="24"/>
                                <w:szCs w:val="24"/>
                                <w:lang w:val="en-ZA"/>
                              </w:rPr>
                            </w:pPr>
                            <w:r w:rsidRPr="003625BA">
                              <w:rPr>
                                <w:rFonts w:ascii="Arial" w:hAnsi="Arial" w:cs="Arial"/>
                                <w:bCs/>
                                <w:color w:val="000000" w:themeColor="text1"/>
                                <w:sz w:val="24"/>
                                <w:szCs w:val="24"/>
                                <w:lang w:val="en-ZA"/>
                              </w:rPr>
                              <w:t>Leading to positive economic impacts. It is boosting </w:t>
                            </w:r>
                            <w:hyperlink r:id="rId907" w:tgtFrame="_blank" w:history="1">
                              <w:r w:rsidRPr="00437B1C">
                                <w:rPr>
                                  <w:rFonts w:ascii="Arial" w:hAnsi="Arial" w:cs="Arial"/>
                                  <w:bCs/>
                                  <w:color w:val="0563C1" w:themeColor="hyperlink"/>
                                  <w:sz w:val="24"/>
                                  <w:szCs w:val="24"/>
                                  <w:u w:val="single"/>
                                </w:rPr>
                                <w:t>economic growth</w:t>
                              </w:r>
                            </w:hyperlink>
                            <w:r w:rsidRPr="003625BA">
                              <w:rPr>
                                <w:rFonts w:ascii="Arial" w:hAnsi="Arial" w:cs="Arial"/>
                                <w:bCs/>
                                <w:color w:val="000000" w:themeColor="text1"/>
                                <w:sz w:val="24"/>
                                <w:szCs w:val="24"/>
                                <w:lang w:val="en-ZA"/>
                              </w:rPr>
                              <w:t> in the USA, while in the UK it is </w:t>
                            </w:r>
                            <w:hyperlink r:id="rId908" w:tgtFrame="_blank" w:history="1">
                              <w:r w:rsidRPr="00437B1C">
                                <w:rPr>
                                  <w:rFonts w:ascii="Arial" w:hAnsi="Arial" w:cs="Arial"/>
                                  <w:bCs/>
                                  <w:color w:val="0563C1" w:themeColor="hyperlink"/>
                                  <w:sz w:val="24"/>
                                  <w:szCs w:val="24"/>
                                  <w:u w:val="single"/>
                                </w:rPr>
                                <w:t>delivering business opportunities</w:t>
                              </w:r>
                            </w:hyperlink>
                            <w:r w:rsidRPr="003625BA">
                              <w:rPr>
                                <w:rFonts w:ascii="Arial" w:hAnsi="Arial" w:cs="Arial"/>
                                <w:bCs/>
                                <w:color w:val="000000" w:themeColor="text1"/>
                                <w:sz w:val="24"/>
                                <w:szCs w:val="24"/>
                                <w:lang w:val="en-ZA"/>
                              </w:rPr>
                              <w:t> and making </w:t>
                            </w:r>
                            <w:hyperlink r:id="rId909" w:tgtFrame="_blank" w:history="1">
                              <w:r w:rsidRPr="00437B1C">
                                <w:rPr>
                                  <w:rFonts w:ascii="Arial" w:hAnsi="Arial" w:cs="Arial"/>
                                  <w:bCs/>
                                  <w:color w:val="0563C1" w:themeColor="hyperlink"/>
                                  <w:sz w:val="24"/>
                                  <w:szCs w:val="24"/>
                                  <w:u w:val="single"/>
                                </w:rPr>
                                <w:t>entire sectors more efficient</w:t>
                              </w:r>
                            </w:hyperlink>
                            <w:r w:rsidRPr="00437B1C">
                              <w:rPr>
                                <w:rFonts w:ascii="Arial" w:hAnsi="Arial" w:cs="Arial"/>
                                <w:bCs/>
                                <w:color w:val="0563C1" w:themeColor="hyperlink"/>
                                <w:sz w:val="24"/>
                                <w:szCs w:val="24"/>
                                <w:u w:val="single"/>
                              </w:rPr>
                              <w:t>.</w:t>
                            </w:r>
                            <w:r w:rsidRPr="003625BA">
                              <w:rPr>
                                <w:rFonts w:ascii="Arial" w:hAnsi="Arial" w:cs="Arial"/>
                                <w:bCs/>
                                <w:color w:val="000000" w:themeColor="text1"/>
                                <w:sz w:val="24"/>
                                <w:szCs w:val="24"/>
                                <w:lang w:val="en-ZA"/>
                              </w:rPr>
                              <w:t xml:space="preserve"> Hundreds of data-based companies have flourished in Australia, Canada, Italy, Mexico, South Korea, the USA, and across the world — creating new market opportunities and data business models.</w:t>
                            </w:r>
                          </w:p>
                          <w:p w14:paraId="6B52FC60" w14:textId="77777777" w:rsidR="00D15FD8" w:rsidRPr="003625BA" w:rsidRDefault="00D15FD8" w:rsidP="003625BA">
                            <w:pPr>
                              <w:spacing w:line="276" w:lineRule="auto"/>
                              <w:rPr>
                                <w:b/>
                                <w:bCs/>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74271" id="Text Box 2334" o:spid="_x0000_s1552" type="#_x0000_t202" style="position:absolute;left:0;text-align:left;margin-left:18pt;margin-top:11.6pt;width:491pt;height:85.05pt;z-index:254319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" filled="f" stroked="f" strokeweight=".5pt">
                <v:textbox>
                  <w:txbxContent>
                    <w:p w14:paraId="51998120" w14:textId="77777777" w:rsidR="00D15FD8" w:rsidRPr="003625BA" w:rsidRDefault="00D15FD8" w:rsidP="003625BA">
                      <w:pPr>
                        <w:spacing w:line="276" w:lineRule="auto"/>
                        <w:contextualSpacing/>
                        <w:jc w:val="both"/>
                        <w:rPr>
                          <w:rFonts w:ascii="Arial" w:hAnsi="Arial" w:cs="Arial"/>
                          <w:bCs/>
                          <w:color w:val="000000" w:themeColor="text1"/>
                          <w:sz w:val="24"/>
                          <w:szCs w:val="24"/>
                          <w:lang w:val="en-ZA"/>
                        </w:rPr>
                      </w:pPr>
                      <w:r w:rsidRPr="003625BA">
                        <w:rPr>
                          <w:rFonts w:ascii="Arial" w:hAnsi="Arial" w:cs="Arial"/>
                          <w:bCs/>
                          <w:color w:val="000000" w:themeColor="text1"/>
                          <w:sz w:val="24"/>
                          <w:szCs w:val="24"/>
                          <w:lang w:val="en-ZA"/>
                        </w:rPr>
                        <w:t>Leading to positive economic impacts. It is boosting </w:t>
                      </w:r>
                      <w:hyperlink r:id="rId910" w:tgtFrame="_blank" w:history="1">
                        <w:r w:rsidRPr="00437B1C">
                          <w:rPr>
                            <w:rFonts w:ascii="Arial" w:hAnsi="Arial" w:cs="Arial"/>
                            <w:bCs/>
                            <w:color w:val="0563C1" w:themeColor="hyperlink"/>
                            <w:sz w:val="24"/>
                            <w:szCs w:val="24"/>
                            <w:u w:val="single"/>
                          </w:rPr>
                          <w:t>economic growth</w:t>
                        </w:r>
                      </w:hyperlink>
                      <w:r w:rsidRPr="003625BA">
                        <w:rPr>
                          <w:rFonts w:ascii="Arial" w:hAnsi="Arial" w:cs="Arial"/>
                          <w:bCs/>
                          <w:color w:val="000000" w:themeColor="text1"/>
                          <w:sz w:val="24"/>
                          <w:szCs w:val="24"/>
                          <w:lang w:val="en-ZA"/>
                        </w:rPr>
                        <w:t> in the USA, while in the UK it is </w:t>
                      </w:r>
                      <w:hyperlink r:id="rId911" w:tgtFrame="_blank" w:history="1">
                        <w:r w:rsidRPr="00437B1C">
                          <w:rPr>
                            <w:rFonts w:ascii="Arial" w:hAnsi="Arial" w:cs="Arial"/>
                            <w:bCs/>
                            <w:color w:val="0563C1" w:themeColor="hyperlink"/>
                            <w:sz w:val="24"/>
                            <w:szCs w:val="24"/>
                            <w:u w:val="single"/>
                          </w:rPr>
                          <w:t>delivering business opportunities</w:t>
                        </w:r>
                      </w:hyperlink>
                      <w:r w:rsidRPr="003625BA">
                        <w:rPr>
                          <w:rFonts w:ascii="Arial" w:hAnsi="Arial" w:cs="Arial"/>
                          <w:bCs/>
                          <w:color w:val="000000" w:themeColor="text1"/>
                          <w:sz w:val="24"/>
                          <w:szCs w:val="24"/>
                          <w:lang w:val="en-ZA"/>
                        </w:rPr>
                        <w:t> and making </w:t>
                      </w:r>
                      <w:hyperlink r:id="rId912" w:tgtFrame="_blank" w:history="1">
                        <w:r w:rsidRPr="00437B1C">
                          <w:rPr>
                            <w:rFonts w:ascii="Arial" w:hAnsi="Arial" w:cs="Arial"/>
                            <w:bCs/>
                            <w:color w:val="0563C1" w:themeColor="hyperlink"/>
                            <w:sz w:val="24"/>
                            <w:szCs w:val="24"/>
                            <w:u w:val="single"/>
                          </w:rPr>
                          <w:t>entire sectors more efficient</w:t>
                        </w:r>
                      </w:hyperlink>
                      <w:r w:rsidRPr="00437B1C">
                        <w:rPr>
                          <w:rFonts w:ascii="Arial" w:hAnsi="Arial" w:cs="Arial"/>
                          <w:bCs/>
                          <w:color w:val="0563C1" w:themeColor="hyperlink"/>
                          <w:sz w:val="24"/>
                          <w:szCs w:val="24"/>
                          <w:u w:val="single"/>
                        </w:rPr>
                        <w:t>.</w:t>
                      </w:r>
                      <w:r w:rsidRPr="003625BA">
                        <w:rPr>
                          <w:rFonts w:ascii="Arial" w:hAnsi="Arial" w:cs="Arial"/>
                          <w:bCs/>
                          <w:color w:val="000000" w:themeColor="text1"/>
                          <w:sz w:val="24"/>
                          <w:szCs w:val="24"/>
                          <w:lang w:val="en-ZA"/>
                        </w:rPr>
                        <w:t xml:space="preserve"> Hundreds of data-based companies have flourished in Australia, Canada, Italy, Mexico, South Korea, the USA, and across the world — creating new market opportunities and data business models.</w:t>
                      </w:r>
                    </w:p>
                    <w:p w14:paraId="6B52FC60" w14:textId="77777777" w:rsidR="00D15FD8" w:rsidRPr="003625BA" w:rsidRDefault="00D15FD8" w:rsidP="003625BA">
                      <w:pPr>
                        <w:spacing w:line="276" w:lineRule="auto"/>
                        <w:rPr>
                          <w:b/>
                          <w:bCs/>
                          <w:color w:val="000000" w:themeColor="text1"/>
                        </w:rPr>
                      </w:pPr>
                    </w:p>
                  </w:txbxContent>
                </v:textbox>
              </v:shape>
            </w:pict>
          </mc:Fallback>
        </mc:AlternateContent>
      </w:r>
    </w:p>
    <w:p w14:paraId="17FE6D67" w14:textId="6179E362" w:rsidR="007068FC" w:rsidRDefault="007068FC" w:rsidP="00282EFC">
      <w:pPr>
        <w:spacing w:line="276" w:lineRule="auto"/>
        <w:contextualSpacing/>
        <w:jc w:val="both"/>
        <w:rPr>
          <w:rFonts w:ascii="Arial" w:hAnsi="Arial" w:cs="Arial"/>
          <w:bCs/>
          <w:sz w:val="24"/>
          <w:szCs w:val="24"/>
        </w:rPr>
      </w:pPr>
    </w:p>
    <w:p w14:paraId="21FACE81" w14:textId="00EDD3D9" w:rsidR="007068FC" w:rsidRDefault="009A14D9" w:rsidP="00282EFC">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320638" behindDoc="0" locked="0" layoutInCell="1" allowOverlap="1" wp14:anchorId="3F88AB44" wp14:editId="4A451B7D">
                <wp:simplePos x="0" y="0"/>
                <wp:positionH relativeFrom="column">
                  <wp:posOffset>-101600</wp:posOffset>
                </wp:positionH>
                <wp:positionV relativeFrom="paragraph">
                  <wp:posOffset>244475</wp:posOffset>
                </wp:positionV>
                <wp:extent cx="143510" cy="143510"/>
                <wp:effectExtent l="0" t="0" r="0" b="0"/>
                <wp:wrapNone/>
                <wp:docPr id="2335" name="Oval 2335"/>
                <wp:cNvGraphicFramePr/>
                <a:graphic xmlns:a="http://schemas.openxmlformats.org/drawingml/2006/main">
                  <a:graphicData uri="http://schemas.microsoft.com/office/word/2010/wordprocessingShape">
                    <wps:wsp>
                      <wps:cNvSpPr/>
                      <wps:spPr>
                        <a:xfrm>
                          <a:off x="0" y="0"/>
                          <a:ext cx="143510" cy="143510"/>
                        </a:xfrm>
                        <a:prstGeom prst="ellipse">
                          <a:avLst/>
                        </a:prstGeom>
                        <a:solidFill>
                          <a:srgbClr val="F26D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0F37FF76" id="Oval 2335" o:spid="_x0000_s1026" style="position:absolute;margin-left:-8pt;margin-top:19.25pt;width:11.3pt;height:11.3pt;z-index:254320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" fillcolor="#f26d24" stroked="f" strokeweight="1pt">
                <v:stroke joinstyle="miter"/>
              </v:oval>
            </w:pict>
          </mc:Fallback>
        </mc:AlternateContent>
      </w:r>
    </w:p>
    <w:p w14:paraId="2A1283C7" w14:textId="4746C484" w:rsidR="007068FC" w:rsidRDefault="007068FC" w:rsidP="00282EFC">
      <w:pPr>
        <w:spacing w:line="276" w:lineRule="auto"/>
        <w:contextualSpacing/>
        <w:jc w:val="both"/>
        <w:rPr>
          <w:rFonts w:ascii="Arial" w:hAnsi="Arial" w:cs="Arial"/>
          <w:bCs/>
          <w:sz w:val="24"/>
          <w:szCs w:val="24"/>
        </w:rPr>
      </w:pPr>
    </w:p>
    <w:p w14:paraId="3B18D20A" w14:textId="423E9802" w:rsidR="007068FC" w:rsidRDefault="007068FC" w:rsidP="00282EFC">
      <w:pPr>
        <w:spacing w:line="276" w:lineRule="auto"/>
        <w:contextualSpacing/>
        <w:jc w:val="both"/>
        <w:rPr>
          <w:rFonts w:ascii="Arial" w:hAnsi="Arial" w:cs="Arial"/>
          <w:bCs/>
          <w:sz w:val="24"/>
          <w:szCs w:val="24"/>
        </w:rPr>
      </w:pPr>
    </w:p>
    <w:p w14:paraId="765A5E6A" w14:textId="03E4F29C" w:rsidR="007068FC" w:rsidRDefault="007068FC" w:rsidP="00282EFC">
      <w:pPr>
        <w:spacing w:line="276" w:lineRule="auto"/>
        <w:contextualSpacing/>
        <w:jc w:val="both"/>
        <w:rPr>
          <w:rFonts w:ascii="Arial" w:hAnsi="Arial" w:cs="Arial"/>
          <w:bCs/>
          <w:sz w:val="24"/>
          <w:szCs w:val="24"/>
        </w:rPr>
      </w:pPr>
    </w:p>
    <w:p w14:paraId="1077CEA6" w14:textId="77777777" w:rsidR="000C5469" w:rsidRPr="00EB2A7C" w:rsidRDefault="000C5469" w:rsidP="00EB2A7C">
      <w:pPr>
        <w:spacing w:line="276" w:lineRule="auto"/>
        <w:contextualSpacing/>
        <w:jc w:val="both"/>
        <w:rPr>
          <w:rFonts w:ascii="Arial" w:hAnsi="Arial" w:cs="Arial"/>
          <w:bCs/>
          <w:sz w:val="24"/>
          <w:szCs w:val="24"/>
          <w:lang w:val="en-ZA"/>
        </w:rPr>
      </w:pPr>
    </w:p>
    <w:p w14:paraId="7D09D1A6" w14:textId="77CE63A3" w:rsidR="00282EFC" w:rsidRDefault="00282EFC" w:rsidP="00282EFC">
      <w:pPr>
        <w:spacing w:line="276" w:lineRule="auto"/>
        <w:contextualSpacing/>
        <w:jc w:val="both"/>
        <w:rPr>
          <w:rFonts w:ascii="Arial" w:hAnsi="Arial" w:cs="Arial"/>
          <w:bCs/>
          <w:sz w:val="24"/>
          <w:szCs w:val="24"/>
          <w:lang w:val="en-ZA"/>
        </w:rPr>
      </w:pPr>
      <w:r w:rsidRPr="00EB2A7C">
        <w:rPr>
          <w:rFonts w:ascii="Arial" w:hAnsi="Arial" w:cs="Arial"/>
          <w:bCs/>
          <w:sz w:val="24"/>
          <w:szCs w:val="24"/>
          <w:lang w:val="en-ZA"/>
        </w:rPr>
        <w:t>As such these and other studies, provide numerous examples of the benefits of fiscal transparency and open data for development</w:t>
      </w:r>
      <w:r w:rsidRPr="00EB2A7C">
        <w:rPr>
          <w:rFonts w:ascii="Arial" w:hAnsi="Arial" w:cs="Arial"/>
          <w:sz w:val="24"/>
          <w:szCs w:val="24"/>
          <w:vertAlign w:val="superscript"/>
        </w:rPr>
        <w:footnoteReference w:id="71"/>
      </w:r>
      <w:r w:rsidRPr="00EB2A7C">
        <w:rPr>
          <w:rFonts w:ascii="Arial" w:hAnsi="Arial" w:cs="Arial"/>
          <w:bCs/>
          <w:sz w:val="24"/>
          <w:szCs w:val="24"/>
          <w:lang w:val="en-ZA"/>
        </w:rPr>
        <w:t xml:space="preserve">. </w:t>
      </w:r>
    </w:p>
    <w:p w14:paraId="1F7A965E" w14:textId="11794120" w:rsidR="000C5469" w:rsidRDefault="00971989" w:rsidP="00282EFC">
      <w:pPr>
        <w:spacing w:line="276" w:lineRule="auto"/>
        <w:contextualSpacing/>
        <w:jc w:val="both"/>
        <w:rPr>
          <w:rFonts w:ascii="Arial" w:hAnsi="Arial" w:cs="Arial"/>
          <w:bCs/>
          <w:sz w:val="24"/>
          <w:szCs w:val="24"/>
          <w:lang w:val="en-ZA"/>
        </w:rPr>
      </w:pPr>
      <w:r>
        <w:rPr>
          <w:rFonts w:ascii="Arial" w:hAnsi="Arial" w:cs="Arial"/>
          <w:noProof/>
          <w:sz w:val="24"/>
          <w:szCs w:val="24"/>
          <w:lang w:val="en-US"/>
        </w:rPr>
        <mc:AlternateContent>
          <mc:Choice Requires="wps">
            <w:drawing>
              <wp:anchor distT="0" distB="0" distL="114300" distR="114300" simplePos="0" relativeHeight="254322686" behindDoc="1" locked="0" layoutInCell="1" allowOverlap="1" wp14:anchorId="5CFA6F48" wp14:editId="47682CBE">
                <wp:simplePos x="0" y="0"/>
                <wp:positionH relativeFrom="margin">
                  <wp:posOffset>609600</wp:posOffset>
                </wp:positionH>
                <wp:positionV relativeFrom="paragraph">
                  <wp:posOffset>196215</wp:posOffset>
                </wp:positionV>
                <wp:extent cx="3124200" cy="596900"/>
                <wp:effectExtent l="12700" t="12700" r="12700" b="12700"/>
                <wp:wrapNone/>
                <wp:docPr id="2336" name="Rounded Rectangle 2336"/>
                <wp:cNvGraphicFramePr/>
                <a:graphic xmlns:a="http://schemas.openxmlformats.org/drawingml/2006/main">
                  <a:graphicData uri="http://schemas.microsoft.com/office/word/2010/wordprocessingShape">
                    <wps:wsp>
                      <wps:cNvSpPr/>
                      <wps:spPr>
                        <a:xfrm>
                          <a:off x="0" y="0"/>
                          <a:ext cx="31242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DE0CB17" id="Rounded Rectangle 2336" o:spid="_x0000_s1026" style="position:absolute;margin-left:48pt;margin-top:15.45pt;width:246pt;height:47pt;z-index:-2489937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" filled="f" strokecolor="#82c9a0" strokeweight="2.25pt">
                <v:stroke joinstyle="miter"/>
                <w10:wrap anchorx="margin"/>
              </v:roundrect>
            </w:pict>
          </mc:Fallback>
        </mc:AlternateContent>
      </w:r>
      <w:r>
        <w:rPr>
          <w:rFonts w:ascii="Arial" w:hAnsi="Arial" w:cs="Arial"/>
          <w:noProof/>
          <w:sz w:val="24"/>
          <w:szCs w:val="24"/>
          <w:lang w:val="en-US"/>
        </w:rPr>
        <w:drawing>
          <wp:anchor distT="0" distB="0" distL="114300" distR="114300" simplePos="0" relativeHeight="254324734" behindDoc="1" locked="0" layoutInCell="1" allowOverlap="1" wp14:anchorId="15B7CF86" wp14:editId="25099B38">
            <wp:simplePos x="0" y="0"/>
            <wp:positionH relativeFrom="column">
              <wp:posOffset>0</wp:posOffset>
            </wp:positionH>
            <wp:positionV relativeFrom="paragraph">
              <wp:posOffset>196215</wp:posOffset>
            </wp:positionV>
            <wp:extent cx="469900" cy="575945"/>
            <wp:effectExtent l="0" t="0" r="0" b="0"/>
            <wp:wrapTight wrapText="bothSides">
              <wp:wrapPolygon edited="0">
                <wp:start x="14595" y="0"/>
                <wp:lineTo x="2919" y="3334"/>
                <wp:lineTo x="0" y="4763"/>
                <wp:lineTo x="0" y="19528"/>
                <wp:lineTo x="14011" y="20957"/>
                <wp:lineTo x="18097" y="20957"/>
                <wp:lineTo x="18681" y="20957"/>
                <wp:lineTo x="21016" y="15241"/>
                <wp:lineTo x="21016" y="5716"/>
                <wp:lineTo x="19849" y="2381"/>
                <wp:lineTo x="18097" y="0"/>
                <wp:lineTo x="14595" y="0"/>
              </wp:wrapPolygon>
            </wp:wrapTight>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Picture 2151"/>
                    <pic:cNvPicPr/>
                  </pic:nvPicPr>
                  <pic:blipFill rotWithShape="1">
                    <a:blip r:embed="rId859" cstate="email">
                      <a:extLst>
                        <a:ext uri="{28A0092B-C50C-407E-A947-70E740481C1C}">
                          <a14:useLocalDpi xmlns:a14="http://schemas.microsoft.com/office/drawing/2010/main"/>
                        </a:ext>
                      </a:extLst>
                    </a:blip>
                    <a:srcRect/>
                    <a:stretch/>
                  </pic:blipFill>
                  <pic:spPr bwMode="auto">
                    <a:xfrm>
                      <a:off x="0" y="0"/>
                      <a:ext cx="469900"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3D3993" w14:textId="24F03BB3" w:rsidR="000C5469" w:rsidRPr="00EB2A7C" w:rsidRDefault="00971989" w:rsidP="00EB2A7C">
      <w:pPr>
        <w:spacing w:line="276" w:lineRule="auto"/>
        <w:contextualSpacing/>
        <w:jc w:val="both"/>
        <w:rPr>
          <w:rFonts w:ascii="Arial" w:hAnsi="Arial" w:cs="Arial"/>
          <w:bCs/>
          <w:sz w:val="24"/>
          <w:szCs w:val="24"/>
          <w:lang w:val="en-ZA"/>
        </w:rPr>
      </w:pPr>
      <w:r>
        <w:rPr>
          <w:rFonts w:ascii="Arial" w:hAnsi="Arial" w:cs="Arial"/>
          <w:noProof/>
          <w:sz w:val="24"/>
          <w:szCs w:val="24"/>
          <w:lang w:val="en-US"/>
        </w:rPr>
        <mc:AlternateContent>
          <mc:Choice Requires="wps">
            <w:drawing>
              <wp:anchor distT="0" distB="0" distL="114300" distR="114300" simplePos="0" relativeHeight="254323710" behindDoc="0" locked="0" layoutInCell="1" allowOverlap="1" wp14:anchorId="2BF0F667" wp14:editId="174448F9">
                <wp:simplePos x="0" y="0"/>
                <wp:positionH relativeFrom="column">
                  <wp:posOffset>673100</wp:posOffset>
                </wp:positionH>
                <wp:positionV relativeFrom="paragraph">
                  <wp:posOffset>83820</wp:posOffset>
                </wp:positionV>
                <wp:extent cx="3009900" cy="461645"/>
                <wp:effectExtent l="0" t="0" r="0" b="0"/>
                <wp:wrapNone/>
                <wp:docPr id="2337" name="Text Box 2337"/>
                <wp:cNvGraphicFramePr/>
                <a:graphic xmlns:a="http://schemas.openxmlformats.org/drawingml/2006/main">
                  <a:graphicData uri="http://schemas.microsoft.com/office/word/2010/wordprocessingShape">
                    <wps:wsp>
                      <wps:cNvSpPr txBox="1"/>
                      <wps:spPr>
                        <a:xfrm>
                          <a:off x="0" y="0"/>
                          <a:ext cx="3009900" cy="461645"/>
                        </a:xfrm>
                        <a:prstGeom prst="rect">
                          <a:avLst/>
                        </a:prstGeom>
                        <a:noFill/>
                        <a:ln w="6350">
                          <a:noFill/>
                        </a:ln>
                      </wps:spPr>
                      <wps:txbx>
                        <w:txbxContent>
                          <w:p w14:paraId="75CE0EFA" w14:textId="20684018" w:rsidR="00D15FD8" w:rsidRPr="00356A28" w:rsidRDefault="00D15FD8" w:rsidP="00971989">
                            <w:pPr>
                              <w:pStyle w:val="Heading2"/>
                              <w:numPr>
                                <w:ilvl w:val="1"/>
                                <w:numId w:val="127"/>
                              </w:numPr>
                              <w:rPr>
                                <w:rFonts w:ascii="Arial" w:hAnsi="Arial" w:cs="Arial"/>
                                <w:b/>
                                <w:bCs/>
                                <w:color w:val="F26D24"/>
                                <w:sz w:val="36"/>
                                <w:szCs w:val="36"/>
                              </w:rPr>
                            </w:pPr>
                            <w:bookmarkStart w:id="2257" w:name="_Toc123204542"/>
                            <w:bookmarkStart w:id="2258" w:name="_Toc123216657"/>
                            <w:bookmarkStart w:id="2259" w:name="_Toc123217497"/>
                            <w:bookmarkStart w:id="2260" w:name="_Toc123828243"/>
                            <w:bookmarkStart w:id="2261" w:name="_Toc123828453"/>
                            <w:bookmarkStart w:id="2262" w:name="_Toc123828649"/>
                            <w:bookmarkStart w:id="2263" w:name="_Toc123912676"/>
                            <w:bookmarkStart w:id="2264" w:name="_Toc123912935"/>
                            <w:bookmarkStart w:id="2265" w:name="_Toc123913162"/>
                            <w:bookmarkStart w:id="2266" w:name="_Toc123913453"/>
                            <w:bookmarkStart w:id="2267" w:name="_Toc123914110"/>
                            <w:bookmarkStart w:id="2268" w:name="_Toc125566725"/>
                            <w:r w:rsidRPr="00356A28">
                              <w:rPr>
                                <w:rFonts w:ascii="Arial" w:hAnsi="Arial" w:cs="Arial"/>
                                <w:b/>
                                <w:bCs/>
                                <w:color w:val="F26D24"/>
                                <w:sz w:val="36"/>
                                <w:szCs w:val="36"/>
                              </w:rPr>
                              <w:t>Open data policies</w:t>
                            </w:r>
                            <w:bookmarkEnd w:id="2257"/>
                            <w:bookmarkEnd w:id="2258"/>
                            <w:bookmarkEnd w:id="2259"/>
                            <w:bookmarkEnd w:id="2260"/>
                            <w:bookmarkEnd w:id="2261"/>
                            <w:bookmarkEnd w:id="2262"/>
                            <w:bookmarkEnd w:id="2263"/>
                            <w:bookmarkEnd w:id="2264"/>
                            <w:bookmarkEnd w:id="2265"/>
                            <w:bookmarkEnd w:id="2266"/>
                            <w:bookmarkEnd w:id="2267"/>
                            <w:bookmarkEnd w:id="22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0F667" id="Text Box 2337" o:spid="_x0000_s1553" type="#_x0000_t202" style="position:absolute;left:0;text-align:left;margin-left:53pt;margin-top:6.6pt;width:237pt;height:36.35pt;z-index:254323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" filled="f" stroked="f" strokeweight=".5pt">
                <v:textbox>
                  <w:txbxContent>
                    <w:p w14:paraId="75CE0EFA" w14:textId="20684018" w:rsidR="00D15FD8" w:rsidRPr="00356A28" w:rsidRDefault="00D15FD8" w:rsidP="00971989">
                      <w:pPr>
                        <w:pStyle w:val="Heading2"/>
                        <w:numPr>
                          <w:ilvl w:val="1"/>
                          <w:numId w:val="127"/>
                        </w:numPr>
                        <w:rPr>
                          <w:rFonts w:ascii="Arial" w:hAnsi="Arial" w:cs="Arial"/>
                          <w:b/>
                          <w:bCs/>
                          <w:color w:val="F26D24"/>
                          <w:sz w:val="36"/>
                          <w:szCs w:val="36"/>
                        </w:rPr>
                      </w:pPr>
                      <w:bookmarkStart w:id="2269" w:name="_Toc123204542"/>
                      <w:bookmarkStart w:id="2270" w:name="_Toc123216657"/>
                      <w:bookmarkStart w:id="2271" w:name="_Toc123217497"/>
                      <w:bookmarkStart w:id="2272" w:name="_Toc123828243"/>
                      <w:bookmarkStart w:id="2273" w:name="_Toc123828453"/>
                      <w:bookmarkStart w:id="2274" w:name="_Toc123828649"/>
                      <w:bookmarkStart w:id="2275" w:name="_Toc123912676"/>
                      <w:bookmarkStart w:id="2276" w:name="_Toc123912935"/>
                      <w:bookmarkStart w:id="2277" w:name="_Toc123913162"/>
                      <w:bookmarkStart w:id="2278" w:name="_Toc123913453"/>
                      <w:bookmarkStart w:id="2279" w:name="_Toc123914110"/>
                      <w:bookmarkStart w:id="2280" w:name="_Toc125566725"/>
                      <w:r w:rsidRPr="00356A28">
                        <w:rPr>
                          <w:rFonts w:ascii="Arial" w:hAnsi="Arial" w:cs="Arial"/>
                          <w:b/>
                          <w:bCs/>
                          <w:color w:val="F26D24"/>
                          <w:sz w:val="36"/>
                          <w:szCs w:val="36"/>
                        </w:rPr>
                        <w:t>Open data policies</w:t>
                      </w:r>
                      <w:bookmarkEnd w:id="2269"/>
                      <w:bookmarkEnd w:id="2270"/>
                      <w:bookmarkEnd w:id="2271"/>
                      <w:bookmarkEnd w:id="2272"/>
                      <w:bookmarkEnd w:id="2273"/>
                      <w:bookmarkEnd w:id="2274"/>
                      <w:bookmarkEnd w:id="2275"/>
                      <w:bookmarkEnd w:id="2276"/>
                      <w:bookmarkEnd w:id="2277"/>
                      <w:bookmarkEnd w:id="2278"/>
                      <w:bookmarkEnd w:id="2279"/>
                      <w:bookmarkEnd w:id="2280"/>
                    </w:p>
                  </w:txbxContent>
                </v:textbox>
              </v:shape>
            </w:pict>
          </mc:Fallback>
        </mc:AlternateContent>
      </w:r>
    </w:p>
    <w:p w14:paraId="75A26460" w14:textId="6E1512A7" w:rsidR="00282EFC" w:rsidRPr="00EB2A7C" w:rsidRDefault="00282EFC" w:rsidP="00EB2A7C">
      <w:pPr>
        <w:spacing w:line="276" w:lineRule="auto"/>
        <w:contextualSpacing/>
        <w:jc w:val="both"/>
        <w:rPr>
          <w:rFonts w:ascii="Arial" w:hAnsi="Arial" w:cs="Arial"/>
          <w:sz w:val="24"/>
          <w:szCs w:val="24"/>
        </w:rPr>
      </w:pPr>
    </w:p>
    <w:p w14:paraId="24E67127" w14:textId="3260D1C9" w:rsidR="00282EFC" w:rsidRDefault="00282EFC" w:rsidP="00282EFC">
      <w:pPr>
        <w:tabs>
          <w:tab w:val="left" w:pos="6340"/>
        </w:tabs>
        <w:spacing w:line="276" w:lineRule="auto"/>
        <w:rPr>
          <w:rFonts w:ascii="Arial" w:hAnsi="Arial" w:cs="Arial"/>
          <w:sz w:val="24"/>
          <w:szCs w:val="24"/>
        </w:rPr>
      </w:pPr>
    </w:p>
    <w:p w14:paraId="54249B47" w14:textId="3A7EFA77" w:rsidR="00971989" w:rsidRPr="00B71C41" w:rsidRDefault="00971989" w:rsidP="00B71C41">
      <w:pPr>
        <w:tabs>
          <w:tab w:val="left" w:pos="6340"/>
        </w:tabs>
        <w:spacing w:line="276" w:lineRule="auto"/>
        <w:rPr>
          <w:rFonts w:ascii="Arial" w:hAnsi="Arial" w:cs="Arial"/>
          <w:sz w:val="24"/>
          <w:szCs w:val="24"/>
        </w:rPr>
      </w:pPr>
    </w:p>
    <w:p w14:paraId="62D200D7" w14:textId="71021238" w:rsidR="00B71C41" w:rsidRPr="00EB2A7C" w:rsidRDefault="00B71C41" w:rsidP="00EB2A7C">
      <w:pPr>
        <w:spacing w:line="276" w:lineRule="auto"/>
        <w:contextualSpacing/>
        <w:jc w:val="both"/>
        <w:rPr>
          <w:rFonts w:ascii="Arial" w:hAnsi="Arial" w:cs="Arial"/>
          <w:sz w:val="24"/>
          <w:szCs w:val="24"/>
          <w:lang w:val="en-US"/>
        </w:rPr>
      </w:pPr>
      <w:r w:rsidRPr="00EB2A7C">
        <w:rPr>
          <w:rFonts w:ascii="Arial" w:hAnsi="Arial" w:cs="Arial"/>
          <w:sz w:val="24"/>
          <w:szCs w:val="24"/>
          <w:lang w:val="en-US"/>
        </w:rPr>
        <w:t>Open data policies provide guidance, instructions, requirements and tools for implementing open data. They provide insight into a government’s internal procedures for managing the open data initiative, which helps users better understand the data ecosystem. Governance policies should clarify lines of authority within the government and ministries for managing data, describe the process and requirements for releasing or updating data, and provide a means for users to engage providers over any issues or requests that may arise. Organizations should also clearly articulate their privacy policies concerning data management. Since governments are often important consumers of their own data, open data policies can be helpful to them from the standpoint of both the consumer and producer</w:t>
      </w:r>
      <w:r w:rsidRPr="00EB2A7C">
        <w:rPr>
          <w:rFonts w:ascii="Arial" w:hAnsi="Arial" w:cs="Arial"/>
          <w:sz w:val="24"/>
          <w:szCs w:val="24"/>
        </w:rPr>
        <w:t>.</w:t>
      </w:r>
      <w:r w:rsidRPr="00EB2A7C">
        <w:rPr>
          <w:rFonts w:ascii="Arial" w:hAnsi="Arial" w:cs="Arial"/>
          <w:sz w:val="24"/>
          <w:szCs w:val="24"/>
          <w:lang w:val="en-US"/>
        </w:rPr>
        <w:t xml:space="preserve"> </w:t>
      </w:r>
    </w:p>
    <w:p w14:paraId="2D772FB1" w14:textId="01A17BFF" w:rsidR="00B71C41" w:rsidRPr="00EB2A7C" w:rsidRDefault="00B71C41" w:rsidP="00EB2A7C">
      <w:pPr>
        <w:spacing w:line="276" w:lineRule="auto"/>
        <w:contextualSpacing/>
        <w:jc w:val="both"/>
        <w:rPr>
          <w:rFonts w:ascii="Arial" w:hAnsi="Arial" w:cs="Arial"/>
          <w:sz w:val="24"/>
          <w:szCs w:val="24"/>
          <w:lang w:val="en-US"/>
        </w:rPr>
      </w:pPr>
    </w:p>
    <w:p w14:paraId="506D6F3E" w14:textId="0BFDAFED" w:rsidR="00B71C41" w:rsidRPr="00EB2A7C" w:rsidRDefault="00B71C41" w:rsidP="00EB2A7C">
      <w:pPr>
        <w:spacing w:line="276" w:lineRule="auto"/>
        <w:contextualSpacing/>
        <w:jc w:val="both"/>
        <w:rPr>
          <w:rFonts w:ascii="Arial" w:hAnsi="Arial" w:cs="Arial"/>
          <w:sz w:val="24"/>
          <w:szCs w:val="24"/>
        </w:rPr>
      </w:pPr>
      <w:r w:rsidRPr="00EB2A7C">
        <w:rPr>
          <w:rFonts w:ascii="Arial" w:hAnsi="Arial" w:cs="Arial"/>
          <w:sz w:val="24"/>
          <w:szCs w:val="24"/>
          <w:lang w:val="en-US"/>
        </w:rPr>
        <w:t xml:space="preserve">A significant number of governments from developed and developing countries; and entities such as the World Bank and United Nations have as such launched open data policies and initiatives. Guidance on the development of these policies together with numerous examples can be found in </w:t>
      </w:r>
      <w:r w:rsidRPr="00EB2A7C">
        <w:rPr>
          <w:rFonts w:ascii="Arial" w:hAnsi="Arial" w:cs="Arial"/>
          <w:sz w:val="24"/>
          <w:szCs w:val="24"/>
          <w:lang w:val="en-US"/>
        </w:rPr>
        <w:lastRenderedPageBreak/>
        <w:t xml:space="preserve">the World Bank’s </w:t>
      </w:r>
      <w:hyperlink r:id="rId913" w:anchor="policies" w:history="1">
        <w:r w:rsidRPr="00EB2A7C">
          <w:rPr>
            <w:rStyle w:val="Hyperlink"/>
            <w:rFonts w:ascii="Arial" w:hAnsi="Arial" w:cs="Arial"/>
            <w:sz w:val="24"/>
            <w:szCs w:val="24"/>
            <w:lang w:val="en-US"/>
          </w:rPr>
          <w:t>Open Government Data Toolkit</w:t>
        </w:r>
      </w:hyperlink>
      <w:r w:rsidRPr="00EB2A7C">
        <w:rPr>
          <w:rFonts w:ascii="Arial" w:hAnsi="Arial" w:cs="Arial"/>
          <w:sz w:val="24"/>
          <w:szCs w:val="24"/>
          <w:vertAlign w:val="superscript"/>
        </w:rPr>
        <w:footnoteReference w:id="72"/>
      </w:r>
      <w:r w:rsidRPr="00EB2A7C">
        <w:rPr>
          <w:rFonts w:ascii="Arial" w:hAnsi="Arial" w:cs="Arial"/>
          <w:sz w:val="24"/>
          <w:szCs w:val="24"/>
        </w:rPr>
        <w:t>. This Toolkit is further discussed in the section below.</w:t>
      </w:r>
    </w:p>
    <w:p w14:paraId="3B9A682B" w14:textId="3F4CE2F6" w:rsidR="00971989" w:rsidRDefault="00971989" w:rsidP="00282EFC">
      <w:pPr>
        <w:tabs>
          <w:tab w:val="left" w:pos="6340"/>
        </w:tabs>
        <w:spacing w:line="276" w:lineRule="auto"/>
        <w:rPr>
          <w:rFonts w:ascii="Arial" w:hAnsi="Arial" w:cs="Arial"/>
          <w:sz w:val="24"/>
          <w:szCs w:val="24"/>
        </w:rPr>
      </w:pPr>
    </w:p>
    <w:p w14:paraId="2168C834" w14:textId="4ED1F4AD" w:rsidR="00D12959" w:rsidRDefault="004A1FA0" w:rsidP="00282EFC">
      <w:pPr>
        <w:tabs>
          <w:tab w:val="left" w:pos="6340"/>
        </w:tabs>
        <w:spacing w:line="276" w:lineRule="auto"/>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327806" behindDoc="0" locked="0" layoutInCell="1" allowOverlap="1" wp14:anchorId="45C0DC46" wp14:editId="6DE25B2C">
                <wp:simplePos x="0" y="0"/>
                <wp:positionH relativeFrom="column">
                  <wp:posOffset>698500</wp:posOffset>
                </wp:positionH>
                <wp:positionV relativeFrom="paragraph">
                  <wp:posOffset>135890</wp:posOffset>
                </wp:positionV>
                <wp:extent cx="3009900" cy="474345"/>
                <wp:effectExtent l="0" t="0" r="0" b="0"/>
                <wp:wrapNone/>
                <wp:docPr id="2340" name="Text Box 2340"/>
                <wp:cNvGraphicFramePr/>
                <a:graphic xmlns:a="http://schemas.openxmlformats.org/drawingml/2006/main">
                  <a:graphicData uri="http://schemas.microsoft.com/office/word/2010/wordprocessingShape">
                    <wps:wsp>
                      <wps:cNvSpPr txBox="1"/>
                      <wps:spPr>
                        <a:xfrm>
                          <a:off x="0" y="0"/>
                          <a:ext cx="3009900" cy="474345"/>
                        </a:xfrm>
                        <a:prstGeom prst="rect">
                          <a:avLst/>
                        </a:prstGeom>
                        <a:noFill/>
                        <a:ln w="6350">
                          <a:noFill/>
                        </a:ln>
                      </wps:spPr>
                      <wps:txbx>
                        <w:txbxContent>
                          <w:p w14:paraId="64D48DBE" w14:textId="05A13D7C" w:rsidR="00D15FD8" w:rsidRPr="00356A28" w:rsidRDefault="00D15FD8" w:rsidP="00D12959">
                            <w:pPr>
                              <w:pStyle w:val="Heading2"/>
                              <w:numPr>
                                <w:ilvl w:val="1"/>
                                <w:numId w:val="127"/>
                              </w:numPr>
                              <w:rPr>
                                <w:rFonts w:ascii="Arial" w:hAnsi="Arial" w:cs="Arial"/>
                                <w:b/>
                                <w:bCs/>
                                <w:color w:val="F26D24"/>
                                <w:sz w:val="36"/>
                                <w:szCs w:val="36"/>
                              </w:rPr>
                            </w:pPr>
                            <w:bookmarkStart w:id="2281" w:name="_Toc123204543"/>
                            <w:bookmarkStart w:id="2282" w:name="_Toc123216658"/>
                            <w:bookmarkStart w:id="2283" w:name="_Toc123217498"/>
                            <w:bookmarkStart w:id="2284" w:name="_Toc123828244"/>
                            <w:bookmarkStart w:id="2285" w:name="_Toc123828454"/>
                            <w:bookmarkStart w:id="2286" w:name="_Toc123828650"/>
                            <w:bookmarkStart w:id="2287" w:name="_Toc123912677"/>
                            <w:bookmarkStart w:id="2288" w:name="_Toc123912936"/>
                            <w:bookmarkStart w:id="2289" w:name="_Toc123913163"/>
                            <w:bookmarkStart w:id="2290" w:name="_Toc123913454"/>
                            <w:bookmarkStart w:id="2291" w:name="_Toc123914111"/>
                            <w:bookmarkStart w:id="2292" w:name="_Toc125566726"/>
                            <w:r w:rsidRPr="00356A28">
                              <w:rPr>
                                <w:rFonts w:ascii="Arial" w:hAnsi="Arial" w:cs="Arial"/>
                                <w:b/>
                                <w:bCs/>
                                <w:color w:val="F26D24"/>
                                <w:sz w:val="36"/>
                                <w:szCs w:val="36"/>
                              </w:rPr>
                              <w:t>Open data tools</w:t>
                            </w:r>
                            <w:bookmarkEnd w:id="2281"/>
                            <w:bookmarkEnd w:id="2282"/>
                            <w:bookmarkEnd w:id="2283"/>
                            <w:bookmarkEnd w:id="2284"/>
                            <w:bookmarkEnd w:id="2285"/>
                            <w:bookmarkEnd w:id="2286"/>
                            <w:bookmarkEnd w:id="2287"/>
                            <w:bookmarkEnd w:id="2288"/>
                            <w:bookmarkEnd w:id="2289"/>
                            <w:bookmarkEnd w:id="2290"/>
                            <w:bookmarkEnd w:id="2291"/>
                            <w:bookmarkEnd w:id="229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0DC46" id="Text Box 2340" o:spid="_x0000_s1554" type="#_x0000_t202" style="position:absolute;margin-left:55pt;margin-top:10.7pt;width:237pt;height:37.35pt;z-index:254327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" filled="f" stroked="f" strokeweight=".5pt">
                <v:textbox>
                  <w:txbxContent>
                    <w:p w14:paraId="64D48DBE" w14:textId="05A13D7C" w:rsidR="00D15FD8" w:rsidRPr="00356A28" w:rsidRDefault="00D15FD8" w:rsidP="00D12959">
                      <w:pPr>
                        <w:pStyle w:val="Heading2"/>
                        <w:numPr>
                          <w:ilvl w:val="1"/>
                          <w:numId w:val="127"/>
                        </w:numPr>
                        <w:rPr>
                          <w:rFonts w:ascii="Arial" w:hAnsi="Arial" w:cs="Arial"/>
                          <w:b/>
                          <w:bCs/>
                          <w:color w:val="F26D24"/>
                          <w:sz w:val="36"/>
                          <w:szCs w:val="36"/>
                        </w:rPr>
                      </w:pPr>
                      <w:bookmarkStart w:id="2293" w:name="_Toc123204543"/>
                      <w:bookmarkStart w:id="2294" w:name="_Toc123216658"/>
                      <w:bookmarkStart w:id="2295" w:name="_Toc123217498"/>
                      <w:bookmarkStart w:id="2296" w:name="_Toc123828244"/>
                      <w:bookmarkStart w:id="2297" w:name="_Toc123828454"/>
                      <w:bookmarkStart w:id="2298" w:name="_Toc123828650"/>
                      <w:bookmarkStart w:id="2299" w:name="_Toc123912677"/>
                      <w:bookmarkStart w:id="2300" w:name="_Toc123912936"/>
                      <w:bookmarkStart w:id="2301" w:name="_Toc123913163"/>
                      <w:bookmarkStart w:id="2302" w:name="_Toc123913454"/>
                      <w:bookmarkStart w:id="2303" w:name="_Toc123914111"/>
                      <w:bookmarkStart w:id="2304" w:name="_Toc125566726"/>
                      <w:r w:rsidRPr="00356A28">
                        <w:rPr>
                          <w:rFonts w:ascii="Arial" w:hAnsi="Arial" w:cs="Arial"/>
                          <w:b/>
                          <w:bCs/>
                          <w:color w:val="F26D24"/>
                          <w:sz w:val="36"/>
                          <w:szCs w:val="36"/>
                        </w:rPr>
                        <w:t>Open data tools</w:t>
                      </w:r>
                      <w:bookmarkEnd w:id="2293"/>
                      <w:bookmarkEnd w:id="2294"/>
                      <w:bookmarkEnd w:id="2295"/>
                      <w:bookmarkEnd w:id="2296"/>
                      <w:bookmarkEnd w:id="2297"/>
                      <w:bookmarkEnd w:id="2298"/>
                      <w:bookmarkEnd w:id="2299"/>
                      <w:bookmarkEnd w:id="2300"/>
                      <w:bookmarkEnd w:id="2301"/>
                      <w:bookmarkEnd w:id="2302"/>
                      <w:bookmarkEnd w:id="2303"/>
                      <w:bookmarkEnd w:id="2304"/>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326782" behindDoc="1" locked="0" layoutInCell="1" allowOverlap="1" wp14:anchorId="50EA4C20" wp14:editId="4B13D700">
                <wp:simplePos x="0" y="0"/>
                <wp:positionH relativeFrom="margin">
                  <wp:posOffset>609600</wp:posOffset>
                </wp:positionH>
                <wp:positionV relativeFrom="paragraph">
                  <wp:posOffset>31750</wp:posOffset>
                </wp:positionV>
                <wp:extent cx="3124200" cy="596900"/>
                <wp:effectExtent l="12700" t="12700" r="12700" b="12700"/>
                <wp:wrapNone/>
                <wp:docPr id="2339" name="Rounded Rectangle 2339"/>
                <wp:cNvGraphicFramePr/>
                <a:graphic xmlns:a="http://schemas.openxmlformats.org/drawingml/2006/main">
                  <a:graphicData uri="http://schemas.microsoft.com/office/word/2010/wordprocessingShape">
                    <wps:wsp>
                      <wps:cNvSpPr/>
                      <wps:spPr>
                        <a:xfrm>
                          <a:off x="0" y="0"/>
                          <a:ext cx="31242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671271A" id="Rounded Rectangle 2339" o:spid="_x0000_s1026" style="position:absolute;margin-left:48pt;margin-top:2.5pt;width:246pt;height:47pt;z-index:-2489896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" filled="f" strokecolor="#82c9a0" strokeweight="2.25pt">
                <v:stroke joinstyle="miter"/>
                <w10:wrap anchorx="margin"/>
              </v:roundrect>
            </w:pict>
          </mc:Fallback>
        </mc:AlternateContent>
      </w:r>
      <w:r>
        <w:rPr>
          <w:rFonts w:ascii="Arial" w:hAnsi="Arial" w:cs="Arial"/>
          <w:noProof/>
          <w:sz w:val="24"/>
          <w:szCs w:val="24"/>
          <w:lang w:val="en-US"/>
        </w:rPr>
        <w:drawing>
          <wp:anchor distT="0" distB="0" distL="114300" distR="114300" simplePos="0" relativeHeight="254328830" behindDoc="1" locked="0" layoutInCell="1" allowOverlap="1" wp14:anchorId="3251F6E4" wp14:editId="67A46C8F">
            <wp:simplePos x="0" y="0"/>
            <wp:positionH relativeFrom="column">
              <wp:posOffset>0</wp:posOffset>
            </wp:positionH>
            <wp:positionV relativeFrom="paragraph">
              <wp:posOffset>31750</wp:posOffset>
            </wp:positionV>
            <wp:extent cx="469900" cy="575945"/>
            <wp:effectExtent l="0" t="0" r="0" b="0"/>
            <wp:wrapTight wrapText="bothSides">
              <wp:wrapPolygon edited="0">
                <wp:start x="14595" y="0"/>
                <wp:lineTo x="2919" y="3334"/>
                <wp:lineTo x="0" y="4763"/>
                <wp:lineTo x="0" y="19528"/>
                <wp:lineTo x="14011" y="20957"/>
                <wp:lineTo x="18097" y="20957"/>
                <wp:lineTo x="18681" y="20957"/>
                <wp:lineTo x="21016" y="15241"/>
                <wp:lineTo x="21016" y="5716"/>
                <wp:lineTo x="19849" y="2381"/>
                <wp:lineTo x="18097" y="0"/>
                <wp:lineTo x="14595" y="0"/>
              </wp:wrapPolygon>
            </wp:wrapTight>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Picture 2151"/>
                    <pic:cNvPicPr/>
                  </pic:nvPicPr>
                  <pic:blipFill rotWithShape="1">
                    <a:blip r:embed="rId859" cstate="email">
                      <a:extLst>
                        <a:ext uri="{28A0092B-C50C-407E-A947-70E740481C1C}">
                          <a14:useLocalDpi xmlns:a14="http://schemas.microsoft.com/office/drawing/2010/main"/>
                        </a:ext>
                      </a:extLst>
                    </a:blip>
                    <a:srcRect/>
                    <a:stretch/>
                  </pic:blipFill>
                  <pic:spPr bwMode="auto">
                    <a:xfrm>
                      <a:off x="0" y="0"/>
                      <a:ext cx="469900"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13DC58" w14:textId="2FF90685" w:rsidR="00D12959" w:rsidRPr="00D12959" w:rsidRDefault="00D12959" w:rsidP="00EB2A7C">
      <w:pPr>
        <w:rPr>
          <w:rFonts w:ascii="Arial" w:hAnsi="Arial" w:cs="Arial"/>
          <w:sz w:val="24"/>
          <w:szCs w:val="24"/>
        </w:rPr>
      </w:pPr>
    </w:p>
    <w:p w14:paraId="7F7BDB07" w14:textId="346FB78D" w:rsidR="00D12959" w:rsidRPr="00DD7BBF" w:rsidRDefault="00D12959" w:rsidP="00EB2A7C">
      <w:pPr>
        <w:spacing w:line="276" w:lineRule="auto"/>
        <w:rPr>
          <w:rFonts w:ascii="Arial" w:hAnsi="Arial" w:cs="Arial"/>
          <w:sz w:val="24"/>
          <w:szCs w:val="24"/>
        </w:rPr>
      </w:pPr>
    </w:p>
    <w:p w14:paraId="17081E20" w14:textId="77777777" w:rsidR="004A1FA0" w:rsidRDefault="004A1FA0" w:rsidP="00DD7BBF">
      <w:pPr>
        <w:tabs>
          <w:tab w:val="left" w:pos="1080"/>
        </w:tabs>
        <w:spacing w:line="276" w:lineRule="auto"/>
        <w:rPr>
          <w:rFonts w:ascii="Arial" w:hAnsi="Arial" w:cs="Arial"/>
          <w:sz w:val="24"/>
          <w:szCs w:val="24"/>
        </w:rPr>
      </w:pPr>
    </w:p>
    <w:p w14:paraId="732A9DDB" w14:textId="09CCF60E" w:rsidR="00D12959" w:rsidRPr="00DD7BBF" w:rsidRDefault="00DD7BBF" w:rsidP="00EB2A7C">
      <w:pPr>
        <w:tabs>
          <w:tab w:val="left" w:pos="1080"/>
        </w:tabs>
        <w:spacing w:line="276" w:lineRule="auto"/>
        <w:rPr>
          <w:rFonts w:ascii="Arial" w:hAnsi="Arial" w:cs="Arial"/>
          <w:sz w:val="24"/>
          <w:szCs w:val="24"/>
        </w:rPr>
      </w:pPr>
      <w:r>
        <w:rPr>
          <w:rFonts w:ascii="Arial" w:hAnsi="Arial" w:cs="Arial"/>
          <w:noProof/>
          <w:sz w:val="24"/>
          <w:szCs w:val="24"/>
          <w:lang w:val="en-US"/>
        </w:rPr>
        <w:drawing>
          <wp:anchor distT="0" distB="0" distL="114300" distR="114300" simplePos="0" relativeHeight="254329854" behindDoc="0" locked="0" layoutInCell="1" allowOverlap="1" wp14:anchorId="563A1933" wp14:editId="0DAC7CC5">
            <wp:simplePos x="0" y="0"/>
            <wp:positionH relativeFrom="column">
              <wp:posOffset>-88900</wp:posOffset>
            </wp:positionH>
            <wp:positionV relativeFrom="paragraph">
              <wp:posOffset>87630</wp:posOffset>
            </wp:positionV>
            <wp:extent cx="1143000" cy="1234440"/>
            <wp:effectExtent l="0" t="0" r="0" b="0"/>
            <wp:wrapSquare wrapText="bothSides"/>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 name="Picture 2342"/>
                    <pic:cNvPicPr/>
                  </pic:nvPicPr>
                  <pic:blipFill rotWithShape="1">
                    <a:blip r:embed="rId914" cstate="screen">
                      <a:extLst>
                        <a:ext uri="{28A0092B-C50C-407E-A947-70E740481C1C}">
                          <a14:useLocalDpi xmlns:a14="http://schemas.microsoft.com/office/drawing/2010/main"/>
                        </a:ext>
                      </a:extLst>
                    </a:blip>
                    <a:srcRect/>
                    <a:stretch/>
                  </pic:blipFill>
                  <pic:spPr bwMode="auto">
                    <a:xfrm>
                      <a:off x="0" y="0"/>
                      <a:ext cx="1143000" cy="1234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A62D66" w14:textId="2AB45C0E" w:rsidR="00DD7BBF" w:rsidRDefault="00DD7BBF" w:rsidP="00DD7BBF">
      <w:pPr>
        <w:spacing w:line="276" w:lineRule="auto"/>
        <w:contextualSpacing/>
        <w:jc w:val="both"/>
        <w:rPr>
          <w:rFonts w:ascii="Arial" w:hAnsi="Arial" w:cs="Arial"/>
          <w:sz w:val="24"/>
          <w:szCs w:val="24"/>
        </w:rPr>
      </w:pPr>
      <w:r w:rsidRPr="00EB2A7C">
        <w:rPr>
          <w:rFonts w:ascii="Arial" w:hAnsi="Arial" w:cs="Arial"/>
          <w:sz w:val="24"/>
          <w:szCs w:val="24"/>
          <w:lang w:val="en-US"/>
        </w:rPr>
        <w:t>There are tools that have been developed over the years to assist governments in opening their data. Some of these tools are described in this section. It is important to note that these tools may themselves point to and contain links to several other tools that can be of assistance to governments. Given that these tools seek similar objections, the information contained in them also tends to overlap somewhat</w:t>
      </w:r>
      <w:r w:rsidRPr="00EB2A7C">
        <w:rPr>
          <w:rFonts w:ascii="Arial" w:hAnsi="Arial" w:cs="Arial"/>
          <w:sz w:val="24"/>
          <w:szCs w:val="24"/>
        </w:rPr>
        <w:t>.</w:t>
      </w:r>
    </w:p>
    <w:p w14:paraId="3D73F0E7" w14:textId="651F01FB" w:rsidR="00DD7BBF" w:rsidRDefault="00DD7BBF" w:rsidP="00DD7BBF">
      <w:pPr>
        <w:spacing w:line="276" w:lineRule="auto"/>
        <w:contextualSpacing/>
        <w:jc w:val="both"/>
        <w:rPr>
          <w:rFonts w:ascii="Arial" w:hAnsi="Arial" w:cs="Arial"/>
          <w:sz w:val="24"/>
          <w:szCs w:val="24"/>
        </w:rPr>
      </w:pPr>
    </w:p>
    <w:p w14:paraId="719BD572" w14:textId="77777777" w:rsidR="00356A28" w:rsidRDefault="00356A28" w:rsidP="00DD7BBF">
      <w:pPr>
        <w:spacing w:line="276" w:lineRule="auto"/>
        <w:contextualSpacing/>
        <w:jc w:val="both"/>
        <w:rPr>
          <w:rFonts w:ascii="Arial" w:hAnsi="Arial" w:cs="Arial"/>
          <w:sz w:val="24"/>
          <w:szCs w:val="24"/>
        </w:rPr>
      </w:pPr>
    </w:p>
    <w:p w14:paraId="634DD681" w14:textId="30278F26" w:rsidR="004A1FA0" w:rsidRPr="00356A28" w:rsidRDefault="004A1FA0" w:rsidP="00356A28">
      <w:pPr>
        <w:pStyle w:val="Heading3"/>
        <w:numPr>
          <w:ilvl w:val="2"/>
          <w:numId w:val="139"/>
        </w:numPr>
        <w:ind w:left="851" w:hanging="862"/>
        <w:rPr>
          <w:rFonts w:ascii="Arial" w:hAnsi="Arial" w:cs="Arial"/>
          <w:b/>
          <w:bCs/>
          <w:color w:val="82C9A0"/>
          <w:sz w:val="32"/>
          <w:szCs w:val="32"/>
          <w:lang w:val="en-US"/>
        </w:rPr>
      </w:pPr>
      <w:bookmarkStart w:id="2305" w:name="_Toc57832264"/>
      <w:bookmarkStart w:id="2306" w:name="_Toc123204544"/>
      <w:bookmarkStart w:id="2307" w:name="_Toc123216659"/>
      <w:bookmarkStart w:id="2308" w:name="_Toc123217499"/>
      <w:bookmarkStart w:id="2309" w:name="_Toc123913455"/>
      <w:bookmarkStart w:id="2310" w:name="_Toc123914112"/>
      <w:bookmarkStart w:id="2311" w:name="_Toc125566727"/>
      <w:r w:rsidRPr="00356A28">
        <w:rPr>
          <w:rFonts w:ascii="Arial" w:hAnsi="Arial" w:cs="Arial"/>
          <w:b/>
          <w:bCs/>
          <w:color w:val="82C9A0"/>
          <w:sz w:val="32"/>
          <w:szCs w:val="32"/>
          <w:lang w:val="en-US"/>
        </w:rPr>
        <w:t>Open data standards</w:t>
      </w:r>
      <w:bookmarkEnd w:id="2305"/>
      <w:bookmarkEnd w:id="2306"/>
      <w:bookmarkEnd w:id="2307"/>
      <w:bookmarkEnd w:id="2308"/>
      <w:bookmarkEnd w:id="2309"/>
      <w:bookmarkEnd w:id="2310"/>
      <w:bookmarkEnd w:id="2311"/>
    </w:p>
    <w:p w14:paraId="37612516" w14:textId="41882465" w:rsidR="004A1FA0" w:rsidRPr="004A1FA0" w:rsidRDefault="004A1FA0" w:rsidP="00EB2A7C">
      <w:pPr>
        <w:spacing w:line="276" w:lineRule="auto"/>
        <w:rPr>
          <w:rFonts w:ascii="Arial" w:hAnsi="Arial" w:cs="Arial"/>
          <w:sz w:val="24"/>
          <w:szCs w:val="24"/>
          <w:lang w:val="en-US"/>
        </w:rPr>
      </w:pPr>
    </w:p>
    <w:p w14:paraId="73E367E7" w14:textId="364EE6A1" w:rsidR="004A1FA0" w:rsidRDefault="004A1FA0" w:rsidP="004A1FA0">
      <w:pPr>
        <w:spacing w:line="276" w:lineRule="auto"/>
        <w:contextualSpacing/>
        <w:jc w:val="both"/>
        <w:rPr>
          <w:rFonts w:ascii="Arial" w:hAnsi="Arial" w:cs="Arial"/>
          <w:sz w:val="24"/>
          <w:szCs w:val="24"/>
        </w:rPr>
      </w:pPr>
      <w:r w:rsidRPr="00EB2A7C">
        <w:rPr>
          <w:rFonts w:ascii="Arial" w:hAnsi="Arial" w:cs="Arial"/>
          <w:sz w:val="24"/>
          <w:szCs w:val="24"/>
        </w:rPr>
        <w:t>An open data standard provides for the homologation of the information in a structured, standardized format using unique templates. Standardized data, has advantages, including that:</w:t>
      </w:r>
    </w:p>
    <w:p w14:paraId="0BF273F3" w14:textId="56BF1B7C" w:rsidR="004D730B" w:rsidRDefault="004D730B" w:rsidP="004A1FA0">
      <w:pPr>
        <w:spacing w:line="276" w:lineRule="auto"/>
        <w:contextualSpacing/>
        <w:jc w:val="both"/>
        <w:rPr>
          <w:rFonts w:ascii="Arial" w:hAnsi="Arial" w:cs="Arial"/>
          <w:sz w:val="24"/>
          <w:szCs w:val="24"/>
        </w:rPr>
      </w:pPr>
      <w:r>
        <w:rPr>
          <w:noProof/>
          <w:lang w:val="en-US"/>
        </w:rPr>
        <w:drawing>
          <wp:anchor distT="0" distB="0" distL="114300" distR="114300" simplePos="0" relativeHeight="254331902" behindDoc="1" locked="0" layoutInCell="1" allowOverlap="1" wp14:anchorId="15839290" wp14:editId="742CE5B9">
            <wp:simplePos x="0" y="0"/>
            <wp:positionH relativeFrom="margin">
              <wp:posOffset>-63500</wp:posOffset>
            </wp:positionH>
            <wp:positionV relativeFrom="paragraph">
              <wp:posOffset>122555</wp:posOffset>
            </wp:positionV>
            <wp:extent cx="386715" cy="381000"/>
            <wp:effectExtent l="0" t="0" r="0" b="0"/>
            <wp:wrapTight wrapText="bothSides">
              <wp:wrapPolygon edited="0">
                <wp:start x="17734" y="0"/>
                <wp:lineTo x="0" y="1440"/>
                <wp:lineTo x="0" y="14400"/>
                <wp:lineTo x="3547" y="19440"/>
                <wp:lineTo x="4256" y="20880"/>
                <wp:lineTo x="13478" y="20880"/>
                <wp:lineTo x="14187" y="19440"/>
                <wp:lineTo x="18443" y="12960"/>
                <wp:lineTo x="20571" y="4320"/>
                <wp:lineTo x="20571" y="0"/>
                <wp:lineTo x="17734" y="0"/>
              </wp:wrapPolygon>
            </wp:wrapTight>
            <wp:docPr id="2343"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915" cstate="email">
                      <a:extLst>
                        <a:ext uri="{28A0092B-C50C-407E-A947-70E740481C1C}">
                          <a14:useLocalDpi xmlns:a14="http://schemas.microsoft.com/office/drawing/2010/main"/>
                        </a:ext>
                      </a:extLst>
                    </a:blip>
                    <a:srcRect/>
                    <a:stretch/>
                  </pic:blipFill>
                  <pic:spPr bwMode="auto">
                    <a:xfrm>
                      <a:off x="0" y="0"/>
                      <a:ext cx="386715" cy="38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4332926" behindDoc="0" locked="0" layoutInCell="1" allowOverlap="1" wp14:anchorId="7A3285EC" wp14:editId="7975E623">
                <wp:simplePos x="0" y="0"/>
                <wp:positionH relativeFrom="column">
                  <wp:posOffset>406400</wp:posOffset>
                </wp:positionH>
                <wp:positionV relativeFrom="paragraph">
                  <wp:posOffset>173355</wp:posOffset>
                </wp:positionV>
                <wp:extent cx="6235700" cy="317500"/>
                <wp:effectExtent l="0" t="0" r="0" b="0"/>
                <wp:wrapNone/>
                <wp:docPr id="2344" name="Text Box 2344"/>
                <wp:cNvGraphicFramePr/>
                <a:graphic xmlns:a="http://schemas.openxmlformats.org/drawingml/2006/main">
                  <a:graphicData uri="http://schemas.microsoft.com/office/word/2010/wordprocessingShape">
                    <wps:wsp>
                      <wps:cNvSpPr txBox="1"/>
                      <wps:spPr>
                        <a:xfrm>
                          <a:off x="0" y="0"/>
                          <a:ext cx="6235700" cy="317500"/>
                        </a:xfrm>
                        <a:prstGeom prst="rect">
                          <a:avLst/>
                        </a:prstGeom>
                        <a:noFill/>
                        <a:ln w="6350">
                          <a:noFill/>
                        </a:ln>
                      </wps:spPr>
                      <wps:txbx>
                        <w:txbxContent>
                          <w:p w14:paraId="0B7D40A5" w14:textId="77777777" w:rsidR="00D15FD8" w:rsidRPr="00661D15" w:rsidRDefault="00D15FD8" w:rsidP="003625BA">
                            <w:pPr>
                              <w:spacing w:line="276" w:lineRule="auto"/>
                              <w:contextualSpacing/>
                              <w:jc w:val="both"/>
                              <w:rPr>
                                <w:rFonts w:ascii="Arial" w:hAnsi="Arial" w:cs="Arial"/>
                                <w:sz w:val="24"/>
                                <w:szCs w:val="24"/>
                              </w:rPr>
                            </w:pPr>
                            <w:r w:rsidRPr="00661D15">
                              <w:rPr>
                                <w:rFonts w:ascii="Arial" w:hAnsi="Arial" w:cs="Arial"/>
                                <w:sz w:val="24"/>
                                <w:szCs w:val="24"/>
                              </w:rPr>
                              <w:t>there is a higher probability that such data will be readable by machines;</w:t>
                            </w:r>
                          </w:p>
                          <w:p w14:paraId="090309F0" w14:textId="77777777" w:rsidR="00D15FD8" w:rsidRDefault="00D15FD8" w:rsidP="004D73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3285EC" id="Text Box 2344" o:spid="_x0000_s1555" type="#_x0000_t202" style="position:absolute;left:0;text-align:left;margin-left:32pt;margin-top:13.65pt;width:491pt;height:25pt;z-index:2543329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" filled="f" stroked="f" strokeweight=".5pt">
                <v:textbox>
                  <w:txbxContent>
                    <w:p w14:paraId="0B7D40A5" w14:textId="77777777" w:rsidR="00D15FD8" w:rsidRPr="00661D15" w:rsidRDefault="00D15FD8" w:rsidP="003625BA">
                      <w:pPr>
                        <w:spacing w:line="276" w:lineRule="auto"/>
                        <w:contextualSpacing/>
                        <w:jc w:val="both"/>
                        <w:rPr>
                          <w:rFonts w:ascii="Arial" w:hAnsi="Arial" w:cs="Arial"/>
                          <w:sz w:val="24"/>
                          <w:szCs w:val="24"/>
                        </w:rPr>
                      </w:pPr>
                      <w:r w:rsidRPr="00661D15">
                        <w:rPr>
                          <w:rFonts w:ascii="Arial" w:hAnsi="Arial" w:cs="Arial"/>
                          <w:sz w:val="24"/>
                          <w:szCs w:val="24"/>
                        </w:rPr>
                        <w:t>there is a higher probability that such data will be readable by machines;</w:t>
                      </w:r>
                    </w:p>
                    <w:p w14:paraId="090309F0" w14:textId="77777777" w:rsidR="00D15FD8" w:rsidRDefault="00D15FD8" w:rsidP="004D730B"/>
                  </w:txbxContent>
                </v:textbox>
              </v:shape>
            </w:pict>
          </mc:Fallback>
        </mc:AlternateContent>
      </w:r>
      <w:r>
        <w:rPr>
          <w:noProof/>
          <w:lang w:val="en-US"/>
        </w:rPr>
        <mc:AlternateContent>
          <mc:Choice Requires="wps">
            <w:drawing>
              <wp:anchor distT="0" distB="0" distL="114300" distR="114300" simplePos="0" relativeHeight="251646954" behindDoc="0" locked="0" layoutInCell="1" allowOverlap="1" wp14:anchorId="6A4A3636" wp14:editId="3B0AB757">
                <wp:simplePos x="0" y="0"/>
                <wp:positionH relativeFrom="column">
                  <wp:posOffset>406400</wp:posOffset>
                </wp:positionH>
                <wp:positionV relativeFrom="paragraph">
                  <wp:posOffset>122555</wp:posOffset>
                </wp:positionV>
                <wp:extent cx="6235700" cy="381000"/>
                <wp:effectExtent l="12700" t="12700" r="12700" b="12700"/>
                <wp:wrapNone/>
                <wp:docPr id="2345" name="Rounded Rectangle 2345"/>
                <wp:cNvGraphicFramePr/>
                <a:graphic xmlns:a="http://schemas.openxmlformats.org/drawingml/2006/main">
                  <a:graphicData uri="http://schemas.microsoft.com/office/word/2010/wordprocessingShape">
                    <wps:wsp>
                      <wps:cNvSpPr/>
                      <wps:spPr>
                        <a:xfrm>
                          <a:off x="0" y="0"/>
                          <a:ext cx="6235700" cy="3810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2D229179" id="Rounded Rectangle 2345" o:spid="_x0000_s1026" style="position:absolute;margin-left:32pt;margin-top:9.65pt;width:491pt;height:30pt;z-index:2516469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" filled="f" strokecolor="#82c9a0" strokeweight="2.25pt">
                <v:stroke joinstyle="miter"/>
              </v:roundrect>
            </w:pict>
          </mc:Fallback>
        </mc:AlternateContent>
      </w:r>
    </w:p>
    <w:p w14:paraId="75C31890" w14:textId="11525B97" w:rsidR="004D730B" w:rsidRDefault="004D730B" w:rsidP="004A1FA0">
      <w:pPr>
        <w:spacing w:line="276" w:lineRule="auto"/>
        <w:contextualSpacing/>
        <w:jc w:val="both"/>
        <w:rPr>
          <w:rFonts w:ascii="Arial" w:hAnsi="Arial" w:cs="Arial"/>
          <w:sz w:val="24"/>
          <w:szCs w:val="24"/>
        </w:rPr>
      </w:pPr>
    </w:p>
    <w:p w14:paraId="6983B15C" w14:textId="7D1F4602" w:rsidR="004D730B" w:rsidRDefault="004D730B" w:rsidP="004A1FA0">
      <w:pPr>
        <w:spacing w:line="276" w:lineRule="auto"/>
        <w:contextualSpacing/>
        <w:jc w:val="both"/>
        <w:rPr>
          <w:rFonts w:ascii="Arial" w:hAnsi="Arial" w:cs="Arial"/>
          <w:sz w:val="24"/>
          <w:szCs w:val="24"/>
        </w:rPr>
      </w:pPr>
    </w:p>
    <w:p w14:paraId="09CC8339" w14:textId="5851E2BA" w:rsidR="004D730B" w:rsidRDefault="004D730B" w:rsidP="004A1FA0">
      <w:pPr>
        <w:spacing w:line="276" w:lineRule="auto"/>
        <w:contextualSpacing/>
        <w:jc w:val="both"/>
        <w:rPr>
          <w:rFonts w:ascii="Arial" w:hAnsi="Arial" w:cs="Arial"/>
          <w:sz w:val="24"/>
          <w:szCs w:val="24"/>
        </w:rPr>
      </w:pPr>
      <w:r>
        <w:rPr>
          <w:noProof/>
          <w:lang w:val="en-US"/>
        </w:rPr>
        <w:drawing>
          <wp:anchor distT="0" distB="0" distL="114300" distR="114300" simplePos="0" relativeHeight="254334974" behindDoc="1" locked="0" layoutInCell="1" allowOverlap="1" wp14:anchorId="4EF9313A" wp14:editId="745E0D65">
            <wp:simplePos x="0" y="0"/>
            <wp:positionH relativeFrom="margin">
              <wp:posOffset>-70485</wp:posOffset>
            </wp:positionH>
            <wp:positionV relativeFrom="paragraph">
              <wp:posOffset>191135</wp:posOffset>
            </wp:positionV>
            <wp:extent cx="386715" cy="381000"/>
            <wp:effectExtent l="0" t="0" r="0" b="0"/>
            <wp:wrapTight wrapText="bothSides">
              <wp:wrapPolygon edited="0">
                <wp:start x="17734" y="0"/>
                <wp:lineTo x="0" y="1440"/>
                <wp:lineTo x="0" y="14400"/>
                <wp:lineTo x="3547" y="19440"/>
                <wp:lineTo x="4256" y="20880"/>
                <wp:lineTo x="13478" y="20880"/>
                <wp:lineTo x="14187" y="19440"/>
                <wp:lineTo x="18443" y="12960"/>
                <wp:lineTo x="20571" y="4320"/>
                <wp:lineTo x="20571" y="0"/>
                <wp:lineTo x="17734" y="0"/>
              </wp:wrapPolygon>
            </wp:wrapTight>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915" cstate="email">
                      <a:extLst>
                        <a:ext uri="{28A0092B-C50C-407E-A947-70E740481C1C}">
                          <a14:useLocalDpi xmlns:a14="http://schemas.microsoft.com/office/drawing/2010/main"/>
                        </a:ext>
                      </a:extLst>
                    </a:blip>
                    <a:srcRect/>
                    <a:stretch/>
                  </pic:blipFill>
                  <pic:spPr bwMode="auto">
                    <a:xfrm>
                      <a:off x="0" y="0"/>
                      <a:ext cx="386715" cy="38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4338046" behindDoc="0" locked="0" layoutInCell="1" allowOverlap="1" wp14:anchorId="2721A625" wp14:editId="5734E15D">
                <wp:simplePos x="0" y="0"/>
                <wp:positionH relativeFrom="column">
                  <wp:posOffset>419100</wp:posOffset>
                </wp:positionH>
                <wp:positionV relativeFrom="paragraph">
                  <wp:posOffset>102235</wp:posOffset>
                </wp:positionV>
                <wp:extent cx="6235700" cy="469900"/>
                <wp:effectExtent l="0" t="0" r="0" b="0"/>
                <wp:wrapNone/>
                <wp:docPr id="2348" name="Text Box 2348"/>
                <wp:cNvGraphicFramePr/>
                <a:graphic xmlns:a="http://schemas.openxmlformats.org/drawingml/2006/main">
                  <a:graphicData uri="http://schemas.microsoft.com/office/word/2010/wordprocessingShape">
                    <wps:wsp>
                      <wps:cNvSpPr txBox="1"/>
                      <wps:spPr>
                        <a:xfrm>
                          <a:off x="0" y="0"/>
                          <a:ext cx="6235700" cy="469900"/>
                        </a:xfrm>
                        <a:prstGeom prst="rect">
                          <a:avLst/>
                        </a:prstGeom>
                        <a:noFill/>
                        <a:ln w="6350">
                          <a:noFill/>
                        </a:ln>
                      </wps:spPr>
                      <wps:txbx>
                        <w:txbxContent>
                          <w:p w14:paraId="656C4FE8" w14:textId="77777777" w:rsidR="00D15FD8" w:rsidRPr="00661D15" w:rsidRDefault="00D15FD8" w:rsidP="003625BA">
                            <w:pPr>
                              <w:spacing w:line="276" w:lineRule="auto"/>
                              <w:contextualSpacing/>
                              <w:jc w:val="both"/>
                              <w:rPr>
                                <w:rFonts w:ascii="Arial" w:hAnsi="Arial" w:cs="Arial"/>
                                <w:sz w:val="24"/>
                                <w:szCs w:val="24"/>
                              </w:rPr>
                            </w:pPr>
                            <w:r w:rsidRPr="00661D15">
                              <w:rPr>
                                <w:rFonts w:ascii="Arial" w:hAnsi="Arial" w:cs="Arial"/>
                                <w:sz w:val="24"/>
                                <w:szCs w:val="24"/>
                              </w:rPr>
                              <w:t>it provides for a uniform source of information, making it easier for users to understand and to properly use it; and</w:t>
                            </w:r>
                          </w:p>
                          <w:p w14:paraId="4101FFA4" w14:textId="77777777" w:rsidR="00D15FD8" w:rsidRDefault="00D15FD8" w:rsidP="004D73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21A625" id="Text Box 2348" o:spid="_x0000_s1556" type="#_x0000_t202" style="position:absolute;left:0;text-align:left;margin-left:33pt;margin-top:8.05pt;width:491pt;height:37pt;z-index:2543380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" filled="f" stroked="f" strokeweight=".5pt">
                <v:textbox>
                  <w:txbxContent>
                    <w:p w14:paraId="656C4FE8" w14:textId="77777777" w:rsidR="00D15FD8" w:rsidRPr="00661D15" w:rsidRDefault="00D15FD8" w:rsidP="003625BA">
                      <w:pPr>
                        <w:spacing w:line="276" w:lineRule="auto"/>
                        <w:contextualSpacing/>
                        <w:jc w:val="both"/>
                        <w:rPr>
                          <w:rFonts w:ascii="Arial" w:hAnsi="Arial" w:cs="Arial"/>
                          <w:sz w:val="24"/>
                          <w:szCs w:val="24"/>
                        </w:rPr>
                      </w:pPr>
                      <w:r w:rsidRPr="00661D15">
                        <w:rPr>
                          <w:rFonts w:ascii="Arial" w:hAnsi="Arial" w:cs="Arial"/>
                          <w:sz w:val="24"/>
                          <w:szCs w:val="24"/>
                        </w:rPr>
                        <w:t>it provides for a uniform source of information, making it easier for users to understand and to properly use it; and</w:t>
                      </w:r>
                    </w:p>
                    <w:p w14:paraId="4101FFA4" w14:textId="77777777" w:rsidR="00D15FD8" w:rsidRDefault="00D15FD8" w:rsidP="004D730B"/>
                  </w:txbxContent>
                </v:textbox>
              </v:shape>
            </w:pict>
          </mc:Fallback>
        </mc:AlternateContent>
      </w:r>
      <w:r>
        <w:rPr>
          <w:noProof/>
          <w:lang w:val="en-US"/>
        </w:rPr>
        <mc:AlternateContent>
          <mc:Choice Requires="wps">
            <w:drawing>
              <wp:anchor distT="0" distB="0" distL="114300" distR="114300" simplePos="0" relativeHeight="254337022" behindDoc="0" locked="0" layoutInCell="1" allowOverlap="1" wp14:anchorId="405B36E6" wp14:editId="22B6886D">
                <wp:simplePos x="0" y="0"/>
                <wp:positionH relativeFrom="column">
                  <wp:posOffset>419100</wp:posOffset>
                </wp:positionH>
                <wp:positionV relativeFrom="paragraph">
                  <wp:posOffset>51435</wp:posOffset>
                </wp:positionV>
                <wp:extent cx="6235700" cy="584200"/>
                <wp:effectExtent l="12700" t="12700" r="12700" b="12700"/>
                <wp:wrapNone/>
                <wp:docPr id="2347" name="Rounded Rectangle 2347"/>
                <wp:cNvGraphicFramePr/>
                <a:graphic xmlns:a="http://schemas.openxmlformats.org/drawingml/2006/main">
                  <a:graphicData uri="http://schemas.microsoft.com/office/word/2010/wordprocessingShape">
                    <wps:wsp>
                      <wps:cNvSpPr/>
                      <wps:spPr>
                        <a:xfrm>
                          <a:off x="0" y="0"/>
                          <a:ext cx="6235700" cy="5842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7309284D" id="Rounded Rectangle 2347" o:spid="_x0000_s1026" style="position:absolute;margin-left:33pt;margin-top:4.05pt;width:491pt;height:46pt;z-index:2543370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" filled="f" strokecolor="#82c9a0" strokeweight="2.25pt">
                <v:stroke joinstyle="miter"/>
              </v:roundrect>
            </w:pict>
          </mc:Fallback>
        </mc:AlternateContent>
      </w:r>
    </w:p>
    <w:p w14:paraId="4B56A99F" w14:textId="14B92BC7" w:rsidR="004D730B" w:rsidRDefault="004D730B" w:rsidP="004A1FA0">
      <w:pPr>
        <w:spacing w:line="276" w:lineRule="auto"/>
        <w:contextualSpacing/>
        <w:jc w:val="both"/>
        <w:rPr>
          <w:rFonts w:ascii="Arial" w:hAnsi="Arial" w:cs="Arial"/>
          <w:sz w:val="24"/>
          <w:szCs w:val="24"/>
        </w:rPr>
      </w:pPr>
    </w:p>
    <w:p w14:paraId="1432C66E" w14:textId="21BF44A4" w:rsidR="004D730B" w:rsidRDefault="004D730B" w:rsidP="004A1FA0">
      <w:pPr>
        <w:spacing w:line="276" w:lineRule="auto"/>
        <w:contextualSpacing/>
        <w:jc w:val="both"/>
        <w:rPr>
          <w:rFonts w:ascii="Arial" w:hAnsi="Arial" w:cs="Arial"/>
          <w:sz w:val="24"/>
          <w:szCs w:val="24"/>
        </w:rPr>
      </w:pPr>
    </w:p>
    <w:p w14:paraId="076934FA" w14:textId="4FF28855" w:rsidR="004D730B" w:rsidRDefault="004D730B" w:rsidP="004A1FA0">
      <w:pPr>
        <w:spacing w:line="276" w:lineRule="auto"/>
        <w:contextualSpacing/>
        <w:jc w:val="both"/>
        <w:rPr>
          <w:rFonts w:ascii="Arial" w:hAnsi="Arial" w:cs="Arial"/>
          <w:sz w:val="24"/>
          <w:szCs w:val="24"/>
        </w:rPr>
      </w:pPr>
      <w:r>
        <w:rPr>
          <w:noProof/>
          <w:lang w:val="en-US"/>
        </w:rPr>
        <w:drawing>
          <wp:anchor distT="0" distB="0" distL="114300" distR="114300" simplePos="0" relativeHeight="254340094" behindDoc="1" locked="0" layoutInCell="1" allowOverlap="1" wp14:anchorId="0F5F1F5A" wp14:editId="5F8B5178">
            <wp:simplePos x="0" y="0"/>
            <wp:positionH relativeFrom="margin">
              <wp:posOffset>-63500</wp:posOffset>
            </wp:positionH>
            <wp:positionV relativeFrom="paragraph">
              <wp:posOffset>195580</wp:posOffset>
            </wp:positionV>
            <wp:extent cx="386715" cy="381000"/>
            <wp:effectExtent l="0" t="0" r="0" b="0"/>
            <wp:wrapTight wrapText="bothSides">
              <wp:wrapPolygon edited="0">
                <wp:start x="17734" y="0"/>
                <wp:lineTo x="0" y="1440"/>
                <wp:lineTo x="0" y="14400"/>
                <wp:lineTo x="3547" y="19440"/>
                <wp:lineTo x="4256" y="20880"/>
                <wp:lineTo x="13478" y="20880"/>
                <wp:lineTo x="14187" y="19440"/>
                <wp:lineTo x="18443" y="12960"/>
                <wp:lineTo x="20571" y="4320"/>
                <wp:lineTo x="20571" y="0"/>
                <wp:lineTo x="17734" y="0"/>
              </wp:wrapPolygon>
            </wp:wrapTight>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915" cstate="email">
                      <a:extLst>
                        <a:ext uri="{28A0092B-C50C-407E-A947-70E740481C1C}">
                          <a14:useLocalDpi xmlns:a14="http://schemas.microsoft.com/office/drawing/2010/main"/>
                        </a:ext>
                      </a:extLst>
                    </a:blip>
                    <a:srcRect/>
                    <a:stretch/>
                  </pic:blipFill>
                  <pic:spPr bwMode="auto">
                    <a:xfrm>
                      <a:off x="0" y="0"/>
                      <a:ext cx="386715" cy="38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4341118" behindDoc="0" locked="0" layoutInCell="1" allowOverlap="1" wp14:anchorId="42F5D468" wp14:editId="6F0CE88A">
                <wp:simplePos x="0" y="0"/>
                <wp:positionH relativeFrom="column">
                  <wp:posOffset>431800</wp:posOffset>
                </wp:positionH>
                <wp:positionV relativeFrom="paragraph">
                  <wp:posOffset>183515</wp:posOffset>
                </wp:positionV>
                <wp:extent cx="6235700" cy="419100"/>
                <wp:effectExtent l="12700" t="12700" r="12700" b="12700"/>
                <wp:wrapNone/>
                <wp:docPr id="2349" name="Rounded Rectangle 2349"/>
                <wp:cNvGraphicFramePr/>
                <a:graphic xmlns:a="http://schemas.openxmlformats.org/drawingml/2006/main">
                  <a:graphicData uri="http://schemas.microsoft.com/office/word/2010/wordprocessingShape">
                    <wps:wsp>
                      <wps:cNvSpPr/>
                      <wps:spPr>
                        <a:xfrm>
                          <a:off x="0" y="0"/>
                          <a:ext cx="6235700" cy="4191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4F253E0D" id="Rounded Rectangle 2349" o:spid="_x0000_s1026" style="position:absolute;margin-left:34pt;margin-top:14.45pt;width:491pt;height:33pt;z-index:2543411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" filled="f" strokecolor="#82c9a0" strokeweight="2.25pt">
                <v:stroke joinstyle="miter"/>
              </v:roundrect>
            </w:pict>
          </mc:Fallback>
        </mc:AlternateContent>
      </w:r>
    </w:p>
    <w:p w14:paraId="3A3B23B3" w14:textId="2B7085AF" w:rsidR="004D730B" w:rsidRDefault="004D730B" w:rsidP="004A1FA0">
      <w:pPr>
        <w:spacing w:line="276" w:lineRule="auto"/>
        <w:contextualSpacing/>
        <w:jc w:val="both"/>
        <w:rPr>
          <w:rFonts w:ascii="Arial" w:hAnsi="Arial" w:cs="Arial"/>
          <w:sz w:val="24"/>
          <w:szCs w:val="24"/>
        </w:rPr>
      </w:pPr>
      <w:r>
        <w:rPr>
          <w:noProof/>
          <w:lang w:val="en-US"/>
        </w:rPr>
        <mc:AlternateContent>
          <mc:Choice Requires="wps">
            <w:drawing>
              <wp:anchor distT="0" distB="0" distL="114300" distR="114300" simplePos="0" relativeHeight="254342142" behindDoc="0" locked="0" layoutInCell="1" allowOverlap="1" wp14:anchorId="6A12C594" wp14:editId="20877CC1">
                <wp:simplePos x="0" y="0"/>
                <wp:positionH relativeFrom="column">
                  <wp:posOffset>431800</wp:posOffset>
                </wp:positionH>
                <wp:positionV relativeFrom="paragraph">
                  <wp:posOffset>57785</wp:posOffset>
                </wp:positionV>
                <wp:extent cx="6235700" cy="292100"/>
                <wp:effectExtent l="0" t="0" r="0" b="0"/>
                <wp:wrapNone/>
                <wp:docPr id="2350" name="Text Box 2350"/>
                <wp:cNvGraphicFramePr/>
                <a:graphic xmlns:a="http://schemas.openxmlformats.org/drawingml/2006/main">
                  <a:graphicData uri="http://schemas.microsoft.com/office/word/2010/wordprocessingShape">
                    <wps:wsp>
                      <wps:cNvSpPr txBox="1"/>
                      <wps:spPr>
                        <a:xfrm>
                          <a:off x="0" y="0"/>
                          <a:ext cx="6235700" cy="292100"/>
                        </a:xfrm>
                        <a:prstGeom prst="rect">
                          <a:avLst/>
                        </a:prstGeom>
                        <a:noFill/>
                        <a:ln w="6350">
                          <a:noFill/>
                        </a:ln>
                      </wps:spPr>
                      <wps:txbx>
                        <w:txbxContent>
                          <w:p w14:paraId="01E88390" w14:textId="77777777" w:rsidR="00D15FD8" w:rsidRPr="00661D15" w:rsidRDefault="00D15FD8" w:rsidP="003625BA">
                            <w:pPr>
                              <w:spacing w:line="276" w:lineRule="auto"/>
                              <w:contextualSpacing/>
                              <w:jc w:val="both"/>
                              <w:rPr>
                                <w:rFonts w:ascii="Arial" w:hAnsi="Arial" w:cs="Arial"/>
                                <w:sz w:val="24"/>
                                <w:szCs w:val="24"/>
                              </w:rPr>
                            </w:pPr>
                            <w:r w:rsidRPr="00661D15">
                              <w:rPr>
                                <w:rFonts w:ascii="Arial" w:hAnsi="Arial" w:cs="Arial"/>
                                <w:sz w:val="24"/>
                                <w:szCs w:val="24"/>
                              </w:rPr>
                              <w:t xml:space="preserve">it allows for data visualizations using standard applications. </w:t>
                            </w:r>
                          </w:p>
                          <w:p w14:paraId="2DB70891" w14:textId="77777777" w:rsidR="00D15FD8" w:rsidRDefault="00D15FD8" w:rsidP="004D73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12C594" id="Text Box 2350" o:spid="_x0000_s1557" type="#_x0000_t202" style="position:absolute;left:0;text-align:left;margin-left:34pt;margin-top:4.55pt;width:491pt;height:23pt;z-index:2543421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" filled="f" stroked="f" strokeweight=".5pt">
                <v:textbox>
                  <w:txbxContent>
                    <w:p w14:paraId="01E88390" w14:textId="77777777" w:rsidR="00D15FD8" w:rsidRPr="00661D15" w:rsidRDefault="00D15FD8" w:rsidP="003625BA">
                      <w:pPr>
                        <w:spacing w:line="276" w:lineRule="auto"/>
                        <w:contextualSpacing/>
                        <w:jc w:val="both"/>
                        <w:rPr>
                          <w:rFonts w:ascii="Arial" w:hAnsi="Arial" w:cs="Arial"/>
                          <w:sz w:val="24"/>
                          <w:szCs w:val="24"/>
                        </w:rPr>
                      </w:pPr>
                      <w:r w:rsidRPr="00661D15">
                        <w:rPr>
                          <w:rFonts w:ascii="Arial" w:hAnsi="Arial" w:cs="Arial"/>
                          <w:sz w:val="24"/>
                          <w:szCs w:val="24"/>
                        </w:rPr>
                        <w:t xml:space="preserve">it allows for data visualizations using standard applications. </w:t>
                      </w:r>
                    </w:p>
                    <w:p w14:paraId="2DB70891" w14:textId="77777777" w:rsidR="00D15FD8" w:rsidRDefault="00D15FD8" w:rsidP="004D730B"/>
                  </w:txbxContent>
                </v:textbox>
              </v:shape>
            </w:pict>
          </mc:Fallback>
        </mc:AlternateContent>
      </w:r>
    </w:p>
    <w:p w14:paraId="3BB5FB56" w14:textId="7367CD39" w:rsidR="004D730B" w:rsidRDefault="004D730B" w:rsidP="004A1FA0">
      <w:pPr>
        <w:spacing w:line="276" w:lineRule="auto"/>
        <w:contextualSpacing/>
        <w:jc w:val="both"/>
        <w:rPr>
          <w:rFonts w:ascii="Arial" w:hAnsi="Arial" w:cs="Arial"/>
          <w:sz w:val="24"/>
          <w:szCs w:val="24"/>
        </w:rPr>
      </w:pPr>
    </w:p>
    <w:p w14:paraId="45C87D63" w14:textId="377F26E4" w:rsidR="004D730B" w:rsidRDefault="004D730B" w:rsidP="004A1FA0">
      <w:pPr>
        <w:spacing w:line="276" w:lineRule="auto"/>
        <w:contextualSpacing/>
        <w:jc w:val="both"/>
        <w:rPr>
          <w:rFonts w:ascii="Arial" w:hAnsi="Arial" w:cs="Arial"/>
          <w:sz w:val="24"/>
          <w:szCs w:val="24"/>
        </w:rPr>
      </w:pPr>
    </w:p>
    <w:p w14:paraId="0CB345DA" w14:textId="77777777" w:rsidR="004A1FA0" w:rsidRPr="00EB2A7C" w:rsidRDefault="004A1FA0" w:rsidP="00EB2A7C">
      <w:pPr>
        <w:spacing w:line="276" w:lineRule="auto"/>
        <w:contextualSpacing/>
        <w:jc w:val="both"/>
        <w:rPr>
          <w:rFonts w:ascii="Arial" w:hAnsi="Arial" w:cs="Arial"/>
          <w:sz w:val="24"/>
          <w:szCs w:val="24"/>
        </w:rPr>
      </w:pPr>
      <w:r w:rsidRPr="00EB2A7C">
        <w:rPr>
          <w:rFonts w:ascii="Arial" w:hAnsi="Arial" w:cs="Arial"/>
          <w:sz w:val="24"/>
          <w:szCs w:val="24"/>
        </w:rPr>
        <w:t>Data standards provide guidance for those still in the process of publishing information and allows data sets produced by different institutions to be easily linked, once published.</w:t>
      </w:r>
    </w:p>
    <w:p w14:paraId="548B8626" w14:textId="457801FD" w:rsidR="004A1FA0" w:rsidRPr="00EB2A7C" w:rsidRDefault="004A1FA0" w:rsidP="00EB2A7C">
      <w:pPr>
        <w:spacing w:line="276" w:lineRule="auto"/>
        <w:contextualSpacing/>
        <w:jc w:val="both"/>
        <w:rPr>
          <w:rFonts w:ascii="Arial" w:hAnsi="Arial" w:cs="Arial"/>
          <w:sz w:val="24"/>
          <w:szCs w:val="24"/>
        </w:rPr>
      </w:pPr>
    </w:p>
    <w:p w14:paraId="07A6445D" w14:textId="58820403" w:rsidR="004A1FA0" w:rsidRPr="00356A28" w:rsidRDefault="004A1FA0" w:rsidP="004A1FA0">
      <w:pPr>
        <w:spacing w:line="276" w:lineRule="auto"/>
        <w:contextualSpacing/>
        <w:jc w:val="both"/>
        <w:rPr>
          <w:rFonts w:ascii="Arial" w:hAnsi="Arial" w:cs="Arial"/>
          <w:b/>
          <w:bCs/>
          <w:color w:val="82C9A0"/>
          <w:sz w:val="32"/>
          <w:szCs w:val="32"/>
        </w:rPr>
      </w:pPr>
      <w:r w:rsidRPr="00356A28">
        <w:rPr>
          <w:rFonts w:ascii="Arial" w:hAnsi="Arial" w:cs="Arial"/>
          <w:b/>
          <w:bCs/>
          <w:color w:val="82C9A0"/>
          <w:sz w:val="32"/>
          <w:szCs w:val="32"/>
        </w:rPr>
        <w:t xml:space="preserve">International standards for the homologation of data include: </w:t>
      </w:r>
    </w:p>
    <w:p w14:paraId="1CF06675" w14:textId="034BB594" w:rsidR="004D730B" w:rsidRPr="00EB2A7C" w:rsidRDefault="00EF499F" w:rsidP="00EB2A7C">
      <w:pPr>
        <w:spacing w:line="276" w:lineRule="auto"/>
        <w:contextualSpacing/>
        <w:jc w:val="both"/>
        <w:rPr>
          <w:rFonts w:ascii="Arial" w:hAnsi="Arial" w:cs="Arial"/>
          <w:b/>
          <w:bCs/>
          <w:sz w:val="28"/>
          <w:szCs w:val="28"/>
        </w:rPr>
      </w:pPr>
      <w:r>
        <w:rPr>
          <w:noProof/>
          <w:lang w:val="en-US"/>
        </w:rPr>
        <w:drawing>
          <wp:anchor distT="0" distB="0" distL="114300" distR="114300" simplePos="0" relativeHeight="254343166" behindDoc="0" locked="0" layoutInCell="1" allowOverlap="1" wp14:anchorId="20A7B829" wp14:editId="555734F6">
            <wp:simplePos x="0" y="0"/>
            <wp:positionH relativeFrom="column">
              <wp:posOffset>0</wp:posOffset>
            </wp:positionH>
            <wp:positionV relativeFrom="paragraph">
              <wp:posOffset>239395</wp:posOffset>
            </wp:positionV>
            <wp:extent cx="852805" cy="787400"/>
            <wp:effectExtent l="0" t="0" r="0" b="0"/>
            <wp:wrapSquare wrapText="bothSides"/>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6" cstate="email">
                      <a:extLst>
                        <a:ext uri="{28A0092B-C50C-407E-A947-70E740481C1C}">
                          <a14:useLocalDpi xmlns:a14="http://schemas.microsoft.com/office/drawing/2010/main"/>
                        </a:ext>
                      </a:extLst>
                    </a:blip>
                    <a:srcRect/>
                    <a:stretch>
                      <a:fillRect/>
                    </a:stretch>
                  </pic:blipFill>
                  <pic:spPr bwMode="auto">
                    <a:xfrm>
                      <a:off x="0" y="0"/>
                      <a:ext cx="852805"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994E1F" w14:textId="0CC514C2" w:rsidR="004A1FA0" w:rsidRDefault="00EF499F" w:rsidP="004D730B">
      <w:pPr>
        <w:spacing w:line="276" w:lineRule="auto"/>
        <w:contextualSpacing/>
        <w:jc w:val="both"/>
        <w:rPr>
          <w:rFonts w:ascii="Arial" w:hAnsi="Arial" w:cs="Arial"/>
          <w:sz w:val="24"/>
          <w:szCs w:val="24"/>
        </w:rPr>
      </w:pPr>
      <w:r>
        <w:fldChar w:fldCharType="begin"/>
      </w:r>
      <w:r>
        <w:instrText xml:space="preserve"> INCLUDEPICTURE "https://www.iso.org/modules/isoorg-template/img/iso/iso-logo-print.gif" \* MERGEFORMATINET </w:instrText>
      </w:r>
      <w:r>
        <w:fldChar w:fldCharType="end"/>
      </w:r>
      <w:r w:rsidR="004A1FA0" w:rsidRPr="00EB2A7C">
        <w:rPr>
          <w:rFonts w:ascii="Arial" w:hAnsi="Arial" w:cs="Arial"/>
          <w:sz w:val="24"/>
          <w:szCs w:val="24"/>
        </w:rPr>
        <w:t xml:space="preserve">General data quality norms that should be adopted, including those published by the </w:t>
      </w:r>
      <w:hyperlink r:id="rId917" w:history="1">
        <w:r w:rsidR="004A1FA0" w:rsidRPr="00EB2A7C">
          <w:rPr>
            <w:rFonts w:ascii="Arial" w:hAnsi="Arial" w:cs="Arial"/>
            <w:color w:val="0563C1" w:themeColor="hyperlink"/>
            <w:sz w:val="24"/>
            <w:szCs w:val="24"/>
            <w:u w:val="single"/>
          </w:rPr>
          <w:t>International Organization for Standardization</w:t>
        </w:r>
      </w:hyperlink>
      <w:r w:rsidR="004A1FA0" w:rsidRPr="00EB2A7C">
        <w:rPr>
          <w:rFonts w:ascii="Arial" w:hAnsi="Arial" w:cs="Arial"/>
          <w:sz w:val="24"/>
          <w:szCs w:val="24"/>
        </w:rPr>
        <w:t xml:space="preserve"> (ISO), that provides for all sources of information to use the same format for dates, currencies, languages, and update periods, et cetera. </w:t>
      </w:r>
    </w:p>
    <w:p w14:paraId="76ABCE8F" w14:textId="0AA5BC1F" w:rsidR="00EF499F" w:rsidRDefault="00EF499F" w:rsidP="004D730B">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345214" behindDoc="0" locked="0" layoutInCell="1" allowOverlap="1" wp14:anchorId="3DE33A66" wp14:editId="59C48480">
                <wp:simplePos x="0" y="0"/>
                <wp:positionH relativeFrom="margin">
                  <wp:posOffset>-17145</wp:posOffset>
                </wp:positionH>
                <wp:positionV relativeFrom="paragraph">
                  <wp:posOffset>188595</wp:posOffset>
                </wp:positionV>
                <wp:extent cx="6667500" cy="0"/>
                <wp:effectExtent l="0" t="12700" r="12700" b="12700"/>
                <wp:wrapNone/>
                <wp:docPr id="2354" name="Straight Connector 2354"/>
                <wp:cNvGraphicFramePr/>
                <a:graphic xmlns:a="http://schemas.openxmlformats.org/drawingml/2006/main">
                  <a:graphicData uri="http://schemas.microsoft.com/office/word/2010/wordprocessingShape">
                    <wps:wsp>
                      <wps:cNvCnPr/>
                      <wps:spPr>
                        <a:xfrm>
                          <a:off x="0" y="0"/>
                          <a:ext cx="6667500" cy="0"/>
                        </a:xfrm>
                        <a:prstGeom prst="line">
                          <a:avLst/>
                        </a:prstGeom>
                        <a:ln w="28575">
                          <a:solidFill>
                            <a:srgbClr val="82C9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3A5A8DD4" id="Straight Connector 2354" o:spid="_x0000_s1026" style="position:absolute;z-index:254345214;visibility:visible;mso-wrap-style:square;mso-wrap-distance-left:9pt;mso-wrap-distance-top:0;mso-wrap-distance-right:9pt;mso-wrap-distance-bottom:0;mso-position-horizontal:absolute;mso-position-horizontal-relative:margin;mso-position-vertical:absolute;mso-position-vertical-relative:text" from="-1.35pt,14.85pt" to="523.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" strokecolor="#82c9a0" strokeweight="2.25pt">
                <v:stroke joinstyle="miter"/>
                <w10:wrap anchorx="margin"/>
              </v:line>
            </w:pict>
          </mc:Fallback>
        </mc:AlternateContent>
      </w:r>
    </w:p>
    <w:p w14:paraId="4B1836D6" w14:textId="05FF6A27" w:rsidR="00EF499F" w:rsidRDefault="00EF499F" w:rsidP="004D730B">
      <w:pPr>
        <w:spacing w:line="276" w:lineRule="auto"/>
        <w:contextualSpacing/>
        <w:jc w:val="both"/>
        <w:rPr>
          <w:rFonts w:ascii="Arial" w:hAnsi="Arial" w:cs="Arial"/>
          <w:sz w:val="24"/>
          <w:szCs w:val="24"/>
        </w:rPr>
      </w:pPr>
      <w:r>
        <w:rPr>
          <w:noProof/>
          <w:lang w:val="en-US"/>
        </w:rPr>
        <w:drawing>
          <wp:anchor distT="0" distB="0" distL="114300" distR="114300" simplePos="0" relativeHeight="254344190" behindDoc="0" locked="0" layoutInCell="1" allowOverlap="1" wp14:anchorId="511CD7A4" wp14:editId="4A629DA2">
            <wp:simplePos x="0" y="0"/>
            <wp:positionH relativeFrom="column">
              <wp:posOffset>0</wp:posOffset>
            </wp:positionH>
            <wp:positionV relativeFrom="paragraph">
              <wp:posOffset>163195</wp:posOffset>
            </wp:positionV>
            <wp:extent cx="2550160" cy="406400"/>
            <wp:effectExtent l="0" t="0" r="2540" b="0"/>
            <wp:wrapSquare wrapText="bothSides"/>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8" cstate="email">
                      <a:extLst>
                        <a:ext uri="{28A0092B-C50C-407E-A947-70E740481C1C}">
                          <a14:useLocalDpi xmlns:a14="http://schemas.microsoft.com/office/drawing/2010/main"/>
                        </a:ext>
                      </a:extLst>
                    </a:blip>
                    <a:srcRect l="4863" t="27294" r="9994" b="31475"/>
                    <a:stretch/>
                  </pic:blipFill>
                  <pic:spPr bwMode="auto">
                    <a:xfrm>
                      <a:off x="0" y="0"/>
                      <a:ext cx="2550160" cy="40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56C6CA" w14:textId="6615FF5F" w:rsidR="004A1FA0" w:rsidRDefault="00EF499F" w:rsidP="00EF499F">
      <w:pPr>
        <w:spacing w:line="276" w:lineRule="auto"/>
        <w:contextualSpacing/>
        <w:jc w:val="both"/>
        <w:rPr>
          <w:rFonts w:ascii="Arial" w:hAnsi="Arial" w:cs="Arial"/>
          <w:sz w:val="24"/>
          <w:szCs w:val="24"/>
        </w:rPr>
      </w:pPr>
      <w:r>
        <w:fldChar w:fldCharType="begin"/>
      </w:r>
      <w:r>
        <w:instrText xml:space="preserve"> INCLUDEPICTURE "https://ec.europa.eu/eurostat/cache/digpub/european_economy_2018/images/icones/eurostat-logo.png" \* MERGEFORMATINET </w:instrText>
      </w:r>
      <w:r>
        <w:fldChar w:fldCharType="end"/>
      </w:r>
      <w:proofErr w:type="spellStart"/>
      <w:r w:rsidR="004A1FA0" w:rsidRPr="00EB2A7C">
        <w:rPr>
          <w:rFonts w:ascii="Arial" w:hAnsi="Arial" w:cs="Arial"/>
          <w:sz w:val="24"/>
          <w:szCs w:val="24"/>
        </w:rPr>
        <w:t>EuroStat’s</w:t>
      </w:r>
      <w:proofErr w:type="spellEnd"/>
      <w:r w:rsidR="004A1FA0" w:rsidRPr="00EB2A7C">
        <w:rPr>
          <w:rFonts w:ascii="Arial" w:hAnsi="Arial" w:cs="Arial"/>
          <w:sz w:val="24"/>
          <w:szCs w:val="24"/>
        </w:rPr>
        <w:t xml:space="preserve"> definition of </w:t>
      </w:r>
      <w:hyperlink r:id="rId919" w:history="1">
        <w:r w:rsidR="004A1FA0" w:rsidRPr="00EB2A7C">
          <w:rPr>
            <w:rFonts w:ascii="Arial" w:hAnsi="Arial" w:cs="Arial"/>
            <w:color w:val="0563C1" w:themeColor="hyperlink"/>
            <w:sz w:val="24"/>
            <w:szCs w:val="24"/>
            <w:u w:val="single"/>
          </w:rPr>
          <w:t>quality in statistics</w:t>
        </w:r>
        <w:r w:rsidR="004A1FA0" w:rsidRPr="00EB2A7C">
          <w:rPr>
            <w:rFonts w:ascii="Arial" w:hAnsi="Arial" w:cs="Arial"/>
            <w:sz w:val="24"/>
            <w:szCs w:val="24"/>
          </w:rPr>
          <w:t> </w:t>
        </w:r>
      </w:hyperlink>
      <w:r w:rsidR="004A1FA0" w:rsidRPr="00EB2A7C">
        <w:rPr>
          <w:rFonts w:ascii="Arial" w:hAnsi="Arial" w:cs="Arial"/>
          <w:sz w:val="24"/>
          <w:szCs w:val="24"/>
        </w:rPr>
        <w:t>provides a set of quality dimensions for all data types:</w:t>
      </w:r>
    </w:p>
    <w:p w14:paraId="74F2C8C8" w14:textId="77777777" w:rsidR="00EF499F" w:rsidRPr="00EB2A7C" w:rsidRDefault="00EF499F" w:rsidP="00EB2A7C">
      <w:pPr>
        <w:spacing w:line="276" w:lineRule="auto"/>
        <w:contextualSpacing/>
        <w:jc w:val="both"/>
        <w:rPr>
          <w:rFonts w:ascii="Arial" w:hAnsi="Arial" w:cs="Arial"/>
          <w:sz w:val="24"/>
          <w:szCs w:val="24"/>
        </w:rPr>
      </w:pPr>
    </w:p>
    <w:p w14:paraId="4BC8498F" w14:textId="67A694D1" w:rsidR="00EF499F" w:rsidRPr="00EB2A7C" w:rsidRDefault="004A1FA0" w:rsidP="004A1FA0">
      <w:pPr>
        <w:numPr>
          <w:ilvl w:val="0"/>
          <w:numId w:val="140"/>
        </w:numPr>
        <w:spacing w:line="276" w:lineRule="auto"/>
        <w:contextualSpacing/>
        <w:jc w:val="both"/>
        <w:rPr>
          <w:rFonts w:ascii="Arial" w:hAnsi="Arial" w:cs="Arial"/>
          <w:b/>
          <w:color w:val="82C9A0"/>
          <w:sz w:val="24"/>
          <w:szCs w:val="24"/>
          <w:lang w:val="en-ZA"/>
        </w:rPr>
      </w:pPr>
      <w:r w:rsidRPr="00EB2A7C">
        <w:rPr>
          <w:rFonts w:ascii="Arial" w:hAnsi="Arial" w:cs="Arial"/>
          <w:b/>
          <w:i/>
          <w:color w:val="82C9A0"/>
          <w:sz w:val="24"/>
          <w:szCs w:val="24"/>
          <w:lang w:val="en-ZA"/>
        </w:rPr>
        <w:lastRenderedPageBreak/>
        <w:t>Relevance:</w:t>
      </w:r>
    </w:p>
    <w:p w14:paraId="701510D1" w14:textId="5284CE4F" w:rsidR="004A1FA0" w:rsidRDefault="004A1FA0" w:rsidP="00EF499F">
      <w:pPr>
        <w:spacing w:line="276" w:lineRule="auto"/>
        <w:ind w:left="720"/>
        <w:contextualSpacing/>
        <w:jc w:val="both"/>
        <w:rPr>
          <w:rFonts w:ascii="Arial" w:hAnsi="Arial" w:cs="Arial"/>
          <w:bCs/>
          <w:sz w:val="24"/>
          <w:szCs w:val="24"/>
          <w:lang w:val="en-ZA"/>
        </w:rPr>
      </w:pPr>
      <w:r w:rsidRPr="00EB2A7C">
        <w:rPr>
          <w:rFonts w:ascii="Arial" w:hAnsi="Arial" w:cs="Arial"/>
          <w:bCs/>
          <w:sz w:val="24"/>
          <w:szCs w:val="24"/>
          <w:lang w:val="en-ZA"/>
        </w:rPr>
        <w:t>Statistics should meet current and potential users’ needs.</w:t>
      </w:r>
    </w:p>
    <w:p w14:paraId="4CF53609" w14:textId="6A731430" w:rsidR="00EF499F" w:rsidRPr="00EB2A7C" w:rsidRDefault="00EF499F" w:rsidP="00EB2A7C">
      <w:pPr>
        <w:spacing w:line="276" w:lineRule="auto"/>
        <w:ind w:left="720"/>
        <w:contextualSpacing/>
        <w:jc w:val="both"/>
        <w:rPr>
          <w:rFonts w:ascii="Arial" w:hAnsi="Arial" w:cs="Arial"/>
          <w:bCs/>
          <w:sz w:val="24"/>
          <w:szCs w:val="24"/>
          <w:lang w:val="en-ZA"/>
        </w:rPr>
      </w:pPr>
    </w:p>
    <w:p w14:paraId="5CB0B60B" w14:textId="689935C4" w:rsidR="00EF499F" w:rsidRPr="00EB2A7C" w:rsidRDefault="004A1FA0" w:rsidP="004A1FA0">
      <w:pPr>
        <w:numPr>
          <w:ilvl w:val="0"/>
          <w:numId w:val="140"/>
        </w:numPr>
        <w:spacing w:line="276" w:lineRule="auto"/>
        <w:contextualSpacing/>
        <w:jc w:val="both"/>
        <w:rPr>
          <w:rFonts w:ascii="Arial" w:hAnsi="Arial" w:cs="Arial"/>
          <w:b/>
          <w:color w:val="82C9A0"/>
          <w:sz w:val="24"/>
          <w:szCs w:val="24"/>
          <w:lang w:val="en-ZA"/>
        </w:rPr>
      </w:pPr>
      <w:r w:rsidRPr="00EB2A7C">
        <w:rPr>
          <w:rFonts w:ascii="Arial" w:hAnsi="Arial" w:cs="Arial"/>
          <w:b/>
          <w:i/>
          <w:color w:val="82C9A0"/>
          <w:sz w:val="24"/>
          <w:szCs w:val="24"/>
          <w:lang w:val="en-ZA"/>
        </w:rPr>
        <w:t>Accuracy and reliability:</w:t>
      </w:r>
    </w:p>
    <w:p w14:paraId="73330F2B" w14:textId="60F15229" w:rsidR="004A1FA0" w:rsidRDefault="004A1FA0" w:rsidP="00EF499F">
      <w:pPr>
        <w:spacing w:line="276" w:lineRule="auto"/>
        <w:ind w:left="720"/>
        <w:contextualSpacing/>
        <w:jc w:val="both"/>
        <w:rPr>
          <w:rFonts w:ascii="Arial" w:hAnsi="Arial" w:cs="Arial"/>
          <w:bCs/>
          <w:sz w:val="24"/>
          <w:szCs w:val="24"/>
          <w:lang w:val="en-ZA"/>
        </w:rPr>
      </w:pPr>
      <w:r w:rsidRPr="00EB2A7C">
        <w:rPr>
          <w:rFonts w:ascii="Arial" w:hAnsi="Arial" w:cs="Arial"/>
          <w:bCs/>
          <w:sz w:val="24"/>
          <w:szCs w:val="24"/>
          <w:lang w:val="en-ZA"/>
        </w:rPr>
        <w:t>Data should be free of errors and reliably portray reality.</w:t>
      </w:r>
    </w:p>
    <w:p w14:paraId="4D1A963C" w14:textId="16C4CE3D" w:rsidR="00EF499F" w:rsidRPr="00EB2A7C" w:rsidRDefault="00EF499F" w:rsidP="00EB2A7C">
      <w:pPr>
        <w:spacing w:line="276" w:lineRule="auto"/>
        <w:ind w:left="720"/>
        <w:contextualSpacing/>
        <w:jc w:val="both"/>
        <w:rPr>
          <w:rFonts w:ascii="Arial" w:hAnsi="Arial" w:cs="Arial"/>
          <w:bCs/>
          <w:sz w:val="24"/>
          <w:szCs w:val="24"/>
          <w:lang w:val="en-ZA"/>
        </w:rPr>
      </w:pPr>
    </w:p>
    <w:p w14:paraId="6A918A31" w14:textId="6C40B43D" w:rsidR="00EF499F" w:rsidRPr="00EB2A7C" w:rsidRDefault="004A1FA0" w:rsidP="004A1FA0">
      <w:pPr>
        <w:numPr>
          <w:ilvl w:val="0"/>
          <w:numId w:val="140"/>
        </w:numPr>
        <w:spacing w:line="276" w:lineRule="auto"/>
        <w:contextualSpacing/>
        <w:jc w:val="both"/>
        <w:rPr>
          <w:rFonts w:ascii="Arial" w:hAnsi="Arial" w:cs="Arial"/>
          <w:b/>
          <w:color w:val="82C9A0"/>
          <w:sz w:val="24"/>
          <w:szCs w:val="24"/>
          <w:lang w:val="en-ZA"/>
        </w:rPr>
      </w:pPr>
      <w:r w:rsidRPr="00EB2A7C">
        <w:rPr>
          <w:rFonts w:ascii="Arial" w:hAnsi="Arial" w:cs="Arial"/>
          <w:b/>
          <w:i/>
          <w:color w:val="82C9A0"/>
          <w:sz w:val="24"/>
          <w:szCs w:val="24"/>
          <w:lang w:val="en-ZA"/>
        </w:rPr>
        <w:t>Timeliness and punctuality:</w:t>
      </w:r>
    </w:p>
    <w:p w14:paraId="08D9DE88" w14:textId="0F11C9B4" w:rsidR="004A1FA0" w:rsidRDefault="004A1FA0" w:rsidP="00EF499F">
      <w:pPr>
        <w:spacing w:line="276" w:lineRule="auto"/>
        <w:ind w:left="720"/>
        <w:contextualSpacing/>
        <w:jc w:val="both"/>
        <w:rPr>
          <w:rFonts w:ascii="Arial" w:hAnsi="Arial" w:cs="Arial"/>
          <w:bCs/>
          <w:sz w:val="24"/>
          <w:szCs w:val="24"/>
          <w:lang w:val="en-ZA"/>
        </w:rPr>
      </w:pPr>
      <w:r w:rsidRPr="00EB2A7C">
        <w:rPr>
          <w:rFonts w:ascii="Arial" w:hAnsi="Arial" w:cs="Arial"/>
          <w:bCs/>
          <w:sz w:val="24"/>
          <w:szCs w:val="24"/>
          <w:lang w:val="en-ZA"/>
        </w:rPr>
        <w:t>Data should be published in a timely and punctual manner.</w:t>
      </w:r>
    </w:p>
    <w:p w14:paraId="64444402" w14:textId="119464A0" w:rsidR="00EF499F" w:rsidRPr="00EB2A7C" w:rsidRDefault="00EF499F" w:rsidP="00EB2A7C">
      <w:pPr>
        <w:spacing w:line="276" w:lineRule="auto"/>
        <w:ind w:left="720"/>
        <w:contextualSpacing/>
        <w:jc w:val="both"/>
        <w:rPr>
          <w:rFonts w:ascii="Arial" w:hAnsi="Arial" w:cs="Arial"/>
          <w:bCs/>
          <w:sz w:val="24"/>
          <w:szCs w:val="24"/>
          <w:lang w:val="en-ZA"/>
        </w:rPr>
      </w:pPr>
    </w:p>
    <w:p w14:paraId="19A17A08" w14:textId="77777777" w:rsidR="00EF499F" w:rsidRPr="00EB2A7C" w:rsidRDefault="004A1FA0" w:rsidP="004A1FA0">
      <w:pPr>
        <w:numPr>
          <w:ilvl w:val="0"/>
          <w:numId w:val="140"/>
        </w:numPr>
        <w:spacing w:line="276" w:lineRule="auto"/>
        <w:contextualSpacing/>
        <w:jc w:val="both"/>
        <w:rPr>
          <w:rFonts w:ascii="Arial" w:hAnsi="Arial" w:cs="Arial"/>
          <w:b/>
          <w:color w:val="82C9A0"/>
          <w:sz w:val="24"/>
          <w:szCs w:val="24"/>
          <w:lang w:val="en-ZA"/>
        </w:rPr>
      </w:pPr>
      <w:r w:rsidRPr="00EB2A7C">
        <w:rPr>
          <w:rFonts w:ascii="Arial" w:hAnsi="Arial" w:cs="Arial"/>
          <w:b/>
          <w:i/>
          <w:color w:val="82C9A0"/>
          <w:sz w:val="24"/>
          <w:szCs w:val="24"/>
          <w:lang w:val="en-ZA"/>
        </w:rPr>
        <w:t>Coherence and comparability:</w:t>
      </w:r>
    </w:p>
    <w:p w14:paraId="293ACF44" w14:textId="3369AA8E" w:rsidR="004A1FA0" w:rsidRDefault="004A1FA0" w:rsidP="00EF499F">
      <w:pPr>
        <w:spacing w:line="276" w:lineRule="auto"/>
        <w:ind w:left="720"/>
        <w:contextualSpacing/>
        <w:jc w:val="both"/>
        <w:rPr>
          <w:rFonts w:ascii="Arial" w:hAnsi="Arial" w:cs="Arial"/>
          <w:bCs/>
          <w:sz w:val="24"/>
          <w:szCs w:val="24"/>
        </w:rPr>
      </w:pPr>
      <w:r w:rsidRPr="00EB2A7C">
        <w:rPr>
          <w:rFonts w:ascii="Arial" w:hAnsi="Arial" w:cs="Arial"/>
          <w:bCs/>
          <w:sz w:val="24"/>
          <w:szCs w:val="24"/>
          <w:lang w:val="en-ZA"/>
        </w:rPr>
        <w:t>The degree to which data comport to recognized definitions and methodologies. Data should be comparable across time, internally, across regions and countries.</w:t>
      </w:r>
      <w:r w:rsidRPr="00EB2A7C">
        <w:rPr>
          <w:rFonts w:ascii="Arial" w:hAnsi="Arial" w:cs="Arial"/>
          <w:color w:val="000000"/>
          <w:sz w:val="24"/>
          <w:szCs w:val="24"/>
          <w:shd w:val="clear" w:color="auto" w:fill="FFFFFF"/>
        </w:rPr>
        <w:t xml:space="preserve"> It </w:t>
      </w:r>
      <w:r w:rsidRPr="00EB2A7C">
        <w:rPr>
          <w:rFonts w:ascii="Arial" w:hAnsi="Arial" w:cs="Arial"/>
          <w:bCs/>
          <w:sz w:val="24"/>
          <w:szCs w:val="24"/>
        </w:rPr>
        <w:t>should be possible to combine and make joint use of related data from different sources.</w:t>
      </w:r>
    </w:p>
    <w:p w14:paraId="5809FDF6" w14:textId="77777777" w:rsidR="00EF499F" w:rsidRPr="00EB2A7C" w:rsidRDefault="00EF499F" w:rsidP="00EB2A7C">
      <w:pPr>
        <w:spacing w:line="276" w:lineRule="auto"/>
        <w:ind w:left="720"/>
        <w:contextualSpacing/>
        <w:jc w:val="both"/>
        <w:rPr>
          <w:rFonts w:ascii="Arial" w:hAnsi="Arial" w:cs="Arial"/>
          <w:bCs/>
          <w:sz w:val="24"/>
          <w:szCs w:val="24"/>
          <w:lang w:val="en-ZA"/>
        </w:rPr>
      </w:pPr>
    </w:p>
    <w:p w14:paraId="517C00AA" w14:textId="4BEE0791" w:rsidR="00EF499F" w:rsidRPr="00EB2A7C" w:rsidRDefault="004A1FA0" w:rsidP="004A1FA0">
      <w:pPr>
        <w:numPr>
          <w:ilvl w:val="0"/>
          <w:numId w:val="140"/>
        </w:numPr>
        <w:spacing w:line="276" w:lineRule="auto"/>
        <w:contextualSpacing/>
        <w:jc w:val="both"/>
        <w:rPr>
          <w:rFonts w:ascii="Arial" w:hAnsi="Arial" w:cs="Arial"/>
          <w:b/>
          <w:color w:val="82C9A0"/>
          <w:sz w:val="24"/>
          <w:szCs w:val="24"/>
          <w:lang w:val="en-ZA"/>
        </w:rPr>
      </w:pPr>
      <w:r w:rsidRPr="00EB2A7C">
        <w:rPr>
          <w:rFonts w:ascii="Arial" w:hAnsi="Arial" w:cs="Arial"/>
          <w:b/>
          <w:i/>
          <w:color w:val="82C9A0"/>
          <w:sz w:val="24"/>
          <w:szCs w:val="24"/>
          <w:lang w:val="en-ZA"/>
        </w:rPr>
        <w:t>Accessibility and clarity:</w:t>
      </w:r>
    </w:p>
    <w:p w14:paraId="502E1E99" w14:textId="2CF3B2B6" w:rsidR="004A1FA0" w:rsidRPr="00EB2A7C" w:rsidRDefault="004A1FA0" w:rsidP="00EB2A7C">
      <w:pPr>
        <w:spacing w:line="276" w:lineRule="auto"/>
        <w:ind w:left="720"/>
        <w:contextualSpacing/>
        <w:jc w:val="both"/>
        <w:rPr>
          <w:rFonts w:ascii="Arial" w:hAnsi="Arial" w:cs="Arial"/>
          <w:bCs/>
          <w:sz w:val="24"/>
          <w:szCs w:val="24"/>
          <w:lang w:val="en-ZA"/>
        </w:rPr>
      </w:pPr>
      <w:r w:rsidRPr="00EB2A7C">
        <w:rPr>
          <w:rFonts w:ascii="Arial" w:hAnsi="Arial" w:cs="Arial"/>
          <w:bCs/>
          <w:sz w:val="24"/>
          <w:szCs w:val="24"/>
          <w:lang w:val="en-ZA"/>
        </w:rPr>
        <w:t>The ease with which users can access the data and the degree to which they are explained through metadata and other data governance policies/guidance documentation.</w:t>
      </w:r>
    </w:p>
    <w:p w14:paraId="38B7ABDD" w14:textId="65F07829" w:rsidR="00F975D4" w:rsidRDefault="0096076C" w:rsidP="00356A28">
      <w:pPr>
        <w:tabs>
          <w:tab w:val="left" w:pos="8931"/>
        </w:tabs>
        <w:rPr>
          <w:rFonts w:ascii="Arial" w:hAnsi="Arial" w:cs="Arial"/>
          <w:b/>
          <w:color w:val="ED5625"/>
          <w:sz w:val="24"/>
          <w:szCs w:val="24"/>
        </w:rPr>
      </w:pPr>
      <w:r w:rsidRPr="003625BA">
        <w:rPr>
          <w:rFonts w:ascii="Roboto" w:hAnsi="Roboto" w:cs="Arial"/>
          <w:noProof/>
          <w:color w:val="ED5625"/>
          <w:sz w:val="20"/>
          <w:szCs w:val="20"/>
          <w:lang w:val="en-US"/>
        </w:rPr>
        <mc:AlternateContent>
          <mc:Choice Requires="wps">
            <w:drawing>
              <wp:anchor distT="0" distB="0" distL="114300" distR="114300" simplePos="0" relativeHeight="255093758" behindDoc="1" locked="0" layoutInCell="1" allowOverlap="1" wp14:anchorId="7B959D61" wp14:editId="360FAE80">
                <wp:simplePos x="0" y="0"/>
                <wp:positionH relativeFrom="margin">
                  <wp:posOffset>-183243</wp:posOffset>
                </wp:positionH>
                <wp:positionV relativeFrom="margin">
                  <wp:posOffset>3550714</wp:posOffset>
                </wp:positionV>
                <wp:extent cx="7010400" cy="5651830"/>
                <wp:effectExtent l="0" t="0" r="19050" b="25400"/>
                <wp:wrapNone/>
                <wp:docPr id="2749" name="Rectangle 2749"/>
                <wp:cNvGraphicFramePr/>
                <a:graphic xmlns:a="http://schemas.openxmlformats.org/drawingml/2006/main">
                  <a:graphicData uri="http://schemas.microsoft.com/office/word/2010/wordprocessingShape">
                    <wps:wsp>
                      <wps:cNvSpPr/>
                      <wps:spPr>
                        <a:xfrm>
                          <a:off x="0" y="0"/>
                          <a:ext cx="7010400" cy="565183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EBBC7" w14:textId="77777777" w:rsidR="00D15FD8" w:rsidRDefault="00D15FD8" w:rsidP="003625BA">
                            <w:pPr>
                              <w:shd w:val="clear" w:color="auto" w:fill="F2F2F2" w:themeFill="background1" w:themeFillShade="F2"/>
                            </w:pPr>
                          </w:p>
                          <w:p w14:paraId="10D68089"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59D61" id="Rectangle 2749" o:spid="_x0000_s1558" style="position:absolute;margin-left:-14.45pt;margin-top:279.6pt;width:552pt;height:445.05pt;z-index:-24822272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" fillcolor="#f2f2f2 [3052]" strokecolor="#16988a" strokeweight="1.5pt">
                <v:textbox>
                  <w:txbxContent>
                    <w:p w14:paraId="19DEBBC7" w14:textId="77777777" w:rsidR="00D15FD8" w:rsidRDefault="00D15FD8" w:rsidP="003625BA">
                      <w:pPr>
                        <w:shd w:val="clear" w:color="auto" w:fill="F2F2F2" w:themeFill="background1" w:themeFillShade="F2"/>
                      </w:pPr>
                    </w:p>
                    <w:p w14:paraId="10D68089" w14:textId="77777777" w:rsidR="00D15FD8" w:rsidRPr="003625BA" w:rsidRDefault="00D15FD8" w:rsidP="003625BA">
                      <w:pPr>
                        <w:jc w:val="center"/>
                        <w:rPr>
                          <w:lang w:val="en-US"/>
                        </w:rPr>
                      </w:pPr>
                    </w:p>
                  </w:txbxContent>
                </v:textbox>
                <w10:wrap anchorx="margin" anchory="margin"/>
              </v:rect>
            </w:pict>
          </mc:Fallback>
        </mc:AlternateContent>
      </w:r>
    </w:p>
    <w:p w14:paraId="4B09896A" w14:textId="57C2C445" w:rsidR="00F975D4" w:rsidRDefault="00F975D4" w:rsidP="00C20993">
      <w:pPr>
        <w:rPr>
          <w:rFonts w:ascii="Arial" w:hAnsi="Arial" w:cs="Arial"/>
          <w:b/>
          <w:color w:val="19998C"/>
          <w:sz w:val="24"/>
          <w:szCs w:val="24"/>
        </w:rPr>
      </w:pPr>
    </w:p>
    <w:p w14:paraId="13C764AF" w14:textId="0B4164DB" w:rsidR="00F7625D" w:rsidRPr="00356A28" w:rsidRDefault="00F7625D" w:rsidP="003625BA">
      <w:pPr>
        <w:pStyle w:val="Heading3"/>
        <w:jc w:val="center"/>
        <w:rPr>
          <w:rFonts w:ascii="Arial" w:hAnsi="Arial" w:cs="Arial"/>
          <w:b/>
          <w:bCs/>
          <w:color w:val="19998C"/>
          <w:sz w:val="26"/>
          <w:szCs w:val="26"/>
        </w:rPr>
      </w:pPr>
      <w:bookmarkStart w:id="2312" w:name="_Box_4.1._Open"/>
      <w:bookmarkStart w:id="2313" w:name="_Toc123217500"/>
      <w:bookmarkStart w:id="2314" w:name="_Toc123914113"/>
      <w:bookmarkStart w:id="2315" w:name="_Toc125566728"/>
      <w:bookmarkEnd w:id="2312"/>
      <w:r w:rsidRPr="00356A28">
        <w:rPr>
          <w:rFonts w:ascii="Arial" w:hAnsi="Arial" w:cs="Arial"/>
          <w:b/>
          <w:bCs/>
          <w:color w:val="19998C"/>
          <w:sz w:val="26"/>
          <w:szCs w:val="26"/>
        </w:rPr>
        <w:t>Box 4.</w:t>
      </w:r>
      <w:r w:rsidR="004750D1" w:rsidRPr="00356A28">
        <w:rPr>
          <w:rFonts w:ascii="Arial" w:hAnsi="Arial" w:cs="Arial"/>
          <w:b/>
          <w:bCs/>
          <w:color w:val="19998C"/>
          <w:sz w:val="26"/>
          <w:szCs w:val="26"/>
        </w:rPr>
        <w:t>1</w:t>
      </w:r>
      <w:r w:rsidR="00AC27CC">
        <w:rPr>
          <w:rFonts w:ascii="Arial" w:hAnsi="Arial" w:cs="Arial"/>
          <w:b/>
          <w:bCs/>
          <w:color w:val="19998C"/>
          <w:sz w:val="26"/>
          <w:szCs w:val="26"/>
        </w:rPr>
        <w:t>.</w:t>
      </w:r>
      <w:r w:rsidR="004750D1" w:rsidRPr="00356A28">
        <w:rPr>
          <w:rFonts w:ascii="Arial" w:hAnsi="Arial" w:cs="Arial"/>
          <w:b/>
          <w:bCs/>
          <w:color w:val="19998C"/>
          <w:sz w:val="26"/>
          <w:szCs w:val="26"/>
        </w:rPr>
        <w:t xml:space="preserve"> </w:t>
      </w:r>
      <w:r w:rsidRPr="00356A28">
        <w:rPr>
          <w:rFonts w:ascii="Arial" w:hAnsi="Arial" w:cs="Arial"/>
          <w:b/>
          <w:bCs/>
          <w:color w:val="19998C"/>
          <w:sz w:val="26"/>
          <w:szCs w:val="26"/>
        </w:rPr>
        <w:t>Open data standards</w:t>
      </w:r>
      <w:bookmarkEnd w:id="2313"/>
      <w:bookmarkEnd w:id="2314"/>
      <w:bookmarkEnd w:id="2315"/>
    </w:p>
    <w:p w14:paraId="1A449F7E" w14:textId="2564E501" w:rsidR="00F7625D" w:rsidRDefault="00F7625D" w:rsidP="003625BA">
      <w:pPr>
        <w:shd w:val="clear" w:color="auto" w:fill="F2F2F2" w:themeFill="background1" w:themeFillShade="F2"/>
      </w:pPr>
    </w:p>
    <w:p w14:paraId="59CCDF34" w14:textId="59849D16" w:rsidR="00EA4AB3" w:rsidRPr="00467E7D" w:rsidRDefault="00EA4AB3" w:rsidP="003625BA">
      <w:pPr>
        <w:jc w:val="both"/>
      </w:pPr>
      <w:r w:rsidRPr="003625BA">
        <w:rPr>
          <w:rFonts w:ascii="Roboto" w:hAnsi="Roboto"/>
          <w:noProof/>
          <w:sz w:val="20"/>
          <w:szCs w:val="20"/>
          <w:lang w:val="en-US"/>
        </w:rPr>
        <w:drawing>
          <wp:anchor distT="0" distB="0" distL="114300" distR="114300" simplePos="0" relativeHeight="255091710" behindDoc="0" locked="0" layoutInCell="1" allowOverlap="1" wp14:anchorId="715F116F" wp14:editId="12A627CA">
            <wp:simplePos x="0" y="0"/>
            <wp:positionH relativeFrom="column">
              <wp:posOffset>-88900</wp:posOffset>
            </wp:positionH>
            <wp:positionV relativeFrom="paragraph">
              <wp:posOffset>80645</wp:posOffset>
            </wp:positionV>
            <wp:extent cx="1842770" cy="1905000"/>
            <wp:effectExtent l="0" t="0" r="0" b="0"/>
            <wp:wrapSquare wrapText="bothSides"/>
            <wp:docPr id="2748" name="Picture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Picture 2748"/>
                    <pic:cNvPicPr/>
                  </pic:nvPicPr>
                  <pic:blipFill rotWithShape="1">
                    <a:blip r:embed="rId920" cstate="email">
                      <a:extLst>
                        <a:ext uri="{28A0092B-C50C-407E-A947-70E740481C1C}">
                          <a14:useLocalDpi xmlns:a14="http://schemas.microsoft.com/office/drawing/2010/main"/>
                        </a:ext>
                      </a:extLst>
                    </a:blip>
                    <a:srcRect l="36149" t="39749" r="35583" b="39566"/>
                    <a:stretch/>
                  </pic:blipFill>
                  <pic:spPr bwMode="auto">
                    <a:xfrm>
                      <a:off x="0" y="0"/>
                      <a:ext cx="1842770" cy="190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There are</w:t>
      </w:r>
      <w:r w:rsidR="005B096F">
        <w:t xml:space="preserve"> </w:t>
      </w:r>
      <w:r>
        <w:t xml:space="preserve">international standards specifically related to fiscal policy data and those that pertain to a particular sector or industry, some </w:t>
      </w:r>
      <w:r w:rsidRPr="00FA3471">
        <w:t>(non-structured standards)</w:t>
      </w:r>
      <w:r>
        <w:t xml:space="preserve"> homologate the way the information should be published and how it should be conceptualized (what type of information a publication must contain), while others use a data structure (of rows, columns, tree, et cetera.) </w:t>
      </w:r>
      <w:r w:rsidRPr="00FA3471">
        <w:t>and specific definition and metadata per type of data entry</w:t>
      </w:r>
      <w:r>
        <w:t xml:space="preserve">, providing for a deeper standardization. Standards pertain to national accounts data, budgets data (Open Fiscal Data </w:t>
      </w:r>
      <w:r w:rsidRPr="00467E7D">
        <w:t>Schema); contracts data (Open Contracting Data Standard); aid data (International Aid Transparency Initiative); extractives data (Extractive Industries Transparency Initiative); construction data (Construction Sector Transparency initiative); transport data; geospatial data; microdata et cetera. Some of these standards are described in more detail below.</w:t>
      </w:r>
    </w:p>
    <w:p w14:paraId="566A021B" w14:textId="14571BC1" w:rsidR="00C463B9" w:rsidRPr="003625BA" w:rsidRDefault="00EA4AB3" w:rsidP="003625BA">
      <w:r>
        <w:rPr>
          <w:rFonts w:ascii="Roboto" w:hAnsi="Roboto"/>
          <w:noProof/>
          <w:lang w:val="en-US"/>
        </w:rPr>
        <w:drawing>
          <wp:anchor distT="0" distB="0" distL="114300" distR="114300" simplePos="0" relativeHeight="254350334" behindDoc="1" locked="0" layoutInCell="1" allowOverlap="1" wp14:anchorId="18CBD0AA" wp14:editId="0B512835">
            <wp:simplePos x="0" y="0"/>
            <wp:positionH relativeFrom="column">
              <wp:posOffset>0</wp:posOffset>
            </wp:positionH>
            <wp:positionV relativeFrom="paragraph">
              <wp:posOffset>91440</wp:posOffset>
            </wp:positionV>
            <wp:extent cx="393065" cy="520065"/>
            <wp:effectExtent l="0" t="0" r="0" b="635"/>
            <wp:wrapTight wrapText="bothSides">
              <wp:wrapPolygon edited="0">
                <wp:start x="0" y="1055"/>
                <wp:lineTo x="0" y="21099"/>
                <wp:lineTo x="20239" y="21099"/>
                <wp:lineTo x="19541" y="5275"/>
                <wp:lineTo x="16052" y="1055"/>
                <wp:lineTo x="0" y="1055"/>
              </wp:wrapPolygon>
            </wp:wrapTight>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F_icon_2-01.png"/>
                    <pic:cNvPicPr/>
                  </pic:nvPicPr>
                  <pic:blipFill rotWithShape="1">
                    <a:blip r:embed="rId921" cstate="screen">
                      <a:extLst>
                        <a:ext uri="{28A0092B-C50C-407E-A947-70E740481C1C}">
                          <a14:useLocalDpi xmlns:a14="http://schemas.microsoft.com/office/drawing/2010/main"/>
                        </a:ext>
                      </a:extLst>
                    </a:blip>
                    <a:srcRect/>
                    <a:stretch/>
                  </pic:blipFill>
                  <pic:spPr bwMode="auto">
                    <a:xfrm>
                      <a:off x="0" y="0"/>
                      <a:ext cx="393065" cy="52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oboto" w:hAnsi="Roboto"/>
          <w:noProof/>
          <w:lang w:val="en-US"/>
        </w:rPr>
        <mc:AlternateContent>
          <mc:Choice Requires="wps">
            <w:drawing>
              <wp:anchor distT="0" distB="0" distL="114300" distR="114300" simplePos="0" relativeHeight="254352382" behindDoc="0" locked="0" layoutInCell="1" allowOverlap="1" wp14:anchorId="70BEF31E" wp14:editId="43803918">
                <wp:simplePos x="0" y="0"/>
                <wp:positionH relativeFrom="column">
                  <wp:posOffset>447040</wp:posOffset>
                </wp:positionH>
                <wp:positionV relativeFrom="paragraph">
                  <wp:posOffset>247650</wp:posOffset>
                </wp:positionV>
                <wp:extent cx="3571875" cy="338455"/>
                <wp:effectExtent l="0" t="0" r="0" b="0"/>
                <wp:wrapNone/>
                <wp:docPr id="2358" name="Text Box 2358"/>
                <wp:cNvGraphicFramePr/>
                <a:graphic xmlns:a="http://schemas.openxmlformats.org/drawingml/2006/main">
                  <a:graphicData uri="http://schemas.microsoft.com/office/word/2010/wordprocessingShape">
                    <wps:wsp>
                      <wps:cNvSpPr txBox="1"/>
                      <wps:spPr>
                        <a:xfrm>
                          <a:off x="0" y="0"/>
                          <a:ext cx="3571875" cy="338455"/>
                        </a:xfrm>
                        <a:prstGeom prst="rect">
                          <a:avLst/>
                        </a:prstGeom>
                        <a:noFill/>
                        <a:ln w="6350">
                          <a:noFill/>
                        </a:ln>
                      </wps:spPr>
                      <wps:txbx>
                        <w:txbxContent>
                          <w:p w14:paraId="0C9CD5EA" w14:textId="15C07400"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1: </w:t>
                            </w:r>
                            <w:r w:rsidRPr="006F3826">
                              <w:rPr>
                                <w:rFonts w:ascii="Roboto" w:hAnsi="Roboto"/>
                                <w:b/>
                                <w:color w:val="FFFFFF" w:themeColor="background1"/>
                                <w:u w:val="single"/>
                              </w:rPr>
                              <w:t xml:space="preserve">Open Fiscal Data </w:t>
                            </w:r>
                            <w:r>
                              <w:rPr>
                                <w:rFonts w:ascii="Roboto" w:hAnsi="Roboto"/>
                                <w:b/>
                                <w:color w:val="FFFFFF" w:themeColor="background1"/>
                                <w:u w:val="single"/>
                              </w:rPr>
                              <w:t>Schema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EF31E" id="Text Box 2358" o:spid="_x0000_s1559" type="#_x0000_t202" style="position:absolute;margin-left:35.2pt;margin-top:19.5pt;width:281.25pt;height:26.65pt;z-index:254352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" filled="f" stroked="f" strokeweight=".5pt">
                <v:textbox>
                  <w:txbxContent>
                    <w:p w14:paraId="0C9CD5EA" w14:textId="15C07400"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1: </w:t>
                      </w:r>
                      <w:r w:rsidRPr="006F3826">
                        <w:rPr>
                          <w:rFonts w:ascii="Roboto" w:hAnsi="Roboto"/>
                          <w:b/>
                          <w:color w:val="FFFFFF" w:themeColor="background1"/>
                          <w:u w:val="single"/>
                        </w:rPr>
                        <w:t xml:space="preserve">Open Fiscal Data </w:t>
                      </w:r>
                      <w:r>
                        <w:rPr>
                          <w:rFonts w:ascii="Roboto" w:hAnsi="Roboto"/>
                          <w:b/>
                          <w:color w:val="FFFFFF" w:themeColor="background1"/>
                          <w:u w:val="single"/>
                        </w:rPr>
                        <w:t>Schema</w:t>
                      </w:r>
                    </w:p>
                  </w:txbxContent>
                </v:textbox>
              </v:shape>
            </w:pict>
          </mc:Fallback>
        </mc:AlternateContent>
      </w:r>
      <w:r>
        <w:rPr>
          <w:rFonts w:ascii="Roboto" w:hAnsi="Roboto"/>
          <w:noProof/>
          <w:lang w:val="en-US"/>
        </w:rPr>
        <mc:AlternateContent>
          <mc:Choice Requires="wps">
            <w:drawing>
              <wp:anchor distT="0" distB="0" distL="114300" distR="114300" simplePos="0" relativeHeight="254351358" behindDoc="0" locked="0" layoutInCell="1" allowOverlap="1" wp14:anchorId="470F8C3D" wp14:editId="291B1E45">
                <wp:simplePos x="0" y="0"/>
                <wp:positionH relativeFrom="column">
                  <wp:posOffset>444500</wp:posOffset>
                </wp:positionH>
                <wp:positionV relativeFrom="paragraph">
                  <wp:posOffset>164465</wp:posOffset>
                </wp:positionV>
                <wp:extent cx="6263640" cy="445135"/>
                <wp:effectExtent l="0" t="0" r="0" b="0"/>
                <wp:wrapNone/>
                <wp:docPr id="2357" name="Rounded Rectangle 2357"/>
                <wp:cNvGraphicFramePr/>
                <a:graphic xmlns:a="http://schemas.openxmlformats.org/drawingml/2006/main">
                  <a:graphicData uri="http://schemas.microsoft.com/office/word/2010/wordprocessingShape">
                    <wps:wsp>
                      <wps:cNvSpPr/>
                      <wps:spPr>
                        <a:xfrm>
                          <a:off x="0" y="0"/>
                          <a:ext cx="6263640" cy="445135"/>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752F14B0" id="Rounded Rectangle 2357" o:spid="_x0000_s1026" style="position:absolute;margin-left:35pt;margin-top:12.95pt;width:493.2pt;height:35.05pt;z-index:2543513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" fillcolor="#82caa0" stroked="f" strokeweight="1pt">
                <v:stroke joinstyle="miter"/>
              </v:roundrect>
            </w:pict>
          </mc:Fallback>
        </mc:AlternateContent>
      </w:r>
    </w:p>
    <w:p w14:paraId="78AC9B33" w14:textId="2E58ECA7" w:rsidR="00F7625D" w:rsidRDefault="00F7625D" w:rsidP="00F7625D">
      <w:pPr>
        <w:tabs>
          <w:tab w:val="left" w:pos="5291"/>
        </w:tabs>
        <w:spacing w:line="276" w:lineRule="auto"/>
        <w:jc w:val="both"/>
        <w:rPr>
          <w:rFonts w:ascii="Roboto" w:hAnsi="Roboto"/>
        </w:rPr>
      </w:pPr>
    </w:p>
    <w:p w14:paraId="10CAE7F8" w14:textId="77777777" w:rsidR="00F7625D" w:rsidRDefault="00F7625D" w:rsidP="00F7625D">
      <w:pPr>
        <w:tabs>
          <w:tab w:val="left" w:pos="5291"/>
        </w:tabs>
        <w:spacing w:line="276" w:lineRule="auto"/>
        <w:jc w:val="both"/>
        <w:rPr>
          <w:rFonts w:ascii="Roboto" w:hAnsi="Roboto"/>
        </w:rPr>
      </w:pPr>
      <w:r w:rsidRPr="006F3826">
        <w:rPr>
          <w:rFonts w:ascii="Roboto" w:hAnsi="Roboto"/>
        </w:rPr>
        <w:tab/>
      </w:r>
    </w:p>
    <w:p w14:paraId="397AC89B" w14:textId="556F0F84" w:rsidR="00F7625D" w:rsidRPr="003625BA" w:rsidRDefault="00F7625D" w:rsidP="003625BA">
      <w:pPr>
        <w:tabs>
          <w:tab w:val="left" w:pos="2100"/>
        </w:tabs>
        <w:spacing w:line="276" w:lineRule="auto"/>
        <w:rPr>
          <w:rFonts w:ascii="Roboto" w:hAnsi="Roboto"/>
        </w:rPr>
      </w:pPr>
    </w:p>
    <w:p w14:paraId="695DF75D" w14:textId="77777777" w:rsidR="00EA4AB3" w:rsidRPr="003625BA" w:rsidRDefault="00EA4AB3" w:rsidP="003625BA">
      <w:pPr>
        <w:pStyle w:val="ListParagraph"/>
        <w:numPr>
          <w:ilvl w:val="0"/>
          <w:numId w:val="201"/>
        </w:numPr>
        <w:contextualSpacing/>
        <w:jc w:val="both"/>
        <w:rPr>
          <w:rFonts w:ascii="Roboto" w:hAnsi="Roboto"/>
          <w:sz w:val="20"/>
          <w:szCs w:val="20"/>
        </w:rPr>
      </w:pPr>
      <w:r w:rsidRPr="003625BA">
        <w:rPr>
          <w:rFonts w:ascii="Roboto" w:hAnsi="Roboto"/>
          <w:sz w:val="20"/>
          <w:szCs w:val="20"/>
        </w:rPr>
        <w:t>The Schema is a simple, free, open, technical specification for publishing government budget and spending data. It seeks to reduce the barriers to accessing and interpreting fiscal open data. The Schema includes fiscal data mapped onto either standardized or bespoke functional, economic and administrative classifications. Additionally, the different stages of the budget can be mapped, together with other fields that are relevant to the publisher.</w:t>
      </w:r>
    </w:p>
    <w:p w14:paraId="47E45665" w14:textId="1849FC3A" w:rsidR="00EA4AB3" w:rsidRPr="003625BA" w:rsidRDefault="00EA4AB3" w:rsidP="003625BA">
      <w:pPr>
        <w:pStyle w:val="ListParagraph"/>
        <w:contextualSpacing/>
        <w:jc w:val="both"/>
        <w:rPr>
          <w:rFonts w:ascii="Roboto" w:hAnsi="Roboto"/>
          <w:sz w:val="20"/>
          <w:szCs w:val="20"/>
        </w:rPr>
      </w:pPr>
      <w:r w:rsidRPr="003625BA">
        <w:rPr>
          <w:rFonts w:ascii="Roboto" w:hAnsi="Roboto"/>
          <w:sz w:val="20"/>
          <w:szCs w:val="20"/>
        </w:rPr>
        <w:t xml:space="preserve"> </w:t>
      </w:r>
    </w:p>
    <w:p w14:paraId="354FCCBC" w14:textId="06B33A60" w:rsidR="00EA4AB3" w:rsidRPr="003625BA" w:rsidRDefault="00EA4AB3" w:rsidP="003625BA">
      <w:pPr>
        <w:pStyle w:val="ListParagraph"/>
        <w:numPr>
          <w:ilvl w:val="0"/>
          <w:numId w:val="201"/>
        </w:numPr>
        <w:contextualSpacing/>
        <w:jc w:val="both"/>
        <w:rPr>
          <w:rFonts w:ascii="Roboto" w:hAnsi="Roboto"/>
          <w:sz w:val="20"/>
          <w:szCs w:val="20"/>
        </w:rPr>
      </w:pPr>
      <w:r w:rsidRPr="003625BA">
        <w:rPr>
          <w:rFonts w:ascii="Roboto" w:hAnsi="Roboto"/>
          <w:sz w:val="20"/>
          <w:szCs w:val="20"/>
        </w:rPr>
        <w:t>It aims to make it easy for those publishing data as well as for those using the data. Data publishers can adopt it no matter how they generate their databases. The flexibility of this specification also allows publishers to improve the quality incrementally. Having this structured data allows tools and services independently developed by governments or civil society organizations to cater to their specific needs, to be built using it to allow for visualization, analysis or comparison.</w:t>
      </w:r>
    </w:p>
    <w:p w14:paraId="24D3389D" w14:textId="77777777" w:rsidR="00EA4AB3" w:rsidRPr="003625BA" w:rsidRDefault="00EA4AB3" w:rsidP="003625BA">
      <w:pPr>
        <w:contextualSpacing/>
        <w:jc w:val="both"/>
        <w:rPr>
          <w:rFonts w:ascii="Roboto" w:hAnsi="Roboto"/>
          <w:sz w:val="20"/>
          <w:szCs w:val="20"/>
        </w:rPr>
      </w:pPr>
    </w:p>
    <w:p w14:paraId="50A60FDD" w14:textId="4FB39C47" w:rsidR="00F975D4" w:rsidRPr="00C20993" w:rsidRDefault="00EA4AB3" w:rsidP="00C20993">
      <w:pPr>
        <w:pStyle w:val="ListParagraph"/>
        <w:numPr>
          <w:ilvl w:val="0"/>
          <w:numId w:val="201"/>
        </w:numPr>
        <w:contextualSpacing/>
        <w:jc w:val="both"/>
        <w:rPr>
          <w:rFonts w:ascii="Roboto" w:hAnsi="Roboto"/>
          <w:sz w:val="20"/>
          <w:szCs w:val="20"/>
        </w:rPr>
      </w:pPr>
      <w:r w:rsidRPr="003625BA">
        <w:rPr>
          <w:rFonts w:ascii="Roboto" w:hAnsi="Roboto"/>
          <w:sz w:val="20"/>
          <w:szCs w:val="20"/>
        </w:rPr>
        <w:t xml:space="preserve">The GIFT Coordination Team can be contacted on </w:t>
      </w:r>
      <w:hyperlink r:id="rId922" w:history="1">
        <w:r w:rsidRPr="003625BA">
          <w:rPr>
            <w:rStyle w:val="Hyperlink"/>
            <w:rFonts w:ascii="Roboto" w:hAnsi="Roboto"/>
            <w:sz w:val="20"/>
            <w:szCs w:val="20"/>
          </w:rPr>
          <w:t>info@fiscaltransparency.net</w:t>
        </w:r>
      </w:hyperlink>
      <w:r w:rsidRPr="003625BA">
        <w:rPr>
          <w:rFonts w:ascii="Roboto" w:hAnsi="Roboto"/>
          <w:sz w:val="20"/>
          <w:szCs w:val="20"/>
        </w:rPr>
        <w:t xml:space="preserve"> for assistance in using the Schema.  </w:t>
      </w:r>
    </w:p>
    <w:p w14:paraId="1E432ED8" w14:textId="6CD06EB2" w:rsidR="00F7625D" w:rsidRPr="003625BA" w:rsidRDefault="0096076C" w:rsidP="00F7625D">
      <w:pPr>
        <w:spacing w:line="276" w:lineRule="auto"/>
        <w:ind w:left="360"/>
        <w:rPr>
          <w:rFonts w:ascii="Roboto" w:hAnsi="Roboto"/>
          <w:sz w:val="20"/>
          <w:szCs w:val="20"/>
        </w:rPr>
      </w:pPr>
      <w:r w:rsidRPr="003625BA">
        <w:rPr>
          <w:rFonts w:ascii="Roboto" w:hAnsi="Roboto" w:cs="Arial"/>
          <w:noProof/>
          <w:color w:val="ED5625"/>
          <w:sz w:val="20"/>
          <w:szCs w:val="20"/>
          <w:lang w:val="en-US"/>
        </w:rPr>
        <w:lastRenderedPageBreak/>
        <mc:AlternateContent>
          <mc:Choice Requires="wps">
            <w:drawing>
              <wp:anchor distT="0" distB="0" distL="114300" distR="114300" simplePos="0" relativeHeight="255141886" behindDoc="1" locked="0" layoutInCell="1" allowOverlap="1" wp14:anchorId="47790CF7" wp14:editId="366EE067">
                <wp:simplePos x="0" y="0"/>
                <wp:positionH relativeFrom="margin">
                  <wp:posOffset>-184068</wp:posOffset>
                </wp:positionH>
                <wp:positionV relativeFrom="margin">
                  <wp:posOffset>-95836</wp:posOffset>
                </wp:positionV>
                <wp:extent cx="7010400" cy="9321858"/>
                <wp:effectExtent l="0" t="0" r="19050" b="12700"/>
                <wp:wrapNone/>
                <wp:docPr id="2789" name="Rectangle 2789"/>
                <wp:cNvGraphicFramePr/>
                <a:graphic xmlns:a="http://schemas.openxmlformats.org/drawingml/2006/main">
                  <a:graphicData uri="http://schemas.microsoft.com/office/word/2010/wordprocessingShape">
                    <wps:wsp>
                      <wps:cNvSpPr/>
                      <wps:spPr>
                        <a:xfrm>
                          <a:off x="0" y="0"/>
                          <a:ext cx="7010400" cy="9321858"/>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355D7" w14:textId="77777777" w:rsidR="00D15FD8" w:rsidRDefault="00D15FD8" w:rsidP="003625BA">
                            <w:pPr>
                              <w:shd w:val="clear" w:color="auto" w:fill="F2F2F2" w:themeFill="background1" w:themeFillShade="F2"/>
                            </w:pPr>
                          </w:p>
                          <w:p w14:paraId="6500FB1C"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90CF7" id="Rectangle 2789" o:spid="_x0000_s1560" style="position:absolute;left:0;text-align:left;margin-left:-14.5pt;margin-top:-7.55pt;width:552pt;height:734pt;z-index:-24817459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" fillcolor="#f2f2f2 [3052]" strokecolor="#16988a" strokeweight="1.5pt">
                <v:textbox>
                  <w:txbxContent>
                    <w:p w14:paraId="520355D7" w14:textId="77777777" w:rsidR="00D15FD8" w:rsidRDefault="00D15FD8" w:rsidP="003625BA">
                      <w:pPr>
                        <w:shd w:val="clear" w:color="auto" w:fill="F2F2F2" w:themeFill="background1" w:themeFillShade="F2"/>
                      </w:pPr>
                    </w:p>
                    <w:p w14:paraId="6500FB1C" w14:textId="77777777" w:rsidR="00D15FD8" w:rsidRPr="003625BA" w:rsidRDefault="00D15FD8" w:rsidP="003625BA">
                      <w:pPr>
                        <w:jc w:val="center"/>
                        <w:rPr>
                          <w:lang w:val="en-US"/>
                        </w:rPr>
                      </w:pPr>
                    </w:p>
                  </w:txbxContent>
                </v:textbox>
                <w10:wrap anchorx="margin" anchory="margin"/>
              </v:rect>
            </w:pict>
          </mc:Fallback>
        </mc:AlternateContent>
      </w:r>
      <w:r w:rsidR="00F975D4" w:rsidRPr="003625BA">
        <w:rPr>
          <w:rFonts w:ascii="Roboto" w:hAnsi="Roboto"/>
          <w:noProof/>
          <w:sz w:val="20"/>
          <w:szCs w:val="20"/>
          <w:lang w:val="en-US"/>
        </w:rPr>
        <w:drawing>
          <wp:anchor distT="0" distB="0" distL="114300" distR="114300" simplePos="0" relativeHeight="254353406" behindDoc="1" locked="0" layoutInCell="1" allowOverlap="1" wp14:anchorId="513897A1" wp14:editId="7001AB4F">
            <wp:simplePos x="0" y="0"/>
            <wp:positionH relativeFrom="column">
              <wp:posOffset>0</wp:posOffset>
            </wp:positionH>
            <wp:positionV relativeFrom="paragraph">
              <wp:posOffset>27305</wp:posOffset>
            </wp:positionV>
            <wp:extent cx="393065" cy="520065"/>
            <wp:effectExtent l="0" t="0" r="635" b="635"/>
            <wp:wrapTight wrapText="bothSides">
              <wp:wrapPolygon edited="0">
                <wp:start x="698" y="527"/>
                <wp:lineTo x="0" y="21099"/>
                <wp:lineTo x="20937" y="21099"/>
                <wp:lineTo x="20937" y="6330"/>
                <wp:lineTo x="20239" y="5275"/>
                <wp:lineTo x="15354" y="527"/>
                <wp:lineTo x="698" y="527"/>
              </wp:wrapPolygon>
            </wp:wrapTight>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F_icon_2-01.png"/>
                    <pic:cNvPicPr/>
                  </pic:nvPicPr>
                  <pic:blipFill rotWithShape="1">
                    <a:blip r:embed="rId921" cstate="screen">
                      <a:extLst>
                        <a:ext uri="{28A0092B-C50C-407E-A947-70E740481C1C}">
                          <a14:useLocalDpi xmlns:a14="http://schemas.microsoft.com/office/drawing/2010/main"/>
                        </a:ext>
                      </a:extLst>
                    </a:blip>
                    <a:srcRect/>
                    <a:stretch/>
                  </pic:blipFill>
                  <pic:spPr bwMode="auto">
                    <a:xfrm>
                      <a:off x="0" y="0"/>
                      <a:ext cx="393065" cy="52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5D4" w:rsidRPr="003625BA">
        <w:rPr>
          <w:rFonts w:ascii="Roboto" w:hAnsi="Roboto"/>
          <w:noProof/>
          <w:sz w:val="20"/>
          <w:szCs w:val="20"/>
          <w:lang w:val="en-US"/>
        </w:rPr>
        <mc:AlternateContent>
          <mc:Choice Requires="wps">
            <w:drawing>
              <wp:anchor distT="0" distB="0" distL="114300" distR="114300" simplePos="0" relativeHeight="254354430" behindDoc="0" locked="0" layoutInCell="1" allowOverlap="1" wp14:anchorId="2AECA4EC" wp14:editId="0B15E9FE">
                <wp:simplePos x="0" y="0"/>
                <wp:positionH relativeFrom="column">
                  <wp:posOffset>446405</wp:posOffset>
                </wp:positionH>
                <wp:positionV relativeFrom="paragraph">
                  <wp:posOffset>77470</wp:posOffset>
                </wp:positionV>
                <wp:extent cx="6263640" cy="445135"/>
                <wp:effectExtent l="0" t="0" r="0" b="0"/>
                <wp:wrapNone/>
                <wp:docPr id="2359" name="Rounded Rectangle 2359"/>
                <wp:cNvGraphicFramePr/>
                <a:graphic xmlns:a="http://schemas.openxmlformats.org/drawingml/2006/main">
                  <a:graphicData uri="http://schemas.microsoft.com/office/word/2010/wordprocessingShape">
                    <wps:wsp>
                      <wps:cNvSpPr/>
                      <wps:spPr>
                        <a:xfrm>
                          <a:off x="0" y="0"/>
                          <a:ext cx="6263640" cy="445135"/>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692DC1C7" id="Rounded Rectangle 2359" o:spid="_x0000_s1026" style="position:absolute;margin-left:35.15pt;margin-top:6.1pt;width:493.2pt;height:35.05pt;z-index:2543544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" fillcolor="#82caa0" stroked="f" strokeweight="1pt">
                <v:stroke joinstyle="miter"/>
              </v:roundrect>
            </w:pict>
          </mc:Fallback>
        </mc:AlternateContent>
      </w:r>
      <w:r w:rsidR="00F975D4" w:rsidRPr="003625BA">
        <w:rPr>
          <w:rFonts w:ascii="Roboto" w:hAnsi="Roboto"/>
          <w:noProof/>
          <w:sz w:val="20"/>
          <w:szCs w:val="20"/>
          <w:lang w:val="en-US"/>
        </w:rPr>
        <mc:AlternateContent>
          <mc:Choice Requires="wps">
            <w:drawing>
              <wp:anchor distT="0" distB="0" distL="114300" distR="114300" simplePos="0" relativeHeight="254355454" behindDoc="0" locked="0" layoutInCell="1" allowOverlap="1" wp14:anchorId="657E73EF" wp14:editId="62BE6527">
                <wp:simplePos x="0" y="0"/>
                <wp:positionH relativeFrom="column">
                  <wp:posOffset>446405</wp:posOffset>
                </wp:positionH>
                <wp:positionV relativeFrom="paragraph">
                  <wp:posOffset>161925</wp:posOffset>
                </wp:positionV>
                <wp:extent cx="3848986" cy="338455"/>
                <wp:effectExtent l="0" t="0" r="0" b="0"/>
                <wp:wrapNone/>
                <wp:docPr id="2360" name="Text Box 2360"/>
                <wp:cNvGraphicFramePr/>
                <a:graphic xmlns:a="http://schemas.openxmlformats.org/drawingml/2006/main">
                  <a:graphicData uri="http://schemas.microsoft.com/office/word/2010/wordprocessingShape">
                    <wps:wsp>
                      <wps:cNvSpPr txBox="1"/>
                      <wps:spPr>
                        <a:xfrm>
                          <a:off x="0" y="0"/>
                          <a:ext cx="3848986" cy="338455"/>
                        </a:xfrm>
                        <a:prstGeom prst="rect">
                          <a:avLst/>
                        </a:prstGeom>
                        <a:noFill/>
                        <a:ln w="6350">
                          <a:noFill/>
                        </a:ln>
                      </wps:spPr>
                      <wps:txbx>
                        <w:txbxContent>
                          <w:p w14:paraId="3176AF5F"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2</w:t>
                            </w:r>
                            <w:r w:rsidRPr="006F3826">
                              <w:rPr>
                                <w:rFonts w:ascii="Roboto" w:hAnsi="Roboto"/>
                                <w:b/>
                                <w:color w:val="FFFFFF" w:themeColor="background1"/>
                              </w:rPr>
                              <w:t xml:space="preserve">: </w:t>
                            </w:r>
                            <w:r w:rsidRPr="006F3826">
                              <w:rPr>
                                <w:rFonts w:ascii="Roboto" w:hAnsi="Roboto"/>
                                <w:b/>
                                <w:color w:val="FFFFFF" w:themeColor="background1"/>
                                <w:u w:val="single"/>
                              </w:rPr>
                              <w:t>Open Contracting Data Standard (OCDS)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E73EF" id="Text Box 2360" o:spid="_x0000_s1561" type="#_x0000_t202" style="position:absolute;left:0;text-align:left;margin-left:35.15pt;margin-top:12.75pt;width:303.05pt;height:26.65pt;z-index:254355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" filled="f" stroked="f" strokeweight=".5pt">
                <v:textbox>
                  <w:txbxContent>
                    <w:p w14:paraId="3176AF5F"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2</w:t>
                      </w:r>
                      <w:r w:rsidRPr="006F3826">
                        <w:rPr>
                          <w:rFonts w:ascii="Roboto" w:hAnsi="Roboto"/>
                          <w:b/>
                          <w:color w:val="FFFFFF" w:themeColor="background1"/>
                        </w:rPr>
                        <w:t xml:space="preserve">: </w:t>
                      </w:r>
                      <w:r w:rsidRPr="006F3826">
                        <w:rPr>
                          <w:rFonts w:ascii="Roboto" w:hAnsi="Roboto"/>
                          <w:b/>
                          <w:color w:val="FFFFFF" w:themeColor="background1"/>
                          <w:u w:val="single"/>
                        </w:rPr>
                        <w:t>Open Contracting Data Standard (OCDS)</w:t>
                      </w:r>
                    </w:p>
                  </w:txbxContent>
                </v:textbox>
              </v:shape>
            </w:pict>
          </mc:Fallback>
        </mc:AlternateContent>
      </w:r>
    </w:p>
    <w:p w14:paraId="1268DAE8" w14:textId="6E8BFA3F" w:rsidR="00F7625D" w:rsidRPr="003625BA" w:rsidRDefault="00F7625D" w:rsidP="00F7625D">
      <w:pPr>
        <w:spacing w:line="276" w:lineRule="auto"/>
        <w:rPr>
          <w:rFonts w:ascii="Roboto" w:hAnsi="Roboto"/>
          <w:sz w:val="20"/>
          <w:szCs w:val="20"/>
        </w:rPr>
      </w:pPr>
    </w:p>
    <w:p w14:paraId="08DBDA39" w14:textId="32D57890" w:rsidR="00F7625D" w:rsidRPr="003625BA" w:rsidRDefault="00F7625D" w:rsidP="003625BA">
      <w:pPr>
        <w:tabs>
          <w:tab w:val="left" w:pos="1920"/>
        </w:tabs>
        <w:rPr>
          <w:rFonts w:ascii="Roboto" w:hAnsi="Roboto"/>
          <w:sz w:val="20"/>
          <w:szCs w:val="20"/>
        </w:rPr>
      </w:pPr>
    </w:p>
    <w:p w14:paraId="754F76A0" w14:textId="77777777" w:rsidR="00F7625D" w:rsidRPr="003625BA" w:rsidRDefault="00F7625D" w:rsidP="00F7625D">
      <w:pPr>
        <w:rPr>
          <w:rFonts w:ascii="Roboto" w:hAnsi="Roboto"/>
          <w:sz w:val="20"/>
          <w:szCs w:val="20"/>
        </w:rPr>
      </w:pPr>
    </w:p>
    <w:p w14:paraId="76B05AC3" w14:textId="1BDB7F3F" w:rsidR="00EA4AB3" w:rsidRPr="003625BA" w:rsidRDefault="00EA4AB3" w:rsidP="003625BA">
      <w:pPr>
        <w:pStyle w:val="ListParagraph"/>
        <w:numPr>
          <w:ilvl w:val="0"/>
          <w:numId w:val="202"/>
        </w:numPr>
        <w:contextualSpacing/>
        <w:jc w:val="both"/>
        <w:rPr>
          <w:rFonts w:ascii="Roboto" w:hAnsi="Roboto"/>
          <w:sz w:val="20"/>
          <w:szCs w:val="20"/>
        </w:rPr>
      </w:pPr>
      <w:r w:rsidRPr="003625BA">
        <w:rPr>
          <w:rFonts w:ascii="Roboto" w:hAnsi="Roboto"/>
          <w:sz w:val="20"/>
          <w:szCs w:val="20"/>
        </w:rPr>
        <w:t xml:space="preserve">Contracts data, that is data related to the procurement of goods and services, includes data on issued tenders or requests for proposals, contracts awarded, the performance of contracts and contract completion. </w:t>
      </w:r>
    </w:p>
    <w:p w14:paraId="4EAD633D" w14:textId="77777777" w:rsidR="00EA4AB3" w:rsidRPr="003625BA" w:rsidRDefault="00EA4AB3" w:rsidP="003625BA">
      <w:pPr>
        <w:pStyle w:val="ListParagraph"/>
        <w:contextualSpacing/>
        <w:jc w:val="both"/>
        <w:rPr>
          <w:rFonts w:ascii="Roboto" w:hAnsi="Roboto"/>
          <w:sz w:val="20"/>
          <w:szCs w:val="20"/>
        </w:rPr>
      </w:pPr>
    </w:p>
    <w:p w14:paraId="6696D2B0" w14:textId="17E4BF9B" w:rsidR="00EA4AB3" w:rsidRPr="003625BA" w:rsidRDefault="00EA4AB3" w:rsidP="003625BA">
      <w:pPr>
        <w:pStyle w:val="ListParagraph"/>
        <w:numPr>
          <w:ilvl w:val="0"/>
          <w:numId w:val="202"/>
        </w:numPr>
        <w:contextualSpacing/>
        <w:jc w:val="both"/>
        <w:rPr>
          <w:rFonts w:ascii="Roboto" w:hAnsi="Roboto"/>
          <w:sz w:val="20"/>
          <w:szCs w:val="20"/>
        </w:rPr>
      </w:pPr>
      <w:r w:rsidRPr="003625BA">
        <w:rPr>
          <w:rFonts w:ascii="Roboto" w:hAnsi="Roboto"/>
          <w:sz w:val="20"/>
          <w:szCs w:val="20"/>
        </w:rPr>
        <w:t>To encourage best practices in data disclosure in the public contracting sector, the</w:t>
      </w:r>
      <w:r w:rsidRPr="003625BA">
        <w:rPr>
          <w:rFonts w:ascii="Roboto" w:eastAsia="Calibri" w:hAnsi="Roboto" w:cs="Calibri"/>
          <w:sz w:val="20"/>
          <w:szCs w:val="20"/>
        </w:rPr>
        <w:t xml:space="preserve"> </w:t>
      </w:r>
      <w:hyperlink r:id="rId923">
        <w:r w:rsidRPr="003625BA">
          <w:rPr>
            <w:rStyle w:val="Hyperlink"/>
            <w:rFonts w:ascii="Roboto" w:eastAsia="Calibri" w:hAnsi="Roboto" w:cs="Calibri"/>
            <w:sz w:val="20"/>
            <w:szCs w:val="20"/>
          </w:rPr>
          <w:t>Open Contracting Partnership</w:t>
        </w:r>
      </w:hyperlink>
      <w:r w:rsidR="00264244">
        <w:rPr>
          <w:rStyle w:val="Hyperlink"/>
          <w:rFonts w:ascii="Roboto" w:eastAsia="Calibri" w:hAnsi="Roboto" w:cs="Calibri"/>
          <w:sz w:val="20"/>
          <w:szCs w:val="20"/>
        </w:rPr>
        <w:t xml:space="preserve"> (OCP)</w:t>
      </w:r>
      <w:r w:rsidRPr="003625BA">
        <w:rPr>
          <w:rFonts w:ascii="Roboto" w:eastAsia="Calibri" w:hAnsi="Roboto" w:cs="Calibri"/>
          <w:sz w:val="20"/>
          <w:szCs w:val="20"/>
        </w:rPr>
        <w:t xml:space="preserve"> </w:t>
      </w:r>
      <w:r w:rsidRPr="003625BA">
        <w:rPr>
          <w:rFonts w:ascii="Roboto" w:hAnsi="Roboto"/>
          <w:sz w:val="20"/>
          <w:szCs w:val="20"/>
        </w:rPr>
        <w:t>developed a</w:t>
      </w:r>
      <w:r w:rsidRPr="003625BA">
        <w:rPr>
          <w:rFonts w:ascii="Roboto" w:eastAsia="Calibri" w:hAnsi="Roboto" w:cs="Calibri"/>
          <w:sz w:val="20"/>
          <w:szCs w:val="20"/>
        </w:rPr>
        <w:t xml:space="preserve"> </w:t>
      </w:r>
      <w:hyperlink r:id="rId924">
        <w:r w:rsidRPr="003625BA">
          <w:rPr>
            <w:rStyle w:val="Hyperlink"/>
            <w:rFonts w:ascii="Roboto" w:eastAsia="Calibri" w:hAnsi="Roboto" w:cs="Calibri"/>
            <w:sz w:val="20"/>
            <w:szCs w:val="20"/>
          </w:rPr>
          <w:t>set of principles</w:t>
        </w:r>
      </w:hyperlink>
      <w:r w:rsidRPr="003625BA">
        <w:rPr>
          <w:rFonts w:ascii="Roboto" w:hAnsi="Roboto"/>
          <w:sz w:val="20"/>
          <w:szCs w:val="20"/>
        </w:rPr>
        <w:t xml:space="preserve">. These principles were designed to make contracting </w:t>
      </w:r>
      <w:proofErr w:type="gramStart"/>
      <w:r w:rsidRPr="003625BA">
        <w:rPr>
          <w:rFonts w:ascii="Roboto" w:hAnsi="Roboto"/>
          <w:sz w:val="20"/>
          <w:szCs w:val="20"/>
        </w:rPr>
        <w:t>more competitive and fair</w:t>
      </w:r>
      <w:proofErr w:type="gramEnd"/>
      <w:r w:rsidRPr="003625BA">
        <w:rPr>
          <w:rFonts w:ascii="Roboto" w:hAnsi="Roboto"/>
          <w:sz w:val="20"/>
          <w:szCs w:val="20"/>
        </w:rPr>
        <w:t xml:space="preserve">, support global transparency and open government movements, and guide governments and stakeholders in data disclosure to enable understanding, effective monitoring, efficient performance and accountability for outcomes. </w:t>
      </w:r>
    </w:p>
    <w:p w14:paraId="30B78814" w14:textId="77777777" w:rsidR="00EA4AB3" w:rsidRPr="003625BA" w:rsidRDefault="00EA4AB3" w:rsidP="003625BA">
      <w:pPr>
        <w:contextualSpacing/>
        <w:jc w:val="both"/>
        <w:rPr>
          <w:rFonts w:ascii="Roboto" w:hAnsi="Roboto"/>
          <w:sz w:val="20"/>
          <w:szCs w:val="20"/>
        </w:rPr>
      </w:pPr>
    </w:p>
    <w:p w14:paraId="40F11305" w14:textId="33F20942" w:rsidR="00EA4AB3" w:rsidRPr="00281405" w:rsidRDefault="00EA4AB3" w:rsidP="00CA3013">
      <w:pPr>
        <w:pStyle w:val="ListParagraph"/>
        <w:numPr>
          <w:ilvl w:val="0"/>
          <w:numId w:val="202"/>
        </w:numPr>
        <w:contextualSpacing/>
        <w:jc w:val="both"/>
        <w:rPr>
          <w:rFonts w:ascii="Roboto" w:hAnsi="Roboto"/>
          <w:sz w:val="20"/>
          <w:szCs w:val="20"/>
        </w:rPr>
      </w:pPr>
      <w:r w:rsidRPr="00281405">
        <w:rPr>
          <w:rFonts w:ascii="Roboto" w:hAnsi="Roboto"/>
          <w:sz w:val="20"/>
          <w:szCs w:val="20"/>
        </w:rPr>
        <w:t xml:space="preserve">The </w:t>
      </w:r>
      <w:hyperlink r:id="rId925">
        <w:r w:rsidRPr="00281405">
          <w:rPr>
            <w:rStyle w:val="Hyperlink"/>
            <w:rFonts w:ascii="Roboto" w:eastAsia="Calibri" w:hAnsi="Roboto" w:cs="Calibri"/>
            <w:sz w:val="20"/>
            <w:szCs w:val="20"/>
          </w:rPr>
          <w:t>Open Contracting Data Standard</w:t>
        </w:r>
      </w:hyperlink>
      <w:r w:rsidRPr="00281405">
        <w:rPr>
          <w:rFonts w:ascii="Roboto" w:hAnsi="Roboto"/>
          <w:sz w:val="20"/>
          <w:szCs w:val="20"/>
        </w:rPr>
        <w:t xml:space="preserve"> (OCDS) was created to enable governments to publish details on all stages of the contracting process, including planning, tender, award, contract and implementation through a common data model. This standard provides detailed schema for representing contracting data in a range of formats, as well as guidance on implementation options.</w:t>
      </w:r>
    </w:p>
    <w:p w14:paraId="7B736DEC" w14:textId="4CE7CE11" w:rsidR="00EA4AB3" w:rsidRPr="003625BA" w:rsidRDefault="00EA4AB3" w:rsidP="003625BA">
      <w:pPr>
        <w:pStyle w:val="ListParagraph"/>
        <w:rPr>
          <w:rFonts w:ascii="Roboto" w:hAnsi="Roboto"/>
          <w:sz w:val="20"/>
          <w:szCs w:val="20"/>
        </w:rPr>
      </w:pPr>
    </w:p>
    <w:p w14:paraId="62B088C9" w14:textId="4521305B" w:rsidR="00EA4AB3" w:rsidRPr="005B096F" w:rsidRDefault="00EA4AB3" w:rsidP="005B096F">
      <w:pPr>
        <w:pStyle w:val="ListParagraph"/>
        <w:numPr>
          <w:ilvl w:val="0"/>
          <w:numId w:val="202"/>
        </w:numPr>
        <w:contextualSpacing/>
        <w:jc w:val="both"/>
        <w:rPr>
          <w:rFonts w:ascii="Roboto" w:hAnsi="Roboto"/>
          <w:sz w:val="20"/>
          <w:szCs w:val="20"/>
        </w:rPr>
      </w:pPr>
      <w:r w:rsidRPr="005B096F">
        <w:rPr>
          <w:rFonts w:ascii="Roboto" w:hAnsi="Roboto"/>
          <w:sz w:val="20"/>
          <w:szCs w:val="20"/>
        </w:rPr>
        <w:t>The OCDS requires speciﬁc ﬁelds for each stage of the contracting process. First, a mapping of the existing information is required and then the information is modelled in compliance with the standard requirements. The data is reported in a nested or tree-like structure. The data mapping is done through a template in .xlsx format provided by OCP; once the data has been identiﬁed, a model of the information is created in a standardized format for its direct validation by OCDS through an exclusive platform. For that purpose, a ﬁle with the data structure must be loaded (in CSV or JSON format) and it must also contain real data related to all the variables requested by the OCDS.</w:t>
      </w:r>
    </w:p>
    <w:p w14:paraId="6C9B28F2" w14:textId="5B44CAE1" w:rsidR="00EA4AB3" w:rsidRPr="003625BA" w:rsidRDefault="00EA4AB3" w:rsidP="003625BA">
      <w:pPr>
        <w:ind w:left="720"/>
        <w:contextualSpacing/>
        <w:jc w:val="both"/>
        <w:rPr>
          <w:rFonts w:ascii="Roboto" w:hAnsi="Roboto"/>
          <w:sz w:val="20"/>
          <w:szCs w:val="20"/>
        </w:rPr>
      </w:pPr>
    </w:p>
    <w:p w14:paraId="297C6CB3" w14:textId="77777777" w:rsidR="00EA4AB3" w:rsidRPr="003625BA" w:rsidRDefault="00EA4AB3" w:rsidP="003625BA">
      <w:pPr>
        <w:pStyle w:val="ListParagraph"/>
        <w:numPr>
          <w:ilvl w:val="0"/>
          <w:numId w:val="202"/>
        </w:numPr>
        <w:contextualSpacing/>
        <w:jc w:val="both"/>
        <w:rPr>
          <w:rFonts w:ascii="Roboto" w:hAnsi="Roboto"/>
          <w:sz w:val="20"/>
          <w:szCs w:val="20"/>
        </w:rPr>
      </w:pPr>
      <w:r w:rsidRPr="003625BA">
        <w:rPr>
          <w:rFonts w:ascii="Roboto" w:hAnsi="Roboto"/>
          <w:sz w:val="20"/>
          <w:szCs w:val="20"/>
        </w:rPr>
        <w:t xml:space="preserve">There is also an </w:t>
      </w:r>
      <w:hyperlink r:id="rId926">
        <w:r w:rsidRPr="003625BA">
          <w:rPr>
            <w:rStyle w:val="Hyperlink"/>
            <w:rFonts w:ascii="Roboto" w:eastAsia="Calibri" w:hAnsi="Roboto" w:cs="Calibri"/>
            <w:sz w:val="20"/>
            <w:szCs w:val="20"/>
          </w:rPr>
          <w:t>OCDS Help Desk</w:t>
        </w:r>
      </w:hyperlink>
      <w:r w:rsidRPr="003625BA">
        <w:rPr>
          <w:rFonts w:ascii="Roboto" w:hAnsi="Roboto"/>
          <w:sz w:val="20"/>
          <w:szCs w:val="20"/>
        </w:rPr>
        <w:t xml:space="preserve"> that can be contacted for assistance.</w:t>
      </w:r>
    </w:p>
    <w:p w14:paraId="0A43148D" w14:textId="7AEA6F89" w:rsidR="00F7625D" w:rsidRPr="003625BA" w:rsidRDefault="00F975D4" w:rsidP="00F7625D">
      <w:pPr>
        <w:rPr>
          <w:rFonts w:ascii="Roboto" w:hAnsi="Roboto"/>
          <w:sz w:val="20"/>
          <w:szCs w:val="20"/>
        </w:rPr>
      </w:pPr>
      <w:r w:rsidRPr="003625BA">
        <w:rPr>
          <w:rFonts w:ascii="Roboto" w:hAnsi="Roboto"/>
          <w:noProof/>
          <w:sz w:val="20"/>
          <w:szCs w:val="20"/>
          <w:lang w:val="en-US"/>
        </w:rPr>
        <w:drawing>
          <wp:anchor distT="0" distB="0" distL="114300" distR="114300" simplePos="0" relativeHeight="254356478" behindDoc="1" locked="0" layoutInCell="1" allowOverlap="1" wp14:anchorId="012D29CD" wp14:editId="7740988E">
            <wp:simplePos x="0" y="0"/>
            <wp:positionH relativeFrom="column">
              <wp:posOffset>0</wp:posOffset>
            </wp:positionH>
            <wp:positionV relativeFrom="paragraph">
              <wp:posOffset>43180</wp:posOffset>
            </wp:positionV>
            <wp:extent cx="393065" cy="520065"/>
            <wp:effectExtent l="0" t="0" r="635" b="635"/>
            <wp:wrapTight wrapText="bothSides">
              <wp:wrapPolygon edited="0">
                <wp:start x="698" y="527"/>
                <wp:lineTo x="0" y="21099"/>
                <wp:lineTo x="20937" y="21099"/>
                <wp:lineTo x="20937" y="6330"/>
                <wp:lineTo x="20239" y="5275"/>
                <wp:lineTo x="15354" y="527"/>
                <wp:lineTo x="698" y="527"/>
              </wp:wrapPolygon>
            </wp:wrapTight>
            <wp:docPr id="2370" name="Picture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F_icon_2-01.png"/>
                    <pic:cNvPicPr/>
                  </pic:nvPicPr>
                  <pic:blipFill rotWithShape="1">
                    <a:blip r:embed="rId921" cstate="screen">
                      <a:extLst>
                        <a:ext uri="{28A0092B-C50C-407E-A947-70E740481C1C}">
                          <a14:useLocalDpi xmlns:a14="http://schemas.microsoft.com/office/drawing/2010/main"/>
                        </a:ext>
                      </a:extLst>
                    </a:blip>
                    <a:srcRect/>
                    <a:stretch/>
                  </pic:blipFill>
                  <pic:spPr bwMode="auto">
                    <a:xfrm>
                      <a:off x="0" y="0"/>
                      <a:ext cx="393065" cy="52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5BA">
        <w:rPr>
          <w:rFonts w:ascii="Roboto" w:hAnsi="Roboto"/>
          <w:noProof/>
          <w:sz w:val="20"/>
          <w:szCs w:val="20"/>
          <w:lang w:val="en-US"/>
        </w:rPr>
        <mc:AlternateContent>
          <mc:Choice Requires="wps">
            <w:drawing>
              <wp:anchor distT="0" distB="0" distL="114300" distR="114300" simplePos="0" relativeHeight="254358526" behindDoc="0" locked="0" layoutInCell="1" allowOverlap="1" wp14:anchorId="0E1F2A0B" wp14:editId="040CB9CD">
                <wp:simplePos x="0" y="0"/>
                <wp:positionH relativeFrom="column">
                  <wp:posOffset>446405</wp:posOffset>
                </wp:positionH>
                <wp:positionV relativeFrom="paragraph">
                  <wp:posOffset>187325</wp:posOffset>
                </wp:positionV>
                <wp:extent cx="4263390" cy="338455"/>
                <wp:effectExtent l="0" t="0" r="0" b="0"/>
                <wp:wrapNone/>
                <wp:docPr id="2362" name="Text Box 2362"/>
                <wp:cNvGraphicFramePr/>
                <a:graphic xmlns:a="http://schemas.openxmlformats.org/drawingml/2006/main">
                  <a:graphicData uri="http://schemas.microsoft.com/office/word/2010/wordprocessingShape">
                    <wps:wsp>
                      <wps:cNvSpPr txBox="1"/>
                      <wps:spPr>
                        <a:xfrm>
                          <a:off x="0" y="0"/>
                          <a:ext cx="4263390" cy="338455"/>
                        </a:xfrm>
                        <a:prstGeom prst="rect">
                          <a:avLst/>
                        </a:prstGeom>
                        <a:noFill/>
                        <a:ln w="6350">
                          <a:noFill/>
                        </a:ln>
                      </wps:spPr>
                      <wps:txbx>
                        <w:txbxContent>
                          <w:p w14:paraId="7C955606"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3</w:t>
                            </w:r>
                            <w:r w:rsidRPr="006F3826">
                              <w:rPr>
                                <w:rFonts w:ascii="Roboto" w:hAnsi="Roboto"/>
                                <w:b/>
                                <w:color w:val="FFFFFF" w:themeColor="background1"/>
                              </w:rPr>
                              <w:t xml:space="preserve">: </w:t>
                            </w:r>
                            <w:r w:rsidRPr="003E5209">
                              <w:rPr>
                                <w:rFonts w:ascii="Roboto" w:hAnsi="Roboto"/>
                                <w:b/>
                                <w:color w:val="FFFFFF" w:themeColor="background1"/>
                                <w:u w:val="single"/>
                              </w:rPr>
                              <w:t>International Aid Transparency Initiative (IATI)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F2A0B" id="Text Box 2362" o:spid="_x0000_s1562" type="#_x0000_t202" style="position:absolute;margin-left:35.15pt;margin-top:14.75pt;width:335.7pt;height:26.65pt;z-index:2543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" filled="f" stroked="f" strokeweight=".5pt">
                <v:textbox>
                  <w:txbxContent>
                    <w:p w14:paraId="7C955606"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3</w:t>
                      </w:r>
                      <w:r w:rsidRPr="006F3826">
                        <w:rPr>
                          <w:rFonts w:ascii="Roboto" w:hAnsi="Roboto"/>
                          <w:b/>
                          <w:color w:val="FFFFFF" w:themeColor="background1"/>
                        </w:rPr>
                        <w:t xml:space="preserve">: </w:t>
                      </w:r>
                      <w:r w:rsidRPr="003E5209">
                        <w:rPr>
                          <w:rFonts w:ascii="Roboto" w:hAnsi="Roboto"/>
                          <w:b/>
                          <w:color w:val="FFFFFF" w:themeColor="background1"/>
                          <w:u w:val="single"/>
                        </w:rPr>
                        <w:t>International Aid Transparency Initiative (IATI)</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57502" behindDoc="0" locked="0" layoutInCell="1" allowOverlap="1" wp14:anchorId="0F5BC01F" wp14:editId="3EA78E68">
                <wp:simplePos x="0" y="0"/>
                <wp:positionH relativeFrom="column">
                  <wp:posOffset>446405</wp:posOffset>
                </wp:positionH>
                <wp:positionV relativeFrom="paragraph">
                  <wp:posOffset>102235</wp:posOffset>
                </wp:positionV>
                <wp:extent cx="6264000" cy="445135"/>
                <wp:effectExtent l="0" t="0" r="0" b="0"/>
                <wp:wrapNone/>
                <wp:docPr id="2361" name="Rounded Rectangle 2361"/>
                <wp:cNvGraphicFramePr/>
                <a:graphic xmlns:a="http://schemas.openxmlformats.org/drawingml/2006/main">
                  <a:graphicData uri="http://schemas.microsoft.com/office/word/2010/wordprocessingShape">
                    <wps:wsp>
                      <wps:cNvSpPr/>
                      <wps:spPr>
                        <a:xfrm>
                          <a:off x="0" y="0"/>
                          <a:ext cx="6264000" cy="445135"/>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1154B4A8" id="Rounded Rectangle 2361" o:spid="_x0000_s1026" style="position:absolute;margin-left:35.15pt;margin-top:8.05pt;width:493.25pt;height:35.05pt;z-index:2543575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" fillcolor="#82caa0" stroked="f" strokeweight="1pt">
                <v:stroke joinstyle="miter"/>
              </v:roundrect>
            </w:pict>
          </mc:Fallback>
        </mc:AlternateContent>
      </w:r>
    </w:p>
    <w:p w14:paraId="4A782895" w14:textId="2BCC267D" w:rsidR="00F7625D" w:rsidRPr="003625BA" w:rsidRDefault="00F7625D" w:rsidP="00F7625D">
      <w:pPr>
        <w:rPr>
          <w:rFonts w:ascii="Roboto" w:hAnsi="Roboto"/>
          <w:sz w:val="20"/>
          <w:szCs w:val="20"/>
        </w:rPr>
      </w:pPr>
    </w:p>
    <w:p w14:paraId="7EB9C147" w14:textId="4663CDAB" w:rsidR="00F7625D" w:rsidRPr="003625BA" w:rsidRDefault="00F7625D" w:rsidP="00F7625D">
      <w:pPr>
        <w:rPr>
          <w:rFonts w:ascii="Roboto" w:hAnsi="Roboto"/>
          <w:sz w:val="20"/>
          <w:szCs w:val="20"/>
        </w:rPr>
      </w:pPr>
    </w:p>
    <w:p w14:paraId="188CFA29" w14:textId="77777777" w:rsidR="00F7625D" w:rsidRPr="003625BA" w:rsidRDefault="00F7625D" w:rsidP="00F7625D">
      <w:pPr>
        <w:rPr>
          <w:rFonts w:ascii="Roboto" w:hAnsi="Roboto"/>
          <w:sz w:val="20"/>
          <w:szCs w:val="20"/>
        </w:rPr>
      </w:pPr>
    </w:p>
    <w:p w14:paraId="2D81D4AA" w14:textId="0E37CDB7" w:rsidR="00EA4AB3" w:rsidRDefault="00EA4AB3" w:rsidP="003625BA">
      <w:pPr>
        <w:pStyle w:val="ListParagraph"/>
        <w:numPr>
          <w:ilvl w:val="0"/>
          <w:numId w:val="203"/>
        </w:numPr>
        <w:contextualSpacing/>
        <w:jc w:val="both"/>
        <w:rPr>
          <w:rFonts w:ascii="Roboto" w:hAnsi="Roboto"/>
          <w:sz w:val="20"/>
          <w:szCs w:val="20"/>
        </w:rPr>
      </w:pPr>
      <w:r w:rsidRPr="003625BA">
        <w:rPr>
          <w:rFonts w:ascii="Roboto" w:hAnsi="Roboto"/>
          <w:sz w:val="20"/>
          <w:szCs w:val="20"/>
        </w:rPr>
        <w:t xml:space="preserve">The </w:t>
      </w:r>
      <w:hyperlink r:id="rId927">
        <w:r w:rsidRPr="003625BA">
          <w:rPr>
            <w:rStyle w:val="Hyperlink"/>
            <w:rFonts w:ascii="Roboto" w:eastAsia="Calibri" w:hAnsi="Roboto" w:cs="Calibri"/>
            <w:sz w:val="20"/>
            <w:szCs w:val="20"/>
          </w:rPr>
          <w:t>IATI</w:t>
        </w:r>
      </w:hyperlink>
      <w:r w:rsidRPr="003625BA">
        <w:rPr>
          <w:rFonts w:ascii="Roboto" w:hAnsi="Roboto"/>
          <w:sz w:val="20"/>
          <w:szCs w:val="20"/>
        </w:rPr>
        <w:t xml:space="preserve"> is an initiative promoted by the United Nations Development Programme seeking to improve international aid transparency.</w:t>
      </w:r>
    </w:p>
    <w:p w14:paraId="34379BB7" w14:textId="77777777" w:rsidR="00EA4AB3" w:rsidRPr="003625BA" w:rsidRDefault="00EA4AB3" w:rsidP="003625BA">
      <w:pPr>
        <w:pStyle w:val="ListParagraph"/>
        <w:contextualSpacing/>
        <w:jc w:val="both"/>
        <w:rPr>
          <w:rFonts w:ascii="Roboto" w:hAnsi="Roboto"/>
          <w:sz w:val="20"/>
          <w:szCs w:val="20"/>
        </w:rPr>
      </w:pPr>
    </w:p>
    <w:p w14:paraId="68C8452A" w14:textId="77777777" w:rsidR="00EA4AB3" w:rsidRPr="003625BA" w:rsidRDefault="00EA4AB3" w:rsidP="003625BA">
      <w:pPr>
        <w:pStyle w:val="ListParagraph"/>
        <w:numPr>
          <w:ilvl w:val="0"/>
          <w:numId w:val="203"/>
        </w:numPr>
        <w:contextualSpacing/>
        <w:jc w:val="both"/>
        <w:rPr>
          <w:rFonts w:ascii="Roboto" w:hAnsi="Roboto"/>
          <w:sz w:val="20"/>
          <w:szCs w:val="20"/>
        </w:rPr>
      </w:pPr>
      <w:r w:rsidRPr="003625BA">
        <w:rPr>
          <w:rFonts w:ascii="Roboto" w:hAnsi="Roboto"/>
          <w:sz w:val="20"/>
          <w:szCs w:val="20"/>
        </w:rPr>
        <w:t xml:space="preserve">The IATI requires the publication of data in two speciﬁc schemes: organizations and cooperation activities for development. The organizations scheme is used to describe organizations involved in any development cooperation stage (ﬁnancing, implementation, et cetera). The activities scheme is used to describe the details of the cooperation activities/projects for individual development. Each scheme requires precise elements (variables) expressed in Extensible </w:t>
      </w:r>
      <w:proofErr w:type="spellStart"/>
      <w:r w:rsidRPr="003625BA">
        <w:rPr>
          <w:rFonts w:ascii="Roboto" w:hAnsi="Roboto"/>
          <w:sz w:val="20"/>
          <w:szCs w:val="20"/>
        </w:rPr>
        <w:t>Markup</w:t>
      </w:r>
      <w:proofErr w:type="spellEnd"/>
      <w:r w:rsidRPr="003625BA">
        <w:rPr>
          <w:rFonts w:ascii="Roboto" w:hAnsi="Roboto"/>
          <w:sz w:val="20"/>
          <w:szCs w:val="20"/>
        </w:rPr>
        <w:t xml:space="preserve"> Language (XML) format.</w:t>
      </w:r>
    </w:p>
    <w:p w14:paraId="3F3F4F16" w14:textId="029BFCA9" w:rsidR="00F7625D" w:rsidRPr="003625BA" w:rsidRDefault="00F975D4" w:rsidP="00EB2A7C">
      <w:pPr>
        <w:spacing w:line="276" w:lineRule="auto"/>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360574" behindDoc="0" locked="0" layoutInCell="1" allowOverlap="1" wp14:anchorId="48A9F3E5" wp14:editId="433DBFF0">
                <wp:simplePos x="0" y="0"/>
                <wp:positionH relativeFrom="column">
                  <wp:posOffset>446405</wp:posOffset>
                </wp:positionH>
                <wp:positionV relativeFrom="paragraph">
                  <wp:posOffset>116205</wp:posOffset>
                </wp:positionV>
                <wp:extent cx="6263640" cy="445135"/>
                <wp:effectExtent l="0" t="0" r="0" b="0"/>
                <wp:wrapNone/>
                <wp:docPr id="2363" name="Rounded Rectangle 2363"/>
                <wp:cNvGraphicFramePr/>
                <a:graphic xmlns:a="http://schemas.openxmlformats.org/drawingml/2006/main">
                  <a:graphicData uri="http://schemas.microsoft.com/office/word/2010/wordprocessingShape">
                    <wps:wsp>
                      <wps:cNvSpPr/>
                      <wps:spPr>
                        <a:xfrm>
                          <a:off x="0" y="0"/>
                          <a:ext cx="6263640" cy="445135"/>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1FD8E537" id="Rounded Rectangle 2363" o:spid="_x0000_s1026" style="position:absolute;margin-left:35.15pt;margin-top:9.15pt;width:493.2pt;height:35.05pt;z-index:2543605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" fillcolor="#82caa0"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61598" behindDoc="0" locked="0" layoutInCell="1" allowOverlap="1" wp14:anchorId="502CBA46" wp14:editId="7AA5BC82">
                <wp:simplePos x="0" y="0"/>
                <wp:positionH relativeFrom="column">
                  <wp:posOffset>446405</wp:posOffset>
                </wp:positionH>
                <wp:positionV relativeFrom="paragraph">
                  <wp:posOffset>201295</wp:posOffset>
                </wp:positionV>
                <wp:extent cx="4476115" cy="338455"/>
                <wp:effectExtent l="0" t="0" r="0" b="0"/>
                <wp:wrapNone/>
                <wp:docPr id="2364" name="Text Box 2364"/>
                <wp:cNvGraphicFramePr/>
                <a:graphic xmlns:a="http://schemas.openxmlformats.org/drawingml/2006/main">
                  <a:graphicData uri="http://schemas.microsoft.com/office/word/2010/wordprocessingShape">
                    <wps:wsp>
                      <wps:cNvSpPr txBox="1"/>
                      <wps:spPr>
                        <a:xfrm>
                          <a:off x="0" y="0"/>
                          <a:ext cx="4476115" cy="338455"/>
                        </a:xfrm>
                        <a:prstGeom prst="rect">
                          <a:avLst/>
                        </a:prstGeom>
                        <a:noFill/>
                        <a:ln w="6350">
                          <a:noFill/>
                        </a:ln>
                      </wps:spPr>
                      <wps:txbx>
                        <w:txbxContent>
                          <w:p w14:paraId="39C2E418"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4</w:t>
                            </w:r>
                            <w:r w:rsidRPr="006F3826">
                              <w:rPr>
                                <w:rFonts w:ascii="Roboto" w:hAnsi="Roboto"/>
                                <w:b/>
                                <w:color w:val="FFFFFF" w:themeColor="background1"/>
                              </w:rPr>
                              <w:t xml:space="preserve">: </w:t>
                            </w:r>
                            <w:r w:rsidRPr="003E5209">
                              <w:rPr>
                                <w:rFonts w:ascii="Roboto" w:hAnsi="Roboto"/>
                                <w:b/>
                                <w:color w:val="FFFFFF" w:themeColor="background1"/>
                                <w:u w:val="single"/>
                              </w:rPr>
                              <w:t>Extractive Industries Transparency Initiative (EITI)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CBA46" id="Text Box 2364" o:spid="_x0000_s1563" type="#_x0000_t202" style="position:absolute;margin-left:35.15pt;margin-top:15.85pt;width:352.45pt;height:26.65pt;z-index:254361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" filled="f" stroked="f" strokeweight=".5pt">
                <v:textbox>
                  <w:txbxContent>
                    <w:p w14:paraId="39C2E418"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4</w:t>
                      </w:r>
                      <w:r w:rsidRPr="006F3826">
                        <w:rPr>
                          <w:rFonts w:ascii="Roboto" w:hAnsi="Roboto"/>
                          <w:b/>
                          <w:color w:val="FFFFFF" w:themeColor="background1"/>
                        </w:rPr>
                        <w:t xml:space="preserve">: </w:t>
                      </w:r>
                      <w:r w:rsidRPr="003E5209">
                        <w:rPr>
                          <w:rFonts w:ascii="Roboto" w:hAnsi="Roboto"/>
                          <w:b/>
                          <w:color w:val="FFFFFF" w:themeColor="background1"/>
                          <w:u w:val="single"/>
                        </w:rPr>
                        <w:t>Extractive Industries Transparency Initiative (EITI)</w:t>
                      </w:r>
                    </w:p>
                  </w:txbxContent>
                </v:textbox>
              </v:shape>
            </w:pict>
          </mc:Fallback>
        </mc:AlternateContent>
      </w:r>
      <w:r w:rsidRPr="003625BA">
        <w:rPr>
          <w:rFonts w:ascii="Roboto" w:hAnsi="Roboto"/>
          <w:noProof/>
          <w:sz w:val="20"/>
          <w:szCs w:val="20"/>
          <w:lang w:val="en-US"/>
        </w:rPr>
        <w:drawing>
          <wp:anchor distT="0" distB="0" distL="114300" distR="114300" simplePos="0" relativeHeight="254359550" behindDoc="1" locked="0" layoutInCell="1" allowOverlap="1" wp14:anchorId="28A0E598" wp14:editId="6C510124">
            <wp:simplePos x="0" y="0"/>
            <wp:positionH relativeFrom="column">
              <wp:posOffset>0</wp:posOffset>
            </wp:positionH>
            <wp:positionV relativeFrom="paragraph">
              <wp:posOffset>62865</wp:posOffset>
            </wp:positionV>
            <wp:extent cx="393065" cy="520065"/>
            <wp:effectExtent l="0" t="0" r="635" b="635"/>
            <wp:wrapTight wrapText="bothSides">
              <wp:wrapPolygon edited="0">
                <wp:start x="698" y="527"/>
                <wp:lineTo x="0" y="21099"/>
                <wp:lineTo x="20937" y="21099"/>
                <wp:lineTo x="20937" y="6330"/>
                <wp:lineTo x="20239" y="5275"/>
                <wp:lineTo x="15354" y="527"/>
                <wp:lineTo x="698" y="527"/>
              </wp:wrapPolygon>
            </wp:wrapTight>
            <wp:docPr id="2371"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F_icon_2-01.png"/>
                    <pic:cNvPicPr/>
                  </pic:nvPicPr>
                  <pic:blipFill rotWithShape="1">
                    <a:blip r:embed="rId921" cstate="screen">
                      <a:extLst>
                        <a:ext uri="{28A0092B-C50C-407E-A947-70E740481C1C}">
                          <a14:useLocalDpi xmlns:a14="http://schemas.microsoft.com/office/drawing/2010/main"/>
                        </a:ext>
                      </a:extLst>
                    </a:blip>
                    <a:srcRect/>
                    <a:stretch/>
                  </pic:blipFill>
                  <pic:spPr bwMode="auto">
                    <a:xfrm>
                      <a:off x="0" y="0"/>
                      <a:ext cx="393065" cy="52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9D0F6" w14:textId="3B347760" w:rsidR="00F7625D" w:rsidRPr="003625BA" w:rsidRDefault="00F7625D" w:rsidP="00F7625D">
      <w:pPr>
        <w:spacing w:line="276" w:lineRule="auto"/>
        <w:rPr>
          <w:rFonts w:ascii="Roboto" w:hAnsi="Roboto"/>
          <w:sz w:val="20"/>
          <w:szCs w:val="20"/>
        </w:rPr>
      </w:pPr>
    </w:p>
    <w:p w14:paraId="2B6262A2" w14:textId="77777777" w:rsidR="00F7625D" w:rsidRPr="003625BA" w:rsidRDefault="00F7625D" w:rsidP="00F7625D">
      <w:pPr>
        <w:rPr>
          <w:rFonts w:ascii="Roboto" w:hAnsi="Roboto"/>
          <w:sz w:val="20"/>
          <w:szCs w:val="20"/>
        </w:rPr>
      </w:pPr>
    </w:p>
    <w:p w14:paraId="46C9DA57" w14:textId="77777777" w:rsidR="00F7625D" w:rsidRPr="003625BA" w:rsidRDefault="00F7625D" w:rsidP="00F7625D">
      <w:pPr>
        <w:spacing w:line="276" w:lineRule="auto"/>
        <w:rPr>
          <w:rFonts w:ascii="Roboto" w:hAnsi="Roboto"/>
          <w:sz w:val="20"/>
          <w:szCs w:val="20"/>
        </w:rPr>
      </w:pPr>
    </w:p>
    <w:p w14:paraId="3FC46F22" w14:textId="22946F08" w:rsidR="00EA4AB3" w:rsidRPr="003625BA" w:rsidRDefault="00EA4AB3" w:rsidP="003625BA">
      <w:pPr>
        <w:pStyle w:val="ListParagraph"/>
        <w:numPr>
          <w:ilvl w:val="0"/>
          <w:numId w:val="204"/>
        </w:numPr>
        <w:contextualSpacing/>
        <w:jc w:val="both"/>
        <w:rPr>
          <w:rFonts w:ascii="Roboto" w:hAnsi="Roboto"/>
          <w:sz w:val="20"/>
          <w:szCs w:val="20"/>
        </w:rPr>
      </w:pPr>
      <w:r w:rsidRPr="003625BA">
        <w:rPr>
          <w:rFonts w:ascii="Roboto" w:hAnsi="Roboto"/>
          <w:sz w:val="20"/>
          <w:szCs w:val="20"/>
        </w:rPr>
        <w:t xml:space="preserve">It is an initiative led by the International Secretariat of EITI and promoted by governments, private enterprises (Exxon Mobil, British Petroleum, and Pemex, among others), international organizations and organized civil society. It promotes openness and the responsible management of extractive industry resources including oil, gas and minerals. </w:t>
      </w:r>
    </w:p>
    <w:p w14:paraId="337452A2" w14:textId="77777777" w:rsidR="00EA4AB3" w:rsidRPr="003625BA" w:rsidRDefault="00EA4AB3" w:rsidP="003625BA">
      <w:pPr>
        <w:pStyle w:val="ListParagraph"/>
        <w:contextualSpacing/>
        <w:jc w:val="both"/>
        <w:rPr>
          <w:rFonts w:ascii="Roboto" w:hAnsi="Roboto"/>
          <w:sz w:val="20"/>
          <w:szCs w:val="20"/>
        </w:rPr>
      </w:pPr>
    </w:p>
    <w:p w14:paraId="6DE84EDB" w14:textId="65A2730B" w:rsidR="00EA4AB3" w:rsidRPr="003625BA" w:rsidRDefault="00EA4AB3" w:rsidP="003625BA">
      <w:pPr>
        <w:pStyle w:val="ListParagraph"/>
        <w:numPr>
          <w:ilvl w:val="0"/>
          <w:numId w:val="204"/>
        </w:numPr>
        <w:contextualSpacing/>
        <w:jc w:val="both"/>
        <w:rPr>
          <w:rFonts w:ascii="Roboto" w:hAnsi="Roboto"/>
          <w:sz w:val="20"/>
          <w:szCs w:val="20"/>
        </w:rPr>
      </w:pPr>
      <w:r w:rsidRPr="003625BA">
        <w:rPr>
          <w:rFonts w:ascii="Roboto" w:hAnsi="Roboto"/>
          <w:sz w:val="20"/>
          <w:szCs w:val="20"/>
        </w:rPr>
        <w:t>The goal is to guarantee the publication of information in order to promote improvement in the governance of extractive industries. To achieve this, EITI requires countries to report income derived from their extractive industries through a report with diverse variables in a speciﬁc format. Although it harmonizes published information and promotes best practices, it does not provide for a specific data structure.</w:t>
      </w:r>
    </w:p>
    <w:p w14:paraId="3CE107DC" w14:textId="06B4CFEB" w:rsidR="00F7625D" w:rsidRPr="003625BA" w:rsidRDefault="00511536" w:rsidP="00F7625D">
      <w:pPr>
        <w:pStyle w:val="ListParagraph"/>
        <w:rPr>
          <w:rFonts w:ascii="Roboto" w:hAnsi="Roboto"/>
          <w:sz w:val="20"/>
          <w:szCs w:val="20"/>
        </w:rPr>
      </w:pPr>
      <w:r w:rsidRPr="003625BA">
        <w:rPr>
          <w:rFonts w:ascii="Roboto" w:hAnsi="Roboto"/>
          <w:noProof/>
          <w:sz w:val="20"/>
          <w:szCs w:val="20"/>
          <w:lang w:val="en-US"/>
        </w:rPr>
        <w:drawing>
          <wp:anchor distT="0" distB="0" distL="114300" distR="114300" simplePos="0" relativeHeight="254362622" behindDoc="1" locked="0" layoutInCell="1" allowOverlap="1" wp14:anchorId="46D06EB9" wp14:editId="249704BE">
            <wp:simplePos x="0" y="0"/>
            <wp:positionH relativeFrom="column">
              <wp:posOffset>0</wp:posOffset>
            </wp:positionH>
            <wp:positionV relativeFrom="paragraph">
              <wp:posOffset>36830</wp:posOffset>
            </wp:positionV>
            <wp:extent cx="393065" cy="520065"/>
            <wp:effectExtent l="0" t="0" r="635" b="635"/>
            <wp:wrapTight wrapText="bothSides">
              <wp:wrapPolygon edited="0">
                <wp:start x="698" y="527"/>
                <wp:lineTo x="0" y="21099"/>
                <wp:lineTo x="20937" y="21099"/>
                <wp:lineTo x="20937" y="6330"/>
                <wp:lineTo x="20239" y="5275"/>
                <wp:lineTo x="15354" y="527"/>
                <wp:lineTo x="698" y="527"/>
              </wp:wrapPolygon>
            </wp:wrapTight>
            <wp:docPr id="2372" name="Picture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F_icon_2-01.png"/>
                    <pic:cNvPicPr/>
                  </pic:nvPicPr>
                  <pic:blipFill rotWithShape="1">
                    <a:blip r:embed="rId921" cstate="screen">
                      <a:extLst>
                        <a:ext uri="{28A0092B-C50C-407E-A947-70E740481C1C}">
                          <a14:useLocalDpi xmlns:a14="http://schemas.microsoft.com/office/drawing/2010/main"/>
                        </a:ext>
                      </a:extLst>
                    </a:blip>
                    <a:srcRect/>
                    <a:stretch/>
                  </pic:blipFill>
                  <pic:spPr bwMode="auto">
                    <a:xfrm>
                      <a:off x="0" y="0"/>
                      <a:ext cx="393065" cy="52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5BA">
        <w:rPr>
          <w:rFonts w:ascii="Roboto" w:hAnsi="Roboto"/>
          <w:noProof/>
          <w:sz w:val="20"/>
          <w:szCs w:val="20"/>
          <w:lang w:val="en-US"/>
        </w:rPr>
        <mc:AlternateContent>
          <mc:Choice Requires="wps">
            <w:drawing>
              <wp:anchor distT="0" distB="0" distL="114300" distR="114300" simplePos="0" relativeHeight="254363646" behindDoc="0" locked="0" layoutInCell="1" allowOverlap="1" wp14:anchorId="0A9D0CFE" wp14:editId="394198FD">
                <wp:simplePos x="0" y="0"/>
                <wp:positionH relativeFrom="column">
                  <wp:posOffset>446405</wp:posOffset>
                </wp:positionH>
                <wp:positionV relativeFrom="paragraph">
                  <wp:posOffset>67310</wp:posOffset>
                </wp:positionV>
                <wp:extent cx="6263640" cy="445135"/>
                <wp:effectExtent l="0" t="0" r="0" b="0"/>
                <wp:wrapNone/>
                <wp:docPr id="2365" name="Rounded Rectangle 2365"/>
                <wp:cNvGraphicFramePr/>
                <a:graphic xmlns:a="http://schemas.openxmlformats.org/drawingml/2006/main">
                  <a:graphicData uri="http://schemas.microsoft.com/office/word/2010/wordprocessingShape">
                    <wps:wsp>
                      <wps:cNvSpPr/>
                      <wps:spPr>
                        <a:xfrm>
                          <a:off x="0" y="0"/>
                          <a:ext cx="6263640" cy="445135"/>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oundrect w14:anchorId="067DDD89" id="Rounded Rectangle 2365" o:spid="_x0000_s1026" style="position:absolute;margin-left:35.15pt;margin-top:5.3pt;width:493.2pt;height:35.05pt;z-index:2543636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" fillcolor="#82caa0" stroked="f" strokeweight="1pt">
                <v:stroke joinstyle="miter"/>
              </v:roundrect>
            </w:pict>
          </mc:Fallback>
        </mc:AlternateContent>
      </w:r>
    </w:p>
    <w:p w14:paraId="1FF759C4" w14:textId="61991A79" w:rsidR="00F7625D" w:rsidRPr="003625BA" w:rsidRDefault="00511536" w:rsidP="00F7625D">
      <w:pPr>
        <w:spacing w:line="276" w:lineRule="auto"/>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364670" behindDoc="0" locked="0" layoutInCell="1" allowOverlap="1" wp14:anchorId="42352939" wp14:editId="0EED3FB8">
                <wp:simplePos x="0" y="0"/>
                <wp:positionH relativeFrom="column">
                  <wp:posOffset>446405</wp:posOffset>
                </wp:positionH>
                <wp:positionV relativeFrom="paragraph">
                  <wp:posOffset>11430</wp:posOffset>
                </wp:positionV>
                <wp:extent cx="4688840" cy="338455"/>
                <wp:effectExtent l="0" t="0" r="0" b="4445"/>
                <wp:wrapNone/>
                <wp:docPr id="2366" name="Text Box 2366"/>
                <wp:cNvGraphicFramePr/>
                <a:graphic xmlns:a="http://schemas.openxmlformats.org/drawingml/2006/main">
                  <a:graphicData uri="http://schemas.microsoft.com/office/word/2010/wordprocessingShape">
                    <wps:wsp>
                      <wps:cNvSpPr txBox="1"/>
                      <wps:spPr>
                        <a:xfrm>
                          <a:off x="0" y="0"/>
                          <a:ext cx="4688840" cy="338455"/>
                        </a:xfrm>
                        <a:prstGeom prst="rect">
                          <a:avLst/>
                        </a:prstGeom>
                        <a:noFill/>
                        <a:ln w="6350">
                          <a:noFill/>
                        </a:ln>
                      </wps:spPr>
                      <wps:txbx>
                        <w:txbxContent>
                          <w:p w14:paraId="3605344A"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5</w:t>
                            </w:r>
                            <w:r w:rsidRPr="006F3826">
                              <w:rPr>
                                <w:rFonts w:ascii="Roboto" w:hAnsi="Roboto"/>
                                <w:b/>
                                <w:color w:val="FFFFFF" w:themeColor="background1"/>
                              </w:rPr>
                              <w:t xml:space="preserve">: </w:t>
                            </w:r>
                            <w:r w:rsidRPr="003E5209">
                              <w:rPr>
                                <w:rFonts w:ascii="Roboto" w:hAnsi="Roboto"/>
                                <w:b/>
                                <w:color w:val="FFFFFF" w:themeColor="background1"/>
                                <w:u w:val="single"/>
                              </w:rPr>
                              <w:t>Construction Sector Transparency Initiative (</w:t>
                            </w:r>
                            <w:proofErr w:type="spellStart"/>
                            <w:r w:rsidRPr="003E5209">
                              <w:rPr>
                                <w:rFonts w:ascii="Roboto" w:hAnsi="Roboto"/>
                                <w:b/>
                                <w:color w:val="FFFFFF" w:themeColor="background1"/>
                                <w:u w:val="single"/>
                              </w:rPr>
                              <w:t>CoST</w:t>
                            </w:r>
                            <w:proofErr w:type="spellEnd"/>
                            <w:r w:rsidRPr="003E5209">
                              <w:rPr>
                                <w:rFonts w:ascii="Roboto" w:hAnsi="Roboto"/>
                                <w:b/>
                                <w:color w:val="FFFFFF" w:themeColor="background1"/>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52939" id="Text Box 2366" o:spid="_x0000_s1564" type="#_x0000_t202" style="position:absolute;margin-left:35.15pt;margin-top:.9pt;width:369.2pt;height:26.65pt;z-index:254364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" filled="f" stroked="f" strokeweight=".5pt">
                <v:textbox>
                  <w:txbxContent>
                    <w:p w14:paraId="3605344A" w14:textId="77777777" w:rsidR="00D15FD8" w:rsidRPr="006F3826" w:rsidRDefault="00D15FD8" w:rsidP="00F7625D">
                      <w:pPr>
                        <w:jc w:val="center"/>
                        <w:rPr>
                          <w:rFonts w:ascii="Roboto" w:hAnsi="Roboto"/>
                          <w:b/>
                          <w:color w:val="FFFFFF" w:themeColor="background1"/>
                          <w:u w:val="single"/>
                        </w:rPr>
                      </w:pPr>
                      <w:r w:rsidRPr="006F3826">
                        <w:rPr>
                          <w:rFonts w:ascii="Roboto" w:hAnsi="Roboto"/>
                          <w:b/>
                          <w:color w:val="FFFFFF" w:themeColor="background1"/>
                        </w:rPr>
                        <w:t xml:space="preserve">Standard </w:t>
                      </w:r>
                      <w:r>
                        <w:rPr>
                          <w:rFonts w:ascii="Roboto" w:hAnsi="Roboto"/>
                          <w:b/>
                          <w:color w:val="FFFFFF" w:themeColor="background1"/>
                        </w:rPr>
                        <w:t>5</w:t>
                      </w:r>
                      <w:r w:rsidRPr="006F3826">
                        <w:rPr>
                          <w:rFonts w:ascii="Roboto" w:hAnsi="Roboto"/>
                          <w:b/>
                          <w:color w:val="FFFFFF" w:themeColor="background1"/>
                        </w:rPr>
                        <w:t xml:space="preserve">: </w:t>
                      </w:r>
                      <w:r w:rsidRPr="003E5209">
                        <w:rPr>
                          <w:rFonts w:ascii="Roboto" w:hAnsi="Roboto"/>
                          <w:b/>
                          <w:color w:val="FFFFFF" w:themeColor="background1"/>
                          <w:u w:val="single"/>
                        </w:rPr>
                        <w:t>Construction Sector Transparency Initiative (</w:t>
                      </w:r>
                      <w:proofErr w:type="spellStart"/>
                      <w:r w:rsidRPr="003E5209">
                        <w:rPr>
                          <w:rFonts w:ascii="Roboto" w:hAnsi="Roboto"/>
                          <w:b/>
                          <w:color w:val="FFFFFF" w:themeColor="background1"/>
                          <w:u w:val="single"/>
                        </w:rPr>
                        <w:t>CoST</w:t>
                      </w:r>
                      <w:proofErr w:type="spellEnd"/>
                      <w:r w:rsidRPr="003E5209">
                        <w:rPr>
                          <w:rFonts w:ascii="Roboto" w:hAnsi="Roboto"/>
                          <w:b/>
                          <w:color w:val="FFFFFF" w:themeColor="background1"/>
                          <w:u w:val="single"/>
                        </w:rPr>
                        <w:t>)</w:t>
                      </w:r>
                    </w:p>
                  </w:txbxContent>
                </v:textbox>
              </v:shape>
            </w:pict>
          </mc:Fallback>
        </mc:AlternateContent>
      </w:r>
    </w:p>
    <w:p w14:paraId="6F3B7BAF" w14:textId="6EE9ACB7" w:rsidR="00F7625D" w:rsidRPr="003625BA" w:rsidRDefault="00F7625D" w:rsidP="00F7625D">
      <w:pPr>
        <w:rPr>
          <w:rFonts w:ascii="Roboto" w:hAnsi="Roboto"/>
          <w:sz w:val="20"/>
          <w:szCs w:val="20"/>
        </w:rPr>
      </w:pPr>
    </w:p>
    <w:p w14:paraId="4B46DB5F" w14:textId="32A46BED" w:rsidR="00F7625D" w:rsidRPr="003625BA" w:rsidRDefault="00F7625D" w:rsidP="003625BA">
      <w:pPr>
        <w:jc w:val="both"/>
        <w:rPr>
          <w:rFonts w:ascii="Roboto" w:hAnsi="Roboto"/>
          <w:sz w:val="20"/>
          <w:szCs w:val="20"/>
        </w:rPr>
      </w:pPr>
    </w:p>
    <w:p w14:paraId="4B1FA601" w14:textId="62099927" w:rsidR="00EA4AB3" w:rsidRPr="003625BA" w:rsidRDefault="00EA4AB3" w:rsidP="003625BA">
      <w:pPr>
        <w:pStyle w:val="ListParagraph"/>
        <w:numPr>
          <w:ilvl w:val="0"/>
          <w:numId w:val="205"/>
        </w:numPr>
        <w:contextualSpacing/>
        <w:jc w:val="both"/>
        <w:rPr>
          <w:rFonts w:ascii="Roboto" w:hAnsi="Roboto"/>
          <w:sz w:val="20"/>
          <w:szCs w:val="20"/>
        </w:rPr>
      </w:pPr>
      <w:r w:rsidRPr="003625BA">
        <w:rPr>
          <w:rFonts w:ascii="Roboto" w:hAnsi="Roboto"/>
          <w:sz w:val="20"/>
          <w:szCs w:val="20"/>
        </w:rPr>
        <w:t xml:space="preserve">The </w:t>
      </w:r>
      <w:hyperlink r:id="rId928">
        <w:proofErr w:type="spellStart"/>
        <w:r w:rsidRPr="003625BA">
          <w:rPr>
            <w:rStyle w:val="Hyperlink"/>
            <w:rFonts w:ascii="Roboto" w:eastAsia="Calibri" w:hAnsi="Roboto" w:cs="Calibri"/>
            <w:sz w:val="20"/>
            <w:szCs w:val="20"/>
          </w:rPr>
          <w:t>CoST</w:t>
        </w:r>
        <w:proofErr w:type="spellEnd"/>
      </w:hyperlink>
      <w:r w:rsidRPr="003625BA">
        <w:rPr>
          <w:rFonts w:ascii="Roboto" w:eastAsia="Calibri" w:hAnsi="Roboto" w:cs="Calibri"/>
          <w:sz w:val="20"/>
          <w:szCs w:val="20"/>
        </w:rPr>
        <w:t xml:space="preserve"> </w:t>
      </w:r>
      <w:r w:rsidRPr="003625BA">
        <w:rPr>
          <w:rFonts w:ascii="Roboto" w:hAnsi="Roboto"/>
          <w:sz w:val="20"/>
          <w:szCs w:val="20"/>
        </w:rPr>
        <w:t>is an initiative promoted by national governments in Asia, Africa and Latin America and led by the World Bank. It seeks to improve value for money in public infrastructure investments by requiring transparency in the execution of construction projects.</w:t>
      </w:r>
    </w:p>
    <w:p w14:paraId="18304224" w14:textId="4C8D7083" w:rsidR="00EA4AB3" w:rsidRPr="003625BA" w:rsidRDefault="0096076C" w:rsidP="003625BA">
      <w:pPr>
        <w:pStyle w:val="ListParagraph"/>
        <w:numPr>
          <w:ilvl w:val="0"/>
          <w:numId w:val="205"/>
        </w:numPr>
        <w:contextualSpacing/>
        <w:jc w:val="both"/>
        <w:rPr>
          <w:rFonts w:ascii="Roboto" w:hAnsi="Roboto"/>
          <w:sz w:val="20"/>
          <w:szCs w:val="20"/>
        </w:rPr>
      </w:pPr>
      <w:r w:rsidRPr="003625BA">
        <w:rPr>
          <w:rFonts w:ascii="Roboto" w:hAnsi="Roboto" w:cs="Arial"/>
          <w:noProof/>
          <w:color w:val="ED5625"/>
          <w:sz w:val="20"/>
          <w:szCs w:val="20"/>
          <w:lang w:val="en-US"/>
        </w:rPr>
        <w:lastRenderedPageBreak/>
        <mc:AlternateContent>
          <mc:Choice Requires="wps">
            <w:drawing>
              <wp:anchor distT="0" distB="0" distL="114300" distR="114300" simplePos="0" relativeHeight="255527934" behindDoc="1" locked="0" layoutInCell="1" allowOverlap="1" wp14:anchorId="25402078" wp14:editId="4853C806">
                <wp:simplePos x="0" y="0"/>
                <wp:positionH relativeFrom="margin">
                  <wp:posOffset>-170180</wp:posOffset>
                </wp:positionH>
                <wp:positionV relativeFrom="margin">
                  <wp:posOffset>-100711</wp:posOffset>
                </wp:positionV>
                <wp:extent cx="7010400" cy="645668"/>
                <wp:effectExtent l="12700" t="12700" r="12700" b="15240"/>
                <wp:wrapNone/>
                <wp:docPr id="89" name="Rectangle 89"/>
                <wp:cNvGraphicFramePr/>
                <a:graphic xmlns:a="http://schemas.openxmlformats.org/drawingml/2006/main">
                  <a:graphicData uri="http://schemas.microsoft.com/office/word/2010/wordprocessingShape">
                    <wps:wsp>
                      <wps:cNvSpPr/>
                      <wps:spPr>
                        <a:xfrm>
                          <a:off x="0" y="0"/>
                          <a:ext cx="7010400" cy="645668"/>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D6D35" w14:textId="77777777" w:rsidR="00D15FD8" w:rsidRDefault="00D15FD8" w:rsidP="0096076C">
                            <w:pPr>
                              <w:shd w:val="clear" w:color="auto" w:fill="F2F2F2" w:themeFill="background1" w:themeFillShade="F2"/>
                            </w:pPr>
                          </w:p>
                          <w:p w14:paraId="378346CC" w14:textId="77777777" w:rsidR="00D15FD8" w:rsidRPr="003625BA" w:rsidRDefault="00D15FD8" w:rsidP="0096076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02078" id="Rectangle 89" o:spid="_x0000_s1565" style="position:absolute;left:0;text-align:left;margin-left:-13.4pt;margin-top:-7.95pt;width:552pt;height:50.85pt;z-index:-24778854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" fillcolor="#f2f2f2 [3052]" strokecolor="#16988a" strokeweight="1.5pt">
                <v:textbox>
                  <w:txbxContent>
                    <w:p w14:paraId="28ED6D35" w14:textId="77777777" w:rsidR="00D15FD8" w:rsidRDefault="00D15FD8" w:rsidP="0096076C">
                      <w:pPr>
                        <w:shd w:val="clear" w:color="auto" w:fill="F2F2F2" w:themeFill="background1" w:themeFillShade="F2"/>
                      </w:pPr>
                    </w:p>
                    <w:p w14:paraId="378346CC" w14:textId="77777777" w:rsidR="00D15FD8" w:rsidRPr="003625BA" w:rsidRDefault="00D15FD8" w:rsidP="0096076C">
                      <w:pPr>
                        <w:jc w:val="center"/>
                        <w:rPr>
                          <w:lang w:val="en-US"/>
                        </w:rPr>
                      </w:pPr>
                    </w:p>
                  </w:txbxContent>
                </v:textbox>
                <w10:wrap anchorx="margin" anchory="margin"/>
              </v:rect>
            </w:pict>
          </mc:Fallback>
        </mc:AlternateContent>
      </w:r>
      <w:r w:rsidR="00EA4AB3" w:rsidRPr="003625BA">
        <w:rPr>
          <w:rFonts w:ascii="Roboto" w:hAnsi="Roboto"/>
          <w:sz w:val="20"/>
          <w:szCs w:val="20"/>
        </w:rPr>
        <w:t>It requires the publication of key information, including on the purpose, scope, costs and execution of public construction projects, through the different stages of the project cycle from pre-contract to post-contract. It doesn’t however provide homologated templates for the data.</w:t>
      </w:r>
    </w:p>
    <w:p w14:paraId="039BEBFA" w14:textId="20769189" w:rsidR="00E26B41" w:rsidRDefault="00E26B41" w:rsidP="00EB2A7C">
      <w:pPr>
        <w:pStyle w:val="ListParagraph"/>
        <w:rPr>
          <w:rFonts w:ascii="Roboto" w:hAnsi="Roboto"/>
          <w:sz w:val="20"/>
          <w:szCs w:val="20"/>
        </w:rPr>
      </w:pPr>
    </w:p>
    <w:p w14:paraId="002F01BE" w14:textId="5F25E9F6" w:rsidR="00C20993" w:rsidRDefault="00C20993" w:rsidP="00EB2A7C">
      <w:pPr>
        <w:pStyle w:val="ListParagraph"/>
        <w:rPr>
          <w:rFonts w:ascii="Roboto" w:hAnsi="Roboto"/>
          <w:sz w:val="20"/>
          <w:szCs w:val="20"/>
        </w:rPr>
      </w:pPr>
    </w:p>
    <w:p w14:paraId="3DED293D" w14:textId="20D3D7BE" w:rsidR="00C20993" w:rsidRPr="00C20993" w:rsidRDefault="00C20993" w:rsidP="00C20993">
      <w:pPr>
        <w:pStyle w:val="Heading3"/>
        <w:numPr>
          <w:ilvl w:val="2"/>
          <w:numId w:val="139"/>
        </w:numPr>
        <w:ind w:left="0" w:firstLine="0"/>
        <w:rPr>
          <w:rFonts w:ascii="Arial" w:hAnsi="Arial" w:cs="Arial"/>
          <w:b/>
          <w:bCs/>
          <w:color w:val="16988A"/>
          <w:sz w:val="32"/>
          <w:szCs w:val="32"/>
          <w:lang w:val="en-US"/>
        </w:rPr>
      </w:pPr>
      <w:r>
        <w:rPr>
          <w:rFonts w:ascii="Arial" w:hAnsi="Arial" w:cs="Arial"/>
          <w:b/>
          <w:bCs/>
          <w:color w:val="16988A"/>
          <w:sz w:val="32"/>
          <w:szCs w:val="32"/>
          <w:lang w:val="en-US"/>
        </w:rPr>
        <w:t xml:space="preserve">  </w:t>
      </w:r>
      <w:bookmarkStart w:id="2316" w:name="_Toc123204545"/>
      <w:bookmarkStart w:id="2317" w:name="_Toc123216661"/>
      <w:bookmarkStart w:id="2318" w:name="_Toc123217501"/>
      <w:bookmarkStart w:id="2319" w:name="_Toc123913457"/>
      <w:bookmarkStart w:id="2320" w:name="_Toc123914114"/>
      <w:bookmarkStart w:id="2321" w:name="_Toc125566729"/>
      <w:r w:rsidRPr="00C20993">
        <w:rPr>
          <w:rFonts w:ascii="Arial" w:hAnsi="Arial" w:cs="Arial"/>
          <w:b/>
          <w:bCs/>
          <w:color w:val="16988A"/>
          <w:sz w:val="32"/>
          <w:szCs w:val="32"/>
          <w:lang w:val="en-US"/>
        </w:rPr>
        <w:t>Open Government Data Toolkit</w:t>
      </w:r>
      <w:bookmarkEnd w:id="2316"/>
      <w:bookmarkEnd w:id="2317"/>
      <w:bookmarkEnd w:id="2318"/>
      <w:bookmarkEnd w:id="2319"/>
      <w:bookmarkEnd w:id="2320"/>
      <w:bookmarkEnd w:id="2321"/>
    </w:p>
    <w:p w14:paraId="4E53E0FA" w14:textId="77777777" w:rsidR="00C20993" w:rsidRPr="00EB2A7C" w:rsidRDefault="00C20993" w:rsidP="00C20993">
      <w:pPr>
        <w:spacing w:line="276" w:lineRule="auto"/>
        <w:rPr>
          <w:rFonts w:ascii="Arial" w:hAnsi="Arial" w:cs="Arial"/>
          <w:sz w:val="24"/>
          <w:szCs w:val="24"/>
          <w:lang w:val="en-US"/>
        </w:rPr>
      </w:pPr>
    </w:p>
    <w:p w14:paraId="02EAAC2B" w14:textId="63EF4AF9" w:rsidR="00C20993" w:rsidRDefault="00C20993" w:rsidP="00C20993">
      <w:pPr>
        <w:spacing w:line="276" w:lineRule="auto"/>
        <w:contextualSpacing/>
        <w:jc w:val="both"/>
        <w:rPr>
          <w:rFonts w:ascii="Arial" w:hAnsi="Arial" w:cs="Arial"/>
          <w:sz w:val="24"/>
          <w:szCs w:val="24"/>
        </w:rPr>
      </w:pPr>
      <w:r w:rsidRPr="00EB2A7C">
        <w:rPr>
          <w:rFonts w:ascii="Arial" w:hAnsi="Arial" w:cs="Arial"/>
          <w:sz w:val="24"/>
          <w:szCs w:val="24"/>
        </w:rPr>
        <w:t xml:space="preserve">The </w:t>
      </w:r>
      <w:hyperlink r:id="rId929" w:history="1">
        <w:r w:rsidRPr="00EB2A7C">
          <w:rPr>
            <w:rFonts w:ascii="Arial" w:hAnsi="Arial" w:cs="Arial"/>
            <w:color w:val="0563C1" w:themeColor="hyperlink"/>
            <w:sz w:val="24"/>
            <w:szCs w:val="24"/>
            <w:u w:val="single"/>
          </w:rPr>
          <w:t>Open Government Data Toolkit</w:t>
        </w:r>
      </w:hyperlink>
      <w:r w:rsidRPr="00EB2A7C">
        <w:rPr>
          <w:rFonts w:ascii="Arial" w:hAnsi="Arial" w:cs="Arial"/>
          <w:sz w:val="24"/>
          <w:szCs w:val="24"/>
        </w:rPr>
        <w:t xml:space="preserve"> was released by the World Bank to facilitate understanding of the basic precepts of open data and to plan and implement an open government data program, while avoiding common pitfalls.</w:t>
      </w:r>
    </w:p>
    <w:p w14:paraId="3120256E" w14:textId="65B0C5E4" w:rsidR="00C04193" w:rsidRDefault="0096076C" w:rsidP="00990966">
      <w:pPr>
        <w:spacing w:line="276" w:lineRule="auto"/>
        <w:contextualSpacing/>
        <w:jc w:val="both"/>
        <w:rPr>
          <w:rFonts w:ascii="Arial" w:hAnsi="Arial" w:cs="Arial"/>
          <w:sz w:val="24"/>
          <w:szCs w:val="24"/>
        </w:rPr>
      </w:pPr>
      <w:r w:rsidRPr="003625BA">
        <w:rPr>
          <w:rFonts w:ascii="Roboto" w:hAnsi="Roboto" w:cs="Arial"/>
          <w:noProof/>
          <w:color w:val="ED5625"/>
          <w:sz w:val="20"/>
          <w:szCs w:val="20"/>
          <w:lang w:val="en-US"/>
        </w:rPr>
        <mc:AlternateContent>
          <mc:Choice Requires="wps">
            <w:drawing>
              <wp:anchor distT="0" distB="0" distL="114300" distR="114300" simplePos="0" relativeHeight="255116286" behindDoc="1" locked="0" layoutInCell="1" allowOverlap="1" wp14:anchorId="22376311" wp14:editId="406DDF52">
                <wp:simplePos x="0" y="0"/>
                <wp:positionH relativeFrom="margin">
                  <wp:posOffset>-171368</wp:posOffset>
                </wp:positionH>
                <wp:positionV relativeFrom="margin">
                  <wp:posOffset>1983171</wp:posOffset>
                </wp:positionV>
                <wp:extent cx="7010400" cy="7278749"/>
                <wp:effectExtent l="0" t="0" r="19050" b="17780"/>
                <wp:wrapNone/>
                <wp:docPr id="2764" name="Rectangle 2764"/>
                <wp:cNvGraphicFramePr/>
                <a:graphic xmlns:a="http://schemas.openxmlformats.org/drawingml/2006/main">
                  <a:graphicData uri="http://schemas.microsoft.com/office/word/2010/wordprocessingShape">
                    <wps:wsp>
                      <wps:cNvSpPr/>
                      <wps:spPr>
                        <a:xfrm>
                          <a:off x="0" y="0"/>
                          <a:ext cx="7010400" cy="7278749"/>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50C2D" w14:textId="77777777" w:rsidR="00D15FD8" w:rsidRDefault="00D15FD8" w:rsidP="003625BA">
                            <w:pPr>
                              <w:shd w:val="clear" w:color="auto" w:fill="F2F2F2" w:themeFill="background1" w:themeFillShade="F2"/>
                            </w:pPr>
                          </w:p>
                          <w:p w14:paraId="7460CAD3"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76311" id="Rectangle 2764" o:spid="_x0000_s1566" style="position:absolute;left:0;text-align:left;margin-left:-13.5pt;margin-top:156.15pt;width:552pt;height:573.15pt;z-index:-24820019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" fillcolor="#f2f2f2 [3052]" strokecolor="#16988a" strokeweight="1.5pt">
                <v:textbox>
                  <w:txbxContent>
                    <w:p w14:paraId="1B750C2D" w14:textId="77777777" w:rsidR="00D15FD8" w:rsidRDefault="00D15FD8" w:rsidP="003625BA">
                      <w:pPr>
                        <w:shd w:val="clear" w:color="auto" w:fill="F2F2F2" w:themeFill="background1" w:themeFillShade="F2"/>
                      </w:pPr>
                    </w:p>
                    <w:p w14:paraId="7460CAD3" w14:textId="77777777" w:rsidR="00D15FD8" w:rsidRPr="003625BA" w:rsidRDefault="00D15FD8" w:rsidP="003625BA">
                      <w:pPr>
                        <w:jc w:val="center"/>
                        <w:rPr>
                          <w:lang w:val="en-US"/>
                        </w:rPr>
                      </w:pPr>
                    </w:p>
                  </w:txbxContent>
                </v:textbox>
                <w10:wrap anchorx="margin" anchory="margin"/>
              </v:rect>
            </w:pict>
          </mc:Fallback>
        </mc:AlternateContent>
      </w:r>
    </w:p>
    <w:p w14:paraId="4DAA9A16" w14:textId="4DF06C00" w:rsidR="0066520C" w:rsidRPr="0066520C" w:rsidRDefault="0066520C" w:rsidP="0066520C">
      <w:pPr>
        <w:pStyle w:val="Heading3"/>
        <w:jc w:val="center"/>
        <w:rPr>
          <w:rFonts w:ascii="Arial" w:hAnsi="Arial" w:cs="Arial"/>
          <w:b/>
          <w:bCs/>
          <w:color w:val="19998C"/>
          <w:sz w:val="20"/>
          <w:szCs w:val="20"/>
        </w:rPr>
      </w:pPr>
      <w:bookmarkStart w:id="2322" w:name="_Toc123217502"/>
    </w:p>
    <w:p w14:paraId="1D0EFF3D" w14:textId="14580AB8" w:rsidR="004750D1" w:rsidRPr="0066520C" w:rsidRDefault="00C04193" w:rsidP="0066520C">
      <w:pPr>
        <w:pStyle w:val="Heading3"/>
        <w:jc w:val="center"/>
        <w:rPr>
          <w:sz w:val="26"/>
          <w:szCs w:val="26"/>
        </w:rPr>
      </w:pPr>
      <w:bookmarkStart w:id="2323" w:name="_Box_4.2._Open"/>
      <w:bookmarkStart w:id="2324" w:name="_Toc123914115"/>
      <w:bookmarkStart w:id="2325" w:name="_Toc125566730"/>
      <w:bookmarkEnd w:id="2323"/>
      <w:r w:rsidRPr="0066520C">
        <w:rPr>
          <w:rFonts w:ascii="Arial" w:hAnsi="Arial" w:cs="Arial"/>
          <w:b/>
          <w:bCs/>
          <w:color w:val="19998C"/>
          <w:sz w:val="26"/>
          <w:szCs w:val="26"/>
        </w:rPr>
        <w:t>Box 4.</w:t>
      </w:r>
      <w:r w:rsidR="004750D1" w:rsidRPr="0066520C">
        <w:rPr>
          <w:rFonts w:ascii="Arial" w:hAnsi="Arial" w:cs="Arial"/>
          <w:b/>
          <w:bCs/>
          <w:color w:val="19998C"/>
          <w:sz w:val="26"/>
          <w:szCs w:val="26"/>
        </w:rPr>
        <w:t>2</w:t>
      </w:r>
      <w:r w:rsidR="00AC27CC">
        <w:rPr>
          <w:rFonts w:ascii="Arial" w:hAnsi="Arial" w:cs="Arial"/>
          <w:b/>
          <w:bCs/>
          <w:color w:val="19998C"/>
          <w:sz w:val="26"/>
          <w:szCs w:val="26"/>
        </w:rPr>
        <w:t xml:space="preserve">. </w:t>
      </w:r>
      <w:r w:rsidRPr="0066520C">
        <w:rPr>
          <w:rFonts w:ascii="Arial" w:hAnsi="Arial" w:cs="Arial"/>
          <w:b/>
          <w:bCs/>
          <w:color w:val="19998C"/>
          <w:sz w:val="26"/>
          <w:szCs w:val="26"/>
        </w:rPr>
        <w:t>Open Government Data Toolkit</w:t>
      </w:r>
      <w:bookmarkEnd w:id="2322"/>
      <w:bookmarkEnd w:id="2324"/>
      <w:bookmarkEnd w:id="2325"/>
    </w:p>
    <w:p w14:paraId="73E8FC21" w14:textId="1B1821A8" w:rsidR="0066520C" w:rsidRPr="0066520C" w:rsidRDefault="0066520C" w:rsidP="0066520C">
      <w:pPr>
        <w:spacing w:line="276" w:lineRule="auto"/>
        <w:jc w:val="center"/>
        <w:rPr>
          <w:rFonts w:ascii="Roboto" w:hAnsi="Roboto"/>
          <w:b/>
          <w:color w:val="F36E27"/>
          <w:sz w:val="20"/>
          <w:szCs w:val="20"/>
        </w:rPr>
      </w:pPr>
    </w:p>
    <w:p w14:paraId="4BB62E97" w14:textId="09D5F85E" w:rsidR="009D1809" w:rsidRPr="003625BA" w:rsidRDefault="00634417" w:rsidP="004750D1">
      <w:pPr>
        <w:spacing w:line="276" w:lineRule="auto"/>
        <w:rPr>
          <w:rFonts w:ascii="Roboto" w:hAnsi="Roboto"/>
          <w:b/>
          <w:color w:val="F36E27"/>
          <w:sz w:val="20"/>
          <w:szCs w:val="20"/>
        </w:rPr>
      </w:pPr>
      <w:r w:rsidRPr="003625BA">
        <w:rPr>
          <w:rFonts w:ascii="Roboto" w:hAnsi="Roboto"/>
          <w:b/>
          <w:color w:val="F36E27"/>
          <w:sz w:val="20"/>
          <w:szCs w:val="20"/>
        </w:rPr>
        <w:t>The Open Government Data toolkit is comprised of an introduction and seven sections:</w:t>
      </w:r>
    </w:p>
    <w:p w14:paraId="5B309E35" w14:textId="532B0AA8" w:rsidR="00634417" w:rsidRPr="003625BA" w:rsidRDefault="0066520C" w:rsidP="00634417">
      <w:pPr>
        <w:tabs>
          <w:tab w:val="left" w:pos="5291"/>
        </w:tabs>
        <w:spacing w:line="276" w:lineRule="auto"/>
        <w:jc w:val="both"/>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370814" behindDoc="0" locked="0" layoutInCell="1" allowOverlap="1" wp14:anchorId="7324BE3B" wp14:editId="553F2B35">
                <wp:simplePos x="0" y="0"/>
                <wp:positionH relativeFrom="column">
                  <wp:posOffset>647700</wp:posOffset>
                </wp:positionH>
                <wp:positionV relativeFrom="paragraph">
                  <wp:posOffset>113665</wp:posOffset>
                </wp:positionV>
                <wp:extent cx="3571875" cy="279400"/>
                <wp:effectExtent l="0" t="0" r="0" b="0"/>
                <wp:wrapNone/>
                <wp:docPr id="2375" name="Text Box 2375"/>
                <wp:cNvGraphicFramePr/>
                <a:graphic xmlns:a="http://schemas.openxmlformats.org/drawingml/2006/main">
                  <a:graphicData uri="http://schemas.microsoft.com/office/word/2010/wordprocessingShape">
                    <wps:wsp>
                      <wps:cNvSpPr txBox="1"/>
                      <wps:spPr>
                        <a:xfrm>
                          <a:off x="0" y="0"/>
                          <a:ext cx="3571875" cy="279400"/>
                        </a:xfrm>
                        <a:prstGeom prst="rect">
                          <a:avLst/>
                        </a:prstGeom>
                        <a:noFill/>
                        <a:ln w="6350">
                          <a:noFill/>
                        </a:ln>
                      </wps:spPr>
                      <wps:txbx>
                        <w:txbxContent>
                          <w:p w14:paraId="33130CB6" w14:textId="77777777" w:rsidR="00D15FD8" w:rsidRPr="003625BA" w:rsidRDefault="00AC4DF7" w:rsidP="00634417">
                            <w:pPr>
                              <w:rPr>
                                <w:rFonts w:ascii="Roboto" w:hAnsi="Roboto"/>
                                <w:b/>
                                <w:bCs/>
                                <w:color w:val="FFFFFF" w:themeColor="background1"/>
                                <w:u w:val="single"/>
                              </w:rPr>
                            </w:pPr>
                            <w:hyperlink r:id="rId930" w:history="1">
                              <w:r w:rsidR="00D15FD8" w:rsidRPr="003625BA">
                                <w:rPr>
                                  <w:rStyle w:val="Hyperlink"/>
                                  <w:rFonts w:ascii="Roboto" w:hAnsi="Roboto"/>
                                  <w:b/>
                                  <w:bCs/>
                                  <w:color w:val="FFFFFF" w:themeColor="background1"/>
                                  <w:lang w:val="en-ZA"/>
                                </w:rPr>
                                <w:t>Open Data Essentials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4BE3B" id="Text Box 2375" o:spid="_x0000_s1567" type="#_x0000_t202" style="position:absolute;left:0;text-align:left;margin-left:51pt;margin-top:8.95pt;width:281.25pt;height:22pt;z-index:254370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" filled="f" stroked="f" strokeweight=".5pt">
                <v:textbox>
                  <w:txbxContent>
                    <w:p w14:paraId="33130CB6" w14:textId="77777777" w:rsidR="00D15FD8" w:rsidRPr="003625BA" w:rsidRDefault="00AC4DF7" w:rsidP="00634417">
                      <w:pPr>
                        <w:rPr>
                          <w:rFonts w:ascii="Roboto" w:hAnsi="Roboto"/>
                          <w:b/>
                          <w:bCs/>
                          <w:color w:val="FFFFFF" w:themeColor="background1"/>
                          <w:u w:val="single"/>
                        </w:rPr>
                      </w:pPr>
                      <w:hyperlink r:id="rId931" w:history="1">
                        <w:r w:rsidR="00D15FD8" w:rsidRPr="003625BA">
                          <w:rPr>
                            <w:rStyle w:val="Hyperlink"/>
                            <w:rFonts w:ascii="Roboto" w:hAnsi="Roboto"/>
                            <w:b/>
                            <w:bCs/>
                            <w:color w:val="FFFFFF" w:themeColor="background1"/>
                            <w:lang w:val="en-ZA"/>
                          </w:rPr>
                          <w:t>Open Data Essentials</w:t>
                        </w:r>
                      </w:hyperlink>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72862" behindDoc="0" locked="0" layoutInCell="1" allowOverlap="1" wp14:anchorId="76ED2CB0" wp14:editId="442B894D">
                <wp:simplePos x="0" y="0"/>
                <wp:positionH relativeFrom="column">
                  <wp:posOffset>10160</wp:posOffset>
                </wp:positionH>
                <wp:positionV relativeFrom="paragraph">
                  <wp:posOffset>100965</wp:posOffset>
                </wp:positionV>
                <wp:extent cx="435610" cy="316865"/>
                <wp:effectExtent l="0" t="0" r="0" b="0"/>
                <wp:wrapNone/>
                <wp:docPr id="2376" name="Text Box 2376"/>
                <wp:cNvGraphicFramePr/>
                <a:graphic xmlns:a="http://schemas.openxmlformats.org/drawingml/2006/main">
                  <a:graphicData uri="http://schemas.microsoft.com/office/word/2010/wordprocessingShape">
                    <wps:wsp>
                      <wps:cNvSpPr txBox="1"/>
                      <wps:spPr>
                        <a:xfrm>
                          <a:off x="0" y="0"/>
                          <a:ext cx="435610" cy="316865"/>
                        </a:xfrm>
                        <a:prstGeom prst="rect">
                          <a:avLst/>
                        </a:prstGeom>
                        <a:noFill/>
                        <a:ln w="6350">
                          <a:noFill/>
                        </a:ln>
                      </wps:spPr>
                      <wps:txbx>
                        <w:txbxContent>
                          <w:p w14:paraId="0B9992E5" w14:textId="77777777" w:rsidR="00D15FD8" w:rsidRPr="002D692A" w:rsidRDefault="00D15FD8" w:rsidP="00634417">
                            <w:pPr>
                              <w:jc w:val="center"/>
                              <w:rPr>
                                <w:rFonts w:ascii="Roboto" w:hAnsi="Roboto"/>
                                <w:b/>
                                <w:color w:val="FFFFFF" w:themeColor="background1"/>
                                <w:sz w:val="28"/>
                                <w:szCs w:val="28"/>
                                <w:u w:val="single"/>
                              </w:rPr>
                            </w:pPr>
                            <w:r w:rsidRPr="002D692A">
                              <w:rPr>
                                <w:rFonts w:ascii="Roboto" w:hAnsi="Roboto"/>
                                <w:b/>
                                <w:color w:val="FFFFFF" w:themeColor="background1"/>
                                <w:sz w:val="28"/>
                                <w:szCs w:val="28"/>
                              </w:rPr>
                              <w:t>1</w:t>
                            </w:r>
                            <w:r>
                              <w:rPr>
                                <w:rFonts w:ascii="Roboto" w:hAnsi="Roboto"/>
                                <w:b/>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D2CB0" id="Text Box 2376" o:spid="_x0000_s1568" type="#_x0000_t202" style="position:absolute;left:0;text-align:left;margin-left:.8pt;margin-top:7.95pt;width:34.3pt;height:24.95pt;z-index:2543728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" filled="f" stroked="f" strokeweight=".5pt">
                <v:textbox>
                  <w:txbxContent>
                    <w:p w14:paraId="0B9992E5" w14:textId="77777777" w:rsidR="00D15FD8" w:rsidRPr="002D692A" w:rsidRDefault="00D15FD8" w:rsidP="00634417">
                      <w:pPr>
                        <w:jc w:val="center"/>
                        <w:rPr>
                          <w:rFonts w:ascii="Roboto" w:hAnsi="Roboto"/>
                          <w:b/>
                          <w:color w:val="FFFFFF" w:themeColor="background1"/>
                          <w:sz w:val="28"/>
                          <w:szCs w:val="28"/>
                          <w:u w:val="single"/>
                        </w:rPr>
                      </w:pPr>
                      <w:r w:rsidRPr="002D692A">
                        <w:rPr>
                          <w:rFonts w:ascii="Roboto" w:hAnsi="Roboto"/>
                          <w:b/>
                          <w:color w:val="FFFFFF" w:themeColor="background1"/>
                          <w:sz w:val="28"/>
                          <w:szCs w:val="28"/>
                        </w:rPr>
                        <w:t>1</w:t>
                      </w:r>
                      <w:r>
                        <w:rPr>
                          <w:rFonts w:ascii="Roboto" w:hAnsi="Roboto"/>
                          <w:b/>
                          <w:color w:val="FFFFFF" w:themeColor="background1"/>
                          <w:sz w:val="28"/>
                          <w:szCs w:val="28"/>
                        </w:rPr>
                        <w:t>.</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71838" behindDoc="0" locked="0" layoutInCell="1" allowOverlap="1" wp14:anchorId="1C79583E" wp14:editId="2EA67D8E">
                <wp:simplePos x="0" y="0"/>
                <wp:positionH relativeFrom="column">
                  <wp:posOffset>10160</wp:posOffset>
                </wp:positionH>
                <wp:positionV relativeFrom="paragraph">
                  <wp:posOffset>48260</wp:posOffset>
                </wp:positionV>
                <wp:extent cx="435610" cy="414020"/>
                <wp:effectExtent l="0" t="0" r="0" b="5080"/>
                <wp:wrapNone/>
                <wp:docPr id="2377" name="Rounded Rectangle 2377"/>
                <wp:cNvGraphicFramePr/>
                <a:graphic xmlns:a="http://schemas.openxmlformats.org/drawingml/2006/main">
                  <a:graphicData uri="http://schemas.microsoft.com/office/word/2010/wordprocessingShape">
                    <wps:wsp>
                      <wps:cNvSpPr/>
                      <wps:spPr>
                        <a:xfrm>
                          <a:off x="0" y="0"/>
                          <a:ext cx="435610" cy="414020"/>
                        </a:xfrm>
                        <a:prstGeom prst="roundRect">
                          <a:avLst/>
                        </a:prstGeom>
                        <a:solidFill>
                          <a:srgbClr val="F36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0DE550BC" id="Rounded Rectangle 2377" o:spid="_x0000_s1026" style="position:absolute;margin-left:.8pt;margin-top:3.8pt;width:34.3pt;height:32.6pt;z-index:2543718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" fillcolor="#f36e27"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69790" behindDoc="0" locked="0" layoutInCell="1" allowOverlap="1" wp14:anchorId="4F6C4AA1" wp14:editId="6C0E95F7">
                <wp:simplePos x="0" y="0"/>
                <wp:positionH relativeFrom="column">
                  <wp:posOffset>558800</wp:posOffset>
                </wp:positionH>
                <wp:positionV relativeFrom="paragraph">
                  <wp:posOffset>47625</wp:posOffset>
                </wp:positionV>
                <wp:extent cx="6070600" cy="414020"/>
                <wp:effectExtent l="0" t="0" r="0" b="5080"/>
                <wp:wrapNone/>
                <wp:docPr id="2378" name="Rounded Rectangle 2378"/>
                <wp:cNvGraphicFramePr/>
                <a:graphic xmlns:a="http://schemas.openxmlformats.org/drawingml/2006/main">
                  <a:graphicData uri="http://schemas.microsoft.com/office/word/2010/wordprocessingShape">
                    <wps:wsp>
                      <wps:cNvSpPr/>
                      <wps:spPr>
                        <a:xfrm>
                          <a:off x="0" y="0"/>
                          <a:ext cx="6070600" cy="414020"/>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6D0097B" id="Rounded Rectangle 2378" o:spid="_x0000_s1026" style="position:absolute;margin-left:44pt;margin-top:3.75pt;width:478pt;height:32.6pt;z-index:254369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" fillcolor="#82caa0" stroked="f" strokeweight="1pt">
                <v:stroke joinstyle="miter"/>
              </v:roundrect>
            </w:pict>
          </mc:Fallback>
        </mc:AlternateContent>
      </w:r>
    </w:p>
    <w:p w14:paraId="733232F7" w14:textId="0F00BC17" w:rsidR="00634417" w:rsidRPr="003625BA" w:rsidRDefault="00634417" w:rsidP="00634417">
      <w:pPr>
        <w:tabs>
          <w:tab w:val="left" w:pos="5291"/>
        </w:tabs>
        <w:spacing w:line="276" w:lineRule="auto"/>
        <w:jc w:val="both"/>
        <w:rPr>
          <w:rFonts w:ascii="Roboto" w:hAnsi="Roboto"/>
          <w:sz w:val="20"/>
          <w:szCs w:val="20"/>
        </w:rPr>
      </w:pPr>
      <w:r w:rsidRPr="003625BA">
        <w:rPr>
          <w:rFonts w:ascii="Roboto" w:hAnsi="Roboto"/>
          <w:sz w:val="20"/>
          <w:szCs w:val="20"/>
        </w:rPr>
        <w:tab/>
      </w:r>
    </w:p>
    <w:p w14:paraId="67DA1428" w14:textId="560EF6EE" w:rsidR="00634417" w:rsidRPr="003625BA" w:rsidRDefault="00634417" w:rsidP="00634417">
      <w:pPr>
        <w:rPr>
          <w:rFonts w:ascii="Roboto" w:hAnsi="Roboto"/>
          <w:sz w:val="20"/>
          <w:szCs w:val="20"/>
        </w:rPr>
      </w:pPr>
    </w:p>
    <w:p w14:paraId="3444280F" w14:textId="11640E10" w:rsidR="00634417" w:rsidRPr="003625BA" w:rsidRDefault="00511536" w:rsidP="00634417">
      <w:pPr>
        <w:spacing w:line="276" w:lineRule="auto"/>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1614155" behindDoc="0" locked="0" layoutInCell="1" allowOverlap="1" wp14:anchorId="5D7A34A2" wp14:editId="3C7F0753">
                <wp:simplePos x="0" y="0"/>
                <wp:positionH relativeFrom="column">
                  <wp:posOffset>338447</wp:posOffset>
                </wp:positionH>
                <wp:positionV relativeFrom="paragraph">
                  <wp:posOffset>102780</wp:posOffset>
                </wp:positionV>
                <wp:extent cx="6363335" cy="1721922"/>
                <wp:effectExtent l="0" t="0" r="18415" b="12065"/>
                <wp:wrapNone/>
                <wp:docPr id="2380" name="Text Box 2380"/>
                <wp:cNvGraphicFramePr/>
                <a:graphic xmlns:a="http://schemas.openxmlformats.org/drawingml/2006/main">
                  <a:graphicData uri="http://schemas.microsoft.com/office/word/2010/wordprocessingShape">
                    <wps:wsp>
                      <wps:cNvSpPr txBox="1"/>
                      <wps:spPr>
                        <a:xfrm>
                          <a:off x="0" y="0"/>
                          <a:ext cx="6363335" cy="1721922"/>
                        </a:xfrm>
                        <a:prstGeom prst="rect">
                          <a:avLst/>
                        </a:prstGeom>
                        <a:noFill/>
                        <a:ln w="19050">
                          <a:solidFill>
                            <a:srgbClr val="82CAA0"/>
                          </a:solidFill>
                        </a:ln>
                      </wps:spPr>
                      <wps:txbx>
                        <w:txbxContent>
                          <w:p w14:paraId="604786C2" w14:textId="11EC9B17" w:rsidR="00D15FD8" w:rsidRPr="0066520C" w:rsidRDefault="00D15FD8" w:rsidP="00634417">
                            <w:pPr>
                              <w:spacing w:line="276" w:lineRule="auto"/>
                              <w:rPr>
                                <w:rFonts w:ascii="Roboto" w:hAnsi="Roboto"/>
                                <w:sz w:val="20"/>
                                <w:szCs w:val="20"/>
                              </w:rPr>
                            </w:pPr>
                            <w:r w:rsidRPr="0066520C">
                              <w:rPr>
                                <w:rFonts w:ascii="Roboto" w:hAnsi="Roboto"/>
                                <w:sz w:val="20"/>
                                <w:szCs w:val="20"/>
                              </w:rPr>
                              <w:t>Brief orientation, including what open data is and how it is used. It contains numerous examples of open data initiatives at different levels.</w:t>
                            </w:r>
                            <w:r>
                              <w:rPr>
                                <w:rFonts w:ascii="Roboto" w:hAnsi="Roboto"/>
                                <w:sz w:val="20"/>
                                <w:szCs w:val="20"/>
                              </w:rPr>
                              <w:t>203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A34A2" id="Text Box 2380" o:spid="_x0000_s1569" type="#_x0000_t202" style="position:absolute;margin-left:26.65pt;margin-top:8.1pt;width:501.05pt;height:135.6pt;z-index:251614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" filled="f" strokecolor="#82caa0" strokeweight="1.5pt">
                <v:textbox>
                  <w:txbxContent>
                    <w:p w14:paraId="604786C2" w14:textId="11EC9B17" w:rsidR="00D15FD8" w:rsidRPr="0066520C" w:rsidRDefault="00D15FD8" w:rsidP="00634417">
                      <w:pPr>
                        <w:spacing w:line="276" w:lineRule="auto"/>
                        <w:rPr>
                          <w:rFonts w:ascii="Roboto" w:hAnsi="Roboto"/>
                          <w:sz w:val="20"/>
                          <w:szCs w:val="20"/>
                        </w:rPr>
                      </w:pPr>
                      <w:r w:rsidRPr="0066520C">
                        <w:rPr>
                          <w:rFonts w:ascii="Roboto" w:hAnsi="Roboto"/>
                          <w:sz w:val="20"/>
                          <w:szCs w:val="20"/>
                        </w:rPr>
                        <w:t>Brief orientation, including what open data is and how it is used. It contains numerous examples of open data initiatives at different levels.</w:t>
                      </w:r>
                      <w:r>
                        <w:rPr>
                          <w:rFonts w:ascii="Roboto" w:hAnsi="Roboto"/>
                          <w:sz w:val="20"/>
                          <w:szCs w:val="20"/>
                        </w:rPr>
                        <w:t>203</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73886" behindDoc="0" locked="0" layoutInCell="1" allowOverlap="1" wp14:anchorId="78272160" wp14:editId="3FA115B7">
                <wp:simplePos x="0" y="0"/>
                <wp:positionH relativeFrom="column">
                  <wp:posOffset>6350</wp:posOffset>
                </wp:positionH>
                <wp:positionV relativeFrom="paragraph">
                  <wp:posOffset>121730</wp:posOffset>
                </wp:positionV>
                <wp:extent cx="276225" cy="276225"/>
                <wp:effectExtent l="0" t="0" r="9525" b="9525"/>
                <wp:wrapNone/>
                <wp:docPr id="2379" name="Chevron 2379"/>
                <wp:cNvGraphicFramePr/>
                <a:graphic xmlns:a="http://schemas.openxmlformats.org/drawingml/2006/main">
                  <a:graphicData uri="http://schemas.microsoft.com/office/word/2010/wordprocessingShape">
                    <wps:wsp>
                      <wps:cNvSpPr/>
                      <wps:spPr>
                        <a:xfrm>
                          <a:off x="0" y="0"/>
                          <a:ext cx="276225" cy="276225"/>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type w14:anchorId="1B1E1C7A"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379" o:spid="_x0000_s1026" type="#_x0000_t55" style="position:absolute;margin-left:.5pt;margin-top:9.6pt;width:21.75pt;height:21.75pt;z-index:2543738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" adj="10800" fillcolor="#82caa0" stroked="f" strokeweight="1pt"/>
            </w:pict>
          </mc:Fallback>
        </mc:AlternateContent>
      </w:r>
    </w:p>
    <w:p w14:paraId="35C1A602" w14:textId="1E12FF46" w:rsidR="00634417" w:rsidRPr="003625BA" w:rsidRDefault="00634417" w:rsidP="00634417">
      <w:pPr>
        <w:spacing w:line="276" w:lineRule="auto"/>
        <w:rPr>
          <w:rFonts w:ascii="Roboto" w:hAnsi="Roboto"/>
          <w:sz w:val="20"/>
          <w:szCs w:val="20"/>
        </w:rPr>
      </w:pPr>
    </w:p>
    <w:p w14:paraId="57E39506" w14:textId="2053DA99" w:rsidR="0066520C" w:rsidRDefault="0066520C" w:rsidP="0066520C">
      <w:pPr>
        <w:spacing w:line="276" w:lineRule="auto"/>
        <w:rPr>
          <w:rFonts w:ascii="Roboto" w:hAnsi="Roboto"/>
          <w:sz w:val="20"/>
          <w:szCs w:val="20"/>
        </w:rPr>
      </w:pPr>
    </w:p>
    <w:p w14:paraId="60BCEED1" w14:textId="3EBD4D36" w:rsidR="00634417" w:rsidRPr="0066520C" w:rsidRDefault="00634417" w:rsidP="00511536">
      <w:pPr>
        <w:spacing w:line="276" w:lineRule="auto"/>
        <w:ind w:firstLine="720"/>
        <w:rPr>
          <w:rFonts w:ascii="Roboto" w:hAnsi="Roboto"/>
          <w:sz w:val="20"/>
          <w:szCs w:val="20"/>
        </w:rPr>
      </w:pPr>
      <w:r w:rsidRPr="0066520C">
        <w:rPr>
          <w:rFonts w:ascii="Roboto" w:hAnsi="Roboto"/>
          <w:sz w:val="20"/>
          <w:szCs w:val="20"/>
        </w:rPr>
        <w:t xml:space="preserve">Examples are available for: </w:t>
      </w:r>
    </w:p>
    <w:p w14:paraId="1FD72A89" w14:textId="3E7EA3DB" w:rsidR="00C11138" w:rsidRPr="00C11138" w:rsidRDefault="00C11138" w:rsidP="003625BA">
      <w:pPr>
        <w:pStyle w:val="ListParagraph"/>
        <w:numPr>
          <w:ilvl w:val="0"/>
          <w:numId w:val="206"/>
        </w:numPr>
        <w:spacing w:line="276" w:lineRule="auto"/>
        <w:rPr>
          <w:rFonts w:ascii="Roboto" w:hAnsi="Roboto"/>
          <w:sz w:val="20"/>
          <w:szCs w:val="20"/>
        </w:rPr>
      </w:pPr>
      <w:r w:rsidRPr="00C11138">
        <w:rPr>
          <w:rFonts w:ascii="Roboto" w:hAnsi="Roboto"/>
          <w:sz w:val="20"/>
          <w:szCs w:val="20"/>
        </w:rPr>
        <w:t xml:space="preserve">Governments at country and at city levels; </w:t>
      </w:r>
    </w:p>
    <w:p w14:paraId="1C87833F" w14:textId="4A368327" w:rsidR="00C11138" w:rsidRPr="00D10D36" w:rsidRDefault="00C11138" w:rsidP="00D10D36">
      <w:pPr>
        <w:pStyle w:val="ListParagraph"/>
        <w:numPr>
          <w:ilvl w:val="0"/>
          <w:numId w:val="206"/>
        </w:numPr>
        <w:spacing w:line="276" w:lineRule="auto"/>
        <w:jc w:val="both"/>
        <w:rPr>
          <w:rFonts w:ascii="Roboto" w:hAnsi="Roboto"/>
          <w:sz w:val="20"/>
          <w:szCs w:val="20"/>
        </w:rPr>
      </w:pPr>
      <w:r w:rsidRPr="00C11138">
        <w:rPr>
          <w:rFonts w:ascii="Roboto" w:hAnsi="Roboto"/>
          <w:sz w:val="20"/>
          <w:szCs w:val="20"/>
        </w:rPr>
        <w:t xml:space="preserve">By sector/topic including those related to budgeting and public finance such as </w:t>
      </w:r>
      <w:proofErr w:type="spellStart"/>
      <w:r w:rsidRPr="00C11138">
        <w:rPr>
          <w:rFonts w:ascii="Roboto" w:hAnsi="Roboto"/>
          <w:sz w:val="20"/>
          <w:szCs w:val="20"/>
        </w:rPr>
        <w:t>OpenSpending</w:t>
      </w:r>
      <w:proofErr w:type="spellEnd"/>
      <w:r w:rsidRPr="00C11138">
        <w:rPr>
          <w:rFonts w:ascii="Roboto" w:hAnsi="Roboto"/>
          <w:sz w:val="20"/>
          <w:szCs w:val="20"/>
        </w:rPr>
        <w:t xml:space="preserve">, BOOST and Civic Commons </w:t>
      </w:r>
      <w:proofErr w:type="gramStart"/>
      <w:r w:rsidRPr="00C11138">
        <w:rPr>
          <w:rFonts w:ascii="Roboto" w:hAnsi="Roboto"/>
          <w:sz w:val="20"/>
          <w:szCs w:val="20"/>
        </w:rPr>
        <w:t>-  An</w:t>
      </w:r>
      <w:proofErr w:type="gramEnd"/>
      <w:r w:rsidRPr="00C11138">
        <w:rPr>
          <w:rFonts w:ascii="Roboto" w:hAnsi="Roboto"/>
          <w:sz w:val="20"/>
          <w:szCs w:val="20"/>
        </w:rPr>
        <w:t xml:space="preserve"> information product that helps governments and institutions share knowledge, solutions and best practices to make better use of technology and advance open data and open government. It supports a community of civic technologists by sharing not only a repository of government and civic apps and information, but also its application code</w:t>
      </w:r>
      <w:r w:rsidRPr="00D10D36">
        <w:rPr>
          <w:rFonts w:ascii="Roboto" w:hAnsi="Roboto"/>
          <w:sz w:val="20"/>
          <w:szCs w:val="20"/>
        </w:rPr>
        <w:t>.</w:t>
      </w:r>
    </w:p>
    <w:p w14:paraId="04C05752" w14:textId="400115BF" w:rsidR="00634417" w:rsidRPr="003625BA" w:rsidRDefault="00634417" w:rsidP="00634417">
      <w:pPr>
        <w:spacing w:line="276" w:lineRule="auto"/>
        <w:rPr>
          <w:rFonts w:ascii="Roboto" w:hAnsi="Roboto"/>
          <w:sz w:val="20"/>
          <w:szCs w:val="20"/>
        </w:rPr>
      </w:pPr>
    </w:p>
    <w:p w14:paraId="61E297D0" w14:textId="7D252749" w:rsidR="00634417" w:rsidRPr="003625BA" w:rsidRDefault="00DC65C4" w:rsidP="00634417">
      <w:pPr>
        <w:spacing w:line="276" w:lineRule="auto"/>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379006" behindDoc="0" locked="0" layoutInCell="1" allowOverlap="1" wp14:anchorId="62DFA6ED" wp14:editId="1E4B6A48">
                <wp:simplePos x="0" y="0"/>
                <wp:positionH relativeFrom="column">
                  <wp:posOffset>0</wp:posOffset>
                </wp:positionH>
                <wp:positionV relativeFrom="paragraph">
                  <wp:posOffset>160020</wp:posOffset>
                </wp:positionV>
                <wp:extent cx="435610" cy="316865"/>
                <wp:effectExtent l="0" t="0" r="0" b="0"/>
                <wp:wrapNone/>
                <wp:docPr id="2384" name="Text Box 2384"/>
                <wp:cNvGraphicFramePr/>
                <a:graphic xmlns:a="http://schemas.openxmlformats.org/drawingml/2006/main">
                  <a:graphicData uri="http://schemas.microsoft.com/office/word/2010/wordprocessingShape">
                    <wps:wsp>
                      <wps:cNvSpPr txBox="1"/>
                      <wps:spPr>
                        <a:xfrm>
                          <a:off x="0" y="0"/>
                          <a:ext cx="435610" cy="316865"/>
                        </a:xfrm>
                        <a:prstGeom prst="rect">
                          <a:avLst/>
                        </a:prstGeom>
                        <a:noFill/>
                        <a:ln w="6350">
                          <a:noFill/>
                        </a:ln>
                      </wps:spPr>
                      <wps:txbx>
                        <w:txbxContent>
                          <w:p w14:paraId="2C5C3491"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FA6ED" id="Text Box 2384" o:spid="_x0000_s1570" type="#_x0000_t202" style="position:absolute;margin-left:0;margin-top:12.6pt;width:34.3pt;height:24.95pt;z-index:254379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" filled="f" stroked="f" strokeweight=".5pt">
                <v:textbox>
                  <w:txbxContent>
                    <w:p w14:paraId="2C5C3491"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2.</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77982" behindDoc="0" locked="0" layoutInCell="1" allowOverlap="1" wp14:anchorId="1794115B" wp14:editId="71B13975">
                <wp:simplePos x="0" y="0"/>
                <wp:positionH relativeFrom="column">
                  <wp:posOffset>0</wp:posOffset>
                </wp:positionH>
                <wp:positionV relativeFrom="paragraph">
                  <wp:posOffset>107328</wp:posOffset>
                </wp:positionV>
                <wp:extent cx="435610" cy="414020"/>
                <wp:effectExtent l="0" t="0" r="0" b="5080"/>
                <wp:wrapNone/>
                <wp:docPr id="2383" name="Rounded Rectangle 2383"/>
                <wp:cNvGraphicFramePr/>
                <a:graphic xmlns:a="http://schemas.openxmlformats.org/drawingml/2006/main">
                  <a:graphicData uri="http://schemas.microsoft.com/office/word/2010/wordprocessingShape">
                    <wps:wsp>
                      <wps:cNvSpPr/>
                      <wps:spPr>
                        <a:xfrm>
                          <a:off x="0" y="0"/>
                          <a:ext cx="435610" cy="414020"/>
                        </a:xfrm>
                        <a:prstGeom prst="roundRect">
                          <a:avLst/>
                        </a:prstGeom>
                        <a:solidFill>
                          <a:srgbClr val="F36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156C9538" id="Rounded Rectangle 2383" o:spid="_x0000_s1026" style="position:absolute;margin-left:0;margin-top:8.45pt;width:34.3pt;height:32.6pt;z-index:2543779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" fillcolor="#f36e27"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75934" behindDoc="0" locked="0" layoutInCell="1" allowOverlap="1" wp14:anchorId="45251D82" wp14:editId="12BD6DAB">
                <wp:simplePos x="0" y="0"/>
                <wp:positionH relativeFrom="column">
                  <wp:posOffset>546100</wp:posOffset>
                </wp:positionH>
                <wp:positionV relativeFrom="paragraph">
                  <wp:posOffset>107315</wp:posOffset>
                </wp:positionV>
                <wp:extent cx="6070600" cy="414020"/>
                <wp:effectExtent l="0" t="0" r="0" b="5080"/>
                <wp:wrapNone/>
                <wp:docPr id="2382" name="Rounded Rectangle 2382"/>
                <wp:cNvGraphicFramePr/>
                <a:graphic xmlns:a="http://schemas.openxmlformats.org/drawingml/2006/main">
                  <a:graphicData uri="http://schemas.microsoft.com/office/word/2010/wordprocessingShape">
                    <wps:wsp>
                      <wps:cNvSpPr/>
                      <wps:spPr>
                        <a:xfrm>
                          <a:off x="0" y="0"/>
                          <a:ext cx="6070600" cy="414020"/>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440E5FB" id="Rounded Rectangle 2382" o:spid="_x0000_s1026" style="position:absolute;margin-left:43pt;margin-top:8.45pt;width:478pt;height:32.6pt;z-index:254375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" fillcolor="#82caa0"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76958" behindDoc="0" locked="0" layoutInCell="1" allowOverlap="1" wp14:anchorId="64C06034" wp14:editId="7DA51501">
                <wp:simplePos x="0" y="0"/>
                <wp:positionH relativeFrom="column">
                  <wp:posOffset>635000</wp:posOffset>
                </wp:positionH>
                <wp:positionV relativeFrom="paragraph">
                  <wp:posOffset>164033</wp:posOffset>
                </wp:positionV>
                <wp:extent cx="3571875" cy="342265"/>
                <wp:effectExtent l="0" t="0" r="0" b="0"/>
                <wp:wrapNone/>
                <wp:docPr id="2381" name="Text Box 2381"/>
                <wp:cNvGraphicFramePr/>
                <a:graphic xmlns:a="http://schemas.openxmlformats.org/drawingml/2006/main">
                  <a:graphicData uri="http://schemas.microsoft.com/office/word/2010/wordprocessingShape">
                    <wps:wsp>
                      <wps:cNvSpPr txBox="1"/>
                      <wps:spPr>
                        <a:xfrm>
                          <a:off x="0" y="0"/>
                          <a:ext cx="3571875" cy="342265"/>
                        </a:xfrm>
                        <a:prstGeom prst="rect">
                          <a:avLst/>
                        </a:prstGeom>
                        <a:noFill/>
                        <a:ln w="6350">
                          <a:noFill/>
                        </a:ln>
                      </wps:spPr>
                      <wps:txbx>
                        <w:txbxContent>
                          <w:p w14:paraId="132F9E91" w14:textId="77777777" w:rsidR="00D15FD8" w:rsidRPr="003625BA" w:rsidRDefault="00AC4DF7" w:rsidP="00634417">
                            <w:pPr>
                              <w:rPr>
                                <w:rFonts w:ascii="Roboto" w:hAnsi="Roboto"/>
                                <w:b/>
                                <w:bCs/>
                                <w:color w:val="FFFFFF" w:themeColor="background1"/>
                                <w:u w:val="single"/>
                              </w:rPr>
                            </w:pPr>
                            <w:hyperlink r:id="rId932" w:history="1">
                              <w:r w:rsidR="00D15FD8" w:rsidRPr="003625BA">
                                <w:rPr>
                                  <w:rStyle w:val="Hyperlink"/>
                                  <w:rFonts w:ascii="Roboto" w:hAnsi="Roboto"/>
                                  <w:b/>
                                  <w:bCs/>
                                  <w:color w:val="FFFFFF" w:themeColor="background1"/>
                                  <w:lang w:val="en-ZA"/>
                                </w:rPr>
                                <w:t>Starting an Open Data Initiative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06034" id="Text Box 2381" o:spid="_x0000_s1571" type="#_x0000_t202" style="position:absolute;margin-left:50pt;margin-top:12.9pt;width:281.25pt;height:26.95pt;z-index:2543769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" filled="f" stroked="f" strokeweight=".5pt">
                <v:textbox>
                  <w:txbxContent>
                    <w:p w14:paraId="132F9E91" w14:textId="77777777" w:rsidR="00D15FD8" w:rsidRPr="003625BA" w:rsidRDefault="00AC4DF7" w:rsidP="00634417">
                      <w:pPr>
                        <w:rPr>
                          <w:rFonts w:ascii="Roboto" w:hAnsi="Roboto"/>
                          <w:b/>
                          <w:bCs/>
                          <w:color w:val="FFFFFF" w:themeColor="background1"/>
                          <w:u w:val="single"/>
                        </w:rPr>
                      </w:pPr>
                      <w:hyperlink r:id="rId933" w:history="1">
                        <w:r w:rsidR="00D15FD8" w:rsidRPr="003625BA">
                          <w:rPr>
                            <w:rStyle w:val="Hyperlink"/>
                            <w:rFonts w:ascii="Roboto" w:hAnsi="Roboto"/>
                            <w:b/>
                            <w:bCs/>
                            <w:color w:val="FFFFFF" w:themeColor="background1"/>
                            <w:lang w:val="en-ZA"/>
                          </w:rPr>
                          <w:t>Starting an Open Data Initiative</w:t>
                        </w:r>
                      </w:hyperlink>
                    </w:p>
                  </w:txbxContent>
                </v:textbox>
              </v:shape>
            </w:pict>
          </mc:Fallback>
        </mc:AlternateContent>
      </w:r>
    </w:p>
    <w:p w14:paraId="4CE6FB27" w14:textId="7BB50007" w:rsidR="00634417" w:rsidRPr="003625BA" w:rsidRDefault="00634417" w:rsidP="00634417">
      <w:pPr>
        <w:spacing w:line="276" w:lineRule="auto"/>
        <w:rPr>
          <w:rFonts w:ascii="Roboto" w:hAnsi="Roboto"/>
          <w:sz w:val="20"/>
          <w:szCs w:val="20"/>
        </w:rPr>
      </w:pPr>
    </w:p>
    <w:p w14:paraId="543DD2EB" w14:textId="38DE3CE9" w:rsidR="00634417" w:rsidRPr="003625BA" w:rsidRDefault="00634417" w:rsidP="00634417">
      <w:pPr>
        <w:spacing w:line="276" w:lineRule="auto"/>
        <w:rPr>
          <w:rFonts w:ascii="Roboto" w:hAnsi="Roboto"/>
          <w:sz w:val="20"/>
          <w:szCs w:val="20"/>
        </w:rPr>
      </w:pPr>
    </w:p>
    <w:p w14:paraId="62D173B6" w14:textId="39FCD515" w:rsidR="00634417" w:rsidRPr="003625BA" w:rsidRDefault="00511536" w:rsidP="00634417">
      <w:pPr>
        <w:spacing w:line="276" w:lineRule="auto"/>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381054" behindDoc="0" locked="0" layoutInCell="1" allowOverlap="1" wp14:anchorId="1EE83BCE" wp14:editId="05181767">
                <wp:simplePos x="0" y="0"/>
                <wp:positionH relativeFrom="column">
                  <wp:posOffset>326571</wp:posOffset>
                </wp:positionH>
                <wp:positionV relativeFrom="paragraph">
                  <wp:posOffset>140228</wp:posOffset>
                </wp:positionV>
                <wp:extent cx="6377305" cy="3194462"/>
                <wp:effectExtent l="0" t="0" r="23495" b="25400"/>
                <wp:wrapNone/>
                <wp:docPr id="2386" name="Text Box 2386"/>
                <wp:cNvGraphicFramePr/>
                <a:graphic xmlns:a="http://schemas.openxmlformats.org/drawingml/2006/main">
                  <a:graphicData uri="http://schemas.microsoft.com/office/word/2010/wordprocessingShape">
                    <wps:wsp>
                      <wps:cNvSpPr txBox="1"/>
                      <wps:spPr>
                        <a:xfrm>
                          <a:off x="0" y="0"/>
                          <a:ext cx="6377305" cy="3194462"/>
                        </a:xfrm>
                        <a:prstGeom prst="rect">
                          <a:avLst/>
                        </a:prstGeom>
                        <a:noFill/>
                        <a:ln w="19050">
                          <a:solidFill>
                            <a:srgbClr val="82CAA0"/>
                          </a:solidFill>
                        </a:ln>
                      </wps:spPr>
                      <wps:txbx>
                        <w:txbxContent>
                          <w:p w14:paraId="2A1B6C11" w14:textId="0F6D6263" w:rsidR="00D15FD8" w:rsidRPr="0066520C" w:rsidRDefault="00D15FD8" w:rsidP="00FA3E37">
                            <w:pPr>
                              <w:spacing w:line="276" w:lineRule="auto"/>
                              <w:contextualSpacing/>
                              <w:jc w:val="both"/>
                              <w:rPr>
                                <w:rFonts w:ascii="Roboto" w:hAnsi="Roboto"/>
                                <w:sz w:val="20"/>
                                <w:szCs w:val="20"/>
                              </w:rPr>
                            </w:pPr>
                            <w:r w:rsidRPr="0066520C">
                              <w:rPr>
                                <w:rFonts w:ascii="Roboto" w:hAnsi="Roboto"/>
                                <w:sz w:val="20"/>
                                <w:szCs w:val="20"/>
                              </w:rPr>
                              <w:t xml:space="preserve">Provides some of the tools that governments need to take the first steps in an open data initiative, including links to open data learning resources, an example being the Open Knowledge Foundation’s </w:t>
                            </w:r>
                            <w:hyperlink r:id="rId934" w:history="1">
                              <w:r w:rsidRPr="0066520C">
                                <w:rPr>
                                  <w:rStyle w:val="Hyperlink"/>
                                  <w:rFonts w:ascii="Roboto" w:hAnsi="Roboto"/>
                                  <w:sz w:val="20"/>
                                  <w:szCs w:val="20"/>
                                </w:rPr>
                                <w:t>Open Data Handbook</w:t>
                              </w:r>
                            </w:hyperlink>
                            <w:r w:rsidRPr="0066520C">
                              <w:rPr>
                                <w:rFonts w:ascii="Roboto" w:hAnsi="Roboto"/>
                                <w:sz w:val="20"/>
                                <w:szCs w:val="20"/>
                              </w:rPr>
                              <w:t>, which presents the legal, social, and technical aspects of open data.</w:t>
                            </w:r>
                          </w:p>
                          <w:p w14:paraId="68937459" w14:textId="2812BE46" w:rsidR="00D15FD8" w:rsidRPr="0066520C" w:rsidRDefault="00D15FD8" w:rsidP="00FA3E37">
                            <w:pPr>
                              <w:pStyle w:val="ListParagraph"/>
                              <w:numPr>
                                <w:ilvl w:val="0"/>
                                <w:numId w:val="149"/>
                              </w:numPr>
                              <w:spacing w:line="276" w:lineRule="auto"/>
                              <w:contextualSpacing/>
                              <w:jc w:val="both"/>
                              <w:rPr>
                                <w:rFonts w:ascii="Roboto" w:hAnsi="Roboto"/>
                                <w:sz w:val="20"/>
                                <w:szCs w:val="20"/>
                              </w:rPr>
                            </w:pPr>
                            <w:r w:rsidRPr="0066520C">
                              <w:rPr>
                                <w:rFonts w:ascii="Roboto" w:hAnsi="Roboto"/>
                                <w:sz w:val="20"/>
                                <w:szCs w:val="20"/>
                              </w:rPr>
                              <w:t xml:space="preserve">The World Bank has developed a series of </w:t>
                            </w:r>
                            <w:r w:rsidRPr="0066520C">
                              <w:rPr>
                                <w:rFonts w:ascii="Roboto" w:hAnsi="Roboto"/>
                                <w:b/>
                                <w:bCs/>
                                <w:sz w:val="20"/>
                                <w:szCs w:val="20"/>
                              </w:rPr>
                              <w:t>e-learning courses</w:t>
                            </w:r>
                            <w:r w:rsidRPr="0066520C">
                              <w:rPr>
                                <w:rFonts w:ascii="Roboto" w:hAnsi="Roboto"/>
                                <w:sz w:val="20"/>
                                <w:szCs w:val="20"/>
                              </w:rPr>
                              <w:t xml:space="preserve"> to provide knowledge and skills to practitioners and users of open data. Each course in the series is designed for a distinct user segment, and provides technical skills, extensive examples and case studies, with an emphasis on open data in developing countries.</w:t>
                            </w:r>
                            <w:r>
                              <w:rPr>
                                <w:rFonts w:ascii="Roboto" w:hAnsi="Roboto"/>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83BCE" id="Text Box 2386" o:spid="_x0000_s1572" type="#_x0000_t202" style="position:absolute;margin-left:25.7pt;margin-top:11.05pt;width:502.15pt;height:251.55pt;z-index:254381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" filled="f" strokecolor="#82caa0" strokeweight="1.5pt">
                <v:textbox>
                  <w:txbxContent>
                    <w:p w14:paraId="2A1B6C11" w14:textId="0F6D6263" w:rsidR="00D15FD8" w:rsidRPr="0066520C" w:rsidRDefault="00D15FD8" w:rsidP="00FA3E37">
                      <w:pPr>
                        <w:spacing w:line="276" w:lineRule="auto"/>
                        <w:contextualSpacing/>
                        <w:jc w:val="both"/>
                        <w:rPr>
                          <w:rFonts w:ascii="Roboto" w:hAnsi="Roboto"/>
                          <w:sz w:val="20"/>
                          <w:szCs w:val="20"/>
                        </w:rPr>
                      </w:pPr>
                      <w:r w:rsidRPr="0066520C">
                        <w:rPr>
                          <w:rFonts w:ascii="Roboto" w:hAnsi="Roboto"/>
                          <w:sz w:val="20"/>
                          <w:szCs w:val="20"/>
                        </w:rPr>
                        <w:t xml:space="preserve">Provides some of the tools that governments need to take the first steps in an open data initiative, including links to open data learning resources, an example being the Open Knowledge Foundation’s </w:t>
                      </w:r>
                      <w:hyperlink r:id="rId935" w:history="1">
                        <w:r w:rsidRPr="0066520C">
                          <w:rPr>
                            <w:rStyle w:val="Hyperlink"/>
                            <w:rFonts w:ascii="Roboto" w:hAnsi="Roboto"/>
                            <w:sz w:val="20"/>
                            <w:szCs w:val="20"/>
                          </w:rPr>
                          <w:t>Open Data Handbook</w:t>
                        </w:r>
                      </w:hyperlink>
                      <w:r w:rsidRPr="0066520C">
                        <w:rPr>
                          <w:rFonts w:ascii="Roboto" w:hAnsi="Roboto"/>
                          <w:sz w:val="20"/>
                          <w:szCs w:val="20"/>
                        </w:rPr>
                        <w:t>, which presents the legal, social, and technical aspects of open data.</w:t>
                      </w:r>
                    </w:p>
                    <w:p w14:paraId="68937459" w14:textId="2812BE46" w:rsidR="00D15FD8" w:rsidRPr="0066520C" w:rsidRDefault="00D15FD8" w:rsidP="00FA3E37">
                      <w:pPr>
                        <w:pStyle w:val="ListParagraph"/>
                        <w:numPr>
                          <w:ilvl w:val="0"/>
                          <w:numId w:val="149"/>
                        </w:numPr>
                        <w:spacing w:line="276" w:lineRule="auto"/>
                        <w:contextualSpacing/>
                        <w:jc w:val="both"/>
                        <w:rPr>
                          <w:rFonts w:ascii="Roboto" w:hAnsi="Roboto"/>
                          <w:sz w:val="20"/>
                          <w:szCs w:val="20"/>
                        </w:rPr>
                      </w:pPr>
                      <w:r w:rsidRPr="0066520C">
                        <w:rPr>
                          <w:rFonts w:ascii="Roboto" w:hAnsi="Roboto"/>
                          <w:sz w:val="20"/>
                          <w:szCs w:val="20"/>
                        </w:rPr>
                        <w:t xml:space="preserve">The World Bank has developed a series of </w:t>
                      </w:r>
                      <w:r w:rsidRPr="0066520C">
                        <w:rPr>
                          <w:rFonts w:ascii="Roboto" w:hAnsi="Roboto"/>
                          <w:b/>
                          <w:bCs/>
                          <w:sz w:val="20"/>
                          <w:szCs w:val="20"/>
                        </w:rPr>
                        <w:t>e-learning courses</w:t>
                      </w:r>
                      <w:r w:rsidRPr="0066520C">
                        <w:rPr>
                          <w:rFonts w:ascii="Roboto" w:hAnsi="Roboto"/>
                          <w:sz w:val="20"/>
                          <w:szCs w:val="20"/>
                        </w:rPr>
                        <w:t xml:space="preserve"> to provide knowledge and skills to practitioners and users of open data. Each course in the series is designed for a distinct user segment, and provides technical skills, extensive examples and case studies, with an emphasis on open data in developing countries.</w:t>
                      </w:r>
                      <w:r>
                        <w:rPr>
                          <w:rFonts w:ascii="Roboto" w:hAnsi="Roboto"/>
                          <w:sz w:val="20"/>
                          <w:szCs w:val="20"/>
                        </w:rPr>
                        <w:t xml:space="preserve"> </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80030" behindDoc="0" locked="0" layoutInCell="1" allowOverlap="1" wp14:anchorId="45A0665D" wp14:editId="2FB7802E">
                <wp:simplePos x="0" y="0"/>
                <wp:positionH relativeFrom="column">
                  <wp:posOffset>8255</wp:posOffset>
                </wp:positionH>
                <wp:positionV relativeFrom="paragraph">
                  <wp:posOffset>164465</wp:posOffset>
                </wp:positionV>
                <wp:extent cx="276225" cy="276225"/>
                <wp:effectExtent l="0" t="0" r="9525" b="9525"/>
                <wp:wrapNone/>
                <wp:docPr id="2385" name="Chevron 2385"/>
                <wp:cNvGraphicFramePr/>
                <a:graphic xmlns:a="http://schemas.openxmlformats.org/drawingml/2006/main">
                  <a:graphicData uri="http://schemas.microsoft.com/office/word/2010/wordprocessingShape">
                    <wps:wsp>
                      <wps:cNvSpPr/>
                      <wps:spPr>
                        <a:xfrm>
                          <a:off x="0" y="0"/>
                          <a:ext cx="276225" cy="276225"/>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 w14:anchorId="2F039578" id="Chevron 2385" o:spid="_x0000_s1026" type="#_x0000_t55" style="position:absolute;margin-left:.65pt;margin-top:12.95pt;width:21.75pt;height:21.75pt;z-index:2543800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" adj="10800" fillcolor="#82caa0" stroked="f" strokeweight="1pt"/>
            </w:pict>
          </mc:Fallback>
        </mc:AlternateContent>
      </w:r>
    </w:p>
    <w:p w14:paraId="1850EE01" w14:textId="307C97DC" w:rsidR="00634417" w:rsidRPr="003625BA" w:rsidRDefault="00634417" w:rsidP="00634417">
      <w:pPr>
        <w:rPr>
          <w:rFonts w:ascii="Roboto" w:hAnsi="Roboto"/>
          <w:sz w:val="20"/>
          <w:szCs w:val="20"/>
        </w:rPr>
      </w:pPr>
    </w:p>
    <w:p w14:paraId="73C74A84" w14:textId="5571598C" w:rsidR="00634417" w:rsidRPr="003625BA" w:rsidRDefault="00634417" w:rsidP="00634417">
      <w:pPr>
        <w:rPr>
          <w:rFonts w:ascii="Roboto" w:hAnsi="Roboto"/>
          <w:sz w:val="20"/>
          <w:szCs w:val="20"/>
        </w:rPr>
      </w:pPr>
    </w:p>
    <w:p w14:paraId="3F82A5F6" w14:textId="77777777" w:rsidR="00634417" w:rsidRPr="003625BA" w:rsidRDefault="00634417" w:rsidP="00634417">
      <w:pPr>
        <w:rPr>
          <w:rFonts w:ascii="Roboto" w:hAnsi="Roboto"/>
          <w:sz w:val="20"/>
          <w:szCs w:val="20"/>
        </w:rPr>
      </w:pPr>
    </w:p>
    <w:p w14:paraId="12259986" w14:textId="77777777" w:rsidR="00634417" w:rsidRPr="003625BA" w:rsidRDefault="00634417" w:rsidP="00634417">
      <w:pPr>
        <w:rPr>
          <w:rFonts w:ascii="Roboto" w:hAnsi="Roboto"/>
          <w:sz w:val="20"/>
          <w:szCs w:val="20"/>
        </w:rPr>
      </w:pPr>
    </w:p>
    <w:p w14:paraId="477F6446" w14:textId="77777777" w:rsidR="00634417" w:rsidRPr="003625BA" w:rsidRDefault="00634417" w:rsidP="00634417">
      <w:pPr>
        <w:rPr>
          <w:rFonts w:ascii="Roboto" w:hAnsi="Roboto"/>
          <w:sz w:val="20"/>
          <w:szCs w:val="20"/>
        </w:rPr>
      </w:pPr>
    </w:p>
    <w:p w14:paraId="7D36ACEA" w14:textId="56D4660F" w:rsidR="00634417" w:rsidRDefault="00256941" w:rsidP="00256941">
      <w:pPr>
        <w:tabs>
          <w:tab w:val="left" w:pos="908"/>
        </w:tabs>
        <w:rPr>
          <w:rFonts w:ascii="Roboto" w:hAnsi="Roboto"/>
          <w:sz w:val="20"/>
          <w:szCs w:val="20"/>
        </w:rPr>
      </w:pPr>
      <w:r>
        <w:rPr>
          <w:rFonts w:ascii="Roboto" w:hAnsi="Roboto"/>
          <w:sz w:val="20"/>
          <w:szCs w:val="20"/>
        </w:rPr>
        <w:tab/>
      </w:r>
    </w:p>
    <w:p w14:paraId="2D5C292A" w14:textId="77777777" w:rsidR="00256941" w:rsidRPr="003625BA" w:rsidRDefault="00256941" w:rsidP="00256941">
      <w:pPr>
        <w:tabs>
          <w:tab w:val="left" w:pos="908"/>
        </w:tabs>
        <w:rPr>
          <w:rFonts w:ascii="Roboto" w:hAnsi="Roboto"/>
          <w:sz w:val="20"/>
          <w:szCs w:val="20"/>
        </w:rPr>
      </w:pPr>
    </w:p>
    <w:p w14:paraId="2E42B5E2" w14:textId="1A8F86B5" w:rsidR="00256941" w:rsidRDefault="00256941" w:rsidP="00511536">
      <w:pPr>
        <w:spacing w:after="160" w:line="259" w:lineRule="auto"/>
        <w:rPr>
          <w:rFonts w:ascii="Roboto" w:hAnsi="Roboto"/>
          <w:b/>
          <w:bCs/>
          <w:color w:val="19998C"/>
          <w:sz w:val="20"/>
          <w:szCs w:val="20"/>
          <w:lang w:val="en-ZA"/>
        </w:rPr>
      </w:pPr>
    </w:p>
    <w:p w14:paraId="6DD16725" w14:textId="0BE13F2B" w:rsidR="00634417" w:rsidRPr="003625BA" w:rsidRDefault="00634417" w:rsidP="00FA3E37">
      <w:pPr>
        <w:spacing w:after="160" w:line="259" w:lineRule="auto"/>
        <w:ind w:left="990" w:hanging="270"/>
        <w:rPr>
          <w:rFonts w:ascii="Roboto" w:hAnsi="Roboto"/>
          <w:sz w:val="20"/>
          <w:szCs w:val="20"/>
          <w:lang w:val="en-ZA"/>
        </w:rPr>
      </w:pPr>
      <w:r w:rsidRPr="003625BA">
        <w:rPr>
          <w:rFonts w:ascii="Roboto" w:hAnsi="Roboto"/>
          <w:b/>
          <w:bCs/>
          <w:color w:val="19998C"/>
          <w:sz w:val="20"/>
          <w:szCs w:val="20"/>
          <w:lang w:val="en-ZA"/>
        </w:rPr>
        <w:t>Three courses are currently available online:</w:t>
      </w:r>
    </w:p>
    <w:p w14:paraId="4FCD478E" w14:textId="714D10FF" w:rsidR="001D462F" w:rsidRDefault="00AC4DF7" w:rsidP="008E5612">
      <w:pPr>
        <w:pStyle w:val="ListParagraph"/>
        <w:numPr>
          <w:ilvl w:val="0"/>
          <w:numId w:val="150"/>
        </w:numPr>
        <w:ind w:left="990" w:hanging="270"/>
        <w:jc w:val="both"/>
        <w:rPr>
          <w:rFonts w:ascii="Roboto" w:hAnsi="Roboto"/>
          <w:sz w:val="20"/>
          <w:szCs w:val="20"/>
          <w:lang w:val="en-ZA"/>
        </w:rPr>
      </w:pPr>
      <w:hyperlink r:id="rId936" w:history="1">
        <w:r w:rsidR="00634417" w:rsidRPr="003625BA">
          <w:rPr>
            <w:rStyle w:val="Hyperlink"/>
            <w:rFonts w:ascii="Roboto" w:hAnsi="Roboto"/>
            <w:bCs/>
            <w:sz w:val="20"/>
            <w:szCs w:val="20"/>
            <w:lang w:val="en-ZA"/>
          </w:rPr>
          <w:t>Open data for data producers</w:t>
        </w:r>
      </w:hyperlink>
      <w:r w:rsidR="00634417" w:rsidRPr="003625BA">
        <w:rPr>
          <w:rFonts w:ascii="Roboto" w:hAnsi="Roboto"/>
          <w:sz w:val="20"/>
          <w:szCs w:val="20"/>
          <w:lang w:val="en-ZA"/>
        </w:rPr>
        <w:t> </w:t>
      </w:r>
      <w:r w:rsidR="00C11138" w:rsidRPr="00C11138">
        <w:rPr>
          <w:rFonts w:ascii="Roboto" w:hAnsi="Roboto"/>
          <w:sz w:val="20"/>
          <w:szCs w:val="20"/>
          <w:lang w:val="en-ZA"/>
        </w:rPr>
        <w:t xml:space="preserve">provides a broad overview of open data principles and best practices from the standpoint of a data producer, and empowers data managers and technical staff with the background and skills to contribute to the open data community. This course is primarily intended for managers and technical staff involved in the production, management, and curation of data, particularly within government ministries. It assumes no prior knowledge of open data or specific technical skills. </w:t>
      </w:r>
    </w:p>
    <w:p w14:paraId="7083A335" w14:textId="143F8DE1" w:rsidR="004750D1" w:rsidRPr="003625BA" w:rsidRDefault="004750D1" w:rsidP="008E5612">
      <w:pPr>
        <w:tabs>
          <w:tab w:val="left" w:pos="426"/>
        </w:tabs>
        <w:spacing w:line="276" w:lineRule="auto"/>
        <w:ind w:left="990" w:hanging="270"/>
        <w:jc w:val="both"/>
        <w:rPr>
          <w:rFonts w:ascii="Roboto" w:hAnsi="Roboto"/>
          <w:sz w:val="20"/>
          <w:szCs w:val="20"/>
        </w:rPr>
      </w:pPr>
    </w:p>
    <w:p w14:paraId="211F6160" w14:textId="48C278C1" w:rsidR="00634417" w:rsidRPr="003625BA" w:rsidRDefault="00AC4DF7" w:rsidP="008E5612">
      <w:pPr>
        <w:pStyle w:val="ListParagraph"/>
        <w:numPr>
          <w:ilvl w:val="0"/>
          <w:numId w:val="150"/>
        </w:numPr>
        <w:tabs>
          <w:tab w:val="left" w:pos="426"/>
        </w:tabs>
        <w:spacing w:line="276" w:lineRule="auto"/>
        <w:ind w:left="990" w:hanging="270"/>
        <w:jc w:val="both"/>
        <w:rPr>
          <w:rFonts w:ascii="Roboto" w:hAnsi="Roboto"/>
          <w:sz w:val="20"/>
          <w:szCs w:val="20"/>
        </w:rPr>
      </w:pPr>
      <w:hyperlink r:id="rId937" w:history="1">
        <w:r w:rsidR="00634417" w:rsidRPr="003625BA">
          <w:rPr>
            <w:rStyle w:val="Hyperlink"/>
            <w:rFonts w:ascii="Roboto" w:hAnsi="Roboto"/>
            <w:bCs/>
            <w:sz w:val="20"/>
            <w:szCs w:val="20"/>
            <w:lang w:val="en-ZA"/>
          </w:rPr>
          <w:t>Open data for data users</w:t>
        </w:r>
      </w:hyperlink>
      <w:r w:rsidR="00634417" w:rsidRPr="003625BA">
        <w:rPr>
          <w:rFonts w:ascii="Roboto" w:hAnsi="Roboto"/>
          <w:sz w:val="20"/>
          <w:szCs w:val="20"/>
          <w:lang w:val="en-ZA"/>
        </w:rPr>
        <w:t> </w:t>
      </w:r>
      <w:r w:rsidR="00C11138" w:rsidRPr="00C11138">
        <w:rPr>
          <w:rFonts w:ascii="Roboto" w:hAnsi="Roboto"/>
          <w:sz w:val="20"/>
          <w:szCs w:val="20"/>
          <w:lang w:val="en-ZA"/>
        </w:rPr>
        <w:t xml:space="preserve">provides a broad overview of open data from a user standpoint, and empowers anyone to take full advantage of open data. It is intended for anyone who wants to make better use of open data, including ordinary citizens, and assumes no prior knowledge of open data or technical skills. </w:t>
      </w:r>
    </w:p>
    <w:p w14:paraId="4BE7725F" w14:textId="78B082E2" w:rsidR="00634417" w:rsidRDefault="00634417" w:rsidP="008E5612">
      <w:pPr>
        <w:tabs>
          <w:tab w:val="left" w:pos="426"/>
        </w:tabs>
        <w:spacing w:line="276" w:lineRule="auto"/>
        <w:ind w:left="990" w:hanging="270"/>
        <w:jc w:val="both"/>
        <w:rPr>
          <w:rFonts w:ascii="Roboto" w:hAnsi="Roboto"/>
          <w:sz w:val="20"/>
          <w:szCs w:val="20"/>
        </w:rPr>
      </w:pPr>
    </w:p>
    <w:p w14:paraId="269A0486" w14:textId="7493CBEA" w:rsidR="001C710A" w:rsidRPr="003625BA" w:rsidRDefault="005D15AA" w:rsidP="008E5612">
      <w:pPr>
        <w:tabs>
          <w:tab w:val="left" w:pos="426"/>
        </w:tabs>
        <w:spacing w:line="276" w:lineRule="auto"/>
        <w:ind w:left="990" w:hanging="270"/>
        <w:jc w:val="both"/>
        <w:rPr>
          <w:rFonts w:ascii="Roboto" w:hAnsi="Roboto"/>
          <w:sz w:val="20"/>
          <w:szCs w:val="20"/>
        </w:rPr>
      </w:pPr>
      <w:r w:rsidRPr="003625BA">
        <w:rPr>
          <w:rFonts w:ascii="Roboto" w:hAnsi="Roboto"/>
          <w:noProof/>
          <w:sz w:val="20"/>
          <w:szCs w:val="20"/>
          <w:lang w:val="en-US"/>
        </w:rPr>
        <w:lastRenderedPageBreak/>
        <mc:AlternateContent>
          <mc:Choice Requires="wps">
            <w:drawing>
              <wp:anchor distT="0" distB="0" distL="114300" distR="114300" simplePos="0" relativeHeight="255591422" behindDoc="0" locked="0" layoutInCell="1" allowOverlap="1" wp14:anchorId="6B6A85A4" wp14:editId="6D2EF72E">
                <wp:simplePos x="0" y="0"/>
                <wp:positionH relativeFrom="column">
                  <wp:posOffset>330200</wp:posOffset>
                </wp:positionH>
                <wp:positionV relativeFrom="paragraph">
                  <wp:posOffset>106045</wp:posOffset>
                </wp:positionV>
                <wp:extent cx="6362700" cy="810895"/>
                <wp:effectExtent l="0" t="0" r="19050" b="27305"/>
                <wp:wrapNone/>
                <wp:docPr id="320" name="Text Box 320"/>
                <wp:cNvGraphicFramePr/>
                <a:graphic xmlns:a="http://schemas.openxmlformats.org/drawingml/2006/main">
                  <a:graphicData uri="http://schemas.microsoft.com/office/word/2010/wordprocessingShape">
                    <wps:wsp>
                      <wps:cNvSpPr txBox="1"/>
                      <wps:spPr>
                        <a:xfrm>
                          <a:off x="0" y="0"/>
                          <a:ext cx="6362700" cy="810895"/>
                        </a:xfrm>
                        <a:prstGeom prst="rect">
                          <a:avLst/>
                        </a:prstGeom>
                        <a:noFill/>
                        <a:ln w="19050">
                          <a:solidFill>
                            <a:srgbClr val="82CAA0"/>
                          </a:solidFill>
                        </a:ln>
                      </wps:spPr>
                      <wps:txbx>
                        <w:txbxContent>
                          <w:p w14:paraId="1F016769" w14:textId="0442F346" w:rsidR="00D15FD8" w:rsidRPr="0066520C" w:rsidRDefault="00D15FD8" w:rsidP="005D15AA">
                            <w:pPr>
                              <w:pStyle w:val="ListParagraph"/>
                              <w:spacing w:line="276" w:lineRule="auto"/>
                              <w:ind w:right="-20"/>
                              <w:contextualSpacing/>
                              <w:jc w:val="both"/>
                              <w:rPr>
                                <w:rFonts w:ascii="Roboto" w:hAnsi="Roboto"/>
                                <w:sz w:val="20"/>
                                <w:szCs w:val="20"/>
                              </w:rPr>
                            </w:pPr>
                            <w:r>
                              <w:rPr>
                                <w:rFonts w:ascii="Roboto" w:hAnsi="Roboto"/>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A85A4" id="Text Box 320" o:spid="_x0000_s1573" type="#_x0000_t202" style="position:absolute;left:0;text-align:left;margin-left:26pt;margin-top:8.35pt;width:501pt;height:63.85pt;z-index:255591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" filled="f" strokecolor="#82caa0" strokeweight="1.5pt">
                <v:textbox>
                  <w:txbxContent>
                    <w:p w14:paraId="1F016769" w14:textId="0442F346" w:rsidR="00D15FD8" w:rsidRPr="0066520C" w:rsidRDefault="00D15FD8" w:rsidP="005D15AA">
                      <w:pPr>
                        <w:pStyle w:val="ListParagraph"/>
                        <w:spacing w:line="276" w:lineRule="auto"/>
                        <w:ind w:right="-20"/>
                        <w:contextualSpacing/>
                        <w:jc w:val="both"/>
                        <w:rPr>
                          <w:rFonts w:ascii="Roboto" w:hAnsi="Roboto"/>
                          <w:sz w:val="20"/>
                          <w:szCs w:val="20"/>
                        </w:rPr>
                      </w:pPr>
                      <w:r>
                        <w:rPr>
                          <w:rFonts w:ascii="Roboto" w:hAnsi="Roboto"/>
                          <w:sz w:val="20"/>
                          <w:szCs w:val="20"/>
                        </w:rPr>
                        <w:t xml:space="preserve"> </w:t>
                      </w:r>
                    </w:p>
                  </w:txbxContent>
                </v:textbox>
              </v:shape>
            </w:pict>
          </mc:Fallback>
        </mc:AlternateContent>
      </w:r>
      <w:r w:rsidR="001C710A" w:rsidRPr="003625BA">
        <w:rPr>
          <w:rFonts w:ascii="Roboto" w:hAnsi="Roboto" w:cs="Arial"/>
          <w:noProof/>
          <w:color w:val="ED5625"/>
          <w:sz w:val="20"/>
          <w:szCs w:val="20"/>
          <w:lang w:val="en-US"/>
        </w:rPr>
        <mc:AlternateContent>
          <mc:Choice Requires="wps">
            <w:drawing>
              <wp:anchor distT="0" distB="0" distL="114300" distR="114300" simplePos="0" relativeHeight="255408126" behindDoc="1" locked="0" layoutInCell="1" allowOverlap="1" wp14:anchorId="465ED2EA" wp14:editId="17A8C550">
                <wp:simplePos x="0" y="0"/>
                <wp:positionH relativeFrom="margin">
                  <wp:posOffset>-173355</wp:posOffset>
                </wp:positionH>
                <wp:positionV relativeFrom="margin">
                  <wp:posOffset>-61595</wp:posOffset>
                </wp:positionV>
                <wp:extent cx="7010400" cy="9241200"/>
                <wp:effectExtent l="12700" t="12700" r="12700" b="17145"/>
                <wp:wrapNone/>
                <wp:docPr id="2811" name="Rectangle 2811"/>
                <wp:cNvGraphicFramePr/>
                <a:graphic xmlns:a="http://schemas.openxmlformats.org/drawingml/2006/main">
                  <a:graphicData uri="http://schemas.microsoft.com/office/word/2010/wordprocessingShape">
                    <wps:wsp>
                      <wps:cNvSpPr/>
                      <wps:spPr>
                        <a:xfrm>
                          <a:off x="0" y="0"/>
                          <a:ext cx="7010400" cy="924120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66D8E" w14:textId="0F6CADED" w:rsidR="00D15FD8" w:rsidRDefault="00D15FD8" w:rsidP="00256941">
                            <w:pPr>
                              <w:shd w:val="clear" w:color="auto" w:fill="F2F2F2" w:themeFill="background1" w:themeFillShade="F2"/>
                            </w:pPr>
                          </w:p>
                          <w:p w14:paraId="57590436" w14:textId="77777777" w:rsidR="00D15FD8" w:rsidRDefault="00D15FD8" w:rsidP="00256941">
                            <w:pPr>
                              <w:shd w:val="clear" w:color="auto" w:fill="F2F2F2" w:themeFill="background1" w:themeFillShade="F2"/>
                            </w:pPr>
                          </w:p>
                          <w:p w14:paraId="1F45A380" w14:textId="77777777" w:rsidR="00D15FD8" w:rsidRPr="003625BA" w:rsidRDefault="00D15FD8" w:rsidP="0025694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ED2EA" id="Rectangle 2811" o:spid="_x0000_s1574" style="position:absolute;left:0;text-align:left;margin-left:-13.65pt;margin-top:-4.85pt;width:552pt;height:727.65pt;z-index:-24790835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" fillcolor="#f2f2f2 [3052]" strokecolor="#16988a" strokeweight="1.5pt">
                <v:textbox>
                  <w:txbxContent>
                    <w:p w14:paraId="2A266D8E" w14:textId="0F6CADED" w:rsidR="00D15FD8" w:rsidRDefault="00D15FD8" w:rsidP="00256941">
                      <w:pPr>
                        <w:shd w:val="clear" w:color="auto" w:fill="F2F2F2" w:themeFill="background1" w:themeFillShade="F2"/>
                      </w:pPr>
                    </w:p>
                    <w:p w14:paraId="57590436" w14:textId="77777777" w:rsidR="00D15FD8" w:rsidRDefault="00D15FD8" w:rsidP="00256941">
                      <w:pPr>
                        <w:shd w:val="clear" w:color="auto" w:fill="F2F2F2" w:themeFill="background1" w:themeFillShade="F2"/>
                      </w:pPr>
                    </w:p>
                    <w:p w14:paraId="1F45A380" w14:textId="77777777" w:rsidR="00D15FD8" w:rsidRPr="003625BA" w:rsidRDefault="00D15FD8" w:rsidP="00256941">
                      <w:pPr>
                        <w:jc w:val="center"/>
                        <w:rPr>
                          <w:lang w:val="en-US"/>
                        </w:rPr>
                      </w:pPr>
                    </w:p>
                  </w:txbxContent>
                </v:textbox>
                <w10:wrap anchorx="margin" anchory="margin"/>
              </v:rect>
            </w:pict>
          </mc:Fallback>
        </mc:AlternateContent>
      </w:r>
    </w:p>
    <w:p w14:paraId="091B7FD4" w14:textId="22215A59" w:rsidR="00634417" w:rsidRPr="003625BA" w:rsidRDefault="00AC4DF7" w:rsidP="005D15AA">
      <w:pPr>
        <w:pStyle w:val="ListParagraph"/>
        <w:numPr>
          <w:ilvl w:val="0"/>
          <w:numId w:val="150"/>
        </w:numPr>
        <w:tabs>
          <w:tab w:val="left" w:pos="426"/>
        </w:tabs>
        <w:spacing w:line="276" w:lineRule="auto"/>
        <w:ind w:left="990" w:right="26" w:hanging="270"/>
        <w:jc w:val="both"/>
        <w:rPr>
          <w:rFonts w:ascii="Roboto" w:hAnsi="Roboto"/>
          <w:sz w:val="20"/>
          <w:szCs w:val="20"/>
        </w:rPr>
      </w:pPr>
      <w:hyperlink r:id="rId938" w:history="1">
        <w:r w:rsidR="00634417" w:rsidRPr="003625BA">
          <w:rPr>
            <w:rStyle w:val="Hyperlink"/>
            <w:rFonts w:ascii="Roboto" w:hAnsi="Roboto"/>
            <w:bCs/>
            <w:sz w:val="20"/>
            <w:szCs w:val="20"/>
            <w:lang w:val="en-ZA"/>
          </w:rPr>
          <w:t>Open data for policymakers</w:t>
        </w:r>
      </w:hyperlink>
      <w:r w:rsidR="00634417" w:rsidRPr="003625BA">
        <w:rPr>
          <w:rFonts w:ascii="Roboto" w:hAnsi="Roboto"/>
          <w:sz w:val="20"/>
          <w:szCs w:val="20"/>
          <w:lang w:val="en-ZA"/>
        </w:rPr>
        <w:t> provides a general overview of open data principles and best practices for public policymakers, with focus on the development and implementation of an open data program. It is primarily intended for public policymakers in governments that are considering the establishment or expansion of an open data program, and assumes no prior knowledge of open data or technical skills.</w:t>
      </w:r>
    </w:p>
    <w:p w14:paraId="7F03AF45" w14:textId="4B0AF0D6" w:rsidR="00634417" w:rsidRPr="003625BA" w:rsidRDefault="00634417" w:rsidP="00634417">
      <w:pPr>
        <w:pStyle w:val="ListParagraph"/>
        <w:rPr>
          <w:rFonts w:ascii="Roboto" w:hAnsi="Roboto"/>
          <w:sz w:val="20"/>
          <w:szCs w:val="20"/>
        </w:rPr>
      </w:pPr>
    </w:p>
    <w:p w14:paraId="4B67E04E" w14:textId="7BD55473" w:rsidR="00634417" w:rsidRPr="003625BA" w:rsidRDefault="001C710A" w:rsidP="00634417">
      <w:pPr>
        <w:tabs>
          <w:tab w:val="left" w:pos="426"/>
        </w:tabs>
        <w:spacing w:line="276" w:lineRule="auto"/>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405630" behindDoc="0" locked="0" layoutInCell="1" allowOverlap="1" wp14:anchorId="7293DC6A" wp14:editId="7BC21606">
                <wp:simplePos x="0" y="0"/>
                <wp:positionH relativeFrom="column">
                  <wp:posOffset>4445</wp:posOffset>
                </wp:positionH>
                <wp:positionV relativeFrom="paragraph">
                  <wp:posOffset>7179945</wp:posOffset>
                </wp:positionV>
                <wp:extent cx="276225" cy="276225"/>
                <wp:effectExtent l="0" t="0" r="3175" b="3175"/>
                <wp:wrapNone/>
                <wp:docPr id="2405" name="Chevron 2405"/>
                <wp:cNvGraphicFramePr/>
                <a:graphic xmlns:a="http://schemas.openxmlformats.org/drawingml/2006/main">
                  <a:graphicData uri="http://schemas.microsoft.com/office/word/2010/wordprocessingShape">
                    <wps:wsp>
                      <wps:cNvSpPr/>
                      <wps:spPr>
                        <a:xfrm>
                          <a:off x="0" y="0"/>
                          <a:ext cx="276225" cy="276225"/>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1C5EF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405" o:spid="_x0000_s1026" type="#_x0000_t55" style="position:absolute;margin-left:.35pt;margin-top:565.35pt;width:21.75pt;height:21.75pt;z-index:2544056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" adj="10800" fillcolor="#82caa0" stroked="f" strokeweight="1pt"/>
            </w:pict>
          </mc:Fallback>
        </mc:AlternateContent>
      </w:r>
      <w:r w:rsidRPr="003625BA">
        <w:rPr>
          <w:rFonts w:ascii="Roboto" w:hAnsi="Roboto"/>
          <w:noProof/>
          <w:sz w:val="20"/>
          <w:szCs w:val="20"/>
          <w:lang w:val="en-US"/>
        </w:rPr>
        <mc:AlternateContent>
          <mc:Choice Requires="wps">
            <w:drawing>
              <wp:anchor distT="0" distB="0" distL="114300" distR="114300" simplePos="0" relativeHeight="254401534" behindDoc="0" locked="0" layoutInCell="1" allowOverlap="1" wp14:anchorId="002C1FA9" wp14:editId="6BAB2B18">
                <wp:simplePos x="0" y="0"/>
                <wp:positionH relativeFrom="column">
                  <wp:posOffset>546100</wp:posOffset>
                </wp:positionH>
                <wp:positionV relativeFrom="paragraph">
                  <wp:posOffset>6585585</wp:posOffset>
                </wp:positionV>
                <wp:extent cx="6045200" cy="414020"/>
                <wp:effectExtent l="0" t="0" r="0" b="5080"/>
                <wp:wrapNone/>
                <wp:docPr id="2406" name="Rounded Rectangle 2406"/>
                <wp:cNvGraphicFramePr/>
                <a:graphic xmlns:a="http://schemas.openxmlformats.org/drawingml/2006/main">
                  <a:graphicData uri="http://schemas.microsoft.com/office/word/2010/wordprocessingShape">
                    <wps:wsp>
                      <wps:cNvSpPr/>
                      <wps:spPr>
                        <a:xfrm>
                          <a:off x="0" y="0"/>
                          <a:ext cx="6045200" cy="414020"/>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0D93085" id="Rounded Rectangle 2406" o:spid="_x0000_s1026" style="position:absolute;margin-left:43pt;margin-top:518.55pt;width:476pt;height:32.6pt;z-index:254401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" fillcolor="#82caa0"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02558" behindDoc="0" locked="0" layoutInCell="1" allowOverlap="1" wp14:anchorId="73CE5D28" wp14:editId="356480BA">
                <wp:simplePos x="0" y="0"/>
                <wp:positionH relativeFrom="column">
                  <wp:posOffset>637540</wp:posOffset>
                </wp:positionH>
                <wp:positionV relativeFrom="paragraph">
                  <wp:posOffset>6663690</wp:posOffset>
                </wp:positionV>
                <wp:extent cx="3571875" cy="271145"/>
                <wp:effectExtent l="0" t="0" r="0" b="0"/>
                <wp:wrapNone/>
                <wp:docPr id="2407" name="Text Box 2407"/>
                <wp:cNvGraphicFramePr/>
                <a:graphic xmlns:a="http://schemas.openxmlformats.org/drawingml/2006/main">
                  <a:graphicData uri="http://schemas.microsoft.com/office/word/2010/wordprocessingShape">
                    <wps:wsp>
                      <wps:cNvSpPr txBox="1"/>
                      <wps:spPr>
                        <a:xfrm>
                          <a:off x="0" y="0"/>
                          <a:ext cx="3571875" cy="271145"/>
                        </a:xfrm>
                        <a:prstGeom prst="rect">
                          <a:avLst/>
                        </a:prstGeom>
                        <a:noFill/>
                        <a:ln w="6350">
                          <a:noFill/>
                        </a:ln>
                      </wps:spPr>
                      <wps:txbx>
                        <w:txbxContent>
                          <w:p w14:paraId="573AEBB3" w14:textId="77777777" w:rsidR="00D15FD8" w:rsidRPr="003625BA" w:rsidRDefault="00AC4DF7" w:rsidP="00634417">
                            <w:pPr>
                              <w:rPr>
                                <w:rFonts w:ascii="Roboto" w:hAnsi="Roboto"/>
                                <w:b/>
                                <w:bCs/>
                                <w:color w:val="FFFFFF" w:themeColor="background1"/>
                                <w:u w:val="single"/>
                              </w:rPr>
                            </w:pPr>
                            <w:hyperlink r:id="rId939" w:history="1">
                              <w:r w:rsidR="00D15FD8" w:rsidRPr="003625BA">
                                <w:rPr>
                                  <w:rStyle w:val="Hyperlink"/>
                                  <w:rFonts w:ascii="Roboto" w:hAnsi="Roboto"/>
                                  <w:b/>
                                  <w:bCs/>
                                  <w:color w:val="FFFFFF" w:themeColor="background1"/>
                                  <w:lang w:val="en-ZA"/>
                                </w:rPr>
                                <w:t>Readiness Assessment Tool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E5D28" id="Text Box 2407" o:spid="_x0000_s1575" type="#_x0000_t202" style="position:absolute;margin-left:50.2pt;margin-top:524.7pt;width:281.25pt;height:21.35pt;z-index:254402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" filled="f" stroked="f" strokeweight=".5pt">
                <v:textbox>
                  <w:txbxContent>
                    <w:p w14:paraId="573AEBB3" w14:textId="77777777" w:rsidR="00D15FD8" w:rsidRPr="003625BA" w:rsidRDefault="00AC4DF7" w:rsidP="00634417">
                      <w:pPr>
                        <w:rPr>
                          <w:rFonts w:ascii="Roboto" w:hAnsi="Roboto"/>
                          <w:b/>
                          <w:bCs/>
                          <w:color w:val="FFFFFF" w:themeColor="background1"/>
                          <w:u w:val="single"/>
                        </w:rPr>
                      </w:pPr>
                      <w:hyperlink r:id="rId940" w:history="1">
                        <w:r w:rsidR="00D15FD8" w:rsidRPr="003625BA">
                          <w:rPr>
                            <w:rStyle w:val="Hyperlink"/>
                            <w:rFonts w:ascii="Roboto" w:hAnsi="Roboto"/>
                            <w:b/>
                            <w:bCs/>
                            <w:color w:val="FFFFFF" w:themeColor="background1"/>
                            <w:lang w:val="en-ZA"/>
                          </w:rPr>
                          <w:t>Readiness Assessment Tool</w:t>
                        </w:r>
                      </w:hyperlink>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403582" behindDoc="0" locked="0" layoutInCell="1" allowOverlap="1" wp14:anchorId="6B2BC338" wp14:editId="640881B2">
                <wp:simplePos x="0" y="0"/>
                <wp:positionH relativeFrom="column">
                  <wp:posOffset>0</wp:posOffset>
                </wp:positionH>
                <wp:positionV relativeFrom="paragraph">
                  <wp:posOffset>6583045</wp:posOffset>
                </wp:positionV>
                <wp:extent cx="435610" cy="414020"/>
                <wp:effectExtent l="0" t="0" r="0" b="5080"/>
                <wp:wrapNone/>
                <wp:docPr id="2408" name="Rounded Rectangle 2408"/>
                <wp:cNvGraphicFramePr/>
                <a:graphic xmlns:a="http://schemas.openxmlformats.org/drawingml/2006/main">
                  <a:graphicData uri="http://schemas.microsoft.com/office/word/2010/wordprocessingShape">
                    <wps:wsp>
                      <wps:cNvSpPr/>
                      <wps:spPr>
                        <a:xfrm>
                          <a:off x="0" y="0"/>
                          <a:ext cx="435610" cy="414020"/>
                        </a:xfrm>
                        <a:prstGeom prst="roundRect">
                          <a:avLst/>
                        </a:prstGeom>
                        <a:solidFill>
                          <a:srgbClr val="F36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76E5D015" id="Rounded Rectangle 2408" o:spid="_x0000_s1026" style="position:absolute;margin-left:0;margin-top:518.35pt;width:34.3pt;height:32.6pt;z-index:2544035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" fillcolor="#f36e27"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99486" behindDoc="0" locked="0" layoutInCell="1" allowOverlap="1" wp14:anchorId="3EAE8629" wp14:editId="2BFB556A">
                <wp:simplePos x="0" y="0"/>
                <wp:positionH relativeFrom="column">
                  <wp:posOffset>4445</wp:posOffset>
                </wp:positionH>
                <wp:positionV relativeFrom="paragraph">
                  <wp:posOffset>5984240</wp:posOffset>
                </wp:positionV>
                <wp:extent cx="276225" cy="276225"/>
                <wp:effectExtent l="0" t="0" r="3175" b="3175"/>
                <wp:wrapNone/>
                <wp:docPr id="2415" name="Chevron 2415"/>
                <wp:cNvGraphicFramePr/>
                <a:graphic xmlns:a="http://schemas.openxmlformats.org/drawingml/2006/main">
                  <a:graphicData uri="http://schemas.microsoft.com/office/word/2010/wordprocessingShape">
                    <wps:wsp>
                      <wps:cNvSpPr/>
                      <wps:spPr>
                        <a:xfrm>
                          <a:off x="0" y="0"/>
                          <a:ext cx="276225" cy="276225"/>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 w14:anchorId="3B2D78EA" id="Chevron 2415" o:spid="_x0000_s1026" type="#_x0000_t55" style="position:absolute;margin-left:.35pt;margin-top:471.2pt;width:21.75pt;height:21.75pt;z-index:2543994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" adj="10800" fillcolor="#82caa0" stroked="f" strokeweight="1pt"/>
            </w:pict>
          </mc:Fallback>
        </mc:AlternateContent>
      </w:r>
      <w:r w:rsidRPr="003625BA">
        <w:rPr>
          <w:rFonts w:ascii="Roboto" w:hAnsi="Roboto"/>
          <w:noProof/>
          <w:sz w:val="20"/>
          <w:szCs w:val="20"/>
          <w:lang w:val="en-US"/>
        </w:rPr>
        <mc:AlternateContent>
          <mc:Choice Requires="wps">
            <w:drawing>
              <wp:anchor distT="0" distB="0" distL="114300" distR="114300" simplePos="0" relativeHeight="254398462" behindDoc="0" locked="0" layoutInCell="1" allowOverlap="1" wp14:anchorId="39B6A66A" wp14:editId="238477F9">
                <wp:simplePos x="0" y="0"/>
                <wp:positionH relativeFrom="column">
                  <wp:posOffset>0</wp:posOffset>
                </wp:positionH>
                <wp:positionV relativeFrom="paragraph">
                  <wp:posOffset>5461000</wp:posOffset>
                </wp:positionV>
                <wp:extent cx="435610" cy="316865"/>
                <wp:effectExtent l="0" t="0" r="0" b="0"/>
                <wp:wrapNone/>
                <wp:docPr id="2400" name="Text Box 2400"/>
                <wp:cNvGraphicFramePr/>
                <a:graphic xmlns:a="http://schemas.openxmlformats.org/drawingml/2006/main">
                  <a:graphicData uri="http://schemas.microsoft.com/office/word/2010/wordprocessingShape">
                    <wps:wsp>
                      <wps:cNvSpPr txBox="1"/>
                      <wps:spPr>
                        <a:xfrm>
                          <a:off x="0" y="0"/>
                          <a:ext cx="435610" cy="316865"/>
                        </a:xfrm>
                        <a:prstGeom prst="rect">
                          <a:avLst/>
                        </a:prstGeom>
                        <a:noFill/>
                        <a:ln w="6350">
                          <a:noFill/>
                        </a:ln>
                      </wps:spPr>
                      <wps:txbx>
                        <w:txbxContent>
                          <w:p w14:paraId="06489FB3"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6A66A" id="Text Box 2400" o:spid="_x0000_s1576" type="#_x0000_t202" style="position:absolute;margin-left:0;margin-top:430pt;width:34.3pt;height:24.95pt;z-index:25439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" filled="f" stroked="f" strokeweight=".5pt">
                <v:textbox>
                  <w:txbxContent>
                    <w:p w14:paraId="06489FB3"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5.</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97438" behindDoc="0" locked="0" layoutInCell="1" allowOverlap="1" wp14:anchorId="3B3ACC13" wp14:editId="73ABDE85">
                <wp:simplePos x="0" y="0"/>
                <wp:positionH relativeFrom="column">
                  <wp:posOffset>0</wp:posOffset>
                </wp:positionH>
                <wp:positionV relativeFrom="paragraph">
                  <wp:posOffset>5408295</wp:posOffset>
                </wp:positionV>
                <wp:extent cx="435610" cy="414020"/>
                <wp:effectExtent l="0" t="0" r="0" b="5080"/>
                <wp:wrapNone/>
                <wp:docPr id="2401" name="Rounded Rectangle 2401"/>
                <wp:cNvGraphicFramePr/>
                <a:graphic xmlns:a="http://schemas.openxmlformats.org/drawingml/2006/main">
                  <a:graphicData uri="http://schemas.microsoft.com/office/word/2010/wordprocessingShape">
                    <wps:wsp>
                      <wps:cNvSpPr/>
                      <wps:spPr>
                        <a:xfrm>
                          <a:off x="0" y="0"/>
                          <a:ext cx="435610" cy="414020"/>
                        </a:xfrm>
                        <a:prstGeom prst="roundRect">
                          <a:avLst/>
                        </a:prstGeom>
                        <a:solidFill>
                          <a:srgbClr val="F36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24DF02F0" id="Rounded Rectangle 2401" o:spid="_x0000_s1026" style="position:absolute;margin-left:0;margin-top:425.85pt;width:34.3pt;height:32.6pt;z-index:2543974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" fillcolor="#f36e27"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95390" behindDoc="0" locked="0" layoutInCell="1" allowOverlap="1" wp14:anchorId="7017B6E5" wp14:editId="15799092">
                <wp:simplePos x="0" y="0"/>
                <wp:positionH relativeFrom="column">
                  <wp:posOffset>546100</wp:posOffset>
                </wp:positionH>
                <wp:positionV relativeFrom="paragraph">
                  <wp:posOffset>5410200</wp:posOffset>
                </wp:positionV>
                <wp:extent cx="6045200" cy="414020"/>
                <wp:effectExtent l="0" t="0" r="0" b="5080"/>
                <wp:wrapNone/>
                <wp:docPr id="2403" name="Rounded Rectangle 2403"/>
                <wp:cNvGraphicFramePr/>
                <a:graphic xmlns:a="http://schemas.openxmlformats.org/drawingml/2006/main">
                  <a:graphicData uri="http://schemas.microsoft.com/office/word/2010/wordprocessingShape">
                    <wps:wsp>
                      <wps:cNvSpPr/>
                      <wps:spPr>
                        <a:xfrm>
                          <a:off x="0" y="0"/>
                          <a:ext cx="6045200" cy="414020"/>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0948CD5" id="Rounded Rectangle 2403" o:spid="_x0000_s1026" style="position:absolute;margin-left:43pt;margin-top:426pt;width:476pt;height:32.6pt;z-index:254395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" fillcolor="#82caa0"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96414" behindDoc="0" locked="0" layoutInCell="1" allowOverlap="1" wp14:anchorId="605FF418" wp14:editId="6703BD14">
                <wp:simplePos x="0" y="0"/>
                <wp:positionH relativeFrom="column">
                  <wp:posOffset>637540</wp:posOffset>
                </wp:positionH>
                <wp:positionV relativeFrom="paragraph">
                  <wp:posOffset>5489575</wp:posOffset>
                </wp:positionV>
                <wp:extent cx="3571875" cy="248285"/>
                <wp:effectExtent l="0" t="0" r="0" b="0"/>
                <wp:wrapNone/>
                <wp:docPr id="2402" name="Text Box 2402"/>
                <wp:cNvGraphicFramePr/>
                <a:graphic xmlns:a="http://schemas.openxmlformats.org/drawingml/2006/main">
                  <a:graphicData uri="http://schemas.microsoft.com/office/word/2010/wordprocessingShape">
                    <wps:wsp>
                      <wps:cNvSpPr txBox="1"/>
                      <wps:spPr>
                        <a:xfrm>
                          <a:off x="0" y="0"/>
                          <a:ext cx="3571875" cy="248285"/>
                        </a:xfrm>
                        <a:prstGeom prst="rect">
                          <a:avLst/>
                        </a:prstGeom>
                        <a:noFill/>
                        <a:ln w="6350">
                          <a:noFill/>
                        </a:ln>
                      </wps:spPr>
                      <wps:txbx>
                        <w:txbxContent>
                          <w:p w14:paraId="04F29E17" w14:textId="77777777" w:rsidR="00D15FD8" w:rsidRPr="003625BA" w:rsidRDefault="00AC4DF7" w:rsidP="00634417">
                            <w:pPr>
                              <w:rPr>
                                <w:rFonts w:ascii="Roboto" w:hAnsi="Roboto"/>
                                <w:b/>
                                <w:bCs/>
                                <w:color w:val="FFFFFF" w:themeColor="background1"/>
                                <w:u w:val="single"/>
                              </w:rPr>
                            </w:pPr>
                            <w:hyperlink r:id="rId941" w:history="1">
                              <w:r w:rsidR="00D15FD8" w:rsidRPr="003625BA">
                                <w:rPr>
                                  <w:rStyle w:val="Hyperlink"/>
                                  <w:rFonts w:ascii="Roboto" w:hAnsi="Roboto"/>
                                  <w:b/>
                                  <w:bCs/>
                                  <w:color w:val="FFFFFF" w:themeColor="background1"/>
                                  <w:lang w:val="en-ZA"/>
                                </w:rPr>
                                <w:t>Supply and Quality of Data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FF418" id="Text Box 2402" o:spid="_x0000_s1577" type="#_x0000_t202" style="position:absolute;margin-left:50.2pt;margin-top:432.25pt;width:281.25pt;height:19.55pt;z-index:254396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" filled="f" stroked="f" strokeweight=".5pt">
                <v:textbox>
                  <w:txbxContent>
                    <w:p w14:paraId="04F29E17" w14:textId="77777777" w:rsidR="00D15FD8" w:rsidRPr="003625BA" w:rsidRDefault="00AC4DF7" w:rsidP="00634417">
                      <w:pPr>
                        <w:rPr>
                          <w:rFonts w:ascii="Roboto" w:hAnsi="Roboto"/>
                          <w:b/>
                          <w:bCs/>
                          <w:color w:val="FFFFFF" w:themeColor="background1"/>
                          <w:u w:val="single"/>
                        </w:rPr>
                      </w:pPr>
                      <w:hyperlink r:id="rId942" w:history="1">
                        <w:r w:rsidR="00D15FD8" w:rsidRPr="003625BA">
                          <w:rPr>
                            <w:rStyle w:val="Hyperlink"/>
                            <w:rFonts w:ascii="Roboto" w:hAnsi="Roboto"/>
                            <w:b/>
                            <w:bCs/>
                            <w:color w:val="FFFFFF" w:themeColor="background1"/>
                            <w:lang w:val="en-ZA"/>
                          </w:rPr>
                          <w:t>Supply and Quality of Data</w:t>
                        </w:r>
                      </w:hyperlink>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92318" behindDoc="0" locked="0" layoutInCell="1" allowOverlap="1" wp14:anchorId="741EEA46" wp14:editId="508A5C4C">
                <wp:simplePos x="0" y="0"/>
                <wp:positionH relativeFrom="column">
                  <wp:posOffset>-3810</wp:posOffset>
                </wp:positionH>
                <wp:positionV relativeFrom="paragraph">
                  <wp:posOffset>3437890</wp:posOffset>
                </wp:positionV>
                <wp:extent cx="276225" cy="276225"/>
                <wp:effectExtent l="0" t="0" r="3175" b="3175"/>
                <wp:wrapNone/>
                <wp:docPr id="2398" name="Chevron 2398"/>
                <wp:cNvGraphicFramePr/>
                <a:graphic xmlns:a="http://schemas.openxmlformats.org/drawingml/2006/main">
                  <a:graphicData uri="http://schemas.microsoft.com/office/word/2010/wordprocessingShape">
                    <wps:wsp>
                      <wps:cNvSpPr/>
                      <wps:spPr>
                        <a:xfrm>
                          <a:off x="0" y="0"/>
                          <a:ext cx="276225" cy="276225"/>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shape w14:anchorId="19A2A467" id="Chevron 2398" o:spid="_x0000_s1026" type="#_x0000_t55" style="position:absolute;margin-left:-.3pt;margin-top:270.7pt;width:21.75pt;height:21.75pt;z-index:2543923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" adj="10800" fillcolor="#82caa0" stroked="f" strokeweight="1pt"/>
            </w:pict>
          </mc:Fallback>
        </mc:AlternateContent>
      </w:r>
      <w:r w:rsidRPr="003625BA">
        <w:rPr>
          <w:rFonts w:ascii="Roboto" w:hAnsi="Roboto"/>
          <w:noProof/>
          <w:sz w:val="20"/>
          <w:szCs w:val="20"/>
          <w:lang w:val="en-US"/>
        </w:rPr>
        <mc:AlternateContent>
          <mc:Choice Requires="wps">
            <w:drawing>
              <wp:anchor distT="0" distB="0" distL="114300" distR="114300" simplePos="0" relativeHeight="254389246" behindDoc="0" locked="0" layoutInCell="1" allowOverlap="1" wp14:anchorId="4AA89DE2" wp14:editId="185A054F">
                <wp:simplePos x="0" y="0"/>
                <wp:positionH relativeFrom="column">
                  <wp:posOffset>637540</wp:posOffset>
                </wp:positionH>
                <wp:positionV relativeFrom="paragraph">
                  <wp:posOffset>2979420</wp:posOffset>
                </wp:positionV>
                <wp:extent cx="3571875" cy="248285"/>
                <wp:effectExtent l="0" t="0" r="0" b="0"/>
                <wp:wrapNone/>
                <wp:docPr id="2395" name="Text Box 2395"/>
                <wp:cNvGraphicFramePr/>
                <a:graphic xmlns:a="http://schemas.openxmlformats.org/drawingml/2006/main">
                  <a:graphicData uri="http://schemas.microsoft.com/office/word/2010/wordprocessingShape">
                    <wps:wsp>
                      <wps:cNvSpPr txBox="1"/>
                      <wps:spPr>
                        <a:xfrm>
                          <a:off x="0" y="0"/>
                          <a:ext cx="3571875" cy="248285"/>
                        </a:xfrm>
                        <a:prstGeom prst="rect">
                          <a:avLst/>
                        </a:prstGeom>
                        <a:noFill/>
                        <a:ln w="6350">
                          <a:noFill/>
                        </a:ln>
                      </wps:spPr>
                      <wps:txbx>
                        <w:txbxContent>
                          <w:p w14:paraId="457E49D5" w14:textId="77777777" w:rsidR="00D15FD8" w:rsidRPr="003625BA" w:rsidRDefault="00AC4DF7" w:rsidP="00634417">
                            <w:pPr>
                              <w:rPr>
                                <w:rFonts w:ascii="Roboto" w:hAnsi="Roboto"/>
                                <w:b/>
                                <w:bCs/>
                                <w:color w:val="FFFFFF" w:themeColor="background1"/>
                                <w:u w:val="single"/>
                              </w:rPr>
                            </w:pPr>
                            <w:hyperlink r:id="rId943">
                              <w:r w:rsidR="00D15FD8" w:rsidRPr="003625BA">
                                <w:rPr>
                                  <w:rStyle w:val="Hyperlink"/>
                                  <w:rFonts w:ascii="Roboto" w:hAnsi="Roboto"/>
                                  <w:b/>
                                  <w:bCs/>
                                  <w:color w:val="FFFFFF" w:themeColor="background1"/>
                                  <w:lang w:val="en-ZA"/>
                                </w:rPr>
                                <w:t>Demand and Engagement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89DE2" id="Text Box 2395" o:spid="_x0000_s1578" type="#_x0000_t202" style="position:absolute;margin-left:50.2pt;margin-top:234.6pt;width:281.25pt;height:19.55pt;z-index:254389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" filled="f" stroked="f" strokeweight=".5pt">
                <v:textbox>
                  <w:txbxContent>
                    <w:p w14:paraId="457E49D5" w14:textId="77777777" w:rsidR="00D15FD8" w:rsidRPr="003625BA" w:rsidRDefault="00AC4DF7" w:rsidP="00634417">
                      <w:pPr>
                        <w:rPr>
                          <w:rFonts w:ascii="Roboto" w:hAnsi="Roboto"/>
                          <w:b/>
                          <w:bCs/>
                          <w:color w:val="FFFFFF" w:themeColor="background1"/>
                          <w:u w:val="single"/>
                        </w:rPr>
                      </w:pPr>
                      <w:hyperlink r:id="rId944">
                        <w:r w:rsidR="00D15FD8" w:rsidRPr="003625BA">
                          <w:rPr>
                            <w:rStyle w:val="Hyperlink"/>
                            <w:rFonts w:ascii="Roboto" w:hAnsi="Roboto"/>
                            <w:b/>
                            <w:bCs/>
                            <w:color w:val="FFFFFF" w:themeColor="background1"/>
                            <w:lang w:val="en-ZA"/>
                          </w:rPr>
                          <w:t>Demand and Engagement</w:t>
                        </w:r>
                      </w:hyperlink>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90270" behindDoc="0" locked="0" layoutInCell="1" allowOverlap="1" wp14:anchorId="7CBA90C1" wp14:editId="5A4807A4">
                <wp:simplePos x="0" y="0"/>
                <wp:positionH relativeFrom="column">
                  <wp:posOffset>0</wp:posOffset>
                </wp:positionH>
                <wp:positionV relativeFrom="paragraph">
                  <wp:posOffset>2901315</wp:posOffset>
                </wp:positionV>
                <wp:extent cx="435610" cy="414020"/>
                <wp:effectExtent l="0" t="0" r="0" b="5080"/>
                <wp:wrapNone/>
                <wp:docPr id="2394" name="Rounded Rectangle 2394"/>
                <wp:cNvGraphicFramePr/>
                <a:graphic xmlns:a="http://schemas.openxmlformats.org/drawingml/2006/main">
                  <a:graphicData uri="http://schemas.microsoft.com/office/word/2010/wordprocessingShape">
                    <wps:wsp>
                      <wps:cNvSpPr/>
                      <wps:spPr>
                        <a:xfrm>
                          <a:off x="0" y="0"/>
                          <a:ext cx="435610" cy="414020"/>
                        </a:xfrm>
                        <a:prstGeom prst="roundRect">
                          <a:avLst/>
                        </a:prstGeom>
                        <a:solidFill>
                          <a:srgbClr val="F36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4B16A5B5" id="Rounded Rectangle 2394" o:spid="_x0000_s1026" style="position:absolute;margin-left:0;margin-top:228.45pt;width:34.3pt;height:32.6pt;z-index:254390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" fillcolor="#f36e27"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91294" behindDoc="0" locked="0" layoutInCell="1" allowOverlap="1" wp14:anchorId="1F3227E1" wp14:editId="6B634481">
                <wp:simplePos x="0" y="0"/>
                <wp:positionH relativeFrom="column">
                  <wp:posOffset>0</wp:posOffset>
                </wp:positionH>
                <wp:positionV relativeFrom="paragraph">
                  <wp:posOffset>2954020</wp:posOffset>
                </wp:positionV>
                <wp:extent cx="435610" cy="316865"/>
                <wp:effectExtent l="0" t="0" r="0" b="0"/>
                <wp:wrapNone/>
                <wp:docPr id="2393" name="Text Box 2393"/>
                <wp:cNvGraphicFramePr/>
                <a:graphic xmlns:a="http://schemas.openxmlformats.org/drawingml/2006/main">
                  <a:graphicData uri="http://schemas.microsoft.com/office/word/2010/wordprocessingShape">
                    <wps:wsp>
                      <wps:cNvSpPr txBox="1"/>
                      <wps:spPr>
                        <a:xfrm>
                          <a:off x="0" y="0"/>
                          <a:ext cx="435610" cy="316865"/>
                        </a:xfrm>
                        <a:prstGeom prst="rect">
                          <a:avLst/>
                        </a:prstGeom>
                        <a:noFill/>
                        <a:ln w="6350">
                          <a:noFill/>
                        </a:ln>
                      </wps:spPr>
                      <wps:txbx>
                        <w:txbxContent>
                          <w:p w14:paraId="67CD3C49"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227E1" id="Text Box 2393" o:spid="_x0000_s1579" type="#_x0000_t202" style="position:absolute;margin-left:0;margin-top:232.6pt;width:34.3pt;height:24.95pt;z-index:254391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" filled="f" stroked="f" strokeweight=".5pt">
                <v:textbox>
                  <w:txbxContent>
                    <w:p w14:paraId="67CD3C49"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4.</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88222" behindDoc="0" locked="0" layoutInCell="1" allowOverlap="1" wp14:anchorId="27B98E0F" wp14:editId="0AD368AC">
                <wp:simplePos x="0" y="0"/>
                <wp:positionH relativeFrom="column">
                  <wp:posOffset>546100</wp:posOffset>
                </wp:positionH>
                <wp:positionV relativeFrom="paragraph">
                  <wp:posOffset>2897505</wp:posOffset>
                </wp:positionV>
                <wp:extent cx="6047740" cy="414020"/>
                <wp:effectExtent l="0" t="0" r="0" b="5080"/>
                <wp:wrapNone/>
                <wp:docPr id="2396" name="Rounded Rectangle 2396"/>
                <wp:cNvGraphicFramePr/>
                <a:graphic xmlns:a="http://schemas.openxmlformats.org/drawingml/2006/main">
                  <a:graphicData uri="http://schemas.microsoft.com/office/word/2010/wordprocessingShape">
                    <wps:wsp>
                      <wps:cNvSpPr/>
                      <wps:spPr>
                        <a:xfrm>
                          <a:off x="0" y="0"/>
                          <a:ext cx="6047740" cy="414020"/>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F08AE4E" id="Rounded Rectangle 2396" o:spid="_x0000_s1026" style="position:absolute;margin-left:43pt;margin-top:228.15pt;width:476.2pt;height:32.6pt;z-index:25438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" fillcolor="#82caa0"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04606" behindDoc="0" locked="0" layoutInCell="1" allowOverlap="1" wp14:anchorId="0EE46943" wp14:editId="4B154A62">
                <wp:simplePos x="0" y="0"/>
                <wp:positionH relativeFrom="column">
                  <wp:posOffset>0</wp:posOffset>
                </wp:positionH>
                <wp:positionV relativeFrom="paragraph">
                  <wp:posOffset>6635750</wp:posOffset>
                </wp:positionV>
                <wp:extent cx="435610" cy="316865"/>
                <wp:effectExtent l="0" t="0" r="0" b="0"/>
                <wp:wrapNone/>
                <wp:docPr id="2409" name="Text Box 2409"/>
                <wp:cNvGraphicFramePr/>
                <a:graphic xmlns:a="http://schemas.openxmlformats.org/drawingml/2006/main">
                  <a:graphicData uri="http://schemas.microsoft.com/office/word/2010/wordprocessingShape">
                    <wps:wsp>
                      <wps:cNvSpPr txBox="1"/>
                      <wps:spPr>
                        <a:xfrm>
                          <a:off x="0" y="0"/>
                          <a:ext cx="435610" cy="316865"/>
                        </a:xfrm>
                        <a:prstGeom prst="rect">
                          <a:avLst/>
                        </a:prstGeom>
                        <a:noFill/>
                        <a:ln w="6350">
                          <a:noFill/>
                        </a:ln>
                      </wps:spPr>
                      <wps:txbx>
                        <w:txbxContent>
                          <w:p w14:paraId="2F6243FE"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46943" id="Text Box 2409" o:spid="_x0000_s1580" type="#_x0000_t202" style="position:absolute;margin-left:0;margin-top:522.5pt;width:34.3pt;height:24.95pt;z-index:254404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" filled="f" stroked="f" strokeweight=".5pt">
                <v:textbox>
                  <w:txbxContent>
                    <w:p w14:paraId="2F6243FE"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6.</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85150" behindDoc="0" locked="0" layoutInCell="1" allowOverlap="1" wp14:anchorId="77ED55FD" wp14:editId="54F565D9">
                <wp:simplePos x="0" y="0"/>
                <wp:positionH relativeFrom="column">
                  <wp:posOffset>0</wp:posOffset>
                </wp:positionH>
                <wp:positionV relativeFrom="paragraph">
                  <wp:posOffset>112395</wp:posOffset>
                </wp:positionV>
                <wp:extent cx="435610" cy="316865"/>
                <wp:effectExtent l="0" t="0" r="0" b="0"/>
                <wp:wrapNone/>
                <wp:docPr id="2390" name="Text Box 2390"/>
                <wp:cNvGraphicFramePr/>
                <a:graphic xmlns:a="http://schemas.openxmlformats.org/drawingml/2006/main">
                  <a:graphicData uri="http://schemas.microsoft.com/office/word/2010/wordprocessingShape">
                    <wps:wsp>
                      <wps:cNvSpPr txBox="1"/>
                      <wps:spPr>
                        <a:xfrm>
                          <a:off x="0" y="0"/>
                          <a:ext cx="435610" cy="316865"/>
                        </a:xfrm>
                        <a:prstGeom prst="rect">
                          <a:avLst/>
                        </a:prstGeom>
                        <a:noFill/>
                        <a:ln w="6350">
                          <a:noFill/>
                        </a:ln>
                      </wps:spPr>
                      <wps:txbx>
                        <w:txbxContent>
                          <w:p w14:paraId="0B664B57"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D55FD" id="Text Box 2390" o:spid="_x0000_s1581" type="#_x0000_t202" style="position:absolute;margin-left:0;margin-top:8.85pt;width:34.3pt;height:24.95pt;z-index:254385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" filled="f" stroked="f" strokeweight=".5pt">
                <v:textbox>
                  <w:txbxContent>
                    <w:p w14:paraId="0B664B57"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3.</w:t>
                      </w:r>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84126" behindDoc="0" locked="0" layoutInCell="1" allowOverlap="1" wp14:anchorId="497FA825" wp14:editId="31625BB3">
                <wp:simplePos x="0" y="0"/>
                <wp:positionH relativeFrom="column">
                  <wp:posOffset>0</wp:posOffset>
                </wp:positionH>
                <wp:positionV relativeFrom="paragraph">
                  <wp:posOffset>59690</wp:posOffset>
                </wp:positionV>
                <wp:extent cx="435610" cy="414020"/>
                <wp:effectExtent l="0" t="0" r="0" b="5080"/>
                <wp:wrapNone/>
                <wp:docPr id="2389" name="Rounded Rectangle 2389"/>
                <wp:cNvGraphicFramePr/>
                <a:graphic xmlns:a="http://schemas.openxmlformats.org/drawingml/2006/main">
                  <a:graphicData uri="http://schemas.microsoft.com/office/word/2010/wordprocessingShape">
                    <wps:wsp>
                      <wps:cNvSpPr/>
                      <wps:spPr>
                        <a:xfrm>
                          <a:off x="0" y="0"/>
                          <a:ext cx="435610" cy="414020"/>
                        </a:xfrm>
                        <a:prstGeom prst="roundRect">
                          <a:avLst/>
                        </a:prstGeom>
                        <a:solidFill>
                          <a:srgbClr val="F36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3AFE94DB" id="Rounded Rectangle 2389" o:spid="_x0000_s1026" style="position:absolute;margin-left:0;margin-top:4.7pt;width:34.3pt;height:32.6pt;z-index:2543841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" fillcolor="#f36e27"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82078" behindDoc="0" locked="0" layoutInCell="1" allowOverlap="1" wp14:anchorId="73784B2D" wp14:editId="1AEA80F8">
                <wp:simplePos x="0" y="0"/>
                <wp:positionH relativeFrom="column">
                  <wp:posOffset>546100</wp:posOffset>
                </wp:positionH>
                <wp:positionV relativeFrom="paragraph">
                  <wp:posOffset>64135</wp:posOffset>
                </wp:positionV>
                <wp:extent cx="6047740" cy="414020"/>
                <wp:effectExtent l="0" t="0" r="0" b="5080"/>
                <wp:wrapNone/>
                <wp:docPr id="2388" name="Rounded Rectangle 2388"/>
                <wp:cNvGraphicFramePr/>
                <a:graphic xmlns:a="http://schemas.openxmlformats.org/drawingml/2006/main">
                  <a:graphicData uri="http://schemas.microsoft.com/office/word/2010/wordprocessingShape">
                    <wps:wsp>
                      <wps:cNvSpPr/>
                      <wps:spPr>
                        <a:xfrm>
                          <a:off x="0" y="0"/>
                          <a:ext cx="6047740" cy="414020"/>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D08C25A" id="Rounded Rectangle 2388" o:spid="_x0000_s1026" style="position:absolute;margin-left:43pt;margin-top:5.05pt;width:476.2pt;height:32.6pt;z-index:254382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" fillcolor="#82caa0" stroked="f" strokeweight="1pt">
                <v:stroke joinstyle="miter"/>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383102" behindDoc="0" locked="0" layoutInCell="1" allowOverlap="1" wp14:anchorId="336C12F6" wp14:editId="054AA00B">
                <wp:simplePos x="0" y="0"/>
                <wp:positionH relativeFrom="column">
                  <wp:posOffset>635000</wp:posOffset>
                </wp:positionH>
                <wp:positionV relativeFrom="paragraph">
                  <wp:posOffset>126365</wp:posOffset>
                </wp:positionV>
                <wp:extent cx="3571875" cy="342265"/>
                <wp:effectExtent l="0" t="0" r="0" b="0"/>
                <wp:wrapNone/>
                <wp:docPr id="2387" name="Text Box 2387"/>
                <wp:cNvGraphicFramePr/>
                <a:graphic xmlns:a="http://schemas.openxmlformats.org/drawingml/2006/main">
                  <a:graphicData uri="http://schemas.microsoft.com/office/word/2010/wordprocessingShape">
                    <wps:wsp>
                      <wps:cNvSpPr txBox="1"/>
                      <wps:spPr>
                        <a:xfrm>
                          <a:off x="0" y="0"/>
                          <a:ext cx="3571875" cy="342265"/>
                        </a:xfrm>
                        <a:prstGeom prst="rect">
                          <a:avLst/>
                        </a:prstGeom>
                        <a:noFill/>
                        <a:ln w="6350">
                          <a:noFill/>
                        </a:ln>
                      </wps:spPr>
                      <wps:txbx>
                        <w:txbxContent>
                          <w:p w14:paraId="5E656805" w14:textId="77777777" w:rsidR="00D15FD8" w:rsidRPr="003625BA" w:rsidRDefault="00AC4DF7" w:rsidP="00634417">
                            <w:pPr>
                              <w:rPr>
                                <w:rFonts w:ascii="Roboto" w:hAnsi="Roboto"/>
                                <w:b/>
                                <w:bCs/>
                                <w:color w:val="FFFFFF" w:themeColor="background1"/>
                                <w:u w:val="single"/>
                              </w:rPr>
                            </w:pPr>
                            <w:hyperlink r:id="rId945" w:history="1">
                              <w:r w:rsidR="00D15FD8" w:rsidRPr="003625BA">
                                <w:rPr>
                                  <w:rStyle w:val="Hyperlink"/>
                                  <w:rFonts w:ascii="Roboto" w:hAnsi="Roboto"/>
                                  <w:b/>
                                  <w:bCs/>
                                  <w:color w:val="FFFFFF" w:themeColor="background1"/>
                                  <w:lang w:val="en-ZA"/>
                                </w:rPr>
                                <w:t>Technology Options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C12F6" id="Text Box 2387" o:spid="_x0000_s1582" type="#_x0000_t202" style="position:absolute;margin-left:50pt;margin-top:9.95pt;width:281.25pt;height:26.95pt;z-index:254383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" filled="f" stroked="f" strokeweight=".5pt">
                <v:textbox>
                  <w:txbxContent>
                    <w:p w14:paraId="5E656805" w14:textId="77777777" w:rsidR="00D15FD8" w:rsidRPr="003625BA" w:rsidRDefault="00AC4DF7" w:rsidP="00634417">
                      <w:pPr>
                        <w:rPr>
                          <w:rFonts w:ascii="Roboto" w:hAnsi="Roboto"/>
                          <w:b/>
                          <w:bCs/>
                          <w:color w:val="FFFFFF" w:themeColor="background1"/>
                          <w:u w:val="single"/>
                        </w:rPr>
                      </w:pPr>
                      <w:hyperlink r:id="rId946" w:history="1">
                        <w:r w:rsidR="00D15FD8" w:rsidRPr="003625BA">
                          <w:rPr>
                            <w:rStyle w:val="Hyperlink"/>
                            <w:rFonts w:ascii="Roboto" w:hAnsi="Roboto"/>
                            <w:b/>
                            <w:bCs/>
                            <w:color w:val="FFFFFF" w:themeColor="background1"/>
                            <w:lang w:val="en-ZA"/>
                          </w:rPr>
                          <w:t>Technology Options</w:t>
                        </w:r>
                      </w:hyperlink>
                    </w:p>
                  </w:txbxContent>
                </v:textbox>
              </v:shape>
            </w:pict>
          </mc:Fallback>
        </mc:AlternateContent>
      </w:r>
      <w:r w:rsidRPr="003625BA">
        <w:rPr>
          <w:rFonts w:ascii="Roboto" w:hAnsi="Roboto"/>
          <w:noProof/>
          <w:sz w:val="20"/>
          <w:szCs w:val="20"/>
          <w:lang w:val="en-US"/>
        </w:rPr>
        <mc:AlternateContent>
          <mc:Choice Requires="wps">
            <w:drawing>
              <wp:anchor distT="0" distB="0" distL="114300" distR="114300" simplePos="0" relativeHeight="254386174" behindDoc="0" locked="0" layoutInCell="1" allowOverlap="1" wp14:anchorId="5722CC2E" wp14:editId="7DA4DBDB">
                <wp:simplePos x="0" y="0"/>
                <wp:positionH relativeFrom="column">
                  <wp:posOffset>5080</wp:posOffset>
                </wp:positionH>
                <wp:positionV relativeFrom="paragraph">
                  <wp:posOffset>577215</wp:posOffset>
                </wp:positionV>
                <wp:extent cx="276225" cy="276225"/>
                <wp:effectExtent l="0" t="0" r="3175" b="3175"/>
                <wp:wrapNone/>
                <wp:docPr id="2391" name="Chevron 2391"/>
                <wp:cNvGraphicFramePr/>
                <a:graphic xmlns:a="http://schemas.openxmlformats.org/drawingml/2006/main">
                  <a:graphicData uri="http://schemas.microsoft.com/office/word/2010/wordprocessingShape">
                    <wps:wsp>
                      <wps:cNvSpPr/>
                      <wps:spPr>
                        <a:xfrm>
                          <a:off x="0" y="0"/>
                          <a:ext cx="276225" cy="276225"/>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2FCB87" id="Chevron 2391" o:spid="_x0000_s1026" type="#_x0000_t55" style="position:absolute;margin-left:.4pt;margin-top:45.45pt;width:21.75pt;height:21.75pt;z-index:2543861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" adj="10800" fillcolor="#82caa0" stroked="f" strokeweight="1pt"/>
            </w:pict>
          </mc:Fallback>
        </mc:AlternateContent>
      </w:r>
    </w:p>
    <w:p w14:paraId="6B14DC16" w14:textId="30EBDC9B" w:rsidR="00634417" w:rsidRPr="003625BA" w:rsidRDefault="00634417" w:rsidP="00634417">
      <w:pPr>
        <w:rPr>
          <w:rFonts w:ascii="Roboto" w:hAnsi="Roboto"/>
          <w:sz w:val="20"/>
          <w:szCs w:val="20"/>
        </w:rPr>
      </w:pPr>
    </w:p>
    <w:p w14:paraId="1A4C2A56" w14:textId="6850B4F5" w:rsidR="00634417" w:rsidRPr="003625BA" w:rsidRDefault="00634417" w:rsidP="00634417">
      <w:pPr>
        <w:rPr>
          <w:rFonts w:ascii="Roboto" w:hAnsi="Roboto"/>
          <w:sz w:val="20"/>
          <w:szCs w:val="20"/>
        </w:rPr>
      </w:pPr>
    </w:p>
    <w:p w14:paraId="7700DFE8" w14:textId="79F9B443" w:rsidR="00634417" w:rsidRPr="003625BA" w:rsidRDefault="005D15AA" w:rsidP="00634417">
      <w:pPr>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1620305" behindDoc="0" locked="0" layoutInCell="1" allowOverlap="1" wp14:anchorId="3113A681" wp14:editId="45AFE1B1">
                <wp:simplePos x="0" y="0"/>
                <wp:positionH relativeFrom="column">
                  <wp:posOffset>342901</wp:posOffset>
                </wp:positionH>
                <wp:positionV relativeFrom="paragraph">
                  <wp:posOffset>83185</wp:posOffset>
                </wp:positionV>
                <wp:extent cx="6350000" cy="2222500"/>
                <wp:effectExtent l="0" t="0" r="12700" b="25400"/>
                <wp:wrapNone/>
                <wp:docPr id="2392" name="Text Box 2392"/>
                <wp:cNvGraphicFramePr/>
                <a:graphic xmlns:a="http://schemas.openxmlformats.org/drawingml/2006/main">
                  <a:graphicData uri="http://schemas.microsoft.com/office/word/2010/wordprocessingShape">
                    <wps:wsp>
                      <wps:cNvSpPr txBox="1"/>
                      <wps:spPr>
                        <a:xfrm>
                          <a:off x="0" y="0"/>
                          <a:ext cx="6350000" cy="2222500"/>
                        </a:xfrm>
                        <a:prstGeom prst="rect">
                          <a:avLst/>
                        </a:prstGeom>
                        <a:noFill/>
                        <a:ln w="19050">
                          <a:solidFill>
                            <a:srgbClr val="82CAA0"/>
                          </a:solidFill>
                        </a:ln>
                      </wps:spPr>
                      <wps:txbx>
                        <w:txbxContent>
                          <w:p w14:paraId="32138FB8" w14:textId="6D7B8480" w:rsidR="00D15FD8" w:rsidRDefault="00D15FD8" w:rsidP="005D15AA">
                            <w:pPr>
                              <w:spacing w:line="276" w:lineRule="auto"/>
                              <w:ind w:right="-40"/>
                              <w:jc w:val="both"/>
                              <w:rPr>
                                <w:rFonts w:ascii="Roboto" w:hAnsi="Roboto"/>
                                <w:sz w:val="20"/>
                                <w:szCs w:val="20"/>
                              </w:rPr>
                            </w:pPr>
                            <w:r w:rsidRPr="0066520C">
                              <w:rPr>
                                <w:rFonts w:ascii="Roboto" w:hAnsi="Roboto"/>
                                <w:sz w:val="20"/>
                                <w:szCs w:val="20"/>
                              </w:rPr>
                              <w:t>Summarizes key technical issues in open data catalogue development, with examples; especially helpful to IT specialists.</w:t>
                            </w:r>
                          </w:p>
                          <w:p w14:paraId="5AF674EF" w14:textId="77777777" w:rsidR="00D15FD8" w:rsidRPr="003625BA" w:rsidRDefault="00D15FD8" w:rsidP="005D15AA">
                            <w:pPr>
                              <w:pStyle w:val="ListParagraph"/>
                              <w:numPr>
                                <w:ilvl w:val="0"/>
                                <w:numId w:val="207"/>
                              </w:numPr>
                              <w:spacing w:line="276" w:lineRule="auto"/>
                              <w:ind w:right="-40"/>
                              <w:jc w:val="both"/>
                              <w:rPr>
                                <w:rFonts w:ascii="Roboto" w:hAnsi="Roboto"/>
                                <w:sz w:val="20"/>
                                <w:szCs w:val="20"/>
                              </w:rPr>
                            </w:pPr>
                            <w:r w:rsidRPr="003625BA">
                              <w:rPr>
                                <w:rFonts w:ascii="Roboto" w:hAnsi="Roboto"/>
                                <w:sz w:val="20"/>
                                <w:szCs w:val="20"/>
                              </w:rPr>
                              <w:t xml:space="preserve">Data </w:t>
                            </w:r>
                            <w:proofErr w:type="spellStart"/>
                            <w:r w:rsidRPr="003625BA">
                              <w:rPr>
                                <w:rFonts w:ascii="Roboto" w:hAnsi="Roboto"/>
                                <w:sz w:val="20"/>
                                <w:szCs w:val="20"/>
                              </w:rPr>
                              <w:t>catalog</w:t>
                            </w:r>
                            <w:proofErr w:type="spellEnd"/>
                            <w:r w:rsidRPr="003625BA">
                              <w:rPr>
                                <w:rFonts w:ascii="Roboto" w:hAnsi="Roboto"/>
                                <w:sz w:val="20"/>
                                <w:szCs w:val="20"/>
                              </w:rPr>
                              <w:t xml:space="preserve">: List of datasets available in an open data initiative. Essential elements of a data </w:t>
                            </w:r>
                            <w:proofErr w:type="spellStart"/>
                            <w:r w:rsidRPr="003625BA">
                              <w:rPr>
                                <w:rFonts w:ascii="Roboto" w:hAnsi="Roboto"/>
                                <w:sz w:val="20"/>
                                <w:szCs w:val="20"/>
                              </w:rPr>
                              <w:t>catalog</w:t>
                            </w:r>
                            <w:proofErr w:type="spellEnd"/>
                            <w:r w:rsidRPr="003625BA">
                              <w:rPr>
                                <w:rFonts w:ascii="Roboto" w:hAnsi="Roboto"/>
                                <w:sz w:val="20"/>
                                <w:szCs w:val="20"/>
                              </w:rPr>
                              <w:t xml:space="preserve"> include searching, metadata, clear license information and access to the datasets themselves. Typically, a data </w:t>
                            </w:r>
                            <w:proofErr w:type="spellStart"/>
                            <w:r w:rsidRPr="003625BA">
                              <w:rPr>
                                <w:rFonts w:ascii="Roboto" w:hAnsi="Roboto"/>
                                <w:sz w:val="20"/>
                                <w:szCs w:val="20"/>
                              </w:rPr>
                              <w:t>catalog</w:t>
                            </w:r>
                            <w:proofErr w:type="spellEnd"/>
                            <w:r w:rsidRPr="003625BA">
                              <w:rPr>
                                <w:rFonts w:ascii="Roboto" w:hAnsi="Roboto"/>
                                <w:sz w:val="20"/>
                                <w:szCs w:val="20"/>
                              </w:rPr>
                              <w:t xml:space="preserve"> is the online </w:t>
                            </w:r>
                            <w:proofErr w:type="spellStart"/>
                            <w:r w:rsidRPr="003625BA">
                              <w:rPr>
                                <w:rFonts w:ascii="Roboto" w:hAnsi="Roboto"/>
                                <w:sz w:val="20"/>
                                <w:szCs w:val="20"/>
                              </w:rPr>
                              <w:t>centerpiece</w:t>
                            </w:r>
                            <w:proofErr w:type="spellEnd"/>
                            <w:r w:rsidRPr="003625BA">
                              <w:rPr>
                                <w:rFonts w:ascii="Roboto" w:hAnsi="Roboto"/>
                                <w:sz w:val="20"/>
                                <w:szCs w:val="20"/>
                              </w:rPr>
                              <w:t xml:space="preserve"> of an open data initiative.</w:t>
                            </w:r>
                          </w:p>
                          <w:p w14:paraId="3BF0CE4A" w14:textId="77777777" w:rsidR="00D15FD8" w:rsidRPr="00C11138" w:rsidRDefault="00D15FD8" w:rsidP="005D15AA">
                            <w:pPr>
                              <w:spacing w:line="276" w:lineRule="auto"/>
                              <w:ind w:right="-40"/>
                              <w:jc w:val="both"/>
                              <w:rPr>
                                <w:rFonts w:ascii="Roboto" w:hAnsi="Roboto"/>
                                <w:sz w:val="20"/>
                                <w:szCs w:val="20"/>
                              </w:rPr>
                            </w:pPr>
                          </w:p>
                          <w:p w14:paraId="2026C214" w14:textId="77777777" w:rsidR="00D15FD8" w:rsidRPr="003625BA" w:rsidRDefault="00D15FD8" w:rsidP="005D15AA">
                            <w:pPr>
                              <w:pStyle w:val="ListParagraph"/>
                              <w:numPr>
                                <w:ilvl w:val="0"/>
                                <w:numId w:val="207"/>
                              </w:numPr>
                              <w:spacing w:line="276" w:lineRule="auto"/>
                              <w:ind w:right="-40"/>
                              <w:jc w:val="both"/>
                              <w:rPr>
                                <w:rFonts w:ascii="Roboto" w:hAnsi="Roboto"/>
                                <w:sz w:val="20"/>
                                <w:szCs w:val="20"/>
                              </w:rPr>
                            </w:pPr>
                            <w:r w:rsidRPr="003625BA">
                              <w:rPr>
                                <w:rFonts w:ascii="Roboto" w:hAnsi="Roboto"/>
                                <w:sz w:val="20"/>
                                <w:szCs w:val="20"/>
                              </w:rPr>
                              <w:t xml:space="preserve">A platform provides an online “front door” for users to access all resources available under an open data initiative. A platform includes the data </w:t>
                            </w:r>
                            <w:proofErr w:type="spellStart"/>
                            <w:r w:rsidRPr="003625BA">
                              <w:rPr>
                                <w:rFonts w:ascii="Roboto" w:hAnsi="Roboto"/>
                                <w:sz w:val="20"/>
                                <w:szCs w:val="20"/>
                              </w:rPr>
                              <w:t>catalog</w:t>
                            </w:r>
                            <w:proofErr w:type="spellEnd"/>
                            <w:r w:rsidRPr="003625BA">
                              <w:rPr>
                                <w:rFonts w:ascii="Roboto" w:hAnsi="Roboto"/>
                                <w:sz w:val="20"/>
                                <w:szCs w:val="20"/>
                              </w:rPr>
                              <w:t xml:space="preserve"> along with other information and services that are part of the open data ecosystem. These typically include an online forum for questions, technical support and feedback; a knowledge base of background and training materials; and a blog for communications and outreach. The services within a platform are often implemented with a suite of technologies, not a single one.</w:t>
                            </w:r>
                          </w:p>
                          <w:p w14:paraId="3697070E" w14:textId="77777777" w:rsidR="00D15FD8" w:rsidRPr="0066520C" w:rsidRDefault="00D15FD8" w:rsidP="005D15AA">
                            <w:pPr>
                              <w:spacing w:line="276" w:lineRule="auto"/>
                              <w:ind w:right="-40"/>
                              <w:jc w:val="both"/>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3A681" id="Text Box 2392" o:spid="_x0000_s1583" type="#_x0000_t202" style="position:absolute;margin-left:27pt;margin-top:6.55pt;width:500pt;height:175pt;z-index:251620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" filled="f" strokecolor="#82caa0" strokeweight="1.5pt">
                <v:textbox>
                  <w:txbxContent>
                    <w:p w14:paraId="32138FB8" w14:textId="6D7B8480" w:rsidR="00D15FD8" w:rsidRDefault="00D15FD8" w:rsidP="005D15AA">
                      <w:pPr>
                        <w:spacing w:line="276" w:lineRule="auto"/>
                        <w:ind w:right="-40"/>
                        <w:jc w:val="both"/>
                        <w:rPr>
                          <w:rFonts w:ascii="Roboto" w:hAnsi="Roboto"/>
                          <w:sz w:val="20"/>
                          <w:szCs w:val="20"/>
                        </w:rPr>
                      </w:pPr>
                      <w:r w:rsidRPr="0066520C">
                        <w:rPr>
                          <w:rFonts w:ascii="Roboto" w:hAnsi="Roboto"/>
                          <w:sz w:val="20"/>
                          <w:szCs w:val="20"/>
                        </w:rPr>
                        <w:t>Summarizes key technical issues in open data catalogue development, with examples; especially helpful to IT specialists.</w:t>
                      </w:r>
                    </w:p>
                    <w:p w14:paraId="5AF674EF" w14:textId="77777777" w:rsidR="00D15FD8" w:rsidRPr="003625BA" w:rsidRDefault="00D15FD8" w:rsidP="005D15AA">
                      <w:pPr>
                        <w:pStyle w:val="ListParagraph"/>
                        <w:numPr>
                          <w:ilvl w:val="0"/>
                          <w:numId w:val="207"/>
                        </w:numPr>
                        <w:spacing w:line="276" w:lineRule="auto"/>
                        <w:ind w:right="-40"/>
                        <w:jc w:val="both"/>
                        <w:rPr>
                          <w:rFonts w:ascii="Roboto" w:hAnsi="Roboto"/>
                          <w:sz w:val="20"/>
                          <w:szCs w:val="20"/>
                        </w:rPr>
                      </w:pPr>
                      <w:r w:rsidRPr="003625BA">
                        <w:rPr>
                          <w:rFonts w:ascii="Roboto" w:hAnsi="Roboto"/>
                          <w:sz w:val="20"/>
                          <w:szCs w:val="20"/>
                        </w:rPr>
                        <w:t xml:space="preserve">Data </w:t>
                      </w:r>
                      <w:proofErr w:type="spellStart"/>
                      <w:r w:rsidRPr="003625BA">
                        <w:rPr>
                          <w:rFonts w:ascii="Roboto" w:hAnsi="Roboto"/>
                          <w:sz w:val="20"/>
                          <w:szCs w:val="20"/>
                        </w:rPr>
                        <w:t>catalog</w:t>
                      </w:r>
                      <w:proofErr w:type="spellEnd"/>
                      <w:r w:rsidRPr="003625BA">
                        <w:rPr>
                          <w:rFonts w:ascii="Roboto" w:hAnsi="Roboto"/>
                          <w:sz w:val="20"/>
                          <w:szCs w:val="20"/>
                        </w:rPr>
                        <w:t xml:space="preserve">: List of datasets available in an open data initiative. Essential elements of a data </w:t>
                      </w:r>
                      <w:proofErr w:type="spellStart"/>
                      <w:r w:rsidRPr="003625BA">
                        <w:rPr>
                          <w:rFonts w:ascii="Roboto" w:hAnsi="Roboto"/>
                          <w:sz w:val="20"/>
                          <w:szCs w:val="20"/>
                        </w:rPr>
                        <w:t>catalog</w:t>
                      </w:r>
                      <w:proofErr w:type="spellEnd"/>
                      <w:r w:rsidRPr="003625BA">
                        <w:rPr>
                          <w:rFonts w:ascii="Roboto" w:hAnsi="Roboto"/>
                          <w:sz w:val="20"/>
                          <w:szCs w:val="20"/>
                        </w:rPr>
                        <w:t xml:space="preserve"> include searching, metadata, clear license information and access to the datasets themselves. Typically, a data </w:t>
                      </w:r>
                      <w:proofErr w:type="spellStart"/>
                      <w:r w:rsidRPr="003625BA">
                        <w:rPr>
                          <w:rFonts w:ascii="Roboto" w:hAnsi="Roboto"/>
                          <w:sz w:val="20"/>
                          <w:szCs w:val="20"/>
                        </w:rPr>
                        <w:t>catalog</w:t>
                      </w:r>
                      <w:proofErr w:type="spellEnd"/>
                      <w:r w:rsidRPr="003625BA">
                        <w:rPr>
                          <w:rFonts w:ascii="Roboto" w:hAnsi="Roboto"/>
                          <w:sz w:val="20"/>
                          <w:szCs w:val="20"/>
                        </w:rPr>
                        <w:t xml:space="preserve"> is the online </w:t>
                      </w:r>
                      <w:proofErr w:type="spellStart"/>
                      <w:r w:rsidRPr="003625BA">
                        <w:rPr>
                          <w:rFonts w:ascii="Roboto" w:hAnsi="Roboto"/>
                          <w:sz w:val="20"/>
                          <w:szCs w:val="20"/>
                        </w:rPr>
                        <w:t>centerpiece</w:t>
                      </w:r>
                      <w:proofErr w:type="spellEnd"/>
                      <w:r w:rsidRPr="003625BA">
                        <w:rPr>
                          <w:rFonts w:ascii="Roboto" w:hAnsi="Roboto"/>
                          <w:sz w:val="20"/>
                          <w:szCs w:val="20"/>
                        </w:rPr>
                        <w:t xml:space="preserve"> of an open data initiative.</w:t>
                      </w:r>
                    </w:p>
                    <w:p w14:paraId="3BF0CE4A" w14:textId="77777777" w:rsidR="00D15FD8" w:rsidRPr="00C11138" w:rsidRDefault="00D15FD8" w:rsidP="005D15AA">
                      <w:pPr>
                        <w:spacing w:line="276" w:lineRule="auto"/>
                        <w:ind w:right="-40"/>
                        <w:jc w:val="both"/>
                        <w:rPr>
                          <w:rFonts w:ascii="Roboto" w:hAnsi="Roboto"/>
                          <w:sz w:val="20"/>
                          <w:szCs w:val="20"/>
                        </w:rPr>
                      </w:pPr>
                    </w:p>
                    <w:p w14:paraId="2026C214" w14:textId="77777777" w:rsidR="00D15FD8" w:rsidRPr="003625BA" w:rsidRDefault="00D15FD8" w:rsidP="005D15AA">
                      <w:pPr>
                        <w:pStyle w:val="ListParagraph"/>
                        <w:numPr>
                          <w:ilvl w:val="0"/>
                          <w:numId w:val="207"/>
                        </w:numPr>
                        <w:spacing w:line="276" w:lineRule="auto"/>
                        <w:ind w:right="-40"/>
                        <w:jc w:val="both"/>
                        <w:rPr>
                          <w:rFonts w:ascii="Roboto" w:hAnsi="Roboto"/>
                          <w:sz w:val="20"/>
                          <w:szCs w:val="20"/>
                        </w:rPr>
                      </w:pPr>
                      <w:r w:rsidRPr="003625BA">
                        <w:rPr>
                          <w:rFonts w:ascii="Roboto" w:hAnsi="Roboto"/>
                          <w:sz w:val="20"/>
                          <w:szCs w:val="20"/>
                        </w:rPr>
                        <w:t xml:space="preserve">A platform provides an online “front door” for users to access all resources available under an open data initiative. A platform includes the data </w:t>
                      </w:r>
                      <w:proofErr w:type="spellStart"/>
                      <w:r w:rsidRPr="003625BA">
                        <w:rPr>
                          <w:rFonts w:ascii="Roboto" w:hAnsi="Roboto"/>
                          <w:sz w:val="20"/>
                          <w:szCs w:val="20"/>
                        </w:rPr>
                        <w:t>catalog</w:t>
                      </w:r>
                      <w:proofErr w:type="spellEnd"/>
                      <w:r w:rsidRPr="003625BA">
                        <w:rPr>
                          <w:rFonts w:ascii="Roboto" w:hAnsi="Roboto"/>
                          <w:sz w:val="20"/>
                          <w:szCs w:val="20"/>
                        </w:rPr>
                        <w:t xml:space="preserve"> along with other information and services that are part of the open data ecosystem. These typically include an online forum for questions, technical support and feedback; a knowledge base of background and training materials; and a blog for communications and outreach. The services within a platform are often implemented with a suite of technologies, not a single one.</w:t>
                      </w:r>
                    </w:p>
                    <w:p w14:paraId="3697070E" w14:textId="77777777" w:rsidR="00D15FD8" w:rsidRPr="0066520C" w:rsidRDefault="00D15FD8" w:rsidP="005D15AA">
                      <w:pPr>
                        <w:spacing w:line="276" w:lineRule="auto"/>
                        <w:ind w:right="-40"/>
                        <w:jc w:val="both"/>
                        <w:rPr>
                          <w:rFonts w:ascii="Roboto" w:hAnsi="Roboto"/>
                          <w:sz w:val="20"/>
                          <w:szCs w:val="20"/>
                        </w:rPr>
                      </w:pPr>
                    </w:p>
                  </w:txbxContent>
                </v:textbox>
              </v:shape>
            </w:pict>
          </mc:Fallback>
        </mc:AlternateContent>
      </w:r>
    </w:p>
    <w:p w14:paraId="779AD019" w14:textId="688CBB48" w:rsidR="00634417" w:rsidRPr="003625BA" w:rsidRDefault="00634417" w:rsidP="00634417">
      <w:pPr>
        <w:rPr>
          <w:rFonts w:ascii="Roboto" w:hAnsi="Roboto"/>
          <w:sz w:val="20"/>
          <w:szCs w:val="20"/>
        </w:rPr>
      </w:pPr>
    </w:p>
    <w:p w14:paraId="4ECD0A7A" w14:textId="2F103EF6" w:rsidR="00634417" w:rsidRPr="003625BA" w:rsidRDefault="00634417" w:rsidP="00634417">
      <w:pPr>
        <w:spacing w:line="276" w:lineRule="auto"/>
        <w:rPr>
          <w:rFonts w:ascii="Roboto" w:hAnsi="Roboto"/>
          <w:sz w:val="20"/>
          <w:szCs w:val="20"/>
        </w:rPr>
      </w:pPr>
    </w:p>
    <w:p w14:paraId="6CE4188E" w14:textId="77777777" w:rsidR="008610A1" w:rsidRDefault="008610A1" w:rsidP="00EB2A7C">
      <w:pPr>
        <w:pStyle w:val="ListParagraph"/>
        <w:rPr>
          <w:rFonts w:ascii="Roboto" w:hAnsi="Roboto"/>
          <w:sz w:val="20"/>
          <w:szCs w:val="20"/>
        </w:rPr>
      </w:pPr>
    </w:p>
    <w:p w14:paraId="5A53B5FD" w14:textId="77777777" w:rsidR="008610A1" w:rsidRDefault="008610A1" w:rsidP="00EB2A7C">
      <w:pPr>
        <w:pStyle w:val="ListParagraph"/>
        <w:rPr>
          <w:rFonts w:ascii="Roboto" w:hAnsi="Roboto"/>
          <w:sz w:val="20"/>
          <w:szCs w:val="20"/>
        </w:rPr>
      </w:pPr>
    </w:p>
    <w:p w14:paraId="4D1C7AED" w14:textId="77777777" w:rsidR="008610A1" w:rsidRDefault="008610A1" w:rsidP="00EB2A7C">
      <w:pPr>
        <w:pStyle w:val="ListParagraph"/>
        <w:rPr>
          <w:rFonts w:ascii="Roboto" w:hAnsi="Roboto"/>
          <w:sz w:val="20"/>
          <w:szCs w:val="20"/>
        </w:rPr>
      </w:pPr>
    </w:p>
    <w:p w14:paraId="3F4C4F63" w14:textId="77777777" w:rsidR="008610A1" w:rsidRDefault="008610A1" w:rsidP="00EB2A7C">
      <w:pPr>
        <w:pStyle w:val="ListParagraph"/>
        <w:rPr>
          <w:rFonts w:ascii="Roboto" w:hAnsi="Roboto"/>
          <w:sz w:val="20"/>
          <w:szCs w:val="20"/>
        </w:rPr>
      </w:pPr>
    </w:p>
    <w:p w14:paraId="0BA4DCAC" w14:textId="77777777" w:rsidR="008610A1" w:rsidRDefault="008610A1" w:rsidP="00EB2A7C">
      <w:pPr>
        <w:pStyle w:val="ListParagraph"/>
        <w:rPr>
          <w:rFonts w:ascii="Roboto" w:hAnsi="Roboto"/>
          <w:sz w:val="20"/>
          <w:szCs w:val="20"/>
        </w:rPr>
      </w:pPr>
    </w:p>
    <w:p w14:paraId="2FD87F31" w14:textId="77777777" w:rsidR="008610A1" w:rsidRDefault="008610A1" w:rsidP="00EB2A7C">
      <w:pPr>
        <w:pStyle w:val="ListParagraph"/>
        <w:rPr>
          <w:rFonts w:ascii="Roboto" w:hAnsi="Roboto"/>
          <w:sz w:val="20"/>
          <w:szCs w:val="20"/>
        </w:rPr>
      </w:pPr>
    </w:p>
    <w:p w14:paraId="16CAFCE9" w14:textId="26A1498B" w:rsidR="008610A1" w:rsidRDefault="008610A1" w:rsidP="00EB2A7C">
      <w:pPr>
        <w:pStyle w:val="ListParagraph"/>
        <w:rPr>
          <w:rFonts w:ascii="Roboto" w:hAnsi="Roboto"/>
          <w:sz w:val="20"/>
          <w:szCs w:val="20"/>
        </w:rPr>
      </w:pPr>
    </w:p>
    <w:p w14:paraId="148F0F5F" w14:textId="0D035E6B" w:rsidR="003737F3" w:rsidRDefault="003737F3" w:rsidP="00EB2A7C">
      <w:pPr>
        <w:pStyle w:val="ListParagraph"/>
        <w:rPr>
          <w:rFonts w:ascii="Roboto" w:hAnsi="Roboto"/>
          <w:sz w:val="20"/>
          <w:szCs w:val="20"/>
        </w:rPr>
      </w:pPr>
    </w:p>
    <w:p w14:paraId="5549D755" w14:textId="0CD6B505" w:rsidR="003737F3" w:rsidRDefault="003737F3" w:rsidP="00EB2A7C">
      <w:pPr>
        <w:pStyle w:val="ListParagraph"/>
        <w:rPr>
          <w:rFonts w:ascii="Roboto" w:hAnsi="Roboto"/>
          <w:sz w:val="20"/>
          <w:szCs w:val="20"/>
        </w:rPr>
      </w:pPr>
    </w:p>
    <w:p w14:paraId="23EB2BD4" w14:textId="77777777" w:rsidR="003737F3" w:rsidRDefault="003737F3" w:rsidP="00EB2A7C">
      <w:pPr>
        <w:pStyle w:val="ListParagraph"/>
        <w:rPr>
          <w:rFonts w:ascii="Roboto" w:hAnsi="Roboto"/>
          <w:sz w:val="20"/>
          <w:szCs w:val="20"/>
        </w:rPr>
      </w:pPr>
    </w:p>
    <w:p w14:paraId="540F63FB" w14:textId="77777777" w:rsidR="008610A1" w:rsidRDefault="008610A1" w:rsidP="00EB2A7C">
      <w:pPr>
        <w:pStyle w:val="ListParagraph"/>
        <w:rPr>
          <w:rFonts w:ascii="Roboto" w:hAnsi="Roboto"/>
          <w:sz w:val="20"/>
          <w:szCs w:val="20"/>
        </w:rPr>
      </w:pPr>
    </w:p>
    <w:p w14:paraId="5FA8B827" w14:textId="547FE307" w:rsidR="0028207E" w:rsidRPr="003625BA" w:rsidRDefault="0028207E" w:rsidP="00EB2A7C">
      <w:pPr>
        <w:pStyle w:val="ListParagraph"/>
        <w:rPr>
          <w:rFonts w:ascii="Roboto" w:hAnsi="Roboto"/>
          <w:sz w:val="20"/>
          <w:szCs w:val="20"/>
        </w:rPr>
      </w:pPr>
    </w:p>
    <w:p w14:paraId="7130F24C" w14:textId="2F6133B0" w:rsidR="00634417" w:rsidRPr="003625BA" w:rsidRDefault="00634417" w:rsidP="00634417">
      <w:pPr>
        <w:spacing w:line="276" w:lineRule="auto"/>
        <w:rPr>
          <w:rFonts w:ascii="Roboto" w:hAnsi="Roboto"/>
          <w:sz w:val="20"/>
          <w:szCs w:val="20"/>
        </w:rPr>
      </w:pPr>
    </w:p>
    <w:p w14:paraId="7DCC4005" w14:textId="10705665" w:rsidR="00634417" w:rsidRPr="003625BA" w:rsidRDefault="00634417" w:rsidP="00634417">
      <w:pPr>
        <w:spacing w:line="276" w:lineRule="auto"/>
        <w:rPr>
          <w:rFonts w:ascii="Roboto" w:hAnsi="Roboto"/>
          <w:sz w:val="20"/>
          <w:szCs w:val="20"/>
        </w:rPr>
      </w:pPr>
    </w:p>
    <w:p w14:paraId="1FC10E1C" w14:textId="5EE99A14" w:rsidR="00634417" w:rsidRPr="003625BA" w:rsidRDefault="00634417" w:rsidP="00634417">
      <w:pPr>
        <w:rPr>
          <w:rFonts w:ascii="Roboto" w:hAnsi="Roboto"/>
          <w:sz w:val="20"/>
          <w:szCs w:val="20"/>
        </w:rPr>
      </w:pPr>
    </w:p>
    <w:p w14:paraId="4C46F940" w14:textId="5DF2B163" w:rsidR="00634417" w:rsidRPr="003625BA" w:rsidRDefault="005D15AA" w:rsidP="00634417">
      <w:pPr>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393342" behindDoc="0" locked="0" layoutInCell="1" allowOverlap="1" wp14:anchorId="4DF01A22" wp14:editId="05B75F55">
                <wp:simplePos x="0" y="0"/>
                <wp:positionH relativeFrom="column">
                  <wp:posOffset>339505</wp:posOffset>
                </wp:positionH>
                <wp:positionV relativeFrom="paragraph">
                  <wp:posOffset>139587</wp:posOffset>
                </wp:positionV>
                <wp:extent cx="6353646" cy="1841500"/>
                <wp:effectExtent l="0" t="0" r="28575" b="25400"/>
                <wp:wrapNone/>
                <wp:docPr id="2397" name="Text Box 2397"/>
                <wp:cNvGraphicFramePr/>
                <a:graphic xmlns:a="http://schemas.openxmlformats.org/drawingml/2006/main">
                  <a:graphicData uri="http://schemas.microsoft.com/office/word/2010/wordprocessingShape">
                    <wps:wsp>
                      <wps:cNvSpPr txBox="1"/>
                      <wps:spPr>
                        <a:xfrm>
                          <a:off x="0" y="0"/>
                          <a:ext cx="6353646" cy="1841500"/>
                        </a:xfrm>
                        <a:prstGeom prst="rect">
                          <a:avLst/>
                        </a:prstGeom>
                        <a:noFill/>
                        <a:ln w="19050">
                          <a:solidFill>
                            <a:srgbClr val="82CAA0"/>
                          </a:solidFill>
                        </a:ln>
                      </wps:spPr>
                      <wps:txbx>
                        <w:txbxContent>
                          <w:p w14:paraId="646F0352" w14:textId="3E0A4403" w:rsidR="00D15FD8" w:rsidRDefault="00D15FD8" w:rsidP="003625BA">
                            <w:pPr>
                              <w:spacing w:line="276" w:lineRule="auto"/>
                              <w:jc w:val="both"/>
                              <w:rPr>
                                <w:rFonts w:ascii="Roboto" w:hAnsi="Roboto"/>
                                <w:sz w:val="20"/>
                                <w:szCs w:val="20"/>
                              </w:rPr>
                            </w:pPr>
                            <w:r w:rsidRPr="0066520C">
                              <w:rPr>
                                <w:rFonts w:ascii="Roboto" w:hAnsi="Roboto"/>
                                <w:sz w:val="20"/>
                                <w:szCs w:val="20"/>
                              </w:rPr>
                              <w:t>How to build communities of data users and promote open data literacy in local, national and regional stakeholders; how to advance open data concepts through partnerships, media and others; of particular interest to government agencies, civil society organizations, technologists and journalists.</w:t>
                            </w:r>
                          </w:p>
                          <w:p w14:paraId="2AE00DD1" w14:textId="77777777" w:rsidR="00D15FD8" w:rsidRDefault="00D15FD8" w:rsidP="003625BA">
                            <w:pPr>
                              <w:spacing w:line="276" w:lineRule="auto"/>
                              <w:jc w:val="both"/>
                              <w:rPr>
                                <w:rFonts w:ascii="Roboto" w:hAnsi="Roboto"/>
                                <w:sz w:val="20"/>
                                <w:szCs w:val="20"/>
                              </w:rPr>
                            </w:pPr>
                          </w:p>
                          <w:p w14:paraId="30AB6FDF" w14:textId="77777777" w:rsidR="00D15FD8" w:rsidRPr="0066520C" w:rsidRDefault="00D15FD8" w:rsidP="003737F3">
                            <w:pPr>
                              <w:spacing w:line="276" w:lineRule="auto"/>
                              <w:jc w:val="both"/>
                              <w:rPr>
                                <w:rFonts w:ascii="Roboto" w:hAnsi="Roboto"/>
                                <w:sz w:val="20"/>
                                <w:szCs w:val="20"/>
                              </w:rPr>
                            </w:pPr>
                            <w:r w:rsidRPr="0066520C">
                              <w:rPr>
                                <w:rFonts w:ascii="Roboto" w:hAnsi="Roboto"/>
                                <w:sz w:val="20"/>
                                <w:szCs w:val="20"/>
                              </w:rPr>
                              <w:t>As data are opened, capturing the attention and imagination of the full spectrum of data users and consumers remains a challenge. How do we engage the other side—the demand side—of the open data phenomenon? How can we grow communities of data users and encourage data “ownership” by the media, community groups, non-governmental organizations, labour unions, professional associations, universities and others?</w:t>
                            </w:r>
                          </w:p>
                          <w:p w14:paraId="3BEF8592" w14:textId="77777777" w:rsidR="00D15FD8" w:rsidRPr="0066520C" w:rsidRDefault="00D15FD8" w:rsidP="003737F3">
                            <w:pPr>
                              <w:spacing w:line="276" w:lineRule="auto"/>
                              <w:jc w:val="both"/>
                              <w:rPr>
                                <w:sz w:val="20"/>
                                <w:szCs w:val="20"/>
                              </w:rPr>
                            </w:pPr>
                          </w:p>
                          <w:p w14:paraId="6EE40E6C" w14:textId="77777777" w:rsidR="00D15FD8" w:rsidRPr="0066520C" w:rsidRDefault="00D15FD8" w:rsidP="003737F3">
                            <w:pPr>
                              <w:spacing w:line="276" w:lineRule="auto"/>
                              <w:jc w:val="both"/>
                              <w:rPr>
                                <w:rFonts w:ascii="Roboto" w:hAnsi="Roboto"/>
                                <w:sz w:val="20"/>
                                <w:szCs w:val="20"/>
                              </w:rPr>
                            </w:pPr>
                            <w:r w:rsidRPr="0066520C">
                              <w:rPr>
                                <w:rFonts w:ascii="Roboto" w:hAnsi="Roboto"/>
                                <w:sz w:val="20"/>
                                <w:szCs w:val="20"/>
                              </w:rPr>
                              <w:t>The importance of a user centred approach to open data is discussed separately in this module.</w:t>
                            </w:r>
                          </w:p>
                          <w:p w14:paraId="40126391" w14:textId="77777777" w:rsidR="00D15FD8" w:rsidRPr="0066520C" w:rsidRDefault="00D15FD8" w:rsidP="003625BA">
                            <w:pPr>
                              <w:spacing w:line="276" w:lineRule="auto"/>
                              <w:jc w:val="both"/>
                              <w:rPr>
                                <w:rFonts w:ascii="Roboto" w:hAnsi="Robot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01A22" id="Text Box 2397" o:spid="_x0000_s1584" type="#_x0000_t202" style="position:absolute;margin-left:26.75pt;margin-top:11pt;width:500.3pt;height:145pt;z-index:254393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" filled="f" strokecolor="#82caa0" strokeweight="1.5pt">
                <v:textbox>
                  <w:txbxContent>
                    <w:p w14:paraId="646F0352" w14:textId="3E0A4403" w:rsidR="00D15FD8" w:rsidRDefault="00D15FD8" w:rsidP="003625BA">
                      <w:pPr>
                        <w:spacing w:line="276" w:lineRule="auto"/>
                        <w:jc w:val="both"/>
                        <w:rPr>
                          <w:rFonts w:ascii="Roboto" w:hAnsi="Roboto"/>
                          <w:sz w:val="20"/>
                          <w:szCs w:val="20"/>
                        </w:rPr>
                      </w:pPr>
                      <w:r w:rsidRPr="0066520C">
                        <w:rPr>
                          <w:rFonts w:ascii="Roboto" w:hAnsi="Roboto"/>
                          <w:sz w:val="20"/>
                          <w:szCs w:val="20"/>
                        </w:rPr>
                        <w:t>How to build communities of data users and promote open data literacy in local, national and regional stakeholders; how to advance open data concepts through partnerships, media and others; of particular interest to government agencies, civil society organizations, technologists and journalists.</w:t>
                      </w:r>
                    </w:p>
                    <w:p w14:paraId="2AE00DD1" w14:textId="77777777" w:rsidR="00D15FD8" w:rsidRDefault="00D15FD8" w:rsidP="003625BA">
                      <w:pPr>
                        <w:spacing w:line="276" w:lineRule="auto"/>
                        <w:jc w:val="both"/>
                        <w:rPr>
                          <w:rFonts w:ascii="Roboto" w:hAnsi="Roboto"/>
                          <w:sz w:val="20"/>
                          <w:szCs w:val="20"/>
                        </w:rPr>
                      </w:pPr>
                    </w:p>
                    <w:p w14:paraId="30AB6FDF" w14:textId="77777777" w:rsidR="00D15FD8" w:rsidRPr="0066520C" w:rsidRDefault="00D15FD8" w:rsidP="003737F3">
                      <w:pPr>
                        <w:spacing w:line="276" w:lineRule="auto"/>
                        <w:jc w:val="both"/>
                        <w:rPr>
                          <w:rFonts w:ascii="Roboto" w:hAnsi="Roboto"/>
                          <w:sz w:val="20"/>
                          <w:szCs w:val="20"/>
                        </w:rPr>
                      </w:pPr>
                      <w:r w:rsidRPr="0066520C">
                        <w:rPr>
                          <w:rFonts w:ascii="Roboto" w:hAnsi="Roboto"/>
                          <w:sz w:val="20"/>
                          <w:szCs w:val="20"/>
                        </w:rPr>
                        <w:t>As data are opened, capturing the attention and imagination of the full spectrum of data users and consumers remains a challenge. How do we engage the other side—the demand side—of the open data phenomenon? How can we grow communities of data users and encourage data “ownership” by the media, community groups, non-governmental organizations, labour unions, professional associations, universities and others?</w:t>
                      </w:r>
                    </w:p>
                    <w:p w14:paraId="3BEF8592" w14:textId="77777777" w:rsidR="00D15FD8" w:rsidRPr="0066520C" w:rsidRDefault="00D15FD8" w:rsidP="003737F3">
                      <w:pPr>
                        <w:spacing w:line="276" w:lineRule="auto"/>
                        <w:jc w:val="both"/>
                        <w:rPr>
                          <w:sz w:val="20"/>
                          <w:szCs w:val="20"/>
                        </w:rPr>
                      </w:pPr>
                    </w:p>
                    <w:p w14:paraId="6EE40E6C" w14:textId="77777777" w:rsidR="00D15FD8" w:rsidRPr="0066520C" w:rsidRDefault="00D15FD8" w:rsidP="003737F3">
                      <w:pPr>
                        <w:spacing w:line="276" w:lineRule="auto"/>
                        <w:jc w:val="both"/>
                        <w:rPr>
                          <w:rFonts w:ascii="Roboto" w:hAnsi="Roboto"/>
                          <w:sz w:val="20"/>
                          <w:szCs w:val="20"/>
                        </w:rPr>
                      </w:pPr>
                      <w:r w:rsidRPr="0066520C">
                        <w:rPr>
                          <w:rFonts w:ascii="Roboto" w:hAnsi="Roboto"/>
                          <w:sz w:val="20"/>
                          <w:szCs w:val="20"/>
                        </w:rPr>
                        <w:t>The importance of a user centred approach to open data is discussed separately in this module.</w:t>
                      </w:r>
                    </w:p>
                    <w:p w14:paraId="40126391" w14:textId="77777777" w:rsidR="00D15FD8" w:rsidRPr="0066520C" w:rsidRDefault="00D15FD8" w:rsidP="003625BA">
                      <w:pPr>
                        <w:spacing w:line="276" w:lineRule="auto"/>
                        <w:jc w:val="both"/>
                        <w:rPr>
                          <w:rFonts w:ascii="Roboto" w:hAnsi="Roboto"/>
                          <w:sz w:val="20"/>
                          <w:szCs w:val="20"/>
                        </w:rPr>
                      </w:pPr>
                    </w:p>
                  </w:txbxContent>
                </v:textbox>
              </v:shape>
            </w:pict>
          </mc:Fallback>
        </mc:AlternateContent>
      </w:r>
    </w:p>
    <w:p w14:paraId="59D4E51D" w14:textId="061C9E31" w:rsidR="00634417" w:rsidRPr="003625BA" w:rsidRDefault="00634417" w:rsidP="00634417">
      <w:pPr>
        <w:rPr>
          <w:rFonts w:ascii="Roboto" w:hAnsi="Roboto"/>
          <w:sz w:val="20"/>
          <w:szCs w:val="20"/>
        </w:rPr>
      </w:pPr>
    </w:p>
    <w:p w14:paraId="576673B5" w14:textId="1A26CFA1" w:rsidR="00634417" w:rsidRPr="003625BA" w:rsidRDefault="00634417" w:rsidP="00634417">
      <w:pPr>
        <w:rPr>
          <w:rFonts w:ascii="Roboto" w:hAnsi="Roboto"/>
          <w:sz w:val="20"/>
          <w:szCs w:val="20"/>
        </w:rPr>
      </w:pPr>
    </w:p>
    <w:p w14:paraId="1071CF5B" w14:textId="51BB4FB7" w:rsidR="00634417" w:rsidRPr="003625BA" w:rsidRDefault="00634417" w:rsidP="00634417">
      <w:pPr>
        <w:rPr>
          <w:rFonts w:ascii="Roboto" w:hAnsi="Roboto"/>
          <w:sz w:val="20"/>
          <w:szCs w:val="20"/>
        </w:rPr>
      </w:pPr>
    </w:p>
    <w:p w14:paraId="792C9F69" w14:textId="19C6FE3B" w:rsidR="00634417" w:rsidRPr="003625BA" w:rsidRDefault="00634417" w:rsidP="00634417">
      <w:pPr>
        <w:rPr>
          <w:rFonts w:ascii="Roboto" w:hAnsi="Roboto"/>
          <w:sz w:val="20"/>
          <w:szCs w:val="20"/>
        </w:rPr>
      </w:pPr>
    </w:p>
    <w:p w14:paraId="6DDE76A9" w14:textId="27A21941" w:rsidR="00634417" w:rsidRPr="003625BA" w:rsidRDefault="00634417" w:rsidP="00634417">
      <w:pPr>
        <w:tabs>
          <w:tab w:val="left" w:pos="1105"/>
        </w:tabs>
        <w:rPr>
          <w:rFonts w:ascii="Roboto" w:hAnsi="Roboto"/>
          <w:sz w:val="20"/>
          <w:szCs w:val="20"/>
        </w:rPr>
      </w:pPr>
    </w:p>
    <w:p w14:paraId="3E680E95" w14:textId="6A37DB97" w:rsidR="00275D36" w:rsidRPr="003625BA" w:rsidRDefault="00275D36" w:rsidP="00634417">
      <w:pPr>
        <w:tabs>
          <w:tab w:val="left" w:pos="1105"/>
        </w:tabs>
        <w:rPr>
          <w:rFonts w:ascii="Roboto" w:hAnsi="Roboto"/>
          <w:sz w:val="20"/>
          <w:szCs w:val="20"/>
        </w:rPr>
      </w:pPr>
    </w:p>
    <w:p w14:paraId="710151AC" w14:textId="02D2D720" w:rsidR="00275D36" w:rsidRPr="003625BA" w:rsidRDefault="00275D36" w:rsidP="00634417">
      <w:pPr>
        <w:tabs>
          <w:tab w:val="left" w:pos="1105"/>
        </w:tabs>
        <w:rPr>
          <w:rFonts w:ascii="Roboto" w:hAnsi="Roboto"/>
          <w:sz w:val="20"/>
          <w:szCs w:val="20"/>
        </w:rPr>
      </w:pPr>
    </w:p>
    <w:p w14:paraId="37DD5EBE" w14:textId="0837937C" w:rsidR="00275D36" w:rsidRPr="003625BA" w:rsidRDefault="00275D36" w:rsidP="003625BA">
      <w:pPr>
        <w:tabs>
          <w:tab w:val="left" w:pos="3620"/>
        </w:tabs>
        <w:rPr>
          <w:rFonts w:ascii="Roboto" w:hAnsi="Roboto"/>
          <w:sz w:val="20"/>
          <w:szCs w:val="20"/>
        </w:rPr>
      </w:pPr>
    </w:p>
    <w:p w14:paraId="0A7B2E3B" w14:textId="6FA1294C" w:rsidR="00634417" w:rsidRPr="003625BA" w:rsidRDefault="00634417" w:rsidP="00634417">
      <w:pPr>
        <w:tabs>
          <w:tab w:val="left" w:pos="1105"/>
        </w:tabs>
        <w:rPr>
          <w:rFonts w:ascii="Roboto" w:hAnsi="Roboto"/>
          <w:sz w:val="20"/>
          <w:szCs w:val="20"/>
        </w:rPr>
      </w:pPr>
    </w:p>
    <w:p w14:paraId="1E92763F" w14:textId="7AFC1435" w:rsidR="00634417" w:rsidRDefault="00634417" w:rsidP="003737F3">
      <w:pPr>
        <w:tabs>
          <w:tab w:val="left" w:pos="924"/>
        </w:tabs>
        <w:rPr>
          <w:rFonts w:ascii="Roboto" w:hAnsi="Roboto"/>
          <w:sz w:val="20"/>
          <w:szCs w:val="20"/>
        </w:rPr>
      </w:pPr>
    </w:p>
    <w:p w14:paraId="1312DA24" w14:textId="28454755" w:rsidR="00256941" w:rsidRPr="003625BA" w:rsidRDefault="00256941" w:rsidP="00256941">
      <w:pPr>
        <w:tabs>
          <w:tab w:val="left" w:pos="997"/>
        </w:tabs>
        <w:rPr>
          <w:rFonts w:ascii="Roboto" w:hAnsi="Roboto"/>
          <w:sz w:val="20"/>
          <w:szCs w:val="20"/>
        </w:rPr>
      </w:pPr>
    </w:p>
    <w:p w14:paraId="7666A56F" w14:textId="632FCEB5" w:rsidR="004750D1" w:rsidRDefault="004750D1" w:rsidP="00634417">
      <w:pPr>
        <w:rPr>
          <w:rFonts w:ascii="Roboto" w:hAnsi="Roboto"/>
          <w:sz w:val="20"/>
          <w:szCs w:val="20"/>
        </w:rPr>
      </w:pPr>
    </w:p>
    <w:p w14:paraId="1C300775" w14:textId="03C523C0" w:rsidR="004750D1" w:rsidRDefault="004750D1" w:rsidP="00634417">
      <w:pPr>
        <w:rPr>
          <w:rFonts w:ascii="Roboto" w:hAnsi="Roboto"/>
          <w:sz w:val="20"/>
          <w:szCs w:val="20"/>
        </w:rPr>
      </w:pPr>
    </w:p>
    <w:p w14:paraId="2BB4F8AE" w14:textId="42891AE9" w:rsidR="00634417" w:rsidRPr="003625BA" w:rsidRDefault="00634417" w:rsidP="00634417">
      <w:pPr>
        <w:rPr>
          <w:rFonts w:ascii="Roboto" w:hAnsi="Roboto"/>
          <w:sz w:val="20"/>
          <w:szCs w:val="20"/>
        </w:rPr>
      </w:pPr>
    </w:p>
    <w:p w14:paraId="58B4F8E9" w14:textId="5BAFECD2" w:rsidR="00634417" w:rsidRPr="003625BA" w:rsidRDefault="00634417" w:rsidP="00634417">
      <w:pPr>
        <w:rPr>
          <w:rFonts w:ascii="Roboto" w:hAnsi="Roboto"/>
          <w:sz w:val="20"/>
          <w:szCs w:val="20"/>
        </w:rPr>
      </w:pPr>
    </w:p>
    <w:p w14:paraId="31BDEA59" w14:textId="6839DB2F" w:rsidR="00634417" w:rsidRPr="003625BA" w:rsidRDefault="00634417" w:rsidP="00634417">
      <w:pPr>
        <w:rPr>
          <w:rFonts w:ascii="Roboto" w:hAnsi="Roboto"/>
          <w:sz w:val="20"/>
          <w:szCs w:val="20"/>
        </w:rPr>
      </w:pPr>
    </w:p>
    <w:p w14:paraId="5DD41ACB" w14:textId="729BD03D" w:rsidR="00634417" w:rsidRPr="003625BA" w:rsidRDefault="005D15AA" w:rsidP="00634417">
      <w:pPr>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400510" behindDoc="0" locked="0" layoutInCell="1" allowOverlap="1" wp14:anchorId="315BF4A6" wp14:editId="1B350F9E">
                <wp:simplePos x="0" y="0"/>
                <wp:positionH relativeFrom="column">
                  <wp:posOffset>343151</wp:posOffset>
                </wp:positionH>
                <wp:positionV relativeFrom="paragraph">
                  <wp:posOffset>68662</wp:posOffset>
                </wp:positionV>
                <wp:extent cx="6346354" cy="461010"/>
                <wp:effectExtent l="0" t="0" r="16510" b="15240"/>
                <wp:wrapNone/>
                <wp:docPr id="2414" name="Text Box 2414"/>
                <wp:cNvGraphicFramePr/>
                <a:graphic xmlns:a="http://schemas.openxmlformats.org/drawingml/2006/main">
                  <a:graphicData uri="http://schemas.microsoft.com/office/word/2010/wordprocessingShape">
                    <wps:wsp>
                      <wps:cNvSpPr txBox="1"/>
                      <wps:spPr>
                        <a:xfrm>
                          <a:off x="0" y="0"/>
                          <a:ext cx="6346354" cy="461010"/>
                        </a:xfrm>
                        <a:prstGeom prst="rect">
                          <a:avLst/>
                        </a:prstGeom>
                        <a:noFill/>
                        <a:ln w="19050">
                          <a:solidFill>
                            <a:srgbClr val="82CAA0"/>
                          </a:solidFill>
                        </a:ln>
                      </wps:spPr>
                      <wps:txbx>
                        <w:txbxContent>
                          <w:p w14:paraId="6125FEFD" w14:textId="49330F1B" w:rsidR="00D15FD8" w:rsidRPr="00462428" w:rsidRDefault="00D15FD8" w:rsidP="003625BA">
                            <w:pPr>
                              <w:spacing w:line="276" w:lineRule="auto"/>
                              <w:jc w:val="both"/>
                              <w:rPr>
                                <w:rFonts w:ascii="Roboto" w:hAnsi="Roboto"/>
                                <w:sz w:val="20"/>
                                <w:szCs w:val="20"/>
                              </w:rPr>
                            </w:pPr>
                            <w:r w:rsidRPr="00462428">
                              <w:rPr>
                                <w:rFonts w:ascii="Roboto" w:hAnsi="Roboto"/>
                                <w:sz w:val="20"/>
                                <w:szCs w:val="20"/>
                              </w:rPr>
                              <w:t>How to manage datasets, locate data and ensure data quality, timeliness and accuracy; especially helpful for data producers. Data standards are discussed in this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BF4A6" id="Text Box 2414" o:spid="_x0000_s1585" type="#_x0000_t202" style="position:absolute;margin-left:27pt;margin-top:5.4pt;width:499.7pt;height:36.3pt;z-index:254400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" filled="f" strokecolor="#82caa0" strokeweight="1.5pt">
                <v:textbox>
                  <w:txbxContent>
                    <w:p w14:paraId="6125FEFD" w14:textId="49330F1B" w:rsidR="00D15FD8" w:rsidRPr="00462428" w:rsidRDefault="00D15FD8" w:rsidP="003625BA">
                      <w:pPr>
                        <w:spacing w:line="276" w:lineRule="auto"/>
                        <w:jc w:val="both"/>
                        <w:rPr>
                          <w:rFonts w:ascii="Roboto" w:hAnsi="Roboto"/>
                          <w:sz w:val="20"/>
                          <w:szCs w:val="20"/>
                        </w:rPr>
                      </w:pPr>
                      <w:r w:rsidRPr="00462428">
                        <w:rPr>
                          <w:rFonts w:ascii="Roboto" w:hAnsi="Roboto"/>
                          <w:sz w:val="20"/>
                          <w:szCs w:val="20"/>
                        </w:rPr>
                        <w:t>How to manage datasets, locate data and ensure data quality, timeliness and accuracy; especially helpful for data producers. Data standards are discussed in this section.</w:t>
                      </w:r>
                    </w:p>
                  </w:txbxContent>
                </v:textbox>
              </v:shape>
            </w:pict>
          </mc:Fallback>
        </mc:AlternateContent>
      </w:r>
    </w:p>
    <w:p w14:paraId="2D14BC02" w14:textId="53770A65" w:rsidR="00634417" w:rsidRPr="003625BA" w:rsidRDefault="00634417" w:rsidP="00634417">
      <w:pPr>
        <w:rPr>
          <w:rFonts w:ascii="Roboto" w:hAnsi="Roboto"/>
          <w:sz w:val="20"/>
          <w:szCs w:val="20"/>
        </w:rPr>
      </w:pPr>
    </w:p>
    <w:p w14:paraId="0F7D5F89" w14:textId="543E0B78" w:rsidR="00634417" w:rsidRPr="003625BA" w:rsidRDefault="00634417" w:rsidP="00634417">
      <w:pPr>
        <w:rPr>
          <w:rFonts w:ascii="Roboto" w:hAnsi="Roboto"/>
          <w:sz w:val="20"/>
          <w:szCs w:val="20"/>
        </w:rPr>
      </w:pPr>
    </w:p>
    <w:p w14:paraId="57C6D732" w14:textId="0549BFA4" w:rsidR="00634417" w:rsidRDefault="00634417" w:rsidP="00634417">
      <w:pPr>
        <w:rPr>
          <w:rFonts w:ascii="Roboto" w:hAnsi="Roboto"/>
          <w:sz w:val="20"/>
          <w:szCs w:val="20"/>
        </w:rPr>
      </w:pPr>
    </w:p>
    <w:p w14:paraId="5F147E6B" w14:textId="112F9654" w:rsidR="00755699" w:rsidRPr="003625BA" w:rsidRDefault="00755699" w:rsidP="00634417">
      <w:pPr>
        <w:rPr>
          <w:rFonts w:ascii="Roboto" w:hAnsi="Roboto"/>
          <w:sz w:val="20"/>
          <w:szCs w:val="20"/>
        </w:rPr>
      </w:pPr>
    </w:p>
    <w:p w14:paraId="023A7D7F" w14:textId="4B909B1A" w:rsidR="00634417" w:rsidRPr="003625BA" w:rsidRDefault="00634417" w:rsidP="00634417">
      <w:pPr>
        <w:rPr>
          <w:rFonts w:ascii="Roboto" w:hAnsi="Roboto"/>
          <w:sz w:val="20"/>
          <w:szCs w:val="20"/>
        </w:rPr>
      </w:pPr>
    </w:p>
    <w:p w14:paraId="18ED2CEF" w14:textId="20168D1F" w:rsidR="00634417" w:rsidRPr="003625BA" w:rsidRDefault="00634417" w:rsidP="00634417">
      <w:pPr>
        <w:rPr>
          <w:rFonts w:ascii="Roboto" w:hAnsi="Roboto"/>
          <w:sz w:val="20"/>
          <w:szCs w:val="20"/>
        </w:rPr>
      </w:pPr>
    </w:p>
    <w:p w14:paraId="5DE17E5A" w14:textId="44F870F8" w:rsidR="00634417" w:rsidRPr="003625BA" w:rsidRDefault="00634417" w:rsidP="00634417">
      <w:pPr>
        <w:rPr>
          <w:rFonts w:ascii="Roboto" w:hAnsi="Roboto"/>
          <w:sz w:val="20"/>
          <w:szCs w:val="20"/>
        </w:rPr>
      </w:pPr>
    </w:p>
    <w:p w14:paraId="2EB93603" w14:textId="4215BFAE" w:rsidR="00634417" w:rsidRPr="003625BA" w:rsidRDefault="005D15AA" w:rsidP="00634417">
      <w:pPr>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406654" behindDoc="0" locked="0" layoutInCell="1" allowOverlap="1" wp14:anchorId="4BDEAF03" wp14:editId="5CA7A355">
                <wp:simplePos x="0" y="0"/>
                <wp:positionH relativeFrom="column">
                  <wp:posOffset>343151</wp:posOffset>
                </wp:positionH>
                <wp:positionV relativeFrom="paragraph">
                  <wp:posOffset>35466</wp:posOffset>
                </wp:positionV>
                <wp:extent cx="6350000" cy="850900"/>
                <wp:effectExtent l="0" t="0" r="12700" b="25400"/>
                <wp:wrapNone/>
                <wp:docPr id="2404" name="Text Box 2404"/>
                <wp:cNvGraphicFramePr/>
                <a:graphic xmlns:a="http://schemas.openxmlformats.org/drawingml/2006/main">
                  <a:graphicData uri="http://schemas.microsoft.com/office/word/2010/wordprocessingShape">
                    <wps:wsp>
                      <wps:cNvSpPr txBox="1"/>
                      <wps:spPr>
                        <a:xfrm>
                          <a:off x="0" y="0"/>
                          <a:ext cx="6350000" cy="850900"/>
                        </a:xfrm>
                        <a:prstGeom prst="rect">
                          <a:avLst/>
                        </a:prstGeom>
                        <a:noFill/>
                        <a:ln w="19050">
                          <a:solidFill>
                            <a:srgbClr val="82CAA0"/>
                          </a:solidFill>
                        </a:ln>
                      </wps:spPr>
                      <wps:txbx>
                        <w:txbxContent>
                          <w:p w14:paraId="379E0835" w14:textId="39C171BD" w:rsidR="00D15FD8" w:rsidRPr="00462428" w:rsidRDefault="00D15FD8" w:rsidP="003625BA">
                            <w:pPr>
                              <w:spacing w:line="276" w:lineRule="auto"/>
                              <w:jc w:val="both"/>
                              <w:rPr>
                                <w:rFonts w:ascii="Roboto" w:hAnsi="Roboto"/>
                                <w:sz w:val="20"/>
                                <w:szCs w:val="20"/>
                              </w:rPr>
                            </w:pPr>
                            <w:r w:rsidRPr="00462428">
                              <w:rPr>
                                <w:rFonts w:ascii="Roboto" w:hAnsi="Roboto"/>
                                <w:sz w:val="20"/>
                                <w:szCs w:val="20"/>
                              </w:rPr>
                              <w:t>How to use the World Bank’s methodological tool to diagnose the actions that a government needs to take to launch an open data initiative; of particular interest to governments that are committed to open data but don’t know where to start. There is also a facility to request the World Bank to conduct a readiness assessment and to download the assessments conducted in numerous countries.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EAF03" id="Text Box 2404" o:spid="_x0000_s1586" type="#_x0000_t202" style="position:absolute;margin-left:27pt;margin-top:2.8pt;width:500pt;height:67pt;z-index:254406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" filled="f" strokecolor="#82caa0" strokeweight="1.5pt">
                <v:textbox>
                  <w:txbxContent>
                    <w:p w14:paraId="379E0835" w14:textId="39C171BD" w:rsidR="00D15FD8" w:rsidRPr="00462428" w:rsidRDefault="00D15FD8" w:rsidP="003625BA">
                      <w:pPr>
                        <w:spacing w:line="276" w:lineRule="auto"/>
                        <w:jc w:val="both"/>
                        <w:rPr>
                          <w:rFonts w:ascii="Roboto" w:hAnsi="Roboto"/>
                          <w:sz w:val="20"/>
                          <w:szCs w:val="20"/>
                        </w:rPr>
                      </w:pPr>
                      <w:r w:rsidRPr="00462428">
                        <w:rPr>
                          <w:rFonts w:ascii="Roboto" w:hAnsi="Roboto"/>
                          <w:sz w:val="20"/>
                          <w:szCs w:val="20"/>
                        </w:rPr>
                        <w:t>How to use the World Bank’s methodological tool to diagnose the actions that a government needs to take to launch an open data initiative; of particular interest to governments that are committed to open data but don’t know where to start. There is also a facility to request the World Bank to conduct a readiness assessment and to download the assessments conducted in numerous countries.</w:t>
                      </w:r>
                    </w:p>
                  </w:txbxContent>
                </v:textbox>
              </v:shape>
            </w:pict>
          </mc:Fallback>
        </mc:AlternateContent>
      </w:r>
    </w:p>
    <w:p w14:paraId="1259D979" w14:textId="054A7E9D" w:rsidR="00634417" w:rsidRPr="003625BA" w:rsidRDefault="00634417" w:rsidP="00634417">
      <w:pPr>
        <w:rPr>
          <w:rFonts w:ascii="Roboto" w:hAnsi="Roboto"/>
          <w:sz w:val="20"/>
          <w:szCs w:val="20"/>
        </w:rPr>
      </w:pPr>
    </w:p>
    <w:p w14:paraId="1BF8BC45" w14:textId="489B3B3B" w:rsidR="00634417" w:rsidRDefault="00634417" w:rsidP="00634417">
      <w:pPr>
        <w:rPr>
          <w:rFonts w:ascii="Roboto" w:hAnsi="Roboto"/>
          <w:sz w:val="20"/>
          <w:szCs w:val="20"/>
        </w:rPr>
      </w:pPr>
    </w:p>
    <w:p w14:paraId="063C3029" w14:textId="161D8D24" w:rsidR="00991FD1" w:rsidRDefault="00991FD1" w:rsidP="00634417">
      <w:pPr>
        <w:rPr>
          <w:rFonts w:ascii="Roboto" w:hAnsi="Roboto"/>
          <w:sz w:val="20"/>
          <w:szCs w:val="20"/>
        </w:rPr>
      </w:pPr>
    </w:p>
    <w:p w14:paraId="636742A7" w14:textId="6CC617E9" w:rsidR="00991FD1" w:rsidRDefault="00991FD1" w:rsidP="00634417">
      <w:pPr>
        <w:rPr>
          <w:rFonts w:ascii="Roboto" w:hAnsi="Roboto"/>
          <w:sz w:val="20"/>
          <w:szCs w:val="20"/>
        </w:rPr>
      </w:pPr>
    </w:p>
    <w:p w14:paraId="21592C13" w14:textId="1188F294" w:rsidR="00991FD1" w:rsidRDefault="00991FD1" w:rsidP="00634417">
      <w:pPr>
        <w:rPr>
          <w:rFonts w:ascii="Roboto" w:hAnsi="Roboto"/>
          <w:sz w:val="20"/>
          <w:szCs w:val="20"/>
        </w:rPr>
      </w:pPr>
    </w:p>
    <w:p w14:paraId="1B782FD4" w14:textId="4D1F2AE8" w:rsidR="00991FD1" w:rsidRPr="003625BA" w:rsidRDefault="00991FD1" w:rsidP="00634417">
      <w:pPr>
        <w:rPr>
          <w:rFonts w:ascii="Roboto" w:hAnsi="Roboto"/>
          <w:sz w:val="20"/>
          <w:szCs w:val="20"/>
        </w:rPr>
      </w:pPr>
    </w:p>
    <w:p w14:paraId="305B5738" w14:textId="2F140CED" w:rsidR="00634417" w:rsidRPr="003625BA" w:rsidRDefault="00125A65" w:rsidP="00634417">
      <w:pPr>
        <w:rPr>
          <w:rFonts w:ascii="Roboto" w:hAnsi="Roboto"/>
          <w:sz w:val="20"/>
          <w:szCs w:val="20"/>
        </w:rPr>
      </w:pPr>
      <w:r w:rsidRPr="003625BA">
        <w:rPr>
          <w:rFonts w:ascii="Roboto" w:hAnsi="Roboto"/>
          <w:noProof/>
          <w:sz w:val="20"/>
          <w:szCs w:val="20"/>
          <w:lang w:val="en-US"/>
        </w:rPr>
        <w:lastRenderedPageBreak/>
        <mc:AlternateContent>
          <mc:Choice Requires="wps">
            <w:drawing>
              <wp:anchor distT="0" distB="0" distL="114300" distR="114300" simplePos="0" relativeHeight="254409726" behindDoc="0" locked="0" layoutInCell="1" allowOverlap="1" wp14:anchorId="3932031F" wp14:editId="6F3B510E">
                <wp:simplePos x="0" y="0"/>
                <wp:positionH relativeFrom="column">
                  <wp:posOffset>0</wp:posOffset>
                </wp:positionH>
                <wp:positionV relativeFrom="paragraph">
                  <wp:posOffset>153670</wp:posOffset>
                </wp:positionV>
                <wp:extent cx="435610" cy="414020"/>
                <wp:effectExtent l="0" t="0" r="2540" b="5080"/>
                <wp:wrapNone/>
                <wp:docPr id="2411" name="Rounded Rectangle 2411"/>
                <wp:cNvGraphicFramePr/>
                <a:graphic xmlns:a="http://schemas.openxmlformats.org/drawingml/2006/main">
                  <a:graphicData uri="http://schemas.microsoft.com/office/word/2010/wordprocessingShape">
                    <wps:wsp>
                      <wps:cNvSpPr/>
                      <wps:spPr>
                        <a:xfrm>
                          <a:off x="0" y="0"/>
                          <a:ext cx="435610" cy="414020"/>
                        </a:xfrm>
                        <a:prstGeom prst="roundRect">
                          <a:avLst/>
                        </a:prstGeom>
                        <a:solidFill>
                          <a:srgbClr val="F36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oundrect w14:anchorId="16A72BF6" id="Rounded Rectangle 2411" o:spid="_x0000_s1026" style="position:absolute;margin-left:0;margin-top:12.1pt;width:34.3pt;height:32.6pt;z-index:2544097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" fillcolor="#f36e27" stroked="f" strokeweight="1pt">
                <v:stroke joinstyle="miter"/>
              </v:roundrect>
            </w:pict>
          </mc:Fallback>
        </mc:AlternateContent>
      </w:r>
      <w:r w:rsidR="00511536" w:rsidRPr="003625BA">
        <w:rPr>
          <w:rFonts w:ascii="Roboto" w:hAnsi="Roboto" w:cs="Arial"/>
          <w:noProof/>
          <w:color w:val="ED5625"/>
          <w:sz w:val="20"/>
          <w:szCs w:val="20"/>
          <w:lang w:val="en-US"/>
        </w:rPr>
        <mc:AlternateContent>
          <mc:Choice Requires="wps">
            <w:drawing>
              <wp:anchor distT="0" distB="0" distL="114300" distR="114300" simplePos="0" relativeHeight="255593470" behindDoc="1" locked="0" layoutInCell="1" allowOverlap="1" wp14:anchorId="69193832" wp14:editId="140C2798">
                <wp:simplePos x="0" y="0"/>
                <wp:positionH relativeFrom="margin">
                  <wp:posOffset>-184068</wp:posOffset>
                </wp:positionH>
                <wp:positionV relativeFrom="margin">
                  <wp:posOffset>-60210</wp:posOffset>
                </wp:positionV>
                <wp:extent cx="7010400" cy="1352930"/>
                <wp:effectExtent l="0" t="0" r="19050" b="19050"/>
                <wp:wrapNone/>
                <wp:docPr id="342" name="Rectangle 342"/>
                <wp:cNvGraphicFramePr/>
                <a:graphic xmlns:a="http://schemas.openxmlformats.org/drawingml/2006/main">
                  <a:graphicData uri="http://schemas.microsoft.com/office/word/2010/wordprocessingShape">
                    <wps:wsp>
                      <wps:cNvSpPr/>
                      <wps:spPr>
                        <a:xfrm>
                          <a:off x="0" y="0"/>
                          <a:ext cx="7010400" cy="1352930"/>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692B28" w14:textId="77777777" w:rsidR="00D15FD8" w:rsidRDefault="00D15FD8" w:rsidP="001C710A">
                            <w:pPr>
                              <w:shd w:val="clear" w:color="auto" w:fill="F2F2F2" w:themeFill="background1" w:themeFillShade="F2"/>
                            </w:pPr>
                          </w:p>
                          <w:p w14:paraId="14A9658A" w14:textId="77777777" w:rsidR="00D15FD8" w:rsidRDefault="00D15FD8" w:rsidP="001C710A">
                            <w:pPr>
                              <w:shd w:val="clear" w:color="auto" w:fill="F2F2F2" w:themeFill="background1" w:themeFillShade="F2"/>
                            </w:pPr>
                          </w:p>
                          <w:p w14:paraId="41A927F7" w14:textId="77777777" w:rsidR="00D15FD8" w:rsidRPr="003625BA" w:rsidRDefault="00D15FD8" w:rsidP="001C710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93832" id="Rectangle 342" o:spid="_x0000_s1587" style="position:absolute;margin-left:-14.5pt;margin-top:-4.75pt;width:552pt;height:106.55pt;z-index:-24772301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" fillcolor="#f2f2f2 [3052]" strokecolor="#16988a" strokeweight="1.5pt">
                <v:textbox>
                  <w:txbxContent>
                    <w:p w14:paraId="23692B28" w14:textId="77777777" w:rsidR="00D15FD8" w:rsidRDefault="00D15FD8" w:rsidP="001C710A">
                      <w:pPr>
                        <w:shd w:val="clear" w:color="auto" w:fill="F2F2F2" w:themeFill="background1" w:themeFillShade="F2"/>
                      </w:pPr>
                    </w:p>
                    <w:p w14:paraId="14A9658A" w14:textId="77777777" w:rsidR="00D15FD8" w:rsidRDefault="00D15FD8" w:rsidP="001C710A">
                      <w:pPr>
                        <w:shd w:val="clear" w:color="auto" w:fill="F2F2F2" w:themeFill="background1" w:themeFillShade="F2"/>
                      </w:pPr>
                    </w:p>
                    <w:p w14:paraId="41A927F7" w14:textId="77777777" w:rsidR="00D15FD8" w:rsidRPr="003625BA" w:rsidRDefault="00D15FD8" w:rsidP="001C710A">
                      <w:pPr>
                        <w:jc w:val="center"/>
                        <w:rPr>
                          <w:lang w:val="en-US"/>
                        </w:rPr>
                      </w:pPr>
                    </w:p>
                  </w:txbxContent>
                </v:textbox>
                <w10:wrap anchorx="margin" anchory="margin"/>
              </v:rect>
            </w:pict>
          </mc:Fallback>
        </mc:AlternateContent>
      </w:r>
      <w:r w:rsidR="00511536" w:rsidRPr="003625BA">
        <w:rPr>
          <w:rFonts w:ascii="Roboto" w:hAnsi="Roboto"/>
          <w:noProof/>
          <w:sz w:val="20"/>
          <w:szCs w:val="20"/>
          <w:lang w:val="en-US"/>
        </w:rPr>
        <mc:AlternateContent>
          <mc:Choice Requires="wps">
            <w:drawing>
              <wp:anchor distT="0" distB="0" distL="114300" distR="114300" simplePos="0" relativeHeight="254411774" behindDoc="0" locked="0" layoutInCell="1" allowOverlap="1" wp14:anchorId="525E8C6C" wp14:editId="0FB30C25">
                <wp:simplePos x="0" y="0"/>
                <wp:positionH relativeFrom="column">
                  <wp:posOffset>-4445</wp:posOffset>
                </wp:positionH>
                <wp:positionV relativeFrom="paragraph">
                  <wp:posOffset>647065</wp:posOffset>
                </wp:positionV>
                <wp:extent cx="276225" cy="276225"/>
                <wp:effectExtent l="0" t="0" r="3175" b="3175"/>
                <wp:wrapNone/>
                <wp:docPr id="2413" name="Chevron 2413"/>
                <wp:cNvGraphicFramePr/>
                <a:graphic xmlns:a="http://schemas.openxmlformats.org/drawingml/2006/main">
                  <a:graphicData uri="http://schemas.microsoft.com/office/word/2010/wordprocessingShape">
                    <wps:wsp>
                      <wps:cNvSpPr/>
                      <wps:spPr>
                        <a:xfrm>
                          <a:off x="0" y="0"/>
                          <a:ext cx="276225" cy="276225"/>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 w14:anchorId="0DF6D8BF" id="Chevron 2413" o:spid="_x0000_s1026" type="#_x0000_t55" style="position:absolute;margin-left:-.35pt;margin-top:50.95pt;width:21.75pt;height:21.75pt;z-index:2544117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" adj="10800" fillcolor="#82caa0" stroked="f" strokeweight="1pt"/>
            </w:pict>
          </mc:Fallback>
        </mc:AlternateContent>
      </w:r>
      <w:r w:rsidR="00511536" w:rsidRPr="003625BA">
        <w:rPr>
          <w:rFonts w:ascii="Roboto" w:hAnsi="Roboto"/>
          <w:noProof/>
          <w:sz w:val="20"/>
          <w:szCs w:val="20"/>
          <w:lang w:val="en-US"/>
        </w:rPr>
        <mc:AlternateContent>
          <mc:Choice Requires="wps">
            <w:drawing>
              <wp:anchor distT="0" distB="0" distL="114300" distR="114300" simplePos="0" relativeHeight="254408702" behindDoc="0" locked="0" layoutInCell="1" allowOverlap="1" wp14:anchorId="4D4B135F" wp14:editId="0DE0B23D">
                <wp:simplePos x="0" y="0"/>
                <wp:positionH relativeFrom="column">
                  <wp:posOffset>637540</wp:posOffset>
                </wp:positionH>
                <wp:positionV relativeFrom="paragraph">
                  <wp:posOffset>215900</wp:posOffset>
                </wp:positionV>
                <wp:extent cx="3869690" cy="381635"/>
                <wp:effectExtent l="0" t="0" r="0" b="0"/>
                <wp:wrapNone/>
                <wp:docPr id="2416" name="Text Box 2416"/>
                <wp:cNvGraphicFramePr/>
                <a:graphic xmlns:a="http://schemas.openxmlformats.org/drawingml/2006/main">
                  <a:graphicData uri="http://schemas.microsoft.com/office/word/2010/wordprocessingShape">
                    <wps:wsp>
                      <wps:cNvSpPr txBox="1"/>
                      <wps:spPr>
                        <a:xfrm>
                          <a:off x="0" y="0"/>
                          <a:ext cx="3869690" cy="381635"/>
                        </a:xfrm>
                        <a:prstGeom prst="rect">
                          <a:avLst/>
                        </a:prstGeom>
                        <a:noFill/>
                        <a:ln w="6350">
                          <a:noFill/>
                        </a:ln>
                      </wps:spPr>
                      <wps:txbx>
                        <w:txbxContent>
                          <w:p w14:paraId="5F142C50" w14:textId="77777777" w:rsidR="00D15FD8" w:rsidRPr="003625BA" w:rsidRDefault="00AC4DF7" w:rsidP="00634417">
                            <w:pPr>
                              <w:rPr>
                                <w:rFonts w:ascii="Roboto" w:hAnsi="Roboto"/>
                                <w:b/>
                                <w:bCs/>
                                <w:color w:val="FFFFFF" w:themeColor="background1"/>
                                <w:u w:val="single"/>
                              </w:rPr>
                            </w:pPr>
                            <w:hyperlink r:id="rId947" w:history="1">
                              <w:r w:rsidR="00D15FD8" w:rsidRPr="003625BA">
                                <w:rPr>
                                  <w:rStyle w:val="Hyperlink"/>
                                  <w:rFonts w:ascii="Roboto" w:hAnsi="Roboto"/>
                                  <w:b/>
                                  <w:bCs/>
                                  <w:color w:val="FFFFFF" w:themeColor="background1"/>
                                  <w:lang w:val="en-ZA"/>
                                </w:rPr>
                                <w:t>Technical Assistance and Funding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B135F" id="Text Box 2416" o:spid="_x0000_s1588" type="#_x0000_t202" style="position:absolute;margin-left:50.2pt;margin-top:17pt;width:304.7pt;height:30.05pt;z-index:254408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" filled="f" stroked="f" strokeweight=".5pt">
                <v:textbox>
                  <w:txbxContent>
                    <w:p w14:paraId="5F142C50" w14:textId="77777777" w:rsidR="00D15FD8" w:rsidRPr="003625BA" w:rsidRDefault="00AC4DF7" w:rsidP="00634417">
                      <w:pPr>
                        <w:rPr>
                          <w:rFonts w:ascii="Roboto" w:hAnsi="Roboto"/>
                          <w:b/>
                          <w:bCs/>
                          <w:color w:val="FFFFFF" w:themeColor="background1"/>
                          <w:u w:val="single"/>
                        </w:rPr>
                      </w:pPr>
                      <w:hyperlink r:id="rId948" w:history="1">
                        <w:r w:rsidR="00D15FD8" w:rsidRPr="003625BA">
                          <w:rPr>
                            <w:rStyle w:val="Hyperlink"/>
                            <w:rFonts w:ascii="Roboto" w:hAnsi="Roboto"/>
                            <w:b/>
                            <w:bCs/>
                            <w:color w:val="FFFFFF" w:themeColor="background1"/>
                            <w:lang w:val="en-ZA"/>
                          </w:rPr>
                          <w:t>Technical Assistance and Funding</w:t>
                        </w:r>
                      </w:hyperlink>
                    </w:p>
                  </w:txbxContent>
                </v:textbox>
              </v:shape>
            </w:pict>
          </mc:Fallback>
        </mc:AlternateContent>
      </w:r>
      <w:r w:rsidR="00511536" w:rsidRPr="003625BA">
        <w:rPr>
          <w:rFonts w:ascii="Roboto" w:hAnsi="Roboto"/>
          <w:noProof/>
          <w:sz w:val="20"/>
          <w:szCs w:val="20"/>
          <w:lang w:val="en-US"/>
        </w:rPr>
        <mc:AlternateContent>
          <mc:Choice Requires="wps">
            <w:drawing>
              <wp:anchor distT="0" distB="0" distL="114300" distR="114300" simplePos="0" relativeHeight="254407678" behindDoc="0" locked="0" layoutInCell="1" allowOverlap="1" wp14:anchorId="1B14A85F" wp14:editId="466A2576">
                <wp:simplePos x="0" y="0"/>
                <wp:positionH relativeFrom="column">
                  <wp:posOffset>546100</wp:posOffset>
                </wp:positionH>
                <wp:positionV relativeFrom="paragraph">
                  <wp:posOffset>154305</wp:posOffset>
                </wp:positionV>
                <wp:extent cx="6045200" cy="414020"/>
                <wp:effectExtent l="0" t="0" r="0" b="5080"/>
                <wp:wrapNone/>
                <wp:docPr id="2412" name="Rounded Rectangle 2412"/>
                <wp:cNvGraphicFramePr/>
                <a:graphic xmlns:a="http://schemas.openxmlformats.org/drawingml/2006/main">
                  <a:graphicData uri="http://schemas.microsoft.com/office/word/2010/wordprocessingShape">
                    <wps:wsp>
                      <wps:cNvSpPr/>
                      <wps:spPr>
                        <a:xfrm>
                          <a:off x="0" y="0"/>
                          <a:ext cx="6045200" cy="414020"/>
                        </a:xfrm>
                        <a:prstGeom prst="round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0051624" id="Rounded Rectangle 2412" o:spid="_x0000_s1026" style="position:absolute;margin-left:43pt;margin-top:12.15pt;width:476pt;height:32.6pt;z-index:254407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" fillcolor="#82caa0" stroked="f" strokeweight="1pt">
                <v:stroke joinstyle="miter"/>
              </v:roundrect>
            </w:pict>
          </mc:Fallback>
        </mc:AlternateContent>
      </w:r>
    </w:p>
    <w:p w14:paraId="19D25624" w14:textId="12C7F6B6" w:rsidR="00634417" w:rsidRPr="003625BA" w:rsidRDefault="00511536" w:rsidP="00634417">
      <w:pPr>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410750" behindDoc="0" locked="0" layoutInCell="1" allowOverlap="1" wp14:anchorId="7FF8B3D2" wp14:editId="4CA65122">
                <wp:simplePos x="0" y="0"/>
                <wp:positionH relativeFrom="column">
                  <wp:posOffset>0</wp:posOffset>
                </wp:positionH>
                <wp:positionV relativeFrom="paragraph">
                  <wp:posOffset>60770</wp:posOffset>
                </wp:positionV>
                <wp:extent cx="435610" cy="316865"/>
                <wp:effectExtent l="0" t="0" r="0" b="0"/>
                <wp:wrapNone/>
                <wp:docPr id="2410" name="Text Box 2410"/>
                <wp:cNvGraphicFramePr/>
                <a:graphic xmlns:a="http://schemas.openxmlformats.org/drawingml/2006/main">
                  <a:graphicData uri="http://schemas.microsoft.com/office/word/2010/wordprocessingShape">
                    <wps:wsp>
                      <wps:cNvSpPr txBox="1"/>
                      <wps:spPr>
                        <a:xfrm>
                          <a:off x="0" y="0"/>
                          <a:ext cx="435610" cy="316865"/>
                        </a:xfrm>
                        <a:prstGeom prst="rect">
                          <a:avLst/>
                        </a:prstGeom>
                        <a:noFill/>
                        <a:ln w="6350">
                          <a:noFill/>
                        </a:ln>
                      </wps:spPr>
                      <wps:txbx>
                        <w:txbxContent>
                          <w:p w14:paraId="4593E21B"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8B3D2" id="Text Box 2410" o:spid="_x0000_s1589" type="#_x0000_t202" style="position:absolute;margin-left:0;margin-top:4.8pt;width:34.3pt;height:24.95pt;z-index:254410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" filled="f" stroked="f" strokeweight=".5pt">
                <v:textbox>
                  <w:txbxContent>
                    <w:p w14:paraId="4593E21B" w14:textId="77777777" w:rsidR="00D15FD8" w:rsidRPr="002D692A" w:rsidRDefault="00D15FD8" w:rsidP="00634417">
                      <w:pPr>
                        <w:jc w:val="center"/>
                        <w:rPr>
                          <w:rFonts w:ascii="Roboto" w:hAnsi="Roboto"/>
                          <w:b/>
                          <w:color w:val="FFFFFF" w:themeColor="background1"/>
                          <w:sz w:val="28"/>
                          <w:szCs w:val="28"/>
                          <w:u w:val="single"/>
                        </w:rPr>
                      </w:pPr>
                      <w:r>
                        <w:rPr>
                          <w:rFonts w:ascii="Roboto" w:hAnsi="Roboto"/>
                          <w:b/>
                          <w:color w:val="FFFFFF" w:themeColor="background1"/>
                          <w:sz w:val="28"/>
                          <w:szCs w:val="28"/>
                        </w:rPr>
                        <w:t>7.</w:t>
                      </w:r>
                    </w:p>
                  </w:txbxContent>
                </v:textbox>
              </v:shape>
            </w:pict>
          </mc:Fallback>
        </mc:AlternateContent>
      </w:r>
    </w:p>
    <w:p w14:paraId="3C305B9A" w14:textId="66BC236D" w:rsidR="001543A5" w:rsidRPr="003625BA" w:rsidRDefault="001543A5" w:rsidP="00E26B41">
      <w:pPr>
        <w:spacing w:line="276" w:lineRule="auto"/>
        <w:contextualSpacing/>
        <w:rPr>
          <w:rFonts w:ascii="Roboto" w:hAnsi="Roboto"/>
          <w:sz w:val="20"/>
          <w:szCs w:val="20"/>
        </w:rPr>
      </w:pPr>
    </w:p>
    <w:p w14:paraId="077936EA" w14:textId="2F40ABDA" w:rsidR="00755699" w:rsidRDefault="005D15AA" w:rsidP="00EB2A7C">
      <w:pPr>
        <w:spacing w:line="276" w:lineRule="auto"/>
        <w:contextualSpacing/>
        <w:rPr>
          <w:rFonts w:ascii="Roboto" w:hAnsi="Roboto"/>
          <w:sz w:val="20"/>
          <w:szCs w:val="20"/>
        </w:rPr>
      </w:pPr>
      <w:r w:rsidRPr="003625BA">
        <w:rPr>
          <w:rFonts w:ascii="Roboto" w:hAnsi="Roboto"/>
          <w:noProof/>
          <w:sz w:val="20"/>
          <w:szCs w:val="20"/>
          <w:lang w:val="en-US"/>
        </w:rPr>
        <mc:AlternateContent>
          <mc:Choice Requires="wps">
            <w:drawing>
              <wp:anchor distT="0" distB="0" distL="114300" distR="114300" simplePos="0" relativeHeight="254412798" behindDoc="0" locked="0" layoutInCell="1" allowOverlap="1" wp14:anchorId="461C759D" wp14:editId="13EF75F4">
                <wp:simplePos x="0" y="0"/>
                <wp:positionH relativeFrom="column">
                  <wp:posOffset>330450</wp:posOffset>
                </wp:positionH>
                <wp:positionV relativeFrom="paragraph">
                  <wp:posOffset>160139</wp:posOffset>
                </wp:positionV>
                <wp:extent cx="6339507" cy="449580"/>
                <wp:effectExtent l="0" t="0" r="23495" b="26670"/>
                <wp:wrapNone/>
                <wp:docPr id="2417" name="Text Box 2417"/>
                <wp:cNvGraphicFramePr/>
                <a:graphic xmlns:a="http://schemas.openxmlformats.org/drawingml/2006/main">
                  <a:graphicData uri="http://schemas.microsoft.com/office/word/2010/wordprocessingShape">
                    <wps:wsp>
                      <wps:cNvSpPr txBox="1"/>
                      <wps:spPr>
                        <a:xfrm>
                          <a:off x="0" y="0"/>
                          <a:ext cx="6339507" cy="449580"/>
                        </a:xfrm>
                        <a:prstGeom prst="rect">
                          <a:avLst/>
                        </a:prstGeom>
                        <a:noFill/>
                        <a:ln w="19050">
                          <a:solidFill>
                            <a:srgbClr val="82CAA0"/>
                          </a:solidFill>
                        </a:ln>
                      </wps:spPr>
                      <wps:txbx>
                        <w:txbxContent>
                          <w:p w14:paraId="0273F7C9" w14:textId="4D353707" w:rsidR="00D15FD8" w:rsidRPr="00462428" w:rsidRDefault="00D15FD8" w:rsidP="00634417">
                            <w:pPr>
                              <w:spacing w:line="276" w:lineRule="auto"/>
                              <w:rPr>
                                <w:rFonts w:ascii="Roboto" w:hAnsi="Roboto"/>
                                <w:sz w:val="20"/>
                                <w:szCs w:val="20"/>
                              </w:rPr>
                            </w:pPr>
                            <w:r w:rsidRPr="00462428">
                              <w:rPr>
                                <w:rFonts w:ascii="Roboto" w:hAnsi="Roboto"/>
                                <w:sz w:val="20"/>
                                <w:szCs w:val="20"/>
                              </w:rPr>
                              <w:t>A list of technical assistance and funding resources from the World Bank and other organizations; most relevant to governments in developing countries.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C759D" id="Text Box 2417" o:spid="_x0000_s1590" type="#_x0000_t202" style="position:absolute;margin-left:26pt;margin-top:12.6pt;width:499.15pt;height:35.4pt;z-index:2544127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" filled="f" strokecolor="#82caa0" strokeweight="1.5pt">
                <v:textbox>
                  <w:txbxContent>
                    <w:p w14:paraId="0273F7C9" w14:textId="4D353707" w:rsidR="00D15FD8" w:rsidRPr="00462428" w:rsidRDefault="00D15FD8" w:rsidP="00634417">
                      <w:pPr>
                        <w:spacing w:line="276" w:lineRule="auto"/>
                        <w:rPr>
                          <w:rFonts w:ascii="Roboto" w:hAnsi="Roboto"/>
                          <w:sz w:val="20"/>
                          <w:szCs w:val="20"/>
                        </w:rPr>
                      </w:pPr>
                      <w:r w:rsidRPr="00462428">
                        <w:rPr>
                          <w:rFonts w:ascii="Roboto" w:hAnsi="Roboto"/>
                          <w:sz w:val="20"/>
                          <w:szCs w:val="20"/>
                        </w:rPr>
                        <w:t>A list of technical assistance and funding resources from the World Bank and other organizations; most relevant to governments in developing countries.</w:t>
                      </w:r>
                    </w:p>
                  </w:txbxContent>
                </v:textbox>
              </v:shape>
            </w:pict>
          </mc:Fallback>
        </mc:AlternateContent>
      </w:r>
    </w:p>
    <w:p w14:paraId="22E745A4" w14:textId="57A55B08" w:rsidR="00E26B41" w:rsidRPr="003625BA" w:rsidRDefault="00E26B41" w:rsidP="00EB2A7C">
      <w:pPr>
        <w:spacing w:line="276" w:lineRule="auto"/>
        <w:contextualSpacing/>
        <w:rPr>
          <w:rFonts w:ascii="Roboto" w:hAnsi="Roboto"/>
          <w:sz w:val="20"/>
          <w:szCs w:val="20"/>
        </w:rPr>
      </w:pPr>
    </w:p>
    <w:p w14:paraId="1EE91E18" w14:textId="66D7CAED" w:rsidR="004A1FA0" w:rsidRPr="003625BA" w:rsidRDefault="004A1FA0" w:rsidP="00EB2A7C">
      <w:pPr>
        <w:rPr>
          <w:rFonts w:ascii="Roboto" w:hAnsi="Roboto" w:cs="Arial"/>
          <w:sz w:val="20"/>
          <w:szCs w:val="20"/>
          <w:lang w:val="en-US"/>
        </w:rPr>
      </w:pPr>
    </w:p>
    <w:p w14:paraId="1F20E378" w14:textId="3CAA657C" w:rsidR="00D12959" w:rsidRDefault="00D12959" w:rsidP="00D12959">
      <w:pPr>
        <w:tabs>
          <w:tab w:val="left" w:pos="1080"/>
        </w:tabs>
        <w:rPr>
          <w:rFonts w:ascii="Roboto" w:hAnsi="Roboto" w:cs="Arial"/>
          <w:sz w:val="20"/>
          <w:szCs w:val="20"/>
        </w:rPr>
      </w:pPr>
    </w:p>
    <w:p w14:paraId="7E29FDC5" w14:textId="3157A552" w:rsidR="001C710A" w:rsidRPr="001C710A" w:rsidRDefault="001C710A" w:rsidP="00511536">
      <w:pPr>
        <w:pStyle w:val="Heading3"/>
        <w:tabs>
          <w:tab w:val="left" w:pos="7580"/>
        </w:tabs>
        <w:rPr>
          <w:rFonts w:ascii="Arial" w:hAnsi="Arial" w:cs="Arial"/>
          <w:b/>
          <w:bCs/>
          <w:color w:val="16988A"/>
          <w:sz w:val="32"/>
          <w:szCs w:val="32"/>
          <w:lang w:val="en-US"/>
        </w:rPr>
      </w:pPr>
      <w:bookmarkStart w:id="2326" w:name="_Toc123204546"/>
      <w:bookmarkStart w:id="2327" w:name="_Toc123216663"/>
      <w:bookmarkStart w:id="2328" w:name="_Toc123217503"/>
    </w:p>
    <w:p w14:paraId="19AACC04" w14:textId="0B34A852" w:rsidR="001543A5" w:rsidRPr="00C76FF5" w:rsidRDefault="00462428" w:rsidP="00462428">
      <w:pPr>
        <w:pStyle w:val="Heading3"/>
        <w:numPr>
          <w:ilvl w:val="2"/>
          <w:numId w:val="139"/>
        </w:numPr>
        <w:tabs>
          <w:tab w:val="left" w:pos="7580"/>
        </w:tabs>
        <w:ind w:left="709"/>
        <w:rPr>
          <w:rFonts w:ascii="Arial" w:hAnsi="Arial" w:cs="Arial"/>
          <w:b/>
          <w:bCs/>
          <w:color w:val="16988A"/>
          <w:sz w:val="32"/>
          <w:szCs w:val="32"/>
          <w:lang w:val="en-US"/>
        </w:rPr>
      </w:pPr>
      <w:r>
        <w:rPr>
          <w:rFonts w:ascii="Arial" w:hAnsi="Arial" w:cs="Arial"/>
          <w:b/>
          <w:bCs/>
          <w:color w:val="16988A"/>
          <w:sz w:val="28"/>
          <w:szCs w:val="28"/>
          <w:lang w:val="en-US"/>
        </w:rPr>
        <w:t xml:space="preserve"> </w:t>
      </w:r>
      <w:bookmarkStart w:id="2329" w:name="_Toc123913459"/>
      <w:bookmarkStart w:id="2330" w:name="_Toc123914116"/>
      <w:bookmarkStart w:id="2331" w:name="_Toc125566731"/>
      <w:r w:rsidR="00D72FF1" w:rsidRPr="00C76FF5">
        <w:rPr>
          <w:rFonts w:ascii="Arial" w:hAnsi="Arial" w:cs="Arial"/>
          <w:b/>
          <w:bCs/>
          <w:color w:val="16988A"/>
          <w:sz w:val="32"/>
          <w:szCs w:val="32"/>
          <w:lang w:val="en-US"/>
        </w:rPr>
        <w:t xml:space="preserve">Open </w:t>
      </w:r>
      <w:r w:rsidR="00E61D0A" w:rsidRPr="00C76FF5">
        <w:rPr>
          <w:rFonts w:ascii="Arial" w:hAnsi="Arial" w:cs="Arial"/>
          <w:b/>
          <w:bCs/>
          <w:color w:val="16988A"/>
          <w:sz w:val="32"/>
          <w:szCs w:val="32"/>
          <w:lang w:val="en-US"/>
        </w:rPr>
        <w:t>Data Tutorial</w:t>
      </w:r>
      <w:bookmarkEnd w:id="2326"/>
      <w:bookmarkEnd w:id="2327"/>
      <w:bookmarkEnd w:id="2328"/>
      <w:bookmarkEnd w:id="2329"/>
      <w:bookmarkEnd w:id="2330"/>
      <w:bookmarkEnd w:id="2331"/>
    </w:p>
    <w:p w14:paraId="6EEAC015" w14:textId="4B297EB8" w:rsidR="00D72FF1" w:rsidRPr="00D72FF1" w:rsidRDefault="00D72FF1" w:rsidP="00EB2A7C">
      <w:pPr>
        <w:spacing w:line="276" w:lineRule="auto"/>
        <w:rPr>
          <w:rFonts w:ascii="Arial" w:hAnsi="Arial" w:cs="Arial"/>
          <w:sz w:val="24"/>
          <w:szCs w:val="24"/>
          <w:lang w:val="en-US"/>
        </w:rPr>
      </w:pPr>
    </w:p>
    <w:p w14:paraId="2A80A203" w14:textId="737B930D" w:rsidR="00754020" w:rsidRDefault="00D72FF1" w:rsidP="00754020">
      <w:pPr>
        <w:spacing w:after="160" w:line="259" w:lineRule="auto"/>
        <w:jc w:val="both"/>
        <w:rPr>
          <w:rFonts w:ascii="Arial" w:hAnsi="Arial" w:cs="Arial"/>
          <w:b/>
          <w:color w:val="ED5625"/>
          <w:sz w:val="24"/>
          <w:szCs w:val="24"/>
        </w:rPr>
      </w:pPr>
      <w:r w:rsidRPr="00EB2A7C">
        <w:rPr>
          <w:rFonts w:ascii="Arial" w:hAnsi="Arial" w:cs="Arial"/>
          <w:sz w:val="24"/>
          <w:szCs w:val="24"/>
        </w:rPr>
        <w:t xml:space="preserve">The </w:t>
      </w:r>
      <w:hyperlink r:id="rId949" w:history="1">
        <w:r w:rsidRPr="00EB2A7C">
          <w:rPr>
            <w:rFonts w:ascii="Arial" w:hAnsi="Arial" w:cs="Arial"/>
            <w:color w:val="0563C1" w:themeColor="hyperlink"/>
            <w:sz w:val="24"/>
            <w:szCs w:val="24"/>
            <w:u w:val="single"/>
          </w:rPr>
          <w:t>Open Data Tutorial</w:t>
        </w:r>
      </w:hyperlink>
      <w:r w:rsidRPr="00EB2A7C">
        <w:rPr>
          <w:rFonts w:ascii="Arial" w:hAnsi="Arial" w:cs="Arial"/>
          <w:sz w:val="24"/>
          <w:szCs w:val="24"/>
        </w:rPr>
        <w:t xml:space="preserve"> was released by GIFT to promote and assist in the opening up of budget data. It’s comprised of an introduction and sections looking at different aspects, including leadership and capacity requirements. </w:t>
      </w:r>
      <w:hyperlink r:id="rId950" w:history="1">
        <w:r w:rsidRPr="00EB2A7C">
          <w:rPr>
            <w:rStyle w:val="Hyperlink"/>
            <w:rFonts w:ascii="Arial" w:hAnsi="Arial" w:cs="Arial"/>
            <w:sz w:val="24"/>
            <w:szCs w:val="24"/>
          </w:rPr>
          <w:t>Videos</w:t>
        </w:r>
      </w:hyperlink>
      <w:r w:rsidRPr="00EB2A7C">
        <w:rPr>
          <w:rFonts w:ascii="Arial" w:hAnsi="Arial" w:cs="Arial"/>
          <w:sz w:val="24"/>
          <w:szCs w:val="24"/>
        </w:rPr>
        <w:t xml:space="preserve"> explain the content in each stage of the Tutorial.</w:t>
      </w:r>
    </w:p>
    <w:p w14:paraId="319688D0" w14:textId="2BF9604F" w:rsidR="001C710A" w:rsidRPr="001C710A" w:rsidRDefault="001C710A" w:rsidP="001C710A">
      <w:pPr>
        <w:spacing w:after="160" w:line="259" w:lineRule="auto"/>
        <w:jc w:val="both"/>
        <w:rPr>
          <w:rFonts w:ascii="Arial" w:hAnsi="Arial" w:cs="Arial"/>
          <w:b/>
          <w:color w:val="ED5625"/>
          <w:sz w:val="24"/>
          <w:szCs w:val="24"/>
        </w:rPr>
      </w:pPr>
      <w:r w:rsidRPr="003625BA">
        <w:rPr>
          <w:rFonts w:ascii="Roboto" w:hAnsi="Roboto" w:cs="Arial"/>
          <w:noProof/>
          <w:color w:val="ED5625"/>
          <w:sz w:val="20"/>
          <w:szCs w:val="20"/>
          <w:lang w:val="en-US"/>
        </w:rPr>
        <mc:AlternateContent>
          <mc:Choice Requires="wps">
            <w:drawing>
              <wp:anchor distT="0" distB="0" distL="114300" distR="114300" simplePos="0" relativeHeight="255111166" behindDoc="1" locked="0" layoutInCell="1" allowOverlap="1" wp14:anchorId="71CDFF57" wp14:editId="7880C93E">
                <wp:simplePos x="0" y="0"/>
                <wp:positionH relativeFrom="margin">
                  <wp:posOffset>-173567</wp:posOffset>
                </wp:positionH>
                <wp:positionV relativeFrom="margin">
                  <wp:posOffset>2555734</wp:posOffset>
                </wp:positionV>
                <wp:extent cx="7010400" cy="6580858"/>
                <wp:effectExtent l="12700" t="12700" r="12700" b="10795"/>
                <wp:wrapNone/>
                <wp:docPr id="2760" name="Rectangle 2760"/>
                <wp:cNvGraphicFramePr/>
                <a:graphic xmlns:a="http://schemas.openxmlformats.org/drawingml/2006/main">
                  <a:graphicData uri="http://schemas.microsoft.com/office/word/2010/wordprocessingShape">
                    <wps:wsp>
                      <wps:cNvSpPr/>
                      <wps:spPr>
                        <a:xfrm>
                          <a:off x="0" y="0"/>
                          <a:ext cx="7010400" cy="6580858"/>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683E" w14:textId="77777777" w:rsidR="00D15FD8" w:rsidRDefault="00D15FD8" w:rsidP="00991FD1">
                            <w:pPr>
                              <w:tabs>
                                <w:tab w:val="left" w:pos="1780"/>
                              </w:tabs>
                              <w:rPr>
                                <w:rFonts w:ascii="Roboto" w:eastAsia="Roboto" w:hAnsi="Roboto" w:cs="Roboto"/>
                                <w:b/>
                                <w:bCs/>
                                <w:color w:val="F26D24"/>
                                <w:sz w:val="20"/>
                                <w:szCs w:val="20"/>
                              </w:rPr>
                            </w:pPr>
                          </w:p>
                          <w:p w14:paraId="1D5B550E" w14:textId="77777777" w:rsidR="00D15FD8" w:rsidRDefault="00D15FD8" w:rsidP="00991FD1">
                            <w:pPr>
                              <w:tabs>
                                <w:tab w:val="left" w:pos="1780"/>
                              </w:tabs>
                              <w:rPr>
                                <w:rFonts w:ascii="Roboto" w:eastAsia="Roboto" w:hAnsi="Roboto" w:cs="Roboto"/>
                                <w:b/>
                                <w:bCs/>
                                <w:color w:val="F26D24"/>
                                <w:sz w:val="20"/>
                                <w:szCs w:val="20"/>
                              </w:rPr>
                            </w:pPr>
                          </w:p>
                          <w:p w14:paraId="0749DE9A" w14:textId="77777777" w:rsidR="00D15FD8" w:rsidRDefault="00D15FD8" w:rsidP="00991FD1">
                            <w:pPr>
                              <w:tabs>
                                <w:tab w:val="left" w:pos="1780"/>
                              </w:tabs>
                              <w:rPr>
                                <w:rFonts w:ascii="Roboto" w:eastAsia="Roboto" w:hAnsi="Roboto" w:cs="Roboto"/>
                                <w:b/>
                                <w:bCs/>
                                <w:color w:val="F26D24"/>
                                <w:sz w:val="20"/>
                                <w:szCs w:val="20"/>
                              </w:rPr>
                            </w:pPr>
                          </w:p>
                          <w:p w14:paraId="28A01006" w14:textId="77777777" w:rsidR="00D15FD8" w:rsidRDefault="00D15FD8" w:rsidP="00991FD1">
                            <w:pPr>
                              <w:tabs>
                                <w:tab w:val="left" w:pos="1780"/>
                              </w:tabs>
                              <w:rPr>
                                <w:rFonts w:ascii="Roboto" w:eastAsia="Roboto" w:hAnsi="Roboto" w:cs="Roboto"/>
                                <w:b/>
                                <w:bCs/>
                                <w:color w:val="F26D24"/>
                                <w:sz w:val="20"/>
                                <w:szCs w:val="20"/>
                              </w:rPr>
                            </w:pPr>
                          </w:p>
                          <w:p w14:paraId="77572C09" w14:textId="77777777" w:rsidR="00D15FD8" w:rsidRDefault="00D15FD8" w:rsidP="00991FD1">
                            <w:pPr>
                              <w:tabs>
                                <w:tab w:val="left" w:pos="1780"/>
                              </w:tabs>
                              <w:rPr>
                                <w:rFonts w:ascii="Roboto" w:eastAsia="Roboto" w:hAnsi="Roboto" w:cs="Roboto"/>
                                <w:b/>
                                <w:bCs/>
                                <w:color w:val="F26D24"/>
                                <w:sz w:val="20"/>
                                <w:szCs w:val="20"/>
                              </w:rPr>
                            </w:pPr>
                          </w:p>
                          <w:p w14:paraId="6F9EE0FC" w14:textId="77777777" w:rsidR="00D15FD8" w:rsidRDefault="00D15FD8" w:rsidP="00991FD1">
                            <w:pPr>
                              <w:tabs>
                                <w:tab w:val="left" w:pos="1780"/>
                              </w:tabs>
                              <w:rPr>
                                <w:rFonts w:ascii="Roboto" w:eastAsia="Roboto" w:hAnsi="Roboto" w:cs="Roboto"/>
                                <w:b/>
                                <w:bCs/>
                                <w:color w:val="F26D24"/>
                                <w:sz w:val="20"/>
                                <w:szCs w:val="20"/>
                              </w:rPr>
                            </w:pPr>
                          </w:p>
                          <w:p w14:paraId="13B5F991" w14:textId="77777777" w:rsidR="00D15FD8" w:rsidRDefault="00D15FD8" w:rsidP="00991FD1">
                            <w:pPr>
                              <w:tabs>
                                <w:tab w:val="left" w:pos="1780"/>
                              </w:tabs>
                              <w:rPr>
                                <w:rFonts w:ascii="Roboto" w:eastAsia="Roboto" w:hAnsi="Roboto" w:cs="Roboto"/>
                                <w:b/>
                                <w:bCs/>
                                <w:color w:val="F26D24"/>
                                <w:sz w:val="20"/>
                                <w:szCs w:val="20"/>
                              </w:rPr>
                            </w:pPr>
                          </w:p>
                          <w:p w14:paraId="2F6420E6" w14:textId="77777777" w:rsidR="00D15FD8" w:rsidRDefault="00D15FD8" w:rsidP="00991FD1">
                            <w:pPr>
                              <w:tabs>
                                <w:tab w:val="left" w:pos="1780"/>
                              </w:tabs>
                              <w:rPr>
                                <w:rFonts w:ascii="Roboto" w:eastAsia="Roboto" w:hAnsi="Roboto" w:cs="Roboto"/>
                                <w:b/>
                                <w:bCs/>
                                <w:color w:val="F26D24"/>
                                <w:sz w:val="20"/>
                                <w:szCs w:val="20"/>
                              </w:rPr>
                            </w:pPr>
                          </w:p>
                          <w:p w14:paraId="7F6D8571" w14:textId="77777777" w:rsidR="00D15FD8" w:rsidRDefault="00D15FD8" w:rsidP="00991FD1">
                            <w:pPr>
                              <w:tabs>
                                <w:tab w:val="left" w:pos="1780"/>
                              </w:tabs>
                              <w:rPr>
                                <w:rFonts w:ascii="Roboto" w:eastAsia="Roboto" w:hAnsi="Roboto" w:cs="Roboto"/>
                                <w:b/>
                                <w:bCs/>
                                <w:color w:val="F26D24"/>
                                <w:sz w:val="20"/>
                                <w:szCs w:val="20"/>
                              </w:rPr>
                            </w:pPr>
                          </w:p>
                          <w:p w14:paraId="09627228" w14:textId="77777777" w:rsidR="00D15FD8" w:rsidRDefault="00D15FD8" w:rsidP="00991FD1">
                            <w:pPr>
                              <w:tabs>
                                <w:tab w:val="left" w:pos="1780"/>
                              </w:tabs>
                              <w:rPr>
                                <w:rFonts w:ascii="Roboto" w:eastAsia="Roboto" w:hAnsi="Roboto" w:cs="Roboto"/>
                                <w:b/>
                                <w:bCs/>
                                <w:color w:val="F26D24"/>
                                <w:sz w:val="20"/>
                                <w:szCs w:val="20"/>
                              </w:rPr>
                            </w:pPr>
                          </w:p>
                          <w:p w14:paraId="4F778464" w14:textId="77777777" w:rsidR="00D15FD8" w:rsidRDefault="00D15FD8" w:rsidP="00991FD1">
                            <w:pPr>
                              <w:tabs>
                                <w:tab w:val="left" w:pos="1780"/>
                              </w:tabs>
                              <w:rPr>
                                <w:rFonts w:ascii="Roboto" w:eastAsia="Roboto" w:hAnsi="Roboto" w:cs="Roboto"/>
                                <w:b/>
                                <w:bCs/>
                                <w:color w:val="F26D24"/>
                                <w:sz w:val="20"/>
                                <w:szCs w:val="20"/>
                              </w:rPr>
                            </w:pPr>
                          </w:p>
                          <w:p w14:paraId="36945EE2" w14:textId="77777777" w:rsidR="00D15FD8" w:rsidRDefault="00D15FD8" w:rsidP="00991FD1">
                            <w:pPr>
                              <w:tabs>
                                <w:tab w:val="left" w:pos="1780"/>
                              </w:tabs>
                              <w:rPr>
                                <w:rFonts w:ascii="Roboto" w:eastAsia="Roboto" w:hAnsi="Roboto" w:cs="Roboto"/>
                                <w:b/>
                                <w:bCs/>
                                <w:color w:val="F26D24"/>
                                <w:sz w:val="20"/>
                                <w:szCs w:val="20"/>
                              </w:rPr>
                            </w:pPr>
                          </w:p>
                          <w:p w14:paraId="70B2D2A9" w14:textId="77777777" w:rsidR="00D15FD8" w:rsidRDefault="00D15FD8" w:rsidP="00991FD1">
                            <w:pPr>
                              <w:tabs>
                                <w:tab w:val="left" w:pos="1780"/>
                              </w:tabs>
                              <w:rPr>
                                <w:rFonts w:ascii="Roboto" w:eastAsia="Roboto" w:hAnsi="Roboto" w:cs="Roboto"/>
                                <w:b/>
                                <w:bCs/>
                                <w:color w:val="F26D24"/>
                                <w:sz w:val="20"/>
                                <w:szCs w:val="20"/>
                              </w:rPr>
                            </w:pPr>
                          </w:p>
                          <w:p w14:paraId="543531F9" w14:textId="77777777" w:rsidR="00D15FD8" w:rsidRDefault="00D15FD8" w:rsidP="00991FD1">
                            <w:pPr>
                              <w:tabs>
                                <w:tab w:val="left" w:pos="1780"/>
                              </w:tabs>
                              <w:rPr>
                                <w:rFonts w:ascii="Roboto" w:eastAsia="Roboto" w:hAnsi="Roboto" w:cs="Roboto"/>
                                <w:b/>
                                <w:bCs/>
                                <w:color w:val="F26D24"/>
                                <w:sz w:val="20"/>
                                <w:szCs w:val="20"/>
                              </w:rPr>
                            </w:pPr>
                          </w:p>
                          <w:p w14:paraId="5F1C6030" w14:textId="77777777" w:rsidR="00D15FD8" w:rsidRDefault="00D15FD8" w:rsidP="00991FD1">
                            <w:pPr>
                              <w:tabs>
                                <w:tab w:val="left" w:pos="1780"/>
                              </w:tabs>
                              <w:rPr>
                                <w:rFonts w:ascii="Roboto" w:eastAsia="Roboto" w:hAnsi="Roboto" w:cs="Roboto"/>
                                <w:b/>
                                <w:bCs/>
                                <w:color w:val="F26D24"/>
                                <w:sz w:val="20"/>
                                <w:szCs w:val="20"/>
                              </w:rPr>
                            </w:pPr>
                          </w:p>
                          <w:p w14:paraId="2C50E725" w14:textId="77777777" w:rsidR="00D15FD8" w:rsidRDefault="00D15FD8" w:rsidP="00991FD1">
                            <w:pPr>
                              <w:tabs>
                                <w:tab w:val="left" w:pos="1780"/>
                              </w:tabs>
                              <w:rPr>
                                <w:rFonts w:ascii="Roboto" w:eastAsia="Roboto" w:hAnsi="Roboto" w:cs="Roboto"/>
                                <w:b/>
                                <w:bCs/>
                                <w:color w:val="F26D24"/>
                                <w:sz w:val="20"/>
                                <w:szCs w:val="20"/>
                              </w:rPr>
                            </w:pPr>
                          </w:p>
                          <w:p w14:paraId="4E71F116" w14:textId="77777777" w:rsidR="00D15FD8" w:rsidRDefault="00D15FD8" w:rsidP="00991FD1">
                            <w:pPr>
                              <w:tabs>
                                <w:tab w:val="left" w:pos="1780"/>
                              </w:tabs>
                              <w:rPr>
                                <w:rFonts w:ascii="Roboto" w:eastAsia="Roboto" w:hAnsi="Roboto" w:cs="Roboto"/>
                                <w:b/>
                                <w:bCs/>
                                <w:color w:val="F26D24"/>
                                <w:sz w:val="20"/>
                                <w:szCs w:val="20"/>
                              </w:rPr>
                            </w:pPr>
                            <w:r>
                              <w:rPr>
                                <w:rFonts w:ascii="Roboto" w:eastAsia="Roboto" w:hAnsi="Roboto" w:cs="Roboto"/>
                                <w:b/>
                                <w:bCs/>
                                <w:color w:val="F26D24"/>
                                <w:sz w:val="20"/>
                                <w:szCs w:val="20"/>
                              </w:rPr>
                              <w:t xml:space="preserve">      </w:t>
                            </w:r>
                          </w:p>
                          <w:p w14:paraId="593C3A73" w14:textId="77777777" w:rsidR="00D15FD8" w:rsidRDefault="00D15FD8" w:rsidP="00991FD1">
                            <w:pPr>
                              <w:tabs>
                                <w:tab w:val="left" w:pos="1780"/>
                              </w:tabs>
                              <w:rPr>
                                <w:rFonts w:ascii="Roboto" w:eastAsia="Roboto" w:hAnsi="Roboto" w:cs="Roboto"/>
                                <w:b/>
                                <w:bCs/>
                                <w:color w:val="F26D24"/>
                                <w:sz w:val="20"/>
                                <w:szCs w:val="20"/>
                              </w:rPr>
                            </w:pPr>
                          </w:p>
                          <w:p w14:paraId="39E12359" w14:textId="77777777" w:rsidR="00D15FD8" w:rsidRDefault="00D15FD8" w:rsidP="00991FD1">
                            <w:pPr>
                              <w:tabs>
                                <w:tab w:val="left" w:pos="1780"/>
                              </w:tabs>
                              <w:rPr>
                                <w:rFonts w:ascii="Roboto" w:eastAsia="Roboto" w:hAnsi="Roboto" w:cs="Roboto"/>
                                <w:b/>
                                <w:bCs/>
                                <w:color w:val="F26D24"/>
                                <w:sz w:val="20"/>
                                <w:szCs w:val="20"/>
                              </w:rPr>
                            </w:pPr>
                          </w:p>
                          <w:p w14:paraId="18E87BF9" w14:textId="77777777" w:rsidR="00D15FD8" w:rsidRDefault="00D15FD8" w:rsidP="00991FD1">
                            <w:pPr>
                              <w:tabs>
                                <w:tab w:val="left" w:pos="1780"/>
                              </w:tabs>
                              <w:rPr>
                                <w:rFonts w:ascii="Roboto" w:eastAsia="Roboto" w:hAnsi="Roboto" w:cs="Roboto"/>
                                <w:b/>
                                <w:bCs/>
                                <w:color w:val="F26D24"/>
                                <w:sz w:val="20"/>
                                <w:szCs w:val="20"/>
                              </w:rPr>
                            </w:pPr>
                          </w:p>
                          <w:p w14:paraId="6233BE31" w14:textId="77777777" w:rsidR="00D15FD8" w:rsidRDefault="00D15FD8" w:rsidP="00991FD1">
                            <w:pPr>
                              <w:tabs>
                                <w:tab w:val="left" w:pos="1780"/>
                              </w:tabs>
                              <w:rPr>
                                <w:rFonts w:ascii="Roboto" w:eastAsia="Roboto" w:hAnsi="Roboto" w:cs="Roboto"/>
                                <w:b/>
                                <w:bCs/>
                                <w:color w:val="F26D24"/>
                                <w:sz w:val="20"/>
                                <w:szCs w:val="20"/>
                              </w:rPr>
                            </w:pPr>
                            <w:r>
                              <w:rPr>
                                <w:rFonts w:ascii="Roboto" w:eastAsia="Roboto" w:hAnsi="Roboto" w:cs="Roboto"/>
                                <w:b/>
                                <w:bCs/>
                                <w:color w:val="F26D24"/>
                                <w:sz w:val="20"/>
                                <w:szCs w:val="20"/>
                              </w:rPr>
                              <w:t xml:space="preserve">     </w:t>
                            </w:r>
                          </w:p>
                          <w:p w14:paraId="013719CA" w14:textId="77777777" w:rsidR="00D15FD8" w:rsidRDefault="00D15FD8" w:rsidP="00991FD1">
                            <w:pPr>
                              <w:tabs>
                                <w:tab w:val="left" w:pos="1780"/>
                              </w:tabs>
                              <w:rPr>
                                <w:rFonts w:ascii="Roboto" w:eastAsia="Roboto" w:hAnsi="Roboto" w:cs="Roboto"/>
                                <w:b/>
                                <w:bCs/>
                                <w:color w:val="F26D24"/>
                                <w:sz w:val="20"/>
                                <w:szCs w:val="20"/>
                              </w:rPr>
                            </w:pPr>
                          </w:p>
                          <w:p w14:paraId="5A967D3F" w14:textId="401ECC5C" w:rsidR="00D15FD8" w:rsidRPr="003625BA" w:rsidRDefault="00D15FD8" w:rsidP="00991FD1">
                            <w:pPr>
                              <w:tabs>
                                <w:tab w:val="left" w:pos="1780"/>
                              </w:tabs>
                              <w:rPr>
                                <w:rFonts w:ascii="Roboto" w:eastAsia="Roboto" w:hAnsi="Roboto" w:cs="Roboto"/>
                                <w:b/>
                                <w:bCs/>
                                <w:color w:val="F26D24"/>
                                <w:sz w:val="20"/>
                                <w:szCs w:val="20"/>
                              </w:rPr>
                            </w:pPr>
                            <w:r>
                              <w:rPr>
                                <w:rFonts w:ascii="Roboto" w:eastAsia="Roboto" w:hAnsi="Roboto" w:cs="Roboto"/>
                                <w:b/>
                                <w:bCs/>
                                <w:color w:val="F26D24"/>
                                <w:sz w:val="20"/>
                                <w:szCs w:val="20"/>
                              </w:rPr>
                              <w:t xml:space="preserve">      </w:t>
                            </w:r>
                            <w:r w:rsidRPr="003625BA">
                              <w:rPr>
                                <w:rFonts w:ascii="Roboto" w:eastAsia="Roboto" w:hAnsi="Roboto" w:cs="Roboto"/>
                                <w:b/>
                                <w:bCs/>
                                <w:color w:val="F26D24"/>
                                <w:sz w:val="20"/>
                                <w:szCs w:val="20"/>
                              </w:rPr>
                              <w:t>There are 7 steps:</w:t>
                            </w:r>
                          </w:p>
                          <w:p w14:paraId="36E42A90" w14:textId="21528789"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DFF57" id="Rectangle 2760" o:spid="_x0000_s1591" style="position:absolute;left:0;text-align:left;margin-left:-13.65pt;margin-top:201.25pt;width:552pt;height:518.2pt;z-index:-24820531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" fillcolor="#f2f2f2 [3052]" strokecolor="#16988a" strokeweight="1.5pt">
                <v:textbox>
                  <w:txbxContent>
                    <w:p w14:paraId="6C41683E" w14:textId="77777777" w:rsidR="00D15FD8" w:rsidRDefault="00D15FD8" w:rsidP="00991FD1">
                      <w:pPr>
                        <w:tabs>
                          <w:tab w:val="left" w:pos="1780"/>
                        </w:tabs>
                        <w:rPr>
                          <w:rFonts w:ascii="Roboto" w:eastAsia="Roboto" w:hAnsi="Roboto" w:cs="Roboto"/>
                          <w:b/>
                          <w:bCs/>
                          <w:color w:val="F26D24"/>
                          <w:sz w:val="20"/>
                          <w:szCs w:val="20"/>
                        </w:rPr>
                      </w:pPr>
                    </w:p>
                    <w:p w14:paraId="1D5B550E" w14:textId="77777777" w:rsidR="00D15FD8" w:rsidRDefault="00D15FD8" w:rsidP="00991FD1">
                      <w:pPr>
                        <w:tabs>
                          <w:tab w:val="left" w:pos="1780"/>
                        </w:tabs>
                        <w:rPr>
                          <w:rFonts w:ascii="Roboto" w:eastAsia="Roboto" w:hAnsi="Roboto" w:cs="Roboto"/>
                          <w:b/>
                          <w:bCs/>
                          <w:color w:val="F26D24"/>
                          <w:sz w:val="20"/>
                          <w:szCs w:val="20"/>
                        </w:rPr>
                      </w:pPr>
                    </w:p>
                    <w:p w14:paraId="0749DE9A" w14:textId="77777777" w:rsidR="00D15FD8" w:rsidRDefault="00D15FD8" w:rsidP="00991FD1">
                      <w:pPr>
                        <w:tabs>
                          <w:tab w:val="left" w:pos="1780"/>
                        </w:tabs>
                        <w:rPr>
                          <w:rFonts w:ascii="Roboto" w:eastAsia="Roboto" w:hAnsi="Roboto" w:cs="Roboto"/>
                          <w:b/>
                          <w:bCs/>
                          <w:color w:val="F26D24"/>
                          <w:sz w:val="20"/>
                          <w:szCs w:val="20"/>
                        </w:rPr>
                      </w:pPr>
                    </w:p>
                    <w:p w14:paraId="28A01006" w14:textId="77777777" w:rsidR="00D15FD8" w:rsidRDefault="00D15FD8" w:rsidP="00991FD1">
                      <w:pPr>
                        <w:tabs>
                          <w:tab w:val="left" w:pos="1780"/>
                        </w:tabs>
                        <w:rPr>
                          <w:rFonts w:ascii="Roboto" w:eastAsia="Roboto" w:hAnsi="Roboto" w:cs="Roboto"/>
                          <w:b/>
                          <w:bCs/>
                          <w:color w:val="F26D24"/>
                          <w:sz w:val="20"/>
                          <w:szCs w:val="20"/>
                        </w:rPr>
                      </w:pPr>
                    </w:p>
                    <w:p w14:paraId="77572C09" w14:textId="77777777" w:rsidR="00D15FD8" w:rsidRDefault="00D15FD8" w:rsidP="00991FD1">
                      <w:pPr>
                        <w:tabs>
                          <w:tab w:val="left" w:pos="1780"/>
                        </w:tabs>
                        <w:rPr>
                          <w:rFonts w:ascii="Roboto" w:eastAsia="Roboto" w:hAnsi="Roboto" w:cs="Roboto"/>
                          <w:b/>
                          <w:bCs/>
                          <w:color w:val="F26D24"/>
                          <w:sz w:val="20"/>
                          <w:szCs w:val="20"/>
                        </w:rPr>
                      </w:pPr>
                    </w:p>
                    <w:p w14:paraId="6F9EE0FC" w14:textId="77777777" w:rsidR="00D15FD8" w:rsidRDefault="00D15FD8" w:rsidP="00991FD1">
                      <w:pPr>
                        <w:tabs>
                          <w:tab w:val="left" w:pos="1780"/>
                        </w:tabs>
                        <w:rPr>
                          <w:rFonts w:ascii="Roboto" w:eastAsia="Roboto" w:hAnsi="Roboto" w:cs="Roboto"/>
                          <w:b/>
                          <w:bCs/>
                          <w:color w:val="F26D24"/>
                          <w:sz w:val="20"/>
                          <w:szCs w:val="20"/>
                        </w:rPr>
                      </w:pPr>
                    </w:p>
                    <w:p w14:paraId="13B5F991" w14:textId="77777777" w:rsidR="00D15FD8" w:rsidRDefault="00D15FD8" w:rsidP="00991FD1">
                      <w:pPr>
                        <w:tabs>
                          <w:tab w:val="left" w:pos="1780"/>
                        </w:tabs>
                        <w:rPr>
                          <w:rFonts w:ascii="Roboto" w:eastAsia="Roboto" w:hAnsi="Roboto" w:cs="Roboto"/>
                          <w:b/>
                          <w:bCs/>
                          <w:color w:val="F26D24"/>
                          <w:sz w:val="20"/>
                          <w:szCs w:val="20"/>
                        </w:rPr>
                      </w:pPr>
                    </w:p>
                    <w:p w14:paraId="2F6420E6" w14:textId="77777777" w:rsidR="00D15FD8" w:rsidRDefault="00D15FD8" w:rsidP="00991FD1">
                      <w:pPr>
                        <w:tabs>
                          <w:tab w:val="left" w:pos="1780"/>
                        </w:tabs>
                        <w:rPr>
                          <w:rFonts w:ascii="Roboto" w:eastAsia="Roboto" w:hAnsi="Roboto" w:cs="Roboto"/>
                          <w:b/>
                          <w:bCs/>
                          <w:color w:val="F26D24"/>
                          <w:sz w:val="20"/>
                          <w:szCs w:val="20"/>
                        </w:rPr>
                      </w:pPr>
                    </w:p>
                    <w:p w14:paraId="7F6D8571" w14:textId="77777777" w:rsidR="00D15FD8" w:rsidRDefault="00D15FD8" w:rsidP="00991FD1">
                      <w:pPr>
                        <w:tabs>
                          <w:tab w:val="left" w:pos="1780"/>
                        </w:tabs>
                        <w:rPr>
                          <w:rFonts w:ascii="Roboto" w:eastAsia="Roboto" w:hAnsi="Roboto" w:cs="Roboto"/>
                          <w:b/>
                          <w:bCs/>
                          <w:color w:val="F26D24"/>
                          <w:sz w:val="20"/>
                          <w:szCs w:val="20"/>
                        </w:rPr>
                      </w:pPr>
                    </w:p>
                    <w:p w14:paraId="09627228" w14:textId="77777777" w:rsidR="00D15FD8" w:rsidRDefault="00D15FD8" w:rsidP="00991FD1">
                      <w:pPr>
                        <w:tabs>
                          <w:tab w:val="left" w:pos="1780"/>
                        </w:tabs>
                        <w:rPr>
                          <w:rFonts w:ascii="Roboto" w:eastAsia="Roboto" w:hAnsi="Roboto" w:cs="Roboto"/>
                          <w:b/>
                          <w:bCs/>
                          <w:color w:val="F26D24"/>
                          <w:sz w:val="20"/>
                          <w:szCs w:val="20"/>
                        </w:rPr>
                      </w:pPr>
                    </w:p>
                    <w:p w14:paraId="4F778464" w14:textId="77777777" w:rsidR="00D15FD8" w:rsidRDefault="00D15FD8" w:rsidP="00991FD1">
                      <w:pPr>
                        <w:tabs>
                          <w:tab w:val="left" w:pos="1780"/>
                        </w:tabs>
                        <w:rPr>
                          <w:rFonts w:ascii="Roboto" w:eastAsia="Roboto" w:hAnsi="Roboto" w:cs="Roboto"/>
                          <w:b/>
                          <w:bCs/>
                          <w:color w:val="F26D24"/>
                          <w:sz w:val="20"/>
                          <w:szCs w:val="20"/>
                        </w:rPr>
                      </w:pPr>
                    </w:p>
                    <w:p w14:paraId="36945EE2" w14:textId="77777777" w:rsidR="00D15FD8" w:rsidRDefault="00D15FD8" w:rsidP="00991FD1">
                      <w:pPr>
                        <w:tabs>
                          <w:tab w:val="left" w:pos="1780"/>
                        </w:tabs>
                        <w:rPr>
                          <w:rFonts w:ascii="Roboto" w:eastAsia="Roboto" w:hAnsi="Roboto" w:cs="Roboto"/>
                          <w:b/>
                          <w:bCs/>
                          <w:color w:val="F26D24"/>
                          <w:sz w:val="20"/>
                          <w:szCs w:val="20"/>
                        </w:rPr>
                      </w:pPr>
                    </w:p>
                    <w:p w14:paraId="70B2D2A9" w14:textId="77777777" w:rsidR="00D15FD8" w:rsidRDefault="00D15FD8" w:rsidP="00991FD1">
                      <w:pPr>
                        <w:tabs>
                          <w:tab w:val="left" w:pos="1780"/>
                        </w:tabs>
                        <w:rPr>
                          <w:rFonts w:ascii="Roboto" w:eastAsia="Roboto" w:hAnsi="Roboto" w:cs="Roboto"/>
                          <w:b/>
                          <w:bCs/>
                          <w:color w:val="F26D24"/>
                          <w:sz w:val="20"/>
                          <w:szCs w:val="20"/>
                        </w:rPr>
                      </w:pPr>
                    </w:p>
                    <w:p w14:paraId="543531F9" w14:textId="77777777" w:rsidR="00D15FD8" w:rsidRDefault="00D15FD8" w:rsidP="00991FD1">
                      <w:pPr>
                        <w:tabs>
                          <w:tab w:val="left" w:pos="1780"/>
                        </w:tabs>
                        <w:rPr>
                          <w:rFonts w:ascii="Roboto" w:eastAsia="Roboto" w:hAnsi="Roboto" w:cs="Roboto"/>
                          <w:b/>
                          <w:bCs/>
                          <w:color w:val="F26D24"/>
                          <w:sz w:val="20"/>
                          <w:szCs w:val="20"/>
                        </w:rPr>
                      </w:pPr>
                    </w:p>
                    <w:p w14:paraId="5F1C6030" w14:textId="77777777" w:rsidR="00D15FD8" w:rsidRDefault="00D15FD8" w:rsidP="00991FD1">
                      <w:pPr>
                        <w:tabs>
                          <w:tab w:val="left" w:pos="1780"/>
                        </w:tabs>
                        <w:rPr>
                          <w:rFonts w:ascii="Roboto" w:eastAsia="Roboto" w:hAnsi="Roboto" w:cs="Roboto"/>
                          <w:b/>
                          <w:bCs/>
                          <w:color w:val="F26D24"/>
                          <w:sz w:val="20"/>
                          <w:szCs w:val="20"/>
                        </w:rPr>
                      </w:pPr>
                    </w:p>
                    <w:p w14:paraId="2C50E725" w14:textId="77777777" w:rsidR="00D15FD8" w:rsidRDefault="00D15FD8" w:rsidP="00991FD1">
                      <w:pPr>
                        <w:tabs>
                          <w:tab w:val="left" w:pos="1780"/>
                        </w:tabs>
                        <w:rPr>
                          <w:rFonts w:ascii="Roboto" w:eastAsia="Roboto" w:hAnsi="Roboto" w:cs="Roboto"/>
                          <w:b/>
                          <w:bCs/>
                          <w:color w:val="F26D24"/>
                          <w:sz w:val="20"/>
                          <w:szCs w:val="20"/>
                        </w:rPr>
                      </w:pPr>
                    </w:p>
                    <w:p w14:paraId="4E71F116" w14:textId="77777777" w:rsidR="00D15FD8" w:rsidRDefault="00D15FD8" w:rsidP="00991FD1">
                      <w:pPr>
                        <w:tabs>
                          <w:tab w:val="left" w:pos="1780"/>
                        </w:tabs>
                        <w:rPr>
                          <w:rFonts w:ascii="Roboto" w:eastAsia="Roboto" w:hAnsi="Roboto" w:cs="Roboto"/>
                          <w:b/>
                          <w:bCs/>
                          <w:color w:val="F26D24"/>
                          <w:sz w:val="20"/>
                          <w:szCs w:val="20"/>
                        </w:rPr>
                      </w:pPr>
                      <w:r>
                        <w:rPr>
                          <w:rFonts w:ascii="Roboto" w:eastAsia="Roboto" w:hAnsi="Roboto" w:cs="Roboto"/>
                          <w:b/>
                          <w:bCs/>
                          <w:color w:val="F26D24"/>
                          <w:sz w:val="20"/>
                          <w:szCs w:val="20"/>
                        </w:rPr>
                        <w:t xml:space="preserve">      </w:t>
                      </w:r>
                    </w:p>
                    <w:p w14:paraId="593C3A73" w14:textId="77777777" w:rsidR="00D15FD8" w:rsidRDefault="00D15FD8" w:rsidP="00991FD1">
                      <w:pPr>
                        <w:tabs>
                          <w:tab w:val="left" w:pos="1780"/>
                        </w:tabs>
                        <w:rPr>
                          <w:rFonts w:ascii="Roboto" w:eastAsia="Roboto" w:hAnsi="Roboto" w:cs="Roboto"/>
                          <w:b/>
                          <w:bCs/>
                          <w:color w:val="F26D24"/>
                          <w:sz w:val="20"/>
                          <w:szCs w:val="20"/>
                        </w:rPr>
                      </w:pPr>
                    </w:p>
                    <w:p w14:paraId="39E12359" w14:textId="77777777" w:rsidR="00D15FD8" w:rsidRDefault="00D15FD8" w:rsidP="00991FD1">
                      <w:pPr>
                        <w:tabs>
                          <w:tab w:val="left" w:pos="1780"/>
                        </w:tabs>
                        <w:rPr>
                          <w:rFonts w:ascii="Roboto" w:eastAsia="Roboto" w:hAnsi="Roboto" w:cs="Roboto"/>
                          <w:b/>
                          <w:bCs/>
                          <w:color w:val="F26D24"/>
                          <w:sz w:val="20"/>
                          <w:szCs w:val="20"/>
                        </w:rPr>
                      </w:pPr>
                    </w:p>
                    <w:p w14:paraId="18E87BF9" w14:textId="77777777" w:rsidR="00D15FD8" w:rsidRDefault="00D15FD8" w:rsidP="00991FD1">
                      <w:pPr>
                        <w:tabs>
                          <w:tab w:val="left" w:pos="1780"/>
                        </w:tabs>
                        <w:rPr>
                          <w:rFonts w:ascii="Roboto" w:eastAsia="Roboto" w:hAnsi="Roboto" w:cs="Roboto"/>
                          <w:b/>
                          <w:bCs/>
                          <w:color w:val="F26D24"/>
                          <w:sz w:val="20"/>
                          <w:szCs w:val="20"/>
                        </w:rPr>
                      </w:pPr>
                    </w:p>
                    <w:p w14:paraId="6233BE31" w14:textId="77777777" w:rsidR="00D15FD8" w:rsidRDefault="00D15FD8" w:rsidP="00991FD1">
                      <w:pPr>
                        <w:tabs>
                          <w:tab w:val="left" w:pos="1780"/>
                        </w:tabs>
                        <w:rPr>
                          <w:rFonts w:ascii="Roboto" w:eastAsia="Roboto" w:hAnsi="Roboto" w:cs="Roboto"/>
                          <w:b/>
                          <w:bCs/>
                          <w:color w:val="F26D24"/>
                          <w:sz w:val="20"/>
                          <w:szCs w:val="20"/>
                        </w:rPr>
                      </w:pPr>
                      <w:r>
                        <w:rPr>
                          <w:rFonts w:ascii="Roboto" w:eastAsia="Roboto" w:hAnsi="Roboto" w:cs="Roboto"/>
                          <w:b/>
                          <w:bCs/>
                          <w:color w:val="F26D24"/>
                          <w:sz w:val="20"/>
                          <w:szCs w:val="20"/>
                        </w:rPr>
                        <w:t xml:space="preserve">     </w:t>
                      </w:r>
                    </w:p>
                    <w:p w14:paraId="013719CA" w14:textId="77777777" w:rsidR="00D15FD8" w:rsidRDefault="00D15FD8" w:rsidP="00991FD1">
                      <w:pPr>
                        <w:tabs>
                          <w:tab w:val="left" w:pos="1780"/>
                        </w:tabs>
                        <w:rPr>
                          <w:rFonts w:ascii="Roboto" w:eastAsia="Roboto" w:hAnsi="Roboto" w:cs="Roboto"/>
                          <w:b/>
                          <w:bCs/>
                          <w:color w:val="F26D24"/>
                          <w:sz w:val="20"/>
                          <w:szCs w:val="20"/>
                        </w:rPr>
                      </w:pPr>
                    </w:p>
                    <w:p w14:paraId="5A967D3F" w14:textId="401ECC5C" w:rsidR="00D15FD8" w:rsidRPr="003625BA" w:rsidRDefault="00D15FD8" w:rsidP="00991FD1">
                      <w:pPr>
                        <w:tabs>
                          <w:tab w:val="left" w:pos="1780"/>
                        </w:tabs>
                        <w:rPr>
                          <w:rFonts w:ascii="Roboto" w:eastAsia="Roboto" w:hAnsi="Roboto" w:cs="Roboto"/>
                          <w:b/>
                          <w:bCs/>
                          <w:color w:val="F26D24"/>
                          <w:sz w:val="20"/>
                          <w:szCs w:val="20"/>
                        </w:rPr>
                      </w:pPr>
                      <w:r>
                        <w:rPr>
                          <w:rFonts w:ascii="Roboto" w:eastAsia="Roboto" w:hAnsi="Roboto" w:cs="Roboto"/>
                          <w:b/>
                          <w:bCs/>
                          <w:color w:val="F26D24"/>
                          <w:sz w:val="20"/>
                          <w:szCs w:val="20"/>
                        </w:rPr>
                        <w:t xml:space="preserve">      </w:t>
                      </w:r>
                      <w:r w:rsidRPr="003625BA">
                        <w:rPr>
                          <w:rFonts w:ascii="Roboto" w:eastAsia="Roboto" w:hAnsi="Roboto" w:cs="Roboto"/>
                          <w:b/>
                          <w:bCs/>
                          <w:color w:val="F26D24"/>
                          <w:sz w:val="20"/>
                          <w:szCs w:val="20"/>
                        </w:rPr>
                        <w:t>There are 7 steps:</w:t>
                      </w:r>
                    </w:p>
                    <w:p w14:paraId="36E42A90" w14:textId="21528789" w:rsidR="00D15FD8" w:rsidRPr="003625BA" w:rsidRDefault="00D15FD8" w:rsidP="003625BA">
                      <w:pPr>
                        <w:jc w:val="center"/>
                        <w:rPr>
                          <w:lang w:val="en-US"/>
                        </w:rPr>
                      </w:pPr>
                    </w:p>
                  </w:txbxContent>
                </v:textbox>
                <w10:wrap anchorx="margin" anchory="margin"/>
              </v:rect>
            </w:pict>
          </mc:Fallback>
        </mc:AlternateContent>
      </w:r>
      <w:bookmarkStart w:id="2332" w:name="_Toc123217504"/>
      <w:bookmarkStart w:id="2333" w:name="_Toc123914117"/>
    </w:p>
    <w:p w14:paraId="51C65CE5" w14:textId="770B6528" w:rsidR="001C710A" w:rsidRPr="001C710A" w:rsidRDefault="00C04193" w:rsidP="001C710A">
      <w:pPr>
        <w:pStyle w:val="Heading3"/>
        <w:jc w:val="center"/>
        <w:rPr>
          <w:sz w:val="26"/>
          <w:szCs w:val="26"/>
        </w:rPr>
      </w:pPr>
      <w:bookmarkStart w:id="2334" w:name="_Box_4.3._Open"/>
      <w:bookmarkStart w:id="2335" w:name="_Toc125566732"/>
      <w:bookmarkEnd w:id="2334"/>
      <w:r w:rsidRPr="00462428">
        <w:rPr>
          <w:rFonts w:ascii="Arial" w:hAnsi="Arial" w:cs="Arial"/>
          <w:b/>
          <w:bCs/>
          <w:color w:val="19998C"/>
          <w:sz w:val="26"/>
          <w:szCs w:val="26"/>
        </w:rPr>
        <w:t>Box 4.</w:t>
      </w:r>
      <w:r w:rsidR="004750D1" w:rsidRPr="00462428">
        <w:rPr>
          <w:rFonts w:ascii="Arial" w:hAnsi="Arial" w:cs="Arial"/>
          <w:b/>
          <w:bCs/>
          <w:color w:val="19998C"/>
          <w:sz w:val="26"/>
          <w:szCs w:val="26"/>
        </w:rPr>
        <w:t>3</w:t>
      </w:r>
      <w:r w:rsidR="00AC27CC">
        <w:rPr>
          <w:rFonts w:ascii="Arial" w:hAnsi="Arial" w:cs="Arial"/>
          <w:b/>
          <w:bCs/>
          <w:color w:val="19998C"/>
          <w:sz w:val="26"/>
          <w:szCs w:val="26"/>
        </w:rPr>
        <w:t>.</w:t>
      </w:r>
      <w:r w:rsidRPr="00462428">
        <w:rPr>
          <w:rFonts w:ascii="Arial" w:hAnsi="Arial" w:cs="Arial"/>
          <w:b/>
          <w:bCs/>
          <w:color w:val="19998C"/>
          <w:sz w:val="26"/>
          <w:szCs w:val="26"/>
        </w:rPr>
        <w:t xml:space="preserve"> Open </w:t>
      </w:r>
      <w:bookmarkEnd w:id="2332"/>
      <w:r w:rsidR="00E61D0A" w:rsidRPr="00462428">
        <w:rPr>
          <w:rFonts w:ascii="Arial" w:hAnsi="Arial" w:cs="Arial"/>
          <w:b/>
          <w:bCs/>
          <w:color w:val="19998C"/>
          <w:sz w:val="26"/>
          <w:szCs w:val="26"/>
        </w:rPr>
        <w:t>Data Tutorial</w:t>
      </w:r>
      <w:bookmarkEnd w:id="2333"/>
      <w:bookmarkEnd w:id="2335"/>
    </w:p>
    <w:p w14:paraId="49BDB73A" w14:textId="77777777" w:rsidR="001C710A" w:rsidRDefault="001C710A" w:rsidP="007C3F48">
      <w:pPr>
        <w:spacing w:line="276" w:lineRule="auto"/>
        <w:rPr>
          <w:rFonts w:ascii="Roboto" w:eastAsia="Roboto" w:hAnsi="Roboto" w:cs="Roboto"/>
          <w:b/>
          <w:color w:val="F36E27"/>
          <w:sz w:val="12"/>
          <w:szCs w:val="12"/>
        </w:rPr>
      </w:pPr>
    </w:p>
    <w:p w14:paraId="2F1BD50F" w14:textId="67C39B48" w:rsidR="007C3F48" w:rsidRPr="00462428" w:rsidRDefault="00462428" w:rsidP="007C3F48">
      <w:pPr>
        <w:spacing w:line="276" w:lineRule="auto"/>
        <w:rPr>
          <w:rFonts w:ascii="Roboto" w:eastAsia="Roboto" w:hAnsi="Roboto" w:cs="Roboto"/>
          <w:b/>
          <w:color w:val="F36E27"/>
          <w:sz w:val="12"/>
          <w:szCs w:val="12"/>
        </w:rPr>
      </w:pPr>
      <w:r w:rsidRPr="00462428">
        <w:rPr>
          <w:rFonts w:ascii="Roboto" w:eastAsia="Roboto" w:hAnsi="Roboto" w:cs="Roboto"/>
          <w:b/>
          <w:noProof/>
          <w:color w:val="F36E27"/>
          <w:sz w:val="12"/>
          <w:szCs w:val="12"/>
          <w:lang w:val="en-US"/>
        </w:rPr>
        <w:drawing>
          <wp:anchor distT="0" distB="0" distL="114300" distR="114300" simplePos="0" relativeHeight="255105022" behindDoc="0" locked="0" layoutInCell="1" allowOverlap="1" wp14:anchorId="4C7F60B3" wp14:editId="19EE1E7E">
            <wp:simplePos x="0" y="0"/>
            <wp:positionH relativeFrom="column">
              <wp:posOffset>-58420</wp:posOffset>
            </wp:positionH>
            <wp:positionV relativeFrom="paragraph">
              <wp:posOffset>233045</wp:posOffset>
            </wp:positionV>
            <wp:extent cx="677545" cy="647700"/>
            <wp:effectExtent l="0" t="0" r="0" b="0"/>
            <wp:wrapSquare wrapText="bothSides"/>
            <wp:docPr id="2756" name="Picture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 name="Picture 2756"/>
                    <pic:cNvPicPr/>
                  </pic:nvPicPr>
                  <pic:blipFill rotWithShape="1">
                    <a:blip r:embed="rId951" cstate="screen">
                      <a:extLst>
                        <a:ext uri="{28A0092B-C50C-407E-A947-70E740481C1C}">
                          <a14:useLocalDpi xmlns:a14="http://schemas.microsoft.com/office/drawing/2010/main"/>
                        </a:ext>
                      </a:extLst>
                    </a:blip>
                    <a:srcRect/>
                    <a:stretch/>
                  </pic:blipFill>
                  <pic:spPr bwMode="auto">
                    <a:xfrm>
                      <a:off x="0" y="0"/>
                      <a:ext cx="677545"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B4056E" w14:textId="66422EE8" w:rsidR="007C3F48" w:rsidRPr="003625BA" w:rsidRDefault="007C3F48" w:rsidP="00EB2A7C">
      <w:pPr>
        <w:spacing w:line="276" w:lineRule="auto"/>
        <w:jc w:val="both"/>
        <w:rPr>
          <w:rFonts w:ascii="Roboto" w:eastAsia="Roboto" w:hAnsi="Roboto" w:cs="Roboto"/>
          <w:b/>
          <w:color w:val="F36E27"/>
          <w:sz w:val="20"/>
          <w:szCs w:val="20"/>
        </w:rPr>
      </w:pPr>
      <w:r w:rsidRPr="003625BA">
        <w:rPr>
          <w:rFonts w:ascii="Roboto" w:eastAsia="Roboto" w:hAnsi="Roboto" w:cs="Roboto"/>
          <w:b/>
          <w:color w:val="F36E27"/>
          <w:sz w:val="20"/>
          <w:szCs w:val="20"/>
        </w:rPr>
        <w:t>The Open Data Tutorial produced by GIFT, includes the following information:</w:t>
      </w:r>
    </w:p>
    <w:p w14:paraId="750FA5E8" w14:textId="24D1FECA" w:rsidR="007C3F48" w:rsidRDefault="00626723" w:rsidP="00EB2A7C">
      <w:pPr>
        <w:spacing w:line="276" w:lineRule="auto"/>
        <w:jc w:val="both"/>
        <w:rPr>
          <w:rFonts w:ascii="Roboto" w:eastAsia="Roboto" w:hAnsi="Roboto" w:cs="Roboto"/>
          <w:sz w:val="20"/>
          <w:szCs w:val="20"/>
        </w:rPr>
      </w:pPr>
      <w:r>
        <w:rPr>
          <w:rFonts w:ascii="Roboto" w:eastAsia="Roboto" w:hAnsi="Roboto" w:cs="Roboto"/>
          <w:sz w:val="20"/>
          <w:szCs w:val="20"/>
        </w:rPr>
        <w:t>In i</w:t>
      </w:r>
      <w:r w:rsidR="00244B61" w:rsidRPr="00244B61">
        <w:rPr>
          <w:rFonts w:ascii="Roboto" w:eastAsia="Roboto" w:hAnsi="Roboto" w:cs="Roboto"/>
          <w:sz w:val="20"/>
          <w:szCs w:val="20"/>
        </w:rPr>
        <w:t>dentifying the internal capacity needed to build a budget transparency policy that incorporates open data, aiming to facilitate the public’s access to data and to promote its use and reuse</w:t>
      </w:r>
      <w:r>
        <w:rPr>
          <w:rFonts w:ascii="Roboto" w:eastAsia="Roboto" w:hAnsi="Roboto" w:cs="Roboto"/>
          <w:sz w:val="20"/>
          <w:szCs w:val="20"/>
        </w:rPr>
        <w:t>, it</w:t>
      </w:r>
      <w:r w:rsidR="00244B61" w:rsidRPr="00244B61">
        <w:rPr>
          <w:rFonts w:ascii="Roboto" w:eastAsia="Roboto" w:hAnsi="Roboto" w:cs="Roboto"/>
          <w:sz w:val="20"/>
          <w:szCs w:val="20"/>
        </w:rPr>
        <w:t xml:space="preserve"> states that will, commitment and a multidisciplinary team is needed.</w:t>
      </w:r>
    </w:p>
    <w:p w14:paraId="143AF7D9" w14:textId="77777777" w:rsidR="00462428" w:rsidRPr="00462428" w:rsidRDefault="00462428" w:rsidP="00EB2A7C">
      <w:pPr>
        <w:spacing w:line="276" w:lineRule="auto"/>
        <w:jc w:val="both"/>
        <w:rPr>
          <w:rFonts w:ascii="Roboto" w:eastAsia="Roboto" w:hAnsi="Roboto" w:cs="Roboto"/>
          <w:sz w:val="20"/>
          <w:szCs w:val="20"/>
        </w:rPr>
      </w:pPr>
    </w:p>
    <w:p w14:paraId="43B9FF3E" w14:textId="1F3C2D0D" w:rsidR="00244B61" w:rsidRPr="003625BA" w:rsidRDefault="007C3F48" w:rsidP="00EB2A7C">
      <w:pPr>
        <w:spacing w:line="276" w:lineRule="auto"/>
        <w:jc w:val="both"/>
        <w:rPr>
          <w:rFonts w:ascii="Roboto" w:eastAsia="Roboto" w:hAnsi="Roboto" w:cs="Roboto"/>
          <w:sz w:val="20"/>
          <w:szCs w:val="20"/>
        </w:rPr>
      </w:pPr>
      <w:r w:rsidRPr="003625BA">
        <w:rPr>
          <w:rFonts w:ascii="Roboto" w:eastAsia="Roboto" w:hAnsi="Roboto" w:cs="Roboto"/>
          <w:b/>
          <w:color w:val="82CAA0"/>
          <w:sz w:val="20"/>
          <w:szCs w:val="20"/>
        </w:rPr>
        <w:t>Note:</w:t>
      </w:r>
      <w:r w:rsidRPr="003625BA">
        <w:rPr>
          <w:rFonts w:ascii="Roboto" w:eastAsia="Roboto" w:hAnsi="Roboto" w:cs="Roboto"/>
          <w:color w:val="82CAA0"/>
          <w:sz w:val="20"/>
          <w:szCs w:val="20"/>
        </w:rPr>
        <w:t xml:space="preserve"> </w:t>
      </w:r>
      <w:r w:rsidR="00244B61" w:rsidRPr="003625BA">
        <w:rPr>
          <w:rFonts w:ascii="Roboto" w:hAnsi="Roboto"/>
          <w:sz w:val="20"/>
          <w:szCs w:val="20"/>
        </w:rPr>
        <w:t>The multidisciplinary team should be comprised of technical staff who are experts in the information to be published and in data analyses, experts in technology (including software developers, programmers and data scientists), as well as in the latest trends of data communication (to find what is the most efficient communication mechanism to use to deliver budget information) and data visualization tools (for instance maps, infographics, videos, search engines).</w:t>
      </w:r>
    </w:p>
    <w:p w14:paraId="22C25259" w14:textId="7064E792" w:rsidR="007C3F48" w:rsidRPr="003625BA" w:rsidRDefault="005D15AA" w:rsidP="00244B61">
      <w:pPr>
        <w:spacing w:line="276" w:lineRule="auto"/>
        <w:jc w:val="both"/>
        <w:rPr>
          <w:rFonts w:ascii="Roboto" w:eastAsia="Roboto" w:hAnsi="Roboto" w:cs="Roboto"/>
          <w:sz w:val="20"/>
          <w:szCs w:val="20"/>
        </w:rPr>
      </w:pPr>
      <w:r w:rsidRPr="003625BA">
        <w:rPr>
          <w:rFonts w:ascii="Roboto" w:hAnsi="Roboto"/>
          <w:noProof/>
          <w:sz w:val="20"/>
          <w:szCs w:val="20"/>
          <w:lang w:val="en-US"/>
        </w:rPr>
        <mc:AlternateContent>
          <mc:Choice Requires="wps">
            <w:drawing>
              <wp:anchor distT="0" distB="0" distL="114300" distR="114300" simplePos="0" relativeHeight="255410174" behindDoc="0" locked="0" layoutInCell="1" hidden="0" allowOverlap="1" wp14:anchorId="0A9BA1F9" wp14:editId="29CD4CD3">
                <wp:simplePos x="0" y="0"/>
                <wp:positionH relativeFrom="margin">
                  <wp:posOffset>-39370</wp:posOffset>
                </wp:positionH>
                <wp:positionV relativeFrom="paragraph">
                  <wp:posOffset>163667</wp:posOffset>
                </wp:positionV>
                <wp:extent cx="6778625" cy="1063625"/>
                <wp:effectExtent l="0" t="0" r="22225" b="22225"/>
                <wp:wrapNone/>
                <wp:docPr id="2458" name="Rounded Rectangle 2458"/>
                <wp:cNvGraphicFramePr/>
                <a:graphic xmlns:a="http://schemas.openxmlformats.org/drawingml/2006/main">
                  <a:graphicData uri="http://schemas.microsoft.com/office/word/2010/wordprocessingShape">
                    <wps:wsp>
                      <wps:cNvSpPr/>
                      <wps:spPr>
                        <a:xfrm>
                          <a:off x="0" y="0"/>
                          <a:ext cx="6778625" cy="1063625"/>
                        </a:xfrm>
                        <a:prstGeom prst="roundRect">
                          <a:avLst>
                            <a:gd name="adj" fmla="val 6411"/>
                          </a:avLst>
                        </a:prstGeom>
                        <a:noFill/>
                        <a:ln w="19050" cap="flat" cmpd="sng">
                          <a:solidFill>
                            <a:srgbClr val="82CAA0"/>
                          </a:solidFill>
                          <a:prstDash val="solid"/>
                          <a:miter lim="800000"/>
                          <a:headEnd type="none" w="sm" len="sm"/>
                          <a:tailEnd type="none" w="sm" len="sm"/>
                        </a:ln>
                      </wps:spPr>
                      <wps:txbx>
                        <w:txbxContent>
                          <w:p w14:paraId="08ECE958" w14:textId="77777777" w:rsidR="00D15FD8" w:rsidRDefault="00D15FD8" w:rsidP="00A36B41">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A9BA1F9" id="Rounded Rectangle 2458" o:spid="_x0000_s1592" style="position:absolute;left:0;text-align:left;margin-left:-3.1pt;margin-top:12.9pt;width:533.75pt;height:83.75pt;z-index:2554101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" filled="f" strokecolor="#82caa0" strokeweight="1.5pt">
                <v:stroke startarrowwidth="narrow" startarrowlength="short" endarrowwidth="narrow" endarrowlength="short" joinstyle="miter"/>
                <v:textbox inset="2.53958mm,2.53958mm,2.53958mm,2.53958mm">
                  <w:txbxContent>
                    <w:p w14:paraId="08ECE958" w14:textId="77777777" w:rsidR="00D15FD8" w:rsidRDefault="00D15FD8" w:rsidP="00A36B41">
                      <w:pPr>
                        <w:textDirection w:val="btLr"/>
                      </w:pPr>
                    </w:p>
                  </w:txbxContent>
                </v:textbox>
                <w10:wrap anchorx="margin"/>
              </v:roundrect>
            </w:pict>
          </mc:Fallback>
        </mc:AlternateContent>
      </w:r>
    </w:p>
    <w:p w14:paraId="13DDD5E9" w14:textId="20E9F9BD" w:rsidR="007C3F48" w:rsidRPr="003625BA" w:rsidRDefault="00991FD1" w:rsidP="007C3F48">
      <w:pPr>
        <w:tabs>
          <w:tab w:val="left" w:pos="5291"/>
        </w:tabs>
        <w:spacing w:line="276" w:lineRule="auto"/>
        <w:jc w:val="both"/>
        <w:rPr>
          <w:rFonts w:ascii="Roboto" w:eastAsia="Roboto" w:hAnsi="Roboto" w:cs="Roboto"/>
          <w:sz w:val="20"/>
          <w:szCs w:val="20"/>
        </w:rPr>
      </w:pPr>
      <w:r w:rsidRPr="003625BA">
        <w:rPr>
          <w:rFonts w:ascii="Roboto" w:hAnsi="Roboto"/>
          <w:noProof/>
          <w:sz w:val="20"/>
          <w:szCs w:val="20"/>
          <w:lang w:val="en-US"/>
        </w:rPr>
        <mc:AlternateContent>
          <mc:Choice Requires="wps">
            <w:drawing>
              <wp:anchor distT="0" distB="0" distL="114300" distR="114300" simplePos="0" relativeHeight="254419966" behindDoc="0" locked="0" layoutInCell="1" hidden="0" allowOverlap="1" wp14:anchorId="3776C58C" wp14:editId="70062F13">
                <wp:simplePos x="0" y="0"/>
                <wp:positionH relativeFrom="margin">
                  <wp:posOffset>-4528</wp:posOffset>
                </wp:positionH>
                <wp:positionV relativeFrom="paragraph">
                  <wp:posOffset>23432</wp:posOffset>
                </wp:positionV>
                <wp:extent cx="6690511" cy="937549"/>
                <wp:effectExtent l="0" t="0" r="0" b="0"/>
                <wp:wrapNone/>
                <wp:docPr id="2459" name="Rectangle 2459"/>
                <wp:cNvGraphicFramePr/>
                <a:graphic xmlns:a="http://schemas.openxmlformats.org/drawingml/2006/main">
                  <a:graphicData uri="http://schemas.microsoft.com/office/word/2010/wordprocessingShape">
                    <wps:wsp>
                      <wps:cNvSpPr/>
                      <wps:spPr>
                        <a:xfrm>
                          <a:off x="0" y="0"/>
                          <a:ext cx="6690511" cy="937549"/>
                        </a:xfrm>
                        <a:prstGeom prst="rect">
                          <a:avLst/>
                        </a:prstGeom>
                        <a:noFill/>
                        <a:ln>
                          <a:noFill/>
                        </a:ln>
                      </wps:spPr>
                      <wps:txbx>
                        <w:txbxContent>
                          <w:p w14:paraId="64F453CE" w14:textId="19D006C8" w:rsidR="00D15FD8" w:rsidRPr="003625BA" w:rsidRDefault="00D15FD8" w:rsidP="005D15AA">
                            <w:pPr>
                              <w:spacing w:line="275" w:lineRule="auto"/>
                              <w:ind w:right="-8"/>
                              <w:jc w:val="both"/>
                              <w:textDirection w:val="btLr"/>
                              <w:rPr>
                                <w:color w:val="000000" w:themeColor="text1"/>
                                <w:sz w:val="20"/>
                                <w:szCs w:val="20"/>
                              </w:rPr>
                            </w:pPr>
                            <w:r w:rsidRPr="003625BA">
                              <w:rPr>
                                <w:rFonts w:ascii="Roboto" w:eastAsia="Roboto" w:hAnsi="Roboto" w:cs="Roboto"/>
                                <w:b/>
                                <w:color w:val="82CAA0"/>
                                <w:sz w:val="20"/>
                                <w:szCs w:val="20"/>
                              </w:rPr>
                              <w:t>Section 1 and 2</w:t>
                            </w:r>
                            <w:r w:rsidRPr="003625BA">
                              <w:rPr>
                                <w:rFonts w:ascii="Roboto" w:eastAsia="Roboto" w:hAnsi="Roboto" w:cs="Roboto"/>
                                <w:color w:val="82CAA0"/>
                                <w:sz w:val="20"/>
                                <w:szCs w:val="20"/>
                              </w:rPr>
                              <w:t xml:space="preserve"> </w:t>
                            </w:r>
                            <w:r w:rsidRPr="003625BA">
                              <w:rPr>
                                <w:rFonts w:ascii="Roboto" w:eastAsia="Roboto" w:hAnsi="Roboto" w:cs="Roboto"/>
                                <w:color w:val="000000" w:themeColor="text1"/>
                                <w:sz w:val="20"/>
                                <w:szCs w:val="20"/>
                              </w:rPr>
                              <w:t>describes what open data is and why it is important as discussed earlier in this module. Section</w:t>
                            </w:r>
                            <w:r>
                              <w:rPr>
                                <w:rFonts w:ascii="Roboto" w:eastAsia="Roboto" w:hAnsi="Roboto" w:cs="Roboto"/>
                                <w:color w:val="000000" w:themeColor="text1"/>
                                <w:sz w:val="20"/>
                                <w:szCs w:val="20"/>
                              </w:rPr>
                              <w:t> </w:t>
                            </w:r>
                            <w:r w:rsidRPr="003625BA">
                              <w:rPr>
                                <w:rFonts w:ascii="Roboto" w:eastAsia="Roboto" w:hAnsi="Roboto" w:cs="Roboto"/>
                                <w:color w:val="000000" w:themeColor="text1"/>
                                <w:sz w:val="20"/>
                                <w:szCs w:val="20"/>
                              </w:rPr>
                              <w:t>2 also presents several use cases for open budget data allowing the reader to practically see how different types of data can be used. Importantly it states that one of the best uses of open data in public administration, is the promotion of "Data-driven policy making" which uses structured governmental data, as a key input to solve complex problems such as poverty, climate change, migration, among others, based on publicly available information.</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776C58C" id="Rectangle 2459" o:spid="_x0000_s1593" style="position:absolute;left:0;text-align:left;margin-left:-.35pt;margin-top:1.85pt;width:526.8pt;height:73.8pt;z-index:2544199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" filled="f" stroked="f">
                <v:textbox inset="2.53958mm,1.2694mm,2.53958mm,1.2694mm">
                  <w:txbxContent>
                    <w:p w14:paraId="64F453CE" w14:textId="19D006C8" w:rsidR="00D15FD8" w:rsidRPr="003625BA" w:rsidRDefault="00D15FD8" w:rsidP="005D15AA">
                      <w:pPr>
                        <w:spacing w:line="275" w:lineRule="auto"/>
                        <w:ind w:right="-8"/>
                        <w:jc w:val="both"/>
                        <w:textDirection w:val="btLr"/>
                        <w:rPr>
                          <w:color w:val="000000" w:themeColor="text1"/>
                          <w:sz w:val="20"/>
                          <w:szCs w:val="20"/>
                        </w:rPr>
                      </w:pPr>
                      <w:r w:rsidRPr="003625BA">
                        <w:rPr>
                          <w:rFonts w:ascii="Roboto" w:eastAsia="Roboto" w:hAnsi="Roboto" w:cs="Roboto"/>
                          <w:b/>
                          <w:color w:val="82CAA0"/>
                          <w:sz w:val="20"/>
                          <w:szCs w:val="20"/>
                        </w:rPr>
                        <w:t>Section 1 and 2</w:t>
                      </w:r>
                      <w:r w:rsidRPr="003625BA">
                        <w:rPr>
                          <w:rFonts w:ascii="Roboto" w:eastAsia="Roboto" w:hAnsi="Roboto" w:cs="Roboto"/>
                          <w:color w:val="82CAA0"/>
                          <w:sz w:val="20"/>
                          <w:szCs w:val="20"/>
                        </w:rPr>
                        <w:t xml:space="preserve"> </w:t>
                      </w:r>
                      <w:r w:rsidRPr="003625BA">
                        <w:rPr>
                          <w:rFonts w:ascii="Roboto" w:eastAsia="Roboto" w:hAnsi="Roboto" w:cs="Roboto"/>
                          <w:color w:val="000000" w:themeColor="text1"/>
                          <w:sz w:val="20"/>
                          <w:szCs w:val="20"/>
                        </w:rPr>
                        <w:t>describes what open data is and why it is important as discussed earlier in this module. Section</w:t>
                      </w:r>
                      <w:r>
                        <w:rPr>
                          <w:rFonts w:ascii="Roboto" w:eastAsia="Roboto" w:hAnsi="Roboto" w:cs="Roboto"/>
                          <w:color w:val="000000" w:themeColor="text1"/>
                          <w:sz w:val="20"/>
                          <w:szCs w:val="20"/>
                        </w:rPr>
                        <w:t> </w:t>
                      </w:r>
                      <w:r w:rsidRPr="003625BA">
                        <w:rPr>
                          <w:rFonts w:ascii="Roboto" w:eastAsia="Roboto" w:hAnsi="Roboto" w:cs="Roboto"/>
                          <w:color w:val="000000" w:themeColor="text1"/>
                          <w:sz w:val="20"/>
                          <w:szCs w:val="20"/>
                        </w:rPr>
                        <w:t>2 also presents several use cases for open budget data allowing the reader to practically see how different types of data can be used. Importantly it states that one of the best uses of open data in public administration, is the promotion of "Data-driven policy making" which uses structured governmental data, as a key input to solve complex problems such as poverty, climate change, migration, among others, based on publicly available information.</w:t>
                      </w:r>
                    </w:p>
                  </w:txbxContent>
                </v:textbox>
                <w10:wrap anchorx="margin"/>
              </v:rect>
            </w:pict>
          </mc:Fallback>
        </mc:AlternateContent>
      </w:r>
      <w:r w:rsidR="007C3F48" w:rsidRPr="003625BA">
        <w:rPr>
          <w:rFonts w:ascii="Roboto" w:eastAsia="Roboto" w:hAnsi="Roboto" w:cs="Roboto"/>
          <w:sz w:val="20"/>
          <w:szCs w:val="20"/>
        </w:rPr>
        <w:tab/>
      </w:r>
    </w:p>
    <w:p w14:paraId="4063FA40" w14:textId="4CFEE2DA" w:rsidR="007C3F48" w:rsidRPr="003625BA" w:rsidRDefault="007C3F48" w:rsidP="007C3F48">
      <w:pPr>
        <w:rPr>
          <w:rFonts w:ascii="Roboto" w:eastAsia="Roboto" w:hAnsi="Roboto" w:cs="Roboto"/>
          <w:sz w:val="20"/>
          <w:szCs w:val="20"/>
        </w:rPr>
      </w:pPr>
    </w:p>
    <w:p w14:paraId="56844257" w14:textId="4EE4A6F2" w:rsidR="007C3F48" w:rsidRPr="003625BA" w:rsidRDefault="007C3F48" w:rsidP="007C3F48">
      <w:pPr>
        <w:pBdr>
          <w:top w:val="nil"/>
          <w:left w:val="nil"/>
          <w:bottom w:val="nil"/>
          <w:right w:val="nil"/>
          <w:between w:val="nil"/>
        </w:pBdr>
        <w:spacing w:line="276" w:lineRule="auto"/>
        <w:ind w:left="720"/>
        <w:rPr>
          <w:rFonts w:ascii="Roboto" w:eastAsia="Roboto" w:hAnsi="Roboto" w:cs="Roboto"/>
          <w:color w:val="000000"/>
          <w:sz w:val="20"/>
          <w:szCs w:val="20"/>
        </w:rPr>
      </w:pPr>
    </w:p>
    <w:p w14:paraId="2AF1DC52" w14:textId="251D1CF2" w:rsidR="007C3F48" w:rsidRPr="003625BA" w:rsidRDefault="007C3F48" w:rsidP="007C3F48">
      <w:pPr>
        <w:pBdr>
          <w:top w:val="nil"/>
          <w:left w:val="nil"/>
          <w:bottom w:val="nil"/>
          <w:right w:val="nil"/>
          <w:between w:val="nil"/>
        </w:pBdr>
        <w:spacing w:line="276" w:lineRule="auto"/>
        <w:ind w:left="720"/>
        <w:rPr>
          <w:rFonts w:ascii="Roboto" w:eastAsia="Roboto" w:hAnsi="Roboto" w:cs="Roboto"/>
          <w:color w:val="000000"/>
          <w:sz w:val="20"/>
          <w:szCs w:val="20"/>
        </w:rPr>
      </w:pPr>
    </w:p>
    <w:p w14:paraId="1B9E1207" w14:textId="455F3444" w:rsidR="007C3F48" w:rsidRPr="003625BA" w:rsidRDefault="007C3F48" w:rsidP="007C3F48">
      <w:pPr>
        <w:spacing w:line="276" w:lineRule="auto"/>
        <w:ind w:left="360"/>
        <w:rPr>
          <w:rFonts w:ascii="Roboto" w:eastAsia="Roboto" w:hAnsi="Roboto" w:cs="Roboto"/>
          <w:sz w:val="20"/>
          <w:szCs w:val="20"/>
        </w:rPr>
      </w:pPr>
    </w:p>
    <w:p w14:paraId="1A266106" w14:textId="465D3DC3" w:rsidR="007C3F48" w:rsidRPr="003625BA" w:rsidRDefault="007C3F48" w:rsidP="007C3F48">
      <w:pPr>
        <w:spacing w:line="276" w:lineRule="auto"/>
        <w:jc w:val="right"/>
        <w:rPr>
          <w:rFonts w:ascii="Roboto" w:eastAsia="Roboto" w:hAnsi="Roboto" w:cs="Roboto"/>
          <w:sz w:val="20"/>
          <w:szCs w:val="20"/>
        </w:rPr>
      </w:pPr>
    </w:p>
    <w:p w14:paraId="77E382AF" w14:textId="00A39A81" w:rsidR="007C3F48" w:rsidRPr="003625BA" w:rsidRDefault="00991FD1" w:rsidP="003625BA">
      <w:pPr>
        <w:spacing w:line="276" w:lineRule="auto"/>
        <w:rPr>
          <w:rFonts w:ascii="Roboto" w:eastAsia="Roboto" w:hAnsi="Roboto" w:cs="Roboto"/>
          <w:sz w:val="20"/>
          <w:szCs w:val="20"/>
        </w:rPr>
      </w:pPr>
      <w:r w:rsidRPr="003625BA">
        <w:rPr>
          <w:rFonts w:ascii="Roboto" w:hAnsi="Roboto"/>
          <w:noProof/>
          <w:sz w:val="20"/>
          <w:szCs w:val="20"/>
          <w:lang w:val="en-US"/>
        </w:rPr>
        <mc:AlternateContent>
          <mc:Choice Requires="wps">
            <w:drawing>
              <wp:anchor distT="0" distB="0" distL="114300" distR="114300" simplePos="0" relativeHeight="251619280" behindDoc="0" locked="0" layoutInCell="1" hidden="0" allowOverlap="1" wp14:anchorId="4B41BDBF" wp14:editId="5890DCF7">
                <wp:simplePos x="0" y="0"/>
                <wp:positionH relativeFrom="margin">
                  <wp:posOffset>-41564</wp:posOffset>
                </wp:positionH>
                <wp:positionV relativeFrom="paragraph">
                  <wp:posOffset>180266</wp:posOffset>
                </wp:positionV>
                <wp:extent cx="6778625" cy="2612571"/>
                <wp:effectExtent l="0" t="0" r="22225" b="16510"/>
                <wp:wrapNone/>
                <wp:docPr id="279" name="Rounded Rectangle 279"/>
                <wp:cNvGraphicFramePr/>
                <a:graphic xmlns:a="http://schemas.openxmlformats.org/drawingml/2006/main">
                  <a:graphicData uri="http://schemas.microsoft.com/office/word/2010/wordprocessingShape">
                    <wps:wsp>
                      <wps:cNvSpPr/>
                      <wps:spPr>
                        <a:xfrm>
                          <a:off x="0" y="0"/>
                          <a:ext cx="6778625" cy="2612571"/>
                        </a:xfrm>
                        <a:prstGeom prst="roundRect">
                          <a:avLst>
                            <a:gd name="adj" fmla="val 3341"/>
                          </a:avLst>
                        </a:prstGeom>
                        <a:noFill/>
                        <a:ln w="19050" cap="flat" cmpd="sng">
                          <a:solidFill>
                            <a:srgbClr val="82CAA0"/>
                          </a:solidFill>
                          <a:prstDash val="solid"/>
                          <a:miter lim="800000"/>
                          <a:headEnd type="none" w="sm" len="sm"/>
                          <a:tailEnd type="none" w="sm" len="sm"/>
                        </a:ln>
                      </wps:spPr>
                      <wps:txbx>
                        <w:txbxContent>
                          <w:p w14:paraId="77EB9C99" w14:textId="77777777" w:rsidR="00D15FD8" w:rsidRDefault="00D15FD8" w:rsidP="00991FD1">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B41BDBF" id="Rounded Rectangle 279" o:spid="_x0000_s1594" style="position:absolute;margin-left:-3.25pt;margin-top:14.2pt;width:533.75pt;height:205.7pt;z-index:25161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" filled="f" strokecolor="#82caa0" strokeweight="1.5pt">
                <v:stroke startarrowwidth="narrow" startarrowlength="short" endarrowwidth="narrow" endarrowlength="short" joinstyle="miter"/>
                <v:textbox inset="2.53958mm,2.53958mm,2.53958mm,2.53958mm">
                  <w:txbxContent>
                    <w:p w14:paraId="77EB9C99" w14:textId="77777777" w:rsidR="00D15FD8" w:rsidRDefault="00D15FD8" w:rsidP="00991FD1">
                      <w:pPr>
                        <w:textDirection w:val="btLr"/>
                      </w:pPr>
                    </w:p>
                  </w:txbxContent>
                </v:textbox>
                <w10:wrap anchorx="margin"/>
              </v:roundrect>
            </w:pict>
          </mc:Fallback>
        </mc:AlternateContent>
      </w:r>
    </w:p>
    <w:p w14:paraId="76F30CD5" w14:textId="7E363531" w:rsidR="007C3F48" w:rsidRPr="003625BA" w:rsidRDefault="00991FD1" w:rsidP="007C3F48">
      <w:pPr>
        <w:spacing w:line="276" w:lineRule="auto"/>
        <w:jc w:val="right"/>
        <w:rPr>
          <w:rFonts w:ascii="Roboto" w:eastAsia="Roboto" w:hAnsi="Roboto" w:cs="Roboto"/>
          <w:sz w:val="20"/>
          <w:szCs w:val="20"/>
        </w:rPr>
      </w:pPr>
      <w:r w:rsidRPr="003625BA">
        <w:rPr>
          <w:rFonts w:ascii="Roboto" w:hAnsi="Roboto"/>
          <w:noProof/>
          <w:sz w:val="20"/>
          <w:szCs w:val="20"/>
          <w:lang w:val="en-US"/>
        </w:rPr>
        <mc:AlternateContent>
          <mc:Choice Requires="wps">
            <w:drawing>
              <wp:anchor distT="0" distB="0" distL="114300" distR="114300" simplePos="0" relativeHeight="255532030" behindDoc="0" locked="0" layoutInCell="1" hidden="0" allowOverlap="1" wp14:anchorId="722F5E8A" wp14:editId="6D54A09B">
                <wp:simplePos x="0" y="0"/>
                <wp:positionH relativeFrom="column">
                  <wp:posOffset>-5644</wp:posOffset>
                </wp:positionH>
                <wp:positionV relativeFrom="paragraph">
                  <wp:posOffset>73519</wp:posOffset>
                </wp:positionV>
                <wp:extent cx="6674485" cy="812800"/>
                <wp:effectExtent l="0" t="0" r="0" b="0"/>
                <wp:wrapNone/>
                <wp:docPr id="2461" name="Rectangle 2461"/>
                <wp:cNvGraphicFramePr/>
                <a:graphic xmlns:a="http://schemas.openxmlformats.org/drawingml/2006/main">
                  <a:graphicData uri="http://schemas.microsoft.com/office/word/2010/wordprocessingShape">
                    <wps:wsp>
                      <wps:cNvSpPr/>
                      <wps:spPr>
                        <a:xfrm>
                          <a:off x="0" y="0"/>
                          <a:ext cx="6674485" cy="812800"/>
                        </a:xfrm>
                        <a:prstGeom prst="rect">
                          <a:avLst/>
                        </a:prstGeom>
                        <a:noFill/>
                        <a:ln>
                          <a:noFill/>
                        </a:ln>
                      </wps:spPr>
                      <wps:txbx>
                        <w:txbxContent>
                          <w:p w14:paraId="0E5734FD" w14:textId="77777777" w:rsidR="00D15FD8" w:rsidRPr="003625BA" w:rsidRDefault="00D15FD8" w:rsidP="00991FD1">
                            <w:pPr>
                              <w:spacing w:line="275" w:lineRule="auto"/>
                              <w:jc w:val="both"/>
                              <w:textDirection w:val="btLr"/>
                              <w:rPr>
                                <w:sz w:val="20"/>
                                <w:szCs w:val="20"/>
                              </w:rPr>
                            </w:pPr>
                            <w:r w:rsidRPr="003625BA">
                              <w:rPr>
                                <w:rFonts w:ascii="Roboto" w:eastAsia="Roboto" w:hAnsi="Roboto" w:cs="Roboto"/>
                                <w:b/>
                                <w:color w:val="82CAA0"/>
                                <w:sz w:val="20"/>
                                <w:szCs w:val="20"/>
                              </w:rPr>
                              <w:t>Section 3</w:t>
                            </w:r>
                            <w:r w:rsidRPr="003625BA">
                              <w:rPr>
                                <w:rFonts w:ascii="Roboto" w:eastAsia="Roboto" w:hAnsi="Roboto" w:cs="Roboto"/>
                                <w:color w:val="82CAA0"/>
                                <w:sz w:val="20"/>
                                <w:szCs w:val="20"/>
                              </w:rPr>
                              <w:t xml:space="preserve"> </w:t>
                            </w:r>
                            <w:r w:rsidRPr="003625BA">
                              <w:rPr>
                                <w:rFonts w:ascii="Roboto" w:eastAsia="Roboto" w:hAnsi="Roboto" w:cs="Roboto"/>
                                <w:color w:val="000000" w:themeColor="text1"/>
                                <w:sz w:val="20"/>
                                <w:szCs w:val="20"/>
                              </w:rPr>
                              <w:t xml:space="preserve">takes readers through the data opening process. It states that since data publication depends on the characteristics of the information, the technical capacities available and the time frame for its execution, there is no single formula/process that can be prescribed; however, it points to a series of useful steps that should be considered, together with guidance, reference videos and documents.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22F5E8A" id="Rectangle 2461" o:spid="_x0000_s1595" style="position:absolute;left:0;text-align:left;margin-left:-.45pt;margin-top:5.8pt;width:525.55pt;height:64pt;z-index:2555320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" filled="f" stroked="f">
                <v:textbox inset="2.53958mm,1.2694mm,2.53958mm,1.2694mm">
                  <w:txbxContent>
                    <w:p w14:paraId="0E5734FD" w14:textId="77777777" w:rsidR="00D15FD8" w:rsidRPr="003625BA" w:rsidRDefault="00D15FD8" w:rsidP="00991FD1">
                      <w:pPr>
                        <w:spacing w:line="275" w:lineRule="auto"/>
                        <w:jc w:val="both"/>
                        <w:textDirection w:val="btLr"/>
                        <w:rPr>
                          <w:sz w:val="20"/>
                          <w:szCs w:val="20"/>
                        </w:rPr>
                      </w:pPr>
                      <w:r w:rsidRPr="003625BA">
                        <w:rPr>
                          <w:rFonts w:ascii="Roboto" w:eastAsia="Roboto" w:hAnsi="Roboto" w:cs="Roboto"/>
                          <w:b/>
                          <w:color w:val="82CAA0"/>
                          <w:sz w:val="20"/>
                          <w:szCs w:val="20"/>
                        </w:rPr>
                        <w:t>Section 3</w:t>
                      </w:r>
                      <w:r w:rsidRPr="003625BA">
                        <w:rPr>
                          <w:rFonts w:ascii="Roboto" w:eastAsia="Roboto" w:hAnsi="Roboto" w:cs="Roboto"/>
                          <w:color w:val="82CAA0"/>
                          <w:sz w:val="20"/>
                          <w:szCs w:val="20"/>
                        </w:rPr>
                        <w:t xml:space="preserve"> </w:t>
                      </w:r>
                      <w:r w:rsidRPr="003625BA">
                        <w:rPr>
                          <w:rFonts w:ascii="Roboto" w:eastAsia="Roboto" w:hAnsi="Roboto" w:cs="Roboto"/>
                          <w:color w:val="000000" w:themeColor="text1"/>
                          <w:sz w:val="20"/>
                          <w:szCs w:val="20"/>
                        </w:rPr>
                        <w:t xml:space="preserve">takes readers through the data opening process. It states that since data publication depends on the characteristics of the information, the technical capacities available and the time frame for its execution, there is no single formula/process that can be prescribed; however, it points to a series of useful steps that should be considered, together with guidance, reference videos and documents. </w:t>
                      </w:r>
                    </w:p>
                  </w:txbxContent>
                </v:textbox>
              </v:rect>
            </w:pict>
          </mc:Fallback>
        </mc:AlternateContent>
      </w:r>
    </w:p>
    <w:p w14:paraId="6F740086" w14:textId="3E0BCAA9" w:rsidR="007C3F48" w:rsidRPr="003625BA" w:rsidRDefault="007C3F48" w:rsidP="00EB2A7C">
      <w:pPr>
        <w:spacing w:line="276" w:lineRule="auto"/>
        <w:jc w:val="right"/>
        <w:rPr>
          <w:rFonts w:ascii="Roboto" w:eastAsia="Roboto" w:hAnsi="Roboto" w:cs="Roboto"/>
          <w:sz w:val="20"/>
          <w:szCs w:val="20"/>
        </w:rPr>
      </w:pPr>
    </w:p>
    <w:p w14:paraId="4D64EBC9" w14:textId="1F87B764" w:rsidR="007C3F48" w:rsidRPr="003625BA" w:rsidRDefault="007C3F48" w:rsidP="007C3F48">
      <w:pPr>
        <w:rPr>
          <w:rFonts w:ascii="Roboto" w:eastAsia="Roboto" w:hAnsi="Roboto" w:cs="Roboto"/>
          <w:sz w:val="20"/>
          <w:szCs w:val="20"/>
        </w:rPr>
      </w:pPr>
    </w:p>
    <w:p w14:paraId="33B6583C" w14:textId="79CBD550" w:rsidR="007C3F48" w:rsidRPr="003625BA" w:rsidRDefault="007C3F48" w:rsidP="007C3F48">
      <w:pPr>
        <w:rPr>
          <w:rFonts w:ascii="Roboto" w:eastAsia="Roboto" w:hAnsi="Roboto" w:cs="Roboto"/>
          <w:sz w:val="20"/>
          <w:szCs w:val="20"/>
        </w:rPr>
      </w:pPr>
    </w:p>
    <w:p w14:paraId="7563C3F2" w14:textId="206FD5ED" w:rsidR="007C3F48" w:rsidRPr="003625BA" w:rsidRDefault="007C3F48" w:rsidP="007C3F48">
      <w:pPr>
        <w:rPr>
          <w:rFonts w:ascii="Roboto" w:eastAsia="Roboto" w:hAnsi="Roboto" w:cs="Roboto"/>
          <w:sz w:val="20"/>
          <w:szCs w:val="20"/>
        </w:rPr>
      </w:pPr>
    </w:p>
    <w:p w14:paraId="0F610611" w14:textId="7AC3D155" w:rsidR="007C3F48" w:rsidRPr="003625BA" w:rsidRDefault="007C3F48" w:rsidP="007C3F48">
      <w:pPr>
        <w:rPr>
          <w:rFonts w:ascii="Roboto" w:eastAsia="Roboto" w:hAnsi="Roboto" w:cs="Roboto"/>
          <w:sz w:val="20"/>
          <w:szCs w:val="20"/>
        </w:rPr>
      </w:pPr>
      <w:bookmarkStart w:id="2336" w:name="_heading=h.gjdgxs" w:colFirst="0" w:colLast="0"/>
      <w:bookmarkEnd w:id="2336"/>
    </w:p>
    <w:p w14:paraId="4CCE7D43" w14:textId="686145EE" w:rsidR="00754020" w:rsidRDefault="00D5112D" w:rsidP="007341AA">
      <w:pPr>
        <w:tabs>
          <w:tab w:val="left" w:pos="409"/>
          <w:tab w:val="left" w:pos="2300"/>
        </w:tabs>
        <w:rPr>
          <w:rFonts w:ascii="Roboto" w:eastAsia="Roboto" w:hAnsi="Roboto" w:cs="Roboto"/>
          <w:sz w:val="20"/>
          <w:szCs w:val="20"/>
        </w:rPr>
      </w:pPr>
      <w:r w:rsidRPr="003625BA">
        <w:rPr>
          <w:rFonts w:ascii="Roboto" w:hAnsi="Roboto"/>
          <w:noProof/>
          <w:sz w:val="20"/>
          <w:szCs w:val="20"/>
          <w:lang w:val="en-US"/>
        </w:rPr>
        <mc:AlternateContent>
          <mc:Choice Requires="wps">
            <w:drawing>
              <wp:anchor distT="0" distB="0" distL="114300" distR="114300" simplePos="0" relativeHeight="254451710" behindDoc="0" locked="0" layoutInCell="1" hidden="0" allowOverlap="1" wp14:anchorId="5EAE5956" wp14:editId="33EDC2CC">
                <wp:simplePos x="0" y="0"/>
                <wp:positionH relativeFrom="column">
                  <wp:posOffset>-3810</wp:posOffset>
                </wp:positionH>
                <wp:positionV relativeFrom="paragraph">
                  <wp:posOffset>5553075</wp:posOffset>
                </wp:positionV>
                <wp:extent cx="407035" cy="296545"/>
                <wp:effectExtent l="0" t="0" r="0" b="0"/>
                <wp:wrapNone/>
                <wp:docPr id="81" name="Rectangle 81"/>
                <wp:cNvGraphicFramePr/>
                <a:graphic xmlns:a="http://schemas.openxmlformats.org/drawingml/2006/main">
                  <a:graphicData uri="http://schemas.microsoft.com/office/word/2010/wordprocessingShape">
                    <wps:wsp>
                      <wps:cNvSpPr/>
                      <wps:spPr>
                        <a:xfrm>
                          <a:off x="0" y="0"/>
                          <a:ext cx="407035" cy="296545"/>
                        </a:xfrm>
                        <a:prstGeom prst="rect">
                          <a:avLst/>
                        </a:prstGeom>
                        <a:noFill/>
                        <a:ln>
                          <a:noFill/>
                        </a:ln>
                      </wps:spPr>
                      <wps:txbx>
                        <w:txbxContent>
                          <w:p w14:paraId="2596CF0B" w14:textId="77777777" w:rsidR="00D15FD8" w:rsidRDefault="00D15FD8" w:rsidP="007C3F48">
                            <w:pPr>
                              <w:jc w:val="center"/>
                              <w:textDirection w:val="btLr"/>
                            </w:pPr>
                            <w:r>
                              <w:rPr>
                                <w:rFonts w:ascii="Roboto" w:eastAsia="Roboto" w:hAnsi="Roboto" w:cs="Roboto"/>
                                <w:b/>
                                <w:color w:val="FFFFFF"/>
                                <w:sz w:val="24"/>
                              </w:rPr>
                              <w:t>7.</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EAE5956" id="Rectangle 81" o:spid="_x0000_s1596" style="position:absolute;margin-left:-.3pt;margin-top:437.25pt;width:32.05pt;height:23.35pt;z-index:254451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" filled="f" stroked="f">
                <v:textbox inset="2.53958mm,1.2694mm,2.53958mm,1.2694mm">
                  <w:txbxContent>
                    <w:p w14:paraId="2596CF0B" w14:textId="77777777" w:rsidR="00D15FD8" w:rsidRDefault="00D15FD8" w:rsidP="007C3F48">
                      <w:pPr>
                        <w:jc w:val="center"/>
                        <w:textDirection w:val="btLr"/>
                      </w:pPr>
                      <w:r>
                        <w:rPr>
                          <w:rFonts w:ascii="Roboto" w:eastAsia="Roboto" w:hAnsi="Roboto" w:cs="Roboto"/>
                          <w:b/>
                          <w:color w:val="FFFFFF"/>
                          <w:sz w:val="24"/>
                        </w:rPr>
                        <w:t>7.</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38398" behindDoc="0" locked="0" layoutInCell="1" hidden="0" allowOverlap="1" wp14:anchorId="0C0304A9" wp14:editId="4356E546">
                <wp:simplePos x="0" y="0"/>
                <wp:positionH relativeFrom="column">
                  <wp:posOffset>524510</wp:posOffset>
                </wp:positionH>
                <wp:positionV relativeFrom="paragraph">
                  <wp:posOffset>3564255</wp:posOffset>
                </wp:positionV>
                <wp:extent cx="35560" cy="359410"/>
                <wp:effectExtent l="0" t="0" r="2540" b="0"/>
                <wp:wrapNone/>
                <wp:docPr id="2472" name="Rounded Rectangle 2472"/>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5EEF4B8A" w14:textId="77777777" w:rsidR="00D15FD8" w:rsidRDefault="00D15FD8" w:rsidP="007C3F48">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C0304A9" id="Rounded Rectangle 2472" o:spid="_x0000_s1597" style="position:absolute;margin-left:41.3pt;margin-top:280.65pt;width:2.8pt;height:28.3pt;z-index:25443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" fillcolor="#82caa0" stroked="f">
                <v:textbox inset="2.53958mm,2.53958mm,2.53958mm,2.53958mm">
                  <w:txbxContent>
                    <w:p w14:paraId="5EEF4B8A" w14:textId="77777777" w:rsidR="00D15FD8" w:rsidRDefault="00D15FD8" w:rsidP="007C3F48">
                      <w:pPr>
                        <w:textDirection w:val="btLr"/>
                      </w:pPr>
                    </w:p>
                  </w:txbxContent>
                </v:textbox>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35326" behindDoc="0" locked="0" layoutInCell="1" hidden="0" allowOverlap="1" wp14:anchorId="0DC9B0D0" wp14:editId="77A68E1C">
                <wp:simplePos x="0" y="0"/>
                <wp:positionH relativeFrom="column">
                  <wp:posOffset>78740</wp:posOffset>
                </wp:positionH>
                <wp:positionV relativeFrom="paragraph">
                  <wp:posOffset>3072130</wp:posOffset>
                </wp:positionV>
                <wp:extent cx="289560" cy="296545"/>
                <wp:effectExtent l="0" t="0" r="0" b="0"/>
                <wp:wrapNone/>
                <wp:docPr id="2470" name="Rectangle 2470"/>
                <wp:cNvGraphicFramePr/>
                <a:graphic xmlns:a="http://schemas.openxmlformats.org/drawingml/2006/main">
                  <a:graphicData uri="http://schemas.microsoft.com/office/word/2010/wordprocessingShape">
                    <wps:wsp>
                      <wps:cNvSpPr/>
                      <wps:spPr>
                        <a:xfrm>
                          <a:off x="0" y="0"/>
                          <a:ext cx="289560" cy="296545"/>
                        </a:xfrm>
                        <a:prstGeom prst="rect">
                          <a:avLst/>
                        </a:prstGeom>
                        <a:noFill/>
                        <a:ln>
                          <a:noFill/>
                        </a:ln>
                      </wps:spPr>
                      <wps:txbx>
                        <w:txbxContent>
                          <w:p w14:paraId="2B9DCC5D" w14:textId="77777777" w:rsidR="00D15FD8" w:rsidRDefault="00D15FD8" w:rsidP="007C3F48">
                            <w:pPr>
                              <w:jc w:val="center"/>
                              <w:textDirection w:val="btLr"/>
                            </w:pPr>
                            <w:r>
                              <w:rPr>
                                <w:rFonts w:ascii="Roboto" w:eastAsia="Roboto" w:hAnsi="Roboto" w:cs="Roboto"/>
                                <w:b/>
                                <w:color w:val="FFFFFF"/>
                                <w:sz w:val="24"/>
                              </w:rPr>
                              <w:t>3.</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DC9B0D0" id="Rectangle 2470" o:spid="_x0000_s1598" style="position:absolute;margin-left:6.2pt;margin-top:241.9pt;width:22.8pt;height:23.35pt;z-index:254435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" filled="f" stroked="f">
                <v:textbox inset="2.53958mm,1.2694mm,2.53958mm,1.2694mm">
                  <w:txbxContent>
                    <w:p w14:paraId="2B9DCC5D" w14:textId="77777777" w:rsidR="00D15FD8" w:rsidRDefault="00D15FD8" w:rsidP="007C3F48">
                      <w:pPr>
                        <w:jc w:val="center"/>
                        <w:textDirection w:val="btLr"/>
                      </w:pPr>
                      <w:r>
                        <w:rPr>
                          <w:rFonts w:ascii="Roboto" w:eastAsia="Roboto" w:hAnsi="Roboto" w:cs="Roboto"/>
                          <w:b/>
                          <w:color w:val="FFFFFF"/>
                          <w:sz w:val="24"/>
                        </w:rPr>
                        <w:t>3.</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43518" behindDoc="0" locked="0" layoutInCell="1" hidden="0" allowOverlap="1" wp14:anchorId="75618E88" wp14:editId="4BA6C6A7">
                <wp:simplePos x="0" y="0"/>
                <wp:positionH relativeFrom="column">
                  <wp:posOffset>31115</wp:posOffset>
                </wp:positionH>
                <wp:positionV relativeFrom="paragraph">
                  <wp:posOffset>4283710</wp:posOffset>
                </wp:positionV>
                <wp:extent cx="388620" cy="259080"/>
                <wp:effectExtent l="0" t="0" r="0" b="0"/>
                <wp:wrapNone/>
                <wp:docPr id="2476" name="Rectangle 2476"/>
                <wp:cNvGraphicFramePr/>
                <a:graphic xmlns:a="http://schemas.openxmlformats.org/drawingml/2006/main">
                  <a:graphicData uri="http://schemas.microsoft.com/office/word/2010/wordprocessingShape">
                    <wps:wsp>
                      <wps:cNvSpPr/>
                      <wps:spPr>
                        <a:xfrm>
                          <a:off x="0" y="0"/>
                          <a:ext cx="388620" cy="259080"/>
                        </a:xfrm>
                        <a:prstGeom prst="rect">
                          <a:avLst/>
                        </a:prstGeom>
                        <a:noFill/>
                        <a:ln>
                          <a:noFill/>
                        </a:ln>
                      </wps:spPr>
                      <wps:txbx>
                        <w:txbxContent>
                          <w:p w14:paraId="4C0AE343" w14:textId="77777777" w:rsidR="00D15FD8" w:rsidRDefault="00D15FD8" w:rsidP="007C3F48">
                            <w:pPr>
                              <w:jc w:val="center"/>
                              <w:textDirection w:val="btLr"/>
                            </w:pPr>
                            <w:r>
                              <w:rPr>
                                <w:rFonts w:ascii="Roboto" w:eastAsia="Roboto" w:hAnsi="Roboto" w:cs="Roboto"/>
                                <w:b/>
                                <w:color w:val="FFFFFF"/>
                                <w:sz w:val="24"/>
                              </w:rPr>
                              <w:t>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5618E88" id="Rectangle 2476" o:spid="_x0000_s1599" style="position:absolute;margin-left:2.45pt;margin-top:337.3pt;width:30.6pt;height:20.4pt;z-index:254443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" filled="f" stroked="f">
                <v:textbox inset="2.53958mm,1.2694mm,2.53958mm,1.2694mm">
                  <w:txbxContent>
                    <w:p w14:paraId="4C0AE343" w14:textId="77777777" w:rsidR="00D15FD8" w:rsidRDefault="00D15FD8" w:rsidP="007C3F48">
                      <w:pPr>
                        <w:jc w:val="center"/>
                        <w:textDirection w:val="btLr"/>
                      </w:pPr>
                      <w:r>
                        <w:rPr>
                          <w:rFonts w:ascii="Roboto" w:eastAsia="Roboto" w:hAnsi="Roboto" w:cs="Roboto"/>
                          <w:b/>
                          <w:color w:val="FFFFFF"/>
                          <w:sz w:val="24"/>
                        </w:rPr>
                        <w:t>5.</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47614" behindDoc="0" locked="0" layoutInCell="1" hidden="0" allowOverlap="1" wp14:anchorId="5A02AEED" wp14:editId="581FBF85">
                <wp:simplePos x="0" y="0"/>
                <wp:positionH relativeFrom="column">
                  <wp:posOffset>31750</wp:posOffset>
                </wp:positionH>
                <wp:positionV relativeFrom="paragraph">
                  <wp:posOffset>4965065</wp:posOffset>
                </wp:positionV>
                <wp:extent cx="370840" cy="277495"/>
                <wp:effectExtent l="0" t="0" r="0" b="0"/>
                <wp:wrapNone/>
                <wp:docPr id="2478" name="Rectangle 2478"/>
                <wp:cNvGraphicFramePr/>
                <a:graphic xmlns:a="http://schemas.openxmlformats.org/drawingml/2006/main">
                  <a:graphicData uri="http://schemas.microsoft.com/office/word/2010/wordprocessingShape">
                    <wps:wsp>
                      <wps:cNvSpPr/>
                      <wps:spPr>
                        <a:xfrm>
                          <a:off x="0" y="0"/>
                          <a:ext cx="370840" cy="277495"/>
                        </a:xfrm>
                        <a:prstGeom prst="rect">
                          <a:avLst/>
                        </a:prstGeom>
                        <a:noFill/>
                        <a:ln>
                          <a:noFill/>
                        </a:ln>
                      </wps:spPr>
                      <wps:txbx>
                        <w:txbxContent>
                          <w:p w14:paraId="79FEAADF" w14:textId="77777777" w:rsidR="00D15FD8" w:rsidRDefault="00D15FD8" w:rsidP="007C3F48">
                            <w:pPr>
                              <w:jc w:val="center"/>
                              <w:textDirection w:val="btLr"/>
                            </w:pPr>
                            <w:r>
                              <w:rPr>
                                <w:rFonts w:ascii="Roboto" w:eastAsia="Roboto" w:hAnsi="Roboto" w:cs="Roboto"/>
                                <w:b/>
                                <w:color w:val="FFFFFF"/>
                                <w:sz w:val="24"/>
                              </w:rPr>
                              <w:t>6.</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A02AEED" id="Rectangle 2478" o:spid="_x0000_s1600" style="position:absolute;margin-left:2.5pt;margin-top:390.95pt;width:29.2pt;height:21.85pt;z-index:254447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" filled="f" stroked="f">
                <v:textbox inset="2.53958mm,1.2694mm,2.53958mm,1.2694mm">
                  <w:txbxContent>
                    <w:p w14:paraId="79FEAADF" w14:textId="77777777" w:rsidR="00D15FD8" w:rsidRDefault="00D15FD8" w:rsidP="007C3F48">
                      <w:pPr>
                        <w:jc w:val="center"/>
                        <w:textDirection w:val="btLr"/>
                      </w:pPr>
                      <w:r>
                        <w:rPr>
                          <w:rFonts w:ascii="Roboto" w:eastAsia="Roboto" w:hAnsi="Roboto" w:cs="Roboto"/>
                          <w:b/>
                          <w:color w:val="FFFFFF"/>
                          <w:sz w:val="24"/>
                        </w:rPr>
                        <w:t>6.</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37374" behindDoc="0" locked="0" layoutInCell="1" hidden="0" allowOverlap="1" wp14:anchorId="086BE974" wp14:editId="5951A9FC">
                <wp:simplePos x="0" y="0"/>
                <wp:positionH relativeFrom="column">
                  <wp:posOffset>579755</wp:posOffset>
                </wp:positionH>
                <wp:positionV relativeFrom="paragraph">
                  <wp:posOffset>3507105</wp:posOffset>
                </wp:positionV>
                <wp:extent cx="6148705" cy="498475"/>
                <wp:effectExtent l="0" t="0" r="0" b="0"/>
                <wp:wrapNone/>
                <wp:docPr id="2471" name="Rectangle 2471"/>
                <wp:cNvGraphicFramePr/>
                <a:graphic xmlns:a="http://schemas.openxmlformats.org/drawingml/2006/main">
                  <a:graphicData uri="http://schemas.microsoft.com/office/word/2010/wordprocessingShape">
                    <wps:wsp>
                      <wps:cNvSpPr/>
                      <wps:spPr>
                        <a:xfrm>
                          <a:off x="0" y="0"/>
                          <a:ext cx="6148705" cy="498475"/>
                        </a:xfrm>
                        <a:prstGeom prst="rect">
                          <a:avLst/>
                        </a:prstGeom>
                        <a:noFill/>
                        <a:ln>
                          <a:noFill/>
                        </a:ln>
                      </wps:spPr>
                      <wps:txbx>
                        <w:txbxContent>
                          <w:p w14:paraId="5FB5DD15" w14:textId="77777777" w:rsidR="00D15FD8" w:rsidRPr="00C86CA6" w:rsidRDefault="00D15FD8" w:rsidP="00B67B76">
                            <w:pPr>
                              <w:spacing w:line="275" w:lineRule="auto"/>
                              <w:jc w:val="both"/>
                              <w:textDirection w:val="btLr"/>
                              <w:rPr>
                                <w:sz w:val="20"/>
                                <w:szCs w:val="20"/>
                              </w:rPr>
                            </w:pPr>
                            <w:r w:rsidRPr="00C86CA6">
                              <w:rPr>
                                <w:rFonts w:ascii="Roboto" w:eastAsia="Roboto" w:hAnsi="Roboto" w:cs="Roboto"/>
                                <w:color w:val="000000"/>
                                <w:sz w:val="20"/>
                                <w:szCs w:val="20"/>
                              </w:rPr>
                              <w:t xml:space="preserve">The data to be published should be in accordance with </w:t>
                            </w:r>
                            <w:r w:rsidRPr="00C86CA6">
                              <w:rPr>
                                <w:rFonts w:ascii="Roboto" w:eastAsia="Roboto" w:hAnsi="Roboto" w:cs="Roboto"/>
                                <w:b/>
                                <w:color w:val="82CAA0"/>
                                <w:sz w:val="20"/>
                                <w:szCs w:val="20"/>
                              </w:rPr>
                              <w:t>national and international norms and standards</w:t>
                            </w:r>
                            <w:r w:rsidRPr="00C86CA6">
                              <w:rPr>
                                <w:rFonts w:ascii="Roboto" w:eastAsia="Roboto" w:hAnsi="Roboto" w:cs="Roboto"/>
                                <w:color w:val="82CAA0"/>
                                <w:sz w:val="20"/>
                                <w:szCs w:val="20"/>
                              </w:rPr>
                              <w:t xml:space="preserve"> </w:t>
                            </w:r>
                            <w:r w:rsidRPr="00C86CA6">
                              <w:rPr>
                                <w:rFonts w:ascii="Roboto" w:eastAsia="Roboto" w:hAnsi="Roboto" w:cs="Roboto"/>
                                <w:color w:val="000000"/>
                                <w:sz w:val="20"/>
                                <w:szCs w:val="20"/>
                              </w:rPr>
                              <w:t>as this will allow it to be comparable and compatible in multiple contexts.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86BE974" id="Rectangle 2471" o:spid="_x0000_s1601" style="position:absolute;margin-left:45.65pt;margin-top:276.15pt;width:484.15pt;height:39.25pt;z-index:254437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" filled="f" stroked="f">
                <v:textbox inset="2.53958mm,1.2694mm,2.53958mm,1.2694mm">
                  <w:txbxContent>
                    <w:p w14:paraId="5FB5DD15" w14:textId="77777777" w:rsidR="00D15FD8" w:rsidRPr="00C86CA6" w:rsidRDefault="00D15FD8" w:rsidP="00B67B76">
                      <w:pPr>
                        <w:spacing w:line="275" w:lineRule="auto"/>
                        <w:jc w:val="both"/>
                        <w:textDirection w:val="btLr"/>
                        <w:rPr>
                          <w:sz w:val="20"/>
                          <w:szCs w:val="20"/>
                        </w:rPr>
                      </w:pPr>
                      <w:r w:rsidRPr="00C86CA6">
                        <w:rPr>
                          <w:rFonts w:ascii="Roboto" w:eastAsia="Roboto" w:hAnsi="Roboto" w:cs="Roboto"/>
                          <w:color w:val="000000"/>
                          <w:sz w:val="20"/>
                          <w:szCs w:val="20"/>
                        </w:rPr>
                        <w:t xml:space="preserve">The data to be published should be in accordance with </w:t>
                      </w:r>
                      <w:r w:rsidRPr="00C86CA6">
                        <w:rPr>
                          <w:rFonts w:ascii="Roboto" w:eastAsia="Roboto" w:hAnsi="Roboto" w:cs="Roboto"/>
                          <w:b/>
                          <w:color w:val="82CAA0"/>
                          <w:sz w:val="20"/>
                          <w:szCs w:val="20"/>
                        </w:rPr>
                        <w:t>national and international norms and standards</w:t>
                      </w:r>
                      <w:r w:rsidRPr="00C86CA6">
                        <w:rPr>
                          <w:rFonts w:ascii="Roboto" w:eastAsia="Roboto" w:hAnsi="Roboto" w:cs="Roboto"/>
                          <w:color w:val="82CAA0"/>
                          <w:sz w:val="20"/>
                          <w:szCs w:val="20"/>
                        </w:rPr>
                        <w:t xml:space="preserve"> </w:t>
                      </w:r>
                      <w:r w:rsidRPr="00C86CA6">
                        <w:rPr>
                          <w:rFonts w:ascii="Roboto" w:eastAsia="Roboto" w:hAnsi="Roboto" w:cs="Roboto"/>
                          <w:color w:val="000000"/>
                          <w:sz w:val="20"/>
                          <w:szCs w:val="20"/>
                        </w:rPr>
                        <w:t>as this will allow it to be comparable and compatible in multiple contexts.</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39422" behindDoc="0" locked="0" layoutInCell="1" hidden="0" allowOverlap="1" wp14:anchorId="3F576427" wp14:editId="71F9F307">
                <wp:simplePos x="0" y="0"/>
                <wp:positionH relativeFrom="column">
                  <wp:posOffset>66675</wp:posOffset>
                </wp:positionH>
                <wp:positionV relativeFrom="paragraph">
                  <wp:posOffset>3628390</wp:posOffset>
                </wp:positionV>
                <wp:extent cx="298450" cy="267970"/>
                <wp:effectExtent l="0" t="0" r="0" b="0"/>
                <wp:wrapNone/>
                <wp:docPr id="2473" name="Rectangle 2473"/>
                <wp:cNvGraphicFramePr/>
                <a:graphic xmlns:a="http://schemas.openxmlformats.org/drawingml/2006/main">
                  <a:graphicData uri="http://schemas.microsoft.com/office/word/2010/wordprocessingShape">
                    <wps:wsp>
                      <wps:cNvSpPr/>
                      <wps:spPr>
                        <a:xfrm>
                          <a:off x="0" y="0"/>
                          <a:ext cx="298450" cy="267970"/>
                        </a:xfrm>
                        <a:prstGeom prst="rect">
                          <a:avLst/>
                        </a:prstGeom>
                        <a:noFill/>
                        <a:ln>
                          <a:noFill/>
                        </a:ln>
                      </wps:spPr>
                      <wps:txbx>
                        <w:txbxContent>
                          <w:p w14:paraId="1D31CFF7" w14:textId="77777777" w:rsidR="00D15FD8" w:rsidRDefault="00D15FD8" w:rsidP="007C3F48">
                            <w:pPr>
                              <w:jc w:val="center"/>
                              <w:textDirection w:val="btLr"/>
                            </w:pPr>
                            <w:r>
                              <w:rPr>
                                <w:rFonts w:ascii="Roboto" w:eastAsia="Roboto" w:hAnsi="Roboto" w:cs="Roboto"/>
                                <w:b/>
                                <w:color w:val="FFFFFF"/>
                                <w:sz w:val="24"/>
                              </w:rPr>
                              <w:t>4.</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F576427" id="Rectangle 2473" o:spid="_x0000_s1602" style="position:absolute;margin-left:5.25pt;margin-top:285.7pt;width:23.5pt;height:21.1pt;z-index:254439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" filled="f" stroked="f">
                <v:textbox inset="2.53958mm,1.2694mm,2.53958mm,1.2694mm">
                  <w:txbxContent>
                    <w:p w14:paraId="1D31CFF7" w14:textId="77777777" w:rsidR="00D15FD8" w:rsidRDefault="00D15FD8" w:rsidP="007C3F48">
                      <w:pPr>
                        <w:jc w:val="center"/>
                        <w:textDirection w:val="btLr"/>
                      </w:pPr>
                      <w:r>
                        <w:rPr>
                          <w:rFonts w:ascii="Roboto" w:eastAsia="Roboto" w:hAnsi="Roboto" w:cs="Roboto"/>
                          <w:b/>
                          <w:color w:val="FFFFFF"/>
                          <w:sz w:val="24"/>
                        </w:rPr>
                        <w:t>4.</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42494" behindDoc="0" locked="0" layoutInCell="1" hidden="0" allowOverlap="1" wp14:anchorId="47C8F18A" wp14:editId="1CED5612">
                <wp:simplePos x="0" y="0"/>
                <wp:positionH relativeFrom="column">
                  <wp:posOffset>498475</wp:posOffset>
                </wp:positionH>
                <wp:positionV relativeFrom="paragraph">
                  <wp:posOffset>4139565</wp:posOffset>
                </wp:positionV>
                <wp:extent cx="35560" cy="467995"/>
                <wp:effectExtent l="0" t="0" r="2540" b="1905"/>
                <wp:wrapNone/>
                <wp:docPr id="2475" name="Rounded Rectangle 2475"/>
                <wp:cNvGraphicFramePr/>
                <a:graphic xmlns:a="http://schemas.openxmlformats.org/drawingml/2006/main">
                  <a:graphicData uri="http://schemas.microsoft.com/office/word/2010/wordprocessingShape">
                    <wps:wsp>
                      <wps:cNvSpPr/>
                      <wps:spPr>
                        <a:xfrm>
                          <a:off x="0" y="0"/>
                          <a:ext cx="35560" cy="467995"/>
                        </a:xfrm>
                        <a:prstGeom prst="roundRect">
                          <a:avLst>
                            <a:gd name="adj" fmla="val 16667"/>
                          </a:avLst>
                        </a:prstGeom>
                        <a:solidFill>
                          <a:srgbClr val="82CAA0"/>
                        </a:solidFill>
                        <a:ln>
                          <a:noFill/>
                        </a:ln>
                      </wps:spPr>
                      <wps:txbx>
                        <w:txbxContent>
                          <w:p w14:paraId="03983E43" w14:textId="77777777" w:rsidR="00D15FD8" w:rsidRDefault="00D15FD8" w:rsidP="007C3F48">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7C8F18A" id="Rounded Rectangle 2475" o:spid="_x0000_s1603" style="position:absolute;margin-left:39.25pt;margin-top:325.95pt;width:2.8pt;height:36.85pt;z-index:254442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" fillcolor="#82caa0" stroked="f">
                <v:textbox inset="2.53958mm,2.53958mm,2.53958mm,2.53958mm">
                  <w:txbxContent>
                    <w:p w14:paraId="03983E43" w14:textId="77777777" w:rsidR="00D15FD8" w:rsidRDefault="00D15FD8" w:rsidP="007C3F48">
                      <w:pPr>
                        <w:textDirection w:val="btLr"/>
                      </w:pPr>
                    </w:p>
                  </w:txbxContent>
                </v:textbox>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41470" behindDoc="0" locked="0" layoutInCell="1" hidden="0" allowOverlap="1" wp14:anchorId="786A16FB" wp14:editId="580BB433">
                <wp:simplePos x="0" y="0"/>
                <wp:positionH relativeFrom="column">
                  <wp:posOffset>565785</wp:posOffset>
                </wp:positionH>
                <wp:positionV relativeFrom="paragraph">
                  <wp:posOffset>4060190</wp:posOffset>
                </wp:positionV>
                <wp:extent cx="6148705" cy="651510"/>
                <wp:effectExtent l="0" t="0" r="0" b="0"/>
                <wp:wrapNone/>
                <wp:docPr id="2474" name="Rectangle 2474"/>
                <wp:cNvGraphicFramePr/>
                <a:graphic xmlns:a="http://schemas.openxmlformats.org/drawingml/2006/main">
                  <a:graphicData uri="http://schemas.microsoft.com/office/word/2010/wordprocessingShape">
                    <wps:wsp>
                      <wps:cNvSpPr/>
                      <wps:spPr>
                        <a:xfrm>
                          <a:off x="0" y="0"/>
                          <a:ext cx="6148705" cy="651510"/>
                        </a:xfrm>
                        <a:prstGeom prst="rect">
                          <a:avLst/>
                        </a:prstGeom>
                        <a:noFill/>
                        <a:ln>
                          <a:noFill/>
                        </a:ln>
                      </wps:spPr>
                      <wps:txbx>
                        <w:txbxContent>
                          <w:p w14:paraId="1B04009D" w14:textId="77777777" w:rsidR="00D15FD8" w:rsidRPr="00C86CA6" w:rsidRDefault="00D15FD8" w:rsidP="00B67B76">
                            <w:pPr>
                              <w:spacing w:line="275" w:lineRule="auto"/>
                              <w:jc w:val="both"/>
                              <w:textDirection w:val="btLr"/>
                              <w:rPr>
                                <w:sz w:val="20"/>
                                <w:szCs w:val="20"/>
                              </w:rPr>
                            </w:pPr>
                            <w:r w:rsidRPr="00C86CA6">
                              <w:rPr>
                                <w:rFonts w:ascii="Roboto" w:eastAsia="Roboto" w:hAnsi="Roboto" w:cs="Roboto"/>
                                <w:color w:val="000000"/>
                                <w:sz w:val="20"/>
                                <w:szCs w:val="20"/>
                              </w:rPr>
                              <w:t xml:space="preserve">Opening data implies a constant process dependent on the undertaking of different tasks and activities, involving among others, technological infrastructure, temporal and human costs. The </w:t>
                            </w:r>
                            <w:r w:rsidRPr="00C86CA6">
                              <w:rPr>
                                <w:rFonts w:ascii="Roboto" w:eastAsia="Roboto" w:hAnsi="Roboto" w:cs="Roboto"/>
                                <w:b/>
                                <w:color w:val="82CAA0"/>
                                <w:sz w:val="20"/>
                                <w:szCs w:val="20"/>
                              </w:rPr>
                              <w:t>sustainability</w:t>
                            </w:r>
                            <w:r w:rsidRPr="00C86CA6">
                              <w:rPr>
                                <w:rFonts w:ascii="Roboto" w:eastAsia="Roboto" w:hAnsi="Roboto" w:cs="Roboto"/>
                                <w:color w:val="000000"/>
                                <w:sz w:val="20"/>
                                <w:szCs w:val="20"/>
                              </w:rPr>
                              <w:t xml:space="preserve"> of this should be considered.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86A16FB" id="Rectangle 2474" o:spid="_x0000_s1604" style="position:absolute;margin-left:44.55pt;margin-top:319.7pt;width:484.15pt;height:51.3pt;z-index:254441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" filled="f" stroked="f">
                <v:textbox inset="2.53958mm,1.2694mm,2.53958mm,1.2694mm">
                  <w:txbxContent>
                    <w:p w14:paraId="1B04009D" w14:textId="77777777" w:rsidR="00D15FD8" w:rsidRPr="00C86CA6" w:rsidRDefault="00D15FD8" w:rsidP="00B67B76">
                      <w:pPr>
                        <w:spacing w:line="275" w:lineRule="auto"/>
                        <w:jc w:val="both"/>
                        <w:textDirection w:val="btLr"/>
                        <w:rPr>
                          <w:sz w:val="20"/>
                          <w:szCs w:val="20"/>
                        </w:rPr>
                      </w:pPr>
                      <w:r w:rsidRPr="00C86CA6">
                        <w:rPr>
                          <w:rFonts w:ascii="Roboto" w:eastAsia="Roboto" w:hAnsi="Roboto" w:cs="Roboto"/>
                          <w:color w:val="000000"/>
                          <w:sz w:val="20"/>
                          <w:szCs w:val="20"/>
                        </w:rPr>
                        <w:t xml:space="preserve">Opening data implies a constant process dependent on the undertaking of different tasks and activities, involving among others, technological infrastructure, temporal and human costs. The </w:t>
                      </w:r>
                      <w:r w:rsidRPr="00C86CA6">
                        <w:rPr>
                          <w:rFonts w:ascii="Roboto" w:eastAsia="Roboto" w:hAnsi="Roboto" w:cs="Roboto"/>
                          <w:b/>
                          <w:color w:val="82CAA0"/>
                          <w:sz w:val="20"/>
                          <w:szCs w:val="20"/>
                        </w:rPr>
                        <w:t>sustainability</w:t>
                      </w:r>
                      <w:r w:rsidRPr="00C86CA6">
                        <w:rPr>
                          <w:rFonts w:ascii="Roboto" w:eastAsia="Roboto" w:hAnsi="Roboto" w:cs="Roboto"/>
                          <w:color w:val="000000"/>
                          <w:sz w:val="20"/>
                          <w:szCs w:val="20"/>
                        </w:rPr>
                        <w:t xml:space="preserve"> of this should be considered.</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45566" behindDoc="0" locked="0" layoutInCell="1" hidden="0" allowOverlap="1" wp14:anchorId="05AFA4EF" wp14:editId="540CE331">
                <wp:simplePos x="0" y="0"/>
                <wp:positionH relativeFrom="column">
                  <wp:posOffset>579755</wp:posOffset>
                </wp:positionH>
                <wp:positionV relativeFrom="paragraph">
                  <wp:posOffset>4821555</wp:posOffset>
                </wp:positionV>
                <wp:extent cx="6148705" cy="530225"/>
                <wp:effectExtent l="0" t="0" r="0" b="0"/>
                <wp:wrapNone/>
                <wp:docPr id="67" name="Rectangle 67"/>
                <wp:cNvGraphicFramePr/>
                <a:graphic xmlns:a="http://schemas.openxmlformats.org/drawingml/2006/main">
                  <a:graphicData uri="http://schemas.microsoft.com/office/word/2010/wordprocessingShape">
                    <wps:wsp>
                      <wps:cNvSpPr/>
                      <wps:spPr>
                        <a:xfrm>
                          <a:off x="0" y="0"/>
                          <a:ext cx="6148705" cy="530225"/>
                        </a:xfrm>
                        <a:prstGeom prst="rect">
                          <a:avLst/>
                        </a:prstGeom>
                        <a:noFill/>
                        <a:ln>
                          <a:noFill/>
                        </a:ln>
                      </wps:spPr>
                      <wps:txbx>
                        <w:txbxContent>
                          <w:p w14:paraId="7470F019" w14:textId="77777777" w:rsidR="00D15FD8" w:rsidRPr="00C86CA6" w:rsidRDefault="00D15FD8" w:rsidP="00B67B76">
                            <w:pPr>
                              <w:spacing w:line="275" w:lineRule="auto"/>
                              <w:jc w:val="both"/>
                              <w:textDirection w:val="btLr"/>
                              <w:rPr>
                                <w:sz w:val="20"/>
                                <w:szCs w:val="20"/>
                              </w:rPr>
                            </w:pPr>
                            <w:r w:rsidRPr="00C86CA6">
                              <w:rPr>
                                <w:rFonts w:ascii="Roboto" w:eastAsia="Roboto" w:hAnsi="Roboto" w:cs="Roboto"/>
                                <w:color w:val="000000"/>
                                <w:sz w:val="20"/>
                                <w:szCs w:val="20"/>
                              </w:rPr>
                              <w:t xml:space="preserve">Considerations related to </w:t>
                            </w:r>
                            <w:r w:rsidRPr="00C86CA6">
                              <w:rPr>
                                <w:rFonts w:ascii="Roboto" w:eastAsia="Roboto" w:hAnsi="Roboto" w:cs="Roboto"/>
                                <w:b/>
                                <w:color w:val="82CAA0"/>
                                <w:sz w:val="20"/>
                                <w:szCs w:val="20"/>
                              </w:rPr>
                              <w:t>licenses</w:t>
                            </w:r>
                            <w:r w:rsidRPr="00C86CA6">
                              <w:rPr>
                                <w:rFonts w:ascii="Roboto" w:eastAsia="Roboto" w:hAnsi="Roboto" w:cs="Roboto"/>
                                <w:color w:val="000000"/>
                                <w:sz w:val="20"/>
                                <w:szCs w:val="20"/>
                              </w:rPr>
                              <w:t xml:space="preserve"> that consider users and protect them while using data, allowing both its commercial and non-commercial use and reuse without restrictions.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5AFA4EF" id="Rectangle 67" o:spid="_x0000_s1605" style="position:absolute;margin-left:45.65pt;margin-top:379.65pt;width:484.15pt;height:41.75pt;z-index:254445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" filled="f" stroked="f">
                <v:textbox inset="2.53958mm,1.2694mm,2.53958mm,1.2694mm">
                  <w:txbxContent>
                    <w:p w14:paraId="7470F019" w14:textId="77777777" w:rsidR="00D15FD8" w:rsidRPr="00C86CA6" w:rsidRDefault="00D15FD8" w:rsidP="00B67B76">
                      <w:pPr>
                        <w:spacing w:line="275" w:lineRule="auto"/>
                        <w:jc w:val="both"/>
                        <w:textDirection w:val="btLr"/>
                        <w:rPr>
                          <w:sz w:val="20"/>
                          <w:szCs w:val="20"/>
                        </w:rPr>
                      </w:pPr>
                      <w:r w:rsidRPr="00C86CA6">
                        <w:rPr>
                          <w:rFonts w:ascii="Roboto" w:eastAsia="Roboto" w:hAnsi="Roboto" w:cs="Roboto"/>
                          <w:color w:val="000000"/>
                          <w:sz w:val="20"/>
                          <w:szCs w:val="20"/>
                        </w:rPr>
                        <w:t xml:space="preserve">Considerations related to </w:t>
                      </w:r>
                      <w:r w:rsidRPr="00C86CA6">
                        <w:rPr>
                          <w:rFonts w:ascii="Roboto" w:eastAsia="Roboto" w:hAnsi="Roboto" w:cs="Roboto"/>
                          <w:b/>
                          <w:color w:val="82CAA0"/>
                          <w:sz w:val="20"/>
                          <w:szCs w:val="20"/>
                        </w:rPr>
                        <w:t>licenses</w:t>
                      </w:r>
                      <w:r w:rsidRPr="00C86CA6">
                        <w:rPr>
                          <w:rFonts w:ascii="Roboto" w:eastAsia="Roboto" w:hAnsi="Roboto" w:cs="Roboto"/>
                          <w:color w:val="000000"/>
                          <w:sz w:val="20"/>
                          <w:szCs w:val="20"/>
                        </w:rPr>
                        <w:t xml:space="preserve"> that consider users and protect them while using data, allowing both its commercial and non-commercial use and reuse without restrictions.</w:t>
                      </w: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46590" behindDoc="0" locked="0" layoutInCell="1" hidden="0" allowOverlap="1" wp14:anchorId="2E65F27B" wp14:editId="0D74A067">
                <wp:simplePos x="0" y="0"/>
                <wp:positionH relativeFrom="column">
                  <wp:posOffset>498475</wp:posOffset>
                </wp:positionH>
                <wp:positionV relativeFrom="paragraph">
                  <wp:posOffset>4884420</wp:posOffset>
                </wp:positionV>
                <wp:extent cx="35560" cy="359410"/>
                <wp:effectExtent l="0" t="0" r="2540" b="0"/>
                <wp:wrapNone/>
                <wp:docPr id="2477" name="Rounded Rectangle 2477"/>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47C8B345" w14:textId="77777777" w:rsidR="00D15FD8" w:rsidRDefault="00D15FD8" w:rsidP="007C3F48">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E65F27B" id="Rounded Rectangle 2477" o:spid="_x0000_s1606" style="position:absolute;margin-left:39.25pt;margin-top:384.6pt;width:2.8pt;height:28.3pt;z-index:254446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" fillcolor="#82caa0" stroked="f">
                <v:textbox inset="2.53958mm,2.53958mm,2.53958mm,2.53958mm">
                  <w:txbxContent>
                    <w:p w14:paraId="47C8B345" w14:textId="77777777" w:rsidR="00D15FD8" w:rsidRDefault="00D15FD8" w:rsidP="007C3F48">
                      <w:pPr>
                        <w:textDirection w:val="btLr"/>
                      </w:pPr>
                    </w:p>
                  </w:txbxContent>
                </v:textbox>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49662" behindDoc="0" locked="0" layoutInCell="1" hidden="0" allowOverlap="1" wp14:anchorId="76A20307" wp14:editId="4E3A3B7A">
                <wp:simplePos x="0" y="0"/>
                <wp:positionH relativeFrom="column">
                  <wp:posOffset>583565</wp:posOffset>
                </wp:positionH>
                <wp:positionV relativeFrom="paragraph">
                  <wp:posOffset>5354955</wp:posOffset>
                </wp:positionV>
                <wp:extent cx="6148705" cy="624205"/>
                <wp:effectExtent l="0" t="0" r="0" b="0"/>
                <wp:wrapNone/>
                <wp:docPr id="2479" name="Rectangle 2479"/>
                <wp:cNvGraphicFramePr/>
                <a:graphic xmlns:a="http://schemas.openxmlformats.org/drawingml/2006/main">
                  <a:graphicData uri="http://schemas.microsoft.com/office/word/2010/wordprocessingShape">
                    <wps:wsp>
                      <wps:cNvSpPr/>
                      <wps:spPr>
                        <a:xfrm>
                          <a:off x="0" y="0"/>
                          <a:ext cx="6148705" cy="624205"/>
                        </a:xfrm>
                        <a:prstGeom prst="rect">
                          <a:avLst/>
                        </a:prstGeom>
                        <a:noFill/>
                        <a:ln>
                          <a:noFill/>
                        </a:ln>
                      </wps:spPr>
                      <wps:txbx>
                        <w:txbxContent>
                          <w:p w14:paraId="00F32C9C" w14:textId="77777777" w:rsidR="00D15FD8" w:rsidRPr="00C86CA6" w:rsidRDefault="00D15FD8" w:rsidP="00B67B76">
                            <w:pPr>
                              <w:spacing w:after="120"/>
                              <w:jc w:val="both"/>
                              <w:textDirection w:val="btLr"/>
                              <w:rPr>
                                <w:sz w:val="20"/>
                                <w:szCs w:val="20"/>
                              </w:rPr>
                            </w:pPr>
                            <w:r w:rsidRPr="00C86CA6">
                              <w:rPr>
                                <w:rFonts w:ascii="Roboto" w:eastAsia="Roboto" w:hAnsi="Roboto" w:cs="Roboto"/>
                                <w:color w:val="000000"/>
                                <w:sz w:val="20"/>
                                <w:szCs w:val="20"/>
                              </w:rPr>
                              <w:t xml:space="preserve">Considerations related to the spread and promotion of the use of open budget data. A </w:t>
                            </w:r>
                            <w:r w:rsidRPr="00C86CA6">
                              <w:rPr>
                                <w:rFonts w:ascii="Roboto" w:eastAsia="Roboto" w:hAnsi="Roboto" w:cs="Roboto"/>
                                <w:b/>
                                <w:color w:val="0563C1"/>
                                <w:sz w:val="20"/>
                                <w:szCs w:val="20"/>
                                <w:u w:val="single"/>
                              </w:rPr>
                              <w:t>webinar</w:t>
                            </w:r>
                            <w:r w:rsidRPr="00C86CA6">
                              <w:rPr>
                                <w:rFonts w:ascii="Roboto" w:eastAsia="Roboto" w:hAnsi="Roboto" w:cs="Roboto"/>
                                <w:color w:val="000000"/>
                                <w:sz w:val="20"/>
                                <w:szCs w:val="20"/>
                              </w:rPr>
                              <w:t xml:space="preserve"> addresses how to guarantee effective access to open budget data, facilitating the interaction, linkage and civic participation.</w:t>
                            </w:r>
                          </w:p>
                          <w:p w14:paraId="0C031F36" w14:textId="77777777" w:rsidR="00D15FD8" w:rsidRPr="00C86CA6" w:rsidRDefault="00D15FD8" w:rsidP="00B67B76">
                            <w:pPr>
                              <w:spacing w:line="275" w:lineRule="auto"/>
                              <w:jc w:val="both"/>
                              <w:textDirection w:val="btLr"/>
                              <w:rPr>
                                <w:sz w:val="20"/>
                                <w:szCs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6A20307" id="Rectangle 2479" o:spid="_x0000_s1607" style="position:absolute;margin-left:45.95pt;margin-top:421.65pt;width:484.15pt;height:49.15pt;z-index:254449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" filled="f" stroked="f">
                <v:textbox inset="2.53958mm,1.2694mm,2.53958mm,1.2694mm">
                  <w:txbxContent>
                    <w:p w14:paraId="00F32C9C" w14:textId="77777777" w:rsidR="00D15FD8" w:rsidRPr="00C86CA6" w:rsidRDefault="00D15FD8" w:rsidP="00B67B76">
                      <w:pPr>
                        <w:spacing w:after="120"/>
                        <w:jc w:val="both"/>
                        <w:textDirection w:val="btLr"/>
                        <w:rPr>
                          <w:sz w:val="20"/>
                          <w:szCs w:val="20"/>
                        </w:rPr>
                      </w:pPr>
                      <w:r w:rsidRPr="00C86CA6">
                        <w:rPr>
                          <w:rFonts w:ascii="Roboto" w:eastAsia="Roboto" w:hAnsi="Roboto" w:cs="Roboto"/>
                          <w:color w:val="000000"/>
                          <w:sz w:val="20"/>
                          <w:szCs w:val="20"/>
                        </w:rPr>
                        <w:t xml:space="preserve">Considerations related to the spread and promotion of the use of open budget data. A </w:t>
                      </w:r>
                      <w:r w:rsidRPr="00C86CA6">
                        <w:rPr>
                          <w:rFonts w:ascii="Roboto" w:eastAsia="Roboto" w:hAnsi="Roboto" w:cs="Roboto"/>
                          <w:b/>
                          <w:color w:val="0563C1"/>
                          <w:sz w:val="20"/>
                          <w:szCs w:val="20"/>
                          <w:u w:val="single"/>
                        </w:rPr>
                        <w:t>webinar</w:t>
                      </w:r>
                      <w:r w:rsidRPr="00C86CA6">
                        <w:rPr>
                          <w:rFonts w:ascii="Roboto" w:eastAsia="Roboto" w:hAnsi="Roboto" w:cs="Roboto"/>
                          <w:color w:val="000000"/>
                          <w:sz w:val="20"/>
                          <w:szCs w:val="20"/>
                        </w:rPr>
                        <w:t xml:space="preserve"> addresses how to guarantee effective access to open budget data, facilitating the interaction, linkage and civic participation.</w:t>
                      </w:r>
                    </w:p>
                    <w:p w14:paraId="0C031F36" w14:textId="77777777" w:rsidR="00D15FD8" w:rsidRPr="00C86CA6" w:rsidRDefault="00D15FD8" w:rsidP="00B67B76">
                      <w:pPr>
                        <w:spacing w:line="275" w:lineRule="auto"/>
                        <w:jc w:val="both"/>
                        <w:textDirection w:val="btLr"/>
                        <w:rPr>
                          <w:sz w:val="20"/>
                          <w:szCs w:val="20"/>
                        </w:rPr>
                      </w:pPr>
                    </w:p>
                  </w:txbxContent>
                </v:textbox>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50686" behindDoc="0" locked="0" layoutInCell="1" hidden="0" allowOverlap="1" wp14:anchorId="01DC1A8E" wp14:editId="2B0889AB">
                <wp:simplePos x="0" y="0"/>
                <wp:positionH relativeFrom="column">
                  <wp:posOffset>497840</wp:posOffset>
                </wp:positionH>
                <wp:positionV relativeFrom="paragraph">
                  <wp:posOffset>5494655</wp:posOffset>
                </wp:positionV>
                <wp:extent cx="35560" cy="359410"/>
                <wp:effectExtent l="0" t="0" r="2540" b="0"/>
                <wp:wrapNone/>
                <wp:docPr id="69" name="Rounded Rectangle 69"/>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66CB783C" w14:textId="77777777" w:rsidR="00D15FD8" w:rsidRDefault="00D15FD8" w:rsidP="007C3F48">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1DC1A8E" id="Rounded Rectangle 69" o:spid="_x0000_s1608" style="position:absolute;margin-left:39.2pt;margin-top:432.65pt;width:2.8pt;height:28.3pt;z-index:254450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" fillcolor="#82caa0" stroked="f">
                <v:textbox inset="2.53958mm,2.53958mm,2.53958mm,2.53958mm">
                  <w:txbxContent>
                    <w:p w14:paraId="66CB783C" w14:textId="77777777" w:rsidR="00D15FD8" w:rsidRDefault="00D15FD8" w:rsidP="007C3F48">
                      <w:pPr>
                        <w:textDirection w:val="btLr"/>
                      </w:pPr>
                    </w:p>
                  </w:txbxContent>
                </v:textbox>
              </v:roundrect>
            </w:pict>
          </mc:Fallback>
        </mc:AlternateContent>
      </w:r>
      <w:r w:rsidRPr="003625BA">
        <w:rPr>
          <w:rFonts w:ascii="Roboto" w:hAnsi="Roboto"/>
          <w:noProof/>
          <w:sz w:val="20"/>
          <w:szCs w:val="20"/>
          <w:lang w:val="en-US"/>
        </w:rPr>
        <mc:AlternateContent>
          <mc:Choice Requires="wps">
            <w:drawing>
              <wp:anchor distT="0" distB="0" distL="114300" distR="114300" simplePos="0" relativeHeight="254431230" behindDoc="0" locked="0" layoutInCell="1" hidden="0" allowOverlap="1" wp14:anchorId="26DEA08F" wp14:editId="01963081">
                <wp:simplePos x="0" y="0"/>
                <wp:positionH relativeFrom="column">
                  <wp:posOffset>48260</wp:posOffset>
                </wp:positionH>
                <wp:positionV relativeFrom="paragraph">
                  <wp:posOffset>2414270</wp:posOffset>
                </wp:positionV>
                <wp:extent cx="389255" cy="276860"/>
                <wp:effectExtent l="0" t="0" r="0" b="0"/>
                <wp:wrapNone/>
                <wp:docPr id="2467" name="Rectangle 2467"/>
                <wp:cNvGraphicFramePr/>
                <a:graphic xmlns:a="http://schemas.openxmlformats.org/drawingml/2006/main">
                  <a:graphicData uri="http://schemas.microsoft.com/office/word/2010/wordprocessingShape">
                    <wps:wsp>
                      <wps:cNvSpPr/>
                      <wps:spPr>
                        <a:xfrm>
                          <a:off x="0" y="0"/>
                          <a:ext cx="389255" cy="276860"/>
                        </a:xfrm>
                        <a:prstGeom prst="rect">
                          <a:avLst/>
                        </a:prstGeom>
                        <a:noFill/>
                        <a:ln>
                          <a:noFill/>
                        </a:ln>
                      </wps:spPr>
                      <wps:txbx>
                        <w:txbxContent>
                          <w:p w14:paraId="5651B998" w14:textId="77777777" w:rsidR="00D15FD8" w:rsidRDefault="00D15FD8" w:rsidP="007C3F48">
                            <w:pPr>
                              <w:jc w:val="center"/>
                              <w:textDirection w:val="btLr"/>
                            </w:pPr>
                            <w:r>
                              <w:rPr>
                                <w:rFonts w:ascii="Roboto" w:eastAsia="Roboto" w:hAnsi="Roboto" w:cs="Roboto"/>
                                <w:b/>
                                <w:color w:val="FFFFFF"/>
                                <w:sz w:val="24"/>
                              </w:rPr>
                              <w:t>2.</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6DEA08F" id="Rectangle 2467" o:spid="_x0000_s1609" style="position:absolute;margin-left:3.8pt;margin-top:190.1pt;width:30.65pt;height:21.8pt;z-index:254431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" filled="f" stroked="f">
                <v:textbox inset="2.53958mm,1.2694mm,2.53958mm,1.2694mm">
                  <w:txbxContent>
                    <w:p w14:paraId="5651B998" w14:textId="77777777" w:rsidR="00D15FD8" w:rsidRDefault="00D15FD8" w:rsidP="007C3F48">
                      <w:pPr>
                        <w:jc w:val="center"/>
                        <w:textDirection w:val="btLr"/>
                      </w:pPr>
                      <w:r>
                        <w:rPr>
                          <w:rFonts w:ascii="Roboto" w:eastAsia="Roboto" w:hAnsi="Roboto" w:cs="Roboto"/>
                          <w:b/>
                          <w:color w:val="FFFFFF"/>
                          <w:sz w:val="24"/>
                        </w:rPr>
                        <w:t>2.</w:t>
                      </w:r>
                    </w:p>
                  </w:txbxContent>
                </v:textbox>
              </v:rect>
            </w:pict>
          </mc:Fallback>
        </mc:AlternateContent>
      </w:r>
      <w:r>
        <w:rPr>
          <w:rFonts w:ascii="Roboto" w:eastAsia="Roboto" w:hAnsi="Roboto" w:cs="Roboto"/>
          <w:sz w:val="20"/>
          <w:szCs w:val="20"/>
        </w:rPr>
        <w:tab/>
      </w:r>
      <w:r w:rsidR="007341AA">
        <w:rPr>
          <w:rFonts w:ascii="Roboto" w:eastAsia="Roboto" w:hAnsi="Roboto" w:cs="Roboto"/>
          <w:sz w:val="20"/>
          <w:szCs w:val="20"/>
        </w:rPr>
        <w:tab/>
      </w:r>
    </w:p>
    <w:p w14:paraId="7264759D" w14:textId="79200C0D" w:rsidR="00991FD1" w:rsidRDefault="00991FD1" w:rsidP="00D5112D">
      <w:pPr>
        <w:tabs>
          <w:tab w:val="left" w:pos="2300"/>
        </w:tabs>
        <w:rPr>
          <w:rFonts w:ascii="Roboto" w:eastAsia="Roboto" w:hAnsi="Roboto" w:cs="Roboto"/>
          <w:sz w:val="20"/>
          <w:szCs w:val="20"/>
        </w:rPr>
      </w:pPr>
    </w:p>
    <w:p w14:paraId="7837D000" w14:textId="5E3345D5" w:rsidR="00754020" w:rsidRDefault="001C710A" w:rsidP="00A36B41">
      <w:pPr>
        <w:tabs>
          <w:tab w:val="left" w:pos="1780"/>
        </w:tabs>
        <w:ind w:firstLine="720"/>
        <w:rPr>
          <w:rFonts w:ascii="Roboto" w:eastAsia="Roboto" w:hAnsi="Roboto" w:cs="Roboto"/>
          <w:sz w:val="20"/>
          <w:szCs w:val="20"/>
        </w:rPr>
      </w:pPr>
      <w:r w:rsidRPr="008708BF">
        <w:rPr>
          <w:rFonts w:ascii="Arial" w:hAnsi="Arial" w:cs="Arial"/>
          <w:b/>
          <w:noProof/>
          <w:color w:val="ED5625"/>
          <w:sz w:val="24"/>
          <w:szCs w:val="24"/>
          <w:lang w:val="en-US"/>
        </w:rPr>
        <w:drawing>
          <wp:anchor distT="0" distB="0" distL="114300" distR="114300" simplePos="0" relativeHeight="255538174" behindDoc="0" locked="0" layoutInCell="1" allowOverlap="1" wp14:anchorId="4800D7FE" wp14:editId="6DBCF200">
            <wp:simplePos x="0" y="0"/>
            <wp:positionH relativeFrom="column">
              <wp:posOffset>107950</wp:posOffset>
            </wp:positionH>
            <wp:positionV relativeFrom="paragraph">
              <wp:posOffset>77964</wp:posOffset>
            </wp:positionV>
            <wp:extent cx="431800" cy="431800"/>
            <wp:effectExtent l="0" t="0" r="0" b="0"/>
            <wp:wrapSquare wrapText="bothSides"/>
            <wp:docPr id="314"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0D36">
        <w:rPr>
          <w:rFonts w:ascii="Arial" w:hAnsi="Arial" w:cs="Arial"/>
          <w:b/>
          <w:noProof/>
          <w:color w:val="ED5625"/>
          <w:sz w:val="24"/>
          <w:szCs w:val="24"/>
          <w:lang w:val="en-US"/>
        </w:rPr>
        <mc:AlternateContent>
          <mc:Choice Requires="wps">
            <w:drawing>
              <wp:anchor distT="0" distB="0" distL="114300" distR="114300" simplePos="0" relativeHeight="255541246" behindDoc="0" locked="0" layoutInCell="1" hidden="0" allowOverlap="1" wp14:anchorId="004E2405" wp14:editId="4172E30B">
                <wp:simplePos x="0" y="0"/>
                <wp:positionH relativeFrom="column">
                  <wp:posOffset>660400</wp:posOffset>
                </wp:positionH>
                <wp:positionV relativeFrom="paragraph">
                  <wp:posOffset>145909</wp:posOffset>
                </wp:positionV>
                <wp:extent cx="5975985" cy="393700"/>
                <wp:effectExtent l="0" t="0" r="0" b="0"/>
                <wp:wrapNone/>
                <wp:docPr id="2462" name="Rectangle 2462"/>
                <wp:cNvGraphicFramePr/>
                <a:graphic xmlns:a="http://schemas.openxmlformats.org/drawingml/2006/main">
                  <a:graphicData uri="http://schemas.microsoft.com/office/word/2010/wordprocessingShape">
                    <wps:wsp>
                      <wps:cNvSpPr/>
                      <wps:spPr>
                        <a:xfrm>
                          <a:off x="0" y="0"/>
                          <a:ext cx="5975985" cy="393700"/>
                        </a:xfrm>
                        <a:prstGeom prst="rect">
                          <a:avLst/>
                        </a:prstGeom>
                        <a:noFill/>
                        <a:ln>
                          <a:noFill/>
                        </a:ln>
                      </wps:spPr>
                      <wps:txbx>
                        <w:txbxContent>
                          <w:p w14:paraId="0BDF50BA" w14:textId="77777777" w:rsidR="00D15FD8" w:rsidRPr="00C86CA6" w:rsidRDefault="00D15FD8" w:rsidP="00D10D36">
                            <w:pPr>
                              <w:spacing w:after="120" w:line="275" w:lineRule="auto"/>
                              <w:jc w:val="both"/>
                              <w:textDirection w:val="btLr"/>
                              <w:rPr>
                                <w:sz w:val="20"/>
                                <w:szCs w:val="20"/>
                              </w:rPr>
                            </w:pPr>
                            <w:r w:rsidRPr="00C86CA6">
                              <w:rPr>
                                <w:rFonts w:ascii="Roboto" w:eastAsia="Roboto" w:hAnsi="Roboto" w:cs="Roboto"/>
                                <w:color w:val="000000"/>
                                <w:sz w:val="20"/>
                                <w:szCs w:val="20"/>
                              </w:rPr>
                              <w:t xml:space="preserve">Data only has value to the extent it is used. It is thus vital that </w:t>
                            </w:r>
                            <w:r w:rsidRPr="00C86CA6">
                              <w:rPr>
                                <w:rFonts w:ascii="Roboto" w:eastAsia="Roboto" w:hAnsi="Roboto" w:cs="Roboto"/>
                                <w:b/>
                                <w:color w:val="82CAA0"/>
                                <w:sz w:val="20"/>
                                <w:szCs w:val="20"/>
                              </w:rPr>
                              <w:t>data users are identified and their interests</w:t>
                            </w:r>
                            <w:r w:rsidRPr="00C86CA6">
                              <w:rPr>
                                <w:rFonts w:ascii="Roboto" w:eastAsia="Roboto" w:hAnsi="Roboto" w:cs="Roboto"/>
                                <w:color w:val="82CAA0"/>
                                <w:sz w:val="20"/>
                                <w:szCs w:val="20"/>
                              </w:rPr>
                              <w:t xml:space="preserve"> </w:t>
                            </w:r>
                            <w:r w:rsidRPr="00C86CA6">
                              <w:rPr>
                                <w:rFonts w:ascii="Roboto" w:eastAsia="Roboto" w:hAnsi="Roboto" w:cs="Roboto"/>
                                <w:color w:val="000000"/>
                                <w:sz w:val="20"/>
                                <w:szCs w:val="20"/>
                              </w:rPr>
                              <w:t xml:space="preserve">are understood. A user </w:t>
                            </w:r>
                            <w:proofErr w:type="spellStart"/>
                            <w:r w:rsidRPr="00C86CA6">
                              <w:rPr>
                                <w:rFonts w:ascii="Roboto" w:eastAsia="Roboto" w:hAnsi="Roboto" w:cs="Roboto"/>
                                <w:color w:val="000000"/>
                                <w:sz w:val="20"/>
                                <w:szCs w:val="20"/>
                              </w:rPr>
                              <w:t>centered</w:t>
                            </w:r>
                            <w:proofErr w:type="spellEnd"/>
                            <w:r w:rsidRPr="00C86CA6">
                              <w:rPr>
                                <w:rFonts w:ascii="Roboto" w:eastAsia="Roboto" w:hAnsi="Roboto" w:cs="Roboto"/>
                                <w:color w:val="000000"/>
                                <w:sz w:val="20"/>
                                <w:szCs w:val="20"/>
                              </w:rPr>
                              <w:t xml:space="preserve"> approach will be discussed in more detail later in this module.</w:t>
                            </w:r>
                          </w:p>
                          <w:p w14:paraId="1128B82E" w14:textId="77777777" w:rsidR="00D15FD8" w:rsidRDefault="00D15FD8" w:rsidP="00D10D36">
                            <w:pPr>
                              <w:spacing w:line="275" w:lineRule="auto"/>
                              <w:jc w:val="both"/>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04E2405" id="Rectangle 2462" o:spid="_x0000_s1610" style="position:absolute;left:0;text-align:left;margin-left:52pt;margin-top:11.5pt;width:470.55pt;height:31pt;z-index:255541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" filled="f" stroked="f">
                <v:textbox inset="2.53958mm,1.2694mm,2.53958mm,1.2694mm">
                  <w:txbxContent>
                    <w:p w14:paraId="0BDF50BA" w14:textId="77777777" w:rsidR="00D15FD8" w:rsidRPr="00C86CA6" w:rsidRDefault="00D15FD8" w:rsidP="00D10D36">
                      <w:pPr>
                        <w:spacing w:after="120" w:line="275" w:lineRule="auto"/>
                        <w:jc w:val="both"/>
                        <w:textDirection w:val="btLr"/>
                        <w:rPr>
                          <w:sz w:val="20"/>
                          <w:szCs w:val="20"/>
                        </w:rPr>
                      </w:pPr>
                      <w:r w:rsidRPr="00C86CA6">
                        <w:rPr>
                          <w:rFonts w:ascii="Roboto" w:eastAsia="Roboto" w:hAnsi="Roboto" w:cs="Roboto"/>
                          <w:color w:val="000000"/>
                          <w:sz w:val="20"/>
                          <w:szCs w:val="20"/>
                        </w:rPr>
                        <w:t xml:space="preserve">Data only has value to the extent it is used. It is thus vital that </w:t>
                      </w:r>
                      <w:r w:rsidRPr="00C86CA6">
                        <w:rPr>
                          <w:rFonts w:ascii="Roboto" w:eastAsia="Roboto" w:hAnsi="Roboto" w:cs="Roboto"/>
                          <w:b/>
                          <w:color w:val="82CAA0"/>
                          <w:sz w:val="20"/>
                          <w:szCs w:val="20"/>
                        </w:rPr>
                        <w:t>data users are identified and their interests</w:t>
                      </w:r>
                      <w:r w:rsidRPr="00C86CA6">
                        <w:rPr>
                          <w:rFonts w:ascii="Roboto" w:eastAsia="Roboto" w:hAnsi="Roboto" w:cs="Roboto"/>
                          <w:color w:val="82CAA0"/>
                          <w:sz w:val="20"/>
                          <w:szCs w:val="20"/>
                        </w:rPr>
                        <w:t xml:space="preserve"> </w:t>
                      </w:r>
                      <w:r w:rsidRPr="00C86CA6">
                        <w:rPr>
                          <w:rFonts w:ascii="Roboto" w:eastAsia="Roboto" w:hAnsi="Roboto" w:cs="Roboto"/>
                          <w:color w:val="000000"/>
                          <w:sz w:val="20"/>
                          <w:szCs w:val="20"/>
                        </w:rPr>
                        <w:t xml:space="preserve">are understood. A user </w:t>
                      </w:r>
                      <w:proofErr w:type="spellStart"/>
                      <w:r w:rsidRPr="00C86CA6">
                        <w:rPr>
                          <w:rFonts w:ascii="Roboto" w:eastAsia="Roboto" w:hAnsi="Roboto" w:cs="Roboto"/>
                          <w:color w:val="000000"/>
                          <w:sz w:val="20"/>
                          <w:szCs w:val="20"/>
                        </w:rPr>
                        <w:t>centered</w:t>
                      </w:r>
                      <w:proofErr w:type="spellEnd"/>
                      <w:r w:rsidRPr="00C86CA6">
                        <w:rPr>
                          <w:rFonts w:ascii="Roboto" w:eastAsia="Roboto" w:hAnsi="Roboto" w:cs="Roboto"/>
                          <w:color w:val="000000"/>
                          <w:sz w:val="20"/>
                          <w:szCs w:val="20"/>
                        </w:rPr>
                        <w:t xml:space="preserve"> approach will be discussed in more detail later in this module.</w:t>
                      </w:r>
                    </w:p>
                    <w:p w14:paraId="1128B82E" w14:textId="77777777" w:rsidR="00D15FD8" w:rsidRDefault="00D15FD8" w:rsidP="00D10D36">
                      <w:pPr>
                        <w:spacing w:line="275" w:lineRule="auto"/>
                        <w:jc w:val="both"/>
                        <w:textDirection w:val="btLr"/>
                      </w:pPr>
                    </w:p>
                  </w:txbxContent>
                </v:textbox>
              </v:rect>
            </w:pict>
          </mc:Fallback>
        </mc:AlternateContent>
      </w:r>
      <w:r w:rsidR="000C0409" w:rsidRPr="00D10D36">
        <w:rPr>
          <w:rFonts w:ascii="Arial" w:hAnsi="Arial" w:cs="Arial"/>
          <w:b/>
          <w:noProof/>
          <w:color w:val="ED5625"/>
          <w:sz w:val="24"/>
          <w:szCs w:val="24"/>
          <w:lang w:val="en-US"/>
        </w:rPr>
        <mc:AlternateContent>
          <mc:Choice Requires="wps">
            <w:drawing>
              <wp:anchor distT="0" distB="0" distL="114300" distR="114300" simplePos="0" relativeHeight="255545342" behindDoc="0" locked="0" layoutInCell="1" hidden="0" allowOverlap="1" wp14:anchorId="4BE1143F" wp14:editId="6F7D03DF">
                <wp:simplePos x="0" y="0"/>
                <wp:positionH relativeFrom="column">
                  <wp:posOffset>598805</wp:posOffset>
                </wp:positionH>
                <wp:positionV relativeFrom="paragraph">
                  <wp:posOffset>791210</wp:posOffset>
                </wp:positionV>
                <wp:extent cx="35560" cy="359410"/>
                <wp:effectExtent l="0" t="0" r="2540" b="0"/>
                <wp:wrapNone/>
                <wp:docPr id="2466" name="Rounded Rectangle 2466"/>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409C26CF" w14:textId="77777777" w:rsidR="00D15FD8" w:rsidRDefault="00D15FD8" w:rsidP="00D10D3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BE1143F" id="Rounded Rectangle 2466" o:spid="_x0000_s1611" style="position:absolute;left:0;text-align:left;margin-left:47.15pt;margin-top:62.3pt;width:2.8pt;height:28.3pt;z-index:255545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" fillcolor="#82caa0" stroked="f">
                <v:textbox inset="2.53958mm,2.53958mm,2.53958mm,2.53958mm">
                  <w:txbxContent>
                    <w:p w14:paraId="409C26CF" w14:textId="77777777" w:rsidR="00D15FD8" w:rsidRDefault="00D15FD8" w:rsidP="00D10D36">
                      <w:pPr>
                        <w:textDirection w:val="btLr"/>
                      </w:pPr>
                    </w:p>
                  </w:txbxContent>
                </v:textbox>
              </v:roundrect>
            </w:pict>
          </mc:Fallback>
        </mc:AlternateContent>
      </w:r>
      <w:r w:rsidR="000C0409" w:rsidRPr="00D10D36">
        <w:rPr>
          <w:rFonts w:ascii="Arial" w:hAnsi="Arial" w:cs="Arial"/>
          <w:b/>
          <w:noProof/>
          <w:color w:val="ED5625"/>
          <w:sz w:val="24"/>
          <w:szCs w:val="24"/>
          <w:lang w:val="en-US"/>
        </w:rPr>
        <mc:AlternateContent>
          <mc:Choice Requires="wps">
            <w:drawing>
              <wp:anchor distT="0" distB="0" distL="114300" distR="114300" simplePos="0" relativeHeight="255544318" behindDoc="0" locked="0" layoutInCell="1" hidden="0" allowOverlap="1" wp14:anchorId="37F8AC47" wp14:editId="2A0A6AEA">
                <wp:simplePos x="0" y="0"/>
                <wp:positionH relativeFrom="column">
                  <wp:posOffset>645160</wp:posOffset>
                </wp:positionH>
                <wp:positionV relativeFrom="paragraph">
                  <wp:posOffset>709930</wp:posOffset>
                </wp:positionV>
                <wp:extent cx="5975985" cy="660400"/>
                <wp:effectExtent l="0" t="0" r="0" b="0"/>
                <wp:wrapNone/>
                <wp:docPr id="2465" name="Rectangle 2465"/>
                <wp:cNvGraphicFramePr/>
                <a:graphic xmlns:a="http://schemas.openxmlformats.org/drawingml/2006/main">
                  <a:graphicData uri="http://schemas.microsoft.com/office/word/2010/wordprocessingShape">
                    <wps:wsp>
                      <wps:cNvSpPr/>
                      <wps:spPr>
                        <a:xfrm>
                          <a:off x="0" y="0"/>
                          <a:ext cx="5975985" cy="660400"/>
                        </a:xfrm>
                        <a:prstGeom prst="rect">
                          <a:avLst/>
                        </a:prstGeom>
                        <a:noFill/>
                        <a:ln>
                          <a:noFill/>
                        </a:ln>
                      </wps:spPr>
                      <wps:txbx>
                        <w:txbxContent>
                          <w:p w14:paraId="61A1B45C"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Once a decision to initiate a process of opening information has been made, it is vital to locate the </w:t>
                            </w:r>
                            <w:r w:rsidRPr="00C86CA6">
                              <w:rPr>
                                <w:rFonts w:ascii="Roboto" w:eastAsia="Roboto" w:hAnsi="Roboto" w:cs="Roboto"/>
                                <w:b/>
                                <w:color w:val="82CAA0"/>
                                <w:sz w:val="20"/>
                                <w:szCs w:val="20"/>
                              </w:rPr>
                              <w:t xml:space="preserve">source and the format </w:t>
                            </w:r>
                            <w:r w:rsidRPr="00C86CA6">
                              <w:rPr>
                                <w:rFonts w:ascii="Roboto" w:eastAsia="Roboto" w:hAnsi="Roboto" w:cs="Roboto"/>
                                <w:color w:val="000000"/>
                                <w:sz w:val="20"/>
                                <w:szCs w:val="20"/>
                              </w:rPr>
                              <w:t>in which the budget data can be found. The less structured the data is, the greater the work required to open it.</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7F8AC47" id="Rectangle 2465" o:spid="_x0000_s1612" style="position:absolute;left:0;text-align:left;margin-left:50.8pt;margin-top:55.9pt;width:470.55pt;height:52pt;z-index:255544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" filled="f" stroked="f">
                <v:textbox inset="2.53958mm,1.2694mm,2.53958mm,1.2694mm">
                  <w:txbxContent>
                    <w:p w14:paraId="61A1B45C"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Once a decision to initiate a process of opening information has been made, it is vital to locate the </w:t>
                      </w:r>
                      <w:r w:rsidRPr="00C86CA6">
                        <w:rPr>
                          <w:rFonts w:ascii="Roboto" w:eastAsia="Roboto" w:hAnsi="Roboto" w:cs="Roboto"/>
                          <w:b/>
                          <w:color w:val="82CAA0"/>
                          <w:sz w:val="20"/>
                          <w:szCs w:val="20"/>
                        </w:rPr>
                        <w:t xml:space="preserve">source and the format </w:t>
                      </w:r>
                      <w:r w:rsidRPr="00C86CA6">
                        <w:rPr>
                          <w:rFonts w:ascii="Roboto" w:eastAsia="Roboto" w:hAnsi="Roboto" w:cs="Roboto"/>
                          <w:color w:val="000000"/>
                          <w:sz w:val="20"/>
                          <w:szCs w:val="20"/>
                        </w:rPr>
                        <w:t>in which the budget data can be found. The less structured the data is, the greater the work required to open it.</w:t>
                      </w:r>
                    </w:p>
                  </w:txbxContent>
                </v:textbox>
              </v:rect>
            </w:pict>
          </mc:Fallback>
        </mc:AlternateContent>
      </w:r>
    </w:p>
    <w:p w14:paraId="24BA1204" w14:textId="524603E8" w:rsidR="00754020" w:rsidRDefault="000C0409" w:rsidP="00755699">
      <w:pPr>
        <w:tabs>
          <w:tab w:val="left" w:pos="1780"/>
        </w:tabs>
        <w:rPr>
          <w:rFonts w:ascii="Roboto" w:eastAsia="Roboto" w:hAnsi="Roboto" w:cs="Roboto"/>
          <w:sz w:val="20"/>
          <w:szCs w:val="20"/>
        </w:rPr>
      </w:pPr>
      <w:r w:rsidRPr="008708BF">
        <w:rPr>
          <w:rFonts w:ascii="Arial" w:hAnsi="Arial" w:cs="Arial"/>
          <w:b/>
          <w:noProof/>
          <w:color w:val="ED5625"/>
          <w:sz w:val="24"/>
          <w:szCs w:val="24"/>
          <w:lang w:val="en-US"/>
        </w:rPr>
        <mc:AlternateContent>
          <mc:Choice Requires="wps">
            <w:drawing>
              <wp:anchor distT="0" distB="0" distL="114300" distR="114300" simplePos="0" relativeHeight="255539198" behindDoc="0" locked="0" layoutInCell="1" allowOverlap="1" wp14:anchorId="1A0F2DF6" wp14:editId="15FDD589">
                <wp:simplePos x="0" y="0"/>
                <wp:positionH relativeFrom="column">
                  <wp:posOffset>107950</wp:posOffset>
                </wp:positionH>
                <wp:positionV relativeFrom="paragraph">
                  <wp:posOffset>79869</wp:posOffset>
                </wp:positionV>
                <wp:extent cx="431800" cy="304165"/>
                <wp:effectExtent l="0" t="0" r="0" b="0"/>
                <wp:wrapNone/>
                <wp:docPr id="30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304165"/>
                        </a:xfrm>
                        <a:prstGeom prst="rect">
                          <a:avLst/>
                        </a:prstGeom>
                        <a:noFill/>
                        <a:ln>
                          <a:noFill/>
                        </a:ln>
                      </wps:spPr>
                      <wps:txbx>
                        <w:txbxContent>
                          <w:p w14:paraId="6CCACDEE" w14:textId="77777777" w:rsidR="00D15FD8" w:rsidRDefault="00D15FD8" w:rsidP="008708BF">
                            <w:pPr>
                              <w:jc w:val="center"/>
                              <w:textDirection w:val="btLr"/>
                            </w:pPr>
                            <w:r>
                              <w:rPr>
                                <w:rFonts w:ascii="Roboto" w:eastAsia="Roboto" w:hAnsi="Roboto" w:cs="Roboto"/>
                                <w:b/>
                                <w:color w:val="FFFFFF"/>
                                <w:sz w:val="24"/>
                              </w:rPr>
                              <w:t>1.</w:t>
                            </w:r>
                          </w:p>
                        </w:txbxContent>
                      </wps:txbx>
                      <wps:bodyPr spcFirstLastPara="1" wrap="square" lIns="91425" tIns="45700" rIns="91425" bIns="45700" anchor="t" anchorCtr="0">
                        <a:noAutofit/>
                      </wps:bodyPr>
                    </wps:wsp>
                  </a:graphicData>
                </a:graphic>
                <wp14:sizeRelH relativeFrom="margin">
                  <wp14:pctWidth>0</wp14:pctWidth>
                </wp14:sizeRelH>
                <wp14:sizeRelV relativeFrom="page">
                  <wp14:pctHeight>0</wp14:pctHeight>
                </wp14:sizeRelV>
              </wp:anchor>
            </w:drawing>
          </mc:Choice>
          <mc:Fallback>
            <w:pict>
              <v:rect w14:anchorId="1A0F2DF6" id="Rectangle 306" o:spid="_x0000_s1613" style="position:absolute;margin-left:8.5pt;margin-top:6.3pt;width:34pt;height:23.95pt;z-index:255539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" filled="f" stroked="f">
                <v:textbox inset="2.53958mm,1.2694mm,2.53958mm,1.2694mm">
                  <w:txbxContent>
                    <w:p w14:paraId="6CCACDEE" w14:textId="77777777" w:rsidR="00D15FD8" w:rsidRDefault="00D15FD8" w:rsidP="008708BF">
                      <w:pPr>
                        <w:jc w:val="center"/>
                        <w:textDirection w:val="btLr"/>
                      </w:pPr>
                      <w:r>
                        <w:rPr>
                          <w:rFonts w:ascii="Roboto" w:eastAsia="Roboto" w:hAnsi="Roboto" w:cs="Roboto"/>
                          <w:b/>
                          <w:color w:val="FFFFFF"/>
                          <w:sz w:val="24"/>
                        </w:rPr>
                        <w:t>1.</w:t>
                      </w:r>
                    </w:p>
                  </w:txbxContent>
                </v:textbox>
              </v:rect>
            </w:pict>
          </mc:Fallback>
        </mc:AlternateContent>
      </w:r>
      <w:r w:rsidR="00D10D36" w:rsidRPr="00D10D36">
        <w:rPr>
          <w:rFonts w:ascii="Arial" w:hAnsi="Arial" w:cs="Arial"/>
          <w:b/>
          <w:noProof/>
          <w:color w:val="ED5625"/>
          <w:sz w:val="24"/>
          <w:szCs w:val="24"/>
          <w:lang w:val="en-US"/>
        </w:rPr>
        <mc:AlternateContent>
          <mc:Choice Requires="wps">
            <w:drawing>
              <wp:anchor distT="0" distB="0" distL="114300" distR="114300" simplePos="0" relativeHeight="255542270" behindDoc="0" locked="0" layoutInCell="1" hidden="0" allowOverlap="1" wp14:anchorId="36856ABC" wp14:editId="22D14736">
                <wp:simplePos x="0" y="0"/>
                <wp:positionH relativeFrom="column">
                  <wp:posOffset>595418</wp:posOffset>
                </wp:positionH>
                <wp:positionV relativeFrom="paragraph">
                  <wp:posOffset>13335</wp:posOffset>
                </wp:positionV>
                <wp:extent cx="35560" cy="359410"/>
                <wp:effectExtent l="0" t="0" r="2540" b="0"/>
                <wp:wrapNone/>
                <wp:docPr id="2463" name="Rounded Rectangle 2463"/>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622E708F" w14:textId="77777777" w:rsidR="00D15FD8" w:rsidRDefault="00D15FD8" w:rsidP="00D10D3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6856ABC" id="Rounded Rectangle 2463" o:spid="_x0000_s1614" style="position:absolute;margin-left:46.9pt;margin-top:1.05pt;width:2.8pt;height:28.3pt;z-index:255542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" fillcolor="#82caa0" stroked="f">
                <v:textbox inset="2.53958mm,2.53958mm,2.53958mm,2.53958mm">
                  <w:txbxContent>
                    <w:p w14:paraId="622E708F" w14:textId="77777777" w:rsidR="00D15FD8" w:rsidRDefault="00D15FD8" w:rsidP="00D10D36">
                      <w:pPr>
                        <w:textDirection w:val="btLr"/>
                      </w:pPr>
                    </w:p>
                  </w:txbxContent>
                </v:textbox>
              </v:roundrect>
            </w:pict>
          </mc:Fallback>
        </mc:AlternateContent>
      </w:r>
    </w:p>
    <w:p w14:paraId="1007A816" w14:textId="41AD8FE7" w:rsidR="00754020" w:rsidRDefault="00754020" w:rsidP="00755699">
      <w:pPr>
        <w:tabs>
          <w:tab w:val="left" w:pos="1780"/>
        </w:tabs>
        <w:rPr>
          <w:rFonts w:ascii="Roboto" w:eastAsia="Roboto" w:hAnsi="Roboto" w:cs="Roboto"/>
          <w:sz w:val="20"/>
          <w:szCs w:val="20"/>
        </w:rPr>
      </w:pPr>
    </w:p>
    <w:p w14:paraId="67379CB8" w14:textId="4613C474" w:rsidR="00754020" w:rsidRDefault="00754020" w:rsidP="00755699">
      <w:pPr>
        <w:tabs>
          <w:tab w:val="left" w:pos="1780"/>
        </w:tabs>
        <w:rPr>
          <w:rFonts w:ascii="Roboto" w:eastAsia="Roboto" w:hAnsi="Roboto" w:cs="Roboto"/>
          <w:sz w:val="20"/>
          <w:szCs w:val="20"/>
        </w:rPr>
      </w:pPr>
    </w:p>
    <w:p w14:paraId="752124A5" w14:textId="3A9A4C0D" w:rsidR="00A36B41" w:rsidRDefault="00D10D36" w:rsidP="00755699">
      <w:pPr>
        <w:tabs>
          <w:tab w:val="left" w:pos="1780"/>
        </w:tabs>
        <w:rPr>
          <w:rFonts w:ascii="Roboto" w:eastAsia="Roboto" w:hAnsi="Roboto" w:cs="Roboto"/>
          <w:sz w:val="20"/>
          <w:szCs w:val="20"/>
        </w:rPr>
      </w:pPr>
      <w:r w:rsidRPr="008708BF">
        <w:rPr>
          <w:rFonts w:ascii="Arial" w:hAnsi="Arial" w:cs="Arial"/>
          <w:b/>
          <w:noProof/>
          <w:color w:val="ED5625"/>
          <w:sz w:val="24"/>
          <w:szCs w:val="24"/>
          <w:lang w:val="en-US"/>
        </w:rPr>
        <w:drawing>
          <wp:anchor distT="0" distB="0" distL="114300" distR="114300" simplePos="0" relativeHeight="255547390" behindDoc="0" locked="0" layoutInCell="1" allowOverlap="1" wp14:anchorId="2C1BA4D7" wp14:editId="2E402449">
            <wp:simplePos x="0" y="0"/>
            <wp:positionH relativeFrom="column">
              <wp:posOffset>124248</wp:posOffset>
            </wp:positionH>
            <wp:positionV relativeFrom="paragraph">
              <wp:posOffset>142875</wp:posOffset>
            </wp:positionV>
            <wp:extent cx="431800" cy="431800"/>
            <wp:effectExtent l="0" t="0" r="0" b="0"/>
            <wp:wrapSquare wrapText="bothSides"/>
            <wp:docPr id="2758"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E9E0C7" w14:textId="60FBADE8" w:rsidR="00D72FF1" w:rsidRPr="003625BA" w:rsidRDefault="00D72FF1" w:rsidP="00D72FF1">
      <w:pPr>
        <w:rPr>
          <w:rFonts w:ascii="Roboto" w:hAnsi="Roboto" w:cs="Arial"/>
          <w:sz w:val="20"/>
          <w:szCs w:val="20"/>
          <w:lang w:val="en-US"/>
        </w:rPr>
      </w:pPr>
    </w:p>
    <w:p w14:paraId="36B313E3" w14:textId="69F46434" w:rsidR="00D72FF1" w:rsidRPr="003625BA" w:rsidRDefault="000C0409" w:rsidP="00D72FF1">
      <w:pPr>
        <w:rPr>
          <w:rFonts w:ascii="Roboto" w:hAnsi="Roboto"/>
          <w:sz w:val="20"/>
          <w:szCs w:val="20"/>
          <w:lang w:val="en-US"/>
        </w:rPr>
      </w:pPr>
      <w:r w:rsidRPr="008708BF">
        <w:rPr>
          <w:rFonts w:ascii="Arial" w:hAnsi="Arial" w:cs="Arial"/>
          <w:b/>
          <w:noProof/>
          <w:color w:val="ED5625"/>
          <w:sz w:val="24"/>
          <w:szCs w:val="24"/>
          <w:lang w:val="en-US"/>
        </w:rPr>
        <mc:AlternateContent>
          <mc:Choice Requires="wps">
            <w:drawing>
              <wp:anchor distT="0" distB="0" distL="114300" distR="114300" simplePos="0" relativeHeight="255549438" behindDoc="0" locked="0" layoutInCell="1" allowOverlap="1" wp14:anchorId="1093380D" wp14:editId="6DBCDF7B">
                <wp:simplePos x="0" y="0"/>
                <wp:positionH relativeFrom="column">
                  <wp:posOffset>117475</wp:posOffset>
                </wp:positionH>
                <wp:positionV relativeFrom="paragraph">
                  <wp:posOffset>1058</wp:posOffset>
                </wp:positionV>
                <wp:extent cx="431800" cy="304165"/>
                <wp:effectExtent l="0" t="0" r="0" b="0"/>
                <wp:wrapNone/>
                <wp:docPr id="28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304165"/>
                        </a:xfrm>
                        <a:prstGeom prst="rect">
                          <a:avLst/>
                        </a:prstGeom>
                        <a:noFill/>
                        <a:ln>
                          <a:noFill/>
                        </a:ln>
                      </wps:spPr>
                      <wps:txbx>
                        <w:txbxContent>
                          <w:p w14:paraId="3F2EDC4D" w14:textId="5773C75F" w:rsidR="00D15FD8" w:rsidRDefault="00D15FD8" w:rsidP="00D10D36">
                            <w:pPr>
                              <w:jc w:val="center"/>
                              <w:textDirection w:val="btLr"/>
                            </w:pPr>
                            <w:r>
                              <w:rPr>
                                <w:rFonts w:ascii="Roboto" w:eastAsia="Roboto" w:hAnsi="Roboto" w:cs="Roboto"/>
                                <w:b/>
                                <w:color w:val="FFFFFF"/>
                                <w:sz w:val="24"/>
                              </w:rPr>
                              <w:t>2.</w:t>
                            </w:r>
                          </w:p>
                        </w:txbxContent>
                      </wps:txbx>
                      <wps:bodyPr spcFirstLastPara="1" wrap="square" lIns="91425" tIns="45700" rIns="91425" bIns="45700" anchor="t" anchorCtr="0">
                        <a:noAutofit/>
                      </wps:bodyPr>
                    </wps:wsp>
                  </a:graphicData>
                </a:graphic>
                <wp14:sizeRelH relativeFrom="margin">
                  <wp14:pctWidth>0</wp14:pctWidth>
                </wp14:sizeRelH>
                <wp14:sizeRelV relativeFrom="page">
                  <wp14:pctHeight>0</wp14:pctHeight>
                </wp14:sizeRelV>
              </wp:anchor>
            </w:drawing>
          </mc:Choice>
          <mc:Fallback>
            <w:pict>
              <v:rect w14:anchorId="1093380D" id="Rectangle 280" o:spid="_x0000_s1615" style="position:absolute;margin-left:9.25pt;margin-top:.1pt;width:34pt;height:23.95pt;z-index:255549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" filled="f" stroked="f">
                <v:textbox inset="2.53958mm,1.2694mm,2.53958mm,1.2694mm">
                  <w:txbxContent>
                    <w:p w14:paraId="3F2EDC4D" w14:textId="5773C75F" w:rsidR="00D15FD8" w:rsidRDefault="00D15FD8" w:rsidP="00D10D36">
                      <w:pPr>
                        <w:jc w:val="center"/>
                        <w:textDirection w:val="btLr"/>
                      </w:pPr>
                      <w:r>
                        <w:rPr>
                          <w:rFonts w:ascii="Roboto" w:eastAsia="Roboto" w:hAnsi="Roboto" w:cs="Roboto"/>
                          <w:b/>
                          <w:color w:val="FFFFFF"/>
                          <w:sz w:val="24"/>
                        </w:rPr>
                        <w:t>2.</w:t>
                      </w:r>
                    </w:p>
                  </w:txbxContent>
                </v:textbox>
              </v:rect>
            </w:pict>
          </mc:Fallback>
        </mc:AlternateContent>
      </w:r>
    </w:p>
    <w:p w14:paraId="29B2C14C" w14:textId="122D5631" w:rsidR="007C3F48" w:rsidRPr="003625BA" w:rsidRDefault="007C3F48" w:rsidP="007C3F48">
      <w:pPr>
        <w:rPr>
          <w:rFonts w:ascii="Roboto" w:hAnsi="Roboto"/>
          <w:sz w:val="20"/>
          <w:szCs w:val="20"/>
          <w:lang w:val="en-US"/>
        </w:rPr>
      </w:pPr>
    </w:p>
    <w:p w14:paraId="46307B8A" w14:textId="4FC25D06" w:rsidR="007C3F48" w:rsidRPr="003625BA" w:rsidRDefault="007C3F48" w:rsidP="007C3F48">
      <w:pPr>
        <w:rPr>
          <w:rFonts w:ascii="Roboto" w:hAnsi="Roboto"/>
          <w:sz w:val="20"/>
          <w:szCs w:val="20"/>
          <w:lang w:val="en-US"/>
        </w:rPr>
      </w:pPr>
    </w:p>
    <w:p w14:paraId="1EF0219C" w14:textId="31F2A682" w:rsidR="007C3F48" w:rsidRPr="003625BA" w:rsidRDefault="007C3F48" w:rsidP="007C3F48">
      <w:pPr>
        <w:rPr>
          <w:rFonts w:ascii="Roboto" w:hAnsi="Roboto"/>
          <w:sz w:val="20"/>
          <w:szCs w:val="20"/>
          <w:lang w:val="en-US"/>
        </w:rPr>
      </w:pPr>
    </w:p>
    <w:p w14:paraId="07B5C652" w14:textId="733682E5" w:rsidR="007C3F48" w:rsidRPr="003625BA" w:rsidRDefault="00511536" w:rsidP="007C3F48">
      <w:pPr>
        <w:rPr>
          <w:rFonts w:ascii="Roboto" w:hAnsi="Roboto"/>
          <w:sz w:val="20"/>
          <w:szCs w:val="20"/>
          <w:lang w:val="en-US"/>
        </w:rPr>
      </w:pPr>
      <w:r w:rsidRPr="003625BA">
        <w:rPr>
          <w:rFonts w:ascii="Roboto" w:hAnsi="Roboto" w:cs="Arial"/>
          <w:noProof/>
          <w:color w:val="ED5625"/>
          <w:sz w:val="20"/>
          <w:szCs w:val="20"/>
          <w:lang w:val="en-US"/>
        </w:rPr>
        <w:lastRenderedPageBreak/>
        <mc:AlternateContent>
          <mc:Choice Requires="wps">
            <w:drawing>
              <wp:anchor distT="0" distB="0" distL="114300" distR="114300" simplePos="0" relativeHeight="255120382" behindDoc="1" locked="0" layoutInCell="1" allowOverlap="1" wp14:anchorId="498A79AC" wp14:editId="5D527B5F">
                <wp:simplePos x="0" y="0"/>
                <wp:positionH relativeFrom="margin">
                  <wp:posOffset>-184068</wp:posOffset>
                </wp:positionH>
                <wp:positionV relativeFrom="margin">
                  <wp:posOffset>-12709</wp:posOffset>
                </wp:positionV>
                <wp:extent cx="7010400" cy="3443283"/>
                <wp:effectExtent l="0" t="0" r="19050" b="24130"/>
                <wp:wrapNone/>
                <wp:docPr id="2766" name="Rectangle 2766"/>
                <wp:cNvGraphicFramePr/>
                <a:graphic xmlns:a="http://schemas.openxmlformats.org/drawingml/2006/main">
                  <a:graphicData uri="http://schemas.microsoft.com/office/word/2010/wordprocessingShape">
                    <wps:wsp>
                      <wps:cNvSpPr/>
                      <wps:spPr>
                        <a:xfrm>
                          <a:off x="0" y="0"/>
                          <a:ext cx="7010400" cy="3443283"/>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78E3E" w14:textId="77777777" w:rsidR="00D15FD8" w:rsidRDefault="00D15FD8" w:rsidP="003625BA">
                            <w:pPr>
                              <w:shd w:val="clear" w:color="auto" w:fill="F2F2F2" w:themeFill="background1" w:themeFillShade="F2"/>
                            </w:pPr>
                          </w:p>
                          <w:p w14:paraId="47B8D69C"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A79AC" id="Rectangle 2766" o:spid="_x0000_s1616" style="position:absolute;margin-left:-14.5pt;margin-top:-1pt;width:552pt;height:271.1pt;z-index:-24819609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" fillcolor="#f2f2f2 [3052]" strokecolor="#16988a" strokeweight="1.5pt">
                <v:textbox>
                  <w:txbxContent>
                    <w:p w14:paraId="69178E3E" w14:textId="77777777" w:rsidR="00D15FD8" w:rsidRDefault="00D15FD8" w:rsidP="003625BA">
                      <w:pPr>
                        <w:shd w:val="clear" w:color="auto" w:fill="F2F2F2" w:themeFill="background1" w:themeFillShade="F2"/>
                      </w:pPr>
                    </w:p>
                    <w:p w14:paraId="47B8D69C" w14:textId="77777777" w:rsidR="00D15FD8" w:rsidRPr="003625BA" w:rsidRDefault="00D15FD8" w:rsidP="003625BA">
                      <w:pPr>
                        <w:jc w:val="center"/>
                        <w:rPr>
                          <w:lang w:val="en-US"/>
                        </w:rPr>
                      </w:pPr>
                    </w:p>
                  </w:txbxContent>
                </v:textbox>
                <w10:wrap anchorx="margin" anchory="margin"/>
              </v:rect>
            </w:pict>
          </mc:Fallback>
        </mc:AlternateContent>
      </w:r>
      <w:r w:rsidRPr="003625BA">
        <w:rPr>
          <w:rFonts w:ascii="Roboto" w:hAnsi="Roboto"/>
          <w:noProof/>
          <w:sz w:val="20"/>
          <w:szCs w:val="20"/>
          <w:lang w:val="en-US"/>
        </w:rPr>
        <mc:AlternateContent>
          <mc:Choice Requires="wps">
            <w:drawing>
              <wp:anchor distT="0" distB="0" distL="114300" distR="114300" simplePos="0" relativeHeight="251618255" behindDoc="0" locked="0" layoutInCell="1" hidden="0" allowOverlap="1" wp14:anchorId="7C1EA643" wp14:editId="0CE94FAD">
                <wp:simplePos x="0" y="0"/>
                <wp:positionH relativeFrom="margin">
                  <wp:posOffset>-77190</wp:posOffset>
                </wp:positionH>
                <wp:positionV relativeFrom="paragraph">
                  <wp:posOffset>106045</wp:posOffset>
                </wp:positionV>
                <wp:extent cx="6778625" cy="3206338"/>
                <wp:effectExtent l="0" t="0" r="22225" b="13335"/>
                <wp:wrapNone/>
                <wp:docPr id="499" name="Rounded Rectangle 499"/>
                <wp:cNvGraphicFramePr/>
                <a:graphic xmlns:a="http://schemas.openxmlformats.org/drawingml/2006/main">
                  <a:graphicData uri="http://schemas.microsoft.com/office/word/2010/wordprocessingShape">
                    <wps:wsp>
                      <wps:cNvSpPr/>
                      <wps:spPr>
                        <a:xfrm>
                          <a:off x="0" y="0"/>
                          <a:ext cx="6778625" cy="3206338"/>
                        </a:xfrm>
                        <a:prstGeom prst="roundRect">
                          <a:avLst>
                            <a:gd name="adj" fmla="val 2799"/>
                          </a:avLst>
                        </a:prstGeom>
                        <a:noFill/>
                        <a:ln w="19050" cap="flat" cmpd="sng">
                          <a:solidFill>
                            <a:srgbClr val="82CAA0"/>
                          </a:solidFill>
                          <a:prstDash val="solid"/>
                          <a:miter lim="800000"/>
                          <a:headEnd type="none" w="sm" len="sm"/>
                          <a:tailEnd type="none" w="sm" len="sm"/>
                        </a:ln>
                      </wps:spPr>
                      <wps:txbx>
                        <w:txbxContent>
                          <w:p w14:paraId="66905EE9" w14:textId="77777777" w:rsidR="00D15FD8" w:rsidRDefault="00D15FD8" w:rsidP="000C0409">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C1EA643" id="Rounded Rectangle 499" o:spid="_x0000_s1617" style="position:absolute;margin-left:-6.1pt;margin-top:8.35pt;width:533.75pt;height:252.45pt;z-index:25161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8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" filled="f" strokecolor="#82caa0" strokeweight="1.5pt">
                <v:stroke startarrowwidth="narrow" startarrowlength="short" endarrowwidth="narrow" endarrowlength="short" joinstyle="miter"/>
                <v:textbox inset="2.53958mm,2.53958mm,2.53958mm,2.53958mm">
                  <w:txbxContent>
                    <w:p w14:paraId="66905EE9" w14:textId="77777777" w:rsidR="00D15FD8" w:rsidRDefault="00D15FD8" w:rsidP="000C0409">
                      <w:pPr>
                        <w:textDirection w:val="btLr"/>
                      </w:pPr>
                    </w:p>
                  </w:txbxContent>
                </v:textbox>
                <w10:wrap anchorx="margin"/>
              </v:roundrect>
            </w:pict>
          </mc:Fallback>
        </mc:AlternateContent>
      </w:r>
    </w:p>
    <w:p w14:paraId="23716372" w14:textId="0CBCA6AD" w:rsidR="007C3F48" w:rsidRPr="003625BA" w:rsidRDefault="001C710A" w:rsidP="001C710A">
      <w:pPr>
        <w:tabs>
          <w:tab w:val="left" w:pos="1689"/>
        </w:tabs>
        <w:rPr>
          <w:rFonts w:ascii="Roboto" w:hAnsi="Roboto"/>
          <w:sz w:val="20"/>
          <w:szCs w:val="20"/>
          <w:lang w:val="en-US"/>
        </w:rPr>
      </w:pPr>
      <w:r>
        <w:rPr>
          <w:rFonts w:ascii="Roboto" w:hAnsi="Roboto"/>
          <w:sz w:val="20"/>
          <w:szCs w:val="20"/>
          <w:lang w:val="en-US"/>
        </w:rPr>
        <w:tab/>
      </w:r>
    </w:p>
    <w:p w14:paraId="4BDEF0AF" w14:textId="1F762F98" w:rsidR="007C3F48" w:rsidRDefault="00D10D36" w:rsidP="007C3F48">
      <w:pPr>
        <w:rPr>
          <w:rFonts w:ascii="Roboto" w:hAnsi="Roboto"/>
          <w:sz w:val="20"/>
          <w:szCs w:val="20"/>
          <w:lang w:val="en-US"/>
        </w:rPr>
      </w:pPr>
      <w:r w:rsidRPr="00D10D36">
        <w:rPr>
          <w:rFonts w:ascii="Roboto" w:hAnsi="Roboto"/>
          <w:noProof/>
          <w:sz w:val="20"/>
          <w:szCs w:val="20"/>
          <w:lang w:val="en-US"/>
        </w:rPr>
        <mc:AlternateContent>
          <mc:Choice Requires="wps">
            <w:drawing>
              <wp:anchor distT="0" distB="0" distL="114300" distR="114300" simplePos="0" relativeHeight="255552510" behindDoc="0" locked="0" layoutInCell="1" allowOverlap="1" wp14:anchorId="566D8E43" wp14:editId="6A082A7B">
                <wp:simplePos x="0" y="0"/>
                <wp:positionH relativeFrom="column">
                  <wp:posOffset>8255</wp:posOffset>
                </wp:positionH>
                <wp:positionV relativeFrom="paragraph">
                  <wp:posOffset>144992</wp:posOffset>
                </wp:positionV>
                <wp:extent cx="431800" cy="304165"/>
                <wp:effectExtent l="0" t="0" r="0" b="0"/>
                <wp:wrapNone/>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304165"/>
                        </a:xfrm>
                        <a:prstGeom prst="rect">
                          <a:avLst/>
                        </a:prstGeom>
                        <a:noFill/>
                        <a:ln>
                          <a:noFill/>
                        </a:ln>
                      </wps:spPr>
                      <wps:txbx>
                        <w:txbxContent>
                          <w:p w14:paraId="5B4013E8" w14:textId="3050155F" w:rsidR="00D15FD8" w:rsidRDefault="00D15FD8" w:rsidP="00D10D36">
                            <w:pPr>
                              <w:jc w:val="center"/>
                              <w:textDirection w:val="btLr"/>
                            </w:pPr>
                            <w:r>
                              <w:rPr>
                                <w:rFonts w:ascii="Roboto" w:eastAsia="Roboto" w:hAnsi="Roboto" w:cs="Roboto"/>
                                <w:b/>
                                <w:color w:val="FFFFFF"/>
                                <w:sz w:val="24"/>
                              </w:rPr>
                              <w:t>3.</w:t>
                            </w:r>
                            <w:r>
                              <w:rPr>
                                <w:noProof/>
                                <w:lang w:val="en-US"/>
                              </w:rPr>
                              <w:drawing>
                                <wp:inline distT="0" distB="0" distL="0" distR="0" wp14:anchorId="43C5F104" wp14:editId="77D28761">
                                  <wp:extent cx="248920" cy="27305"/>
                                  <wp:effectExtent l="0" t="0" r="508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248920" cy="27305"/>
                                          </a:xfrm>
                                          <a:prstGeom prst="rect">
                                            <a:avLst/>
                                          </a:prstGeom>
                                        </pic:spPr>
                                      </pic:pic>
                                    </a:graphicData>
                                  </a:graphic>
                                </wp:inline>
                              </w:drawing>
                            </w:r>
                            <w:r>
                              <w:rPr>
                                <w:rFonts w:ascii="Roboto" w:eastAsia="Roboto" w:hAnsi="Roboto" w:cs="Roboto"/>
                                <w:b/>
                                <w:color w:val="FFFFFF"/>
                                <w:sz w:val="24"/>
                              </w:rPr>
                              <w:t>.</w:t>
                            </w:r>
                          </w:p>
                        </w:txbxContent>
                      </wps:txbx>
                      <wps:bodyPr spcFirstLastPara="1" wrap="square" lIns="91425" tIns="45700" rIns="91425" bIns="45700" anchor="t" anchorCtr="0">
                        <a:noAutofit/>
                      </wps:bodyPr>
                    </wps:wsp>
                  </a:graphicData>
                </a:graphic>
                <wp14:sizeRelH relativeFrom="margin">
                  <wp14:pctWidth>0</wp14:pctWidth>
                </wp14:sizeRelH>
                <wp14:sizeRelV relativeFrom="page">
                  <wp14:pctHeight>0</wp14:pctHeight>
                </wp14:sizeRelV>
              </wp:anchor>
            </w:drawing>
          </mc:Choice>
          <mc:Fallback>
            <w:pict>
              <v:rect w14:anchorId="566D8E43" id="Rectangle 300" o:spid="_x0000_s1618" style="position:absolute;margin-left:.65pt;margin-top:11.4pt;width:34pt;height:23.95pt;z-index:255552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" filled="f" stroked="f">
                <v:textbox inset="2.53958mm,1.2694mm,2.53958mm,1.2694mm">
                  <w:txbxContent>
                    <w:p w14:paraId="5B4013E8" w14:textId="3050155F" w:rsidR="00D15FD8" w:rsidRDefault="00D15FD8" w:rsidP="00D10D36">
                      <w:pPr>
                        <w:jc w:val="center"/>
                        <w:textDirection w:val="btLr"/>
                      </w:pPr>
                      <w:r>
                        <w:rPr>
                          <w:rFonts w:ascii="Roboto" w:eastAsia="Roboto" w:hAnsi="Roboto" w:cs="Roboto"/>
                          <w:b/>
                          <w:color w:val="FFFFFF"/>
                          <w:sz w:val="24"/>
                        </w:rPr>
                        <w:t>3.</w:t>
                      </w:r>
                      <w:r>
                        <w:rPr>
                          <w:noProof/>
                          <w:lang w:val="en-US"/>
                        </w:rPr>
                        <w:drawing>
                          <wp:inline distT="0" distB="0" distL="0" distR="0" wp14:anchorId="43C5F104" wp14:editId="77D28761">
                            <wp:extent cx="248920" cy="27305"/>
                            <wp:effectExtent l="0" t="0" r="508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248920" cy="27305"/>
                                    </a:xfrm>
                                    <a:prstGeom prst="rect">
                                      <a:avLst/>
                                    </a:prstGeom>
                                  </pic:spPr>
                                </pic:pic>
                              </a:graphicData>
                            </a:graphic>
                          </wp:inline>
                        </w:drawing>
                      </w:r>
                      <w:r>
                        <w:rPr>
                          <w:rFonts w:ascii="Roboto" w:eastAsia="Roboto" w:hAnsi="Roboto" w:cs="Roboto"/>
                          <w:b/>
                          <w:color w:val="FFFFFF"/>
                          <w:sz w:val="24"/>
                        </w:rPr>
                        <w:t>.</w:t>
                      </w:r>
                    </w:p>
                  </w:txbxContent>
                </v:textbox>
              </v:rect>
            </w:pict>
          </mc:Fallback>
        </mc:AlternateContent>
      </w:r>
      <w:r w:rsidRPr="00D10D36">
        <w:rPr>
          <w:rFonts w:ascii="Roboto" w:hAnsi="Roboto"/>
          <w:noProof/>
          <w:sz w:val="20"/>
          <w:szCs w:val="20"/>
          <w:lang w:val="en-US"/>
        </w:rPr>
        <mc:AlternateContent>
          <mc:Choice Requires="wps">
            <w:drawing>
              <wp:anchor distT="0" distB="0" distL="114300" distR="114300" simplePos="0" relativeHeight="255554558" behindDoc="0" locked="0" layoutInCell="1" hidden="0" allowOverlap="1" wp14:anchorId="033E017E" wp14:editId="575258F8">
                <wp:simplePos x="0" y="0"/>
                <wp:positionH relativeFrom="column">
                  <wp:posOffset>575098</wp:posOffset>
                </wp:positionH>
                <wp:positionV relativeFrom="paragraph">
                  <wp:posOffset>31115</wp:posOffset>
                </wp:positionV>
                <wp:extent cx="5975985" cy="503555"/>
                <wp:effectExtent l="0" t="0" r="0" b="0"/>
                <wp:wrapNone/>
                <wp:docPr id="406" name="Rectangle 406"/>
                <wp:cNvGraphicFramePr/>
                <a:graphic xmlns:a="http://schemas.openxmlformats.org/drawingml/2006/main">
                  <a:graphicData uri="http://schemas.microsoft.com/office/word/2010/wordprocessingShape">
                    <wps:wsp>
                      <wps:cNvSpPr/>
                      <wps:spPr>
                        <a:xfrm>
                          <a:off x="0" y="0"/>
                          <a:ext cx="5975985" cy="503555"/>
                        </a:xfrm>
                        <a:prstGeom prst="rect">
                          <a:avLst/>
                        </a:prstGeom>
                        <a:noFill/>
                        <a:ln>
                          <a:noFill/>
                        </a:ln>
                      </wps:spPr>
                      <wps:txbx>
                        <w:txbxContent>
                          <w:p w14:paraId="62A07C03"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During the opening process it is important to review the quality of the information that will be published: not all data is ready to be published from the start, it may need to be </w:t>
                            </w:r>
                            <w:r w:rsidRPr="00C86CA6">
                              <w:rPr>
                                <w:rFonts w:ascii="Roboto" w:eastAsia="Roboto" w:hAnsi="Roboto" w:cs="Roboto"/>
                                <w:b/>
                                <w:color w:val="82CAA0"/>
                                <w:sz w:val="20"/>
                                <w:szCs w:val="20"/>
                              </w:rPr>
                              <w:t>debugged and cleaned.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33E017E" id="Rectangle 406" o:spid="_x0000_s1619" style="position:absolute;margin-left:45.3pt;margin-top:2.45pt;width:470.55pt;height:39.65pt;z-index:255554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" filled="f" stroked="f">
                <v:textbox inset="2.53958mm,1.2694mm,2.53958mm,1.2694mm">
                  <w:txbxContent>
                    <w:p w14:paraId="62A07C03"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During the opening process it is important to review the quality of the information that will be published: not all data is ready to be published from the start, it may need to be </w:t>
                      </w:r>
                      <w:r w:rsidRPr="00C86CA6">
                        <w:rPr>
                          <w:rFonts w:ascii="Roboto" w:eastAsia="Roboto" w:hAnsi="Roboto" w:cs="Roboto"/>
                          <w:b/>
                          <w:color w:val="82CAA0"/>
                          <w:sz w:val="20"/>
                          <w:szCs w:val="20"/>
                        </w:rPr>
                        <w:t>debugged and cleaned.</w:t>
                      </w:r>
                    </w:p>
                  </w:txbxContent>
                </v:textbox>
              </v:rect>
            </w:pict>
          </mc:Fallback>
        </mc:AlternateContent>
      </w:r>
      <w:r w:rsidRPr="00D10D36">
        <w:rPr>
          <w:rFonts w:ascii="Roboto" w:hAnsi="Roboto"/>
          <w:noProof/>
          <w:sz w:val="20"/>
          <w:szCs w:val="20"/>
          <w:lang w:val="en-US"/>
        </w:rPr>
        <mc:AlternateContent>
          <mc:Choice Requires="wps">
            <w:drawing>
              <wp:anchor distT="0" distB="0" distL="114300" distR="114300" simplePos="0" relativeHeight="255555582" behindDoc="0" locked="0" layoutInCell="1" hidden="0" allowOverlap="1" wp14:anchorId="3589C4E7" wp14:editId="6E798969">
                <wp:simplePos x="0" y="0"/>
                <wp:positionH relativeFrom="column">
                  <wp:posOffset>524933</wp:posOffset>
                </wp:positionH>
                <wp:positionV relativeFrom="paragraph">
                  <wp:posOffset>67945</wp:posOffset>
                </wp:positionV>
                <wp:extent cx="36000" cy="360000"/>
                <wp:effectExtent l="0" t="0" r="2540" b="0"/>
                <wp:wrapNone/>
                <wp:docPr id="435" name="Rounded Rectangle 435"/>
                <wp:cNvGraphicFramePr/>
                <a:graphic xmlns:a="http://schemas.openxmlformats.org/drawingml/2006/main">
                  <a:graphicData uri="http://schemas.microsoft.com/office/word/2010/wordprocessingShape">
                    <wps:wsp>
                      <wps:cNvSpPr/>
                      <wps:spPr>
                        <a:xfrm>
                          <a:off x="0" y="0"/>
                          <a:ext cx="36000" cy="360000"/>
                        </a:xfrm>
                        <a:prstGeom prst="roundRect">
                          <a:avLst>
                            <a:gd name="adj" fmla="val 16667"/>
                          </a:avLst>
                        </a:prstGeom>
                        <a:solidFill>
                          <a:srgbClr val="82CAA0"/>
                        </a:solidFill>
                        <a:ln>
                          <a:noFill/>
                        </a:ln>
                      </wps:spPr>
                      <wps:txbx>
                        <w:txbxContent>
                          <w:p w14:paraId="5B278E1C" w14:textId="77777777" w:rsidR="00D15FD8" w:rsidRDefault="00D15FD8" w:rsidP="00D10D3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589C4E7" id="Rounded Rectangle 435" o:spid="_x0000_s1620" style="position:absolute;margin-left:41.35pt;margin-top:5.35pt;width:2.85pt;height:28.35pt;z-index:2555555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" fillcolor="#82caa0" stroked="f">
                <v:textbox inset="2.53958mm,2.53958mm,2.53958mm,2.53958mm">
                  <w:txbxContent>
                    <w:p w14:paraId="5B278E1C" w14:textId="77777777" w:rsidR="00D15FD8" w:rsidRDefault="00D15FD8" w:rsidP="00D10D36">
                      <w:pPr>
                        <w:textDirection w:val="btLr"/>
                      </w:pPr>
                    </w:p>
                  </w:txbxContent>
                </v:textbox>
              </v:roundrect>
            </w:pict>
          </mc:Fallback>
        </mc:AlternateContent>
      </w:r>
      <w:r w:rsidRPr="00D10D36">
        <w:rPr>
          <w:rFonts w:ascii="Roboto" w:hAnsi="Roboto"/>
          <w:noProof/>
          <w:sz w:val="20"/>
          <w:szCs w:val="20"/>
          <w:lang w:val="en-US"/>
        </w:rPr>
        <w:drawing>
          <wp:anchor distT="0" distB="0" distL="114300" distR="114300" simplePos="0" relativeHeight="255551486" behindDoc="0" locked="0" layoutInCell="1" allowOverlap="1" wp14:anchorId="7226DCCA" wp14:editId="565297DC">
            <wp:simplePos x="0" y="0"/>
            <wp:positionH relativeFrom="column">
              <wp:posOffset>12700</wp:posOffset>
            </wp:positionH>
            <wp:positionV relativeFrom="paragraph">
              <wp:posOffset>0</wp:posOffset>
            </wp:positionV>
            <wp:extent cx="431800" cy="431800"/>
            <wp:effectExtent l="0" t="0" r="0" b="0"/>
            <wp:wrapSquare wrapText="bothSides"/>
            <wp:docPr id="302"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AFE31" w14:textId="0A92399F" w:rsidR="00D10D36" w:rsidRDefault="00D10D36" w:rsidP="007C3F48">
      <w:pPr>
        <w:rPr>
          <w:rFonts w:ascii="Roboto" w:hAnsi="Roboto"/>
          <w:sz w:val="20"/>
          <w:szCs w:val="20"/>
          <w:lang w:val="en-US"/>
        </w:rPr>
      </w:pPr>
    </w:p>
    <w:p w14:paraId="2DA04D42" w14:textId="3628605C" w:rsidR="00D10D36" w:rsidRDefault="00D10D36" w:rsidP="007C3F48">
      <w:pPr>
        <w:rPr>
          <w:rFonts w:ascii="Roboto" w:hAnsi="Roboto"/>
          <w:sz w:val="20"/>
          <w:szCs w:val="20"/>
          <w:lang w:val="en-US"/>
        </w:rPr>
      </w:pPr>
    </w:p>
    <w:p w14:paraId="6D9A6AFB" w14:textId="0A165E9F" w:rsidR="00D10D36" w:rsidRDefault="00D10D36" w:rsidP="007C3F48">
      <w:pPr>
        <w:rPr>
          <w:rFonts w:ascii="Roboto" w:hAnsi="Roboto"/>
          <w:sz w:val="20"/>
          <w:szCs w:val="20"/>
          <w:lang w:val="en-US"/>
        </w:rPr>
      </w:pPr>
      <w:r w:rsidRPr="00D10D36">
        <w:rPr>
          <w:rFonts w:ascii="Roboto" w:hAnsi="Roboto"/>
          <w:b/>
          <w:bCs/>
          <w:noProof/>
          <w:sz w:val="20"/>
          <w:szCs w:val="20"/>
          <w:lang w:val="en-US"/>
        </w:rPr>
        <mc:AlternateContent>
          <mc:Choice Requires="wps">
            <w:drawing>
              <wp:anchor distT="0" distB="0" distL="114300" distR="114300" simplePos="0" relativeHeight="255560702" behindDoc="0" locked="0" layoutInCell="1" hidden="0" allowOverlap="1" wp14:anchorId="13283195" wp14:editId="6215572A">
                <wp:simplePos x="0" y="0"/>
                <wp:positionH relativeFrom="column">
                  <wp:posOffset>558800</wp:posOffset>
                </wp:positionH>
                <wp:positionV relativeFrom="paragraph">
                  <wp:posOffset>142240</wp:posOffset>
                </wp:positionV>
                <wp:extent cx="5975985" cy="448733"/>
                <wp:effectExtent l="0" t="0" r="0" b="0"/>
                <wp:wrapNone/>
                <wp:docPr id="452" name="Rectangle 452"/>
                <wp:cNvGraphicFramePr/>
                <a:graphic xmlns:a="http://schemas.openxmlformats.org/drawingml/2006/main">
                  <a:graphicData uri="http://schemas.microsoft.com/office/word/2010/wordprocessingShape">
                    <wps:wsp>
                      <wps:cNvSpPr/>
                      <wps:spPr>
                        <a:xfrm>
                          <a:off x="0" y="0"/>
                          <a:ext cx="5975985" cy="448733"/>
                        </a:xfrm>
                        <a:prstGeom prst="rect">
                          <a:avLst/>
                        </a:prstGeom>
                        <a:noFill/>
                        <a:ln>
                          <a:noFill/>
                        </a:ln>
                      </wps:spPr>
                      <wps:txbx>
                        <w:txbxContent>
                          <w:p w14:paraId="1D2B8F28"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The data to be published should be in accordance with </w:t>
                            </w:r>
                            <w:r w:rsidRPr="00C86CA6">
                              <w:rPr>
                                <w:rFonts w:ascii="Roboto" w:eastAsia="Roboto" w:hAnsi="Roboto" w:cs="Roboto"/>
                                <w:b/>
                                <w:color w:val="82CAA0"/>
                                <w:sz w:val="20"/>
                                <w:szCs w:val="20"/>
                              </w:rPr>
                              <w:t>national and international norms and standards</w:t>
                            </w:r>
                            <w:r w:rsidRPr="00C86CA6">
                              <w:rPr>
                                <w:rFonts w:ascii="Roboto" w:eastAsia="Roboto" w:hAnsi="Roboto" w:cs="Roboto"/>
                                <w:color w:val="82CAA0"/>
                                <w:sz w:val="20"/>
                                <w:szCs w:val="20"/>
                              </w:rPr>
                              <w:t xml:space="preserve"> </w:t>
                            </w:r>
                            <w:r w:rsidRPr="00C86CA6">
                              <w:rPr>
                                <w:rFonts w:ascii="Roboto" w:eastAsia="Roboto" w:hAnsi="Roboto" w:cs="Roboto"/>
                                <w:color w:val="000000"/>
                                <w:sz w:val="20"/>
                                <w:szCs w:val="20"/>
                              </w:rPr>
                              <w:t>as this will allow it to be comparable and compatible in multiple contexts.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3283195" id="Rectangle 452" o:spid="_x0000_s1621" style="position:absolute;margin-left:44pt;margin-top:11.2pt;width:470.55pt;height:35.35pt;z-index:255560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" filled="f" stroked="f">
                <v:textbox inset="2.53958mm,1.2694mm,2.53958mm,1.2694mm">
                  <w:txbxContent>
                    <w:p w14:paraId="1D2B8F28"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The data to be published should be in accordance with </w:t>
                      </w:r>
                      <w:r w:rsidRPr="00C86CA6">
                        <w:rPr>
                          <w:rFonts w:ascii="Roboto" w:eastAsia="Roboto" w:hAnsi="Roboto" w:cs="Roboto"/>
                          <w:b/>
                          <w:color w:val="82CAA0"/>
                          <w:sz w:val="20"/>
                          <w:szCs w:val="20"/>
                        </w:rPr>
                        <w:t>national and international norms and standards</w:t>
                      </w:r>
                      <w:r w:rsidRPr="00C86CA6">
                        <w:rPr>
                          <w:rFonts w:ascii="Roboto" w:eastAsia="Roboto" w:hAnsi="Roboto" w:cs="Roboto"/>
                          <w:color w:val="82CAA0"/>
                          <w:sz w:val="20"/>
                          <w:szCs w:val="20"/>
                        </w:rPr>
                        <w:t xml:space="preserve"> </w:t>
                      </w:r>
                      <w:r w:rsidRPr="00C86CA6">
                        <w:rPr>
                          <w:rFonts w:ascii="Roboto" w:eastAsia="Roboto" w:hAnsi="Roboto" w:cs="Roboto"/>
                          <w:color w:val="000000"/>
                          <w:sz w:val="20"/>
                          <w:szCs w:val="20"/>
                        </w:rPr>
                        <w:t>as this will allow it to be comparable and compatible in multiple contexts.</w:t>
                      </w:r>
                    </w:p>
                  </w:txbxContent>
                </v:textbox>
              </v:rect>
            </w:pict>
          </mc:Fallback>
        </mc:AlternateContent>
      </w:r>
      <w:r w:rsidRPr="00D10D36">
        <w:rPr>
          <w:rFonts w:ascii="Roboto" w:hAnsi="Roboto"/>
          <w:noProof/>
          <w:sz w:val="20"/>
          <w:szCs w:val="20"/>
          <w:lang w:val="en-US"/>
        </w:rPr>
        <w:drawing>
          <wp:anchor distT="0" distB="0" distL="114300" distR="114300" simplePos="0" relativeHeight="255557630" behindDoc="0" locked="0" layoutInCell="1" allowOverlap="1" wp14:anchorId="06766B11" wp14:editId="67BDC304">
            <wp:simplePos x="0" y="0"/>
            <wp:positionH relativeFrom="column">
              <wp:posOffset>20955</wp:posOffset>
            </wp:positionH>
            <wp:positionV relativeFrom="paragraph">
              <wp:posOffset>90170</wp:posOffset>
            </wp:positionV>
            <wp:extent cx="431800" cy="431800"/>
            <wp:effectExtent l="0" t="0" r="0" b="0"/>
            <wp:wrapSquare wrapText="bothSides"/>
            <wp:docPr id="441"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A8949E" w14:textId="53998B0E" w:rsidR="00D10D36" w:rsidRDefault="000C0409" w:rsidP="007C3F48">
      <w:pPr>
        <w:rPr>
          <w:rFonts w:ascii="Roboto" w:hAnsi="Roboto"/>
          <w:sz w:val="20"/>
          <w:szCs w:val="20"/>
          <w:lang w:val="en-US"/>
        </w:rPr>
      </w:pPr>
      <w:r w:rsidRPr="00D10D36">
        <w:rPr>
          <w:rFonts w:ascii="Roboto" w:hAnsi="Roboto"/>
          <w:noProof/>
          <w:sz w:val="20"/>
          <w:szCs w:val="20"/>
          <w:lang w:val="en-US"/>
        </w:rPr>
        <mc:AlternateContent>
          <mc:Choice Requires="wps">
            <w:drawing>
              <wp:anchor distT="0" distB="0" distL="114300" distR="114300" simplePos="0" relativeHeight="255558654" behindDoc="0" locked="0" layoutInCell="1" allowOverlap="1" wp14:anchorId="09C04A4C" wp14:editId="40EDA647">
                <wp:simplePos x="0" y="0"/>
                <wp:positionH relativeFrom="column">
                  <wp:posOffset>16510</wp:posOffset>
                </wp:positionH>
                <wp:positionV relativeFrom="paragraph">
                  <wp:posOffset>86360</wp:posOffset>
                </wp:positionV>
                <wp:extent cx="431800" cy="304165"/>
                <wp:effectExtent l="0" t="0" r="0" b="0"/>
                <wp:wrapNone/>
                <wp:docPr id="438" name="Rectangle 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304165"/>
                        </a:xfrm>
                        <a:prstGeom prst="rect">
                          <a:avLst/>
                        </a:prstGeom>
                        <a:noFill/>
                        <a:ln>
                          <a:noFill/>
                        </a:ln>
                      </wps:spPr>
                      <wps:txbx>
                        <w:txbxContent>
                          <w:p w14:paraId="6CE8496E" w14:textId="37D98F02" w:rsidR="00D15FD8" w:rsidRDefault="00D15FD8" w:rsidP="00D10D36">
                            <w:pPr>
                              <w:jc w:val="center"/>
                              <w:textDirection w:val="btLr"/>
                            </w:pPr>
                            <w:r>
                              <w:rPr>
                                <w:rFonts w:ascii="Roboto" w:eastAsia="Roboto" w:hAnsi="Roboto" w:cs="Roboto"/>
                                <w:b/>
                                <w:color w:val="FFFFFF"/>
                                <w:sz w:val="24"/>
                              </w:rPr>
                              <w:t>4.</w:t>
                            </w:r>
                            <w:r>
                              <w:rPr>
                                <w:noProof/>
                                <w:lang w:val="en-US"/>
                              </w:rPr>
                              <w:drawing>
                                <wp:inline distT="0" distB="0" distL="0" distR="0" wp14:anchorId="4991DB5F" wp14:editId="7B99A0ED">
                                  <wp:extent cx="248920" cy="27305"/>
                                  <wp:effectExtent l="0" t="0" r="508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248920" cy="27305"/>
                                          </a:xfrm>
                                          <a:prstGeom prst="rect">
                                            <a:avLst/>
                                          </a:prstGeom>
                                        </pic:spPr>
                                      </pic:pic>
                                    </a:graphicData>
                                  </a:graphic>
                                </wp:inline>
                              </w:drawing>
                            </w:r>
                            <w:r>
                              <w:rPr>
                                <w:rFonts w:ascii="Roboto" w:eastAsia="Roboto" w:hAnsi="Roboto" w:cs="Roboto"/>
                                <w:b/>
                                <w:color w:val="FFFFFF"/>
                                <w:sz w:val="24"/>
                              </w:rPr>
                              <w:t>.</w:t>
                            </w:r>
                          </w:p>
                        </w:txbxContent>
                      </wps:txbx>
                      <wps:bodyPr spcFirstLastPara="1" wrap="square" lIns="91425" tIns="45700" rIns="91425" bIns="45700" anchor="t" anchorCtr="0">
                        <a:noAutofit/>
                      </wps:bodyPr>
                    </wps:wsp>
                  </a:graphicData>
                </a:graphic>
                <wp14:sizeRelH relativeFrom="margin">
                  <wp14:pctWidth>0</wp14:pctWidth>
                </wp14:sizeRelH>
                <wp14:sizeRelV relativeFrom="page">
                  <wp14:pctHeight>0</wp14:pctHeight>
                </wp14:sizeRelV>
              </wp:anchor>
            </w:drawing>
          </mc:Choice>
          <mc:Fallback>
            <w:pict>
              <v:rect w14:anchorId="09C04A4C" id="Rectangle 438" o:spid="_x0000_s1622" style="position:absolute;margin-left:1.3pt;margin-top:6.8pt;width:34pt;height:23.95pt;z-index:255558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" filled="f" stroked="f">
                <v:textbox inset="2.53958mm,1.2694mm,2.53958mm,1.2694mm">
                  <w:txbxContent>
                    <w:p w14:paraId="6CE8496E" w14:textId="37D98F02" w:rsidR="00D15FD8" w:rsidRDefault="00D15FD8" w:rsidP="00D10D36">
                      <w:pPr>
                        <w:jc w:val="center"/>
                        <w:textDirection w:val="btLr"/>
                      </w:pPr>
                      <w:r>
                        <w:rPr>
                          <w:rFonts w:ascii="Roboto" w:eastAsia="Roboto" w:hAnsi="Roboto" w:cs="Roboto"/>
                          <w:b/>
                          <w:color w:val="FFFFFF"/>
                          <w:sz w:val="24"/>
                        </w:rPr>
                        <w:t>4.</w:t>
                      </w:r>
                      <w:r>
                        <w:rPr>
                          <w:noProof/>
                          <w:lang w:val="en-US"/>
                        </w:rPr>
                        <w:drawing>
                          <wp:inline distT="0" distB="0" distL="0" distR="0" wp14:anchorId="4991DB5F" wp14:editId="7B99A0ED">
                            <wp:extent cx="248920" cy="27305"/>
                            <wp:effectExtent l="0" t="0" r="508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248920" cy="27305"/>
                                    </a:xfrm>
                                    <a:prstGeom prst="rect">
                                      <a:avLst/>
                                    </a:prstGeom>
                                  </pic:spPr>
                                </pic:pic>
                              </a:graphicData>
                            </a:graphic>
                          </wp:inline>
                        </w:drawing>
                      </w:r>
                      <w:r>
                        <w:rPr>
                          <w:rFonts w:ascii="Roboto" w:eastAsia="Roboto" w:hAnsi="Roboto" w:cs="Roboto"/>
                          <w:b/>
                          <w:color w:val="FFFFFF"/>
                          <w:sz w:val="24"/>
                        </w:rPr>
                        <w:t>.</w:t>
                      </w:r>
                    </w:p>
                  </w:txbxContent>
                </v:textbox>
              </v:rect>
            </w:pict>
          </mc:Fallback>
        </mc:AlternateContent>
      </w:r>
      <w:r w:rsidR="00D10D36" w:rsidRPr="00D10D36">
        <w:rPr>
          <w:rFonts w:ascii="Roboto" w:hAnsi="Roboto"/>
          <w:b/>
          <w:bCs/>
          <w:noProof/>
          <w:sz w:val="20"/>
          <w:szCs w:val="20"/>
          <w:lang w:val="en-US"/>
        </w:rPr>
        <mc:AlternateContent>
          <mc:Choice Requires="wps">
            <w:drawing>
              <wp:anchor distT="0" distB="0" distL="114300" distR="114300" simplePos="0" relativeHeight="255561726" behindDoc="0" locked="0" layoutInCell="1" hidden="0" allowOverlap="1" wp14:anchorId="6F77F1EB" wp14:editId="13213EB7">
                <wp:simplePos x="0" y="0"/>
                <wp:positionH relativeFrom="column">
                  <wp:posOffset>526415</wp:posOffset>
                </wp:positionH>
                <wp:positionV relativeFrom="paragraph">
                  <wp:posOffset>10795</wp:posOffset>
                </wp:positionV>
                <wp:extent cx="35560" cy="359410"/>
                <wp:effectExtent l="0" t="0" r="2540" b="0"/>
                <wp:wrapNone/>
                <wp:docPr id="455" name="Rounded Rectangle 455"/>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793501F2" w14:textId="77777777" w:rsidR="00D15FD8" w:rsidRDefault="00D15FD8" w:rsidP="00D10D3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F77F1EB" id="Rounded Rectangle 455" o:spid="_x0000_s1623" style="position:absolute;margin-left:41.45pt;margin-top:.85pt;width:2.8pt;height:28.3pt;z-index:2555617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" fillcolor="#82caa0" stroked="f">
                <v:textbox inset="2.53958mm,2.53958mm,2.53958mm,2.53958mm">
                  <w:txbxContent>
                    <w:p w14:paraId="793501F2" w14:textId="77777777" w:rsidR="00D15FD8" w:rsidRDefault="00D15FD8" w:rsidP="00D10D36">
                      <w:pPr>
                        <w:textDirection w:val="btLr"/>
                      </w:pPr>
                    </w:p>
                  </w:txbxContent>
                </v:textbox>
              </v:roundrect>
            </w:pict>
          </mc:Fallback>
        </mc:AlternateContent>
      </w:r>
    </w:p>
    <w:p w14:paraId="632018BA" w14:textId="20EFFF1F" w:rsidR="00D10D36" w:rsidRDefault="00D10D36" w:rsidP="007C3F48">
      <w:pPr>
        <w:rPr>
          <w:rFonts w:ascii="Roboto" w:hAnsi="Roboto"/>
          <w:sz w:val="20"/>
          <w:szCs w:val="20"/>
          <w:lang w:val="en-US"/>
        </w:rPr>
      </w:pPr>
    </w:p>
    <w:p w14:paraId="7481C135" w14:textId="72FC7EFA" w:rsidR="00D10D36" w:rsidRDefault="00D10D36" w:rsidP="007C3F48">
      <w:pPr>
        <w:rPr>
          <w:rFonts w:ascii="Roboto" w:hAnsi="Roboto"/>
          <w:sz w:val="20"/>
          <w:szCs w:val="20"/>
          <w:lang w:val="en-US"/>
        </w:rPr>
      </w:pPr>
    </w:p>
    <w:p w14:paraId="503F82DF" w14:textId="6F74D6E7" w:rsidR="00D10D36" w:rsidRDefault="00D10D36" w:rsidP="007C3F48">
      <w:pPr>
        <w:rPr>
          <w:rFonts w:ascii="Roboto" w:hAnsi="Roboto"/>
          <w:sz w:val="20"/>
          <w:szCs w:val="20"/>
          <w:lang w:val="en-US"/>
        </w:rPr>
      </w:pPr>
      <w:r w:rsidRPr="00D10D36">
        <w:rPr>
          <w:rFonts w:ascii="Roboto" w:hAnsi="Roboto"/>
          <w:noProof/>
          <w:sz w:val="20"/>
          <w:szCs w:val="20"/>
          <w:lang w:val="en-US"/>
        </w:rPr>
        <mc:AlternateContent>
          <mc:Choice Requires="wps">
            <w:drawing>
              <wp:anchor distT="0" distB="0" distL="114300" distR="114300" simplePos="0" relativeHeight="255567870" behindDoc="0" locked="0" layoutInCell="1" hidden="0" allowOverlap="1" wp14:anchorId="6BBAFE88" wp14:editId="390DEB92">
                <wp:simplePos x="0" y="0"/>
                <wp:positionH relativeFrom="column">
                  <wp:posOffset>526415</wp:posOffset>
                </wp:positionH>
                <wp:positionV relativeFrom="paragraph">
                  <wp:posOffset>135467</wp:posOffset>
                </wp:positionV>
                <wp:extent cx="35560" cy="359410"/>
                <wp:effectExtent l="0" t="0" r="2540" b="0"/>
                <wp:wrapNone/>
                <wp:docPr id="489" name="Rounded Rectangle 489"/>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6DDC0F1D" w14:textId="77777777" w:rsidR="00D15FD8" w:rsidRDefault="00D15FD8" w:rsidP="00D10D36">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BBAFE88" id="Rounded Rectangle 489" o:spid="_x0000_s1624" style="position:absolute;margin-left:41.45pt;margin-top:10.65pt;width:2.8pt;height:28.3pt;z-index:255567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" fillcolor="#82caa0" stroked="f">
                <v:textbox inset="2.53958mm,2.53958mm,2.53958mm,2.53958mm">
                  <w:txbxContent>
                    <w:p w14:paraId="6DDC0F1D" w14:textId="77777777" w:rsidR="00D15FD8" w:rsidRDefault="00D15FD8" w:rsidP="00D10D36">
                      <w:pPr>
                        <w:textDirection w:val="btLr"/>
                      </w:pPr>
                    </w:p>
                  </w:txbxContent>
                </v:textbox>
              </v:roundrect>
            </w:pict>
          </mc:Fallback>
        </mc:AlternateContent>
      </w:r>
      <w:r w:rsidRPr="00D10D36">
        <w:rPr>
          <w:rFonts w:ascii="Roboto" w:hAnsi="Roboto"/>
          <w:noProof/>
          <w:sz w:val="20"/>
          <w:szCs w:val="20"/>
          <w:lang w:val="en-US"/>
        </w:rPr>
        <w:drawing>
          <wp:anchor distT="0" distB="0" distL="114300" distR="114300" simplePos="0" relativeHeight="255563774" behindDoc="0" locked="0" layoutInCell="1" allowOverlap="1" wp14:anchorId="733EB41F" wp14:editId="66130712">
            <wp:simplePos x="0" y="0"/>
            <wp:positionH relativeFrom="column">
              <wp:posOffset>20955</wp:posOffset>
            </wp:positionH>
            <wp:positionV relativeFrom="paragraph">
              <wp:posOffset>71967</wp:posOffset>
            </wp:positionV>
            <wp:extent cx="431800" cy="431800"/>
            <wp:effectExtent l="0" t="0" r="0" b="0"/>
            <wp:wrapSquare wrapText="bothSides"/>
            <wp:docPr id="479"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0D36">
        <w:rPr>
          <w:rFonts w:ascii="Roboto" w:hAnsi="Roboto"/>
          <w:noProof/>
          <w:sz w:val="20"/>
          <w:szCs w:val="20"/>
          <w:lang w:val="en-US"/>
        </w:rPr>
        <mc:AlternateContent>
          <mc:Choice Requires="wps">
            <w:drawing>
              <wp:anchor distT="0" distB="0" distL="114300" distR="114300" simplePos="0" relativeHeight="255566846" behindDoc="0" locked="0" layoutInCell="1" hidden="0" allowOverlap="1" wp14:anchorId="6524CFB4" wp14:editId="03031EE0">
                <wp:simplePos x="0" y="0"/>
                <wp:positionH relativeFrom="column">
                  <wp:posOffset>558800</wp:posOffset>
                </wp:positionH>
                <wp:positionV relativeFrom="paragraph">
                  <wp:posOffset>46144</wp:posOffset>
                </wp:positionV>
                <wp:extent cx="5975985" cy="584200"/>
                <wp:effectExtent l="0" t="0" r="0" b="0"/>
                <wp:wrapNone/>
                <wp:docPr id="484" name="Rectangle 484"/>
                <wp:cNvGraphicFramePr/>
                <a:graphic xmlns:a="http://schemas.openxmlformats.org/drawingml/2006/main">
                  <a:graphicData uri="http://schemas.microsoft.com/office/word/2010/wordprocessingShape">
                    <wps:wsp>
                      <wps:cNvSpPr/>
                      <wps:spPr>
                        <a:xfrm>
                          <a:off x="0" y="0"/>
                          <a:ext cx="5975985" cy="584200"/>
                        </a:xfrm>
                        <a:prstGeom prst="rect">
                          <a:avLst/>
                        </a:prstGeom>
                        <a:noFill/>
                        <a:ln>
                          <a:noFill/>
                        </a:ln>
                      </wps:spPr>
                      <wps:txbx>
                        <w:txbxContent>
                          <w:p w14:paraId="43EA924A"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Opening data implies a constant process dependent on the undertaking of different tasks and activities, involving among others, technological infrastructure, temporal and human costs. The </w:t>
                            </w:r>
                            <w:r w:rsidRPr="00C86CA6">
                              <w:rPr>
                                <w:rFonts w:ascii="Roboto" w:eastAsia="Roboto" w:hAnsi="Roboto" w:cs="Roboto"/>
                                <w:b/>
                                <w:color w:val="82CAA0"/>
                                <w:sz w:val="20"/>
                                <w:szCs w:val="20"/>
                              </w:rPr>
                              <w:t>sustainability</w:t>
                            </w:r>
                            <w:r w:rsidRPr="00C86CA6">
                              <w:rPr>
                                <w:rFonts w:ascii="Roboto" w:eastAsia="Roboto" w:hAnsi="Roboto" w:cs="Roboto"/>
                                <w:color w:val="000000"/>
                                <w:sz w:val="20"/>
                                <w:szCs w:val="20"/>
                              </w:rPr>
                              <w:t xml:space="preserve"> of this should be considered.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524CFB4" id="Rectangle 484" o:spid="_x0000_s1625" style="position:absolute;margin-left:44pt;margin-top:3.65pt;width:470.55pt;height:46pt;z-index:2555668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" filled="f" stroked="f">
                <v:textbox inset="2.53958mm,1.2694mm,2.53958mm,1.2694mm">
                  <w:txbxContent>
                    <w:p w14:paraId="43EA924A" w14:textId="77777777" w:rsidR="00D15FD8" w:rsidRPr="00C86CA6" w:rsidRDefault="00D15FD8" w:rsidP="00D10D36">
                      <w:pPr>
                        <w:spacing w:line="275" w:lineRule="auto"/>
                        <w:jc w:val="both"/>
                        <w:textDirection w:val="btLr"/>
                        <w:rPr>
                          <w:sz w:val="20"/>
                          <w:szCs w:val="20"/>
                        </w:rPr>
                      </w:pPr>
                      <w:r w:rsidRPr="00C86CA6">
                        <w:rPr>
                          <w:rFonts w:ascii="Roboto" w:eastAsia="Roboto" w:hAnsi="Roboto" w:cs="Roboto"/>
                          <w:color w:val="000000"/>
                          <w:sz w:val="20"/>
                          <w:szCs w:val="20"/>
                        </w:rPr>
                        <w:t xml:space="preserve">Opening data implies a constant process dependent on the undertaking of different tasks and activities, involving among others, technological infrastructure, temporal and human costs. The </w:t>
                      </w:r>
                      <w:r w:rsidRPr="00C86CA6">
                        <w:rPr>
                          <w:rFonts w:ascii="Roboto" w:eastAsia="Roboto" w:hAnsi="Roboto" w:cs="Roboto"/>
                          <w:b/>
                          <w:color w:val="82CAA0"/>
                          <w:sz w:val="20"/>
                          <w:szCs w:val="20"/>
                        </w:rPr>
                        <w:t>sustainability</w:t>
                      </w:r>
                      <w:r w:rsidRPr="00C86CA6">
                        <w:rPr>
                          <w:rFonts w:ascii="Roboto" w:eastAsia="Roboto" w:hAnsi="Roboto" w:cs="Roboto"/>
                          <w:color w:val="000000"/>
                          <w:sz w:val="20"/>
                          <w:szCs w:val="20"/>
                        </w:rPr>
                        <w:t xml:space="preserve"> of this should be considered.</w:t>
                      </w:r>
                    </w:p>
                  </w:txbxContent>
                </v:textbox>
              </v:rect>
            </w:pict>
          </mc:Fallback>
        </mc:AlternateContent>
      </w:r>
    </w:p>
    <w:p w14:paraId="3F973894" w14:textId="0C59121B" w:rsidR="00D10D36" w:rsidRDefault="00D10D36" w:rsidP="007C3F48">
      <w:pPr>
        <w:rPr>
          <w:rFonts w:ascii="Roboto" w:hAnsi="Roboto"/>
          <w:sz w:val="20"/>
          <w:szCs w:val="20"/>
          <w:lang w:val="en-US"/>
        </w:rPr>
      </w:pPr>
      <w:r w:rsidRPr="00D10D36">
        <w:rPr>
          <w:rFonts w:ascii="Roboto" w:hAnsi="Roboto"/>
          <w:noProof/>
          <w:sz w:val="20"/>
          <w:szCs w:val="20"/>
          <w:lang w:val="en-US"/>
        </w:rPr>
        <mc:AlternateContent>
          <mc:Choice Requires="wps">
            <w:drawing>
              <wp:anchor distT="0" distB="0" distL="114300" distR="114300" simplePos="0" relativeHeight="255564798" behindDoc="0" locked="0" layoutInCell="1" allowOverlap="1" wp14:anchorId="232D6015" wp14:editId="525C0936">
                <wp:simplePos x="0" y="0"/>
                <wp:positionH relativeFrom="column">
                  <wp:posOffset>24765</wp:posOffset>
                </wp:positionH>
                <wp:positionV relativeFrom="paragraph">
                  <wp:posOffset>59902</wp:posOffset>
                </wp:positionV>
                <wp:extent cx="431800" cy="304165"/>
                <wp:effectExtent l="0" t="0" r="0" b="0"/>
                <wp:wrapNone/>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304165"/>
                        </a:xfrm>
                        <a:prstGeom prst="rect">
                          <a:avLst/>
                        </a:prstGeom>
                        <a:noFill/>
                        <a:ln>
                          <a:noFill/>
                        </a:ln>
                      </wps:spPr>
                      <wps:txbx>
                        <w:txbxContent>
                          <w:p w14:paraId="7DB7BFDB" w14:textId="3BC962A1" w:rsidR="00D15FD8" w:rsidRPr="00D10D36" w:rsidRDefault="00D15FD8" w:rsidP="00D10D36">
                            <w:pPr>
                              <w:jc w:val="center"/>
                              <w:textDirection w:val="btLr"/>
                              <w:rPr>
                                <w:lang w:val="en-US"/>
                              </w:rPr>
                            </w:pPr>
                            <w:r>
                              <w:rPr>
                                <w:rFonts w:ascii="Roboto" w:eastAsia="Roboto" w:hAnsi="Roboto" w:cs="Roboto"/>
                                <w:b/>
                                <w:color w:val="FFFFFF"/>
                                <w:sz w:val="24"/>
                                <w:lang w:val="en-US"/>
                              </w:rPr>
                              <w:t>5.</w:t>
                            </w:r>
                          </w:p>
                        </w:txbxContent>
                      </wps:txbx>
                      <wps:bodyPr spcFirstLastPara="1" wrap="square" lIns="91425" tIns="45700" rIns="91425" bIns="45700" anchor="t" anchorCtr="0">
                        <a:noAutofit/>
                      </wps:bodyPr>
                    </wps:wsp>
                  </a:graphicData>
                </a:graphic>
                <wp14:sizeRelH relativeFrom="margin">
                  <wp14:pctWidth>0</wp14:pctWidth>
                </wp14:sizeRelH>
                <wp14:sizeRelV relativeFrom="page">
                  <wp14:pctHeight>0</wp14:pctHeight>
                </wp14:sizeRelV>
              </wp:anchor>
            </w:drawing>
          </mc:Choice>
          <mc:Fallback>
            <w:pict>
              <v:rect w14:anchorId="232D6015" id="Rectangle 468" o:spid="_x0000_s1626" style="position:absolute;margin-left:1.95pt;margin-top:4.7pt;width:34pt;height:23.95pt;z-index:2555647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" filled="f" stroked="f">
                <v:textbox inset="2.53958mm,1.2694mm,2.53958mm,1.2694mm">
                  <w:txbxContent>
                    <w:p w14:paraId="7DB7BFDB" w14:textId="3BC962A1" w:rsidR="00D15FD8" w:rsidRPr="00D10D36" w:rsidRDefault="00D15FD8" w:rsidP="00D10D36">
                      <w:pPr>
                        <w:jc w:val="center"/>
                        <w:textDirection w:val="btLr"/>
                        <w:rPr>
                          <w:lang w:val="en-US"/>
                        </w:rPr>
                      </w:pPr>
                      <w:r>
                        <w:rPr>
                          <w:rFonts w:ascii="Roboto" w:eastAsia="Roboto" w:hAnsi="Roboto" w:cs="Roboto"/>
                          <w:b/>
                          <w:color w:val="FFFFFF"/>
                          <w:sz w:val="24"/>
                          <w:lang w:val="en-US"/>
                        </w:rPr>
                        <w:t>5.</w:t>
                      </w:r>
                    </w:p>
                  </w:txbxContent>
                </v:textbox>
              </v:rect>
            </w:pict>
          </mc:Fallback>
        </mc:AlternateContent>
      </w:r>
    </w:p>
    <w:p w14:paraId="032E782B" w14:textId="56D40850" w:rsidR="00D10D36" w:rsidRDefault="00D10D36" w:rsidP="007C3F48">
      <w:pPr>
        <w:rPr>
          <w:rFonts w:ascii="Roboto" w:hAnsi="Roboto"/>
          <w:sz w:val="20"/>
          <w:szCs w:val="20"/>
          <w:lang w:val="en-US"/>
        </w:rPr>
      </w:pPr>
    </w:p>
    <w:p w14:paraId="1C60F33C" w14:textId="7D132156" w:rsidR="00D10D36" w:rsidRPr="003625BA" w:rsidRDefault="00D10D36" w:rsidP="007C3F48">
      <w:pPr>
        <w:rPr>
          <w:rFonts w:ascii="Roboto" w:hAnsi="Roboto"/>
          <w:sz w:val="20"/>
          <w:szCs w:val="20"/>
          <w:lang w:val="en-US"/>
        </w:rPr>
      </w:pPr>
    </w:p>
    <w:p w14:paraId="7EF08474" w14:textId="7D8DD293" w:rsidR="007C3F48" w:rsidRPr="00D10D36" w:rsidRDefault="000C0409" w:rsidP="007C3F48">
      <w:pPr>
        <w:rPr>
          <w:rFonts w:ascii="Roboto" w:hAnsi="Roboto"/>
          <w:b/>
          <w:bCs/>
          <w:sz w:val="20"/>
          <w:szCs w:val="20"/>
          <w:lang w:val="en-US"/>
        </w:rPr>
      </w:pPr>
      <w:r w:rsidRPr="000C0409">
        <w:rPr>
          <w:rFonts w:ascii="Roboto" w:hAnsi="Roboto"/>
          <w:noProof/>
          <w:sz w:val="20"/>
          <w:szCs w:val="20"/>
          <w:lang w:val="en-US"/>
        </w:rPr>
        <mc:AlternateContent>
          <mc:Choice Requires="wps">
            <w:drawing>
              <wp:anchor distT="0" distB="0" distL="114300" distR="114300" simplePos="0" relativeHeight="255572990" behindDoc="0" locked="0" layoutInCell="1" hidden="0" allowOverlap="1" wp14:anchorId="2FB0833E" wp14:editId="5B15B880">
                <wp:simplePos x="0" y="0"/>
                <wp:positionH relativeFrom="column">
                  <wp:posOffset>575733</wp:posOffset>
                </wp:positionH>
                <wp:positionV relativeFrom="paragraph">
                  <wp:posOffset>136949</wp:posOffset>
                </wp:positionV>
                <wp:extent cx="5975985" cy="448734"/>
                <wp:effectExtent l="0" t="0" r="0" b="0"/>
                <wp:wrapNone/>
                <wp:docPr id="492" name="Rectangle 492"/>
                <wp:cNvGraphicFramePr/>
                <a:graphic xmlns:a="http://schemas.openxmlformats.org/drawingml/2006/main">
                  <a:graphicData uri="http://schemas.microsoft.com/office/word/2010/wordprocessingShape">
                    <wps:wsp>
                      <wps:cNvSpPr/>
                      <wps:spPr>
                        <a:xfrm>
                          <a:off x="0" y="0"/>
                          <a:ext cx="5975985" cy="448734"/>
                        </a:xfrm>
                        <a:prstGeom prst="rect">
                          <a:avLst/>
                        </a:prstGeom>
                        <a:noFill/>
                        <a:ln>
                          <a:noFill/>
                        </a:ln>
                      </wps:spPr>
                      <wps:txbx>
                        <w:txbxContent>
                          <w:p w14:paraId="6A0334B2" w14:textId="77777777" w:rsidR="00D15FD8" w:rsidRPr="00C86CA6" w:rsidRDefault="00D15FD8" w:rsidP="000C0409">
                            <w:pPr>
                              <w:spacing w:line="275" w:lineRule="auto"/>
                              <w:jc w:val="both"/>
                              <w:textDirection w:val="btLr"/>
                              <w:rPr>
                                <w:sz w:val="20"/>
                                <w:szCs w:val="20"/>
                              </w:rPr>
                            </w:pPr>
                            <w:r w:rsidRPr="00C86CA6">
                              <w:rPr>
                                <w:rFonts w:ascii="Roboto" w:eastAsia="Roboto" w:hAnsi="Roboto" w:cs="Roboto"/>
                                <w:color w:val="000000"/>
                                <w:sz w:val="20"/>
                                <w:szCs w:val="20"/>
                              </w:rPr>
                              <w:t xml:space="preserve">Considerations related to </w:t>
                            </w:r>
                            <w:r w:rsidRPr="00C86CA6">
                              <w:rPr>
                                <w:rFonts w:ascii="Roboto" w:eastAsia="Roboto" w:hAnsi="Roboto" w:cs="Roboto"/>
                                <w:b/>
                                <w:color w:val="82CAA0"/>
                                <w:sz w:val="20"/>
                                <w:szCs w:val="20"/>
                              </w:rPr>
                              <w:t>licenses</w:t>
                            </w:r>
                            <w:r w:rsidRPr="00C86CA6">
                              <w:rPr>
                                <w:rFonts w:ascii="Roboto" w:eastAsia="Roboto" w:hAnsi="Roboto" w:cs="Roboto"/>
                                <w:color w:val="000000"/>
                                <w:sz w:val="20"/>
                                <w:szCs w:val="20"/>
                              </w:rPr>
                              <w:t xml:space="preserve"> that consider users and protect them while using data, allowing both its commercial and non-commercial use and reuse without restrictions.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FB0833E" id="Rectangle 492" o:spid="_x0000_s1627" style="position:absolute;margin-left:45.35pt;margin-top:10.8pt;width:470.55pt;height:35.35pt;z-index:255572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" filled="f" stroked="f">
                <v:textbox inset="2.53958mm,1.2694mm,2.53958mm,1.2694mm">
                  <w:txbxContent>
                    <w:p w14:paraId="6A0334B2" w14:textId="77777777" w:rsidR="00D15FD8" w:rsidRPr="00C86CA6" w:rsidRDefault="00D15FD8" w:rsidP="000C0409">
                      <w:pPr>
                        <w:spacing w:line="275" w:lineRule="auto"/>
                        <w:jc w:val="both"/>
                        <w:textDirection w:val="btLr"/>
                        <w:rPr>
                          <w:sz w:val="20"/>
                          <w:szCs w:val="20"/>
                        </w:rPr>
                      </w:pPr>
                      <w:r w:rsidRPr="00C86CA6">
                        <w:rPr>
                          <w:rFonts w:ascii="Roboto" w:eastAsia="Roboto" w:hAnsi="Roboto" w:cs="Roboto"/>
                          <w:color w:val="000000"/>
                          <w:sz w:val="20"/>
                          <w:szCs w:val="20"/>
                        </w:rPr>
                        <w:t xml:space="preserve">Considerations related to </w:t>
                      </w:r>
                      <w:r w:rsidRPr="00C86CA6">
                        <w:rPr>
                          <w:rFonts w:ascii="Roboto" w:eastAsia="Roboto" w:hAnsi="Roboto" w:cs="Roboto"/>
                          <w:b/>
                          <w:color w:val="82CAA0"/>
                          <w:sz w:val="20"/>
                          <w:szCs w:val="20"/>
                        </w:rPr>
                        <w:t>licenses</w:t>
                      </w:r>
                      <w:r w:rsidRPr="00C86CA6">
                        <w:rPr>
                          <w:rFonts w:ascii="Roboto" w:eastAsia="Roboto" w:hAnsi="Roboto" w:cs="Roboto"/>
                          <w:color w:val="000000"/>
                          <w:sz w:val="20"/>
                          <w:szCs w:val="20"/>
                        </w:rPr>
                        <w:t xml:space="preserve"> that consider users and protect them while using data, allowing both its commercial and non-commercial use and reuse without restrictions.</w:t>
                      </w:r>
                    </w:p>
                  </w:txbxContent>
                </v:textbox>
              </v:rect>
            </w:pict>
          </mc:Fallback>
        </mc:AlternateContent>
      </w:r>
      <w:r w:rsidRPr="000C0409">
        <w:rPr>
          <w:rFonts w:ascii="Roboto" w:hAnsi="Roboto"/>
          <w:noProof/>
          <w:sz w:val="20"/>
          <w:szCs w:val="20"/>
          <w:lang w:val="en-US"/>
        </w:rPr>
        <w:drawing>
          <wp:anchor distT="0" distB="0" distL="114300" distR="114300" simplePos="0" relativeHeight="255569918" behindDoc="0" locked="0" layoutInCell="1" allowOverlap="1" wp14:anchorId="4F6B38EF" wp14:editId="6B53FF0F">
            <wp:simplePos x="0" y="0"/>
            <wp:positionH relativeFrom="column">
              <wp:posOffset>16510</wp:posOffset>
            </wp:positionH>
            <wp:positionV relativeFrom="paragraph">
              <wp:posOffset>90170</wp:posOffset>
            </wp:positionV>
            <wp:extent cx="431800" cy="431800"/>
            <wp:effectExtent l="0" t="0" r="0" b="0"/>
            <wp:wrapSquare wrapText="bothSides"/>
            <wp:docPr id="491"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8BA74A" w14:textId="31FC5494" w:rsidR="007C3F48" w:rsidRPr="003625BA" w:rsidRDefault="000C0409" w:rsidP="007C3F48">
      <w:pPr>
        <w:rPr>
          <w:rFonts w:ascii="Roboto" w:hAnsi="Roboto"/>
          <w:sz w:val="20"/>
          <w:szCs w:val="20"/>
          <w:lang w:val="en-US"/>
        </w:rPr>
      </w:pPr>
      <w:r w:rsidRPr="000C0409">
        <w:rPr>
          <w:rFonts w:ascii="Roboto" w:hAnsi="Roboto"/>
          <w:noProof/>
          <w:sz w:val="20"/>
          <w:szCs w:val="20"/>
          <w:lang w:val="en-US"/>
        </w:rPr>
        <mc:AlternateContent>
          <mc:Choice Requires="wps">
            <w:drawing>
              <wp:anchor distT="0" distB="0" distL="114300" distR="114300" simplePos="0" relativeHeight="255574014" behindDoc="0" locked="0" layoutInCell="1" hidden="0" allowOverlap="1" wp14:anchorId="397B5F97" wp14:editId="34328292">
                <wp:simplePos x="0" y="0"/>
                <wp:positionH relativeFrom="column">
                  <wp:posOffset>528320</wp:posOffset>
                </wp:positionH>
                <wp:positionV relativeFrom="paragraph">
                  <wp:posOffset>5715</wp:posOffset>
                </wp:positionV>
                <wp:extent cx="35560" cy="359410"/>
                <wp:effectExtent l="0" t="0" r="2540" b="0"/>
                <wp:wrapNone/>
                <wp:docPr id="493" name="Rounded Rectangle 493"/>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3EA90D1E" w14:textId="77777777" w:rsidR="00D15FD8" w:rsidRDefault="00D15FD8" w:rsidP="000C0409">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97B5F97" id="Rounded Rectangle 493" o:spid="_x0000_s1628" style="position:absolute;margin-left:41.6pt;margin-top:.45pt;width:2.8pt;height:28.3pt;z-index:255574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" fillcolor="#82caa0" stroked="f">
                <v:textbox inset="2.53958mm,2.53958mm,2.53958mm,2.53958mm">
                  <w:txbxContent>
                    <w:p w14:paraId="3EA90D1E" w14:textId="77777777" w:rsidR="00D15FD8" w:rsidRDefault="00D15FD8" w:rsidP="000C0409">
                      <w:pPr>
                        <w:textDirection w:val="btLr"/>
                      </w:pPr>
                    </w:p>
                  </w:txbxContent>
                </v:textbox>
              </v:roundrect>
            </w:pict>
          </mc:Fallback>
        </mc:AlternateContent>
      </w:r>
      <w:r w:rsidRPr="000C0409">
        <w:rPr>
          <w:rFonts w:ascii="Roboto" w:hAnsi="Roboto"/>
          <w:noProof/>
          <w:sz w:val="20"/>
          <w:szCs w:val="20"/>
          <w:lang w:val="en-US"/>
        </w:rPr>
        <mc:AlternateContent>
          <mc:Choice Requires="wps">
            <w:drawing>
              <wp:anchor distT="0" distB="0" distL="114300" distR="114300" simplePos="0" relativeHeight="255570942" behindDoc="0" locked="0" layoutInCell="1" allowOverlap="1" wp14:anchorId="7F3B3513" wp14:editId="10C7F2C9">
                <wp:simplePos x="0" y="0"/>
                <wp:positionH relativeFrom="column">
                  <wp:posOffset>28575</wp:posOffset>
                </wp:positionH>
                <wp:positionV relativeFrom="paragraph">
                  <wp:posOffset>85937</wp:posOffset>
                </wp:positionV>
                <wp:extent cx="431800" cy="304165"/>
                <wp:effectExtent l="0" t="0" r="0" b="0"/>
                <wp:wrapNone/>
                <wp:docPr id="490"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304165"/>
                        </a:xfrm>
                        <a:prstGeom prst="rect">
                          <a:avLst/>
                        </a:prstGeom>
                        <a:noFill/>
                        <a:ln>
                          <a:noFill/>
                        </a:ln>
                      </wps:spPr>
                      <wps:txbx>
                        <w:txbxContent>
                          <w:p w14:paraId="60808C51" w14:textId="4556D124" w:rsidR="00D15FD8" w:rsidRPr="00D10D36" w:rsidRDefault="00D15FD8" w:rsidP="000C0409">
                            <w:pPr>
                              <w:jc w:val="center"/>
                              <w:textDirection w:val="btLr"/>
                              <w:rPr>
                                <w:lang w:val="en-US"/>
                              </w:rPr>
                            </w:pPr>
                            <w:r>
                              <w:rPr>
                                <w:rFonts w:ascii="Roboto" w:eastAsia="Roboto" w:hAnsi="Roboto" w:cs="Roboto"/>
                                <w:b/>
                                <w:color w:val="FFFFFF"/>
                                <w:sz w:val="24"/>
                                <w:lang w:val="en-US"/>
                              </w:rPr>
                              <w:t>6.</w:t>
                            </w:r>
                          </w:p>
                        </w:txbxContent>
                      </wps:txbx>
                      <wps:bodyPr spcFirstLastPara="1" wrap="square" lIns="91425" tIns="45700" rIns="91425" bIns="45700" anchor="t" anchorCtr="0">
                        <a:noAutofit/>
                      </wps:bodyPr>
                    </wps:wsp>
                  </a:graphicData>
                </a:graphic>
                <wp14:sizeRelH relativeFrom="margin">
                  <wp14:pctWidth>0</wp14:pctWidth>
                </wp14:sizeRelH>
                <wp14:sizeRelV relativeFrom="page">
                  <wp14:pctHeight>0</wp14:pctHeight>
                </wp14:sizeRelV>
              </wp:anchor>
            </w:drawing>
          </mc:Choice>
          <mc:Fallback>
            <w:pict>
              <v:rect w14:anchorId="7F3B3513" id="Rectangle 490" o:spid="_x0000_s1629" style="position:absolute;margin-left:2.25pt;margin-top:6.75pt;width:34pt;height:23.95pt;z-index:255570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" filled="f" stroked="f">
                <v:textbox inset="2.53958mm,1.2694mm,2.53958mm,1.2694mm">
                  <w:txbxContent>
                    <w:p w14:paraId="60808C51" w14:textId="4556D124" w:rsidR="00D15FD8" w:rsidRPr="00D10D36" w:rsidRDefault="00D15FD8" w:rsidP="000C0409">
                      <w:pPr>
                        <w:jc w:val="center"/>
                        <w:textDirection w:val="btLr"/>
                        <w:rPr>
                          <w:lang w:val="en-US"/>
                        </w:rPr>
                      </w:pPr>
                      <w:r>
                        <w:rPr>
                          <w:rFonts w:ascii="Roboto" w:eastAsia="Roboto" w:hAnsi="Roboto" w:cs="Roboto"/>
                          <w:b/>
                          <w:color w:val="FFFFFF"/>
                          <w:sz w:val="24"/>
                          <w:lang w:val="en-US"/>
                        </w:rPr>
                        <w:t>6.</w:t>
                      </w:r>
                    </w:p>
                  </w:txbxContent>
                </v:textbox>
              </v:rect>
            </w:pict>
          </mc:Fallback>
        </mc:AlternateContent>
      </w:r>
    </w:p>
    <w:p w14:paraId="2DAB1709" w14:textId="0BFCD954" w:rsidR="007C3F48" w:rsidRPr="003625BA" w:rsidRDefault="007C3F48" w:rsidP="007C3F48">
      <w:pPr>
        <w:rPr>
          <w:rFonts w:ascii="Roboto" w:hAnsi="Roboto"/>
          <w:sz w:val="20"/>
          <w:szCs w:val="20"/>
          <w:lang w:val="en-US"/>
        </w:rPr>
      </w:pPr>
    </w:p>
    <w:p w14:paraId="5CF3B2AC" w14:textId="08560F3F" w:rsidR="007C3F48" w:rsidRPr="003625BA" w:rsidRDefault="007C3F48" w:rsidP="007C3F48">
      <w:pPr>
        <w:rPr>
          <w:rFonts w:ascii="Roboto" w:hAnsi="Roboto"/>
          <w:sz w:val="20"/>
          <w:szCs w:val="20"/>
          <w:lang w:val="en-US"/>
        </w:rPr>
      </w:pPr>
    </w:p>
    <w:p w14:paraId="6B28BB37" w14:textId="116E961C" w:rsidR="007C3F48" w:rsidRDefault="000C0409" w:rsidP="007C3F48">
      <w:pPr>
        <w:rPr>
          <w:rFonts w:ascii="Roboto" w:hAnsi="Roboto"/>
          <w:sz w:val="20"/>
          <w:szCs w:val="20"/>
          <w:lang w:val="en-US"/>
        </w:rPr>
      </w:pPr>
      <w:r w:rsidRPr="000C0409">
        <w:rPr>
          <w:rFonts w:ascii="Roboto" w:hAnsi="Roboto"/>
          <w:b/>
          <w:bCs/>
          <w:noProof/>
          <w:sz w:val="20"/>
          <w:szCs w:val="20"/>
          <w:lang w:val="en-US"/>
        </w:rPr>
        <w:drawing>
          <wp:anchor distT="0" distB="0" distL="114300" distR="114300" simplePos="0" relativeHeight="255576062" behindDoc="0" locked="0" layoutInCell="1" allowOverlap="1" wp14:anchorId="6AB85F5C" wp14:editId="323A3912">
            <wp:simplePos x="0" y="0"/>
            <wp:positionH relativeFrom="column">
              <wp:posOffset>29210</wp:posOffset>
            </wp:positionH>
            <wp:positionV relativeFrom="paragraph">
              <wp:posOffset>97790</wp:posOffset>
            </wp:positionV>
            <wp:extent cx="431800" cy="431800"/>
            <wp:effectExtent l="0" t="0" r="0" b="0"/>
            <wp:wrapSquare wrapText="bothSides"/>
            <wp:docPr id="495"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0409">
        <w:rPr>
          <w:rFonts w:ascii="Roboto" w:hAnsi="Roboto"/>
          <w:noProof/>
          <w:sz w:val="20"/>
          <w:szCs w:val="20"/>
          <w:lang w:val="en-US"/>
        </w:rPr>
        <mc:AlternateContent>
          <mc:Choice Requires="wps">
            <w:drawing>
              <wp:anchor distT="0" distB="0" distL="114300" distR="114300" simplePos="0" relativeHeight="255579134" behindDoc="0" locked="0" layoutInCell="1" hidden="0" allowOverlap="1" wp14:anchorId="2B84067F" wp14:editId="7DA4D883">
                <wp:simplePos x="0" y="0"/>
                <wp:positionH relativeFrom="column">
                  <wp:posOffset>567055</wp:posOffset>
                </wp:positionH>
                <wp:positionV relativeFrom="paragraph">
                  <wp:posOffset>99060</wp:posOffset>
                </wp:positionV>
                <wp:extent cx="5975985" cy="516255"/>
                <wp:effectExtent l="0" t="0" r="0" b="0"/>
                <wp:wrapNone/>
                <wp:docPr id="497" name="Rectangle 497"/>
                <wp:cNvGraphicFramePr/>
                <a:graphic xmlns:a="http://schemas.openxmlformats.org/drawingml/2006/main">
                  <a:graphicData uri="http://schemas.microsoft.com/office/word/2010/wordprocessingShape">
                    <wps:wsp>
                      <wps:cNvSpPr/>
                      <wps:spPr>
                        <a:xfrm>
                          <a:off x="0" y="0"/>
                          <a:ext cx="5975985" cy="516255"/>
                        </a:xfrm>
                        <a:prstGeom prst="rect">
                          <a:avLst/>
                        </a:prstGeom>
                        <a:noFill/>
                        <a:ln>
                          <a:noFill/>
                        </a:ln>
                      </wps:spPr>
                      <wps:txbx>
                        <w:txbxContent>
                          <w:p w14:paraId="613ED5D6" w14:textId="77777777" w:rsidR="00D15FD8" w:rsidRPr="00C86CA6" w:rsidRDefault="00D15FD8" w:rsidP="000C0409">
                            <w:pPr>
                              <w:spacing w:after="120"/>
                              <w:jc w:val="both"/>
                              <w:textDirection w:val="btLr"/>
                              <w:rPr>
                                <w:sz w:val="20"/>
                                <w:szCs w:val="20"/>
                              </w:rPr>
                            </w:pPr>
                            <w:r w:rsidRPr="00C86CA6">
                              <w:rPr>
                                <w:rFonts w:ascii="Roboto" w:eastAsia="Roboto" w:hAnsi="Roboto" w:cs="Roboto"/>
                                <w:color w:val="000000"/>
                                <w:sz w:val="20"/>
                                <w:szCs w:val="20"/>
                              </w:rPr>
                              <w:t xml:space="preserve">Considerations related to the spread and promotion of the use of open budget data. A </w:t>
                            </w:r>
                            <w:r w:rsidRPr="00C86CA6">
                              <w:rPr>
                                <w:rFonts w:ascii="Roboto" w:eastAsia="Roboto" w:hAnsi="Roboto" w:cs="Roboto"/>
                                <w:b/>
                                <w:color w:val="0563C1"/>
                                <w:sz w:val="20"/>
                                <w:szCs w:val="20"/>
                                <w:u w:val="single"/>
                              </w:rPr>
                              <w:t>webinar</w:t>
                            </w:r>
                            <w:r w:rsidRPr="00C86CA6">
                              <w:rPr>
                                <w:rFonts w:ascii="Roboto" w:eastAsia="Roboto" w:hAnsi="Roboto" w:cs="Roboto"/>
                                <w:color w:val="000000"/>
                                <w:sz w:val="20"/>
                                <w:szCs w:val="20"/>
                              </w:rPr>
                              <w:t xml:space="preserve"> addresses how to guarantee effective access to open budget data, facilitating the interaction, linkage and civic participation.</w:t>
                            </w:r>
                          </w:p>
                          <w:p w14:paraId="429E5B6B" w14:textId="77777777" w:rsidR="00D15FD8" w:rsidRPr="00C86CA6" w:rsidRDefault="00D15FD8" w:rsidP="000C0409">
                            <w:pPr>
                              <w:spacing w:line="275" w:lineRule="auto"/>
                              <w:jc w:val="both"/>
                              <w:textDirection w:val="btLr"/>
                              <w:rPr>
                                <w:sz w:val="20"/>
                                <w:szCs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B84067F" id="Rectangle 497" o:spid="_x0000_s1630" style="position:absolute;margin-left:44.65pt;margin-top:7.8pt;width:470.55pt;height:40.65pt;z-index:255579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" filled="f" stroked="f">
                <v:textbox inset="2.53958mm,1.2694mm,2.53958mm,1.2694mm">
                  <w:txbxContent>
                    <w:p w14:paraId="613ED5D6" w14:textId="77777777" w:rsidR="00D15FD8" w:rsidRPr="00C86CA6" w:rsidRDefault="00D15FD8" w:rsidP="000C0409">
                      <w:pPr>
                        <w:spacing w:after="120"/>
                        <w:jc w:val="both"/>
                        <w:textDirection w:val="btLr"/>
                        <w:rPr>
                          <w:sz w:val="20"/>
                          <w:szCs w:val="20"/>
                        </w:rPr>
                      </w:pPr>
                      <w:r w:rsidRPr="00C86CA6">
                        <w:rPr>
                          <w:rFonts w:ascii="Roboto" w:eastAsia="Roboto" w:hAnsi="Roboto" w:cs="Roboto"/>
                          <w:color w:val="000000"/>
                          <w:sz w:val="20"/>
                          <w:szCs w:val="20"/>
                        </w:rPr>
                        <w:t xml:space="preserve">Considerations related to the spread and promotion of the use of open budget data. A </w:t>
                      </w:r>
                      <w:r w:rsidRPr="00C86CA6">
                        <w:rPr>
                          <w:rFonts w:ascii="Roboto" w:eastAsia="Roboto" w:hAnsi="Roboto" w:cs="Roboto"/>
                          <w:b/>
                          <w:color w:val="0563C1"/>
                          <w:sz w:val="20"/>
                          <w:szCs w:val="20"/>
                          <w:u w:val="single"/>
                        </w:rPr>
                        <w:t>webinar</w:t>
                      </w:r>
                      <w:r w:rsidRPr="00C86CA6">
                        <w:rPr>
                          <w:rFonts w:ascii="Roboto" w:eastAsia="Roboto" w:hAnsi="Roboto" w:cs="Roboto"/>
                          <w:color w:val="000000"/>
                          <w:sz w:val="20"/>
                          <w:szCs w:val="20"/>
                        </w:rPr>
                        <w:t xml:space="preserve"> addresses how to guarantee effective access to open budget data, facilitating the interaction, linkage and civic participation.</w:t>
                      </w:r>
                    </w:p>
                    <w:p w14:paraId="429E5B6B" w14:textId="77777777" w:rsidR="00D15FD8" w:rsidRPr="00C86CA6" w:rsidRDefault="00D15FD8" w:rsidP="000C0409">
                      <w:pPr>
                        <w:spacing w:line="275" w:lineRule="auto"/>
                        <w:jc w:val="both"/>
                        <w:textDirection w:val="btLr"/>
                        <w:rPr>
                          <w:sz w:val="20"/>
                          <w:szCs w:val="20"/>
                        </w:rPr>
                      </w:pPr>
                    </w:p>
                  </w:txbxContent>
                </v:textbox>
              </v:rect>
            </w:pict>
          </mc:Fallback>
        </mc:AlternateContent>
      </w:r>
      <w:r w:rsidRPr="000C0409">
        <w:rPr>
          <w:rFonts w:ascii="Roboto" w:hAnsi="Roboto"/>
          <w:noProof/>
          <w:sz w:val="20"/>
          <w:szCs w:val="20"/>
          <w:lang w:val="en-US"/>
        </w:rPr>
        <mc:AlternateContent>
          <mc:Choice Requires="wps">
            <w:drawing>
              <wp:anchor distT="0" distB="0" distL="114300" distR="114300" simplePos="0" relativeHeight="255580158" behindDoc="0" locked="0" layoutInCell="1" hidden="0" allowOverlap="1" wp14:anchorId="4E74994B" wp14:editId="4AD705AB">
                <wp:simplePos x="0" y="0"/>
                <wp:positionH relativeFrom="column">
                  <wp:posOffset>531495</wp:posOffset>
                </wp:positionH>
                <wp:positionV relativeFrom="paragraph">
                  <wp:posOffset>137372</wp:posOffset>
                </wp:positionV>
                <wp:extent cx="35560" cy="359410"/>
                <wp:effectExtent l="0" t="0" r="2540" b="0"/>
                <wp:wrapNone/>
                <wp:docPr id="498" name="Rounded Rectangle 498"/>
                <wp:cNvGraphicFramePr/>
                <a:graphic xmlns:a="http://schemas.openxmlformats.org/drawingml/2006/main">
                  <a:graphicData uri="http://schemas.microsoft.com/office/word/2010/wordprocessingShape">
                    <wps:wsp>
                      <wps:cNvSpPr/>
                      <wps:spPr>
                        <a:xfrm>
                          <a:off x="0" y="0"/>
                          <a:ext cx="35560" cy="359410"/>
                        </a:xfrm>
                        <a:prstGeom prst="roundRect">
                          <a:avLst>
                            <a:gd name="adj" fmla="val 16667"/>
                          </a:avLst>
                        </a:prstGeom>
                        <a:solidFill>
                          <a:srgbClr val="82CAA0"/>
                        </a:solidFill>
                        <a:ln>
                          <a:noFill/>
                        </a:ln>
                      </wps:spPr>
                      <wps:txbx>
                        <w:txbxContent>
                          <w:p w14:paraId="59499536" w14:textId="77777777" w:rsidR="00D15FD8" w:rsidRDefault="00D15FD8" w:rsidP="000C0409">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E74994B" id="Rounded Rectangle 498" o:spid="_x0000_s1631" style="position:absolute;margin-left:41.85pt;margin-top:10.8pt;width:2.8pt;height:28.3pt;z-index:255580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" fillcolor="#82caa0" stroked="f">
                <v:textbox inset="2.53958mm,2.53958mm,2.53958mm,2.53958mm">
                  <w:txbxContent>
                    <w:p w14:paraId="59499536" w14:textId="77777777" w:rsidR="00D15FD8" w:rsidRDefault="00D15FD8" w:rsidP="000C0409">
                      <w:pPr>
                        <w:textDirection w:val="btLr"/>
                      </w:pPr>
                    </w:p>
                  </w:txbxContent>
                </v:textbox>
              </v:roundrect>
            </w:pict>
          </mc:Fallback>
        </mc:AlternateContent>
      </w:r>
    </w:p>
    <w:p w14:paraId="77818114" w14:textId="41E96058" w:rsidR="000C0409" w:rsidRPr="003625BA" w:rsidRDefault="000C0409" w:rsidP="007C3F48">
      <w:pPr>
        <w:rPr>
          <w:rFonts w:ascii="Roboto" w:hAnsi="Roboto"/>
          <w:sz w:val="20"/>
          <w:szCs w:val="20"/>
          <w:lang w:val="en-US"/>
        </w:rPr>
      </w:pPr>
      <w:r w:rsidRPr="000C0409">
        <w:rPr>
          <w:rFonts w:ascii="Roboto" w:hAnsi="Roboto"/>
          <w:b/>
          <w:bCs/>
          <w:noProof/>
          <w:sz w:val="20"/>
          <w:szCs w:val="20"/>
          <w:lang w:val="en-US"/>
        </w:rPr>
        <mc:AlternateContent>
          <mc:Choice Requires="wps">
            <w:drawing>
              <wp:anchor distT="0" distB="0" distL="114300" distR="114300" simplePos="0" relativeHeight="255577086" behindDoc="0" locked="0" layoutInCell="1" allowOverlap="1" wp14:anchorId="357F001C" wp14:editId="7F77C052">
                <wp:simplePos x="0" y="0"/>
                <wp:positionH relativeFrom="column">
                  <wp:posOffset>41275</wp:posOffset>
                </wp:positionH>
                <wp:positionV relativeFrom="paragraph">
                  <wp:posOffset>101812</wp:posOffset>
                </wp:positionV>
                <wp:extent cx="431800" cy="304165"/>
                <wp:effectExtent l="0" t="0" r="0" b="0"/>
                <wp:wrapNone/>
                <wp:docPr id="494" name="Rectangle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304165"/>
                        </a:xfrm>
                        <a:prstGeom prst="rect">
                          <a:avLst/>
                        </a:prstGeom>
                        <a:noFill/>
                        <a:ln>
                          <a:noFill/>
                        </a:ln>
                      </wps:spPr>
                      <wps:txbx>
                        <w:txbxContent>
                          <w:p w14:paraId="2773AD62" w14:textId="197A2BC3" w:rsidR="00D15FD8" w:rsidRPr="00D10D36" w:rsidRDefault="00D15FD8" w:rsidP="000C0409">
                            <w:pPr>
                              <w:jc w:val="center"/>
                              <w:textDirection w:val="btLr"/>
                              <w:rPr>
                                <w:lang w:val="en-US"/>
                              </w:rPr>
                            </w:pPr>
                            <w:r>
                              <w:rPr>
                                <w:rFonts w:ascii="Roboto" w:eastAsia="Roboto" w:hAnsi="Roboto" w:cs="Roboto"/>
                                <w:b/>
                                <w:color w:val="FFFFFF"/>
                                <w:sz w:val="24"/>
                                <w:lang w:val="en-US"/>
                              </w:rPr>
                              <w:t>7.</w:t>
                            </w:r>
                          </w:p>
                        </w:txbxContent>
                      </wps:txbx>
                      <wps:bodyPr spcFirstLastPara="1" wrap="square" lIns="91425" tIns="45700" rIns="91425" bIns="45700" anchor="t" anchorCtr="0">
                        <a:noAutofit/>
                      </wps:bodyPr>
                    </wps:wsp>
                  </a:graphicData>
                </a:graphic>
                <wp14:sizeRelH relativeFrom="margin">
                  <wp14:pctWidth>0</wp14:pctWidth>
                </wp14:sizeRelH>
                <wp14:sizeRelV relativeFrom="page">
                  <wp14:pctHeight>0</wp14:pctHeight>
                </wp14:sizeRelV>
              </wp:anchor>
            </w:drawing>
          </mc:Choice>
          <mc:Fallback>
            <w:pict>
              <v:rect w14:anchorId="357F001C" id="Rectangle 494" o:spid="_x0000_s1632" style="position:absolute;margin-left:3.25pt;margin-top:8pt;width:34pt;height:23.95pt;z-index:255577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" filled="f" stroked="f">
                <v:textbox inset="2.53958mm,1.2694mm,2.53958mm,1.2694mm">
                  <w:txbxContent>
                    <w:p w14:paraId="2773AD62" w14:textId="197A2BC3" w:rsidR="00D15FD8" w:rsidRPr="00D10D36" w:rsidRDefault="00D15FD8" w:rsidP="000C0409">
                      <w:pPr>
                        <w:jc w:val="center"/>
                        <w:textDirection w:val="btLr"/>
                        <w:rPr>
                          <w:lang w:val="en-US"/>
                        </w:rPr>
                      </w:pPr>
                      <w:r>
                        <w:rPr>
                          <w:rFonts w:ascii="Roboto" w:eastAsia="Roboto" w:hAnsi="Roboto" w:cs="Roboto"/>
                          <w:b/>
                          <w:color w:val="FFFFFF"/>
                          <w:sz w:val="24"/>
                          <w:lang w:val="en-US"/>
                        </w:rPr>
                        <w:t>7.</w:t>
                      </w:r>
                    </w:p>
                  </w:txbxContent>
                </v:textbox>
              </v:rect>
            </w:pict>
          </mc:Fallback>
        </mc:AlternateContent>
      </w:r>
    </w:p>
    <w:p w14:paraId="4EC4E6F7" w14:textId="61884E94" w:rsidR="007C3F48" w:rsidRPr="003625BA" w:rsidRDefault="007C3F48" w:rsidP="007C3F48">
      <w:pPr>
        <w:rPr>
          <w:rFonts w:ascii="Roboto" w:hAnsi="Roboto"/>
          <w:sz w:val="20"/>
          <w:szCs w:val="20"/>
          <w:lang w:val="en-US"/>
        </w:rPr>
      </w:pPr>
    </w:p>
    <w:p w14:paraId="3366325C" w14:textId="2EC50923" w:rsidR="007C3F48" w:rsidRPr="003625BA" w:rsidRDefault="007C3F48" w:rsidP="007C3F48">
      <w:pPr>
        <w:rPr>
          <w:rFonts w:ascii="Roboto" w:hAnsi="Roboto"/>
          <w:sz w:val="20"/>
          <w:szCs w:val="20"/>
          <w:lang w:val="en-US"/>
        </w:rPr>
      </w:pPr>
    </w:p>
    <w:p w14:paraId="0165B450" w14:textId="678948B2" w:rsidR="007C3F48" w:rsidRPr="003625BA" w:rsidRDefault="007C3F48" w:rsidP="007C3F48">
      <w:pPr>
        <w:rPr>
          <w:rFonts w:ascii="Roboto" w:hAnsi="Roboto"/>
          <w:sz w:val="20"/>
          <w:szCs w:val="20"/>
          <w:lang w:val="en-US"/>
        </w:rPr>
      </w:pPr>
    </w:p>
    <w:p w14:paraId="2871CA38" w14:textId="768DDB99" w:rsidR="007C3F48" w:rsidRDefault="007C3F48" w:rsidP="007C3F48">
      <w:pPr>
        <w:tabs>
          <w:tab w:val="left" w:pos="5904"/>
        </w:tabs>
        <w:rPr>
          <w:lang w:val="en-US"/>
        </w:rPr>
      </w:pPr>
    </w:p>
    <w:p w14:paraId="4278AAF6" w14:textId="5A018F41" w:rsidR="007C3F48" w:rsidRPr="00C76FF5" w:rsidRDefault="00C76FF5" w:rsidP="00C76FF5">
      <w:pPr>
        <w:pStyle w:val="Heading3"/>
        <w:numPr>
          <w:ilvl w:val="2"/>
          <w:numId w:val="139"/>
        </w:numPr>
        <w:tabs>
          <w:tab w:val="left" w:pos="7580"/>
        </w:tabs>
        <w:ind w:left="709"/>
        <w:rPr>
          <w:rFonts w:ascii="Arial" w:hAnsi="Arial" w:cs="Arial"/>
          <w:b/>
          <w:bCs/>
          <w:color w:val="16988A"/>
          <w:sz w:val="32"/>
          <w:szCs w:val="32"/>
          <w:lang w:val="en-US"/>
        </w:rPr>
      </w:pPr>
      <w:bookmarkStart w:id="2337" w:name="_Toc123204547"/>
      <w:bookmarkStart w:id="2338" w:name="_Toc123217505"/>
      <w:r>
        <w:rPr>
          <w:rFonts w:ascii="Arial" w:hAnsi="Arial" w:cs="Arial"/>
          <w:b/>
          <w:bCs/>
          <w:color w:val="16988A"/>
          <w:sz w:val="28"/>
          <w:szCs w:val="28"/>
          <w:lang w:val="en-US"/>
        </w:rPr>
        <w:t xml:space="preserve">  </w:t>
      </w:r>
      <w:bookmarkStart w:id="2339" w:name="_Toc123913461"/>
      <w:bookmarkStart w:id="2340" w:name="_Toc123914118"/>
      <w:bookmarkStart w:id="2341" w:name="_Toc125566733"/>
      <w:r w:rsidR="007C3F48" w:rsidRPr="00C76FF5">
        <w:rPr>
          <w:rFonts w:ascii="Arial" w:hAnsi="Arial" w:cs="Arial"/>
          <w:b/>
          <w:bCs/>
          <w:color w:val="16988A"/>
          <w:sz w:val="32"/>
          <w:szCs w:val="32"/>
          <w:lang w:val="en-US"/>
        </w:rPr>
        <w:t>Fiscal transparency portals</w:t>
      </w:r>
      <w:bookmarkEnd w:id="2337"/>
      <w:bookmarkEnd w:id="2338"/>
      <w:bookmarkEnd w:id="2339"/>
      <w:bookmarkEnd w:id="2340"/>
      <w:bookmarkEnd w:id="2341"/>
    </w:p>
    <w:p w14:paraId="209BCAB1" w14:textId="397F5E61" w:rsidR="007C3F48" w:rsidRPr="00EB2A7C" w:rsidRDefault="007C3F48" w:rsidP="00EB2A7C">
      <w:pPr>
        <w:tabs>
          <w:tab w:val="left" w:pos="5904"/>
        </w:tabs>
        <w:spacing w:line="276" w:lineRule="auto"/>
        <w:rPr>
          <w:rFonts w:ascii="Arial" w:hAnsi="Arial" w:cs="Arial"/>
          <w:sz w:val="24"/>
          <w:szCs w:val="24"/>
          <w:lang w:val="en-US"/>
        </w:rPr>
      </w:pPr>
    </w:p>
    <w:p w14:paraId="62ED9E0B" w14:textId="3C903AEE" w:rsidR="007C3F48" w:rsidRPr="00EB2A7C" w:rsidRDefault="007C3F48" w:rsidP="00EB2A7C">
      <w:pPr>
        <w:spacing w:line="276" w:lineRule="auto"/>
        <w:contextualSpacing/>
        <w:jc w:val="both"/>
        <w:rPr>
          <w:rFonts w:ascii="Arial" w:hAnsi="Arial" w:cs="Arial"/>
          <w:sz w:val="24"/>
          <w:szCs w:val="24"/>
        </w:rPr>
      </w:pPr>
      <w:r w:rsidRPr="00EB2A7C">
        <w:rPr>
          <w:rFonts w:ascii="Arial" w:hAnsi="Arial" w:cs="Arial"/>
          <w:sz w:val="24"/>
          <w:szCs w:val="24"/>
        </w:rPr>
        <w:t>Governments are increasingly disseminating fiscal information through online disclosure tools, including websites, dedicated budget portals, and sets of related webpages that either host or link to fiscal information and datasets</w:t>
      </w:r>
      <w:r w:rsidRPr="00EB2A7C">
        <w:rPr>
          <w:rFonts w:ascii="Arial" w:hAnsi="Arial" w:cs="Arial"/>
          <w:sz w:val="24"/>
          <w:szCs w:val="24"/>
          <w:vertAlign w:val="superscript"/>
        </w:rPr>
        <w:footnoteReference w:id="73"/>
      </w:r>
      <w:r w:rsidRPr="00EB2A7C">
        <w:rPr>
          <w:rFonts w:ascii="Arial" w:hAnsi="Arial" w:cs="Arial"/>
          <w:sz w:val="24"/>
          <w:szCs w:val="24"/>
        </w:rPr>
        <w:t xml:space="preserve">. </w:t>
      </w:r>
    </w:p>
    <w:p w14:paraId="50D4F352" w14:textId="27672F0D" w:rsidR="007C3F48" w:rsidRPr="00EB2A7C" w:rsidRDefault="007C3F48" w:rsidP="00EB2A7C">
      <w:pPr>
        <w:spacing w:line="276" w:lineRule="auto"/>
        <w:contextualSpacing/>
        <w:jc w:val="both"/>
        <w:rPr>
          <w:rFonts w:ascii="Arial" w:hAnsi="Arial" w:cs="Arial"/>
          <w:sz w:val="24"/>
          <w:szCs w:val="24"/>
        </w:rPr>
      </w:pPr>
    </w:p>
    <w:p w14:paraId="14877D23" w14:textId="65A98991" w:rsidR="007C3F48" w:rsidRPr="00EB2A7C" w:rsidRDefault="007C3F48" w:rsidP="00EB2A7C">
      <w:pPr>
        <w:spacing w:line="276" w:lineRule="auto"/>
        <w:contextualSpacing/>
        <w:jc w:val="both"/>
        <w:rPr>
          <w:rFonts w:ascii="Arial" w:hAnsi="Arial" w:cs="Arial"/>
          <w:sz w:val="24"/>
          <w:szCs w:val="24"/>
        </w:rPr>
      </w:pPr>
      <w:r w:rsidRPr="00EB2A7C">
        <w:rPr>
          <w:rFonts w:ascii="Arial" w:hAnsi="Arial" w:cs="Arial"/>
          <w:sz w:val="24"/>
          <w:szCs w:val="24"/>
        </w:rPr>
        <w:t xml:space="preserve">There isn’t a standard definition that distinguishes a portal from a website. Normally however, websites refer to platforms that are used by government to disclose information, without providing specific support to the users of information. A portal can be described as a type of website, designed taking user needs into account, with a single point of access to information, that users can use to link to a specific subset of webpages and related information. </w:t>
      </w:r>
    </w:p>
    <w:p w14:paraId="5389A78D" w14:textId="340F7D1B" w:rsidR="007C3F48" w:rsidRDefault="000C0409" w:rsidP="007C3F48">
      <w:pPr>
        <w:tabs>
          <w:tab w:val="left" w:pos="5904"/>
        </w:tabs>
        <w:spacing w:line="276" w:lineRule="auto"/>
        <w:rPr>
          <w:rFonts w:ascii="Arial" w:hAnsi="Arial" w:cs="Arial"/>
          <w:sz w:val="24"/>
          <w:szCs w:val="24"/>
          <w:lang w:val="en-US"/>
        </w:rPr>
      </w:pPr>
      <w:r w:rsidRPr="003625BA">
        <w:rPr>
          <w:rFonts w:ascii="Roboto" w:hAnsi="Roboto" w:cs="Arial"/>
          <w:noProof/>
          <w:color w:val="ED5625"/>
          <w:sz w:val="20"/>
          <w:szCs w:val="20"/>
          <w:lang w:val="en-US"/>
        </w:rPr>
        <mc:AlternateContent>
          <mc:Choice Requires="wps">
            <w:drawing>
              <wp:anchor distT="0" distB="0" distL="114300" distR="114300" simplePos="0" relativeHeight="255584254" behindDoc="1" locked="0" layoutInCell="1" allowOverlap="1" wp14:anchorId="6393ECD5" wp14:editId="0E388D67">
                <wp:simplePos x="0" y="0"/>
                <wp:positionH relativeFrom="margin">
                  <wp:posOffset>-184856</wp:posOffset>
                </wp:positionH>
                <wp:positionV relativeFrom="margin">
                  <wp:posOffset>5885955</wp:posOffset>
                </wp:positionV>
                <wp:extent cx="7010400" cy="2821799"/>
                <wp:effectExtent l="12700" t="12700" r="12700" b="10795"/>
                <wp:wrapNone/>
                <wp:docPr id="500" name="Rectangle 500"/>
                <wp:cNvGraphicFramePr/>
                <a:graphic xmlns:a="http://schemas.openxmlformats.org/drawingml/2006/main">
                  <a:graphicData uri="http://schemas.microsoft.com/office/word/2010/wordprocessingShape">
                    <wps:wsp>
                      <wps:cNvSpPr/>
                      <wps:spPr>
                        <a:xfrm>
                          <a:off x="0" y="0"/>
                          <a:ext cx="7010400" cy="2821799"/>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4B4460" w14:textId="77777777" w:rsidR="00D15FD8" w:rsidRDefault="00D15FD8" w:rsidP="000C0409">
                            <w:pPr>
                              <w:shd w:val="clear" w:color="auto" w:fill="F2F2F2" w:themeFill="background1" w:themeFillShade="F2"/>
                            </w:pPr>
                          </w:p>
                          <w:p w14:paraId="3C8AECE5" w14:textId="77777777" w:rsidR="00D15FD8" w:rsidRPr="003625BA" w:rsidRDefault="00D15FD8" w:rsidP="000C040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3ECD5" id="Rectangle 500" o:spid="_x0000_s1633" style="position:absolute;margin-left:-14.55pt;margin-top:463.45pt;width:552pt;height:222.2pt;z-index:-24773222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" fillcolor="#f2f2f2 [3052]" strokecolor="#16988a" strokeweight="1.5pt">
                <v:textbox>
                  <w:txbxContent>
                    <w:p w14:paraId="224B4460" w14:textId="77777777" w:rsidR="00D15FD8" w:rsidRDefault="00D15FD8" w:rsidP="000C0409">
                      <w:pPr>
                        <w:shd w:val="clear" w:color="auto" w:fill="F2F2F2" w:themeFill="background1" w:themeFillShade="F2"/>
                      </w:pPr>
                    </w:p>
                    <w:p w14:paraId="3C8AECE5" w14:textId="77777777" w:rsidR="00D15FD8" w:rsidRPr="003625BA" w:rsidRDefault="00D15FD8" w:rsidP="000C0409">
                      <w:pPr>
                        <w:jc w:val="center"/>
                        <w:rPr>
                          <w:lang w:val="en-US"/>
                        </w:rPr>
                      </w:pPr>
                    </w:p>
                  </w:txbxContent>
                </v:textbox>
                <w10:wrap anchorx="margin" anchory="margin"/>
              </v:rect>
            </w:pict>
          </mc:Fallback>
        </mc:AlternateContent>
      </w:r>
    </w:p>
    <w:p w14:paraId="08512A77" w14:textId="77777777" w:rsidR="00E82C3B" w:rsidRPr="00E82C3B" w:rsidRDefault="00E82C3B" w:rsidP="003625BA">
      <w:pPr>
        <w:pStyle w:val="Heading3"/>
        <w:jc w:val="center"/>
        <w:rPr>
          <w:rFonts w:ascii="Arial" w:hAnsi="Arial" w:cs="Arial"/>
          <w:b/>
          <w:bCs/>
          <w:color w:val="19998C"/>
          <w:sz w:val="12"/>
          <w:szCs w:val="12"/>
        </w:rPr>
      </w:pPr>
      <w:bookmarkStart w:id="2342" w:name="_Toc123217506"/>
    </w:p>
    <w:p w14:paraId="697A4898" w14:textId="46CCDAEA" w:rsidR="00D26F3B" w:rsidRPr="00C76FF5" w:rsidRDefault="00C04193" w:rsidP="003625BA">
      <w:pPr>
        <w:pStyle w:val="Heading3"/>
        <w:jc w:val="center"/>
        <w:rPr>
          <w:rFonts w:ascii="Arial" w:hAnsi="Arial" w:cs="Arial"/>
          <w:b/>
          <w:bCs/>
          <w:color w:val="19998C"/>
          <w:sz w:val="26"/>
          <w:szCs w:val="26"/>
        </w:rPr>
      </w:pPr>
      <w:bookmarkStart w:id="2343" w:name="_Box_4.4._Fiscal"/>
      <w:bookmarkStart w:id="2344" w:name="_Toc123914119"/>
      <w:bookmarkStart w:id="2345" w:name="_Toc125566734"/>
      <w:bookmarkEnd w:id="2343"/>
      <w:r w:rsidRPr="00C76FF5">
        <w:rPr>
          <w:rFonts w:ascii="Arial" w:hAnsi="Arial" w:cs="Arial"/>
          <w:b/>
          <w:bCs/>
          <w:color w:val="19998C"/>
          <w:sz w:val="26"/>
          <w:szCs w:val="26"/>
        </w:rPr>
        <w:t>Box 4.</w:t>
      </w:r>
      <w:r w:rsidR="004750D1" w:rsidRPr="00C76FF5">
        <w:rPr>
          <w:rFonts w:ascii="Arial" w:hAnsi="Arial" w:cs="Arial"/>
          <w:b/>
          <w:bCs/>
          <w:color w:val="19998C"/>
          <w:sz w:val="26"/>
          <w:szCs w:val="26"/>
        </w:rPr>
        <w:t>4</w:t>
      </w:r>
      <w:r w:rsidR="00AC27CC">
        <w:rPr>
          <w:rFonts w:ascii="Arial" w:hAnsi="Arial" w:cs="Arial"/>
          <w:b/>
          <w:bCs/>
          <w:color w:val="19998C"/>
          <w:sz w:val="26"/>
          <w:szCs w:val="26"/>
        </w:rPr>
        <w:t>.</w:t>
      </w:r>
      <w:r w:rsidRPr="00C76FF5">
        <w:rPr>
          <w:rFonts w:ascii="Arial" w:hAnsi="Arial" w:cs="Arial"/>
          <w:b/>
          <w:bCs/>
          <w:color w:val="19998C"/>
          <w:sz w:val="26"/>
          <w:szCs w:val="26"/>
        </w:rPr>
        <w:t xml:space="preserve"> Fiscal transparency portals</w:t>
      </w:r>
      <w:bookmarkEnd w:id="2342"/>
      <w:bookmarkEnd w:id="2344"/>
      <w:bookmarkEnd w:id="2345"/>
    </w:p>
    <w:p w14:paraId="133FDD37" w14:textId="4F28C1BA" w:rsidR="00D26F3B" w:rsidRPr="00E82C3B" w:rsidRDefault="00E82C3B" w:rsidP="00D26F3B">
      <w:pPr>
        <w:rPr>
          <w:rFonts w:ascii="Arial" w:hAnsi="Arial" w:cs="Arial"/>
        </w:rPr>
      </w:pPr>
      <w:r>
        <w:rPr>
          <w:noProof/>
          <w:lang w:val="en-US"/>
        </w:rPr>
        <w:drawing>
          <wp:anchor distT="0" distB="0" distL="114300" distR="114300" simplePos="0" relativeHeight="255112190" behindDoc="0" locked="0" layoutInCell="1" allowOverlap="1" wp14:anchorId="4E09793D" wp14:editId="43EB0883">
            <wp:simplePos x="0" y="0"/>
            <wp:positionH relativeFrom="column">
              <wp:posOffset>-74295</wp:posOffset>
            </wp:positionH>
            <wp:positionV relativeFrom="paragraph">
              <wp:posOffset>168275</wp:posOffset>
            </wp:positionV>
            <wp:extent cx="1498600" cy="1485900"/>
            <wp:effectExtent l="0" t="0" r="0" b="0"/>
            <wp:wrapSquare wrapText="bothSides"/>
            <wp:docPr id="2761" name="Pictur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 name="Picture 2761"/>
                    <pic:cNvPicPr/>
                  </pic:nvPicPr>
                  <pic:blipFill rotWithShape="1">
                    <a:blip r:embed="rId954" cstate="email">
                      <a:extLst>
                        <a:ext uri="{28A0092B-C50C-407E-A947-70E740481C1C}">
                          <a14:useLocalDpi xmlns:a14="http://schemas.microsoft.com/office/drawing/2010/main"/>
                        </a:ext>
                      </a:extLst>
                    </a:blip>
                    <a:srcRect/>
                    <a:stretch/>
                  </pic:blipFill>
                  <pic:spPr bwMode="auto">
                    <a:xfrm>
                      <a:off x="0" y="0"/>
                      <a:ext cx="1498600"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A4A948" w14:textId="1EC60522" w:rsidR="00244B61" w:rsidRPr="003625BA" w:rsidRDefault="00D26F3B" w:rsidP="00D26F3B">
      <w:pPr>
        <w:spacing w:line="276" w:lineRule="auto"/>
        <w:jc w:val="both"/>
        <w:rPr>
          <w:rFonts w:ascii="Roboto" w:hAnsi="Roboto"/>
          <w:sz w:val="20"/>
          <w:szCs w:val="20"/>
        </w:rPr>
      </w:pPr>
      <w:r w:rsidRPr="003625BA">
        <w:rPr>
          <w:rFonts w:ascii="Roboto" w:hAnsi="Roboto"/>
          <w:b/>
          <w:color w:val="82CAA0"/>
          <w:sz w:val="20"/>
          <w:szCs w:val="20"/>
        </w:rPr>
        <w:t>Fiscal transparency portals</w:t>
      </w:r>
      <w:r w:rsidRPr="003625BA">
        <w:rPr>
          <w:rFonts w:ascii="Roboto" w:hAnsi="Roboto"/>
          <w:color w:val="82CAA0"/>
          <w:sz w:val="20"/>
          <w:szCs w:val="20"/>
        </w:rPr>
        <w:t xml:space="preserve"> </w:t>
      </w:r>
      <w:r w:rsidR="00244B61" w:rsidRPr="003625BA">
        <w:rPr>
          <w:rFonts w:ascii="Roboto" w:hAnsi="Roboto"/>
          <w:color w:val="000000" w:themeColor="text1"/>
          <w:sz w:val="20"/>
          <w:szCs w:val="20"/>
        </w:rPr>
        <w:t xml:space="preserve">have emerged in recent years as a digital solution to release information to the public in a proactive, simple and consolidated manner, in formats that allow for faster and easier analyses. Fiscal transparency portals can take on various forms based on a country’s context and can contain different information. A ﬁscal transparency portal can, in turn, be composed of various platforms, each aimed at satisfying different objectives and audiences. For example, there may be a platform on budget and spending, another on public investment and another on public corporations. There may be more beyond this. </w:t>
      </w:r>
    </w:p>
    <w:p w14:paraId="3787C13E" w14:textId="2A226B64" w:rsidR="00D26F3B" w:rsidRPr="003625BA" w:rsidRDefault="00D26F3B" w:rsidP="00D26F3B">
      <w:pPr>
        <w:spacing w:line="276" w:lineRule="auto"/>
        <w:jc w:val="both"/>
        <w:rPr>
          <w:rFonts w:ascii="Roboto" w:hAnsi="Roboto"/>
          <w:sz w:val="20"/>
          <w:szCs w:val="20"/>
        </w:rPr>
      </w:pPr>
    </w:p>
    <w:p w14:paraId="7FF1D582" w14:textId="662076A8" w:rsidR="00244B61" w:rsidRPr="003625BA" w:rsidRDefault="00244B61" w:rsidP="00D26F3B">
      <w:pPr>
        <w:spacing w:line="276" w:lineRule="auto"/>
        <w:jc w:val="both"/>
        <w:rPr>
          <w:rFonts w:ascii="Roboto" w:hAnsi="Roboto"/>
          <w:sz w:val="20"/>
          <w:szCs w:val="20"/>
        </w:rPr>
      </w:pPr>
      <w:r w:rsidRPr="00244B61">
        <w:rPr>
          <w:rFonts w:ascii="Roboto" w:hAnsi="Roboto"/>
          <w:sz w:val="20"/>
          <w:szCs w:val="20"/>
        </w:rPr>
        <w:t xml:space="preserve">While a portal provides its content in an aggregated manner that seeks to invite exploration, the experience is delimited and predetermined by a set of decisions about what is necessary, relevant and useful, and then presented in a </w:t>
      </w:r>
      <w:r w:rsidR="00511536" w:rsidRPr="003625BA">
        <w:rPr>
          <w:rFonts w:ascii="Roboto" w:hAnsi="Roboto" w:cs="Arial"/>
          <w:noProof/>
          <w:color w:val="ED5625"/>
          <w:sz w:val="20"/>
          <w:szCs w:val="20"/>
          <w:lang w:val="en-US"/>
        </w:rPr>
        <w:lastRenderedPageBreak/>
        <mc:AlternateContent>
          <mc:Choice Requires="wps">
            <w:drawing>
              <wp:anchor distT="0" distB="0" distL="114300" distR="114300" simplePos="0" relativeHeight="255412222" behindDoc="1" locked="0" layoutInCell="1" allowOverlap="1" wp14:anchorId="7B81FD1D" wp14:editId="56E80322">
                <wp:simplePos x="0" y="0"/>
                <wp:positionH relativeFrom="margin">
                  <wp:posOffset>-183243</wp:posOffset>
                </wp:positionH>
                <wp:positionV relativeFrom="margin">
                  <wp:posOffset>-83136</wp:posOffset>
                </wp:positionV>
                <wp:extent cx="7010400" cy="9250054"/>
                <wp:effectExtent l="0" t="0" r="19050" b="27305"/>
                <wp:wrapNone/>
                <wp:docPr id="83" name="Rectangle 83"/>
                <wp:cNvGraphicFramePr/>
                <a:graphic xmlns:a="http://schemas.openxmlformats.org/drawingml/2006/main">
                  <a:graphicData uri="http://schemas.microsoft.com/office/word/2010/wordprocessingShape">
                    <wps:wsp>
                      <wps:cNvSpPr/>
                      <wps:spPr>
                        <a:xfrm>
                          <a:off x="0" y="0"/>
                          <a:ext cx="7010400" cy="9250054"/>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E94A7" w14:textId="77777777" w:rsidR="00D15FD8" w:rsidRDefault="00D15FD8" w:rsidP="008A4C87">
                            <w:pPr>
                              <w:shd w:val="clear" w:color="auto" w:fill="F2F2F2" w:themeFill="background1" w:themeFillShade="F2"/>
                            </w:pPr>
                          </w:p>
                          <w:p w14:paraId="64197C6B" w14:textId="77777777" w:rsidR="00D15FD8" w:rsidRDefault="00D15FD8" w:rsidP="008A4C87">
                            <w:pPr>
                              <w:shd w:val="clear" w:color="auto" w:fill="F2F2F2" w:themeFill="background1" w:themeFillShade="F2"/>
                            </w:pPr>
                          </w:p>
                          <w:p w14:paraId="40C70617" w14:textId="77777777" w:rsidR="00D15FD8" w:rsidRDefault="00D15FD8" w:rsidP="008A4C87">
                            <w:pPr>
                              <w:shd w:val="clear" w:color="auto" w:fill="F2F2F2" w:themeFill="background1" w:themeFillShade="F2"/>
                            </w:pPr>
                          </w:p>
                          <w:p w14:paraId="2E416571" w14:textId="77777777" w:rsidR="00D15FD8" w:rsidRDefault="00D15FD8" w:rsidP="008A4C87">
                            <w:pPr>
                              <w:shd w:val="clear" w:color="auto" w:fill="F2F2F2" w:themeFill="background1" w:themeFillShade="F2"/>
                            </w:pPr>
                          </w:p>
                          <w:p w14:paraId="1DDD65A9" w14:textId="77777777" w:rsidR="00D15FD8" w:rsidRDefault="00D15FD8" w:rsidP="008A4C87">
                            <w:pPr>
                              <w:shd w:val="clear" w:color="auto" w:fill="F2F2F2" w:themeFill="background1" w:themeFillShade="F2"/>
                            </w:pPr>
                          </w:p>
                          <w:p w14:paraId="5191D46B" w14:textId="77777777" w:rsidR="00D15FD8" w:rsidRDefault="00D15FD8" w:rsidP="008A4C87">
                            <w:pPr>
                              <w:shd w:val="clear" w:color="auto" w:fill="F2F2F2" w:themeFill="background1" w:themeFillShade="F2"/>
                            </w:pPr>
                          </w:p>
                          <w:p w14:paraId="628EE669" w14:textId="77777777" w:rsidR="00D15FD8" w:rsidRDefault="00D15FD8" w:rsidP="008A4C87">
                            <w:pPr>
                              <w:shd w:val="clear" w:color="auto" w:fill="F2F2F2" w:themeFill="background1" w:themeFillShade="F2"/>
                            </w:pPr>
                          </w:p>
                          <w:p w14:paraId="1F2A264F" w14:textId="77777777" w:rsidR="00D15FD8" w:rsidRDefault="00D15FD8" w:rsidP="008A4C87">
                            <w:pPr>
                              <w:shd w:val="clear" w:color="auto" w:fill="F2F2F2" w:themeFill="background1" w:themeFillShade="F2"/>
                            </w:pPr>
                          </w:p>
                          <w:p w14:paraId="2F0C6836" w14:textId="77777777" w:rsidR="00D15FD8" w:rsidRDefault="00D15FD8" w:rsidP="008A4C87">
                            <w:pPr>
                              <w:shd w:val="clear" w:color="auto" w:fill="F2F2F2" w:themeFill="background1" w:themeFillShade="F2"/>
                            </w:pPr>
                          </w:p>
                          <w:p w14:paraId="0A06AC59" w14:textId="77777777" w:rsidR="00D15FD8" w:rsidRDefault="00D15FD8" w:rsidP="008A4C87">
                            <w:pPr>
                              <w:shd w:val="clear" w:color="auto" w:fill="F2F2F2" w:themeFill="background1" w:themeFillShade="F2"/>
                            </w:pPr>
                          </w:p>
                          <w:p w14:paraId="3D0E85CF" w14:textId="77777777" w:rsidR="00D15FD8" w:rsidRDefault="00D15FD8" w:rsidP="008A4C87">
                            <w:pPr>
                              <w:shd w:val="clear" w:color="auto" w:fill="F2F2F2" w:themeFill="background1" w:themeFillShade="F2"/>
                            </w:pPr>
                          </w:p>
                          <w:p w14:paraId="713027DE" w14:textId="77777777" w:rsidR="00D15FD8" w:rsidRDefault="00D15FD8" w:rsidP="008A4C87">
                            <w:pPr>
                              <w:shd w:val="clear" w:color="auto" w:fill="F2F2F2" w:themeFill="background1" w:themeFillShade="F2"/>
                            </w:pPr>
                          </w:p>
                          <w:p w14:paraId="5F766F66" w14:textId="77777777" w:rsidR="00D15FD8" w:rsidRDefault="00D15FD8" w:rsidP="008A4C87">
                            <w:pPr>
                              <w:shd w:val="clear" w:color="auto" w:fill="F2F2F2" w:themeFill="background1" w:themeFillShade="F2"/>
                            </w:pPr>
                          </w:p>
                          <w:p w14:paraId="5D9C90B7" w14:textId="77777777" w:rsidR="00D15FD8" w:rsidRDefault="00D15FD8" w:rsidP="008A4C87">
                            <w:pPr>
                              <w:shd w:val="clear" w:color="auto" w:fill="F2F2F2" w:themeFill="background1" w:themeFillShade="F2"/>
                            </w:pPr>
                          </w:p>
                          <w:p w14:paraId="5A68B590" w14:textId="77777777" w:rsidR="00D15FD8" w:rsidRDefault="00D15FD8" w:rsidP="008A4C87">
                            <w:pPr>
                              <w:shd w:val="clear" w:color="auto" w:fill="F2F2F2" w:themeFill="background1" w:themeFillShade="F2"/>
                            </w:pPr>
                          </w:p>
                          <w:p w14:paraId="7E0A4387" w14:textId="77777777" w:rsidR="00D15FD8" w:rsidRDefault="00D15FD8" w:rsidP="008A4C87">
                            <w:pPr>
                              <w:shd w:val="clear" w:color="auto" w:fill="F2F2F2" w:themeFill="background1" w:themeFillShade="F2"/>
                            </w:pPr>
                          </w:p>
                          <w:p w14:paraId="6ACD99A9" w14:textId="77777777" w:rsidR="00D15FD8" w:rsidRDefault="00D15FD8" w:rsidP="008A4C87">
                            <w:pPr>
                              <w:shd w:val="clear" w:color="auto" w:fill="F2F2F2" w:themeFill="background1" w:themeFillShade="F2"/>
                            </w:pPr>
                          </w:p>
                          <w:p w14:paraId="6C8CDFE7" w14:textId="77777777" w:rsidR="00D15FD8" w:rsidRDefault="00D15FD8" w:rsidP="008A4C87">
                            <w:pPr>
                              <w:shd w:val="clear" w:color="auto" w:fill="F2F2F2" w:themeFill="background1" w:themeFillShade="F2"/>
                            </w:pPr>
                          </w:p>
                          <w:p w14:paraId="73769654" w14:textId="77777777" w:rsidR="00D15FD8" w:rsidRDefault="00D15FD8" w:rsidP="008A4C87">
                            <w:pPr>
                              <w:shd w:val="clear" w:color="auto" w:fill="F2F2F2" w:themeFill="background1" w:themeFillShade="F2"/>
                            </w:pPr>
                          </w:p>
                          <w:p w14:paraId="277206A2" w14:textId="77777777" w:rsidR="00D15FD8" w:rsidRDefault="00D15FD8" w:rsidP="008A4C87">
                            <w:pPr>
                              <w:shd w:val="clear" w:color="auto" w:fill="F2F2F2" w:themeFill="background1" w:themeFillShade="F2"/>
                            </w:pPr>
                          </w:p>
                          <w:p w14:paraId="5C7540E7" w14:textId="77777777" w:rsidR="00D15FD8" w:rsidRDefault="00D15FD8" w:rsidP="008A4C87">
                            <w:pPr>
                              <w:shd w:val="clear" w:color="auto" w:fill="F2F2F2" w:themeFill="background1" w:themeFillShade="F2"/>
                            </w:pPr>
                          </w:p>
                          <w:p w14:paraId="1947C5C5" w14:textId="77777777" w:rsidR="00D15FD8" w:rsidRDefault="00D15FD8" w:rsidP="008A4C87">
                            <w:pPr>
                              <w:shd w:val="clear" w:color="auto" w:fill="F2F2F2" w:themeFill="background1" w:themeFillShade="F2"/>
                            </w:pPr>
                          </w:p>
                          <w:p w14:paraId="717AE6F6" w14:textId="77777777" w:rsidR="00D15FD8" w:rsidRDefault="00D15FD8" w:rsidP="008A4C87">
                            <w:pPr>
                              <w:shd w:val="clear" w:color="auto" w:fill="F2F2F2" w:themeFill="background1" w:themeFillShade="F2"/>
                            </w:pPr>
                          </w:p>
                          <w:p w14:paraId="12FB67C0" w14:textId="77777777" w:rsidR="00D15FD8" w:rsidRDefault="00D15FD8" w:rsidP="008A4C87">
                            <w:pPr>
                              <w:shd w:val="clear" w:color="auto" w:fill="F2F2F2" w:themeFill="background1" w:themeFillShade="F2"/>
                            </w:pPr>
                          </w:p>
                          <w:p w14:paraId="51C7F84E" w14:textId="77777777" w:rsidR="00D15FD8" w:rsidRDefault="00D15FD8" w:rsidP="008A4C87">
                            <w:pPr>
                              <w:shd w:val="clear" w:color="auto" w:fill="F2F2F2" w:themeFill="background1" w:themeFillShade="F2"/>
                            </w:pPr>
                          </w:p>
                          <w:p w14:paraId="7F8DB414" w14:textId="77777777" w:rsidR="00D15FD8" w:rsidRDefault="00D15FD8" w:rsidP="008A4C87">
                            <w:pPr>
                              <w:shd w:val="clear" w:color="auto" w:fill="F2F2F2" w:themeFill="background1" w:themeFillShade="F2"/>
                            </w:pPr>
                          </w:p>
                          <w:p w14:paraId="7A426B1B" w14:textId="77777777" w:rsidR="00D15FD8" w:rsidRDefault="00D15FD8" w:rsidP="008A4C87">
                            <w:pPr>
                              <w:shd w:val="clear" w:color="auto" w:fill="F2F2F2" w:themeFill="background1" w:themeFillShade="F2"/>
                            </w:pPr>
                          </w:p>
                          <w:p w14:paraId="6113F726" w14:textId="77777777" w:rsidR="00D15FD8" w:rsidRDefault="00D15FD8" w:rsidP="008A4C87">
                            <w:pPr>
                              <w:shd w:val="clear" w:color="auto" w:fill="F2F2F2" w:themeFill="background1" w:themeFillShade="F2"/>
                            </w:pPr>
                          </w:p>
                          <w:p w14:paraId="55FD4EE3" w14:textId="77777777" w:rsidR="00D15FD8" w:rsidRDefault="00D15FD8" w:rsidP="008A4C87">
                            <w:pPr>
                              <w:shd w:val="clear" w:color="auto" w:fill="F2F2F2" w:themeFill="background1" w:themeFillShade="F2"/>
                            </w:pPr>
                          </w:p>
                          <w:p w14:paraId="71C82B62" w14:textId="77777777" w:rsidR="00D15FD8" w:rsidRDefault="00D15FD8" w:rsidP="008A4C87">
                            <w:pPr>
                              <w:shd w:val="clear" w:color="auto" w:fill="F2F2F2" w:themeFill="background1" w:themeFillShade="F2"/>
                            </w:pPr>
                          </w:p>
                          <w:p w14:paraId="27355566" w14:textId="77777777" w:rsidR="00D15FD8" w:rsidRDefault="00D15FD8" w:rsidP="008A4C87">
                            <w:pPr>
                              <w:shd w:val="clear" w:color="auto" w:fill="F2F2F2" w:themeFill="background1" w:themeFillShade="F2"/>
                            </w:pPr>
                          </w:p>
                          <w:p w14:paraId="4419FB34" w14:textId="77777777" w:rsidR="00D15FD8" w:rsidRDefault="00D15FD8" w:rsidP="008A4C87">
                            <w:pPr>
                              <w:shd w:val="clear" w:color="auto" w:fill="F2F2F2" w:themeFill="background1" w:themeFillShade="F2"/>
                            </w:pPr>
                          </w:p>
                          <w:p w14:paraId="33C6C8DE" w14:textId="77777777" w:rsidR="00D15FD8" w:rsidRDefault="00D15FD8" w:rsidP="008A4C87">
                            <w:pPr>
                              <w:shd w:val="clear" w:color="auto" w:fill="F2F2F2" w:themeFill="background1" w:themeFillShade="F2"/>
                            </w:pPr>
                          </w:p>
                          <w:p w14:paraId="6C14B15B" w14:textId="77777777" w:rsidR="00D15FD8" w:rsidRDefault="00D15FD8" w:rsidP="008A4C87">
                            <w:pPr>
                              <w:shd w:val="clear" w:color="auto" w:fill="F2F2F2" w:themeFill="background1" w:themeFillShade="F2"/>
                            </w:pPr>
                          </w:p>
                          <w:p w14:paraId="70E4DF8D" w14:textId="77777777" w:rsidR="00D15FD8" w:rsidRDefault="00D15FD8" w:rsidP="008A4C87">
                            <w:pPr>
                              <w:shd w:val="clear" w:color="auto" w:fill="F2F2F2" w:themeFill="background1" w:themeFillShade="F2"/>
                            </w:pPr>
                          </w:p>
                          <w:p w14:paraId="176108DB" w14:textId="77777777" w:rsidR="00D15FD8" w:rsidRDefault="00D15FD8" w:rsidP="008A4C87">
                            <w:pPr>
                              <w:shd w:val="clear" w:color="auto" w:fill="F2F2F2" w:themeFill="background1" w:themeFillShade="F2"/>
                            </w:pPr>
                          </w:p>
                          <w:p w14:paraId="009D6AF1" w14:textId="77777777" w:rsidR="00D15FD8" w:rsidRDefault="00D15FD8" w:rsidP="008A4C87">
                            <w:pPr>
                              <w:shd w:val="clear" w:color="auto" w:fill="F2F2F2" w:themeFill="background1" w:themeFillShade="F2"/>
                            </w:pPr>
                          </w:p>
                          <w:p w14:paraId="321C4790" w14:textId="77777777" w:rsidR="00D15FD8" w:rsidRDefault="00D15FD8" w:rsidP="008A4C87">
                            <w:pPr>
                              <w:shd w:val="clear" w:color="auto" w:fill="F2F2F2" w:themeFill="background1" w:themeFillShade="F2"/>
                            </w:pPr>
                          </w:p>
                          <w:p w14:paraId="01F23902" w14:textId="77777777" w:rsidR="00D15FD8" w:rsidRDefault="00D15FD8" w:rsidP="008A4C87">
                            <w:pPr>
                              <w:shd w:val="clear" w:color="auto" w:fill="F2F2F2" w:themeFill="background1" w:themeFillShade="F2"/>
                            </w:pPr>
                          </w:p>
                          <w:p w14:paraId="4481AA9A" w14:textId="77777777" w:rsidR="00D15FD8" w:rsidRDefault="00D15FD8" w:rsidP="008A4C87">
                            <w:pPr>
                              <w:shd w:val="clear" w:color="auto" w:fill="F2F2F2" w:themeFill="background1" w:themeFillShade="F2"/>
                            </w:pPr>
                          </w:p>
                          <w:p w14:paraId="3D7A9FDD" w14:textId="77777777" w:rsidR="00D15FD8" w:rsidRDefault="00D15FD8" w:rsidP="008A4C87">
                            <w:pPr>
                              <w:shd w:val="clear" w:color="auto" w:fill="F2F2F2" w:themeFill="background1" w:themeFillShade="F2"/>
                            </w:pPr>
                          </w:p>
                          <w:p w14:paraId="2453C624" w14:textId="77777777" w:rsidR="00D15FD8" w:rsidRDefault="00D15FD8" w:rsidP="008A4C87">
                            <w:pPr>
                              <w:shd w:val="clear" w:color="auto" w:fill="F2F2F2" w:themeFill="background1" w:themeFillShade="F2"/>
                            </w:pPr>
                          </w:p>
                          <w:p w14:paraId="3CE51949" w14:textId="77777777" w:rsidR="00D15FD8" w:rsidRDefault="00D15FD8" w:rsidP="008A4C87">
                            <w:pPr>
                              <w:shd w:val="clear" w:color="auto" w:fill="F2F2F2" w:themeFill="background1" w:themeFillShade="F2"/>
                            </w:pPr>
                          </w:p>
                          <w:p w14:paraId="3C07E6ED" w14:textId="77777777" w:rsidR="00D15FD8" w:rsidRDefault="00D15FD8" w:rsidP="008A4C87">
                            <w:pPr>
                              <w:shd w:val="clear" w:color="auto" w:fill="F2F2F2" w:themeFill="background1" w:themeFillShade="F2"/>
                            </w:pPr>
                          </w:p>
                          <w:p w14:paraId="1632F109" w14:textId="77777777" w:rsidR="00D15FD8" w:rsidRDefault="00D15FD8" w:rsidP="008A4C87">
                            <w:pPr>
                              <w:shd w:val="clear" w:color="auto" w:fill="F2F2F2" w:themeFill="background1" w:themeFillShade="F2"/>
                            </w:pPr>
                          </w:p>
                          <w:p w14:paraId="3B559F11" w14:textId="77777777" w:rsidR="00D15FD8" w:rsidRDefault="00D15FD8" w:rsidP="008A4C87">
                            <w:pPr>
                              <w:shd w:val="clear" w:color="auto" w:fill="F2F2F2" w:themeFill="background1" w:themeFillShade="F2"/>
                            </w:pPr>
                          </w:p>
                          <w:p w14:paraId="5EC41CE0" w14:textId="77777777" w:rsidR="00D15FD8" w:rsidRDefault="00D15FD8" w:rsidP="008A4C87">
                            <w:pPr>
                              <w:shd w:val="clear" w:color="auto" w:fill="F2F2F2" w:themeFill="background1" w:themeFillShade="F2"/>
                            </w:pPr>
                          </w:p>
                          <w:p w14:paraId="2494A514" w14:textId="77777777" w:rsidR="00D15FD8" w:rsidRDefault="00D15FD8" w:rsidP="008A4C87">
                            <w:pPr>
                              <w:shd w:val="clear" w:color="auto" w:fill="F2F2F2" w:themeFill="background1" w:themeFillShade="F2"/>
                            </w:pPr>
                          </w:p>
                          <w:p w14:paraId="758DB2B9" w14:textId="77777777" w:rsidR="00D15FD8" w:rsidRDefault="00D15FD8" w:rsidP="008A4C87">
                            <w:pPr>
                              <w:shd w:val="clear" w:color="auto" w:fill="F2F2F2" w:themeFill="background1" w:themeFillShade="F2"/>
                            </w:pPr>
                          </w:p>
                          <w:p w14:paraId="580E67D4" w14:textId="77777777" w:rsidR="00D15FD8" w:rsidRDefault="00D15FD8" w:rsidP="008A4C87">
                            <w:pPr>
                              <w:shd w:val="clear" w:color="auto" w:fill="F2F2F2" w:themeFill="background1" w:themeFillShade="F2"/>
                            </w:pPr>
                          </w:p>
                          <w:p w14:paraId="3BB21D56" w14:textId="77777777" w:rsidR="00D15FD8" w:rsidRDefault="00D15FD8" w:rsidP="008A4C87">
                            <w:pPr>
                              <w:shd w:val="clear" w:color="auto" w:fill="F2F2F2" w:themeFill="background1" w:themeFillShade="F2"/>
                            </w:pPr>
                          </w:p>
                          <w:p w14:paraId="3B1C469B" w14:textId="77777777" w:rsidR="00D15FD8" w:rsidRDefault="00D15FD8" w:rsidP="008A4C87">
                            <w:pPr>
                              <w:shd w:val="clear" w:color="auto" w:fill="F2F2F2" w:themeFill="background1" w:themeFillShade="F2"/>
                            </w:pPr>
                          </w:p>
                          <w:p w14:paraId="46CD8465" w14:textId="77777777" w:rsidR="00D15FD8" w:rsidRDefault="00D15FD8" w:rsidP="008A4C87">
                            <w:pPr>
                              <w:shd w:val="clear" w:color="auto" w:fill="F2F2F2" w:themeFill="background1" w:themeFillShade="F2"/>
                            </w:pPr>
                          </w:p>
                          <w:p w14:paraId="555CF999" w14:textId="77777777" w:rsidR="00D15FD8" w:rsidRDefault="00D15FD8" w:rsidP="008A4C87">
                            <w:pPr>
                              <w:shd w:val="clear" w:color="auto" w:fill="F2F2F2" w:themeFill="background1" w:themeFillShade="F2"/>
                            </w:pPr>
                          </w:p>
                          <w:p w14:paraId="6AE0336D" w14:textId="77777777" w:rsidR="00D15FD8" w:rsidRDefault="00D15FD8" w:rsidP="008A4C87">
                            <w:pPr>
                              <w:shd w:val="clear" w:color="auto" w:fill="F2F2F2" w:themeFill="background1" w:themeFillShade="F2"/>
                            </w:pPr>
                          </w:p>
                          <w:p w14:paraId="3621DC6D" w14:textId="77777777" w:rsidR="00D15FD8" w:rsidRDefault="00D15FD8" w:rsidP="008A4C87">
                            <w:pPr>
                              <w:shd w:val="clear" w:color="auto" w:fill="F2F2F2" w:themeFill="background1" w:themeFillShade="F2"/>
                            </w:pPr>
                          </w:p>
                          <w:p w14:paraId="4C1216F1" w14:textId="77777777" w:rsidR="00D15FD8" w:rsidRDefault="00D15FD8" w:rsidP="008A4C87">
                            <w:pPr>
                              <w:shd w:val="clear" w:color="auto" w:fill="F2F2F2" w:themeFill="background1" w:themeFillShade="F2"/>
                            </w:pPr>
                          </w:p>
                          <w:p w14:paraId="6D06F11E" w14:textId="77777777" w:rsidR="00D15FD8" w:rsidRDefault="00D15FD8" w:rsidP="008A4C87">
                            <w:pPr>
                              <w:shd w:val="clear" w:color="auto" w:fill="F2F2F2" w:themeFill="background1" w:themeFillShade="F2"/>
                            </w:pPr>
                          </w:p>
                          <w:p w14:paraId="3E5CF65F" w14:textId="77777777" w:rsidR="00D15FD8" w:rsidRDefault="00D15FD8" w:rsidP="008A4C87">
                            <w:pPr>
                              <w:shd w:val="clear" w:color="auto" w:fill="F2F2F2" w:themeFill="background1" w:themeFillShade="F2"/>
                            </w:pPr>
                          </w:p>
                          <w:p w14:paraId="0F6478B3" w14:textId="77777777" w:rsidR="00D15FD8" w:rsidRDefault="00D15FD8" w:rsidP="008A4C87">
                            <w:pPr>
                              <w:shd w:val="clear" w:color="auto" w:fill="F2F2F2" w:themeFill="background1" w:themeFillShade="F2"/>
                            </w:pPr>
                          </w:p>
                          <w:p w14:paraId="1C772ADE" w14:textId="77777777" w:rsidR="00D15FD8" w:rsidRPr="003625BA" w:rsidRDefault="00D15FD8" w:rsidP="008A4C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1FD1D" id="Rectangle 83" o:spid="_x0000_s1634" style="position:absolute;left:0;text-align:left;margin-left:-14.45pt;margin-top:-6.55pt;width:552pt;height:728.35pt;z-index:-24790425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" fillcolor="#f2f2f2 [3052]" strokecolor="#16988a" strokeweight="1.5pt">
                <v:textbox>
                  <w:txbxContent>
                    <w:p w14:paraId="057E94A7" w14:textId="77777777" w:rsidR="00D15FD8" w:rsidRDefault="00D15FD8" w:rsidP="008A4C87">
                      <w:pPr>
                        <w:shd w:val="clear" w:color="auto" w:fill="F2F2F2" w:themeFill="background1" w:themeFillShade="F2"/>
                      </w:pPr>
                    </w:p>
                    <w:p w14:paraId="64197C6B" w14:textId="77777777" w:rsidR="00D15FD8" w:rsidRDefault="00D15FD8" w:rsidP="008A4C87">
                      <w:pPr>
                        <w:shd w:val="clear" w:color="auto" w:fill="F2F2F2" w:themeFill="background1" w:themeFillShade="F2"/>
                      </w:pPr>
                    </w:p>
                    <w:p w14:paraId="40C70617" w14:textId="77777777" w:rsidR="00D15FD8" w:rsidRDefault="00D15FD8" w:rsidP="008A4C87">
                      <w:pPr>
                        <w:shd w:val="clear" w:color="auto" w:fill="F2F2F2" w:themeFill="background1" w:themeFillShade="F2"/>
                      </w:pPr>
                    </w:p>
                    <w:p w14:paraId="2E416571" w14:textId="77777777" w:rsidR="00D15FD8" w:rsidRDefault="00D15FD8" w:rsidP="008A4C87">
                      <w:pPr>
                        <w:shd w:val="clear" w:color="auto" w:fill="F2F2F2" w:themeFill="background1" w:themeFillShade="F2"/>
                      </w:pPr>
                    </w:p>
                    <w:p w14:paraId="1DDD65A9" w14:textId="77777777" w:rsidR="00D15FD8" w:rsidRDefault="00D15FD8" w:rsidP="008A4C87">
                      <w:pPr>
                        <w:shd w:val="clear" w:color="auto" w:fill="F2F2F2" w:themeFill="background1" w:themeFillShade="F2"/>
                      </w:pPr>
                    </w:p>
                    <w:p w14:paraId="5191D46B" w14:textId="77777777" w:rsidR="00D15FD8" w:rsidRDefault="00D15FD8" w:rsidP="008A4C87">
                      <w:pPr>
                        <w:shd w:val="clear" w:color="auto" w:fill="F2F2F2" w:themeFill="background1" w:themeFillShade="F2"/>
                      </w:pPr>
                    </w:p>
                    <w:p w14:paraId="628EE669" w14:textId="77777777" w:rsidR="00D15FD8" w:rsidRDefault="00D15FD8" w:rsidP="008A4C87">
                      <w:pPr>
                        <w:shd w:val="clear" w:color="auto" w:fill="F2F2F2" w:themeFill="background1" w:themeFillShade="F2"/>
                      </w:pPr>
                    </w:p>
                    <w:p w14:paraId="1F2A264F" w14:textId="77777777" w:rsidR="00D15FD8" w:rsidRDefault="00D15FD8" w:rsidP="008A4C87">
                      <w:pPr>
                        <w:shd w:val="clear" w:color="auto" w:fill="F2F2F2" w:themeFill="background1" w:themeFillShade="F2"/>
                      </w:pPr>
                    </w:p>
                    <w:p w14:paraId="2F0C6836" w14:textId="77777777" w:rsidR="00D15FD8" w:rsidRDefault="00D15FD8" w:rsidP="008A4C87">
                      <w:pPr>
                        <w:shd w:val="clear" w:color="auto" w:fill="F2F2F2" w:themeFill="background1" w:themeFillShade="F2"/>
                      </w:pPr>
                    </w:p>
                    <w:p w14:paraId="0A06AC59" w14:textId="77777777" w:rsidR="00D15FD8" w:rsidRDefault="00D15FD8" w:rsidP="008A4C87">
                      <w:pPr>
                        <w:shd w:val="clear" w:color="auto" w:fill="F2F2F2" w:themeFill="background1" w:themeFillShade="F2"/>
                      </w:pPr>
                    </w:p>
                    <w:p w14:paraId="3D0E85CF" w14:textId="77777777" w:rsidR="00D15FD8" w:rsidRDefault="00D15FD8" w:rsidP="008A4C87">
                      <w:pPr>
                        <w:shd w:val="clear" w:color="auto" w:fill="F2F2F2" w:themeFill="background1" w:themeFillShade="F2"/>
                      </w:pPr>
                    </w:p>
                    <w:p w14:paraId="713027DE" w14:textId="77777777" w:rsidR="00D15FD8" w:rsidRDefault="00D15FD8" w:rsidP="008A4C87">
                      <w:pPr>
                        <w:shd w:val="clear" w:color="auto" w:fill="F2F2F2" w:themeFill="background1" w:themeFillShade="F2"/>
                      </w:pPr>
                    </w:p>
                    <w:p w14:paraId="5F766F66" w14:textId="77777777" w:rsidR="00D15FD8" w:rsidRDefault="00D15FD8" w:rsidP="008A4C87">
                      <w:pPr>
                        <w:shd w:val="clear" w:color="auto" w:fill="F2F2F2" w:themeFill="background1" w:themeFillShade="F2"/>
                      </w:pPr>
                    </w:p>
                    <w:p w14:paraId="5D9C90B7" w14:textId="77777777" w:rsidR="00D15FD8" w:rsidRDefault="00D15FD8" w:rsidP="008A4C87">
                      <w:pPr>
                        <w:shd w:val="clear" w:color="auto" w:fill="F2F2F2" w:themeFill="background1" w:themeFillShade="F2"/>
                      </w:pPr>
                    </w:p>
                    <w:p w14:paraId="5A68B590" w14:textId="77777777" w:rsidR="00D15FD8" w:rsidRDefault="00D15FD8" w:rsidP="008A4C87">
                      <w:pPr>
                        <w:shd w:val="clear" w:color="auto" w:fill="F2F2F2" w:themeFill="background1" w:themeFillShade="F2"/>
                      </w:pPr>
                    </w:p>
                    <w:p w14:paraId="7E0A4387" w14:textId="77777777" w:rsidR="00D15FD8" w:rsidRDefault="00D15FD8" w:rsidP="008A4C87">
                      <w:pPr>
                        <w:shd w:val="clear" w:color="auto" w:fill="F2F2F2" w:themeFill="background1" w:themeFillShade="F2"/>
                      </w:pPr>
                    </w:p>
                    <w:p w14:paraId="6ACD99A9" w14:textId="77777777" w:rsidR="00D15FD8" w:rsidRDefault="00D15FD8" w:rsidP="008A4C87">
                      <w:pPr>
                        <w:shd w:val="clear" w:color="auto" w:fill="F2F2F2" w:themeFill="background1" w:themeFillShade="F2"/>
                      </w:pPr>
                    </w:p>
                    <w:p w14:paraId="6C8CDFE7" w14:textId="77777777" w:rsidR="00D15FD8" w:rsidRDefault="00D15FD8" w:rsidP="008A4C87">
                      <w:pPr>
                        <w:shd w:val="clear" w:color="auto" w:fill="F2F2F2" w:themeFill="background1" w:themeFillShade="F2"/>
                      </w:pPr>
                    </w:p>
                    <w:p w14:paraId="73769654" w14:textId="77777777" w:rsidR="00D15FD8" w:rsidRDefault="00D15FD8" w:rsidP="008A4C87">
                      <w:pPr>
                        <w:shd w:val="clear" w:color="auto" w:fill="F2F2F2" w:themeFill="background1" w:themeFillShade="F2"/>
                      </w:pPr>
                    </w:p>
                    <w:p w14:paraId="277206A2" w14:textId="77777777" w:rsidR="00D15FD8" w:rsidRDefault="00D15FD8" w:rsidP="008A4C87">
                      <w:pPr>
                        <w:shd w:val="clear" w:color="auto" w:fill="F2F2F2" w:themeFill="background1" w:themeFillShade="F2"/>
                      </w:pPr>
                    </w:p>
                    <w:p w14:paraId="5C7540E7" w14:textId="77777777" w:rsidR="00D15FD8" w:rsidRDefault="00D15FD8" w:rsidP="008A4C87">
                      <w:pPr>
                        <w:shd w:val="clear" w:color="auto" w:fill="F2F2F2" w:themeFill="background1" w:themeFillShade="F2"/>
                      </w:pPr>
                    </w:p>
                    <w:p w14:paraId="1947C5C5" w14:textId="77777777" w:rsidR="00D15FD8" w:rsidRDefault="00D15FD8" w:rsidP="008A4C87">
                      <w:pPr>
                        <w:shd w:val="clear" w:color="auto" w:fill="F2F2F2" w:themeFill="background1" w:themeFillShade="F2"/>
                      </w:pPr>
                    </w:p>
                    <w:p w14:paraId="717AE6F6" w14:textId="77777777" w:rsidR="00D15FD8" w:rsidRDefault="00D15FD8" w:rsidP="008A4C87">
                      <w:pPr>
                        <w:shd w:val="clear" w:color="auto" w:fill="F2F2F2" w:themeFill="background1" w:themeFillShade="F2"/>
                      </w:pPr>
                    </w:p>
                    <w:p w14:paraId="12FB67C0" w14:textId="77777777" w:rsidR="00D15FD8" w:rsidRDefault="00D15FD8" w:rsidP="008A4C87">
                      <w:pPr>
                        <w:shd w:val="clear" w:color="auto" w:fill="F2F2F2" w:themeFill="background1" w:themeFillShade="F2"/>
                      </w:pPr>
                    </w:p>
                    <w:p w14:paraId="51C7F84E" w14:textId="77777777" w:rsidR="00D15FD8" w:rsidRDefault="00D15FD8" w:rsidP="008A4C87">
                      <w:pPr>
                        <w:shd w:val="clear" w:color="auto" w:fill="F2F2F2" w:themeFill="background1" w:themeFillShade="F2"/>
                      </w:pPr>
                    </w:p>
                    <w:p w14:paraId="7F8DB414" w14:textId="77777777" w:rsidR="00D15FD8" w:rsidRDefault="00D15FD8" w:rsidP="008A4C87">
                      <w:pPr>
                        <w:shd w:val="clear" w:color="auto" w:fill="F2F2F2" w:themeFill="background1" w:themeFillShade="F2"/>
                      </w:pPr>
                    </w:p>
                    <w:p w14:paraId="7A426B1B" w14:textId="77777777" w:rsidR="00D15FD8" w:rsidRDefault="00D15FD8" w:rsidP="008A4C87">
                      <w:pPr>
                        <w:shd w:val="clear" w:color="auto" w:fill="F2F2F2" w:themeFill="background1" w:themeFillShade="F2"/>
                      </w:pPr>
                    </w:p>
                    <w:p w14:paraId="6113F726" w14:textId="77777777" w:rsidR="00D15FD8" w:rsidRDefault="00D15FD8" w:rsidP="008A4C87">
                      <w:pPr>
                        <w:shd w:val="clear" w:color="auto" w:fill="F2F2F2" w:themeFill="background1" w:themeFillShade="F2"/>
                      </w:pPr>
                    </w:p>
                    <w:p w14:paraId="55FD4EE3" w14:textId="77777777" w:rsidR="00D15FD8" w:rsidRDefault="00D15FD8" w:rsidP="008A4C87">
                      <w:pPr>
                        <w:shd w:val="clear" w:color="auto" w:fill="F2F2F2" w:themeFill="background1" w:themeFillShade="F2"/>
                      </w:pPr>
                    </w:p>
                    <w:p w14:paraId="71C82B62" w14:textId="77777777" w:rsidR="00D15FD8" w:rsidRDefault="00D15FD8" w:rsidP="008A4C87">
                      <w:pPr>
                        <w:shd w:val="clear" w:color="auto" w:fill="F2F2F2" w:themeFill="background1" w:themeFillShade="F2"/>
                      </w:pPr>
                    </w:p>
                    <w:p w14:paraId="27355566" w14:textId="77777777" w:rsidR="00D15FD8" w:rsidRDefault="00D15FD8" w:rsidP="008A4C87">
                      <w:pPr>
                        <w:shd w:val="clear" w:color="auto" w:fill="F2F2F2" w:themeFill="background1" w:themeFillShade="F2"/>
                      </w:pPr>
                    </w:p>
                    <w:p w14:paraId="4419FB34" w14:textId="77777777" w:rsidR="00D15FD8" w:rsidRDefault="00D15FD8" w:rsidP="008A4C87">
                      <w:pPr>
                        <w:shd w:val="clear" w:color="auto" w:fill="F2F2F2" w:themeFill="background1" w:themeFillShade="F2"/>
                      </w:pPr>
                    </w:p>
                    <w:p w14:paraId="33C6C8DE" w14:textId="77777777" w:rsidR="00D15FD8" w:rsidRDefault="00D15FD8" w:rsidP="008A4C87">
                      <w:pPr>
                        <w:shd w:val="clear" w:color="auto" w:fill="F2F2F2" w:themeFill="background1" w:themeFillShade="F2"/>
                      </w:pPr>
                    </w:p>
                    <w:p w14:paraId="6C14B15B" w14:textId="77777777" w:rsidR="00D15FD8" w:rsidRDefault="00D15FD8" w:rsidP="008A4C87">
                      <w:pPr>
                        <w:shd w:val="clear" w:color="auto" w:fill="F2F2F2" w:themeFill="background1" w:themeFillShade="F2"/>
                      </w:pPr>
                    </w:p>
                    <w:p w14:paraId="70E4DF8D" w14:textId="77777777" w:rsidR="00D15FD8" w:rsidRDefault="00D15FD8" w:rsidP="008A4C87">
                      <w:pPr>
                        <w:shd w:val="clear" w:color="auto" w:fill="F2F2F2" w:themeFill="background1" w:themeFillShade="F2"/>
                      </w:pPr>
                    </w:p>
                    <w:p w14:paraId="176108DB" w14:textId="77777777" w:rsidR="00D15FD8" w:rsidRDefault="00D15FD8" w:rsidP="008A4C87">
                      <w:pPr>
                        <w:shd w:val="clear" w:color="auto" w:fill="F2F2F2" w:themeFill="background1" w:themeFillShade="F2"/>
                      </w:pPr>
                    </w:p>
                    <w:p w14:paraId="009D6AF1" w14:textId="77777777" w:rsidR="00D15FD8" w:rsidRDefault="00D15FD8" w:rsidP="008A4C87">
                      <w:pPr>
                        <w:shd w:val="clear" w:color="auto" w:fill="F2F2F2" w:themeFill="background1" w:themeFillShade="F2"/>
                      </w:pPr>
                    </w:p>
                    <w:p w14:paraId="321C4790" w14:textId="77777777" w:rsidR="00D15FD8" w:rsidRDefault="00D15FD8" w:rsidP="008A4C87">
                      <w:pPr>
                        <w:shd w:val="clear" w:color="auto" w:fill="F2F2F2" w:themeFill="background1" w:themeFillShade="F2"/>
                      </w:pPr>
                    </w:p>
                    <w:p w14:paraId="01F23902" w14:textId="77777777" w:rsidR="00D15FD8" w:rsidRDefault="00D15FD8" w:rsidP="008A4C87">
                      <w:pPr>
                        <w:shd w:val="clear" w:color="auto" w:fill="F2F2F2" w:themeFill="background1" w:themeFillShade="F2"/>
                      </w:pPr>
                    </w:p>
                    <w:p w14:paraId="4481AA9A" w14:textId="77777777" w:rsidR="00D15FD8" w:rsidRDefault="00D15FD8" w:rsidP="008A4C87">
                      <w:pPr>
                        <w:shd w:val="clear" w:color="auto" w:fill="F2F2F2" w:themeFill="background1" w:themeFillShade="F2"/>
                      </w:pPr>
                    </w:p>
                    <w:p w14:paraId="3D7A9FDD" w14:textId="77777777" w:rsidR="00D15FD8" w:rsidRDefault="00D15FD8" w:rsidP="008A4C87">
                      <w:pPr>
                        <w:shd w:val="clear" w:color="auto" w:fill="F2F2F2" w:themeFill="background1" w:themeFillShade="F2"/>
                      </w:pPr>
                    </w:p>
                    <w:p w14:paraId="2453C624" w14:textId="77777777" w:rsidR="00D15FD8" w:rsidRDefault="00D15FD8" w:rsidP="008A4C87">
                      <w:pPr>
                        <w:shd w:val="clear" w:color="auto" w:fill="F2F2F2" w:themeFill="background1" w:themeFillShade="F2"/>
                      </w:pPr>
                    </w:p>
                    <w:p w14:paraId="3CE51949" w14:textId="77777777" w:rsidR="00D15FD8" w:rsidRDefault="00D15FD8" w:rsidP="008A4C87">
                      <w:pPr>
                        <w:shd w:val="clear" w:color="auto" w:fill="F2F2F2" w:themeFill="background1" w:themeFillShade="F2"/>
                      </w:pPr>
                    </w:p>
                    <w:p w14:paraId="3C07E6ED" w14:textId="77777777" w:rsidR="00D15FD8" w:rsidRDefault="00D15FD8" w:rsidP="008A4C87">
                      <w:pPr>
                        <w:shd w:val="clear" w:color="auto" w:fill="F2F2F2" w:themeFill="background1" w:themeFillShade="F2"/>
                      </w:pPr>
                    </w:p>
                    <w:p w14:paraId="1632F109" w14:textId="77777777" w:rsidR="00D15FD8" w:rsidRDefault="00D15FD8" w:rsidP="008A4C87">
                      <w:pPr>
                        <w:shd w:val="clear" w:color="auto" w:fill="F2F2F2" w:themeFill="background1" w:themeFillShade="F2"/>
                      </w:pPr>
                    </w:p>
                    <w:p w14:paraId="3B559F11" w14:textId="77777777" w:rsidR="00D15FD8" w:rsidRDefault="00D15FD8" w:rsidP="008A4C87">
                      <w:pPr>
                        <w:shd w:val="clear" w:color="auto" w:fill="F2F2F2" w:themeFill="background1" w:themeFillShade="F2"/>
                      </w:pPr>
                    </w:p>
                    <w:p w14:paraId="5EC41CE0" w14:textId="77777777" w:rsidR="00D15FD8" w:rsidRDefault="00D15FD8" w:rsidP="008A4C87">
                      <w:pPr>
                        <w:shd w:val="clear" w:color="auto" w:fill="F2F2F2" w:themeFill="background1" w:themeFillShade="F2"/>
                      </w:pPr>
                    </w:p>
                    <w:p w14:paraId="2494A514" w14:textId="77777777" w:rsidR="00D15FD8" w:rsidRDefault="00D15FD8" w:rsidP="008A4C87">
                      <w:pPr>
                        <w:shd w:val="clear" w:color="auto" w:fill="F2F2F2" w:themeFill="background1" w:themeFillShade="F2"/>
                      </w:pPr>
                    </w:p>
                    <w:p w14:paraId="758DB2B9" w14:textId="77777777" w:rsidR="00D15FD8" w:rsidRDefault="00D15FD8" w:rsidP="008A4C87">
                      <w:pPr>
                        <w:shd w:val="clear" w:color="auto" w:fill="F2F2F2" w:themeFill="background1" w:themeFillShade="F2"/>
                      </w:pPr>
                    </w:p>
                    <w:p w14:paraId="580E67D4" w14:textId="77777777" w:rsidR="00D15FD8" w:rsidRDefault="00D15FD8" w:rsidP="008A4C87">
                      <w:pPr>
                        <w:shd w:val="clear" w:color="auto" w:fill="F2F2F2" w:themeFill="background1" w:themeFillShade="F2"/>
                      </w:pPr>
                    </w:p>
                    <w:p w14:paraId="3BB21D56" w14:textId="77777777" w:rsidR="00D15FD8" w:rsidRDefault="00D15FD8" w:rsidP="008A4C87">
                      <w:pPr>
                        <w:shd w:val="clear" w:color="auto" w:fill="F2F2F2" w:themeFill="background1" w:themeFillShade="F2"/>
                      </w:pPr>
                    </w:p>
                    <w:p w14:paraId="3B1C469B" w14:textId="77777777" w:rsidR="00D15FD8" w:rsidRDefault="00D15FD8" w:rsidP="008A4C87">
                      <w:pPr>
                        <w:shd w:val="clear" w:color="auto" w:fill="F2F2F2" w:themeFill="background1" w:themeFillShade="F2"/>
                      </w:pPr>
                    </w:p>
                    <w:p w14:paraId="46CD8465" w14:textId="77777777" w:rsidR="00D15FD8" w:rsidRDefault="00D15FD8" w:rsidP="008A4C87">
                      <w:pPr>
                        <w:shd w:val="clear" w:color="auto" w:fill="F2F2F2" w:themeFill="background1" w:themeFillShade="F2"/>
                      </w:pPr>
                    </w:p>
                    <w:p w14:paraId="555CF999" w14:textId="77777777" w:rsidR="00D15FD8" w:rsidRDefault="00D15FD8" w:rsidP="008A4C87">
                      <w:pPr>
                        <w:shd w:val="clear" w:color="auto" w:fill="F2F2F2" w:themeFill="background1" w:themeFillShade="F2"/>
                      </w:pPr>
                    </w:p>
                    <w:p w14:paraId="6AE0336D" w14:textId="77777777" w:rsidR="00D15FD8" w:rsidRDefault="00D15FD8" w:rsidP="008A4C87">
                      <w:pPr>
                        <w:shd w:val="clear" w:color="auto" w:fill="F2F2F2" w:themeFill="background1" w:themeFillShade="F2"/>
                      </w:pPr>
                    </w:p>
                    <w:p w14:paraId="3621DC6D" w14:textId="77777777" w:rsidR="00D15FD8" w:rsidRDefault="00D15FD8" w:rsidP="008A4C87">
                      <w:pPr>
                        <w:shd w:val="clear" w:color="auto" w:fill="F2F2F2" w:themeFill="background1" w:themeFillShade="F2"/>
                      </w:pPr>
                    </w:p>
                    <w:p w14:paraId="4C1216F1" w14:textId="77777777" w:rsidR="00D15FD8" w:rsidRDefault="00D15FD8" w:rsidP="008A4C87">
                      <w:pPr>
                        <w:shd w:val="clear" w:color="auto" w:fill="F2F2F2" w:themeFill="background1" w:themeFillShade="F2"/>
                      </w:pPr>
                    </w:p>
                    <w:p w14:paraId="6D06F11E" w14:textId="77777777" w:rsidR="00D15FD8" w:rsidRDefault="00D15FD8" w:rsidP="008A4C87">
                      <w:pPr>
                        <w:shd w:val="clear" w:color="auto" w:fill="F2F2F2" w:themeFill="background1" w:themeFillShade="F2"/>
                      </w:pPr>
                    </w:p>
                    <w:p w14:paraId="3E5CF65F" w14:textId="77777777" w:rsidR="00D15FD8" w:rsidRDefault="00D15FD8" w:rsidP="008A4C87">
                      <w:pPr>
                        <w:shd w:val="clear" w:color="auto" w:fill="F2F2F2" w:themeFill="background1" w:themeFillShade="F2"/>
                      </w:pPr>
                    </w:p>
                    <w:p w14:paraId="0F6478B3" w14:textId="77777777" w:rsidR="00D15FD8" w:rsidRDefault="00D15FD8" w:rsidP="008A4C87">
                      <w:pPr>
                        <w:shd w:val="clear" w:color="auto" w:fill="F2F2F2" w:themeFill="background1" w:themeFillShade="F2"/>
                      </w:pPr>
                    </w:p>
                    <w:p w14:paraId="1C772ADE" w14:textId="77777777" w:rsidR="00D15FD8" w:rsidRPr="003625BA" w:rsidRDefault="00D15FD8" w:rsidP="008A4C87">
                      <w:pPr>
                        <w:jc w:val="center"/>
                        <w:rPr>
                          <w:lang w:val="en-US"/>
                        </w:rPr>
                      </w:pPr>
                    </w:p>
                  </w:txbxContent>
                </v:textbox>
                <w10:wrap anchorx="margin" anchory="margin"/>
              </v:rect>
            </w:pict>
          </mc:Fallback>
        </mc:AlternateContent>
      </w:r>
      <w:r w:rsidRPr="00244B61">
        <w:rPr>
          <w:rFonts w:ascii="Roboto" w:hAnsi="Roboto"/>
          <w:sz w:val="20"/>
          <w:szCs w:val="20"/>
        </w:rPr>
        <w:t xml:space="preserve">consolidated way to all types of users. Platforms, by contrast, place these decisions back into the hands of users, creating innumerable ways of interacting with information and data, rather than just one way within a single interface. </w:t>
      </w:r>
    </w:p>
    <w:p w14:paraId="7614CB55" w14:textId="27B1AC01" w:rsidR="000C0409" w:rsidRDefault="000C0409" w:rsidP="000C0409">
      <w:pPr>
        <w:spacing w:line="276" w:lineRule="auto"/>
        <w:rPr>
          <w:rFonts w:ascii="Roboto" w:hAnsi="Roboto"/>
        </w:rPr>
      </w:pPr>
    </w:p>
    <w:p w14:paraId="11B669BA" w14:textId="07E1A21C" w:rsidR="00D26F3B" w:rsidRPr="000C0409" w:rsidRDefault="00D26F3B" w:rsidP="000C0409">
      <w:pPr>
        <w:spacing w:line="276" w:lineRule="auto"/>
        <w:rPr>
          <w:rFonts w:ascii="Roboto" w:hAnsi="Roboto"/>
        </w:rPr>
      </w:pPr>
      <w:r w:rsidRPr="003625BA">
        <w:rPr>
          <w:rFonts w:ascii="Roboto" w:hAnsi="Roboto"/>
          <w:b/>
          <w:color w:val="82CAA0"/>
          <w:sz w:val="20"/>
          <w:szCs w:val="20"/>
        </w:rPr>
        <w:t>Portals can be defined by 6 elements that constitute them:</w:t>
      </w:r>
    </w:p>
    <w:p w14:paraId="1E02C443" w14:textId="06E6DBF1" w:rsidR="00D26F3B" w:rsidRPr="002E337C" w:rsidRDefault="007341AA" w:rsidP="00D26F3B">
      <w:pPr>
        <w:tabs>
          <w:tab w:val="left" w:pos="5291"/>
        </w:tabs>
        <w:spacing w:line="276" w:lineRule="auto"/>
        <w:rPr>
          <w:rFonts w:ascii="Roboto" w:hAnsi="Roboto"/>
          <w:b/>
          <w:color w:val="82CAA0"/>
        </w:rPr>
      </w:pPr>
      <w:r>
        <w:rPr>
          <w:rFonts w:ascii="Roboto" w:hAnsi="Roboto"/>
          <w:noProof/>
          <w:lang w:val="en-US"/>
        </w:rPr>
        <mc:AlternateContent>
          <mc:Choice Requires="wps">
            <w:drawing>
              <wp:anchor distT="0" distB="0" distL="114300" distR="114300" simplePos="0" relativeHeight="254456830" behindDoc="0" locked="0" layoutInCell="1" allowOverlap="1" wp14:anchorId="443D0331" wp14:editId="688CBAEC">
                <wp:simplePos x="0" y="0"/>
                <wp:positionH relativeFrom="column">
                  <wp:posOffset>1576211</wp:posOffset>
                </wp:positionH>
                <wp:positionV relativeFrom="paragraph">
                  <wp:posOffset>119168</wp:posOffset>
                </wp:positionV>
                <wp:extent cx="5064548" cy="1041400"/>
                <wp:effectExtent l="12700" t="12700" r="15875" b="12700"/>
                <wp:wrapNone/>
                <wp:docPr id="2492" name="Rounded Rectangle 2492"/>
                <wp:cNvGraphicFramePr/>
                <a:graphic xmlns:a="http://schemas.openxmlformats.org/drawingml/2006/main">
                  <a:graphicData uri="http://schemas.microsoft.com/office/word/2010/wordprocessingShape">
                    <wps:wsp>
                      <wps:cNvSpPr/>
                      <wps:spPr>
                        <a:xfrm>
                          <a:off x="0" y="0"/>
                          <a:ext cx="5064548" cy="1041400"/>
                        </a:xfrm>
                        <a:prstGeom prst="roundRect">
                          <a:avLst>
                            <a:gd name="adj" fmla="val 10569"/>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6910BC3" id="Rounded Rectangle 2492" o:spid="_x0000_s1026" style="position:absolute;margin-left:124.1pt;margin-top:9.4pt;width:398.8pt;height:82pt;z-index:2544568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" filled="f" strokecolor="#f36e27" strokeweight="1.5pt">
                <v:stroke joinstyle="miter"/>
              </v:roundrect>
            </w:pict>
          </mc:Fallback>
        </mc:AlternateContent>
      </w:r>
      <w:r w:rsidR="00E82C3B">
        <w:rPr>
          <w:rFonts w:ascii="Roboto" w:hAnsi="Roboto"/>
          <w:noProof/>
          <w:lang w:val="en-US"/>
        </w:rPr>
        <mc:AlternateContent>
          <mc:Choice Requires="wps">
            <w:drawing>
              <wp:anchor distT="0" distB="0" distL="114300" distR="114300" simplePos="0" relativeHeight="254457854" behindDoc="0" locked="0" layoutInCell="1" allowOverlap="1" wp14:anchorId="665AD682" wp14:editId="79C98955">
                <wp:simplePos x="0" y="0"/>
                <wp:positionH relativeFrom="column">
                  <wp:posOffset>1647825</wp:posOffset>
                </wp:positionH>
                <wp:positionV relativeFrom="paragraph">
                  <wp:posOffset>191770</wp:posOffset>
                </wp:positionV>
                <wp:extent cx="4933315" cy="901700"/>
                <wp:effectExtent l="0" t="0" r="0" b="0"/>
                <wp:wrapNone/>
                <wp:docPr id="2494" name="Text Box 2494"/>
                <wp:cNvGraphicFramePr/>
                <a:graphic xmlns:a="http://schemas.openxmlformats.org/drawingml/2006/main">
                  <a:graphicData uri="http://schemas.microsoft.com/office/word/2010/wordprocessingShape">
                    <wps:wsp>
                      <wps:cNvSpPr txBox="1"/>
                      <wps:spPr>
                        <a:xfrm>
                          <a:off x="0" y="0"/>
                          <a:ext cx="4933315" cy="901700"/>
                        </a:xfrm>
                        <a:prstGeom prst="rect">
                          <a:avLst/>
                        </a:prstGeom>
                        <a:noFill/>
                        <a:ln w="6350">
                          <a:noFill/>
                        </a:ln>
                      </wps:spPr>
                      <wps:txbx>
                        <w:txbxContent>
                          <w:p w14:paraId="19D2A0A2" w14:textId="1E82A74A" w:rsidR="00D15FD8" w:rsidRPr="003625BA" w:rsidRDefault="00D15FD8" w:rsidP="00D26F3B">
                            <w:pPr>
                              <w:spacing w:line="276" w:lineRule="auto"/>
                              <w:jc w:val="both"/>
                              <w:rPr>
                                <w:rFonts w:ascii="Roboto" w:hAnsi="Roboto"/>
                                <w:color w:val="3B3838" w:themeColor="background2" w:themeShade="40"/>
                                <w:sz w:val="20"/>
                                <w:szCs w:val="20"/>
                                <w:u w:val="single"/>
                              </w:rPr>
                            </w:pPr>
                            <w:r w:rsidRPr="00244B61">
                              <w:rPr>
                                <w:rFonts w:ascii="Roboto" w:hAnsi="Roboto"/>
                                <w:color w:val="3B3838" w:themeColor="background2" w:themeShade="40"/>
                                <w:sz w:val="20"/>
                                <w:szCs w:val="20"/>
                              </w:rPr>
                              <w:t>Concerns the information contained in a portal, including its platforms. Additionally, there are considerations regarding the completeness and granularity or disaggregation of the information presented. In order for a portal to be considered user-</w:t>
                            </w:r>
                            <w:proofErr w:type="spellStart"/>
                            <w:r w:rsidRPr="00244B61">
                              <w:rPr>
                                <w:rFonts w:ascii="Roboto" w:hAnsi="Roboto"/>
                                <w:color w:val="3B3838" w:themeColor="background2" w:themeShade="40"/>
                                <w:sz w:val="20"/>
                                <w:szCs w:val="20"/>
                              </w:rPr>
                              <w:t>centered</w:t>
                            </w:r>
                            <w:proofErr w:type="spellEnd"/>
                            <w:r w:rsidRPr="00244B61">
                              <w:rPr>
                                <w:rFonts w:ascii="Roboto" w:hAnsi="Roboto"/>
                                <w:color w:val="3B3838" w:themeColor="background2" w:themeShade="40"/>
                                <w:sz w:val="20"/>
                                <w:szCs w:val="20"/>
                              </w:rPr>
                              <w:t>, the supply of information must be responsive to the demand for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AD682" id="Text Box 2494" o:spid="_x0000_s1635" type="#_x0000_t202" style="position:absolute;margin-left:129.75pt;margin-top:15.1pt;width:388.45pt;height:71pt;z-index:2544578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" filled="f" stroked="f" strokeweight=".5pt">
                <v:textbox>
                  <w:txbxContent>
                    <w:p w14:paraId="19D2A0A2" w14:textId="1E82A74A" w:rsidR="00D15FD8" w:rsidRPr="003625BA" w:rsidRDefault="00D15FD8" w:rsidP="00D26F3B">
                      <w:pPr>
                        <w:spacing w:line="276" w:lineRule="auto"/>
                        <w:jc w:val="both"/>
                        <w:rPr>
                          <w:rFonts w:ascii="Roboto" w:hAnsi="Roboto"/>
                          <w:color w:val="3B3838" w:themeColor="background2" w:themeShade="40"/>
                          <w:sz w:val="20"/>
                          <w:szCs w:val="20"/>
                          <w:u w:val="single"/>
                        </w:rPr>
                      </w:pPr>
                      <w:r w:rsidRPr="00244B61">
                        <w:rPr>
                          <w:rFonts w:ascii="Roboto" w:hAnsi="Roboto"/>
                          <w:color w:val="3B3838" w:themeColor="background2" w:themeShade="40"/>
                          <w:sz w:val="20"/>
                          <w:szCs w:val="20"/>
                        </w:rPr>
                        <w:t>Concerns the information contained in a portal, including its platforms. Additionally, there are considerations regarding the completeness and granularity or disaggregation of the information presented. In order for a portal to be considered user-</w:t>
                      </w:r>
                      <w:proofErr w:type="spellStart"/>
                      <w:r w:rsidRPr="00244B61">
                        <w:rPr>
                          <w:rFonts w:ascii="Roboto" w:hAnsi="Roboto"/>
                          <w:color w:val="3B3838" w:themeColor="background2" w:themeShade="40"/>
                          <w:sz w:val="20"/>
                          <w:szCs w:val="20"/>
                        </w:rPr>
                        <w:t>centered</w:t>
                      </w:r>
                      <w:proofErr w:type="spellEnd"/>
                      <w:r w:rsidRPr="00244B61">
                        <w:rPr>
                          <w:rFonts w:ascii="Roboto" w:hAnsi="Roboto"/>
                          <w:color w:val="3B3838" w:themeColor="background2" w:themeShade="40"/>
                          <w:sz w:val="20"/>
                          <w:szCs w:val="20"/>
                        </w:rPr>
                        <w:t>, the supply of information must be responsive to the demand for it.</w:t>
                      </w:r>
                    </w:p>
                  </w:txbxContent>
                </v:textbox>
              </v:shape>
            </w:pict>
          </mc:Fallback>
        </mc:AlternateContent>
      </w:r>
      <w:r w:rsidR="00E82C3B">
        <w:rPr>
          <w:rFonts w:ascii="Roboto" w:hAnsi="Roboto"/>
          <w:noProof/>
          <w:lang w:val="en-US"/>
        </w:rPr>
        <mc:AlternateContent>
          <mc:Choice Requires="wps">
            <w:drawing>
              <wp:anchor distT="0" distB="0" distL="114300" distR="114300" simplePos="0" relativeHeight="254460926" behindDoc="0" locked="0" layoutInCell="1" allowOverlap="1" wp14:anchorId="4EA2D8F2" wp14:editId="2A376BC1">
                <wp:simplePos x="0" y="0"/>
                <wp:positionH relativeFrom="column">
                  <wp:posOffset>15240</wp:posOffset>
                </wp:positionH>
                <wp:positionV relativeFrom="paragraph">
                  <wp:posOffset>99060</wp:posOffset>
                </wp:positionV>
                <wp:extent cx="1408539" cy="1066800"/>
                <wp:effectExtent l="0" t="0" r="1270" b="0"/>
                <wp:wrapNone/>
                <wp:docPr id="2493" name="Round Diagonal Corner Rectangle 2493"/>
                <wp:cNvGraphicFramePr/>
                <a:graphic xmlns:a="http://schemas.openxmlformats.org/drawingml/2006/main">
                  <a:graphicData uri="http://schemas.microsoft.com/office/word/2010/wordprocessingShape">
                    <wps:wsp>
                      <wps:cNvSpPr/>
                      <wps:spPr>
                        <a:xfrm>
                          <a:off x="0" y="0"/>
                          <a:ext cx="1408539" cy="1066800"/>
                        </a:xfrm>
                        <a:prstGeom prst="round2Diag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6D383B3E" id="Round Diagonal Corner Rectangle 2493" o:spid="_x0000_s1026" style="position:absolute;margin-left:1.2pt;margin-top:7.8pt;width:110.9pt;height:84pt;z-index:254460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8539,106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" path="m177804,l1408539,r,l1408539,888996v,98198,-79606,177804,-177804,177804l,1066800r,l,177804c,79606,79606,,177804,xe" fillcolor="#82caa0" stroked="f" strokeweight="1pt">
                <v:stroke joinstyle="miter"/>
                <v:path arrowok="t" o:connecttype="custom" o:connectlocs="177804,0;1408539,0;1408539,0;1408539,888996;1230735,1066800;0,1066800;0,1066800;0,177804;177804,0" o:connectangles="0,0,0,0,0,0,0,0,0"/>
              </v:shape>
            </w:pict>
          </mc:Fallback>
        </mc:AlternateContent>
      </w:r>
    </w:p>
    <w:p w14:paraId="6B3000F3" w14:textId="79AF42B4" w:rsidR="00D26F3B" w:rsidRDefault="00F26166" w:rsidP="00D26F3B">
      <w:pPr>
        <w:tabs>
          <w:tab w:val="left" w:pos="5291"/>
        </w:tabs>
        <w:spacing w:line="276" w:lineRule="auto"/>
        <w:jc w:val="both"/>
        <w:rPr>
          <w:rFonts w:ascii="Roboto" w:hAnsi="Roboto"/>
        </w:rPr>
      </w:pPr>
      <w:r>
        <w:rPr>
          <w:rFonts w:ascii="Roboto" w:hAnsi="Roboto"/>
          <w:noProof/>
          <w:lang w:val="en-US"/>
        </w:rPr>
        <mc:AlternateContent>
          <mc:Choice Requires="wps">
            <w:drawing>
              <wp:anchor distT="0" distB="0" distL="114300" distR="114300" simplePos="0" relativeHeight="254461950" behindDoc="0" locked="0" layoutInCell="1" allowOverlap="1" wp14:anchorId="5A62FD58" wp14:editId="6EC9CCB4">
                <wp:simplePos x="0" y="0"/>
                <wp:positionH relativeFrom="column">
                  <wp:posOffset>36005</wp:posOffset>
                </wp:positionH>
                <wp:positionV relativeFrom="paragraph">
                  <wp:posOffset>196215</wp:posOffset>
                </wp:positionV>
                <wp:extent cx="1020445" cy="478155"/>
                <wp:effectExtent l="0" t="0" r="0" b="0"/>
                <wp:wrapNone/>
                <wp:docPr id="2495" name="Text Box 2495"/>
                <wp:cNvGraphicFramePr/>
                <a:graphic xmlns:a="http://schemas.openxmlformats.org/drawingml/2006/main">
                  <a:graphicData uri="http://schemas.microsoft.com/office/word/2010/wordprocessingShape">
                    <wps:wsp>
                      <wps:cNvSpPr txBox="1"/>
                      <wps:spPr>
                        <a:xfrm>
                          <a:off x="0" y="0"/>
                          <a:ext cx="1020445" cy="478155"/>
                        </a:xfrm>
                        <a:prstGeom prst="rect">
                          <a:avLst/>
                        </a:prstGeom>
                        <a:noFill/>
                        <a:ln w="6350">
                          <a:noFill/>
                        </a:ln>
                      </wps:spPr>
                      <wps:txbx>
                        <w:txbxContent>
                          <w:p w14:paraId="1D26630A" w14:textId="0F5C1898" w:rsidR="00D15FD8" w:rsidRPr="002E337C" w:rsidRDefault="00D15FD8" w:rsidP="00D26F3B">
                            <w:pPr>
                              <w:spacing w:line="276" w:lineRule="auto"/>
                              <w:rPr>
                                <w:rFonts w:ascii="Roboto" w:hAnsi="Roboto"/>
                                <w:color w:val="FFFFFF" w:themeColor="background1"/>
                                <w:u w:val="single"/>
                              </w:rPr>
                            </w:pPr>
                            <w:r>
                              <w:rPr>
                                <w:rFonts w:ascii="Roboto" w:hAnsi="Roboto"/>
                                <w:b/>
                                <w:color w:val="FFFFFF" w:themeColor="background1"/>
                              </w:rPr>
                              <w:t xml:space="preserve">1. </w:t>
                            </w:r>
                            <w:r w:rsidRPr="002E337C">
                              <w:rPr>
                                <w:rFonts w:ascii="Roboto" w:hAnsi="Roboto"/>
                                <w:b/>
                                <w:color w:val="FFFFFF" w:themeColor="background1"/>
                              </w:rPr>
                              <w:t xml:space="preserve">Supply of </w:t>
                            </w:r>
                            <w:r>
                              <w:rPr>
                                <w:rFonts w:ascii="Roboto" w:hAnsi="Roboto"/>
                                <w:b/>
                                <w:color w:val="FFFFFF" w:themeColor="background1"/>
                              </w:rPr>
                              <w:t>i</w:t>
                            </w:r>
                            <w:r w:rsidRPr="002E337C">
                              <w:rPr>
                                <w:rFonts w:ascii="Roboto" w:hAnsi="Roboto"/>
                                <w:b/>
                                <w:color w:val="FFFFFF" w:themeColor="background1"/>
                              </w:rPr>
                              <w:t>nformation</w:t>
                            </w:r>
                            <w:r w:rsidRPr="002E337C">
                              <w:rPr>
                                <w:rFonts w:ascii="Roboto" w:hAnsi="Roboto"/>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2FD58" id="Text Box 2495" o:spid="_x0000_s1636" type="#_x0000_t202" style="position:absolute;left:0;text-align:left;margin-left:2.85pt;margin-top:15.45pt;width:80.35pt;height:37.65pt;z-index:254461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" filled="f" stroked="f" strokeweight=".5pt">
                <v:textbox>
                  <w:txbxContent>
                    <w:p w14:paraId="1D26630A" w14:textId="0F5C1898" w:rsidR="00D15FD8" w:rsidRPr="002E337C" w:rsidRDefault="00D15FD8" w:rsidP="00D26F3B">
                      <w:pPr>
                        <w:spacing w:line="276" w:lineRule="auto"/>
                        <w:rPr>
                          <w:rFonts w:ascii="Roboto" w:hAnsi="Roboto"/>
                          <w:color w:val="FFFFFF" w:themeColor="background1"/>
                          <w:u w:val="single"/>
                        </w:rPr>
                      </w:pPr>
                      <w:r>
                        <w:rPr>
                          <w:rFonts w:ascii="Roboto" w:hAnsi="Roboto"/>
                          <w:b/>
                          <w:color w:val="FFFFFF" w:themeColor="background1"/>
                        </w:rPr>
                        <w:t xml:space="preserve">1. </w:t>
                      </w:r>
                      <w:r w:rsidRPr="002E337C">
                        <w:rPr>
                          <w:rFonts w:ascii="Roboto" w:hAnsi="Roboto"/>
                          <w:b/>
                          <w:color w:val="FFFFFF" w:themeColor="background1"/>
                        </w:rPr>
                        <w:t xml:space="preserve">Supply of </w:t>
                      </w:r>
                      <w:r>
                        <w:rPr>
                          <w:rFonts w:ascii="Roboto" w:hAnsi="Roboto"/>
                          <w:b/>
                          <w:color w:val="FFFFFF" w:themeColor="background1"/>
                        </w:rPr>
                        <w:t>i</w:t>
                      </w:r>
                      <w:r w:rsidRPr="002E337C">
                        <w:rPr>
                          <w:rFonts w:ascii="Roboto" w:hAnsi="Roboto"/>
                          <w:b/>
                          <w:color w:val="FFFFFF" w:themeColor="background1"/>
                        </w:rPr>
                        <w:t>nformation</w:t>
                      </w:r>
                      <w:r w:rsidRPr="002E337C">
                        <w:rPr>
                          <w:rFonts w:ascii="Roboto" w:hAnsi="Roboto"/>
                          <w:color w:val="FFFFFF" w:themeColor="background1"/>
                        </w:rPr>
                        <w:t>:</w:t>
                      </w:r>
                    </w:p>
                  </w:txbxContent>
                </v:textbox>
              </v:shape>
            </w:pict>
          </mc:Fallback>
        </mc:AlternateContent>
      </w:r>
    </w:p>
    <w:p w14:paraId="2BA1567A" w14:textId="72386CB5" w:rsidR="00D26F3B" w:rsidRDefault="00D26F3B" w:rsidP="00D26F3B">
      <w:pPr>
        <w:tabs>
          <w:tab w:val="left" w:pos="5291"/>
        </w:tabs>
        <w:spacing w:line="276" w:lineRule="auto"/>
        <w:jc w:val="both"/>
        <w:rPr>
          <w:rFonts w:ascii="Roboto" w:hAnsi="Roboto"/>
        </w:rPr>
      </w:pPr>
      <w:r w:rsidRPr="006F3826">
        <w:rPr>
          <w:rFonts w:ascii="Roboto" w:hAnsi="Roboto"/>
        </w:rPr>
        <w:tab/>
      </w:r>
    </w:p>
    <w:p w14:paraId="677F44E2" w14:textId="39DEEAA4" w:rsidR="00D26F3B" w:rsidRDefault="00D26F3B" w:rsidP="00D26F3B">
      <w:pPr>
        <w:rPr>
          <w:rFonts w:ascii="Roboto" w:hAnsi="Roboto"/>
        </w:rPr>
      </w:pPr>
    </w:p>
    <w:p w14:paraId="188285A5" w14:textId="77777777" w:rsidR="00D26F3B" w:rsidRDefault="00D26F3B" w:rsidP="00D26F3B">
      <w:pPr>
        <w:pStyle w:val="ListParagraph"/>
        <w:spacing w:line="276" w:lineRule="auto"/>
        <w:rPr>
          <w:rFonts w:ascii="Roboto" w:hAnsi="Roboto"/>
        </w:rPr>
      </w:pPr>
    </w:p>
    <w:p w14:paraId="624DC1DD" w14:textId="74AE028B" w:rsidR="00D26F3B" w:rsidRDefault="00D26F3B" w:rsidP="00D26F3B">
      <w:pPr>
        <w:pStyle w:val="ListParagraph"/>
        <w:spacing w:line="276" w:lineRule="auto"/>
        <w:rPr>
          <w:rFonts w:ascii="Roboto" w:hAnsi="Roboto"/>
        </w:rPr>
      </w:pPr>
    </w:p>
    <w:p w14:paraId="63F014DB" w14:textId="36A5A435" w:rsidR="00D26F3B" w:rsidRPr="006F3826" w:rsidRDefault="00317D35"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4465022" behindDoc="0" locked="0" layoutInCell="1" allowOverlap="1" wp14:anchorId="24D40EB2" wp14:editId="78242F16">
                <wp:simplePos x="0" y="0"/>
                <wp:positionH relativeFrom="column">
                  <wp:posOffset>0</wp:posOffset>
                </wp:positionH>
                <wp:positionV relativeFrom="paragraph">
                  <wp:posOffset>155225</wp:posOffset>
                </wp:positionV>
                <wp:extent cx="1440071" cy="1192530"/>
                <wp:effectExtent l="0" t="0" r="0" b="1270"/>
                <wp:wrapNone/>
                <wp:docPr id="2496" name="Round Diagonal Corner Rectangle 2496"/>
                <wp:cNvGraphicFramePr/>
                <a:graphic xmlns:a="http://schemas.openxmlformats.org/drawingml/2006/main">
                  <a:graphicData uri="http://schemas.microsoft.com/office/word/2010/wordprocessingShape">
                    <wps:wsp>
                      <wps:cNvSpPr/>
                      <wps:spPr>
                        <a:xfrm>
                          <a:off x="0" y="0"/>
                          <a:ext cx="1440071" cy="1192530"/>
                        </a:xfrm>
                        <a:prstGeom prst="round2Diag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37B096C9" id="Round Diagonal Corner Rectangle 2496" o:spid="_x0000_s1026" style="position:absolute;margin-left:0;margin-top:12.2pt;width:113.4pt;height:93.9pt;z-index:254465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0071,119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" path="m198759,l1440071,r,l1440071,993771v,109772,-88987,198759,-198759,198759l,1192530r,l,198759c,88987,88987,,198759,xe" fillcolor="#82caa0" stroked="f" strokeweight="1pt">
                <v:stroke joinstyle="miter"/>
                <v:path arrowok="t" o:connecttype="custom" o:connectlocs="198759,0;1440071,0;1440071,0;1440071,993771;1241312,1192530;0,1192530;0,1192530;0,198759;198759,0" o:connectangles="0,0,0,0,0,0,0,0,0"/>
              </v:shape>
            </w:pict>
          </mc:Fallback>
        </mc:AlternateContent>
      </w:r>
      <w:r w:rsidR="007341AA" w:rsidRPr="009E7A65">
        <w:rPr>
          <w:rFonts w:ascii="Roboto" w:hAnsi="Roboto"/>
          <w:noProof/>
          <w:lang w:val="en-US"/>
        </w:rPr>
        <mc:AlternateContent>
          <mc:Choice Requires="wps">
            <w:drawing>
              <wp:anchor distT="0" distB="0" distL="114300" distR="114300" simplePos="0" relativeHeight="254462974" behindDoc="0" locked="0" layoutInCell="1" allowOverlap="1" wp14:anchorId="3A952A57" wp14:editId="1AC55ED2">
                <wp:simplePos x="0" y="0"/>
                <wp:positionH relativeFrom="column">
                  <wp:posOffset>1587500</wp:posOffset>
                </wp:positionH>
                <wp:positionV relativeFrom="paragraph">
                  <wp:posOffset>167146</wp:posOffset>
                </wp:positionV>
                <wp:extent cx="5057211" cy="1192530"/>
                <wp:effectExtent l="12700" t="12700" r="10160" b="13970"/>
                <wp:wrapNone/>
                <wp:docPr id="2498" name="Rounded Rectangle 2498"/>
                <wp:cNvGraphicFramePr/>
                <a:graphic xmlns:a="http://schemas.openxmlformats.org/drawingml/2006/main">
                  <a:graphicData uri="http://schemas.microsoft.com/office/word/2010/wordprocessingShape">
                    <wps:wsp>
                      <wps:cNvSpPr/>
                      <wps:spPr>
                        <a:xfrm>
                          <a:off x="0" y="0"/>
                          <a:ext cx="5057211" cy="1192530"/>
                        </a:xfrm>
                        <a:prstGeom prst="roundRect">
                          <a:avLst>
                            <a:gd name="adj" fmla="val 10277"/>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D6E2369" id="Rounded Rectangle 2498" o:spid="_x0000_s1026" style="position:absolute;margin-left:125pt;margin-top:13.15pt;width:398.2pt;height:93.9pt;z-index:254462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" filled="f" strokecolor="#f36e27" strokeweight="1.5pt">
                <v:stroke joinstyle="miter"/>
              </v:roundrect>
            </w:pict>
          </mc:Fallback>
        </mc:AlternateContent>
      </w:r>
      <w:r w:rsidR="000C0409" w:rsidRPr="009E7A65">
        <w:rPr>
          <w:rFonts w:ascii="Roboto" w:hAnsi="Roboto"/>
          <w:noProof/>
          <w:lang w:val="en-US"/>
        </w:rPr>
        <mc:AlternateContent>
          <mc:Choice Requires="wps">
            <w:drawing>
              <wp:anchor distT="0" distB="0" distL="114300" distR="114300" simplePos="0" relativeHeight="254463998" behindDoc="0" locked="0" layoutInCell="1" allowOverlap="1" wp14:anchorId="3D3B4051" wp14:editId="1D40DF5D">
                <wp:simplePos x="0" y="0"/>
                <wp:positionH relativeFrom="column">
                  <wp:posOffset>1658620</wp:posOffset>
                </wp:positionH>
                <wp:positionV relativeFrom="paragraph">
                  <wp:posOffset>236220</wp:posOffset>
                </wp:positionV>
                <wp:extent cx="4923155" cy="1116330"/>
                <wp:effectExtent l="0" t="0" r="0" b="0"/>
                <wp:wrapNone/>
                <wp:docPr id="2497" name="Text Box 2497"/>
                <wp:cNvGraphicFramePr/>
                <a:graphic xmlns:a="http://schemas.openxmlformats.org/drawingml/2006/main">
                  <a:graphicData uri="http://schemas.microsoft.com/office/word/2010/wordprocessingShape">
                    <wps:wsp>
                      <wps:cNvSpPr txBox="1"/>
                      <wps:spPr>
                        <a:xfrm>
                          <a:off x="0" y="0"/>
                          <a:ext cx="4923155" cy="1116330"/>
                        </a:xfrm>
                        <a:prstGeom prst="rect">
                          <a:avLst/>
                        </a:prstGeom>
                        <a:noFill/>
                        <a:ln w="6350">
                          <a:noFill/>
                        </a:ln>
                      </wps:spPr>
                      <wps:txbx>
                        <w:txbxContent>
                          <w:p w14:paraId="2664738A" w14:textId="2A2A72F4" w:rsidR="00D15FD8" w:rsidRPr="003625BA" w:rsidRDefault="00D15FD8" w:rsidP="00D26F3B">
                            <w:pPr>
                              <w:spacing w:line="276" w:lineRule="auto"/>
                              <w:jc w:val="both"/>
                              <w:rPr>
                                <w:rFonts w:ascii="Roboto" w:hAnsi="Roboto"/>
                                <w:color w:val="3B3838" w:themeColor="background2" w:themeShade="40"/>
                                <w:sz w:val="20"/>
                                <w:szCs w:val="20"/>
                                <w:u w:val="single"/>
                              </w:rPr>
                            </w:pPr>
                            <w:r w:rsidRPr="002D6883">
                              <w:rPr>
                                <w:rFonts w:ascii="Roboto" w:hAnsi="Roboto"/>
                                <w:color w:val="3B3838" w:themeColor="background2" w:themeShade="40"/>
                                <w:sz w:val="20"/>
                                <w:szCs w:val="20"/>
                              </w:rPr>
                              <w:t>Considering users’ interests and needs has become increasingly important to publishing teams aiming to generate products that are useful and widely utilized by the audience to which they are addressed. Government’s interaction with users (the demand), when it exists, can vary from being with selected groups related to ﬁscal issues, or being with potential users that are not specialists on the subject.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B4051" id="Text Box 2497" o:spid="_x0000_s1637" type="#_x0000_t202" style="position:absolute;margin-left:130.6pt;margin-top:18.6pt;width:387.65pt;height:87.9pt;z-index:254463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" filled="f" stroked="f" strokeweight=".5pt">
                <v:textbox>
                  <w:txbxContent>
                    <w:p w14:paraId="2664738A" w14:textId="2A2A72F4" w:rsidR="00D15FD8" w:rsidRPr="003625BA" w:rsidRDefault="00D15FD8" w:rsidP="00D26F3B">
                      <w:pPr>
                        <w:spacing w:line="276" w:lineRule="auto"/>
                        <w:jc w:val="both"/>
                        <w:rPr>
                          <w:rFonts w:ascii="Roboto" w:hAnsi="Roboto"/>
                          <w:color w:val="3B3838" w:themeColor="background2" w:themeShade="40"/>
                          <w:sz w:val="20"/>
                          <w:szCs w:val="20"/>
                          <w:u w:val="single"/>
                        </w:rPr>
                      </w:pPr>
                      <w:r w:rsidRPr="002D6883">
                        <w:rPr>
                          <w:rFonts w:ascii="Roboto" w:hAnsi="Roboto"/>
                          <w:color w:val="3B3838" w:themeColor="background2" w:themeShade="40"/>
                          <w:sz w:val="20"/>
                          <w:szCs w:val="20"/>
                        </w:rPr>
                        <w:t>Considering users’ interests and needs has become increasingly important to publishing teams aiming to generate products that are useful and widely utilized by the audience to which they are addressed. Government’s interaction with users (the demand), when it exists, can vary from being with selected groups related to ﬁscal issues, or being with potential users that are not specialists on the subject.</w:t>
                      </w:r>
                    </w:p>
                  </w:txbxContent>
                </v:textbox>
              </v:shape>
            </w:pict>
          </mc:Fallback>
        </mc:AlternateContent>
      </w:r>
    </w:p>
    <w:p w14:paraId="0C5CF505" w14:textId="604687BE" w:rsidR="00D26F3B" w:rsidRDefault="00D26F3B" w:rsidP="00D26F3B">
      <w:pPr>
        <w:rPr>
          <w:rFonts w:ascii="Roboto" w:hAnsi="Roboto"/>
        </w:rPr>
      </w:pPr>
    </w:p>
    <w:p w14:paraId="65308406" w14:textId="1BB23C9E" w:rsidR="00D26F3B" w:rsidRDefault="00F26166"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4466046" behindDoc="0" locked="0" layoutInCell="1" allowOverlap="1" wp14:anchorId="41150F8D" wp14:editId="2D9B5807">
                <wp:simplePos x="0" y="0"/>
                <wp:positionH relativeFrom="column">
                  <wp:posOffset>43370</wp:posOffset>
                </wp:positionH>
                <wp:positionV relativeFrom="paragraph">
                  <wp:posOffset>97790</wp:posOffset>
                </wp:positionV>
                <wp:extent cx="1105535" cy="722630"/>
                <wp:effectExtent l="0" t="0" r="0" b="1270"/>
                <wp:wrapNone/>
                <wp:docPr id="2499" name="Text Box 2499"/>
                <wp:cNvGraphicFramePr/>
                <a:graphic xmlns:a="http://schemas.openxmlformats.org/drawingml/2006/main">
                  <a:graphicData uri="http://schemas.microsoft.com/office/word/2010/wordprocessingShape">
                    <wps:wsp>
                      <wps:cNvSpPr txBox="1"/>
                      <wps:spPr>
                        <a:xfrm>
                          <a:off x="0" y="0"/>
                          <a:ext cx="1105535" cy="722630"/>
                        </a:xfrm>
                        <a:prstGeom prst="rect">
                          <a:avLst/>
                        </a:prstGeom>
                        <a:noFill/>
                        <a:ln w="6350">
                          <a:noFill/>
                        </a:ln>
                      </wps:spPr>
                      <wps:txbx>
                        <w:txbxContent>
                          <w:p w14:paraId="0697CD07" w14:textId="641FFCE4" w:rsidR="00D15FD8" w:rsidRPr="002E337C" w:rsidRDefault="00D15FD8" w:rsidP="00D26F3B">
                            <w:pPr>
                              <w:spacing w:line="276" w:lineRule="auto"/>
                              <w:rPr>
                                <w:rFonts w:ascii="Roboto" w:hAnsi="Roboto"/>
                                <w:color w:val="FFFFFF" w:themeColor="background1"/>
                                <w:u w:val="single"/>
                              </w:rPr>
                            </w:pPr>
                            <w:r>
                              <w:rPr>
                                <w:rFonts w:ascii="Roboto" w:hAnsi="Roboto"/>
                                <w:b/>
                                <w:color w:val="FFFFFF" w:themeColor="background1"/>
                              </w:rPr>
                              <w:t xml:space="preserve">2. </w:t>
                            </w:r>
                            <w:r w:rsidRPr="009E7A65">
                              <w:rPr>
                                <w:rFonts w:ascii="Roboto" w:hAnsi="Roboto"/>
                                <w:b/>
                                <w:color w:val="FFFFFF" w:themeColor="background1"/>
                              </w:rPr>
                              <w:t>Interaction with the demand: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50F8D" id="Text Box 2499" o:spid="_x0000_s1638" type="#_x0000_t202" style="position:absolute;margin-left:3.4pt;margin-top:7.7pt;width:87.05pt;height:56.9pt;z-index:254466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" filled="f" stroked="f" strokeweight=".5pt">
                <v:textbox>
                  <w:txbxContent>
                    <w:p w14:paraId="0697CD07" w14:textId="641FFCE4" w:rsidR="00D15FD8" w:rsidRPr="002E337C" w:rsidRDefault="00D15FD8" w:rsidP="00D26F3B">
                      <w:pPr>
                        <w:spacing w:line="276" w:lineRule="auto"/>
                        <w:rPr>
                          <w:rFonts w:ascii="Roboto" w:hAnsi="Roboto"/>
                          <w:color w:val="FFFFFF" w:themeColor="background1"/>
                          <w:u w:val="single"/>
                        </w:rPr>
                      </w:pPr>
                      <w:r>
                        <w:rPr>
                          <w:rFonts w:ascii="Roboto" w:hAnsi="Roboto"/>
                          <w:b/>
                          <w:color w:val="FFFFFF" w:themeColor="background1"/>
                        </w:rPr>
                        <w:t xml:space="preserve">2. </w:t>
                      </w:r>
                      <w:r w:rsidRPr="009E7A65">
                        <w:rPr>
                          <w:rFonts w:ascii="Roboto" w:hAnsi="Roboto"/>
                          <w:b/>
                          <w:color w:val="FFFFFF" w:themeColor="background1"/>
                        </w:rPr>
                        <w:t>Interaction with the demand:</w:t>
                      </w:r>
                    </w:p>
                  </w:txbxContent>
                </v:textbox>
              </v:shape>
            </w:pict>
          </mc:Fallback>
        </mc:AlternateContent>
      </w:r>
    </w:p>
    <w:p w14:paraId="1145D7C3" w14:textId="0D09B9C6" w:rsidR="00D26F3B" w:rsidRDefault="00D26F3B" w:rsidP="00D26F3B">
      <w:pPr>
        <w:rPr>
          <w:rFonts w:ascii="Roboto" w:hAnsi="Roboto"/>
        </w:rPr>
      </w:pPr>
    </w:p>
    <w:p w14:paraId="3F7317CD" w14:textId="37F21461" w:rsidR="00D26F3B" w:rsidRDefault="00D26F3B" w:rsidP="00D26F3B">
      <w:pPr>
        <w:spacing w:line="276" w:lineRule="auto"/>
        <w:rPr>
          <w:rFonts w:ascii="Roboto" w:hAnsi="Roboto"/>
        </w:rPr>
      </w:pPr>
      <w:r w:rsidRPr="00FC1483">
        <w:rPr>
          <w:rFonts w:ascii="Roboto" w:hAnsi="Roboto"/>
          <w:noProof/>
          <w:lang w:val="en-US"/>
        </w:rPr>
        <mc:AlternateContent>
          <mc:Choice Requires="wps">
            <w:drawing>
              <wp:anchor distT="0" distB="0" distL="114300" distR="114300" simplePos="0" relativeHeight="254458878" behindDoc="0" locked="0" layoutInCell="1" allowOverlap="1" wp14:anchorId="155069EB" wp14:editId="6D1C1970">
                <wp:simplePos x="0" y="0"/>
                <wp:positionH relativeFrom="column">
                  <wp:posOffset>34925</wp:posOffset>
                </wp:positionH>
                <wp:positionV relativeFrom="paragraph">
                  <wp:posOffset>1879762</wp:posOffset>
                </wp:positionV>
                <wp:extent cx="563245" cy="287020"/>
                <wp:effectExtent l="0" t="0" r="0" b="0"/>
                <wp:wrapNone/>
                <wp:docPr id="2504" name="Text Box 2504"/>
                <wp:cNvGraphicFramePr/>
                <a:graphic xmlns:a="http://schemas.openxmlformats.org/drawingml/2006/main">
                  <a:graphicData uri="http://schemas.microsoft.com/office/word/2010/wordprocessingShape">
                    <wps:wsp>
                      <wps:cNvSpPr txBox="1"/>
                      <wps:spPr>
                        <a:xfrm>
                          <a:off x="0" y="0"/>
                          <a:ext cx="563245" cy="287020"/>
                        </a:xfrm>
                        <a:prstGeom prst="rect">
                          <a:avLst/>
                        </a:prstGeom>
                        <a:noFill/>
                        <a:ln w="6350">
                          <a:noFill/>
                        </a:ln>
                      </wps:spPr>
                      <wps:txbx>
                        <w:txbxContent>
                          <w:p w14:paraId="07B57C31" w14:textId="77777777" w:rsidR="00D15FD8" w:rsidRPr="00FC1483" w:rsidRDefault="00D15FD8" w:rsidP="00D26F3B">
                            <w:pPr>
                              <w:rPr>
                                <w:rFonts w:ascii="Roboto" w:hAnsi="Roboto"/>
                                <w:b/>
                                <w:color w:val="FFFFFF" w:themeColor="background1"/>
                              </w:rPr>
                            </w:pPr>
                            <w:r>
                              <w:rPr>
                                <w:rFonts w:ascii="Roboto" w:hAnsi="Roboto"/>
                                <w:b/>
                                <w:color w:val="FFFFFF" w:themeColor="background1"/>
                              </w:rPr>
                              <w:t>3</w:t>
                            </w:r>
                            <w:r w:rsidRPr="00FC1483">
                              <w:rPr>
                                <w:rFonts w:ascii="Roboto" w:hAnsi="Roboto"/>
                                <w:b/>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5069EB" id="Text Box 2504" o:spid="_x0000_s1639" type="#_x0000_t202" style="position:absolute;margin-left:2.75pt;margin-top:148pt;width:44.35pt;height:22.6pt;z-index:2544588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" filled="f" stroked="f" strokeweight=".5pt">
                <v:textbox>
                  <w:txbxContent>
                    <w:p w14:paraId="07B57C31" w14:textId="77777777" w:rsidR="00D15FD8" w:rsidRPr="00FC1483" w:rsidRDefault="00D15FD8" w:rsidP="00D26F3B">
                      <w:pPr>
                        <w:rPr>
                          <w:rFonts w:ascii="Roboto" w:hAnsi="Roboto"/>
                          <w:b/>
                          <w:color w:val="FFFFFF" w:themeColor="background1"/>
                        </w:rPr>
                      </w:pPr>
                      <w:r>
                        <w:rPr>
                          <w:rFonts w:ascii="Roboto" w:hAnsi="Roboto"/>
                          <w:b/>
                          <w:color w:val="FFFFFF" w:themeColor="background1"/>
                        </w:rPr>
                        <w:t>3</w:t>
                      </w:r>
                      <w:r w:rsidRPr="00FC1483">
                        <w:rPr>
                          <w:rFonts w:ascii="Roboto" w:hAnsi="Roboto"/>
                          <w:b/>
                          <w:color w:val="FFFFFF" w:themeColor="background1"/>
                        </w:rPr>
                        <w:t>.</w:t>
                      </w:r>
                    </w:p>
                  </w:txbxContent>
                </v:textbox>
              </v:shape>
            </w:pict>
          </mc:Fallback>
        </mc:AlternateContent>
      </w:r>
    </w:p>
    <w:p w14:paraId="3D64E3A5" w14:textId="214BDC17" w:rsidR="00D26F3B" w:rsidRPr="009E7A65" w:rsidRDefault="00D26F3B" w:rsidP="00D26F3B">
      <w:pPr>
        <w:rPr>
          <w:rFonts w:ascii="Roboto" w:hAnsi="Roboto"/>
        </w:rPr>
      </w:pPr>
    </w:p>
    <w:p w14:paraId="627E186A" w14:textId="75FD997C" w:rsidR="00D26F3B" w:rsidRPr="009E7A65" w:rsidRDefault="00D26F3B" w:rsidP="00D26F3B">
      <w:pPr>
        <w:rPr>
          <w:rFonts w:ascii="Roboto" w:hAnsi="Roboto"/>
        </w:rPr>
      </w:pPr>
    </w:p>
    <w:p w14:paraId="5628B669" w14:textId="64AB5394" w:rsidR="00D26F3B" w:rsidRPr="009E7A65" w:rsidRDefault="00D26F3B" w:rsidP="00E82C3B">
      <w:pPr>
        <w:tabs>
          <w:tab w:val="left" w:pos="3080"/>
        </w:tabs>
        <w:rPr>
          <w:rFonts w:ascii="Roboto" w:hAnsi="Roboto"/>
        </w:rPr>
      </w:pPr>
    </w:p>
    <w:p w14:paraId="1E4E0918" w14:textId="22E82CDE" w:rsidR="002D6883" w:rsidRDefault="0011088C"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4469118" behindDoc="0" locked="0" layoutInCell="1" allowOverlap="1" wp14:anchorId="328A02AF" wp14:editId="535A4D6D">
                <wp:simplePos x="0" y="0"/>
                <wp:positionH relativeFrom="column">
                  <wp:posOffset>0</wp:posOffset>
                </wp:positionH>
                <wp:positionV relativeFrom="paragraph">
                  <wp:posOffset>145393</wp:posOffset>
                </wp:positionV>
                <wp:extent cx="1406416" cy="1560195"/>
                <wp:effectExtent l="0" t="0" r="3810" b="1905"/>
                <wp:wrapNone/>
                <wp:docPr id="2502" name="Round Diagonal Corner Rectangle 2502"/>
                <wp:cNvGraphicFramePr/>
                <a:graphic xmlns:a="http://schemas.openxmlformats.org/drawingml/2006/main">
                  <a:graphicData uri="http://schemas.microsoft.com/office/word/2010/wordprocessingShape">
                    <wps:wsp>
                      <wps:cNvSpPr/>
                      <wps:spPr>
                        <a:xfrm>
                          <a:off x="0" y="0"/>
                          <a:ext cx="1406416" cy="1560195"/>
                        </a:xfrm>
                        <a:prstGeom prst="round2Diag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46B6A848" id="Round Diagonal Corner Rectangle 2502" o:spid="_x0000_s1026" style="position:absolute;margin-left:0;margin-top:11.45pt;width:110.75pt;height:122.85pt;z-index:254469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6416,156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" path="m234407,l1406416,r,l1406416,1325788v,129459,-104948,234407,-234407,234407l,1560195r,l,234407c,104948,104948,,234407,xe" fillcolor="#82caa0" stroked="f" strokeweight="1pt">
                <v:stroke joinstyle="miter"/>
                <v:path arrowok="t" o:connecttype="custom" o:connectlocs="234407,0;1406416,0;1406416,0;1406416,1325788;1172009,1560195;0,1560195;0,1560195;0,234407;234407,0" o:connectangles="0,0,0,0,0,0,0,0,0"/>
              </v:shape>
            </w:pict>
          </mc:Fallback>
        </mc:AlternateContent>
      </w:r>
      <w:r w:rsidRPr="009E7A65">
        <w:rPr>
          <w:rFonts w:ascii="Roboto" w:hAnsi="Roboto"/>
          <w:noProof/>
          <w:lang w:val="en-US"/>
        </w:rPr>
        <mc:AlternateContent>
          <mc:Choice Requires="wps">
            <w:drawing>
              <wp:anchor distT="0" distB="0" distL="114300" distR="114300" simplePos="0" relativeHeight="254467070" behindDoc="0" locked="0" layoutInCell="1" allowOverlap="1" wp14:anchorId="57AFB435" wp14:editId="5767618D">
                <wp:simplePos x="0" y="0"/>
                <wp:positionH relativeFrom="column">
                  <wp:posOffset>1572895</wp:posOffset>
                </wp:positionH>
                <wp:positionV relativeFrom="paragraph">
                  <wp:posOffset>140829</wp:posOffset>
                </wp:positionV>
                <wp:extent cx="5050155" cy="1547495"/>
                <wp:effectExtent l="12700" t="12700" r="17145" b="14605"/>
                <wp:wrapNone/>
                <wp:docPr id="2500" name="Rounded Rectangle 2500"/>
                <wp:cNvGraphicFramePr/>
                <a:graphic xmlns:a="http://schemas.openxmlformats.org/drawingml/2006/main">
                  <a:graphicData uri="http://schemas.microsoft.com/office/word/2010/wordprocessingShape">
                    <wps:wsp>
                      <wps:cNvSpPr/>
                      <wps:spPr>
                        <a:xfrm>
                          <a:off x="0" y="0"/>
                          <a:ext cx="5050155" cy="1547495"/>
                        </a:xfrm>
                        <a:prstGeom prst="roundRect">
                          <a:avLst>
                            <a:gd name="adj" fmla="val 7094"/>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0464A95" id="Rounded Rectangle 2500" o:spid="_x0000_s1026" style="position:absolute;margin-left:123.85pt;margin-top:11.1pt;width:397.65pt;height:121.85pt;z-index:254467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" filled="f" strokecolor="#f36e27" strokeweight="1.5pt">
                <v:stroke joinstyle="miter"/>
              </v:roundrect>
            </w:pict>
          </mc:Fallback>
        </mc:AlternateContent>
      </w:r>
    </w:p>
    <w:p w14:paraId="72EAB122" w14:textId="2FEAEC7B" w:rsidR="00D26F3B" w:rsidRPr="009E7A65" w:rsidRDefault="000C0409"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4468094" behindDoc="0" locked="0" layoutInCell="1" allowOverlap="1" wp14:anchorId="08A84D21" wp14:editId="3A624271">
                <wp:simplePos x="0" y="0"/>
                <wp:positionH relativeFrom="column">
                  <wp:posOffset>1667510</wp:posOffset>
                </wp:positionH>
                <wp:positionV relativeFrom="paragraph">
                  <wp:posOffset>119239</wp:posOffset>
                </wp:positionV>
                <wp:extent cx="4902200" cy="1303020"/>
                <wp:effectExtent l="0" t="0" r="0" b="0"/>
                <wp:wrapNone/>
                <wp:docPr id="2505" name="Text Box 2505"/>
                <wp:cNvGraphicFramePr/>
                <a:graphic xmlns:a="http://schemas.openxmlformats.org/drawingml/2006/main">
                  <a:graphicData uri="http://schemas.microsoft.com/office/word/2010/wordprocessingShape">
                    <wps:wsp>
                      <wps:cNvSpPr txBox="1"/>
                      <wps:spPr>
                        <a:xfrm>
                          <a:off x="0" y="0"/>
                          <a:ext cx="4902200" cy="1303020"/>
                        </a:xfrm>
                        <a:prstGeom prst="rect">
                          <a:avLst/>
                        </a:prstGeom>
                        <a:noFill/>
                        <a:ln w="6350">
                          <a:noFill/>
                        </a:ln>
                      </wps:spPr>
                      <wps:txbx>
                        <w:txbxContent>
                          <w:p w14:paraId="7AEEBABC" w14:textId="076493D6" w:rsidR="00D15FD8" w:rsidRPr="00B215C1" w:rsidRDefault="00D15FD8" w:rsidP="00D26F3B">
                            <w:pPr>
                              <w:spacing w:line="276" w:lineRule="auto"/>
                              <w:jc w:val="both"/>
                              <w:rPr>
                                <w:rFonts w:ascii="Roboto" w:hAnsi="Roboto"/>
                                <w:color w:val="3B3838" w:themeColor="background2" w:themeShade="40"/>
                                <w:sz w:val="20"/>
                                <w:szCs w:val="20"/>
                                <w:u w:val="single"/>
                              </w:rPr>
                            </w:pPr>
                            <w:r w:rsidRPr="00B215C1">
                              <w:rPr>
                                <w:rFonts w:ascii="Roboto" w:hAnsi="Roboto"/>
                                <w:color w:val="3B3838" w:themeColor="background2" w:themeShade="40"/>
                                <w:sz w:val="20"/>
                                <w:szCs w:val="20"/>
                              </w:rPr>
                              <w:t>The digitalization of ﬁscal transparency allows users to access and download ﬁles related to different phases of the budget cycle. These ﬁles, available online and/or in downloadable form, can vary in degree of openness from those being in non-structured and proprietary formats to those that have open and interoperable data. Additionally, having online publishing portals allows for the possibility of offering interactive visualizations that make interactions more dynamic and attractive for users.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84D21" id="Text Box 2505" o:spid="_x0000_s1640" type="#_x0000_t202" style="position:absolute;margin-left:131.3pt;margin-top:9.4pt;width:386pt;height:102.6pt;z-index:254468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" filled="f" stroked="f" strokeweight=".5pt">
                <v:textbox>
                  <w:txbxContent>
                    <w:p w14:paraId="7AEEBABC" w14:textId="076493D6" w:rsidR="00D15FD8" w:rsidRPr="00B215C1" w:rsidRDefault="00D15FD8" w:rsidP="00D26F3B">
                      <w:pPr>
                        <w:spacing w:line="276" w:lineRule="auto"/>
                        <w:jc w:val="both"/>
                        <w:rPr>
                          <w:rFonts w:ascii="Roboto" w:hAnsi="Roboto"/>
                          <w:color w:val="3B3838" w:themeColor="background2" w:themeShade="40"/>
                          <w:sz w:val="20"/>
                          <w:szCs w:val="20"/>
                          <w:u w:val="single"/>
                        </w:rPr>
                      </w:pPr>
                      <w:r w:rsidRPr="00B215C1">
                        <w:rPr>
                          <w:rFonts w:ascii="Roboto" w:hAnsi="Roboto"/>
                          <w:color w:val="3B3838" w:themeColor="background2" w:themeShade="40"/>
                          <w:sz w:val="20"/>
                          <w:szCs w:val="20"/>
                        </w:rPr>
                        <w:t>The digitalization of ﬁscal transparency allows users to access and download ﬁles related to different phases of the budget cycle. These ﬁles, available online and/or in downloadable form, can vary in degree of openness from those being in non-structured and proprietary formats to those that have open and interoperable data. Additionally, having online publishing portals allows for the possibility of offering interactive visualizations that make interactions more dynamic and attractive for users.</w:t>
                      </w:r>
                    </w:p>
                  </w:txbxContent>
                </v:textbox>
              </v:shape>
            </w:pict>
          </mc:Fallback>
        </mc:AlternateContent>
      </w:r>
    </w:p>
    <w:p w14:paraId="309A6122" w14:textId="0F2FDC8F" w:rsidR="00D26F3B" w:rsidRPr="009E7A65" w:rsidRDefault="00D26F3B" w:rsidP="00D26F3B">
      <w:pPr>
        <w:rPr>
          <w:rFonts w:ascii="Roboto" w:hAnsi="Roboto"/>
        </w:rPr>
      </w:pPr>
    </w:p>
    <w:p w14:paraId="2D8D31E4" w14:textId="218D25EE" w:rsidR="00D26F3B" w:rsidRPr="009E7A65" w:rsidRDefault="00D26F3B" w:rsidP="00D26F3B">
      <w:pPr>
        <w:rPr>
          <w:rFonts w:ascii="Roboto" w:hAnsi="Roboto"/>
        </w:rPr>
      </w:pPr>
    </w:p>
    <w:p w14:paraId="1CBFB7D2" w14:textId="3EF4E7E3" w:rsidR="00D26F3B" w:rsidRPr="009E7A65" w:rsidRDefault="00B6560A"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4470142" behindDoc="0" locked="0" layoutInCell="1" allowOverlap="1" wp14:anchorId="67E5975E" wp14:editId="73F45F6C">
                <wp:simplePos x="0" y="0"/>
                <wp:positionH relativeFrom="column">
                  <wp:posOffset>24320</wp:posOffset>
                </wp:positionH>
                <wp:positionV relativeFrom="paragraph">
                  <wp:posOffset>77470</wp:posOffset>
                </wp:positionV>
                <wp:extent cx="1158875" cy="552450"/>
                <wp:effectExtent l="0" t="0" r="0" b="0"/>
                <wp:wrapNone/>
                <wp:docPr id="2501" name="Text Box 2501"/>
                <wp:cNvGraphicFramePr/>
                <a:graphic xmlns:a="http://schemas.openxmlformats.org/drawingml/2006/main">
                  <a:graphicData uri="http://schemas.microsoft.com/office/word/2010/wordprocessingShape">
                    <wps:wsp>
                      <wps:cNvSpPr txBox="1"/>
                      <wps:spPr>
                        <a:xfrm>
                          <a:off x="0" y="0"/>
                          <a:ext cx="1158875" cy="552450"/>
                        </a:xfrm>
                        <a:prstGeom prst="rect">
                          <a:avLst/>
                        </a:prstGeom>
                        <a:noFill/>
                        <a:ln w="6350">
                          <a:noFill/>
                        </a:ln>
                      </wps:spPr>
                      <wps:txbx>
                        <w:txbxContent>
                          <w:p w14:paraId="2BA80B67" w14:textId="77777777" w:rsidR="00D15FD8" w:rsidRPr="002E337C" w:rsidRDefault="00D15FD8" w:rsidP="00D26F3B">
                            <w:pPr>
                              <w:spacing w:line="276" w:lineRule="auto"/>
                              <w:rPr>
                                <w:rFonts w:ascii="Roboto" w:hAnsi="Roboto"/>
                                <w:color w:val="FFFFFF" w:themeColor="background1"/>
                                <w:u w:val="single"/>
                              </w:rPr>
                            </w:pPr>
                            <w:r>
                              <w:rPr>
                                <w:rFonts w:ascii="Roboto" w:hAnsi="Roboto"/>
                                <w:b/>
                                <w:color w:val="FFFFFF" w:themeColor="background1"/>
                              </w:rPr>
                              <w:t xml:space="preserve">3. </w:t>
                            </w:r>
                            <w:r w:rsidRPr="009E7A65">
                              <w:rPr>
                                <w:rFonts w:ascii="Roboto" w:hAnsi="Roboto"/>
                                <w:b/>
                                <w:color w:val="FFFFFF" w:themeColor="background1"/>
                              </w:rPr>
                              <w:t>Publication formats: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5975E" id="Text Box 2501" o:spid="_x0000_s1641" type="#_x0000_t202" style="position:absolute;margin-left:1.9pt;margin-top:6.1pt;width:91.25pt;height:43.5pt;z-index:254470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" filled="f" stroked="f" strokeweight=".5pt">
                <v:textbox>
                  <w:txbxContent>
                    <w:p w14:paraId="2BA80B67" w14:textId="77777777" w:rsidR="00D15FD8" w:rsidRPr="002E337C" w:rsidRDefault="00D15FD8" w:rsidP="00D26F3B">
                      <w:pPr>
                        <w:spacing w:line="276" w:lineRule="auto"/>
                        <w:rPr>
                          <w:rFonts w:ascii="Roboto" w:hAnsi="Roboto"/>
                          <w:color w:val="FFFFFF" w:themeColor="background1"/>
                          <w:u w:val="single"/>
                        </w:rPr>
                      </w:pPr>
                      <w:r>
                        <w:rPr>
                          <w:rFonts w:ascii="Roboto" w:hAnsi="Roboto"/>
                          <w:b/>
                          <w:color w:val="FFFFFF" w:themeColor="background1"/>
                        </w:rPr>
                        <w:t xml:space="preserve">3. </w:t>
                      </w:r>
                      <w:r w:rsidRPr="009E7A65">
                        <w:rPr>
                          <w:rFonts w:ascii="Roboto" w:hAnsi="Roboto"/>
                          <w:b/>
                          <w:color w:val="FFFFFF" w:themeColor="background1"/>
                        </w:rPr>
                        <w:t>Publication formats:</w:t>
                      </w:r>
                    </w:p>
                  </w:txbxContent>
                </v:textbox>
              </v:shape>
            </w:pict>
          </mc:Fallback>
        </mc:AlternateContent>
      </w:r>
    </w:p>
    <w:p w14:paraId="01FBAB6A" w14:textId="7C52D56A" w:rsidR="00D26F3B" w:rsidRPr="009E7A65" w:rsidRDefault="00D26F3B" w:rsidP="00D26F3B">
      <w:pPr>
        <w:rPr>
          <w:rFonts w:ascii="Roboto" w:hAnsi="Roboto"/>
        </w:rPr>
      </w:pPr>
    </w:p>
    <w:p w14:paraId="2EEBB6DC" w14:textId="5619E212" w:rsidR="00D26F3B" w:rsidRPr="009E7A65" w:rsidRDefault="00D26F3B" w:rsidP="00D26F3B">
      <w:pPr>
        <w:rPr>
          <w:rFonts w:ascii="Roboto" w:hAnsi="Roboto"/>
        </w:rPr>
      </w:pPr>
    </w:p>
    <w:p w14:paraId="23D2D5FD" w14:textId="265BEB4B" w:rsidR="00D26F3B" w:rsidRPr="009E7A65" w:rsidRDefault="00D26F3B" w:rsidP="00D26F3B">
      <w:pPr>
        <w:rPr>
          <w:rFonts w:ascii="Roboto" w:hAnsi="Roboto"/>
        </w:rPr>
      </w:pPr>
    </w:p>
    <w:p w14:paraId="6A682100" w14:textId="5556721F" w:rsidR="00D26F3B" w:rsidRPr="009E7A65" w:rsidRDefault="00D26F3B" w:rsidP="00D26F3B">
      <w:pPr>
        <w:rPr>
          <w:rFonts w:ascii="Roboto" w:hAnsi="Roboto"/>
        </w:rPr>
      </w:pPr>
    </w:p>
    <w:p w14:paraId="37C6F1E4" w14:textId="12965227" w:rsidR="00D26F3B" w:rsidRPr="009E7A65" w:rsidRDefault="00D26F3B" w:rsidP="00D26F3B">
      <w:pPr>
        <w:rPr>
          <w:rFonts w:ascii="Roboto" w:hAnsi="Roboto"/>
        </w:rPr>
      </w:pPr>
    </w:p>
    <w:p w14:paraId="2AA7F860" w14:textId="6B956BA7" w:rsidR="00E82C3B" w:rsidRDefault="00B6560A" w:rsidP="00E82C3B">
      <w:pPr>
        <w:tabs>
          <w:tab w:val="left" w:pos="2040"/>
        </w:tabs>
        <w:rPr>
          <w:rFonts w:ascii="Roboto" w:hAnsi="Roboto"/>
        </w:rPr>
      </w:pPr>
      <w:r w:rsidRPr="009E7A65">
        <w:rPr>
          <w:rFonts w:ascii="Roboto" w:hAnsi="Roboto"/>
          <w:noProof/>
          <w:lang w:val="en-US"/>
        </w:rPr>
        <mc:AlternateContent>
          <mc:Choice Requires="wps">
            <w:drawing>
              <wp:anchor distT="0" distB="0" distL="114300" distR="114300" simplePos="0" relativeHeight="254473214" behindDoc="0" locked="0" layoutInCell="1" allowOverlap="1" wp14:anchorId="174A8770" wp14:editId="3F9950F1">
                <wp:simplePos x="0" y="0"/>
                <wp:positionH relativeFrom="column">
                  <wp:posOffset>-15240</wp:posOffset>
                </wp:positionH>
                <wp:positionV relativeFrom="paragraph">
                  <wp:posOffset>175786</wp:posOffset>
                </wp:positionV>
                <wp:extent cx="1424305" cy="889000"/>
                <wp:effectExtent l="0" t="0" r="0" b="0"/>
                <wp:wrapNone/>
                <wp:docPr id="2508" name="Round Diagonal Corner Rectangle 2508"/>
                <wp:cNvGraphicFramePr/>
                <a:graphic xmlns:a="http://schemas.openxmlformats.org/drawingml/2006/main">
                  <a:graphicData uri="http://schemas.microsoft.com/office/word/2010/wordprocessingShape">
                    <wps:wsp>
                      <wps:cNvSpPr/>
                      <wps:spPr>
                        <a:xfrm>
                          <a:off x="0" y="0"/>
                          <a:ext cx="1424305" cy="889000"/>
                        </a:xfrm>
                        <a:prstGeom prst="round2Diag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shape w14:anchorId="74691A81" id="Round Diagonal Corner Rectangle 2508" o:spid="_x0000_s1026" style="position:absolute;margin-left:-1.2pt;margin-top:13.85pt;width:112.15pt;height:70pt;z-index:2544732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24305,88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" path="m148170,l1424305,r,l1424305,740830v,81832,-66338,148170,-148170,148170l,889000r,l,148170c,66338,66338,,148170,xe" fillcolor="#82caa0" stroked="f" strokeweight="1pt">
                <v:stroke joinstyle="miter"/>
                <v:path arrowok="t" o:connecttype="custom" o:connectlocs="148170,0;1424305,0;1424305,0;1424305,740830;1276135,889000;0,889000;0,889000;0,148170;148170,0" o:connectangles="0,0,0,0,0,0,0,0,0"/>
              </v:shape>
            </w:pict>
          </mc:Fallback>
        </mc:AlternateContent>
      </w:r>
      <w:r w:rsidR="0011088C" w:rsidRPr="009E7A65">
        <w:rPr>
          <w:rFonts w:ascii="Roboto" w:hAnsi="Roboto"/>
          <w:noProof/>
          <w:lang w:val="en-US"/>
        </w:rPr>
        <mc:AlternateContent>
          <mc:Choice Requires="wps">
            <w:drawing>
              <wp:anchor distT="0" distB="0" distL="114300" distR="114300" simplePos="0" relativeHeight="255414270" behindDoc="0" locked="0" layoutInCell="1" allowOverlap="1" wp14:anchorId="4E6D9276" wp14:editId="57941F43">
                <wp:simplePos x="0" y="0"/>
                <wp:positionH relativeFrom="column">
                  <wp:posOffset>1587500</wp:posOffset>
                </wp:positionH>
                <wp:positionV relativeFrom="paragraph">
                  <wp:posOffset>167005</wp:posOffset>
                </wp:positionV>
                <wp:extent cx="5037455" cy="889000"/>
                <wp:effectExtent l="12700" t="12700" r="17145" b="12700"/>
                <wp:wrapNone/>
                <wp:docPr id="316" name="Rounded Rectangle 316"/>
                <wp:cNvGraphicFramePr/>
                <a:graphic xmlns:a="http://schemas.openxmlformats.org/drawingml/2006/main">
                  <a:graphicData uri="http://schemas.microsoft.com/office/word/2010/wordprocessingShape">
                    <wps:wsp>
                      <wps:cNvSpPr/>
                      <wps:spPr>
                        <a:xfrm>
                          <a:off x="0" y="0"/>
                          <a:ext cx="5037455" cy="889000"/>
                        </a:xfrm>
                        <a:prstGeom prst="roundRect">
                          <a:avLst>
                            <a:gd name="adj" fmla="val 8631"/>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541FC35" id="Rounded Rectangle 316" o:spid="_x0000_s1026" style="position:absolute;margin-left:125pt;margin-top:13.15pt;width:396.65pt;height:70pt;z-index:255414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" filled="f" strokecolor="#f36e27" strokeweight="1.5pt">
                <v:stroke joinstyle="miter"/>
              </v:roundrect>
            </w:pict>
          </mc:Fallback>
        </mc:AlternateContent>
      </w:r>
    </w:p>
    <w:p w14:paraId="6C444936" w14:textId="29673BE7" w:rsidR="00D26F3B" w:rsidRPr="009E7A65" w:rsidRDefault="00F26166"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5417342" behindDoc="0" locked="0" layoutInCell="1" allowOverlap="1" wp14:anchorId="6677A77C" wp14:editId="6D4D39E9">
                <wp:simplePos x="0" y="0"/>
                <wp:positionH relativeFrom="column">
                  <wp:posOffset>23305</wp:posOffset>
                </wp:positionH>
                <wp:positionV relativeFrom="paragraph">
                  <wp:posOffset>137160</wp:posOffset>
                </wp:positionV>
                <wp:extent cx="1306830" cy="774700"/>
                <wp:effectExtent l="0" t="0" r="0" b="6350"/>
                <wp:wrapNone/>
                <wp:docPr id="341" name="Text Box 341"/>
                <wp:cNvGraphicFramePr/>
                <a:graphic xmlns:a="http://schemas.openxmlformats.org/drawingml/2006/main">
                  <a:graphicData uri="http://schemas.microsoft.com/office/word/2010/wordprocessingShape">
                    <wps:wsp>
                      <wps:cNvSpPr txBox="1"/>
                      <wps:spPr>
                        <a:xfrm>
                          <a:off x="0" y="0"/>
                          <a:ext cx="1306830" cy="774700"/>
                        </a:xfrm>
                        <a:prstGeom prst="rect">
                          <a:avLst/>
                        </a:prstGeom>
                        <a:noFill/>
                        <a:ln w="6350">
                          <a:noFill/>
                        </a:ln>
                      </wps:spPr>
                      <wps:txbx>
                        <w:txbxContent>
                          <w:p w14:paraId="5AFD1B5A" w14:textId="77777777" w:rsidR="00D15FD8" w:rsidRPr="002E337C" w:rsidRDefault="00D15FD8" w:rsidP="008A4C87">
                            <w:pPr>
                              <w:spacing w:line="276" w:lineRule="auto"/>
                              <w:rPr>
                                <w:rFonts w:ascii="Roboto" w:hAnsi="Roboto"/>
                                <w:color w:val="FFFFFF" w:themeColor="background1"/>
                                <w:u w:val="single"/>
                              </w:rPr>
                            </w:pPr>
                            <w:r>
                              <w:rPr>
                                <w:rFonts w:ascii="Roboto" w:hAnsi="Roboto"/>
                                <w:b/>
                                <w:color w:val="FFFFFF" w:themeColor="background1"/>
                              </w:rPr>
                              <w:t xml:space="preserve">4. </w:t>
                            </w:r>
                            <w:r w:rsidRPr="009E7A65">
                              <w:rPr>
                                <w:rFonts w:ascii="Roboto" w:hAnsi="Roboto"/>
                                <w:b/>
                                <w:color w:val="FFFFFF" w:themeColor="background1"/>
                              </w:rPr>
                              <w:t xml:space="preserve">Mechanisms and </w:t>
                            </w:r>
                            <w:r>
                              <w:rPr>
                                <w:rFonts w:ascii="Roboto" w:hAnsi="Roboto"/>
                                <w:b/>
                                <w:color w:val="FFFFFF" w:themeColor="background1"/>
                              </w:rPr>
                              <w:t>U</w:t>
                            </w:r>
                            <w:r w:rsidRPr="009E7A65">
                              <w:rPr>
                                <w:rFonts w:ascii="Roboto" w:hAnsi="Roboto"/>
                                <w:b/>
                                <w:color w:val="FFFFFF" w:themeColor="background1"/>
                              </w:rPr>
                              <w:t xml:space="preserve">pdate </w:t>
                            </w:r>
                            <w:r>
                              <w:rPr>
                                <w:rFonts w:ascii="Roboto" w:hAnsi="Roboto"/>
                                <w:b/>
                                <w:color w:val="FFFFFF" w:themeColor="background1"/>
                              </w:rPr>
                              <w:t>F</w:t>
                            </w:r>
                            <w:r w:rsidRPr="009E7A65">
                              <w:rPr>
                                <w:rFonts w:ascii="Roboto" w:hAnsi="Roboto"/>
                                <w:b/>
                                <w:color w:val="FFFFFF" w:themeColor="background1"/>
                              </w:rPr>
                              <w:t>requency: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A77C" id="Text Box 341" o:spid="_x0000_s1642" type="#_x0000_t202" style="position:absolute;margin-left:1.85pt;margin-top:10.8pt;width:102.9pt;height:61pt;z-index:255417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" filled="f" stroked="f" strokeweight=".5pt">
                <v:textbox>
                  <w:txbxContent>
                    <w:p w14:paraId="5AFD1B5A" w14:textId="77777777" w:rsidR="00D15FD8" w:rsidRPr="002E337C" w:rsidRDefault="00D15FD8" w:rsidP="008A4C87">
                      <w:pPr>
                        <w:spacing w:line="276" w:lineRule="auto"/>
                        <w:rPr>
                          <w:rFonts w:ascii="Roboto" w:hAnsi="Roboto"/>
                          <w:color w:val="FFFFFF" w:themeColor="background1"/>
                          <w:u w:val="single"/>
                        </w:rPr>
                      </w:pPr>
                      <w:r>
                        <w:rPr>
                          <w:rFonts w:ascii="Roboto" w:hAnsi="Roboto"/>
                          <w:b/>
                          <w:color w:val="FFFFFF" w:themeColor="background1"/>
                        </w:rPr>
                        <w:t xml:space="preserve">4. </w:t>
                      </w:r>
                      <w:r w:rsidRPr="009E7A65">
                        <w:rPr>
                          <w:rFonts w:ascii="Roboto" w:hAnsi="Roboto"/>
                          <w:b/>
                          <w:color w:val="FFFFFF" w:themeColor="background1"/>
                        </w:rPr>
                        <w:t xml:space="preserve">Mechanisms and </w:t>
                      </w:r>
                      <w:r>
                        <w:rPr>
                          <w:rFonts w:ascii="Roboto" w:hAnsi="Roboto"/>
                          <w:b/>
                          <w:color w:val="FFFFFF" w:themeColor="background1"/>
                        </w:rPr>
                        <w:t>U</w:t>
                      </w:r>
                      <w:r w:rsidRPr="009E7A65">
                        <w:rPr>
                          <w:rFonts w:ascii="Roboto" w:hAnsi="Roboto"/>
                          <w:b/>
                          <w:color w:val="FFFFFF" w:themeColor="background1"/>
                        </w:rPr>
                        <w:t xml:space="preserve">pdate </w:t>
                      </w:r>
                      <w:r>
                        <w:rPr>
                          <w:rFonts w:ascii="Roboto" w:hAnsi="Roboto"/>
                          <w:b/>
                          <w:color w:val="FFFFFF" w:themeColor="background1"/>
                        </w:rPr>
                        <w:t>F</w:t>
                      </w:r>
                      <w:r w:rsidRPr="009E7A65">
                        <w:rPr>
                          <w:rFonts w:ascii="Roboto" w:hAnsi="Roboto"/>
                          <w:b/>
                          <w:color w:val="FFFFFF" w:themeColor="background1"/>
                        </w:rPr>
                        <w:t>requency:</w:t>
                      </w:r>
                    </w:p>
                  </w:txbxContent>
                </v:textbox>
              </v:shape>
            </w:pict>
          </mc:Fallback>
        </mc:AlternateContent>
      </w:r>
    </w:p>
    <w:p w14:paraId="12B97F00" w14:textId="5B1F6E19" w:rsidR="00D26F3B" w:rsidRPr="009E7A65" w:rsidRDefault="000C0409"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5585278" behindDoc="0" locked="0" layoutInCell="1" allowOverlap="1" wp14:anchorId="5EE9F636" wp14:editId="1932125E">
                <wp:simplePos x="0" y="0"/>
                <wp:positionH relativeFrom="column">
                  <wp:posOffset>1667510</wp:posOffset>
                </wp:positionH>
                <wp:positionV relativeFrom="paragraph">
                  <wp:posOffset>63641</wp:posOffset>
                </wp:positionV>
                <wp:extent cx="4902200" cy="440267"/>
                <wp:effectExtent l="0" t="0" r="0" b="0"/>
                <wp:wrapNone/>
                <wp:docPr id="2509" name="Text Box 2509"/>
                <wp:cNvGraphicFramePr/>
                <a:graphic xmlns:a="http://schemas.openxmlformats.org/drawingml/2006/main">
                  <a:graphicData uri="http://schemas.microsoft.com/office/word/2010/wordprocessingShape">
                    <wps:wsp>
                      <wps:cNvSpPr txBox="1"/>
                      <wps:spPr>
                        <a:xfrm>
                          <a:off x="0" y="0"/>
                          <a:ext cx="4902200" cy="440267"/>
                        </a:xfrm>
                        <a:prstGeom prst="rect">
                          <a:avLst/>
                        </a:prstGeom>
                        <a:noFill/>
                        <a:ln w="6350">
                          <a:noFill/>
                        </a:ln>
                      </wps:spPr>
                      <wps:txbx>
                        <w:txbxContent>
                          <w:p w14:paraId="6B4FF7E8" w14:textId="38883A75" w:rsidR="00D15FD8" w:rsidRPr="00B215C1" w:rsidRDefault="00D15FD8" w:rsidP="00D26F3B">
                            <w:pPr>
                              <w:spacing w:line="276" w:lineRule="auto"/>
                              <w:jc w:val="both"/>
                              <w:rPr>
                                <w:rFonts w:ascii="Roboto" w:hAnsi="Roboto"/>
                                <w:color w:val="3B3838" w:themeColor="background2" w:themeShade="40"/>
                                <w:sz w:val="20"/>
                                <w:szCs w:val="20"/>
                                <w:u w:val="single"/>
                              </w:rPr>
                            </w:pPr>
                            <w:r w:rsidRPr="00B215C1">
                              <w:rPr>
                                <w:rFonts w:ascii="Roboto" w:hAnsi="Roboto"/>
                                <w:color w:val="3B3838" w:themeColor="background2" w:themeShade="40"/>
                                <w:sz w:val="20"/>
                                <w:szCs w:val="20"/>
                              </w:rPr>
                              <w:t xml:space="preserve">The possibility of creating a timely publication depends largely on the degree to which site updates, based on internally generated and stored data, are automated.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9F636" id="Text Box 2509" o:spid="_x0000_s1643" type="#_x0000_t202" style="position:absolute;margin-left:131.3pt;margin-top:5pt;width:386pt;height:34.65pt;z-index:255585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" filled="f" stroked="f" strokeweight=".5pt">
                <v:textbox>
                  <w:txbxContent>
                    <w:p w14:paraId="6B4FF7E8" w14:textId="38883A75" w:rsidR="00D15FD8" w:rsidRPr="00B215C1" w:rsidRDefault="00D15FD8" w:rsidP="00D26F3B">
                      <w:pPr>
                        <w:spacing w:line="276" w:lineRule="auto"/>
                        <w:jc w:val="both"/>
                        <w:rPr>
                          <w:rFonts w:ascii="Roboto" w:hAnsi="Roboto"/>
                          <w:color w:val="3B3838" w:themeColor="background2" w:themeShade="40"/>
                          <w:sz w:val="20"/>
                          <w:szCs w:val="20"/>
                          <w:u w:val="single"/>
                        </w:rPr>
                      </w:pPr>
                      <w:r w:rsidRPr="00B215C1">
                        <w:rPr>
                          <w:rFonts w:ascii="Roboto" w:hAnsi="Roboto"/>
                          <w:color w:val="3B3838" w:themeColor="background2" w:themeShade="40"/>
                          <w:sz w:val="20"/>
                          <w:szCs w:val="20"/>
                        </w:rPr>
                        <w:t xml:space="preserve">The possibility of creating a timely publication depends largely on the degree to which site updates, based on internally generated and stored data, are automated. </w:t>
                      </w:r>
                    </w:p>
                  </w:txbxContent>
                </v:textbox>
              </v:shape>
            </w:pict>
          </mc:Fallback>
        </mc:AlternateContent>
      </w:r>
    </w:p>
    <w:p w14:paraId="7149E981" w14:textId="51F72030" w:rsidR="00D26F3B" w:rsidRPr="009E7A65" w:rsidRDefault="00D26F3B" w:rsidP="00D26F3B">
      <w:pPr>
        <w:rPr>
          <w:rFonts w:ascii="Roboto" w:hAnsi="Roboto"/>
        </w:rPr>
      </w:pPr>
    </w:p>
    <w:p w14:paraId="3B8FF725" w14:textId="3A500138" w:rsidR="00D26F3B" w:rsidRPr="009E7A65" w:rsidRDefault="00D26F3B" w:rsidP="00D26F3B">
      <w:pPr>
        <w:rPr>
          <w:rFonts w:ascii="Roboto" w:hAnsi="Roboto"/>
        </w:rPr>
      </w:pPr>
    </w:p>
    <w:p w14:paraId="1D0914E5" w14:textId="3430CF86" w:rsidR="00D26F3B" w:rsidRPr="009E7A65" w:rsidRDefault="00D26F3B" w:rsidP="00D26F3B">
      <w:pPr>
        <w:rPr>
          <w:rFonts w:ascii="Roboto" w:hAnsi="Roboto"/>
        </w:rPr>
      </w:pPr>
    </w:p>
    <w:p w14:paraId="2EE22834" w14:textId="344A8F38" w:rsidR="003413B3" w:rsidRDefault="003413B3" w:rsidP="00E82C3B">
      <w:pPr>
        <w:rPr>
          <w:rFonts w:ascii="Roboto" w:hAnsi="Roboto"/>
        </w:rPr>
      </w:pPr>
    </w:p>
    <w:p w14:paraId="7E44CCDA" w14:textId="06710823" w:rsidR="00D26F3B" w:rsidRDefault="00B6560A"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4477310" behindDoc="0" locked="0" layoutInCell="1" allowOverlap="1" wp14:anchorId="6313BD11" wp14:editId="008B5B0C">
                <wp:simplePos x="0" y="0"/>
                <wp:positionH relativeFrom="column">
                  <wp:posOffset>-15240</wp:posOffset>
                </wp:positionH>
                <wp:positionV relativeFrom="paragraph">
                  <wp:posOffset>66784</wp:posOffset>
                </wp:positionV>
                <wp:extent cx="1424305" cy="1044000"/>
                <wp:effectExtent l="0" t="0" r="0" b="0"/>
                <wp:wrapNone/>
                <wp:docPr id="2511" name="Round Diagonal Corner Rectangle 2511"/>
                <wp:cNvGraphicFramePr/>
                <a:graphic xmlns:a="http://schemas.openxmlformats.org/drawingml/2006/main">
                  <a:graphicData uri="http://schemas.microsoft.com/office/word/2010/wordprocessingShape">
                    <wps:wsp>
                      <wps:cNvSpPr/>
                      <wps:spPr>
                        <a:xfrm>
                          <a:off x="0" y="0"/>
                          <a:ext cx="1424305" cy="1044000"/>
                        </a:xfrm>
                        <a:prstGeom prst="round2Diag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shape w14:anchorId="71BB7EFA" id="Round Diagonal Corner Rectangle 2511" o:spid="_x0000_s1026" style="position:absolute;margin-left:-1.2pt;margin-top:5.25pt;width:112.15pt;height:82.2pt;z-index:2544773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24305,10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" path="m174003,l1424305,r,l1424305,869997v,96099,-77904,174003,-174003,174003l,1044000r,l,174003c,77904,77904,,174003,xe" fillcolor="#82caa0" stroked="f" strokeweight="1pt">
                <v:stroke joinstyle="miter"/>
                <v:path arrowok="t" o:connecttype="custom" o:connectlocs="174003,0;1424305,0;1424305,0;1424305,869997;1250302,1044000;0,1044000;0,1044000;0,174003;174003,0" o:connectangles="0,0,0,0,0,0,0,0,0"/>
              </v:shape>
            </w:pict>
          </mc:Fallback>
        </mc:AlternateContent>
      </w:r>
      <w:r w:rsidR="0011088C" w:rsidRPr="009E7A65">
        <w:rPr>
          <w:rFonts w:ascii="Roboto" w:hAnsi="Roboto"/>
          <w:noProof/>
          <w:lang w:val="en-US"/>
        </w:rPr>
        <mc:AlternateContent>
          <mc:Choice Requires="wps">
            <w:drawing>
              <wp:anchor distT="0" distB="0" distL="114300" distR="114300" simplePos="0" relativeHeight="254475262" behindDoc="0" locked="0" layoutInCell="1" allowOverlap="1" wp14:anchorId="1DD6C452" wp14:editId="5D8E9B28">
                <wp:simplePos x="0" y="0"/>
                <wp:positionH relativeFrom="column">
                  <wp:posOffset>1587500</wp:posOffset>
                </wp:positionH>
                <wp:positionV relativeFrom="paragraph">
                  <wp:posOffset>23495</wp:posOffset>
                </wp:positionV>
                <wp:extent cx="5059327" cy="1116965"/>
                <wp:effectExtent l="12700" t="12700" r="8255" b="13335"/>
                <wp:wrapNone/>
                <wp:docPr id="2512" name="Rounded Rectangle 2512"/>
                <wp:cNvGraphicFramePr/>
                <a:graphic xmlns:a="http://schemas.openxmlformats.org/drawingml/2006/main">
                  <a:graphicData uri="http://schemas.microsoft.com/office/word/2010/wordprocessingShape">
                    <wps:wsp>
                      <wps:cNvSpPr/>
                      <wps:spPr>
                        <a:xfrm>
                          <a:off x="0" y="0"/>
                          <a:ext cx="5059327" cy="1116965"/>
                        </a:xfrm>
                        <a:prstGeom prst="roundRect">
                          <a:avLst>
                            <a:gd name="adj" fmla="val 7626"/>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54E3580" id="Rounded Rectangle 2512" o:spid="_x0000_s1026" style="position:absolute;margin-left:125pt;margin-top:1.85pt;width:398.35pt;height:87.95pt;z-index:254475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" filled="f" strokecolor="#f36e27" strokeweight="1.5pt">
                <v:stroke joinstyle="miter"/>
              </v:roundrect>
            </w:pict>
          </mc:Fallback>
        </mc:AlternateContent>
      </w:r>
    </w:p>
    <w:p w14:paraId="3073CA19" w14:textId="3951CDE7" w:rsidR="00D26F3B" w:rsidRDefault="00FF3237"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5420414" behindDoc="0" locked="0" layoutInCell="1" allowOverlap="1" wp14:anchorId="4F6A8487" wp14:editId="4C0448FF">
                <wp:simplePos x="0" y="0"/>
                <wp:positionH relativeFrom="column">
                  <wp:posOffset>1657350</wp:posOffset>
                </wp:positionH>
                <wp:positionV relativeFrom="paragraph">
                  <wp:posOffset>81280</wp:posOffset>
                </wp:positionV>
                <wp:extent cx="4902200" cy="771525"/>
                <wp:effectExtent l="0" t="0" r="0" b="0"/>
                <wp:wrapNone/>
                <wp:docPr id="345" name="Text Box 345"/>
                <wp:cNvGraphicFramePr/>
                <a:graphic xmlns:a="http://schemas.openxmlformats.org/drawingml/2006/main">
                  <a:graphicData uri="http://schemas.microsoft.com/office/word/2010/wordprocessingShape">
                    <wps:wsp>
                      <wps:cNvSpPr txBox="1"/>
                      <wps:spPr>
                        <a:xfrm>
                          <a:off x="0" y="0"/>
                          <a:ext cx="4902200" cy="771525"/>
                        </a:xfrm>
                        <a:prstGeom prst="rect">
                          <a:avLst/>
                        </a:prstGeom>
                        <a:noFill/>
                        <a:ln w="6350">
                          <a:noFill/>
                        </a:ln>
                      </wps:spPr>
                      <wps:txbx>
                        <w:txbxContent>
                          <w:p w14:paraId="255CC064" w14:textId="77777777" w:rsidR="00D15FD8" w:rsidRPr="00FF3237" w:rsidRDefault="00D15FD8" w:rsidP="008A4C87">
                            <w:pPr>
                              <w:spacing w:line="276" w:lineRule="auto"/>
                              <w:jc w:val="both"/>
                              <w:rPr>
                                <w:rFonts w:ascii="Roboto" w:hAnsi="Roboto"/>
                                <w:color w:val="3B3838" w:themeColor="background2" w:themeShade="40"/>
                                <w:sz w:val="20"/>
                                <w:szCs w:val="20"/>
                                <w:u w:val="single"/>
                              </w:rPr>
                            </w:pPr>
                            <w:r w:rsidRPr="00FF3237">
                              <w:rPr>
                                <w:rFonts w:ascii="Roboto" w:hAnsi="Roboto"/>
                                <w:color w:val="3B3838" w:themeColor="background2" w:themeShade="40"/>
                                <w:sz w:val="20"/>
                                <w:szCs w:val="20"/>
                              </w:rPr>
                              <w:t>The visual development of the interface with which users interact, beyond aesthetic considerations, is key for achieving a positive experience between a portal and its users, taking into account their goals, capabilities and preferences.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A8487" id="Text Box 345" o:spid="_x0000_s1644" type="#_x0000_t202" style="position:absolute;margin-left:130.5pt;margin-top:6.4pt;width:386pt;height:60.75pt;z-index:255420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" filled="f" stroked="f" strokeweight=".5pt">
                <v:textbox>
                  <w:txbxContent>
                    <w:p w14:paraId="255CC064" w14:textId="77777777" w:rsidR="00D15FD8" w:rsidRPr="00FF3237" w:rsidRDefault="00D15FD8" w:rsidP="008A4C87">
                      <w:pPr>
                        <w:spacing w:line="276" w:lineRule="auto"/>
                        <w:jc w:val="both"/>
                        <w:rPr>
                          <w:rFonts w:ascii="Roboto" w:hAnsi="Roboto"/>
                          <w:color w:val="3B3838" w:themeColor="background2" w:themeShade="40"/>
                          <w:sz w:val="20"/>
                          <w:szCs w:val="20"/>
                          <w:u w:val="single"/>
                        </w:rPr>
                      </w:pPr>
                      <w:r w:rsidRPr="00FF3237">
                        <w:rPr>
                          <w:rFonts w:ascii="Roboto" w:hAnsi="Roboto"/>
                          <w:color w:val="3B3838" w:themeColor="background2" w:themeShade="40"/>
                          <w:sz w:val="20"/>
                          <w:szCs w:val="20"/>
                        </w:rPr>
                        <w:t>The visual development of the interface with which users interact, beyond aesthetic considerations, is key for achieving a positive experience between a portal and its users, taking into account their goals, capabilities and preferences.</w:t>
                      </w:r>
                    </w:p>
                  </w:txbxContent>
                </v:textbox>
              </v:shape>
            </w:pict>
          </mc:Fallback>
        </mc:AlternateContent>
      </w:r>
    </w:p>
    <w:p w14:paraId="651CE125" w14:textId="76917205" w:rsidR="00D26F3B" w:rsidRDefault="00F26166"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5422462" behindDoc="0" locked="0" layoutInCell="1" allowOverlap="1" wp14:anchorId="0EB2A628" wp14:editId="7E8A4EC6">
                <wp:simplePos x="0" y="0"/>
                <wp:positionH relativeFrom="column">
                  <wp:posOffset>12700</wp:posOffset>
                </wp:positionH>
                <wp:positionV relativeFrom="paragraph">
                  <wp:posOffset>119906</wp:posOffset>
                </wp:positionV>
                <wp:extent cx="946150" cy="307975"/>
                <wp:effectExtent l="0" t="0" r="0" b="0"/>
                <wp:wrapNone/>
                <wp:docPr id="2510" name="Text Box 2510"/>
                <wp:cNvGraphicFramePr/>
                <a:graphic xmlns:a="http://schemas.openxmlformats.org/drawingml/2006/main">
                  <a:graphicData uri="http://schemas.microsoft.com/office/word/2010/wordprocessingShape">
                    <wps:wsp>
                      <wps:cNvSpPr txBox="1"/>
                      <wps:spPr>
                        <a:xfrm>
                          <a:off x="0" y="0"/>
                          <a:ext cx="946150" cy="307975"/>
                        </a:xfrm>
                        <a:prstGeom prst="rect">
                          <a:avLst/>
                        </a:prstGeom>
                        <a:noFill/>
                        <a:ln w="6350">
                          <a:noFill/>
                        </a:ln>
                      </wps:spPr>
                      <wps:txbx>
                        <w:txbxContent>
                          <w:p w14:paraId="21A70DEA" w14:textId="77777777" w:rsidR="00D15FD8" w:rsidRPr="002E337C" w:rsidRDefault="00D15FD8" w:rsidP="008A4C87">
                            <w:pPr>
                              <w:spacing w:line="276" w:lineRule="auto"/>
                              <w:rPr>
                                <w:rFonts w:ascii="Roboto" w:hAnsi="Roboto"/>
                                <w:color w:val="FFFFFF" w:themeColor="background1"/>
                                <w:u w:val="single"/>
                              </w:rPr>
                            </w:pPr>
                            <w:r>
                              <w:rPr>
                                <w:rFonts w:ascii="Roboto" w:hAnsi="Roboto"/>
                                <w:b/>
                                <w:color w:val="FFFFFF" w:themeColor="background1"/>
                              </w:rPr>
                              <w:t xml:space="preserve">5. </w:t>
                            </w:r>
                            <w:r w:rsidRPr="009E7A65">
                              <w:rPr>
                                <w:rFonts w:ascii="Roboto" w:hAnsi="Roboto"/>
                                <w:b/>
                                <w:color w:val="FFFFFF" w:themeColor="background1"/>
                              </w:rPr>
                              <w:t>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2A628" id="Text Box 2510" o:spid="_x0000_s1645" type="#_x0000_t202" style="position:absolute;margin-left:1pt;margin-top:9.45pt;width:74.5pt;height:24.25pt;z-index:255422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" filled="f" stroked="f" strokeweight=".5pt">
                <v:textbox>
                  <w:txbxContent>
                    <w:p w14:paraId="21A70DEA" w14:textId="77777777" w:rsidR="00D15FD8" w:rsidRPr="002E337C" w:rsidRDefault="00D15FD8" w:rsidP="008A4C87">
                      <w:pPr>
                        <w:spacing w:line="276" w:lineRule="auto"/>
                        <w:rPr>
                          <w:rFonts w:ascii="Roboto" w:hAnsi="Roboto"/>
                          <w:color w:val="FFFFFF" w:themeColor="background1"/>
                          <w:u w:val="single"/>
                        </w:rPr>
                      </w:pPr>
                      <w:r>
                        <w:rPr>
                          <w:rFonts w:ascii="Roboto" w:hAnsi="Roboto"/>
                          <w:b/>
                          <w:color w:val="FFFFFF" w:themeColor="background1"/>
                        </w:rPr>
                        <w:t xml:space="preserve">5. </w:t>
                      </w:r>
                      <w:r w:rsidRPr="009E7A65">
                        <w:rPr>
                          <w:rFonts w:ascii="Roboto" w:hAnsi="Roboto"/>
                          <w:b/>
                          <w:color w:val="FFFFFF" w:themeColor="background1"/>
                        </w:rPr>
                        <w:t>Design:</w:t>
                      </w:r>
                    </w:p>
                  </w:txbxContent>
                </v:textbox>
              </v:shape>
            </w:pict>
          </mc:Fallback>
        </mc:AlternateContent>
      </w:r>
    </w:p>
    <w:p w14:paraId="1FF62DE6" w14:textId="08DF38C4" w:rsidR="00D26F3B" w:rsidRDefault="00D26F3B" w:rsidP="00D26F3B">
      <w:pPr>
        <w:rPr>
          <w:rFonts w:ascii="Roboto" w:hAnsi="Roboto"/>
        </w:rPr>
      </w:pPr>
    </w:p>
    <w:p w14:paraId="424B81C8" w14:textId="3ECCEA79" w:rsidR="00D26F3B" w:rsidRDefault="00D26F3B" w:rsidP="00D26F3B">
      <w:pPr>
        <w:rPr>
          <w:rFonts w:ascii="Roboto" w:hAnsi="Roboto"/>
        </w:rPr>
      </w:pPr>
    </w:p>
    <w:p w14:paraId="65BEBC75" w14:textId="6EBC4386" w:rsidR="00D26F3B" w:rsidRPr="004D07F4" w:rsidRDefault="00D26F3B" w:rsidP="00D26F3B">
      <w:pPr>
        <w:rPr>
          <w:rFonts w:ascii="Roboto" w:hAnsi="Roboto"/>
        </w:rPr>
      </w:pPr>
    </w:p>
    <w:p w14:paraId="7073A9AC" w14:textId="3B2CC581" w:rsidR="00D26F3B" w:rsidRPr="004D07F4" w:rsidRDefault="00D26F3B" w:rsidP="00D26F3B">
      <w:pPr>
        <w:rPr>
          <w:rFonts w:ascii="Roboto" w:hAnsi="Roboto"/>
        </w:rPr>
      </w:pPr>
    </w:p>
    <w:p w14:paraId="20411429" w14:textId="2532C409" w:rsidR="00D26F3B" w:rsidRPr="004D07F4" w:rsidRDefault="00B6560A"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5426558" behindDoc="0" locked="0" layoutInCell="1" allowOverlap="1" wp14:anchorId="126B22C1" wp14:editId="36296DA3">
                <wp:simplePos x="0" y="0"/>
                <wp:positionH relativeFrom="column">
                  <wp:posOffset>-16510</wp:posOffset>
                </wp:positionH>
                <wp:positionV relativeFrom="paragraph">
                  <wp:posOffset>132715</wp:posOffset>
                </wp:positionV>
                <wp:extent cx="1421765" cy="1602740"/>
                <wp:effectExtent l="0" t="0" r="635" b="0"/>
                <wp:wrapNone/>
                <wp:docPr id="358" name="Round Diagonal Corner Rectangle 358"/>
                <wp:cNvGraphicFramePr/>
                <a:graphic xmlns:a="http://schemas.openxmlformats.org/drawingml/2006/main">
                  <a:graphicData uri="http://schemas.microsoft.com/office/word/2010/wordprocessingShape">
                    <wps:wsp>
                      <wps:cNvSpPr/>
                      <wps:spPr>
                        <a:xfrm>
                          <a:off x="0" y="0"/>
                          <a:ext cx="1421765" cy="1602740"/>
                        </a:xfrm>
                        <a:prstGeom prst="round2DiagRect">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 w14:anchorId="764F25FA" id="Round Diagonal Corner Rectangle 358" o:spid="_x0000_s1026" style="position:absolute;margin-left:-1.3pt;margin-top:10.45pt;width:111.95pt;height:126.2pt;z-index:255426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1765,1602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" path="m236966,l1421765,r,l1421765,1365774v,130873,-106093,236966,-236966,236966l,1602740r,l,236966c,106093,106093,,236966,xe" fillcolor="#82caa0" stroked="f" strokeweight="1pt">
                <v:stroke joinstyle="miter"/>
                <v:path arrowok="t" o:connecttype="custom" o:connectlocs="236966,0;1421765,0;1421765,0;1421765,1365774;1184799,1602740;0,1602740;0,1602740;0,236966;236966,0" o:connectangles="0,0,0,0,0,0,0,0,0"/>
              </v:shape>
            </w:pict>
          </mc:Fallback>
        </mc:AlternateContent>
      </w:r>
      <w:r w:rsidR="007341AA" w:rsidRPr="009E7A65">
        <w:rPr>
          <w:rFonts w:ascii="Roboto" w:hAnsi="Roboto"/>
          <w:noProof/>
          <w:lang w:val="en-US"/>
        </w:rPr>
        <mc:AlternateContent>
          <mc:Choice Requires="wps">
            <w:drawing>
              <wp:anchor distT="0" distB="0" distL="114300" distR="114300" simplePos="0" relativeHeight="255424510" behindDoc="0" locked="0" layoutInCell="1" allowOverlap="1" wp14:anchorId="118B9B67" wp14:editId="22244B88">
                <wp:simplePos x="0" y="0"/>
                <wp:positionH relativeFrom="column">
                  <wp:posOffset>1587500</wp:posOffset>
                </wp:positionH>
                <wp:positionV relativeFrom="paragraph">
                  <wp:posOffset>107809</wp:posOffset>
                </wp:positionV>
                <wp:extent cx="5059327" cy="1612900"/>
                <wp:effectExtent l="12700" t="12700" r="8255" b="12700"/>
                <wp:wrapNone/>
                <wp:docPr id="356" name="Rounded Rectangle 356"/>
                <wp:cNvGraphicFramePr/>
                <a:graphic xmlns:a="http://schemas.openxmlformats.org/drawingml/2006/main">
                  <a:graphicData uri="http://schemas.microsoft.com/office/word/2010/wordprocessingShape">
                    <wps:wsp>
                      <wps:cNvSpPr/>
                      <wps:spPr>
                        <a:xfrm>
                          <a:off x="0" y="0"/>
                          <a:ext cx="5059327" cy="1612900"/>
                        </a:xfrm>
                        <a:prstGeom prst="roundRect">
                          <a:avLst>
                            <a:gd name="adj" fmla="val 5905"/>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0D1D87D" id="Rounded Rectangle 356" o:spid="_x0000_s1026" style="position:absolute;margin-left:125pt;margin-top:8.5pt;width:398.35pt;height:127pt;z-index:255424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" filled="f" strokecolor="#f36e27" strokeweight="1.5pt">
                <v:stroke joinstyle="miter"/>
              </v:roundrect>
            </w:pict>
          </mc:Fallback>
        </mc:AlternateContent>
      </w:r>
    </w:p>
    <w:p w14:paraId="7BAF394A" w14:textId="56ACBABA" w:rsidR="00D26F3B" w:rsidRPr="004D07F4" w:rsidRDefault="00D26F3B" w:rsidP="00D26F3B">
      <w:pPr>
        <w:rPr>
          <w:rFonts w:ascii="Roboto" w:hAnsi="Roboto"/>
        </w:rPr>
      </w:pPr>
    </w:p>
    <w:p w14:paraId="0C35C844" w14:textId="3B845B25" w:rsidR="00D26F3B" w:rsidRPr="004D07F4" w:rsidRDefault="00FF3237"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5425534" behindDoc="0" locked="0" layoutInCell="1" allowOverlap="1" wp14:anchorId="1ECFAC3F" wp14:editId="70A896FD">
                <wp:simplePos x="0" y="0"/>
                <wp:positionH relativeFrom="column">
                  <wp:posOffset>1657350</wp:posOffset>
                </wp:positionH>
                <wp:positionV relativeFrom="paragraph">
                  <wp:posOffset>16510</wp:posOffset>
                </wp:positionV>
                <wp:extent cx="4970780" cy="1238250"/>
                <wp:effectExtent l="0" t="0" r="0" b="0"/>
                <wp:wrapNone/>
                <wp:docPr id="357" name="Text Box 357"/>
                <wp:cNvGraphicFramePr/>
                <a:graphic xmlns:a="http://schemas.openxmlformats.org/drawingml/2006/main">
                  <a:graphicData uri="http://schemas.microsoft.com/office/word/2010/wordprocessingShape">
                    <wps:wsp>
                      <wps:cNvSpPr txBox="1"/>
                      <wps:spPr>
                        <a:xfrm>
                          <a:off x="0" y="0"/>
                          <a:ext cx="4970780" cy="1238250"/>
                        </a:xfrm>
                        <a:prstGeom prst="rect">
                          <a:avLst/>
                        </a:prstGeom>
                        <a:noFill/>
                        <a:ln w="6350">
                          <a:noFill/>
                        </a:ln>
                      </wps:spPr>
                      <wps:txbx>
                        <w:txbxContent>
                          <w:p w14:paraId="7E89E33A" w14:textId="77777777" w:rsidR="00D15FD8" w:rsidRPr="00FF3237" w:rsidRDefault="00D15FD8" w:rsidP="008A4C87">
                            <w:pPr>
                              <w:spacing w:line="276" w:lineRule="auto"/>
                              <w:jc w:val="both"/>
                              <w:rPr>
                                <w:rFonts w:ascii="Roboto" w:hAnsi="Roboto"/>
                                <w:color w:val="3B3838" w:themeColor="background2" w:themeShade="40"/>
                                <w:sz w:val="20"/>
                                <w:szCs w:val="20"/>
                                <w:u w:val="single"/>
                              </w:rPr>
                            </w:pPr>
                            <w:r w:rsidRPr="00FF3237">
                              <w:rPr>
                                <w:rFonts w:ascii="Roboto" w:hAnsi="Roboto"/>
                                <w:color w:val="3B3838" w:themeColor="background2" w:themeShade="40"/>
                                <w:sz w:val="20"/>
                                <w:szCs w:val="20"/>
                              </w:rPr>
                              <w:t>There are several possible channels for communication between the publishers of a ﬁscal transparency portal and its various audiences, and many different objectives for this communication, such as informing, consulting and engaging, among others. The user’s role is determined through the selection of these different channels and objectives, resulting in either unidirectional communication channels or two-way interaction mechanisms.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FAC3F" id="Text Box 357" o:spid="_x0000_s1646" type="#_x0000_t202" style="position:absolute;margin-left:130.5pt;margin-top:1.3pt;width:391.4pt;height:97.5pt;z-index:255425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" filled="f" stroked="f" strokeweight=".5pt">
                <v:textbox>
                  <w:txbxContent>
                    <w:p w14:paraId="7E89E33A" w14:textId="77777777" w:rsidR="00D15FD8" w:rsidRPr="00FF3237" w:rsidRDefault="00D15FD8" w:rsidP="008A4C87">
                      <w:pPr>
                        <w:spacing w:line="276" w:lineRule="auto"/>
                        <w:jc w:val="both"/>
                        <w:rPr>
                          <w:rFonts w:ascii="Roboto" w:hAnsi="Roboto"/>
                          <w:color w:val="3B3838" w:themeColor="background2" w:themeShade="40"/>
                          <w:sz w:val="20"/>
                          <w:szCs w:val="20"/>
                          <w:u w:val="single"/>
                        </w:rPr>
                      </w:pPr>
                      <w:r w:rsidRPr="00FF3237">
                        <w:rPr>
                          <w:rFonts w:ascii="Roboto" w:hAnsi="Roboto"/>
                          <w:color w:val="3B3838" w:themeColor="background2" w:themeShade="40"/>
                          <w:sz w:val="20"/>
                          <w:szCs w:val="20"/>
                        </w:rPr>
                        <w:t>There are several possible channels for communication between the publishers of a ﬁscal transparency portal and its various audiences, and many different objectives for this communication, such as informing, consulting and engaging, among others. The user’s role is determined through the selection of these different channels and objectives, resulting in either unidirectional communication channels or two-way interaction mechanisms.</w:t>
                      </w:r>
                    </w:p>
                  </w:txbxContent>
                </v:textbox>
              </v:shape>
            </w:pict>
          </mc:Fallback>
        </mc:AlternateContent>
      </w:r>
    </w:p>
    <w:p w14:paraId="0650A043" w14:textId="378B428A" w:rsidR="00D26F3B" w:rsidRPr="004D07F4" w:rsidRDefault="00D26F3B" w:rsidP="00D26F3B">
      <w:pPr>
        <w:rPr>
          <w:rFonts w:ascii="Roboto" w:hAnsi="Roboto"/>
        </w:rPr>
      </w:pPr>
    </w:p>
    <w:p w14:paraId="5E20EFB9" w14:textId="0B345D2B" w:rsidR="00D26F3B" w:rsidRPr="004D07F4" w:rsidRDefault="00B6560A" w:rsidP="00D26F3B">
      <w:pPr>
        <w:rPr>
          <w:rFonts w:ascii="Roboto" w:hAnsi="Roboto"/>
        </w:rPr>
      </w:pPr>
      <w:r w:rsidRPr="009E7A65">
        <w:rPr>
          <w:rFonts w:ascii="Roboto" w:hAnsi="Roboto"/>
          <w:noProof/>
          <w:lang w:val="en-US"/>
        </w:rPr>
        <mc:AlternateContent>
          <mc:Choice Requires="wps">
            <w:drawing>
              <wp:anchor distT="0" distB="0" distL="114300" distR="114300" simplePos="0" relativeHeight="255427582" behindDoc="0" locked="0" layoutInCell="1" allowOverlap="1" wp14:anchorId="136FE364" wp14:editId="305C9C3A">
                <wp:simplePos x="0" y="0"/>
                <wp:positionH relativeFrom="column">
                  <wp:posOffset>15240</wp:posOffset>
                </wp:positionH>
                <wp:positionV relativeFrom="paragraph">
                  <wp:posOffset>45611</wp:posOffset>
                </wp:positionV>
                <wp:extent cx="1359535" cy="495300"/>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1359535" cy="495300"/>
                        </a:xfrm>
                        <a:prstGeom prst="rect">
                          <a:avLst/>
                        </a:prstGeom>
                        <a:noFill/>
                        <a:ln w="6350">
                          <a:noFill/>
                        </a:ln>
                      </wps:spPr>
                      <wps:txbx>
                        <w:txbxContent>
                          <w:p w14:paraId="2FA2A563" w14:textId="77777777" w:rsidR="00D15FD8" w:rsidRPr="002E337C" w:rsidRDefault="00D15FD8" w:rsidP="008A4C87">
                            <w:pPr>
                              <w:spacing w:line="276" w:lineRule="auto"/>
                              <w:rPr>
                                <w:rFonts w:ascii="Roboto" w:hAnsi="Roboto"/>
                                <w:color w:val="FFFFFF" w:themeColor="background1"/>
                                <w:u w:val="single"/>
                              </w:rPr>
                            </w:pPr>
                            <w:r>
                              <w:rPr>
                                <w:rFonts w:ascii="Roboto" w:hAnsi="Roboto"/>
                                <w:b/>
                                <w:color w:val="FFFFFF" w:themeColor="background1"/>
                              </w:rPr>
                              <w:t xml:space="preserve">6. </w:t>
                            </w:r>
                            <w:r w:rsidRPr="009E7A65">
                              <w:rPr>
                                <w:rFonts w:ascii="Roboto" w:hAnsi="Roboto"/>
                                <w:b/>
                                <w:color w:val="FFFFFF" w:themeColor="background1"/>
                              </w:rPr>
                              <w:t>Communication channels: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FE364" id="Text Box 359" o:spid="_x0000_s1647" type="#_x0000_t202" style="position:absolute;margin-left:1.2pt;margin-top:3.6pt;width:107.05pt;height:39pt;z-index:2554275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" filled="f" stroked="f" strokeweight=".5pt">
                <v:textbox>
                  <w:txbxContent>
                    <w:p w14:paraId="2FA2A563" w14:textId="77777777" w:rsidR="00D15FD8" w:rsidRPr="002E337C" w:rsidRDefault="00D15FD8" w:rsidP="008A4C87">
                      <w:pPr>
                        <w:spacing w:line="276" w:lineRule="auto"/>
                        <w:rPr>
                          <w:rFonts w:ascii="Roboto" w:hAnsi="Roboto"/>
                          <w:color w:val="FFFFFF" w:themeColor="background1"/>
                          <w:u w:val="single"/>
                        </w:rPr>
                      </w:pPr>
                      <w:r>
                        <w:rPr>
                          <w:rFonts w:ascii="Roboto" w:hAnsi="Roboto"/>
                          <w:b/>
                          <w:color w:val="FFFFFF" w:themeColor="background1"/>
                        </w:rPr>
                        <w:t xml:space="preserve">6. </w:t>
                      </w:r>
                      <w:r w:rsidRPr="009E7A65">
                        <w:rPr>
                          <w:rFonts w:ascii="Roboto" w:hAnsi="Roboto"/>
                          <w:b/>
                          <w:color w:val="FFFFFF" w:themeColor="background1"/>
                        </w:rPr>
                        <w:t>Communication channels:</w:t>
                      </w:r>
                    </w:p>
                  </w:txbxContent>
                </v:textbox>
              </v:shape>
            </w:pict>
          </mc:Fallback>
        </mc:AlternateContent>
      </w:r>
    </w:p>
    <w:p w14:paraId="30996DB1" w14:textId="3295360A" w:rsidR="00D26F3B" w:rsidRDefault="00D26F3B" w:rsidP="00D26F3B">
      <w:pPr>
        <w:rPr>
          <w:rFonts w:ascii="Roboto" w:hAnsi="Roboto"/>
        </w:rPr>
      </w:pPr>
    </w:p>
    <w:p w14:paraId="2146E5A4" w14:textId="32EDCDAA" w:rsidR="00D26F3B" w:rsidRDefault="00D26F3B" w:rsidP="00D26F3B">
      <w:pPr>
        <w:rPr>
          <w:rFonts w:ascii="Roboto" w:hAnsi="Roboto"/>
        </w:rPr>
      </w:pPr>
    </w:p>
    <w:p w14:paraId="52423295" w14:textId="77777777" w:rsidR="00275D36" w:rsidRDefault="00275D36" w:rsidP="00D26F3B">
      <w:pPr>
        <w:spacing w:line="276" w:lineRule="auto"/>
        <w:jc w:val="both"/>
        <w:rPr>
          <w:rFonts w:ascii="Roboto" w:hAnsi="Roboto"/>
        </w:rPr>
      </w:pPr>
    </w:p>
    <w:p w14:paraId="14113AFB" w14:textId="165555E3" w:rsidR="00E82C3B" w:rsidRDefault="00E82C3B" w:rsidP="00D26F3B">
      <w:pPr>
        <w:spacing w:line="276" w:lineRule="auto"/>
        <w:jc w:val="both"/>
        <w:rPr>
          <w:rFonts w:ascii="Roboto" w:hAnsi="Roboto"/>
        </w:rPr>
      </w:pPr>
    </w:p>
    <w:p w14:paraId="7505B680" w14:textId="77777777" w:rsidR="000C0409" w:rsidRDefault="000C0409" w:rsidP="00D26F3B">
      <w:pPr>
        <w:spacing w:line="276" w:lineRule="auto"/>
        <w:jc w:val="both"/>
        <w:rPr>
          <w:rFonts w:ascii="Roboto" w:hAnsi="Roboto"/>
          <w:sz w:val="20"/>
          <w:szCs w:val="20"/>
        </w:rPr>
      </w:pPr>
    </w:p>
    <w:p w14:paraId="2ECE8FD8" w14:textId="50FFA6C3" w:rsidR="000C0409" w:rsidRDefault="000C0409" w:rsidP="00D26F3B">
      <w:pPr>
        <w:spacing w:line="276" w:lineRule="auto"/>
        <w:jc w:val="both"/>
        <w:rPr>
          <w:rFonts w:ascii="Roboto" w:hAnsi="Roboto"/>
          <w:sz w:val="20"/>
          <w:szCs w:val="20"/>
        </w:rPr>
      </w:pPr>
    </w:p>
    <w:p w14:paraId="0596EA1C" w14:textId="6F1ADC7F" w:rsidR="008708BF" w:rsidRDefault="0040233A" w:rsidP="00D26F3B">
      <w:pPr>
        <w:spacing w:line="276" w:lineRule="auto"/>
        <w:jc w:val="both"/>
        <w:rPr>
          <w:rFonts w:ascii="Roboto" w:hAnsi="Roboto"/>
          <w:sz w:val="20"/>
          <w:szCs w:val="20"/>
        </w:rPr>
      </w:pPr>
      <w:r w:rsidRPr="003625BA">
        <w:rPr>
          <w:rFonts w:ascii="Roboto" w:hAnsi="Roboto" w:cs="Arial"/>
          <w:noProof/>
          <w:color w:val="ED5625"/>
          <w:sz w:val="20"/>
          <w:szCs w:val="20"/>
          <w:lang w:val="en-US"/>
        </w:rPr>
        <w:lastRenderedPageBreak/>
        <mc:AlternateContent>
          <mc:Choice Requires="wps">
            <w:drawing>
              <wp:anchor distT="0" distB="0" distL="114300" distR="114300" simplePos="0" relativeHeight="255587326" behindDoc="1" locked="0" layoutInCell="1" allowOverlap="1" wp14:anchorId="79F48EF9" wp14:editId="6A5F7BDC">
                <wp:simplePos x="0" y="0"/>
                <wp:positionH relativeFrom="margin">
                  <wp:posOffset>-180975</wp:posOffset>
                </wp:positionH>
                <wp:positionV relativeFrom="margin">
                  <wp:posOffset>-132081</wp:posOffset>
                </wp:positionV>
                <wp:extent cx="7010400" cy="3038475"/>
                <wp:effectExtent l="0" t="0" r="19050" b="28575"/>
                <wp:wrapNone/>
                <wp:docPr id="501" name="Rectangle 501"/>
                <wp:cNvGraphicFramePr/>
                <a:graphic xmlns:a="http://schemas.openxmlformats.org/drawingml/2006/main">
                  <a:graphicData uri="http://schemas.microsoft.com/office/word/2010/wordprocessingShape">
                    <wps:wsp>
                      <wps:cNvSpPr/>
                      <wps:spPr>
                        <a:xfrm>
                          <a:off x="0" y="0"/>
                          <a:ext cx="7010400" cy="3038475"/>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4469" w14:textId="77777777" w:rsidR="00D15FD8" w:rsidRDefault="00D15FD8" w:rsidP="0040233A">
                            <w:pPr>
                              <w:shd w:val="clear" w:color="auto" w:fill="F2F2F2" w:themeFill="background1" w:themeFillShade="F2"/>
                            </w:pPr>
                          </w:p>
                          <w:p w14:paraId="3D8D585F" w14:textId="77777777" w:rsidR="00D15FD8" w:rsidRDefault="00D15FD8" w:rsidP="0040233A">
                            <w:pPr>
                              <w:shd w:val="clear" w:color="auto" w:fill="F2F2F2" w:themeFill="background1" w:themeFillShade="F2"/>
                            </w:pPr>
                          </w:p>
                          <w:p w14:paraId="72840176" w14:textId="77777777" w:rsidR="00D15FD8" w:rsidRDefault="00D15FD8" w:rsidP="0040233A">
                            <w:pPr>
                              <w:shd w:val="clear" w:color="auto" w:fill="F2F2F2" w:themeFill="background1" w:themeFillShade="F2"/>
                            </w:pPr>
                          </w:p>
                          <w:p w14:paraId="4D38FA9C" w14:textId="77777777" w:rsidR="00D15FD8" w:rsidRDefault="00D15FD8" w:rsidP="0040233A">
                            <w:pPr>
                              <w:shd w:val="clear" w:color="auto" w:fill="F2F2F2" w:themeFill="background1" w:themeFillShade="F2"/>
                            </w:pPr>
                          </w:p>
                          <w:p w14:paraId="1DF31E7F" w14:textId="77777777" w:rsidR="00D15FD8" w:rsidRDefault="00D15FD8" w:rsidP="0040233A">
                            <w:pPr>
                              <w:shd w:val="clear" w:color="auto" w:fill="F2F2F2" w:themeFill="background1" w:themeFillShade="F2"/>
                            </w:pPr>
                          </w:p>
                          <w:p w14:paraId="12E5B03A" w14:textId="77777777" w:rsidR="00D15FD8" w:rsidRDefault="00D15FD8" w:rsidP="0040233A">
                            <w:pPr>
                              <w:shd w:val="clear" w:color="auto" w:fill="F2F2F2" w:themeFill="background1" w:themeFillShade="F2"/>
                            </w:pPr>
                          </w:p>
                          <w:p w14:paraId="10A65C7E" w14:textId="77777777" w:rsidR="00D15FD8" w:rsidRDefault="00D15FD8" w:rsidP="0040233A">
                            <w:pPr>
                              <w:shd w:val="clear" w:color="auto" w:fill="F2F2F2" w:themeFill="background1" w:themeFillShade="F2"/>
                            </w:pPr>
                          </w:p>
                          <w:p w14:paraId="593702D2" w14:textId="77777777" w:rsidR="00D15FD8" w:rsidRDefault="00D15FD8" w:rsidP="0040233A">
                            <w:pPr>
                              <w:shd w:val="clear" w:color="auto" w:fill="F2F2F2" w:themeFill="background1" w:themeFillShade="F2"/>
                            </w:pPr>
                          </w:p>
                          <w:p w14:paraId="2E742335" w14:textId="77777777" w:rsidR="00D15FD8" w:rsidRDefault="00D15FD8" w:rsidP="0040233A">
                            <w:pPr>
                              <w:shd w:val="clear" w:color="auto" w:fill="F2F2F2" w:themeFill="background1" w:themeFillShade="F2"/>
                            </w:pPr>
                          </w:p>
                          <w:p w14:paraId="387777D4" w14:textId="77777777" w:rsidR="00D15FD8" w:rsidRDefault="00D15FD8" w:rsidP="0040233A">
                            <w:pPr>
                              <w:shd w:val="clear" w:color="auto" w:fill="F2F2F2" w:themeFill="background1" w:themeFillShade="F2"/>
                            </w:pPr>
                          </w:p>
                          <w:p w14:paraId="5A3CD61B" w14:textId="77777777" w:rsidR="00D15FD8" w:rsidRDefault="00D15FD8" w:rsidP="0040233A">
                            <w:pPr>
                              <w:shd w:val="clear" w:color="auto" w:fill="F2F2F2" w:themeFill="background1" w:themeFillShade="F2"/>
                            </w:pPr>
                          </w:p>
                          <w:p w14:paraId="6AEEBEB2" w14:textId="77777777" w:rsidR="00D15FD8" w:rsidRDefault="00D15FD8" w:rsidP="0040233A">
                            <w:pPr>
                              <w:shd w:val="clear" w:color="auto" w:fill="F2F2F2" w:themeFill="background1" w:themeFillShade="F2"/>
                            </w:pPr>
                          </w:p>
                          <w:p w14:paraId="64169A4A" w14:textId="77777777" w:rsidR="00D15FD8" w:rsidRDefault="00D15FD8" w:rsidP="0040233A">
                            <w:pPr>
                              <w:shd w:val="clear" w:color="auto" w:fill="F2F2F2" w:themeFill="background1" w:themeFillShade="F2"/>
                            </w:pPr>
                          </w:p>
                          <w:p w14:paraId="5229EAD0" w14:textId="77777777" w:rsidR="00D15FD8" w:rsidRDefault="00D15FD8" w:rsidP="0040233A">
                            <w:pPr>
                              <w:shd w:val="clear" w:color="auto" w:fill="F2F2F2" w:themeFill="background1" w:themeFillShade="F2"/>
                            </w:pPr>
                          </w:p>
                          <w:p w14:paraId="2D2216EA" w14:textId="77777777" w:rsidR="00D15FD8" w:rsidRDefault="00D15FD8" w:rsidP="0040233A">
                            <w:pPr>
                              <w:shd w:val="clear" w:color="auto" w:fill="F2F2F2" w:themeFill="background1" w:themeFillShade="F2"/>
                            </w:pPr>
                          </w:p>
                          <w:p w14:paraId="0FD5D153" w14:textId="77777777" w:rsidR="00D15FD8" w:rsidRDefault="00D15FD8" w:rsidP="0040233A">
                            <w:pPr>
                              <w:shd w:val="clear" w:color="auto" w:fill="F2F2F2" w:themeFill="background1" w:themeFillShade="F2"/>
                            </w:pPr>
                          </w:p>
                          <w:p w14:paraId="18CC071D" w14:textId="77777777" w:rsidR="00D15FD8" w:rsidRDefault="00D15FD8" w:rsidP="0040233A">
                            <w:pPr>
                              <w:shd w:val="clear" w:color="auto" w:fill="F2F2F2" w:themeFill="background1" w:themeFillShade="F2"/>
                            </w:pPr>
                          </w:p>
                          <w:p w14:paraId="6639B295" w14:textId="77777777" w:rsidR="00D15FD8" w:rsidRDefault="00D15FD8" w:rsidP="0040233A">
                            <w:pPr>
                              <w:shd w:val="clear" w:color="auto" w:fill="F2F2F2" w:themeFill="background1" w:themeFillShade="F2"/>
                            </w:pPr>
                          </w:p>
                          <w:p w14:paraId="4E84F02B" w14:textId="77777777" w:rsidR="00D15FD8" w:rsidRDefault="00D15FD8" w:rsidP="0040233A">
                            <w:pPr>
                              <w:shd w:val="clear" w:color="auto" w:fill="F2F2F2" w:themeFill="background1" w:themeFillShade="F2"/>
                            </w:pPr>
                          </w:p>
                          <w:p w14:paraId="5CFE8CFE" w14:textId="77777777" w:rsidR="00D15FD8" w:rsidRDefault="00D15FD8" w:rsidP="0040233A">
                            <w:pPr>
                              <w:shd w:val="clear" w:color="auto" w:fill="F2F2F2" w:themeFill="background1" w:themeFillShade="F2"/>
                            </w:pPr>
                          </w:p>
                          <w:p w14:paraId="2C73D147" w14:textId="77777777" w:rsidR="00D15FD8" w:rsidRDefault="00D15FD8" w:rsidP="0040233A">
                            <w:pPr>
                              <w:shd w:val="clear" w:color="auto" w:fill="F2F2F2" w:themeFill="background1" w:themeFillShade="F2"/>
                            </w:pPr>
                          </w:p>
                          <w:p w14:paraId="723064EF" w14:textId="77777777" w:rsidR="00D15FD8" w:rsidRDefault="00D15FD8" w:rsidP="0040233A">
                            <w:pPr>
                              <w:shd w:val="clear" w:color="auto" w:fill="F2F2F2" w:themeFill="background1" w:themeFillShade="F2"/>
                            </w:pPr>
                          </w:p>
                          <w:p w14:paraId="459D245A" w14:textId="77777777" w:rsidR="00D15FD8" w:rsidRDefault="00D15FD8" w:rsidP="0040233A">
                            <w:pPr>
                              <w:shd w:val="clear" w:color="auto" w:fill="F2F2F2" w:themeFill="background1" w:themeFillShade="F2"/>
                            </w:pPr>
                          </w:p>
                          <w:p w14:paraId="38887088" w14:textId="77777777" w:rsidR="00D15FD8" w:rsidRDefault="00D15FD8" w:rsidP="0040233A">
                            <w:pPr>
                              <w:shd w:val="clear" w:color="auto" w:fill="F2F2F2" w:themeFill="background1" w:themeFillShade="F2"/>
                            </w:pPr>
                          </w:p>
                          <w:p w14:paraId="6551D118" w14:textId="77777777" w:rsidR="00D15FD8" w:rsidRDefault="00D15FD8" w:rsidP="0040233A">
                            <w:pPr>
                              <w:shd w:val="clear" w:color="auto" w:fill="F2F2F2" w:themeFill="background1" w:themeFillShade="F2"/>
                            </w:pPr>
                          </w:p>
                          <w:p w14:paraId="0ECF6EB2" w14:textId="77777777" w:rsidR="00D15FD8" w:rsidRDefault="00D15FD8" w:rsidP="0040233A">
                            <w:pPr>
                              <w:shd w:val="clear" w:color="auto" w:fill="F2F2F2" w:themeFill="background1" w:themeFillShade="F2"/>
                            </w:pPr>
                          </w:p>
                          <w:p w14:paraId="46D6687F" w14:textId="77777777" w:rsidR="00D15FD8" w:rsidRDefault="00D15FD8" w:rsidP="0040233A">
                            <w:pPr>
                              <w:shd w:val="clear" w:color="auto" w:fill="F2F2F2" w:themeFill="background1" w:themeFillShade="F2"/>
                            </w:pPr>
                          </w:p>
                          <w:p w14:paraId="2A73B511" w14:textId="77777777" w:rsidR="00D15FD8" w:rsidRDefault="00D15FD8" w:rsidP="0040233A">
                            <w:pPr>
                              <w:shd w:val="clear" w:color="auto" w:fill="F2F2F2" w:themeFill="background1" w:themeFillShade="F2"/>
                            </w:pPr>
                          </w:p>
                          <w:p w14:paraId="33F61A5A" w14:textId="77777777" w:rsidR="00D15FD8" w:rsidRDefault="00D15FD8" w:rsidP="0040233A">
                            <w:pPr>
                              <w:shd w:val="clear" w:color="auto" w:fill="F2F2F2" w:themeFill="background1" w:themeFillShade="F2"/>
                            </w:pPr>
                          </w:p>
                          <w:p w14:paraId="035DCBFC" w14:textId="77777777" w:rsidR="00D15FD8" w:rsidRDefault="00D15FD8" w:rsidP="0040233A">
                            <w:pPr>
                              <w:shd w:val="clear" w:color="auto" w:fill="F2F2F2" w:themeFill="background1" w:themeFillShade="F2"/>
                            </w:pPr>
                          </w:p>
                          <w:p w14:paraId="40673B7E" w14:textId="77777777" w:rsidR="00D15FD8" w:rsidRDefault="00D15FD8" w:rsidP="0040233A">
                            <w:pPr>
                              <w:shd w:val="clear" w:color="auto" w:fill="F2F2F2" w:themeFill="background1" w:themeFillShade="F2"/>
                            </w:pPr>
                          </w:p>
                          <w:p w14:paraId="53622C69" w14:textId="77777777" w:rsidR="00D15FD8" w:rsidRDefault="00D15FD8" w:rsidP="0040233A">
                            <w:pPr>
                              <w:shd w:val="clear" w:color="auto" w:fill="F2F2F2" w:themeFill="background1" w:themeFillShade="F2"/>
                            </w:pPr>
                          </w:p>
                          <w:p w14:paraId="784E979A" w14:textId="77777777" w:rsidR="00D15FD8" w:rsidRDefault="00D15FD8" w:rsidP="0040233A">
                            <w:pPr>
                              <w:shd w:val="clear" w:color="auto" w:fill="F2F2F2" w:themeFill="background1" w:themeFillShade="F2"/>
                            </w:pPr>
                          </w:p>
                          <w:p w14:paraId="7A1AD884" w14:textId="77777777" w:rsidR="00D15FD8" w:rsidRDefault="00D15FD8" w:rsidP="0040233A">
                            <w:pPr>
                              <w:shd w:val="clear" w:color="auto" w:fill="F2F2F2" w:themeFill="background1" w:themeFillShade="F2"/>
                            </w:pPr>
                          </w:p>
                          <w:p w14:paraId="72F13D9B" w14:textId="77777777" w:rsidR="00D15FD8" w:rsidRDefault="00D15FD8" w:rsidP="0040233A">
                            <w:pPr>
                              <w:shd w:val="clear" w:color="auto" w:fill="F2F2F2" w:themeFill="background1" w:themeFillShade="F2"/>
                            </w:pPr>
                          </w:p>
                          <w:p w14:paraId="2BD554AD" w14:textId="77777777" w:rsidR="00D15FD8" w:rsidRDefault="00D15FD8" w:rsidP="0040233A">
                            <w:pPr>
                              <w:shd w:val="clear" w:color="auto" w:fill="F2F2F2" w:themeFill="background1" w:themeFillShade="F2"/>
                            </w:pPr>
                          </w:p>
                          <w:p w14:paraId="321E43F2" w14:textId="77777777" w:rsidR="00D15FD8" w:rsidRDefault="00D15FD8" w:rsidP="0040233A">
                            <w:pPr>
                              <w:shd w:val="clear" w:color="auto" w:fill="F2F2F2" w:themeFill="background1" w:themeFillShade="F2"/>
                            </w:pPr>
                          </w:p>
                          <w:p w14:paraId="4E215F40" w14:textId="77777777" w:rsidR="00D15FD8" w:rsidRDefault="00D15FD8" w:rsidP="0040233A">
                            <w:pPr>
                              <w:shd w:val="clear" w:color="auto" w:fill="F2F2F2" w:themeFill="background1" w:themeFillShade="F2"/>
                            </w:pPr>
                          </w:p>
                          <w:p w14:paraId="714FE6E6" w14:textId="77777777" w:rsidR="00D15FD8" w:rsidRDefault="00D15FD8" w:rsidP="0040233A">
                            <w:pPr>
                              <w:shd w:val="clear" w:color="auto" w:fill="F2F2F2" w:themeFill="background1" w:themeFillShade="F2"/>
                            </w:pPr>
                          </w:p>
                          <w:p w14:paraId="2159FECA" w14:textId="77777777" w:rsidR="00D15FD8" w:rsidRDefault="00D15FD8" w:rsidP="0040233A">
                            <w:pPr>
                              <w:shd w:val="clear" w:color="auto" w:fill="F2F2F2" w:themeFill="background1" w:themeFillShade="F2"/>
                            </w:pPr>
                          </w:p>
                          <w:p w14:paraId="14906154" w14:textId="77777777" w:rsidR="00D15FD8" w:rsidRDefault="00D15FD8" w:rsidP="0040233A">
                            <w:pPr>
                              <w:shd w:val="clear" w:color="auto" w:fill="F2F2F2" w:themeFill="background1" w:themeFillShade="F2"/>
                            </w:pPr>
                          </w:p>
                          <w:p w14:paraId="01F2941C" w14:textId="77777777" w:rsidR="00D15FD8" w:rsidRDefault="00D15FD8" w:rsidP="0040233A">
                            <w:pPr>
                              <w:shd w:val="clear" w:color="auto" w:fill="F2F2F2" w:themeFill="background1" w:themeFillShade="F2"/>
                            </w:pPr>
                          </w:p>
                          <w:p w14:paraId="52289950" w14:textId="77777777" w:rsidR="00D15FD8" w:rsidRDefault="00D15FD8" w:rsidP="0040233A">
                            <w:pPr>
                              <w:shd w:val="clear" w:color="auto" w:fill="F2F2F2" w:themeFill="background1" w:themeFillShade="F2"/>
                            </w:pPr>
                          </w:p>
                          <w:p w14:paraId="7A8E732B" w14:textId="77777777" w:rsidR="00D15FD8" w:rsidRDefault="00D15FD8" w:rsidP="0040233A">
                            <w:pPr>
                              <w:shd w:val="clear" w:color="auto" w:fill="F2F2F2" w:themeFill="background1" w:themeFillShade="F2"/>
                            </w:pPr>
                          </w:p>
                          <w:p w14:paraId="45E5390C" w14:textId="77777777" w:rsidR="00D15FD8" w:rsidRDefault="00D15FD8" w:rsidP="0040233A">
                            <w:pPr>
                              <w:shd w:val="clear" w:color="auto" w:fill="F2F2F2" w:themeFill="background1" w:themeFillShade="F2"/>
                            </w:pPr>
                          </w:p>
                          <w:p w14:paraId="05CA6817" w14:textId="77777777" w:rsidR="00D15FD8" w:rsidRDefault="00D15FD8" w:rsidP="0040233A">
                            <w:pPr>
                              <w:shd w:val="clear" w:color="auto" w:fill="F2F2F2" w:themeFill="background1" w:themeFillShade="F2"/>
                            </w:pPr>
                          </w:p>
                          <w:p w14:paraId="4107EEF5" w14:textId="77777777" w:rsidR="00D15FD8" w:rsidRDefault="00D15FD8" w:rsidP="0040233A">
                            <w:pPr>
                              <w:shd w:val="clear" w:color="auto" w:fill="F2F2F2" w:themeFill="background1" w:themeFillShade="F2"/>
                            </w:pPr>
                          </w:p>
                          <w:p w14:paraId="6866F41C" w14:textId="77777777" w:rsidR="00D15FD8" w:rsidRDefault="00D15FD8" w:rsidP="0040233A">
                            <w:pPr>
                              <w:shd w:val="clear" w:color="auto" w:fill="F2F2F2" w:themeFill="background1" w:themeFillShade="F2"/>
                            </w:pPr>
                          </w:p>
                          <w:p w14:paraId="50AFBE79" w14:textId="77777777" w:rsidR="00D15FD8" w:rsidRDefault="00D15FD8" w:rsidP="0040233A">
                            <w:pPr>
                              <w:shd w:val="clear" w:color="auto" w:fill="F2F2F2" w:themeFill="background1" w:themeFillShade="F2"/>
                            </w:pPr>
                          </w:p>
                          <w:p w14:paraId="012AFBCE" w14:textId="77777777" w:rsidR="00D15FD8" w:rsidRDefault="00D15FD8" w:rsidP="0040233A">
                            <w:pPr>
                              <w:shd w:val="clear" w:color="auto" w:fill="F2F2F2" w:themeFill="background1" w:themeFillShade="F2"/>
                            </w:pPr>
                          </w:p>
                          <w:p w14:paraId="690ACB20" w14:textId="77777777" w:rsidR="00D15FD8" w:rsidRDefault="00D15FD8" w:rsidP="0040233A">
                            <w:pPr>
                              <w:shd w:val="clear" w:color="auto" w:fill="F2F2F2" w:themeFill="background1" w:themeFillShade="F2"/>
                            </w:pPr>
                          </w:p>
                          <w:p w14:paraId="5E1F7ACB" w14:textId="77777777" w:rsidR="00D15FD8" w:rsidRDefault="00D15FD8" w:rsidP="0040233A">
                            <w:pPr>
                              <w:shd w:val="clear" w:color="auto" w:fill="F2F2F2" w:themeFill="background1" w:themeFillShade="F2"/>
                            </w:pPr>
                          </w:p>
                          <w:p w14:paraId="78B69FD3" w14:textId="77777777" w:rsidR="00D15FD8" w:rsidRDefault="00D15FD8" w:rsidP="0040233A">
                            <w:pPr>
                              <w:shd w:val="clear" w:color="auto" w:fill="F2F2F2" w:themeFill="background1" w:themeFillShade="F2"/>
                            </w:pPr>
                          </w:p>
                          <w:p w14:paraId="111E58F1" w14:textId="77777777" w:rsidR="00D15FD8" w:rsidRDefault="00D15FD8" w:rsidP="0040233A">
                            <w:pPr>
                              <w:shd w:val="clear" w:color="auto" w:fill="F2F2F2" w:themeFill="background1" w:themeFillShade="F2"/>
                            </w:pPr>
                          </w:p>
                          <w:p w14:paraId="5446CF9F" w14:textId="77777777" w:rsidR="00D15FD8" w:rsidRDefault="00D15FD8" w:rsidP="0040233A">
                            <w:pPr>
                              <w:shd w:val="clear" w:color="auto" w:fill="F2F2F2" w:themeFill="background1" w:themeFillShade="F2"/>
                            </w:pPr>
                          </w:p>
                          <w:p w14:paraId="3B97D7D6" w14:textId="77777777" w:rsidR="00D15FD8" w:rsidRDefault="00D15FD8" w:rsidP="0040233A">
                            <w:pPr>
                              <w:shd w:val="clear" w:color="auto" w:fill="F2F2F2" w:themeFill="background1" w:themeFillShade="F2"/>
                            </w:pPr>
                          </w:p>
                          <w:p w14:paraId="4B3FF4BF" w14:textId="77777777" w:rsidR="00D15FD8" w:rsidRDefault="00D15FD8" w:rsidP="0040233A">
                            <w:pPr>
                              <w:shd w:val="clear" w:color="auto" w:fill="F2F2F2" w:themeFill="background1" w:themeFillShade="F2"/>
                            </w:pPr>
                          </w:p>
                          <w:p w14:paraId="6F9D3294" w14:textId="77777777" w:rsidR="00D15FD8" w:rsidRDefault="00D15FD8" w:rsidP="0040233A">
                            <w:pPr>
                              <w:shd w:val="clear" w:color="auto" w:fill="F2F2F2" w:themeFill="background1" w:themeFillShade="F2"/>
                            </w:pPr>
                          </w:p>
                          <w:p w14:paraId="7CAA46E2" w14:textId="77777777" w:rsidR="00D15FD8" w:rsidRDefault="00D15FD8" w:rsidP="0040233A">
                            <w:pPr>
                              <w:shd w:val="clear" w:color="auto" w:fill="F2F2F2" w:themeFill="background1" w:themeFillShade="F2"/>
                            </w:pPr>
                          </w:p>
                          <w:p w14:paraId="2B6E3454" w14:textId="77777777" w:rsidR="00D15FD8" w:rsidRPr="003625BA" w:rsidRDefault="00D15FD8" w:rsidP="0040233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48EF9" id="Rectangle 501" o:spid="_x0000_s1648" style="position:absolute;left:0;text-align:left;margin-left:-14.25pt;margin-top:-10.4pt;width:552pt;height:239.25pt;z-index:-24772915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" fillcolor="#f2f2f2 [3052]" strokecolor="#16988a" strokeweight="1.5pt">
                <v:textbox>
                  <w:txbxContent>
                    <w:p w14:paraId="75404469" w14:textId="77777777" w:rsidR="00D15FD8" w:rsidRDefault="00D15FD8" w:rsidP="0040233A">
                      <w:pPr>
                        <w:shd w:val="clear" w:color="auto" w:fill="F2F2F2" w:themeFill="background1" w:themeFillShade="F2"/>
                      </w:pPr>
                    </w:p>
                    <w:p w14:paraId="3D8D585F" w14:textId="77777777" w:rsidR="00D15FD8" w:rsidRDefault="00D15FD8" w:rsidP="0040233A">
                      <w:pPr>
                        <w:shd w:val="clear" w:color="auto" w:fill="F2F2F2" w:themeFill="background1" w:themeFillShade="F2"/>
                      </w:pPr>
                    </w:p>
                    <w:p w14:paraId="72840176" w14:textId="77777777" w:rsidR="00D15FD8" w:rsidRDefault="00D15FD8" w:rsidP="0040233A">
                      <w:pPr>
                        <w:shd w:val="clear" w:color="auto" w:fill="F2F2F2" w:themeFill="background1" w:themeFillShade="F2"/>
                      </w:pPr>
                    </w:p>
                    <w:p w14:paraId="4D38FA9C" w14:textId="77777777" w:rsidR="00D15FD8" w:rsidRDefault="00D15FD8" w:rsidP="0040233A">
                      <w:pPr>
                        <w:shd w:val="clear" w:color="auto" w:fill="F2F2F2" w:themeFill="background1" w:themeFillShade="F2"/>
                      </w:pPr>
                    </w:p>
                    <w:p w14:paraId="1DF31E7F" w14:textId="77777777" w:rsidR="00D15FD8" w:rsidRDefault="00D15FD8" w:rsidP="0040233A">
                      <w:pPr>
                        <w:shd w:val="clear" w:color="auto" w:fill="F2F2F2" w:themeFill="background1" w:themeFillShade="F2"/>
                      </w:pPr>
                    </w:p>
                    <w:p w14:paraId="12E5B03A" w14:textId="77777777" w:rsidR="00D15FD8" w:rsidRDefault="00D15FD8" w:rsidP="0040233A">
                      <w:pPr>
                        <w:shd w:val="clear" w:color="auto" w:fill="F2F2F2" w:themeFill="background1" w:themeFillShade="F2"/>
                      </w:pPr>
                    </w:p>
                    <w:p w14:paraId="10A65C7E" w14:textId="77777777" w:rsidR="00D15FD8" w:rsidRDefault="00D15FD8" w:rsidP="0040233A">
                      <w:pPr>
                        <w:shd w:val="clear" w:color="auto" w:fill="F2F2F2" w:themeFill="background1" w:themeFillShade="F2"/>
                      </w:pPr>
                    </w:p>
                    <w:p w14:paraId="593702D2" w14:textId="77777777" w:rsidR="00D15FD8" w:rsidRDefault="00D15FD8" w:rsidP="0040233A">
                      <w:pPr>
                        <w:shd w:val="clear" w:color="auto" w:fill="F2F2F2" w:themeFill="background1" w:themeFillShade="F2"/>
                      </w:pPr>
                    </w:p>
                    <w:p w14:paraId="2E742335" w14:textId="77777777" w:rsidR="00D15FD8" w:rsidRDefault="00D15FD8" w:rsidP="0040233A">
                      <w:pPr>
                        <w:shd w:val="clear" w:color="auto" w:fill="F2F2F2" w:themeFill="background1" w:themeFillShade="F2"/>
                      </w:pPr>
                    </w:p>
                    <w:p w14:paraId="387777D4" w14:textId="77777777" w:rsidR="00D15FD8" w:rsidRDefault="00D15FD8" w:rsidP="0040233A">
                      <w:pPr>
                        <w:shd w:val="clear" w:color="auto" w:fill="F2F2F2" w:themeFill="background1" w:themeFillShade="F2"/>
                      </w:pPr>
                    </w:p>
                    <w:p w14:paraId="5A3CD61B" w14:textId="77777777" w:rsidR="00D15FD8" w:rsidRDefault="00D15FD8" w:rsidP="0040233A">
                      <w:pPr>
                        <w:shd w:val="clear" w:color="auto" w:fill="F2F2F2" w:themeFill="background1" w:themeFillShade="F2"/>
                      </w:pPr>
                    </w:p>
                    <w:p w14:paraId="6AEEBEB2" w14:textId="77777777" w:rsidR="00D15FD8" w:rsidRDefault="00D15FD8" w:rsidP="0040233A">
                      <w:pPr>
                        <w:shd w:val="clear" w:color="auto" w:fill="F2F2F2" w:themeFill="background1" w:themeFillShade="F2"/>
                      </w:pPr>
                    </w:p>
                    <w:p w14:paraId="64169A4A" w14:textId="77777777" w:rsidR="00D15FD8" w:rsidRDefault="00D15FD8" w:rsidP="0040233A">
                      <w:pPr>
                        <w:shd w:val="clear" w:color="auto" w:fill="F2F2F2" w:themeFill="background1" w:themeFillShade="F2"/>
                      </w:pPr>
                    </w:p>
                    <w:p w14:paraId="5229EAD0" w14:textId="77777777" w:rsidR="00D15FD8" w:rsidRDefault="00D15FD8" w:rsidP="0040233A">
                      <w:pPr>
                        <w:shd w:val="clear" w:color="auto" w:fill="F2F2F2" w:themeFill="background1" w:themeFillShade="F2"/>
                      </w:pPr>
                    </w:p>
                    <w:p w14:paraId="2D2216EA" w14:textId="77777777" w:rsidR="00D15FD8" w:rsidRDefault="00D15FD8" w:rsidP="0040233A">
                      <w:pPr>
                        <w:shd w:val="clear" w:color="auto" w:fill="F2F2F2" w:themeFill="background1" w:themeFillShade="F2"/>
                      </w:pPr>
                    </w:p>
                    <w:p w14:paraId="0FD5D153" w14:textId="77777777" w:rsidR="00D15FD8" w:rsidRDefault="00D15FD8" w:rsidP="0040233A">
                      <w:pPr>
                        <w:shd w:val="clear" w:color="auto" w:fill="F2F2F2" w:themeFill="background1" w:themeFillShade="F2"/>
                      </w:pPr>
                    </w:p>
                    <w:p w14:paraId="18CC071D" w14:textId="77777777" w:rsidR="00D15FD8" w:rsidRDefault="00D15FD8" w:rsidP="0040233A">
                      <w:pPr>
                        <w:shd w:val="clear" w:color="auto" w:fill="F2F2F2" w:themeFill="background1" w:themeFillShade="F2"/>
                      </w:pPr>
                    </w:p>
                    <w:p w14:paraId="6639B295" w14:textId="77777777" w:rsidR="00D15FD8" w:rsidRDefault="00D15FD8" w:rsidP="0040233A">
                      <w:pPr>
                        <w:shd w:val="clear" w:color="auto" w:fill="F2F2F2" w:themeFill="background1" w:themeFillShade="F2"/>
                      </w:pPr>
                    </w:p>
                    <w:p w14:paraId="4E84F02B" w14:textId="77777777" w:rsidR="00D15FD8" w:rsidRDefault="00D15FD8" w:rsidP="0040233A">
                      <w:pPr>
                        <w:shd w:val="clear" w:color="auto" w:fill="F2F2F2" w:themeFill="background1" w:themeFillShade="F2"/>
                      </w:pPr>
                    </w:p>
                    <w:p w14:paraId="5CFE8CFE" w14:textId="77777777" w:rsidR="00D15FD8" w:rsidRDefault="00D15FD8" w:rsidP="0040233A">
                      <w:pPr>
                        <w:shd w:val="clear" w:color="auto" w:fill="F2F2F2" w:themeFill="background1" w:themeFillShade="F2"/>
                      </w:pPr>
                    </w:p>
                    <w:p w14:paraId="2C73D147" w14:textId="77777777" w:rsidR="00D15FD8" w:rsidRDefault="00D15FD8" w:rsidP="0040233A">
                      <w:pPr>
                        <w:shd w:val="clear" w:color="auto" w:fill="F2F2F2" w:themeFill="background1" w:themeFillShade="F2"/>
                      </w:pPr>
                    </w:p>
                    <w:p w14:paraId="723064EF" w14:textId="77777777" w:rsidR="00D15FD8" w:rsidRDefault="00D15FD8" w:rsidP="0040233A">
                      <w:pPr>
                        <w:shd w:val="clear" w:color="auto" w:fill="F2F2F2" w:themeFill="background1" w:themeFillShade="F2"/>
                      </w:pPr>
                    </w:p>
                    <w:p w14:paraId="459D245A" w14:textId="77777777" w:rsidR="00D15FD8" w:rsidRDefault="00D15FD8" w:rsidP="0040233A">
                      <w:pPr>
                        <w:shd w:val="clear" w:color="auto" w:fill="F2F2F2" w:themeFill="background1" w:themeFillShade="F2"/>
                      </w:pPr>
                    </w:p>
                    <w:p w14:paraId="38887088" w14:textId="77777777" w:rsidR="00D15FD8" w:rsidRDefault="00D15FD8" w:rsidP="0040233A">
                      <w:pPr>
                        <w:shd w:val="clear" w:color="auto" w:fill="F2F2F2" w:themeFill="background1" w:themeFillShade="F2"/>
                      </w:pPr>
                    </w:p>
                    <w:p w14:paraId="6551D118" w14:textId="77777777" w:rsidR="00D15FD8" w:rsidRDefault="00D15FD8" w:rsidP="0040233A">
                      <w:pPr>
                        <w:shd w:val="clear" w:color="auto" w:fill="F2F2F2" w:themeFill="background1" w:themeFillShade="F2"/>
                      </w:pPr>
                    </w:p>
                    <w:p w14:paraId="0ECF6EB2" w14:textId="77777777" w:rsidR="00D15FD8" w:rsidRDefault="00D15FD8" w:rsidP="0040233A">
                      <w:pPr>
                        <w:shd w:val="clear" w:color="auto" w:fill="F2F2F2" w:themeFill="background1" w:themeFillShade="F2"/>
                      </w:pPr>
                    </w:p>
                    <w:p w14:paraId="46D6687F" w14:textId="77777777" w:rsidR="00D15FD8" w:rsidRDefault="00D15FD8" w:rsidP="0040233A">
                      <w:pPr>
                        <w:shd w:val="clear" w:color="auto" w:fill="F2F2F2" w:themeFill="background1" w:themeFillShade="F2"/>
                      </w:pPr>
                    </w:p>
                    <w:p w14:paraId="2A73B511" w14:textId="77777777" w:rsidR="00D15FD8" w:rsidRDefault="00D15FD8" w:rsidP="0040233A">
                      <w:pPr>
                        <w:shd w:val="clear" w:color="auto" w:fill="F2F2F2" w:themeFill="background1" w:themeFillShade="F2"/>
                      </w:pPr>
                    </w:p>
                    <w:p w14:paraId="33F61A5A" w14:textId="77777777" w:rsidR="00D15FD8" w:rsidRDefault="00D15FD8" w:rsidP="0040233A">
                      <w:pPr>
                        <w:shd w:val="clear" w:color="auto" w:fill="F2F2F2" w:themeFill="background1" w:themeFillShade="F2"/>
                      </w:pPr>
                    </w:p>
                    <w:p w14:paraId="035DCBFC" w14:textId="77777777" w:rsidR="00D15FD8" w:rsidRDefault="00D15FD8" w:rsidP="0040233A">
                      <w:pPr>
                        <w:shd w:val="clear" w:color="auto" w:fill="F2F2F2" w:themeFill="background1" w:themeFillShade="F2"/>
                      </w:pPr>
                    </w:p>
                    <w:p w14:paraId="40673B7E" w14:textId="77777777" w:rsidR="00D15FD8" w:rsidRDefault="00D15FD8" w:rsidP="0040233A">
                      <w:pPr>
                        <w:shd w:val="clear" w:color="auto" w:fill="F2F2F2" w:themeFill="background1" w:themeFillShade="F2"/>
                      </w:pPr>
                    </w:p>
                    <w:p w14:paraId="53622C69" w14:textId="77777777" w:rsidR="00D15FD8" w:rsidRDefault="00D15FD8" w:rsidP="0040233A">
                      <w:pPr>
                        <w:shd w:val="clear" w:color="auto" w:fill="F2F2F2" w:themeFill="background1" w:themeFillShade="F2"/>
                      </w:pPr>
                    </w:p>
                    <w:p w14:paraId="784E979A" w14:textId="77777777" w:rsidR="00D15FD8" w:rsidRDefault="00D15FD8" w:rsidP="0040233A">
                      <w:pPr>
                        <w:shd w:val="clear" w:color="auto" w:fill="F2F2F2" w:themeFill="background1" w:themeFillShade="F2"/>
                      </w:pPr>
                    </w:p>
                    <w:p w14:paraId="7A1AD884" w14:textId="77777777" w:rsidR="00D15FD8" w:rsidRDefault="00D15FD8" w:rsidP="0040233A">
                      <w:pPr>
                        <w:shd w:val="clear" w:color="auto" w:fill="F2F2F2" w:themeFill="background1" w:themeFillShade="F2"/>
                      </w:pPr>
                    </w:p>
                    <w:p w14:paraId="72F13D9B" w14:textId="77777777" w:rsidR="00D15FD8" w:rsidRDefault="00D15FD8" w:rsidP="0040233A">
                      <w:pPr>
                        <w:shd w:val="clear" w:color="auto" w:fill="F2F2F2" w:themeFill="background1" w:themeFillShade="F2"/>
                      </w:pPr>
                    </w:p>
                    <w:p w14:paraId="2BD554AD" w14:textId="77777777" w:rsidR="00D15FD8" w:rsidRDefault="00D15FD8" w:rsidP="0040233A">
                      <w:pPr>
                        <w:shd w:val="clear" w:color="auto" w:fill="F2F2F2" w:themeFill="background1" w:themeFillShade="F2"/>
                      </w:pPr>
                    </w:p>
                    <w:p w14:paraId="321E43F2" w14:textId="77777777" w:rsidR="00D15FD8" w:rsidRDefault="00D15FD8" w:rsidP="0040233A">
                      <w:pPr>
                        <w:shd w:val="clear" w:color="auto" w:fill="F2F2F2" w:themeFill="background1" w:themeFillShade="F2"/>
                      </w:pPr>
                    </w:p>
                    <w:p w14:paraId="4E215F40" w14:textId="77777777" w:rsidR="00D15FD8" w:rsidRDefault="00D15FD8" w:rsidP="0040233A">
                      <w:pPr>
                        <w:shd w:val="clear" w:color="auto" w:fill="F2F2F2" w:themeFill="background1" w:themeFillShade="F2"/>
                      </w:pPr>
                    </w:p>
                    <w:p w14:paraId="714FE6E6" w14:textId="77777777" w:rsidR="00D15FD8" w:rsidRDefault="00D15FD8" w:rsidP="0040233A">
                      <w:pPr>
                        <w:shd w:val="clear" w:color="auto" w:fill="F2F2F2" w:themeFill="background1" w:themeFillShade="F2"/>
                      </w:pPr>
                    </w:p>
                    <w:p w14:paraId="2159FECA" w14:textId="77777777" w:rsidR="00D15FD8" w:rsidRDefault="00D15FD8" w:rsidP="0040233A">
                      <w:pPr>
                        <w:shd w:val="clear" w:color="auto" w:fill="F2F2F2" w:themeFill="background1" w:themeFillShade="F2"/>
                      </w:pPr>
                    </w:p>
                    <w:p w14:paraId="14906154" w14:textId="77777777" w:rsidR="00D15FD8" w:rsidRDefault="00D15FD8" w:rsidP="0040233A">
                      <w:pPr>
                        <w:shd w:val="clear" w:color="auto" w:fill="F2F2F2" w:themeFill="background1" w:themeFillShade="F2"/>
                      </w:pPr>
                    </w:p>
                    <w:p w14:paraId="01F2941C" w14:textId="77777777" w:rsidR="00D15FD8" w:rsidRDefault="00D15FD8" w:rsidP="0040233A">
                      <w:pPr>
                        <w:shd w:val="clear" w:color="auto" w:fill="F2F2F2" w:themeFill="background1" w:themeFillShade="F2"/>
                      </w:pPr>
                    </w:p>
                    <w:p w14:paraId="52289950" w14:textId="77777777" w:rsidR="00D15FD8" w:rsidRDefault="00D15FD8" w:rsidP="0040233A">
                      <w:pPr>
                        <w:shd w:val="clear" w:color="auto" w:fill="F2F2F2" w:themeFill="background1" w:themeFillShade="F2"/>
                      </w:pPr>
                    </w:p>
                    <w:p w14:paraId="7A8E732B" w14:textId="77777777" w:rsidR="00D15FD8" w:rsidRDefault="00D15FD8" w:rsidP="0040233A">
                      <w:pPr>
                        <w:shd w:val="clear" w:color="auto" w:fill="F2F2F2" w:themeFill="background1" w:themeFillShade="F2"/>
                      </w:pPr>
                    </w:p>
                    <w:p w14:paraId="45E5390C" w14:textId="77777777" w:rsidR="00D15FD8" w:rsidRDefault="00D15FD8" w:rsidP="0040233A">
                      <w:pPr>
                        <w:shd w:val="clear" w:color="auto" w:fill="F2F2F2" w:themeFill="background1" w:themeFillShade="F2"/>
                      </w:pPr>
                    </w:p>
                    <w:p w14:paraId="05CA6817" w14:textId="77777777" w:rsidR="00D15FD8" w:rsidRDefault="00D15FD8" w:rsidP="0040233A">
                      <w:pPr>
                        <w:shd w:val="clear" w:color="auto" w:fill="F2F2F2" w:themeFill="background1" w:themeFillShade="F2"/>
                      </w:pPr>
                    </w:p>
                    <w:p w14:paraId="4107EEF5" w14:textId="77777777" w:rsidR="00D15FD8" w:rsidRDefault="00D15FD8" w:rsidP="0040233A">
                      <w:pPr>
                        <w:shd w:val="clear" w:color="auto" w:fill="F2F2F2" w:themeFill="background1" w:themeFillShade="F2"/>
                      </w:pPr>
                    </w:p>
                    <w:p w14:paraId="6866F41C" w14:textId="77777777" w:rsidR="00D15FD8" w:rsidRDefault="00D15FD8" w:rsidP="0040233A">
                      <w:pPr>
                        <w:shd w:val="clear" w:color="auto" w:fill="F2F2F2" w:themeFill="background1" w:themeFillShade="F2"/>
                      </w:pPr>
                    </w:p>
                    <w:p w14:paraId="50AFBE79" w14:textId="77777777" w:rsidR="00D15FD8" w:rsidRDefault="00D15FD8" w:rsidP="0040233A">
                      <w:pPr>
                        <w:shd w:val="clear" w:color="auto" w:fill="F2F2F2" w:themeFill="background1" w:themeFillShade="F2"/>
                      </w:pPr>
                    </w:p>
                    <w:p w14:paraId="012AFBCE" w14:textId="77777777" w:rsidR="00D15FD8" w:rsidRDefault="00D15FD8" w:rsidP="0040233A">
                      <w:pPr>
                        <w:shd w:val="clear" w:color="auto" w:fill="F2F2F2" w:themeFill="background1" w:themeFillShade="F2"/>
                      </w:pPr>
                    </w:p>
                    <w:p w14:paraId="690ACB20" w14:textId="77777777" w:rsidR="00D15FD8" w:rsidRDefault="00D15FD8" w:rsidP="0040233A">
                      <w:pPr>
                        <w:shd w:val="clear" w:color="auto" w:fill="F2F2F2" w:themeFill="background1" w:themeFillShade="F2"/>
                      </w:pPr>
                    </w:p>
                    <w:p w14:paraId="5E1F7ACB" w14:textId="77777777" w:rsidR="00D15FD8" w:rsidRDefault="00D15FD8" w:rsidP="0040233A">
                      <w:pPr>
                        <w:shd w:val="clear" w:color="auto" w:fill="F2F2F2" w:themeFill="background1" w:themeFillShade="F2"/>
                      </w:pPr>
                    </w:p>
                    <w:p w14:paraId="78B69FD3" w14:textId="77777777" w:rsidR="00D15FD8" w:rsidRDefault="00D15FD8" w:rsidP="0040233A">
                      <w:pPr>
                        <w:shd w:val="clear" w:color="auto" w:fill="F2F2F2" w:themeFill="background1" w:themeFillShade="F2"/>
                      </w:pPr>
                    </w:p>
                    <w:p w14:paraId="111E58F1" w14:textId="77777777" w:rsidR="00D15FD8" w:rsidRDefault="00D15FD8" w:rsidP="0040233A">
                      <w:pPr>
                        <w:shd w:val="clear" w:color="auto" w:fill="F2F2F2" w:themeFill="background1" w:themeFillShade="F2"/>
                      </w:pPr>
                    </w:p>
                    <w:p w14:paraId="5446CF9F" w14:textId="77777777" w:rsidR="00D15FD8" w:rsidRDefault="00D15FD8" w:rsidP="0040233A">
                      <w:pPr>
                        <w:shd w:val="clear" w:color="auto" w:fill="F2F2F2" w:themeFill="background1" w:themeFillShade="F2"/>
                      </w:pPr>
                    </w:p>
                    <w:p w14:paraId="3B97D7D6" w14:textId="77777777" w:rsidR="00D15FD8" w:rsidRDefault="00D15FD8" w:rsidP="0040233A">
                      <w:pPr>
                        <w:shd w:val="clear" w:color="auto" w:fill="F2F2F2" w:themeFill="background1" w:themeFillShade="F2"/>
                      </w:pPr>
                    </w:p>
                    <w:p w14:paraId="4B3FF4BF" w14:textId="77777777" w:rsidR="00D15FD8" w:rsidRDefault="00D15FD8" w:rsidP="0040233A">
                      <w:pPr>
                        <w:shd w:val="clear" w:color="auto" w:fill="F2F2F2" w:themeFill="background1" w:themeFillShade="F2"/>
                      </w:pPr>
                    </w:p>
                    <w:p w14:paraId="6F9D3294" w14:textId="77777777" w:rsidR="00D15FD8" w:rsidRDefault="00D15FD8" w:rsidP="0040233A">
                      <w:pPr>
                        <w:shd w:val="clear" w:color="auto" w:fill="F2F2F2" w:themeFill="background1" w:themeFillShade="F2"/>
                      </w:pPr>
                    </w:p>
                    <w:p w14:paraId="7CAA46E2" w14:textId="77777777" w:rsidR="00D15FD8" w:rsidRDefault="00D15FD8" w:rsidP="0040233A">
                      <w:pPr>
                        <w:shd w:val="clear" w:color="auto" w:fill="F2F2F2" w:themeFill="background1" w:themeFillShade="F2"/>
                      </w:pPr>
                    </w:p>
                    <w:p w14:paraId="2B6E3454" w14:textId="77777777" w:rsidR="00D15FD8" w:rsidRPr="003625BA" w:rsidRDefault="00D15FD8" w:rsidP="0040233A">
                      <w:pPr>
                        <w:jc w:val="center"/>
                        <w:rPr>
                          <w:lang w:val="en-US"/>
                        </w:rPr>
                      </w:pPr>
                    </w:p>
                  </w:txbxContent>
                </v:textbox>
                <w10:wrap anchorx="margin" anchory="margin"/>
              </v:rect>
            </w:pict>
          </mc:Fallback>
        </mc:AlternateContent>
      </w:r>
      <w:r w:rsidR="00D26F3B" w:rsidRPr="003625BA">
        <w:rPr>
          <w:rFonts w:ascii="Roboto" w:hAnsi="Roboto"/>
          <w:sz w:val="20"/>
          <w:szCs w:val="20"/>
        </w:rPr>
        <w:t xml:space="preserve">As seen in the section above on the FMIS, the development of portals is strongly aligned with general technological developments, as well as country speciﬁc internal systems’ progress. Currently, numerous government and civil society institutions worldwide are developing or planning to develop some form of ﬁscal transparency portal or launching new platforms for already existing ones. Alternatively, in many other institutions, the frequent analyses of results are leading to redesigns in the manner in which ﬁscal information is published. </w:t>
      </w:r>
    </w:p>
    <w:p w14:paraId="0D9EB926" w14:textId="4A94870C" w:rsidR="00D26F3B" w:rsidRPr="003625BA" w:rsidRDefault="00D26F3B" w:rsidP="00D26F3B">
      <w:pPr>
        <w:spacing w:line="276" w:lineRule="auto"/>
        <w:jc w:val="both"/>
        <w:rPr>
          <w:rFonts w:ascii="Roboto" w:hAnsi="Roboto"/>
          <w:sz w:val="20"/>
          <w:szCs w:val="20"/>
        </w:rPr>
      </w:pPr>
      <w:r>
        <w:rPr>
          <w:rFonts w:ascii="Roboto" w:hAnsi="Roboto"/>
          <w:noProof/>
          <w:lang w:val="en-US"/>
        </w:rPr>
        <w:drawing>
          <wp:anchor distT="0" distB="0" distL="114300" distR="114300" simplePos="0" relativeHeight="254483454" behindDoc="1" locked="0" layoutInCell="1" allowOverlap="1" wp14:anchorId="11331A4B" wp14:editId="2D663BE9">
            <wp:simplePos x="0" y="0"/>
            <wp:positionH relativeFrom="column">
              <wp:posOffset>-88900</wp:posOffset>
            </wp:positionH>
            <wp:positionV relativeFrom="paragraph">
              <wp:posOffset>167640</wp:posOffset>
            </wp:positionV>
            <wp:extent cx="1752600" cy="1752600"/>
            <wp:effectExtent l="0" t="0" r="0" b="0"/>
            <wp:wrapTight wrapText="bothSides">
              <wp:wrapPolygon edited="0">
                <wp:start x="470" y="235"/>
                <wp:lineTo x="0" y="3757"/>
                <wp:lineTo x="0" y="19487"/>
                <wp:lineTo x="704" y="21130"/>
                <wp:lineTo x="20661" y="21130"/>
                <wp:lineTo x="21365" y="19487"/>
                <wp:lineTo x="21130" y="1409"/>
                <wp:lineTo x="20661" y="235"/>
                <wp:lineTo x="470" y="235"/>
              </wp:wrapPolygon>
            </wp:wrapTight>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3_imgs_square_2-01.png"/>
                    <pic:cNvPicPr/>
                  </pic:nvPicPr>
                  <pic:blipFill>
                    <a:blip r:embed="rId955" cstate="email">
                      <a:extLst>
                        <a:ext uri="{28A0092B-C50C-407E-A947-70E740481C1C}">
                          <a14:useLocalDpi xmlns:a14="http://schemas.microsoft.com/office/drawing/2010/main"/>
                        </a:ext>
                      </a:extLst>
                    </a:blip>
                    <a:stretch>
                      <a:fillRect/>
                    </a:stretch>
                  </pic:blipFill>
                  <pic:spPr>
                    <a:xfrm>
                      <a:off x="0" y="0"/>
                      <a:ext cx="1752600" cy="1752600"/>
                    </a:xfrm>
                    <a:prstGeom prst="rect">
                      <a:avLst/>
                    </a:prstGeom>
                  </pic:spPr>
                </pic:pic>
              </a:graphicData>
            </a:graphic>
            <wp14:sizeRelH relativeFrom="page">
              <wp14:pctWidth>0</wp14:pctWidth>
            </wp14:sizeRelH>
            <wp14:sizeRelV relativeFrom="page">
              <wp14:pctHeight>0</wp14:pctHeight>
            </wp14:sizeRelV>
          </wp:anchor>
        </w:drawing>
      </w:r>
    </w:p>
    <w:p w14:paraId="5C544030" w14:textId="77777777" w:rsidR="00AA706D" w:rsidRPr="006B34AD" w:rsidRDefault="00D26F3B" w:rsidP="00E36929">
      <w:pPr>
        <w:spacing w:line="276" w:lineRule="auto"/>
        <w:jc w:val="both"/>
        <w:rPr>
          <w:rFonts w:ascii="Roboto" w:hAnsi="Roboto"/>
          <w:sz w:val="20"/>
          <w:szCs w:val="20"/>
        </w:rPr>
      </w:pPr>
      <w:r w:rsidRPr="006B34AD">
        <w:rPr>
          <w:rFonts w:ascii="Roboto" w:hAnsi="Roboto"/>
          <w:sz w:val="20"/>
          <w:szCs w:val="20"/>
        </w:rPr>
        <w:t>The publishers of such portals however frequently face challenges with their conﬁguration and implementation; and subsequently with their dissemination, acceptance and use by wide audiences. This often emanates from a mismatch of expectations from those that supply, and those that demand ﬁscal information. Digital projects within governments can be considered as being internal management, service delivery and/or public communication investments. Governments that are focused more on processes than results however tend to minimize the importance of considering what users want or need.</w:t>
      </w:r>
      <w:r w:rsidR="00AA706D" w:rsidRPr="006B34AD">
        <w:rPr>
          <w:rFonts w:ascii="Roboto" w:hAnsi="Roboto"/>
          <w:sz w:val="20"/>
          <w:szCs w:val="20"/>
        </w:rPr>
        <w:t xml:space="preserve"> This GIFT </w:t>
      </w:r>
      <w:hyperlink r:id="rId956" w:history="1">
        <w:r w:rsidR="00AA706D" w:rsidRPr="006B34AD">
          <w:rPr>
            <w:rStyle w:val="Hyperlink"/>
            <w:rFonts w:ascii="Roboto" w:hAnsi="Roboto"/>
            <w:sz w:val="20"/>
            <w:szCs w:val="20"/>
          </w:rPr>
          <w:t>blog post</w:t>
        </w:r>
      </w:hyperlink>
      <w:r w:rsidR="00AA706D" w:rsidRPr="006B34AD">
        <w:rPr>
          <w:rFonts w:ascii="Roboto" w:hAnsi="Roboto"/>
          <w:sz w:val="20"/>
          <w:szCs w:val="20"/>
        </w:rPr>
        <w:t xml:space="preserve"> presents the results of a survey undertaken in 2021 in Latin American countries on fiscal transparency portals, providing key lessons. </w:t>
      </w:r>
    </w:p>
    <w:p w14:paraId="590B98DE" w14:textId="212A58CA" w:rsidR="003458A2" w:rsidRDefault="003458A2" w:rsidP="00D26F3B">
      <w:pPr>
        <w:spacing w:line="276" w:lineRule="auto"/>
        <w:jc w:val="both"/>
        <w:rPr>
          <w:rFonts w:ascii="Roboto" w:hAnsi="Roboto"/>
        </w:rPr>
      </w:pPr>
    </w:p>
    <w:p w14:paraId="709CF401" w14:textId="77777777" w:rsidR="006A7415" w:rsidRDefault="006A7415" w:rsidP="00D26F3B">
      <w:pPr>
        <w:spacing w:line="276" w:lineRule="auto"/>
        <w:jc w:val="both"/>
        <w:rPr>
          <w:rFonts w:ascii="Roboto" w:hAnsi="Roboto"/>
        </w:rPr>
      </w:pPr>
    </w:p>
    <w:p w14:paraId="0DCABB5B" w14:textId="3315029F" w:rsidR="00E03A66" w:rsidRPr="00E82C3B" w:rsidRDefault="00E82C3B" w:rsidP="00E82C3B">
      <w:pPr>
        <w:pStyle w:val="Heading3"/>
        <w:numPr>
          <w:ilvl w:val="2"/>
          <w:numId w:val="139"/>
        </w:numPr>
        <w:tabs>
          <w:tab w:val="left" w:pos="7580"/>
        </w:tabs>
        <w:ind w:left="709"/>
        <w:rPr>
          <w:rFonts w:ascii="Arial" w:hAnsi="Arial" w:cs="Arial"/>
          <w:b/>
          <w:bCs/>
          <w:color w:val="16988A"/>
          <w:sz w:val="32"/>
          <w:szCs w:val="32"/>
          <w:lang w:val="en-US"/>
        </w:rPr>
      </w:pPr>
      <w:bookmarkStart w:id="2346" w:name="_Toc123204548"/>
      <w:bookmarkStart w:id="2347" w:name="_Toc123216667"/>
      <w:bookmarkStart w:id="2348" w:name="_Toc123217507"/>
      <w:r>
        <w:rPr>
          <w:rFonts w:ascii="Arial" w:hAnsi="Arial" w:cs="Arial"/>
          <w:b/>
          <w:bCs/>
          <w:color w:val="16988A"/>
          <w:sz w:val="28"/>
          <w:szCs w:val="28"/>
          <w:lang w:val="en-US"/>
        </w:rPr>
        <w:t xml:space="preserve">  </w:t>
      </w:r>
      <w:bookmarkStart w:id="2349" w:name="_Toc123913463"/>
      <w:bookmarkStart w:id="2350" w:name="_Toc123914120"/>
      <w:bookmarkStart w:id="2351" w:name="_Toc125566735"/>
      <w:r w:rsidR="00E03A66" w:rsidRPr="00E82C3B">
        <w:rPr>
          <w:rFonts w:ascii="Arial" w:hAnsi="Arial" w:cs="Arial"/>
          <w:b/>
          <w:bCs/>
          <w:color w:val="16988A"/>
          <w:sz w:val="32"/>
          <w:szCs w:val="32"/>
          <w:lang w:val="en-US"/>
        </w:rPr>
        <w:t>User-centered development</w:t>
      </w:r>
      <w:bookmarkEnd w:id="2346"/>
      <w:bookmarkEnd w:id="2347"/>
      <w:bookmarkEnd w:id="2348"/>
      <w:bookmarkEnd w:id="2349"/>
      <w:bookmarkEnd w:id="2350"/>
      <w:bookmarkEnd w:id="2351"/>
    </w:p>
    <w:p w14:paraId="5B32B1EA" w14:textId="7180F38A" w:rsidR="00D26F3B" w:rsidRPr="00EB2A7C" w:rsidRDefault="00D26F3B" w:rsidP="00C04193">
      <w:pPr>
        <w:spacing w:line="276" w:lineRule="auto"/>
        <w:jc w:val="both"/>
        <w:rPr>
          <w:rFonts w:ascii="Arial" w:hAnsi="Arial" w:cs="Arial"/>
          <w:sz w:val="24"/>
          <w:szCs w:val="24"/>
        </w:rPr>
      </w:pPr>
    </w:p>
    <w:p w14:paraId="18C8D900" w14:textId="77777777" w:rsidR="00E03A66" w:rsidRPr="00EB2A7C" w:rsidRDefault="00E03A66" w:rsidP="00030253">
      <w:pPr>
        <w:spacing w:line="276" w:lineRule="auto"/>
        <w:contextualSpacing/>
        <w:jc w:val="both"/>
        <w:rPr>
          <w:rFonts w:ascii="Arial" w:hAnsi="Arial" w:cs="Arial"/>
          <w:sz w:val="24"/>
          <w:szCs w:val="24"/>
        </w:rPr>
      </w:pPr>
      <w:r w:rsidRPr="00EB2A7C">
        <w:rPr>
          <w:rFonts w:ascii="Arial" w:hAnsi="Arial" w:cs="Arial"/>
          <w:sz w:val="24"/>
          <w:szCs w:val="24"/>
        </w:rPr>
        <w:t xml:space="preserve">As can be seen throughout this module, it is vital that the needs of users are provided for, if fiscal transparency digital tools are to be effective. </w:t>
      </w:r>
    </w:p>
    <w:p w14:paraId="6C3982B4" w14:textId="77777777" w:rsidR="00E03A66" w:rsidRPr="00EB2A7C" w:rsidRDefault="00E03A66" w:rsidP="00030253">
      <w:pPr>
        <w:spacing w:line="276" w:lineRule="auto"/>
        <w:contextualSpacing/>
        <w:jc w:val="both"/>
        <w:rPr>
          <w:rFonts w:ascii="Arial" w:hAnsi="Arial" w:cs="Arial"/>
          <w:sz w:val="24"/>
          <w:szCs w:val="24"/>
        </w:rPr>
      </w:pPr>
    </w:p>
    <w:p w14:paraId="75582BF3" w14:textId="7B20A48A" w:rsidR="00E03A66" w:rsidRPr="00EB2A7C" w:rsidRDefault="00E03A66" w:rsidP="00030253">
      <w:pPr>
        <w:spacing w:line="276" w:lineRule="auto"/>
        <w:contextualSpacing/>
        <w:jc w:val="both"/>
        <w:rPr>
          <w:rFonts w:ascii="Arial" w:hAnsi="Arial" w:cs="Arial"/>
          <w:sz w:val="24"/>
          <w:szCs w:val="24"/>
        </w:rPr>
      </w:pPr>
      <w:r w:rsidRPr="00EB2A7C">
        <w:rPr>
          <w:rFonts w:ascii="Arial" w:hAnsi="Arial" w:cs="Arial"/>
          <w:sz w:val="24"/>
          <w:szCs w:val="24"/>
        </w:rPr>
        <w:t xml:space="preserve">Section 4 of the </w:t>
      </w:r>
      <w:hyperlink r:id="rId957" w:history="1">
        <w:r w:rsidRPr="00EB2A7C">
          <w:rPr>
            <w:rFonts w:ascii="Arial" w:hAnsi="Arial" w:cs="Arial"/>
            <w:color w:val="0563C1" w:themeColor="hyperlink"/>
            <w:sz w:val="24"/>
            <w:szCs w:val="24"/>
            <w:u w:val="single"/>
          </w:rPr>
          <w:t>Open Government Data Toolkit</w:t>
        </w:r>
      </w:hyperlink>
      <w:r w:rsidRPr="00EB2A7C">
        <w:rPr>
          <w:rFonts w:ascii="Arial" w:hAnsi="Arial" w:cs="Arial"/>
          <w:sz w:val="24"/>
          <w:szCs w:val="24"/>
        </w:rPr>
        <w:t xml:space="preserve"> on Demand and Engagement states that when assessing engagement strategies and activities, the level of readiness of an open data initiative and the data literacy of its users are primary factors to consider. It provides a strategy that can be followed to engage a variety of stakeholders as an open data program develops, both the readiness level and the initiative’s audience, with the aim of inspiring and empowering citizens to use open data and maximize value to the public in practical ways. It is important to note that potential users of information may not have the resources to engage with digital tools. Tools designed should take this into account, such that they can be as inclusive as possible, not leaving groups of traditionally excluded users, behind. The strategy is comprised of four stages: Early Engagement, Capacity Development, Use and Re-use and Further Development, with tools provided to assist in each of these stages.</w:t>
      </w:r>
    </w:p>
    <w:p w14:paraId="529AED28" w14:textId="27753600" w:rsidR="00E03A66" w:rsidRPr="00EB2A7C" w:rsidRDefault="00E03A66" w:rsidP="00030253">
      <w:pPr>
        <w:spacing w:line="276" w:lineRule="auto"/>
        <w:contextualSpacing/>
        <w:jc w:val="both"/>
        <w:rPr>
          <w:rFonts w:ascii="Arial" w:hAnsi="Arial" w:cs="Arial"/>
          <w:sz w:val="24"/>
          <w:szCs w:val="24"/>
        </w:rPr>
      </w:pPr>
    </w:p>
    <w:p w14:paraId="7D970378" w14:textId="3925ABDB" w:rsidR="00C04193" w:rsidRDefault="00E03A66" w:rsidP="007272A1">
      <w:pPr>
        <w:jc w:val="both"/>
        <w:rPr>
          <w:rFonts w:ascii="Arial" w:hAnsi="Arial" w:cs="Arial"/>
          <w:b/>
          <w:color w:val="ED5625"/>
          <w:sz w:val="24"/>
          <w:szCs w:val="24"/>
        </w:rPr>
      </w:pPr>
      <w:r w:rsidRPr="00EB2A7C">
        <w:rPr>
          <w:rFonts w:ascii="Arial" w:hAnsi="Arial" w:cs="Arial"/>
          <w:sz w:val="24"/>
          <w:szCs w:val="24"/>
        </w:rPr>
        <w:t xml:space="preserve">GIFT’s </w:t>
      </w:r>
      <w:hyperlink r:id="rId958" w:history="1">
        <w:r w:rsidRPr="00EB2A7C">
          <w:rPr>
            <w:rFonts w:ascii="Arial" w:hAnsi="Arial" w:cs="Arial"/>
            <w:color w:val="0563C1" w:themeColor="hyperlink"/>
            <w:sz w:val="24"/>
            <w:szCs w:val="24"/>
            <w:u w:val="single"/>
          </w:rPr>
          <w:t>Tutorial on fiscal transparency portals</w:t>
        </w:r>
      </w:hyperlink>
      <w:r w:rsidRPr="00EB2A7C">
        <w:rPr>
          <w:rFonts w:ascii="Arial" w:hAnsi="Arial" w:cs="Arial"/>
          <w:color w:val="0563C1" w:themeColor="hyperlink"/>
          <w:sz w:val="24"/>
          <w:szCs w:val="24"/>
          <w:u w:val="single"/>
        </w:rPr>
        <w:t>: A user-centred development</w:t>
      </w:r>
      <w:r w:rsidRPr="00EB2A7C">
        <w:rPr>
          <w:rFonts w:ascii="Arial" w:hAnsi="Arial" w:cs="Arial"/>
          <w:sz w:val="24"/>
          <w:szCs w:val="24"/>
        </w:rPr>
        <w:t xml:space="preserve"> aims to assist in bridging the gap between the supply and demand for ﬁscal information, by proposing an approach to publishing fiscal information that reflects user needs. The Tutorial stresses that as any digital tool intended for publication is made for the purpose of reaching users; it is vital to not only think about users, but to actively engage them in development through a user-</w:t>
      </w:r>
      <w:proofErr w:type="spellStart"/>
      <w:r w:rsidRPr="00EB2A7C">
        <w:rPr>
          <w:rFonts w:ascii="Arial" w:hAnsi="Arial" w:cs="Arial"/>
          <w:sz w:val="24"/>
          <w:szCs w:val="24"/>
        </w:rPr>
        <w:t>centered</w:t>
      </w:r>
      <w:proofErr w:type="spellEnd"/>
      <w:r w:rsidRPr="00EB2A7C">
        <w:rPr>
          <w:rFonts w:ascii="Arial" w:hAnsi="Arial" w:cs="Arial"/>
          <w:sz w:val="24"/>
          <w:szCs w:val="24"/>
        </w:rPr>
        <w:t xml:space="preserve"> process.</w:t>
      </w:r>
    </w:p>
    <w:p w14:paraId="196F25F5" w14:textId="11357F7A" w:rsidR="009820E7" w:rsidRDefault="0061593D" w:rsidP="009820E7">
      <w:pPr>
        <w:rPr>
          <w:rFonts w:ascii="Arial" w:hAnsi="Arial"/>
          <w:color w:val="19998C"/>
        </w:rPr>
      </w:pPr>
      <w:bookmarkStart w:id="2352" w:name="_Toc125566736"/>
      <w:bookmarkStart w:id="2353" w:name="_Toc123217508"/>
      <w:r w:rsidRPr="003625BA">
        <w:rPr>
          <w:noProof/>
          <w:lang w:val="en-US"/>
        </w:rPr>
        <mc:AlternateContent>
          <mc:Choice Requires="wps">
            <w:drawing>
              <wp:anchor distT="0" distB="0" distL="114300" distR="114300" simplePos="0" relativeHeight="255123454" behindDoc="1" locked="0" layoutInCell="1" allowOverlap="1" wp14:anchorId="0E32242F" wp14:editId="4416AEB2">
                <wp:simplePos x="0" y="0"/>
                <wp:positionH relativeFrom="margin">
                  <wp:posOffset>-175895</wp:posOffset>
                </wp:positionH>
                <wp:positionV relativeFrom="margin">
                  <wp:posOffset>7525195</wp:posOffset>
                </wp:positionV>
                <wp:extent cx="7010400" cy="1661795"/>
                <wp:effectExtent l="0" t="0" r="19050" b="14605"/>
                <wp:wrapNone/>
                <wp:docPr id="2768" name="Rectangle 2768"/>
                <wp:cNvGraphicFramePr/>
                <a:graphic xmlns:a="http://schemas.openxmlformats.org/drawingml/2006/main">
                  <a:graphicData uri="http://schemas.microsoft.com/office/word/2010/wordprocessingShape">
                    <wps:wsp>
                      <wps:cNvSpPr/>
                      <wps:spPr>
                        <a:xfrm>
                          <a:off x="0" y="0"/>
                          <a:ext cx="7010400" cy="1661795"/>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425FA" w14:textId="77777777" w:rsidR="00D15FD8" w:rsidRDefault="00D15FD8" w:rsidP="003625BA">
                            <w:pPr>
                              <w:shd w:val="clear" w:color="auto" w:fill="F2F2F2" w:themeFill="background1" w:themeFillShade="F2"/>
                            </w:pPr>
                          </w:p>
                          <w:p w14:paraId="61B1CD92"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2242F" id="Rectangle 2768" o:spid="_x0000_s1649" style="position:absolute;margin-left:-13.85pt;margin-top:592.55pt;width:552pt;height:130.85pt;z-index:-24819302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" fillcolor="#f2f2f2 [3052]" strokecolor="#16988a" strokeweight="1.5pt">
                <v:textbox>
                  <w:txbxContent>
                    <w:p w14:paraId="4D8425FA" w14:textId="77777777" w:rsidR="00D15FD8" w:rsidRDefault="00D15FD8" w:rsidP="003625BA">
                      <w:pPr>
                        <w:shd w:val="clear" w:color="auto" w:fill="F2F2F2" w:themeFill="background1" w:themeFillShade="F2"/>
                      </w:pPr>
                    </w:p>
                    <w:p w14:paraId="61B1CD92" w14:textId="77777777" w:rsidR="00D15FD8" w:rsidRPr="003625BA" w:rsidRDefault="00D15FD8" w:rsidP="003625BA">
                      <w:pPr>
                        <w:jc w:val="center"/>
                        <w:rPr>
                          <w:lang w:val="en-US"/>
                        </w:rPr>
                      </w:pPr>
                    </w:p>
                  </w:txbxContent>
                </v:textbox>
                <w10:wrap anchorx="margin" anchory="margin"/>
              </v:rect>
            </w:pict>
          </mc:Fallback>
        </mc:AlternateContent>
      </w:r>
    </w:p>
    <w:bookmarkEnd w:id="2352"/>
    <w:p w14:paraId="6CEDA816" w14:textId="2EC330D7" w:rsidR="00F94DED" w:rsidRDefault="00F94DED" w:rsidP="009820E7">
      <w:pPr>
        <w:rPr>
          <w:rFonts w:ascii="Arial" w:hAnsi="Arial"/>
          <w:color w:val="19998C"/>
        </w:rPr>
      </w:pPr>
    </w:p>
    <w:p w14:paraId="7487843B" w14:textId="4D2DF1DE" w:rsidR="00C04193" w:rsidRPr="00E82C3B" w:rsidRDefault="00C04193" w:rsidP="003625BA">
      <w:pPr>
        <w:pStyle w:val="Heading3"/>
        <w:jc w:val="center"/>
        <w:rPr>
          <w:rFonts w:ascii="Arial" w:hAnsi="Arial" w:cs="Arial"/>
          <w:b/>
          <w:bCs/>
          <w:color w:val="19998C"/>
          <w:sz w:val="26"/>
          <w:szCs w:val="26"/>
        </w:rPr>
      </w:pPr>
      <w:bookmarkStart w:id="2354" w:name="_Box_4.5._User-centered"/>
      <w:bookmarkStart w:id="2355" w:name="_Toc123914121"/>
      <w:bookmarkStart w:id="2356" w:name="_Toc125566737"/>
      <w:bookmarkEnd w:id="2354"/>
      <w:r w:rsidRPr="00E82C3B">
        <w:rPr>
          <w:rFonts w:ascii="Arial" w:hAnsi="Arial" w:cs="Arial"/>
          <w:b/>
          <w:bCs/>
          <w:color w:val="19998C"/>
          <w:sz w:val="26"/>
          <w:szCs w:val="26"/>
        </w:rPr>
        <w:t>Box 4.</w:t>
      </w:r>
      <w:r w:rsidR="004750D1" w:rsidRPr="00E82C3B">
        <w:rPr>
          <w:rFonts w:ascii="Arial" w:hAnsi="Arial" w:cs="Arial"/>
          <w:b/>
          <w:bCs/>
          <w:color w:val="19998C"/>
          <w:sz w:val="26"/>
          <w:szCs w:val="26"/>
        </w:rPr>
        <w:t>5</w:t>
      </w:r>
      <w:r w:rsidR="00AC27CC">
        <w:rPr>
          <w:rFonts w:ascii="Arial" w:hAnsi="Arial" w:cs="Arial"/>
          <w:b/>
          <w:bCs/>
          <w:color w:val="19998C"/>
          <w:sz w:val="26"/>
          <w:szCs w:val="26"/>
        </w:rPr>
        <w:t>.</w:t>
      </w:r>
      <w:r w:rsidRPr="00E82C3B">
        <w:rPr>
          <w:rFonts w:ascii="Arial" w:hAnsi="Arial" w:cs="Arial"/>
          <w:b/>
          <w:bCs/>
          <w:color w:val="19998C"/>
          <w:sz w:val="26"/>
          <w:szCs w:val="26"/>
        </w:rPr>
        <w:t xml:space="preserve"> User-</w:t>
      </w:r>
      <w:proofErr w:type="spellStart"/>
      <w:r w:rsidRPr="00E82C3B">
        <w:rPr>
          <w:rFonts w:ascii="Arial" w:hAnsi="Arial" w:cs="Arial"/>
          <w:b/>
          <w:bCs/>
          <w:color w:val="19998C"/>
          <w:sz w:val="26"/>
          <w:szCs w:val="26"/>
        </w:rPr>
        <w:t>centered</w:t>
      </w:r>
      <w:proofErr w:type="spellEnd"/>
      <w:r w:rsidRPr="00E82C3B">
        <w:rPr>
          <w:rFonts w:ascii="Arial" w:hAnsi="Arial" w:cs="Arial"/>
          <w:b/>
          <w:bCs/>
          <w:color w:val="19998C"/>
          <w:sz w:val="26"/>
          <w:szCs w:val="26"/>
        </w:rPr>
        <w:t xml:space="preserve"> development</w:t>
      </w:r>
      <w:bookmarkEnd w:id="2353"/>
      <w:bookmarkEnd w:id="2355"/>
      <w:bookmarkEnd w:id="2356"/>
    </w:p>
    <w:p w14:paraId="29600968" w14:textId="045ECA65" w:rsidR="00C04193" w:rsidRPr="00E82C3B" w:rsidRDefault="00C7441B" w:rsidP="003625BA">
      <w:pPr>
        <w:shd w:val="clear" w:color="auto" w:fill="F2F2F2" w:themeFill="background1" w:themeFillShade="F2"/>
        <w:rPr>
          <w:color w:val="3B3838" w:themeColor="background2" w:themeShade="40"/>
          <w:sz w:val="20"/>
          <w:szCs w:val="20"/>
        </w:rPr>
      </w:pPr>
      <w:r w:rsidRPr="00E82C3B">
        <w:rPr>
          <w:noProof/>
          <w:sz w:val="20"/>
          <w:szCs w:val="20"/>
          <w:lang w:val="en-US"/>
        </w:rPr>
        <w:drawing>
          <wp:anchor distT="0" distB="0" distL="114300" distR="114300" simplePos="0" relativeHeight="255121406" behindDoc="0" locked="0" layoutInCell="1" allowOverlap="1" wp14:anchorId="1BD72E5D" wp14:editId="3933FC29">
            <wp:simplePos x="0" y="0"/>
            <wp:positionH relativeFrom="column">
              <wp:posOffset>-88900</wp:posOffset>
            </wp:positionH>
            <wp:positionV relativeFrom="paragraph">
              <wp:posOffset>97790</wp:posOffset>
            </wp:positionV>
            <wp:extent cx="1028700" cy="990600"/>
            <wp:effectExtent l="0" t="0" r="0" b="0"/>
            <wp:wrapSquare wrapText="bothSides"/>
            <wp:docPr id="2767" name="Picture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Picture 2767"/>
                    <pic:cNvPicPr/>
                  </pic:nvPicPr>
                  <pic:blipFill rotWithShape="1">
                    <a:blip r:embed="rId959" cstate="screen">
                      <a:extLst>
                        <a:ext uri="{28A0092B-C50C-407E-A947-70E740481C1C}">
                          <a14:useLocalDpi xmlns:a14="http://schemas.microsoft.com/office/drawing/2010/main"/>
                        </a:ext>
                      </a:extLst>
                    </a:blip>
                    <a:srcRect/>
                    <a:stretch/>
                  </pic:blipFill>
                  <pic:spPr bwMode="auto">
                    <a:xfrm>
                      <a:off x="0" y="0"/>
                      <a:ext cx="1028700" cy="99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96292A" w14:textId="5C5D2434" w:rsidR="0040233A" w:rsidRPr="003625BA" w:rsidRDefault="00C7441B" w:rsidP="00AA706D">
      <w:pPr>
        <w:spacing w:line="276" w:lineRule="auto"/>
        <w:jc w:val="both"/>
        <w:rPr>
          <w:rFonts w:ascii="Roboto" w:hAnsi="Roboto"/>
          <w:color w:val="3B3838" w:themeColor="background2" w:themeShade="40"/>
          <w:sz w:val="20"/>
          <w:szCs w:val="20"/>
        </w:rPr>
      </w:pPr>
      <w:r w:rsidRPr="00C7441B">
        <w:rPr>
          <w:rFonts w:ascii="Roboto" w:hAnsi="Roboto"/>
          <w:color w:val="3B3838" w:themeColor="background2" w:themeShade="40"/>
          <w:sz w:val="20"/>
          <w:szCs w:val="20"/>
        </w:rPr>
        <w:t xml:space="preserve">The engagement of users throughout the development of portals and other digital tools not only facilitates an understanding of their needs and capabilities, but also serves as an early alert system for detecting possible positive and negative aspects that the development team may otherwise have overlooked in vital areas such as usability and accessibility. This is likely to lead to improvements in the quality of information published. Different problems that occur during and after the development or update of a publication, for example if requirements are not clear, and consequently the ﬁnal </w:t>
      </w:r>
      <w:r w:rsidRPr="00C7441B">
        <w:rPr>
          <w:rFonts w:ascii="Roboto" w:hAnsi="Roboto"/>
          <w:color w:val="3B3838" w:themeColor="background2" w:themeShade="40"/>
          <w:sz w:val="20"/>
          <w:szCs w:val="20"/>
        </w:rPr>
        <w:lastRenderedPageBreak/>
        <w:t>product does not have the expected speciﬁcations for the publication of content, can be addressed through the appropriate, step-by-step implementation of an iterative process with user engagement.</w:t>
      </w:r>
    </w:p>
    <w:p w14:paraId="44362982" w14:textId="25A276F1" w:rsidR="00C04193" w:rsidRPr="003625BA" w:rsidRDefault="0040233A" w:rsidP="00C04193">
      <w:pPr>
        <w:spacing w:line="276" w:lineRule="auto"/>
        <w:rPr>
          <w:rFonts w:ascii="Roboto" w:hAnsi="Roboto"/>
          <w:sz w:val="20"/>
          <w:szCs w:val="20"/>
        </w:rPr>
      </w:pPr>
      <w:r w:rsidRPr="003625BA">
        <w:rPr>
          <w:rFonts w:ascii="Roboto" w:hAnsi="Roboto" w:cs="Arial"/>
          <w:noProof/>
          <w:color w:val="ED5625"/>
          <w:sz w:val="20"/>
          <w:szCs w:val="20"/>
          <w:lang w:val="en-US"/>
        </w:rPr>
        <mc:AlternateContent>
          <mc:Choice Requires="wps">
            <w:drawing>
              <wp:anchor distT="0" distB="0" distL="114300" distR="114300" simplePos="0" relativeHeight="255125502" behindDoc="1" locked="0" layoutInCell="1" allowOverlap="1" wp14:anchorId="6C35935C" wp14:editId="1B2C9002">
                <wp:simplePos x="0" y="0"/>
                <wp:positionH relativeFrom="margin">
                  <wp:align>center</wp:align>
                </wp:positionH>
                <wp:positionV relativeFrom="margin">
                  <wp:posOffset>-50691</wp:posOffset>
                </wp:positionV>
                <wp:extent cx="7010400" cy="9038166"/>
                <wp:effectExtent l="12700" t="12700" r="12700" b="17145"/>
                <wp:wrapNone/>
                <wp:docPr id="2769" name="Rectangle 2769"/>
                <wp:cNvGraphicFramePr/>
                <a:graphic xmlns:a="http://schemas.openxmlformats.org/drawingml/2006/main">
                  <a:graphicData uri="http://schemas.microsoft.com/office/word/2010/wordprocessingShape">
                    <wps:wsp>
                      <wps:cNvSpPr/>
                      <wps:spPr>
                        <a:xfrm>
                          <a:off x="0" y="0"/>
                          <a:ext cx="7010400" cy="9038166"/>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7AB096" w14:textId="77777777" w:rsidR="00D15FD8" w:rsidRPr="003625BA" w:rsidRDefault="00D15FD8" w:rsidP="003625B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5935C" id="Rectangle 2769" o:spid="_x0000_s1650" style="position:absolute;margin-left:0;margin-top:-4pt;width:552pt;height:711.65pt;z-index:-24819097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" fillcolor="#f2f2f2 [3052]" strokecolor="#16988a" strokeweight="1.5pt">
                <v:textbox>
                  <w:txbxContent>
                    <w:p w14:paraId="547AB096" w14:textId="77777777" w:rsidR="00D15FD8" w:rsidRPr="003625BA" w:rsidRDefault="00D15FD8" w:rsidP="003625BA">
                      <w:pPr>
                        <w:jc w:val="center"/>
                        <w:rPr>
                          <w:lang w:val="en-US"/>
                        </w:rPr>
                      </w:pPr>
                    </w:p>
                  </w:txbxContent>
                </v:textbox>
                <w10:wrap anchorx="margin" anchory="margin"/>
              </v:rect>
            </w:pict>
          </mc:Fallback>
        </mc:AlternateContent>
      </w:r>
      <w:r w:rsidR="00C04193" w:rsidRPr="003625BA">
        <w:rPr>
          <w:rFonts w:ascii="Roboto" w:hAnsi="Roboto"/>
          <w:noProof/>
          <w:sz w:val="20"/>
          <w:szCs w:val="20"/>
          <w:lang w:val="en-US"/>
        </w:rPr>
        <mc:AlternateContent>
          <mc:Choice Requires="wps">
            <w:drawing>
              <wp:anchor distT="0" distB="0" distL="114300" distR="114300" simplePos="0" relativeHeight="254494718" behindDoc="0" locked="0" layoutInCell="1" allowOverlap="1" wp14:anchorId="37133149" wp14:editId="76569E06">
                <wp:simplePos x="0" y="0"/>
                <wp:positionH relativeFrom="column">
                  <wp:posOffset>-20955</wp:posOffset>
                </wp:positionH>
                <wp:positionV relativeFrom="paragraph">
                  <wp:posOffset>208118</wp:posOffset>
                </wp:positionV>
                <wp:extent cx="233916" cy="233916"/>
                <wp:effectExtent l="0" t="0" r="0" b="0"/>
                <wp:wrapNone/>
                <wp:docPr id="2522" name="Chevron 2522"/>
                <wp:cNvGraphicFramePr/>
                <a:graphic xmlns:a="http://schemas.openxmlformats.org/drawingml/2006/main">
                  <a:graphicData uri="http://schemas.microsoft.com/office/word/2010/wordprocessingShape">
                    <wps:wsp>
                      <wps:cNvSpPr/>
                      <wps:spPr>
                        <a:xfrm>
                          <a:off x="0" y="0"/>
                          <a:ext cx="233916" cy="233916"/>
                        </a:xfrm>
                        <a:prstGeom prst="chevron">
                          <a:avLst/>
                        </a:prstGeom>
                        <a:solidFill>
                          <a:srgbClr val="82CA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shape w14:anchorId="1F2FC1B4" id="Chevron 2522" o:spid="_x0000_s1026" type="#_x0000_t55" style="position:absolute;margin-left:-1.65pt;margin-top:16.4pt;width:18.4pt;height:18.4pt;z-index:2544947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" adj="10800" fillcolor="#82caa0" stroked="f" strokeweight="1pt"/>
            </w:pict>
          </mc:Fallback>
        </mc:AlternateContent>
      </w:r>
    </w:p>
    <w:p w14:paraId="6CE32BD4" w14:textId="77777777" w:rsidR="00C04193" w:rsidRPr="003625BA" w:rsidRDefault="00C04193" w:rsidP="00C04193">
      <w:pPr>
        <w:tabs>
          <w:tab w:val="left" w:pos="5291"/>
        </w:tabs>
        <w:spacing w:line="276" w:lineRule="auto"/>
        <w:rPr>
          <w:rFonts w:ascii="Roboto" w:hAnsi="Roboto"/>
          <w:b/>
          <w:color w:val="82CAA0"/>
          <w:sz w:val="20"/>
          <w:szCs w:val="20"/>
        </w:rPr>
      </w:pPr>
      <w:r>
        <w:rPr>
          <w:rFonts w:ascii="Roboto" w:hAnsi="Roboto"/>
          <w:b/>
          <w:color w:val="82CAA0"/>
        </w:rPr>
        <w:t xml:space="preserve">       </w:t>
      </w:r>
      <w:r w:rsidRPr="003625BA">
        <w:rPr>
          <w:rFonts w:ascii="Roboto" w:hAnsi="Roboto"/>
          <w:b/>
          <w:color w:val="82CAA0"/>
          <w:sz w:val="20"/>
          <w:szCs w:val="20"/>
        </w:rPr>
        <w:t>User-</w:t>
      </w:r>
      <w:proofErr w:type="spellStart"/>
      <w:r w:rsidRPr="003625BA">
        <w:rPr>
          <w:rFonts w:ascii="Roboto" w:hAnsi="Roboto"/>
          <w:b/>
          <w:color w:val="82CAA0"/>
          <w:sz w:val="20"/>
          <w:szCs w:val="20"/>
        </w:rPr>
        <w:t>centered</w:t>
      </w:r>
      <w:proofErr w:type="spellEnd"/>
      <w:r w:rsidRPr="003625BA">
        <w:rPr>
          <w:rFonts w:ascii="Roboto" w:hAnsi="Roboto"/>
          <w:b/>
          <w:color w:val="82CAA0"/>
          <w:sz w:val="20"/>
          <w:szCs w:val="20"/>
        </w:rPr>
        <w:t xml:space="preserve"> design (UCD)</w:t>
      </w:r>
    </w:p>
    <w:p w14:paraId="6215486B" w14:textId="29C4CDB6" w:rsidR="00C04193" w:rsidRDefault="00C7441B" w:rsidP="00C04193">
      <w:pPr>
        <w:tabs>
          <w:tab w:val="left" w:pos="5291"/>
        </w:tabs>
        <w:spacing w:line="276" w:lineRule="auto"/>
        <w:rPr>
          <w:rFonts w:ascii="Roboto" w:hAnsi="Roboto"/>
          <w:b/>
          <w:color w:val="82CAA0"/>
          <w:sz w:val="28"/>
          <w:szCs w:val="28"/>
        </w:rPr>
      </w:pPr>
      <w:r>
        <w:rPr>
          <w:rFonts w:ascii="Roboto" w:hAnsi="Roboto"/>
          <w:noProof/>
          <w:lang w:val="en-US"/>
        </w:rPr>
        <mc:AlternateContent>
          <mc:Choice Requires="wps">
            <w:drawing>
              <wp:anchor distT="0" distB="0" distL="114300" distR="114300" simplePos="0" relativeHeight="254488574" behindDoc="0" locked="0" layoutInCell="1" allowOverlap="1" wp14:anchorId="027CD265" wp14:editId="59B030C4">
                <wp:simplePos x="0" y="0"/>
                <wp:positionH relativeFrom="column">
                  <wp:posOffset>201886</wp:posOffset>
                </wp:positionH>
                <wp:positionV relativeFrom="paragraph">
                  <wp:posOffset>80601</wp:posOffset>
                </wp:positionV>
                <wp:extent cx="6505575" cy="1421962"/>
                <wp:effectExtent l="12700" t="12700" r="9525" b="13335"/>
                <wp:wrapNone/>
                <wp:docPr id="2524" name="Rounded Rectangle 2524"/>
                <wp:cNvGraphicFramePr/>
                <a:graphic xmlns:a="http://schemas.openxmlformats.org/drawingml/2006/main">
                  <a:graphicData uri="http://schemas.microsoft.com/office/word/2010/wordprocessingShape">
                    <wps:wsp>
                      <wps:cNvSpPr/>
                      <wps:spPr>
                        <a:xfrm>
                          <a:off x="0" y="0"/>
                          <a:ext cx="6505575" cy="1421962"/>
                        </a:xfrm>
                        <a:prstGeom prst="roundRect">
                          <a:avLst>
                            <a:gd name="adj" fmla="val 5721"/>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9A30476" id="Rounded Rectangle 2524" o:spid="_x0000_s1026" style="position:absolute;margin-left:15.9pt;margin-top:6.35pt;width:512.25pt;height:111.95pt;z-index:254488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" filled="f" strokecolor="#f36e27" strokeweight="1.5pt">
                <v:stroke joinstyle="miter"/>
              </v:roundrect>
            </w:pict>
          </mc:Fallback>
        </mc:AlternateContent>
      </w:r>
      <w:r>
        <w:rPr>
          <w:rFonts w:ascii="Roboto" w:hAnsi="Roboto"/>
          <w:noProof/>
          <w:lang w:val="en-US"/>
        </w:rPr>
        <mc:AlternateContent>
          <mc:Choice Requires="wps">
            <w:drawing>
              <wp:anchor distT="0" distB="0" distL="114300" distR="114300" simplePos="0" relativeHeight="254489598" behindDoc="0" locked="0" layoutInCell="1" allowOverlap="1" wp14:anchorId="73F94A95" wp14:editId="5081E8F5">
                <wp:simplePos x="0" y="0"/>
                <wp:positionH relativeFrom="column">
                  <wp:posOffset>292100</wp:posOffset>
                </wp:positionH>
                <wp:positionV relativeFrom="paragraph">
                  <wp:posOffset>164466</wp:posOffset>
                </wp:positionV>
                <wp:extent cx="6318250" cy="1447800"/>
                <wp:effectExtent l="0" t="0" r="0" b="0"/>
                <wp:wrapNone/>
                <wp:docPr id="2523" name="Text Box 2523"/>
                <wp:cNvGraphicFramePr/>
                <a:graphic xmlns:a="http://schemas.openxmlformats.org/drawingml/2006/main">
                  <a:graphicData uri="http://schemas.microsoft.com/office/word/2010/wordprocessingShape">
                    <wps:wsp>
                      <wps:cNvSpPr txBox="1"/>
                      <wps:spPr>
                        <a:xfrm>
                          <a:off x="0" y="0"/>
                          <a:ext cx="6318250" cy="1447800"/>
                        </a:xfrm>
                        <a:prstGeom prst="rect">
                          <a:avLst/>
                        </a:prstGeom>
                        <a:noFill/>
                        <a:ln w="6350">
                          <a:noFill/>
                        </a:ln>
                      </wps:spPr>
                      <wps:txbx>
                        <w:txbxContent>
                          <w:p w14:paraId="15E67A34" w14:textId="2FD2A4F9" w:rsidR="00D15FD8" w:rsidRPr="003625BA" w:rsidRDefault="00D15FD8" w:rsidP="00C04193">
                            <w:pPr>
                              <w:spacing w:line="276" w:lineRule="auto"/>
                              <w:jc w:val="both"/>
                              <w:rPr>
                                <w:rFonts w:ascii="Roboto" w:hAnsi="Roboto"/>
                                <w:b/>
                                <w:bCs/>
                                <w:color w:val="82CAA0"/>
                                <w:sz w:val="20"/>
                                <w:szCs w:val="20"/>
                                <w:u w:val="single"/>
                              </w:rPr>
                            </w:pPr>
                            <w:r w:rsidRPr="00C7441B">
                              <w:rPr>
                                <w:rFonts w:ascii="Roboto" w:hAnsi="Roboto"/>
                                <w:color w:val="3B3838" w:themeColor="background2" w:themeShade="40"/>
                                <w:sz w:val="20"/>
                                <w:szCs w:val="20"/>
                              </w:rPr>
                              <w:t>User-</w:t>
                            </w:r>
                            <w:proofErr w:type="spellStart"/>
                            <w:r w:rsidRPr="00C7441B">
                              <w:rPr>
                                <w:rFonts w:ascii="Roboto" w:hAnsi="Roboto"/>
                                <w:color w:val="3B3838" w:themeColor="background2" w:themeShade="40"/>
                                <w:sz w:val="20"/>
                                <w:szCs w:val="20"/>
                              </w:rPr>
                              <w:t>centered</w:t>
                            </w:r>
                            <w:proofErr w:type="spellEnd"/>
                            <w:r w:rsidRPr="00C7441B">
                              <w:rPr>
                                <w:rFonts w:ascii="Roboto" w:hAnsi="Roboto"/>
                                <w:color w:val="3B3838" w:themeColor="background2" w:themeShade="40"/>
                                <w:sz w:val="20"/>
                                <w:szCs w:val="20"/>
                              </w:rPr>
                              <w:t xml:space="preserve"> design (UCD): An iterative design method that focuses completely on addressing the needs of the ﬁnal users of a product, pertaining to among others, editorial design, urban design, architectural design or web design. This is not the same as designing by “thinking about the user”, because it requires engaging the users that a product is being created for, during development. The goal of UCD is to achieve a positive product user experience allowing users to resolve their speciﬁc needs with a high degree of satisfaction, with minimal effort; and developers to evaluate and adjust the design until this result is achieved. </w:t>
                            </w:r>
                            <w:r w:rsidRPr="003625BA">
                              <w:rPr>
                                <w:rFonts w:ascii="Roboto" w:hAnsi="Roboto"/>
                                <w:b/>
                                <w:bCs/>
                                <w:color w:val="82CAA0"/>
                                <w:sz w:val="20"/>
                                <w:szCs w:val="20"/>
                              </w:rPr>
                              <w:t>There are five levels of UCD, ranging from abstract to concrete levels: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94A95" id="Text Box 2523" o:spid="_x0000_s1651" type="#_x0000_t202" style="position:absolute;margin-left:23pt;margin-top:12.95pt;width:497.5pt;height:114pt;z-index:254489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" filled="f" stroked="f" strokeweight=".5pt">
                <v:textbox>
                  <w:txbxContent>
                    <w:p w14:paraId="15E67A34" w14:textId="2FD2A4F9" w:rsidR="00D15FD8" w:rsidRPr="003625BA" w:rsidRDefault="00D15FD8" w:rsidP="00C04193">
                      <w:pPr>
                        <w:spacing w:line="276" w:lineRule="auto"/>
                        <w:jc w:val="both"/>
                        <w:rPr>
                          <w:rFonts w:ascii="Roboto" w:hAnsi="Roboto"/>
                          <w:b/>
                          <w:bCs/>
                          <w:color w:val="82CAA0"/>
                          <w:sz w:val="20"/>
                          <w:szCs w:val="20"/>
                          <w:u w:val="single"/>
                        </w:rPr>
                      </w:pPr>
                      <w:r w:rsidRPr="00C7441B">
                        <w:rPr>
                          <w:rFonts w:ascii="Roboto" w:hAnsi="Roboto"/>
                          <w:color w:val="3B3838" w:themeColor="background2" w:themeShade="40"/>
                          <w:sz w:val="20"/>
                          <w:szCs w:val="20"/>
                        </w:rPr>
                        <w:t>User-</w:t>
                      </w:r>
                      <w:proofErr w:type="spellStart"/>
                      <w:r w:rsidRPr="00C7441B">
                        <w:rPr>
                          <w:rFonts w:ascii="Roboto" w:hAnsi="Roboto"/>
                          <w:color w:val="3B3838" w:themeColor="background2" w:themeShade="40"/>
                          <w:sz w:val="20"/>
                          <w:szCs w:val="20"/>
                        </w:rPr>
                        <w:t>centered</w:t>
                      </w:r>
                      <w:proofErr w:type="spellEnd"/>
                      <w:r w:rsidRPr="00C7441B">
                        <w:rPr>
                          <w:rFonts w:ascii="Roboto" w:hAnsi="Roboto"/>
                          <w:color w:val="3B3838" w:themeColor="background2" w:themeShade="40"/>
                          <w:sz w:val="20"/>
                          <w:szCs w:val="20"/>
                        </w:rPr>
                        <w:t xml:space="preserve"> design (UCD): An iterative design method that focuses completely on addressing the needs of the ﬁnal users of a product, pertaining to among others, editorial design, urban design, architectural design or web design. This is not the same as designing by “thinking about the user”, because it requires engaging the users that a product is being created for, during development. The goal of UCD is to achieve a positive product user experience allowing users to resolve their speciﬁc needs with a high degree of satisfaction, with minimal effort; and developers to evaluate and adjust the design until this result is achieved. </w:t>
                      </w:r>
                      <w:r w:rsidRPr="003625BA">
                        <w:rPr>
                          <w:rFonts w:ascii="Roboto" w:hAnsi="Roboto"/>
                          <w:b/>
                          <w:bCs/>
                          <w:color w:val="82CAA0"/>
                          <w:sz w:val="20"/>
                          <w:szCs w:val="20"/>
                        </w:rPr>
                        <w:t>There are five levels of UCD, ranging from abstract to concrete levels:</w:t>
                      </w:r>
                    </w:p>
                  </w:txbxContent>
                </v:textbox>
              </v:shape>
            </w:pict>
          </mc:Fallback>
        </mc:AlternateContent>
      </w:r>
    </w:p>
    <w:p w14:paraId="658819FE" w14:textId="77777777" w:rsidR="00C04193" w:rsidRDefault="00C04193" w:rsidP="00C04193">
      <w:pPr>
        <w:tabs>
          <w:tab w:val="left" w:pos="5291"/>
        </w:tabs>
        <w:spacing w:line="276" w:lineRule="auto"/>
        <w:rPr>
          <w:rFonts w:ascii="Roboto" w:hAnsi="Roboto"/>
          <w:b/>
          <w:color w:val="82CAA0"/>
          <w:sz w:val="28"/>
          <w:szCs w:val="28"/>
        </w:rPr>
      </w:pPr>
    </w:p>
    <w:p w14:paraId="315A1F68" w14:textId="77777777" w:rsidR="00C04193" w:rsidRDefault="00C04193" w:rsidP="00C04193">
      <w:pPr>
        <w:tabs>
          <w:tab w:val="left" w:pos="5291"/>
        </w:tabs>
        <w:spacing w:line="276" w:lineRule="auto"/>
        <w:rPr>
          <w:rFonts w:ascii="Roboto" w:hAnsi="Roboto"/>
          <w:b/>
          <w:color w:val="82CAA0"/>
          <w:sz w:val="28"/>
          <w:szCs w:val="28"/>
        </w:rPr>
      </w:pPr>
    </w:p>
    <w:p w14:paraId="6973B577" w14:textId="77777777" w:rsidR="00C04193" w:rsidRDefault="00C04193" w:rsidP="00C04193">
      <w:pPr>
        <w:tabs>
          <w:tab w:val="left" w:pos="5291"/>
        </w:tabs>
        <w:spacing w:line="276" w:lineRule="auto"/>
        <w:rPr>
          <w:rFonts w:ascii="Roboto" w:hAnsi="Roboto"/>
          <w:b/>
          <w:color w:val="82CAA0"/>
          <w:sz w:val="28"/>
          <w:szCs w:val="28"/>
        </w:rPr>
      </w:pPr>
    </w:p>
    <w:p w14:paraId="17058A86" w14:textId="77777777" w:rsidR="00C04193" w:rsidRPr="006D53DA" w:rsidRDefault="00C04193" w:rsidP="00C04193">
      <w:pPr>
        <w:tabs>
          <w:tab w:val="left" w:pos="5291"/>
        </w:tabs>
        <w:spacing w:line="276" w:lineRule="auto"/>
        <w:rPr>
          <w:rFonts w:ascii="Roboto" w:hAnsi="Roboto"/>
          <w:b/>
          <w:color w:val="82CAA0"/>
          <w:sz w:val="28"/>
          <w:szCs w:val="28"/>
        </w:rPr>
      </w:pPr>
    </w:p>
    <w:p w14:paraId="4A9FE68F" w14:textId="77777777" w:rsidR="00C04193" w:rsidRDefault="00C04193" w:rsidP="00C04193">
      <w:pPr>
        <w:tabs>
          <w:tab w:val="left" w:pos="5291"/>
        </w:tabs>
        <w:spacing w:line="276" w:lineRule="auto"/>
        <w:jc w:val="both"/>
        <w:rPr>
          <w:rFonts w:ascii="Roboto" w:hAnsi="Roboto"/>
        </w:rPr>
      </w:pPr>
    </w:p>
    <w:p w14:paraId="6E64906F" w14:textId="3538CAE4" w:rsidR="00030253" w:rsidRPr="0061593D" w:rsidRDefault="00C04193" w:rsidP="0061593D">
      <w:pPr>
        <w:tabs>
          <w:tab w:val="left" w:pos="5291"/>
        </w:tabs>
        <w:spacing w:line="276" w:lineRule="auto"/>
        <w:jc w:val="both"/>
        <w:rPr>
          <w:rFonts w:ascii="Roboto" w:hAnsi="Roboto"/>
        </w:rPr>
      </w:pPr>
      <w:r w:rsidRPr="006F3826">
        <w:rPr>
          <w:rFonts w:ascii="Roboto" w:hAnsi="Roboto"/>
        </w:rPr>
        <w:tab/>
      </w:r>
    </w:p>
    <w:p w14:paraId="3EF30F83" w14:textId="486043F9" w:rsidR="00C04193" w:rsidRPr="003625BA" w:rsidRDefault="00C04193" w:rsidP="00C04193">
      <w:pPr>
        <w:spacing w:line="276" w:lineRule="auto"/>
        <w:rPr>
          <w:rFonts w:ascii="Roboto" w:hAnsi="Roboto"/>
          <w:b/>
          <w:color w:val="82CAA0"/>
          <w:sz w:val="20"/>
          <w:szCs w:val="20"/>
        </w:rPr>
      </w:pPr>
      <w:r w:rsidRPr="003625BA">
        <w:rPr>
          <w:rFonts w:ascii="Roboto" w:hAnsi="Roboto"/>
          <w:b/>
          <w:color w:val="F36E27"/>
          <w:sz w:val="20"/>
          <w:szCs w:val="20"/>
        </w:rPr>
        <w:t xml:space="preserve">1 | </w:t>
      </w:r>
      <w:r w:rsidRPr="003625BA">
        <w:rPr>
          <w:rFonts w:ascii="Roboto" w:hAnsi="Roboto"/>
          <w:b/>
          <w:color w:val="82CAA0"/>
          <w:sz w:val="20"/>
          <w:szCs w:val="20"/>
        </w:rPr>
        <w:t>Strategic level:</w:t>
      </w:r>
    </w:p>
    <w:p w14:paraId="66DE35F2" w14:textId="493B945F" w:rsidR="00C7441B" w:rsidRPr="003625BA" w:rsidRDefault="00C7441B" w:rsidP="00546B4D">
      <w:pPr>
        <w:spacing w:line="276" w:lineRule="auto"/>
        <w:jc w:val="both"/>
        <w:rPr>
          <w:rFonts w:ascii="Roboto" w:hAnsi="Roboto"/>
          <w:sz w:val="20"/>
          <w:szCs w:val="20"/>
        </w:rPr>
      </w:pPr>
      <w:r w:rsidRPr="00C7441B">
        <w:rPr>
          <w:rFonts w:ascii="Roboto" w:hAnsi="Roboto"/>
          <w:sz w:val="20"/>
          <w:szCs w:val="20"/>
        </w:rPr>
        <w:t xml:space="preserve">This is where the ‘what for’ and ‘with what’ questions steer the project being developed; in other words, this is where the general purpose of the portal or platform is deﬁned, inclusive of its objectives and goals. </w:t>
      </w:r>
    </w:p>
    <w:p w14:paraId="59E1AEF0" w14:textId="77777777" w:rsidR="00C04193" w:rsidRPr="003625BA" w:rsidRDefault="00C04193" w:rsidP="00546B4D">
      <w:pPr>
        <w:spacing w:line="276" w:lineRule="auto"/>
        <w:jc w:val="both"/>
        <w:rPr>
          <w:rFonts w:ascii="Roboto" w:hAnsi="Roboto"/>
          <w:sz w:val="20"/>
          <w:szCs w:val="20"/>
        </w:rPr>
      </w:pPr>
    </w:p>
    <w:p w14:paraId="420125BF" w14:textId="77777777" w:rsidR="00C04193" w:rsidRPr="003625BA" w:rsidRDefault="00C04193" w:rsidP="00546B4D">
      <w:pPr>
        <w:spacing w:line="276" w:lineRule="auto"/>
        <w:jc w:val="both"/>
        <w:rPr>
          <w:rFonts w:ascii="Roboto" w:hAnsi="Roboto"/>
          <w:b/>
          <w:color w:val="82CAA0"/>
          <w:sz w:val="20"/>
          <w:szCs w:val="20"/>
        </w:rPr>
      </w:pPr>
      <w:r w:rsidRPr="003625BA">
        <w:rPr>
          <w:rFonts w:ascii="Roboto" w:hAnsi="Roboto"/>
          <w:b/>
          <w:color w:val="F36E27"/>
          <w:sz w:val="20"/>
          <w:szCs w:val="20"/>
        </w:rPr>
        <w:t xml:space="preserve">2 | </w:t>
      </w:r>
      <w:r w:rsidRPr="003625BA">
        <w:rPr>
          <w:rFonts w:ascii="Roboto" w:hAnsi="Roboto"/>
          <w:b/>
          <w:color w:val="82CAA0"/>
          <w:sz w:val="20"/>
          <w:szCs w:val="20"/>
        </w:rPr>
        <w:t>Requirements level:</w:t>
      </w:r>
    </w:p>
    <w:p w14:paraId="59AD447E" w14:textId="67652E32" w:rsidR="00C7441B" w:rsidRPr="003625BA" w:rsidRDefault="00C7441B" w:rsidP="00546B4D">
      <w:pPr>
        <w:spacing w:line="276" w:lineRule="auto"/>
        <w:jc w:val="both"/>
        <w:rPr>
          <w:rFonts w:ascii="Roboto" w:hAnsi="Roboto"/>
          <w:sz w:val="20"/>
          <w:szCs w:val="20"/>
        </w:rPr>
      </w:pPr>
      <w:r w:rsidRPr="00C7441B">
        <w:rPr>
          <w:rFonts w:ascii="Roboto" w:hAnsi="Roboto"/>
          <w:sz w:val="20"/>
          <w:szCs w:val="20"/>
        </w:rPr>
        <w:t xml:space="preserve">The digital tool’s scope and content requirements are defined, and its functional speciﬁcations are established. Some of the characteristics/requirements that are documented at this level, and that determine speciﬁc functionality, could include examples such as when a user interacts with a spending graphic by downloading the open data for a more detailed analysis, or when, as a user </w:t>
      </w:r>
      <w:proofErr w:type="spellStart"/>
      <w:r w:rsidRPr="00C7441B">
        <w:rPr>
          <w:rFonts w:ascii="Roboto" w:hAnsi="Roboto"/>
          <w:sz w:val="20"/>
          <w:szCs w:val="20"/>
        </w:rPr>
        <w:t>analyzes</w:t>
      </w:r>
      <w:proofErr w:type="spellEnd"/>
      <w:r w:rsidRPr="00C7441B">
        <w:rPr>
          <w:rFonts w:ascii="Roboto" w:hAnsi="Roboto"/>
          <w:sz w:val="20"/>
          <w:szCs w:val="20"/>
        </w:rPr>
        <w:t xml:space="preserve"> an investment project, they can choose to visualize it on a georeferenced map to get a clearer idea of the possible beneﬁciaries.</w:t>
      </w:r>
    </w:p>
    <w:p w14:paraId="68D1D38A" w14:textId="77777777" w:rsidR="00C04193" w:rsidRPr="003625BA" w:rsidRDefault="00C04193" w:rsidP="00546B4D">
      <w:pPr>
        <w:spacing w:line="276" w:lineRule="auto"/>
        <w:jc w:val="both"/>
        <w:rPr>
          <w:rFonts w:ascii="Roboto" w:hAnsi="Roboto"/>
          <w:sz w:val="20"/>
          <w:szCs w:val="20"/>
        </w:rPr>
      </w:pPr>
    </w:p>
    <w:p w14:paraId="54AD49DF" w14:textId="77777777" w:rsidR="00C04193" w:rsidRPr="003625BA" w:rsidRDefault="00C04193" w:rsidP="00546B4D">
      <w:pPr>
        <w:spacing w:line="276" w:lineRule="auto"/>
        <w:jc w:val="both"/>
        <w:rPr>
          <w:rFonts w:ascii="Roboto" w:hAnsi="Roboto"/>
          <w:b/>
          <w:color w:val="82CAA0"/>
          <w:sz w:val="20"/>
          <w:szCs w:val="20"/>
        </w:rPr>
      </w:pPr>
      <w:r w:rsidRPr="003625BA">
        <w:rPr>
          <w:rFonts w:ascii="Roboto" w:hAnsi="Roboto"/>
          <w:b/>
          <w:color w:val="F36E27"/>
          <w:sz w:val="20"/>
          <w:szCs w:val="20"/>
        </w:rPr>
        <w:t xml:space="preserve">3 | </w:t>
      </w:r>
      <w:r w:rsidRPr="003625BA">
        <w:rPr>
          <w:rFonts w:ascii="Roboto" w:hAnsi="Roboto"/>
          <w:b/>
          <w:color w:val="82CAA0"/>
          <w:sz w:val="20"/>
          <w:szCs w:val="20"/>
        </w:rPr>
        <w:t>Structure design level:</w:t>
      </w:r>
    </w:p>
    <w:p w14:paraId="76503524" w14:textId="20CDF700" w:rsidR="00C7441B" w:rsidRPr="003625BA" w:rsidRDefault="00C7441B" w:rsidP="00546B4D">
      <w:pPr>
        <w:spacing w:line="276" w:lineRule="auto"/>
        <w:jc w:val="both"/>
        <w:rPr>
          <w:rFonts w:ascii="Roboto" w:hAnsi="Roboto"/>
          <w:sz w:val="20"/>
          <w:szCs w:val="20"/>
        </w:rPr>
      </w:pPr>
      <w:r w:rsidRPr="00C7441B">
        <w:rPr>
          <w:rFonts w:ascii="Roboto" w:hAnsi="Roboto"/>
          <w:sz w:val="20"/>
          <w:szCs w:val="20"/>
        </w:rPr>
        <w:t xml:space="preserve">Focuses on the possible navigation paths available to users in order for them to move from one section of published information to another. </w:t>
      </w:r>
    </w:p>
    <w:p w14:paraId="3B01C220" w14:textId="77777777" w:rsidR="00C04193" w:rsidRPr="003625BA" w:rsidRDefault="00C04193" w:rsidP="00546B4D">
      <w:pPr>
        <w:spacing w:line="276" w:lineRule="auto"/>
        <w:jc w:val="both"/>
        <w:rPr>
          <w:rFonts w:ascii="Roboto" w:hAnsi="Roboto"/>
          <w:sz w:val="20"/>
          <w:szCs w:val="20"/>
        </w:rPr>
      </w:pPr>
    </w:p>
    <w:p w14:paraId="4D812742" w14:textId="77777777" w:rsidR="00C04193" w:rsidRPr="003625BA" w:rsidRDefault="00C04193" w:rsidP="00546B4D">
      <w:pPr>
        <w:spacing w:line="276" w:lineRule="auto"/>
        <w:jc w:val="both"/>
        <w:rPr>
          <w:rFonts w:ascii="Roboto" w:hAnsi="Roboto"/>
          <w:b/>
          <w:color w:val="82CAA0"/>
          <w:sz w:val="20"/>
          <w:szCs w:val="20"/>
        </w:rPr>
      </w:pPr>
      <w:r w:rsidRPr="003625BA">
        <w:rPr>
          <w:rFonts w:ascii="Roboto" w:hAnsi="Roboto"/>
          <w:b/>
          <w:color w:val="F36E27"/>
          <w:sz w:val="20"/>
          <w:szCs w:val="20"/>
        </w:rPr>
        <w:t xml:space="preserve">4 | </w:t>
      </w:r>
      <w:r w:rsidRPr="003625BA">
        <w:rPr>
          <w:rFonts w:ascii="Roboto" w:hAnsi="Roboto"/>
          <w:b/>
          <w:color w:val="82CAA0"/>
          <w:sz w:val="20"/>
          <w:szCs w:val="20"/>
        </w:rPr>
        <w:t>Information design level:</w:t>
      </w:r>
    </w:p>
    <w:p w14:paraId="6006C728" w14:textId="153CE472" w:rsidR="00C7441B" w:rsidRPr="003625BA" w:rsidRDefault="00C7441B" w:rsidP="00546B4D">
      <w:pPr>
        <w:spacing w:line="276" w:lineRule="auto"/>
        <w:jc w:val="both"/>
        <w:rPr>
          <w:rFonts w:ascii="Roboto" w:hAnsi="Roboto"/>
          <w:sz w:val="20"/>
          <w:szCs w:val="20"/>
        </w:rPr>
      </w:pPr>
      <w:r w:rsidRPr="00C7441B">
        <w:rPr>
          <w:rFonts w:ascii="Roboto" w:hAnsi="Roboto"/>
          <w:sz w:val="20"/>
          <w:szCs w:val="20"/>
        </w:rPr>
        <w:t>Proportions and distribution plans for elements, including text blocks, buttons, menus, et cetera., are developed through the use of a visual hierarchy that helps users easily ﬁnd what they are looking for.</w:t>
      </w:r>
    </w:p>
    <w:p w14:paraId="1DD520F0" w14:textId="77777777" w:rsidR="00C04193" w:rsidRPr="003625BA" w:rsidRDefault="00C04193" w:rsidP="00546B4D">
      <w:pPr>
        <w:spacing w:line="276" w:lineRule="auto"/>
        <w:jc w:val="both"/>
        <w:rPr>
          <w:rFonts w:ascii="Roboto" w:hAnsi="Roboto"/>
          <w:sz w:val="20"/>
          <w:szCs w:val="20"/>
        </w:rPr>
      </w:pPr>
    </w:p>
    <w:p w14:paraId="145D6617" w14:textId="77777777" w:rsidR="00C04193" w:rsidRPr="003625BA" w:rsidRDefault="00C04193" w:rsidP="00546B4D">
      <w:pPr>
        <w:spacing w:line="276" w:lineRule="auto"/>
        <w:jc w:val="both"/>
        <w:rPr>
          <w:rFonts w:ascii="Roboto" w:hAnsi="Roboto"/>
          <w:b/>
          <w:color w:val="82CAA0"/>
          <w:sz w:val="20"/>
          <w:szCs w:val="20"/>
        </w:rPr>
      </w:pPr>
      <w:r w:rsidRPr="003625BA">
        <w:rPr>
          <w:rFonts w:ascii="Roboto" w:hAnsi="Roboto"/>
          <w:b/>
          <w:color w:val="F36E27"/>
          <w:sz w:val="20"/>
          <w:szCs w:val="20"/>
        </w:rPr>
        <w:t xml:space="preserve">5 | </w:t>
      </w:r>
      <w:r w:rsidRPr="003625BA">
        <w:rPr>
          <w:rFonts w:ascii="Roboto" w:hAnsi="Roboto"/>
          <w:b/>
          <w:color w:val="82CAA0"/>
          <w:sz w:val="20"/>
          <w:szCs w:val="20"/>
        </w:rPr>
        <w:t>Visual Design level:</w:t>
      </w:r>
    </w:p>
    <w:p w14:paraId="4E799FEF" w14:textId="26E66AAC" w:rsidR="00C7441B" w:rsidRPr="003625BA" w:rsidRDefault="00C7441B" w:rsidP="00546B4D">
      <w:pPr>
        <w:spacing w:line="276" w:lineRule="auto"/>
        <w:jc w:val="both"/>
        <w:rPr>
          <w:rFonts w:ascii="Roboto" w:hAnsi="Roboto"/>
          <w:sz w:val="20"/>
          <w:szCs w:val="20"/>
        </w:rPr>
      </w:pPr>
      <w:r w:rsidRPr="00C7441B">
        <w:rPr>
          <w:rFonts w:ascii="Roboto" w:hAnsi="Roboto"/>
          <w:sz w:val="20"/>
          <w:szCs w:val="20"/>
        </w:rPr>
        <w:t xml:space="preserve">Decisions made concerning the fonts, </w:t>
      </w:r>
      <w:proofErr w:type="spellStart"/>
      <w:r w:rsidRPr="00C7441B">
        <w:rPr>
          <w:rFonts w:ascii="Roboto" w:hAnsi="Roboto"/>
          <w:sz w:val="20"/>
          <w:szCs w:val="20"/>
        </w:rPr>
        <w:t>colors</w:t>
      </w:r>
      <w:proofErr w:type="spellEnd"/>
      <w:r w:rsidRPr="00C7441B">
        <w:rPr>
          <w:rFonts w:ascii="Roboto" w:hAnsi="Roboto"/>
          <w:sz w:val="20"/>
          <w:szCs w:val="20"/>
        </w:rPr>
        <w:t>, images and other elements with which users will interact.</w:t>
      </w:r>
    </w:p>
    <w:p w14:paraId="5BB454B6" w14:textId="45DB2A48" w:rsidR="00C7441B" w:rsidRDefault="00C7441B" w:rsidP="00546B4D">
      <w:pPr>
        <w:spacing w:line="276" w:lineRule="auto"/>
        <w:jc w:val="both"/>
        <w:rPr>
          <w:rFonts w:ascii="Roboto" w:hAnsi="Roboto"/>
          <w:sz w:val="20"/>
          <w:szCs w:val="20"/>
        </w:rPr>
      </w:pPr>
    </w:p>
    <w:p w14:paraId="264E9426" w14:textId="682D396C" w:rsidR="00C04193" w:rsidRPr="00AA706D" w:rsidRDefault="00C7441B" w:rsidP="00AA706D">
      <w:pPr>
        <w:spacing w:line="276" w:lineRule="auto"/>
        <w:jc w:val="both"/>
        <w:rPr>
          <w:rFonts w:ascii="Roboto" w:hAnsi="Roboto"/>
          <w:sz w:val="20"/>
          <w:szCs w:val="20"/>
        </w:rPr>
      </w:pPr>
      <w:r w:rsidRPr="00C7441B">
        <w:rPr>
          <w:rFonts w:ascii="Roboto" w:hAnsi="Roboto"/>
          <w:sz w:val="20"/>
          <w:szCs w:val="20"/>
        </w:rPr>
        <w:t>As development progresses from one level to the next, the problems to be solved become more concrete and their level of abstraction diminishes; decisions, too, become more speciﬁc and detailed. As the UCD process requires small repetitive stages or iterations, to carry out this method and transit through the ﬁve levels, it is necessary to understand each step-in order to implement it. These steps are planning, conceptualizing, creating, prototype testing and reﬁning, launching, monitoring, and ﬁnally evaluating, which together form an iterative design. The tutorial explains these steps in detail, and explains that they form the axis for its additional modules focusing on:</w:t>
      </w:r>
    </w:p>
    <w:p w14:paraId="2F962B61" w14:textId="6CA512C7" w:rsidR="00C04193" w:rsidRPr="006D53DA" w:rsidRDefault="00AA706D" w:rsidP="00C04193">
      <w:pPr>
        <w:spacing w:line="276" w:lineRule="auto"/>
        <w:rPr>
          <w:rFonts w:ascii="Roboto" w:hAnsi="Roboto"/>
        </w:rPr>
      </w:pPr>
      <w:r w:rsidRPr="009E7A65">
        <w:rPr>
          <w:rFonts w:ascii="Roboto" w:hAnsi="Roboto"/>
          <w:noProof/>
          <w:lang w:val="en-US"/>
        </w:rPr>
        <mc:AlternateContent>
          <mc:Choice Requires="wps">
            <w:drawing>
              <wp:anchor distT="0" distB="0" distL="114300" distR="114300" simplePos="0" relativeHeight="254492670" behindDoc="0" locked="0" layoutInCell="1" allowOverlap="1" wp14:anchorId="1CAC50AC" wp14:editId="504EA44C">
                <wp:simplePos x="0" y="0"/>
                <wp:positionH relativeFrom="margin">
                  <wp:posOffset>-28864</wp:posOffset>
                </wp:positionH>
                <wp:positionV relativeFrom="paragraph">
                  <wp:posOffset>140837</wp:posOffset>
                </wp:positionV>
                <wp:extent cx="6661150" cy="1447965"/>
                <wp:effectExtent l="0" t="0" r="25400" b="19050"/>
                <wp:wrapNone/>
                <wp:docPr id="2525" name="Rounded Rectangle 2525"/>
                <wp:cNvGraphicFramePr/>
                <a:graphic xmlns:a="http://schemas.openxmlformats.org/drawingml/2006/main">
                  <a:graphicData uri="http://schemas.microsoft.com/office/word/2010/wordprocessingShape">
                    <wps:wsp>
                      <wps:cNvSpPr/>
                      <wps:spPr>
                        <a:xfrm>
                          <a:off x="0" y="0"/>
                          <a:ext cx="6661150" cy="1447965"/>
                        </a:xfrm>
                        <a:prstGeom prst="roundRect">
                          <a:avLst>
                            <a:gd name="adj" fmla="val 7078"/>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3CA7A70" id="Rounded Rectangle 2525" o:spid="_x0000_s1026" style="position:absolute;margin-left:-2.25pt;margin-top:11.1pt;width:524.5pt;height:114pt;z-index:2544926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6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" filled="f" strokecolor="#f36e27" strokeweight="1.5pt">
                <v:stroke joinstyle="miter"/>
                <w10:wrap anchorx="margin"/>
              </v:roundrect>
            </w:pict>
          </mc:Fallback>
        </mc:AlternateContent>
      </w:r>
    </w:p>
    <w:p w14:paraId="2F0AFD35" w14:textId="13CE55E8" w:rsidR="00C04193" w:rsidRDefault="00AA706D" w:rsidP="00C04193">
      <w:pPr>
        <w:pStyle w:val="ListParagraph"/>
        <w:spacing w:line="276" w:lineRule="auto"/>
        <w:rPr>
          <w:rFonts w:ascii="Roboto" w:hAnsi="Roboto"/>
        </w:rPr>
      </w:pPr>
      <w:r w:rsidRPr="009E7A65">
        <w:rPr>
          <w:rFonts w:ascii="Roboto" w:hAnsi="Roboto"/>
          <w:noProof/>
          <w:lang w:val="en-US"/>
        </w:rPr>
        <mc:AlternateContent>
          <mc:Choice Requires="wps">
            <w:drawing>
              <wp:anchor distT="0" distB="0" distL="114300" distR="114300" simplePos="0" relativeHeight="254493694" behindDoc="0" locked="0" layoutInCell="1" allowOverlap="1" wp14:anchorId="1A879C81" wp14:editId="0E6069B9">
                <wp:simplePos x="0" y="0"/>
                <wp:positionH relativeFrom="column">
                  <wp:posOffset>29688</wp:posOffset>
                </wp:positionH>
                <wp:positionV relativeFrom="paragraph">
                  <wp:posOffset>18225</wp:posOffset>
                </wp:positionV>
                <wp:extent cx="6521450" cy="1376548"/>
                <wp:effectExtent l="0" t="0" r="0" b="0"/>
                <wp:wrapNone/>
                <wp:docPr id="2526" name="Text Box 2526"/>
                <wp:cNvGraphicFramePr/>
                <a:graphic xmlns:a="http://schemas.openxmlformats.org/drawingml/2006/main">
                  <a:graphicData uri="http://schemas.microsoft.com/office/word/2010/wordprocessingShape">
                    <wps:wsp>
                      <wps:cNvSpPr txBox="1"/>
                      <wps:spPr>
                        <a:xfrm>
                          <a:off x="0" y="0"/>
                          <a:ext cx="6521450" cy="1376548"/>
                        </a:xfrm>
                        <a:prstGeom prst="rect">
                          <a:avLst/>
                        </a:prstGeom>
                        <a:noFill/>
                        <a:ln w="6350">
                          <a:noFill/>
                        </a:ln>
                      </wps:spPr>
                      <wps:txbx>
                        <w:txbxContent>
                          <w:p w14:paraId="5B1AA566" w14:textId="77777777"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color w:val="3B3838" w:themeColor="background2" w:themeShade="40"/>
                                <w:sz w:val="20"/>
                                <w:szCs w:val="20"/>
                              </w:rPr>
                              <w:t xml:space="preserve">Deﬁning a </w:t>
                            </w:r>
                            <w:r w:rsidRPr="00030253">
                              <w:rPr>
                                <w:rFonts w:ascii="Roboto" w:hAnsi="Roboto"/>
                                <w:b/>
                                <w:color w:val="82CAA0"/>
                                <w:sz w:val="20"/>
                                <w:szCs w:val="20"/>
                              </w:rPr>
                              <w:t>general purpose, objectives and indicators</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 xml:space="preserve">for the development of a portal. Fiscal transparency can have different objectives and beneﬁts; and as such, the objectives of ﬁscal transparency portals and platforms can vary according to a country’s context, priorities and public ﬁnance management capabilities. This module explains the importance of having a </w:t>
                            </w:r>
                            <w:r w:rsidRPr="00030253">
                              <w:rPr>
                                <w:rFonts w:ascii="Roboto" w:hAnsi="Roboto"/>
                                <w:b/>
                                <w:color w:val="82CAA0"/>
                                <w:sz w:val="20"/>
                                <w:szCs w:val="20"/>
                              </w:rPr>
                              <w:t>clear purpose</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prior to the development or the upgrade of a portal and provides tools to generate one. In addition, having objectives facilitates the prioritization of a critical route, providing for the establishment of indicators to measure progress and, further on, to evaluate results and inform subsequent iteration.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9C81" id="Text Box 2526" o:spid="_x0000_s1652" type="#_x0000_t202" style="position:absolute;left:0;text-align:left;margin-left:2.35pt;margin-top:1.45pt;width:513.5pt;height:108.4pt;z-index:254493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" filled="f" stroked="f" strokeweight=".5pt">
                <v:textbox>
                  <w:txbxContent>
                    <w:p w14:paraId="5B1AA566" w14:textId="77777777"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color w:val="3B3838" w:themeColor="background2" w:themeShade="40"/>
                          <w:sz w:val="20"/>
                          <w:szCs w:val="20"/>
                        </w:rPr>
                        <w:t xml:space="preserve">Deﬁning a </w:t>
                      </w:r>
                      <w:r w:rsidRPr="00030253">
                        <w:rPr>
                          <w:rFonts w:ascii="Roboto" w:hAnsi="Roboto"/>
                          <w:b/>
                          <w:color w:val="82CAA0"/>
                          <w:sz w:val="20"/>
                          <w:szCs w:val="20"/>
                        </w:rPr>
                        <w:t>general purpose, objectives and indicators</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 xml:space="preserve">for the development of a portal. Fiscal transparency can have different objectives and beneﬁts; and as such, the objectives of ﬁscal transparency portals and platforms can vary according to a country’s context, priorities and public ﬁnance management capabilities. This module explains the importance of having a </w:t>
                      </w:r>
                      <w:r w:rsidRPr="00030253">
                        <w:rPr>
                          <w:rFonts w:ascii="Roboto" w:hAnsi="Roboto"/>
                          <w:b/>
                          <w:color w:val="82CAA0"/>
                          <w:sz w:val="20"/>
                          <w:szCs w:val="20"/>
                        </w:rPr>
                        <w:t>clear purpose</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prior to the development or the upgrade of a portal and provides tools to generate one. In addition, having objectives facilitates the prioritization of a critical route, providing for the establishment of indicators to measure progress and, further on, to evaluate results and inform subsequent iteration.</w:t>
                      </w:r>
                    </w:p>
                  </w:txbxContent>
                </v:textbox>
              </v:shape>
            </w:pict>
          </mc:Fallback>
        </mc:AlternateContent>
      </w:r>
    </w:p>
    <w:p w14:paraId="53A0B358" w14:textId="77777777" w:rsidR="00C04193" w:rsidRDefault="00C04193" w:rsidP="00C04193">
      <w:pPr>
        <w:spacing w:line="276" w:lineRule="auto"/>
        <w:ind w:left="360"/>
        <w:rPr>
          <w:rFonts w:ascii="Roboto" w:hAnsi="Roboto"/>
        </w:rPr>
      </w:pPr>
    </w:p>
    <w:p w14:paraId="570D0FAF" w14:textId="77777777" w:rsidR="00C04193" w:rsidRPr="006F3826" w:rsidRDefault="00C04193" w:rsidP="00C04193">
      <w:pPr>
        <w:rPr>
          <w:rFonts w:ascii="Roboto" w:hAnsi="Roboto"/>
        </w:rPr>
      </w:pPr>
    </w:p>
    <w:p w14:paraId="2B1F88D0" w14:textId="77777777" w:rsidR="00C04193" w:rsidRDefault="00C04193" w:rsidP="00C04193">
      <w:pPr>
        <w:rPr>
          <w:rFonts w:ascii="Roboto" w:hAnsi="Roboto"/>
        </w:rPr>
      </w:pPr>
    </w:p>
    <w:p w14:paraId="73D05E0A" w14:textId="77777777" w:rsidR="00C04193" w:rsidRDefault="00C04193" w:rsidP="00C04193">
      <w:pPr>
        <w:rPr>
          <w:rFonts w:ascii="Roboto" w:hAnsi="Roboto"/>
        </w:rPr>
      </w:pPr>
    </w:p>
    <w:p w14:paraId="1BB4949B" w14:textId="77777777" w:rsidR="00C04193" w:rsidRDefault="00C04193" w:rsidP="00C04193">
      <w:pPr>
        <w:rPr>
          <w:rFonts w:ascii="Roboto" w:hAnsi="Roboto"/>
        </w:rPr>
      </w:pPr>
    </w:p>
    <w:p w14:paraId="34212191" w14:textId="61830CE6" w:rsidR="00C04193" w:rsidRDefault="00C04193" w:rsidP="00C04193">
      <w:pPr>
        <w:spacing w:line="276" w:lineRule="auto"/>
        <w:rPr>
          <w:rFonts w:ascii="Roboto" w:hAnsi="Roboto"/>
        </w:rPr>
      </w:pPr>
    </w:p>
    <w:p w14:paraId="7466A998" w14:textId="0980A59A" w:rsidR="00C04193" w:rsidRDefault="00C04193" w:rsidP="00C04193">
      <w:pPr>
        <w:spacing w:line="276" w:lineRule="auto"/>
        <w:rPr>
          <w:rFonts w:ascii="Roboto" w:hAnsi="Roboto"/>
        </w:rPr>
      </w:pPr>
    </w:p>
    <w:p w14:paraId="79B5B23B" w14:textId="3F3F1634" w:rsidR="00C04193" w:rsidRDefault="00C04193" w:rsidP="00C04193">
      <w:pPr>
        <w:spacing w:line="276" w:lineRule="auto"/>
        <w:rPr>
          <w:rFonts w:ascii="Roboto" w:hAnsi="Roboto"/>
        </w:rPr>
      </w:pPr>
    </w:p>
    <w:p w14:paraId="462B46CC" w14:textId="6160F033" w:rsidR="0040233A" w:rsidRDefault="0040233A" w:rsidP="00C04193">
      <w:pPr>
        <w:spacing w:line="276" w:lineRule="auto"/>
        <w:rPr>
          <w:rFonts w:ascii="Roboto" w:hAnsi="Roboto"/>
        </w:rPr>
      </w:pPr>
    </w:p>
    <w:p w14:paraId="4A837CEA" w14:textId="52CBA0D3" w:rsidR="00C04193" w:rsidRPr="009E7A65" w:rsidRDefault="0040233A" w:rsidP="00C04193">
      <w:pPr>
        <w:rPr>
          <w:rFonts w:ascii="Roboto" w:hAnsi="Roboto"/>
        </w:rPr>
      </w:pPr>
      <w:r w:rsidRPr="003625BA">
        <w:rPr>
          <w:rFonts w:ascii="Roboto" w:hAnsi="Roboto" w:cs="Arial"/>
          <w:noProof/>
          <w:color w:val="ED5625"/>
          <w:sz w:val="20"/>
          <w:szCs w:val="20"/>
          <w:lang w:val="en-US"/>
        </w:rPr>
        <w:lastRenderedPageBreak/>
        <mc:AlternateContent>
          <mc:Choice Requires="wps">
            <w:drawing>
              <wp:anchor distT="0" distB="0" distL="114300" distR="114300" simplePos="0" relativeHeight="255127550" behindDoc="1" locked="0" layoutInCell="1" allowOverlap="1" wp14:anchorId="29A1393A" wp14:editId="4C317289">
                <wp:simplePos x="0" y="0"/>
                <wp:positionH relativeFrom="margin">
                  <wp:posOffset>-184068</wp:posOffset>
                </wp:positionH>
                <wp:positionV relativeFrom="margin">
                  <wp:posOffset>-72085</wp:posOffset>
                </wp:positionV>
                <wp:extent cx="7010400" cy="8918369"/>
                <wp:effectExtent l="0" t="0" r="19050" b="16510"/>
                <wp:wrapNone/>
                <wp:docPr id="2770" name="Rectangle 2770"/>
                <wp:cNvGraphicFramePr/>
                <a:graphic xmlns:a="http://schemas.openxmlformats.org/drawingml/2006/main">
                  <a:graphicData uri="http://schemas.microsoft.com/office/word/2010/wordprocessingShape">
                    <wps:wsp>
                      <wps:cNvSpPr/>
                      <wps:spPr>
                        <a:xfrm>
                          <a:off x="0" y="0"/>
                          <a:ext cx="7010400" cy="8918369"/>
                        </a:xfrm>
                        <a:prstGeom prst="rect">
                          <a:avLst/>
                        </a:prstGeom>
                        <a:solidFill>
                          <a:schemeClr val="bg1">
                            <a:lumMod val="95000"/>
                          </a:schemeClr>
                        </a:solid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051C43" w14:textId="77777777" w:rsidR="00D15FD8" w:rsidRDefault="00D15FD8" w:rsidP="003625BA">
                            <w:pPr>
                              <w:shd w:val="clear" w:color="auto" w:fill="F2F2F2" w:themeFill="background1" w:themeFillShade="F2"/>
                            </w:pPr>
                          </w:p>
                          <w:p w14:paraId="1C1A2CCE" w14:textId="5533B069" w:rsidR="00D15FD8" w:rsidRPr="003625BA" w:rsidRDefault="00D15FD8" w:rsidP="003625BA">
                            <w:pPr>
                              <w:jc w:val="center"/>
                              <w:rPr>
                                <w:lang w:val="en-US"/>
                              </w:rPr>
                            </w:pPr>
                            <w:r>
                              <w:rPr>
                                <w:lang w:val="en-US"/>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1393A" id="Rectangle 2770" o:spid="_x0000_s1653" style="position:absolute;margin-left:-14.5pt;margin-top:-5.7pt;width:552pt;height:702.25pt;z-index:-24818893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" fillcolor="#f2f2f2 [3052]" strokecolor="#16988a" strokeweight="1.5pt">
                <v:textbox>
                  <w:txbxContent>
                    <w:p w14:paraId="61051C43" w14:textId="77777777" w:rsidR="00D15FD8" w:rsidRDefault="00D15FD8" w:rsidP="003625BA">
                      <w:pPr>
                        <w:shd w:val="clear" w:color="auto" w:fill="F2F2F2" w:themeFill="background1" w:themeFillShade="F2"/>
                      </w:pPr>
                    </w:p>
                    <w:p w14:paraId="1C1A2CCE" w14:textId="5533B069" w:rsidR="00D15FD8" w:rsidRPr="003625BA" w:rsidRDefault="00D15FD8" w:rsidP="003625BA">
                      <w:pPr>
                        <w:jc w:val="center"/>
                        <w:rPr>
                          <w:lang w:val="en-US"/>
                        </w:rPr>
                      </w:pPr>
                      <w:r>
                        <w:rPr>
                          <w:lang w:val="en-US"/>
                        </w:rPr>
                        <w:t>z</w:t>
                      </w:r>
                    </w:p>
                  </w:txbxContent>
                </v:textbox>
                <w10:wrap anchorx="margin" anchory="margin"/>
              </v:rect>
            </w:pict>
          </mc:Fallback>
        </mc:AlternateContent>
      </w:r>
      <w:r w:rsidRPr="00815900">
        <w:rPr>
          <w:rFonts w:ascii="Roboto" w:hAnsi="Roboto"/>
          <w:noProof/>
          <w:lang w:val="en-US"/>
        </w:rPr>
        <mc:AlternateContent>
          <mc:Choice Requires="wps">
            <w:drawing>
              <wp:anchor distT="0" distB="0" distL="114300" distR="114300" simplePos="0" relativeHeight="254496766" behindDoc="0" locked="0" layoutInCell="1" allowOverlap="1" wp14:anchorId="10162250" wp14:editId="7D107EAF">
                <wp:simplePos x="0" y="0"/>
                <wp:positionH relativeFrom="column">
                  <wp:posOffset>-38100</wp:posOffset>
                </wp:positionH>
                <wp:positionV relativeFrom="paragraph">
                  <wp:posOffset>87418</wp:posOffset>
                </wp:positionV>
                <wp:extent cx="6664325" cy="1130300"/>
                <wp:effectExtent l="12700" t="12700" r="15875" b="12700"/>
                <wp:wrapNone/>
                <wp:docPr id="2527" name="Rounded Rectangle 2527"/>
                <wp:cNvGraphicFramePr/>
                <a:graphic xmlns:a="http://schemas.openxmlformats.org/drawingml/2006/main">
                  <a:graphicData uri="http://schemas.microsoft.com/office/word/2010/wordprocessingShape">
                    <wps:wsp>
                      <wps:cNvSpPr/>
                      <wps:spPr>
                        <a:xfrm>
                          <a:off x="0" y="0"/>
                          <a:ext cx="6664325" cy="1130300"/>
                        </a:xfrm>
                        <a:prstGeom prst="roundRect">
                          <a:avLst>
                            <a:gd name="adj" fmla="val 6500"/>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91748E3" id="Rounded Rectangle 2527" o:spid="_x0000_s1026" style="position:absolute;margin-left:-3pt;margin-top:6.9pt;width:524.75pt;height:89pt;z-index:254496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" filled="f" strokecolor="#f36e27" strokeweight="1.5pt">
                <v:stroke joinstyle="miter"/>
              </v:roundrect>
            </w:pict>
          </mc:Fallback>
        </mc:AlternateContent>
      </w:r>
    </w:p>
    <w:p w14:paraId="315C0409" w14:textId="0885042A" w:rsidR="00C04193" w:rsidRPr="009E7A65" w:rsidRDefault="0040233A" w:rsidP="00C04193">
      <w:pPr>
        <w:rPr>
          <w:rFonts w:ascii="Roboto" w:hAnsi="Roboto"/>
        </w:rPr>
      </w:pPr>
      <w:r w:rsidRPr="00815900">
        <w:rPr>
          <w:rFonts w:ascii="Roboto" w:hAnsi="Roboto"/>
          <w:noProof/>
          <w:lang w:val="en-US"/>
        </w:rPr>
        <mc:AlternateContent>
          <mc:Choice Requires="wps">
            <w:drawing>
              <wp:anchor distT="0" distB="0" distL="114300" distR="114300" simplePos="0" relativeHeight="254497790" behindDoc="0" locked="0" layoutInCell="1" allowOverlap="1" wp14:anchorId="038AA14A" wp14:editId="7863D2C7">
                <wp:simplePos x="0" y="0"/>
                <wp:positionH relativeFrom="column">
                  <wp:posOffset>16510</wp:posOffset>
                </wp:positionH>
                <wp:positionV relativeFrom="paragraph">
                  <wp:posOffset>12488</wp:posOffset>
                </wp:positionV>
                <wp:extent cx="6584950" cy="939800"/>
                <wp:effectExtent l="0" t="0" r="0" b="0"/>
                <wp:wrapNone/>
                <wp:docPr id="2530" name="Text Box 2530"/>
                <wp:cNvGraphicFramePr/>
                <a:graphic xmlns:a="http://schemas.openxmlformats.org/drawingml/2006/main">
                  <a:graphicData uri="http://schemas.microsoft.com/office/word/2010/wordprocessingShape">
                    <wps:wsp>
                      <wps:cNvSpPr txBox="1"/>
                      <wps:spPr>
                        <a:xfrm>
                          <a:off x="0" y="0"/>
                          <a:ext cx="6584950" cy="939800"/>
                        </a:xfrm>
                        <a:prstGeom prst="rect">
                          <a:avLst/>
                        </a:prstGeom>
                        <a:noFill/>
                        <a:ln w="6350">
                          <a:noFill/>
                        </a:ln>
                      </wps:spPr>
                      <wps:txbx>
                        <w:txbxContent>
                          <w:p w14:paraId="5C9F396F" w14:textId="289BD738"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b/>
                                <w:color w:val="82CAA0"/>
                                <w:sz w:val="20"/>
                                <w:szCs w:val="20"/>
                              </w:rPr>
                              <w:t>Identifying and segmenting the audience:</w:t>
                            </w:r>
                            <w:r w:rsidRPr="00030253">
                              <w:rPr>
                                <w:rFonts w:ascii="Roboto" w:hAnsi="Roboto"/>
                                <w:color w:val="82CAA0"/>
                                <w:sz w:val="20"/>
                                <w:szCs w:val="20"/>
                              </w:rPr>
                              <w:t xml:space="preserve"> </w:t>
                            </w:r>
                            <w:r w:rsidRPr="00030253">
                              <w:rPr>
                                <w:rFonts w:ascii="Roboto" w:hAnsi="Roboto"/>
                                <w:color w:val="000000" w:themeColor="text1"/>
                                <w:sz w:val="20"/>
                                <w:szCs w:val="20"/>
                              </w:rPr>
                              <w:t>This module provides tools and techniques to conduct research on, understand and engage the demand for certain outputs of portal development, with the purpose of identifying and segmenting different potential users (audiences) from within and outside government. The “personas and scenarios” technique is put forward as a method to segment different proﬁles. The beneﬁts of applying a progressive disclosure of information based on the identiﬁcation and segmentation performed are also explained.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AA14A" id="Text Box 2530" o:spid="_x0000_s1654" type="#_x0000_t202" style="position:absolute;margin-left:1.3pt;margin-top:1pt;width:518.5pt;height:74pt;z-index:254497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" filled="f" stroked="f" strokeweight=".5pt">
                <v:textbox>
                  <w:txbxContent>
                    <w:p w14:paraId="5C9F396F" w14:textId="289BD738"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b/>
                          <w:color w:val="82CAA0"/>
                          <w:sz w:val="20"/>
                          <w:szCs w:val="20"/>
                        </w:rPr>
                        <w:t>Identifying and segmenting the audience:</w:t>
                      </w:r>
                      <w:r w:rsidRPr="00030253">
                        <w:rPr>
                          <w:rFonts w:ascii="Roboto" w:hAnsi="Roboto"/>
                          <w:color w:val="82CAA0"/>
                          <w:sz w:val="20"/>
                          <w:szCs w:val="20"/>
                        </w:rPr>
                        <w:t xml:space="preserve"> </w:t>
                      </w:r>
                      <w:r w:rsidRPr="00030253">
                        <w:rPr>
                          <w:rFonts w:ascii="Roboto" w:hAnsi="Roboto"/>
                          <w:color w:val="000000" w:themeColor="text1"/>
                          <w:sz w:val="20"/>
                          <w:szCs w:val="20"/>
                        </w:rPr>
                        <w:t>This module provides tools and techniques to conduct research on, understand and engage the demand for certain outputs of portal development, with the purpose of identifying and segmenting different potential users (audiences) from within and outside government. The “personas and scenarios” technique is put forward as a method to segment different proﬁles. The beneﬁts of applying a progressive disclosure of information based on the identiﬁcation and segmentation performed are also explained.</w:t>
                      </w:r>
                    </w:p>
                  </w:txbxContent>
                </v:textbox>
              </v:shape>
            </w:pict>
          </mc:Fallback>
        </mc:AlternateContent>
      </w:r>
    </w:p>
    <w:p w14:paraId="32139DBE" w14:textId="75A40CDA" w:rsidR="00C04193" w:rsidRPr="009E7A65" w:rsidRDefault="00C04193" w:rsidP="00C04193">
      <w:pPr>
        <w:rPr>
          <w:rFonts w:ascii="Roboto" w:hAnsi="Roboto"/>
        </w:rPr>
      </w:pPr>
    </w:p>
    <w:p w14:paraId="35975F03" w14:textId="21E3D7D9" w:rsidR="00C04193" w:rsidRPr="009E7A65" w:rsidRDefault="00C04193" w:rsidP="00C04193">
      <w:pPr>
        <w:rPr>
          <w:rFonts w:ascii="Roboto" w:hAnsi="Roboto"/>
        </w:rPr>
      </w:pPr>
    </w:p>
    <w:p w14:paraId="0B24B987" w14:textId="77777777" w:rsidR="00C04193" w:rsidRPr="009E7A65" w:rsidRDefault="00C04193" w:rsidP="00C04193">
      <w:pPr>
        <w:rPr>
          <w:rFonts w:ascii="Roboto" w:hAnsi="Roboto"/>
        </w:rPr>
      </w:pPr>
    </w:p>
    <w:p w14:paraId="1AEE35CE" w14:textId="77777777" w:rsidR="00C04193" w:rsidRPr="009E7A65" w:rsidRDefault="00C04193" w:rsidP="00C04193">
      <w:pPr>
        <w:rPr>
          <w:rFonts w:ascii="Roboto" w:hAnsi="Roboto"/>
        </w:rPr>
      </w:pPr>
    </w:p>
    <w:p w14:paraId="3F92D76F" w14:textId="1FB14D2E" w:rsidR="00C04193" w:rsidRDefault="00C04193" w:rsidP="00C04193">
      <w:pPr>
        <w:rPr>
          <w:rFonts w:ascii="Roboto" w:hAnsi="Roboto"/>
        </w:rPr>
      </w:pPr>
    </w:p>
    <w:p w14:paraId="1E73BDCB" w14:textId="77777777" w:rsidR="00C04193" w:rsidRPr="009E7A65" w:rsidRDefault="00C04193" w:rsidP="00C04193">
      <w:pPr>
        <w:rPr>
          <w:rFonts w:ascii="Roboto" w:hAnsi="Roboto"/>
        </w:rPr>
      </w:pPr>
    </w:p>
    <w:p w14:paraId="7F5F8E9E" w14:textId="310E1B4C" w:rsidR="00C04193" w:rsidRPr="009E7A65" w:rsidRDefault="00AA706D" w:rsidP="00C04193">
      <w:pPr>
        <w:rPr>
          <w:rFonts w:ascii="Roboto" w:hAnsi="Roboto"/>
        </w:rPr>
      </w:pPr>
      <w:r w:rsidRPr="00815900">
        <w:rPr>
          <w:rFonts w:ascii="Roboto" w:hAnsi="Roboto"/>
          <w:noProof/>
          <w:lang w:val="en-US"/>
        </w:rPr>
        <mc:AlternateContent>
          <mc:Choice Requires="wps">
            <w:drawing>
              <wp:anchor distT="0" distB="0" distL="114300" distR="114300" simplePos="0" relativeHeight="254499838" behindDoc="0" locked="0" layoutInCell="1" allowOverlap="1" wp14:anchorId="36C0CDAB" wp14:editId="0A2CA792">
                <wp:simplePos x="0" y="0"/>
                <wp:positionH relativeFrom="column">
                  <wp:posOffset>16510</wp:posOffset>
                </wp:positionH>
                <wp:positionV relativeFrom="paragraph">
                  <wp:posOffset>121285</wp:posOffset>
                </wp:positionV>
                <wp:extent cx="6584950" cy="2218055"/>
                <wp:effectExtent l="0" t="0" r="0" b="0"/>
                <wp:wrapNone/>
                <wp:docPr id="2532" name="Text Box 2532"/>
                <wp:cNvGraphicFramePr/>
                <a:graphic xmlns:a="http://schemas.openxmlformats.org/drawingml/2006/main">
                  <a:graphicData uri="http://schemas.microsoft.com/office/word/2010/wordprocessingShape">
                    <wps:wsp>
                      <wps:cNvSpPr txBox="1"/>
                      <wps:spPr>
                        <a:xfrm>
                          <a:off x="0" y="0"/>
                          <a:ext cx="6584950" cy="2218055"/>
                        </a:xfrm>
                        <a:prstGeom prst="rect">
                          <a:avLst/>
                        </a:prstGeom>
                        <a:noFill/>
                        <a:ln w="6350">
                          <a:noFill/>
                        </a:ln>
                      </wps:spPr>
                      <wps:txbx>
                        <w:txbxContent>
                          <w:p w14:paraId="263DBC69" w14:textId="43D1DEE6" w:rsidR="00D15FD8" w:rsidRPr="00030253" w:rsidRDefault="00D15FD8" w:rsidP="00C04193">
                            <w:pPr>
                              <w:spacing w:line="276" w:lineRule="auto"/>
                              <w:jc w:val="both"/>
                              <w:rPr>
                                <w:rFonts w:ascii="Roboto" w:hAnsi="Roboto"/>
                                <w:b/>
                                <w:color w:val="82CAA0"/>
                                <w:sz w:val="20"/>
                                <w:szCs w:val="20"/>
                              </w:rPr>
                            </w:pPr>
                            <w:r w:rsidRPr="00030253">
                              <w:rPr>
                                <w:rFonts w:ascii="Roboto" w:hAnsi="Roboto"/>
                                <w:b/>
                                <w:color w:val="82CAA0"/>
                                <w:sz w:val="20"/>
                                <w:szCs w:val="20"/>
                              </w:rPr>
                              <w:t>Internal coordination for external publication:</w:t>
                            </w:r>
                          </w:p>
                          <w:p w14:paraId="2971C25E" w14:textId="388A5410" w:rsidR="00D15FD8" w:rsidRPr="00030253" w:rsidRDefault="00D15FD8" w:rsidP="00C7441B">
                            <w:pPr>
                              <w:pStyle w:val="ListParagraph"/>
                              <w:numPr>
                                <w:ilvl w:val="0"/>
                                <w:numId w:val="152"/>
                              </w:numPr>
                              <w:spacing w:line="276" w:lineRule="auto"/>
                              <w:contextualSpacing/>
                              <w:jc w:val="both"/>
                              <w:rPr>
                                <w:rFonts w:ascii="Roboto" w:hAnsi="Roboto"/>
                                <w:sz w:val="20"/>
                                <w:szCs w:val="20"/>
                                <w:u w:val="single"/>
                              </w:rPr>
                            </w:pPr>
                            <w:r w:rsidRPr="00030253">
                              <w:rPr>
                                <w:rFonts w:ascii="Roboto" w:hAnsi="Roboto"/>
                                <w:sz w:val="20"/>
                                <w:szCs w:val="20"/>
                              </w:rPr>
                              <w:t>Team coordination: Before developing or upgrading a ﬁscal transparency portal or platform, an assessment should be undertaken of the current resource status, including in respect of the availability of tools, team capabilities, and other complementary resource availability. In this section, frequently asked questions within the GIFT network are used to explain the importance of coordination among the different areas that generate the data to be published, allowing for sustainable publication. This module also discusses existing internal organization options.</w:t>
                            </w:r>
                          </w:p>
                          <w:p w14:paraId="34AC2FA7" w14:textId="77777777" w:rsidR="00D15FD8" w:rsidRPr="00030253" w:rsidRDefault="00D15FD8" w:rsidP="003625BA">
                            <w:pPr>
                              <w:pStyle w:val="ListParagraph"/>
                              <w:spacing w:line="276" w:lineRule="auto"/>
                              <w:contextualSpacing/>
                              <w:jc w:val="both"/>
                              <w:rPr>
                                <w:rFonts w:ascii="Roboto" w:hAnsi="Roboto"/>
                                <w:sz w:val="20"/>
                                <w:szCs w:val="20"/>
                                <w:u w:val="single"/>
                              </w:rPr>
                            </w:pPr>
                          </w:p>
                          <w:p w14:paraId="4DC6AA5B" w14:textId="77777777" w:rsidR="00D15FD8" w:rsidRPr="00030253" w:rsidRDefault="00D15FD8" w:rsidP="003625BA">
                            <w:pPr>
                              <w:pStyle w:val="ListParagraph"/>
                              <w:numPr>
                                <w:ilvl w:val="0"/>
                                <w:numId w:val="152"/>
                              </w:numPr>
                              <w:spacing w:line="276" w:lineRule="auto"/>
                              <w:contextualSpacing/>
                              <w:jc w:val="both"/>
                              <w:rPr>
                                <w:rFonts w:ascii="Roboto" w:hAnsi="Roboto"/>
                                <w:sz w:val="20"/>
                                <w:szCs w:val="20"/>
                              </w:rPr>
                            </w:pPr>
                            <w:r w:rsidRPr="00030253">
                              <w:rPr>
                                <w:rFonts w:ascii="Roboto" w:hAnsi="Roboto"/>
                                <w:sz w:val="20"/>
                                <w:szCs w:val="20"/>
                              </w:rPr>
                              <w:t>Systems and data connectivity: To enable publication, it is necessary to map where the data requiring extraction is stored, as well as to note its structure and storage format. This information is required to design a publication that releases data that meets the main objectives, while considering its disaggregation, integrity and comprehensiveness.</w:t>
                            </w:r>
                          </w:p>
                          <w:p w14:paraId="1FA9DCFE" w14:textId="77777777" w:rsidR="00D15FD8" w:rsidRPr="00030253" w:rsidRDefault="00D15FD8" w:rsidP="003625BA">
                            <w:pPr>
                              <w:spacing w:line="276" w:lineRule="auto"/>
                              <w:ind w:left="360"/>
                              <w:contextualSpacing/>
                              <w:jc w:val="both"/>
                              <w:rPr>
                                <w:rFonts w:ascii="Roboto" w:hAnsi="Roboto"/>
                                <w:color w:val="3B3838" w:themeColor="background2" w:themeShade="40"/>
                                <w:sz w:val="20"/>
                                <w:szCs w:val="2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0CDAB" id="Text Box 2532" o:spid="_x0000_s1655" type="#_x0000_t202" style="position:absolute;margin-left:1.3pt;margin-top:9.55pt;width:518.5pt;height:174.65pt;z-index:254499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" filled="f" stroked="f" strokeweight=".5pt">
                <v:textbox>
                  <w:txbxContent>
                    <w:p w14:paraId="263DBC69" w14:textId="43D1DEE6" w:rsidR="00D15FD8" w:rsidRPr="00030253" w:rsidRDefault="00D15FD8" w:rsidP="00C04193">
                      <w:pPr>
                        <w:spacing w:line="276" w:lineRule="auto"/>
                        <w:jc w:val="both"/>
                        <w:rPr>
                          <w:rFonts w:ascii="Roboto" w:hAnsi="Roboto"/>
                          <w:b/>
                          <w:color w:val="82CAA0"/>
                          <w:sz w:val="20"/>
                          <w:szCs w:val="20"/>
                        </w:rPr>
                      </w:pPr>
                      <w:r w:rsidRPr="00030253">
                        <w:rPr>
                          <w:rFonts w:ascii="Roboto" w:hAnsi="Roboto"/>
                          <w:b/>
                          <w:color w:val="82CAA0"/>
                          <w:sz w:val="20"/>
                          <w:szCs w:val="20"/>
                        </w:rPr>
                        <w:t>Internal coordination for external publication:</w:t>
                      </w:r>
                    </w:p>
                    <w:p w14:paraId="2971C25E" w14:textId="388A5410" w:rsidR="00D15FD8" w:rsidRPr="00030253" w:rsidRDefault="00D15FD8" w:rsidP="00C7441B">
                      <w:pPr>
                        <w:pStyle w:val="ListParagraph"/>
                        <w:numPr>
                          <w:ilvl w:val="0"/>
                          <w:numId w:val="152"/>
                        </w:numPr>
                        <w:spacing w:line="276" w:lineRule="auto"/>
                        <w:contextualSpacing/>
                        <w:jc w:val="both"/>
                        <w:rPr>
                          <w:rFonts w:ascii="Roboto" w:hAnsi="Roboto"/>
                          <w:sz w:val="20"/>
                          <w:szCs w:val="20"/>
                          <w:u w:val="single"/>
                        </w:rPr>
                      </w:pPr>
                      <w:r w:rsidRPr="00030253">
                        <w:rPr>
                          <w:rFonts w:ascii="Roboto" w:hAnsi="Roboto"/>
                          <w:sz w:val="20"/>
                          <w:szCs w:val="20"/>
                        </w:rPr>
                        <w:t>Team coordination: Before developing or upgrading a ﬁscal transparency portal or platform, an assessment should be undertaken of the current resource status, including in respect of the availability of tools, team capabilities, and other complementary resource availability. In this section, frequently asked questions within the GIFT network are used to explain the importance of coordination among the different areas that generate the data to be published, allowing for sustainable publication. This module also discusses existing internal organization options.</w:t>
                      </w:r>
                    </w:p>
                    <w:p w14:paraId="34AC2FA7" w14:textId="77777777" w:rsidR="00D15FD8" w:rsidRPr="00030253" w:rsidRDefault="00D15FD8" w:rsidP="003625BA">
                      <w:pPr>
                        <w:pStyle w:val="ListParagraph"/>
                        <w:spacing w:line="276" w:lineRule="auto"/>
                        <w:contextualSpacing/>
                        <w:jc w:val="both"/>
                        <w:rPr>
                          <w:rFonts w:ascii="Roboto" w:hAnsi="Roboto"/>
                          <w:sz w:val="20"/>
                          <w:szCs w:val="20"/>
                          <w:u w:val="single"/>
                        </w:rPr>
                      </w:pPr>
                    </w:p>
                    <w:p w14:paraId="4DC6AA5B" w14:textId="77777777" w:rsidR="00D15FD8" w:rsidRPr="00030253" w:rsidRDefault="00D15FD8" w:rsidP="003625BA">
                      <w:pPr>
                        <w:pStyle w:val="ListParagraph"/>
                        <w:numPr>
                          <w:ilvl w:val="0"/>
                          <w:numId w:val="152"/>
                        </w:numPr>
                        <w:spacing w:line="276" w:lineRule="auto"/>
                        <w:contextualSpacing/>
                        <w:jc w:val="both"/>
                        <w:rPr>
                          <w:rFonts w:ascii="Roboto" w:hAnsi="Roboto"/>
                          <w:sz w:val="20"/>
                          <w:szCs w:val="20"/>
                        </w:rPr>
                      </w:pPr>
                      <w:r w:rsidRPr="00030253">
                        <w:rPr>
                          <w:rFonts w:ascii="Roboto" w:hAnsi="Roboto"/>
                          <w:sz w:val="20"/>
                          <w:szCs w:val="20"/>
                        </w:rPr>
                        <w:t>Systems and data connectivity: To enable publication, it is necessary to map where the data requiring extraction is stored, as well as to note its structure and storage format. This information is required to design a publication that releases data that meets the main objectives, while considering its disaggregation, integrity and comprehensiveness.</w:t>
                      </w:r>
                    </w:p>
                    <w:p w14:paraId="1FA9DCFE" w14:textId="77777777" w:rsidR="00D15FD8" w:rsidRPr="00030253" w:rsidRDefault="00D15FD8" w:rsidP="003625BA">
                      <w:pPr>
                        <w:spacing w:line="276" w:lineRule="auto"/>
                        <w:ind w:left="360"/>
                        <w:contextualSpacing/>
                        <w:jc w:val="both"/>
                        <w:rPr>
                          <w:rFonts w:ascii="Roboto" w:hAnsi="Roboto"/>
                          <w:color w:val="3B3838" w:themeColor="background2" w:themeShade="40"/>
                          <w:sz w:val="20"/>
                          <w:szCs w:val="20"/>
                          <w:u w:val="single"/>
                        </w:rPr>
                      </w:pPr>
                    </w:p>
                  </w:txbxContent>
                </v:textbox>
              </v:shape>
            </w:pict>
          </mc:Fallback>
        </mc:AlternateContent>
      </w:r>
      <w:r w:rsidR="007341AA" w:rsidRPr="00815900">
        <w:rPr>
          <w:rFonts w:ascii="Roboto" w:hAnsi="Roboto"/>
          <w:noProof/>
          <w:lang w:val="en-US"/>
        </w:rPr>
        <mc:AlternateContent>
          <mc:Choice Requires="wps">
            <w:drawing>
              <wp:anchor distT="0" distB="0" distL="114300" distR="114300" simplePos="0" relativeHeight="254498814" behindDoc="0" locked="0" layoutInCell="1" allowOverlap="1" wp14:anchorId="3C113358" wp14:editId="6F1CE2C9">
                <wp:simplePos x="0" y="0"/>
                <wp:positionH relativeFrom="column">
                  <wp:posOffset>-38100</wp:posOffset>
                </wp:positionH>
                <wp:positionV relativeFrom="paragraph">
                  <wp:posOffset>55136</wp:posOffset>
                </wp:positionV>
                <wp:extent cx="6665524" cy="2289810"/>
                <wp:effectExtent l="12700" t="12700" r="15240" b="8890"/>
                <wp:wrapNone/>
                <wp:docPr id="2531" name="Rounded Rectangle 2531"/>
                <wp:cNvGraphicFramePr/>
                <a:graphic xmlns:a="http://schemas.openxmlformats.org/drawingml/2006/main">
                  <a:graphicData uri="http://schemas.microsoft.com/office/word/2010/wordprocessingShape">
                    <wps:wsp>
                      <wps:cNvSpPr/>
                      <wps:spPr>
                        <a:xfrm>
                          <a:off x="0" y="0"/>
                          <a:ext cx="6665524" cy="2289810"/>
                        </a:xfrm>
                        <a:prstGeom prst="roundRect">
                          <a:avLst>
                            <a:gd name="adj" fmla="val 4601"/>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53C2B9A" id="Rounded Rectangle 2531" o:spid="_x0000_s1026" style="position:absolute;margin-left:-3pt;margin-top:4.35pt;width:524.85pt;height:180.3pt;z-index:254498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0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" filled="f" strokecolor="#f36e27" strokeweight="1.5pt">
                <v:stroke joinstyle="miter"/>
              </v:roundrect>
            </w:pict>
          </mc:Fallback>
        </mc:AlternateContent>
      </w:r>
    </w:p>
    <w:p w14:paraId="0FEF46AD" w14:textId="050ED764" w:rsidR="00C04193" w:rsidRPr="009E7A65" w:rsidRDefault="00C04193" w:rsidP="00C04193">
      <w:pPr>
        <w:rPr>
          <w:rFonts w:ascii="Roboto" w:hAnsi="Roboto"/>
        </w:rPr>
      </w:pPr>
    </w:p>
    <w:p w14:paraId="69771750" w14:textId="3BAB1F1C" w:rsidR="00C04193" w:rsidRPr="009E7A65" w:rsidRDefault="00C04193" w:rsidP="00C04193">
      <w:pPr>
        <w:rPr>
          <w:rFonts w:ascii="Roboto" w:hAnsi="Roboto"/>
        </w:rPr>
      </w:pPr>
    </w:p>
    <w:p w14:paraId="18C6484F" w14:textId="3BE17482" w:rsidR="00C04193" w:rsidRPr="009E7A65" w:rsidRDefault="00C04193" w:rsidP="00C04193">
      <w:pPr>
        <w:rPr>
          <w:rFonts w:ascii="Roboto" w:hAnsi="Roboto"/>
        </w:rPr>
      </w:pPr>
    </w:p>
    <w:p w14:paraId="09D0B5ED" w14:textId="189D25E4" w:rsidR="00C04193" w:rsidRPr="009E7A65" w:rsidRDefault="00C04193" w:rsidP="00C04193">
      <w:pPr>
        <w:rPr>
          <w:rFonts w:ascii="Roboto" w:hAnsi="Roboto"/>
        </w:rPr>
      </w:pPr>
    </w:p>
    <w:p w14:paraId="26DFF38E" w14:textId="53CD40B9" w:rsidR="00C04193" w:rsidRPr="009E7A65" w:rsidRDefault="00C04193" w:rsidP="00C04193">
      <w:pPr>
        <w:rPr>
          <w:rFonts w:ascii="Roboto" w:hAnsi="Roboto"/>
        </w:rPr>
      </w:pPr>
    </w:p>
    <w:p w14:paraId="788F59BC" w14:textId="5829EED3" w:rsidR="00C04193" w:rsidRPr="009E7A65" w:rsidRDefault="00C04193" w:rsidP="00C04193">
      <w:pPr>
        <w:rPr>
          <w:rFonts w:ascii="Roboto" w:hAnsi="Roboto"/>
        </w:rPr>
      </w:pPr>
    </w:p>
    <w:p w14:paraId="2E72889E" w14:textId="77777777" w:rsidR="00C04193" w:rsidRPr="009E7A65" w:rsidRDefault="00C04193" w:rsidP="00C04193">
      <w:pPr>
        <w:rPr>
          <w:rFonts w:ascii="Roboto" w:hAnsi="Roboto"/>
        </w:rPr>
      </w:pPr>
    </w:p>
    <w:p w14:paraId="7AEFF108" w14:textId="77777777" w:rsidR="00C04193" w:rsidRPr="009E7A65" w:rsidRDefault="00C04193" w:rsidP="00C04193">
      <w:pPr>
        <w:rPr>
          <w:rFonts w:ascii="Roboto" w:hAnsi="Roboto"/>
        </w:rPr>
      </w:pPr>
    </w:p>
    <w:p w14:paraId="61FEC5BA" w14:textId="601C2E33" w:rsidR="00C04193" w:rsidRDefault="00C04193" w:rsidP="00C04193">
      <w:pPr>
        <w:rPr>
          <w:rFonts w:ascii="Roboto" w:hAnsi="Roboto"/>
        </w:rPr>
      </w:pPr>
    </w:p>
    <w:p w14:paraId="34253C76" w14:textId="138D3DDB" w:rsidR="001909E1" w:rsidRDefault="001909E1" w:rsidP="00C04193">
      <w:pPr>
        <w:rPr>
          <w:rFonts w:ascii="Roboto" w:hAnsi="Roboto"/>
        </w:rPr>
      </w:pPr>
    </w:p>
    <w:p w14:paraId="0A38D467" w14:textId="65CA1134" w:rsidR="00C04193" w:rsidRPr="009E7A65" w:rsidRDefault="00C04193" w:rsidP="00C04193">
      <w:pPr>
        <w:rPr>
          <w:rFonts w:ascii="Roboto" w:hAnsi="Roboto"/>
        </w:rPr>
      </w:pPr>
    </w:p>
    <w:p w14:paraId="41392F23" w14:textId="77777777" w:rsidR="00C04193" w:rsidRPr="009E7A65" w:rsidRDefault="00C04193" w:rsidP="00C04193">
      <w:pPr>
        <w:rPr>
          <w:rFonts w:ascii="Roboto" w:hAnsi="Roboto"/>
        </w:rPr>
      </w:pPr>
    </w:p>
    <w:p w14:paraId="49D222A3" w14:textId="77777777" w:rsidR="00C04193" w:rsidRPr="009E7A65" w:rsidRDefault="00C04193" w:rsidP="00C04193">
      <w:pPr>
        <w:rPr>
          <w:rFonts w:ascii="Roboto" w:hAnsi="Roboto"/>
        </w:rPr>
      </w:pPr>
    </w:p>
    <w:p w14:paraId="1D87A7A6" w14:textId="37C2AE62" w:rsidR="00C04193" w:rsidRPr="009E7A65" w:rsidRDefault="0011088C" w:rsidP="00C04193">
      <w:pPr>
        <w:rPr>
          <w:rFonts w:ascii="Roboto" w:hAnsi="Roboto"/>
        </w:rPr>
      </w:pPr>
      <w:r w:rsidRPr="00815900">
        <w:rPr>
          <w:rFonts w:ascii="Roboto" w:hAnsi="Roboto"/>
          <w:noProof/>
          <w:lang w:val="en-US"/>
        </w:rPr>
        <mc:AlternateContent>
          <mc:Choice Requires="wps">
            <w:drawing>
              <wp:anchor distT="0" distB="0" distL="114300" distR="114300" simplePos="0" relativeHeight="254502910" behindDoc="0" locked="0" layoutInCell="1" allowOverlap="1" wp14:anchorId="38273A29" wp14:editId="357F6484">
                <wp:simplePos x="0" y="0"/>
                <wp:positionH relativeFrom="column">
                  <wp:posOffset>-38100</wp:posOffset>
                </wp:positionH>
                <wp:positionV relativeFrom="paragraph">
                  <wp:posOffset>185914</wp:posOffset>
                </wp:positionV>
                <wp:extent cx="6694523" cy="1197610"/>
                <wp:effectExtent l="12700" t="12700" r="11430" b="8890"/>
                <wp:wrapNone/>
                <wp:docPr id="2535" name="Rounded Rectangle 2535"/>
                <wp:cNvGraphicFramePr/>
                <a:graphic xmlns:a="http://schemas.openxmlformats.org/drawingml/2006/main">
                  <a:graphicData uri="http://schemas.microsoft.com/office/word/2010/wordprocessingShape">
                    <wps:wsp>
                      <wps:cNvSpPr/>
                      <wps:spPr>
                        <a:xfrm>
                          <a:off x="0" y="0"/>
                          <a:ext cx="6694523" cy="1197610"/>
                        </a:xfrm>
                        <a:prstGeom prst="roundRect">
                          <a:avLst>
                            <a:gd name="adj" fmla="val 5475"/>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4A228F1" id="Rounded Rectangle 2535" o:spid="_x0000_s1026" style="position:absolute;margin-left:-3pt;margin-top:14.65pt;width:527.15pt;height:94.3pt;z-index:2545029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" filled="f" strokecolor="#f36e27" strokeweight="1.5pt">
                <v:stroke joinstyle="miter"/>
              </v:roundrect>
            </w:pict>
          </mc:Fallback>
        </mc:AlternateContent>
      </w:r>
    </w:p>
    <w:p w14:paraId="0AF38A55" w14:textId="04792D12" w:rsidR="001909E1" w:rsidRDefault="0040233A" w:rsidP="00C04193">
      <w:pPr>
        <w:rPr>
          <w:rFonts w:ascii="Roboto" w:hAnsi="Roboto"/>
        </w:rPr>
      </w:pPr>
      <w:r w:rsidRPr="00815900">
        <w:rPr>
          <w:rFonts w:ascii="Roboto" w:hAnsi="Roboto"/>
          <w:noProof/>
          <w:lang w:val="en-US"/>
        </w:rPr>
        <mc:AlternateContent>
          <mc:Choice Requires="wps">
            <w:drawing>
              <wp:anchor distT="0" distB="0" distL="114300" distR="114300" simplePos="0" relativeHeight="254503934" behindDoc="0" locked="0" layoutInCell="1" allowOverlap="1" wp14:anchorId="13708458" wp14:editId="79F1107C">
                <wp:simplePos x="0" y="0"/>
                <wp:positionH relativeFrom="column">
                  <wp:posOffset>16932</wp:posOffset>
                </wp:positionH>
                <wp:positionV relativeFrom="paragraph">
                  <wp:posOffset>65828</wp:posOffset>
                </wp:positionV>
                <wp:extent cx="6609927" cy="1257300"/>
                <wp:effectExtent l="0" t="0" r="0" b="0"/>
                <wp:wrapNone/>
                <wp:docPr id="2536" name="Text Box 2536"/>
                <wp:cNvGraphicFramePr/>
                <a:graphic xmlns:a="http://schemas.openxmlformats.org/drawingml/2006/main">
                  <a:graphicData uri="http://schemas.microsoft.com/office/word/2010/wordprocessingShape">
                    <wps:wsp>
                      <wps:cNvSpPr txBox="1"/>
                      <wps:spPr>
                        <a:xfrm>
                          <a:off x="0" y="0"/>
                          <a:ext cx="6609927" cy="1257300"/>
                        </a:xfrm>
                        <a:prstGeom prst="rect">
                          <a:avLst/>
                        </a:prstGeom>
                        <a:noFill/>
                        <a:ln w="6350">
                          <a:noFill/>
                        </a:ln>
                      </wps:spPr>
                      <wps:txbx>
                        <w:txbxContent>
                          <w:p w14:paraId="1A74F0C9" w14:textId="77777777"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b/>
                                <w:color w:val="82CAA0"/>
                                <w:sz w:val="20"/>
                                <w:szCs w:val="20"/>
                              </w:rPr>
                              <w:t>Development of the portal or platform:</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Structure design, information design and visual design are the three architectural levels in a portal or platform. Aside from these three levels, this module addresses concepts like user interface (UI) and user experience (UX), and introduces tools which can be used during the prototype testing and reﬁnement stage prior to the conclusion of programming, and which, in a cyclical manner, ensure a more user-</w:t>
                            </w:r>
                            <w:proofErr w:type="spellStart"/>
                            <w:r w:rsidRPr="00030253">
                              <w:rPr>
                                <w:rFonts w:ascii="Roboto" w:hAnsi="Roboto"/>
                                <w:color w:val="3B3838" w:themeColor="background2" w:themeShade="40"/>
                                <w:sz w:val="20"/>
                                <w:szCs w:val="20"/>
                              </w:rPr>
                              <w:t>centered</w:t>
                            </w:r>
                            <w:proofErr w:type="spellEnd"/>
                            <w:r w:rsidRPr="00030253">
                              <w:rPr>
                                <w:rFonts w:ascii="Roboto" w:hAnsi="Roboto"/>
                                <w:color w:val="3B3838" w:themeColor="background2" w:themeShade="40"/>
                                <w:sz w:val="20"/>
                                <w:szCs w:val="20"/>
                              </w:rPr>
                              <w:t xml:space="preserve"> development. Finally, this Module presents a developer’s toolkit containing tools, sources of inspiration, outputs, open code, trends, libraries, and other helpful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8458" id="Text Box 2536" o:spid="_x0000_s1656" type="#_x0000_t202" style="position:absolute;margin-left:1.35pt;margin-top:5.2pt;width:520.45pt;height:99pt;z-index:254503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" filled="f" stroked="f" strokeweight=".5pt">
                <v:textbox>
                  <w:txbxContent>
                    <w:p w14:paraId="1A74F0C9" w14:textId="77777777"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b/>
                          <w:color w:val="82CAA0"/>
                          <w:sz w:val="20"/>
                          <w:szCs w:val="20"/>
                        </w:rPr>
                        <w:t>Development of the portal or platform:</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Structure design, information design and visual design are the three architectural levels in a portal or platform. Aside from these three levels, this module addresses concepts like user interface (UI) and user experience (UX), and introduces tools which can be used during the prototype testing and reﬁnement stage prior to the conclusion of programming, and which, in a cyclical manner, ensure a more user-</w:t>
                      </w:r>
                      <w:proofErr w:type="spellStart"/>
                      <w:r w:rsidRPr="00030253">
                        <w:rPr>
                          <w:rFonts w:ascii="Roboto" w:hAnsi="Roboto"/>
                          <w:color w:val="3B3838" w:themeColor="background2" w:themeShade="40"/>
                          <w:sz w:val="20"/>
                          <w:szCs w:val="20"/>
                        </w:rPr>
                        <w:t>centered</w:t>
                      </w:r>
                      <w:proofErr w:type="spellEnd"/>
                      <w:r w:rsidRPr="00030253">
                        <w:rPr>
                          <w:rFonts w:ascii="Roboto" w:hAnsi="Roboto"/>
                          <w:color w:val="3B3838" w:themeColor="background2" w:themeShade="40"/>
                          <w:sz w:val="20"/>
                          <w:szCs w:val="20"/>
                        </w:rPr>
                        <w:t xml:space="preserve"> development. Finally, this Module presents a developer’s toolkit containing tools, sources of inspiration, outputs, open code, trends, libraries, and other helpful resources.</w:t>
                      </w:r>
                    </w:p>
                  </w:txbxContent>
                </v:textbox>
              </v:shape>
            </w:pict>
          </mc:Fallback>
        </mc:AlternateContent>
      </w:r>
    </w:p>
    <w:p w14:paraId="03D4FFF4" w14:textId="5D50C658" w:rsidR="00C7441B" w:rsidRDefault="00C7441B" w:rsidP="00C04193">
      <w:pPr>
        <w:rPr>
          <w:rFonts w:ascii="Roboto" w:hAnsi="Roboto"/>
        </w:rPr>
      </w:pPr>
    </w:p>
    <w:p w14:paraId="4CB41C6B" w14:textId="1A847F8D" w:rsidR="00C7441B" w:rsidRDefault="00C7441B" w:rsidP="00C04193">
      <w:pPr>
        <w:rPr>
          <w:rFonts w:ascii="Roboto" w:hAnsi="Roboto"/>
        </w:rPr>
      </w:pPr>
    </w:p>
    <w:p w14:paraId="55DA9BAF" w14:textId="32CF8599" w:rsidR="00C7441B" w:rsidRDefault="00C7441B" w:rsidP="00C04193">
      <w:pPr>
        <w:rPr>
          <w:rFonts w:ascii="Roboto" w:hAnsi="Roboto"/>
        </w:rPr>
      </w:pPr>
    </w:p>
    <w:p w14:paraId="36E8918B" w14:textId="0B24D6F5" w:rsidR="00C7441B" w:rsidRDefault="00C7441B" w:rsidP="00C04193">
      <w:pPr>
        <w:rPr>
          <w:rFonts w:ascii="Roboto" w:hAnsi="Roboto"/>
        </w:rPr>
      </w:pPr>
    </w:p>
    <w:p w14:paraId="738ED265" w14:textId="1A594370" w:rsidR="00C7441B" w:rsidRDefault="00C7441B" w:rsidP="00C04193">
      <w:pPr>
        <w:rPr>
          <w:rFonts w:ascii="Roboto" w:hAnsi="Roboto"/>
        </w:rPr>
      </w:pPr>
    </w:p>
    <w:p w14:paraId="7BBD1DA4" w14:textId="6BF05469" w:rsidR="00C7441B" w:rsidRDefault="00C7441B" w:rsidP="00C04193">
      <w:pPr>
        <w:rPr>
          <w:rFonts w:ascii="Roboto" w:hAnsi="Roboto"/>
        </w:rPr>
      </w:pPr>
    </w:p>
    <w:p w14:paraId="5A555051" w14:textId="77777777" w:rsidR="00C7441B" w:rsidRDefault="00C7441B" w:rsidP="00C04193">
      <w:pPr>
        <w:rPr>
          <w:rFonts w:ascii="Roboto" w:hAnsi="Roboto"/>
        </w:rPr>
      </w:pPr>
    </w:p>
    <w:p w14:paraId="093DE520" w14:textId="5EF2E619" w:rsidR="00C7441B" w:rsidRDefault="007341AA" w:rsidP="00C04193">
      <w:pPr>
        <w:rPr>
          <w:rFonts w:ascii="Roboto" w:hAnsi="Roboto"/>
        </w:rPr>
      </w:pPr>
      <w:r w:rsidRPr="00815900">
        <w:rPr>
          <w:rFonts w:ascii="Roboto" w:hAnsi="Roboto"/>
          <w:noProof/>
          <w:lang w:val="en-US"/>
        </w:rPr>
        <mc:AlternateContent>
          <mc:Choice Requires="wps">
            <w:drawing>
              <wp:anchor distT="0" distB="0" distL="114300" distR="114300" simplePos="0" relativeHeight="254505982" behindDoc="0" locked="0" layoutInCell="1" allowOverlap="1" wp14:anchorId="1F4D3C32" wp14:editId="771D7E65">
                <wp:simplePos x="0" y="0"/>
                <wp:positionH relativeFrom="column">
                  <wp:posOffset>16933</wp:posOffset>
                </wp:positionH>
                <wp:positionV relativeFrom="paragraph">
                  <wp:posOffset>144992</wp:posOffset>
                </wp:positionV>
                <wp:extent cx="6609292" cy="770255"/>
                <wp:effectExtent l="0" t="0" r="0" b="0"/>
                <wp:wrapNone/>
                <wp:docPr id="2537" name="Text Box 2537"/>
                <wp:cNvGraphicFramePr/>
                <a:graphic xmlns:a="http://schemas.openxmlformats.org/drawingml/2006/main">
                  <a:graphicData uri="http://schemas.microsoft.com/office/word/2010/wordprocessingShape">
                    <wps:wsp>
                      <wps:cNvSpPr txBox="1"/>
                      <wps:spPr>
                        <a:xfrm>
                          <a:off x="0" y="0"/>
                          <a:ext cx="6609292" cy="770255"/>
                        </a:xfrm>
                        <a:prstGeom prst="rect">
                          <a:avLst/>
                        </a:prstGeom>
                        <a:noFill/>
                        <a:ln w="6350">
                          <a:noFill/>
                        </a:ln>
                      </wps:spPr>
                      <wps:txbx>
                        <w:txbxContent>
                          <w:p w14:paraId="032D6D88" w14:textId="77777777"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b/>
                                <w:color w:val="82CAA0"/>
                                <w:sz w:val="20"/>
                                <w:szCs w:val="20"/>
                              </w:rPr>
                              <w:t>Amplifying the audience:</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Fiscal information publishers, as well as development teams, constantly face a lack of engagement from users within ﬁscal transparency portals and platforms. To handle this issue, this module proposes, in four steps and as part of a comprehensive strategy in the development of a user-</w:t>
                            </w:r>
                            <w:proofErr w:type="spellStart"/>
                            <w:r w:rsidRPr="00030253">
                              <w:rPr>
                                <w:rFonts w:ascii="Roboto" w:hAnsi="Roboto"/>
                                <w:color w:val="3B3838" w:themeColor="background2" w:themeShade="40"/>
                                <w:sz w:val="20"/>
                                <w:szCs w:val="20"/>
                              </w:rPr>
                              <w:t>centered</w:t>
                            </w:r>
                            <w:proofErr w:type="spellEnd"/>
                            <w:r w:rsidRPr="00030253">
                              <w:rPr>
                                <w:rFonts w:ascii="Roboto" w:hAnsi="Roboto"/>
                                <w:color w:val="3B3838" w:themeColor="background2" w:themeShade="40"/>
                                <w:sz w:val="20"/>
                                <w:szCs w:val="20"/>
                              </w:rPr>
                              <w:t xml:space="preserve"> portal, strategies for communication and engagement, as well as tips and examples for implementation.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D3C32" id="Text Box 2537" o:spid="_x0000_s1657" type="#_x0000_t202" style="position:absolute;margin-left:1.35pt;margin-top:11.4pt;width:520.4pt;height:60.65pt;z-index:2545059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" filled="f" stroked="f" strokeweight=".5pt">
                <v:textbox>
                  <w:txbxContent>
                    <w:p w14:paraId="032D6D88" w14:textId="77777777" w:rsidR="00D15FD8" w:rsidRPr="00030253" w:rsidRDefault="00D15FD8" w:rsidP="00C04193">
                      <w:pPr>
                        <w:spacing w:line="276" w:lineRule="auto"/>
                        <w:jc w:val="both"/>
                        <w:rPr>
                          <w:rFonts w:ascii="Roboto" w:hAnsi="Roboto"/>
                          <w:color w:val="3B3838" w:themeColor="background2" w:themeShade="40"/>
                          <w:sz w:val="20"/>
                          <w:szCs w:val="20"/>
                          <w:u w:val="single"/>
                        </w:rPr>
                      </w:pPr>
                      <w:r w:rsidRPr="00030253">
                        <w:rPr>
                          <w:rFonts w:ascii="Roboto" w:hAnsi="Roboto"/>
                          <w:b/>
                          <w:color w:val="82CAA0"/>
                          <w:sz w:val="20"/>
                          <w:szCs w:val="20"/>
                        </w:rPr>
                        <w:t>Amplifying the audience:</w:t>
                      </w:r>
                      <w:r w:rsidRPr="00030253">
                        <w:rPr>
                          <w:rFonts w:ascii="Roboto" w:hAnsi="Roboto"/>
                          <w:color w:val="82CAA0"/>
                          <w:sz w:val="20"/>
                          <w:szCs w:val="20"/>
                        </w:rPr>
                        <w:t xml:space="preserve"> </w:t>
                      </w:r>
                      <w:r w:rsidRPr="00030253">
                        <w:rPr>
                          <w:rFonts w:ascii="Roboto" w:hAnsi="Roboto"/>
                          <w:color w:val="3B3838" w:themeColor="background2" w:themeShade="40"/>
                          <w:sz w:val="20"/>
                          <w:szCs w:val="20"/>
                        </w:rPr>
                        <w:t>Fiscal information publishers, as well as development teams, constantly face a lack of engagement from users within ﬁscal transparency portals and platforms. To handle this issue, this module proposes, in four steps and as part of a comprehensive strategy in the development of a user-</w:t>
                      </w:r>
                      <w:proofErr w:type="spellStart"/>
                      <w:r w:rsidRPr="00030253">
                        <w:rPr>
                          <w:rFonts w:ascii="Roboto" w:hAnsi="Roboto"/>
                          <w:color w:val="3B3838" w:themeColor="background2" w:themeShade="40"/>
                          <w:sz w:val="20"/>
                          <w:szCs w:val="20"/>
                        </w:rPr>
                        <w:t>centered</w:t>
                      </w:r>
                      <w:proofErr w:type="spellEnd"/>
                      <w:r w:rsidRPr="00030253">
                        <w:rPr>
                          <w:rFonts w:ascii="Roboto" w:hAnsi="Roboto"/>
                          <w:color w:val="3B3838" w:themeColor="background2" w:themeShade="40"/>
                          <w:sz w:val="20"/>
                          <w:szCs w:val="20"/>
                        </w:rPr>
                        <w:t xml:space="preserve"> portal, strategies for communication and engagement, as well as tips and examples for implementation.</w:t>
                      </w:r>
                    </w:p>
                  </w:txbxContent>
                </v:textbox>
              </v:shape>
            </w:pict>
          </mc:Fallback>
        </mc:AlternateContent>
      </w:r>
      <w:r w:rsidRPr="00815900">
        <w:rPr>
          <w:rFonts w:ascii="Roboto" w:hAnsi="Roboto"/>
          <w:noProof/>
          <w:lang w:val="en-US"/>
        </w:rPr>
        <mc:AlternateContent>
          <mc:Choice Requires="wps">
            <w:drawing>
              <wp:anchor distT="0" distB="0" distL="114300" distR="114300" simplePos="0" relativeHeight="254504958" behindDoc="0" locked="0" layoutInCell="1" allowOverlap="1" wp14:anchorId="50A54C3D" wp14:editId="308A6BF4">
                <wp:simplePos x="0" y="0"/>
                <wp:positionH relativeFrom="column">
                  <wp:posOffset>-38100</wp:posOffset>
                </wp:positionH>
                <wp:positionV relativeFrom="paragraph">
                  <wp:posOffset>56092</wp:posOffset>
                </wp:positionV>
                <wp:extent cx="6693253" cy="935355"/>
                <wp:effectExtent l="12700" t="12700" r="12700" b="17145"/>
                <wp:wrapNone/>
                <wp:docPr id="2538" name="Rounded Rectangle 2538"/>
                <wp:cNvGraphicFramePr/>
                <a:graphic xmlns:a="http://schemas.openxmlformats.org/drawingml/2006/main">
                  <a:graphicData uri="http://schemas.microsoft.com/office/word/2010/wordprocessingShape">
                    <wps:wsp>
                      <wps:cNvSpPr/>
                      <wps:spPr>
                        <a:xfrm>
                          <a:off x="0" y="0"/>
                          <a:ext cx="6693253" cy="935355"/>
                        </a:xfrm>
                        <a:prstGeom prst="roundRect">
                          <a:avLst>
                            <a:gd name="adj" fmla="val 8647"/>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36A0FCB" id="Rounded Rectangle 2538" o:spid="_x0000_s1026" style="position:absolute;margin-left:-3pt;margin-top:4.4pt;width:527.05pt;height:73.65pt;z-index:2545049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" filled="f" strokecolor="#f36e27" strokeweight="1.5pt">
                <v:stroke joinstyle="miter"/>
              </v:roundrect>
            </w:pict>
          </mc:Fallback>
        </mc:AlternateContent>
      </w:r>
    </w:p>
    <w:p w14:paraId="7EDFBD3E" w14:textId="620FCE39" w:rsidR="00C04193" w:rsidRDefault="00C04193" w:rsidP="00C04193">
      <w:pPr>
        <w:rPr>
          <w:rFonts w:ascii="Roboto" w:hAnsi="Roboto"/>
        </w:rPr>
      </w:pPr>
    </w:p>
    <w:p w14:paraId="686BE2CA" w14:textId="6465A55E" w:rsidR="00C04193" w:rsidRDefault="00C04193" w:rsidP="00C04193">
      <w:pPr>
        <w:rPr>
          <w:rFonts w:ascii="Roboto" w:hAnsi="Roboto"/>
        </w:rPr>
      </w:pPr>
    </w:p>
    <w:p w14:paraId="0DE8558C" w14:textId="52410E19" w:rsidR="00C04193" w:rsidRDefault="00C04193" w:rsidP="00C04193">
      <w:pPr>
        <w:rPr>
          <w:rFonts w:ascii="Roboto" w:hAnsi="Roboto"/>
        </w:rPr>
      </w:pPr>
    </w:p>
    <w:p w14:paraId="2526A07F" w14:textId="2B3ED8B3" w:rsidR="00C04193" w:rsidRDefault="00C04193" w:rsidP="00C04193">
      <w:pPr>
        <w:rPr>
          <w:rFonts w:ascii="Roboto" w:hAnsi="Roboto"/>
        </w:rPr>
      </w:pPr>
    </w:p>
    <w:p w14:paraId="55E7EA4C" w14:textId="5D4717CE" w:rsidR="00C04193" w:rsidRDefault="00C04193" w:rsidP="00C04193">
      <w:pPr>
        <w:rPr>
          <w:rFonts w:ascii="Roboto" w:hAnsi="Roboto"/>
        </w:rPr>
      </w:pPr>
    </w:p>
    <w:p w14:paraId="3D144E5C" w14:textId="7D980887" w:rsidR="00C04193" w:rsidRPr="004D07F4" w:rsidRDefault="0040233A" w:rsidP="00C04193">
      <w:pPr>
        <w:rPr>
          <w:rFonts w:ascii="Roboto" w:hAnsi="Roboto"/>
        </w:rPr>
      </w:pPr>
      <w:r w:rsidRPr="00815900">
        <w:rPr>
          <w:rFonts w:ascii="Roboto" w:hAnsi="Roboto"/>
          <w:noProof/>
          <w:lang w:val="en-US"/>
        </w:rPr>
        <mc:AlternateContent>
          <mc:Choice Requires="wps">
            <w:drawing>
              <wp:anchor distT="0" distB="0" distL="114300" distR="114300" simplePos="0" relativeHeight="254507006" behindDoc="0" locked="0" layoutInCell="1" allowOverlap="1" wp14:anchorId="7FA34148" wp14:editId="3717E462">
                <wp:simplePos x="0" y="0"/>
                <wp:positionH relativeFrom="column">
                  <wp:posOffset>-12700</wp:posOffset>
                </wp:positionH>
                <wp:positionV relativeFrom="paragraph">
                  <wp:posOffset>144639</wp:posOffset>
                </wp:positionV>
                <wp:extent cx="6671945" cy="1070610"/>
                <wp:effectExtent l="12700" t="12700" r="8255" b="8890"/>
                <wp:wrapNone/>
                <wp:docPr id="2541" name="Rounded Rectangle 2541"/>
                <wp:cNvGraphicFramePr/>
                <a:graphic xmlns:a="http://schemas.openxmlformats.org/drawingml/2006/main">
                  <a:graphicData uri="http://schemas.microsoft.com/office/word/2010/wordprocessingShape">
                    <wps:wsp>
                      <wps:cNvSpPr/>
                      <wps:spPr>
                        <a:xfrm>
                          <a:off x="0" y="0"/>
                          <a:ext cx="6671945" cy="1070610"/>
                        </a:xfrm>
                        <a:prstGeom prst="roundRect">
                          <a:avLst>
                            <a:gd name="adj" fmla="val 8422"/>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4B7DA9D" id="Rounded Rectangle 2541" o:spid="_x0000_s1026" style="position:absolute;margin-left:-1pt;margin-top:11.4pt;width:525.35pt;height:84.3pt;z-index:254507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" filled="f" strokecolor="#f36e27" strokeweight="1.5pt">
                <v:stroke joinstyle="miter"/>
              </v:roundrect>
            </w:pict>
          </mc:Fallback>
        </mc:AlternateContent>
      </w:r>
    </w:p>
    <w:p w14:paraId="4F0EF6B6" w14:textId="18FE7D04" w:rsidR="00C04193" w:rsidRPr="004D07F4" w:rsidRDefault="0040233A" w:rsidP="00C04193">
      <w:pPr>
        <w:rPr>
          <w:rFonts w:ascii="Roboto" w:hAnsi="Roboto"/>
        </w:rPr>
      </w:pPr>
      <w:r w:rsidRPr="00815900">
        <w:rPr>
          <w:rFonts w:ascii="Roboto" w:hAnsi="Roboto"/>
          <w:noProof/>
          <w:lang w:val="en-US"/>
        </w:rPr>
        <mc:AlternateContent>
          <mc:Choice Requires="wps">
            <w:drawing>
              <wp:anchor distT="0" distB="0" distL="114300" distR="114300" simplePos="0" relativeHeight="254508030" behindDoc="0" locked="0" layoutInCell="1" allowOverlap="1" wp14:anchorId="3498EC31" wp14:editId="77E27F21">
                <wp:simplePos x="0" y="0"/>
                <wp:positionH relativeFrom="column">
                  <wp:posOffset>16933</wp:posOffset>
                </wp:positionH>
                <wp:positionV relativeFrom="paragraph">
                  <wp:posOffset>59972</wp:posOffset>
                </wp:positionV>
                <wp:extent cx="6637867" cy="1054100"/>
                <wp:effectExtent l="0" t="0" r="0" b="0"/>
                <wp:wrapNone/>
                <wp:docPr id="2542" name="Text Box 2542"/>
                <wp:cNvGraphicFramePr/>
                <a:graphic xmlns:a="http://schemas.openxmlformats.org/drawingml/2006/main">
                  <a:graphicData uri="http://schemas.microsoft.com/office/word/2010/wordprocessingShape">
                    <wps:wsp>
                      <wps:cNvSpPr txBox="1"/>
                      <wps:spPr>
                        <a:xfrm>
                          <a:off x="0" y="0"/>
                          <a:ext cx="6637867" cy="1054100"/>
                        </a:xfrm>
                        <a:prstGeom prst="rect">
                          <a:avLst/>
                        </a:prstGeom>
                        <a:noFill/>
                        <a:ln w="6350">
                          <a:noFill/>
                        </a:ln>
                      </wps:spPr>
                      <wps:txbx>
                        <w:txbxContent>
                          <w:p w14:paraId="4A0323B6" w14:textId="77777777" w:rsidR="00D15FD8" w:rsidRPr="002F2EE5" w:rsidRDefault="00D15FD8" w:rsidP="00C04193">
                            <w:pPr>
                              <w:spacing w:line="276" w:lineRule="auto"/>
                              <w:jc w:val="both"/>
                              <w:rPr>
                                <w:rFonts w:ascii="Roboto" w:hAnsi="Roboto"/>
                                <w:color w:val="3B3838" w:themeColor="background2" w:themeShade="40"/>
                                <w:sz w:val="20"/>
                                <w:szCs w:val="20"/>
                                <w:u w:val="single"/>
                              </w:rPr>
                            </w:pPr>
                            <w:r w:rsidRPr="002F2EE5">
                              <w:rPr>
                                <w:rFonts w:ascii="Roboto" w:hAnsi="Roboto"/>
                                <w:b/>
                                <w:color w:val="82CAA0"/>
                                <w:sz w:val="20"/>
                                <w:szCs w:val="20"/>
                              </w:rPr>
                              <w:t xml:space="preserve">Monitoring and evaluation to improve: </w:t>
                            </w:r>
                            <w:r w:rsidRPr="002F2EE5">
                              <w:rPr>
                                <w:rFonts w:ascii="Roboto" w:hAnsi="Roboto"/>
                                <w:color w:val="3B3838" w:themeColor="background2" w:themeShade="40"/>
                                <w:sz w:val="20"/>
                                <w:szCs w:val="20"/>
                              </w:rPr>
                              <w:t>It is important to monitor both the initially proposed indicators and the functional/operational activity of the platform. Monitoring methods are explored here, including the use of Google Analytics as a tool to enable analyses of user behaviour. Subsequently, methodological options are introduced to allow for the evaluation of a publication’s processes, cost-beneﬁt and impact, providing for the gathering of evidence to inform decision making on subsequent improvements.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8EC31" id="Text Box 2542" o:spid="_x0000_s1658" type="#_x0000_t202" style="position:absolute;margin-left:1.35pt;margin-top:4.7pt;width:522.65pt;height:83pt;z-index:2545080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" filled="f" stroked="f" strokeweight=".5pt">
                <v:textbox>
                  <w:txbxContent>
                    <w:p w14:paraId="4A0323B6" w14:textId="77777777" w:rsidR="00D15FD8" w:rsidRPr="002F2EE5" w:rsidRDefault="00D15FD8" w:rsidP="00C04193">
                      <w:pPr>
                        <w:spacing w:line="276" w:lineRule="auto"/>
                        <w:jc w:val="both"/>
                        <w:rPr>
                          <w:rFonts w:ascii="Roboto" w:hAnsi="Roboto"/>
                          <w:color w:val="3B3838" w:themeColor="background2" w:themeShade="40"/>
                          <w:sz w:val="20"/>
                          <w:szCs w:val="20"/>
                          <w:u w:val="single"/>
                        </w:rPr>
                      </w:pPr>
                      <w:r w:rsidRPr="002F2EE5">
                        <w:rPr>
                          <w:rFonts w:ascii="Roboto" w:hAnsi="Roboto"/>
                          <w:b/>
                          <w:color w:val="82CAA0"/>
                          <w:sz w:val="20"/>
                          <w:szCs w:val="20"/>
                        </w:rPr>
                        <w:t xml:space="preserve">Monitoring and evaluation to improve: </w:t>
                      </w:r>
                      <w:r w:rsidRPr="002F2EE5">
                        <w:rPr>
                          <w:rFonts w:ascii="Roboto" w:hAnsi="Roboto"/>
                          <w:color w:val="3B3838" w:themeColor="background2" w:themeShade="40"/>
                          <w:sz w:val="20"/>
                          <w:szCs w:val="20"/>
                        </w:rPr>
                        <w:t>It is important to monitor both the initially proposed indicators and the functional/operational activity of the platform. Monitoring methods are explored here, including the use of Google Analytics as a tool to enable analyses of user behaviour. Subsequently, methodological options are introduced to allow for the evaluation of a publication’s processes, cost-beneﬁt and impact, providing for the gathering of evidence to inform decision making on subsequent improvements.</w:t>
                      </w:r>
                    </w:p>
                  </w:txbxContent>
                </v:textbox>
              </v:shape>
            </w:pict>
          </mc:Fallback>
        </mc:AlternateContent>
      </w:r>
    </w:p>
    <w:p w14:paraId="0C1B956A" w14:textId="3C34361F" w:rsidR="00C04193" w:rsidRPr="004D07F4" w:rsidRDefault="00C04193" w:rsidP="00C04193">
      <w:pPr>
        <w:rPr>
          <w:rFonts w:ascii="Roboto" w:hAnsi="Roboto"/>
        </w:rPr>
      </w:pPr>
    </w:p>
    <w:p w14:paraId="193FA933" w14:textId="57E844B5" w:rsidR="00C04193" w:rsidRDefault="00C04193" w:rsidP="00C04193">
      <w:pPr>
        <w:rPr>
          <w:rFonts w:ascii="Roboto" w:hAnsi="Roboto"/>
        </w:rPr>
      </w:pPr>
    </w:p>
    <w:p w14:paraId="155E12BB" w14:textId="515E054E" w:rsidR="001909E1" w:rsidRDefault="001909E1" w:rsidP="00C04193">
      <w:pPr>
        <w:rPr>
          <w:rFonts w:ascii="Roboto" w:hAnsi="Roboto"/>
        </w:rPr>
      </w:pPr>
    </w:p>
    <w:p w14:paraId="2634EA6C" w14:textId="1D2ECE37" w:rsidR="00C7441B" w:rsidRDefault="00C7441B" w:rsidP="003625BA">
      <w:pPr>
        <w:tabs>
          <w:tab w:val="left" w:pos="3820"/>
        </w:tabs>
        <w:rPr>
          <w:rFonts w:ascii="Roboto" w:hAnsi="Roboto"/>
        </w:rPr>
      </w:pPr>
    </w:p>
    <w:p w14:paraId="2D305D0F" w14:textId="7BD3E01E" w:rsidR="001909E1" w:rsidRPr="004D07F4" w:rsidRDefault="001909E1" w:rsidP="00C04193">
      <w:pPr>
        <w:rPr>
          <w:rFonts w:ascii="Roboto" w:hAnsi="Roboto"/>
        </w:rPr>
      </w:pPr>
    </w:p>
    <w:p w14:paraId="3A4ACB04" w14:textId="0A3B3600" w:rsidR="00C04193" w:rsidRPr="004D07F4" w:rsidRDefault="00C04193" w:rsidP="00C04193">
      <w:pPr>
        <w:rPr>
          <w:rFonts w:ascii="Roboto" w:hAnsi="Roboto"/>
        </w:rPr>
      </w:pPr>
    </w:p>
    <w:p w14:paraId="625B28D9" w14:textId="3B9CA592" w:rsidR="00C04193" w:rsidRDefault="007341AA" w:rsidP="00C04193">
      <w:pPr>
        <w:spacing w:line="276" w:lineRule="auto"/>
        <w:jc w:val="both"/>
        <w:rPr>
          <w:rFonts w:ascii="Roboto" w:hAnsi="Roboto"/>
        </w:rPr>
      </w:pPr>
      <w:r w:rsidRPr="00815900">
        <w:rPr>
          <w:rFonts w:ascii="Roboto" w:hAnsi="Roboto"/>
          <w:noProof/>
          <w:lang w:val="en-US"/>
        </w:rPr>
        <mc:AlternateContent>
          <mc:Choice Requires="wps">
            <w:drawing>
              <wp:anchor distT="0" distB="0" distL="114300" distR="114300" simplePos="0" relativeHeight="254509054" behindDoc="0" locked="0" layoutInCell="1" allowOverlap="1" wp14:anchorId="43219500" wp14:editId="5775C73B">
                <wp:simplePos x="0" y="0"/>
                <wp:positionH relativeFrom="column">
                  <wp:posOffset>-15522</wp:posOffset>
                </wp:positionH>
                <wp:positionV relativeFrom="paragraph">
                  <wp:posOffset>44097</wp:posOffset>
                </wp:positionV>
                <wp:extent cx="6672791" cy="1045210"/>
                <wp:effectExtent l="12700" t="12700" r="7620" b="8890"/>
                <wp:wrapNone/>
                <wp:docPr id="2539" name="Rounded Rectangle 2539"/>
                <wp:cNvGraphicFramePr/>
                <a:graphic xmlns:a="http://schemas.openxmlformats.org/drawingml/2006/main">
                  <a:graphicData uri="http://schemas.microsoft.com/office/word/2010/wordprocessingShape">
                    <wps:wsp>
                      <wps:cNvSpPr/>
                      <wps:spPr>
                        <a:xfrm>
                          <a:off x="0" y="0"/>
                          <a:ext cx="6672791" cy="1045210"/>
                        </a:xfrm>
                        <a:prstGeom prst="roundRect">
                          <a:avLst>
                            <a:gd name="adj" fmla="val 5370"/>
                          </a:avLst>
                        </a:prstGeom>
                        <a:noFill/>
                        <a:ln w="19050">
                          <a:solidFill>
                            <a:srgbClr val="F36E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149C70C4" id="Rounded Rectangle 2539" o:spid="_x0000_s1026" style="position:absolute;margin-left:-1.2pt;margin-top:3.45pt;width:525.4pt;height:82.3pt;z-index:254509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" filled="f" strokecolor="#f36e27" strokeweight="1.5pt">
                <v:stroke joinstyle="miter"/>
              </v:roundrect>
            </w:pict>
          </mc:Fallback>
        </mc:AlternateContent>
      </w:r>
      <w:r w:rsidRPr="00815900">
        <w:rPr>
          <w:rFonts w:ascii="Roboto" w:hAnsi="Roboto"/>
          <w:noProof/>
          <w:lang w:val="en-US"/>
        </w:rPr>
        <mc:AlternateContent>
          <mc:Choice Requires="wps">
            <w:drawing>
              <wp:anchor distT="0" distB="0" distL="114300" distR="114300" simplePos="0" relativeHeight="254510078" behindDoc="0" locked="0" layoutInCell="1" allowOverlap="1" wp14:anchorId="04A0426F" wp14:editId="7F0A0089">
                <wp:simplePos x="0" y="0"/>
                <wp:positionH relativeFrom="column">
                  <wp:posOffset>16510</wp:posOffset>
                </wp:positionH>
                <wp:positionV relativeFrom="paragraph">
                  <wp:posOffset>163336</wp:posOffset>
                </wp:positionV>
                <wp:extent cx="6609927" cy="812800"/>
                <wp:effectExtent l="0" t="0" r="0" b="0"/>
                <wp:wrapNone/>
                <wp:docPr id="2540" name="Text Box 2540"/>
                <wp:cNvGraphicFramePr/>
                <a:graphic xmlns:a="http://schemas.openxmlformats.org/drawingml/2006/main">
                  <a:graphicData uri="http://schemas.microsoft.com/office/word/2010/wordprocessingShape">
                    <wps:wsp>
                      <wps:cNvSpPr txBox="1"/>
                      <wps:spPr>
                        <a:xfrm>
                          <a:off x="0" y="0"/>
                          <a:ext cx="6609927" cy="812800"/>
                        </a:xfrm>
                        <a:prstGeom prst="rect">
                          <a:avLst/>
                        </a:prstGeom>
                        <a:noFill/>
                        <a:ln w="6350">
                          <a:noFill/>
                        </a:ln>
                      </wps:spPr>
                      <wps:txbx>
                        <w:txbxContent>
                          <w:p w14:paraId="3B683C1A" w14:textId="77777777" w:rsidR="00D15FD8" w:rsidRPr="002F2EE5" w:rsidRDefault="00D15FD8" w:rsidP="00C04193">
                            <w:pPr>
                              <w:spacing w:line="276" w:lineRule="auto"/>
                              <w:jc w:val="both"/>
                              <w:rPr>
                                <w:rFonts w:ascii="Roboto" w:hAnsi="Roboto"/>
                                <w:color w:val="3B3838" w:themeColor="background2" w:themeShade="40"/>
                                <w:sz w:val="20"/>
                                <w:szCs w:val="20"/>
                                <w:u w:val="single"/>
                              </w:rPr>
                            </w:pPr>
                            <w:r w:rsidRPr="002F2EE5">
                              <w:rPr>
                                <w:rFonts w:ascii="Roboto" w:hAnsi="Roboto"/>
                                <w:b/>
                                <w:color w:val="82CAA0"/>
                                <w:sz w:val="20"/>
                                <w:szCs w:val="20"/>
                              </w:rPr>
                              <w:t xml:space="preserve">Iteration to accomplish a living portal: </w:t>
                            </w:r>
                            <w:r w:rsidRPr="002F2EE5">
                              <w:rPr>
                                <w:rFonts w:ascii="Roboto" w:hAnsi="Roboto"/>
                                <w:color w:val="3B3838" w:themeColor="background2" w:themeShade="40"/>
                                <w:sz w:val="20"/>
                                <w:szCs w:val="20"/>
                              </w:rPr>
                              <w:t>A ﬁscal transparency portal developed or upgraded through user-</w:t>
                            </w:r>
                            <w:proofErr w:type="spellStart"/>
                            <w:r w:rsidRPr="002F2EE5">
                              <w:rPr>
                                <w:rFonts w:ascii="Roboto" w:hAnsi="Roboto"/>
                                <w:color w:val="3B3838" w:themeColor="background2" w:themeShade="40"/>
                                <w:sz w:val="20"/>
                                <w:szCs w:val="20"/>
                              </w:rPr>
                              <w:t>centered</w:t>
                            </w:r>
                            <w:proofErr w:type="spellEnd"/>
                            <w:r w:rsidRPr="002F2EE5">
                              <w:rPr>
                                <w:rFonts w:ascii="Roboto" w:hAnsi="Roboto"/>
                                <w:color w:val="3B3838" w:themeColor="background2" w:themeShade="40"/>
                                <w:sz w:val="20"/>
                                <w:szCs w:val="20"/>
                              </w:rPr>
                              <w:t xml:space="preserve"> processes becomes a living and reactive portal that adapts in an agile and constant way according to objectives and results over time. Living, reactive portals guard against the possibility of inconsistencies due to changing local context, international advances in related matters and technological evolution, among other factors.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0426F" id="Text Box 2540" o:spid="_x0000_s1659" type="#_x0000_t202" style="position:absolute;left:0;text-align:left;margin-left:1.3pt;margin-top:12.85pt;width:520.45pt;height:64pt;z-index:254510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" filled="f" stroked="f" strokeweight=".5pt">
                <v:textbox>
                  <w:txbxContent>
                    <w:p w14:paraId="3B683C1A" w14:textId="77777777" w:rsidR="00D15FD8" w:rsidRPr="002F2EE5" w:rsidRDefault="00D15FD8" w:rsidP="00C04193">
                      <w:pPr>
                        <w:spacing w:line="276" w:lineRule="auto"/>
                        <w:jc w:val="both"/>
                        <w:rPr>
                          <w:rFonts w:ascii="Roboto" w:hAnsi="Roboto"/>
                          <w:color w:val="3B3838" w:themeColor="background2" w:themeShade="40"/>
                          <w:sz w:val="20"/>
                          <w:szCs w:val="20"/>
                          <w:u w:val="single"/>
                        </w:rPr>
                      </w:pPr>
                      <w:r w:rsidRPr="002F2EE5">
                        <w:rPr>
                          <w:rFonts w:ascii="Roboto" w:hAnsi="Roboto"/>
                          <w:b/>
                          <w:color w:val="82CAA0"/>
                          <w:sz w:val="20"/>
                          <w:szCs w:val="20"/>
                        </w:rPr>
                        <w:t xml:space="preserve">Iteration to accomplish a living portal: </w:t>
                      </w:r>
                      <w:r w:rsidRPr="002F2EE5">
                        <w:rPr>
                          <w:rFonts w:ascii="Roboto" w:hAnsi="Roboto"/>
                          <w:color w:val="3B3838" w:themeColor="background2" w:themeShade="40"/>
                          <w:sz w:val="20"/>
                          <w:szCs w:val="20"/>
                        </w:rPr>
                        <w:t>A ﬁscal transparency portal developed or upgraded through user-</w:t>
                      </w:r>
                      <w:proofErr w:type="spellStart"/>
                      <w:r w:rsidRPr="002F2EE5">
                        <w:rPr>
                          <w:rFonts w:ascii="Roboto" w:hAnsi="Roboto"/>
                          <w:color w:val="3B3838" w:themeColor="background2" w:themeShade="40"/>
                          <w:sz w:val="20"/>
                          <w:szCs w:val="20"/>
                        </w:rPr>
                        <w:t>centered</w:t>
                      </w:r>
                      <w:proofErr w:type="spellEnd"/>
                      <w:r w:rsidRPr="002F2EE5">
                        <w:rPr>
                          <w:rFonts w:ascii="Roboto" w:hAnsi="Roboto"/>
                          <w:color w:val="3B3838" w:themeColor="background2" w:themeShade="40"/>
                          <w:sz w:val="20"/>
                          <w:szCs w:val="20"/>
                        </w:rPr>
                        <w:t xml:space="preserve"> processes becomes a living and reactive portal that adapts in an agile and constant way according to objectives and results over time. Living, reactive portals guard against the possibility of inconsistencies due to changing local context, international advances in related matters and technological evolution, among other factors.</w:t>
                      </w:r>
                    </w:p>
                  </w:txbxContent>
                </v:textbox>
              </v:shape>
            </w:pict>
          </mc:Fallback>
        </mc:AlternateContent>
      </w:r>
    </w:p>
    <w:p w14:paraId="5E3B0936" w14:textId="28C637FA" w:rsidR="00C04193" w:rsidRDefault="00C04193" w:rsidP="00C04193">
      <w:pPr>
        <w:spacing w:line="276" w:lineRule="auto"/>
        <w:jc w:val="both"/>
        <w:rPr>
          <w:rFonts w:ascii="Roboto" w:hAnsi="Roboto"/>
        </w:rPr>
      </w:pPr>
    </w:p>
    <w:p w14:paraId="19DD4A8A" w14:textId="5328230C" w:rsidR="00C04193" w:rsidRPr="004D07F4" w:rsidRDefault="00C04193" w:rsidP="00C04193">
      <w:pPr>
        <w:spacing w:line="276" w:lineRule="auto"/>
        <w:jc w:val="both"/>
        <w:rPr>
          <w:rFonts w:ascii="Roboto" w:hAnsi="Roboto"/>
        </w:rPr>
      </w:pPr>
    </w:p>
    <w:p w14:paraId="667F762B" w14:textId="2A11F7F3" w:rsidR="00C04193" w:rsidRDefault="00C04193" w:rsidP="003625BA">
      <w:pPr>
        <w:shd w:val="clear" w:color="auto" w:fill="F2F2F2" w:themeFill="background1" w:themeFillShade="F2"/>
        <w:rPr>
          <w:rFonts w:ascii="Arial" w:hAnsi="Arial" w:cs="Arial"/>
          <w:b/>
          <w:color w:val="ED5625"/>
          <w:sz w:val="24"/>
          <w:szCs w:val="24"/>
        </w:rPr>
      </w:pPr>
    </w:p>
    <w:p w14:paraId="720A6288" w14:textId="52A12EA5" w:rsidR="001909E1" w:rsidRDefault="001909E1" w:rsidP="003625BA">
      <w:pPr>
        <w:shd w:val="clear" w:color="auto" w:fill="F2F2F2" w:themeFill="background1" w:themeFillShade="F2"/>
        <w:rPr>
          <w:rFonts w:ascii="Arial" w:hAnsi="Arial" w:cs="Arial"/>
          <w:b/>
          <w:color w:val="ED5625"/>
          <w:sz w:val="24"/>
          <w:szCs w:val="24"/>
        </w:rPr>
      </w:pPr>
    </w:p>
    <w:p w14:paraId="661A05FD" w14:textId="3E4D0CDB" w:rsidR="001909E1" w:rsidRDefault="001909E1" w:rsidP="003625BA">
      <w:pPr>
        <w:shd w:val="clear" w:color="auto" w:fill="F2F2F2" w:themeFill="background1" w:themeFillShade="F2"/>
        <w:rPr>
          <w:rFonts w:ascii="Arial" w:hAnsi="Arial" w:cs="Arial"/>
          <w:b/>
          <w:color w:val="ED5625"/>
          <w:sz w:val="24"/>
          <w:szCs w:val="24"/>
        </w:rPr>
      </w:pPr>
    </w:p>
    <w:p w14:paraId="40BFB0EA" w14:textId="65DEE36F" w:rsidR="001909E1" w:rsidRDefault="001909E1" w:rsidP="001A3A3C">
      <w:pPr>
        <w:rPr>
          <w:rFonts w:ascii="Arial" w:hAnsi="Arial" w:cs="Arial"/>
          <w:b/>
          <w:color w:val="ED5625"/>
          <w:sz w:val="24"/>
          <w:szCs w:val="24"/>
        </w:rPr>
      </w:pPr>
    </w:p>
    <w:p w14:paraId="2D65BAA4" w14:textId="59066201" w:rsidR="001909E1" w:rsidRDefault="001909E1" w:rsidP="00AC4E63">
      <w:pPr>
        <w:rPr>
          <w:rFonts w:ascii="Arial" w:hAnsi="Arial" w:cs="Arial"/>
          <w:b/>
          <w:color w:val="ED5625"/>
          <w:sz w:val="24"/>
          <w:szCs w:val="24"/>
        </w:rPr>
      </w:pPr>
    </w:p>
    <w:p w14:paraId="10740861" w14:textId="61377632" w:rsidR="007C3F48" w:rsidRDefault="007C3F48" w:rsidP="00AC4E63">
      <w:pPr>
        <w:tabs>
          <w:tab w:val="left" w:pos="5904"/>
        </w:tabs>
        <w:rPr>
          <w:lang w:val="en-US"/>
        </w:rPr>
      </w:pPr>
    </w:p>
    <w:p w14:paraId="5E997582" w14:textId="6A913DF3" w:rsidR="007367AF" w:rsidRPr="009E6736" w:rsidRDefault="007367AF" w:rsidP="005B096F">
      <w:pPr>
        <w:pStyle w:val="Heading3"/>
        <w:numPr>
          <w:ilvl w:val="2"/>
          <w:numId w:val="139"/>
        </w:numPr>
        <w:tabs>
          <w:tab w:val="left" w:pos="7580"/>
        </w:tabs>
        <w:ind w:left="900" w:hanging="900"/>
        <w:rPr>
          <w:rFonts w:ascii="Arial" w:hAnsi="Arial" w:cs="Arial"/>
          <w:b/>
          <w:bCs/>
          <w:color w:val="16988A"/>
          <w:sz w:val="32"/>
          <w:szCs w:val="32"/>
          <w:lang w:val="en-US"/>
        </w:rPr>
      </w:pPr>
      <w:bookmarkStart w:id="2357" w:name="_Toc123204549"/>
      <w:bookmarkStart w:id="2358" w:name="_Toc123216669"/>
      <w:bookmarkStart w:id="2359" w:name="_Toc123217509"/>
      <w:bookmarkStart w:id="2360" w:name="_Toc123913465"/>
      <w:bookmarkStart w:id="2361" w:name="_Toc123914122"/>
      <w:bookmarkStart w:id="2362" w:name="_Toc125566738"/>
      <w:proofErr w:type="spellStart"/>
      <w:r w:rsidRPr="009E6736">
        <w:rPr>
          <w:rFonts w:ascii="Arial" w:hAnsi="Arial" w:cs="Arial"/>
          <w:b/>
          <w:bCs/>
          <w:color w:val="16988A"/>
          <w:sz w:val="32"/>
          <w:szCs w:val="32"/>
          <w:lang w:val="en-US"/>
        </w:rPr>
        <w:lastRenderedPageBreak/>
        <w:t>GovTech</w:t>
      </w:r>
      <w:bookmarkEnd w:id="2357"/>
      <w:bookmarkEnd w:id="2358"/>
      <w:bookmarkEnd w:id="2359"/>
      <w:bookmarkEnd w:id="2360"/>
      <w:bookmarkEnd w:id="2361"/>
      <w:bookmarkEnd w:id="2362"/>
      <w:proofErr w:type="spellEnd"/>
    </w:p>
    <w:p w14:paraId="718223FF" w14:textId="646FAF1B" w:rsidR="007367AF" w:rsidRPr="00EB2A7C" w:rsidRDefault="007367AF" w:rsidP="00EB2A7C">
      <w:pPr>
        <w:spacing w:line="276" w:lineRule="auto"/>
        <w:rPr>
          <w:rFonts w:ascii="Arial" w:hAnsi="Arial" w:cs="Arial"/>
          <w:sz w:val="24"/>
          <w:szCs w:val="24"/>
          <w:lang w:val="en-US"/>
        </w:rPr>
      </w:pPr>
    </w:p>
    <w:p w14:paraId="2573C786" w14:textId="68B3E339" w:rsidR="007367AF" w:rsidRDefault="003E7F69" w:rsidP="007367AF">
      <w:pPr>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511102" behindDoc="0" locked="0" layoutInCell="1" allowOverlap="1" wp14:anchorId="77D476CB" wp14:editId="058C96BC">
            <wp:simplePos x="0" y="0"/>
            <wp:positionH relativeFrom="column">
              <wp:posOffset>0</wp:posOffset>
            </wp:positionH>
            <wp:positionV relativeFrom="paragraph">
              <wp:posOffset>20955</wp:posOffset>
            </wp:positionV>
            <wp:extent cx="1427480" cy="1371600"/>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rotWithShape="1">
                    <a:blip r:embed="rId960" cstate="screen">
                      <a:extLst>
                        <a:ext uri="{28A0092B-C50C-407E-A947-70E740481C1C}">
                          <a14:useLocalDpi xmlns:a14="http://schemas.microsoft.com/office/drawing/2010/main"/>
                        </a:ext>
                      </a:extLst>
                    </a:blip>
                    <a:srcRect/>
                    <a:stretch/>
                  </pic:blipFill>
                  <pic:spPr bwMode="auto">
                    <a:xfrm>
                      <a:off x="0" y="0"/>
                      <a:ext cx="142748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7367AF" w:rsidRPr="00EB2A7C">
        <w:rPr>
          <w:rFonts w:ascii="Arial" w:hAnsi="Arial" w:cs="Arial"/>
          <w:sz w:val="24"/>
          <w:szCs w:val="24"/>
        </w:rPr>
        <w:t>GovTech</w:t>
      </w:r>
      <w:proofErr w:type="spellEnd"/>
      <w:r w:rsidR="007367AF" w:rsidRPr="00EB2A7C">
        <w:rPr>
          <w:rFonts w:ascii="Arial" w:hAnsi="Arial" w:cs="Arial"/>
          <w:sz w:val="24"/>
          <w:szCs w:val="24"/>
        </w:rPr>
        <w:t xml:space="preserve"> is a fairly new concept referring to efforts made to digitize public administrations through innovative technological solutions. The aim is to use the wide range of technologies available to governments to digitize their operations, thereby increasing the efficiency of their internal operations and reducing costs. In </w:t>
      </w:r>
      <w:proofErr w:type="spellStart"/>
      <w:r w:rsidR="007367AF" w:rsidRPr="00EB2A7C">
        <w:rPr>
          <w:rFonts w:ascii="Arial" w:hAnsi="Arial" w:cs="Arial"/>
          <w:sz w:val="24"/>
          <w:szCs w:val="24"/>
        </w:rPr>
        <w:t>GovTech</w:t>
      </w:r>
      <w:proofErr w:type="spellEnd"/>
      <w:r w:rsidR="007367AF" w:rsidRPr="00EB2A7C">
        <w:rPr>
          <w:rFonts w:ascii="Arial" w:hAnsi="Arial" w:cs="Arial"/>
          <w:sz w:val="24"/>
          <w:szCs w:val="24"/>
        </w:rPr>
        <w:t xml:space="preserve">, the primary beneficiaries are governments. For example, tools developed by the private sector like artificial intelligence/machine learning can increase efficiency in government processes, thereby freeing up resources for investment in other areas. This is different from Civic Tech that focuses on the public; on informing, connecting members of the public, as well as getting the public to engage with their government in order to work together for the public good. The combination of both </w:t>
      </w:r>
      <w:proofErr w:type="spellStart"/>
      <w:r w:rsidR="007367AF" w:rsidRPr="00EB2A7C">
        <w:rPr>
          <w:rFonts w:ascii="Arial" w:hAnsi="Arial" w:cs="Arial"/>
          <w:sz w:val="24"/>
          <w:szCs w:val="24"/>
        </w:rPr>
        <w:t>GovTech</w:t>
      </w:r>
      <w:proofErr w:type="spellEnd"/>
      <w:r w:rsidR="007367AF" w:rsidRPr="00EB2A7C">
        <w:rPr>
          <w:rFonts w:ascii="Arial" w:hAnsi="Arial" w:cs="Arial"/>
          <w:sz w:val="24"/>
          <w:szCs w:val="24"/>
        </w:rPr>
        <w:t xml:space="preserve"> and Civic Tech will get the public more engaged, help government respond to issues raised by it and make better decisions, therefore strengthening processes overall. These are emerging areas that are likely to have significant impact going forward</w:t>
      </w:r>
      <w:r w:rsidR="007367AF" w:rsidRPr="00EB2A7C">
        <w:rPr>
          <w:rFonts w:ascii="Arial" w:hAnsi="Arial" w:cs="Arial"/>
          <w:sz w:val="24"/>
          <w:szCs w:val="24"/>
          <w:vertAlign w:val="superscript"/>
        </w:rPr>
        <w:t xml:space="preserve"> </w:t>
      </w:r>
      <w:r w:rsidR="007367AF" w:rsidRPr="00EB2A7C">
        <w:rPr>
          <w:rFonts w:ascii="Arial" w:hAnsi="Arial" w:cs="Arial"/>
          <w:sz w:val="24"/>
          <w:szCs w:val="24"/>
          <w:vertAlign w:val="superscript"/>
        </w:rPr>
        <w:footnoteReference w:id="74"/>
      </w:r>
      <w:r w:rsidR="007367AF" w:rsidRPr="00EB2A7C">
        <w:rPr>
          <w:rFonts w:ascii="Arial" w:hAnsi="Arial" w:cs="Arial"/>
          <w:sz w:val="24"/>
          <w:szCs w:val="24"/>
        </w:rPr>
        <w:t>.</w:t>
      </w:r>
    </w:p>
    <w:p w14:paraId="42BFED29" w14:textId="60458B16" w:rsidR="007367AF" w:rsidRDefault="00492445">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13150" behindDoc="1" locked="0" layoutInCell="1" allowOverlap="1" wp14:anchorId="207B5E03" wp14:editId="7CAC83EA">
                <wp:simplePos x="0" y="0"/>
                <wp:positionH relativeFrom="margin">
                  <wp:posOffset>627289</wp:posOffset>
                </wp:positionH>
                <wp:positionV relativeFrom="paragraph">
                  <wp:posOffset>178163</wp:posOffset>
                </wp:positionV>
                <wp:extent cx="3124200" cy="596900"/>
                <wp:effectExtent l="12700" t="12700" r="12700" b="12700"/>
                <wp:wrapNone/>
                <wp:docPr id="1635" name="Rounded Rectangle 1635"/>
                <wp:cNvGraphicFramePr/>
                <a:graphic xmlns:a="http://schemas.openxmlformats.org/drawingml/2006/main">
                  <a:graphicData uri="http://schemas.microsoft.com/office/word/2010/wordprocessingShape">
                    <wps:wsp>
                      <wps:cNvSpPr/>
                      <wps:spPr>
                        <a:xfrm>
                          <a:off x="0" y="0"/>
                          <a:ext cx="3124200" cy="596900"/>
                        </a:xfrm>
                        <a:prstGeom prst="roundRect">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7F8EC3D" id="Rounded Rectangle 1635" o:spid="_x0000_s1026" style="position:absolute;margin-left:49.4pt;margin-top:14.05pt;width:246pt;height:47pt;z-index:-248803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" filled="f" strokecolor="#82c9a0" strokeweight="2.25pt">
                <v:stroke joinstyle="miter"/>
                <w10:wrap anchorx="margin"/>
              </v:roundrect>
            </w:pict>
          </mc:Fallback>
        </mc:AlternateContent>
      </w:r>
      <w:r>
        <w:rPr>
          <w:rFonts w:ascii="Arial" w:hAnsi="Arial" w:cs="Arial"/>
          <w:noProof/>
          <w:sz w:val="24"/>
          <w:szCs w:val="24"/>
          <w:lang w:val="en-US"/>
        </w:rPr>
        <w:drawing>
          <wp:anchor distT="0" distB="0" distL="114300" distR="114300" simplePos="0" relativeHeight="254515198" behindDoc="1" locked="0" layoutInCell="1" allowOverlap="1" wp14:anchorId="79A977E7" wp14:editId="0BF5E2FF">
            <wp:simplePos x="0" y="0"/>
            <wp:positionH relativeFrom="column">
              <wp:posOffset>-16691</wp:posOffset>
            </wp:positionH>
            <wp:positionV relativeFrom="paragraph">
              <wp:posOffset>165281</wp:posOffset>
            </wp:positionV>
            <wp:extent cx="469900" cy="575945"/>
            <wp:effectExtent l="0" t="0" r="0" b="0"/>
            <wp:wrapTight wrapText="bothSides">
              <wp:wrapPolygon edited="0">
                <wp:start x="14595" y="0"/>
                <wp:lineTo x="2919" y="3334"/>
                <wp:lineTo x="0" y="4763"/>
                <wp:lineTo x="0" y="19528"/>
                <wp:lineTo x="14011" y="20957"/>
                <wp:lineTo x="18097" y="20957"/>
                <wp:lineTo x="18681" y="20957"/>
                <wp:lineTo x="21016" y="15241"/>
                <wp:lineTo x="21016" y="5716"/>
                <wp:lineTo x="19849" y="2381"/>
                <wp:lineTo x="18097" y="0"/>
                <wp:lineTo x="14595" y="0"/>
              </wp:wrapPolygon>
            </wp:wrapTight>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Picture 2151"/>
                    <pic:cNvPicPr/>
                  </pic:nvPicPr>
                  <pic:blipFill rotWithShape="1">
                    <a:blip r:embed="rId859" cstate="email">
                      <a:extLst>
                        <a:ext uri="{28A0092B-C50C-407E-A947-70E740481C1C}">
                          <a14:useLocalDpi xmlns:a14="http://schemas.microsoft.com/office/drawing/2010/main"/>
                        </a:ext>
                      </a:extLst>
                    </a:blip>
                    <a:srcRect/>
                    <a:stretch/>
                  </pic:blipFill>
                  <pic:spPr bwMode="auto">
                    <a:xfrm>
                      <a:off x="0" y="0"/>
                      <a:ext cx="469900"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D6C4EE" w14:textId="0AF2901C" w:rsidR="003E7F69" w:rsidRPr="00EB2A7C" w:rsidRDefault="00492445" w:rsidP="00EB2A7C">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14174" behindDoc="0" locked="0" layoutInCell="1" allowOverlap="1" wp14:anchorId="1A1DC4DC" wp14:editId="46083005">
                <wp:simplePos x="0" y="0"/>
                <wp:positionH relativeFrom="column">
                  <wp:posOffset>736600</wp:posOffset>
                </wp:positionH>
                <wp:positionV relativeFrom="paragraph">
                  <wp:posOffset>80645</wp:posOffset>
                </wp:positionV>
                <wp:extent cx="3009900" cy="461645"/>
                <wp:effectExtent l="0" t="0" r="0" b="0"/>
                <wp:wrapNone/>
                <wp:docPr id="1637" name="Text Box 1637"/>
                <wp:cNvGraphicFramePr/>
                <a:graphic xmlns:a="http://schemas.openxmlformats.org/drawingml/2006/main">
                  <a:graphicData uri="http://schemas.microsoft.com/office/word/2010/wordprocessingShape">
                    <wps:wsp>
                      <wps:cNvSpPr txBox="1"/>
                      <wps:spPr>
                        <a:xfrm>
                          <a:off x="0" y="0"/>
                          <a:ext cx="3009900" cy="461645"/>
                        </a:xfrm>
                        <a:prstGeom prst="rect">
                          <a:avLst/>
                        </a:prstGeom>
                        <a:noFill/>
                        <a:ln w="6350">
                          <a:noFill/>
                        </a:ln>
                      </wps:spPr>
                      <wps:txbx>
                        <w:txbxContent>
                          <w:p w14:paraId="19EB3DF6" w14:textId="62A9DAD9" w:rsidR="00D15FD8" w:rsidRPr="00AC4E63" w:rsidRDefault="00D15FD8" w:rsidP="00492445">
                            <w:pPr>
                              <w:pStyle w:val="Heading2"/>
                              <w:numPr>
                                <w:ilvl w:val="1"/>
                                <w:numId w:val="127"/>
                              </w:numPr>
                              <w:rPr>
                                <w:rFonts w:ascii="Arial" w:hAnsi="Arial" w:cs="Arial"/>
                                <w:b/>
                                <w:bCs/>
                                <w:color w:val="F26D24"/>
                                <w:sz w:val="36"/>
                                <w:szCs w:val="36"/>
                              </w:rPr>
                            </w:pPr>
                            <w:bookmarkStart w:id="2363" w:name="_Toc123204550"/>
                            <w:bookmarkStart w:id="2364" w:name="_Toc123216670"/>
                            <w:bookmarkStart w:id="2365" w:name="_Toc123217510"/>
                            <w:bookmarkStart w:id="2366" w:name="_Toc123828256"/>
                            <w:bookmarkStart w:id="2367" w:name="_Toc123828466"/>
                            <w:bookmarkStart w:id="2368" w:name="_Toc123828662"/>
                            <w:bookmarkStart w:id="2369" w:name="_Toc123912689"/>
                            <w:bookmarkStart w:id="2370" w:name="_Toc123912948"/>
                            <w:bookmarkStart w:id="2371" w:name="_Toc123913175"/>
                            <w:bookmarkStart w:id="2372" w:name="_Toc123913466"/>
                            <w:bookmarkStart w:id="2373" w:name="_Toc123914123"/>
                            <w:bookmarkStart w:id="2374" w:name="_Toc125566739"/>
                            <w:r w:rsidRPr="00AC4E63">
                              <w:rPr>
                                <w:rFonts w:ascii="Arial" w:hAnsi="Arial" w:cs="Arial"/>
                                <w:b/>
                                <w:bCs/>
                                <w:color w:val="F26D24"/>
                                <w:sz w:val="36"/>
                                <w:szCs w:val="36"/>
                              </w:rPr>
                              <w:t>Uses of open data</w:t>
                            </w:r>
                            <w:bookmarkEnd w:id="2363"/>
                            <w:bookmarkEnd w:id="2364"/>
                            <w:bookmarkEnd w:id="2365"/>
                            <w:bookmarkEnd w:id="2366"/>
                            <w:bookmarkEnd w:id="2367"/>
                            <w:bookmarkEnd w:id="2368"/>
                            <w:bookmarkEnd w:id="2369"/>
                            <w:bookmarkEnd w:id="2370"/>
                            <w:bookmarkEnd w:id="2371"/>
                            <w:bookmarkEnd w:id="2372"/>
                            <w:bookmarkEnd w:id="2373"/>
                            <w:bookmarkEnd w:id="237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DC4DC" id="Text Box 1637" o:spid="_x0000_s1660" type="#_x0000_t202" style="position:absolute;left:0;text-align:left;margin-left:58pt;margin-top:6.35pt;width:237pt;height:36.35pt;z-index:254514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" filled="f" stroked="f" strokeweight=".5pt">
                <v:textbox>
                  <w:txbxContent>
                    <w:p w14:paraId="19EB3DF6" w14:textId="62A9DAD9" w:rsidR="00D15FD8" w:rsidRPr="00AC4E63" w:rsidRDefault="00D15FD8" w:rsidP="00492445">
                      <w:pPr>
                        <w:pStyle w:val="Heading2"/>
                        <w:numPr>
                          <w:ilvl w:val="1"/>
                          <w:numId w:val="127"/>
                        </w:numPr>
                        <w:rPr>
                          <w:rFonts w:ascii="Arial" w:hAnsi="Arial" w:cs="Arial"/>
                          <w:b/>
                          <w:bCs/>
                          <w:color w:val="F26D24"/>
                          <w:sz w:val="36"/>
                          <w:szCs w:val="36"/>
                        </w:rPr>
                      </w:pPr>
                      <w:bookmarkStart w:id="2375" w:name="_Toc123204550"/>
                      <w:bookmarkStart w:id="2376" w:name="_Toc123216670"/>
                      <w:bookmarkStart w:id="2377" w:name="_Toc123217510"/>
                      <w:bookmarkStart w:id="2378" w:name="_Toc123828256"/>
                      <w:bookmarkStart w:id="2379" w:name="_Toc123828466"/>
                      <w:bookmarkStart w:id="2380" w:name="_Toc123828662"/>
                      <w:bookmarkStart w:id="2381" w:name="_Toc123912689"/>
                      <w:bookmarkStart w:id="2382" w:name="_Toc123912948"/>
                      <w:bookmarkStart w:id="2383" w:name="_Toc123913175"/>
                      <w:bookmarkStart w:id="2384" w:name="_Toc123913466"/>
                      <w:bookmarkStart w:id="2385" w:name="_Toc123914123"/>
                      <w:bookmarkStart w:id="2386" w:name="_Toc125566739"/>
                      <w:r w:rsidRPr="00AC4E63">
                        <w:rPr>
                          <w:rFonts w:ascii="Arial" w:hAnsi="Arial" w:cs="Arial"/>
                          <w:b/>
                          <w:bCs/>
                          <w:color w:val="F26D24"/>
                          <w:sz w:val="36"/>
                          <w:szCs w:val="36"/>
                        </w:rPr>
                        <w:t>Uses of open data</w:t>
                      </w:r>
                      <w:bookmarkEnd w:id="2375"/>
                      <w:bookmarkEnd w:id="2376"/>
                      <w:bookmarkEnd w:id="2377"/>
                      <w:bookmarkEnd w:id="2378"/>
                      <w:bookmarkEnd w:id="2379"/>
                      <w:bookmarkEnd w:id="2380"/>
                      <w:bookmarkEnd w:id="2381"/>
                      <w:bookmarkEnd w:id="2382"/>
                      <w:bookmarkEnd w:id="2383"/>
                      <w:bookmarkEnd w:id="2384"/>
                      <w:bookmarkEnd w:id="2385"/>
                      <w:bookmarkEnd w:id="2386"/>
                    </w:p>
                  </w:txbxContent>
                </v:textbox>
              </v:shape>
            </w:pict>
          </mc:Fallback>
        </mc:AlternateContent>
      </w:r>
    </w:p>
    <w:p w14:paraId="036206A4" w14:textId="2C6CE324" w:rsidR="007367AF" w:rsidRPr="00EB2A7C" w:rsidRDefault="007367AF" w:rsidP="00EB2A7C">
      <w:pPr>
        <w:rPr>
          <w:lang w:val="en-US"/>
        </w:rPr>
      </w:pPr>
    </w:p>
    <w:p w14:paraId="72ABBC2C" w14:textId="3C52F9BA" w:rsidR="007367AF" w:rsidRDefault="007367AF" w:rsidP="001909E1">
      <w:pPr>
        <w:rPr>
          <w:lang w:val="en-US"/>
        </w:rPr>
      </w:pPr>
    </w:p>
    <w:p w14:paraId="1B2D5A88" w14:textId="02731413" w:rsidR="001909E1" w:rsidRPr="00EB2A7C" w:rsidRDefault="001909E1" w:rsidP="00EB2A7C">
      <w:pPr>
        <w:tabs>
          <w:tab w:val="left" w:pos="2119"/>
        </w:tabs>
        <w:spacing w:line="276" w:lineRule="auto"/>
        <w:rPr>
          <w:rFonts w:ascii="Arial" w:hAnsi="Arial" w:cs="Arial"/>
          <w:sz w:val="24"/>
          <w:szCs w:val="24"/>
          <w:lang w:val="en-US"/>
        </w:rPr>
      </w:pPr>
    </w:p>
    <w:p w14:paraId="40BE7E11" w14:textId="74785B84" w:rsidR="00595DAC" w:rsidRPr="00EB2A7C" w:rsidRDefault="00595DAC" w:rsidP="00EB2A7C">
      <w:pPr>
        <w:spacing w:line="276" w:lineRule="auto"/>
        <w:contextualSpacing/>
        <w:jc w:val="both"/>
        <w:rPr>
          <w:rFonts w:ascii="Arial" w:hAnsi="Arial" w:cs="Arial"/>
          <w:sz w:val="24"/>
          <w:szCs w:val="24"/>
          <w:lang w:val="en-ZA"/>
        </w:rPr>
      </w:pPr>
      <w:r w:rsidRPr="00EB2A7C">
        <w:rPr>
          <w:rFonts w:ascii="Arial" w:hAnsi="Arial" w:cs="Arial"/>
          <w:sz w:val="24"/>
          <w:szCs w:val="24"/>
          <w:lang w:val="en-ZA"/>
        </w:rPr>
        <w:t>Governments and civil society can use open data as a basis to improve or propose fiscal policy improvements, including those related to the data itself. Examples of this, from the GIFT network, are briefly explored below.</w:t>
      </w:r>
    </w:p>
    <w:p w14:paraId="66F71F0D" w14:textId="12BEFB6D" w:rsidR="00595DAC" w:rsidRPr="00EB2A7C" w:rsidRDefault="00595DAC" w:rsidP="00EB2A7C">
      <w:pPr>
        <w:spacing w:line="276" w:lineRule="auto"/>
        <w:contextualSpacing/>
        <w:jc w:val="both"/>
        <w:rPr>
          <w:rFonts w:ascii="Arial" w:hAnsi="Arial" w:cs="Arial"/>
          <w:sz w:val="24"/>
          <w:szCs w:val="24"/>
          <w:lang w:val="en-ZA"/>
        </w:rPr>
      </w:pPr>
    </w:p>
    <w:p w14:paraId="4902B1D3" w14:textId="65A4F62D" w:rsidR="005D7A88" w:rsidRDefault="00595DAC" w:rsidP="00595DAC">
      <w:pPr>
        <w:spacing w:line="276" w:lineRule="auto"/>
        <w:contextualSpacing/>
        <w:jc w:val="both"/>
        <w:rPr>
          <w:rFonts w:ascii="Arial" w:hAnsi="Arial" w:cs="Arial"/>
          <w:sz w:val="24"/>
          <w:szCs w:val="24"/>
        </w:rPr>
      </w:pPr>
      <w:r w:rsidRPr="00EB2A7C">
        <w:rPr>
          <w:rFonts w:ascii="Arial" w:hAnsi="Arial" w:cs="Arial"/>
          <w:bCs/>
          <w:sz w:val="24"/>
          <w:szCs w:val="24"/>
          <w:lang w:val="en-ZA"/>
        </w:rPr>
        <w:t>The GIFT network promotes specific government</w:t>
      </w:r>
      <w:r w:rsidRPr="00EB2A7C">
        <w:rPr>
          <w:rFonts w:ascii="Arial" w:hAnsi="Arial" w:cs="Arial"/>
          <w:bCs/>
          <w:sz w:val="24"/>
          <w:szCs w:val="24"/>
        </w:rPr>
        <w:t>-civil society partnership events, aimed at encouraging the use of data, as scalable participation initiatives that enable dialogue and collaboration in a semi-formal flexible. This is done towards the achievement of specific development objectives</w:t>
      </w:r>
      <w:r w:rsidRPr="00EB2A7C">
        <w:rPr>
          <w:rFonts w:ascii="Arial" w:hAnsi="Arial" w:cs="Arial"/>
          <w:bCs/>
          <w:sz w:val="24"/>
          <w:szCs w:val="24"/>
          <w:lang w:val="en-US"/>
        </w:rPr>
        <w:t>. Different</w:t>
      </w:r>
      <w:r w:rsidRPr="00EB2A7C">
        <w:rPr>
          <w:rFonts w:ascii="Arial" w:hAnsi="Arial" w:cs="Arial"/>
          <w:sz w:val="24"/>
          <w:szCs w:val="24"/>
        </w:rPr>
        <w:t xml:space="preserve"> models are used for this.</w:t>
      </w:r>
    </w:p>
    <w:p w14:paraId="4C485C97" w14:textId="2BFBA506" w:rsidR="00AC4E63" w:rsidRDefault="00AC4E63" w:rsidP="00595DAC">
      <w:pPr>
        <w:spacing w:line="276" w:lineRule="auto"/>
        <w:contextualSpacing/>
        <w:jc w:val="both"/>
        <w:rPr>
          <w:rFonts w:ascii="Arial" w:hAnsi="Arial" w:cs="Arial"/>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518270" behindDoc="0" locked="0" layoutInCell="1" allowOverlap="1" wp14:anchorId="03AE5F8C" wp14:editId="4313BB43">
                <wp:simplePos x="0" y="0"/>
                <wp:positionH relativeFrom="margin">
                  <wp:posOffset>1612900</wp:posOffset>
                </wp:positionH>
                <wp:positionV relativeFrom="paragraph">
                  <wp:posOffset>175260</wp:posOffset>
                </wp:positionV>
                <wp:extent cx="5052695" cy="2857500"/>
                <wp:effectExtent l="0" t="0" r="1905" b="0"/>
                <wp:wrapNone/>
                <wp:docPr id="1660" name="Rounded Rectangle 1660"/>
                <wp:cNvGraphicFramePr/>
                <a:graphic xmlns:a="http://schemas.openxmlformats.org/drawingml/2006/main">
                  <a:graphicData uri="http://schemas.microsoft.com/office/word/2010/wordprocessingShape">
                    <wps:wsp>
                      <wps:cNvSpPr/>
                      <wps:spPr>
                        <a:xfrm>
                          <a:off x="0" y="0"/>
                          <a:ext cx="5052695" cy="2857500"/>
                        </a:xfrm>
                        <a:prstGeom prst="roundRect">
                          <a:avLst>
                            <a:gd name="adj" fmla="val 2096"/>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E3A5B51" id="Rounded Rectangle 1660" o:spid="_x0000_s1026" style="position:absolute;margin-left:127pt;margin-top:13.8pt;width:397.85pt;height:225pt;z-index:25451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" fillcolor="#e2efd9 [665]" stroked="f" strokeweight="1pt">
                <v:stroke joinstyle="miter"/>
                <w10:wrap anchorx="margin"/>
              </v:roundrect>
            </w:pict>
          </mc:Fallback>
        </mc:AlternateContent>
      </w:r>
    </w:p>
    <w:p w14:paraId="3058E709" w14:textId="0E150790" w:rsidR="00AC4E63" w:rsidRDefault="00AC4E63" w:rsidP="00595DAC">
      <w:pPr>
        <w:spacing w:line="276" w:lineRule="auto"/>
        <w:contextualSpacing/>
        <w:jc w:val="both"/>
        <w:rPr>
          <w:rFonts w:ascii="Arial" w:hAnsi="Arial" w:cs="Arial"/>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1645929" behindDoc="0" locked="0" layoutInCell="1" allowOverlap="1" wp14:anchorId="06A1636B" wp14:editId="30116877">
                <wp:simplePos x="0" y="0"/>
                <wp:positionH relativeFrom="margin">
                  <wp:posOffset>1879600</wp:posOffset>
                </wp:positionH>
                <wp:positionV relativeFrom="paragraph">
                  <wp:posOffset>177165</wp:posOffset>
                </wp:positionV>
                <wp:extent cx="4902200" cy="2768600"/>
                <wp:effectExtent l="12700" t="12700" r="12700" b="12700"/>
                <wp:wrapNone/>
                <wp:docPr id="1662" name="Rounded Rectangle 1662"/>
                <wp:cNvGraphicFramePr/>
                <a:graphic xmlns:a="http://schemas.openxmlformats.org/drawingml/2006/main">
                  <a:graphicData uri="http://schemas.microsoft.com/office/word/2010/wordprocessingShape">
                    <wps:wsp>
                      <wps:cNvSpPr/>
                      <wps:spPr>
                        <a:xfrm>
                          <a:off x="0" y="0"/>
                          <a:ext cx="4902200" cy="2768600"/>
                        </a:xfrm>
                        <a:prstGeom prst="roundRect">
                          <a:avLst>
                            <a:gd name="adj" fmla="val 2096"/>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7F061" w14:textId="07534FA0" w:rsidR="00D15FD8" w:rsidRPr="003625BA" w:rsidRDefault="00D15FD8" w:rsidP="003625BA">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A1636B" id="Rounded Rectangle 1662" o:spid="_x0000_s1661" style="position:absolute;left:0;text-align:left;margin-left:148pt;margin-top:13.95pt;width:386pt;height:218pt;z-index:2516459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" filled="f" strokecolor="#16988a" strokeweight="2.25pt">
                <v:stroke joinstyle="miter"/>
                <v:textbox>
                  <w:txbxContent>
                    <w:p w14:paraId="0157F061" w14:textId="07534FA0" w:rsidR="00D15FD8" w:rsidRPr="003625BA" w:rsidRDefault="00D15FD8" w:rsidP="003625BA">
                      <w:pPr>
                        <w:jc w:val="center"/>
                        <w:rPr>
                          <w:lang w:val="en-US"/>
                        </w:rPr>
                      </w:pPr>
                      <w:r>
                        <w:rPr>
                          <w:lang w:val="en-US"/>
                        </w:rPr>
                        <w:t>v</w:t>
                      </w:r>
                    </w:p>
                  </w:txbxContent>
                </v:textbox>
                <w10:wrap anchorx="margin"/>
              </v:roundrect>
            </w:pict>
          </mc:Fallback>
        </mc:AlternateContent>
      </w:r>
      <w:r>
        <w:rPr>
          <w:rFonts w:ascii="Arial" w:hAnsi="Arial" w:cs="Arial"/>
          <w:b/>
          <w:bCs/>
          <w:noProof/>
          <w:color w:val="82C9A0"/>
          <w:sz w:val="32"/>
          <w:szCs w:val="32"/>
          <w:lang w:val="en-US"/>
        </w:rPr>
        <mc:AlternateContent>
          <mc:Choice Requires="wps">
            <w:drawing>
              <wp:anchor distT="0" distB="0" distL="114300" distR="114300" simplePos="0" relativeHeight="254519294" behindDoc="0" locked="0" layoutInCell="1" allowOverlap="1" wp14:anchorId="7974680C" wp14:editId="57CFDBB4">
                <wp:simplePos x="0" y="0"/>
                <wp:positionH relativeFrom="column">
                  <wp:posOffset>1727200</wp:posOffset>
                </wp:positionH>
                <wp:positionV relativeFrom="paragraph">
                  <wp:posOffset>62865</wp:posOffset>
                </wp:positionV>
                <wp:extent cx="4809490" cy="2705735"/>
                <wp:effectExtent l="0" t="0" r="0" b="0"/>
                <wp:wrapNone/>
                <wp:docPr id="1661" name="Text Box 1661"/>
                <wp:cNvGraphicFramePr/>
                <a:graphic xmlns:a="http://schemas.openxmlformats.org/drawingml/2006/main">
                  <a:graphicData uri="http://schemas.microsoft.com/office/word/2010/wordprocessingShape">
                    <wps:wsp>
                      <wps:cNvSpPr txBox="1"/>
                      <wps:spPr>
                        <a:xfrm>
                          <a:off x="0" y="0"/>
                          <a:ext cx="4809490" cy="2705735"/>
                        </a:xfrm>
                        <a:prstGeom prst="rect">
                          <a:avLst/>
                        </a:prstGeom>
                        <a:noFill/>
                        <a:ln w="6350">
                          <a:noFill/>
                        </a:ln>
                      </wps:spPr>
                      <wps:txbx>
                        <w:txbxContent>
                          <w:p w14:paraId="7BAFD7D4" w14:textId="77777777" w:rsidR="00D15FD8" w:rsidRPr="00623A56" w:rsidRDefault="00D15FD8" w:rsidP="005D7A88">
                            <w:pPr>
                              <w:spacing w:line="276" w:lineRule="auto"/>
                              <w:contextualSpacing/>
                              <w:jc w:val="both"/>
                              <w:rPr>
                                <w:rFonts w:ascii="Arial" w:hAnsi="Arial" w:cs="Arial"/>
                                <w:sz w:val="24"/>
                                <w:szCs w:val="24"/>
                                <w:lang w:val="en-US"/>
                              </w:rPr>
                            </w:pPr>
                            <w:r w:rsidRPr="00623A56">
                              <w:rPr>
                                <w:rFonts w:ascii="Arial" w:hAnsi="Arial" w:cs="Arial"/>
                                <w:sz w:val="24"/>
                                <w:szCs w:val="24"/>
                              </w:rPr>
                              <w:t xml:space="preserve">Firstly, there are events aimed at improving public investments management, where governments and civil society organizations openly participate in the Rally #DataOnTheStreets. People registered for the event go through the construction projects dataset and select the projects they would like to visit, comparing what they observe on the dataset, with what they see on in reality. </w:t>
                            </w:r>
                            <w:r w:rsidRPr="00623A56">
                              <w:rPr>
                                <w:rFonts w:ascii="Arial" w:hAnsi="Arial" w:cs="Arial"/>
                                <w:bCs/>
                                <w:sz w:val="24"/>
                                <w:szCs w:val="24"/>
                                <w:lang w:val="en-US"/>
                              </w:rPr>
                              <w:t>Virtual versions of the event, #DataRallyFromHome, have also been held, due to the social confinement imposed as a result of COVID-19.</w:t>
                            </w:r>
                            <w:r w:rsidRPr="00623A56">
                              <w:rPr>
                                <w:rFonts w:ascii="Arial" w:eastAsiaTheme="minorEastAsia" w:hAnsi="Arial" w:cs="Arial"/>
                                <w:bCs/>
                                <w:sz w:val="24"/>
                                <w:szCs w:val="24"/>
                                <w:lang w:val="en-US" w:eastAsia="zh-CN"/>
                              </w:rPr>
                              <w:t xml:space="preserve"> </w:t>
                            </w:r>
                            <w:r w:rsidRPr="00623A56">
                              <w:rPr>
                                <w:rFonts w:ascii="Arial" w:hAnsi="Arial" w:cs="Arial"/>
                                <w:bCs/>
                                <w:sz w:val="24"/>
                                <w:szCs w:val="24"/>
                                <w:lang w:val="en-US"/>
                              </w:rPr>
                              <w:t>Events of both kinds have been held in various GIFT member countries, including Chile, Colombia, Mexico, and the Philippines. These, and other activities, have shown that digital tools have provided good opportunities for the public to get involved in understanding how the budget is spent, essentially in following the money</w:t>
                            </w:r>
                            <w:r w:rsidRPr="00623A56">
                              <w:rPr>
                                <w:rFonts w:ascii="Arial" w:hAnsi="Arial" w:cs="Arial"/>
                                <w:sz w:val="24"/>
                                <w:szCs w:val="24"/>
                                <w:lang w:val="en-US"/>
                              </w:rPr>
                              <w:t>.</w:t>
                            </w:r>
                          </w:p>
                          <w:p w14:paraId="1E9561C9" w14:textId="77777777" w:rsidR="00D15FD8" w:rsidRPr="00BD6508" w:rsidRDefault="00D15FD8" w:rsidP="003625BA">
                            <w:pPr>
                              <w:spacing w:line="276" w:lineRule="auto"/>
                              <w:rPr>
                                <w:b/>
                                <w:b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4680C" id="Text Box 1661" o:spid="_x0000_s1662" type="#_x0000_t202" style="position:absolute;left:0;text-align:left;margin-left:136pt;margin-top:4.95pt;width:378.7pt;height:213.05pt;z-index:254519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" filled="f" stroked="f" strokeweight=".5pt">
                <v:textbox>
                  <w:txbxContent>
                    <w:p w14:paraId="7BAFD7D4" w14:textId="77777777" w:rsidR="00D15FD8" w:rsidRPr="00623A56" w:rsidRDefault="00D15FD8" w:rsidP="005D7A88">
                      <w:pPr>
                        <w:spacing w:line="276" w:lineRule="auto"/>
                        <w:contextualSpacing/>
                        <w:jc w:val="both"/>
                        <w:rPr>
                          <w:rFonts w:ascii="Arial" w:hAnsi="Arial" w:cs="Arial"/>
                          <w:sz w:val="24"/>
                          <w:szCs w:val="24"/>
                          <w:lang w:val="en-US"/>
                        </w:rPr>
                      </w:pPr>
                      <w:r w:rsidRPr="00623A56">
                        <w:rPr>
                          <w:rFonts w:ascii="Arial" w:hAnsi="Arial" w:cs="Arial"/>
                          <w:sz w:val="24"/>
                          <w:szCs w:val="24"/>
                        </w:rPr>
                        <w:t xml:space="preserve">Firstly, there are events aimed at improving public investments management, where governments and civil society organizations openly participate in the Rally #DataOnTheStreets. People registered for the event go through the construction projects dataset and select the projects they would like to visit, comparing what they observe on the dataset, with what they see on in reality. </w:t>
                      </w:r>
                      <w:r w:rsidRPr="00623A56">
                        <w:rPr>
                          <w:rFonts w:ascii="Arial" w:hAnsi="Arial" w:cs="Arial"/>
                          <w:bCs/>
                          <w:sz w:val="24"/>
                          <w:szCs w:val="24"/>
                          <w:lang w:val="en-US"/>
                        </w:rPr>
                        <w:t>Virtual versions of the event, #DataRallyFromHome, have also been held, due to the social confinement imposed as a result of COVID-19.</w:t>
                      </w:r>
                      <w:r w:rsidRPr="00623A56">
                        <w:rPr>
                          <w:rFonts w:ascii="Arial" w:eastAsiaTheme="minorEastAsia" w:hAnsi="Arial" w:cs="Arial"/>
                          <w:bCs/>
                          <w:sz w:val="24"/>
                          <w:szCs w:val="24"/>
                          <w:lang w:val="en-US" w:eastAsia="zh-CN"/>
                        </w:rPr>
                        <w:t xml:space="preserve"> </w:t>
                      </w:r>
                      <w:r w:rsidRPr="00623A56">
                        <w:rPr>
                          <w:rFonts w:ascii="Arial" w:hAnsi="Arial" w:cs="Arial"/>
                          <w:bCs/>
                          <w:sz w:val="24"/>
                          <w:szCs w:val="24"/>
                          <w:lang w:val="en-US"/>
                        </w:rPr>
                        <w:t>Events of both kinds have been held in various GIFT member countries, including Chile, Colombia, Mexico, and the Philippines. These, and other activities, have shown that digital tools have provided good opportunities for the public to get involved in understanding how the budget is spent, essentially in following the money</w:t>
                      </w:r>
                      <w:r w:rsidRPr="00623A56">
                        <w:rPr>
                          <w:rFonts w:ascii="Arial" w:hAnsi="Arial" w:cs="Arial"/>
                          <w:sz w:val="24"/>
                          <w:szCs w:val="24"/>
                          <w:lang w:val="en-US"/>
                        </w:rPr>
                        <w:t>.</w:t>
                      </w:r>
                    </w:p>
                    <w:p w14:paraId="1E9561C9" w14:textId="77777777" w:rsidR="00D15FD8" w:rsidRPr="00BD6508" w:rsidRDefault="00D15FD8" w:rsidP="003625BA">
                      <w:pPr>
                        <w:spacing w:line="276" w:lineRule="auto"/>
                        <w:rPr>
                          <w:b/>
                          <w:bCs/>
                          <w:color w:val="FFFFFF" w:themeColor="background1"/>
                        </w:rPr>
                      </w:pPr>
                    </w:p>
                  </w:txbxContent>
                </v:textbox>
              </v:shape>
            </w:pict>
          </mc:Fallback>
        </mc:AlternateContent>
      </w:r>
    </w:p>
    <w:p w14:paraId="79BFA563" w14:textId="71B36A3A" w:rsidR="00AC4E63" w:rsidRDefault="00AC4E63" w:rsidP="00595DAC">
      <w:pPr>
        <w:spacing w:line="276" w:lineRule="auto"/>
        <w:contextualSpacing/>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516222" behindDoc="1" locked="0" layoutInCell="1" allowOverlap="1" wp14:anchorId="48BF1526" wp14:editId="5E6BACA3">
            <wp:simplePos x="0" y="0"/>
            <wp:positionH relativeFrom="column">
              <wp:posOffset>-114300</wp:posOffset>
            </wp:positionH>
            <wp:positionV relativeFrom="paragraph">
              <wp:posOffset>127635</wp:posOffset>
            </wp:positionV>
            <wp:extent cx="1647825" cy="2120900"/>
            <wp:effectExtent l="0" t="0" r="3175" b="0"/>
            <wp:wrapSquare wrapText="bothSides"/>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Picture 1659"/>
                    <pic:cNvPicPr/>
                  </pic:nvPicPr>
                  <pic:blipFill rotWithShape="1">
                    <a:blip r:embed="rId961" cstate="email">
                      <a:extLst>
                        <a:ext uri="{28A0092B-C50C-407E-A947-70E740481C1C}">
                          <a14:useLocalDpi xmlns:a14="http://schemas.microsoft.com/office/drawing/2010/main"/>
                        </a:ext>
                      </a:extLst>
                    </a:blip>
                    <a:srcRect/>
                    <a:stretch/>
                  </pic:blipFill>
                  <pic:spPr bwMode="auto">
                    <a:xfrm>
                      <a:off x="0" y="0"/>
                      <a:ext cx="1647825" cy="212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7CF6F5" w14:textId="0D1F5433" w:rsidR="00AC4E63" w:rsidRDefault="00AC4E63" w:rsidP="00595DAC">
      <w:pPr>
        <w:spacing w:line="276" w:lineRule="auto"/>
        <w:contextualSpacing/>
        <w:jc w:val="both"/>
        <w:rPr>
          <w:rFonts w:ascii="Arial" w:hAnsi="Arial" w:cs="Arial"/>
          <w:sz w:val="24"/>
          <w:szCs w:val="24"/>
        </w:rPr>
      </w:pPr>
    </w:p>
    <w:p w14:paraId="6A5AB9DA" w14:textId="4FC8DCC0" w:rsidR="00AC4E63" w:rsidRDefault="00AC4E63" w:rsidP="00595DAC">
      <w:pPr>
        <w:spacing w:line="276" w:lineRule="auto"/>
        <w:contextualSpacing/>
        <w:jc w:val="both"/>
        <w:rPr>
          <w:rFonts w:ascii="Arial" w:hAnsi="Arial" w:cs="Arial"/>
          <w:sz w:val="24"/>
          <w:szCs w:val="24"/>
        </w:rPr>
      </w:pPr>
    </w:p>
    <w:p w14:paraId="43A66915" w14:textId="621A2118" w:rsidR="00AC4E63" w:rsidRDefault="00AC4E63" w:rsidP="00595DAC">
      <w:pPr>
        <w:spacing w:line="276" w:lineRule="auto"/>
        <w:contextualSpacing/>
        <w:jc w:val="both"/>
        <w:rPr>
          <w:rFonts w:ascii="Arial" w:hAnsi="Arial" w:cs="Arial"/>
          <w:sz w:val="24"/>
          <w:szCs w:val="24"/>
        </w:rPr>
      </w:pPr>
    </w:p>
    <w:p w14:paraId="1F748716" w14:textId="1D3E9995" w:rsidR="00AC4E63" w:rsidRDefault="00AC4E63" w:rsidP="00595DAC">
      <w:pPr>
        <w:spacing w:line="276" w:lineRule="auto"/>
        <w:contextualSpacing/>
        <w:jc w:val="both"/>
        <w:rPr>
          <w:rFonts w:ascii="Arial" w:hAnsi="Arial" w:cs="Arial"/>
          <w:sz w:val="24"/>
          <w:szCs w:val="24"/>
        </w:rPr>
      </w:pPr>
    </w:p>
    <w:p w14:paraId="47AB98D2" w14:textId="15DF1754" w:rsidR="00AC4E63" w:rsidRDefault="00AC4E63" w:rsidP="00595DAC">
      <w:pPr>
        <w:spacing w:line="276" w:lineRule="auto"/>
        <w:contextualSpacing/>
        <w:jc w:val="both"/>
        <w:rPr>
          <w:rFonts w:ascii="Arial" w:hAnsi="Arial" w:cs="Arial"/>
          <w:sz w:val="24"/>
          <w:szCs w:val="24"/>
        </w:rPr>
      </w:pPr>
    </w:p>
    <w:p w14:paraId="69EE154E" w14:textId="6833BE77" w:rsidR="00AC4E63" w:rsidRDefault="00AC4E63" w:rsidP="00595DAC">
      <w:pPr>
        <w:spacing w:line="276" w:lineRule="auto"/>
        <w:contextualSpacing/>
        <w:jc w:val="both"/>
        <w:rPr>
          <w:rFonts w:ascii="Arial" w:hAnsi="Arial" w:cs="Arial"/>
          <w:sz w:val="24"/>
          <w:szCs w:val="24"/>
        </w:rPr>
      </w:pPr>
    </w:p>
    <w:p w14:paraId="3994CDB6" w14:textId="60CFFCAC" w:rsidR="00AC4E63" w:rsidRDefault="00AC4E63" w:rsidP="00595DAC">
      <w:pPr>
        <w:spacing w:line="276" w:lineRule="auto"/>
        <w:contextualSpacing/>
        <w:jc w:val="both"/>
        <w:rPr>
          <w:rFonts w:ascii="Arial" w:hAnsi="Arial" w:cs="Arial"/>
          <w:sz w:val="24"/>
          <w:szCs w:val="24"/>
        </w:rPr>
      </w:pPr>
    </w:p>
    <w:p w14:paraId="701151BF" w14:textId="235D63DE" w:rsidR="00AC4E63" w:rsidRDefault="00AC4E63" w:rsidP="00595DAC">
      <w:pPr>
        <w:spacing w:line="276" w:lineRule="auto"/>
        <w:contextualSpacing/>
        <w:jc w:val="both"/>
        <w:rPr>
          <w:rFonts w:ascii="Arial" w:hAnsi="Arial" w:cs="Arial"/>
          <w:sz w:val="24"/>
          <w:szCs w:val="24"/>
        </w:rPr>
      </w:pPr>
    </w:p>
    <w:p w14:paraId="577945B2" w14:textId="750ABBA4" w:rsidR="00AC4E63" w:rsidRDefault="00AC4E63" w:rsidP="00595DAC">
      <w:pPr>
        <w:spacing w:line="276" w:lineRule="auto"/>
        <w:contextualSpacing/>
        <w:jc w:val="both"/>
        <w:rPr>
          <w:rFonts w:ascii="Arial" w:hAnsi="Arial" w:cs="Arial"/>
          <w:sz w:val="24"/>
          <w:szCs w:val="24"/>
        </w:rPr>
      </w:pPr>
    </w:p>
    <w:p w14:paraId="07236611" w14:textId="55F5EAA9" w:rsidR="00AC4E63" w:rsidRDefault="00AC4E63" w:rsidP="00595DAC">
      <w:pPr>
        <w:spacing w:line="276" w:lineRule="auto"/>
        <w:contextualSpacing/>
        <w:jc w:val="both"/>
        <w:rPr>
          <w:rFonts w:ascii="Arial" w:hAnsi="Arial" w:cs="Arial"/>
          <w:sz w:val="24"/>
          <w:szCs w:val="24"/>
        </w:rPr>
      </w:pPr>
    </w:p>
    <w:p w14:paraId="08B00207" w14:textId="4EF056CD" w:rsidR="00AC4E63" w:rsidRDefault="00AC4E63" w:rsidP="00595DAC">
      <w:pPr>
        <w:spacing w:line="276" w:lineRule="auto"/>
        <w:contextualSpacing/>
        <w:jc w:val="both"/>
        <w:rPr>
          <w:rFonts w:ascii="Arial" w:hAnsi="Arial" w:cs="Arial"/>
          <w:sz w:val="24"/>
          <w:szCs w:val="24"/>
        </w:rPr>
      </w:pPr>
    </w:p>
    <w:p w14:paraId="3A57AD94" w14:textId="0982EDB3" w:rsidR="00AC4E63" w:rsidRDefault="00AC4E63" w:rsidP="00595DAC">
      <w:pPr>
        <w:spacing w:line="276" w:lineRule="auto"/>
        <w:contextualSpacing/>
        <w:jc w:val="both"/>
        <w:rPr>
          <w:rFonts w:ascii="Arial" w:hAnsi="Arial" w:cs="Arial"/>
          <w:sz w:val="24"/>
          <w:szCs w:val="24"/>
        </w:rPr>
      </w:pPr>
    </w:p>
    <w:p w14:paraId="42D415E2" w14:textId="7345DA5D" w:rsidR="00AC4E63" w:rsidRDefault="00AC4E63" w:rsidP="00595DAC">
      <w:pPr>
        <w:spacing w:line="276" w:lineRule="auto"/>
        <w:contextualSpacing/>
        <w:jc w:val="both"/>
        <w:rPr>
          <w:rFonts w:ascii="Arial" w:hAnsi="Arial" w:cs="Arial"/>
          <w:sz w:val="24"/>
          <w:szCs w:val="24"/>
        </w:rPr>
      </w:pPr>
    </w:p>
    <w:p w14:paraId="5FF160BD" w14:textId="684A3015" w:rsidR="00B876EA" w:rsidRDefault="000732DC" w:rsidP="00B876EA">
      <w:pPr>
        <w:spacing w:line="276" w:lineRule="auto"/>
        <w:jc w:val="both"/>
        <w:rPr>
          <w:rFonts w:ascii="Arial" w:hAnsi="Arial" w:cs="Arial"/>
          <w:bCs/>
          <w:sz w:val="24"/>
          <w:szCs w:val="24"/>
          <w:lang w:val="en-ZA"/>
        </w:rPr>
      </w:pPr>
      <w:r>
        <w:rPr>
          <w:rFonts w:ascii="Arial" w:hAnsi="Arial" w:cs="Arial"/>
          <w:b/>
          <w:bCs/>
          <w:noProof/>
          <w:color w:val="82C9A0"/>
          <w:sz w:val="32"/>
          <w:szCs w:val="32"/>
          <w:lang w:val="en-US"/>
        </w:rPr>
        <w:lastRenderedPageBreak/>
        <mc:AlternateContent>
          <mc:Choice Requires="wps">
            <w:drawing>
              <wp:anchor distT="0" distB="0" distL="114300" distR="114300" simplePos="0" relativeHeight="251622355" behindDoc="1" locked="0" layoutInCell="1" allowOverlap="1" wp14:anchorId="1B167125" wp14:editId="39CF35A7">
                <wp:simplePos x="0" y="0"/>
                <wp:positionH relativeFrom="margin">
                  <wp:posOffset>1875106</wp:posOffset>
                </wp:positionH>
                <wp:positionV relativeFrom="paragraph">
                  <wp:posOffset>269240</wp:posOffset>
                </wp:positionV>
                <wp:extent cx="5059045" cy="5410200"/>
                <wp:effectExtent l="19050" t="19050" r="27305" b="19050"/>
                <wp:wrapNone/>
                <wp:docPr id="1665" name="Rounded Rectangle 1665"/>
                <wp:cNvGraphicFramePr/>
                <a:graphic xmlns:a="http://schemas.openxmlformats.org/drawingml/2006/main">
                  <a:graphicData uri="http://schemas.microsoft.com/office/word/2010/wordprocessingShape">
                    <wps:wsp>
                      <wps:cNvSpPr/>
                      <wps:spPr>
                        <a:xfrm>
                          <a:off x="0" y="0"/>
                          <a:ext cx="5059045" cy="5410200"/>
                        </a:xfrm>
                        <a:prstGeom prst="roundRect">
                          <a:avLst>
                            <a:gd name="adj" fmla="val 2096"/>
                          </a:avLst>
                        </a:prstGeom>
                        <a:noFill/>
                        <a:ln w="28575">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106F9C" w14:textId="77777777" w:rsidR="00D15FD8" w:rsidRPr="003625BA" w:rsidRDefault="00D15FD8" w:rsidP="003625BA">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167125" id="Rounded Rectangle 1665" o:spid="_x0000_s1663" style="position:absolute;left:0;text-align:left;margin-left:147.65pt;margin-top:21.2pt;width:398.35pt;height:426pt;z-index:-2516941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" filled="f" strokecolor="#16988a" strokeweight="2.25pt">
                <v:stroke joinstyle="miter"/>
                <v:textbox>
                  <w:txbxContent>
                    <w:p w14:paraId="04106F9C" w14:textId="77777777" w:rsidR="00D15FD8" w:rsidRPr="003625BA" w:rsidRDefault="00D15FD8" w:rsidP="003625BA">
                      <w:pPr>
                        <w:jc w:val="center"/>
                        <w:rPr>
                          <w:lang w:val="en-US"/>
                        </w:rPr>
                      </w:pPr>
                      <w:r>
                        <w:rPr>
                          <w:lang w:val="en-US"/>
                        </w:rPr>
                        <w:t>v</w:t>
                      </w:r>
                    </w:p>
                  </w:txbxContent>
                </v:textbox>
                <w10:wrap anchorx="margin"/>
              </v:roundrect>
            </w:pict>
          </mc:Fallback>
        </mc:AlternateContent>
      </w:r>
      <w:r w:rsidR="00B876EA">
        <w:rPr>
          <w:rFonts w:ascii="Arial" w:hAnsi="Arial" w:cs="Arial"/>
          <w:bCs/>
          <w:noProof/>
          <w:sz w:val="24"/>
          <w:szCs w:val="24"/>
          <w:lang w:val="en-US"/>
        </w:rPr>
        <mc:AlternateContent>
          <mc:Choice Requires="wps">
            <w:drawing>
              <wp:anchor distT="0" distB="0" distL="114300" distR="114300" simplePos="0" relativeHeight="251624404" behindDoc="0" locked="0" layoutInCell="1" allowOverlap="1" wp14:anchorId="782280BF" wp14:editId="478A529D">
                <wp:simplePos x="0" y="0"/>
                <wp:positionH relativeFrom="column">
                  <wp:posOffset>0</wp:posOffset>
                </wp:positionH>
                <wp:positionV relativeFrom="paragraph">
                  <wp:posOffset>0</wp:posOffset>
                </wp:positionV>
                <wp:extent cx="1536700" cy="5297170"/>
                <wp:effectExtent l="0" t="0" r="0" b="0"/>
                <wp:wrapSquare wrapText="bothSides"/>
                <wp:docPr id="360" name="Rectangle 360"/>
                <wp:cNvGraphicFramePr/>
                <a:graphic xmlns:a="http://schemas.openxmlformats.org/drawingml/2006/main">
                  <a:graphicData uri="http://schemas.microsoft.com/office/word/2010/wordprocessingShape">
                    <wps:wsp>
                      <wps:cNvSpPr/>
                      <wps:spPr>
                        <a:xfrm>
                          <a:off x="0" y="0"/>
                          <a:ext cx="1536700" cy="52971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dtdh="http://schemas.microsoft.com/office/word/2020/wordml/sdtdatahash">
            <w:pict>
              <v:rect w14:anchorId="56D9001F" id="Rectangle 360" o:spid="_x0000_s1026" style="position:absolute;margin-left:0;margin-top:0;width:121pt;height:417.1pt;z-index:2516244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" filled="f" stroked="f" strokeweight="1pt">
                <w10:wrap type="square"/>
              </v:rect>
            </w:pict>
          </mc:Fallback>
        </mc:AlternateContent>
      </w:r>
      <w:r w:rsidR="00B876EA">
        <w:rPr>
          <w:noProof/>
          <w:lang w:val="en-US"/>
        </w:rPr>
        <w:drawing>
          <wp:anchor distT="0" distB="0" distL="114300" distR="114300" simplePos="0" relativeHeight="255128574" behindDoc="0" locked="0" layoutInCell="1" allowOverlap="1" wp14:anchorId="75D14D45" wp14:editId="01237996">
            <wp:simplePos x="0" y="0"/>
            <wp:positionH relativeFrom="column">
              <wp:posOffset>-188595</wp:posOffset>
            </wp:positionH>
            <wp:positionV relativeFrom="paragraph">
              <wp:posOffset>1881614</wp:posOffset>
            </wp:positionV>
            <wp:extent cx="1536700" cy="803910"/>
            <wp:effectExtent l="0" t="0" r="0" b="0"/>
            <wp:wrapSquare wrapText="bothSides"/>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Picture 2771"/>
                    <pic:cNvPicPr/>
                  </pic:nvPicPr>
                  <pic:blipFill>
                    <a:blip r:embed="rId962" cstate="email">
                      <a:extLst>
                        <a:ext uri="{28A0092B-C50C-407E-A947-70E740481C1C}">
                          <a14:useLocalDpi xmlns:a14="http://schemas.microsoft.com/office/drawing/2010/main"/>
                        </a:ext>
                      </a:extLst>
                    </a:blip>
                    <a:stretch>
                      <a:fillRect/>
                    </a:stretch>
                  </pic:blipFill>
                  <pic:spPr>
                    <a:xfrm>
                      <a:off x="0" y="0"/>
                      <a:ext cx="1536700" cy="803910"/>
                    </a:xfrm>
                    <a:prstGeom prst="rect">
                      <a:avLst/>
                    </a:prstGeom>
                  </pic:spPr>
                </pic:pic>
              </a:graphicData>
            </a:graphic>
            <wp14:sizeRelH relativeFrom="page">
              <wp14:pctWidth>0</wp14:pctWidth>
            </wp14:sizeRelH>
            <wp14:sizeRelV relativeFrom="page">
              <wp14:pctHeight>0</wp14:pctHeight>
            </wp14:sizeRelV>
          </wp:anchor>
        </w:drawing>
      </w:r>
      <w:r w:rsidR="00B876EA">
        <w:rPr>
          <w:rFonts w:ascii="Arial" w:hAnsi="Arial" w:cs="Arial"/>
          <w:b/>
          <w:bCs/>
          <w:noProof/>
          <w:color w:val="82C9A0"/>
          <w:sz w:val="32"/>
          <w:szCs w:val="32"/>
          <w:lang w:val="en-US"/>
        </w:rPr>
        <mc:AlternateContent>
          <mc:Choice Requires="wps">
            <w:drawing>
              <wp:anchor distT="0" distB="0" distL="114300" distR="114300" simplePos="0" relativeHeight="251623379" behindDoc="1" locked="0" layoutInCell="1" allowOverlap="1" wp14:anchorId="4AD6CAA1" wp14:editId="7E943637">
                <wp:simplePos x="0" y="0"/>
                <wp:positionH relativeFrom="margin">
                  <wp:posOffset>1434662</wp:posOffset>
                </wp:positionH>
                <wp:positionV relativeFrom="paragraph">
                  <wp:posOffset>-146203</wp:posOffset>
                </wp:positionV>
                <wp:extent cx="5418455" cy="5709808"/>
                <wp:effectExtent l="0" t="0" r="4445" b="5715"/>
                <wp:wrapNone/>
                <wp:docPr id="1666" name="Rounded Rectangle 1666"/>
                <wp:cNvGraphicFramePr/>
                <a:graphic xmlns:a="http://schemas.openxmlformats.org/drawingml/2006/main">
                  <a:graphicData uri="http://schemas.microsoft.com/office/word/2010/wordprocessingShape">
                    <wps:wsp>
                      <wps:cNvSpPr/>
                      <wps:spPr>
                        <a:xfrm>
                          <a:off x="0" y="0"/>
                          <a:ext cx="5418455" cy="5709808"/>
                        </a:xfrm>
                        <a:prstGeom prst="roundRect">
                          <a:avLst>
                            <a:gd name="adj" fmla="val 2096"/>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2843A47" id="Rounded Rectangle 1666" o:spid="_x0000_s1026" style="position:absolute;margin-left:112.95pt;margin-top:-11.5pt;width:426.65pt;height:449.6pt;z-index:-2516931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" fillcolor="#e2efd9 [665]" stroked="f" strokeweight="1pt">
                <v:stroke joinstyle="miter"/>
                <w10:wrap anchorx="margin"/>
              </v:roundrect>
            </w:pict>
          </mc:Fallback>
        </mc:AlternateContent>
      </w:r>
      <w:r w:rsidR="00B876EA" w:rsidRPr="003625BA">
        <w:rPr>
          <w:rFonts w:ascii="Arial" w:hAnsi="Arial" w:cs="Arial"/>
          <w:bCs/>
          <w:sz w:val="24"/>
          <w:szCs w:val="24"/>
        </w:rPr>
        <w:t xml:space="preserve">Secondly, </w:t>
      </w:r>
      <w:r w:rsidR="00B876EA" w:rsidRPr="003625BA">
        <w:rPr>
          <w:rFonts w:ascii="Arial" w:hAnsi="Arial" w:cs="Arial"/>
          <w:bCs/>
          <w:sz w:val="24"/>
          <w:szCs w:val="24"/>
          <w:lang w:val="en-US"/>
        </w:rPr>
        <w:t xml:space="preserve">in 2019, the Better Budget Dataquest for Sustainable Development was introduced. These events encourage collaboration in evidence-based policy analysis for the improvement of public financial management, including towards the better allocation of public resources. The </w:t>
      </w:r>
      <w:proofErr w:type="spellStart"/>
      <w:r w:rsidR="00B876EA" w:rsidRPr="003625BA">
        <w:rPr>
          <w:rFonts w:ascii="Arial" w:hAnsi="Arial" w:cs="Arial"/>
          <w:bCs/>
          <w:sz w:val="24"/>
          <w:szCs w:val="24"/>
          <w:lang w:val="en-US"/>
        </w:rPr>
        <w:t>dataquest</w:t>
      </w:r>
      <w:proofErr w:type="spellEnd"/>
      <w:r w:rsidR="00B876EA" w:rsidRPr="003625BA">
        <w:rPr>
          <w:rFonts w:ascii="Arial" w:hAnsi="Arial" w:cs="Arial"/>
          <w:bCs/>
          <w:sz w:val="24"/>
          <w:szCs w:val="24"/>
          <w:lang w:val="en-US"/>
        </w:rPr>
        <w:t xml:space="preserve"> typically takes the form of a day event, where teams explore certain datasets to enable better understanding of a particular subject, and to provide an opportunity for data publishers to expand budget and data literacy, thereby increasing awareness and engagement</w:t>
      </w:r>
      <w:r w:rsidR="00B876EA" w:rsidRPr="003625BA">
        <w:rPr>
          <w:rFonts w:ascii="Arial" w:hAnsi="Arial" w:cs="Arial"/>
          <w:bCs/>
          <w:sz w:val="24"/>
          <w:szCs w:val="24"/>
          <w:lang w:val="en-ZA"/>
        </w:rPr>
        <w:t xml:space="preserve">. </w:t>
      </w:r>
      <w:r w:rsidR="00B876EA" w:rsidRPr="003625BA">
        <w:rPr>
          <w:rFonts w:ascii="Arial" w:hAnsi="Arial" w:cs="Arial"/>
          <w:bCs/>
          <w:sz w:val="24"/>
          <w:szCs w:val="24"/>
          <w:lang w:val="en-US"/>
        </w:rPr>
        <w:t xml:space="preserve">In 2021, aside from Sustainable Development Goals, participants were also encouraged to explore COVID-19 related datasets. </w:t>
      </w:r>
      <w:proofErr w:type="spellStart"/>
      <w:r w:rsidR="00B876EA" w:rsidRPr="003625BA">
        <w:rPr>
          <w:rFonts w:ascii="Arial" w:hAnsi="Arial" w:cs="Arial"/>
          <w:bCs/>
          <w:sz w:val="24"/>
          <w:szCs w:val="24"/>
          <w:lang w:val="en-US"/>
        </w:rPr>
        <w:t>Dataquests</w:t>
      </w:r>
      <w:proofErr w:type="spellEnd"/>
      <w:r w:rsidR="00B876EA" w:rsidRPr="003625BA">
        <w:rPr>
          <w:rFonts w:ascii="Arial" w:hAnsi="Arial" w:cs="Arial"/>
          <w:bCs/>
          <w:sz w:val="24"/>
          <w:szCs w:val="24"/>
          <w:lang w:val="en-US"/>
        </w:rPr>
        <w:t xml:space="preserve"> have been held in numerous countries including Argentina</w:t>
      </w:r>
      <w:r w:rsidR="00725D35">
        <w:rPr>
          <w:rStyle w:val="FootnoteReference"/>
          <w:rFonts w:ascii="Arial" w:hAnsi="Arial" w:cs="Arial"/>
          <w:bCs/>
          <w:sz w:val="24"/>
          <w:szCs w:val="24"/>
          <w:lang w:val="en-US"/>
        </w:rPr>
        <w:footnoteReference w:id="75"/>
      </w:r>
      <w:r w:rsidR="00B876EA" w:rsidRPr="003625BA">
        <w:rPr>
          <w:rFonts w:ascii="Arial" w:hAnsi="Arial" w:cs="Arial"/>
          <w:bCs/>
          <w:sz w:val="24"/>
          <w:szCs w:val="24"/>
          <w:lang w:val="en-US"/>
        </w:rPr>
        <w:t xml:space="preserve">, Colombia, Costa Rica, Indonesia, Mexico, Philippines, South Africa, and Uruguay. Various examples of these models in practice are available on GIFT’s </w:t>
      </w:r>
      <w:hyperlink r:id="rId963" w:history="1">
        <w:r w:rsidR="00B876EA" w:rsidRPr="003625BA">
          <w:rPr>
            <w:rStyle w:val="Hyperlink"/>
            <w:rFonts w:ascii="Arial" w:hAnsi="Arial" w:cs="Arial"/>
            <w:bCs/>
            <w:sz w:val="24"/>
            <w:szCs w:val="24"/>
            <w:lang w:val="en-US"/>
          </w:rPr>
          <w:t>website</w:t>
        </w:r>
      </w:hyperlink>
      <w:r w:rsidR="00B876EA" w:rsidRPr="003625BA">
        <w:rPr>
          <w:rFonts w:ascii="Arial" w:hAnsi="Arial" w:cs="Arial"/>
          <w:bCs/>
          <w:sz w:val="24"/>
          <w:szCs w:val="24"/>
          <w:lang w:val="en-US"/>
        </w:rPr>
        <w:t xml:space="preserve">. </w:t>
      </w:r>
      <w:r w:rsidR="00B876EA" w:rsidRPr="003625BA">
        <w:rPr>
          <w:rFonts w:ascii="Arial" w:hAnsi="Arial" w:cs="Arial"/>
          <w:bCs/>
          <w:sz w:val="24"/>
          <w:szCs w:val="24"/>
          <w:lang w:val="en-ZA"/>
        </w:rPr>
        <w:t xml:space="preserve">This includes an example from Argentina, showing how a civil society organization, </w:t>
      </w:r>
      <w:proofErr w:type="spellStart"/>
      <w:r w:rsidR="00B876EA" w:rsidRPr="003625BA">
        <w:rPr>
          <w:rFonts w:ascii="Arial" w:hAnsi="Arial" w:cs="Arial"/>
          <w:bCs/>
          <w:sz w:val="24"/>
          <w:szCs w:val="24"/>
          <w:lang w:val="en-ZA"/>
        </w:rPr>
        <w:t>Asociación</w:t>
      </w:r>
      <w:proofErr w:type="spellEnd"/>
      <w:r w:rsidR="00B876EA" w:rsidRPr="003625BA">
        <w:rPr>
          <w:rFonts w:ascii="Arial" w:hAnsi="Arial" w:cs="Arial"/>
          <w:bCs/>
          <w:sz w:val="24"/>
          <w:szCs w:val="24"/>
          <w:lang w:val="en-ZA"/>
        </w:rPr>
        <w:t xml:space="preserve"> Civil por la </w:t>
      </w:r>
      <w:proofErr w:type="spellStart"/>
      <w:r w:rsidR="00B876EA" w:rsidRPr="003625BA">
        <w:rPr>
          <w:rFonts w:ascii="Arial" w:hAnsi="Arial" w:cs="Arial"/>
          <w:bCs/>
          <w:sz w:val="24"/>
          <w:szCs w:val="24"/>
          <w:lang w:val="en-ZA"/>
        </w:rPr>
        <w:t>Igualdad</w:t>
      </w:r>
      <w:proofErr w:type="spellEnd"/>
      <w:r w:rsidR="00B876EA" w:rsidRPr="003625BA">
        <w:rPr>
          <w:rFonts w:ascii="Arial" w:hAnsi="Arial" w:cs="Arial"/>
          <w:bCs/>
          <w:sz w:val="24"/>
          <w:szCs w:val="24"/>
          <w:lang w:val="en-ZA"/>
        </w:rPr>
        <w:t xml:space="preserve"> de la Justicia (ACIJ), triggered a change in a policy, as a result of implementing the Better Budget Dataquest.</w:t>
      </w:r>
    </w:p>
    <w:p w14:paraId="32BD4D61" w14:textId="7A7E153B" w:rsidR="00B876EA" w:rsidRDefault="00B876EA" w:rsidP="00B876EA">
      <w:pPr>
        <w:spacing w:line="276" w:lineRule="auto"/>
        <w:contextualSpacing/>
        <w:jc w:val="both"/>
        <w:rPr>
          <w:rFonts w:ascii="Arial" w:hAnsi="Arial" w:cs="Arial"/>
          <w:bCs/>
          <w:sz w:val="24"/>
          <w:szCs w:val="24"/>
          <w:lang w:val="en-ZA"/>
        </w:rPr>
      </w:pPr>
    </w:p>
    <w:p w14:paraId="4A190B00" w14:textId="10F80A05" w:rsidR="00B876EA" w:rsidRPr="00EB2A7C" w:rsidRDefault="00B876EA" w:rsidP="00B876EA">
      <w:pPr>
        <w:spacing w:line="276" w:lineRule="auto"/>
        <w:contextualSpacing/>
        <w:jc w:val="both"/>
        <w:rPr>
          <w:rFonts w:ascii="Arial" w:hAnsi="Arial" w:cs="Arial"/>
          <w:bCs/>
          <w:sz w:val="24"/>
          <w:szCs w:val="24"/>
          <w:lang w:val="en-ZA"/>
        </w:rPr>
      </w:pPr>
      <w:r w:rsidRPr="00EB2A7C">
        <w:rPr>
          <w:rFonts w:ascii="Arial" w:hAnsi="Arial" w:cs="Arial"/>
          <w:bCs/>
          <w:sz w:val="24"/>
          <w:szCs w:val="24"/>
          <w:lang w:val="en-ZA"/>
        </w:rPr>
        <w:t xml:space="preserve">During the </w:t>
      </w:r>
      <w:proofErr w:type="spellStart"/>
      <w:r w:rsidRPr="00EB2A7C">
        <w:rPr>
          <w:rFonts w:ascii="Arial" w:hAnsi="Arial" w:cs="Arial"/>
          <w:bCs/>
          <w:sz w:val="24"/>
          <w:szCs w:val="24"/>
          <w:lang w:val="en-ZA"/>
        </w:rPr>
        <w:t>dataquest</w:t>
      </w:r>
      <w:proofErr w:type="spellEnd"/>
      <w:r w:rsidRPr="00EB2A7C">
        <w:rPr>
          <w:rFonts w:ascii="Arial" w:hAnsi="Arial" w:cs="Arial"/>
          <w:bCs/>
          <w:sz w:val="24"/>
          <w:szCs w:val="24"/>
          <w:lang w:val="en-ZA"/>
        </w:rPr>
        <w:t>, the Ministry of Finance showed civil society organizations, journalists and other participants how to use newly published open data. Participant teams’ analyses were specially oriented towards analysing budget allocations’ performance information. One of the participant teams continued the research, later publishing an article containing an analysis of the delivery of fortified milk to children in poor communities, revealing policy inconsistencies. This led the government to take action to improve its program targets as well as the publication of performance indicators.</w:t>
      </w:r>
    </w:p>
    <w:p w14:paraId="702C50F1" w14:textId="75260569" w:rsidR="00AC4E63" w:rsidRPr="00B876EA" w:rsidRDefault="00B876EA" w:rsidP="00B876EA">
      <w:pPr>
        <w:spacing w:line="276" w:lineRule="auto"/>
        <w:jc w:val="both"/>
        <w:rPr>
          <w:rFonts w:ascii="Arial" w:hAnsi="Arial" w:cs="Arial"/>
          <w:b/>
          <w:bCs/>
          <w:color w:val="FFFFFF" w:themeColor="background1"/>
          <w:sz w:val="24"/>
          <w:szCs w:val="24"/>
        </w:rPr>
      </w:pPr>
      <w:r w:rsidRPr="003625BA">
        <w:rPr>
          <w:rFonts w:ascii="Arial" w:hAnsi="Arial" w:cs="Arial"/>
          <w:bCs/>
          <w:sz w:val="24"/>
          <w:szCs w:val="24"/>
          <w:lang w:val="en-ZA"/>
        </w:rPr>
        <w:t xml:space="preserve"> </w:t>
      </w:r>
    </w:p>
    <w:p w14:paraId="07B920B4" w14:textId="4FE986A9" w:rsidR="00F126FC" w:rsidRPr="00725D35" w:rsidRDefault="00F126FC" w:rsidP="00725D35">
      <w:pPr>
        <w:tabs>
          <w:tab w:val="left" w:pos="6130"/>
        </w:tabs>
        <w:rPr>
          <w:lang w:val="en-US"/>
        </w:rPr>
      </w:pPr>
    </w:p>
    <w:p w14:paraId="642841ED" w14:textId="5A966E7D" w:rsidR="00F126FC" w:rsidRPr="00EB2A7C" w:rsidRDefault="00725D35" w:rsidP="00EB2A7C">
      <w:pPr>
        <w:spacing w:line="276" w:lineRule="auto"/>
        <w:contextualSpacing/>
        <w:jc w:val="both"/>
        <w:rPr>
          <w:rFonts w:ascii="Arial" w:hAnsi="Arial" w:cs="Arial"/>
          <w:bCs/>
          <w:sz w:val="24"/>
          <w:szCs w:val="24"/>
          <w:lang w:val="en-US"/>
        </w:rPr>
      </w:pPr>
      <w:r>
        <w:rPr>
          <w:rFonts w:ascii="Arial" w:hAnsi="Arial" w:cs="Arial"/>
          <w:bCs/>
          <w:noProof/>
          <w:sz w:val="24"/>
          <w:szCs w:val="24"/>
          <w:lang w:val="en-US"/>
        </w:rPr>
        <w:drawing>
          <wp:anchor distT="0" distB="0" distL="114300" distR="114300" simplePos="0" relativeHeight="254525438" behindDoc="0" locked="0" layoutInCell="1" allowOverlap="1" wp14:anchorId="70219157" wp14:editId="683C19B2">
            <wp:simplePos x="0" y="0"/>
            <wp:positionH relativeFrom="margin">
              <wp:posOffset>-78105</wp:posOffset>
            </wp:positionH>
            <wp:positionV relativeFrom="paragraph">
              <wp:posOffset>901591</wp:posOffset>
            </wp:positionV>
            <wp:extent cx="6645225" cy="1148987"/>
            <wp:effectExtent l="0" t="0" r="0" b="0"/>
            <wp:wrapSquare wrapText="bothSides"/>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Picture 1678"/>
                    <pic:cNvPicPr/>
                  </pic:nvPicPr>
                  <pic:blipFill rotWithShape="1">
                    <a:blip r:embed="rId964" cstate="screen">
                      <a:extLst>
                        <a:ext uri="{28A0092B-C50C-407E-A947-70E740481C1C}">
                          <a14:useLocalDpi xmlns:a14="http://schemas.microsoft.com/office/drawing/2010/main"/>
                        </a:ext>
                      </a:extLst>
                    </a:blip>
                    <a:srcRect/>
                    <a:stretch/>
                  </pic:blipFill>
                  <pic:spPr bwMode="auto">
                    <a:xfrm>
                      <a:off x="0" y="0"/>
                      <a:ext cx="6645225" cy="11489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26FC" w:rsidRPr="00EB2A7C">
        <w:rPr>
          <w:rFonts w:ascii="Arial" w:hAnsi="Arial" w:cs="Arial"/>
          <w:bCs/>
          <w:sz w:val="24"/>
          <w:szCs w:val="24"/>
          <w:lang w:val="en-US"/>
        </w:rPr>
        <w:t xml:space="preserve">These events demonstrate the importance of having clear, disaggregated, and accessible information to monitor the performance of public policies aimed at guaranteeing rights, as well as how this puts pressure on, and assists, governments in justifying and explaining the reasons for budgetary deviations. </w:t>
      </w:r>
    </w:p>
    <w:p w14:paraId="77760533" w14:textId="5819937D" w:rsidR="00F126FC" w:rsidRPr="00EB2A7C" w:rsidRDefault="00725D35" w:rsidP="00EB2A7C">
      <w:pPr>
        <w:spacing w:line="276" w:lineRule="auto"/>
        <w:contextualSpacing/>
        <w:jc w:val="both"/>
        <w:rPr>
          <w:rFonts w:ascii="Arial" w:hAnsi="Arial" w:cs="Arial"/>
          <w:bCs/>
          <w:sz w:val="24"/>
          <w:szCs w:val="24"/>
          <w:lang w:val="en-US"/>
        </w:rPr>
      </w:pPr>
      <w:r>
        <w:rPr>
          <w:rFonts w:ascii="Arial" w:hAnsi="Arial" w:cs="Arial"/>
          <w:bCs/>
          <w:noProof/>
          <w:sz w:val="24"/>
          <w:szCs w:val="24"/>
          <w:lang w:val="en-US"/>
        </w:rPr>
        <w:drawing>
          <wp:anchor distT="0" distB="0" distL="114300" distR="114300" simplePos="0" relativeHeight="254526462" behindDoc="0" locked="0" layoutInCell="1" allowOverlap="1" wp14:anchorId="02032F24" wp14:editId="270EDB01">
            <wp:simplePos x="0" y="0"/>
            <wp:positionH relativeFrom="column">
              <wp:posOffset>0</wp:posOffset>
            </wp:positionH>
            <wp:positionV relativeFrom="paragraph">
              <wp:posOffset>1414671</wp:posOffset>
            </wp:positionV>
            <wp:extent cx="697230" cy="613410"/>
            <wp:effectExtent l="0" t="0" r="1270" b="0"/>
            <wp:wrapSquare wrapText="bothSides"/>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Picture 1699"/>
                    <pic:cNvPicPr/>
                  </pic:nvPicPr>
                  <pic:blipFill rotWithShape="1">
                    <a:blip r:embed="rId965" cstate="screen">
                      <a:extLst>
                        <a:ext uri="{28A0092B-C50C-407E-A947-70E740481C1C}">
                          <a14:useLocalDpi xmlns:a14="http://schemas.microsoft.com/office/drawing/2010/main"/>
                        </a:ext>
                      </a:extLst>
                    </a:blip>
                    <a:srcRect/>
                    <a:stretch/>
                  </pic:blipFill>
                  <pic:spPr bwMode="auto">
                    <a:xfrm>
                      <a:off x="0" y="0"/>
                      <a:ext cx="697230" cy="613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B50C86" w14:textId="77777777" w:rsidR="00AC4E63" w:rsidRDefault="00F126FC" w:rsidP="00F126FC">
      <w:pPr>
        <w:spacing w:line="276" w:lineRule="auto"/>
        <w:contextualSpacing/>
        <w:jc w:val="both"/>
        <w:rPr>
          <w:rFonts w:ascii="Arial" w:hAnsi="Arial" w:cs="Arial"/>
          <w:bCs/>
          <w:sz w:val="24"/>
          <w:szCs w:val="24"/>
          <w:lang w:val="en-ZA"/>
        </w:rPr>
      </w:pPr>
      <w:r w:rsidRPr="00EB2A7C">
        <w:rPr>
          <w:rFonts w:ascii="Arial" w:hAnsi="Arial" w:cs="Arial"/>
          <w:bCs/>
          <w:sz w:val="24"/>
          <w:szCs w:val="24"/>
          <w:lang w:val="en-US"/>
        </w:rPr>
        <w:t>There are handbooks that can be consulted for guidance on how to create open knowledge events, including the Making Data Social guide in the Open Data Handbook, and the Open Data Hackathon: How to Guide</w:t>
      </w:r>
      <w:r w:rsidRPr="00EB2A7C">
        <w:rPr>
          <w:rFonts w:ascii="Arial" w:hAnsi="Arial" w:cs="Arial"/>
          <w:bCs/>
          <w:sz w:val="24"/>
          <w:szCs w:val="24"/>
          <w:vertAlign w:val="superscript"/>
          <w:lang w:val="en-ZA"/>
        </w:rPr>
        <w:footnoteReference w:id="76"/>
      </w:r>
      <w:r w:rsidRPr="00EB2A7C">
        <w:rPr>
          <w:rFonts w:ascii="Arial" w:hAnsi="Arial" w:cs="Arial"/>
          <w:bCs/>
          <w:sz w:val="24"/>
          <w:szCs w:val="24"/>
          <w:lang w:val="en-ZA"/>
        </w:rPr>
        <w:t>.</w:t>
      </w:r>
    </w:p>
    <w:p w14:paraId="1858C73E" w14:textId="0208A675" w:rsidR="00E8064C" w:rsidRDefault="00AC4E63" w:rsidP="00F126FC">
      <w:pPr>
        <w:spacing w:line="276" w:lineRule="auto"/>
        <w:contextualSpacing/>
        <w:jc w:val="both"/>
        <w:rPr>
          <w:rFonts w:ascii="Arial" w:hAnsi="Arial" w:cs="Arial"/>
          <w:bCs/>
          <w:sz w:val="24"/>
          <w:szCs w:val="24"/>
          <w:lang w:val="en-ZA"/>
        </w:rPr>
      </w:pPr>
      <w:r>
        <w:rPr>
          <w:rFonts w:ascii="Arial" w:hAnsi="Arial" w:cs="Arial"/>
          <w:bCs/>
          <w:noProof/>
          <w:sz w:val="24"/>
          <w:szCs w:val="24"/>
          <w:lang w:val="en-US"/>
        </w:rPr>
        <w:lastRenderedPageBreak/>
        <w:drawing>
          <wp:anchor distT="0" distB="0" distL="114300" distR="114300" simplePos="0" relativeHeight="251632604" behindDoc="1" locked="0" layoutInCell="1" allowOverlap="1" wp14:anchorId="474D17CE" wp14:editId="396BCAFB">
            <wp:simplePos x="0" y="0"/>
            <wp:positionH relativeFrom="column">
              <wp:posOffset>-190500</wp:posOffset>
            </wp:positionH>
            <wp:positionV relativeFrom="paragraph">
              <wp:posOffset>0</wp:posOffset>
            </wp:positionV>
            <wp:extent cx="6404610" cy="1371600"/>
            <wp:effectExtent l="0" t="0" r="0" b="0"/>
            <wp:wrapTight wrapText="bothSides">
              <wp:wrapPolygon edited="0">
                <wp:start x="1585" y="0"/>
                <wp:lineTo x="771" y="2200"/>
                <wp:lineTo x="857" y="3600"/>
                <wp:lineTo x="343" y="4000"/>
                <wp:lineTo x="343" y="6600"/>
                <wp:lineTo x="128" y="6800"/>
                <wp:lineTo x="86" y="14800"/>
                <wp:lineTo x="471" y="16400"/>
                <wp:lineTo x="642" y="19400"/>
                <wp:lineTo x="1285" y="20000"/>
                <wp:lineTo x="1585" y="21400"/>
                <wp:lineTo x="3255" y="21400"/>
                <wp:lineTo x="19403" y="20400"/>
                <wp:lineTo x="19446" y="19600"/>
                <wp:lineTo x="20217" y="16600"/>
                <wp:lineTo x="20217" y="16400"/>
                <wp:lineTo x="20474" y="13200"/>
                <wp:lineTo x="20516" y="10000"/>
                <wp:lineTo x="20345" y="7600"/>
                <wp:lineTo x="20302" y="6800"/>
                <wp:lineTo x="19831" y="4400"/>
                <wp:lineTo x="19617" y="3600"/>
                <wp:lineTo x="19703" y="1400"/>
                <wp:lineTo x="17218" y="1000"/>
                <wp:lineTo x="3255" y="0"/>
                <wp:lineTo x="1585" y="0"/>
              </wp:wrapPolygon>
            </wp:wrapTight>
            <wp:docPr id="2776" name="Picture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 name="Picture 2776"/>
                    <pic:cNvPicPr/>
                  </pic:nvPicPr>
                  <pic:blipFill rotWithShape="1">
                    <a:blip r:embed="rId966" cstate="screen">
                      <a:extLst>
                        <a:ext uri="{28A0092B-C50C-407E-A947-70E740481C1C}">
                          <a14:useLocalDpi xmlns:a14="http://schemas.microsoft.com/office/drawing/2010/main"/>
                        </a:ext>
                      </a:extLst>
                    </a:blip>
                    <a:srcRect/>
                    <a:stretch/>
                  </pic:blipFill>
                  <pic:spPr bwMode="auto">
                    <a:xfrm>
                      <a:off x="0" y="0"/>
                      <a:ext cx="640461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F997AC" w14:textId="38933603" w:rsidR="00E8064C" w:rsidRPr="00EB2A7C" w:rsidRDefault="00AC4E63" w:rsidP="00EB2A7C">
      <w:pPr>
        <w:spacing w:line="276" w:lineRule="auto"/>
        <w:contextualSpacing/>
        <w:jc w:val="both"/>
        <w:rPr>
          <w:rFonts w:ascii="Arial" w:hAnsi="Arial" w:cs="Arial"/>
          <w:bCs/>
          <w:sz w:val="24"/>
          <w:szCs w:val="24"/>
          <w:lang w:val="en-ZA"/>
        </w:rPr>
      </w:pPr>
      <w:r>
        <w:rPr>
          <w:rFonts w:ascii="Arial" w:hAnsi="Arial" w:cs="Arial"/>
          <w:iCs/>
          <w:noProof/>
          <w:lang w:val="en-US"/>
        </w:rPr>
        <mc:AlternateContent>
          <mc:Choice Requires="wps">
            <w:drawing>
              <wp:anchor distT="0" distB="0" distL="114300" distR="114300" simplePos="0" relativeHeight="254530558" behindDoc="0" locked="0" layoutInCell="1" allowOverlap="1" wp14:anchorId="7A149A5E" wp14:editId="488F2518">
                <wp:simplePos x="0" y="0"/>
                <wp:positionH relativeFrom="column">
                  <wp:posOffset>235585</wp:posOffset>
                </wp:positionH>
                <wp:positionV relativeFrom="paragraph">
                  <wp:posOffset>163830</wp:posOffset>
                </wp:positionV>
                <wp:extent cx="571500" cy="660400"/>
                <wp:effectExtent l="0" t="0" r="0" b="0"/>
                <wp:wrapNone/>
                <wp:docPr id="1703" name="Text Box 1703"/>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0D5A089F" w14:textId="29EF77F0" w:rsidR="00D15FD8" w:rsidRPr="00653DDD" w:rsidRDefault="00D15FD8" w:rsidP="00980949">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49A5E" id="Text Box 1703" o:spid="_x0000_s1664" type="#_x0000_t202" style="position:absolute;left:0;text-align:left;margin-left:18.55pt;margin-top:12.9pt;width:45pt;height:52pt;z-index:254530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" filled="f" stroked="f" strokeweight=".5pt">
                <v:textbox>
                  <w:txbxContent>
                    <w:p w14:paraId="0D5A089F" w14:textId="29EF77F0" w:rsidR="00D15FD8" w:rsidRPr="00653DDD" w:rsidRDefault="00D15FD8" w:rsidP="00980949">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4</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4529534" behindDoc="0" locked="0" layoutInCell="1" allowOverlap="1" wp14:anchorId="7F734D58" wp14:editId="028BF4F9">
                <wp:simplePos x="0" y="0"/>
                <wp:positionH relativeFrom="column">
                  <wp:posOffset>1028700</wp:posOffset>
                </wp:positionH>
                <wp:positionV relativeFrom="paragraph">
                  <wp:posOffset>31750</wp:posOffset>
                </wp:positionV>
                <wp:extent cx="4635500" cy="822960"/>
                <wp:effectExtent l="0" t="0" r="0" b="0"/>
                <wp:wrapNone/>
                <wp:docPr id="1702" name="Text Box 1702"/>
                <wp:cNvGraphicFramePr/>
                <a:graphic xmlns:a="http://schemas.openxmlformats.org/drawingml/2006/main">
                  <a:graphicData uri="http://schemas.microsoft.com/office/word/2010/wordprocessingShape">
                    <wps:wsp>
                      <wps:cNvSpPr txBox="1"/>
                      <wps:spPr>
                        <a:xfrm>
                          <a:off x="0" y="0"/>
                          <a:ext cx="4635500" cy="822960"/>
                        </a:xfrm>
                        <a:prstGeom prst="rect">
                          <a:avLst/>
                        </a:prstGeom>
                        <a:noFill/>
                        <a:ln w="6350">
                          <a:noFill/>
                        </a:ln>
                      </wps:spPr>
                      <wps:txbx>
                        <w:txbxContent>
                          <w:p w14:paraId="1933960A" w14:textId="02985B33" w:rsidR="00D15FD8" w:rsidRPr="00AC4E63" w:rsidRDefault="00D15FD8" w:rsidP="00980949">
                            <w:pPr>
                              <w:pStyle w:val="Heading1"/>
                              <w:rPr>
                                <w:rFonts w:ascii="Arial" w:hAnsi="Arial" w:cs="Arial"/>
                                <w:b/>
                                <w:bCs/>
                                <w:color w:val="FFFFFF" w:themeColor="background1"/>
                                <w:sz w:val="38"/>
                                <w:szCs w:val="38"/>
                                <w:lang w:val="en-US"/>
                              </w:rPr>
                            </w:pPr>
                            <w:bookmarkStart w:id="2387" w:name="_Further_lessons_learnt"/>
                            <w:bookmarkStart w:id="2388" w:name="_Toc123828257"/>
                            <w:bookmarkStart w:id="2389" w:name="_Toc123828467"/>
                            <w:bookmarkStart w:id="2390" w:name="_Toc123828663"/>
                            <w:bookmarkStart w:id="2391" w:name="_Toc123912690"/>
                            <w:bookmarkStart w:id="2392" w:name="_Toc123912949"/>
                            <w:bookmarkStart w:id="2393" w:name="_Toc123913176"/>
                            <w:bookmarkStart w:id="2394" w:name="_Toc123914124"/>
                            <w:bookmarkStart w:id="2395" w:name="_Toc125566740"/>
                            <w:bookmarkEnd w:id="2387"/>
                            <w:r w:rsidRPr="00AC4E63">
                              <w:rPr>
                                <w:rFonts w:ascii="Arial" w:hAnsi="Arial" w:cs="Arial"/>
                                <w:b/>
                                <w:bCs/>
                                <w:color w:val="FFFFFF" w:themeColor="background1"/>
                                <w:sz w:val="38"/>
                                <w:szCs w:val="38"/>
                                <w:lang w:val="en-US"/>
                              </w:rPr>
                              <w:t>Further lessons learnt from studies on digital tools for fiscal transparency</w:t>
                            </w:r>
                            <w:bookmarkEnd w:id="2388"/>
                            <w:bookmarkEnd w:id="2389"/>
                            <w:bookmarkEnd w:id="2390"/>
                            <w:bookmarkEnd w:id="2391"/>
                            <w:bookmarkEnd w:id="2392"/>
                            <w:bookmarkEnd w:id="2393"/>
                            <w:bookmarkEnd w:id="2394"/>
                            <w:bookmarkEnd w:id="239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34D58" id="Text Box 1702" o:spid="_x0000_s1665" type="#_x0000_t202" style="position:absolute;left:0;text-align:left;margin-left:81pt;margin-top:2.5pt;width:365pt;height:64.8pt;z-index:25452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" filled="f" stroked="f" strokeweight=".5pt">
                <v:textbox>
                  <w:txbxContent>
                    <w:p w14:paraId="1933960A" w14:textId="02985B33" w:rsidR="00D15FD8" w:rsidRPr="00AC4E63" w:rsidRDefault="00D15FD8" w:rsidP="00980949">
                      <w:pPr>
                        <w:pStyle w:val="Heading1"/>
                        <w:rPr>
                          <w:rFonts w:ascii="Arial" w:hAnsi="Arial" w:cs="Arial"/>
                          <w:b/>
                          <w:bCs/>
                          <w:color w:val="FFFFFF" w:themeColor="background1"/>
                          <w:sz w:val="38"/>
                          <w:szCs w:val="38"/>
                          <w:lang w:val="en-US"/>
                        </w:rPr>
                      </w:pPr>
                      <w:bookmarkStart w:id="2396" w:name="_Further_lessons_learnt"/>
                      <w:bookmarkStart w:id="2397" w:name="_Toc123828257"/>
                      <w:bookmarkStart w:id="2398" w:name="_Toc123828467"/>
                      <w:bookmarkStart w:id="2399" w:name="_Toc123828663"/>
                      <w:bookmarkStart w:id="2400" w:name="_Toc123912690"/>
                      <w:bookmarkStart w:id="2401" w:name="_Toc123912949"/>
                      <w:bookmarkStart w:id="2402" w:name="_Toc123913176"/>
                      <w:bookmarkStart w:id="2403" w:name="_Toc123914124"/>
                      <w:bookmarkStart w:id="2404" w:name="_Toc125566740"/>
                      <w:bookmarkEnd w:id="2396"/>
                      <w:r w:rsidRPr="00AC4E63">
                        <w:rPr>
                          <w:rFonts w:ascii="Arial" w:hAnsi="Arial" w:cs="Arial"/>
                          <w:b/>
                          <w:bCs/>
                          <w:color w:val="FFFFFF" w:themeColor="background1"/>
                          <w:sz w:val="38"/>
                          <w:szCs w:val="38"/>
                          <w:lang w:val="en-US"/>
                        </w:rPr>
                        <w:t>Further lessons learnt from studies on digital tools for fiscal transparency</w:t>
                      </w:r>
                      <w:bookmarkEnd w:id="2397"/>
                      <w:bookmarkEnd w:id="2398"/>
                      <w:bookmarkEnd w:id="2399"/>
                      <w:bookmarkEnd w:id="2400"/>
                      <w:bookmarkEnd w:id="2401"/>
                      <w:bookmarkEnd w:id="2402"/>
                      <w:bookmarkEnd w:id="2403"/>
                      <w:bookmarkEnd w:id="2404"/>
                    </w:p>
                  </w:txbxContent>
                </v:textbox>
              </v:shape>
            </w:pict>
          </mc:Fallback>
        </mc:AlternateContent>
      </w:r>
    </w:p>
    <w:p w14:paraId="6C00B81B" w14:textId="186F0508" w:rsidR="00A245D4" w:rsidRDefault="00A245D4" w:rsidP="00A245D4">
      <w:pPr>
        <w:tabs>
          <w:tab w:val="left" w:pos="6130"/>
        </w:tabs>
        <w:rPr>
          <w:lang w:val="en-US"/>
        </w:rPr>
      </w:pPr>
    </w:p>
    <w:p w14:paraId="41E70A10" w14:textId="5779D091" w:rsidR="00980949" w:rsidRPr="00980949" w:rsidRDefault="00980949" w:rsidP="00EB2A7C">
      <w:pPr>
        <w:rPr>
          <w:lang w:val="en-US"/>
        </w:rPr>
      </w:pPr>
    </w:p>
    <w:p w14:paraId="774332D3" w14:textId="6801B4EC" w:rsidR="00980949" w:rsidRPr="00980949" w:rsidRDefault="00980949" w:rsidP="00EB2A7C">
      <w:pPr>
        <w:rPr>
          <w:lang w:val="en-US"/>
        </w:rPr>
      </w:pPr>
    </w:p>
    <w:p w14:paraId="2486ADB5" w14:textId="46A8D8EA" w:rsidR="00980949" w:rsidRPr="00980949" w:rsidRDefault="00980949" w:rsidP="00EB2A7C">
      <w:pPr>
        <w:rPr>
          <w:lang w:val="en-US"/>
        </w:rPr>
      </w:pPr>
    </w:p>
    <w:p w14:paraId="6C5F2ED9" w14:textId="06253160" w:rsidR="00980949" w:rsidRPr="00980949" w:rsidRDefault="00980949" w:rsidP="00EB2A7C">
      <w:pPr>
        <w:rPr>
          <w:lang w:val="en-US"/>
        </w:rPr>
      </w:pPr>
    </w:p>
    <w:p w14:paraId="57047369" w14:textId="32F00FE1" w:rsidR="00980949" w:rsidRPr="00EB2A7C" w:rsidRDefault="00980949" w:rsidP="00980949">
      <w:pPr>
        <w:tabs>
          <w:tab w:val="left" w:pos="905"/>
        </w:tabs>
        <w:rPr>
          <w:rFonts w:ascii="Arial" w:hAnsi="Arial" w:cs="Arial"/>
          <w:sz w:val="24"/>
          <w:szCs w:val="24"/>
          <w:lang w:val="en-US"/>
        </w:rPr>
      </w:pPr>
    </w:p>
    <w:p w14:paraId="06387DEB" w14:textId="3E9DFC8F" w:rsidR="00E12B22" w:rsidRPr="00EB2A7C" w:rsidRDefault="00AC4E63" w:rsidP="00EB2A7C">
      <w:pPr>
        <w:spacing w:line="276" w:lineRule="auto"/>
        <w:contextualSpacing/>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531582" behindDoc="0" locked="0" layoutInCell="1" allowOverlap="1" wp14:anchorId="2DBFE5EB" wp14:editId="0C316A2D">
            <wp:simplePos x="0" y="0"/>
            <wp:positionH relativeFrom="column">
              <wp:posOffset>-88900</wp:posOffset>
            </wp:positionH>
            <wp:positionV relativeFrom="paragraph">
              <wp:posOffset>59690</wp:posOffset>
            </wp:positionV>
            <wp:extent cx="1551305" cy="2476500"/>
            <wp:effectExtent l="0" t="0" r="0" b="0"/>
            <wp:wrapSquare wrapText="bothSides"/>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Picture 1704"/>
                    <pic:cNvPicPr/>
                  </pic:nvPicPr>
                  <pic:blipFill rotWithShape="1">
                    <a:blip r:embed="rId967" cstate="screen">
                      <a:extLst>
                        <a:ext uri="{28A0092B-C50C-407E-A947-70E740481C1C}">
                          <a14:useLocalDpi xmlns:a14="http://schemas.microsoft.com/office/drawing/2010/main"/>
                        </a:ext>
                      </a:extLst>
                    </a:blip>
                    <a:srcRect/>
                    <a:stretch/>
                  </pic:blipFill>
                  <pic:spPr bwMode="auto">
                    <a:xfrm>
                      <a:off x="0" y="0"/>
                      <a:ext cx="1551305"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B22" w:rsidRPr="00EB2A7C">
        <w:rPr>
          <w:rFonts w:ascii="Arial" w:hAnsi="Arial" w:cs="Arial"/>
          <w:sz w:val="24"/>
          <w:szCs w:val="24"/>
        </w:rPr>
        <w:t xml:space="preserve">There have been encouraging developments and successes owing to open data. There are however also challenges that need to be overcome if the public is to reap the full benefits of open data. The integrity of underlying systems leading to the reliability of data is very important for open data availability. The success of open government data projects also relies heavily on will (political commitment), capacity including skills development, technology platforms, and resources, and critically on how users are brought in at all of stages of development and implementation; thereby assisting in creating products that respond to user needs, increasing their usability and consequently the demand for information. </w:t>
      </w:r>
      <w:r w:rsidR="00E12B22" w:rsidRPr="00EB2A7C">
        <w:rPr>
          <w:rFonts w:ascii="Arial" w:hAnsi="Arial" w:cs="Arial"/>
          <w:sz w:val="24"/>
          <w:szCs w:val="24"/>
          <w:lang w:val="en-ZA"/>
        </w:rPr>
        <w:t>There have been studies done that shed light and provide lessons on the use of financial systems, digital tools, and open data for fiscal transparency. Some of these are briefly examined below</w:t>
      </w:r>
      <w:bookmarkStart w:id="2405" w:name="_Toc57832271"/>
      <w:r w:rsidR="00E12B22" w:rsidRPr="00EB2A7C">
        <w:rPr>
          <w:rFonts w:ascii="Arial" w:hAnsi="Arial" w:cs="Arial"/>
          <w:b/>
          <w:sz w:val="24"/>
          <w:szCs w:val="24"/>
          <w:vertAlign w:val="superscript"/>
        </w:rPr>
        <w:footnoteReference w:id="77"/>
      </w:r>
      <w:bookmarkEnd w:id="2405"/>
      <w:r w:rsidR="00E12B22" w:rsidRPr="00EB2A7C">
        <w:rPr>
          <w:rFonts w:ascii="Arial" w:hAnsi="Arial" w:cs="Arial"/>
          <w:sz w:val="24"/>
          <w:szCs w:val="24"/>
          <w:lang w:val="en-ZA"/>
        </w:rPr>
        <w:t>.</w:t>
      </w:r>
    </w:p>
    <w:p w14:paraId="4043642E" w14:textId="3F25CD84" w:rsidR="00E12B22" w:rsidRPr="00EB2A7C" w:rsidRDefault="00890E21" w:rsidP="00EB2A7C">
      <w:pPr>
        <w:spacing w:line="276" w:lineRule="auto"/>
        <w:contextualSpacing/>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532606" behindDoc="0" locked="0" layoutInCell="1" allowOverlap="1" wp14:anchorId="3A1A1079" wp14:editId="1E9AFE55">
            <wp:simplePos x="0" y="0"/>
            <wp:positionH relativeFrom="column">
              <wp:posOffset>-363</wp:posOffset>
            </wp:positionH>
            <wp:positionV relativeFrom="paragraph">
              <wp:posOffset>198755</wp:posOffset>
            </wp:positionV>
            <wp:extent cx="1462405" cy="2076450"/>
            <wp:effectExtent l="25400" t="25400" r="86995" b="95250"/>
            <wp:wrapSquare wrapText="bothSides"/>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Picture 1705"/>
                    <pic:cNvPicPr/>
                  </pic:nvPicPr>
                  <pic:blipFill>
                    <a:blip r:embed="rId968" cstate="email">
                      <a:extLst>
                        <a:ext uri="{28A0092B-C50C-407E-A947-70E740481C1C}">
                          <a14:useLocalDpi xmlns:a14="http://schemas.microsoft.com/office/drawing/2010/main"/>
                        </a:ext>
                      </a:extLst>
                    </a:blip>
                    <a:stretch>
                      <a:fillRect/>
                    </a:stretch>
                  </pic:blipFill>
                  <pic:spPr>
                    <a:xfrm>
                      <a:off x="0" y="0"/>
                      <a:ext cx="1462405" cy="207645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467214F" w14:textId="1AC25314" w:rsidR="00E12B22" w:rsidRPr="00EB2A7C" w:rsidRDefault="00E12B22" w:rsidP="00EB2A7C">
      <w:pPr>
        <w:spacing w:line="276" w:lineRule="auto"/>
        <w:contextualSpacing/>
        <w:jc w:val="both"/>
        <w:rPr>
          <w:rFonts w:ascii="Arial" w:hAnsi="Arial" w:cs="Arial"/>
          <w:sz w:val="24"/>
          <w:szCs w:val="24"/>
        </w:rPr>
      </w:pPr>
      <w:r w:rsidRPr="00EB2A7C">
        <w:rPr>
          <w:rFonts w:ascii="Arial" w:hAnsi="Arial" w:cs="Arial"/>
          <w:sz w:val="24"/>
          <w:szCs w:val="24"/>
        </w:rPr>
        <w:t xml:space="preserve">In </w:t>
      </w:r>
      <w:hyperlink r:id="rId969" w:history="1">
        <w:r w:rsidRPr="00EB2A7C">
          <w:rPr>
            <w:rFonts w:ascii="Arial" w:hAnsi="Arial" w:cs="Arial"/>
            <w:color w:val="0563C1" w:themeColor="hyperlink"/>
            <w:sz w:val="24"/>
            <w:szCs w:val="24"/>
            <w:u w:val="single"/>
          </w:rPr>
          <w:t>The Road to Budget Transparency: Learning from Country Experience</w:t>
        </w:r>
      </w:hyperlink>
      <w:r w:rsidRPr="00EB2A7C">
        <w:rPr>
          <w:rStyle w:val="FootnoteReference"/>
          <w:rFonts w:ascii="Arial" w:hAnsi="Arial" w:cs="Arial"/>
          <w:color w:val="0563C1" w:themeColor="hyperlink"/>
          <w:sz w:val="24"/>
          <w:szCs w:val="24"/>
          <w:u w:val="single"/>
        </w:rPr>
        <w:footnoteReference w:id="78"/>
      </w:r>
      <w:r w:rsidRPr="00EB2A7C">
        <w:rPr>
          <w:rFonts w:ascii="Arial" w:hAnsi="Arial" w:cs="Arial"/>
          <w:sz w:val="24"/>
          <w:szCs w:val="24"/>
        </w:rPr>
        <w:t xml:space="preserve"> (2017), the authors indicate that technical public financial management reforms, including FMIS systems and fiscal transparency portals, are important enablers and sometimes necessary preconditions for improved budget transparency. This is because they help build the systems, processes, and capacities within government to produce and publish budget information in routine, consistent, and accurate ways. These reforms normally enhance the comprehensiveness of existing documents. They can also enable governments to publish documents for the first time. While successfully implemented reforms usually enable transparency, to become effective in doing so, they often require a deliberate decision by government to publish the new or better information that becomes available internally, a legal requirement, or the incorporation of transparency considerations in reform plans from the start. In case study countries, governments that emphasized the potential transparency gains of public financial management reforms or that implemented reforms that specifically targeted transparency improvements, such as setting up budget portals, were more successful in achieving sufficient levels of transparency. They found that in three countries that moved beyond an OBI score of 60 (Mexico, the Philippines, and Uganda), a significant reform since 2010 has been the introduction of open budget portals, that provide the public with online access to budget information, in more or less real time, and in open formats. While these portals depend on effective FMIS and consistent budget </w:t>
      </w:r>
      <w:r w:rsidRPr="00EB2A7C">
        <w:rPr>
          <w:rFonts w:ascii="Arial" w:hAnsi="Arial" w:cs="Arial"/>
          <w:sz w:val="24"/>
          <w:szCs w:val="24"/>
        </w:rPr>
        <w:lastRenderedPageBreak/>
        <w:t xml:space="preserve">classifications, they are important public financial management reforms in their own right and directly contribute to improved transparency. </w:t>
      </w:r>
    </w:p>
    <w:p w14:paraId="286D7BCB" w14:textId="2BF9EEDF" w:rsidR="00980949" w:rsidRPr="00890E21" w:rsidRDefault="00D443A7" w:rsidP="00890E21">
      <w:pPr>
        <w:tabs>
          <w:tab w:val="left" w:pos="905"/>
        </w:tabs>
        <w:spacing w:line="276" w:lineRule="auto"/>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533630" behindDoc="0" locked="0" layoutInCell="1" allowOverlap="1" wp14:anchorId="6E82270A" wp14:editId="441E9C21">
            <wp:simplePos x="0" y="0"/>
            <wp:positionH relativeFrom="margin">
              <wp:posOffset>1671955</wp:posOffset>
            </wp:positionH>
            <wp:positionV relativeFrom="paragraph">
              <wp:posOffset>94252</wp:posOffset>
            </wp:positionV>
            <wp:extent cx="3302635" cy="1619250"/>
            <wp:effectExtent l="0" t="0" r="0" b="0"/>
            <wp:wrapSquare wrapText="bothSides"/>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Picture 1706"/>
                    <pic:cNvPicPr/>
                  </pic:nvPicPr>
                  <pic:blipFill rotWithShape="1">
                    <a:blip r:embed="rId970" cstate="email">
                      <a:extLst>
                        <a:ext uri="{28A0092B-C50C-407E-A947-70E740481C1C}">
                          <a14:useLocalDpi xmlns:a14="http://schemas.microsoft.com/office/drawing/2010/main"/>
                        </a:ext>
                      </a:extLst>
                    </a:blip>
                    <a:srcRect/>
                    <a:stretch/>
                  </pic:blipFill>
                  <pic:spPr bwMode="auto">
                    <a:xfrm>
                      <a:off x="0" y="0"/>
                      <a:ext cx="330263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2BCCE5" w14:textId="77777777" w:rsidR="00D443A7" w:rsidRDefault="00D443A7" w:rsidP="00890E21">
      <w:pPr>
        <w:spacing w:line="276" w:lineRule="auto"/>
        <w:contextualSpacing/>
        <w:jc w:val="both"/>
        <w:rPr>
          <w:rFonts w:ascii="Arial" w:hAnsi="Arial" w:cs="Arial"/>
          <w:sz w:val="24"/>
          <w:szCs w:val="24"/>
        </w:rPr>
      </w:pPr>
    </w:p>
    <w:p w14:paraId="355AF95B" w14:textId="77777777" w:rsidR="00D443A7" w:rsidRDefault="00D443A7" w:rsidP="00890E21">
      <w:pPr>
        <w:spacing w:line="276" w:lineRule="auto"/>
        <w:contextualSpacing/>
        <w:jc w:val="both"/>
        <w:rPr>
          <w:rFonts w:ascii="Arial" w:hAnsi="Arial" w:cs="Arial"/>
          <w:sz w:val="24"/>
          <w:szCs w:val="24"/>
        </w:rPr>
      </w:pPr>
    </w:p>
    <w:p w14:paraId="36F77C0C" w14:textId="77777777" w:rsidR="00D443A7" w:rsidRDefault="00D443A7" w:rsidP="00890E21">
      <w:pPr>
        <w:spacing w:line="276" w:lineRule="auto"/>
        <w:contextualSpacing/>
        <w:jc w:val="both"/>
        <w:rPr>
          <w:rFonts w:ascii="Arial" w:hAnsi="Arial" w:cs="Arial"/>
          <w:sz w:val="24"/>
          <w:szCs w:val="24"/>
        </w:rPr>
      </w:pPr>
    </w:p>
    <w:p w14:paraId="7DE46BD6" w14:textId="77777777" w:rsidR="00D443A7" w:rsidRDefault="00D443A7" w:rsidP="00890E21">
      <w:pPr>
        <w:spacing w:line="276" w:lineRule="auto"/>
        <w:contextualSpacing/>
        <w:jc w:val="both"/>
        <w:rPr>
          <w:rFonts w:ascii="Arial" w:hAnsi="Arial" w:cs="Arial"/>
          <w:sz w:val="24"/>
          <w:szCs w:val="24"/>
        </w:rPr>
      </w:pPr>
    </w:p>
    <w:p w14:paraId="79735C6B" w14:textId="77777777" w:rsidR="00D443A7" w:rsidRDefault="00D443A7" w:rsidP="00890E21">
      <w:pPr>
        <w:spacing w:line="276" w:lineRule="auto"/>
        <w:contextualSpacing/>
        <w:jc w:val="both"/>
        <w:rPr>
          <w:rFonts w:ascii="Arial" w:hAnsi="Arial" w:cs="Arial"/>
          <w:sz w:val="24"/>
          <w:szCs w:val="24"/>
        </w:rPr>
      </w:pPr>
    </w:p>
    <w:p w14:paraId="184EB1C0" w14:textId="77777777" w:rsidR="00D443A7" w:rsidRDefault="00D443A7" w:rsidP="00890E21">
      <w:pPr>
        <w:spacing w:line="276" w:lineRule="auto"/>
        <w:contextualSpacing/>
        <w:jc w:val="both"/>
        <w:rPr>
          <w:rFonts w:ascii="Arial" w:hAnsi="Arial" w:cs="Arial"/>
          <w:sz w:val="24"/>
          <w:szCs w:val="24"/>
        </w:rPr>
      </w:pPr>
    </w:p>
    <w:p w14:paraId="69B880D6" w14:textId="77777777" w:rsidR="00D443A7" w:rsidRDefault="00D443A7" w:rsidP="00890E21">
      <w:pPr>
        <w:spacing w:line="276" w:lineRule="auto"/>
        <w:contextualSpacing/>
        <w:jc w:val="both"/>
        <w:rPr>
          <w:rFonts w:ascii="Arial" w:hAnsi="Arial" w:cs="Arial"/>
          <w:sz w:val="24"/>
          <w:szCs w:val="24"/>
        </w:rPr>
      </w:pPr>
    </w:p>
    <w:p w14:paraId="4C413225" w14:textId="77777777" w:rsidR="00D443A7" w:rsidRDefault="00D443A7" w:rsidP="00890E21">
      <w:pPr>
        <w:spacing w:line="276" w:lineRule="auto"/>
        <w:contextualSpacing/>
        <w:jc w:val="both"/>
        <w:rPr>
          <w:rFonts w:ascii="Arial" w:hAnsi="Arial" w:cs="Arial"/>
          <w:sz w:val="24"/>
          <w:szCs w:val="24"/>
        </w:rPr>
      </w:pPr>
    </w:p>
    <w:p w14:paraId="3738C3A1" w14:textId="520776FB" w:rsidR="00890E21" w:rsidRDefault="00890E21" w:rsidP="00890E21">
      <w:pPr>
        <w:spacing w:line="276" w:lineRule="auto"/>
        <w:contextualSpacing/>
        <w:jc w:val="both"/>
        <w:rPr>
          <w:rFonts w:ascii="Arial" w:hAnsi="Arial" w:cs="Arial"/>
          <w:sz w:val="24"/>
          <w:szCs w:val="24"/>
        </w:rPr>
      </w:pPr>
      <w:r w:rsidRPr="00EB2A7C">
        <w:rPr>
          <w:rFonts w:ascii="Arial" w:hAnsi="Arial" w:cs="Arial"/>
          <w:sz w:val="24"/>
          <w:szCs w:val="24"/>
        </w:rPr>
        <w:t xml:space="preserve">In </w:t>
      </w:r>
      <w:hyperlink r:id="rId971" w:history="1">
        <w:r w:rsidRPr="00EB2A7C">
          <w:rPr>
            <w:rFonts w:ascii="Arial" w:hAnsi="Arial" w:cs="Arial"/>
            <w:color w:val="0563C1" w:themeColor="hyperlink"/>
            <w:sz w:val="24"/>
            <w:szCs w:val="24"/>
            <w:u w:val="single"/>
          </w:rPr>
          <w:t>Digital Budgets: How are Governments Disclosing Fiscal Information Online?</w:t>
        </w:r>
      </w:hyperlink>
      <w:r w:rsidRPr="00EB2A7C">
        <w:rPr>
          <w:rStyle w:val="FootnoteReference"/>
          <w:rFonts w:ascii="Arial" w:hAnsi="Arial" w:cs="Arial"/>
          <w:color w:val="0563C1" w:themeColor="hyperlink"/>
          <w:sz w:val="24"/>
          <w:szCs w:val="24"/>
          <w:u w:val="single"/>
        </w:rPr>
        <w:footnoteReference w:id="79"/>
      </w:r>
      <w:r w:rsidRPr="00EB2A7C">
        <w:rPr>
          <w:rFonts w:ascii="Arial" w:hAnsi="Arial" w:cs="Arial"/>
          <w:sz w:val="24"/>
          <w:szCs w:val="24"/>
        </w:rPr>
        <w:t xml:space="preserve"> (2016), the authors</w:t>
      </w:r>
      <w:r w:rsidRPr="00EB2A7C">
        <w:rPr>
          <w:rFonts w:ascii="Arial" w:hAnsi="Arial" w:cs="Arial"/>
          <w:sz w:val="24"/>
          <w:szCs w:val="24"/>
          <w:lang w:val="en-ZA"/>
        </w:rPr>
        <w:t xml:space="preserve"> </w:t>
      </w:r>
      <w:r w:rsidRPr="00EB2A7C">
        <w:rPr>
          <w:rFonts w:ascii="Arial" w:hAnsi="Arial" w:cs="Arial"/>
          <w:sz w:val="24"/>
          <w:szCs w:val="24"/>
        </w:rPr>
        <w:t>reviewed the practices of 80 governments in disclosing fiscal information online. They developed a methodology based on four dimensions (scope, accessibility, reliability and feedback) to assess websites and portals through which governments publish budget-related information and data, and identified emerging good practices. The findings show that a diverse set of countries (including many middle-income countries) are increasingly employing innovative ways of disseminating budget information online. Many of the examples of good practice identified come from budget portals, which provide access to a broad range of fiscal data in user-friendly formats. While relatively new, portals have great potential to improve both the accessibility and the usability of budget data, with the findings clearly showing that countries that have invested in dedicated portals perform better across the four dimensions. For this reason, they encourage all countries to establish a dedicated portal for disseminating budget information. More specific recommendations depend on the existing online disclosure practices of each country, those that have:</w:t>
      </w:r>
    </w:p>
    <w:p w14:paraId="036C4EA8" w14:textId="6E051203" w:rsidR="00D443A7" w:rsidRDefault="00AE13DB" w:rsidP="00890E21">
      <w:pPr>
        <w:spacing w:line="276" w:lineRule="auto"/>
        <w:contextualSpacing/>
        <w:jc w:val="both"/>
        <w:rPr>
          <w:rFonts w:ascii="Arial" w:hAnsi="Arial" w:cs="Arial"/>
          <w:sz w:val="24"/>
          <w:szCs w:val="24"/>
        </w:rPr>
      </w:pPr>
      <w:r>
        <w:rPr>
          <w:noProof/>
          <w:lang w:val="en-US"/>
        </w:rPr>
        <w:drawing>
          <wp:anchor distT="0" distB="0" distL="114300" distR="114300" simplePos="0" relativeHeight="254537726" behindDoc="1" locked="0" layoutInCell="1" allowOverlap="1" wp14:anchorId="6C6EFB49" wp14:editId="4D8E0C2B">
            <wp:simplePos x="0" y="0"/>
            <wp:positionH relativeFrom="margin">
              <wp:posOffset>3059158</wp:posOffset>
            </wp:positionH>
            <wp:positionV relativeFrom="paragraph">
              <wp:posOffset>120015</wp:posOffset>
            </wp:positionV>
            <wp:extent cx="528955" cy="520700"/>
            <wp:effectExtent l="0" t="0" r="4445" b="0"/>
            <wp:wrapTight wrapText="bothSides">
              <wp:wrapPolygon edited="0">
                <wp:start x="18670" y="527"/>
                <wp:lineTo x="7779" y="1580"/>
                <wp:lineTo x="0" y="5268"/>
                <wp:lineTo x="0" y="13698"/>
                <wp:lineTo x="1556" y="18439"/>
                <wp:lineTo x="6223" y="21073"/>
                <wp:lineTo x="12447" y="21073"/>
                <wp:lineTo x="16077" y="18439"/>
                <wp:lineTo x="19188" y="11590"/>
                <wp:lineTo x="18670" y="10010"/>
                <wp:lineTo x="21263" y="4215"/>
                <wp:lineTo x="21263" y="527"/>
                <wp:lineTo x="18670" y="527"/>
              </wp:wrapPolygon>
            </wp:wrapTight>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BA2D9" w14:textId="78CC72AC" w:rsidR="00D443A7" w:rsidRDefault="00D443A7" w:rsidP="00890E21">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36702" behindDoc="0" locked="0" layoutInCell="1" allowOverlap="1" wp14:anchorId="4CB7195A" wp14:editId="0860AC1E">
                <wp:simplePos x="0" y="0"/>
                <wp:positionH relativeFrom="margin">
                  <wp:posOffset>117203</wp:posOffset>
                </wp:positionH>
                <wp:positionV relativeFrom="paragraph">
                  <wp:posOffset>85725</wp:posOffset>
                </wp:positionV>
                <wp:extent cx="6426200" cy="1502954"/>
                <wp:effectExtent l="0" t="0" r="0" b="0"/>
                <wp:wrapNone/>
                <wp:docPr id="1708" name="Rounded Rectangle 1708"/>
                <wp:cNvGraphicFramePr/>
                <a:graphic xmlns:a="http://schemas.openxmlformats.org/drawingml/2006/main">
                  <a:graphicData uri="http://schemas.microsoft.com/office/word/2010/wordprocessingShape">
                    <wps:wsp>
                      <wps:cNvSpPr/>
                      <wps:spPr>
                        <a:xfrm>
                          <a:off x="0" y="0"/>
                          <a:ext cx="6426200" cy="1502954"/>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6A33B6" w14:textId="77777777" w:rsidR="00D15FD8" w:rsidRPr="00BD6508" w:rsidRDefault="00D15FD8" w:rsidP="00D443A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CB7195A" id="Rounded Rectangle 1708" o:spid="_x0000_s1666" style="position:absolute;left:0;text-align:left;margin-left:9.25pt;margin-top:6.75pt;width:506pt;height:118.35pt;z-index:25453670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" fillcolor="#e2efd9 [665]" stroked="f" strokeweight="1pt">
                <v:stroke joinstyle="miter"/>
                <v:textbox>
                  <w:txbxContent>
                    <w:p w14:paraId="576A33B6" w14:textId="77777777" w:rsidR="00D15FD8" w:rsidRPr="00BD6508" w:rsidRDefault="00D15FD8" w:rsidP="00D443A7">
                      <w:pPr>
                        <w:jc w:val="center"/>
                        <w:rPr>
                          <w:lang w:val="en-US"/>
                        </w:rPr>
                      </w:pPr>
                    </w:p>
                  </w:txbxContent>
                </v:textbox>
                <w10:wrap anchorx="margin"/>
              </v:roundrect>
            </w:pict>
          </mc:Fallback>
        </mc:AlternateContent>
      </w:r>
    </w:p>
    <w:p w14:paraId="345BBDA5" w14:textId="45D070B4" w:rsidR="00D443A7" w:rsidRDefault="00AE13DB" w:rsidP="00890E21">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35678" behindDoc="0" locked="0" layoutInCell="1" allowOverlap="1" wp14:anchorId="50B15C17" wp14:editId="0864C013">
                <wp:simplePos x="0" y="0"/>
                <wp:positionH relativeFrom="margin">
                  <wp:posOffset>234043</wp:posOffset>
                </wp:positionH>
                <wp:positionV relativeFrom="paragraph">
                  <wp:posOffset>13970</wp:posOffset>
                </wp:positionV>
                <wp:extent cx="6426200" cy="1502954"/>
                <wp:effectExtent l="12700" t="12700" r="12700" b="8890"/>
                <wp:wrapNone/>
                <wp:docPr id="1707" name="Rounded Rectangle 1707"/>
                <wp:cNvGraphicFramePr/>
                <a:graphic xmlns:a="http://schemas.openxmlformats.org/drawingml/2006/main">
                  <a:graphicData uri="http://schemas.microsoft.com/office/word/2010/wordprocessingShape">
                    <wps:wsp>
                      <wps:cNvSpPr/>
                      <wps:spPr>
                        <a:xfrm>
                          <a:off x="0" y="0"/>
                          <a:ext cx="6426200" cy="1502954"/>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0BBD7" w14:textId="77777777" w:rsidR="00D15FD8" w:rsidRPr="00BD6508" w:rsidRDefault="00D15FD8" w:rsidP="00D443A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B15C17" id="Rounded Rectangle 1707" o:spid="_x0000_s1667" style="position:absolute;left:0;text-align:left;margin-left:18.45pt;margin-top:1.1pt;width:506pt;height:118.35pt;z-index:25453567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" filled="f" strokecolor="#16988a" strokeweight="1.5pt">
                <v:stroke joinstyle="miter"/>
                <v:textbox>
                  <w:txbxContent>
                    <w:p w14:paraId="13D0BBD7" w14:textId="77777777" w:rsidR="00D15FD8" w:rsidRPr="00BD6508" w:rsidRDefault="00D15FD8" w:rsidP="00D443A7">
                      <w:pPr>
                        <w:jc w:val="center"/>
                        <w:rPr>
                          <w:lang w:val="en-US"/>
                        </w:rPr>
                      </w:pPr>
                    </w:p>
                  </w:txbxContent>
                </v:textbox>
                <w10:wrap anchorx="margin"/>
              </v:roundrect>
            </w:pict>
          </mc:Fallback>
        </mc:AlternateContent>
      </w:r>
    </w:p>
    <w:p w14:paraId="622CE232" w14:textId="7343B6E3" w:rsidR="00D443A7" w:rsidRDefault="00D443A7" w:rsidP="00890E21">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38750" behindDoc="0" locked="0" layoutInCell="1" allowOverlap="1" wp14:anchorId="543278E4" wp14:editId="70A4A995">
                <wp:simplePos x="0" y="0"/>
                <wp:positionH relativeFrom="column">
                  <wp:posOffset>256268</wp:posOffset>
                </wp:positionH>
                <wp:positionV relativeFrom="paragraph">
                  <wp:posOffset>43180</wp:posOffset>
                </wp:positionV>
                <wp:extent cx="6121400" cy="1117600"/>
                <wp:effectExtent l="0" t="0" r="0" b="0"/>
                <wp:wrapNone/>
                <wp:docPr id="1709" name="Text Box 1709"/>
                <wp:cNvGraphicFramePr/>
                <a:graphic xmlns:a="http://schemas.openxmlformats.org/drawingml/2006/main">
                  <a:graphicData uri="http://schemas.microsoft.com/office/word/2010/wordprocessingShape">
                    <wps:wsp>
                      <wps:cNvSpPr txBox="1"/>
                      <wps:spPr>
                        <a:xfrm>
                          <a:off x="0" y="0"/>
                          <a:ext cx="6121400" cy="1117600"/>
                        </a:xfrm>
                        <a:prstGeom prst="rect">
                          <a:avLst/>
                        </a:prstGeom>
                        <a:noFill/>
                        <a:ln w="6350">
                          <a:noFill/>
                        </a:ln>
                      </wps:spPr>
                      <wps:txbx>
                        <w:txbxContent>
                          <w:p w14:paraId="0379416A" w14:textId="0EF74CBF" w:rsidR="00D15FD8" w:rsidRDefault="00D15FD8" w:rsidP="00D443A7">
                            <w:pPr>
                              <w:spacing w:line="276" w:lineRule="auto"/>
                              <w:jc w:val="both"/>
                            </w:pPr>
                            <w:r w:rsidRPr="00D443A7">
                              <w:rPr>
                                <w:rFonts w:ascii="Arial" w:hAnsi="Arial" w:cs="Arial"/>
                                <w:sz w:val="24"/>
                                <w:szCs w:val="24"/>
                              </w:rPr>
                              <w:t xml:space="preserve">high scores on scope of information, that already publish exhaustive and comprehensive information but have lower than average accountability and reliability scores, should focus on accessibility first, reliability later. This means creating and publishing better guidance documents to make sense of the information online as well as ensuring existing datasets are tagged, described, and downloadable without restrictions.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278E4" id="Text Box 1709" o:spid="_x0000_s1668" type="#_x0000_t202" style="position:absolute;left:0;text-align:left;margin-left:20.2pt;margin-top:3.4pt;width:482pt;height:88pt;z-index:254538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" filled="f" stroked="f" strokeweight=".5pt">
                <v:textbox>
                  <w:txbxContent>
                    <w:p w14:paraId="0379416A" w14:textId="0EF74CBF" w:rsidR="00D15FD8" w:rsidRDefault="00D15FD8" w:rsidP="00D443A7">
                      <w:pPr>
                        <w:spacing w:line="276" w:lineRule="auto"/>
                        <w:jc w:val="both"/>
                      </w:pPr>
                      <w:r w:rsidRPr="00D443A7">
                        <w:rPr>
                          <w:rFonts w:ascii="Arial" w:hAnsi="Arial" w:cs="Arial"/>
                          <w:sz w:val="24"/>
                          <w:szCs w:val="24"/>
                        </w:rPr>
                        <w:t xml:space="preserve">high scores on scope of information, that already publish exhaustive and comprehensive information but have lower than average accountability and reliability scores, should focus on accessibility first, reliability later. This means creating and publishing better guidance documents to make sense of the information online as well as ensuring existing datasets are tagged, described, and downloadable without restrictions.  </w:t>
                      </w:r>
                    </w:p>
                  </w:txbxContent>
                </v:textbox>
              </v:shape>
            </w:pict>
          </mc:Fallback>
        </mc:AlternateContent>
      </w:r>
    </w:p>
    <w:p w14:paraId="4EF9C69E" w14:textId="75E0C5B5" w:rsidR="00D443A7" w:rsidRDefault="00D443A7" w:rsidP="00890E21">
      <w:pPr>
        <w:spacing w:line="276" w:lineRule="auto"/>
        <w:contextualSpacing/>
        <w:jc w:val="both"/>
        <w:rPr>
          <w:rFonts w:ascii="Arial" w:hAnsi="Arial" w:cs="Arial"/>
          <w:sz w:val="24"/>
          <w:szCs w:val="24"/>
        </w:rPr>
      </w:pPr>
    </w:p>
    <w:p w14:paraId="4B0DA977" w14:textId="4CAF1E07" w:rsidR="00D443A7" w:rsidRDefault="00D443A7" w:rsidP="00890E21">
      <w:pPr>
        <w:spacing w:line="276" w:lineRule="auto"/>
        <w:contextualSpacing/>
        <w:jc w:val="both"/>
        <w:rPr>
          <w:rFonts w:ascii="Arial" w:hAnsi="Arial" w:cs="Arial"/>
          <w:sz w:val="24"/>
          <w:szCs w:val="24"/>
        </w:rPr>
      </w:pPr>
    </w:p>
    <w:p w14:paraId="1B85E10B" w14:textId="1B92FECC" w:rsidR="00D443A7" w:rsidRDefault="00D443A7" w:rsidP="00890E21">
      <w:pPr>
        <w:spacing w:line="276" w:lineRule="auto"/>
        <w:contextualSpacing/>
        <w:jc w:val="both"/>
        <w:rPr>
          <w:rFonts w:ascii="Arial" w:hAnsi="Arial" w:cs="Arial"/>
          <w:sz w:val="24"/>
          <w:szCs w:val="24"/>
        </w:rPr>
      </w:pPr>
    </w:p>
    <w:p w14:paraId="664C8905" w14:textId="2DFC7847" w:rsidR="00D443A7" w:rsidRDefault="00D443A7" w:rsidP="00890E21">
      <w:pPr>
        <w:spacing w:line="276" w:lineRule="auto"/>
        <w:contextualSpacing/>
        <w:jc w:val="both"/>
        <w:rPr>
          <w:rFonts w:ascii="Arial" w:hAnsi="Arial" w:cs="Arial"/>
          <w:sz w:val="24"/>
          <w:szCs w:val="24"/>
        </w:rPr>
      </w:pPr>
    </w:p>
    <w:p w14:paraId="5D1D7D38" w14:textId="10FC78F8" w:rsidR="00D443A7" w:rsidRDefault="00D443A7" w:rsidP="00890E21">
      <w:pPr>
        <w:spacing w:line="276" w:lineRule="auto"/>
        <w:contextualSpacing/>
        <w:jc w:val="both"/>
        <w:rPr>
          <w:rFonts w:ascii="Arial" w:hAnsi="Arial" w:cs="Arial"/>
          <w:sz w:val="24"/>
          <w:szCs w:val="24"/>
        </w:rPr>
      </w:pPr>
    </w:p>
    <w:p w14:paraId="41213D33" w14:textId="0FB024CC" w:rsidR="00D443A7" w:rsidRDefault="00AE13DB" w:rsidP="00890E21">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40798" behindDoc="0" locked="0" layoutInCell="1" allowOverlap="1" wp14:anchorId="50E90680" wp14:editId="28F64FB5">
                <wp:simplePos x="0" y="0"/>
                <wp:positionH relativeFrom="margin">
                  <wp:posOffset>233680</wp:posOffset>
                </wp:positionH>
                <wp:positionV relativeFrom="paragraph">
                  <wp:posOffset>469265</wp:posOffset>
                </wp:positionV>
                <wp:extent cx="6426200" cy="1344930"/>
                <wp:effectExtent l="12700" t="12700" r="12700" b="13970"/>
                <wp:wrapNone/>
                <wp:docPr id="2227" name="Rounded Rectangle 2227"/>
                <wp:cNvGraphicFramePr/>
                <a:graphic xmlns:a="http://schemas.openxmlformats.org/drawingml/2006/main">
                  <a:graphicData uri="http://schemas.microsoft.com/office/word/2010/wordprocessingShape">
                    <wps:wsp>
                      <wps:cNvSpPr/>
                      <wps:spPr>
                        <a:xfrm>
                          <a:off x="0" y="0"/>
                          <a:ext cx="6426200" cy="134493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CD8CD" w14:textId="77777777" w:rsidR="00D15FD8" w:rsidRPr="00BD6508" w:rsidRDefault="00D15FD8" w:rsidP="00AE13D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E90680" id="Rounded Rectangle 2227" o:spid="_x0000_s1669" style="position:absolute;left:0;text-align:left;margin-left:18.4pt;margin-top:36.95pt;width:506pt;height:105.9pt;z-index:25454079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" filled="f" strokecolor="#16988a" strokeweight="1.5pt">
                <v:stroke joinstyle="miter"/>
                <v:textbox>
                  <w:txbxContent>
                    <w:p w14:paraId="372CD8CD" w14:textId="77777777" w:rsidR="00D15FD8" w:rsidRPr="00BD6508" w:rsidRDefault="00D15FD8" w:rsidP="00AE13DB">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4541822" behindDoc="0" locked="0" layoutInCell="1" allowOverlap="1" wp14:anchorId="42B2095F" wp14:editId="0C5C9392">
                <wp:simplePos x="0" y="0"/>
                <wp:positionH relativeFrom="margin">
                  <wp:posOffset>116840</wp:posOffset>
                </wp:positionH>
                <wp:positionV relativeFrom="paragraph">
                  <wp:posOffset>326390</wp:posOffset>
                </wp:positionV>
                <wp:extent cx="6426200" cy="1344930"/>
                <wp:effectExtent l="0" t="0" r="0" b="1270"/>
                <wp:wrapNone/>
                <wp:docPr id="2233" name="Rounded Rectangle 2233"/>
                <wp:cNvGraphicFramePr/>
                <a:graphic xmlns:a="http://schemas.openxmlformats.org/drawingml/2006/main">
                  <a:graphicData uri="http://schemas.microsoft.com/office/word/2010/wordprocessingShape">
                    <wps:wsp>
                      <wps:cNvSpPr/>
                      <wps:spPr>
                        <a:xfrm>
                          <a:off x="0" y="0"/>
                          <a:ext cx="6426200" cy="134493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0173D8" w14:textId="77777777" w:rsidR="00D15FD8" w:rsidRPr="00BD6508" w:rsidRDefault="00D15FD8" w:rsidP="00AE13D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B2095F" id="Rounded Rectangle 2233" o:spid="_x0000_s1670" style="position:absolute;left:0;text-align:left;margin-left:9.2pt;margin-top:25.7pt;width:506pt;height:105.9pt;z-index:25454182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" fillcolor="#e2efd9 [665]" stroked="f" strokeweight="1pt">
                <v:stroke joinstyle="miter"/>
                <v:textbox>
                  <w:txbxContent>
                    <w:p w14:paraId="070173D8" w14:textId="77777777" w:rsidR="00D15FD8" w:rsidRPr="00BD6508" w:rsidRDefault="00D15FD8" w:rsidP="00AE13DB">
                      <w:pPr>
                        <w:jc w:val="center"/>
                        <w:rPr>
                          <w:lang w:val="en-US"/>
                        </w:rPr>
                      </w:pPr>
                    </w:p>
                  </w:txbxContent>
                </v:textbox>
                <w10:wrap anchorx="margin"/>
              </v:roundrect>
            </w:pict>
          </mc:Fallback>
        </mc:AlternateContent>
      </w:r>
      <w:r>
        <w:rPr>
          <w:noProof/>
          <w:lang w:val="en-US"/>
        </w:rPr>
        <w:drawing>
          <wp:anchor distT="0" distB="0" distL="114300" distR="114300" simplePos="0" relativeHeight="254542846" behindDoc="1" locked="0" layoutInCell="1" allowOverlap="1" wp14:anchorId="7D58CC3C" wp14:editId="56960016">
            <wp:simplePos x="0" y="0"/>
            <wp:positionH relativeFrom="margin">
              <wp:posOffset>3058795</wp:posOffset>
            </wp:positionH>
            <wp:positionV relativeFrom="paragraph">
              <wp:posOffset>165100</wp:posOffset>
            </wp:positionV>
            <wp:extent cx="528955" cy="520700"/>
            <wp:effectExtent l="0" t="0" r="4445" b="0"/>
            <wp:wrapTight wrapText="bothSides">
              <wp:wrapPolygon edited="0">
                <wp:start x="18670" y="527"/>
                <wp:lineTo x="7779" y="1580"/>
                <wp:lineTo x="0" y="5268"/>
                <wp:lineTo x="0" y="13698"/>
                <wp:lineTo x="1556" y="18439"/>
                <wp:lineTo x="6223" y="21073"/>
                <wp:lineTo x="12447" y="21073"/>
                <wp:lineTo x="16077" y="18439"/>
                <wp:lineTo x="19188" y="11590"/>
                <wp:lineTo x="18670" y="10010"/>
                <wp:lineTo x="21263" y="4215"/>
                <wp:lineTo x="21263" y="527"/>
                <wp:lineTo x="18670" y="527"/>
              </wp:wrapPolygon>
            </wp:wrapTight>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5A4A3B" w14:textId="18B749C1" w:rsidR="00D443A7" w:rsidRDefault="00D443A7" w:rsidP="00890E21">
      <w:pPr>
        <w:spacing w:line="276" w:lineRule="auto"/>
        <w:contextualSpacing/>
        <w:jc w:val="both"/>
        <w:rPr>
          <w:rFonts w:ascii="Arial" w:hAnsi="Arial" w:cs="Arial"/>
          <w:sz w:val="24"/>
          <w:szCs w:val="24"/>
        </w:rPr>
      </w:pPr>
    </w:p>
    <w:p w14:paraId="27F49DB7" w14:textId="2D0B223B" w:rsidR="00AE13DB" w:rsidRDefault="00AE13DB" w:rsidP="00890E21">
      <w:pPr>
        <w:spacing w:line="276" w:lineRule="auto"/>
        <w:contextualSpacing/>
        <w:jc w:val="both"/>
        <w:rPr>
          <w:rFonts w:ascii="Arial" w:hAnsi="Arial" w:cs="Arial"/>
          <w:sz w:val="24"/>
          <w:szCs w:val="24"/>
        </w:rPr>
      </w:pPr>
    </w:p>
    <w:p w14:paraId="37191AEA" w14:textId="6A55A163" w:rsidR="00AE13DB" w:rsidRDefault="00AE13DB" w:rsidP="00890E21">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43870" behindDoc="0" locked="0" layoutInCell="1" allowOverlap="1" wp14:anchorId="65094D30" wp14:editId="538E20BC">
                <wp:simplePos x="0" y="0"/>
                <wp:positionH relativeFrom="column">
                  <wp:posOffset>247015</wp:posOffset>
                </wp:positionH>
                <wp:positionV relativeFrom="paragraph">
                  <wp:posOffset>87902</wp:posOffset>
                </wp:positionV>
                <wp:extent cx="6121400" cy="914400"/>
                <wp:effectExtent l="0" t="0" r="0" b="0"/>
                <wp:wrapNone/>
                <wp:docPr id="2234" name="Text Box 2234"/>
                <wp:cNvGraphicFramePr/>
                <a:graphic xmlns:a="http://schemas.openxmlformats.org/drawingml/2006/main">
                  <a:graphicData uri="http://schemas.microsoft.com/office/word/2010/wordprocessingShape">
                    <wps:wsp>
                      <wps:cNvSpPr txBox="1"/>
                      <wps:spPr>
                        <a:xfrm>
                          <a:off x="0" y="0"/>
                          <a:ext cx="6121400" cy="914400"/>
                        </a:xfrm>
                        <a:prstGeom prst="rect">
                          <a:avLst/>
                        </a:prstGeom>
                        <a:noFill/>
                        <a:ln w="6350">
                          <a:noFill/>
                        </a:ln>
                      </wps:spPr>
                      <wps:txbx>
                        <w:txbxContent>
                          <w:p w14:paraId="07A26A4D" w14:textId="329DD089" w:rsidR="00D15FD8" w:rsidRDefault="00D15FD8" w:rsidP="00AE13DB">
                            <w:pPr>
                              <w:spacing w:line="276" w:lineRule="auto"/>
                              <w:jc w:val="both"/>
                            </w:pPr>
                            <w:r w:rsidRPr="00AE13DB">
                              <w:rPr>
                                <w:rFonts w:ascii="Arial" w:hAnsi="Arial" w:cs="Arial"/>
                                <w:sz w:val="24"/>
                                <w:szCs w:val="24"/>
                              </w:rPr>
                              <w:t xml:space="preserve">high scores for scope and accessibility of budget information, for example, should focus on improving its reliability. This means creating the mechanisms for identifying changes in the datasets, identifying the source of each dataset, and logging changes to the datasets.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94D30" id="Text Box 2234" o:spid="_x0000_s1671" type="#_x0000_t202" style="position:absolute;left:0;text-align:left;margin-left:19.45pt;margin-top:6.9pt;width:482pt;height:1in;z-index:254543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" filled="f" stroked="f" strokeweight=".5pt">
                <v:textbox>
                  <w:txbxContent>
                    <w:p w14:paraId="07A26A4D" w14:textId="329DD089" w:rsidR="00D15FD8" w:rsidRDefault="00D15FD8" w:rsidP="00AE13DB">
                      <w:pPr>
                        <w:spacing w:line="276" w:lineRule="auto"/>
                        <w:jc w:val="both"/>
                      </w:pPr>
                      <w:r w:rsidRPr="00AE13DB">
                        <w:rPr>
                          <w:rFonts w:ascii="Arial" w:hAnsi="Arial" w:cs="Arial"/>
                          <w:sz w:val="24"/>
                          <w:szCs w:val="24"/>
                        </w:rPr>
                        <w:t xml:space="preserve">high scores for scope and accessibility of budget information, for example, should focus on improving its reliability. This means creating the mechanisms for identifying changes in the datasets, identifying the source of each dataset, and logging changes to the datasets. </w:t>
                      </w:r>
                    </w:p>
                  </w:txbxContent>
                </v:textbox>
              </v:shape>
            </w:pict>
          </mc:Fallback>
        </mc:AlternateContent>
      </w:r>
    </w:p>
    <w:p w14:paraId="4A7AB405" w14:textId="6058FC01" w:rsidR="00AE13DB" w:rsidRDefault="00AE13DB" w:rsidP="00890E21">
      <w:pPr>
        <w:spacing w:line="276" w:lineRule="auto"/>
        <w:contextualSpacing/>
        <w:jc w:val="both"/>
        <w:rPr>
          <w:rFonts w:ascii="Arial" w:hAnsi="Arial" w:cs="Arial"/>
          <w:sz w:val="24"/>
          <w:szCs w:val="24"/>
        </w:rPr>
      </w:pPr>
    </w:p>
    <w:p w14:paraId="50C8AA8C" w14:textId="5635CB88" w:rsidR="00AE13DB" w:rsidRDefault="00AE13DB" w:rsidP="00890E21">
      <w:pPr>
        <w:spacing w:line="276" w:lineRule="auto"/>
        <w:contextualSpacing/>
        <w:jc w:val="both"/>
        <w:rPr>
          <w:rFonts w:ascii="Arial" w:hAnsi="Arial" w:cs="Arial"/>
          <w:sz w:val="24"/>
          <w:szCs w:val="24"/>
        </w:rPr>
      </w:pPr>
    </w:p>
    <w:p w14:paraId="66FE8B6B" w14:textId="524F13C3" w:rsidR="00AE13DB" w:rsidRDefault="00AE13DB" w:rsidP="00890E21">
      <w:pPr>
        <w:spacing w:line="276" w:lineRule="auto"/>
        <w:contextualSpacing/>
        <w:jc w:val="both"/>
        <w:rPr>
          <w:rFonts w:ascii="Arial" w:hAnsi="Arial" w:cs="Arial"/>
          <w:sz w:val="24"/>
          <w:szCs w:val="24"/>
        </w:rPr>
      </w:pPr>
    </w:p>
    <w:p w14:paraId="416C6998" w14:textId="50933915" w:rsidR="00AE13DB" w:rsidRDefault="00AE13DB" w:rsidP="00890E21">
      <w:pPr>
        <w:spacing w:line="276" w:lineRule="auto"/>
        <w:contextualSpacing/>
        <w:jc w:val="both"/>
        <w:rPr>
          <w:rFonts w:ascii="Arial" w:hAnsi="Arial" w:cs="Arial"/>
          <w:sz w:val="24"/>
          <w:szCs w:val="24"/>
        </w:rPr>
      </w:pPr>
    </w:p>
    <w:p w14:paraId="002AF7E2" w14:textId="6BAF4915" w:rsidR="00AE13DB" w:rsidRDefault="00AE13DB" w:rsidP="00890E21">
      <w:pPr>
        <w:spacing w:line="276" w:lineRule="auto"/>
        <w:contextualSpacing/>
        <w:jc w:val="both"/>
        <w:rPr>
          <w:rFonts w:ascii="Arial" w:hAnsi="Arial" w:cs="Arial"/>
          <w:sz w:val="24"/>
          <w:szCs w:val="24"/>
        </w:rPr>
      </w:pPr>
    </w:p>
    <w:p w14:paraId="7F88144D" w14:textId="474829C9" w:rsidR="00AE13DB" w:rsidRDefault="00AE13DB" w:rsidP="00890E21">
      <w:pPr>
        <w:spacing w:line="276" w:lineRule="auto"/>
        <w:contextualSpacing/>
        <w:jc w:val="both"/>
        <w:rPr>
          <w:rFonts w:ascii="Arial" w:hAnsi="Arial" w:cs="Arial"/>
          <w:sz w:val="24"/>
          <w:szCs w:val="24"/>
        </w:rPr>
      </w:pPr>
      <w:r>
        <w:rPr>
          <w:noProof/>
          <w:lang w:val="en-US"/>
        </w:rPr>
        <w:lastRenderedPageBreak/>
        <w:drawing>
          <wp:anchor distT="0" distB="0" distL="114300" distR="114300" simplePos="0" relativeHeight="254547966" behindDoc="1" locked="0" layoutInCell="1" allowOverlap="1" wp14:anchorId="3CBFE043" wp14:editId="0E8AB6D9">
            <wp:simplePos x="0" y="0"/>
            <wp:positionH relativeFrom="margin">
              <wp:posOffset>3046095</wp:posOffset>
            </wp:positionH>
            <wp:positionV relativeFrom="paragraph">
              <wp:posOffset>77742</wp:posOffset>
            </wp:positionV>
            <wp:extent cx="528955" cy="520700"/>
            <wp:effectExtent l="0" t="0" r="4445" b="0"/>
            <wp:wrapTight wrapText="bothSides">
              <wp:wrapPolygon edited="0">
                <wp:start x="18670" y="527"/>
                <wp:lineTo x="7779" y="1580"/>
                <wp:lineTo x="0" y="5268"/>
                <wp:lineTo x="0" y="13698"/>
                <wp:lineTo x="1556" y="18439"/>
                <wp:lineTo x="6223" y="21073"/>
                <wp:lineTo x="12447" y="21073"/>
                <wp:lineTo x="16077" y="18439"/>
                <wp:lineTo x="19188" y="11590"/>
                <wp:lineTo x="18670" y="10010"/>
                <wp:lineTo x="21263" y="4215"/>
                <wp:lineTo x="21263" y="527"/>
                <wp:lineTo x="18670" y="527"/>
              </wp:wrapPolygon>
            </wp:wrapTight>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54AECA" w14:textId="3BAA4CBB" w:rsidR="00AE13DB" w:rsidRDefault="00AE13DB" w:rsidP="00890E21">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45918" behindDoc="0" locked="0" layoutInCell="1" allowOverlap="1" wp14:anchorId="0D3C19A3" wp14:editId="6B050B0A">
                <wp:simplePos x="0" y="0"/>
                <wp:positionH relativeFrom="margin">
                  <wp:posOffset>221706</wp:posOffset>
                </wp:positionH>
                <wp:positionV relativeFrom="paragraph">
                  <wp:posOffset>206647</wp:posOffset>
                </wp:positionV>
                <wp:extent cx="6426200" cy="1541780"/>
                <wp:effectExtent l="12700" t="12700" r="12700" b="7620"/>
                <wp:wrapNone/>
                <wp:docPr id="2236" name="Rounded Rectangle 2236"/>
                <wp:cNvGraphicFramePr/>
                <a:graphic xmlns:a="http://schemas.openxmlformats.org/drawingml/2006/main">
                  <a:graphicData uri="http://schemas.microsoft.com/office/word/2010/wordprocessingShape">
                    <wps:wsp>
                      <wps:cNvSpPr/>
                      <wps:spPr>
                        <a:xfrm>
                          <a:off x="0" y="0"/>
                          <a:ext cx="6426200" cy="154178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391D02" w14:textId="77777777" w:rsidR="00D15FD8" w:rsidRPr="00BD6508" w:rsidRDefault="00D15FD8" w:rsidP="00AE13D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D3C19A3" id="Rounded Rectangle 2236" o:spid="_x0000_s1672" style="position:absolute;left:0;text-align:left;margin-left:17.45pt;margin-top:16.25pt;width:506pt;height:121.4pt;z-index:25454591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" filled="f" strokecolor="#16988a" strokeweight="1.5pt">
                <v:stroke joinstyle="miter"/>
                <v:textbox>
                  <w:txbxContent>
                    <w:p w14:paraId="7B391D02" w14:textId="77777777" w:rsidR="00D15FD8" w:rsidRPr="00BD6508" w:rsidRDefault="00D15FD8" w:rsidP="00AE13DB">
                      <w:pPr>
                        <w:jc w:val="center"/>
                        <w:rPr>
                          <w:lang w:val="en-US"/>
                        </w:rPr>
                      </w:pPr>
                    </w:p>
                  </w:txbxContent>
                </v:textbox>
                <w10:wrap anchorx="margin"/>
              </v:roundrect>
            </w:pict>
          </mc:Fallback>
        </mc:AlternateContent>
      </w:r>
      <w:r>
        <w:rPr>
          <w:rFonts w:ascii="Arial" w:hAnsi="Arial" w:cs="Arial"/>
          <w:noProof/>
          <w:sz w:val="24"/>
          <w:szCs w:val="24"/>
          <w:lang w:val="en-US"/>
        </w:rPr>
        <mc:AlternateContent>
          <mc:Choice Requires="wps">
            <w:drawing>
              <wp:anchor distT="0" distB="0" distL="114300" distR="114300" simplePos="0" relativeHeight="254546942" behindDoc="0" locked="0" layoutInCell="1" allowOverlap="1" wp14:anchorId="640B78D7" wp14:editId="3B855D1E">
                <wp:simplePos x="0" y="0"/>
                <wp:positionH relativeFrom="margin">
                  <wp:posOffset>104503</wp:posOffset>
                </wp:positionH>
                <wp:positionV relativeFrom="paragraph">
                  <wp:posOffset>50256</wp:posOffset>
                </wp:positionV>
                <wp:extent cx="6426200" cy="1541780"/>
                <wp:effectExtent l="0" t="0" r="0" b="0"/>
                <wp:wrapNone/>
                <wp:docPr id="2239" name="Rounded Rectangle 2239"/>
                <wp:cNvGraphicFramePr/>
                <a:graphic xmlns:a="http://schemas.openxmlformats.org/drawingml/2006/main">
                  <a:graphicData uri="http://schemas.microsoft.com/office/word/2010/wordprocessingShape">
                    <wps:wsp>
                      <wps:cNvSpPr/>
                      <wps:spPr>
                        <a:xfrm>
                          <a:off x="0" y="0"/>
                          <a:ext cx="6426200" cy="154178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EFEFD4" w14:textId="77777777" w:rsidR="00D15FD8" w:rsidRPr="00BD6508" w:rsidRDefault="00D15FD8" w:rsidP="00AE13D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40B78D7" id="Rounded Rectangle 2239" o:spid="_x0000_s1673" style="position:absolute;left:0;text-align:left;margin-left:8.25pt;margin-top:3.95pt;width:506pt;height:121.4pt;z-index:25454694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" fillcolor="#e2efd9 [665]" stroked="f" strokeweight="1pt">
                <v:stroke joinstyle="miter"/>
                <v:textbox>
                  <w:txbxContent>
                    <w:p w14:paraId="73EFEFD4" w14:textId="77777777" w:rsidR="00D15FD8" w:rsidRPr="00BD6508" w:rsidRDefault="00D15FD8" w:rsidP="00AE13DB">
                      <w:pPr>
                        <w:jc w:val="center"/>
                        <w:rPr>
                          <w:lang w:val="en-US"/>
                        </w:rPr>
                      </w:pPr>
                    </w:p>
                  </w:txbxContent>
                </v:textbox>
                <w10:wrap anchorx="margin"/>
              </v:roundrect>
            </w:pict>
          </mc:Fallback>
        </mc:AlternateContent>
      </w:r>
    </w:p>
    <w:p w14:paraId="6129F221" w14:textId="40DBA013" w:rsidR="00AE13DB" w:rsidRDefault="00AE13DB" w:rsidP="00890E21">
      <w:pPr>
        <w:spacing w:line="276" w:lineRule="auto"/>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48990" behindDoc="0" locked="0" layoutInCell="1" allowOverlap="1" wp14:anchorId="509FE8C6" wp14:editId="3535D312">
                <wp:simplePos x="0" y="0"/>
                <wp:positionH relativeFrom="column">
                  <wp:posOffset>234950</wp:posOffset>
                </wp:positionH>
                <wp:positionV relativeFrom="paragraph">
                  <wp:posOffset>203200</wp:posOffset>
                </wp:positionV>
                <wp:extent cx="6121400" cy="1135380"/>
                <wp:effectExtent l="0" t="0" r="0" b="0"/>
                <wp:wrapNone/>
                <wp:docPr id="2240" name="Text Box 2240"/>
                <wp:cNvGraphicFramePr/>
                <a:graphic xmlns:a="http://schemas.openxmlformats.org/drawingml/2006/main">
                  <a:graphicData uri="http://schemas.microsoft.com/office/word/2010/wordprocessingShape">
                    <wps:wsp>
                      <wps:cNvSpPr txBox="1"/>
                      <wps:spPr>
                        <a:xfrm>
                          <a:off x="0" y="0"/>
                          <a:ext cx="6121400" cy="1135380"/>
                        </a:xfrm>
                        <a:prstGeom prst="rect">
                          <a:avLst/>
                        </a:prstGeom>
                        <a:noFill/>
                        <a:ln w="6350">
                          <a:noFill/>
                        </a:ln>
                      </wps:spPr>
                      <wps:txbx>
                        <w:txbxContent>
                          <w:p w14:paraId="1958A618" w14:textId="5FCE1AFF" w:rsidR="00D15FD8" w:rsidRDefault="00D15FD8" w:rsidP="00AE13DB">
                            <w:pPr>
                              <w:spacing w:line="276" w:lineRule="auto"/>
                              <w:jc w:val="both"/>
                            </w:pPr>
                            <w:r w:rsidRPr="00AE13DB">
                              <w:rPr>
                                <w:rFonts w:ascii="Arial" w:hAnsi="Arial" w:cs="Arial"/>
                                <w:sz w:val="24"/>
                                <w:szCs w:val="24"/>
                              </w:rPr>
                              <w:t xml:space="preserve">portals that do not comply with open data principles and practices should open up bulk access to their budget databases. Access to granular data is important and facilitates searches, but it can also be a hindrance to expert analysis as most expert users want to conduct monitoring through large downloaded datasets rather than through online query tools.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FE8C6" id="Text Box 2240" o:spid="_x0000_s1674" type="#_x0000_t202" style="position:absolute;left:0;text-align:left;margin-left:18.5pt;margin-top:16pt;width:482pt;height:89.4pt;z-index:254548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" filled="f" stroked="f" strokeweight=".5pt">
                <v:textbox>
                  <w:txbxContent>
                    <w:p w14:paraId="1958A618" w14:textId="5FCE1AFF" w:rsidR="00D15FD8" w:rsidRDefault="00D15FD8" w:rsidP="00AE13DB">
                      <w:pPr>
                        <w:spacing w:line="276" w:lineRule="auto"/>
                        <w:jc w:val="both"/>
                      </w:pPr>
                      <w:r w:rsidRPr="00AE13DB">
                        <w:rPr>
                          <w:rFonts w:ascii="Arial" w:hAnsi="Arial" w:cs="Arial"/>
                          <w:sz w:val="24"/>
                          <w:szCs w:val="24"/>
                        </w:rPr>
                        <w:t xml:space="preserve">portals that do not comply with open data principles and practices should open up bulk access to their budget databases. Access to granular data is important and facilitates searches, but it can also be a hindrance to expert analysis as most expert users want to conduct monitoring through large downloaded datasets rather than through online query tools.  </w:t>
                      </w:r>
                    </w:p>
                  </w:txbxContent>
                </v:textbox>
              </v:shape>
            </w:pict>
          </mc:Fallback>
        </mc:AlternateContent>
      </w:r>
    </w:p>
    <w:p w14:paraId="66807F1D" w14:textId="034673F8" w:rsidR="00AE13DB" w:rsidRDefault="00AE13DB" w:rsidP="00890E21">
      <w:pPr>
        <w:spacing w:line="276" w:lineRule="auto"/>
        <w:contextualSpacing/>
        <w:jc w:val="both"/>
        <w:rPr>
          <w:rFonts w:ascii="Arial" w:hAnsi="Arial" w:cs="Arial"/>
          <w:sz w:val="24"/>
          <w:szCs w:val="24"/>
        </w:rPr>
      </w:pPr>
    </w:p>
    <w:p w14:paraId="1ABFEF45" w14:textId="35EAD8A8" w:rsidR="00AE13DB" w:rsidRDefault="00AE13DB" w:rsidP="00890E21">
      <w:pPr>
        <w:spacing w:line="276" w:lineRule="auto"/>
        <w:contextualSpacing/>
        <w:jc w:val="both"/>
        <w:rPr>
          <w:rFonts w:ascii="Arial" w:hAnsi="Arial" w:cs="Arial"/>
          <w:sz w:val="24"/>
          <w:szCs w:val="24"/>
        </w:rPr>
      </w:pPr>
    </w:p>
    <w:p w14:paraId="6D1B65E5" w14:textId="0A77476F" w:rsidR="00AE13DB" w:rsidRDefault="00AE13DB" w:rsidP="00890E21">
      <w:pPr>
        <w:spacing w:line="276" w:lineRule="auto"/>
        <w:contextualSpacing/>
        <w:jc w:val="both"/>
        <w:rPr>
          <w:rFonts w:ascii="Arial" w:hAnsi="Arial" w:cs="Arial"/>
          <w:sz w:val="24"/>
          <w:szCs w:val="24"/>
        </w:rPr>
      </w:pPr>
    </w:p>
    <w:p w14:paraId="3DA0C5BA" w14:textId="0770811B" w:rsidR="00AE13DB" w:rsidRDefault="00AE13DB" w:rsidP="00890E21">
      <w:pPr>
        <w:spacing w:line="276" w:lineRule="auto"/>
        <w:contextualSpacing/>
        <w:jc w:val="both"/>
        <w:rPr>
          <w:rFonts w:ascii="Arial" w:hAnsi="Arial" w:cs="Arial"/>
          <w:sz w:val="24"/>
          <w:szCs w:val="24"/>
        </w:rPr>
      </w:pPr>
    </w:p>
    <w:p w14:paraId="0C490B27" w14:textId="2589E6D8" w:rsidR="00AE13DB" w:rsidRDefault="00AE13DB" w:rsidP="00890E21">
      <w:pPr>
        <w:spacing w:line="276" w:lineRule="auto"/>
        <w:contextualSpacing/>
        <w:jc w:val="both"/>
        <w:rPr>
          <w:rFonts w:ascii="Arial" w:hAnsi="Arial" w:cs="Arial"/>
          <w:sz w:val="24"/>
          <w:szCs w:val="24"/>
        </w:rPr>
      </w:pPr>
    </w:p>
    <w:p w14:paraId="7ACE6FA7" w14:textId="5F3D6A27" w:rsidR="00AE13DB" w:rsidRDefault="00AE13DB" w:rsidP="00890E21">
      <w:pPr>
        <w:spacing w:line="276" w:lineRule="auto"/>
        <w:contextualSpacing/>
        <w:jc w:val="both"/>
        <w:rPr>
          <w:rFonts w:ascii="Arial" w:hAnsi="Arial" w:cs="Arial"/>
          <w:sz w:val="24"/>
          <w:szCs w:val="24"/>
        </w:rPr>
      </w:pPr>
    </w:p>
    <w:p w14:paraId="41A2B511" w14:textId="35723658" w:rsidR="00AE13DB" w:rsidRDefault="00AE13DB" w:rsidP="00890E21">
      <w:pPr>
        <w:spacing w:line="276" w:lineRule="auto"/>
        <w:contextualSpacing/>
        <w:jc w:val="both"/>
        <w:rPr>
          <w:rFonts w:ascii="Arial" w:hAnsi="Arial" w:cs="Arial"/>
          <w:sz w:val="24"/>
          <w:szCs w:val="24"/>
        </w:rPr>
      </w:pPr>
    </w:p>
    <w:p w14:paraId="54399DC1" w14:textId="189E994B" w:rsidR="00D443A7" w:rsidRPr="00EB2A7C" w:rsidRDefault="00AE13DB" w:rsidP="00EB2A7C">
      <w:pPr>
        <w:spacing w:line="276" w:lineRule="auto"/>
        <w:contextualSpacing/>
        <w:jc w:val="both"/>
        <w:rPr>
          <w:rFonts w:ascii="Arial" w:hAnsi="Arial" w:cs="Arial"/>
          <w:sz w:val="24"/>
          <w:szCs w:val="24"/>
        </w:rPr>
      </w:pPr>
      <w:r>
        <w:rPr>
          <w:noProof/>
          <w:lang w:val="en-US"/>
        </w:rPr>
        <w:drawing>
          <wp:anchor distT="0" distB="0" distL="114300" distR="114300" simplePos="0" relativeHeight="254553086" behindDoc="1" locked="0" layoutInCell="1" allowOverlap="1" wp14:anchorId="7BCF2D88" wp14:editId="27F43AE3">
            <wp:simplePos x="0" y="0"/>
            <wp:positionH relativeFrom="margin">
              <wp:posOffset>3072130</wp:posOffset>
            </wp:positionH>
            <wp:positionV relativeFrom="paragraph">
              <wp:posOffset>16510</wp:posOffset>
            </wp:positionV>
            <wp:extent cx="528955" cy="520700"/>
            <wp:effectExtent l="0" t="0" r="4445" b="0"/>
            <wp:wrapTight wrapText="bothSides">
              <wp:wrapPolygon edited="0">
                <wp:start x="18670" y="527"/>
                <wp:lineTo x="7779" y="1580"/>
                <wp:lineTo x="0" y="5268"/>
                <wp:lineTo x="0" y="13698"/>
                <wp:lineTo x="1556" y="18439"/>
                <wp:lineTo x="6223" y="21073"/>
                <wp:lineTo x="12447" y="21073"/>
                <wp:lineTo x="16077" y="18439"/>
                <wp:lineTo x="19188" y="11590"/>
                <wp:lineTo x="18670" y="10010"/>
                <wp:lineTo x="21263" y="4215"/>
                <wp:lineTo x="21263" y="527"/>
                <wp:lineTo x="18670" y="527"/>
              </wp:wrapPolygon>
            </wp:wrapTight>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rotWithShape="1">
                    <a:blip r:embed="rId804" cstate="email">
                      <a:extLst>
                        <a:ext uri="{28A0092B-C50C-407E-A947-70E740481C1C}">
                          <a14:useLocalDpi xmlns:a14="http://schemas.microsoft.com/office/drawing/2010/main"/>
                        </a:ext>
                      </a:extLst>
                    </a:blip>
                    <a:srcRect/>
                    <a:stretch/>
                  </pic:blipFill>
                  <pic:spPr bwMode="auto">
                    <a:xfrm>
                      <a:off x="0" y="0"/>
                      <a:ext cx="528955"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5902C" w14:textId="460E176D" w:rsidR="00AE13DB" w:rsidRDefault="005B096F" w:rsidP="00AE13DB">
      <w:pPr>
        <w:tabs>
          <w:tab w:val="left" w:pos="6806"/>
        </w:tabs>
        <w:spacing w:line="276" w:lineRule="auto"/>
        <w:ind w:left="284"/>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52062" behindDoc="0" locked="0" layoutInCell="1" allowOverlap="1" wp14:anchorId="1C66CAEA" wp14:editId="227E1790">
                <wp:simplePos x="0" y="0"/>
                <wp:positionH relativeFrom="margin">
                  <wp:posOffset>130175</wp:posOffset>
                </wp:positionH>
                <wp:positionV relativeFrom="paragraph">
                  <wp:posOffset>142644</wp:posOffset>
                </wp:positionV>
                <wp:extent cx="6426200" cy="862330"/>
                <wp:effectExtent l="0" t="0" r="0" b="1270"/>
                <wp:wrapNone/>
                <wp:docPr id="2318" name="Rounded Rectangle 2318"/>
                <wp:cNvGraphicFramePr/>
                <a:graphic xmlns:a="http://schemas.openxmlformats.org/drawingml/2006/main">
                  <a:graphicData uri="http://schemas.microsoft.com/office/word/2010/wordprocessingShape">
                    <wps:wsp>
                      <wps:cNvSpPr/>
                      <wps:spPr>
                        <a:xfrm>
                          <a:off x="0" y="0"/>
                          <a:ext cx="6426200" cy="862330"/>
                        </a:xfrm>
                        <a:prstGeom prst="roundRect">
                          <a:avLst>
                            <a:gd name="adj" fmla="val 900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383FE" w14:textId="77777777" w:rsidR="00D15FD8" w:rsidRPr="00BD6508" w:rsidRDefault="00D15FD8" w:rsidP="00AE13D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66CAEA" id="Rounded Rectangle 2318" o:spid="_x0000_s1675" style="position:absolute;left:0;text-align:left;margin-left:10.25pt;margin-top:11.25pt;width:506pt;height:67.9pt;z-index:25455206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" fillcolor="#e2efd9 [665]" stroked="f" strokeweight="1pt">
                <v:stroke joinstyle="miter"/>
                <v:textbox>
                  <w:txbxContent>
                    <w:p w14:paraId="2D4383FE" w14:textId="77777777" w:rsidR="00D15FD8" w:rsidRPr="00BD6508" w:rsidRDefault="00D15FD8" w:rsidP="00AE13DB">
                      <w:pPr>
                        <w:jc w:val="center"/>
                        <w:rPr>
                          <w:lang w:val="en-US"/>
                        </w:rPr>
                      </w:pPr>
                    </w:p>
                  </w:txbxContent>
                </v:textbox>
                <w10:wrap anchorx="margin"/>
              </v:roundrect>
            </w:pict>
          </mc:Fallback>
        </mc:AlternateContent>
      </w:r>
    </w:p>
    <w:p w14:paraId="412C6236" w14:textId="25A580B3" w:rsidR="00AE13DB" w:rsidRDefault="005B096F" w:rsidP="00AE13DB">
      <w:pPr>
        <w:tabs>
          <w:tab w:val="left" w:pos="6806"/>
        </w:tabs>
        <w:spacing w:line="276" w:lineRule="auto"/>
        <w:ind w:left="284"/>
        <w:contextualSpacing/>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51038" behindDoc="0" locked="0" layoutInCell="1" allowOverlap="1" wp14:anchorId="772AC2D9" wp14:editId="029662A0">
                <wp:simplePos x="0" y="0"/>
                <wp:positionH relativeFrom="margin">
                  <wp:posOffset>235775</wp:posOffset>
                </wp:positionH>
                <wp:positionV relativeFrom="paragraph">
                  <wp:posOffset>62618</wp:posOffset>
                </wp:positionV>
                <wp:extent cx="6426200" cy="862330"/>
                <wp:effectExtent l="12700" t="12700" r="12700" b="13970"/>
                <wp:wrapNone/>
                <wp:docPr id="2317" name="Rounded Rectangle 2317"/>
                <wp:cNvGraphicFramePr/>
                <a:graphic xmlns:a="http://schemas.openxmlformats.org/drawingml/2006/main">
                  <a:graphicData uri="http://schemas.microsoft.com/office/word/2010/wordprocessingShape">
                    <wps:wsp>
                      <wps:cNvSpPr/>
                      <wps:spPr>
                        <a:xfrm>
                          <a:off x="0" y="0"/>
                          <a:ext cx="6426200" cy="862330"/>
                        </a:xfrm>
                        <a:prstGeom prst="roundRect">
                          <a:avLst>
                            <a:gd name="adj" fmla="val 9000"/>
                          </a:avLst>
                        </a:prstGeom>
                        <a:noFill/>
                        <a:ln w="19050">
                          <a:solidFill>
                            <a:srgbClr val="16988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C09173" w14:textId="77777777" w:rsidR="00D15FD8" w:rsidRPr="00BD6508" w:rsidRDefault="00D15FD8" w:rsidP="00AE13D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2AC2D9" id="Rounded Rectangle 2317" o:spid="_x0000_s1676" style="position:absolute;left:0;text-align:left;margin-left:18.55pt;margin-top:4.95pt;width:506pt;height:67.9pt;z-index:25455103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8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" filled="f" strokecolor="#16988a" strokeweight="1.5pt">
                <v:stroke joinstyle="miter"/>
                <v:textbox>
                  <w:txbxContent>
                    <w:p w14:paraId="5EC09173" w14:textId="77777777" w:rsidR="00D15FD8" w:rsidRPr="00BD6508" w:rsidRDefault="00D15FD8" w:rsidP="00AE13DB">
                      <w:pPr>
                        <w:jc w:val="center"/>
                        <w:rPr>
                          <w:lang w:val="en-US"/>
                        </w:rPr>
                      </w:pPr>
                    </w:p>
                  </w:txbxContent>
                </v:textbox>
                <w10:wrap anchorx="margin"/>
              </v:roundrect>
            </w:pict>
          </mc:Fallback>
        </mc:AlternateContent>
      </w:r>
      <w:r w:rsidR="00AE13DB">
        <w:rPr>
          <w:rFonts w:ascii="Arial" w:hAnsi="Arial" w:cs="Arial"/>
          <w:noProof/>
          <w:sz w:val="24"/>
          <w:szCs w:val="24"/>
          <w:lang w:val="en-US"/>
        </w:rPr>
        <mc:AlternateContent>
          <mc:Choice Requires="wps">
            <w:drawing>
              <wp:anchor distT="0" distB="0" distL="114300" distR="114300" simplePos="0" relativeHeight="254554110" behindDoc="0" locked="0" layoutInCell="1" allowOverlap="1" wp14:anchorId="2454C976" wp14:editId="4F0F81BB">
                <wp:simplePos x="0" y="0"/>
                <wp:positionH relativeFrom="column">
                  <wp:posOffset>255319</wp:posOffset>
                </wp:positionH>
                <wp:positionV relativeFrom="paragraph">
                  <wp:posOffset>165784</wp:posOffset>
                </wp:positionV>
                <wp:extent cx="6121400" cy="660450"/>
                <wp:effectExtent l="0" t="0" r="0" b="6350"/>
                <wp:wrapNone/>
                <wp:docPr id="2319" name="Text Box 2319"/>
                <wp:cNvGraphicFramePr/>
                <a:graphic xmlns:a="http://schemas.openxmlformats.org/drawingml/2006/main">
                  <a:graphicData uri="http://schemas.microsoft.com/office/word/2010/wordprocessingShape">
                    <wps:wsp>
                      <wps:cNvSpPr txBox="1"/>
                      <wps:spPr>
                        <a:xfrm>
                          <a:off x="0" y="0"/>
                          <a:ext cx="6121400" cy="660450"/>
                        </a:xfrm>
                        <a:prstGeom prst="rect">
                          <a:avLst/>
                        </a:prstGeom>
                        <a:noFill/>
                        <a:ln w="6350">
                          <a:noFill/>
                        </a:ln>
                      </wps:spPr>
                      <wps:txbx>
                        <w:txbxContent>
                          <w:p w14:paraId="270589BD" w14:textId="619944EA" w:rsidR="00D15FD8" w:rsidRDefault="00D15FD8" w:rsidP="00AE13DB">
                            <w:pPr>
                              <w:spacing w:line="276" w:lineRule="auto"/>
                              <w:jc w:val="both"/>
                            </w:pPr>
                            <w:r w:rsidRPr="00AE13DB">
                              <w:rPr>
                                <w:rFonts w:ascii="Arial" w:hAnsi="Arial" w:cs="Arial"/>
                                <w:sz w:val="24"/>
                                <w:szCs w:val="24"/>
                              </w:rPr>
                              <w:t xml:space="preserve">good open data and budget portals should link and cross-reference information between sites. </w:t>
                            </w:r>
                            <w:r w:rsidRPr="00EB2A7C">
                              <w:rPr>
                                <w:rFonts w:ascii="Arial" w:hAnsi="Arial" w:cs="Arial"/>
                                <w:sz w:val="24"/>
                                <w:szCs w:val="24"/>
                              </w:rPr>
                              <w:t>This will facilitate access to guidance for data users and access to data for basic users.</w:t>
                            </w:r>
                            <w:r>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54C976" id="Text Box 2319" o:spid="_x0000_s1677" type="#_x0000_t202" style="position:absolute;left:0;text-align:left;margin-left:20.1pt;margin-top:13.05pt;width:482pt;height:52pt;z-index:2545541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" filled="f" stroked="f" strokeweight=".5pt">
                <v:textbox>
                  <w:txbxContent>
                    <w:p w14:paraId="270589BD" w14:textId="619944EA" w:rsidR="00D15FD8" w:rsidRDefault="00D15FD8" w:rsidP="00AE13DB">
                      <w:pPr>
                        <w:spacing w:line="276" w:lineRule="auto"/>
                        <w:jc w:val="both"/>
                      </w:pPr>
                      <w:r w:rsidRPr="00AE13DB">
                        <w:rPr>
                          <w:rFonts w:ascii="Arial" w:hAnsi="Arial" w:cs="Arial"/>
                          <w:sz w:val="24"/>
                          <w:szCs w:val="24"/>
                        </w:rPr>
                        <w:t xml:space="preserve">good open data and budget portals should link and cross-reference information between sites. </w:t>
                      </w:r>
                      <w:r w:rsidRPr="00EB2A7C">
                        <w:rPr>
                          <w:rFonts w:ascii="Arial" w:hAnsi="Arial" w:cs="Arial"/>
                          <w:sz w:val="24"/>
                          <w:szCs w:val="24"/>
                        </w:rPr>
                        <w:t>This will facilitate access to guidance for data users and access to data for basic users.</w:t>
                      </w:r>
                      <w:r>
                        <w:rPr>
                          <w:rFonts w:ascii="Arial" w:hAnsi="Arial" w:cs="Arial"/>
                          <w:sz w:val="24"/>
                          <w:szCs w:val="24"/>
                        </w:rPr>
                        <w:t xml:space="preserve"> </w:t>
                      </w:r>
                    </w:p>
                  </w:txbxContent>
                </v:textbox>
              </v:shape>
            </w:pict>
          </mc:Fallback>
        </mc:AlternateContent>
      </w:r>
    </w:p>
    <w:p w14:paraId="01459A14" w14:textId="74891688" w:rsidR="00AE13DB" w:rsidRDefault="00AE13DB" w:rsidP="00AE13DB">
      <w:pPr>
        <w:tabs>
          <w:tab w:val="left" w:pos="6806"/>
        </w:tabs>
        <w:spacing w:line="276" w:lineRule="auto"/>
        <w:ind w:left="284"/>
        <w:contextualSpacing/>
        <w:jc w:val="both"/>
        <w:rPr>
          <w:rFonts w:ascii="Arial" w:hAnsi="Arial" w:cs="Arial"/>
          <w:sz w:val="24"/>
          <w:szCs w:val="24"/>
        </w:rPr>
      </w:pPr>
    </w:p>
    <w:p w14:paraId="26AB0F41" w14:textId="0B750330" w:rsidR="00AE13DB" w:rsidRDefault="00AE13DB" w:rsidP="00AE13DB">
      <w:pPr>
        <w:tabs>
          <w:tab w:val="left" w:pos="6806"/>
        </w:tabs>
        <w:spacing w:line="276" w:lineRule="auto"/>
        <w:ind w:left="284"/>
        <w:contextualSpacing/>
        <w:jc w:val="both"/>
        <w:rPr>
          <w:rFonts w:ascii="Arial" w:hAnsi="Arial" w:cs="Arial"/>
          <w:sz w:val="24"/>
          <w:szCs w:val="24"/>
        </w:rPr>
      </w:pPr>
    </w:p>
    <w:p w14:paraId="4D52AC32" w14:textId="67B98BF5" w:rsidR="00AE13DB" w:rsidRDefault="00AE13DB" w:rsidP="00EB2A7C">
      <w:pPr>
        <w:tabs>
          <w:tab w:val="left" w:pos="6806"/>
        </w:tabs>
        <w:spacing w:line="276" w:lineRule="auto"/>
        <w:contextualSpacing/>
        <w:jc w:val="both"/>
        <w:rPr>
          <w:rFonts w:ascii="Arial" w:hAnsi="Arial" w:cs="Arial"/>
          <w:sz w:val="24"/>
          <w:szCs w:val="24"/>
        </w:rPr>
      </w:pPr>
    </w:p>
    <w:p w14:paraId="543B1490" w14:textId="7990BAFD" w:rsidR="00AE13DB" w:rsidRDefault="00AE13DB" w:rsidP="00AE13DB">
      <w:pPr>
        <w:tabs>
          <w:tab w:val="left" w:pos="6806"/>
        </w:tabs>
        <w:spacing w:line="276" w:lineRule="auto"/>
        <w:ind w:left="284"/>
        <w:contextualSpacing/>
        <w:jc w:val="both"/>
        <w:rPr>
          <w:rFonts w:ascii="Arial" w:hAnsi="Arial" w:cs="Arial"/>
          <w:sz w:val="24"/>
          <w:szCs w:val="24"/>
        </w:rPr>
      </w:pPr>
    </w:p>
    <w:p w14:paraId="6F5B9957" w14:textId="4FFF168E" w:rsidR="00890E21" w:rsidRDefault="00890E21" w:rsidP="00890E21">
      <w:pPr>
        <w:tabs>
          <w:tab w:val="left" w:pos="6806"/>
        </w:tabs>
        <w:spacing w:line="276" w:lineRule="auto"/>
        <w:contextualSpacing/>
        <w:jc w:val="both"/>
        <w:rPr>
          <w:rFonts w:ascii="Arial" w:hAnsi="Arial" w:cs="Arial"/>
          <w:sz w:val="24"/>
          <w:szCs w:val="24"/>
        </w:rPr>
      </w:pPr>
      <w:r w:rsidRPr="00EB2A7C">
        <w:rPr>
          <w:rFonts w:ascii="Arial" w:hAnsi="Arial" w:cs="Arial"/>
          <w:sz w:val="24"/>
          <w:szCs w:val="24"/>
        </w:rPr>
        <w:t>All countries need to explore the development of better feedback and reporting mechanisms. Countries with very low feedback scores should for example create an online community of users, or at the very least report on usage and basic feedback received. Small changes in this area have the potential to yield substantial results in a short time frame.</w:t>
      </w:r>
    </w:p>
    <w:p w14:paraId="58695629" w14:textId="46B3AE9D" w:rsidR="00AE13DB" w:rsidRDefault="00AE13DB" w:rsidP="00890E21">
      <w:pPr>
        <w:tabs>
          <w:tab w:val="left" w:pos="6806"/>
        </w:tabs>
        <w:spacing w:line="276" w:lineRule="auto"/>
        <w:contextualSpacing/>
        <w:jc w:val="both"/>
        <w:rPr>
          <w:rFonts w:ascii="Arial" w:hAnsi="Arial" w:cs="Arial"/>
          <w:sz w:val="24"/>
          <w:szCs w:val="24"/>
        </w:rPr>
      </w:pPr>
    </w:p>
    <w:p w14:paraId="354E7B15" w14:textId="7490725C" w:rsidR="004C172D" w:rsidRDefault="00334D47" w:rsidP="004C172D">
      <w:pPr>
        <w:spacing w:line="276" w:lineRule="auto"/>
        <w:contextualSpacing/>
        <w:jc w:val="both"/>
        <w:rPr>
          <w:rFonts w:ascii="Arial" w:hAnsi="Arial" w:cs="Arial"/>
          <w:bCs/>
          <w:sz w:val="24"/>
          <w:szCs w:val="24"/>
        </w:rPr>
      </w:pPr>
      <w:r>
        <w:rPr>
          <w:rFonts w:ascii="Arial" w:hAnsi="Arial" w:cs="Arial"/>
          <w:bCs/>
          <w:noProof/>
          <w:sz w:val="24"/>
          <w:szCs w:val="24"/>
          <w:lang w:val="en-US"/>
        </w:rPr>
        <w:drawing>
          <wp:anchor distT="0" distB="0" distL="114300" distR="114300" simplePos="0" relativeHeight="254556158" behindDoc="0" locked="0" layoutInCell="1" allowOverlap="1" wp14:anchorId="2F1C937F" wp14:editId="11BA011A">
            <wp:simplePos x="0" y="0"/>
            <wp:positionH relativeFrom="column">
              <wp:posOffset>4980940</wp:posOffset>
            </wp:positionH>
            <wp:positionV relativeFrom="paragraph">
              <wp:posOffset>1363073</wp:posOffset>
            </wp:positionV>
            <wp:extent cx="1709420" cy="1599565"/>
            <wp:effectExtent l="0" t="0" r="5080" b="635"/>
            <wp:wrapSquare wrapText="bothSides"/>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 name="Picture 2322"/>
                    <pic:cNvPicPr/>
                  </pic:nvPicPr>
                  <pic:blipFill rotWithShape="1">
                    <a:blip r:embed="rId972" cstate="screen">
                      <a:extLst>
                        <a:ext uri="{28A0092B-C50C-407E-A947-70E740481C1C}">
                          <a14:useLocalDpi xmlns:a14="http://schemas.microsoft.com/office/drawing/2010/main"/>
                        </a:ext>
                      </a:extLst>
                    </a:blip>
                    <a:srcRect/>
                    <a:stretch/>
                  </pic:blipFill>
                  <pic:spPr bwMode="auto">
                    <a:xfrm>
                      <a:off x="0" y="0"/>
                      <a:ext cx="1709420" cy="1599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0E62">
        <w:rPr>
          <w:rFonts w:ascii="Arial" w:hAnsi="Arial" w:cs="Arial"/>
          <w:bCs/>
          <w:noProof/>
          <w:sz w:val="24"/>
          <w:szCs w:val="24"/>
          <w:lang w:val="en-US"/>
        </w:rPr>
        <w:drawing>
          <wp:anchor distT="0" distB="0" distL="114300" distR="114300" simplePos="0" relativeHeight="254555134" behindDoc="0" locked="0" layoutInCell="1" allowOverlap="1" wp14:anchorId="7ECB678A" wp14:editId="2BE5D9F7">
            <wp:simplePos x="0" y="0"/>
            <wp:positionH relativeFrom="column">
              <wp:posOffset>24765</wp:posOffset>
            </wp:positionH>
            <wp:positionV relativeFrom="paragraph">
              <wp:posOffset>25400</wp:posOffset>
            </wp:positionV>
            <wp:extent cx="875665" cy="1235710"/>
            <wp:effectExtent l="25400" t="25400" r="89535" b="85090"/>
            <wp:wrapSquare wrapText="bothSides"/>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Picture 2321"/>
                    <pic:cNvPicPr/>
                  </pic:nvPicPr>
                  <pic:blipFill>
                    <a:blip r:embed="rId973" cstate="email">
                      <a:extLst>
                        <a:ext uri="{28A0092B-C50C-407E-A947-70E740481C1C}">
                          <a14:useLocalDpi xmlns:a14="http://schemas.microsoft.com/office/drawing/2010/main"/>
                        </a:ext>
                      </a:extLst>
                    </a:blip>
                    <a:stretch>
                      <a:fillRect/>
                    </a:stretch>
                  </pic:blipFill>
                  <pic:spPr>
                    <a:xfrm>
                      <a:off x="0" y="0"/>
                      <a:ext cx="875665" cy="123571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C172D" w:rsidRPr="00EB2A7C">
        <w:rPr>
          <w:rFonts w:ascii="Arial" w:hAnsi="Arial" w:cs="Arial"/>
          <w:bCs/>
          <w:sz w:val="24"/>
          <w:szCs w:val="24"/>
        </w:rPr>
        <w:t xml:space="preserve">The World Wide Web Foundation’s </w:t>
      </w:r>
      <w:hyperlink r:id="rId974" w:history="1">
        <w:r w:rsidR="004C172D" w:rsidRPr="00EB2A7C">
          <w:rPr>
            <w:rFonts w:ascii="Arial" w:hAnsi="Arial" w:cs="Arial"/>
            <w:bCs/>
            <w:color w:val="0563C1" w:themeColor="hyperlink"/>
            <w:sz w:val="24"/>
            <w:szCs w:val="24"/>
            <w:u w:val="single"/>
          </w:rPr>
          <w:t>Open Data Barometer: Leaders Edition: From Promise to Progress</w:t>
        </w:r>
      </w:hyperlink>
      <w:r w:rsidR="004C172D" w:rsidRPr="00EB2A7C">
        <w:rPr>
          <w:rFonts w:ascii="Arial" w:hAnsi="Arial" w:cs="Arial"/>
          <w:bCs/>
          <w:sz w:val="24"/>
          <w:szCs w:val="24"/>
        </w:rPr>
        <w:t xml:space="preserve"> (2018) looks at how leading governments are performing a decade into the open data movement, providing recommendations for improvement. The report looks specifically at 30 governments that made concrete commitments to champion open data by adopting the </w:t>
      </w:r>
      <w:hyperlink r:id="rId975" w:tgtFrame="_blank" w:history="1">
        <w:r w:rsidR="004C172D" w:rsidRPr="00EB2A7C">
          <w:rPr>
            <w:rFonts w:ascii="Arial" w:hAnsi="Arial" w:cs="Arial"/>
            <w:bCs/>
            <w:color w:val="0563C1" w:themeColor="hyperlink"/>
            <w:sz w:val="24"/>
            <w:szCs w:val="24"/>
            <w:u w:val="single"/>
          </w:rPr>
          <w:t>Open Data Charter</w:t>
        </w:r>
      </w:hyperlink>
      <w:r w:rsidR="004C172D" w:rsidRPr="00EB2A7C">
        <w:rPr>
          <w:rFonts w:ascii="Arial" w:hAnsi="Arial" w:cs="Arial"/>
          <w:bCs/>
          <w:sz w:val="24"/>
          <w:szCs w:val="24"/>
        </w:rPr>
        <w:t>, or by signing up to the </w:t>
      </w:r>
      <w:hyperlink r:id="rId976" w:tgtFrame="_blank" w:history="1">
        <w:r w:rsidR="004C172D" w:rsidRPr="00EB2A7C">
          <w:rPr>
            <w:rFonts w:ascii="Arial" w:hAnsi="Arial" w:cs="Arial"/>
            <w:bCs/>
            <w:color w:val="0563C1" w:themeColor="hyperlink"/>
            <w:sz w:val="24"/>
            <w:szCs w:val="24"/>
            <w:u w:val="single"/>
          </w:rPr>
          <w:t>G20 Anti-Corruption Open Data Principles</w:t>
        </w:r>
      </w:hyperlink>
      <w:r w:rsidR="004C172D" w:rsidRPr="00EB2A7C">
        <w:rPr>
          <w:rFonts w:ascii="Arial" w:hAnsi="Arial" w:cs="Arial"/>
          <w:bCs/>
          <w:sz w:val="24"/>
          <w:szCs w:val="24"/>
        </w:rPr>
        <w:t>. It concludes that while global progress in opening data has been slow, government’s that have made commitments to open data perform better than those that haven’t. It states that open data must become part of the government’s day-to-day workflow across the whole public sector, otherwise it will continue to be published in the haphazard, incomplete way. Governments should thus start investing in the policies, practices and infrastructure that will drive this transformation. The report outlines a number of specific recommendations that governments can make in three key areas:</w:t>
      </w:r>
    </w:p>
    <w:p w14:paraId="648027B5" w14:textId="42E45156" w:rsidR="00334D47" w:rsidRDefault="00334D47" w:rsidP="004C172D">
      <w:pPr>
        <w:spacing w:line="276" w:lineRule="auto"/>
        <w:contextualSpacing/>
        <w:jc w:val="both"/>
        <w:rPr>
          <w:rFonts w:ascii="Arial" w:hAnsi="Arial" w:cs="Arial"/>
          <w:bCs/>
          <w:sz w:val="24"/>
          <w:szCs w:val="24"/>
        </w:rPr>
      </w:pPr>
    </w:p>
    <w:p w14:paraId="4C113086" w14:textId="2B1123C9" w:rsidR="00334D47" w:rsidRDefault="00334D47" w:rsidP="004C172D">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559230" behindDoc="0" locked="0" layoutInCell="1" allowOverlap="1" wp14:anchorId="3ABA109F" wp14:editId="0379302C">
                <wp:simplePos x="0" y="0"/>
                <wp:positionH relativeFrom="column">
                  <wp:posOffset>652780</wp:posOffset>
                </wp:positionH>
                <wp:positionV relativeFrom="paragraph">
                  <wp:posOffset>73932</wp:posOffset>
                </wp:positionV>
                <wp:extent cx="5588635" cy="517797"/>
                <wp:effectExtent l="0" t="0" r="0" b="0"/>
                <wp:wrapNone/>
                <wp:docPr id="2420" name="Text Box 2420"/>
                <wp:cNvGraphicFramePr/>
                <a:graphic xmlns:a="http://schemas.openxmlformats.org/drawingml/2006/main">
                  <a:graphicData uri="http://schemas.microsoft.com/office/word/2010/wordprocessingShape">
                    <wps:wsp>
                      <wps:cNvSpPr txBox="1"/>
                      <wps:spPr>
                        <a:xfrm>
                          <a:off x="0" y="0"/>
                          <a:ext cx="5588635" cy="517797"/>
                        </a:xfrm>
                        <a:prstGeom prst="rect">
                          <a:avLst/>
                        </a:prstGeom>
                        <a:noFill/>
                        <a:ln w="6350">
                          <a:noFill/>
                        </a:ln>
                      </wps:spPr>
                      <wps:txbx>
                        <w:txbxContent>
                          <w:p w14:paraId="3715E2AB" w14:textId="4FF5AFB4" w:rsidR="00D15FD8" w:rsidRPr="00BD6508" w:rsidRDefault="00D15FD8" w:rsidP="00CA1C2E">
                            <w:pPr>
                              <w:jc w:val="both"/>
                              <w:rPr>
                                <w:b/>
                                <w:bCs/>
                                <w:color w:val="FFFFFF" w:themeColor="background1"/>
                              </w:rPr>
                            </w:pPr>
                            <w:r w:rsidRPr="00334D47">
                              <w:rPr>
                                <w:rFonts w:ascii="Arial" w:hAnsi="Arial" w:cs="Arial"/>
                                <w:b/>
                                <w:bCs/>
                                <w:color w:val="FFFFFF" w:themeColor="background1"/>
                                <w:sz w:val="24"/>
                                <w:szCs w:val="24"/>
                              </w:rPr>
                              <w:t>Put “open by default” into action: Develop clear plans, guidelines and procedures to disclose data proactively.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A109F" id="Text Box 2420" o:spid="_x0000_s1678" type="#_x0000_t202" style="position:absolute;left:0;text-align:left;margin-left:51.4pt;margin-top:5.8pt;width:440.05pt;height:40.75pt;z-index:254559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" filled="f" stroked="f" strokeweight=".5pt">
                <v:textbox>
                  <w:txbxContent>
                    <w:p w14:paraId="3715E2AB" w14:textId="4FF5AFB4" w:rsidR="00D15FD8" w:rsidRPr="00BD6508" w:rsidRDefault="00D15FD8" w:rsidP="00CA1C2E">
                      <w:pPr>
                        <w:jc w:val="both"/>
                        <w:rPr>
                          <w:b/>
                          <w:bCs/>
                          <w:color w:val="FFFFFF" w:themeColor="background1"/>
                        </w:rPr>
                      </w:pPr>
                      <w:r w:rsidRPr="00334D47">
                        <w:rPr>
                          <w:rFonts w:ascii="Arial" w:hAnsi="Arial" w:cs="Arial"/>
                          <w:b/>
                          <w:bCs/>
                          <w:color w:val="FFFFFF" w:themeColor="background1"/>
                          <w:sz w:val="24"/>
                          <w:szCs w:val="24"/>
                        </w:rPr>
                        <w:t>Put “open by default” into action: Develop clear plans, guidelines and procedures to disclose data proactively.</w:t>
                      </w:r>
                    </w:p>
                  </w:txbxContent>
                </v:textbox>
              </v:shape>
            </w:pict>
          </mc:Fallback>
        </mc:AlternateContent>
      </w:r>
      <w:r>
        <w:rPr>
          <w:rFonts w:ascii="Arial" w:hAnsi="Arial" w:cs="Arial"/>
          <w:b/>
          <w:bCs/>
          <w:noProof/>
          <w:color w:val="82C9A0"/>
          <w:sz w:val="32"/>
          <w:szCs w:val="32"/>
          <w:lang w:val="en-US"/>
        </w:rPr>
        <mc:AlternateContent>
          <mc:Choice Requires="wps">
            <w:drawing>
              <wp:anchor distT="0" distB="0" distL="114300" distR="114300" simplePos="0" relativeHeight="254558206" behindDoc="0" locked="0" layoutInCell="1" allowOverlap="1" wp14:anchorId="7CD632F1" wp14:editId="5B39ABCC">
                <wp:simplePos x="0" y="0"/>
                <wp:positionH relativeFrom="margin">
                  <wp:posOffset>444500</wp:posOffset>
                </wp:positionH>
                <wp:positionV relativeFrom="paragraph">
                  <wp:posOffset>-635</wp:posOffset>
                </wp:positionV>
                <wp:extent cx="6111240" cy="622300"/>
                <wp:effectExtent l="0" t="0" r="0" b="0"/>
                <wp:wrapNone/>
                <wp:docPr id="2419" name="Rounded Rectangle 2419"/>
                <wp:cNvGraphicFramePr/>
                <a:graphic xmlns:a="http://schemas.openxmlformats.org/drawingml/2006/main">
                  <a:graphicData uri="http://schemas.microsoft.com/office/word/2010/wordprocessingShape">
                    <wps:wsp>
                      <wps:cNvSpPr/>
                      <wps:spPr>
                        <a:xfrm>
                          <a:off x="0" y="0"/>
                          <a:ext cx="6111240" cy="6223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E0B465A" id="Rounded Rectangle 2419" o:spid="_x0000_s1026" style="position:absolute;margin-left:35pt;margin-top:-.05pt;width:481.2pt;height:49pt;z-index:2545582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" fillcolor="#f8a133" stroked="f" strokeweight="1pt">
                <v:stroke joinstyle="miter"/>
                <w10:wrap anchorx="margin"/>
              </v:roundrect>
            </w:pict>
          </mc:Fallback>
        </mc:AlternateContent>
      </w:r>
      <w:r>
        <w:rPr>
          <w:rFonts w:ascii="Arial" w:hAnsi="Arial" w:cs="Arial"/>
          <w:b/>
          <w:bCs/>
          <w:noProof/>
          <w:color w:val="82C9A0"/>
          <w:sz w:val="32"/>
          <w:szCs w:val="32"/>
          <w:lang w:val="en-US"/>
        </w:rPr>
        <mc:AlternateContent>
          <mc:Choice Requires="wps">
            <w:drawing>
              <wp:anchor distT="0" distB="0" distL="114300" distR="114300" simplePos="0" relativeHeight="254560254" behindDoc="0" locked="0" layoutInCell="1" allowOverlap="1" wp14:anchorId="50D50818" wp14:editId="4E80AA91">
                <wp:simplePos x="0" y="0"/>
                <wp:positionH relativeFrom="column">
                  <wp:posOffset>0</wp:posOffset>
                </wp:positionH>
                <wp:positionV relativeFrom="paragraph">
                  <wp:posOffset>189865</wp:posOffset>
                </wp:positionV>
                <wp:extent cx="279400" cy="279400"/>
                <wp:effectExtent l="0" t="0" r="0" b="0"/>
                <wp:wrapNone/>
                <wp:docPr id="2421" name="Oval 2421"/>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6395CD4C" id="Oval 2421" o:spid="_x0000_s1026" style="position:absolute;margin-left:0;margin-top:14.95pt;width:22pt;height:22pt;z-index:254560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" fillcolor="#82c9a0" stroked="f" strokeweight="1pt">
                <v:stroke joinstyle="miter"/>
              </v:oval>
            </w:pict>
          </mc:Fallback>
        </mc:AlternateContent>
      </w:r>
    </w:p>
    <w:p w14:paraId="15B2AAF6" w14:textId="29BD06C9" w:rsidR="00334D47" w:rsidRDefault="00334D47" w:rsidP="004C172D">
      <w:pPr>
        <w:spacing w:line="276" w:lineRule="auto"/>
        <w:contextualSpacing/>
        <w:jc w:val="both"/>
        <w:rPr>
          <w:rFonts w:ascii="Arial" w:hAnsi="Arial" w:cs="Arial"/>
          <w:bCs/>
          <w:sz w:val="24"/>
          <w:szCs w:val="24"/>
        </w:rPr>
      </w:pPr>
    </w:p>
    <w:p w14:paraId="17CCAD3C" w14:textId="73CE8A92" w:rsidR="00334D47" w:rsidRDefault="00334D47" w:rsidP="004C172D">
      <w:pPr>
        <w:spacing w:line="276" w:lineRule="auto"/>
        <w:contextualSpacing/>
        <w:jc w:val="both"/>
        <w:rPr>
          <w:rFonts w:ascii="Arial" w:hAnsi="Arial" w:cs="Arial"/>
          <w:bCs/>
          <w:sz w:val="24"/>
          <w:szCs w:val="24"/>
        </w:rPr>
      </w:pPr>
    </w:p>
    <w:p w14:paraId="3F51A47C" w14:textId="6319A310" w:rsidR="00334D47" w:rsidRDefault="00334D47" w:rsidP="004C172D">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562302" behindDoc="0" locked="0" layoutInCell="1" allowOverlap="1" wp14:anchorId="46F89606" wp14:editId="5C33606E">
                <wp:simplePos x="0" y="0"/>
                <wp:positionH relativeFrom="margin">
                  <wp:posOffset>443865</wp:posOffset>
                </wp:positionH>
                <wp:positionV relativeFrom="paragraph">
                  <wp:posOffset>161925</wp:posOffset>
                </wp:positionV>
                <wp:extent cx="6111240" cy="784800"/>
                <wp:effectExtent l="0" t="0" r="0" b="3175"/>
                <wp:wrapNone/>
                <wp:docPr id="2422" name="Rounded Rectangle 2422"/>
                <wp:cNvGraphicFramePr/>
                <a:graphic xmlns:a="http://schemas.openxmlformats.org/drawingml/2006/main">
                  <a:graphicData uri="http://schemas.microsoft.com/office/word/2010/wordprocessingShape">
                    <wps:wsp>
                      <wps:cNvSpPr/>
                      <wps:spPr>
                        <a:xfrm>
                          <a:off x="0" y="0"/>
                          <a:ext cx="6111240" cy="784800"/>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135C6AC" id="Rounded Rectangle 2422" o:spid="_x0000_s1026" style="position:absolute;margin-left:34.95pt;margin-top:12.75pt;width:481.2pt;height:61.8pt;z-index:254562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" fillcolor="#f8a133" stroked="f" strokeweight="1pt">
                <v:stroke joinstyle="miter"/>
                <w10:wrap anchorx="margin"/>
              </v:roundrect>
            </w:pict>
          </mc:Fallback>
        </mc:AlternateContent>
      </w:r>
    </w:p>
    <w:p w14:paraId="7B603602" w14:textId="0BA78AE9" w:rsidR="00334D47" w:rsidRDefault="00334D47" w:rsidP="004C172D">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563326" behindDoc="0" locked="0" layoutInCell="1" allowOverlap="1" wp14:anchorId="234739B0" wp14:editId="6FB9B7BE">
                <wp:simplePos x="0" y="0"/>
                <wp:positionH relativeFrom="column">
                  <wp:posOffset>653143</wp:posOffset>
                </wp:positionH>
                <wp:positionV relativeFrom="paragraph">
                  <wp:posOffset>39098</wp:posOffset>
                </wp:positionV>
                <wp:extent cx="5588635" cy="666206"/>
                <wp:effectExtent l="0" t="0" r="0" b="0"/>
                <wp:wrapNone/>
                <wp:docPr id="2423" name="Text Box 2423"/>
                <wp:cNvGraphicFramePr/>
                <a:graphic xmlns:a="http://schemas.openxmlformats.org/drawingml/2006/main">
                  <a:graphicData uri="http://schemas.microsoft.com/office/word/2010/wordprocessingShape">
                    <wps:wsp>
                      <wps:cNvSpPr txBox="1"/>
                      <wps:spPr>
                        <a:xfrm>
                          <a:off x="0" y="0"/>
                          <a:ext cx="5588635" cy="666206"/>
                        </a:xfrm>
                        <a:prstGeom prst="rect">
                          <a:avLst/>
                        </a:prstGeom>
                        <a:noFill/>
                        <a:ln w="6350">
                          <a:noFill/>
                        </a:ln>
                      </wps:spPr>
                      <wps:txbx>
                        <w:txbxContent>
                          <w:p w14:paraId="678E0FB6" w14:textId="1F627F68" w:rsidR="00D15FD8" w:rsidRPr="00BD6508" w:rsidRDefault="00D15FD8" w:rsidP="00CA1C2E">
                            <w:pPr>
                              <w:jc w:val="both"/>
                              <w:rPr>
                                <w:b/>
                                <w:bCs/>
                                <w:color w:val="FFFFFF" w:themeColor="background1"/>
                              </w:rPr>
                            </w:pPr>
                            <w:r w:rsidRPr="00334D47">
                              <w:rPr>
                                <w:rFonts w:ascii="Arial" w:hAnsi="Arial" w:cs="Arial"/>
                                <w:b/>
                                <w:bCs/>
                                <w:color w:val="FFFFFF" w:themeColor="background1"/>
                                <w:sz w:val="24"/>
                                <w:szCs w:val="24"/>
                              </w:rPr>
                              <w:t>Build and consolidate open data infrastructure: Improve data quality and interoperability through effective data management practices and data management systems.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739B0" id="Text Box 2423" o:spid="_x0000_s1679" type="#_x0000_t202" style="position:absolute;left:0;text-align:left;margin-left:51.45pt;margin-top:3.1pt;width:440.05pt;height:52.45pt;z-index:254563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" filled="f" stroked="f" strokeweight=".5pt">
                <v:textbox>
                  <w:txbxContent>
                    <w:p w14:paraId="678E0FB6" w14:textId="1F627F68" w:rsidR="00D15FD8" w:rsidRPr="00BD6508" w:rsidRDefault="00D15FD8" w:rsidP="00CA1C2E">
                      <w:pPr>
                        <w:jc w:val="both"/>
                        <w:rPr>
                          <w:b/>
                          <w:bCs/>
                          <w:color w:val="FFFFFF" w:themeColor="background1"/>
                        </w:rPr>
                      </w:pPr>
                      <w:r w:rsidRPr="00334D47">
                        <w:rPr>
                          <w:rFonts w:ascii="Arial" w:hAnsi="Arial" w:cs="Arial"/>
                          <w:b/>
                          <w:bCs/>
                          <w:color w:val="FFFFFF" w:themeColor="background1"/>
                          <w:sz w:val="24"/>
                          <w:szCs w:val="24"/>
                        </w:rPr>
                        <w:t>Build and consolidate open data infrastructure: Improve data quality and interoperability through effective data management practices and data management systems.</w:t>
                      </w:r>
                    </w:p>
                  </w:txbxContent>
                </v:textbox>
              </v:shape>
            </w:pict>
          </mc:Fallback>
        </mc:AlternateContent>
      </w:r>
    </w:p>
    <w:p w14:paraId="2F0E08CB" w14:textId="37FAF6AD" w:rsidR="00334D47" w:rsidRDefault="00334D47" w:rsidP="004C172D">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564350" behindDoc="0" locked="0" layoutInCell="1" allowOverlap="1" wp14:anchorId="18D00641" wp14:editId="125880B7">
                <wp:simplePos x="0" y="0"/>
                <wp:positionH relativeFrom="column">
                  <wp:posOffset>-4445</wp:posOffset>
                </wp:positionH>
                <wp:positionV relativeFrom="paragraph">
                  <wp:posOffset>31387</wp:posOffset>
                </wp:positionV>
                <wp:extent cx="279400" cy="279400"/>
                <wp:effectExtent l="0" t="0" r="0" b="0"/>
                <wp:wrapNone/>
                <wp:docPr id="2424" name="Oval 2424"/>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776834BC" id="Oval 2424" o:spid="_x0000_s1026" style="position:absolute;margin-left:-.35pt;margin-top:2.45pt;width:22pt;height:22pt;z-index:2545643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" fillcolor="#82c9a0" stroked="f" strokeweight="1pt">
                <v:stroke joinstyle="miter"/>
              </v:oval>
            </w:pict>
          </mc:Fallback>
        </mc:AlternateContent>
      </w:r>
    </w:p>
    <w:p w14:paraId="69B40990" w14:textId="12F8FC0A" w:rsidR="00334D47" w:rsidRDefault="00334D47" w:rsidP="004C172D">
      <w:pPr>
        <w:spacing w:line="276" w:lineRule="auto"/>
        <w:contextualSpacing/>
        <w:jc w:val="both"/>
        <w:rPr>
          <w:rFonts w:ascii="Arial" w:hAnsi="Arial" w:cs="Arial"/>
          <w:bCs/>
          <w:sz w:val="24"/>
          <w:szCs w:val="24"/>
        </w:rPr>
      </w:pPr>
    </w:p>
    <w:p w14:paraId="054CFF94" w14:textId="59E30FF6" w:rsidR="00334D47" w:rsidRDefault="00334D47" w:rsidP="004C172D">
      <w:pPr>
        <w:spacing w:line="276" w:lineRule="auto"/>
        <w:contextualSpacing/>
        <w:jc w:val="both"/>
        <w:rPr>
          <w:rFonts w:ascii="Arial" w:hAnsi="Arial" w:cs="Arial"/>
          <w:bCs/>
          <w:sz w:val="24"/>
          <w:szCs w:val="24"/>
        </w:rPr>
      </w:pPr>
    </w:p>
    <w:p w14:paraId="68D059D2" w14:textId="315B887C" w:rsidR="00334D47" w:rsidRDefault="00334D47" w:rsidP="004C172D">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w:lastRenderedPageBreak/>
        <mc:AlternateContent>
          <mc:Choice Requires="wps">
            <w:drawing>
              <wp:anchor distT="0" distB="0" distL="114300" distR="114300" simplePos="0" relativeHeight="254566398" behindDoc="0" locked="0" layoutInCell="1" allowOverlap="1" wp14:anchorId="47DDC2E7" wp14:editId="6BB519D3">
                <wp:simplePos x="0" y="0"/>
                <wp:positionH relativeFrom="margin">
                  <wp:posOffset>456565</wp:posOffset>
                </wp:positionH>
                <wp:positionV relativeFrom="paragraph">
                  <wp:posOffset>94615</wp:posOffset>
                </wp:positionV>
                <wp:extent cx="6111240" cy="953135"/>
                <wp:effectExtent l="0" t="0" r="0" b="0"/>
                <wp:wrapNone/>
                <wp:docPr id="2425" name="Rounded Rectangle 2425"/>
                <wp:cNvGraphicFramePr/>
                <a:graphic xmlns:a="http://schemas.openxmlformats.org/drawingml/2006/main">
                  <a:graphicData uri="http://schemas.microsoft.com/office/word/2010/wordprocessingShape">
                    <wps:wsp>
                      <wps:cNvSpPr/>
                      <wps:spPr>
                        <a:xfrm>
                          <a:off x="0" y="0"/>
                          <a:ext cx="6111240" cy="953135"/>
                        </a:xfrm>
                        <a:prstGeom prst="roundRect">
                          <a:avLst/>
                        </a:prstGeom>
                        <a:solidFill>
                          <a:srgbClr val="F8A1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F109CF6" id="Rounded Rectangle 2425" o:spid="_x0000_s1026" style="position:absolute;margin-left:35.95pt;margin-top:7.45pt;width:481.2pt;height:75.05pt;z-index:2545663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" fillcolor="#f8a133" stroked="f" strokeweight="1pt">
                <v:stroke joinstyle="miter"/>
                <w10:wrap anchorx="margin"/>
              </v:roundrect>
            </w:pict>
          </mc:Fallback>
        </mc:AlternateContent>
      </w:r>
      <w:r>
        <w:rPr>
          <w:rFonts w:ascii="Arial" w:hAnsi="Arial" w:cs="Arial"/>
          <w:b/>
          <w:bCs/>
          <w:noProof/>
          <w:color w:val="82C9A0"/>
          <w:sz w:val="32"/>
          <w:szCs w:val="32"/>
          <w:lang w:val="en-US"/>
        </w:rPr>
        <mc:AlternateContent>
          <mc:Choice Requires="wps">
            <w:drawing>
              <wp:anchor distT="0" distB="0" distL="114300" distR="114300" simplePos="0" relativeHeight="254567422" behindDoc="0" locked="0" layoutInCell="1" allowOverlap="1" wp14:anchorId="6D2F7134" wp14:editId="61F1C9DA">
                <wp:simplePos x="0" y="0"/>
                <wp:positionH relativeFrom="column">
                  <wp:posOffset>665752</wp:posOffset>
                </wp:positionH>
                <wp:positionV relativeFrom="paragraph">
                  <wp:posOffset>185420</wp:posOffset>
                </wp:positionV>
                <wp:extent cx="5588635" cy="809625"/>
                <wp:effectExtent l="0" t="0" r="0" b="0"/>
                <wp:wrapNone/>
                <wp:docPr id="2426" name="Text Box 2426"/>
                <wp:cNvGraphicFramePr/>
                <a:graphic xmlns:a="http://schemas.openxmlformats.org/drawingml/2006/main">
                  <a:graphicData uri="http://schemas.microsoft.com/office/word/2010/wordprocessingShape">
                    <wps:wsp>
                      <wps:cNvSpPr txBox="1"/>
                      <wps:spPr>
                        <a:xfrm>
                          <a:off x="0" y="0"/>
                          <a:ext cx="5588635" cy="809625"/>
                        </a:xfrm>
                        <a:prstGeom prst="rect">
                          <a:avLst/>
                        </a:prstGeom>
                        <a:noFill/>
                        <a:ln w="6350">
                          <a:noFill/>
                        </a:ln>
                      </wps:spPr>
                      <wps:txbx>
                        <w:txbxContent>
                          <w:p w14:paraId="7894AEF7" w14:textId="20BE8BA7" w:rsidR="00D15FD8" w:rsidRPr="00BD6508" w:rsidRDefault="00D15FD8" w:rsidP="00896E25">
                            <w:pPr>
                              <w:jc w:val="both"/>
                              <w:rPr>
                                <w:b/>
                                <w:bCs/>
                                <w:color w:val="FFFFFF" w:themeColor="background1"/>
                              </w:rPr>
                            </w:pPr>
                            <w:r w:rsidRPr="00334D47">
                              <w:rPr>
                                <w:rFonts w:ascii="Arial" w:hAnsi="Arial" w:cs="Arial"/>
                                <w:b/>
                                <w:bCs/>
                                <w:color w:val="FFFFFF" w:themeColor="background1"/>
                                <w:sz w:val="24"/>
                                <w:szCs w:val="24"/>
                              </w:rPr>
                              <w:t>Publish data with purpose: Work closely with civic groups and multi-stakeholder advisory groups to identify pressing challenges that open data can help solve; publish the relevant datasets; and analyse the impact achieved.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F7134" id="Text Box 2426" o:spid="_x0000_s1680" type="#_x0000_t202" style="position:absolute;left:0;text-align:left;margin-left:52.4pt;margin-top:14.6pt;width:440.05pt;height:63.75pt;z-index:254567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" filled="f" stroked="f" strokeweight=".5pt">
                <v:textbox>
                  <w:txbxContent>
                    <w:p w14:paraId="7894AEF7" w14:textId="20BE8BA7" w:rsidR="00D15FD8" w:rsidRPr="00BD6508" w:rsidRDefault="00D15FD8" w:rsidP="00896E25">
                      <w:pPr>
                        <w:jc w:val="both"/>
                        <w:rPr>
                          <w:b/>
                          <w:bCs/>
                          <w:color w:val="FFFFFF" w:themeColor="background1"/>
                        </w:rPr>
                      </w:pPr>
                      <w:r w:rsidRPr="00334D47">
                        <w:rPr>
                          <w:rFonts w:ascii="Arial" w:hAnsi="Arial" w:cs="Arial"/>
                          <w:b/>
                          <w:bCs/>
                          <w:color w:val="FFFFFF" w:themeColor="background1"/>
                          <w:sz w:val="24"/>
                          <w:szCs w:val="24"/>
                        </w:rPr>
                        <w:t>Publish data with purpose: Work closely with civic groups and multi-stakeholder advisory groups to identify pressing challenges that open data can help solve; publish the relevant datasets; and analyse the impact achieved.</w:t>
                      </w:r>
                    </w:p>
                  </w:txbxContent>
                </v:textbox>
              </v:shape>
            </w:pict>
          </mc:Fallback>
        </mc:AlternateContent>
      </w:r>
    </w:p>
    <w:p w14:paraId="6A2DFCF0" w14:textId="7A6B8EDC" w:rsidR="00334D47" w:rsidRDefault="00334D47" w:rsidP="004C172D">
      <w:pPr>
        <w:spacing w:line="276" w:lineRule="auto"/>
        <w:contextualSpacing/>
        <w:jc w:val="both"/>
        <w:rPr>
          <w:rFonts w:ascii="Arial" w:hAnsi="Arial" w:cs="Arial"/>
          <w:bCs/>
          <w:sz w:val="24"/>
          <w:szCs w:val="24"/>
        </w:rPr>
      </w:pPr>
    </w:p>
    <w:p w14:paraId="7C8CD528" w14:textId="31D61C4C" w:rsidR="00334D47" w:rsidRDefault="00334D47" w:rsidP="004C172D">
      <w:pPr>
        <w:spacing w:line="276" w:lineRule="auto"/>
        <w:contextualSpacing/>
        <w:jc w:val="both"/>
        <w:rPr>
          <w:rFonts w:ascii="Arial" w:hAnsi="Arial" w:cs="Arial"/>
          <w:bCs/>
          <w:sz w:val="24"/>
          <w:szCs w:val="24"/>
        </w:rPr>
      </w:pPr>
      <w:r>
        <w:rPr>
          <w:rFonts w:ascii="Arial" w:hAnsi="Arial" w:cs="Arial"/>
          <w:b/>
          <w:bCs/>
          <w:noProof/>
          <w:color w:val="82C9A0"/>
          <w:sz w:val="32"/>
          <w:szCs w:val="32"/>
          <w:lang w:val="en-US"/>
        </w:rPr>
        <mc:AlternateContent>
          <mc:Choice Requires="wps">
            <w:drawing>
              <wp:anchor distT="0" distB="0" distL="114300" distR="114300" simplePos="0" relativeHeight="254568446" behindDoc="0" locked="0" layoutInCell="1" allowOverlap="1" wp14:anchorId="144AE67A" wp14:editId="7B113312">
                <wp:simplePos x="0" y="0"/>
                <wp:positionH relativeFrom="column">
                  <wp:posOffset>19050</wp:posOffset>
                </wp:positionH>
                <wp:positionV relativeFrom="paragraph">
                  <wp:posOffset>84183</wp:posOffset>
                </wp:positionV>
                <wp:extent cx="279400" cy="279400"/>
                <wp:effectExtent l="0" t="0" r="0" b="0"/>
                <wp:wrapNone/>
                <wp:docPr id="2427" name="Oval 2427"/>
                <wp:cNvGraphicFramePr/>
                <a:graphic xmlns:a="http://schemas.openxmlformats.org/drawingml/2006/main">
                  <a:graphicData uri="http://schemas.microsoft.com/office/word/2010/wordprocessingShape">
                    <wps:wsp>
                      <wps:cNvSpPr/>
                      <wps:spPr>
                        <a:xfrm>
                          <a:off x="0" y="0"/>
                          <a:ext cx="279400" cy="279400"/>
                        </a:xfrm>
                        <a:prstGeom prst="ellipse">
                          <a:avLst/>
                        </a:prstGeom>
                        <a:solidFill>
                          <a:srgbClr val="82C9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3221C366" id="Oval 2427" o:spid="_x0000_s1026" style="position:absolute;margin-left:1.5pt;margin-top:6.65pt;width:22pt;height:22pt;z-index:2545684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" fillcolor="#82c9a0" stroked="f" strokeweight="1pt">
                <v:stroke joinstyle="miter"/>
              </v:oval>
            </w:pict>
          </mc:Fallback>
        </mc:AlternateContent>
      </w:r>
    </w:p>
    <w:p w14:paraId="25D0393A" w14:textId="40303EB6" w:rsidR="00334D47" w:rsidRDefault="00334D47" w:rsidP="004C172D">
      <w:pPr>
        <w:spacing w:line="276" w:lineRule="auto"/>
        <w:contextualSpacing/>
        <w:jc w:val="both"/>
        <w:rPr>
          <w:rFonts w:ascii="Arial" w:hAnsi="Arial" w:cs="Arial"/>
          <w:bCs/>
          <w:sz w:val="24"/>
          <w:szCs w:val="24"/>
        </w:rPr>
      </w:pPr>
    </w:p>
    <w:p w14:paraId="15E2A163" w14:textId="77777777" w:rsidR="00334D47" w:rsidRDefault="00334D47" w:rsidP="004C172D">
      <w:pPr>
        <w:spacing w:line="276" w:lineRule="auto"/>
        <w:contextualSpacing/>
        <w:jc w:val="both"/>
        <w:rPr>
          <w:rFonts w:ascii="Arial" w:hAnsi="Arial" w:cs="Arial"/>
          <w:bCs/>
          <w:sz w:val="24"/>
          <w:szCs w:val="24"/>
        </w:rPr>
      </w:pPr>
    </w:p>
    <w:p w14:paraId="2A3F7999" w14:textId="77777777" w:rsidR="00334D47" w:rsidRPr="00EB2A7C" w:rsidRDefault="00334D47" w:rsidP="00EB2A7C">
      <w:pPr>
        <w:spacing w:line="276" w:lineRule="auto"/>
        <w:contextualSpacing/>
        <w:jc w:val="both"/>
        <w:rPr>
          <w:rFonts w:ascii="Arial" w:hAnsi="Arial" w:cs="Arial"/>
          <w:bCs/>
          <w:sz w:val="24"/>
          <w:szCs w:val="24"/>
        </w:rPr>
      </w:pPr>
    </w:p>
    <w:p w14:paraId="23D96DAE" w14:textId="69BBA6CC" w:rsidR="004C172D" w:rsidRDefault="004C172D" w:rsidP="004C172D">
      <w:pPr>
        <w:spacing w:line="276" w:lineRule="auto"/>
        <w:contextualSpacing/>
        <w:jc w:val="both"/>
        <w:rPr>
          <w:rFonts w:ascii="Arial" w:hAnsi="Arial" w:cs="Arial"/>
          <w:bCs/>
          <w:sz w:val="24"/>
          <w:szCs w:val="24"/>
        </w:rPr>
      </w:pPr>
      <w:r w:rsidRPr="00EB2A7C">
        <w:rPr>
          <w:rFonts w:ascii="Arial" w:hAnsi="Arial" w:cs="Arial"/>
          <w:bCs/>
          <w:sz w:val="24"/>
          <w:szCs w:val="24"/>
        </w:rPr>
        <w:t xml:space="preserve">The report concludes that, despite these governments being global leaders in open data, they still have a long way to go to move from promise to progress on open data implementation and impact, and should focus their efforts on data governance. </w:t>
      </w:r>
    </w:p>
    <w:p w14:paraId="5EFACABB" w14:textId="77777777" w:rsidR="00A83328" w:rsidRPr="00EB2A7C" w:rsidRDefault="00A83328" w:rsidP="00EB2A7C">
      <w:pPr>
        <w:spacing w:line="276" w:lineRule="auto"/>
        <w:contextualSpacing/>
        <w:jc w:val="both"/>
        <w:rPr>
          <w:rFonts w:ascii="Arial" w:hAnsi="Arial" w:cs="Arial"/>
          <w:bCs/>
          <w:sz w:val="24"/>
          <w:szCs w:val="24"/>
        </w:rPr>
      </w:pPr>
    </w:p>
    <w:p w14:paraId="67516860" w14:textId="48B57161" w:rsidR="004C172D" w:rsidRPr="00EB2A7C" w:rsidRDefault="004C172D" w:rsidP="00EB2A7C">
      <w:pPr>
        <w:spacing w:line="276" w:lineRule="auto"/>
        <w:contextualSpacing/>
        <w:jc w:val="both"/>
        <w:rPr>
          <w:rFonts w:ascii="Arial" w:hAnsi="Arial" w:cs="Arial"/>
          <w:bCs/>
          <w:sz w:val="24"/>
          <w:szCs w:val="24"/>
          <w:lang w:val="en-US"/>
        </w:rPr>
      </w:pPr>
      <w:r w:rsidRPr="00EB2A7C">
        <w:rPr>
          <w:rFonts w:ascii="Arial" w:hAnsi="Arial" w:cs="Arial"/>
          <w:bCs/>
          <w:sz w:val="24"/>
          <w:szCs w:val="24"/>
        </w:rPr>
        <w:t xml:space="preserve">More recently, a </w:t>
      </w:r>
      <w:r w:rsidRPr="00EB2A7C">
        <w:rPr>
          <w:rFonts w:ascii="Arial" w:hAnsi="Arial" w:cs="Arial"/>
          <w:bCs/>
          <w:sz w:val="24"/>
          <w:szCs w:val="24"/>
          <w:lang w:val="en-US"/>
        </w:rPr>
        <w:t xml:space="preserve">new global data </w:t>
      </w:r>
      <w:r w:rsidRPr="00EB2A7C">
        <w:rPr>
          <w:rFonts w:ascii="Arial" w:hAnsi="Arial" w:cs="Arial"/>
          <w:bCs/>
          <w:sz w:val="24"/>
          <w:szCs w:val="24"/>
        </w:rPr>
        <w:t xml:space="preserve">study was released by the </w:t>
      </w:r>
      <w:hyperlink r:id="rId977" w:history="1">
        <w:r w:rsidRPr="00EB2A7C">
          <w:rPr>
            <w:rStyle w:val="Hyperlink"/>
            <w:rFonts w:ascii="Arial" w:hAnsi="Arial" w:cs="Arial"/>
            <w:bCs/>
            <w:sz w:val="24"/>
            <w:szCs w:val="24"/>
          </w:rPr>
          <w:t>Global Data Barometer</w:t>
        </w:r>
      </w:hyperlink>
      <w:r w:rsidRPr="00EB2A7C">
        <w:rPr>
          <w:rFonts w:ascii="Arial" w:hAnsi="Arial" w:cs="Arial"/>
          <w:bCs/>
          <w:sz w:val="24"/>
          <w:szCs w:val="24"/>
        </w:rPr>
        <w:t xml:space="preserve"> in 2022</w:t>
      </w:r>
      <w:r w:rsidRPr="00EB2A7C">
        <w:rPr>
          <w:rStyle w:val="FootnoteReference"/>
          <w:rFonts w:ascii="Arial" w:hAnsi="Arial" w:cs="Arial"/>
          <w:bCs/>
          <w:sz w:val="24"/>
          <w:szCs w:val="24"/>
        </w:rPr>
        <w:footnoteReference w:id="80"/>
      </w:r>
      <w:r w:rsidRPr="00EB2A7C">
        <w:rPr>
          <w:rFonts w:ascii="Arial" w:hAnsi="Arial" w:cs="Arial"/>
          <w:bCs/>
          <w:sz w:val="24"/>
          <w:szCs w:val="24"/>
        </w:rPr>
        <w:t>. It</w:t>
      </w:r>
      <w:r w:rsidRPr="00EB2A7C">
        <w:rPr>
          <w:rFonts w:ascii="Arial" w:hAnsi="Arial" w:cs="Arial"/>
          <w:bCs/>
          <w:sz w:val="24"/>
          <w:szCs w:val="24"/>
          <w:lang w:val="en-US"/>
        </w:rPr>
        <w:t xml:space="preserve"> is based on a survey carried out from May 2019 to May 2021, evaluating 109 countries in respect of four pillars: data governance, capability, availability, use and impact of data; </w:t>
      </w:r>
      <w:r w:rsidRPr="00EB2A7C">
        <w:rPr>
          <w:rFonts w:ascii="Arial" w:hAnsi="Arial" w:cs="Arial"/>
          <w:bCs/>
          <w:sz w:val="24"/>
          <w:szCs w:val="24"/>
        </w:rPr>
        <w:t>two core modules; and seven thematic modules, one dedicated to Public Finance.</w:t>
      </w:r>
      <w:r w:rsidRPr="00EB2A7C">
        <w:rPr>
          <w:rFonts w:ascii="Arial" w:hAnsi="Arial" w:cs="Arial"/>
          <w:bCs/>
          <w:sz w:val="24"/>
          <w:szCs w:val="24"/>
          <w:lang w:val="en-US"/>
        </w:rPr>
        <w:t xml:space="preserve"> The Public Finance Module, developed in collaboration with GIFT, aims to establish a baseline for governments' Public Finance data collection, management, and reporting, enabling one to make comparisons across countries; understand a country’s specific public finance data practices, seeing how advanced its practices are and whether they meet international standards; and to access numerous examples of more advanced practices that countries can work towards.</w:t>
      </w:r>
      <w:r w:rsidR="00A83328">
        <w:rPr>
          <w:rFonts w:ascii="Arial" w:hAnsi="Arial" w:cs="Arial"/>
          <w:bCs/>
          <w:sz w:val="24"/>
          <w:szCs w:val="24"/>
          <w:lang w:val="en-US"/>
        </w:rPr>
        <w:t xml:space="preserve">   </w:t>
      </w:r>
    </w:p>
    <w:p w14:paraId="227AC005" w14:textId="77777777" w:rsidR="00AE13DB" w:rsidRPr="00EB2A7C" w:rsidRDefault="00AE13DB" w:rsidP="00EB2A7C">
      <w:pPr>
        <w:tabs>
          <w:tab w:val="left" w:pos="6806"/>
        </w:tabs>
        <w:spacing w:line="276" w:lineRule="auto"/>
        <w:contextualSpacing/>
        <w:jc w:val="both"/>
        <w:rPr>
          <w:rFonts w:ascii="Arial" w:hAnsi="Arial" w:cs="Arial"/>
          <w:sz w:val="24"/>
          <w:szCs w:val="24"/>
        </w:rPr>
      </w:pPr>
    </w:p>
    <w:p w14:paraId="115F8663" w14:textId="106BE036" w:rsidR="00890E21" w:rsidRDefault="00B62187" w:rsidP="00890E21">
      <w:pPr>
        <w:tabs>
          <w:tab w:val="left" w:pos="905"/>
        </w:tabs>
        <w:spacing w:line="276" w:lineRule="auto"/>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5129598" behindDoc="1" locked="0" layoutInCell="1" allowOverlap="1" wp14:anchorId="514BA42E" wp14:editId="71559BA7">
            <wp:simplePos x="0" y="0"/>
            <wp:positionH relativeFrom="column">
              <wp:posOffset>-5080</wp:posOffset>
            </wp:positionH>
            <wp:positionV relativeFrom="paragraph">
              <wp:posOffset>5080</wp:posOffset>
            </wp:positionV>
            <wp:extent cx="6379210" cy="1358900"/>
            <wp:effectExtent l="0" t="0" r="0" b="0"/>
            <wp:wrapTight wrapText="bothSides">
              <wp:wrapPolygon edited="0">
                <wp:start x="1505" y="0"/>
                <wp:lineTo x="688" y="2019"/>
                <wp:lineTo x="774" y="3432"/>
                <wp:lineTo x="258" y="3836"/>
                <wp:lineTo x="258" y="6460"/>
                <wp:lineTo x="43" y="6662"/>
                <wp:lineTo x="0" y="14736"/>
                <wp:lineTo x="387" y="16351"/>
                <wp:lineTo x="559" y="19379"/>
                <wp:lineTo x="1204" y="19985"/>
                <wp:lineTo x="1505" y="21398"/>
                <wp:lineTo x="3182" y="21398"/>
                <wp:lineTo x="19394" y="20389"/>
                <wp:lineTo x="19437" y="19581"/>
                <wp:lineTo x="20211" y="16553"/>
                <wp:lineTo x="20211" y="16351"/>
                <wp:lineTo x="20469" y="13121"/>
                <wp:lineTo x="20512" y="9892"/>
                <wp:lineTo x="20340" y="7469"/>
                <wp:lineTo x="20297" y="6662"/>
                <wp:lineTo x="19824" y="4239"/>
                <wp:lineTo x="19609" y="3432"/>
                <wp:lineTo x="19695" y="1211"/>
                <wp:lineTo x="17201" y="807"/>
                <wp:lineTo x="3182" y="0"/>
                <wp:lineTo x="1505" y="0"/>
              </wp:wrapPolygon>
            </wp:wrapTight>
            <wp:docPr id="2777" name="Picture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 name="Picture 2777"/>
                    <pic:cNvPicPr/>
                  </pic:nvPicPr>
                  <pic:blipFill rotWithShape="1">
                    <a:blip r:embed="rId978" cstate="screen">
                      <a:extLst>
                        <a:ext uri="{28A0092B-C50C-407E-A947-70E740481C1C}">
                          <a14:useLocalDpi xmlns:a14="http://schemas.microsoft.com/office/drawing/2010/main"/>
                        </a:ext>
                      </a:extLst>
                    </a:blip>
                    <a:srcRect/>
                    <a:stretch/>
                  </pic:blipFill>
                  <pic:spPr bwMode="auto">
                    <a:xfrm>
                      <a:off x="0" y="0"/>
                      <a:ext cx="6379210" cy="135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28E8F4" w14:textId="4BEBB289" w:rsidR="00A62C46" w:rsidRPr="00A62C46" w:rsidRDefault="00B62187" w:rsidP="00EB2A7C">
      <w:pPr>
        <w:rPr>
          <w:rFonts w:ascii="Arial" w:hAnsi="Arial" w:cs="Arial"/>
          <w:sz w:val="24"/>
          <w:szCs w:val="24"/>
          <w:lang w:val="en-US"/>
        </w:rPr>
      </w:pPr>
      <w:r>
        <w:rPr>
          <w:rFonts w:ascii="Arial" w:hAnsi="Arial" w:cs="Arial"/>
          <w:iCs/>
          <w:noProof/>
          <w:lang w:val="en-US"/>
        </w:rPr>
        <mc:AlternateContent>
          <mc:Choice Requires="wps">
            <w:drawing>
              <wp:anchor distT="0" distB="0" distL="114300" distR="114300" simplePos="0" relativeHeight="255132670" behindDoc="0" locked="0" layoutInCell="1" allowOverlap="1" wp14:anchorId="2064B82B" wp14:editId="4F61B146">
                <wp:simplePos x="0" y="0"/>
                <wp:positionH relativeFrom="column">
                  <wp:posOffset>419100</wp:posOffset>
                </wp:positionH>
                <wp:positionV relativeFrom="paragraph">
                  <wp:posOffset>153035</wp:posOffset>
                </wp:positionV>
                <wp:extent cx="571500" cy="660400"/>
                <wp:effectExtent l="0" t="0" r="0" b="0"/>
                <wp:wrapNone/>
                <wp:docPr id="2779" name="Text Box 2779"/>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3379D811" w14:textId="49005B76" w:rsidR="00D15FD8" w:rsidRPr="00653DDD" w:rsidRDefault="00D15FD8" w:rsidP="00B62187">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4B82B" id="Text Box 2779" o:spid="_x0000_s1681" type="#_x0000_t202" style="position:absolute;margin-left:33pt;margin-top:12.05pt;width:45pt;height:52pt;z-index:255132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" filled="f" stroked="f" strokeweight=".5pt">
                <v:textbox>
                  <w:txbxContent>
                    <w:p w14:paraId="3379D811" w14:textId="49005B76" w:rsidR="00D15FD8" w:rsidRPr="00653DDD" w:rsidRDefault="00D15FD8" w:rsidP="00B62187">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5</w:t>
                      </w:r>
                    </w:p>
                  </w:txbxContent>
                </v:textbox>
              </v:shape>
            </w:pict>
          </mc:Fallback>
        </mc:AlternateContent>
      </w:r>
      <w:r>
        <w:rPr>
          <w:rFonts w:ascii="Arial" w:hAnsi="Arial" w:cs="Arial"/>
          <w:noProof/>
          <w:sz w:val="24"/>
          <w:szCs w:val="24"/>
          <w:lang w:val="en-US"/>
        </w:rPr>
        <mc:AlternateContent>
          <mc:Choice Requires="wps">
            <w:drawing>
              <wp:anchor distT="0" distB="0" distL="114300" distR="114300" simplePos="0" relativeHeight="255131646" behindDoc="0" locked="0" layoutInCell="1" allowOverlap="1" wp14:anchorId="40480CFD" wp14:editId="2C2CFDE6">
                <wp:simplePos x="0" y="0"/>
                <wp:positionH relativeFrom="column">
                  <wp:posOffset>1257300</wp:posOffset>
                </wp:positionH>
                <wp:positionV relativeFrom="paragraph">
                  <wp:posOffset>158750</wp:posOffset>
                </wp:positionV>
                <wp:extent cx="4292600" cy="721360"/>
                <wp:effectExtent l="0" t="0" r="0" b="0"/>
                <wp:wrapNone/>
                <wp:docPr id="2778" name="Text Box 2778"/>
                <wp:cNvGraphicFramePr/>
                <a:graphic xmlns:a="http://schemas.openxmlformats.org/drawingml/2006/main">
                  <a:graphicData uri="http://schemas.microsoft.com/office/word/2010/wordprocessingShape">
                    <wps:wsp>
                      <wps:cNvSpPr txBox="1"/>
                      <wps:spPr>
                        <a:xfrm>
                          <a:off x="0" y="0"/>
                          <a:ext cx="4292600" cy="721360"/>
                        </a:xfrm>
                        <a:prstGeom prst="rect">
                          <a:avLst/>
                        </a:prstGeom>
                        <a:noFill/>
                        <a:ln w="6350">
                          <a:noFill/>
                        </a:ln>
                      </wps:spPr>
                      <wps:txbx>
                        <w:txbxContent>
                          <w:p w14:paraId="14DB1323" w14:textId="2DC196E2" w:rsidR="00D15FD8" w:rsidRPr="00AC4E63" w:rsidRDefault="00D15FD8" w:rsidP="00B62187">
                            <w:pPr>
                              <w:pStyle w:val="Heading1"/>
                              <w:rPr>
                                <w:rFonts w:ascii="Arial" w:hAnsi="Arial" w:cs="Arial"/>
                                <w:b/>
                                <w:bCs/>
                                <w:color w:val="FFFFFF" w:themeColor="background1"/>
                                <w:sz w:val="38"/>
                                <w:szCs w:val="38"/>
                                <w:lang w:val="en-US"/>
                              </w:rPr>
                            </w:pPr>
                            <w:bookmarkStart w:id="2406" w:name="_Examples_from_the_3"/>
                            <w:bookmarkStart w:id="2407" w:name="_Toc123828258"/>
                            <w:bookmarkStart w:id="2408" w:name="_Toc123828468"/>
                            <w:bookmarkStart w:id="2409" w:name="_Toc123828664"/>
                            <w:bookmarkStart w:id="2410" w:name="_Toc123912691"/>
                            <w:bookmarkStart w:id="2411" w:name="_Toc123912950"/>
                            <w:bookmarkStart w:id="2412" w:name="_Toc123913177"/>
                            <w:bookmarkStart w:id="2413" w:name="_Toc123914125"/>
                            <w:bookmarkStart w:id="2414" w:name="_Toc125566741"/>
                            <w:bookmarkEnd w:id="2406"/>
                            <w:r w:rsidRPr="00AC4E63">
                              <w:rPr>
                                <w:rFonts w:ascii="Arial" w:hAnsi="Arial" w:cs="Arial"/>
                                <w:b/>
                                <w:bCs/>
                                <w:color w:val="FFFFFF" w:themeColor="background1"/>
                                <w:sz w:val="38"/>
                                <w:szCs w:val="38"/>
                                <w:lang w:val="en-US"/>
                              </w:rPr>
                              <w:t>Examples from the field</w:t>
                            </w:r>
                            <w:bookmarkEnd w:id="2407"/>
                            <w:bookmarkEnd w:id="2408"/>
                            <w:bookmarkEnd w:id="2409"/>
                            <w:bookmarkEnd w:id="2410"/>
                            <w:bookmarkEnd w:id="2411"/>
                            <w:bookmarkEnd w:id="2412"/>
                            <w:bookmarkEnd w:id="2413"/>
                            <w:bookmarkEnd w:id="24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480CFD" id="Text Box 2778" o:spid="_x0000_s1682" type="#_x0000_t202" style="position:absolute;margin-left:99pt;margin-top:12.5pt;width:338pt;height:56.8pt;z-index:2551316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" filled="f" stroked="f" strokeweight=".5pt">
                <v:textbox>
                  <w:txbxContent>
                    <w:p w14:paraId="14DB1323" w14:textId="2DC196E2" w:rsidR="00D15FD8" w:rsidRPr="00AC4E63" w:rsidRDefault="00D15FD8" w:rsidP="00B62187">
                      <w:pPr>
                        <w:pStyle w:val="Heading1"/>
                        <w:rPr>
                          <w:rFonts w:ascii="Arial" w:hAnsi="Arial" w:cs="Arial"/>
                          <w:b/>
                          <w:bCs/>
                          <w:color w:val="FFFFFF" w:themeColor="background1"/>
                          <w:sz w:val="38"/>
                          <w:szCs w:val="38"/>
                          <w:lang w:val="en-US"/>
                        </w:rPr>
                      </w:pPr>
                      <w:bookmarkStart w:id="2415" w:name="_Examples_from_the_3"/>
                      <w:bookmarkStart w:id="2416" w:name="_Toc123828258"/>
                      <w:bookmarkStart w:id="2417" w:name="_Toc123828468"/>
                      <w:bookmarkStart w:id="2418" w:name="_Toc123828664"/>
                      <w:bookmarkStart w:id="2419" w:name="_Toc123912691"/>
                      <w:bookmarkStart w:id="2420" w:name="_Toc123912950"/>
                      <w:bookmarkStart w:id="2421" w:name="_Toc123913177"/>
                      <w:bookmarkStart w:id="2422" w:name="_Toc123914125"/>
                      <w:bookmarkStart w:id="2423" w:name="_Toc125566741"/>
                      <w:bookmarkEnd w:id="2415"/>
                      <w:r w:rsidRPr="00AC4E63">
                        <w:rPr>
                          <w:rFonts w:ascii="Arial" w:hAnsi="Arial" w:cs="Arial"/>
                          <w:b/>
                          <w:bCs/>
                          <w:color w:val="FFFFFF" w:themeColor="background1"/>
                          <w:sz w:val="38"/>
                          <w:szCs w:val="38"/>
                          <w:lang w:val="en-US"/>
                        </w:rPr>
                        <w:t>Examples from the field</w:t>
                      </w:r>
                      <w:bookmarkEnd w:id="2416"/>
                      <w:bookmarkEnd w:id="2417"/>
                      <w:bookmarkEnd w:id="2418"/>
                      <w:bookmarkEnd w:id="2419"/>
                      <w:bookmarkEnd w:id="2420"/>
                      <w:bookmarkEnd w:id="2421"/>
                      <w:bookmarkEnd w:id="2422"/>
                      <w:bookmarkEnd w:id="2423"/>
                    </w:p>
                  </w:txbxContent>
                </v:textbox>
              </v:shape>
            </w:pict>
          </mc:Fallback>
        </mc:AlternateContent>
      </w:r>
    </w:p>
    <w:p w14:paraId="5B567DFB" w14:textId="202BEF4F" w:rsidR="00A62C46" w:rsidRPr="00A62C46" w:rsidRDefault="00A62C46" w:rsidP="00EB2A7C">
      <w:pPr>
        <w:rPr>
          <w:rFonts w:ascii="Arial" w:hAnsi="Arial" w:cs="Arial"/>
          <w:sz w:val="24"/>
          <w:szCs w:val="24"/>
          <w:lang w:val="en-US"/>
        </w:rPr>
      </w:pPr>
    </w:p>
    <w:p w14:paraId="50887D78" w14:textId="1F424148" w:rsidR="00A62C46" w:rsidRPr="00A62C46" w:rsidRDefault="00A62C46" w:rsidP="00EB2A7C">
      <w:pPr>
        <w:rPr>
          <w:rFonts w:ascii="Arial" w:hAnsi="Arial" w:cs="Arial"/>
          <w:sz w:val="24"/>
          <w:szCs w:val="24"/>
          <w:lang w:val="en-US"/>
        </w:rPr>
      </w:pPr>
    </w:p>
    <w:p w14:paraId="4BCF3515" w14:textId="7EB5BA6F" w:rsidR="00A62C46" w:rsidRDefault="00A62C46" w:rsidP="00A62C46">
      <w:pPr>
        <w:rPr>
          <w:rFonts w:ascii="Arial" w:hAnsi="Arial" w:cs="Arial"/>
          <w:sz w:val="24"/>
          <w:szCs w:val="24"/>
          <w:lang w:val="en-US"/>
        </w:rPr>
      </w:pPr>
    </w:p>
    <w:p w14:paraId="1CBE3A86" w14:textId="3A3AEF7C" w:rsidR="00B62187" w:rsidRDefault="00B62187" w:rsidP="00A62C46">
      <w:pPr>
        <w:rPr>
          <w:rFonts w:ascii="Arial" w:hAnsi="Arial" w:cs="Arial"/>
          <w:sz w:val="24"/>
          <w:szCs w:val="24"/>
          <w:lang w:val="en-US"/>
        </w:rPr>
      </w:pPr>
    </w:p>
    <w:p w14:paraId="02023215" w14:textId="15B999A6" w:rsidR="00B62187" w:rsidRDefault="00B62187" w:rsidP="00A62C46">
      <w:pPr>
        <w:rPr>
          <w:rFonts w:ascii="Arial" w:hAnsi="Arial" w:cs="Arial"/>
          <w:sz w:val="24"/>
          <w:szCs w:val="24"/>
          <w:lang w:val="en-US"/>
        </w:rPr>
      </w:pPr>
    </w:p>
    <w:p w14:paraId="1AB47198" w14:textId="7AF09BD8" w:rsidR="00A7793E" w:rsidRDefault="00AC4E63" w:rsidP="00A7793E">
      <w:pPr>
        <w:rPr>
          <w:rFonts w:ascii="Arial" w:eastAsiaTheme="majorEastAsia" w:hAnsi="Arial" w:cs="Arial"/>
          <w:b/>
          <w:i/>
          <w:color w:val="82C9A0"/>
          <w:sz w:val="32"/>
          <w:szCs w:val="32"/>
        </w:rPr>
      </w:pPr>
      <w:r>
        <w:rPr>
          <w:noProof/>
          <w:lang w:val="en-US"/>
        </w:rPr>
        <w:drawing>
          <wp:anchor distT="0" distB="0" distL="114300" distR="114300" simplePos="0" relativeHeight="254576638" behindDoc="0" locked="0" layoutInCell="1" allowOverlap="1" wp14:anchorId="4EE24842" wp14:editId="6DA17802">
            <wp:simplePos x="0" y="0"/>
            <wp:positionH relativeFrom="column">
              <wp:posOffset>0</wp:posOffset>
            </wp:positionH>
            <wp:positionV relativeFrom="paragraph">
              <wp:posOffset>191135</wp:posOffset>
            </wp:positionV>
            <wp:extent cx="2738120" cy="3390900"/>
            <wp:effectExtent l="0" t="0" r="5080" b="0"/>
            <wp:wrapSquare wrapText="bothSides"/>
            <wp:docPr id="2433" name="Picture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9" cstate="email">
                      <a:extLst>
                        <a:ext uri="{28A0092B-C50C-407E-A947-70E740481C1C}">
                          <a14:useLocalDpi xmlns:a14="http://schemas.microsoft.com/office/drawing/2010/main"/>
                        </a:ext>
                      </a:extLst>
                    </a:blip>
                    <a:srcRect/>
                    <a:stretch>
                      <a:fillRect/>
                    </a:stretch>
                  </pic:blipFill>
                  <pic:spPr bwMode="auto">
                    <a:xfrm>
                      <a:off x="0" y="0"/>
                      <a:ext cx="2738120"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BFA13" w14:textId="3630C727" w:rsidR="00AC4E63" w:rsidRPr="00590086" w:rsidRDefault="00A7793E" w:rsidP="00AC4E63">
      <w:pPr>
        <w:rPr>
          <w:rFonts w:eastAsiaTheme="majorEastAsia" w:cs="Calibri"/>
          <w:b/>
          <w:i/>
          <w:color w:val="ED7D31" w:themeColor="accent2"/>
          <w:sz w:val="26"/>
          <w:szCs w:val="26"/>
        </w:rPr>
      </w:pPr>
      <w:r w:rsidRPr="00590086">
        <w:rPr>
          <w:rFonts w:ascii="Arial" w:eastAsiaTheme="majorEastAsia" w:hAnsi="Arial" w:cs="Arial"/>
          <w:b/>
          <w:iCs/>
          <w:color w:val="82C9A0"/>
          <w:sz w:val="26"/>
          <w:szCs w:val="26"/>
        </w:rPr>
        <w:t>FMIS experiences from Africa</w:t>
      </w:r>
    </w:p>
    <w:p w14:paraId="7DA6444F" w14:textId="44CCCA46" w:rsidR="00A7793E" w:rsidRPr="00AC4E63" w:rsidRDefault="0057574B" w:rsidP="00AC4E63">
      <w:pPr>
        <w:rPr>
          <w:rFonts w:eastAsiaTheme="majorEastAsia" w:cs="Calibri"/>
          <w:b/>
          <w:i/>
          <w:color w:val="ED7D31" w:themeColor="accent2"/>
        </w:rPr>
      </w:pPr>
      <w:r>
        <w:rPr>
          <w:rFonts w:ascii="Arial" w:hAnsi="Arial" w:cs="Arial"/>
          <w:noProof/>
          <w:sz w:val="24"/>
          <w:szCs w:val="24"/>
          <w:lang w:val="en-US"/>
        </w:rPr>
        <w:drawing>
          <wp:anchor distT="0" distB="0" distL="114300" distR="114300" simplePos="0" relativeHeight="254579710" behindDoc="0" locked="0" layoutInCell="1" allowOverlap="1" wp14:anchorId="7059D2C5" wp14:editId="78003593">
            <wp:simplePos x="0" y="0"/>
            <wp:positionH relativeFrom="column">
              <wp:posOffset>2857500</wp:posOffset>
            </wp:positionH>
            <wp:positionV relativeFrom="paragraph">
              <wp:posOffset>148371</wp:posOffset>
            </wp:positionV>
            <wp:extent cx="582930" cy="410210"/>
            <wp:effectExtent l="0" t="0" r="1270" b="0"/>
            <wp:wrapSquare wrapText="bothSides"/>
            <wp:docPr id="2436" name="Picture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4AEF">
        <w:rPr>
          <w:rFonts w:ascii="Arial" w:hAnsi="Arial" w:cs="Arial"/>
          <w:noProof/>
          <w:sz w:val="24"/>
          <w:szCs w:val="24"/>
          <w:lang w:val="en-US"/>
        </w:rPr>
        <mc:AlternateContent>
          <mc:Choice Requires="wps">
            <w:drawing>
              <wp:anchor distT="0" distB="0" distL="114300" distR="114300" simplePos="0" relativeHeight="254580734" behindDoc="0" locked="0" layoutInCell="1" allowOverlap="1" wp14:anchorId="7C3B5DB5" wp14:editId="044AE9CE">
                <wp:simplePos x="0" y="0"/>
                <wp:positionH relativeFrom="column">
                  <wp:posOffset>3515995</wp:posOffset>
                </wp:positionH>
                <wp:positionV relativeFrom="paragraph">
                  <wp:posOffset>204470</wp:posOffset>
                </wp:positionV>
                <wp:extent cx="1028700" cy="355600"/>
                <wp:effectExtent l="0" t="0" r="0" b="0"/>
                <wp:wrapSquare wrapText="bothSides"/>
                <wp:docPr id="2435" name="Rounded Rectangle 2435"/>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FC72494" id="Rounded Rectangle 2435" o:spid="_x0000_s1026" style="position:absolute;margin-left:276.85pt;margin-top:16.1pt;width:81pt;height:28pt;z-index:254580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" fillcolor="#16988a" stroked="f" strokeweight="1pt">
                <v:stroke joinstyle="miter"/>
                <w10:wrap type="square"/>
              </v:roundrect>
            </w:pict>
          </mc:Fallback>
        </mc:AlternateContent>
      </w:r>
    </w:p>
    <w:p w14:paraId="02A52F1D" w14:textId="78B4A28C" w:rsidR="00A7793E" w:rsidRPr="00EB2A7C" w:rsidRDefault="00AC4E63" w:rsidP="00EB2A7C">
      <w:pPr>
        <w:tabs>
          <w:tab w:val="num" w:pos="720"/>
        </w:tabs>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577662" behindDoc="0" locked="0" layoutInCell="1" allowOverlap="1" wp14:anchorId="68F820CF" wp14:editId="5762CF95">
                <wp:simplePos x="0" y="0"/>
                <wp:positionH relativeFrom="column">
                  <wp:posOffset>29845</wp:posOffset>
                </wp:positionH>
                <wp:positionV relativeFrom="paragraph">
                  <wp:posOffset>2477770</wp:posOffset>
                </wp:positionV>
                <wp:extent cx="1104900" cy="533400"/>
                <wp:effectExtent l="0" t="0" r="0" b="0"/>
                <wp:wrapNone/>
                <wp:docPr id="2434" name="Text Box 2434"/>
                <wp:cNvGraphicFramePr/>
                <a:graphic xmlns:a="http://schemas.openxmlformats.org/drawingml/2006/main">
                  <a:graphicData uri="http://schemas.microsoft.com/office/word/2010/wordprocessingShape">
                    <wps:wsp>
                      <wps:cNvSpPr txBox="1"/>
                      <wps:spPr>
                        <a:xfrm>
                          <a:off x="0" y="0"/>
                          <a:ext cx="1104900" cy="533400"/>
                        </a:xfrm>
                        <a:prstGeom prst="rect">
                          <a:avLst/>
                        </a:prstGeom>
                        <a:noFill/>
                        <a:ln w="6350">
                          <a:noFill/>
                        </a:ln>
                      </wps:spPr>
                      <wps:txbx>
                        <w:txbxContent>
                          <w:p w14:paraId="4EFEB819" w14:textId="363E430C" w:rsidR="00D15FD8" w:rsidRPr="00896E25" w:rsidRDefault="00D15FD8">
                            <w:pPr>
                              <w:rPr>
                                <w:rFonts w:ascii="Arial" w:hAnsi="Arial" w:cs="Arial"/>
                                <w:sz w:val="12"/>
                                <w:szCs w:val="12"/>
                              </w:rPr>
                            </w:pPr>
                            <w:r w:rsidRPr="00896E25">
                              <w:rPr>
                                <w:rFonts w:ascii="Arial" w:hAnsi="Arial" w:cs="Arial"/>
                                <w:sz w:val="12"/>
                                <w:szCs w:val="12"/>
                              </w:rPr>
                              <w:t>https://www.pngitem.com/pimgs/m/32-321288_africa-flag-png-africa-day-transparent-png.png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820CF" id="Text Box 2434" o:spid="_x0000_s1683" type="#_x0000_t202" style="position:absolute;left:0;text-align:left;margin-left:2.35pt;margin-top:195.1pt;width:87pt;height:42pt;z-index:254577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" filled="f" stroked="f" strokeweight=".5pt">
                <v:textbox>
                  <w:txbxContent>
                    <w:p w14:paraId="4EFEB819" w14:textId="363E430C" w:rsidR="00D15FD8" w:rsidRPr="00896E25" w:rsidRDefault="00D15FD8">
                      <w:pPr>
                        <w:rPr>
                          <w:rFonts w:ascii="Arial" w:hAnsi="Arial" w:cs="Arial"/>
                          <w:sz w:val="12"/>
                          <w:szCs w:val="12"/>
                        </w:rPr>
                      </w:pPr>
                      <w:r w:rsidRPr="00896E25">
                        <w:rPr>
                          <w:rFonts w:ascii="Arial" w:hAnsi="Arial" w:cs="Arial"/>
                          <w:sz w:val="12"/>
                          <w:szCs w:val="12"/>
                        </w:rPr>
                        <w:t>https://www.pngitem.com/pimgs/m/32-321288_africa-flag-png-africa-day-transparent-png.png</w:t>
                      </w:r>
                    </w:p>
                  </w:txbxContent>
                </v:textbox>
              </v:shape>
            </w:pict>
          </mc:Fallback>
        </mc:AlternateContent>
      </w:r>
      <w:r w:rsidR="00404AEF">
        <w:rPr>
          <w:rFonts w:ascii="Arial" w:hAnsi="Arial" w:cs="Arial"/>
          <w:noProof/>
          <w:sz w:val="24"/>
          <w:szCs w:val="24"/>
          <w:lang w:val="en-US"/>
        </w:rPr>
        <mc:AlternateContent>
          <mc:Choice Requires="wps">
            <w:drawing>
              <wp:anchor distT="0" distB="0" distL="114300" distR="114300" simplePos="0" relativeHeight="254581758" behindDoc="0" locked="0" layoutInCell="1" allowOverlap="1" wp14:anchorId="466754E5" wp14:editId="78370878">
                <wp:simplePos x="0" y="0"/>
                <wp:positionH relativeFrom="column">
                  <wp:posOffset>3522345</wp:posOffset>
                </wp:positionH>
                <wp:positionV relativeFrom="paragraph">
                  <wp:posOffset>53340</wp:posOffset>
                </wp:positionV>
                <wp:extent cx="1028700" cy="266700"/>
                <wp:effectExtent l="0" t="0" r="0" b="0"/>
                <wp:wrapNone/>
                <wp:docPr id="2437" name="Text Box 2437">
                  <a:hlinkClick xmlns:a="http://schemas.openxmlformats.org/drawingml/2006/main" r:id="rId980"/>
                </wp:docPr>
                <wp:cNvGraphicFramePr/>
                <a:graphic xmlns:a="http://schemas.openxmlformats.org/drawingml/2006/main">
                  <a:graphicData uri="http://schemas.microsoft.com/office/word/2010/wordprocessingShape">
                    <wps:wsp>
                      <wps:cNvSpPr txBox="1"/>
                      <wps:spPr>
                        <a:xfrm>
                          <a:off x="0" y="0"/>
                          <a:ext cx="1028700" cy="266700"/>
                        </a:xfrm>
                        <a:prstGeom prst="rect">
                          <a:avLst/>
                        </a:prstGeom>
                        <a:noFill/>
                        <a:ln w="6350">
                          <a:noFill/>
                        </a:ln>
                      </wps:spPr>
                      <wps:txbx>
                        <w:txbxContent>
                          <w:p w14:paraId="1BA23AA6" w14:textId="3DD837A7" w:rsidR="00D15FD8" w:rsidRPr="00896E25" w:rsidRDefault="00D15FD8" w:rsidP="00896E25">
                            <w:pPr>
                              <w:jc w:val="center"/>
                              <w:rPr>
                                <w:rFonts w:ascii="Arial" w:hAnsi="Arial" w:cs="Arial"/>
                                <w:b/>
                                <w:bCs/>
                                <w:color w:val="FFFFFF" w:themeColor="background1"/>
                                <w:sz w:val="24"/>
                                <w:szCs w:val="24"/>
                                <w:lang w:val="en-US"/>
                              </w:rPr>
                            </w:pPr>
                            <w:r w:rsidRPr="00896E25">
                              <w:rPr>
                                <w:rFonts w:ascii="Arial" w:hAnsi="Arial" w:cs="Arial"/>
                                <w:b/>
                                <w:bCs/>
                                <w:color w:val="FFFFFF" w:themeColor="background1"/>
                                <w:sz w:val="24"/>
                                <w:szCs w:val="24"/>
                                <w:lang w:val="en-US"/>
                              </w:rPr>
                              <w:t>Watch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6754E5" id="Text Box 2437" o:spid="_x0000_s1684" type="#_x0000_t202" href="https://youtu.be/BkzkiM8SqQ8" style="position:absolute;left:0;text-align:left;margin-left:277.35pt;margin-top:4.2pt;width:81pt;height:21pt;z-index:2545817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" o:button="t" filled="f" stroked="f" strokeweight=".5pt">
                <v:fill o:detectmouseclick="t"/>
                <v:textbox>
                  <w:txbxContent>
                    <w:p w14:paraId="1BA23AA6" w14:textId="3DD837A7" w:rsidR="00D15FD8" w:rsidRPr="00896E25" w:rsidRDefault="00D15FD8" w:rsidP="00896E25">
                      <w:pPr>
                        <w:jc w:val="center"/>
                        <w:rPr>
                          <w:rFonts w:ascii="Arial" w:hAnsi="Arial" w:cs="Arial"/>
                          <w:b/>
                          <w:bCs/>
                          <w:color w:val="FFFFFF" w:themeColor="background1"/>
                          <w:sz w:val="24"/>
                          <w:szCs w:val="24"/>
                          <w:lang w:val="en-US"/>
                        </w:rPr>
                      </w:pPr>
                      <w:r w:rsidRPr="00896E25">
                        <w:rPr>
                          <w:rFonts w:ascii="Arial" w:hAnsi="Arial" w:cs="Arial"/>
                          <w:b/>
                          <w:bCs/>
                          <w:color w:val="FFFFFF" w:themeColor="background1"/>
                          <w:sz w:val="24"/>
                          <w:szCs w:val="24"/>
                          <w:lang w:val="en-US"/>
                        </w:rPr>
                        <w:t>Watch here</w:t>
                      </w:r>
                    </w:p>
                  </w:txbxContent>
                </v:textbox>
              </v:shape>
            </w:pict>
          </mc:Fallback>
        </mc:AlternateContent>
      </w:r>
      <w:r w:rsidR="003E1680">
        <w:fldChar w:fldCharType="begin"/>
      </w:r>
      <w:r w:rsidR="003E1680">
        <w:instrText xml:space="preserve"> INCLUDEPICTURE "https://www.pngitem.com/pimgs/m/32-321288_africa-flag-png-africa-day-transparent-png.png" \* MERGEFORMATINET </w:instrText>
      </w:r>
      <w:r w:rsidR="003E1680">
        <w:fldChar w:fldCharType="end"/>
      </w:r>
      <w:r w:rsidR="00A7793E" w:rsidRPr="00EB2A7C">
        <w:rPr>
          <w:rFonts w:ascii="Arial" w:hAnsi="Arial" w:cs="Arial"/>
          <w:sz w:val="24"/>
          <w:szCs w:val="24"/>
          <w:lang w:val="en-ZA"/>
        </w:rPr>
        <w:t xml:space="preserve">A well-functioning FMIS can be a significant enabler of fiscal transparency. It can help the executive to collect, store, produce, and publish quality fiscal information at all stages of the fiscal policy cycle, including in real-time. Their introduction and maintenance </w:t>
      </w:r>
      <w:proofErr w:type="gramStart"/>
      <w:r w:rsidR="00A7793E" w:rsidRPr="00EB2A7C">
        <w:rPr>
          <w:rFonts w:ascii="Arial" w:hAnsi="Arial" w:cs="Arial"/>
          <w:sz w:val="24"/>
          <w:szCs w:val="24"/>
          <w:lang w:val="en-ZA"/>
        </w:rPr>
        <w:t>has</w:t>
      </w:r>
      <w:proofErr w:type="gramEnd"/>
      <w:r w:rsidR="00A7793E" w:rsidRPr="00EB2A7C">
        <w:rPr>
          <w:rFonts w:ascii="Arial" w:hAnsi="Arial" w:cs="Arial"/>
          <w:sz w:val="24"/>
          <w:szCs w:val="24"/>
          <w:lang w:val="en-ZA"/>
        </w:rPr>
        <w:t xml:space="preserve"> however, at times, been met with significant challenges. The </w:t>
      </w:r>
      <w:r w:rsidR="00A7793E" w:rsidRPr="00EB2A7C">
        <w:rPr>
          <w:rFonts w:ascii="Arial" w:hAnsi="Arial" w:cs="Arial"/>
          <w:sz w:val="24"/>
          <w:szCs w:val="24"/>
        </w:rPr>
        <w:t xml:space="preserve">Collaborative Africa Budget Reform Initiative (CABRI) has done work in this area to better understand some of the key concerns African countries have in introducing and utilizing a FMIS. In a </w:t>
      </w:r>
      <w:hyperlink r:id="rId981" w:history="1">
        <w:r w:rsidR="00A7793E" w:rsidRPr="00EB2A7C">
          <w:rPr>
            <w:rStyle w:val="Hyperlink"/>
            <w:rFonts w:ascii="Arial" w:hAnsi="Arial" w:cs="Arial"/>
            <w:sz w:val="24"/>
            <w:szCs w:val="24"/>
          </w:rPr>
          <w:t>video</w:t>
        </w:r>
      </w:hyperlink>
      <w:r w:rsidR="00A7793E" w:rsidRPr="00EB2A7C">
        <w:rPr>
          <w:rFonts w:ascii="Arial" w:hAnsi="Arial" w:cs="Arial"/>
          <w:sz w:val="24"/>
          <w:szCs w:val="24"/>
        </w:rPr>
        <w:t xml:space="preserve"> recorded in June 2021, this work is briefly explored, providing key insights and lessons from country experiences, including those from Rwanda and Nigeria.</w:t>
      </w:r>
    </w:p>
    <w:p w14:paraId="160D132D" w14:textId="21645AD3" w:rsidR="00A7793E" w:rsidRPr="00EB2A7C" w:rsidRDefault="00A7793E" w:rsidP="00EB2A7C">
      <w:pPr>
        <w:tabs>
          <w:tab w:val="num" w:pos="720"/>
        </w:tabs>
        <w:spacing w:line="276" w:lineRule="auto"/>
        <w:jc w:val="both"/>
        <w:rPr>
          <w:rFonts w:ascii="Arial" w:hAnsi="Arial" w:cs="Arial"/>
          <w:sz w:val="24"/>
          <w:szCs w:val="24"/>
        </w:rPr>
      </w:pPr>
    </w:p>
    <w:p w14:paraId="0EA55C33" w14:textId="6373ED9F" w:rsidR="00A7793E" w:rsidRPr="00EB2A7C" w:rsidRDefault="00A7793E" w:rsidP="00EB2A7C">
      <w:pPr>
        <w:tabs>
          <w:tab w:val="num" w:pos="470"/>
          <w:tab w:val="num" w:pos="720"/>
        </w:tabs>
        <w:spacing w:line="276" w:lineRule="auto"/>
        <w:jc w:val="both"/>
        <w:rPr>
          <w:rFonts w:ascii="Arial" w:hAnsi="Arial" w:cs="Arial"/>
          <w:sz w:val="24"/>
          <w:szCs w:val="24"/>
          <w:lang w:val="en-ZA"/>
        </w:rPr>
      </w:pPr>
      <w:r w:rsidRPr="00EB2A7C">
        <w:rPr>
          <w:rFonts w:ascii="Arial" w:hAnsi="Arial" w:cs="Arial"/>
          <w:sz w:val="24"/>
          <w:szCs w:val="24"/>
        </w:rPr>
        <w:lastRenderedPageBreak/>
        <w:t xml:space="preserve">Common challenges observed in the effectiveness of FMISs relate to: </w:t>
      </w:r>
      <w:r w:rsidRPr="00EB2A7C">
        <w:rPr>
          <w:rFonts w:ascii="Arial" w:hAnsi="Arial" w:cs="Arial"/>
          <w:sz w:val="24"/>
          <w:szCs w:val="24"/>
          <w:lang w:val="en-ZA"/>
        </w:rPr>
        <w:t>weaknesses in underlying public financial management systems; systems being introduced without an understanding of core public financial management problems; difficulties experienced with service providers; connectivity issues; limited customization of systems to local needs and contexts; over specification of modules; limited institutional coverage; underdeveloped information technology and data capabilities; inadequate human resource competencies; a lack of critical data, including open data; and bureaucratic resistance.</w:t>
      </w:r>
    </w:p>
    <w:p w14:paraId="78CED981" w14:textId="77777777" w:rsidR="00A7793E" w:rsidRPr="00EB2A7C" w:rsidRDefault="00A7793E" w:rsidP="00EB2A7C">
      <w:pPr>
        <w:spacing w:line="276" w:lineRule="auto"/>
        <w:jc w:val="both"/>
        <w:rPr>
          <w:rFonts w:ascii="Arial" w:hAnsi="Arial" w:cs="Arial"/>
          <w:sz w:val="24"/>
          <w:szCs w:val="24"/>
        </w:rPr>
      </w:pPr>
    </w:p>
    <w:p w14:paraId="4E754D36" w14:textId="5959CC93" w:rsidR="004E4BA0" w:rsidRPr="00EB2A7C" w:rsidRDefault="00A7793E" w:rsidP="00EB2A7C">
      <w:pPr>
        <w:spacing w:line="276" w:lineRule="auto"/>
        <w:jc w:val="both"/>
        <w:rPr>
          <w:rFonts w:ascii="Arial" w:eastAsiaTheme="minorEastAsia" w:hAnsi="Arial" w:cs="Arial"/>
          <w:sz w:val="24"/>
          <w:szCs w:val="24"/>
          <w:lang w:eastAsia="zh-CN"/>
        </w:rPr>
      </w:pPr>
      <w:r w:rsidRPr="00EB2A7C">
        <w:rPr>
          <w:rFonts w:ascii="Arial" w:hAnsi="Arial" w:cs="Arial"/>
          <w:sz w:val="24"/>
          <w:szCs w:val="24"/>
        </w:rPr>
        <w:t>A number of countries have managed to successfully overcome these challenges providing key lessons, one being that leadership recognition of the importance of sharing information and the relevance of information systems is crucial for success. This was the case in Rwanda, where political motivation and commitment has been key in the successful introduction and roll out of a home-grown information system.</w:t>
      </w:r>
      <w:r w:rsidRPr="00EB2A7C">
        <w:rPr>
          <w:rFonts w:ascii="Arial" w:eastAsiaTheme="minorEastAsia" w:hAnsi="Arial" w:cs="Arial"/>
          <w:sz w:val="24"/>
          <w:szCs w:val="24"/>
          <w:lang w:eastAsia="zh-CN"/>
        </w:rPr>
        <w:t xml:space="preserve"> </w:t>
      </w:r>
      <w:r w:rsidRPr="00EB2A7C">
        <w:rPr>
          <w:rFonts w:ascii="Arial" w:hAnsi="Arial" w:cs="Arial"/>
          <w:sz w:val="24"/>
          <w:szCs w:val="24"/>
        </w:rPr>
        <w:t>The design of a FMIS should focus on the system's ability to meet ongoing as well as anticipated public financial management needs, making it important that stakeholders are involved at all stages of development, particularly at the design stage. Another key lesson from Rwanda is that considering simplicity as a FMIS design principal can greatly improve its usability by a wide spectrum of users. Research on extending the institutional coverage of an information system in Nigeria, Benin and Ghana has shown, phasing rollout incrementally; getting acceptance from users; and allowing for adaptation is also important.</w:t>
      </w:r>
      <w:r w:rsidRPr="00EB2A7C">
        <w:rPr>
          <w:rFonts w:ascii="Arial" w:eastAsiaTheme="minorEastAsia" w:hAnsi="Arial" w:cs="Arial"/>
          <w:sz w:val="24"/>
          <w:szCs w:val="24"/>
          <w:lang w:eastAsia="zh-CN"/>
        </w:rPr>
        <w:t xml:space="preserve"> </w:t>
      </w:r>
      <w:r w:rsidRPr="00EB2A7C">
        <w:rPr>
          <w:rFonts w:ascii="Arial" w:hAnsi="Arial" w:cs="Arial"/>
          <w:sz w:val="24"/>
          <w:szCs w:val="24"/>
        </w:rPr>
        <w:t>Identifying where capability gaps exist amongst relevant stakeholders in the FMIS landscape is essential for its effective utilization; in designing and implementing tailored capacity building throughout the public sector; and in facilitating data driven and effective decision and policymaking. Studies on the capabilities of FMIS in Guinea, Ghana and the Central African Republic show that problem driven, targeted and continuous capacity building is required to build skills and use information systems. Further as seen in Nigeria, extending the coverage of an information system requires extensive collaboration with all parts of government, with both clear sanctions and incentives. Governments also need to transform the technical infrastructure that allows them to publish open data efficiently. Key concepts in this regard include government building information systems that are interoperable, open by default and open by design.</w:t>
      </w:r>
      <w:r w:rsidRPr="00EB2A7C">
        <w:rPr>
          <w:rFonts w:ascii="Arial" w:eastAsiaTheme="minorEastAsia" w:hAnsi="Arial" w:cs="Arial"/>
          <w:sz w:val="24"/>
          <w:szCs w:val="24"/>
          <w:lang w:eastAsia="zh-CN"/>
        </w:rPr>
        <w:t xml:space="preserve"> </w:t>
      </w:r>
    </w:p>
    <w:p w14:paraId="51293436" w14:textId="650A136B" w:rsidR="00A62C46" w:rsidRDefault="00A62C46" w:rsidP="00A62C46">
      <w:pPr>
        <w:tabs>
          <w:tab w:val="left" w:pos="1780"/>
        </w:tabs>
        <w:rPr>
          <w:rFonts w:ascii="Arial" w:hAnsi="Arial" w:cs="Arial"/>
          <w:sz w:val="24"/>
          <w:szCs w:val="24"/>
          <w:lang w:val="en-US"/>
        </w:rPr>
      </w:pPr>
    </w:p>
    <w:p w14:paraId="70BF475E" w14:textId="19B9911A" w:rsidR="004E4BA0" w:rsidRPr="00590086" w:rsidRDefault="004E4BA0" w:rsidP="00EB2A7C">
      <w:pPr>
        <w:spacing w:line="276" w:lineRule="auto"/>
        <w:rPr>
          <w:rFonts w:ascii="Arial" w:eastAsiaTheme="majorEastAsia" w:hAnsi="Arial" w:cs="Arial"/>
          <w:b/>
          <w:iCs/>
          <w:color w:val="82C9A0"/>
          <w:sz w:val="26"/>
          <w:szCs w:val="26"/>
        </w:rPr>
      </w:pPr>
      <w:r w:rsidRPr="00590086">
        <w:rPr>
          <w:rFonts w:ascii="Arial" w:eastAsiaTheme="majorEastAsia" w:hAnsi="Arial" w:cs="Arial"/>
          <w:b/>
          <w:iCs/>
          <w:color w:val="82C9A0"/>
          <w:sz w:val="26"/>
          <w:szCs w:val="26"/>
        </w:rPr>
        <w:t>South Africa’s partnership approach to developing a fiscal transparency portal</w:t>
      </w:r>
    </w:p>
    <w:p w14:paraId="6880A829" w14:textId="37291076" w:rsidR="004E4BA0" w:rsidRPr="00EB2A7C" w:rsidRDefault="004E4BA0" w:rsidP="00EB2A7C">
      <w:pPr>
        <w:spacing w:line="276" w:lineRule="auto"/>
        <w:jc w:val="both"/>
        <w:rPr>
          <w:rFonts w:ascii="Arial" w:hAnsi="Arial" w:cs="Arial"/>
          <w:sz w:val="24"/>
          <w:szCs w:val="24"/>
        </w:rPr>
      </w:pPr>
    </w:p>
    <w:p w14:paraId="7521D4AF" w14:textId="38A78A9C" w:rsidR="004E4BA0" w:rsidRPr="00EB2A7C" w:rsidRDefault="00F91E05" w:rsidP="00EB2A7C">
      <w:pPr>
        <w:spacing w:line="276" w:lineRule="auto"/>
        <w:jc w:val="both"/>
        <w:rPr>
          <w:rFonts w:ascii="Arial" w:hAnsi="Arial" w:cs="Arial"/>
          <w:sz w:val="24"/>
          <w:szCs w:val="24"/>
          <w:lang w:val="en-ZA"/>
        </w:rPr>
      </w:pPr>
      <w:r>
        <w:rPr>
          <w:rFonts w:ascii="Arial" w:hAnsi="Arial" w:cs="Arial"/>
          <w:iCs/>
          <w:noProof/>
          <w:sz w:val="24"/>
          <w:szCs w:val="24"/>
          <w:lang w:val="en-US"/>
        </w:rPr>
        <mc:AlternateContent>
          <mc:Choice Requires="wps">
            <w:drawing>
              <wp:anchor distT="0" distB="0" distL="114300" distR="114300" simplePos="0" relativeHeight="255301630" behindDoc="0" locked="0" layoutInCell="1" allowOverlap="1" wp14:anchorId="197342FE" wp14:editId="021BC914">
                <wp:simplePos x="0" y="0"/>
                <wp:positionH relativeFrom="column">
                  <wp:posOffset>-142875</wp:posOffset>
                </wp:positionH>
                <wp:positionV relativeFrom="paragraph">
                  <wp:posOffset>922020</wp:posOffset>
                </wp:positionV>
                <wp:extent cx="1323975" cy="254000"/>
                <wp:effectExtent l="0" t="0" r="9525" b="0"/>
                <wp:wrapSquare wrapText="bothSides"/>
                <wp:docPr id="2814" name="Text Box 2814"/>
                <wp:cNvGraphicFramePr/>
                <a:graphic xmlns:a="http://schemas.openxmlformats.org/drawingml/2006/main">
                  <a:graphicData uri="http://schemas.microsoft.com/office/word/2010/wordprocessingShape">
                    <wps:wsp>
                      <wps:cNvSpPr txBox="1"/>
                      <wps:spPr>
                        <a:xfrm>
                          <a:off x="0" y="0"/>
                          <a:ext cx="1323975" cy="254000"/>
                        </a:xfrm>
                        <a:prstGeom prst="rect">
                          <a:avLst/>
                        </a:prstGeom>
                        <a:solidFill>
                          <a:schemeClr val="lt1"/>
                        </a:solidFill>
                        <a:ln w="6350">
                          <a:noFill/>
                        </a:ln>
                      </wps:spPr>
                      <wps:txbx>
                        <w:txbxContent>
                          <w:p w14:paraId="703F38CC" w14:textId="0E8DADD0" w:rsidR="00D15FD8" w:rsidRPr="00F91E05" w:rsidRDefault="00D15FD8" w:rsidP="00F91E05">
                            <w:pPr>
                              <w:jc w:val="center"/>
                              <w:rPr>
                                <w:color w:val="82C9A0"/>
                              </w:rPr>
                            </w:pPr>
                            <w:r w:rsidRPr="00F91E05">
                              <w:rPr>
                                <w:rFonts w:ascii="Arial" w:hAnsi="Arial" w:cs="Arial"/>
                                <w:b/>
                                <w:bCs/>
                                <w:color w:val="82C9A0"/>
                                <w:sz w:val="20"/>
                                <w:szCs w:val="20"/>
                                <w:lang w:val="en-US"/>
                              </w:rPr>
                              <w:t>South Africa</w:t>
                            </w:r>
                          </w:p>
                          <w:p w14:paraId="4472EB70"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07BEEEF3" w14:textId="77777777" w:rsidR="00D15FD8" w:rsidRPr="00F91E05" w:rsidRDefault="00D15FD8" w:rsidP="00F91E05">
                            <w:pPr>
                              <w:rPr>
                                <w:color w:val="82C9A0"/>
                              </w:rPr>
                            </w:pPr>
                          </w:p>
                          <w:p w14:paraId="42E189CA"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616FD5FC" w14:textId="77777777" w:rsidR="00D15FD8" w:rsidRPr="00F91E05" w:rsidRDefault="00D15FD8" w:rsidP="00F91E05">
                            <w:pPr>
                              <w:rPr>
                                <w:color w:val="82C9A0"/>
                              </w:rPr>
                            </w:pPr>
                          </w:p>
                          <w:p w14:paraId="1A7108F4"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7D713B66" w14:textId="77777777" w:rsidR="00D15FD8" w:rsidRPr="00F91E05" w:rsidRDefault="00D15FD8" w:rsidP="00F91E05">
                            <w:pPr>
                              <w:rPr>
                                <w:color w:val="82C9A0"/>
                              </w:rPr>
                            </w:pPr>
                          </w:p>
                          <w:p w14:paraId="7C00B22F"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41C0B846" w14:textId="77777777" w:rsidR="00D15FD8" w:rsidRPr="00F91E05" w:rsidRDefault="00D15FD8" w:rsidP="00F91E05">
                            <w:pPr>
                              <w:rPr>
                                <w:color w:val="82C9A0"/>
                              </w:rPr>
                            </w:pPr>
                          </w:p>
                          <w:p w14:paraId="196A315F"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19F4B81F" w14:textId="77777777" w:rsidR="00D15FD8" w:rsidRPr="00F91E05" w:rsidRDefault="00D15FD8" w:rsidP="00F91E05">
                            <w:pPr>
                              <w:rPr>
                                <w:color w:val="82C9A0"/>
                              </w:rPr>
                            </w:pPr>
                          </w:p>
                          <w:p w14:paraId="5C482FFD"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5865D5A0" w14:textId="77777777" w:rsidR="00D15FD8" w:rsidRPr="00F91E05" w:rsidRDefault="00D15FD8" w:rsidP="00F91E05">
                            <w:pPr>
                              <w:rPr>
                                <w:color w:val="82C9A0"/>
                              </w:rPr>
                            </w:pPr>
                          </w:p>
                          <w:p w14:paraId="55C1375C"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342FE" id="Text Box 2814" o:spid="_x0000_s1685" type="#_x0000_t202" style="position:absolute;left:0;text-align:left;margin-left:-11.25pt;margin-top:72.6pt;width:104.25pt;height:20pt;z-index:255301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" fillcolor="white [3201]" stroked="f" strokeweight=".5pt">
                <v:textbox>
                  <w:txbxContent>
                    <w:p w14:paraId="703F38CC" w14:textId="0E8DADD0" w:rsidR="00D15FD8" w:rsidRPr="00F91E05" w:rsidRDefault="00D15FD8" w:rsidP="00F91E05">
                      <w:pPr>
                        <w:jc w:val="center"/>
                        <w:rPr>
                          <w:color w:val="82C9A0"/>
                        </w:rPr>
                      </w:pPr>
                      <w:r w:rsidRPr="00F91E05">
                        <w:rPr>
                          <w:rFonts w:ascii="Arial" w:hAnsi="Arial" w:cs="Arial"/>
                          <w:b/>
                          <w:bCs/>
                          <w:color w:val="82C9A0"/>
                          <w:sz w:val="20"/>
                          <w:szCs w:val="20"/>
                          <w:lang w:val="en-US"/>
                        </w:rPr>
                        <w:t>South Africa</w:t>
                      </w:r>
                    </w:p>
                    <w:p w14:paraId="4472EB70"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07BEEEF3" w14:textId="77777777" w:rsidR="00D15FD8" w:rsidRPr="00F91E05" w:rsidRDefault="00D15FD8" w:rsidP="00F91E05">
                      <w:pPr>
                        <w:rPr>
                          <w:color w:val="82C9A0"/>
                        </w:rPr>
                      </w:pPr>
                    </w:p>
                    <w:p w14:paraId="42E189CA"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616FD5FC" w14:textId="77777777" w:rsidR="00D15FD8" w:rsidRPr="00F91E05" w:rsidRDefault="00D15FD8" w:rsidP="00F91E05">
                      <w:pPr>
                        <w:rPr>
                          <w:color w:val="82C9A0"/>
                        </w:rPr>
                      </w:pPr>
                    </w:p>
                    <w:p w14:paraId="1A7108F4"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7D713B66" w14:textId="77777777" w:rsidR="00D15FD8" w:rsidRPr="00F91E05" w:rsidRDefault="00D15FD8" w:rsidP="00F91E05">
                      <w:pPr>
                        <w:rPr>
                          <w:color w:val="82C9A0"/>
                        </w:rPr>
                      </w:pPr>
                    </w:p>
                    <w:p w14:paraId="7C00B22F"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41C0B846" w14:textId="77777777" w:rsidR="00D15FD8" w:rsidRPr="00F91E05" w:rsidRDefault="00D15FD8" w:rsidP="00F91E05">
                      <w:pPr>
                        <w:rPr>
                          <w:color w:val="82C9A0"/>
                        </w:rPr>
                      </w:pPr>
                    </w:p>
                    <w:p w14:paraId="196A315F"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19F4B81F" w14:textId="77777777" w:rsidR="00D15FD8" w:rsidRPr="00F91E05" w:rsidRDefault="00D15FD8" w:rsidP="00F91E05">
                      <w:pPr>
                        <w:rPr>
                          <w:color w:val="82C9A0"/>
                        </w:rPr>
                      </w:pPr>
                    </w:p>
                    <w:p w14:paraId="5C482FFD"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p w14:paraId="5865D5A0" w14:textId="77777777" w:rsidR="00D15FD8" w:rsidRPr="00F91E05" w:rsidRDefault="00D15FD8" w:rsidP="00F91E05">
                      <w:pPr>
                        <w:rPr>
                          <w:color w:val="82C9A0"/>
                        </w:rPr>
                      </w:pPr>
                    </w:p>
                    <w:p w14:paraId="55C1375C" w14:textId="77777777" w:rsidR="00D15FD8" w:rsidRPr="00F91E05" w:rsidRDefault="00D15FD8" w:rsidP="00F91E05">
                      <w:pPr>
                        <w:jc w:val="center"/>
                        <w:rPr>
                          <w:rFonts w:ascii="Arial" w:hAnsi="Arial" w:cs="Arial"/>
                          <w:b/>
                          <w:bCs/>
                          <w:color w:val="82C9A0"/>
                          <w:sz w:val="20"/>
                          <w:szCs w:val="20"/>
                          <w:lang w:val="en-US"/>
                        </w:rPr>
                      </w:pPr>
                      <w:r w:rsidRPr="00F91E05">
                        <w:rPr>
                          <w:rFonts w:ascii="Arial" w:hAnsi="Arial" w:cs="Arial"/>
                          <w:b/>
                          <w:bCs/>
                          <w:color w:val="82C9A0"/>
                          <w:sz w:val="20"/>
                          <w:szCs w:val="20"/>
                          <w:lang w:val="en-US"/>
                        </w:rPr>
                        <w:t>Benin</w:t>
                      </w:r>
                    </w:p>
                  </w:txbxContent>
                </v:textbox>
                <w10:wrap type="square"/>
              </v:shape>
            </w:pict>
          </mc:Fallback>
        </mc:AlternateContent>
      </w:r>
      <w:r w:rsidR="004E4BA0">
        <w:rPr>
          <w:rFonts w:ascii="Arial" w:hAnsi="Arial" w:cs="Arial"/>
          <w:noProof/>
          <w:sz w:val="24"/>
          <w:szCs w:val="24"/>
          <w:lang w:val="en-US"/>
        </w:rPr>
        <w:drawing>
          <wp:anchor distT="0" distB="0" distL="114300" distR="114300" simplePos="0" relativeHeight="254590974" behindDoc="0" locked="0" layoutInCell="1" allowOverlap="1" wp14:anchorId="7DABF88F" wp14:editId="432251EE">
            <wp:simplePos x="0" y="0"/>
            <wp:positionH relativeFrom="column">
              <wp:posOffset>4927600</wp:posOffset>
            </wp:positionH>
            <wp:positionV relativeFrom="paragraph">
              <wp:posOffset>1450975</wp:posOffset>
            </wp:positionV>
            <wp:extent cx="582930" cy="410210"/>
            <wp:effectExtent l="0" t="0" r="1270" b="0"/>
            <wp:wrapSquare wrapText="bothSides"/>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4BA0">
        <w:rPr>
          <w:rFonts w:ascii="Arial" w:hAnsi="Arial" w:cs="Arial"/>
          <w:noProof/>
          <w:sz w:val="24"/>
          <w:szCs w:val="24"/>
          <w:lang w:val="en-US"/>
        </w:rPr>
        <mc:AlternateContent>
          <mc:Choice Requires="wps">
            <w:drawing>
              <wp:anchor distT="0" distB="0" distL="114300" distR="114300" simplePos="0" relativeHeight="254591998" behindDoc="0" locked="0" layoutInCell="1" allowOverlap="1" wp14:anchorId="3BECA497" wp14:editId="75F7CEE7">
                <wp:simplePos x="0" y="0"/>
                <wp:positionH relativeFrom="column">
                  <wp:posOffset>5586095</wp:posOffset>
                </wp:positionH>
                <wp:positionV relativeFrom="paragraph">
                  <wp:posOffset>1488432</wp:posOffset>
                </wp:positionV>
                <wp:extent cx="1028700" cy="355600"/>
                <wp:effectExtent l="0" t="0" r="0" b="0"/>
                <wp:wrapSquare wrapText="bothSides"/>
                <wp:docPr id="2444" name="Rounded Rectangle 2444"/>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3FCCA85" id="Rounded Rectangle 2444" o:spid="_x0000_s1026" style="position:absolute;margin-left:439.85pt;margin-top:117.2pt;width:81pt;height:28pt;z-index:254591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" fillcolor="#16988a" stroked="f" strokeweight="1pt">
                <v:stroke joinstyle="miter"/>
                <w10:wrap type="square"/>
              </v:roundrect>
            </w:pict>
          </mc:Fallback>
        </mc:AlternateContent>
      </w:r>
      <w:r w:rsidR="004E4BA0">
        <w:rPr>
          <w:rFonts w:ascii="Arial" w:hAnsi="Arial" w:cs="Arial"/>
          <w:noProof/>
          <w:sz w:val="24"/>
          <w:szCs w:val="24"/>
          <w:lang w:val="en-US"/>
        </w:rPr>
        <mc:AlternateContent>
          <mc:Choice Requires="wps">
            <w:drawing>
              <wp:anchor distT="0" distB="0" distL="114300" distR="114300" simplePos="0" relativeHeight="254593022" behindDoc="0" locked="0" layoutInCell="1" allowOverlap="1" wp14:anchorId="17CFE6E6" wp14:editId="70090002">
                <wp:simplePos x="0" y="0"/>
                <wp:positionH relativeFrom="column">
                  <wp:posOffset>5588000</wp:posOffset>
                </wp:positionH>
                <wp:positionV relativeFrom="paragraph">
                  <wp:posOffset>1518285</wp:posOffset>
                </wp:positionV>
                <wp:extent cx="1028700" cy="254000"/>
                <wp:effectExtent l="0" t="0" r="0" b="0"/>
                <wp:wrapNone/>
                <wp:docPr id="2448" name="Text Box 2448">
                  <a:hlinkClick xmlns:a="http://schemas.openxmlformats.org/drawingml/2006/main" r:id="rId982"/>
                </wp:docPr>
                <wp:cNvGraphicFramePr/>
                <a:graphic xmlns:a="http://schemas.openxmlformats.org/drawingml/2006/main">
                  <a:graphicData uri="http://schemas.microsoft.com/office/word/2010/wordprocessingShape">
                    <wps:wsp>
                      <wps:cNvSpPr txBox="1"/>
                      <wps:spPr>
                        <a:xfrm>
                          <a:off x="0" y="0"/>
                          <a:ext cx="1028700" cy="254000"/>
                        </a:xfrm>
                        <a:prstGeom prst="rect">
                          <a:avLst/>
                        </a:prstGeom>
                        <a:noFill/>
                        <a:ln w="6350">
                          <a:noFill/>
                        </a:ln>
                      </wps:spPr>
                      <wps:txbx>
                        <w:txbxContent>
                          <w:p w14:paraId="45822F3B" w14:textId="0079A0BC" w:rsidR="00D15FD8" w:rsidRPr="00896E25" w:rsidRDefault="00AC4DF7" w:rsidP="00896E25">
                            <w:pPr>
                              <w:jc w:val="center"/>
                              <w:rPr>
                                <w:b/>
                                <w:bCs/>
                                <w:color w:val="FFFFFF" w:themeColor="background1"/>
                              </w:rPr>
                            </w:pPr>
                            <w:hyperlink r:id="rId983" w:history="1">
                              <w:r w:rsidR="00D15FD8" w:rsidRPr="00896E25">
                                <w:rPr>
                                  <w:rStyle w:val="Hyperlink"/>
                                  <w:rFonts w:ascii="Arial" w:hAnsi="Arial" w:cs="Arial"/>
                                  <w:b/>
                                  <w:bCs/>
                                  <w:color w:val="FFFFFF" w:themeColor="background1"/>
                                  <w:sz w:val="24"/>
                                  <w:szCs w:val="24"/>
                                </w:rPr>
                                <w:t>Watc</w:t>
                              </w:r>
                            </w:hyperlink>
                            <w:r w:rsidR="00D15FD8" w:rsidRPr="00896E25">
                              <w:rPr>
                                <w:rStyle w:val="Hyperlink"/>
                                <w:rFonts w:ascii="Arial" w:hAnsi="Arial" w:cs="Arial"/>
                                <w:b/>
                                <w:bCs/>
                                <w:color w:val="FFFFFF" w:themeColor="background1"/>
                                <w:sz w:val="24"/>
                                <w:szCs w:val="24"/>
                              </w:rPr>
                              <w:t>h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CFE6E6" id="Text Box 2448" o:spid="_x0000_s1686" type="#_x0000_t202" href="https://youtu.be/RgHvpv37Vwo" style="position:absolute;left:0;text-align:left;margin-left:440pt;margin-top:119.55pt;width:81pt;height:20pt;z-index:2545930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" o:button="t" filled="f" stroked="f" strokeweight=".5pt">
                <v:fill o:detectmouseclick="t"/>
                <v:textbox>
                  <w:txbxContent>
                    <w:p w14:paraId="45822F3B" w14:textId="0079A0BC" w:rsidR="00D15FD8" w:rsidRPr="00896E25" w:rsidRDefault="00AC4DF7" w:rsidP="00896E25">
                      <w:pPr>
                        <w:jc w:val="center"/>
                        <w:rPr>
                          <w:b/>
                          <w:bCs/>
                          <w:color w:val="FFFFFF" w:themeColor="background1"/>
                        </w:rPr>
                      </w:pPr>
                      <w:hyperlink r:id="rId984" w:history="1">
                        <w:r w:rsidR="00D15FD8" w:rsidRPr="00896E25">
                          <w:rPr>
                            <w:rStyle w:val="Hyperlink"/>
                            <w:rFonts w:ascii="Arial" w:hAnsi="Arial" w:cs="Arial"/>
                            <w:b/>
                            <w:bCs/>
                            <w:color w:val="FFFFFF" w:themeColor="background1"/>
                            <w:sz w:val="24"/>
                            <w:szCs w:val="24"/>
                          </w:rPr>
                          <w:t>Watc</w:t>
                        </w:r>
                      </w:hyperlink>
                      <w:r w:rsidR="00D15FD8" w:rsidRPr="00896E25">
                        <w:rPr>
                          <w:rStyle w:val="Hyperlink"/>
                          <w:rFonts w:ascii="Arial" w:hAnsi="Arial" w:cs="Arial"/>
                          <w:b/>
                          <w:bCs/>
                          <w:color w:val="FFFFFF" w:themeColor="background1"/>
                          <w:sz w:val="24"/>
                          <w:szCs w:val="24"/>
                        </w:rPr>
                        <w:t>h here</w:t>
                      </w:r>
                    </w:p>
                  </w:txbxContent>
                </v:textbox>
              </v:shape>
            </w:pict>
          </mc:Fallback>
        </mc:AlternateContent>
      </w:r>
      <w:r w:rsidR="007C3A18">
        <w:rPr>
          <w:noProof/>
          <w:lang w:val="en-US"/>
        </w:rPr>
        <w:drawing>
          <wp:anchor distT="0" distB="0" distL="114300" distR="114300" simplePos="0" relativeHeight="254588926" behindDoc="0" locked="0" layoutInCell="1" allowOverlap="1" wp14:anchorId="6177B9CF" wp14:editId="2F5A999A">
            <wp:simplePos x="0" y="0"/>
            <wp:positionH relativeFrom="column">
              <wp:posOffset>0</wp:posOffset>
            </wp:positionH>
            <wp:positionV relativeFrom="paragraph">
              <wp:posOffset>70485</wp:posOffset>
            </wp:positionV>
            <wp:extent cx="1101600" cy="735668"/>
            <wp:effectExtent l="25400" t="25400" r="92710" b="90170"/>
            <wp:wrapSquare wrapText="bothSides"/>
            <wp:docPr id="2442" name="Picture 2442" descr="flag of South Africa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g of South Africa | Britannica"/>
                    <pic:cNvPicPr>
                      <a:picLocks noChangeAspect="1" noChangeArrowheads="1"/>
                    </pic:cNvPicPr>
                  </pic:nvPicPr>
                  <pic:blipFill>
                    <a:blip r:embed="rId985" cstate="email">
                      <a:extLst>
                        <a:ext uri="{28A0092B-C50C-407E-A947-70E740481C1C}">
                          <a14:useLocalDpi xmlns:a14="http://schemas.microsoft.com/office/drawing/2010/main"/>
                        </a:ext>
                      </a:extLst>
                    </a:blip>
                    <a:srcRect/>
                    <a:stretch>
                      <a:fillRect/>
                    </a:stretch>
                  </pic:blipFill>
                  <pic:spPr bwMode="auto">
                    <a:xfrm>
                      <a:off x="0" y="0"/>
                      <a:ext cx="1101600" cy="735668"/>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E4BA0">
        <w:fldChar w:fldCharType="begin"/>
      </w:r>
      <w:r w:rsidR="004E4BA0">
        <w:instrText xml:space="preserve"> INCLUDEPICTURE "https://cdn.britannica.com/27/4227-004-32423B42/Flag-South-Africa.jpg" \* MERGEFORMATINET </w:instrText>
      </w:r>
      <w:r w:rsidR="004E4BA0">
        <w:fldChar w:fldCharType="end"/>
      </w:r>
      <w:r w:rsidR="004E4BA0" w:rsidRPr="00EB2A7C">
        <w:rPr>
          <w:rFonts w:ascii="Arial" w:hAnsi="Arial" w:cs="Arial"/>
          <w:sz w:val="24"/>
          <w:szCs w:val="24"/>
        </w:rPr>
        <w:t>Fiscal transparency portals have emerged in recent years as a digital solution to release information to the public in a proactive, simple and consolidated manner, in formats that allow for faster and easier analyses.</w:t>
      </w:r>
      <w:r w:rsidR="004E4BA0" w:rsidRPr="00EB2A7C">
        <w:rPr>
          <w:rFonts w:ascii="Arial" w:hAnsi="Arial" w:cs="Arial"/>
          <w:sz w:val="24"/>
          <w:szCs w:val="24"/>
          <w:lang w:val="en-ZA"/>
        </w:rPr>
        <w:t xml:space="preserve"> These portals typically provide comprehensive and up-to-date data in a variety of formats, allowing anybody to search and download regularly updated budget information. As such, they have the potential to not only dramatically increase the public’s access to fiscal information, but also to significantly improve its usability and relevance to the various stakeholders. To do this, however, it is critical that these portals respond to user needs. In a</w:t>
      </w:r>
      <w:r w:rsidR="00E40A31">
        <w:rPr>
          <w:rFonts w:ascii="Arial" w:hAnsi="Arial" w:cs="Arial"/>
          <w:sz w:val="24"/>
          <w:szCs w:val="24"/>
          <w:lang w:val="en-ZA"/>
        </w:rPr>
        <w:t>n</w:t>
      </w:r>
      <w:r w:rsidR="004E4BA0" w:rsidRPr="00EB2A7C">
        <w:rPr>
          <w:rFonts w:ascii="Arial" w:hAnsi="Arial" w:cs="Arial"/>
          <w:sz w:val="24"/>
          <w:szCs w:val="24"/>
          <w:lang w:val="en-ZA"/>
        </w:rPr>
        <w:t xml:space="preserve"> </w:t>
      </w:r>
      <w:r w:rsidR="00E40A31">
        <w:rPr>
          <w:rFonts w:ascii="Arial" w:hAnsi="Arial" w:cs="Arial"/>
          <w:sz w:val="24"/>
          <w:szCs w:val="24"/>
          <w:lang w:val="en-ZA"/>
        </w:rPr>
        <w:t xml:space="preserve">interview </w:t>
      </w:r>
      <w:r w:rsidR="004E4BA0" w:rsidRPr="00EB2A7C">
        <w:rPr>
          <w:rFonts w:ascii="Arial" w:hAnsi="Arial" w:cs="Arial"/>
          <w:sz w:val="24"/>
          <w:szCs w:val="24"/>
        </w:rPr>
        <w:t>recorded in April 2021, the South African National Treasury’s approach to</w:t>
      </w:r>
      <w:r w:rsidR="004E4BA0" w:rsidRPr="00EB2A7C">
        <w:rPr>
          <w:rFonts w:ascii="Arial" w:hAnsi="Arial" w:cs="Arial"/>
          <w:sz w:val="24"/>
          <w:szCs w:val="24"/>
          <w:lang w:val="en-ZA"/>
        </w:rPr>
        <w:t xml:space="preserve"> </w:t>
      </w:r>
      <w:r w:rsidR="004E4BA0" w:rsidRPr="00EB2A7C">
        <w:rPr>
          <w:rFonts w:ascii="Arial" w:hAnsi="Arial" w:cs="Arial"/>
          <w:sz w:val="24"/>
          <w:szCs w:val="24"/>
        </w:rPr>
        <w:t xml:space="preserve">develop </w:t>
      </w:r>
      <w:hyperlink r:id="rId986" w:history="1">
        <w:proofErr w:type="spellStart"/>
        <w:r w:rsidR="004E4BA0" w:rsidRPr="00EB2A7C">
          <w:rPr>
            <w:rStyle w:val="Hyperlink"/>
            <w:rFonts w:ascii="Arial" w:hAnsi="Arial" w:cs="Arial"/>
            <w:i/>
            <w:sz w:val="24"/>
            <w:szCs w:val="24"/>
            <w:lang w:val="en-ZA"/>
          </w:rPr>
          <w:t>Vulekamali</w:t>
        </w:r>
        <w:proofErr w:type="spellEnd"/>
      </w:hyperlink>
      <w:r w:rsidR="004E4BA0" w:rsidRPr="00EB2A7C">
        <w:rPr>
          <w:rFonts w:ascii="Arial" w:hAnsi="Arial" w:cs="Arial"/>
          <w:i/>
          <w:sz w:val="24"/>
          <w:szCs w:val="24"/>
          <w:lang w:val="en-ZA"/>
        </w:rPr>
        <w:t>,</w:t>
      </w:r>
      <w:r w:rsidR="004E4BA0" w:rsidRPr="00EB2A7C">
        <w:rPr>
          <w:rFonts w:ascii="Arial" w:hAnsi="Arial" w:cs="Arial"/>
          <w:sz w:val="24"/>
          <w:szCs w:val="24"/>
        </w:rPr>
        <w:t xml:space="preserve"> an</w:t>
      </w:r>
      <w:r w:rsidR="004E4BA0" w:rsidRPr="00EB2A7C">
        <w:rPr>
          <w:rFonts w:ascii="Arial" w:hAnsi="Arial" w:cs="Arial"/>
          <w:sz w:val="24"/>
          <w:szCs w:val="24"/>
          <w:lang w:val="en-ZA"/>
        </w:rPr>
        <w:t xml:space="preserve"> online budget portal, in partnership with civil society is detailed.</w:t>
      </w:r>
    </w:p>
    <w:p w14:paraId="2DE94160" w14:textId="77777777" w:rsidR="004E4BA0" w:rsidRPr="00EB2A7C" w:rsidRDefault="004E4BA0" w:rsidP="00EB2A7C">
      <w:pPr>
        <w:spacing w:line="276" w:lineRule="auto"/>
        <w:jc w:val="both"/>
        <w:rPr>
          <w:rFonts w:ascii="Arial" w:hAnsi="Arial" w:cs="Arial"/>
          <w:sz w:val="24"/>
          <w:szCs w:val="24"/>
          <w:lang w:val="en-ZA"/>
        </w:rPr>
      </w:pPr>
    </w:p>
    <w:p w14:paraId="687DC6D4" w14:textId="77777777" w:rsidR="004E4BA0" w:rsidRPr="00EB2A7C" w:rsidRDefault="004E4BA0" w:rsidP="00EB2A7C">
      <w:pPr>
        <w:spacing w:line="276" w:lineRule="auto"/>
        <w:jc w:val="both"/>
        <w:rPr>
          <w:rFonts w:ascii="Arial" w:hAnsi="Arial" w:cs="Arial"/>
          <w:sz w:val="24"/>
          <w:szCs w:val="24"/>
        </w:rPr>
      </w:pPr>
      <w:r w:rsidRPr="00EB2A7C">
        <w:rPr>
          <w:rFonts w:ascii="Arial" w:hAnsi="Arial" w:cs="Arial"/>
          <w:sz w:val="24"/>
          <w:szCs w:val="24"/>
          <w:lang w:val="en-ZA"/>
        </w:rPr>
        <w:t xml:space="preserve">The South African National Treasury’s motivation to develop a fiscal transparency portal stemmed from the realisation that although extensive budget documentation was being publishing, it was not </w:t>
      </w:r>
      <w:r w:rsidRPr="00EB2A7C">
        <w:rPr>
          <w:rFonts w:ascii="Arial" w:hAnsi="Arial" w:cs="Arial"/>
          <w:sz w:val="24"/>
          <w:szCs w:val="24"/>
          <w:lang w:val="en-ZA"/>
        </w:rPr>
        <w:lastRenderedPageBreak/>
        <w:t>being used extensively by members of the public, implying that it was not fully meeting their needs. Civil</w:t>
      </w:r>
      <w:r w:rsidRPr="00EB2A7C">
        <w:rPr>
          <w:rFonts w:ascii="Arial" w:hAnsi="Arial" w:cs="Arial"/>
          <w:sz w:val="24"/>
          <w:szCs w:val="24"/>
        </w:rPr>
        <w:t xml:space="preserve"> society got involved in the development of </w:t>
      </w:r>
      <w:proofErr w:type="spellStart"/>
      <w:r w:rsidRPr="00EB2A7C">
        <w:rPr>
          <w:rFonts w:ascii="Arial" w:hAnsi="Arial" w:cs="Arial"/>
          <w:i/>
          <w:sz w:val="24"/>
          <w:szCs w:val="24"/>
        </w:rPr>
        <w:t>Vulekamali</w:t>
      </w:r>
      <w:proofErr w:type="spellEnd"/>
      <w:r w:rsidRPr="00EB2A7C">
        <w:rPr>
          <w:rFonts w:ascii="Arial" w:hAnsi="Arial" w:cs="Arial"/>
          <w:sz w:val="24"/>
          <w:szCs w:val="24"/>
        </w:rPr>
        <w:t xml:space="preserve"> in a fairly organic way, with discussions starting within the context of the GIFT network.</w:t>
      </w:r>
      <w:r w:rsidRPr="00EB2A7C">
        <w:rPr>
          <w:rFonts w:ascii="Arial" w:eastAsiaTheme="minorEastAsia" w:hAnsi="Arial" w:cs="Arial"/>
          <w:sz w:val="24"/>
          <w:szCs w:val="24"/>
          <w:lang w:eastAsia="zh-CN"/>
        </w:rPr>
        <w:t xml:space="preserve"> </w:t>
      </w:r>
      <w:r w:rsidRPr="00EB2A7C">
        <w:rPr>
          <w:rFonts w:ascii="Arial" w:hAnsi="Arial" w:cs="Arial"/>
          <w:sz w:val="24"/>
          <w:szCs w:val="24"/>
        </w:rPr>
        <w:t xml:space="preserve">The process of formalizing the partnership with the National Treasury required the identification of shared fiscal transparency and public participation objectives, and the formation of formal governance arrangements. </w:t>
      </w:r>
    </w:p>
    <w:p w14:paraId="3C41B3BE" w14:textId="77777777" w:rsidR="004E4BA0" w:rsidRPr="00EB2A7C" w:rsidRDefault="004E4BA0" w:rsidP="00EB2A7C">
      <w:pPr>
        <w:spacing w:line="276" w:lineRule="auto"/>
        <w:jc w:val="both"/>
        <w:rPr>
          <w:rFonts w:ascii="Arial" w:hAnsi="Arial" w:cs="Arial"/>
          <w:sz w:val="24"/>
          <w:szCs w:val="24"/>
        </w:rPr>
      </w:pPr>
    </w:p>
    <w:p w14:paraId="3F995C1C" w14:textId="77777777" w:rsidR="004E4BA0" w:rsidRPr="00EB2A7C" w:rsidRDefault="004E4BA0" w:rsidP="00EB2A7C">
      <w:pPr>
        <w:spacing w:line="276" w:lineRule="auto"/>
        <w:jc w:val="both"/>
        <w:rPr>
          <w:rFonts w:ascii="Arial" w:hAnsi="Arial" w:cs="Arial"/>
          <w:sz w:val="24"/>
          <w:szCs w:val="24"/>
        </w:rPr>
      </w:pPr>
      <w:r w:rsidRPr="00EB2A7C">
        <w:rPr>
          <w:rFonts w:ascii="Arial" w:hAnsi="Arial" w:cs="Arial"/>
          <w:sz w:val="24"/>
          <w:szCs w:val="24"/>
        </w:rPr>
        <w:t xml:space="preserve">To ensure that diverse user needs were provided for in the portal’s development process, the needs of different users within the South African context were taken into account including through the development of various user personas in collaboration with different civil society organizations. </w:t>
      </w:r>
    </w:p>
    <w:p w14:paraId="796F8113" w14:textId="77777777" w:rsidR="004E4BA0" w:rsidRPr="00EB2A7C" w:rsidRDefault="004E4BA0" w:rsidP="00EB2A7C">
      <w:pPr>
        <w:spacing w:line="276" w:lineRule="auto"/>
        <w:jc w:val="both"/>
        <w:rPr>
          <w:rFonts w:ascii="Arial" w:hAnsi="Arial" w:cs="Arial"/>
          <w:sz w:val="24"/>
          <w:szCs w:val="24"/>
        </w:rPr>
      </w:pPr>
    </w:p>
    <w:p w14:paraId="45B7AD1D" w14:textId="77777777" w:rsidR="004E4BA0" w:rsidRPr="00EB2A7C" w:rsidRDefault="004E4BA0" w:rsidP="00EB2A7C">
      <w:pPr>
        <w:spacing w:line="276" w:lineRule="auto"/>
        <w:jc w:val="both"/>
        <w:rPr>
          <w:rFonts w:ascii="Arial" w:hAnsi="Arial" w:cs="Arial"/>
          <w:iCs/>
          <w:sz w:val="24"/>
          <w:szCs w:val="24"/>
        </w:rPr>
      </w:pPr>
      <w:r w:rsidRPr="00EB2A7C">
        <w:rPr>
          <w:rFonts w:ascii="Arial" w:hAnsi="Arial" w:cs="Arial"/>
          <w:sz w:val="24"/>
          <w:szCs w:val="24"/>
        </w:rPr>
        <w:t xml:space="preserve">Some key lessons learnt in the process of developing </w:t>
      </w:r>
      <w:proofErr w:type="spellStart"/>
      <w:r w:rsidRPr="00EB2A7C">
        <w:rPr>
          <w:rFonts w:ascii="Arial" w:hAnsi="Arial" w:cs="Arial"/>
          <w:i/>
          <w:sz w:val="24"/>
          <w:szCs w:val="24"/>
        </w:rPr>
        <w:t>Vulekamali</w:t>
      </w:r>
      <w:proofErr w:type="spellEnd"/>
      <w:r w:rsidRPr="00EB2A7C">
        <w:rPr>
          <w:rFonts w:ascii="Arial" w:hAnsi="Arial" w:cs="Arial"/>
          <w:sz w:val="24"/>
          <w:szCs w:val="24"/>
        </w:rPr>
        <w:t xml:space="preserve">, include the benefit of government and civil society working together in good faith, towards setting </w:t>
      </w:r>
      <w:r w:rsidRPr="00EB2A7C">
        <w:rPr>
          <w:rFonts w:ascii="Arial" w:hAnsi="Arial" w:cs="Arial"/>
          <w:iCs/>
          <w:sz w:val="24"/>
          <w:szCs w:val="24"/>
        </w:rPr>
        <w:t xml:space="preserve">realistic expectations, and the achievement of common goals. Peer learning can also be very valuable, allowing learning to take place from the achievements and set-backs of others. It is however crucial, that local factors are always provided for. Other lessons include that lessons learnt along the way should be continually reflected and built on; that dynamics should be created between different stakeholders to be as inclusive of different users as possible, and lastly that effective communication and building trust between the different parties is key to success. </w:t>
      </w:r>
    </w:p>
    <w:p w14:paraId="7D0159E6" w14:textId="77777777" w:rsidR="00FD058C" w:rsidRDefault="00FD058C" w:rsidP="00EB2A7C">
      <w:pPr>
        <w:spacing w:line="276" w:lineRule="auto"/>
        <w:rPr>
          <w:rFonts w:ascii="Arial" w:eastAsiaTheme="majorEastAsia" w:hAnsi="Arial" w:cs="Arial"/>
          <w:b/>
          <w:iCs/>
          <w:color w:val="82C9A0"/>
          <w:sz w:val="24"/>
          <w:szCs w:val="24"/>
        </w:rPr>
      </w:pPr>
    </w:p>
    <w:p w14:paraId="6DD252E2" w14:textId="08CDC990" w:rsidR="001C6049" w:rsidRPr="00590086" w:rsidRDefault="001C6049" w:rsidP="00EB2A7C">
      <w:pPr>
        <w:spacing w:line="276" w:lineRule="auto"/>
        <w:rPr>
          <w:rFonts w:ascii="Arial" w:eastAsiaTheme="majorEastAsia" w:hAnsi="Arial" w:cs="Arial"/>
          <w:b/>
          <w:iCs/>
          <w:color w:val="82C9A0"/>
          <w:sz w:val="26"/>
          <w:szCs w:val="26"/>
        </w:rPr>
      </w:pPr>
      <w:r w:rsidRPr="00590086">
        <w:rPr>
          <w:rFonts w:ascii="Arial" w:eastAsiaTheme="majorEastAsia" w:hAnsi="Arial" w:cs="Arial"/>
          <w:b/>
          <w:iCs/>
          <w:color w:val="82C9A0"/>
          <w:sz w:val="26"/>
          <w:szCs w:val="26"/>
        </w:rPr>
        <w:t>Importance of fiscal data in emergency responses: The COVID-19 experience</w:t>
      </w:r>
    </w:p>
    <w:p w14:paraId="674EC3E0" w14:textId="04380F1A" w:rsidR="001C6049" w:rsidRDefault="008E6374" w:rsidP="001C6049">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594046" behindDoc="0" locked="0" layoutInCell="1" allowOverlap="1" wp14:anchorId="0FE8CE44" wp14:editId="6299F368">
            <wp:simplePos x="0" y="0"/>
            <wp:positionH relativeFrom="column">
              <wp:posOffset>0</wp:posOffset>
            </wp:positionH>
            <wp:positionV relativeFrom="paragraph">
              <wp:posOffset>203835</wp:posOffset>
            </wp:positionV>
            <wp:extent cx="1485900" cy="2151380"/>
            <wp:effectExtent l="0" t="0" r="0" b="0"/>
            <wp:wrapSquare wrapText="bothSides"/>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 name="Picture 2449"/>
                    <pic:cNvPicPr/>
                  </pic:nvPicPr>
                  <pic:blipFill rotWithShape="1">
                    <a:blip r:embed="rId987" cstate="email">
                      <a:extLst>
                        <a:ext uri="{28A0092B-C50C-407E-A947-70E740481C1C}">
                          <a14:useLocalDpi xmlns:a14="http://schemas.microsoft.com/office/drawing/2010/main"/>
                        </a:ext>
                      </a:extLst>
                    </a:blip>
                    <a:srcRect l="15861" t="14745" r="15918" b="15325"/>
                    <a:stretch/>
                  </pic:blipFill>
                  <pic:spPr bwMode="auto">
                    <a:xfrm>
                      <a:off x="0" y="0"/>
                      <a:ext cx="1485900" cy="2151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C2A11D" w14:textId="7A6920BB" w:rsidR="001C6049" w:rsidRPr="00EB2A7C" w:rsidRDefault="001C6049" w:rsidP="00EB2A7C">
      <w:pPr>
        <w:spacing w:line="276" w:lineRule="auto"/>
        <w:jc w:val="both"/>
        <w:rPr>
          <w:rFonts w:ascii="Arial" w:hAnsi="Arial" w:cs="Arial"/>
          <w:sz w:val="24"/>
          <w:szCs w:val="24"/>
          <w:lang w:val="en-ZA"/>
        </w:rPr>
      </w:pPr>
      <w:r w:rsidRPr="00EB2A7C">
        <w:rPr>
          <w:rFonts w:ascii="Arial" w:hAnsi="Arial" w:cs="Arial"/>
          <w:sz w:val="24"/>
          <w:szCs w:val="24"/>
          <w:lang w:val="en-ZA"/>
        </w:rPr>
        <w:t xml:space="preserve">Unparalleled fiscal policy responses to COVID-19 substantially increased risks for decreased transparency, misallocation, inefficiencies and corruption. GIFT, and other key stakeholders thus appealed for fiscal transparency, citing all the benefits it brings, including in times of emergency. The IBP’s May 2021 study titled </w:t>
      </w:r>
      <w:hyperlink r:id="rId988" w:history="1">
        <w:r w:rsidRPr="00EB2A7C">
          <w:rPr>
            <w:rStyle w:val="Hyperlink"/>
            <w:rFonts w:ascii="Arial" w:hAnsi="Arial" w:cs="Arial"/>
            <w:i/>
            <w:sz w:val="24"/>
            <w:szCs w:val="24"/>
            <w:lang w:val="en-ZA"/>
          </w:rPr>
          <w:t>Managing COVID funds: The accountability gap</w:t>
        </w:r>
      </w:hyperlink>
      <w:r w:rsidRPr="00EB2A7C">
        <w:rPr>
          <w:rFonts w:ascii="Arial" w:hAnsi="Arial" w:cs="Arial"/>
          <w:sz w:val="24"/>
          <w:szCs w:val="24"/>
          <w:lang w:val="en-ZA"/>
        </w:rPr>
        <w:t xml:space="preserve"> findings however showed that more than two-thirds of the governments within the study, across different regions and income levels, only provided limited or minimal</w:t>
      </w:r>
      <w:r w:rsidRPr="00EB2A7C">
        <w:rPr>
          <w:rFonts w:ascii="Arial" w:hAnsi="Arial" w:cs="Arial"/>
          <w:b/>
          <w:sz w:val="24"/>
          <w:szCs w:val="24"/>
          <w:lang w:val="en-ZA"/>
        </w:rPr>
        <w:t xml:space="preserve"> </w:t>
      </w:r>
      <w:r w:rsidRPr="00EB2A7C">
        <w:rPr>
          <w:rFonts w:ascii="Arial" w:hAnsi="Arial" w:cs="Arial"/>
          <w:sz w:val="24"/>
          <w:szCs w:val="24"/>
          <w:lang w:val="en-ZA"/>
        </w:rPr>
        <w:t xml:space="preserve">levels of accountability in the introduction and implementation of early COVID-19 fiscal policy responses. In many cases, spending was done chaotically, behind closed doors, sometimes through the creation of extra-budgetary funds and outside of trusted procurement and budgetary systems. Lack of opportunities for affected people to have a say, has had a negative impact on the poor and vulnerable, including women and children. Within the GIFT network there have however been some positive and encouraging findings. In a testimonial </w:t>
      </w:r>
      <w:hyperlink r:id="rId989" w:history="1">
        <w:r w:rsidRPr="00EB2A7C">
          <w:rPr>
            <w:rStyle w:val="Hyperlink"/>
            <w:rFonts w:ascii="Arial" w:hAnsi="Arial" w:cs="Arial"/>
            <w:sz w:val="24"/>
            <w:szCs w:val="24"/>
          </w:rPr>
          <w:t>video</w:t>
        </w:r>
      </w:hyperlink>
      <w:r w:rsidRPr="00EB2A7C">
        <w:rPr>
          <w:rFonts w:ascii="Arial" w:hAnsi="Arial" w:cs="Arial"/>
          <w:sz w:val="24"/>
          <w:szCs w:val="24"/>
        </w:rPr>
        <w:t xml:space="preserve"> recorded in June 2021, </w:t>
      </w:r>
      <w:r w:rsidRPr="00EB2A7C">
        <w:rPr>
          <w:rFonts w:ascii="Arial" w:hAnsi="Arial" w:cs="Arial"/>
          <w:sz w:val="24"/>
          <w:szCs w:val="24"/>
          <w:lang w:val="en-ZA"/>
        </w:rPr>
        <w:t>the Philippine experience is examined, as one of only four countries found in the study to have shown adequate levels of accountability.</w:t>
      </w:r>
    </w:p>
    <w:p w14:paraId="1DAB9680" w14:textId="625EBA43" w:rsidR="001C6049" w:rsidRPr="00EB2A7C" w:rsidRDefault="008E6374" w:rsidP="00EB2A7C">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4598142" behindDoc="0" locked="0" layoutInCell="1" allowOverlap="1" wp14:anchorId="671C8A2F" wp14:editId="381F9A95">
                <wp:simplePos x="0" y="0"/>
                <wp:positionH relativeFrom="column">
                  <wp:posOffset>596900</wp:posOffset>
                </wp:positionH>
                <wp:positionV relativeFrom="paragraph">
                  <wp:posOffset>193675</wp:posOffset>
                </wp:positionV>
                <wp:extent cx="1168400" cy="355600"/>
                <wp:effectExtent l="0" t="0" r="0" b="0"/>
                <wp:wrapNone/>
                <wp:docPr id="2452" name="Text Box 2452"/>
                <wp:cNvGraphicFramePr/>
                <a:graphic xmlns:a="http://schemas.openxmlformats.org/drawingml/2006/main">
                  <a:graphicData uri="http://schemas.microsoft.com/office/word/2010/wordprocessingShape">
                    <wps:wsp>
                      <wps:cNvSpPr txBox="1"/>
                      <wps:spPr>
                        <a:xfrm>
                          <a:off x="0" y="0"/>
                          <a:ext cx="1168400" cy="355600"/>
                        </a:xfrm>
                        <a:prstGeom prst="rect">
                          <a:avLst/>
                        </a:prstGeom>
                        <a:noFill/>
                        <a:ln w="6350">
                          <a:noFill/>
                        </a:ln>
                      </wps:spPr>
                      <wps:txbx>
                        <w:txbxContent>
                          <w:p w14:paraId="169120A4" w14:textId="20E542D3" w:rsidR="00D15FD8" w:rsidRPr="00896E25" w:rsidRDefault="00AC4DF7" w:rsidP="00896E25">
                            <w:pPr>
                              <w:jc w:val="center"/>
                              <w:rPr>
                                <w:b/>
                                <w:bCs/>
                                <w:color w:val="FFFFFF" w:themeColor="background1"/>
                              </w:rPr>
                            </w:pPr>
                            <w:hyperlink r:id="rId990" w:history="1">
                              <w:r w:rsidR="00D15FD8" w:rsidRPr="00896E25">
                                <w:rPr>
                                  <w:rStyle w:val="Hyperlink"/>
                                  <w:rFonts w:ascii="Arial" w:hAnsi="Arial" w:cs="Arial"/>
                                  <w:b/>
                                  <w:bCs/>
                                  <w:color w:val="FFFFFF" w:themeColor="background1"/>
                                  <w:sz w:val="24"/>
                                  <w:szCs w:val="24"/>
                                </w:rPr>
                                <w:t>Watch</w:t>
                              </w:r>
                            </w:hyperlink>
                            <w:r w:rsidR="00D15FD8" w:rsidRPr="00896E25">
                              <w:rPr>
                                <w:rStyle w:val="Hyperlink"/>
                                <w:rFonts w:ascii="Arial" w:hAnsi="Arial" w:cs="Arial"/>
                                <w:b/>
                                <w:bCs/>
                                <w:color w:val="FFFFFF" w:themeColor="background1"/>
                                <w:sz w:val="24"/>
                                <w:szCs w:val="24"/>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1C8A2F" id="Text Box 2452" o:spid="_x0000_s1687" type="#_x0000_t202" style="position:absolute;left:0;text-align:left;margin-left:47pt;margin-top:15.25pt;width:92pt;height:28pt;z-index:2545981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" filled="f" stroked="f" strokeweight=".5pt">
                <v:textbox>
                  <w:txbxContent>
                    <w:p w14:paraId="169120A4" w14:textId="20E542D3" w:rsidR="00D15FD8" w:rsidRPr="00896E25" w:rsidRDefault="00AC4DF7" w:rsidP="00896E25">
                      <w:pPr>
                        <w:jc w:val="center"/>
                        <w:rPr>
                          <w:b/>
                          <w:bCs/>
                          <w:color w:val="FFFFFF" w:themeColor="background1"/>
                        </w:rPr>
                      </w:pPr>
                      <w:hyperlink r:id="rId991" w:history="1">
                        <w:r w:rsidR="00D15FD8" w:rsidRPr="00896E25">
                          <w:rPr>
                            <w:rStyle w:val="Hyperlink"/>
                            <w:rFonts w:ascii="Arial" w:hAnsi="Arial" w:cs="Arial"/>
                            <w:b/>
                            <w:bCs/>
                            <w:color w:val="FFFFFF" w:themeColor="background1"/>
                            <w:sz w:val="24"/>
                            <w:szCs w:val="24"/>
                          </w:rPr>
                          <w:t>Watch</w:t>
                        </w:r>
                      </w:hyperlink>
                      <w:r w:rsidR="00D15FD8" w:rsidRPr="00896E25">
                        <w:rPr>
                          <w:rStyle w:val="Hyperlink"/>
                          <w:rFonts w:ascii="Arial" w:hAnsi="Arial" w:cs="Arial"/>
                          <w:b/>
                          <w:bCs/>
                          <w:color w:val="FFFFFF" w:themeColor="background1"/>
                          <w:sz w:val="24"/>
                          <w:szCs w:val="24"/>
                        </w:rPr>
                        <w:t xml:space="preserve"> here</w:t>
                      </w:r>
                    </w:p>
                  </w:txbxContent>
                </v:textbox>
              </v:shape>
            </w:pict>
          </mc:Fallback>
        </mc:AlternateContent>
      </w:r>
      <w:r>
        <w:rPr>
          <w:rFonts w:ascii="Arial" w:hAnsi="Arial" w:cs="Arial"/>
          <w:noProof/>
          <w:sz w:val="24"/>
          <w:szCs w:val="24"/>
          <w:lang w:val="en-US"/>
        </w:rPr>
        <w:drawing>
          <wp:anchor distT="0" distB="0" distL="114300" distR="114300" simplePos="0" relativeHeight="254596094" behindDoc="0" locked="0" layoutInCell="1" allowOverlap="1" wp14:anchorId="003D76E0" wp14:editId="6697AE83">
            <wp:simplePos x="0" y="0"/>
            <wp:positionH relativeFrom="column">
              <wp:posOffset>1270</wp:posOffset>
            </wp:positionH>
            <wp:positionV relativeFrom="paragraph">
              <wp:posOffset>138430</wp:posOffset>
            </wp:positionV>
            <wp:extent cx="582930" cy="410210"/>
            <wp:effectExtent l="0" t="0" r="1270" b="0"/>
            <wp:wrapSquare wrapText="bothSides"/>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597118" behindDoc="0" locked="0" layoutInCell="1" allowOverlap="1" wp14:anchorId="73FDD0A8" wp14:editId="4357657D">
                <wp:simplePos x="0" y="0"/>
                <wp:positionH relativeFrom="column">
                  <wp:posOffset>659765</wp:posOffset>
                </wp:positionH>
                <wp:positionV relativeFrom="paragraph">
                  <wp:posOffset>171450</wp:posOffset>
                </wp:positionV>
                <wp:extent cx="1028700" cy="355600"/>
                <wp:effectExtent l="0" t="0" r="0" b="0"/>
                <wp:wrapSquare wrapText="bothSides"/>
                <wp:docPr id="2450" name="Rounded Rectangle 2450"/>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DE0CDD0" id="Rounded Rectangle 2450" o:spid="_x0000_s1026" style="position:absolute;margin-left:51.95pt;margin-top:13.5pt;width:81pt;height:28pt;z-index:254597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" fillcolor="#16988a" stroked="f" strokeweight="1pt">
                <v:stroke joinstyle="miter"/>
                <w10:wrap type="square"/>
              </v:roundrect>
            </w:pict>
          </mc:Fallback>
        </mc:AlternateContent>
      </w:r>
    </w:p>
    <w:p w14:paraId="5AB9727B" w14:textId="568A294A" w:rsidR="001C6049" w:rsidRDefault="001C6049" w:rsidP="001C6049">
      <w:pPr>
        <w:spacing w:line="276" w:lineRule="auto"/>
        <w:jc w:val="both"/>
        <w:rPr>
          <w:rFonts w:ascii="Arial" w:hAnsi="Arial" w:cs="Arial"/>
          <w:sz w:val="24"/>
          <w:szCs w:val="24"/>
          <w:lang w:val="en-ZA"/>
        </w:rPr>
      </w:pPr>
      <w:r w:rsidRPr="00EB2A7C">
        <w:rPr>
          <w:rFonts w:ascii="Arial" w:hAnsi="Arial" w:cs="Arial"/>
          <w:sz w:val="24"/>
          <w:szCs w:val="24"/>
        </w:rPr>
        <w:t>The Philippine government was able to publish data quickly by using existing systems and platforms that made it easier to disseminate financial management information on COVID-19 expenditures in a timely manner. It leveraged international guidance in the design and implementation of each emergency fiscal response package. Open Government principles of fiscal transparency, public accountability and maintaining institutional legitimacy were strongly relied on.</w:t>
      </w:r>
      <w:r w:rsidRPr="00EB2A7C">
        <w:rPr>
          <w:rFonts w:ascii="Arial" w:eastAsiaTheme="minorEastAsia" w:hAnsi="Arial" w:cs="Arial"/>
          <w:sz w:val="24"/>
          <w:szCs w:val="24"/>
          <w:lang w:eastAsia="zh-CN"/>
        </w:rPr>
        <w:t xml:space="preserve"> </w:t>
      </w:r>
      <w:r w:rsidRPr="00EB2A7C">
        <w:rPr>
          <w:rFonts w:ascii="Arial" w:hAnsi="Arial" w:cs="Arial"/>
          <w:sz w:val="24"/>
          <w:szCs w:val="24"/>
          <w:lang w:val="en-ZA"/>
        </w:rPr>
        <w:t>Publication requirements indicated in COVID-19 emergency decrees encouraged diverse government agencies to report and publish data</w:t>
      </w:r>
      <w:r w:rsidR="00EA3BA3">
        <w:rPr>
          <w:rFonts w:ascii="Arial" w:hAnsi="Arial" w:cs="Arial"/>
          <w:sz w:val="24"/>
          <w:szCs w:val="24"/>
          <w:lang w:val="en-ZA"/>
        </w:rPr>
        <w:t>/</w:t>
      </w:r>
      <w:r w:rsidRPr="00EB2A7C">
        <w:rPr>
          <w:rFonts w:ascii="Arial" w:hAnsi="Arial" w:cs="Arial"/>
          <w:sz w:val="24"/>
          <w:szCs w:val="24"/>
          <w:lang w:val="en-ZA"/>
        </w:rPr>
        <w:t xml:space="preserve"> information in a comprehensive and timely manner. </w:t>
      </w:r>
      <w:r w:rsidRPr="00EB2A7C">
        <w:rPr>
          <w:rFonts w:ascii="Arial" w:hAnsi="Arial" w:cs="Arial"/>
          <w:sz w:val="24"/>
          <w:szCs w:val="24"/>
        </w:rPr>
        <w:t xml:space="preserve">In publishing information, it was also ensured </w:t>
      </w:r>
      <w:r w:rsidRPr="00EB2A7C">
        <w:rPr>
          <w:rFonts w:ascii="Arial" w:hAnsi="Arial" w:cs="Arial"/>
          <w:sz w:val="24"/>
          <w:szCs w:val="24"/>
        </w:rPr>
        <w:lastRenderedPageBreak/>
        <w:t>that the data addressed the needs and concerns of the end users. For instance, t</w:t>
      </w:r>
      <w:r w:rsidRPr="00EB2A7C">
        <w:rPr>
          <w:rFonts w:ascii="Arial" w:hAnsi="Arial" w:cs="Arial"/>
          <w:sz w:val="24"/>
          <w:szCs w:val="24"/>
          <w:lang w:val="en-ZA"/>
        </w:rPr>
        <w:t xml:space="preserve">he Philippines was highlighted as one of only a few governments that took action to ensure that COVID-19 relief and response efforts accounted for gender impact. </w:t>
      </w:r>
    </w:p>
    <w:p w14:paraId="70DBE25F" w14:textId="3E883E83" w:rsidR="003D36F4" w:rsidRPr="003D36F4" w:rsidRDefault="003D36F4" w:rsidP="003D36F4">
      <w:pPr>
        <w:spacing w:line="276" w:lineRule="auto"/>
        <w:jc w:val="both"/>
        <w:rPr>
          <w:rFonts w:ascii="Arial" w:hAnsi="Arial" w:cs="Arial"/>
          <w:sz w:val="24"/>
          <w:szCs w:val="24"/>
          <w:lang w:val="en-ZA"/>
        </w:rPr>
      </w:pPr>
    </w:p>
    <w:p w14:paraId="4271D92E" w14:textId="35AD4D8A" w:rsidR="00AB11BF" w:rsidRDefault="003D36F4" w:rsidP="00AC27CC">
      <w:pPr>
        <w:tabs>
          <w:tab w:val="num" w:pos="720"/>
        </w:tabs>
        <w:spacing w:line="276" w:lineRule="auto"/>
        <w:jc w:val="both"/>
        <w:rPr>
          <w:rFonts w:ascii="Arial" w:hAnsi="Arial" w:cs="Arial"/>
          <w:sz w:val="24"/>
          <w:szCs w:val="24"/>
          <w:lang w:val="en-ZA"/>
        </w:rPr>
      </w:pPr>
      <w:r w:rsidRPr="00EB2A7C">
        <w:rPr>
          <w:rFonts w:ascii="Arial" w:hAnsi="Arial" w:cs="Arial"/>
          <w:sz w:val="24"/>
          <w:szCs w:val="24"/>
        </w:rPr>
        <w:t xml:space="preserve">Spaces were also opened for meaningful citizen participation, enabling effective and informed engagement between the public and the government in enhancing public policies. This allowed the public to monitor and ensure that the government's fiscal packages for COVID-19 response measures are utilized in the most efficient and equitable manner. The </w:t>
      </w:r>
      <w:proofErr w:type="spellStart"/>
      <w:r w:rsidRPr="00EB2A7C">
        <w:rPr>
          <w:rFonts w:ascii="Arial" w:hAnsi="Arial" w:cs="Arial"/>
          <w:sz w:val="24"/>
          <w:szCs w:val="24"/>
        </w:rPr>
        <w:t>Dagyaw</w:t>
      </w:r>
      <w:proofErr w:type="spellEnd"/>
      <w:r w:rsidRPr="00EB2A7C">
        <w:rPr>
          <w:rFonts w:ascii="Arial" w:hAnsi="Arial" w:cs="Arial"/>
          <w:sz w:val="24"/>
          <w:szCs w:val="24"/>
        </w:rPr>
        <w:t xml:space="preserve"> 2020 Open Government Virtual Town Hall Meetings provided a continuing series of public dialogues, co-designed and co-implemented by government and non-government organizations at the national and regional levels. The questions and concerns received, as well as, the action points of the government and non-government sectors were documented and published online. The regional </w:t>
      </w:r>
      <w:proofErr w:type="spellStart"/>
      <w:r w:rsidRPr="00EB2A7C">
        <w:rPr>
          <w:rFonts w:ascii="Arial" w:hAnsi="Arial" w:cs="Arial"/>
          <w:sz w:val="24"/>
          <w:szCs w:val="24"/>
        </w:rPr>
        <w:t>Dagyaw</w:t>
      </w:r>
      <w:proofErr w:type="spellEnd"/>
      <w:r w:rsidRPr="00EB2A7C">
        <w:rPr>
          <w:rFonts w:ascii="Arial" w:hAnsi="Arial" w:cs="Arial"/>
          <w:sz w:val="24"/>
          <w:szCs w:val="24"/>
        </w:rPr>
        <w:t xml:space="preserve"> 2020 adopted a co-creation process in designing and conducting town hall sessions at the local level. </w:t>
      </w:r>
      <w:r w:rsidRPr="00EB2A7C">
        <w:rPr>
          <w:rFonts w:ascii="Arial" w:hAnsi="Arial" w:cs="Arial"/>
          <w:bCs/>
          <w:sz w:val="24"/>
          <w:szCs w:val="24"/>
        </w:rPr>
        <w:t xml:space="preserve">Government and non-government conveners deliberated on the list of proposed topics to be discussed, with the non-government convener leading on the prioritization of topics to ensure the agenda responded to the people’s issues. </w:t>
      </w:r>
      <w:r w:rsidRPr="00EB2A7C">
        <w:rPr>
          <w:rFonts w:ascii="Arial" w:hAnsi="Arial" w:cs="Arial"/>
          <w:sz w:val="24"/>
          <w:szCs w:val="24"/>
          <w:lang w:val="en-ZA"/>
        </w:rPr>
        <w:t xml:space="preserve"> </w:t>
      </w:r>
    </w:p>
    <w:p w14:paraId="54846C37" w14:textId="36A1EA28" w:rsidR="00E45475" w:rsidRDefault="00E45475" w:rsidP="00AC27CC">
      <w:pPr>
        <w:tabs>
          <w:tab w:val="num" w:pos="720"/>
        </w:tabs>
        <w:spacing w:line="276" w:lineRule="auto"/>
        <w:jc w:val="both"/>
        <w:rPr>
          <w:rFonts w:ascii="Arial" w:hAnsi="Arial" w:cs="Arial"/>
          <w:i/>
          <w:iCs/>
          <w:sz w:val="24"/>
          <w:szCs w:val="24"/>
          <w:lang w:val="en-US"/>
        </w:rPr>
      </w:pPr>
    </w:p>
    <w:p w14:paraId="2D7274D6" w14:textId="22F4ADE5" w:rsidR="004B3CF0" w:rsidRDefault="004B3CF0" w:rsidP="00AC27CC">
      <w:pPr>
        <w:tabs>
          <w:tab w:val="num" w:pos="720"/>
        </w:tabs>
        <w:spacing w:line="276" w:lineRule="auto"/>
        <w:jc w:val="both"/>
        <w:rPr>
          <w:rFonts w:ascii="Arial" w:hAnsi="Arial" w:cs="Arial"/>
          <w:i/>
          <w:iCs/>
          <w:sz w:val="24"/>
          <w:szCs w:val="24"/>
          <w:lang w:val="en-US"/>
        </w:rPr>
      </w:pPr>
    </w:p>
    <w:p w14:paraId="1FBFF1C0" w14:textId="21AA1823" w:rsidR="004B3CF0" w:rsidRDefault="004B3CF0" w:rsidP="00AC27CC">
      <w:pPr>
        <w:tabs>
          <w:tab w:val="num" w:pos="720"/>
        </w:tabs>
        <w:spacing w:line="276" w:lineRule="auto"/>
        <w:jc w:val="both"/>
        <w:rPr>
          <w:rFonts w:ascii="Arial" w:hAnsi="Arial" w:cs="Arial"/>
          <w:i/>
          <w:iCs/>
          <w:sz w:val="24"/>
          <w:szCs w:val="24"/>
          <w:lang w:val="en-US"/>
        </w:rPr>
      </w:pPr>
    </w:p>
    <w:p w14:paraId="156CB1D6" w14:textId="05EF1E49" w:rsidR="004B3CF0" w:rsidRDefault="004B3CF0" w:rsidP="00AC27CC">
      <w:pPr>
        <w:tabs>
          <w:tab w:val="num" w:pos="720"/>
        </w:tabs>
        <w:spacing w:line="276" w:lineRule="auto"/>
        <w:jc w:val="both"/>
        <w:rPr>
          <w:rFonts w:ascii="Arial" w:hAnsi="Arial" w:cs="Arial"/>
          <w:i/>
          <w:iCs/>
          <w:sz w:val="24"/>
          <w:szCs w:val="24"/>
          <w:lang w:val="en-US"/>
        </w:rPr>
      </w:pPr>
    </w:p>
    <w:p w14:paraId="41698B32" w14:textId="090DCB3E" w:rsidR="004B3CF0" w:rsidRDefault="004B3CF0" w:rsidP="00AC27CC">
      <w:pPr>
        <w:tabs>
          <w:tab w:val="num" w:pos="720"/>
        </w:tabs>
        <w:spacing w:line="276" w:lineRule="auto"/>
        <w:jc w:val="both"/>
        <w:rPr>
          <w:rFonts w:ascii="Arial" w:hAnsi="Arial" w:cs="Arial"/>
          <w:i/>
          <w:iCs/>
          <w:sz w:val="24"/>
          <w:szCs w:val="24"/>
          <w:lang w:val="en-US"/>
        </w:rPr>
      </w:pPr>
    </w:p>
    <w:p w14:paraId="713AC756" w14:textId="76FE28D2" w:rsidR="004B3CF0" w:rsidRDefault="004B3CF0" w:rsidP="00AC27CC">
      <w:pPr>
        <w:tabs>
          <w:tab w:val="num" w:pos="720"/>
        </w:tabs>
        <w:spacing w:line="276" w:lineRule="auto"/>
        <w:jc w:val="both"/>
        <w:rPr>
          <w:rFonts w:ascii="Arial" w:hAnsi="Arial" w:cs="Arial"/>
          <w:i/>
          <w:iCs/>
          <w:sz w:val="24"/>
          <w:szCs w:val="24"/>
          <w:lang w:val="en-US"/>
        </w:rPr>
      </w:pPr>
    </w:p>
    <w:p w14:paraId="0F7106CA" w14:textId="7E1E28A7" w:rsidR="004B3CF0" w:rsidRDefault="004B3CF0" w:rsidP="00AC27CC">
      <w:pPr>
        <w:tabs>
          <w:tab w:val="num" w:pos="720"/>
        </w:tabs>
        <w:spacing w:line="276" w:lineRule="auto"/>
        <w:jc w:val="both"/>
        <w:rPr>
          <w:rFonts w:ascii="Arial" w:hAnsi="Arial" w:cs="Arial"/>
          <w:i/>
          <w:iCs/>
          <w:sz w:val="24"/>
          <w:szCs w:val="24"/>
          <w:lang w:val="en-US"/>
        </w:rPr>
      </w:pPr>
    </w:p>
    <w:p w14:paraId="660A947D" w14:textId="3EEF6922" w:rsidR="004B3CF0" w:rsidRDefault="004B3CF0" w:rsidP="00AC27CC">
      <w:pPr>
        <w:tabs>
          <w:tab w:val="num" w:pos="720"/>
        </w:tabs>
        <w:spacing w:line="276" w:lineRule="auto"/>
        <w:jc w:val="both"/>
        <w:rPr>
          <w:rFonts w:ascii="Arial" w:hAnsi="Arial" w:cs="Arial"/>
          <w:i/>
          <w:iCs/>
          <w:sz w:val="24"/>
          <w:szCs w:val="24"/>
          <w:lang w:val="en-US"/>
        </w:rPr>
      </w:pPr>
    </w:p>
    <w:p w14:paraId="01A12282" w14:textId="1DB590F2" w:rsidR="004B3CF0" w:rsidRDefault="004B3CF0" w:rsidP="00AC27CC">
      <w:pPr>
        <w:tabs>
          <w:tab w:val="num" w:pos="720"/>
        </w:tabs>
        <w:spacing w:line="276" w:lineRule="auto"/>
        <w:jc w:val="both"/>
        <w:rPr>
          <w:rFonts w:ascii="Arial" w:hAnsi="Arial" w:cs="Arial"/>
          <w:i/>
          <w:iCs/>
          <w:sz w:val="24"/>
          <w:szCs w:val="24"/>
          <w:lang w:val="en-US"/>
        </w:rPr>
      </w:pPr>
    </w:p>
    <w:p w14:paraId="598664D6" w14:textId="13D751AE" w:rsidR="004B3CF0" w:rsidRDefault="004B3CF0" w:rsidP="00AC27CC">
      <w:pPr>
        <w:tabs>
          <w:tab w:val="num" w:pos="720"/>
        </w:tabs>
        <w:spacing w:line="276" w:lineRule="auto"/>
        <w:jc w:val="both"/>
        <w:rPr>
          <w:rFonts w:ascii="Arial" w:hAnsi="Arial" w:cs="Arial"/>
          <w:i/>
          <w:iCs/>
          <w:sz w:val="24"/>
          <w:szCs w:val="24"/>
          <w:lang w:val="en-US"/>
        </w:rPr>
      </w:pPr>
    </w:p>
    <w:p w14:paraId="4665399B" w14:textId="345FCE65" w:rsidR="004B3CF0" w:rsidRDefault="004B3CF0" w:rsidP="00AC27CC">
      <w:pPr>
        <w:tabs>
          <w:tab w:val="num" w:pos="720"/>
        </w:tabs>
        <w:spacing w:line="276" w:lineRule="auto"/>
        <w:jc w:val="both"/>
        <w:rPr>
          <w:rFonts w:ascii="Arial" w:hAnsi="Arial" w:cs="Arial"/>
          <w:i/>
          <w:iCs/>
          <w:sz w:val="24"/>
          <w:szCs w:val="24"/>
          <w:lang w:val="en-US"/>
        </w:rPr>
      </w:pPr>
    </w:p>
    <w:p w14:paraId="5A7DBF6C" w14:textId="25257E0F" w:rsidR="004B3CF0" w:rsidRDefault="004B3CF0" w:rsidP="00AC27CC">
      <w:pPr>
        <w:tabs>
          <w:tab w:val="num" w:pos="720"/>
        </w:tabs>
        <w:spacing w:line="276" w:lineRule="auto"/>
        <w:jc w:val="both"/>
        <w:rPr>
          <w:rFonts w:ascii="Arial" w:hAnsi="Arial" w:cs="Arial"/>
          <w:i/>
          <w:iCs/>
          <w:sz w:val="24"/>
          <w:szCs w:val="24"/>
          <w:lang w:val="en-US"/>
        </w:rPr>
      </w:pPr>
    </w:p>
    <w:p w14:paraId="2A61C78A" w14:textId="0430B48E" w:rsidR="004B3CF0" w:rsidRDefault="004B3CF0" w:rsidP="00AC27CC">
      <w:pPr>
        <w:tabs>
          <w:tab w:val="num" w:pos="720"/>
        </w:tabs>
        <w:spacing w:line="276" w:lineRule="auto"/>
        <w:jc w:val="both"/>
        <w:rPr>
          <w:rFonts w:ascii="Arial" w:hAnsi="Arial" w:cs="Arial"/>
          <w:i/>
          <w:iCs/>
          <w:sz w:val="24"/>
          <w:szCs w:val="24"/>
          <w:lang w:val="en-US"/>
        </w:rPr>
      </w:pPr>
    </w:p>
    <w:p w14:paraId="5B8B60A2" w14:textId="0D0717C6" w:rsidR="004B3CF0" w:rsidRDefault="004B3CF0" w:rsidP="00AC27CC">
      <w:pPr>
        <w:tabs>
          <w:tab w:val="num" w:pos="720"/>
        </w:tabs>
        <w:spacing w:line="276" w:lineRule="auto"/>
        <w:jc w:val="both"/>
        <w:rPr>
          <w:rFonts w:ascii="Arial" w:hAnsi="Arial" w:cs="Arial"/>
          <w:i/>
          <w:iCs/>
          <w:sz w:val="24"/>
          <w:szCs w:val="24"/>
          <w:lang w:val="en-US"/>
        </w:rPr>
      </w:pPr>
    </w:p>
    <w:p w14:paraId="6427B023" w14:textId="619D2B2B" w:rsidR="004B3CF0" w:rsidRDefault="004B3CF0" w:rsidP="00AC27CC">
      <w:pPr>
        <w:tabs>
          <w:tab w:val="num" w:pos="720"/>
        </w:tabs>
        <w:spacing w:line="276" w:lineRule="auto"/>
        <w:jc w:val="both"/>
        <w:rPr>
          <w:rFonts w:ascii="Arial" w:hAnsi="Arial" w:cs="Arial"/>
          <w:i/>
          <w:iCs/>
          <w:sz w:val="24"/>
          <w:szCs w:val="24"/>
          <w:lang w:val="en-US"/>
        </w:rPr>
      </w:pPr>
    </w:p>
    <w:p w14:paraId="658E0582" w14:textId="147633DB" w:rsidR="004B3CF0" w:rsidRDefault="004B3CF0" w:rsidP="00AC27CC">
      <w:pPr>
        <w:tabs>
          <w:tab w:val="num" w:pos="720"/>
        </w:tabs>
        <w:spacing w:line="276" w:lineRule="auto"/>
        <w:jc w:val="both"/>
        <w:rPr>
          <w:rFonts w:ascii="Arial" w:hAnsi="Arial" w:cs="Arial"/>
          <w:i/>
          <w:iCs/>
          <w:sz w:val="24"/>
          <w:szCs w:val="24"/>
          <w:lang w:val="en-US"/>
        </w:rPr>
      </w:pPr>
    </w:p>
    <w:p w14:paraId="15B0140E" w14:textId="1EFE191B" w:rsidR="004B3CF0" w:rsidRDefault="004B3CF0" w:rsidP="00AC27CC">
      <w:pPr>
        <w:tabs>
          <w:tab w:val="num" w:pos="720"/>
        </w:tabs>
        <w:spacing w:line="276" w:lineRule="auto"/>
        <w:jc w:val="both"/>
        <w:rPr>
          <w:rFonts w:ascii="Arial" w:hAnsi="Arial" w:cs="Arial"/>
          <w:i/>
          <w:iCs/>
          <w:sz w:val="24"/>
          <w:szCs w:val="24"/>
          <w:lang w:val="en-US"/>
        </w:rPr>
      </w:pPr>
    </w:p>
    <w:p w14:paraId="1515E73E" w14:textId="0455057A" w:rsidR="004B3CF0" w:rsidRDefault="004B3CF0" w:rsidP="00AC27CC">
      <w:pPr>
        <w:tabs>
          <w:tab w:val="num" w:pos="720"/>
        </w:tabs>
        <w:spacing w:line="276" w:lineRule="auto"/>
        <w:jc w:val="both"/>
        <w:rPr>
          <w:rFonts w:ascii="Arial" w:hAnsi="Arial" w:cs="Arial"/>
          <w:i/>
          <w:iCs/>
          <w:sz w:val="24"/>
          <w:szCs w:val="24"/>
          <w:lang w:val="en-US"/>
        </w:rPr>
      </w:pPr>
    </w:p>
    <w:p w14:paraId="4CBFC587" w14:textId="7409AC53" w:rsidR="004B3CF0" w:rsidRDefault="004B3CF0" w:rsidP="00AC27CC">
      <w:pPr>
        <w:tabs>
          <w:tab w:val="num" w:pos="720"/>
        </w:tabs>
        <w:spacing w:line="276" w:lineRule="auto"/>
        <w:jc w:val="both"/>
        <w:rPr>
          <w:rFonts w:ascii="Arial" w:hAnsi="Arial" w:cs="Arial"/>
          <w:i/>
          <w:iCs/>
          <w:sz w:val="24"/>
          <w:szCs w:val="24"/>
          <w:lang w:val="en-US"/>
        </w:rPr>
      </w:pPr>
    </w:p>
    <w:p w14:paraId="3224D5A7" w14:textId="4A2537EA" w:rsidR="004B3CF0" w:rsidRDefault="004B3CF0" w:rsidP="00AC27CC">
      <w:pPr>
        <w:tabs>
          <w:tab w:val="num" w:pos="720"/>
        </w:tabs>
        <w:spacing w:line="276" w:lineRule="auto"/>
        <w:jc w:val="both"/>
        <w:rPr>
          <w:rFonts w:ascii="Arial" w:hAnsi="Arial" w:cs="Arial"/>
          <w:i/>
          <w:iCs/>
          <w:sz w:val="24"/>
          <w:szCs w:val="24"/>
          <w:lang w:val="en-US"/>
        </w:rPr>
      </w:pPr>
    </w:p>
    <w:p w14:paraId="10DEFA75" w14:textId="553B03F0" w:rsidR="004B3CF0" w:rsidRDefault="004B3CF0" w:rsidP="00AC27CC">
      <w:pPr>
        <w:tabs>
          <w:tab w:val="num" w:pos="720"/>
        </w:tabs>
        <w:spacing w:line="276" w:lineRule="auto"/>
        <w:jc w:val="both"/>
        <w:rPr>
          <w:rFonts w:ascii="Arial" w:hAnsi="Arial" w:cs="Arial"/>
          <w:i/>
          <w:iCs/>
          <w:sz w:val="24"/>
          <w:szCs w:val="24"/>
          <w:lang w:val="en-US"/>
        </w:rPr>
      </w:pPr>
    </w:p>
    <w:p w14:paraId="5412F92F" w14:textId="76EE6899" w:rsidR="004B3CF0" w:rsidRDefault="004B3CF0" w:rsidP="00AC27CC">
      <w:pPr>
        <w:tabs>
          <w:tab w:val="num" w:pos="720"/>
        </w:tabs>
        <w:spacing w:line="276" w:lineRule="auto"/>
        <w:jc w:val="both"/>
        <w:rPr>
          <w:rFonts w:ascii="Arial" w:hAnsi="Arial" w:cs="Arial"/>
          <w:i/>
          <w:iCs/>
          <w:sz w:val="24"/>
          <w:szCs w:val="24"/>
          <w:lang w:val="en-US"/>
        </w:rPr>
      </w:pPr>
    </w:p>
    <w:p w14:paraId="332F9E55" w14:textId="44D9FA52" w:rsidR="004B3CF0" w:rsidRDefault="004B3CF0" w:rsidP="00AC27CC">
      <w:pPr>
        <w:tabs>
          <w:tab w:val="num" w:pos="720"/>
        </w:tabs>
        <w:spacing w:line="276" w:lineRule="auto"/>
        <w:jc w:val="both"/>
        <w:rPr>
          <w:rFonts w:ascii="Arial" w:hAnsi="Arial" w:cs="Arial"/>
          <w:i/>
          <w:iCs/>
          <w:sz w:val="24"/>
          <w:szCs w:val="24"/>
          <w:lang w:val="en-US"/>
        </w:rPr>
      </w:pPr>
    </w:p>
    <w:p w14:paraId="7964F4A7" w14:textId="310A94D8" w:rsidR="004B3CF0" w:rsidRDefault="004B3CF0" w:rsidP="00AC27CC">
      <w:pPr>
        <w:tabs>
          <w:tab w:val="num" w:pos="720"/>
        </w:tabs>
        <w:spacing w:line="276" w:lineRule="auto"/>
        <w:jc w:val="both"/>
        <w:rPr>
          <w:rFonts w:ascii="Arial" w:hAnsi="Arial" w:cs="Arial"/>
          <w:i/>
          <w:iCs/>
          <w:sz w:val="24"/>
          <w:szCs w:val="24"/>
          <w:lang w:val="en-US"/>
        </w:rPr>
      </w:pPr>
    </w:p>
    <w:p w14:paraId="7DFCE4C7" w14:textId="69E19CFA" w:rsidR="004B3CF0" w:rsidRDefault="004B3CF0" w:rsidP="00AC27CC">
      <w:pPr>
        <w:tabs>
          <w:tab w:val="num" w:pos="720"/>
        </w:tabs>
        <w:spacing w:line="276" w:lineRule="auto"/>
        <w:jc w:val="both"/>
        <w:rPr>
          <w:rFonts w:ascii="Arial" w:hAnsi="Arial" w:cs="Arial"/>
          <w:i/>
          <w:iCs/>
          <w:sz w:val="24"/>
          <w:szCs w:val="24"/>
          <w:lang w:val="en-US"/>
        </w:rPr>
      </w:pPr>
    </w:p>
    <w:p w14:paraId="0F50183C" w14:textId="0EBE817A" w:rsidR="004B3CF0" w:rsidRDefault="004B3CF0" w:rsidP="00AC27CC">
      <w:pPr>
        <w:tabs>
          <w:tab w:val="num" w:pos="720"/>
        </w:tabs>
        <w:spacing w:line="276" w:lineRule="auto"/>
        <w:jc w:val="both"/>
        <w:rPr>
          <w:rFonts w:ascii="Arial" w:hAnsi="Arial" w:cs="Arial"/>
          <w:i/>
          <w:iCs/>
          <w:sz w:val="24"/>
          <w:szCs w:val="24"/>
          <w:lang w:val="en-US"/>
        </w:rPr>
      </w:pPr>
    </w:p>
    <w:p w14:paraId="3D79EA54" w14:textId="091F7D86" w:rsidR="004B3CF0" w:rsidRDefault="004B3CF0" w:rsidP="00AC27CC">
      <w:pPr>
        <w:tabs>
          <w:tab w:val="num" w:pos="720"/>
        </w:tabs>
        <w:spacing w:line="276" w:lineRule="auto"/>
        <w:jc w:val="both"/>
        <w:rPr>
          <w:rFonts w:ascii="Arial" w:hAnsi="Arial" w:cs="Arial"/>
          <w:i/>
          <w:iCs/>
          <w:sz w:val="24"/>
          <w:szCs w:val="24"/>
          <w:lang w:val="en-US"/>
        </w:rPr>
      </w:pPr>
    </w:p>
    <w:p w14:paraId="181F2B77" w14:textId="7ED32707" w:rsidR="004B3CF0" w:rsidRDefault="004B3CF0" w:rsidP="00AC27CC">
      <w:pPr>
        <w:tabs>
          <w:tab w:val="num" w:pos="720"/>
        </w:tabs>
        <w:spacing w:line="276" w:lineRule="auto"/>
        <w:jc w:val="both"/>
        <w:rPr>
          <w:rFonts w:ascii="Arial" w:hAnsi="Arial" w:cs="Arial"/>
          <w:i/>
          <w:iCs/>
          <w:sz w:val="24"/>
          <w:szCs w:val="24"/>
          <w:lang w:val="en-US"/>
        </w:rPr>
      </w:pPr>
    </w:p>
    <w:p w14:paraId="058D3D98" w14:textId="1680A20D" w:rsidR="004B3CF0" w:rsidRDefault="004B3CF0" w:rsidP="00AC27CC">
      <w:pPr>
        <w:tabs>
          <w:tab w:val="num" w:pos="720"/>
        </w:tabs>
        <w:spacing w:line="276" w:lineRule="auto"/>
        <w:jc w:val="both"/>
        <w:rPr>
          <w:rFonts w:ascii="Arial" w:hAnsi="Arial" w:cs="Arial"/>
          <w:i/>
          <w:iCs/>
          <w:sz w:val="24"/>
          <w:szCs w:val="24"/>
          <w:lang w:val="en-US"/>
        </w:rPr>
      </w:pPr>
    </w:p>
    <w:p w14:paraId="5FD5782E" w14:textId="1B70640A" w:rsidR="004B3CF0" w:rsidRDefault="004B3CF0" w:rsidP="00AC27CC">
      <w:pPr>
        <w:tabs>
          <w:tab w:val="num" w:pos="720"/>
        </w:tabs>
        <w:spacing w:line="276" w:lineRule="auto"/>
        <w:jc w:val="both"/>
        <w:rPr>
          <w:rFonts w:ascii="Arial" w:hAnsi="Arial" w:cs="Arial"/>
          <w:i/>
          <w:iCs/>
          <w:sz w:val="24"/>
          <w:szCs w:val="24"/>
          <w:lang w:val="en-US"/>
        </w:rPr>
      </w:pPr>
    </w:p>
    <w:p w14:paraId="183D05D4" w14:textId="3945FE94" w:rsidR="003D36F4" w:rsidRDefault="00AB11BF" w:rsidP="001C6049">
      <w:pPr>
        <w:spacing w:line="276" w:lineRule="auto"/>
        <w:jc w:val="both"/>
        <w:rPr>
          <w:rFonts w:ascii="Arial" w:hAnsi="Arial" w:cs="Arial"/>
          <w:sz w:val="24"/>
          <w:szCs w:val="24"/>
          <w:lang w:val="en-ZA"/>
        </w:rPr>
      </w:pPr>
      <w:r>
        <w:rPr>
          <w:rFonts w:ascii="Arial" w:hAnsi="Arial" w:cs="Arial"/>
          <w:noProof/>
          <w:sz w:val="24"/>
          <w:szCs w:val="24"/>
          <w:lang w:val="en-US"/>
        </w:rPr>
        <w:lastRenderedPageBreak/>
        <w:drawing>
          <wp:anchor distT="0" distB="0" distL="114300" distR="114300" simplePos="0" relativeHeight="254599166" behindDoc="0" locked="0" layoutInCell="1" allowOverlap="1" wp14:anchorId="7CFACD34" wp14:editId="3AD024C3">
            <wp:simplePos x="0" y="0"/>
            <wp:positionH relativeFrom="column">
              <wp:posOffset>-455295</wp:posOffset>
            </wp:positionH>
            <wp:positionV relativeFrom="paragraph">
              <wp:posOffset>-796816</wp:posOffset>
            </wp:positionV>
            <wp:extent cx="7592695" cy="10731772"/>
            <wp:effectExtent l="0" t="0" r="1905"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992" cstate="email">
                      <a:extLst>
                        <a:ext uri="{28A0092B-C50C-407E-A947-70E740481C1C}">
                          <a14:useLocalDpi xmlns:a14="http://schemas.microsoft.com/office/drawing/2010/main"/>
                        </a:ext>
                      </a:extLst>
                    </a:blip>
                    <a:stretch>
                      <a:fillRect/>
                    </a:stretch>
                  </pic:blipFill>
                  <pic:spPr>
                    <a:xfrm>
                      <a:off x="0" y="0"/>
                      <a:ext cx="7592695" cy="10731772"/>
                    </a:xfrm>
                    <a:prstGeom prst="rect">
                      <a:avLst/>
                    </a:prstGeom>
                  </pic:spPr>
                </pic:pic>
              </a:graphicData>
            </a:graphic>
            <wp14:sizeRelH relativeFrom="page">
              <wp14:pctWidth>0</wp14:pctWidth>
            </wp14:sizeRelH>
            <wp14:sizeRelV relativeFrom="page">
              <wp14:pctHeight>0</wp14:pctHeight>
            </wp14:sizeRelV>
          </wp:anchor>
        </w:drawing>
      </w:r>
    </w:p>
    <w:p w14:paraId="5B665392" w14:textId="685B8FD1" w:rsidR="003D36F4" w:rsidRDefault="00D610B9">
      <w:pPr>
        <w:spacing w:after="160" w:line="259" w:lineRule="auto"/>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1644904" behindDoc="0" locked="0" layoutInCell="1" allowOverlap="1" wp14:anchorId="1BA945A8" wp14:editId="554A7C27">
                <wp:simplePos x="0" y="0"/>
                <wp:positionH relativeFrom="column">
                  <wp:posOffset>584200</wp:posOffset>
                </wp:positionH>
                <wp:positionV relativeFrom="paragraph">
                  <wp:posOffset>4188460</wp:posOffset>
                </wp:positionV>
                <wp:extent cx="4914900" cy="87630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4914900" cy="876300"/>
                        </a:xfrm>
                        <a:prstGeom prst="rect">
                          <a:avLst/>
                        </a:prstGeom>
                        <a:noFill/>
                        <a:ln w="6350">
                          <a:noFill/>
                        </a:ln>
                      </wps:spPr>
                      <wps:txbx>
                        <w:txbxContent>
                          <w:p w14:paraId="3BC68EAA" w14:textId="39381413" w:rsidR="00D15FD8" w:rsidRPr="00896E25" w:rsidRDefault="00D15FD8" w:rsidP="00896E25">
                            <w:pPr>
                              <w:pStyle w:val="Heading1"/>
                              <w:rPr>
                                <w:lang w:val="en-US"/>
                              </w:rPr>
                            </w:pPr>
                            <w:bookmarkStart w:id="2424" w:name="_Module_5:_Actions"/>
                            <w:bookmarkStart w:id="2425" w:name="_Toc123828259"/>
                            <w:bookmarkStart w:id="2426" w:name="_Toc123828469"/>
                            <w:bookmarkStart w:id="2427" w:name="_Toc123828665"/>
                            <w:bookmarkStart w:id="2428" w:name="_Toc123912692"/>
                            <w:bookmarkStart w:id="2429" w:name="_Toc123912951"/>
                            <w:bookmarkStart w:id="2430" w:name="_Toc123913178"/>
                            <w:bookmarkStart w:id="2431" w:name="_Toc123914126"/>
                            <w:bookmarkStart w:id="2432" w:name="_Toc125566742"/>
                            <w:bookmarkEnd w:id="2424"/>
                            <w:r>
                              <w:rPr>
                                <w:lang w:val="en-US"/>
                              </w:rPr>
                              <w:t>Module 5: Actions towards advancing fiscal transparency (reforms and other measures)</w:t>
                            </w:r>
                            <w:bookmarkEnd w:id="2425"/>
                            <w:bookmarkEnd w:id="2426"/>
                            <w:bookmarkEnd w:id="2427"/>
                            <w:bookmarkEnd w:id="2428"/>
                            <w:bookmarkEnd w:id="2429"/>
                            <w:bookmarkEnd w:id="2430"/>
                            <w:bookmarkEnd w:id="2431"/>
                            <w:bookmarkEnd w:id="24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A945A8" id="Text Box 106" o:spid="_x0000_s1688" type="#_x0000_t202" style="position:absolute;margin-left:46pt;margin-top:329.8pt;width:387pt;height:69pt;z-index:251644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" filled="f" stroked="f" strokeweight=".5pt">
                <v:textbox>
                  <w:txbxContent>
                    <w:p w14:paraId="3BC68EAA" w14:textId="39381413" w:rsidR="00D15FD8" w:rsidRPr="00896E25" w:rsidRDefault="00D15FD8" w:rsidP="00896E25">
                      <w:pPr>
                        <w:pStyle w:val="Heading1"/>
                        <w:rPr>
                          <w:lang w:val="en-US"/>
                        </w:rPr>
                      </w:pPr>
                      <w:bookmarkStart w:id="2433" w:name="_Module_5:_Actions"/>
                      <w:bookmarkStart w:id="2434" w:name="_Toc123828259"/>
                      <w:bookmarkStart w:id="2435" w:name="_Toc123828469"/>
                      <w:bookmarkStart w:id="2436" w:name="_Toc123828665"/>
                      <w:bookmarkStart w:id="2437" w:name="_Toc123912692"/>
                      <w:bookmarkStart w:id="2438" w:name="_Toc123912951"/>
                      <w:bookmarkStart w:id="2439" w:name="_Toc123913178"/>
                      <w:bookmarkStart w:id="2440" w:name="_Toc123914126"/>
                      <w:bookmarkStart w:id="2441" w:name="_Toc125566742"/>
                      <w:bookmarkEnd w:id="2433"/>
                      <w:r>
                        <w:rPr>
                          <w:lang w:val="en-US"/>
                        </w:rPr>
                        <w:t>Module 5: Actions towards advancing fiscal transparency (reforms and other measures)</w:t>
                      </w:r>
                      <w:bookmarkEnd w:id="2434"/>
                      <w:bookmarkEnd w:id="2435"/>
                      <w:bookmarkEnd w:id="2436"/>
                      <w:bookmarkEnd w:id="2437"/>
                      <w:bookmarkEnd w:id="2438"/>
                      <w:bookmarkEnd w:id="2439"/>
                      <w:bookmarkEnd w:id="2440"/>
                      <w:bookmarkEnd w:id="2441"/>
                    </w:p>
                  </w:txbxContent>
                </v:textbox>
              </v:shape>
            </w:pict>
          </mc:Fallback>
        </mc:AlternateContent>
      </w:r>
      <w:r w:rsidR="003D36F4">
        <w:rPr>
          <w:rFonts w:ascii="Arial" w:hAnsi="Arial" w:cs="Arial"/>
          <w:sz w:val="24"/>
          <w:szCs w:val="24"/>
          <w:lang w:val="en-ZA"/>
        </w:rPr>
        <w:br w:type="page"/>
      </w:r>
    </w:p>
    <w:p w14:paraId="3FD8675C" w14:textId="284DF946" w:rsidR="00D610B9" w:rsidRPr="00EB2A7C" w:rsidRDefault="00D610B9" w:rsidP="00D610B9">
      <w:pPr>
        <w:pStyle w:val="Heading1"/>
        <w:spacing w:after="120"/>
        <w:rPr>
          <w:rFonts w:ascii="Arial" w:hAnsi="Arial" w:cs="Arial"/>
          <w:b/>
          <w:bCs/>
          <w:color w:val="BFA4CE"/>
          <w:sz w:val="44"/>
          <w:szCs w:val="44"/>
        </w:rPr>
      </w:pPr>
      <w:bookmarkStart w:id="2442" w:name="_Module_objectives_4"/>
      <w:bookmarkStart w:id="2443" w:name="_Toc123914127"/>
      <w:bookmarkStart w:id="2444" w:name="_Toc125566743"/>
      <w:bookmarkEnd w:id="2442"/>
      <w:r w:rsidRPr="00EB2A7C">
        <w:rPr>
          <w:rFonts w:ascii="Arial" w:hAnsi="Arial" w:cs="Arial"/>
          <w:b/>
          <w:bCs/>
          <w:color w:val="BFA4CE"/>
          <w:sz w:val="44"/>
          <w:szCs w:val="44"/>
        </w:rPr>
        <w:lastRenderedPageBreak/>
        <w:t>Module objectives</w:t>
      </w:r>
      <w:bookmarkEnd w:id="2443"/>
      <w:bookmarkEnd w:id="2444"/>
    </w:p>
    <w:p w14:paraId="6C01FA68" w14:textId="77777777" w:rsidR="00D610B9" w:rsidRPr="00EB2A7C" w:rsidRDefault="00D610B9" w:rsidP="00EB2A7C">
      <w:pPr>
        <w:pStyle w:val="NormalWeb"/>
        <w:shd w:val="clear" w:color="auto" w:fill="FFFFFF"/>
        <w:spacing w:before="120" w:after="120" w:line="276" w:lineRule="auto"/>
        <w:jc w:val="both"/>
        <w:rPr>
          <w:rFonts w:ascii="Arial" w:hAnsi="Arial" w:cs="Arial"/>
          <w:iCs/>
        </w:rPr>
      </w:pPr>
      <w:r w:rsidRPr="00EB2A7C">
        <w:rPr>
          <w:rFonts w:ascii="Arial" w:hAnsi="Arial" w:cs="Arial"/>
          <w:iCs/>
        </w:rPr>
        <w:t xml:space="preserve">The prior modules in this Guide examined what fiscal transparency is; why it is important; who the key actors are; how it can be achieved using international norms and standards, how it is measured; as well as how information systems and digital tools can facilitate it. </w:t>
      </w:r>
    </w:p>
    <w:p w14:paraId="22F04B4A" w14:textId="21FB6B31" w:rsidR="00D610B9" w:rsidRDefault="00D610B9" w:rsidP="00D610B9">
      <w:pPr>
        <w:pStyle w:val="NormalWeb"/>
        <w:shd w:val="clear" w:color="auto" w:fill="FFFFFF"/>
        <w:spacing w:before="120" w:after="120" w:line="276" w:lineRule="auto"/>
        <w:jc w:val="both"/>
        <w:rPr>
          <w:rFonts w:ascii="Arial" w:hAnsi="Arial" w:cs="Arial"/>
          <w:iCs/>
          <w:lang w:val="en-US"/>
        </w:rPr>
      </w:pPr>
      <w:r w:rsidRPr="00EB2A7C">
        <w:rPr>
          <w:rFonts w:ascii="Arial" w:hAnsi="Arial" w:cs="Arial"/>
          <w:iCs/>
        </w:rPr>
        <w:t>This module concludes the Guide by examining actions and reforms aimed at increasing fiscal transparency</w:t>
      </w:r>
      <w:r w:rsidRPr="00EB2A7C">
        <w:rPr>
          <w:rFonts w:ascii="Arial" w:hAnsi="Arial" w:cs="Arial"/>
          <w:iCs/>
          <w:lang w:val="en-ZA"/>
        </w:rPr>
        <w:t>.</w:t>
      </w:r>
      <w:r w:rsidRPr="00EB2A7C">
        <w:rPr>
          <w:rFonts w:ascii="Arial" w:eastAsiaTheme="minorEastAsia" w:hAnsi="Arial" w:cs="Arial"/>
          <w:lang w:val="en-US" w:eastAsia="zh-CN"/>
        </w:rPr>
        <w:t xml:space="preserve"> </w:t>
      </w:r>
      <w:r w:rsidRPr="00EB2A7C">
        <w:rPr>
          <w:rFonts w:ascii="Arial" w:hAnsi="Arial" w:cs="Arial"/>
          <w:iCs/>
          <w:lang w:val="en-US"/>
        </w:rPr>
        <w:t xml:space="preserve">It begins by examining the circumstances where actions to improve fiscal transparency are more likely to be successful, showing that achieving fiscal transparency not only depends on technical solutions, but, importantly, on other factors as well, including the nature of institutions, rules of engagement, opportunities available, commitments, alliances, coalitions, and other political factors. This is key in understanding the challenges often faced in advancing fiscal transparency for development, assisting in the identification of ways to overcome them. Recognized fiscal transparency triggers are also described. The module then culminates by exploring specific actions that, based on country experiences, can be taken to take advantage of opportunities opened by fiscal transparency triggers and to overcome challenges. These actions include: how to build support within and outside the executive to improve fiscal transparency for development; how to institutionalize it; how to design reforms, taking local contexts into account; how to prioritize and sequence these reforms; and importantly, how to ensure that advances made are sustained over time. </w:t>
      </w:r>
    </w:p>
    <w:p w14:paraId="4D0C9694" w14:textId="3FE7D0F1" w:rsidR="00D610B9" w:rsidRDefault="00AB11BF" w:rsidP="00D610B9">
      <w:pPr>
        <w:pStyle w:val="NormalWeb"/>
        <w:shd w:val="clear" w:color="auto" w:fill="FFFFFF"/>
        <w:spacing w:before="120" w:after="120" w:line="276" w:lineRule="auto"/>
        <w:jc w:val="both"/>
        <w:rPr>
          <w:rFonts w:ascii="Arial" w:hAnsi="Arial" w:cs="Arial"/>
          <w:iCs/>
          <w:lang w:val="en-US"/>
        </w:rPr>
      </w:pPr>
      <w:r>
        <w:rPr>
          <w:rFonts w:ascii="Arial" w:hAnsi="Arial" w:cs="Arial"/>
          <w:noProof/>
          <w:lang w:val="en-US"/>
        </w:rPr>
        <mc:AlternateContent>
          <mc:Choice Requires="wps">
            <w:drawing>
              <wp:anchor distT="0" distB="0" distL="114300" distR="114300" simplePos="0" relativeHeight="254602238" behindDoc="0" locked="0" layoutInCell="1" allowOverlap="1" wp14:anchorId="2AE00404" wp14:editId="6F2F4D7D">
                <wp:simplePos x="0" y="0"/>
                <wp:positionH relativeFrom="column">
                  <wp:posOffset>1135117</wp:posOffset>
                </wp:positionH>
                <wp:positionV relativeFrom="paragraph">
                  <wp:posOffset>197812</wp:posOffset>
                </wp:positionV>
                <wp:extent cx="4572000" cy="945931"/>
                <wp:effectExtent l="0" t="0" r="0" b="0"/>
                <wp:wrapNone/>
                <wp:docPr id="1657" name="Text Box 1657"/>
                <wp:cNvGraphicFramePr/>
                <a:graphic xmlns:a="http://schemas.openxmlformats.org/drawingml/2006/main">
                  <a:graphicData uri="http://schemas.microsoft.com/office/word/2010/wordprocessingShape">
                    <wps:wsp>
                      <wps:cNvSpPr txBox="1"/>
                      <wps:spPr>
                        <a:xfrm>
                          <a:off x="0" y="0"/>
                          <a:ext cx="4572000" cy="945931"/>
                        </a:xfrm>
                        <a:prstGeom prst="rect">
                          <a:avLst/>
                        </a:prstGeom>
                        <a:noFill/>
                        <a:ln w="6350">
                          <a:noFill/>
                        </a:ln>
                      </wps:spPr>
                      <wps:txbx>
                        <w:txbxContent>
                          <w:p w14:paraId="570D09EE" w14:textId="7CF79721" w:rsidR="00D15FD8" w:rsidRPr="00AB11BF" w:rsidRDefault="00D15FD8" w:rsidP="000E7F4B">
                            <w:pPr>
                              <w:pStyle w:val="Heading1"/>
                              <w:rPr>
                                <w:sz w:val="38"/>
                                <w:szCs w:val="38"/>
                                <w:lang w:val="en-US"/>
                              </w:rPr>
                            </w:pPr>
                            <w:bookmarkStart w:id="2445" w:name="_The_global_status"/>
                            <w:bookmarkStart w:id="2446" w:name="_Toc123828261"/>
                            <w:bookmarkStart w:id="2447" w:name="_Toc123828471"/>
                            <w:bookmarkStart w:id="2448" w:name="_Toc123828667"/>
                            <w:bookmarkStart w:id="2449" w:name="_Toc123912694"/>
                            <w:bookmarkStart w:id="2450" w:name="_Toc123912953"/>
                            <w:bookmarkStart w:id="2451" w:name="_Toc123913180"/>
                            <w:bookmarkStart w:id="2452" w:name="_Toc123914128"/>
                            <w:bookmarkStart w:id="2453" w:name="_Toc125566744"/>
                            <w:bookmarkEnd w:id="2445"/>
                            <w:r w:rsidRPr="00AB11BF">
                              <w:rPr>
                                <w:rFonts w:ascii="Arial" w:hAnsi="Arial" w:cs="Arial"/>
                                <w:b/>
                                <w:bCs/>
                                <w:color w:val="FFFFFF" w:themeColor="background1"/>
                                <w:sz w:val="38"/>
                                <w:szCs w:val="38"/>
                                <w:lang w:val="en-US"/>
                              </w:rPr>
                              <w:t>The global status of fiscal transparency</w:t>
                            </w:r>
                            <w:bookmarkEnd w:id="2446"/>
                            <w:bookmarkEnd w:id="2447"/>
                            <w:bookmarkEnd w:id="2448"/>
                            <w:bookmarkEnd w:id="2449"/>
                            <w:bookmarkEnd w:id="2450"/>
                            <w:bookmarkEnd w:id="2451"/>
                            <w:bookmarkEnd w:id="2452"/>
                            <w:bookmarkEnd w:id="245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00404" id="Text Box 1657" o:spid="_x0000_s1689" type="#_x0000_t202" style="position:absolute;left:0;text-align:left;margin-left:89.4pt;margin-top:15.6pt;width:5in;height:74.5pt;z-index:254602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" filled="f" stroked="f" strokeweight=".5pt">
                <v:textbox>
                  <w:txbxContent>
                    <w:p w14:paraId="570D09EE" w14:textId="7CF79721" w:rsidR="00D15FD8" w:rsidRPr="00AB11BF" w:rsidRDefault="00D15FD8" w:rsidP="000E7F4B">
                      <w:pPr>
                        <w:pStyle w:val="Heading1"/>
                        <w:rPr>
                          <w:sz w:val="38"/>
                          <w:szCs w:val="38"/>
                          <w:lang w:val="en-US"/>
                        </w:rPr>
                      </w:pPr>
                      <w:bookmarkStart w:id="2454" w:name="_The_global_status"/>
                      <w:bookmarkStart w:id="2455" w:name="_Toc123828261"/>
                      <w:bookmarkStart w:id="2456" w:name="_Toc123828471"/>
                      <w:bookmarkStart w:id="2457" w:name="_Toc123828667"/>
                      <w:bookmarkStart w:id="2458" w:name="_Toc123912694"/>
                      <w:bookmarkStart w:id="2459" w:name="_Toc123912953"/>
                      <w:bookmarkStart w:id="2460" w:name="_Toc123913180"/>
                      <w:bookmarkStart w:id="2461" w:name="_Toc123914128"/>
                      <w:bookmarkStart w:id="2462" w:name="_Toc125566744"/>
                      <w:bookmarkEnd w:id="2454"/>
                      <w:r w:rsidRPr="00AB11BF">
                        <w:rPr>
                          <w:rFonts w:ascii="Arial" w:hAnsi="Arial" w:cs="Arial"/>
                          <w:b/>
                          <w:bCs/>
                          <w:color w:val="FFFFFF" w:themeColor="background1"/>
                          <w:sz w:val="38"/>
                          <w:szCs w:val="38"/>
                          <w:lang w:val="en-US"/>
                        </w:rPr>
                        <w:t>The global status of fiscal transparency</w:t>
                      </w:r>
                      <w:bookmarkEnd w:id="2455"/>
                      <w:bookmarkEnd w:id="2456"/>
                      <w:bookmarkEnd w:id="2457"/>
                      <w:bookmarkEnd w:id="2458"/>
                      <w:bookmarkEnd w:id="2459"/>
                      <w:bookmarkEnd w:id="2460"/>
                      <w:bookmarkEnd w:id="2461"/>
                      <w:bookmarkEnd w:id="2462"/>
                    </w:p>
                  </w:txbxContent>
                </v:textbox>
              </v:shape>
            </w:pict>
          </mc:Fallback>
        </mc:AlternateContent>
      </w:r>
      <w:r w:rsidR="00EC60C8">
        <w:rPr>
          <w:rFonts w:ascii="Arial" w:hAnsi="Arial" w:cs="Arial"/>
          <w:noProof/>
          <w:lang w:val="en-US"/>
        </w:rPr>
        <w:drawing>
          <wp:anchor distT="0" distB="0" distL="114300" distR="114300" simplePos="0" relativeHeight="251631579" behindDoc="1" locked="0" layoutInCell="1" allowOverlap="1" wp14:anchorId="7BB10E7D" wp14:editId="6C36E26A">
            <wp:simplePos x="0" y="0"/>
            <wp:positionH relativeFrom="column">
              <wp:posOffset>-101600</wp:posOffset>
            </wp:positionH>
            <wp:positionV relativeFrom="paragraph">
              <wp:posOffset>3810</wp:posOffset>
            </wp:positionV>
            <wp:extent cx="6404610" cy="1409700"/>
            <wp:effectExtent l="0" t="0" r="0" b="0"/>
            <wp:wrapTight wrapText="bothSides">
              <wp:wrapPolygon edited="0">
                <wp:start x="1456" y="0"/>
                <wp:lineTo x="343" y="3503"/>
                <wp:lineTo x="214" y="6422"/>
                <wp:lineTo x="0" y="7978"/>
                <wp:lineTo x="0" y="13816"/>
                <wp:lineTo x="471" y="15762"/>
                <wp:lineTo x="385" y="15957"/>
                <wp:lineTo x="428" y="18486"/>
                <wp:lineTo x="1114" y="18876"/>
                <wp:lineTo x="1456" y="20432"/>
                <wp:lineTo x="1670" y="20822"/>
                <wp:lineTo x="3127" y="20822"/>
                <wp:lineTo x="10280" y="20432"/>
                <wp:lineTo x="19360" y="19654"/>
                <wp:lineTo x="19360" y="18876"/>
                <wp:lineTo x="20131" y="15762"/>
                <wp:lineTo x="20388" y="12649"/>
                <wp:lineTo x="20388" y="9535"/>
                <wp:lineTo x="20217" y="7200"/>
                <wp:lineTo x="20174" y="6227"/>
                <wp:lineTo x="19617" y="3892"/>
                <wp:lineTo x="19403" y="3308"/>
                <wp:lineTo x="19488" y="1557"/>
                <wp:lineTo x="17133" y="973"/>
                <wp:lineTo x="3127" y="0"/>
                <wp:lineTo x="1456" y="0"/>
              </wp:wrapPolygon>
            </wp:wrapTight>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 name="Picture 2780"/>
                    <pic:cNvPicPr/>
                  </pic:nvPicPr>
                  <pic:blipFill rotWithShape="1">
                    <a:blip r:embed="rId993" cstate="screen">
                      <a:extLst>
                        <a:ext uri="{28A0092B-C50C-407E-A947-70E740481C1C}">
                          <a14:useLocalDpi xmlns:a14="http://schemas.microsoft.com/office/drawing/2010/main"/>
                        </a:ext>
                      </a:extLst>
                    </a:blip>
                    <a:srcRect/>
                    <a:stretch/>
                  </pic:blipFill>
                  <pic:spPr bwMode="auto">
                    <a:xfrm>
                      <a:off x="0" y="0"/>
                      <a:ext cx="6404610"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C337BC" w14:textId="2C4F691D" w:rsidR="00D610B9" w:rsidRPr="00EB2A7C" w:rsidRDefault="000E7F4B" w:rsidP="00EB2A7C">
      <w:pPr>
        <w:pStyle w:val="NormalWeb"/>
        <w:shd w:val="clear" w:color="auto" w:fill="FFFFFF"/>
        <w:spacing w:before="120" w:after="120" w:line="276" w:lineRule="auto"/>
        <w:jc w:val="both"/>
        <w:rPr>
          <w:rFonts w:ascii="Arial" w:hAnsi="Arial" w:cs="Arial"/>
          <w:iCs/>
          <w:lang w:val="en-ZA"/>
        </w:rPr>
      </w:pPr>
      <w:r>
        <w:rPr>
          <w:rFonts w:ascii="Arial" w:hAnsi="Arial" w:cs="Arial"/>
          <w:iCs/>
          <w:noProof/>
          <w:lang w:val="en-US"/>
        </w:rPr>
        <mc:AlternateContent>
          <mc:Choice Requires="wps">
            <w:drawing>
              <wp:anchor distT="0" distB="0" distL="114300" distR="114300" simplePos="0" relativeHeight="254603262" behindDoc="0" locked="0" layoutInCell="1" allowOverlap="1" wp14:anchorId="731E255E" wp14:editId="18CD8B4D">
                <wp:simplePos x="0" y="0"/>
                <wp:positionH relativeFrom="column">
                  <wp:posOffset>304800</wp:posOffset>
                </wp:positionH>
                <wp:positionV relativeFrom="paragraph">
                  <wp:posOffset>88900</wp:posOffset>
                </wp:positionV>
                <wp:extent cx="571500" cy="660400"/>
                <wp:effectExtent l="0" t="0" r="0" b="0"/>
                <wp:wrapNone/>
                <wp:docPr id="1658" name="Text Box 1658"/>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61DAA1FE" w14:textId="6F55B80F" w:rsidR="00D15FD8" w:rsidRPr="00653DDD" w:rsidRDefault="00D15FD8" w:rsidP="000E7F4B">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E255E" id="Text Box 1658" o:spid="_x0000_s1690" type="#_x0000_t202" style="position:absolute;left:0;text-align:left;margin-left:24pt;margin-top:7pt;width:45pt;height:52pt;z-index:254603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" filled="f" stroked="f" strokeweight=".5pt">
                <v:textbox>
                  <w:txbxContent>
                    <w:p w14:paraId="61DAA1FE" w14:textId="6F55B80F" w:rsidR="00D15FD8" w:rsidRPr="00653DDD" w:rsidRDefault="00D15FD8" w:rsidP="000E7F4B">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1</w:t>
                      </w:r>
                    </w:p>
                  </w:txbxContent>
                </v:textbox>
              </v:shape>
            </w:pict>
          </mc:Fallback>
        </mc:AlternateContent>
      </w:r>
    </w:p>
    <w:p w14:paraId="61DF5780" w14:textId="36EEF768" w:rsidR="003D36F4" w:rsidRPr="00EB2A7C" w:rsidRDefault="003D36F4" w:rsidP="00EB2A7C">
      <w:pPr>
        <w:spacing w:line="276" w:lineRule="auto"/>
        <w:jc w:val="both"/>
        <w:rPr>
          <w:rFonts w:ascii="Arial" w:hAnsi="Arial" w:cs="Arial"/>
          <w:sz w:val="24"/>
          <w:szCs w:val="24"/>
          <w:lang w:val="en-ZA"/>
        </w:rPr>
      </w:pPr>
    </w:p>
    <w:p w14:paraId="2A71F663" w14:textId="1A61B9E7" w:rsidR="004E4BA0" w:rsidRDefault="004E4BA0">
      <w:pPr>
        <w:tabs>
          <w:tab w:val="left" w:pos="1780"/>
        </w:tabs>
        <w:rPr>
          <w:rFonts w:ascii="Arial" w:hAnsi="Arial" w:cs="Arial"/>
          <w:sz w:val="24"/>
          <w:szCs w:val="24"/>
          <w:lang w:val="en-US"/>
        </w:rPr>
      </w:pPr>
    </w:p>
    <w:p w14:paraId="322594C8" w14:textId="66C98988" w:rsidR="000E7F4B" w:rsidRPr="000E7F4B" w:rsidRDefault="000E7F4B" w:rsidP="00EB2A7C">
      <w:pPr>
        <w:rPr>
          <w:rFonts w:ascii="Arial" w:hAnsi="Arial" w:cs="Arial"/>
          <w:sz w:val="24"/>
          <w:szCs w:val="24"/>
          <w:lang w:val="en-US"/>
        </w:rPr>
      </w:pPr>
    </w:p>
    <w:p w14:paraId="5CAE0E2E" w14:textId="1C62EA82" w:rsidR="000E7F4B" w:rsidRPr="000E7F4B" w:rsidRDefault="000E7F4B" w:rsidP="00EB2A7C">
      <w:pPr>
        <w:rPr>
          <w:rFonts w:ascii="Arial" w:hAnsi="Arial" w:cs="Arial"/>
          <w:sz w:val="24"/>
          <w:szCs w:val="24"/>
          <w:lang w:val="en-US"/>
        </w:rPr>
      </w:pPr>
    </w:p>
    <w:p w14:paraId="19CB3101" w14:textId="2323BA8C" w:rsidR="000E7F4B" w:rsidRDefault="000E7F4B" w:rsidP="000E7F4B">
      <w:pPr>
        <w:rPr>
          <w:rFonts w:ascii="Arial" w:hAnsi="Arial" w:cs="Arial"/>
          <w:sz w:val="24"/>
          <w:szCs w:val="24"/>
          <w:lang w:val="en-US"/>
        </w:rPr>
      </w:pPr>
    </w:p>
    <w:p w14:paraId="3E0A4F4A" w14:textId="4B551B2A" w:rsidR="000E7F4B" w:rsidRPr="00AB11BF" w:rsidRDefault="000E7F4B" w:rsidP="00EB2A7C">
      <w:pPr>
        <w:pStyle w:val="Heading2"/>
        <w:numPr>
          <w:ilvl w:val="1"/>
          <w:numId w:val="155"/>
        </w:numPr>
        <w:rPr>
          <w:rFonts w:ascii="Arial" w:hAnsi="Arial" w:cs="Arial"/>
          <w:b/>
          <w:bCs/>
          <w:color w:val="BFA4CE"/>
          <w:sz w:val="36"/>
          <w:szCs w:val="36"/>
          <w:lang w:val="en-US"/>
        </w:rPr>
      </w:pPr>
      <w:bookmarkStart w:id="2463" w:name="_Toc123204557"/>
      <w:bookmarkStart w:id="2464" w:name="_Toc123216677"/>
      <w:bookmarkStart w:id="2465" w:name="_Toc123217517"/>
      <w:bookmarkStart w:id="2466" w:name="_Toc123913472"/>
      <w:bookmarkStart w:id="2467" w:name="_Toc123914129"/>
      <w:bookmarkStart w:id="2468" w:name="_Toc125566745"/>
      <w:r w:rsidRPr="00AB11BF">
        <w:rPr>
          <w:rFonts w:ascii="Arial" w:hAnsi="Arial" w:cs="Arial"/>
          <w:b/>
          <w:bCs/>
          <w:color w:val="BFA4CE"/>
          <w:sz w:val="36"/>
          <w:szCs w:val="36"/>
          <w:lang w:val="en-US"/>
        </w:rPr>
        <w:t>A review of the recent environment</w:t>
      </w:r>
      <w:bookmarkEnd w:id="2463"/>
      <w:bookmarkEnd w:id="2464"/>
      <w:bookmarkEnd w:id="2465"/>
      <w:bookmarkEnd w:id="2466"/>
      <w:bookmarkEnd w:id="2467"/>
      <w:bookmarkEnd w:id="2468"/>
    </w:p>
    <w:p w14:paraId="2CB855C4" w14:textId="76E641B2" w:rsidR="000E7F4B" w:rsidRPr="000E7F4B" w:rsidRDefault="00EB5123" w:rsidP="00EB2A7C">
      <w:pPr>
        <w:tabs>
          <w:tab w:val="left" w:pos="1760"/>
        </w:tabs>
        <w:spacing w:line="276" w:lineRule="auto"/>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04286" behindDoc="0" locked="0" layoutInCell="1" allowOverlap="1" wp14:anchorId="22848754" wp14:editId="50119E65">
            <wp:simplePos x="0" y="0"/>
            <wp:positionH relativeFrom="column">
              <wp:posOffset>0</wp:posOffset>
            </wp:positionH>
            <wp:positionV relativeFrom="paragraph">
              <wp:posOffset>204470</wp:posOffset>
            </wp:positionV>
            <wp:extent cx="1698625" cy="1003300"/>
            <wp:effectExtent l="0" t="0" r="3175" b="0"/>
            <wp:wrapSquare wrapText="bothSides"/>
            <wp:docPr id="2443" name="Picture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 name="Picture 2443"/>
                    <pic:cNvPicPr/>
                  </pic:nvPicPr>
                  <pic:blipFill rotWithShape="1">
                    <a:blip r:embed="rId994" cstate="email">
                      <a:extLst>
                        <a:ext uri="{28A0092B-C50C-407E-A947-70E740481C1C}">
                          <a14:useLocalDpi xmlns:a14="http://schemas.microsoft.com/office/drawing/2010/main"/>
                        </a:ext>
                      </a:extLst>
                    </a:blip>
                    <a:srcRect l="8026" t="31246" r="8465" b="33856"/>
                    <a:stretch/>
                  </pic:blipFill>
                  <pic:spPr bwMode="auto">
                    <a:xfrm>
                      <a:off x="0" y="0"/>
                      <a:ext cx="1698625" cy="100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69DE95" w14:textId="48C634D9" w:rsidR="000E7F4B" w:rsidRPr="00EB2A7C" w:rsidRDefault="000E7F4B" w:rsidP="00EB2A7C">
      <w:pPr>
        <w:spacing w:line="276" w:lineRule="auto"/>
        <w:jc w:val="both"/>
        <w:rPr>
          <w:rFonts w:ascii="Arial" w:hAnsi="Arial" w:cs="Arial"/>
          <w:sz w:val="24"/>
          <w:szCs w:val="24"/>
        </w:rPr>
      </w:pPr>
      <w:r w:rsidRPr="00EB2A7C">
        <w:rPr>
          <w:rFonts w:ascii="Arial" w:hAnsi="Arial" w:cs="Arial"/>
          <w:sz w:val="24"/>
          <w:szCs w:val="24"/>
        </w:rPr>
        <w:t>As explained in Module 3, fiscal transparency assessments are used to measure fiscal transparency globally. Looking at two of the latest assessments, it can be seen that although there have been modest global improvements in fiscal transparency, consistent with trends over the last decade, levels of fiscal transparency remain limited:</w:t>
      </w:r>
    </w:p>
    <w:p w14:paraId="108CF7DD" w14:textId="1F1E87F7" w:rsidR="000E7F4B" w:rsidRPr="00EB2A7C" w:rsidRDefault="000E7F4B" w:rsidP="00EB2A7C">
      <w:pPr>
        <w:pStyle w:val="ListParagraph"/>
        <w:widowControl w:val="0"/>
        <w:numPr>
          <w:ilvl w:val="0"/>
          <w:numId w:val="71"/>
        </w:numPr>
        <w:spacing w:before="120" w:line="276" w:lineRule="auto"/>
        <w:ind w:left="288" w:hanging="288"/>
        <w:contextualSpacing/>
        <w:jc w:val="both"/>
        <w:rPr>
          <w:rFonts w:ascii="Arial" w:hAnsi="Arial" w:cs="Arial"/>
          <w:sz w:val="24"/>
          <w:szCs w:val="24"/>
        </w:rPr>
      </w:pPr>
      <w:r w:rsidRPr="00EB2A7C">
        <w:rPr>
          <w:rFonts w:ascii="Arial" w:hAnsi="Arial" w:cs="Arial"/>
          <w:sz w:val="24"/>
          <w:szCs w:val="24"/>
          <w:lang w:val="en-US"/>
        </w:rPr>
        <w:t>The U</w:t>
      </w:r>
      <w:r w:rsidR="00576EC9">
        <w:rPr>
          <w:rFonts w:ascii="Arial" w:hAnsi="Arial" w:cs="Arial"/>
          <w:sz w:val="24"/>
          <w:szCs w:val="24"/>
          <w:lang w:val="en-US"/>
        </w:rPr>
        <w:t>nited States</w:t>
      </w:r>
      <w:r w:rsidRPr="00EB2A7C">
        <w:rPr>
          <w:rFonts w:ascii="Arial" w:hAnsi="Arial" w:cs="Arial"/>
          <w:sz w:val="24"/>
          <w:szCs w:val="24"/>
          <w:lang w:val="en-US"/>
        </w:rPr>
        <w:t xml:space="preserve"> Department of State’s </w:t>
      </w:r>
      <w:hyperlink r:id="rId995" w:history="1">
        <w:r w:rsidRPr="00EB2A7C">
          <w:rPr>
            <w:rStyle w:val="Hyperlink"/>
            <w:rFonts w:ascii="Arial" w:hAnsi="Arial" w:cs="Arial"/>
            <w:sz w:val="24"/>
            <w:szCs w:val="24"/>
            <w:lang w:val="en-US"/>
          </w:rPr>
          <w:t>2021 Fiscal Transparency Report</w:t>
        </w:r>
      </w:hyperlink>
      <w:r w:rsidRPr="00EB2A7C">
        <w:rPr>
          <w:rFonts w:ascii="Arial" w:hAnsi="Arial" w:cs="Arial"/>
          <w:sz w:val="24"/>
          <w:szCs w:val="24"/>
          <w:lang w:val="en-US"/>
        </w:rPr>
        <w:t xml:space="preserve"> (FTR) found that</w:t>
      </w:r>
      <w:r w:rsidRPr="00EB2A7C">
        <w:rPr>
          <w:rFonts w:ascii="Arial" w:hAnsi="Arial" w:cs="Arial"/>
          <w:sz w:val="24"/>
          <w:szCs w:val="24"/>
        </w:rPr>
        <w:t xml:space="preserve"> just over half of the governments evaluated met minimum requirements of fiscal transparency (74 of 141 governments). </w:t>
      </w:r>
    </w:p>
    <w:p w14:paraId="0B0D84F9" w14:textId="77777777" w:rsidR="000E7F4B" w:rsidRPr="00EB2A7C" w:rsidRDefault="000E7F4B" w:rsidP="00EB2A7C">
      <w:pPr>
        <w:pStyle w:val="ListParagraph"/>
        <w:widowControl w:val="0"/>
        <w:numPr>
          <w:ilvl w:val="0"/>
          <w:numId w:val="71"/>
        </w:numPr>
        <w:tabs>
          <w:tab w:val="left" w:pos="270"/>
          <w:tab w:val="left" w:pos="4050"/>
          <w:tab w:val="left" w:pos="5040"/>
          <w:tab w:val="left" w:pos="6300"/>
        </w:tabs>
        <w:spacing w:line="276" w:lineRule="auto"/>
        <w:ind w:left="284" w:hanging="284"/>
        <w:contextualSpacing/>
        <w:jc w:val="both"/>
        <w:rPr>
          <w:rFonts w:ascii="Arial" w:hAnsi="Arial" w:cs="Arial"/>
          <w:sz w:val="24"/>
          <w:szCs w:val="24"/>
          <w:lang w:val="en-US"/>
        </w:rPr>
      </w:pPr>
      <w:r w:rsidRPr="00EB2A7C">
        <w:rPr>
          <w:rFonts w:ascii="Arial" w:hAnsi="Arial" w:cs="Arial"/>
          <w:sz w:val="24"/>
          <w:szCs w:val="24"/>
          <w:lang w:val="en-US"/>
        </w:rPr>
        <w:t xml:space="preserve">The IBP’s </w:t>
      </w:r>
      <w:hyperlink r:id="rId996" w:history="1">
        <w:r w:rsidRPr="00EB2A7C">
          <w:rPr>
            <w:rStyle w:val="Hyperlink"/>
            <w:rFonts w:ascii="Arial" w:hAnsi="Arial" w:cs="Arial"/>
            <w:sz w:val="24"/>
            <w:szCs w:val="24"/>
            <w:lang w:val="en-US"/>
          </w:rPr>
          <w:t>Open Budget Survey (OBS) 2021</w:t>
        </w:r>
      </w:hyperlink>
      <w:r w:rsidRPr="00EB2A7C">
        <w:rPr>
          <w:rFonts w:ascii="Arial" w:hAnsi="Arial" w:cs="Arial"/>
          <w:sz w:val="24"/>
          <w:szCs w:val="24"/>
          <w:lang w:val="en-US"/>
        </w:rPr>
        <w:t xml:space="preserve"> found that </w:t>
      </w:r>
      <w:r w:rsidRPr="00EB2A7C">
        <w:rPr>
          <w:rFonts w:ascii="Arial" w:hAnsi="Arial" w:cs="Arial"/>
          <w:sz w:val="24"/>
          <w:szCs w:val="24"/>
        </w:rPr>
        <w:t>only 35 of the 120 surveyed countries had Open Budget Index (OBI) scores indicating sufficient levels of budget transparency. Governments often fail to publish key budget documents. When they do, they also tend to release more information during the formulation and approval stage of their budget process than they do on implementation, which undermines government accountability for spending the budget as approved by the legislature. In addition, even when budget documents are published, they frequently lack the types of information that the public need to contribute to fiscal policy</w:t>
      </w:r>
      <w:r w:rsidRPr="00EB2A7C">
        <w:rPr>
          <w:rFonts w:ascii="Arial" w:hAnsi="Arial" w:cs="Arial"/>
          <w:sz w:val="24"/>
          <w:szCs w:val="24"/>
          <w:lang w:val="en-US"/>
        </w:rPr>
        <w:t>.</w:t>
      </w:r>
    </w:p>
    <w:p w14:paraId="20B2F3F7" w14:textId="77777777" w:rsidR="000E7F4B" w:rsidRPr="00EB2A7C" w:rsidRDefault="000E7F4B" w:rsidP="00EB2A7C">
      <w:pPr>
        <w:widowControl w:val="0"/>
        <w:tabs>
          <w:tab w:val="left" w:pos="270"/>
          <w:tab w:val="left" w:pos="4050"/>
          <w:tab w:val="left" w:pos="5040"/>
          <w:tab w:val="left" w:pos="6300"/>
        </w:tabs>
        <w:spacing w:line="276" w:lineRule="auto"/>
        <w:contextualSpacing/>
        <w:jc w:val="both"/>
        <w:rPr>
          <w:rFonts w:ascii="Arial" w:hAnsi="Arial" w:cs="Arial"/>
          <w:sz w:val="24"/>
          <w:szCs w:val="24"/>
          <w:lang w:val="en-US"/>
        </w:rPr>
      </w:pPr>
    </w:p>
    <w:p w14:paraId="0C46045B" w14:textId="221E8A2B" w:rsidR="000E7F4B" w:rsidRPr="00EB2A7C" w:rsidRDefault="003A68D1" w:rsidP="00EB2A7C">
      <w:pPr>
        <w:widowControl w:val="0"/>
        <w:tabs>
          <w:tab w:val="left" w:pos="270"/>
          <w:tab w:val="left" w:pos="4050"/>
          <w:tab w:val="left" w:pos="5040"/>
          <w:tab w:val="left" w:pos="6300"/>
        </w:tabs>
        <w:spacing w:line="276" w:lineRule="auto"/>
        <w:contextualSpacing/>
        <w:jc w:val="both"/>
        <w:rPr>
          <w:rFonts w:ascii="Arial" w:hAnsi="Arial" w:cs="Arial"/>
          <w:sz w:val="24"/>
          <w:szCs w:val="24"/>
          <w:lang w:val="en-US"/>
        </w:rPr>
      </w:pPr>
      <w:r>
        <w:rPr>
          <w:rFonts w:ascii="Arial" w:hAnsi="Arial" w:cs="Arial"/>
          <w:noProof/>
          <w:sz w:val="24"/>
          <w:szCs w:val="24"/>
          <w:lang w:val="en-US"/>
        </w:rPr>
        <w:lastRenderedPageBreak/>
        <w:drawing>
          <wp:anchor distT="0" distB="0" distL="114300" distR="114300" simplePos="0" relativeHeight="254606334" behindDoc="0" locked="0" layoutInCell="1" allowOverlap="1" wp14:anchorId="425AFCA5" wp14:editId="6AF31E76">
            <wp:simplePos x="0" y="0"/>
            <wp:positionH relativeFrom="column">
              <wp:posOffset>0</wp:posOffset>
            </wp:positionH>
            <wp:positionV relativeFrom="paragraph">
              <wp:posOffset>4445</wp:posOffset>
            </wp:positionV>
            <wp:extent cx="1769745" cy="2514600"/>
            <wp:effectExtent l="0" t="0" r="0" b="0"/>
            <wp:wrapSquare wrapText="bothSides"/>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 name="Picture 2454"/>
                    <pic:cNvPicPr/>
                  </pic:nvPicPr>
                  <pic:blipFill rotWithShape="1">
                    <a:blip r:embed="rId997" cstate="screen">
                      <a:extLst>
                        <a:ext uri="{28A0092B-C50C-407E-A947-70E740481C1C}">
                          <a14:useLocalDpi xmlns:a14="http://schemas.microsoft.com/office/drawing/2010/main"/>
                        </a:ext>
                      </a:extLst>
                    </a:blip>
                    <a:srcRect/>
                    <a:stretch/>
                  </pic:blipFill>
                  <pic:spPr bwMode="auto">
                    <a:xfrm>
                      <a:off x="0" y="0"/>
                      <a:ext cx="1769745"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7F4B" w:rsidRPr="00EB2A7C">
        <w:rPr>
          <w:rFonts w:ascii="Arial" w:hAnsi="Arial" w:cs="Arial"/>
          <w:sz w:val="24"/>
          <w:szCs w:val="24"/>
          <w:lang w:val="en-US"/>
        </w:rPr>
        <w:t xml:space="preserve">Looking at trends over time, assessments show that although there have been modest global overall improvements, levels of fiscal transparency remain limited. While limited fiscal transparency is shown in consistently low scores recorded by some countries, </w:t>
      </w:r>
      <w:r w:rsidR="000E7F4B" w:rsidRPr="00EB2A7C">
        <w:rPr>
          <w:rFonts w:ascii="Arial" w:hAnsi="Arial" w:cs="Arial"/>
          <w:sz w:val="24"/>
          <w:szCs w:val="24"/>
        </w:rPr>
        <w:t>other countries show significant decreases or regressions in fiscal transparency</w:t>
      </w:r>
      <w:r w:rsidR="000E7F4B" w:rsidRPr="00EB2A7C">
        <w:rPr>
          <w:rFonts w:ascii="Arial" w:hAnsi="Arial" w:cs="Arial"/>
          <w:sz w:val="24"/>
          <w:szCs w:val="24"/>
          <w:lang w:val="en-US"/>
        </w:rPr>
        <w:t>. Some countries have simply stopped publishing budget information over the years, and in others, there is uncertainty regarding the publication of budget documents over time, with the publication status of key budget documents changing repeatedly. This is problematic, as actors in the fiscal ecosystem require the regular and timely publication of budget documents in order to effectively monitor what governments do with public resources. This volatility shows that in many countries, budget transparency</w:t>
      </w:r>
      <w:r w:rsidR="005C0D08">
        <w:rPr>
          <w:rFonts w:ascii="Arial" w:hAnsi="Arial" w:cs="Arial"/>
          <w:sz w:val="24"/>
          <w:szCs w:val="24"/>
          <w:lang w:val="en-US"/>
        </w:rPr>
        <w:t xml:space="preserve"> </w:t>
      </w:r>
      <w:r w:rsidR="000E7F4B" w:rsidRPr="00EB2A7C">
        <w:rPr>
          <w:rFonts w:ascii="Arial" w:hAnsi="Arial" w:cs="Arial"/>
          <w:sz w:val="24"/>
          <w:szCs w:val="24"/>
          <w:lang w:val="en-US"/>
        </w:rPr>
        <w:t>practices are not well-established or institutionalized. Fiscal transparency can never be taken for granted, it requires constant, well-coordinated actions and forces to push it forward. Some of these actions can also form part of, and should ideally align with other government reforms.</w:t>
      </w:r>
    </w:p>
    <w:p w14:paraId="7521BE51" w14:textId="7C5D5E6E" w:rsidR="000E7F4B" w:rsidRDefault="000E7F4B" w:rsidP="000E7F4B">
      <w:pPr>
        <w:widowControl w:val="0"/>
        <w:tabs>
          <w:tab w:val="left" w:pos="270"/>
          <w:tab w:val="left" w:pos="4050"/>
          <w:tab w:val="left" w:pos="5040"/>
          <w:tab w:val="left" w:pos="6300"/>
        </w:tabs>
        <w:spacing w:line="276" w:lineRule="auto"/>
        <w:contextualSpacing/>
        <w:jc w:val="both"/>
        <w:rPr>
          <w:rFonts w:ascii="Arial" w:hAnsi="Arial" w:cs="Arial"/>
          <w:sz w:val="24"/>
          <w:szCs w:val="24"/>
          <w:lang w:val="en-US"/>
        </w:rPr>
      </w:pPr>
    </w:p>
    <w:p w14:paraId="30337B61" w14:textId="02CD1774" w:rsidR="00EB5123" w:rsidRPr="00EB2A7C" w:rsidRDefault="00CC45BA" w:rsidP="00EB2A7C">
      <w:pPr>
        <w:widowControl w:val="0"/>
        <w:tabs>
          <w:tab w:val="left" w:pos="270"/>
          <w:tab w:val="left" w:pos="4050"/>
          <w:tab w:val="left" w:pos="5040"/>
          <w:tab w:val="left" w:pos="6300"/>
        </w:tabs>
        <w:spacing w:line="276" w:lineRule="auto"/>
        <w:contextualSpacing/>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4608382" behindDoc="0" locked="0" layoutInCell="1" allowOverlap="1" wp14:anchorId="328597FE" wp14:editId="0611CBDE">
                <wp:simplePos x="0" y="0"/>
                <wp:positionH relativeFrom="column">
                  <wp:posOffset>1257300</wp:posOffset>
                </wp:positionH>
                <wp:positionV relativeFrom="paragraph">
                  <wp:posOffset>185420</wp:posOffset>
                </wp:positionV>
                <wp:extent cx="4292600" cy="863600"/>
                <wp:effectExtent l="0" t="0" r="0" b="0"/>
                <wp:wrapNone/>
                <wp:docPr id="2455" name="Text Box 2455"/>
                <wp:cNvGraphicFramePr/>
                <a:graphic xmlns:a="http://schemas.openxmlformats.org/drawingml/2006/main">
                  <a:graphicData uri="http://schemas.microsoft.com/office/word/2010/wordprocessingShape">
                    <wps:wsp>
                      <wps:cNvSpPr txBox="1"/>
                      <wps:spPr>
                        <a:xfrm>
                          <a:off x="0" y="0"/>
                          <a:ext cx="4292600" cy="863600"/>
                        </a:xfrm>
                        <a:prstGeom prst="rect">
                          <a:avLst/>
                        </a:prstGeom>
                        <a:noFill/>
                        <a:ln w="6350">
                          <a:noFill/>
                        </a:ln>
                      </wps:spPr>
                      <wps:txbx>
                        <w:txbxContent>
                          <w:p w14:paraId="60970B55" w14:textId="2D6BBC36" w:rsidR="00D15FD8" w:rsidRPr="00AB11BF" w:rsidRDefault="00D15FD8" w:rsidP="00CC45BA">
                            <w:pPr>
                              <w:pStyle w:val="Heading1"/>
                              <w:rPr>
                                <w:sz w:val="38"/>
                                <w:szCs w:val="38"/>
                                <w:lang w:val="en-US"/>
                              </w:rPr>
                            </w:pPr>
                            <w:bookmarkStart w:id="2469" w:name="_Public_financial_management"/>
                            <w:bookmarkStart w:id="2470" w:name="_Toc123828263"/>
                            <w:bookmarkStart w:id="2471" w:name="_Toc123828473"/>
                            <w:bookmarkStart w:id="2472" w:name="_Toc123828669"/>
                            <w:bookmarkStart w:id="2473" w:name="_Toc123912696"/>
                            <w:bookmarkStart w:id="2474" w:name="_Toc123912955"/>
                            <w:bookmarkStart w:id="2475" w:name="_Toc123913182"/>
                            <w:bookmarkStart w:id="2476" w:name="_Toc123914130"/>
                            <w:bookmarkStart w:id="2477" w:name="_Toc125566746"/>
                            <w:bookmarkEnd w:id="2469"/>
                            <w:r w:rsidRPr="00AB11BF">
                              <w:rPr>
                                <w:rFonts w:ascii="Arial" w:hAnsi="Arial" w:cs="Arial"/>
                                <w:b/>
                                <w:bCs/>
                                <w:color w:val="FFFFFF" w:themeColor="background1"/>
                                <w:sz w:val="38"/>
                                <w:szCs w:val="38"/>
                                <w:lang w:val="en-US"/>
                              </w:rPr>
                              <w:t>Public financial management and fiscal transparency reforms</w:t>
                            </w:r>
                            <w:bookmarkEnd w:id="2470"/>
                            <w:bookmarkEnd w:id="2471"/>
                            <w:bookmarkEnd w:id="2472"/>
                            <w:bookmarkEnd w:id="2473"/>
                            <w:bookmarkEnd w:id="2474"/>
                            <w:bookmarkEnd w:id="2475"/>
                            <w:bookmarkEnd w:id="2476"/>
                            <w:bookmarkEnd w:id="247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8597FE" id="Text Box 2455" o:spid="_x0000_s1691" type="#_x0000_t202" style="position:absolute;left:0;text-align:left;margin-left:99pt;margin-top:14.6pt;width:338pt;height:68pt;z-index:2546083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" filled="f" stroked="f" strokeweight=".5pt">
                <v:textbox>
                  <w:txbxContent>
                    <w:p w14:paraId="60970B55" w14:textId="2D6BBC36" w:rsidR="00D15FD8" w:rsidRPr="00AB11BF" w:rsidRDefault="00D15FD8" w:rsidP="00CC45BA">
                      <w:pPr>
                        <w:pStyle w:val="Heading1"/>
                        <w:rPr>
                          <w:sz w:val="38"/>
                          <w:szCs w:val="38"/>
                          <w:lang w:val="en-US"/>
                        </w:rPr>
                      </w:pPr>
                      <w:bookmarkStart w:id="2478" w:name="_Public_financial_management"/>
                      <w:bookmarkStart w:id="2479" w:name="_Toc123828263"/>
                      <w:bookmarkStart w:id="2480" w:name="_Toc123828473"/>
                      <w:bookmarkStart w:id="2481" w:name="_Toc123828669"/>
                      <w:bookmarkStart w:id="2482" w:name="_Toc123912696"/>
                      <w:bookmarkStart w:id="2483" w:name="_Toc123912955"/>
                      <w:bookmarkStart w:id="2484" w:name="_Toc123913182"/>
                      <w:bookmarkStart w:id="2485" w:name="_Toc123914130"/>
                      <w:bookmarkStart w:id="2486" w:name="_Toc125566746"/>
                      <w:bookmarkEnd w:id="2478"/>
                      <w:r w:rsidRPr="00AB11BF">
                        <w:rPr>
                          <w:rFonts w:ascii="Arial" w:hAnsi="Arial" w:cs="Arial"/>
                          <w:b/>
                          <w:bCs/>
                          <w:color w:val="FFFFFF" w:themeColor="background1"/>
                          <w:sz w:val="38"/>
                          <w:szCs w:val="38"/>
                          <w:lang w:val="en-US"/>
                        </w:rPr>
                        <w:t>Public financial management and fiscal transparency reforms</w:t>
                      </w:r>
                      <w:bookmarkEnd w:id="2479"/>
                      <w:bookmarkEnd w:id="2480"/>
                      <w:bookmarkEnd w:id="2481"/>
                      <w:bookmarkEnd w:id="2482"/>
                      <w:bookmarkEnd w:id="2483"/>
                      <w:bookmarkEnd w:id="2484"/>
                      <w:bookmarkEnd w:id="2485"/>
                      <w:bookmarkEnd w:id="2486"/>
                    </w:p>
                  </w:txbxContent>
                </v:textbox>
              </v:shape>
            </w:pict>
          </mc:Fallback>
        </mc:AlternateContent>
      </w:r>
      <w:r w:rsidR="00EC60C8">
        <w:rPr>
          <w:rFonts w:ascii="Arial" w:hAnsi="Arial" w:cs="Arial"/>
          <w:noProof/>
          <w:sz w:val="24"/>
          <w:szCs w:val="24"/>
          <w:lang w:val="en-US"/>
        </w:rPr>
        <w:drawing>
          <wp:anchor distT="0" distB="0" distL="114300" distR="114300" simplePos="0" relativeHeight="251630554" behindDoc="1" locked="0" layoutInCell="1" allowOverlap="1" wp14:anchorId="01D9E577" wp14:editId="575F23FA">
            <wp:simplePos x="0" y="0"/>
            <wp:positionH relativeFrom="column">
              <wp:posOffset>0</wp:posOffset>
            </wp:positionH>
            <wp:positionV relativeFrom="paragraph">
              <wp:posOffset>-5080</wp:posOffset>
            </wp:positionV>
            <wp:extent cx="6417310" cy="1397000"/>
            <wp:effectExtent l="0" t="0" r="0" b="0"/>
            <wp:wrapTight wrapText="bothSides">
              <wp:wrapPolygon edited="0">
                <wp:start x="1496" y="0"/>
                <wp:lineTo x="1154" y="982"/>
                <wp:lineTo x="684" y="2749"/>
                <wp:lineTo x="256" y="3535"/>
                <wp:lineTo x="256" y="6087"/>
                <wp:lineTo x="85" y="6284"/>
                <wp:lineTo x="43" y="13156"/>
                <wp:lineTo x="513" y="15709"/>
                <wp:lineTo x="427" y="15709"/>
                <wp:lineTo x="727" y="18655"/>
                <wp:lineTo x="1197" y="19244"/>
                <wp:lineTo x="1710" y="20618"/>
                <wp:lineTo x="3163" y="20618"/>
                <wp:lineTo x="19279" y="19440"/>
                <wp:lineTo x="19322" y="18851"/>
                <wp:lineTo x="20091" y="15709"/>
                <wp:lineTo x="20390" y="12567"/>
                <wp:lineTo x="20390" y="9425"/>
                <wp:lineTo x="20219" y="6284"/>
                <wp:lineTo x="19706" y="3927"/>
                <wp:lineTo x="19493" y="3142"/>
                <wp:lineTo x="19578" y="1178"/>
                <wp:lineTo x="17142" y="589"/>
                <wp:lineTo x="3163" y="0"/>
                <wp:lineTo x="1496" y="0"/>
              </wp:wrapPolygon>
            </wp:wrapTight>
            <wp:docPr id="2781" name="Picture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 name="Picture 2781"/>
                    <pic:cNvPicPr/>
                  </pic:nvPicPr>
                  <pic:blipFill rotWithShape="1">
                    <a:blip r:embed="rId998" cstate="screen">
                      <a:extLst>
                        <a:ext uri="{28A0092B-C50C-407E-A947-70E740481C1C}">
                          <a14:useLocalDpi xmlns:a14="http://schemas.microsoft.com/office/drawing/2010/main"/>
                        </a:ext>
                      </a:extLst>
                    </a:blip>
                    <a:srcRect/>
                    <a:stretch/>
                  </pic:blipFill>
                  <pic:spPr bwMode="auto">
                    <a:xfrm>
                      <a:off x="0" y="0"/>
                      <a:ext cx="6417310" cy="139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09AE82" w14:textId="628F54BF" w:rsidR="000E7F4B" w:rsidRDefault="00CC45BA" w:rsidP="000E7F4B">
      <w:pPr>
        <w:tabs>
          <w:tab w:val="left" w:pos="1760"/>
        </w:tabs>
        <w:rPr>
          <w:rFonts w:ascii="Arial" w:hAnsi="Arial" w:cs="Arial"/>
          <w:sz w:val="24"/>
          <w:szCs w:val="24"/>
          <w:lang w:val="en-US"/>
        </w:rPr>
      </w:pPr>
      <w:r>
        <w:rPr>
          <w:rFonts w:ascii="Arial" w:hAnsi="Arial" w:cs="Arial"/>
          <w:iCs/>
          <w:noProof/>
          <w:lang w:val="en-US"/>
        </w:rPr>
        <mc:AlternateContent>
          <mc:Choice Requires="wps">
            <w:drawing>
              <wp:anchor distT="0" distB="0" distL="114300" distR="114300" simplePos="0" relativeHeight="254609406" behindDoc="0" locked="0" layoutInCell="1" allowOverlap="1" wp14:anchorId="7E156D70" wp14:editId="12D121F0">
                <wp:simplePos x="0" y="0"/>
                <wp:positionH relativeFrom="column">
                  <wp:posOffset>419100</wp:posOffset>
                </wp:positionH>
                <wp:positionV relativeFrom="paragraph">
                  <wp:posOffset>138430</wp:posOffset>
                </wp:positionV>
                <wp:extent cx="571500" cy="660400"/>
                <wp:effectExtent l="0" t="0" r="0" b="0"/>
                <wp:wrapNone/>
                <wp:docPr id="2545" name="Text Box 2545"/>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1D9A95A5" w14:textId="067E56F7" w:rsidR="00D15FD8" w:rsidRPr="00653DDD" w:rsidRDefault="00D15FD8" w:rsidP="00CC4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56D70" id="Text Box 2545" o:spid="_x0000_s1692" type="#_x0000_t202" style="position:absolute;margin-left:33pt;margin-top:10.9pt;width:45pt;height:52pt;z-index:254609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" filled="f" stroked="f" strokeweight=".5pt">
                <v:textbox>
                  <w:txbxContent>
                    <w:p w14:paraId="1D9A95A5" w14:textId="067E56F7" w:rsidR="00D15FD8" w:rsidRPr="00653DDD" w:rsidRDefault="00D15FD8" w:rsidP="00CC45BA">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2</w:t>
                      </w:r>
                    </w:p>
                  </w:txbxContent>
                </v:textbox>
              </v:shape>
            </w:pict>
          </mc:Fallback>
        </mc:AlternateContent>
      </w:r>
    </w:p>
    <w:p w14:paraId="4F945589" w14:textId="61E06804" w:rsidR="00CC45BA" w:rsidRPr="00CC45BA" w:rsidRDefault="00CC45BA" w:rsidP="00EB2A7C">
      <w:pPr>
        <w:rPr>
          <w:rFonts w:ascii="Arial" w:hAnsi="Arial" w:cs="Arial"/>
          <w:sz w:val="24"/>
          <w:szCs w:val="24"/>
          <w:lang w:val="en-US"/>
        </w:rPr>
      </w:pPr>
    </w:p>
    <w:p w14:paraId="764A10F8" w14:textId="196D41A6" w:rsidR="00CC45BA" w:rsidRPr="00CC45BA" w:rsidRDefault="00CC45BA" w:rsidP="00EB2A7C">
      <w:pPr>
        <w:rPr>
          <w:rFonts w:ascii="Arial" w:hAnsi="Arial" w:cs="Arial"/>
          <w:sz w:val="24"/>
          <w:szCs w:val="24"/>
          <w:lang w:val="en-US"/>
        </w:rPr>
      </w:pPr>
    </w:p>
    <w:p w14:paraId="6C2AEB4A" w14:textId="66EE27A3" w:rsidR="00CC45BA" w:rsidRPr="00CC45BA" w:rsidRDefault="00CC45BA" w:rsidP="00EB2A7C">
      <w:pPr>
        <w:rPr>
          <w:rFonts w:ascii="Arial" w:hAnsi="Arial" w:cs="Arial"/>
          <w:sz w:val="24"/>
          <w:szCs w:val="24"/>
          <w:lang w:val="en-US"/>
        </w:rPr>
      </w:pPr>
    </w:p>
    <w:p w14:paraId="7480C8F2" w14:textId="20ED73C8" w:rsidR="00CC45BA" w:rsidRPr="00CC45BA" w:rsidRDefault="00CC45BA" w:rsidP="00EB2A7C">
      <w:pPr>
        <w:rPr>
          <w:rFonts w:ascii="Arial" w:hAnsi="Arial" w:cs="Arial"/>
          <w:sz w:val="24"/>
          <w:szCs w:val="24"/>
          <w:lang w:val="en-US"/>
        </w:rPr>
      </w:pPr>
    </w:p>
    <w:p w14:paraId="0FEB3733" w14:textId="56461065" w:rsidR="00CC45BA" w:rsidRPr="00222036" w:rsidRDefault="00CC45BA" w:rsidP="00EB2A7C">
      <w:pPr>
        <w:rPr>
          <w:rFonts w:ascii="Arial" w:hAnsi="Arial" w:cs="Arial"/>
          <w:sz w:val="24"/>
          <w:szCs w:val="24"/>
          <w:lang w:val="en-US"/>
        </w:rPr>
      </w:pPr>
    </w:p>
    <w:p w14:paraId="2717BB8C" w14:textId="78469354" w:rsidR="00CC45BA" w:rsidRPr="00222036" w:rsidRDefault="00CC45BA" w:rsidP="00EB2A7C">
      <w:pPr>
        <w:rPr>
          <w:rFonts w:ascii="Arial" w:hAnsi="Arial" w:cs="Arial"/>
          <w:sz w:val="24"/>
          <w:szCs w:val="24"/>
          <w:lang w:val="en-US"/>
        </w:rPr>
      </w:pPr>
    </w:p>
    <w:p w14:paraId="64EBD9D3" w14:textId="560385EC" w:rsidR="00222036" w:rsidRPr="00AB11BF" w:rsidRDefault="00222036" w:rsidP="00EB2A7C">
      <w:pPr>
        <w:pStyle w:val="Heading2"/>
        <w:numPr>
          <w:ilvl w:val="1"/>
          <w:numId w:val="156"/>
        </w:numPr>
        <w:rPr>
          <w:rFonts w:ascii="Arial" w:hAnsi="Arial" w:cs="Arial"/>
          <w:b/>
          <w:bCs/>
          <w:color w:val="BFA4CE"/>
          <w:sz w:val="36"/>
          <w:szCs w:val="36"/>
          <w:lang w:val="en-US"/>
        </w:rPr>
      </w:pPr>
      <w:bookmarkStart w:id="2487" w:name="_Toc61672803"/>
      <w:bookmarkStart w:id="2488" w:name="_Toc123204559"/>
      <w:bookmarkStart w:id="2489" w:name="_Toc123216679"/>
      <w:bookmarkStart w:id="2490" w:name="_Toc123217519"/>
      <w:bookmarkStart w:id="2491" w:name="_Toc123913474"/>
      <w:bookmarkStart w:id="2492" w:name="_Toc123914131"/>
      <w:bookmarkStart w:id="2493" w:name="_Toc125566747"/>
      <w:r w:rsidRPr="00AB11BF">
        <w:rPr>
          <w:rFonts w:ascii="Arial" w:hAnsi="Arial" w:cs="Arial"/>
          <w:b/>
          <w:bCs/>
          <w:color w:val="BFA4CE"/>
          <w:sz w:val="36"/>
          <w:szCs w:val="36"/>
          <w:lang w:val="en-US"/>
        </w:rPr>
        <w:t>Public financial management (PFM reforms)</w:t>
      </w:r>
      <w:bookmarkEnd w:id="2487"/>
      <w:bookmarkEnd w:id="2488"/>
      <w:bookmarkEnd w:id="2489"/>
      <w:bookmarkEnd w:id="2490"/>
      <w:bookmarkEnd w:id="2491"/>
      <w:bookmarkEnd w:id="2492"/>
      <w:bookmarkEnd w:id="2493"/>
    </w:p>
    <w:p w14:paraId="6E337A77" w14:textId="3D130BEA" w:rsidR="00222036" w:rsidRPr="00EB2A7C" w:rsidRDefault="00222036" w:rsidP="00EB2A7C">
      <w:pPr>
        <w:spacing w:line="276" w:lineRule="auto"/>
        <w:jc w:val="both"/>
        <w:rPr>
          <w:rFonts w:ascii="Arial" w:hAnsi="Arial" w:cs="Arial"/>
          <w:sz w:val="24"/>
          <w:szCs w:val="24"/>
        </w:rPr>
      </w:pPr>
    </w:p>
    <w:p w14:paraId="47107128" w14:textId="468EFA92" w:rsidR="00222036" w:rsidRPr="00EB2A7C" w:rsidRDefault="00222036" w:rsidP="00EB2A7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10430" behindDoc="0" locked="0" layoutInCell="1" allowOverlap="1" wp14:anchorId="2C28F385" wp14:editId="42A5FC32">
            <wp:simplePos x="0" y="0"/>
            <wp:positionH relativeFrom="column">
              <wp:posOffset>0</wp:posOffset>
            </wp:positionH>
            <wp:positionV relativeFrom="paragraph">
              <wp:posOffset>61595</wp:posOffset>
            </wp:positionV>
            <wp:extent cx="1655445" cy="1651000"/>
            <wp:effectExtent l="0" t="0" r="0" b="0"/>
            <wp:wrapSquare wrapText="bothSides"/>
            <wp:docPr id="2546" name="Picture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Picture 2546"/>
                    <pic:cNvPicPr/>
                  </pic:nvPicPr>
                  <pic:blipFill rotWithShape="1">
                    <a:blip r:embed="rId999" cstate="screen">
                      <a:extLst>
                        <a:ext uri="{28A0092B-C50C-407E-A947-70E740481C1C}">
                          <a14:useLocalDpi xmlns:a14="http://schemas.microsoft.com/office/drawing/2010/main"/>
                        </a:ext>
                      </a:extLst>
                    </a:blip>
                    <a:srcRect/>
                    <a:stretch/>
                  </pic:blipFill>
                  <pic:spPr bwMode="auto">
                    <a:xfrm>
                      <a:off x="0" y="0"/>
                      <a:ext cx="1655445" cy="165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2A7C">
        <w:rPr>
          <w:rFonts w:ascii="Arial" w:hAnsi="Arial" w:cs="Arial"/>
          <w:sz w:val="24"/>
          <w:szCs w:val="24"/>
        </w:rPr>
        <w:t>Allen Schick</w:t>
      </w:r>
      <w:r w:rsidRPr="00EB2A7C">
        <w:rPr>
          <w:rFonts w:ascii="Arial" w:hAnsi="Arial" w:cs="Arial"/>
          <w:sz w:val="24"/>
          <w:szCs w:val="24"/>
          <w:vertAlign w:val="superscript"/>
        </w:rPr>
        <w:footnoteReference w:id="81"/>
      </w:r>
      <w:r w:rsidRPr="00EB2A7C">
        <w:rPr>
          <w:rFonts w:ascii="Arial" w:hAnsi="Arial" w:cs="Arial"/>
          <w:sz w:val="24"/>
          <w:szCs w:val="24"/>
        </w:rPr>
        <w:t xml:space="preserve"> states that PFM reforms employ new information, process adjustments and rules as levers for changing</w:t>
      </w:r>
      <w:r w:rsidRPr="00EB2A7C">
        <w:rPr>
          <w:rFonts w:ascii="Arial" w:hAnsi="Arial" w:cs="Arial"/>
          <w:sz w:val="24"/>
          <w:szCs w:val="24"/>
          <w:lang w:val="en-US"/>
        </w:rPr>
        <w:t xml:space="preserve"> behavior</w:t>
      </w:r>
      <w:r w:rsidRPr="00EB2A7C">
        <w:rPr>
          <w:rFonts w:ascii="Arial" w:hAnsi="Arial" w:cs="Arial"/>
          <w:sz w:val="24"/>
          <w:szCs w:val="24"/>
        </w:rPr>
        <w:t xml:space="preserve"> and outcomes. Reform arguably adheres to a logical sequence, beginning with enriching the information available to policymakers (expecting that better information will produce better outcomes), then using processes to induce policymakers to make prudent and effective decisions, and culminating in rules proscribing or prescribing appropriate actions. PFM reforms vary in nature, from relatively simple to highly complex reforms that take many years to complete.</w:t>
      </w:r>
    </w:p>
    <w:p w14:paraId="5CD1EEE2" w14:textId="77777777" w:rsidR="00222036" w:rsidRPr="00EB2A7C" w:rsidRDefault="00222036" w:rsidP="00EB2A7C">
      <w:pPr>
        <w:spacing w:line="276" w:lineRule="auto"/>
        <w:jc w:val="both"/>
        <w:rPr>
          <w:rFonts w:ascii="Arial" w:hAnsi="Arial" w:cs="Arial"/>
          <w:sz w:val="24"/>
          <w:szCs w:val="24"/>
        </w:rPr>
      </w:pPr>
    </w:p>
    <w:p w14:paraId="7CC64EC1" w14:textId="43D7C8E5" w:rsidR="00222036" w:rsidRDefault="00222036" w:rsidP="00222036">
      <w:pPr>
        <w:spacing w:line="276" w:lineRule="auto"/>
        <w:jc w:val="both"/>
        <w:rPr>
          <w:rFonts w:ascii="Arial" w:hAnsi="Arial" w:cs="Arial"/>
          <w:sz w:val="24"/>
          <w:szCs w:val="24"/>
        </w:rPr>
      </w:pPr>
      <w:r w:rsidRPr="00EB2A7C">
        <w:rPr>
          <w:rFonts w:ascii="Arial" w:hAnsi="Arial" w:cs="Arial"/>
          <w:sz w:val="24"/>
          <w:szCs w:val="24"/>
        </w:rPr>
        <w:t xml:space="preserve">As outlined in the PEFA’s </w:t>
      </w:r>
      <w:hyperlink r:id="rId1000" w:history="1">
        <w:r w:rsidRPr="00EB2A7C">
          <w:rPr>
            <w:rStyle w:val="Hyperlink"/>
            <w:rFonts w:ascii="Arial" w:hAnsi="Arial" w:cs="Arial"/>
            <w:sz w:val="24"/>
            <w:szCs w:val="24"/>
          </w:rPr>
          <w:t>Handbook Volume IV</w:t>
        </w:r>
      </w:hyperlink>
      <w:r w:rsidRPr="00EB2A7C">
        <w:rPr>
          <w:rStyle w:val="FootnoteReference"/>
          <w:rFonts w:ascii="Arial" w:hAnsi="Arial" w:cs="Arial"/>
          <w:sz w:val="24"/>
          <w:szCs w:val="24"/>
        </w:rPr>
        <w:footnoteReference w:id="82"/>
      </w:r>
      <w:r w:rsidRPr="00EB2A7C">
        <w:rPr>
          <w:rFonts w:ascii="Arial" w:hAnsi="Arial" w:cs="Arial"/>
          <w:sz w:val="24"/>
          <w:szCs w:val="24"/>
        </w:rPr>
        <w:t>, PFM reforms typically take place over a series of stages as shown in the diagram below.</w:t>
      </w:r>
    </w:p>
    <w:p w14:paraId="4842D2F5" w14:textId="6A9FDBDF" w:rsidR="00222036" w:rsidRDefault="00222036" w:rsidP="00222036">
      <w:pPr>
        <w:spacing w:line="276" w:lineRule="auto"/>
        <w:jc w:val="both"/>
        <w:rPr>
          <w:rFonts w:ascii="Arial" w:hAnsi="Arial" w:cs="Arial"/>
          <w:sz w:val="24"/>
          <w:szCs w:val="24"/>
        </w:rPr>
      </w:pPr>
    </w:p>
    <w:p w14:paraId="11C2F7F8" w14:textId="7FAFA587" w:rsidR="00222036" w:rsidRDefault="00222036" w:rsidP="00222036">
      <w:pPr>
        <w:spacing w:line="276" w:lineRule="auto"/>
        <w:jc w:val="both"/>
        <w:rPr>
          <w:rFonts w:ascii="Arial" w:hAnsi="Arial" w:cs="Arial"/>
          <w:sz w:val="24"/>
          <w:szCs w:val="24"/>
        </w:rPr>
      </w:pPr>
    </w:p>
    <w:p w14:paraId="106E3457" w14:textId="6EDAB0AA" w:rsidR="00222036" w:rsidRDefault="00222036" w:rsidP="00222036">
      <w:pPr>
        <w:spacing w:line="276" w:lineRule="auto"/>
        <w:jc w:val="both"/>
        <w:rPr>
          <w:rFonts w:ascii="Arial" w:hAnsi="Arial" w:cs="Arial"/>
          <w:sz w:val="24"/>
          <w:szCs w:val="24"/>
        </w:rPr>
      </w:pPr>
    </w:p>
    <w:p w14:paraId="574AD69F" w14:textId="1C005FC8" w:rsidR="00222036" w:rsidRDefault="00222036" w:rsidP="00222036">
      <w:pPr>
        <w:spacing w:line="276" w:lineRule="auto"/>
        <w:jc w:val="both"/>
        <w:rPr>
          <w:rFonts w:ascii="Arial" w:hAnsi="Arial" w:cs="Arial"/>
          <w:sz w:val="24"/>
          <w:szCs w:val="24"/>
        </w:rPr>
      </w:pPr>
    </w:p>
    <w:p w14:paraId="1D668C33" w14:textId="7EF9291D" w:rsidR="00222036" w:rsidRPr="003625BA" w:rsidRDefault="00222036" w:rsidP="003625BA">
      <w:pPr>
        <w:pStyle w:val="Heading3"/>
        <w:jc w:val="center"/>
        <w:rPr>
          <w:rFonts w:ascii="Arial" w:hAnsi="Arial" w:cs="Arial"/>
          <w:b/>
          <w:bCs/>
          <w:color w:val="69557F"/>
          <w:sz w:val="20"/>
          <w:szCs w:val="20"/>
          <w:lang w:val="en-US"/>
        </w:rPr>
      </w:pPr>
      <w:bookmarkStart w:id="2494" w:name="_Figure_5.1._Stages"/>
      <w:bookmarkStart w:id="2495" w:name="_Toc123216680"/>
      <w:bookmarkStart w:id="2496" w:name="_Toc123217520"/>
      <w:bookmarkStart w:id="2497" w:name="_Toc123914132"/>
      <w:bookmarkStart w:id="2498" w:name="_Toc125566748"/>
      <w:bookmarkEnd w:id="2494"/>
      <w:r w:rsidRPr="003625BA">
        <w:rPr>
          <w:rFonts w:ascii="Arial" w:hAnsi="Arial" w:cs="Arial"/>
          <w:b/>
          <w:bCs/>
          <w:color w:val="69557F"/>
          <w:sz w:val="20"/>
          <w:szCs w:val="20"/>
          <w:lang w:val="en-US"/>
        </w:rPr>
        <w:lastRenderedPageBreak/>
        <w:t>Figure 5.1</w:t>
      </w:r>
      <w:r w:rsidR="005C0D08">
        <w:rPr>
          <w:rFonts w:ascii="Arial" w:hAnsi="Arial" w:cs="Arial"/>
          <w:b/>
          <w:bCs/>
          <w:color w:val="69557F"/>
          <w:sz w:val="20"/>
          <w:szCs w:val="20"/>
          <w:lang w:val="en-US"/>
        </w:rPr>
        <w:t>.</w:t>
      </w:r>
      <w:r w:rsidR="004750D1" w:rsidRPr="003625BA">
        <w:rPr>
          <w:rFonts w:ascii="Arial" w:hAnsi="Arial" w:cs="Arial"/>
          <w:b/>
          <w:bCs/>
          <w:color w:val="69557F"/>
          <w:sz w:val="20"/>
          <w:szCs w:val="20"/>
          <w:lang w:val="en-US"/>
        </w:rPr>
        <w:t xml:space="preserve"> </w:t>
      </w:r>
      <w:r w:rsidRPr="003625BA">
        <w:rPr>
          <w:rFonts w:ascii="Arial" w:hAnsi="Arial" w:cs="Arial"/>
          <w:b/>
          <w:bCs/>
          <w:color w:val="69557F"/>
          <w:sz w:val="20"/>
          <w:szCs w:val="20"/>
          <w:lang w:val="en-US"/>
        </w:rPr>
        <w:t>Stages of PFM reform</w:t>
      </w:r>
      <w:bookmarkEnd w:id="2495"/>
      <w:bookmarkEnd w:id="2496"/>
      <w:bookmarkEnd w:id="2497"/>
      <w:bookmarkEnd w:id="2498"/>
    </w:p>
    <w:p w14:paraId="55672BFC" w14:textId="77777777" w:rsidR="00222036" w:rsidRPr="00EB2A7C" w:rsidRDefault="00222036" w:rsidP="00EB2A7C">
      <w:pPr>
        <w:spacing w:line="276" w:lineRule="auto"/>
        <w:jc w:val="both"/>
        <w:rPr>
          <w:rFonts w:ascii="Arial" w:hAnsi="Arial" w:cs="Arial"/>
          <w:sz w:val="24"/>
          <w:szCs w:val="24"/>
        </w:rPr>
      </w:pPr>
    </w:p>
    <w:p w14:paraId="325C1818" w14:textId="2728B156" w:rsidR="00CC45BA" w:rsidRDefault="00222036" w:rsidP="00CC45BA">
      <w:pPr>
        <w:rPr>
          <w:rFonts w:ascii="Arial" w:hAnsi="Arial" w:cs="Arial"/>
          <w:sz w:val="24"/>
          <w:szCs w:val="24"/>
          <w:lang w:val="en-US"/>
        </w:rPr>
      </w:pPr>
      <w:r>
        <w:rPr>
          <w:rFonts w:ascii="Arial" w:hAnsi="Arial" w:cs="Arial"/>
          <w:noProof/>
          <w:sz w:val="24"/>
          <w:szCs w:val="24"/>
          <w:lang w:val="en-US"/>
        </w:rPr>
        <w:drawing>
          <wp:inline distT="0" distB="0" distL="0" distR="0" wp14:anchorId="5F28067C" wp14:editId="26D5CC48">
            <wp:extent cx="6645910" cy="3738245"/>
            <wp:effectExtent l="0" t="0" r="0" b="0"/>
            <wp:docPr id="2549" name="Picture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 name="Picture 2549"/>
                    <pic:cNvPicPr/>
                  </pic:nvPicPr>
                  <pic:blipFill>
                    <a:blip r:embed="rId1001" cstate="email">
                      <a:extLst>
                        <a:ext uri="{28A0092B-C50C-407E-A947-70E740481C1C}">
                          <a14:useLocalDpi xmlns:a14="http://schemas.microsoft.com/office/drawing/2010/main"/>
                        </a:ext>
                      </a:extLst>
                    </a:blip>
                    <a:stretch>
                      <a:fillRect/>
                    </a:stretch>
                  </pic:blipFill>
                  <pic:spPr>
                    <a:xfrm>
                      <a:off x="0" y="0"/>
                      <a:ext cx="6645910" cy="3738245"/>
                    </a:xfrm>
                    <a:prstGeom prst="rect">
                      <a:avLst/>
                    </a:prstGeom>
                  </pic:spPr>
                </pic:pic>
              </a:graphicData>
            </a:graphic>
          </wp:inline>
        </w:drawing>
      </w:r>
    </w:p>
    <w:p w14:paraId="2EF9F1DD" w14:textId="1189F505" w:rsidR="00222036" w:rsidRPr="00AB11BF" w:rsidRDefault="00222036" w:rsidP="00AB11BF">
      <w:pPr>
        <w:pStyle w:val="Heading2"/>
        <w:numPr>
          <w:ilvl w:val="1"/>
          <w:numId w:val="156"/>
        </w:numPr>
        <w:ind w:left="709" w:hanging="709"/>
        <w:rPr>
          <w:rFonts w:ascii="Arial" w:hAnsi="Arial" w:cs="Arial"/>
          <w:b/>
          <w:bCs/>
          <w:color w:val="BFA4CE"/>
          <w:sz w:val="36"/>
          <w:szCs w:val="36"/>
          <w:lang w:val="en-US"/>
        </w:rPr>
      </w:pPr>
      <w:bookmarkStart w:id="2499" w:name="_Toc61672804"/>
      <w:bookmarkStart w:id="2500" w:name="_Toc123204560"/>
      <w:bookmarkStart w:id="2501" w:name="_Toc123216681"/>
      <w:bookmarkStart w:id="2502" w:name="_Toc123217521"/>
      <w:bookmarkStart w:id="2503" w:name="_Toc123913476"/>
      <w:bookmarkStart w:id="2504" w:name="_Toc123914133"/>
      <w:bookmarkStart w:id="2505" w:name="_Toc125566749"/>
      <w:r w:rsidRPr="00AB11BF">
        <w:rPr>
          <w:rFonts w:ascii="Arial" w:hAnsi="Arial" w:cs="Arial"/>
          <w:b/>
          <w:bCs/>
          <w:color w:val="BFA4CE"/>
          <w:sz w:val="36"/>
          <w:szCs w:val="36"/>
          <w:lang w:val="en-US"/>
        </w:rPr>
        <w:t xml:space="preserve">Transparency: A choice, not an inevitable result of PFM </w:t>
      </w:r>
      <w:bookmarkEnd w:id="2499"/>
      <w:r w:rsidRPr="00AB11BF">
        <w:rPr>
          <w:rFonts w:ascii="Arial" w:hAnsi="Arial" w:cs="Arial"/>
          <w:b/>
          <w:bCs/>
          <w:color w:val="BFA4CE"/>
          <w:sz w:val="36"/>
          <w:szCs w:val="36"/>
          <w:lang w:val="en-US"/>
        </w:rPr>
        <w:t>reforms</w:t>
      </w:r>
      <w:bookmarkEnd w:id="2500"/>
      <w:bookmarkEnd w:id="2501"/>
      <w:bookmarkEnd w:id="2502"/>
      <w:bookmarkEnd w:id="2503"/>
      <w:bookmarkEnd w:id="2504"/>
      <w:bookmarkEnd w:id="2505"/>
    </w:p>
    <w:p w14:paraId="45FEA734" w14:textId="77777777" w:rsidR="00222036" w:rsidRDefault="00222036" w:rsidP="00222036">
      <w:pPr>
        <w:spacing w:line="276" w:lineRule="auto"/>
        <w:jc w:val="both"/>
        <w:rPr>
          <w:rFonts w:ascii="Arial" w:hAnsi="Arial" w:cs="Arial"/>
          <w:sz w:val="24"/>
          <w:szCs w:val="24"/>
        </w:rPr>
      </w:pPr>
    </w:p>
    <w:p w14:paraId="45C07145" w14:textId="23210D0E" w:rsidR="00222036" w:rsidRPr="00EB2A7C" w:rsidRDefault="00222036" w:rsidP="00EB2A7C">
      <w:pPr>
        <w:spacing w:line="276" w:lineRule="auto"/>
        <w:jc w:val="both"/>
        <w:rPr>
          <w:rFonts w:ascii="Arial" w:hAnsi="Arial" w:cs="Arial"/>
          <w:sz w:val="24"/>
          <w:szCs w:val="24"/>
        </w:rPr>
      </w:pPr>
      <w:r w:rsidRPr="00EB2A7C">
        <w:rPr>
          <w:rFonts w:ascii="Arial" w:hAnsi="Arial" w:cs="Arial"/>
          <w:sz w:val="24"/>
          <w:szCs w:val="24"/>
        </w:rPr>
        <w:t xml:space="preserve">The objective of a PFM reform is to make PFM systems and processes perform better. Fiscal transparency reforms form part of this, aimed specifically at among others ensuring the more efficient, effective, accountable, and participatory use of public resources. </w:t>
      </w:r>
    </w:p>
    <w:p w14:paraId="02C63092" w14:textId="77777777" w:rsidR="00222036" w:rsidRPr="00EB2A7C" w:rsidRDefault="00222036" w:rsidP="00EB2A7C">
      <w:pPr>
        <w:spacing w:line="276" w:lineRule="auto"/>
        <w:jc w:val="both"/>
        <w:rPr>
          <w:rFonts w:ascii="Arial" w:hAnsi="Arial" w:cs="Arial"/>
          <w:sz w:val="24"/>
          <w:szCs w:val="24"/>
        </w:rPr>
      </w:pPr>
    </w:p>
    <w:p w14:paraId="084215FA" w14:textId="33A9E328" w:rsidR="00222036" w:rsidRDefault="00880908" w:rsidP="00EB2A7C">
      <w:pPr>
        <w:spacing w:line="276" w:lineRule="auto"/>
        <w:ind w:right="-24"/>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11454" behindDoc="0" locked="0" layoutInCell="1" allowOverlap="1" wp14:anchorId="177C4A0E" wp14:editId="3EA4565C">
            <wp:simplePos x="0" y="0"/>
            <wp:positionH relativeFrom="column">
              <wp:posOffset>0</wp:posOffset>
            </wp:positionH>
            <wp:positionV relativeFrom="paragraph">
              <wp:posOffset>0</wp:posOffset>
            </wp:positionV>
            <wp:extent cx="1852863" cy="533400"/>
            <wp:effectExtent l="0" t="0" r="1905" b="0"/>
            <wp:wrapSquare wrapText="bothSides"/>
            <wp:docPr id="2551" name="Picture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 name="Picture 2551"/>
                    <pic:cNvPicPr/>
                  </pic:nvPicPr>
                  <pic:blipFill rotWithShape="1">
                    <a:blip r:embed="rId1002" cstate="email">
                      <a:extLst>
                        <a:ext uri="{28A0092B-C50C-407E-A947-70E740481C1C}">
                          <a14:useLocalDpi xmlns:a14="http://schemas.microsoft.com/office/drawing/2010/main"/>
                        </a:ext>
                      </a:extLst>
                    </a:blip>
                    <a:srcRect l="5351" t="40849" r="6364" b="41161"/>
                    <a:stretch/>
                  </pic:blipFill>
                  <pic:spPr bwMode="auto">
                    <a:xfrm>
                      <a:off x="0" y="0"/>
                      <a:ext cx="1852863" cy="53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36" w:rsidRPr="00EB2A7C">
        <w:rPr>
          <w:rFonts w:ascii="Arial" w:hAnsi="Arial" w:cs="Arial"/>
          <w:sz w:val="24"/>
          <w:szCs w:val="24"/>
          <w:lang w:val="en-US"/>
        </w:rPr>
        <w:t>Ongoing PFM reforms have been found to be important in facilitating transparency improvements in some countries</w:t>
      </w:r>
      <w:r w:rsidR="00222036" w:rsidRPr="00EB2A7C">
        <w:rPr>
          <w:rFonts w:ascii="Arial" w:hAnsi="Arial" w:cs="Arial"/>
          <w:sz w:val="24"/>
          <w:szCs w:val="24"/>
          <w:vertAlign w:val="superscript"/>
          <w:lang w:val="en-US"/>
        </w:rPr>
        <w:footnoteReference w:id="83"/>
      </w:r>
      <w:r w:rsidR="00222036" w:rsidRPr="00EB2A7C">
        <w:rPr>
          <w:rFonts w:ascii="Arial" w:hAnsi="Arial" w:cs="Arial"/>
          <w:sz w:val="24"/>
          <w:szCs w:val="24"/>
          <w:lang w:val="en-US"/>
        </w:rPr>
        <w:t xml:space="preserve">. Such reforms include the development of systems that produce the information required for fiscal transparency, as discussed in previous modules. They also include, for example, the development of medium-term budgetary frameworks; the introduction of systems that produce program and performance data that link spending with results; the introduction of a budget classification system that allows for the detailed breakdown of revenues and expenditures by agency or state unit responsible for the expenditure; the adoption of information technology-based FMISs that make tracking public resources at different stages of the budget process quicker and more effective; as well as the adoption of open data principles and tools </w:t>
      </w:r>
      <w:r w:rsidR="00222036" w:rsidRPr="00EB2A7C">
        <w:rPr>
          <w:rFonts w:ascii="Arial" w:hAnsi="Arial" w:cs="Arial"/>
          <w:sz w:val="24"/>
          <w:szCs w:val="24"/>
          <w:lang w:val="en-ZA"/>
        </w:rPr>
        <w:t>to disclose information as part of a fiscal transparency policy, including dedicated online publicly available portals</w:t>
      </w:r>
      <w:r w:rsidR="00222036" w:rsidRPr="00EB2A7C">
        <w:rPr>
          <w:rFonts w:ascii="Arial" w:hAnsi="Arial" w:cs="Arial"/>
          <w:sz w:val="24"/>
          <w:szCs w:val="24"/>
          <w:lang w:val="en-US"/>
        </w:rPr>
        <w:t xml:space="preserve">. </w:t>
      </w:r>
    </w:p>
    <w:p w14:paraId="24CA6C22" w14:textId="421C62F3" w:rsidR="00880908" w:rsidRDefault="00880908" w:rsidP="00222036">
      <w:pPr>
        <w:spacing w:line="276" w:lineRule="auto"/>
        <w:jc w:val="both"/>
        <w:rPr>
          <w:rFonts w:ascii="Arial" w:hAnsi="Arial" w:cs="Arial"/>
          <w:sz w:val="24"/>
          <w:szCs w:val="24"/>
          <w:lang w:val="en-US"/>
        </w:rPr>
      </w:pPr>
    </w:p>
    <w:p w14:paraId="560CCDC8" w14:textId="443F52C3" w:rsidR="00880908" w:rsidRDefault="00880908" w:rsidP="00222036">
      <w:pPr>
        <w:spacing w:line="276" w:lineRule="auto"/>
        <w:jc w:val="both"/>
        <w:rPr>
          <w:rFonts w:ascii="Arial" w:hAnsi="Arial" w:cs="Arial"/>
          <w:sz w:val="24"/>
          <w:szCs w:val="24"/>
          <w:lang w:val="en-US"/>
        </w:rPr>
      </w:pPr>
    </w:p>
    <w:p w14:paraId="4C56EC43" w14:textId="007B1C79" w:rsidR="00880908" w:rsidRDefault="00880908" w:rsidP="00222036">
      <w:pPr>
        <w:spacing w:line="276" w:lineRule="auto"/>
        <w:jc w:val="both"/>
        <w:rPr>
          <w:rFonts w:ascii="Arial" w:hAnsi="Arial" w:cs="Arial"/>
          <w:sz w:val="24"/>
          <w:szCs w:val="24"/>
          <w:lang w:val="en-US"/>
        </w:rPr>
      </w:pPr>
    </w:p>
    <w:p w14:paraId="0DFFF29A" w14:textId="77777777" w:rsidR="00880908" w:rsidRPr="00EB2A7C" w:rsidRDefault="00880908" w:rsidP="00EB2A7C">
      <w:pPr>
        <w:spacing w:line="276" w:lineRule="auto"/>
        <w:jc w:val="both"/>
        <w:rPr>
          <w:rFonts w:ascii="Arial" w:hAnsi="Arial" w:cs="Arial"/>
          <w:sz w:val="24"/>
          <w:szCs w:val="24"/>
          <w:lang w:val="en-US"/>
        </w:rPr>
      </w:pPr>
    </w:p>
    <w:p w14:paraId="6A51CF7E" w14:textId="77777777" w:rsidR="00222036" w:rsidRPr="00EB2A7C" w:rsidRDefault="00222036" w:rsidP="00EB2A7C">
      <w:pPr>
        <w:spacing w:line="276" w:lineRule="auto"/>
        <w:jc w:val="both"/>
        <w:rPr>
          <w:rFonts w:ascii="Arial" w:hAnsi="Arial" w:cs="Arial"/>
          <w:sz w:val="24"/>
          <w:szCs w:val="24"/>
          <w:lang w:val="en-US"/>
        </w:rPr>
      </w:pPr>
    </w:p>
    <w:p w14:paraId="55A71BE6" w14:textId="03C85FF6" w:rsidR="00880908" w:rsidRDefault="00880908" w:rsidP="00222036">
      <w:pPr>
        <w:spacing w:line="276" w:lineRule="auto"/>
        <w:jc w:val="both"/>
        <w:rPr>
          <w:rFonts w:ascii="Arial" w:hAnsi="Arial" w:cs="Arial"/>
          <w:sz w:val="24"/>
          <w:szCs w:val="24"/>
        </w:rPr>
      </w:pPr>
      <w:r>
        <w:rPr>
          <w:rFonts w:ascii="Arial" w:hAnsi="Arial" w:cs="Arial"/>
          <w:noProof/>
          <w:sz w:val="24"/>
          <w:szCs w:val="24"/>
          <w:lang w:val="en-US"/>
        </w:rPr>
        <w:lastRenderedPageBreak/>
        <w:drawing>
          <wp:inline distT="0" distB="0" distL="0" distR="0" wp14:anchorId="39160B9A" wp14:editId="2972AD5A">
            <wp:extent cx="6645910" cy="787400"/>
            <wp:effectExtent l="0" t="0" r="0" b="0"/>
            <wp:docPr id="2550" name="Picture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Picture 2550"/>
                    <pic:cNvPicPr/>
                  </pic:nvPicPr>
                  <pic:blipFill rotWithShape="1">
                    <a:blip r:embed="rId1003" cstate="screen">
                      <a:extLst>
                        <a:ext uri="{28A0092B-C50C-407E-A947-70E740481C1C}">
                          <a14:useLocalDpi xmlns:a14="http://schemas.microsoft.com/office/drawing/2010/main"/>
                        </a:ext>
                      </a:extLst>
                    </a:blip>
                    <a:srcRect/>
                    <a:stretch/>
                  </pic:blipFill>
                  <pic:spPr bwMode="auto">
                    <a:xfrm>
                      <a:off x="0" y="0"/>
                      <a:ext cx="6645910" cy="787400"/>
                    </a:xfrm>
                    <a:prstGeom prst="rect">
                      <a:avLst/>
                    </a:prstGeom>
                    <a:ln>
                      <a:noFill/>
                    </a:ln>
                    <a:extLst>
                      <a:ext uri="{53640926-AAD7-44D8-BBD7-CCE9431645EC}">
                        <a14:shadowObscured xmlns:a14="http://schemas.microsoft.com/office/drawing/2010/main"/>
                      </a:ext>
                    </a:extLst>
                  </pic:spPr>
                </pic:pic>
              </a:graphicData>
            </a:graphic>
          </wp:inline>
        </w:drawing>
      </w:r>
    </w:p>
    <w:p w14:paraId="0DC58AC9" w14:textId="77777777" w:rsidR="00880908" w:rsidRDefault="00880908" w:rsidP="00222036">
      <w:pPr>
        <w:spacing w:line="276" w:lineRule="auto"/>
        <w:jc w:val="both"/>
        <w:rPr>
          <w:rFonts w:ascii="Arial" w:hAnsi="Arial" w:cs="Arial"/>
          <w:sz w:val="24"/>
          <w:szCs w:val="24"/>
        </w:rPr>
      </w:pPr>
    </w:p>
    <w:p w14:paraId="5F920408" w14:textId="3EF7ABAF" w:rsidR="00222036" w:rsidRPr="00EB2A7C" w:rsidRDefault="00222036" w:rsidP="00EB2A7C">
      <w:pPr>
        <w:spacing w:line="276" w:lineRule="auto"/>
        <w:jc w:val="both"/>
        <w:rPr>
          <w:rFonts w:ascii="Arial" w:hAnsi="Arial" w:cs="Arial"/>
          <w:sz w:val="24"/>
          <w:szCs w:val="24"/>
          <w:lang w:val="en-US"/>
        </w:rPr>
      </w:pPr>
      <w:r w:rsidRPr="00EB2A7C">
        <w:rPr>
          <w:rFonts w:ascii="Arial" w:hAnsi="Arial" w:cs="Arial"/>
          <w:sz w:val="24"/>
          <w:szCs w:val="24"/>
        </w:rPr>
        <w:t>PFM reforms can thus facilitate transparency improvements, with studies</w:t>
      </w:r>
      <w:r w:rsidRPr="00EB2A7C">
        <w:rPr>
          <w:rFonts w:ascii="Arial" w:hAnsi="Arial" w:cs="Arial"/>
          <w:sz w:val="24"/>
          <w:szCs w:val="24"/>
          <w:vertAlign w:val="superscript"/>
          <w:lang w:val="en-US"/>
        </w:rPr>
        <w:footnoteReference w:id="84"/>
      </w:r>
      <w:r w:rsidRPr="00EB2A7C">
        <w:rPr>
          <w:rFonts w:ascii="Arial" w:hAnsi="Arial" w:cs="Arial"/>
          <w:sz w:val="24"/>
          <w:szCs w:val="24"/>
          <w:lang w:val="en-US"/>
        </w:rPr>
        <w:t xml:space="preserve"> showing that l</w:t>
      </w:r>
      <w:r w:rsidRPr="00EB2A7C">
        <w:rPr>
          <w:rFonts w:ascii="Arial" w:hAnsi="Arial" w:cs="Arial"/>
          <w:sz w:val="24"/>
          <w:szCs w:val="24"/>
        </w:rPr>
        <w:t xml:space="preserve">ow-performing PFM systems seem to be linked to low Open Budget Index scores. However, it is important to recognize that </w:t>
      </w:r>
      <w:r w:rsidRPr="00EB2A7C">
        <w:rPr>
          <w:rFonts w:ascii="Arial" w:hAnsi="Arial" w:cs="Arial"/>
          <w:sz w:val="24"/>
          <w:szCs w:val="24"/>
          <w:lang w:val="en-US"/>
        </w:rPr>
        <w:t>reforms do not automatically lead to transparency improvements. Disclosure-oriented elements must be present too. In fact, in some cases, there is n</w:t>
      </w:r>
      <w:r w:rsidRPr="00EB2A7C">
        <w:rPr>
          <w:rFonts w:ascii="Arial" w:hAnsi="Arial" w:cs="Arial"/>
          <w:sz w:val="24"/>
          <w:szCs w:val="24"/>
        </w:rPr>
        <w:t>o direct relationship between PFM capacity and fiscal transparency, meaning that one does not necessarily need to have high PFM capacity to be fiscally transparent and that fiscal</w:t>
      </w:r>
      <w:r w:rsidRPr="00EB2A7C">
        <w:rPr>
          <w:rFonts w:ascii="Arial" w:hAnsi="Arial" w:cs="Arial"/>
          <w:sz w:val="24"/>
          <w:szCs w:val="24"/>
          <w:lang w:val="en-US"/>
        </w:rPr>
        <w:t xml:space="preserve"> transparency can often be achieved without requiring specific PFM reforms. For instance, there are a number of cases where governments have systems in place and sufficient capacity to produce budget information, but the information is not published. This means that some governments </w:t>
      </w:r>
      <w:r w:rsidRPr="00EB2A7C">
        <w:rPr>
          <w:rFonts w:ascii="Arial" w:hAnsi="Arial" w:cs="Arial"/>
          <w:sz w:val="24"/>
          <w:szCs w:val="24"/>
        </w:rPr>
        <w:t>are perfectly able to produce the information on time, and, in fact, do so in most cases, but may decide not to publish the information for other reasons.</w:t>
      </w:r>
      <w:r w:rsidRPr="00EB2A7C">
        <w:rPr>
          <w:rFonts w:ascii="Arial" w:hAnsi="Arial" w:cs="Arial"/>
          <w:sz w:val="24"/>
          <w:szCs w:val="24"/>
          <w:lang w:val="en-US"/>
        </w:rPr>
        <w:t xml:space="preserve"> On the other hand, there are many governments with what is perceived to be low PFM capacity that have made great strides in improving their levels of fiscal transparency. In fact, good examples of fiscal transparency advancements can be found from countries with different capacities at all levels of development. </w:t>
      </w:r>
    </w:p>
    <w:p w14:paraId="7FB18DB4" w14:textId="77777777" w:rsidR="00222036" w:rsidRPr="00EB2A7C" w:rsidRDefault="00222036" w:rsidP="00EB2A7C">
      <w:pPr>
        <w:spacing w:line="276" w:lineRule="auto"/>
        <w:jc w:val="both"/>
        <w:rPr>
          <w:rFonts w:ascii="Arial" w:hAnsi="Arial" w:cs="Arial"/>
          <w:sz w:val="24"/>
          <w:szCs w:val="24"/>
          <w:lang w:val="en-US"/>
        </w:rPr>
      </w:pPr>
    </w:p>
    <w:p w14:paraId="59963AAF" w14:textId="69800B6A" w:rsidR="00222036" w:rsidRPr="00EB2A7C" w:rsidRDefault="00222036" w:rsidP="00EB2A7C">
      <w:pPr>
        <w:spacing w:line="276" w:lineRule="auto"/>
        <w:jc w:val="both"/>
        <w:rPr>
          <w:rFonts w:ascii="Arial" w:hAnsi="Arial" w:cs="Arial"/>
          <w:sz w:val="24"/>
          <w:szCs w:val="24"/>
          <w:lang w:val="en-US"/>
        </w:rPr>
      </w:pPr>
      <w:r w:rsidRPr="00EB2A7C">
        <w:rPr>
          <w:rFonts w:ascii="Arial" w:hAnsi="Arial" w:cs="Arial"/>
          <w:sz w:val="24"/>
          <w:szCs w:val="24"/>
          <w:lang w:val="en-ZA"/>
        </w:rPr>
        <w:t>In order to understand why this happens, the underlying factors and dynamics that contribute to whether a technical action or reform is actually initiated, together with the success of its subsequent development, implementation, and durability need to be examined.</w:t>
      </w:r>
      <w:r w:rsidRPr="00EB2A7C">
        <w:rPr>
          <w:rFonts w:ascii="Arial" w:eastAsiaTheme="minorEastAsia" w:hAnsi="Arial" w:cs="Arial"/>
          <w:sz w:val="24"/>
          <w:szCs w:val="24"/>
          <w:lang w:val="en-US" w:eastAsia="zh-CN"/>
        </w:rPr>
        <w:t xml:space="preserve"> </w:t>
      </w:r>
      <w:r w:rsidRPr="00EB2A7C">
        <w:rPr>
          <w:rFonts w:ascii="Arial" w:hAnsi="Arial" w:cs="Arial"/>
          <w:sz w:val="24"/>
          <w:szCs w:val="24"/>
          <w:lang w:val="en-US"/>
        </w:rPr>
        <w:t>For countries that aren’t producing and/or publishing the information required, it is important to identify what is preventing the country from producing this information, including whether this is due to technical issues and/or wider non-technical issues. Technical solutions are unlikely to be sufficient to improve fiscal transparency, if they do not take other non-technical considerations into account. It is necessary to understand the non-technical factors that may have contributed to the lack of fiscal transparency. It should however be noted that while sometimes the reasons for the lack of, or the unsustainability, in fiscal transparency are clear, in other cases, they are more nuanced, and often intertwined.</w:t>
      </w:r>
    </w:p>
    <w:p w14:paraId="51F19767" w14:textId="065AC5C6" w:rsidR="00CC45BA" w:rsidRDefault="00CC45BA" w:rsidP="00222036">
      <w:pPr>
        <w:tabs>
          <w:tab w:val="left" w:pos="4480"/>
        </w:tabs>
        <w:spacing w:line="276" w:lineRule="auto"/>
        <w:rPr>
          <w:rFonts w:ascii="Arial" w:hAnsi="Arial" w:cs="Arial"/>
          <w:sz w:val="24"/>
          <w:szCs w:val="24"/>
          <w:lang w:val="en-US"/>
        </w:rPr>
      </w:pPr>
    </w:p>
    <w:p w14:paraId="179C8EA2" w14:textId="0DC1CC8C" w:rsidR="002E4185" w:rsidRPr="00AB11BF" w:rsidRDefault="002E4185" w:rsidP="00AB11BF">
      <w:pPr>
        <w:pStyle w:val="Heading2"/>
        <w:numPr>
          <w:ilvl w:val="1"/>
          <w:numId w:val="156"/>
        </w:numPr>
        <w:ind w:left="709" w:hanging="709"/>
        <w:rPr>
          <w:rFonts w:ascii="Arial" w:hAnsi="Arial" w:cs="Arial"/>
          <w:b/>
          <w:bCs/>
          <w:color w:val="BFA4CE"/>
          <w:sz w:val="36"/>
          <w:szCs w:val="36"/>
          <w:lang w:val="en-US"/>
        </w:rPr>
      </w:pPr>
      <w:bookmarkStart w:id="2506" w:name="_Toc61672805"/>
      <w:bookmarkStart w:id="2507" w:name="_Toc123204561"/>
      <w:bookmarkStart w:id="2508" w:name="_Toc123216682"/>
      <w:bookmarkStart w:id="2509" w:name="_Toc123217522"/>
      <w:bookmarkStart w:id="2510" w:name="_Toc123913477"/>
      <w:bookmarkStart w:id="2511" w:name="_Toc123914134"/>
      <w:bookmarkStart w:id="2512" w:name="_Toc125566750"/>
      <w:r w:rsidRPr="00AB11BF">
        <w:rPr>
          <w:rFonts w:ascii="Arial" w:hAnsi="Arial" w:cs="Arial"/>
          <w:b/>
          <w:bCs/>
          <w:color w:val="BFA4CE"/>
          <w:sz w:val="36"/>
          <w:szCs w:val="36"/>
          <w:lang w:val="en-US"/>
        </w:rPr>
        <w:t>Factors leading to the lack of or volatility in fiscal transparency</w:t>
      </w:r>
      <w:bookmarkEnd w:id="2506"/>
      <w:bookmarkEnd w:id="2507"/>
      <w:bookmarkEnd w:id="2508"/>
      <w:bookmarkEnd w:id="2509"/>
      <w:bookmarkEnd w:id="2510"/>
      <w:bookmarkEnd w:id="2511"/>
      <w:bookmarkEnd w:id="2512"/>
      <w:r w:rsidRPr="00AB11BF">
        <w:rPr>
          <w:rFonts w:ascii="Arial" w:hAnsi="Arial" w:cs="Arial"/>
          <w:b/>
          <w:bCs/>
          <w:color w:val="BFA4CE"/>
          <w:sz w:val="36"/>
          <w:szCs w:val="36"/>
          <w:lang w:val="en-US"/>
        </w:rPr>
        <w:t xml:space="preserve">  </w:t>
      </w:r>
    </w:p>
    <w:p w14:paraId="70A5D579" w14:textId="08F265D4" w:rsidR="00AA504B" w:rsidRPr="00EB2A7C" w:rsidRDefault="00AA504B" w:rsidP="00EB2A7C">
      <w:pPr>
        <w:spacing w:line="276" w:lineRule="auto"/>
        <w:jc w:val="both"/>
        <w:rPr>
          <w:rFonts w:ascii="Arial" w:hAnsi="Arial" w:cs="Arial"/>
          <w:sz w:val="24"/>
          <w:szCs w:val="24"/>
          <w:lang w:val="en-US"/>
        </w:rPr>
      </w:pPr>
    </w:p>
    <w:p w14:paraId="6C18A7C7" w14:textId="7F8D9354" w:rsidR="002E4185" w:rsidRDefault="002E4185" w:rsidP="00AA504B">
      <w:pPr>
        <w:spacing w:line="276" w:lineRule="auto"/>
        <w:jc w:val="both"/>
        <w:rPr>
          <w:rFonts w:ascii="Arial" w:hAnsi="Arial" w:cs="Arial"/>
          <w:sz w:val="24"/>
          <w:szCs w:val="24"/>
          <w:lang w:val="en-US"/>
        </w:rPr>
      </w:pPr>
      <w:r w:rsidRPr="00EB2A7C">
        <w:rPr>
          <w:rFonts w:ascii="Arial" w:hAnsi="Arial" w:cs="Arial"/>
          <w:sz w:val="24"/>
          <w:szCs w:val="24"/>
          <w:lang w:val="en-US"/>
        </w:rPr>
        <w:t>Five common factors that contribute to the lack of fiscal transparency, or regression away from fiscal transparency, are listed below. These factors represent</w:t>
      </w:r>
      <w:r w:rsidRPr="00EB2A7C">
        <w:rPr>
          <w:rFonts w:ascii="Arial" w:eastAsiaTheme="minorEastAsia" w:hAnsi="Arial" w:cs="Arial"/>
          <w:sz w:val="24"/>
          <w:szCs w:val="24"/>
          <w:lang w:val="en-US" w:eastAsia="zh-CN"/>
        </w:rPr>
        <w:t xml:space="preserve"> </w:t>
      </w:r>
      <w:r w:rsidRPr="00EB2A7C">
        <w:rPr>
          <w:rFonts w:ascii="Arial" w:hAnsi="Arial" w:cs="Arial"/>
          <w:sz w:val="24"/>
          <w:szCs w:val="24"/>
          <w:lang w:val="en-US"/>
        </w:rPr>
        <w:t>challenges that often have to be overcome in producing durable, long lasting, transparency improvements.</w:t>
      </w:r>
    </w:p>
    <w:p w14:paraId="755A056F" w14:textId="16772B39" w:rsidR="00E30F8C" w:rsidRDefault="00E30F8C" w:rsidP="00AA504B">
      <w:pPr>
        <w:spacing w:line="276" w:lineRule="auto"/>
        <w:jc w:val="both"/>
        <w:rPr>
          <w:rFonts w:ascii="Arial" w:hAnsi="Arial" w:cs="Arial"/>
          <w:sz w:val="24"/>
          <w:szCs w:val="24"/>
          <w:lang w:val="en-US"/>
        </w:rPr>
      </w:pPr>
    </w:p>
    <w:p w14:paraId="74C1E2A6" w14:textId="4A147055" w:rsidR="00E30F8C" w:rsidRDefault="00E30F8C" w:rsidP="00AA504B">
      <w:pPr>
        <w:spacing w:line="276" w:lineRule="auto"/>
        <w:jc w:val="both"/>
        <w:rPr>
          <w:rFonts w:ascii="Arial" w:hAnsi="Arial" w:cs="Arial"/>
          <w:sz w:val="24"/>
          <w:szCs w:val="24"/>
          <w:lang w:val="en-US"/>
        </w:rPr>
      </w:pPr>
    </w:p>
    <w:p w14:paraId="0D2639E9" w14:textId="0E8848A2" w:rsidR="00E30F8C" w:rsidRDefault="00E30F8C" w:rsidP="00AA504B">
      <w:pPr>
        <w:spacing w:line="276" w:lineRule="auto"/>
        <w:jc w:val="both"/>
        <w:rPr>
          <w:rFonts w:ascii="Arial" w:hAnsi="Arial" w:cs="Arial"/>
          <w:sz w:val="24"/>
          <w:szCs w:val="24"/>
          <w:lang w:val="en-US"/>
        </w:rPr>
      </w:pPr>
    </w:p>
    <w:p w14:paraId="1D57300B" w14:textId="6A4EECF5" w:rsidR="00E30F8C" w:rsidRDefault="00E30F8C" w:rsidP="00AA504B">
      <w:pPr>
        <w:spacing w:line="276" w:lineRule="auto"/>
        <w:jc w:val="both"/>
        <w:rPr>
          <w:rFonts w:ascii="Arial" w:hAnsi="Arial" w:cs="Arial"/>
          <w:sz w:val="24"/>
          <w:szCs w:val="24"/>
          <w:lang w:val="en-US"/>
        </w:rPr>
      </w:pPr>
    </w:p>
    <w:p w14:paraId="70E55263" w14:textId="15FE1F70" w:rsidR="00E30F8C" w:rsidRDefault="00E30F8C" w:rsidP="00AA504B">
      <w:pPr>
        <w:spacing w:line="276" w:lineRule="auto"/>
        <w:jc w:val="both"/>
        <w:rPr>
          <w:rFonts w:ascii="Arial" w:hAnsi="Arial" w:cs="Arial"/>
          <w:sz w:val="24"/>
          <w:szCs w:val="24"/>
          <w:lang w:val="en-US"/>
        </w:rPr>
      </w:pPr>
    </w:p>
    <w:p w14:paraId="13BC0C83" w14:textId="77777777" w:rsidR="00691BB1" w:rsidRDefault="00691BB1" w:rsidP="00AA504B">
      <w:pPr>
        <w:spacing w:line="276" w:lineRule="auto"/>
        <w:jc w:val="both"/>
        <w:rPr>
          <w:rFonts w:ascii="Arial" w:hAnsi="Arial" w:cs="Arial"/>
          <w:sz w:val="24"/>
          <w:szCs w:val="24"/>
          <w:lang w:val="en-US"/>
        </w:rPr>
      </w:pPr>
    </w:p>
    <w:p w14:paraId="1B8B5A06" w14:textId="35E455CB" w:rsidR="00E30F8C" w:rsidRDefault="00E30F8C" w:rsidP="00AA504B">
      <w:pPr>
        <w:spacing w:line="276" w:lineRule="auto"/>
        <w:jc w:val="both"/>
        <w:rPr>
          <w:rFonts w:ascii="Arial" w:hAnsi="Arial" w:cs="Arial"/>
          <w:sz w:val="24"/>
          <w:szCs w:val="24"/>
          <w:lang w:val="en-US"/>
        </w:rPr>
      </w:pPr>
      <w:r w:rsidRPr="00EB2A7C">
        <w:rPr>
          <w:rFonts w:ascii="Arial" w:hAnsi="Arial" w:cs="Arial"/>
          <w:noProof/>
          <w:color w:val="DBC5EA"/>
          <w:sz w:val="24"/>
          <w:szCs w:val="24"/>
          <w:lang w:val="en-US"/>
        </w:rPr>
        <w:lastRenderedPageBreak/>
        <mc:AlternateContent>
          <mc:Choice Requires="wps">
            <w:drawing>
              <wp:anchor distT="0" distB="0" distL="114300" distR="114300" simplePos="0" relativeHeight="254612478" behindDoc="0" locked="0" layoutInCell="1" allowOverlap="1" wp14:anchorId="5315CE56" wp14:editId="13DB3FAF">
                <wp:simplePos x="0" y="0"/>
                <wp:positionH relativeFrom="column">
                  <wp:posOffset>787400</wp:posOffset>
                </wp:positionH>
                <wp:positionV relativeFrom="paragraph">
                  <wp:posOffset>194945</wp:posOffset>
                </wp:positionV>
                <wp:extent cx="5861685" cy="1765300"/>
                <wp:effectExtent l="0" t="0" r="5715" b="0"/>
                <wp:wrapNone/>
                <wp:docPr id="2552" name="Rounded Rectangle 2552"/>
                <wp:cNvGraphicFramePr/>
                <a:graphic xmlns:a="http://schemas.openxmlformats.org/drawingml/2006/main">
                  <a:graphicData uri="http://schemas.microsoft.com/office/word/2010/wordprocessingShape">
                    <wps:wsp>
                      <wps:cNvSpPr/>
                      <wps:spPr>
                        <a:xfrm>
                          <a:off x="0" y="0"/>
                          <a:ext cx="5861685" cy="1765300"/>
                        </a:xfrm>
                        <a:prstGeom prst="roundRect">
                          <a:avLst>
                            <a:gd name="adj" fmla="val 6173"/>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98B2819" id="Rounded Rectangle 2552" o:spid="_x0000_s1026" style="position:absolute;margin-left:62pt;margin-top:15.35pt;width:461.55pt;height:139pt;z-index:254612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" fillcolor="#e1cbef" stroked="f" strokeweight="1pt">
                <v:stroke joinstyle="miter"/>
              </v:roundrect>
            </w:pict>
          </mc:Fallback>
        </mc:AlternateContent>
      </w:r>
    </w:p>
    <w:p w14:paraId="3B9221A1" w14:textId="377C0501" w:rsidR="00E30F8C" w:rsidRDefault="00F3734B" w:rsidP="00AA504B">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4614526" behindDoc="0" locked="0" layoutInCell="1" allowOverlap="1" wp14:anchorId="72E13CAB" wp14:editId="6F5AE2D7">
                <wp:simplePos x="0" y="0"/>
                <wp:positionH relativeFrom="column">
                  <wp:posOffset>935665</wp:posOffset>
                </wp:positionH>
                <wp:positionV relativeFrom="paragraph">
                  <wp:posOffset>138666</wp:posOffset>
                </wp:positionV>
                <wp:extent cx="5546725" cy="1520456"/>
                <wp:effectExtent l="0" t="0" r="0" b="3810"/>
                <wp:wrapNone/>
                <wp:docPr id="2554" name="Text Box 2554"/>
                <wp:cNvGraphicFramePr/>
                <a:graphic xmlns:a="http://schemas.openxmlformats.org/drawingml/2006/main">
                  <a:graphicData uri="http://schemas.microsoft.com/office/word/2010/wordprocessingShape">
                    <wps:wsp>
                      <wps:cNvSpPr txBox="1"/>
                      <wps:spPr>
                        <a:xfrm>
                          <a:off x="0" y="0"/>
                          <a:ext cx="5546725" cy="1520456"/>
                        </a:xfrm>
                        <a:prstGeom prst="rect">
                          <a:avLst/>
                        </a:prstGeom>
                        <a:noFill/>
                        <a:ln w="6350">
                          <a:noFill/>
                        </a:ln>
                      </wps:spPr>
                      <wps:txbx>
                        <w:txbxContent>
                          <w:p w14:paraId="00A83B3D"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i/>
                                <w:sz w:val="24"/>
                                <w:szCs w:val="24"/>
                                <w:lang w:val="en-US"/>
                              </w:rPr>
                              <w:t xml:space="preserve">A </w:t>
                            </w:r>
                            <w:r w:rsidRPr="002F1D63">
                              <w:rPr>
                                <w:rFonts w:ascii="Arial" w:hAnsi="Arial" w:cs="Arial"/>
                                <w:b/>
                                <w:bCs/>
                                <w:i/>
                                <w:sz w:val="24"/>
                                <w:szCs w:val="24"/>
                                <w:lang w:val="en-US"/>
                              </w:rPr>
                              <w:t>general failure</w:t>
                            </w:r>
                            <w:r w:rsidRPr="002F1D63">
                              <w:rPr>
                                <w:rFonts w:ascii="Arial" w:hAnsi="Arial" w:cs="Arial"/>
                                <w:i/>
                                <w:sz w:val="24"/>
                                <w:szCs w:val="24"/>
                                <w:lang w:val="en-US"/>
                              </w:rPr>
                              <w:t xml:space="preserve"> to recognize the importance and benefits of fiscal transparency</w:t>
                            </w:r>
                            <w:r w:rsidRPr="002F1D63">
                              <w:rPr>
                                <w:rFonts w:ascii="Arial" w:hAnsi="Arial" w:cs="Arial"/>
                                <w:sz w:val="24"/>
                                <w:szCs w:val="24"/>
                                <w:lang w:val="en-US"/>
                              </w:rPr>
                              <w:t>. This occurs when the government and/or the other actors in the fiscal ecosystem fail to see that fiscal transparency can have significant positive impact in the use of public resources. This could be due to a variety of reasons, including that they may not have been aware or exposed to the benefits of fiscal transparency, or that those who benefit from the lack of transparency effectively avoid the issue being addressed.</w:t>
                            </w:r>
                          </w:p>
                          <w:p w14:paraId="71311E7D" w14:textId="77777777" w:rsidR="00D15FD8" w:rsidRDefault="00D15F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13CAB" id="Text Box 2554" o:spid="_x0000_s1693" type="#_x0000_t202" style="position:absolute;left:0;text-align:left;margin-left:73.65pt;margin-top:10.9pt;width:436.75pt;height:119.7pt;z-index:254614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" filled="f" stroked="f" strokeweight=".5pt">
                <v:textbox>
                  <w:txbxContent>
                    <w:p w14:paraId="00A83B3D"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i/>
                          <w:sz w:val="24"/>
                          <w:szCs w:val="24"/>
                          <w:lang w:val="en-US"/>
                        </w:rPr>
                        <w:t xml:space="preserve">A </w:t>
                      </w:r>
                      <w:r w:rsidRPr="002F1D63">
                        <w:rPr>
                          <w:rFonts w:ascii="Arial" w:hAnsi="Arial" w:cs="Arial"/>
                          <w:b/>
                          <w:bCs/>
                          <w:i/>
                          <w:sz w:val="24"/>
                          <w:szCs w:val="24"/>
                          <w:lang w:val="en-US"/>
                        </w:rPr>
                        <w:t>general failure</w:t>
                      </w:r>
                      <w:r w:rsidRPr="002F1D63">
                        <w:rPr>
                          <w:rFonts w:ascii="Arial" w:hAnsi="Arial" w:cs="Arial"/>
                          <w:i/>
                          <w:sz w:val="24"/>
                          <w:szCs w:val="24"/>
                          <w:lang w:val="en-US"/>
                        </w:rPr>
                        <w:t xml:space="preserve"> to recognize the importance and benefits of fiscal transparency</w:t>
                      </w:r>
                      <w:r w:rsidRPr="002F1D63">
                        <w:rPr>
                          <w:rFonts w:ascii="Arial" w:hAnsi="Arial" w:cs="Arial"/>
                          <w:sz w:val="24"/>
                          <w:szCs w:val="24"/>
                          <w:lang w:val="en-US"/>
                        </w:rPr>
                        <w:t>. This occurs when the government and/or the other actors in the fiscal ecosystem fail to see that fiscal transparency can have significant positive impact in the use of public resources. This could be due to a variety of reasons, including that they may not have been aware or exposed to the benefits of fiscal transparency, or that those who benefit from the lack of transparency effectively avoid the issue being addressed.</w:t>
                      </w:r>
                    </w:p>
                    <w:p w14:paraId="71311E7D" w14:textId="77777777" w:rsidR="00D15FD8" w:rsidRDefault="00D15FD8"/>
                  </w:txbxContent>
                </v:textbox>
              </v:shape>
            </w:pict>
          </mc:Fallback>
        </mc:AlternateContent>
      </w:r>
      <w:r w:rsidR="00EB250E" w:rsidRPr="00EB2A7C">
        <w:rPr>
          <w:rFonts w:ascii="Arial" w:hAnsi="Arial" w:cs="Arial"/>
          <w:noProof/>
          <w:color w:val="69557F"/>
          <w:sz w:val="24"/>
          <w:szCs w:val="24"/>
          <w:lang w:val="en-US"/>
        </w:rPr>
        <mc:AlternateContent>
          <mc:Choice Requires="wps">
            <w:drawing>
              <wp:anchor distT="0" distB="0" distL="114300" distR="114300" simplePos="0" relativeHeight="251643879" behindDoc="0" locked="0" layoutInCell="1" allowOverlap="1" wp14:anchorId="487716AE" wp14:editId="5A292924">
                <wp:simplePos x="0" y="0"/>
                <wp:positionH relativeFrom="column">
                  <wp:posOffset>901700</wp:posOffset>
                </wp:positionH>
                <wp:positionV relativeFrom="paragraph">
                  <wp:posOffset>120650</wp:posOffset>
                </wp:positionV>
                <wp:extent cx="5861685" cy="1765300"/>
                <wp:effectExtent l="12700" t="12700" r="18415" b="12700"/>
                <wp:wrapNone/>
                <wp:docPr id="2555" name="Rounded Rectangle 2555"/>
                <wp:cNvGraphicFramePr/>
                <a:graphic xmlns:a="http://schemas.openxmlformats.org/drawingml/2006/main">
                  <a:graphicData uri="http://schemas.microsoft.com/office/word/2010/wordprocessingShape">
                    <wps:wsp>
                      <wps:cNvSpPr/>
                      <wps:spPr>
                        <a:xfrm>
                          <a:off x="0" y="0"/>
                          <a:ext cx="5861685" cy="1765300"/>
                        </a:xfrm>
                        <a:prstGeom prst="roundRect">
                          <a:avLst>
                            <a:gd name="adj" fmla="val 6173"/>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2F5C37D3" id="Rounded Rectangle 2555" o:spid="_x0000_s1026" style="position:absolute;margin-left:71pt;margin-top:9.5pt;width:461.55pt;height:139pt;z-index:251643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" filled="f" strokecolor="#82c9a0" strokeweight="2.25pt">
                <v:stroke joinstyle="miter"/>
              </v:roundrect>
            </w:pict>
          </mc:Fallback>
        </mc:AlternateContent>
      </w:r>
    </w:p>
    <w:p w14:paraId="386D2957" w14:textId="31B4580D" w:rsidR="00E30F8C" w:rsidRDefault="00E30F8C" w:rsidP="00AA504B">
      <w:pPr>
        <w:spacing w:line="276" w:lineRule="auto"/>
        <w:jc w:val="both"/>
        <w:rPr>
          <w:rFonts w:ascii="Arial" w:hAnsi="Arial" w:cs="Arial"/>
          <w:sz w:val="24"/>
          <w:szCs w:val="24"/>
          <w:lang w:val="en-US"/>
        </w:rPr>
      </w:pPr>
    </w:p>
    <w:p w14:paraId="4D74055E" w14:textId="5730A6F5" w:rsidR="00E30F8C" w:rsidRDefault="00E30F8C" w:rsidP="00AA504B">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13502" behindDoc="0" locked="0" layoutInCell="1" allowOverlap="1" wp14:anchorId="4A257CFE" wp14:editId="27802492">
            <wp:simplePos x="0" y="0"/>
            <wp:positionH relativeFrom="column">
              <wp:posOffset>-38100</wp:posOffset>
            </wp:positionH>
            <wp:positionV relativeFrom="paragraph">
              <wp:posOffset>144145</wp:posOffset>
            </wp:positionV>
            <wp:extent cx="706755" cy="698500"/>
            <wp:effectExtent l="0" t="0" r="4445" b="0"/>
            <wp:wrapSquare wrapText="bothSides"/>
            <wp:docPr id="2553" name="Picture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Picture 2553"/>
                    <pic:cNvPicPr/>
                  </pic:nvPicPr>
                  <pic:blipFill rotWithShape="1">
                    <a:blip r:embed="rId1004" cstate="screen">
                      <a:extLst>
                        <a:ext uri="{28A0092B-C50C-407E-A947-70E740481C1C}">
                          <a14:useLocalDpi xmlns:a14="http://schemas.microsoft.com/office/drawing/2010/main"/>
                        </a:ext>
                      </a:extLst>
                    </a:blip>
                    <a:srcRect/>
                    <a:stretch/>
                  </pic:blipFill>
                  <pic:spPr bwMode="auto">
                    <a:xfrm>
                      <a:off x="0" y="0"/>
                      <a:ext cx="706755" cy="69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5E660" w14:textId="3E4C9D3A" w:rsidR="00E30F8C" w:rsidRDefault="00E30F8C" w:rsidP="00AA504B">
      <w:pPr>
        <w:spacing w:line="276" w:lineRule="auto"/>
        <w:jc w:val="both"/>
        <w:rPr>
          <w:rFonts w:ascii="Arial" w:hAnsi="Arial" w:cs="Arial"/>
          <w:sz w:val="24"/>
          <w:szCs w:val="24"/>
          <w:lang w:val="en-US"/>
        </w:rPr>
      </w:pPr>
    </w:p>
    <w:p w14:paraId="395CC98A" w14:textId="7D55BA84" w:rsidR="00E30F8C" w:rsidRDefault="00E30F8C" w:rsidP="00AA504B">
      <w:pPr>
        <w:spacing w:line="276" w:lineRule="auto"/>
        <w:jc w:val="both"/>
        <w:rPr>
          <w:rFonts w:ascii="Arial" w:hAnsi="Arial" w:cs="Arial"/>
          <w:sz w:val="24"/>
          <w:szCs w:val="24"/>
          <w:lang w:val="en-US"/>
        </w:rPr>
      </w:pPr>
    </w:p>
    <w:p w14:paraId="139BE66E" w14:textId="29CF3D02" w:rsidR="00E30F8C" w:rsidRDefault="00E30F8C" w:rsidP="00AA504B">
      <w:pPr>
        <w:spacing w:line="276" w:lineRule="auto"/>
        <w:jc w:val="both"/>
        <w:rPr>
          <w:rFonts w:ascii="Arial" w:hAnsi="Arial" w:cs="Arial"/>
          <w:sz w:val="24"/>
          <w:szCs w:val="24"/>
          <w:lang w:val="en-US"/>
        </w:rPr>
      </w:pPr>
    </w:p>
    <w:p w14:paraId="64C44261" w14:textId="583373EE" w:rsidR="00E30F8C" w:rsidRDefault="00E30F8C" w:rsidP="00AA504B">
      <w:pPr>
        <w:spacing w:line="276" w:lineRule="auto"/>
        <w:jc w:val="both"/>
        <w:rPr>
          <w:rFonts w:ascii="Arial" w:hAnsi="Arial" w:cs="Arial"/>
          <w:sz w:val="24"/>
          <w:szCs w:val="24"/>
          <w:lang w:val="en-US"/>
        </w:rPr>
      </w:pPr>
    </w:p>
    <w:p w14:paraId="48F3527E" w14:textId="497775C0" w:rsidR="00E30F8C" w:rsidRDefault="00E30F8C" w:rsidP="00AA504B">
      <w:pPr>
        <w:spacing w:line="276" w:lineRule="auto"/>
        <w:jc w:val="both"/>
        <w:rPr>
          <w:rFonts w:ascii="Arial" w:hAnsi="Arial" w:cs="Arial"/>
          <w:sz w:val="24"/>
          <w:szCs w:val="24"/>
          <w:lang w:val="en-US"/>
        </w:rPr>
      </w:pPr>
    </w:p>
    <w:p w14:paraId="589E59A8" w14:textId="61FD2B40" w:rsidR="00E30F8C" w:rsidRDefault="00E30F8C" w:rsidP="00AA504B">
      <w:pPr>
        <w:spacing w:line="276" w:lineRule="auto"/>
        <w:jc w:val="both"/>
        <w:rPr>
          <w:rFonts w:ascii="Arial" w:hAnsi="Arial" w:cs="Arial"/>
          <w:sz w:val="24"/>
          <w:szCs w:val="24"/>
          <w:lang w:val="en-US"/>
        </w:rPr>
      </w:pPr>
    </w:p>
    <w:p w14:paraId="48712FB5" w14:textId="4BF203B0" w:rsidR="00E30F8C" w:rsidRDefault="00EB250E" w:rsidP="00AA504B">
      <w:pPr>
        <w:spacing w:line="276" w:lineRule="auto"/>
        <w:jc w:val="both"/>
        <w:rPr>
          <w:rFonts w:ascii="Arial" w:hAnsi="Arial" w:cs="Arial"/>
          <w:sz w:val="24"/>
          <w:szCs w:val="24"/>
          <w:lang w:val="en-US"/>
        </w:rPr>
      </w:pPr>
      <w:r w:rsidRPr="00EB2A7C">
        <w:rPr>
          <w:rFonts w:ascii="Arial" w:hAnsi="Arial" w:cs="Arial"/>
          <w:noProof/>
          <w:color w:val="69557F"/>
          <w:sz w:val="24"/>
          <w:szCs w:val="24"/>
          <w:lang w:val="en-US"/>
        </w:rPr>
        <mc:AlternateContent>
          <mc:Choice Requires="wps">
            <w:drawing>
              <wp:anchor distT="0" distB="0" distL="114300" distR="114300" simplePos="0" relativeHeight="254616574" behindDoc="0" locked="0" layoutInCell="1" allowOverlap="1" wp14:anchorId="5B8ABF42" wp14:editId="5160B686">
                <wp:simplePos x="0" y="0"/>
                <wp:positionH relativeFrom="column">
                  <wp:posOffset>914400</wp:posOffset>
                </wp:positionH>
                <wp:positionV relativeFrom="paragraph">
                  <wp:posOffset>338455</wp:posOffset>
                </wp:positionV>
                <wp:extent cx="5861685" cy="1346200"/>
                <wp:effectExtent l="12700" t="12700" r="18415" b="12700"/>
                <wp:wrapNone/>
                <wp:docPr id="2556" name="Rounded Rectangle 2556"/>
                <wp:cNvGraphicFramePr/>
                <a:graphic xmlns:a="http://schemas.openxmlformats.org/drawingml/2006/main">
                  <a:graphicData uri="http://schemas.microsoft.com/office/word/2010/wordprocessingShape">
                    <wps:wsp>
                      <wps:cNvSpPr/>
                      <wps:spPr>
                        <a:xfrm>
                          <a:off x="0" y="0"/>
                          <a:ext cx="5861685" cy="1346200"/>
                        </a:xfrm>
                        <a:prstGeom prst="roundRect">
                          <a:avLst>
                            <a:gd name="adj" fmla="val 6173"/>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139F771" id="Rounded Rectangle 2556" o:spid="_x0000_s1026" style="position:absolute;margin-left:1in;margin-top:26.65pt;width:461.55pt;height:106pt;z-index:254616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" filled="f" strokecolor="#82c9a0" strokeweight="2.25pt">
                <v:stroke joinstyle="miter"/>
              </v:roundrect>
            </w:pict>
          </mc:Fallback>
        </mc:AlternateContent>
      </w:r>
      <w:r w:rsidRPr="00EB2A7C">
        <w:rPr>
          <w:rFonts w:ascii="Arial" w:hAnsi="Arial" w:cs="Arial"/>
          <w:noProof/>
          <w:color w:val="DBC5EA"/>
          <w:sz w:val="24"/>
          <w:szCs w:val="24"/>
          <w:lang w:val="en-US"/>
        </w:rPr>
        <mc:AlternateContent>
          <mc:Choice Requires="wps">
            <w:drawing>
              <wp:anchor distT="0" distB="0" distL="114300" distR="114300" simplePos="0" relativeHeight="254617598" behindDoc="0" locked="0" layoutInCell="1" allowOverlap="1" wp14:anchorId="2549E2C0" wp14:editId="06472433">
                <wp:simplePos x="0" y="0"/>
                <wp:positionH relativeFrom="column">
                  <wp:posOffset>800100</wp:posOffset>
                </wp:positionH>
                <wp:positionV relativeFrom="paragraph">
                  <wp:posOffset>198755</wp:posOffset>
                </wp:positionV>
                <wp:extent cx="5861685" cy="1346200"/>
                <wp:effectExtent l="0" t="0" r="5715" b="0"/>
                <wp:wrapNone/>
                <wp:docPr id="2557" name="Rounded Rectangle 2557"/>
                <wp:cNvGraphicFramePr/>
                <a:graphic xmlns:a="http://schemas.openxmlformats.org/drawingml/2006/main">
                  <a:graphicData uri="http://schemas.microsoft.com/office/word/2010/wordprocessingShape">
                    <wps:wsp>
                      <wps:cNvSpPr/>
                      <wps:spPr>
                        <a:xfrm>
                          <a:off x="0" y="0"/>
                          <a:ext cx="5861685" cy="1346200"/>
                        </a:xfrm>
                        <a:prstGeom prst="roundRect">
                          <a:avLst>
                            <a:gd name="adj" fmla="val 6173"/>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A9EB4CA" id="Rounded Rectangle 2557" o:spid="_x0000_s1026" style="position:absolute;margin-left:63pt;margin-top:15.65pt;width:461.55pt;height:106pt;z-index:254617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" fillcolor="#e1cbef" stroked="f" strokeweight="1pt">
                <v:stroke joinstyle="miter"/>
              </v:roundrect>
            </w:pict>
          </mc:Fallback>
        </mc:AlternateContent>
      </w:r>
    </w:p>
    <w:p w14:paraId="6BB6B7CA" w14:textId="085E5A44" w:rsidR="00E30F8C" w:rsidRDefault="00EB250E" w:rsidP="00AA504B">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4619646" behindDoc="0" locked="0" layoutInCell="1" allowOverlap="1" wp14:anchorId="761034BA" wp14:editId="7244731E">
                <wp:simplePos x="0" y="0"/>
                <wp:positionH relativeFrom="column">
                  <wp:posOffset>952500</wp:posOffset>
                </wp:positionH>
                <wp:positionV relativeFrom="paragraph">
                  <wp:posOffset>137160</wp:posOffset>
                </wp:positionV>
                <wp:extent cx="5546725" cy="1117600"/>
                <wp:effectExtent l="0" t="0" r="0" b="0"/>
                <wp:wrapNone/>
                <wp:docPr id="2558" name="Text Box 2558"/>
                <wp:cNvGraphicFramePr/>
                <a:graphic xmlns:a="http://schemas.openxmlformats.org/drawingml/2006/main">
                  <a:graphicData uri="http://schemas.microsoft.com/office/word/2010/wordprocessingShape">
                    <wps:wsp>
                      <wps:cNvSpPr txBox="1"/>
                      <wps:spPr>
                        <a:xfrm>
                          <a:off x="0" y="0"/>
                          <a:ext cx="5546725" cy="1117600"/>
                        </a:xfrm>
                        <a:prstGeom prst="rect">
                          <a:avLst/>
                        </a:prstGeom>
                        <a:noFill/>
                        <a:ln w="6350">
                          <a:noFill/>
                        </a:ln>
                      </wps:spPr>
                      <wps:txbx>
                        <w:txbxContent>
                          <w:p w14:paraId="3A998B25"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Failure by leaders to implement appropriate fiscal transparency actions or reforms.</w:t>
                            </w:r>
                            <w:r w:rsidRPr="002F1D63">
                              <w:rPr>
                                <w:rFonts w:ascii="Arial" w:hAnsi="Arial" w:cs="Arial"/>
                                <w:i/>
                                <w:sz w:val="24"/>
                                <w:szCs w:val="24"/>
                                <w:lang w:val="en-US"/>
                              </w:rPr>
                              <w:t xml:space="preserve"> </w:t>
                            </w:r>
                            <w:r w:rsidRPr="002F1D63">
                              <w:rPr>
                                <w:rFonts w:ascii="Arial" w:hAnsi="Arial" w:cs="Arial"/>
                                <w:sz w:val="24"/>
                                <w:szCs w:val="24"/>
                                <w:lang w:val="en-US"/>
                              </w:rPr>
                              <w:t xml:space="preserve">The political leadership required to ensure that the public has access to fiscal information may be lacking. This lack of leadership may be long-standing or it may stem from a change, with new leaders not favoring the production and/or publication of documents. </w:t>
                            </w:r>
                          </w:p>
                          <w:p w14:paraId="542D9CC2" w14:textId="77777777" w:rsidR="00D15FD8" w:rsidRDefault="00D15FD8" w:rsidP="00EB25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034BA" id="Text Box 2558" o:spid="_x0000_s1694" type="#_x0000_t202" style="position:absolute;left:0;text-align:left;margin-left:75pt;margin-top:10.8pt;width:436.75pt;height:88pt;z-index:254619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" filled="f" stroked="f" strokeweight=".5pt">
                <v:textbox>
                  <w:txbxContent>
                    <w:p w14:paraId="3A998B25"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Failure by leaders to implement appropriate fiscal transparency actions or reforms.</w:t>
                      </w:r>
                      <w:r w:rsidRPr="002F1D63">
                        <w:rPr>
                          <w:rFonts w:ascii="Arial" w:hAnsi="Arial" w:cs="Arial"/>
                          <w:i/>
                          <w:sz w:val="24"/>
                          <w:szCs w:val="24"/>
                          <w:lang w:val="en-US"/>
                        </w:rPr>
                        <w:t xml:space="preserve"> </w:t>
                      </w:r>
                      <w:r w:rsidRPr="002F1D63">
                        <w:rPr>
                          <w:rFonts w:ascii="Arial" w:hAnsi="Arial" w:cs="Arial"/>
                          <w:sz w:val="24"/>
                          <w:szCs w:val="24"/>
                          <w:lang w:val="en-US"/>
                        </w:rPr>
                        <w:t xml:space="preserve">The political leadership required to ensure that the public has access to fiscal information may be lacking. This lack of leadership may be long-standing or it may stem from a change, with new leaders not favoring the production and/or publication of documents. </w:t>
                      </w:r>
                    </w:p>
                    <w:p w14:paraId="542D9CC2" w14:textId="77777777" w:rsidR="00D15FD8" w:rsidRDefault="00D15FD8" w:rsidP="00EB250E"/>
                  </w:txbxContent>
                </v:textbox>
              </v:shape>
            </w:pict>
          </mc:Fallback>
        </mc:AlternateContent>
      </w:r>
    </w:p>
    <w:p w14:paraId="78BEF251" w14:textId="1F77FDA3" w:rsidR="00E30F8C" w:rsidRDefault="00EB250E" w:rsidP="00AA504B">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18622" behindDoc="0" locked="0" layoutInCell="1" allowOverlap="1" wp14:anchorId="1603BB30" wp14:editId="470147C0">
            <wp:simplePos x="0" y="0"/>
            <wp:positionH relativeFrom="column">
              <wp:posOffset>-25400</wp:posOffset>
            </wp:positionH>
            <wp:positionV relativeFrom="paragraph">
              <wp:posOffset>141605</wp:posOffset>
            </wp:positionV>
            <wp:extent cx="706755" cy="698500"/>
            <wp:effectExtent l="0" t="0" r="4445" b="0"/>
            <wp:wrapSquare wrapText="bothSides"/>
            <wp:docPr id="2559" name="Picture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Picture 2553"/>
                    <pic:cNvPicPr/>
                  </pic:nvPicPr>
                  <pic:blipFill rotWithShape="1">
                    <a:blip r:embed="rId1004" cstate="screen">
                      <a:extLst>
                        <a:ext uri="{28A0092B-C50C-407E-A947-70E740481C1C}">
                          <a14:useLocalDpi xmlns:a14="http://schemas.microsoft.com/office/drawing/2010/main"/>
                        </a:ext>
                      </a:extLst>
                    </a:blip>
                    <a:srcRect/>
                    <a:stretch/>
                  </pic:blipFill>
                  <pic:spPr bwMode="auto">
                    <a:xfrm>
                      <a:off x="0" y="0"/>
                      <a:ext cx="706755" cy="69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D7DF1F" w14:textId="1742EC52" w:rsidR="00EB250E" w:rsidRDefault="00EB250E" w:rsidP="00AA504B">
      <w:pPr>
        <w:spacing w:line="276" w:lineRule="auto"/>
        <w:jc w:val="both"/>
        <w:rPr>
          <w:rFonts w:ascii="Arial" w:hAnsi="Arial" w:cs="Arial"/>
          <w:sz w:val="24"/>
          <w:szCs w:val="24"/>
          <w:lang w:val="en-US"/>
        </w:rPr>
      </w:pPr>
    </w:p>
    <w:p w14:paraId="2758D93B" w14:textId="13E3851F" w:rsidR="00EB250E" w:rsidRDefault="00EB250E" w:rsidP="00AA504B">
      <w:pPr>
        <w:spacing w:line="276" w:lineRule="auto"/>
        <w:jc w:val="both"/>
        <w:rPr>
          <w:rFonts w:ascii="Arial" w:hAnsi="Arial" w:cs="Arial"/>
          <w:sz w:val="24"/>
          <w:szCs w:val="24"/>
          <w:lang w:val="en-US"/>
        </w:rPr>
      </w:pPr>
    </w:p>
    <w:p w14:paraId="09BDF094" w14:textId="08BA4B2D" w:rsidR="00EB250E" w:rsidRDefault="00EB250E" w:rsidP="00AA504B">
      <w:pPr>
        <w:spacing w:line="276" w:lineRule="auto"/>
        <w:jc w:val="both"/>
        <w:rPr>
          <w:rFonts w:ascii="Arial" w:hAnsi="Arial" w:cs="Arial"/>
          <w:sz w:val="24"/>
          <w:szCs w:val="24"/>
          <w:lang w:val="en-US"/>
        </w:rPr>
      </w:pPr>
    </w:p>
    <w:p w14:paraId="12FDDA45" w14:textId="2FAB42FD" w:rsidR="00EB250E" w:rsidRDefault="00EB250E" w:rsidP="00AA504B">
      <w:pPr>
        <w:spacing w:line="276" w:lineRule="auto"/>
        <w:jc w:val="both"/>
        <w:rPr>
          <w:rFonts w:ascii="Arial" w:hAnsi="Arial" w:cs="Arial"/>
          <w:sz w:val="24"/>
          <w:szCs w:val="24"/>
          <w:lang w:val="en-US"/>
        </w:rPr>
      </w:pPr>
    </w:p>
    <w:p w14:paraId="5835A70B" w14:textId="631F6E01" w:rsidR="00EB250E" w:rsidRDefault="00EB250E" w:rsidP="00AA504B">
      <w:pPr>
        <w:spacing w:line="276" w:lineRule="auto"/>
        <w:jc w:val="both"/>
        <w:rPr>
          <w:rFonts w:ascii="Arial" w:hAnsi="Arial" w:cs="Arial"/>
          <w:sz w:val="24"/>
          <w:szCs w:val="24"/>
          <w:lang w:val="en-US"/>
        </w:rPr>
      </w:pPr>
    </w:p>
    <w:p w14:paraId="1205F3C2" w14:textId="49E61962" w:rsidR="00EB250E" w:rsidRDefault="00EB250E" w:rsidP="00AA504B">
      <w:pPr>
        <w:spacing w:line="276" w:lineRule="auto"/>
        <w:jc w:val="both"/>
        <w:rPr>
          <w:rFonts w:ascii="Arial" w:hAnsi="Arial" w:cs="Arial"/>
          <w:sz w:val="24"/>
          <w:szCs w:val="24"/>
          <w:lang w:val="en-US"/>
        </w:rPr>
      </w:pPr>
    </w:p>
    <w:p w14:paraId="032D8FA5" w14:textId="11CF7A79" w:rsidR="00EB250E" w:rsidRDefault="00EB250E" w:rsidP="00AA504B">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23742" behindDoc="0" locked="0" layoutInCell="1" allowOverlap="1" wp14:anchorId="592AD729" wp14:editId="172A625A">
            <wp:simplePos x="0" y="0"/>
            <wp:positionH relativeFrom="column">
              <wp:posOffset>0</wp:posOffset>
            </wp:positionH>
            <wp:positionV relativeFrom="paragraph">
              <wp:posOffset>144145</wp:posOffset>
            </wp:positionV>
            <wp:extent cx="706755" cy="698500"/>
            <wp:effectExtent l="0" t="0" r="4445" b="0"/>
            <wp:wrapSquare wrapText="bothSides"/>
            <wp:docPr id="2563" name="Picture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Picture 2553"/>
                    <pic:cNvPicPr/>
                  </pic:nvPicPr>
                  <pic:blipFill rotWithShape="1">
                    <a:blip r:embed="rId1004" cstate="screen">
                      <a:extLst>
                        <a:ext uri="{28A0092B-C50C-407E-A947-70E740481C1C}">
                          <a14:useLocalDpi xmlns:a14="http://schemas.microsoft.com/office/drawing/2010/main"/>
                        </a:ext>
                      </a:extLst>
                    </a:blip>
                    <a:srcRect/>
                    <a:stretch/>
                  </pic:blipFill>
                  <pic:spPr bwMode="auto">
                    <a:xfrm>
                      <a:off x="0" y="0"/>
                      <a:ext cx="706755" cy="69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624766" behindDoc="0" locked="0" layoutInCell="1" allowOverlap="1" wp14:anchorId="4FAB0CC3" wp14:editId="500BC2C1">
                <wp:simplePos x="0" y="0"/>
                <wp:positionH relativeFrom="column">
                  <wp:posOffset>977900</wp:posOffset>
                </wp:positionH>
                <wp:positionV relativeFrom="paragraph">
                  <wp:posOffset>137795</wp:posOffset>
                </wp:positionV>
                <wp:extent cx="5546725" cy="711200"/>
                <wp:effectExtent l="0" t="0" r="0" b="0"/>
                <wp:wrapNone/>
                <wp:docPr id="2562" name="Text Box 2562"/>
                <wp:cNvGraphicFramePr/>
                <a:graphic xmlns:a="http://schemas.openxmlformats.org/drawingml/2006/main">
                  <a:graphicData uri="http://schemas.microsoft.com/office/word/2010/wordprocessingShape">
                    <wps:wsp>
                      <wps:cNvSpPr txBox="1"/>
                      <wps:spPr>
                        <a:xfrm>
                          <a:off x="0" y="0"/>
                          <a:ext cx="5546725" cy="711200"/>
                        </a:xfrm>
                        <a:prstGeom prst="rect">
                          <a:avLst/>
                        </a:prstGeom>
                        <a:noFill/>
                        <a:ln w="6350">
                          <a:noFill/>
                        </a:ln>
                      </wps:spPr>
                      <wps:txbx>
                        <w:txbxContent>
                          <w:p w14:paraId="6554CD82"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Absence of fiscal transparency fundamentals</w:t>
                            </w:r>
                            <w:r w:rsidRPr="002F1D63">
                              <w:rPr>
                                <w:rFonts w:ascii="Arial" w:hAnsi="Arial" w:cs="Arial"/>
                                <w:b/>
                                <w:bCs/>
                                <w:sz w:val="24"/>
                                <w:szCs w:val="24"/>
                                <w:lang w:val="en-US"/>
                              </w:rPr>
                              <w:t>.</w:t>
                            </w:r>
                            <w:r w:rsidRPr="002F1D63">
                              <w:rPr>
                                <w:rFonts w:ascii="Arial" w:hAnsi="Arial" w:cs="Arial"/>
                                <w:sz w:val="24"/>
                                <w:szCs w:val="24"/>
                                <w:lang w:val="en-US"/>
                              </w:rPr>
                              <w:t xml:space="preserve"> For example, fiscal transparency rules, procedures, legislation, may be absent and/or there may be a weak enforcement system. </w:t>
                            </w:r>
                          </w:p>
                          <w:p w14:paraId="59D47EA9" w14:textId="77777777" w:rsidR="00D15FD8" w:rsidRDefault="00D15FD8" w:rsidP="00EB25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B0CC3" id="Text Box 2562" o:spid="_x0000_s1695" type="#_x0000_t202" style="position:absolute;left:0;text-align:left;margin-left:77pt;margin-top:10.85pt;width:436.75pt;height:56pt;z-index:254624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" filled="f" stroked="f" strokeweight=".5pt">
                <v:textbox>
                  <w:txbxContent>
                    <w:p w14:paraId="6554CD82"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Absence of fiscal transparency fundamentals</w:t>
                      </w:r>
                      <w:r w:rsidRPr="002F1D63">
                        <w:rPr>
                          <w:rFonts w:ascii="Arial" w:hAnsi="Arial" w:cs="Arial"/>
                          <w:b/>
                          <w:bCs/>
                          <w:sz w:val="24"/>
                          <w:szCs w:val="24"/>
                          <w:lang w:val="en-US"/>
                        </w:rPr>
                        <w:t>.</w:t>
                      </w:r>
                      <w:r w:rsidRPr="002F1D63">
                        <w:rPr>
                          <w:rFonts w:ascii="Arial" w:hAnsi="Arial" w:cs="Arial"/>
                          <w:sz w:val="24"/>
                          <w:szCs w:val="24"/>
                          <w:lang w:val="en-US"/>
                        </w:rPr>
                        <w:t xml:space="preserve"> For example, fiscal transparency rules, procedures, legislation, may be absent and/or there may be a weak enforcement system. </w:t>
                      </w:r>
                    </w:p>
                    <w:p w14:paraId="59D47EA9" w14:textId="77777777" w:rsidR="00D15FD8" w:rsidRDefault="00D15FD8" w:rsidP="00EB250E"/>
                  </w:txbxContent>
                </v:textbox>
              </v:shape>
            </w:pict>
          </mc:Fallback>
        </mc:AlternateContent>
      </w:r>
      <w:r w:rsidRPr="00EB2A7C">
        <w:rPr>
          <w:rFonts w:ascii="Arial" w:hAnsi="Arial" w:cs="Arial"/>
          <w:noProof/>
          <w:color w:val="DBC5EA"/>
          <w:sz w:val="24"/>
          <w:szCs w:val="24"/>
          <w:lang w:val="en-US"/>
        </w:rPr>
        <mc:AlternateContent>
          <mc:Choice Requires="wps">
            <w:drawing>
              <wp:anchor distT="0" distB="0" distL="114300" distR="114300" simplePos="0" relativeHeight="254622718" behindDoc="0" locked="0" layoutInCell="1" allowOverlap="1" wp14:anchorId="419F9543" wp14:editId="6E3B3875">
                <wp:simplePos x="0" y="0"/>
                <wp:positionH relativeFrom="column">
                  <wp:posOffset>825500</wp:posOffset>
                </wp:positionH>
                <wp:positionV relativeFrom="paragraph">
                  <wp:posOffset>10795</wp:posOffset>
                </wp:positionV>
                <wp:extent cx="5861685" cy="939800"/>
                <wp:effectExtent l="0" t="0" r="5715" b="0"/>
                <wp:wrapNone/>
                <wp:docPr id="2561" name="Rounded Rectangle 2561"/>
                <wp:cNvGraphicFramePr/>
                <a:graphic xmlns:a="http://schemas.openxmlformats.org/drawingml/2006/main">
                  <a:graphicData uri="http://schemas.microsoft.com/office/word/2010/wordprocessingShape">
                    <wps:wsp>
                      <wps:cNvSpPr/>
                      <wps:spPr>
                        <a:xfrm>
                          <a:off x="0" y="0"/>
                          <a:ext cx="5861685" cy="939800"/>
                        </a:xfrm>
                        <a:prstGeom prst="roundRect">
                          <a:avLst>
                            <a:gd name="adj" fmla="val 6173"/>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3C032F4" id="Rounded Rectangle 2561" o:spid="_x0000_s1026" style="position:absolute;margin-left:65pt;margin-top:.85pt;width:461.55pt;height:74pt;z-index:254622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" fillcolor="#e1cbef" stroked="f" strokeweight="1pt">
                <v:stroke joinstyle="miter"/>
              </v:roundrect>
            </w:pict>
          </mc:Fallback>
        </mc:AlternateContent>
      </w:r>
      <w:r w:rsidRPr="00EB2A7C">
        <w:rPr>
          <w:rFonts w:ascii="Arial" w:hAnsi="Arial" w:cs="Arial"/>
          <w:noProof/>
          <w:color w:val="69557F"/>
          <w:sz w:val="24"/>
          <w:szCs w:val="24"/>
          <w:lang w:val="en-US"/>
        </w:rPr>
        <mc:AlternateContent>
          <mc:Choice Requires="wps">
            <w:drawing>
              <wp:anchor distT="0" distB="0" distL="114300" distR="114300" simplePos="0" relativeHeight="254621694" behindDoc="0" locked="0" layoutInCell="1" allowOverlap="1" wp14:anchorId="12957709" wp14:editId="70F1D23E">
                <wp:simplePos x="0" y="0"/>
                <wp:positionH relativeFrom="column">
                  <wp:posOffset>939800</wp:posOffset>
                </wp:positionH>
                <wp:positionV relativeFrom="paragraph">
                  <wp:posOffset>150495</wp:posOffset>
                </wp:positionV>
                <wp:extent cx="5861685" cy="939800"/>
                <wp:effectExtent l="12700" t="12700" r="18415" b="12700"/>
                <wp:wrapNone/>
                <wp:docPr id="2560" name="Rounded Rectangle 2560"/>
                <wp:cNvGraphicFramePr/>
                <a:graphic xmlns:a="http://schemas.openxmlformats.org/drawingml/2006/main">
                  <a:graphicData uri="http://schemas.microsoft.com/office/word/2010/wordprocessingShape">
                    <wps:wsp>
                      <wps:cNvSpPr/>
                      <wps:spPr>
                        <a:xfrm>
                          <a:off x="0" y="0"/>
                          <a:ext cx="5861685" cy="939800"/>
                        </a:xfrm>
                        <a:prstGeom prst="roundRect">
                          <a:avLst>
                            <a:gd name="adj" fmla="val 6173"/>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FEA59DE" id="Rounded Rectangle 2560" o:spid="_x0000_s1026" style="position:absolute;margin-left:74pt;margin-top:11.85pt;width:461.55pt;height:74pt;z-index:254621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" filled="f" strokecolor="#82c9a0" strokeweight="2.25pt">
                <v:stroke joinstyle="miter"/>
              </v:roundrect>
            </w:pict>
          </mc:Fallback>
        </mc:AlternateContent>
      </w:r>
    </w:p>
    <w:p w14:paraId="22FAF378" w14:textId="7AE72DA8" w:rsidR="00EB250E" w:rsidRDefault="00EB250E" w:rsidP="00AA504B">
      <w:pPr>
        <w:spacing w:line="276" w:lineRule="auto"/>
        <w:jc w:val="both"/>
        <w:rPr>
          <w:rFonts w:ascii="Arial" w:hAnsi="Arial" w:cs="Arial"/>
          <w:sz w:val="24"/>
          <w:szCs w:val="24"/>
          <w:lang w:val="en-US"/>
        </w:rPr>
      </w:pPr>
    </w:p>
    <w:p w14:paraId="199FD622" w14:textId="792919F9" w:rsidR="00EB250E" w:rsidRDefault="00EB250E" w:rsidP="00AA504B">
      <w:pPr>
        <w:spacing w:line="276" w:lineRule="auto"/>
        <w:jc w:val="both"/>
        <w:rPr>
          <w:rFonts w:ascii="Arial" w:hAnsi="Arial" w:cs="Arial"/>
          <w:sz w:val="24"/>
          <w:szCs w:val="24"/>
          <w:lang w:val="en-US"/>
        </w:rPr>
      </w:pPr>
    </w:p>
    <w:p w14:paraId="5E3F7BD1" w14:textId="597D0D13" w:rsidR="00EB250E" w:rsidRDefault="00EB250E" w:rsidP="00AA504B">
      <w:pPr>
        <w:spacing w:line="276" w:lineRule="auto"/>
        <w:jc w:val="both"/>
        <w:rPr>
          <w:rFonts w:ascii="Arial" w:hAnsi="Arial" w:cs="Arial"/>
          <w:sz w:val="24"/>
          <w:szCs w:val="24"/>
          <w:lang w:val="en-US"/>
        </w:rPr>
      </w:pPr>
    </w:p>
    <w:p w14:paraId="72C5B4B7" w14:textId="277DA140" w:rsidR="00EB250E" w:rsidRDefault="00EB250E" w:rsidP="00AA504B">
      <w:pPr>
        <w:spacing w:line="276" w:lineRule="auto"/>
        <w:jc w:val="both"/>
        <w:rPr>
          <w:rFonts w:ascii="Arial" w:hAnsi="Arial" w:cs="Arial"/>
          <w:sz w:val="24"/>
          <w:szCs w:val="24"/>
          <w:lang w:val="en-US"/>
        </w:rPr>
      </w:pPr>
    </w:p>
    <w:p w14:paraId="5766C608" w14:textId="4B552EFF" w:rsidR="00EB250E" w:rsidRDefault="00EB250E" w:rsidP="00AA504B">
      <w:pPr>
        <w:spacing w:line="276" w:lineRule="auto"/>
        <w:jc w:val="both"/>
        <w:rPr>
          <w:rFonts w:ascii="Arial" w:hAnsi="Arial" w:cs="Arial"/>
          <w:sz w:val="24"/>
          <w:szCs w:val="24"/>
          <w:lang w:val="en-US"/>
        </w:rPr>
      </w:pPr>
    </w:p>
    <w:p w14:paraId="42F334A1" w14:textId="649BC8D1" w:rsidR="00EB250E" w:rsidRDefault="008316D9" w:rsidP="00AA504B">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4629886" behindDoc="0" locked="0" layoutInCell="1" allowOverlap="1" wp14:anchorId="34EFA190" wp14:editId="081B8A8A">
                <wp:simplePos x="0" y="0"/>
                <wp:positionH relativeFrom="column">
                  <wp:posOffset>977900</wp:posOffset>
                </wp:positionH>
                <wp:positionV relativeFrom="paragraph">
                  <wp:posOffset>190500</wp:posOffset>
                </wp:positionV>
                <wp:extent cx="5546725" cy="1117600"/>
                <wp:effectExtent l="0" t="0" r="0" b="0"/>
                <wp:wrapNone/>
                <wp:docPr id="2566" name="Text Box 2566"/>
                <wp:cNvGraphicFramePr/>
                <a:graphic xmlns:a="http://schemas.openxmlformats.org/drawingml/2006/main">
                  <a:graphicData uri="http://schemas.microsoft.com/office/word/2010/wordprocessingShape">
                    <wps:wsp>
                      <wps:cNvSpPr txBox="1"/>
                      <wps:spPr>
                        <a:xfrm>
                          <a:off x="0" y="0"/>
                          <a:ext cx="5546725" cy="1117600"/>
                        </a:xfrm>
                        <a:prstGeom prst="rect">
                          <a:avLst/>
                        </a:prstGeom>
                        <a:noFill/>
                        <a:ln w="6350">
                          <a:noFill/>
                        </a:ln>
                      </wps:spPr>
                      <wps:txbx>
                        <w:txbxContent>
                          <w:p w14:paraId="2CFB5E3A" w14:textId="0A2B53E3"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Failure of bureaucratic/institutional systems.</w:t>
                            </w:r>
                            <w:r w:rsidRPr="002F1D63">
                              <w:rPr>
                                <w:rFonts w:ascii="Arial" w:hAnsi="Arial" w:cs="Arial"/>
                                <w:i/>
                                <w:sz w:val="24"/>
                                <w:szCs w:val="24"/>
                                <w:lang w:val="en-US"/>
                              </w:rPr>
                              <w:t xml:space="preserve"> </w:t>
                            </w:r>
                            <w:r w:rsidRPr="002F1D63">
                              <w:rPr>
                                <w:rFonts w:ascii="Arial" w:hAnsi="Arial" w:cs="Arial"/>
                                <w:sz w:val="24"/>
                                <w:szCs w:val="24"/>
                                <w:lang w:val="en-US"/>
                              </w:rPr>
                              <w:t>This can occur when public officials responsible for fiscal transparency are resistant to it or don’t have the required capabilities to effect it. This can be due to insufficient pressure to publish information, or pressure to withhold it, coupled with weak institutional capacity, resulting in officials not publishing budget documents.</w:t>
                            </w:r>
                          </w:p>
                          <w:p w14:paraId="52DD5307" w14:textId="77777777" w:rsidR="00D15FD8" w:rsidRDefault="00D15FD8" w:rsidP="008316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FA190" id="Text Box 2566" o:spid="_x0000_s1696" type="#_x0000_t202" style="position:absolute;left:0;text-align:left;margin-left:77pt;margin-top:15pt;width:436.75pt;height:88pt;z-index:254629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" filled="f" stroked="f" strokeweight=".5pt">
                <v:textbox>
                  <w:txbxContent>
                    <w:p w14:paraId="2CFB5E3A" w14:textId="0A2B53E3"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Failure of bureaucratic/institutional systems.</w:t>
                      </w:r>
                      <w:r w:rsidRPr="002F1D63">
                        <w:rPr>
                          <w:rFonts w:ascii="Arial" w:hAnsi="Arial" w:cs="Arial"/>
                          <w:i/>
                          <w:sz w:val="24"/>
                          <w:szCs w:val="24"/>
                          <w:lang w:val="en-US"/>
                        </w:rPr>
                        <w:t xml:space="preserve"> </w:t>
                      </w:r>
                      <w:r w:rsidRPr="002F1D63">
                        <w:rPr>
                          <w:rFonts w:ascii="Arial" w:hAnsi="Arial" w:cs="Arial"/>
                          <w:sz w:val="24"/>
                          <w:szCs w:val="24"/>
                          <w:lang w:val="en-US"/>
                        </w:rPr>
                        <w:t>This can occur when public officials responsible for fiscal transparency are resistant to it or don’t have the required capabilities to effect it. This can be due to insufficient pressure to publish information, or pressure to withhold it, coupled with weak institutional capacity, resulting in officials not publishing budget documents.</w:t>
                      </w:r>
                    </w:p>
                    <w:p w14:paraId="52DD5307" w14:textId="77777777" w:rsidR="00D15FD8" w:rsidRDefault="00D15FD8" w:rsidP="008316D9"/>
                  </w:txbxContent>
                </v:textbox>
              </v:shape>
            </w:pict>
          </mc:Fallback>
        </mc:AlternateContent>
      </w:r>
      <w:r w:rsidRPr="00EB2A7C">
        <w:rPr>
          <w:rFonts w:ascii="Arial" w:hAnsi="Arial" w:cs="Arial"/>
          <w:noProof/>
          <w:color w:val="DBC5EA"/>
          <w:sz w:val="24"/>
          <w:szCs w:val="24"/>
          <w:lang w:val="en-US"/>
        </w:rPr>
        <mc:AlternateContent>
          <mc:Choice Requires="wps">
            <w:drawing>
              <wp:anchor distT="0" distB="0" distL="114300" distR="114300" simplePos="0" relativeHeight="254627838" behindDoc="0" locked="0" layoutInCell="1" allowOverlap="1" wp14:anchorId="3B8F28D2" wp14:editId="239E86E8">
                <wp:simplePos x="0" y="0"/>
                <wp:positionH relativeFrom="column">
                  <wp:posOffset>825500</wp:posOffset>
                </wp:positionH>
                <wp:positionV relativeFrom="paragraph">
                  <wp:posOffset>50800</wp:posOffset>
                </wp:positionV>
                <wp:extent cx="5861685" cy="1346200"/>
                <wp:effectExtent l="0" t="0" r="5715" b="0"/>
                <wp:wrapNone/>
                <wp:docPr id="2565" name="Rounded Rectangle 2565"/>
                <wp:cNvGraphicFramePr/>
                <a:graphic xmlns:a="http://schemas.openxmlformats.org/drawingml/2006/main">
                  <a:graphicData uri="http://schemas.microsoft.com/office/word/2010/wordprocessingShape">
                    <wps:wsp>
                      <wps:cNvSpPr/>
                      <wps:spPr>
                        <a:xfrm>
                          <a:off x="0" y="0"/>
                          <a:ext cx="5861685" cy="1346200"/>
                        </a:xfrm>
                        <a:prstGeom prst="roundRect">
                          <a:avLst>
                            <a:gd name="adj" fmla="val 6173"/>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ED231A9" id="Rounded Rectangle 2565" o:spid="_x0000_s1026" style="position:absolute;margin-left:65pt;margin-top:4pt;width:461.55pt;height:106pt;z-index:254627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" fillcolor="#e1cbef" stroked="f" strokeweight="1pt">
                <v:stroke joinstyle="miter"/>
              </v:roundrect>
            </w:pict>
          </mc:Fallback>
        </mc:AlternateContent>
      </w:r>
      <w:r w:rsidRPr="00EB2A7C">
        <w:rPr>
          <w:rFonts w:ascii="Arial" w:hAnsi="Arial" w:cs="Arial"/>
          <w:noProof/>
          <w:color w:val="69557F"/>
          <w:sz w:val="24"/>
          <w:szCs w:val="24"/>
          <w:lang w:val="en-US"/>
        </w:rPr>
        <mc:AlternateContent>
          <mc:Choice Requires="wps">
            <w:drawing>
              <wp:anchor distT="0" distB="0" distL="114300" distR="114300" simplePos="0" relativeHeight="254626814" behindDoc="0" locked="0" layoutInCell="1" allowOverlap="1" wp14:anchorId="4AB49AC8" wp14:editId="13AA43A8">
                <wp:simplePos x="0" y="0"/>
                <wp:positionH relativeFrom="column">
                  <wp:posOffset>939800</wp:posOffset>
                </wp:positionH>
                <wp:positionV relativeFrom="paragraph">
                  <wp:posOffset>203200</wp:posOffset>
                </wp:positionV>
                <wp:extent cx="5861685" cy="1346200"/>
                <wp:effectExtent l="12700" t="12700" r="18415" b="12700"/>
                <wp:wrapNone/>
                <wp:docPr id="2564" name="Rounded Rectangle 2564"/>
                <wp:cNvGraphicFramePr/>
                <a:graphic xmlns:a="http://schemas.openxmlformats.org/drawingml/2006/main">
                  <a:graphicData uri="http://schemas.microsoft.com/office/word/2010/wordprocessingShape">
                    <wps:wsp>
                      <wps:cNvSpPr/>
                      <wps:spPr>
                        <a:xfrm>
                          <a:off x="0" y="0"/>
                          <a:ext cx="5861685" cy="1346200"/>
                        </a:xfrm>
                        <a:prstGeom prst="roundRect">
                          <a:avLst>
                            <a:gd name="adj" fmla="val 6173"/>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8C6D684" id="Rounded Rectangle 2564" o:spid="_x0000_s1026" style="position:absolute;margin-left:74pt;margin-top:16pt;width:461.55pt;height:106pt;z-index:254626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" filled="f" strokecolor="#82c9a0" strokeweight="2.25pt">
                <v:stroke joinstyle="miter"/>
              </v:roundrect>
            </w:pict>
          </mc:Fallback>
        </mc:AlternateContent>
      </w:r>
    </w:p>
    <w:p w14:paraId="616BD21F" w14:textId="55F5D353" w:rsidR="00EB250E" w:rsidRDefault="008316D9" w:rsidP="00AA504B">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28862" behindDoc="0" locked="0" layoutInCell="1" allowOverlap="1" wp14:anchorId="5BCCE412" wp14:editId="7D37D0B8">
            <wp:simplePos x="0" y="0"/>
            <wp:positionH relativeFrom="column">
              <wp:posOffset>0</wp:posOffset>
            </wp:positionH>
            <wp:positionV relativeFrom="paragraph">
              <wp:posOffset>194310</wp:posOffset>
            </wp:positionV>
            <wp:extent cx="706755" cy="698500"/>
            <wp:effectExtent l="0" t="0" r="4445" b="0"/>
            <wp:wrapSquare wrapText="bothSides"/>
            <wp:docPr id="2567" name="Picture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Picture 2553"/>
                    <pic:cNvPicPr/>
                  </pic:nvPicPr>
                  <pic:blipFill rotWithShape="1">
                    <a:blip r:embed="rId1004" cstate="screen">
                      <a:extLst>
                        <a:ext uri="{28A0092B-C50C-407E-A947-70E740481C1C}">
                          <a14:useLocalDpi xmlns:a14="http://schemas.microsoft.com/office/drawing/2010/main"/>
                        </a:ext>
                      </a:extLst>
                    </a:blip>
                    <a:srcRect/>
                    <a:stretch/>
                  </pic:blipFill>
                  <pic:spPr bwMode="auto">
                    <a:xfrm>
                      <a:off x="0" y="0"/>
                      <a:ext cx="706755" cy="69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95C53C" w14:textId="074087F8" w:rsidR="00E30F8C" w:rsidRDefault="00E30F8C" w:rsidP="00AA504B">
      <w:pPr>
        <w:spacing w:line="276" w:lineRule="auto"/>
        <w:jc w:val="both"/>
        <w:rPr>
          <w:rFonts w:ascii="Arial" w:hAnsi="Arial" w:cs="Arial"/>
          <w:sz w:val="24"/>
          <w:szCs w:val="24"/>
          <w:lang w:val="en-US"/>
        </w:rPr>
      </w:pPr>
    </w:p>
    <w:p w14:paraId="36CB090D" w14:textId="0991B8C7" w:rsidR="00EB250E" w:rsidRDefault="00EB250E" w:rsidP="00AA504B">
      <w:pPr>
        <w:spacing w:line="276" w:lineRule="auto"/>
        <w:jc w:val="both"/>
        <w:rPr>
          <w:rFonts w:ascii="Arial" w:hAnsi="Arial" w:cs="Arial"/>
          <w:sz w:val="24"/>
          <w:szCs w:val="24"/>
          <w:lang w:val="en-US"/>
        </w:rPr>
      </w:pPr>
    </w:p>
    <w:p w14:paraId="4D849B32" w14:textId="78FDD904" w:rsidR="008316D9" w:rsidRDefault="008316D9" w:rsidP="00AA504B">
      <w:pPr>
        <w:spacing w:line="276" w:lineRule="auto"/>
        <w:jc w:val="both"/>
        <w:rPr>
          <w:rFonts w:ascii="Arial" w:hAnsi="Arial" w:cs="Arial"/>
          <w:sz w:val="24"/>
          <w:szCs w:val="24"/>
          <w:lang w:val="en-US"/>
        </w:rPr>
      </w:pPr>
    </w:p>
    <w:p w14:paraId="60AE7048" w14:textId="1A257A8B" w:rsidR="008316D9" w:rsidRDefault="008316D9" w:rsidP="00AA504B">
      <w:pPr>
        <w:spacing w:line="276" w:lineRule="auto"/>
        <w:jc w:val="both"/>
        <w:rPr>
          <w:rFonts w:ascii="Arial" w:hAnsi="Arial" w:cs="Arial"/>
          <w:sz w:val="24"/>
          <w:szCs w:val="24"/>
          <w:lang w:val="en-US"/>
        </w:rPr>
      </w:pPr>
    </w:p>
    <w:p w14:paraId="4A2BF605" w14:textId="4D625B2C" w:rsidR="008316D9" w:rsidRDefault="008316D9" w:rsidP="00AA504B">
      <w:pPr>
        <w:spacing w:line="276" w:lineRule="auto"/>
        <w:jc w:val="both"/>
        <w:rPr>
          <w:rFonts w:ascii="Arial" w:hAnsi="Arial" w:cs="Arial"/>
          <w:sz w:val="24"/>
          <w:szCs w:val="24"/>
          <w:lang w:val="en-US"/>
        </w:rPr>
      </w:pPr>
    </w:p>
    <w:p w14:paraId="68F8E288" w14:textId="6B6AC204" w:rsidR="00EB250E" w:rsidRDefault="00EB250E" w:rsidP="00AA504B">
      <w:pPr>
        <w:spacing w:line="276" w:lineRule="auto"/>
        <w:jc w:val="both"/>
        <w:rPr>
          <w:rFonts w:ascii="Arial" w:hAnsi="Arial" w:cs="Arial"/>
          <w:sz w:val="24"/>
          <w:szCs w:val="24"/>
          <w:lang w:val="en-US"/>
        </w:rPr>
      </w:pPr>
    </w:p>
    <w:p w14:paraId="301981EF" w14:textId="2C508AE1" w:rsidR="00EB250E" w:rsidRDefault="008316D9" w:rsidP="00AA504B">
      <w:pPr>
        <w:spacing w:line="276" w:lineRule="auto"/>
        <w:jc w:val="both"/>
        <w:rPr>
          <w:rFonts w:ascii="Arial" w:hAnsi="Arial" w:cs="Arial"/>
          <w:sz w:val="24"/>
          <w:szCs w:val="24"/>
          <w:lang w:val="en-US"/>
        </w:rPr>
      </w:pPr>
      <w:r w:rsidRPr="00EB2A7C">
        <w:rPr>
          <w:rFonts w:ascii="Arial" w:hAnsi="Arial" w:cs="Arial"/>
          <w:noProof/>
          <w:color w:val="DBC5EA"/>
          <w:sz w:val="24"/>
          <w:szCs w:val="24"/>
          <w:lang w:val="en-US"/>
        </w:rPr>
        <mc:AlternateContent>
          <mc:Choice Requires="wps">
            <w:drawing>
              <wp:anchor distT="0" distB="0" distL="114300" distR="114300" simplePos="0" relativeHeight="254632958" behindDoc="0" locked="0" layoutInCell="1" allowOverlap="1" wp14:anchorId="026D360B" wp14:editId="3D9E0637">
                <wp:simplePos x="0" y="0"/>
                <wp:positionH relativeFrom="column">
                  <wp:posOffset>825500</wp:posOffset>
                </wp:positionH>
                <wp:positionV relativeFrom="paragraph">
                  <wp:posOffset>97790</wp:posOffset>
                </wp:positionV>
                <wp:extent cx="5861685" cy="2349500"/>
                <wp:effectExtent l="0" t="0" r="5715" b="0"/>
                <wp:wrapNone/>
                <wp:docPr id="2573" name="Rounded Rectangle 2573"/>
                <wp:cNvGraphicFramePr/>
                <a:graphic xmlns:a="http://schemas.openxmlformats.org/drawingml/2006/main">
                  <a:graphicData uri="http://schemas.microsoft.com/office/word/2010/wordprocessingShape">
                    <wps:wsp>
                      <wps:cNvSpPr/>
                      <wps:spPr>
                        <a:xfrm>
                          <a:off x="0" y="0"/>
                          <a:ext cx="5861685" cy="2349500"/>
                        </a:xfrm>
                        <a:prstGeom prst="roundRect">
                          <a:avLst>
                            <a:gd name="adj" fmla="val 6173"/>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C793F2D" id="Rounded Rectangle 2573" o:spid="_x0000_s1026" style="position:absolute;margin-left:65pt;margin-top:7.7pt;width:461.55pt;height:185pt;z-index:2546329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" fillcolor="#e1cbef" stroked="f" strokeweight="1pt">
                <v:stroke joinstyle="miter"/>
              </v:roundrect>
            </w:pict>
          </mc:Fallback>
        </mc:AlternateContent>
      </w:r>
    </w:p>
    <w:p w14:paraId="3DE4EC7B" w14:textId="52B8FC88" w:rsidR="00EB250E" w:rsidRDefault="008316D9" w:rsidP="00AA504B">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4635006" behindDoc="0" locked="0" layoutInCell="1" allowOverlap="1" wp14:anchorId="2F4CB8FC" wp14:editId="143107E7">
                <wp:simplePos x="0" y="0"/>
                <wp:positionH relativeFrom="column">
                  <wp:posOffset>977900</wp:posOffset>
                </wp:positionH>
                <wp:positionV relativeFrom="paragraph">
                  <wp:posOffset>35560</wp:posOffset>
                </wp:positionV>
                <wp:extent cx="5546725" cy="2143468"/>
                <wp:effectExtent l="0" t="0" r="0" b="0"/>
                <wp:wrapNone/>
                <wp:docPr id="2574" name="Text Box 2574"/>
                <wp:cNvGraphicFramePr/>
                <a:graphic xmlns:a="http://schemas.openxmlformats.org/drawingml/2006/main">
                  <a:graphicData uri="http://schemas.microsoft.com/office/word/2010/wordprocessingShape">
                    <wps:wsp>
                      <wps:cNvSpPr txBox="1"/>
                      <wps:spPr>
                        <a:xfrm>
                          <a:off x="0" y="0"/>
                          <a:ext cx="5546725" cy="2143468"/>
                        </a:xfrm>
                        <a:prstGeom prst="rect">
                          <a:avLst/>
                        </a:prstGeom>
                        <a:noFill/>
                        <a:ln w="6350">
                          <a:noFill/>
                        </a:ln>
                      </wps:spPr>
                      <wps:txbx>
                        <w:txbxContent>
                          <w:p w14:paraId="26504280"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Lack of demand for fiscal information</w:t>
                            </w:r>
                            <w:r w:rsidRPr="002F1D63">
                              <w:rPr>
                                <w:rFonts w:ascii="Arial" w:hAnsi="Arial" w:cs="Arial"/>
                                <w:b/>
                                <w:bCs/>
                                <w:sz w:val="24"/>
                                <w:szCs w:val="24"/>
                                <w:lang w:val="en-US"/>
                              </w:rPr>
                              <w:t>.</w:t>
                            </w:r>
                            <w:r w:rsidRPr="002F1D63">
                              <w:rPr>
                                <w:rFonts w:ascii="Arial" w:hAnsi="Arial" w:cs="Arial"/>
                                <w:sz w:val="24"/>
                                <w:szCs w:val="24"/>
                                <w:lang w:val="en-US"/>
                              </w:rPr>
                              <w:t xml:space="preserve">  Weak or inconsistent demand for fiscal information from other actors in the fiscal ecosystem, including oversight actors, civil society, and international development partners, weakens incentives for executives to ensure that budget documents are produced and published on a regular and timely basis. If civil society, and the public, do not demand information and/or use the budget information provided, broad-based pressure to start or keep publishing information will likely be weak. Reductions in aid conditionalities by development partners requiring improvements in budget transparency may also weaken the incentives to sustain gains, reducing the political will to undertake reforms. </w:t>
                            </w:r>
                          </w:p>
                          <w:p w14:paraId="36A6A2A9" w14:textId="77777777" w:rsidR="00D15FD8" w:rsidRDefault="00D15FD8" w:rsidP="008316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CB8FC" id="Text Box 2574" o:spid="_x0000_s1697" type="#_x0000_t202" style="position:absolute;left:0;text-align:left;margin-left:77pt;margin-top:2.8pt;width:436.75pt;height:168.8pt;z-index:254635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" filled="f" stroked="f" strokeweight=".5pt">
                <v:textbox>
                  <w:txbxContent>
                    <w:p w14:paraId="26504280" w14:textId="77777777" w:rsidR="00D15FD8" w:rsidRPr="002F1D63" w:rsidRDefault="00D15FD8" w:rsidP="002F1D63">
                      <w:pPr>
                        <w:spacing w:line="276" w:lineRule="auto"/>
                        <w:jc w:val="both"/>
                        <w:rPr>
                          <w:rFonts w:ascii="Arial" w:hAnsi="Arial" w:cs="Arial"/>
                          <w:sz w:val="24"/>
                          <w:szCs w:val="24"/>
                          <w:lang w:val="en-US"/>
                        </w:rPr>
                      </w:pPr>
                      <w:r w:rsidRPr="002F1D63">
                        <w:rPr>
                          <w:rFonts w:ascii="Arial" w:hAnsi="Arial" w:cs="Arial"/>
                          <w:b/>
                          <w:bCs/>
                          <w:i/>
                          <w:sz w:val="24"/>
                          <w:szCs w:val="24"/>
                          <w:lang w:val="en-US"/>
                        </w:rPr>
                        <w:t>Lack of demand for fiscal information</w:t>
                      </w:r>
                      <w:r w:rsidRPr="002F1D63">
                        <w:rPr>
                          <w:rFonts w:ascii="Arial" w:hAnsi="Arial" w:cs="Arial"/>
                          <w:b/>
                          <w:bCs/>
                          <w:sz w:val="24"/>
                          <w:szCs w:val="24"/>
                          <w:lang w:val="en-US"/>
                        </w:rPr>
                        <w:t>.</w:t>
                      </w:r>
                      <w:r w:rsidRPr="002F1D63">
                        <w:rPr>
                          <w:rFonts w:ascii="Arial" w:hAnsi="Arial" w:cs="Arial"/>
                          <w:sz w:val="24"/>
                          <w:szCs w:val="24"/>
                          <w:lang w:val="en-US"/>
                        </w:rPr>
                        <w:t xml:space="preserve">  Weak or inconsistent demand for fiscal information from other actors in the fiscal ecosystem, including oversight actors, civil society, and international development partners, weakens incentives for executives to ensure that budget documents are produced and published on a regular and timely basis. If civil society, and the public, do not demand information and/or use the budget information provided, broad-based pressure to start or keep publishing information will likely be weak. Reductions in aid conditionalities by development partners requiring improvements in budget transparency may also weaken the incentives to sustain gains, reducing the political will to undertake reforms. </w:t>
                      </w:r>
                    </w:p>
                    <w:p w14:paraId="36A6A2A9" w14:textId="77777777" w:rsidR="00D15FD8" w:rsidRDefault="00D15FD8" w:rsidP="008316D9"/>
                  </w:txbxContent>
                </v:textbox>
              </v:shape>
            </w:pict>
          </mc:Fallback>
        </mc:AlternateContent>
      </w:r>
      <w:r w:rsidRPr="00EB2A7C">
        <w:rPr>
          <w:rFonts w:ascii="Arial" w:hAnsi="Arial" w:cs="Arial"/>
          <w:noProof/>
          <w:color w:val="69557F"/>
          <w:sz w:val="24"/>
          <w:szCs w:val="24"/>
          <w:lang w:val="en-US"/>
        </w:rPr>
        <mc:AlternateContent>
          <mc:Choice Requires="wps">
            <w:drawing>
              <wp:anchor distT="0" distB="0" distL="114300" distR="114300" simplePos="0" relativeHeight="254631934" behindDoc="0" locked="0" layoutInCell="1" allowOverlap="1" wp14:anchorId="6AFB098B" wp14:editId="40386313">
                <wp:simplePos x="0" y="0"/>
                <wp:positionH relativeFrom="column">
                  <wp:posOffset>939800</wp:posOffset>
                </wp:positionH>
                <wp:positionV relativeFrom="paragraph">
                  <wp:posOffset>35560</wp:posOffset>
                </wp:positionV>
                <wp:extent cx="5861685" cy="2349500"/>
                <wp:effectExtent l="12700" t="12700" r="18415" b="12700"/>
                <wp:wrapNone/>
                <wp:docPr id="2572" name="Rounded Rectangle 2572"/>
                <wp:cNvGraphicFramePr/>
                <a:graphic xmlns:a="http://schemas.openxmlformats.org/drawingml/2006/main">
                  <a:graphicData uri="http://schemas.microsoft.com/office/word/2010/wordprocessingShape">
                    <wps:wsp>
                      <wps:cNvSpPr/>
                      <wps:spPr>
                        <a:xfrm>
                          <a:off x="0" y="0"/>
                          <a:ext cx="5861685" cy="2349500"/>
                        </a:xfrm>
                        <a:prstGeom prst="roundRect">
                          <a:avLst>
                            <a:gd name="adj" fmla="val 6173"/>
                          </a:avLst>
                        </a:prstGeom>
                        <a:noFill/>
                        <a:ln w="28575">
                          <a:solidFill>
                            <a:srgbClr val="82C9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49292EC2" id="Rounded Rectangle 2572" o:spid="_x0000_s1026" style="position:absolute;margin-left:74pt;margin-top:2.8pt;width:461.55pt;height:185pt;z-index:254631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" filled="f" strokecolor="#82c9a0" strokeweight="2.25pt">
                <v:stroke joinstyle="miter"/>
              </v:roundrect>
            </w:pict>
          </mc:Fallback>
        </mc:AlternateContent>
      </w:r>
    </w:p>
    <w:p w14:paraId="23F82628" w14:textId="0F8ED95B" w:rsidR="008316D9" w:rsidRDefault="008316D9" w:rsidP="00AA504B">
      <w:pPr>
        <w:spacing w:line="276" w:lineRule="auto"/>
        <w:jc w:val="both"/>
        <w:rPr>
          <w:rFonts w:ascii="Arial" w:hAnsi="Arial" w:cs="Arial"/>
          <w:sz w:val="24"/>
          <w:szCs w:val="24"/>
          <w:lang w:val="en-US"/>
        </w:rPr>
      </w:pPr>
    </w:p>
    <w:p w14:paraId="04CE2B64" w14:textId="761DBBD9" w:rsidR="008316D9" w:rsidRDefault="008316D9" w:rsidP="00AA504B">
      <w:pPr>
        <w:spacing w:line="276" w:lineRule="auto"/>
        <w:jc w:val="both"/>
        <w:rPr>
          <w:rFonts w:ascii="Arial" w:hAnsi="Arial" w:cs="Arial"/>
          <w:sz w:val="24"/>
          <w:szCs w:val="24"/>
          <w:lang w:val="en-US"/>
        </w:rPr>
      </w:pPr>
    </w:p>
    <w:p w14:paraId="6DBC73A8" w14:textId="5B988CD4" w:rsidR="008316D9" w:rsidRDefault="008316D9" w:rsidP="00AA504B">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33982" behindDoc="0" locked="0" layoutInCell="1" allowOverlap="1" wp14:anchorId="6478FF80" wp14:editId="7234D45D">
            <wp:simplePos x="0" y="0"/>
            <wp:positionH relativeFrom="column">
              <wp:posOffset>0</wp:posOffset>
            </wp:positionH>
            <wp:positionV relativeFrom="paragraph">
              <wp:posOffset>63500</wp:posOffset>
            </wp:positionV>
            <wp:extent cx="706755" cy="698500"/>
            <wp:effectExtent l="0" t="0" r="4445" b="0"/>
            <wp:wrapSquare wrapText="bothSides"/>
            <wp:docPr id="2575" name="Picture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Picture 2553"/>
                    <pic:cNvPicPr/>
                  </pic:nvPicPr>
                  <pic:blipFill rotWithShape="1">
                    <a:blip r:embed="rId1004" cstate="screen">
                      <a:extLst>
                        <a:ext uri="{28A0092B-C50C-407E-A947-70E740481C1C}">
                          <a14:useLocalDpi xmlns:a14="http://schemas.microsoft.com/office/drawing/2010/main"/>
                        </a:ext>
                      </a:extLst>
                    </a:blip>
                    <a:srcRect/>
                    <a:stretch/>
                  </pic:blipFill>
                  <pic:spPr bwMode="auto">
                    <a:xfrm>
                      <a:off x="0" y="0"/>
                      <a:ext cx="706755" cy="69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D2FB4E" w14:textId="10FFAA7E" w:rsidR="008316D9" w:rsidRDefault="008316D9" w:rsidP="00AA504B">
      <w:pPr>
        <w:spacing w:line="276" w:lineRule="auto"/>
        <w:jc w:val="both"/>
        <w:rPr>
          <w:rFonts w:ascii="Arial" w:hAnsi="Arial" w:cs="Arial"/>
          <w:sz w:val="24"/>
          <w:szCs w:val="24"/>
          <w:lang w:val="en-US"/>
        </w:rPr>
      </w:pPr>
    </w:p>
    <w:p w14:paraId="3B3C5E5E" w14:textId="0FA1415B" w:rsidR="008316D9" w:rsidRDefault="008316D9" w:rsidP="00AA504B">
      <w:pPr>
        <w:spacing w:line="276" w:lineRule="auto"/>
        <w:jc w:val="both"/>
        <w:rPr>
          <w:rFonts w:ascii="Arial" w:hAnsi="Arial" w:cs="Arial"/>
          <w:sz w:val="24"/>
          <w:szCs w:val="24"/>
          <w:lang w:val="en-US"/>
        </w:rPr>
      </w:pPr>
    </w:p>
    <w:p w14:paraId="3854EA8B" w14:textId="2CB6AFF6" w:rsidR="008316D9" w:rsidRDefault="008316D9" w:rsidP="00AA504B">
      <w:pPr>
        <w:spacing w:line="276" w:lineRule="auto"/>
        <w:jc w:val="both"/>
        <w:rPr>
          <w:rFonts w:ascii="Arial" w:hAnsi="Arial" w:cs="Arial"/>
          <w:sz w:val="24"/>
          <w:szCs w:val="24"/>
          <w:lang w:val="en-US"/>
        </w:rPr>
      </w:pPr>
    </w:p>
    <w:p w14:paraId="7789458F" w14:textId="6246DBF5" w:rsidR="008316D9" w:rsidRDefault="008316D9" w:rsidP="00AA504B">
      <w:pPr>
        <w:spacing w:line="276" w:lineRule="auto"/>
        <w:jc w:val="both"/>
        <w:rPr>
          <w:rFonts w:ascii="Arial" w:hAnsi="Arial" w:cs="Arial"/>
          <w:sz w:val="24"/>
          <w:szCs w:val="24"/>
          <w:lang w:val="en-US"/>
        </w:rPr>
      </w:pPr>
    </w:p>
    <w:p w14:paraId="5371241D" w14:textId="36834BC5" w:rsidR="008316D9" w:rsidRDefault="008316D9" w:rsidP="00AA504B">
      <w:pPr>
        <w:spacing w:line="276" w:lineRule="auto"/>
        <w:jc w:val="both"/>
        <w:rPr>
          <w:rFonts w:ascii="Arial" w:hAnsi="Arial" w:cs="Arial"/>
          <w:sz w:val="24"/>
          <w:szCs w:val="24"/>
          <w:lang w:val="en-US"/>
        </w:rPr>
      </w:pPr>
    </w:p>
    <w:p w14:paraId="65FE993C" w14:textId="77777777" w:rsidR="008316D9" w:rsidRDefault="008316D9" w:rsidP="00AA504B">
      <w:pPr>
        <w:spacing w:line="276" w:lineRule="auto"/>
        <w:jc w:val="both"/>
        <w:rPr>
          <w:rFonts w:ascii="Arial" w:hAnsi="Arial" w:cs="Arial"/>
          <w:sz w:val="24"/>
          <w:szCs w:val="24"/>
          <w:lang w:val="en-US"/>
        </w:rPr>
      </w:pPr>
    </w:p>
    <w:p w14:paraId="49AE7446" w14:textId="44AF78F2" w:rsidR="00EB250E" w:rsidRDefault="00EB250E" w:rsidP="00AA504B">
      <w:pPr>
        <w:spacing w:line="276" w:lineRule="auto"/>
        <w:jc w:val="both"/>
        <w:rPr>
          <w:rFonts w:ascii="Arial" w:hAnsi="Arial" w:cs="Arial"/>
          <w:sz w:val="24"/>
          <w:szCs w:val="24"/>
          <w:lang w:val="en-US"/>
        </w:rPr>
      </w:pPr>
    </w:p>
    <w:p w14:paraId="6361DE3C" w14:textId="20135FF2" w:rsidR="002E4185" w:rsidRDefault="002E4185" w:rsidP="00AA504B">
      <w:pPr>
        <w:tabs>
          <w:tab w:val="left" w:pos="4480"/>
        </w:tabs>
        <w:spacing w:line="276" w:lineRule="auto"/>
        <w:rPr>
          <w:rFonts w:ascii="Arial" w:hAnsi="Arial" w:cs="Arial"/>
          <w:sz w:val="24"/>
          <w:szCs w:val="24"/>
          <w:lang w:val="en-US"/>
        </w:rPr>
      </w:pPr>
    </w:p>
    <w:p w14:paraId="77C64C28" w14:textId="71EF6B00" w:rsidR="000E65DC" w:rsidRPr="00AB11BF" w:rsidRDefault="000E65DC" w:rsidP="000E65DC">
      <w:pPr>
        <w:pStyle w:val="Heading2"/>
        <w:numPr>
          <w:ilvl w:val="1"/>
          <w:numId w:val="156"/>
        </w:numPr>
        <w:rPr>
          <w:rFonts w:ascii="Arial" w:hAnsi="Arial" w:cs="Arial"/>
          <w:b/>
          <w:bCs/>
          <w:color w:val="BFA4CE"/>
          <w:sz w:val="36"/>
          <w:szCs w:val="36"/>
          <w:lang w:val="en-US"/>
        </w:rPr>
      </w:pPr>
      <w:bookmarkStart w:id="2513" w:name="_Toc123204562"/>
      <w:bookmarkStart w:id="2514" w:name="_Toc123216683"/>
      <w:bookmarkStart w:id="2515" w:name="_Toc123217523"/>
      <w:bookmarkStart w:id="2516" w:name="_Toc123913478"/>
      <w:bookmarkStart w:id="2517" w:name="_Toc123914135"/>
      <w:bookmarkStart w:id="2518" w:name="_Toc125566751"/>
      <w:r w:rsidRPr="00AB11BF">
        <w:rPr>
          <w:rFonts w:ascii="Arial" w:hAnsi="Arial" w:cs="Arial"/>
          <w:b/>
          <w:bCs/>
          <w:color w:val="BFA4CE"/>
          <w:sz w:val="36"/>
          <w:szCs w:val="36"/>
          <w:lang w:val="en-US"/>
        </w:rPr>
        <w:lastRenderedPageBreak/>
        <w:t>Opportunities to advance fiscal transparency</w:t>
      </w:r>
      <w:bookmarkEnd w:id="2513"/>
      <w:bookmarkEnd w:id="2514"/>
      <w:bookmarkEnd w:id="2515"/>
      <w:bookmarkEnd w:id="2516"/>
      <w:bookmarkEnd w:id="2517"/>
      <w:bookmarkEnd w:id="2518"/>
    </w:p>
    <w:p w14:paraId="6D88C9E6" w14:textId="6B709D7B" w:rsidR="000E65DC" w:rsidRPr="00EB2A7C" w:rsidRDefault="008A2A2E" w:rsidP="00EB2A7C">
      <w:pPr>
        <w:spacing w:line="276" w:lineRule="auto"/>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4636030" behindDoc="0" locked="0" layoutInCell="1" allowOverlap="1" wp14:anchorId="23A6F5AE" wp14:editId="3FAFCEE7">
            <wp:simplePos x="0" y="0"/>
            <wp:positionH relativeFrom="column">
              <wp:posOffset>0</wp:posOffset>
            </wp:positionH>
            <wp:positionV relativeFrom="paragraph">
              <wp:posOffset>202565</wp:posOffset>
            </wp:positionV>
            <wp:extent cx="2999105" cy="1447800"/>
            <wp:effectExtent l="0" t="0" r="0" b="0"/>
            <wp:wrapSquare wrapText="bothSides"/>
            <wp:docPr id="2579" name="Picture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 name="Picture 2579"/>
                    <pic:cNvPicPr/>
                  </pic:nvPicPr>
                  <pic:blipFill rotWithShape="1">
                    <a:blip r:embed="rId1005" cstate="email">
                      <a:extLst>
                        <a:ext uri="{28A0092B-C50C-407E-A947-70E740481C1C}">
                          <a14:useLocalDpi xmlns:a14="http://schemas.microsoft.com/office/drawing/2010/main"/>
                        </a:ext>
                      </a:extLst>
                    </a:blip>
                    <a:srcRect l="13568" t="37468" r="14772" b="38050"/>
                    <a:stretch/>
                  </pic:blipFill>
                  <pic:spPr bwMode="auto">
                    <a:xfrm>
                      <a:off x="0" y="0"/>
                      <a:ext cx="2999105"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6490EC" w14:textId="22879295" w:rsidR="000E65DC" w:rsidRPr="00EB2A7C" w:rsidRDefault="000E65DC" w:rsidP="00EB2A7C">
      <w:pPr>
        <w:spacing w:line="276" w:lineRule="auto"/>
        <w:jc w:val="both"/>
        <w:rPr>
          <w:rFonts w:ascii="Arial" w:hAnsi="Arial" w:cs="Arial"/>
          <w:sz w:val="24"/>
          <w:szCs w:val="24"/>
          <w:lang w:val="en-US"/>
        </w:rPr>
      </w:pPr>
      <w:r w:rsidRPr="00EB2A7C">
        <w:rPr>
          <w:rFonts w:ascii="Arial" w:hAnsi="Arial" w:cs="Arial"/>
          <w:sz w:val="24"/>
          <w:szCs w:val="24"/>
        </w:rPr>
        <w:t>I</w:t>
      </w:r>
      <w:r w:rsidRPr="00EB2A7C">
        <w:rPr>
          <w:rFonts w:ascii="Arial" w:hAnsi="Arial" w:cs="Arial"/>
          <w:sz w:val="24"/>
          <w:szCs w:val="24"/>
          <w:lang w:val="en-US"/>
        </w:rPr>
        <w:t xml:space="preserve">n the </w:t>
      </w:r>
      <w:hyperlink r:id="rId1006" w:history="1">
        <w:r w:rsidRPr="00EB2A7C">
          <w:rPr>
            <w:rFonts w:ascii="Arial" w:hAnsi="Arial" w:cs="Arial"/>
            <w:color w:val="0563C1" w:themeColor="hyperlink"/>
            <w:sz w:val="24"/>
            <w:szCs w:val="24"/>
            <w:u w:val="single"/>
            <w:lang w:val="en-US"/>
          </w:rPr>
          <w:t>Overview and Synthesis: The Political Economy of Fiscal Transparency, Participation, and Accountability Around the World</w:t>
        </w:r>
      </w:hyperlink>
      <w:r w:rsidRPr="00EB2A7C">
        <w:rPr>
          <w:rFonts w:ascii="Arial" w:hAnsi="Arial" w:cs="Arial"/>
          <w:sz w:val="24"/>
          <w:szCs w:val="24"/>
          <w:vertAlign w:val="superscript"/>
          <w:lang w:val="en-US"/>
        </w:rPr>
        <w:footnoteReference w:id="85"/>
      </w:r>
      <w:r w:rsidRPr="00EB2A7C">
        <w:rPr>
          <w:rFonts w:ascii="Arial" w:hAnsi="Arial" w:cs="Arial"/>
          <w:sz w:val="24"/>
          <w:szCs w:val="24"/>
          <w:lang w:val="en-US"/>
        </w:rPr>
        <w:t>, the authors examined case studies in eight countries (</w:t>
      </w:r>
      <w:r w:rsidRPr="00EB2A7C">
        <w:rPr>
          <w:rFonts w:ascii="Arial" w:hAnsi="Arial" w:cs="Arial"/>
          <w:sz w:val="24"/>
          <w:szCs w:val="24"/>
        </w:rPr>
        <w:t>South Africa, Brazil, South Korea, Mexico, Guatemala, Tanzania, Vietnam and Senegal)</w:t>
      </w:r>
      <w:r w:rsidRPr="00EB2A7C">
        <w:rPr>
          <w:rFonts w:ascii="Arial" w:hAnsi="Arial" w:cs="Arial"/>
          <w:sz w:val="24"/>
          <w:szCs w:val="24"/>
          <w:lang w:val="en-US"/>
        </w:rPr>
        <w:t xml:space="preserve"> identifying four main "causal triggers” for advances in fiscal openness. These four factors were reiterated in a subsequent study in six countries (</w:t>
      </w:r>
      <w:r w:rsidRPr="00EB2A7C">
        <w:rPr>
          <w:rFonts w:ascii="Arial" w:hAnsi="Arial" w:cs="Arial"/>
          <w:sz w:val="24"/>
          <w:szCs w:val="24"/>
        </w:rPr>
        <w:t>Argentina, Ghana, Indonesia, Mexico, the Philippines, and Uganda</w:t>
      </w:r>
      <w:r w:rsidRPr="00EB2A7C">
        <w:rPr>
          <w:rFonts w:ascii="Arial" w:hAnsi="Arial" w:cs="Arial"/>
          <w:sz w:val="24"/>
          <w:szCs w:val="24"/>
          <w:vertAlign w:val="superscript"/>
        </w:rPr>
        <w:footnoteReference w:id="86"/>
      </w:r>
      <w:r w:rsidRPr="00EB2A7C">
        <w:rPr>
          <w:rFonts w:ascii="Arial" w:hAnsi="Arial" w:cs="Arial"/>
          <w:sz w:val="24"/>
          <w:szCs w:val="24"/>
        </w:rPr>
        <w:t xml:space="preserve">). </w:t>
      </w:r>
      <w:r w:rsidRPr="00EB2A7C">
        <w:rPr>
          <w:rFonts w:ascii="Arial" w:hAnsi="Arial" w:cs="Arial"/>
          <w:sz w:val="24"/>
          <w:szCs w:val="24"/>
          <w:lang w:val="en-US"/>
        </w:rPr>
        <w:t xml:space="preserve">In all of the cases covered, government actors took steps to improve transparency motivated by one or more of these triggers. </w:t>
      </w:r>
    </w:p>
    <w:p w14:paraId="661860E9" w14:textId="3943B7CC" w:rsidR="000E65DC" w:rsidRPr="00EB2A7C" w:rsidRDefault="000E65DC" w:rsidP="00EB2A7C">
      <w:pPr>
        <w:spacing w:line="276" w:lineRule="auto"/>
        <w:jc w:val="both"/>
        <w:rPr>
          <w:rFonts w:ascii="Arial" w:hAnsi="Arial" w:cs="Arial"/>
          <w:sz w:val="24"/>
          <w:szCs w:val="24"/>
          <w:lang w:val="en-US"/>
        </w:rPr>
      </w:pPr>
    </w:p>
    <w:p w14:paraId="504AA6CE" w14:textId="35706BB7" w:rsidR="000E65DC" w:rsidRDefault="000E65DC" w:rsidP="000E65DC">
      <w:pPr>
        <w:spacing w:line="276" w:lineRule="auto"/>
        <w:jc w:val="both"/>
        <w:rPr>
          <w:rFonts w:ascii="Arial" w:hAnsi="Arial" w:cs="Arial"/>
          <w:sz w:val="24"/>
          <w:szCs w:val="24"/>
          <w:lang w:val="en-US"/>
        </w:rPr>
      </w:pPr>
      <w:r w:rsidRPr="00EB2A7C">
        <w:rPr>
          <w:rFonts w:ascii="Arial" w:hAnsi="Arial" w:cs="Arial"/>
          <w:sz w:val="24"/>
          <w:szCs w:val="24"/>
        </w:rPr>
        <w:t>These factors were found to often interact in complex combinations and to shape trajectories in different countries by fostering or impeding advances in fiscal transparency. Together they create opportunities and shape incentives for the key actors in the fiscal ecosystem to take action in designing, implementing and sustaining reforms designed to promote fiscal openness. The emergence and evolution of the political economy for fiscal transparency will likely be a complex process, with the political conditions, factors, and mechanisms that trigger initial improvements potentially being quite different to those that contribute to their entrenchment and broadening over time</w:t>
      </w:r>
      <w:r w:rsidRPr="00EB2A7C">
        <w:rPr>
          <w:rFonts w:ascii="Arial" w:hAnsi="Arial" w:cs="Arial"/>
          <w:sz w:val="24"/>
          <w:szCs w:val="24"/>
          <w:lang w:val="en-US"/>
        </w:rPr>
        <w:t xml:space="preserve">. </w:t>
      </w:r>
    </w:p>
    <w:p w14:paraId="0A560BDF" w14:textId="0D546101" w:rsidR="004801D7" w:rsidRPr="004801D7" w:rsidRDefault="004801D7" w:rsidP="004801D7">
      <w:pPr>
        <w:spacing w:line="276" w:lineRule="auto"/>
        <w:jc w:val="both"/>
        <w:rPr>
          <w:rFonts w:ascii="Arial" w:hAnsi="Arial" w:cs="Arial"/>
          <w:sz w:val="24"/>
          <w:szCs w:val="24"/>
          <w:lang w:val="en-US"/>
        </w:rPr>
      </w:pPr>
    </w:p>
    <w:p w14:paraId="368FD014" w14:textId="6B6FF9B1" w:rsidR="004801D7" w:rsidRPr="00EB2A7C" w:rsidRDefault="004801D7" w:rsidP="00EB2A7C">
      <w:pPr>
        <w:spacing w:line="276" w:lineRule="auto"/>
        <w:jc w:val="both"/>
        <w:rPr>
          <w:rFonts w:ascii="Arial" w:hAnsi="Arial" w:cs="Arial"/>
          <w:b/>
          <w:bCs/>
          <w:color w:val="C0A4CE"/>
          <w:sz w:val="32"/>
          <w:szCs w:val="32"/>
          <w:lang w:val="en-US"/>
        </w:rPr>
      </w:pPr>
      <w:r w:rsidRPr="00EB2A7C">
        <w:rPr>
          <w:rFonts w:ascii="Arial" w:hAnsi="Arial" w:cs="Arial"/>
          <w:b/>
          <w:bCs/>
          <w:color w:val="C0A4CE"/>
          <w:sz w:val="32"/>
          <w:szCs w:val="32"/>
          <w:lang w:val="en-US"/>
        </w:rPr>
        <w:t xml:space="preserve">The </w:t>
      </w:r>
      <w:r w:rsidRPr="00EB2A7C">
        <w:rPr>
          <w:rFonts w:ascii="Arial" w:hAnsi="Arial" w:cs="Arial"/>
          <w:b/>
          <w:bCs/>
          <w:color w:val="C0A4CE"/>
          <w:sz w:val="32"/>
          <w:szCs w:val="32"/>
        </w:rPr>
        <w:t>four triggers are discussed below:</w:t>
      </w:r>
      <w:r w:rsidRPr="00EB2A7C">
        <w:rPr>
          <w:rFonts w:ascii="Arial" w:hAnsi="Arial" w:cs="Arial"/>
          <w:b/>
          <w:bCs/>
          <w:color w:val="C0A4CE"/>
          <w:sz w:val="32"/>
          <w:szCs w:val="32"/>
          <w:lang w:val="en-US"/>
        </w:rPr>
        <w:t xml:space="preserve"> </w:t>
      </w:r>
    </w:p>
    <w:p w14:paraId="43F6B9F8" w14:textId="54F99699" w:rsidR="00562D59" w:rsidRDefault="00562D59" w:rsidP="00562D59">
      <w:pPr>
        <w:spacing w:line="276" w:lineRule="auto"/>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4639102" behindDoc="0" locked="0" layoutInCell="1" allowOverlap="1" wp14:anchorId="1301B0FC" wp14:editId="290CB23A">
                <wp:simplePos x="0" y="0"/>
                <wp:positionH relativeFrom="margin">
                  <wp:posOffset>1843405</wp:posOffset>
                </wp:positionH>
                <wp:positionV relativeFrom="paragraph">
                  <wp:posOffset>164356</wp:posOffset>
                </wp:positionV>
                <wp:extent cx="2959100" cy="304800"/>
                <wp:effectExtent l="0" t="0" r="0" b="0"/>
                <wp:wrapNone/>
                <wp:docPr id="2447" name="Text Box 2447"/>
                <wp:cNvGraphicFramePr/>
                <a:graphic xmlns:a="http://schemas.openxmlformats.org/drawingml/2006/main">
                  <a:graphicData uri="http://schemas.microsoft.com/office/word/2010/wordprocessingShape">
                    <wps:wsp>
                      <wps:cNvSpPr txBox="1"/>
                      <wps:spPr>
                        <a:xfrm>
                          <a:off x="0" y="0"/>
                          <a:ext cx="2959100" cy="304800"/>
                        </a:xfrm>
                        <a:prstGeom prst="rect">
                          <a:avLst/>
                        </a:prstGeom>
                        <a:noFill/>
                        <a:ln w="6350">
                          <a:noFill/>
                        </a:ln>
                      </wps:spPr>
                      <wps:txbx>
                        <w:txbxContent>
                          <w:p w14:paraId="77B970CF" w14:textId="77777777" w:rsidR="00D15FD8" w:rsidRPr="00AB11BF" w:rsidRDefault="00D15FD8" w:rsidP="00F24CF2">
                            <w:pPr>
                              <w:jc w:val="center"/>
                              <w:rPr>
                                <w:rFonts w:ascii="Arial" w:hAnsi="Arial" w:cs="Arial"/>
                                <w:b/>
                                <w:bCs/>
                                <w:iCs/>
                                <w:color w:val="69557F"/>
                                <w:sz w:val="24"/>
                                <w:szCs w:val="24"/>
                                <w:lang w:val="en-US"/>
                              </w:rPr>
                            </w:pPr>
                            <w:r w:rsidRPr="00AB11BF">
                              <w:rPr>
                                <w:rFonts w:ascii="Arial" w:hAnsi="Arial" w:cs="Arial"/>
                                <w:b/>
                                <w:bCs/>
                                <w:iCs/>
                                <w:color w:val="69557F"/>
                                <w:sz w:val="24"/>
                                <w:szCs w:val="24"/>
                                <w:lang w:val="en-US"/>
                              </w:rPr>
                              <w:t>Political transitions</w:t>
                            </w:r>
                          </w:p>
                          <w:p w14:paraId="56F311B8" w14:textId="77777777" w:rsidR="00D15FD8" w:rsidRPr="00AB11BF" w:rsidRDefault="00D15FD8" w:rsidP="00F24CF2">
                            <w:pPr>
                              <w:jc w:val="center"/>
                              <w:rPr>
                                <w:color w:val="69557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01B0FC" id="Text Box 2447" o:spid="_x0000_s1698" type="#_x0000_t202" style="position:absolute;left:0;text-align:left;margin-left:145.15pt;margin-top:12.95pt;width:233pt;height:24pt;z-index:25463910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" filled="f" stroked="f" strokeweight=".5pt">
                <v:textbox>
                  <w:txbxContent>
                    <w:p w14:paraId="77B970CF" w14:textId="77777777" w:rsidR="00D15FD8" w:rsidRPr="00AB11BF" w:rsidRDefault="00D15FD8" w:rsidP="00F24CF2">
                      <w:pPr>
                        <w:jc w:val="center"/>
                        <w:rPr>
                          <w:rFonts w:ascii="Arial" w:hAnsi="Arial" w:cs="Arial"/>
                          <w:b/>
                          <w:bCs/>
                          <w:iCs/>
                          <w:color w:val="69557F"/>
                          <w:sz w:val="24"/>
                          <w:szCs w:val="24"/>
                          <w:lang w:val="en-US"/>
                        </w:rPr>
                      </w:pPr>
                      <w:r w:rsidRPr="00AB11BF">
                        <w:rPr>
                          <w:rFonts w:ascii="Arial" w:hAnsi="Arial" w:cs="Arial"/>
                          <w:b/>
                          <w:bCs/>
                          <w:iCs/>
                          <w:color w:val="69557F"/>
                          <w:sz w:val="24"/>
                          <w:szCs w:val="24"/>
                          <w:lang w:val="en-US"/>
                        </w:rPr>
                        <w:t>Political transitions</w:t>
                      </w:r>
                    </w:p>
                    <w:p w14:paraId="56F311B8" w14:textId="77777777" w:rsidR="00D15FD8" w:rsidRPr="00AB11BF" w:rsidRDefault="00D15FD8" w:rsidP="00F24CF2">
                      <w:pPr>
                        <w:jc w:val="center"/>
                        <w:rPr>
                          <w:color w:val="69557F"/>
                          <w:sz w:val="24"/>
                          <w:szCs w:val="24"/>
                        </w:rPr>
                      </w:pPr>
                    </w:p>
                  </w:txbxContent>
                </v:textbox>
                <w10:wrap anchorx="margin"/>
              </v:shape>
            </w:pict>
          </mc:Fallback>
        </mc:AlternateContent>
      </w:r>
      <w:r>
        <w:rPr>
          <w:rFonts w:ascii="Arial" w:hAnsi="Arial" w:cs="Arial"/>
          <w:noProof/>
          <w:sz w:val="24"/>
          <w:szCs w:val="24"/>
          <w:lang w:val="en-US"/>
        </w:rPr>
        <mc:AlternateContent>
          <mc:Choice Requires="wps">
            <w:drawing>
              <wp:anchor distT="0" distB="0" distL="114300" distR="114300" simplePos="0" relativeHeight="254638078" behindDoc="0" locked="0" layoutInCell="1" allowOverlap="1" wp14:anchorId="325C4271" wp14:editId="7BE90F15">
                <wp:simplePos x="0" y="0"/>
                <wp:positionH relativeFrom="margin">
                  <wp:align>center</wp:align>
                </wp:positionH>
                <wp:positionV relativeFrom="paragraph">
                  <wp:posOffset>85090</wp:posOffset>
                </wp:positionV>
                <wp:extent cx="6721200" cy="431800"/>
                <wp:effectExtent l="0" t="0" r="0" b="0"/>
                <wp:wrapNone/>
                <wp:docPr id="1700" name="Rounded Rectangle 1700"/>
                <wp:cNvGraphicFramePr/>
                <a:graphic xmlns:a="http://schemas.openxmlformats.org/drawingml/2006/main">
                  <a:graphicData uri="http://schemas.microsoft.com/office/word/2010/wordprocessingShape">
                    <wps:wsp>
                      <wps:cNvSpPr/>
                      <wps:spPr>
                        <a:xfrm>
                          <a:off x="0" y="0"/>
                          <a:ext cx="6721200" cy="431800"/>
                        </a:xfrm>
                        <a:prstGeom prst="roundRect">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0344348" id="Rounded Rectangle 1700" o:spid="_x0000_s1026" style="position:absolute;margin-left:0;margin-top:6.7pt;width:529.25pt;height:34pt;z-index:2546380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" fillcolor="#e1cbef" stroked="f" strokeweight="1pt">
                <v:stroke joinstyle="miter"/>
                <w10:wrap anchorx="margin"/>
              </v:roundrect>
            </w:pict>
          </mc:Fallback>
        </mc:AlternateContent>
      </w:r>
    </w:p>
    <w:p w14:paraId="27F8ED42" w14:textId="31AE47C2" w:rsidR="00562D59" w:rsidRDefault="00562D59" w:rsidP="00562D59">
      <w:pPr>
        <w:spacing w:line="276" w:lineRule="auto"/>
        <w:jc w:val="both"/>
        <w:rPr>
          <w:rFonts w:ascii="Arial" w:hAnsi="Arial" w:cs="Arial"/>
          <w:sz w:val="24"/>
          <w:szCs w:val="24"/>
          <w:lang w:val="en-US"/>
        </w:rPr>
      </w:pPr>
    </w:p>
    <w:p w14:paraId="4EE376B0" w14:textId="4883F881" w:rsidR="00562D59" w:rsidRDefault="007629CC" w:rsidP="00562D59">
      <w:pPr>
        <w:spacing w:line="276" w:lineRule="auto"/>
        <w:jc w:val="both"/>
        <w:rPr>
          <w:rFonts w:ascii="Arial" w:hAnsi="Arial" w:cs="Arial"/>
          <w:sz w:val="24"/>
          <w:szCs w:val="24"/>
          <w:lang w:val="en-US"/>
        </w:rPr>
      </w:pPr>
      <w:r>
        <w:rPr>
          <w:rFonts w:ascii="Arial" w:hAnsi="Arial" w:cs="Arial"/>
          <w:noProof/>
          <w:sz w:val="24"/>
          <w:szCs w:val="24"/>
          <w:lang w:val="en-US"/>
        </w:rPr>
        <w:drawing>
          <wp:anchor distT="0" distB="0" distL="114300" distR="114300" simplePos="0" relativeHeight="255142910" behindDoc="0" locked="0" layoutInCell="1" allowOverlap="1" wp14:anchorId="7CEE3C2E" wp14:editId="24BAFE09">
            <wp:simplePos x="0" y="0"/>
            <wp:positionH relativeFrom="column">
              <wp:posOffset>-32057</wp:posOffset>
            </wp:positionH>
            <wp:positionV relativeFrom="paragraph">
              <wp:posOffset>205740</wp:posOffset>
            </wp:positionV>
            <wp:extent cx="1595755" cy="2002155"/>
            <wp:effectExtent l="0" t="0" r="4445" b="4445"/>
            <wp:wrapSquare wrapText="bothSides"/>
            <wp:docPr id="2790"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Picture 2790"/>
                    <pic:cNvPicPr/>
                  </pic:nvPicPr>
                  <pic:blipFill rotWithShape="1">
                    <a:blip r:embed="rId1007" cstate="screen">
                      <a:extLst>
                        <a:ext uri="{28A0092B-C50C-407E-A947-70E740481C1C}">
                          <a14:useLocalDpi xmlns:a14="http://schemas.microsoft.com/office/drawing/2010/main"/>
                        </a:ext>
                      </a:extLst>
                    </a:blip>
                    <a:srcRect/>
                    <a:stretch/>
                  </pic:blipFill>
                  <pic:spPr bwMode="auto">
                    <a:xfrm>
                      <a:off x="0" y="0"/>
                      <a:ext cx="1595755" cy="2002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4306E8" w14:textId="47545562" w:rsidR="00562D59" w:rsidRPr="00EB2A7C" w:rsidRDefault="00562D59" w:rsidP="00EB2A7C">
      <w:pPr>
        <w:spacing w:line="276" w:lineRule="auto"/>
        <w:jc w:val="both"/>
        <w:rPr>
          <w:rFonts w:ascii="Arial" w:hAnsi="Arial" w:cs="Arial"/>
          <w:sz w:val="24"/>
          <w:szCs w:val="24"/>
        </w:rPr>
      </w:pPr>
      <w:r w:rsidRPr="00EB2A7C">
        <w:rPr>
          <w:rFonts w:ascii="Arial" w:hAnsi="Arial" w:cs="Arial"/>
          <w:sz w:val="24"/>
          <w:szCs w:val="24"/>
        </w:rPr>
        <w:t xml:space="preserve">Fiscal transparency has a political dimension. This is because the setting and achievement of fiscal transparency objectives depends strongly on those who manage public finances. </w:t>
      </w:r>
      <w:r w:rsidRPr="00EB2A7C">
        <w:rPr>
          <w:rFonts w:ascii="Arial" w:hAnsi="Arial" w:cs="Arial"/>
          <w:sz w:val="24"/>
          <w:szCs w:val="24"/>
          <w:lang w:val="en-US"/>
        </w:rPr>
        <w:t xml:space="preserve">This includes the </w:t>
      </w:r>
      <w:r w:rsidRPr="00EB2A7C">
        <w:rPr>
          <w:rFonts w:ascii="Arial" w:hAnsi="Arial" w:cs="Arial"/>
          <w:sz w:val="24"/>
          <w:szCs w:val="24"/>
        </w:rPr>
        <w:t>political leaders who manage fiscal policy matters, political and managerial public officials who are responsible for the effective allocation of resources, and public officials at all levels who deliver public services. In addition, fiscal</w:t>
      </w:r>
      <w:r w:rsidRPr="00EB2A7C">
        <w:rPr>
          <w:rFonts w:ascii="Arial" w:hAnsi="Arial" w:cs="Arial"/>
          <w:sz w:val="24"/>
          <w:szCs w:val="24"/>
          <w:lang w:val="en-US"/>
        </w:rPr>
        <w:t xml:space="preserve"> transparency also has a strong impact on the rules of the game, institutions and stakeholders of PFM systems. </w:t>
      </w:r>
      <w:r w:rsidRPr="00EB2A7C">
        <w:rPr>
          <w:rFonts w:ascii="Arial" w:hAnsi="Arial" w:cs="Arial"/>
          <w:sz w:val="24"/>
          <w:szCs w:val="24"/>
        </w:rPr>
        <w:t xml:space="preserve">Political leaders and bureaucrats behave in different ways, depending on political power dynamics, what their incentives are, and whether fiscal transparency benefits them, or negatively affects them. Fiscal transparency also depends on the actors outside of the executive and whether they demand fiscal transparency and use the information resulting from it. </w:t>
      </w:r>
    </w:p>
    <w:p w14:paraId="166CB652" w14:textId="77777777" w:rsidR="00562D59" w:rsidRPr="00EB2A7C" w:rsidRDefault="00562D59" w:rsidP="00EB2A7C">
      <w:pPr>
        <w:spacing w:line="276" w:lineRule="auto"/>
        <w:jc w:val="both"/>
        <w:rPr>
          <w:rFonts w:ascii="Arial" w:hAnsi="Arial" w:cs="Arial"/>
          <w:sz w:val="24"/>
          <w:szCs w:val="24"/>
        </w:rPr>
      </w:pPr>
    </w:p>
    <w:p w14:paraId="639B1891" w14:textId="421AF893" w:rsidR="00562D59" w:rsidRDefault="00562D59" w:rsidP="00562D59">
      <w:pPr>
        <w:spacing w:line="276" w:lineRule="auto"/>
        <w:jc w:val="both"/>
        <w:rPr>
          <w:rFonts w:ascii="Arial" w:hAnsi="Arial" w:cs="Arial"/>
          <w:sz w:val="24"/>
          <w:szCs w:val="24"/>
        </w:rPr>
      </w:pPr>
      <w:r w:rsidRPr="00EB2A7C">
        <w:rPr>
          <w:rFonts w:ascii="Arial" w:hAnsi="Arial" w:cs="Arial"/>
          <w:sz w:val="24"/>
          <w:szCs w:val="24"/>
        </w:rPr>
        <w:lastRenderedPageBreak/>
        <w:t>Other factors include political transitions that bring an end to autocratic rule, together with political contestation and alternation in power. The regime transitions in Brazil, Mexico, South Africa, and South Korea, by the end of the last century, among others, provide examples of this. The nature of the political regime that emerges from the transition process is key, particularly the degree of competitiveness of party politics as well as the strength of opposition parties and the power of the legislature relative to the executive. Different powerful factions of political elites may be divided against one another. One side may view increased fiscal transparency as a tool in this competition, for example, a faction of political elites may</w:t>
      </w:r>
      <w:r w:rsidRPr="00EB2A7C">
        <w:rPr>
          <w:rFonts w:ascii="Arial" w:hAnsi="Arial" w:cs="Arial"/>
          <w:sz w:val="24"/>
          <w:szCs w:val="24"/>
          <w:lang w:val="en-US"/>
        </w:rPr>
        <w:t xml:space="preserve"> favor</w:t>
      </w:r>
      <w:r w:rsidRPr="00EB2A7C">
        <w:rPr>
          <w:rFonts w:ascii="Arial" w:hAnsi="Arial" w:cs="Arial"/>
          <w:sz w:val="24"/>
          <w:szCs w:val="24"/>
        </w:rPr>
        <w:t xml:space="preserve"> transparency reforms because they lose little through such reforms and may gain the support of an important constituency that</w:t>
      </w:r>
      <w:r w:rsidRPr="00EB2A7C">
        <w:rPr>
          <w:rFonts w:ascii="Arial" w:hAnsi="Arial" w:cs="Arial"/>
          <w:sz w:val="24"/>
          <w:szCs w:val="24"/>
          <w:lang w:val="en-US"/>
        </w:rPr>
        <w:t xml:space="preserve"> favors</w:t>
      </w:r>
      <w:r w:rsidRPr="00EB2A7C">
        <w:rPr>
          <w:rFonts w:ascii="Arial" w:hAnsi="Arial" w:cs="Arial"/>
          <w:sz w:val="24"/>
          <w:szCs w:val="24"/>
        </w:rPr>
        <w:t xml:space="preserve"> transparency. Generally, the higher the level of political party competition and the probability of losing power in the next election, the more a government will be incentivized to promote transparency and reduce discretion. For instance, the government might</w:t>
      </w:r>
      <w:r w:rsidRPr="00EB2A7C">
        <w:rPr>
          <w:rFonts w:ascii="Arial" w:hAnsi="Arial" w:cs="Arial"/>
          <w:sz w:val="24"/>
          <w:szCs w:val="24"/>
          <w:lang w:val="en-US"/>
        </w:rPr>
        <w:t xml:space="preserve"> favor</w:t>
      </w:r>
      <w:r w:rsidRPr="00EB2A7C">
        <w:rPr>
          <w:rFonts w:ascii="Arial" w:hAnsi="Arial" w:cs="Arial"/>
          <w:sz w:val="24"/>
          <w:szCs w:val="24"/>
        </w:rPr>
        <w:t xml:space="preserve">, </w:t>
      </w:r>
      <w:r w:rsidRPr="00EB2A7C">
        <w:rPr>
          <w:rFonts w:ascii="Arial" w:hAnsi="Arial" w:cs="Arial"/>
          <w:sz w:val="24"/>
          <w:szCs w:val="24"/>
          <w:lang w:val="en-US"/>
        </w:rPr>
        <w:t>institutionalizing transparency rules, in order to bind competitors in the case of electoral defeat</w:t>
      </w:r>
      <w:r w:rsidRPr="00EB2A7C">
        <w:rPr>
          <w:rFonts w:ascii="Arial" w:hAnsi="Arial" w:cs="Arial"/>
          <w:sz w:val="24"/>
          <w:szCs w:val="24"/>
        </w:rPr>
        <w:t xml:space="preserve">. Besides electoral processes, </w:t>
      </w:r>
      <w:r w:rsidRPr="00EB2A7C">
        <w:rPr>
          <w:rFonts w:ascii="Arial" w:hAnsi="Arial" w:cs="Arial"/>
          <w:sz w:val="24"/>
          <w:szCs w:val="24"/>
          <w:lang w:val="en-US"/>
        </w:rPr>
        <w:t>the effectiveness of parliament also depends on the extent of political competition, and whether it actually demands and uses the fiscal information provided to it, to hold the executive accountable. For example, if the majority of the parliament and the executive are from the same political party, there may not be a political incentive for parliament to question the executive</w:t>
      </w:r>
      <w:r w:rsidRPr="00EB2A7C">
        <w:rPr>
          <w:rFonts w:ascii="Arial" w:hAnsi="Arial" w:cs="Arial"/>
          <w:sz w:val="24"/>
          <w:szCs w:val="24"/>
        </w:rPr>
        <w:t>. In addition, political transitions generally only bring about more transformative changes when they are led by reform minded politicians and technocrats</w:t>
      </w:r>
      <w:r w:rsidRPr="00EB2A7C">
        <w:rPr>
          <w:rFonts w:ascii="Arial" w:hAnsi="Arial" w:cs="Arial"/>
          <w:sz w:val="24"/>
          <w:szCs w:val="24"/>
          <w:vertAlign w:val="superscript"/>
        </w:rPr>
        <w:footnoteReference w:id="87"/>
      </w:r>
      <w:r w:rsidRPr="00EB2A7C">
        <w:rPr>
          <w:rFonts w:ascii="Arial" w:hAnsi="Arial" w:cs="Arial"/>
          <w:sz w:val="24"/>
          <w:szCs w:val="24"/>
        </w:rPr>
        <w:t>, or when there are strong relationships between progressive political parties, and capable civil society organizations that see the budget as an important arena for engaging with the government and thereby press for change</w:t>
      </w:r>
      <w:r w:rsidRPr="00EB2A7C">
        <w:rPr>
          <w:rFonts w:ascii="Arial" w:hAnsi="Arial" w:cs="Arial"/>
          <w:sz w:val="24"/>
          <w:szCs w:val="24"/>
          <w:vertAlign w:val="superscript"/>
        </w:rPr>
        <w:footnoteReference w:id="88"/>
      </w:r>
      <w:r w:rsidRPr="00EB2A7C">
        <w:rPr>
          <w:rFonts w:ascii="Arial" w:hAnsi="Arial" w:cs="Arial"/>
          <w:sz w:val="24"/>
          <w:szCs w:val="24"/>
        </w:rPr>
        <w:t xml:space="preserve"> and more inclusive development. </w:t>
      </w:r>
    </w:p>
    <w:p w14:paraId="5009E477" w14:textId="1A0171D7" w:rsidR="00562D59" w:rsidRDefault="00562D59" w:rsidP="00562D5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642174" behindDoc="0" locked="0" layoutInCell="1" allowOverlap="1" wp14:anchorId="0E934DEA" wp14:editId="07B987FD">
                <wp:simplePos x="0" y="0"/>
                <wp:positionH relativeFrom="margin">
                  <wp:posOffset>1354455</wp:posOffset>
                </wp:positionH>
                <wp:positionV relativeFrom="paragraph">
                  <wp:posOffset>136416</wp:posOffset>
                </wp:positionV>
                <wp:extent cx="3937000" cy="304800"/>
                <wp:effectExtent l="0" t="0" r="0" b="0"/>
                <wp:wrapNone/>
                <wp:docPr id="2547" name="Text Box 2547"/>
                <wp:cNvGraphicFramePr/>
                <a:graphic xmlns:a="http://schemas.openxmlformats.org/drawingml/2006/main">
                  <a:graphicData uri="http://schemas.microsoft.com/office/word/2010/wordprocessingShape">
                    <wps:wsp>
                      <wps:cNvSpPr txBox="1"/>
                      <wps:spPr>
                        <a:xfrm>
                          <a:off x="0" y="0"/>
                          <a:ext cx="3937000" cy="304800"/>
                        </a:xfrm>
                        <a:prstGeom prst="rect">
                          <a:avLst/>
                        </a:prstGeom>
                        <a:noFill/>
                        <a:ln w="6350">
                          <a:noFill/>
                        </a:ln>
                      </wps:spPr>
                      <wps:txbx>
                        <w:txbxContent>
                          <w:p w14:paraId="6349D59B" w14:textId="08D7F65C" w:rsidR="00D15FD8" w:rsidRPr="00AB11BF" w:rsidRDefault="00D15FD8" w:rsidP="00F24CF2">
                            <w:pPr>
                              <w:jc w:val="center"/>
                              <w:rPr>
                                <w:color w:val="69557F"/>
                                <w:sz w:val="24"/>
                                <w:szCs w:val="24"/>
                              </w:rPr>
                            </w:pPr>
                            <w:r w:rsidRPr="00AB11BF">
                              <w:rPr>
                                <w:rFonts w:ascii="Arial" w:hAnsi="Arial" w:cs="Arial"/>
                                <w:b/>
                                <w:bCs/>
                                <w:iCs/>
                                <w:color w:val="69557F"/>
                                <w:sz w:val="24"/>
                                <w:szCs w:val="24"/>
                                <w:lang w:val="en-US"/>
                              </w:rPr>
                              <w:t>Political and corruption scandals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934DEA" id="Text Box 2547" o:spid="_x0000_s1699" type="#_x0000_t202" style="position:absolute;left:0;text-align:left;margin-left:106.65pt;margin-top:10.75pt;width:310pt;height:24pt;z-index:25464217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" filled="f" stroked="f" strokeweight=".5pt">
                <v:textbox>
                  <w:txbxContent>
                    <w:p w14:paraId="6349D59B" w14:textId="08D7F65C" w:rsidR="00D15FD8" w:rsidRPr="00AB11BF" w:rsidRDefault="00D15FD8" w:rsidP="00F24CF2">
                      <w:pPr>
                        <w:jc w:val="center"/>
                        <w:rPr>
                          <w:color w:val="69557F"/>
                          <w:sz w:val="24"/>
                          <w:szCs w:val="24"/>
                        </w:rPr>
                      </w:pPr>
                      <w:r w:rsidRPr="00AB11BF">
                        <w:rPr>
                          <w:rFonts w:ascii="Arial" w:hAnsi="Arial" w:cs="Arial"/>
                          <w:b/>
                          <w:bCs/>
                          <w:iCs/>
                          <w:color w:val="69557F"/>
                          <w:sz w:val="24"/>
                          <w:szCs w:val="24"/>
                          <w:lang w:val="en-US"/>
                        </w:rPr>
                        <w:t>Political and corruption scandals</w:t>
                      </w:r>
                    </w:p>
                  </w:txbxContent>
                </v:textbox>
                <w10:wrap anchorx="margin"/>
              </v:shape>
            </w:pict>
          </mc:Fallback>
        </mc:AlternateContent>
      </w:r>
      <w:r>
        <w:rPr>
          <w:rFonts w:ascii="Arial" w:hAnsi="Arial" w:cs="Arial"/>
          <w:noProof/>
          <w:sz w:val="24"/>
          <w:szCs w:val="24"/>
          <w:lang w:val="en-US"/>
        </w:rPr>
        <mc:AlternateContent>
          <mc:Choice Requires="wps">
            <w:drawing>
              <wp:anchor distT="0" distB="0" distL="114300" distR="114300" simplePos="0" relativeHeight="254641150" behindDoc="0" locked="0" layoutInCell="1" allowOverlap="1" wp14:anchorId="2FF87194" wp14:editId="68A9ADEE">
                <wp:simplePos x="0" y="0"/>
                <wp:positionH relativeFrom="margin">
                  <wp:posOffset>0</wp:posOffset>
                </wp:positionH>
                <wp:positionV relativeFrom="paragraph">
                  <wp:posOffset>61595</wp:posOffset>
                </wp:positionV>
                <wp:extent cx="6721200" cy="431800"/>
                <wp:effectExtent l="0" t="0" r="0" b="0"/>
                <wp:wrapNone/>
                <wp:docPr id="2453" name="Rounded Rectangle 2453"/>
                <wp:cNvGraphicFramePr/>
                <a:graphic xmlns:a="http://schemas.openxmlformats.org/drawingml/2006/main">
                  <a:graphicData uri="http://schemas.microsoft.com/office/word/2010/wordprocessingShape">
                    <wps:wsp>
                      <wps:cNvSpPr/>
                      <wps:spPr>
                        <a:xfrm>
                          <a:off x="0" y="0"/>
                          <a:ext cx="6721200" cy="431800"/>
                        </a:xfrm>
                        <a:prstGeom prst="roundRect">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348B792" id="Rounded Rectangle 2453" o:spid="_x0000_s1026" style="position:absolute;margin-left:0;margin-top:4.85pt;width:529.25pt;height:34pt;z-index:2546411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" fillcolor="#e1cbef" stroked="f" strokeweight="1pt">
                <v:stroke joinstyle="miter"/>
                <w10:wrap anchorx="margin"/>
              </v:roundrect>
            </w:pict>
          </mc:Fallback>
        </mc:AlternateContent>
      </w:r>
    </w:p>
    <w:p w14:paraId="44135D8A" w14:textId="39E105FA" w:rsidR="00562D59" w:rsidRPr="00EB2A7C" w:rsidRDefault="00562D59" w:rsidP="00EB2A7C">
      <w:pPr>
        <w:spacing w:line="276" w:lineRule="auto"/>
        <w:jc w:val="both"/>
        <w:rPr>
          <w:rFonts w:ascii="Arial" w:hAnsi="Arial" w:cs="Arial"/>
          <w:sz w:val="24"/>
          <w:szCs w:val="24"/>
        </w:rPr>
      </w:pPr>
    </w:p>
    <w:p w14:paraId="500A5608" w14:textId="0E45157A" w:rsidR="00562D59" w:rsidRPr="00EB2A7C" w:rsidRDefault="00562D59" w:rsidP="00EB2A7C">
      <w:pPr>
        <w:spacing w:line="276" w:lineRule="auto"/>
        <w:ind w:left="810"/>
        <w:jc w:val="both"/>
        <w:rPr>
          <w:rFonts w:ascii="Arial" w:hAnsi="Arial" w:cs="Arial"/>
          <w:sz w:val="24"/>
          <w:szCs w:val="24"/>
        </w:rPr>
      </w:pPr>
    </w:p>
    <w:p w14:paraId="27D29CA1" w14:textId="7F23A0EE" w:rsidR="00562D59" w:rsidRDefault="00A10591" w:rsidP="00562D59">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5143934" behindDoc="0" locked="0" layoutInCell="1" allowOverlap="1" wp14:anchorId="1C366F02" wp14:editId="4C27C48D">
            <wp:simplePos x="0" y="0"/>
            <wp:positionH relativeFrom="column">
              <wp:posOffset>4693394</wp:posOffset>
            </wp:positionH>
            <wp:positionV relativeFrom="paragraph">
              <wp:posOffset>64135</wp:posOffset>
            </wp:positionV>
            <wp:extent cx="2011680" cy="1828800"/>
            <wp:effectExtent l="0" t="0" r="0" b="0"/>
            <wp:wrapSquare wrapText="bothSides"/>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Picture 2791"/>
                    <pic:cNvPicPr/>
                  </pic:nvPicPr>
                  <pic:blipFill rotWithShape="1">
                    <a:blip r:embed="rId1008" cstate="screen">
                      <a:extLst>
                        <a:ext uri="{28A0092B-C50C-407E-A947-70E740481C1C}">
                          <a14:useLocalDpi xmlns:a14="http://schemas.microsoft.com/office/drawing/2010/main"/>
                        </a:ext>
                      </a:extLst>
                    </a:blip>
                    <a:srcRect/>
                    <a:stretch/>
                  </pic:blipFill>
                  <pic:spPr bwMode="auto">
                    <a:xfrm>
                      <a:off x="0" y="0"/>
                      <a:ext cx="201168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D59" w:rsidRPr="00EB2A7C">
        <w:rPr>
          <w:rFonts w:ascii="Arial" w:hAnsi="Arial" w:cs="Arial"/>
          <w:sz w:val="24"/>
          <w:szCs w:val="24"/>
          <w:lang w:val="en-ZA"/>
        </w:rPr>
        <w:t>Widely publicized cases of corruption can lead reform-oriented actors to react strongly and compel governments to provide better public access to fiscal information</w:t>
      </w:r>
      <w:r w:rsidR="00562D59" w:rsidRPr="00EB2A7C">
        <w:rPr>
          <w:rFonts w:ascii="Arial" w:hAnsi="Arial" w:cs="Arial"/>
          <w:sz w:val="24"/>
          <w:szCs w:val="24"/>
        </w:rPr>
        <w:t xml:space="preserve">. </w:t>
      </w:r>
      <w:r w:rsidR="00562D59" w:rsidRPr="00EB2A7C">
        <w:rPr>
          <w:rFonts w:ascii="Arial" w:hAnsi="Arial" w:cs="Arial"/>
          <w:sz w:val="24"/>
          <w:szCs w:val="24"/>
          <w:lang w:val="en-US"/>
        </w:rPr>
        <w:t xml:space="preserve">For example, in Brazil in 2009 and Guatemala in the nineties and first decade of the millennium, key fiscal transparency reforms were introduced following public outcry over reported cases of corruption. Ad hoc coalitions of like-minded reformers were able to seize the opportunity presented by the urgent need to respond to the pressure exerted by independent media, public opinion and social movements. In Kenya, most of the key pieces of legislation were introduced by the </w:t>
      </w:r>
      <w:proofErr w:type="spellStart"/>
      <w:r w:rsidR="00562D59" w:rsidRPr="00EB2A7C">
        <w:rPr>
          <w:rFonts w:ascii="Arial" w:hAnsi="Arial" w:cs="Arial"/>
          <w:sz w:val="24"/>
          <w:szCs w:val="24"/>
          <w:lang w:val="en-US"/>
        </w:rPr>
        <w:t>Kibaki</w:t>
      </w:r>
      <w:proofErr w:type="spellEnd"/>
      <w:r w:rsidR="00562D59" w:rsidRPr="00EB2A7C">
        <w:rPr>
          <w:rFonts w:ascii="Arial" w:hAnsi="Arial" w:cs="Arial"/>
          <w:sz w:val="24"/>
          <w:szCs w:val="24"/>
          <w:lang w:val="en-US"/>
        </w:rPr>
        <w:t xml:space="preserve"> government after it was placed in power in 2002 on an anti-corruption electoral platform</w:t>
      </w:r>
      <w:r w:rsidR="00562D59" w:rsidRPr="00EB2A7C">
        <w:rPr>
          <w:rFonts w:ascii="Arial" w:hAnsi="Arial" w:cs="Arial"/>
          <w:sz w:val="24"/>
          <w:szCs w:val="24"/>
        </w:rPr>
        <w:t xml:space="preserve">. </w:t>
      </w:r>
      <w:r w:rsidR="00562D59" w:rsidRPr="00EB2A7C">
        <w:rPr>
          <w:rFonts w:ascii="Arial" w:hAnsi="Arial" w:cs="Arial"/>
          <w:sz w:val="24"/>
          <w:szCs w:val="24"/>
          <w:lang w:val="en-US"/>
        </w:rPr>
        <w:t xml:space="preserve">In the Philippines, as seen in the field example in module 1, the emphasis placed on transparency improvements by the Aquino Administration was a reflection of the election promise to fight corruption and improve governance. It also became an exercise of building trust. More corruption scandals that broke out halfway through Aquino’s term gave the reforms further impetus. In Uganda, the discovery of leakages in the funds allocated for schools in the mid-nineties was key in triggering the publication of disbursement information in newspapers. This also led to the government’s adoption of a specific strategy to promote budget transparency. Later in 2012, a corruption scandal involving the prime </w:t>
      </w:r>
      <w:r w:rsidR="00562D59" w:rsidRPr="00EB2A7C">
        <w:rPr>
          <w:rFonts w:ascii="Arial" w:hAnsi="Arial" w:cs="Arial"/>
          <w:sz w:val="24"/>
          <w:szCs w:val="24"/>
          <w:lang w:val="en-US"/>
        </w:rPr>
        <w:lastRenderedPageBreak/>
        <w:t>minister’s office provided strong motivation for the creation of an online budget portal that furthered fiscal transparency</w:t>
      </w:r>
      <w:r w:rsidR="00562D59" w:rsidRPr="00EB2A7C">
        <w:rPr>
          <w:rFonts w:ascii="Arial" w:hAnsi="Arial" w:cs="Arial"/>
          <w:sz w:val="24"/>
          <w:szCs w:val="24"/>
        </w:rPr>
        <w:t xml:space="preserve">. </w:t>
      </w:r>
    </w:p>
    <w:p w14:paraId="59CE6A8A" w14:textId="47F9098A" w:rsidR="00562D59" w:rsidRDefault="004D41D8" w:rsidP="00562D59">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645246" behindDoc="0" locked="0" layoutInCell="1" allowOverlap="1" wp14:anchorId="3D4DB3AB" wp14:editId="6B667557">
                <wp:simplePos x="0" y="0"/>
                <wp:positionH relativeFrom="margin">
                  <wp:posOffset>0</wp:posOffset>
                </wp:positionH>
                <wp:positionV relativeFrom="paragraph">
                  <wp:posOffset>163195</wp:posOffset>
                </wp:positionV>
                <wp:extent cx="6720840" cy="431800"/>
                <wp:effectExtent l="0" t="0" r="0" b="0"/>
                <wp:wrapNone/>
                <wp:docPr id="2568" name="Rounded Rectangle 2568"/>
                <wp:cNvGraphicFramePr/>
                <a:graphic xmlns:a="http://schemas.openxmlformats.org/drawingml/2006/main">
                  <a:graphicData uri="http://schemas.microsoft.com/office/word/2010/wordprocessingShape">
                    <wps:wsp>
                      <wps:cNvSpPr/>
                      <wps:spPr>
                        <a:xfrm>
                          <a:off x="0" y="0"/>
                          <a:ext cx="6720840" cy="431800"/>
                        </a:xfrm>
                        <a:prstGeom prst="roundRect">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6356090" id="Rounded Rectangle 2568" o:spid="_x0000_s1026" style="position:absolute;margin-left:0;margin-top:12.85pt;width:529.2pt;height:34pt;z-index:254645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" fillcolor="#e1cbef" stroked="f" strokeweight="1pt">
                <v:stroke joinstyle="miter"/>
                <w10:wrap anchorx="margin"/>
              </v:roundrect>
            </w:pict>
          </mc:Fallback>
        </mc:AlternateContent>
      </w:r>
    </w:p>
    <w:p w14:paraId="1E58DC94" w14:textId="37EFBD9D" w:rsidR="00562D59" w:rsidRPr="00EB2A7C" w:rsidRDefault="004D41D8" w:rsidP="00EB2A7C">
      <w:pPr>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646270" behindDoc="0" locked="0" layoutInCell="1" allowOverlap="1" wp14:anchorId="386FE461" wp14:editId="5A27D9DA">
                <wp:simplePos x="0" y="0"/>
                <wp:positionH relativeFrom="margin">
                  <wp:posOffset>1354455</wp:posOffset>
                </wp:positionH>
                <wp:positionV relativeFrom="paragraph">
                  <wp:posOffset>51961</wp:posOffset>
                </wp:positionV>
                <wp:extent cx="3937000" cy="304800"/>
                <wp:effectExtent l="0" t="0" r="0" b="0"/>
                <wp:wrapNone/>
                <wp:docPr id="2569" name="Text Box 2569"/>
                <wp:cNvGraphicFramePr/>
                <a:graphic xmlns:a="http://schemas.openxmlformats.org/drawingml/2006/main">
                  <a:graphicData uri="http://schemas.microsoft.com/office/word/2010/wordprocessingShape">
                    <wps:wsp>
                      <wps:cNvSpPr txBox="1"/>
                      <wps:spPr>
                        <a:xfrm>
                          <a:off x="0" y="0"/>
                          <a:ext cx="3937000" cy="304800"/>
                        </a:xfrm>
                        <a:prstGeom prst="rect">
                          <a:avLst/>
                        </a:prstGeom>
                        <a:noFill/>
                        <a:ln w="6350">
                          <a:noFill/>
                        </a:ln>
                      </wps:spPr>
                      <wps:txbx>
                        <w:txbxContent>
                          <w:p w14:paraId="59A31DF4" w14:textId="40ABA80E" w:rsidR="00D15FD8" w:rsidRPr="00AB11BF" w:rsidRDefault="00D15FD8" w:rsidP="00F24CF2">
                            <w:pPr>
                              <w:jc w:val="center"/>
                              <w:rPr>
                                <w:color w:val="69557F"/>
                                <w:sz w:val="24"/>
                                <w:szCs w:val="24"/>
                              </w:rPr>
                            </w:pPr>
                            <w:r w:rsidRPr="00AB11BF">
                              <w:rPr>
                                <w:rFonts w:ascii="Arial" w:hAnsi="Arial" w:cs="Arial"/>
                                <w:b/>
                                <w:bCs/>
                                <w:iCs/>
                                <w:color w:val="69557F"/>
                                <w:sz w:val="24"/>
                                <w:szCs w:val="24"/>
                                <w:lang w:val="en-US"/>
                              </w:rPr>
                              <w:t>Fiscal/economic crisis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6FE461" id="Text Box 2569" o:spid="_x0000_s1700" type="#_x0000_t202" style="position:absolute;left:0;text-align:left;margin-left:106.65pt;margin-top:4.1pt;width:310pt;height:24pt;z-index:25464627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" filled="f" stroked="f" strokeweight=".5pt">
                <v:textbox>
                  <w:txbxContent>
                    <w:p w14:paraId="59A31DF4" w14:textId="40ABA80E" w:rsidR="00D15FD8" w:rsidRPr="00AB11BF" w:rsidRDefault="00D15FD8" w:rsidP="00F24CF2">
                      <w:pPr>
                        <w:jc w:val="center"/>
                        <w:rPr>
                          <w:color w:val="69557F"/>
                          <w:sz w:val="24"/>
                          <w:szCs w:val="24"/>
                        </w:rPr>
                      </w:pPr>
                      <w:r w:rsidRPr="00AB11BF">
                        <w:rPr>
                          <w:rFonts w:ascii="Arial" w:hAnsi="Arial" w:cs="Arial"/>
                          <w:b/>
                          <w:bCs/>
                          <w:iCs/>
                          <w:color w:val="69557F"/>
                          <w:sz w:val="24"/>
                          <w:szCs w:val="24"/>
                          <w:lang w:val="en-US"/>
                        </w:rPr>
                        <w:t>Fiscal/economic crisis</w:t>
                      </w:r>
                    </w:p>
                  </w:txbxContent>
                </v:textbox>
                <w10:wrap anchorx="margin"/>
              </v:shape>
            </w:pict>
          </mc:Fallback>
        </mc:AlternateContent>
      </w:r>
    </w:p>
    <w:p w14:paraId="55CFA3EE" w14:textId="77777777" w:rsidR="00562D59" w:rsidRDefault="00562D59" w:rsidP="00562D59">
      <w:pPr>
        <w:ind w:left="810"/>
        <w:jc w:val="both"/>
      </w:pPr>
    </w:p>
    <w:p w14:paraId="023450CF" w14:textId="648657FD" w:rsidR="004D41D8" w:rsidRPr="00EB2A7C" w:rsidRDefault="00A10591" w:rsidP="00EB2A7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5144958" behindDoc="0" locked="0" layoutInCell="1" allowOverlap="1" wp14:anchorId="533C3272" wp14:editId="0CDA9AB0">
            <wp:simplePos x="0" y="0"/>
            <wp:positionH relativeFrom="column">
              <wp:posOffset>0</wp:posOffset>
            </wp:positionH>
            <wp:positionV relativeFrom="paragraph">
              <wp:posOffset>106702</wp:posOffset>
            </wp:positionV>
            <wp:extent cx="2093595" cy="2695575"/>
            <wp:effectExtent l="0" t="0" r="1905" b="0"/>
            <wp:wrapSquare wrapText="bothSides"/>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 name="Picture 2792"/>
                    <pic:cNvPicPr/>
                  </pic:nvPicPr>
                  <pic:blipFill rotWithShape="1">
                    <a:blip r:embed="rId1009" cstate="screen">
                      <a:extLst>
                        <a:ext uri="{28A0092B-C50C-407E-A947-70E740481C1C}">
                          <a14:useLocalDpi xmlns:a14="http://schemas.microsoft.com/office/drawing/2010/main"/>
                        </a:ext>
                      </a:extLst>
                    </a:blip>
                    <a:srcRect/>
                    <a:stretch/>
                  </pic:blipFill>
                  <pic:spPr bwMode="auto">
                    <a:xfrm>
                      <a:off x="0" y="0"/>
                      <a:ext cx="2093595" cy="269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0E43C4" w14:textId="2D6A1B9B" w:rsidR="00562D59" w:rsidRPr="00EB2A7C" w:rsidRDefault="00562D59" w:rsidP="00EB2A7C">
      <w:pPr>
        <w:spacing w:line="276" w:lineRule="auto"/>
        <w:jc w:val="both"/>
        <w:rPr>
          <w:rFonts w:ascii="Arial" w:hAnsi="Arial" w:cs="Arial"/>
          <w:sz w:val="24"/>
          <w:szCs w:val="24"/>
        </w:rPr>
      </w:pPr>
      <w:r w:rsidRPr="00EB2A7C">
        <w:rPr>
          <w:rFonts w:ascii="Arial" w:hAnsi="Arial" w:cs="Arial"/>
          <w:sz w:val="24"/>
          <w:szCs w:val="24"/>
        </w:rPr>
        <w:t>Fiscal and economic crises can trigger transparency improvements, as part of reforms to address the causes of such crises or because of the pressure put on the executive branch to demonstrate clearly how limited resources are spent in times of scarcity. For example, Brazil and South Africa responded to looming fiscal crises in the 1990s by introducing important fiscal transparency reforms aimed at keeping the spending of subnational governments in check. Reformers in Indonesia and South Korea reacted to the 1997 Asian Financial Crisis by introducing wide-ranging reforms that deepened fiscal transparency. These measures were meant not just to maintain domestic fiscal discipline, but also to signal to international financial markets that the government was serious about keeping its house in order and attracting foreign investors. In Argentina, early transparency improvements were introduced after 1998 to prevent a repeat of the negative growth rates, fiscal crises, and hyperinflation experienced in prior years. In Mexico, between 2014 and 2016, economic crises created the tough financial conditions that spurred greater openness on the part of government, in order to demonstrate why cuts had to be made and how those cuts were distributed. This assisted in legitimizing those decisions.</w:t>
      </w:r>
    </w:p>
    <w:p w14:paraId="3B4A8182" w14:textId="77777777" w:rsidR="00562D59" w:rsidRPr="002E23F6" w:rsidRDefault="00562D59" w:rsidP="00562D59">
      <w:pPr>
        <w:ind w:left="810"/>
        <w:jc w:val="both"/>
      </w:pPr>
    </w:p>
    <w:p w14:paraId="345720C2" w14:textId="5427E4B4" w:rsidR="00562D59" w:rsidRPr="00EB2A7C" w:rsidRDefault="00562D59" w:rsidP="00EB2A7C">
      <w:pPr>
        <w:spacing w:line="276" w:lineRule="auto"/>
        <w:jc w:val="both"/>
        <w:rPr>
          <w:rFonts w:ascii="Arial" w:hAnsi="Arial" w:cs="Arial"/>
          <w:sz w:val="24"/>
          <w:szCs w:val="24"/>
          <w:lang w:val="en-ZA"/>
        </w:rPr>
      </w:pPr>
      <w:r w:rsidRPr="00EB2A7C">
        <w:rPr>
          <w:rFonts w:ascii="Arial" w:hAnsi="Arial" w:cs="Arial"/>
          <w:sz w:val="24"/>
          <w:szCs w:val="24"/>
        </w:rPr>
        <w:t>Fiscal and economic crises can therefore open up important windows of opportunity that reformers both within and outside government have used to strategically push through accountability-enhancing measures. COVID-19 is the latest crises presenting such an opportunity</w:t>
      </w:r>
      <w:r w:rsidRPr="00EB2A7C">
        <w:rPr>
          <w:rFonts w:ascii="Arial" w:hAnsi="Arial" w:cs="Arial"/>
          <w:sz w:val="24"/>
          <w:szCs w:val="24"/>
          <w:vertAlign w:val="superscript"/>
        </w:rPr>
        <w:footnoteReference w:id="89"/>
      </w:r>
      <w:r w:rsidRPr="00EB2A7C">
        <w:rPr>
          <w:rFonts w:ascii="Arial" w:hAnsi="Arial" w:cs="Arial"/>
          <w:sz w:val="24"/>
          <w:szCs w:val="24"/>
        </w:rPr>
        <w:t>.</w:t>
      </w:r>
      <w:r w:rsidRPr="00EB2A7C">
        <w:rPr>
          <w:rFonts w:ascii="Arial" w:hAnsi="Arial" w:cs="Arial"/>
          <w:sz w:val="24"/>
          <w:szCs w:val="24"/>
          <w:lang w:val="en-ZA"/>
        </w:rPr>
        <w:t xml:space="preserve">To assist in this, the </w:t>
      </w:r>
      <w:hyperlink r:id="rId1010" w:history="1">
        <w:r w:rsidRPr="00EB2A7C">
          <w:rPr>
            <w:rStyle w:val="Hyperlink"/>
            <w:rFonts w:ascii="Arial" w:hAnsi="Arial" w:cs="Arial"/>
            <w:sz w:val="24"/>
            <w:szCs w:val="24"/>
            <w:lang w:val="en-ZA"/>
          </w:rPr>
          <w:t>Fiscal Data for Emergency Response: Guide for COVID-19</w:t>
        </w:r>
      </w:hyperlink>
      <w:r w:rsidRPr="00EB2A7C">
        <w:rPr>
          <w:rStyle w:val="FootnoteReference"/>
          <w:rFonts w:ascii="Arial" w:hAnsi="Arial" w:cs="Arial"/>
          <w:sz w:val="24"/>
          <w:szCs w:val="24"/>
          <w:lang w:val="en-ZA"/>
        </w:rPr>
        <w:footnoteReference w:id="90"/>
      </w:r>
      <w:r w:rsidRPr="00EB2A7C">
        <w:rPr>
          <w:rFonts w:ascii="Arial" w:hAnsi="Arial" w:cs="Arial"/>
          <w:sz w:val="24"/>
          <w:szCs w:val="24"/>
          <w:lang w:val="en-ZA"/>
        </w:rPr>
        <w:t xml:space="preserve"> was developed by the GIFT network to advance fiscal transparency in times of emergency. This was done with the inputs from ministries of finance representatives from 9 countries; 16 civil society organizations;</w:t>
      </w:r>
      <w:r w:rsidR="00846F76">
        <w:rPr>
          <w:rFonts w:ascii="Arial" w:hAnsi="Arial" w:cs="Arial"/>
          <w:sz w:val="24"/>
          <w:szCs w:val="24"/>
          <w:lang w:val="en-ZA"/>
        </w:rPr>
        <w:t xml:space="preserve"> </w:t>
      </w:r>
      <w:r w:rsidRPr="00EB2A7C">
        <w:rPr>
          <w:rFonts w:ascii="Arial" w:hAnsi="Arial" w:cs="Arial"/>
          <w:sz w:val="24"/>
          <w:szCs w:val="24"/>
          <w:lang w:val="en-ZA"/>
        </w:rPr>
        <w:t>and 12</w:t>
      </w:r>
      <w:r w:rsidR="00F24CF2">
        <w:rPr>
          <w:rFonts w:ascii="Arial" w:hAnsi="Arial" w:cs="Arial"/>
          <w:sz w:val="24"/>
          <w:szCs w:val="24"/>
          <w:lang w:val="en-ZA"/>
        </w:rPr>
        <w:t> </w:t>
      </w:r>
      <w:r w:rsidRPr="00EB2A7C">
        <w:rPr>
          <w:rFonts w:ascii="Arial" w:hAnsi="Arial" w:cs="Arial"/>
          <w:sz w:val="24"/>
          <w:szCs w:val="24"/>
          <w:lang w:val="en-ZA"/>
        </w:rPr>
        <w:t xml:space="preserve">international civil, multilateral and financial organizations. Following online public </w:t>
      </w:r>
      <w:proofErr w:type="gramStart"/>
      <w:r w:rsidRPr="00EB2A7C">
        <w:rPr>
          <w:rFonts w:ascii="Arial" w:hAnsi="Arial" w:cs="Arial"/>
          <w:sz w:val="24"/>
          <w:szCs w:val="24"/>
          <w:lang w:val="en-ZA"/>
        </w:rPr>
        <w:t>consultation</w:t>
      </w:r>
      <w:proofErr w:type="gramEnd"/>
      <w:r w:rsidRPr="00EB2A7C">
        <w:rPr>
          <w:rFonts w:ascii="Arial" w:hAnsi="Arial" w:cs="Arial"/>
          <w:sz w:val="24"/>
          <w:szCs w:val="24"/>
          <w:lang w:val="en-ZA"/>
        </w:rPr>
        <w:t xml:space="preserve"> the Guide was published in August 2020.</w:t>
      </w:r>
    </w:p>
    <w:p w14:paraId="0D9085BA" w14:textId="77777777" w:rsidR="00562D59" w:rsidRPr="00EB2A7C" w:rsidRDefault="00562D59" w:rsidP="00EB2A7C">
      <w:pPr>
        <w:spacing w:line="276" w:lineRule="auto"/>
        <w:jc w:val="both"/>
        <w:rPr>
          <w:rFonts w:ascii="Arial" w:hAnsi="Arial" w:cs="Arial"/>
          <w:sz w:val="24"/>
          <w:szCs w:val="24"/>
          <w:lang w:val="en-ZA"/>
        </w:rPr>
      </w:pPr>
    </w:p>
    <w:p w14:paraId="7C66DC7A" w14:textId="1FD5E600" w:rsidR="00562D59" w:rsidRDefault="00562D59" w:rsidP="004D41D8">
      <w:pPr>
        <w:spacing w:line="276" w:lineRule="auto"/>
        <w:jc w:val="both"/>
        <w:rPr>
          <w:rFonts w:ascii="Arial" w:hAnsi="Arial" w:cs="Arial"/>
          <w:sz w:val="24"/>
          <w:szCs w:val="24"/>
          <w:lang w:val="en-ZA"/>
        </w:rPr>
      </w:pPr>
      <w:r w:rsidRPr="00EB2A7C">
        <w:rPr>
          <w:rFonts w:ascii="Arial" w:hAnsi="Arial" w:cs="Arial"/>
          <w:sz w:val="24"/>
          <w:szCs w:val="24"/>
          <w:lang w:val="en-ZA"/>
        </w:rPr>
        <w:t xml:space="preserve">In May of 2021, the IBP published a study titled: </w:t>
      </w:r>
      <w:hyperlink r:id="rId1011" w:history="1">
        <w:r w:rsidRPr="00EB2A7C">
          <w:rPr>
            <w:rStyle w:val="Hyperlink"/>
            <w:rFonts w:ascii="Arial" w:hAnsi="Arial" w:cs="Arial"/>
            <w:sz w:val="24"/>
            <w:szCs w:val="24"/>
            <w:lang w:val="en-ZA"/>
          </w:rPr>
          <w:t>Managing COVID Funds: The Accountability Gap</w:t>
        </w:r>
      </w:hyperlink>
      <w:r w:rsidRPr="00EB2A7C">
        <w:rPr>
          <w:rStyle w:val="FootnoteReference"/>
          <w:rFonts w:ascii="Arial" w:hAnsi="Arial" w:cs="Arial"/>
          <w:color w:val="0563C1" w:themeColor="hyperlink"/>
          <w:sz w:val="24"/>
          <w:szCs w:val="24"/>
          <w:u w:val="single"/>
          <w:lang w:val="en-ZA"/>
        </w:rPr>
        <w:footnoteReference w:id="91"/>
      </w:r>
      <w:r w:rsidRPr="00EB2A7C">
        <w:rPr>
          <w:rFonts w:ascii="Arial" w:hAnsi="Arial" w:cs="Arial"/>
          <w:sz w:val="24"/>
          <w:szCs w:val="24"/>
          <w:lang w:val="en-ZA"/>
        </w:rPr>
        <w:t xml:space="preserve"> that documented the introduction of almost 400 emergency fiscal policy packages from March to September 2020 aimed at addressing the impact of the COVID-19 emergency. It showed that more than two-thirds of the governments within the study, across different regions and income levels, only </w:t>
      </w:r>
      <w:r w:rsidRPr="00EB2A7C">
        <w:rPr>
          <w:rFonts w:ascii="Arial" w:hAnsi="Arial" w:cs="Arial"/>
          <w:sz w:val="24"/>
          <w:szCs w:val="24"/>
          <w:lang w:val="en-ZA"/>
        </w:rPr>
        <w:lastRenderedPageBreak/>
        <w:t>provided limited or minimal levels of accountability in the introduction and implementation of early COVID-19 fiscal policy responses. Some countries such as Australia, Norway, Peru and the Philippines, were however able to respond to the crisis with notable efforts to make expenditures to address the pandemic publicly accessible.</w:t>
      </w:r>
    </w:p>
    <w:p w14:paraId="6BE55BD9" w14:textId="22B67C78" w:rsidR="004D41D8" w:rsidRDefault="00AB11BF" w:rsidP="004D41D8">
      <w:pPr>
        <w:spacing w:line="276" w:lineRule="auto"/>
        <w:jc w:val="both"/>
        <w:rPr>
          <w:rFonts w:ascii="Arial" w:hAnsi="Arial" w:cs="Arial"/>
          <w:sz w:val="24"/>
          <w:szCs w:val="24"/>
          <w:lang w:val="en-ZA"/>
        </w:rPr>
      </w:pPr>
      <w:r>
        <w:rPr>
          <w:rFonts w:ascii="Arial" w:hAnsi="Arial" w:cs="Arial"/>
          <w:noProof/>
          <w:sz w:val="24"/>
          <w:szCs w:val="24"/>
          <w:lang w:val="en-US"/>
        </w:rPr>
        <mc:AlternateContent>
          <mc:Choice Requires="wps">
            <w:drawing>
              <wp:anchor distT="0" distB="0" distL="114300" distR="114300" simplePos="0" relativeHeight="254650366" behindDoc="0" locked="0" layoutInCell="1" allowOverlap="1" wp14:anchorId="512A001D" wp14:editId="29F1E1A6">
                <wp:simplePos x="0" y="0"/>
                <wp:positionH relativeFrom="margin">
                  <wp:posOffset>-31115</wp:posOffset>
                </wp:positionH>
                <wp:positionV relativeFrom="paragraph">
                  <wp:posOffset>203944</wp:posOffset>
                </wp:positionV>
                <wp:extent cx="6720840" cy="268014"/>
                <wp:effectExtent l="0" t="0" r="0" b="0"/>
                <wp:wrapNone/>
                <wp:docPr id="2576" name="Text Box 2576"/>
                <wp:cNvGraphicFramePr/>
                <a:graphic xmlns:a="http://schemas.openxmlformats.org/drawingml/2006/main">
                  <a:graphicData uri="http://schemas.microsoft.com/office/word/2010/wordprocessingShape">
                    <wps:wsp>
                      <wps:cNvSpPr txBox="1"/>
                      <wps:spPr>
                        <a:xfrm>
                          <a:off x="0" y="0"/>
                          <a:ext cx="6720840" cy="268014"/>
                        </a:xfrm>
                        <a:prstGeom prst="rect">
                          <a:avLst/>
                        </a:prstGeom>
                        <a:noFill/>
                        <a:ln w="6350">
                          <a:noFill/>
                        </a:ln>
                      </wps:spPr>
                      <wps:txbx>
                        <w:txbxContent>
                          <w:p w14:paraId="435C2958" w14:textId="65F561B9" w:rsidR="00D15FD8" w:rsidRPr="00AB11BF" w:rsidRDefault="00D15FD8" w:rsidP="00303BD9">
                            <w:pPr>
                              <w:jc w:val="center"/>
                              <w:rPr>
                                <w:color w:val="69557F"/>
                                <w:sz w:val="24"/>
                                <w:szCs w:val="24"/>
                              </w:rPr>
                            </w:pPr>
                            <w:r w:rsidRPr="00AB11BF">
                              <w:rPr>
                                <w:rFonts w:ascii="Arial" w:hAnsi="Arial" w:cs="Arial"/>
                                <w:b/>
                                <w:bCs/>
                                <w:iCs/>
                                <w:color w:val="69557F"/>
                                <w:sz w:val="24"/>
                                <w:szCs w:val="24"/>
                                <w:lang w:val="en-US"/>
                              </w:rPr>
                              <w:t>External influence through international norms or more direct donor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A001D" id="Text Box 2576" o:spid="_x0000_s1701" type="#_x0000_t202" style="position:absolute;left:0;text-align:left;margin-left:-2.45pt;margin-top:16.05pt;width:529.2pt;height:21.1pt;z-index:254650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" filled="f" stroked="f" strokeweight=".5pt">
                <v:textbox>
                  <w:txbxContent>
                    <w:p w14:paraId="435C2958" w14:textId="65F561B9" w:rsidR="00D15FD8" w:rsidRPr="00AB11BF" w:rsidRDefault="00D15FD8" w:rsidP="00303BD9">
                      <w:pPr>
                        <w:jc w:val="center"/>
                        <w:rPr>
                          <w:color w:val="69557F"/>
                          <w:sz w:val="24"/>
                          <w:szCs w:val="24"/>
                        </w:rPr>
                      </w:pPr>
                      <w:r w:rsidRPr="00AB11BF">
                        <w:rPr>
                          <w:rFonts w:ascii="Arial" w:hAnsi="Arial" w:cs="Arial"/>
                          <w:b/>
                          <w:bCs/>
                          <w:iCs/>
                          <w:color w:val="69557F"/>
                          <w:sz w:val="24"/>
                          <w:szCs w:val="24"/>
                          <w:lang w:val="en-US"/>
                        </w:rPr>
                        <w:t>External influence through international norms or more direct donor support</w:t>
                      </w:r>
                    </w:p>
                  </w:txbxContent>
                </v:textbox>
                <w10:wrap anchorx="margin"/>
              </v:shape>
            </w:pict>
          </mc:Fallback>
        </mc:AlternateContent>
      </w:r>
      <w:r w:rsidR="004D41D8">
        <w:rPr>
          <w:rFonts w:ascii="Arial" w:hAnsi="Arial" w:cs="Arial"/>
          <w:noProof/>
          <w:sz w:val="24"/>
          <w:szCs w:val="24"/>
          <w:lang w:val="en-US"/>
        </w:rPr>
        <mc:AlternateContent>
          <mc:Choice Requires="wps">
            <w:drawing>
              <wp:anchor distT="0" distB="0" distL="114300" distR="114300" simplePos="0" relativeHeight="254649342" behindDoc="0" locked="0" layoutInCell="1" allowOverlap="1" wp14:anchorId="1BC23C5A" wp14:editId="51728BC9">
                <wp:simplePos x="0" y="0"/>
                <wp:positionH relativeFrom="margin">
                  <wp:posOffset>0</wp:posOffset>
                </wp:positionH>
                <wp:positionV relativeFrom="paragraph">
                  <wp:posOffset>125095</wp:posOffset>
                </wp:positionV>
                <wp:extent cx="6720840" cy="431800"/>
                <wp:effectExtent l="0" t="0" r="0" b="0"/>
                <wp:wrapNone/>
                <wp:docPr id="2571" name="Rounded Rectangle 2571"/>
                <wp:cNvGraphicFramePr/>
                <a:graphic xmlns:a="http://schemas.openxmlformats.org/drawingml/2006/main">
                  <a:graphicData uri="http://schemas.microsoft.com/office/word/2010/wordprocessingShape">
                    <wps:wsp>
                      <wps:cNvSpPr/>
                      <wps:spPr>
                        <a:xfrm>
                          <a:off x="0" y="0"/>
                          <a:ext cx="6720840" cy="431800"/>
                        </a:xfrm>
                        <a:prstGeom prst="roundRect">
                          <a:avLst/>
                        </a:prstGeom>
                        <a:solidFill>
                          <a:srgbClr val="E1CB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9B3E79C" id="Rounded Rectangle 2571" o:spid="_x0000_s1026" style="position:absolute;margin-left:0;margin-top:9.85pt;width:529.2pt;height:34pt;z-index:254649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" fillcolor="#e1cbef" stroked="f" strokeweight="1pt">
                <v:stroke joinstyle="miter"/>
                <w10:wrap anchorx="margin"/>
              </v:roundrect>
            </w:pict>
          </mc:Fallback>
        </mc:AlternateContent>
      </w:r>
    </w:p>
    <w:p w14:paraId="2B03A154" w14:textId="29BD500D" w:rsidR="004D41D8" w:rsidRPr="00EB2A7C" w:rsidRDefault="004D41D8" w:rsidP="00EB2A7C">
      <w:pPr>
        <w:spacing w:line="276" w:lineRule="auto"/>
        <w:jc w:val="both"/>
        <w:rPr>
          <w:rFonts w:ascii="Arial" w:hAnsi="Arial" w:cs="Arial"/>
          <w:sz w:val="24"/>
          <w:szCs w:val="24"/>
          <w:lang w:val="en-ZA"/>
        </w:rPr>
      </w:pPr>
    </w:p>
    <w:p w14:paraId="11251F19" w14:textId="77777777" w:rsidR="00562D59" w:rsidRDefault="00562D59" w:rsidP="00562D59">
      <w:pPr>
        <w:ind w:left="810"/>
        <w:jc w:val="both"/>
        <w:rPr>
          <w:lang w:val="en-ZA"/>
        </w:rPr>
      </w:pPr>
    </w:p>
    <w:p w14:paraId="67EC1F68" w14:textId="3A1ACEBC" w:rsidR="004D41D8" w:rsidRDefault="004D41D8" w:rsidP="004D41D8">
      <w:pPr>
        <w:spacing w:line="276" w:lineRule="auto"/>
        <w:jc w:val="both"/>
        <w:rPr>
          <w:rFonts w:ascii="Arial" w:hAnsi="Arial" w:cs="Arial"/>
          <w:sz w:val="24"/>
          <w:szCs w:val="24"/>
          <w:lang w:val="en-ZA"/>
        </w:rPr>
      </w:pPr>
    </w:p>
    <w:p w14:paraId="5F244B39" w14:textId="3179E68D" w:rsidR="00562D59" w:rsidRPr="00EB2A7C" w:rsidRDefault="004D41D8" w:rsidP="00EB2A7C">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651390" behindDoc="0" locked="0" layoutInCell="1" allowOverlap="1" wp14:anchorId="30FB6C50" wp14:editId="5ADF9377">
            <wp:simplePos x="0" y="0"/>
            <wp:positionH relativeFrom="column">
              <wp:posOffset>0</wp:posOffset>
            </wp:positionH>
            <wp:positionV relativeFrom="paragraph">
              <wp:posOffset>47625</wp:posOffset>
            </wp:positionV>
            <wp:extent cx="1663700" cy="2029460"/>
            <wp:effectExtent l="0" t="0" r="0" b="0"/>
            <wp:wrapSquare wrapText="bothSides"/>
            <wp:docPr id="2577" name="Picture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 name="Picture 2577"/>
                    <pic:cNvPicPr/>
                  </pic:nvPicPr>
                  <pic:blipFill rotWithShape="1">
                    <a:blip r:embed="rId1012" cstate="email">
                      <a:extLst>
                        <a:ext uri="{28A0092B-C50C-407E-A947-70E740481C1C}">
                          <a14:useLocalDpi xmlns:a14="http://schemas.microsoft.com/office/drawing/2010/main"/>
                        </a:ext>
                      </a:extLst>
                    </a:blip>
                    <a:srcRect l="22358" t="26512" r="23753" b="26958"/>
                    <a:stretch/>
                  </pic:blipFill>
                  <pic:spPr bwMode="auto">
                    <a:xfrm>
                      <a:off x="0" y="0"/>
                      <a:ext cx="1663700" cy="2029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D59" w:rsidRPr="00EB2A7C">
        <w:rPr>
          <w:rFonts w:ascii="Arial" w:hAnsi="Arial" w:cs="Arial"/>
          <w:sz w:val="24"/>
          <w:szCs w:val="24"/>
          <w:lang w:val="en-ZA"/>
        </w:rPr>
        <w:t xml:space="preserve">International, global, regional, and transnational influences may promote and support </w:t>
      </w:r>
      <w:r w:rsidR="00562D59" w:rsidRPr="00EB2A7C">
        <w:rPr>
          <w:rFonts w:ascii="Arial" w:hAnsi="Arial" w:cs="Arial"/>
          <w:sz w:val="24"/>
          <w:szCs w:val="24"/>
          <w:lang w:val="en-US"/>
        </w:rPr>
        <w:t xml:space="preserve">the implementation of global norms and standards thereby empowering domestic reformers and civil society actors. </w:t>
      </w:r>
    </w:p>
    <w:p w14:paraId="0E66C21F" w14:textId="77777777" w:rsidR="00562D59" w:rsidRPr="00EB2A7C" w:rsidRDefault="00562D59" w:rsidP="00EB2A7C">
      <w:pPr>
        <w:spacing w:line="276" w:lineRule="auto"/>
        <w:ind w:left="810"/>
        <w:jc w:val="both"/>
        <w:rPr>
          <w:rFonts w:ascii="Arial" w:hAnsi="Arial" w:cs="Arial"/>
          <w:sz w:val="24"/>
          <w:szCs w:val="24"/>
          <w:lang w:val="en-ZA"/>
        </w:rPr>
      </w:pPr>
    </w:p>
    <w:p w14:paraId="1731CEC5" w14:textId="5D54E9C7" w:rsidR="00562D59" w:rsidRPr="00EB2A7C" w:rsidRDefault="00562D59" w:rsidP="00EB2A7C">
      <w:pPr>
        <w:spacing w:line="276" w:lineRule="auto"/>
        <w:jc w:val="both"/>
        <w:rPr>
          <w:rFonts w:ascii="Arial" w:hAnsi="Arial" w:cs="Arial"/>
          <w:sz w:val="24"/>
          <w:szCs w:val="24"/>
          <w:lang w:val="en-ZA"/>
        </w:rPr>
      </w:pPr>
      <w:r w:rsidRPr="00EB2A7C">
        <w:rPr>
          <w:rFonts w:ascii="Arial" w:hAnsi="Arial" w:cs="Arial"/>
          <w:sz w:val="24"/>
          <w:szCs w:val="24"/>
          <w:lang w:val="en-US"/>
        </w:rPr>
        <w:t>For example, in Guatemala, Mexico, South Africa, South Korea and Vietnam, the norms and standards promoted, among others, by the IMF through its Fiscal Transparency Code, constituted a standard that technocrats adopted to signal good governance practices. In other regions, the role of the European Union had an important impact in the efforts of countries willing to join or joining the Union, such as Croatia, Georgia, Slovenia, or Ukraine. </w:t>
      </w:r>
      <w:r w:rsidRPr="00EB2A7C">
        <w:rPr>
          <w:rFonts w:ascii="Arial" w:hAnsi="Arial" w:cs="Arial"/>
          <w:sz w:val="24"/>
          <w:szCs w:val="24"/>
          <w:lang w:val="en-ZA"/>
        </w:rPr>
        <w:t xml:space="preserve">Such a standard-setting role was complemented, in lower-income countries, by the provision of technical assistance supporting PFM reform programs and through the use of conditionalities linking financial assistance to increased fiscal transparency and, in some cases, civil society participation in policy and budget processes. In the Philippines and Indonesia, governments benchmarked reforms and practices against international assessments of good practice, and designed reforms based on advice from institutions such as the World Bank, the Asian Development Bank, and the IMF. This included an emphasis on fiscal transparency. In addition, membership in the Open Government Partnership and in the GIFT was important in both Mexico and the Philippines, as well as to some extent in Indonesia, in ensuring that transparency commitments were put into practice and that decisive action was taken by the government. External actors were also important in providing direct support to some of the reforms adopted in Uganda towards the turn of the century, including the formulation and implementation of the budget transparency strategy and the creation of an online budget portal.  </w:t>
      </w:r>
    </w:p>
    <w:p w14:paraId="6CD6152F" w14:textId="77777777" w:rsidR="00562D59" w:rsidRPr="00EB2A7C" w:rsidRDefault="00562D59" w:rsidP="00EB2A7C">
      <w:pPr>
        <w:spacing w:line="276" w:lineRule="auto"/>
        <w:jc w:val="both"/>
        <w:rPr>
          <w:rFonts w:ascii="Arial" w:hAnsi="Arial" w:cs="Arial"/>
          <w:sz w:val="24"/>
          <w:szCs w:val="24"/>
          <w:lang w:val="en-ZA"/>
        </w:rPr>
      </w:pPr>
    </w:p>
    <w:p w14:paraId="6BF7A010" w14:textId="5EBCF38F" w:rsidR="00562D59" w:rsidRDefault="00562D59" w:rsidP="00EB2A7C">
      <w:pPr>
        <w:spacing w:line="276" w:lineRule="auto"/>
        <w:jc w:val="both"/>
        <w:rPr>
          <w:rFonts w:ascii="Arial" w:hAnsi="Arial" w:cs="Arial"/>
          <w:sz w:val="24"/>
          <w:szCs w:val="24"/>
          <w:lang w:val="en-ZA"/>
        </w:rPr>
      </w:pPr>
      <w:r w:rsidRPr="00EB2A7C">
        <w:rPr>
          <w:rFonts w:ascii="Arial" w:hAnsi="Arial" w:cs="Arial"/>
          <w:sz w:val="24"/>
          <w:szCs w:val="24"/>
          <w:lang w:val="en-ZA"/>
        </w:rPr>
        <w:t xml:space="preserve">It should, however, be noted that countries can have different positions concerning global bodies, often provided by different units within these bodies. For instance, technical assistance may be welcomed on a specific topic, while other forms of economic support in other areas, coupled with conditionalities, might be rejected. Sometimes technical and broader economic support are linked, but not always. </w:t>
      </w:r>
    </w:p>
    <w:p w14:paraId="11D8941C" w14:textId="142B0D3F" w:rsidR="00FB30E0" w:rsidRDefault="00FB30E0" w:rsidP="00EB2A7C">
      <w:pPr>
        <w:spacing w:line="276" w:lineRule="auto"/>
        <w:jc w:val="both"/>
        <w:rPr>
          <w:rFonts w:ascii="Arial" w:hAnsi="Arial" w:cs="Arial"/>
          <w:sz w:val="24"/>
          <w:szCs w:val="24"/>
          <w:lang w:val="en-ZA"/>
        </w:rPr>
      </w:pPr>
    </w:p>
    <w:p w14:paraId="52A7DD36" w14:textId="33B39B44" w:rsidR="00FB30E0" w:rsidRDefault="00FB30E0" w:rsidP="00EB2A7C">
      <w:pPr>
        <w:spacing w:line="276" w:lineRule="auto"/>
        <w:jc w:val="both"/>
        <w:rPr>
          <w:rFonts w:ascii="Arial" w:hAnsi="Arial" w:cs="Arial"/>
          <w:sz w:val="24"/>
          <w:szCs w:val="24"/>
          <w:lang w:val="en-ZA"/>
        </w:rPr>
      </w:pPr>
    </w:p>
    <w:p w14:paraId="0C58550D" w14:textId="14BEEB16" w:rsidR="00FB30E0" w:rsidRDefault="00FB30E0" w:rsidP="00EB2A7C">
      <w:pPr>
        <w:spacing w:line="276" w:lineRule="auto"/>
        <w:jc w:val="both"/>
        <w:rPr>
          <w:rFonts w:ascii="Arial" w:hAnsi="Arial" w:cs="Arial"/>
          <w:sz w:val="24"/>
          <w:szCs w:val="24"/>
          <w:lang w:val="en-ZA"/>
        </w:rPr>
      </w:pPr>
    </w:p>
    <w:p w14:paraId="7B4D6EF3" w14:textId="52C26394" w:rsidR="00FB30E0" w:rsidRDefault="00FB30E0" w:rsidP="00EB2A7C">
      <w:pPr>
        <w:spacing w:line="276" w:lineRule="auto"/>
        <w:jc w:val="both"/>
        <w:rPr>
          <w:rFonts w:ascii="Arial" w:hAnsi="Arial" w:cs="Arial"/>
          <w:sz w:val="24"/>
          <w:szCs w:val="24"/>
          <w:lang w:val="en-ZA"/>
        </w:rPr>
      </w:pPr>
    </w:p>
    <w:p w14:paraId="0673104B" w14:textId="3BD3B747" w:rsidR="00FB30E0" w:rsidRDefault="00FB30E0" w:rsidP="00EB2A7C">
      <w:pPr>
        <w:spacing w:line="276" w:lineRule="auto"/>
        <w:jc w:val="both"/>
        <w:rPr>
          <w:rFonts w:ascii="Arial" w:hAnsi="Arial" w:cs="Arial"/>
          <w:sz w:val="24"/>
          <w:szCs w:val="24"/>
          <w:lang w:val="en-ZA"/>
        </w:rPr>
      </w:pPr>
    </w:p>
    <w:p w14:paraId="442AF928" w14:textId="77777777" w:rsidR="00E45475" w:rsidRDefault="00E45475" w:rsidP="00EB2A7C">
      <w:pPr>
        <w:spacing w:line="276" w:lineRule="auto"/>
        <w:jc w:val="both"/>
        <w:rPr>
          <w:rFonts w:ascii="Arial" w:hAnsi="Arial" w:cs="Arial"/>
          <w:sz w:val="24"/>
          <w:szCs w:val="24"/>
          <w:lang w:val="en-ZA"/>
        </w:rPr>
      </w:pPr>
    </w:p>
    <w:p w14:paraId="63ACB1DF" w14:textId="77777777" w:rsidR="00FB30E0" w:rsidRPr="00EB2A7C" w:rsidRDefault="00FB30E0" w:rsidP="00EB2A7C">
      <w:pPr>
        <w:spacing w:line="276" w:lineRule="auto"/>
        <w:jc w:val="both"/>
        <w:rPr>
          <w:rFonts w:ascii="Arial" w:hAnsi="Arial" w:cs="Arial"/>
          <w:sz w:val="24"/>
          <w:szCs w:val="24"/>
          <w:lang w:val="en-ZA"/>
        </w:rPr>
      </w:pPr>
    </w:p>
    <w:p w14:paraId="1A7929B0" w14:textId="27620485" w:rsidR="003F62C3" w:rsidRPr="00AB11BF" w:rsidRDefault="008130BF" w:rsidP="003F62C3">
      <w:pPr>
        <w:pStyle w:val="Heading2"/>
        <w:numPr>
          <w:ilvl w:val="1"/>
          <w:numId w:val="156"/>
        </w:numPr>
        <w:rPr>
          <w:rFonts w:ascii="Arial" w:hAnsi="Arial" w:cs="Arial"/>
          <w:b/>
          <w:bCs/>
          <w:color w:val="BFA4CE"/>
          <w:sz w:val="36"/>
          <w:szCs w:val="36"/>
          <w:lang w:val="en-US"/>
        </w:rPr>
      </w:pPr>
      <w:bookmarkStart w:id="2519" w:name="_Toc123204563"/>
      <w:bookmarkStart w:id="2520" w:name="_Toc123216684"/>
      <w:bookmarkStart w:id="2521" w:name="_Toc123217524"/>
      <w:bookmarkStart w:id="2522" w:name="_Toc123913479"/>
      <w:bookmarkStart w:id="2523" w:name="_Toc123914136"/>
      <w:bookmarkStart w:id="2524" w:name="_Toc125566752"/>
      <w:r w:rsidRPr="00AB11BF">
        <w:rPr>
          <w:rFonts w:ascii="Arial" w:hAnsi="Arial" w:cs="Arial"/>
          <w:b/>
          <w:bCs/>
          <w:color w:val="BFA4CE"/>
          <w:sz w:val="36"/>
          <w:szCs w:val="36"/>
          <w:lang w:val="en-US"/>
        </w:rPr>
        <w:lastRenderedPageBreak/>
        <w:t>Actions facilitating</w:t>
      </w:r>
      <w:r w:rsidR="003F62C3" w:rsidRPr="00AB11BF">
        <w:rPr>
          <w:rFonts w:ascii="Arial" w:hAnsi="Arial" w:cs="Arial"/>
          <w:b/>
          <w:bCs/>
          <w:color w:val="BFA4CE"/>
          <w:sz w:val="36"/>
          <w:szCs w:val="36"/>
          <w:lang w:val="en-US"/>
        </w:rPr>
        <w:t xml:space="preserve"> fiscal transparency</w:t>
      </w:r>
      <w:bookmarkEnd w:id="2519"/>
      <w:bookmarkEnd w:id="2520"/>
      <w:bookmarkEnd w:id="2521"/>
      <w:bookmarkEnd w:id="2522"/>
      <w:bookmarkEnd w:id="2523"/>
      <w:bookmarkEnd w:id="2524"/>
    </w:p>
    <w:p w14:paraId="76541BDC" w14:textId="72AF5950" w:rsidR="008130BF" w:rsidRPr="00EB2A7C" w:rsidRDefault="008130BF" w:rsidP="00EB2A7C">
      <w:pPr>
        <w:spacing w:line="276" w:lineRule="auto"/>
        <w:rPr>
          <w:rFonts w:ascii="Arial" w:hAnsi="Arial" w:cs="Arial"/>
          <w:sz w:val="24"/>
          <w:szCs w:val="24"/>
          <w:lang w:val="en-US"/>
        </w:rPr>
      </w:pPr>
    </w:p>
    <w:p w14:paraId="235FE4A8" w14:textId="1495BB4F" w:rsidR="008130BF" w:rsidRDefault="008130BF" w:rsidP="008130BF">
      <w:pPr>
        <w:spacing w:line="276" w:lineRule="auto"/>
        <w:jc w:val="both"/>
        <w:rPr>
          <w:rFonts w:ascii="Arial" w:hAnsi="Arial" w:cs="Arial"/>
          <w:sz w:val="24"/>
          <w:szCs w:val="24"/>
        </w:rPr>
      </w:pPr>
      <w:r w:rsidRPr="00EB2A7C">
        <w:rPr>
          <w:rFonts w:ascii="Arial" w:hAnsi="Arial" w:cs="Arial"/>
          <w:sz w:val="24"/>
          <w:szCs w:val="24"/>
        </w:rPr>
        <w:t>To advance fiscal transparency, the executive should take actions</w:t>
      </w:r>
      <w:r w:rsidRPr="00EB2A7C">
        <w:rPr>
          <w:rFonts w:ascii="Arial" w:hAnsi="Arial" w:cs="Arial"/>
          <w:sz w:val="24"/>
          <w:szCs w:val="24"/>
          <w:vertAlign w:val="superscript"/>
        </w:rPr>
        <w:footnoteReference w:id="92"/>
      </w:r>
      <w:r w:rsidRPr="00EB2A7C">
        <w:rPr>
          <w:rFonts w:ascii="Arial" w:hAnsi="Arial" w:cs="Arial"/>
          <w:sz w:val="24"/>
          <w:szCs w:val="24"/>
        </w:rPr>
        <w:t xml:space="preserve"> to overcome the challenges to fiscal transparency and take advantage of the windows of opportunity triggering fiscal transparency. These actions include those described below, that, based on the experiences of many countries, are likely to be effective.</w:t>
      </w:r>
    </w:p>
    <w:p w14:paraId="4F3F8503" w14:textId="683427CA" w:rsidR="008130BF" w:rsidRDefault="00E83AF5" w:rsidP="008130BF">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52414" behindDoc="0" locked="0" layoutInCell="1" allowOverlap="1" wp14:anchorId="2BA7B103" wp14:editId="2FB90D5C">
            <wp:simplePos x="0" y="0"/>
            <wp:positionH relativeFrom="column">
              <wp:posOffset>0</wp:posOffset>
            </wp:positionH>
            <wp:positionV relativeFrom="paragraph">
              <wp:posOffset>99695</wp:posOffset>
            </wp:positionV>
            <wp:extent cx="2520000" cy="630000"/>
            <wp:effectExtent l="0" t="0" r="0" b="0"/>
            <wp:wrapSquare wrapText="bothSides"/>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Picture 2578"/>
                    <pic:cNvPicPr/>
                  </pic:nvPicPr>
                  <pic:blipFill>
                    <a:blip r:embed="rId1013" cstate="email">
                      <a:extLst>
                        <a:ext uri="{28A0092B-C50C-407E-A947-70E740481C1C}">
                          <a14:useLocalDpi xmlns:a14="http://schemas.microsoft.com/office/drawing/2010/main"/>
                        </a:ext>
                      </a:extLst>
                    </a:blip>
                    <a:stretch>
                      <a:fillRect/>
                    </a:stretch>
                  </pic:blipFill>
                  <pic:spPr>
                    <a:xfrm>
                      <a:off x="0" y="0"/>
                      <a:ext cx="2520000" cy="630000"/>
                    </a:xfrm>
                    <a:prstGeom prst="rect">
                      <a:avLst/>
                    </a:prstGeom>
                  </pic:spPr>
                </pic:pic>
              </a:graphicData>
            </a:graphic>
            <wp14:sizeRelH relativeFrom="page">
              <wp14:pctWidth>0</wp14:pctWidth>
            </wp14:sizeRelH>
            <wp14:sizeRelV relativeFrom="page">
              <wp14:pctHeight>0</wp14:pctHeight>
            </wp14:sizeRelV>
          </wp:anchor>
        </w:drawing>
      </w:r>
    </w:p>
    <w:p w14:paraId="684C43BC" w14:textId="49E16D8A" w:rsidR="008130BF" w:rsidRPr="00EB2A7C" w:rsidRDefault="008130BF" w:rsidP="00EB2A7C">
      <w:pPr>
        <w:spacing w:line="276" w:lineRule="auto"/>
        <w:jc w:val="both"/>
        <w:rPr>
          <w:rFonts w:ascii="Arial" w:hAnsi="Arial" w:cs="Arial"/>
          <w:sz w:val="24"/>
          <w:szCs w:val="24"/>
        </w:rPr>
      </w:pPr>
    </w:p>
    <w:p w14:paraId="4C023711" w14:textId="77777777" w:rsidR="008130BF" w:rsidRPr="00EB2A7C" w:rsidRDefault="008130BF" w:rsidP="00EB2A7C">
      <w:pPr>
        <w:rPr>
          <w:lang w:val="en-US"/>
        </w:rPr>
      </w:pPr>
    </w:p>
    <w:p w14:paraId="15C4668C" w14:textId="5318A3AD" w:rsidR="00562D59" w:rsidRPr="00EB2A7C" w:rsidRDefault="00562D59" w:rsidP="004D41D8">
      <w:pPr>
        <w:spacing w:line="276" w:lineRule="auto"/>
        <w:jc w:val="both"/>
        <w:rPr>
          <w:rFonts w:ascii="Arial" w:hAnsi="Arial" w:cs="Arial"/>
          <w:sz w:val="32"/>
          <w:szCs w:val="32"/>
          <w:lang w:val="en-ZA"/>
        </w:rPr>
      </w:pPr>
    </w:p>
    <w:p w14:paraId="50B54D88" w14:textId="77777777" w:rsidR="00E83AF5" w:rsidRPr="00AB11BF" w:rsidRDefault="00E83AF5" w:rsidP="00EB2A7C">
      <w:pPr>
        <w:rPr>
          <w:rFonts w:ascii="Arial" w:hAnsi="Arial" w:cs="Arial"/>
          <w:b/>
          <w:bCs/>
          <w:iCs/>
          <w:color w:val="16988A"/>
          <w:sz w:val="24"/>
          <w:szCs w:val="24"/>
        </w:rPr>
      </w:pPr>
      <w:r w:rsidRPr="00AB11BF">
        <w:rPr>
          <w:rFonts w:ascii="Arial" w:hAnsi="Arial" w:cs="Arial"/>
          <w:b/>
          <w:bCs/>
          <w:iCs/>
          <w:color w:val="16988A"/>
          <w:sz w:val="24"/>
          <w:szCs w:val="24"/>
        </w:rPr>
        <w:t>Build support within the executive to improve fiscal transparency</w:t>
      </w:r>
    </w:p>
    <w:p w14:paraId="6C87F8DD" w14:textId="738FF492" w:rsidR="00562D59" w:rsidRPr="00E83AF5" w:rsidRDefault="00562D59" w:rsidP="00E83AF5">
      <w:pPr>
        <w:spacing w:line="276" w:lineRule="auto"/>
        <w:jc w:val="both"/>
        <w:rPr>
          <w:rFonts w:ascii="Arial" w:hAnsi="Arial" w:cs="Arial"/>
          <w:sz w:val="24"/>
          <w:szCs w:val="24"/>
          <w:lang w:val="en-ZA"/>
        </w:rPr>
      </w:pPr>
    </w:p>
    <w:p w14:paraId="4A93BD5B" w14:textId="7BB4F6CA" w:rsidR="00E83AF5" w:rsidRDefault="00E83AF5" w:rsidP="00E83AF5">
      <w:pPr>
        <w:spacing w:line="276" w:lineRule="auto"/>
        <w:jc w:val="both"/>
        <w:rPr>
          <w:rFonts w:ascii="Arial" w:hAnsi="Arial" w:cs="Arial"/>
          <w:sz w:val="24"/>
          <w:szCs w:val="24"/>
        </w:rPr>
      </w:pPr>
      <w:r w:rsidRPr="00EB2A7C">
        <w:rPr>
          <w:rFonts w:ascii="Arial" w:hAnsi="Arial" w:cs="Arial"/>
          <w:sz w:val="24"/>
          <w:szCs w:val="24"/>
        </w:rPr>
        <w:t>This is fundamental because the executive’s leadership plays a key role in either providing for or obstructing fiscal transparency. This is in line with the findings in Open Budget Survey reports that show that faster progress in improving fiscal transparency is possible, if a country’s leadership advances open budgeting actions</w:t>
      </w:r>
      <w:r w:rsidRPr="00EB2A7C">
        <w:rPr>
          <w:rFonts w:ascii="Arial" w:hAnsi="Arial" w:cs="Arial"/>
          <w:sz w:val="24"/>
          <w:szCs w:val="24"/>
          <w:lang w:val="en-ZA"/>
        </w:rPr>
        <w:t>.</w:t>
      </w:r>
      <w:r w:rsidRPr="00EB2A7C">
        <w:rPr>
          <w:rFonts w:ascii="Arial" w:hAnsi="Arial" w:cs="Arial"/>
          <w:sz w:val="24"/>
          <w:szCs w:val="24"/>
        </w:rPr>
        <w:t xml:space="preserve"> For </w:t>
      </w:r>
      <w:proofErr w:type="gramStart"/>
      <w:r w:rsidRPr="00EB2A7C">
        <w:rPr>
          <w:rFonts w:ascii="Arial" w:hAnsi="Arial" w:cs="Arial"/>
          <w:sz w:val="24"/>
          <w:szCs w:val="24"/>
        </w:rPr>
        <w:t>example</w:t>
      </w:r>
      <w:proofErr w:type="gramEnd"/>
      <w:r w:rsidRPr="00EB2A7C">
        <w:rPr>
          <w:rFonts w:ascii="Arial" w:hAnsi="Arial" w:cs="Arial"/>
          <w:sz w:val="24"/>
          <w:szCs w:val="24"/>
          <w:vertAlign w:val="superscript"/>
        </w:rPr>
        <w:footnoteReference w:id="93"/>
      </w:r>
      <w:r w:rsidRPr="00EB2A7C">
        <w:rPr>
          <w:rFonts w:ascii="Arial" w:hAnsi="Arial" w:cs="Arial"/>
          <w:sz w:val="24"/>
          <w:szCs w:val="24"/>
        </w:rPr>
        <w:t>, Croatia, the Kyrgyz Republic and Ukraine all passed the Open Budget Index score of 61 in the 2019 Survey, owing to their leadership taking a variety of actions to enhance fiscal transparency. Importantly, examples of strong budget transparency are found in nearly all regions of the world. This is encouraging as it demonstrates that fiscal transparency is possible to achieve in diverse country contexts, when the leadership within a country is committed to improving it.</w:t>
      </w:r>
    </w:p>
    <w:p w14:paraId="686CAC93" w14:textId="00FB2CDA" w:rsidR="004E1E5C" w:rsidRDefault="004E1E5C" w:rsidP="00E83AF5">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79038" behindDoc="0" locked="0" layoutInCell="1" allowOverlap="1" wp14:anchorId="261BDD3F" wp14:editId="6D44F4A5">
            <wp:simplePos x="0" y="0"/>
            <wp:positionH relativeFrom="margin">
              <wp:posOffset>655955</wp:posOffset>
            </wp:positionH>
            <wp:positionV relativeFrom="paragraph">
              <wp:posOffset>57150</wp:posOffset>
            </wp:positionV>
            <wp:extent cx="5334000" cy="2813050"/>
            <wp:effectExtent l="0" t="0" r="0" b="6350"/>
            <wp:wrapSquare wrapText="bothSides"/>
            <wp:docPr id="2620" name="Picture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 name="Picture 2620"/>
                    <pic:cNvPicPr/>
                  </pic:nvPicPr>
                  <pic:blipFill rotWithShape="1">
                    <a:blip r:embed="rId1014" cstate="email">
                      <a:extLst>
                        <a:ext uri="{28A0092B-C50C-407E-A947-70E740481C1C}">
                          <a14:useLocalDpi xmlns:a14="http://schemas.microsoft.com/office/drawing/2010/main"/>
                        </a:ext>
                      </a:extLst>
                    </a:blip>
                    <a:srcRect t="31651" b="31017"/>
                    <a:stretch/>
                  </pic:blipFill>
                  <pic:spPr bwMode="auto">
                    <a:xfrm>
                      <a:off x="0" y="0"/>
                      <a:ext cx="5334000" cy="281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D43616" w14:textId="5EA1D1D1" w:rsidR="00E83AF5" w:rsidRPr="00EB2A7C" w:rsidRDefault="00E83AF5" w:rsidP="00EB2A7C">
      <w:pPr>
        <w:spacing w:line="276" w:lineRule="auto"/>
        <w:jc w:val="both"/>
        <w:rPr>
          <w:rFonts w:ascii="Arial" w:hAnsi="Arial" w:cs="Arial"/>
          <w:sz w:val="24"/>
          <w:szCs w:val="24"/>
        </w:rPr>
      </w:pPr>
    </w:p>
    <w:p w14:paraId="40516795" w14:textId="77777777" w:rsidR="004E1E5C" w:rsidRDefault="004E1E5C" w:rsidP="00E83AF5">
      <w:pPr>
        <w:spacing w:line="276" w:lineRule="auto"/>
        <w:jc w:val="both"/>
        <w:rPr>
          <w:rFonts w:ascii="Arial" w:hAnsi="Arial" w:cs="Arial"/>
          <w:sz w:val="24"/>
          <w:szCs w:val="24"/>
        </w:rPr>
      </w:pPr>
    </w:p>
    <w:p w14:paraId="0B4ED2A2" w14:textId="77777777" w:rsidR="004E1E5C" w:rsidRDefault="004E1E5C" w:rsidP="00E83AF5">
      <w:pPr>
        <w:spacing w:line="276" w:lineRule="auto"/>
        <w:jc w:val="both"/>
        <w:rPr>
          <w:rFonts w:ascii="Arial" w:hAnsi="Arial" w:cs="Arial"/>
          <w:sz w:val="24"/>
          <w:szCs w:val="24"/>
        </w:rPr>
      </w:pPr>
    </w:p>
    <w:p w14:paraId="33C22580" w14:textId="77777777" w:rsidR="004E1E5C" w:rsidRDefault="004E1E5C" w:rsidP="00E83AF5">
      <w:pPr>
        <w:spacing w:line="276" w:lineRule="auto"/>
        <w:jc w:val="both"/>
        <w:rPr>
          <w:rFonts w:ascii="Arial" w:hAnsi="Arial" w:cs="Arial"/>
          <w:sz w:val="24"/>
          <w:szCs w:val="24"/>
        </w:rPr>
      </w:pPr>
    </w:p>
    <w:p w14:paraId="4914A2A4" w14:textId="77777777" w:rsidR="004E1E5C" w:rsidRDefault="004E1E5C" w:rsidP="00E83AF5">
      <w:pPr>
        <w:spacing w:line="276" w:lineRule="auto"/>
        <w:jc w:val="both"/>
        <w:rPr>
          <w:rFonts w:ascii="Arial" w:hAnsi="Arial" w:cs="Arial"/>
          <w:sz w:val="24"/>
          <w:szCs w:val="24"/>
        </w:rPr>
      </w:pPr>
    </w:p>
    <w:p w14:paraId="02151583" w14:textId="77777777" w:rsidR="004E1E5C" w:rsidRDefault="004E1E5C" w:rsidP="00E83AF5">
      <w:pPr>
        <w:spacing w:line="276" w:lineRule="auto"/>
        <w:jc w:val="both"/>
        <w:rPr>
          <w:rFonts w:ascii="Arial" w:hAnsi="Arial" w:cs="Arial"/>
          <w:sz w:val="24"/>
          <w:szCs w:val="24"/>
        </w:rPr>
      </w:pPr>
    </w:p>
    <w:p w14:paraId="77F14621" w14:textId="77777777" w:rsidR="004E1E5C" w:rsidRDefault="004E1E5C" w:rsidP="00E83AF5">
      <w:pPr>
        <w:spacing w:line="276" w:lineRule="auto"/>
        <w:jc w:val="both"/>
        <w:rPr>
          <w:rFonts w:ascii="Arial" w:hAnsi="Arial" w:cs="Arial"/>
          <w:sz w:val="24"/>
          <w:szCs w:val="24"/>
        </w:rPr>
      </w:pPr>
    </w:p>
    <w:p w14:paraId="1FA64084" w14:textId="77777777" w:rsidR="004E1E5C" w:rsidRDefault="004E1E5C" w:rsidP="00E83AF5">
      <w:pPr>
        <w:spacing w:line="276" w:lineRule="auto"/>
        <w:jc w:val="both"/>
        <w:rPr>
          <w:rFonts w:ascii="Arial" w:hAnsi="Arial" w:cs="Arial"/>
          <w:sz w:val="24"/>
          <w:szCs w:val="24"/>
        </w:rPr>
      </w:pPr>
    </w:p>
    <w:p w14:paraId="7BC27CF8" w14:textId="77777777" w:rsidR="004E1E5C" w:rsidRDefault="004E1E5C" w:rsidP="00E83AF5">
      <w:pPr>
        <w:spacing w:line="276" w:lineRule="auto"/>
        <w:jc w:val="both"/>
        <w:rPr>
          <w:rFonts w:ascii="Arial" w:hAnsi="Arial" w:cs="Arial"/>
          <w:sz w:val="24"/>
          <w:szCs w:val="24"/>
        </w:rPr>
      </w:pPr>
    </w:p>
    <w:p w14:paraId="33D852D7" w14:textId="77777777" w:rsidR="004E1E5C" w:rsidRDefault="004E1E5C" w:rsidP="00E83AF5">
      <w:pPr>
        <w:spacing w:line="276" w:lineRule="auto"/>
        <w:jc w:val="both"/>
        <w:rPr>
          <w:rFonts w:ascii="Arial" w:hAnsi="Arial" w:cs="Arial"/>
          <w:sz w:val="24"/>
          <w:szCs w:val="24"/>
        </w:rPr>
      </w:pPr>
    </w:p>
    <w:p w14:paraId="40FD35A8" w14:textId="77777777" w:rsidR="004E1E5C" w:rsidRDefault="004E1E5C" w:rsidP="00E83AF5">
      <w:pPr>
        <w:spacing w:line="276" w:lineRule="auto"/>
        <w:jc w:val="both"/>
        <w:rPr>
          <w:rFonts w:ascii="Arial" w:hAnsi="Arial" w:cs="Arial"/>
          <w:sz w:val="24"/>
          <w:szCs w:val="24"/>
        </w:rPr>
      </w:pPr>
    </w:p>
    <w:p w14:paraId="5196ECF2" w14:textId="77777777" w:rsidR="004E1E5C" w:rsidRDefault="004E1E5C" w:rsidP="00E83AF5">
      <w:pPr>
        <w:spacing w:line="276" w:lineRule="auto"/>
        <w:jc w:val="both"/>
        <w:rPr>
          <w:rFonts w:ascii="Arial" w:hAnsi="Arial" w:cs="Arial"/>
          <w:sz w:val="24"/>
          <w:szCs w:val="24"/>
        </w:rPr>
      </w:pPr>
    </w:p>
    <w:p w14:paraId="068E9DA2" w14:textId="77777777" w:rsidR="004E1E5C" w:rsidRDefault="004E1E5C" w:rsidP="00E83AF5">
      <w:pPr>
        <w:spacing w:line="276" w:lineRule="auto"/>
        <w:jc w:val="both"/>
        <w:rPr>
          <w:rFonts w:ascii="Arial" w:hAnsi="Arial" w:cs="Arial"/>
          <w:sz w:val="24"/>
          <w:szCs w:val="24"/>
        </w:rPr>
      </w:pPr>
    </w:p>
    <w:p w14:paraId="07781FD6" w14:textId="77777777" w:rsidR="004E1E5C" w:rsidRDefault="004E1E5C" w:rsidP="00E83AF5">
      <w:pPr>
        <w:spacing w:line="276" w:lineRule="auto"/>
        <w:jc w:val="both"/>
        <w:rPr>
          <w:rFonts w:ascii="Arial" w:hAnsi="Arial" w:cs="Arial"/>
          <w:sz w:val="24"/>
          <w:szCs w:val="24"/>
        </w:rPr>
      </w:pPr>
    </w:p>
    <w:p w14:paraId="082B9E4C" w14:textId="284202F4" w:rsidR="00E83AF5" w:rsidRPr="00EB2A7C" w:rsidRDefault="00E83AF5" w:rsidP="00EB2A7C">
      <w:pPr>
        <w:spacing w:line="276" w:lineRule="auto"/>
        <w:jc w:val="both"/>
        <w:rPr>
          <w:rFonts w:ascii="Arial" w:hAnsi="Arial" w:cs="Arial"/>
          <w:sz w:val="24"/>
          <w:szCs w:val="24"/>
          <w:lang w:val="en-ZA"/>
        </w:rPr>
      </w:pPr>
      <w:r w:rsidRPr="00EB2A7C">
        <w:rPr>
          <w:rFonts w:ascii="Arial" w:hAnsi="Arial" w:cs="Arial"/>
          <w:sz w:val="24"/>
          <w:szCs w:val="24"/>
        </w:rPr>
        <w:t xml:space="preserve">The finance minister is often a key figure in overcoming political leadership obstacles for reforms and in making reform commitments. If they are convinced of the importance and benefits of fiscal transparency, they can use this information to try and garner the support of other key political actors including more senior political levels, such as the prime minister or president, and from other ministers whose support and collaboration is needed to enhance fiscal transparency. Ministers should also lead and promote institutional reforms that position the executive to successfully undertake reforms, ensuring that technical capacity is provided for. For example, Trevor A Manuel’s </w:t>
      </w:r>
      <w:r w:rsidRPr="00EB2A7C">
        <w:rPr>
          <w:rFonts w:ascii="Arial" w:hAnsi="Arial" w:cs="Arial"/>
          <w:sz w:val="24"/>
          <w:szCs w:val="24"/>
        </w:rPr>
        <w:lastRenderedPageBreak/>
        <w:t>tenure as Minister of Finance in South Africa from 1996 to 2009 showed what can be achieved with long-standing political commitment to a series of reforms</w:t>
      </w:r>
      <w:r w:rsidRPr="00EB2A7C">
        <w:rPr>
          <w:rStyle w:val="FootnoteReference"/>
          <w:rFonts w:ascii="Arial" w:hAnsi="Arial" w:cs="Arial"/>
          <w:sz w:val="24"/>
          <w:szCs w:val="24"/>
        </w:rPr>
        <w:footnoteReference w:id="94"/>
      </w:r>
      <w:r w:rsidRPr="00EB2A7C">
        <w:rPr>
          <w:rFonts w:ascii="Arial" w:hAnsi="Arial" w:cs="Arial"/>
          <w:sz w:val="24"/>
          <w:szCs w:val="24"/>
        </w:rPr>
        <w:t>.</w:t>
      </w:r>
    </w:p>
    <w:p w14:paraId="0C6474D9" w14:textId="77777777" w:rsidR="00E83AF5" w:rsidRPr="00EB2A7C" w:rsidRDefault="00E83AF5" w:rsidP="00EB2A7C">
      <w:pPr>
        <w:spacing w:line="276" w:lineRule="auto"/>
        <w:jc w:val="both"/>
        <w:rPr>
          <w:rFonts w:ascii="Arial" w:hAnsi="Arial" w:cs="Arial"/>
          <w:sz w:val="24"/>
          <w:szCs w:val="24"/>
          <w:lang w:val="en-ZA"/>
        </w:rPr>
      </w:pPr>
    </w:p>
    <w:p w14:paraId="04E354E5" w14:textId="0DE8BF73" w:rsidR="00E83AF5" w:rsidRPr="00EB2A7C" w:rsidRDefault="00E83AF5" w:rsidP="00EB2A7C">
      <w:pPr>
        <w:spacing w:line="276" w:lineRule="auto"/>
        <w:jc w:val="both"/>
        <w:rPr>
          <w:rFonts w:ascii="Arial" w:hAnsi="Arial" w:cs="Arial"/>
          <w:sz w:val="24"/>
          <w:szCs w:val="24"/>
        </w:rPr>
      </w:pPr>
      <w:r w:rsidRPr="00EB2A7C">
        <w:rPr>
          <w:rFonts w:ascii="Arial" w:hAnsi="Arial" w:cs="Arial"/>
          <w:sz w:val="24"/>
          <w:szCs w:val="24"/>
        </w:rPr>
        <w:t xml:space="preserve">Technocrats and public officials from within the executive, typically the ministry of finance, should lead the process of identifying, coordinating and implementing PFM and fiscal transparency actions. Finance ministries should thus be organized in an effective and efficient manner, and have the technical capacity to do this. Reform implementation and transparency improvements are often held back by the fragmentation of responsibilities for budgeting and transparency within governments. Overlapping and conflicting mandates can also undermine fiscal transparency. </w:t>
      </w:r>
      <w:r w:rsidRPr="00EB2A7C">
        <w:rPr>
          <w:rFonts w:ascii="Arial" w:hAnsi="Arial" w:cs="Arial"/>
          <w:sz w:val="24"/>
          <w:szCs w:val="24"/>
          <w:lang w:val="en-ZA"/>
        </w:rPr>
        <w:t>For example, if different units of the finance ministry run their own websites on which they publish the documents for which they are responsible and can’t publish information produced by others, they will each be unable to publish comprehensive information</w:t>
      </w:r>
      <w:r w:rsidRPr="00EB2A7C">
        <w:rPr>
          <w:rFonts w:ascii="Arial" w:hAnsi="Arial" w:cs="Arial"/>
          <w:sz w:val="24"/>
          <w:szCs w:val="24"/>
        </w:rPr>
        <w:t>. Case studies</w:t>
      </w:r>
      <w:r w:rsidRPr="00EB2A7C">
        <w:rPr>
          <w:rFonts w:ascii="Arial" w:hAnsi="Arial" w:cs="Arial"/>
          <w:sz w:val="24"/>
          <w:szCs w:val="24"/>
          <w:vertAlign w:val="superscript"/>
        </w:rPr>
        <w:footnoteReference w:id="95"/>
      </w:r>
      <w:r w:rsidRPr="00EB2A7C">
        <w:rPr>
          <w:rFonts w:ascii="Arial" w:hAnsi="Arial" w:cs="Arial"/>
          <w:sz w:val="24"/>
          <w:szCs w:val="24"/>
        </w:rPr>
        <w:t>, have generally shown that to overcome strong resistance, either within the ministry of finance itself or in line ministries, the more successful governments proved better able to tackle and overcome such challenges by building the capabilities of finance ministries to deliver transparency improvements.</w:t>
      </w:r>
    </w:p>
    <w:p w14:paraId="203C812D" w14:textId="77777777" w:rsidR="00E83AF5" w:rsidRPr="00EB2A7C" w:rsidRDefault="00E83AF5" w:rsidP="00EB2A7C">
      <w:pPr>
        <w:spacing w:line="276" w:lineRule="auto"/>
        <w:jc w:val="both"/>
        <w:rPr>
          <w:rFonts w:ascii="Arial" w:hAnsi="Arial" w:cs="Arial"/>
          <w:sz w:val="24"/>
          <w:szCs w:val="24"/>
        </w:rPr>
      </w:pPr>
    </w:p>
    <w:p w14:paraId="4C3466BA" w14:textId="3079615F" w:rsidR="00E83AF5" w:rsidRDefault="004E1E5C" w:rsidP="00E83AF5">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80062" behindDoc="0" locked="0" layoutInCell="1" allowOverlap="1" wp14:anchorId="73D52827" wp14:editId="2246D4A6">
            <wp:simplePos x="0" y="0"/>
            <wp:positionH relativeFrom="column">
              <wp:posOffset>0</wp:posOffset>
            </wp:positionH>
            <wp:positionV relativeFrom="paragraph">
              <wp:posOffset>6350</wp:posOffset>
            </wp:positionV>
            <wp:extent cx="1689100" cy="1790700"/>
            <wp:effectExtent l="0" t="0" r="0" b="0"/>
            <wp:wrapSquare wrapText="bothSides"/>
            <wp:docPr id="2622" name="Picture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 name="Picture 2622"/>
                    <pic:cNvPicPr/>
                  </pic:nvPicPr>
                  <pic:blipFill rotWithShape="1">
                    <a:blip r:embed="rId1015" cstate="screen">
                      <a:extLst>
                        <a:ext uri="{28A0092B-C50C-407E-A947-70E740481C1C}">
                          <a14:useLocalDpi xmlns:a14="http://schemas.microsoft.com/office/drawing/2010/main"/>
                        </a:ext>
                      </a:extLst>
                    </a:blip>
                    <a:srcRect/>
                    <a:stretch/>
                  </pic:blipFill>
                  <pic:spPr bwMode="auto">
                    <a:xfrm>
                      <a:off x="0" y="0"/>
                      <a:ext cx="168910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3AF5" w:rsidRPr="00EB2A7C">
        <w:rPr>
          <w:rFonts w:ascii="Arial" w:hAnsi="Arial" w:cs="Arial"/>
          <w:sz w:val="24"/>
          <w:szCs w:val="24"/>
        </w:rPr>
        <w:t>Transparency reforms should then ideally be technically led by capable and committed individuals that formulate strategies that show the benefits, provide focus, and allow for accountability in reform efforts. These individuals are known as ‘transparency champions’ in the fiscal transparency community. Transparency champions have played an important role in advancing fiscal transparency in a number of countries, by mobilizing interest and support for transparency and clearing away political and bureaucratic obstacles</w:t>
      </w:r>
      <w:r w:rsidR="00E83AF5" w:rsidRPr="00EB2A7C">
        <w:rPr>
          <w:rFonts w:ascii="Arial" w:hAnsi="Arial" w:cs="Arial"/>
          <w:sz w:val="24"/>
          <w:szCs w:val="24"/>
          <w:vertAlign w:val="superscript"/>
        </w:rPr>
        <w:footnoteReference w:id="96"/>
      </w:r>
      <w:r w:rsidR="00E83AF5" w:rsidRPr="00EB2A7C">
        <w:rPr>
          <w:rFonts w:ascii="Arial" w:hAnsi="Arial" w:cs="Arial"/>
          <w:sz w:val="24"/>
          <w:szCs w:val="24"/>
        </w:rPr>
        <w:t xml:space="preserve">. These leaders should ideally be in senior positions, command respect and be able to exert influence at the highest level of government. Transparency champions have been able to establish capacity and negotiate cooperation on the part of information holders. They have used informal processes to overcome resistance to reforms elsewhere in the finance ministry or in other parts of government. Such a leader should demonstrate and publicize the potential benefits of the reform, encourage debate in the identification of reforms and development of action plans, and empower others by designing and implementing training programs that build the essential skills required to meet transparency commitments. In Mexico, for example, champions informally approached the leaders of other units in government whose cooperation was required to set up a transparency portal in 2011. In such cases, champions enjoyed the support of the </w:t>
      </w:r>
      <w:proofErr w:type="gramStart"/>
      <w:r w:rsidR="00E83AF5" w:rsidRPr="00EB2A7C">
        <w:rPr>
          <w:rFonts w:ascii="Arial" w:hAnsi="Arial" w:cs="Arial"/>
          <w:sz w:val="24"/>
          <w:szCs w:val="24"/>
        </w:rPr>
        <w:t>highest ranking</w:t>
      </w:r>
      <w:proofErr w:type="gramEnd"/>
      <w:r w:rsidR="00E83AF5" w:rsidRPr="00EB2A7C">
        <w:rPr>
          <w:rFonts w:ascii="Arial" w:hAnsi="Arial" w:cs="Arial"/>
          <w:sz w:val="24"/>
          <w:szCs w:val="24"/>
        </w:rPr>
        <w:t xml:space="preserve"> officials in the finance ministries, as well as the support of the political leadership at crucial stages. Transparency champions were notably absent in the case study countries that did not break or could not sustain an Open Budget Index score of 60 or above. Many fiscal transparency champions can be found in the GIFT network.</w:t>
      </w:r>
    </w:p>
    <w:p w14:paraId="3B9934EE" w14:textId="20E3EDC7" w:rsidR="00D466D2" w:rsidRDefault="00D466D2" w:rsidP="00E83AF5">
      <w:pPr>
        <w:spacing w:line="276" w:lineRule="auto"/>
        <w:jc w:val="both"/>
        <w:rPr>
          <w:rFonts w:ascii="Arial" w:hAnsi="Arial" w:cs="Arial"/>
          <w:sz w:val="24"/>
          <w:szCs w:val="24"/>
        </w:rPr>
      </w:pPr>
    </w:p>
    <w:p w14:paraId="6325AA3B" w14:textId="7BE5BB41" w:rsidR="00D466D2" w:rsidRDefault="00D466D2" w:rsidP="00E83AF5">
      <w:pPr>
        <w:spacing w:line="276" w:lineRule="auto"/>
        <w:jc w:val="both"/>
        <w:rPr>
          <w:rFonts w:ascii="Arial" w:hAnsi="Arial" w:cs="Arial"/>
          <w:sz w:val="24"/>
          <w:szCs w:val="24"/>
        </w:rPr>
      </w:pPr>
    </w:p>
    <w:p w14:paraId="295619F5" w14:textId="2B1AE39B" w:rsidR="00D466D2" w:rsidRDefault="00D466D2" w:rsidP="00E83AF5">
      <w:pPr>
        <w:spacing w:line="276" w:lineRule="auto"/>
        <w:jc w:val="both"/>
        <w:rPr>
          <w:rFonts w:ascii="Arial" w:hAnsi="Arial" w:cs="Arial"/>
          <w:sz w:val="24"/>
          <w:szCs w:val="24"/>
        </w:rPr>
      </w:pPr>
    </w:p>
    <w:p w14:paraId="663C09C7" w14:textId="012EEB9D" w:rsidR="00E83AF5" w:rsidRDefault="00E83AF5" w:rsidP="00E83AF5">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4653438" behindDoc="0" locked="0" layoutInCell="1" allowOverlap="1" wp14:anchorId="50035FCC" wp14:editId="3F859964">
            <wp:simplePos x="0" y="0"/>
            <wp:positionH relativeFrom="column">
              <wp:posOffset>0</wp:posOffset>
            </wp:positionH>
            <wp:positionV relativeFrom="paragraph">
              <wp:posOffset>93980</wp:posOffset>
            </wp:positionV>
            <wp:extent cx="2519680" cy="629920"/>
            <wp:effectExtent l="0" t="0" r="0" b="0"/>
            <wp:wrapSquare wrapText="bothSides"/>
            <wp:docPr id="2582" name="Picture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Picture 2582"/>
                    <pic:cNvPicPr/>
                  </pic:nvPicPr>
                  <pic:blipFill>
                    <a:blip r:embed="rId1016" cstate="email">
                      <a:extLst>
                        <a:ext uri="{28A0092B-C50C-407E-A947-70E740481C1C}">
                          <a14:useLocalDpi xmlns:a14="http://schemas.microsoft.com/office/drawing/2010/main"/>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14:paraId="412F6D1E" w14:textId="02567CA4" w:rsidR="00E83AF5" w:rsidRPr="00EB2A7C" w:rsidRDefault="00E83AF5" w:rsidP="00EB2A7C">
      <w:pPr>
        <w:spacing w:line="276" w:lineRule="auto"/>
        <w:jc w:val="both"/>
        <w:rPr>
          <w:rFonts w:ascii="Arial" w:hAnsi="Arial" w:cs="Arial"/>
          <w:sz w:val="24"/>
          <w:szCs w:val="24"/>
          <w:lang w:val="en-ZA"/>
        </w:rPr>
      </w:pPr>
    </w:p>
    <w:p w14:paraId="74A68025" w14:textId="353D0D06" w:rsidR="00E83AF5" w:rsidRPr="00E83AF5" w:rsidRDefault="00E83AF5" w:rsidP="00E83AF5">
      <w:pPr>
        <w:spacing w:line="276" w:lineRule="auto"/>
        <w:jc w:val="both"/>
        <w:rPr>
          <w:rFonts w:ascii="Arial" w:hAnsi="Arial" w:cs="Arial"/>
          <w:sz w:val="24"/>
          <w:szCs w:val="24"/>
          <w:lang w:val="en-US"/>
        </w:rPr>
      </w:pPr>
    </w:p>
    <w:p w14:paraId="350FD315" w14:textId="7DC67621" w:rsidR="00606D06" w:rsidRPr="00E83AF5" w:rsidRDefault="00606D06" w:rsidP="00E83AF5">
      <w:pPr>
        <w:spacing w:line="276" w:lineRule="auto"/>
        <w:jc w:val="both"/>
        <w:rPr>
          <w:rFonts w:ascii="Arial" w:hAnsi="Arial" w:cs="Arial"/>
          <w:sz w:val="24"/>
          <w:szCs w:val="24"/>
          <w:lang w:val="en-US"/>
        </w:rPr>
      </w:pPr>
    </w:p>
    <w:p w14:paraId="37CFC245" w14:textId="6E4E5E1D" w:rsidR="00E83AF5" w:rsidRPr="00AB11BF" w:rsidRDefault="00E83AF5" w:rsidP="00EB2A7C">
      <w:pPr>
        <w:spacing w:line="276" w:lineRule="auto"/>
        <w:rPr>
          <w:rFonts w:ascii="Arial" w:hAnsi="Arial" w:cs="Arial"/>
          <w:b/>
          <w:bCs/>
          <w:iCs/>
          <w:color w:val="16988A"/>
          <w:sz w:val="24"/>
          <w:szCs w:val="24"/>
        </w:rPr>
      </w:pPr>
      <w:r w:rsidRPr="00AB11BF">
        <w:rPr>
          <w:rFonts w:ascii="Arial" w:hAnsi="Arial" w:cs="Arial"/>
          <w:b/>
          <w:bCs/>
          <w:iCs/>
          <w:color w:val="16988A"/>
          <w:sz w:val="24"/>
          <w:szCs w:val="24"/>
        </w:rPr>
        <w:t>Appoint a dedicated team of specialist civil servants focusing on fiscal transparency reforms</w:t>
      </w:r>
    </w:p>
    <w:p w14:paraId="7D48BC74" w14:textId="181BB5EF" w:rsidR="00E83AF5" w:rsidRPr="005C374C" w:rsidRDefault="00E83AF5" w:rsidP="005C374C">
      <w:pPr>
        <w:tabs>
          <w:tab w:val="left" w:pos="4480"/>
        </w:tabs>
        <w:spacing w:line="276" w:lineRule="auto"/>
        <w:rPr>
          <w:rFonts w:ascii="Arial" w:hAnsi="Arial" w:cs="Arial"/>
          <w:sz w:val="24"/>
          <w:szCs w:val="24"/>
          <w:lang w:val="en-US"/>
        </w:rPr>
      </w:pPr>
    </w:p>
    <w:p w14:paraId="7B2E6DDF" w14:textId="19024372" w:rsidR="005C374C" w:rsidRDefault="00EA70B4" w:rsidP="005C374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78014" behindDoc="0" locked="0" layoutInCell="1" allowOverlap="1" wp14:anchorId="39177E2E" wp14:editId="6CA0943F">
            <wp:simplePos x="0" y="0"/>
            <wp:positionH relativeFrom="column">
              <wp:posOffset>0</wp:posOffset>
            </wp:positionH>
            <wp:positionV relativeFrom="paragraph">
              <wp:posOffset>85747</wp:posOffset>
            </wp:positionV>
            <wp:extent cx="1544955" cy="1644650"/>
            <wp:effectExtent l="0" t="0" r="4445" b="6350"/>
            <wp:wrapSquare wrapText="bothSides"/>
            <wp:docPr id="2619" name="Picture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Picture 2619"/>
                    <pic:cNvPicPr/>
                  </pic:nvPicPr>
                  <pic:blipFill rotWithShape="1">
                    <a:blip r:embed="rId1017" cstate="email">
                      <a:extLst>
                        <a:ext uri="{28A0092B-C50C-407E-A947-70E740481C1C}">
                          <a14:useLocalDpi xmlns:a14="http://schemas.microsoft.com/office/drawing/2010/main"/>
                        </a:ext>
                      </a:extLst>
                    </a:blip>
                    <a:srcRect l="9364" t="19613" r="9994" b="19654"/>
                    <a:stretch/>
                  </pic:blipFill>
                  <pic:spPr bwMode="auto">
                    <a:xfrm>
                      <a:off x="0" y="0"/>
                      <a:ext cx="1544955" cy="164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374C" w:rsidRPr="00EB2A7C">
        <w:rPr>
          <w:rFonts w:ascii="Arial" w:hAnsi="Arial" w:cs="Arial"/>
          <w:sz w:val="24"/>
          <w:szCs w:val="24"/>
        </w:rPr>
        <w:t>For fiscal transparency, key players in the executive need to not only have the authority/support to advocate for, and implement appropriate actions/reforms, but also the technical capacity to do so</w:t>
      </w:r>
      <w:r w:rsidR="005C374C" w:rsidRPr="00EB2A7C">
        <w:rPr>
          <w:rFonts w:ascii="Arial" w:hAnsi="Arial" w:cs="Arial"/>
          <w:b/>
          <w:sz w:val="24"/>
          <w:szCs w:val="24"/>
        </w:rPr>
        <w:t>.</w:t>
      </w:r>
      <w:r w:rsidR="005C374C" w:rsidRPr="00EB2A7C">
        <w:rPr>
          <w:rFonts w:ascii="Arial" w:hAnsi="Arial" w:cs="Arial"/>
          <w:b/>
          <w:i/>
          <w:sz w:val="24"/>
          <w:szCs w:val="24"/>
        </w:rPr>
        <w:t xml:space="preserve"> </w:t>
      </w:r>
      <w:r w:rsidR="005C374C" w:rsidRPr="00EB2A7C">
        <w:rPr>
          <w:rFonts w:ascii="Arial" w:hAnsi="Arial" w:cs="Arial"/>
          <w:sz w:val="24"/>
          <w:szCs w:val="24"/>
        </w:rPr>
        <w:t xml:space="preserve"> A dedicated, capable, core government team should ideally be appointed within the </w:t>
      </w:r>
      <w:r w:rsidR="000317E9" w:rsidRPr="00EB2A7C">
        <w:rPr>
          <w:rFonts w:ascii="Arial" w:hAnsi="Arial" w:cs="Arial"/>
          <w:sz w:val="24"/>
          <w:szCs w:val="24"/>
        </w:rPr>
        <w:t xml:space="preserve">ministry </w:t>
      </w:r>
      <w:r w:rsidR="000317E9">
        <w:rPr>
          <w:rFonts w:ascii="Arial" w:hAnsi="Arial" w:cs="Arial"/>
          <w:sz w:val="24"/>
          <w:szCs w:val="24"/>
        </w:rPr>
        <w:t xml:space="preserve">of </w:t>
      </w:r>
      <w:r w:rsidR="005C374C" w:rsidRPr="00EB2A7C">
        <w:rPr>
          <w:rFonts w:ascii="Arial" w:hAnsi="Arial" w:cs="Arial"/>
          <w:sz w:val="24"/>
          <w:szCs w:val="24"/>
        </w:rPr>
        <w:t>finance to focus on the design and development of reform initiatives and action plans. This can be a small team consisting of a few people. This team should, in consultation with the other key actors in the fiscal ecosystem, facilitate the process of identifying, prioritizing, and sequencing action or reform initiatives, as well as processes to monitor and report on progress. They should also share their knowledge and build the capacities of other government officials, and stakeholders, playing a key role in persuading others to join the effort. The lack of technical capacity, where public officials don’t possess the competencies required to develop or support reform implementation, has short– and long-term negative impacts on the ability to implement and sustain reforms. In such cases, capacity building may be required before successful reforms can be undertaken. The importance of setting up dedicated teams, tasked with promoting and coordinating efforts to improve fiscal transparency, was seen in Mexico, the Philippines, Uganda, and Benin. These teams should ideally be led by transparency champions.</w:t>
      </w:r>
    </w:p>
    <w:p w14:paraId="74E45020" w14:textId="70C6C1B7" w:rsidR="00E21637" w:rsidRDefault="00E21637" w:rsidP="005C374C">
      <w:pPr>
        <w:spacing w:line="276" w:lineRule="auto"/>
        <w:jc w:val="both"/>
        <w:rPr>
          <w:rFonts w:ascii="Arial" w:hAnsi="Arial" w:cs="Arial"/>
          <w:sz w:val="24"/>
          <w:szCs w:val="24"/>
        </w:rPr>
      </w:pPr>
    </w:p>
    <w:p w14:paraId="189179DE" w14:textId="151F81AD" w:rsidR="00E21637" w:rsidRPr="00EB2A7C" w:rsidRDefault="00E21637" w:rsidP="00EB2A7C">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654462" behindDoc="0" locked="0" layoutInCell="1" allowOverlap="1" wp14:anchorId="0295C941" wp14:editId="4A704F9C">
            <wp:simplePos x="0" y="0"/>
            <wp:positionH relativeFrom="column">
              <wp:posOffset>0</wp:posOffset>
            </wp:positionH>
            <wp:positionV relativeFrom="paragraph">
              <wp:posOffset>0</wp:posOffset>
            </wp:positionV>
            <wp:extent cx="2520000" cy="630000"/>
            <wp:effectExtent l="0" t="0" r="0" b="0"/>
            <wp:wrapSquare wrapText="bothSides"/>
            <wp:docPr id="2585" name="Picture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 name="Picture 2585"/>
                    <pic:cNvPicPr/>
                  </pic:nvPicPr>
                  <pic:blipFill>
                    <a:blip r:embed="rId1018" cstate="email">
                      <a:extLst>
                        <a:ext uri="{28A0092B-C50C-407E-A947-70E740481C1C}">
                          <a14:useLocalDpi xmlns:a14="http://schemas.microsoft.com/office/drawing/2010/main"/>
                        </a:ext>
                      </a:extLst>
                    </a:blip>
                    <a:stretch>
                      <a:fillRect/>
                    </a:stretch>
                  </pic:blipFill>
                  <pic:spPr>
                    <a:xfrm>
                      <a:off x="0" y="0"/>
                      <a:ext cx="2520000" cy="630000"/>
                    </a:xfrm>
                    <a:prstGeom prst="rect">
                      <a:avLst/>
                    </a:prstGeom>
                  </pic:spPr>
                </pic:pic>
              </a:graphicData>
            </a:graphic>
            <wp14:sizeRelH relativeFrom="page">
              <wp14:pctWidth>0</wp14:pctWidth>
            </wp14:sizeRelH>
            <wp14:sizeRelV relativeFrom="page">
              <wp14:pctHeight>0</wp14:pctHeight>
            </wp14:sizeRelV>
          </wp:anchor>
        </w:drawing>
      </w:r>
    </w:p>
    <w:p w14:paraId="658B02EB" w14:textId="2183FB90" w:rsidR="005C374C" w:rsidRDefault="005C374C" w:rsidP="00E83AF5">
      <w:pPr>
        <w:tabs>
          <w:tab w:val="left" w:pos="4480"/>
        </w:tabs>
        <w:spacing w:line="276" w:lineRule="auto"/>
        <w:rPr>
          <w:rFonts w:ascii="Arial" w:hAnsi="Arial" w:cs="Arial"/>
          <w:sz w:val="24"/>
          <w:szCs w:val="24"/>
          <w:lang w:val="en-US"/>
        </w:rPr>
      </w:pPr>
    </w:p>
    <w:p w14:paraId="76598CC8" w14:textId="5A90295F" w:rsidR="00E21637" w:rsidRDefault="00E21637" w:rsidP="00E83AF5">
      <w:pPr>
        <w:tabs>
          <w:tab w:val="left" w:pos="4480"/>
        </w:tabs>
        <w:spacing w:line="276" w:lineRule="auto"/>
        <w:rPr>
          <w:rFonts w:ascii="Arial" w:hAnsi="Arial" w:cs="Arial"/>
          <w:sz w:val="24"/>
          <w:szCs w:val="24"/>
          <w:lang w:val="en-US"/>
        </w:rPr>
      </w:pPr>
    </w:p>
    <w:p w14:paraId="49D35FCC" w14:textId="6A7C4DF4" w:rsidR="00E21637" w:rsidRPr="00AB11BF" w:rsidRDefault="00E21637" w:rsidP="00E83AF5">
      <w:pPr>
        <w:tabs>
          <w:tab w:val="left" w:pos="4480"/>
        </w:tabs>
        <w:spacing w:line="276" w:lineRule="auto"/>
        <w:rPr>
          <w:rFonts w:ascii="Arial" w:hAnsi="Arial" w:cs="Arial"/>
          <w:sz w:val="24"/>
          <w:szCs w:val="24"/>
          <w:lang w:val="en-US"/>
        </w:rPr>
      </w:pPr>
    </w:p>
    <w:p w14:paraId="1F2E290C" w14:textId="3DC77683" w:rsidR="00E21637" w:rsidRPr="00AB11BF" w:rsidRDefault="00F91E05" w:rsidP="00E21637">
      <w:pPr>
        <w:rPr>
          <w:rFonts w:ascii="Arial" w:hAnsi="Arial" w:cs="Arial"/>
          <w:b/>
          <w:bCs/>
          <w:iCs/>
          <w:color w:val="16988A"/>
          <w:sz w:val="24"/>
          <w:szCs w:val="24"/>
        </w:rPr>
      </w:pPr>
      <w:r>
        <w:rPr>
          <w:rFonts w:ascii="Arial" w:hAnsi="Arial" w:cs="Arial"/>
          <w:b/>
          <w:bCs/>
          <w:iCs/>
          <w:noProof/>
          <w:color w:val="16988A"/>
          <w:sz w:val="24"/>
          <w:szCs w:val="24"/>
          <w:lang w:val="en-US"/>
        </w:rPr>
        <w:drawing>
          <wp:anchor distT="0" distB="0" distL="114300" distR="114300" simplePos="0" relativeHeight="255299582" behindDoc="0" locked="0" layoutInCell="1" allowOverlap="1" wp14:anchorId="3A8D859F" wp14:editId="5BDF5B1F">
            <wp:simplePos x="0" y="0"/>
            <wp:positionH relativeFrom="column">
              <wp:posOffset>0</wp:posOffset>
            </wp:positionH>
            <wp:positionV relativeFrom="paragraph">
              <wp:posOffset>111760</wp:posOffset>
            </wp:positionV>
            <wp:extent cx="2519680" cy="2463800"/>
            <wp:effectExtent l="0" t="0" r="0" b="0"/>
            <wp:wrapSquare wrapText="bothSides"/>
            <wp:docPr id="2813" name="Picture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 name="Picture 2813"/>
                    <pic:cNvPicPr/>
                  </pic:nvPicPr>
                  <pic:blipFill rotWithShape="1">
                    <a:blip r:embed="rId1019" cstate="screen">
                      <a:extLst>
                        <a:ext uri="{28A0092B-C50C-407E-A947-70E740481C1C}">
                          <a14:useLocalDpi xmlns:a14="http://schemas.microsoft.com/office/drawing/2010/main"/>
                        </a:ext>
                      </a:extLst>
                    </a:blip>
                    <a:srcRect/>
                    <a:stretch/>
                  </pic:blipFill>
                  <pic:spPr bwMode="auto">
                    <a:xfrm>
                      <a:off x="0" y="0"/>
                      <a:ext cx="2519680" cy="246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1637" w:rsidRPr="00AB11BF">
        <w:rPr>
          <w:rFonts w:ascii="Arial" w:hAnsi="Arial" w:cs="Arial"/>
          <w:b/>
          <w:bCs/>
          <w:iCs/>
          <w:color w:val="16988A"/>
          <w:sz w:val="24"/>
          <w:szCs w:val="24"/>
        </w:rPr>
        <w:t>Target low-hanging fruit</w:t>
      </w:r>
    </w:p>
    <w:p w14:paraId="7F36C554" w14:textId="399BD3B2" w:rsidR="00E21637" w:rsidRPr="00EB2A7C" w:rsidRDefault="00E21637" w:rsidP="00EB2A7C">
      <w:pPr>
        <w:spacing w:line="276" w:lineRule="auto"/>
        <w:rPr>
          <w:rFonts w:ascii="Arial" w:hAnsi="Arial" w:cs="Arial"/>
          <w:b/>
          <w:bCs/>
          <w:iCs/>
          <w:color w:val="16988A"/>
          <w:sz w:val="24"/>
          <w:szCs w:val="24"/>
        </w:rPr>
      </w:pPr>
    </w:p>
    <w:p w14:paraId="69986226" w14:textId="1A567B8B" w:rsidR="001114BC" w:rsidRPr="00F91E05" w:rsidRDefault="00E21637" w:rsidP="00F91E05">
      <w:pPr>
        <w:spacing w:line="276" w:lineRule="auto"/>
        <w:jc w:val="both"/>
        <w:rPr>
          <w:rFonts w:ascii="Arial" w:hAnsi="Arial" w:cs="Arial"/>
          <w:b/>
          <w:bCs/>
          <w:iCs/>
          <w:color w:val="16988A"/>
          <w:sz w:val="24"/>
          <w:szCs w:val="24"/>
        </w:rPr>
      </w:pPr>
      <w:r w:rsidRPr="00EB2A7C">
        <w:rPr>
          <w:rFonts w:ascii="Arial" w:hAnsi="Arial" w:cs="Arial"/>
          <w:sz w:val="24"/>
          <w:szCs w:val="24"/>
        </w:rPr>
        <w:t>Some actions to improve fiscal transparency are fairly straight forward. They don’t necessarily require detailed reforms and can be implemented quickly by the executive in the short-term, generating results. For example, in some cases, fiscal transparency can be improved by taking relatively simple actions to extract and publish information already produced by government for internal use</w:t>
      </w:r>
      <w:r w:rsidRPr="00EB2A7C">
        <w:rPr>
          <w:rFonts w:ascii="Arial" w:hAnsi="Arial" w:cs="Arial"/>
          <w:sz w:val="24"/>
          <w:szCs w:val="24"/>
          <w:vertAlign w:val="superscript"/>
        </w:rPr>
        <w:footnoteReference w:id="97"/>
      </w:r>
      <w:r w:rsidRPr="00EB2A7C">
        <w:rPr>
          <w:rFonts w:ascii="Arial" w:hAnsi="Arial" w:cs="Arial"/>
          <w:sz w:val="24"/>
          <w:szCs w:val="24"/>
        </w:rPr>
        <w:t>. Reformers can target these actions at the outset to generate quick results, showing the benefits of fiscal transparency, and in the process of doing so, increase their credibility and potentially garner support for more complex reforms.</w:t>
      </w:r>
    </w:p>
    <w:p w14:paraId="3BA46DE3" w14:textId="1B268D56" w:rsidR="00E21637" w:rsidRDefault="00E21637" w:rsidP="00E83AF5">
      <w:pPr>
        <w:tabs>
          <w:tab w:val="left" w:pos="4480"/>
        </w:tabs>
        <w:spacing w:line="276" w:lineRule="auto"/>
        <w:rPr>
          <w:rFonts w:ascii="Arial" w:hAnsi="Arial" w:cs="Arial"/>
          <w:sz w:val="24"/>
          <w:szCs w:val="24"/>
          <w:lang w:val="en-US"/>
        </w:rPr>
      </w:pPr>
      <w:r>
        <w:rPr>
          <w:rFonts w:ascii="Arial" w:hAnsi="Arial" w:cs="Arial"/>
          <w:noProof/>
          <w:sz w:val="24"/>
          <w:szCs w:val="24"/>
          <w:lang w:val="en-US"/>
        </w:rPr>
        <w:lastRenderedPageBreak/>
        <w:drawing>
          <wp:anchor distT="0" distB="0" distL="114300" distR="114300" simplePos="0" relativeHeight="254655486" behindDoc="0" locked="0" layoutInCell="1" allowOverlap="1" wp14:anchorId="7113CD2E" wp14:editId="6B6D9A56">
            <wp:simplePos x="0" y="0"/>
            <wp:positionH relativeFrom="column">
              <wp:posOffset>0</wp:posOffset>
            </wp:positionH>
            <wp:positionV relativeFrom="paragraph">
              <wp:posOffset>142875</wp:posOffset>
            </wp:positionV>
            <wp:extent cx="2519680" cy="629920"/>
            <wp:effectExtent l="0" t="0" r="0" b="0"/>
            <wp:wrapSquare wrapText="bothSides"/>
            <wp:docPr id="2586" name="Picture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Picture 2586"/>
                    <pic:cNvPicPr/>
                  </pic:nvPicPr>
                  <pic:blipFill>
                    <a:blip r:embed="rId1020" cstate="email">
                      <a:extLst>
                        <a:ext uri="{28A0092B-C50C-407E-A947-70E740481C1C}">
                          <a14:useLocalDpi xmlns:a14="http://schemas.microsoft.com/office/drawing/2010/main"/>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14:paraId="299FBC83" w14:textId="576E475D" w:rsidR="00E21637" w:rsidRDefault="00E21637" w:rsidP="00E83AF5">
      <w:pPr>
        <w:tabs>
          <w:tab w:val="left" w:pos="4480"/>
        </w:tabs>
        <w:spacing w:line="276" w:lineRule="auto"/>
        <w:rPr>
          <w:rFonts w:ascii="Arial" w:hAnsi="Arial" w:cs="Arial"/>
          <w:sz w:val="24"/>
          <w:szCs w:val="24"/>
          <w:lang w:val="en-US"/>
        </w:rPr>
      </w:pPr>
    </w:p>
    <w:p w14:paraId="2A1185E3" w14:textId="7D4A28C8" w:rsidR="00E21637" w:rsidRPr="00E21637" w:rsidRDefault="00E21637" w:rsidP="00EB2A7C">
      <w:pPr>
        <w:rPr>
          <w:rFonts w:ascii="Arial" w:hAnsi="Arial" w:cs="Arial"/>
          <w:sz w:val="24"/>
          <w:szCs w:val="24"/>
          <w:lang w:val="en-US"/>
        </w:rPr>
      </w:pPr>
    </w:p>
    <w:p w14:paraId="0D6073EE" w14:textId="77777777" w:rsidR="00E21637" w:rsidRDefault="00E21637" w:rsidP="00E21637">
      <w:pPr>
        <w:rPr>
          <w:rFonts w:ascii="Arial" w:hAnsi="Arial" w:cs="Arial"/>
          <w:sz w:val="24"/>
          <w:szCs w:val="24"/>
          <w:lang w:val="en-US"/>
        </w:rPr>
      </w:pPr>
    </w:p>
    <w:p w14:paraId="06124E62" w14:textId="77777777" w:rsidR="00E21637" w:rsidRDefault="00E21637" w:rsidP="00E21637">
      <w:pPr>
        <w:rPr>
          <w:rFonts w:ascii="Arial" w:hAnsi="Arial" w:cs="Arial"/>
          <w:sz w:val="24"/>
          <w:szCs w:val="24"/>
          <w:lang w:val="en-US"/>
        </w:rPr>
      </w:pPr>
    </w:p>
    <w:p w14:paraId="70CFF3B2" w14:textId="1E783EEA" w:rsidR="00E21637" w:rsidRPr="0004307B" w:rsidRDefault="00E21637" w:rsidP="00EB2A7C">
      <w:pPr>
        <w:rPr>
          <w:rFonts w:ascii="Arial" w:hAnsi="Arial" w:cs="Arial"/>
          <w:b/>
          <w:bCs/>
          <w:iCs/>
          <w:color w:val="16988A"/>
          <w:sz w:val="24"/>
          <w:szCs w:val="24"/>
        </w:rPr>
      </w:pPr>
      <w:r w:rsidRPr="0004307B">
        <w:rPr>
          <w:rFonts w:ascii="Arial" w:hAnsi="Arial" w:cs="Arial"/>
          <w:b/>
          <w:bCs/>
          <w:iCs/>
          <w:color w:val="16988A"/>
          <w:sz w:val="24"/>
          <w:szCs w:val="24"/>
        </w:rPr>
        <w:t>Institutionalize fiscal transparency</w:t>
      </w:r>
    </w:p>
    <w:p w14:paraId="33569B8F" w14:textId="4824B315" w:rsidR="00E21637" w:rsidRDefault="00E21637" w:rsidP="00E21637">
      <w:pPr>
        <w:tabs>
          <w:tab w:val="left" w:pos="2460"/>
        </w:tabs>
        <w:rPr>
          <w:rFonts w:ascii="Arial" w:hAnsi="Arial" w:cs="Arial"/>
          <w:sz w:val="24"/>
          <w:szCs w:val="24"/>
          <w:lang w:val="en-US"/>
        </w:rPr>
      </w:pPr>
    </w:p>
    <w:p w14:paraId="453F322F" w14:textId="01055EFE" w:rsidR="00E21637" w:rsidRPr="00EB2A7C" w:rsidRDefault="001114BC" w:rsidP="00EB2A7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5145982" behindDoc="0" locked="0" layoutInCell="1" allowOverlap="1" wp14:anchorId="4619D572" wp14:editId="404C47C0">
            <wp:simplePos x="0" y="0"/>
            <wp:positionH relativeFrom="column">
              <wp:posOffset>0</wp:posOffset>
            </wp:positionH>
            <wp:positionV relativeFrom="paragraph">
              <wp:posOffset>0</wp:posOffset>
            </wp:positionV>
            <wp:extent cx="3562350" cy="2065020"/>
            <wp:effectExtent l="0" t="0" r="0" b="0"/>
            <wp:wrapSquare wrapText="bothSides"/>
            <wp:docPr id="2793" name="Picture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 name="Picture 2793"/>
                    <pic:cNvPicPr/>
                  </pic:nvPicPr>
                  <pic:blipFill rotWithShape="1">
                    <a:blip r:embed="rId1021" cstate="screen">
                      <a:extLst>
                        <a:ext uri="{28A0092B-C50C-407E-A947-70E740481C1C}">
                          <a14:useLocalDpi xmlns:a14="http://schemas.microsoft.com/office/drawing/2010/main"/>
                        </a:ext>
                      </a:extLst>
                    </a:blip>
                    <a:srcRect/>
                    <a:stretch/>
                  </pic:blipFill>
                  <pic:spPr bwMode="auto">
                    <a:xfrm>
                      <a:off x="0" y="0"/>
                      <a:ext cx="3562350" cy="2065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1637" w:rsidRPr="00EB2A7C">
        <w:rPr>
          <w:rFonts w:ascii="Arial" w:hAnsi="Arial" w:cs="Arial"/>
          <w:sz w:val="24"/>
          <w:szCs w:val="24"/>
        </w:rPr>
        <w:t xml:space="preserve">Ways to institutionalize fiscal transparency have been discussed throughout this Guide, including embedding it in legal frameworks, formal procedures, and systems, such that information is consistently produced and then automatically published. For instance, embedding budget transparency practices in law can limit bureaucratic discretion, diminishing the role of political pressure. Case studies show that this is often, though not always, effective in facilitating greater transparency and in ensuring transparency sustainability, especially when legal transparency provisions are specific and provide detailed information on which documents should be published. While just publishing what is specified in law may not be enough to reach sufficient levels of budget transparency, it can greatly facilitate it. </w:t>
      </w:r>
    </w:p>
    <w:p w14:paraId="24750F97" w14:textId="14A52323" w:rsidR="00E21637" w:rsidRPr="00EB2A7C" w:rsidRDefault="00241BF8" w:rsidP="00EB2A7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81086" behindDoc="0" locked="0" layoutInCell="1" allowOverlap="1" wp14:anchorId="23BD2B1A" wp14:editId="6BC8C5B7">
            <wp:simplePos x="0" y="0"/>
            <wp:positionH relativeFrom="column">
              <wp:posOffset>0</wp:posOffset>
            </wp:positionH>
            <wp:positionV relativeFrom="paragraph">
              <wp:posOffset>196850</wp:posOffset>
            </wp:positionV>
            <wp:extent cx="1099820" cy="1562100"/>
            <wp:effectExtent l="25400" t="25400" r="93980" b="88900"/>
            <wp:wrapSquare wrapText="bothSides"/>
            <wp:docPr id="2623" name="Picture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Picture 2623"/>
                    <pic:cNvPicPr/>
                  </pic:nvPicPr>
                  <pic:blipFill>
                    <a:blip r:embed="rId968" cstate="email">
                      <a:extLst>
                        <a:ext uri="{28A0092B-C50C-407E-A947-70E740481C1C}">
                          <a14:useLocalDpi xmlns:a14="http://schemas.microsoft.com/office/drawing/2010/main"/>
                        </a:ext>
                      </a:extLst>
                    </a:blip>
                    <a:stretch>
                      <a:fillRect/>
                    </a:stretch>
                  </pic:blipFill>
                  <pic:spPr>
                    <a:xfrm>
                      <a:off x="0" y="0"/>
                      <a:ext cx="1099820" cy="15621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9E3D784" w14:textId="6EAD97CA" w:rsidR="00E21637" w:rsidRPr="00EB2A7C" w:rsidRDefault="00E21637" w:rsidP="00EB2A7C">
      <w:pPr>
        <w:spacing w:line="276" w:lineRule="auto"/>
        <w:jc w:val="both"/>
        <w:rPr>
          <w:rFonts w:ascii="Arial" w:hAnsi="Arial" w:cs="Arial"/>
          <w:sz w:val="24"/>
          <w:szCs w:val="24"/>
        </w:rPr>
      </w:pPr>
      <w:r w:rsidRPr="00EB2A7C">
        <w:rPr>
          <w:rFonts w:ascii="Arial" w:hAnsi="Arial" w:cs="Arial"/>
          <w:sz w:val="24"/>
          <w:szCs w:val="24"/>
        </w:rPr>
        <w:t xml:space="preserve">This can be seen in </w:t>
      </w:r>
      <w:hyperlink r:id="rId1022" w:history="1">
        <w:r w:rsidRPr="00EB2A7C">
          <w:rPr>
            <w:rFonts w:ascii="Arial" w:hAnsi="Arial" w:cs="Arial"/>
            <w:color w:val="0563C1" w:themeColor="hyperlink"/>
            <w:sz w:val="24"/>
            <w:szCs w:val="24"/>
            <w:u w:val="single"/>
          </w:rPr>
          <w:t>The Road to Budget Transparency: Learning from Country Experience</w:t>
        </w:r>
      </w:hyperlink>
      <w:r w:rsidRPr="00EB2A7C">
        <w:rPr>
          <w:rFonts w:ascii="Arial" w:hAnsi="Arial" w:cs="Arial"/>
          <w:sz w:val="24"/>
          <w:szCs w:val="24"/>
          <w:vertAlign w:val="superscript"/>
        </w:rPr>
        <w:footnoteReference w:id="98"/>
      </w:r>
      <w:r w:rsidRPr="00EB2A7C">
        <w:rPr>
          <w:rFonts w:ascii="Arial" w:hAnsi="Arial" w:cs="Arial"/>
          <w:sz w:val="24"/>
          <w:szCs w:val="24"/>
        </w:rPr>
        <w:t xml:space="preserve"> where the authors found that any specification in law that requires a document to be prepared is likely to result in it being published at least some of the time. The link between the strength of transparency provisions in legal frameworks and actual transparency in practice seems to depend on the level of political commitment to implement the legal provisions and on administrative cultures that make it easier for governments to go beyond legal requirements and publish additional budget information. </w:t>
      </w:r>
    </w:p>
    <w:p w14:paraId="74CFBD9D" w14:textId="77777777" w:rsidR="00E21637" w:rsidRPr="00EB2A7C" w:rsidRDefault="00E21637" w:rsidP="00EB2A7C">
      <w:pPr>
        <w:spacing w:line="276" w:lineRule="auto"/>
        <w:jc w:val="both"/>
        <w:rPr>
          <w:rFonts w:ascii="Arial" w:hAnsi="Arial" w:cs="Arial"/>
          <w:sz w:val="24"/>
          <w:szCs w:val="24"/>
        </w:rPr>
      </w:pPr>
    </w:p>
    <w:p w14:paraId="60AA27FE" w14:textId="699CEE31" w:rsidR="00E21637" w:rsidRDefault="00E21637" w:rsidP="00EB2A7C">
      <w:pPr>
        <w:spacing w:line="276" w:lineRule="auto"/>
        <w:jc w:val="both"/>
        <w:rPr>
          <w:rFonts w:ascii="Arial" w:hAnsi="Arial" w:cs="Arial"/>
          <w:sz w:val="24"/>
          <w:szCs w:val="24"/>
        </w:rPr>
      </w:pPr>
      <w:r w:rsidRPr="00EB2A7C">
        <w:rPr>
          <w:rFonts w:ascii="Arial" w:hAnsi="Arial" w:cs="Arial"/>
          <w:sz w:val="24"/>
          <w:szCs w:val="24"/>
        </w:rPr>
        <w:t>Improved laws and other reforms will however only result in higher levels of budget transparency if governments ensure that legal provisions and reform commitments are actually implemented</w:t>
      </w:r>
      <w:r w:rsidRPr="00EB2A7C">
        <w:rPr>
          <w:rFonts w:ascii="Arial" w:hAnsi="Arial" w:cs="Arial"/>
          <w:sz w:val="24"/>
          <w:szCs w:val="24"/>
          <w:vertAlign w:val="superscript"/>
        </w:rPr>
        <w:footnoteReference w:id="99"/>
      </w:r>
      <w:r w:rsidRPr="00EB2A7C">
        <w:rPr>
          <w:rFonts w:ascii="Arial" w:hAnsi="Arial" w:cs="Arial"/>
          <w:sz w:val="24"/>
          <w:szCs w:val="24"/>
        </w:rPr>
        <w:t>. Dedicated and specialist teams can assist in this. Focus should thus not only be applied on drafting and improving legislation but also on its implementation. The process of passing the law itself is also important, as it can provide a valuable opportunity to build consensus and support for fiscal transparency.</w:t>
      </w:r>
    </w:p>
    <w:p w14:paraId="4859A195" w14:textId="2CA8DE9B" w:rsidR="00344B9B" w:rsidRDefault="00344B9B" w:rsidP="00EB2A7C">
      <w:pPr>
        <w:spacing w:line="276" w:lineRule="auto"/>
        <w:jc w:val="both"/>
        <w:rPr>
          <w:rFonts w:ascii="Arial" w:hAnsi="Arial" w:cs="Arial"/>
          <w:sz w:val="24"/>
          <w:szCs w:val="24"/>
        </w:rPr>
      </w:pPr>
    </w:p>
    <w:p w14:paraId="5941F84D" w14:textId="77777777" w:rsidR="00F91E05" w:rsidRDefault="00F91E05" w:rsidP="00E21637">
      <w:pPr>
        <w:tabs>
          <w:tab w:val="left" w:pos="2460"/>
        </w:tabs>
        <w:spacing w:line="276" w:lineRule="auto"/>
        <w:rPr>
          <w:rFonts w:ascii="Arial" w:hAnsi="Arial" w:cs="Arial"/>
          <w:sz w:val="24"/>
          <w:szCs w:val="24"/>
        </w:rPr>
      </w:pPr>
    </w:p>
    <w:p w14:paraId="42F6FEFA" w14:textId="6E8E0425" w:rsidR="00E21637" w:rsidRDefault="00E21637" w:rsidP="00E21637">
      <w:pPr>
        <w:tabs>
          <w:tab w:val="left" w:pos="2460"/>
        </w:tabs>
        <w:spacing w:line="276" w:lineRule="auto"/>
        <w:rPr>
          <w:rFonts w:ascii="Arial" w:hAnsi="Arial" w:cs="Arial"/>
          <w:sz w:val="24"/>
          <w:szCs w:val="24"/>
          <w:lang w:val="en-US"/>
        </w:rPr>
      </w:pPr>
      <w:r>
        <w:rPr>
          <w:rFonts w:ascii="Arial" w:hAnsi="Arial" w:cs="Arial"/>
          <w:noProof/>
          <w:sz w:val="24"/>
          <w:szCs w:val="24"/>
          <w:lang w:val="en-US"/>
        </w:rPr>
        <w:lastRenderedPageBreak/>
        <w:drawing>
          <wp:anchor distT="0" distB="0" distL="114300" distR="114300" simplePos="0" relativeHeight="254656510" behindDoc="0" locked="0" layoutInCell="1" allowOverlap="1" wp14:anchorId="6455F049" wp14:editId="08A77AD8">
            <wp:simplePos x="0" y="0"/>
            <wp:positionH relativeFrom="column">
              <wp:posOffset>0</wp:posOffset>
            </wp:positionH>
            <wp:positionV relativeFrom="paragraph">
              <wp:posOffset>151765</wp:posOffset>
            </wp:positionV>
            <wp:extent cx="2519680" cy="629920"/>
            <wp:effectExtent l="0" t="0" r="0" b="0"/>
            <wp:wrapSquare wrapText="bothSides"/>
            <wp:docPr id="2589" name="Picture 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 name="Picture 2589"/>
                    <pic:cNvPicPr/>
                  </pic:nvPicPr>
                  <pic:blipFill>
                    <a:blip r:embed="rId1023" cstate="email">
                      <a:extLst>
                        <a:ext uri="{28A0092B-C50C-407E-A947-70E740481C1C}">
                          <a14:useLocalDpi xmlns:a14="http://schemas.microsoft.com/office/drawing/2010/main"/>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14:paraId="0123E764" w14:textId="130E9254" w:rsidR="00E21637" w:rsidRDefault="00E21637" w:rsidP="00E21637">
      <w:pPr>
        <w:tabs>
          <w:tab w:val="left" w:pos="2460"/>
        </w:tabs>
        <w:spacing w:line="276" w:lineRule="auto"/>
        <w:rPr>
          <w:rFonts w:ascii="Arial" w:hAnsi="Arial" w:cs="Arial"/>
          <w:sz w:val="24"/>
          <w:szCs w:val="24"/>
          <w:lang w:val="en-US"/>
        </w:rPr>
      </w:pPr>
    </w:p>
    <w:p w14:paraId="3FBC8534" w14:textId="3E4EF43B" w:rsidR="00E21637" w:rsidRPr="00E21637" w:rsidRDefault="00E21637" w:rsidP="00EB2A7C">
      <w:pPr>
        <w:rPr>
          <w:rFonts w:ascii="Arial" w:hAnsi="Arial" w:cs="Arial"/>
          <w:sz w:val="24"/>
          <w:szCs w:val="24"/>
          <w:lang w:val="en-US"/>
        </w:rPr>
      </w:pPr>
    </w:p>
    <w:p w14:paraId="75FC5B30" w14:textId="415C6035" w:rsidR="00E21637" w:rsidRDefault="00E21637" w:rsidP="00E21637">
      <w:pPr>
        <w:rPr>
          <w:rFonts w:ascii="Arial" w:hAnsi="Arial" w:cs="Arial"/>
          <w:sz w:val="24"/>
          <w:szCs w:val="24"/>
          <w:lang w:val="en-US"/>
        </w:rPr>
      </w:pPr>
    </w:p>
    <w:p w14:paraId="4C749DC9" w14:textId="6B1AA25E" w:rsidR="00E21637" w:rsidRDefault="00E21637" w:rsidP="00E21637">
      <w:pPr>
        <w:rPr>
          <w:rFonts w:ascii="Arial" w:hAnsi="Arial" w:cs="Arial"/>
          <w:sz w:val="24"/>
          <w:szCs w:val="24"/>
          <w:lang w:val="en-US"/>
        </w:rPr>
      </w:pPr>
    </w:p>
    <w:p w14:paraId="4BB3076A" w14:textId="6BEE4C8E" w:rsidR="00E21637" w:rsidRPr="0004307B" w:rsidRDefault="00E21637" w:rsidP="00EB2A7C">
      <w:pPr>
        <w:rPr>
          <w:rFonts w:ascii="Arial" w:hAnsi="Arial" w:cs="Arial"/>
          <w:b/>
          <w:bCs/>
          <w:iCs/>
          <w:color w:val="16988A"/>
          <w:sz w:val="24"/>
          <w:szCs w:val="24"/>
        </w:rPr>
      </w:pPr>
      <w:r w:rsidRPr="0004307B">
        <w:rPr>
          <w:rFonts w:ascii="Arial" w:hAnsi="Arial" w:cs="Arial"/>
          <w:b/>
          <w:bCs/>
          <w:iCs/>
          <w:color w:val="16988A"/>
          <w:sz w:val="24"/>
          <w:szCs w:val="24"/>
        </w:rPr>
        <w:t>Build support for reforms from actors outside the executive</w:t>
      </w:r>
    </w:p>
    <w:p w14:paraId="7F766143" w14:textId="58077B08" w:rsidR="00E21637" w:rsidRPr="00E21637" w:rsidRDefault="00E21637" w:rsidP="00EB2A7C">
      <w:pPr>
        <w:spacing w:line="276" w:lineRule="auto"/>
        <w:jc w:val="both"/>
        <w:rPr>
          <w:rFonts w:ascii="Arial" w:hAnsi="Arial" w:cs="Arial"/>
          <w:sz w:val="24"/>
          <w:szCs w:val="24"/>
          <w:lang w:val="en-US"/>
        </w:rPr>
      </w:pPr>
    </w:p>
    <w:p w14:paraId="44C5FB70" w14:textId="77D3E303" w:rsidR="00E21637" w:rsidRDefault="00344B9B" w:rsidP="00FB7EBD">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5147006" behindDoc="1" locked="0" layoutInCell="1" allowOverlap="1" wp14:anchorId="31D50A79" wp14:editId="73C0C03F">
            <wp:simplePos x="0" y="0"/>
            <wp:positionH relativeFrom="column">
              <wp:posOffset>-15240</wp:posOffset>
            </wp:positionH>
            <wp:positionV relativeFrom="paragraph">
              <wp:posOffset>487154</wp:posOffset>
            </wp:positionV>
            <wp:extent cx="2173605" cy="2191385"/>
            <wp:effectExtent l="0" t="0" r="0" b="5715"/>
            <wp:wrapSquare wrapText="bothSides"/>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 name="Picture 2794"/>
                    <pic:cNvPicPr/>
                  </pic:nvPicPr>
                  <pic:blipFill rotWithShape="1">
                    <a:blip r:embed="rId1024" cstate="screen">
                      <a:extLst>
                        <a:ext uri="{28A0092B-C50C-407E-A947-70E740481C1C}">
                          <a14:useLocalDpi xmlns:a14="http://schemas.microsoft.com/office/drawing/2010/main"/>
                        </a:ext>
                      </a:extLst>
                    </a:blip>
                    <a:srcRect/>
                    <a:stretch/>
                  </pic:blipFill>
                  <pic:spPr bwMode="auto">
                    <a:xfrm>
                      <a:off x="0" y="0"/>
                      <a:ext cx="2173605" cy="2191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1637" w:rsidRPr="00EB2A7C">
        <w:rPr>
          <w:rFonts w:ascii="Arial" w:hAnsi="Arial" w:cs="Arial"/>
          <w:sz w:val="24"/>
          <w:szCs w:val="24"/>
        </w:rPr>
        <w:t>The executive cannot single-handedly undertake more complex reforms to effectively advance fiscal transparency, without engaging other actors in the fiscal ecosystem. It should thus actively seek exchanges, synergies, and the support of other actors in the fiscal ecosystem, to ensure that reforms undertaken meet the needs of the different actors. Different actors present diverse opportunities for greater collaboration. Strengthening their capacity is essential to increasing the use and demand for budget information, and as such the likelihood of fiscal transparency actions being sustained, and reforms being successful. These actors can be much more influential in advancing fiscal transparency if they have resources, experience, expertise, and support to work together in different ways towards this goal</w:t>
      </w:r>
      <w:r w:rsidR="00E21637" w:rsidRPr="00EB2A7C">
        <w:rPr>
          <w:rFonts w:ascii="Arial" w:hAnsi="Arial" w:cs="Arial"/>
          <w:sz w:val="24"/>
          <w:szCs w:val="24"/>
          <w:vertAlign w:val="superscript"/>
        </w:rPr>
        <w:footnoteReference w:id="100"/>
      </w:r>
      <w:r w:rsidR="00E21637" w:rsidRPr="00EB2A7C">
        <w:rPr>
          <w:rFonts w:ascii="Arial" w:hAnsi="Arial" w:cs="Arial"/>
          <w:sz w:val="24"/>
          <w:szCs w:val="24"/>
        </w:rPr>
        <w:t>. Reform teams should, as such, promote dialogue with actors outside the executive and promote capacity enhancement opportunities, such as training on the use of fiscal information. They should also allow sufficient time in reform processes for the different actors to be consulted; and reform initiatives and plans to be agreed upon.</w:t>
      </w:r>
    </w:p>
    <w:p w14:paraId="19D4801C" w14:textId="45C64548" w:rsidR="00FB7EBD" w:rsidRDefault="00FB7EBD" w:rsidP="00FB7EBD">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57534" behindDoc="0" locked="0" layoutInCell="1" allowOverlap="1" wp14:anchorId="4205441D" wp14:editId="74137B2D">
            <wp:simplePos x="0" y="0"/>
            <wp:positionH relativeFrom="column">
              <wp:posOffset>0</wp:posOffset>
            </wp:positionH>
            <wp:positionV relativeFrom="paragraph">
              <wp:posOffset>156845</wp:posOffset>
            </wp:positionV>
            <wp:extent cx="2519680" cy="629920"/>
            <wp:effectExtent l="0" t="0" r="0" b="0"/>
            <wp:wrapSquare wrapText="bothSides"/>
            <wp:docPr id="2590" name="Picture 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Picture 2590"/>
                    <pic:cNvPicPr/>
                  </pic:nvPicPr>
                  <pic:blipFill>
                    <a:blip r:embed="rId1025" cstate="email">
                      <a:extLst>
                        <a:ext uri="{28A0092B-C50C-407E-A947-70E740481C1C}">
                          <a14:useLocalDpi xmlns:a14="http://schemas.microsoft.com/office/drawing/2010/main"/>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14:paraId="6D1A44CE" w14:textId="0F04CA01" w:rsidR="00FB7EBD" w:rsidRDefault="00FB7EBD" w:rsidP="00FB7EBD">
      <w:pPr>
        <w:spacing w:line="276" w:lineRule="auto"/>
        <w:jc w:val="both"/>
        <w:rPr>
          <w:rFonts w:ascii="Arial" w:hAnsi="Arial" w:cs="Arial"/>
          <w:sz w:val="24"/>
          <w:szCs w:val="24"/>
          <w:lang w:val="en-US"/>
        </w:rPr>
      </w:pPr>
    </w:p>
    <w:p w14:paraId="0EBD3F2C" w14:textId="0D2D44F1" w:rsidR="00FB7EBD" w:rsidRPr="00FB7EBD" w:rsidRDefault="00FB7EBD" w:rsidP="00EB2A7C">
      <w:pPr>
        <w:rPr>
          <w:rFonts w:ascii="Arial" w:hAnsi="Arial" w:cs="Arial"/>
          <w:sz w:val="24"/>
          <w:szCs w:val="24"/>
          <w:lang w:val="en-US"/>
        </w:rPr>
      </w:pPr>
    </w:p>
    <w:p w14:paraId="1CBA8FBE" w14:textId="3C293CB9" w:rsidR="00FB7EBD" w:rsidRPr="00FB7EBD" w:rsidRDefault="00FB7EBD" w:rsidP="00EB2A7C">
      <w:pPr>
        <w:rPr>
          <w:rFonts w:ascii="Arial" w:hAnsi="Arial" w:cs="Arial"/>
          <w:sz w:val="24"/>
          <w:szCs w:val="24"/>
          <w:lang w:val="en-US"/>
        </w:rPr>
      </w:pPr>
    </w:p>
    <w:p w14:paraId="2059082E" w14:textId="4781364B" w:rsidR="00FB7EBD" w:rsidRPr="0004307B" w:rsidRDefault="00FB7EBD" w:rsidP="00FB7EBD">
      <w:pPr>
        <w:tabs>
          <w:tab w:val="left" w:pos="4540"/>
        </w:tabs>
        <w:rPr>
          <w:rFonts w:ascii="Arial" w:hAnsi="Arial" w:cs="Arial"/>
          <w:b/>
          <w:bCs/>
          <w:iCs/>
          <w:color w:val="16988A"/>
          <w:sz w:val="24"/>
          <w:szCs w:val="24"/>
          <w:lang w:val="en-US"/>
        </w:rPr>
      </w:pPr>
    </w:p>
    <w:p w14:paraId="5AEEFEB3" w14:textId="77777777" w:rsidR="00FB7EBD" w:rsidRPr="0004307B" w:rsidRDefault="00FB7EBD" w:rsidP="00EB2A7C">
      <w:pPr>
        <w:rPr>
          <w:rFonts w:ascii="Arial" w:hAnsi="Arial" w:cs="Arial"/>
          <w:b/>
          <w:bCs/>
          <w:iCs/>
          <w:color w:val="16988A"/>
          <w:sz w:val="24"/>
          <w:szCs w:val="24"/>
        </w:rPr>
      </w:pPr>
      <w:r w:rsidRPr="0004307B">
        <w:rPr>
          <w:rFonts w:ascii="Arial" w:hAnsi="Arial" w:cs="Arial"/>
          <w:b/>
          <w:bCs/>
          <w:iCs/>
          <w:color w:val="16988A"/>
          <w:sz w:val="24"/>
          <w:szCs w:val="24"/>
        </w:rPr>
        <w:t>Build bridges to civil society</w:t>
      </w:r>
    </w:p>
    <w:p w14:paraId="430CA400" w14:textId="1DC23189" w:rsidR="00FB7EBD" w:rsidRDefault="00FB7EBD" w:rsidP="00FB7EBD">
      <w:pPr>
        <w:tabs>
          <w:tab w:val="left" w:pos="4540"/>
        </w:tabs>
        <w:rPr>
          <w:rFonts w:ascii="Arial" w:hAnsi="Arial" w:cs="Arial"/>
          <w:sz w:val="24"/>
          <w:szCs w:val="24"/>
          <w:lang w:val="en-US"/>
        </w:rPr>
      </w:pPr>
    </w:p>
    <w:p w14:paraId="1698AC29" w14:textId="3DF30A92" w:rsidR="00FB7EBD" w:rsidRPr="00EB2A7C" w:rsidRDefault="00446E7A" w:rsidP="00EB2A7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82110" behindDoc="0" locked="0" layoutInCell="1" allowOverlap="1" wp14:anchorId="19902194" wp14:editId="229B1A17">
            <wp:simplePos x="0" y="0"/>
            <wp:positionH relativeFrom="column">
              <wp:posOffset>0</wp:posOffset>
            </wp:positionH>
            <wp:positionV relativeFrom="paragraph">
              <wp:posOffset>64135</wp:posOffset>
            </wp:positionV>
            <wp:extent cx="2454275" cy="1917700"/>
            <wp:effectExtent l="0" t="0" r="0" b="0"/>
            <wp:wrapSquare wrapText="bothSides"/>
            <wp:docPr id="2624" name="Picture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Picture 2624"/>
                    <pic:cNvPicPr/>
                  </pic:nvPicPr>
                  <pic:blipFill rotWithShape="1">
                    <a:blip r:embed="rId1026" cstate="email">
                      <a:extLst>
                        <a:ext uri="{28A0092B-C50C-407E-A947-70E740481C1C}">
                          <a14:useLocalDpi xmlns:a14="http://schemas.microsoft.com/office/drawing/2010/main"/>
                        </a:ext>
                      </a:extLst>
                    </a:blip>
                    <a:srcRect l="12803" t="29622" r="13817" b="29800"/>
                    <a:stretch/>
                  </pic:blipFill>
                  <pic:spPr bwMode="auto">
                    <a:xfrm>
                      <a:off x="0" y="0"/>
                      <a:ext cx="2454275" cy="191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EBD" w:rsidRPr="00EB2A7C">
        <w:rPr>
          <w:rFonts w:ascii="Arial" w:hAnsi="Arial" w:cs="Arial"/>
          <w:sz w:val="24"/>
          <w:szCs w:val="24"/>
        </w:rPr>
        <w:t xml:space="preserve">The likelihood of fiscal transparency reforms being successful largely depends on whether there is a demand for information from the public, and whether the information provided meets those needs, such that it is used once published. Reformers should thus focus their budget transparency efforts on making information available that is of particular interest to the public. This includes information related to spending on particular sectors, or tracking budget implementation throughout the year, and connecting budgets to policy goals and outcomes that affect people’s lives. </w:t>
      </w:r>
    </w:p>
    <w:p w14:paraId="7A114DD9" w14:textId="77777777" w:rsidR="00FB7EBD" w:rsidRPr="00EB2A7C" w:rsidRDefault="00FB7EBD" w:rsidP="00EB2A7C">
      <w:pPr>
        <w:spacing w:line="276" w:lineRule="auto"/>
        <w:jc w:val="both"/>
        <w:rPr>
          <w:rFonts w:ascii="Arial" w:hAnsi="Arial" w:cs="Arial"/>
          <w:sz w:val="24"/>
          <w:szCs w:val="24"/>
        </w:rPr>
      </w:pPr>
    </w:p>
    <w:p w14:paraId="04E47D70" w14:textId="4D663812" w:rsidR="00FB7EBD" w:rsidRDefault="00FB7EBD" w:rsidP="00FB7EBD">
      <w:pPr>
        <w:spacing w:line="276" w:lineRule="auto"/>
        <w:jc w:val="both"/>
        <w:rPr>
          <w:rFonts w:ascii="Arial" w:hAnsi="Arial" w:cs="Arial"/>
          <w:sz w:val="24"/>
          <w:szCs w:val="24"/>
          <w:lang w:val="en-ZA"/>
        </w:rPr>
      </w:pPr>
      <w:r w:rsidRPr="00EB2A7C">
        <w:rPr>
          <w:rFonts w:ascii="Arial" w:hAnsi="Arial" w:cs="Arial"/>
          <w:sz w:val="24"/>
          <w:szCs w:val="24"/>
        </w:rPr>
        <w:t xml:space="preserve">Reformers should also encourage, provide support for, and partner with civil society in the identification of the content and opportunities for advances in fiscal transparency. They should </w:t>
      </w:r>
      <w:r w:rsidRPr="00EB2A7C">
        <w:rPr>
          <w:rFonts w:ascii="Arial" w:hAnsi="Arial" w:cs="Arial"/>
          <w:sz w:val="24"/>
          <w:szCs w:val="24"/>
        </w:rPr>
        <w:lastRenderedPageBreak/>
        <w:t>support the design, implementation, and monitoring of reforms. Reforms that have the buy-in of, and are continually monitored by, different actors, are more likely to be sustained over time. To engage civil society to fully understand their needs and get their assistance in undertaking reforms, reformers should expand the number and scope of existing public participation opportunities and make existing opportunities more inclusive. Civil society should be encouraged to strategically organise themselves to effectively communicate and push for reforms that meet collective and inclusive needs. To do this, reformers should incentivise and support the creation of structures for participation that encourage broader networks, umbrella organizations, and coalitions to form and put forward their views.</w:t>
      </w:r>
      <w:r w:rsidRPr="00EB2A7C">
        <w:rPr>
          <w:rFonts w:ascii="Arial" w:eastAsiaTheme="minorEastAsia" w:hAnsi="Arial" w:cs="Arial"/>
          <w:sz w:val="24"/>
          <w:szCs w:val="24"/>
          <w:lang w:val="en-ZA" w:eastAsia="zh-CN"/>
        </w:rPr>
        <w:t xml:space="preserve"> </w:t>
      </w:r>
      <w:r w:rsidRPr="00EB2A7C">
        <w:rPr>
          <w:rFonts w:ascii="Arial" w:hAnsi="Arial" w:cs="Arial"/>
          <w:sz w:val="24"/>
          <w:szCs w:val="24"/>
          <w:lang w:val="en-ZA"/>
        </w:rPr>
        <w:t xml:space="preserve">For example, as seen in the field example in Module 4, the Philippine government has implemented </w:t>
      </w:r>
      <w:proofErr w:type="spellStart"/>
      <w:r w:rsidRPr="00EB2A7C">
        <w:rPr>
          <w:rFonts w:ascii="Arial" w:hAnsi="Arial" w:cs="Arial"/>
          <w:sz w:val="24"/>
          <w:szCs w:val="24"/>
          <w:lang w:val="en-ZA"/>
        </w:rPr>
        <w:t>Dagyaw</w:t>
      </w:r>
      <w:proofErr w:type="spellEnd"/>
      <w:r w:rsidRPr="00EB2A7C">
        <w:rPr>
          <w:rFonts w:ascii="Arial" w:hAnsi="Arial" w:cs="Arial"/>
          <w:sz w:val="24"/>
          <w:szCs w:val="24"/>
          <w:lang w:val="en-ZA"/>
        </w:rPr>
        <w:t xml:space="preserve"> open government townhall meetings. These meetings form a series of public dialogues on key budgetary, sectoral and thematic governance issues at the national and regional level. Importantly, they are co-designed and co-implemented by government and non-government organizations. These platforms encourage civil society and other non-government stakeholders from the Philippines to come together and present their views and recommendations to the government on improving key public policies and programs, including during the COVID-19 pandemic. </w:t>
      </w:r>
    </w:p>
    <w:p w14:paraId="4CACF20D" w14:textId="1A7954DE" w:rsidR="00FB7EBD" w:rsidRPr="00EB2A7C" w:rsidRDefault="00FB7EBD" w:rsidP="00EB2A7C">
      <w:pPr>
        <w:spacing w:line="276" w:lineRule="auto"/>
        <w:jc w:val="both"/>
        <w:rPr>
          <w:rFonts w:ascii="Arial" w:hAnsi="Arial" w:cs="Arial"/>
          <w:sz w:val="24"/>
          <w:szCs w:val="24"/>
          <w:lang w:val="en-ZA"/>
        </w:rPr>
      </w:pPr>
    </w:p>
    <w:p w14:paraId="74BD21A8" w14:textId="3BB97DB3" w:rsidR="00032B4F" w:rsidRDefault="00032B4F" w:rsidP="00FB7EBD">
      <w:pPr>
        <w:spacing w:line="276" w:lineRule="auto"/>
        <w:jc w:val="both"/>
        <w:rPr>
          <w:rFonts w:ascii="Arial" w:hAnsi="Arial" w:cs="Arial"/>
          <w:sz w:val="24"/>
          <w:szCs w:val="24"/>
          <w:lang w:val="en-ZA"/>
        </w:rPr>
      </w:pPr>
      <w:r>
        <w:rPr>
          <w:rFonts w:ascii="Arial" w:hAnsi="Arial" w:cs="Arial"/>
          <w:noProof/>
          <w:sz w:val="24"/>
          <w:szCs w:val="24"/>
          <w:lang w:val="en-US"/>
        </w:rPr>
        <w:drawing>
          <wp:anchor distT="0" distB="0" distL="114300" distR="114300" simplePos="0" relativeHeight="254683134" behindDoc="0" locked="0" layoutInCell="1" allowOverlap="1" wp14:anchorId="046ED99A" wp14:editId="72C151B3">
            <wp:simplePos x="0" y="0"/>
            <wp:positionH relativeFrom="margin">
              <wp:posOffset>719455</wp:posOffset>
            </wp:positionH>
            <wp:positionV relativeFrom="paragraph">
              <wp:posOffset>9525</wp:posOffset>
            </wp:positionV>
            <wp:extent cx="5207000" cy="2397760"/>
            <wp:effectExtent l="0" t="0" r="0" b="0"/>
            <wp:wrapSquare wrapText="bothSides"/>
            <wp:docPr id="2625" name="Picture 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 name="Picture 2625"/>
                    <pic:cNvPicPr/>
                  </pic:nvPicPr>
                  <pic:blipFill rotWithShape="1">
                    <a:blip r:embed="rId1027" cstate="email">
                      <a:extLst>
                        <a:ext uri="{28A0092B-C50C-407E-A947-70E740481C1C}">
                          <a14:useLocalDpi xmlns:a14="http://schemas.microsoft.com/office/drawing/2010/main"/>
                        </a:ext>
                      </a:extLst>
                    </a:blip>
                    <a:srcRect/>
                    <a:stretch/>
                  </pic:blipFill>
                  <pic:spPr bwMode="auto">
                    <a:xfrm>
                      <a:off x="0" y="0"/>
                      <a:ext cx="5207000" cy="2397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F44357" w14:textId="77777777" w:rsidR="00032B4F" w:rsidRDefault="00032B4F" w:rsidP="00FB7EBD">
      <w:pPr>
        <w:spacing w:line="276" w:lineRule="auto"/>
        <w:jc w:val="both"/>
        <w:rPr>
          <w:rFonts w:ascii="Arial" w:hAnsi="Arial" w:cs="Arial"/>
          <w:sz w:val="24"/>
          <w:szCs w:val="24"/>
          <w:lang w:val="en-ZA"/>
        </w:rPr>
      </w:pPr>
    </w:p>
    <w:p w14:paraId="691BD6C6" w14:textId="77777777" w:rsidR="00032B4F" w:rsidRDefault="00032B4F" w:rsidP="00FB7EBD">
      <w:pPr>
        <w:spacing w:line="276" w:lineRule="auto"/>
        <w:jc w:val="both"/>
        <w:rPr>
          <w:rFonts w:ascii="Arial" w:hAnsi="Arial" w:cs="Arial"/>
          <w:sz w:val="24"/>
          <w:szCs w:val="24"/>
          <w:lang w:val="en-ZA"/>
        </w:rPr>
      </w:pPr>
    </w:p>
    <w:p w14:paraId="0886DEFB" w14:textId="77777777" w:rsidR="00032B4F" w:rsidRDefault="00032B4F" w:rsidP="00FB7EBD">
      <w:pPr>
        <w:spacing w:line="276" w:lineRule="auto"/>
        <w:jc w:val="both"/>
        <w:rPr>
          <w:rFonts w:ascii="Arial" w:hAnsi="Arial" w:cs="Arial"/>
          <w:sz w:val="24"/>
          <w:szCs w:val="24"/>
          <w:lang w:val="en-ZA"/>
        </w:rPr>
      </w:pPr>
    </w:p>
    <w:p w14:paraId="5BE36E5F" w14:textId="77777777" w:rsidR="00032B4F" w:rsidRDefault="00032B4F" w:rsidP="00FB7EBD">
      <w:pPr>
        <w:spacing w:line="276" w:lineRule="auto"/>
        <w:jc w:val="both"/>
        <w:rPr>
          <w:rFonts w:ascii="Arial" w:hAnsi="Arial" w:cs="Arial"/>
          <w:sz w:val="24"/>
          <w:szCs w:val="24"/>
          <w:lang w:val="en-ZA"/>
        </w:rPr>
      </w:pPr>
    </w:p>
    <w:p w14:paraId="1D973559" w14:textId="77777777" w:rsidR="00032B4F" w:rsidRDefault="00032B4F" w:rsidP="00FB7EBD">
      <w:pPr>
        <w:spacing w:line="276" w:lineRule="auto"/>
        <w:jc w:val="both"/>
        <w:rPr>
          <w:rFonts w:ascii="Arial" w:hAnsi="Arial" w:cs="Arial"/>
          <w:sz w:val="24"/>
          <w:szCs w:val="24"/>
          <w:lang w:val="en-ZA"/>
        </w:rPr>
      </w:pPr>
    </w:p>
    <w:p w14:paraId="39803C7E" w14:textId="77777777" w:rsidR="00032B4F" w:rsidRDefault="00032B4F" w:rsidP="00FB7EBD">
      <w:pPr>
        <w:spacing w:line="276" w:lineRule="auto"/>
        <w:jc w:val="both"/>
        <w:rPr>
          <w:rFonts w:ascii="Arial" w:hAnsi="Arial" w:cs="Arial"/>
          <w:sz w:val="24"/>
          <w:szCs w:val="24"/>
          <w:lang w:val="en-ZA"/>
        </w:rPr>
      </w:pPr>
    </w:p>
    <w:p w14:paraId="4162A3F7" w14:textId="77777777" w:rsidR="00032B4F" w:rsidRDefault="00032B4F" w:rsidP="00FB7EBD">
      <w:pPr>
        <w:spacing w:line="276" w:lineRule="auto"/>
        <w:jc w:val="both"/>
        <w:rPr>
          <w:rFonts w:ascii="Arial" w:hAnsi="Arial" w:cs="Arial"/>
          <w:sz w:val="24"/>
          <w:szCs w:val="24"/>
          <w:lang w:val="en-ZA"/>
        </w:rPr>
      </w:pPr>
    </w:p>
    <w:p w14:paraId="2A01E943" w14:textId="77777777" w:rsidR="00032B4F" w:rsidRDefault="00032B4F" w:rsidP="00FB7EBD">
      <w:pPr>
        <w:spacing w:line="276" w:lineRule="auto"/>
        <w:jc w:val="both"/>
        <w:rPr>
          <w:rFonts w:ascii="Arial" w:hAnsi="Arial" w:cs="Arial"/>
          <w:sz w:val="24"/>
          <w:szCs w:val="24"/>
          <w:lang w:val="en-ZA"/>
        </w:rPr>
      </w:pPr>
    </w:p>
    <w:p w14:paraId="12B355EE" w14:textId="77777777" w:rsidR="00032B4F" w:rsidRDefault="00032B4F" w:rsidP="00FB7EBD">
      <w:pPr>
        <w:spacing w:line="276" w:lineRule="auto"/>
        <w:jc w:val="both"/>
        <w:rPr>
          <w:rFonts w:ascii="Arial" w:hAnsi="Arial" w:cs="Arial"/>
          <w:sz w:val="24"/>
          <w:szCs w:val="24"/>
          <w:lang w:val="en-ZA"/>
        </w:rPr>
      </w:pPr>
    </w:p>
    <w:p w14:paraId="28E5D173" w14:textId="77777777" w:rsidR="00032B4F" w:rsidRDefault="00032B4F" w:rsidP="00FB7EBD">
      <w:pPr>
        <w:spacing w:line="276" w:lineRule="auto"/>
        <w:jc w:val="both"/>
        <w:rPr>
          <w:rFonts w:ascii="Arial" w:hAnsi="Arial" w:cs="Arial"/>
          <w:sz w:val="24"/>
          <w:szCs w:val="24"/>
          <w:lang w:val="en-ZA"/>
        </w:rPr>
      </w:pPr>
    </w:p>
    <w:p w14:paraId="4D5B194A" w14:textId="77777777" w:rsidR="00032B4F" w:rsidRDefault="00032B4F" w:rsidP="00FB7EBD">
      <w:pPr>
        <w:spacing w:line="276" w:lineRule="auto"/>
        <w:jc w:val="both"/>
        <w:rPr>
          <w:rFonts w:ascii="Arial" w:hAnsi="Arial" w:cs="Arial"/>
          <w:sz w:val="24"/>
          <w:szCs w:val="24"/>
          <w:lang w:val="en-ZA"/>
        </w:rPr>
      </w:pPr>
    </w:p>
    <w:p w14:paraId="1D4415EB" w14:textId="77777777" w:rsidR="00032B4F" w:rsidRDefault="00032B4F" w:rsidP="00FB7EBD">
      <w:pPr>
        <w:spacing w:line="276" w:lineRule="auto"/>
        <w:jc w:val="both"/>
        <w:rPr>
          <w:rFonts w:ascii="Arial" w:hAnsi="Arial" w:cs="Arial"/>
          <w:sz w:val="24"/>
          <w:szCs w:val="24"/>
          <w:lang w:val="en-ZA"/>
        </w:rPr>
      </w:pPr>
    </w:p>
    <w:p w14:paraId="21CEB7B0" w14:textId="02554BA8" w:rsidR="00FB7EBD" w:rsidRPr="00EB2A7C" w:rsidRDefault="00FB7EBD" w:rsidP="00EB2A7C">
      <w:pPr>
        <w:spacing w:line="276" w:lineRule="auto"/>
        <w:jc w:val="both"/>
        <w:rPr>
          <w:rFonts w:ascii="Arial" w:hAnsi="Arial" w:cs="Arial"/>
          <w:sz w:val="24"/>
          <w:szCs w:val="24"/>
          <w:lang w:val="en-ZA"/>
        </w:rPr>
      </w:pPr>
      <w:r w:rsidRPr="00EB2A7C">
        <w:rPr>
          <w:rFonts w:ascii="Arial" w:hAnsi="Arial" w:cs="Arial"/>
          <w:sz w:val="24"/>
          <w:szCs w:val="24"/>
          <w:lang w:val="en-ZA"/>
        </w:rPr>
        <w:t>In this manner, fragmentation is avoided. Various studies have demonstrated that fragmented and individual level efforts rarely shape and contribute to the advancement of policy objectives. This places greater emphasis on the need for strategic alliances and networks of stakeholders with similar fiscal transparency goals to coordinate their policy agenda into one coherent message that policy-makers can better understand and respond to. By forging links between professional and community-based groups as well as broader social movements on various reform areas such as education, health, and climate action at the local and/or international level, civic actors are likely to be well-positioned to assist reformers in developing focused strategies that meet needs and which garner wider support for advancing fiscal transparency goals. Assisting in this, is the fact that civil society organizations typically have less bureaucratic constraints to their actions, being able to convene and connect with other organizations in formal and informal ways that may be outside of the ambit of other actors, including reform leaders within the executive.</w:t>
      </w:r>
    </w:p>
    <w:p w14:paraId="1269A20C" w14:textId="2B208BF5" w:rsidR="00FB7EBD" w:rsidRPr="00EB2A7C" w:rsidRDefault="00FB7EBD" w:rsidP="00EB2A7C">
      <w:pPr>
        <w:spacing w:line="276" w:lineRule="auto"/>
        <w:jc w:val="both"/>
        <w:rPr>
          <w:rFonts w:ascii="Arial" w:hAnsi="Arial" w:cs="Arial"/>
          <w:sz w:val="24"/>
          <w:szCs w:val="24"/>
          <w:lang w:val="en-ZA"/>
        </w:rPr>
      </w:pPr>
    </w:p>
    <w:p w14:paraId="797A684B" w14:textId="1AA608BA" w:rsidR="00FB7EBD" w:rsidRPr="00EB2A7C" w:rsidRDefault="00210CB2" w:rsidP="00EB2A7C">
      <w:pPr>
        <w:spacing w:line="276" w:lineRule="auto"/>
        <w:jc w:val="both"/>
        <w:rPr>
          <w:rFonts w:ascii="Arial" w:hAnsi="Arial" w:cs="Arial"/>
          <w:sz w:val="24"/>
          <w:szCs w:val="24"/>
          <w:lang w:val="en-ZA"/>
        </w:rPr>
      </w:pPr>
      <w:r>
        <w:rPr>
          <w:rFonts w:ascii="Arial" w:hAnsi="Arial" w:cs="Arial"/>
          <w:noProof/>
          <w:sz w:val="24"/>
          <w:szCs w:val="24"/>
          <w:lang w:val="en-US"/>
        </w:rPr>
        <w:lastRenderedPageBreak/>
        <w:drawing>
          <wp:anchor distT="0" distB="0" distL="114300" distR="114300" simplePos="0" relativeHeight="254684158" behindDoc="0" locked="0" layoutInCell="1" allowOverlap="1" wp14:anchorId="0B436BE0" wp14:editId="68908B37">
            <wp:simplePos x="0" y="0"/>
            <wp:positionH relativeFrom="column">
              <wp:posOffset>0</wp:posOffset>
            </wp:positionH>
            <wp:positionV relativeFrom="paragraph">
              <wp:posOffset>20320</wp:posOffset>
            </wp:positionV>
            <wp:extent cx="1041400" cy="919480"/>
            <wp:effectExtent l="0" t="0" r="0" b="0"/>
            <wp:wrapSquare wrapText="bothSides"/>
            <wp:docPr id="2626" name="Picture 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 name="Picture 2626"/>
                    <pic:cNvPicPr/>
                  </pic:nvPicPr>
                  <pic:blipFill rotWithShape="1">
                    <a:blip r:embed="rId1028" cstate="screen">
                      <a:extLst>
                        <a:ext uri="{28A0092B-C50C-407E-A947-70E740481C1C}">
                          <a14:useLocalDpi xmlns:a14="http://schemas.microsoft.com/office/drawing/2010/main"/>
                        </a:ext>
                      </a:extLst>
                    </a:blip>
                    <a:srcRect/>
                    <a:stretch/>
                  </pic:blipFill>
                  <pic:spPr bwMode="auto">
                    <a:xfrm>
                      <a:off x="0" y="0"/>
                      <a:ext cx="1041400" cy="919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EBD" w:rsidRPr="00EB2A7C">
        <w:rPr>
          <w:rFonts w:ascii="Arial" w:hAnsi="Arial" w:cs="Arial"/>
          <w:sz w:val="24"/>
          <w:szCs w:val="24"/>
          <w:lang w:val="en-ZA"/>
        </w:rPr>
        <w:t>From a civil society advocacy perspective, it should be noted that civil society organization strategies should consider the political economy and context, and windows of opportunity provided by it, including whether governments are receptive, indifferent, or hostile towards fiscal transparency demands. Different scenarios call for different approaches. In one instance, civil society organizations may need to use broad coalition-building and mobilization. In another type of situation where government is more receptive to engagement, they may need to technically contribute to reforms taking on a partnership role with government, facilitating greater outreach to relevant stakeholders. In other cases, civil society may need to take on more of an adversarial role.</w:t>
      </w:r>
    </w:p>
    <w:p w14:paraId="67FFFF74" w14:textId="77777777" w:rsidR="00FB7EBD" w:rsidRPr="00EB2A7C" w:rsidRDefault="00FB7EBD" w:rsidP="00EB2A7C">
      <w:pPr>
        <w:spacing w:line="276" w:lineRule="auto"/>
        <w:jc w:val="both"/>
        <w:rPr>
          <w:rFonts w:ascii="Arial" w:hAnsi="Arial" w:cs="Arial"/>
          <w:sz w:val="24"/>
          <w:szCs w:val="24"/>
          <w:lang w:val="en-ZA"/>
        </w:rPr>
      </w:pPr>
    </w:p>
    <w:p w14:paraId="16991FA1" w14:textId="0943A4D5" w:rsidR="00FB7EBD" w:rsidRDefault="00FB7EBD" w:rsidP="00FB7EBD">
      <w:pPr>
        <w:tabs>
          <w:tab w:val="left" w:pos="4540"/>
        </w:tabs>
        <w:spacing w:line="276" w:lineRule="auto"/>
        <w:jc w:val="both"/>
        <w:rPr>
          <w:rFonts w:ascii="Arial" w:hAnsi="Arial" w:cs="Arial"/>
          <w:sz w:val="24"/>
          <w:szCs w:val="24"/>
        </w:rPr>
      </w:pPr>
      <w:r w:rsidRPr="00EB2A7C">
        <w:rPr>
          <w:rFonts w:ascii="Arial" w:hAnsi="Arial" w:cs="Arial"/>
          <w:sz w:val="24"/>
          <w:szCs w:val="24"/>
        </w:rPr>
        <w:t>Case studies show the benefits of reformers engaging with civil society and provide key lessons</w:t>
      </w:r>
      <w:r w:rsidRPr="00EB2A7C">
        <w:rPr>
          <w:rFonts w:ascii="Arial" w:hAnsi="Arial" w:cs="Arial"/>
          <w:sz w:val="24"/>
          <w:szCs w:val="24"/>
          <w:vertAlign w:val="superscript"/>
        </w:rPr>
        <w:footnoteReference w:id="101"/>
      </w:r>
      <w:r w:rsidRPr="00EB2A7C">
        <w:rPr>
          <w:rFonts w:ascii="Arial" w:hAnsi="Arial" w:cs="Arial"/>
          <w:sz w:val="24"/>
          <w:szCs w:val="24"/>
        </w:rPr>
        <w:t>. In Mexico, the Philippines, Benin and Uganda, dedicated transparency units sought dialogue with relevant civil society actors to ensure that transparency responded to real needs and that the information published would be used. The case studies highlight virtuous cycles of demand and supply of budget information due to engagement with civil society. For instance, in Mexico the political transition eventually spurred civil society and media actors to use budget information to hold government accountable. As more people joined the advocacy, a positive feedback cycle was created: the demand for more and better information increased, and more and better information was made available.</w:t>
      </w:r>
    </w:p>
    <w:p w14:paraId="03173209" w14:textId="5485971C" w:rsidR="00FB7EBD" w:rsidRDefault="00FB7EBD" w:rsidP="00FB7EBD">
      <w:pPr>
        <w:tabs>
          <w:tab w:val="left" w:pos="4540"/>
        </w:tabs>
        <w:spacing w:line="276" w:lineRule="auto"/>
        <w:jc w:val="both"/>
        <w:rPr>
          <w:rFonts w:ascii="Arial" w:hAnsi="Arial" w:cs="Arial"/>
          <w:sz w:val="24"/>
          <w:szCs w:val="24"/>
        </w:rPr>
      </w:pPr>
    </w:p>
    <w:p w14:paraId="2402E2F8" w14:textId="2B49956A" w:rsidR="00FB7EBD" w:rsidRDefault="00FB7EBD" w:rsidP="00FB7EBD">
      <w:pPr>
        <w:tabs>
          <w:tab w:val="left" w:pos="4540"/>
        </w:tabs>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58558" behindDoc="0" locked="0" layoutInCell="1" allowOverlap="1" wp14:anchorId="40F5D0FC" wp14:editId="721E6642">
            <wp:simplePos x="0" y="0"/>
            <wp:positionH relativeFrom="column">
              <wp:posOffset>0</wp:posOffset>
            </wp:positionH>
            <wp:positionV relativeFrom="paragraph">
              <wp:posOffset>0</wp:posOffset>
            </wp:positionV>
            <wp:extent cx="2520000" cy="630000"/>
            <wp:effectExtent l="0" t="0" r="0" b="0"/>
            <wp:wrapSquare wrapText="bothSides"/>
            <wp:docPr id="2593" name="Picture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 name="Picture 2593"/>
                    <pic:cNvPicPr/>
                  </pic:nvPicPr>
                  <pic:blipFill>
                    <a:blip r:embed="rId1029" cstate="email">
                      <a:extLst>
                        <a:ext uri="{28A0092B-C50C-407E-A947-70E740481C1C}">
                          <a14:useLocalDpi xmlns:a14="http://schemas.microsoft.com/office/drawing/2010/main"/>
                        </a:ext>
                      </a:extLst>
                    </a:blip>
                    <a:stretch>
                      <a:fillRect/>
                    </a:stretch>
                  </pic:blipFill>
                  <pic:spPr>
                    <a:xfrm>
                      <a:off x="0" y="0"/>
                      <a:ext cx="2520000" cy="630000"/>
                    </a:xfrm>
                    <a:prstGeom prst="rect">
                      <a:avLst/>
                    </a:prstGeom>
                  </pic:spPr>
                </pic:pic>
              </a:graphicData>
            </a:graphic>
            <wp14:sizeRelH relativeFrom="page">
              <wp14:pctWidth>0</wp14:pctWidth>
            </wp14:sizeRelH>
            <wp14:sizeRelV relativeFrom="page">
              <wp14:pctHeight>0</wp14:pctHeight>
            </wp14:sizeRelV>
          </wp:anchor>
        </w:drawing>
      </w:r>
    </w:p>
    <w:p w14:paraId="5EF59D07" w14:textId="268FE5FB" w:rsidR="00FB7EBD" w:rsidRDefault="00FB7EBD" w:rsidP="00FB7EBD">
      <w:pPr>
        <w:tabs>
          <w:tab w:val="left" w:pos="4540"/>
        </w:tabs>
        <w:spacing w:line="276" w:lineRule="auto"/>
        <w:jc w:val="both"/>
        <w:rPr>
          <w:rFonts w:ascii="Arial" w:hAnsi="Arial" w:cs="Arial"/>
          <w:sz w:val="24"/>
          <w:szCs w:val="24"/>
          <w:lang w:val="en-US"/>
        </w:rPr>
      </w:pPr>
    </w:p>
    <w:p w14:paraId="7976A62F" w14:textId="57D25305" w:rsidR="00FB7EBD" w:rsidRPr="00FB7EBD" w:rsidRDefault="00FB7EBD" w:rsidP="00EB2A7C">
      <w:pPr>
        <w:rPr>
          <w:rFonts w:ascii="Arial" w:hAnsi="Arial" w:cs="Arial"/>
          <w:sz w:val="24"/>
          <w:szCs w:val="24"/>
          <w:lang w:val="en-US"/>
        </w:rPr>
      </w:pPr>
    </w:p>
    <w:p w14:paraId="3AC7C54D" w14:textId="1CE8F6B0" w:rsidR="00FB7EBD" w:rsidRDefault="00FB7EBD" w:rsidP="00FB7EBD">
      <w:pPr>
        <w:rPr>
          <w:rFonts w:ascii="Arial" w:hAnsi="Arial" w:cs="Arial"/>
          <w:sz w:val="24"/>
          <w:szCs w:val="24"/>
          <w:lang w:val="en-US"/>
        </w:rPr>
      </w:pPr>
    </w:p>
    <w:p w14:paraId="2C84BB21" w14:textId="01AAE350" w:rsidR="00FB7EBD" w:rsidRDefault="00FB7EBD" w:rsidP="0004307B">
      <w:pPr>
        <w:spacing w:line="276" w:lineRule="auto"/>
        <w:rPr>
          <w:rFonts w:ascii="Arial" w:hAnsi="Arial" w:cs="Arial"/>
          <w:b/>
          <w:bCs/>
          <w:iCs/>
          <w:color w:val="16988A"/>
          <w:sz w:val="24"/>
          <w:szCs w:val="24"/>
        </w:rPr>
      </w:pPr>
      <w:r w:rsidRPr="0004307B">
        <w:rPr>
          <w:rFonts w:ascii="Arial" w:hAnsi="Arial" w:cs="Arial"/>
          <w:b/>
          <w:bCs/>
          <w:iCs/>
          <w:color w:val="16988A"/>
          <w:sz w:val="24"/>
          <w:szCs w:val="24"/>
        </w:rPr>
        <w:t>Make use of the guidance, support and networks provided by international organizations and donors</w:t>
      </w:r>
    </w:p>
    <w:p w14:paraId="13DF2538" w14:textId="77777777" w:rsidR="0004307B" w:rsidRPr="0004307B" w:rsidRDefault="0004307B" w:rsidP="0004307B">
      <w:pPr>
        <w:spacing w:line="276" w:lineRule="auto"/>
        <w:rPr>
          <w:rFonts w:ascii="Arial" w:hAnsi="Arial" w:cs="Arial"/>
          <w:b/>
          <w:bCs/>
          <w:iCs/>
          <w:color w:val="16988A"/>
          <w:sz w:val="24"/>
          <w:szCs w:val="24"/>
        </w:rPr>
      </w:pPr>
    </w:p>
    <w:p w14:paraId="253DB0C7" w14:textId="6085A473" w:rsidR="00FB7EBD" w:rsidRPr="00EB2A7C" w:rsidRDefault="00FB7EBD" w:rsidP="00EB2A7C">
      <w:pPr>
        <w:spacing w:line="276" w:lineRule="auto"/>
        <w:jc w:val="both"/>
        <w:rPr>
          <w:rFonts w:ascii="Arial" w:hAnsi="Arial" w:cs="Arial"/>
          <w:sz w:val="24"/>
          <w:szCs w:val="24"/>
        </w:rPr>
      </w:pPr>
      <w:r w:rsidRPr="00EB2A7C">
        <w:rPr>
          <w:rFonts w:ascii="Arial" w:hAnsi="Arial" w:cs="Arial"/>
          <w:sz w:val="24"/>
          <w:szCs w:val="24"/>
        </w:rPr>
        <w:t>Based on experience, international organizations set proven and effective practice, norms and standards and undertake country assessments against these norms. Reformers can use this to assist them in determining their status quo, in problem identification, in designing actions or reforms, and to press political actors to undertake reforms to enhance fiscal transparency. It is important to remember that good practice norms and standards shouldn’t just be met by countries on a technical level, but actually have impact on the ground.</w:t>
      </w:r>
    </w:p>
    <w:p w14:paraId="4AB37698" w14:textId="095ADE37" w:rsidR="00FB7EBD" w:rsidRPr="00EB2A7C" w:rsidRDefault="00210CB2" w:rsidP="00EB2A7C">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4685182" behindDoc="0" locked="0" layoutInCell="1" allowOverlap="1" wp14:anchorId="3CD30894" wp14:editId="55A28D4B">
            <wp:simplePos x="0" y="0"/>
            <wp:positionH relativeFrom="column">
              <wp:posOffset>0</wp:posOffset>
            </wp:positionH>
            <wp:positionV relativeFrom="paragraph">
              <wp:posOffset>187325</wp:posOffset>
            </wp:positionV>
            <wp:extent cx="2061845" cy="1968500"/>
            <wp:effectExtent l="0" t="0" r="0" b="0"/>
            <wp:wrapSquare wrapText="bothSides"/>
            <wp:docPr id="2627" name="Picture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Picture 2627"/>
                    <pic:cNvPicPr/>
                  </pic:nvPicPr>
                  <pic:blipFill rotWithShape="1">
                    <a:blip r:embed="rId1030" cstate="email">
                      <a:extLst>
                        <a:ext uri="{28A0092B-C50C-407E-A947-70E740481C1C}">
                          <a14:useLocalDpi xmlns:a14="http://schemas.microsoft.com/office/drawing/2010/main"/>
                        </a:ext>
                      </a:extLst>
                    </a:blip>
                    <a:srcRect l="26180" t="34492" r="27575" b="34262"/>
                    <a:stretch/>
                  </pic:blipFill>
                  <pic:spPr bwMode="auto">
                    <a:xfrm>
                      <a:off x="0" y="0"/>
                      <a:ext cx="2061845" cy="196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D976D0" w14:textId="02476E30" w:rsidR="00FB7EBD" w:rsidRPr="00EB2A7C" w:rsidRDefault="00FB7EBD" w:rsidP="00EB2A7C">
      <w:pPr>
        <w:spacing w:line="276" w:lineRule="auto"/>
        <w:jc w:val="both"/>
        <w:rPr>
          <w:rFonts w:ascii="Arial" w:hAnsi="Arial" w:cs="Arial"/>
          <w:sz w:val="24"/>
          <w:szCs w:val="24"/>
        </w:rPr>
      </w:pPr>
      <w:r w:rsidRPr="00EB2A7C">
        <w:rPr>
          <w:rFonts w:ascii="Arial" w:hAnsi="Arial" w:cs="Arial"/>
          <w:sz w:val="24"/>
          <w:szCs w:val="24"/>
        </w:rPr>
        <w:t>International and regional organizations, including bilateral and multilateral donors and agencies, private foundations, and international non-governmental organizations, can also enable, directly support, and reward improvements in budget transparency. International actors can produce credible non-partisan, ideologically free, technically rigorous information. This information can be used by reformers to show the benefits of reform and to get support to undertake reforms. Organizations can also directly provide advice, capacity support, and resources on key aspects of reform for different actors that have technical gaps. Reformers can make use of this to assist them in designing and undertaking reforms that align to their goals. It is thus critical that reformers collaborate with international organizations and donors when determining what kind of support is best placed to address the problems identified, as appropriate support requires an in-depth understanding of the structures and forces that shape the reform. New efforts should also complement other initiatives that may already be taking place.</w:t>
      </w:r>
    </w:p>
    <w:p w14:paraId="6EB00258" w14:textId="77777777" w:rsidR="00FB7EBD" w:rsidRPr="00EB2A7C" w:rsidRDefault="00FB7EBD" w:rsidP="00EB2A7C">
      <w:pPr>
        <w:spacing w:line="276" w:lineRule="auto"/>
        <w:jc w:val="both"/>
        <w:rPr>
          <w:rFonts w:ascii="Arial" w:hAnsi="Arial" w:cs="Arial"/>
          <w:sz w:val="24"/>
          <w:szCs w:val="24"/>
        </w:rPr>
      </w:pPr>
    </w:p>
    <w:p w14:paraId="7156E2AD" w14:textId="77777777" w:rsidR="00FB7EBD" w:rsidRPr="00EB2A7C" w:rsidRDefault="00FB7EBD" w:rsidP="00EB2A7C">
      <w:pPr>
        <w:spacing w:line="276" w:lineRule="auto"/>
        <w:jc w:val="both"/>
        <w:rPr>
          <w:rFonts w:ascii="Arial" w:hAnsi="Arial" w:cs="Arial"/>
          <w:sz w:val="24"/>
          <w:szCs w:val="24"/>
        </w:rPr>
      </w:pPr>
      <w:r w:rsidRPr="00EB2A7C">
        <w:rPr>
          <w:rFonts w:ascii="Arial" w:hAnsi="Arial" w:cs="Arial"/>
          <w:sz w:val="24"/>
          <w:szCs w:val="24"/>
        </w:rPr>
        <w:t xml:space="preserve">International actors also have convening and diffusing capabilities and can, as such, provide opportunities for training. This can also provide opportunities for reformers and other key actors from diverse environments and perspectives to interact and share extensive experiences and lessons learned. Such networks can create collaboration opportunities, build trust, and highlight the mutual benefits of collaboration. They can be used by reformers to enhance their capacities and became a source of motivation and support, including to overcome doubts and insecurities they may have. Transnational coalitions and networks, which link foreign and international organizations, including governments with civil society groups, assist governments to become more open and inclusive, and also provide them with good examples through peer learning opportunities. Good examples set by countries with strong transparency traditions are likely to motivate other countries to pursue beneficial fiscal transparency reforms, providing opportunities for different actors in the fiscal ecosystem to learn from each other on methods that have been successfully used to attain fiscal transparency.  </w:t>
      </w:r>
    </w:p>
    <w:p w14:paraId="2D42F8AA" w14:textId="77777777" w:rsidR="00FB7EBD" w:rsidRPr="00EB2A7C" w:rsidRDefault="00FB7EBD" w:rsidP="00EB2A7C">
      <w:pPr>
        <w:spacing w:line="276" w:lineRule="auto"/>
        <w:jc w:val="both"/>
        <w:rPr>
          <w:rFonts w:ascii="Arial" w:hAnsi="Arial" w:cs="Arial"/>
          <w:sz w:val="24"/>
          <w:szCs w:val="24"/>
        </w:rPr>
      </w:pPr>
    </w:p>
    <w:p w14:paraId="7D4A684C" w14:textId="36446711" w:rsidR="00FB7EBD" w:rsidRDefault="00FB7EBD" w:rsidP="00FB7EBD">
      <w:pPr>
        <w:spacing w:line="276" w:lineRule="auto"/>
        <w:jc w:val="both"/>
        <w:rPr>
          <w:rFonts w:ascii="Arial" w:hAnsi="Arial" w:cs="Arial"/>
          <w:b/>
          <w:bCs/>
          <w:color w:val="C0A4CE"/>
          <w:sz w:val="24"/>
          <w:szCs w:val="24"/>
        </w:rPr>
      </w:pPr>
      <w:r w:rsidRPr="00EB2A7C">
        <w:rPr>
          <w:rFonts w:ascii="Arial" w:hAnsi="Arial" w:cs="Arial"/>
          <w:b/>
          <w:bCs/>
          <w:color w:val="C0A4CE"/>
          <w:sz w:val="24"/>
          <w:szCs w:val="24"/>
        </w:rPr>
        <w:t>Examples of these networks include:</w:t>
      </w:r>
    </w:p>
    <w:p w14:paraId="425811D2" w14:textId="70D13EC2" w:rsidR="00210CB2" w:rsidRDefault="00210CB2" w:rsidP="00FB7EBD">
      <w:pPr>
        <w:spacing w:line="276" w:lineRule="auto"/>
        <w:jc w:val="both"/>
        <w:rPr>
          <w:rFonts w:ascii="Arial" w:hAnsi="Arial" w:cs="Arial"/>
          <w:b/>
          <w:bCs/>
          <w:color w:val="C0A4CE"/>
          <w:sz w:val="24"/>
          <w:szCs w:val="24"/>
        </w:rPr>
      </w:pPr>
    </w:p>
    <w:p w14:paraId="0319ADC1" w14:textId="26619024" w:rsidR="00F364A6" w:rsidRDefault="0099547A"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mc:AlternateContent>
          <mc:Choice Requires="wps">
            <w:drawing>
              <wp:anchor distT="0" distB="0" distL="114300" distR="114300" simplePos="0" relativeHeight="254660606" behindDoc="0" locked="0" layoutInCell="1" allowOverlap="1" wp14:anchorId="13C16FF1" wp14:editId="026DF1D4">
                <wp:simplePos x="0" y="0"/>
                <wp:positionH relativeFrom="margin">
                  <wp:posOffset>1670685</wp:posOffset>
                </wp:positionH>
                <wp:positionV relativeFrom="paragraph">
                  <wp:posOffset>44341</wp:posOffset>
                </wp:positionV>
                <wp:extent cx="4882515" cy="993140"/>
                <wp:effectExtent l="0" t="0" r="0" b="0"/>
                <wp:wrapNone/>
                <wp:docPr id="2597" name="Text Box 2597"/>
                <wp:cNvGraphicFramePr/>
                <a:graphic xmlns:a="http://schemas.openxmlformats.org/drawingml/2006/main">
                  <a:graphicData uri="http://schemas.microsoft.com/office/word/2010/wordprocessingShape">
                    <wps:wsp>
                      <wps:cNvSpPr txBox="1"/>
                      <wps:spPr>
                        <a:xfrm>
                          <a:off x="0" y="0"/>
                          <a:ext cx="4882515" cy="993140"/>
                        </a:xfrm>
                        <a:prstGeom prst="rect">
                          <a:avLst/>
                        </a:prstGeom>
                        <a:noFill/>
                        <a:ln w="6350">
                          <a:noFill/>
                        </a:ln>
                      </wps:spPr>
                      <wps:txbx>
                        <w:txbxContent>
                          <w:p w14:paraId="1785EBA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7AF5EC9" w14:textId="77777777" w:rsidR="00D15FD8" w:rsidRDefault="00D15FD8" w:rsidP="0099547A"/>
                          <w:p w14:paraId="6DD40010" w14:textId="77777777" w:rsidR="00D15FD8" w:rsidRDefault="00D15FD8" w:rsidP="0099547A"/>
                          <w:p w14:paraId="791344BE"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341329E" w14:textId="77777777" w:rsidR="00D15FD8" w:rsidRDefault="00D15FD8" w:rsidP="0099547A"/>
                          <w:p w14:paraId="273FD282" w14:textId="77777777" w:rsidR="00D15FD8" w:rsidRDefault="00D15FD8" w:rsidP="0099547A"/>
                          <w:p w14:paraId="567B897C"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C564618" w14:textId="77777777" w:rsidR="00D15FD8" w:rsidRDefault="00D15FD8" w:rsidP="0099547A"/>
                          <w:p w14:paraId="74CBDDB5" w14:textId="77777777" w:rsidR="00D15FD8" w:rsidRDefault="00D15FD8" w:rsidP="0099547A"/>
                          <w:p w14:paraId="4C056489"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EEB84F" w14:textId="77777777" w:rsidR="00D15FD8" w:rsidRDefault="00D15FD8" w:rsidP="0099547A"/>
                          <w:p w14:paraId="32216EB0" w14:textId="77777777" w:rsidR="00D15FD8" w:rsidRDefault="00D15FD8" w:rsidP="0099547A"/>
                          <w:p w14:paraId="47A0346C"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807EEF2" w14:textId="77777777" w:rsidR="00D15FD8" w:rsidRDefault="00D15FD8" w:rsidP="0099547A"/>
                          <w:p w14:paraId="1366A058" w14:textId="77777777" w:rsidR="00D15FD8" w:rsidRDefault="00D15FD8" w:rsidP="0099547A"/>
                          <w:p w14:paraId="63220F0E"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CA88A0B" w14:textId="77777777" w:rsidR="00D15FD8" w:rsidRDefault="00D15FD8" w:rsidP="0099547A"/>
                          <w:p w14:paraId="58C4886F" w14:textId="77777777" w:rsidR="00D15FD8" w:rsidRDefault="00D15FD8" w:rsidP="0099547A"/>
                          <w:p w14:paraId="06B2EC4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91E62F7" w14:textId="77777777" w:rsidR="00D15FD8" w:rsidRDefault="00D15FD8" w:rsidP="0099547A"/>
                          <w:p w14:paraId="3DC7600B" w14:textId="77777777" w:rsidR="00D15FD8" w:rsidRDefault="00D15FD8" w:rsidP="0099547A"/>
                          <w:p w14:paraId="24BC565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84856D6" w14:textId="77777777" w:rsidR="00D15FD8" w:rsidRDefault="00D15FD8" w:rsidP="0099547A"/>
                          <w:p w14:paraId="3A3841C9" w14:textId="77777777" w:rsidR="00D15FD8" w:rsidRDefault="00D15FD8" w:rsidP="0099547A"/>
                          <w:p w14:paraId="1B40810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3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4A2CE8D" w14:textId="77777777" w:rsidR="00D15FD8" w:rsidRDefault="00D15FD8" w:rsidP="0099547A"/>
                          <w:p w14:paraId="44DAA501" w14:textId="77777777" w:rsidR="00D15FD8" w:rsidRDefault="00D15FD8" w:rsidP="0099547A"/>
                          <w:p w14:paraId="12F8F08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3304AB9" w14:textId="77777777" w:rsidR="00D15FD8" w:rsidRDefault="00D15FD8" w:rsidP="0099547A"/>
                          <w:p w14:paraId="1EAF99B0" w14:textId="77777777" w:rsidR="00D15FD8" w:rsidRDefault="00D15FD8" w:rsidP="0099547A"/>
                          <w:p w14:paraId="51A7BFC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B7593D5" w14:textId="77777777" w:rsidR="00D15FD8" w:rsidRDefault="00D15FD8" w:rsidP="0099547A"/>
                          <w:p w14:paraId="58B517FC" w14:textId="77777777" w:rsidR="00D15FD8" w:rsidRDefault="00D15FD8" w:rsidP="0099547A"/>
                          <w:p w14:paraId="366614E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3DEE5E" w14:textId="77777777" w:rsidR="00D15FD8" w:rsidRDefault="00D15FD8" w:rsidP="0099547A"/>
                          <w:p w14:paraId="33EE41F3" w14:textId="77777777" w:rsidR="00D15FD8" w:rsidRDefault="00D15FD8" w:rsidP="0099547A"/>
                          <w:p w14:paraId="5664CAC9"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3C4741B" w14:textId="77777777" w:rsidR="00D15FD8" w:rsidRDefault="00D15FD8" w:rsidP="0099547A"/>
                          <w:p w14:paraId="52A73003" w14:textId="77777777" w:rsidR="00D15FD8" w:rsidRDefault="00D15FD8" w:rsidP="0099547A"/>
                          <w:p w14:paraId="72E9B4D5"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ACB561B" w14:textId="77777777" w:rsidR="00D15FD8" w:rsidRDefault="00D15FD8" w:rsidP="0099547A"/>
                          <w:p w14:paraId="35B2EDB3" w14:textId="77777777" w:rsidR="00D15FD8" w:rsidRDefault="00D15FD8" w:rsidP="0099547A"/>
                          <w:p w14:paraId="2C55C61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19D46EE" w14:textId="77777777" w:rsidR="00D15FD8" w:rsidRDefault="00D15FD8" w:rsidP="0099547A"/>
                          <w:p w14:paraId="39B70BDA" w14:textId="77777777" w:rsidR="00D15FD8" w:rsidRDefault="00D15FD8" w:rsidP="0099547A"/>
                          <w:p w14:paraId="3E4E798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399B10C" w14:textId="77777777" w:rsidR="00D15FD8" w:rsidRDefault="00D15FD8" w:rsidP="0099547A"/>
                          <w:p w14:paraId="1A29F440" w14:textId="77777777" w:rsidR="00D15FD8" w:rsidRDefault="00D15FD8" w:rsidP="0099547A"/>
                          <w:p w14:paraId="568BFB63"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337F163" w14:textId="77777777" w:rsidR="00D15FD8" w:rsidRDefault="00D15FD8" w:rsidP="0099547A"/>
                          <w:p w14:paraId="24343670" w14:textId="77777777" w:rsidR="00D15FD8" w:rsidRDefault="00D15FD8" w:rsidP="0099547A"/>
                          <w:p w14:paraId="0219278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A0D37EA" w14:textId="77777777" w:rsidR="00D15FD8" w:rsidRDefault="00D15FD8" w:rsidP="0099547A"/>
                          <w:p w14:paraId="0826BA65" w14:textId="77777777" w:rsidR="00D15FD8" w:rsidRDefault="00D15FD8" w:rsidP="0099547A"/>
                          <w:p w14:paraId="50C9698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4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9E1C8F7" w14:textId="77777777" w:rsidR="00D15FD8" w:rsidRDefault="00D15FD8" w:rsidP="0099547A"/>
                          <w:p w14:paraId="45E787AB" w14:textId="77777777" w:rsidR="00D15FD8" w:rsidRDefault="00D15FD8" w:rsidP="0099547A"/>
                          <w:p w14:paraId="5E4C801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7DACB72" w14:textId="77777777" w:rsidR="00D15FD8" w:rsidRDefault="00D15FD8" w:rsidP="0099547A"/>
                          <w:p w14:paraId="5FBBAD21" w14:textId="77777777" w:rsidR="00D15FD8" w:rsidRDefault="00D15FD8" w:rsidP="0099547A"/>
                          <w:p w14:paraId="3DEDA73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135268C" w14:textId="77777777" w:rsidR="00D15FD8" w:rsidRDefault="00D15FD8" w:rsidP="0099547A"/>
                          <w:p w14:paraId="4F14B7D4" w14:textId="77777777" w:rsidR="00D15FD8" w:rsidRDefault="00D15FD8" w:rsidP="0099547A"/>
                          <w:p w14:paraId="68DD1A3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441796" w14:textId="77777777" w:rsidR="00D15FD8" w:rsidRDefault="00D15FD8" w:rsidP="0099547A"/>
                          <w:p w14:paraId="20499A47" w14:textId="77777777" w:rsidR="00D15FD8" w:rsidRDefault="00D15FD8" w:rsidP="0099547A"/>
                          <w:p w14:paraId="42B065E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441BC57" w14:textId="77777777" w:rsidR="00D15FD8" w:rsidRDefault="00D15FD8" w:rsidP="0099547A"/>
                          <w:p w14:paraId="68E30748" w14:textId="77777777" w:rsidR="00D15FD8" w:rsidRDefault="00D15FD8" w:rsidP="0099547A"/>
                          <w:p w14:paraId="689B3F6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6DC41FD" w14:textId="77777777" w:rsidR="00D15FD8" w:rsidRDefault="00D15FD8" w:rsidP="0099547A"/>
                          <w:p w14:paraId="6ADC4C24" w14:textId="77777777" w:rsidR="00D15FD8" w:rsidRDefault="00D15FD8" w:rsidP="0099547A"/>
                          <w:p w14:paraId="2061FAFD"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9E683C4" w14:textId="77777777" w:rsidR="00D15FD8" w:rsidRDefault="00D15FD8" w:rsidP="0099547A"/>
                          <w:p w14:paraId="4B59D776" w14:textId="77777777" w:rsidR="00D15FD8" w:rsidRDefault="00D15FD8" w:rsidP="0099547A"/>
                          <w:p w14:paraId="50AB9ADD"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260F7AF" w14:textId="77777777" w:rsidR="00D15FD8" w:rsidRDefault="00D15FD8" w:rsidP="0099547A"/>
                          <w:p w14:paraId="3D0AE7E4" w14:textId="77777777" w:rsidR="00D15FD8" w:rsidRDefault="00D15FD8" w:rsidP="0099547A"/>
                          <w:p w14:paraId="666EDE35"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464F82ED" w14:textId="77777777" w:rsidR="00D15FD8" w:rsidRDefault="00D15FD8" w:rsidP="0099547A"/>
                          <w:p w14:paraId="735E989C" w14:textId="77777777" w:rsidR="00D15FD8" w:rsidRDefault="00D15FD8" w:rsidP="0099547A"/>
                          <w:p w14:paraId="0F1182B3"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DCFC167" w14:textId="77777777" w:rsidR="00D15FD8" w:rsidRDefault="00D15FD8" w:rsidP="0099547A"/>
                          <w:p w14:paraId="163B64FC" w14:textId="77777777" w:rsidR="00D15FD8" w:rsidRDefault="00D15FD8" w:rsidP="0099547A"/>
                          <w:p w14:paraId="7F9DE5D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5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787888D" w14:textId="77777777" w:rsidR="00D15FD8" w:rsidRDefault="00D15FD8" w:rsidP="0099547A"/>
                          <w:p w14:paraId="558E7771" w14:textId="77777777" w:rsidR="00D15FD8" w:rsidRDefault="00D15FD8" w:rsidP="0099547A"/>
                          <w:p w14:paraId="55890B4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83A6B3" w14:textId="77777777" w:rsidR="00D15FD8" w:rsidRDefault="00D15FD8" w:rsidP="0099547A"/>
                          <w:p w14:paraId="269EE211" w14:textId="77777777" w:rsidR="00D15FD8" w:rsidRDefault="00D15FD8" w:rsidP="0099547A"/>
                          <w:p w14:paraId="3853732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474815E" w14:textId="77777777" w:rsidR="00D15FD8" w:rsidRDefault="00D15FD8" w:rsidP="0099547A"/>
                          <w:p w14:paraId="3493DED2" w14:textId="77777777" w:rsidR="00D15FD8" w:rsidRDefault="00D15FD8" w:rsidP="0099547A"/>
                          <w:p w14:paraId="27D7F8E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3739A5E" w14:textId="77777777" w:rsidR="00D15FD8" w:rsidRDefault="00D15FD8" w:rsidP="0099547A"/>
                          <w:p w14:paraId="24F5DEB1" w14:textId="77777777" w:rsidR="00D15FD8" w:rsidRDefault="00D15FD8" w:rsidP="0099547A"/>
                          <w:p w14:paraId="075007CB" w14:textId="076CFE4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4479F36" w14:textId="77777777" w:rsidR="00D15FD8" w:rsidRDefault="00D15FD8" w:rsidP="0099547A"/>
                          <w:p w14:paraId="6AB39163" w14:textId="77777777" w:rsidR="00D15FD8" w:rsidRDefault="00D15FD8" w:rsidP="0099547A"/>
                          <w:p w14:paraId="05DD7AB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CB908E9" w14:textId="77777777" w:rsidR="00D15FD8" w:rsidRDefault="00D15FD8" w:rsidP="0099547A"/>
                          <w:p w14:paraId="01978AFF" w14:textId="77777777" w:rsidR="00D15FD8" w:rsidRDefault="00D15FD8" w:rsidP="0099547A"/>
                          <w:p w14:paraId="2DBBFC8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FD3A11C" w14:textId="77777777" w:rsidR="00D15FD8" w:rsidRDefault="00D15FD8" w:rsidP="0099547A"/>
                          <w:p w14:paraId="14D87AE4" w14:textId="77777777" w:rsidR="00D15FD8" w:rsidRDefault="00D15FD8" w:rsidP="0099547A"/>
                          <w:p w14:paraId="4FEF322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6635ED7" w14:textId="77777777" w:rsidR="00D15FD8" w:rsidRDefault="00D15FD8" w:rsidP="0099547A"/>
                          <w:p w14:paraId="4D3A3279" w14:textId="77777777" w:rsidR="00D15FD8" w:rsidRDefault="00D15FD8" w:rsidP="0099547A"/>
                          <w:p w14:paraId="4CAF3A0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951F1DC" w14:textId="77777777" w:rsidR="00D15FD8" w:rsidRDefault="00D15FD8" w:rsidP="0099547A"/>
                          <w:p w14:paraId="57B88486" w14:textId="77777777" w:rsidR="00D15FD8" w:rsidRDefault="00D15FD8" w:rsidP="0099547A"/>
                          <w:p w14:paraId="5CC0EF6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0AD43BE" w14:textId="77777777" w:rsidR="00D15FD8" w:rsidRDefault="00D15FD8" w:rsidP="0099547A"/>
                          <w:p w14:paraId="420CBD7E" w14:textId="77777777" w:rsidR="00D15FD8" w:rsidRDefault="00D15FD8" w:rsidP="0099547A"/>
                          <w:p w14:paraId="7DCE7325"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6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424539D" w14:textId="77777777" w:rsidR="00D15FD8" w:rsidRDefault="00D15FD8" w:rsidP="0099547A"/>
                          <w:p w14:paraId="30A8B3EF" w14:textId="77777777" w:rsidR="00D15FD8" w:rsidRDefault="00D15FD8" w:rsidP="0099547A"/>
                          <w:p w14:paraId="530BA21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055B355" w14:textId="77777777" w:rsidR="00D15FD8" w:rsidRDefault="00D15FD8" w:rsidP="0099547A"/>
                          <w:p w14:paraId="72CD8417" w14:textId="77777777" w:rsidR="00D15FD8" w:rsidRDefault="00D15FD8" w:rsidP="0099547A"/>
                          <w:p w14:paraId="515159B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8ECD21F" w14:textId="77777777" w:rsidR="00D15FD8" w:rsidRDefault="00D15FD8" w:rsidP="0099547A"/>
                          <w:p w14:paraId="7045D204" w14:textId="77777777" w:rsidR="00D15FD8" w:rsidRDefault="00D15FD8" w:rsidP="0099547A"/>
                          <w:p w14:paraId="4196CCB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138DD5A" w14:textId="77777777" w:rsidR="00D15FD8" w:rsidRDefault="00D15FD8" w:rsidP="0099547A"/>
                          <w:p w14:paraId="0D90A11C" w14:textId="77777777" w:rsidR="00D15FD8" w:rsidRDefault="00D15FD8" w:rsidP="0099547A"/>
                          <w:p w14:paraId="008179B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227A426" w14:textId="77777777" w:rsidR="00D15FD8" w:rsidRDefault="00D15FD8" w:rsidP="0099547A"/>
                          <w:p w14:paraId="45D0F589" w14:textId="77777777" w:rsidR="00D15FD8" w:rsidRDefault="00D15FD8" w:rsidP="0099547A"/>
                          <w:p w14:paraId="7C6862C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4BA2E50E" w14:textId="77777777" w:rsidR="00D15FD8" w:rsidRDefault="00D15FD8" w:rsidP="0099547A"/>
                          <w:p w14:paraId="433A25B9" w14:textId="77777777" w:rsidR="00D15FD8" w:rsidRDefault="00D15FD8" w:rsidP="0099547A"/>
                          <w:p w14:paraId="28C609A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06DA855" w14:textId="77777777" w:rsidR="00D15FD8" w:rsidRDefault="00D15FD8" w:rsidP="0099547A"/>
                          <w:p w14:paraId="19DF9C19" w14:textId="77777777" w:rsidR="00D15FD8" w:rsidRDefault="00D15FD8" w:rsidP="0099547A"/>
                          <w:p w14:paraId="32742F0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E3D892C" w14:textId="77777777" w:rsidR="00D15FD8" w:rsidRDefault="00D15FD8" w:rsidP="0099547A"/>
                          <w:p w14:paraId="09C41E1A" w14:textId="77777777" w:rsidR="00D15FD8" w:rsidRDefault="00D15FD8" w:rsidP="0099547A"/>
                          <w:p w14:paraId="43C37900"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D05DFA0" w14:textId="77777777" w:rsidR="00D15FD8" w:rsidRDefault="00D15FD8" w:rsidP="0099547A"/>
                          <w:p w14:paraId="2560C2CF" w14:textId="77777777" w:rsidR="00D15FD8" w:rsidRDefault="00D15FD8" w:rsidP="0099547A"/>
                          <w:p w14:paraId="0C1E563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2DD6B39" w14:textId="77777777" w:rsidR="00D15FD8" w:rsidRDefault="00D15FD8" w:rsidP="0099547A"/>
                          <w:p w14:paraId="03671FE2" w14:textId="77777777" w:rsidR="00D15FD8" w:rsidRDefault="00D15FD8" w:rsidP="0099547A"/>
                          <w:p w14:paraId="2E394A05" w14:textId="263EE118"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7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6D962A1" w14:textId="77777777" w:rsidR="00D15FD8" w:rsidRDefault="00D15FD8" w:rsidP="0099547A"/>
                          <w:p w14:paraId="3CA998E6" w14:textId="77777777" w:rsidR="00D15FD8" w:rsidRDefault="00D15FD8" w:rsidP="0099547A"/>
                          <w:p w14:paraId="515B844C"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EEF4228" w14:textId="77777777" w:rsidR="00D15FD8" w:rsidRDefault="00D15FD8" w:rsidP="0099547A"/>
                          <w:p w14:paraId="7BC9DD9B" w14:textId="77777777" w:rsidR="00D15FD8" w:rsidRDefault="00D15FD8" w:rsidP="0099547A"/>
                          <w:p w14:paraId="0A4784C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4BDE80F" w14:textId="77777777" w:rsidR="00D15FD8" w:rsidRDefault="00D15FD8" w:rsidP="0099547A"/>
                          <w:p w14:paraId="347C8DDF" w14:textId="77777777" w:rsidR="00D15FD8" w:rsidRDefault="00D15FD8" w:rsidP="0099547A"/>
                          <w:p w14:paraId="295B78C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5346EAA" w14:textId="77777777" w:rsidR="00D15FD8" w:rsidRDefault="00D15FD8" w:rsidP="0099547A"/>
                          <w:p w14:paraId="37862E79" w14:textId="77777777" w:rsidR="00D15FD8" w:rsidRDefault="00D15FD8" w:rsidP="0099547A"/>
                          <w:p w14:paraId="31B1B31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92F8E96" w14:textId="77777777" w:rsidR="00D15FD8" w:rsidRDefault="00D15FD8" w:rsidP="0099547A"/>
                          <w:p w14:paraId="007DCA31" w14:textId="77777777" w:rsidR="00D15FD8" w:rsidRDefault="00D15FD8" w:rsidP="0099547A"/>
                          <w:p w14:paraId="74C2680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11DD784" w14:textId="77777777" w:rsidR="00D15FD8" w:rsidRDefault="00D15FD8" w:rsidP="0099547A"/>
                          <w:p w14:paraId="50E1DBD0" w14:textId="77777777" w:rsidR="00D15FD8" w:rsidRDefault="00D15FD8" w:rsidP="0099547A"/>
                          <w:p w14:paraId="03BA93E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7C7E5FF" w14:textId="77777777" w:rsidR="00D15FD8" w:rsidRDefault="00D15FD8" w:rsidP="0099547A"/>
                          <w:p w14:paraId="3ACF3783" w14:textId="77777777" w:rsidR="00D15FD8" w:rsidRDefault="00D15FD8" w:rsidP="0099547A"/>
                          <w:p w14:paraId="3A91683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7570434" w14:textId="77777777" w:rsidR="00D15FD8" w:rsidRDefault="00D15FD8" w:rsidP="0099547A"/>
                          <w:p w14:paraId="60492803" w14:textId="77777777" w:rsidR="00D15FD8" w:rsidRDefault="00D15FD8" w:rsidP="0099547A"/>
                          <w:p w14:paraId="0B9E9955" w14:textId="7190F54C"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E6CFED6" w14:textId="77777777" w:rsidR="00D15FD8" w:rsidRDefault="00D15FD8" w:rsidP="0099547A"/>
                          <w:p w14:paraId="167930FC" w14:textId="77777777" w:rsidR="00D15FD8" w:rsidRDefault="00D15FD8" w:rsidP="0099547A"/>
                          <w:p w14:paraId="4258F3D6"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98F2CBC" w14:textId="77777777" w:rsidR="00D15FD8" w:rsidRDefault="00D15FD8" w:rsidP="0099547A"/>
                          <w:p w14:paraId="34B419E4" w14:textId="77777777" w:rsidR="00D15FD8" w:rsidRDefault="00D15FD8" w:rsidP="0099547A"/>
                          <w:p w14:paraId="7C520163"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8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10C30B1" w14:textId="77777777" w:rsidR="00D15FD8" w:rsidRDefault="00D15FD8" w:rsidP="0099547A"/>
                          <w:p w14:paraId="7BB4EEB5" w14:textId="77777777" w:rsidR="00D15FD8" w:rsidRDefault="00D15FD8" w:rsidP="0099547A"/>
                          <w:p w14:paraId="6736920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38E307A" w14:textId="77777777" w:rsidR="00D15FD8" w:rsidRDefault="00D15FD8" w:rsidP="0099547A"/>
                          <w:p w14:paraId="70E688CA" w14:textId="77777777" w:rsidR="00D15FD8" w:rsidRDefault="00D15FD8" w:rsidP="0099547A"/>
                          <w:p w14:paraId="73076510" w14:textId="571AB0BB"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DBD0ED8" w14:textId="77777777" w:rsidR="00D15FD8" w:rsidRDefault="00D15FD8" w:rsidP="0099547A"/>
                          <w:p w14:paraId="58EF745F" w14:textId="77777777" w:rsidR="00D15FD8" w:rsidRDefault="00D15FD8" w:rsidP="0099547A"/>
                          <w:p w14:paraId="75503CB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2375C3B" w14:textId="77777777" w:rsidR="00D15FD8" w:rsidRDefault="00D15FD8" w:rsidP="0099547A"/>
                          <w:p w14:paraId="40DA0C30" w14:textId="77777777" w:rsidR="00D15FD8" w:rsidRDefault="00D15FD8" w:rsidP="0099547A"/>
                          <w:p w14:paraId="2F2259DF" w14:textId="0812759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3DE8B8A" w14:textId="77777777" w:rsidR="00D15FD8" w:rsidRDefault="00D15FD8" w:rsidP="0099547A"/>
                          <w:p w14:paraId="1B9C0A92" w14:textId="77777777" w:rsidR="00D15FD8" w:rsidRDefault="00D15FD8" w:rsidP="0099547A"/>
                          <w:p w14:paraId="0FF6B9A7" w14:textId="4C4E49EC"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D1058CF" w14:textId="77777777" w:rsidR="00D15FD8" w:rsidRDefault="00D15FD8" w:rsidP="009954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16FF1" id="Text Box 2597" o:spid="_x0000_s1702" type="#_x0000_t202" style="position:absolute;left:0;text-align:left;margin-left:131.55pt;margin-top:3.5pt;width:384.45pt;height:78.2pt;z-index:2546606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" filled="f" stroked="f" strokeweight=".5pt">
                <v:textbox>
                  <w:txbxContent>
                    <w:p w14:paraId="1785EBA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7AF5EC9" w14:textId="77777777" w:rsidR="00D15FD8" w:rsidRDefault="00D15FD8" w:rsidP="0099547A"/>
                    <w:p w14:paraId="6DD40010" w14:textId="77777777" w:rsidR="00D15FD8" w:rsidRDefault="00D15FD8" w:rsidP="0099547A"/>
                    <w:p w14:paraId="791344BE"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341329E" w14:textId="77777777" w:rsidR="00D15FD8" w:rsidRDefault="00D15FD8" w:rsidP="0099547A"/>
                    <w:p w14:paraId="273FD282" w14:textId="77777777" w:rsidR="00D15FD8" w:rsidRDefault="00D15FD8" w:rsidP="0099547A"/>
                    <w:p w14:paraId="567B897C"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C564618" w14:textId="77777777" w:rsidR="00D15FD8" w:rsidRDefault="00D15FD8" w:rsidP="0099547A"/>
                    <w:p w14:paraId="74CBDDB5" w14:textId="77777777" w:rsidR="00D15FD8" w:rsidRDefault="00D15FD8" w:rsidP="0099547A"/>
                    <w:p w14:paraId="4C056489"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EEB84F" w14:textId="77777777" w:rsidR="00D15FD8" w:rsidRDefault="00D15FD8" w:rsidP="0099547A"/>
                    <w:p w14:paraId="32216EB0" w14:textId="77777777" w:rsidR="00D15FD8" w:rsidRDefault="00D15FD8" w:rsidP="0099547A"/>
                    <w:p w14:paraId="47A0346C"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09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807EEF2" w14:textId="77777777" w:rsidR="00D15FD8" w:rsidRDefault="00D15FD8" w:rsidP="0099547A"/>
                    <w:p w14:paraId="1366A058" w14:textId="77777777" w:rsidR="00D15FD8" w:rsidRDefault="00D15FD8" w:rsidP="0099547A"/>
                    <w:p w14:paraId="63220F0E"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CA88A0B" w14:textId="77777777" w:rsidR="00D15FD8" w:rsidRDefault="00D15FD8" w:rsidP="0099547A"/>
                    <w:p w14:paraId="58C4886F" w14:textId="77777777" w:rsidR="00D15FD8" w:rsidRDefault="00D15FD8" w:rsidP="0099547A"/>
                    <w:p w14:paraId="06B2EC4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91E62F7" w14:textId="77777777" w:rsidR="00D15FD8" w:rsidRDefault="00D15FD8" w:rsidP="0099547A"/>
                    <w:p w14:paraId="3DC7600B" w14:textId="77777777" w:rsidR="00D15FD8" w:rsidRDefault="00D15FD8" w:rsidP="0099547A"/>
                    <w:p w14:paraId="24BC565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84856D6" w14:textId="77777777" w:rsidR="00D15FD8" w:rsidRDefault="00D15FD8" w:rsidP="0099547A"/>
                    <w:p w14:paraId="3A3841C9" w14:textId="77777777" w:rsidR="00D15FD8" w:rsidRDefault="00D15FD8" w:rsidP="0099547A"/>
                    <w:p w14:paraId="1B40810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4A2CE8D" w14:textId="77777777" w:rsidR="00D15FD8" w:rsidRDefault="00D15FD8" w:rsidP="0099547A"/>
                    <w:p w14:paraId="44DAA501" w14:textId="77777777" w:rsidR="00D15FD8" w:rsidRDefault="00D15FD8" w:rsidP="0099547A"/>
                    <w:p w14:paraId="12F8F08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3304AB9" w14:textId="77777777" w:rsidR="00D15FD8" w:rsidRDefault="00D15FD8" w:rsidP="0099547A"/>
                    <w:p w14:paraId="1EAF99B0" w14:textId="77777777" w:rsidR="00D15FD8" w:rsidRDefault="00D15FD8" w:rsidP="0099547A"/>
                    <w:p w14:paraId="51A7BFC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B7593D5" w14:textId="77777777" w:rsidR="00D15FD8" w:rsidRDefault="00D15FD8" w:rsidP="0099547A"/>
                    <w:p w14:paraId="58B517FC" w14:textId="77777777" w:rsidR="00D15FD8" w:rsidRDefault="00D15FD8" w:rsidP="0099547A"/>
                    <w:p w14:paraId="366614E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3DEE5E" w14:textId="77777777" w:rsidR="00D15FD8" w:rsidRDefault="00D15FD8" w:rsidP="0099547A"/>
                    <w:p w14:paraId="33EE41F3" w14:textId="77777777" w:rsidR="00D15FD8" w:rsidRDefault="00D15FD8" w:rsidP="0099547A"/>
                    <w:p w14:paraId="5664CAC9"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3C4741B" w14:textId="77777777" w:rsidR="00D15FD8" w:rsidRDefault="00D15FD8" w:rsidP="0099547A"/>
                    <w:p w14:paraId="52A73003" w14:textId="77777777" w:rsidR="00D15FD8" w:rsidRDefault="00D15FD8" w:rsidP="0099547A"/>
                    <w:p w14:paraId="72E9B4D5"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ACB561B" w14:textId="77777777" w:rsidR="00D15FD8" w:rsidRDefault="00D15FD8" w:rsidP="0099547A"/>
                    <w:p w14:paraId="35B2EDB3" w14:textId="77777777" w:rsidR="00D15FD8" w:rsidRDefault="00D15FD8" w:rsidP="0099547A"/>
                    <w:p w14:paraId="2C55C61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0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19D46EE" w14:textId="77777777" w:rsidR="00D15FD8" w:rsidRDefault="00D15FD8" w:rsidP="0099547A"/>
                    <w:p w14:paraId="39B70BDA" w14:textId="77777777" w:rsidR="00D15FD8" w:rsidRDefault="00D15FD8" w:rsidP="0099547A"/>
                    <w:p w14:paraId="3E4E798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399B10C" w14:textId="77777777" w:rsidR="00D15FD8" w:rsidRDefault="00D15FD8" w:rsidP="0099547A"/>
                    <w:p w14:paraId="1A29F440" w14:textId="77777777" w:rsidR="00D15FD8" w:rsidRDefault="00D15FD8" w:rsidP="0099547A"/>
                    <w:p w14:paraId="568BFB63"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337F163" w14:textId="77777777" w:rsidR="00D15FD8" w:rsidRDefault="00D15FD8" w:rsidP="0099547A"/>
                    <w:p w14:paraId="24343670" w14:textId="77777777" w:rsidR="00D15FD8" w:rsidRDefault="00D15FD8" w:rsidP="0099547A"/>
                    <w:p w14:paraId="0219278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A0D37EA" w14:textId="77777777" w:rsidR="00D15FD8" w:rsidRDefault="00D15FD8" w:rsidP="0099547A"/>
                    <w:p w14:paraId="0826BA65" w14:textId="77777777" w:rsidR="00D15FD8" w:rsidRDefault="00D15FD8" w:rsidP="0099547A"/>
                    <w:p w14:paraId="50C9698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9E1C8F7" w14:textId="77777777" w:rsidR="00D15FD8" w:rsidRDefault="00D15FD8" w:rsidP="0099547A"/>
                    <w:p w14:paraId="45E787AB" w14:textId="77777777" w:rsidR="00D15FD8" w:rsidRDefault="00D15FD8" w:rsidP="0099547A"/>
                    <w:p w14:paraId="5E4C801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7DACB72" w14:textId="77777777" w:rsidR="00D15FD8" w:rsidRDefault="00D15FD8" w:rsidP="0099547A"/>
                    <w:p w14:paraId="5FBBAD21" w14:textId="77777777" w:rsidR="00D15FD8" w:rsidRDefault="00D15FD8" w:rsidP="0099547A"/>
                    <w:p w14:paraId="3DEDA73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135268C" w14:textId="77777777" w:rsidR="00D15FD8" w:rsidRDefault="00D15FD8" w:rsidP="0099547A"/>
                    <w:p w14:paraId="4F14B7D4" w14:textId="77777777" w:rsidR="00D15FD8" w:rsidRDefault="00D15FD8" w:rsidP="0099547A"/>
                    <w:p w14:paraId="68DD1A3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441796" w14:textId="77777777" w:rsidR="00D15FD8" w:rsidRDefault="00D15FD8" w:rsidP="0099547A"/>
                    <w:p w14:paraId="20499A47" w14:textId="77777777" w:rsidR="00D15FD8" w:rsidRDefault="00D15FD8" w:rsidP="0099547A"/>
                    <w:p w14:paraId="42B065E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441BC57" w14:textId="77777777" w:rsidR="00D15FD8" w:rsidRDefault="00D15FD8" w:rsidP="0099547A"/>
                    <w:p w14:paraId="68E30748" w14:textId="77777777" w:rsidR="00D15FD8" w:rsidRDefault="00D15FD8" w:rsidP="0099547A"/>
                    <w:p w14:paraId="689B3F6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6DC41FD" w14:textId="77777777" w:rsidR="00D15FD8" w:rsidRDefault="00D15FD8" w:rsidP="0099547A"/>
                    <w:p w14:paraId="6ADC4C24" w14:textId="77777777" w:rsidR="00D15FD8" w:rsidRDefault="00D15FD8" w:rsidP="0099547A"/>
                    <w:p w14:paraId="2061FAFD"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1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9E683C4" w14:textId="77777777" w:rsidR="00D15FD8" w:rsidRDefault="00D15FD8" w:rsidP="0099547A"/>
                    <w:p w14:paraId="4B59D776" w14:textId="77777777" w:rsidR="00D15FD8" w:rsidRDefault="00D15FD8" w:rsidP="0099547A"/>
                    <w:p w14:paraId="50AB9ADD"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260F7AF" w14:textId="77777777" w:rsidR="00D15FD8" w:rsidRDefault="00D15FD8" w:rsidP="0099547A"/>
                    <w:p w14:paraId="3D0AE7E4" w14:textId="77777777" w:rsidR="00D15FD8" w:rsidRDefault="00D15FD8" w:rsidP="0099547A"/>
                    <w:p w14:paraId="666EDE35"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464F82ED" w14:textId="77777777" w:rsidR="00D15FD8" w:rsidRDefault="00D15FD8" w:rsidP="0099547A"/>
                    <w:p w14:paraId="735E989C" w14:textId="77777777" w:rsidR="00D15FD8" w:rsidRDefault="00D15FD8" w:rsidP="0099547A"/>
                    <w:p w14:paraId="0F1182B3"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DCFC167" w14:textId="77777777" w:rsidR="00D15FD8" w:rsidRDefault="00D15FD8" w:rsidP="0099547A"/>
                    <w:p w14:paraId="163B64FC" w14:textId="77777777" w:rsidR="00D15FD8" w:rsidRDefault="00D15FD8" w:rsidP="0099547A"/>
                    <w:p w14:paraId="7F9DE5D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787888D" w14:textId="77777777" w:rsidR="00D15FD8" w:rsidRDefault="00D15FD8" w:rsidP="0099547A"/>
                    <w:p w14:paraId="558E7771" w14:textId="77777777" w:rsidR="00D15FD8" w:rsidRDefault="00D15FD8" w:rsidP="0099547A"/>
                    <w:p w14:paraId="55890B4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583A6B3" w14:textId="77777777" w:rsidR="00D15FD8" w:rsidRDefault="00D15FD8" w:rsidP="0099547A"/>
                    <w:p w14:paraId="269EE211" w14:textId="77777777" w:rsidR="00D15FD8" w:rsidRDefault="00D15FD8" w:rsidP="0099547A"/>
                    <w:p w14:paraId="3853732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474815E" w14:textId="77777777" w:rsidR="00D15FD8" w:rsidRDefault="00D15FD8" w:rsidP="0099547A"/>
                    <w:p w14:paraId="3493DED2" w14:textId="77777777" w:rsidR="00D15FD8" w:rsidRDefault="00D15FD8" w:rsidP="0099547A"/>
                    <w:p w14:paraId="27D7F8E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3739A5E" w14:textId="77777777" w:rsidR="00D15FD8" w:rsidRDefault="00D15FD8" w:rsidP="0099547A"/>
                    <w:p w14:paraId="24F5DEB1" w14:textId="77777777" w:rsidR="00D15FD8" w:rsidRDefault="00D15FD8" w:rsidP="0099547A"/>
                    <w:p w14:paraId="075007CB" w14:textId="076CFE4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4479F36" w14:textId="77777777" w:rsidR="00D15FD8" w:rsidRDefault="00D15FD8" w:rsidP="0099547A"/>
                    <w:p w14:paraId="6AB39163" w14:textId="77777777" w:rsidR="00D15FD8" w:rsidRDefault="00D15FD8" w:rsidP="0099547A"/>
                    <w:p w14:paraId="05DD7AB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CB908E9" w14:textId="77777777" w:rsidR="00D15FD8" w:rsidRDefault="00D15FD8" w:rsidP="0099547A"/>
                    <w:p w14:paraId="01978AFF" w14:textId="77777777" w:rsidR="00D15FD8" w:rsidRDefault="00D15FD8" w:rsidP="0099547A"/>
                    <w:p w14:paraId="2DBBFC8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2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1FD3A11C" w14:textId="77777777" w:rsidR="00D15FD8" w:rsidRDefault="00D15FD8" w:rsidP="0099547A"/>
                    <w:p w14:paraId="14D87AE4" w14:textId="77777777" w:rsidR="00D15FD8" w:rsidRDefault="00D15FD8" w:rsidP="0099547A"/>
                    <w:p w14:paraId="4FEF322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6635ED7" w14:textId="77777777" w:rsidR="00D15FD8" w:rsidRDefault="00D15FD8" w:rsidP="0099547A"/>
                    <w:p w14:paraId="4D3A3279" w14:textId="77777777" w:rsidR="00D15FD8" w:rsidRDefault="00D15FD8" w:rsidP="0099547A"/>
                    <w:p w14:paraId="4CAF3A0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951F1DC" w14:textId="77777777" w:rsidR="00D15FD8" w:rsidRDefault="00D15FD8" w:rsidP="0099547A"/>
                    <w:p w14:paraId="57B88486" w14:textId="77777777" w:rsidR="00D15FD8" w:rsidRDefault="00D15FD8" w:rsidP="0099547A"/>
                    <w:p w14:paraId="5CC0EF68"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0AD43BE" w14:textId="77777777" w:rsidR="00D15FD8" w:rsidRDefault="00D15FD8" w:rsidP="0099547A"/>
                    <w:p w14:paraId="420CBD7E" w14:textId="77777777" w:rsidR="00D15FD8" w:rsidRDefault="00D15FD8" w:rsidP="0099547A"/>
                    <w:p w14:paraId="7DCE7325"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424539D" w14:textId="77777777" w:rsidR="00D15FD8" w:rsidRDefault="00D15FD8" w:rsidP="0099547A"/>
                    <w:p w14:paraId="30A8B3EF" w14:textId="77777777" w:rsidR="00D15FD8" w:rsidRDefault="00D15FD8" w:rsidP="0099547A"/>
                    <w:p w14:paraId="530BA214"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055B355" w14:textId="77777777" w:rsidR="00D15FD8" w:rsidRDefault="00D15FD8" w:rsidP="0099547A"/>
                    <w:p w14:paraId="72CD8417" w14:textId="77777777" w:rsidR="00D15FD8" w:rsidRDefault="00D15FD8" w:rsidP="0099547A"/>
                    <w:p w14:paraId="515159B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8ECD21F" w14:textId="77777777" w:rsidR="00D15FD8" w:rsidRDefault="00D15FD8" w:rsidP="0099547A"/>
                    <w:p w14:paraId="7045D204" w14:textId="77777777" w:rsidR="00D15FD8" w:rsidRDefault="00D15FD8" w:rsidP="0099547A"/>
                    <w:p w14:paraId="4196CCB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138DD5A" w14:textId="77777777" w:rsidR="00D15FD8" w:rsidRDefault="00D15FD8" w:rsidP="0099547A"/>
                    <w:p w14:paraId="0D90A11C" w14:textId="77777777" w:rsidR="00D15FD8" w:rsidRDefault="00D15FD8" w:rsidP="0099547A"/>
                    <w:p w14:paraId="008179B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227A426" w14:textId="77777777" w:rsidR="00D15FD8" w:rsidRDefault="00D15FD8" w:rsidP="0099547A"/>
                    <w:p w14:paraId="45D0F589" w14:textId="77777777" w:rsidR="00D15FD8" w:rsidRDefault="00D15FD8" w:rsidP="0099547A"/>
                    <w:p w14:paraId="7C6862C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4BA2E50E" w14:textId="77777777" w:rsidR="00D15FD8" w:rsidRDefault="00D15FD8" w:rsidP="0099547A"/>
                    <w:p w14:paraId="433A25B9" w14:textId="77777777" w:rsidR="00D15FD8" w:rsidRDefault="00D15FD8" w:rsidP="0099547A"/>
                    <w:p w14:paraId="28C609A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3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06DA855" w14:textId="77777777" w:rsidR="00D15FD8" w:rsidRDefault="00D15FD8" w:rsidP="0099547A"/>
                    <w:p w14:paraId="19DF9C19" w14:textId="77777777" w:rsidR="00D15FD8" w:rsidRDefault="00D15FD8" w:rsidP="0099547A"/>
                    <w:p w14:paraId="32742F0B"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E3D892C" w14:textId="77777777" w:rsidR="00D15FD8" w:rsidRDefault="00D15FD8" w:rsidP="0099547A"/>
                    <w:p w14:paraId="09C41E1A" w14:textId="77777777" w:rsidR="00D15FD8" w:rsidRDefault="00D15FD8" w:rsidP="0099547A"/>
                    <w:p w14:paraId="43C37900"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D05DFA0" w14:textId="77777777" w:rsidR="00D15FD8" w:rsidRDefault="00D15FD8" w:rsidP="0099547A"/>
                    <w:p w14:paraId="2560C2CF" w14:textId="77777777" w:rsidR="00D15FD8" w:rsidRDefault="00D15FD8" w:rsidP="0099547A"/>
                    <w:p w14:paraId="0C1E563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2DD6B39" w14:textId="77777777" w:rsidR="00D15FD8" w:rsidRDefault="00D15FD8" w:rsidP="0099547A"/>
                    <w:p w14:paraId="03671FE2" w14:textId="77777777" w:rsidR="00D15FD8" w:rsidRDefault="00D15FD8" w:rsidP="0099547A"/>
                    <w:p w14:paraId="2E394A05" w14:textId="263EE118"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6D962A1" w14:textId="77777777" w:rsidR="00D15FD8" w:rsidRDefault="00D15FD8" w:rsidP="0099547A"/>
                    <w:p w14:paraId="3CA998E6" w14:textId="77777777" w:rsidR="00D15FD8" w:rsidRDefault="00D15FD8" w:rsidP="0099547A"/>
                    <w:p w14:paraId="515B844C"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EEF4228" w14:textId="77777777" w:rsidR="00D15FD8" w:rsidRDefault="00D15FD8" w:rsidP="0099547A"/>
                    <w:p w14:paraId="7BC9DD9B" w14:textId="77777777" w:rsidR="00D15FD8" w:rsidRDefault="00D15FD8" w:rsidP="0099547A"/>
                    <w:p w14:paraId="0A4784CA"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4BDE80F" w14:textId="77777777" w:rsidR="00D15FD8" w:rsidRDefault="00D15FD8" w:rsidP="0099547A"/>
                    <w:p w14:paraId="347C8DDF" w14:textId="77777777" w:rsidR="00D15FD8" w:rsidRDefault="00D15FD8" w:rsidP="0099547A"/>
                    <w:p w14:paraId="295B78C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5346EAA" w14:textId="77777777" w:rsidR="00D15FD8" w:rsidRDefault="00D15FD8" w:rsidP="0099547A"/>
                    <w:p w14:paraId="37862E79" w14:textId="77777777" w:rsidR="00D15FD8" w:rsidRDefault="00D15FD8" w:rsidP="0099547A"/>
                    <w:p w14:paraId="31B1B31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092F8E96" w14:textId="77777777" w:rsidR="00D15FD8" w:rsidRDefault="00D15FD8" w:rsidP="0099547A"/>
                    <w:p w14:paraId="007DCA31" w14:textId="77777777" w:rsidR="00D15FD8" w:rsidRDefault="00D15FD8" w:rsidP="0099547A"/>
                    <w:p w14:paraId="74C26807"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11DD784" w14:textId="77777777" w:rsidR="00D15FD8" w:rsidRDefault="00D15FD8" w:rsidP="0099547A"/>
                    <w:p w14:paraId="50E1DBD0" w14:textId="77777777" w:rsidR="00D15FD8" w:rsidRDefault="00D15FD8" w:rsidP="0099547A"/>
                    <w:p w14:paraId="03BA93E2"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49"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7C7E5FF" w14:textId="77777777" w:rsidR="00D15FD8" w:rsidRDefault="00D15FD8" w:rsidP="0099547A"/>
                    <w:p w14:paraId="3ACF3783" w14:textId="77777777" w:rsidR="00D15FD8" w:rsidRDefault="00D15FD8" w:rsidP="0099547A"/>
                    <w:p w14:paraId="3A916831"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0"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7570434" w14:textId="77777777" w:rsidR="00D15FD8" w:rsidRDefault="00D15FD8" w:rsidP="0099547A"/>
                    <w:p w14:paraId="60492803" w14:textId="77777777" w:rsidR="00D15FD8" w:rsidRDefault="00D15FD8" w:rsidP="0099547A"/>
                    <w:p w14:paraId="0B9E9955" w14:textId="7190F54C"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1"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E6CFED6" w14:textId="77777777" w:rsidR="00D15FD8" w:rsidRDefault="00D15FD8" w:rsidP="0099547A"/>
                    <w:p w14:paraId="167930FC" w14:textId="77777777" w:rsidR="00D15FD8" w:rsidRDefault="00D15FD8" w:rsidP="0099547A"/>
                    <w:p w14:paraId="4258F3D6"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2"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698F2CBC" w14:textId="77777777" w:rsidR="00D15FD8" w:rsidRDefault="00D15FD8" w:rsidP="0099547A"/>
                    <w:p w14:paraId="34B419E4" w14:textId="77777777" w:rsidR="00D15FD8" w:rsidRDefault="00D15FD8" w:rsidP="0099547A"/>
                    <w:p w14:paraId="7C520163"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3"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10C30B1" w14:textId="77777777" w:rsidR="00D15FD8" w:rsidRDefault="00D15FD8" w:rsidP="0099547A"/>
                    <w:p w14:paraId="7BB4EEB5" w14:textId="77777777" w:rsidR="00D15FD8" w:rsidRDefault="00D15FD8" w:rsidP="0099547A"/>
                    <w:p w14:paraId="6736920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4"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338E307A" w14:textId="77777777" w:rsidR="00D15FD8" w:rsidRDefault="00D15FD8" w:rsidP="0099547A"/>
                    <w:p w14:paraId="70E688CA" w14:textId="77777777" w:rsidR="00D15FD8" w:rsidRDefault="00D15FD8" w:rsidP="0099547A"/>
                    <w:p w14:paraId="73076510" w14:textId="571AB0BB"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5"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7DBD0ED8" w14:textId="77777777" w:rsidR="00D15FD8" w:rsidRDefault="00D15FD8" w:rsidP="0099547A"/>
                    <w:p w14:paraId="58EF745F" w14:textId="77777777" w:rsidR="00D15FD8" w:rsidRDefault="00D15FD8" w:rsidP="0099547A"/>
                    <w:p w14:paraId="75503CBF" w14:textId="7777777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6"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22375C3B" w14:textId="77777777" w:rsidR="00D15FD8" w:rsidRDefault="00D15FD8" w:rsidP="0099547A"/>
                    <w:p w14:paraId="40DA0C30" w14:textId="77777777" w:rsidR="00D15FD8" w:rsidRDefault="00D15FD8" w:rsidP="0099547A"/>
                    <w:p w14:paraId="2F2259DF" w14:textId="08127597"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7"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3DE8B8A" w14:textId="77777777" w:rsidR="00D15FD8" w:rsidRDefault="00D15FD8" w:rsidP="0099547A"/>
                    <w:p w14:paraId="1B9C0A92" w14:textId="77777777" w:rsidR="00D15FD8" w:rsidRDefault="00D15FD8" w:rsidP="0099547A"/>
                    <w:p w14:paraId="0FF6B9A7" w14:textId="4C4E49EC"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58" w:history="1">
                        <w:r w:rsidRPr="00DE3BD8">
                          <w:rPr>
                            <w:rFonts w:ascii="Arial" w:hAnsi="Arial" w:cs="Arial"/>
                            <w:color w:val="0563C1" w:themeColor="hyperlink"/>
                            <w:sz w:val="24"/>
                            <w:szCs w:val="24"/>
                            <w:u w:val="single"/>
                          </w:rPr>
                          <w:t>IBP</w:t>
                        </w:r>
                      </w:hyperlink>
                      <w:r w:rsidRPr="00DE3BD8">
                        <w:rPr>
                          <w:rFonts w:ascii="Arial" w:hAnsi="Arial" w:cs="Arial"/>
                          <w:sz w:val="24"/>
                          <w:szCs w:val="24"/>
                        </w:rPr>
                        <w:t xml:space="preserve"> who partners with CSOs and coalitions around the globe that are engaged in budget analysis and advocacy with an interest and commitment to transparency, participation, good governance, and poverty reduction.</w:t>
                      </w:r>
                    </w:p>
                    <w:p w14:paraId="5D1058CF" w14:textId="77777777" w:rsidR="00D15FD8" w:rsidRDefault="00D15FD8" w:rsidP="0099547A"/>
                  </w:txbxContent>
                </v:textbox>
                <w10:wrap anchorx="margin"/>
              </v:shape>
            </w:pict>
          </mc:Fallback>
        </mc:AlternateContent>
      </w:r>
      <w:r w:rsidR="00344B9B">
        <w:rPr>
          <w:rFonts w:ascii="Arial" w:hAnsi="Arial" w:cs="Arial"/>
          <w:b/>
          <w:bCs/>
          <w:noProof/>
          <w:color w:val="C0A4CE"/>
          <w:sz w:val="24"/>
          <w:szCs w:val="24"/>
          <w:lang w:val="en-US"/>
        </w:rPr>
        <w:drawing>
          <wp:anchor distT="0" distB="0" distL="114300" distR="114300" simplePos="0" relativeHeight="255148030" behindDoc="0" locked="0" layoutInCell="1" allowOverlap="1" wp14:anchorId="18B5F46A" wp14:editId="7CC24C54">
            <wp:simplePos x="0" y="0"/>
            <wp:positionH relativeFrom="column">
              <wp:posOffset>-31750</wp:posOffset>
            </wp:positionH>
            <wp:positionV relativeFrom="paragraph">
              <wp:posOffset>218724</wp:posOffset>
            </wp:positionV>
            <wp:extent cx="1470025" cy="614680"/>
            <wp:effectExtent l="0" t="0" r="0" b="0"/>
            <wp:wrapSquare wrapText="bothSides"/>
            <wp:docPr id="2795" name="Picture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Picture 2795"/>
                    <pic:cNvPicPr/>
                  </pic:nvPicPr>
                  <pic:blipFill>
                    <a:blip r:embed="rId1159" cstate="email">
                      <a:extLst>
                        <a:ext uri="{28A0092B-C50C-407E-A947-70E740481C1C}">
                          <a14:useLocalDpi xmlns:a14="http://schemas.microsoft.com/office/drawing/2010/main"/>
                        </a:ext>
                      </a:extLst>
                    </a:blip>
                    <a:stretch>
                      <a:fillRect/>
                    </a:stretch>
                  </pic:blipFill>
                  <pic:spPr>
                    <a:xfrm>
                      <a:off x="0" y="0"/>
                      <a:ext cx="1470025" cy="614680"/>
                    </a:xfrm>
                    <a:prstGeom prst="rect">
                      <a:avLst/>
                    </a:prstGeom>
                  </pic:spPr>
                </pic:pic>
              </a:graphicData>
            </a:graphic>
            <wp14:sizeRelH relativeFrom="page">
              <wp14:pctWidth>0</wp14:pctWidth>
            </wp14:sizeRelH>
            <wp14:sizeRelV relativeFrom="page">
              <wp14:pctHeight>0</wp14:pctHeight>
            </wp14:sizeRelV>
          </wp:anchor>
        </w:drawing>
      </w:r>
      <w:r w:rsidR="00F364A6">
        <w:rPr>
          <w:rFonts w:ascii="Arial" w:hAnsi="Arial" w:cs="Arial"/>
          <w:b/>
          <w:bCs/>
          <w:noProof/>
          <w:color w:val="C0A4CE"/>
          <w:sz w:val="24"/>
          <w:szCs w:val="24"/>
          <w:lang w:val="en-US"/>
        </w:rPr>
        <mc:AlternateContent>
          <mc:Choice Requires="wps">
            <w:drawing>
              <wp:anchor distT="0" distB="0" distL="114300" distR="114300" simplePos="0" relativeHeight="254659582" behindDoc="0" locked="0" layoutInCell="1" allowOverlap="1" wp14:anchorId="30B961A5" wp14:editId="0D1E5D1E">
                <wp:simplePos x="0" y="0"/>
                <wp:positionH relativeFrom="margin">
                  <wp:posOffset>1526190</wp:posOffset>
                </wp:positionH>
                <wp:positionV relativeFrom="paragraph">
                  <wp:posOffset>-83513</wp:posOffset>
                </wp:positionV>
                <wp:extent cx="5158609" cy="1107204"/>
                <wp:effectExtent l="12700" t="12700" r="10795" b="10795"/>
                <wp:wrapNone/>
                <wp:docPr id="2596" name="Rounded Rectangle 2596"/>
                <wp:cNvGraphicFramePr/>
                <a:graphic xmlns:a="http://schemas.openxmlformats.org/drawingml/2006/main">
                  <a:graphicData uri="http://schemas.microsoft.com/office/word/2010/wordprocessingShape">
                    <wps:wsp>
                      <wps:cNvSpPr/>
                      <wps:spPr>
                        <a:xfrm>
                          <a:off x="0" y="0"/>
                          <a:ext cx="5158609" cy="1107204"/>
                        </a:xfrm>
                        <a:prstGeom prst="roundRect">
                          <a:avLst/>
                        </a:prstGeom>
                        <a:noFill/>
                        <a:ln w="28575">
                          <a:solidFill>
                            <a:srgbClr val="E1CB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268F18E" id="Rounded Rectangle 2596" o:spid="_x0000_s1026" style="position:absolute;margin-left:120.15pt;margin-top:-6.6pt;width:406.2pt;height:87.2pt;z-index:2546595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" filled="f" strokecolor="#e1cbef" strokeweight="2.25pt">
                <v:stroke joinstyle="miter"/>
                <w10:wrap anchorx="margin"/>
              </v:roundrect>
            </w:pict>
          </mc:Fallback>
        </mc:AlternateContent>
      </w:r>
    </w:p>
    <w:p w14:paraId="63819C4A" w14:textId="5714A175" w:rsidR="00F364A6" w:rsidRDefault="00F364A6" w:rsidP="00FB7EBD">
      <w:pPr>
        <w:spacing w:line="276" w:lineRule="auto"/>
        <w:jc w:val="both"/>
        <w:rPr>
          <w:rFonts w:ascii="Arial" w:hAnsi="Arial" w:cs="Arial"/>
          <w:b/>
          <w:bCs/>
          <w:color w:val="C0A4CE"/>
          <w:sz w:val="24"/>
          <w:szCs w:val="24"/>
        </w:rPr>
      </w:pPr>
    </w:p>
    <w:p w14:paraId="371C435A" w14:textId="1408CE00" w:rsidR="00F364A6" w:rsidRDefault="00F364A6" w:rsidP="00FB7EBD">
      <w:pPr>
        <w:spacing w:line="276" w:lineRule="auto"/>
        <w:jc w:val="both"/>
        <w:rPr>
          <w:rFonts w:ascii="Arial" w:hAnsi="Arial" w:cs="Arial"/>
          <w:b/>
          <w:bCs/>
          <w:color w:val="C0A4CE"/>
          <w:sz w:val="24"/>
          <w:szCs w:val="24"/>
        </w:rPr>
      </w:pPr>
    </w:p>
    <w:p w14:paraId="2302D317" w14:textId="02798FC5" w:rsidR="00F364A6" w:rsidRDefault="00F364A6" w:rsidP="00FB7EBD">
      <w:pPr>
        <w:spacing w:line="276" w:lineRule="auto"/>
        <w:jc w:val="both"/>
        <w:rPr>
          <w:rFonts w:ascii="Arial" w:hAnsi="Arial" w:cs="Arial"/>
          <w:b/>
          <w:bCs/>
          <w:color w:val="C0A4CE"/>
          <w:sz w:val="24"/>
          <w:szCs w:val="24"/>
        </w:rPr>
      </w:pPr>
    </w:p>
    <w:p w14:paraId="56F3E8A0" w14:textId="06BD50CB" w:rsidR="00F364A6" w:rsidRDefault="00F364A6" w:rsidP="00FB7EBD">
      <w:pPr>
        <w:spacing w:line="276" w:lineRule="auto"/>
        <w:jc w:val="both"/>
        <w:rPr>
          <w:rFonts w:ascii="Arial" w:hAnsi="Arial" w:cs="Arial"/>
          <w:b/>
          <w:bCs/>
          <w:color w:val="C0A4CE"/>
          <w:sz w:val="24"/>
          <w:szCs w:val="24"/>
        </w:rPr>
      </w:pPr>
    </w:p>
    <w:p w14:paraId="7A698A52" w14:textId="3DEC67CC" w:rsidR="00F91E05" w:rsidRDefault="00F91E05" w:rsidP="00FB7EBD">
      <w:pPr>
        <w:spacing w:line="276" w:lineRule="auto"/>
        <w:jc w:val="both"/>
        <w:rPr>
          <w:rFonts w:ascii="Arial" w:hAnsi="Arial" w:cs="Arial"/>
          <w:b/>
          <w:bCs/>
          <w:color w:val="C0A4CE"/>
          <w:sz w:val="24"/>
          <w:szCs w:val="24"/>
        </w:rPr>
      </w:pPr>
    </w:p>
    <w:p w14:paraId="3156C844" w14:textId="52DF7B5C" w:rsidR="00F91E05" w:rsidRDefault="00F91E05" w:rsidP="00FB7EBD">
      <w:pPr>
        <w:spacing w:line="276" w:lineRule="auto"/>
        <w:jc w:val="both"/>
        <w:rPr>
          <w:rFonts w:ascii="Arial" w:hAnsi="Arial" w:cs="Arial"/>
          <w:b/>
          <w:bCs/>
          <w:color w:val="C0A4CE"/>
          <w:sz w:val="24"/>
          <w:szCs w:val="24"/>
        </w:rPr>
      </w:pPr>
    </w:p>
    <w:p w14:paraId="628C6D02" w14:textId="403ED7D8" w:rsidR="00F91E05" w:rsidRDefault="00F91E05" w:rsidP="00FB7EBD">
      <w:pPr>
        <w:spacing w:line="276" w:lineRule="auto"/>
        <w:jc w:val="both"/>
        <w:rPr>
          <w:rFonts w:ascii="Arial" w:hAnsi="Arial" w:cs="Arial"/>
          <w:b/>
          <w:bCs/>
          <w:color w:val="C0A4CE"/>
          <w:sz w:val="24"/>
          <w:szCs w:val="24"/>
        </w:rPr>
      </w:pPr>
    </w:p>
    <w:p w14:paraId="45EB4572" w14:textId="6DD4074B" w:rsidR="00F91E05" w:rsidRDefault="00F91E05" w:rsidP="00FB7EBD">
      <w:pPr>
        <w:spacing w:line="276" w:lineRule="auto"/>
        <w:jc w:val="both"/>
        <w:rPr>
          <w:rFonts w:ascii="Arial" w:hAnsi="Arial" w:cs="Arial"/>
          <w:b/>
          <w:bCs/>
          <w:color w:val="C0A4CE"/>
          <w:sz w:val="24"/>
          <w:szCs w:val="24"/>
        </w:rPr>
      </w:pPr>
    </w:p>
    <w:p w14:paraId="7A28C320" w14:textId="08D29EA3" w:rsidR="00F91E05" w:rsidRDefault="00F91E05" w:rsidP="00FB7EBD">
      <w:pPr>
        <w:spacing w:line="276" w:lineRule="auto"/>
        <w:jc w:val="both"/>
        <w:rPr>
          <w:rFonts w:ascii="Arial" w:hAnsi="Arial" w:cs="Arial"/>
          <w:b/>
          <w:bCs/>
          <w:color w:val="C0A4CE"/>
          <w:sz w:val="24"/>
          <w:szCs w:val="24"/>
        </w:rPr>
      </w:pPr>
    </w:p>
    <w:p w14:paraId="131C7802" w14:textId="46349F52" w:rsidR="00F91E05" w:rsidRDefault="00F91E05" w:rsidP="00FB7EBD">
      <w:pPr>
        <w:spacing w:line="276" w:lineRule="auto"/>
        <w:jc w:val="both"/>
        <w:rPr>
          <w:rFonts w:ascii="Arial" w:hAnsi="Arial" w:cs="Arial"/>
          <w:b/>
          <w:bCs/>
          <w:color w:val="C0A4CE"/>
          <w:sz w:val="24"/>
          <w:szCs w:val="24"/>
        </w:rPr>
      </w:pPr>
    </w:p>
    <w:p w14:paraId="6BD0E846" w14:textId="486BBD51" w:rsidR="00F91E05" w:rsidRDefault="00F91E05" w:rsidP="00FB7EBD">
      <w:pPr>
        <w:spacing w:line="276" w:lineRule="auto"/>
        <w:jc w:val="both"/>
        <w:rPr>
          <w:rFonts w:ascii="Arial" w:hAnsi="Arial" w:cs="Arial"/>
          <w:b/>
          <w:bCs/>
          <w:color w:val="C0A4CE"/>
          <w:sz w:val="24"/>
          <w:szCs w:val="24"/>
        </w:rPr>
      </w:pPr>
    </w:p>
    <w:p w14:paraId="684A97E0" w14:textId="77777777" w:rsidR="00F91E05" w:rsidRDefault="00F91E05" w:rsidP="00FB7EBD">
      <w:pPr>
        <w:spacing w:line="276" w:lineRule="auto"/>
        <w:jc w:val="both"/>
        <w:rPr>
          <w:rFonts w:ascii="Arial" w:hAnsi="Arial" w:cs="Arial"/>
          <w:b/>
          <w:bCs/>
          <w:color w:val="C0A4CE"/>
          <w:sz w:val="24"/>
          <w:szCs w:val="24"/>
        </w:rPr>
      </w:pPr>
    </w:p>
    <w:p w14:paraId="0B71D975" w14:textId="7008D1C8" w:rsidR="00F364A6" w:rsidRDefault="00F91E05"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w:lastRenderedPageBreak/>
        <mc:AlternateContent>
          <mc:Choice Requires="wps">
            <w:drawing>
              <wp:anchor distT="0" distB="0" distL="114300" distR="114300" simplePos="0" relativeHeight="254664702" behindDoc="0" locked="0" layoutInCell="1" allowOverlap="1" wp14:anchorId="004B8F8E" wp14:editId="54B443FD">
                <wp:simplePos x="0" y="0"/>
                <wp:positionH relativeFrom="margin">
                  <wp:posOffset>1797094</wp:posOffset>
                </wp:positionH>
                <wp:positionV relativeFrom="paragraph">
                  <wp:posOffset>169107</wp:posOffset>
                </wp:positionV>
                <wp:extent cx="4761427" cy="2143760"/>
                <wp:effectExtent l="0" t="0" r="0" b="0"/>
                <wp:wrapNone/>
                <wp:docPr id="2599" name="Text Box 2599"/>
                <wp:cNvGraphicFramePr/>
                <a:graphic xmlns:a="http://schemas.openxmlformats.org/drawingml/2006/main">
                  <a:graphicData uri="http://schemas.microsoft.com/office/word/2010/wordprocessingShape">
                    <wps:wsp>
                      <wps:cNvSpPr txBox="1"/>
                      <wps:spPr>
                        <a:xfrm>
                          <a:off x="0" y="0"/>
                          <a:ext cx="4761427" cy="2143760"/>
                        </a:xfrm>
                        <a:prstGeom prst="rect">
                          <a:avLst/>
                        </a:prstGeom>
                        <a:noFill/>
                        <a:ln w="6350">
                          <a:noFill/>
                        </a:ln>
                      </wps:spPr>
                      <wps:txbx>
                        <w:txbxContent>
                          <w:p w14:paraId="63245589" w14:textId="376E9F36"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16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is composed of budget directors and other senior officials from OECD countries. The </w:t>
                            </w:r>
                            <w:r>
                              <w:rPr>
                                <w:rFonts w:ascii="Arial" w:hAnsi="Arial" w:cs="Arial"/>
                                <w:sz w:val="24"/>
                                <w:szCs w:val="24"/>
                              </w:rPr>
                              <w:t>Committee</w:t>
                            </w:r>
                            <w:r w:rsidRPr="00DE3BD8">
                              <w:rPr>
                                <w:rFonts w:ascii="Arial" w:hAnsi="Arial" w:cs="Arial"/>
                                <w:sz w:val="24"/>
                                <w:szCs w:val="24"/>
                              </w:rPr>
                              <w:t xml:space="preserve"> meets regularly to address key budgeting concerns and relevant policy options. </w:t>
                            </w:r>
                            <w:r>
                              <w:rPr>
                                <w:rFonts w:ascii="Arial" w:hAnsi="Arial" w:cs="Arial"/>
                                <w:sz w:val="24"/>
                                <w:szCs w:val="24"/>
                              </w:rPr>
                              <w:t>It</w:t>
                            </w:r>
                            <w:r w:rsidRPr="00DE3BD8">
                              <w:rPr>
                                <w:rFonts w:ascii="Arial" w:hAnsi="Arial" w:cs="Arial"/>
                                <w:sz w:val="24"/>
                                <w:szCs w:val="24"/>
                              </w:rPr>
                              <w:t xml:space="preserve">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3F24B14" w14:textId="77777777" w:rsidR="00D15FD8" w:rsidRDefault="00D15FD8" w:rsidP="00F364A6"/>
                          <w:p w14:paraId="0136FDBC" w14:textId="77777777" w:rsidR="00D15FD8" w:rsidRDefault="00D15FD8"/>
                          <w:p w14:paraId="35B0C30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935CF8F" w14:textId="77777777" w:rsidR="00D15FD8" w:rsidRDefault="00D15FD8" w:rsidP="00F364A6"/>
                          <w:p w14:paraId="00689039" w14:textId="77777777" w:rsidR="00D15FD8" w:rsidRDefault="00D15FD8"/>
                          <w:p w14:paraId="4671841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BE46436" w14:textId="77777777" w:rsidR="00D15FD8" w:rsidRDefault="00D15FD8" w:rsidP="00F364A6"/>
                          <w:p w14:paraId="53E519EC" w14:textId="77777777" w:rsidR="00D15FD8" w:rsidRDefault="00D15FD8"/>
                          <w:p w14:paraId="1720565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E9C2443" w14:textId="77777777" w:rsidR="00D15FD8" w:rsidRDefault="00D15FD8" w:rsidP="00F364A6"/>
                          <w:p w14:paraId="5727F914" w14:textId="77777777" w:rsidR="00D15FD8" w:rsidRDefault="00D15FD8"/>
                          <w:p w14:paraId="338B4CD5"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20F55AF" w14:textId="77777777" w:rsidR="00D15FD8" w:rsidRDefault="00D15FD8" w:rsidP="00F364A6"/>
                          <w:p w14:paraId="2156C6EF" w14:textId="77777777" w:rsidR="00D15FD8" w:rsidRDefault="00D15FD8"/>
                          <w:p w14:paraId="191A86AF"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9ADB979" w14:textId="77777777" w:rsidR="00D15FD8" w:rsidRDefault="00D15FD8" w:rsidP="00F364A6"/>
                          <w:p w14:paraId="08B11EE4" w14:textId="77777777" w:rsidR="00D15FD8" w:rsidRDefault="00D15FD8"/>
                          <w:p w14:paraId="0DFAD2B2"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A719D2D" w14:textId="77777777" w:rsidR="00D15FD8" w:rsidRDefault="00D15FD8" w:rsidP="00F364A6"/>
                          <w:p w14:paraId="23A7AF20" w14:textId="77777777" w:rsidR="00D15FD8" w:rsidRDefault="00D15FD8"/>
                          <w:p w14:paraId="72F6280D"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86B7B39" w14:textId="77777777" w:rsidR="00D15FD8" w:rsidRDefault="00D15FD8" w:rsidP="00F364A6"/>
                          <w:p w14:paraId="7E632753" w14:textId="77777777" w:rsidR="00D15FD8" w:rsidRDefault="00D15FD8"/>
                          <w:p w14:paraId="3CE8916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11E7515" w14:textId="77777777" w:rsidR="00D15FD8" w:rsidRDefault="00D15FD8" w:rsidP="00F364A6"/>
                          <w:p w14:paraId="487E729B" w14:textId="77777777" w:rsidR="00D15FD8" w:rsidRDefault="00D15FD8"/>
                          <w:p w14:paraId="35FF853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6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6A57D52" w14:textId="77777777" w:rsidR="00D15FD8" w:rsidRDefault="00D15FD8" w:rsidP="00F364A6"/>
                          <w:p w14:paraId="35C5886F" w14:textId="77777777" w:rsidR="00D15FD8" w:rsidRDefault="00D15FD8"/>
                          <w:p w14:paraId="760FD56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87AAA68" w14:textId="77777777" w:rsidR="00D15FD8" w:rsidRDefault="00D15FD8" w:rsidP="00F364A6"/>
                          <w:p w14:paraId="74E83776" w14:textId="77777777" w:rsidR="00D15FD8" w:rsidRDefault="00D15FD8"/>
                          <w:p w14:paraId="0BA4A85A"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6DB292F" w14:textId="77777777" w:rsidR="00D15FD8" w:rsidRDefault="00D15FD8" w:rsidP="00F364A6"/>
                          <w:p w14:paraId="60C7DB85" w14:textId="77777777" w:rsidR="00D15FD8" w:rsidRDefault="00D15FD8"/>
                          <w:p w14:paraId="6E3D6949"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4FD0BE8" w14:textId="77777777" w:rsidR="00D15FD8" w:rsidRDefault="00D15FD8" w:rsidP="00F364A6"/>
                          <w:p w14:paraId="3ABE9CD2" w14:textId="77777777" w:rsidR="00D15FD8" w:rsidRDefault="00D15FD8"/>
                          <w:p w14:paraId="3D93007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B8525A7" w14:textId="77777777" w:rsidR="00D15FD8" w:rsidRDefault="00D15FD8" w:rsidP="00F364A6"/>
                          <w:p w14:paraId="4E024465" w14:textId="77777777" w:rsidR="00D15FD8" w:rsidRDefault="00D15FD8"/>
                          <w:p w14:paraId="4806B08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3AF2314" w14:textId="77777777" w:rsidR="00D15FD8" w:rsidRDefault="00D15FD8" w:rsidP="00F364A6"/>
                          <w:p w14:paraId="30E18FA8" w14:textId="77777777" w:rsidR="00D15FD8" w:rsidRDefault="00D15FD8"/>
                          <w:p w14:paraId="5850EE4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3D125BB" w14:textId="77777777" w:rsidR="00D15FD8" w:rsidRDefault="00D15FD8" w:rsidP="00F364A6"/>
                          <w:p w14:paraId="79A142E8" w14:textId="77777777" w:rsidR="00D15FD8" w:rsidRDefault="00D15FD8"/>
                          <w:p w14:paraId="3A90C58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EF6A0A3" w14:textId="77777777" w:rsidR="00D15FD8" w:rsidRDefault="00D15FD8" w:rsidP="00F364A6"/>
                          <w:p w14:paraId="367D69D4" w14:textId="77777777" w:rsidR="00D15FD8" w:rsidRDefault="00D15FD8"/>
                          <w:p w14:paraId="0451B0FA"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CFF1AD2" w14:textId="77777777" w:rsidR="00D15FD8" w:rsidRDefault="00D15FD8" w:rsidP="00F364A6"/>
                          <w:p w14:paraId="71B4C660" w14:textId="77777777" w:rsidR="00D15FD8" w:rsidRDefault="00D15FD8"/>
                          <w:p w14:paraId="3F2B33C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76E5080" w14:textId="77777777" w:rsidR="00D15FD8" w:rsidRDefault="00D15FD8" w:rsidP="00F364A6"/>
                          <w:p w14:paraId="5E133E53" w14:textId="77777777" w:rsidR="00D15FD8" w:rsidRDefault="00D15FD8"/>
                          <w:p w14:paraId="234AF1DC"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7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D2D5A7E" w14:textId="77777777" w:rsidR="00D15FD8" w:rsidRDefault="00D15FD8" w:rsidP="00F364A6"/>
                          <w:p w14:paraId="1FF557E3" w14:textId="77777777" w:rsidR="00D15FD8" w:rsidRDefault="00D15FD8"/>
                          <w:p w14:paraId="2239573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CD391DB" w14:textId="77777777" w:rsidR="00D15FD8" w:rsidRDefault="00D15FD8" w:rsidP="00F364A6"/>
                          <w:p w14:paraId="2B8F2CDE" w14:textId="77777777" w:rsidR="00D15FD8" w:rsidRDefault="00D15FD8"/>
                          <w:p w14:paraId="2EB8FDD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9EFF07D" w14:textId="77777777" w:rsidR="00D15FD8" w:rsidRDefault="00D15FD8" w:rsidP="00F364A6"/>
                          <w:p w14:paraId="54E99FC9" w14:textId="77777777" w:rsidR="00D15FD8" w:rsidRDefault="00D15FD8"/>
                          <w:p w14:paraId="21A3BA9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139DACB" w14:textId="77777777" w:rsidR="00D15FD8" w:rsidRDefault="00D15FD8" w:rsidP="00F364A6"/>
                          <w:p w14:paraId="438B7078" w14:textId="77777777" w:rsidR="00D15FD8" w:rsidRDefault="00D15FD8"/>
                          <w:p w14:paraId="57667373"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067E40A" w14:textId="77777777" w:rsidR="00D15FD8" w:rsidRDefault="00D15FD8" w:rsidP="00F364A6"/>
                          <w:p w14:paraId="7CA3FE43" w14:textId="77777777" w:rsidR="00D15FD8" w:rsidRDefault="00D15FD8"/>
                          <w:p w14:paraId="3A5E5E1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14CFEC2" w14:textId="77777777" w:rsidR="00D15FD8" w:rsidRDefault="00D15FD8" w:rsidP="00F364A6"/>
                          <w:p w14:paraId="11D64739" w14:textId="77777777" w:rsidR="00D15FD8" w:rsidRDefault="00D15FD8"/>
                          <w:p w14:paraId="64771B0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85442F7" w14:textId="77777777" w:rsidR="00D15FD8" w:rsidRDefault="00D15FD8" w:rsidP="00F364A6"/>
                          <w:p w14:paraId="6399E7C1" w14:textId="77777777" w:rsidR="00D15FD8" w:rsidRDefault="00D15FD8"/>
                          <w:p w14:paraId="225CB1C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91CF0E4" w14:textId="77777777" w:rsidR="00D15FD8" w:rsidRDefault="00D15FD8" w:rsidP="00F364A6"/>
                          <w:p w14:paraId="46522D40" w14:textId="77777777" w:rsidR="00D15FD8" w:rsidRDefault="00D15FD8"/>
                          <w:p w14:paraId="599EC29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A9C32F6" w14:textId="77777777" w:rsidR="00D15FD8" w:rsidRDefault="00D15FD8" w:rsidP="00F364A6"/>
                          <w:p w14:paraId="155BD6DE" w14:textId="77777777" w:rsidR="00D15FD8" w:rsidRDefault="00D15FD8"/>
                          <w:p w14:paraId="7F4ED1C5"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DD26B94" w14:textId="77777777" w:rsidR="00D15FD8" w:rsidRDefault="00D15FD8" w:rsidP="00F364A6"/>
                          <w:p w14:paraId="5C75CDBA" w14:textId="77777777" w:rsidR="00D15FD8" w:rsidRDefault="00D15FD8"/>
                          <w:p w14:paraId="2E6244E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8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AFAB7E0" w14:textId="77777777" w:rsidR="00D15FD8" w:rsidRDefault="00D15FD8" w:rsidP="00F364A6"/>
                          <w:p w14:paraId="4F6CD14F" w14:textId="77777777" w:rsidR="00D15FD8" w:rsidRDefault="00D15FD8"/>
                          <w:p w14:paraId="1CA6A1BD"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F978190" w14:textId="77777777" w:rsidR="00D15FD8" w:rsidRDefault="00D15FD8" w:rsidP="00F364A6"/>
                          <w:p w14:paraId="32524A1B" w14:textId="77777777" w:rsidR="00D15FD8" w:rsidRDefault="00D15FD8"/>
                          <w:p w14:paraId="19F1AAA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72C8F06" w14:textId="77777777" w:rsidR="00D15FD8" w:rsidRDefault="00D15FD8" w:rsidP="00F364A6"/>
                          <w:p w14:paraId="3377C886" w14:textId="77777777" w:rsidR="00D15FD8" w:rsidRDefault="00D15FD8"/>
                          <w:p w14:paraId="6F8F6422" w14:textId="15549360"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B0156AC" w14:textId="77777777" w:rsidR="00D15FD8" w:rsidRDefault="00D15FD8" w:rsidP="00F364A6"/>
                          <w:p w14:paraId="2D66FB19" w14:textId="77777777" w:rsidR="00D15FD8" w:rsidRDefault="00D15FD8"/>
                          <w:p w14:paraId="62BBB63C"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64B18ED" w14:textId="77777777" w:rsidR="00D15FD8" w:rsidRDefault="00D15FD8" w:rsidP="00F364A6"/>
                          <w:p w14:paraId="1A0822FA" w14:textId="77777777" w:rsidR="00D15FD8" w:rsidRDefault="00D15FD8"/>
                          <w:p w14:paraId="4532935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04BEF49" w14:textId="77777777" w:rsidR="00D15FD8" w:rsidRDefault="00D15FD8" w:rsidP="00F364A6"/>
                          <w:p w14:paraId="3C27AC92" w14:textId="77777777" w:rsidR="00D15FD8" w:rsidRDefault="00D15FD8"/>
                          <w:p w14:paraId="591429D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595FDE9" w14:textId="77777777" w:rsidR="00D15FD8" w:rsidRDefault="00D15FD8" w:rsidP="00F364A6"/>
                          <w:p w14:paraId="163AC790" w14:textId="77777777" w:rsidR="00D15FD8" w:rsidRDefault="00D15FD8"/>
                          <w:p w14:paraId="680692C9"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F3A210E" w14:textId="77777777" w:rsidR="00D15FD8" w:rsidRDefault="00D15FD8" w:rsidP="00F364A6"/>
                          <w:p w14:paraId="5412EF79" w14:textId="77777777" w:rsidR="00D15FD8" w:rsidRDefault="00D15FD8"/>
                          <w:p w14:paraId="7579E98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1016B9C" w14:textId="77777777" w:rsidR="00D15FD8" w:rsidRDefault="00D15FD8" w:rsidP="00F364A6"/>
                          <w:p w14:paraId="0E8A3217" w14:textId="77777777" w:rsidR="00D15FD8" w:rsidRDefault="00D15FD8"/>
                          <w:p w14:paraId="66B05DD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70CF7DF" w14:textId="77777777" w:rsidR="00D15FD8" w:rsidRDefault="00D15FD8" w:rsidP="00F364A6"/>
                          <w:p w14:paraId="678DD5AA" w14:textId="77777777" w:rsidR="00D15FD8" w:rsidRDefault="00D15FD8"/>
                          <w:p w14:paraId="474AC8AD"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19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B018099" w14:textId="77777777" w:rsidR="00D15FD8" w:rsidRDefault="00D15FD8" w:rsidP="00F364A6"/>
                          <w:p w14:paraId="23AF28B4" w14:textId="77777777" w:rsidR="00D15FD8" w:rsidRDefault="00D15FD8"/>
                          <w:p w14:paraId="11B940EF"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AFCC581" w14:textId="77777777" w:rsidR="00D15FD8" w:rsidRDefault="00D15FD8" w:rsidP="00F364A6"/>
                          <w:p w14:paraId="1E318D94" w14:textId="77777777" w:rsidR="00D15FD8" w:rsidRDefault="00D15FD8"/>
                          <w:p w14:paraId="6E11249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2B53C5A" w14:textId="77777777" w:rsidR="00D15FD8" w:rsidRDefault="00D15FD8" w:rsidP="00F364A6"/>
                          <w:p w14:paraId="1DD90278" w14:textId="77777777" w:rsidR="00D15FD8" w:rsidRDefault="00D15FD8"/>
                          <w:p w14:paraId="29406AC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74DC63D" w14:textId="77777777" w:rsidR="00D15FD8" w:rsidRDefault="00D15FD8" w:rsidP="00F364A6"/>
                          <w:p w14:paraId="6DBAD97D" w14:textId="77777777" w:rsidR="00D15FD8" w:rsidRDefault="00D15FD8"/>
                          <w:p w14:paraId="34368D9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BE3ADF5" w14:textId="77777777" w:rsidR="00D15FD8" w:rsidRDefault="00D15FD8" w:rsidP="00F364A6"/>
                          <w:p w14:paraId="58955563" w14:textId="77777777" w:rsidR="00D15FD8" w:rsidRDefault="00D15FD8"/>
                          <w:p w14:paraId="73F99872"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95A3351" w14:textId="77777777" w:rsidR="00D15FD8" w:rsidRDefault="00D15FD8" w:rsidP="00F364A6"/>
                          <w:p w14:paraId="246F8577" w14:textId="77777777" w:rsidR="00D15FD8" w:rsidRDefault="00D15FD8"/>
                          <w:p w14:paraId="655FF44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D2C3884" w14:textId="77777777" w:rsidR="00D15FD8" w:rsidRDefault="00D15FD8" w:rsidP="00F364A6"/>
                          <w:p w14:paraId="1480F42D" w14:textId="77777777" w:rsidR="00D15FD8" w:rsidRDefault="00D15FD8"/>
                          <w:p w14:paraId="32241C1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E578676" w14:textId="77777777" w:rsidR="00D15FD8" w:rsidRDefault="00D15FD8" w:rsidP="00F364A6"/>
                          <w:p w14:paraId="6ECE355B" w14:textId="77777777" w:rsidR="00D15FD8" w:rsidRDefault="00D15FD8"/>
                          <w:p w14:paraId="77E1D1C0"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D38AFF5" w14:textId="77777777" w:rsidR="00D15FD8" w:rsidRDefault="00D15FD8" w:rsidP="00F364A6"/>
                          <w:p w14:paraId="72C3118F" w14:textId="77777777" w:rsidR="00D15FD8" w:rsidRDefault="00D15FD8"/>
                          <w:p w14:paraId="66A6F7E9" w14:textId="408586B2"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E818AB9" w14:textId="77777777" w:rsidR="00D15FD8" w:rsidRDefault="00D15FD8" w:rsidP="00F364A6"/>
                          <w:p w14:paraId="3AB3B652" w14:textId="77777777" w:rsidR="00D15FD8" w:rsidRDefault="00D15FD8"/>
                          <w:p w14:paraId="1B663CD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0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C389770" w14:textId="77777777" w:rsidR="00D15FD8" w:rsidRDefault="00D15FD8" w:rsidP="00F364A6"/>
                          <w:p w14:paraId="62167848" w14:textId="77777777" w:rsidR="00D15FD8" w:rsidRDefault="00D15FD8"/>
                          <w:p w14:paraId="13113EC5"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7A1D287" w14:textId="77777777" w:rsidR="00D15FD8" w:rsidRDefault="00D15FD8" w:rsidP="00F364A6"/>
                          <w:p w14:paraId="3616390B" w14:textId="77777777" w:rsidR="00D15FD8" w:rsidRDefault="00D15FD8"/>
                          <w:p w14:paraId="0D97371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D290388" w14:textId="77777777" w:rsidR="00D15FD8" w:rsidRDefault="00D15FD8" w:rsidP="00F364A6"/>
                          <w:p w14:paraId="29796F9E" w14:textId="77777777" w:rsidR="00D15FD8" w:rsidRDefault="00D15FD8"/>
                          <w:p w14:paraId="32BBD9F0"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BA4A859" w14:textId="77777777" w:rsidR="00D15FD8" w:rsidRDefault="00D15FD8" w:rsidP="00F364A6"/>
                          <w:p w14:paraId="26DB4835" w14:textId="77777777" w:rsidR="00D15FD8" w:rsidRDefault="00D15FD8"/>
                          <w:p w14:paraId="456DE60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41F87E5" w14:textId="77777777" w:rsidR="00D15FD8" w:rsidRDefault="00D15FD8" w:rsidP="00F364A6"/>
                          <w:p w14:paraId="68AD29BD" w14:textId="77777777" w:rsidR="00D15FD8" w:rsidRDefault="00D15FD8"/>
                          <w:p w14:paraId="562737C9"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9940B16" w14:textId="77777777" w:rsidR="00D15FD8" w:rsidRDefault="00D15FD8" w:rsidP="00F364A6"/>
                          <w:p w14:paraId="7F7A2880" w14:textId="77777777" w:rsidR="00D15FD8" w:rsidRDefault="00D15FD8"/>
                          <w:p w14:paraId="0C70AAB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951FDD4" w14:textId="77777777" w:rsidR="00D15FD8" w:rsidRDefault="00D15FD8" w:rsidP="00F364A6"/>
                          <w:p w14:paraId="39839591" w14:textId="77777777" w:rsidR="00D15FD8" w:rsidRDefault="00D15FD8"/>
                          <w:p w14:paraId="0E62F832" w14:textId="080DB691"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5D859C1" w14:textId="77777777" w:rsidR="00D15FD8" w:rsidRDefault="00D15FD8" w:rsidP="00F364A6"/>
                          <w:p w14:paraId="57F7EE72" w14:textId="77777777" w:rsidR="00D15FD8" w:rsidRDefault="00D15FD8"/>
                          <w:p w14:paraId="5D83612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4322767" w14:textId="77777777" w:rsidR="00D15FD8" w:rsidRDefault="00D15FD8" w:rsidP="00F364A6"/>
                          <w:p w14:paraId="631E49EC" w14:textId="77777777" w:rsidR="00D15FD8" w:rsidRDefault="00D15FD8"/>
                          <w:p w14:paraId="1C06C2B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A68DA78" w14:textId="77777777" w:rsidR="00D15FD8" w:rsidRDefault="00D15FD8" w:rsidP="00F364A6"/>
                          <w:p w14:paraId="33920E54" w14:textId="77777777" w:rsidR="00D15FD8" w:rsidRDefault="00D15FD8"/>
                          <w:p w14:paraId="053C731A"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1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B1863F7" w14:textId="77777777" w:rsidR="00D15FD8" w:rsidRDefault="00D15FD8" w:rsidP="00F364A6"/>
                          <w:p w14:paraId="71BFEB6B" w14:textId="77777777" w:rsidR="00D15FD8" w:rsidRDefault="00D15FD8"/>
                          <w:p w14:paraId="1937E9F3" w14:textId="6AB76F44"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116D138" w14:textId="77777777" w:rsidR="00D15FD8" w:rsidRDefault="00D15FD8" w:rsidP="00F364A6"/>
                          <w:p w14:paraId="3364FED4" w14:textId="77777777" w:rsidR="00D15FD8" w:rsidRDefault="00D15FD8"/>
                          <w:p w14:paraId="4490C84F"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1614882" w14:textId="77777777" w:rsidR="00D15FD8" w:rsidRDefault="00D15FD8" w:rsidP="00F364A6"/>
                          <w:p w14:paraId="0C27537C" w14:textId="77777777" w:rsidR="00D15FD8" w:rsidRDefault="00D15FD8"/>
                          <w:p w14:paraId="17301330" w14:textId="5BBA6EA0"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A5CE997" w14:textId="77777777" w:rsidR="00D15FD8" w:rsidRDefault="00D15FD8" w:rsidP="00F364A6"/>
                          <w:p w14:paraId="497A0578" w14:textId="77777777" w:rsidR="00D15FD8" w:rsidRDefault="00D15FD8"/>
                          <w:p w14:paraId="29B72E19" w14:textId="6930AE99"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B2B1411" w14:textId="77777777" w:rsidR="00D15FD8" w:rsidRDefault="00D15FD8" w:rsidP="00F364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B8F8E" id="Text Box 2599" o:spid="_x0000_s1703" type="#_x0000_t202" style="position:absolute;left:0;text-align:left;margin-left:141.5pt;margin-top:13.3pt;width:374.9pt;height:168.8pt;z-index:2546647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" filled="f" stroked="f" strokeweight=".5pt">
                <v:textbox>
                  <w:txbxContent>
                    <w:p w14:paraId="63245589" w14:textId="376E9F36" w:rsidR="00D15FD8" w:rsidRPr="00DE3BD8" w:rsidRDefault="00D15FD8" w:rsidP="0099547A">
                      <w:pPr>
                        <w:spacing w:line="276" w:lineRule="auto"/>
                        <w:jc w:val="both"/>
                        <w:rPr>
                          <w:rFonts w:ascii="Arial" w:hAnsi="Arial" w:cs="Arial"/>
                          <w:sz w:val="24"/>
                          <w:szCs w:val="24"/>
                        </w:rPr>
                      </w:pPr>
                      <w:r w:rsidRPr="00DE3BD8">
                        <w:rPr>
                          <w:rFonts w:ascii="Arial" w:hAnsi="Arial" w:cs="Arial"/>
                          <w:sz w:val="24"/>
                          <w:szCs w:val="24"/>
                        </w:rPr>
                        <w:t xml:space="preserve">The </w:t>
                      </w:r>
                      <w:hyperlink r:id="rId122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is composed of budget directors and other senior officials from OECD countries. The </w:t>
                      </w:r>
                      <w:r>
                        <w:rPr>
                          <w:rFonts w:ascii="Arial" w:hAnsi="Arial" w:cs="Arial"/>
                          <w:sz w:val="24"/>
                          <w:szCs w:val="24"/>
                        </w:rPr>
                        <w:t>Committee</w:t>
                      </w:r>
                      <w:r w:rsidRPr="00DE3BD8">
                        <w:rPr>
                          <w:rFonts w:ascii="Arial" w:hAnsi="Arial" w:cs="Arial"/>
                          <w:sz w:val="24"/>
                          <w:szCs w:val="24"/>
                        </w:rPr>
                        <w:t xml:space="preserve"> meets regularly to address key budgeting concerns and relevant policy options. </w:t>
                      </w:r>
                      <w:r>
                        <w:rPr>
                          <w:rFonts w:ascii="Arial" w:hAnsi="Arial" w:cs="Arial"/>
                          <w:sz w:val="24"/>
                          <w:szCs w:val="24"/>
                        </w:rPr>
                        <w:t>It</w:t>
                      </w:r>
                      <w:r w:rsidRPr="00DE3BD8">
                        <w:rPr>
                          <w:rFonts w:ascii="Arial" w:hAnsi="Arial" w:cs="Arial"/>
                          <w:sz w:val="24"/>
                          <w:szCs w:val="24"/>
                        </w:rPr>
                        <w:t xml:space="preserve">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3F24B14" w14:textId="77777777" w:rsidR="00D15FD8" w:rsidRDefault="00D15FD8" w:rsidP="00F364A6"/>
                    <w:p w14:paraId="0136FDBC" w14:textId="77777777" w:rsidR="00D15FD8" w:rsidRDefault="00D15FD8"/>
                    <w:p w14:paraId="35B0C30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935CF8F" w14:textId="77777777" w:rsidR="00D15FD8" w:rsidRDefault="00D15FD8" w:rsidP="00F364A6"/>
                    <w:p w14:paraId="00689039" w14:textId="77777777" w:rsidR="00D15FD8" w:rsidRDefault="00D15FD8"/>
                    <w:p w14:paraId="4671841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BE46436" w14:textId="77777777" w:rsidR="00D15FD8" w:rsidRDefault="00D15FD8" w:rsidP="00F364A6"/>
                    <w:p w14:paraId="53E519EC" w14:textId="77777777" w:rsidR="00D15FD8" w:rsidRDefault="00D15FD8"/>
                    <w:p w14:paraId="1720565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E9C2443" w14:textId="77777777" w:rsidR="00D15FD8" w:rsidRDefault="00D15FD8" w:rsidP="00F364A6"/>
                    <w:p w14:paraId="5727F914" w14:textId="77777777" w:rsidR="00D15FD8" w:rsidRDefault="00D15FD8"/>
                    <w:p w14:paraId="338B4CD5"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20F55AF" w14:textId="77777777" w:rsidR="00D15FD8" w:rsidRDefault="00D15FD8" w:rsidP="00F364A6"/>
                    <w:p w14:paraId="2156C6EF" w14:textId="77777777" w:rsidR="00D15FD8" w:rsidRDefault="00D15FD8"/>
                    <w:p w14:paraId="191A86AF"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2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9ADB979" w14:textId="77777777" w:rsidR="00D15FD8" w:rsidRDefault="00D15FD8" w:rsidP="00F364A6"/>
                    <w:p w14:paraId="08B11EE4" w14:textId="77777777" w:rsidR="00D15FD8" w:rsidRDefault="00D15FD8"/>
                    <w:p w14:paraId="0DFAD2B2"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A719D2D" w14:textId="77777777" w:rsidR="00D15FD8" w:rsidRDefault="00D15FD8" w:rsidP="00F364A6"/>
                    <w:p w14:paraId="23A7AF20" w14:textId="77777777" w:rsidR="00D15FD8" w:rsidRDefault="00D15FD8"/>
                    <w:p w14:paraId="72F6280D"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86B7B39" w14:textId="77777777" w:rsidR="00D15FD8" w:rsidRDefault="00D15FD8" w:rsidP="00F364A6"/>
                    <w:p w14:paraId="7E632753" w14:textId="77777777" w:rsidR="00D15FD8" w:rsidRDefault="00D15FD8"/>
                    <w:p w14:paraId="3CE8916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11E7515" w14:textId="77777777" w:rsidR="00D15FD8" w:rsidRDefault="00D15FD8" w:rsidP="00F364A6"/>
                    <w:p w14:paraId="487E729B" w14:textId="77777777" w:rsidR="00D15FD8" w:rsidRDefault="00D15FD8"/>
                    <w:p w14:paraId="35FF853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6A57D52" w14:textId="77777777" w:rsidR="00D15FD8" w:rsidRDefault="00D15FD8" w:rsidP="00F364A6"/>
                    <w:p w14:paraId="35C5886F" w14:textId="77777777" w:rsidR="00D15FD8" w:rsidRDefault="00D15FD8"/>
                    <w:p w14:paraId="760FD56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87AAA68" w14:textId="77777777" w:rsidR="00D15FD8" w:rsidRDefault="00D15FD8" w:rsidP="00F364A6"/>
                    <w:p w14:paraId="74E83776" w14:textId="77777777" w:rsidR="00D15FD8" w:rsidRDefault="00D15FD8"/>
                    <w:p w14:paraId="0BA4A85A"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6DB292F" w14:textId="77777777" w:rsidR="00D15FD8" w:rsidRDefault="00D15FD8" w:rsidP="00F364A6"/>
                    <w:p w14:paraId="60C7DB85" w14:textId="77777777" w:rsidR="00D15FD8" w:rsidRDefault="00D15FD8"/>
                    <w:p w14:paraId="6E3D6949"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4FD0BE8" w14:textId="77777777" w:rsidR="00D15FD8" w:rsidRDefault="00D15FD8" w:rsidP="00F364A6"/>
                    <w:p w14:paraId="3ABE9CD2" w14:textId="77777777" w:rsidR="00D15FD8" w:rsidRDefault="00D15FD8"/>
                    <w:p w14:paraId="3D93007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B8525A7" w14:textId="77777777" w:rsidR="00D15FD8" w:rsidRDefault="00D15FD8" w:rsidP="00F364A6"/>
                    <w:p w14:paraId="4E024465" w14:textId="77777777" w:rsidR="00D15FD8" w:rsidRDefault="00D15FD8"/>
                    <w:p w14:paraId="4806B08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3AF2314" w14:textId="77777777" w:rsidR="00D15FD8" w:rsidRDefault="00D15FD8" w:rsidP="00F364A6"/>
                    <w:p w14:paraId="30E18FA8" w14:textId="77777777" w:rsidR="00D15FD8" w:rsidRDefault="00D15FD8"/>
                    <w:p w14:paraId="5850EE4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3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3D125BB" w14:textId="77777777" w:rsidR="00D15FD8" w:rsidRDefault="00D15FD8" w:rsidP="00F364A6"/>
                    <w:p w14:paraId="79A142E8" w14:textId="77777777" w:rsidR="00D15FD8" w:rsidRDefault="00D15FD8"/>
                    <w:p w14:paraId="3A90C58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EF6A0A3" w14:textId="77777777" w:rsidR="00D15FD8" w:rsidRDefault="00D15FD8" w:rsidP="00F364A6"/>
                    <w:p w14:paraId="367D69D4" w14:textId="77777777" w:rsidR="00D15FD8" w:rsidRDefault="00D15FD8"/>
                    <w:p w14:paraId="0451B0FA"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CFF1AD2" w14:textId="77777777" w:rsidR="00D15FD8" w:rsidRDefault="00D15FD8" w:rsidP="00F364A6"/>
                    <w:p w14:paraId="71B4C660" w14:textId="77777777" w:rsidR="00D15FD8" w:rsidRDefault="00D15FD8"/>
                    <w:p w14:paraId="3F2B33C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76E5080" w14:textId="77777777" w:rsidR="00D15FD8" w:rsidRDefault="00D15FD8" w:rsidP="00F364A6"/>
                    <w:p w14:paraId="5E133E53" w14:textId="77777777" w:rsidR="00D15FD8" w:rsidRDefault="00D15FD8"/>
                    <w:p w14:paraId="234AF1DC"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D2D5A7E" w14:textId="77777777" w:rsidR="00D15FD8" w:rsidRDefault="00D15FD8" w:rsidP="00F364A6"/>
                    <w:p w14:paraId="1FF557E3" w14:textId="77777777" w:rsidR="00D15FD8" w:rsidRDefault="00D15FD8"/>
                    <w:p w14:paraId="2239573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CD391DB" w14:textId="77777777" w:rsidR="00D15FD8" w:rsidRDefault="00D15FD8" w:rsidP="00F364A6"/>
                    <w:p w14:paraId="2B8F2CDE" w14:textId="77777777" w:rsidR="00D15FD8" w:rsidRDefault="00D15FD8"/>
                    <w:p w14:paraId="2EB8FDD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9EFF07D" w14:textId="77777777" w:rsidR="00D15FD8" w:rsidRDefault="00D15FD8" w:rsidP="00F364A6"/>
                    <w:p w14:paraId="54E99FC9" w14:textId="77777777" w:rsidR="00D15FD8" w:rsidRDefault="00D15FD8"/>
                    <w:p w14:paraId="21A3BA9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139DACB" w14:textId="77777777" w:rsidR="00D15FD8" w:rsidRDefault="00D15FD8" w:rsidP="00F364A6"/>
                    <w:p w14:paraId="438B7078" w14:textId="77777777" w:rsidR="00D15FD8" w:rsidRDefault="00D15FD8"/>
                    <w:p w14:paraId="57667373"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067E40A" w14:textId="77777777" w:rsidR="00D15FD8" w:rsidRDefault="00D15FD8" w:rsidP="00F364A6"/>
                    <w:p w14:paraId="7CA3FE43" w14:textId="77777777" w:rsidR="00D15FD8" w:rsidRDefault="00D15FD8"/>
                    <w:p w14:paraId="3A5E5E1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14CFEC2" w14:textId="77777777" w:rsidR="00D15FD8" w:rsidRDefault="00D15FD8" w:rsidP="00F364A6"/>
                    <w:p w14:paraId="11D64739" w14:textId="77777777" w:rsidR="00D15FD8" w:rsidRDefault="00D15FD8"/>
                    <w:p w14:paraId="64771B0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4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85442F7" w14:textId="77777777" w:rsidR="00D15FD8" w:rsidRDefault="00D15FD8" w:rsidP="00F364A6"/>
                    <w:p w14:paraId="6399E7C1" w14:textId="77777777" w:rsidR="00D15FD8" w:rsidRDefault="00D15FD8"/>
                    <w:p w14:paraId="225CB1C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91CF0E4" w14:textId="77777777" w:rsidR="00D15FD8" w:rsidRDefault="00D15FD8" w:rsidP="00F364A6"/>
                    <w:p w14:paraId="46522D40" w14:textId="77777777" w:rsidR="00D15FD8" w:rsidRDefault="00D15FD8"/>
                    <w:p w14:paraId="599EC29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A9C32F6" w14:textId="77777777" w:rsidR="00D15FD8" w:rsidRDefault="00D15FD8" w:rsidP="00F364A6"/>
                    <w:p w14:paraId="155BD6DE" w14:textId="77777777" w:rsidR="00D15FD8" w:rsidRDefault="00D15FD8"/>
                    <w:p w14:paraId="7F4ED1C5"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DD26B94" w14:textId="77777777" w:rsidR="00D15FD8" w:rsidRDefault="00D15FD8" w:rsidP="00F364A6"/>
                    <w:p w14:paraId="5C75CDBA" w14:textId="77777777" w:rsidR="00D15FD8" w:rsidRDefault="00D15FD8"/>
                    <w:p w14:paraId="2E6244E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AFAB7E0" w14:textId="77777777" w:rsidR="00D15FD8" w:rsidRDefault="00D15FD8" w:rsidP="00F364A6"/>
                    <w:p w14:paraId="4F6CD14F" w14:textId="77777777" w:rsidR="00D15FD8" w:rsidRDefault="00D15FD8"/>
                    <w:p w14:paraId="1CA6A1BD"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F978190" w14:textId="77777777" w:rsidR="00D15FD8" w:rsidRDefault="00D15FD8" w:rsidP="00F364A6"/>
                    <w:p w14:paraId="32524A1B" w14:textId="77777777" w:rsidR="00D15FD8" w:rsidRDefault="00D15FD8"/>
                    <w:p w14:paraId="19F1AAA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72C8F06" w14:textId="77777777" w:rsidR="00D15FD8" w:rsidRDefault="00D15FD8" w:rsidP="00F364A6"/>
                    <w:p w14:paraId="3377C886" w14:textId="77777777" w:rsidR="00D15FD8" w:rsidRDefault="00D15FD8"/>
                    <w:p w14:paraId="6F8F6422" w14:textId="15549360"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B0156AC" w14:textId="77777777" w:rsidR="00D15FD8" w:rsidRDefault="00D15FD8" w:rsidP="00F364A6"/>
                    <w:p w14:paraId="2D66FB19" w14:textId="77777777" w:rsidR="00D15FD8" w:rsidRDefault="00D15FD8"/>
                    <w:p w14:paraId="62BBB63C"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64B18ED" w14:textId="77777777" w:rsidR="00D15FD8" w:rsidRDefault="00D15FD8" w:rsidP="00F364A6"/>
                    <w:p w14:paraId="1A0822FA" w14:textId="77777777" w:rsidR="00D15FD8" w:rsidRDefault="00D15FD8"/>
                    <w:p w14:paraId="4532935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04BEF49" w14:textId="77777777" w:rsidR="00D15FD8" w:rsidRDefault="00D15FD8" w:rsidP="00F364A6"/>
                    <w:p w14:paraId="3C27AC92" w14:textId="77777777" w:rsidR="00D15FD8" w:rsidRDefault="00D15FD8"/>
                    <w:p w14:paraId="591429D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5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595FDE9" w14:textId="77777777" w:rsidR="00D15FD8" w:rsidRDefault="00D15FD8" w:rsidP="00F364A6"/>
                    <w:p w14:paraId="163AC790" w14:textId="77777777" w:rsidR="00D15FD8" w:rsidRDefault="00D15FD8"/>
                    <w:p w14:paraId="680692C9"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F3A210E" w14:textId="77777777" w:rsidR="00D15FD8" w:rsidRDefault="00D15FD8" w:rsidP="00F364A6"/>
                    <w:p w14:paraId="5412EF79" w14:textId="77777777" w:rsidR="00D15FD8" w:rsidRDefault="00D15FD8"/>
                    <w:p w14:paraId="7579E98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1016B9C" w14:textId="77777777" w:rsidR="00D15FD8" w:rsidRDefault="00D15FD8" w:rsidP="00F364A6"/>
                    <w:p w14:paraId="0E8A3217" w14:textId="77777777" w:rsidR="00D15FD8" w:rsidRDefault="00D15FD8"/>
                    <w:p w14:paraId="66B05DD7"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70CF7DF" w14:textId="77777777" w:rsidR="00D15FD8" w:rsidRDefault="00D15FD8" w:rsidP="00F364A6"/>
                    <w:p w14:paraId="678DD5AA" w14:textId="77777777" w:rsidR="00D15FD8" w:rsidRDefault="00D15FD8"/>
                    <w:p w14:paraId="474AC8AD"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B018099" w14:textId="77777777" w:rsidR="00D15FD8" w:rsidRDefault="00D15FD8" w:rsidP="00F364A6"/>
                    <w:p w14:paraId="23AF28B4" w14:textId="77777777" w:rsidR="00D15FD8" w:rsidRDefault="00D15FD8"/>
                    <w:p w14:paraId="11B940EF"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AFCC581" w14:textId="77777777" w:rsidR="00D15FD8" w:rsidRDefault="00D15FD8" w:rsidP="00F364A6"/>
                    <w:p w14:paraId="1E318D94" w14:textId="77777777" w:rsidR="00D15FD8" w:rsidRDefault="00D15FD8"/>
                    <w:p w14:paraId="6E112494"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2B53C5A" w14:textId="77777777" w:rsidR="00D15FD8" w:rsidRDefault="00D15FD8" w:rsidP="00F364A6"/>
                    <w:p w14:paraId="1DD90278" w14:textId="77777777" w:rsidR="00D15FD8" w:rsidRDefault="00D15FD8"/>
                    <w:p w14:paraId="29406ACB"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74DC63D" w14:textId="77777777" w:rsidR="00D15FD8" w:rsidRDefault="00D15FD8" w:rsidP="00F364A6"/>
                    <w:p w14:paraId="6DBAD97D" w14:textId="77777777" w:rsidR="00D15FD8" w:rsidRDefault="00D15FD8"/>
                    <w:p w14:paraId="34368D9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BE3ADF5" w14:textId="77777777" w:rsidR="00D15FD8" w:rsidRDefault="00D15FD8" w:rsidP="00F364A6"/>
                    <w:p w14:paraId="58955563" w14:textId="77777777" w:rsidR="00D15FD8" w:rsidRDefault="00D15FD8"/>
                    <w:p w14:paraId="73F99872"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95A3351" w14:textId="77777777" w:rsidR="00D15FD8" w:rsidRDefault="00D15FD8" w:rsidP="00F364A6"/>
                    <w:p w14:paraId="246F8577" w14:textId="77777777" w:rsidR="00D15FD8" w:rsidRDefault="00D15FD8"/>
                    <w:p w14:paraId="655FF44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6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D2C3884" w14:textId="77777777" w:rsidR="00D15FD8" w:rsidRDefault="00D15FD8" w:rsidP="00F364A6"/>
                    <w:p w14:paraId="1480F42D" w14:textId="77777777" w:rsidR="00D15FD8" w:rsidRDefault="00D15FD8"/>
                    <w:p w14:paraId="32241C1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E578676" w14:textId="77777777" w:rsidR="00D15FD8" w:rsidRDefault="00D15FD8" w:rsidP="00F364A6"/>
                    <w:p w14:paraId="6ECE355B" w14:textId="77777777" w:rsidR="00D15FD8" w:rsidRDefault="00D15FD8"/>
                    <w:p w14:paraId="77E1D1C0"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D38AFF5" w14:textId="77777777" w:rsidR="00D15FD8" w:rsidRDefault="00D15FD8" w:rsidP="00F364A6"/>
                    <w:p w14:paraId="72C3118F" w14:textId="77777777" w:rsidR="00D15FD8" w:rsidRDefault="00D15FD8"/>
                    <w:p w14:paraId="66A6F7E9" w14:textId="408586B2"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E818AB9" w14:textId="77777777" w:rsidR="00D15FD8" w:rsidRDefault="00D15FD8" w:rsidP="00F364A6"/>
                    <w:p w14:paraId="3AB3B652" w14:textId="77777777" w:rsidR="00D15FD8" w:rsidRDefault="00D15FD8"/>
                    <w:p w14:paraId="1B663CD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C389770" w14:textId="77777777" w:rsidR="00D15FD8" w:rsidRDefault="00D15FD8" w:rsidP="00F364A6"/>
                    <w:p w14:paraId="62167848" w14:textId="77777777" w:rsidR="00D15FD8" w:rsidRDefault="00D15FD8"/>
                    <w:p w14:paraId="13113EC5"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7A1D287" w14:textId="77777777" w:rsidR="00D15FD8" w:rsidRDefault="00D15FD8" w:rsidP="00F364A6"/>
                    <w:p w14:paraId="3616390B" w14:textId="77777777" w:rsidR="00D15FD8" w:rsidRDefault="00D15FD8"/>
                    <w:p w14:paraId="0D973716"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D290388" w14:textId="77777777" w:rsidR="00D15FD8" w:rsidRDefault="00D15FD8" w:rsidP="00F364A6"/>
                    <w:p w14:paraId="29796F9E" w14:textId="77777777" w:rsidR="00D15FD8" w:rsidRDefault="00D15FD8"/>
                    <w:p w14:paraId="32BBD9F0"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6BA4A859" w14:textId="77777777" w:rsidR="00D15FD8" w:rsidRDefault="00D15FD8" w:rsidP="00F364A6"/>
                    <w:p w14:paraId="26DB4835" w14:textId="77777777" w:rsidR="00D15FD8" w:rsidRDefault="00D15FD8"/>
                    <w:p w14:paraId="456DE60E"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41F87E5" w14:textId="77777777" w:rsidR="00D15FD8" w:rsidRDefault="00D15FD8" w:rsidP="00F364A6"/>
                    <w:p w14:paraId="68AD29BD" w14:textId="77777777" w:rsidR="00D15FD8" w:rsidRDefault="00D15FD8"/>
                    <w:p w14:paraId="562737C9"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8"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39940B16" w14:textId="77777777" w:rsidR="00D15FD8" w:rsidRDefault="00D15FD8" w:rsidP="00F364A6"/>
                    <w:p w14:paraId="7F7A2880" w14:textId="77777777" w:rsidR="00D15FD8" w:rsidRDefault="00D15FD8"/>
                    <w:p w14:paraId="0C70AAB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79"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5951FDD4" w14:textId="77777777" w:rsidR="00D15FD8" w:rsidRDefault="00D15FD8" w:rsidP="00F364A6"/>
                    <w:p w14:paraId="39839591" w14:textId="77777777" w:rsidR="00D15FD8" w:rsidRDefault="00D15FD8"/>
                    <w:p w14:paraId="0E62F832" w14:textId="080DB691"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0"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5D859C1" w14:textId="77777777" w:rsidR="00D15FD8" w:rsidRDefault="00D15FD8" w:rsidP="00F364A6"/>
                    <w:p w14:paraId="57F7EE72" w14:textId="77777777" w:rsidR="00D15FD8" w:rsidRDefault="00D15FD8"/>
                    <w:p w14:paraId="5D836121"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1"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4322767" w14:textId="77777777" w:rsidR="00D15FD8" w:rsidRDefault="00D15FD8" w:rsidP="00F364A6"/>
                    <w:p w14:paraId="631E49EC" w14:textId="77777777" w:rsidR="00D15FD8" w:rsidRDefault="00D15FD8"/>
                    <w:p w14:paraId="1C06C2B8"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2"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4A68DA78" w14:textId="77777777" w:rsidR="00D15FD8" w:rsidRDefault="00D15FD8" w:rsidP="00F364A6"/>
                    <w:p w14:paraId="33920E54" w14:textId="77777777" w:rsidR="00D15FD8" w:rsidRDefault="00D15FD8"/>
                    <w:p w14:paraId="053C731A"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3"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7B1863F7" w14:textId="77777777" w:rsidR="00D15FD8" w:rsidRDefault="00D15FD8" w:rsidP="00F364A6"/>
                    <w:p w14:paraId="71BFEB6B" w14:textId="77777777" w:rsidR="00D15FD8" w:rsidRDefault="00D15FD8"/>
                    <w:p w14:paraId="1937E9F3" w14:textId="6AB76F44"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4"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1116D138" w14:textId="77777777" w:rsidR="00D15FD8" w:rsidRDefault="00D15FD8" w:rsidP="00F364A6"/>
                    <w:p w14:paraId="3364FED4" w14:textId="77777777" w:rsidR="00D15FD8" w:rsidRDefault="00D15FD8"/>
                    <w:p w14:paraId="4490C84F" w14:textId="77777777"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5"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1614882" w14:textId="77777777" w:rsidR="00D15FD8" w:rsidRDefault="00D15FD8" w:rsidP="00F364A6"/>
                    <w:p w14:paraId="0C27537C" w14:textId="77777777" w:rsidR="00D15FD8" w:rsidRDefault="00D15FD8"/>
                    <w:p w14:paraId="17301330" w14:textId="5BBA6EA0"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6"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2A5CE997" w14:textId="77777777" w:rsidR="00D15FD8" w:rsidRDefault="00D15FD8" w:rsidP="00F364A6"/>
                    <w:p w14:paraId="497A0578" w14:textId="77777777" w:rsidR="00D15FD8" w:rsidRDefault="00D15FD8"/>
                    <w:p w14:paraId="29B72E19" w14:textId="6930AE99" w:rsidR="00D15FD8" w:rsidRPr="00DE3BD8" w:rsidRDefault="00D15FD8" w:rsidP="00F364A6">
                      <w:pPr>
                        <w:numPr>
                          <w:ilvl w:val="0"/>
                          <w:numId w:val="71"/>
                        </w:numPr>
                        <w:spacing w:line="276" w:lineRule="auto"/>
                        <w:ind w:left="311" w:hanging="311"/>
                        <w:jc w:val="both"/>
                        <w:rPr>
                          <w:rFonts w:ascii="Arial" w:hAnsi="Arial" w:cs="Arial"/>
                          <w:sz w:val="24"/>
                          <w:szCs w:val="24"/>
                        </w:rPr>
                      </w:pPr>
                      <w:r w:rsidRPr="00DE3BD8">
                        <w:rPr>
                          <w:rFonts w:ascii="Arial" w:hAnsi="Arial" w:cs="Arial"/>
                          <w:sz w:val="24"/>
                          <w:szCs w:val="24"/>
                        </w:rPr>
                        <w:t xml:space="preserve">The </w:t>
                      </w:r>
                      <w:hyperlink r:id="rId1287" w:history="1">
                        <w:r w:rsidRPr="00DE3BD8">
                          <w:rPr>
                            <w:rFonts w:ascii="Arial" w:hAnsi="Arial" w:cs="Arial"/>
                            <w:color w:val="0563C1" w:themeColor="hyperlink"/>
                            <w:sz w:val="24"/>
                            <w:szCs w:val="24"/>
                            <w:u w:val="single"/>
                          </w:rPr>
                          <w:t>OECD Committee of Senior Budget Officials</w:t>
                        </w:r>
                      </w:hyperlink>
                      <w:r w:rsidRPr="00DE3BD8">
                        <w:rPr>
                          <w:rFonts w:ascii="Arial" w:hAnsi="Arial" w:cs="Arial"/>
                          <w:sz w:val="24"/>
                          <w:szCs w:val="24"/>
                        </w:rPr>
                        <w:t xml:space="preserve"> (SBO) is composed of budget directors and other senior officials from OECD countries. The SBO meets regularly to address key budgeting concerns and relevant policy options. The SBO benefits from open and informal discussions, the variety of countries involved and models presented, and the control of the network by its own members. Members of this network emphasize the benefits in terms of designing the most suitable reform programs, including support in undertaking and sustaining such programs and stressing the importance of good budgeting practices to politicians.</w:t>
                      </w:r>
                    </w:p>
                    <w:p w14:paraId="0B2B1411" w14:textId="77777777" w:rsidR="00D15FD8" w:rsidRDefault="00D15FD8" w:rsidP="00F364A6"/>
                  </w:txbxContent>
                </v:textbox>
                <w10:wrap anchorx="margin"/>
              </v:shape>
            </w:pict>
          </mc:Fallback>
        </mc:AlternateContent>
      </w:r>
      <w:r>
        <w:rPr>
          <w:rFonts w:ascii="Arial" w:hAnsi="Arial" w:cs="Arial"/>
          <w:b/>
          <w:bCs/>
          <w:noProof/>
          <w:color w:val="C0A4CE"/>
          <w:sz w:val="24"/>
          <w:szCs w:val="24"/>
          <w:lang w:val="en-US"/>
        </w:rPr>
        <mc:AlternateContent>
          <mc:Choice Requires="wps">
            <w:drawing>
              <wp:anchor distT="0" distB="0" distL="114300" distR="114300" simplePos="0" relativeHeight="254662654" behindDoc="0" locked="0" layoutInCell="1" allowOverlap="1" wp14:anchorId="38B825B1" wp14:editId="3D262F63">
                <wp:simplePos x="0" y="0"/>
                <wp:positionH relativeFrom="margin">
                  <wp:posOffset>1640923</wp:posOffset>
                </wp:positionH>
                <wp:positionV relativeFrom="paragraph">
                  <wp:posOffset>39917</wp:posOffset>
                </wp:positionV>
                <wp:extent cx="5048452" cy="2336362"/>
                <wp:effectExtent l="12700" t="12700" r="19050" b="13335"/>
                <wp:wrapNone/>
                <wp:docPr id="2598" name="Rounded Rectangle 2598"/>
                <wp:cNvGraphicFramePr/>
                <a:graphic xmlns:a="http://schemas.openxmlformats.org/drawingml/2006/main">
                  <a:graphicData uri="http://schemas.microsoft.com/office/word/2010/wordprocessingShape">
                    <wps:wsp>
                      <wps:cNvSpPr/>
                      <wps:spPr>
                        <a:xfrm>
                          <a:off x="0" y="0"/>
                          <a:ext cx="5048452" cy="2336362"/>
                        </a:xfrm>
                        <a:prstGeom prst="roundRect">
                          <a:avLst>
                            <a:gd name="adj" fmla="val 8613"/>
                          </a:avLst>
                        </a:prstGeom>
                        <a:noFill/>
                        <a:ln w="28575">
                          <a:solidFill>
                            <a:srgbClr val="E1CB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5ADF65AE" id="Rounded Rectangle 2598" o:spid="_x0000_s1026" style="position:absolute;margin-left:129.2pt;margin-top:3.15pt;width:397.5pt;height:183.95pt;z-index:2546626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" filled="f" strokecolor="#e1cbef" strokeweight="2.25pt">
                <v:stroke joinstyle="miter"/>
                <w10:wrap anchorx="margin"/>
              </v:roundrect>
            </w:pict>
          </mc:Fallback>
        </mc:AlternateContent>
      </w:r>
    </w:p>
    <w:p w14:paraId="66BD3646" w14:textId="45DA9581" w:rsidR="00F364A6" w:rsidRDefault="00F364A6" w:rsidP="00FB7EBD">
      <w:pPr>
        <w:spacing w:line="276" w:lineRule="auto"/>
        <w:jc w:val="both"/>
        <w:rPr>
          <w:rFonts w:ascii="Arial" w:hAnsi="Arial" w:cs="Arial"/>
          <w:b/>
          <w:bCs/>
          <w:color w:val="C0A4CE"/>
          <w:sz w:val="24"/>
          <w:szCs w:val="24"/>
        </w:rPr>
      </w:pPr>
    </w:p>
    <w:p w14:paraId="10C09488" w14:textId="2624E36A" w:rsidR="00F364A6" w:rsidRDefault="00F364A6" w:rsidP="00FB7EBD">
      <w:pPr>
        <w:spacing w:line="276" w:lineRule="auto"/>
        <w:jc w:val="both"/>
        <w:rPr>
          <w:rFonts w:ascii="Arial" w:hAnsi="Arial" w:cs="Arial"/>
          <w:b/>
          <w:bCs/>
          <w:color w:val="C0A4CE"/>
          <w:sz w:val="24"/>
          <w:szCs w:val="24"/>
        </w:rPr>
      </w:pPr>
    </w:p>
    <w:p w14:paraId="21C54F34" w14:textId="4F52C477" w:rsidR="00F364A6" w:rsidRDefault="00F364A6" w:rsidP="00FB7EBD">
      <w:pPr>
        <w:spacing w:line="276" w:lineRule="auto"/>
        <w:jc w:val="both"/>
        <w:rPr>
          <w:rFonts w:ascii="Arial" w:hAnsi="Arial" w:cs="Arial"/>
          <w:b/>
          <w:bCs/>
          <w:color w:val="C0A4CE"/>
          <w:sz w:val="24"/>
          <w:szCs w:val="24"/>
        </w:rPr>
      </w:pPr>
    </w:p>
    <w:p w14:paraId="1FD18E8B" w14:textId="75967951" w:rsidR="00F364A6" w:rsidRDefault="00344B9B"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w:drawing>
          <wp:anchor distT="0" distB="0" distL="114300" distR="114300" simplePos="0" relativeHeight="255149054" behindDoc="0" locked="0" layoutInCell="1" allowOverlap="1" wp14:anchorId="101AF3DE" wp14:editId="3D411E95">
            <wp:simplePos x="0" y="0"/>
            <wp:positionH relativeFrom="column">
              <wp:posOffset>-55739</wp:posOffset>
            </wp:positionH>
            <wp:positionV relativeFrom="paragraph">
              <wp:posOffset>181610</wp:posOffset>
            </wp:positionV>
            <wp:extent cx="1483995" cy="504190"/>
            <wp:effectExtent l="0" t="0" r="1905" b="0"/>
            <wp:wrapSquare wrapText="bothSides"/>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 name="Picture 2796"/>
                    <pic:cNvPicPr/>
                  </pic:nvPicPr>
                  <pic:blipFill>
                    <a:blip r:embed="rId1288" cstate="email">
                      <a:extLst>
                        <a:ext uri="{28A0092B-C50C-407E-A947-70E740481C1C}">
                          <a14:useLocalDpi xmlns:a14="http://schemas.microsoft.com/office/drawing/2010/main"/>
                        </a:ext>
                      </a:extLst>
                    </a:blip>
                    <a:stretch>
                      <a:fillRect/>
                    </a:stretch>
                  </pic:blipFill>
                  <pic:spPr>
                    <a:xfrm>
                      <a:off x="0" y="0"/>
                      <a:ext cx="1483995" cy="504190"/>
                    </a:xfrm>
                    <a:prstGeom prst="rect">
                      <a:avLst/>
                    </a:prstGeom>
                  </pic:spPr>
                </pic:pic>
              </a:graphicData>
            </a:graphic>
            <wp14:sizeRelH relativeFrom="page">
              <wp14:pctWidth>0</wp14:pctWidth>
            </wp14:sizeRelH>
            <wp14:sizeRelV relativeFrom="page">
              <wp14:pctHeight>0</wp14:pctHeight>
            </wp14:sizeRelV>
          </wp:anchor>
        </w:drawing>
      </w:r>
    </w:p>
    <w:p w14:paraId="36C0AC4C" w14:textId="2766678B" w:rsidR="00F364A6" w:rsidRDefault="00F364A6" w:rsidP="00FB7EBD">
      <w:pPr>
        <w:spacing w:line="276" w:lineRule="auto"/>
        <w:jc w:val="both"/>
        <w:rPr>
          <w:rFonts w:ascii="Arial" w:hAnsi="Arial" w:cs="Arial"/>
          <w:b/>
          <w:bCs/>
          <w:color w:val="C0A4CE"/>
          <w:sz w:val="24"/>
          <w:szCs w:val="24"/>
        </w:rPr>
      </w:pPr>
    </w:p>
    <w:p w14:paraId="1A8E15DA" w14:textId="53E2755D" w:rsidR="00F364A6" w:rsidRDefault="00F364A6" w:rsidP="00FB7EBD">
      <w:pPr>
        <w:spacing w:line="276" w:lineRule="auto"/>
        <w:jc w:val="both"/>
        <w:rPr>
          <w:rFonts w:ascii="Arial" w:hAnsi="Arial" w:cs="Arial"/>
          <w:b/>
          <w:bCs/>
          <w:color w:val="C0A4CE"/>
          <w:sz w:val="24"/>
          <w:szCs w:val="24"/>
        </w:rPr>
      </w:pPr>
    </w:p>
    <w:p w14:paraId="213AB46F" w14:textId="6D38A5C1" w:rsidR="00F364A6" w:rsidRDefault="00F364A6" w:rsidP="00FB7EBD">
      <w:pPr>
        <w:spacing w:line="276" w:lineRule="auto"/>
        <w:jc w:val="both"/>
        <w:rPr>
          <w:rFonts w:ascii="Arial" w:hAnsi="Arial" w:cs="Arial"/>
          <w:b/>
          <w:bCs/>
          <w:color w:val="C0A4CE"/>
          <w:sz w:val="24"/>
          <w:szCs w:val="24"/>
        </w:rPr>
      </w:pPr>
    </w:p>
    <w:p w14:paraId="626AEF87" w14:textId="71E13519" w:rsidR="00F364A6" w:rsidRDefault="00F364A6" w:rsidP="00FB7EBD">
      <w:pPr>
        <w:spacing w:line="276" w:lineRule="auto"/>
        <w:jc w:val="both"/>
        <w:rPr>
          <w:rFonts w:ascii="Arial" w:hAnsi="Arial" w:cs="Arial"/>
          <w:b/>
          <w:bCs/>
          <w:color w:val="C0A4CE"/>
          <w:sz w:val="24"/>
          <w:szCs w:val="24"/>
        </w:rPr>
      </w:pPr>
    </w:p>
    <w:p w14:paraId="718EAA3F" w14:textId="6776D8D8" w:rsidR="00F364A6" w:rsidRDefault="00F364A6" w:rsidP="00FB7EBD">
      <w:pPr>
        <w:spacing w:line="276" w:lineRule="auto"/>
        <w:jc w:val="both"/>
        <w:rPr>
          <w:rFonts w:ascii="Arial" w:hAnsi="Arial" w:cs="Arial"/>
          <w:b/>
          <w:bCs/>
          <w:color w:val="C0A4CE"/>
          <w:sz w:val="24"/>
          <w:szCs w:val="24"/>
        </w:rPr>
      </w:pPr>
    </w:p>
    <w:p w14:paraId="5569BAB9" w14:textId="1441F87D" w:rsidR="00344B9B" w:rsidRDefault="00344B9B" w:rsidP="00FB7EBD">
      <w:pPr>
        <w:spacing w:line="276" w:lineRule="auto"/>
        <w:jc w:val="both"/>
        <w:rPr>
          <w:rFonts w:ascii="Arial" w:hAnsi="Arial" w:cs="Arial"/>
          <w:b/>
          <w:bCs/>
          <w:color w:val="C0A4CE"/>
          <w:sz w:val="24"/>
          <w:szCs w:val="24"/>
        </w:rPr>
      </w:pPr>
    </w:p>
    <w:p w14:paraId="41E68623" w14:textId="43B4C56E" w:rsidR="00344B9B" w:rsidRDefault="00344B9B" w:rsidP="00FB7EBD">
      <w:pPr>
        <w:spacing w:line="276" w:lineRule="auto"/>
        <w:jc w:val="both"/>
        <w:rPr>
          <w:rFonts w:ascii="Arial" w:hAnsi="Arial" w:cs="Arial"/>
          <w:b/>
          <w:bCs/>
          <w:color w:val="C0A4CE"/>
          <w:sz w:val="24"/>
          <w:szCs w:val="24"/>
        </w:rPr>
      </w:pPr>
    </w:p>
    <w:p w14:paraId="0906E934" w14:textId="692D1401" w:rsidR="00344B9B" w:rsidRDefault="00344B9B" w:rsidP="00FB7EBD">
      <w:pPr>
        <w:spacing w:line="276" w:lineRule="auto"/>
        <w:jc w:val="both"/>
        <w:rPr>
          <w:rFonts w:ascii="Arial" w:hAnsi="Arial" w:cs="Arial"/>
          <w:b/>
          <w:bCs/>
          <w:color w:val="C0A4CE"/>
          <w:sz w:val="24"/>
          <w:szCs w:val="24"/>
        </w:rPr>
      </w:pPr>
    </w:p>
    <w:p w14:paraId="18189B66" w14:textId="3B514ACF" w:rsidR="00F364A6" w:rsidRDefault="00E45475"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mc:AlternateContent>
          <mc:Choice Requires="wps">
            <w:drawing>
              <wp:anchor distT="0" distB="0" distL="114300" distR="114300" simplePos="0" relativeHeight="251621330" behindDoc="0" locked="0" layoutInCell="1" allowOverlap="1" wp14:anchorId="58B5AB99" wp14:editId="2667CD70">
                <wp:simplePos x="0" y="0"/>
                <wp:positionH relativeFrom="column">
                  <wp:posOffset>-189230</wp:posOffset>
                </wp:positionH>
                <wp:positionV relativeFrom="paragraph">
                  <wp:posOffset>71120</wp:posOffset>
                </wp:positionV>
                <wp:extent cx="1986280" cy="4794250"/>
                <wp:effectExtent l="0" t="0" r="0" b="0"/>
                <wp:wrapSquare wrapText="bothSides"/>
                <wp:docPr id="362" name="Rectangle 362"/>
                <wp:cNvGraphicFramePr/>
                <a:graphic xmlns:a="http://schemas.openxmlformats.org/drawingml/2006/main">
                  <a:graphicData uri="http://schemas.microsoft.com/office/word/2010/wordprocessingShape">
                    <wps:wsp>
                      <wps:cNvSpPr/>
                      <wps:spPr>
                        <a:xfrm>
                          <a:off x="0" y="0"/>
                          <a:ext cx="1986280" cy="4794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ect w14:anchorId="5EA99C5A" id="Rectangle 362" o:spid="_x0000_s1026" style="position:absolute;margin-left:-14.9pt;margin-top:5.6pt;width:156.4pt;height:377.5pt;z-index:2516213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" filled="f" stroked="f" strokeweight="1pt">
                <w10:wrap type="square"/>
              </v:rect>
            </w:pict>
          </mc:Fallback>
        </mc:AlternateContent>
      </w:r>
      <w:r w:rsidR="00F364A6">
        <w:rPr>
          <w:rFonts w:ascii="Arial" w:hAnsi="Arial" w:cs="Arial"/>
          <w:b/>
          <w:bCs/>
          <w:noProof/>
          <w:color w:val="C0A4CE"/>
          <w:sz w:val="24"/>
          <w:szCs w:val="24"/>
          <w:lang w:val="en-US"/>
        </w:rPr>
        <mc:AlternateContent>
          <mc:Choice Requires="wps">
            <w:drawing>
              <wp:anchor distT="0" distB="0" distL="114300" distR="114300" simplePos="0" relativeHeight="254673405" behindDoc="1" locked="0" layoutInCell="1" allowOverlap="1" wp14:anchorId="2702A7A1" wp14:editId="32481D60">
                <wp:simplePos x="0" y="0"/>
                <wp:positionH relativeFrom="margin">
                  <wp:posOffset>1636395</wp:posOffset>
                </wp:positionH>
                <wp:positionV relativeFrom="paragraph">
                  <wp:posOffset>178435</wp:posOffset>
                </wp:positionV>
                <wp:extent cx="5052060" cy="4687570"/>
                <wp:effectExtent l="12700" t="12700" r="15240" b="11430"/>
                <wp:wrapNone/>
                <wp:docPr id="2600" name="Rounded Rectangle 2600"/>
                <wp:cNvGraphicFramePr/>
                <a:graphic xmlns:a="http://schemas.openxmlformats.org/drawingml/2006/main">
                  <a:graphicData uri="http://schemas.microsoft.com/office/word/2010/wordprocessingShape">
                    <wps:wsp>
                      <wps:cNvSpPr/>
                      <wps:spPr>
                        <a:xfrm>
                          <a:off x="0" y="0"/>
                          <a:ext cx="5052060" cy="4687570"/>
                        </a:xfrm>
                        <a:prstGeom prst="roundRect">
                          <a:avLst>
                            <a:gd name="adj" fmla="val 5605"/>
                          </a:avLst>
                        </a:prstGeom>
                        <a:noFill/>
                        <a:ln w="28575">
                          <a:solidFill>
                            <a:srgbClr val="E1CB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6675DD9A" id="Rounded Rectangle 2600" o:spid="_x0000_s1026" style="position:absolute;margin-left:128.85pt;margin-top:14.05pt;width:397.8pt;height:369.1pt;z-index:-2486430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" filled="f" strokecolor="#e1cbef" strokeweight="2.25pt">
                <v:stroke joinstyle="miter"/>
                <w10:wrap anchorx="margin"/>
              </v:roundrect>
            </w:pict>
          </mc:Fallback>
        </mc:AlternateContent>
      </w:r>
    </w:p>
    <w:p w14:paraId="59351C85" w14:textId="38AFA817" w:rsidR="00E45475" w:rsidRDefault="0099547A" w:rsidP="00E45475">
      <w:pPr>
        <w:spacing w:line="276" w:lineRule="auto"/>
        <w:ind w:left="311"/>
        <w:jc w:val="both"/>
        <w:rPr>
          <w:rFonts w:ascii="Arial" w:hAnsi="Arial" w:cs="Arial"/>
          <w:sz w:val="24"/>
          <w:szCs w:val="24"/>
        </w:rPr>
      </w:pPr>
      <w:r>
        <w:rPr>
          <w:rFonts w:ascii="Arial" w:hAnsi="Arial" w:cs="Arial"/>
          <w:b/>
          <w:bCs/>
          <w:noProof/>
          <w:color w:val="C0A4CE"/>
          <w:sz w:val="24"/>
          <w:szCs w:val="24"/>
          <w:lang w:val="en-US"/>
        </w:rPr>
        <mc:AlternateContent>
          <mc:Choice Requires="wps">
            <w:drawing>
              <wp:anchor distT="0" distB="0" distL="114300" distR="114300" simplePos="0" relativeHeight="255429630" behindDoc="0" locked="0" layoutInCell="1" allowOverlap="1" wp14:anchorId="08A525B4" wp14:editId="22362936">
                <wp:simplePos x="0" y="0"/>
                <wp:positionH relativeFrom="column">
                  <wp:posOffset>6635115</wp:posOffset>
                </wp:positionH>
                <wp:positionV relativeFrom="paragraph">
                  <wp:posOffset>27414</wp:posOffset>
                </wp:positionV>
                <wp:extent cx="420370" cy="4620260"/>
                <wp:effectExtent l="0" t="0" r="0" b="0"/>
                <wp:wrapSquare wrapText="bothSides"/>
                <wp:docPr id="363" name="Rectangle 363"/>
                <wp:cNvGraphicFramePr/>
                <a:graphic xmlns:a="http://schemas.openxmlformats.org/drawingml/2006/main">
                  <a:graphicData uri="http://schemas.microsoft.com/office/word/2010/wordprocessingShape">
                    <wps:wsp>
                      <wps:cNvSpPr/>
                      <wps:spPr>
                        <a:xfrm>
                          <a:off x="0" y="0"/>
                          <a:ext cx="420370" cy="4620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52EA1B71" id="Rectangle 363" o:spid="_x0000_s1026" style="position:absolute;margin-left:522.45pt;margin-top:2.15pt;width:33.1pt;height:363.8pt;z-index:255429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" filled="f" stroked="f" strokeweight="1pt">
                <w10:wrap type="square"/>
              </v:rect>
            </w:pict>
          </mc:Fallback>
        </mc:AlternateContent>
      </w:r>
    </w:p>
    <w:p w14:paraId="1EAE9AC7" w14:textId="35B63729" w:rsidR="00E45475" w:rsidRPr="00E45475" w:rsidRDefault="00E45475" w:rsidP="0099547A">
      <w:pPr>
        <w:pStyle w:val="ListParagraph"/>
        <w:spacing w:line="276" w:lineRule="auto"/>
        <w:ind w:left="1031"/>
        <w:jc w:val="both"/>
        <w:rPr>
          <w:rFonts w:ascii="Arial" w:hAnsi="Arial" w:cs="Arial"/>
          <w:sz w:val="24"/>
          <w:szCs w:val="24"/>
        </w:rPr>
      </w:pPr>
      <w:r>
        <w:rPr>
          <w:b/>
          <w:bCs/>
          <w:noProof/>
          <w:color w:val="C0A4CE"/>
          <w:lang w:val="en-US"/>
        </w:rPr>
        <w:drawing>
          <wp:anchor distT="0" distB="0" distL="114300" distR="114300" simplePos="0" relativeHeight="255150078" behindDoc="0" locked="0" layoutInCell="1" allowOverlap="1" wp14:anchorId="28959826" wp14:editId="1AB905D2">
            <wp:simplePos x="0" y="0"/>
            <wp:positionH relativeFrom="column">
              <wp:posOffset>-86995</wp:posOffset>
            </wp:positionH>
            <wp:positionV relativeFrom="paragraph">
              <wp:posOffset>1706288</wp:posOffset>
            </wp:positionV>
            <wp:extent cx="1524000" cy="571500"/>
            <wp:effectExtent l="0" t="0" r="0" b="0"/>
            <wp:wrapSquare wrapText="bothSides"/>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 name="Picture 2797"/>
                    <pic:cNvPicPr/>
                  </pic:nvPicPr>
                  <pic:blipFill>
                    <a:blip r:embed="rId1289" cstate="email">
                      <a:extLst>
                        <a:ext uri="{28A0092B-C50C-407E-A947-70E740481C1C}">
                          <a14:useLocalDpi xmlns:a14="http://schemas.microsoft.com/office/drawing/2010/main"/>
                        </a:ext>
                      </a:extLst>
                    </a:blip>
                    <a:stretch>
                      <a:fillRect/>
                    </a:stretch>
                  </pic:blipFill>
                  <pic:spPr>
                    <a:xfrm>
                      <a:off x="0" y="0"/>
                      <a:ext cx="1524000" cy="571500"/>
                    </a:xfrm>
                    <a:prstGeom prst="rect">
                      <a:avLst/>
                    </a:prstGeom>
                  </pic:spPr>
                </pic:pic>
              </a:graphicData>
            </a:graphic>
            <wp14:sizeRelH relativeFrom="page">
              <wp14:pctWidth>0</wp14:pctWidth>
            </wp14:sizeRelH>
            <wp14:sizeRelV relativeFrom="page">
              <wp14:pctHeight>0</wp14:pctHeight>
            </wp14:sizeRelV>
          </wp:anchor>
        </w:drawing>
      </w:r>
      <w:r w:rsidRPr="00E45475">
        <w:rPr>
          <w:rFonts w:ascii="Arial" w:hAnsi="Arial" w:cs="Arial"/>
          <w:sz w:val="24"/>
          <w:szCs w:val="24"/>
        </w:rPr>
        <w:t>The </w:t>
      </w:r>
      <w:hyperlink r:id="rId1290" w:history="1">
        <w:r w:rsidRPr="00E45475">
          <w:rPr>
            <w:rStyle w:val="Hyperlink"/>
            <w:rFonts w:ascii="Arial" w:hAnsi="Arial" w:cs="Arial"/>
            <w:sz w:val="24"/>
            <w:szCs w:val="24"/>
          </w:rPr>
          <w:t>Collaborative Africa Budget Reform Initiative</w:t>
        </w:r>
      </w:hyperlink>
      <w:r w:rsidRPr="00E45475">
        <w:rPr>
          <w:rFonts w:ascii="Arial" w:hAnsi="Arial" w:cs="Arial"/>
          <w:sz w:val="24"/>
          <w:szCs w:val="24"/>
        </w:rPr>
        <w:t xml:space="preserve"> works with African finance and budget ministries in developing and implementing reforms that lead to more functional PFM systems. Naturally this includes a focus on budget transparency and accountability as intrinsic elements of good public financial governance. Additional examples of regional bodies are provided by the </w:t>
      </w:r>
      <w:hyperlink r:id="rId1291" w:history="1">
        <w:r w:rsidRPr="00E45475">
          <w:rPr>
            <w:rFonts w:ascii="Arial" w:hAnsi="Arial" w:cs="Arial"/>
            <w:color w:val="0563C1" w:themeColor="hyperlink"/>
            <w:sz w:val="24"/>
            <w:szCs w:val="24"/>
            <w:u w:val="single"/>
          </w:rPr>
          <w:t>West African Economic and Monetary Union</w:t>
        </w:r>
      </w:hyperlink>
      <w:r w:rsidRPr="00E45475">
        <w:rPr>
          <w:rFonts w:ascii="Arial" w:hAnsi="Arial" w:cs="Arial"/>
          <w:sz w:val="24"/>
          <w:szCs w:val="24"/>
        </w:rPr>
        <w:t xml:space="preserve"> (Benin, Burkina Faso, Guinea Bissau, Ivory Coast, Mali, Niger, Senegal, and Togo) and the </w:t>
      </w:r>
      <w:hyperlink r:id="rId1292" w:anchor=":~:text=The%20Central%20African%20Economic%20and,the%20Congo%20and%20Equatorial%20Guinea.&amp;text=The%20primary%20mission%20of%20CEMAC,framework%20of%20a%20common%20market." w:history="1">
        <w:r w:rsidRPr="00E45475">
          <w:rPr>
            <w:rFonts w:ascii="Arial" w:hAnsi="Arial" w:cs="Arial"/>
            <w:color w:val="0563C1" w:themeColor="hyperlink"/>
            <w:sz w:val="24"/>
            <w:szCs w:val="24"/>
            <w:u w:val="single"/>
          </w:rPr>
          <w:t>Central African Economic and Monetary Community</w:t>
        </w:r>
      </w:hyperlink>
      <w:r w:rsidRPr="00E45475">
        <w:rPr>
          <w:rFonts w:ascii="Arial" w:hAnsi="Arial" w:cs="Arial"/>
          <w:sz w:val="24"/>
          <w:szCs w:val="24"/>
        </w:rPr>
        <w:t xml:space="preserve"> (Cameroon, the Central African Republic, Chad, the Republic of the Congo, Equatorial Guinea, and Gabon), that adopted directives on PFM that included provisions on fiscal transparency. Their gradual implementation has been one of the key drivers of the gains observed in transparency in the region. Many countries translated the provisions of the directives into their national legislation. These include legal adjustments in Benin, Senegal, Mali and Burkina Faso. Also, as reflected in Open Budget Index scores, some countries began to implement the laws</w:t>
      </w:r>
      <w:r w:rsidR="0099547A">
        <w:rPr>
          <w:rStyle w:val="FootnoteReference"/>
          <w:rFonts w:ascii="Arial" w:hAnsi="Arial" w:cs="Arial"/>
          <w:sz w:val="24"/>
          <w:szCs w:val="24"/>
        </w:rPr>
        <w:footnoteReference w:id="102"/>
      </w:r>
      <w:r w:rsidRPr="00E45475">
        <w:rPr>
          <w:rFonts w:ascii="Arial" w:hAnsi="Arial" w:cs="Arial"/>
          <w:sz w:val="24"/>
          <w:szCs w:val="24"/>
        </w:rPr>
        <w:t>. This was facilitated by the significant role played by civil society organizations in the region. Development partners such as the European Union have also been active in promoting transparency in the region.</w:t>
      </w:r>
    </w:p>
    <w:p w14:paraId="5A822364" w14:textId="19843F42" w:rsidR="00F364A6" w:rsidRDefault="00F364A6" w:rsidP="00FB7EBD">
      <w:pPr>
        <w:spacing w:line="276" w:lineRule="auto"/>
        <w:jc w:val="both"/>
        <w:rPr>
          <w:rFonts w:ascii="Arial" w:hAnsi="Arial" w:cs="Arial"/>
          <w:b/>
          <w:bCs/>
          <w:color w:val="C0A4CE"/>
          <w:sz w:val="24"/>
          <w:szCs w:val="24"/>
        </w:rPr>
      </w:pPr>
    </w:p>
    <w:p w14:paraId="582C2575" w14:textId="06A7D069" w:rsidR="00F364A6" w:rsidRDefault="00F364A6" w:rsidP="00FB7EBD">
      <w:pPr>
        <w:spacing w:line="276" w:lineRule="auto"/>
        <w:jc w:val="both"/>
        <w:rPr>
          <w:rFonts w:ascii="Arial" w:hAnsi="Arial" w:cs="Arial"/>
          <w:b/>
          <w:bCs/>
          <w:color w:val="C0A4CE"/>
          <w:sz w:val="24"/>
          <w:szCs w:val="24"/>
        </w:rPr>
      </w:pPr>
    </w:p>
    <w:p w14:paraId="5A1ED2B0" w14:textId="703F128F" w:rsidR="00F364A6" w:rsidRDefault="00F364A6" w:rsidP="00FB7EBD">
      <w:pPr>
        <w:spacing w:line="276" w:lineRule="auto"/>
        <w:jc w:val="both"/>
        <w:rPr>
          <w:rFonts w:ascii="Arial" w:hAnsi="Arial" w:cs="Arial"/>
          <w:b/>
          <w:bCs/>
          <w:color w:val="C0A4CE"/>
          <w:sz w:val="24"/>
          <w:szCs w:val="24"/>
        </w:rPr>
      </w:pPr>
    </w:p>
    <w:p w14:paraId="7E25838E" w14:textId="3B3BF594" w:rsidR="00F364A6" w:rsidRDefault="00F364A6" w:rsidP="00FB7EBD">
      <w:pPr>
        <w:spacing w:line="276" w:lineRule="auto"/>
        <w:jc w:val="both"/>
        <w:rPr>
          <w:rFonts w:ascii="Arial" w:hAnsi="Arial" w:cs="Arial"/>
          <w:b/>
          <w:bCs/>
          <w:color w:val="C0A4CE"/>
          <w:sz w:val="24"/>
          <w:szCs w:val="24"/>
        </w:rPr>
      </w:pPr>
    </w:p>
    <w:p w14:paraId="08E41268" w14:textId="3D4AFC0B" w:rsidR="00691BB1" w:rsidRDefault="00691BB1" w:rsidP="00FB7EBD">
      <w:pPr>
        <w:spacing w:line="276" w:lineRule="auto"/>
        <w:jc w:val="both"/>
        <w:rPr>
          <w:rFonts w:ascii="Arial" w:hAnsi="Arial" w:cs="Arial"/>
          <w:b/>
          <w:bCs/>
          <w:color w:val="C0A4CE"/>
          <w:sz w:val="24"/>
          <w:szCs w:val="24"/>
        </w:rPr>
      </w:pPr>
    </w:p>
    <w:p w14:paraId="00B40997" w14:textId="77777777" w:rsidR="0099547A" w:rsidRDefault="0099547A" w:rsidP="00FB7EBD">
      <w:pPr>
        <w:spacing w:line="276" w:lineRule="auto"/>
        <w:jc w:val="both"/>
        <w:rPr>
          <w:rFonts w:ascii="Arial" w:hAnsi="Arial" w:cs="Arial"/>
          <w:b/>
          <w:bCs/>
          <w:color w:val="C0A4CE"/>
          <w:sz w:val="24"/>
          <w:szCs w:val="24"/>
        </w:rPr>
      </w:pPr>
    </w:p>
    <w:p w14:paraId="70E00489" w14:textId="77777777" w:rsidR="00691BB1" w:rsidRDefault="00691BB1" w:rsidP="00FB7EBD">
      <w:pPr>
        <w:spacing w:line="276" w:lineRule="auto"/>
        <w:jc w:val="both"/>
        <w:rPr>
          <w:rFonts w:ascii="Arial" w:hAnsi="Arial" w:cs="Arial"/>
          <w:b/>
          <w:bCs/>
          <w:color w:val="C0A4CE"/>
          <w:sz w:val="24"/>
          <w:szCs w:val="24"/>
        </w:rPr>
      </w:pPr>
    </w:p>
    <w:p w14:paraId="51A51E36" w14:textId="4B9E86DA" w:rsidR="00F364A6" w:rsidRDefault="00F364A6"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w:lastRenderedPageBreak/>
        <mc:AlternateContent>
          <mc:Choice Requires="wps">
            <w:drawing>
              <wp:anchor distT="0" distB="0" distL="114300" distR="114300" simplePos="0" relativeHeight="254670846" behindDoc="0" locked="0" layoutInCell="1" allowOverlap="1" wp14:anchorId="2201AC3A" wp14:editId="21B6D415">
                <wp:simplePos x="0" y="0"/>
                <wp:positionH relativeFrom="margin">
                  <wp:posOffset>1605017</wp:posOffset>
                </wp:positionH>
                <wp:positionV relativeFrom="paragraph">
                  <wp:posOffset>134511</wp:posOffset>
                </wp:positionV>
                <wp:extent cx="5081721" cy="3124637"/>
                <wp:effectExtent l="12700" t="12700" r="11430" b="12700"/>
                <wp:wrapNone/>
                <wp:docPr id="2602" name="Rounded Rectangle 2602"/>
                <wp:cNvGraphicFramePr/>
                <a:graphic xmlns:a="http://schemas.openxmlformats.org/drawingml/2006/main">
                  <a:graphicData uri="http://schemas.microsoft.com/office/word/2010/wordprocessingShape">
                    <wps:wsp>
                      <wps:cNvSpPr/>
                      <wps:spPr>
                        <a:xfrm>
                          <a:off x="0" y="0"/>
                          <a:ext cx="5081721" cy="3124637"/>
                        </a:xfrm>
                        <a:prstGeom prst="roundRect">
                          <a:avLst>
                            <a:gd name="adj" fmla="val 7235"/>
                          </a:avLst>
                        </a:prstGeom>
                        <a:noFill/>
                        <a:ln w="28575">
                          <a:solidFill>
                            <a:srgbClr val="E1CB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7D0B8FCC" id="Rounded Rectangle 2602" o:spid="_x0000_s1026" style="position:absolute;margin-left:126.4pt;margin-top:10.6pt;width:400.15pt;height:246.05pt;z-index:2546708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7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" filled="f" strokecolor="#e1cbef" strokeweight="2.25pt">
                <v:stroke joinstyle="miter"/>
                <w10:wrap anchorx="margin"/>
              </v:roundrect>
            </w:pict>
          </mc:Fallback>
        </mc:AlternateContent>
      </w:r>
    </w:p>
    <w:p w14:paraId="5A55D950" w14:textId="24E64032" w:rsidR="00F364A6" w:rsidRDefault="006E0E14"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mc:AlternateContent>
          <mc:Choice Requires="wps">
            <w:drawing>
              <wp:anchor distT="0" distB="0" distL="114300" distR="114300" simplePos="0" relativeHeight="254672894" behindDoc="0" locked="0" layoutInCell="1" allowOverlap="1" wp14:anchorId="78E9305D" wp14:editId="01CCC681">
                <wp:simplePos x="0" y="0"/>
                <wp:positionH relativeFrom="margin">
                  <wp:posOffset>1588135</wp:posOffset>
                </wp:positionH>
                <wp:positionV relativeFrom="paragraph">
                  <wp:posOffset>62121</wp:posOffset>
                </wp:positionV>
                <wp:extent cx="4953723" cy="2900855"/>
                <wp:effectExtent l="0" t="0" r="0" b="0"/>
                <wp:wrapNone/>
                <wp:docPr id="2603" name="Text Box 2603"/>
                <wp:cNvGraphicFramePr/>
                <a:graphic xmlns:a="http://schemas.openxmlformats.org/drawingml/2006/main">
                  <a:graphicData uri="http://schemas.microsoft.com/office/word/2010/wordprocessingShape">
                    <wps:wsp>
                      <wps:cNvSpPr txBox="1"/>
                      <wps:spPr>
                        <a:xfrm>
                          <a:off x="0" y="0"/>
                          <a:ext cx="4953723" cy="2900855"/>
                        </a:xfrm>
                        <a:prstGeom prst="rect">
                          <a:avLst/>
                        </a:prstGeom>
                        <a:noFill/>
                        <a:ln w="6350">
                          <a:noFill/>
                        </a:ln>
                      </wps:spPr>
                      <wps:txbx>
                        <w:txbxContent>
                          <w:p w14:paraId="6E8EF17A" w14:textId="77777777" w:rsidR="00D15FD8" w:rsidRPr="00DE3BD8" w:rsidRDefault="00D15FD8" w:rsidP="009820E7">
                            <w:pPr>
                              <w:spacing w:line="276" w:lineRule="auto"/>
                              <w:ind w:left="360"/>
                              <w:jc w:val="both"/>
                              <w:rPr>
                                <w:rFonts w:ascii="Arial" w:eastAsia="Calibri" w:hAnsi="Arial" w:cs="Arial"/>
                                <w:i/>
                                <w:color w:val="404040" w:themeColor="text1" w:themeTint="BF"/>
                                <w:sz w:val="24"/>
                                <w:szCs w:val="24"/>
                              </w:rPr>
                            </w:pPr>
                            <w:r w:rsidRPr="00DE3BD8">
                              <w:rPr>
                                <w:rFonts w:ascii="Arial" w:hAnsi="Arial" w:cs="Arial"/>
                                <w:sz w:val="24"/>
                                <w:szCs w:val="24"/>
                              </w:rPr>
                              <w:t xml:space="preserve">The </w:t>
                            </w:r>
                            <w:hyperlink r:id="rId1293" w:history="1">
                              <w:r w:rsidRPr="00DE3BD8">
                                <w:rPr>
                                  <w:rFonts w:ascii="Arial" w:hAnsi="Arial" w:cs="Arial"/>
                                  <w:color w:val="0563C1" w:themeColor="hyperlink"/>
                                  <w:sz w:val="24"/>
                                  <w:szCs w:val="24"/>
                                  <w:u w:val="single"/>
                                </w:rPr>
                                <w:t>GIFT</w:t>
                              </w:r>
                            </w:hyperlink>
                            <w:r w:rsidRPr="00DE3BD8">
                              <w:rPr>
                                <w:rFonts w:ascii="Arial" w:hAnsi="Arial" w:cs="Arial"/>
                                <w:sz w:val="24"/>
                                <w:szCs w:val="24"/>
                              </w:rPr>
                              <w:t xml:space="preserve"> network provides access to collaborative assistance and peer learning for fiscal transparency, bringing together ministries of finance, </w:t>
                            </w:r>
                            <w:r w:rsidRPr="00DE3BD8">
                              <w:rPr>
                                <w:rFonts w:ascii="Arial" w:hAnsi="Arial" w:cs="Arial"/>
                                <w:sz w:val="24"/>
                                <w:szCs w:val="24"/>
                                <w:lang w:val="en-ZA"/>
                              </w:rPr>
                              <w:t>civil society organizations,</w:t>
                            </w:r>
                            <w:r w:rsidRPr="00DE3BD8">
                              <w:rPr>
                                <w:rFonts w:ascii="Arial" w:hAnsi="Arial" w:cs="Arial"/>
                                <w:sz w:val="24"/>
                                <w:szCs w:val="24"/>
                              </w:rPr>
                              <w:t xml:space="preserve"> and international financial organizations in a non-contractual trustworthy environment promoting trust among peers to collaborate in the sharing of knowledge and tools. It enables economies of scale in advancing the agenda, providing good practices in the form of among others, developed processes, methodologies and tools. Tools developed by it stress the need for user-focused fiscal transparency, such that fiscal transparency doesn’t just meet technical requirements but is meaningful. It also shows the benefits of fiscal transparency in practice, providing possibilities and aspirations for members and partners of the network, creating a race to the top leading to innovation and sustained gains. </w:t>
                            </w:r>
                          </w:p>
                          <w:p w14:paraId="7BDE4FD4" w14:textId="77777777" w:rsidR="00D15FD8" w:rsidRDefault="00D15FD8" w:rsidP="009954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9305D" id="Text Box 2603" o:spid="_x0000_s1704" type="#_x0000_t202" style="position:absolute;left:0;text-align:left;margin-left:125.05pt;margin-top:4.9pt;width:390.05pt;height:228.4pt;z-index:2546728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" filled="f" stroked="f" strokeweight=".5pt">
                <v:textbox>
                  <w:txbxContent>
                    <w:p w14:paraId="6E8EF17A" w14:textId="77777777" w:rsidR="00D15FD8" w:rsidRPr="00DE3BD8" w:rsidRDefault="00D15FD8" w:rsidP="009820E7">
                      <w:pPr>
                        <w:spacing w:line="276" w:lineRule="auto"/>
                        <w:ind w:left="360"/>
                        <w:jc w:val="both"/>
                        <w:rPr>
                          <w:rFonts w:ascii="Arial" w:eastAsia="Calibri" w:hAnsi="Arial" w:cs="Arial"/>
                          <w:i/>
                          <w:color w:val="404040" w:themeColor="text1" w:themeTint="BF"/>
                          <w:sz w:val="24"/>
                          <w:szCs w:val="24"/>
                        </w:rPr>
                      </w:pPr>
                      <w:r w:rsidRPr="00DE3BD8">
                        <w:rPr>
                          <w:rFonts w:ascii="Arial" w:hAnsi="Arial" w:cs="Arial"/>
                          <w:sz w:val="24"/>
                          <w:szCs w:val="24"/>
                        </w:rPr>
                        <w:t xml:space="preserve">The </w:t>
                      </w:r>
                      <w:hyperlink r:id="rId1294" w:history="1">
                        <w:r w:rsidRPr="00DE3BD8">
                          <w:rPr>
                            <w:rFonts w:ascii="Arial" w:hAnsi="Arial" w:cs="Arial"/>
                            <w:color w:val="0563C1" w:themeColor="hyperlink"/>
                            <w:sz w:val="24"/>
                            <w:szCs w:val="24"/>
                            <w:u w:val="single"/>
                          </w:rPr>
                          <w:t>GIFT</w:t>
                        </w:r>
                      </w:hyperlink>
                      <w:r w:rsidRPr="00DE3BD8">
                        <w:rPr>
                          <w:rFonts w:ascii="Arial" w:hAnsi="Arial" w:cs="Arial"/>
                          <w:sz w:val="24"/>
                          <w:szCs w:val="24"/>
                        </w:rPr>
                        <w:t xml:space="preserve"> network provides access to collaborative assistance and peer learning for fiscal transparency, bringing together ministries of finance, </w:t>
                      </w:r>
                      <w:r w:rsidRPr="00DE3BD8">
                        <w:rPr>
                          <w:rFonts w:ascii="Arial" w:hAnsi="Arial" w:cs="Arial"/>
                          <w:sz w:val="24"/>
                          <w:szCs w:val="24"/>
                          <w:lang w:val="en-ZA"/>
                        </w:rPr>
                        <w:t>civil society organizations,</w:t>
                      </w:r>
                      <w:r w:rsidRPr="00DE3BD8">
                        <w:rPr>
                          <w:rFonts w:ascii="Arial" w:hAnsi="Arial" w:cs="Arial"/>
                          <w:sz w:val="24"/>
                          <w:szCs w:val="24"/>
                        </w:rPr>
                        <w:t xml:space="preserve"> and international financial organizations in a non-contractual trustworthy environment promoting trust among peers to collaborate in the sharing of knowledge and tools. It enables economies of scale in advancing the agenda, providing good practices in the form of among others, developed processes, methodologies and tools. Tools developed by it stress the need for user-focused fiscal transparency, such that fiscal transparency doesn’t just meet technical requirements but is meaningful. It also shows the benefits of fiscal transparency in practice, providing possibilities and aspirations for members and partners of the network, creating a race to the top leading to innovation and sustained gains. </w:t>
                      </w:r>
                    </w:p>
                    <w:p w14:paraId="7BDE4FD4" w14:textId="77777777" w:rsidR="00D15FD8" w:rsidRDefault="00D15FD8" w:rsidP="0099547A"/>
                  </w:txbxContent>
                </v:textbox>
                <w10:wrap anchorx="margin"/>
              </v:shape>
            </w:pict>
          </mc:Fallback>
        </mc:AlternateContent>
      </w:r>
    </w:p>
    <w:p w14:paraId="5C0AE6C2" w14:textId="0E048B47" w:rsidR="00F364A6" w:rsidRDefault="00F364A6" w:rsidP="00FB7EBD">
      <w:pPr>
        <w:spacing w:line="276" w:lineRule="auto"/>
        <w:jc w:val="both"/>
        <w:rPr>
          <w:rFonts w:ascii="Arial" w:hAnsi="Arial" w:cs="Arial"/>
          <w:b/>
          <w:bCs/>
          <w:color w:val="C0A4CE"/>
          <w:sz w:val="24"/>
          <w:szCs w:val="24"/>
        </w:rPr>
      </w:pPr>
    </w:p>
    <w:p w14:paraId="1C288D91" w14:textId="3A850AF3" w:rsidR="00F364A6" w:rsidRDefault="00F364A6" w:rsidP="00FB7EBD">
      <w:pPr>
        <w:spacing w:line="276" w:lineRule="auto"/>
        <w:jc w:val="both"/>
        <w:rPr>
          <w:rFonts w:ascii="Arial" w:hAnsi="Arial" w:cs="Arial"/>
          <w:b/>
          <w:bCs/>
          <w:color w:val="C0A4CE"/>
          <w:sz w:val="24"/>
          <w:szCs w:val="24"/>
        </w:rPr>
      </w:pPr>
    </w:p>
    <w:p w14:paraId="1E499A69" w14:textId="4A90309C" w:rsidR="00F364A6" w:rsidRDefault="00F364A6" w:rsidP="00FB7EBD">
      <w:pPr>
        <w:spacing w:line="276" w:lineRule="auto"/>
        <w:jc w:val="both"/>
        <w:rPr>
          <w:rFonts w:ascii="Arial" w:hAnsi="Arial" w:cs="Arial"/>
          <w:b/>
          <w:bCs/>
          <w:color w:val="C0A4CE"/>
          <w:sz w:val="24"/>
          <w:szCs w:val="24"/>
        </w:rPr>
      </w:pPr>
    </w:p>
    <w:p w14:paraId="35FDEDEE" w14:textId="5201067A" w:rsidR="00F364A6" w:rsidRDefault="0099547A"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w:drawing>
          <wp:anchor distT="0" distB="0" distL="114300" distR="114300" simplePos="0" relativeHeight="255151102" behindDoc="0" locked="0" layoutInCell="1" allowOverlap="1" wp14:anchorId="0C284DFB" wp14:editId="3B54F7B0">
            <wp:simplePos x="0" y="0"/>
            <wp:positionH relativeFrom="column">
              <wp:posOffset>-15240</wp:posOffset>
            </wp:positionH>
            <wp:positionV relativeFrom="paragraph">
              <wp:posOffset>168384</wp:posOffset>
            </wp:positionV>
            <wp:extent cx="1402715" cy="900430"/>
            <wp:effectExtent l="0" t="0" r="0" b="1270"/>
            <wp:wrapSquare wrapText="bothSides"/>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 name="Picture 2798"/>
                    <pic:cNvPicPr/>
                  </pic:nvPicPr>
                  <pic:blipFill>
                    <a:blip r:embed="rId1295" cstate="email">
                      <a:extLst>
                        <a:ext uri="{28A0092B-C50C-407E-A947-70E740481C1C}">
                          <a14:useLocalDpi xmlns:a14="http://schemas.microsoft.com/office/drawing/2010/main"/>
                        </a:ext>
                      </a:extLst>
                    </a:blip>
                    <a:stretch>
                      <a:fillRect/>
                    </a:stretch>
                  </pic:blipFill>
                  <pic:spPr>
                    <a:xfrm>
                      <a:off x="0" y="0"/>
                      <a:ext cx="1402715" cy="900430"/>
                    </a:xfrm>
                    <a:prstGeom prst="rect">
                      <a:avLst/>
                    </a:prstGeom>
                  </pic:spPr>
                </pic:pic>
              </a:graphicData>
            </a:graphic>
            <wp14:sizeRelH relativeFrom="page">
              <wp14:pctWidth>0</wp14:pctWidth>
            </wp14:sizeRelH>
            <wp14:sizeRelV relativeFrom="page">
              <wp14:pctHeight>0</wp14:pctHeight>
            </wp14:sizeRelV>
          </wp:anchor>
        </w:drawing>
      </w:r>
    </w:p>
    <w:p w14:paraId="4F50B054" w14:textId="13AC3F31" w:rsidR="00F364A6" w:rsidRDefault="00F364A6" w:rsidP="00FB7EBD">
      <w:pPr>
        <w:spacing w:line="276" w:lineRule="auto"/>
        <w:jc w:val="both"/>
        <w:rPr>
          <w:rFonts w:ascii="Arial" w:hAnsi="Arial" w:cs="Arial"/>
          <w:b/>
          <w:bCs/>
          <w:color w:val="C0A4CE"/>
          <w:sz w:val="24"/>
          <w:szCs w:val="24"/>
        </w:rPr>
      </w:pPr>
    </w:p>
    <w:p w14:paraId="63C94324" w14:textId="3365E0A4" w:rsidR="00F364A6" w:rsidRDefault="00F364A6" w:rsidP="00FB7EBD">
      <w:pPr>
        <w:spacing w:line="276" w:lineRule="auto"/>
        <w:jc w:val="both"/>
        <w:rPr>
          <w:rFonts w:ascii="Arial" w:hAnsi="Arial" w:cs="Arial"/>
          <w:b/>
          <w:bCs/>
          <w:color w:val="C0A4CE"/>
          <w:sz w:val="24"/>
          <w:szCs w:val="24"/>
        </w:rPr>
      </w:pPr>
    </w:p>
    <w:p w14:paraId="14AED0F5" w14:textId="06FABDB9" w:rsidR="00F364A6" w:rsidRDefault="00F364A6" w:rsidP="00FB7EBD">
      <w:pPr>
        <w:spacing w:line="276" w:lineRule="auto"/>
        <w:jc w:val="both"/>
        <w:rPr>
          <w:rFonts w:ascii="Arial" w:hAnsi="Arial" w:cs="Arial"/>
          <w:b/>
          <w:bCs/>
          <w:color w:val="C0A4CE"/>
          <w:sz w:val="24"/>
          <w:szCs w:val="24"/>
        </w:rPr>
      </w:pPr>
    </w:p>
    <w:p w14:paraId="4F7A8887" w14:textId="7B791212" w:rsidR="00F364A6" w:rsidRDefault="00F364A6" w:rsidP="00FB7EBD">
      <w:pPr>
        <w:spacing w:line="276" w:lineRule="auto"/>
        <w:jc w:val="both"/>
        <w:rPr>
          <w:rFonts w:ascii="Arial" w:hAnsi="Arial" w:cs="Arial"/>
          <w:b/>
          <w:bCs/>
          <w:color w:val="C0A4CE"/>
          <w:sz w:val="24"/>
          <w:szCs w:val="24"/>
        </w:rPr>
      </w:pPr>
    </w:p>
    <w:p w14:paraId="33C5076A" w14:textId="44B16E4C" w:rsidR="00F364A6" w:rsidRDefault="00F364A6" w:rsidP="00FB7EBD">
      <w:pPr>
        <w:spacing w:line="276" w:lineRule="auto"/>
        <w:jc w:val="both"/>
        <w:rPr>
          <w:rFonts w:ascii="Arial" w:hAnsi="Arial" w:cs="Arial"/>
          <w:b/>
          <w:bCs/>
          <w:color w:val="C0A4CE"/>
          <w:sz w:val="24"/>
          <w:szCs w:val="24"/>
        </w:rPr>
      </w:pPr>
    </w:p>
    <w:p w14:paraId="0B5609C5" w14:textId="7EC179FE" w:rsidR="00F364A6" w:rsidRDefault="00F364A6" w:rsidP="00FB7EBD">
      <w:pPr>
        <w:spacing w:line="276" w:lineRule="auto"/>
        <w:jc w:val="both"/>
        <w:rPr>
          <w:rFonts w:ascii="Arial" w:hAnsi="Arial" w:cs="Arial"/>
          <w:b/>
          <w:bCs/>
          <w:color w:val="C0A4CE"/>
          <w:sz w:val="24"/>
          <w:szCs w:val="24"/>
        </w:rPr>
      </w:pPr>
    </w:p>
    <w:p w14:paraId="5F7204A6" w14:textId="34294C6A" w:rsidR="00F364A6" w:rsidRDefault="00F364A6" w:rsidP="00FB7EBD">
      <w:pPr>
        <w:spacing w:line="276" w:lineRule="auto"/>
        <w:jc w:val="both"/>
        <w:rPr>
          <w:rFonts w:ascii="Arial" w:hAnsi="Arial" w:cs="Arial"/>
          <w:b/>
          <w:bCs/>
          <w:color w:val="C0A4CE"/>
          <w:sz w:val="24"/>
          <w:szCs w:val="24"/>
        </w:rPr>
      </w:pPr>
    </w:p>
    <w:p w14:paraId="3C30859E" w14:textId="77777777" w:rsidR="00344B9B" w:rsidRDefault="00344B9B" w:rsidP="00FB7EBD">
      <w:pPr>
        <w:spacing w:line="276" w:lineRule="auto"/>
        <w:jc w:val="both"/>
        <w:rPr>
          <w:rFonts w:ascii="Arial" w:hAnsi="Arial" w:cs="Arial"/>
          <w:b/>
          <w:bCs/>
          <w:color w:val="C0A4CE"/>
          <w:sz w:val="24"/>
          <w:szCs w:val="24"/>
        </w:rPr>
      </w:pPr>
    </w:p>
    <w:p w14:paraId="12FF4CE6" w14:textId="1336718A" w:rsidR="00344B9B" w:rsidRDefault="00344B9B" w:rsidP="00FB7EBD">
      <w:pPr>
        <w:spacing w:line="276" w:lineRule="auto"/>
        <w:jc w:val="both"/>
        <w:rPr>
          <w:rFonts w:ascii="Arial" w:hAnsi="Arial" w:cs="Arial"/>
          <w:b/>
          <w:bCs/>
          <w:color w:val="C0A4CE"/>
          <w:sz w:val="24"/>
          <w:szCs w:val="24"/>
        </w:rPr>
      </w:pPr>
    </w:p>
    <w:p w14:paraId="2AAE78CD" w14:textId="025D16C2" w:rsidR="00F91E05" w:rsidRDefault="00F91E05" w:rsidP="00FB7EBD">
      <w:pPr>
        <w:spacing w:line="276" w:lineRule="auto"/>
        <w:jc w:val="both"/>
        <w:rPr>
          <w:rFonts w:ascii="Arial" w:hAnsi="Arial" w:cs="Arial"/>
          <w:b/>
          <w:bCs/>
          <w:color w:val="C0A4CE"/>
          <w:sz w:val="24"/>
          <w:szCs w:val="24"/>
        </w:rPr>
      </w:pPr>
    </w:p>
    <w:p w14:paraId="353F8414" w14:textId="77777777" w:rsidR="00F91E05" w:rsidRDefault="00F91E05" w:rsidP="00FB7EBD">
      <w:pPr>
        <w:spacing w:line="276" w:lineRule="auto"/>
        <w:jc w:val="both"/>
        <w:rPr>
          <w:rFonts w:ascii="Arial" w:hAnsi="Arial" w:cs="Arial"/>
          <w:b/>
          <w:bCs/>
          <w:color w:val="C0A4CE"/>
          <w:sz w:val="24"/>
          <w:szCs w:val="24"/>
        </w:rPr>
      </w:pPr>
    </w:p>
    <w:p w14:paraId="2F655EDE" w14:textId="1B9A8C26" w:rsidR="00F364A6" w:rsidRDefault="006E0E14" w:rsidP="00FB7EBD">
      <w:pPr>
        <w:spacing w:line="276" w:lineRule="auto"/>
        <w:jc w:val="both"/>
        <w:rPr>
          <w:rFonts w:ascii="Arial" w:hAnsi="Arial" w:cs="Arial"/>
          <w:b/>
          <w:bCs/>
          <w:color w:val="C0A4CE"/>
          <w:sz w:val="24"/>
          <w:szCs w:val="24"/>
        </w:rPr>
      </w:pPr>
      <w:r>
        <w:rPr>
          <w:rFonts w:ascii="Arial" w:hAnsi="Arial" w:cs="Arial"/>
          <w:b/>
          <w:bCs/>
          <w:noProof/>
          <w:color w:val="C0A4CE"/>
          <w:sz w:val="24"/>
          <w:szCs w:val="24"/>
          <w:lang w:val="en-US"/>
        </w:rPr>
        <w:drawing>
          <wp:anchor distT="0" distB="0" distL="114300" distR="114300" simplePos="0" relativeHeight="254673918" behindDoc="0" locked="0" layoutInCell="1" allowOverlap="1" wp14:anchorId="552E853E" wp14:editId="69A217A8">
            <wp:simplePos x="0" y="0"/>
            <wp:positionH relativeFrom="column">
              <wp:posOffset>0</wp:posOffset>
            </wp:positionH>
            <wp:positionV relativeFrom="paragraph">
              <wp:posOffset>5080</wp:posOffset>
            </wp:positionV>
            <wp:extent cx="2520000" cy="630000"/>
            <wp:effectExtent l="0" t="0" r="0" b="0"/>
            <wp:wrapSquare wrapText="bothSides"/>
            <wp:docPr id="2604" name="Picture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 name="Picture 2604"/>
                    <pic:cNvPicPr/>
                  </pic:nvPicPr>
                  <pic:blipFill>
                    <a:blip r:embed="rId1296" cstate="email">
                      <a:extLst>
                        <a:ext uri="{28A0092B-C50C-407E-A947-70E740481C1C}">
                          <a14:useLocalDpi xmlns:a14="http://schemas.microsoft.com/office/drawing/2010/main"/>
                        </a:ext>
                      </a:extLst>
                    </a:blip>
                    <a:stretch>
                      <a:fillRect/>
                    </a:stretch>
                  </pic:blipFill>
                  <pic:spPr>
                    <a:xfrm>
                      <a:off x="0" y="0"/>
                      <a:ext cx="2520000" cy="630000"/>
                    </a:xfrm>
                    <a:prstGeom prst="rect">
                      <a:avLst/>
                    </a:prstGeom>
                  </pic:spPr>
                </pic:pic>
              </a:graphicData>
            </a:graphic>
            <wp14:sizeRelH relativeFrom="page">
              <wp14:pctWidth>0</wp14:pctWidth>
            </wp14:sizeRelH>
            <wp14:sizeRelV relativeFrom="page">
              <wp14:pctHeight>0</wp14:pctHeight>
            </wp14:sizeRelV>
          </wp:anchor>
        </w:drawing>
      </w:r>
    </w:p>
    <w:p w14:paraId="53E93D0B" w14:textId="7B011FD0" w:rsidR="00F364A6" w:rsidRDefault="00F364A6" w:rsidP="00FB7EBD">
      <w:pPr>
        <w:spacing w:line="276" w:lineRule="auto"/>
        <w:jc w:val="both"/>
        <w:rPr>
          <w:rFonts w:ascii="Arial" w:hAnsi="Arial" w:cs="Arial"/>
          <w:b/>
          <w:bCs/>
          <w:color w:val="C0A4CE"/>
          <w:sz w:val="24"/>
          <w:szCs w:val="24"/>
        </w:rPr>
      </w:pPr>
    </w:p>
    <w:p w14:paraId="752E7B20" w14:textId="77777777" w:rsidR="00F91E05" w:rsidRDefault="00F91E05" w:rsidP="00FB7EBD">
      <w:pPr>
        <w:spacing w:line="276" w:lineRule="auto"/>
        <w:jc w:val="both"/>
        <w:rPr>
          <w:rFonts w:ascii="Arial" w:hAnsi="Arial" w:cs="Arial"/>
          <w:b/>
          <w:bCs/>
          <w:color w:val="C0A4CE"/>
          <w:sz w:val="24"/>
          <w:szCs w:val="24"/>
        </w:rPr>
      </w:pPr>
    </w:p>
    <w:p w14:paraId="304C7E01" w14:textId="7C4A92B6" w:rsidR="00FB7EBD" w:rsidRDefault="00FB7EBD" w:rsidP="00FB7EBD">
      <w:pPr>
        <w:tabs>
          <w:tab w:val="left" w:pos="2920"/>
        </w:tabs>
        <w:spacing w:line="276" w:lineRule="auto"/>
        <w:rPr>
          <w:rFonts w:ascii="Arial" w:hAnsi="Arial" w:cs="Arial"/>
          <w:sz w:val="24"/>
          <w:szCs w:val="24"/>
          <w:lang w:val="en-US"/>
        </w:rPr>
      </w:pPr>
    </w:p>
    <w:p w14:paraId="2B4482CE" w14:textId="77777777" w:rsidR="006E0E14" w:rsidRPr="0004307B" w:rsidRDefault="006E0E14" w:rsidP="00EB2A7C">
      <w:pPr>
        <w:rPr>
          <w:rFonts w:ascii="Arial" w:hAnsi="Arial" w:cs="Arial"/>
          <w:b/>
          <w:bCs/>
          <w:iCs/>
          <w:color w:val="16988A"/>
          <w:sz w:val="24"/>
          <w:szCs w:val="24"/>
        </w:rPr>
      </w:pPr>
      <w:r w:rsidRPr="0004307B">
        <w:rPr>
          <w:rFonts w:ascii="Arial" w:hAnsi="Arial" w:cs="Arial"/>
          <w:b/>
          <w:bCs/>
          <w:iCs/>
          <w:color w:val="16988A"/>
          <w:sz w:val="24"/>
          <w:szCs w:val="24"/>
        </w:rPr>
        <w:t>Design reforms, ensuring that local context is provided for</w:t>
      </w:r>
    </w:p>
    <w:p w14:paraId="53EB4D65" w14:textId="68017761" w:rsidR="006E0E14" w:rsidRDefault="006E0E14" w:rsidP="00FB7EBD">
      <w:pPr>
        <w:tabs>
          <w:tab w:val="left" w:pos="2920"/>
        </w:tabs>
        <w:spacing w:line="276" w:lineRule="auto"/>
        <w:rPr>
          <w:rFonts w:ascii="Arial" w:hAnsi="Arial" w:cs="Arial"/>
          <w:sz w:val="24"/>
          <w:szCs w:val="24"/>
          <w:lang w:val="en-US"/>
        </w:rPr>
      </w:pPr>
    </w:p>
    <w:p w14:paraId="44C75EDD" w14:textId="1B4DA13A" w:rsidR="006E0E14" w:rsidRPr="00EB2A7C" w:rsidRDefault="00BD572B" w:rsidP="00EB2A7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5152126" behindDoc="0" locked="0" layoutInCell="1" allowOverlap="1" wp14:anchorId="74D6B57C" wp14:editId="1A42CA40">
            <wp:simplePos x="0" y="0"/>
            <wp:positionH relativeFrom="column">
              <wp:posOffset>0</wp:posOffset>
            </wp:positionH>
            <wp:positionV relativeFrom="paragraph">
              <wp:posOffset>-7620</wp:posOffset>
            </wp:positionV>
            <wp:extent cx="1744980" cy="2112010"/>
            <wp:effectExtent l="0" t="0" r="0" b="0"/>
            <wp:wrapSquare wrapText="bothSides"/>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Picture 2799"/>
                    <pic:cNvPicPr/>
                  </pic:nvPicPr>
                  <pic:blipFill rotWithShape="1">
                    <a:blip r:embed="rId1297" cstate="email">
                      <a:extLst>
                        <a:ext uri="{28A0092B-C50C-407E-A947-70E740481C1C}">
                          <a14:useLocalDpi xmlns:a14="http://schemas.microsoft.com/office/drawing/2010/main"/>
                        </a:ext>
                      </a:extLst>
                    </a:blip>
                    <a:srcRect l="34170" t="36085" r="34283" b="36895"/>
                    <a:stretch/>
                  </pic:blipFill>
                  <pic:spPr bwMode="auto">
                    <a:xfrm>
                      <a:off x="0" y="0"/>
                      <a:ext cx="1744980" cy="2112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E14" w:rsidRPr="00EB2A7C">
        <w:rPr>
          <w:rFonts w:ascii="Arial" w:hAnsi="Arial" w:cs="Arial"/>
          <w:sz w:val="24"/>
          <w:szCs w:val="24"/>
        </w:rPr>
        <w:t>Studies</w:t>
      </w:r>
      <w:r w:rsidR="006E0E14" w:rsidRPr="00EB2A7C">
        <w:rPr>
          <w:rFonts w:ascii="Arial" w:hAnsi="Arial" w:cs="Arial"/>
          <w:sz w:val="24"/>
          <w:szCs w:val="24"/>
          <w:vertAlign w:val="superscript"/>
        </w:rPr>
        <w:footnoteReference w:id="103"/>
      </w:r>
      <w:r w:rsidR="006E0E14" w:rsidRPr="00EB2A7C">
        <w:rPr>
          <w:rFonts w:ascii="Arial" w:hAnsi="Arial" w:cs="Arial"/>
          <w:sz w:val="24"/>
          <w:szCs w:val="24"/>
        </w:rPr>
        <w:t xml:space="preserve"> have shown that a reason that reforms may not have been successful is due to country contextual factors frequently being overlooked. This has frequently been seen when reforms successfully implemented in countries, typically developed countries, are applied to other countries regardless of their specific problems and contexts. There are, however, no uniformly applicable reform instruments, what works in one country may not be appropriate or desirable in another country. Successful reforms applied to diverse country contexts are likely to require not only different technical solutions, but also the actors in the fiscal ecosystem to undertake distinct actions over time, based on windows of opportunity and customised priorities.</w:t>
      </w:r>
    </w:p>
    <w:p w14:paraId="2F8F106A" w14:textId="77777777" w:rsidR="006E0E14" w:rsidRPr="00EB2A7C" w:rsidRDefault="006E0E14" w:rsidP="00EB2A7C">
      <w:pPr>
        <w:spacing w:line="276" w:lineRule="auto"/>
        <w:jc w:val="both"/>
        <w:rPr>
          <w:rFonts w:ascii="Arial" w:hAnsi="Arial" w:cs="Arial"/>
          <w:sz w:val="24"/>
          <w:szCs w:val="24"/>
        </w:rPr>
      </w:pPr>
    </w:p>
    <w:p w14:paraId="1BFB2203" w14:textId="7D0D5352" w:rsidR="006E0E14" w:rsidRPr="00EB2A7C" w:rsidRDefault="006E0E14" w:rsidP="00EB2A7C">
      <w:pPr>
        <w:spacing w:line="276" w:lineRule="auto"/>
        <w:jc w:val="both"/>
        <w:rPr>
          <w:rFonts w:ascii="Arial" w:hAnsi="Arial" w:cs="Arial"/>
          <w:sz w:val="24"/>
          <w:szCs w:val="24"/>
          <w:lang w:val="en-ZA"/>
        </w:rPr>
      </w:pPr>
      <w:r w:rsidRPr="00EB2A7C">
        <w:rPr>
          <w:rFonts w:ascii="Arial" w:hAnsi="Arial" w:cs="Arial"/>
          <w:sz w:val="24"/>
          <w:szCs w:val="24"/>
        </w:rPr>
        <w:t xml:space="preserve">At the outset of designing reforms, transparency strengths and weaknesses should be identified to define the problem. The underlying technical and non-technical causes of strengths and weaknesses should be determined. Having a better understanding of the underlying causes or issues </w:t>
      </w:r>
      <w:r w:rsidRPr="00EB2A7C">
        <w:rPr>
          <w:rFonts w:ascii="Arial" w:hAnsi="Arial" w:cs="Arial"/>
          <w:sz w:val="24"/>
          <w:szCs w:val="24"/>
          <w:lang w:val="en-ZA"/>
        </w:rPr>
        <w:t xml:space="preserve">that are hindering transparency </w:t>
      </w:r>
      <w:r w:rsidRPr="00EB2A7C">
        <w:rPr>
          <w:rFonts w:ascii="Arial" w:hAnsi="Arial" w:cs="Arial"/>
          <w:sz w:val="24"/>
          <w:szCs w:val="24"/>
        </w:rPr>
        <w:t xml:space="preserve">will enable </w:t>
      </w:r>
      <w:r w:rsidRPr="00EB2A7C">
        <w:rPr>
          <w:rFonts w:ascii="Arial" w:hAnsi="Arial" w:cs="Arial"/>
          <w:sz w:val="24"/>
          <w:szCs w:val="24"/>
          <w:lang w:val="en-ZA"/>
        </w:rPr>
        <w:t xml:space="preserve">the different actors of the PFM governance system, particularly the reform team, to identify which of these causes can be addressed and in </w:t>
      </w:r>
      <w:r w:rsidRPr="00EB2A7C">
        <w:rPr>
          <w:rFonts w:ascii="Arial" w:hAnsi="Arial" w:cs="Arial"/>
          <w:sz w:val="24"/>
          <w:szCs w:val="24"/>
          <w:lang w:val="en-ZA"/>
        </w:rPr>
        <w:lastRenderedPageBreak/>
        <w:t>what time frame</w:t>
      </w:r>
      <w:r w:rsidRPr="00EB2A7C">
        <w:rPr>
          <w:rFonts w:ascii="Arial" w:hAnsi="Arial" w:cs="Arial"/>
          <w:sz w:val="24"/>
          <w:szCs w:val="24"/>
        </w:rPr>
        <w:t>. Some of the underlying causes that are technical or process oriented may be resolved quickly. Others, particularly long-standing political constraints, may take significantly longer to overcome.</w:t>
      </w:r>
      <w:r w:rsidR="00303BD9">
        <w:rPr>
          <w:rFonts w:ascii="Arial" w:hAnsi="Arial" w:cs="Arial"/>
          <w:sz w:val="24"/>
          <w:szCs w:val="24"/>
        </w:rPr>
        <w:t xml:space="preserve"> </w:t>
      </w:r>
      <w:r w:rsidRPr="00EB2A7C">
        <w:rPr>
          <w:rFonts w:ascii="Arial" w:hAnsi="Arial" w:cs="Arial"/>
          <w:sz w:val="24"/>
          <w:szCs w:val="24"/>
        </w:rPr>
        <w:t>Reformers should lead on the identification of problems to be resolved, the defining of fiscal transparency objectives, as well as the</w:t>
      </w:r>
      <w:r w:rsidRPr="00EB2A7C" w:rsidDel="001968F3">
        <w:rPr>
          <w:rFonts w:ascii="Arial" w:hAnsi="Arial" w:cs="Arial"/>
          <w:sz w:val="24"/>
          <w:szCs w:val="24"/>
        </w:rPr>
        <w:t xml:space="preserve"> </w:t>
      </w:r>
      <w:r w:rsidRPr="00EB2A7C">
        <w:rPr>
          <w:rFonts w:ascii="Arial" w:hAnsi="Arial" w:cs="Arial"/>
          <w:sz w:val="24"/>
          <w:szCs w:val="24"/>
        </w:rPr>
        <w:t>design and implementation of actions or reforms to overcome problems to attain objectives. This should be done in constant collaboration with the other key actors to ensure that problems identified accurately reflect circumstances, and that potential solutions meet needs. These should be agreed upon to increase the probability of reforms being successful and impactful.</w:t>
      </w:r>
      <w:r w:rsidRPr="00EB2A7C">
        <w:rPr>
          <w:rFonts w:ascii="Arial" w:hAnsi="Arial" w:cs="Arial"/>
          <w:sz w:val="24"/>
          <w:szCs w:val="24"/>
          <w:lang w:val="en-ZA"/>
        </w:rPr>
        <w:t xml:space="preserve"> </w:t>
      </w:r>
    </w:p>
    <w:p w14:paraId="0C547D1F" w14:textId="77777777" w:rsidR="006E0E14" w:rsidRPr="00EB2A7C" w:rsidRDefault="006E0E14" w:rsidP="00EB2A7C">
      <w:pPr>
        <w:spacing w:line="276" w:lineRule="auto"/>
        <w:jc w:val="both"/>
        <w:rPr>
          <w:rFonts w:ascii="Arial" w:hAnsi="Arial" w:cs="Arial"/>
          <w:sz w:val="24"/>
          <w:szCs w:val="24"/>
          <w:lang w:val="en-ZA"/>
        </w:rPr>
      </w:pPr>
    </w:p>
    <w:p w14:paraId="2050D24D" w14:textId="77777777" w:rsidR="006E0E14" w:rsidRPr="00EB2A7C" w:rsidRDefault="006E0E14" w:rsidP="00EB2A7C">
      <w:pPr>
        <w:spacing w:line="276" w:lineRule="auto"/>
        <w:jc w:val="both"/>
        <w:rPr>
          <w:rFonts w:ascii="Arial" w:hAnsi="Arial" w:cs="Arial"/>
          <w:sz w:val="24"/>
          <w:szCs w:val="24"/>
        </w:rPr>
      </w:pPr>
      <w:r w:rsidRPr="00EB2A7C">
        <w:rPr>
          <w:rFonts w:ascii="Arial" w:hAnsi="Arial" w:cs="Arial"/>
          <w:sz w:val="24"/>
          <w:szCs w:val="24"/>
        </w:rPr>
        <w:t xml:space="preserve">Deconstructing, that is, analysing the problem piece by piece, is critical in directing attention to where reform is needed and in creating a solution that is feasible. Diagnostic tools and independent country assessments can be helpful in this regard, </w:t>
      </w:r>
      <w:r w:rsidRPr="00EB2A7C">
        <w:rPr>
          <w:rFonts w:ascii="Arial" w:hAnsi="Arial" w:cs="Arial"/>
          <w:sz w:val="24"/>
          <w:szCs w:val="24"/>
          <w:lang w:val="en-ZA"/>
        </w:rPr>
        <w:t>particularly to countries that may not naturally have the capacity to do this</w:t>
      </w:r>
      <w:r w:rsidRPr="00EB2A7C">
        <w:rPr>
          <w:rFonts w:ascii="Arial" w:hAnsi="Arial" w:cs="Arial"/>
          <w:sz w:val="24"/>
          <w:szCs w:val="24"/>
        </w:rPr>
        <w:t xml:space="preserve">. Assessment reports also usually provide recommendations of the steps that specific governments should take to improve fiscal transparency. Care should, however, be taken to not take a mechanical approach to adopting recommendations made in reports. </w:t>
      </w:r>
      <w:r w:rsidRPr="00EB2A7C">
        <w:rPr>
          <w:rFonts w:ascii="Arial" w:hAnsi="Arial" w:cs="Arial"/>
          <w:sz w:val="24"/>
          <w:szCs w:val="24"/>
          <w:lang w:val="en-ZA"/>
        </w:rPr>
        <w:t xml:space="preserve">Lessons learnt from peers/experts also provide valuable information. </w:t>
      </w:r>
      <w:r w:rsidRPr="00EB2A7C">
        <w:rPr>
          <w:rFonts w:ascii="Arial" w:hAnsi="Arial" w:cs="Arial"/>
          <w:sz w:val="24"/>
          <w:szCs w:val="24"/>
        </w:rPr>
        <w:t xml:space="preserve">A </w:t>
      </w:r>
      <w:hyperlink r:id="rId1298" w:history="1">
        <w:r w:rsidRPr="00EB2A7C">
          <w:rPr>
            <w:rFonts w:ascii="Arial" w:hAnsi="Arial" w:cs="Arial"/>
            <w:color w:val="0563C1" w:themeColor="hyperlink"/>
            <w:sz w:val="24"/>
            <w:szCs w:val="24"/>
            <w:u w:val="single"/>
          </w:rPr>
          <w:t>study</w:t>
        </w:r>
      </w:hyperlink>
      <w:r w:rsidRPr="00EB2A7C">
        <w:rPr>
          <w:rStyle w:val="FootnoteReference"/>
          <w:rFonts w:ascii="Arial" w:hAnsi="Arial" w:cs="Arial"/>
          <w:color w:val="0563C1" w:themeColor="hyperlink"/>
          <w:sz w:val="24"/>
          <w:szCs w:val="24"/>
          <w:u w:val="single"/>
        </w:rPr>
        <w:footnoteReference w:id="104"/>
      </w:r>
      <w:r w:rsidRPr="00EB2A7C">
        <w:rPr>
          <w:rFonts w:ascii="Arial" w:hAnsi="Arial" w:cs="Arial"/>
          <w:sz w:val="24"/>
          <w:szCs w:val="24"/>
        </w:rPr>
        <w:t xml:space="preserve"> by the PEFA Secretariat identifies diagnostic tools for PFM systems, including tools for fiscal transparency, such as the GIFT principles, that have been discussed throughout this Guide. Governments can also apply tools such as a Strengths, Weaknesses, Opportunities, and Threats (SWOT) analysis or the Problem Driven Iterative Adaptation (PDIA) approach (for example, the </w:t>
      </w:r>
      <w:hyperlink r:id="rId1299" w:history="1">
        <w:r w:rsidRPr="00EB2A7C">
          <w:rPr>
            <w:rFonts w:ascii="Arial" w:hAnsi="Arial" w:cs="Arial"/>
            <w:color w:val="0563C1" w:themeColor="hyperlink"/>
            <w:sz w:val="24"/>
            <w:szCs w:val="24"/>
            <w:u w:val="single"/>
          </w:rPr>
          <w:t>PDIA toolkit</w:t>
        </w:r>
      </w:hyperlink>
      <w:r w:rsidRPr="00EB2A7C">
        <w:rPr>
          <w:rFonts w:ascii="Arial" w:hAnsi="Arial" w:cs="Arial"/>
          <w:sz w:val="24"/>
          <w:szCs w:val="24"/>
        </w:rPr>
        <w:t xml:space="preserve"> from the </w:t>
      </w:r>
      <w:proofErr w:type="spellStart"/>
      <w:r w:rsidRPr="00EB2A7C">
        <w:rPr>
          <w:rFonts w:ascii="Arial" w:hAnsi="Arial" w:cs="Arial"/>
          <w:sz w:val="24"/>
          <w:szCs w:val="24"/>
        </w:rPr>
        <w:t>Center</w:t>
      </w:r>
      <w:proofErr w:type="spellEnd"/>
      <w:r w:rsidRPr="00EB2A7C">
        <w:rPr>
          <w:rFonts w:ascii="Arial" w:hAnsi="Arial" w:cs="Arial"/>
          <w:sz w:val="24"/>
          <w:szCs w:val="24"/>
        </w:rPr>
        <w:t xml:space="preserve"> for International Development at Harvard University). PEFA’s </w:t>
      </w:r>
      <w:hyperlink r:id="rId1300" w:history="1">
        <w:r w:rsidRPr="00EB2A7C">
          <w:rPr>
            <w:rFonts w:ascii="Arial" w:hAnsi="Arial" w:cs="Arial"/>
            <w:color w:val="0563C1" w:themeColor="hyperlink"/>
            <w:sz w:val="24"/>
            <w:szCs w:val="24"/>
            <w:u w:val="single"/>
          </w:rPr>
          <w:t>A Guide to PFM Diagnostic Tools</w:t>
        </w:r>
      </w:hyperlink>
      <w:r w:rsidRPr="00EB2A7C">
        <w:rPr>
          <w:rStyle w:val="FootnoteReference"/>
          <w:rFonts w:ascii="Arial" w:hAnsi="Arial" w:cs="Arial"/>
          <w:color w:val="0563C1" w:themeColor="hyperlink"/>
          <w:sz w:val="24"/>
          <w:szCs w:val="24"/>
          <w:u w:val="single"/>
        </w:rPr>
        <w:footnoteReference w:id="105"/>
      </w:r>
      <w:r w:rsidRPr="00EB2A7C">
        <w:rPr>
          <w:rFonts w:ascii="Arial" w:hAnsi="Arial" w:cs="Arial"/>
          <w:sz w:val="24"/>
          <w:szCs w:val="24"/>
        </w:rPr>
        <w:t>, highlights the coverage of each tool but does not provide recommendations on which tools to use, stating that selecting the right tool/s depends on country specific needs and purposes. It is important to note that while diagnostic tools assist in assessing transparency strengths and weaknesses by providing solid evidence, they may not provide sufficient information and cannot be a substitute for an in-depth analysis of the specific areas where actions or reforms need to take place. They also don’t answer the question of which weak areas should be addressed first.</w:t>
      </w:r>
    </w:p>
    <w:p w14:paraId="57A084C0" w14:textId="77777777" w:rsidR="006E0E14" w:rsidRPr="00EB2A7C" w:rsidRDefault="006E0E14" w:rsidP="00EB2A7C">
      <w:pPr>
        <w:spacing w:line="276" w:lineRule="auto"/>
        <w:jc w:val="both"/>
        <w:rPr>
          <w:rFonts w:ascii="Arial" w:hAnsi="Arial" w:cs="Arial"/>
          <w:sz w:val="24"/>
          <w:szCs w:val="24"/>
        </w:rPr>
      </w:pPr>
    </w:p>
    <w:p w14:paraId="44119D1B" w14:textId="77777777" w:rsidR="006E0E14" w:rsidRPr="00EB2A7C" w:rsidRDefault="006E0E14" w:rsidP="00EB2A7C">
      <w:pPr>
        <w:spacing w:line="276" w:lineRule="auto"/>
        <w:jc w:val="both"/>
        <w:rPr>
          <w:rFonts w:ascii="Arial" w:hAnsi="Arial" w:cs="Arial"/>
          <w:sz w:val="24"/>
          <w:szCs w:val="24"/>
        </w:rPr>
      </w:pPr>
      <w:r w:rsidRPr="00EB2A7C">
        <w:rPr>
          <w:rFonts w:ascii="Arial" w:hAnsi="Arial" w:cs="Arial"/>
          <w:sz w:val="24"/>
          <w:szCs w:val="24"/>
        </w:rPr>
        <w:t xml:space="preserve">Reform initiatives that address identified weaknesses and prioritize reform options </w:t>
      </w:r>
      <w:r w:rsidRPr="00EB2A7C">
        <w:rPr>
          <w:rFonts w:ascii="Arial" w:hAnsi="Arial" w:cs="Arial"/>
          <w:sz w:val="24"/>
          <w:szCs w:val="24"/>
          <w:lang w:val="en-ZA"/>
        </w:rPr>
        <w:t>that are more likely to lead to the desired outcomes</w:t>
      </w:r>
      <w:r w:rsidRPr="00EB2A7C">
        <w:rPr>
          <w:rFonts w:ascii="Arial" w:hAnsi="Arial" w:cs="Arial"/>
          <w:sz w:val="24"/>
          <w:szCs w:val="24"/>
        </w:rPr>
        <w:t xml:space="preserve">, should be designed. Each reform initiative or action should include a description of the intended result of that action, the impact on progress to achieve the desired outcome, an initial time frame for completing the action and any milestone reached over the short–, medium–, and longer-term depending on the nature of the reform), and the allocation of government responsibility for implementation. </w:t>
      </w:r>
    </w:p>
    <w:p w14:paraId="72C4E91A" w14:textId="77777777" w:rsidR="006E0E14" w:rsidRPr="00EB2A7C" w:rsidRDefault="006E0E14" w:rsidP="00EB2A7C">
      <w:pPr>
        <w:spacing w:line="276" w:lineRule="auto"/>
        <w:jc w:val="both"/>
        <w:rPr>
          <w:rFonts w:ascii="Arial" w:hAnsi="Arial" w:cs="Arial"/>
          <w:sz w:val="24"/>
          <w:szCs w:val="24"/>
        </w:rPr>
      </w:pPr>
    </w:p>
    <w:p w14:paraId="7893805D" w14:textId="2D1DE03A" w:rsidR="00962E99" w:rsidRDefault="006E0E14" w:rsidP="006E0E14">
      <w:pPr>
        <w:spacing w:line="276" w:lineRule="auto"/>
        <w:jc w:val="both"/>
        <w:rPr>
          <w:rFonts w:ascii="Arial" w:hAnsi="Arial" w:cs="Arial"/>
          <w:sz w:val="24"/>
          <w:szCs w:val="24"/>
        </w:rPr>
      </w:pPr>
      <w:r w:rsidRPr="00EB2A7C">
        <w:rPr>
          <w:rFonts w:ascii="Arial" w:hAnsi="Arial" w:cs="Arial"/>
          <w:sz w:val="24"/>
          <w:szCs w:val="24"/>
        </w:rPr>
        <w:t xml:space="preserve">The </w:t>
      </w:r>
      <w:hyperlink r:id="rId1301" w:history="1">
        <w:r w:rsidRPr="00EB2A7C">
          <w:rPr>
            <w:rFonts w:ascii="Arial" w:hAnsi="Arial" w:cs="Arial"/>
            <w:color w:val="0563C1" w:themeColor="hyperlink"/>
            <w:sz w:val="24"/>
            <w:szCs w:val="24"/>
            <w:u w:val="single"/>
          </w:rPr>
          <w:t>PEFA Handbook Volume IV - Using PEFA to Support PFM Improvement</w:t>
        </w:r>
      </w:hyperlink>
      <w:r w:rsidRPr="00EB2A7C">
        <w:rPr>
          <w:rStyle w:val="FootnoteReference"/>
          <w:rFonts w:ascii="Arial" w:hAnsi="Arial" w:cs="Arial"/>
          <w:color w:val="0563C1" w:themeColor="hyperlink"/>
          <w:sz w:val="24"/>
          <w:szCs w:val="24"/>
          <w:u w:val="single"/>
        </w:rPr>
        <w:footnoteReference w:id="106"/>
      </w:r>
      <w:r w:rsidRPr="00EB2A7C">
        <w:rPr>
          <w:rFonts w:ascii="Arial" w:hAnsi="Arial" w:cs="Arial"/>
          <w:sz w:val="24"/>
          <w:szCs w:val="24"/>
        </w:rPr>
        <w:t xml:space="preserve"> provides practical guidance on how to develop and sequence PFM reform initiatives. The handbook is not intended to be prescriptive, but rather to provide a guide on the issues that need to be considered in developing effective reform initiatives, strategies, or action plans that are designed to address each country’s unique situation.</w:t>
      </w:r>
    </w:p>
    <w:p w14:paraId="0B07D587" w14:textId="752299CA" w:rsidR="006E0E14" w:rsidRDefault="006E0E14" w:rsidP="006E0E14">
      <w:pPr>
        <w:spacing w:line="276" w:lineRule="auto"/>
        <w:jc w:val="both"/>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4674942" behindDoc="0" locked="0" layoutInCell="1" allowOverlap="1" wp14:anchorId="5BFC2228" wp14:editId="0D307EE2">
            <wp:simplePos x="0" y="0"/>
            <wp:positionH relativeFrom="column">
              <wp:posOffset>0</wp:posOffset>
            </wp:positionH>
            <wp:positionV relativeFrom="paragraph">
              <wp:posOffset>143510</wp:posOffset>
            </wp:positionV>
            <wp:extent cx="2519680" cy="629920"/>
            <wp:effectExtent l="0" t="0" r="0" b="0"/>
            <wp:wrapSquare wrapText="bothSides"/>
            <wp:docPr id="2607" name="Picture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 name="Picture 2607"/>
                    <pic:cNvPicPr/>
                  </pic:nvPicPr>
                  <pic:blipFill>
                    <a:blip r:embed="rId1302" cstate="email">
                      <a:extLst>
                        <a:ext uri="{28A0092B-C50C-407E-A947-70E740481C1C}">
                          <a14:useLocalDpi xmlns:a14="http://schemas.microsoft.com/office/drawing/2010/main"/>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14:paraId="68057C88" w14:textId="66F5669F" w:rsidR="006E0E14" w:rsidRPr="00EB2A7C" w:rsidRDefault="006E0E14" w:rsidP="00EB2A7C">
      <w:pPr>
        <w:spacing w:line="276" w:lineRule="auto"/>
        <w:jc w:val="both"/>
        <w:rPr>
          <w:rFonts w:ascii="Arial" w:hAnsi="Arial" w:cs="Arial"/>
          <w:sz w:val="24"/>
          <w:szCs w:val="24"/>
        </w:rPr>
      </w:pPr>
    </w:p>
    <w:p w14:paraId="5A078325" w14:textId="09A99968" w:rsidR="006E0E14" w:rsidRDefault="006E0E14" w:rsidP="006E0E14">
      <w:pPr>
        <w:tabs>
          <w:tab w:val="left" w:pos="2920"/>
        </w:tabs>
        <w:spacing w:line="276" w:lineRule="auto"/>
        <w:rPr>
          <w:rFonts w:ascii="Arial" w:hAnsi="Arial" w:cs="Arial"/>
          <w:sz w:val="24"/>
          <w:szCs w:val="24"/>
          <w:lang w:val="en-US"/>
        </w:rPr>
      </w:pPr>
    </w:p>
    <w:p w14:paraId="4A6EF0EA" w14:textId="1D1D1B73" w:rsidR="006E0E14" w:rsidRPr="006E0E14" w:rsidRDefault="006E0E14" w:rsidP="00EB2A7C">
      <w:pPr>
        <w:rPr>
          <w:rFonts w:ascii="Arial" w:hAnsi="Arial" w:cs="Arial"/>
          <w:sz w:val="24"/>
          <w:szCs w:val="24"/>
          <w:lang w:val="en-US"/>
        </w:rPr>
      </w:pPr>
    </w:p>
    <w:p w14:paraId="00B2C779" w14:textId="659B2560" w:rsidR="006E0E14" w:rsidRDefault="006E0E14" w:rsidP="006E0E14">
      <w:pPr>
        <w:rPr>
          <w:rFonts w:ascii="Arial" w:hAnsi="Arial" w:cs="Arial"/>
          <w:sz w:val="24"/>
          <w:szCs w:val="24"/>
          <w:lang w:val="en-US"/>
        </w:rPr>
      </w:pPr>
    </w:p>
    <w:p w14:paraId="402A42A2" w14:textId="1438D8B3" w:rsidR="00F91E05" w:rsidRDefault="006E0E14" w:rsidP="00F91E05">
      <w:pPr>
        <w:rPr>
          <w:rFonts w:ascii="Arial" w:hAnsi="Arial" w:cs="Arial"/>
          <w:b/>
          <w:bCs/>
          <w:iCs/>
          <w:color w:val="16988A"/>
          <w:sz w:val="24"/>
          <w:szCs w:val="24"/>
        </w:rPr>
      </w:pPr>
      <w:r w:rsidRPr="0004307B">
        <w:rPr>
          <w:rFonts w:ascii="Arial" w:hAnsi="Arial" w:cs="Arial"/>
          <w:b/>
          <w:bCs/>
          <w:iCs/>
          <w:color w:val="16988A"/>
          <w:sz w:val="24"/>
          <w:szCs w:val="24"/>
        </w:rPr>
        <w:t>Prioritize and sequence reforms</w:t>
      </w:r>
    </w:p>
    <w:p w14:paraId="63DE0AB7" w14:textId="584DF774" w:rsidR="00F91E05" w:rsidRDefault="00F91E05" w:rsidP="00F91E05">
      <w:pPr>
        <w:rPr>
          <w:rFonts w:ascii="Arial" w:hAnsi="Arial" w:cs="Arial"/>
          <w:b/>
          <w:bCs/>
          <w:iCs/>
          <w:color w:val="16988A"/>
          <w:sz w:val="24"/>
          <w:szCs w:val="24"/>
        </w:rPr>
      </w:pPr>
    </w:p>
    <w:p w14:paraId="421B0956" w14:textId="4A14F7E1" w:rsidR="00F91E05" w:rsidRPr="0094465F" w:rsidRDefault="00F91E05" w:rsidP="0094465F">
      <w:pPr>
        <w:jc w:val="both"/>
        <w:rPr>
          <w:rFonts w:ascii="Arial" w:hAnsi="Arial" w:cs="Arial"/>
          <w:sz w:val="24"/>
          <w:szCs w:val="24"/>
        </w:rPr>
      </w:pPr>
      <w:r w:rsidRPr="00EB2A7C">
        <w:rPr>
          <w:rFonts w:ascii="Arial" w:hAnsi="Arial" w:cs="Arial"/>
          <w:sz w:val="24"/>
          <w:szCs w:val="24"/>
        </w:rPr>
        <w:t>Once problems are identified and the actions or reforms required to address them recognized, it is normally found that a single fiscal transparency action or reform initiative is not sufficient. Rather, numerous actions or reforms may be required to achieve optimal outcomes. Alternatively, desired outcomes may require different reform priorities and initiatives. It is, however, unlikely that all of the reforms required can be optimally undertaken simultaneously. This is because finance ministries and other stakeholders are often overstretched and have limited resources, being unable to undertake a magnitude of actions or reforms. In addition, reform fatigue may set in with politicians and senior officials becoming frustrated with continually needing to undertake actions or reforms. Reform failures frequently arise because too many changes are being targeted at once. A better approach, that is likely to be more effective, is for reform strategies to focus on one or a few key issues at a time</w:t>
      </w:r>
      <w:r w:rsidR="0094465F">
        <w:rPr>
          <w:rFonts w:ascii="Arial" w:hAnsi="Arial" w:cs="Arial"/>
          <w:sz w:val="24"/>
          <w:szCs w:val="24"/>
        </w:rPr>
        <w:t>.</w:t>
      </w:r>
    </w:p>
    <w:p w14:paraId="12C8C5E3" w14:textId="442A63B0" w:rsidR="006E0E14" w:rsidRPr="00F91E05" w:rsidRDefault="00F91E05" w:rsidP="00F91E05">
      <w:pPr>
        <w:rPr>
          <w:rFonts w:ascii="Arial" w:hAnsi="Arial" w:cs="Arial"/>
          <w:b/>
          <w:bCs/>
          <w:iCs/>
          <w:color w:val="16988A"/>
          <w:sz w:val="24"/>
          <w:szCs w:val="24"/>
        </w:rPr>
      </w:pPr>
      <w:r>
        <w:rPr>
          <w:rFonts w:ascii="Arial" w:hAnsi="Arial" w:cs="Arial"/>
          <w:noProof/>
          <w:sz w:val="24"/>
          <w:szCs w:val="24"/>
          <w:lang w:val="en-US"/>
        </w:rPr>
        <w:drawing>
          <wp:anchor distT="0" distB="0" distL="114300" distR="114300" simplePos="0" relativeHeight="254686206" behindDoc="0" locked="0" layoutInCell="1" allowOverlap="1" wp14:anchorId="5A91BE5F" wp14:editId="00A181F8">
            <wp:simplePos x="0" y="0"/>
            <wp:positionH relativeFrom="margin">
              <wp:posOffset>1970405</wp:posOffset>
            </wp:positionH>
            <wp:positionV relativeFrom="paragraph">
              <wp:posOffset>0</wp:posOffset>
            </wp:positionV>
            <wp:extent cx="2717800" cy="2679700"/>
            <wp:effectExtent l="0" t="0" r="0" b="0"/>
            <wp:wrapSquare wrapText="bothSides"/>
            <wp:docPr id="2629" name="Picture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 name="Picture 2629"/>
                    <pic:cNvPicPr/>
                  </pic:nvPicPr>
                  <pic:blipFill rotWithShape="1">
                    <a:blip r:embed="rId1303" cstate="email">
                      <a:extLst>
                        <a:ext uri="{28A0092B-C50C-407E-A947-70E740481C1C}">
                          <a14:useLocalDpi xmlns:a14="http://schemas.microsoft.com/office/drawing/2010/main"/>
                        </a:ext>
                      </a:extLst>
                    </a:blip>
                    <a:srcRect l="13759" t="25294" r="14198" b="24422"/>
                    <a:stretch/>
                  </pic:blipFill>
                  <pic:spPr bwMode="auto">
                    <a:xfrm>
                      <a:off x="0" y="0"/>
                      <a:ext cx="2717800" cy="267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E14" w:rsidRPr="00EB2A7C">
        <w:rPr>
          <w:rFonts w:ascii="Arial" w:hAnsi="Arial" w:cs="Arial"/>
          <w:sz w:val="24"/>
          <w:szCs w:val="24"/>
        </w:rPr>
        <w:t xml:space="preserve"> </w:t>
      </w:r>
    </w:p>
    <w:p w14:paraId="3B5C4C8A" w14:textId="3761F615" w:rsidR="006E0E14" w:rsidRPr="00EB2A7C" w:rsidRDefault="006E0E14" w:rsidP="00EB2A7C">
      <w:pPr>
        <w:spacing w:line="276" w:lineRule="auto"/>
        <w:jc w:val="both"/>
        <w:rPr>
          <w:rFonts w:ascii="Arial" w:hAnsi="Arial" w:cs="Arial"/>
          <w:sz w:val="24"/>
          <w:szCs w:val="24"/>
        </w:rPr>
      </w:pPr>
    </w:p>
    <w:p w14:paraId="60AEE46F" w14:textId="7C946C7E" w:rsidR="00032B4F" w:rsidRDefault="00032B4F" w:rsidP="006E0E14">
      <w:pPr>
        <w:spacing w:line="276" w:lineRule="auto"/>
        <w:jc w:val="both"/>
        <w:rPr>
          <w:rFonts w:ascii="Arial" w:hAnsi="Arial" w:cs="Arial"/>
          <w:sz w:val="24"/>
          <w:szCs w:val="24"/>
        </w:rPr>
      </w:pPr>
    </w:p>
    <w:p w14:paraId="78C7CD93" w14:textId="77777777" w:rsidR="00032B4F" w:rsidRDefault="00032B4F" w:rsidP="006E0E14">
      <w:pPr>
        <w:spacing w:line="276" w:lineRule="auto"/>
        <w:jc w:val="both"/>
        <w:rPr>
          <w:rFonts w:ascii="Arial" w:hAnsi="Arial" w:cs="Arial"/>
          <w:sz w:val="24"/>
          <w:szCs w:val="24"/>
        </w:rPr>
      </w:pPr>
    </w:p>
    <w:p w14:paraId="23F569C0" w14:textId="77777777" w:rsidR="00032B4F" w:rsidRDefault="00032B4F" w:rsidP="006E0E14">
      <w:pPr>
        <w:spacing w:line="276" w:lineRule="auto"/>
        <w:jc w:val="both"/>
        <w:rPr>
          <w:rFonts w:ascii="Arial" w:hAnsi="Arial" w:cs="Arial"/>
          <w:sz w:val="24"/>
          <w:szCs w:val="24"/>
        </w:rPr>
      </w:pPr>
    </w:p>
    <w:p w14:paraId="67922C37" w14:textId="0FD2D03E" w:rsidR="00032B4F" w:rsidRDefault="00032B4F" w:rsidP="006E0E14">
      <w:pPr>
        <w:spacing w:line="276" w:lineRule="auto"/>
        <w:jc w:val="both"/>
        <w:rPr>
          <w:rFonts w:ascii="Arial" w:hAnsi="Arial" w:cs="Arial"/>
          <w:sz w:val="24"/>
          <w:szCs w:val="24"/>
        </w:rPr>
      </w:pPr>
    </w:p>
    <w:p w14:paraId="279C41A1" w14:textId="77777777" w:rsidR="00032B4F" w:rsidRDefault="00032B4F" w:rsidP="006E0E14">
      <w:pPr>
        <w:spacing w:line="276" w:lineRule="auto"/>
        <w:jc w:val="both"/>
        <w:rPr>
          <w:rFonts w:ascii="Arial" w:hAnsi="Arial" w:cs="Arial"/>
          <w:sz w:val="24"/>
          <w:szCs w:val="24"/>
        </w:rPr>
      </w:pPr>
    </w:p>
    <w:p w14:paraId="676D58EA" w14:textId="77777777" w:rsidR="00032B4F" w:rsidRDefault="00032B4F" w:rsidP="006E0E14">
      <w:pPr>
        <w:spacing w:line="276" w:lineRule="auto"/>
        <w:jc w:val="both"/>
        <w:rPr>
          <w:rFonts w:ascii="Arial" w:hAnsi="Arial" w:cs="Arial"/>
          <w:sz w:val="24"/>
          <w:szCs w:val="24"/>
        </w:rPr>
      </w:pPr>
    </w:p>
    <w:p w14:paraId="2F572E2D" w14:textId="77777777" w:rsidR="00032B4F" w:rsidRDefault="00032B4F" w:rsidP="006E0E14">
      <w:pPr>
        <w:spacing w:line="276" w:lineRule="auto"/>
        <w:jc w:val="both"/>
        <w:rPr>
          <w:rFonts w:ascii="Arial" w:hAnsi="Arial" w:cs="Arial"/>
          <w:sz w:val="24"/>
          <w:szCs w:val="24"/>
        </w:rPr>
      </w:pPr>
    </w:p>
    <w:p w14:paraId="347BD57D" w14:textId="77777777" w:rsidR="00032B4F" w:rsidRDefault="00032B4F" w:rsidP="006E0E14">
      <w:pPr>
        <w:spacing w:line="276" w:lineRule="auto"/>
        <w:jc w:val="both"/>
        <w:rPr>
          <w:rFonts w:ascii="Arial" w:hAnsi="Arial" w:cs="Arial"/>
          <w:sz w:val="24"/>
          <w:szCs w:val="24"/>
        </w:rPr>
      </w:pPr>
    </w:p>
    <w:p w14:paraId="320C0837" w14:textId="5F26EC3F" w:rsidR="00032B4F" w:rsidRDefault="00032B4F" w:rsidP="006E0E14">
      <w:pPr>
        <w:spacing w:line="276" w:lineRule="auto"/>
        <w:jc w:val="both"/>
        <w:rPr>
          <w:rFonts w:ascii="Arial" w:hAnsi="Arial" w:cs="Arial"/>
          <w:sz w:val="24"/>
          <w:szCs w:val="24"/>
        </w:rPr>
      </w:pPr>
    </w:p>
    <w:p w14:paraId="38F5E8D3" w14:textId="77777777" w:rsidR="00032B4F" w:rsidRDefault="00032B4F" w:rsidP="006E0E14">
      <w:pPr>
        <w:spacing w:line="276" w:lineRule="auto"/>
        <w:jc w:val="both"/>
        <w:rPr>
          <w:rFonts w:ascii="Arial" w:hAnsi="Arial" w:cs="Arial"/>
          <w:sz w:val="24"/>
          <w:szCs w:val="24"/>
        </w:rPr>
      </w:pPr>
    </w:p>
    <w:p w14:paraId="5891FF10" w14:textId="77777777" w:rsidR="00032B4F" w:rsidRDefault="00032B4F" w:rsidP="006E0E14">
      <w:pPr>
        <w:spacing w:line="276" w:lineRule="auto"/>
        <w:jc w:val="both"/>
        <w:rPr>
          <w:rFonts w:ascii="Arial" w:hAnsi="Arial" w:cs="Arial"/>
          <w:sz w:val="24"/>
          <w:szCs w:val="24"/>
        </w:rPr>
      </w:pPr>
    </w:p>
    <w:p w14:paraId="5B309AB2" w14:textId="77777777" w:rsidR="00F91E05" w:rsidRDefault="00F91E05" w:rsidP="00EB2A7C">
      <w:pPr>
        <w:spacing w:line="276" w:lineRule="auto"/>
        <w:jc w:val="both"/>
        <w:rPr>
          <w:rFonts w:ascii="Arial" w:hAnsi="Arial" w:cs="Arial"/>
          <w:sz w:val="24"/>
          <w:szCs w:val="24"/>
        </w:rPr>
      </w:pPr>
    </w:p>
    <w:p w14:paraId="5EF11103" w14:textId="4F03ADD5" w:rsidR="006E0E14" w:rsidRPr="00EB2A7C" w:rsidRDefault="006E0E14" w:rsidP="00EB2A7C">
      <w:pPr>
        <w:spacing w:line="276" w:lineRule="auto"/>
        <w:jc w:val="both"/>
        <w:rPr>
          <w:rFonts w:ascii="Arial" w:hAnsi="Arial" w:cs="Arial"/>
          <w:sz w:val="24"/>
          <w:szCs w:val="24"/>
        </w:rPr>
      </w:pPr>
      <w:r w:rsidRPr="00EB2A7C">
        <w:rPr>
          <w:rFonts w:ascii="Arial" w:hAnsi="Arial" w:cs="Arial"/>
          <w:sz w:val="24"/>
          <w:szCs w:val="24"/>
        </w:rPr>
        <w:t xml:space="preserve">A country’s unique political, institutional, and capacity characteristics is key when designing and sequencing action or reform programs, as they form the basis of what needs are, what actions can be practically undertaken as well as what the priorities are. Reformers should identify potential constraints, including any technical, institutional, or political constraints to reform, as well as possible actions to mitigate these constraints. </w:t>
      </w:r>
      <w:r w:rsidRPr="00EB2A7C">
        <w:rPr>
          <w:rFonts w:ascii="Arial" w:hAnsi="Arial" w:cs="Arial"/>
          <w:sz w:val="24"/>
          <w:szCs w:val="24"/>
          <w:lang w:val="en-ZA"/>
        </w:rPr>
        <w:t>Political economy support is critical to the success of reform</w:t>
      </w:r>
      <w:r w:rsidRPr="00EB2A7C">
        <w:rPr>
          <w:rFonts w:ascii="Arial" w:hAnsi="Arial" w:cs="Arial"/>
          <w:sz w:val="24"/>
          <w:szCs w:val="24"/>
        </w:rPr>
        <w:t xml:space="preserve">. It is also key that there is </w:t>
      </w:r>
      <w:r w:rsidRPr="00EB2A7C">
        <w:rPr>
          <w:rFonts w:ascii="Arial" w:hAnsi="Arial" w:cs="Arial"/>
          <w:sz w:val="24"/>
          <w:szCs w:val="24"/>
          <w:lang w:val="en-ZA"/>
        </w:rPr>
        <w:t>available capacity to implement reforms. For instance, desirable</w:t>
      </w:r>
      <w:r w:rsidRPr="00EB2A7C">
        <w:rPr>
          <w:rFonts w:ascii="Arial" w:hAnsi="Arial" w:cs="Arial"/>
          <w:sz w:val="24"/>
          <w:szCs w:val="24"/>
        </w:rPr>
        <w:t xml:space="preserve"> actions or reforms are not feasible if there aren’t any financial resources available to undertake them. </w:t>
      </w:r>
      <w:r w:rsidRPr="00EB2A7C">
        <w:rPr>
          <w:rFonts w:ascii="Arial" w:hAnsi="Arial" w:cs="Arial"/>
          <w:sz w:val="24"/>
          <w:szCs w:val="24"/>
          <w:lang w:val="en-ZA"/>
        </w:rPr>
        <w:t>Reform priorities should be reviewed</w:t>
      </w:r>
      <w:r w:rsidRPr="00EB2A7C">
        <w:rPr>
          <w:rFonts w:ascii="Arial" w:hAnsi="Arial" w:cs="Arial"/>
          <w:sz w:val="24"/>
          <w:szCs w:val="24"/>
        </w:rPr>
        <w:t xml:space="preserve"> in line with constraints. Often, substantial results can be achieved through the adoption of less expensive options. In some cases, however, the constraints of a particular initiative may be so great that they cannot be resolved in the short– or medium-term, in which case it may be advisable for the government not to engage in a specific reform at that point in time.</w:t>
      </w:r>
    </w:p>
    <w:p w14:paraId="612699D9" w14:textId="77777777" w:rsidR="006E0E14" w:rsidRPr="00EB2A7C" w:rsidRDefault="006E0E14" w:rsidP="00EB2A7C">
      <w:pPr>
        <w:spacing w:line="276" w:lineRule="auto"/>
        <w:jc w:val="both"/>
        <w:rPr>
          <w:rFonts w:ascii="Arial" w:hAnsi="Arial" w:cs="Arial"/>
          <w:sz w:val="24"/>
          <w:szCs w:val="24"/>
        </w:rPr>
      </w:pPr>
    </w:p>
    <w:p w14:paraId="20E8FA0B" w14:textId="05BB0AD2" w:rsidR="006E0E14" w:rsidRPr="00EB2A7C" w:rsidRDefault="006E0E14" w:rsidP="00EB2A7C">
      <w:pPr>
        <w:spacing w:line="276" w:lineRule="auto"/>
        <w:jc w:val="both"/>
        <w:rPr>
          <w:rFonts w:ascii="Arial" w:hAnsi="Arial" w:cs="Arial"/>
          <w:sz w:val="24"/>
          <w:szCs w:val="24"/>
        </w:rPr>
      </w:pPr>
      <w:r w:rsidRPr="00EB2A7C">
        <w:rPr>
          <w:rFonts w:ascii="Arial" w:hAnsi="Arial" w:cs="Arial"/>
          <w:sz w:val="24"/>
          <w:szCs w:val="24"/>
        </w:rPr>
        <w:t xml:space="preserve">Some actions and reforms will be more important and/or urgent than others and have more impact. It is thus key to prioritize and sequence the undertaking of such initiatives, and that this is done by the executive in collaboration with other stakeholders. Areas of reform that are high priority and </w:t>
      </w:r>
      <w:r w:rsidRPr="00EB2A7C">
        <w:rPr>
          <w:rFonts w:ascii="Arial" w:hAnsi="Arial" w:cs="Arial"/>
          <w:sz w:val="24"/>
          <w:szCs w:val="24"/>
        </w:rPr>
        <w:lastRenderedPageBreak/>
        <w:t>achievable should be identified. This list should be refined to a manageable size that aligns well with a country’s fiscal and political priorities. Overly ambitious lists of priorities lead to both unrealistic expectations of what can be achieved in a particular time frame and, consequently, often unfair perceptions of failure, as reform programs exceed the capacity of countries to implement them.</w:t>
      </w:r>
    </w:p>
    <w:p w14:paraId="24CD342A" w14:textId="77777777" w:rsidR="006E0E14" w:rsidRPr="00EB2A7C" w:rsidRDefault="006E0E14" w:rsidP="00EB2A7C">
      <w:pPr>
        <w:spacing w:line="276" w:lineRule="auto"/>
        <w:jc w:val="both"/>
        <w:rPr>
          <w:rFonts w:ascii="Arial" w:hAnsi="Arial" w:cs="Arial"/>
          <w:sz w:val="24"/>
          <w:szCs w:val="24"/>
        </w:rPr>
      </w:pPr>
    </w:p>
    <w:p w14:paraId="6F5703A0" w14:textId="3AFEDD17" w:rsidR="006E0E14" w:rsidRPr="00EB2A7C" w:rsidRDefault="006E0E14" w:rsidP="00EB2A7C">
      <w:pPr>
        <w:spacing w:line="276" w:lineRule="auto"/>
        <w:jc w:val="both"/>
        <w:rPr>
          <w:rFonts w:ascii="Arial" w:hAnsi="Arial" w:cs="Arial"/>
          <w:sz w:val="24"/>
          <w:szCs w:val="24"/>
          <w:lang w:val="en-ZA"/>
        </w:rPr>
      </w:pPr>
      <w:r w:rsidRPr="00EB2A7C">
        <w:rPr>
          <w:rFonts w:ascii="Arial" w:hAnsi="Arial" w:cs="Arial"/>
          <w:sz w:val="24"/>
          <w:szCs w:val="24"/>
        </w:rPr>
        <w:t>In some cases, it will make sense to develop a comprehensive program of initiatives that is formalized into a new or revised transparency reform strategy or action plan. More comprehensive reform strategies or action plans are most appropriate in circumstances where the government has had previous experience in successfully developing and implementing reforms, where existing capacities are good, or where the government has established a capacity development program. In other cases, a more open ended, less structured and iterative approach to an action plan may be appropriate, one that is focused on specific high-priority problems. This approach might be appropriate where reform action plans have been developed in the past without any impact, where commitment to reform has been variable over time, and where the causes of unsatisfactory performance and progress are poorly understood. In these cases, smaller, less ambitious iterative reform initiatives with a focus on continuous feedback and learning tend to be more effective.</w:t>
      </w:r>
      <w:r w:rsidRPr="00EB2A7C">
        <w:rPr>
          <w:rFonts w:ascii="Arial" w:hAnsi="Arial" w:cs="Arial"/>
          <w:sz w:val="24"/>
          <w:szCs w:val="24"/>
          <w:lang w:val="en-ZA"/>
        </w:rPr>
        <w:t xml:space="preserve"> Especially at early stages of reform, reformers may want to be careful about reform approaches that entail very long planning phases or that are very complex or likely to face strong resistance.</w:t>
      </w:r>
      <w:r w:rsidRPr="00EB2A7C">
        <w:rPr>
          <w:rFonts w:ascii="Arial" w:hAnsi="Arial" w:cs="Arial"/>
          <w:sz w:val="24"/>
          <w:szCs w:val="24"/>
        </w:rPr>
        <w:t xml:space="preserve"> </w:t>
      </w:r>
    </w:p>
    <w:p w14:paraId="7832FF31" w14:textId="77777777" w:rsidR="006E0E14" w:rsidRPr="00EB2A7C" w:rsidRDefault="006E0E14" w:rsidP="00EB2A7C">
      <w:pPr>
        <w:spacing w:line="276" w:lineRule="auto"/>
        <w:jc w:val="both"/>
        <w:rPr>
          <w:rFonts w:ascii="Arial" w:hAnsi="Arial" w:cs="Arial"/>
          <w:sz w:val="24"/>
          <w:szCs w:val="24"/>
        </w:rPr>
      </w:pPr>
    </w:p>
    <w:p w14:paraId="5774F48F" w14:textId="5ADC0931" w:rsidR="006E0E14" w:rsidRPr="00EB2A7C" w:rsidRDefault="006E0E14" w:rsidP="00EB2A7C">
      <w:pPr>
        <w:spacing w:line="276" w:lineRule="auto"/>
        <w:jc w:val="both"/>
        <w:rPr>
          <w:rFonts w:ascii="Arial" w:hAnsi="Arial" w:cs="Arial"/>
          <w:sz w:val="24"/>
          <w:szCs w:val="24"/>
        </w:rPr>
      </w:pPr>
      <w:r w:rsidRPr="00EB2A7C">
        <w:rPr>
          <w:rFonts w:ascii="Arial" w:hAnsi="Arial" w:cs="Arial"/>
          <w:sz w:val="24"/>
          <w:szCs w:val="24"/>
        </w:rPr>
        <w:t>Reforms or actions should also not be viewed in isolation from other actions/reforms to be undertaken, even if they target other PFM areas or priorities. It is critical that reform actions designed and undertaken complement other PFM initiatives that have been implemented or are to be implemented, including those led by other actors. Synergies should always be sought.</w:t>
      </w:r>
    </w:p>
    <w:p w14:paraId="3CD6F23C" w14:textId="77777777" w:rsidR="006E0E14" w:rsidRPr="00EB2A7C" w:rsidRDefault="006E0E14" w:rsidP="00EB2A7C">
      <w:pPr>
        <w:spacing w:line="276" w:lineRule="auto"/>
        <w:jc w:val="both"/>
        <w:rPr>
          <w:rFonts w:ascii="Arial" w:hAnsi="Arial" w:cs="Arial"/>
          <w:sz w:val="24"/>
          <w:szCs w:val="24"/>
        </w:rPr>
      </w:pPr>
    </w:p>
    <w:p w14:paraId="23CCB15B" w14:textId="21A3F5E7" w:rsidR="006E0E14" w:rsidRDefault="006E0E14" w:rsidP="006E0E14">
      <w:pPr>
        <w:tabs>
          <w:tab w:val="left" w:pos="4120"/>
        </w:tabs>
        <w:spacing w:line="276" w:lineRule="auto"/>
        <w:jc w:val="both"/>
        <w:rPr>
          <w:rFonts w:ascii="Arial" w:hAnsi="Arial" w:cs="Arial"/>
          <w:sz w:val="24"/>
          <w:szCs w:val="24"/>
        </w:rPr>
      </w:pPr>
      <w:r w:rsidRPr="00EB2A7C">
        <w:rPr>
          <w:rFonts w:ascii="Arial" w:hAnsi="Arial" w:cs="Arial"/>
          <w:sz w:val="24"/>
          <w:szCs w:val="24"/>
        </w:rPr>
        <w:t>Prioritization and sequencing should culminate in an engagement with the political leadership to discuss the analysis, agree on a set of reform priorities based on the analysis, and obtain commitment for their implementation.</w:t>
      </w:r>
    </w:p>
    <w:p w14:paraId="5D510E9D" w14:textId="5E1FCAD1" w:rsidR="006E0E14" w:rsidRDefault="00871728" w:rsidP="006E0E14">
      <w:pPr>
        <w:tabs>
          <w:tab w:val="left" w:pos="4120"/>
        </w:tabs>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75966" behindDoc="0" locked="0" layoutInCell="1" allowOverlap="1" wp14:anchorId="3120545D" wp14:editId="2219170D">
            <wp:simplePos x="0" y="0"/>
            <wp:positionH relativeFrom="column">
              <wp:posOffset>0</wp:posOffset>
            </wp:positionH>
            <wp:positionV relativeFrom="paragraph">
              <wp:posOffset>125730</wp:posOffset>
            </wp:positionV>
            <wp:extent cx="2520000" cy="630000"/>
            <wp:effectExtent l="0" t="0" r="0" b="0"/>
            <wp:wrapSquare wrapText="bothSides"/>
            <wp:docPr id="2613" name="Picture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 name="Picture 2613"/>
                    <pic:cNvPicPr/>
                  </pic:nvPicPr>
                  <pic:blipFill>
                    <a:blip r:embed="rId1304" cstate="email">
                      <a:extLst>
                        <a:ext uri="{28A0092B-C50C-407E-A947-70E740481C1C}">
                          <a14:useLocalDpi xmlns:a14="http://schemas.microsoft.com/office/drawing/2010/main"/>
                        </a:ext>
                      </a:extLst>
                    </a:blip>
                    <a:stretch>
                      <a:fillRect/>
                    </a:stretch>
                  </pic:blipFill>
                  <pic:spPr>
                    <a:xfrm>
                      <a:off x="0" y="0"/>
                      <a:ext cx="2520000" cy="630000"/>
                    </a:xfrm>
                    <a:prstGeom prst="rect">
                      <a:avLst/>
                    </a:prstGeom>
                  </pic:spPr>
                </pic:pic>
              </a:graphicData>
            </a:graphic>
            <wp14:sizeRelH relativeFrom="page">
              <wp14:pctWidth>0</wp14:pctWidth>
            </wp14:sizeRelH>
            <wp14:sizeRelV relativeFrom="page">
              <wp14:pctHeight>0</wp14:pctHeight>
            </wp14:sizeRelV>
          </wp:anchor>
        </w:drawing>
      </w:r>
    </w:p>
    <w:p w14:paraId="0BAB863A" w14:textId="494CD437" w:rsidR="006E0E14" w:rsidRDefault="006E0E14" w:rsidP="006E0E14">
      <w:pPr>
        <w:tabs>
          <w:tab w:val="left" w:pos="4120"/>
        </w:tabs>
        <w:spacing w:line="276" w:lineRule="auto"/>
        <w:jc w:val="both"/>
        <w:rPr>
          <w:rFonts w:ascii="Arial" w:hAnsi="Arial" w:cs="Arial"/>
          <w:sz w:val="24"/>
          <w:szCs w:val="24"/>
          <w:lang w:val="en-US"/>
        </w:rPr>
      </w:pPr>
    </w:p>
    <w:p w14:paraId="3F1C025F" w14:textId="4595A513" w:rsidR="00CE72E9" w:rsidRPr="00CE72E9" w:rsidRDefault="00CE72E9" w:rsidP="00EB2A7C">
      <w:pPr>
        <w:rPr>
          <w:rFonts w:ascii="Arial" w:hAnsi="Arial" w:cs="Arial"/>
          <w:sz w:val="24"/>
          <w:szCs w:val="24"/>
          <w:lang w:val="en-US"/>
        </w:rPr>
      </w:pPr>
    </w:p>
    <w:p w14:paraId="2E9C21AD" w14:textId="5DBE7969" w:rsidR="00CE72E9" w:rsidRDefault="00CE72E9" w:rsidP="00CE72E9">
      <w:pPr>
        <w:rPr>
          <w:rFonts w:ascii="Arial" w:hAnsi="Arial" w:cs="Arial"/>
          <w:sz w:val="24"/>
          <w:szCs w:val="24"/>
          <w:lang w:val="en-US"/>
        </w:rPr>
      </w:pPr>
    </w:p>
    <w:p w14:paraId="31A31601" w14:textId="7B46005D" w:rsidR="00CE72E9" w:rsidRDefault="00CE72E9" w:rsidP="00CE72E9">
      <w:pPr>
        <w:rPr>
          <w:rFonts w:ascii="Arial" w:hAnsi="Arial" w:cs="Arial"/>
          <w:sz w:val="24"/>
          <w:szCs w:val="24"/>
          <w:lang w:val="en-US"/>
        </w:rPr>
      </w:pPr>
    </w:p>
    <w:p w14:paraId="6549CC04" w14:textId="72A38ED0" w:rsidR="00CE72E9" w:rsidRPr="0004307B" w:rsidRDefault="00CE72E9" w:rsidP="00CE72E9">
      <w:pPr>
        <w:spacing w:line="276" w:lineRule="auto"/>
        <w:rPr>
          <w:rFonts w:ascii="Arial" w:hAnsi="Arial" w:cs="Arial"/>
          <w:b/>
          <w:bCs/>
          <w:iCs/>
          <w:color w:val="16988A"/>
          <w:sz w:val="24"/>
          <w:szCs w:val="24"/>
        </w:rPr>
      </w:pPr>
      <w:r w:rsidRPr="0004307B">
        <w:rPr>
          <w:rFonts w:ascii="Arial" w:hAnsi="Arial" w:cs="Arial"/>
          <w:b/>
          <w:bCs/>
          <w:iCs/>
          <w:color w:val="16988A"/>
          <w:sz w:val="24"/>
          <w:szCs w:val="24"/>
        </w:rPr>
        <w:t>Take advantage of political windows of opportunity to tweak designed reforms and to push them</w:t>
      </w:r>
    </w:p>
    <w:p w14:paraId="644D53EF" w14:textId="4788E1E7" w:rsidR="00CE72E9" w:rsidRPr="00EB2A7C" w:rsidRDefault="00BD572B" w:rsidP="00EB2A7C">
      <w:pPr>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5153150" behindDoc="0" locked="0" layoutInCell="1" allowOverlap="1" wp14:anchorId="357913AE" wp14:editId="67B4CA80">
            <wp:simplePos x="0" y="0"/>
            <wp:positionH relativeFrom="column">
              <wp:posOffset>0</wp:posOffset>
            </wp:positionH>
            <wp:positionV relativeFrom="paragraph">
              <wp:posOffset>96323</wp:posOffset>
            </wp:positionV>
            <wp:extent cx="2169160" cy="1812925"/>
            <wp:effectExtent l="0" t="0" r="2540" b="0"/>
            <wp:wrapSquare wrapText="bothSides"/>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 name="Picture 2800"/>
                    <pic:cNvPicPr/>
                  </pic:nvPicPr>
                  <pic:blipFill rotWithShape="1">
                    <a:blip r:embed="rId1305" cstate="screen">
                      <a:extLst>
                        <a:ext uri="{28A0092B-C50C-407E-A947-70E740481C1C}">
                          <a14:useLocalDpi xmlns:a14="http://schemas.microsoft.com/office/drawing/2010/main"/>
                        </a:ext>
                      </a:extLst>
                    </a:blip>
                    <a:srcRect/>
                    <a:stretch/>
                  </pic:blipFill>
                  <pic:spPr bwMode="auto">
                    <a:xfrm>
                      <a:off x="0" y="0"/>
                      <a:ext cx="2169160" cy="1812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2E9" w:rsidRPr="00EB2A7C">
        <w:rPr>
          <w:rFonts w:ascii="Arial" w:hAnsi="Arial" w:cs="Arial"/>
          <w:sz w:val="24"/>
          <w:szCs w:val="24"/>
        </w:rPr>
        <w:t xml:space="preserve">Non-technical political factors can motivate or impede fiscal transparency. Reformers that focus only on technical solutions are likely to face frustration, not understanding why technical solutions aren’t producing the outcomes they may expect. Political impediments need to be overcome for technical solutions to be effective. </w:t>
      </w:r>
      <w:r w:rsidR="00CE72E9" w:rsidRPr="00EB2A7C">
        <w:rPr>
          <w:rFonts w:ascii="Arial" w:hAnsi="Arial" w:cs="Arial"/>
          <w:sz w:val="24"/>
          <w:szCs w:val="24"/>
          <w:lang w:val="en-ZA"/>
        </w:rPr>
        <w:t>It should be noted that while an understanding of the motivation of the different actors is important in assessing what reforms are likely to be feasible at different points in time, there shouldn’t be an overly simplistic categorization of actors into reform proponents and reform opponents, as most actors have somewhat complex motivations, for example, they may endorse some reforms, but may be cautious about pushing too far in a difficult environment.</w:t>
      </w:r>
    </w:p>
    <w:p w14:paraId="0599E021" w14:textId="77777777" w:rsidR="00CE72E9" w:rsidRPr="00EB2A7C" w:rsidRDefault="00CE72E9" w:rsidP="00EB2A7C">
      <w:pPr>
        <w:spacing w:line="276" w:lineRule="auto"/>
        <w:jc w:val="both"/>
        <w:rPr>
          <w:rFonts w:ascii="Arial" w:hAnsi="Arial" w:cs="Arial"/>
          <w:sz w:val="24"/>
          <w:szCs w:val="24"/>
        </w:rPr>
      </w:pPr>
    </w:p>
    <w:p w14:paraId="06C546F9" w14:textId="066DAD7E" w:rsidR="00F91E05" w:rsidRPr="00EB2A7C" w:rsidRDefault="00CE72E9" w:rsidP="00EB2A7C">
      <w:pPr>
        <w:spacing w:line="276" w:lineRule="auto"/>
        <w:jc w:val="both"/>
        <w:rPr>
          <w:rFonts w:ascii="Arial" w:hAnsi="Arial" w:cs="Arial"/>
          <w:sz w:val="24"/>
          <w:szCs w:val="24"/>
        </w:rPr>
      </w:pPr>
      <w:r w:rsidRPr="00EB2A7C">
        <w:rPr>
          <w:rFonts w:ascii="Arial" w:hAnsi="Arial" w:cs="Arial"/>
          <w:sz w:val="24"/>
          <w:szCs w:val="24"/>
          <w:lang w:val="en-ZA"/>
        </w:rPr>
        <w:t xml:space="preserve">The opportunities for reforms can vary considerably over time. </w:t>
      </w:r>
      <w:r w:rsidRPr="00EB2A7C">
        <w:rPr>
          <w:rFonts w:ascii="Arial" w:hAnsi="Arial" w:cs="Arial"/>
          <w:sz w:val="24"/>
          <w:szCs w:val="24"/>
        </w:rPr>
        <w:t xml:space="preserve">It is thus of upmost importance that reformers understand the role the political economy plays and factor it in when </w:t>
      </w:r>
      <w:r w:rsidRPr="00EB2A7C">
        <w:rPr>
          <w:rFonts w:ascii="Arial" w:hAnsi="Arial" w:cs="Arial"/>
          <w:sz w:val="24"/>
          <w:szCs w:val="24"/>
          <w:lang w:val="en-ZA"/>
        </w:rPr>
        <w:t>designing reforms such that they are able to take advantage of windows of opportunity as they present themselves. Re</w:t>
      </w:r>
      <w:r w:rsidRPr="00EB2A7C">
        <w:rPr>
          <w:rFonts w:ascii="Arial" w:hAnsi="Arial" w:cs="Arial"/>
          <w:sz w:val="24"/>
          <w:szCs w:val="24"/>
        </w:rPr>
        <w:t xml:space="preserve">forms should thus be continually attentive to and seize these windows to tweak and implement designed actions or reform initiatives towards fiscal transparency. </w:t>
      </w:r>
      <w:r w:rsidRPr="00EB2A7C">
        <w:rPr>
          <w:rFonts w:ascii="Arial" w:hAnsi="Arial" w:cs="Arial"/>
          <w:sz w:val="24"/>
          <w:szCs w:val="24"/>
          <w:lang w:val="en-ZA"/>
        </w:rPr>
        <w:t>During periods outside of windows of opportunity, there should be a deliberate focus on developing a transparency reform agenda and on monitoring and seeking to counteract risks of transparency backsliding. It is also worth pursuing incremental improvements, perhaps at a slower pace. What is key, is to have something ready to move when windows of opportunity arise and, also importantly, to sustain the gains that have been made during previous windows.</w:t>
      </w:r>
      <w:r w:rsidRPr="00EB2A7C">
        <w:rPr>
          <w:rFonts w:ascii="Arial" w:hAnsi="Arial" w:cs="Arial"/>
          <w:sz w:val="24"/>
          <w:szCs w:val="24"/>
        </w:rPr>
        <w:t xml:space="preserve"> </w:t>
      </w:r>
    </w:p>
    <w:p w14:paraId="262C6FD0" w14:textId="1DB7C9B5" w:rsidR="00CE72E9" w:rsidRDefault="00871728" w:rsidP="00CE72E9">
      <w:pPr>
        <w:spacing w:line="276" w:lineRule="auto"/>
        <w:rPr>
          <w:rFonts w:ascii="Arial" w:hAnsi="Arial" w:cs="Arial"/>
          <w:b/>
          <w:bCs/>
          <w:iCs/>
          <w:color w:val="16988A"/>
          <w:sz w:val="24"/>
          <w:szCs w:val="24"/>
        </w:rPr>
      </w:pPr>
      <w:r>
        <w:rPr>
          <w:rFonts w:ascii="Arial" w:hAnsi="Arial" w:cs="Arial"/>
          <w:b/>
          <w:bCs/>
          <w:iCs/>
          <w:noProof/>
          <w:color w:val="16988A"/>
          <w:sz w:val="24"/>
          <w:szCs w:val="24"/>
          <w:lang w:val="en-US"/>
        </w:rPr>
        <w:drawing>
          <wp:anchor distT="0" distB="0" distL="114300" distR="114300" simplePos="0" relativeHeight="254676990" behindDoc="0" locked="0" layoutInCell="1" allowOverlap="1" wp14:anchorId="3E1D8A1F" wp14:editId="349A8993">
            <wp:simplePos x="0" y="0"/>
            <wp:positionH relativeFrom="column">
              <wp:posOffset>0</wp:posOffset>
            </wp:positionH>
            <wp:positionV relativeFrom="paragraph">
              <wp:posOffset>168910</wp:posOffset>
            </wp:positionV>
            <wp:extent cx="2519680" cy="629920"/>
            <wp:effectExtent l="0" t="0" r="0" b="0"/>
            <wp:wrapSquare wrapText="bothSides"/>
            <wp:docPr id="2616" name="Picture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 name="Picture 2616"/>
                    <pic:cNvPicPr/>
                  </pic:nvPicPr>
                  <pic:blipFill>
                    <a:blip r:embed="rId1306" cstate="email">
                      <a:extLst>
                        <a:ext uri="{28A0092B-C50C-407E-A947-70E740481C1C}">
                          <a14:useLocalDpi xmlns:a14="http://schemas.microsoft.com/office/drawing/2010/main"/>
                        </a:ext>
                      </a:extLst>
                    </a:blip>
                    <a:stretch>
                      <a:fillRect/>
                    </a:stretch>
                  </pic:blipFill>
                  <pic:spPr>
                    <a:xfrm>
                      <a:off x="0" y="0"/>
                      <a:ext cx="2519680" cy="629920"/>
                    </a:xfrm>
                    <a:prstGeom prst="rect">
                      <a:avLst/>
                    </a:prstGeom>
                  </pic:spPr>
                </pic:pic>
              </a:graphicData>
            </a:graphic>
            <wp14:sizeRelH relativeFrom="page">
              <wp14:pctWidth>0</wp14:pctWidth>
            </wp14:sizeRelH>
            <wp14:sizeRelV relativeFrom="page">
              <wp14:pctHeight>0</wp14:pctHeight>
            </wp14:sizeRelV>
          </wp:anchor>
        </w:drawing>
      </w:r>
    </w:p>
    <w:p w14:paraId="19742B34" w14:textId="5D0B8345" w:rsidR="00CE72E9" w:rsidRPr="00EB2A7C" w:rsidRDefault="00CE72E9" w:rsidP="00EB2A7C">
      <w:pPr>
        <w:spacing w:line="276" w:lineRule="auto"/>
        <w:rPr>
          <w:rFonts w:ascii="Arial" w:hAnsi="Arial" w:cs="Arial"/>
          <w:b/>
          <w:bCs/>
          <w:iCs/>
          <w:color w:val="16988A"/>
          <w:sz w:val="24"/>
          <w:szCs w:val="24"/>
        </w:rPr>
      </w:pPr>
    </w:p>
    <w:p w14:paraId="6E49F9DF" w14:textId="29FFFFD1" w:rsidR="00CE72E9" w:rsidRDefault="00CE72E9" w:rsidP="00CE72E9">
      <w:pPr>
        <w:spacing w:line="276" w:lineRule="auto"/>
        <w:rPr>
          <w:rFonts w:ascii="Arial" w:hAnsi="Arial" w:cs="Arial"/>
          <w:sz w:val="24"/>
          <w:szCs w:val="24"/>
          <w:lang w:val="en-US"/>
        </w:rPr>
      </w:pPr>
    </w:p>
    <w:p w14:paraId="5D05C134" w14:textId="40D1BE49" w:rsidR="007F64CC" w:rsidRPr="007F64CC" w:rsidRDefault="007F64CC" w:rsidP="00EB2A7C">
      <w:pPr>
        <w:rPr>
          <w:rFonts w:ascii="Arial" w:hAnsi="Arial" w:cs="Arial"/>
          <w:sz w:val="24"/>
          <w:szCs w:val="24"/>
          <w:lang w:val="en-US"/>
        </w:rPr>
      </w:pPr>
    </w:p>
    <w:p w14:paraId="497DBA8E" w14:textId="776AB0B9" w:rsidR="007F64CC" w:rsidRDefault="007F64CC" w:rsidP="007F64CC">
      <w:pPr>
        <w:rPr>
          <w:rFonts w:ascii="Arial" w:hAnsi="Arial" w:cs="Arial"/>
          <w:sz w:val="24"/>
          <w:szCs w:val="24"/>
          <w:lang w:val="en-US"/>
        </w:rPr>
      </w:pPr>
    </w:p>
    <w:p w14:paraId="39A5E43A" w14:textId="77777777" w:rsidR="0004307B" w:rsidRDefault="007F64CC" w:rsidP="007F64CC">
      <w:pPr>
        <w:spacing w:line="276" w:lineRule="auto"/>
        <w:rPr>
          <w:rFonts w:ascii="Arial" w:hAnsi="Arial" w:cs="Arial"/>
          <w:b/>
          <w:bCs/>
          <w:iCs/>
          <w:color w:val="16988A"/>
          <w:sz w:val="24"/>
          <w:szCs w:val="24"/>
        </w:rPr>
      </w:pPr>
      <w:r w:rsidRPr="0004307B">
        <w:rPr>
          <w:rFonts w:ascii="Arial" w:hAnsi="Arial" w:cs="Arial"/>
          <w:b/>
          <w:bCs/>
          <w:iCs/>
          <w:color w:val="16988A"/>
          <w:sz w:val="24"/>
          <w:szCs w:val="24"/>
        </w:rPr>
        <w:t>Monitor and institutionalize transparency improvements to ensure that they are sustained</w:t>
      </w:r>
    </w:p>
    <w:p w14:paraId="2F1F06BF" w14:textId="3C5F9362" w:rsidR="007F64CC" w:rsidRPr="0004307B" w:rsidRDefault="00281BF5" w:rsidP="007F64CC">
      <w:pPr>
        <w:spacing w:line="276" w:lineRule="auto"/>
        <w:rPr>
          <w:rFonts w:ascii="Arial" w:hAnsi="Arial" w:cs="Arial"/>
          <w:b/>
          <w:bCs/>
          <w:iCs/>
          <w:color w:val="16988A"/>
          <w:sz w:val="24"/>
          <w:szCs w:val="24"/>
        </w:rPr>
      </w:pPr>
      <w:r>
        <w:rPr>
          <w:rFonts w:ascii="Arial" w:hAnsi="Arial" w:cs="Arial"/>
          <w:noProof/>
          <w:sz w:val="24"/>
          <w:szCs w:val="24"/>
          <w:lang w:val="en-US"/>
        </w:rPr>
        <w:drawing>
          <wp:anchor distT="0" distB="0" distL="114300" distR="114300" simplePos="0" relativeHeight="255154174" behindDoc="0" locked="0" layoutInCell="1" allowOverlap="1" wp14:anchorId="55289FD5" wp14:editId="484866D1">
            <wp:simplePos x="0" y="0"/>
            <wp:positionH relativeFrom="column">
              <wp:posOffset>0</wp:posOffset>
            </wp:positionH>
            <wp:positionV relativeFrom="paragraph">
              <wp:posOffset>238760</wp:posOffset>
            </wp:positionV>
            <wp:extent cx="2100580" cy="2585085"/>
            <wp:effectExtent l="0" t="0" r="0" b="0"/>
            <wp:wrapSquare wrapText="bothSides"/>
            <wp:docPr id="2802" name="Picture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 name="Picture 2802"/>
                    <pic:cNvPicPr/>
                  </pic:nvPicPr>
                  <pic:blipFill rotWithShape="1">
                    <a:blip r:embed="rId1307" cstate="screen">
                      <a:extLst>
                        <a:ext uri="{28A0092B-C50C-407E-A947-70E740481C1C}">
                          <a14:useLocalDpi xmlns:a14="http://schemas.microsoft.com/office/drawing/2010/main"/>
                        </a:ext>
                      </a:extLst>
                    </a:blip>
                    <a:srcRect/>
                    <a:stretch/>
                  </pic:blipFill>
                  <pic:spPr bwMode="auto">
                    <a:xfrm>
                      <a:off x="0" y="0"/>
                      <a:ext cx="2100580" cy="2585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C138E1" w14:textId="649AEF1A" w:rsidR="007F64CC" w:rsidRPr="00EB2A7C" w:rsidRDefault="007F64CC" w:rsidP="00EB2A7C">
      <w:pPr>
        <w:spacing w:line="276" w:lineRule="auto"/>
        <w:jc w:val="both"/>
        <w:rPr>
          <w:rFonts w:ascii="Arial" w:hAnsi="Arial" w:cs="Arial"/>
          <w:sz w:val="24"/>
          <w:szCs w:val="24"/>
        </w:rPr>
      </w:pPr>
      <w:r w:rsidRPr="00EB2A7C">
        <w:rPr>
          <w:rFonts w:ascii="Arial" w:hAnsi="Arial" w:cs="Arial"/>
          <w:sz w:val="24"/>
          <w:szCs w:val="24"/>
        </w:rPr>
        <w:t>During the implementation of transparency improvement actions or reforms, there should be continual monitoring and review, against objectives. Ongoing iteration, monitoring, learning, feedback, and adaptation during implementation is key to countering unforeseen events, risks and constraints and to leveraging opportunities.</w:t>
      </w:r>
      <w:r w:rsidRPr="00EB2A7C">
        <w:rPr>
          <w:rFonts w:ascii="Arial" w:eastAsiaTheme="minorEastAsia" w:hAnsi="Arial" w:cs="Arial"/>
          <w:sz w:val="24"/>
          <w:szCs w:val="24"/>
          <w:lang w:val="en-ZA" w:eastAsia="zh-CN"/>
        </w:rPr>
        <w:t xml:space="preserve"> </w:t>
      </w:r>
      <w:r w:rsidRPr="00EB2A7C">
        <w:rPr>
          <w:rFonts w:ascii="Arial" w:hAnsi="Arial" w:cs="Arial"/>
          <w:sz w:val="24"/>
          <w:szCs w:val="24"/>
          <w:lang w:val="en-ZA"/>
        </w:rPr>
        <w:t xml:space="preserve">As previously explained, the need to get constant feedback means that there should be a fluid relationship with several stakeholders, within the government apparatus but also, crucially, with users of information and members of the public. </w:t>
      </w:r>
      <w:r w:rsidRPr="00EB2A7C">
        <w:rPr>
          <w:rFonts w:ascii="Arial" w:hAnsi="Arial" w:cs="Arial"/>
          <w:sz w:val="24"/>
          <w:szCs w:val="24"/>
        </w:rPr>
        <w:t>There should be opportunities to revisit the design during implementation, especially if things are not going according to plan or when the perceived benefits do not materialise, reflecting the iterative nature of a successful reform process.</w:t>
      </w:r>
    </w:p>
    <w:p w14:paraId="37AFE77B" w14:textId="77777777" w:rsidR="007F64CC" w:rsidRPr="00EB2A7C" w:rsidRDefault="007F64CC" w:rsidP="00EB2A7C">
      <w:pPr>
        <w:spacing w:line="276" w:lineRule="auto"/>
        <w:jc w:val="both"/>
        <w:rPr>
          <w:rFonts w:ascii="Arial" w:hAnsi="Arial" w:cs="Arial"/>
          <w:sz w:val="24"/>
          <w:szCs w:val="24"/>
        </w:rPr>
      </w:pPr>
    </w:p>
    <w:p w14:paraId="7250280E" w14:textId="77777777" w:rsidR="007F64CC" w:rsidRPr="00EB2A7C" w:rsidRDefault="007F64CC" w:rsidP="00EB2A7C">
      <w:pPr>
        <w:spacing w:line="276" w:lineRule="auto"/>
        <w:jc w:val="both"/>
        <w:rPr>
          <w:rFonts w:ascii="Arial" w:hAnsi="Arial" w:cs="Arial"/>
          <w:sz w:val="24"/>
          <w:szCs w:val="24"/>
        </w:rPr>
      </w:pPr>
      <w:r w:rsidRPr="00EB2A7C">
        <w:rPr>
          <w:rFonts w:ascii="Arial" w:hAnsi="Arial" w:cs="Arial"/>
          <w:sz w:val="24"/>
          <w:szCs w:val="24"/>
          <w:lang w:val="en-ZA"/>
        </w:rPr>
        <w:t xml:space="preserve">Tracking what meaningful transparency improvements are made and sustained along the way is also critical for incentivizing reforms, as well as for planning further steps. It provides the opportunity to understand what has been achieved, and to learn and make corrections where and when necessary. </w:t>
      </w:r>
      <w:r w:rsidRPr="00EB2A7C">
        <w:rPr>
          <w:rFonts w:ascii="Arial" w:hAnsi="Arial" w:cs="Arial"/>
          <w:sz w:val="24"/>
          <w:szCs w:val="24"/>
        </w:rPr>
        <w:t xml:space="preserve">Ideally, reform programs need to be dynamic and responsive to their own impact as much as to changing circumstances. </w:t>
      </w:r>
      <w:proofErr w:type="gramStart"/>
      <w:r w:rsidRPr="00EB2A7C">
        <w:rPr>
          <w:rFonts w:ascii="Arial" w:hAnsi="Arial" w:cs="Arial"/>
          <w:sz w:val="24"/>
          <w:szCs w:val="24"/>
        </w:rPr>
        <w:t>Thus</w:t>
      </w:r>
      <w:proofErr w:type="gramEnd"/>
      <w:r w:rsidRPr="00EB2A7C">
        <w:rPr>
          <w:rFonts w:ascii="Arial" w:hAnsi="Arial" w:cs="Arial"/>
          <w:sz w:val="24"/>
          <w:szCs w:val="24"/>
        </w:rPr>
        <w:t xml:space="preserve"> a demonstration of early gains is also important to generate and reinforce the will to implement reforms and to keep minds focused. </w:t>
      </w:r>
      <w:r w:rsidRPr="00EB2A7C">
        <w:rPr>
          <w:rFonts w:ascii="Arial" w:hAnsi="Arial" w:cs="Arial"/>
          <w:sz w:val="24"/>
          <w:szCs w:val="24"/>
          <w:lang w:val="en-ZA"/>
        </w:rPr>
        <w:t xml:space="preserve">Reformers tasked with undertaking reforms are likely more motivated if real impacts are being tracked and monitored, with the results made public. Independent assessments, such as the Open Budget Survey, are also important in determining to what extent particular reforms have led to desired improvements. </w:t>
      </w:r>
    </w:p>
    <w:p w14:paraId="081DA124" w14:textId="77777777" w:rsidR="007F64CC" w:rsidRPr="00EB2A7C" w:rsidRDefault="007F64CC" w:rsidP="00EB2A7C">
      <w:pPr>
        <w:spacing w:line="276" w:lineRule="auto"/>
        <w:jc w:val="both"/>
        <w:rPr>
          <w:rFonts w:ascii="Arial" w:hAnsi="Arial" w:cs="Arial"/>
          <w:sz w:val="24"/>
          <w:szCs w:val="24"/>
        </w:rPr>
      </w:pPr>
    </w:p>
    <w:p w14:paraId="73BBA5E3" w14:textId="29AD84C5" w:rsidR="007F64CC" w:rsidRPr="00EB2A7C" w:rsidRDefault="007F64CC" w:rsidP="00EB2A7C">
      <w:pPr>
        <w:spacing w:line="276" w:lineRule="auto"/>
        <w:jc w:val="both"/>
        <w:rPr>
          <w:rFonts w:ascii="Arial" w:hAnsi="Arial" w:cs="Arial"/>
          <w:sz w:val="24"/>
          <w:szCs w:val="24"/>
        </w:rPr>
      </w:pPr>
      <w:r w:rsidRPr="00EB2A7C">
        <w:rPr>
          <w:rFonts w:ascii="Arial" w:hAnsi="Arial" w:cs="Arial"/>
          <w:sz w:val="24"/>
          <w:szCs w:val="24"/>
        </w:rPr>
        <w:t xml:space="preserve">Once reforms are complete, new processes typically take time to be fully embedded, thus leaving them at considerable risk of backsliding. Reformers should thus focus on the sustainability and continued implementation and use of past transparency initiatives as much as they do on the </w:t>
      </w:r>
      <w:r w:rsidRPr="00EB2A7C">
        <w:rPr>
          <w:rFonts w:ascii="Arial" w:hAnsi="Arial" w:cs="Arial"/>
          <w:sz w:val="24"/>
          <w:szCs w:val="24"/>
        </w:rPr>
        <w:lastRenderedPageBreak/>
        <w:t xml:space="preserve">introduction of new initiatives. It is also possible that it may be more feasible to embed already existing actions or reforms than to continually try to break new ground. </w:t>
      </w:r>
    </w:p>
    <w:p w14:paraId="00D7DE12" w14:textId="2156F787" w:rsidR="007F64CC" w:rsidRPr="00EB2A7C" w:rsidRDefault="007F64CC" w:rsidP="00EB2A7C">
      <w:pPr>
        <w:spacing w:line="276" w:lineRule="auto"/>
        <w:jc w:val="both"/>
        <w:rPr>
          <w:rFonts w:ascii="Arial" w:hAnsi="Arial" w:cs="Arial"/>
          <w:sz w:val="24"/>
          <w:szCs w:val="24"/>
        </w:rPr>
      </w:pPr>
    </w:p>
    <w:p w14:paraId="746EFB87" w14:textId="5FAE0360" w:rsidR="007F64CC" w:rsidRPr="00EB2A7C" w:rsidRDefault="007F64CC" w:rsidP="00EB2A7C">
      <w:pPr>
        <w:spacing w:line="276" w:lineRule="auto"/>
        <w:jc w:val="both"/>
        <w:rPr>
          <w:rFonts w:ascii="Arial" w:hAnsi="Arial" w:cs="Arial"/>
          <w:sz w:val="24"/>
          <w:szCs w:val="24"/>
        </w:rPr>
      </w:pPr>
      <w:r w:rsidRPr="00EB2A7C">
        <w:rPr>
          <w:rFonts w:ascii="Arial" w:hAnsi="Arial" w:cs="Arial"/>
          <w:sz w:val="24"/>
          <w:szCs w:val="24"/>
        </w:rPr>
        <w:t xml:space="preserve">Gains made in times of transition and crisis should also not be eroded when attention shifts elsewhere. It is important that progress made through technical reforms and institutional capacity-building when the context is conducive is locked in, by institutionalizing improvements, so that they stand a better chance of enduring when the context becomes less </w:t>
      </w:r>
      <w:proofErr w:type="spellStart"/>
      <w:r w:rsidRPr="00EB2A7C">
        <w:rPr>
          <w:rFonts w:ascii="Arial" w:hAnsi="Arial" w:cs="Arial"/>
          <w:sz w:val="24"/>
          <w:szCs w:val="24"/>
        </w:rPr>
        <w:t>favorable</w:t>
      </w:r>
      <w:proofErr w:type="spellEnd"/>
      <w:r w:rsidRPr="00EB2A7C">
        <w:rPr>
          <w:rFonts w:ascii="Arial" w:hAnsi="Arial" w:cs="Arial"/>
          <w:sz w:val="24"/>
          <w:szCs w:val="24"/>
        </w:rPr>
        <w:t>.</w:t>
      </w:r>
    </w:p>
    <w:p w14:paraId="7F036EFA" w14:textId="2F8730F6" w:rsidR="007F64CC" w:rsidRPr="00EB2A7C" w:rsidRDefault="00EC60C8" w:rsidP="00EB2A7C">
      <w:pPr>
        <w:spacing w:line="276" w:lineRule="auto"/>
        <w:jc w:val="both"/>
        <w:rPr>
          <w:rFonts w:ascii="Arial" w:hAnsi="Arial" w:cs="Arial"/>
          <w:b/>
          <w:bCs/>
          <w:iCs/>
          <w:color w:val="16988A"/>
          <w:sz w:val="24"/>
          <w:szCs w:val="24"/>
        </w:rPr>
      </w:pPr>
      <w:r>
        <w:rPr>
          <w:rFonts w:asciiTheme="minorHAnsi" w:hAnsiTheme="minorHAnsi" w:cstheme="minorBidi"/>
          <w:noProof/>
          <w:lang w:val="en-US"/>
        </w:rPr>
        <w:drawing>
          <wp:anchor distT="0" distB="0" distL="114300" distR="114300" simplePos="0" relativeHeight="251629529" behindDoc="1" locked="0" layoutInCell="1" allowOverlap="1" wp14:anchorId="2B4F9581" wp14:editId="11FF8028">
            <wp:simplePos x="0" y="0"/>
            <wp:positionH relativeFrom="column">
              <wp:posOffset>-114300</wp:posOffset>
            </wp:positionH>
            <wp:positionV relativeFrom="paragraph">
              <wp:posOffset>3810</wp:posOffset>
            </wp:positionV>
            <wp:extent cx="6430010" cy="1358900"/>
            <wp:effectExtent l="0" t="0" r="0" b="0"/>
            <wp:wrapTight wrapText="bothSides">
              <wp:wrapPolygon edited="0">
                <wp:start x="1536" y="0"/>
                <wp:lineTo x="427" y="3634"/>
                <wp:lineTo x="299" y="6662"/>
                <wp:lineTo x="85" y="8277"/>
                <wp:lineTo x="85" y="14333"/>
                <wp:lineTo x="555" y="16351"/>
                <wp:lineTo x="469" y="16553"/>
                <wp:lineTo x="512" y="19178"/>
                <wp:lineTo x="1195" y="19581"/>
                <wp:lineTo x="1536" y="21196"/>
                <wp:lineTo x="1749" y="21398"/>
                <wp:lineTo x="3200" y="21398"/>
                <wp:lineTo x="10324" y="21196"/>
                <wp:lineTo x="19369" y="20389"/>
                <wp:lineTo x="19369" y="19581"/>
                <wp:lineTo x="20137" y="16351"/>
                <wp:lineTo x="20393" y="13121"/>
                <wp:lineTo x="20393" y="9892"/>
                <wp:lineTo x="20222" y="7469"/>
                <wp:lineTo x="20179" y="6460"/>
                <wp:lineTo x="19625" y="4037"/>
                <wp:lineTo x="19411" y="3432"/>
                <wp:lineTo x="19497" y="1615"/>
                <wp:lineTo x="17150" y="1009"/>
                <wp:lineTo x="3200" y="0"/>
                <wp:lineTo x="1536" y="0"/>
              </wp:wrapPolygon>
            </wp:wrapTight>
            <wp:docPr id="2782" name="Picture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 name="Picture 2782"/>
                    <pic:cNvPicPr/>
                  </pic:nvPicPr>
                  <pic:blipFill rotWithShape="1">
                    <a:blip r:embed="rId1308" cstate="screen">
                      <a:extLst>
                        <a:ext uri="{28A0092B-C50C-407E-A947-70E740481C1C}">
                          <a14:useLocalDpi xmlns:a14="http://schemas.microsoft.com/office/drawing/2010/main"/>
                        </a:ext>
                      </a:extLst>
                    </a:blip>
                    <a:srcRect/>
                    <a:stretch/>
                  </pic:blipFill>
                  <pic:spPr bwMode="auto">
                    <a:xfrm>
                      <a:off x="0" y="0"/>
                      <a:ext cx="6430010" cy="135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0AB2ED" w14:textId="2062A89F" w:rsidR="007F64CC" w:rsidRDefault="009820E7" w:rsidP="007F64CC">
      <w:pPr>
        <w:tabs>
          <w:tab w:val="left" w:pos="3720"/>
        </w:tabs>
        <w:jc w:val="both"/>
        <w:rPr>
          <w:rFonts w:ascii="Arial" w:hAnsi="Arial" w:cs="Arial"/>
          <w:sz w:val="24"/>
          <w:szCs w:val="24"/>
          <w:lang w:val="en-US"/>
        </w:rPr>
      </w:pPr>
      <w:r>
        <w:rPr>
          <w:rFonts w:ascii="Arial" w:hAnsi="Arial" w:cs="Arial"/>
          <w:noProof/>
          <w:sz w:val="24"/>
          <w:szCs w:val="24"/>
          <w:lang w:val="en-US"/>
        </w:rPr>
        <mc:AlternateContent>
          <mc:Choice Requires="wps">
            <w:drawing>
              <wp:anchor distT="0" distB="0" distL="114300" distR="114300" simplePos="0" relativeHeight="255134718" behindDoc="0" locked="0" layoutInCell="1" allowOverlap="1" wp14:anchorId="2EA15903" wp14:editId="29A230C7">
                <wp:simplePos x="0" y="0"/>
                <wp:positionH relativeFrom="column">
                  <wp:posOffset>1168400</wp:posOffset>
                </wp:positionH>
                <wp:positionV relativeFrom="paragraph">
                  <wp:posOffset>144780</wp:posOffset>
                </wp:positionV>
                <wp:extent cx="4292600" cy="685800"/>
                <wp:effectExtent l="0" t="0" r="0" b="0"/>
                <wp:wrapNone/>
                <wp:docPr id="2783" name="Text Box 2783"/>
                <wp:cNvGraphicFramePr/>
                <a:graphic xmlns:a="http://schemas.openxmlformats.org/drawingml/2006/main">
                  <a:graphicData uri="http://schemas.microsoft.com/office/word/2010/wordprocessingShape">
                    <wps:wsp>
                      <wps:cNvSpPr txBox="1"/>
                      <wps:spPr>
                        <a:xfrm>
                          <a:off x="0" y="0"/>
                          <a:ext cx="4292600" cy="685800"/>
                        </a:xfrm>
                        <a:prstGeom prst="rect">
                          <a:avLst/>
                        </a:prstGeom>
                        <a:noFill/>
                        <a:ln w="6350">
                          <a:noFill/>
                        </a:ln>
                      </wps:spPr>
                      <wps:txbx>
                        <w:txbxContent>
                          <w:p w14:paraId="4C1AEA6B" w14:textId="77777777" w:rsidR="00D15FD8" w:rsidRPr="0004307B" w:rsidRDefault="00D15FD8" w:rsidP="009820E7">
                            <w:pPr>
                              <w:pStyle w:val="Heading1"/>
                              <w:rPr>
                                <w:sz w:val="38"/>
                                <w:szCs w:val="38"/>
                                <w:lang w:val="en-US"/>
                              </w:rPr>
                            </w:pPr>
                            <w:bookmarkStart w:id="2525" w:name="_Examples_from_the_4"/>
                            <w:bookmarkStart w:id="2526" w:name="_Toc123913609"/>
                            <w:bookmarkStart w:id="2527" w:name="_Toc123914266"/>
                            <w:bookmarkStart w:id="2528" w:name="_Toc125566882"/>
                            <w:bookmarkEnd w:id="2525"/>
                            <w:r w:rsidRPr="0004307B">
                              <w:rPr>
                                <w:rFonts w:ascii="Arial" w:hAnsi="Arial" w:cs="Arial"/>
                                <w:b/>
                                <w:bCs/>
                                <w:color w:val="FFFFFF" w:themeColor="background1"/>
                                <w:sz w:val="38"/>
                                <w:szCs w:val="38"/>
                                <w:lang w:val="en-US"/>
                              </w:rPr>
                              <w:t>Examples from the field</w:t>
                            </w:r>
                            <w:bookmarkEnd w:id="2526"/>
                            <w:bookmarkEnd w:id="2527"/>
                            <w:bookmarkEnd w:id="2528"/>
                          </w:p>
                          <w:p w14:paraId="028A1810" w14:textId="1239BD2C" w:rsidR="00D15FD8" w:rsidRPr="0004307B" w:rsidRDefault="00D15FD8" w:rsidP="00EC60C8">
                            <w:pPr>
                              <w:pStyle w:val="Heading1"/>
                              <w:rPr>
                                <w:sz w:val="38"/>
                                <w:szCs w:val="3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15903" id="Text Box 2783" o:spid="_x0000_s1705" type="#_x0000_t202" style="position:absolute;left:0;text-align:left;margin-left:92pt;margin-top:11.4pt;width:338pt;height:54pt;z-index:2551347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" filled="f" stroked="f" strokeweight=".5pt">
                <v:textbox>
                  <w:txbxContent>
                    <w:p w14:paraId="4C1AEA6B" w14:textId="77777777" w:rsidR="00D15FD8" w:rsidRPr="0004307B" w:rsidRDefault="00D15FD8" w:rsidP="009820E7">
                      <w:pPr>
                        <w:pStyle w:val="Heading1"/>
                        <w:rPr>
                          <w:sz w:val="38"/>
                          <w:szCs w:val="38"/>
                          <w:lang w:val="en-US"/>
                        </w:rPr>
                      </w:pPr>
                      <w:bookmarkStart w:id="2529" w:name="_Examples_from_the_4"/>
                      <w:bookmarkStart w:id="2530" w:name="_Toc123913609"/>
                      <w:bookmarkStart w:id="2531" w:name="_Toc123914266"/>
                      <w:bookmarkStart w:id="2532" w:name="_Toc125566882"/>
                      <w:bookmarkEnd w:id="2529"/>
                      <w:r w:rsidRPr="0004307B">
                        <w:rPr>
                          <w:rFonts w:ascii="Arial" w:hAnsi="Arial" w:cs="Arial"/>
                          <w:b/>
                          <w:bCs/>
                          <w:color w:val="FFFFFF" w:themeColor="background1"/>
                          <w:sz w:val="38"/>
                          <w:szCs w:val="38"/>
                          <w:lang w:val="en-US"/>
                        </w:rPr>
                        <w:t>Examples from the field</w:t>
                      </w:r>
                      <w:bookmarkEnd w:id="2530"/>
                      <w:bookmarkEnd w:id="2531"/>
                      <w:bookmarkEnd w:id="2532"/>
                    </w:p>
                    <w:p w14:paraId="028A1810" w14:textId="1239BD2C" w:rsidR="00D15FD8" w:rsidRPr="0004307B" w:rsidRDefault="00D15FD8" w:rsidP="00EC60C8">
                      <w:pPr>
                        <w:pStyle w:val="Heading1"/>
                        <w:rPr>
                          <w:sz w:val="38"/>
                          <w:szCs w:val="38"/>
                          <w:lang w:val="en-US"/>
                        </w:rPr>
                      </w:pPr>
                    </w:p>
                  </w:txbxContent>
                </v:textbox>
              </v:shape>
            </w:pict>
          </mc:Fallback>
        </mc:AlternateContent>
      </w:r>
      <w:r w:rsidR="00EC60C8">
        <w:rPr>
          <w:rFonts w:ascii="Arial" w:hAnsi="Arial" w:cs="Arial"/>
          <w:iCs/>
          <w:noProof/>
          <w:lang w:val="en-US"/>
        </w:rPr>
        <mc:AlternateContent>
          <mc:Choice Requires="wps">
            <w:drawing>
              <wp:anchor distT="0" distB="0" distL="114300" distR="114300" simplePos="0" relativeHeight="255135742" behindDoc="0" locked="0" layoutInCell="1" allowOverlap="1" wp14:anchorId="078A5170" wp14:editId="63458D11">
                <wp:simplePos x="0" y="0"/>
                <wp:positionH relativeFrom="column">
                  <wp:posOffset>330200</wp:posOffset>
                </wp:positionH>
                <wp:positionV relativeFrom="paragraph">
                  <wp:posOffset>172720</wp:posOffset>
                </wp:positionV>
                <wp:extent cx="571500" cy="660400"/>
                <wp:effectExtent l="0" t="0" r="0" b="0"/>
                <wp:wrapNone/>
                <wp:docPr id="2784" name="Text Box 2784"/>
                <wp:cNvGraphicFramePr/>
                <a:graphic xmlns:a="http://schemas.openxmlformats.org/drawingml/2006/main">
                  <a:graphicData uri="http://schemas.microsoft.com/office/word/2010/wordprocessingShape">
                    <wps:wsp>
                      <wps:cNvSpPr txBox="1"/>
                      <wps:spPr>
                        <a:xfrm>
                          <a:off x="0" y="0"/>
                          <a:ext cx="571500" cy="660400"/>
                        </a:xfrm>
                        <a:prstGeom prst="rect">
                          <a:avLst/>
                        </a:prstGeom>
                        <a:noFill/>
                        <a:ln w="6350">
                          <a:noFill/>
                        </a:ln>
                      </wps:spPr>
                      <wps:txbx>
                        <w:txbxContent>
                          <w:p w14:paraId="04CD1EE8" w14:textId="4A30C14F"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C27616E" w14:textId="77777777" w:rsidR="00D15FD8" w:rsidRDefault="00D15FD8"/>
                          <w:p w14:paraId="1DD186D0"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A2DA8D7" w14:textId="77777777" w:rsidR="00D15FD8" w:rsidRDefault="00D15FD8"/>
                          <w:p w14:paraId="14B2FA5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13A212A" w14:textId="77777777" w:rsidR="00D15FD8" w:rsidRDefault="00D15FD8"/>
                          <w:p w14:paraId="1E170806"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49B97C2" w14:textId="77777777" w:rsidR="00D15FD8" w:rsidRDefault="00D15FD8"/>
                          <w:p w14:paraId="1019D58E"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A22679A" w14:textId="77777777" w:rsidR="00D15FD8" w:rsidRDefault="00D15FD8"/>
                          <w:p w14:paraId="24ED4F9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F125899" w14:textId="77777777" w:rsidR="00D15FD8" w:rsidRDefault="00D15FD8"/>
                          <w:p w14:paraId="3DDDC72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02D7697" w14:textId="77777777" w:rsidR="00D15FD8" w:rsidRDefault="00D15FD8"/>
                          <w:p w14:paraId="6B2B2F6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2C69D98" w14:textId="77777777" w:rsidR="00D15FD8" w:rsidRDefault="00D15FD8"/>
                          <w:p w14:paraId="4898BF56"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6F12E78" w14:textId="77777777" w:rsidR="00D15FD8" w:rsidRDefault="00D15FD8"/>
                          <w:p w14:paraId="0D907E7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B50A95E" w14:textId="77777777" w:rsidR="00D15FD8" w:rsidRDefault="00D15FD8"/>
                          <w:p w14:paraId="607E6AF1"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CD979B0" w14:textId="77777777" w:rsidR="00D15FD8" w:rsidRDefault="00D15FD8"/>
                          <w:p w14:paraId="6E1E427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9E9581B" w14:textId="77777777" w:rsidR="00D15FD8" w:rsidRDefault="00D15FD8"/>
                          <w:p w14:paraId="27E5BB2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34AB678" w14:textId="77777777" w:rsidR="00D15FD8" w:rsidRDefault="00D15FD8"/>
                          <w:p w14:paraId="5446DC81"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D862292" w14:textId="77777777" w:rsidR="00D15FD8" w:rsidRDefault="00D15FD8"/>
                          <w:p w14:paraId="5DE90F7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103D6B9" w14:textId="77777777" w:rsidR="00D15FD8" w:rsidRDefault="00D15FD8"/>
                          <w:p w14:paraId="1B51466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806DD66" w14:textId="77777777" w:rsidR="00D15FD8" w:rsidRDefault="00D15FD8"/>
                          <w:p w14:paraId="5A684ED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EA4B40A" w14:textId="77777777" w:rsidR="00D15FD8" w:rsidRDefault="00D15FD8"/>
                          <w:p w14:paraId="3F9BD71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897B079" w14:textId="77777777" w:rsidR="00D15FD8" w:rsidRDefault="00D15FD8"/>
                          <w:p w14:paraId="4E59FC5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D330633" w14:textId="77777777" w:rsidR="00D15FD8" w:rsidRDefault="00D15FD8"/>
                          <w:p w14:paraId="5981B5E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02B738B" w14:textId="77777777" w:rsidR="00D15FD8" w:rsidRDefault="00D15FD8"/>
                          <w:p w14:paraId="7DFC908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D41A6F8" w14:textId="77777777" w:rsidR="00D15FD8" w:rsidRDefault="00D15FD8"/>
                          <w:p w14:paraId="3AAF51C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2E14FC0" w14:textId="77777777" w:rsidR="00D15FD8" w:rsidRDefault="00D15FD8"/>
                          <w:p w14:paraId="48BD80B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900ECF0" w14:textId="77777777" w:rsidR="00D15FD8" w:rsidRDefault="00D15FD8"/>
                          <w:p w14:paraId="238E8CF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EC23758" w14:textId="77777777" w:rsidR="00D15FD8" w:rsidRDefault="00D15FD8"/>
                          <w:p w14:paraId="6BD2087A"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39C2488" w14:textId="77777777" w:rsidR="00D15FD8" w:rsidRDefault="00D15FD8"/>
                          <w:p w14:paraId="48326B1E"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1444586" w14:textId="77777777" w:rsidR="00D15FD8" w:rsidRDefault="00D15FD8"/>
                          <w:p w14:paraId="432C078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B29F527" w14:textId="77777777" w:rsidR="00D15FD8" w:rsidRDefault="00D15FD8"/>
                          <w:p w14:paraId="63AE9F9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D2DA6E5" w14:textId="77777777" w:rsidR="00D15FD8" w:rsidRDefault="00D15FD8"/>
                          <w:p w14:paraId="1B6871C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0E12620" w14:textId="77777777" w:rsidR="00D15FD8" w:rsidRDefault="00D15FD8"/>
                          <w:p w14:paraId="28805CC3"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F737516" w14:textId="77777777" w:rsidR="00D15FD8" w:rsidRDefault="00D15FD8"/>
                          <w:p w14:paraId="6B5FBB6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2A6877C" w14:textId="77777777" w:rsidR="00D15FD8" w:rsidRDefault="00D15FD8"/>
                          <w:p w14:paraId="59A88B1E"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1EDED65" w14:textId="77777777" w:rsidR="00D15FD8" w:rsidRDefault="00D15FD8"/>
                          <w:p w14:paraId="501DFD09" w14:textId="0FB8F9F6"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9811990" w14:textId="77777777" w:rsidR="00D15FD8" w:rsidRDefault="00D15FD8"/>
                          <w:p w14:paraId="58BE743D"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D7E3A94" w14:textId="77777777" w:rsidR="00D15FD8" w:rsidRDefault="00D15FD8"/>
                          <w:p w14:paraId="0E9A014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52EEB03" w14:textId="77777777" w:rsidR="00D15FD8" w:rsidRDefault="00D15FD8"/>
                          <w:p w14:paraId="33FAA81C"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21001BB" w14:textId="77777777" w:rsidR="00D15FD8" w:rsidRDefault="00D15FD8"/>
                          <w:p w14:paraId="2B1F285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55A8CE8" w14:textId="77777777" w:rsidR="00D15FD8" w:rsidRDefault="00D15FD8"/>
                          <w:p w14:paraId="5DDC862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014941C" w14:textId="77777777" w:rsidR="00D15FD8" w:rsidRDefault="00D15FD8"/>
                          <w:p w14:paraId="6082EA9C"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96F4701" w14:textId="77777777" w:rsidR="00D15FD8" w:rsidRDefault="00D15FD8"/>
                          <w:p w14:paraId="5D03AD2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116AF6B" w14:textId="77777777" w:rsidR="00D15FD8" w:rsidRDefault="00D15FD8"/>
                          <w:p w14:paraId="0E549E8D"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F53324E" w14:textId="77777777" w:rsidR="00D15FD8" w:rsidRDefault="00D15FD8"/>
                          <w:p w14:paraId="15BDC530"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C4276AA" w14:textId="77777777" w:rsidR="00D15FD8" w:rsidRDefault="00D15FD8"/>
                          <w:p w14:paraId="0CCF226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1670683" w14:textId="77777777" w:rsidR="00D15FD8" w:rsidRDefault="00D15FD8"/>
                          <w:p w14:paraId="68717B3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490226D" w14:textId="77777777" w:rsidR="00D15FD8" w:rsidRDefault="00D15FD8"/>
                          <w:p w14:paraId="08859F2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937F9DC" w14:textId="77777777" w:rsidR="00D15FD8" w:rsidRDefault="00D15FD8"/>
                          <w:p w14:paraId="43791A1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7EB4598" w14:textId="77777777" w:rsidR="00D15FD8" w:rsidRDefault="00D15FD8"/>
                          <w:p w14:paraId="37D98C25"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FE23C90" w14:textId="77777777" w:rsidR="00D15FD8" w:rsidRDefault="00D15FD8"/>
                          <w:p w14:paraId="153A20F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20FE74A" w14:textId="77777777" w:rsidR="00D15FD8" w:rsidRDefault="00D15FD8"/>
                          <w:p w14:paraId="1E415709" w14:textId="6729053B"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BB4B05D" w14:textId="77777777" w:rsidR="00D15FD8" w:rsidRDefault="00D15FD8"/>
                          <w:p w14:paraId="6DDEAD2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2A6D645" w14:textId="77777777" w:rsidR="00D15FD8" w:rsidRDefault="00D15FD8"/>
                          <w:p w14:paraId="2576C1A7"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7EFDA11" w14:textId="77777777" w:rsidR="00D15FD8" w:rsidRDefault="00D15FD8"/>
                          <w:p w14:paraId="278D931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D4FEBA8" w14:textId="77777777" w:rsidR="00D15FD8" w:rsidRDefault="00D15FD8"/>
                          <w:p w14:paraId="7E108F3A"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C53A65F" w14:textId="77777777" w:rsidR="00D15FD8" w:rsidRDefault="00D15FD8"/>
                          <w:p w14:paraId="10225F8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1B8AAA6" w14:textId="77777777" w:rsidR="00D15FD8" w:rsidRDefault="00D15FD8"/>
                          <w:p w14:paraId="7477508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0597462" w14:textId="77777777" w:rsidR="00D15FD8" w:rsidRDefault="00D15FD8"/>
                          <w:p w14:paraId="22D29A90"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4803A51" w14:textId="77777777" w:rsidR="00D15FD8" w:rsidRDefault="00D15FD8"/>
                          <w:p w14:paraId="42CA57EC" w14:textId="4649EB26"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79BDF02" w14:textId="77777777" w:rsidR="00D15FD8" w:rsidRDefault="00D15FD8"/>
                          <w:p w14:paraId="61C74D9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5F91325" w14:textId="77777777" w:rsidR="00D15FD8" w:rsidRDefault="00D15FD8"/>
                          <w:p w14:paraId="2F60322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87004F7" w14:textId="77777777" w:rsidR="00D15FD8" w:rsidRDefault="00D15FD8"/>
                          <w:p w14:paraId="1C7B3D91"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EF5A23E" w14:textId="77777777" w:rsidR="00D15FD8" w:rsidRDefault="00D15FD8"/>
                          <w:p w14:paraId="6342729C" w14:textId="705DF1B2"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733BCDE" w14:textId="77777777" w:rsidR="00D15FD8" w:rsidRDefault="00D15FD8"/>
                          <w:p w14:paraId="66E13D3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9F6DD31" w14:textId="77777777" w:rsidR="00D15FD8" w:rsidRDefault="00D15FD8"/>
                          <w:p w14:paraId="1302F95C" w14:textId="3E909C0F"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424F9B0" w14:textId="77777777" w:rsidR="00D15FD8" w:rsidRDefault="00D15FD8"/>
                          <w:p w14:paraId="06C9C4EE" w14:textId="498BC8C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A5170" id="Text Box 2784" o:spid="_x0000_s1706" type="#_x0000_t202" style="position:absolute;left:0;text-align:left;margin-left:26pt;margin-top:13.6pt;width:45pt;height:52pt;z-index:255135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" filled="f" stroked="f" strokeweight=".5pt">
                <v:textbox>
                  <w:txbxContent>
                    <w:p w14:paraId="04CD1EE8" w14:textId="4A30C14F"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C27616E" w14:textId="77777777" w:rsidR="00D15FD8" w:rsidRDefault="00D15FD8"/>
                    <w:p w14:paraId="1DD186D0"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A2DA8D7" w14:textId="77777777" w:rsidR="00D15FD8" w:rsidRDefault="00D15FD8"/>
                    <w:p w14:paraId="14B2FA5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13A212A" w14:textId="77777777" w:rsidR="00D15FD8" w:rsidRDefault="00D15FD8"/>
                    <w:p w14:paraId="1E170806"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49B97C2" w14:textId="77777777" w:rsidR="00D15FD8" w:rsidRDefault="00D15FD8"/>
                    <w:p w14:paraId="1019D58E"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A22679A" w14:textId="77777777" w:rsidR="00D15FD8" w:rsidRDefault="00D15FD8"/>
                    <w:p w14:paraId="24ED4F9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F125899" w14:textId="77777777" w:rsidR="00D15FD8" w:rsidRDefault="00D15FD8"/>
                    <w:p w14:paraId="3DDDC72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02D7697" w14:textId="77777777" w:rsidR="00D15FD8" w:rsidRDefault="00D15FD8"/>
                    <w:p w14:paraId="6B2B2F6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2C69D98" w14:textId="77777777" w:rsidR="00D15FD8" w:rsidRDefault="00D15FD8"/>
                    <w:p w14:paraId="4898BF56"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6F12E78" w14:textId="77777777" w:rsidR="00D15FD8" w:rsidRDefault="00D15FD8"/>
                    <w:p w14:paraId="0D907E7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B50A95E" w14:textId="77777777" w:rsidR="00D15FD8" w:rsidRDefault="00D15FD8"/>
                    <w:p w14:paraId="607E6AF1"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CD979B0" w14:textId="77777777" w:rsidR="00D15FD8" w:rsidRDefault="00D15FD8"/>
                    <w:p w14:paraId="6E1E427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9E9581B" w14:textId="77777777" w:rsidR="00D15FD8" w:rsidRDefault="00D15FD8"/>
                    <w:p w14:paraId="27E5BB2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34AB678" w14:textId="77777777" w:rsidR="00D15FD8" w:rsidRDefault="00D15FD8"/>
                    <w:p w14:paraId="5446DC81"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D862292" w14:textId="77777777" w:rsidR="00D15FD8" w:rsidRDefault="00D15FD8"/>
                    <w:p w14:paraId="5DE90F7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103D6B9" w14:textId="77777777" w:rsidR="00D15FD8" w:rsidRDefault="00D15FD8"/>
                    <w:p w14:paraId="1B51466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806DD66" w14:textId="77777777" w:rsidR="00D15FD8" w:rsidRDefault="00D15FD8"/>
                    <w:p w14:paraId="5A684ED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EA4B40A" w14:textId="77777777" w:rsidR="00D15FD8" w:rsidRDefault="00D15FD8"/>
                    <w:p w14:paraId="3F9BD71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897B079" w14:textId="77777777" w:rsidR="00D15FD8" w:rsidRDefault="00D15FD8"/>
                    <w:p w14:paraId="4E59FC5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D330633" w14:textId="77777777" w:rsidR="00D15FD8" w:rsidRDefault="00D15FD8"/>
                    <w:p w14:paraId="5981B5E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02B738B" w14:textId="77777777" w:rsidR="00D15FD8" w:rsidRDefault="00D15FD8"/>
                    <w:p w14:paraId="7DFC908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D41A6F8" w14:textId="77777777" w:rsidR="00D15FD8" w:rsidRDefault="00D15FD8"/>
                    <w:p w14:paraId="3AAF51C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2E14FC0" w14:textId="77777777" w:rsidR="00D15FD8" w:rsidRDefault="00D15FD8"/>
                    <w:p w14:paraId="48BD80B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900ECF0" w14:textId="77777777" w:rsidR="00D15FD8" w:rsidRDefault="00D15FD8"/>
                    <w:p w14:paraId="238E8CF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EC23758" w14:textId="77777777" w:rsidR="00D15FD8" w:rsidRDefault="00D15FD8"/>
                    <w:p w14:paraId="6BD2087A"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39C2488" w14:textId="77777777" w:rsidR="00D15FD8" w:rsidRDefault="00D15FD8"/>
                    <w:p w14:paraId="48326B1E"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1444586" w14:textId="77777777" w:rsidR="00D15FD8" w:rsidRDefault="00D15FD8"/>
                    <w:p w14:paraId="432C078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B29F527" w14:textId="77777777" w:rsidR="00D15FD8" w:rsidRDefault="00D15FD8"/>
                    <w:p w14:paraId="63AE9F99"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D2DA6E5" w14:textId="77777777" w:rsidR="00D15FD8" w:rsidRDefault="00D15FD8"/>
                    <w:p w14:paraId="1B6871C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0E12620" w14:textId="77777777" w:rsidR="00D15FD8" w:rsidRDefault="00D15FD8"/>
                    <w:p w14:paraId="28805CC3"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F737516" w14:textId="77777777" w:rsidR="00D15FD8" w:rsidRDefault="00D15FD8"/>
                    <w:p w14:paraId="6B5FBB6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2A6877C" w14:textId="77777777" w:rsidR="00D15FD8" w:rsidRDefault="00D15FD8"/>
                    <w:p w14:paraId="59A88B1E"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1EDED65" w14:textId="77777777" w:rsidR="00D15FD8" w:rsidRDefault="00D15FD8"/>
                    <w:p w14:paraId="501DFD09" w14:textId="0FB8F9F6"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9811990" w14:textId="77777777" w:rsidR="00D15FD8" w:rsidRDefault="00D15FD8"/>
                    <w:p w14:paraId="58BE743D"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D7E3A94" w14:textId="77777777" w:rsidR="00D15FD8" w:rsidRDefault="00D15FD8"/>
                    <w:p w14:paraId="0E9A014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52EEB03" w14:textId="77777777" w:rsidR="00D15FD8" w:rsidRDefault="00D15FD8"/>
                    <w:p w14:paraId="33FAA81C"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21001BB" w14:textId="77777777" w:rsidR="00D15FD8" w:rsidRDefault="00D15FD8"/>
                    <w:p w14:paraId="2B1F285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55A8CE8" w14:textId="77777777" w:rsidR="00D15FD8" w:rsidRDefault="00D15FD8"/>
                    <w:p w14:paraId="5DDC862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014941C" w14:textId="77777777" w:rsidR="00D15FD8" w:rsidRDefault="00D15FD8"/>
                    <w:p w14:paraId="6082EA9C"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96F4701" w14:textId="77777777" w:rsidR="00D15FD8" w:rsidRDefault="00D15FD8"/>
                    <w:p w14:paraId="5D03AD2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116AF6B" w14:textId="77777777" w:rsidR="00D15FD8" w:rsidRDefault="00D15FD8"/>
                    <w:p w14:paraId="0E549E8D"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F53324E" w14:textId="77777777" w:rsidR="00D15FD8" w:rsidRDefault="00D15FD8"/>
                    <w:p w14:paraId="15BDC530"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C4276AA" w14:textId="77777777" w:rsidR="00D15FD8" w:rsidRDefault="00D15FD8"/>
                    <w:p w14:paraId="0CCF2264"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1670683" w14:textId="77777777" w:rsidR="00D15FD8" w:rsidRDefault="00D15FD8"/>
                    <w:p w14:paraId="68717B3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490226D" w14:textId="77777777" w:rsidR="00D15FD8" w:rsidRDefault="00D15FD8"/>
                    <w:p w14:paraId="08859F2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937F9DC" w14:textId="77777777" w:rsidR="00D15FD8" w:rsidRDefault="00D15FD8"/>
                    <w:p w14:paraId="43791A1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7EB4598" w14:textId="77777777" w:rsidR="00D15FD8" w:rsidRDefault="00D15FD8"/>
                    <w:p w14:paraId="37D98C25"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FE23C90" w14:textId="77777777" w:rsidR="00D15FD8" w:rsidRDefault="00D15FD8"/>
                    <w:p w14:paraId="153A20F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20FE74A" w14:textId="77777777" w:rsidR="00D15FD8" w:rsidRDefault="00D15FD8"/>
                    <w:p w14:paraId="1E415709" w14:textId="6729053B"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4BB4B05D" w14:textId="77777777" w:rsidR="00D15FD8" w:rsidRDefault="00D15FD8"/>
                    <w:p w14:paraId="6DDEAD2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2A6D645" w14:textId="77777777" w:rsidR="00D15FD8" w:rsidRDefault="00D15FD8"/>
                    <w:p w14:paraId="2576C1A7"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7EFDA11" w14:textId="77777777" w:rsidR="00D15FD8" w:rsidRDefault="00D15FD8"/>
                    <w:p w14:paraId="278D931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D4FEBA8" w14:textId="77777777" w:rsidR="00D15FD8" w:rsidRDefault="00D15FD8"/>
                    <w:p w14:paraId="7E108F3A"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5C53A65F" w14:textId="77777777" w:rsidR="00D15FD8" w:rsidRDefault="00D15FD8"/>
                    <w:p w14:paraId="10225F8F"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1B8AAA6" w14:textId="77777777" w:rsidR="00D15FD8" w:rsidRDefault="00D15FD8"/>
                    <w:p w14:paraId="74775088"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20597462" w14:textId="77777777" w:rsidR="00D15FD8" w:rsidRDefault="00D15FD8"/>
                    <w:p w14:paraId="22D29A90"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4803A51" w14:textId="77777777" w:rsidR="00D15FD8" w:rsidRDefault="00D15FD8"/>
                    <w:p w14:paraId="42CA57EC" w14:textId="4649EB26"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79BDF02" w14:textId="77777777" w:rsidR="00D15FD8" w:rsidRDefault="00D15FD8"/>
                    <w:p w14:paraId="61C74D9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5F91325" w14:textId="77777777" w:rsidR="00D15FD8" w:rsidRDefault="00D15FD8"/>
                    <w:p w14:paraId="2F603222"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187004F7" w14:textId="77777777" w:rsidR="00D15FD8" w:rsidRDefault="00D15FD8"/>
                    <w:p w14:paraId="1C7B3D91"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3EF5A23E" w14:textId="77777777" w:rsidR="00D15FD8" w:rsidRDefault="00D15FD8"/>
                    <w:p w14:paraId="6342729C" w14:textId="705DF1B2"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0733BCDE" w14:textId="77777777" w:rsidR="00D15FD8" w:rsidRDefault="00D15FD8"/>
                    <w:p w14:paraId="66E13D3B" w14:textId="7777777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69F6DD31" w14:textId="77777777" w:rsidR="00D15FD8" w:rsidRDefault="00D15FD8"/>
                    <w:p w14:paraId="1302F95C" w14:textId="3E909C0F"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p w14:paraId="7424F9B0" w14:textId="77777777" w:rsidR="00D15FD8" w:rsidRDefault="00D15FD8"/>
                    <w:p w14:paraId="06C9C4EE" w14:textId="498BC8C7" w:rsidR="00D15FD8" w:rsidRPr="00653DDD" w:rsidRDefault="00D15FD8" w:rsidP="00EC60C8">
                      <w:pPr>
                        <w:jc w:val="center"/>
                        <w:rPr>
                          <w:rFonts w:ascii="Arial" w:hAnsi="Arial" w:cs="Arial"/>
                          <w:b/>
                          <w:bCs/>
                          <w:color w:val="FFFFFF" w:themeColor="background1"/>
                          <w:sz w:val="72"/>
                          <w:szCs w:val="72"/>
                          <w:lang w:val="en-US"/>
                        </w:rPr>
                      </w:pPr>
                      <w:r>
                        <w:rPr>
                          <w:rFonts w:ascii="Arial" w:hAnsi="Arial" w:cs="Arial"/>
                          <w:b/>
                          <w:bCs/>
                          <w:color w:val="FFFFFF" w:themeColor="background1"/>
                          <w:sz w:val="72"/>
                          <w:szCs w:val="72"/>
                          <w:lang w:val="en-US"/>
                        </w:rPr>
                        <w:t>3</w:t>
                      </w:r>
                    </w:p>
                  </w:txbxContent>
                </v:textbox>
              </v:shape>
            </w:pict>
          </mc:Fallback>
        </mc:AlternateContent>
      </w:r>
    </w:p>
    <w:p w14:paraId="026686CC" w14:textId="6990078B" w:rsidR="00E4479B" w:rsidRPr="00E4479B" w:rsidRDefault="00E4479B" w:rsidP="00EB2A7C">
      <w:pPr>
        <w:rPr>
          <w:rFonts w:ascii="Arial" w:hAnsi="Arial" w:cs="Arial"/>
          <w:sz w:val="24"/>
          <w:szCs w:val="24"/>
          <w:lang w:val="en-US"/>
        </w:rPr>
      </w:pPr>
    </w:p>
    <w:p w14:paraId="1B5FA307" w14:textId="55B667C8" w:rsidR="00E4479B" w:rsidRDefault="00E4479B" w:rsidP="00E4479B">
      <w:pPr>
        <w:rPr>
          <w:rFonts w:ascii="Arial" w:hAnsi="Arial" w:cs="Arial"/>
          <w:sz w:val="24"/>
          <w:szCs w:val="24"/>
          <w:lang w:val="en-US"/>
        </w:rPr>
      </w:pPr>
    </w:p>
    <w:p w14:paraId="30AB17AE" w14:textId="4CDABD34" w:rsidR="00EC60C8" w:rsidRDefault="00EC60C8" w:rsidP="00E4479B">
      <w:pPr>
        <w:rPr>
          <w:rFonts w:ascii="Arial" w:hAnsi="Arial" w:cs="Arial"/>
          <w:sz w:val="24"/>
          <w:szCs w:val="24"/>
          <w:lang w:val="en-US"/>
        </w:rPr>
      </w:pPr>
    </w:p>
    <w:p w14:paraId="7E994722" w14:textId="594ADBFC" w:rsidR="00EC60C8" w:rsidRDefault="00EC60C8" w:rsidP="00E4479B">
      <w:pPr>
        <w:rPr>
          <w:rFonts w:ascii="Arial" w:hAnsi="Arial" w:cs="Arial"/>
          <w:sz w:val="24"/>
          <w:szCs w:val="24"/>
          <w:lang w:val="en-US"/>
        </w:rPr>
      </w:pPr>
    </w:p>
    <w:p w14:paraId="2747F122" w14:textId="77777777" w:rsidR="00EC60C8" w:rsidRDefault="00EC60C8" w:rsidP="00E4479B">
      <w:pPr>
        <w:rPr>
          <w:rFonts w:ascii="Arial" w:hAnsi="Arial" w:cs="Arial"/>
          <w:sz w:val="24"/>
          <w:szCs w:val="24"/>
          <w:lang w:val="en-US"/>
        </w:rPr>
      </w:pPr>
    </w:p>
    <w:p w14:paraId="33D9FFDF" w14:textId="595CFC53" w:rsidR="00E4479B" w:rsidRPr="00E4479B" w:rsidRDefault="00E4479B" w:rsidP="00EB2A7C">
      <w:pPr>
        <w:tabs>
          <w:tab w:val="left" w:pos="2420"/>
        </w:tabs>
        <w:spacing w:line="276" w:lineRule="auto"/>
        <w:rPr>
          <w:rFonts w:ascii="Arial" w:hAnsi="Arial" w:cs="Arial"/>
          <w:sz w:val="24"/>
          <w:szCs w:val="24"/>
          <w:lang w:val="en-US"/>
        </w:rPr>
      </w:pPr>
    </w:p>
    <w:p w14:paraId="0862301F" w14:textId="475D6AB9" w:rsidR="00E4479B" w:rsidRPr="00590086" w:rsidRDefault="00E4479B" w:rsidP="00E4479B">
      <w:pPr>
        <w:rPr>
          <w:rFonts w:ascii="Arial" w:eastAsiaTheme="majorEastAsia" w:hAnsi="Arial" w:cs="Arial"/>
          <w:b/>
          <w:iCs/>
          <w:color w:val="C0A4CE"/>
          <w:sz w:val="26"/>
          <w:szCs w:val="26"/>
        </w:rPr>
      </w:pPr>
      <w:r w:rsidRPr="00590086">
        <w:rPr>
          <w:rFonts w:ascii="Arial" w:eastAsiaTheme="majorEastAsia" w:hAnsi="Arial" w:cs="Arial"/>
          <w:b/>
          <w:iCs/>
          <w:color w:val="C0A4CE"/>
          <w:sz w:val="26"/>
          <w:szCs w:val="26"/>
        </w:rPr>
        <w:t>Fiscal transparency reforms and the benefits thereof: The Georgian experience</w:t>
      </w:r>
    </w:p>
    <w:p w14:paraId="4AFBCD6A" w14:textId="40591D49" w:rsidR="00E4479B" w:rsidRDefault="00DF2EA7" w:rsidP="00E4479B">
      <w:pPr>
        <w:tabs>
          <w:tab w:val="num" w:pos="720"/>
        </w:tabs>
        <w:spacing w:line="276" w:lineRule="auto"/>
        <w:jc w:val="both"/>
        <w:rPr>
          <w:rFonts w:ascii="Arial" w:hAnsi="Arial" w:cs="Arial"/>
          <w:sz w:val="24"/>
          <w:szCs w:val="24"/>
        </w:rPr>
      </w:pPr>
      <w:r>
        <w:rPr>
          <w:rFonts w:ascii="Arial" w:hAnsi="Arial" w:cs="Arial"/>
          <w:iCs/>
          <w:noProof/>
          <w:sz w:val="24"/>
          <w:szCs w:val="24"/>
          <w:lang w:val="en-US"/>
        </w:rPr>
        <mc:AlternateContent>
          <mc:Choice Requires="wps">
            <w:drawing>
              <wp:anchor distT="0" distB="0" distL="114300" distR="114300" simplePos="0" relativeHeight="255298558" behindDoc="0" locked="0" layoutInCell="1" allowOverlap="1" wp14:anchorId="06244ED6" wp14:editId="40E3577C">
                <wp:simplePos x="0" y="0"/>
                <wp:positionH relativeFrom="column">
                  <wp:posOffset>-70485</wp:posOffset>
                </wp:positionH>
                <wp:positionV relativeFrom="paragraph">
                  <wp:posOffset>1093470</wp:posOffset>
                </wp:positionV>
                <wp:extent cx="1397000" cy="254000"/>
                <wp:effectExtent l="0" t="0" r="0" b="0"/>
                <wp:wrapNone/>
                <wp:docPr id="2812" name="Text Box 2812"/>
                <wp:cNvGraphicFramePr/>
                <a:graphic xmlns:a="http://schemas.openxmlformats.org/drawingml/2006/main">
                  <a:graphicData uri="http://schemas.microsoft.com/office/word/2010/wordprocessingShape">
                    <wps:wsp>
                      <wps:cNvSpPr txBox="1"/>
                      <wps:spPr>
                        <a:xfrm>
                          <a:off x="0" y="0"/>
                          <a:ext cx="1397000" cy="254000"/>
                        </a:xfrm>
                        <a:prstGeom prst="rect">
                          <a:avLst/>
                        </a:prstGeom>
                        <a:solidFill>
                          <a:schemeClr val="lt1"/>
                        </a:solidFill>
                        <a:ln w="6350">
                          <a:noFill/>
                        </a:ln>
                      </wps:spPr>
                      <wps:txbx>
                        <w:txbxContent>
                          <w:p w14:paraId="14F1A4DB" w14:textId="23A56CAD" w:rsidR="00D15FD8" w:rsidRDefault="00D15FD8" w:rsidP="00C46F87">
                            <w:pPr>
                              <w:jc w:val="center"/>
                            </w:pPr>
                            <w:r>
                              <w:rPr>
                                <w:rFonts w:ascii="Arial" w:hAnsi="Arial" w:cs="Arial"/>
                                <w:b/>
                                <w:bCs/>
                                <w:color w:val="C0A4CE"/>
                                <w:sz w:val="20"/>
                                <w:szCs w:val="20"/>
                                <w:lang w:val="en-US"/>
                              </w:rPr>
                              <w:t>Georgia</w:t>
                            </w:r>
                          </w:p>
                          <w:p w14:paraId="154E133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F430A07" w14:textId="77777777" w:rsidR="00D15FD8" w:rsidRDefault="00D15FD8" w:rsidP="00C46F87"/>
                          <w:p w14:paraId="79E4967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16D5109" w14:textId="77777777" w:rsidR="00D15FD8" w:rsidRDefault="00D15FD8" w:rsidP="00C46F87"/>
                          <w:p w14:paraId="69CA9F3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D4AA566" w14:textId="77777777" w:rsidR="00D15FD8" w:rsidRDefault="00D15FD8" w:rsidP="00C46F87"/>
                          <w:p w14:paraId="53B7F82B"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3B879B7" w14:textId="77777777" w:rsidR="00D15FD8" w:rsidRDefault="00D15FD8" w:rsidP="00C46F87"/>
                          <w:p w14:paraId="6722312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5C39C0D" w14:textId="77777777" w:rsidR="00D15FD8" w:rsidRDefault="00D15FD8" w:rsidP="00C46F87"/>
                          <w:p w14:paraId="5C466920"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3BD8A1" w14:textId="77777777" w:rsidR="00D15FD8" w:rsidRDefault="00D15FD8" w:rsidP="00C46F87"/>
                          <w:p w14:paraId="56F2507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9058CA5" w14:textId="77777777" w:rsidR="00D15FD8" w:rsidRDefault="00D15FD8"/>
                          <w:p w14:paraId="54F15E3F" w14:textId="77777777" w:rsidR="00D15FD8" w:rsidRDefault="00D15FD8" w:rsidP="00C46F87">
                            <w:pPr>
                              <w:jc w:val="center"/>
                            </w:pPr>
                            <w:r>
                              <w:rPr>
                                <w:rFonts w:ascii="Arial" w:hAnsi="Arial" w:cs="Arial"/>
                                <w:b/>
                                <w:bCs/>
                                <w:color w:val="C0A4CE"/>
                                <w:sz w:val="20"/>
                                <w:szCs w:val="20"/>
                                <w:lang w:val="en-US"/>
                              </w:rPr>
                              <w:t>Georgia</w:t>
                            </w:r>
                          </w:p>
                          <w:p w14:paraId="4AB97B9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8C72E7D" w14:textId="77777777" w:rsidR="00D15FD8" w:rsidRDefault="00D15FD8" w:rsidP="00C46F87"/>
                          <w:p w14:paraId="1C4F5B10"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B652CA3" w14:textId="77777777" w:rsidR="00D15FD8" w:rsidRDefault="00D15FD8" w:rsidP="00C46F87"/>
                          <w:p w14:paraId="636E290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29CEA3" w14:textId="77777777" w:rsidR="00D15FD8" w:rsidRDefault="00D15FD8" w:rsidP="00C46F87"/>
                          <w:p w14:paraId="22E900C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FD0C483" w14:textId="77777777" w:rsidR="00D15FD8" w:rsidRDefault="00D15FD8" w:rsidP="00C46F87"/>
                          <w:p w14:paraId="670FC21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295A06E" w14:textId="77777777" w:rsidR="00D15FD8" w:rsidRDefault="00D15FD8" w:rsidP="00C46F87"/>
                          <w:p w14:paraId="21387F0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F6D9B3E" w14:textId="77777777" w:rsidR="00D15FD8" w:rsidRDefault="00D15FD8" w:rsidP="00C46F87"/>
                          <w:p w14:paraId="7AE9446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1F1398B" w14:textId="77777777" w:rsidR="00D15FD8" w:rsidRDefault="00D15FD8"/>
                          <w:p w14:paraId="7E397085" w14:textId="77777777" w:rsidR="00D15FD8" w:rsidRDefault="00D15FD8" w:rsidP="00C46F87">
                            <w:pPr>
                              <w:jc w:val="center"/>
                            </w:pPr>
                            <w:r>
                              <w:rPr>
                                <w:rFonts w:ascii="Arial" w:hAnsi="Arial" w:cs="Arial"/>
                                <w:b/>
                                <w:bCs/>
                                <w:color w:val="C0A4CE"/>
                                <w:sz w:val="20"/>
                                <w:szCs w:val="20"/>
                                <w:lang w:val="en-US"/>
                              </w:rPr>
                              <w:t>Georgia</w:t>
                            </w:r>
                          </w:p>
                          <w:p w14:paraId="7C9E9526"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ACCD64D" w14:textId="77777777" w:rsidR="00D15FD8" w:rsidRDefault="00D15FD8" w:rsidP="00C46F87"/>
                          <w:p w14:paraId="4F463FC8"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509C694" w14:textId="77777777" w:rsidR="00D15FD8" w:rsidRDefault="00D15FD8" w:rsidP="00C46F87"/>
                          <w:p w14:paraId="7313FD52"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0EA1FA8" w14:textId="77777777" w:rsidR="00D15FD8" w:rsidRDefault="00D15FD8" w:rsidP="00C46F87"/>
                          <w:p w14:paraId="10CD6D6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3EA4462" w14:textId="77777777" w:rsidR="00D15FD8" w:rsidRDefault="00D15FD8" w:rsidP="00C46F87"/>
                          <w:p w14:paraId="3D4E402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DFF6510" w14:textId="77777777" w:rsidR="00D15FD8" w:rsidRDefault="00D15FD8" w:rsidP="00C46F87"/>
                          <w:p w14:paraId="49D51BA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F92FE2F" w14:textId="77777777" w:rsidR="00D15FD8" w:rsidRDefault="00D15FD8" w:rsidP="00C46F87"/>
                          <w:p w14:paraId="152E181C"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5FA524" w14:textId="77777777" w:rsidR="00D15FD8" w:rsidRDefault="00D15FD8"/>
                          <w:p w14:paraId="044F2E0C" w14:textId="77777777" w:rsidR="00D15FD8" w:rsidRDefault="00D15FD8" w:rsidP="00C46F87">
                            <w:pPr>
                              <w:jc w:val="center"/>
                            </w:pPr>
                            <w:r>
                              <w:rPr>
                                <w:rFonts w:ascii="Arial" w:hAnsi="Arial" w:cs="Arial"/>
                                <w:b/>
                                <w:bCs/>
                                <w:color w:val="C0A4CE"/>
                                <w:sz w:val="20"/>
                                <w:szCs w:val="20"/>
                                <w:lang w:val="en-US"/>
                              </w:rPr>
                              <w:t>Georgia</w:t>
                            </w:r>
                          </w:p>
                          <w:p w14:paraId="6CA63F46"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0D6541F" w14:textId="77777777" w:rsidR="00D15FD8" w:rsidRDefault="00D15FD8" w:rsidP="00C46F87"/>
                          <w:p w14:paraId="7965EE1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66CF254" w14:textId="77777777" w:rsidR="00D15FD8" w:rsidRDefault="00D15FD8" w:rsidP="00C46F87"/>
                          <w:p w14:paraId="2C995D0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293A214" w14:textId="77777777" w:rsidR="00D15FD8" w:rsidRDefault="00D15FD8" w:rsidP="00C46F87"/>
                          <w:p w14:paraId="44BD916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77F5EAE" w14:textId="77777777" w:rsidR="00D15FD8" w:rsidRDefault="00D15FD8" w:rsidP="00C46F87"/>
                          <w:p w14:paraId="2C5FF94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8EAD7E1" w14:textId="77777777" w:rsidR="00D15FD8" w:rsidRDefault="00D15FD8" w:rsidP="00C46F87"/>
                          <w:p w14:paraId="6468D0B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1AFD2E" w14:textId="77777777" w:rsidR="00D15FD8" w:rsidRDefault="00D15FD8" w:rsidP="00C46F87"/>
                          <w:p w14:paraId="3A6F903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4FDA61D" w14:textId="77777777" w:rsidR="00D15FD8" w:rsidRDefault="00D15FD8"/>
                          <w:p w14:paraId="066B54D3" w14:textId="71DA8F95" w:rsidR="00D15FD8" w:rsidRDefault="00D15FD8" w:rsidP="00C46F87">
                            <w:pPr>
                              <w:jc w:val="center"/>
                            </w:pPr>
                            <w:r>
                              <w:rPr>
                                <w:rFonts w:ascii="Arial" w:hAnsi="Arial" w:cs="Arial"/>
                                <w:b/>
                                <w:bCs/>
                                <w:color w:val="C0A4CE"/>
                                <w:sz w:val="20"/>
                                <w:szCs w:val="20"/>
                                <w:lang w:val="en-US"/>
                              </w:rPr>
                              <w:t>Georgia</w:t>
                            </w:r>
                          </w:p>
                          <w:p w14:paraId="5EA1D1B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0F6E94B" w14:textId="77777777" w:rsidR="00D15FD8" w:rsidRDefault="00D15FD8" w:rsidP="00C46F87"/>
                          <w:p w14:paraId="1B60A23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53CB648" w14:textId="77777777" w:rsidR="00D15FD8" w:rsidRDefault="00D15FD8" w:rsidP="00C46F87"/>
                          <w:p w14:paraId="6529CF5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0053E31" w14:textId="77777777" w:rsidR="00D15FD8" w:rsidRDefault="00D15FD8" w:rsidP="00C46F87"/>
                          <w:p w14:paraId="342F86A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E4CF4D5" w14:textId="77777777" w:rsidR="00D15FD8" w:rsidRDefault="00D15FD8" w:rsidP="00C46F87"/>
                          <w:p w14:paraId="09594C26"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1CB0D32" w14:textId="77777777" w:rsidR="00D15FD8" w:rsidRDefault="00D15FD8" w:rsidP="00C46F87"/>
                          <w:p w14:paraId="25C6044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89E7B05" w14:textId="77777777" w:rsidR="00D15FD8" w:rsidRDefault="00D15FD8" w:rsidP="00C46F87"/>
                          <w:p w14:paraId="32E2523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F7A1627" w14:textId="77777777" w:rsidR="00D15FD8" w:rsidRDefault="00D15FD8"/>
                          <w:p w14:paraId="79B092C8" w14:textId="77777777" w:rsidR="00D15FD8" w:rsidRDefault="00D15FD8" w:rsidP="00C46F87">
                            <w:pPr>
                              <w:jc w:val="center"/>
                            </w:pPr>
                            <w:r>
                              <w:rPr>
                                <w:rFonts w:ascii="Arial" w:hAnsi="Arial" w:cs="Arial"/>
                                <w:b/>
                                <w:bCs/>
                                <w:color w:val="C0A4CE"/>
                                <w:sz w:val="20"/>
                                <w:szCs w:val="20"/>
                                <w:lang w:val="en-US"/>
                              </w:rPr>
                              <w:t>Georgia</w:t>
                            </w:r>
                          </w:p>
                          <w:p w14:paraId="05FC00D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FB8E716" w14:textId="77777777" w:rsidR="00D15FD8" w:rsidRDefault="00D15FD8" w:rsidP="00C46F87"/>
                          <w:p w14:paraId="63860C8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89CB46D" w14:textId="77777777" w:rsidR="00D15FD8" w:rsidRDefault="00D15FD8" w:rsidP="00C46F87"/>
                          <w:p w14:paraId="1EC2715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831C34" w14:textId="77777777" w:rsidR="00D15FD8" w:rsidRDefault="00D15FD8" w:rsidP="00C46F87"/>
                          <w:p w14:paraId="54DDCB8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BD71087" w14:textId="77777777" w:rsidR="00D15FD8" w:rsidRDefault="00D15FD8" w:rsidP="00C46F87"/>
                          <w:p w14:paraId="64A1F43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423C943" w14:textId="77777777" w:rsidR="00D15FD8" w:rsidRDefault="00D15FD8" w:rsidP="00C46F87"/>
                          <w:p w14:paraId="5BECE7E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A897D95" w14:textId="77777777" w:rsidR="00D15FD8" w:rsidRDefault="00D15FD8" w:rsidP="00C46F87"/>
                          <w:p w14:paraId="77A38FD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8D2660D" w14:textId="77777777" w:rsidR="00D15FD8" w:rsidRDefault="00D15FD8"/>
                          <w:p w14:paraId="5EEF031A" w14:textId="1AA1E20F" w:rsidR="00D15FD8" w:rsidRDefault="00D15FD8" w:rsidP="00C46F87">
                            <w:pPr>
                              <w:jc w:val="center"/>
                            </w:pPr>
                            <w:r>
                              <w:rPr>
                                <w:rFonts w:ascii="Arial" w:hAnsi="Arial" w:cs="Arial"/>
                                <w:b/>
                                <w:bCs/>
                                <w:color w:val="C0A4CE"/>
                                <w:sz w:val="20"/>
                                <w:szCs w:val="20"/>
                                <w:lang w:val="en-US"/>
                              </w:rPr>
                              <w:t>Georgia</w:t>
                            </w:r>
                          </w:p>
                          <w:p w14:paraId="1256F14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C7251A3" w14:textId="77777777" w:rsidR="00D15FD8" w:rsidRDefault="00D15FD8" w:rsidP="00C46F87"/>
                          <w:p w14:paraId="38B299D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6C43C06" w14:textId="77777777" w:rsidR="00D15FD8" w:rsidRDefault="00D15FD8" w:rsidP="00C46F87"/>
                          <w:p w14:paraId="213F7C2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B8A08E8" w14:textId="77777777" w:rsidR="00D15FD8" w:rsidRDefault="00D15FD8" w:rsidP="00C46F87"/>
                          <w:p w14:paraId="19847CFB"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ABB74B7" w14:textId="77777777" w:rsidR="00D15FD8" w:rsidRDefault="00D15FD8" w:rsidP="00C46F87"/>
                          <w:p w14:paraId="5479478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BBAD978" w14:textId="77777777" w:rsidR="00D15FD8" w:rsidRDefault="00D15FD8" w:rsidP="00C46F87"/>
                          <w:p w14:paraId="5A35A3F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6E1011E" w14:textId="77777777" w:rsidR="00D15FD8" w:rsidRDefault="00D15FD8" w:rsidP="00C46F87"/>
                          <w:p w14:paraId="10F4BE6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83A5655" w14:textId="77777777" w:rsidR="00D15FD8" w:rsidRDefault="00D15FD8"/>
                          <w:p w14:paraId="46C2F667" w14:textId="110EC297" w:rsidR="00D15FD8" w:rsidRDefault="00D15FD8" w:rsidP="00C46F87">
                            <w:pPr>
                              <w:jc w:val="center"/>
                            </w:pPr>
                            <w:r>
                              <w:rPr>
                                <w:rFonts w:ascii="Arial" w:hAnsi="Arial" w:cs="Arial"/>
                                <w:b/>
                                <w:bCs/>
                                <w:color w:val="C0A4CE"/>
                                <w:sz w:val="20"/>
                                <w:szCs w:val="20"/>
                                <w:lang w:val="en-US"/>
                              </w:rPr>
                              <w:t>Georgia</w:t>
                            </w:r>
                          </w:p>
                          <w:p w14:paraId="4073961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D521E44" w14:textId="77777777" w:rsidR="00D15FD8" w:rsidRDefault="00D15FD8" w:rsidP="00C46F87"/>
                          <w:p w14:paraId="425FE0BC"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33D5174" w14:textId="77777777" w:rsidR="00D15FD8" w:rsidRDefault="00D15FD8" w:rsidP="00C46F87"/>
                          <w:p w14:paraId="126AC21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A46BAF" w14:textId="77777777" w:rsidR="00D15FD8" w:rsidRDefault="00D15FD8" w:rsidP="00C46F87"/>
                          <w:p w14:paraId="52C3DA10"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E916836" w14:textId="77777777" w:rsidR="00D15FD8" w:rsidRDefault="00D15FD8" w:rsidP="00C46F87"/>
                          <w:p w14:paraId="6B57B5A2"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EDFF5C6" w14:textId="77777777" w:rsidR="00D15FD8" w:rsidRDefault="00D15FD8" w:rsidP="00C46F87"/>
                          <w:p w14:paraId="10E4726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705286B" w14:textId="77777777" w:rsidR="00D15FD8" w:rsidRDefault="00D15FD8" w:rsidP="00C46F87"/>
                          <w:p w14:paraId="0BEC4C4B"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244ED6" id="Text Box 2812" o:spid="_x0000_s1707" type="#_x0000_t202" style="position:absolute;left:0;text-align:left;margin-left:-5.55pt;margin-top:86.1pt;width:110pt;height:20pt;z-index:2552985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" fillcolor="white [3201]" stroked="f" strokeweight=".5pt">
                <v:textbox>
                  <w:txbxContent>
                    <w:p w14:paraId="14F1A4DB" w14:textId="23A56CAD" w:rsidR="00D15FD8" w:rsidRDefault="00D15FD8" w:rsidP="00C46F87">
                      <w:pPr>
                        <w:jc w:val="center"/>
                      </w:pPr>
                      <w:r>
                        <w:rPr>
                          <w:rFonts w:ascii="Arial" w:hAnsi="Arial" w:cs="Arial"/>
                          <w:b/>
                          <w:bCs/>
                          <w:color w:val="C0A4CE"/>
                          <w:sz w:val="20"/>
                          <w:szCs w:val="20"/>
                          <w:lang w:val="en-US"/>
                        </w:rPr>
                        <w:t>Georgia</w:t>
                      </w:r>
                    </w:p>
                    <w:p w14:paraId="154E133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F430A07" w14:textId="77777777" w:rsidR="00D15FD8" w:rsidRDefault="00D15FD8" w:rsidP="00C46F87"/>
                    <w:p w14:paraId="79E4967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16D5109" w14:textId="77777777" w:rsidR="00D15FD8" w:rsidRDefault="00D15FD8" w:rsidP="00C46F87"/>
                    <w:p w14:paraId="69CA9F3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D4AA566" w14:textId="77777777" w:rsidR="00D15FD8" w:rsidRDefault="00D15FD8" w:rsidP="00C46F87"/>
                    <w:p w14:paraId="53B7F82B"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3B879B7" w14:textId="77777777" w:rsidR="00D15FD8" w:rsidRDefault="00D15FD8" w:rsidP="00C46F87"/>
                    <w:p w14:paraId="6722312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5C39C0D" w14:textId="77777777" w:rsidR="00D15FD8" w:rsidRDefault="00D15FD8" w:rsidP="00C46F87"/>
                    <w:p w14:paraId="5C466920"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3BD8A1" w14:textId="77777777" w:rsidR="00D15FD8" w:rsidRDefault="00D15FD8" w:rsidP="00C46F87"/>
                    <w:p w14:paraId="56F2507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9058CA5" w14:textId="77777777" w:rsidR="00D15FD8" w:rsidRDefault="00D15FD8"/>
                    <w:p w14:paraId="54F15E3F" w14:textId="77777777" w:rsidR="00D15FD8" w:rsidRDefault="00D15FD8" w:rsidP="00C46F87">
                      <w:pPr>
                        <w:jc w:val="center"/>
                      </w:pPr>
                      <w:r>
                        <w:rPr>
                          <w:rFonts w:ascii="Arial" w:hAnsi="Arial" w:cs="Arial"/>
                          <w:b/>
                          <w:bCs/>
                          <w:color w:val="C0A4CE"/>
                          <w:sz w:val="20"/>
                          <w:szCs w:val="20"/>
                          <w:lang w:val="en-US"/>
                        </w:rPr>
                        <w:t>Georgia</w:t>
                      </w:r>
                    </w:p>
                    <w:p w14:paraId="4AB97B9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8C72E7D" w14:textId="77777777" w:rsidR="00D15FD8" w:rsidRDefault="00D15FD8" w:rsidP="00C46F87"/>
                    <w:p w14:paraId="1C4F5B10"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B652CA3" w14:textId="77777777" w:rsidR="00D15FD8" w:rsidRDefault="00D15FD8" w:rsidP="00C46F87"/>
                    <w:p w14:paraId="636E290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29CEA3" w14:textId="77777777" w:rsidR="00D15FD8" w:rsidRDefault="00D15FD8" w:rsidP="00C46F87"/>
                    <w:p w14:paraId="22E900C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FD0C483" w14:textId="77777777" w:rsidR="00D15FD8" w:rsidRDefault="00D15FD8" w:rsidP="00C46F87"/>
                    <w:p w14:paraId="670FC21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295A06E" w14:textId="77777777" w:rsidR="00D15FD8" w:rsidRDefault="00D15FD8" w:rsidP="00C46F87"/>
                    <w:p w14:paraId="21387F0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F6D9B3E" w14:textId="77777777" w:rsidR="00D15FD8" w:rsidRDefault="00D15FD8" w:rsidP="00C46F87"/>
                    <w:p w14:paraId="7AE9446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1F1398B" w14:textId="77777777" w:rsidR="00D15FD8" w:rsidRDefault="00D15FD8"/>
                    <w:p w14:paraId="7E397085" w14:textId="77777777" w:rsidR="00D15FD8" w:rsidRDefault="00D15FD8" w:rsidP="00C46F87">
                      <w:pPr>
                        <w:jc w:val="center"/>
                      </w:pPr>
                      <w:r>
                        <w:rPr>
                          <w:rFonts w:ascii="Arial" w:hAnsi="Arial" w:cs="Arial"/>
                          <w:b/>
                          <w:bCs/>
                          <w:color w:val="C0A4CE"/>
                          <w:sz w:val="20"/>
                          <w:szCs w:val="20"/>
                          <w:lang w:val="en-US"/>
                        </w:rPr>
                        <w:t>Georgia</w:t>
                      </w:r>
                    </w:p>
                    <w:p w14:paraId="7C9E9526"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ACCD64D" w14:textId="77777777" w:rsidR="00D15FD8" w:rsidRDefault="00D15FD8" w:rsidP="00C46F87"/>
                    <w:p w14:paraId="4F463FC8"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509C694" w14:textId="77777777" w:rsidR="00D15FD8" w:rsidRDefault="00D15FD8" w:rsidP="00C46F87"/>
                    <w:p w14:paraId="7313FD52"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0EA1FA8" w14:textId="77777777" w:rsidR="00D15FD8" w:rsidRDefault="00D15FD8" w:rsidP="00C46F87"/>
                    <w:p w14:paraId="10CD6D6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3EA4462" w14:textId="77777777" w:rsidR="00D15FD8" w:rsidRDefault="00D15FD8" w:rsidP="00C46F87"/>
                    <w:p w14:paraId="3D4E402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DFF6510" w14:textId="77777777" w:rsidR="00D15FD8" w:rsidRDefault="00D15FD8" w:rsidP="00C46F87"/>
                    <w:p w14:paraId="49D51BA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F92FE2F" w14:textId="77777777" w:rsidR="00D15FD8" w:rsidRDefault="00D15FD8" w:rsidP="00C46F87"/>
                    <w:p w14:paraId="152E181C"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5FA524" w14:textId="77777777" w:rsidR="00D15FD8" w:rsidRDefault="00D15FD8"/>
                    <w:p w14:paraId="044F2E0C" w14:textId="77777777" w:rsidR="00D15FD8" w:rsidRDefault="00D15FD8" w:rsidP="00C46F87">
                      <w:pPr>
                        <w:jc w:val="center"/>
                      </w:pPr>
                      <w:r>
                        <w:rPr>
                          <w:rFonts w:ascii="Arial" w:hAnsi="Arial" w:cs="Arial"/>
                          <w:b/>
                          <w:bCs/>
                          <w:color w:val="C0A4CE"/>
                          <w:sz w:val="20"/>
                          <w:szCs w:val="20"/>
                          <w:lang w:val="en-US"/>
                        </w:rPr>
                        <w:t>Georgia</w:t>
                      </w:r>
                    </w:p>
                    <w:p w14:paraId="6CA63F46"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0D6541F" w14:textId="77777777" w:rsidR="00D15FD8" w:rsidRDefault="00D15FD8" w:rsidP="00C46F87"/>
                    <w:p w14:paraId="7965EE1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66CF254" w14:textId="77777777" w:rsidR="00D15FD8" w:rsidRDefault="00D15FD8" w:rsidP="00C46F87"/>
                    <w:p w14:paraId="2C995D0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293A214" w14:textId="77777777" w:rsidR="00D15FD8" w:rsidRDefault="00D15FD8" w:rsidP="00C46F87"/>
                    <w:p w14:paraId="44BD916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77F5EAE" w14:textId="77777777" w:rsidR="00D15FD8" w:rsidRDefault="00D15FD8" w:rsidP="00C46F87"/>
                    <w:p w14:paraId="2C5FF94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8EAD7E1" w14:textId="77777777" w:rsidR="00D15FD8" w:rsidRDefault="00D15FD8" w:rsidP="00C46F87"/>
                    <w:p w14:paraId="6468D0B1"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1AFD2E" w14:textId="77777777" w:rsidR="00D15FD8" w:rsidRDefault="00D15FD8" w:rsidP="00C46F87"/>
                    <w:p w14:paraId="3A6F903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4FDA61D" w14:textId="77777777" w:rsidR="00D15FD8" w:rsidRDefault="00D15FD8"/>
                    <w:p w14:paraId="066B54D3" w14:textId="71DA8F95" w:rsidR="00D15FD8" w:rsidRDefault="00D15FD8" w:rsidP="00C46F87">
                      <w:pPr>
                        <w:jc w:val="center"/>
                      </w:pPr>
                      <w:r>
                        <w:rPr>
                          <w:rFonts w:ascii="Arial" w:hAnsi="Arial" w:cs="Arial"/>
                          <w:b/>
                          <w:bCs/>
                          <w:color w:val="C0A4CE"/>
                          <w:sz w:val="20"/>
                          <w:szCs w:val="20"/>
                          <w:lang w:val="en-US"/>
                        </w:rPr>
                        <w:t>Georgia</w:t>
                      </w:r>
                    </w:p>
                    <w:p w14:paraId="5EA1D1B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0F6E94B" w14:textId="77777777" w:rsidR="00D15FD8" w:rsidRDefault="00D15FD8" w:rsidP="00C46F87"/>
                    <w:p w14:paraId="1B60A23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53CB648" w14:textId="77777777" w:rsidR="00D15FD8" w:rsidRDefault="00D15FD8" w:rsidP="00C46F87"/>
                    <w:p w14:paraId="6529CF5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0053E31" w14:textId="77777777" w:rsidR="00D15FD8" w:rsidRDefault="00D15FD8" w:rsidP="00C46F87"/>
                    <w:p w14:paraId="342F86A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E4CF4D5" w14:textId="77777777" w:rsidR="00D15FD8" w:rsidRDefault="00D15FD8" w:rsidP="00C46F87"/>
                    <w:p w14:paraId="09594C26"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1CB0D32" w14:textId="77777777" w:rsidR="00D15FD8" w:rsidRDefault="00D15FD8" w:rsidP="00C46F87"/>
                    <w:p w14:paraId="25C6044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89E7B05" w14:textId="77777777" w:rsidR="00D15FD8" w:rsidRDefault="00D15FD8" w:rsidP="00C46F87"/>
                    <w:p w14:paraId="32E2523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F7A1627" w14:textId="77777777" w:rsidR="00D15FD8" w:rsidRDefault="00D15FD8"/>
                    <w:p w14:paraId="79B092C8" w14:textId="77777777" w:rsidR="00D15FD8" w:rsidRDefault="00D15FD8" w:rsidP="00C46F87">
                      <w:pPr>
                        <w:jc w:val="center"/>
                      </w:pPr>
                      <w:r>
                        <w:rPr>
                          <w:rFonts w:ascii="Arial" w:hAnsi="Arial" w:cs="Arial"/>
                          <w:b/>
                          <w:bCs/>
                          <w:color w:val="C0A4CE"/>
                          <w:sz w:val="20"/>
                          <w:szCs w:val="20"/>
                          <w:lang w:val="en-US"/>
                        </w:rPr>
                        <w:t>Georgia</w:t>
                      </w:r>
                    </w:p>
                    <w:p w14:paraId="05FC00D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FB8E716" w14:textId="77777777" w:rsidR="00D15FD8" w:rsidRDefault="00D15FD8" w:rsidP="00C46F87"/>
                    <w:p w14:paraId="63860C8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89CB46D" w14:textId="77777777" w:rsidR="00D15FD8" w:rsidRDefault="00D15FD8" w:rsidP="00C46F87"/>
                    <w:p w14:paraId="1EC2715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831C34" w14:textId="77777777" w:rsidR="00D15FD8" w:rsidRDefault="00D15FD8" w:rsidP="00C46F87"/>
                    <w:p w14:paraId="54DDCB8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BD71087" w14:textId="77777777" w:rsidR="00D15FD8" w:rsidRDefault="00D15FD8" w:rsidP="00C46F87"/>
                    <w:p w14:paraId="64A1F43E"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423C943" w14:textId="77777777" w:rsidR="00D15FD8" w:rsidRDefault="00D15FD8" w:rsidP="00C46F87"/>
                    <w:p w14:paraId="5BECE7E7"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A897D95" w14:textId="77777777" w:rsidR="00D15FD8" w:rsidRDefault="00D15FD8" w:rsidP="00C46F87"/>
                    <w:p w14:paraId="77A38FD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8D2660D" w14:textId="77777777" w:rsidR="00D15FD8" w:rsidRDefault="00D15FD8"/>
                    <w:p w14:paraId="5EEF031A" w14:textId="1AA1E20F" w:rsidR="00D15FD8" w:rsidRDefault="00D15FD8" w:rsidP="00C46F87">
                      <w:pPr>
                        <w:jc w:val="center"/>
                      </w:pPr>
                      <w:r>
                        <w:rPr>
                          <w:rFonts w:ascii="Arial" w:hAnsi="Arial" w:cs="Arial"/>
                          <w:b/>
                          <w:bCs/>
                          <w:color w:val="C0A4CE"/>
                          <w:sz w:val="20"/>
                          <w:szCs w:val="20"/>
                          <w:lang w:val="en-US"/>
                        </w:rPr>
                        <w:t>Georgia</w:t>
                      </w:r>
                    </w:p>
                    <w:p w14:paraId="1256F14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C7251A3" w14:textId="77777777" w:rsidR="00D15FD8" w:rsidRDefault="00D15FD8" w:rsidP="00C46F87"/>
                    <w:p w14:paraId="38B299D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6C43C06" w14:textId="77777777" w:rsidR="00D15FD8" w:rsidRDefault="00D15FD8" w:rsidP="00C46F87"/>
                    <w:p w14:paraId="213F7C23"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B8A08E8" w14:textId="77777777" w:rsidR="00D15FD8" w:rsidRDefault="00D15FD8" w:rsidP="00C46F87"/>
                    <w:p w14:paraId="19847CFB"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ABB74B7" w14:textId="77777777" w:rsidR="00D15FD8" w:rsidRDefault="00D15FD8" w:rsidP="00C46F87"/>
                    <w:p w14:paraId="5479478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BBAD978" w14:textId="77777777" w:rsidR="00D15FD8" w:rsidRDefault="00D15FD8" w:rsidP="00C46F87"/>
                    <w:p w14:paraId="5A35A3FD"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6E1011E" w14:textId="77777777" w:rsidR="00D15FD8" w:rsidRDefault="00D15FD8" w:rsidP="00C46F87"/>
                    <w:p w14:paraId="10F4BE6F"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83A5655" w14:textId="77777777" w:rsidR="00D15FD8" w:rsidRDefault="00D15FD8"/>
                    <w:p w14:paraId="46C2F667" w14:textId="110EC297" w:rsidR="00D15FD8" w:rsidRDefault="00D15FD8" w:rsidP="00C46F87">
                      <w:pPr>
                        <w:jc w:val="center"/>
                      </w:pPr>
                      <w:r>
                        <w:rPr>
                          <w:rFonts w:ascii="Arial" w:hAnsi="Arial" w:cs="Arial"/>
                          <w:b/>
                          <w:bCs/>
                          <w:color w:val="C0A4CE"/>
                          <w:sz w:val="20"/>
                          <w:szCs w:val="20"/>
                          <w:lang w:val="en-US"/>
                        </w:rPr>
                        <w:t>Georgia</w:t>
                      </w:r>
                    </w:p>
                    <w:p w14:paraId="40739619"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D521E44" w14:textId="77777777" w:rsidR="00D15FD8" w:rsidRDefault="00D15FD8" w:rsidP="00C46F87"/>
                    <w:p w14:paraId="425FE0BC"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33D5174" w14:textId="77777777" w:rsidR="00D15FD8" w:rsidRDefault="00D15FD8" w:rsidP="00C46F87"/>
                    <w:p w14:paraId="126AC215"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A46BAF" w14:textId="77777777" w:rsidR="00D15FD8" w:rsidRDefault="00D15FD8" w:rsidP="00C46F87"/>
                    <w:p w14:paraId="52C3DA10"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E916836" w14:textId="77777777" w:rsidR="00D15FD8" w:rsidRDefault="00D15FD8" w:rsidP="00C46F87"/>
                    <w:p w14:paraId="6B57B5A2"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EDFF5C6" w14:textId="77777777" w:rsidR="00D15FD8" w:rsidRDefault="00D15FD8" w:rsidP="00C46F87"/>
                    <w:p w14:paraId="10E47264"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705286B" w14:textId="77777777" w:rsidR="00D15FD8" w:rsidRDefault="00D15FD8" w:rsidP="00C46F87"/>
                    <w:p w14:paraId="0BEC4C4B" w14:textId="77777777" w:rsidR="00D15FD8" w:rsidRPr="002F1D63" w:rsidRDefault="00D15FD8" w:rsidP="00C46F87">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txbxContent>
                </v:textbox>
              </v:shape>
            </w:pict>
          </mc:Fallback>
        </mc:AlternateContent>
      </w:r>
      <w:r>
        <w:rPr>
          <w:noProof/>
          <w:lang w:val="en-US"/>
        </w:rPr>
        <w:drawing>
          <wp:anchor distT="0" distB="0" distL="114300" distR="114300" simplePos="0" relativeHeight="254703614" behindDoc="0" locked="0" layoutInCell="1" allowOverlap="1" wp14:anchorId="02B0C398" wp14:editId="5A3BBD8B">
            <wp:simplePos x="0" y="0"/>
            <wp:positionH relativeFrom="column">
              <wp:posOffset>0</wp:posOffset>
            </wp:positionH>
            <wp:positionV relativeFrom="paragraph">
              <wp:posOffset>189865</wp:posOffset>
            </wp:positionV>
            <wp:extent cx="1255395" cy="838200"/>
            <wp:effectExtent l="25400" t="25400" r="90805" b="88900"/>
            <wp:wrapSquare wrapText="bothSides"/>
            <wp:docPr id="2649" name="Picture 2649" descr="flag of Georgia | national flag of the country of Georg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Georgia | national flag of the country of Georgia ..."/>
                    <pic:cNvPicPr>
                      <a:picLocks noChangeAspect="1" noChangeArrowheads="1"/>
                    </pic:cNvPicPr>
                  </pic:nvPicPr>
                  <pic:blipFill>
                    <a:blip r:embed="rId1309" cstate="email">
                      <a:extLst>
                        <a:ext uri="{28A0092B-C50C-407E-A947-70E740481C1C}">
                          <a14:useLocalDpi xmlns:a14="http://schemas.microsoft.com/office/drawing/2010/main"/>
                        </a:ext>
                      </a:extLst>
                    </a:blip>
                    <a:srcRect/>
                    <a:stretch>
                      <a:fillRect/>
                    </a:stretch>
                  </pic:blipFill>
                  <pic:spPr bwMode="auto">
                    <a:xfrm flipH="1">
                      <a:off x="0" y="0"/>
                      <a:ext cx="1255395" cy="8382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225796C" w14:textId="54F46F27" w:rsidR="00E4479B" w:rsidRPr="00EB2A7C" w:rsidRDefault="0087283F" w:rsidP="00EB2A7C">
      <w:pPr>
        <w:tabs>
          <w:tab w:val="num" w:pos="720"/>
        </w:tabs>
        <w:spacing w:line="276" w:lineRule="auto"/>
        <w:jc w:val="both"/>
        <w:rPr>
          <w:rFonts w:ascii="Arial" w:hAnsi="Arial" w:cs="Arial"/>
          <w:sz w:val="24"/>
          <w:szCs w:val="24"/>
        </w:rPr>
      </w:pPr>
      <w:r>
        <w:fldChar w:fldCharType="begin"/>
      </w:r>
      <w:r>
        <w:instrText xml:space="preserve"> INCLUDEPICTURE "https://cdn.britannica.com/17/4717-004-6F48198E/Flag-Republic-of-Georgia.jpg" \* MERGEFORMATINET </w:instrText>
      </w:r>
      <w:r>
        <w:fldChar w:fldCharType="end"/>
      </w:r>
      <w:r w:rsidR="00E4479B" w:rsidRPr="00EB2A7C">
        <w:rPr>
          <w:rFonts w:ascii="Arial" w:hAnsi="Arial" w:cs="Arial"/>
          <w:sz w:val="24"/>
          <w:szCs w:val="24"/>
        </w:rPr>
        <w:t>In the 2006 Open Budget Survey, Georgia demonstrated only minimal levels of fiscal transparency. This steadily improved over the years, culminating in it taking first place in the 2021 Survey, scoring an impressive Open Budget Index score of 87 out of 100, showing its ongoing commitment to institutionalizing good budgeting practices</w:t>
      </w:r>
      <w:r w:rsidR="00E4479B" w:rsidRPr="00EB2A7C">
        <w:rPr>
          <w:rStyle w:val="FootnoteReference"/>
          <w:rFonts w:ascii="Arial" w:hAnsi="Arial" w:cs="Arial"/>
          <w:sz w:val="24"/>
          <w:szCs w:val="24"/>
        </w:rPr>
        <w:footnoteReference w:id="107"/>
      </w:r>
      <w:r w:rsidR="00E4479B" w:rsidRPr="00EB2A7C">
        <w:rPr>
          <w:rFonts w:ascii="Arial" w:hAnsi="Arial" w:cs="Arial"/>
          <w:sz w:val="24"/>
          <w:szCs w:val="24"/>
        </w:rPr>
        <w:t xml:space="preserve">. </w:t>
      </w:r>
    </w:p>
    <w:p w14:paraId="4961D3FF" w14:textId="72EA34C4" w:rsidR="00DF2EA7" w:rsidRDefault="00DF2EA7" w:rsidP="00EB2A7C">
      <w:pPr>
        <w:tabs>
          <w:tab w:val="num" w:pos="720"/>
        </w:tabs>
        <w:spacing w:line="276" w:lineRule="auto"/>
        <w:jc w:val="both"/>
        <w:rPr>
          <w:rFonts w:ascii="Arial" w:hAnsi="Arial" w:cs="Arial"/>
          <w:sz w:val="24"/>
          <w:szCs w:val="24"/>
        </w:rPr>
      </w:pPr>
    </w:p>
    <w:p w14:paraId="42AFEB1E" w14:textId="67FBFE90" w:rsidR="00E4479B" w:rsidRPr="00EB2A7C" w:rsidRDefault="0087283F" w:rsidP="00EB2A7C">
      <w:pPr>
        <w:tabs>
          <w:tab w:val="num" w:pos="720"/>
        </w:tabs>
        <w:spacing w:line="276" w:lineRule="auto"/>
        <w:jc w:val="both"/>
        <w:rPr>
          <w:rFonts w:ascii="Arial" w:hAnsi="Arial" w:cs="Arial"/>
          <w:sz w:val="24"/>
          <w:szCs w:val="24"/>
        </w:rPr>
      </w:pPr>
      <w:r>
        <w:rPr>
          <w:rFonts w:ascii="Arial" w:hAnsi="Arial" w:cs="Arial"/>
          <w:noProof/>
          <w:sz w:val="24"/>
          <w:szCs w:val="24"/>
          <w:lang w:val="en-US"/>
        </w:rPr>
        <w:drawing>
          <wp:anchor distT="0" distB="0" distL="114300" distR="114300" simplePos="0" relativeHeight="254697470" behindDoc="0" locked="0" layoutInCell="1" allowOverlap="1" wp14:anchorId="5D67027E" wp14:editId="4885E60D">
            <wp:simplePos x="0" y="0"/>
            <wp:positionH relativeFrom="column">
              <wp:posOffset>0</wp:posOffset>
            </wp:positionH>
            <wp:positionV relativeFrom="paragraph">
              <wp:posOffset>161402</wp:posOffset>
            </wp:positionV>
            <wp:extent cx="582930" cy="410210"/>
            <wp:effectExtent l="0" t="0" r="1270" b="0"/>
            <wp:wrapSquare wrapText="bothSides"/>
            <wp:docPr id="2639" name="Picture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698494" behindDoc="0" locked="0" layoutInCell="1" allowOverlap="1" wp14:anchorId="0D5767BC" wp14:editId="1C320A11">
                <wp:simplePos x="0" y="0"/>
                <wp:positionH relativeFrom="column">
                  <wp:posOffset>658495</wp:posOffset>
                </wp:positionH>
                <wp:positionV relativeFrom="paragraph">
                  <wp:posOffset>196962</wp:posOffset>
                </wp:positionV>
                <wp:extent cx="1028700" cy="355600"/>
                <wp:effectExtent l="0" t="0" r="0" b="0"/>
                <wp:wrapSquare wrapText="bothSides"/>
                <wp:docPr id="2638" name="Rounded Rectangle 2638"/>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34F570F1" id="Rounded Rectangle 2638" o:spid="_x0000_s1026" style="position:absolute;margin-left:51.85pt;margin-top:15.5pt;width:81pt;height:28pt;z-index:25469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" fillcolor="#16988a" stroked="f" strokeweight="1pt">
                <v:stroke joinstyle="miter"/>
                <w10:wrap type="square"/>
              </v:roundrect>
            </w:pict>
          </mc:Fallback>
        </mc:AlternateContent>
      </w:r>
    </w:p>
    <w:p w14:paraId="71DBB14A" w14:textId="3147275F" w:rsidR="00E4479B" w:rsidRPr="00EB2A7C" w:rsidRDefault="00E4479B" w:rsidP="00EB2A7C">
      <w:pPr>
        <w:tabs>
          <w:tab w:val="num" w:pos="720"/>
        </w:tabs>
        <w:spacing w:line="276" w:lineRule="auto"/>
        <w:jc w:val="both"/>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4699518" behindDoc="0" locked="0" layoutInCell="1" allowOverlap="1" wp14:anchorId="6306D9C5" wp14:editId="4061B690">
                <wp:simplePos x="0" y="0"/>
                <wp:positionH relativeFrom="column">
                  <wp:posOffset>697230</wp:posOffset>
                </wp:positionH>
                <wp:positionV relativeFrom="paragraph">
                  <wp:posOffset>29957</wp:posOffset>
                </wp:positionV>
                <wp:extent cx="952500" cy="290286"/>
                <wp:effectExtent l="0" t="0" r="0" b="0"/>
                <wp:wrapNone/>
                <wp:docPr id="2640" name="Text Box 2640"/>
                <wp:cNvGraphicFramePr/>
                <a:graphic xmlns:a="http://schemas.openxmlformats.org/drawingml/2006/main">
                  <a:graphicData uri="http://schemas.microsoft.com/office/word/2010/wordprocessingShape">
                    <wps:wsp>
                      <wps:cNvSpPr txBox="1"/>
                      <wps:spPr>
                        <a:xfrm>
                          <a:off x="0" y="0"/>
                          <a:ext cx="952500" cy="290286"/>
                        </a:xfrm>
                        <a:prstGeom prst="rect">
                          <a:avLst/>
                        </a:prstGeom>
                        <a:noFill/>
                        <a:ln w="6350">
                          <a:noFill/>
                        </a:ln>
                      </wps:spPr>
                      <wps:txbx>
                        <w:txbxContent>
                          <w:p w14:paraId="3656E4CF" w14:textId="3B77BAC0" w:rsidR="00D15FD8" w:rsidRPr="002F1D63" w:rsidRDefault="00AC4DF7" w:rsidP="002F1D63">
                            <w:pPr>
                              <w:jc w:val="center"/>
                              <w:rPr>
                                <w:b/>
                                <w:bCs/>
                                <w:color w:val="FFFFFF" w:themeColor="background1"/>
                                <w:u w:val="single"/>
                              </w:rPr>
                            </w:pPr>
                            <w:hyperlink r:id="rId131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E94B92F" w14:textId="77777777" w:rsidR="00D15FD8" w:rsidRDefault="00D15FD8"/>
                          <w:p w14:paraId="6A910DB3" w14:textId="77777777" w:rsidR="00D15FD8" w:rsidRPr="002F1D63" w:rsidRDefault="00AC4DF7" w:rsidP="002F1D63">
                            <w:pPr>
                              <w:jc w:val="center"/>
                              <w:rPr>
                                <w:b/>
                                <w:bCs/>
                                <w:color w:val="FFFFFF" w:themeColor="background1"/>
                                <w:u w:val="single"/>
                              </w:rPr>
                            </w:pPr>
                            <w:hyperlink r:id="rId131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9C76CC2" w14:textId="77777777" w:rsidR="00D15FD8" w:rsidRDefault="00D15FD8"/>
                          <w:p w14:paraId="52A43B6C" w14:textId="77777777" w:rsidR="00D15FD8" w:rsidRPr="002F1D63" w:rsidRDefault="00AC4DF7" w:rsidP="002F1D63">
                            <w:pPr>
                              <w:jc w:val="center"/>
                              <w:rPr>
                                <w:b/>
                                <w:bCs/>
                                <w:color w:val="FFFFFF" w:themeColor="background1"/>
                                <w:u w:val="single"/>
                              </w:rPr>
                            </w:pPr>
                            <w:hyperlink r:id="rId131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1887C20" w14:textId="77777777" w:rsidR="00D15FD8" w:rsidRDefault="00D15FD8"/>
                          <w:p w14:paraId="6C0E7B97" w14:textId="77777777" w:rsidR="00D15FD8" w:rsidRPr="002F1D63" w:rsidRDefault="00AC4DF7" w:rsidP="002F1D63">
                            <w:pPr>
                              <w:jc w:val="center"/>
                              <w:rPr>
                                <w:b/>
                                <w:bCs/>
                                <w:color w:val="FFFFFF" w:themeColor="background1"/>
                                <w:u w:val="single"/>
                              </w:rPr>
                            </w:pPr>
                            <w:hyperlink r:id="rId131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2A830E5" w14:textId="77777777" w:rsidR="00D15FD8" w:rsidRDefault="00D15FD8"/>
                          <w:p w14:paraId="0968628A" w14:textId="77777777" w:rsidR="00D15FD8" w:rsidRPr="002F1D63" w:rsidRDefault="00AC4DF7" w:rsidP="002F1D63">
                            <w:pPr>
                              <w:jc w:val="center"/>
                              <w:rPr>
                                <w:b/>
                                <w:bCs/>
                                <w:color w:val="FFFFFF" w:themeColor="background1"/>
                                <w:u w:val="single"/>
                              </w:rPr>
                            </w:pPr>
                            <w:hyperlink r:id="rId131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498F519" w14:textId="77777777" w:rsidR="00D15FD8" w:rsidRDefault="00D15FD8"/>
                          <w:p w14:paraId="7AFF6396" w14:textId="77777777" w:rsidR="00D15FD8" w:rsidRPr="002F1D63" w:rsidRDefault="00AC4DF7" w:rsidP="002F1D63">
                            <w:pPr>
                              <w:jc w:val="center"/>
                              <w:rPr>
                                <w:b/>
                                <w:bCs/>
                                <w:color w:val="FFFFFF" w:themeColor="background1"/>
                                <w:u w:val="single"/>
                              </w:rPr>
                            </w:pPr>
                            <w:hyperlink r:id="rId131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29C662F" w14:textId="77777777" w:rsidR="00D15FD8" w:rsidRDefault="00D15FD8"/>
                          <w:p w14:paraId="3508F337" w14:textId="77777777" w:rsidR="00D15FD8" w:rsidRPr="002F1D63" w:rsidRDefault="00AC4DF7" w:rsidP="002F1D63">
                            <w:pPr>
                              <w:jc w:val="center"/>
                              <w:rPr>
                                <w:b/>
                                <w:bCs/>
                                <w:color w:val="FFFFFF" w:themeColor="background1"/>
                                <w:u w:val="single"/>
                              </w:rPr>
                            </w:pPr>
                            <w:hyperlink r:id="rId131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3674C2A" w14:textId="77777777" w:rsidR="00D15FD8" w:rsidRDefault="00D15FD8"/>
                          <w:p w14:paraId="1CE1B02A" w14:textId="77777777" w:rsidR="00D15FD8" w:rsidRPr="002F1D63" w:rsidRDefault="00AC4DF7" w:rsidP="002F1D63">
                            <w:pPr>
                              <w:jc w:val="center"/>
                              <w:rPr>
                                <w:b/>
                                <w:bCs/>
                                <w:color w:val="FFFFFF" w:themeColor="background1"/>
                                <w:u w:val="single"/>
                              </w:rPr>
                            </w:pPr>
                            <w:hyperlink r:id="rId131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9300AFC" w14:textId="77777777" w:rsidR="00D15FD8" w:rsidRDefault="00D15FD8"/>
                          <w:p w14:paraId="63222336" w14:textId="77777777" w:rsidR="00D15FD8" w:rsidRPr="002F1D63" w:rsidRDefault="00AC4DF7" w:rsidP="002F1D63">
                            <w:pPr>
                              <w:jc w:val="center"/>
                              <w:rPr>
                                <w:b/>
                                <w:bCs/>
                                <w:color w:val="FFFFFF" w:themeColor="background1"/>
                                <w:u w:val="single"/>
                              </w:rPr>
                            </w:pPr>
                            <w:hyperlink r:id="rId131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FADBB44" w14:textId="77777777" w:rsidR="00D15FD8" w:rsidRDefault="00D15FD8"/>
                          <w:p w14:paraId="36F5E1B7" w14:textId="77777777" w:rsidR="00D15FD8" w:rsidRPr="002F1D63" w:rsidRDefault="00AC4DF7" w:rsidP="002F1D63">
                            <w:pPr>
                              <w:jc w:val="center"/>
                              <w:rPr>
                                <w:b/>
                                <w:bCs/>
                                <w:color w:val="FFFFFF" w:themeColor="background1"/>
                                <w:u w:val="single"/>
                              </w:rPr>
                            </w:pPr>
                            <w:hyperlink r:id="rId131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1E1044C" w14:textId="77777777" w:rsidR="00D15FD8" w:rsidRDefault="00D15FD8"/>
                          <w:p w14:paraId="006E90C9" w14:textId="77777777" w:rsidR="00D15FD8" w:rsidRPr="002F1D63" w:rsidRDefault="00AC4DF7" w:rsidP="002F1D63">
                            <w:pPr>
                              <w:jc w:val="center"/>
                              <w:rPr>
                                <w:b/>
                                <w:bCs/>
                                <w:color w:val="FFFFFF" w:themeColor="background1"/>
                                <w:u w:val="single"/>
                              </w:rPr>
                            </w:pPr>
                            <w:hyperlink r:id="rId132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CB512D6" w14:textId="77777777" w:rsidR="00D15FD8" w:rsidRDefault="00D15FD8"/>
                          <w:p w14:paraId="39A06ED7" w14:textId="77777777" w:rsidR="00D15FD8" w:rsidRPr="002F1D63" w:rsidRDefault="00AC4DF7" w:rsidP="002F1D63">
                            <w:pPr>
                              <w:jc w:val="center"/>
                              <w:rPr>
                                <w:b/>
                                <w:bCs/>
                                <w:color w:val="FFFFFF" w:themeColor="background1"/>
                                <w:u w:val="single"/>
                              </w:rPr>
                            </w:pPr>
                            <w:hyperlink r:id="rId132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AC8FDF1" w14:textId="77777777" w:rsidR="00D15FD8" w:rsidRDefault="00D15FD8"/>
                          <w:p w14:paraId="6BC2E1D0" w14:textId="77777777" w:rsidR="00D15FD8" w:rsidRPr="002F1D63" w:rsidRDefault="00AC4DF7" w:rsidP="002F1D63">
                            <w:pPr>
                              <w:jc w:val="center"/>
                              <w:rPr>
                                <w:b/>
                                <w:bCs/>
                                <w:color w:val="FFFFFF" w:themeColor="background1"/>
                                <w:u w:val="single"/>
                              </w:rPr>
                            </w:pPr>
                            <w:hyperlink r:id="rId132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E5DCB8B" w14:textId="77777777" w:rsidR="00D15FD8" w:rsidRDefault="00D15FD8"/>
                          <w:p w14:paraId="5F566B63" w14:textId="77777777" w:rsidR="00D15FD8" w:rsidRPr="002F1D63" w:rsidRDefault="00AC4DF7" w:rsidP="002F1D63">
                            <w:pPr>
                              <w:jc w:val="center"/>
                              <w:rPr>
                                <w:b/>
                                <w:bCs/>
                                <w:color w:val="FFFFFF" w:themeColor="background1"/>
                                <w:u w:val="single"/>
                              </w:rPr>
                            </w:pPr>
                            <w:hyperlink r:id="rId132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1629148" w14:textId="77777777" w:rsidR="00D15FD8" w:rsidRDefault="00D15FD8"/>
                          <w:p w14:paraId="0D6C223E" w14:textId="77777777" w:rsidR="00D15FD8" w:rsidRPr="002F1D63" w:rsidRDefault="00AC4DF7" w:rsidP="002F1D63">
                            <w:pPr>
                              <w:jc w:val="center"/>
                              <w:rPr>
                                <w:b/>
                                <w:bCs/>
                                <w:color w:val="FFFFFF" w:themeColor="background1"/>
                                <w:u w:val="single"/>
                              </w:rPr>
                            </w:pPr>
                            <w:hyperlink r:id="rId132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86A6903" w14:textId="77777777" w:rsidR="00D15FD8" w:rsidRDefault="00D15FD8"/>
                          <w:p w14:paraId="754B4C50" w14:textId="77777777" w:rsidR="00D15FD8" w:rsidRPr="002F1D63" w:rsidRDefault="00AC4DF7" w:rsidP="002F1D63">
                            <w:pPr>
                              <w:jc w:val="center"/>
                              <w:rPr>
                                <w:b/>
                                <w:bCs/>
                                <w:color w:val="FFFFFF" w:themeColor="background1"/>
                                <w:u w:val="single"/>
                              </w:rPr>
                            </w:pPr>
                            <w:hyperlink r:id="rId132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4BB8A0D" w14:textId="77777777" w:rsidR="00D15FD8" w:rsidRDefault="00D15FD8"/>
                          <w:p w14:paraId="09AC11A2" w14:textId="77777777" w:rsidR="00D15FD8" w:rsidRPr="002F1D63" w:rsidRDefault="00AC4DF7" w:rsidP="002F1D63">
                            <w:pPr>
                              <w:jc w:val="center"/>
                              <w:rPr>
                                <w:b/>
                                <w:bCs/>
                                <w:color w:val="FFFFFF" w:themeColor="background1"/>
                                <w:u w:val="single"/>
                              </w:rPr>
                            </w:pPr>
                            <w:hyperlink r:id="rId132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92D1F76" w14:textId="77777777" w:rsidR="00D15FD8" w:rsidRDefault="00D15FD8"/>
                          <w:p w14:paraId="431CC0C4" w14:textId="77777777" w:rsidR="00D15FD8" w:rsidRPr="002F1D63" w:rsidRDefault="00AC4DF7" w:rsidP="002F1D63">
                            <w:pPr>
                              <w:jc w:val="center"/>
                              <w:rPr>
                                <w:b/>
                                <w:bCs/>
                                <w:color w:val="FFFFFF" w:themeColor="background1"/>
                                <w:u w:val="single"/>
                              </w:rPr>
                            </w:pPr>
                            <w:hyperlink r:id="rId132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11C034F" w14:textId="77777777" w:rsidR="00D15FD8" w:rsidRDefault="00D15FD8"/>
                          <w:p w14:paraId="6AB7BAF3" w14:textId="77777777" w:rsidR="00D15FD8" w:rsidRPr="002F1D63" w:rsidRDefault="00AC4DF7" w:rsidP="002F1D63">
                            <w:pPr>
                              <w:jc w:val="center"/>
                              <w:rPr>
                                <w:b/>
                                <w:bCs/>
                                <w:color w:val="FFFFFF" w:themeColor="background1"/>
                                <w:u w:val="single"/>
                              </w:rPr>
                            </w:pPr>
                            <w:hyperlink r:id="rId132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58BE089" w14:textId="77777777" w:rsidR="00D15FD8" w:rsidRDefault="00D15FD8"/>
                          <w:p w14:paraId="02319C99" w14:textId="77777777" w:rsidR="00D15FD8" w:rsidRPr="002F1D63" w:rsidRDefault="00AC4DF7" w:rsidP="002F1D63">
                            <w:pPr>
                              <w:jc w:val="center"/>
                              <w:rPr>
                                <w:b/>
                                <w:bCs/>
                                <w:color w:val="FFFFFF" w:themeColor="background1"/>
                                <w:u w:val="single"/>
                              </w:rPr>
                            </w:pPr>
                            <w:hyperlink r:id="rId132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4514F3B" w14:textId="77777777" w:rsidR="00D15FD8" w:rsidRDefault="00D15FD8"/>
                          <w:p w14:paraId="7E59665F" w14:textId="77777777" w:rsidR="00D15FD8" w:rsidRPr="002F1D63" w:rsidRDefault="00AC4DF7" w:rsidP="002F1D63">
                            <w:pPr>
                              <w:jc w:val="center"/>
                              <w:rPr>
                                <w:b/>
                                <w:bCs/>
                                <w:color w:val="FFFFFF" w:themeColor="background1"/>
                                <w:u w:val="single"/>
                              </w:rPr>
                            </w:pPr>
                            <w:hyperlink r:id="rId133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6B9367C" w14:textId="77777777" w:rsidR="00D15FD8" w:rsidRDefault="00D15FD8"/>
                          <w:p w14:paraId="4A6C0325" w14:textId="77777777" w:rsidR="00D15FD8" w:rsidRPr="002F1D63" w:rsidRDefault="00AC4DF7" w:rsidP="002F1D63">
                            <w:pPr>
                              <w:jc w:val="center"/>
                              <w:rPr>
                                <w:b/>
                                <w:bCs/>
                                <w:color w:val="FFFFFF" w:themeColor="background1"/>
                                <w:u w:val="single"/>
                              </w:rPr>
                            </w:pPr>
                            <w:hyperlink r:id="rId133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CC182F3" w14:textId="77777777" w:rsidR="00D15FD8" w:rsidRDefault="00D15FD8"/>
                          <w:p w14:paraId="16C97C52" w14:textId="77777777" w:rsidR="00D15FD8" w:rsidRPr="002F1D63" w:rsidRDefault="00AC4DF7" w:rsidP="002F1D63">
                            <w:pPr>
                              <w:jc w:val="center"/>
                              <w:rPr>
                                <w:b/>
                                <w:bCs/>
                                <w:color w:val="FFFFFF" w:themeColor="background1"/>
                                <w:u w:val="single"/>
                              </w:rPr>
                            </w:pPr>
                            <w:hyperlink r:id="rId133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AB319AC" w14:textId="77777777" w:rsidR="00D15FD8" w:rsidRDefault="00D15FD8"/>
                          <w:p w14:paraId="53ECCB0D" w14:textId="77777777" w:rsidR="00D15FD8" w:rsidRPr="002F1D63" w:rsidRDefault="00AC4DF7" w:rsidP="002F1D63">
                            <w:pPr>
                              <w:jc w:val="center"/>
                              <w:rPr>
                                <w:b/>
                                <w:bCs/>
                                <w:color w:val="FFFFFF" w:themeColor="background1"/>
                                <w:u w:val="single"/>
                              </w:rPr>
                            </w:pPr>
                            <w:hyperlink r:id="rId133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E369D52" w14:textId="77777777" w:rsidR="00D15FD8" w:rsidRDefault="00D15FD8"/>
                          <w:p w14:paraId="503E2655" w14:textId="77777777" w:rsidR="00D15FD8" w:rsidRPr="002F1D63" w:rsidRDefault="00AC4DF7" w:rsidP="002F1D63">
                            <w:pPr>
                              <w:jc w:val="center"/>
                              <w:rPr>
                                <w:b/>
                                <w:bCs/>
                                <w:color w:val="FFFFFF" w:themeColor="background1"/>
                                <w:u w:val="single"/>
                              </w:rPr>
                            </w:pPr>
                            <w:hyperlink r:id="rId133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B517905" w14:textId="77777777" w:rsidR="00D15FD8" w:rsidRDefault="00D15FD8"/>
                          <w:p w14:paraId="7F9CB577" w14:textId="77777777" w:rsidR="00D15FD8" w:rsidRPr="002F1D63" w:rsidRDefault="00AC4DF7" w:rsidP="002F1D63">
                            <w:pPr>
                              <w:jc w:val="center"/>
                              <w:rPr>
                                <w:b/>
                                <w:bCs/>
                                <w:color w:val="FFFFFF" w:themeColor="background1"/>
                                <w:u w:val="single"/>
                              </w:rPr>
                            </w:pPr>
                            <w:hyperlink r:id="rId133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9EA91CA" w14:textId="77777777" w:rsidR="00D15FD8" w:rsidRDefault="00D15FD8"/>
                          <w:p w14:paraId="76E7BA16" w14:textId="77777777" w:rsidR="00D15FD8" w:rsidRPr="002F1D63" w:rsidRDefault="00AC4DF7" w:rsidP="002F1D63">
                            <w:pPr>
                              <w:jc w:val="center"/>
                              <w:rPr>
                                <w:b/>
                                <w:bCs/>
                                <w:color w:val="FFFFFF" w:themeColor="background1"/>
                                <w:u w:val="single"/>
                              </w:rPr>
                            </w:pPr>
                            <w:hyperlink r:id="rId133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2DAD7AD" w14:textId="77777777" w:rsidR="00D15FD8" w:rsidRDefault="00D15FD8"/>
                          <w:p w14:paraId="1090E117" w14:textId="77777777" w:rsidR="00D15FD8" w:rsidRPr="002F1D63" w:rsidRDefault="00AC4DF7" w:rsidP="002F1D63">
                            <w:pPr>
                              <w:jc w:val="center"/>
                              <w:rPr>
                                <w:b/>
                                <w:bCs/>
                                <w:color w:val="FFFFFF" w:themeColor="background1"/>
                                <w:u w:val="single"/>
                              </w:rPr>
                            </w:pPr>
                            <w:hyperlink r:id="rId133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117EFA5" w14:textId="77777777" w:rsidR="00D15FD8" w:rsidRDefault="00D15FD8"/>
                          <w:p w14:paraId="2E5160F0" w14:textId="77777777" w:rsidR="00D15FD8" w:rsidRPr="002F1D63" w:rsidRDefault="00AC4DF7" w:rsidP="002F1D63">
                            <w:pPr>
                              <w:jc w:val="center"/>
                              <w:rPr>
                                <w:b/>
                                <w:bCs/>
                                <w:color w:val="FFFFFF" w:themeColor="background1"/>
                                <w:u w:val="single"/>
                              </w:rPr>
                            </w:pPr>
                            <w:hyperlink r:id="rId133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300A26B" w14:textId="77777777" w:rsidR="00D15FD8" w:rsidRDefault="00D15FD8"/>
                          <w:p w14:paraId="4A63A46F" w14:textId="77777777" w:rsidR="00D15FD8" w:rsidRPr="002F1D63" w:rsidRDefault="00AC4DF7" w:rsidP="002F1D63">
                            <w:pPr>
                              <w:jc w:val="center"/>
                              <w:rPr>
                                <w:b/>
                                <w:bCs/>
                                <w:color w:val="FFFFFF" w:themeColor="background1"/>
                                <w:u w:val="single"/>
                              </w:rPr>
                            </w:pPr>
                            <w:hyperlink r:id="rId133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BA80DB1" w14:textId="77777777" w:rsidR="00D15FD8" w:rsidRDefault="00D15FD8"/>
                          <w:p w14:paraId="29222834" w14:textId="77777777" w:rsidR="00D15FD8" w:rsidRPr="002F1D63" w:rsidRDefault="00AC4DF7" w:rsidP="002F1D63">
                            <w:pPr>
                              <w:jc w:val="center"/>
                              <w:rPr>
                                <w:b/>
                                <w:bCs/>
                                <w:color w:val="FFFFFF" w:themeColor="background1"/>
                                <w:u w:val="single"/>
                              </w:rPr>
                            </w:pPr>
                            <w:hyperlink r:id="rId134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E6D11C2" w14:textId="77777777" w:rsidR="00D15FD8" w:rsidRDefault="00D15FD8"/>
                          <w:p w14:paraId="594F0229" w14:textId="77777777" w:rsidR="00D15FD8" w:rsidRPr="002F1D63" w:rsidRDefault="00AC4DF7" w:rsidP="002F1D63">
                            <w:pPr>
                              <w:jc w:val="center"/>
                              <w:rPr>
                                <w:b/>
                                <w:bCs/>
                                <w:color w:val="FFFFFF" w:themeColor="background1"/>
                                <w:u w:val="single"/>
                              </w:rPr>
                            </w:pPr>
                            <w:hyperlink r:id="rId134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712D20F" w14:textId="77777777" w:rsidR="00D15FD8" w:rsidRDefault="00D15FD8"/>
                          <w:p w14:paraId="034C29BD" w14:textId="38116A42" w:rsidR="00D15FD8" w:rsidRPr="002F1D63" w:rsidRDefault="00AC4DF7" w:rsidP="002F1D63">
                            <w:pPr>
                              <w:jc w:val="center"/>
                              <w:rPr>
                                <w:b/>
                                <w:bCs/>
                                <w:color w:val="FFFFFF" w:themeColor="background1"/>
                                <w:u w:val="single"/>
                              </w:rPr>
                            </w:pPr>
                            <w:hyperlink r:id="rId134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BE9E31F" w14:textId="77777777" w:rsidR="00D15FD8" w:rsidRDefault="00D15FD8"/>
                          <w:p w14:paraId="76BADD39" w14:textId="77777777" w:rsidR="00D15FD8" w:rsidRPr="002F1D63" w:rsidRDefault="00AC4DF7" w:rsidP="002F1D63">
                            <w:pPr>
                              <w:jc w:val="center"/>
                              <w:rPr>
                                <w:b/>
                                <w:bCs/>
                                <w:color w:val="FFFFFF" w:themeColor="background1"/>
                                <w:u w:val="single"/>
                              </w:rPr>
                            </w:pPr>
                            <w:hyperlink r:id="rId134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9C5D70E" w14:textId="77777777" w:rsidR="00D15FD8" w:rsidRDefault="00D15FD8"/>
                          <w:p w14:paraId="35D81DF6" w14:textId="77777777" w:rsidR="00D15FD8" w:rsidRPr="002F1D63" w:rsidRDefault="00AC4DF7" w:rsidP="002F1D63">
                            <w:pPr>
                              <w:jc w:val="center"/>
                              <w:rPr>
                                <w:b/>
                                <w:bCs/>
                                <w:color w:val="FFFFFF" w:themeColor="background1"/>
                                <w:u w:val="single"/>
                              </w:rPr>
                            </w:pPr>
                            <w:hyperlink r:id="rId134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F02332B" w14:textId="77777777" w:rsidR="00D15FD8" w:rsidRDefault="00D15FD8"/>
                          <w:p w14:paraId="5271D96D" w14:textId="77777777" w:rsidR="00D15FD8" w:rsidRPr="002F1D63" w:rsidRDefault="00AC4DF7" w:rsidP="002F1D63">
                            <w:pPr>
                              <w:jc w:val="center"/>
                              <w:rPr>
                                <w:b/>
                                <w:bCs/>
                                <w:color w:val="FFFFFF" w:themeColor="background1"/>
                                <w:u w:val="single"/>
                              </w:rPr>
                            </w:pPr>
                            <w:hyperlink r:id="rId134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4AF1E82" w14:textId="77777777" w:rsidR="00D15FD8" w:rsidRDefault="00D15FD8"/>
                          <w:p w14:paraId="7D32615A" w14:textId="77777777" w:rsidR="00D15FD8" w:rsidRPr="002F1D63" w:rsidRDefault="00AC4DF7" w:rsidP="002F1D63">
                            <w:pPr>
                              <w:jc w:val="center"/>
                              <w:rPr>
                                <w:b/>
                                <w:bCs/>
                                <w:color w:val="FFFFFF" w:themeColor="background1"/>
                                <w:u w:val="single"/>
                              </w:rPr>
                            </w:pPr>
                            <w:hyperlink r:id="rId134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0CDAAEA" w14:textId="77777777" w:rsidR="00D15FD8" w:rsidRDefault="00D15FD8"/>
                          <w:p w14:paraId="3D22982B" w14:textId="77777777" w:rsidR="00D15FD8" w:rsidRPr="002F1D63" w:rsidRDefault="00AC4DF7" w:rsidP="002F1D63">
                            <w:pPr>
                              <w:jc w:val="center"/>
                              <w:rPr>
                                <w:b/>
                                <w:bCs/>
                                <w:color w:val="FFFFFF" w:themeColor="background1"/>
                                <w:u w:val="single"/>
                              </w:rPr>
                            </w:pPr>
                            <w:hyperlink r:id="rId134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3347632" w14:textId="77777777" w:rsidR="00D15FD8" w:rsidRDefault="00D15FD8"/>
                          <w:p w14:paraId="3EA74E6E" w14:textId="77777777" w:rsidR="00D15FD8" w:rsidRPr="002F1D63" w:rsidRDefault="00AC4DF7" w:rsidP="002F1D63">
                            <w:pPr>
                              <w:jc w:val="center"/>
                              <w:rPr>
                                <w:b/>
                                <w:bCs/>
                                <w:color w:val="FFFFFF" w:themeColor="background1"/>
                                <w:u w:val="single"/>
                              </w:rPr>
                            </w:pPr>
                            <w:hyperlink r:id="rId134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378ABF3" w14:textId="77777777" w:rsidR="00D15FD8" w:rsidRDefault="00D15FD8"/>
                          <w:p w14:paraId="376968E3" w14:textId="77777777" w:rsidR="00D15FD8" w:rsidRPr="002F1D63" w:rsidRDefault="00AC4DF7" w:rsidP="002F1D63">
                            <w:pPr>
                              <w:jc w:val="center"/>
                              <w:rPr>
                                <w:b/>
                                <w:bCs/>
                                <w:color w:val="FFFFFF" w:themeColor="background1"/>
                                <w:u w:val="single"/>
                              </w:rPr>
                            </w:pPr>
                            <w:hyperlink r:id="rId134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1E99D9C" w14:textId="77777777" w:rsidR="00D15FD8" w:rsidRDefault="00D15FD8"/>
                          <w:p w14:paraId="5A505F02" w14:textId="77777777" w:rsidR="00D15FD8" w:rsidRPr="002F1D63" w:rsidRDefault="00AC4DF7" w:rsidP="002F1D63">
                            <w:pPr>
                              <w:jc w:val="center"/>
                              <w:rPr>
                                <w:b/>
                                <w:bCs/>
                                <w:color w:val="FFFFFF" w:themeColor="background1"/>
                                <w:u w:val="single"/>
                              </w:rPr>
                            </w:pPr>
                            <w:hyperlink r:id="rId135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859BACC" w14:textId="77777777" w:rsidR="00D15FD8" w:rsidRDefault="00D15FD8"/>
                          <w:p w14:paraId="0560139B" w14:textId="77777777" w:rsidR="00D15FD8" w:rsidRPr="002F1D63" w:rsidRDefault="00AC4DF7" w:rsidP="002F1D63">
                            <w:pPr>
                              <w:jc w:val="center"/>
                              <w:rPr>
                                <w:b/>
                                <w:bCs/>
                                <w:color w:val="FFFFFF" w:themeColor="background1"/>
                                <w:u w:val="single"/>
                              </w:rPr>
                            </w:pPr>
                            <w:hyperlink r:id="rId135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1DCDF93" w14:textId="77777777" w:rsidR="00D15FD8" w:rsidRDefault="00D15FD8"/>
                          <w:p w14:paraId="2179E212" w14:textId="77777777" w:rsidR="00D15FD8" w:rsidRPr="002F1D63" w:rsidRDefault="00AC4DF7" w:rsidP="002F1D63">
                            <w:pPr>
                              <w:jc w:val="center"/>
                              <w:rPr>
                                <w:b/>
                                <w:bCs/>
                                <w:color w:val="FFFFFF" w:themeColor="background1"/>
                                <w:u w:val="single"/>
                              </w:rPr>
                            </w:pPr>
                            <w:hyperlink r:id="rId135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BE293F2" w14:textId="77777777" w:rsidR="00D15FD8" w:rsidRDefault="00D15FD8"/>
                          <w:p w14:paraId="1E5288BA" w14:textId="77777777" w:rsidR="00D15FD8" w:rsidRPr="002F1D63" w:rsidRDefault="00AC4DF7" w:rsidP="002F1D63">
                            <w:pPr>
                              <w:jc w:val="center"/>
                              <w:rPr>
                                <w:b/>
                                <w:bCs/>
                                <w:color w:val="FFFFFF" w:themeColor="background1"/>
                                <w:u w:val="single"/>
                              </w:rPr>
                            </w:pPr>
                            <w:hyperlink r:id="rId135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F540AEE" w14:textId="77777777" w:rsidR="00D15FD8" w:rsidRDefault="00D15FD8"/>
                          <w:p w14:paraId="3634319D" w14:textId="77777777" w:rsidR="00D15FD8" w:rsidRPr="002F1D63" w:rsidRDefault="00AC4DF7" w:rsidP="002F1D63">
                            <w:pPr>
                              <w:jc w:val="center"/>
                              <w:rPr>
                                <w:b/>
                                <w:bCs/>
                                <w:color w:val="FFFFFF" w:themeColor="background1"/>
                                <w:u w:val="single"/>
                              </w:rPr>
                            </w:pPr>
                            <w:hyperlink r:id="rId135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B60361F" w14:textId="77777777" w:rsidR="00D15FD8" w:rsidRDefault="00D15FD8"/>
                          <w:p w14:paraId="0508EDD3" w14:textId="77777777" w:rsidR="00D15FD8" w:rsidRPr="002F1D63" w:rsidRDefault="00AC4DF7" w:rsidP="002F1D63">
                            <w:pPr>
                              <w:jc w:val="center"/>
                              <w:rPr>
                                <w:b/>
                                <w:bCs/>
                                <w:color w:val="FFFFFF" w:themeColor="background1"/>
                                <w:u w:val="single"/>
                              </w:rPr>
                            </w:pPr>
                            <w:hyperlink r:id="rId135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29871B9" w14:textId="77777777" w:rsidR="00D15FD8" w:rsidRDefault="00D15FD8"/>
                          <w:p w14:paraId="6D4F9747" w14:textId="77777777" w:rsidR="00D15FD8" w:rsidRPr="002F1D63" w:rsidRDefault="00AC4DF7" w:rsidP="002F1D63">
                            <w:pPr>
                              <w:jc w:val="center"/>
                              <w:rPr>
                                <w:b/>
                                <w:bCs/>
                                <w:color w:val="FFFFFF" w:themeColor="background1"/>
                                <w:u w:val="single"/>
                              </w:rPr>
                            </w:pPr>
                            <w:hyperlink r:id="rId135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16B6D2A" w14:textId="77777777" w:rsidR="00D15FD8" w:rsidRDefault="00D15FD8"/>
                          <w:p w14:paraId="3147AD2A" w14:textId="77777777" w:rsidR="00D15FD8" w:rsidRPr="002F1D63" w:rsidRDefault="00AC4DF7" w:rsidP="002F1D63">
                            <w:pPr>
                              <w:jc w:val="center"/>
                              <w:rPr>
                                <w:b/>
                                <w:bCs/>
                                <w:color w:val="FFFFFF" w:themeColor="background1"/>
                                <w:u w:val="single"/>
                              </w:rPr>
                            </w:pPr>
                            <w:hyperlink r:id="rId135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5CAF3FC" w14:textId="77777777" w:rsidR="00D15FD8" w:rsidRDefault="00D15FD8"/>
                          <w:p w14:paraId="6DAF4FC8" w14:textId="75FEC836" w:rsidR="00D15FD8" w:rsidRPr="002F1D63" w:rsidRDefault="00AC4DF7" w:rsidP="002F1D63">
                            <w:pPr>
                              <w:jc w:val="center"/>
                              <w:rPr>
                                <w:b/>
                                <w:bCs/>
                                <w:color w:val="FFFFFF" w:themeColor="background1"/>
                                <w:u w:val="single"/>
                              </w:rPr>
                            </w:pPr>
                            <w:hyperlink r:id="rId135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9949E98" w14:textId="77777777" w:rsidR="00D15FD8" w:rsidRDefault="00D15FD8"/>
                          <w:p w14:paraId="55951FA2" w14:textId="77777777" w:rsidR="00D15FD8" w:rsidRPr="002F1D63" w:rsidRDefault="00AC4DF7" w:rsidP="002F1D63">
                            <w:pPr>
                              <w:jc w:val="center"/>
                              <w:rPr>
                                <w:b/>
                                <w:bCs/>
                                <w:color w:val="FFFFFF" w:themeColor="background1"/>
                                <w:u w:val="single"/>
                              </w:rPr>
                            </w:pPr>
                            <w:hyperlink r:id="rId135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4EB71C7" w14:textId="77777777" w:rsidR="00D15FD8" w:rsidRDefault="00D15FD8"/>
                          <w:p w14:paraId="6778B6A8" w14:textId="77777777" w:rsidR="00D15FD8" w:rsidRPr="002F1D63" w:rsidRDefault="00AC4DF7" w:rsidP="002F1D63">
                            <w:pPr>
                              <w:jc w:val="center"/>
                              <w:rPr>
                                <w:b/>
                                <w:bCs/>
                                <w:color w:val="FFFFFF" w:themeColor="background1"/>
                                <w:u w:val="single"/>
                              </w:rPr>
                            </w:pPr>
                            <w:hyperlink r:id="rId136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D04434B" w14:textId="77777777" w:rsidR="00D15FD8" w:rsidRDefault="00D15FD8"/>
                          <w:p w14:paraId="47965C2D" w14:textId="77777777" w:rsidR="00D15FD8" w:rsidRPr="002F1D63" w:rsidRDefault="00AC4DF7" w:rsidP="002F1D63">
                            <w:pPr>
                              <w:jc w:val="center"/>
                              <w:rPr>
                                <w:b/>
                                <w:bCs/>
                                <w:color w:val="FFFFFF" w:themeColor="background1"/>
                                <w:u w:val="single"/>
                              </w:rPr>
                            </w:pPr>
                            <w:hyperlink r:id="rId136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E5B1292" w14:textId="77777777" w:rsidR="00D15FD8" w:rsidRDefault="00D15FD8"/>
                          <w:p w14:paraId="36E45E48" w14:textId="77777777" w:rsidR="00D15FD8" w:rsidRPr="002F1D63" w:rsidRDefault="00AC4DF7" w:rsidP="002F1D63">
                            <w:pPr>
                              <w:jc w:val="center"/>
                              <w:rPr>
                                <w:b/>
                                <w:bCs/>
                                <w:color w:val="FFFFFF" w:themeColor="background1"/>
                                <w:u w:val="single"/>
                              </w:rPr>
                            </w:pPr>
                            <w:hyperlink r:id="rId136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201B1B7" w14:textId="77777777" w:rsidR="00D15FD8" w:rsidRDefault="00D15FD8"/>
                          <w:p w14:paraId="460BB736" w14:textId="77777777" w:rsidR="00D15FD8" w:rsidRPr="002F1D63" w:rsidRDefault="00AC4DF7" w:rsidP="002F1D63">
                            <w:pPr>
                              <w:jc w:val="center"/>
                              <w:rPr>
                                <w:b/>
                                <w:bCs/>
                                <w:color w:val="FFFFFF" w:themeColor="background1"/>
                                <w:u w:val="single"/>
                              </w:rPr>
                            </w:pPr>
                            <w:hyperlink r:id="rId136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A8064AA" w14:textId="77777777" w:rsidR="00D15FD8" w:rsidRDefault="00D15FD8"/>
                          <w:p w14:paraId="3AA2A3A0" w14:textId="77777777" w:rsidR="00D15FD8" w:rsidRPr="002F1D63" w:rsidRDefault="00AC4DF7" w:rsidP="002F1D63">
                            <w:pPr>
                              <w:jc w:val="center"/>
                              <w:rPr>
                                <w:b/>
                                <w:bCs/>
                                <w:color w:val="FFFFFF" w:themeColor="background1"/>
                                <w:u w:val="single"/>
                              </w:rPr>
                            </w:pPr>
                            <w:hyperlink r:id="rId136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C6C111D" w14:textId="77777777" w:rsidR="00D15FD8" w:rsidRDefault="00D15FD8"/>
                          <w:p w14:paraId="28D92CCD" w14:textId="77777777" w:rsidR="00D15FD8" w:rsidRPr="002F1D63" w:rsidRDefault="00AC4DF7" w:rsidP="002F1D63">
                            <w:pPr>
                              <w:jc w:val="center"/>
                              <w:rPr>
                                <w:b/>
                                <w:bCs/>
                                <w:color w:val="FFFFFF" w:themeColor="background1"/>
                                <w:u w:val="single"/>
                              </w:rPr>
                            </w:pPr>
                            <w:hyperlink r:id="rId136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E986ED8" w14:textId="77777777" w:rsidR="00D15FD8" w:rsidRDefault="00D15FD8"/>
                          <w:p w14:paraId="6D27C1E8" w14:textId="28E11B0E" w:rsidR="00D15FD8" w:rsidRPr="002F1D63" w:rsidRDefault="00AC4DF7" w:rsidP="002F1D63">
                            <w:pPr>
                              <w:jc w:val="center"/>
                              <w:rPr>
                                <w:b/>
                                <w:bCs/>
                                <w:color w:val="FFFFFF" w:themeColor="background1"/>
                                <w:u w:val="single"/>
                              </w:rPr>
                            </w:pPr>
                            <w:hyperlink r:id="rId136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946E442" w14:textId="77777777" w:rsidR="00D15FD8" w:rsidRDefault="00D15FD8"/>
                          <w:p w14:paraId="1FAF7EF0" w14:textId="77777777" w:rsidR="00D15FD8" w:rsidRPr="002F1D63" w:rsidRDefault="00AC4DF7" w:rsidP="002F1D63">
                            <w:pPr>
                              <w:jc w:val="center"/>
                              <w:rPr>
                                <w:b/>
                                <w:bCs/>
                                <w:color w:val="FFFFFF" w:themeColor="background1"/>
                                <w:u w:val="single"/>
                              </w:rPr>
                            </w:pPr>
                            <w:hyperlink r:id="rId136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AA57130" w14:textId="77777777" w:rsidR="00D15FD8" w:rsidRDefault="00D15FD8"/>
                          <w:p w14:paraId="27F41A87" w14:textId="77777777" w:rsidR="00D15FD8" w:rsidRPr="002F1D63" w:rsidRDefault="00AC4DF7" w:rsidP="002F1D63">
                            <w:pPr>
                              <w:jc w:val="center"/>
                              <w:rPr>
                                <w:b/>
                                <w:bCs/>
                                <w:color w:val="FFFFFF" w:themeColor="background1"/>
                                <w:u w:val="single"/>
                              </w:rPr>
                            </w:pPr>
                            <w:hyperlink r:id="rId136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AAA6995" w14:textId="77777777" w:rsidR="00D15FD8" w:rsidRDefault="00D15FD8"/>
                          <w:p w14:paraId="56A17057" w14:textId="77777777" w:rsidR="00D15FD8" w:rsidRPr="002F1D63" w:rsidRDefault="00AC4DF7" w:rsidP="002F1D63">
                            <w:pPr>
                              <w:jc w:val="center"/>
                              <w:rPr>
                                <w:b/>
                                <w:bCs/>
                                <w:color w:val="FFFFFF" w:themeColor="background1"/>
                                <w:u w:val="single"/>
                              </w:rPr>
                            </w:pPr>
                            <w:hyperlink r:id="rId136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A5F9313" w14:textId="77777777" w:rsidR="00D15FD8" w:rsidRDefault="00D15FD8"/>
                          <w:p w14:paraId="1F9B1FC6" w14:textId="0F99EEBC" w:rsidR="00D15FD8" w:rsidRPr="002F1D63" w:rsidRDefault="00AC4DF7" w:rsidP="002F1D63">
                            <w:pPr>
                              <w:jc w:val="center"/>
                              <w:rPr>
                                <w:b/>
                                <w:bCs/>
                                <w:color w:val="FFFFFF" w:themeColor="background1"/>
                                <w:u w:val="single"/>
                              </w:rPr>
                            </w:pPr>
                            <w:hyperlink r:id="rId137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D1EA94D" w14:textId="77777777" w:rsidR="00D15FD8" w:rsidRDefault="00D15FD8"/>
                          <w:p w14:paraId="3C51B58E" w14:textId="77777777" w:rsidR="00D15FD8" w:rsidRPr="002F1D63" w:rsidRDefault="00AC4DF7" w:rsidP="002F1D63">
                            <w:pPr>
                              <w:jc w:val="center"/>
                              <w:rPr>
                                <w:b/>
                                <w:bCs/>
                                <w:color w:val="FFFFFF" w:themeColor="background1"/>
                                <w:u w:val="single"/>
                              </w:rPr>
                            </w:pPr>
                            <w:hyperlink r:id="rId137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5AEE679" w14:textId="77777777" w:rsidR="00D15FD8" w:rsidRDefault="00D15FD8"/>
                          <w:p w14:paraId="6DAE8D86" w14:textId="41CC7A49" w:rsidR="00D15FD8" w:rsidRPr="002F1D63" w:rsidRDefault="00AC4DF7" w:rsidP="002F1D63">
                            <w:pPr>
                              <w:jc w:val="center"/>
                              <w:rPr>
                                <w:b/>
                                <w:bCs/>
                                <w:color w:val="FFFFFF" w:themeColor="background1"/>
                                <w:u w:val="single"/>
                              </w:rPr>
                            </w:pPr>
                            <w:hyperlink r:id="rId137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C78317C" w14:textId="77777777" w:rsidR="00D15FD8" w:rsidRDefault="00D15FD8"/>
                          <w:p w14:paraId="3CBA8E45" w14:textId="0A0F39CB" w:rsidR="00D15FD8" w:rsidRPr="002F1D63" w:rsidRDefault="00AC4DF7" w:rsidP="002F1D63">
                            <w:pPr>
                              <w:jc w:val="center"/>
                              <w:rPr>
                                <w:b/>
                                <w:bCs/>
                                <w:color w:val="FFFFFF" w:themeColor="background1"/>
                                <w:u w:val="single"/>
                              </w:rPr>
                            </w:pPr>
                            <w:hyperlink r:id="rId137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6D9C5" id="Text Box 2640" o:spid="_x0000_s1708" type="#_x0000_t202" style="position:absolute;left:0;text-align:left;margin-left:54.9pt;margin-top:2.35pt;width:75pt;height:22.85pt;z-index:25469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" filled="f" stroked="f" strokeweight=".5pt">
                <v:textbox>
                  <w:txbxContent>
                    <w:p w14:paraId="3656E4CF" w14:textId="3B77BAC0" w:rsidR="00D15FD8" w:rsidRPr="002F1D63" w:rsidRDefault="00AC4DF7" w:rsidP="002F1D63">
                      <w:pPr>
                        <w:jc w:val="center"/>
                        <w:rPr>
                          <w:b/>
                          <w:bCs/>
                          <w:color w:val="FFFFFF" w:themeColor="background1"/>
                          <w:u w:val="single"/>
                        </w:rPr>
                      </w:pPr>
                      <w:hyperlink r:id="rId137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E94B92F" w14:textId="77777777" w:rsidR="00D15FD8" w:rsidRDefault="00D15FD8"/>
                    <w:p w14:paraId="6A910DB3" w14:textId="77777777" w:rsidR="00D15FD8" w:rsidRPr="002F1D63" w:rsidRDefault="00AC4DF7" w:rsidP="002F1D63">
                      <w:pPr>
                        <w:jc w:val="center"/>
                        <w:rPr>
                          <w:b/>
                          <w:bCs/>
                          <w:color w:val="FFFFFF" w:themeColor="background1"/>
                          <w:u w:val="single"/>
                        </w:rPr>
                      </w:pPr>
                      <w:hyperlink r:id="rId137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9C76CC2" w14:textId="77777777" w:rsidR="00D15FD8" w:rsidRDefault="00D15FD8"/>
                    <w:p w14:paraId="52A43B6C" w14:textId="77777777" w:rsidR="00D15FD8" w:rsidRPr="002F1D63" w:rsidRDefault="00AC4DF7" w:rsidP="002F1D63">
                      <w:pPr>
                        <w:jc w:val="center"/>
                        <w:rPr>
                          <w:b/>
                          <w:bCs/>
                          <w:color w:val="FFFFFF" w:themeColor="background1"/>
                          <w:u w:val="single"/>
                        </w:rPr>
                      </w:pPr>
                      <w:hyperlink r:id="rId137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1887C20" w14:textId="77777777" w:rsidR="00D15FD8" w:rsidRDefault="00D15FD8"/>
                    <w:p w14:paraId="6C0E7B97" w14:textId="77777777" w:rsidR="00D15FD8" w:rsidRPr="002F1D63" w:rsidRDefault="00AC4DF7" w:rsidP="002F1D63">
                      <w:pPr>
                        <w:jc w:val="center"/>
                        <w:rPr>
                          <w:b/>
                          <w:bCs/>
                          <w:color w:val="FFFFFF" w:themeColor="background1"/>
                          <w:u w:val="single"/>
                        </w:rPr>
                      </w:pPr>
                      <w:hyperlink r:id="rId137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2A830E5" w14:textId="77777777" w:rsidR="00D15FD8" w:rsidRDefault="00D15FD8"/>
                    <w:p w14:paraId="0968628A" w14:textId="77777777" w:rsidR="00D15FD8" w:rsidRPr="002F1D63" w:rsidRDefault="00AC4DF7" w:rsidP="002F1D63">
                      <w:pPr>
                        <w:jc w:val="center"/>
                        <w:rPr>
                          <w:b/>
                          <w:bCs/>
                          <w:color w:val="FFFFFF" w:themeColor="background1"/>
                          <w:u w:val="single"/>
                        </w:rPr>
                      </w:pPr>
                      <w:hyperlink r:id="rId137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498F519" w14:textId="77777777" w:rsidR="00D15FD8" w:rsidRDefault="00D15FD8"/>
                    <w:p w14:paraId="7AFF6396" w14:textId="77777777" w:rsidR="00D15FD8" w:rsidRPr="002F1D63" w:rsidRDefault="00AC4DF7" w:rsidP="002F1D63">
                      <w:pPr>
                        <w:jc w:val="center"/>
                        <w:rPr>
                          <w:b/>
                          <w:bCs/>
                          <w:color w:val="FFFFFF" w:themeColor="background1"/>
                          <w:u w:val="single"/>
                        </w:rPr>
                      </w:pPr>
                      <w:hyperlink r:id="rId137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29C662F" w14:textId="77777777" w:rsidR="00D15FD8" w:rsidRDefault="00D15FD8"/>
                    <w:p w14:paraId="3508F337" w14:textId="77777777" w:rsidR="00D15FD8" w:rsidRPr="002F1D63" w:rsidRDefault="00AC4DF7" w:rsidP="002F1D63">
                      <w:pPr>
                        <w:jc w:val="center"/>
                        <w:rPr>
                          <w:b/>
                          <w:bCs/>
                          <w:color w:val="FFFFFF" w:themeColor="background1"/>
                          <w:u w:val="single"/>
                        </w:rPr>
                      </w:pPr>
                      <w:hyperlink r:id="rId138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3674C2A" w14:textId="77777777" w:rsidR="00D15FD8" w:rsidRDefault="00D15FD8"/>
                    <w:p w14:paraId="1CE1B02A" w14:textId="77777777" w:rsidR="00D15FD8" w:rsidRPr="002F1D63" w:rsidRDefault="00AC4DF7" w:rsidP="002F1D63">
                      <w:pPr>
                        <w:jc w:val="center"/>
                        <w:rPr>
                          <w:b/>
                          <w:bCs/>
                          <w:color w:val="FFFFFF" w:themeColor="background1"/>
                          <w:u w:val="single"/>
                        </w:rPr>
                      </w:pPr>
                      <w:hyperlink r:id="rId138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9300AFC" w14:textId="77777777" w:rsidR="00D15FD8" w:rsidRDefault="00D15FD8"/>
                    <w:p w14:paraId="63222336" w14:textId="77777777" w:rsidR="00D15FD8" w:rsidRPr="002F1D63" w:rsidRDefault="00AC4DF7" w:rsidP="002F1D63">
                      <w:pPr>
                        <w:jc w:val="center"/>
                        <w:rPr>
                          <w:b/>
                          <w:bCs/>
                          <w:color w:val="FFFFFF" w:themeColor="background1"/>
                          <w:u w:val="single"/>
                        </w:rPr>
                      </w:pPr>
                      <w:hyperlink r:id="rId138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FADBB44" w14:textId="77777777" w:rsidR="00D15FD8" w:rsidRDefault="00D15FD8"/>
                    <w:p w14:paraId="36F5E1B7" w14:textId="77777777" w:rsidR="00D15FD8" w:rsidRPr="002F1D63" w:rsidRDefault="00AC4DF7" w:rsidP="002F1D63">
                      <w:pPr>
                        <w:jc w:val="center"/>
                        <w:rPr>
                          <w:b/>
                          <w:bCs/>
                          <w:color w:val="FFFFFF" w:themeColor="background1"/>
                          <w:u w:val="single"/>
                        </w:rPr>
                      </w:pPr>
                      <w:hyperlink r:id="rId138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1E1044C" w14:textId="77777777" w:rsidR="00D15FD8" w:rsidRDefault="00D15FD8"/>
                    <w:p w14:paraId="006E90C9" w14:textId="77777777" w:rsidR="00D15FD8" w:rsidRPr="002F1D63" w:rsidRDefault="00AC4DF7" w:rsidP="002F1D63">
                      <w:pPr>
                        <w:jc w:val="center"/>
                        <w:rPr>
                          <w:b/>
                          <w:bCs/>
                          <w:color w:val="FFFFFF" w:themeColor="background1"/>
                          <w:u w:val="single"/>
                        </w:rPr>
                      </w:pPr>
                      <w:hyperlink r:id="rId138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CB512D6" w14:textId="77777777" w:rsidR="00D15FD8" w:rsidRDefault="00D15FD8"/>
                    <w:p w14:paraId="39A06ED7" w14:textId="77777777" w:rsidR="00D15FD8" w:rsidRPr="002F1D63" w:rsidRDefault="00AC4DF7" w:rsidP="002F1D63">
                      <w:pPr>
                        <w:jc w:val="center"/>
                        <w:rPr>
                          <w:b/>
                          <w:bCs/>
                          <w:color w:val="FFFFFF" w:themeColor="background1"/>
                          <w:u w:val="single"/>
                        </w:rPr>
                      </w:pPr>
                      <w:hyperlink r:id="rId138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AC8FDF1" w14:textId="77777777" w:rsidR="00D15FD8" w:rsidRDefault="00D15FD8"/>
                    <w:p w14:paraId="6BC2E1D0" w14:textId="77777777" w:rsidR="00D15FD8" w:rsidRPr="002F1D63" w:rsidRDefault="00AC4DF7" w:rsidP="002F1D63">
                      <w:pPr>
                        <w:jc w:val="center"/>
                        <w:rPr>
                          <w:b/>
                          <w:bCs/>
                          <w:color w:val="FFFFFF" w:themeColor="background1"/>
                          <w:u w:val="single"/>
                        </w:rPr>
                      </w:pPr>
                      <w:hyperlink r:id="rId138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E5DCB8B" w14:textId="77777777" w:rsidR="00D15FD8" w:rsidRDefault="00D15FD8"/>
                    <w:p w14:paraId="5F566B63" w14:textId="77777777" w:rsidR="00D15FD8" w:rsidRPr="002F1D63" w:rsidRDefault="00AC4DF7" w:rsidP="002F1D63">
                      <w:pPr>
                        <w:jc w:val="center"/>
                        <w:rPr>
                          <w:b/>
                          <w:bCs/>
                          <w:color w:val="FFFFFF" w:themeColor="background1"/>
                          <w:u w:val="single"/>
                        </w:rPr>
                      </w:pPr>
                      <w:hyperlink r:id="rId138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1629148" w14:textId="77777777" w:rsidR="00D15FD8" w:rsidRDefault="00D15FD8"/>
                    <w:p w14:paraId="0D6C223E" w14:textId="77777777" w:rsidR="00D15FD8" w:rsidRPr="002F1D63" w:rsidRDefault="00AC4DF7" w:rsidP="002F1D63">
                      <w:pPr>
                        <w:jc w:val="center"/>
                        <w:rPr>
                          <w:b/>
                          <w:bCs/>
                          <w:color w:val="FFFFFF" w:themeColor="background1"/>
                          <w:u w:val="single"/>
                        </w:rPr>
                      </w:pPr>
                      <w:hyperlink r:id="rId138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86A6903" w14:textId="77777777" w:rsidR="00D15FD8" w:rsidRDefault="00D15FD8"/>
                    <w:p w14:paraId="754B4C50" w14:textId="77777777" w:rsidR="00D15FD8" w:rsidRPr="002F1D63" w:rsidRDefault="00AC4DF7" w:rsidP="002F1D63">
                      <w:pPr>
                        <w:jc w:val="center"/>
                        <w:rPr>
                          <w:b/>
                          <w:bCs/>
                          <w:color w:val="FFFFFF" w:themeColor="background1"/>
                          <w:u w:val="single"/>
                        </w:rPr>
                      </w:pPr>
                      <w:hyperlink r:id="rId138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4BB8A0D" w14:textId="77777777" w:rsidR="00D15FD8" w:rsidRDefault="00D15FD8"/>
                    <w:p w14:paraId="09AC11A2" w14:textId="77777777" w:rsidR="00D15FD8" w:rsidRPr="002F1D63" w:rsidRDefault="00AC4DF7" w:rsidP="002F1D63">
                      <w:pPr>
                        <w:jc w:val="center"/>
                        <w:rPr>
                          <w:b/>
                          <w:bCs/>
                          <w:color w:val="FFFFFF" w:themeColor="background1"/>
                          <w:u w:val="single"/>
                        </w:rPr>
                      </w:pPr>
                      <w:hyperlink r:id="rId139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92D1F76" w14:textId="77777777" w:rsidR="00D15FD8" w:rsidRDefault="00D15FD8"/>
                    <w:p w14:paraId="431CC0C4" w14:textId="77777777" w:rsidR="00D15FD8" w:rsidRPr="002F1D63" w:rsidRDefault="00AC4DF7" w:rsidP="002F1D63">
                      <w:pPr>
                        <w:jc w:val="center"/>
                        <w:rPr>
                          <w:b/>
                          <w:bCs/>
                          <w:color w:val="FFFFFF" w:themeColor="background1"/>
                          <w:u w:val="single"/>
                        </w:rPr>
                      </w:pPr>
                      <w:hyperlink r:id="rId139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11C034F" w14:textId="77777777" w:rsidR="00D15FD8" w:rsidRDefault="00D15FD8"/>
                    <w:p w14:paraId="6AB7BAF3" w14:textId="77777777" w:rsidR="00D15FD8" w:rsidRPr="002F1D63" w:rsidRDefault="00AC4DF7" w:rsidP="002F1D63">
                      <w:pPr>
                        <w:jc w:val="center"/>
                        <w:rPr>
                          <w:b/>
                          <w:bCs/>
                          <w:color w:val="FFFFFF" w:themeColor="background1"/>
                          <w:u w:val="single"/>
                        </w:rPr>
                      </w:pPr>
                      <w:hyperlink r:id="rId139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58BE089" w14:textId="77777777" w:rsidR="00D15FD8" w:rsidRDefault="00D15FD8"/>
                    <w:p w14:paraId="02319C99" w14:textId="77777777" w:rsidR="00D15FD8" w:rsidRPr="002F1D63" w:rsidRDefault="00AC4DF7" w:rsidP="002F1D63">
                      <w:pPr>
                        <w:jc w:val="center"/>
                        <w:rPr>
                          <w:b/>
                          <w:bCs/>
                          <w:color w:val="FFFFFF" w:themeColor="background1"/>
                          <w:u w:val="single"/>
                        </w:rPr>
                      </w:pPr>
                      <w:hyperlink r:id="rId139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4514F3B" w14:textId="77777777" w:rsidR="00D15FD8" w:rsidRDefault="00D15FD8"/>
                    <w:p w14:paraId="7E59665F" w14:textId="77777777" w:rsidR="00D15FD8" w:rsidRPr="002F1D63" w:rsidRDefault="00AC4DF7" w:rsidP="002F1D63">
                      <w:pPr>
                        <w:jc w:val="center"/>
                        <w:rPr>
                          <w:b/>
                          <w:bCs/>
                          <w:color w:val="FFFFFF" w:themeColor="background1"/>
                          <w:u w:val="single"/>
                        </w:rPr>
                      </w:pPr>
                      <w:hyperlink r:id="rId139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6B9367C" w14:textId="77777777" w:rsidR="00D15FD8" w:rsidRDefault="00D15FD8"/>
                    <w:p w14:paraId="4A6C0325" w14:textId="77777777" w:rsidR="00D15FD8" w:rsidRPr="002F1D63" w:rsidRDefault="00AC4DF7" w:rsidP="002F1D63">
                      <w:pPr>
                        <w:jc w:val="center"/>
                        <w:rPr>
                          <w:b/>
                          <w:bCs/>
                          <w:color w:val="FFFFFF" w:themeColor="background1"/>
                          <w:u w:val="single"/>
                        </w:rPr>
                      </w:pPr>
                      <w:hyperlink r:id="rId139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CC182F3" w14:textId="77777777" w:rsidR="00D15FD8" w:rsidRDefault="00D15FD8"/>
                    <w:p w14:paraId="16C97C52" w14:textId="77777777" w:rsidR="00D15FD8" w:rsidRPr="002F1D63" w:rsidRDefault="00AC4DF7" w:rsidP="002F1D63">
                      <w:pPr>
                        <w:jc w:val="center"/>
                        <w:rPr>
                          <w:b/>
                          <w:bCs/>
                          <w:color w:val="FFFFFF" w:themeColor="background1"/>
                          <w:u w:val="single"/>
                        </w:rPr>
                      </w:pPr>
                      <w:hyperlink r:id="rId139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AB319AC" w14:textId="77777777" w:rsidR="00D15FD8" w:rsidRDefault="00D15FD8"/>
                    <w:p w14:paraId="53ECCB0D" w14:textId="77777777" w:rsidR="00D15FD8" w:rsidRPr="002F1D63" w:rsidRDefault="00AC4DF7" w:rsidP="002F1D63">
                      <w:pPr>
                        <w:jc w:val="center"/>
                        <w:rPr>
                          <w:b/>
                          <w:bCs/>
                          <w:color w:val="FFFFFF" w:themeColor="background1"/>
                          <w:u w:val="single"/>
                        </w:rPr>
                      </w:pPr>
                      <w:hyperlink r:id="rId139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E369D52" w14:textId="77777777" w:rsidR="00D15FD8" w:rsidRDefault="00D15FD8"/>
                    <w:p w14:paraId="503E2655" w14:textId="77777777" w:rsidR="00D15FD8" w:rsidRPr="002F1D63" w:rsidRDefault="00AC4DF7" w:rsidP="002F1D63">
                      <w:pPr>
                        <w:jc w:val="center"/>
                        <w:rPr>
                          <w:b/>
                          <w:bCs/>
                          <w:color w:val="FFFFFF" w:themeColor="background1"/>
                          <w:u w:val="single"/>
                        </w:rPr>
                      </w:pPr>
                      <w:hyperlink r:id="rId139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B517905" w14:textId="77777777" w:rsidR="00D15FD8" w:rsidRDefault="00D15FD8"/>
                    <w:p w14:paraId="7F9CB577" w14:textId="77777777" w:rsidR="00D15FD8" w:rsidRPr="002F1D63" w:rsidRDefault="00AC4DF7" w:rsidP="002F1D63">
                      <w:pPr>
                        <w:jc w:val="center"/>
                        <w:rPr>
                          <w:b/>
                          <w:bCs/>
                          <w:color w:val="FFFFFF" w:themeColor="background1"/>
                          <w:u w:val="single"/>
                        </w:rPr>
                      </w:pPr>
                      <w:hyperlink r:id="rId139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9EA91CA" w14:textId="77777777" w:rsidR="00D15FD8" w:rsidRDefault="00D15FD8"/>
                    <w:p w14:paraId="76E7BA16" w14:textId="77777777" w:rsidR="00D15FD8" w:rsidRPr="002F1D63" w:rsidRDefault="00AC4DF7" w:rsidP="002F1D63">
                      <w:pPr>
                        <w:jc w:val="center"/>
                        <w:rPr>
                          <w:b/>
                          <w:bCs/>
                          <w:color w:val="FFFFFF" w:themeColor="background1"/>
                          <w:u w:val="single"/>
                        </w:rPr>
                      </w:pPr>
                      <w:hyperlink r:id="rId140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2DAD7AD" w14:textId="77777777" w:rsidR="00D15FD8" w:rsidRDefault="00D15FD8"/>
                    <w:p w14:paraId="1090E117" w14:textId="77777777" w:rsidR="00D15FD8" w:rsidRPr="002F1D63" w:rsidRDefault="00AC4DF7" w:rsidP="002F1D63">
                      <w:pPr>
                        <w:jc w:val="center"/>
                        <w:rPr>
                          <w:b/>
                          <w:bCs/>
                          <w:color w:val="FFFFFF" w:themeColor="background1"/>
                          <w:u w:val="single"/>
                        </w:rPr>
                      </w:pPr>
                      <w:hyperlink r:id="rId140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117EFA5" w14:textId="77777777" w:rsidR="00D15FD8" w:rsidRDefault="00D15FD8"/>
                    <w:p w14:paraId="2E5160F0" w14:textId="77777777" w:rsidR="00D15FD8" w:rsidRPr="002F1D63" w:rsidRDefault="00AC4DF7" w:rsidP="002F1D63">
                      <w:pPr>
                        <w:jc w:val="center"/>
                        <w:rPr>
                          <w:b/>
                          <w:bCs/>
                          <w:color w:val="FFFFFF" w:themeColor="background1"/>
                          <w:u w:val="single"/>
                        </w:rPr>
                      </w:pPr>
                      <w:hyperlink r:id="rId140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300A26B" w14:textId="77777777" w:rsidR="00D15FD8" w:rsidRDefault="00D15FD8"/>
                    <w:p w14:paraId="4A63A46F" w14:textId="77777777" w:rsidR="00D15FD8" w:rsidRPr="002F1D63" w:rsidRDefault="00AC4DF7" w:rsidP="002F1D63">
                      <w:pPr>
                        <w:jc w:val="center"/>
                        <w:rPr>
                          <w:b/>
                          <w:bCs/>
                          <w:color w:val="FFFFFF" w:themeColor="background1"/>
                          <w:u w:val="single"/>
                        </w:rPr>
                      </w:pPr>
                      <w:hyperlink r:id="rId140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BA80DB1" w14:textId="77777777" w:rsidR="00D15FD8" w:rsidRDefault="00D15FD8"/>
                    <w:p w14:paraId="29222834" w14:textId="77777777" w:rsidR="00D15FD8" w:rsidRPr="002F1D63" w:rsidRDefault="00AC4DF7" w:rsidP="002F1D63">
                      <w:pPr>
                        <w:jc w:val="center"/>
                        <w:rPr>
                          <w:b/>
                          <w:bCs/>
                          <w:color w:val="FFFFFF" w:themeColor="background1"/>
                          <w:u w:val="single"/>
                        </w:rPr>
                      </w:pPr>
                      <w:hyperlink r:id="rId140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E6D11C2" w14:textId="77777777" w:rsidR="00D15FD8" w:rsidRDefault="00D15FD8"/>
                    <w:p w14:paraId="594F0229" w14:textId="77777777" w:rsidR="00D15FD8" w:rsidRPr="002F1D63" w:rsidRDefault="00AC4DF7" w:rsidP="002F1D63">
                      <w:pPr>
                        <w:jc w:val="center"/>
                        <w:rPr>
                          <w:b/>
                          <w:bCs/>
                          <w:color w:val="FFFFFF" w:themeColor="background1"/>
                          <w:u w:val="single"/>
                        </w:rPr>
                      </w:pPr>
                      <w:hyperlink r:id="rId140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712D20F" w14:textId="77777777" w:rsidR="00D15FD8" w:rsidRDefault="00D15FD8"/>
                    <w:p w14:paraId="034C29BD" w14:textId="38116A42" w:rsidR="00D15FD8" w:rsidRPr="002F1D63" w:rsidRDefault="00AC4DF7" w:rsidP="002F1D63">
                      <w:pPr>
                        <w:jc w:val="center"/>
                        <w:rPr>
                          <w:b/>
                          <w:bCs/>
                          <w:color w:val="FFFFFF" w:themeColor="background1"/>
                          <w:u w:val="single"/>
                        </w:rPr>
                      </w:pPr>
                      <w:hyperlink r:id="rId140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BE9E31F" w14:textId="77777777" w:rsidR="00D15FD8" w:rsidRDefault="00D15FD8"/>
                    <w:p w14:paraId="76BADD39" w14:textId="77777777" w:rsidR="00D15FD8" w:rsidRPr="002F1D63" w:rsidRDefault="00AC4DF7" w:rsidP="002F1D63">
                      <w:pPr>
                        <w:jc w:val="center"/>
                        <w:rPr>
                          <w:b/>
                          <w:bCs/>
                          <w:color w:val="FFFFFF" w:themeColor="background1"/>
                          <w:u w:val="single"/>
                        </w:rPr>
                      </w:pPr>
                      <w:hyperlink r:id="rId140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9C5D70E" w14:textId="77777777" w:rsidR="00D15FD8" w:rsidRDefault="00D15FD8"/>
                    <w:p w14:paraId="35D81DF6" w14:textId="77777777" w:rsidR="00D15FD8" w:rsidRPr="002F1D63" w:rsidRDefault="00AC4DF7" w:rsidP="002F1D63">
                      <w:pPr>
                        <w:jc w:val="center"/>
                        <w:rPr>
                          <w:b/>
                          <w:bCs/>
                          <w:color w:val="FFFFFF" w:themeColor="background1"/>
                          <w:u w:val="single"/>
                        </w:rPr>
                      </w:pPr>
                      <w:hyperlink r:id="rId140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F02332B" w14:textId="77777777" w:rsidR="00D15FD8" w:rsidRDefault="00D15FD8"/>
                    <w:p w14:paraId="5271D96D" w14:textId="77777777" w:rsidR="00D15FD8" w:rsidRPr="002F1D63" w:rsidRDefault="00AC4DF7" w:rsidP="002F1D63">
                      <w:pPr>
                        <w:jc w:val="center"/>
                        <w:rPr>
                          <w:b/>
                          <w:bCs/>
                          <w:color w:val="FFFFFF" w:themeColor="background1"/>
                          <w:u w:val="single"/>
                        </w:rPr>
                      </w:pPr>
                      <w:hyperlink r:id="rId140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4AF1E82" w14:textId="77777777" w:rsidR="00D15FD8" w:rsidRDefault="00D15FD8"/>
                    <w:p w14:paraId="7D32615A" w14:textId="77777777" w:rsidR="00D15FD8" w:rsidRPr="002F1D63" w:rsidRDefault="00AC4DF7" w:rsidP="002F1D63">
                      <w:pPr>
                        <w:jc w:val="center"/>
                        <w:rPr>
                          <w:b/>
                          <w:bCs/>
                          <w:color w:val="FFFFFF" w:themeColor="background1"/>
                          <w:u w:val="single"/>
                        </w:rPr>
                      </w:pPr>
                      <w:hyperlink r:id="rId141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0CDAAEA" w14:textId="77777777" w:rsidR="00D15FD8" w:rsidRDefault="00D15FD8"/>
                    <w:p w14:paraId="3D22982B" w14:textId="77777777" w:rsidR="00D15FD8" w:rsidRPr="002F1D63" w:rsidRDefault="00AC4DF7" w:rsidP="002F1D63">
                      <w:pPr>
                        <w:jc w:val="center"/>
                        <w:rPr>
                          <w:b/>
                          <w:bCs/>
                          <w:color w:val="FFFFFF" w:themeColor="background1"/>
                          <w:u w:val="single"/>
                        </w:rPr>
                      </w:pPr>
                      <w:hyperlink r:id="rId141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3347632" w14:textId="77777777" w:rsidR="00D15FD8" w:rsidRDefault="00D15FD8"/>
                    <w:p w14:paraId="3EA74E6E" w14:textId="77777777" w:rsidR="00D15FD8" w:rsidRPr="002F1D63" w:rsidRDefault="00AC4DF7" w:rsidP="002F1D63">
                      <w:pPr>
                        <w:jc w:val="center"/>
                        <w:rPr>
                          <w:b/>
                          <w:bCs/>
                          <w:color w:val="FFFFFF" w:themeColor="background1"/>
                          <w:u w:val="single"/>
                        </w:rPr>
                      </w:pPr>
                      <w:hyperlink r:id="rId141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3378ABF3" w14:textId="77777777" w:rsidR="00D15FD8" w:rsidRDefault="00D15FD8"/>
                    <w:p w14:paraId="376968E3" w14:textId="77777777" w:rsidR="00D15FD8" w:rsidRPr="002F1D63" w:rsidRDefault="00AC4DF7" w:rsidP="002F1D63">
                      <w:pPr>
                        <w:jc w:val="center"/>
                        <w:rPr>
                          <w:b/>
                          <w:bCs/>
                          <w:color w:val="FFFFFF" w:themeColor="background1"/>
                          <w:u w:val="single"/>
                        </w:rPr>
                      </w:pPr>
                      <w:hyperlink r:id="rId141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1E99D9C" w14:textId="77777777" w:rsidR="00D15FD8" w:rsidRDefault="00D15FD8"/>
                    <w:p w14:paraId="5A505F02" w14:textId="77777777" w:rsidR="00D15FD8" w:rsidRPr="002F1D63" w:rsidRDefault="00AC4DF7" w:rsidP="002F1D63">
                      <w:pPr>
                        <w:jc w:val="center"/>
                        <w:rPr>
                          <w:b/>
                          <w:bCs/>
                          <w:color w:val="FFFFFF" w:themeColor="background1"/>
                          <w:u w:val="single"/>
                        </w:rPr>
                      </w:pPr>
                      <w:hyperlink r:id="rId141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859BACC" w14:textId="77777777" w:rsidR="00D15FD8" w:rsidRDefault="00D15FD8"/>
                    <w:p w14:paraId="0560139B" w14:textId="77777777" w:rsidR="00D15FD8" w:rsidRPr="002F1D63" w:rsidRDefault="00AC4DF7" w:rsidP="002F1D63">
                      <w:pPr>
                        <w:jc w:val="center"/>
                        <w:rPr>
                          <w:b/>
                          <w:bCs/>
                          <w:color w:val="FFFFFF" w:themeColor="background1"/>
                          <w:u w:val="single"/>
                        </w:rPr>
                      </w:pPr>
                      <w:hyperlink r:id="rId141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1DCDF93" w14:textId="77777777" w:rsidR="00D15FD8" w:rsidRDefault="00D15FD8"/>
                    <w:p w14:paraId="2179E212" w14:textId="77777777" w:rsidR="00D15FD8" w:rsidRPr="002F1D63" w:rsidRDefault="00AC4DF7" w:rsidP="002F1D63">
                      <w:pPr>
                        <w:jc w:val="center"/>
                        <w:rPr>
                          <w:b/>
                          <w:bCs/>
                          <w:color w:val="FFFFFF" w:themeColor="background1"/>
                          <w:u w:val="single"/>
                        </w:rPr>
                      </w:pPr>
                      <w:hyperlink r:id="rId141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BE293F2" w14:textId="77777777" w:rsidR="00D15FD8" w:rsidRDefault="00D15FD8"/>
                    <w:p w14:paraId="1E5288BA" w14:textId="77777777" w:rsidR="00D15FD8" w:rsidRPr="002F1D63" w:rsidRDefault="00AC4DF7" w:rsidP="002F1D63">
                      <w:pPr>
                        <w:jc w:val="center"/>
                        <w:rPr>
                          <w:b/>
                          <w:bCs/>
                          <w:color w:val="FFFFFF" w:themeColor="background1"/>
                          <w:u w:val="single"/>
                        </w:rPr>
                      </w:pPr>
                      <w:hyperlink r:id="rId141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F540AEE" w14:textId="77777777" w:rsidR="00D15FD8" w:rsidRDefault="00D15FD8"/>
                    <w:p w14:paraId="3634319D" w14:textId="77777777" w:rsidR="00D15FD8" w:rsidRPr="002F1D63" w:rsidRDefault="00AC4DF7" w:rsidP="002F1D63">
                      <w:pPr>
                        <w:jc w:val="center"/>
                        <w:rPr>
                          <w:b/>
                          <w:bCs/>
                          <w:color w:val="FFFFFF" w:themeColor="background1"/>
                          <w:u w:val="single"/>
                        </w:rPr>
                      </w:pPr>
                      <w:hyperlink r:id="rId141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B60361F" w14:textId="77777777" w:rsidR="00D15FD8" w:rsidRDefault="00D15FD8"/>
                    <w:p w14:paraId="0508EDD3" w14:textId="77777777" w:rsidR="00D15FD8" w:rsidRPr="002F1D63" w:rsidRDefault="00AC4DF7" w:rsidP="002F1D63">
                      <w:pPr>
                        <w:jc w:val="center"/>
                        <w:rPr>
                          <w:b/>
                          <w:bCs/>
                          <w:color w:val="FFFFFF" w:themeColor="background1"/>
                          <w:u w:val="single"/>
                        </w:rPr>
                      </w:pPr>
                      <w:hyperlink r:id="rId141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29871B9" w14:textId="77777777" w:rsidR="00D15FD8" w:rsidRDefault="00D15FD8"/>
                    <w:p w14:paraId="6D4F9747" w14:textId="77777777" w:rsidR="00D15FD8" w:rsidRPr="002F1D63" w:rsidRDefault="00AC4DF7" w:rsidP="002F1D63">
                      <w:pPr>
                        <w:jc w:val="center"/>
                        <w:rPr>
                          <w:b/>
                          <w:bCs/>
                          <w:color w:val="FFFFFF" w:themeColor="background1"/>
                          <w:u w:val="single"/>
                        </w:rPr>
                      </w:pPr>
                      <w:hyperlink r:id="rId142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16B6D2A" w14:textId="77777777" w:rsidR="00D15FD8" w:rsidRDefault="00D15FD8"/>
                    <w:p w14:paraId="3147AD2A" w14:textId="77777777" w:rsidR="00D15FD8" w:rsidRPr="002F1D63" w:rsidRDefault="00AC4DF7" w:rsidP="002F1D63">
                      <w:pPr>
                        <w:jc w:val="center"/>
                        <w:rPr>
                          <w:b/>
                          <w:bCs/>
                          <w:color w:val="FFFFFF" w:themeColor="background1"/>
                          <w:u w:val="single"/>
                        </w:rPr>
                      </w:pPr>
                      <w:hyperlink r:id="rId142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5CAF3FC" w14:textId="77777777" w:rsidR="00D15FD8" w:rsidRDefault="00D15FD8"/>
                    <w:p w14:paraId="6DAF4FC8" w14:textId="75FEC836" w:rsidR="00D15FD8" w:rsidRPr="002F1D63" w:rsidRDefault="00AC4DF7" w:rsidP="002F1D63">
                      <w:pPr>
                        <w:jc w:val="center"/>
                        <w:rPr>
                          <w:b/>
                          <w:bCs/>
                          <w:color w:val="FFFFFF" w:themeColor="background1"/>
                          <w:u w:val="single"/>
                        </w:rPr>
                      </w:pPr>
                      <w:hyperlink r:id="rId142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9949E98" w14:textId="77777777" w:rsidR="00D15FD8" w:rsidRDefault="00D15FD8"/>
                    <w:p w14:paraId="55951FA2" w14:textId="77777777" w:rsidR="00D15FD8" w:rsidRPr="002F1D63" w:rsidRDefault="00AC4DF7" w:rsidP="002F1D63">
                      <w:pPr>
                        <w:jc w:val="center"/>
                        <w:rPr>
                          <w:b/>
                          <w:bCs/>
                          <w:color w:val="FFFFFF" w:themeColor="background1"/>
                          <w:u w:val="single"/>
                        </w:rPr>
                      </w:pPr>
                      <w:hyperlink r:id="rId142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4EB71C7" w14:textId="77777777" w:rsidR="00D15FD8" w:rsidRDefault="00D15FD8"/>
                    <w:p w14:paraId="6778B6A8" w14:textId="77777777" w:rsidR="00D15FD8" w:rsidRPr="002F1D63" w:rsidRDefault="00AC4DF7" w:rsidP="002F1D63">
                      <w:pPr>
                        <w:jc w:val="center"/>
                        <w:rPr>
                          <w:b/>
                          <w:bCs/>
                          <w:color w:val="FFFFFF" w:themeColor="background1"/>
                          <w:u w:val="single"/>
                        </w:rPr>
                      </w:pPr>
                      <w:hyperlink r:id="rId142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D04434B" w14:textId="77777777" w:rsidR="00D15FD8" w:rsidRDefault="00D15FD8"/>
                    <w:p w14:paraId="47965C2D" w14:textId="77777777" w:rsidR="00D15FD8" w:rsidRPr="002F1D63" w:rsidRDefault="00AC4DF7" w:rsidP="002F1D63">
                      <w:pPr>
                        <w:jc w:val="center"/>
                        <w:rPr>
                          <w:b/>
                          <w:bCs/>
                          <w:color w:val="FFFFFF" w:themeColor="background1"/>
                          <w:u w:val="single"/>
                        </w:rPr>
                      </w:pPr>
                      <w:hyperlink r:id="rId142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6E5B1292" w14:textId="77777777" w:rsidR="00D15FD8" w:rsidRDefault="00D15FD8"/>
                    <w:p w14:paraId="36E45E48" w14:textId="77777777" w:rsidR="00D15FD8" w:rsidRPr="002F1D63" w:rsidRDefault="00AC4DF7" w:rsidP="002F1D63">
                      <w:pPr>
                        <w:jc w:val="center"/>
                        <w:rPr>
                          <w:b/>
                          <w:bCs/>
                          <w:color w:val="FFFFFF" w:themeColor="background1"/>
                          <w:u w:val="single"/>
                        </w:rPr>
                      </w:pPr>
                      <w:hyperlink r:id="rId142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7201B1B7" w14:textId="77777777" w:rsidR="00D15FD8" w:rsidRDefault="00D15FD8"/>
                    <w:p w14:paraId="460BB736" w14:textId="77777777" w:rsidR="00D15FD8" w:rsidRPr="002F1D63" w:rsidRDefault="00AC4DF7" w:rsidP="002F1D63">
                      <w:pPr>
                        <w:jc w:val="center"/>
                        <w:rPr>
                          <w:b/>
                          <w:bCs/>
                          <w:color w:val="FFFFFF" w:themeColor="background1"/>
                          <w:u w:val="single"/>
                        </w:rPr>
                      </w:pPr>
                      <w:hyperlink r:id="rId142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4A8064AA" w14:textId="77777777" w:rsidR="00D15FD8" w:rsidRDefault="00D15FD8"/>
                    <w:p w14:paraId="3AA2A3A0" w14:textId="77777777" w:rsidR="00D15FD8" w:rsidRPr="002F1D63" w:rsidRDefault="00AC4DF7" w:rsidP="002F1D63">
                      <w:pPr>
                        <w:jc w:val="center"/>
                        <w:rPr>
                          <w:b/>
                          <w:bCs/>
                          <w:color w:val="FFFFFF" w:themeColor="background1"/>
                          <w:u w:val="single"/>
                        </w:rPr>
                      </w:pPr>
                      <w:hyperlink r:id="rId1428"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C6C111D" w14:textId="77777777" w:rsidR="00D15FD8" w:rsidRDefault="00D15FD8"/>
                    <w:p w14:paraId="28D92CCD" w14:textId="77777777" w:rsidR="00D15FD8" w:rsidRPr="002F1D63" w:rsidRDefault="00AC4DF7" w:rsidP="002F1D63">
                      <w:pPr>
                        <w:jc w:val="center"/>
                        <w:rPr>
                          <w:b/>
                          <w:bCs/>
                          <w:color w:val="FFFFFF" w:themeColor="background1"/>
                          <w:u w:val="single"/>
                        </w:rPr>
                      </w:pPr>
                      <w:hyperlink r:id="rId1429"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E986ED8" w14:textId="77777777" w:rsidR="00D15FD8" w:rsidRDefault="00D15FD8"/>
                    <w:p w14:paraId="6D27C1E8" w14:textId="28E11B0E" w:rsidR="00D15FD8" w:rsidRPr="002F1D63" w:rsidRDefault="00AC4DF7" w:rsidP="002F1D63">
                      <w:pPr>
                        <w:jc w:val="center"/>
                        <w:rPr>
                          <w:b/>
                          <w:bCs/>
                          <w:color w:val="FFFFFF" w:themeColor="background1"/>
                          <w:u w:val="single"/>
                        </w:rPr>
                      </w:pPr>
                      <w:hyperlink r:id="rId1430"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946E442" w14:textId="77777777" w:rsidR="00D15FD8" w:rsidRDefault="00D15FD8"/>
                    <w:p w14:paraId="1FAF7EF0" w14:textId="77777777" w:rsidR="00D15FD8" w:rsidRPr="002F1D63" w:rsidRDefault="00AC4DF7" w:rsidP="002F1D63">
                      <w:pPr>
                        <w:jc w:val="center"/>
                        <w:rPr>
                          <w:b/>
                          <w:bCs/>
                          <w:color w:val="FFFFFF" w:themeColor="background1"/>
                          <w:u w:val="single"/>
                        </w:rPr>
                      </w:pPr>
                      <w:hyperlink r:id="rId1431"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AA57130" w14:textId="77777777" w:rsidR="00D15FD8" w:rsidRDefault="00D15FD8"/>
                    <w:p w14:paraId="27F41A87" w14:textId="77777777" w:rsidR="00D15FD8" w:rsidRPr="002F1D63" w:rsidRDefault="00AC4DF7" w:rsidP="002F1D63">
                      <w:pPr>
                        <w:jc w:val="center"/>
                        <w:rPr>
                          <w:b/>
                          <w:bCs/>
                          <w:color w:val="FFFFFF" w:themeColor="background1"/>
                          <w:u w:val="single"/>
                        </w:rPr>
                      </w:pPr>
                      <w:hyperlink r:id="rId1432"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AAA6995" w14:textId="77777777" w:rsidR="00D15FD8" w:rsidRDefault="00D15FD8"/>
                    <w:p w14:paraId="56A17057" w14:textId="77777777" w:rsidR="00D15FD8" w:rsidRPr="002F1D63" w:rsidRDefault="00AC4DF7" w:rsidP="002F1D63">
                      <w:pPr>
                        <w:jc w:val="center"/>
                        <w:rPr>
                          <w:b/>
                          <w:bCs/>
                          <w:color w:val="FFFFFF" w:themeColor="background1"/>
                          <w:u w:val="single"/>
                        </w:rPr>
                      </w:pPr>
                      <w:hyperlink r:id="rId1433"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0A5F9313" w14:textId="77777777" w:rsidR="00D15FD8" w:rsidRDefault="00D15FD8"/>
                    <w:p w14:paraId="1F9B1FC6" w14:textId="0F99EEBC" w:rsidR="00D15FD8" w:rsidRPr="002F1D63" w:rsidRDefault="00AC4DF7" w:rsidP="002F1D63">
                      <w:pPr>
                        <w:jc w:val="center"/>
                        <w:rPr>
                          <w:b/>
                          <w:bCs/>
                          <w:color w:val="FFFFFF" w:themeColor="background1"/>
                          <w:u w:val="single"/>
                        </w:rPr>
                      </w:pPr>
                      <w:hyperlink r:id="rId1434"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1D1EA94D" w14:textId="77777777" w:rsidR="00D15FD8" w:rsidRDefault="00D15FD8"/>
                    <w:p w14:paraId="3C51B58E" w14:textId="77777777" w:rsidR="00D15FD8" w:rsidRPr="002F1D63" w:rsidRDefault="00AC4DF7" w:rsidP="002F1D63">
                      <w:pPr>
                        <w:jc w:val="center"/>
                        <w:rPr>
                          <w:b/>
                          <w:bCs/>
                          <w:color w:val="FFFFFF" w:themeColor="background1"/>
                          <w:u w:val="single"/>
                        </w:rPr>
                      </w:pPr>
                      <w:hyperlink r:id="rId1435"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25AEE679" w14:textId="77777777" w:rsidR="00D15FD8" w:rsidRDefault="00D15FD8"/>
                    <w:p w14:paraId="6DAE8D86" w14:textId="41CC7A49" w:rsidR="00D15FD8" w:rsidRPr="002F1D63" w:rsidRDefault="00AC4DF7" w:rsidP="002F1D63">
                      <w:pPr>
                        <w:jc w:val="center"/>
                        <w:rPr>
                          <w:b/>
                          <w:bCs/>
                          <w:color w:val="FFFFFF" w:themeColor="background1"/>
                          <w:u w:val="single"/>
                        </w:rPr>
                      </w:pPr>
                      <w:hyperlink r:id="rId1436"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p w14:paraId="5C78317C" w14:textId="77777777" w:rsidR="00D15FD8" w:rsidRDefault="00D15FD8"/>
                    <w:p w14:paraId="3CBA8E45" w14:textId="0A0F39CB" w:rsidR="00D15FD8" w:rsidRPr="002F1D63" w:rsidRDefault="00AC4DF7" w:rsidP="002F1D63">
                      <w:pPr>
                        <w:jc w:val="center"/>
                        <w:rPr>
                          <w:b/>
                          <w:bCs/>
                          <w:color w:val="FFFFFF" w:themeColor="background1"/>
                          <w:u w:val="single"/>
                        </w:rPr>
                      </w:pPr>
                      <w:hyperlink r:id="rId1437" w:history="1">
                        <w:r w:rsidR="00D15FD8" w:rsidRPr="002F1D63">
                          <w:rPr>
                            <w:rStyle w:val="Hyperlink"/>
                            <w:rFonts w:ascii="Arial" w:hAnsi="Arial" w:cs="Arial"/>
                            <w:b/>
                            <w:bCs/>
                            <w:color w:val="FFFFFF" w:themeColor="background1"/>
                          </w:rPr>
                          <w:t>Watch</w:t>
                        </w:r>
                      </w:hyperlink>
                      <w:r w:rsidR="00D15FD8" w:rsidRPr="002F1D63">
                        <w:rPr>
                          <w:rStyle w:val="Hyperlink"/>
                          <w:rFonts w:ascii="Arial" w:hAnsi="Arial" w:cs="Arial"/>
                          <w:b/>
                          <w:bCs/>
                          <w:color w:val="FFFFFF" w:themeColor="background1"/>
                        </w:rPr>
                        <w:t xml:space="preserve"> here</w:t>
                      </w:r>
                    </w:p>
                  </w:txbxContent>
                </v:textbox>
              </v:shape>
            </w:pict>
          </mc:Fallback>
        </mc:AlternateContent>
      </w:r>
      <w:r w:rsidRPr="00EB2A7C">
        <w:rPr>
          <w:rFonts w:ascii="Arial" w:hAnsi="Arial" w:cs="Arial"/>
          <w:sz w:val="24"/>
          <w:szCs w:val="24"/>
        </w:rPr>
        <w:t xml:space="preserve">In a </w:t>
      </w:r>
      <w:hyperlink r:id="rId1438" w:history="1">
        <w:r w:rsidRPr="00EB2A7C">
          <w:rPr>
            <w:rStyle w:val="Hyperlink"/>
            <w:rFonts w:ascii="Arial" w:hAnsi="Arial" w:cs="Arial"/>
            <w:sz w:val="24"/>
            <w:szCs w:val="24"/>
          </w:rPr>
          <w:t>video</w:t>
        </w:r>
      </w:hyperlink>
      <w:r w:rsidRPr="00EB2A7C">
        <w:rPr>
          <w:rFonts w:ascii="Arial" w:hAnsi="Arial" w:cs="Arial"/>
          <w:sz w:val="24"/>
          <w:szCs w:val="24"/>
        </w:rPr>
        <w:t xml:space="preserve"> recorded in May 2021, Georgia’s Deputy Minister of Finance, </w:t>
      </w:r>
      <w:proofErr w:type="spellStart"/>
      <w:r w:rsidRPr="00EB2A7C">
        <w:rPr>
          <w:rFonts w:ascii="Arial" w:hAnsi="Arial" w:cs="Arial"/>
          <w:sz w:val="24"/>
          <w:szCs w:val="24"/>
        </w:rPr>
        <w:t>Nikoloz</w:t>
      </w:r>
      <w:proofErr w:type="spellEnd"/>
      <w:r w:rsidRPr="00EB2A7C">
        <w:rPr>
          <w:rFonts w:ascii="Arial" w:hAnsi="Arial" w:cs="Arial"/>
          <w:sz w:val="24"/>
          <w:szCs w:val="24"/>
        </w:rPr>
        <w:t xml:space="preserve"> </w:t>
      </w:r>
      <w:proofErr w:type="spellStart"/>
      <w:r w:rsidRPr="00EB2A7C">
        <w:rPr>
          <w:rFonts w:ascii="Arial" w:hAnsi="Arial" w:cs="Arial"/>
          <w:sz w:val="24"/>
          <w:szCs w:val="24"/>
        </w:rPr>
        <w:t>Gagua</w:t>
      </w:r>
      <w:proofErr w:type="spellEnd"/>
      <w:r w:rsidRPr="00EB2A7C">
        <w:rPr>
          <w:rFonts w:ascii="Arial" w:hAnsi="Arial" w:cs="Arial"/>
          <w:sz w:val="24"/>
          <w:szCs w:val="24"/>
        </w:rPr>
        <w:t>, provides details of Georgia’s PFM reform process and how a strong focus on fiscal transparency formed the cornerstone of it. The reform agenda has been complex and multi-dimensional, involving different stakeholders across government. Georgia now publishes comprehensive budget related documentation in a timely manner.</w:t>
      </w:r>
      <w:r w:rsidRPr="00EB2A7C">
        <w:rPr>
          <w:rFonts w:ascii="Arial" w:eastAsiaTheme="minorEastAsia" w:hAnsi="Arial" w:cs="Arial"/>
          <w:sz w:val="24"/>
          <w:szCs w:val="24"/>
          <w:lang w:eastAsia="zh-CN"/>
        </w:rPr>
        <w:t xml:space="preserve"> </w:t>
      </w:r>
      <w:r w:rsidRPr="00EB2A7C">
        <w:rPr>
          <w:rFonts w:ascii="Arial" w:hAnsi="Arial" w:cs="Arial"/>
          <w:sz w:val="24"/>
          <w:szCs w:val="24"/>
        </w:rPr>
        <w:t>Citizen participation has also been a key element of this agenda. He concludes that global initiatives, such as those provided by the GIFT network and other international organizations, provide countries with great opportunities to build their capacity for advancing fiscal transparency and consequently accountability.</w:t>
      </w:r>
    </w:p>
    <w:p w14:paraId="142D6A75" w14:textId="77777777" w:rsidR="00E4479B" w:rsidRPr="00EB2A7C" w:rsidRDefault="00E4479B" w:rsidP="00EB2A7C">
      <w:pPr>
        <w:tabs>
          <w:tab w:val="num" w:pos="720"/>
        </w:tabs>
        <w:spacing w:line="276" w:lineRule="auto"/>
        <w:jc w:val="both"/>
        <w:rPr>
          <w:rFonts w:ascii="Arial" w:hAnsi="Arial" w:cs="Arial"/>
          <w:sz w:val="24"/>
          <w:szCs w:val="24"/>
        </w:rPr>
      </w:pPr>
    </w:p>
    <w:p w14:paraId="261A33FB" w14:textId="3AE9ADE1" w:rsidR="0087283F" w:rsidRDefault="00E4479B" w:rsidP="00E4479B">
      <w:pPr>
        <w:tabs>
          <w:tab w:val="num" w:pos="720"/>
        </w:tabs>
        <w:spacing w:line="276" w:lineRule="auto"/>
        <w:jc w:val="both"/>
        <w:rPr>
          <w:rFonts w:ascii="Arial" w:hAnsi="Arial" w:cs="Arial"/>
          <w:sz w:val="24"/>
          <w:szCs w:val="24"/>
        </w:rPr>
      </w:pPr>
      <w:r w:rsidRPr="00EB2A7C">
        <w:rPr>
          <w:rFonts w:ascii="Arial" w:hAnsi="Arial" w:cs="Arial"/>
          <w:sz w:val="24"/>
          <w:szCs w:val="24"/>
        </w:rPr>
        <w:t xml:space="preserve">The Deputy Minister’s testimonial is followed by those of two IMF representatives reflecting on how fiscal transparency enhanced Georgia’s relationship with the Fund, and facilitated its reform experience, thereby sharing key insights for other countries. Georgia’s PFM reform agenda, followed a sequenced approach and a detailed action plan, designed to respond to its specific needs and implementation capacity. IMF capacity development initiatives and program conditionalities helped the authorities in implementing specific measures to enhance fiscal transparency in advancing the overall PFM reform agenda. The strong leadership of Georgian authorities, particularly the work undertaken by domestic reform champions within the Ministry of Finance, led to the effective implementation of the IMF’s recommendations, helping the country achieve its PFM reform goals. Pertinent lessons for other countries include the importance of having a PFM action plan tailored to country circumstances; strong political commitment and support; a gradual approach, starting with </w:t>
      </w:r>
      <w:r w:rsidRPr="00EB2A7C">
        <w:rPr>
          <w:rFonts w:ascii="Arial" w:hAnsi="Arial" w:cs="Arial"/>
          <w:sz w:val="24"/>
          <w:szCs w:val="24"/>
        </w:rPr>
        <w:lastRenderedPageBreak/>
        <w:t>small, simple actions, that demonstrate early gains, building towards more complex actions as capacity develops; and lastly, of making the most of international resources available to build capacity, in a coordinated manner.</w:t>
      </w:r>
    </w:p>
    <w:p w14:paraId="74EA33CC" w14:textId="57D21FFB" w:rsidR="0087283F" w:rsidRDefault="0087283F" w:rsidP="00E4479B">
      <w:pPr>
        <w:tabs>
          <w:tab w:val="num" w:pos="720"/>
        </w:tabs>
        <w:spacing w:line="276" w:lineRule="auto"/>
        <w:jc w:val="both"/>
        <w:rPr>
          <w:rFonts w:ascii="Arial" w:hAnsi="Arial" w:cs="Arial"/>
          <w:sz w:val="24"/>
          <w:szCs w:val="24"/>
        </w:rPr>
      </w:pPr>
    </w:p>
    <w:p w14:paraId="783B2451" w14:textId="3D87BA97" w:rsidR="0087283F" w:rsidRPr="00590086" w:rsidRDefault="0087283F" w:rsidP="00EB2A7C">
      <w:pPr>
        <w:tabs>
          <w:tab w:val="num" w:pos="720"/>
        </w:tabs>
        <w:spacing w:line="276" w:lineRule="auto"/>
        <w:jc w:val="both"/>
        <w:rPr>
          <w:rFonts w:ascii="Arial" w:hAnsi="Arial" w:cs="Arial"/>
          <w:iCs/>
          <w:sz w:val="26"/>
          <w:szCs w:val="26"/>
        </w:rPr>
      </w:pPr>
      <w:r w:rsidRPr="00590086">
        <w:rPr>
          <w:rFonts w:ascii="Arial" w:eastAsiaTheme="majorEastAsia" w:hAnsi="Arial" w:cs="Arial"/>
          <w:b/>
          <w:iCs/>
          <w:color w:val="C0A4CE"/>
          <w:sz w:val="26"/>
          <w:szCs w:val="26"/>
        </w:rPr>
        <w:t xml:space="preserve">Fiscal transparency reform experiences: Examples from various countries </w:t>
      </w:r>
    </w:p>
    <w:p w14:paraId="1588EAF6" w14:textId="6F2DA9EE" w:rsidR="00E4479B" w:rsidRPr="0087283F" w:rsidRDefault="00232220" w:rsidP="00EB2A7C">
      <w:pPr>
        <w:tabs>
          <w:tab w:val="left" w:pos="2420"/>
        </w:tabs>
        <w:spacing w:line="276" w:lineRule="auto"/>
        <w:rPr>
          <w:rFonts w:ascii="Arial" w:hAnsi="Arial" w:cs="Arial"/>
          <w:sz w:val="24"/>
          <w:szCs w:val="24"/>
          <w:lang w:val="en-US"/>
        </w:rPr>
      </w:pPr>
      <w:r>
        <w:rPr>
          <w:noProof/>
          <w:lang w:val="en-US"/>
        </w:rPr>
        <w:drawing>
          <wp:anchor distT="0" distB="0" distL="114300" distR="114300" simplePos="0" relativeHeight="254706686" behindDoc="1" locked="0" layoutInCell="1" allowOverlap="1" wp14:anchorId="748D214C" wp14:editId="10DC75C5">
            <wp:simplePos x="0" y="0"/>
            <wp:positionH relativeFrom="column">
              <wp:posOffset>4387850</wp:posOffset>
            </wp:positionH>
            <wp:positionV relativeFrom="paragraph">
              <wp:posOffset>173355</wp:posOffset>
            </wp:positionV>
            <wp:extent cx="1706880" cy="1073150"/>
            <wp:effectExtent l="25400" t="25400" r="83820" b="95250"/>
            <wp:wrapTight wrapText="bothSides">
              <wp:wrapPolygon edited="0">
                <wp:start x="0" y="-511"/>
                <wp:lineTo x="-321" y="-256"/>
                <wp:lineTo x="-321" y="22239"/>
                <wp:lineTo x="0" y="23262"/>
                <wp:lineTo x="22018" y="23262"/>
                <wp:lineTo x="22500" y="20450"/>
                <wp:lineTo x="22500" y="3834"/>
                <wp:lineTo x="22018" y="0"/>
                <wp:lineTo x="22018" y="-511"/>
                <wp:lineTo x="0" y="-511"/>
              </wp:wrapPolygon>
            </wp:wrapTight>
            <wp:docPr id="2654" name="Picture 2654" descr="Flag of Croatia | History, Meaning, &amp; Coat of Arm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ag of Croatia | History, Meaning, &amp; Coat of Arms | Britannica"/>
                    <pic:cNvPicPr>
                      <a:picLocks noChangeAspect="1" noChangeArrowheads="1"/>
                    </pic:cNvPicPr>
                  </pic:nvPicPr>
                  <pic:blipFill rotWithShape="1">
                    <a:blip r:embed="rId1439" cstate="screen">
                      <a:extLst>
                        <a:ext uri="{28A0092B-C50C-407E-A947-70E740481C1C}">
                          <a14:useLocalDpi xmlns:a14="http://schemas.microsoft.com/office/drawing/2010/main"/>
                        </a:ext>
                      </a:extLst>
                    </a:blip>
                    <a:srcRect/>
                    <a:stretch/>
                  </pic:blipFill>
                  <pic:spPr bwMode="auto">
                    <a:xfrm>
                      <a:off x="0" y="0"/>
                      <a:ext cx="1706880" cy="10731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4705662" behindDoc="1" locked="0" layoutInCell="1" allowOverlap="1" wp14:anchorId="53C9F8FD" wp14:editId="67FA8566">
            <wp:simplePos x="0" y="0"/>
            <wp:positionH relativeFrom="column">
              <wp:posOffset>2482850</wp:posOffset>
            </wp:positionH>
            <wp:positionV relativeFrom="paragraph">
              <wp:posOffset>173355</wp:posOffset>
            </wp:positionV>
            <wp:extent cx="1706880" cy="1066800"/>
            <wp:effectExtent l="25400" t="25400" r="83820" b="88900"/>
            <wp:wrapTight wrapText="bothSides">
              <wp:wrapPolygon edited="0">
                <wp:start x="0" y="-514"/>
                <wp:lineTo x="-321" y="-257"/>
                <wp:lineTo x="-321" y="22114"/>
                <wp:lineTo x="0" y="23143"/>
                <wp:lineTo x="22018" y="23143"/>
                <wp:lineTo x="22500" y="20571"/>
                <wp:lineTo x="22500" y="3857"/>
                <wp:lineTo x="22018" y="0"/>
                <wp:lineTo x="22018" y="-514"/>
                <wp:lineTo x="0" y="-514"/>
              </wp:wrapPolygon>
            </wp:wrapTight>
            <wp:docPr id="2653" name="Picture 2653" descr="flag of Guatemala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ag of Guatemala | Britannica"/>
                    <pic:cNvPicPr>
                      <a:picLocks noChangeAspect="1" noChangeArrowheads="1"/>
                    </pic:cNvPicPr>
                  </pic:nvPicPr>
                  <pic:blipFill>
                    <a:blip r:embed="rId1440" cstate="email">
                      <a:extLst>
                        <a:ext uri="{28A0092B-C50C-407E-A947-70E740481C1C}">
                          <a14:useLocalDpi xmlns:a14="http://schemas.microsoft.com/office/drawing/2010/main"/>
                        </a:ext>
                      </a:extLst>
                    </a:blip>
                    <a:srcRect/>
                    <a:stretch>
                      <a:fillRect/>
                    </a:stretch>
                  </pic:blipFill>
                  <pic:spPr bwMode="auto">
                    <a:xfrm>
                      <a:off x="0" y="0"/>
                      <a:ext cx="1706880" cy="10668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4704638" behindDoc="1" locked="0" layoutInCell="1" allowOverlap="1" wp14:anchorId="0B90507B" wp14:editId="5A32BFF2">
            <wp:simplePos x="0" y="0"/>
            <wp:positionH relativeFrom="column">
              <wp:posOffset>679450</wp:posOffset>
            </wp:positionH>
            <wp:positionV relativeFrom="paragraph">
              <wp:posOffset>173355</wp:posOffset>
            </wp:positionV>
            <wp:extent cx="1600835" cy="1066800"/>
            <wp:effectExtent l="25400" t="25400" r="88265" b="88900"/>
            <wp:wrapTight wrapText="bothSides">
              <wp:wrapPolygon edited="0">
                <wp:start x="0" y="-514"/>
                <wp:lineTo x="-343" y="-257"/>
                <wp:lineTo x="-343" y="22114"/>
                <wp:lineTo x="0" y="23143"/>
                <wp:lineTo x="22106" y="23143"/>
                <wp:lineTo x="22620" y="20571"/>
                <wp:lineTo x="22620" y="3857"/>
                <wp:lineTo x="22106" y="0"/>
                <wp:lineTo x="22106" y="-514"/>
                <wp:lineTo x="0" y="-514"/>
              </wp:wrapPolygon>
            </wp:wrapTight>
            <wp:docPr id="2652" name="Picture 2652" descr="flag of Benin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ag of Benin | Britannica"/>
                    <pic:cNvPicPr>
                      <a:picLocks noChangeAspect="1" noChangeArrowheads="1"/>
                    </pic:cNvPicPr>
                  </pic:nvPicPr>
                  <pic:blipFill>
                    <a:blip r:embed="rId1441" cstate="email">
                      <a:extLst>
                        <a:ext uri="{28A0092B-C50C-407E-A947-70E740481C1C}">
                          <a14:useLocalDpi xmlns:a14="http://schemas.microsoft.com/office/drawing/2010/main"/>
                        </a:ext>
                      </a:extLst>
                    </a:blip>
                    <a:srcRect/>
                    <a:stretch>
                      <a:fillRect/>
                    </a:stretch>
                  </pic:blipFill>
                  <pic:spPr bwMode="auto">
                    <a:xfrm>
                      <a:off x="0" y="0"/>
                      <a:ext cx="1600835" cy="10668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627294B" w14:textId="439271C3" w:rsidR="0087283F" w:rsidRDefault="0087283F" w:rsidP="0087283F">
      <w:pPr>
        <w:spacing w:line="276" w:lineRule="auto"/>
        <w:jc w:val="both"/>
        <w:rPr>
          <w:rFonts w:ascii="Arial" w:hAnsi="Arial" w:cs="Arial"/>
          <w:iCs/>
          <w:sz w:val="24"/>
          <w:szCs w:val="24"/>
        </w:rPr>
      </w:pPr>
    </w:p>
    <w:p w14:paraId="681CADBE" w14:textId="07B7806C" w:rsidR="0087283F" w:rsidRDefault="0087283F" w:rsidP="0087283F">
      <w:pPr>
        <w:spacing w:line="276" w:lineRule="auto"/>
        <w:jc w:val="both"/>
        <w:rPr>
          <w:rFonts w:ascii="Arial" w:hAnsi="Arial" w:cs="Arial"/>
          <w:iCs/>
          <w:sz w:val="24"/>
          <w:szCs w:val="24"/>
        </w:rPr>
      </w:pPr>
    </w:p>
    <w:p w14:paraId="39CBF344" w14:textId="4D99027E" w:rsidR="0087283F" w:rsidRDefault="0087283F" w:rsidP="0087283F">
      <w:pPr>
        <w:spacing w:line="276" w:lineRule="auto"/>
        <w:jc w:val="both"/>
        <w:rPr>
          <w:rFonts w:ascii="Arial" w:hAnsi="Arial" w:cs="Arial"/>
          <w:iCs/>
          <w:sz w:val="24"/>
          <w:szCs w:val="24"/>
        </w:rPr>
      </w:pPr>
    </w:p>
    <w:p w14:paraId="1EDB4F4A" w14:textId="7D12EB64" w:rsidR="0087283F" w:rsidRDefault="0087283F" w:rsidP="0087283F">
      <w:pPr>
        <w:spacing w:line="276" w:lineRule="auto"/>
        <w:jc w:val="both"/>
        <w:rPr>
          <w:rFonts w:ascii="Arial" w:hAnsi="Arial" w:cs="Arial"/>
          <w:iCs/>
          <w:sz w:val="24"/>
          <w:szCs w:val="24"/>
        </w:rPr>
      </w:pPr>
    </w:p>
    <w:p w14:paraId="13A5D167" w14:textId="415BEC64" w:rsidR="0087283F" w:rsidRDefault="0087283F" w:rsidP="0087283F">
      <w:pPr>
        <w:spacing w:line="276" w:lineRule="auto"/>
        <w:jc w:val="both"/>
        <w:rPr>
          <w:rFonts w:ascii="Arial" w:hAnsi="Arial" w:cs="Arial"/>
          <w:iCs/>
          <w:sz w:val="24"/>
          <w:szCs w:val="24"/>
        </w:rPr>
      </w:pPr>
    </w:p>
    <w:p w14:paraId="683F5DE1" w14:textId="50E42E9A" w:rsidR="0087283F" w:rsidRDefault="00232220" w:rsidP="0087283F">
      <w:pPr>
        <w:spacing w:line="276" w:lineRule="auto"/>
        <w:jc w:val="both"/>
        <w:rPr>
          <w:rFonts w:ascii="Arial" w:hAnsi="Arial" w:cs="Arial"/>
          <w:iCs/>
          <w:sz w:val="24"/>
          <w:szCs w:val="24"/>
        </w:rPr>
      </w:pPr>
      <w:r>
        <w:rPr>
          <w:rFonts w:ascii="Arial" w:hAnsi="Arial" w:cs="Arial"/>
          <w:iCs/>
          <w:noProof/>
          <w:sz w:val="24"/>
          <w:szCs w:val="24"/>
          <w:lang w:val="en-US"/>
        </w:rPr>
        <mc:AlternateContent>
          <mc:Choice Requires="wps">
            <w:drawing>
              <wp:anchor distT="0" distB="0" distL="114300" distR="114300" simplePos="0" relativeHeight="254711806" behindDoc="0" locked="0" layoutInCell="1" allowOverlap="1" wp14:anchorId="3D3B575B" wp14:editId="513B1687">
                <wp:simplePos x="0" y="0"/>
                <wp:positionH relativeFrom="column">
                  <wp:posOffset>4546600</wp:posOffset>
                </wp:positionH>
                <wp:positionV relativeFrom="paragraph">
                  <wp:posOffset>202565</wp:posOffset>
                </wp:positionV>
                <wp:extent cx="1397000" cy="254000"/>
                <wp:effectExtent l="0" t="0" r="0" b="0"/>
                <wp:wrapNone/>
                <wp:docPr id="2657" name="Text Box 2657"/>
                <wp:cNvGraphicFramePr/>
                <a:graphic xmlns:a="http://schemas.openxmlformats.org/drawingml/2006/main">
                  <a:graphicData uri="http://schemas.microsoft.com/office/word/2010/wordprocessingShape">
                    <wps:wsp>
                      <wps:cNvSpPr txBox="1"/>
                      <wps:spPr>
                        <a:xfrm>
                          <a:off x="0" y="0"/>
                          <a:ext cx="1397000" cy="254000"/>
                        </a:xfrm>
                        <a:prstGeom prst="rect">
                          <a:avLst/>
                        </a:prstGeom>
                        <a:solidFill>
                          <a:schemeClr val="lt1"/>
                        </a:solidFill>
                        <a:ln w="6350">
                          <a:noFill/>
                        </a:ln>
                      </wps:spPr>
                      <wps:txbx>
                        <w:txbxContent>
                          <w:p w14:paraId="1EC82E7D" w14:textId="435D839F"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0AC24F7" w14:textId="77777777" w:rsidR="00D15FD8" w:rsidRDefault="00D15FD8"/>
                          <w:p w14:paraId="6712CA0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6DC83FF" w14:textId="77777777" w:rsidR="00D15FD8" w:rsidRDefault="00D15FD8"/>
                          <w:p w14:paraId="64C0A7B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DEE649B" w14:textId="77777777" w:rsidR="00D15FD8" w:rsidRDefault="00D15FD8"/>
                          <w:p w14:paraId="4D965B5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C3AC198" w14:textId="77777777" w:rsidR="00D15FD8" w:rsidRDefault="00D15FD8"/>
                          <w:p w14:paraId="1521A56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6D361AB" w14:textId="77777777" w:rsidR="00D15FD8" w:rsidRDefault="00D15FD8"/>
                          <w:p w14:paraId="3656C3A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99B972F" w14:textId="77777777" w:rsidR="00D15FD8" w:rsidRDefault="00D15FD8"/>
                          <w:p w14:paraId="2103B98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26F1F0AD" w14:textId="77777777" w:rsidR="00D15FD8" w:rsidRDefault="00D15FD8"/>
                          <w:p w14:paraId="2AAAD4E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6B629EF" w14:textId="77777777" w:rsidR="00D15FD8" w:rsidRDefault="00D15FD8"/>
                          <w:p w14:paraId="4573A05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FDC41BC" w14:textId="77777777" w:rsidR="00D15FD8" w:rsidRDefault="00D15FD8"/>
                          <w:p w14:paraId="3FD2D8B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6D08B12" w14:textId="77777777" w:rsidR="00D15FD8" w:rsidRDefault="00D15FD8"/>
                          <w:p w14:paraId="5973F9E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147980B" w14:textId="77777777" w:rsidR="00D15FD8" w:rsidRDefault="00D15FD8"/>
                          <w:p w14:paraId="42A0B88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2AD33D40" w14:textId="77777777" w:rsidR="00D15FD8" w:rsidRDefault="00D15FD8"/>
                          <w:p w14:paraId="04E19AE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E00D49A" w14:textId="77777777" w:rsidR="00D15FD8" w:rsidRDefault="00D15FD8"/>
                          <w:p w14:paraId="60E910B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833A847" w14:textId="77777777" w:rsidR="00D15FD8" w:rsidRDefault="00D15FD8"/>
                          <w:p w14:paraId="20CB9D8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E676045" w14:textId="77777777" w:rsidR="00D15FD8" w:rsidRDefault="00D15FD8"/>
                          <w:p w14:paraId="1EE5063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32B5872" w14:textId="77777777" w:rsidR="00D15FD8" w:rsidRDefault="00D15FD8"/>
                          <w:p w14:paraId="40ECF4A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D730322" w14:textId="77777777" w:rsidR="00D15FD8" w:rsidRDefault="00D15FD8"/>
                          <w:p w14:paraId="204C265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24679C2B" w14:textId="77777777" w:rsidR="00D15FD8" w:rsidRDefault="00D15FD8"/>
                          <w:p w14:paraId="35DED8D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130906F" w14:textId="77777777" w:rsidR="00D15FD8" w:rsidRDefault="00D15FD8"/>
                          <w:p w14:paraId="7F21C93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E321DF9" w14:textId="77777777" w:rsidR="00D15FD8" w:rsidRDefault="00D15FD8"/>
                          <w:p w14:paraId="73B4BA3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757B061" w14:textId="77777777" w:rsidR="00D15FD8" w:rsidRDefault="00D15FD8"/>
                          <w:p w14:paraId="7A167DA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BDEAE8E" w14:textId="77777777" w:rsidR="00D15FD8" w:rsidRDefault="00D15FD8"/>
                          <w:p w14:paraId="38DB5D6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29BB7EC" w14:textId="77777777" w:rsidR="00D15FD8" w:rsidRDefault="00D15FD8"/>
                          <w:p w14:paraId="3AEBC1B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17328F4" w14:textId="77777777" w:rsidR="00D15FD8" w:rsidRDefault="00D15FD8"/>
                          <w:p w14:paraId="39F6D73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DAAD96E" w14:textId="77777777" w:rsidR="00D15FD8" w:rsidRDefault="00D15FD8"/>
                          <w:p w14:paraId="2E6439B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606D268" w14:textId="77777777" w:rsidR="00D15FD8" w:rsidRDefault="00D15FD8"/>
                          <w:p w14:paraId="5EC2D11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2DB91F4" w14:textId="77777777" w:rsidR="00D15FD8" w:rsidRDefault="00D15FD8"/>
                          <w:p w14:paraId="6C7B257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B5A2352" w14:textId="77777777" w:rsidR="00D15FD8" w:rsidRDefault="00D15FD8"/>
                          <w:p w14:paraId="5C09E4D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29C1293" w14:textId="77777777" w:rsidR="00D15FD8" w:rsidRDefault="00D15FD8"/>
                          <w:p w14:paraId="3881536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469E453" w14:textId="77777777" w:rsidR="00D15FD8" w:rsidRDefault="00D15FD8"/>
                          <w:p w14:paraId="7D69145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33D9BA1" w14:textId="77777777" w:rsidR="00D15FD8" w:rsidRDefault="00D15FD8"/>
                          <w:p w14:paraId="2D88437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F91B746" w14:textId="77777777" w:rsidR="00D15FD8" w:rsidRDefault="00D15FD8"/>
                          <w:p w14:paraId="104BDB82" w14:textId="7430E05A"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930C904" w14:textId="77777777" w:rsidR="00D15FD8" w:rsidRDefault="00D15FD8"/>
                          <w:p w14:paraId="6F9C808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1FBD8B1" w14:textId="77777777" w:rsidR="00D15FD8" w:rsidRDefault="00D15FD8"/>
                          <w:p w14:paraId="15B4DEB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6D1A35E" w14:textId="77777777" w:rsidR="00D15FD8" w:rsidRDefault="00D15FD8"/>
                          <w:p w14:paraId="43753B8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3792627" w14:textId="77777777" w:rsidR="00D15FD8" w:rsidRDefault="00D15FD8"/>
                          <w:p w14:paraId="59B9488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4217E1A" w14:textId="77777777" w:rsidR="00D15FD8" w:rsidRDefault="00D15FD8"/>
                          <w:p w14:paraId="03EF715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3DC7598" w14:textId="77777777" w:rsidR="00D15FD8" w:rsidRDefault="00D15FD8"/>
                          <w:p w14:paraId="0B98114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3DB8817" w14:textId="77777777" w:rsidR="00D15FD8" w:rsidRDefault="00D15FD8"/>
                          <w:p w14:paraId="7800B624"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E587079" w14:textId="77777777" w:rsidR="00D15FD8" w:rsidRDefault="00D15FD8"/>
                          <w:p w14:paraId="31DFB34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DEDF5D9" w14:textId="77777777" w:rsidR="00D15FD8" w:rsidRDefault="00D15FD8"/>
                          <w:p w14:paraId="5CFD691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0B64AF1" w14:textId="77777777" w:rsidR="00D15FD8" w:rsidRDefault="00D15FD8"/>
                          <w:p w14:paraId="6C65A50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2785D67" w14:textId="77777777" w:rsidR="00D15FD8" w:rsidRDefault="00D15FD8"/>
                          <w:p w14:paraId="2EA3FA6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3CB28C6" w14:textId="77777777" w:rsidR="00D15FD8" w:rsidRDefault="00D15FD8"/>
                          <w:p w14:paraId="03E8137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93F8668" w14:textId="77777777" w:rsidR="00D15FD8" w:rsidRDefault="00D15FD8"/>
                          <w:p w14:paraId="15143D3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47E37EF" w14:textId="77777777" w:rsidR="00D15FD8" w:rsidRDefault="00D15FD8"/>
                          <w:p w14:paraId="39349F7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2D5A72A" w14:textId="77777777" w:rsidR="00D15FD8" w:rsidRDefault="00D15FD8"/>
                          <w:p w14:paraId="497ACC6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7014718" w14:textId="77777777" w:rsidR="00D15FD8" w:rsidRDefault="00D15FD8"/>
                          <w:p w14:paraId="72D6DBED" w14:textId="571120DC"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7C013D3" w14:textId="77777777" w:rsidR="00D15FD8" w:rsidRDefault="00D15FD8"/>
                          <w:p w14:paraId="5EC561E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549324E" w14:textId="77777777" w:rsidR="00D15FD8" w:rsidRDefault="00D15FD8"/>
                          <w:p w14:paraId="741BC94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9068F8C" w14:textId="77777777" w:rsidR="00D15FD8" w:rsidRDefault="00D15FD8"/>
                          <w:p w14:paraId="3BBDE26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EA241A8" w14:textId="77777777" w:rsidR="00D15FD8" w:rsidRDefault="00D15FD8"/>
                          <w:p w14:paraId="31BDC07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78E825B" w14:textId="77777777" w:rsidR="00D15FD8" w:rsidRDefault="00D15FD8"/>
                          <w:p w14:paraId="112BBC1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5DABE4D" w14:textId="77777777" w:rsidR="00D15FD8" w:rsidRDefault="00D15FD8"/>
                          <w:p w14:paraId="43C37FE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E0F1C15" w14:textId="77777777" w:rsidR="00D15FD8" w:rsidRDefault="00D15FD8"/>
                          <w:p w14:paraId="64B536E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709387B" w14:textId="77777777" w:rsidR="00D15FD8" w:rsidRDefault="00D15FD8"/>
                          <w:p w14:paraId="32C6618F" w14:textId="57C88F5D"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F9976B3" w14:textId="77777777" w:rsidR="00D15FD8" w:rsidRDefault="00D15FD8"/>
                          <w:p w14:paraId="3D6BA35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5672E2E" w14:textId="77777777" w:rsidR="00D15FD8" w:rsidRDefault="00D15FD8"/>
                          <w:p w14:paraId="42637D2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DC5A805" w14:textId="77777777" w:rsidR="00D15FD8" w:rsidRDefault="00D15FD8"/>
                          <w:p w14:paraId="22CBBA0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CABB1AB" w14:textId="77777777" w:rsidR="00D15FD8" w:rsidRDefault="00D15FD8"/>
                          <w:p w14:paraId="0C7E390B" w14:textId="61CBF03E"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15F0D6C" w14:textId="77777777" w:rsidR="00D15FD8" w:rsidRDefault="00D15FD8"/>
                          <w:p w14:paraId="1692CB7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8937469" w14:textId="77777777" w:rsidR="00D15FD8" w:rsidRDefault="00D15FD8"/>
                          <w:p w14:paraId="547BE9B3" w14:textId="6BE5A91F"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0C1486D" w14:textId="77777777" w:rsidR="00D15FD8" w:rsidRDefault="00D15FD8"/>
                          <w:p w14:paraId="33998A42" w14:textId="0204539F"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3B575B" id="Text Box 2657" o:spid="_x0000_s1709" type="#_x0000_t202" style="position:absolute;left:0;text-align:left;margin-left:358pt;margin-top:15.95pt;width:110pt;height:20pt;z-index:2547118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" fillcolor="white [3201]" stroked="f" strokeweight=".5pt">
                <v:textbox>
                  <w:txbxContent>
                    <w:p w14:paraId="1EC82E7D" w14:textId="435D839F"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0AC24F7" w14:textId="77777777" w:rsidR="00D15FD8" w:rsidRDefault="00D15FD8"/>
                    <w:p w14:paraId="6712CA0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6DC83FF" w14:textId="77777777" w:rsidR="00D15FD8" w:rsidRDefault="00D15FD8"/>
                    <w:p w14:paraId="64C0A7B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DEE649B" w14:textId="77777777" w:rsidR="00D15FD8" w:rsidRDefault="00D15FD8"/>
                    <w:p w14:paraId="4D965B5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C3AC198" w14:textId="77777777" w:rsidR="00D15FD8" w:rsidRDefault="00D15FD8"/>
                    <w:p w14:paraId="1521A56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6D361AB" w14:textId="77777777" w:rsidR="00D15FD8" w:rsidRDefault="00D15FD8"/>
                    <w:p w14:paraId="3656C3A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99B972F" w14:textId="77777777" w:rsidR="00D15FD8" w:rsidRDefault="00D15FD8"/>
                    <w:p w14:paraId="2103B98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26F1F0AD" w14:textId="77777777" w:rsidR="00D15FD8" w:rsidRDefault="00D15FD8"/>
                    <w:p w14:paraId="2AAAD4E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6B629EF" w14:textId="77777777" w:rsidR="00D15FD8" w:rsidRDefault="00D15FD8"/>
                    <w:p w14:paraId="4573A05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FDC41BC" w14:textId="77777777" w:rsidR="00D15FD8" w:rsidRDefault="00D15FD8"/>
                    <w:p w14:paraId="3FD2D8B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6D08B12" w14:textId="77777777" w:rsidR="00D15FD8" w:rsidRDefault="00D15FD8"/>
                    <w:p w14:paraId="5973F9E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147980B" w14:textId="77777777" w:rsidR="00D15FD8" w:rsidRDefault="00D15FD8"/>
                    <w:p w14:paraId="42A0B88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2AD33D40" w14:textId="77777777" w:rsidR="00D15FD8" w:rsidRDefault="00D15FD8"/>
                    <w:p w14:paraId="04E19AE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E00D49A" w14:textId="77777777" w:rsidR="00D15FD8" w:rsidRDefault="00D15FD8"/>
                    <w:p w14:paraId="60E910B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833A847" w14:textId="77777777" w:rsidR="00D15FD8" w:rsidRDefault="00D15FD8"/>
                    <w:p w14:paraId="20CB9D8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E676045" w14:textId="77777777" w:rsidR="00D15FD8" w:rsidRDefault="00D15FD8"/>
                    <w:p w14:paraId="1EE5063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32B5872" w14:textId="77777777" w:rsidR="00D15FD8" w:rsidRDefault="00D15FD8"/>
                    <w:p w14:paraId="40ECF4A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D730322" w14:textId="77777777" w:rsidR="00D15FD8" w:rsidRDefault="00D15FD8"/>
                    <w:p w14:paraId="204C265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24679C2B" w14:textId="77777777" w:rsidR="00D15FD8" w:rsidRDefault="00D15FD8"/>
                    <w:p w14:paraId="35DED8D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130906F" w14:textId="77777777" w:rsidR="00D15FD8" w:rsidRDefault="00D15FD8"/>
                    <w:p w14:paraId="7F21C93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E321DF9" w14:textId="77777777" w:rsidR="00D15FD8" w:rsidRDefault="00D15FD8"/>
                    <w:p w14:paraId="73B4BA3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757B061" w14:textId="77777777" w:rsidR="00D15FD8" w:rsidRDefault="00D15FD8"/>
                    <w:p w14:paraId="7A167DA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BDEAE8E" w14:textId="77777777" w:rsidR="00D15FD8" w:rsidRDefault="00D15FD8"/>
                    <w:p w14:paraId="38DB5D6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29BB7EC" w14:textId="77777777" w:rsidR="00D15FD8" w:rsidRDefault="00D15FD8"/>
                    <w:p w14:paraId="3AEBC1B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17328F4" w14:textId="77777777" w:rsidR="00D15FD8" w:rsidRDefault="00D15FD8"/>
                    <w:p w14:paraId="39F6D73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DAAD96E" w14:textId="77777777" w:rsidR="00D15FD8" w:rsidRDefault="00D15FD8"/>
                    <w:p w14:paraId="2E6439B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606D268" w14:textId="77777777" w:rsidR="00D15FD8" w:rsidRDefault="00D15FD8"/>
                    <w:p w14:paraId="5EC2D11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2DB91F4" w14:textId="77777777" w:rsidR="00D15FD8" w:rsidRDefault="00D15FD8"/>
                    <w:p w14:paraId="6C7B257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B5A2352" w14:textId="77777777" w:rsidR="00D15FD8" w:rsidRDefault="00D15FD8"/>
                    <w:p w14:paraId="5C09E4D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29C1293" w14:textId="77777777" w:rsidR="00D15FD8" w:rsidRDefault="00D15FD8"/>
                    <w:p w14:paraId="3881536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469E453" w14:textId="77777777" w:rsidR="00D15FD8" w:rsidRDefault="00D15FD8"/>
                    <w:p w14:paraId="7D69145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33D9BA1" w14:textId="77777777" w:rsidR="00D15FD8" w:rsidRDefault="00D15FD8"/>
                    <w:p w14:paraId="2D88437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F91B746" w14:textId="77777777" w:rsidR="00D15FD8" w:rsidRDefault="00D15FD8"/>
                    <w:p w14:paraId="104BDB82" w14:textId="7430E05A"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930C904" w14:textId="77777777" w:rsidR="00D15FD8" w:rsidRDefault="00D15FD8"/>
                    <w:p w14:paraId="6F9C808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1FBD8B1" w14:textId="77777777" w:rsidR="00D15FD8" w:rsidRDefault="00D15FD8"/>
                    <w:p w14:paraId="15B4DEB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6D1A35E" w14:textId="77777777" w:rsidR="00D15FD8" w:rsidRDefault="00D15FD8"/>
                    <w:p w14:paraId="43753B8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3792627" w14:textId="77777777" w:rsidR="00D15FD8" w:rsidRDefault="00D15FD8"/>
                    <w:p w14:paraId="59B9488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4217E1A" w14:textId="77777777" w:rsidR="00D15FD8" w:rsidRDefault="00D15FD8"/>
                    <w:p w14:paraId="03EF715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3DC7598" w14:textId="77777777" w:rsidR="00D15FD8" w:rsidRDefault="00D15FD8"/>
                    <w:p w14:paraId="0B98114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3DB8817" w14:textId="77777777" w:rsidR="00D15FD8" w:rsidRDefault="00D15FD8"/>
                    <w:p w14:paraId="7800B624"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E587079" w14:textId="77777777" w:rsidR="00D15FD8" w:rsidRDefault="00D15FD8"/>
                    <w:p w14:paraId="31DFB34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DEDF5D9" w14:textId="77777777" w:rsidR="00D15FD8" w:rsidRDefault="00D15FD8"/>
                    <w:p w14:paraId="5CFD691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0B64AF1" w14:textId="77777777" w:rsidR="00D15FD8" w:rsidRDefault="00D15FD8"/>
                    <w:p w14:paraId="6C65A50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2785D67" w14:textId="77777777" w:rsidR="00D15FD8" w:rsidRDefault="00D15FD8"/>
                    <w:p w14:paraId="2EA3FA6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3CB28C6" w14:textId="77777777" w:rsidR="00D15FD8" w:rsidRDefault="00D15FD8"/>
                    <w:p w14:paraId="03E8137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93F8668" w14:textId="77777777" w:rsidR="00D15FD8" w:rsidRDefault="00D15FD8"/>
                    <w:p w14:paraId="15143D3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447E37EF" w14:textId="77777777" w:rsidR="00D15FD8" w:rsidRDefault="00D15FD8"/>
                    <w:p w14:paraId="39349F7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2D5A72A" w14:textId="77777777" w:rsidR="00D15FD8" w:rsidRDefault="00D15FD8"/>
                    <w:p w14:paraId="497ACC6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07014718" w14:textId="77777777" w:rsidR="00D15FD8" w:rsidRDefault="00D15FD8"/>
                    <w:p w14:paraId="72D6DBED" w14:textId="571120DC"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7C013D3" w14:textId="77777777" w:rsidR="00D15FD8" w:rsidRDefault="00D15FD8"/>
                    <w:p w14:paraId="5EC561E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549324E" w14:textId="77777777" w:rsidR="00D15FD8" w:rsidRDefault="00D15FD8"/>
                    <w:p w14:paraId="741BC94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9068F8C" w14:textId="77777777" w:rsidR="00D15FD8" w:rsidRDefault="00D15FD8"/>
                    <w:p w14:paraId="3BBDE26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EA241A8" w14:textId="77777777" w:rsidR="00D15FD8" w:rsidRDefault="00D15FD8"/>
                    <w:p w14:paraId="31BDC07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78E825B" w14:textId="77777777" w:rsidR="00D15FD8" w:rsidRDefault="00D15FD8"/>
                    <w:p w14:paraId="112BBC1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55DABE4D" w14:textId="77777777" w:rsidR="00D15FD8" w:rsidRDefault="00D15FD8"/>
                    <w:p w14:paraId="43C37FE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E0F1C15" w14:textId="77777777" w:rsidR="00D15FD8" w:rsidRDefault="00D15FD8"/>
                    <w:p w14:paraId="64B536E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709387B" w14:textId="77777777" w:rsidR="00D15FD8" w:rsidRDefault="00D15FD8"/>
                    <w:p w14:paraId="32C6618F" w14:textId="57C88F5D"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F9976B3" w14:textId="77777777" w:rsidR="00D15FD8" w:rsidRDefault="00D15FD8"/>
                    <w:p w14:paraId="3D6BA35E"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5672E2E" w14:textId="77777777" w:rsidR="00D15FD8" w:rsidRDefault="00D15FD8"/>
                    <w:p w14:paraId="42637D2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DC5A805" w14:textId="77777777" w:rsidR="00D15FD8" w:rsidRDefault="00D15FD8"/>
                    <w:p w14:paraId="22CBBA02"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7CABB1AB" w14:textId="77777777" w:rsidR="00D15FD8" w:rsidRDefault="00D15FD8"/>
                    <w:p w14:paraId="0C7E390B" w14:textId="61CBF03E"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615F0D6C" w14:textId="77777777" w:rsidR="00D15FD8" w:rsidRDefault="00D15FD8"/>
                    <w:p w14:paraId="1692CB7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18937469" w14:textId="77777777" w:rsidR="00D15FD8" w:rsidRDefault="00D15FD8"/>
                    <w:p w14:paraId="547BE9B3" w14:textId="6BE5A91F"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p w14:paraId="30C1486D" w14:textId="77777777" w:rsidR="00D15FD8" w:rsidRDefault="00D15FD8"/>
                    <w:p w14:paraId="33998A42" w14:textId="0204539F"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Croatia</w:t>
                      </w:r>
                    </w:p>
                  </w:txbxContent>
                </v:textbox>
              </v:shape>
            </w:pict>
          </mc:Fallback>
        </mc:AlternateContent>
      </w:r>
      <w:r>
        <w:rPr>
          <w:rFonts w:ascii="Arial" w:hAnsi="Arial" w:cs="Arial"/>
          <w:iCs/>
          <w:noProof/>
          <w:sz w:val="24"/>
          <w:szCs w:val="24"/>
          <w:lang w:val="en-US"/>
        </w:rPr>
        <mc:AlternateContent>
          <mc:Choice Requires="wps">
            <w:drawing>
              <wp:anchor distT="0" distB="0" distL="114300" distR="114300" simplePos="0" relativeHeight="254709758" behindDoc="0" locked="0" layoutInCell="1" allowOverlap="1" wp14:anchorId="707AB95F" wp14:editId="30B06CB4">
                <wp:simplePos x="0" y="0"/>
                <wp:positionH relativeFrom="column">
                  <wp:posOffset>2641600</wp:posOffset>
                </wp:positionH>
                <wp:positionV relativeFrom="paragraph">
                  <wp:posOffset>202565</wp:posOffset>
                </wp:positionV>
                <wp:extent cx="1397000" cy="254000"/>
                <wp:effectExtent l="0" t="0" r="0" b="0"/>
                <wp:wrapNone/>
                <wp:docPr id="2656" name="Text Box 2656"/>
                <wp:cNvGraphicFramePr/>
                <a:graphic xmlns:a="http://schemas.openxmlformats.org/drawingml/2006/main">
                  <a:graphicData uri="http://schemas.microsoft.com/office/word/2010/wordprocessingShape">
                    <wps:wsp>
                      <wps:cNvSpPr txBox="1"/>
                      <wps:spPr>
                        <a:xfrm>
                          <a:off x="0" y="0"/>
                          <a:ext cx="1397000" cy="254000"/>
                        </a:xfrm>
                        <a:prstGeom prst="rect">
                          <a:avLst/>
                        </a:prstGeom>
                        <a:solidFill>
                          <a:schemeClr val="lt1"/>
                        </a:solidFill>
                        <a:ln w="6350">
                          <a:noFill/>
                        </a:ln>
                      </wps:spPr>
                      <wps:txbx>
                        <w:txbxContent>
                          <w:p w14:paraId="206C4040" w14:textId="47DD5BAD"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3E99DC1" w14:textId="77777777" w:rsidR="00D15FD8" w:rsidRDefault="00D15FD8"/>
                          <w:p w14:paraId="6455F264"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040DB24" w14:textId="77777777" w:rsidR="00D15FD8" w:rsidRDefault="00D15FD8"/>
                          <w:p w14:paraId="6323D4B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A51646" w14:textId="77777777" w:rsidR="00D15FD8" w:rsidRDefault="00D15FD8"/>
                          <w:p w14:paraId="08545D7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7915BA5" w14:textId="77777777" w:rsidR="00D15FD8" w:rsidRDefault="00D15FD8"/>
                          <w:p w14:paraId="0E75872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DCDF40C" w14:textId="77777777" w:rsidR="00D15FD8" w:rsidRDefault="00D15FD8"/>
                          <w:p w14:paraId="7118623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F7E0EAF" w14:textId="77777777" w:rsidR="00D15FD8" w:rsidRDefault="00D15FD8"/>
                          <w:p w14:paraId="32063CE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45AF78E" w14:textId="77777777" w:rsidR="00D15FD8" w:rsidRDefault="00D15FD8"/>
                          <w:p w14:paraId="20D7DEA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4864F65" w14:textId="77777777" w:rsidR="00D15FD8" w:rsidRDefault="00D15FD8"/>
                          <w:p w14:paraId="7FA0802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B6217D0" w14:textId="77777777" w:rsidR="00D15FD8" w:rsidRDefault="00D15FD8"/>
                          <w:p w14:paraId="0D385BE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62AA8D9" w14:textId="77777777" w:rsidR="00D15FD8" w:rsidRDefault="00D15FD8"/>
                          <w:p w14:paraId="6D9C774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699C973" w14:textId="77777777" w:rsidR="00D15FD8" w:rsidRDefault="00D15FD8"/>
                          <w:p w14:paraId="74D1F9A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66329F9" w14:textId="77777777" w:rsidR="00D15FD8" w:rsidRDefault="00D15FD8"/>
                          <w:p w14:paraId="154E193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291735" w14:textId="77777777" w:rsidR="00D15FD8" w:rsidRDefault="00D15FD8"/>
                          <w:p w14:paraId="736C451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BA442ED" w14:textId="77777777" w:rsidR="00D15FD8" w:rsidRDefault="00D15FD8"/>
                          <w:p w14:paraId="07A84C6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E87B7C6" w14:textId="77777777" w:rsidR="00D15FD8" w:rsidRDefault="00D15FD8"/>
                          <w:p w14:paraId="17A2152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0123410" w14:textId="77777777" w:rsidR="00D15FD8" w:rsidRDefault="00D15FD8"/>
                          <w:p w14:paraId="15641AD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C655E9A" w14:textId="77777777" w:rsidR="00D15FD8" w:rsidRDefault="00D15FD8"/>
                          <w:p w14:paraId="17EB06E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E746DF0" w14:textId="77777777" w:rsidR="00D15FD8" w:rsidRDefault="00D15FD8"/>
                          <w:p w14:paraId="43AA557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89EC3A6" w14:textId="77777777" w:rsidR="00D15FD8" w:rsidRDefault="00D15FD8"/>
                          <w:p w14:paraId="7DC4A15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B6DEE40" w14:textId="77777777" w:rsidR="00D15FD8" w:rsidRDefault="00D15FD8"/>
                          <w:p w14:paraId="435A0C4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94EEF4" w14:textId="77777777" w:rsidR="00D15FD8" w:rsidRDefault="00D15FD8"/>
                          <w:p w14:paraId="1CA0029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18F85AA" w14:textId="77777777" w:rsidR="00D15FD8" w:rsidRDefault="00D15FD8"/>
                          <w:p w14:paraId="3A07907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F3D160B" w14:textId="77777777" w:rsidR="00D15FD8" w:rsidRDefault="00D15FD8"/>
                          <w:p w14:paraId="7583796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FD5B40B" w14:textId="77777777" w:rsidR="00D15FD8" w:rsidRDefault="00D15FD8"/>
                          <w:p w14:paraId="5468F06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8DC44B0" w14:textId="77777777" w:rsidR="00D15FD8" w:rsidRDefault="00D15FD8"/>
                          <w:p w14:paraId="1543EB8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9AF80D8" w14:textId="77777777" w:rsidR="00D15FD8" w:rsidRDefault="00D15FD8"/>
                          <w:p w14:paraId="0CEEC06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E57F267" w14:textId="77777777" w:rsidR="00D15FD8" w:rsidRDefault="00D15FD8"/>
                          <w:p w14:paraId="4EFB421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823630B" w14:textId="77777777" w:rsidR="00D15FD8" w:rsidRDefault="00D15FD8"/>
                          <w:p w14:paraId="209B6C0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58CD40A" w14:textId="77777777" w:rsidR="00D15FD8" w:rsidRDefault="00D15FD8"/>
                          <w:p w14:paraId="06AF48A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D82A096" w14:textId="77777777" w:rsidR="00D15FD8" w:rsidRDefault="00D15FD8"/>
                          <w:p w14:paraId="6757484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A7C7E99" w14:textId="77777777" w:rsidR="00D15FD8" w:rsidRDefault="00D15FD8"/>
                          <w:p w14:paraId="35116CE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88BB208" w14:textId="77777777" w:rsidR="00D15FD8" w:rsidRDefault="00D15FD8"/>
                          <w:p w14:paraId="051451BC" w14:textId="2239CE20"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790542C" w14:textId="77777777" w:rsidR="00D15FD8" w:rsidRDefault="00D15FD8"/>
                          <w:p w14:paraId="76FA033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59B848" w14:textId="77777777" w:rsidR="00D15FD8" w:rsidRDefault="00D15FD8"/>
                          <w:p w14:paraId="3CFF8CA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2C2DAAD" w14:textId="77777777" w:rsidR="00D15FD8" w:rsidRDefault="00D15FD8"/>
                          <w:p w14:paraId="784BDEA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1AAD67D" w14:textId="77777777" w:rsidR="00D15FD8" w:rsidRDefault="00D15FD8"/>
                          <w:p w14:paraId="61F3371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A94C08C" w14:textId="77777777" w:rsidR="00D15FD8" w:rsidRDefault="00D15FD8"/>
                          <w:p w14:paraId="47ABA33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EA20F9D" w14:textId="77777777" w:rsidR="00D15FD8" w:rsidRDefault="00D15FD8"/>
                          <w:p w14:paraId="4A3DB33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C10C26F" w14:textId="77777777" w:rsidR="00D15FD8" w:rsidRDefault="00D15FD8"/>
                          <w:p w14:paraId="69FFEF6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A90C692" w14:textId="77777777" w:rsidR="00D15FD8" w:rsidRDefault="00D15FD8"/>
                          <w:p w14:paraId="3F1E9BB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447A82D" w14:textId="77777777" w:rsidR="00D15FD8" w:rsidRDefault="00D15FD8"/>
                          <w:p w14:paraId="1C0B75C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EB22C4E" w14:textId="77777777" w:rsidR="00D15FD8" w:rsidRDefault="00D15FD8"/>
                          <w:p w14:paraId="145AA47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46389D8" w14:textId="77777777" w:rsidR="00D15FD8" w:rsidRDefault="00D15FD8"/>
                          <w:p w14:paraId="29AC1AE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A90FE70" w14:textId="77777777" w:rsidR="00D15FD8" w:rsidRDefault="00D15FD8"/>
                          <w:p w14:paraId="377DE57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3D87A04" w14:textId="77777777" w:rsidR="00D15FD8" w:rsidRDefault="00D15FD8"/>
                          <w:p w14:paraId="52CDD45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D5865ED" w14:textId="77777777" w:rsidR="00D15FD8" w:rsidRDefault="00D15FD8"/>
                          <w:p w14:paraId="034AF7C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E10A6D2" w14:textId="77777777" w:rsidR="00D15FD8" w:rsidRDefault="00D15FD8"/>
                          <w:p w14:paraId="0FDCA71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F034EB7" w14:textId="77777777" w:rsidR="00D15FD8" w:rsidRDefault="00D15FD8"/>
                          <w:p w14:paraId="6C50D3CF" w14:textId="5CEF73C8"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3DA9253" w14:textId="77777777" w:rsidR="00D15FD8" w:rsidRDefault="00D15FD8"/>
                          <w:p w14:paraId="232C6A2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9F1E2BD" w14:textId="77777777" w:rsidR="00D15FD8" w:rsidRDefault="00D15FD8"/>
                          <w:p w14:paraId="4F9454C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88675A0" w14:textId="77777777" w:rsidR="00D15FD8" w:rsidRDefault="00D15FD8"/>
                          <w:p w14:paraId="295B283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923469D" w14:textId="77777777" w:rsidR="00D15FD8" w:rsidRDefault="00D15FD8"/>
                          <w:p w14:paraId="4958AD1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9F4D35F" w14:textId="77777777" w:rsidR="00D15FD8" w:rsidRDefault="00D15FD8"/>
                          <w:p w14:paraId="705DCE0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9B6FA87" w14:textId="77777777" w:rsidR="00D15FD8" w:rsidRDefault="00D15FD8"/>
                          <w:p w14:paraId="5BB5E83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C9AFB71" w14:textId="77777777" w:rsidR="00D15FD8" w:rsidRDefault="00D15FD8"/>
                          <w:p w14:paraId="10AD205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CBEF1BD" w14:textId="77777777" w:rsidR="00D15FD8" w:rsidRDefault="00D15FD8"/>
                          <w:p w14:paraId="5542E667" w14:textId="244CBFB8"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28DDBFB" w14:textId="77777777" w:rsidR="00D15FD8" w:rsidRDefault="00D15FD8"/>
                          <w:p w14:paraId="173CE88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6B058D0" w14:textId="77777777" w:rsidR="00D15FD8" w:rsidRDefault="00D15FD8"/>
                          <w:p w14:paraId="064BD3A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6041220" w14:textId="77777777" w:rsidR="00D15FD8" w:rsidRDefault="00D15FD8"/>
                          <w:p w14:paraId="053828A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67C25AB" w14:textId="77777777" w:rsidR="00D15FD8" w:rsidRDefault="00D15FD8"/>
                          <w:p w14:paraId="647129E4" w14:textId="73BE0841"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460F8A7" w14:textId="77777777" w:rsidR="00D15FD8" w:rsidRDefault="00D15FD8"/>
                          <w:p w14:paraId="772FFCE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706FD46" w14:textId="77777777" w:rsidR="00D15FD8" w:rsidRDefault="00D15FD8"/>
                          <w:p w14:paraId="7CC96BE8" w14:textId="322F0C92"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63D8CDB" w14:textId="77777777" w:rsidR="00D15FD8" w:rsidRDefault="00D15FD8"/>
                          <w:p w14:paraId="691C6E86" w14:textId="125184DA"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7AB95F" id="Text Box 2656" o:spid="_x0000_s1710" type="#_x0000_t202" style="position:absolute;left:0;text-align:left;margin-left:208pt;margin-top:15.95pt;width:110pt;height:20pt;z-index:2547097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" fillcolor="white [3201]" stroked="f" strokeweight=".5pt">
                <v:textbox>
                  <w:txbxContent>
                    <w:p w14:paraId="206C4040" w14:textId="47DD5BAD"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3E99DC1" w14:textId="77777777" w:rsidR="00D15FD8" w:rsidRDefault="00D15FD8"/>
                    <w:p w14:paraId="6455F264"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040DB24" w14:textId="77777777" w:rsidR="00D15FD8" w:rsidRDefault="00D15FD8"/>
                    <w:p w14:paraId="6323D4B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A51646" w14:textId="77777777" w:rsidR="00D15FD8" w:rsidRDefault="00D15FD8"/>
                    <w:p w14:paraId="08545D7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7915BA5" w14:textId="77777777" w:rsidR="00D15FD8" w:rsidRDefault="00D15FD8"/>
                    <w:p w14:paraId="0E75872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DCDF40C" w14:textId="77777777" w:rsidR="00D15FD8" w:rsidRDefault="00D15FD8"/>
                    <w:p w14:paraId="7118623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F7E0EAF" w14:textId="77777777" w:rsidR="00D15FD8" w:rsidRDefault="00D15FD8"/>
                    <w:p w14:paraId="32063CE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45AF78E" w14:textId="77777777" w:rsidR="00D15FD8" w:rsidRDefault="00D15FD8"/>
                    <w:p w14:paraId="20D7DEA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4864F65" w14:textId="77777777" w:rsidR="00D15FD8" w:rsidRDefault="00D15FD8"/>
                    <w:p w14:paraId="7FA0802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B6217D0" w14:textId="77777777" w:rsidR="00D15FD8" w:rsidRDefault="00D15FD8"/>
                    <w:p w14:paraId="0D385BE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62AA8D9" w14:textId="77777777" w:rsidR="00D15FD8" w:rsidRDefault="00D15FD8"/>
                    <w:p w14:paraId="6D9C774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699C973" w14:textId="77777777" w:rsidR="00D15FD8" w:rsidRDefault="00D15FD8"/>
                    <w:p w14:paraId="74D1F9A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66329F9" w14:textId="77777777" w:rsidR="00D15FD8" w:rsidRDefault="00D15FD8"/>
                    <w:p w14:paraId="154E193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291735" w14:textId="77777777" w:rsidR="00D15FD8" w:rsidRDefault="00D15FD8"/>
                    <w:p w14:paraId="736C451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BA442ED" w14:textId="77777777" w:rsidR="00D15FD8" w:rsidRDefault="00D15FD8"/>
                    <w:p w14:paraId="07A84C6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E87B7C6" w14:textId="77777777" w:rsidR="00D15FD8" w:rsidRDefault="00D15FD8"/>
                    <w:p w14:paraId="17A2152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0123410" w14:textId="77777777" w:rsidR="00D15FD8" w:rsidRDefault="00D15FD8"/>
                    <w:p w14:paraId="15641AD0"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C655E9A" w14:textId="77777777" w:rsidR="00D15FD8" w:rsidRDefault="00D15FD8"/>
                    <w:p w14:paraId="17EB06E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E746DF0" w14:textId="77777777" w:rsidR="00D15FD8" w:rsidRDefault="00D15FD8"/>
                    <w:p w14:paraId="43AA557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89EC3A6" w14:textId="77777777" w:rsidR="00D15FD8" w:rsidRDefault="00D15FD8"/>
                    <w:p w14:paraId="7DC4A15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B6DEE40" w14:textId="77777777" w:rsidR="00D15FD8" w:rsidRDefault="00D15FD8"/>
                    <w:p w14:paraId="435A0C4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94EEF4" w14:textId="77777777" w:rsidR="00D15FD8" w:rsidRDefault="00D15FD8"/>
                    <w:p w14:paraId="1CA0029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18F85AA" w14:textId="77777777" w:rsidR="00D15FD8" w:rsidRDefault="00D15FD8"/>
                    <w:p w14:paraId="3A07907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F3D160B" w14:textId="77777777" w:rsidR="00D15FD8" w:rsidRDefault="00D15FD8"/>
                    <w:p w14:paraId="75837969"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FD5B40B" w14:textId="77777777" w:rsidR="00D15FD8" w:rsidRDefault="00D15FD8"/>
                    <w:p w14:paraId="5468F06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8DC44B0" w14:textId="77777777" w:rsidR="00D15FD8" w:rsidRDefault="00D15FD8"/>
                    <w:p w14:paraId="1543EB8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9AF80D8" w14:textId="77777777" w:rsidR="00D15FD8" w:rsidRDefault="00D15FD8"/>
                    <w:p w14:paraId="0CEEC06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E57F267" w14:textId="77777777" w:rsidR="00D15FD8" w:rsidRDefault="00D15FD8"/>
                    <w:p w14:paraId="4EFB421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823630B" w14:textId="77777777" w:rsidR="00D15FD8" w:rsidRDefault="00D15FD8"/>
                    <w:p w14:paraId="209B6C0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58CD40A" w14:textId="77777777" w:rsidR="00D15FD8" w:rsidRDefault="00D15FD8"/>
                    <w:p w14:paraId="06AF48A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D82A096" w14:textId="77777777" w:rsidR="00D15FD8" w:rsidRDefault="00D15FD8"/>
                    <w:p w14:paraId="6757484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A7C7E99" w14:textId="77777777" w:rsidR="00D15FD8" w:rsidRDefault="00D15FD8"/>
                    <w:p w14:paraId="35116CE7"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88BB208" w14:textId="77777777" w:rsidR="00D15FD8" w:rsidRDefault="00D15FD8"/>
                    <w:p w14:paraId="051451BC" w14:textId="2239CE20"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790542C" w14:textId="77777777" w:rsidR="00D15FD8" w:rsidRDefault="00D15FD8"/>
                    <w:p w14:paraId="76FA033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059B848" w14:textId="77777777" w:rsidR="00D15FD8" w:rsidRDefault="00D15FD8"/>
                    <w:p w14:paraId="3CFF8CA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2C2DAAD" w14:textId="77777777" w:rsidR="00D15FD8" w:rsidRDefault="00D15FD8"/>
                    <w:p w14:paraId="784BDEA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1AAD67D" w14:textId="77777777" w:rsidR="00D15FD8" w:rsidRDefault="00D15FD8"/>
                    <w:p w14:paraId="61F3371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A94C08C" w14:textId="77777777" w:rsidR="00D15FD8" w:rsidRDefault="00D15FD8"/>
                    <w:p w14:paraId="47ABA33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EA20F9D" w14:textId="77777777" w:rsidR="00D15FD8" w:rsidRDefault="00D15FD8"/>
                    <w:p w14:paraId="4A3DB33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C10C26F" w14:textId="77777777" w:rsidR="00D15FD8" w:rsidRDefault="00D15FD8"/>
                    <w:p w14:paraId="69FFEF6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A90C692" w14:textId="77777777" w:rsidR="00D15FD8" w:rsidRDefault="00D15FD8"/>
                    <w:p w14:paraId="3F1E9BB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447A82D" w14:textId="77777777" w:rsidR="00D15FD8" w:rsidRDefault="00D15FD8"/>
                    <w:p w14:paraId="1C0B75C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EB22C4E" w14:textId="77777777" w:rsidR="00D15FD8" w:rsidRDefault="00D15FD8"/>
                    <w:p w14:paraId="145AA473"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46389D8" w14:textId="77777777" w:rsidR="00D15FD8" w:rsidRDefault="00D15FD8"/>
                    <w:p w14:paraId="29AC1AE8"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4A90FE70" w14:textId="77777777" w:rsidR="00D15FD8" w:rsidRDefault="00D15FD8"/>
                    <w:p w14:paraId="377DE57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3D87A04" w14:textId="77777777" w:rsidR="00D15FD8" w:rsidRDefault="00D15FD8"/>
                    <w:p w14:paraId="52CDD45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3D5865ED" w14:textId="77777777" w:rsidR="00D15FD8" w:rsidRDefault="00D15FD8"/>
                    <w:p w14:paraId="034AF7C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E10A6D2" w14:textId="77777777" w:rsidR="00D15FD8" w:rsidRDefault="00D15FD8"/>
                    <w:p w14:paraId="0FDCA71A"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F034EB7" w14:textId="77777777" w:rsidR="00D15FD8" w:rsidRDefault="00D15FD8"/>
                    <w:p w14:paraId="6C50D3CF" w14:textId="5CEF73C8"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3DA9253" w14:textId="77777777" w:rsidR="00D15FD8" w:rsidRDefault="00D15FD8"/>
                    <w:p w14:paraId="232C6A2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79F1E2BD" w14:textId="77777777" w:rsidR="00D15FD8" w:rsidRDefault="00D15FD8"/>
                    <w:p w14:paraId="4F9454C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88675A0" w14:textId="77777777" w:rsidR="00D15FD8" w:rsidRDefault="00D15FD8"/>
                    <w:p w14:paraId="295B283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923469D" w14:textId="77777777" w:rsidR="00D15FD8" w:rsidRDefault="00D15FD8"/>
                    <w:p w14:paraId="4958AD15"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9F4D35F" w14:textId="77777777" w:rsidR="00D15FD8" w:rsidRDefault="00D15FD8"/>
                    <w:p w14:paraId="705DCE0F"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9B6FA87" w14:textId="77777777" w:rsidR="00D15FD8" w:rsidRDefault="00D15FD8"/>
                    <w:p w14:paraId="5BB5E83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C9AFB71" w14:textId="77777777" w:rsidR="00D15FD8" w:rsidRDefault="00D15FD8"/>
                    <w:p w14:paraId="10AD205B"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CBEF1BD" w14:textId="77777777" w:rsidR="00D15FD8" w:rsidRDefault="00D15FD8"/>
                    <w:p w14:paraId="5542E667" w14:textId="244CBFB8"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28DDBFB" w14:textId="77777777" w:rsidR="00D15FD8" w:rsidRDefault="00D15FD8"/>
                    <w:p w14:paraId="173CE881"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16B058D0" w14:textId="77777777" w:rsidR="00D15FD8" w:rsidRDefault="00D15FD8"/>
                    <w:p w14:paraId="064BD3AC"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26041220" w14:textId="77777777" w:rsidR="00D15FD8" w:rsidRDefault="00D15FD8"/>
                    <w:p w14:paraId="053828A6"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67C25AB" w14:textId="77777777" w:rsidR="00D15FD8" w:rsidRDefault="00D15FD8"/>
                    <w:p w14:paraId="647129E4" w14:textId="73BE0841"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6460F8A7" w14:textId="77777777" w:rsidR="00D15FD8" w:rsidRDefault="00D15FD8"/>
                    <w:p w14:paraId="772FFCED" w14:textId="77777777"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0706FD46" w14:textId="77777777" w:rsidR="00D15FD8" w:rsidRDefault="00D15FD8"/>
                    <w:p w14:paraId="7CC96BE8" w14:textId="322F0C92"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p w14:paraId="563D8CDB" w14:textId="77777777" w:rsidR="00D15FD8" w:rsidRDefault="00D15FD8"/>
                    <w:p w14:paraId="691C6E86" w14:textId="125184DA" w:rsidR="00D15FD8" w:rsidRPr="002F1D63" w:rsidRDefault="00D15FD8" w:rsidP="002F1D63">
                      <w:pPr>
                        <w:jc w:val="center"/>
                        <w:rPr>
                          <w:rFonts w:ascii="Arial" w:hAnsi="Arial" w:cs="Arial"/>
                          <w:b/>
                          <w:bCs/>
                          <w:color w:val="C0A4CE"/>
                          <w:sz w:val="20"/>
                          <w:szCs w:val="20"/>
                          <w:lang w:val="en-US"/>
                        </w:rPr>
                      </w:pPr>
                      <w:r>
                        <w:rPr>
                          <w:rFonts w:ascii="Arial" w:hAnsi="Arial" w:cs="Arial"/>
                          <w:b/>
                          <w:bCs/>
                          <w:color w:val="C0A4CE"/>
                          <w:sz w:val="20"/>
                          <w:szCs w:val="20"/>
                          <w:lang w:val="en-US"/>
                        </w:rPr>
                        <w:t>Guatemala</w:t>
                      </w:r>
                    </w:p>
                  </w:txbxContent>
                </v:textbox>
              </v:shape>
            </w:pict>
          </mc:Fallback>
        </mc:AlternateContent>
      </w:r>
      <w:r>
        <w:fldChar w:fldCharType="begin"/>
      </w:r>
      <w:r>
        <w:instrText xml:space="preserve"> INCLUDEPICTURE "https://cdn.britannica.com/37/5037-004-E474738C/Flag-Benin.jpg" \* MERGEFORMATINET </w:instrText>
      </w:r>
      <w:r>
        <w:fldChar w:fldCharType="end"/>
      </w:r>
    </w:p>
    <w:p w14:paraId="75C99166" w14:textId="23A375A0" w:rsidR="00232220" w:rsidRDefault="00232220" w:rsidP="0087283F">
      <w:pPr>
        <w:spacing w:line="276" w:lineRule="auto"/>
        <w:jc w:val="both"/>
        <w:rPr>
          <w:rFonts w:ascii="Arial" w:hAnsi="Arial" w:cs="Arial"/>
          <w:iCs/>
          <w:sz w:val="24"/>
          <w:szCs w:val="24"/>
        </w:rPr>
      </w:pPr>
      <w:r>
        <w:rPr>
          <w:rFonts w:ascii="Arial" w:hAnsi="Arial" w:cs="Arial"/>
          <w:iCs/>
          <w:noProof/>
          <w:sz w:val="24"/>
          <w:szCs w:val="24"/>
          <w:lang w:val="en-US"/>
        </w:rPr>
        <mc:AlternateContent>
          <mc:Choice Requires="wps">
            <w:drawing>
              <wp:anchor distT="0" distB="0" distL="114300" distR="114300" simplePos="0" relativeHeight="254707710" behindDoc="0" locked="0" layoutInCell="1" allowOverlap="1" wp14:anchorId="43A66915" wp14:editId="54902448">
                <wp:simplePos x="0" y="0"/>
                <wp:positionH relativeFrom="column">
                  <wp:posOffset>800100</wp:posOffset>
                </wp:positionH>
                <wp:positionV relativeFrom="paragraph">
                  <wp:posOffset>13970</wp:posOffset>
                </wp:positionV>
                <wp:extent cx="1397000" cy="254000"/>
                <wp:effectExtent l="0" t="0" r="0" b="0"/>
                <wp:wrapNone/>
                <wp:docPr id="2655" name="Text Box 2655"/>
                <wp:cNvGraphicFramePr/>
                <a:graphic xmlns:a="http://schemas.openxmlformats.org/drawingml/2006/main">
                  <a:graphicData uri="http://schemas.microsoft.com/office/word/2010/wordprocessingShape">
                    <wps:wsp>
                      <wps:cNvSpPr txBox="1"/>
                      <wps:spPr>
                        <a:xfrm>
                          <a:off x="0" y="0"/>
                          <a:ext cx="1397000" cy="254000"/>
                        </a:xfrm>
                        <a:prstGeom prst="rect">
                          <a:avLst/>
                        </a:prstGeom>
                        <a:solidFill>
                          <a:schemeClr val="lt1"/>
                        </a:solidFill>
                        <a:ln w="6350">
                          <a:noFill/>
                        </a:ln>
                      </wps:spPr>
                      <wps:txbx>
                        <w:txbxContent>
                          <w:p w14:paraId="4C7458A7" w14:textId="3D3940FD"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679D25D" w14:textId="77777777" w:rsidR="00D15FD8" w:rsidRDefault="00D15FD8"/>
                          <w:p w14:paraId="2A880F8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0C799E9" w14:textId="77777777" w:rsidR="00D15FD8" w:rsidRDefault="00D15FD8"/>
                          <w:p w14:paraId="4468558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1A56292" w14:textId="77777777" w:rsidR="00D15FD8" w:rsidRDefault="00D15FD8"/>
                          <w:p w14:paraId="70C36F0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874047" w14:textId="77777777" w:rsidR="00D15FD8" w:rsidRDefault="00D15FD8"/>
                          <w:p w14:paraId="23B9AA74"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CCE2A2" w14:textId="77777777" w:rsidR="00D15FD8" w:rsidRDefault="00D15FD8"/>
                          <w:p w14:paraId="631F270F"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D2A4BDB" w14:textId="77777777" w:rsidR="00D15FD8" w:rsidRDefault="00D15FD8"/>
                          <w:p w14:paraId="1AACEF7F"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76C93EE" w14:textId="77777777" w:rsidR="00D15FD8" w:rsidRDefault="00D15FD8"/>
                          <w:p w14:paraId="1B74058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D04CD74" w14:textId="77777777" w:rsidR="00D15FD8" w:rsidRDefault="00D15FD8"/>
                          <w:p w14:paraId="4C4ACAEF"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C580CF6" w14:textId="77777777" w:rsidR="00D15FD8" w:rsidRDefault="00D15FD8"/>
                          <w:p w14:paraId="08F626EB"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63FA810" w14:textId="77777777" w:rsidR="00D15FD8" w:rsidRDefault="00D15FD8"/>
                          <w:p w14:paraId="331F4B7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29F3CBE" w14:textId="77777777" w:rsidR="00D15FD8" w:rsidRDefault="00D15FD8"/>
                          <w:p w14:paraId="41EA326B"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09D1434" w14:textId="77777777" w:rsidR="00D15FD8" w:rsidRDefault="00D15FD8"/>
                          <w:p w14:paraId="351CE6D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0D142D7" w14:textId="77777777" w:rsidR="00D15FD8" w:rsidRDefault="00D15FD8"/>
                          <w:p w14:paraId="66FDFF6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93D0A2F" w14:textId="77777777" w:rsidR="00D15FD8" w:rsidRDefault="00D15FD8"/>
                          <w:p w14:paraId="75BC842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C263577" w14:textId="77777777" w:rsidR="00D15FD8" w:rsidRDefault="00D15FD8"/>
                          <w:p w14:paraId="40DDEEB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D1BF68B" w14:textId="77777777" w:rsidR="00D15FD8" w:rsidRDefault="00D15FD8"/>
                          <w:p w14:paraId="54CDE2F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989584C" w14:textId="77777777" w:rsidR="00D15FD8" w:rsidRDefault="00D15FD8"/>
                          <w:p w14:paraId="250D66C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E2BB96E" w14:textId="77777777" w:rsidR="00D15FD8" w:rsidRDefault="00D15FD8"/>
                          <w:p w14:paraId="3E75771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66AE28" w14:textId="77777777" w:rsidR="00D15FD8" w:rsidRDefault="00D15FD8"/>
                          <w:p w14:paraId="6D34179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279B448" w14:textId="77777777" w:rsidR="00D15FD8" w:rsidRDefault="00D15FD8"/>
                          <w:p w14:paraId="1205D91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5662446" w14:textId="77777777" w:rsidR="00D15FD8" w:rsidRDefault="00D15FD8"/>
                          <w:p w14:paraId="3A8A3E8A"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48DF4F2" w14:textId="77777777" w:rsidR="00D15FD8" w:rsidRDefault="00D15FD8"/>
                          <w:p w14:paraId="34FAC65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39732E6" w14:textId="77777777" w:rsidR="00D15FD8" w:rsidRDefault="00D15FD8"/>
                          <w:p w14:paraId="2A8865B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DB3E8BD" w14:textId="77777777" w:rsidR="00D15FD8" w:rsidRDefault="00D15FD8"/>
                          <w:p w14:paraId="09F475C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25701FA" w14:textId="77777777" w:rsidR="00D15FD8" w:rsidRDefault="00D15FD8"/>
                          <w:p w14:paraId="5EF38D8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088D58D" w14:textId="77777777" w:rsidR="00D15FD8" w:rsidRDefault="00D15FD8"/>
                          <w:p w14:paraId="5C754F7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B76B937" w14:textId="77777777" w:rsidR="00D15FD8" w:rsidRDefault="00D15FD8"/>
                          <w:p w14:paraId="34AC27C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B7FE5D9" w14:textId="77777777" w:rsidR="00D15FD8" w:rsidRDefault="00D15FD8"/>
                          <w:p w14:paraId="04A191C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5620789" w14:textId="77777777" w:rsidR="00D15FD8" w:rsidRDefault="00D15FD8"/>
                          <w:p w14:paraId="5CC7EBD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CB02FA2" w14:textId="77777777" w:rsidR="00D15FD8" w:rsidRDefault="00D15FD8"/>
                          <w:p w14:paraId="0E205C74"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A8798B3" w14:textId="77777777" w:rsidR="00D15FD8" w:rsidRDefault="00D15FD8"/>
                          <w:p w14:paraId="0EF9B43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C845E41" w14:textId="77777777" w:rsidR="00D15FD8" w:rsidRDefault="00D15FD8"/>
                          <w:p w14:paraId="1E0F286E" w14:textId="1D20B224"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68EBFE7" w14:textId="77777777" w:rsidR="00D15FD8" w:rsidRDefault="00D15FD8"/>
                          <w:p w14:paraId="6D64E6B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2F50175" w14:textId="77777777" w:rsidR="00D15FD8" w:rsidRDefault="00D15FD8"/>
                          <w:p w14:paraId="1C45B7DA"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9AAF193" w14:textId="77777777" w:rsidR="00D15FD8" w:rsidRDefault="00D15FD8"/>
                          <w:p w14:paraId="6E0263E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CBF640A" w14:textId="77777777" w:rsidR="00D15FD8" w:rsidRDefault="00D15FD8"/>
                          <w:p w14:paraId="056DCCA5"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05096E7" w14:textId="77777777" w:rsidR="00D15FD8" w:rsidRDefault="00D15FD8"/>
                          <w:p w14:paraId="0EBA0845"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1DBE535" w14:textId="77777777" w:rsidR="00D15FD8" w:rsidRDefault="00D15FD8"/>
                          <w:p w14:paraId="3BF4E73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D55FA79" w14:textId="77777777" w:rsidR="00D15FD8" w:rsidRDefault="00D15FD8"/>
                          <w:p w14:paraId="2676CC3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6857F7F" w14:textId="77777777" w:rsidR="00D15FD8" w:rsidRDefault="00D15FD8"/>
                          <w:p w14:paraId="3A790E5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1280C53" w14:textId="77777777" w:rsidR="00D15FD8" w:rsidRDefault="00D15FD8"/>
                          <w:p w14:paraId="086DBB8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4BECDD3" w14:textId="77777777" w:rsidR="00D15FD8" w:rsidRDefault="00D15FD8"/>
                          <w:p w14:paraId="56EB1DE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E7D3C2" w14:textId="77777777" w:rsidR="00D15FD8" w:rsidRDefault="00D15FD8"/>
                          <w:p w14:paraId="1CB377F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C0E2B4E" w14:textId="77777777" w:rsidR="00D15FD8" w:rsidRDefault="00D15FD8"/>
                          <w:p w14:paraId="36A00A6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4BB0A2C" w14:textId="77777777" w:rsidR="00D15FD8" w:rsidRDefault="00D15FD8"/>
                          <w:p w14:paraId="0682192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80B6E24" w14:textId="77777777" w:rsidR="00D15FD8" w:rsidRDefault="00D15FD8"/>
                          <w:p w14:paraId="798D42C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47B51E" w14:textId="77777777" w:rsidR="00D15FD8" w:rsidRDefault="00D15FD8"/>
                          <w:p w14:paraId="48FC1E3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B20B193" w14:textId="77777777" w:rsidR="00D15FD8" w:rsidRDefault="00D15FD8"/>
                          <w:p w14:paraId="12A7B7E3" w14:textId="00491CB6"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74645D3" w14:textId="77777777" w:rsidR="00D15FD8" w:rsidRDefault="00D15FD8"/>
                          <w:p w14:paraId="6DF178A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3ADB58B" w14:textId="77777777" w:rsidR="00D15FD8" w:rsidRDefault="00D15FD8"/>
                          <w:p w14:paraId="1A1A757B"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419BD50" w14:textId="77777777" w:rsidR="00D15FD8" w:rsidRDefault="00D15FD8"/>
                          <w:p w14:paraId="6A80606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A0048E8" w14:textId="77777777" w:rsidR="00D15FD8" w:rsidRDefault="00D15FD8"/>
                          <w:p w14:paraId="57F9CA2A"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CD9DF4" w14:textId="77777777" w:rsidR="00D15FD8" w:rsidRDefault="00D15FD8"/>
                          <w:p w14:paraId="7F31544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27C3D28" w14:textId="77777777" w:rsidR="00D15FD8" w:rsidRDefault="00D15FD8"/>
                          <w:p w14:paraId="1342F51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AC10066" w14:textId="77777777" w:rsidR="00D15FD8" w:rsidRDefault="00D15FD8"/>
                          <w:p w14:paraId="2938ED6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7F81935" w14:textId="77777777" w:rsidR="00D15FD8" w:rsidRDefault="00D15FD8"/>
                          <w:p w14:paraId="2D88E653" w14:textId="53EBADBD"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7F8B8BE" w14:textId="77777777" w:rsidR="00D15FD8" w:rsidRDefault="00D15FD8"/>
                          <w:p w14:paraId="1BD452E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7C2CF9" w14:textId="77777777" w:rsidR="00D15FD8" w:rsidRDefault="00D15FD8"/>
                          <w:p w14:paraId="25D61EE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26B7016" w14:textId="77777777" w:rsidR="00D15FD8" w:rsidRDefault="00D15FD8"/>
                          <w:p w14:paraId="0EB7C76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685703" w14:textId="77777777" w:rsidR="00D15FD8" w:rsidRDefault="00D15FD8"/>
                          <w:p w14:paraId="5C774DAA" w14:textId="2CDEDD3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7EB579C" w14:textId="77777777" w:rsidR="00D15FD8" w:rsidRDefault="00D15FD8"/>
                          <w:p w14:paraId="4A8CE83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AB673EF" w14:textId="77777777" w:rsidR="00D15FD8" w:rsidRDefault="00D15FD8"/>
                          <w:p w14:paraId="2BE7F07E" w14:textId="648A5065"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C01ECE2" w14:textId="77777777" w:rsidR="00D15FD8" w:rsidRDefault="00D15FD8"/>
                          <w:p w14:paraId="1F748716" w14:textId="70E99581"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A66915" id="Text Box 2655" o:spid="_x0000_s1711" type="#_x0000_t202" style="position:absolute;left:0;text-align:left;margin-left:63pt;margin-top:1.1pt;width:110pt;height:20pt;z-index:2547077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" fillcolor="white [3201]" stroked="f" strokeweight=".5pt">
                <v:textbox>
                  <w:txbxContent>
                    <w:p w14:paraId="4C7458A7" w14:textId="3D3940FD"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679D25D" w14:textId="77777777" w:rsidR="00D15FD8" w:rsidRDefault="00D15FD8"/>
                    <w:p w14:paraId="2A880F8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0C799E9" w14:textId="77777777" w:rsidR="00D15FD8" w:rsidRDefault="00D15FD8"/>
                    <w:p w14:paraId="4468558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1A56292" w14:textId="77777777" w:rsidR="00D15FD8" w:rsidRDefault="00D15FD8"/>
                    <w:p w14:paraId="70C36F0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874047" w14:textId="77777777" w:rsidR="00D15FD8" w:rsidRDefault="00D15FD8"/>
                    <w:p w14:paraId="23B9AA74"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CCE2A2" w14:textId="77777777" w:rsidR="00D15FD8" w:rsidRDefault="00D15FD8"/>
                    <w:p w14:paraId="631F270F"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D2A4BDB" w14:textId="77777777" w:rsidR="00D15FD8" w:rsidRDefault="00D15FD8"/>
                    <w:p w14:paraId="1AACEF7F"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76C93EE" w14:textId="77777777" w:rsidR="00D15FD8" w:rsidRDefault="00D15FD8"/>
                    <w:p w14:paraId="1B74058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D04CD74" w14:textId="77777777" w:rsidR="00D15FD8" w:rsidRDefault="00D15FD8"/>
                    <w:p w14:paraId="4C4ACAEF"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C580CF6" w14:textId="77777777" w:rsidR="00D15FD8" w:rsidRDefault="00D15FD8"/>
                    <w:p w14:paraId="08F626EB"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63FA810" w14:textId="77777777" w:rsidR="00D15FD8" w:rsidRDefault="00D15FD8"/>
                    <w:p w14:paraId="331F4B7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29F3CBE" w14:textId="77777777" w:rsidR="00D15FD8" w:rsidRDefault="00D15FD8"/>
                    <w:p w14:paraId="41EA326B"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09D1434" w14:textId="77777777" w:rsidR="00D15FD8" w:rsidRDefault="00D15FD8"/>
                    <w:p w14:paraId="351CE6D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0D142D7" w14:textId="77777777" w:rsidR="00D15FD8" w:rsidRDefault="00D15FD8"/>
                    <w:p w14:paraId="66FDFF6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93D0A2F" w14:textId="77777777" w:rsidR="00D15FD8" w:rsidRDefault="00D15FD8"/>
                    <w:p w14:paraId="75BC842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C263577" w14:textId="77777777" w:rsidR="00D15FD8" w:rsidRDefault="00D15FD8"/>
                    <w:p w14:paraId="40DDEEB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D1BF68B" w14:textId="77777777" w:rsidR="00D15FD8" w:rsidRDefault="00D15FD8"/>
                    <w:p w14:paraId="54CDE2F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989584C" w14:textId="77777777" w:rsidR="00D15FD8" w:rsidRDefault="00D15FD8"/>
                    <w:p w14:paraId="250D66C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E2BB96E" w14:textId="77777777" w:rsidR="00D15FD8" w:rsidRDefault="00D15FD8"/>
                    <w:p w14:paraId="3E75771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66AE28" w14:textId="77777777" w:rsidR="00D15FD8" w:rsidRDefault="00D15FD8"/>
                    <w:p w14:paraId="6D34179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279B448" w14:textId="77777777" w:rsidR="00D15FD8" w:rsidRDefault="00D15FD8"/>
                    <w:p w14:paraId="1205D91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5662446" w14:textId="77777777" w:rsidR="00D15FD8" w:rsidRDefault="00D15FD8"/>
                    <w:p w14:paraId="3A8A3E8A"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48DF4F2" w14:textId="77777777" w:rsidR="00D15FD8" w:rsidRDefault="00D15FD8"/>
                    <w:p w14:paraId="34FAC65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39732E6" w14:textId="77777777" w:rsidR="00D15FD8" w:rsidRDefault="00D15FD8"/>
                    <w:p w14:paraId="2A8865B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DB3E8BD" w14:textId="77777777" w:rsidR="00D15FD8" w:rsidRDefault="00D15FD8"/>
                    <w:p w14:paraId="09F475C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25701FA" w14:textId="77777777" w:rsidR="00D15FD8" w:rsidRDefault="00D15FD8"/>
                    <w:p w14:paraId="5EF38D83"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088D58D" w14:textId="77777777" w:rsidR="00D15FD8" w:rsidRDefault="00D15FD8"/>
                    <w:p w14:paraId="5C754F7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B76B937" w14:textId="77777777" w:rsidR="00D15FD8" w:rsidRDefault="00D15FD8"/>
                    <w:p w14:paraId="34AC27C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B7FE5D9" w14:textId="77777777" w:rsidR="00D15FD8" w:rsidRDefault="00D15FD8"/>
                    <w:p w14:paraId="04A191C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5620789" w14:textId="77777777" w:rsidR="00D15FD8" w:rsidRDefault="00D15FD8"/>
                    <w:p w14:paraId="5CC7EBD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CB02FA2" w14:textId="77777777" w:rsidR="00D15FD8" w:rsidRDefault="00D15FD8"/>
                    <w:p w14:paraId="0E205C74"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A8798B3" w14:textId="77777777" w:rsidR="00D15FD8" w:rsidRDefault="00D15FD8"/>
                    <w:p w14:paraId="0EF9B43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C845E41" w14:textId="77777777" w:rsidR="00D15FD8" w:rsidRDefault="00D15FD8"/>
                    <w:p w14:paraId="1E0F286E" w14:textId="1D20B224"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68EBFE7" w14:textId="77777777" w:rsidR="00D15FD8" w:rsidRDefault="00D15FD8"/>
                    <w:p w14:paraId="6D64E6B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2F50175" w14:textId="77777777" w:rsidR="00D15FD8" w:rsidRDefault="00D15FD8"/>
                    <w:p w14:paraId="1C45B7DA"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9AAF193" w14:textId="77777777" w:rsidR="00D15FD8" w:rsidRDefault="00D15FD8"/>
                    <w:p w14:paraId="6E0263E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CBF640A" w14:textId="77777777" w:rsidR="00D15FD8" w:rsidRDefault="00D15FD8"/>
                    <w:p w14:paraId="056DCCA5"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05096E7" w14:textId="77777777" w:rsidR="00D15FD8" w:rsidRDefault="00D15FD8"/>
                    <w:p w14:paraId="0EBA0845"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1DBE535" w14:textId="77777777" w:rsidR="00D15FD8" w:rsidRDefault="00D15FD8"/>
                    <w:p w14:paraId="3BF4E73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D55FA79" w14:textId="77777777" w:rsidR="00D15FD8" w:rsidRDefault="00D15FD8"/>
                    <w:p w14:paraId="2676CC39"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6857F7F" w14:textId="77777777" w:rsidR="00D15FD8" w:rsidRDefault="00D15FD8"/>
                    <w:p w14:paraId="3A790E5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1280C53" w14:textId="77777777" w:rsidR="00D15FD8" w:rsidRDefault="00D15FD8"/>
                    <w:p w14:paraId="086DBB8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4BECDD3" w14:textId="77777777" w:rsidR="00D15FD8" w:rsidRDefault="00D15FD8"/>
                    <w:p w14:paraId="56EB1DE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4E7D3C2" w14:textId="77777777" w:rsidR="00D15FD8" w:rsidRDefault="00D15FD8"/>
                    <w:p w14:paraId="1CB377F8"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C0E2B4E" w14:textId="77777777" w:rsidR="00D15FD8" w:rsidRDefault="00D15FD8"/>
                    <w:p w14:paraId="36A00A6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4BB0A2C" w14:textId="77777777" w:rsidR="00D15FD8" w:rsidRDefault="00D15FD8"/>
                    <w:p w14:paraId="0682192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80B6E24" w14:textId="77777777" w:rsidR="00D15FD8" w:rsidRDefault="00D15FD8"/>
                    <w:p w14:paraId="798D42C7"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47B51E" w14:textId="77777777" w:rsidR="00D15FD8" w:rsidRDefault="00D15FD8"/>
                    <w:p w14:paraId="48FC1E3C"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B20B193" w14:textId="77777777" w:rsidR="00D15FD8" w:rsidRDefault="00D15FD8"/>
                    <w:p w14:paraId="12A7B7E3" w14:textId="00491CB6"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474645D3" w14:textId="77777777" w:rsidR="00D15FD8" w:rsidRDefault="00D15FD8"/>
                    <w:p w14:paraId="6DF178A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3ADB58B" w14:textId="77777777" w:rsidR="00D15FD8" w:rsidRDefault="00D15FD8"/>
                    <w:p w14:paraId="1A1A757B"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419BD50" w14:textId="77777777" w:rsidR="00D15FD8" w:rsidRDefault="00D15FD8"/>
                    <w:p w14:paraId="6A80606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5A0048E8" w14:textId="77777777" w:rsidR="00D15FD8" w:rsidRDefault="00D15FD8"/>
                    <w:p w14:paraId="57F9CA2A"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4CD9DF4" w14:textId="77777777" w:rsidR="00D15FD8" w:rsidRDefault="00D15FD8"/>
                    <w:p w14:paraId="7F31544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27C3D28" w14:textId="77777777" w:rsidR="00D15FD8" w:rsidRDefault="00D15FD8"/>
                    <w:p w14:paraId="1342F51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AC10066" w14:textId="77777777" w:rsidR="00D15FD8" w:rsidRDefault="00D15FD8"/>
                    <w:p w14:paraId="2938ED66"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07F81935" w14:textId="77777777" w:rsidR="00D15FD8" w:rsidRDefault="00D15FD8"/>
                    <w:p w14:paraId="2D88E653" w14:textId="53EBADBD"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7F8B8BE" w14:textId="77777777" w:rsidR="00D15FD8" w:rsidRDefault="00D15FD8"/>
                    <w:p w14:paraId="1BD452E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7C2CF9" w14:textId="77777777" w:rsidR="00D15FD8" w:rsidRDefault="00D15FD8"/>
                    <w:p w14:paraId="25D61EE1"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226B7016" w14:textId="77777777" w:rsidR="00D15FD8" w:rsidRDefault="00D15FD8"/>
                    <w:p w14:paraId="0EB7C760"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3B685703" w14:textId="77777777" w:rsidR="00D15FD8" w:rsidRDefault="00D15FD8"/>
                    <w:p w14:paraId="5C774DAA" w14:textId="2CDEDD3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67EB579C" w14:textId="77777777" w:rsidR="00D15FD8" w:rsidRDefault="00D15FD8"/>
                    <w:p w14:paraId="4A8CE83E" w14:textId="77777777"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1AB673EF" w14:textId="77777777" w:rsidR="00D15FD8" w:rsidRDefault="00D15FD8"/>
                    <w:p w14:paraId="2BE7F07E" w14:textId="648A5065"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p w14:paraId="7C01ECE2" w14:textId="77777777" w:rsidR="00D15FD8" w:rsidRDefault="00D15FD8"/>
                    <w:p w14:paraId="1F748716" w14:textId="70E99581" w:rsidR="00D15FD8" w:rsidRPr="002F1D63" w:rsidRDefault="00D15FD8" w:rsidP="002F1D63">
                      <w:pPr>
                        <w:jc w:val="center"/>
                        <w:rPr>
                          <w:rFonts w:ascii="Arial" w:hAnsi="Arial" w:cs="Arial"/>
                          <w:b/>
                          <w:bCs/>
                          <w:color w:val="C0A4CE"/>
                          <w:sz w:val="20"/>
                          <w:szCs w:val="20"/>
                          <w:lang w:val="en-US"/>
                        </w:rPr>
                      </w:pPr>
                      <w:r w:rsidRPr="002F1D63">
                        <w:rPr>
                          <w:rFonts w:ascii="Arial" w:hAnsi="Arial" w:cs="Arial"/>
                          <w:b/>
                          <w:bCs/>
                          <w:color w:val="C0A4CE"/>
                          <w:sz w:val="20"/>
                          <w:szCs w:val="20"/>
                          <w:lang w:val="en-US"/>
                        </w:rPr>
                        <w:t>Benin</w:t>
                      </w:r>
                    </w:p>
                  </w:txbxContent>
                </v:textbox>
              </v:shape>
            </w:pict>
          </mc:Fallback>
        </mc:AlternateContent>
      </w:r>
    </w:p>
    <w:p w14:paraId="2501A5FB" w14:textId="5558F7BB" w:rsidR="00232220" w:rsidRDefault="00232220" w:rsidP="0087283F">
      <w:pPr>
        <w:spacing w:line="276" w:lineRule="auto"/>
        <w:jc w:val="both"/>
        <w:rPr>
          <w:rFonts w:ascii="Arial" w:hAnsi="Arial" w:cs="Arial"/>
          <w:iCs/>
          <w:sz w:val="24"/>
          <w:szCs w:val="24"/>
        </w:rPr>
      </w:pPr>
      <w:r>
        <w:fldChar w:fldCharType="begin"/>
      </w:r>
      <w:r>
        <w:instrText xml:space="preserve"> INCLUDEPICTURE "https://cdn.britannica.com/13/7213-004-FFC58C1D/Flag-Guatemala.jpg" \* MERGEFORMATINET </w:instrText>
      </w:r>
      <w:r>
        <w:fldChar w:fldCharType="end"/>
      </w:r>
      <w:r>
        <w:fldChar w:fldCharType="begin"/>
      </w:r>
      <w:r>
        <w:instrText xml:space="preserve"> INCLUDEPICTURE "https://cdn.britannica.com/06/6206-004-14730C28/Flag-Croatia.jpg" \* MERGEFORMATINET </w:instrText>
      </w:r>
      <w:r>
        <w:fldChar w:fldCharType="end"/>
      </w:r>
    </w:p>
    <w:p w14:paraId="422150CA" w14:textId="5CED1052" w:rsidR="0087283F" w:rsidRPr="00EB2A7C" w:rsidRDefault="00232220" w:rsidP="00EB2A7C">
      <w:pPr>
        <w:spacing w:line="276" w:lineRule="auto"/>
        <w:jc w:val="both"/>
        <w:rPr>
          <w:rFonts w:ascii="Arial" w:hAnsi="Arial" w:cs="Arial"/>
          <w:bCs/>
          <w:iCs/>
          <w:sz w:val="24"/>
          <w:szCs w:val="24"/>
        </w:rPr>
      </w:pPr>
      <w:r>
        <w:rPr>
          <w:rFonts w:ascii="Arial" w:hAnsi="Arial" w:cs="Arial"/>
          <w:noProof/>
          <w:sz w:val="24"/>
          <w:szCs w:val="24"/>
          <w:lang w:val="en-US"/>
        </w:rPr>
        <mc:AlternateContent>
          <mc:Choice Requires="wps">
            <w:drawing>
              <wp:anchor distT="0" distB="0" distL="114300" distR="114300" simplePos="0" relativeHeight="254716926" behindDoc="0" locked="0" layoutInCell="1" allowOverlap="1" wp14:anchorId="2C98099B" wp14:editId="0D980CBC">
                <wp:simplePos x="0" y="0"/>
                <wp:positionH relativeFrom="column">
                  <wp:posOffset>660400</wp:posOffset>
                </wp:positionH>
                <wp:positionV relativeFrom="paragraph">
                  <wp:posOffset>509905</wp:posOffset>
                </wp:positionV>
                <wp:extent cx="952500" cy="290286"/>
                <wp:effectExtent l="0" t="0" r="0" b="0"/>
                <wp:wrapNone/>
                <wp:docPr id="2660" name="Text Box 2660">
                  <a:hlinkClick xmlns:a="http://schemas.openxmlformats.org/drawingml/2006/main" r:id="rId1442"/>
                </wp:docPr>
                <wp:cNvGraphicFramePr/>
                <a:graphic xmlns:a="http://schemas.openxmlformats.org/drawingml/2006/main">
                  <a:graphicData uri="http://schemas.microsoft.com/office/word/2010/wordprocessingShape">
                    <wps:wsp>
                      <wps:cNvSpPr txBox="1"/>
                      <wps:spPr>
                        <a:xfrm>
                          <a:off x="0" y="0"/>
                          <a:ext cx="952500" cy="290286"/>
                        </a:xfrm>
                        <a:prstGeom prst="rect">
                          <a:avLst/>
                        </a:prstGeom>
                        <a:noFill/>
                        <a:ln w="6350">
                          <a:noFill/>
                        </a:ln>
                      </wps:spPr>
                      <wps:txbx>
                        <w:txbxContent>
                          <w:p w14:paraId="30633682" w14:textId="495C2682"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92EEEDE" w14:textId="77777777" w:rsidR="00D15FD8" w:rsidRDefault="00D15FD8"/>
                          <w:p w14:paraId="488EAC17"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46CC859" w14:textId="77777777" w:rsidR="00D15FD8" w:rsidRDefault="00D15FD8"/>
                          <w:p w14:paraId="7C4EB79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2E579E9" w14:textId="77777777" w:rsidR="00D15FD8" w:rsidRDefault="00D15FD8"/>
                          <w:p w14:paraId="6882D50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E346C33" w14:textId="77777777" w:rsidR="00D15FD8" w:rsidRDefault="00D15FD8"/>
                          <w:p w14:paraId="3C27D2D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ED16FAE" w14:textId="77777777" w:rsidR="00D15FD8" w:rsidRDefault="00D15FD8"/>
                          <w:p w14:paraId="23B648AB"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30E9586" w14:textId="77777777" w:rsidR="00D15FD8" w:rsidRDefault="00D15FD8"/>
                          <w:p w14:paraId="018B018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CC5AB2C" w14:textId="77777777" w:rsidR="00D15FD8" w:rsidRDefault="00D15FD8"/>
                          <w:p w14:paraId="564493BF"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FE4E6BF" w14:textId="77777777" w:rsidR="00D15FD8" w:rsidRDefault="00D15FD8"/>
                          <w:p w14:paraId="2B74F77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14768E7" w14:textId="77777777" w:rsidR="00D15FD8" w:rsidRDefault="00D15FD8"/>
                          <w:p w14:paraId="6B902E5F"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54FE528" w14:textId="77777777" w:rsidR="00D15FD8" w:rsidRDefault="00D15FD8"/>
                          <w:p w14:paraId="3516DFB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9911B17" w14:textId="77777777" w:rsidR="00D15FD8" w:rsidRDefault="00D15FD8"/>
                          <w:p w14:paraId="5EC9104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28171B7" w14:textId="77777777" w:rsidR="00D15FD8" w:rsidRDefault="00D15FD8"/>
                          <w:p w14:paraId="1AF46D1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E0A15F9" w14:textId="77777777" w:rsidR="00D15FD8" w:rsidRDefault="00D15FD8"/>
                          <w:p w14:paraId="53F9CCA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12CB1F4" w14:textId="77777777" w:rsidR="00D15FD8" w:rsidRDefault="00D15FD8"/>
                          <w:p w14:paraId="1AB3B99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BE337BB" w14:textId="77777777" w:rsidR="00D15FD8" w:rsidRDefault="00D15FD8"/>
                          <w:p w14:paraId="56DE006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DC1AEC2" w14:textId="77777777" w:rsidR="00D15FD8" w:rsidRDefault="00D15FD8"/>
                          <w:p w14:paraId="2A5A0552"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A8AE125" w14:textId="77777777" w:rsidR="00D15FD8" w:rsidRDefault="00D15FD8"/>
                          <w:p w14:paraId="1CEC37CA"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D24F0B7" w14:textId="77777777" w:rsidR="00D15FD8" w:rsidRDefault="00D15FD8"/>
                          <w:p w14:paraId="7D33560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5781134" w14:textId="77777777" w:rsidR="00D15FD8" w:rsidRDefault="00D15FD8"/>
                          <w:p w14:paraId="5A38B674"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CBC73AE" w14:textId="77777777" w:rsidR="00D15FD8" w:rsidRDefault="00D15FD8"/>
                          <w:p w14:paraId="74AEB77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DC26271" w14:textId="77777777" w:rsidR="00D15FD8" w:rsidRDefault="00D15FD8"/>
                          <w:p w14:paraId="55478B0D"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4AE5142" w14:textId="77777777" w:rsidR="00D15FD8" w:rsidRDefault="00D15FD8"/>
                          <w:p w14:paraId="1E701B2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DCEA0A0" w14:textId="77777777" w:rsidR="00D15FD8" w:rsidRDefault="00D15FD8"/>
                          <w:p w14:paraId="0AF504D4"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4C6DF4D" w14:textId="77777777" w:rsidR="00D15FD8" w:rsidRDefault="00D15FD8"/>
                          <w:p w14:paraId="0C71863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A367532" w14:textId="77777777" w:rsidR="00D15FD8" w:rsidRDefault="00D15FD8"/>
                          <w:p w14:paraId="163AE61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C9AD68D" w14:textId="77777777" w:rsidR="00D15FD8" w:rsidRDefault="00D15FD8"/>
                          <w:p w14:paraId="0B25CE4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466E809" w14:textId="77777777" w:rsidR="00D15FD8" w:rsidRDefault="00D15FD8"/>
                          <w:p w14:paraId="3AE0793C"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097D614" w14:textId="77777777" w:rsidR="00D15FD8" w:rsidRDefault="00D15FD8"/>
                          <w:p w14:paraId="6BFC8A97"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25DAE14" w14:textId="77777777" w:rsidR="00D15FD8" w:rsidRDefault="00D15FD8"/>
                          <w:p w14:paraId="6EEC0C6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0A4D522" w14:textId="77777777" w:rsidR="00D15FD8" w:rsidRDefault="00D15FD8"/>
                          <w:p w14:paraId="7E91742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D2217A5" w14:textId="77777777" w:rsidR="00D15FD8" w:rsidRDefault="00D15FD8"/>
                          <w:p w14:paraId="0FF1EB30"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ED84689" w14:textId="77777777" w:rsidR="00D15FD8" w:rsidRDefault="00D15FD8"/>
                          <w:p w14:paraId="7C9654B0" w14:textId="5A16D52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E3BCF29" w14:textId="77777777" w:rsidR="00D15FD8" w:rsidRDefault="00D15FD8"/>
                          <w:p w14:paraId="47872F0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8244FA0" w14:textId="77777777" w:rsidR="00D15FD8" w:rsidRDefault="00D15FD8"/>
                          <w:p w14:paraId="140F816C"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1E4CCF9" w14:textId="77777777" w:rsidR="00D15FD8" w:rsidRDefault="00D15FD8"/>
                          <w:p w14:paraId="319843E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971A76C" w14:textId="77777777" w:rsidR="00D15FD8" w:rsidRDefault="00D15FD8"/>
                          <w:p w14:paraId="58309E0B"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C2BF498" w14:textId="77777777" w:rsidR="00D15FD8" w:rsidRDefault="00D15FD8"/>
                          <w:p w14:paraId="1D535AF0"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1D47C5C" w14:textId="77777777" w:rsidR="00D15FD8" w:rsidRDefault="00D15FD8"/>
                          <w:p w14:paraId="6FB3A0B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929C81A" w14:textId="77777777" w:rsidR="00D15FD8" w:rsidRDefault="00D15FD8"/>
                          <w:p w14:paraId="32EE60B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E003892" w14:textId="77777777" w:rsidR="00D15FD8" w:rsidRDefault="00D15FD8"/>
                          <w:p w14:paraId="698723CF"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075B643" w14:textId="77777777" w:rsidR="00D15FD8" w:rsidRDefault="00D15FD8"/>
                          <w:p w14:paraId="3EDDD7B2"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FA899B6" w14:textId="77777777" w:rsidR="00D15FD8" w:rsidRDefault="00D15FD8"/>
                          <w:p w14:paraId="621DBC7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9D35FBF" w14:textId="77777777" w:rsidR="00D15FD8" w:rsidRDefault="00D15FD8"/>
                          <w:p w14:paraId="2D0CDF4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1DF80A9" w14:textId="77777777" w:rsidR="00D15FD8" w:rsidRDefault="00D15FD8"/>
                          <w:p w14:paraId="5657BE9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F388A76" w14:textId="77777777" w:rsidR="00D15FD8" w:rsidRDefault="00D15FD8"/>
                          <w:p w14:paraId="3724D39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AD72CE4" w14:textId="77777777" w:rsidR="00D15FD8" w:rsidRDefault="00D15FD8"/>
                          <w:p w14:paraId="4BE1EE2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57A71BD" w14:textId="77777777" w:rsidR="00D15FD8" w:rsidRDefault="00D15FD8"/>
                          <w:p w14:paraId="356A272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46C74DB" w14:textId="77777777" w:rsidR="00D15FD8" w:rsidRDefault="00D15FD8"/>
                          <w:p w14:paraId="172B5234" w14:textId="0FCBDB2A"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3FD497D" w14:textId="77777777" w:rsidR="00D15FD8" w:rsidRDefault="00D15FD8"/>
                          <w:p w14:paraId="56F92DE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061F91D" w14:textId="77777777" w:rsidR="00D15FD8" w:rsidRDefault="00D15FD8"/>
                          <w:p w14:paraId="399EA85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6AD3DDE" w14:textId="77777777" w:rsidR="00D15FD8" w:rsidRDefault="00D15FD8"/>
                          <w:p w14:paraId="0F2B37D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809931D" w14:textId="77777777" w:rsidR="00D15FD8" w:rsidRDefault="00D15FD8"/>
                          <w:p w14:paraId="725D83D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898CEAB" w14:textId="77777777" w:rsidR="00D15FD8" w:rsidRDefault="00D15FD8"/>
                          <w:p w14:paraId="693D22B4"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9693026" w14:textId="77777777" w:rsidR="00D15FD8" w:rsidRDefault="00D15FD8"/>
                          <w:p w14:paraId="03691D1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28CC0EE" w14:textId="77777777" w:rsidR="00D15FD8" w:rsidRDefault="00D15FD8"/>
                          <w:p w14:paraId="1CD26DAA"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FC5C855" w14:textId="77777777" w:rsidR="00D15FD8" w:rsidRDefault="00D15FD8"/>
                          <w:p w14:paraId="41528597" w14:textId="71A339D8"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5DBC627" w14:textId="77777777" w:rsidR="00D15FD8" w:rsidRDefault="00D15FD8"/>
                          <w:p w14:paraId="2B4D86E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83D49B9" w14:textId="77777777" w:rsidR="00D15FD8" w:rsidRDefault="00D15FD8"/>
                          <w:p w14:paraId="42421712"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C7BF7B6" w14:textId="77777777" w:rsidR="00D15FD8" w:rsidRDefault="00D15FD8"/>
                          <w:p w14:paraId="3ADAE9B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B450132" w14:textId="77777777" w:rsidR="00D15FD8" w:rsidRDefault="00D15FD8"/>
                          <w:p w14:paraId="56FE6B16" w14:textId="214BD4B3"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95F1CA8" w14:textId="77777777" w:rsidR="00D15FD8" w:rsidRDefault="00D15FD8"/>
                          <w:p w14:paraId="50DB47ED"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7632259" w14:textId="77777777" w:rsidR="00D15FD8" w:rsidRDefault="00D15FD8"/>
                          <w:p w14:paraId="262A2E2F" w14:textId="01295C3F"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B3A81E3" w14:textId="77777777" w:rsidR="00D15FD8" w:rsidRDefault="00D15FD8"/>
                          <w:p w14:paraId="63FEC88D" w14:textId="4E95BFE0"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8099B" id="Text Box 2660" o:spid="_x0000_s1712" type="#_x0000_t202" href="https://youtu.be/GurblhGf-70" style="position:absolute;left:0;text-align:left;margin-left:52pt;margin-top:40.15pt;width:75pt;height:22.85pt;z-index:254716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" o:button="t" filled="f" stroked="f" strokeweight=".5pt">
                <v:fill o:detectmouseclick="t"/>
                <v:textbox>
                  <w:txbxContent>
                    <w:p w14:paraId="30633682" w14:textId="495C2682"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92EEEDE" w14:textId="77777777" w:rsidR="00D15FD8" w:rsidRDefault="00D15FD8"/>
                    <w:p w14:paraId="488EAC17"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46CC859" w14:textId="77777777" w:rsidR="00D15FD8" w:rsidRDefault="00D15FD8"/>
                    <w:p w14:paraId="7C4EB79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2E579E9" w14:textId="77777777" w:rsidR="00D15FD8" w:rsidRDefault="00D15FD8"/>
                    <w:p w14:paraId="6882D50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E346C33" w14:textId="77777777" w:rsidR="00D15FD8" w:rsidRDefault="00D15FD8"/>
                    <w:p w14:paraId="3C27D2D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ED16FAE" w14:textId="77777777" w:rsidR="00D15FD8" w:rsidRDefault="00D15FD8"/>
                    <w:p w14:paraId="23B648AB"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30E9586" w14:textId="77777777" w:rsidR="00D15FD8" w:rsidRDefault="00D15FD8"/>
                    <w:p w14:paraId="018B018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CC5AB2C" w14:textId="77777777" w:rsidR="00D15FD8" w:rsidRDefault="00D15FD8"/>
                    <w:p w14:paraId="564493BF"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FE4E6BF" w14:textId="77777777" w:rsidR="00D15FD8" w:rsidRDefault="00D15FD8"/>
                    <w:p w14:paraId="2B74F77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14768E7" w14:textId="77777777" w:rsidR="00D15FD8" w:rsidRDefault="00D15FD8"/>
                    <w:p w14:paraId="6B902E5F"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54FE528" w14:textId="77777777" w:rsidR="00D15FD8" w:rsidRDefault="00D15FD8"/>
                    <w:p w14:paraId="3516DFB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9911B17" w14:textId="77777777" w:rsidR="00D15FD8" w:rsidRDefault="00D15FD8"/>
                    <w:p w14:paraId="5EC9104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28171B7" w14:textId="77777777" w:rsidR="00D15FD8" w:rsidRDefault="00D15FD8"/>
                    <w:p w14:paraId="1AF46D1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E0A15F9" w14:textId="77777777" w:rsidR="00D15FD8" w:rsidRDefault="00D15FD8"/>
                    <w:p w14:paraId="53F9CCA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12CB1F4" w14:textId="77777777" w:rsidR="00D15FD8" w:rsidRDefault="00D15FD8"/>
                    <w:p w14:paraId="1AB3B99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BE337BB" w14:textId="77777777" w:rsidR="00D15FD8" w:rsidRDefault="00D15FD8"/>
                    <w:p w14:paraId="56DE006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DC1AEC2" w14:textId="77777777" w:rsidR="00D15FD8" w:rsidRDefault="00D15FD8"/>
                    <w:p w14:paraId="2A5A0552"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A8AE125" w14:textId="77777777" w:rsidR="00D15FD8" w:rsidRDefault="00D15FD8"/>
                    <w:p w14:paraId="1CEC37CA"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D24F0B7" w14:textId="77777777" w:rsidR="00D15FD8" w:rsidRDefault="00D15FD8"/>
                    <w:p w14:paraId="7D33560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5781134" w14:textId="77777777" w:rsidR="00D15FD8" w:rsidRDefault="00D15FD8"/>
                    <w:p w14:paraId="5A38B674"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CBC73AE" w14:textId="77777777" w:rsidR="00D15FD8" w:rsidRDefault="00D15FD8"/>
                    <w:p w14:paraId="74AEB77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DC26271" w14:textId="77777777" w:rsidR="00D15FD8" w:rsidRDefault="00D15FD8"/>
                    <w:p w14:paraId="55478B0D"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4AE5142" w14:textId="77777777" w:rsidR="00D15FD8" w:rsidRDefault="00D15FD8"/>
                    <w:p w14:paraId="1E701B2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DCEA0A0" w14:textId="77777777" w:rsidR="00D15FD8" w:rsidRDefault="00D15FD8"/>
                    <w:p w14:paraId="0AF504D4"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4C6DF4D" w14:textId="77777777" w:rsidR="00D15FD8" w:rsidRDefault="00D15FD8"/>
                    <w:p w14:paraId="0C71863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A367532" w14:textId="77777777" w:rsidR="00D15FD8" w:rsidRDefault="00D15FD8"/>
                    <w:p w14:paraId="163AE61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C9AD68D" w14:textId="77777777" w:rsidR="00D15FD8" w:rsidRDefault="00D15FD8"/>
                    <w:p w14:paraId="0B25CE4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466E809" w14:textId="77777777" w:rsidR="00D15FD8" w:rsidRDefault="00D15FD8"/>
                    <w:p w14:paraId="3AE0793C"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097D614" w14:textId="77777777" w:rsidR="00D15FD8" w:rsidRDefault="00D15FD8"/>
                    <w:p w14:paraId="6BFC8A97"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25DAE14" w14:textId="77777777" w:rsidR="00D15FD8" w:rsidRDefault="00D15FD8"/>
                    <w:p w14:paraId="6EEC0C6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0A4D522" w14:textId="77777777" w:rsidR="00D15FD8" w:rsidRDefault="00D15FD8"/>
                    <w:p w14:paraId="7E91742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D2217A5" w14:textId="77777777" w:rsidR="00D15FD8" w:rsidRDefault="00D15FD8"/>
                    <w:p w14:paraId="0FF1EB30"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ED84689" w14:textId="77777777" w:rsidR="00D15FD8" w:rsidRDefault="00D15FD8"/>
                    <w:p w14:paraId="7C9654B0" w14:textId="5A16D52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E3BCF29" w14:textId="77777777" w:rsidR="00D15FD8" w:rsidRDefault="00D15FD8"/>
                    <w:p w14:paraId="47872F0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8244FA0" w14:textId="77777777" w:rsidR="00D15FD8" w:rsidRDefault="00D15FD8"/>
                    <w:p w14:paraId="140F816C"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1E4CCF9" w14:textId="77777777" w:rsidR="00D15FD8" w:rsidRDefault="00D15FD8"/>
                    <w:p w14:paraId="319843E6"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971A76C" w14:textId="77777777" w:rsidR="00D15FD8" w:rsidRDefault="00D15FD8"/>
                    <w:p w14:paraId="58309E0B"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C2BF498" w14:textId="77777777" w:rsidR="00D15FD8" w:rsidRDefault="00D15FD8"/>
                    <w:p w14:paraId="1D535AF0"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1D47C5C" w14:textId="77777777" w:rsidR="00D15FD8" w:rsidRDefault="00D15FD8"/>
                    <w:p w14:paraId="6FB3A0B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929C81A" w14:textId="77777777" w:rsidR="00D15FD8" w:rsidRDefault="00D15FD8"/>
                    <w:p w14:paraId="32EE60B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E003892" w14:textId="77777777" w:rsidR="00D15FD8" w:rsidRDefault="00D15FD8"/>
                    <w:p w14:paraId="698723CF"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075B643" w14:textId="77777777" w:rsidR="00D15FD8" w:rsidRDefault="00D15FD8"/>
                    <w:p w14:paraId="3EDDD7B2"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FA899B6" w14:textId="77777777" w:rsidR="00D15FD8" w:rsidRDefault="00D15FD8"/>
                    <w:p w14:paraId="621DBC73"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29D35FBF" w14:textId="77777777" w:rsidR="00D15FD8" w:rsidRDefault="00D15FD8"/>
                    <w:p w14:paraId="2D0CDF4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1DF80A9" w14:textId="77777777" w:rsidR="00D15FD8" w:rsidRDefault="00D15FD8"/>
                    <w:p w14:paraId="5657BE9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F388A76" w14:textId="77777777" w:rsidR="00D15FD8" w:rsidRDefault="00D15FD8"/>
                    <w:p w14:paraId="3724D39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AD72CE4" w14:textId="77777777" w:rsidR="00D15FD8" w:rsidRDefault="00D15FD8"/>
                    <w:p w14:paraId="4BE1EE2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57A71BD" w14:textId="77777777" w:rsidR="00D15FD8" w:rsidRDefault="00D15FD8"/>
                    <w:p w14:paraId="356A272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46C74DB" w14:textId="77777777" w:rsidR="00D15FD8" w:rsidRDefault="00D15FD8"/>
                    <w:p w14:paraId="172B5234" w14:textId="0FCBDB2A"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3FD497D" w14:textId="77777777" w:rsidR="00D15FD8" w:rsidRDefault="00D15FD8"/>
                    <w:p w14:paraId="56F92DE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061F91D" w14:textId="77777777" w:rsidR="00D15FD8" w:rsidRDefault="00D15FD8"/>
                    <w:p w14:paraId="399EA859"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6AD3DDE" w14:textId="77777777" w:rsidR="00D15FD8" w:rsidRDefault="00D15FD8"/>
                    <w:p w14:paraId="0F2B37D5"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809931D" w14:textId="77777777" w:rsidR="00D15FD8" w:rsidRDefault="00D15FD8"/>
                    <w:p w14:paraId="725D83DE"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898CEAB" w14:textId="77777777" w:rsidR="00D15FD8" w:rsidRDefault="00D15FD8"/>
                    <w:p w14:paraId="693D22B4"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69693026" w14:textId="77777777" w:rsidR="00D15FD8" w:rsidRDefault="00D15FD8"/>
                    <w:p w14:paraId="03691D11"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28CC0EE" w14:textId="77777777" w:rsidR="00D15FD8" w:rsidRDefault="00D15FD8"/>
                    <w:p w14:paraId="1CD26DAA"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4FC5C855" w14:textId="77777777" w:rsidR="00D15FD8" w:rsidRDefault="00D15FD8"/>
                    <w:p w14:paraId="41528597" w14:textId="71A339D8"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15DBC627" w14:textId="77777777" w:rsidR="00D15FD8" w:rsidRDefault="00D15FD8"/>
                    <w:p w14:paraId="2B4D86E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583D49B9" w14:textId="77777777" w:rsidR="00D15FD8" w:rsidRDefault="00D15FD8"/>
                    <w:p w14:paraId="42421712"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C7BF7B6" w14:textId="77777777" w:rsidR="00D15FD8" w:rsidRDefault="00D15FD8"/>
                    <w:p w14:paraId="3ADAE9B8"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B450132" w14:textId="77777777" w:rsidR="00D15FD8" w:rsidRDefault="00D15FD8"/>
                    <w:p w14:paraId="56FE6B16" w14:textId="214BD4B3"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795F1CA8" w14:textId="77777777" w:rsidR="00D15FD8" w:rsidRDefault="00D15FD8"/>
                    <w:p w14:paraId="50DB47ED" w14:textId="77777777"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07632259" w14:textId="77777777" w:rsidR="00D15FD8" w:rsidRDefault="00D15FD8"/>
                    <w:p w14:paraId="262A2E2F" w14:textId="01295C3F"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p w14:paraId="3B3A81E3" w14:textId="77777777" w:rsidR="00D15FD8" w:rsidRDefault="00D15FD8"/>
                    <w:p w14:paraId="63FEC88D" w14:textId="4E95BFE0" w:rsidR="00D15FD8" w:rsidRPr="002F1D63" w:rsidRDefault="00D15FD8" w:rsidP="002F1D63">
                      <w:pPr>
                        <w:jc w:val="center"/>
                        <w:rPr>
                          <w:b/>
                          <w:bCs/>
                          <w:color w:val="FFFFFF" w:themeColor="background1"/>
                          <w:u w:val="single"/>
                        </w:rPr>
                      </w:pPr>
                      <w:r w:rsidRPr="002F1D63">
                        <w:rPr>
                          <w:rFonts w:ascii="Arial" w:hAnsi="Arial" w:cs="Arial"/>
                          <w:b/>
                          <w:bCs/>
                          <w:iCs/>
                          <w:color w:val="FFFFFF" w:themeColor="background1"/>
                        </w:rPr>
                        <w:t>Watch here</w:t>
                      </w:r>
                    </w:p>
                  </w:txbxContent>
                </v:textbox>
              </v:shape>
            </w:pict>
          </mc:Fallback>
        </mc:AlternateContent>
      </w:r>
      <w:r>
        <w:rPr>
          <w:rFonts w:ascii="Arial" w:hAnsi="Arial" w:cs="Arial"/>
          <w:noProof/>
          <w:sz w:val="24"/>
          <w:szCs w:val="24"/>
          <w:lang w:val="en-US"/>
        </w:rPr>
        <w:drawing>
          <wp:anchor distT="0" distB="0" distL="114300" distR="114300" simplePos="0" relativeHeight="254713854" behindDoc="0" locked="0" layoutInCell="1" allowOverlap="1" wp14:anchorId="545EBCCE" wp14:editId="7586DDF6">
            <wp:simplePos x="0" y="0"/>
            <wp:positionH relativeFrom="column">
              <wp:posOffset>-40640</wp:posOffset>
            </wp:positionH>
            <wp:positionV relativeFrom="paragraph">
              <wp:posOffset>420370</wp:posOffset>
            </wp:positionV>
            <wp:extent cx="582930" cy="410210"/>
            <wp:effectExtent l="0" t="0" r="1270" b="0"/>
            <wp:wrapSquare wrapText="bothSides"/>
            <wp:docPr id="2659" name="Picture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82930" cy="41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4714878" behindDoc="0" locked="0" layoutInCell="1" allowOverlap="1" wp14:anchorId="6A161790" wp14:editId="48DB21B3">
                <wp:simplePos x="0" y="0"/>
                <wp:positionH relativeFrom="column">
                  <wp:posOffset>617855</wp:posOffset>
                </wp:positionH>
                <wp:positionV relativeFrom="paragraph">
                  <wp:posOffset>455930</wp:posOffset>
                </wp:positionV>
                <wp:extent cx="1028700" cy="355600"/>
                <wp:effectExtent l="0" t="0" r="0" b="0"/>
                <wp:wrapSquare wrapText="bothSides"/>
                <wp:docPr id="2658" name="Rounded Rectangle 2658"/>
                <wp:cNvGraphicFramePr/>
                <a:graphic xmlns:a="http://schemas.openxmlformats.org/drawingml/2006/main">
                  <a:graphicData uri="http://schemas.microsoft.com/office/word/2010/wordprocessingShape">
                    <wps:wsp>
                      <wps:cNvSpPr/>
                      <wps:spPr>
                        <a:xfrm>
                          <a:off x="0" y="0"/>
                          <a:ext cx="1028700" cy="355600"/>
                        </a:xfrm>
                        <a:prstGeom prst="roundRect">
                          <a:avLst/>
                        </a:prstGeom>
                        <a:solidFill>
                          <a:srgbClr val="16988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oundrect w14:anchorId="0B52C6CB" id="Rounded Rectangle 2658" o:spid="_x0000_s1026" style="position:absolute;margin-left:48.65pt;margin-top:35.9pt;width:81pt;height:28pt;z-index:254714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" fillcolor="#16988a" stroked="f" strokeweight="1pt">
                <v:stroke joinstyle="miter"/>
                <w10:wrap type="square"/>
              </v:roundrect>
            </w:pict>
          </mc:Fallback>
        </mc:AlternateContent>
      </w:r>
      <w:r w:rsidR="0087283F" w:rsidRPr="00EB2A7C">
        <w:rPr>
          <w:rFonts w:ascii="Arial" w:hAnsi="Arial" w:cs="Arial"/>
          <w:iCs/>
          <w:sz w:val="24"/>
          <w:szCs w:val="24"/>
        </w:rPr>
        <w:t xml:space="preserve">A </w:t>
      </w:r>
      <w:hyperlink r:id="rId1443" w:history="1">
        <w:r w:rsidR="0087283F" w:rsidRPr="00EB2A7C">
          <w:rPr>
            <w:rStyle w:val="Hyperlink"/>
            <w:rFonts w:ascii="Arial" w:hAnsi="Arial" w:cs="Arial"/>
            <w:iCs/>
            <w:sz w:val="24"/>
            <w:szCs w:val="24"/>
          </w:rPr>
          <w:t>video</w:t>
        </w:r>
      </w:hyperlink>
      <w:r w:rsidR="0087283F" w:rsidRPr="00EB2A7C">
        <w:rPr>
          <w:rFonts w:ascii="Arial" w:hAnsi="Arial" w:cs="Arial"/>
          <w:iCs/>
          <w:sz w:val="24"/>
          <w:szCs w:val="24"/>
        </w:rPr>
        <w:t xml:space="preserve"> </w:t>
      </w:r>
      <w:r w:rsidR="0087283F" w:rsidRPr="00EB2A7C">
        <w:rPr>
          <w:rFonts w:ascii="Arial" w:hAnsi="Arial" w:cs="Arial"/>
          <w:bCs/>
          <w:iCs/>
          <w:sz w:val="24"/>
          <w:szCs w:val="24"/>
        </w:rPr>
        <w:t>recorded in June and July 2021, shows excerpts from testimonials on the budget reform journeys in Guatemala</w:t>
      </w:r>
      <w:r w:rsidR="0087283F" w:rsidRPr="00EB2A7C">
        <w:rPr>
          <w:rStyle w:val="FootnoteReference"/>
          <w:rFonts w:ascii="Arial" w:hAnsi="Arial" w:cs="Arial"/>
          <w:bCs/>
          <w:iCs/>
          <w:sz w:val="24"/>
          <w:szCs w:val="24"/>
        </w:rPr>
        <w:footnoteReference w:id="108"/>
      </w:r>
      <w:r w:rsidR="0087283F" w:rsidRPr="00EB2A7C">
        <w:rPr>
          <w:rFonts w:ascii="Arial" w:hAnsi="Arial" w:cs="Arial"/>
          <w:bCs/>
          <w:iCs/>
          <w:sz w:val="24"/>
          <w:szCs w:val="24"/>
        </w:rPr>
        <w:t>, Croatia</w:t>
      </w:r>
      <w:r w:rsidR="004B6C24">
        <w:rPr>
          <w:rStyle w:val="FootnoteReference"/>
          <w:rFonts w:ascii="Arial" w:hAnsi="Arial" w:cs="Arial"/>
          <w:bCs/>
          <w:iCs/>
          <w:sz w:val="24"/>
          <w:szCs w:val="24"/>
        </w:rPr>
        <w:footnoteReference w:id="109"/>
      </w:r>
      <w:r w:rsidR="0087283F" w:rsidRPr="00EB2A7C">
        <w:rPr>
          <w:rFonts w:ascii="Arial" w:hAnsi="Arial" w:cs="Arial"/>
          <w:bCs/>
          <w:iCs/>
          <w:sz w:val="24"/>
          <w:szCs w:val="24"/>
        </w:rPr>
        <w:t xml:space="preserve"> and Benin</w:t>
      </w:r>
      <w:r w:rsidR="004B6C24">
        <w:rPr>
          <w:rStyle w:val="FootnoteReference"/>
          <w:rFonts w:ascii="Arial" w:hAnsi="Arial" w:cs="Arial"/>
          <w:bCs/>
          <w:iCs/>
          <w:sz w:val="24"/>
          <w:szCs w:val="24"/>
        </w:rPr>
        <w:footnoteReference w:id="110"/>
      </w:r>
      <w:r w:rsidR="0087283F" w:rsidRPr="00EB2A7C">
        <w:rPr>
          <w:rFonts w:ascii="Arial" w:hAnsi="Arial" w:cs="Arial"/>
          <w:bCs/>
          <w:iCs/>
          <w:sz w:val="24"/>
          <w:szCs w:val="24"/>
        </w:rPr>
        <w:t xml:space="preserve">, providing valuable insights on fiscal transparency triggers, challenges faced, as well as key lessons in overcoming these challenges.  </w:t>
      </w:r>
    </w:p>
    <w:p w14:paraId="305D05AE" w14:textId="566B062D" w:rsidR="0087283F" w:rsidRPr="00EB2A7C" w:rsidRDefault="0087283F" w:rsidP="00EB2A7C">
      <w:pPr>
        <w:spacing w:line="276" w:lineRule="auto"/>
        <w:jc w:val="both"/>
        <w:rPr>
          <w:rFonts w:ascii="Arial" w:hAnsi="Arial" w:cs="Arial"/>
          <w:bCs/>
          <w:iCs/>
          <w:sz w:val="24"/>
          <w:szCs w:val="24"/>
        </w:rPr>
      </w:pPr>
    </w:p>
    <w:p w14:paraId="2B5A32DE" w14:textId="3A2445B4" w:rsidR="0087283F" w:rsidRPr="00EB2A7C" w:rsidRDefault="0087283F" w:rsidP="00EB2A7C">
      <w:pPr>
        <w:spacing w:line="276" w:lineRule="auto"/>
        <w:jc w:val="both"/>
        <w:rPr>
          <w:rFonts w:ascii="Arial" w:hAnsi="Arial" w:cs="Arial"/>
          <w:iCs/>
          <w:sz w:val="24"/>
          <w:szCs w:val="24"/>
        </w:rPr>
      </w:pPr>
      <w:r w:rsidRPr="00EB2A7C">
        <w:rPr>
          <w:rFonts w:ascii="Arial" w:hAnsi="Arial" w:cs="Arial"/>
          <w:iCs/>
          <w:sz w:val="24"/>
          <w:szCs w:val="24"/>
        </w:rPr>
        <w:t>In each of these countries there were triggers that led to the introduction of budget transparency and accountability reforms. The Guatemalan experience demonstrates the importance of technical capacity, political will, and the presence of fiscal transparency champions enjoying political support from the highest levels of the Executive, Parliament, civil society and the general public; with political crises shown to trigger fiscal transparency reforms.</w:t>
      </w:r>
      <w:r w:rsidR="001B5B2D">
        <w:rPr>
          <w:rFonts w:ascii="Arial" w:hAnsi="Arial" w:cs="Arial"/>
          <w:iCs/>
          <w:sz w:val="24"/>
          <w:szCs w:val="24"/>
        </w:rPr>
        <w:t xml:space="preserve"> </w:t>
      </w:r>
      <w:r w:rsidRPr="00EB2A7C">
        <w:rPr>
          <w:rFonts w:ascii="Arial" w:hAnsi="Arial" w:cs="Arial"/>
          <w:iCs/>
          <w:sz w:val="24"/>
          <w:szCs w:val="24"/>
        </w:rPr>
        <w:t>In Croatia, pressure from international organizations such as the European Union, the OECD, IMF and the World Bank were key in triggering budget transparency, and citizens’ participation advancements. In Benin, poor results in the 2012 Open Budget Survey, led to fiscal transparency awareness by the government and an interest by civil society to pursue it.</w:t>
      </w:r>
    </w:p>
    <w:p w14:paraId="3E5E28F1" w14:textId="77777777" w:rsidR="0087283F" w:rsidRPr="00EB2A7C" w:rsidRDefault="0087283F" w:rsidP="00EB2A7C">
      <w:pPr>
        <w:spacing w:line="276" w:lineRule="auto"/>
        <w:jc w:val="both"/>
        <w:rPr>
          <w:rFonts w:ascii="Arial" w:hAnsi="Arial" w:cs="Arial"/>
          <w:iCs/>
          <w:sz w:val="24"/>
          <w:szCs w:val="24"/>
        </w:rPr>
      </w:pPr>
    </w:p>
    <w:p w14:paraId="3D558B87" w14:textId="77777777" w:rsidR="0087283F" w:rsidRPr="00EB2A7C" w:rsidRDefault="0087283F" w:rsidP="00EB2A7C">
      <w:pPr>
        <w:spacing w:line="276" w:lineRule="auto"/>
        <w:jc w:val="both"/>
        <w:rPr>
          <w:rFonts w:ascii="Arial" w:hAnsi="Arial" w:cs="Arial"/>
          <w:iCs/>
          <w:sz w:val="24"/>
          <w:szCs w:val="24"/>
        </w:rPr>
      </w:pPr>
      <w:r w:rsidRPr="00EB2A7C">
        <w:rPr>
          <w:rFonts w:ascii="Arial" w:hAnsi="Arial" w:cs="Arial"/>
          <w:iCs/>
          <w:sz w:val="24"/>
          <w:szCs w:val="24"/>
        </w:rPr>
        <w:t>Challenges had to be overcome in each of these country’s fiscal transparency journeys. In Guatemala, a number of fiscal transparency reforms increasingly faced resistance from those that benefited from corruption and opacity. In Croatia, fiscal transparency reforms proved a demanding task for Ministry of Finance officials, including that participatory budgeting practices were more difficult to implement at the state than at the local level; political will diminished over time; and there were also challenges on the demand side for information, including a general lack of awareness of the importance and benefits of fiscal transparency. In Benin, the public administration lacked awareness of what fiscal transparency entailed, including the international norms and standards governing it.</w:t>
      </w:r>
    </w:p>
    <w:p w14:paraId="15D69C0D" w14:textId="77777777" w:rsidR="0087283F" w:rsidRPr="00EB2A7C" w:rsidRDefault="0087283F" w:rsidP="00EB2A7C">
      <w:pPr>
        <w:spacing w:line="276" w:lineRule="auto"/>
        <w:jc w:val="both"/>
        <w:rPr>
          <w:rFonts w:ascii="Arial" w:hAnsi="Arial" w:cs="Arial"/>
          <w:iCs/>
          <w:sz w:val="24"/>
          <w:szCs w:val="24"/>
        </w:rPr>
      </w:pPr>
    </w:p>
    <w:p w14:paraId="652D68AD" w14:textId="680DB024" w:rsidR="0087283F" w:rsidRDefault="0087283F" w:rsidP="00EB2A7C">
      <w:pPr>
        <w:spacing w:line="276" w:lineRule="auto"/>
        <w:jc w:val="both"/>
        <w:rPr>
          <w:rFonts w:ascii="Arial" w:hAnsi="Arial" w:cs="Arial"/>
          <w:sz w:val="24"/>
          <w:szCs w:val="24"/>
        </w:rPr>
      </w:pPr>
      <w:r w:rsidRPr="00EB2A7C">
        <w:rPr>
          <w:rFonts w:ascii="Arial" w:hAnsi="Arial" w:cs="Arial"/>
          <w:iCs/>
          <w:sz w:val="24"/>
          <w:szCs w:val="24"/>
        </w:rPr>
        <w:t xml:space="preserve">These countries took actions/reforms to overcome challenges and to ensure that fiscal transparency gains are sustained over time, providing key lessons for those seeking to embark on similar </w:t>
      </w:r>
      <w:r w:rsidRPr="00EB2A7C">
        <w:rPr>
          <w:rFonts w:ascii="Arial" w:hAnsi="Arial" w:cs="Arial"/>
          <w:iCs/>
          <w:sz w:val="24"/>
          <w:szCs w:val="24"/>
        </w:rPr>
        <w:lastRenderedPageBreak/>
        <w:t xml:space="preserve">journeys. Lessons from Guatemala, include that the technical work underlying fiscal transparency reforms should be sound, robust, and strong; include citizen participation and benefit from public support. In 1998, the fiscal management integrated system was instituted forming a basis for fiscal transparency. Later, legislative reforms including to the organic budget law to align its provisions with international transparency standards, such as those in the IMF’s Fiscal Transparency Code and in GIFT’s Fiscal Transparency Principles were also key in ensuring that transparency gains, were sustained over time, not dependent on the political will of a particular administration. Croatia benefited from joining international networks, including being stewards of the GIFT network and joining the </w:t>
      </w:r>
      <w:r w:rsidRPr="00EB2A7C">
        <w:rPr>
          <w:rFonts w:ascii="Arial" w:hAnsi="Arial" w:cs="Arial"/>
          <w:iCs/>
          <w:sz w:val="24"/>
          <w:szCs w:val="24"/>
          <w:lang w:val="en-ZA"/>
        </w:rPr>
        <w:t xml:space="preserve">Open Government Partnership. Digital tools and Open Data were also used to facilitate fiscal transparency advancements. </w:t>
      </w:r>
      <w:r w:rsidRPr="00EB2A7C">
        <w:rPr>
          <w:rFonts w:ascii="Arial" w:hAnsi="Arial" w:cs="Arial"/>
          <w:iCs/>
          <w:sz w:val="24"/>
          <w:szCs w:val="24"/>
        </w:rPr>
        <w:t xml:space="preserve">To ensure the sustainability of fiscal reforms, the Government of Benin focused on instituting a governance institutional framework and on enhancing its collaboration with civil society. Legislative reforms included the adoption of a fiscal transparency code under the organic law on financial legislation aimed at making financial information mandatorily open to the public; and providing for the establishment of regulations to oversee the implementation and management of the fiscal transparency process. The introduction of Parliamentary debates and several discussion fora with citizens, also provided public participation opportunities. Like Guatemala and Croatia, Benin is also part of international networks, including the GIFT network and its Fiscal Openness Accelerator project where selected </w:t>
      </w:r>
      <w:r w:rsidRPr="00EB2A7C">
        <w:rPr>
          <w:rFonts w:ascii="Arial" w:hAnsi="Arial" w:cs="Arial"/>
          <w:iCs/>
          <w:sz w:val="24"/>
          <w:szCs w:val="24"/>
          <w:lang w:val="en-ZA"/>
        </w:rPr>
        <w:t>governments and civil society are working together to introduce specific mechanisms of public participation in the budget cycle;</w:t>
      </w:r>
      <w:r w:rsidRPr="00EB2A7C">
        <w:rPr>
          <w:rFonts w:ascii="Arial" w:hAnsi="Arial" w:cs="Arial"/>
          <w:iCs/>
          <w:sz w:val="24"/>
          <w:szCs w:val="24"/>
        </w:rPr>
        <w:t xml:space="preserve"> and the Collaborative Africa Budget Reform Initiative, providing among others, technical support and peer learning opportunities</w:t>
      </w:r>
      <w:r w:rsidRPr="00EB2A7C">
        <w:rPr>
          <w:rFonts w:ascii="Arial" w:hAnsi="Arial" w:cs="Arial"/>
          <w:iCs/>
          <w:sz w:val="24"/>
          <w:szCs w:val="24"/>
          <w:lang w:val="en-ZA"/>
        </w:rPr>
        <w:t xml:space="preserve">. </w:t>
      </w:r>
      <w:r w:rsidRPr="00EB2A7C">
        <w:rPr>
          <w:rFonts w:ascii="Arial" w:hAnsi="Arial" w:cs="Arial"/>
          <w:sz w:val="24"/>
          <w:szCs w:val="24"/>
        </w:rPr>
        <w:t>In 2016, Benin established a special unit dedicated to fiscal transparency to manage its action plan on budget transparency. These examples show that the sustainability of measures and actions taken to achieve budget transparency largely rely on the presence of strong institutional and governance frameworks.</w:t>
      </w:r>
    </w:p>
    <w:p w14:paraId="702B483E" w14:textId="1AC07C1A" w:rsidR="00BB2059" w:rsidRDefault="00BB2059" w:rsidP="00EB2A7C">
      <w:pPr>
        <w:spacing w:line="276" w:lineRule="auto"/>
        <w:jc w:val="both"/>
        <w:rPr>
          <w:rFonts w:ascii="Arial" w:hAnsi="Arial" w:cs="Arial"/>
          <w:sz w:val="24"/>
          <w:szCs w:val="24"/>
        </w:rPr>
      </w:pPr>
    </w:p>
    <w:p w14:paraId="6565A49F" w14:textId="1EECD513" w:rsidR="00BB2059" w:rsidRDefault="00BB2059" w:rsidP="00EB2A7C">
      <w:pPr>
        <w:spacing w:line="276" w:lineRule="auto"/>
        <w:jc w:val="both"/>
        <w:rPr>
          <w:rFonts w:ascii="Arial" w:hAnsi="Arial" w:cs="Arial"/>
          <w:sz w:val="24"/>
          <w:szCs w:val="24"/>
        </w:rPr>
      </w:pPr>
    </w:p>
    <w:p w14:paraId="7EB705A7" w14:textId="36D14BDF" w:rsidR="00BB2059" w:rsidRDefault="00BB2059" w:rsidP="00EB2A7C">
      <w:pPr>
        <w:spacing w:line="276" w:lineRule="auto"/>
        <w:jc w:val="both"/>
        <w:rPr>
          <w:rFonts w:ascii="Arial" w:hAnsi="Arial" w:cs="Arial"/>
          <w:sz w:val="24"/>
          <w:szCs w:val="24"/>
        </w:rPr>
      </w:pPr>
    </w:p>
    <w:p w14:paraId="16588B6C" w14:textId="491F338F" w:rsidR="00BB2059" w:rsidRDefault="00BB2059" w:rsidP="00EB2A7C">
      <w:pPr>
        <w:spacing w:line="276" w:lineRule="auto"/>
        <w:jc w:val="both"/>
        <w:rPr>
          <w:rFonts w:ascii="Arial" w:hAnsi="Arial" w:cs="Arial"/>
          <w:sz w:val="24"/>
          <w:szCs w:val="24"/>
        </w:rPr>
      </w:pPr>
    </w:p>
    <w:p w14:paraId="4D09BE9A" w14:textId="22806E6C" w:rsidR="00BB2059" w:rsidRDefault="00BB2059" w:rsidP="00EB2A7C">
      <w:pPr>
        <w:spacing w:line="276" w:lineRule="auto"/>
        <w:jc w:val="both"/>
        <w:rPr>
          <w:rFonts w:ascii="Arial" w:hAnsi="Arial" w:cs="Arial"/>
          <w:sz w:val="24"/>
          <w:szCs w:val="24"/>
        </w:rPr>
      </w:pPr>
    </w:p>
    <w:p w14:paraId="3418E633" w14:textId="181FB806" w:rsidR="00BB2059" w:rsidRDefault="00BB2059" w:rsidP="00EB2A7C">
      <w:pPr>
        <w:spacing w:line="276" w:lineRule="auto"/>
        <w:jc w:val="both"/>
        <w:rPr>
          <w:rFonts w:ascii="Arial" w:hAnsi="Arial" w:cs="Arial"/>
          <w:sz w:val="24"/>
          <w:szCs w:val="24"/>
        </w:rPr>
      </w:pPr>
    </w:p>
    <w:p w14:paraId="13E37DDF" w14:textId="244610B7" w:rsidR="00BB2059" w:rsidRDefault="00BB2059" w:rsidP="00EB2A7C">
      <w:pPr>
        <w:spacing w:line="276" w:lineRule="auto"/>
        <w:jc w:val="both"/>
        <w:rPr>
          <w:rFonts w:ascii="Arial" w:hAnsi="Arial" w:cs="Arial"/>
          <w:sz w:val="24"/>
          <w:szCs w:val="24"/>
        </w:rPr>
      </w:pPr>
    </w:p>
    <w:p w14:paraId="2EFC13C6" w14:textId="167E06C3" w:rsidR="00BB2059" w:rsidRDefault="00BB2059" w:rsidP="00EB2A7C">
      <w:pPr>
        <w:spacing w:line="276" w:lineRule="auto"/>
        <w:jc w:val="both"/>
        <w:rPr>
          <w:rFonts w:ascii="Arial" w:hAnsi="Arial" w:cs="Arial"/>
          <w:sz w:val="24"/>
          <w:szCs w:val="24"/>
        </w:rPr>
      </w:pPr>
    </w:p>
    <w:p w14:paraId="7BD61990" w14:textId="5F527E02" w:rsidR="00BB2059" w:rsidRDefault="00BB2059" w:rsidP="00EB2A7C">
      <w:pPr>
        <w:spacing w:line="276" w:lineRule="auto"/>
        <w:jc w:val="both"/>
        <w:rPr>
          <w:rFonts w:ascii="Arial" w:hAnsi="Arial" w:cs="Arial"/>
          <w:sz w:val="24"/>
          <w:szCs w:val="24"/>
        </w:rPr>
      </w:pPr>
    </w:p>
    <w:p w14:paraId="7AB8F182" w14:textId="762520E3" w:rsidR="00BB2059" w:rsidRDefault="00BB2059" w:rsidP="00EB2A7C">
      <w:pPr>
        <w:spacing w:line="276" w:lineRule="auto"/>
        <w:jc w:val="both"/>
        <w:rPr>
          <w:rFonts w:ascii="Arial" w:hAnsi="Arial" w:cs="Arial"/>
          <w:sz w:val="24"/>
          <w:szCs w:val="24"/>
        </w:rPr>
      </w:pPr>
    </w:p>
    <w:p w14:paraId="096B8DBE" w14:textId="1354A9D5" w:rsidR="00BB2059" w:rsidRDefault="00BB2059" w:rsidP="00EB2A7C">
      <w:pPr>
        <w:spacing w:line="276" w:lineRule="auto"/>
        <w:jc w:val="both"/>
        <w:rPr>
          <w:rFonts w:ascii="Arial" w:hAnsi="Arial" w:cs="Arial"/>
          <w:sz w:val="24"/>
          <w:szCs w:val="24"/>
        </w:rPr>
      </w:pPr>
    </w:p>
    <w:p w14:paraId="32041504" w14:textId="642423CE" w:rsidR="00BB2059" w:rsidRDefault="00BB2059" w:rsidP="00EB2A7C">
      <w:pPr>
        <w:spacing w:line="276" w:lineRule="auto"/>
        <w:jc w:val="both"/>
        <w:rPr>
          <w:rFonts w:ascii="Arial" w:hAnsi="Arial" w:cs="Arial"/>
          <w:sz w:val="24"/>
          <w:szCs w:val="24"/>
        </w:rPr>
      </w:pPr>
    </w:p>
    <w:p w14:paraId="597E7A50" w14:textId="517F7C0D" w:rsidR="00BB2059" w:rsidRDefault="00BB2059" w:rsidP="00EB2A7C">
      <w:pPr>
        <w:spacing w:line="276" w:lineRule="auto"/>
        <w:jc w:val="both"/>
        <w:rPr>
          <w:rFonts w:ascii="Arial" w:hAnsi="Arial" w:cs="Arial"/>
          <w:sz w:val="24"/>
          <w:szCs w:val="24"/>
        </w:rPr>
      </w:pPr>
    </w:p>
    <w:p w14:paraId="22C6D617" w14:textId="0961DA12" w:rsidR="00BB2059" w:rsidRDefault="00BB2059" w:rsidP="00EB2A7C">
      <w:pPr>
        <w:spacing w:line="276" w:lineRule="auto"/>
        <w:jc w:val="both"/>
        <w:rPr>
          <w:rFonts w:ascii="Arial" w:hAnsi="Arial" w:cs="Arial"/>
          <w:sz w:val="24"/>
          <w:szCs w:val="24"/>
        </w:rPr>
      </w:pPr>
    </w:p>
    <w:p w14:paraId="09F79B9D" w14:textId="17B3C3A2" w:rsidR="00BB2059" w:rsidRDefault="00BB2059" w:rsidP="00EB2A7C">
      <w:pPr>
        <w:spacing w:line="276" w:lineRule="auto"/>
        <w:jc w:val="both"/>
        <w:rPr>
          <w:rFonts w:ascii="Arial" w:hAnsi="Arial" w:cs="Arial"/>
          <w:sz w:val="24"/>
          <w:szCs w:val="24"/>
        </w:rPr>
      </w:pPr>
    </w:p>
    <w:p w14:paraId="6664EBED" w14:textId="16890398" w:rsidR="00BB2059" w:rsidRDefault="00BB2059" w:rsidP="00EB2A7C">
      <w:pPr>
        <w:spacing w:line="276" w:lineRule="auto"/>
        <w:jc w:val="both"/>
        <w:rPr>
          <w:rFonts w:ascii="Arial" w:hAnsi="Arial" w:cs="Arial"/>
          <w:sz w:val="24"/>
          <w:szCs w:val="24"/>
        </w:rPr>
      </w:pPr>
    </w:p>
    <w:p w14:paraId="215BA5DA" w14:textId="5F53AAB0" w:rsidR="00BB2059" w:rsidRDefault="00BB2059" w:rsidP="00EB2A7C">
      <w:pPr>
        <w:spacing w:line="276" w:lineRule="auto"/>
        <w:jc w:val="both"/>
        <w:rPr>
          <w:rFonts w:ascii="Arial" w:hAnsi="Arial" w:cs="Arial"/>
          <w:sz w:val="24"/>
          <w:szCs w:val="24"/>
        </w:rPr>
      </w:pPr>
    </w:p>
    <w:p w14:paraId="27C7FE2D" w14:textId="2A868359" w:rsidR="00BB2059" w:rsidRDefault="00BB2059" w:rsidP="00EB2A7C">
      <w:pPr>
        <w:spacing w:line="276" w:lineRule="auto"/>
        <w:jc w:val="both"/>
        <w:rPr>
          <w:rFonts w:ascii="Arial" w:hAnsi="Arial" w:cs="Arial"/>
          <w:sz w:val="24"/>
          <w:szCs w:val="24"/>
        </w:rPr>
      </w:pPr>
    </w:p>
    <w:p w14:paraId="0569AD53" w14:textId="25703014" w:rsidR="00BB2059" w:rsidRDefault="00BB2059" w:rsidP="00EB2A7C">
      <w:pPr>
        <w:spacing w:line="276" w:lineRule="auto"/>
        <w:jc w:val="both"/>
        <w:rPr>
          <w:rFonts w:ascii="Arial" w:hAnsi="Arial" w:cs="Arial"/>
          <w:sz w:val="24"/>
          <w:szCs w:val="24"/>
        </w:rPr>
      </w:pPr>
    </w:p>
    <w:p w14:paraId="5BF14761" w14:textId="09E11AB9" w:rsidR="00BB2059" w:rsidRDefault="00BB2059" w:rsidP="00EB2A7C">
      <w:pPr>
        <w:spacing w:line="276" w:lineRule="auto"/>
        <w:jc w:val="both"/>
        <w:rPr>
          <w:rFonts w:ascii="Arial" w:hAnsi="Arial" w:cs="Arial"/>
          <w:sz w:val="24"/>
          <w:szCs w:val="24"/>
        </w:rPr>
      </w:pPr>
    </w:p>
    <w:p w14:paraId="1BCADACA" w14:textId="69AF21F4" w:rsidR="00BB2059" w:rsidRDefault="00BB2059" w:rsidP="00EB2A7C">
      <w:pPr>
        <w:spacing w:line="276" w:lineRule="auto"/>
        <w:jc w:val="both"/>
        <w:rPr>
          <w:rFonts w:ascii="Arial" w:hAnsi="Arial" w:cs="Arial"/>
          <w:sz w:val="24"/>
          <w:szCs w:val="24"/>
        </w:rPr>
      </w:pPr>
    </w:p>
    <w:p w14:paraId="7EB66A79" w14:textId="339AEFC0" w:rsidR="00BB2059" w:rsidRDefault="00BB2059" w:rsidP="00EB2A7C">
      <w:pPr>
        <w:spacing w:line="276" w:lineRule="auto"/>
        <w:jc w:val="both"/>
        <w:rPr>
          <w:rFonts w:ascii="Arial" w:hAnsi="Arial" w:cs="Arial"/>
          <w:sz w:val="24"/>
          <w:szCs w:val="24"/>
        </w:rPr>
      </w:pPr>
    </w:p>
    <w:p w14:paraId="59EC6F24" w14:textId="02E7ACC9" w:rsidR="00BB2059" w:rsidRDefault="00BB2059" w:rsidP="00EB2A7C">
      <w:pPr>
        <w:spacing w:line="276" w:lineRule="auto"/>
        <w:jc w:val="both"/>
        <w:rPr>
          <w:rFonts w:ascii="Arial" w:hAnsi="Arial" w:cs="Arial"/>
          <w:sz w:val="24"/>
          <w:szCs w:val="24"/>
        </w:rPr>
      </w:pPr>
    </w:p>
    <w:p w14:paraId="0CDC4AE7" w14:textId="0A0F7403" w:rsidR="00BB2059" w:rsidRDefault="00BB2059" w:rsidP="00EB2A7C">
      <w:pPr>
        <w:spacing w:line="276" w:lineRule="auto"/>
        <w:jc w:val="both"/>
        <w:rPr>
          <w:rFonts w:ascii="Arial" w:hAnsi="Arial" w:cs="Arial"/>
          <w:sz w:val="24"/>
          <w:szCs w:val="24"/>
        </w:rPr>
      </w:pPr>
    </w:p>
    <w:p w14:paraId="0DE23DFB" w14:textId="3610A8BB" w:rsidR="00BB2059" w:rsidRDefault="00BB2059" w:rsidP="00EB2A7C">
      <w:pPr>
        <w:spacing w:line="276" w:lineRule="auto"/>
        <w:jc w:val="both"/>
        <w:rPr>
          <w:rFonts w:ascii="Arial" w:hAnsi="Arial" w:cs="Arial"/>
          <w:sz w:val="24"/>
          <w:szCs w:val="24"/>
        </w:rPr>
      </w:pPr>
    </w:p>
    <w:p w14:paraId="3825EB4C" w14:textId="788423E4" w:rsidR="00BB2059" w:rsidRDefault="00BB2059" w:rsidP="00EB2A7C">
      <w:pPr>
        <w:spacing w:line="276" w:lineRule="auto"/>
        <w:jc w:val="both"/>
        <w:rPr>
          <w:rFonts w:ascii="Arial" w:hAnsi="Arial" w:cs="Arial"/>
          <w:sz w:val="24"/>
          <w:szCs w:val="24"/>
        </w:rPr>
      </w:pPr>
    </w:p>
    <w:p w14:paraId="0061D4FF" w14:textId="748D5938" w:rsidR="00BB2059" w:rsidRDefault="00BB2059" w:rsidP="00EB2A7C">
      <w:pPr>
        <w:spacing w:line="276" w:lineRule="auto"/>
        <w:jc w:val="both"/>
        <w:rPr>
          <w:rFonts w:ascii="Arial" w:hAnsi="Arial" w:cs="Arial"/>
          <w:sz w:val="24"/>
          <w:szCs w:val="24"/>
        </w:rPr>
      </w:pPr>
    </w:p>
    <w:p w14:paraId="6DA4A670" w14:textId="3B74929D" w:rsidR="00BB2059" w:rsidRDefault="00BB2059" w:rsidP="00EB2A7C">
      <w:pPr>
        <w:spacing w:line="276" w:lineRule="auto"/>
        <w:jc w:val="both"/>
        <w:rPr>
          <w:rFonts w:ascii="Arial" w:hAnsi="Arial" w:cs="Arial"/>
          <w:sz w:val="24"/>
          <w:szCs w:val="24"/>
        </w:rPr>
      </w:pPr>
    </w:p>
    <w:p w14:paraId="02296E06" w14:textId="086E1653" w:rsidR="00BB2059" w:rsidRDefault="00BB2059" w:rsidP="00EB2A7C">
      <w:pPr>
        <w:spacing w:line="276" w:lineRule="auto"/>
        <w:jc w:val="both"/>
        <w:rPr>
          <w:rFonts w:ascii="Arial" w:hAnsi="Arial" w:cs="Arial"/>
          <w:sz w:val="24"/>
          <w:szCs w:val="24"/>
        </w:rPr>
      </w:pPr>
    </w:p>
    <w:p w14:paraId="025B1D96" w14:textId="46817D37" w:rsidR="00BB2059" w:rsidRDefault="00BB2059" w:rsidP="00EB2A7C">
      <w:pPr>
        <w:spacing w:line="276" w:lineRule="auto"/>
        <w:jc w:val="both"/>
        <w:rPr>
          <w:rFonts w:ascii="Arial" w:hAnsi="Arial" w:cs="Arial"/>
          <w:sz w:val="24"/>
          <w:szCs w:val="24"/>
        </w:rPr>
      </w:pPr>
    </w:p>
    <w:p w14:paraId="70AD7E92" w14:textId="370B07C2" w:rsidR="00BB2059" w:rsidRDefault="00BB2059" w:rsidP="00EB2A7C">
      <w:pPr>
        <w:spacing w:line="276" w:lineRule="auto"/>
        <w:jc w:val="both"/>
        <w:rPr>
          <w:rFonts w:ascii="Arial" w:hAnsi="Arial" w:cs="Arial"/>
          <w:sz w:val="24"/>
          <w:szCs w:val="24"/>
        </w:rPr>
      </w:pPr>
    </w:p>
    <w:p w14:paraId="3D356509" w14:textId="252B0B5D" w:rsidR="00BB2059" w:rsidRDefault="00BB2059" w:rsidP="00EB2A7C">
      <w:pPr>
        <w:spacing w:line="276" w:lineRule="auto"/>
        <w:jc w:val="both"/>
        <w:rPr>
          <w:rFonts w:ascii="Arial" w:hAnsi="Arial" w:cs="Arial"/>
          <w:sz w:val="24"/>
          <w:szCs w:val="24"/>
        </w:rPr>
      </w:pPr>
    </w:p>
    <w:p w14:paraId="7F5FA5B4" w14:textId="56A2ABD0" w:rsidR="00BB2059" w:rsidRDefault="00BB2059" w:rsidP="00EB2A7C">
      <w:pPr>
        <w:spacing w:line="276" w:lineRule="auto"/>
        <w:jc w:val="both"/>
        <w:rPr>
          <w:rFonts w:ascii="Arial" w:hAnsi="Arial" w:cs="Arial"/>
          <w:sz w:val="24"/>
          <w:szCs w:val="24"/>
        </w:rPr>
      </w:pPr>
    </w:p>
    <w:p w14:paraId="39A6230E" w14:textId="0EBAC256" w:rsidR="00BB2059" w:rsidRDefault="00BB2059" w:rsidP="00EB2A7C">
      <w:pPr>
        <w:spacing w:line="276" w:lineRule="auto"/>
        <w:jc w:val="both"/>
        <w:rPr>
          <w:rFonts w:ascii="Arial" w:hAnsi="Arial" w:cs="Arial"/>
          <w:sz w:val="24"/>
          <w:szCs w:val="24"/>
        </w:rPr>
      </w:pPr>
    </w:p>
    <w:p w14:paraId="2DBE1092" w14:textId="28037950" w:rsidR="00BB2059" w:rsidRDefault="00BB2059" w:rsidP="00EB2A7C">
      <w:pPr>
        <w:spacing w:line="276" w:lineRule="auto"/>
        <w:jc w:val="both"/>
        <w:rPr>
          <w:rFonts w:ascii="Arial" w:hAnsi="Arial" w:cs="Arial"/>
          <w:sz w:val="24"/>
          <w:szCs w:val="24"/>
        </w:rPr>
      </w:pPr>
    </w:p>
    <w:p w14:paraId="2851B81F" w14:textId="4D4B4FA5" w:rsidR="00BB2059" w:rsidRDefault="00BB2059" w:rsidP="00EB2A7C">
      <w:pPr>
        <w:spacing w:line="276" w:lineRule="auto"/>
        <w:jc w:val="both"/>
        <w:rPr>
          <w:rFonts w:ascii="Arial" w:hAnsi="Arial" w:cs="Arial"/>
          <w:sz w:val="24"/>
          <w:szCs w:val="24"/>
        </w:rPr>
      </w:pPr>
    </w:p>
    <w:p w14:paraId="5D3B4E6C" w14:textId="33FA6590" w:rsidR="00BB2059" w:rsidRDefault="00BB2059" w:rsidP="00EB2A7C">
      <w:pPr>
        <w:spacing w:line="276" w:lineRule="auto"/>
        <w:jc w:val="both"/>
        <w:rPr>
          <w:rFonts w:ascii="Arial" w:hAnsi="Arial" w:cs="Arial"/>
          <w:sz w:val="24"/>
          <w:szCs w:val="24"/>
        </w:rPr>
      </w:pPr>
    </w:p>
    <w:p w14:paraId="281703E1" w14:textId="76535CB9" w:rsidR="00BB2059" w:rsidRDefault="00BB2059" w:rsidP="00EB2A7C">
      <w:pPr>
        <w:spacing w:line="276" w:lineRule="auto"/>
        <w:jc w:val="both"/>
        <w:rPr>
          <w:rFonts w:ascii="Arial" w:hAnsi="Arial" w:cs="Arial"/>
          <w:sz w:val="24"/>
          <w:szCs w:val="24"/>
        </w:rPr>
      </w:pPr>
    </w:p>
    <w:p w14:paraId="771917B2" w14:textId="22A93950" w:rsidR="00BB2059" w:rsidRDefault="00BB2059" w:rsidP="00EB2A7C">
      <w:pPr>
        <w:spacing w:line="276" w:lineRule="auto"/>
        <w:jc w:val="both"/>
        <w:rPr>
          <w:rFonts w:ascii="Arial" w:hAnsi="Arial" w:cs="Arial"/>
          <w:sz w:val="24"/>
          <w:szCs w:val="24"/>
        </w:rPr>
      </w:pPr>
    </w:p>
    <w:p w14:paraId="51087AD1" w14:textId="09C0AE14" w:rsidR="00BB2059" w:rsidRDefault="00BB2059" w:rsidP="00EB2A7C">
      <w:pPr>
        <w:spacing w:line="276" w:lineRule="auto"/>
        <w:jc w:val="both"/>
        <w:rPr>
          <w:rFonts w:ascii="Arial" w:hAnsi="Arial" w:cs="Arial"/>
          <w:sz w:val="24"/>
          <w:szCs w:val="24"/>
        </w:rPr>
      </w:pPr>
    </w:p>
    <w:p w14:paraId="3FE2EBF7" w14:textId="4DBA735D" w:rsidR="00BB2059" w:rsidRDefault="00BB2059" w:rsidP="00EB2A7C">
      <w:pPr>
        <w:spacing w:line="276" w:lineRule="auto"/>
        <w:jc w:val="both"/>
        <w:rPr>
          <w:rFonts w:ascii="Arial" w:hAnsi="Arial" w:cs="Arial"/>
          <w:sz w:val="24"/>
          <w:szCs w:val="24"/>
        </w:rPr>
      </w:pPr>
    </w:p>
    <w:p w14:paraId="04E8938D" w14:textId="672E3DBC" w:rsidR="00BB2059" w:rsidRDefault="00BB2059" w:rsidP="00EB2A7C">
      <w:pPr>
        <w:spacing w:line="276" w:lineRule="auto"/>
        <w:jc w:val="both"/>
        <w:rPr>
          <w:rFonts w:ascii="Arial" w:hAnsi="Arial" w:cs="Arial"/>
          <w:sz w:val="24"/>
          <w:szCs w:val="24"/>
        </w:rPr>
      </w:pPr>
    </w:p>
    <w:p w14:paraId="74034589" w14:textId="1B8D52E8" w:rsidR="00BB2059" w:rsidRDefault="00BB2059" w:rsidP="00EB2A7C">
      <w:pPr>
        <w:spacing w:line="276" w:lineRule="auto"/>
        <w:jc w:val="both"/>
        <w:rPr>
          <w:rFonts w:ascii="Arial" w:hAnsi="Arial" w:cs="Arial"/>
          <w:sz w:val="24"/>
          <w:szCs w:val="24"/>
        </w:rPr>
      </w:pPr>
    </w:p>
    <w:p w14:paraId="17B24222" w14:textId="02564E0F" w:rsidR="00BB2059" w:rsidRDefault="00BB2059" w:rsidP="00EB2A7C">
      <w:pPr>
        <w:spacing w:line="276" w:lineRule="auto"/>
        <w:jc w:val="both"/>
        <w:rPr>
          <w:rFonts w:ascii="Arial" w:hAnsi="Arial" w:cs="Arial"/>
          <w:sz w:val="24"/>
          <w:szCs w:val="24"/>
        </w:rPr>
      </w:pPr>
    </w:p>
    <w:p w14:paraId="172F40D8" w14:textId="77777777" w:rsidR="00BB2059" w:rsidRDefault="00BB2059" w:rsidP="00BB2059">
      <w:pPr>
        <w:spacing w:line="276" w:lineRule="auto"/>
        <w:jc w:val="center"/>
      </w:pPr>
      <w:r w:rsidRPr="003625BA">
        <w:rPr>
          <w:rFonts w:ascii="Arial" w:hAnsi="Arial" w:cs="Arial"/>
          <w:i/>
          <w:iCs/>
          <w:color w:val="19998C"/>
          <w:sz w:val="26"/>
          <w:szCs w:val="26"/>
          <w:lang w:val="en-US"/>
        </w:rPr>
        <w:t>“This page intentionally left blank”</w:t>
      </w:r>
    </w:p>
    <w:p w14:paraId="43FD3585" w14:textId="753C1589" w:rsidR="00BB2059" w:rsidRDefault="00BB2059" w:rsidP="00EB2A7C">
      <w:pPr>
        <w:spacing w:line="276" w:lineRule="auto"/>
        <w:jc w:val="both"/>
        <w:rPr>
          <w:rFonts w:ascii="Arial" w:hAnsi="Arial" w:cs="Arial"/>
          <w:sz w:val="24"/>
          <w:szCs w:val="24"/>
        </w:rPr>
      </w:pPr>
    </w:p>
    <w:p w14:paraId="1D131A10" w14:textId="58FAB4EC" w:rsidR="00BB2059" w:rsidRDefault="00BB2059" w:rsidP="00EB2A7C">
      <w:pPr>
        <w:spacing w:line="276" w:lineRule="auto"/>
        <w:jc w:val="both"/>
        <w:rPr>
          <w:rFonts w:ascii="Arial" w:hAnsi="Arial" w:cs="Arial"/>
          <w:sz w:val="24"/>
          <w:szCs w:val="24"/>
        </w:rPr>
      </w:pPr>
    </w:p>
    <w:p w14:paraId="24FBAA69" w14:textId="62E044C8" w:rsidR="00BB2059" w:rsidRDefault="00BB2059" w:rsidP="00EB2A7C">
      <w:pPr>
        <w:spacing w:line="276" w:lineRule="auto"/>
        <w:jc w:val="both"/>
        <w:rPr>
          <w:rFonts w:ascii="Arial" w:hAnsi="Arial" w:cs="Arial"/>
          <w:sz w:val="24"/>
          <w:szCs w:val="24"/>
        </w:rPr>
      </w:pPr>
    </w:p>
    <w:p w14:paraId="50BBAA63" w14:textId="5369E722" w:rsidR="00BB2059" w:rsidRDefault="00BB2059" w:rsidP="00EB2A7C">
      <w:pPr>
        <w:spacing w:line="276" w:lineRule="auto"/>
        <w:jc w:val="both"/>
        <w:rPr>
          <w:rFonts w:ascii="Arial" w:hAnsi="Arial" w:cs="Arial"/>
          <w:sz w:val="24"/>
          <w:szCs w:val="24"/>
        </w:rPr>
      </w:pPr>
    </w:p>
    <w:p w14:paraId="20D4F060" w14:textId="6C79AFA7" w:rsidR="00BB2059" w:rsidRDefault="00BB2059" w:rsidP="00EB2A7C">
      <w:pPr>
        <w:spacing w:line="276" w:lineRule="auto"/>
        <w:jc w:val="both"/>
        <w:rPr>
          <w:rFonts w:ascii="Arial" w:hAnsi="Arial" w:cs="Arial"/>
          <w:sz w:val="24"/>
          <w:szCs w:val="24"/>
        </w:rPr>
      </w:pPr>
    </w:p>
    <w:p w14:paraId="13547E00" w14:textId="293281E4" w:rsidR="00BB2059" w:rsidRDefault="00BB2059" w:rsidP="00EB2A7C">
      <w:pPr>
        <w:spacing w:line="276" w:lineRule="auto"/>
        <w:jc w:val="both"/>
        <w:rPr>
          <w:rFonts w:ascii="Arial" w:hAnsi="Arial" w:cs="Arial"/>
          <w:sz w:val="24"/>
          <w:szCs w:val="24"/>
        </w:rPr>
      </w:pPr>
    </w:p>
    <w:p w14:paraId="11ADBDB5" w14:textId="74BFAB05" w:rsidR="00BB2059" w:rsidRDefault="00BB2059" w:rsidP="00EB2A7C">
      <w:pPr>
        <w:spacing w:line="276" w:lineRule="auto"/>
        <w:jc w:val="both"/>
        <w:rPr>
          <w:rFonts w:ascii="Arial" w:hAnsi="Arial" w:cs="Arial"/>
          <w:sz w:val="24"/>
          <w:szCs w:val="24"/>
        </w:rPr>
      </w:pPr>
    </w:p>
    <w:p w14:paraId="7810E323" w14:textId="77777777" w:rsidR="00BB2059" w:rsidRDefault="00BB2059" w:rsidP="00EB2A7C">
      <w:pPr>
        <w:spacing w:line="276" w:lineRule="auto"/>
        <w:jc w:val="both"/>
        <w:rPr>
          <w:rFonts w:ascii="Arial" w:hAnsi="Arial" w:cs="Arial"/>
          <w:sz w:val="24"/>
          <w:szCs w:val="24"/>
        </w:rPr>
      </w:pPr>
    </w:p>
    <w:p w14:paraId="7D29C11B" w14:textId="7C1355E7" w:rsidR="004B3CF0" w:rsidRDefault="004B3CF0" w:rsidP="00EB2A7C">
      <w:pPr>
        <w:spacing w:line="276" w:lineRule="auto"/>
        <w:jc w:val="both"/>
        <w:rPr>
          <w:rFonts w:ascii="Arial" w:hAnsi="Arial" w:cs="Arial"/>
          <w:sz w:val="24"/>
          <w:szCs w:val="24"/>
        </w:rPr>
      </w:pPr>
    </w:p>
    <w:p w14:paraId="0CD36C18" w14:textId="25E67ADC" w:rsidR="004B3CF0" w:rsidRDefault="004B3CF0" w:rsidP="00EB2A7C">
      <w:pPr>
        <w:spacing w:line="276" w:lineRule="auto"/>
        <w:jc w:val="both"/>
        <w:rPr>
          <w:rFonts w:ascii="Arial" w:hAnsi="Arial" w:cs="Arial"/>
          <w:sz w:val="24"/>
          <w:szCs w:val="24"/>
        </w:rPr>
      </w:pPr>
    </w:p>
    <w:p w14:paraId="16040EDC" w14:textId="34BAC598" w:rsidR="004B3CF0" w:rsidRDefault="004B3CF0" w:rsidP="00EB2A7C">
      <w:pPr>
        <w:spacing w:line="276" w:lineRule="auto"/>
        <w:jc w:val="both"/>
        <w:rPr>
          <w:rFonts w:ascii="Arial" w:hAnsi="Arial" w:cs="Arial"/>
          <w:sz w:val="24"/>
          <w:szCs w:val="24"/>
        </w:rPr>
      </w:pPr>
    </w:p>
    <w:p w14:paraId="7C3B307B" w14:textId="05BFDDD7" w:rsidR="004B3CF0" w:rsidRDefault="004B3CF0" w:rsidP="00EB2A7C">
      <w:pPr>
        <w:spacing w:line="276" w:lineRule="auto"/>
        <w:jc w:val="both"/>
        <w:rPr>
          <w:rFonts w:ascii="Arial" w:hAnsi="Arial" w:cs="Arial"/>
          <w:sz w:val="24"/>
          <w:szCs w:val="24"/>
        </w:rPr>
      </w:pPr>
    </w:p>
    <w:p w14:paraId="2CAE3E06" w14:textId="338E3982" w:rsidR="004B3CF0" w:rsidRDefault="004B3CF0" w:rsidP="00EB2A7C">
      <w:pPr>
        <w:spacing w:line="276" w:lineRule="auto"/>
        <w:jc w:val="both"/>
        <w:rPr>
          <w:rFonts w:ascii="Arial" w:hAnsi="Arial" w:cs="Arial"/>
          <w:sz w:val="24"/>
          <w:szCs w:val="24"/>
        </w:rPr>
      </w:pPr>
    </w:p>
    <w:p w14:paraId="7240F515" w14:textId="4107240F" w:rsidR="004B3CF0" w:rsidRDefault="004B3CF0" w:rsidP="00EB2A7C">
      <w:pPr>
        <w:spacing w:line="276" w:lineRule="auto"/>
        <w:jc w:val="both"/>
        <w:rPr>
          <w:rFonts w:ascii="Arial" w:hAnsi="Arial" w:cs="Arial"/>
          <w:sz w:val="24"/>
          <w:szCs w:val="24"/>
        </w:rPr>
      </w:pPr>
    </w:p>
    <w:p w14:paraId="49FF2FFC" w14:textId="5DE0BCE6" w:rsidR="004B3CF0" w:rsidRDefault="004B3CF0" w:rsidP="00EB2A7C">
      <w:pPr>
        <w:spacing w:line="276" w:lineRule="auto"/>
        <w:jc w:val="both"/>
        <w:rPr>
          <w:rFonts w:ascii="Arial" w:hAnsi="Arial" w:cs="Arial"/>
          <w:sz w:val="24"/>
          <w:szCs w:val="24"/>
        </w:rPr>
      </w:pPr>
    </w:p>
    <w:p w14:paraId="11BBA20B" w14:textId="66443558" w:rsidR="004B3CF0" w:rsidRDefault="004B3CF0" w:rsidP="00EB2A7C">
      <w:pPr>
        <w:spacing w:line="276" w:lineRule="auto"/>
        <w:jc w:val="both"/>
        <w:rPr>
          <w:rFonts w:ascii="Arial" w:hAnsi="Arial" w:cs="Arial"/>
          <w:sz w:val="24"/>
          <w:szCs w:val="24"/>
        </w:rPr>
      </w:pPr>
    </w:p>
    <w:p w14:paraId="61BF5765" w14:textId="0488A326" w:rsidR="004B3CF0" w:rsidRDefault="004B3CF0" w:rsidP="00EB2A7C">
      <w:pPr>
        <w:spacing w:line="276" w:lineRule="auto"/>
        <w:jc w:val="both"/>
        <w:rPr>
          <w:rFonts w:ascii="Arial" w:hAnsi="Arial" w:cs="Arial"/>
          <w:sz w:val="24"/>
          <w:szCs w:val="24"/>
        </w:rPr>
      </w:pPr>
    </w:p>
    <w:p w14:paraId="08E79A09" w14:textId="380D0BB5" w:rsidR="004B3CF0" w:rsidRDefault="004B3CF0" w:rsidP="00EB2A7C">
      <w:pPr>
        <w:spacing w:line="276" w:lineRule="auto"/>
        <w:jc w:val="both"/>
        <w:rPr>
          <w:rFonts w:ascii="Arial" w:hAnsi="Arial" w:cs="Arial"/>
          <w:sz w:val="24"/>
          <w:szCs w:val="24"/>
        </w:rPr>
      </w:pPr>
    </w:p>
    <w:p w14:paraId="678700AF" w14:textId="413222EC" w:rsidR="004B3CF0" w:rsidRDefault="004B3CF0" w:rsidP="00EB2A7C">
      <w:pPr>
        <w:spacing w:line="276" w:lineRule="auto"/>
        <w:jc w:val="both"/>
        <w:rPr>
          <w:rFonts w:ascii="Arial" w:hAnsi="Arial" w:cs="Arial"/>
          <w:sz w:val="24"/>
          <w:szCs w:val="24"/>
        </w:rPr>
      </w:pPr>
    </w:p>
    <w:p w14:paraId="3B72A069" w14:textId="3780AC78" w:rsidR="004B3CF0" w:rsidRDefault="004B3CF0" w:rsidP="00EB2A7C">
      <w:pPr>
        <w:spacing w:line="276" w:lineRule="auto"/>
        <w:jc w:val="both"/>
        <w:rPr>
          <w:rFonts w:ascii="Arial" w:hAnsi="Arial" w:cs="Arial"/>
          <w:sz w:val="24"/>
          <w:szCs w:val="24"/>
        </w:rPr>
      </w:pPr>
    </w:p>
    <w:p w14:paraId="5E6546A4" w14:textId="6E53F39E" w:rsidR="004B3CF0" w:rsidRDefault="004B3CF0" w:rsidP="00EB2A7C">
      <w:pPr>
        <w:spacing w:line="276" w:lineRule="auto"/>
        <w:jc w:val="both"/>
        <w:rPr>
          <w:rFonts w:ascii="Arial" w:hAnsi="Arial" w:cs="Arial"/>
          <w:sz w:val="24"/>
          <w:szCs w:val="24"/>
        </w:rPr>
      </w:pPr>
    </w:p>
    <w:p w14:paraId="25B5DFC6" w14:textId="4D566DA5" w:rsidR="004B3CF0" w:rsidRDefault="004B3CF0" w:rsidP="00EB2A7C">
      <w:pPr>
        <w:spacing w:line="276" w:lineRule="auto"/>
        <w:jc w:val="both"/>
        <w:rPr>
          <w:rFonts w:ascii="Arial" w:hAnsi="Arial" w:cs="Arial"/>
          <w:sz w:val="24"/>
          <w:szCs w:val="24"/>
        </w:rPr>
      </w:pPr>
    </w:p>
    <w:p w14:paraId="07B92E0F" w14:textId="6628A421" w:rsidR="004B3CF0" w:rsidRDefault="004B3CF0" w:rsidP="00EB2A7C">
      <w:pPr>
        <w:spacing w:line="276" w:lineRule="auto"/>
        <w:jc w:val="both"/>
        <w:rPr>
          <w:rFonts w:ascii="Arial" w:hAnsi="Arial" w:cs="Arial"/>
          <w:sz w:val="24"/>
          <w:szCs w:val="24"/>
        </w:rPr>
      </w:pPr>
    </w:p>
    <w:p w14:paraId="3FF3B2B4" w14:textId="42D00D53" w:rsidR="0087283F" w:rsidRDefault="0076503E" w:rsidP="00EB2A7C">
      <w:pPr>
        <w:tabs>
          <w:tab w:val="left" w:pos="2420"/>
        </w:tabs>
        <w:rPr>
          <w:b/>
          <w:sz w:val="32"/>
          <w:szCs w:val="32"/>
        </w:rPr>
      </w:pPr>
      <w:r>
        <w:rPr>
          <w:rFonts w:ascii="Arial" w:hAnsi="Arial" w:cs="Arial"/>
          <w:noProof/>
          <w:color w:val="ED7D31" w:themeColor="accent2"/>
          <w:sz w:val="50"/>
          <w:szCs w:val="50"/>
          <w:lang w:val="en-US"/>
        </w:rPr>
        <w:lastRenderedPageBreak/>
        <mc:AlternateContent>
          <mc:Choice Requires="wps">
            <w:drawing>
              <wp:anchor distT="0" distB="0" distL="114300" distR="114300" simplePos="0" relativeHeight="255432702" behindDoc="0" locked="0" layoutInCell="1" allowOverlap="1" wp14:anchorId="435172A4" wp14:editId="09F2DC07">
                <wp:simplePos x="0" y="0"/>
                <wp:positionH relativeFrom="column">
                  <wp:posOffset>1621418</wp:posOffset>
                </wp:positionH>
                <wp:positionV relativeFrom="paragraph">
                  <wp:posOffset>-302063</wp:posOffset>
                </wp:positionV>
                <wp:extent cx="4335145" cy="834981"/>
                <wp:effectExtent l="0" t="0" r="0" b="0"/>
                <wp:wrapNone/>
                <wp:docPr id="365" name="Text Box 365"/>
                <wp:cNvGraphicFramePr/>
                <a:graphic xmlns:a="http://schemas.openxmlformats.org/drawingml/2006/main">
                  <a:graphicData uri="http://schemas.microsoft.com/office/word/2010/wordprocessingShape">
                    <wps:wsp>
                      <wps:cNvSpPr txBox="1"/>
                      <wps:spPr>
                        <a:xfrm>
                          <a:off x="0" y="0"/>
                          <a:ext cx="4335145" cy="834981"/>
                        </a:xfrm>
                        <a:prstGeom prst="rect">
                          <a:avLst/>
                        </a:prstGeom>
                        <a:noFill/>
                        <a:ln w="6350">
                          <a:noFill/>
                        </a:ln>
                      </wps:spPr>
                      <wps:txbx>
                        <w:txbxContent>
                          <w:p w14:paraId="42B96127" w14:textId="0F834379" w:rsidR="00D15FD8" w:rsidRPr="003543F3" w:rsidRDefault="00D15FD8" w:rsidP="0076503E">
                            <w:pPr>
                              <w:pStyle w:val="Heading1"/>
                              <w:rPr>
                                <w:rFonts w:ascii="Arial" w:hAnsi="Arial" w:cs="Arial"/>
                                <w:b/>
                                <w:bCs/>
                                <w:color w:val="FFFFFF" w:themeColor="background1"/>
                                <w:sz w:val="80"/>
                                <w:szCs w:val="80"/>
                                <w:lang w:val="en-US"/>
                              </w:rPr>
                            </w:pPr>
                            <w:bookmarkStart w:id="2533" w:name="_REFERENCES_1"/>
                            <w:bookmarkStart w:id="2534" w:name="_Toc125566946"/>
                            <w:bookmarkEnd w:id="2533"/>
                            <w:r>
                              <w:rPr>
                                <w:rFonts w:ascii="Arial" w:hAnsi="Arial" w:cs="Arial"/>
                                <w:b/>
                                <w:bCs/>
                                <w:color w:val="FFFFFF" w:themeColor="background1"/>
                                <w:sz w:val="80"/>
                                <w:szCs w:val="80"/>
                                <w:lang w:val="en-US"/>
                              </w:rPr>
                              <w:t>REFERENCES</w:t>
                            </w:r>
                            <w:bookmarkEnd w:id="25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5172A4" id="Text Box 365" o:spid="_x0000_s1713" type="#_x0000_t202" style="position:absolute;margin-left:127.65pt;margin-top:-23.8pt;width:341.35pt;height:65.75pt;z-index:2554327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" filled="f" stroked="f" strokeweight=".5pt">
                <v:textbox>
                  <w:txbxContent>
                    <w:p w14:paraId="42B96127" w14:textId="0F834379" w:rsidR="00D15FD8" w:rsidRPr="003543F3" w:rsidRDefault="00D15FD8" w:rsidP="0076503E">
                      <w:pPr>
                        <w:pStyle w:val="Heading1"/>
                        <w:rPr>
                          <w:rFonts w:ascii="Arial" w:hAnsi="Arial" w:cs="Arial"/>
                          <w:b/>
                          <w:bCs/>
                          <w:color w:val="FFFFFF" w:themeColor="background1"/>
                          <w:sz w:val="80"/>
                          <w:szCs w:val="80"/>
                          <w:lang w:val="en-US"/>
                        </w:rPr>
                      </w:pPr>
                      <w:bookmarkStart w:id="2535" w:name="_REFERENCES_1"/>
                      <w:bookmarkStart w:id="2536" w:name="_Toc125566946"/>
                      <w:bookmarkEnd w:id="2535"/>
                      <w:r>
                        <w:rPr>
                          <w:rFonts w:ascii="Arial" w:hAnsi="Arial" w:cs="Arial"/>
                          <w:b/>
                          <w:bCs/>
                          <w:color w:val="FFFFFF" w:themeColor="background1"/>
                          <w:sz w:val="80"/>
                          <w:szCs w:val="80"/>
                          <w:lang w:val="en-US"/>
                        </w:rPr>
                        <w:t>REFERENCES</w:t>
                      </w:r>
                      <w:bookmarkEnd w:id="2536"/>
                    </w:p>
                  </w:txbxContent>
                </v:textbox>
              </v:shape>
            </w:pict>
          </mc:Fallback>
        </mc:AlternateContent>
      </w:r>
      <w:r>
        <w:rPr>
          <w:rFonts w:cstheme="minorHAnsi"/>
          <w:b/>
          <w:noProof/>
          <w:color w:val="FF5500"/>
          <w:sz w:val="24"/>
          <w:lang w:val="en-US"/>
        </w:rPr>
        <w:drawing>
          <wp:anchor distT="0" distB="0" distL="114300" distR="114300" simplePos="0" relativeHeight="255431678" behindDoc="1" locked="0" layoutInCell="1" allowOverlap="1" wp14:anchorId="58DDB555" wp14:editId="626F090A">
            <wp:simplePos x="0" y="0"/>
            <wp:positionH relativeFrom="column">
              <wp:posOffset>-504081</wp:posOffset>
            </wp:positionH>
            <wp:positionV relativeFrom="paragraph">
              <wp:posOffset>-807720</wp:posOffset>
            </wp:positionV>
            <wp:extent cx="7693572" cy="1884741"/>
            <wp:effectExtent l="0" t="0" r="3175"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7693572" cy="18847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631E2C" w14:textId="49FDC70F" w:rsidR="0076503E" w:rsidRDefault="0076503E" w:rsidP="00EB2A7C">
      <w:pPr>
        <w:tabs>
          <w:tab w:val="left" w:pos="2420"/>
        </w:tabs>
        <w:rPr>
          <w:rFonts w:ascii="Arial" w:hAnsi="Arial" w:cs="Arial"/>
          <w:sz w:val="24"/>
          <w:szCs w:val="24"/>
          <w:lang w:val="en-US"/>
        </w:rPr>
      </w:pPr>
    </w:p>
    <w:p w14:paraId="6D45C7F6" w14:textId="7C3420EC" w:rsidR="0076503E" w:rsidRDefault="0076503E" w:rsidP="00B96D99">
      <w:pPr>
        <w:pStyle w:val="FootnoteText"/>
        <w:jc w:val="both"/>
        <w:rPr>
          <w:rFonts w:ascii="Arial" w:hAnsi="Arial" w:cs="Arial"/>
          <w:lang w:val="en-ZA"/>
        </w:rPr>
      </w:pPr>
    </w:p>
    <w:p w14:paraId="2721F012" w14:textId="033222C5" w:rsidR="0076503E" w:rsidRDefault="0076503E" w:rsidP="00B96D99">
      <w:pPr>
        <w:pStyle w:val="FootnoteText"/>
        <w:jc w:val="both"/>
        <w:rPr>
          <w:rFonts w:ascii="Arial" w:hAnsi="Arial" w:cs="Arial"/>
          <w:lang w:val="en-ZA"/>
        </w:rPr>
      </w:pPr>
    </w:p>
    <w:p w14:paraId="13146CCE" w14:textId="1A618E2B" w:rsidR="0076503E" w:rsidRDefault="0076503E" w:rsidP="00B96D99">
      <w:pPr>
        <w:pStyle w:val="FootnoteText"/>
        <w:jc w:val="both"/>
        <w:rPr>
          <w:rFonts w:ascii="Arial" w:hAnsi="Arial" w:cs="Arial"/>
          <w:lang w:val="en-ZA"/>
        </w:rPr>
      </w:pPr>
    </w:p>
    <w:p w14:paraId="467130F2" w14:textId="2922096D" w:rsidR="0076503E" w:rsidRDefault="0076503E" w:rsidP="00B96D99">
      <w:pPr>
        <w:pStyle w:val="FootnoteText"/>
        <w:jc w:val="both"/>
        <w:rPr>
          <w:rFonts w:ascii="Arial" w:hAnsi="Arial" w:cs="Arial"/>
          <w:lang w:val="en-ZA"/>
        </w:rPr>
      </w:pPr>
    </w:p>
    <w:p w14:paraId="777B2150" w14:textId="77777777" w:rsidR="0076503E" w:rsidRDefault="0076503E" w:rsidP="00B96D99">
      <w:pPr>
        <w:pStyle w:val="FootnoteText"/>
        <w:jc w:val="both"/>
        <w:rPr>
          <w:rFonts w:ascii="Arial" w:hAnsi="Arial" w:cs="Arial"/>
          <w:lang w:val="en-ZA"/>
        </w:rPr>
      </w:pPr>
    </w:p>
    <w:p w14:paraId="7FA8CA1A" w14:textId="77777777" w:rsidR="0076503E" w:rsidRDefault="0076503E" w:rsidP="00B96D99">
      <w:pPr>
        <w:pStyle w:val="FootnoteText"/>
        <w:jc w:val="both"/>
        <w:rPr>
          <w:rFonts w:ascii="Arial" w:hAnsi="Arial" w:cs="Arial"/>
          <w:lang w:val="en-ZA"/>
        </w:rPr>
      </w:pPr>
    </w:p>
    <w:p w14:paraId="5A6B17E1" w14:textId="6D43CCC9" w:rsidR="00EA1916" w:rsidRPr="0076503E" w:rsidRDefault="00EA1916" w:rsidP="00B96D99">
      <w:pPr>
        <w:pStyle w:val="FootnoteText"/>
        <w:jc w:val="both"/>
        <w:rPr>
          <w:rFonts w:ascii="Arial" w:hAnsi="Arial" w:cs="Arial"/>
        </w:rPr>
      </w:pPr>
      <w:r w:rsidRPr="0076503E">
        <w:rPr>
          <w:rFonts w:ascii="Arial" w:hAnsi="Arial" w:cs="Arial"/>
          <w:lang w:val="en-ZA"/>
        </w:rPr>
        <w:t>Andrews, M. (2010). “</w:t>
      </w:r>
      <w:hyperlink r:id="rId1444" w:history="1">
        <w:r w:rsidRPr="0076503E">
          <w:rPr>
            <w:rStyle w:val="Hyperlink"/>
            <w:rFonts w:ascii="Arial" w:hAnsi="Arial" w:cs="Arial"/>
            <w:lang w:val="en-ZA"/>
          </w:rPr>
          <w:t>How Far Have Public Financial Management Reforms Come in Africa?”</w:t>
        </w:r>
      </w:hyperlink>
      <w:r w:rsidR="006A68FB" w:rsidRPr="006A68FB">
        <w:rPr>
          <w:rStyle w:val="Hyperlink"/>
          <w:rFonts w:ascii="Arial" w:hAnsi="Arial" w:cs="Arial"/>
          <w:color w:val="auto"/>
          <w:u w:val="none"/>
          <w:lang w:val="en-ZA"/>
        </w:rPr>
        <w:t>.</w:t>
      </w:r>
      <w:r w:rsidRPr="0076503E">
        <w:rPr>
          <w:rFonts w:ascii="Arial" w:hAnsi="Arial" w:cs="Arial"/>
          <w:lang w:val="en-ZA"/>
        </w:rPr>
        <w:t xml:space="preserve"> </w:t>
      </w:r>
      <w:r w:rsidRPr="0076503E">
        <w:rPr>
          <w:rFonts w:ascii="Arial" w:hAnsi="Arial" w:cs="Arial"/>
        </w:rPr>
        <w:t>John F. Kennedy School of Government, Harvard University.</w:t>
      </w:r>
    </w:p>
    <w:p w14:paraId="4A909132" w14:textId="77777777" w:rsidR="00EA1916" w:rsidRPr="0076503E" w:rsidRDefault="00EA1916" w:rsidP="00B96D99">
      <w:pPr>
        <w:pStyle w:val="FootnoteText"/>
        <w:jc w:val="both"/>
        <w:rPr>
          <w:rFonts w:ascii="Arial" w:hAnsi="Arial" w:cs="Arial"/>
        </w:rPr>
      </w:pPr>
    </w:p>
    <w:p w14:paraId="2C372031" w14:textId="305B4B6B" w:rsidR="00340613" w:rsidRPr="0076503E" w:rsidRDefault="00340613" w:rsidP="00B96D99">
      <w:pPr>
        <w:pStyle w:val="FootnoteText"/>
        <w:jc w:val="both"/>
        <w:rPr>
          <w:rFonts w:ascii="Arial" w:hAnsi="Arial" w:cs="Arial"/>
        </w:rPr>
      </w:pPr>
      <w:r w:rsidRPr="0076503E">
        <w:rPr>
          <w:rFonts w:ascii="Arial" w:hAnsi="Arial" w:cs="Arial"/>
        </w:rPr>
        <w:t xml:space="preserve">Avis, E., </w:t>
      </w:r>
      <w:proofErr w:type="spellStart"/>
      <w:r w:rsidRPr="0076503E">
        <w:rPr>
          <w:rFonts w:ascii="Arial" w:hAnsi="Arial" w:cs="Arial"/>
        </w:rPr>
        <w:t>Ferraz</w:t>
      </w:r>
      <w:proofErr w:type="spellEnd"/>
      <w:r w:rsidRPr="0076503E">
        <w:rPr>
          <w:rFonts w:ascii="Arial" w:hAnsi="Arial" w:cs="Arial"/>
        </w:rPr>
        <w:t xml:space="preserve">, C., and </w:t>
      </w:r>
      <w:proofErr w:type="spellStart"/>
      <w:r w:rsidRPr="0076503E">
        <w:rPr>
          <w:rFonts w:ascii="Arial" w:hAnsi="Arial" w:cs="Arial"/>
        </w:rPr>
        <w:t>Finan</w:t>
      </w:r>
      <w:proofErr w:type="spellEnd"/>
      <w:r w:rsidRPr="0076503E">
        <w:rPr>
          <w:rFonts w:ascii="Arial" w:hAnsi="Arial" w:cs="Arial"/>
        </w:rPr>
        <w:t>, F. (2018). “</w:t>
      </w:r>
      <w:hyperlink r:id="rId1445" w:history="1">
        <w:r w:rsidRPr="0076503E">
          <w:rPr>
            <w:rStyle w:val="Hyperlink"/>
            <w:rFonts w:ascii="Arial" w:hAnsi="Arial" w:cs="Arial"/>
          </w:rPr>
          <w:t>Do government audits reduce corruption? Estimating the impacts of exposing corrupt politicians</w:t>
        </w:r>
      </w:hyperlink>
      <w:r w:rsidRPr="0076503E">
        <w:rPr>
          <w:rFonts w:ascii="Arial" w:hAnsi="Arial" w:cs="Arial"/>
        </w:rPr>
        <w:t>”</w:t>
      </w:r>
      <w:r w:rsidR="00CC045F">
        <w:rPr>
          <w:rFonts w:ascii="Arial" w:hAnsi="Arial" w:cs="Arial"/>
        </w:rPr>
        <w:t>.</w:t>
      </w:r>
      <w:r w:rsidRPr="0076503E">
        <w:rPr>
          <w:rFonts w:ascii="Arial" w:hAnsi="Arial" w:cs="Arial"/>
        </w:rPr>
        <w:t> Journal of Political Economy 126, no. 5: 1912–1964.</w:t>
      </w:r>
    </w:p>
    <w:p w14:paraId="7843C2CC" w14:textId="77777777" w:rsidR="00340613" w:rsidRPr="0076503E" w:rsidRDefault="00340613" w:rsidP="00B96D99">
      <w:pPr>
        <w:pStyle w:val="FootnoteText"/>
        <w:jc w:val="both"/>
        <w:rPr>
          <w:rFonts w:ascii="Arial" w:hAnsi="Arial" w:cs="Arial"/>
        </w:rPr>
      </w:pPr>
    </w:p>
    <w:p w14:paraId="6EC2A935" w14:textId="452BA41D" w:rsidR="00F92B95" w:rsidRPr="0076503E" w:rsidRDefault="00F92B95" w:rsidP="00B96D99">
      <w:pPr>
        <w:pStyle w:val="FootnoteText"/>
        <w:jc w:val="both"/>
        <w:rPr>
          <w:rFonts w:ascii="Arial" w:hAnsi="Arial" w:cs="Arial"/>
          <w:lang w:val="en-US"/>
        </w:rPr>
      </w:pPr>
      <w:r w:rsidRPr="0076503E">
        <w:rPr>
          <w:rFonts w:ascii="Arial" w:hAnsi="Arial" w:cs="Arial"/>
        </w:rPr>
        <w:t>Baker, A., and Murphy, R. (2021). “</w:t>
      </w:r>
      <w:hyperlink r:id="rId1446" w:history="1">
        <w:r w:rsidRPr="0076503E">
          <w:rPr>
            <w:rStyle w:val="Hyperlink"/>
            <w:rFonts w:ascii="Arial" w:hAnsi="Arial" w:cs="Arial"/>
            <w:iCs/>
          </w:rPr>
          <w:t>Making Tax Work: A Framework for Enhancing Tax Transparency</w:t>
        </w:r>
      </w:hyperlink>
      <w:r w:rsidRPr="0076503E">
        <w:rPr>
          <w:rFonts w:ascii="Arial" w:hAnsi="Arial" w:cs="Arial"/>
        </w:rPr>
        <w:t>”</w:t>
      </w:r>
      <w:r w:rsidR="00CC045F">
        <w:rPr>
          <w:rFonts w:ascii="Arial" w:hAnsi="Arial" w:cs="Arial"/>
        </w:rPr>
        <w:t>.</w:t>
      </w:r>
      <w:r w:rsidRPr="0076503E">
        <w:rPr>
          <w:rFonts w:ascii="Arial" w:hAnsi="Arial" w:cs="Arial"/>
        </w:rPr>
        <w:t xml:space="preserve"> GIFT</w:t>
      </w:r>
    </w:p>
    <w:p w14:paraId="2868C949" w14:textId="77777777" w:rsidR="00F92B95" w:rsidRPr="0076503E" w:rsidRDefault="00F92B95" w:rsidP="00B96D99">
      <w:pPr>
        <w:pStyle w:val="FootnoteText"/>
        <w:jc w:val="both"/>
        <w:rPr>
          <w:rFonts w:ascii="Arial" w:hAnsi="Arial" w:cs="Arial"/>
          <w:lang w:val="en-US"/>
        </w:rPr>
      </w:pPr>
    </w:p>
    <w:p w14:paraId="3C185F22" w14:textId="4EF35B51" w:rsidR="00AC49A1" w:rsidRPr="0076503E" w:rsidRDefault="00AC49A1" w:rsidP="00B96D99">
      <w:pPr>
        <w:pStyle w:val="FootnoteText"/>
        <w:jc w:val="both"/>
        <w:rPr>
          <w:rFonts w:ascii="Arial" w:hAnsi="Arial" w:cs="Arial"/>
          <w:lang w:val="en-US"/>
        </w:rPr>
      </w:pPr>
      <w:r w:rsidRPr="0076503E">
        <w:rPr>
          <w:rFonts w:ascii="Arial" w:hAnsi="Arial" w:cs="Arial"/>
        </w:rPr>
        <w:t>Baker, A., Murphy, R., Ferreira, R., Guerrero, J.P. (2022).</w:t>
      </w:r>
      <w:r w:rsidRPr="0076503E">
        <w:rPr>
          <w:rFonts w:ascii="Arial" w:hAnsi="Arial" w:cs="Arial"/>
          <w:vertAlign w:val="superscript"/>
        </w:rPr>
        <w:t xml:space="preserve"> “</w:t>
      </w:r>
      <w:hyperlink r:id="rId1447" w:history="1">
        <w:r w:rsidRPr="0076503E">
          <w:rPr>
            <w:rStyle w:val="Hyperlink"/>
            <w:rFonts w:ascii="Arial" w:hAnsi="Arial" w:cs="Arial"/>
          </w:rPr>
          <w:t>Developing and Using Global Tax Transparency Principles</w:t>
        </w:r>
      </w:hyperlink>
      <w:r w:rsidRPr="0076503E">
        <w:rPr>
          <w:rFonts w:ascii="Arial" w:hAnsi="Arial" w:cs="Arial"/>
        </w:rPr>
        <w:t>”. GIFT/IMF Blog.</w:t>
      </w:r>
    </w:p>
    <w:p w14:paraId="468A2AAD" w14:textId="77777777" w:rsidR="00AC49A1" w:rsidRPr="0076503E" w:rsidRDefault="00AC49A1" w:rsidP="00B96D99">
      <w:pPr>
        <w:pStyle w:val="FootnoteText"/>
        <w:jc w:val="both"/>
        <w:rPr>
          <w:rFonts w:ascii="Arial" w:hAnsi="Arial" w:cs="Arial"/>
          <w:lang w:val="en-US"/>
        </w:rPr>
      </w:pPr>
    </w:p>
    <w:p w14:paraId="4E4E6AED" w14:textId="3C7110C8" w:rsidR="00340613" w:rsidRPr="0076503E" w:rsidRDefault="00340613" w:rsidP="00B96D99">
      <w:pPr>
        <w:pStyle w:val="FootnoteText"/>
        <w:jc w:val="both"/>
        <w:rPr>
          <w:rFonts w:ascii="Arial" w:hAnsi="Arial" w:cs="Arial"/>
          <w:lang w:val="en-US"/>
        </w:rPr>
      </w:pPr>
      <w:proofErr w:type="spellStart"/>
      <w:r w:rsidRPr="0076503E">
        <w:rPr>
          <w:rFonts w:ascii="Arial" w:hAnsi="Arial" w:cs="Arial"/>
          <w:lang w:val="en-US"/>
        </w:rPr>
        <w:t>Bauhr</w:t>
      </w:r>
      <w:proofErr w:type="spellEnd"/>
      <w:r w:rsidRPr="0076503E">
        <w:rPr>
          <w:rFonts w:ascii="Arial" w:hAnsi="Arial" w:cs="Arial"/>
          <w:lang w:val="en-US"/>
        </w:rPr>
        <w:t xml:space="preserve">, M., </w:t>
      </w:r>
      <w:proofErr w:type="spellStart"/>
      <w:r w:rsidRPr="0076503E">
        <w:rPr>
          <w:rFonts w:ascii="Arial" w:hAnsi="Arial" w:cs="Arial"/>
          <w:lang w:val="en-US"/>
        </w:rPr>
        <w:t>Czibik</w:t>
      </w:r>
      <w:proofErr w:type="spellEnd"/>
      <w:r w:rsidRPr="0076503E">
        <w:rPr>
          <w:rFonts w:ascii="Arial" w:hAnsi="Arial" w:cs="Arial"/>
          <w:lang w:val="en-US"/>
        </w:rPr>
        <w:t>, Á., de Fine Licht, J., and Fazekas, M. (2020). “</w:t>
      </w:r>
      <w:hyperlink r:id="rId1448" w:history="1">
        <w:r w:rsidRPr="0076503E">
          <w:rPr>
            <w:rStyle w:val="Hyperlink"/>
            <w:rFonts w:ascii="Arial" w:hAnsi="Arial" w:cs="Arial"/>
            <w:lang w:val="en-US"/>
          </w:rPr>
          <w:t>Lights on the shadows of public procurement: Transparency as an antidote to corruption</w:t>
        </w:r>
      </w:hyperlink>
      <w:r w:rsidRPr="0076503E">
        <w:rPr>
          <w:rFonts w:ascii="Arial" w:hAnsi="Arial" w:cs="Arial"/>
          <w:lang w:val="en-US"/>
        </w:rPr>
        <w:t>”</w:t>
      </w:r>
      <w:r w:rsidR="00CC045F">
        <w:rPr>
          <w:rFonts w:ascii="Arial" w:hAnsi="Arial" w:cs="Arial"/>
          <w:lang w:val="en-US"/>
        </w:rPr>
        <w:t>.</w:t>
      </w:r>
      <w:r w:rsidRPr="0076503E">
        <w:rPr>
          <w:rFonts w:ascii="Arial" w:hAnsi="Arial" w:cs="Arial"/>
          <w:lang w:val="en-US"/>
        </w:rPr>
        <w:t xml:space="preserve"> Governance 33, no. 3: 495–523. </w:t>
      </w:r>
    </w:p>
    <w:p w14:paraId="07599D02" w14:textId="31B2BD91" w:rsidR="00CF3D5A" w:rsidRPr="0076503E" w:rsidRDefault="00CF3D5A" w:rsidP="00B96D99">
      <w:pPr>
        <w:pStyle w:val="FootnoteText"/>
        <w:jc w:val="both"/>
        <w:rPr>
          <w:rFonts w:ascii="Arial" w:hAnsi="Arial" w:cs="Arial"/>
          <w:lang w:val="en-US"/>
        </w:rPr>
      </w:pPr>
    </w:p>
    <w:p w14:paraId="084BC619" w14:textId="77777777" w:rsidR="00CF3D5A" w:rsidRPr="0076503E" w:rsidRDefault="00CF3D5A" w:rsidP="00B96D99">
      <w:pPr>
        <w:pStyle w:val="FootnoteText"/>
        <w:jc w:val="both"/>
        <w:rPr>
          <w:rFonts w:ascii="Arial" w:hAnsi="Arial" w:cs="Arial"/>
          <w:lang w:val="en-ZA"/>
        </w:rPr>
      </w:pPr>
      <w:r w:rsidRPr="0076503E">
        <w:rPr>
          <w:rFonts w:ascii="Arial" w:hAnsi="Arial" w:cs="Arial"/>
        </w:rPr>
        <w:t xml:space="preserve">Baum, A., </w:t>
      </w:r>
      <w:proofErr w:type="spellStart"/>
      <w:r w:rsidRPr="0076503E">
        <w:rPr>
          <w:rFonts w:ascii="Arial" w:hAnsi="Arial" w:cs="Arial"/>
        </w:rPr>
        <w:t>Medas</w:t>
      </w:r>
      <w:proofErr w:type="spellEnd"/>
      <w:r w:rsidRPr="0076503E">
        <w:rPr>
          <w:rFonts w:ascii="Arial" w:hAnsi="Arial" w:cs="Arial"/>
        </w:rPr>
        <w:t>, P., Soler, A., and Sy, M. (2020). “</w:t>
      </w:r>
      <w:hyperlink r:id="rId1449" w:history="1">
        <w:r w:rsidRPr="0076503E">
          <w:rPr>
            <w:rStyle w:val="Hyperlink"/>
            <w:rFonts w:ascii="Arial" w:hAnsi="Arial" w:cs="Arial"/>
          </w:rPr>
          <w:t>Managing Fiscal Risks from State-Owned Enterprises</w:t>
        </w:r>
      </w:hyperlink>
      <w:r w:rsidRPr="0076503E">
        <w:rPr>
          <w:rFonts w:ascii="Arial" w:hAnsi="Arial" w:cs="Arial"/>
        </w:rPr>
        <w:t>”. IMF working paper.</w:t>
      </w:r>
    </w:p>
    <w:p w14:paraId="4C78179A" w14:textId="77F00129" w:rsidR="007E7E65" w:rsidRPr="0076503E" w:rsidRDefault="007E7E65" w:rsidP="00B96D99">
      <w:pPr>
        <w:pStyle w:val="FootnoteText"/>
        <w:jc w:val="both"/>
        <w:rPr>
          <w:rFonts w:ascii="Arial" w:hAnsi="Arial" w:cs="Arial"/>
          <w:lang w:val="en-US"/>
        </w:rPr>
      </w:pPr>
    </w:p>
    <w:p w14:paraId="739D9254" w14:textId="2A075A19" w:rsidR="007E7E65" w:rsidRPr="0076503E" w:rsidRDefault="007E7E65" w:rsidP="00B96D99">
      <w:pPr>
        <w:pStyle w:val="FootnoteText"/>
        <w:jc w:val="both"/>
        <w:rPr>
          <w:rFonts w:ascii="Arial" w:hAnsi="Arial" w:cs="Arial"/>
          <w:lang w:val="en-ZA"/>
        </w:rPr>
      </w:pPr>
      <w:proofErr w:type="spellStart"/>
      <w:r w:rsidRPr="0076503E">
        <w:rPr>
          <w:rFonts w:ascii="Arial" w:hAnsi="Arial" w:cs="Arial"/>
        </w:rPr>
        <w:t>Cokluk</w:t>
      </w:r>
      <w:proofErr w:type="spellEnd"/>
      <w:r w:rsidRPr="0076503E">
        <w:rPr>
          <w:rFonts w:ascii="Arial" w:hAnsi="Arial" w:cs="Arial"/>
        </w:rPr>
        <w:t xml:space="preserve"> </w:t>
      </w:r>
      <w:proofErr w:type="spellStart"/>
      <w:r w:rsidRPr="0076503E">
        <w:rPr>
          <w:rFonts w:ascii="Arial" w:hAnsi="Arial" w:cs="Arial"/>
        </w:rPr>
        <w:t>Comert</w:t>
      </w:r>
      <w:proofErr w:type="spellEnd"/>
      <w:r w:rsidRPr="0076503E">
        <w:rPr>
          <w:rFonts w:ascii="Arial" w:hAnsi="Arial" w:cs="Arial"/>
        </w:rPr>
        <w:t>, N. (2019).”</w:t>
      </w:r>
      <w:hyperlink r:id="rId1450" w:history="1">
        <w:r w:rsidRPr="0076503E">
          <w:rPr>
            <w:rStyle w:val="Hyperlink"/>
            <w:rFonts w:ascii="Arial" w:hAnsi="Arial" w:cs="Arial"/>
          </w:rPr>
          <w:t>Postmodern Status of New Social Movements: A Research on Yellow Vests</w:t>
        </w:r>
      </w:hyperlink>
      <w:r w:rsidRPr="0076503E">
        <w:rPr>
          <w:rFonts w:ascii="Arial" w:hAnsi="Arial" w:cs="Arial"/>
        </w:rPr>
        <w:t>”</w:t>
      </w:r>
      <w:r w:rsidR="00874C47">
        <w:rPr>
          <w:rFonts w:ascii="Arial" w:hAnsi="Arial" w:cs="Arial"/>
        </w:rPr>
        <w:t>.</w:t>
      </w:r>
      <w:r w:rsidRPr="0076503E">
        <w:rPr>
          <w:rFonts w:ascii="Arial" w:hAnsi="Arial" w:cs="Arial"/>
        </w:rPr>
        <w:t xml:space="preserve"> Istanbul University Journal of Communication Sciences.</w:t>
      </w:r>
    </w:p>
    <w:p w14:paraId="4D697116" w14:textId="347CD2B1" w:rsidR="007E7E65" w:rsidRPr="0076503E" w:rsidRDefault="007E7E65" w:rsidP="00B96D99">
      <w:pPr>
        <w:pStyle w:val="FootnoteText"/>
        <w:jc w:val="both"/>
        <w:rPr>
          <w:rFonts w:ascii="Arial" w:hAnsi="Arial" w:cs="Arial"/>
          <w:lang w:val="en-US"/>
        </w:rPr>
      </w:pPr>
    </w:p>
    <w:p w14:paraId="3A81B8A5" w14:textId="6E2D341B" w:rsidR="00B22899" w:rsidRPr="0076503E" w:rsidRDefault="00B22899" w:rsidP="00B96D99">
      <w:pPr>
        <w:pStyle w:val="FootnoteText"/>
        <w:jc w:val="both"/>
        <w:rPr>
          <w:rStyle w:val="Hyperlink"/>
          <w:rFonts w:ascii="Arial" w:hAnsi="Arial" w:cs="Arial"/>
          <w:lang w:val="en-US"/>
        </w:rPr>
      </w:pPr>
      <w:r w:rsidRPr="0076503E">
        <w:rPr>
          <w:rFonts w:ascii="Arial" w:hAnsi="Arial" w:cs="Arial"/>
          <w:bCs/>
        </w:rPr>
        <w:t xml:space="preserve">Collaborative Africa Budget Reform Initiative. (2011). </w:t>
      </w:r>
      <w:hyperlink r:id="rId1451" w:history="1">
        <w:r w:rsidRPr="0076503E">
          <w:rPr>
            <w:rStyle w:val="Hyperlink"/>
            <w:rFonts w:ascii="Arial" w:hAnsi="Arial" w:cs="Arial"/>
            <w:lang w:val="en-US"/>
          </w:rPr>
          <w:t>Declaration on Good Public Financial Governance in Africa</w:t>
        </w:r>
      </w:hyperlink>
      <w:r w:rsidRPr="0076503E">
        <w:rPr>
          <w:rStyle w:val="Hyperlink"/>
          <w:rFonts w:ascii="Arial" w:hAnsi="Arial" w:cs="Arial"/>
          <w:lang w:val="en-US"/>
        </w:rPr>
        <w:t>.</w:t>
      </w:r>
    </w:p>
    <w:p w14:paraId="5734EE10" w14:textId="4E2588F1" w:rsidR="00CF3D5A" w:rsidRPr="0076503E" w:rsidRDefault="00CF3D5A" w:rsidP="00B96D99">
      <w:pPr>
        <w:pStyle w:val="FootnoteText"/>
        <w:jc w:val="both"/>
        <w:rPr>
          <w:rStyle w:val="Hyperlink"/>
          <w:rFonts w:ascii="Arial" w:hAnsi="Arial" w:cs="Arial"/>
          <w:lang w:val="en-US"/>
        </w:rPr>
      </w:pPr>
    </w:p>
    <w:p w14:paraId="09CBC9D8" w14:textId="1AFC8379" w:rsidR="001E39F4" w:rsidRPr="0076503E" w:rsidRDefault="001E39F4" w:rsidP="00B96D99">
      <w:pPr>
        <w:pStyle w:val="FootnoteText"/>
        <w:jc w:val="both"/>
        <w:rPr>
          <w:rFonts w:ascii="Arial" w:hAnsi="Arial" w:cs="Arial"/>
          <w:bCs/>
        </w:rPr>
      </w:pPr>
      <w:r w:rsidRPr="0076503E">
        <w:rPr>
          <w:rFonts w:ascii="Arial" w:hAnsi="Arial" w:cs="Arial"/>
          <w:bCs/>
        </w:rPr>
        <w:t xml:space="preserve">Collaborative Africa Budget Reform Initiative. (2011). </w:t>
      </w:r>
      <w:hyperlink r:id="rId1452" w:history="1">
        <w:r w:rsidRPr="0076503E">
          <w:rPr>
            <w:rStyle w:val="Hyperlink"/>
            <w:rFonts w:ascii="Arial" w:hAnsi="Arial" w:cs="Arial"/>
            <w:bCs/>
            <w:lang w:val="en-US"/>
          </w:rPr>
          <w:t>CABRI position on Aid Transparency</w:t>
        </w:r>
      </w:hyperlink>
      <w:r w:rsidRPr="0076503E">
        <w:rPr>
          <w:rFonts w:ascii="Arial" w:hAnsi="Arial" w:cs="Arial"/>
          <w:bCs/>
        </w:rPr>
        <w:t>.</w:t>
      </w:r>
    </w:p>
    <w:p w14:paraId="644C8AC7" w14:textId="4D566343" w:rsidR="001E39F4" w:rsidRPr="0076503E" w:rsidRDefault="001E39F4" w:rsidP="00B96D99">
      <w:pPr>
        <w:pStyle w:val="FootnoteText"/>
        <w:jc w:val="both"/>
        <w:rPr>
          <w:rFonts w:ascii="Arial" w:hAnsi="Arial" w:cs="Arial"/>
          <w:bCs/>
        </w:rPr>
      </w:pPr>
    </w:p>
    <w:p w14:paraId="062AEEF7" w14:textId="38477B25" w:rsidR="001E39F4" w:rsidRPr="0076503E" w:rsidRDefault="001E39F4" w:rsidP="00B96D99">
      <w:pPr>
        <w:pStyle w:val="FootnoteText"/>
        <w:jc w:val="both"/>
        <w:rPr>
          <w:rFonts w:ascii="Arial" w:hAnsi="Arial" w:cs="Arial"/>
          <w:bCs/>
        </w:rPr>
      </w:pPr>
      <w:r w:rsidRPr="0076503E">
        <w:rPr>
          <w:rFonts w:ascii="Arial" w:hAnsi="Arial" w:cs="Arial"/>
          <w:bCs/>
        </w:rPr>
        <w:t xml:space="preserve">Collaborative Africa Budget Reform Initiative. (2014). </w:t>
      </w:r>
      <w:hyperlink r:id="rId1453" w:history="1">
        <w:r w:rsidRPr="0076503E">
          <w:rPr>
            <w:rStyle w:val="Hyperlink"/>
            <w:rFonts w:ascii="Arial" w:hAnsi="Arial" w:cs="Arial"/>
            <w:bCs/>
            <w:lang w:val="en-ZA"/>
          </w:rPr>
          <w:t>Towards a greater use of country systems in Africa: Recent trends and approaches: Synthesis report</w:t>
        </w:r>
      </w:hyperlink>
      <w:r w:rsidRPr="0076503E">
        <w:rPr>
          <w:rFonts w:ascii="Arial" w:hAnsi="Arial" w:cs="Arial"/>
          <w:bCs/>
          <w:lang w:val="en-ZA"/>
        </w:rPr>
        <w:t>.</w:t>
      </w:r>
    </w:p>
    <w:p w14:paraId="10B4AC3F" w14:textId="77777777" w:rsidR="001E39F4" w:rsidRPr="0076503E" w:rsidRDefault="001E39F4" w:rsidP="00B96D99">
      <w:pPr>
        <w:pStyle w:val="FootnoteText"/>
        <w:jc w:val="both"/>
        <w:rPr>
          <w:rFonts w:ascii="Arial" w:hAnsi="Arial" w:cs="Arial"/>
          <w:bCs/>
        </w:rPr>
      </w:pPr>
    </w:p>
    <w:p w14:paraId="110376B2" w14:textId="4E7C46CB" w:rsidR="00CF3D5A" w:rsidRPr="0076503E" w:rsidRDefault="00CF3D5A" w:rsidP="00B96D99">
      <w:pPr>
        <w:pStyle w:val="FootnoteText"/>
        <w:jc w:val="both"/>
        <w:rPr>
          <w:rStyle w:val="Hyperlink"/>
          <w:rFonts w:ascii="Arial" w:hAnsi="Arial" w:cs="Arial"/>
          <w:lang w:val="en-ZA"/>
        </w:rPr>
      </w:pPr>
      <w:r w:rsidRPr="0076503E">
        <w:rPr>
          <w:rFonts w:ascii="Arial" w:hAnsi="Arial" w:cs="Arial"/>
          <w:bCs/>
        </w:rPr>
        <w:t xml:space="preserve">Collaborative Africa Budget Reform Initiative. (2016). </w:t>
      </w:r>
      <w:hyperlink r:id="rId1454" w:history="1">
        <w:r w:rsidRPr="0076503E">
          <w:rPr>
            <w:rStyle w:val="Hyperlink"/>
            <w:rFonts w:ascii="Arial" w:hAnsi="Arial" w:cs="Arial"/>
            <w:bCs/>
            <w:lang w:val="en-ZA"/>
          </w:rPr>
          <w:t>Management of explicit contingent liabilities: Credit guarantees for state-owned entities’ deb</w:t>
        </w:r>
      </w:hyperlink>
      <w:r w:rsidRPr="0076503E">
        <w:rPr>
          <w:rStyle w:val="Hyperlink"/>
          <w:rFonts w:ascii="Arial" w:hAnsi="Arial" w:cs="Arial"/>
          <w:lang w:val="en-ZA"/>
        </w:rPr>
        <w:t>t.</w:t>
      </w:r>
    </w:p>
    <w:p w14:paraId="3BF69F72" w14:textId="2BD1FE38" w:rsidR="00806CE5" w:rsidRPr="0076503E" w:rsidRDefault="00806CE5" w:rsidP="00B96D99">
      <w:pPr>
        <w:pStyle w:val="FootnoteText"/>
        <w:jc w:val="both"/>
        <w:rPr>
          <w:rStyle w:val="Hyperlink"/>
          <w:rFonts w:ascii="Arial" w:hAnsi="Arial" w:cs="Arial"/>
          <w:lang w:val="en-ZA"/>
        </w:rPr>
      </w:pPr>
    </w:p>
    <w:p w14:paraId="321287C8" w14:textId="3EF97A6E" w:rsidR="00806CE5" w:rsidRPr="0076503E" w:rsidRDefault="00806CE5" w:rsidP="00B96D99">
      <w:pPr>
        <w:pStyle w:val="FootnoteText"/>
        <w:jc w:val="both"/>
        <w:rPr>
          <w:rFonts w:ascii="Arial" w:hAnsi="Arial" w:cs="Arial"/>
          <w:bCs/>
        </w:rPr>
      </w:pPr>
      <w:r w:rsidRPr="0076503E">
        <w:rPr>
          <w:rFonts w:ascii="Arial" w:hAnsi="Arial" w:cs="Arial"/>
          <w:bCs/>
        </w:rPr>
        <w:t>Collaborative Africa Budget Reform Initiative. (2016).</w:t>
      </w:r>
      <w:r w:rsidRPr="0076503E">
        <w:rPr>
          <w:rFonts w:ascii="Arial" w:hAnsi="Arial" w:cs="Arial"/>
        </w:rPr>
        <w:t xml:space="preserve"> </w:t>
      </w:r>
      <w:hyperlink r:id="rId1455" w:history="1">
        <w:r w:rsidRPr="0076503E">
          <w:rPr>
            <w:rStyle w:val="Hyperlink"/>
            <w:rFonts w:ascii="Arial" w:hAnsi="Arial" w:cs="Arial"/>
            <w:bCs/>
            <w:lang w:val="en-US"/>
          </w:rPr>
          <w:t>Revenue management in the extractives sector in Africa</w:t>
        </w:r>
      </w:hyperlink>
      <w:r w:rsidRPr="0076503E">
        <w:rPr>
          <w:rFonts w:ascii="Arial" w:hAnsi="Arial" w:cs="Arial"/>
          <w:bCs/>
        </w:rPr>
        <w:t>.</w:t>
      </w:r>
    </w:p>
    <w:p w14:paraId="20A2C8BB" w14:textId="20E2F75B" w:rsidR="00806CE5" w:rsidRPr="0076503E" w:rsidRDefault="00806CE5" w:rsidP="00B96D99">
      <w:pPr>
        <w:pStyle w:val="FootnoteText"/>
        <w:jc w:val="both"/>
        <w:rPr>
          <w:rStyle w:val="Hyperlink"/>
          <w:rFonts w:ascii="Arial" w:hAnsi="Arial" w:cs="Arial"/>
          <w:lang w:val="en-ZA"/>
        </w:rPr>
      </w:pPr>
    </w:p>
    <w:p w14:paraId="09A2F22E" w14:textId="4889543C" w:rsidR="00D32704" w:rsidRPr="0076503E" w:rsidRDefault="00D32704" w:rsidP="00B96D99">
      <w:pPr>
        <w:pStyle w:val="FootnoteText"/>
        <w:jc w:val="both"/>
        <w:rPr>
          <w:rFonts w:ascii="Arial" w:hAnsi="Arial" w:cs="Arial"/>
          <w:lang w:val="en-US"/>
        </w:rPr>
      </w:pPr>
      <w:r w:rsidRPr="0076503E">
        <w:rPr>
          <w:rFonts w:ascii="Arial" w:hAnsi="Arial" w:cs="Arial"/>
          <w:bCs/>
        </w:rPr>
        <w:t>Collaborative Africa Budget Reform Initiative.</w:t>
      </w:r>
      <w:r w:rsidRPr="0076503E">
        <w:rPr>
          <w:rFonts w:ascii="Arial" w:hAnsi="Arial" w:cs="Arial"/>
        </w:rPr>
        <w:t xml:space="preserve"> </w:t>
      </w:r>
      <w:hyperlink r:id="rId1456" w:history="1">
        <w:r w:rsidRPr="0076503E">
          <w:rPr>
            <w:rStyle w:val="Hyperlink"/>
            <w:rFonts w:ascii="Arial" w:hAnsi="Arial" w:cs="Arial"/>
            <w:bCs/>
          </w:rPr>
          <w:t>A review of citizens’ budgets in ten African countries</w:t>
        </w:r>
      </w:hyperlink>
      <w:r w:rsidRPr="0076503E">
        <w:rPr>
          <w:rFonts w:ascii="Arial" w:hAnsi="Arial" w:cs="Arial"/>
          <w:bCs/>
        </w:rPr>
        <w:t>.</w:t>
      </w:r>
    </w:p>
    <w:p w14:paraId="24C41382" w14:textId="760446B8" w:rsidR="00EF5A8E" w:rsidRPr="0076503E" w:rsidRDefault="00EF5A8E" w:rsidP="00B96D99">
      <w:pPr>
        <w:pStyle w:val="FootnoteText"/>
        <w:jc w:val="both"/>
        <w:rPr>
          <w:rStyle w:val="Hyperlink"/>
          <w:rFonts w:ascii="Arial" w:hAnsi="Arial" w:cs="Arial"/>
          <w:lang w:val="en-US"/>
        </w:rPr>
      </w:pPr>
    </w:p>
    <w:p w14:paraId="1D19F5E2" w14:textId="1A60E62E" w:rsidR="00EF5A8E" w:rsidRPr="0076503E" w:rsidRDefault="00EF5A8E" w:rsidP="00B96D99">
      <w:pPr>
        <w:pStyle w:val="FootnoteText"/>
        <w:jc w:val="both"/>
        <w:rPr>
          <w:rFonts w:ascii="Arial" w:hAnsi="Arial" w:cs="Arial"/>
          <w:lang w:val="en-US"/>
        </w:rPr>
      </w:pPr>
      <w:r w:rsidRPr="0076503E">
        <w:rPr>
          <w:rStyle w:val="Hyperlink"/>
          <w:rFonts w:ascii="Arial" w:hAnsi="Arial" w:cs="Arial"/>
          <w:color w:val="auto"/>
          <w:u w:val="none"/>
          <w:lang w:val="en-US"/>
        </w:rPr>
        <w:t xml:space="preserve">Commonwealth Parliamentary Association (2018). </w:t>
      </w:r>
      <w:hyperlink r:id="rId1457" w:history="1">
        <w:r w:rsidRPr="0076503E">
          <w:rPr>
            <w:rStyle w:val="Hyperlink"/>
            <w:rFonts w:ascii="Arial" w:hAnsi="Arial" w:cs="Arial"/>
            <w:bCs/>
            <w:iCs/>
          </w:rPr>
          <w:t>Recommended Benchmarks for Democratic Legislatures</w:t>
        </w:r>
      </w:hyperlink>
      <w:r w:rsidRPr="0076503E">
        <w:rPr>
          <w:rFonts w:ascii="Arial" w:hAnsi="Arial" w:cs="Arial"/>
          <w:lang w:val="en-US"/>
        </w:rPr>
        <w:t>.</w:t>
      </w:r>
    </w:p>
    <w:p w14:paraId="6247BFFE" w14:textId="768821F3" w:rsidR="005D0450" w:rsidRPr="0076503E" w:rsidRDefault="005D0450" w:rsidP="00B96D99">
      <w:pPr>
        <w:pStyle w:val="FootnoteText"/>
        <w:jc w:val="both"/>
        <w:rPr>
          <w:rFonts w:ascii="Arial" w:hAnsi="Arial" w:cs="Arial"/>
          <w:lang w:val="en-US"/>
        </w:rPr>
      </w:pPr>
    </w:p>
    <w:p w14:paraId="5F8B6288" w14:textId="633376BD" w:rsidR="005D0450" w:rsidRPr="0076503E" w:rsidRDefault="005D0450" w:rsidP="00B96D99">
      <w:pPr>
        <w:pStyle w:val="FootnoteText"/>
        <w:jc w:val="both"/>
        <w:rPr>
          <w:rFonts w:ascii="Arial" w:hAnsi="Arial" w:cs="Arial"/>
          <w:lang w:val="en-ZA"/>
        </w:rPr>
      </w:pPr>
      <w:r w:rsidRPr="0076503E">
        <w:rPr>
          <w:rFonts w:ascii="Arial" w:hAnsi="Arial" w:cs="Arial"/>
          <w:lang w:val="en-ZA"/>
        </w:rPr>
        <w:t xml:space="preserve">Cooper, J., and </w:t>
      </w:r>
      <w:proofErr w:type="spellStart"/>
      <w:r w:rsidRPr="0076503E">
        <w:rPr>
          <w:rFonts w:ascii="Arial" w:hAnsi="Arial" w:cs="Arial"/>
        </w:rPr>
        <w:t>Pattanayak</w:t>
      </w:r>
      <w:proofErr w:type="spellEnd"/>
      <w:r w:rsidRPr="0076503E">
        <w:rPr>
          <w:rFonts w:ascii="Arial" w:hAnsi="Arial" w:cs="Arial"/>
        </w:rPr>
        <w:t xml:space="preserve">, </w:t>
      </w:r>
      <w:r w:rsidRPr="0076503E">
        <w:rPr>
          <w:rFonts w:ascii="Arial" w:hAnsi="Arial" w:cs="Arial"/>
          <w:lang w:val="en-ZA"/>
        </w:rPr>
        <w:t>S.</w:t>
      </w:r>
      <w:r w:rsidRPr="0076503E">
        <w:rPr>
          <w:rFonts w:ascii="Arial" w:hAnsi="Arial" w:cs="Arial"/>
        </w:rPr>
        <w:t xml:space="preserve"> (2011). “</w:t>
      </w:r>
      <w:hyperlink r:id="rId1458" w:history="1">
        <w:r w:rsidRPr="0076503E">
          <w:rPr>
            <w:rStyle w:val="Hyperlink"/>
            <w:rFonts w:ascii="Arial" w:hAnsi="Arial" w:cs="Arial"/>
          </w:rPr>
          <w:t>Chart of Accounts: A Critical Element of the Public Financial Management Framework</w:t>
        </w:r>
      </w:hyperlink>
      <w:r w:rsidRPr="0076503E">
        <w:rPr>
          <w:rFonts w:ascii="Arial" w:hAnsi="Arial" w:cs="Arial"/>
        </w:rPr>
        <w:t xml:space="preserve">”. </w:t>
      </w:r>
      <w:r w:rsidRPr="0076503E">
        <w:rPr>
          <w:rFonts w:ascii="Arial" w:hAnsi="Arial" w:cs="Arial"/>
          <w:lang w:val="en-ZA"/>
        </w:rPr>
        <w:t>IMF.</w:t>
      </w:r>
    </w:p>
    <w:p w14:paraId="485F2A58" w14:textId="7AFF9E5F" w:rsidR="00C2107D" w:rsidRPr="0076503E" w:rsidRDefault="00C2107D" w:rsidP="00B96D99">
      <w:pPr>
        <w:pStyle w:val="FootnoteText"/>
        <w:jc w:val="both"/>
        <w:rPr>
          <w:rFonts w:ascii="Arial" w:hAnsi="Arial" w:cs="Arial"/>
          <w:lang w:val="en-ZA"/>
        </w:rPr>
      </w:pPr>
    </w:p>
    <w:p w14:paraId="3B6B9EBE" w14:textId="3EC3831B" w:rsidR="00C2107D" w:rsidRPr="0076503E" w:rsidRDefault="00C2107D" w:rsidP="00B96D99">
      <w:pPr>
        <w:pStyle w:val="FootnoteText"/>
        <w:jc w:val="both"/>
        <w:rPr>
          <w:rFonts w:ascii="Arial" w:hAnsi="Arial" w:cs="Arial"/>
        </w:rPr>
      </w:pPr>
      <w:proofErr w:type="spellStart"/>
      <w:r w:rsidRPr="0076503E">
        <w:rPr>
          <w:rFonts w:ascii="Arial" w:hAnsi="Arial" w:cs="Arial"/>
        </w:rPr>
        <w:t>Craveiro</w:t>
      </w:r>
      <w:proofErr w:type="spellEnd"/>
      <w:r w:rsidRPr="0076503E">
        <w:rPr>
          <w:rFonts w:ascii="Arial" w:hAnsi="Arial" w:cs="Arial"/>
        </w:rPr>
        <w:t>, G., Tavares, M., and Porto, J. (2013). “</w:t>
      </w:r>
      <w:hyperlink r:id="rId1459" w:history="1">
        <w:r w:rsidRPr="0076503E">
          <w:rPr>
            <w:rStyle w:val="Hyperlink"/>
            <w:rFonts w:ascii="Arial" w:hAnsi="Arial" w:cs="Arial"/>
          </w:rPr>
          <w:t>Assessing Open Government Budgetary Data in Brazil”</w:t>
        </w:r>
      </w:hyperlink>
      <w:r w:rsidR="00492288" w:rsidRPr="0076503E">
        <w:rPr>
          <w:rFonts w:ascii="Arial" w:hAnsi="Arial" w:cs="Arial"/>
          <w:lang w:val="en-US"/>
        </w:rPr>
        <w:t xml:space="preserve">. </w:t>
      </w:r>
      <w:r w:rsidRPr="0076503E">
        <w:rPr>
          <w:rFonts w:ascii="Arial" w:hAnsi="Arial" w:cs="Arial"/>
        </w:rPr>
        <w:t>Seventh International Conference on Digital Society.</w:t>
      </w:r>
    </w:p>
    <w:p w14:paraId="423EBC87" w14:textId="19E84328" w:rsidR="00C2107D" w:rsidRPr="0076503E" w:rsidRDefault="00C2107D" w:rsidP="00B96D99">
      <w:pPr>
        <w:pStyle w:val="FootnoteText"/>
        <w:jc w:val="both"/>
        <w:rPr>
          <w:rFonts w:ascii="Arial" w:hAnsi="Arial" w:cs="Arial"/>
        </w:rPr>
      </w:pPr>
    </w:p>
    <w:p w14:paraId="0FFA56A3" w14:textId="518FFA83" w:rsidR="00C2107D" w:rsidRPr="0076503E" w:rsidRDefault="00C2107D" w:rsidP="00B96D99">
      <w:pPr>
        <w:pStyle w:val="FootnoteText"/>
        <w:jc w:val="both"/>
        <w:rPr>
          <w:rFonts w:ascii="Arial" w:hAnsi="Arial" w:cs="Arial"/>
          <w:lang w:val="en-ZA"/>
        </w:rPr>
      </w:pPr>
      <w:r w:rsidRPr="0076503E">
        <w:rPr>
          <w:rFonts w:ascii="Arial" w:hAnsi="Arial" w:cs="Arial"/>
        </w:rPr>
        <w:t>Davis, B., and Baxandall, P. (2014). “</w:t>
      </w:r>
      <w:hyperlink r:id="rId1460" w:history="1">
        <w:r w:rsidRPr="0076503E">
          <w:rPr>
            <w:rStyle w:val="Hyperlink"/>
            <w:rFonts w:ascii="Arial" w:hAnsi="Arial" w:cs="Arial"/>
          </w:rPr>
          <w:t>Following the Money 2014: How the 50 States Rate in Providing Online Access to Government Spending Data</w:t>
        </w:r>
      </w:hyperlink>
      <w:r w:rsidRPr="0076503E">
        <w:rPr>
          <w:rFonts w:ascii="Arial" w:hAnsi="Arial" w:cs="Arial"/>
        </w:rPr>
        <w:t>”</w:t>
      </w:r>
      <w:r w:rsidR="00874C47">
        <w:rPr>
          <w:rFonts w:ascii="Arial" w:hAnsi="Arial" w:cs="Arial"/>
        </w:rPr>
        <w:t>.</w:t>
      </w:r>
      <w:r w:rsidRPr="0076503E">
        <w:rPr>
          <w:rFonts w:ascii="Arial" w:hAnsi="Arial" w:cs="Arial"/>
        </w:rPr>
        <w:t xml:space="preserve"> U.S. PIRG Education Fund. </w:t>
      </w:r>
    </w:p>
    <w:p w14:paraId="7E651A16" w14:textId="77777777" w:rsidR="00C2107D" w:rsidRPr="0076503E" w:rsidRDefault="00C2107D" w:rsidP="00B96D99">
      <w:pPr>
        <w:pStyle w:val="FootnoteText"/>
        <w:jc w:val="both"/>
        <w:rPr>
          <w:rFonts w:ascii="Arial" w:hAnsi="Arial" w:cs="Arial"/>
          <w:lang w:val="en-US"/>
        </w:rPr>
      </w:pPr>
    </w:p>
    <w:p w14:paraId="4D988E04" w14:textId="3BF8456D" w:rsidR="00355A2E" w:rsidRPr="0076503E" w:rsidRDefault="00355A2E" w:rsidP="00B96D99">
      <w:pPr>
        <w:pStyle w:val="FootnoteText"/>
        <w:jc w:val="both"/>
        <w:rPr>
          <w:rFonts w:ascii="Arial" w:hAnsi="Arial" w:cs="Arial"/>
          <w:bCs/>
          <w:lang w:val="en-ZA"/>
        </w:rPr>
      </w:pPr>
      <w:proofErr w:type="spellStart"/>
      <w:r w:rsidRPr="0076503E">
        <w:rPr>
          <w:rFonts w:ascii="Arial" w:hAnsi="Arial" w:cs="Arial"/>
          <w:bCs/>
          <w:lang w:val="en-US"/>
        </w:rPr>
        <w:t>Dener</w:t>
      </w:r>
      <w:proofErr w:type="spellEnd"/>
      <w:r w:rsidRPr="0076503E">
        <w:rPr>
          <w:rFonts w:ascii="Arial" w:hAnsi="Arial" w:cs="Arial"/>
          <w:bCs/>
          <w:lang w:val="en-US"/>
        </w:rPr>
        <w:t xml:space="preserve">, C., Watkins, J.A., and </w:t>
      </w:r>
      <w:proofErr w:type="spellStart"/>
      <w:r w:rsidRPr="0076503E">
        <w:rPr>
          <w:rFonts w:ascii="Arial" w:hAnsi="Arial" w:cs="Arial"/>
          <w:bCs/>
          <w:lang w:val="en-US"/>
        </w:rPr>
        <w:t>Dorotinsky</w:t>
      </w:r>
      <w:proofErr w:type="spellEnd"/>
      <w:r w:rsidRPr="0076503E">
        <w:rPr>
          <w:rFonts w:ascii="Arial" w:hAnsi="Arial" w:cs="Arial"/>
          <w:bCs/>
          <w:lang w:val="en-US"/>
        </w:rPr>
        <w:t xml:space="preserve">, W.L. </w:t>
      </w:r>
      <w:r w:rsidRPr="0076503E">
        <w:rPr>
          <w:rFonts w:ascii="Arial" w:hAnsi="Arial" w:cs="Arial"/>
          <w:bCs/>
        </w:rPr>
        <w:t>(2011). “</w:t>
      </w:r>
      <w:hyperlink r:id="rId1461" w:history="1">
        <w:r w:rsidRPr="0076503E">
          <w:rPr>
            <w:rStyle w:val="Hyperlink"/>
            <w:rFonts w:ascii="Arial" w:hAnsi="Arial" w:cs="Arial"/>
            <w:bCs/>
            <w:lang w:val="en-US"/>
          </w:rPr>
          <w:t>Financial Management Information Systems: 25 Years of World Bank Experience of What Works and What Doesn’t</w:t>
        </w:r>
      </w:hyperlink>
      <w:r w:rsidRPr="0076503E">
        <w:rPr>
          <w:rFonts w:ascii="Arial" w:hAnsi="Arial" w:cs="Arial"/>
          <w:bCs/>
          <w:lang w:val="en-ZA"/>
        </w:rPr>
        <w:t>”</w:t>
      </w:r>
      <w:r w:rsidR="00874C47">
        <w:rPr>
          <w:rFonts w:ascii="Arial" w:hAnsi="Arial" w:cs="Arial"/>
          <w:bCs/>
          <w:lang w:val="en-ZA"/>
        </w:rPr>
        <w:t>.</w:t>
      </w:r>
      <w:r w:rsidRPr="0076503E">
        <w:rPr>
          <w:rFonts w:ascii="Arial" w:hAnsi="Arial" w:cs="Arial"/>
          <w:bCs/>
          <w:lang w:val="en-ZA"/>
        </w:rPr>
        <w:t xml:space="preserve"> World Bank.</w:t>
      </w:r>
    </w:p>
    <w:p w14:paraId="6D065C22" w14:textId="77777777" w:rsidR="00355A2E" w:rsidRPr="0076503E" w:rsidRDefault="00355A2E" w:rsidP="00B96D99">
      <w:pPr>
        <w:pStyle w:val="FootnoteText"/>
        <w:jc w:val="both"/>
        <w:rPr>
          <w:rFonts w:ascii="Arial" w:hAnsi="Arial" w:cs="Arial"/>
          <w:bCs/>
          <w:lang w:val="en-ZA"/>
        </w:rPr>
      </w:pPr>
    </w:p>
    <w:p w14:paraId="12D7FACF" w14:textId="76BDBDEF" w:rsidR="00355A2E" w:rsidRPr="0076503E" w:rsidRDefault="00355A2E" w:rsidP="00B96D99">
      <w:pPr>
        <w:pStyle w:val="FootnoteText"/>
        <w:jc w:val="both"/>
        <w:rPr>
          <w:rFonts w:ascii="Arial" w:hAnsi="Arial" w:cs="Arial"/>
          <w:bCs/>
          <w:lang w:val="en-ZA"/>
        </w:rPr>
      </w:pPr>
      <w:proofErr w:type="spellStart"/>
      <w:r w:rsidRPr="0076503E">
        <w:rPr>
          <w:rFonts w:ascii="Arial" w:hAnsi="Arial" w:cs="Arial"/>
          <w:bCs/>
          <w:lang w:val="en-ZA"/>
        </w:rPr>
        <w:t>Dener</w:t>
      </w:r>
      <w:proofErr w:type="spellEnd"/>
      <w:r w:rsidRPr="0076503E">
        <w:rPr>
          <w:rFonts w:ascii="Arial" w:hAnsi="Arial" w:cs="Arial"/>
          <w:bCs/>
          <w:lang w:val="en-ZA"/>
        </w:rPr>
        <w:t>, C., and Min, S.Y. (2013). “</w:t>
      </w:r>
      <w:hyperlink r:id="rId1462" w:history="1">
        <w:r w:rsidRPr="0076503E">
          <w:rPr>
            <w:rStyle w:val="Hyperlink"/>
            <w:rFonts w:ascii="Arial" w:hAnsi="Arial" w:cs="Arial"/>
            <w:bCs/>
            <w:lang w:val="en-ZA"/>
          </w:rPr>
          <w:t>Financial Management Information Systems and Open Budget Data: Do Governments Report on Where the Money Goes</w:t>
        </w:r>
      </w:hyperlink>
      <w:r w:rsidR="00874C47">
        <w:rPr>
          <w:rStyle w:val="Hyperlink"/>
          <w:rFonts w:ascii="Arial" w:hAnsi="Arial" w:cs="Arial"/>
          <w:bCs/>
          <w:lang w:val="en-ZA"/>
        </w:rPr>
        <w:t>?</w:t>
      </w:r>
      <w:r w:rsidRPr="0076503E">
        <w:rPr>
          <w:rFonts w:ascii="Arial" w:hAnsi="Arial" w:cs="Arial"/>
          <w:bCs/>
          <w:lang w:val="en-ZA"/>
        </w:rPr>
        <w:t>”</w:t>
      </w:r>
      <w:r w:rsidR="00874C47">
        <w:rPr>
          <w:rFonts w:ascii="Arial" w:hAnsi="Arial" w:cs="Arial"/>
          <w:bCs/>
          <w:lang w:val="en-ZA"/>
        </w:rPr>
        <w:t>.</w:t>
      </w:r>
      <w:r w:rsidRPr="0076503E">
        <w:rPr>
          <w:rFonts w:ascii="Arial" w:hAnsi="Arial" w:cs="Arial"/>
          <w:bCs/>
          <w:lang w:val="en-ZA"/>
        </w:rPr>
        <w:t xml:space="preserve"> World Bank.</w:t>
      </w:r>
    </w:p>
    <w:p w14:paraId="2924380E" w14:textId="77777777" w:rsidR="00B22899" w:rsidRPr="0076503E" w:rsidRDefault="00B22899" w:rsidP="00B96D99">
      <w:pPr>
        <w:pStyle w:val="FootnoteText"/>
        <w:jc w:val="both"/>
        <w:rPr>
          <w:rFonts w:ascii="Arial" w:hAnsi="Arial" w:cs="Arial"/>
        </w:rPr>
      </w:pPr>
    </w:p>
    <w:p w14:paraId="51EE6C1B" w14:textId="65AB9F4D" w:rsidR="006B28B7" w:rsidRPr="0076503E" w:rsidRDefault="006B28B7" w:rsidP="00B96D99">
      <w:pPr>
        <w:pStyle w:val="FootnoteText"/>
        <w:jc w:val="both"/>
        <w:rPr>
          <w:rFonts w:ascii="Arial" w:hAnsi="Arial" w:cs="Arial"/>
          <w:bCs/>
          <w:lang w:val="en-ZA"/>
        </w:rPr>
      </w:pPr>
      <w:r w:rsidRPr="0076503E">
        <w:rPr>
          <w:rFonts w:ascii="Arial" w:hAnsi="Arial" w:cs="Arial"/>
        </w:rPr>
        <w:t>D</w:t>
      </w:r>
      <w:r w:rsidRPr="0076503E">
        <w:rPr>
          <w:rFonts w:ascii="Arial" w:hAnsi="Arial" w:cs="Arial"/>
          <w:bCs/>
        </w:rPr>
        <w:t xml:space="preserve">e </w:t>
      </w:r>
      <w:proofErr w:type="spellStart"/>
      <w:r w:rsidRPr="0076503E">
        <w:rPr>
          <w:rFonts w:ascii="Arial" w:hAnsi="Arial" w:cs="Arial"/>
          <w:bCs/>
        </w:rPr>
        <w:t>Renzio</w:t>
      </w:r>
      <w:proofErr w:type="spellEnd"/>
      <w:r w:rsidRPr="0076503E">
        <w:rPr>
          <w:rFonts w:ascii="Arial" w:hAnsi="Arial" w:cs="Arial"/>
          <w:bCs/>
        </w:rPr>
        <w:t xml:space="preserve">, P., and </w:t>
      </w:r>
      <w:proofErr w:type="spellStart"/>
      <w:r w:rsidRPr="0076503E">
        <w:rPr>
          <w:rFonts w:ascii="Arial" w:hAnsi="Arial" w:cs="Arial"/>
          <w:bCs/>
        </w:rPr>
        <w:t>Kroth.V</w:t>
      </w:r>
      <w:proofErr w:type="spellEnd"/>
      <w:r w:rsidRPr="0076503E">
        <w:rPr>
          <w:rFonts w:ascii="Arial" w:hAnsi="Arial" w:cs="Arial"/>
          <w:bCs/>
        </w:rPr>
        <w:t>. (2011). “</w:t>
      </w:r>
      <w:hyperlink r:id="rId1463" w:history="1">
        <w:r w:rsidRPr="0076503E">
          <w:rPr>
            <w:rStyle w:val="Hyperlink"/>
            <w:rFonts w:ascii="Arial" w:hAnsi="Arial" w:cs="Arial"/>
          </w:rPr>
          <w:t>Transparency and Participation in Public Financial Management: What Do Budget Laws Say</w:t>
        </w:r>
      </w:hyperlink>
      <w:r w:rsidRPr="0076503E">
        <w:rPr>
          <w:rFonts w:ascii="Arial" w:hAnsi="Arial" w:cs="Arial"/>
        </w:rPr>
        <w:t>?</w:t>
      </w:r>
      <w:r w:rsidRPr="0076503E">
        <w:rPr>
          <w:rFonts w:ascii="Arial" w:hAnsi="Arial" w:cs="Arial"/>
          <w:bCs/>
          <w:lang w:val="en-ZA"/>
        </w:rPr>
        <w:t>”. IBP.</w:t>
      </w:r>
    </w:p>
    <w:p w14:paraId="040B4649" w14:textId="7F0513CE" w:rsidR="00EA1916" w:rsidRPr="0076503E" w:rsidRDefault="00EA1916" w:rsidP="00B96D99">
      <w:pPr>
        <w:pStyle w:val="FootnoteText"/>
        <w:jc w:val="both"/>
        <w:rPr>
          <w:rFonts w:ascii="Arial" w:hAnsi="Arial" w:cs="Arial"/>
          <w:bCs/>
          <w:lang w:val="en-ZA"/>
        </w:rPr>
      </w:pPr>
    </w:p>
    <w:p w14:paraId="2D8B22AC" w14:textId="77777777" w:rsidR="00EA1916" w:rsidRPr="0076503E" w:rsidRDefault="00EA1916" w:rsidP="00B96D99">
      <w:pPr>
        <w:pStyle w:val="FootnoteText"/>
        <w:jc w:val="both"/>
        <w:rPr>
          <w:rFonts w:ascii="Arial" w:hAnsi="Arial" w:cs="Arial"/>
          <w:lang w:val="en-ZA"/>
        </w:rPr>
      </w:pPr>
      <w:r w:rsidRPr="0076503E">
        <w:rPr>
          <w:rFonts w:ascii="Arial" w:hAnsi="Arial" w:cs="Arial"/>
          <w:lang w:val="en-ZA"/>
        </w:rPr>
        <w:lastRenderedPageBreak/>
        <w:t xml:space="preserve">De </w:t>
      </w:r>
      <w:proofErr w:type="spellStart"/>
      <w:r w:rsidRPr="0076503E">
        <w:rPr>
          <w:rFonts w:ascii="Arial" w:hAnsi="Arial" w:cs="Arial"/>
          <w:lang w:val="en-ZA"/>
        </w:rPr>
        <w:t>Renzio</w:t>
      </w:r>
      <w:proofErr w:type="spellEnd"/>
      <w:r w:rsidRPr="0076503E">
        <w:rPr>
          <w:rFonts w:ascii="Arial" w:hAnsi="Arial" w:cs="Arial"/>
          <w:lang w:val="en-ZA"/>
        </w:rPr>
        <w:t xml:space="preserve">, P., and </w:t>
      </w:r>
      <w:proofErr w:type="spellStart"/>
      <w:r w:rsidRPr="0076503E">
        <w:rPr>
          <w:rFonts w:ascii="Arial" w:hAnsi="Arial" w:cs="Arial"/>
          <w:lang w:val="en-US"/>
        </w:rPr>
        <w:t>Angemi</w:t>
      </w:r>
      <w:proofErr w:type="spellEnd"/>
      <w:r w:rsidRPr="0076503E">
        <w:rPr>
          <w:rFonts w:ascii="Arial" w:hAnsi="Arial" w:cs="Arial"/>
        </w:rPr>
        <w:t xml:space="preserve"> </w:t>
      </w:r>
      <w:r w:rsidRPr="0076503E">
        <w:rPr>
          <w:rFonts w:ascii="Arial" w:hAnsi="Arial" w:cs="Arial"/>
          <w:lang w:val="en-ZA"/>
        </w:rPr>
        <w:t>D.</w:t>
      </w:r>
      <w:r w:rsidRPr="0076503E">
        <w:rPr>
          <w:rFonts w:ascii="Arial" w:hAnsi="Arial" w:cs="Arial"/>
        </w:rPr>
        <w:t xml:space="preserve"> (2011). “</w:t>
      </w:r>
      <w:hyperlink r:id="rId1464" w:history="1">
        <w:r w:rsidRPr="0076503E">
          <w:rPr>
            <w:rStyle w:val="Hyperlink"/>
            <w:rFonts w:ascii="Arial" w:hAnsi="Arial" w:cs="Arial"/>
            <w:lang w:val="en-US"/>
          </w:rPr>
          <w:t xml:space="preserve">COMRADES OR CULPRITS? Donor Engagement and Budget </w:t>
        </w:r>
        <w:proofErr w:type="gramStart"/>
        <w:r w:rsidRPr="0076503E">
          <w:rPr>
            <w:rStyle w:val="Hyperlink"/>
            <w:rFonts w:ascii="Arial" w:hAnsi="Arial" w:cs="Arial"/>
            <w:lang w:val="en-US"/>
          </w:rPr>
          <w:t>Transparency  in</w:t>
        </w:r>
        <w:proofErr w:type="gramEnd"/>
        <w:r w:rsidRPr="0076503E">
          <w:rPr>
            <w:rStyle w:val="Hyperlink"/>
            <w:rFonts w:ascii="Arial" w:hAnsi="Arial" w:cs="Arial"/>
            <w:lang w:val="en-US"/>
          </w:rPr>
          <w:t xml:space="preserve"> Aid Dependent Countries</w:t>
        </w:r>
      </w:hyperlink>
      <w:r w:rsidRPr="0076503E">
        <w:rPr>
          <w:rFonts w:ascii="Arial" w:hAnsi="Arial" w:cs="Arial"/>
          <w:lang w:val="en-ZA"/>
        </w:rPr>
        <w:t xml:space="preserve">”. </w:t>
      </w:r>
      <w:r w:rsidRPr="0076503E">
        <w:rPr>
          <w:rFonts w:ascii="Arial" w:hAnsi="Arial" w:cs="Arial"/>
          <w:lang w:val="en-US"/>
        </w:rPr>
        <w:t xml:space="preserve"> IBP.</w:t>
      </w:r>
    </w:p>
    <w:p w14:paraId="00D5C25F" w14:textId="77777777" w:rsidR="00EA1916" w:rsidRPr="0076503E" w:rsidRDefault="00EA1916" w:rsidP="00B96D99">
      <w:pPr>
        <w:pStyle w:val="FootnoteText"/>
        <w:jc w:val="both"/>
        <w:rPr>
          <w:rFonts w:ascii="Arial" w:hAnsi="Arial" w:cs="Arial"/>
        </w:rPr>
      </w:pPr>
    </w:p>
    <w:p w14:paraId="4C751453" w14:textId="01189813" w:rsidR="00340613" w:rsidRPr="0076503E" w:rsidRDefault="00340613" w:rsidP="00B96D99">
      <w:pPr>
        <w:pStyle w:val="FootnoteText"/>
        <w:jc w:val="both"/>
        <w:rPr>
          <w:rFonts w:ascii="Arial" w:hAnsi="Arial" w:cs="Arial"/>
        </w:rPr>
      </w:pPr>
      <w:r w:rsidRPr="0076503E">
        <w:rPr>
          <w:rFonts w:ascii="Arial" w:hAnsi="Arial" w:cs="Arial"/>
        </w:rPr>
        <w:t xml:space="preserve">De </w:t>
      </w:r>
      <w:proofErr w:type="spellStart"/>
      <w:r w:rsidRPr="0076503E">
        <w:rPr>
          <w:rFonts w:ascii="Arial" w:hAnsi="Arial" w:cs="Arial"/>
        </w:rPr>
        <w:t>Renzio</w:t>
      </w:r>
      <w:proofErr w:type="spellEnd"/>
      <w:r w:rsidRPr="0076503E">
        <w:rPr>
          <w:rFonts w:ascii="Arial" w:hAnsi="Arial" w:cs="Arial"/>
        </w:rPr>
        <w:t xml:space="preserve">, P., and </w:t>
      </w:r>
      <w:proofErr w:type="spellStart"/>
      <w:r w:rsidRPr="0076503E">
        <w:rPr>
          <w:rFonts w:ascii="Arial" w:hAnsi="Arial" w:cs="Arial"/>
        </w:rPr>
        <w:t>Wehner</w:t>
      </w:r>
      <w:proofErr w:type="spellEnd"/>
      <w:r w:rsidRPr="0076503E">
        <w:rPr>
          <w:rFonts w:ascii="Arial" w:hAnsi="Arial" w:cs="Arial"/>
        </w:rPr>
        <w:t xml:space="preserve">, J. (2015). </w:t>
      </w:r>
      <w:r w:rsidRPr="0076503E">
        <w:rPr>
          <w:rFonts w:ascii="Arial" w:hAnsi="Arial" w:cs="Arial"/>
          <w:lang w:val="en"/>
        </w:rPr>
        <w:t>“</w:t>
      </w:r>
      <w:hyperlink r:id="rId1465" w:history="1">
        <w:r w:rsidRPr="0076503E">
          <w:rPr>
            <w:rStyle w:val="Hyperlink"/>
            <w:rFonts w:ascii="Arial" w:hAnsi="Arial" w:cs="Arial"/>
            <w:lang w:val="en"/>
          </w:rPr>
          <w:t>The Impacts of Fiscal Openness: A Review of the Evidence</w:t>
        </w:r>
      </w:hyperlink>
      <w:r w:rsidRPr="0076503E">
        <w:rPr>
          <w:rFonts w:ascii="Arial" w:hAnsi="Arial" w:cs="Arial"/>
          <w:lang w:val="en"/>
        </w:rPr>
        <w:t>”</w:t>
      </w:r>
      <w:r w:rsidR="00E33CB2">
        <w:rPr>
          <w:rFonts w:ascii="Arial" w:hAnsi="Arial" w:cs="Arial"/>
          <w:lang w:val="en"/>
        </w:rPr>
        <w:t>.</w:t>
      </w:r>
      <w:r w:rsidRPr="0076503E">
        <w:rPr>
          <w:rFonts w:ascii="Arial" w:hAnsi="Arial" w:cs="Arial"/>
          <w:lang w:val="en"/>
        </w:rPr>
        <w:t xml:space="preserve"> </w:t>
      </w:r>
      <w:r w:rsidRPr="0076503E">
        <w:rPr>
          <w:rFonts w:ascii="Arial" w:hAnsi="Arial" w:cs="Arial"/>
        </w:rPr>
        <w:t>Incentives research.</w:t>
      </w:r>
    </w:p>
    <w:p w14:paraId="25A98A52" w14:textId="4A750AD7" w:rsidR="005D0450" w:rsidRPr="0076503E" w:rsidRDefault="005D0450" w:rsidP="00B96D99">
      <w:pPr>
        <w:pStyle w:val="FootnoteText"/>
        <w:jc w:val="both"/>
        <w:rPr>
          <w:rFonts w:ascii="Arial" w:hAnsi="Arial" w:cs="Arial"/>
        </w:rPr>
      </w:pPr>
    </w:p>
    <w:p w14:paraId="072DC9FA" w14:textId="4A96B9FA" w:rsidR="005D0450" w:rsidRPr="0076503E" w:rsidRDefault="005D0450" w:rsidP="00B96D99">
      <w:pPr>
        <w:pStyle w:val="FootnoteText"/>
        <w:jc w:val="both"/>
        <w:rPr>
          <w:rFonts w:ascii="Arial" w:hAnsi="Arial" w:cs="Arial"/>
          <w:lang w:val="en-ZA"/>
        </w:rPr>
      </w:pPr>
      <w:r w:rsidRPr="0076503E">
        <w:rPr>
          <w:rFonts w:ascii="Arial" w:hAnsi="Arial" w:cs="Arial"/>
          <w:lang w:val="en-ZA"/>
        </w:rPr>
        <w:t xml:space="preserve">De </w:t>
      </w:r>
      <w:proofErr w:type="spellStart"/>
      <w:r w:rsidRPr="0076503E">
        <w:rPr>
          <w:rFonts w:ascii="Arial" w:hAnsi="Arial" w:cs="Arial"/>
          <w:lang w:val="en-ZA"/>
        </w:rPr>
        <w:t>Renzio</w:t>
      </w:r>
      <w:proofErr w:type="spellEnd"/>
      <w:r w:rsidRPr="0076503E">
        <w:rPr>
          <w:rFonts w:ascii="Arial" w:hAnsi="Arial" w:cs="Arial"/>
          <w:lang w:val="en-ZA"/>
        </w:rPr>
        <w:t xml:space="preserve">, P., and </w:t>
      </w:r>
      <w:proofErr w:type="spellStart"/>
      <w:r w:rsidRPr="0076503E">
        <w:rPr>
          <w:rFonts w:ascii="Arial" w:hAnsi="Arial" w:cs="Arial"/>
          <w:lang w:val="en-ZA"/>
        </w:rPr>
        <w:t>Mastruzzi</w:t>
      </w:r>
      <w:proofErr w:type="spellEnd"/>
      <w:r w:rsidRPr="0076503E">
        <w:rPr>
          <w:rFonts w:ascii="Arial" w:hAnsi="Arial" w:cs="Arial"/>
          <w:lang w:val="en-ZA"/>
        </w:rPr>
        <w:t>, M. (2016). “</w:t>
      </w:r>
      <w:hyperlink r:id="rId1466" w:history="1">
        <w:r w:rsidRPr="0076503E">
          <w:rPr>
            <w:rStyle w:val="Hyperlink"/>
            <w:rFonts w:ascii="Arial" w:hAnsi="Arial" w:cs="Arial"/>
            <w:lang w:val="en-ZA"/>
          </w:rPr>
          <w:t>How Does Civil Society Use Budget Information? Mapping Fiscal Transparency Gaps and Needs in Developing Countries</w:t>
        </w:r>
      </w:hyperlink>
      <w:r w:rsidRPr="0076503E">
        <w:rPr>
          <w:rFonts w:ascii="Arial" w:hAnsi="Arial" w:cs="Arial"/>
          <w:lang w:val="en-ZA"/>
        </w:rPr>
        <w:t>”. IBP/GIFT.</w:t>
      </w:r>
    </w:p>
    <w:p w14:paraId="136976D4" w14:textId="0A3D6A24" w:rsidR="00086690" w:rsidRPr="0076503E" w:rsidRDefault="00086690" w:rsidP="00B96D99">
      <w:pPr>
        <w:pStyle w:val="FootnoteText"/>
        <w:jc w:val="both"/>
        <w:rPr>
          <w:rFonts w:ascii="Arial" w:hAnsi="Arial" w:cs="Arial"/>
          <w:lang w:val="en-ZA"/>
        </w:rPr>
      </w:pPr>
    </w:p>
    <w:p w14:paraId="7C7EEACE" w14:textId="77777777" w:rsidR="00086690" w:rsidRPr="0076503E" w:rsidRDefault="00086690" w:rsidP="00B96D99">
      <w:pPr>
        <w:pStyle w:val="FootnoteText"/>
        <w:jc w:val="both"/>
        <w:rPr>
          <w:rFonts w:ascii="Arial" w:hAnsi="Arial" w:cs="Arial"/>
          <w:lang w:val="en-ZA"/>
        </w:rPr>
      </w:pPr>
      <w:r w:rsidRPr="0076503E">
        <w:rPr>
          <w:rFonts w:ascii="Arial" w:hAnsi="Arial" w:cs="Arial"/>
          <w:lang w:val="en-US"/>
        </w:rPr>
        <w:t xml:space="preserve">De </w:t>
      </w:r>
      <w:proofErr w:type="spellStart"/>
      <w:r w:rsidRPr="0076503E">
        <w:rPr>
          <w:rFonts w:ascii="Arial" w:hAnsi="Arial" w:cs="Arial"/>
          <w:lang w:val="en-US"/>
        </w:rPr>
        <w:t>Renzio</w:t>
      </w:r>
      <w:proofErr w:type="spellEnd"/>
      <w:r w:rsidRPr="0076503E">
        <w:rPr>
          <w:rFonts w:ascii="Arial" w:hAnsi="Arial" w:cs="Arial"/>
          <w:lang w:val="en-US"/>
        </w:rPr>
        <w:t>, P. (2016). “</w:t>
      </w:r>
      <w:hyperlink r:id="rId1467" w:history="1">
        <w:r w:rsidRPr="0076503E">
          <w:rPr>
            <w:rStyle w:val="Hyperlink"/>
            <w:rFonts w:ascii="Arial" w:hAnsi="Arial" w:cs="Arial"/>
          </w:rPr>
          <w:t>Creating Incentives for Budget Accountability and Good Financial Governance Through an Ecosystem Approach: What Can External Actors Do</w:t>
        </w:r>
      </w:hyperlink>
      <w:r w:rsidRPr="0076503E">
        <w:rPr>
          <w:rFonts w:ascii="Arial" w:hAnsi="Arial" w:cs="Arial"/>
        </w:rPr>
        <w:t xml:space="preserve">?”. IBP and </w:t>
      </w:r>
      <w:r w:rsidRPr="0076503E">
        <w:rPr>
          <w:rFonts w:ascii="Arial" w:hAnsi="Arial" w:cs="Arial"/>
          <w:lang w:val="en-US"/>
        </w:rPr>
        <w:t xml:space="preserve">Deutsche Gesellschaft </w:t>
      </w:r>
      <w:proofErr w:type="spellStart"/>
      <w:r w:rsidRPr="0076503E">
        <w:rPr>
          <w:rFonts w:ascii="Arial" w:hAnsi="Arial" w:cs="Arial"/>
          <w:lang w:val="en-US"/>
        </w:rPr>
        <w:t>für</w:t>
      </w:r>
      <w:proofErr w:type="spellEnd"/>
      <w:r w:rsidRPr="0076503E">
        <w:rPr>
          <w:rFonts w:ascii="Arial" w:hAnsi="Arial" w:cs="Arial"/>
          <w:lang w:val="en-US"/>
        </w:rPr>
        <w:t xml:space="preserve"> </w:t>
      </w:r>
      <w:proofErr w:type="spellStart"/>
      <w:r w:rsidRPr="0076503E">
        <w:rPr>
          <w:rFonts w:ascii="Arial" w:hAnsi="Arial" w:cs="Arial"/>
          <w:lang w:val="en-US"/>
        </w:rPr>
        <w:t>Internationale</w:t>
      </w:r>
      <w:proofErr w:type="spellEnd"/>
      <w:r w:rsidRPr="0076503E">
        <w:rPr>
          <w:rFonts w:ascii="Arial" w:hAnsi="Arial" w:cs="Arial"/>
          <w:lang w:val="en-US"/>
        </w:rPr>
        <w:t xml:space="preserve"> </w:t>
      </w:r>
      <w:proofErr w:type="spellStart"/>
      <w:r w:rsidRPr="0076503E">
        <w:rPr>
          <w:rFonts w:ascii="Arial" w:hAnsi="Arial" w:cs="Arial"/>
          <w:lang w:val="en-US"/>
        </w:rPr>
        <w:t>Zusammenarbeit</w:t>
      </w:r>
      <w:proofErr w:type="spellEnd"/>
      <w:r w:rsidRPr="0076503E">
        <w:rPr>
          <w:rFonts w:ascii="Arial" w:hAnsi="Arial" w:cs="Arial"/>
          <w:lang w:val="en-US"/>
        </w:rPr>
        <w:t xml:space="preserve"> GmbH</w:t>
      </w:r>
      <w:r w:rsidRPr="0076503E">
        <w:rPr>
          <w:rFonts w:ascii="Arial" w:hAnsi="Arial" w:cs="Arial"/>
        </w:rPr>
        <w:t xml:space="preserve"> (GIZ).</w:t>
      </w:r>
    </w:p>
    <w:p w14:paraId="3DABBBE4" w14:textId="7364914D" w:rsidR="00056805" w:rsidRPr="0076503E" w:rsidRDefault="00056805" w:rsidP="00B96D99">
      <w:pPr>
        <w:pStyle w:val="FootnoteText"/>
        <w:jc w:val="both"/>
        <w:rPr>
          <w:rFonts w:ascii="Arial" w:hAnsi="Arial" w:cs="Arial"/>
          <w:lang w:val="en-ZA"/>
        </w:rPr>
      </w:pPr>
    </w:p>
    <w:p w14:paraId="74273380" w14:textId="21109976" w:rsidR="00056805" w:rsidRPr="0076503E" w:rsidRDefault="00056805" w:rsidP="00B96D99">
      <w:pPr>
        <w:pStyle w:val="FootnoteText"/>
        <w:jc w:val="both"/>
        <w:rPr>
          <w:rFonts w:ascii="Arial" w:hAnsi="Arial" w:cs="Arial"/>
          <w:lang w:val="en-ZA"/>
        </w:rPr>
      </w:pPr>
      <w:r w:rsidRPr="0076503E">
        <w:rPr>
          <w:rFonts w:ascii="Arial" w:hAnsi="Arial" w:cs="Arial"/>
          <w:lang w:val="en-ZA"/>
        </w:rPr>
        <w:t>D</w:t>
      </w:r>
      <w:r w:rsidRPr="0076503E">
        <w:rPr>
          <w:rFonts w:ascii="Arial" w:hAnsi="Arial" w:cs="Arial"/>
          <w:lang w:val="en-US"/>
        </w:rPr>
        <w:t xml:space="preserve">e </w:t>
      </w:r>
      <w:proofErr w:type="spellStart"/>
      <w:r w:rsidRPr="0076503E">
        <w:rPr>
          <w:rFonts w:ascii="Arial" w:hAnsi="Arial" w:cs="Arial"/>
          <w:lang w:val="en-US"/>
        </w:rPr>
        <w:t>Renzio</w:t>
      </w:r>
      <w:proofErr w:type="spellEnd"/>
      <w:r w:rsidRPr="0076503E">
        <w:rPr>
          <w:rFonts w:ascii="Arial" w:hAnsi="Arial" w:cs="Arial"/>
          <w:lang w:val="en-US"/>
        </w:rPr>
        <w:t>, P. (2017). “</w:t>
      </w:r>
      <w:hyperlink r:id="rId1468" w:history="1">
        <w:r w:rsidRPr="0076503E">
          <w:rPr>
            <w:rStyle w:val="Hyperlink"/>
            <w:rFonts w:ascii="Arial" w:hAnsi="Arial" w:cs="Arial"/>
            <w:lang w:val="en-ZA"/>
          </w:rPr>
          <w:t>Why OPEN Government? Looking at incentives for fiscal openness through the eyes of experts and reform champions</w:t>
        </w:r>
      </w:hyperlink>
      <w:r w:rsidRPr="0076503E">
        <w:rPr>
          <w:rFonts w:ascii="Arial" w:hAnsi="Arial" w:cs="Arial"/>
          <w:lang w:val="en-ZA"/>
        </w:rPr>
        <w:t>”. GIFT and IBP.</w:t>
      </w:r>
    </w:p>
    <w:p w14:paraId="14DC0F2C" w14:textId="7F3CCEA6" w:rsidR="00056805" w:rsidRPr="0076503E" w:rsidRDefault="00056805" w:rsidP="00B96D99">
      <w:pPr>
        <w:pStyle w:val="FootnoteText"/>
        <w:jc w:val="both"/>
        <w:rPr>
          <w:rFonts w:ascii="Arial" w:hAnsi="Arial" w:cs="Arial"/>
          <w:lang w:val="en-ZA"/>
        </w:rPr>
      </w:pPr>
    </w:p>
    <w:p w14:paraId="06663FAB" w14:textId="77777777" w:rsidR="00056805" w:rsidRPr="0076503E" w:rsidRDefault="00056805" w:rsidP="00B96D99">
      <w:pPr>
        <w:pStyle w:val="FootnoteText"/>
        <w:jc w:val="both"/>
        <w:rPr>
          <w:rFonts w:ascii="Arial" w:hAnsi="Arial" w:cs="Arial"/>
          <w:lang w:val="en-ZA"/>
        </w:rPr>
      </w:pPr>
      <w:r w:rsidRPr="0076503E">
        <w:rPr>
          <w:rFonts w:ascii="Arial" w:hAnsi="Arial" w:cs="Arial"/>
          <w:lang w:val="en-US"/>
        </w:rPr>
        <w:t xml:space="preserve">De </w:t>
      </w:r>
      <w:proofErr w:type="spellStart"/>
      <w:r w:rsidRPr="0076503E">
        <w:rPr>
          <w:rFonts w:ascii="Arial" w:hAnsi="Arial" w:cs="Arial"/>
          <w:lang w:val="en-US"/>
        </w:rPr>
        <w:t>Renzio</w:t>
      </w:r>
      <w:proofErr w:type="spellEnd"/>
      <w:r w:rsidRPr="0076503E">
        <w:rPr>
          <w:rFonts w:ascii="Arial" w:hAnsi="Arial" w:cs="Arial"/>
          <w:lang w:val="en-US"/>
        </w:rPr>
        <w:t>, P., Hiller D., and Hasan, S. (2017) “</w:t>
      </w:r>
      <w:hyperlink r:id="rId1469" w:history="1">
        <w:r w:rsidRPr="0076503E">
          <w:rPr>
            <w:rStyle w:val="Hyperlink"/>
            <w:rFonts w:ascii="Arial" w:hAnsi="Arial" w:cs="Arial"/>
            <w:lang w:val="en-US"/>
          </w:rPr>
          <w:t>Taking Stock of the Volatility of Budget Transparency</w:t>
        </w:r>
      </w:hyperlink>
      <w:r w:rsidRPr="0076503E">
        <w:rPr>
          <w:rFonts w:ascii="Arial" w:hAnsi="Arial" w:cs="Arial"/>
          <w:lang w:val="en-US"/>
        </w:rPr>
        <w:t>”. IBP.</w:t>
      </w:r>
    </w:p>
    <w:p w14:paraId="66DB4304" w14:textId="77777777" w:rsidR="00340613" w:rsidRPr="0076503E" w:rsidRDefault="00340613" w:rsidP="00B96D99">
      <w:pPr>
        <w:pStyle w:val="FootnoteText"/>
        <w:jc w:val="both"/>
        <w:rPr>
          <w:rFonts w:ascii="Arial" w:hAnsi="Arial" w:cs="Arial"/>
        </w:rPr>
      </w:pPr>
    </w:p>
    <w:p w14:paraId="2E90021F" w14:textId="6BF8D645" w:rsidR="00F92B95" w:rsidRPr="0076503E" w:rsidRDefault="00F92B95" w:rsidP="00B96D99">
      <w:pPr>
        <w:pStyle w:val="FootnoteText"/>
        <w:jc w:val="both"/>
        <w:rPr>
          <w:rFonts w:ascii="Arial" w:hAnsi="Arial" w:cs="Arial"/>
        </w:rPr>
      </w:pPr>
      <w:r w:rsidRPr="0076503E">
        <w:rPr>
          <w:rFonts w:ascii="Arial" w:hAnsi="Arial" w:cs="Arial"/>
          <w:lang w:val="en-ZA"/>
        </w:rPr>
        <w:t xml:space="preserve">De </w:t>
      </w:r>
      <w:proofErr w:type="spellStart"/>
      <w:r w:rsidRPr="0076503E">
        <w:rPr>
          <w:rFonts w:ascii="Arial" w:hAnsi="Arial" w:cs="Arial"/>
          <w:lang w:val="en-ZA"/>
        </w:rPr>
        <w:t>Renzio</w:t>
      </w:r>
      <w:proofErr w:type="spellEnd"/>
      <w:r w:rsidRPr="0076503E">
        <w:rPr>
          <w:rFonts w:ascii="Arial" w:hAnsi="Arial" w:cs="Arial"/>
        </w:rPr>
        <w:t xml:space="preserve">, P. (2019). </w:t>
      </w:r>
      <w:r w:rsidR="0065447E" w:rsidRPr="0076503E">
        <w:rPr>
          <w:rFonts w:ascii="Arial" w:hAnsi="Arial" w:cs="Arial"/>
        </w:rPr>
        <w:t>“</w:t>
      </w:r>
      <w:hyperlink r:id="rId1470" w:history="1">
        <w:r w:rsidRPr="0076503E">
          <w:rPr>
            <w:rStyle w:val="Hyperlink"/>
            <w:rFonts w:ascii="Arial" w:hAnsi="Arial" w:cs="Arial"/>
          </w:rPr>
          <w:t>Counted But Not Accountable: Tax Expenditure Transparency in Latin America</w:t>
        </w:r>
      </w:hyperlink>
      <w:r w:rsidRPr="0076503E">
        <w:rPr>
          <w:rFonts w:ascii="Arial" w:hAnsi="Arial" w:cs="Arial"/>
        </w:rPr>
        <w:t>”</w:t>
      </w:r>
      <w:r w:rsidR="0038315B">
        <w:rPr>
          <w:rFonts w:ascii="Arial" w:hAnsi="Arial" w:cs="Arial"/>
        </w:rPr>
        <w:t>.</w:t>
      </w:r>
      <w:r w:rsidRPr="0076503E">
        <w:rPr>
          <w:rFonts w:ascii="Arial" w:hAnsi="Arial" w:cs="Arial"/>
        </w:rPr>
        <w:t xml:space="preserve"> IBP.</w:t>
      </w:r>
    </w:p>
    <w:p w14:paraId="5D67F44C" w14:textId="6FE7544D" w:rsidR="00F92B95" w:rsidRPr="0076503E" w:rsidRDefault="00F92B95" w:rsidP="00B96D99">
      <w:pPr>
        <w:pStyle w:val="FootnoteText"/>
        <w:jc w:val="both"/>
        <w:rPr>
          <w:rFonts w:ascii="Arial" w:hAnsi="Arial" w:cs="Arial"/>
        </w:rPr>
      </w:pPr>
    </w:p>
    <w:p w14:paraId="1899FFF1" w14:textId="6E216561" w:rsidR="00F92B95" w:rsidRPr="0076503E" w:rsidRDefault="00F92B95" w:rsidP="00B96D99">
      <w:pPr>
        <w:pStyle w:val="FootnoteText"/>
        <w:jc w:val="both"/>
        <w:rPr>
          <w:rFonts w:ascii="Arial" w:hAnsi="Arial" w:cs="Arial"/>
        </w:rPr>
      </w:pPr>
      <w:r w:rsidRPr="0076503E">
        <w:rPr>
          <w:rFonts w:ascii="Arial" w:hAnsi="Arial" w:cs="Arial"/>
        </w:rPr>
        <w:t xml:space="preserve">De </w:t>
      </w:r>
      <w:proofErr w:type="spellStart"/>
      <w:r w:rsidRPr="0076503E">
        <w:rPr>
          <w:rFonts w:ascii="Arial" w:hAnsi="Arial" w:cs="Arial"/>
        </w:rPr>
        <w:t>Renzio</w:t>
      </w:r>
      <w:proofErr w:type="spellEnd"/>
      <w:r w:rsidRPr="0076503E">
        <w:rPr>
          <w:rFonts w:ascii="Arial" w:hAnsi="Arial" w:cs="Arial"/>
        </w:rPr>
        <w:t>, P., and Guerrero, J.P. (2021). “</w:t>
      </w:r>
      <w:hyperlink r:id="rId1471" w:history="1">
        <w:r w:rsidRPr="0076503E">
          <w:rPr>
            <w:rStyle w:val="Hyperlink"/>
            <w:rFonts w:ascii="Arial" w:hAnsi="Arial" w:cs="Arial"/>
            <w:iCs/>
          </w:rPr>
          <w:t>Promoting more open and accountable tax systems: The Role of International principles and standards</w:t>
        </w:r>
      </w:hyperlink>
      <w:r w:rsidRPr="0076503E">
        <w:rPr>
          <w:rFonts w:ascii="Arial" w:hAnsi="Arial" w:cs="Arial"/>
          <w:iCs/>
        </w:rPr>
        <w:t>”. IBP and GIFT.</w:t>
      </w:r>
    </w:p>
    <w:p w14:paraId="6C82D98C" w14:textId="77777777" w:rsidR="00F92B95" w:rsidRPr="0076503E" w:rsidRDefault="00F92B95" w:rsidP="00B96D99">
      <w:pPr>
        <w:pStyle w:val="FootnoteText"/>
        <w:jc w:val="both"/>
        <w:rPr>
          <w:rFonts w:ascii="Arial" w:hAnsi="Arial" w:cs="Arial"/>
        </w:rPr>
      </w:pPr>
    </w:p>
    <w:p w14:paraId="2CDA4A6D" w14:textId="611A99CA" w:rsidR="00340613" w:rsidRPr="0076503E" w:rsidRDefault="00340613" w:rsidP="00B96D99">
      <w:pPr>
        <w:pStyle w:val="FootnoteText"/>
        <w:jc w:val="both"/>
        <w:rPr>
          <w:rFonts w:ascii="Arial" w:hAnsi="Arial" w:cs="Arial"/>
        </w:rPr>
      </w:pPr>
      <w:r w:rsidRPr="0076503E">
        <w:rPr>
          <w:rFonts w:ascii="Arial" w:hAnsi="Arial" w:cs="Arial"/>
        </w:rPr>
        <w:t xml:space="preserve">De </w:t>
      </w:r>
      <w:proofErr w:type="spellStart"/>
      <w:r w:rsidRPr="0076503E">
        <w:rPr>
          <w:rFonts w:ascii="Arial" w:hAnsi="Arial" w:cs="Arial"/>
        </w:rPr>
        <w:t>Renzio</w:t>
      </w:r>
      <w:proofErr w:type="spellEnd"/>
      <w:r w:rsidRPr="0076503E">
        <w:rPr>
          <w:rFonts w:ascii="Arial" w:hAnsi="Arial" w:cs="Arial"/>
        </w:rPr>
        <w:t xml:space="preserve">, P., Haus, P., and </w:t>
      </w:r>
      <w:proofErr w:type="spellStart"/>
      <w:r w:rsidRPr="0076503E">
        <w:rPr>
          <w:rFonts w:ascii="Arial" w:hAnsi="Arial" w:cs="Arial"/>
        </w:rPr>
        <w:t>Wehner</w:t>
      </w:r>
      <w:proofErr w:type="spellEnd"/>
      <w:r w:rsidRPr="0076503E">
        <w:rPr>
          <w:rFonts w:ascii="Arial" w:hAnsi="Arial" w:cs="Arial"/>
        </w:rPr>
        <w:t>, J. (2022). “</w:t>
      </w:r>
      <w:hyperlink r:id="rId1472" w:history="1">
        <w:r w:rsidRPr="0076503E">
          <w:rPr>
            <w:rStyle w:val="Hyperlink"/>
            <w:rFonts w:ascii="Arial" w:hAnsi="Arial" w:cs="Arial"/>
          </w:rPr>
          <w:t>(When) Do Open Budgets Transform Lives? Progress and Next Steps in Fiscal Openness Research</w:t>
        </w:r>
      </w:hyperlink>
      <w:r w:rsidRPr="0076503E">
        <w:rPr>
          <w:rFonts w:ascii="Arial" w:hAnsi="Arial" w:cs="Arial"/>
        </w:rPr>
        <w:t>”</w:t>
      </w:r>
      <w:r w:rsidR="000A3A1D">
        <w:rPr>
          <w:rFonts w:ascii="Arial" w:hAnsi="Arial" w:cs="Arial"/>
        </w:rPr>
        <w:t>.</w:t>
      </w:r>
      <w:r w:rsidRPr="0076503E">
        <w:rPr>
          <w:rFonts w:ascii="Arial" w:hAnsi="Arial" w:cs="Arial"/>
        </w:rPr>
        <w:t xml:space="preserve"> GIFT, IBP and OGP.</w:t>
      </w:r>
    </w:p>
    <w:p w14:paraId="10F51C89" w14:textId="28DE4C7A" w:rsidR="00B22899" w:rsidRPr="0076503E" w:rsidRDefault="00B22899" w:rsidP="00B96D99">
      <w:pPr>
        <w:pStyle w:val="FootnoteText"/>
        <w:jc w:val="both"/>
        <w:rPr>
          <w:rFonts w:ascii="Arial" w:hAnsi="Arial" w:cs="Arial"/>
        </w:rPr>
      </w:pPr>
    </w:p>
    <w:p w14:paraId="6B71E20B" w14:textId="2D993B57" w:rsidR="00365873" w:rsidRPr="0076503E" w:rsidRDefault="00365873" w:rsidP="00365873">
      <w:pPr>
        <w:pStyle w:val="FootnoteText"/>
        <w:rPr>
          <w:rFonts w:ascii="Arial" w:hAnsi="Arial" w:cs="Arial"/>
          <w:bCs/>
          <w:u w:val="single"/>
          <w:lang w:val="en-ZA"/>
        </w:rPr>
      </w:pPr>
      <w:proofErr w:type="spellStart"/>
      <w:r w:rsidRPr="0076503E">
        <w:rPr>
          <w:rFonts w:ascii="Arial" w:hAnsi="Arial" w:cs="Arial"/>
          <w:bCs/>
          <w:lang w:val="en-ZA"/>
        </w:rPr>
        <w:t>eID</w:t>
      </w:r>
      <w:proofErr w:type="spellEnd"/>
      <w:r w:rsidRPr="0076503E">
        <w:rPr>
          <w:rFonts w:ascii="Arial" w:hAnsi="Arial" w:cs="Arial"/>
          <w:bCs/>
          <w:lang w:val="en-ZA"/>
        </w:rPr>
        <w:t xml:space="preserve"> blog. (2020). </w:t>
      </w:r>
      <w:hyperlink r:id="rId1473" w:history="1">
        <w:r w:rsidRPr="0076503E">
          <w:rPr>
            <w:rStyle w:val="Hyperlink"/>
            <w:rFonts w:ascii="Arial" w:hAnsi="Arial" w:cs="Arial"/>
            <w:bCs/>
            <w:lang w:val="en-ZA"/>
          </w:rPr>
          <w:t xml:space="preserve">What is </w:t>
        </w:r>
        <w:proofErr w:type="spellStart"/>
        <w:r w:rsidRPr="0076503E">
          <w:rPr>
            <w:rStyle w:val="Hyperlink"/>
            <w:rFonts w:ascii="Arial" w:hAnsi="Arial" w:cs="Arial"/>
            <w:bCs/>
            <w:lang w:val="en-ZA"/>
          </w:rPr>
          <w:t>GovTech</w:t>
        </w:r>
        <w:proofErr w:type="spellEnd"/>
        <w:r w:rsidRPr="0076503E">
          <w:rPr>
            <w:rStyle w:val="Hyperlink"/>
            <w:rFonts w:ascii="Arial" w:hAnsi="Arial" w:cs="Arial"/>
            <w:bCs/>
            <w:lang w:val="en-ZA"/>
          </w:rPr>
          <w:t xml:space="preserve"> and why it is in the spotlight</w:t>
        </w:r>
      </w:hyperlink>
      <w:r w:rsidRPr="0076503E">
        <w:rPr>
          <w:rFonts w:ascii="Arial" w:hAnsi="Arial" w:cs="Arial"/>
          <w:bCs/>
          <w:u w:val="single"/>
          <w:lang w:val="en-ZA"/>
        </w:rPr>
        <w:t>.</w:t>
      </w:r>
    </w:p>
    <w:p w14:paraId="739BFD52" w14:textId="77777777" w:rsidR="00365873" w:rsidRPr="0076503E" w:rsidRDefault="00365873" w:rsidP="00B96D99">
      <w:pPr>
        <w:pStyle w:val="FootnoteText"/>
        <w:jc w:val="both"/>
        <w:rPr>
          <w:rFonts w:ascii="Arial" w:hAnsi="Arial" w:cs="Arial"/>
        </w:rPr>
      </w:pPr>
    </w:p>
    <w:p w14:paraId="3F7FF2C9" w14:textId="281CF417" w:rsidR="00F1499A" w:rsidRPr="0076503E" w:rsidRDefault="00F1499A" w:rsidP="00B96D99">
      <w:pPr>
        <w:pStyle w:val="FootnoteText"/>
        <w:jc w:val="both"/>
        <w:rPr>
          <w:rFonts w:ascii="Arial" w:hAnsi="Arial" w:cs="Arial"/>
          <w:lang w:val="en-ZA"/>
        </w:rPr>
      </w:pPr>
      <w:r w:rsidRPr="0076503E">
        <w:rPr>
          <w:rFonts w:ascii="Arial" w:hAnsi="Arial" w:cs="Arial"/>
        </w:rPr>
        <w:t>Espinoza, R., Gaspar, V., and Mauro,</w:t>
      </w:r>
      <w:r w:rsidRPr="0076503E">
        <w:rPr>
          <w:rFonts w:ascii="Arial" w:hAnsi="Arial" w:cs="Arial"/>
          <w:lang w:val="en-ZA"/>
        </w:rPr>
        <w:t xml:space="preserve"> </w:t>
      </w:r>
      <w:r w:rsidRPr="0076503E">
        <w:rPr>
          <w:rFonts w:ascii="Arial" w:hAnsi="Arial" w:cs="Arial"/>
        </w:rPr>
        <w:t xml:space="preserve">P. </w:t>
      </w:r>
      <w:r w:rsidRPr="0076503E">
        <w:rPr>
          <w:rFonts w:ascii="Arial" w:hAnsi="Arial" w:cs="Arial"/>
          <w:lang w:val="en-ZA"/>
        </w:rPr>
        <w:t>(2021). “</w:t>
      </w:r>
      <w:hyperlink r:id="rId1474" w:history="1">
        <w:r w:rsidRPr="0076503E">
          <w:rPr>
            <w:rStyle w:val="Hyperlink"/>
            <w:rFonts w:ascii="Arial" w:hAnsi="Arial" w:cs="Arial"/>
            <w:lang w:val="en-ZA"/>
          </w:rPr>
          <w:t>When It Comes to Public Finances, Credibility is Key</w:t>
        </w:r>
      </w:hyperlink>
      <w:r w:rsidRPr="0076503E">
        <w:rPr>
          <w:rFonts w:ascii="Arial" w:hAnsi="Arial" w:cs="Arial"/>
          <w:lang w:val="en-ZA"/>
        </w:rPr>
        <w:t>”. IMF Blog.</w:t>
      </w:r>
    </w:p>
    <w:p w14:paraId="4B6E3F35" w14:textId="64C3ECDC" w:rsidR="00F1499A" w:rsidRPr="0076503E" w:rsidRDefault="00F1499A" w:rsidP="00B96D99">
      <w:pPr>
        <w:pStyle w:val="FootnoteText"/>
        <w:jc w:val="both"/>
        <w:rPr>
          <w:rFonts w:ascii="Arial" w:hAnsi="Arial" w:cs="Arial"/>
        </w:rPr>
      </w:pPr>
    </w:p>
    <w:p w14:paraId="4B62A942" w14:textId="650AD471" w:rsidR="009205C9" w:rsidRPr="0076503E" w:rsidRDefault="009205C9" w:rsidP="00B96D99">
      <w:pPr>
        <w:pStyle w:val="FootnoteText"/>
        <w:jc w:val="both"/>
        <w:rPr>
          <w:rFonts w:ascii="Arial" w:hAnsi="Arial" w:cs="Arial"/>
        </w:rPr>
      </w:pPr>
      <w:r w:rsidRPr="0076503E">
        <w:rPr>
          <w:rFonts w:ascii="Arial" w:hAnsi="Arial" w:cs="Arial"/>
        </w:rPr>
        <w:t xml:space="preserve">European Commission. </w:t>
      </w:r>
      <w:hyperlink r:id="rId1475" w:history="1">
        <w:r w:rsidRPr="0076503E">
          <w:rPr>
            <w:rStyle w:val="Hyperlink"/>
            <w:rFonts w:ascii="Arial" w:hAnsi="Arial" w:cs="Arial"/>
          </w:rPr>
          <w:t>European Data Portal</w:t>
        </w:r>
      </w:hyperlink>
      <w:r w:rsidRPr="0076503E">
        <w:rPr>
          <w:rFonts w:ascii="Arial" w:hAnsi="Arial" w:cs="Arial"/>
        </w:rPr>
        <w:t>.</w:t>
      </w:r>
    </w:p>
    <w:p w14:paraId="2FA5A674" w14:textId="77777777" w:rsidR="00F1499A" w:rsidRPr="0076503E" w:rsidRDefault="00F1499A" w:rsidP="00B96D99">
      <w:pPr>
        <w:pStyle w:val="FootnoteText"/>
        <w:jc w:val="both"/>
        <w:rPr>
          <w:rFonts w:ascii="Arial" w:hAnsi="Arial" w:cs="Arial"/>
        </w:rPr>
      </w:pPr>
    </w:p>
    <w:p w14:paraId="7328B1F1" w14:textId="01EB0183" w:rsidR="00B22899" w:rsidRPr="0076503E" w:rsidRDefault="00AC4DF7" w:rsidP="00B96D99">
      <w:pPr>
        <w:pStyle w:val="FootnoteText"/>
        <w:jc w:val="both"/>
        <w:rPr>
          <w:rFonts w:ascii="Arial" w:hAnsi="Arial" w:cs="Arial"/>
        </w:rPr>
      </w:pPr>
      <w:hyperlink r:id="rId1476" w:history="1">
        <w:r w:rsidR="00B22899" w:rsidRPr="0076503E">
          <w:rPr>
            <w:rStyle w:val="Hyperlink"/>
            <w:rFonts w:ascii="Arial" w:hAnsi="Arial" w:cs="Arial"/>
          </w:rPr>
          <w:t>European System of Accounts</w:t>
        </w:r>
      </w:hyperlink>
      <w:r w:rsidR="00B22899" w:rsidRPr="0076503E">
        <w:rPr>
          <w:rFonts w:ascii="Arial" w:hAnsi="Arial" w:cs="Arial"/>
        </w:rPr>
        <w:t>. (2010).</w:t>
      </w:r>
    </w:p>
    <w:p w14:paraId="1F1250D6" w14:textId="33F4C6FF" w:rsidR="00EF5A8E" w:rsidRPr="0076503E" w:rsidRDefault="00EF5A8E" w:rsidP="00B96D99">
      <w:pPr>
        <w:pStyle w:val="FootnoteText"/>
        <w:jc w:val="both"/>
        <w:rPr>
          <w:rFonts w:ascii="Arial" w:hAnsi="Arial" w:cs="Arial"/>
        </w:rPr>
      </w:pPr>
    </w:p>
    <w:p w14:paraId="5082E17A" w14:textId="34649B3A" w:rsidR="00EF5A8E" w:rsidRPr="0076503E" w:rsidRDefault="00EF5A8E" w:rsidP="00B96D99">
      <w:pPr>
        <w:pStyle w:val="FootnoteText"/>
        <w:jc w:val="both"/>
        <w:rPr>
          <w:rFonts w:ascii="Arial" w:hAnsi="Arial" w:cs="Arial"/>
        </w:rPr>
      </w:pPr>
      <w:r w:rsidRPr="0076503E">
        <w:rPr>
          <w:rFonts w:ascii="Arial" w:hAnsi="Arial" w:cs="Arial"/>
        </w:rPr>
        <w:t xml:space="preserve">European Parliamentarians with Africa. (2011). </w:t>
      </w:r>
      <w:hyperlink r:id="rId1477" w:history="1">
        <w:r w:rsidRPr="0076503E">
          <w:rPr>
            <w:rStyle w:val="Hyperlink"/>
            <w:rFonts w:ascii="Arial" w:hAnsi="Arial" w:cs="Arial"/>
          </w:rPr>
          <w:t>The Legislative Principles for Development Effectiveness</w:t>
        </w:r>
      </w:hyperlink>
      <w:r w:rsidRPr="0076503E">
        <w:rPr>
          <w:rFonts w:ascii="Arial" w:hAnsi="Arial" w:cs="Arial"/>
        </w:rPr>
        <w:t>.</w:t>
      </w:r>
    </w:p>
    <w:p w14:paraId="344681EE" w14:textId="59C02EE5" w:rsidR="00B22899" w:rsidRPr="0076503E" w:rsidRDefault="00B22899" w:rsidP="00B96D99">
      <w:pPr>
        <w:pStyle w:val="FootnoteText"/>
        <w:jc w:val="both"/>
        <w:rPr>
          <w:rFonts w:ascii="Arial" w:hAnsi="Arial" w:cs="Arial"/>
        </w:rPr>
      </w:pPr>
    </w:p>
    <w:p w14:paraId="3CD3DA10" w14:textId="316F0C2F" w:rsidR="00B22899" w:rsidRPr="0076503E" w:rsidRDefault="00B22899" w:rsidP="00B96D99">
      <w:pPr>
        <w:pStyle w:val="FootnoteText"/>
        <w:jc w:val="both"/>
        <w:rPr>
          <w:rFonts w:ascii="Arial" w:hAnsi="Arial" w:cs="Arial"/>
        </w:rPr>
      </w:pPr>
      <w:r w:rsidRPr="0076503E">
        <w:rPr>
          <w:rFonts w:ascii="Arial" w:hAnsi="Arial" w:cs="Arial"/>
        </w:rPr>
        <w:t xml:space="preserve">Extractive Industries Transparency Initiative. (2019). </w:t>
      </w:r>
      <w:hyperlink r:id="rId1478" w:history="1">
        <w:r w:rsidRPr="0076503E">
          <w:rPr>
            <w:rStyle w:val="Hyperlink"/>
            <w:rFonts w:ascii="Arial" w:hAnsi="Arial" w:cs="Arial"/>
          </w:rPr>
          <w:t>Extractive Industries Transparency Initiative Standard</w:t>
        </w:r>
      </w:hyperlink>
      <w:r w:rsidRPr="0076503E">
        <w:rPr>
          <w:rFonts w:ascii="Arial" w:hAnsi="Arial" w:cs="Arial"/>
        </w:rPr>
        <w:t>.</w:t>
      </w:r>
    </w:p>
    <w:p w14:paraId="0C33324E" w14:textId="56F74E74" w:rsidR="007064B9" w:rsidRPr="0076503E" w:rsidRDefault="007064B9" w:rsidP="00B96D99">
      <w:pPr>
        <w:pStyle w:val="FootnoteText"/>
        <w:jc w:val="both"/>
        <w:rPr>
          <w:rFonts w:ascii="Arial" w:hAnsi="Arial" w:cs="Arial"/>
        </w:rPr>
      </w:pPr>
    </w:p>
    <w:p w14:paraId="522E0FAF" w14:textId="77777777" w:rsidR="007064B9" w:rsidRPr="0076503E" w:rsidRDefault="007064B9" w:rsidP="00B96D99">
      <w:pPr>
        <w:pStyle w:val="FootnoteText"/>
        <w:jc w:val="both"/>
        <w:rPr>
          <w:rFonts w:ascii="Arial" w:hAnsi="Arial" w:cs="Arial"/>
          <w:bCs/>
          <w:lang w:val="en-US"/>
        </w:rPr>
      </w:pPr>
      <w:r w:rsidRPr="0076503E">
        <w:rPr>
          <w:rFonts w:ascii="Arial" w:hAnsi="Arial" w:cs="Arial"/>
        </w:rPr>
        <w:t>Fabian, M., and Ferreira, R. (2022).  “</w:t>
      </w:r>
      <w:hyperlink r:id="rId1479" w:history="1">
        <w:r w:rsidRPr="0076503E">
          <w:rPr>
            <w:rStyle w:val="Hyperlink"/>
            <w:rFonts w:ascii="Arial" w:hAnsi="Arial" w:cs="Arial"/>
            <w:bCs/>
            <w:lang w:val="en-US"/>
          </w:rPr>
          <w:t>Civil Society’s Key Role in Promoting Transparent COVID-19 Fiscal Responses</w:t>
        </w:r>
      </w:hyperlink>
      <w:r w:rsidRPr="0076503E">
        <w:rPr>
          <w:rFonts w:ascii="Arial" w:hAnsi="Arial" w:cs="Arial"/>
          <w:bCs/>
          <w:lang w:val="en-US"/>
        </w:rPr>
        <w:t>”</w:t>
      </w:r>
      <w:r w:rsidRPr="0076503E">
        <w:rPr>
          <w:rFonts w:ascii="Arial" w:hAnsi="Arial" w:cs="Arial"/>
          <w:b/>
          <w:bCs/>
          <w:lang w:val="en-US"/>
        </w:rPr>
        <w:t xml:space="preserve">. </w:t>
      </w:r>
      <w:r w:rsidRPr="0076503E">
        <w:rPr>
          <w:rFonts w:ascii="Arial" w:hAnsi="Arial" w:cs="Arial"/>
          <w:bCs/>
          <w:lang w:val="en-US"/>
        </w:rPr>
        <w:t>GIFT/IMF Blog.</w:t>
      </w:r>
    </w:p>
    <w:p w14:paraId="5589B2F3" w14:textId="77777777" w:rsidR="00340613" w:rsidRPr="0076503E" w:rsidRDefault="00340613" w:rsidP="00B96D99">
      <w:pPr>
        <w:pStyle w:val="FootnoteText"/>
        <w:jc w:val="both"/>
        <w:rPr>
          <w:rFonts w:ascii="Arial" w:hAnsi="Arial" w:cs="Arial"/>
          <w:lang w:val="en-ZA"/>
        </w:rPr>
      </w:pPr>
    </w:p>
    <w:p w14:paraId="406BFB02" w14:textId="171B216B" w:rsidR="00D511D7" w:rsidRPr="0076503E" w:rsidRDefault="00D511D7" w:rsidP="00B96D99">
      <w:pPr>
        <w:pStyle w:val="FootnoteText"/>
        <w:jc w:val="both"/>
        <w:rPr>
          <w:rFonts w:ascii="Arial" w:hAnsi="Arial" w:cs="Arial"/>
          <w:lang w:val="en-US"/>
        </w:rPr>
      </w:pPr>
      <w:r w:rsidRPr="0076503E">
        <w:rPr>
          <w:rFonts w:ascii="Arial" w:hAnsi="Arial" w:cs="Arial"/>
        </w:rPr>
        <w:t>Farzana Afridi, F., and Iversen, V. (2014).  “</w:t>
      </w:r>
      <w:hyperlink r:id="rId1480" w:history="1">
        <w:r w:rsidRPr="0076503E">
          <w:rPr>
            <w:rStyle w:val="Hyperlink"/>
            <w:rFonts w:ascii="Arial" w:hAnsi="Arial" w:cs="Arial"/>
          </w:rPr>
          <w:t>Social audits and MGNREGA delivery: Lessons from Andhra Pradesh</w:t>
        </w:r>
      </w:hyperlink>
      <w:r w:rsidR="00CA7574">
        <w:rPr>
          <w:rFonts w:ascii="Arial" w:hAnsi="Arial" w:cs="Arial"/>
        </w:rPr>
        <w:t xml:space="preserve">”. </w:t>
      </w:r>
      <w:proofErr w:type="spellStart"/>
      <w:r w:rsidRPr="0076503E">
        <w:rPr>
          <w:rFonts w:ascii="Arial" w:hAnsi="Arial" w:cs="Arial"/>
        </w:rPr>
        <w:t>Forschungsinstitut</w:t>
      </w:r>
      <w:proofErr w:type="spellEnd"/>
      <w:r w:rsidRPr="0076503E">
        <w:rPr>
          <w:rFonts w:ascii="Arial" w:hAnsi="Arial" w:cs="Arial"/>
        </w:rPr>
        <w:t xml:space="preserve"> </w:t>
      </w:r>
      <w:proofErr w:type="spellStart"/>
      <w:r w:rsidRPr="0076503E">
        <w:rPr>
          <w:rFonts w:ascii="Arial" w:hAnsi="Arial" w:cs="Arial"/>
        </w:rPr>
        <w:t>zur</w:t>
      </w:r>
      <w:proofErr w:type="spellEnd"/>
      <w:r w:rsidRPr="0076503E">
        <w:rPr>
          <w:rFonts w:ascii="Arial" w:hAnsi="Arial" w:cs="Arial"/>
        </w:rPr>
        <w:t xml:space="preserve"> Zukunft der Arbeit Institute for the Study of </w:t>
      </w:r>
      <w:proofErr w:type="spellStart"/>
      <w:r w:rsidRPr="0076503E">
        <w:rPr>
          <w:rFonts w:ascii="Arial" w:hAnsi="Arial" w:cs="Arial"/>
        </w:rPr>
        <w:t>Labor</w:t>
      </w:r>
      <w:proofErr w:type="spellEnd"/>
      <w:r w:rsidRPr="0076503E">
        <w:rPr>
          <w:rFonts w:ascii="Arial" w:hAnsi="Arial" w:cs="Arial"/>
        </w:rPr>
        <w:t>.</w:t>
      </w:r>
    </w:p>
    <w:p w14:paraId="0335319C" w14:textId="77777777" w:rsidR="00D511D7" w:rsidRPr="0076503E" w:rsidRDefault="00D511D7" w:rsidP="00B96D99">
      <w:pPr>
        <w:pStyle w:val="FootnoteText"/>
        <w:jc w:val="both"/>
        <w:rPr>
          <w:rFonts w:ascii="Arial" w:hAnsi="Arial" w:cs="Arial"/>
        </w:rPr>
      </w:pPr>
    </w:p>
    <w:p w14:paraId="30C3FA22" w14:textId="6491FB3A" w:rsidR="00340613" w:rsidRPr="0076503E" w:rsidRDefault="00340613" w:rsidP="00B96D99">
      <w:pPr>
        <w:pStyle w:val="FootnoteText"/>
        <w:jc w:val="both"/>
        <w:rPr>
          <w:rFonts w:ascii="Arial" w:hAnsi="Arial" w:cs="Arial"/>
        </w:rPr>
      </w:pPr>
      <w:proofErr w:type="spellStart"/>
      <w:r w:rsidRPr="0076503E">
        <w:rPr>
          <w:rFonts w:ascii="Arial" w:hAnsi="Arial" w:cs="Arial"/>
        </w:rPr>
        <w:t>Ferraz</w:t>
      </w:r>
      <w:proofErr w:type="spellEnd"/>
      <w:r w:rsidRPr="0076503E">
        <w:rPr>
          <w:rFonts w:ascii="Arial" w:hAnsi="Arial" w:cs="Arial"/>
        </w:rPr>
        <w:t xml:space="preserve">, C. and </w:t>
      </w:r>
      <w:proofErr w:type="spellStart"/>
      <w:r w:rsidRPr="0076503E">
        <w:rPr>
          <w:rFonts w:ascii="Arial" w:hAnsi="Arial" w:cs="Arial"/>
        </w:rPr>
        <w:t>Finan</w:t>
      </w:r>
      <w:proofErr w:type="spellEnd"/>
      <w:r w:rsidRPr="0076503E">
        <w:rPr>
          <w:rFonts w:ascii="Arial" w:hAnsi="Arial" w:cs="Arial"/>
        </w:rPr>
        <w:t>, F. (2008). "</w:t>
      </w:r>
      <w:hyperlink r:id="rId1481" w:history="1">
        <w:r w:rsidRPr="0076503E">
          <w:rPr>
            <w:rStyle w:val="Hyperlink"/>
            <w:rFonts w:ascii="Arial" w:hAnsi="Arial" w:cs="Arial"/>
            <w:lang w:val="en"/>
          </w:rPr>
          <w:t>Exposing Corrupt Politicians: The Effects of Brazil's Publicly Released Audits on Electoral Outcomes</w:t>
        </w:r>
      </w:hyperlink>
      <w:r w:rsidRPr="0076503E">
        <w:rPr>
          <w:rFonts w:ascii="Arial" w:hAnsi="Arial" w:cs="Arial"/>
        </w:rPr>
        <w:t>"</w:t>
      </w:r>
      <w:r w:rsidR="00525887">
        <w:rPr>
          <w:rFonts w:ascii="Arial" w:hAnsi="Arial" w:cs="Arial"/>
        </w:rPr>
        <w:t>.</w:t>
      </w:r>
      <w:r w:rsidRPr="0076503E">
        <w:rPr>
          <w:rFonts w:ascii="Arial" w:hAnsi="Arial" w:cs="Arial"/>
        </w:rPr>
        <w:t xml:space="preserve"> Quarterly Journal of Economics 123(2): 703-745. </w:t>
      </w:r>
    </w:p>
    <w:p w14:paraId="6C7F2773" w14:textId="1ADAAE40" w:rsidR="00C2107D" w:rsidRPr="0076503E" w:rsidRDefault="00C2107D" w:rsidP="00B96D99">
      <w:pPr>
        <w:pStyle w:val="FootnoteText"/>
        <w:jc w:val="both"/>
        <w:rPr>
          <w:rFonts w:ascii="Arial" w:hAnsi="Arial" w:cs="Arial"/>
        </w:rPr>
      </w:pPr>
    </w:p>
    <w:p w14:paraId="35E56C96" w14:textId="319E9B31" w:rsidR="002C436D" w:rsidRPr="0076503E" w:rsidRDefault="00C2107D" w:rsidP="00B96D99">
      <w:pPr>
        <w:pStyle w:val="FootnoteText"/>
        <w:jc w:val="both"/>
        <w:rPr>
          <w:rFonts w:ascii="Arial" w:hAnsi="Arial" w:cs="Arial"/>
        </w:rPr>
      </w:pPr>
      <w:proofErr w:type="spellStart"/>
      <w:r w:rsidRPr="0076503E">
        <w:rPr>
          <w:rFonts w:ascii="Arial" w:hAnsi="Arial" w:cs="Arial"/>
        </w:rPr>
        <w:t>Folscher</w:t>
      </w:r>
      <w:proofErr w:type="spellEnd"/>
      <w:r w:rsidRPr="0076503E">
        <w:rPr>
          <w:rFonts w:ascii="Arial" w:hAnsi="Arial" w:cs="Arial"/>
        </w:rPr>
        <w:t xml:space="preserve">, A., and De </w:t>
      </w:r>
      <w:proofErr w:type="spellStart"/>
      <w:r w:rsidRPr="0076503E">
        <w:rPr>
          <w:rFonts w:ascii="Arial" w:hAnsi="Arial" w:cs="Arial"/>
        </w:rPr>
        <w:t>Renzio</w:t>
      </w:r>
      <w:proofErr w:type="spellEnd"/>
      <w:r w:rsidRPr="0076503E">
        <w:rPr>
          <w:rFonts w:ascii="Arial" w:hAnsi="Arial" w:cs="Arial"/>
        </w:rPr>
        <w:t>, P. (2017). “</w:t>
      </w:r>
      <w:hyperlink r:id="rId1482" w:history="1">
        <w:r w:rsidRPr="0076503E">
          <w:rPr>
            <w:rStyle w:val="Hyperlink"/>
            <w:rFonts w:ascii="Arial" w:hAnsi="Arial" w:cs="Arial"/>
          </w:rPr>
          <w:t>The Road to Budget Transparency: Learning from Country Experience</w:t>
        </w:r>
      </w:hyperlink>
      <w:r w:rsidRPr="0076503E">
        <w:rPr>
          <w:rFonts w:ascii="Arial" w:hAnsi="Arial" w:cs="Arial"/>
        </w:rPr>
        <w:t>”. IBP.</w:t>
      </w:r>
    </w:p>
    <w:p w14:paraId="2CB472A1" w14:textId="76256EF8" w:rsidR="00EA1916" w:rsidRPr="0076503E" w:rsidRDefault="00EA1916" w:rsidP="00B96D99">
      <w:pPr>
        <w:pStyle w:val="FootnoteText"/>
        <w:jc w:val="both"/>
        <w:rPr>
          <w:rFonts w:ascii="Arial" w:hAnsi="Arial" w:cs="Arial"/>
        </w:rPr>
      </w:pPr>
    </w:p>
    <w:p w14:paraId="158BA6D4" w14:textId="275CD978" w:rsidR="00EA1916" w:rsidRPr="0076503E" w:rsidRDefault="00EA1916" w:rsidP="00B96D99">
      <w:pPr>
        <w:pStyle w:val="FootnoteText"/>
        <w:jc w:val="both"/>
        <w:rPr>
          <w:rFonts w:ascii="Arial" w:hAnsi="Arial" w:cs="Arial"/>
          <w:lang w:val="en-ZA"/>
        </w:rPr>
      </w:pPr>
      <w:r w:rsidRPr="0076503E">
        <w:rPr>
          <w:rFonts w:ascii="Arial" w:hAnsi="Arial" w:cs="Arial"/>
          <w:lang w:val="en-ZA"/>
        </w:rPr>
        <w:t xml:space="preserve">Fritz, V., Verhoeven M., and </w:t>
      </w:r>
      <w:proofErr w:type="spellStart"/>
      <w:r w:rsidRPr="0076503E">
        <w:rPr>
          <w:rFonts w:ascii="Arial" w:hAnsi="Arial" w:cs="Arial"/>
          <w:lang w:val="en-ZA"/>
        </w:rPr>
        <w:t>Avenia</w:t>
      </w:r>
      <w:proofErr w:type="spellEnd"/>
      <w:r w:rsidRPr="0076503E">
        <w:rPr>
          <w:rFonts w:ascii="Arial" w:hAnsi="Arial" w:cs="Arial"/>
          <w:lang w:val="en-ZA"/>
        </w:rPr>
        <w:t>, A. (2017). “</w:t>
      </w:r>
      <w:hyperlink r:id="rId1483" w:history="1">
        <w:r w:rsidRPr="0076503E">
          <w:rPr>
            <w:rStyle w:val="Hyperlink"/>
            <w:rFonts w:ascii="Arial" w:hAnsi="Arial" w:cs="Arial"/>
            <w:lang w:val="en-ZA"/>
          </w:rPr>
          <w:t>Political Economy of Public Financial Management: Experiences and Implications for Dialogue and Operational Engagement</w:t>
        </w:r>
      </w:hyperlink>
      <w:r w:rsidRPr="0076503E">
        <w:rPr>
          <w:rFonts w:ascii="Arial" w:hAnsi="Arial" w:cs="Arial"/>
          <w:lang w:val="en-ZA"/>
        </w:rPr>
        <w:t>”</w:t>
      </w:r>
      <w:r w:rsidR="00745A77">
        <w:rPr>
          <w:rFonts w:ascii="Arial" w:hAnsi="Arial" w:cs="Arial"/>
          <w:lang w:val="en-ZA"/>
        </w:rPr>
        <w:t>.</w:t>
      </w:r>
      <w:r w:rsidRPr="0076503E">
        <w:rPr>
          <w:rFonts w:ascii="Arial" w:hAnsi="Arial" w:cs="Arial"/>
          <w:lang w:val="en-ZA"/>
        </w:rPr>
        <w:t xml:space="preserve"> World Bank Group.</w:t>
      </w:r>
    </w:p>
    <w:p w14:paraId="402A5D84" w14:textId="77777777" w:rsidR="00340613" w:rsidRPr="0076503E" w:rsidRDefault="00340613" w:rsidP="00B96D99">
      <w:pPr>
        <w:pStyle w:val="FootnoteText"/>
        <w:jc w:val="both"/>
        <w:rPr>
          <w:rFonts w:ascii="Arial" w:hAnsi="Arial" w:cs="Arial"/>
          <w:lang w:val="en-US"/>
        </w:rPr>
      </w:pPr>
    </w:p>
    <w:p w14:paraId="3C747522" w14:textId="3DC9E2AF" w:rsidR="00340613" w:rsidRPr="0076503E"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rPr>
        <w:t>Glennerster</w:t>
      </w:r>
      <w:proofErr w:type="spellEnd"/>
      <w:r w:rsidRPr="0076503E">
        <w:rPr>
          <w:rFonts w:ascii="Arial" w:hAnsi="Arial" w:cs="Arial"/>
          <w:sz w:val="20"/>
          <w:szCs w:val="20"/>
        </w:rPr>
        <w:t>, R., and Shin, Y. (2008). "</w:t>
      </w:r>
      <w:hyperlink r:id="rId1484" w:history="1">
        <w:r w:rsidRPr="0076503E">
          <w:rPr>
            <w:rStyle w:val="Hyperlink"/>
            <w:rFonts w:ascii="Arial" w:hAnsi="Arial" w:cs="Arial"/>
            <w:sz w:val="20"/>
            <w:szCs w:val="20"/>
            <w:lang w:val="en"/>
          </w:rPr>
          <w:t>Does Transparency Pay</w:t>
        </w:r>
      </w:hyperlink>
      <w:r w:rsidRPr="0076503E">
        <w:rPr>
          <w:rStyle w:val="Hyperlink"/>
          <w:rFonts w:ascii="Arial" w:hAnsi="Arial" w:cs="Arial"/>
          <w:sz w:val="20"/>
          <w:szCs w:val="20"/>
          <w:lang w:val="en"/>
        </w:rPr>
        <w:t>?</w:t>
      </w:r>
      <w:r w:rsidRPr="0076503E">
        <w:rPr>
          <w:rFonts w:ascii="Arial" w:hAnsi="Arial" w:cs="Arial"/>
          <w:sz w:val="20"/>
          <w:szCs w:val="20"/>
        </w:rPr>
        <w:t>"</w:t>
      </w:r>
      <w:r w:rsidR="003856C3">
        <w:rPr>
          <w:rFonts w:ascii="Arial" w:hAnsi="Arial" w:cs="Arial"/>
          <w:sz w:val="20"/>
          <w:szCs w:val="20"/>
        </w:rPr>
        <w:t>.</w:t>
      </w:r>
      <w:r w:rsidRPr="0076503E">
        <w:rPr>
          <w:rFonts w:ascii="Arial" w:hAnsi="Arial" w:cs="Arial"/>
          <w:sz w:val="20"/>
          <w:szCs w:val="20"/>
        </w:rPr>
        <w:t xml:space="preserve"> IMF Staff Papers 55(1): 183-209. </w:t>
      </w:r>
    </w:p>
    <w:p w14:paraId="7512EED7" w14:textId="77777777" w:rsidR="00340613" w:rsidRPr="0076503E" w:rsidRDefault="00340613" w:rsidP="00B96D99">
      <w:pPr>
        <w:tabs>
          <w:tab w:val="left" w:pos="2420"/>
        </w:tabs>
        <w:jc w:val="both"/>
        <w:rPr>
          <w:rFonts w:ascii="Arial" w:hAnsi="Arial" w:cs="Arial"/>
          <w:sz w:val="20"/>
          <w:szCs w:val="20"/>
        </w:rPr>
      </w:pPr>
    </w:p>
    <w:p w14:paraId="03CBD993" w14:textId="6F82F4E7" w:rsidR="007D70D4" w:rsidRPr="0076503E" w:rsidRDefault="00CA3013" w:rsidP="00B96D99">
      <w:pPr>
        <w:shd w:val="clear" w:color="auto" w:fill="FFFFFF" w:themeFill="background1"/>
        <w:jc w:val="both"/>
        <w:rPr>
          <w:rStyle w:val="Hyperlink"/>
          <w:rFonts w:ascii="Arial" w:hAnsi="Arial" w:cs="Arial"/>
          <w:color w:val="auto"/>
          <w:sz w:val="20"/>
          <w:szCs w:val="20"/>
          <w:u w:val="none"/>
          <w:lang w:val="en-ZA"/>
        </w:rPr>
      </w:pPr>
      <w:r w:rsidRPr="0076503E">
        <w:rPr>
          <w:rFonts w:ascii="Arial" w:hAnsi="Arial" w:cs="Arial"/>
          <w:sz w:val="20"/>
          <w:szCs w:val="20"/>
        </w:rPr>
        <w:t>Global Initiative for Fiscal Transparency. (2012)</w:t>
      </w:r>
      <w:r w:rsidR="00340613" w:rsidRPr="0076503E">
        <w:rPr>
          <w:rFonts w:ascii="Arial" w:hAnsi="Arial" w:cs="Arial"/>
          <w:sz w:val="20"/>
          <w:szCs w:val="20"/>
        </w:rPr>
        <w:t>.</w:t>
      </w:r>
      <w:r w:rsidRPr="0076503E">
        <w:rPr>
          <w:rFonts w:ascii="Arial" w:hAnsi="Arial" w:cs="Arial"/>
          <w:sz w:val="20"/>
          <w:szCs w:val="20"/>
        </w:rPr>
        <w:t xml:space="preserve"> </w:t>
      </w:r>
      <w:hyperlink r:id="rId1485" w:history="1">
        <w:r w:rsidR="007D70D4" w:rsidRPr="0076503E">
          <w:rPr>
            <w:rStyle w:val="Hyperlink"/>
            <w:rFonts w:ascii="Arial" w:hAnsi="Arial" w:cs="Arial"/>
            <w:sz w:val="20"/>
            <w:szCs w:val="20"/>
            <w:lang w:val="en"/>
          </w:rPr>
          <w:t>High-level principles on Fiscal Transparency, Participation and Accountability</w:t>
        </w:r>
      </w:hyperlink>
      <w:r w:rsidR="007D70D4" w:rsidRPr="0076503E">
        <w:rPr>
          <w:rStyle w:val="Hyperlink"/>
          <w:rFonts w:ascii="Arial" w:hAnsi="Arial" w:cs="Arial"/>
          <w:color w:val="auto"/>
          <w:sz w:val="20"/>
          <w:szCs w:val="20"/>
          <w:u w:val="none"/>
          <w:lang w:val="en-ZA"/>
        </w:rPr>
        <w:t>.</w:t>
      </w:r>
    </w:p>
    <w:p w14:paraId="4EC1E025" w14:textId="0579C1ED" w:rsidR="00EF5A8E" w:rsidRPr="0076503E" w:rsidRDefault="00EF5A8E" w:rsidP="00B96D99">
      <w:pPr>
        <w:shd w:val="clear" w:color="auto" w:fill="FFFFFF" w:themeFill="background1"/>
        <w:jc w:val="both"/>
        <w:rPr>
          <w:rStyle w:val="Hyperlink"/>
          <w:rFonts w:ascii="Arial" w:hAnsi="Arial" w:cs="Arial"/>
          <w:color w:val="auto"/>
          <w:sz w:val="20"/>
          <w:szCs w:val="20"/>
          <w:u w:val="none"/>
          <w:lang w:val="en-ZA"/>
        </w:rPr>
      </w:pPr>
    </w:p>
    <w:p w14:paraId="09CAEFB0" w14:textId="231D6882" w:rsidR="00CA3013" w:rsidRPr="0076503E" w:rsidRDefault="0092562F" w:rsidP="00B96D99">
      <w:pPr>
        <w:shd w:val="clear" w:color="auto" w:fill="FFFFFF" w:themeFill="background1"/>
        <w:tabs>
          <w:tab w:val="left" w:pos="2420"/>
        </w:tabs>
        <w:jc w:val="both"/>
        <w:rPr>
          <w:rFonts w:ascii="Arial" w:hAnsi="Arial" w:cs="Arial"/>
          <w:sz w:val="20"/>
          <w:szCs w:val="20"/>
        </w:rPr>
      </w:pPr>
      <w:r w:rsidRPr="0076503E">
        <w:rPr>
          <w:rFonts w:ascii="Arial" w:hAnsi="Arial" w:cs="Arial"/>
          <w:sz w:val="20"/>
          <w:szCs w:val="20"/>
        </w:rPr>
        <w:t xml:space="preserve">Global Initiative for Fiscal Transparency. (2016). </w:t>
      </w:r>
      <w:hyperlink r:id="rId1486" w:history="1">
        <w:r w:rsidRPr="0076503E">
          <w:rPr>
            <w:rStyle w:val="Hyperlink"/>
            <w:rFonts w:ascii="Arial" w:hAnsi="Arial" w:cs="Arial"/>
            <w:bCs/>
            <w:sz w:val="20"/>
            <w:szCs w:val="20"/>
            <w:lang w:val="en-ZA"/>
          </w:rPr>
          <w:t>Principles of Public Participation in Fiscal Policies</w:t>
        </w:r>
      </w:hyperlink>
      <w:r w:rsidRPr="0076503E">
        <w:rPr>
          <w:rFonts w:ascii="Arial" w:hAnsi="Arial" w:cs="Arial"/>
          <w:sz w:val="20"/>
          <w:szCs w:val="20"/>
        </w:rPr>
        <w:t>.</w:t>
      </w:r>
    </w:p>
    <w:p w14:paraId="449DB6B0" w14:textId="5725BAFB" w:rsidR="0092562F" w:rsidRPr="0076503E" w:rsidRDefault="0092562F" w:rsidP="00B96D99">
      <w:pPr>
        <w:shd w:val="clear" w:color="auto" w:fill="FFFFFF" w:themeFill="background1"/>
        <w:tabs>
          <w:tab w:val="left" w:pos="2420"/>
        </w:tabs>
        <w:jc w:val="both"/>
        <w:rPr>
          <w:rFonts w:ascii="Arial" w:hAnsi="Arial" w:cs="Arial"/>
          <w:sz w:val="20"/>
          <w:szCs w:val="20"/>
        </w:rPr>
      </w:pPr>
    </w:p>
    <w:p w14:paraId="0AD477B8" w14:textId="4FCC7CCB" w:rsidR="00B13C08" w:rsidRPr="0076503E" w:rsidRDefault="00B13C08" w:rsidP="00B96D99">
      <w:pPr>
        <w:shd w:val="clear" w:color="auto" w:fill="FFFFFF" w:themeFill="background1"/>
        <w:tabs>
          <w:tab w:val="left" w:pos="2420"/>
        </w:tabs>
        <w:jc w:val="both"/>
        <w:rPr>
          <w:rFonts w:ascii="Arial" w:hAnsi="Arial" w:cs="Arial"/>
          <w:sz w:val="20"/>
          <w:szCs w:val="20"/>
          <w:lang w:val="en-ZA"/>
        </w:rPr>
      </w:pPr>
      <w:r w:rsidRPr="0076503E">
        <w:rPr>
          <w:rFonts w:ascii="Arial" w:hAnsi="Arial" w:cs="Arial"/>
          <w:sz w:val="20"/>
          <w:szCs w:val="20"/>
        </w:rPr>
        <w:t>Global Initiative for Fiscal Transparency</w:t>
      </w:r>
      <w:r w:rsidR="001869AA">
        <w:rPr>
          <w:rFonts w:ascii="Arial" w:hAnsi="Arial" w:cs="Arial"/>
          <w:sz w:val="20"/>
          <w:szCs w:val="20"/>
        </w:rPr>
        <w:t xml:space="preserve"> and</w:t>
      </w:r>
      <w:r w:rsidR="00D64499">
        <w:rPr>
          <w:rFonts w:ascii="Arial" w:hAnsi="Arial" w:cs="Arial"/>
          <w:sz w:val="20"/>
          <w:szCs w:val="20"/>
        </w:rPr>
        <w:t xml:space="preserve"> </w:t>
      </w:r>
      <w:proofErr w:type="spellStart"/>
      <w:r w:rsidR="002331B1">
        <w:rPr>
          <w:rFonts w:ascii="Arial" w:hAnsi="Arial" w:cs="Arial"/>
          <w:sz w:val="20"/>
          <w:szCs w:val="20"/>
        </w:rPr>
        <w:t>Secretaría</w:t>
      </w:r>
      <w:proofErr w:type="spellEnd"/>
      <w:r w:rsidR="002331B1">
        <w:rPr>
          <w:rFonts w:ascii="Arial" w:hAnsi="Arial" w:cs="Arial"/>
          <w:sz w:val="20"/>
          <w:szCs w:val="20"/>
        </w:rPr>
        <w:t xml:space="preserve"> de </w:t>
      </w:r>
      <w:r w:rsidR="00D64499" w:rsidRPr="00D64499">
        <w:rPr>
          <w:rFonts w:ascii="Arial" w:hAnsi="Arial" w:cs="Arial"/>
          <w:sz w:val="20"/>
          <w:szCs w:val="20"/>
        </w:rPr>
        <w:t xml:space="preserve">Hacienda y </w:t>
      </w:r>
      <w:proofErr w:type="spellStart"/>
      <w:r w:rsidR="00D64499" w:rsidRPr="00D64499">
        <w:rPr>
          <w:rFonts w:ascii="Arial" w:hAnsi="Arial" w:cs="Arial"/>
          <w:sz w:val="20"/>
          <w:szCs w:val="20"/>
        </w:rPr>
        <w:t>Crédito</w:t>
      </w:r>
      <w:proofErr w:type="spellEnd"/>
      <w:r w:rsidR="00D64499" w:rsidRPr="00D64499">
        <w:rPr>
          <w:rFonts w:ascii="Arial" w:hAnsi="Arial" w:cs="Arial"/>
          <w:sz w:val="20"/>
          <w:szCs w:val="20"/>
        </w:rPr>
        <w:t xml:space="preserve"> </w:t>
      </w:r>
      <w:proofErr w:type="spellStart"/>
      <w:r w:rsidR="00D64499" w:rsidRPr="00D64499">
        <w:rPr>
          <w:rFonts w:ascii="Arial" w:hAnsi="Arial" w:cs="Arial"/>
          <w:sz w:val="20"/>
          <w:szCs w:val="20"/>
        </w:rPr>
        <w:t>Público</w:t>
      </w:r>
      <w:proofErr w:type="spellEnd"/>
      <w:r w:rsidR="001869AA">
        <w:rPr>
          <w:rFonts w:ascii="Arial" w:hAnsi="Arial" w:cs="Arial"/>
          <w:sz w:val="20"/>
          <w:szCs w:val="20"/>
        </w:rPr>
        <w:t>.</w:t>
      </w:r>
      <w:r w:rsidR="00D64499">
        <w:rPr>
          <w:rFonts w:ascii="Arial" w:hAnsi="Arial" w:cs="Arial"/>
          <w:sz w:val="20"/>
          <w:szCs w:val="20"/>
        </w:rPr>
        <w:t xml:space="preserve"> </w:t>
      </w:r>
      <w:r w:rsidRPr="0076503E">
        <w:rPr>
          <w:rFonts w:ascii="Arial" w:hAnsi="Arial" w:cs="Arial"/>
          <w:sz w:val="20"/>
          <w:szCs w:val="20"/>
        </w:rPr>
        <w:t xml:space="preserve">(2018). </w:t>
      </w:r>
      <w:hyperlink r:id="rId1487" w:history="1">
        <w:r w:rsidRPr="0076503E">
          <w:rPr>
            <w:rStyle w:val="Hyperlink"/>
            <w:rFonts w:ascii="Arial" w:hAnsi="Arial" w:cs="Arial"/>
            <w:sz w:val="20"/>
            <w:szCs w:val="20"/>
          </w:rPr>
          <w:t>Open Data Tutorial</w:t>
        </w:r>
      </w:hyperlink>
      <w:r w:rsidRPr="0076503E">
        <w:rPr>
          <w:rFonts w:ascii="Arial" w:hAnsi="Arial" w:cs="Arial"/>
          <w:sz w:val="20"/>
          <w:szCs w:val="20"/>
          <w:lang w:val="en-ZA"/>
        </w:rPr>
        <w:t>.</w:t>
      </w:r>
    </w:p>
    <w:p w14:paraId="435CBCCB" w14:textId="77777777" w:rsidR="00B13C08" w:rsidRPr="0076503E" w:rsidRDefault="00B13C08" w:rsidP="00B96D99">
      <w:pPr>
        <w:shd w:val="clear" w:color="auto" w:fill="FFFFFF" w:themeFill="background1"/>
        <w:tabs>
          <w:tab w:val="left" w:pos="2420"/>
        </w:tabs>
        <w:jc w:val="both"/>
        <w:rPr>
          <w:rFonts w:ascii="Arial" w:hAnsi="Arial" w:cs="Arial"/>
          <w:sz w:val="20"/>
          <w:szCs w:val="20"/>
          <w:lang w:val="en-ZA"/>
        </w:rPr>
      </w:pPr>
    </w:p>
    <w:p w14:paraId="6F4EA1A3" w14:textId="15AAE01B" w:rsidR="00355A2E" w:rsidRPr="0076503E" w:rsidRDefault="00355A2E" w:rsidP="00B96D99">
      <w:pPr>
        <w:shd w:val="clear" w:color="auto" w:fill="FFFFFF" w:themeFill="background1"/>
        <w:tabs>
          <w:tab w:val="left" w:pos="2420"/>
        </w:tabs>
        <w:jc w:val="both"/>
        <w:rPr>
          <w:rFonts w:ascii="Arial" w:hAnsi="Arial" w:cs="Arial"/>
          <w:sz w:val="20"/>
          <w:szCs w:val="20"/>
          <w:lang w:val="en-ZA"/>
        </w:rPr>
      </w:pPr>
      <w:r w:rsidRPr="0076503E">
        <w:rPr>
          <w:rFonts w:ascii="Arial" w:hAnsi="Arial" w:cs="Arial"/>
          <w:sz w:val="20"/>
          <w:szCs w:val="20"/>
        </w:rPr>
        <w:t xml:space="preserve">Global Initiative for Fiscal Transparency. (2019). </w:t>
      </w:r>
      <w:r w:rsidRPr="0076503E">
        <w:rPr>
          <w:rFonts w:ascii="Arial" w:hAnsi="Arial" w:cs="Arial"/>
          <w:sz w:val="20"/>
          <w:szCs w:val="20"/>
          <w:lang w:val="en-ZA"/>
        </w:rPr>
        <w:t>Webinar titled “</w:t>
      </w:r>
      <w:hyperlink r:id="rId1488" w:history="1">
        <w:r w:rsidRPr="0076503E">
          <w:rPr>
            <w:rStyle w:val="Hyperlink"/>
            <w:rFonts w:ascii="Arial" w:hAnsi="Arial" w:cs="Arial"/>
            <w:sz w:val="20"/>
            <w:szCs w:val="20"/>
            <w:lang w:val="en-ZA"/>
          </w:rPr>
          <w:t>Good internal systems for good fiscal transparency</w:t>
        </w:r>
      </w:hyperlink>
      <w:r w:rsidRPr="0076503E">
        <w:rPr>
          <w:rFonts w:ascii="Arial" w:hAnsi="Arial" w:cs="Arial"/>
          <w:sz w:val="20"/>
          <w:szCs w:val="20"/>
          <w:lang w:val="en-ZA"/>
        </w:rPr>
        <w:t>”.</w:t>
      </w:r>
    </w:p>
    <w:p w14:paraId="576416E4" w14:textId="566CE589" w:rsidR="009205C9" w:rsidRPr="0076503E" w:rsidRDefault="009205C9" w:rsidP="00B96D99">
      <w:pPr>
        <w:shd w:val="clear" w:color="auto" w:fill="FFFFFF" w:themeFill="background1"/>
        <w:tabs>
          <w:tab w:val="left" w:pos="2420"/>
        </w:tabs>
        <w:jc w:val="both"/>
        <w:rPr>
          <w:rFonts w:ascii="Arial" w:hAnsi="Arial" w:cs="Arial"/>
          <w:sz w:val="20"/>
          <w:szCs w:val="20"/>
          <w:lang w:val="en-ZA"/>
        </w:rPr>
      </w:pPr>
    </w:p>
    <w:p w14:paraId="3519D814" w14:textId="7DAEBD4C" w:rsidR="00F92B95" w:rsidRPr="0076503E" w:rsidRDefault="00F92B95" w:rsidP="00B96D99">
      <w:pPr>
        <w:shd w:val="clear" w:color="auto" w:fill="FFFFFF" w:themeFill="background1"/>
        <w:tabs>
          <w:tab w:val="left" w:pos="2420"/>
        </w:tabs>
        <w:jc w:val="both"/>
        <w:rPr>
          <w:rFonts w:ascii="Arial" w:hAnsi="Arial" w:cs="Arial"/>
          <w:sz w:val="20"/>
          <w:szCs w:val="20"/>
        </w:rPr>
      </w:pPr>
      <w:r w:rsidRPr="0076503E">
        <w:rPr>
          <w:rFonts w:ascii="Arial" w:hAnsi="Arial" w:cs="Arial"/>
          <w:sz w:val="20"/>
          <w:szCs w:val="20"/>
        </w:rPr>
        <w:lastRenderedPageBreak/>
        <w:t xml:space="preserve">Global Initiative for Fiscal Transparency. (2022). </w:t>
      </w:r>
      <w:hyperlink r:id="rId1489" w:history="1">
        <w:r w:rsidRPr="0076503E">
          <w:rPr>
            <w:rStyle w:val="Hyperlink"/>
            <w:rFonts w:ascii="Arial" w:hAnsi="Arial" w:cs="Arial"/>
            <w:sz w:val="20"/>
            <w:szCs w:val="20"/>
          </w:rPr>
          <w:t>Transparency Principles for Tax Policy and Administration</w:t>
        </w:r>
      </w:hyperlink>
      <w:r w:rsidRPr="0076503E">
        <w:rPr>
          <w:rFonts w:ascii="Arial" w:hAnsi="Arial" w:cs="Arial"/>
          <w:sz w:val="20"/>
          <w:szCs w:val="20"/>
        </w:rPr>
        <w:t>.</w:t>
      </w:r>
    </w:p>
    <w:p w14:paraId="4C24F289" w14:textId="77777777" w:rsidR="00AB60BE" w:rsidRPr="0076503E" w:rsidRDefault="00AB60BE" w:rsidP="00B96D99">
      <w:pPr>
        <w:shd w:val="clear" w:color="auto" w:fill="FFFFFF" w:themeFill="background1"/>
        <w:tabs>
          <w:tab w:val="left" w:pos="2420"/>
        </w:tabs>
        <w:jc w:val="both"/>
        <w:rPr>
          <w:rFonts w:ascii="Arial" w:hAnsi="Arial" w:cs="Arial"/>
          <w:sz w:val="20"/>
          <w:szCs w:val="20"/>
        </w:rPr>
      </w:pPr>
    </w:p>
    <w:p w14:paraId="74EB1D6B" w14:textId="0832D57D" w:rsidR="00334B7C" w:rsidRPr="0076503E" w:rsidRDefault="00340613" w:rsidP="00B96D99">
      <w:pPr>
        <w:tabs>
          <w:tab w:val="left" w:pos="2420"/>
        </w:tabs>
        <w:jc w:val="both"/>
        <w:rPr>
          <w:rFonts w:ascii="Arial" w:hAnsi="Arial" w:cs="Arial"/>
          <w:sz w:val="20"/>
          <w:szCs w:val="20"/>
        </w:rPr>
      </w:pPr>
      <w:r w:rsidRPr="0076503E">
        <w:rPr>
          <w:rFonts w:ascii="Arial" w:hAnsi="Arial" w:cs="Arial"/>
          <w:sz w:val="20"/>
          <w:szCs w:val="20"/>
        </w:rPr>
        <w:t>Gonçalves, S. (2014). "</w:t>
      </w:r>
      <w:hyperlink r:id="rId1490" w:history="1">
        <w:r w:rsidRPr="0076503E">
          <w:rPr>
            <w:rStyle w:val="Hyperlink"/>
            <w:rFonts w:ascii="Arial" w:hAnsi="Arial" w:cs="Arial"/>
            <w:sz w:val="20"/>
            <w:szCs w:val="20"/>
            <w:lang w:val="en"/>
          </w:rPr>
          <w:t>The Effects of Participatory Budgeting on Municipal Expenditures and Infant Mortality in Brazil</w:t>
        </w:r>
      </w:hyperlink>
      <w:r w:rsidRPr="0076503E">
        <w:rPr>
          <w:rFonts w:ascii="Arial" w:hAnsi="Arial" w:cs="Arial"/>
          <w:sz w:val="20"/>
          <w:szCs w:val="20"/>
        </w:rPr>
        <w:t>"</w:t>
      </w:r>
      <w:r w:rsidR="001C7423" w:rsidRPr="0076503E">
        <w:rPr>
          <w:rFonts w:ascii="Arial" w:hAnsi="Arial" w:cs="Arial"/>
          <w:sz w:val="20"/>
          <w:szCs w:val="20"/>
        </w:rPr>
        <w:t>.</w:t>
      </w:r>
      <w:r w:rsidRPr="0076503E">
        <w:rPr>
          <w:rFonts w:ascii="Arial" w:hAnsi="Arial" w:cs="Arial"/>
          <w:sz w:val="20"/>
          <w:szCs w:val="20"/>
        </w:rPr>
        <w:t xml:space="preserve"> World Development 53: 94-110.</w:t>
      </w:r>
    </w:p>
    <w:p w14:paraId="39903C3E" w14:textId="77777777" w:rsidR="00340613" w:rsidRPr="0076503E" w:rsidRDefault="00340613" w:rsidP="00B96D99">
      <w:pPr>
        <w:tabs>
          <w:tab w:val="left" w:pos="2420"/>
        </w:tabs>
        <w:jc w:val="both"/>
        <w:rPr>
          <w:rFonts w:ascii="Arial" w:hAnsi="Arial" w:cs="Arial"/>
          <w:sz w:val="20"/>
          <w:szCs w:val="20"/>
        </w:rPr>
      </w:pPr>
    </w:p>
    <w:p w14:paraId="11C39CD1" w14:textId="3DB0A125" w:rsidR="00340E29" w:rsidRPr="0076503E" w:rsidRDefault="00340613" w:rsidP="00B96D99">
      <w:pPr>
        <w:tabs>
          <w:tab w:val="left" w:pos="2420"/>
        </w:tabs>
        <w:jc w:val="both"/>
        <w:rPr>
          <w:rFonts w:ascii="Arial" w:hAnsi="Arial" w:cs="Arial"/>
          <w:sz w:val="20"/>
          <w:szCs w:val="20"/>
        </w:rPr>
      </w:pPr>
      <w:r w:rsidRPr="0076503E">
        <w:rPr>
          <w:rFonts w:ascii="Arial" w:hAnsi="Arial" w:cs="Arial"/>
          <w:sz w:val="20"/>
          <w:szCs w:val="20"/>
        </w:rPr>
        <w:t xml:space="preserve">Gonzalez, R., Harvey, M., and </w:t>
      </w:r>
      <w:proofErr w:type="spellStart"/>
      <w:r w:rsidRPr="0076503E">
        <w:rPr>
          <w:rFonts w:ascii="Arial" w:hAnsi="Arial" w:cs="Arial"/>
          <w:sz w:val="20"/>
          <w:szCs w:val="20"/>
        </w:rPr>
        <w:t>Tzachrista</w:t>
      </w:r>
      <w:proofErr w:type="spellEnd"/>
      <w:r w:rsidRPr="0076503E">
        <w:rPr>
          <w:rFonts w:ascii="Arial" w:hAnsi="Arial" w:cs="Arial"/>
          <w:sz w:val="20"/>
          <w:szCs w:val="20"/>
        </w:rPr>
        <w:t>, F. (2020). “</w:t>
      </w:r>
      <w:hyperlink r:id="rId1491" w:history="1">
        <w:r w:rsidRPr="0076503E">
          <w:rPr>
            <w:rStyle w:val="Hyperlink"/>
            <w:rFonts w:ascii="Arial" w:hAnsi="Arial" w:cs="Arial"/>
            <w:sz w:val="20"/>
            <w:szCs w:val="20"/>
          </w:rPr>
          <w:t>Monitoring Corruption: Can Top-down Monitoring Crowd-Out Grassroots Participation?</w:t>
        </w:r>
      </w:hyperlink>
      <w:r w:rsidRPr="0076503E">
        <w:rPr>
          <w:rFonts w:ascii="Arial" w:hAnsi="Arial" w:cs="Arial"/>
          <w:sz w:val="20"/>
          <w:szCs w:val="20"/>
        </w:rPr>
        <w:t>”</w:t>
      </w:r>
      <w:r w:rsidR="00FF04B9">
        <w:rPr>
          <w:rFonts w:ascii="Arial" w:hAnsi="Arial" w:cs="Arial"/>
          <w:sz w:val="20"/>
          <w:szCs w:val="20"/>
        </w:rPr>
        <w:t>.</w:t>
      </w:r>
      <w:r w:rsidRPr="0076503E">
        <w:rPr>
          <w:rFonts w:ascii="Arial" w:hAnsi="Arial" w:cs="Arial"/>
          <w:sz w:val="20"/>
          <w:szCs w:val="20"/>
        </w:rPr>
        <w:t xml:space="preserve"> SSRN, 2020.</w:t>
      </w:r>
    </w:p>
    <w:p w14:paraId="072A7BBC" w14:textId="6416700C" w:rsidR="007E7E65" w:rsidRPr="0076503E" w:rsidRDefault="007E7E65" w:rsidP="00B96D99">
      <w:pPr>
        <w:tabs>
          <w:tab w:val="left" w:pos="2420"/>
        </w:tabs>
        <w:jc w:val="both"/>
        <w:rPr>
          <w:rFonts w:ascii="Arial" w:hAnsi="Arial" w:cs="Arial"/>
          <w:sz w:val="20"/>
          <w:szCs w:val="20"/>
        </w:rPr>
      </w:pPr>
    </w:p>
    <w:p w14:paraId="5BAB0327" w14:textId="72DC67E9" w:rsidR="00825895" w:rsidRDefault="00825895" w:rsidP="00825895">
      <w:pPr>
        <w:shd w:val="clear" w:color="auto" w:fill="FFFFFF" w:themeFill="background1"/>
        <w:tabs>
          <w:tab w:val="left" w:pos="2420"/>
        </w:tabs>
        <w:jc w:val="both"/>
        <w:rPr>
          <w:rStyle w:val="Hyperlink"/>
          <w:rFonts w:ascii="Arial" w:hAnsi="Arial" w:cs="Arial"/>
          <w:sz w:val="20"/>
          <w:szCs w:val="20"/>
          <w:lang w:val="en-ZA"/>
        </w:rPr>
      </w:pPr>
      <w:proofErr w:type="spellStart"/>
      <w:r w:rsidRPr="0076503E">
        <w:rPr>
          <w:rFonts w:ascii="Arial" w:hAnsi="Arial" w:cs="Arial"/>
          <w:sz w:val="20"/>
          <w:szCs w:val="20"/>
        </w:rPr>
        <w:t>G</w:t>
      </w:r>
      <w:r>
        <w:rPr>
          <w:rFonts w:ascii="Arial" w:hAnsi="Arial" w:cs="Arial"/>
          <w:sz w:val="20"/>
          <w:szCs w:val="20"/>
        </w:rPr>
        <w:t>racida</w:t>
      </w:r>
      <w:proofErr w:type="spellEnd"/>
      <w:r>
        <w:rPr>
          <w:rFonts w:ascii="Arial" w:hAnsi="Arial" w:cs="Arial"/>
          <w:sz w:val="20"/>
          <w:szCs w:val="20"/>
        </w:rPr>
        <w:t xml:space="preserve">, T., and Rivero del Paso, L.  </w:t>
      </w:r>
      <w:r w:rsidRPr="0076503E">
        <w:rPr>
          <w:rFonts w:ascii="Arial" w:hAnsi="Arial" w:cs="Arial"/>
          <w:sz w:val="20"/>
          <w:szCs w:val="20"/>
        </w:rPr>
        <w:t xml:space="preserve">(2020). </w:t>
      </w:r>
      <w:r>
        <w:rPr>
          <w:rFonts w:ascii="Arial" w:hAnsi="Arial" w:cs="Arial"/>
          <w:sz w:val="20"/>
          <w:szCs w:val="20"/>
        </w:rPr>
        <w:t>“</w:t>
      </w:r>
      <w:hyperlink r:id="rId1492" w:history="1">
        <w:r w:rsidRPr="0076503E">
          <w:rPr>
            <w:rStyle w:val="Hyperlink"/>
            <w:rFonts w:ascii="Arial" w:hAnsi="Arial" w:cs="Arial"/>
            <w:sz w:val="20"/>
            <w:szCs w:val="20"/>
          </w:rPr>
          <w:t>Tutorial on fiscal transparency portals</w:t>
        </w:r>
      </w:hyperlink>
      <w:r w:rsidRPr="0076503E">
        <w:rPr>
          <w:rFonts w:ascii="Arial" w:hAnsi="Arial" w:cs="Arial"/>
          <w:sz w:val="20"/>
          <w:szCs w:val="20"/>
          <w:u w:val="single"/>
        </w:rPr>
        <w:t xml:space="preserve">: </w:t>
      </w:r>
      <w:r w:rsidRPr="0076503E">
        <w:rPr>
          <w:rStyle w:val="Hyperlink"/>
          <w:rFonts w:ascii="Arial" w:hAnsi="Arial" w:cs="Arial"/>
          <w:sz w:val="20"/>
          <w:szCs w:val="20"/>
          <w:lang w:val="en-ZA"/>
        </w:rPr>
        <w:t>A user-centred development</w:t>
      </w:r>
      <w:r>
        <w:rPr>
          <w:rStyle w:val="Hyperlink"/>
          <w:rFonts w:ascii="Arial" w:hAnsi="Arial" w:cs="Arial"/>
          <w:sz w:val="20"/>
          <w:szCs w:val="20"/>
          <w:lang w:val="en-ZA"/>
        </w:rPr>
        <w:t>”</w:t>
      </w:r>
      <w:r w:rsidRPr="0076503E">
        <w:rPr>
          <w:rStyle w:val="Hyperlink"/>
          <w:rFonts w:ascii="Arial" w:hAnsi="Arial" w:cs="Arial"/>
          <w:sz w:val="20"/>
          <w:szCs w:val="20"/>
          <w:lang w:val="en-ZA"/>
        </w:rPr>
        <w:t>.</w:t>
      </w:r>
      <w:r w:rsidRPr="00825895">
        <w:rPr>
          <w:rFonts w:ascii="Arial" w:hAnsi="Arial" w:cs="Arial"/>
          <w:sz w:val="20"/>
          <w:szCs w:val="20"/>
        </w:rPr>
        <w:t xml:space="preserve"> </w:t>
      </w:r>
      <w:r>
        <w:rPr>
          <w:rFonts w:ascii="Arial" w:hAnsi="Arial" w:cs="Arial"/>
          <w:sz w:val="20"/>
          <w:szCs w:val="20"/>
        </w:rPr>
        <w:t>GIFT</w:t>
      </w:r>
      <w:r w:rsidRPr="0076503E">
        <w:rPr>
          <w:rFonts w:ascii="Arial" w:hAnsi="Arial" w:cs="Arial"/>
          <w:sz w:val="20"/>
          <w:szCs w:val="20"/>
        </w:rPr>
        <w:t>.</w:t>
      </w:r>
    </w:p>
    <w:p w14:paraId="3487C3BD" w14:textId="77777777" w:rsidR="00825895" w:rsidRPr="0076503E" w:rsidRDefault="00825895" w:rsidP="00825895">
      <w:pPr>
        <w:shd w:val="clear" w:color="auto" w:fill="FFFFFF" w:themeFill="background1"/>
        <w:tabs>
          <w:tab w:val="left" w:pos="2420"/>
        </w:tabs>
        <w:jc w:val="both"/>
        <w:rPr>
          <w:rFonts w:ascii="Arial" w:hAnsi="Arial" w:cs="Arial"/>
          <w:sz w:val="20"/>
          <w:szCs w:val="20"/>
          <w:lang w:val="en-US"/>
        </w:rPr>
      </w:pPr>
    </w:p>
    <w:p w14:paraId="4BD56376" w14:textId="5FF83A75" w:rsidR="007E7E65" w:rsidRPr="0076503E" w:rsidRDefault="007E7E65" w:rsidP="00B96D99">
      <w:pPr>
        <w:tabs>
          <w:tab w:val="left" w:pos="2420"/>
        </w:tabs>
        <w:jc w:val="both"/>
        <w:rPr>
          <w:rFonts w:ascii="Arial" w:hAnsi="Arial" w:cs="Arial"/>
          <w:sz w:val="20"/>
          <w:szCs w:val="20"/>
        </w:rPr>
      </w:pPr>
      <w:r w:rsidRPr="0076503E">
        <w:rPr>
          <w:rFonts w:ascii="Arial" w:hAnsi="Arial" w:cs="Arial"/>
          <w:sz w:val="20"/>
          <w:szCs w:val="20"/>
        </w:rPr>
        <w:t>Grewal, A.S. (2020). “</w:t>
      </w:r>
      <w:hyperlink r:id="rId1493" w:history="1">
        <w:r w:rsidRPr="0076503E">
          <w:rPr>
            <w:rStyle w:val="Hyperlink"/>
            <w:rFonts w:ascii="Arial" w:hAnsi="Arial" w:cs="Arial"/>
            <w:sz w:val="20"/>
            <w:szCs w:val="20"/>
          </w:rPr>
          <w:t>Congressional Subpoenas in Court</w:t>
        </w:r>
      </w:hyperlink>
      <w:r w:rsidRPr="0076503E">
        <w:rPr>
          <w:rFonts w:ascii="Arial" w:hAnsi="Arial" w:cs="Arial"/>
          <w:sz w:val="20"/>
          <w:szCs w:val="20"/>
        </w:rPr>
        <w:t>”. North Carolina Law Review.</w:t>
      </w:r>
    </w:p>
    <w:p w14:paraId="50E77804" w14:textId="2900D0A4" w:rsidR="00AC49A1" w:rsidRPr="0076503E" w:rsidRDefault="00AC49A1" w:rsidP="00B96D99">
      <w:pPr>
        <w:tabs>
          <w:tab w:val="left" w:pos="2420"/>
        </w:tabs>
        <w:jc w:val="both"/>
        <w:rPr>
          <w:rFonts w:ascii="Arial" w:hAnsi="Arial" w:cs="Arial"/>
          <w:sz w:val="20"/>
          <w:szCs w:val="20"/>
        </w:rPr>
      </w:pPr>
    </w:p>
    <w:p w14:paraId="7CFAC038" w14:textId="4C53C996" w:rsidR="00AC49A1" w:rsidRPr="0076503E" w:rsidRDefault="00AC49A1" w:rsidP="00B96D99">
      <w:pPr>
        <w:tabs>
          <w:tab w:val="left" w:pos="2420"/>
        </w:tabs>
        <w:jc w:val="both"/>
        <w:rPr>
          <w:rFonts w:ascii="Arial" w:hAnsi="Arial" w:cs="Arial"/>
          <w:iCs/>
          <w:sz w:val="20"/>
          <w:szCs w:val="20"/>
        </w:rPr>
      </w:pPr>
      <w:r w:rsidRPr="0076503E">
        <w:rPr>
          <w:rFonts w:ascii="Arial" w:hAnsi="Arial" w:cs="Arial"/>
          <w:sz w:val="20"/>
          <w:szCs w:val="20"/>
        </w:rPr>
        <w:t>Guerrero, J.P. (2020). “</w:t>
      </w:r>
      <w:hyperlink r:id="rId1494" w:history="1">
        <w:r w:rsidRPr="0076503E">
          <w:rPr>
            <w:rStyle w:val="Hyperlink"/>
            <w:rFonts w:ascii="Arial" w:hAnsi="Arial" w:cs="Arial"/>
            <w:iCs/>
            <w:sz w:val="20"/>
            <w:szCs w:val="20"/>
          </w:rPr>
          <w:t>Tax Transparency and Informed Public Dialogue in Tax Policy: A civil society perspective on taxes</w:t>
        </w:r>
      </w:hyperlink>
      <w:r w:rsidRPr="0076503E">
        <w:rPr>
          <w:rStyle w:val="Hyperlink"/>
          <w:rFonts w:ascii="Arial" w:hAnsi="Arial" w:cs="Arial"/>
          <w:sz w:val="20"/>
          <w:szCs w:val="20"/>
        </w:rPr>
        <w:t>: Scoping Study</w:t>
      </w:r>
      <w:r w:rsidRPr="0076503E">
        <w:rPr>
          <w:rFonts w:ascii="Arial" w:hAnsi="Arial" w:cs="Arial"/>
          <w:iCs/>
          <w:sz w:val="20"/>
          <w:szCs w:val="20"/>
        </w:rPr>
        <w:t>”. GIFT.</w:t>
      </w:r>
    </w:p>
    <w:p w14:paraId="45694AB8" w14:textId="49C03137" w:rsidR="00AB3247" w:rsidRPr="0076503E" w:rsidRDefault="00AB3247" w:rsidP="00B96D99">
      <w:pPr>
        <w:tabs>
          <w:tab w:val="left" w:pos="2420"/>
        </w:tabs>
        <w:jc w:val="both"/>
        <w:rPr>
          <w:rFonts w:ascii="Arial" w:hAnsi="Arial" w:cs="Arial"/>
          <w:iCs/>
          <w:sz w:val="20"/>
          <w:szCs w:val="20"/>
        </w:rPr>
      </w:pPr>
    </w:p>
    <w:p w14:paraId="6D2CDB3A" w14:textId="35AC6C8D" w:rsidR="00AB3247" w:rsidRPr="0076503E" w:rsidRDefault="00AB3247" w:rsidP="00B96D99">
      <w:pPr>
        <w:tabs>
          <w:tab w:val="left" w:pos="2420"/>
        </w:tabs>
        <w:jc w:val="both"/>
        <w:rPr>
          <w:rFonts w:ascii="Arial" w:hAnsi="Arial" w:cs="Arial"/>
          <w:sz w:val="20"/>
          <w:szCs w:val="20"/>
        </w:rPr>
      </w:pPr>
      <w:r w:rsidRPr="0076503E">
        <w:rPr>
          <w:rFonts w:ascii="Arial" w:hAnsi="Arial" w:cs="Arial"/>
          <w:sz w:val="20"/>
          <w:szCs w:val="20"/>
          <w:lang w:val="en-US"/>
        </w:rPr>
        <w:t>Guerrero, J. P. (2020). “</w:t>
      </w:r>
      <w:hyperlink r:id="rId1495" w:history="1">
        <w:r w:rsidRPr="0076503E">
          <w:rPr>
            <w:rStyle w:val="Hyperlink"/>
            <w:rFonts w:ascii="Arial" w:hAnsi="Arial" w:cs="Arial"/>
            <w:sz w:val="20"/>
            <w:szCs w:val="20"/>
            <w:lang w:val="en-US"/>
          </w:rPr>
          <w:t>COVID-19, Fiscal Transparency and Public Participation</w:t>
        </w:r>
      </w:hyperlink>
      <w:r w:rsidRPr="0076503E">
        <w:rPr>
          <w:rFonts w:ascii="Arial" w:hAnsi="Arial" w:cs="Arial"/>
          <w:sz w:val="20"/>
          <w:szCs w:val="20"/>
        </w:rPr>
        <w:t>”. GIFT/IMF Blog.</w:t>
      </w:r>
    </w:p>
    <w:p w14:paraId="78BA181B" w14:textId="011DE226" w:rsidR="007E7E65" w:rsidRPr="0076503E" w:rsidRDefault="007E7E65" w:rsidP="00B96D99">
      <w:pPr>
        <w:tabs>
          <w:tab w:val="left" w:pos="2420"/>
        </w:tabs>
        <w:jc w:val="both"/>
        <w:rPr>
          <w:rFonts w:ascii="Arial" w:hAnsi="Arial" w:cs="Arial"/>
          <w:sz w:val="20"/>
          <w:szCs w:val="20"/>
        </w:rPr>
      </w:pPr>
    </w:p>
    <w:p w14:paraId="14B61397" w14:textId="28F31956" w:rsidR="005D0450" w:rsidRPr="0076503E" w:rsidRDefault="005D0450" w:rsidP="00B96D99">
      <w:pPr>
        <w:tabs>
          <w:tab w:val="left" w:pos="2420"/>
        </w:tabs>
        <w:jc w:val="both"/>
        <w:rPr>
          <w:rFonts w:ascii="Arial" w:hAnsi="Arial" w:cs="Arial"/>
          <w:sz w:val="20"/>
          <w:szCs w:val="20"/>
          <w:lang w:val="en-ZA"/>
        </w:rPr>
      </w:pPr>
      <w:r w:rsidRPr="0076503E">
        <w:rPr>
          <w:rFonts w:ascii="Arial" w:hAnsi="Arial" w:cs="Arial"/>
          <w:sz w:val="20"/>
          <w:szCs w:val="20"/>
        </w:rPr>
        <w:t xml:space="preserve">Gupta, S., Keen, M., Shah A., and </w:t>
      </w:r>
      <w:proofErr w:type="spellStart"/>
      <w:r w:rsidRPr="0076503E">
        <w:rPr>
          <w:rFonts w:ascii="Arial" w:hAnsi="Arial" w:cs="Arial"/>
          <w:sz w:val="20"/>
          <w:szCs w:val="20"/>
        </w:rPr>
        <w:t>Verdier</w:t>
      </w:r>
      <w:proofErr w:type="spellEnd"/>
      <w:r w:rsidRPr="0076503E">
        <w:rPr>
          <w:rFonts w:ascii="Arial" w:hAnsi="Arial" w:cs="Arial"/>
          <w:sz w:val="20"/>
          <w:szCs w:val="20"/>
        </w:rPr>
        <w:t>, G. (2017). “</w:t>
      </w:r>
      <w:hyperlink r:id="rId1496" w:history="1">
        <w:r w:rsidRPr="0076503E">
          <w:rPr>
            <w:rStyle w:val="Hyperlink"/>
            <w:rFonts w:ascii="Arial" w:hAnsi="Arial" w:cs="Arial"/>
            <w:sz w:val="20"/>
            <w:szCs w:val="20"/>
          </w:rPr>
          <w:t>Digital Revolutions in Public Finance</w:t>
        </w:r>
      </w:hyperlink>
      <w:r w:rsidRPr="0076503E">
        <w:rPr>
          <w:rFonts w:ascii="Arial" w:hAnsi="Arial" w:cs="Arial"/>
          <w:sz w:val="20"/>
          <w:szCs w:val="20"/>
        </w:rPr>
        <w:t xml:space="preserve">”. Chapter 12: </w:t>
      </w:r>
      <w:r w:rsidRPr="0076503E">
        <w:rPr>
          <w:rFonts w:ascii="Arial" w:hAnsi="Arial" w:cs="Arial"/>
          <w:sz w:val="20"/>
          <w:szCs w:val="20"/>
          <w:lang w:val="en-US"/>
        </w:rPr>
        <w:t xml:space="preserve">Integration of Government Digitalization and Public Financial Management—Initial Evidence by </w:t>
      </w:r>
      <w:proofErr w:type="spellStart"/>
      <w:r w:rsidRPr="0076503E">
        <w:rPr>
          <w:rFonts w:ascii="Arial" w:hAnsi="Arial" w:cs="Arial"/>
          <w:sz w:val="20"/>
          <w:szCs w:val="20"/>
          <w:lang w:val="en-US"/>
        </w:rPr>
        <w:t>Cangiano</w:t>
      </w:r>
      <w:proofErr w:type="spellEnd"/>
      <w:r w:rsidRPr="0076503E">
        <w:rPr>
          <w:rFonts w:ascii="Arial" w:hAnsi="Arial" w:cs="Arial"/>
          <w:sz w:val="20"/>
          <w:szCs w:val="20"/>
          <w:lang w:val="en-US"/>
        </w:rPr>
        <w:t xml:space="preserve"> M., Gelb, A., and Goodwin-Groen, R. </w:t>
      </w:r>
      <w:r w:rsidRPr="0076503E">
        <w:rPr>
          <w:rFonts w:ascii="Arial" w:hAnsi="Arial" w:cs="Arial"/>
          <w:sz w:val="20"/>
          <w:szCs w:val="20"/>
          <w:lang w:val="en-ZA"/>
        </w:rPr>
        <w:t>IMF.</w:t>
      </w:r>
    </w:p>
    <w:p w14:paraId="727972D7" w14:textId="058866B9" w:rsidR="005D0450" w:rsidRPr="0076503E" w:rsidRDefault="005D0450" w:rsidP="00B96D99">
      <w:pPr>
        <w:tabs>
          <w:tab w:val="left" w:pos="2420"/>
        </w:tabs>
        <w:jc w:val="both"/>
        <w:rPr>
          <w:rFonts w:ascii="Arial" w:hAnsi="Arial" w:cs="Arial"/>
          <w:sz w:val="20"/>
          <w:szCs w:val="20"/>
        </w:rPr>
      </w:pPr>
    </w:p>
    <w:p w14:paraId="7645F01E" w14:textId="21DE772F" w:rsidR="00340E29" w:rsidRPr="0076503E" w:rsidRDefault="00AC4DF7" w:rsidP="00B96D99">
      <w:pPr>
        <w:tabs>
          <w:tab w:val="left" w:pos="2420"/>
        </w:tabs>
        <w:jc w:val="both"/>
        <w:rPr>
          <w:rFonts w:ascii="Arial" w:hAnsi="Arial" w:cs="Arial"/>
          <w:sz w:val="20"/>
          <w:szCs w:val="20"/>
        </w:rPr>
      </w:pPr>
      <w:hyperlink r:id="rId1497" w:history="1">
        <w:r w:rsidR="00340E29" w:rsidRPr="0076503E">
          <w:rPr>
            <w:rStyle w:val="Hyperlink"/>
            <w:rFonts w:ascii="Arial" w:hAnsi="Arial" w:cs="Arial"/>
            <w:sz w:val="20"/>
            <w:szCs w:val="20"/>
          </w:rPr>
          <w:t>G20 Anti-Corruption Open Data Principles</w:t>
        </w:r>
      </w:hyperlink>
      <w:r w:rsidR="00340E29" w:rsidRPr="0076503E">
        <w:rPr>
          <w:rFonts w:ascii="Arial" w:hAnsi="Arial" w:cs="Arial"/>
          <w:sz w:val="20"/>
          <w:szCs w:val="20"/>
        </w:rPr>
        <w:t>. (201</w:t>
      </w:r>
      <w:r w:rsidR="007C02C7" w:rsidRPr="0076503E">
        <w:rPr>
          <w:rFonts w:ascii="Arial" w:hAnsi="Arial" w:cs="Arial"/>
          <w:sz w:val="20"/>
          <w:szCs w:val="20"/>
        </w:rPr>
        <w:t>4</w:t>
      </w:r>
      <w:r w:rsidR="00340E29" w:rsidRPr="0076503E">
        <w:rPr>
          <w:rFonts w:ascii="Arial" w:hAnsi="Arial" w:cs="Arial"/>
          <w:sz w:val="20"/>
          <w:szCs w:val="20"/>
        </w:rPr>
        <w:t>).</w:t>
      </w:r>
    </w:p>
    <w:p w14:paraId="6E8F0E14" w14:textId="77365506" w:rsidR="002C436D" w:rsidRPr="0076503E" w:rsidRDefault="002C436D" w:rsidP="00B96D99">
      <w:pPr>
        <w:tabs>
          <w:tab w:val="left" w:pos="2420"/>
        </w:tabs>
        <w:jc w:val="both"/>
        <w:rPr>
          <w:rFonts w:ascii="Arial" w:hAnsi="Arial" w:cs="Arial"/>
          <w:sz w:val="20"/>
          <w:szCs w:val="20"/>
        </w:rPr>
      </w:pPr>
    </w:p>
    <w:p w14:paraId="7A68C5D8" w14:textId="73DC097F" w:rsidR="002C436D" w:rsidRPr="0076503E" w:rsidRDefault="00AC4DF7" w:rsidP="00B96D99">
      <w:pPr>
        <w:tabs>
          <w:tab w:val="left" w:pos="2420"/>
        </w:tabs>
        <w:jc w:val="both"/>
        <w:rPr>
          <w:rFonts w:ascii="Arial" w:hAnsi="Arial" w:cs="Arial"/>
          <w:sz w:val="20"/>
          <w:szCs w:val="20"/>
        </w:rPr>
      </w:pPr>
      <w:hyperlink r:id="rId1498" w:history="1">
        <w:r w:rsidR="002C436D" w:rsidRPr="0076503E">
          <w:rPr>
            <w:rStyle w:val="Hyperlink"/>
            <w:rFonts w:ascii="Arial" w:hAnsi="Arial" w:cs="Arial"/>
            <w:sz w:val="20"/>
            <w:szCs w:val="20"/>
          </w:rPr>
          <w:t>G20 Open Data Principles</w:t>
        </w:r>
      </w:hyperlink>
      <w:r w:rsidR="002C436D" w:rsidRPr="0076503E">
        <w:rPr>
          <w:rFonts w:ascii="Arial" w:hAnsi="Arial" w:cs="Arial"/>
          <w:sz w:val="20"/>
          <w:szCs w:val="20"/>
        </w:rPr>
        <w:t>. (2015).</w:t>
      </w:r>
    </w:p>
    <w:p w14:paraId="23123964" w14:textId="0AC3A2D2" w:rsidR="009F27E9" w:rsidRPr="0076503E" w:rsidRDefault="009F27E9" w:rsidP="00B96D99">
      <w:pPr>
        <w:tabs>
          <w:tab w:val="left" w:pos="2420"/>
        </w:tabs>
        <w:jc w:val="both"/>
        <w:rPr>
          <w:rFonts w:ascii="Arial" w:hAnsi="Arial" w:cs="Arial"/>
          <w:sz w:val="20"/>
          <w:szCs w:val="20"/>
        </w:rPr>
      </w:pPr>
    </w:p>
    <w:p w14:paraId="0E4A1847" w14:textId="374A4CFC" w:rsidR="009F27E9" w:rsidRPr="0076503E" w:rsidRDefault="00AC4DF7" w:rsidP="00B96D99">
      <w:pPr>
        <w:tabs>
          <w:tab w:val="left" w:pos="2420"/>
        </w:tabs>
        <w:jc w:val="both"/>
        <w:rPr>
          <w:rFonts w:ascii="Arial" w:hAnsi="Arial" w:cs="Arial"/>
          <w:sz w:val="20"/>
          <w:szCs w:val="20"/>
        </w:rPr>
      </w:pPr>
      <w:hyperlink r:id="rId1499" w:history="1">
        <w:r w:rsidR="009F27E9" w:rsidRPr="0076503E">
          <w:rPr>
            <w:rStyle w:val="Hyperlink"/>
            <w:rFonts w:ascii="Arial" w:hAnsi="Arial" w:cs="Arial"/>
            <w:sz w:val="20"/>
            <w:szCs w:val="20"/>
          </w:rPr>
          <w:t>G20 Guiding Principles on Integrity in Public Procurement</w:t>
        </w:r>
      </w:hyperlink>
      <w:r w:rsidR="009F27E9" w:rsidRPr="0076503E">
        <w:rPr>
          <w:rFonts w:ascii="Arial" w:hAnsi="Arial" w:cs="Arial"/>
          <w:sz w:val="20"/>
          <w:szCs w:val="20"/>
        </w:rPr>
        <w:t xml:space="preserve"> (2015).</w:t>
      </w:r>
    </w:p>
    <w:p w14:paraId="5DBE0FD1" w14:textId="1A019AA6" w:rsidR="007C02C7" w:rsidRPr="0076503E" w:rsidRDefault="007C02C7" w:rsidP="00B96D99">
      <w:pPr>
        <w:tabs>
          <w:tab w:val="left" w:pos="2420"/>
        </w:tabs>
        <w:jc w:val="both"/>
        <w:rPr>
          <w:rFonts w:ascii="Arial" w:hAnsi="Arial" w:cs="Arial"/>
          <w:sz w:val="20"/>
          <w:szCs w:val="20"/>
        </w:rPr>
      </w:pPr>
    </w:p>
    <w:p w14:paraId="4A969C2F" w14:textId="78CF9C38" w:rsidR="007C02C7" w:rsidRPr="0076503E" w:rsidRDefault="00AC4DF7" w:rsidP="00B96D99">
      <w:pPr>
        <w:tabs>
          <w:tab w:val="left" w:pos="2420"/>
        </w:tabs>
        <w:jc w:val="both"/>
        <w:rPr>
          <w:rFonts w:ascii="Arial" w:hAnsi="Arial" w:cs="Arial"/>
          <w:sz w:val="20"/>
          <w:szCs w:val="20"/>
        </w:rPr>
      </w:pPr>
      <w:hyperlink r:id="rId1500" w:history="1">
        <w:r w:rsidR="007C02C7" w:rsidRPr="0076503E">
          <w:rPr>
            <w:rStyle w:val="Hyperlink"/>
            <w:rFonts w:ascii="Arial" w:hAnsi="Arial" w:cs="Arial"/>
            <w:sz w:val="20"/>
            <w:szCs w:val="20"/>
          </w:rPr>
          <w:t>G20 Anti-Corruption Action Plan.</w:t>
        </w:r>
      </w:hyperlink>
      <w:r w:rsidR="007C02C7" w:rsidRPr="0076503E">
        <w:rPr>
          <w:rFonts w:ascii="Arial" w:hAnsi="Arial" w:cs="Arial"/>
          <w:sz w:val="20"/>
          <w:szCs w:val="20"/>
        </w:rPr>
        <w:t xml:space="preserve"> (2017-18).</w:t>
      </w:r>
    </w:p>
    <w:p w14:paraId="4FA90E73" w14:textId="7E83098D" w:rsidR="00355A2E" w:rsidRPr="0076503E" w:rsidRDefault="00355A2E" w:rsidP="00B96D99">
      <w:pPr>
        <w:tabs>
          <w:tab w:val="left" w:pos="2420"/>
        </w:tabs>
        <w:jc w:val="both"/>
        <w:rPr>
          <w:rFonts w:ascii="Arial" w:hAnsi="Arial" w:cs="Arial"/>
          <w:sz w:val="20"/>
          <w:szCs w:val="20"/>
        </w:rPr>
      </w:pPr>
    </w:p>
    <w:p w14:paraId="2308B6CA" w14:textId="77777777" w:rsidR="00355A2E" w:rsidRPr="0076503E" w:rsidRDefault="00355A2E" w:rsidP="00B96D99">
      <w:pPr>
        <w:tabs>
          <w:tab w:val="left" w:pos="2420"/>
        </w:tabs>
        <w:jc w:val="both"/>
        <w:rPr>
          <w:rFonts w:ascii="Arial" w:hAnsi="Arial" w:cs="Arial"/>
          <w:bCs/>
          <w:sz w:val="20"/>
          <w:szCs w:val="20"/>
          <w:lang w:val="en-ZA"/>
        </w:rPr>
      </w:pPr>
      <w:r w:rsidRPr="0076503E">
        <w:rPr>
          <w:rFonts w:ascii="Arial" w:hAnsi="Arial" w:cs="Arial"/>
          <w:sz w:val="20"/>
          <w:szCs w:val="20"/>
          <w:lang w:val="en-ZA"/>
        </w:rPr>
        <w:t xml:space="preserve">Hashim, A. and </w:t>
      </w:r>
      <w:proofErr w:type="spellStart"/>
      <w:r w:rsidRPr="0076503E">
        <w:rPr>
          <w:rFonts w:ascii="Arial" w:hAnsi="Arial" w:cs="Arial"/>
          <w:sz w:val="20"/>
          <w:szCs w:val="20"/>
          <w:lang w:val="en-ZA"/>
        </w:rPr>
        <w:t>Piatti</w:t>
      </w:r>
      <w:proofErr w:type="spellEnd"/>
      <w:r w:rsidRPr="0076503E">
        <w:rPr>
          <w:rFonts w:ascii="Arial" w:hAnsi="Arial" w:cs="Arial"/>
          <w:sz w:val="20"/>
          <w:szCs w:val="20"/>
          <w:lang w:val="en-ZA"/>
        </w:rPr>
        <w:t>, M. (2016). “</w:t>
      </w:r>
      <w:hyperlink r:id="rId1501" w:history="1">
        <w:r w:rsidRPr="0076503E">
          <w:rPr>
            <w:rStyle w:val="Hyperlink"/>
            <w:rFonts w:ascii="Arial" w:hAnsi="Arial" w:cs="Arial"/>
            <w:bCs/>
            <w:sz w:val="20"/>
            <w:szCs w:val="20"/>
            <w:lang w:val="en-ZA"/>
          </w:rPr>
          <w:t>A Diagnostic Framework to Assess the Capacity of a Government's Financial Management Information System as a Budget Management Tool</w:t>
        </w:r>
      </w:hyperlink>
      <w:r w:rsidRPr="0076503E">
        <w:rPr>
          <w:rFonts w:ascii="Arial" w:hAnsi="Arial" w:cs="Arial"/>
          <w:bCs/>
          <w:sz w:val="20"/>
          <w:szCs w:val="20"/>
          <w:lang w:val="en-ZA"/>
        </w:rPr>
        <w:t>”.  World Bank.</w:t>
      </w:r>
    </w:p>
    <w:p w14:paraId="0412683A" w14:textId="77777777" w:rsidR="00355A2E" w:rsidRPr="0076503E" w:rsidRDefault="00355A2E" w:rsidP="00B96D99">
      <w:pPr>
        <w:tabs>
          <w:tab w:val="left" w:pos="2420"/>
        </w:tabs>
        <w:jc w:val="both"/>
        <w:rPr>
          <w:rFonts w:ascii="Arial" w:hAnsi="Arial" w:cs="Arial"/>
          <w:sz w:val="20"/>
          <w:szCs w:val="20"/>
        </w:rPr>
      </w:pPr>
    </w:p>
    <w:p w14:paraId="3FF80FA5" w14:textId="75767043" w:rsidR="002C436D" w:rsidRPr="0076503E" w:rsidRDefault="002C436D" w:rsidP="00B96D99">
      <w:pPr>
        <w:tabs>
          <w:tab w:val="left" w:pos="2420"/>
        </w:tabs>
        <w:jc w:val="both"/>
        <w:rPr>
          <w:rFonts w:ascii="Arial" w:hAnsi="Arial" w:cs="Arial"/>
          <w:sz w:val="20"/>
          <w:szCs w:val="20"/>
          <w:lang w:val="en-ZA"/>
        </w:rPr>
      </w:pPr>
      <w:r w:rsidRPr="0076503E">
        <w:rPr>
          <w:rFonts w:ascii="Arial" w:hAnsi="Arial" w:cs="Arial"/>
          <w:sz w:val="20"/>
          <w:szCs w:val="20"/>
          <w:lang w:val="en-ZA"/>
        </w:rPr>
        <w:t>Hashim, A.,</w:t>
      </w:r>
      <w:r w:rsidRPr="0076503E">
        <w:rPr>
          <w:rFonts w:ascii="Arial" w:hAnsi="Arial" w:cs="Arial"/>
          <w:sz w:val="20"/>
          <w:szCs w:val="20"/>
        </w:rPr>
        <w:t xml:space="preserve"> </w:t>
      </w:r>
      <w:r w:rsidRPr="0076503E">
        <w:rPr>
          <w:rFonts w:ascii="Arial" w:hAnsi="Arial" w:cs="Arial"/>
          <w:sz w:val="20"/>
          <w:szCs w:val="20"/>
          <w:lang w:val="en-ZA"/>
        </w:rPr>
        <w:t xml:space="preserve">and </w:t>
      </w:r>
      <w:proofErr w:type="spellStart"/>
      <w:r w:rsidRPr="0076503E">
        <w:rPr>
          <w:rFonts w:ascii="Arial" w:hAnsi="Arial" w:cs="Arial"/>
          <w:sz w:val="20"/>
          <w:szCs w:val="20"/>
          <w:lang w:val="en-ZA"/>
        </w:rPr>
        <w:t>Piatti-Fünfkirchen</w:t>
      </w:r>
      <w:proofErr w:type="spellEnd"/>
      <w:r w:rsidRPr="0076503E">
        <w:rPr>
          <w:rFonts w:ascii="Arial" w:hAnsi="Arial" w:cs="Arial"/>
          <w:sz w:val="20"/>
          <w:szCs w:val="20"/>
          <w:lang w:val="en-ZA"/>
        </w:rPr>
        <w:t>, M. (2018). “</w:t>
      </w:r>
      <w:hyperlink r:id="rId1502" w:history="1">
        <w:r w:rsidRPr="0076503E">
          <w:rPr>
            <w:rStyle w:val="Hyperlink"/>
            <w:rFonts w:ascii="Arial" w:hAnsi="Arial" w:cs="Arial"/>
            <w:sz w:val="20"/>
            <w:szCs w:val="20"/>
            <w:lang w:val="en-ZA"/>
          </w:rPr>
          <w:t>Lessons from Reforming Financial Management Information Systems: A Review of the Evidence</w:t>
        </w:r>
      </w:hyperlink>
      <w:r w:rsidRPr="0076503E">
        <w:rPr>
          <w:rFonts w:ascii="Arial" w:hAnsi="Arial" w:cs="Arial"/>
          <w:sz w:val="20"/>
          <w:szCs w:val="20"/>
          <w:lang w:val="en-ZA"/>
        </w:rPr>
        <w:t>”</w:t>
      </w:r>
      <w:r w:rsidR="00FE129F">
        <w:rPr>
          <w:rFonts w:ascii="Arial" w:hAnsi="Arial" w:cs="Arial"/>
          <w:sz w:val="20"/>
          <w:szCs w:val="20"/>
          <w:lang w:val="en-ZA"/>
        </w:rPr>
        <w:t>.</w:t>
      </w:r>
      <w:r w:rsidRPr="0076503E">
        <w:rPr>
          <w:rFonts w:ascii="Arial" w:hAnsi="Arial" w:cs="Arial"/>
          <w:sz w:val="20"/>
          <w:szCs w:val="20"/>
          <w:lang w:val="en-ZA"/>
        </w:rPr>
        <w:t xml:space="preserve"> World Bank Policy Research Working Paper 8312, World Bank.</w:t>
      </w:r>
    </w:p>
    <w:p w14:paraId="5D895D9B" w14:textId="2D9BAA84" w:rsidR="00056805" w:rsidRPr="0076503E" w:rsidRDefault="00056805" w:rsidP="00B96D99">
      <w:pPr>
        <w:tabs>
          <w:tab w:val="left" w:pos="2420"/>
        </w:tabs>
        <w:jc w:val="both"/>
        <w:rPr>
          <w:rFonts w:ascii="Arial" w:hAnsi="Arial" w:cs="Arial"/>
          <w:sz w:val="20"/>
          <w:szCs w:val="20"/>
          <w:lang w:val="en-ZA"/>
        </w:rPr>
      </w:pPr>
    </w:p>
    <w:p w14:paraId="37C3C66D" w14:textId="51D50952" w:rsidR="00056805" w:rsidRPr="0076503E" w:rsidRDefault="00056805" w:rsidP="00B96D99">
      <w:pPr>
        <w:tabs>
          <w:tab w:val="left" w:pos="2420"/>
        </w:tabs>
        <w:jc w:val="both"/>
        <w:rPr>
          <w:rFonts w:ascii="Arial" w:hAnsi="Arial" w:cs="Arial"/>
          <w:sz w:val="20"/>
          <w:szCs w:val="20"/>
          <w:lang w:val="en-US"/>
        </w:rPr>
      </w:pPr>
      <w:r w:rsidRPr="0076503E">
        <w:rPr>
          <w:rFonts w:ascii="Arial" w:hAnsi="Arial" w:cs="Arial"/>
          <w:sz w:val="20"/>
          <w:szCs w:val="20"/>
          <w:lang w:val="en-US"/>
        </w:rPr>
        <w:t>Heald, D. (2015). “</w:t>
      </w:r>
      <w:hyperlink r:id="rId1503" w:history="1">
        <w:r w:rsidRPr="0076503E">
          <w:rPr>
            <w:rStyle w:val="Hyperlink"/>
            <w:rFonts w:ascii="Arial" w:hAnsi="Arial" w:cs="Arial"/>
            <w:sz w:val="20"/>
            <w:szCs w:val="20"/>
            <w:lang w:val="en-US"/>
          </w:rPr>
          <w:t>Surmounting Obstacles to Fiscal Transparency</w:t>
        </w:r>
      </w:hyperlink>
      <w:r w:rsidRPr="0076503E">
        <w:rPr>
          <w:rFonts w:ascii="Arial" w:hAnsi="Arial" w:cs="Arial"/>
          <w:sz w:val="20"/>
          <w:szCs w:val="20"/>
          <w:lang w:val="en-US"/>
        </w:rPr>
        <w:t>”</w:t>
      </w:r>
      <w:r w:rsidR="00900FAC">
        <w:rPr>
          <w:rFonts w:ascii="Arial" w:hAnsi="Arial" w:cs="Arial"/>
          <w:sz w:val="20"/>
          <w:szCs w:val="20"/>
          <w:lang w:val="en-US"/>
        </w:rPr>
        <w:t>.</w:t>
      </w:r>
      <w:r w:rsidRPr="0076503E">
        <w:rPr>
          <w:rFonts w:ascii="Arial" w:hAnsi="Arial" w:cs="Arial"/>
          <w:sz w:val="20"/>
          <w:szCs w:val="20"/>
          <w:lang w:val="en-US"/>
        </w:rPr>
        <w:t xml:space="preserve"> Incentives research.</w:t>
      </w:r>
    </w:p>
    <w:p w14:paraId="47E95255" w14:textId="77777777" w:rsidR="00056805" w:rsidRPr="0076503E" w:rsidRDefault="00056805" w:rsidP="00B96D99">
      <w:pPr>
        <w:tabs>
          <w:tab w:val="left" w:pos="2420"/>
        </w:tabs>
        <w:jc w:val="both"/>
        <w:rPr>
          <w:rFonts w:ascii="Arial" w:hAnsi="Arial" w:cs="Arial"/>
          <w:sz w:val="20"/>
          <w:szCs w:val="20"/>
          <w:lang w:val="en-ZA"/>
        </w:rPr>
      </w:pPr>
    </w:p>
    <w:p w14:paraId="5F490530" w14:textId="58D8A244" w:rsidR="008F31A6" w:rsidRPr="0076503E" w:rsidRDefault="008F31A6" w:rsidP="00B96D99">
      <w:pPr>
        <w:tabs>
          <w:tab w:val="left" w:pos="2420"/>
        </w:tabs>
        <w:jc w:val="both"/>
        <w:rPr>
          <w:rFonts w:ascii="Arial" w:hAnsi="Arial" w:cs="Arial"/>
          <w:sz w:val="20"/>
          <w:szCs w:val="20"/>
          <w:lang w:val="en-US"/>
        </w:rPr>
      </w:pPr>
      <w:r w:rsidRPr="0076503E">
        <w:rPr>
          <w:rFonts w:ascii="Arial" w:hAnsi="Arial" w:cs="Arial"/>
          <w:sz w:val="20"/>
          <w:szCs w:val="20"/>
        </w:rPr>
        <w:t xml:space="preserve">International Association for Public Participation. </w:t>
      </w:r>
      <w:hyperlink r:id="rId1504" w:history="1">
        <w:r w:rsidRPr="0076503E">
          <w:rPr>
            <w:rStyle w:val="Hyperlink"/>
            <w:rFonts w:ascii="Arial" w:hAnsi="Arial" w:cs="Arial"/>
            <w:sz w:val="20"/>
            <w:szCs w:val="20"/>
            <w:lang w:val="en-US"/>
          </w:rPr>
          <w:t>IAP2 Spectrum of Participation</w:t>
        </w:r>
      </w:hyperlink>
      <w:r w:rsidRPr="0076503E">
        <w:rPr>
          <w:rFonts w:ascii="Arial" w:hAnsi="Arial" w:cs="Arial"/>
          <w:sz w:val="20"/>
          <w:szCs w:val="20"/>
          <w:lang w:val="en-US"/>
        </w:rPr>
        <w:t>.</w:t>
      </w:r>
    </w:p>
    <w:p w14:paraId="09D5F029" w14:textId="73342678" w:rsidR="000A6697" w:rsidRPr="0076503E" w:rsidRDefault="000A6697" w:rsidP="00B96D99">
      <w:pPr>
        <w:tabs>
          <w:tab w:val="left" w:pos="2420"/>
        </w:tabs>
        <w:jc w:val="both"/>
        <w:rPr>
          <w:rFonts w:ascii="Arial" w:hAnsi="Arial" w:cs="Arial"/>
          <w:sz w:val="20"/>
          <w:szCs w:val="20"/>
          <w:lang w:val="en-US"/>
        </w:rPr>
      </w:pPr>
    </w:p>
    <w:p w14:paraId="672D63E3" w14:textId="6B6E6715" w:rsidR="007877C3" w:rsidRPr="0076503E" w:rsidRDefault="007877C3"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(2012). </w:t>
      </w:r>
      <w:hyperlink r:id="rId1505">
        <w:r w:rsidRPr="0076503E">
          <w:rPr>
            <w:rStyle w:val="Hyperlink"/>
            <w:rFonts w:ascii="Arial" w:hAnsi="Arial" w:cs="Arial"/>
            <w:sz w:val="20"/>
            <w:szCs w:val="20"/>
          </w:rPr>
          <w:t>The Power of Making it Simple: A Government Guide to Developing Citizens Budgets.</w:t>
        </w:r>
      </w:hyperlink>
    </w:p>
    <w:p w14:paraId="057584D9" w14:textId="77777777" w:rsidR="007877C3" w:rsidRPr="0076503E" w:rsidRDefault="007877C3" w:rsidP="00B96D99">
      <w:pPr>
        <w:tabs>
          <w:tab w:val="left" w:pos="2420"/>
        </w:tabs>
        <w:jc w:val="both"/>
        <w:rPr>
          <w:rFonts w:ascii="Arial" w:hAnsi="Arial" w:cs="Arial"/>
          <w:sz w:val="20"/>
          <w:szCs w:val="20"/>
          <w:u w:val="single"/>
        </w:rPr>
      </w:pPr>
    </w:p>
    <w:p w14:paraId="014F1C40" w14:textId="69A39899" w:rsidR="003231D8" w:rsidRPr="0076503E" w:rsidRDefault="003231D8"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w:t>
      </w:r>
      <w:hyperlink r:id="rId1506" w:history="1">
        <w:r w:rsidRPr="0076503E">
          <w:rPr>
            <w:rStyle w:val="Hyperlink"/>
            <w:rFonts w:ascii="Arial" w:hAnsi="Arial" w:cs="Arial"/>
            <w:bCs/>
            <w:sz w:val="20"/>
            <w:szCs w:val="20"/>
          </w:rPr>
          <w:t>Guide to Transparency in Government Budget Reports: How Civil Society Can Use Budget Reports for Research and Advocacy</w:t>
        </w:r>
      </w:hyperlink>
      <w:r w:rsidRPr="0076503E">
        <w:rPr>
          <w:rFonts w:ascii="Arial" w:hAnsi="Arial" w:cs="Arial"/>
          <w:sz w:val="20"/>
          <w:szCs w:val="20"/>
        </w:rPr>
        <w:t>.</w:t>
      </w:r>
    </w:p>
    <w:p w14:paraId="52630D66" w14:textId="77777777" w:rsidR="003231D8" w:rsidRPr="0076503E" w:rsidRDefault="003231D8" w:rsidP="00B96D99">
      <w:pPr>
        <w:tabs>
          <w:tab w:val="left" w:pos="2420"/>
        </w:tabs>
        <w:jc w:val="both"/>
        <w:rPr>
          <w:rFonts w:ascii="Arial" w:hAnsi="Arial" w:cs="Arial"/>
          <w:sz w:val="20"/>
          <w:szCs w:val="20"/>
        </w:rPr>
      </w:pPr>
    </w:p>
    <w:p w14:paraId="32B4BCC2" w14:textId="1BCAE940" w:rsidR="000A6697" w:rsidRPr="0076503E" w:rsidRDefault="000A6697"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w:t>
      </w:r>
      <w:hyperlink r:id="rId1507" w:history="1">
        <w:r w:rsidRPr="0076503E">
          <w:rPr>
            <w:rStyle w:val="Hyperlink"/>
            <w:rFonts w:ascii="Arial" w:hAnsi="Arial" w:cs="Arial"/>
            <w:sz w:val="20"/>
            <w:szCs w:val="20"/>
          </w:rPr>
          <w:t>Guide to Transparency in Government Budget Reports: Why are Budget Reports Important, and What Should They Include?</w:t>
        </w:r>
      </w:hyperlink>
    </w:p>
    <w:p w14:paraId="7731251A" w14:textId="61C7918C" w:rsidR="000A6697" w:rsidRPr="0076503E" w:rsidRDefault="000A6697" w:rsidP="00B96D99">
      <w:pPr>
        <w:tabs>
          <w:tab w:val="left" w:pos="2420"/>
        </w:tabs>
        <w:jc w:val="both"/>
        <w:rPr>
          <w:rFonts w:ascii="Arial" w:hAnsi="Arial" w:cs="Arial"/>
          <w:sz w:val="20"/>
          <w:szCs w:val="20"/>
        </w:rPr>
      </w:pPr>
    </w:p>
    <w:p w14:paraId="4F350F41" w14:textId="570C684C" w:rsidR="000A6697" w:rsidRPr="0076503E" w:rsidRDefault="000A6697"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w:t>
      </w:r>
      <w:hyperlink r:id="rId1508" w:history="1">
        <w:r w:rsidRPr="0076503E">
          <w:rPr>
            <w:rStyle w:val="Hyperlink"/>
            <w:rFonts w:ascii="Arial" w:hAnsi="Arial" w:cs="Arial"/>
            <w:sz w:val="20"/>
            <w:szCs w:val="20"/>
            <w:lang w:val="en-ZA"/>
          </w:rPr>
          <w:t xml:space="preserve">Guide to </w:t>
        </w:r>
        <w:proofErr w:type="gramStart"/>
        <w:r w:rsidRPr="0076503E">
          <w:rPr>
            <w:rStyle w:val="Hyperlink"/>
            <w:rFonts w:ascii="Arial" w:hAnsi="Arial" w:cs="Arial"/>
            <w:sz w:val="20"/>
            <w:szCs w:val="20"/>
            <w:lang w:val="en-ZA"/>
          </w:rPr>
          <w:t>Transparency  in</w:t>
        </w:r>
        <w:proofErr w:type="gramEnd"/>
        <w:r w:rsidRPr="0076503E">
          <w:rPr>
            <w:rStyle w:val="Hyperlink"/>
            <w:rFonts w:ascii="Arial" w:hAnsi="Arial" w:cs="Arial"/>
            <w:sz w:val="20"/>
            <w:szCs w:val="20"/>
            <w:lang w:val="en-ZA"/>
          </w:rPr>
          <w:t xml:space="preserve"> Public Finances Looking Beyond the Core Budget</w:t>
        </w:r>
      </w:hyperlink>
      <w:r w:rsidRPr="0076503E">
        <w:rPr>
          <w:rFonts w:ascii="Arial" w:hAnsi="Arial" w:cs="Arial"/>
          <w:sz w:val="20"/>
          <w:szCs w:val="20"/>
        </w:rPr>
        <w:t>.</w:t>
      </w:r>
    </w:p>
    <w:p w14:paraId="120A1E41" w14:textId="7A16F7AD" w:rsidR="00791D79" w:rsidRPr="0076503E" w:rsidRDefault="00791D79" w:rsidP="00B96D99">
      <w:pPr>
        <w:tabs>
          <w:tab w:val="left" w:pos="2420"/>
        </w:tabs>
        <w:jc w:val="both"/>
        <w:rPr>
          <w:rFonts w:ascii="Arial" w:hAnsi="Arial" w:cs="Arial"/>
          <w:sz w:val="20"/>
          <w:szCs w:val="20"/>
        </w:rPr>
      </w:pPr>
    </w:p>
    <w:p w14:paraId="3140D70D" w14:textId="6E917884" w:rsidR="003231D8" w:rsidRPr="0076503E" w:rsidRDefault="003231D8"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(2016). </w:t>
      </w:r>
      <w:hyperlink r:id="rId1509">
        <w:r w:rsidRPr="0076503E">
          <w:rPr>
            <w:rStyle w:val="Hyperlink"/>
            <w:rFonts w:ascii="Arial" w:hAnsi="Arial" w:cs="Arial"/>
            <w:sz w:val="20"/>
            <w:szCs w:val="20"/>
          </w:rPr>
          <w:t>Open Budget Survey Guidelines on the Public Availability of Budget Documents</w:t>
        </w:r>
      </w:hyperlink>
      <w:r w:rsidRPr="0076503E">
        <w:rPr>
          <w:rFonts w:ascii="Arial" w:hAnsi="Arial" w:cs="Arial"/>
          <w:sz w:val="20"/>
          <w:szCs w:val="20"/>
        </w:rPr>
        <w:t>.</w:t>
      </w:r>
    </w:p>
    <w:p w14:paraId="679B9BA5" w14:textId="7D397ADF" w:rsidR="00157200" w:rsidRPr="0076503E" w:rsidRDefault="00157200" w:rsidP="00B96D99">
      <w:pPr>
        <w:tabs>
          <w:tab w:val="left" w:pos="2420"/>
        </w:tabs>
        <w:jc w:val="both"/>
        <w:rPr>
          <w:rFonts w:ascii="Arial" w:hAnsi="Arial" w:cs="Arial"/>
          <w:sz w:val="20"/>
          <w:szCs w:val="20"/>
        </w:rPr>
      </w:pPr>
    </w:p>
    <w:p w14:paraId="1312CFC1" w14:textId="70CE4791" w:rsidR="00E175B0" w:rsidRPr="0076503E" w:rsidRDefault="00E175B0" w:rsidP="00B96D99">
      <w:pPr>
        <w:tabs>
          <w:tab w:val="left" w:pos="2420"/>
        </w:tabs>
        <w:jc w:val="both"/>
        <w:rPr>
          <w:rFonts w:ascii="Arial" w:hAnsi="Arial" w:cs="Arial"/>
          <w:sz w:val="20"/>
          <w:szCs w:val="20"/>
        </w:rPr>
      </w:pPr>
      <w:r w:rsidRPr="0076503E">
        <w:rPr>
          <w:rFonts w:ascii="Arial" w:hAnsi="Arial" w:cs="Arial"/>
          <w:sz w:val="20"/>
          <w:szCs w:val="20"/>
        </w:rPr>
        <w:t>International Budget Partnership and United Nations</w:t>
      </w:r>
      <w:r w:rsidRPr="0076503E">
        <w:rPr>
          <w:rFonts w:ascii="Arial" w:hAnsi="Arial" w:cs="Arial"/>
          <w:b/>
          <w:bCs/>
          <w:color w:val="5F6368"/>
          <w:sz w:val="20"/>
          <w:szCs w:val="20"/>
          <w:shd w:val="clear" w:color="auto" w:fill="FFFFFF"/>
        </w:rPr>
        <w:t xml:space="preserve"> </w:t>
      </w:r>
      <w:r w:rsidRPr="0076503E">
        <w:rPr>
          <w:rFonts w:ascii="Arial" w:hAnsi="Arial" w:cs="Arial"/>
          <w:bCs/>
          <w:sz w:val="20"/>
          <w:szCs w:val="20"/>
        </w:rPr>
        <w:t>International Children's Emergency Fund.</w:t>
      </w:r>
      <w:r w:rsidRPr="0076503E">
        <w:rPr>
          <w:rFonts w:ascii="Arial" w:hAnsi="Arial" w:cs="Arial"/>
          <w:sz w:val="20"/>
          <w:szCs w:val="20"/>
        </w:rPr>
        <w:t xml:space="preserve"> (2017). </w:t>
      </w:r>
      <w:hyperlink r:id="rId1510" w:history="1">
        <w:r w:rsidRPr="0076503E">
          <w:rPr>
            <w:rStyle w:val="Hyperlink"/>
            <w:rFonts w:ascii="Arial" w:hAnsi="Arial" w:cs="Arial"/>
            <w:sz w:val="20"/>
            <w:szCs w:val="20"/>
          </w:rPr>
          <w:t>Financing Development for Children in Africa: The state of budget transparency and accountability in the continent</w:t>
        </w:r>
      </w:hyperlink>
      <w:r w:rsidRPr="0076503E">
        <w:rPr>
          <w:rFonts w:ascii="Arial" w:hAnsi="Arial" w:cs="Arial"/>
          <w:sz w:val="20"/>
          <w:szCs w:val="20"/>
        </w:rPr>
        <w:t>.</w:t>
      </w:r>
    </w:p>
    <w:p w14:paraId="349C8475" w14:textId="77777777" w:rsidR="00E175B0" w:rsidRPr="0076503E" w:rsidRDefault="00E175B0" w:rsidP="00B96D99">
      <w:pPr>
        <w:tabs>
          <w:tab w:val="left" w:pos="2420"/>
        </w:tabs>
        <w:jc w:val="both"/>
        <w:rPr>
          <w:rFonts w:ascii="Arial" w:hAnsi="Arial" w:cs="Arial"/>
          <w:sz w:val="20"/>
          <w:szCs w:val="20"/>
          <w:lang w:val="en-US"/>
        </w:rPr>
      </w:pPr>
    </w:p>
    <w:p w14:paraId="7CD4C89F" w14:textId="65D73A2C" w:rsidR="00157200" w:rsidRPr="0076503E" w:rsidRDefault="00157200"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(2018). </w:t>
      </w:r>
      <w:hyperlink r:id="rId1511" w:history="1">
        <w:r w:rsidRPr="0076503E">
          <w:rPr>
            <w:rStyle w:val="Hyperlink"/>
            <w:rFonts w:ascii="Arial" w:hAnsi="Arial" w:cs="Arial"/>
            <w:sz w:val="20"/>
            <w:szCs w:val="20"/>
          </w:rPr>
          <w:t>2017 Open Budget Survey</w:t>
        </w:r>
      </w:hyperlink>
      <w:r w:rsidRPr="0076503E">
        <w:rPr>
          <w:rFonts w:ascii="Arial" w:hAnsi="Arial" w:cs="Arial"/>
          <w:sz w:val="20"/>
          <w:szCs w:val="20"/>
        </w:rPr>
        <w:t>.</w:t>
      </w:r>
    </w:p>
    <w:p w14:paraId="35F449F8" w14:textId="14EFB57D" w:rsidR="003231D8" w:rsidRPr="0076503E" w:rsidRDefault="003231D8" w:rsidP="00B96D99">
      <w:pPr>
        <w:tabs>
          <w:tab w:val="left" w:pos="2420"/>
        </w:tabs>
        <w:jc w:val="both"/>
        <w:rPr>
          <w:rFonts w:ascii="Arial" w:hAnsi="Arial" w:cs="Arial"/>
          <w:sz w:val="20"/>
          <w:szCs w:val="20"/>
        </w:rPr>
      </w:pPr>
    </w:p>
    <w:p w14:paraId="7CF92A1A" w14:textId="4B2530B4" w:rsidR="008F31A6" w:rsidRPr="0076503E" w:rsidRDefault="008F31A6" w:rsidP="00B96D99">
      <w:pPr>
        <w:tabs>
          <w:tab w:val="left" w:pos="2420"/>
        </w:tabs>
        <w:jc w:val="both"/>
        <w:rPr>
          <w:rFonts w:ascii="Arial" w:hAnsi="Arial" w:cs="Arial"/>
          <w:sz w:val="20"/>
          <w:szCs w:val="20"/>
        </w:rPr>
      </w:pPr>
      <w:r w:rsidRPr="0076503E">
        <w:rPr>
          <w:rFonts w:ascii="Arial" w:hAnsi="Arial" w:cs="Arial"/>
          <w:sz w:val="20"/>
          <w:szCs w:val="20"/>
        </w:rPr>
        <w:t>International Budget Partnership.</w:t>
      </w:r>
      <w:r w:rsidR="0071715E" w:rsidRPr="0076503E">
        <w:rPr>
          <w:rFonts w:ascii="Arial" w:hAnsi="Arial" w:cs="Arial"/>
          <w:sz w:val="20"/>
          <w:szCs w:val="20"/>
        </w:rPr>
        <w:t xml:space="preserve"> (2019).</w:t>
      </w:r>
      <w:r w:rsidRPr="0076503E">
        <w:rPr>
          <w:rFonts w:ascii="Arial" w:hAnsi="Arial" w:cs="Arial"/>
          <w:sz w:val="20"/>
          <w:szCs w:val="20"/>
        </w:rPr>
        <w:t xml:space="preserve"> </w:t>
      </w:r>
      <w:hyperlink r:id="rId1512" w:history="1">
        <w:r w:rsidRPr="0076503E">
          <w:rPr>
            <w:rStyle w:val="Hyperlink"/>
            <w:rFonts w:ascii="Arial" w:hAnsi="Arial" w:cs="Arial"/>
            <w:sz w:val="20"/>
            <w:szCs w:val="20"/>
          </w:rPr>
          <w:t>Guidelines for capturing social audit data</w:t>
        </w:r>
      </w:hyperlink>
      <w:r w:rsidR="000F5B7E">
        <w:rPr>
          <w:rStyle w:val="Hyperlink"/>
          <w:rFonts w:ascii="Arial" w:hAnsi="Arial" w:cs="Arial"/>
          <w:sz w:val="20"/>
          <w:szCs w:val="20"/>
        </w:rPr>
        <w:t>.</w:t>
      </w:r>
    </w:p>
    <w:p w14:paraId="70D64495" w14:textId="0098B065" w:rsidR="008F31A6" w:rsidRPr="0076503E" w:rsidRDefault="008F31A6" w:rsidP="00B96D99">
      <w:pPr>
        <w:tabs>
          <w:tab w:val="left" w:pos="2420"/>
        </w:tabs>
        <w:jc w:val="both"/>
        <w:rPr>
          <w:rFonts w:ascii="Arial" w:hAnsi="Arial" w:cs="Arial"/>
          <w:sz w:val="20"/>
          <w:szCs w:val="20"/>
        </w:rPr>
      </w:pPr>
    </w:p>
    <w:p w14:paraId="7CB3B707" w14:textId="35976225" w:rsidR="008F31A6" w:rsidRPr="0076503E" w:rsidRDefault="008F31A6" w:rsidP="00B96D99">
      <w:pPr>
        <w:tabs>
          <w:tab w:val="left" w:pos="2420"/>
        </w:tabs>
        <w:jc w:val="both"/>
        <w:rPr>
          <w:rFonts w:ascii="Arial" w:hAnsi="Arial" w:cs="Arial"/>
          <w:sz w:val="20"/>
          <w:szCs w:val="20"/>
        </w:rPr>
      </w:pPr>
      <w:r w:rsidRPr="0076503E">
        <w:rPr>
          <w:rFonts w:ascii="Arial" w:hAnsi="Arial" w:cs="Arial"/>
          <w:sz w:val="20"/>
          <w:szCs w:val="20"/>
        </w:rPr>
        <w:t>International Budget Partnership.</w:t>
      </w:r>
      <w:r w:rsidR="0071715E" w:rsidRPr="0076503E">
        <w:rPr>
          <w:rFonts w:ascii="Arial" w:hAnsi="Arial" w:cs="Arial"/>
          <w:sz w:val="20"/>
          <w:szCs w:val="20"/>
        </w:rPr>
        <w:t xml:space="preserve"> (2019). </w:t>
      </w:r>
      <w:hyperlink r:id="rId1513" w:history="1">
        <w:r w:rsidRPr="0076503E">
          <w:rPr>
            <w:rStyle w:val="Hyperlink"/>
            <w:rFonts w:ascii="Arial" w:hAnsi="Arial" w:cs="Arial"/>
            <w:sz w:val="20"/>
            <w:szCs w:val="20"/>
          </w:rPr>
          <w:t>Guidelines for developing a social audit questionnaire</w:t>
        </w:r>
      </w:hyperlink>
      <w:r w:rsidRPr="0076503E">
        <w:rPr>
          <w:rFonts w:ascii="Arial" w:hAnsi="Arial" w:cs="Arial"/>
          <w:sz w:val="20"/>
          <w:szCs w:val="20"/>
        </w:rPr>
        <w:t>.</w:t>
      </w:r>
    </w:p>
    <w:p w14:paraId="4175DD60" w14:textId="77777777" w:rsidR="008F31A6" w:rsidRPr="0076503E" w:rsidRDefault="008F31A6" w:rsidP="00B96D99">
      <w:pPr>
        <w:tabs>
          <w:tab w:val="left" w:pos="2420"/>
        </w:tabs>
        <w:jc w:val="both"/>
        <w:rPr>
          <w:rFonts w:ascii="Arial" w:hAnsi="Arial" w:cs="Arial"/>
          <w:sz w:val="20"/>
          <w:szCs w:val="20"/>
        </w:rPr>
      </w:pPr>
    </w:p>
    <w:p w14:paraId="2C0BF7D8" w14:textId="045D3ED0" w:rsidR="00F1499A" w:rsidRPr="0076503E" w:rsidRDefault="00F1499A" w:rsidP="00B96D99">
      <w:pPr>
        <w:tabs>
          <w:tab w:val="left" w:pos="2420"/>
        </w:tabs>
        <w:jc w:val="both"/>
        <w:rPr>
          <w:rFonts w:ascii="Arial" w:hAnsi="Arial" w:cs="Arial"/>
          <w:sz w:val="20"/>
          <w:szCs w:val="20"/>
          <w:lang w:val="en-ZA"/>
        </w:rPr>
      </w:pPr>
      <w:r w:rsidRPr="0076503E">
        <w:rPr>
          <w:rFonts w:ascii="Arial" w:hAnsi="Arial" w:cs="Arial"/>
          <w:sz w:val="20"/>
          <w:szCs w:val="20"/>
        </w:rPr>
        <w:lastRenderedPageBreak/>
        <w:t xml:space="preserve">International Budget Partnership. </w:t>
      </w:r>
      <w:hyperlink r:id="rId1514" w:history="1">
        <w:r w:rsidRPr="0076503E">
          <w:rPr>
            <w:rStyle w:val="Hyperlink"/>
            <w:rFonts w:ascii="Arial" w:hAnsi="Arial" w:cs="Arial"/>
            <w:sz w:val="20"/>
            <w:szCs w:val="20"/>
            <w:lang w:val="en-ZA"/>
          </w:rPr>
          <w:t>Issues lab: Budget Credibility</w:t>
        </w:r>
      </w:hyperlink>
      <w:r w:rsidRPr="0076503E">
        <w:rPr>
          <w:rFonts w:ascii="Arial" w:hAnsi="Arial" w:cs="Arial"/>
          <w:sz w:val="20"/>
          <w:szCs w:val="20"/>
          <w:lang w:val="en-ZA"/>
        </w:rPr>
        <w:t xml:space="preserve">. </w:t>
      </w:r>
    </w:p>
    <w:p w14:paraId="083F5229" w14:textId="429A681F" w:rsidR="003132A4" w:rsidRPr="0076503E" w:rsidRDefault="003132A4" w:rsidP="00B96D99">
      <w:pPr>
        <w:tabs>
          <w:tab w:val="left" w:pos="2420"/>
        </w:tabs>
        <w:jc w:val="both"/>
        <w:rPr>
          <w:rFonts w:ascii="Arial" w:hAnsi="Arial" w:cs="Arial"/>
          <w:sz w:val="20"/>
          <w:szCs w:val="20"/>
          <w:lang w:val="en-ZA"/>
        </w:rPr>
      </w:pPr>
    </w:p>
    <w:p w14:paraId="5356F6F7" w14:textId="77908C29" w:rsidR="003132A4" w:rsidRPr="0076503E" w:rsidRDefault="003132A4"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(2020). </w:t>
      </w:r>
      <w:hyperlink r:id="rId1515" w:history="1">
        <w:r w:rsidRPr="0076503E">
          <w:rPr>
            <w:rStyle w:val="Hyperlink"/>
            <w:rFonts w:ascii="Arial" w:hAnsi="Arial" w:cs="Arial"/>
            <w:sz w:val="20"/>
            <w:szCs w:val="20"/>
          </w:rPr>
          <w:t>2019 Open Budget Survey</w:t>
        </w:r>
      </w:hyperlink>
      <w:r w:rsidRPr="0076503E">
        <w:rPr>
          <w:rFonts w:ascii="Arial" w:hAnsi="Arial" w:cs="Arial"/>
          <w:sz w:val="20"/>
          <w:szCs w:val="20"/>
        </w:rPr>
        <w:t>.</w:t>
      </w:r>
    </w:p>
    <w:p w14:paraId="3899545D" w14:textId="77777777" w:rsidR="003132A4" w:rsidRPr="0076503E" w:rsidRDefault="003132A4" w:rsidP="00B96D99">
      <w:pPr>
        <w:tabs>
          <w:tab w:val="left" w:pos="2420"/>
        </w:tabs>
        <w:jc w:val="both"/>
        <w:rPr>
          <w:rFonts w:ascii="Arial" w:hAnsi="Arial" w:cs="Arial"/>
          <w:sz w:val="20"/>
          <w:szCs w:val="20"/>
          <w:lang w:val="en-ZA"/>
        </w:rPr>
      </w:pPr>
    </w:p>
    <w:p w14:paraId="0B3B177D" w14:textId="7CA06B45" w:rsidR="00994D8E" w:rsidRPr="0076503E" w:rsidRDefault="00994D8E" w:rsidP="00B96D99">
      <w:pPr>
        <w:tabs>
          <w:tab w:val="left" w:pos="2420"/>
        </w:tabs>
        <w:jc w:val="both"/>
        <w:rPr>
          <w:rFonts w:ascii="Arial" w:hAnsi="Arial" w:cs="Arial"/>
          <w:sz w:val="20"/>
          <w:szCs w:val="20"/>
        </w:rPr>
      </w:pPr>
      <w:r w:rsidRPr="0076503E">
        <w:rPr>
          <w:rFonts w:ascii="Arial" w:hAnsi="Arial" w:cs="Arial"/>
          <w:sz w:val="20"/>
          <w:szCs w:val="20"/>
        </w:rPr>
        <w:t xml:space="preserve">International Budget Partnership. (2021). </w:t>
      </w:r>
      <w:hyperlink r:id="rId1516" w:history="1">
        <w:r w:rsidRPr="0076503E">
          <w:rPr>
            <w:rStyle w:val="Hyperlink"/>
            <w:rFonts w:ascii="Arial" w:hAnsi="Arial" w:cs="Arial"/>
            <w:sz w:val="20"/>
            <w:szCs w:val="20"/>
            <w:lang w:val="en-ZA"/>
          </w:rPr>
          <w:t>Managing COVID Funds: The Accountability Gap</w:t>
        </w:r>
      </w:hyperlink>
      <w:r w:rsidRPr="0076503E">
        <w:rPr>
          <w:rFonts w:ascii="Arial" w:hAnsi="Arial" w:cs="Arial"/>
          <w:sz w:val="20"/>
          <w:szCs w:val="20"/>
        </w:rPr>
        <w:t>.</w:t>
      </w:r>
    </w:p>
    <w:p w14:paraId="41543203" w14:textId="48A504AA" w:rsidR="00D2067D" w:rsidRPr="0076503E" w:rsidRDefault="00D2067D" w:rsidP="00B96D99">
      <w:pPr>
        <w:tabs>
          <w:tab w:val="left" w:pos="2420"/>
        </w:tabs>
        <w:jc w:val="both"/>
        <w:rPr>
          <w:rFonts w:ascii="Arial" w:hAnsi="Arial" w:cs="Arial"/>
          <w:sz w:val="20"/>
          <w:szCs w:val="20"/>
        </w:rPr>
      </w:pPr>
    </w:p>
    <w:p w14:paraId="7DB0D588" w14:textId="4D6AD7A1" w:rsidR="00D2067D" w:rsidRPr="0076503E" w:rsidRDefault="00D2067D" w:rsidP="00B96D99">
      <w:pPr>
        <w:tabs>
          <w:tab w:val="left" w:pos="2420"/>
        </w:tabs>
        <w:jc w:val="both"/>
        <w:rPr>
          <w:rFonts w:ascii="Arial" w:hAnsi="Arial" w:cs="Arial"/>
          <w:sz w:val="20"/>
          <w:szCs w:val="20"/>
        </w:rPr>
      </w:pPr>
      <w:r w:rsidRPr="0076503E">
        <w:rPr>
          <w:rFonts w:ascii="Arial" w:hAnsi="Arial" w:cs="Arial"/>
          <w:sz w:val="20"/>
          <w:szCs w:val="20"/>
        </w:rPr>
        <w:t>International Budget Partnership.</w:t>
      </w:r>
      <w:r w:rsidR="00756C3A" w:rsidRPr="0076503E">
        <w:rPr>
          <w:rFonts w:ascii="Arial" w:hAnsi="Arial" w:cs="Arial"/>
          <w:sz w:val="20"/>
          <w:szCs w:val="20"/>
        </w:rPr>
        <w:t xml:space="preserve"> (202</w:t>
      </w:r>
      <w:r w:rsidR="00994D8E" w:rsidRPr="0076503E">
        <w:rPr>
          <w:rFonts w:ascii="Arial" w:hAnsi="Arial" w:cs="Arial"/>
          <w:sz w:val="20"/>
          <w:szCs w:val="20"/>
        </w:rPr>
        <w:t>2</w:t>
      </w:r>
      <w:r w:rsidR="00756C3A" w:rsidRPr="0076503E">
        <w:rPr>
          <w:rFonts w:ascii="Arial" w:hAnsi="Arial" w:cs="Arial"/>
          <w:sz w:val="20"/>
          <w:szCs w:val="20"/>
        </w:rPr>
        <w:t>).</w:t>
      </w:r>
      <w:r w:rsidRPr="0076503E">
        <w:rPr>
          <w:rFonts w:ascii="Arial" w:hAnsi="Arial" w:cs="Arial"/>
          <w:sz w:val="20"/>
          <w:szCs w:val="20"/>
        </w:rPr>
        <w:t xml:space="preserve"> </w:t>
      </w:r>
      <w:hyperlink r:id="rId1517" w:history="1">
        <w:r w:rsidR="00756C3A" w:rsidRPr="0076503E">
          <w:rPr>
            <w:rStyle w:val="Hyperlink"/>
            <w:rFonts w:ascii="Arial" w:hAnsi="Arial" w:cs="Arial"/>
            <w:sz w:val="20"/>
            <w:szCs w:val="20"/>
          </w:rPr>
          <w:t xml:space="preserve">2021 </w:t>
        </w:r>
        <w:r w:rsidRPr="0076503E">
          <w:rPr>
            <w:rStyle w:val="Hyperlink"/>
            <w:rFonts w:ascii="Arial" w:hAnsi="Arial" w:cs="Arial"/>
            <w:sz w:val="20"/>
            <w:szCs w:val="20"/>
          </w:rPr>
          <w:t>Open Budget Survey</w:t>
        </w:r>
      </w:hyperlink>
      <w:r w:rsidR="00756C3A" w:rsidRPr="0076503E">
        <w:rPr>
          <w:rFonts w:ascii="Arial" w:hAnsi="Arial" w:cs="Arial"/>
          <w:sz w:val="20"/>
          <w:szCs w:val="20"/>
        </w:rPr>
        <w:t>.</w:t>
      </w:r>
    </w:p>
    <w:p w14:paraId="41EFEB3D" w14:textId="0F477A1A" w:rsidR="007C02C7" w:rsidRPr="0076503E" w:rsidRDefault="007C02C7" w:rsidP="00B96D99">
      <w:pPr>
        <w:tabs>
          <w:tab w:val="left" w:pos="2420"/>
        </w:tabs>
        <w:jc w:val="both"/>
        <w:rPr>
          <w:rFonts w:ascii="Arial" w:hAnsi="Arial" w:cs="Arial"/>
          <w:sz w:val="20"/>
          <w:szCs w:val="20"/>
        </w:rPr>
      </w:pPr>
    </w:p>
    <w:p w14:paraId="4423F3EA" w14:textId="581C293D" w:rsidR="007C02C7" w:rsidRPr="0076503E" w:rsidRDefault="007C02C7" w:rsidP="00B96D99">
      <w:pPr>
        <w:tabs>
          <w:tab w:val="left" w:pos="2420"/>
        </w:tabs>
        <w:jc w:val="both"/>
        <w:rPr>
          <w:rFonts w:ascii="Arial" w:hAnsi="Arial" w:cs="Arial"/>
          <w:sz w:val="20"/>
          <w:szCs w:val="20"/>
        </w:rPr>
      </w:pPr>
      <w:r w:rsidRPr="0076503E">
        <w:rPr>
          <w:rFonts w:ascii="Arial" w:hAnsi="Arial" w:cs="Arial"/>
          <w:bCs/>
          <w:sz w:val="20"/>
          <w:szCs w:val="20"/>
        </w:rPr>
        <w:t xml:space="preserve">International Federation of Accountants / Chartered Institute of Public Finance and Accountancy. (2014). </w:t>
      </w:r>
      <w:r w:rsidRPr="0076503E">
        <w:rPr>
          <w:rFonts w:ascii="Arial" w:hAnsi="Arial" w:cs="Arial"/>
          <w:sz w:val="20"/>
          <w:szCs w:val="20"/>
        </w:rPr>
        <w:t xml:space="preserve"> </w:t>
      </w:r>
      <w:hyperlink r:id="rId1518" w:history="1">
        <w:r w:rsidRPr="0076503E">
          <w:rPr>
            <w:rStyle w:val="Hyperlink"/>
            <w:rFonts w:ascii="Arial" w:hAnsi="Arial" w:cs="Arial"/>
            <w:iCs/>
            <w:sz w:val="20"/>
            <w:szCs w:val="20"/>
          </w:rPr>
          <w:t>International Framework: Good Governance in the Public Sector</w:t>
        </w:r>
      </w:hyperlink>
      <w:r w:rsidRPr="0076503E">
        <w:rPr>
          <w:rFonts w:ascii="Arial" w:hAnsi="Arial" w:cs="Arial"/>
          <w:sz w:val="20"/>
          <w:szCs w:val="20"/>
        </w:rPr>
        <w:t>.</w:t>
      </w:r>
    </w:p>
    <w:p w14:paraId="43F74295" w14:textId="5771D331" w:rsidR="000846AF" w:rsidRPr="0076503E" w:rsidRDefault="000846AF" w:rsidP="00B96D99">
      <w:pPr>
        <w:tabs>
          <w:tab w:val="left" w:pos="2420"/>
        </w:tabs>
        <w:jc w:val="both"/>
        <w:rPr>
          <w:rFonts w:ascii="Arial" w:hAnsi="Arial" w:cs="Arial"/>
          <w:sz w:val="20"/>
          <w:szCs w:val="20"/>
        </w:rPr>
      </w:pPr>
    </w:p>
    <w:p w14:paraId="43D95D96" w14:textId="2643B62C" w:rsidR="00D511D7" w:rsidRPr="0076503E" w:rsidRDefault="00D511D7" w:rsidP="00B96D99">
      <w:pPr>
        <w:tabs>
          <w:tab w:val="left" w:pos="2420"/>
        </w:tabs>
        <w:jc w:val="both"/>
        <w:rPr>
          <w:rFonts w:ascii="Arial" w:hAnsi="Arial" w:cs="Arial"/>
          <w:sz w:val="20"/>
          <w:szCs w:val="20"/>
        </w:rPr>
      </w:pPr>
      <w:r w:rsidRPr="0076503E">
        <w:rPr>
          <w:rFonts w:ascii="Arial" w:hAnsi="Arial" w:cs="Arial"/>
          <w:sz w:val="20"/>
          <w:szCs w:val="20"/>
        </w:rPr>
        <w:t xml:space="preserve">International Monetary Fund. (2005). </w:t>
      </w:r>
      <w:hyperlink r:id="rId1519" w:history="1">
        <w:r w:rsidRPr="0076503E">
          <w:rPr>
            <w:rStyle w:val="Hyperlink"/>
            <w:rFonts w:ascii="Arial" w:hAnsi="Arial" w:cs="Arial"/>
            <w:iCs/>
            <w:sz w:val="20"/>
            <w:szCs w:val="20"/>
          </w:rPr>
          <w:t>Guide on Resource Revenue Transparency</w:t>
        </w:r>
      </w:hyperlink>
      <w:r w:rsidRPr="0076503E">
        <w:rPr>
          <w:rFonts w:ascii="Arial" w:hAnsi="Arial" w:cs="Arial"/>
          <w:sz w:val="20"/>
          <w:szCs w:val="20"/>
        </w:rPr>
        <w:t>.</w:t>
      </w:r>
    </w:p>
    <w:p w14:paraId="04E8141E" w14:textId="77777777" w:rsidR="00D511D7" w:rsidRPr="0076503E" w:rsidRDefault="00D511D7" w:rsidP="00B96D99">
      <w:pPr>
        <w:tabs>
          <w:tab w:val="left" w:pos="2420"/>
        </w:tabs>
        <w:jc w:val="both"/>
        <w:rPr>
          <w:rFonts w:ascii="Arial" w:hAnsi="Arial" w:cs="Arial"/>
          <w:sz w:val="20"/>
          <w:szCs w:val="20"/>
        </w:rPr>
      </w:pPr>
    </w:p>
    <w:p w14:paraId="44BFE66D" w14:textId="5162BDAD" w:rsidR="000846AF" w:rsidRPr="0076503E" w:rsidRDefault="000846AF" w:rsidP="00B96D99">
      <w:pPr>
        <w:tabs>
          <w:tab w:val="left" w:pos="2420"/>
        </w:tabs>
        <w:jc w:val="both"/>
        <w:rPr>
          <w:rFonts w:ascii="Arial" w:hAnsi="Arial" w:cs="Arial"/>
          <w:sz w:val="20"/>
          <w:szCs w:val="20"/>
        </w:rPr>
      </w:pPr>
      <w:r w:rsidRPr="0076503E">
        <w:rPr>
          <w:rFonts w:ascii="Arial" w:hAnsi="Arial" w:cs="Arial"/>
          <w:sz w:val="20"/>
          <w:szCs w:val="20"/>
        </w:rPr>
        <w:t xml:space="preserve">International Monetary Fund. (2007). </w:t>
      </w:r>
      <w:hyperlink r:id="rId1520" w:history="1">
        <w:r w:rsidRPr="0076503E">
          <w:rPr>
            <w:rStyle w:val="Hyperlink"/>
            <w:rFonts w:ascii="Arial" w:hAnsi="Arial" w:cs="Arial"/>
            <w:sz w:val="20"/>
            <w:szCs w:val="20"/>
          </w:rPr>
          <w:t>Manual on Fiscal Transparency</w:t>
        </w:r>
      </w:hyperlink>
      <w:r w:rsidRPr="0076503E">
        <w:rPr>
          <w:rFonts w:ascii="Arial" w:hAnsi="Arial" w:cs="Arial"/>
          <w:sz w:val="20"/>
          <w:szCs w:val="20"/>
        </w:rPr>
        <w:t>.</w:t>
      </w:r>
    </w:p>
    <w:p w14:paraId="5413692B" w14:textId="77777777" w:rsidR="00AD0639" w:rsidRPr="0076503E" w:rsidRDefault="00AD0639" w:rsidP="00B96D99">
      <w:pPr>
        <w:tabs>
          <w:tab w:val="left" w:pos="2420"/>
        </w:tabs>
        <w:jc w:val="both"/>
        <w:rPr>
          <w:rFonts w:ascii="Arial" w:hAnsi="Arial" w:cs="Arial"/>
          <w:sz w:val="20"/>
          <w:szCs w:val="20"/>
        </w:rPr>
      </w:pPr>
    </w:p>
    <w:p w14:paraId="5EEB84E7" w14:textId="0964A0E7" w:rsidR="00AD0639" w:rsidRPr="0076503E" w:rsidRDefault="00AD0639" w:rsidP="00B96D99">
      <w:pPr>
        <w:tabs>
          <w:tab w:val="left" w:pos="2420"/>
        </w:tabs>
        <w:jc w:val="both"/>
        <w:rPr>
          <w:rFonts w:ascii="Arial" w:hAnsi="Arial" w:cs="Arial"/>
          <w:sz w:val="20"/>
          <w:szCs w:val="20"/>
        </w:rPr>
      </w:pPr>
      <w:r w:rsidRPr="0076503E">
        <w:rPr>
          <w:rFonts w:ascii="Arial" w:hAnsi="Arial" w:cs="Arial"/>
          <w:sz w:val="20"/>
          <w:szCs w:val="20"/>
        </w:rPr>
        <w:t xml:space="preserve">International Monetary Fund. (2011). </w:t>
      </w:r>
      <w:hyperlink r:id="rId1521" w:history="1">
        <w:r w:rsidRPr="0076503E">
          <w:rPr>
            <w:rStyle w:val="Hyperlink"/>
            <w:rFonts w:ascii="Arial" w:hAnsi="Arial" w:cs="Arial"/>
            <w:sz w:val="20"/>
            <w:szCs w:val="20"/>
          </w:rPr>
          <w:t xml:space="preserve">GFS </w:t>
        </w:r>
        <w:r w:rsidRPr="0076503E">
          <w:rPr>
            <w:rStyle w:val="Hyperlink"/>
            <w:rFonts w:ascii="Arial" w:hAnsi="Arial" w:cs="Arial"/>
            <w:bCs/>
            <w:sz w:val="20"/>
            <w:szCs w:val="20"/>
          </w:rPr>
          <w:t>Compilation Guide for Developing Countries</w:t>
        </w:r>
      </w:hyperlink>
      <w:r w:rsidRPr="0076503E">
        <w:rPr>
          <w:rFonts w:ascii="Arial" w:hAnsi="Arial" w:cs="Arial"/>
          <w:sz w:val="20"/>
          <w:szCs w:val="20"/>
        </w:rPr>
        <w:t>.</w:t>
      </w:r>
    </w:p>
    <w:p w14:paraId="747D85EC" w14:textId="77777777" w:rsidR="00340E29" w:rsidRPr="0076503E" w:rsidRDefault="00340E29" w:rsidP="00B96D99">
      <w:pPr>
        <w:tabs>
          <w:tab w:val="left" w:pos="2420"/>
        </w:tabs>
        <w:jc w:val="both"/>
        <w:rPr>
          <w:rFonts w:ascii="Arial" w:hAnsi="Arial" w:cs="Arial"/>
          <w:sz w:val="20"/>
          <w:szCs w:val="20"/>
        </w:rPr>
      </w:pPr>
    </w:p>
    <w:p w14:paraId="2A1D3F43" w14:textId="1C49B582" w:rsidR="00340E29" w:rsidRPr="0076503E" w:rsidRDefault="00340E29" w:rsidP="00B96D99">
      <w:pPr>
        <w:tabs>
          <w:tab w:val="left" w:pos="2420"/>
        </w:tabs>
        <w:jc w:val="both"/>
        <w:rPr>
          <w:rFonts w:ascii="Arial" w:hAnsi="Arial" w:cs="Arial"/>
          <w:sz w:val="20"/>
          <w:szCs w:val="20"/>
        </w:rPr>
      </w:pPr>
      <w:r w:rsidRPr="0076503E">
        <w:rPr>
          <w:rFonts w:ascii="Arial" w:hAnsi="Arial" w:cs="Arial"/>
          <w:sz w:val="20"/>
          <w:szCs w:val="20"/>
        </w:rPr>
        <w:t xml:space="preserve">International Monetary Fund. (2011). </w:t>
      </w:r>
      <w:hyperlink r:id="rId1522" w:history="1">
        <w:r w:rsidRPr="0076503E">
          <w:rPr>
            <w:rStyle w:val="Hyperlink"/>
            <w:rFonts w:ascii="Arial" w:hAnsi="Arial" w:cs="Arial"/>
            <w:sz w:val="20"/>
            <w:szCs w:val="20"/>
          </w:rPr>
          <w:t>Public Sector Debt Statistics: Guide for Compilers and Users</w:t>
        </w:r>
      </w:hyperlink>
      <w:r w:rsidRPr="0076503E">
        <w:rPr>
          <w:rFonts w:ascii="Arial" w:hAnsi="Arial" w:cs="Arial"/>
          <w:sz w:val="20"/>
          <w:szCs w:val="20"/>
        </w:rPr>
        <w:t>.</w:t>
      </w:r>
    </w:p>
    <w:p w14:paraId="52C4F58C" w14:textId="77777777" w:rsidR="00340E29" w:rsidRPr="0076503E" w:rsidRDefault="00340E29" w:rsidP="00B96D99">
      <w:pPr>
        <w:tabs>
          <w:tab w:val="left" w:pos="2420"/>
        </w:tabs>
        <w:jc w:val="both"/>
        <w:rPr>
          <w:rFonts w:ascii="Arial" w:hAnsi="Arial" w:cs="Arial"/>
          <w:sz w:val="20"/>
          <w:szCs w:val="20"/>
        </w:rPr>
      </w:pPr>
    </w:p>
    <w:p w14:paraId="1680AE63" w14:textId="24485D14" w:rsidR="00CA3013" w:rsidRPr="0076503E" w:rsidRDefault="00CA3013" w:rsidP="00B96D99">
      <w:pPr>
        <w:tabs>
          <w:tab w:val="left" w:pos="2420"/>
        </w:tabs>
        <w:jc w:val="both"/>
        <w:rPr>
          <w:rFonts w:ascii="Arial" w:hAnsi="Arial" w:cs="Arial"/>
          <w:sz w:val="20"/>
          <w:szCs w:val="20"/>
        </w:rPr>
      </w:pPr>
      <w:r w:rsidRPr="0076503E">
        <w:rPr>
          <w:rFonts w:ascii="Arial" w:hAnsi="Arial" w:cs="Arial"/>
          <w:sz w:val="20"/>
          <w:szCs w:val="20"/>
        </w:rPr>
        <w:t xml:space="preserve">International Monetary Fund. (2014). </w:t>
      </w:r>
      <w:hyperlink r:id="rId1523" w:history="1">
        <w:r w:rsidRPr="0076503E">
          <w:rPr>
            <w:rStyle w:val="Hyperlink"/>
            <w:rFonts w:ascii="Arial" w:hAnsi="Arial" w:cs="Arial"/>
            <w:sz w:val="20"/>
            <w:szCs w:val="20"/>
          </w:rPr>
          <w:t>Government Finance Statistics (GFS) Manual</w:t>
        </w:r>
      </w:hyperlink>
      <w:r w:rsidRPr="0076503E">
        <w:rPr>
          <w:rFonts w:ascii="Arial" w:hAnsi="Arial" w:cs="Arial"/>
          <w:color w:val="0562C1"/>
          <w:sz w:val="20"/>
          <w:szCs w:val="20"/>
        </w:rPr>
        <w:t>.</w:t>
      </w:r>
      <w:r w:rsidRPr="0076503E">
        <w:rPr>
          <w:rFonts w:ascii="Arial" w:hAnsi="Arial" w:cs="Arial"/>
          <w:sz w:val="20"/>
          <w:szCs w:val="20"/>
        </w:rPr>
        <w:t xml:space="preserve">  </w:t>
      </w:r>
    </w:p>
    <w:p w14:paraId="07278257" w14:textId="57362DAF" w:rsidR="00D975A5" w:rsidRPr="0076503E" w:rsidRDefault="00D975A5" w:rsidP="00B96D99">
      <w:pPr>
        <w:tabs>
          <w:tab w:val="left" w:pos="2420"/>
        </w:tabs>
        <w:jc w:val="both"/>
        <w:rPr>
          <w:rFonts w:ascii="Arial" w:hAnsi="Arial" w:cs="Arial"/>
          <w:sz w:val="20"/>
          <w:szCs w:val="20"/>
        </w:rPr>
      </w:pPr>
    </w:p>
    <w:p w14:paraId="159DF52F" w14:textId="3663C584" w:rsidR="00D975A5" w:rsidRPr="0076503E" w:rsidRDefault="00D975A5" w:rsidP="00B96D99">
      <w:pPr>
        <w:tabs>
          <w:tab w:val="left" w:pos="2420"/>
        </w:tabs>
        <w:jc w:val="both"/>
        <w:rPr>
          <w:rFonts w:ascii="Arial" w:hAnsi="Arial" w:cs="Arial"/>
          <w:sz w:val="20"/>
          <w:szCs w:val="20"/>
          <w:lang w:val="en-US"/>
        </w:rPr>
      </w:pPr>
      <w:r w:rsidRPr="0076503E">
        <w:rPr>
          <w:rFonts w:ascii="Arial" w:hAnsi="Arial" w:cs="Arial"/>
          <w:sz w:val="20"/>
          <w:szCs w:val="20"/>
        </w:rPr>
        <w:t xml:space="preserve">International Monetary Fund and </w:t>
      </w:r>
      <w:r w:rsidRPr="0076503E">
        <w:rPr>
          <w:rFonts w:ascii="Arial" w:hAnsi="Arial" w:cs="Arial"/>
          <w:sz w:val="20"/>
          <w:szCs w:val="20"/>
          <w:lang w:val="en-US"/>
        </w:rPr>
        <w:t xml:space="preserve">World Bank. (2016). </w:t>
      </w:r>
      <w:hyperlink r:id="rId1524" w:history="1">
        <w:r w:rsidRPr="0076503E">
          <w:rPr>
            <w:rStyle w:val="Hyperlink"/>
            <w:rFonts w:ascii="Arial" w:hAnsi="Arial" w:cs="Arial"/>
            <w:sz w:val="20"/>
            <w:szCs w:val="20"/>
          </w:rPr>
          <w:t>Public-Private Partnerships Fiscal Risk Assessment Model User Guide</w:t>
        </w:r>
      </w:hyperlink>
      <w:r w:rsidRPr="0076503E">
        <w:rPr>
          <w:rFonts w:ascii="Arial" w:hAnsi="Arial" w:cs="Arial"/>
          <w:sz w:val="20"/>
          <w:szCs w:val="20"/>
          <w:lang w:val="en-US"/>
        </w:rPr>
        <w:t>.</w:t>
      </w:r>
    </w:p>
    <w:p w14:paraId="2C9D1798" w14:textId="2EB1F62F" w:rsidR="00CF3D5A" w:rsidRPr="0076503E" w:rsidRDefault="00CF3D5A" w:rsidP="00B96D99">
      <w:pPr>
        <w:tabs>
          <w:tab w:val="left" w:pos="2420"/>
        </w:tabs>
        <w:jc w:val="both"/>
        <w:rPr>
          <w:rFonts w:ascii="Arial" w:hAnsi="Arial" w:cs="Arial"/>
          <w:sz w:val="20"/>
          <w:szCs w:val="20"/>
          <w:lang w:val="en-US"/>
        </w:rPr>
      </w:pPr>
    </w:p>
    <w:p w14:paraId="7C3E24B7" w14:textId="36AF5A3D" w:rsidR="00CF3D5A" w:rsidRPr="0076503E" w:rsidRDefault="00CF3D5A" w:rsidP="00B96D99">
      <w:pPr>
        <w:tabs>
          <w:tab w:val="left" w:pos="2420"/>
        </w:tabs>
        <w:jc w:val="both"/>
        <w:rPr>
          <w:rFonts w:ascii="Arial" w:hAnsi="Arial" w:cs="Arial"/>
          <w:sz w:val="20"/>
          <w:szCs w:val="20"/>
          <w:lang w:val="en-US"/>
        </w:rPr>
      </w:pPr>
      <w:r w:rsidRPr="0076503E">
        <w:rPr>
          <w:rFonts w:ascii="Arial" w:hAnsi="Arial" w:cs="Arial"/>
          <w:sz w:val="20"/>
          <w:szCs w:val="20"/>
        </w:rPr>
        <w:t xml:space="preserve">International Monetary Fund. </w:t>
      </w:r>
      <w:r w:rsidRPr="0076503E">
        <w:rPr>
          <w:rFonts w:ascii="Arial" w:hAnsi="Arial" w:cs="Arial"/>
          <w:sz w:val="20"/>
          <w:szCs w:val="20"/>
          <w:lang w:val="en-US"/>
        </w:rPr>
        <w:t>(2016).</w:t>
      </w:r>
      <w:r w:rsidRPr="0076503E">
        <w:rPr>
          <w:rFonts w:ascii="Arial" w:hAnsi="Arial" w:cs="Arial"/>
          <w:sz w:val="20"/>
          <w:szCs w:val="20"/>
        </w:rPr>
        <w:t xml:space="preserve"> </w:t>
      </w:r>
      <w:hyperlink r:id="rId1525" w:history="1">
        <w:r w:rsidRPr="0076503E">
          <w:rPr>
            <w:rStyle w:val="Hyperlink"/>
            <w:rFonts w:ascii="Arial" w:hAnsi="Arial" w:cs="Arial"/>
            <w:sz w:val="20"/>
            <w:szCs w:val="20"/>
          </w:rPr>
          <w:t>How to Improve the Financial Oversight of Public Corporations</w:t>
        </w:r>
      </w:hyperlink>
      <w:r w:rsidRPr="0076503E">
        <w:rPr>
          <w:rFonts w:ascii="Arial" w:hAnsi="Arial" w:cs="Arial"/>
          <w:sz w:val="20"/>
          <w:szCs w:val="20"/>
          <w:lang w:val="en-US"/>
        </w:rPr>
        <w:t>.</w:t>
      </w:r>
    </w:p>
    <w:p w14:paraId="0283EEDB" w14:textId="65F55B94" w:rsidR="00334B7C" w:rsidRPr="0076503E" w:rsidRDefault="00334B7C" w:rsidP="00B96D99">
      <w:pPr>
        <w:tabs>
          <w:tab w:val="left" w:pos="2420"/>
        </w:tabs>
        <w:jc w:val="both"/>
        <w:rPr>
          <w:rFonts w:ascii="Arial" w:hAnsi="Arial" w:cs="Arial"/>
          <w:sz w:val="20"/>
          <w:szCs w:val="20"/>
          <w:lang w:val="en-US"/>
        </w:rPr>
      </w:pPr>
    </w:p>
    <w:p w14:paraId="10C73973" w14:textId="6D41845D" w:rsidR="00334B7C" w:rsidRPr="0076503E" w:rsidRDefault="00334B7C" w:rsidP="00B96D99">
      <w:pPr>
        <w:tabs>
          <w:tab w:val="left" w:pos="2420"/>
        </w:tabs>
        <w:jc w:val="both"/>
        <w:rPr>
          <w:rStyle w:val="Hyperlink"/>
          <w:rFonts w:ascii="Arial" w:hAnsi="Arial" w:cs="Arial"/>
          <w:iCs/>
          <w:sz w:val="20"/>
          <w:szCs w:val="20"/>
          <w:lang w:val="en-US"/>
        </w:rPr>
      </w:pPr>
      <w:r w:rsidRPr="0076503E">
        <w:rPr>
          <w:rFonts w:ascii="Arial" w:hAnsi="Arial" w:cs="Arial"/>
          <w:sz w:val="20"/>
          <w:szCs w:val="20"/>
        </w:rPr>
        <w:t>International Monetary Fund. (2018).</w:t>
      </w:r>
      <w:r w:rsidR="00340613" w:rsidRPr="0076503E">
        <w:rPr>
          <w:rFonts w:ascii="Arial" w:hAnsi="Arial" w:cs="Arial"/>
          <w:sz w:val="20"/>
          <w:szCs w:val="20"/>
        </w:rPr>
        <w:t xml:space="preserve"> </w:t>
      </w:r>
      <w:hyperlink r:id="rId1526" w:history="1">
        <w:r w:rsidR="00340613" w:rsidRPr="0076503E">
          <w:rPr>
            <w:rStyle w:val="Hyperlink"/>
            <w:rFonts w:ascii="Arial" w:hAnsi="Arial" w:cs="Arial"/>
            <w:iCs/>
            <w:sz w:val="20"/>
            <w:szCs w:val="20"/>
            <w:lang w:val="en-US"/>
          </w:rPr>
          <w:t>Fiscal Transparency Handbook</w:t>
        </w:r>
      </w:hyperlink>
      <w:r w:rsidR="00340613" w:rsidRPr="0076503E">
        <w:rPr>
          <w:rStyle w:val="Hyperlink"/>
          <w:rFonts w:ascii="Arial" w:hAnsi="Arial" w:cs="Arial"/>
          <w:iCs/>
          <w:sz w:val="20"/>
          <w:szCs w:val="20"/>
          <w:lang w:val="en-US"/>
        </w:rPr>
        <w:t>.</w:t>
      </w:r>
    </w:p>
    <w:p w14:paraId="057FD2E8" w14:textId="3D73FF14" w:rsidR="00EC34D3" w:rsidRPr="0076503E" w:rsidRDefault="00EC34D3" w:rsidP="00B96D99">
      <w:pPr>
        <w:tabs>
          <w:tab w:val="left" w:pos="2420"/>
        </w:tabs>
        <w:jc w:val="both"/>
        <w:rPr>
          <w:rStyle w:val="Hyperlink"/>
          <w:rFonts w:ascii="Arial" w:hAnsi="Arial" w:cs="Arial"/>
          <w:iCs/>
          <w:sz w:val="20"/>
          <w:szCs w:val="20"/>
          <w:lang w:val="en-US"/>
        </w:rPr>
      </w:pPr>
    </w:p>
    <w:p w14:paraId="260D76DD" w14:textId="4E5F11A4" w:rsidR="00EC34D3" w:rsidRPr="0076503E" w:rsidRDefault="00EC34D3" w:rsidP="00B96D99">
      <w:pPr>
        <w:tabs>
          <w:tab w:val="left" w:pos="2420"/>
        </w:tabs>
        <w:jc w:val="both"/>
        <w:rPr>
          <w:rFonts w:ascii="Arial" w:hAnsi="Arial" w:cs="Arial"/>
          <w:sz w:val="20"/>
          <w:szCs w:val="20"/>
        </w:rPr>
      </w:pPr>
      <w:r w:rsidRPr="0076503E">
        <w:rPr>
          <w:rFonts w:ascii="Arial" w:hAnsi="Arial" w:cs="Arial"/>
          <w:sz w:val="20"/>
          <w:szCs w:val="20"/>
        </w:rPr>
        <w:t xml:space="preserve">International Monetary Fund. (2019). </w:t>
      </w:r>
      <w:hyperlink r:id="rId1527" w:history="1">
        <w:r w:rsidRPr="0076503E">
          <w:rPr>
            <w:rStyle w:val="Hyperlink"/>
            <w:rFonts w:ascii="Arial" w:hAnsi="Arial" w:cs="Arial"/>
            <w:sz w:val="20"/>
            <w:szCs w:val="20"/>
            <w:lang w:val="en-US"/>
          </w:rPr>
          <w:t>Fiscal transparency initiative: Integration of natural resource management issues</w:t>
        </w:r>
      </w:hyperlink>
      <w:r w:rsidRPr="0076503E">
        <w:rPr>
          <w:rFonts w:ascii="Arial" w:hAnsi="Arial" w:cs="Arial"/>
          <w:sz w:val="20"/>
          <w:szCs w:val="20"/>
        </w:rPr>
        <w:t>.</w:t>
      </w:r>
    </w:p>
    <w:p w14:paraId="583B9754" w14:textId="285736DA" w:rsidR="007D70D4" w:rsidRPr="0076503E" w:rsidRDefault="007D70D4" w:rsidP="00B96D99">
      <w:pPr>
        <w:tabs>
          <w:tab w:val="left" w:pos="2420"/>
        </w:tabs>
        <w:jc w:val="both"/>
        <w:rPr>
          <w:rStyle w:val="Hyperlink"/>
          <w:rFonts w:ascii="Arial" w:hAnsi="Arial" w:cs="Arial"/>
          <w:iCs/>
          <w:sz w:val="20"/>
          <w:szCs w:val="20"/>
          <w:lang w:val="en-US"/>
        </w:rPr>
      </w:pPr>
    </w:p>
    <w:p w14:paraId="34E00C1B" w14:textId="36654A44" w:rsidR="007D70D4" w:rsidRPr="0076503E" w:rsidRDefault="007D70D4" w:rsidP="00B96D99">
      <w:pPr>
        <w:tabs>
          <w:tab w:val="left" w:pos="2420"/>
        </w:tabs>
        <w:jc w:val="both"/>
        <w:rPr>
          <w:rStyle w:val="Hyperlink"/>
          <w:rFonts w:ascii="Arial" w:hAnsi="Arial" w:cs="Arial"/>
          <w:iCs/>
          <w:sz w:val="20"/>
          <w:szCs w:val="20"/>
          <w:lang w:val="en-US"/>
        </w:rPr>
      </w:pPr>
      <w:r w:rsidRPr="0076503E">
        <w:rPr>
          <w:rFonts w:ascii="Arial" w:hAnsi="Arial" w:cs="Arial"/>
          <w:sz w:val="20"/>
          <w:szCs w:val="20"/>
        </w:rPr>
        <w:t xml:space="preserve">International Monetary Fund. (2019). </w:t>
      </w:r>
      <w:hyperlink r:id="rId1528" w:history="1">
        <w:r w:rsidRPr="0076503E">
          <w:rPr>
            <w:rStyle w:val="Hyperlink"/>
            <w:rFonts w:ascii="Arial" w:hAnsi="Arial" w:cs="Arial"/>
            <w:iCs/>
            <w:sz w:val="20"/>
            <w:szCs w:val="20"/>
            <w:lang w:val="en-US"/>
          </w:rPr>
          <w:t>Fiscal Transparency Code</w:t>
        </w:r>
      </w:hyperlink>
      <w:r w:rsidRPr="0076503E">
        <w:rPr>
          <w:rStyle w:val="Hyperlink"/>
          <w:rFonts w:ascii="Arial" w:hAnsi="Arial" w:cs="Arial"/>
          <w:iCs/>
          <w:sz w:val="20"/>
          <w:szCs w:val="20"/>
          <w:lang w:val="en-US"/>
        </w:rPr>
        <w:t>.</w:t>
      </w:r>
    </w:p>
    <w:p w14:paraId="66DEDD8D" w14:textId="4E69C581" w:rsidR="00AD0639" w:rsidRPr="0076503E" w:rsidRDefault="00AD0639" w:rsidP="00B96D99">
      <w:pPr>
        <w:tabs>
          <w:tab w:val="left" w:pos="2420"/>
        </w:tabs>
        <w:jc w:val="both"/>
        <w:rPr>
          <w:rStyle w:val="Hyperlink"/>
          <w:rFonts w:ascii="Arial" w:hAnsi="Arial" w:cs="Arial"/>
          <w:iCs/>
          <w:sz w:val="20"/>
          <w:szCs w:val="20"/>
          <w:lang w:val="en-US"/>
        </w:rPr>
      </w:pPr>
    </w:p>
    <w:p w14:paraId="168E3928" w14:textId="4D59F7AC" w:rsidR="00F1499A" w:rsidRPr="0076503E" w:rsidRDefault="00F1499A" w:rsidP="00B96D99">
      <w:pPr>
        <w:tabs>
          <w:tab w:val="left" w:pos="2420"/>
        </w:tabs>
        <w:jc w:val="both"/>
        <w:rPr>
          <w:rStyle w:val="Hyperlink"/>
          <w:rFonts w:ascii="Arial" w:hAnsi="Arial" w:cs="Arial"/>
          <w:iCs/>
          <w:sz w:val="20"/>
          <w:szCs w:val="20"/>
          <w:lang w:val="en-US"/>
        </w:rPr>
      </w:pPr>
      <w:r w:rsidRPr="0076503E">
        <w:rPr>
          <w:rFonts w:ascii="Arial" w:hAnsi="Arial" w:cs="Arial"/>
          <w:sz w:val="20"/>
          <w:szCs w:val="20"/>
        </w:rPr>
        <w:t xml:space="preserve">International Monetary Fund. (2022). </w:t>
      </w:r>
      <w:hyperlink r:id="rId1529" w:history="1">
        <w:r w:rsidRPr="0076503E">
          <w:rPr>
            <w:rStyle w:val="Hyperlink"/>
            <w:rFonts w:ascii="Arial" w:hAnsi="Arial" w:cs="Arial"/>
            <w:iCs/>
            <w:sz w:val="20"/>
            <w:szCs w:val="20"/>
            <w:lang w:val="en-ZA"/>
          </w:rPr>
          <w:t>Fiscal Monitor: Fiscal Policy from Pandemic to War</w:t>
        </w:r>
      </w:hyperlink>
      <w:r w:rsidRPr="0076503E">
        <w:rPr>
          <w:rFonts w:ascii="Arial" w:hAnsi="Arial" w:cs="Arial"/>
          <w:iCs/>
          <w:color w:val="0563C1" w:themeColor="hyperlink"/>
          <w:sz w:val="20"/>
          <w:szCs w:val="20"/>
          <w:u w:val="single"/>
          <w:lang w:val="en-US"/>
        </w:rPr>
        <w:t>.</w:t>
      </w:r>
    </w:p>
    <w:p w14:paraId="4ACACBEA" w14:textId="77777777" w:rsidR="00AD0639" w:rsidRPr="0076503E" w:rsidRDefault="00AD0639" w:rsidP="00B96D99">
      <w:pPr>
        <w:tabs>
          <w:tab w:val="left" w:pos="2420"/>
        </w:tabs>
        <w:jc w:val="both"/>
        <w:rPr>
          <w:rStyle w:val="Hyperlink"/>
          <w:rFonts w:ascii="Arial" w:hAnsi="Arial" w:cs="Arial"/>
          <w:iCs/>
          <w:sz w:val="20"/>
          <w:szCs w:val="20"/>
          <w:lang w:val="en-US"/>
        </w:rPr>
      </w:pPr>
    </w:p>
    <w:p w14:paraId="46A58BED" w14:textId="26F72759" w:rsidR="007D70D4" w:rsidRPr="0076503E" w:rsidRDefault="007D70D4" w:rsidP="00B96D99">
      <w:pPr>
        <w:jc w:val="both"/>
        <w:rPr>
          <w:rStyle w:val="Hyperlink"/>
          <w:rFonts w:ascii="Arial" w:hAnsi="Arial" w:cs="Arial"/>
          <w:iCs/>
          <w:sz w:val="20"/>
          <w:szCs w:val="20"/>
          <w:lang w:val="en-US"/>
        </w:rPr>
      </w:pPr>
      <w:r w:rsidRPr="0076503E">
        <w:rPr>
          <w:rStyle w:val="Hyperlink"/>
          <w:rFonts w:ascii="Arial" w:hAnsi="Arial" w:cs="Arial"/>
          <w:iCs/>
          <w:color w:val="auto"/>
          <w:sz w:val="20"/>
          <w:szCs w:val="20"/>
          <w:u w:val="none"/>
          <w:lang w:val="en-US"/>
        </w:rPr>
        <w:t xml:space="preserve">International Organization of Supreme Audit Institutions. </w:t>
      </w:r>
      <w:hyperlink r:id="rId1530" w:history="1">
        <w:r w:rsidRPr="0076503E">
          <w:rPr>
            <w:rStyle w:val="Hyperlink"/>
            <w:rFonts w:ascii="Arial" w:hAnsi="Arial" w:cs="Arial"/>
            <w:iCs/>
            <w:sz w:val="20"/>
            <w:szCs w:val="20"/>
            <w:lang w:val="en-US"/>
          </w:rPr>
          <w:t>Framework of Professional Pronouncements</w:t>
        </w:r>
      </w:hyperlink>
      <w:r w:rsidRPr="0076503E">
        <w:rPr>
          <w:rStyle w:val="Hyperlink"/>
          <w:rFonts w:ascii="Arial" w:hAnsi="Arial" w:cs="Arial"/>
          <w:iCs/>
          <w:sz w:val="20"/>
          <w:szCs w:val="20"/>
          <w:lang w:val="en-US"/>
        </w:rPr>
        <w:t>.</w:t>
      </w:r>
    </w:p>
    <w:p w14:paraId="72AD4537" w14:textId="25A5918E" w:rsidR="00B22899" w:rsidRPr="0076503E" w:rsidRDefault="00B22899" w:rsidP="00B96D99">
      <w:pPr>
        <w:jc w:val="both"/>
        <w:rPr>
          <w:rStyle w:val="Hyperlink"/>
          <w:rFonts w:ascii="Arial" w:hAnsi="Arial" w:cs="Arial"/>
          <w:iCs/>
          <w:sz w:val="20"/>
          <w:szCs w:val="20"/>
          <w:lang w:val="en-US"/>
        </w:rPr>
      </w:pPr>
    </w:p>
    <w:p w14:paraId="28EB40BD" w14:textId="641F4B27" w:rsidR="00B22899" w:rsidRPr="0076503E" w:rsidRDefault="00B22899" w:rsidP="00B96D99">
      <w:pPr>
        <w:tabs>
          <w:tab w:val="left" w:pos="2420"/>
        </w:tabs>
        <w:jc w:val="both"/>
        <w:rPr>
          <w:rStyle w:val="Hyperlink"/>
          <w:rFonts w:ascii="Arial" w:hAnsi="Arial" w:cs="Arial"/>
          <w:iCs/>
          <w:sz w:val="20"/>
          <w:szCs w:val="20"/>
          <w:lang w:val="en-US"/>
        </w:rPr>
      </w:pPr>
      <w:r w:rsidRPr="0076503E">
        <w:rPr>
          <w:rStyle w:val="Hyperlink"/>
          <w:rFonts w:ascii="Arial" w:hAnsi="Arial" w:cs="Arial"/>
          <w:iCs/>
          <w:color w:val="auto"/>
          <w:sz w:val="20"/>
          <w:szCs w:val="20"/>
          <w:u w:val="none"/>
          <w:lang w:val="en-US"/>
        </w:rPr>
        <w:t>International Organization of Supreme Audit Institutions.</w:t>
      </w:r>
      <w:r w:rsidRPr="0076503E">
        <w:rPr>
          <w:rFonts w:ascii="Arial" w:hAnsi="Arial" w:cs="Arial"/>
          <w:iCs/>
          <w:color w:val="0563C1" w:themeColor="hyperlink"/>
          <w:sz w:val="20"/>
          <w:szCs w:val="20"/>
          <w:u w:val="single"/>
        </w:rPr>
        <w:t xml:space="preserve"> </w:t>
      </w:r>
      <w:hyperlink r:id="rId1531" w:history="1">
        <w:r w:rsidRPr="0076503E">
          <w:rPr>
            <w:rStyle w:val="Hyperlink"/>
            <w:rFonts w:ascii="Arial" w:hAnsi="Arial" w:cs="Arial"/>
            <w:iCs/>
            <w:sz w:val="20"/>
            <w:szCs w:val="20"/>
          </w:rPr>
          <w:t>International Standards of Supreme Auditing Institutions</w:t>
        </w:r>
      </w:hyperlink>
      <w:r w:rsidRPr="0076503E">
        <w:rPr>
          <w:rFonts w:ascii="Arial" w:hAnsi="Arial" w:cs="Arial"/>
          <w:iCs/>
          <w:color w:val="0563C1" w:themeColor="hyperlink"/>
          <w:sz w:val="20"/>
          <w:szCs w:val="20"/>
          <w:u w:val="single"/>
          <w:lang w:val="en-US"/>
        </w:rPr>
        <w:t>.</w:t>
      </w:r>
    </w:p>
    <w:p w14:paraId="5BCDAFA1" w14:textId="1AE4BA4F" w:rsidR="00B22899" w:rsidRPr="0076503E" w:rsidRDefault="00B22899" w:rsidP="00B96D99">
      <w:pPr>
        <w:jc w:val="both"/>
        <w:rPr>
          <w:rStyle w:val="Hyperlink"/>
          <w:rFonts w:ascii="Arial" w:hAnsi="Arial" w:cs="Arial"/>
          <w:iCs/>
          <w:sz w:val="20"/>
          <w:szCs w:val="20"/>
          <w:lang w:val="en-US"/>
        </w:rPr>
      </w:pPr>
    </w:p>
    <w:p w14:paraId="28E70E5C" w14:textId="0AD7DF77" w:rsidR="007D70D4" w:rsidRPr="0076503E" w:rsidRDefault="007D70D4" w:rsidP="00B96D99">
      <w:pPr>
        <w:tabs>
          <w:tab w:val="left" w:pos="2420"/>
        </w:tabs>
        <w:jc w:val="both"/>
        <w:rPr>
          <w:rStyle w:val="Hyperlink"/>
          <w:rFonts w:ascii="Arial" w:hAnsi="Arial" w:cs="Arial"/>
          <w:iCs/>
          <w:sz w:val="20"/>
          <w:szCs w:val="20"/>
          <w:lang w:val="en-US"/>
        </w:rPr>
      </w:pPr>
      <w:r w:rsidRPr="0076503E">
        <w:rPr>
          <w:rStyle w:val="Hyperlink"/>
          <w:rFonts w:ascii="Arial" w:hAnsi="Arial" w:cs="Arial"/>
          <w:iCs/>
          <w:color w:val="auto"/>
          <w:sz w:val="20"/>
          <w:szCs w:val="20"/>
          <w:u w:val="none"/>
          <w:lang w:val="en-US"/>
        </w:rPr>
        <w:t>International Public Sector Accounting Standards Board. (2022).</w:t>
      </w:r>
      <w:r w:rsidRPr="0076503E">
        <w:rPr>
          <w:rFonts w:ascii="Arial" w:hAnsi="Arial" w:cs="Arial"/>
          <w:sz w:val="20"/>
          <w:szCs w:val="20"/>
        </w:rPr>
        <w:t xml:space="preserve"> </w:t>
      </w:r>
      <w:hyperlink r:id="rId1532" w:history="1">
        <w:r w:rsidRPr="0076503E">
          <w:rPr>
            <w:rStyle w:val="Hyperlink"/>
            <w:rFonts w:ascii="Arial" w:hAnsi="Arial" w:cs="Arial"/>
            <w:iCs/>
            <w:sz w:val="20"/>
            <w:szCs w:val="20"/>
            <w:lang w:val="en-US"/>
          </w:rPr>
          <w:t>Handbook on International Public Sector Accounting Pronouncements</w:t>
        </w:r>
      </w:hyperlink>
      <w:r w:rsidRPr="0076503E">
        <w:rPr>
          <w:rStyle w:val="Hyperlink"/>
          <w:rFonts w:ascii="Arial" w:hAnsi="Arial" w:cs="Arial"/>
          <w:iCs/>
          <w:sz w:val="20"/>
          <w:szCs w:val="20"/>
          <w:lang w:val="en-US"/>
        </w:rPr>
        <w:t>.</w:t>
      </w:r>
    </w:p>
    <w:p w14:paraId="16A48E55" w14:textId="605189D9" w:rsidR="00D2067D" w:rsidRPr="0076503E" w:rsidRDefault="00D2067D" w:rsidP="00B96D99">
      <w:pPr>
        <w:tabs>
          <w:tab w:val="left" w:pos="2420"/>
        </w:tabs>
        <w:jc w:val="both"/>
        <w:rPr>
          <w:rStyle w:val="Hyperlink"/>
          <w:rFonts w:ascii="Arial" w:hAnsi="Arial" w:cs="Arial"/>
          <w:iCs/>
          <w:sz w:val="20"/>
          <w:szCs w:val="20"/>
          <w:lang w:val="en-US"/>
        </w:rPr>
      </w:pPr>
    </w:p>
    <w:p w14:paraId="33223E0C" w14:textId="094D78D0" w:rsidR="00D2067D" w:rsidRPr="0076503E" w:rsidRDefault="00D2067D" w:rsidP="00B96D99">
      <w:pPr>
        <w:tabs>
          <w:tab w:val="left" w:pos="2420"/>
        </w:tabs>
        <w:jc w:val="both"/>
        <w:rPr>
          <w:rFonts w:ascii="Arial" w:hAnsi="Arial" w:cs="Arial"/>
          <w:iCs/>
          <w:color w:val="0563C1" w:themeColor="hyperlink"/>
          <w:sz w:val="20"/>
          <w:szCs w:val="20"/>
          <w:u w:val="single"/>
        </w:rPr>
      </w:pPr>
      <w:r w:rsidRPr="0076503E">
        <w:rPr>
          <w:rStyle w:val="Hyperlink"/>
          <w:rFonts w:ascii="Arial" w:hAnsi="Arial" w:cs="Arial"/>
          <w:color w:val="auto"/>
          <w:sz w:val="20"/>
          <w:szCs w:val="20"/>
          <w:u w:val="none"/>
          <w:lang w:val="en-US"/>
        </w:rPr>
        <w:t xml:space="preserve">Inter-Parliamentary Union. (2006).  </w:t>
      </w:r>
      <w:hyperlink r:id="rId1533" w:history="1">
        <w:r w:rsidRPr="0076503E">
          <w:rPr>
            <w:rStyle w:val="Hyperlink"/>
            <w:rFonts w:ascii="Arial" w:hAnsi="Arial" w:cs="Arial"/>
            <w:iCs/>
            <w:sz w:val="20"/>
            <w:szCs w:val="20"/>
          </w:rPr>
          <w:t>P</w:t>
        </w:r>
        <w:r w:rsidRPr="0076503E">
          <w:rPr>
            <w:rStyle w:val="Hyperlink"/>
            <w:rFonts w:ascii="Arial" w:hAnsi="Arial" w:cs="Arial"/>
            <w:bCs/>
            <w:iCs/>
            <w:sz w:val="20"/>
            <w:szCs w:val="20"/>
          </w:rPr>
          <w:t xml:space="preserve">arliament </w:t>
        </w:r>
        <w:proofErr w:type="gramStart"/>
        <w:r w:rsidRPr="0076503E">
          <w:rPr>
            <w:rStyle w:val="Hyperlink"/>
            <w:rFonts w:ascii="Arial" w:hAnsi="Arial" w:cs="Arial"/>
            <w:bCs/>
            <w:iCs/>
            <w:sz w:val="20"/>
            <w:szCs w:val="20"/>
          </w:rPr>
          <w:t>And</w:t>
        </w:r>
        <w:proofErr w:type="gramEnd"/>
        <w:r w:rsidRPr="0076503E">
          <w:rPr>
            <w:rStyle w:val="Hyperlink"/>
            <w:rFonts w:ascii="Arial" w:hAnsi="Arial" w:cs="Arial"/>
            <w:bCs/>
            <w:iCs/>
            <w:sz w:val="20"/>
            <w:szCs w:val="20"/>
          </w:rPr>
          <w:t xml:space="preserve"> Democracy In The Twenty-First Century: A Guide to Good Practice</w:t>
        </w:r>
      </w:hyperlink>
      <w:r w:rsidRPr="0076503E">
        <w:rPr>
          <w:rFonts w:ascii="Arial" w:hAnsi="Arial" w:cs="Arial"/>
          <w:iCs/>
          <w:color w:val="0563C1" w:themeColor="hyperlink"/>
          <w:sz w:val="20"/>
          <w:szCs w:val="20"/>
          <w:u w:val="single"/>
        </w:rPr>
        <w:t>.</w:t>
      </w:r>
    </w:p>
    <w:p w14:paraId="7C2067E6" w14:textId="532B274D" w:rsidR="00CF3D5A" w:rsidRPr="0076503E" w:rsidRDefault="00CF3D5A" w:rsidP="00B96D99">
      <w:pPr>
        <w:tabs>
          <w:tab w:val="left" w:pos="2420"/>
        </w:tabs>
        <w:jc w:val="both"/>
        <w:rPr>
          <w:rFonts w:ascii="Arial" w:hAnsi="Arial" w:cs="Arial"/>
          <w:iCs/>
          <w:color w:val="0563C1" w:themeColor="hyperlink"/>
          <w:sz w:val="20"/>
          <w:szCs w:val="20"/>
          <w:u w:val="single"/>
        </w:rPr>
      </w:pPr>
    </w:p>
    <w:p w14:paraId="398F8FB6" w14:textId="0D34CFD1" w:rsidR="00CF3D5A" w:rsidRPr="0076503E" w:rsidRDefault="001E389E" w:rsidP="00B96D99">
      <w:pPr>
        <w:tabs>
          <w:tab w:val="left" w:pos="2420"/>
        </w:tabs>
        <w:jc w:val="both"/>
        <w:rPr>
          <w:rFonts w:ascii="Arial" w:hAnsi="Arial" w:cs="Arial"/>
          <w:iCs/>
          <w:color w:val="0563C1" w:themeColor="hyperlink"/>
          <w:sz w:val="20"/>
          <w:szCs w:val="20"/>
          <w:u w:val="single"/>
        </w:rPr>
      </w:pPr>
      <w:r>
        <w:rPr>
          <w:rFonts w:ascii="Arial" w:hAnsi="Arial" w:cs="Arial"/>
          <w:sz w:val="20"/>
          <w:szCs w:val="20"/>
        </w:rPr>
        <w:t>Irwin, T. and D. Moretti (2020).</w:t>
      </w:r>
      <w:r w:rsidR="00CF3D5A" w:rsidRPr="0076503E">
        <w:rPr>
          <w:rFonts w:ascii="Arial" w:hAnsi="Arial" w:cs="Arial"/>
          <w:sz w:val="20"/>
          <w:szCs w:val="20"/>
        </w:rPr>
        <w:t xml:space="preserve"> "</w:t>
      </w:r>
      <w:hyperlink r:id="rId1534" w:history="1">
        <w:r w:rsidR="00CF3D5A" w:rsidRPr="0076503E">
          <w:rPr>
            <w:rStyle w:val="Hyperlink"/>
            <w:rFonts w:ascii="Arial" w:hAnsi="Arial" w:cs="Arial"/>
            <w:sz w:val="20"/>
            <w:szCs w:val="20"/>
          </w:rPr>
          <w:t>Can subnational accounting give an early warning of fiscal risks?</w:t>
        </w:r>
      </w:hyperlink>
      <w:r w:rsidR="00CF3D5A" w:rsidRPr="0076503E">
        <w:rPr>
          <w:rFonts w:ascii="Arial" w:hAnsi="Arial" w:cs="Arial"/>
          <w:sz w:val="20"/>
          <w:szCs w:val="20"/>
        </w:rPr>
        <w:t>". OECD Journal on Budgeting, vol. 20/2.</w:t>
      </w:r>
    </w:p>
    <w:p w14:paraId="7EA6FD36" w14:textId="3EE6B8C4" w:rsidR="00B22899" w:rsidRPr="0076503E" w:rsidRDefault="00B22899" w:rsidP="00B96D99">
      <w:pPr>
        <w:tabs>
          <w:tab w:val="left" w:pos="2420"/>
        </w:tabs>
        <w:jc w:val="both"/>
        <w:rPr>
          <w:rFonts w:ascii="Arial" w:hAnsi="Arial" w:cs="Arial"/>
          <w:iCs/>
          <w:color w:val="0563C1" w:themeColor="hyperlink"/>
          <w:sz w:val="20"/>
          <w:szCs w:val="20"/>
          <w:u w:val="single"/>
        </w:rPr>
      </w:pPr>
    </w:p>
    <w:p w14:paraId="587C3946" w14:textId="202F76C5" w:rsidR="00340613" w:rsidRPr="0076503E"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rPr>
        <w:t>Kemoe</w:t>
      </w:r>
      <w:proofErr w:type="spellEnd"/>
      <w:r w:rsidRPr="0076503E">
        <w:rPr>
          <w:rFonts w:ascii="Arial" w:hAnsi="Arial" w:cs="Arial"/>
          <w:sz w:val="20"/>
          <w:szCs w:val="20"/>
        </w:rPr>
        <w:t xml:space="preserve">, L., and Zhan, Z. (2018). </w:t>
      </w:r>
      <w:hyperlink r:id="rId1535" w:history="1">
        <w:r w:rsidRPr="0076503E">
          <w:rPr>
            <w:rStyle w:val="Hyperlink"/>
            <w:rFonts w:ascii="Arial" w:hAnsi="Arial" w:cs="Arial"/>
            <w:sz w:val="20"/>
            <w:szCs w:val="20"/>
            <w:lang w:val="en"/>
          </w:rPr>
          <w:t>Fiscal Transparency, Borrowing Costs, and Foreign Holdings of Sovereign Debt</w:t>
        </w:r>
      </w:hyperlink>
      <w:r w:rsidRPr="0076503E">
        <w:rPr>
          <w:rFonts w:ascii="Arial" w:hAnsi="Arial" w:cs="Arial"/>
          <w:sz w:val="20"/>
          <w:szCs w:val="20"/>
        </w:rPr>
        <w:t>”</w:t>
      </w:r>
      <w:r w:rsidR="00E25674">
        <w:rPr>
          <w:rFonts w:ascii="Arial" w:hAnsi="Arial" w:cs="Arial"/>
          <w:sz w:val="20"/>
          <w:szCs w:val="20"/>
        </w:rPr>
        <w:t>.</w:t>
      </w:r>
      <w:r w:rsidRPr="0076503E">
        <w:rPr>
          <w:rFonts w:ascii="Arial" w:hAnsi="Arial" w:cs="Arial"/>
          <w:sz w:val="20"/>
          <w:szCs w:val="20"/>
        </w:rPr>
        <w:t xml:space="preserve"> IMF WP/18/189.</w:t>
      </w:r>
    </w:p>
    <w:p w14:paraId="3E0DB115" w14:textId="0730B2DF" w:rsidR="009701B0" w:rsidRPr="0076503E" w:rsidRDefault="009701B0" w:rsidP="00B96D99">
      <w:pPr>
        <w:tabs>
          <w:tab w:val="left" w:pos="2420"/>
        </w:tabs>
        <w:jc w:val="both"/>
        <w:rPr>
          <w:rFonts w:ascii="Arial" w:hAnsi="Arial" w:cs="Arial"/>
          <w:sz w:val="20"/>
          <w:szCs w:val="20"/>
        </w:rPr>
      </w:pPr>
    </w:p>
    <w:p w14:paraId="724AD3CD" w14:textId="2178D862" w:rsidR="009701B0" w:rsidRPr="0076503E" w:rsidRDefault="009701B0" w:rsidP="00B96D99">
      <w:pPr>
        <w:tabs>
          <w:tab w:val="left" w:pos="2420"/>
        </w:tabs>
        <w:jc w:val="both"/>
        <w:rPr>
          <w:rFonts w:ascii="Arial" w:hAnsi="Arial" w:cs="Arial"/>
          <w:sz w:val="20"/>
          <w:szCs w:val="20"/>
          <w:lang w:val="en-US"/>
        </w:rPr>
      </w:pPr>
      <w:proofErr w:type="spellStart"/>
      <w:r w:rsidRPr="0076503E">
        <w:rPr>
          <w:rFonts w:ascii="Arial" w:hAnsi="Arial" w:cs="Arial"/>
          <w:sz w:val="20"/>
          <w:szCs w:val="20"/>
          <w:lang w:val="en-US"/>
        </w:rPr>
        <w:t>Khagram</w:t>
      </w:r>
      <w:proofErr w:type="spellEnd"/>
      <w:r w:rsidRPr="0076503E">
        <w:rPr>
          <w:rFonts w:ascii="Arial" w:hAnsi="Arial" w:cs="Arial"/>
          <w:sz w:val="20"/>
          <w:szCs w:val="20"/>
          <w:lang w:val="en-US"/>
        </w:rPr>
        <w:t xml:space="preserve">, S., De </w:t>
      </w:r>
      <w:proofErr w:type="spellStart"/>
      <w:r w:rsidRPr="0076503E">
        <w:rPr>
          <w:rFonts w:ascii="Arial" w:hAnsi="Arial" w:cs="Arial"/>
          <w:sz w:val="20"/>
          <w:szCs w:val="20"/>
          <w:lang w:val="en-US"/>
        </w:rPr>
        <w:t>Renzio</w:t>
      </w:r>
      <w:proofErr w:type="spellEnd"/>
      <w:r w:rsidRPr="0076503E">
        <w:rPr>
          <w:rFonts w:ascii="Arial" w:hAnsi="Arial" w:cs="Arial"/>
          <w:sz w:val="20"/>
          <w:szCs w:val="20"/>
          <w:lang w:val="en-US"/>
        </w:rPr>
        <w:t>, P., and Fung, A. (2013). “</w:t>
      </w:r>
      <w:hyperlink r:id="rId1536" w:history="1">
        <w:r w:rsidRPr="0076503E">
          <w:rPr>
            <w:rStyle w:val="Hyperlink"/>
            <w:rFonts w:ascii="Arial" w:hAnsi="Arial" w:cs="Arial"/>
            <w:sz w:val="20"/>
            <w:szCs w:val="20"/>
            <w:lang w:val="en-US"/>
          </w:rPr>
          <w:t>Overview and Synthesis: The Political Economy of Fiscal Transparency, Participation, and Accountability Around the World</w:t>
        </w:r>
      </w:hyperlink>
      <w:r w:rsidRPr="0076503E">
        <w:rPr>
          <w:rFonts w:ascii="Arial" w:hAnsi="Arial" w:cs="Arial"/>
          <w:sz w:val="20"/>
          <w:szCs w:val="20"/>
          <w:lang w:val="en-US"/>
        </w:rPr>
        <w:t>”. Chapter 1 in Open Budgets: The Political Economy of Transparency, Participation, and Accountability. Brookings Institution Press.</w:t>
      </w:r>
    </w:p>
    <w:p w14:paraId="3411D9E1" w14:textId="2F078347" w:rsidR="009701B0" w:rsidRPr="0076503E" w:rsidRDefault="009701B0" w:rsidP="00B96D99">
      <w:pPr>
        <w:tabs>
          <w:tab w:val="left" w:pos="2420"/>
        </w:tabs>
        <w:jc w:val="both"/>
        <w:rPr>
          <w:rFonts w:ascii="Arial" w:hAnsi="Arial" w:cs="Arial"/>
          <w:sz w:val="20"/>
          <w:szCs w:val="20"/>
          <w:lang w:val="en-US"/>
        </w:rPr>
      </w:pPr>
    </w:p>
    <w:p w14:paraId="4E440F3D" w14:textId="1E771EE5" w:rsidR="009701B0" w:rsidRPr="0076503E" w:rsidRDefault="009701B0" w:rsidP="00B96D99">
      <w:pPr>
        <w:tabs>
          <w:tab w:val="left" w:pos="2420"/>
        </w:tabs>
        <w:jc w:val="both"/>
        <w:rPr>
          <w:rFonts w:ascii="Arial" w:hAnsi="Arial" w:cs="Arial"/>
          <w:sz w:val="20"/>
          <w:szCs w:val="20"/>
          <w:lang w:val="en-US"/>
        </w:rPr>
      </w:pPr>
      <w:proofErr w:type="spellStart"/>
      <w:r w:rsidRPr="0076503E">
        <w:rPr>
          <w:rFonts w:ascii="Arial" w:hAnsi="Arial" w:cs="Arial"/>
          <w:sz w:val="20"/>
          <w:szCs w:val="20"/>
          <w:lang w:val="en-US"/>
        </w:rPr>
        <w:t>Khemani</w:t>
      </w:r>
      <w:proofErr w:type="spellEnd"/>
      <w:r w:rsidRPr="0076503E">
        <w:rPr>
          <w:rFonts w:ascii="Arial" w:hAnsi="Arial" w:cs="Arial"/>
          <w:sz w:val="20"/>
          <w:szCs w:val="20"/>
          <w:lang w:val="en-US"/>
        </w:rPr>
        <w:t>, S. (2019).  “</w:t>
      </w:r>
      <w:hyperlink r:id="rId1537" w:history="1">
        <w:r w:rsidRPr="0076503E">
          <w:rPr>
            <w:rStyle w:val="Hyperlink"/>
            <w:rFonts w:ascii="Arial" w:hAnsi="Arial" w:cs="Arial"/>
            <w:sz w:val="20"/>
            <w:szCs w:val="20"/>
            <w:lang w:val="en-US"/>
          </w:rPr>
          <w:t>What is State Capacity</w:t>
        </w:r>
      </w:hyperlink>
      <w:r w:rsidRPr="0076503E">
        <w:rPr>
          <w:rFonts w:ascii="Arial" w:hAnsi="Arial" w:cs="Arial"/>
          <w:sz w:val="20"/>
          <w:szCs w:val="20"/>
          <w:lang w:val="en-US"/>
        </w:rPr>
        <w:t>?”. World Bank Group.</w:t>
      </w:r>
    </w:p>
    <w:p w14:paraId="5AE90C03" w14:textId="45EFE302" w:rsidR="00AB3247" w:rsidRPr="0076503E" w:rsidRDefault="00AB3247" w:rsidP="00B96D99">
      <w:pPr>
        <w:tabs>
          <w:tab w:val="left" w:pos="2420"/>
        </w:tabs>
        <w:jc w:val="both"/>
        <w:rPr>
          <w:rFonts w:ascii="Arial" w:hAnsi="Arial" w:cs="Arial"/>
          <w:sz w:val="20"/>
          <w:szCs w:val="20"/>
          <w:lang w:val="en-US"/>
        </w:rPr>
      </w:pPr>
    </w:p>
    <w:p w14:paraId="1376C2ED" w14:textId="77777777" w:rsidR="00AB3247" w:rsidRPr="0076503E" w:rsidRDefault="00AB3247" w:rsidP="00B96D99">
      <w:pPr>
        <w:tabs>
          <w:tab w:val="left" w:pos="2420"/>
        </w:tabs>
        <w:jc w:val="both"/>
        <w:rPr>
          <w:rFonts w:ascii="Arial" w:hAnsi="Arial" w:cs="Arial"/>
          <w:sz w:val="20"/>
          <w:szCs w:val="20"/>
          <w:lang w:val="en-US"/>
        </w:rPr>
      </w:pPr>
      <w:proofErr w:type="spellStart"/>
      <w:r w:rsidRPr="0076503E">
        <w:rPr>
          <w:rFonts w:ascii="Arial" w:hAnsi="Arial" w:cs="Arial"/>
          <w:sz w:val="20"/>
          <w:szCs w:val="20"/>
          <w:lang w:val="en-US"/>
        </w:rPr>
        <w:t>Khemani</w:t>
      </w:r>
      <w:proofErr w:type="spellEnd"/>
      <w:r w:rsidRPr="0076503E">
        <w:rPr>
          <w:rFonts w:ascii="Arial" w:hAnsi="Arial" w:cs="Arial"/>
          <w:sz w:val="20"/>
          <w:szCs w:val="20"/>
          <w:lang w:val="en-US"/>
        </w:rPr>
        <w:t>, S. (2020). “</w:t>
      </w:r>
      <w:hyperlink r:id="rId1538" w:history="1">
        <w:r w:rsidRPr="0076503E">
          <w:rPr>
            <w:rStyle w:val="Hyperlink"/>
            <w:rFonts w:ascii="Arial" w:hAnsi="Arial" w:cs="Arial"/>
            <w:sz w:val="20"/>
            <w:szCs w:val="20"/>
            <w:lang w:val="en-US"/>
          </w:rPr>
          <w:t>An Opportunity to Build Legitimacy and Trust in Public Institutions in the Time of COVID-19</w:t>
        </w:r>
      </w:hyperlink>
      <w:r w:rsidRPr="0076503E">
        <w:rPr>
          <w:rFonts w:ascii="Arial" w:hAnsi="Arial" w:cs="Arial"/>
          <w:sz w:val="20"/>
          <w:szCs w:val="20"/>
          <w:lang w:val="en-US"/>
        </w:rPr>
        <w:t>”.  World Bank Group.</w:t>
      </w:r>
    </w:p>
    <w:p w14:paraId="31E6104A" w14:textId="77777777" w:rsidR="00310467" w:rsidRPr="0076503E" w:rsidRDefault="00310467" w:rsidP="00B96D99">
      <w:pPr>
        <w:tabs>
          <w:tab w:val="left" w:pos="2420"/>
        </w:tabs>
        <w:jc w:val="both"/>
        <w:rPr>
          <w:rFonts w:ascii="Arial" w:hAnsi="Arial" w:cs="Arial"/>
          <w:sz w:val="20"/>
          <w:szCs w:val="20"/>
        </w:rPr>
      </w:pPr>
    </w:p>
    <w:p w14:paraId="3D7FB1D8" w14:textId="38FF6B2D" w:rsidR="00F1499A" w:rsidRPr="0076503E" w:rsidRDefault="00F1499A" w:rsidP="00B96D99">
      <w:pPr>
        <w:tabs>
          <w:tab w:val="left" w:pos="2420"/>
        </w:tabs>
        <w:jc w:val="both"/>
        <w:rPr>
          <w:rFonts w:ascii="Arial" w:hAnsi="Arial" w:cs="Arial"/>
          <w:sz w:val="20"/>
          <w:szCs w:val="20"/>
        </w:rPr>
      </w:pPr>
      <w:proofErr w:type="spellStart"/>
      <w:r w:rsidRPr="0076503E">
        <w:rPr>
          <w:rFonts w:ascii="Arial" w:hAnsi="Arial" w:cs="Arial"/>
          <w:sz w:val="20"/>
          <w:szCs w:val="20"/>
        </w:rPr>
        <w:t>Kopits</w:t>
      </w:r>
      <w:proofErr w:type="spellEnd"/>
      <w:r w:rsidRPr="0076503E">
        <w:rPr>
          <w:rFonts w:ascii="Arial" w:hAnsi="Arial" w:cs="Arial"/>
          <w:sz w:val="20"/>
          <w:szCs w:val="20"/>
        </w:rPr>
        <w:t>, G. (2011). “</w:t>
      </w:r>
      <w:hyperlink r:id="rId1539" w:history="1">
        <w:r w:rsidRPr="0076503E">
          <w:rPr>
            <w:rStyle w:val="Hyperlink"/>
            <w:rFonts w:ascii="Arial" w:hAnsi="Arial" w:cs="Arial"/>
            <w:sz w:val="20"/>
            <w:szCs w:val="20"/>
          </w:rPr>
          <w:t>Independent Fiscal Institutions: Developing Good Practices</w:t>
        </w:r>
      </w:hyperlink>
      <w:r w:rsidRPr="0076503E">
        <w:rPr>
          <w:rFonts w:ascii="Arial" w:hAnsi="Arial" w:cs="Arial"/>
          <w:sz w:val="20"/>
          <w:szCs w:val="20"/>
        </w:rPr>
        <w:t>”</w:t>
      </w:r>
      <w:r w:rsidR="00A37555">
        <w:rPr>
          <w:rFonts w:ascii="Arial" w:hAnsi="Arial" w:cs="Arial"/>
          <w:sz w:val="20"/>
          <w:szCs w:val="20"/>
        </w:rPr>
        <w:t>.</w:t>
      </w:r>
      <w:r w:rsidRPr="0076503E">
        <w:rPr>
          <w:rFonts w:ascii="Arial" w:hAnsi="Arial" w:cs="Arial"/>
          <w:sz w:val="20"/>
          <w:szCs w:val="20"/>
        </w:rPr>
        <w:t xml:space="preserve"> OECD Journal on Budgeting, Vol. 11/3.</w:t>
      </w:r>
    </w:p>
    <w:p w14:paraId="486C902E" w14:textId="6826EB7B" w:rsidR="00056805" w:rsidRPr="0076503E" w:rsidRDefault="00056805" w:rsidP="00B96D99">
      <w:pPr>
        <w:tabs>
          <w:tab w:val="left" w:pos="2420"/>
        </w:tabs>
        <w:jc w:val="both"/>
        <w:rPr>
          <w:rFonts w:ascii="Arial" w:hAnsi="Arial" w:cs="Arial"/>
          <w:sz w:val="20"/>
          <w:szCs w:val="20"/>
        </w:rPr>
      </w:pPr>
    </w:p>
    <w:p w14:paraId="3824C50C" w14:textId="1DBE766E" w:rsidR="00056805" w:rsidRPr="0076503E" w:rsidRDefault="00056805" w:rsidP="00B96D99">
      <w:pPr>
        <w:tabs>
          <w:tab w:val="left" w:pos="2420"/>
        </w:tabs>
        <w:jc w:val="both"/>
        <w:rPr>
          <w:rFonts w:ascii="Arial" w:hAnsi="Arial" w:cs="Arial"/>
          <w:sz w:val="20"/>
          <w:szCs w:val="20"/>
        </w:rPr>
      </w:pPr>
      <w:proofErr w:type="spellStart"/>
      <w:r w:rsidRPr="0076503E">
        <w:rPr>
          <w:rFonts w:ascii="Arial" w:hAnsi="Arial" w:cs="Arial"/>
          <w:bCs/>
          <w:sz w:val="20"/>
          <w:szCs w:val="20"/>
          <w:lang w:val="en-US"/>
        </w:rPr>
        <w:t>Kosack</w:t>
      </w:r>
      <w:proofErr w:type="spellEnd"/>
      <w:r w:rsidRPr="0076503E">
        <w:rPr>
          <w:rFonts w:ascii="Arial" w:hAnsi="Arial" w:cs="Arial"/>
          <w:bCs/>
          <w:sz w:val="20"/>
          <w:szCs w:val="20"/>
          <w:lang w:val="en-US"/>
        </w:rPr>
        <w:t xml:space="preserve">, S. (2015). </w:t>
      </w:r>
      <w:hyperlink r:id="rId1540" w:history="1">
        <w:r w:rsidRPr="0076503E">
          <w:rPr>
            <w:rStyle w:val="Hyperlink"/>
            <w:rFonts w:ascii="Arial" w:hAnsi="Arial" w:cs="Arial"/>
            <w:bCs/>
            <w:sz w:val="20"/>
            <w:szCs w:val="20"/>
            <w:lang w:val="en-US"/>
          </w:rPr>
          <w:t>On Incentivizing Useful Budget Transparency</w:t>
        </w:r>
      </w:hyperlink>
      <w:r w:rsidRPr="0076503E">
        <w:rPr>
          <w:rFonts w:ascii="Arial" w:hAnsi="Arial" w:cs="Arial"/>
          <w:bCs/>
          <w:sz w:val="20"/>
          <w:szCs w:val="20"/>
          <w:lang w:val="en-US"/>
        </w:rPr>
        <w:t>. GIFT and IBP.</w:t>
      </w:r>
    </w:p>
    <w:p w14:paraId="3720FEB5" w14:textId="4D85D750" w:rsidR="00D511D7" w:rsidRPr="0076503E" w:rsidRDefault="00D511D7" w:rsidP="00B96D99">
      <w:pPr>
        <w:tabs>
          <w:tab w:val="left" w:pos="2420"/>
        </w:tabs>
        <w:jc w:val="both"/>
        <w:rPr>
          <w:rFonts w:ascii="Arial" w:hAnsi="Arial" w:cs="Arial"/>
          <w:sz w:val="20"/>
          <w:szCs w:val="20"/>
        </w:rPr>
      </w:pPr>
    </w:p>
    <w:p w14:paraId="22A20649" w14:textId="1AC525FC" w:rsidR="00D511D7" w:rsidRPr="0076503E" w:rsidRDefault="00D511D7" w:rsidP="00B96D99">
      <w:pPr>
        <w:tabs>
          <w:tab w:val="left" w:pos="2420"/>
        </w:tabs>
        <w:jc w:val="both"/>
        <w:rPr>
          <w:rFonts w:ascii="Arial" w:hAnsi="Arial" w:cs="Arial"/>
          <w:sz w:val="20"/>
          <w:szCs w:val="20"/>
          <w:lang w:val="en-ZA"/>
        </w:rPr>
      </w:pPr>
      <w:proofErr w:type="spellStart"/>
      <w:r w:rsidRPr="0076503E">
        <w:rPr>
          <w:rFonts w:ascii="Arial" w:hAnsi="Arial" w:cs="Arial"/>
          <w:sz w:val="20"/>
          <w:szCs w:val="20"/>
        </w:rPr>
        <w:lastRenderedPageBreak/>
        <w:t>Kumagai</w:t>
      </w:r>
      <w:proofErr w:type="spellEnd"/>
      <w:r w:rsidRPr="0076503E">
        <w:rPr>
          <w:rFonts w:ascii="Arial" w:hAnsi="Arial" w:cs="Arial"/>
          <w:sz w:val="20"/>
          <w:szCs w:val="20"/>
        </w:rPr>
        <w:t xml:space="preserve">, S., Bandyopadhyay, S. and </w:t>
      </w:r>
      <w:proofErr w:type="spellStart"/>
      <w:r w:rsidRPr="0076503E">
        <w:rPr>
          <w:rFonts w:ascii="Arial" w:hAnsi="Arial" w:cs="Arial"/>
          <w:sz w:val="20"/>
          <w:szCs w:val="20"/>
        </w:rPr>
        <w:t>Grandvoinnet</w:t>
      </w:r>
      <w:proofErr w:type="spellEnd"/>
      <w:r w:rsidRPr="0076503E">
        <w:rPr>
          <w:rFonts w:ascii="Arial" w:hAnsi="Arial" w:cs="Arial"/>
          <w:sz w:val="20"/>
          <w:szCs w:val="20"/>
        </w:rPr>
        <w:t>, H. (2019). “</w:t>
      </w:r>
      <w:hyperlink r:id="rId1541" w:history="1">
        <w:r w:rsidRPr="0076503E">
          <w:rPr>
            <w:rStyle w:val="Hyperlink"/>
            <w:rFonts w:ascii="Arial" w:hAnsi="Arial" w:cs="Arial"/>
            <w:sz w:val="20"/>
            <w:szCs w:val="20"/>
          </w:rPr>
          <w:t>Mainstreaming Citizen Engagement in Public Financial Management for Better Results</w:t>
        </w:r>
      </w:hyperlink>
      <w:r w:rsidRPr="0076503E">
        <w:rPr>
          <w:rFonts w:ascii="Arial" w:hAnsi="Arial" w:cs="Arial"/>
          <w:sz w:val="20"/>
          <w:szCs w:val="20"/>
        </w:rPr>
        <w:t>”</w:t>
      </w:r>
      <w:r w:rsidR="00691664">
        <w:rPr>
          <w:rFonts w:ascii="Arial" w:hAnsi="Arial" w:cs="Arial"/>
          <w:sz w:val="20"/>
          <w:szCs w:val="20"/>
        </w:rPr>
        <w:t>.</w:t>
      </w:r>
      <w:r w:rsidRPr="0076503E">
        <w:rPr>
          <w:rFonts w:ascii="Arial" w:hAnsi="Arial" w:cs="Arial"/>
          <w:sz w:val="20"/>
          <w:szCs w:val="20"/>
        </w:rPr>
        <w:t xml:space="preserve"> World Bank Group Open Knowledge Repository.</w:t>
      </w:r>
    </w:p>
    <w:p w14:paraId="3C87D70A" w14:textId="77777777" w:rsidR="00F1499A" w:rsidRPr="0076503E" w:rsidRDefault="00F1499A" w:rsidP="00B96D99">
      <w:pPr>
        <w:tabs>
          <w:tab w:val="left" w:pos="2420"/>
        </w:tabs>
        <w:jc w:val="both"/>
        <w:rPr>
          <w:rFonts w:ascii="Arial" w:hAnsi="Arial" w:cs="Arial"/>
          <w:sz w:val="20"/>
          <w:szCs w:val="20"/>
        </w:rPr>
      </w:pPr>
    </w:p>
    <w:p w14:paraId="6BA0110C" w14:textId="4930862C" w:rsidR="001F1B77" w:rsidRPr="0076503E" w:rsidRDefault="001F1B77" w:rsidP="00B96D99">
      <w:pPr>
        <w:tabs>
          <w:tab w:val="left" w:pos="2420"/>
        </w:tabs>
        <w:jc w:val="both"/>
        <w:rPr>
          <w:rFonts w:ascii="Arial" w:hAnsi="Arial" w:cs="Arial"/>
          <w:bCs/>
          <w:sz w:val="20"/>
          <w:szCs w:val="20"/>
          <w:lang w:val="en-ZA"/>
        </w:rPr>
      </w:pPr>
      <w:proofErr w:type="spellStart"/>
      <w:r w:rsidRPr="0076503E">
        <w:rPr>
          <w:rFonts w:ascii="Arial" w:hAnsi="Arial" w:cs="Arial"/>
          <w:bCs/>
          <w:sz w:val="20"/>
          <w:szCs w:val="20"/>
        </w:rPr>
        <w:t>Lakin</w:t>
      </w:r>
      <w:proofErr w:type="spellEnd"/>
      <w:r w:rsidRPr="0076503E">
        <w:rPr>
          <w:rFonts w:ascii="Arial" w:hAnsi="Arial" w:cs="Arial"/>
          <w:bCs/>
          <w:sz w:val="20"/>
          <w:szCs w:val="20"/>
        </w:rPr>
        <w:t>, J. (2018).”</w:t>
      </w:r>
      <w:hyperlink r:id="rId1542" w:history="1">
        <w:r w:rsidRPr="0076503E">
          <w:rPr>
            <w:rStyle w:val="Hyperlink"/>
            <w:rFonts w:ascii="Arial" w:hAnsi="Arial" w:cs="Arial"/>
            <w:bCs/>
            <w:sz w:val="20"/>
            <w:szCs w:val="20"/>
          </w:rPr>
          <w:t xml:space="preserve"> Assessing the Quality of Reasons in Government Budget Documents</w:t>
        </w:r>
      </w:hyperlink>
      <w:r w:rsidRPr="0076503E">
        <w:rPr>
          <w:rFonts w:ascii="Arial" w:hAnsi="Arial" w:cs="Arial"/>
          <w:bCs/>
          <w:sz w:val="20"/>
          <w:szCs w:val="20"/>
        </w:rPr>
        <w:t>”</w:t>
      </w:r>
      <w:r w:rsidR="0043569F">
        <w:rPr>
          <w:rFonts w:ascii="Arial" w:hAnsi="Arial" w:cs="Arial"/>
          <w:bCs/>
          <w:sz w:val="20"/>
          <w:szCs w:val="20"/>
        </w:rPr>
        <w:t>.</w:t>
      </w:r>
      <w:r w:rsidRPr="0076503E">
        <w:rPr>
          <w:rFonts w:ascii="Arial" w:hAnsi="Arial" w:cs="Arial"/>
          <w:bCs/>
          <w:sz w:val="20"/>
          <w:szCs w:val="20"/>
        </w:rPr>
        <w:t xml:space="preserve"> IBP.</w:t>
      </w:r>
    </w:p>
    <w:p w14:paraId="7E3E7EDF" w14:textId="77777777" w:rsidR="001F1B77" w:rsidRPr="0076503E" w:rsidRDefault="001F1B77" w:rsidP="00B96D99">
      <w:pPr>
        <w:tabs>
          <w:tab w:val="left" w:pos="2420"/>
        </w:tabs>
        <w:jc w:val="both"/>
        <w:rPr>
          <w:rFonts w:ascii="Arial" w:hAnsi="Arial" w:cs="Arial"/>
          <w:bCs/>
          <w:sz w:val="20"/>
          <w:szCs w:val="20"/>
        </w:rPr>
      </w:pPr>
    </w:p>
    <w:p w14:paraId="0FC284FA" w14:textId="6B2CF00B" w:rsidR="007E7E65" w:rsidRPr="0076503E" w:rsidRDefault="00681E50" w:rsidP="00B96D99">
      <w:pPr>
        <w:tabs>
          <w:tab w:val="left" w:pos="2420"/>
        </w:tabs>
        <w:jc w:val="both"/>
        <w:rPr>
          <w:rFonts w:ascii="Arial" w:hAnsi="Arial" w:cs="Arial"/>
          <w:sz w:val="20"/>
          <w:szCs w:val="20"/>
        </w:rPr>
      </w:pPr>
      <w:proofErr w:type="spellStart"/>
      <w:r w:rsidRPr="0076503E">
        <w:rPr>
          <w:rFonts w:ascii="Arial" w:hAnsi="Arial" w:cs="Arial"/>
          <w:bCs/>
          <w:sz w:val="20"/>
          <w:szCs w:val="20"/>
        </w:rPr>
        <w:t>Lakin</w:t>
      </w:r>
      <w:proofErr w:type="spellEnd"/>
      <w:r w:rsidRPr="0076503E">
        <w:rPr>
          <w:rFonts w:ascii="Arial" w:hAnsi="Arial" w:cs="Arial"/>
          <w:bCs/>
          <w:sz w:val="20"/>
          <w:szCs w:val="20"/>
        </w:rPr>
        <w:t>, J. (2019). “</w:t>
      </w:r>
      <w:hyperlink r:id="rId1543" w:history="1">
        <w:r w:rsidRPr="0076503E">
          <w:rPr>
            <w:rStyle w:val="Hyperlink"/>
            <w:rFonts w:ascii="Arial" w:hAnsi="Arial" w:cs="Arial"/>
            <w:bCs/>
            <w:sz w:val="20"/>
            <w:szCs w:val="20"/>
            <w:lang w:val="en-ZA"/>
          </w:rPr>
          <w:t xml:space="preserve">Save </w:t>
        </w:r>
        <w:proofErr w:type="spellStart"/>
        <w:r w:rsidRPr="0076503E">
          <w:rPr>
            <w:rStyle w:val="Hyperlink"/>
            <w:rFonts w:ascii="Arial" w:hAnsi="Arial" w:cs="Arial"/>
            <w:bCs/>
            <w:sz w:val="20"/>
            <w:szCs w:val="20"/>
            <w:lang w:val="en-ZA"/>
          </w:rPr>
          <w:t>Lamu</w:t>
        </w:r>
        <w:proofErr w:type="spellEnd"/>
        <w:r w:rsidRPr="0076503E">
          <w:rPr>
            <w:rStyle w:val="Hyperlink"/>
            <w:rFonts w:ascii="Arial" w:hAnsi="Arial" w:cs="Arial"/>
            <w:bCs/>
            <w:sz w:val="20"/>
            <w:szCs w:val="20"/>
            <w:lang w:val="en-ZA"/>
          </w:rPr>
          <w:t>! Drawing lessons on public participation from other sectors</w:t>
        </w:r>
      </w:hyperlink>
      <w:r w:rsidRPr="0076503E">
        <w:rPr>
          <w:rFonts w:ascii="Arial" w:hAnsi="Arial" w:cs="Arial"/>
          <w:sz w:val="20"/>
          <w:szCs w:val="20"/>
        </w:rPr>
        <w:t>”</w:t>
      </w:r>
      <w:r w:rsidR="0043569F">
        <w:rPr>
          <w:rFonts w:ascii="Arial" w:hAnsi="Arial" w:cs="Arial"/>
          <w:sz w:val="20"/>
          <w:szCs w:val="20"/>
        </w:rPr>
        <w:t>.</w:t>
      </w:r>
      <w:r w:rsidRPr="0076503E">
        <w:rPr>
          <w:rFonts w:ascii="Arial" w:hAnsi="Arial" w:cs="Arial"/>
          <w:sz w:val="20"/>
          <w:szCs w:val="20"/>
        </w:rPr>
        <w:t xml:space="preserve"> IBP.</w:t>
      </w:r>
    </w:p>
    <w:p w14:paraId="25CD049A" w14:textId="77777777" w:rsidR="00681E50" w:rsidRPr="0076503E" w:rsidRDefault="00681E50" w:rsidP="00B96D99">
      <w:pPr>
        <w:tabs>
          <w:tab w:val="left" w:pos="2420"/>
        </w:tabs>
        <w:jc w:val="both"/>
        <w:rPr>
          <w:rFonts w:ascii="Arial" w:hAnsi="Arial" w:cs="Arial"/>
          <w:sz w:val="20"/>
          <w:szCs w:val="20"/>
        </w:rPr>
      </w:pPr>
    </w:p>
    <w:p w14:paraId="646C551A" w14:textId="42DD943F" w:rsidR="007E7E65" w:rsidRPr="0076503E" w:rsidRDefault="007E7E65" w:rsidP="00B96D99">
      <w:pPr>
        <w:tabs>
          <w:tab w:val="left" w:pos="2420"/>
        </w:tabs>
        <w:jc w:val="both"/>
        <w:rPr>
          <w:rFonts w:ascii="Arial" w:hAnsi="Arial" w:cs="Arial"/>
          <w:bCs/>
          <w:sz w:val="20"/>
          <w:szCs w:val="20"/>
        </w:rPr>
      </w:pPr>
      <w:proofErr w:type="spellStart"/>
      <w:r w:rsidRPr="0076503E">
        <w:rPr>
          <w:rFonts w:ascii="Arial" w:hAnsi="Arial" w:cs="Arial"/>
          <w:sz w:val="20"/>
          <w:szCs w:val="20"/>
        </w:rPr>
        <w:t>Lakin</w:t>
      </w:r>
      <w:proofErr w:type="spellEnd"/>
      <w:r w:rsidRPr="0076503E">
        <w:rPr>
          <w:rFonts w:ascii="Arial" w:hAnsi="Arial" w:cs="Arial"/>
          <w:sz w:val="20"/>
          <w:szCs w:val="20"/>
        </w:rPr>
        <w:t>, J. (2020). “</w:t>
      </w:r>
      <w:hyperlink r:id="rId1544" w:history="1">
        <w:r w:rsidRPr="0076503E">
          <w:rPr>
            <w:rStyle w:val="Hyperlink"/>
            <w:rFonts w:ascii="Arial" w:hAnsi="Arial" w:cs="Arial"/>
            <w:bCs/>
            <w:sz w:val="20"/>
            <w:szCs w:val="20"/>
            <w:lang w:val="en-ZA"/>
          </w:rPr>
          <w:t>Friend of the Court? The role of judiciaries in tax reform</w:t>
        </w:r>
      </w:hyperlink>
      <w:r w:rsidRPr="0076503E">
        <w:rPr>
          <w:rFonts w:ascii="Arial" w:hAnsi="Arial" w:cs="Arial"/>
          <w:bCs/>
          <w:sz w:val="20"/>
          <w:szCs w:val="20"/>
          <w:lang w:val="en-ZA"/>
        </w:rPr>
        <w:t>”.</w:t>
      </w:r>
      <w:r w:rsidRPr="0076503E">
        <w:rPr>
          <w:rFonts w:ascii="Arial" w:hAnsi="Arial" w:cs="Arial"/>
          <w:sz w:val="20"/>
          <w:szCs w:val="20"/>
        </w:rPr>
        <w:t xml:space="preserve"> </w:t>
      </w:r>
      <w:r w:rsidRPr="0076503E">
        <w:rPr>
          <w:rFonts w:ascii="Arial" w:hAnsi="Arial" w:cs="Arial"/>
          <w:bCs/>
          <w:sz w:val="20"/>
          <w:szCs w:val="20"/>
        </w:rPr>
        <w:t>IBP.</w:t>
      </w:r>
    </w:p>
    <w:p w14:paraId="3E65B1B9" w14:textId="5EE669D1" w:rsidR="007E7E65" w:rsidRPr="0076503E" w:rsidRDefault="007E7E65" w:rsidP="00B96D99">
      <w:pPr>
        <w:tabs>
          <w:tab w:val="left" w:pos="2420"/>
        </w:tabs>
        <w:jc w:val="both"/>
        <w:rPr>
          <w:rFonts w:ascii="Arial" w:hAnsi="Arial" w:cs="Arial"/>
          <w:bCs/>
          <w:sz w:val="20"/>
          <w:szCs w:val="20"/>
        </w:rPr>
      </w:pPr>
    </w:p>
    <w:p w14:paraId="48766E70" w14:textId="5AF76B4E" w:rsidR="007E7E65" w:rsidRPr="0076503E" w:rsidRDefault="007E7E65" w:rsidP="00B96D99">
      <w:pPr>
        <w:tabs>
          <w:tab w:val="left" w:pos="2420"/>
        </w:tabs>
        <w:jc w:val="both"/>
        <w:rPr>
          <w:rFonts w:ascii="Arial" w:hAnsi="Arial" w:cs="Arial"/>
          <w:bCs/>
          <w:sz w:val="20"/>
          <w:szCs w:val="20"/>
        </w:rPr>
      </w:pPr>
      <w:proofErr w:type="spellStart"/>
      <w:r w:rsidRPr="0076503E">
        <w:rPr>
          <w:rFonts w:ascii="Arial" w:hAnsi="Arial" w:cs="Arial"/>
          <w:bCs/>
          <w:sz w:val="20"/>
          <w:szCs w:val="20"/>
        </w:rPr>
        <w:t>Lakin</w:t>
      </w:r>
      <w:proofErr w:type="spellEnd"/>
      <w:r w:rsidRPr="0076503E">
        <w:rPr>
          <w:rFonts w:ascii="Arial" w:hAnsi="Arial" w:cs="Arial"/>
          <w:bCs/>
          <w:sz w:val="20"/>
          <w:szCs w:val="20"/>
        </w:rPr>
        <w:t xml:space="preserve">, J. (2020). </w:t>
      </w:r>
      <w:hyperlink r:id="rId1545" w:history="1">
        <w:r w:rsidRPr="0076503E">
          <w:rPr>
            <w:rStyle w:val="Hyperlink"/>
            <w:rFonts w:ascii="Arial" w:hAnsi="Arial" w:cs="Arial"/>
            <w:bCs/>
            <w:sz w:val="20"/>
            <w:szCs w:val="20"/>
          </w:rPr>
          <w:t>“</w:t>
        </w:r>
        <w:r w:rsidRPr="0076503E">
          <w:rPr>
            <w:rStyle w:val="Hyperlink"/>
            <w:rFonts w:ascii="Arial" w:hAnsi="Arial" w:cs="Arial"/>
            <w:bCs/>
            <w:sz w:val="20"/>
            <w:szCs w:val="20"/>
            <w:lang w:val="en-ZA"/>
          </w:rPr>
          <w:t>Justifying Government Budget Decisions: Toward Standards for Public Reasons</w:t>
        </w:r>
      </w:hyperlink>
      <w:r w:rsidRPr="0076503E">
        <w:rPr>
          <w:rFonts w:ascii="Arial" w:hAnsi="Arial" w:cs="Arial"/>
          <w:bCs/>
          <w:sz w:val="20"/>
          <w:szCs w:val="20"/>
        </w:rPr>
        <w:t>”</w:t>
      </w:r>
      <w:r w:rsidR="0043569F">
        <w:rPr>
          <w:rFonts w:ascii="Arial" w:hAnsi="Arial" w:cs="Arial"/>
          <w:bCs/>
          <w:sz w:val="20"/>
          <w:szCs w:val="20"/>
        </w:rPr>
        <w:t>.</w:t>
      </w:r>
      <w:r w:rsidRPr="0076503E">
        <w:rPr>
          <w:rFonts w:ascii="Arial" w:hAnsi="Arial" w:cs="Arial"/>
          <w:bCs/>
          <w:sz w:val="20"/>
          <w:szCs w:val="20"/>
        </w:rPr>
        <w:t xml:space="preserve"> IBP.</w:t>
      </w:r>
    </w:p>
    <w:p w14:paraId="6A81E160" w14:textId="1D0FC708" w:rsidR="00086690" w:rsidRPr="0076503E" w:rsidRDefault="00086690" w:rsidP="00B96D99">
      <w:pPr>
        <w:tabs>
          <w:tab w:val="left" w:pos="2420"/>
        </w:tabs>
        <w:jc w:val="both"/>
        <w:rPr>
          <w:rFonts w:ascii="Arial" w:hAnsi="Arial" w:cs="Arial"/>
          <w:bCs/>
          <w:sz w:val="20"/>
          <w:szCs w:val="20"/>
        </w:rPr>
      </w:pPr>
    </w:p>
    <w:p w14:paraId="0153326F" w14:textId="6F04C07A" w:rsidR="00086690" w:rsidRPr="0076503E" w:rsidRDefault="00086690" w:rsidP="00B96D99">
      <w:pPr>
        <w:tabs>
          <w:tab w:val="left" w:pos="2420"/>
        </w:tabs>
        <w:jc w:val="both"/>
        <w:rPr>
          <w:rFonts w:ascii="Arial" w:hAnsi="Arial" w:cs="Arial"/>
          <w:bCs/>
          <w:sz w:val="20"/>
          <w:szCs w:val="20"/>
        </w:rPr>
      </w:pPr>
      <w:r w:rsidRPr="0076503E">
        <w:rPr>
          <w:rFonts w:ascii="Arial" w:hAnsi="Arial" w:cs="Arial"/>
          <w:bCs/>
          <w:sz w:val="20"/>
          <w:szCs w:val="20"/>
          <w:lang w:val="en-US"/>
        </w:rPr>
        <w:t>Larsen, J. (2016). “</w:t>
      </w:r>
      <w:hyperlink r:id="rId1546" w:history="1">
        <w:r w:rsidRPr="0076503E">
          <w:rPr>
            <w:rStyle w:val="Hyperlink"/>
            <w:rFonts w:ascii="Arial" w:hAnsi="Arial" w:cs="Arial"/>
            <w:bCs/>
            <w:sz w:val="20"/>
            <w:szCs w:val="20"/>
            <w:lang w:val="en-US"/>
          </w:rPr>
          <w:t>You Cannot Go it Alone: Learning from Cooperative Relationships in Civil Society Budget Campaigns</w:t>
        </w:r>
      </w:hyperlink>
      <w:r w:rsidRPr="0076503E">
        <w:rPr>
          <w:rFonts w:ascii="Arial" w:hAnsi="Arial" w:cs="Arial"/>
          <w:bCs/>
          <w:sz w:val="20"/>
          <w:szCs w:val="20"/>
          <w:lang w:val="en-US"/>
        </w:rPr>
        <w:t xml:space="preserve">”. IBP.  </w:t>
      </w:r>
    </w:p>
    <w:p w14:paraId="33241EAA" w14:textId="7545829A" w:rsidR="00C2107D" w:rsidRPr="0076503E" w:rsidRDefault="00C2107D" w:rsidP="00B96D99">
      <w:pPr>
        <w:tabs>
          <w:tab w:val="left" w:pos="2420"/>
        </w:tabs>
        <w:jc w:val="both"/>
        <w:rPr>
          <w:rFonts w:ascii="Arial" w:hAnsi="Arial" w:cs="Arial"/>
          <w:bCs/>
          <w:sz w:val="20"/>
          <w:szCs w:val="20"/>
        </w:rPr>
      </w:pPr>
    </w:p>
    <w:p w14:paraId="7AF6D668" w14:textId="26E82800" w:rsidR="00C2107D" w:rsidRPr="0076503E" w:rsidRDefault="00C2107D" w:rsidP="00B96D99">
      <w:pPr>
        <w:tabs>
          <w:tab w:val="left" w:pos="2420"/>
        </w:tabs>
        <w:jc w:val="both"/>
        <w:rPr>
          <w:rFonts w:ascii="Arial" w:hAnsi="Arial" w:cs="Arial"/>
          <w:bCs/>
          <w:sz w:val="20"/>
          <w:szCs w:val="20"/>
          <w:lang w:val="en-ZA"/>
        </w:rPr>
      </w:pPr>
      <w:r w:rsidRPr="0076503E">
        <w:rPr>
          <w:rFonts w:ascii="Arial" w:hAnsi="Arial" w:cs="Arial"/>
          <w:bCs/>
          <w:sz w:val="20"/>
          <w:szCs w:val="20"/>
          <w:lang w:val="en-ZA"/>
        </w:rPr>
        <w:t>Leon, J.R., De la Mora, D., and Ruiz, L. (2016). “</w:t>
      </w:r>
      <w:hyperlink r:id="rId1547" w:history="1">
        <w:r w:rsidRPr="0076503E">
          <w:rPr>
            <w:rStyle w:val="Hyperlink"/>
            <w:rFonts w:ascii="Arial" w:hAnsi="Arial" w:cs="Arial"/>
            <w:bCs/>
            <w:sz w:val="20"/>
            <w:szCs w:val="20"/>
            <w:lang w:val="en-ZA"/>
          </w:rPr>
          <w:t>Digital Budgets: How are Governments Disclosing Fiscal Information Online?</w:t>
        </w:r>
      </w:hyperlink>
      <w:r w:rsidRPr="0076503E">
        <w:rPr>
          <w:rFonts w:ascii="Arial" w:hAnsi="Arial" w:cs="Arial"/>
          <w:bCs/>
          <w:sz w:val="20"/>
          <w:szCs w:val="20"/>
          <w:lang w:val="en-ZA"/>
        </w:rPr>
        <w:t>”. IBP.</w:t>
      </w:r>
    </w:p>
    <w:p w14:paraId="33535A92" w14:textId="4CE2112C" w:rsidR="00345E5B" w:rsidRPr="0076503E" w:rsidRDefault="00345E5B" w:rsidP="00B96D99">
      <w:pPr>
        <w:tabs>
          <w:tab w:val="left" w:pos="2420"/>
        </w:tabs>
        <w:jc w:val="both"/>
        <w:rPr>
          <w:rFonts w:ascii="Arial" w:hAnsi="Arial" w:cs="Arial"/>
          <w:bCs/>
          <w:sz w:val="20"/>
          <w:szCs w:val="20"/>
          <w:lang w:val="en-ZA"/>
        </w:rPr>
      </w:pPr>
    </w:p>
    <w:p w14:paraId="2B397E90" w14:textId="0AA8C403" w:rsidR="00345E5B" w:rsidRDefault="00345E5B" w:rsidP="00B96D99">
      <w:pPr>
        <w:tabs>
          <w:tab w:val="left" w:pos="2420"/>
        </w:tabs>
        <w:jc w:val="both"/>
        <w:rPr>
          <w:rFonts w:ascii="Arial" w:hAnsi="Arial" w:cs="Arial"/>
          <w:bCs/>
          <w:sz w:val="20"/>
          <w:szCs w:val="20"/>
          <w:lang w:val="en-US"/>
        </w:rPr>
      </w:pPr>
      <w:r w:rsidRPr="0076503E">
        <w:rPr>
          <w:rFonts w:ascii="Arial" w:hAnsi="Arial" w:cs="Arial"/>
          <w:bCs/>
          <w:sz w:val="20"/>
          <w:szCs w:val="20"/>
        </w:rPr>
        <w:t>Martinez, A., and Guerrero, J. P. (2022). “</w:t>
      </w:r>
      <w:hyperlink r:id="rId1548" w:history="1">
        <w:r w:rsidRPr="0076503E">
          <w:rPr>
            <w:rStyle w:val="Hyperlink"/>
            <w:rFonts w:ascii="Arial" w:hAnsi="Arial" w:cs="Arial"/>
            <w:bCs/>
            <w:sz w:val="20"/>
            <w:szCs w:val="20"/>
            <w:lang w:val="en-US"/>
          </w:rPr>
          <w:t>Disclosing Fiscal Information during COVID-19 - Country Experiences</w:t>
        </w:r>
      </w:hyperlink>
      <w:r w:rsidRPr="0076503E">
        <w:rPr>
          <w:rFonts w:ascii="Arial" w:hAnsi="Arial" w:cs="Arial"/>
          <w:bCs/>
          <w:sz w:val="20"/>
          <w:szCs w:val="20"/>
          <w:lang w:val="en-US"/>
        </w:rPr>
        <w:t>”. GIFT/IMF Blog.</w:t>
      </w:r>
    </w:p>
    <w:p w14:paraId="07746309" w14:textId="241E7B8E" w:rsidR="00321D8D" w:rsidRDefault="00321D8D" w:rsidP="00B96D99">
      <w:pPr>
        <w:tabs>
          <w:tab w:val="left" w:pos="2420"/>
        </w:tabs>
        <w:jc w:val="both"/>
        <w:rPr>
          <w:rFonts w:ascii="Arial" w:hAnsi="Arial" w:cs="Arial"/>
          <w:bCs/>
          <w:sz w:val="20"/>
          <w:szCs w:val="20"/>
          <w:lang w:val="en-US"/>
        </w:rPr>
      </w:pPr>
    </w:p>
    <w:p w14:paraId="3A2334C0" w14:textId="57ED9D10" w:rsidR="00321D8D" w:rsidRPr="0076503E" w:rsidRDefault="00321D8D" w:rsidP="00321D8D">
      <w:pPr>
        <w:tabs>
          <w:tab w:val="left" w:pos="2420"/>
        </w:tabs>
        <w:jc w:val="both"/>
        <w:rPr>
          <w:rFonts w:ascii="Arial" w:hAnsi="Arial" w:cs="Arial"/>
          <w:sz w:val="20"/>
          <w:szCs w:val="20"/>
        </w:rPr>
      </w:pPr>
      <w:r w:rsidRPr="00321D8D">
        <w:rPr>
          <w:rFonts w:ascii="Arial" w:hAnsi="Arial" w:cs="Arial"/>
          <w:bCs/>
          <w:sz w:val="20"/>
          <w:szCs w:val="20"/>
        </w:rPr>
        <w:t>Martinez, A.</w:t>
      </w:r>
      <w:r>
        <w:rPr>
          <w:rFonts w:ascii="Arial" w:hAnsi="Arial" w:cs="Arial"/>
          <w:bCs/>
          <w:sz w:val="20"/>
          <w:szCs w:val="20"/>
        </w:rPr>
        <w:t xml:space="preserve"> </w:t>
      </w:r>
      <w:r w:rsidRPr="0076503E">
        <w:rPr>
          <w:rFonts w:ascii="Arial" w:hAnsi="Arial" w:cs="Arial"/>
          <w:sz w:val="20"/>
          <w:szCs w:val="20"/>
          <w:lang w:val="en-ZA"/>
        </w:rPr>
        <w:t xml:space="preserve">(2022). </w:t>
      </w:r>
      <w:r>
        <w:rPr>
          <w:rFonts w:ascii="Arial" w:hAnsi="Arial" w:cs="Arial"/>
          <w:sz w:val="20"/>
          <w:szCs w:val="20"/>
          <w:lang w:val="en-ZA"/>
        </w:rPr>
        <w:t>“</w:t>
      </w:r>
      <w:hyperlink r:id="rId1549" w:history="1">
        <w:r w:rsidRPr="0076503E">
          <w:rPr>
            <w:rStyle w:val="Hyperlink"/>
            <w:rFonts w:ascii="Arial" w:hAnsi="Arial" w:cs="Arial"/>
            <w:sz w:val="20"/>
            <w:szCs w:val="20"/>
          </w:rPr>
          <w:t>Advocating for accurate, timely, and trustworthy fiscal information</w:t>
        </w:r>
      </w:hyperlink>
      <w:r>
        <w:rPr>
          <w:rStyle w:val="Hyperlink"/>
          <w:rFonts w:ascii="Arial" w:hAnsi="Arial" w:cs="Arial"/>
          <w:sz w:val="20"/>
          <w:szCs w:val="20"/>
        </w:rPr>
        <w:t>”</w:t>
      </w:r>
      <w:r w:rsidRPr="0076503E">
        <w:rPr>
          <w:rFonts w:ascii="Arial" w:hAnsi="Arial" w:cs="Arial"/>
          <w:sz w:val="20"/>
          <w:szCs w:val="20"/>
        </w:rPr>
        <w:t>.</w:t>
      </w:r>
      <w:r w:rsidRPr="00321D8D">
        <w:rPr>
          <w:rFonts w:ascii="Arial" w:hAnsi="Arial" w:cs="Arial"/>
          <w:sz w:val="20"/>
          <w:szCs w:val="20"/>
        </w:rPr>
        <w:t xml:space="preserve"> </w:t>
      </w:r>
      <w:r>
        <w:rPr>
          <w:rFonts w:ascii="Arial" w:hAnsi="Arial" w:cs="Arial"/>
          <w:sz w:val="20"/>
          <w:szCs w:val="20"/>
        </w:rPr>
        <w:t>GIFT</w:t>
      </w:r>
      <w:r w:rsidRPr="0076503E">
        <w:rPr>
          <w:rFonts w:ascii="Arial" w:hAnsi="Arial" w:cs="Arial"/>
          <w:sz w:val="20"/>
          <w:szCs w:val="20"/>
        </w:rPr>
        <w:t xml:space="preserve"> and </w:t>
      </w:r>
      <w:r w:rsidRPr="0076503E">
        <w:rPr>
          <w:rFonts w:ascii="Arial" w:hAnsi="Arial" w:cs="Arial"/>
          <w:sz w:val="20"/>
          <w:szCs w:val="20"/>
          <w:lang w:val="en-ZA"/>
        </w:rPr>
        <w:t>Global Data Barometer.</w:t>
      </w:r>
    </w:p>
    <w:p w14:paraId="73AB71C1" w14:textId="77777777" w:rsidR="00321D8D" w:rsidRPr="0076503E" w:rsidRDefault="00321D8D" w:rsidP="00321D8D">
      <w:pPr>
        <w:tabs>
          <w:tab w:val="left" w:pos="2420"/>
        </w:tabs>
        <w:jc w:val="both"/>
        <w:rPr>
          <w:rFonts w:ascii="Arial" w:hAnsi="Arial" w:cs="Arial"/>
          <w:sz w:val="20"/>
          <w:szCs w:val="20"/>
        </w:rPr>
      </w:pPr>
    </w:p>
    <w:p w14:paraId="3BEBAA94" w14:textId="12FDA7D3" w:rsidR="00C2107D" w:rsidRPr="0076503E" w:rsidRDefault="00C2107D" w:rsidP="00B96D99">
      <w:pPr>
        <w:tabs>
          <w:tab w:val="left" w:pos="2420"/>
        </w:tabs>
        <w:jc w:val="both"/>
        <w:rPr>
          <w:rFonts w:ascii="Arial" w:hAnsi="Arial" w:cs="Arial"/>
          <w:sz w:val="20"/>
          <w:szCs w:val="20"/>
          <w:lang w:val="en-ZA"/>
        </w:rPr>
      </w:pPr>
      <w:r w:rsidRPr="0076503E">
        <w:rPr>
          <w:rFonts w:ascii="Arial" w:hAnsi="Arial" w:cs="Arial"/>
          <w:sz w:val="20"/>
          <w:szCs w:val="20"/>
          <w:lang w:val="en-ZA"/>
        </w:rPr>
        <w:t xml:space="preserve">McArthur, K., </w:t>
      </w:r>
      <w:proofErr w:type="spellStart"/>
      <w:r w:rsidRPr="0076503E">
        <w:rPr>
          <w:rFonts w:ascii="Arial" w:hAnsi="Arial" w:cs="Arial"/>
          <w:sz w:val="20"/>
          <w:szCs w:val="20"/>
          <w:lang w:val="en-ZA"/>
        </w:rPr>
        <w:t>Lainchbury</w:t>
      </w:r>
      <w:proofErr w:type="spellEnd"/>
      <w:r w:rsidRPr="0076503E">
        <w:rPr>
          <w:rFonts w:ascii="Arial" w:hAnsi="Arial" w:cs="Arial"/>
          <w:sz w:val="20"/>
          <w:szCs w:val="20"/>
          <w:lang w:val="en-ZA"/>
        </w:rPr>
        <w:t>, H., and Horn, D. (2012). “</w:t>
      </w:r>
      <w:hyperlink r:id="rId1550" w:history="1">
        <w:r w:rsidRPr="0076503E">
          <w:rPr>
            <w:rStyle w:val="Hyperlink"/>
            <w:rFonts w:ascii="Arial" w:hAnsi="Arial" w:cs="Arial"/>
            <w:bCs/>
            <w:sz w:val="20"/>
            <w:szCs w:val="20"/>
            <w:lang w:val="en-ZA"/>
          </w:rPr>
          <w:t>Open Data Hackathon: How to Guide</w:t>
        </w:r>
      </w:hyperlink>
      <w:r w:rsidRPr="0076503E">
        <w:rPr>
          <w:rFonts w:ascii="Arial" w:hAnsi="Arial" w:cs="Arial"/>
          <w:bCs/>
          <w:sz w:val="20"/>
          <w:szCs w:val="20"/>
          <w:lang w:val="en-ZA"/>
        </w:rPr>
        <w:t xml:space="preserve">”. </w:t>
      </w:r>
      <w:r w:rsidRPr="0076503E">
        <w:rPr>
          <w:rFonts w:ascii="Arial" w:hAnsi="Arial" w:cs="Arial"/>
          <w:sz w:val="20"/>
          <w:szCs w:val="20"/>
          <w:lang w:val="en-ZA"/>
        </w:rPr>
        <w:t xml:space="preserve"> Creative Commons Attribution 3.0 </w:t>
      </w:r>
      <w:proofErr w:type="spellStart"/>
      <w:r w:rsidRPr="0076503E">
        <w:rPr>
          <w:rFonts w:ascii="Arial" w:hAnsi="Arial" w:cs="Arial"/>
          <w:sz w:val="20"/>
          <w:szCs w:val="20"/>
          <w:lang w:val="en-ZA"/>
        </w:rPr>
        <w:t>Unported</w:t>
      </w:r>
      <w:proofErr w:type="spellEnd"/>
      <w:r w:rsidRPr="0076503E">
        <w:rPr>
          <w:rFonts w:ascii="Arial" w:hAnsi="Arial" w:cs="Arial"/>
          <w:sz w:val="20"/>
          <w:szCs w:val="20"/>
          <w:lang w:val="en-ZA"/>
        </w:rPr>
        <w:t xml:space="preserve"> License.</w:t>
      </w:r>
    </w:p>
    <w:p w14:paraId="59CB6CB4" w14:textId="77777777" w:rsidR="00C2107D" w:rsidRPr="0076503E" w:rsidRDefault="00C2107D" w:rsidP="00B96D99">
      <w:pPr>
        <w:tabs>
          <w:tab w:val="left" w:pos="2420"/>
        </w:tabs>
        <w:jc w:val="both"/>
        <w:rPr>
          <w:rFonts w:ascii="Arial" w:hAnsi="Arial" w:cs="Arial"/>
          <w:sz w:val="20"/>
          <w:szCs w:val="20"/>
          <w:lang w:val="en-ZA"/>
        </w:rPr>
      </w:pPr>
    </w:p>
    <w:p w14:paraId="38F8613A" w14:textId="4DE49DD2" w:rsidR="006B28B7" w:rsidRPr="0076503E" w:rsidRDefault="006B28B7" w:rsidP="00B96D99">
      <w:pPr>
        <w:tabs>
          <w:tab w:val="left" w:pos="2420"/>
        </w:tabs>
        <w:jc w:val="both"/>
        <w:rPr>
          <w:rFonts w:ascii="Arial" w:hAnsi="Arial" w:cs="Arial"/>
          <w:sz w:val="20"/>
          <w:szCs w:val="20"/>
          <w:lang w:val="en-ZA"/>
        </w:rPr>
      </w:pPr>
      <w:r w:rsidRPr="0076503E">
        <w:rPr>
          <w:rFonts w:ascii="Arial" w:hAnsi="Arial" w:cs="Arial"/>
          <w:sz w:val="20"/>
          <w:szCs w:val="20"/>
          <w:lang w:val="en-ZA"/>
        </w:rPr>
        <w:t xml:space="preserve">Mexican Government. (1917). </w:t>
      </w:r>
      <w:hyperlink r:id="rId1551" w:history="1">
        <w:r w:rsidRPr="0076503E">
          <w:rPr>
            <w:rStyle w:val="Hyperlink"/>
            <w:rFonts w:ascii="Arial" w:hAnsi="Arial" w:cs="Arial"/>
            <w:iCs/>
            <w:sz w:val="20"/>
            <w:szCs w:val="20"/>
            <w:lang w:val="en-ZA"/>
          </w:rPr>
          <w:t>Constitution</w:t>
        </w:r>
      </w:hyperlink>
      <w:r w:rsidRPr="0076503E">
        <w:rPr>
          <w:rFonts w:ascii="Arial" w:hAnsi="Arial" w:cs="Arial"/>
          <w:sz w:val="20"/>
          <w:szCs w:val="20"/>
          <w:lang w:val="en-ZA"/>
        </w:rPr>
        <w:t>.</w:t>
      </w:r>
    </w:p>
    <w:p w14:paraId="56875728" w14:textId="74AEB1B8" w:rsidR="009701B0" w:rsidRPr="0076503E" w:rsidRDefault="009701B0" w:rsidP="00B96D99">
      <w:pPr>
        <w:tabs>
          <w:tab w:val="left" w:pos="2420"/>
        </w:tabs>
        <w:jc w:val="both"/>
        <w:rPr>
          <w:rFonts w:ascii="Arial" w:hAnsi="Arial" w:cs="Arial"/>
          <w:sz w:val="20"/>
          <w:szCs w:val="20"/>
          <w:lang w:val="en-ZA"/>
        </w:rPr>
      </w:pPr>
    </w:p>
    <w:p w14:paraId="09EA1EF1" w14:textId="77777777" w:rsidR="009701B0" w:rsidRPr="0076503E" w:rsidRDefault="009701B0" w:rsidP="00B96D99">
      <w:pPr>
        <w:tabs>
          <w:tab w:val="left" w:pos="2420"/>
        </w:tabs>
        <w:jc w:val="both"/>
        <w:rPr>
          <w:rFonts w:ascii="Arial" w:hAnsi="Arial" w:cs="Arial"/>
          <w:sz w:val="20"/>
          <w:szCs w:val="20"/>
        </w:rPr>
      </w:pPr>
      <w:r w:rsidRPr="0076503E">
        <w:rPr>
          <w:rFonts w:ascii="Arial" w:hAnsi="Arial" w:cs="Arial"/>
          <w:sz w:val="20"/>
          <w:szCs w:val="20"/>
        </w:rPr>
        <w:t>Michener, G. (2015). “</w:t>
      </w:r>
      <w:hyperlink r:id="rId1552" w:history="1">
        <w:r w:rsidRPr="0076503E">
          <w:rPr>
            <w:rStyle w:val="Hyperlink"/>
            <w:rFonts w:ascii="Arial" w:hAnsi="Arial" w:cs="Arial"/>
            <w:sz w:val="20"/>
            <w:szCs w:val="20"/>
          </w:rPr>
          <w:t>Why Policymakers Commit to Transparency: Legitimacy, Insurance, Monitoring and the Importance of the News Media as Mediator</w:t>
        </w:r>
      </w:hyperlink>
      <w:r w:rsidRPr="0076503E">
        <w:rPr>
          <w:rFonts w:ascii="Arial" w:hAnsi="Arial" w:cs="Arial"/>
          <w:sz w:val="20"/>
          <w:szCs w:val="20"/>
        </w:rPr>
        <w:t>”. GIFT and IBP.</w:t>
      </w:r>
    </w:p>
    <w:p w14:paraId="01AB00F1" w14:textId="77777777" w:rsidR="006B28B7" w:rsidRPr="0076503E" w:rsidRDefault="006B28B7" w:rsidP="00B96D99">
      <w:pPr>
        <w:tabs>
          <w:tab w:val="left" w:pos="2420"/>
        </w:tabs>
        <w:jc w:val="both"/>
        <w:rPr>
          <w:rFonts w:ascii="Arial" w:hAnsi="Arial" w:cs="Arial"/>
          <w:sz w:val="20"/>
          <w:szCs w:val="20"/>
          <w:lang w:val="en-ZA"/>
        </w:rPr>
      </w:pPr>
    </w:p>
    <w:p w14:paraId="7F9725D3" w14:textId="1146FDD5" w:rsidR="007E7E65" w:rsidRPr="0076503E" w:rsidRDefault="007E7E65" w:rsidP="00B96D99">
      <w:pPr>
        <w:tabs>
          <w:tab w:val="left" w:pos="2420"/>
        </w:tabs>
        <w:jc w:val="both"/>
        <w:rPr>
          <w:rFonts w:ascii="Arial" w:hAnsi="Arial" w:cs="Arial"/>
          <w:bCs/>
          <w:sz w:val="20"/>
          <w:szCs w:val="20"/>
          <w:lang w:val="en-ZA"/>
        </w:rPr>
      </w:pPr>
      <w:r w:rsidRPr="0076503E">
        <w:rPr>
          <w:rFonts w:ascii="Arial" w:hAnsi="Arial" w:cs="Arial"/>
          <w:sz w:val="20"/>
          <w:szCs w:val="20"/>
          <w:lang w:val="en-ZA"/>
        </w:rPr>
        <w:t>Mordecai, M. (2019). “</w:t>
      </w:r>
      <w:hyperlink r:id="rId1553" w:history="1">
        <w:r w:rsidRPr="0076503E">
          <w:rPr>
            <w:rStyle w:val="Hyperlink"/>
            <w:rFonts w:ascii="Arial" w:hAnsi="Arial" w:cs="Arial"/>
            <w:bCs/>
            <w:sz w:val="20"/>
            <w:szCs w:val="20"/>
            <w:lang w:val="en-ZA"/>
          </w:rPr>
          <w:t>Protests in Lebanon highlight ubiquity of WhatsApp, dissatisfaction with government</w:t>
        </w:r>
      </w:hyperlink>
      <w:r w:rsidRPr="0076503E">
        <w:rPr>
          <w:rFonts w:ascii="Arial" w:hAnsi="Arial" w:cs="Arial"/>
          <w:bCs/>
          <w:sz w:val="20"/>
          <w:szCs w:val="20"/>
          <w:lang w:val="en-ZA"/>
        </w:rPr>
        <w:t xml:space="preserve">.” Pew Research </w:t>
      </w:r>
      <w:proofErr w:type="spellStart"/>
      <w:r w:rsidRPr="0076503E">
        <w:rPr>
          <w:rFonts w:ascii="Arial" w:hAnsi="Arial" w:cs="Arial"/>
          <w:bCs/>
          <w:sz w:val="20"/>
          <w:szCs w:val="20"/>
          <w:lang w:val="en-ZA"/>
        </w:rPr>
        <w:t>Center</w:t>
      </w:r>
      <w:proofErr w:type="spellEnd"/>
      <w:r w:rsidRPr="0076503E">
        <w:rPr>
          <w:rFonts w:ascii="Arial" w:hAnsi="Arial" w:cs="Arial"/>
          <w:bCs/>
          <w:sz w:val="20"/>
          <w:szCs w:val="20"/>
          <w:lang w:val="en-ZA"/>
        </w:rPr>
        <w:t>.</w:t>
      </w:r>
    </w:p>
    <w:p w14:paraId="6B849018" w14:textId="772125E1" w:rsidR="006065A7" w:rsidRPr="0076503E" w:rsidRDefault="006065A7" w:rsidP="00B96D99">
      <w:pPr>
        <w:tabs>
          <w:tab w:val="left" w:pos="2420"/>
        </w:tabs>
        <w:jc w:val="both"/>
        <w:rPr>
          <w:rFonts w:ascii="Arial" w:hAnsi="Arial" w:cs="Arial"/>
          <w:bCs/>
          <w:sz w:val="20"/>
          <w:szCs w:val="20"/>
          <w:lang w:val="en-ZA"/>
        </w:rPr>
      </w:pPr>
    </w:p>
    <w:p w14:paraId="4DB7129D" w14:textId="27DF7910" w:rsidR="006065A7" w:rsidRPr="0076503E" w:rsidRDefault="006065A7" w:rsidP="00B96D99">
      <w:pPr>
        <w:tabs>
          <w:tab w:val="left" w:pos="2420"/>
        </w:tabs>
        <w:jc w:val="both"/>
        <w:rPr>
          <w:rFonts w:ascii="Arial" w:hAnsi="Arial" w:cs="Arial"/>
          <w:bCs/>
          <w:sz w:val="20"/>
          <w:szCs w:val="20"/>
          <w:lang w:val="en-ZA"/>
        </w:rPr>
      </w:pPr>
      <w:r w:rsidRPr="0076503E">
        <w:rPr>
          <w:rFonts w:ascii="Arial" w:hAnsi="Arial" w:cs="Arial"/>
          <w:bCs/>
          <w:sz w:val="20"/>
          <w:szCs w:val="20"/>
        </w:rPr>
        <w:t>Natural Resource Governance Institute.</w:t>
      </w:r>
      <w:r w:rsidR="001E39F4" w:rsidRPr="0076503E">
        <w:rPr>
          <w:rFonts w:ascii="Arial" w:hAnsi="Arial" w:cs="Arial"/>
          <w:bCs/>
          <w:sz w:val="20"/>
          <w:szCs w:val="20"/>
        </w:rPr>
        <w:t xml:space="preserve"> (2010).</w:t>
      </w:r>
      <w:r w:rsidRPr="0076503E">
        <w:rPr>
          <w:rFonts w:ascii="Arial" w:hAnsi="Arial" w:cs="Arial"/>
          <w:bCs/>
          <w:sz w:val="20"/>
          <w:szCs w:val="20"/>
        </w:rPr>
        <w:t xml:space="preserve"> </w:t>
      </w:r>
      <w:hyperlink r:id="rId1554" w:history="1">
        <w:r w:rsidRPr="0076503E">
          <w:rPr>
            <w:rStyle w:val="Hyperlink"/>
            <w:rFonts w:ascii="Arial" w:hAnsi="Arial" w:cs="Arial"/>
            <w:bCs/>
            <w:iCs/>
            <w:sz w:val="20"/>
            <w:szCs w:val="20"/>
          </w:rPr>
          <w:t>Natural Resource Charter</w:t>
        </w:r>
      </w:hyperlink>
      <w:r w:rsidRPr="0076503E">
        <w:rPr>
          <w:rFonts w:ascii="Arial" w:hAnsi="Arial" w:cs="Arial"/>
          <w:bCs/>
          <w:sz w:val="20"/>
          <w:szCs w:val="20"/>
        </w:rPr>
        <w:t>.</w:t>
      </w:r>
    </w:p>
    <w:p w14:paraId="6493048A" w14:textId="77777777" w:rsidR="007E7E65" w:rsidRPr="0076503E" w:rsidRDefault="007E7E65" w:rsidP="00B96D99">
      <w:pPr>
        <w:tabs>
          <w:tab w:val="left" w:pos="2420"/>
        </w:tabs>
        <w:jc w:val="both"/>
        <w:rPr>
          <w:rFonts w:ascii="Arial" w:hAnsi="Arial" w:cs="Arial"/>
          <w:sz w:val="20"/>
          <w:szCs w:val="20"/>
          <w:lang w:val="en-ZA"/>
        </w:rPr>
      </w:pPr>
    </w:p>
    <w:p w14:paraId="3AF76A6B" w14:textId="70AA5F80" w:rsidR="007C02C7" w:rsidRPr="0076503E" w:rsidRDefault="007C02C7" w:rsidP="00B96D99">
      <w:pPr>
        <w:tabs>
          <w:tab w:val="left" w:pos="2420"/>
        </w:tabs>
        <w:jc w:val="both"/>
        <w:rPr>
          <w:rFonts w:ascii="Arial" w:hAnsi="Arial" w:cs="Arial"/>
          <w:sz w:val="20"/>
          <w:szCs w:val="20"/>
        </w:rPr>
      </w:pPr>
      <w:r w:rsidRPr="0076503E">
        <w:rPr>
          <w:rFonts w:ascii="Arial" w:hAnsi="Arial" w:cs="Arial"/>
          <w:sz w:val="20"/>
          <w:szCs w:val="20"/>
        </w:rPr>
        <w:t xml:space="preserve">Open Contracting Partnership. </w:t>
      </w:r>
      <w:hyperlink r:id="rId1555" w:history="1">
        <w:r w:rsidRPr="0076503E">
          <w:rPr>
            <w:rStyle w:val="Hyperlink"/>
            <w:rFonts w:ascii="Arial" w:hAnsi="Arial" w:cs="Arial"/>
            <w:bCs/>
            <w:sz w:val="20"/>
            <w:szCs w:val="20"/>
          </w:rPr>
          <w:t>Open Contracting Global Principles</w:t>
        </w:r>
      </w:hyperlink>
      <w:r w:rsidRPr="0076503E">
        <w:rPr>
          <w:rFonts w:ascii="Arial" w:hAnsi="Arial" w:cs="Arial"/>
          <w:sz w:val="20"/>
          <w:szCs w:val="20"/>
        </w:rPr>
        <w:t>.</w:t>
      </w:r>
    </w:p>
    <w:p w14:paraId="531EB752" w14:textId="10964717" w:rsidR="00E61191" w:rsidRPr="0076503E" w:rsidRDefault="00E61191" w:rsidP="00B96D99">
      <w:pPr>
        <w:tabs>
          <w:tab w:val="left" w:pos="2420"/>
        </w:tabs>
        <w:jc w:val="both"/>
        <w:rPr>
          <w:rFonts w:ascii="Arial" w:hAnsi="Arial" w:cs="Arial"/>
          <w:sz w:val="20"/>
          <w:szCs w:val="20"/>
        </w:rPr>
      </w:pPr>
    </w:p>
    <w:p w14:paraId="7031ED02" w14:textId="3FC66608" w:rsidR="00E61191" w:rsidRPr="0076503E" w:rsidRDefault="00E61191" w:rsidP="00B96D99">
      <w:pPr>
        <w:tabs>
          <w:tab w:val="left" w:pos="2420"/>
        </w:tabs>
        <w:jc w:val="both"/>
        <w:rPr>
          <w:rFonts w:ascii="Arial" w:hAnsi="Arial" w:cs="Arial"/>
          <w:sz w:val="20"/>
          <w:szCs w:val="20"/>
        </w:rPr>
      </w:pPr>
      <w:r w:rsidRPr="0076503E">
        <w:rPr>
          <w:rFonts w:ascii="Arial" w:hAnsi="Arial" w:cs="Arial"/>
          <w:sz w:val="20"/>
          <w:szCs w:val="20"/>
        </w:rPr>
        <w:t xml:space="preserve">Open Contracting Partnership. </w:t>
      </w:r>
      <w:hyperlink r:id="rId1556" w:anchor=":~:text=The%20Open%20Contracting%20Data%20Standard,a%20wide%20range%20of%20users." w:history="1">
        <w:r w:rsidRPr="0076503E">
          <w:rPr>
            <w:rStyle w:val="Hyperlink"/>
            <w:rFonts w:ascii="Arial" w:hAnsi="Arial" w:cs="Arial"/>
            <w:sz w:val="20"/>
            <w:szCs w:val="20"/>
          </w:rPr>
          <w:t>Open Contracting Data Standard</w:t>
        </w:r>
      </w:hyperlink>
      <w:r w:rsidRPr="0076503E">
        <w:rPr>
          <w:rFonts w:ascii="Arial" w:hAnsi="Arial" w:cs="Arial"/>
          <w:sz w:val="20"/>
          <w:szCs w:val="20"/>
        </w:rPr>
        <w:t>.</w:t>
      </w:r>
    </w:p>
    <w:p w14:paraId="394519D9" w14:textId="4987FC6D" w:rsidR="00E61191" w:rsidRPr="0076503E" w:rsidRDefault="00E61191" w:rsidP="00B96D99">
      <w:pPr>
        <w:tabs>
          <w:tab w:val="left" w:pos="2420"/>
        </w:tabs>
        <w:jc w:val="both"/>
        <w:rPr>
          <w:rFonts w:ascii="Arial" w:hAnsi="Arial" w:cs="Arial"/>
          <w:sz w:val="20"/>
          <w:szCs w:val="20"/>
        </w:rPr>
      </w:pPr>
    </w:p>
    <w:p w14:paraId="626A7246" w14:textId="5D3E441F" w:rsidR="007C02C7" w:rsidRPr="0076503E" w:rsidRDefault="00E61191" w:rsidP="00B96D99">
      <w:pPr>
        <w:tabs>
          <w:tab w:val="left" w:pos="2420"/>
        </w:tabs>
        <w:jc w:val="both"/>
        <w:rPr>
          <w:rFonts w:ascii="Arial" w:hAnsi="Arial" w:cs="Arial"/>
          <w:sz w:val="20"/>
          <w:szCs w:val="20"/>
        </w:rPr>
      </w:pPr>
      <w:r w:rsidRPr="0076503E">
        <w:rPr>
          <w:rFonts w:ascii="Arial" w:hAnsi="Arial" w:cs="Arial"/>
          <w:sz w:val="20"/>
          <w:szCs w:val="20"/>
        </w:rPr>
        <w:t xml:space="preserve">Open Contracting Partnership. </w:t>
      </w:r>
      <w:hyperlink r:id="rId1557" w:history="1">
        <w:r w:rsidRPr="0076503E">
          <w:rPr>
            <w:rStyle w:val="Hyperlink"/>
            <w:rFonts w:ascii="Arial" w:hAnsi="Arial" w:cs="Arial"/>
            <w:sz w:val="20"/>
            <w:szCs w:val="20"/>
          </w:rPr>
          <w:t>Open Contracting – A Guide for Practitioners by Practitioners</w:t>
        </w:r>
      </w:hyperlink>
      <w:r w:rsidRPr="0076503E">
        <w:rPr>
          <w:rFonts w:ascii="Arial" w:hAnsi="Arial" w:cs="Arial"/>
          <w:sz w:val="20"/>
          <w:szCs w:val="20"/>
        </w:rPr>
        <w:t>.</w:t>
      </w:r>
    </w:p>
    <w:p w14:paraId="38C83A12" w14:textId="41695004" w:rsidR="00F45544" w:rsidRPr="0076503E" w:rsidRDefault="00F45544" w:rsidP="00B96D99">
      <w:pPr>
        <w:tabs>
          <w:tab w:val="left" w:pos="2420"/>
        </w:tabs>
        <w:jc w:val="both"/>
        <w:rPr>
          <w:rFonts w:ascii="Arial" w:hAnsi="Arial" w:cs="Arial"/>
          <w:sz w:val="20"/>
          <w:szCs w:val="20"/>
        </w:rPr>
      </w:pPr>
    </w:p>
    <w:p w14:paraId="002F87DE" w14:textId="7DFF576A" w:rsidR="00F45544" w:rsidRPr="0076503E" w:rsidRDefault="00AC4DF7" w:rsidP="00B96D99">
      <w:pPr>
        <w:tabs>
          <w:tab w:val="left" w:pos="2420"/>
        </w:tabs>
        <w:jc w:val="both"/>
        <w:rPr>
          <w:rFonts w:ascii="Arial" w:hAnsi="Arial" w:cs="Arial"/>
          <w:sz w:val="20"/>
          <w:szCs w:val="20"/>
        </w:rPr>
      </w:pPr>
      <w:hyperlink r:id="rId1558" w:history="1">
        <w:r w:rsidR="00F45544" w:rsidRPr="0076503E">
          <w:rPr>
            <w:rStyle w:val="Hyperlink"/>
            <w:rFonts w:ascii="Arial" w:hAnsi="Arial" w:cs="Arial"/>
            <w:sz w:val="20"/>
            <w:szCs w:val="20"/>
          </w:rPr>
          <w:t>Open Data Charter</w:t>
        </w:r>
      </w:hyperlink>
      <w:r w:rsidR="00F45544" w:rsidRPr="0076503E">
        <w:rPr>
          <w:rFonts w:ascii="Arial" w:hAnsi="Arial" w:cs="Arial"/>
          <w:sz w:val="20"/>
          <w:szCs w:val="20"/>
        </w:rPr>
        <w:t>. (2015).</w:t>
      </w:r>
    </w:p>
    <w:p w14:paraId="47C984FA" w14:textId="48980E04" w:rsidR="009205C9" w:rsidRPr="0076503E" w:rsidRDefault="009205C9" w:rsidP="00B96D99">
      <w:pPr>
        <w:tabs>
          <w:tab w:val="left" w:pos="2420"/>
        </w:tabs>
        <w:jc w:val="both"/>
        <w:rPr>
          <w:rFonts w:ascii="Arial" w:hAnsi="Arial" w:cs="Arial"/>
          <w:sz w:val="20"/>
          <w:szCs w:val="20"/>
        </w:rPr>
      </w:pPr>
    </w:p>
    <w:p w14:paraId="32BD6759" w14:textId="5989502F" w:rsidR="009205C9" w:rsidRPr="0076503E" w:rsidRDefault="009205C9" w:rsidP="00B96D99">
      <w:pPr>
        <w:tabs>
          <w:tab w:val="left" w:pos="2420"/>
        </w:tabs>
        <w:jc w:val="both"/>
        <w:rPr>
          <w:rFonts w:ascii="Arial" w:hAnsi="Arial" w:cs="Arial"/>
          <w:sz w:val="20"/>
          <w:szCs w:val="20"/>
          <w:lang w:val="en-US"/>
        </w:rPr>
      </w:pPr>
      <w:r w:rsidRPr="0076503E">
        <w:rPr>
          <w:rFonts w:ascii="Arial" w:hAnsi="Arial" w:cs="Arial"/>
          <w:sz w:val="20"/>
          <w:szCs w:val="20"/>
          <w:lang w:val="en-ZA"/>
        </w:rPr>
        <w:t xml:space="preserve">Open Data Institute. </w:t>
      </w:r>
      <w:r w:rsidRPr="0076503E">
        <w:rPr>
          <w:rFonts w:ascii="Arial" w:hAnsi="Arial" w:cs="Arial"/>
          <w:sz w:val="20"/>
          <w:szCs w:val="20"/>
        </w:rPr>
        <w:t xml:space="preserve">(2016). </w:t>
      </w:r>
      <w:hyperlink r:id="rId1559" w:anchor=":~:text=The%20new%20report%20builds%20on,data%20when%20it%20is%20open." w:history="1">
        <w:r w:rsidRPr="0076503E">
          <w:rPr>
            <w:rStyle w:val="Hyperlink"/>
            <w:rFonts w:ascii="Arial" w:hAnsi="Arial" w:cs="Arial"/>
            <w:bCs/>
            <w:sz w:val="20"/>
            <w:szCs w:val="20"/>
            <w:lang w:val="en-US"/>
          </w:rPr>
          <w:t>Research: The economic value of open versus paid data</w:t>
        </w:r>
      </w:hyperlink>
      <w:r w:rsidRPr="0076503E">
        <w:rPr>
          <w:rFonts w:ascii="Arial" w:hAnsi="Arial" w:cs="Arial"/>
          <w:sz w:val="20"/>
          <w:szCs w:val="20"/>
        </w:rPr>
        <w:t>.</w:t>
      </w:r>
    </w:p>
    <w:p w14:paraId="0C5E9D00" w14:textId="77777777" w:rsidR="009205C9" w:rsidRPr="0076503E" w:rsidRDefault="009205C9" w:rsidP="00B96D99">
      <w:pPr>
        <w:tabs>
          <w:tab w:val="left" w:pos="2420"/>
        </w:tabs>
        <w:jc w:val="both"/>
        <w:rPr>
          <w:rFonts w:ascii="Arial" w:hAnsi="Arial" w:cs="Arial"/>
          <w:sz w:val="20"/>
          <w:szCs w:val="20"/>
        </w:rPr>
      </w:pPr>
    </w:p>
    <w:p w14:paraId="3CF5AC71" w14:textId="6A10E8A3" w:rsidR="0011342D" w:rsidRPr="0076503E" w:rsidRDefault="0011342D" w:rsidP="00B96D99">
      <w:pPr>
        <w:tabs>
          <w:tab w:val="left" w:pos="2420"/>
        </w:tabs>
        <w:jc w:val="both"/>
        <w:rPr>
          <w:rStyle w:val="Hyperlink"/>
          <w:rFonts w:ascii="Arial" w:hAnsi="Arial" w:cs="Arial"/>
          <w:sz w:val="20"/>
          <w:szCs w:val="20"/>
        </w:rPr>
      </w:pPr>
      <w:r w:rsidRPr="0076503E">
        <w:rPr>
          <w:rFonts w:ascii="Arial" w:hAnsi="Arial" w:cs="Arial"/>
          <w:sz w:val="20"/>
          <w:szCs w:val="20"/>
        </w:rPr>
        <w:t xml:space="preserve">Open Government Partnership. (2011). </w:t>
      </w:r>
      <w:hyperlink r:id="rId1560" w:history="1">
        <w:r w:rsidRPr="0076503E">
          <w:rPr>
            <w:rStyle w:val="Hyperlink"/>
            <w:rFonts w:ascii="Arial" w:hAnsi="Arial" w:cs="Arial"/>
            <w:sz w:val="20"/>
            <w:szCs w:val="20"/>
          </w:rPr>
          <w:t>Open Government Declaration</w:t>
        </w:r>
      </w:hyperlink>
      <w:r w:rsidRPr="0076503E">
        <w:rPr>
          <w:rStyle w:val="Hyperlink"/>
          <w:rFonts w:ascii="Arial" w:hAnsi="Arial" w:cs="Arial"/>
          <w:sz w:val="20"/>
          <w:szCs w:val="20"/>
        </w:rPr>
        <w:t>.</w:t>
      </w:r>
    </w:p>
    <w:p w14:paraId="5497E80B" w14:textId="77777777" w:rsidR="00E61191" w:rsidRPr="0076503E" w:rsidRDefault="00E61191" w:rsidP="00B96D99">
      <w:pPr>
        <w:tabs>
          <w:tab w:val="left" w:pos="2420"/>
        </w:tabs>
        <w:jc w:val="both"/>
        <w:rPr>
          <w:rFonts w:ascii="Arial" w:hAnsi="Arial" w:cs="Arial"/>
          <w:sz w:val="20"/>
          <w:szCs w:val="20"/>
        </w:rPr>
      </w:pPr>
    </w:p>
    <w:p w14:paraId="420AEC68" w14:textId="1F3DB240" w:rsidR="000846AF" w:rsidRPr="0076503E" w:rsidRDefault="000846AF" w:rsidP="00B96D99">
      <w:pPr>
        <w:tabs>
          <w:tab w:val="left" w:pos="2420"/>
        </w:tabs>
        <w:jc w:val="both"/>
        <w:rPr>
          <w:rStyle w:val="Hyperlink"/>
          <w:rFonts w:ascii="Arial" w:hAnsi="Arial" w:cs="Arial"/>
          <w:iCs/>
          <w:sz w:val="20"/>
          <w:szCs w:val="20"/>
          <w:lang w:val="en-US"/>
        </w:rPr>
      </w:pPr>
      <w:r w:rsidRPr="0076503E">
        <w:rPr>
          <w:rFonts w:ascii="Arial" w:hAnsi="Arial" w:cs="Arial"/>
          <w:sz w:val="20"/>
          <w:szCs w:val="20"/>
        </w:rPr>
        <w:t xml:space="preserve">Organization for Economic Co-operation and Development. (2002). </w:t>
      </w:r>
      <w:hyperlink r:id="rId1561" w:history="1">
        <w:r w:rsidRPr="0076503E">
          <w:rPr>
            <w:rStyle w:val="Hyperlink"/>
            <w:rFonts w:ascii="Arial" w:hAnsi="Arial" w:cs="Arial"/>
            <w:iCs/>
            <w:sz w:val="20"/>
            <w:szCs w:val="20"/>
            <w:lang w:val="en-US"/>
          </w:rPr>
          <w:t>Best Practices for Budget Transparency</w:t>
        </w:r>
      </w:hyperlink>
      <w:r w:rsidRPr="0076503E">
        <w:rPr>
          <w:rStyle w:val="Hyperlink"/>
          <w:rFonts w:ascii="Arial" w:hAnsi="Arial" w:cs="Arial"/>
          <w:iCs/>
          <w:sz w:val="20"/>
          <w:szCs w:val="20"/>
          <w:lang w:val="en-US"/>
        </w:rPr>
        <w:t>.</w:t>
      </w:r>
    </w:p>
    <w:p w14:paraId="1CEBF5DA" w14:textId="039F16BC" w:rsidR="00570165" w:rsidRPr="0076503E" w:rsidRDefault="00570165" w:rsidP="00B96D99">
      <w:pPr>
        <w:tabs>
          <w:tab w:val="left" w:pos="2420"/>
        </w:tabs>
        <w:jc w:val="both"/>
        <w:rPr>
          <w:rStyle w:val="Hyperlink"/>
          <w:rFonts w:ascii="Arial" w:hAnsi="Arial" w:cs="Arial"/>
          <w:iCs/>
          <w:sz w:val="20"/>
          <w:szCs w:val="20"/>
          <w:lang w:val="en-US"/>
        </w:rPr>
      </w:pPr>
    </w:p>
    <w:p w14:paraId="0937CA72" w14:textId="1D2936D7" w:rsidR="00570165" w:rsidRPr="0076503E" w:rsidRDefault="00570165" w:rsidP="00B96D99">
      <w:pPr>
        <w:tabs>
          <w:tab w:val="left" w:pos="2420"/>
        </w:tabs>
        <w:jc w:val="both"/>
        <w:rPr>
          <w:rStyle w:val="Hyperlink"/>
          <w:rFonts w:ascii="Arial" w:hAnsi="Arial" w:cs="Arial"/>
          <w:iCs/>
          <w:sz w:val="20"/>
          <w:szCs w:val="20"/>
          <w:lang w:val="en-US"/>
        </w:rPr>
      </w:pPr>
      <w:r w:rsidRPr="0076503E">
        <w:rPr>
          <w:rFonts w:ascii="Arial" w:hAnsi="Arial" w:cs="Arial"/>
          <w:sz w:val="20"/>
          <w:szCs w:val="20"/>
        </w:rPr>
        <w:t xml:space="preserve">Organization for Economic Co-operation and Development. (2014). </w:t>
      </w:r>
      <w:hyperlink r:id="rId1562" w:history="1">
        <w:r w:rsidRPr="0076503E">
          <w:rPr>
            <w:rStyle w:val="Hyperlink"/>
            <w:rFonts w:ascii="Arial" w:hAnsi="Arial" w:cs="Arial"/>
            <w:bCs/>
            <w:sz w:val="20"/>
            <w:szCs w:val="20"/>
          </w:rPr>
          <w:t>Recommendation of the Council on Principles for Independent Fiscal Institutions</w:t>
        </w:r>
      </w:hyperlink>
      <w:r w:rsidRPr="0076503E">
        <w:rPr>
          <w:rFonts w:ascii="Arial" w:hAnsi="Arial" w:cs="Arial"/>
          <w:sz w:val="20"/>
          <w:szCs w:val="20"/>
        </w:rPr>
        <w:t>.</w:t>
      </w:r>
    </w:p>
    <w:p w14:paraId="41D88868" w14:textId="6AE9701C" w:rsidR="00FE2A7B" w:rsidRPr="0076503E" w:rsidRDefault="00FE2A7B" w:rsidP="00B96D99">
      <w:pPr>
        <w:tabs>
          <w:tab w:val="left" w:pos="2420"/>
        </w:tabs>
        <w:jc w:val="both"/>
        <w:rPr>
          <w:rStyle w:val="Hyperlink"/>
          <w:rFonts w:ascii="Arial" w:hAnsi="Arial" w:cs="Arial"/>
          <w:iCs/>
          <w:sz w:val="20"/>
          <w:szCs w:val="20"/>
          <w:lang w:val="en-US"/>
        </w:rPr>
      </w:pPr>
    </w:p>
    <w:p w14:paraId="187EC455" w14:textId="3E1D315E" w:rsidR="00FE2A7B" w:rsidRPr="0076503E" w:rsidRDefault="00FE2A7B" w:rsidP="00B96D99">
      <w:pPr>
        <w:tabs>
          <w:tab w:val="left" w:pos="2420"/>
        </w:tabs>
        <w:jc w:val="both"/>
        <w:rPr>
          <w:rFonts w:ascii="Arial" w:hAnsi="Arial" w:cs="Arial"/>
          <w:sz w:val="20"/>
          <w:szCs w:val="20"/>
        </w:rPr>
      </w:pPr>
      <w:r w:rsidRPr="0076503E">
        <w:rPr>
          <w:rFonts w:ascii="Arial" w:hAnsi="Arial" w:cs="Arial"/>
          <w:sz w:val="20"/>
          <w:szCs w:val="20"/>
        </w:rPr>
        <w:t xml:space="preserve">Organization for Economic Co-operation and Development. (2015). </w:t>
      </w:r>
      <w:hyperlink r:id="rId1563" w:history="1">
        <w:r w:rsidRPr="0076503E">
          <w:rPr>
            <w:rStyle w:val="Hyperlink"/>
            <w:rFonts w:ascii="Arial" w:hAnsi="Arial" w:cs="Arial"/>
            <w:sz w:val="20"/>
            <w:szCs w:val="20"/>
          </w:rPr>
          <w:t>Recommendation of the Council on Budgetary Governance</w:t>
        </w:r>
      </w:hyperlink>
      <w:r w:rsidRPr="0076503E">
        <w:rPr>
          <w:rFonts w:ascii="Arial" w:hAnsi="Arial" w:cs="Arial"/>
          <w:sz w:val="20"/>
          <w:szCs w:val="20"/>
        </w:rPr>
        <w:t xml:space="preserve">. </w:t>
      </w:r>
    </w:p>
    <w:p w14:paraId="23700FE0" w14:textId="605A00D7" w:rsidR="007C02C7" w:rsidRPr="0076503E" w:rsidRDefault="007C02C7" w:rsidP="00B96D99">
      <w:pPr>
        <w:tabs>
          <w:tab w:val="left" w:pos="2420"/>
        </w:tabs>
        <w:jc w:val="both"/>
        <w:rPr>
          <w:rFonts w:ascii="Arial" w:hAnsi="Arial" w:cs="Arial"/>
          <w:sz w:val="20"/>
          <w:szCs w:val="20"/>
        </w:rPr>
      </w:pPr>
    </w:p>
    <w:p w14:paraId="77DF237A" w14:textId="5F80D306" w:rsidR="007C02C7" w:rsidRPr="0076503E" w:rsidRDefault="007C02C7" w:rsidP="00B96D99">
      <w:pPr>
        <w:tabs>
          <w:tab w:val="left" w:pos="2420"/>
        </w:tabs>
        <w:jc w:val="both"/>
        <w:rPr>
          <w:rFonts w:ascii="Arial" w:hAnsi="Arial" w:cs="Arial"/>
          <w:sz w:val="20"/>
          <w:szCs w:val="20"/>
        </w:rPr>
      </w:pPr>
      <w:r w:rsidRPr="0076503E">
        <w:rPr>
          <w:rFonts w:ascii="Arial" w:hAnsi="Arial" w:cs="Arial"/>
          <w:sz w:val="20"/>
          <w:szCs w:val="20"/>
        </w:rPr>
        <w:t xml:space="preserve">Organization for Economic Co-operation and Development. (2015). </w:t>
      </w:r>
      <w:hyperlink r:id="rId1564" w:history="1">
        <w:r w:rsidRPr="0076503E">
          <w:rPr>
            <w:rStyle w:val="Hyperlink"/>
            <w:rFonts w:ascii="Arial" w:hAnsi="Arial" w:cs="Arial"/>
            <w:sz w:val="20"/>
            <w:szCs w:val="20"/>
          </w:rPr>
          <w:t>Compendium of Good Practices for Integrity in Public Procurement</w:t>
        </w:r>
      </w:hyperlink>
      <w:r w:rsidRPr="0076503E">
        <w:rPr>
          <w:rFonts w:ascii="Arial" w:hAnsi="Arial" w:cs="Arial"/>
          <w:sz w:val="20"/>
          <w:szCs w:val="20"/>
        </w:rPr>
        <w:t>.</w:t>
      </w:r>
    </w:p>
    <w:p w14:paraId="6C2C6D29" w14:textId="6D7C2B39" w:rsidR="00570165" w:rsidRPr="0076503E" w:rsidRDefault="00570165" w:rsidP="00B96D99">
      <w:pPr>
        <w:tabs>
          <w:tab w:val="left" w:pos="2420"/>
        </w:tabs>
        <w:jc w:val="both"/>
        <w:rPr>
          <w:rFonts w:ascii="Arial" w:hAnsi="Arial" w:cs="Arial"/>
          <w:sz w:val="20"/>
          <w:szCs w:val="20"/>
        </w:rPr>
      </w:pPr>
    </w:p>
    <w:p w14:paraId="4F931C46" w14:textId="4F984ED3" w:rsidR="00570165" w:rsidRPr="0076503E" w:rsidRDefault="00570165" w:rsidP="00B96D99">
      <w:pPr>
        <w:tabs>
          <w:tab w:val="left" w:pos="2420"/>
        </w:tabs>
        <w:jc w:val="both"/>
        <w:rPr>
          <w:rStyle w:val="Hyperlink"/>
          <w:rFonts w:ascii="Arial" w:hAnsi="Arial" w:cs="Arial"/>
          <w:iCs/>
          <w:sz w:val="20"/>
          <w:szCs w:val="20"/>
          <w:lang w:val="en-US"/>
        </w:rPr>
      </w:pPr>
      <w:r w:rsidRPr="0076503E">
        <w:rPr>
          <w:rFonts w:ascii="Arial" w:hAnsi="Arial" w:cs="Arial"/>
          <w:sz w:val="20"/>
          <w:szCs w:val="20"/>
        </w:rPr>
        <w:t xml:space="preserve">Organization for Economic Co-operation and Development. (2015). </w:t>
      </w:r>
      <w:hyperlink r:id="rId1565" w:history="1">
        <w:r w:rsidRPr="0076503E">
          <w:rPr>
            <w:rStyle w:val="Hyperlink"/>
            <w:rFonts w:ascii="Arial" w:hAnsi="Arial" w:cs="Arial"/>
            <w:sz w:val="20"/>
            <w:szCs w:val="20"/>
          </w:rPr>
          <w:t>Guidelines on Corporate Governance of State-Owned Enterprises</w:t>
        </w:r>
      </w:hyperlink>
      <w:r w:rsidRPr="0076503E">
        <w:rPr>
          <w:rFonts w:ascii="Arial" w:hAnsi="Arial" w:cs="Arial"/>
          <w:sz w:val="20"/>
          <w:szCs w:val="20"/>
        </w:rPr>
        <w:t>.</w:t>
      </w:r>
    </w:p>
    <w:p w14:paraId="57A96FD6" w14:textId="77777777" w:rsidR="00340613" w:rsidRPr="0076503E" w:rsidRDefault="00340613" w:rsidP="00B96D99">
      <w:pPr>
        <w:tabs>
          <w:tab w:val="left" w:pos="2420"/>
        </w:tabs>
        <w:jc w:val="both"/>
        <w:rPr>
          <w:rFonts w:ascii="Arial" w:hAnsi="Arial" w:cs="Arial"/>
          <w:sz w:val="20"/>
          <w:szCs w:val="20"/>
        </w:rPr>
      </w:pPr>
    </w:p>
    <w:p w14:paraId="4DB3AC8D" w14:textId="6FF20AD8" w:rsidR="007D70D4" w:rsidRPr="0076503E" w:rsidRDefault="007D70D4" w:rsidP="00B96D99">
      <w:pPr>
        <w:jc w:val="both"/>
        <w:rPr>
          <w:rStyle w:val="Hyperlink"/>
          <w:rFonts w:ascii="Arial" w:hAnsi="Arial" w:cs="Arial"/>
          <w:iCs/>
          <w:color w:val="auto"/>
          <w:sz w:val="20"/>
          <w:szCs w:val="20"/>
          <w:u w:val="none"/>
          <w:lang w:val="en-US"/>
        </w:rPr>
      </w:pPr>
      <w:r w:rsidRPr="0076503E">
        <w:rPr>
          <w:rFonts w:ascii="Arial" w:hAnsi="Arial" w:cs="Arial"/>
          <w:sz w:val="20"/>
          <w:szCs w:val="20"/>
        </w:rPr>
        <w:t xml:space="preserve">Organization for Economic Co-operation and Development. (2017). </w:t>
      </w:r>
      <w:hyperlink r:id="rId1566" w:history="1">
        <w:r w:rsidRPr="0076503E">
          <w:rPr>
            <w:rStyle w:val="Hyperlink"/>
            <w:rFonts w:ascii="Arial" w:hAnsi="Arial" w:cs="Arial"/>
            <w:iCs/>
            <w:sz w:val="20"/>
            <w:szCs w:val="20"/>
            <w:lang w:val="en-US"/>
          </w:rPr>
          <w:t>Budget Transparency Toolkit</w:t>
        </w:r>
      </w:hyperlink>
      <w:r w:rsidRPr="0076503E">
        <w:rPr>
          <w:rStyle w:val="Hyperlink"/>
          <w:rFonts w:ascii="Arial" w:hAnsi="Arial" w:cs="Arial"/>
          <w:iCs/>
          <w:color w:val="auto"/>
          <w:sz w:val="20"/>
          <w:szCs w:val="20"/>
          <w:u w:val="none"/>
          <w:lang w:val="en-US"/>
        </w:rPr>
        <w:t>.</w:t>
      </w:r>
    </w:p>
    <w:p w14:paraId="3396E4CC" w14:textId="6BCDC513" w:rsidR="009D3C90" w:rsidRPr="0076503E" w:rsidRDefault="009D3C90" w:rsidP="00B96D99">
      <w:pPr>
        <w:jc w:val="both"/>
        <w:rPr>
          <w:rStyle w:val="Hyperlink"/>
          <w:rFonts w:ascii="Arial" w:hAnsi="Arial" w:cs="Arial"/>
          <w:iCs/>
          <w:color w:val="auto"/>
          <w:sz w:val="20"/>
          <w:szCs w:val="20"/>
          <w:u w:val="none"/>
          <w:lang w:val="en-US"/>
        </w:rPr>
      </w:pPr>
    </w:p>
    <w:p w14:paraId="500E47F0" w14:textId="7220F89D" w:rsidR="009D3C90" w:rsidRPr="0076503E" w:rsidRDefault="009D3C90" w:rsidP="00B96D99">
      <w:pPr>
        <w:jc w:val="both"/>
        <w:rPr>
          <w:rStyle w:val="Hyperlink"/>
          <w:rFonts w:ascii="Arial" w:hAnsi="Arial" w:cs="Arial"/>
          <w:iCs/>
          <w:sz w:val="20"/>
          <w:szCs w:val="20"/>
          <w:lang w:val="en-US"/>
        </w:rPr>
      </w:pPr>
      <w:r w:rsidRPr="0076503E">
        <w:rPr>
          <w:rFonts w:ascii="Arial" w:hAnsi="Arial" w:cs="Arial"/>
          <w:sz w:val="20"/>
          <w:szCs w:val="20"/>
        </w:rPr>
        <w:t xml:space="preserve">Organization for Economic Co-operation and Development. </w:t>
      </w:r>
      <w:hyperlink r:id="rId1567" w:history="1">
        <w:r w:rsidRPr="0076503E">
          <w:rPr>
            <w:rStyle w:val="Hyperlink"/>
            <w:rFonts w:ascii="Arial" w:hAnsi="Arial" w:cs="Arial"/>
            <w:sz w:val="20"/>
            <w:szCs w:val="20"/>
          </w:rPr>
          <w:t>Journal on Budgeting</w:t>
        </w:r>
      </w:hyperlink>
      <w:r w:rsidRPr="0076503E">
        <w:rPr>
          <w:rFonts w:ascii="Arial" w:hAnsi="Arial" w:cs="Arial"/>
          <w:sz w:val="20"/>
          <w:szCs w:val="20"/>
        </w:rPr>
        <w:t>.</w:t>
      </w:r>
    </w:p>
    <w:p w14:paraId="06F8EE99" w14:textId="21321432" w:rsidR="007D70D4" w:rsidRPr="0076503E" w:rsidRDefault="007D70D4" w:rsidP="00B96D99">
      <w:pPr>
        <w:tabs>
          <w:tab w:val="left" w:pos="2420"/>
        </w:tabs>
        <w:jc w:val="both"/>
        <w:rPr>
          <w:rFonts w:ascii="Arial" w:hAnsi="Arial" w:cs="Arial"/>
          <w:sz w:val="20"/>
          <w:szCs w:val="20"/>
        </w:rPr>
      </w:pPr>
    </w:p>
    <w:p w14:paraId="1646273A" w14:textId="276998B3" w:rsidR="00340613" w:rsidRPr="0076503E"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rPr>
        <w:t>Olken</w:t>
      </w:r>
      <w:proofErr w:type="spellEnd"/>
      <w:r w:rsidRPr="0076503E">
        <w:rPr>
          <w:rFonts w:ascii="Arial" w:hAnsi="Arial" w:cs="Arial"/>
          <w:sz w:val="20"/>
          <w:szCs w:val="20"/>
        </w:rPr>
        <w:t>, B. (2007)</w:t>
      </w:r>
      <w:r w:rsidR="00C4427A">
        <w:rPr>
          <w:rFonts w:ascii="Arial" w:hAnsi="Arial" w:cs="Arial"/>
          <w:sz w:val="20"/>
          <w:szCs w:val="20"/>
        </w:rPr>
        <w:t>.</w:t>
      </w:r>
      <w:r w:rsidRPr="0076503E">
        <w:rPr>
          <w:rFonts w:ascii="Arial" w:hAnsi="Arial" w:cs="Arial"/>
          <w:sz w:val="20"/>
          <w:szCs w:val="20"/>
        </w:rPr>
        <w:t xml:space="preserve"> “</w:t>
      </w:r>
      <w:hyperlink r:id="rId1568" w:history="1">
        <w:r w:rsidRPr="0076503E">
          <w:rPr>
            <w:rStyle w:val="Hyperlink"/>
            <w:rFonts w:ascii="Arial" w:hAnsi="Arial" w:cs="Arial"/>
            <w:sz w:val="20"/>
            <w:szCs w:val="20"/>
          </w:rPr>
          <w:t>Monitoring Corruption: Evidence from a Field Experiment in Indonesia</w:t>
        </w:r>
      </w:hyperlink>
      <w:r w:rsidRPr="0076503E">
        <w:rPr>
          <w:rFonts w:ascii="Arial" w:hAnsi="Arial" w:cs="Arial"/>
          <w:sz w:val="20"/>
          <w:szCs w:val="20"/>
        </w:rPr>
        <w:t>”</w:t>
      </w:r>
      <w:r w:rsidR="00A7558E">
        <w:rPr>
          <w:rFonts w:ascii="Arial" w:hAnsi="Arial" w:cs="Arial"/>
          <w:sz w:val="20"/>
          <w:szCs w:val="20"/>
        </w:rPr>
        <w:t>.</w:t>
      </w:r>
      <w:r w:rsidRPr="0076503E">
        <w:rPr>
          <w:rFonts w:ascii="Arial" w:hAnsi="Arial" w:cs="Arial"/>
          <w:sz w:val="20"/>
          <w:szCs w:val="20"/>
        </w:rPr>
        <w:t xml:space="preserve"> Journal of Political Economy, 115(2): 200-249.</w:t>
      </w:r>
    </w:p>
    <w:p w14:paraId="4C34A9A2" w14:textId="54812D12" w:rsidR="00681E50" w:rsidRPr="0076503E" w:rsidRDefault="00681E50" w:rsidP="00B96D99">
      <w:pPr>
        <w:tabs>
          <w:tab w:val="left" w:pos="2420"/>
        </w:tabs>
        <w:jc w:val="both"/>
        <w:rPr>
          <w:rFonts w:ascii="Arial" w:hAnsi="Arial" w:cs="Arial"/>
          <w:sz w:val="20"/>
          <w:szCs w:val="20"/>
        </w:rPr>
      </w:pPr>
    </w:p>
    <w:p w14:paraId="02ADD03E" w14:textId="7B8800CE" w:rsidR="00F92B95" w:rsidRPr="0076503E" w:rsidRDefault="00F92B95" w:rsidP="00B96D99">
      <w:pPr>
        <w:shd w:val="clear" w:color="auto" w:fill="FFFFFF" w:themeFill="background1"/>
        <w:jc w:val="both"/>
        <w:rPr>
          <w:rFonts w:ascii="Arial" w:hAnsi="Arial" w:cs="Arial"/>
          <w:sz w:val="20"/>
          <w:szCs w:val="20"/>
        </w:rPr>
      </w:pPr>
      <w:proofErr w:type="spellStart"/>
      <w:r w:rsidRPr="0076503E">
        <w:rPr>
          <w:rFonts w:ascii="Arial" w:hAnsi="Arial" w:cs="Arial"/>
          <w:sz w:val="20"/>
          <w:szCs w:val="20"/>
        </w:rPr>
        <w:t>ParlAmericas</w:t>
      </w:r>
      <w:proofErr w:type="spellEnd"/>
      <w:r w:rsidRPr="0076503E">
        <w:rPr>
          <w:rFonts w:ascii="Arial" w:hAnsi="Arial" w:cs="Arial"/>
          <w:sz w:val="20"/>
          <w:szCs w:val="20"/>
        </w:rPr>
        <w:t>, IFSD IFPD and GIFT</w:t>
      </w:r>
      <w:r w:rsidR="001C4C41">
        <w:rPr>
          <w:rFonts w:ascii="Arial" w:hAnsi="Arial" w:cs="Arial"/>
          <w:sz w:val="20"/>
          <w:szCs w:val="20"/>
        </w:rPr>
        <w:t>.</w:t>
      </w:r>
      <w:r w:rsidRPr="0076503E">
        <w:rPr>
          <w:rFonts w:ascii="Arial" w:hAnsi="Arial" w:cs="Arial"/>
          <w:sz w:val="20"/>
          <w:szCs w:val="20"/>
        </w:rPr>
        <w:t xml:space="preserve"> (2020). </w:t>
      </w:r>
      <w:hyperlink r:id="rId1569" w:history="1">
        <w:r w:rsidRPr="0076503E">
          <w:rPr>
            <w:rStyle w:val="Hyperlink"/>
            <w:rFonts w:ascii="Arial" w:hAnsi="Arial" w:cs="Arial"/>
            <w:sz w:val="20"/>
            <w:szCs w:val="20"/>
          </w:rPr>
          <w:t>Strengthening Accountability through Fiscal Openness: A Toolkit for Parliamentarians in the Americas and the Caribbean</w:t>
        </w:r>
      </w:hyperlink>
      <w:r w:rsidRPr="0076503E">
        <w:rPr>
          <w:rFonts w:ascii="Arial" w:hAnsi="Arial" w:cs="Arial"/>
          <w:sz w:val="20"/>
          <w:szCs w:val="20"/>
          <w:lang w:val="en-ZA"/>
        </w:rPr>
        <w:t>.</w:t>
      </w:r>
    </w:p>
    <w:p w14:paraId="611A8A67" w14:textId="77777777" w:rsidR="00F92B95" w:rsidRPr="0076503E" w:rsidRDefault="00F92B95" w:rsidP="00B96D99">
      <w:pPr>
        <w:tabs>
          <w:tab w:val="left" w:pos="2420"/>
        </w:tabs>
        <w:jc w:val="both"/>
        <w:rPr>
          <w:rFonts w:ascii="Arial" w:hAnsi="Arial" w:cs="Arial"/>
          <w:sz w:val="20"/>
          <w:szCs w:val="20"/>
        </w:rPr>
      </w:pPr>
    </w:p>
    <w:p w14:paraId="4932FD00" w14:textId="4A941D41" w:rsidR="007877C3" w:rsidRPr="0076503E" w:rsidRDefault="007877C3" w:rsidP="00B96D99">
      <w:pPr>
        <w:tabs>
          <w:tab w:val="left" w:pos="2420"/>
        </w:tabs>
        <w:jc w:val="both"/>
        <w:rPr>
          <w:rFonts w:ascii="Arial" w:hAnsi="Arial" w:cs="Arial"/>
          <w:bCs/>
          <w:sz w:val="20"/>
          <w:szCs w:val="20"/>
        </w:rPr>
      </w:pPr>
      <w:r w:rsidRPr="0076503E">
        <w:rPr>
          <w:rFonts w:ascii="Arial" w:hAnsi="Arial" w:cs="Arial"/>
          <w:bCs/>
          <w:sz w:val="20"/>
          <w:szCs w:val="20"/>
        </w:rPr>
        <w:t>Petrie, M., and Shields, J. (2010). “</w:t>
      </w:r>
      <w:hyperlink r:id="rId1570">
        <w:r w:rsidRPr="0076503E">
          <w:rPr>
            <w:rStyle w:val="Hyperlink"/>
            <w:rFonts w:ascii="Arial" w:hAnsi="Arial" w:cs="Arial"/>
            <w:bCs/>
            <w:sz w:val="20"/>
            <w:szCs w:val="20"/>
          </w:rPr>
          <w:t>Producing a Citizens’ Guide to the Budget: Why, What and How</w:t>
        </w:r>
      </w:hyperlink>
      <w:r w:rsidRPr="0076503E">
        <w:rPr>
          <w:rFonts w:ascii="Arial" w:hAnsi="Arial" w:cs="Arial"/>
          <w:bCs/>
          <w:sz w:val="20"/>
          <w:szCs w:val="20"/>
        </w:rPr>
        <w:t>?”</w:t>
      </w:r>
      <w:r w:rsidR="009C0446">
        <w:rPr>
          <w:rFonts w:ascii="Arial" w:hAnsi="Arial" w:cs="Arial"/>
          <w:bCs/>
          <w:sz w:val="20"/>
          <w:szCs w:val="20"/>
        </w:rPr>
        <w:t>.</w:t>
      </w:r>
      <w:r w:rsidRPr="0076503E">
        <w:rPr>
          <w:rFonts w:ascii="Arial" w:hAnsi="Arial" w:cs="Arial"/>
          <w:bCs/>
          <w:sz w:val="20"/>
          <w:szCs w:val="20"/>
        </w:rPr>
        <w:t xml:space="preserve"> OECD Journal on Budgeting Volume 2010/2</w:t>
      </w:r>
      <w:r w:rsidR="00EB366C" w:rsidRPr="0076503E">
        <w:rPr>
          <w:rFonts w:ascii="Arial" w:hAnsi="Arial" w:cs="Arial"/>
          <w:bCs/>
          <w:sz w:val="20"/>
          <w:szCs w:val="20"/>
        </w:rPr>
        <w:t>.</w:t>
      </w:r>
    </w:p>
    <w:p w14:paraId="343CAF28" w14:textId="77777777" w:rsidR="007877C3" w:rsidRPr="0076503E" w:rsidRDefault="007877C3" w:rsidP="00B96D99">
      <w:pPr>
        <w:tabs>
          <w:tab w:val="left" w:pos="2420"/>
        </w:tabs>
        <w:jc w:val="both"/>
        <w:rPr>
          <w:rFonts w:ascii="Arial" w:hAnsi="Arial" w:cs="Arial"/>
          <w:bCs/>
          <w:sz w:val="20"/>
          <w:szCs w:val="20"/>
        </w:rPr>
      </w:pPr>
    </w:p>
    <w:p w14:paraId="191D23AA" w14:textId="78496F38" w:rsidR="0005399F" w:rsidRPr="0076503E" w:rsidRDefault="0005399F" w:rsidP="00B96D99">
      <w:pPr>
        <w:tabs>
          <w:tab w:val="left" w:pos="2420"/>
        </w:tabs>
        <w:jc w:val="both"/>
        <w:rPr>
          <w:rFonts w:ascii="Arial" w:hAnsi="Arial" w:cs="Arial"/>
          <w:sz w:val="20"/>
          <w:szCs w:val="20"/>
        </w:rPr>
      </w:pPr>
      <w:r w:rsidRPr="0076503E">
        <w:rPr>
          <w:rFonts w:ascii="Arial" w:hAnsi="Arial" w:cs="Arial"/>
          <w:bCs/>
          <w:sz w:val="20"/>
          <w:szCs w:val="20"/>
        </w:rPr>
        <w:t xml:space="preserve">Petrie, M., De </w:t>
      </w:r>
      <w:proofErr w:type="spellStart"/>
      <w:r w:rsidRPr="0076503E">
        <w:rPr>
          <w:rFonts w:ascii="Arial" w:hAnsi="Arial" w:cs="Arial"/>
          <w:bCs/>
          <w:sz w:val="20"/>
          <w:szCs w:val="20"/>
        </w:rPr>
        <w:t>Renzio</w:t>
      </w:r>
      <w:proofErr w:type="spellEnd"/>
      <w:r w:rsidRPr="0076503E">
        <w:rPr>
          <w:rFonts w:ascii="Arial" w:hAnsi="Arial" w:cs="Arial"/>
          <w:bCs/>
          <w:sz w:val="20"/>
          <w:szCs w:val="20"/>
        </w:rPr>
        <w:t>, P., and Moon, S. (2014). “</w:t>
      </w:r>
      <w:hyperlink r:id="rId1571" w:history="1">
        <w:r w:rsidRPr="0076503E">
          <w:rPr>
            <w:rStyle w:val="Hyperlink"/>
            <w:rFonts w:ascii="Arial" w:hAnsi="Arial" w:cs="Arial"/>
            <w:bCs/>
            <w:sz w:val="20"/>
            <w:szCs w:val="20"/>
            <w:lang w:val="en-ZA"/>
          </w:rPr>
          <w:t>The Hidden Corners of Public Finance: A Synthesis of Country Case Studies that Look Beyond the Core Budget</w:t>
        </w:r>
      </w:hyperlink>
      <w:r w:rsidRPr="0076503E">
        <w:rPr>
          <w:rFonts w:ascii="Arial" w:hAnsi="Arial" w:cs="Arial"/>
          <w:bCs/>
          <w:sz w:val="20"/>
          <w:szCs w:val="20"/>
          <w:lang w:val="en-ZA"/>
        </w:rPr>
        <w:t>”. IBP.</w:t>
      </w:r>
    </w:p>
    <w:p w14:paraId="212FE81D" w14:textId="77777777" w:rsidR="0005399F" w:rsidRPr="0076503E" w:rsidRDefault="0005399F" w:rsidP="00B96D99">
      <w:pPr>
        <w:tabs>
          <w:tab w:val="left" w:pos="2420"/>
        </w:tabs>
        <w:jc w:val="both"/>
        <w:rPr>
          <w:rFonts w:ascii="Arial" w:hAnsi="Arial" w:cs="Arial"/>
          <w:sz w:val="20"/>
          <w:szCs w:val="20"/>
        </w:rPr>
      </w:pPr>
    </w:p>
    <w:p w14:paraId="588B4796" w14:textId="0E4CAE04" w:rsidR="00681E50" w:rsidRDefault="00681E50" w:rsidP="00B96D99">
      <w:pPr>
        <w:tabs>
          <w:tab w:val="left" w:pos="2420"/>
        </w:tabs>
        <w:jc w:val="both"/>
        <w:rPr>
          <w:rFonts w:ascii="Arial" w:hAnsi="Arial" w:cs="Arial"/>
          <w:sz w:val="20"/>
          <w:szCs w:val="20"/>
        </w:rPr>
      </w:pPr>
      <w:r w:rsidRPr="0076503E">
        <w:rPr>
          <w:rFonts w:ascii="Arial" w:hAnsi="Arial" w:cs="Arial"/>
          <w:sz w:val="20"/>
          <w:szCs w:val="20"/>
        </w:rPr>
        <w:t>Petrie, M. (2017).</w:t>
      </w:r>
      <w:r w:rsidRPr="0076503E">
        <w:rPr>
          <w:rFonts w:ascii="Arial" w:hAnsi="Arial" w:cs="Arial"/>
          <w:sz w:val="20"/>
          <w:szCs w:val="20"/>
          <w:vertAlign w:val="superscript"/>
        </w:rPr>
        <w:t xml:space="preserve"> “</w:t>
      </w:r>
      <w:hyperlink r:id="rId1572" w:history="1">
        <w:r w:rsidRPr="0076503E">
          <w:rPr>
            <w:rStyle w:val="Hyperlink"/>
            <w:rFonts w:ascii="Arial" w:hAnsi="Arial" w:cs="Arial"/>
            <w:sz w:val="20"/>
            <w:szCs w:val="20"/>
          </w:rPr>
          <w:t>What is public participation in fiscal policy and why is it important</w:t>
        </w:r>
      </w:hyperlink>
      <w:r w:rsidRPr="0076503E">
        <w:rPr>
          <w:rFonts w:ascii="Arial" w:hAnsi="Arial" w:cs="Arial"/>
          <w:sz w:val="20"/>
          <w:szCs w:val="20"/>
        </w:rPr>
        <w:t>”. GIFT Blog.</w:t>
      </w:r>
    </w:p>
    <w:p w14:paraId="2EBC92E4" w14:textId="74FB3567" w:rsidR="001869AA" w:rsidRDefault="001869AA" w:rsidP="00B96D99">
      <w:pPr>
        <w:tabs>
          <w:tab w:val="left" w:pos="2420"/>
        </w:tabs>
        <w:jc w:val="both"/>
        <w:rPr>
          <w:rFonts w:ascii="Arial" w:hAnsi="Arial" w:cs="Arial"/>
          <w:sz w:val="20"/>
          <w:szCs w:val="20"/>
        </w:rPr>
      </w:pPr>
    </w:p>
    <w:p w14:paraId="3AB778D1" w14:textId="51AF5FF4" w:rsidR="001869AA" w:rsidRPr="0076503E" w:rsidRDefault="001869AA" w:rsidP="001869AA">
      <w:pPr>
        <w:shd w:val="clear" w:color="auto" w:fill="FFFFFF" w:themeFill="background1"/>
        <w:tabs>
          <w:tab w:val="left" w:pos="2420"/>
        </w:tabs>
        <w:jc w:val="both"/>
        <w:rPr>
          <w:rFonts w:ascii="Arial" w:hAnsi="Arial" w:cs="Arial"/>
          <w:sz w:val="20"/>
          <w:szCs w:val="20"/>
          <w:lang w:val="en-US"/>
        </w:rPr>
      </w:pPr>
      <w:r>
        <w:rPr>
          <w:rFonts w:ascii="Arial" w:hAnsi="Arial" w:cs="Arial"/>
          <w:sz w:val="20"/>
          <w:szCs w:val="20"/>
        </w:rPr>
        <w:t xml:space="preserve">Petrie, M. </w:t>
      </w:r>
      <w:r w:rsidRPr="0076503E">
        <w:rPr>
          <w:rFonts w:ascii="Arial" w:hAnsi="Arial" w:cs="Arial"/>
          <w:sz w:val="20"/>
          <w:szCs w:val="20"/>
        </w:rPr>
        <w:t xml:space="preserve">(2018). </w:t>
      </w:r>
      <w:r>
        <w:rPr>
          <w:rFonts w:ascii="Arial" w:hAnsi="Arial" w:cs="Arial"/>
          <w:sz w:val="20"/>
          <w:szCs w:val="20"/>
        </w:rPr>
        <w:t>“</w:t>
      </w:r>
      <w:hyperlink r:id="rId1573" w:history="1">
        <w:r w:rsidRPr="0076503E">
          <w:rPr>
            <w:rStyle w:val="Hyperlink"/>
            <w:rFonts w:ascii="Arial" w:hAnsi="Arial" w:cs="Arial"/>
            <w:sz w:val="20"/>
            <w:szCs w:val="20"/>
            <w:lang w:val="en-US"/>
          </w:rPr>
          <w:t>Expanded Version of the High-Level Principles on Fiscal Transparency, Participation and Accountability</w:t>
        </w:r>
      </w:hyperlink>
      <w:r>
        <w:rPr>
          <w:rStyle w:val="Hyperlink"/>
          <w:rFonts w:ascii="Arial" w:hAnsi="Arial" w:cs="Arial"/>
          <w:sz w:val="20"/>
          <w:szCs w:val="20"/>
          <w:lang w:val="en-US"/>
        </w:rPr>
        <w:t>”</w:t>
      </w:r>
      <w:r w:rsidRPr="0076503E">
        <w:rPr>
          <w:rFonts w:ascii="Arial" w:hAnsi="Arial" w:cs="Arial"/>
          <w:sz w:val="20"/>
          <w:szCs w:val="20"/>
          <w:lang w:val="en-US"/>
        </w:rPr>
        <w:t>.</w:t>
      </w:r>
      <w:r w:rsidRPr="001869AA">
        <w:rPr>
          <w:rFonts w:ascii="Arial" w:hAnsi="Arial" w:cs="Arial"/>
          <w:sz w:val="20"/>
          <w:szCs w:val="20"/>
        </w:rPr>
        <w:t xml:space="preserve"> </w:t>
      </w:r>
      <w:r w:rsidRPr="0076503E">
        <w:rPr>
          <w:rFonts w:ascii="Arial" w:hAnsi="Arial" w:cs="Arial"/>
          <w:sz w:val="20"/>
          <w:szCs w:val="20"/>
        </w:rPr>
        <w:t>G</w:t>
      </w:r>
      <w:r>
        <w:rPr>
          <w:rFonts w:ascii="Arial" w:hAnsi="Arial" w:cs="Arial"/>
          <w:sz w:val="20"/>
          <w:szCs w:val="20"/>
        </w:rPr>
        <w:t>IFT</w:t>
      </w:r>
      <w:r w:rsidRPr="0076503E">
        <w:rPr>
          <w:rFonts w:ascii="Arial" w:hAnsi="Arial" w:cs="Arial"/>
          <w:sz w:val="20"/>
          <w:szCs w:val="20"/>
        </w:rPr>
        <w:t>.</w:t>
      </w:r>
    </w:p>
    <w:p w14:paraId="643C98DE" w14:textId="77777777" w:rsidR="001869AA" w:rsidRPr="0076503E" w:rsidRDefault="001869AA" w:rsidP="00B96D99">
      <w:pPr>
        <w:tabs>
          <w:tab w:val="left" w:pos="2420"/>
        </w:tabs>
        <w:jc w:val="both"/>
        <w:rPr>
          <w:rFonts w:ascii="Arial" w:hAnsi="Arial" w:cs="Arial"/>
          <w:sz w:val="20"/>
          <w:szCs w:val="20"/>
        </w:rPr>
      </w:pPr>
    </w:p>
    <w:p w14:paraId="40008DD8" w14:textId="77777777" w:rsidR="00355A2E" w:rsidRPr="0076503E" w:rsidRDefault="00355A2E" w:rsidP="00B96D99">
      <w:pPr>
        <w:tabs>
          <w:tab w:val="left" w:pos="2420"/>
        </w:tabs>
        <w:jc w:val="both"/>
        <w:rPr>
          <w:rFonts w:ascii="Arial" w:hAnsi="Arial" w:cs="Arial"/>
          <w:sz w:val="20"/>
          <w:szCs w:val="20"/>
          <w:lang w:val="en-ZA"/>
        </w:rPr>
      </w:pPr>
      <w:proofErr w:type="spellStart"/>
      <w:r w:rsidRPr="0076503E">
        <w:rPr>
          <w:rFonts w:ascii="Arial" w:hAnsi="Arial" w:cs="Arial"/>
          <w:sz w:val="20"/>
          <w:szCs w:val="20"/>
        </w:rPr>
        <w:t>Piatti</w:t>
      </w:r>
      <w:proofErr w:type="spellEnd"/>
      <w:r w:rsidRPr="0076503E">
        <w:rPr>
          <w:rFonts w:ascii="Arial" w:hAnsi="Arial" w:cs="Arial"/>
          <w:sz w:val="20"/>
          <w:szCs w:val="20"/>
        </w:rPr>
        <w:t>, M., Hashim, A., and Wescott, C.G. (2017). “</w:t>
      </w:r>
      <w:hyperlink r:id="rId1574" w:history="1">
        <w:r w:rsidRPr="0076503E">
          <w:rPr>
            <w:rStyle w:val="Hyperlink"/>
            <w:rFonts w:ascii="Arial" w:hAnsi="Arial" w:cs="Arial"/>
            <w:sz w:val="20"/>
            <w:szCs w:val="20"/>
          </w:rPr>
          <w:t>Using Financial Management Information Systems (FMIS) for Fiscal Control: Applying a Risk-Based Approach for Early Results in the Reform Process</w:t>
        </w:r>
      </w:hyperlink>
      <w:r w:rsidRPr="0076503E">
        <w:rPr>
          <w:rFonts w:ascii="Arial" w:hAnsi="Arial" w:cs="Arial"/>
          <w:sz w:val="20"/>
          <w:szCs w:val="20"/>
        </w:rPr>
        <w:t>”. SSRN.</w:t>
      </w:r>
    </w:p>
    <w:p w14:paraId="0BBF88C5" w14:textId="77777777" w:rsidR="00355A2E" w:rsidRPr="0076503E" w:rsidRDefault="00355A2E" w:rsidP="00B96D99">
      <w:pPr>
        <w:tabs>
          <w:tab w:val="left" w:pos="2420"/>
        </w:tabs>
        <w:jc w:val="both"/>
        <w:rPr>
          <w:rFonts w:ascii="Arial" w:hAnsi="Arial" w:cs="Arial"/>
          <w:sz w:val="20"/>
          <w:szCs w:val="20"/>
        </w:rPr>
      </w:pPr>
    </w:p>
    <w:p w14:paraId="5065625C" w14:textId="7335959B" w:rsidR="005D0450" w:rsidRPr="0076503E" w:rsidRDefault="005D0450" w:rsidP="00B96D99">
      <w:pPr>
        <w:tabs>
          <w:tab w:val="left" w:pos="2420"/>
        </w:tabs>
        <w:jc w:val="both"/>
        <w:rPr>
          <w:rFonts w:ascii="Arial" w:hAnsi="Arial" w:cs="Arial"/>
          <w:sz w:val="20"/>
          <w:szCs w:val="20"/>
          <w:lang w:val="en-ZA"/>
        </w:rPr>
      </w:pPr>
      <w:proofErr w:type="spellStart"/>
      <w:r w:rsidRPr="0076503E">
        <w:rPr>
          <w:rFonts w:ascii="Arial" w:hAnsi="Arial" w:cs="Arial"/>
          <w:sz w:val="20"/>
          <w:szCs w:val="20"/>
          <w:lang w:val="en-ZA"/>
        </w:rPr>
        <w:t>Pimenta</w:t>
      </w:r>
      <w:proofErr w:type="spellEnd"/>
      <w:r w:rsidRPr="0076503E">
        <w:rPr>
          <w:rFonts w:ascii="Arial" w:hAnsi="Arial" w:cs="Arial"/>
          <w:sz w:val="20"/>
          <w:szCs w:val="20"/>
          <w:lang w:val="en-ZA"/>
        </w:rPr>
        <w:t>, C., and Pessoa, M. (2015). “</w:t>
      </w:r>
      <w:hyperlink r:id="rId1575" w:history="1">
        <w:r w:rsidRPr="0076503E">
          <w:rPr>
            <w:rStyle w:val="Hyperlink"/>
            <w:rFonts w:ascii="Arial" w:hAnsi="Arial" w:cs="Arial"/>
            <w:sz w:val="20"/>
            <w:szCs w:val="20"/>
            <w:lang w:val="en-ZA"/>
          </w:rPr>
          <w:t>Public Financial Management in Latin America: The Key to Efficiency and Transparency</w:t>
        </w:r>
      </w:hyperlink>
      <w:r w:rsidRPr="0076503E">
        <w:rPr>
          <w:rFonts w:ascii="Arial" w:hAnsi="Arial" w:cs="Arial"/>
          <w:sz w:val="20"/>
          <w:szCs w:val="20"/>
          <w:lang w:val="en-ZA"/>
        </w:rPr>
        <w:t>”.  Inter-American Development Bank.</w:t>
      </w:r>
    </w:p>
    <w:p w14:paraId="69B941A9" w14:textId="2B90351C" w:rsidR="00EA1916" w:rsidRPr="0076503E" w:rsidRDefault="00EA1916" w:rsidP="00B96D99">
      <w:pPr>
        <w:tabs>
          <w:tab w:val="left" w:pos="2420"/>
        </w:tabs>
        <w:jc w:val="both"/>
        <w:rPr>
          <w:rFonts w:ascii="Arial" w:hAnsi="Arial" w:cs="Arial"/>
          <w:sz w:val="20"/>
          <w:szCs w:val="20"/>
          <w:lang w:val="en-ZA"/>
        </w:rPr>
      </w:pPr>
    </w:p>
    <w:p w14:paraId="44A29018" w14:textId="77777777" w:rsidR="00EA1916" w:rsidRPr="0076503E" w:rsidRDefault="00EA1916" w:rsidP="00B96D99">
      <w:pPr>
        <w:tabs>
          <w:tab w:val="left" w:pos="2420"/>
        </w:tabs>
        <w:jc w:val="both"/>
        <w:rPr>
          <w:rFonts w:ascii="Arial" w:hAnsi="Arial" w:cs="Arial"/>
          <w:sz w:val="20"/>
          <w:szCs w:val="20"/>
          <w:lang w:val="en-ZA"/>
        </w:rPr>
      </w:pPr>
      <w:r w:rsidRPr="0076503E">
        <w:rPr>
          <w:rFonts w:ascii="Arial" w:hAnsi="Arial" w:cs="Arial"/>
          <w:sz w:val="20"/>
          <w:szCs w:val="20"/>
          <w:lang w:val="en-ZA"/>
        </w:rPr>
        <w:t>Pritchett, L., Woolcock, M., and Andrews, A. (2010). “</w:t>
      </w:r>
      <w:hyperlink r:id="rId1576" w:history="1">
        <w:r w:rsidRPr="0076503E">
          <w:rPr>
            <w:rStyle w:val="Hyperlink"/>
            <w:rFonts w:ascii="Arial" w:hAnsi="Arial" w:cs="Arial"/>
            <w:sz w:val="20"/>
            <w:szCs w:val="20"/>
            <w:lang w:val="en-ZA"/>
          </w:rPr>
          <w:t>Capability traps? The mechanisms of persistent implementation failure</w:t>
        </w:r>
      </w:hyperlink>
      <w:r w:rsidRPr="0076503E">
        <w:rPr>
          <w:rFonts w:ascii="Arial" w:hAnsi="Arial" w:cs="Arial"/>
          <w:sz w:val="20"/>
          <w:szCs w:val="20"/>
          <w:lang w:val="en-ZA"/>
        </w:rPr>
        <w:t xml:space="preserve">”. </w:t>
      </w:r>
      <w:proofErr w:type="spellStart"/>
      <w:r w:rsidRPr="0076503E">
        <w:rPr>
          <w:rFonts w:ascii="Arial" w:hAnsi="Arial" w:cs="Arial"/>
          <w:sz w:val="20"/>
          <w:szCs w:val="20"/>
          <w:lang w:val="en-ZA"/>
        </w:rPr>
        <w:t>Center</w:t>
      </w:r>
      <w:proofErr w:type="spellEnd"/>
      <w:r w:rsidRPr="0076503E">
        <w:rPr>
          <w:rFonts w:ascii="Arial" w:hAnsi="Arial" w:cs="Arial"/>
          <w:sz w:val="20"/>
          <w:szCs w:val="20"/>
          <w:lang w:val="en-ZA"/>
        </w:rPr>
        <w:t xml:space="preserve"> for Global Development.</w:t>
      </w:r>
    </w:p>
    <w:p w14:paraId="1F7BD3A9" w14:textId="77777777" w:rsidR="005D0450" w:rsidRPr="0076503E" w:rsidRDefault="005D0450" w:rsidP="00B96D99">
      <w:pPr>
        <w:tabs>
          <w:tab w:val="left" w:pos="2420"/>
        </w:tabs>
        <w:jc w:val="both"/>
        <w:rPr>
          <w:rFonts w:ascii="Arial" w:hAnsi="Arial" w:cs="Arial"/>
          <w:sz w:val="20"/>
          <w:szCs w:val="20"/>
        </w:rPr>
      </w:pPr>
    </w:p>
    <w:p w14:paraId="0BD97212" w14:textId="511E4293" w:rsidR="007D70D4" w:rsidRPr="0076503E" w:rsidRDefault="000846AF" w:rsidP="00B96D99">
      <w:pPr>
        <w:tabs>
          <w:tab w:val="left" w:pos="2420"/>
        </w:tabs>
        <w:jc w:val="both"/>
        <w:rPr>
          <w:rFonts w:ascii="Arial" w:hAnsi="Arial" w:cs="Arial"/>
          <w:sz w:val="20"/>
          <w:szCs w:val="20"/>
        </w:rPr>
      </w:pPr>
      <w:r w:rsidRPr="0076503E">
        <w:rPr>
          <w:rFonts w:ascii="Arial" w:hAnsi="Arial" w:cs="Arial"/>
          <w:sz w:val="20"/>
          <w:szCs w:val="20"/>
        </w:rPr>
        <w:t>Public Expenditure and Financial Accountability</w:t>
      </w:r>
      <w:r w:rsidR="00EA1916" w:rsidRPr="0076503E">
        <w:rPr>
          <w:rFonts w:ascii="Arial" w:hAnsi="Arial" w:cs="Arial"/>
          <w:sz w:val="20"/>
          <w:szCs w:val="20"/>
        </w:rPr>
        <w:t xml:space="preserve"> Secretariat</w:t>
      </w:r>
      <w:r w:rsidRPr="0076503E">
        <w:rPr>
          <w:rFonts w:ascii="Arial" w:hAnsi="Arial" w:cs="Arial"/>
          <w:sz w:val="20"/>
          <w:szCs w:val="20"/>
        </w:rPr>
        <w:t xml:space="preserve">. (2016). </w:t>
      </w:r>
      <w:hyperlink r:id="rId1577" w:history="1">
        <w:r w:rsidRPr="0076503E">
          <w:rPr>
            <w:rStyle w:val="Hyperlink"/>
            <w:rFonts w:ascii="Arial" w:hAnsi="Arial" w:cs="Arial"/>
            <w:sz w:val="20"/>
            <w:szCs w:val="20"/>
          </w:rPr>
          <w:t>Framework for assessing public financial management</w:t>
        </w:r>
      </w:hyperlink>
      <w:r w:rsidRPr="0076503E">
        <w:rPr>
          <w:rFonts w:ascii="Arial" w:hAnsi="Arial" w:cs="Arial"/>
          <w:sz w:val="20"/>
          <w:szCs w:val="20"/>
        </w:rPr>
        <w:t xml:space="preserve">. </w:t>
      </w:r>
    </w:p>
    <w:p w14:paraId="08D9B7B6" w14:textId="2B072975" w:rsidR="001A00F8" w:rsidRPr="0076503E" w:rsidRDefault="001A00F8" w:rsidP="00B96D99">
      <w:pPr>
        <w:tabs>
          <w:tab w:val="left" w:pos="2420"/>
        </w:tabs>
        <w:jc w:val="both"/>
        <w:rPr>
          <w:rFonts w:ascii="Arial" w:hAnsi="Arial" w:cs="Arial"/>
          <w:sz w:val="20"/>
          <w:szCs w:val="20"/>
        </w:rPr>
      </w:pPr>
    </w:p>
    <w:p w14:paraId="3B255CE5" w14:textId="2A9A3D43" w:rsidR="00EA1916" w:rsidRPr="0076503E" w:rsidRDefault="00EA1916" w:rsidP="00B96D99">
      <w:pPr>
        <w:tabs>
          <w:tab w:val="left" w:pos="2420"/>
        </w:tabs>
        <w:jc w:val="both"/>
        <w:rPr>
          <w:rFonts w:ascii="Arial" w:hAnsi="Arial" w:cs="Arial"/>
          <w:sz w:val="20"/>
          <w:szCs w:val="20"/>
        </w:rPr>
      </w:pPr>
      <w:r w:rsidRPr="0076503E">
        <w:rPr>
          <w:rFonts w:ascii="Arial" w:hAnsi="Arial" w:cs="Arial"/>
          <w:sz w:val="20"/>
          <w:szCs w:val="20"/>
        </w:rPr>
        <w:t xml:space="preserve">Public Expenditure and Financial Accountability Secretariat. (2018). </w:t>
      </w:r>
      <w:hyperlink r:id="rId1578" w:history="1">
        <w:r w:rsidRPr="0076503E">
          <w:rPr>
            <w:rStyle w:val="Hyperlink"/>
            <w:rFonts w:ascii="Arial" w:hAnsi="Arial" w:cs="Arial"/>
            <w:sz w:val="20"/>
            <w:szCs w:val="20"/>
          </w:rPr>
          <w:t>STOCKTAKE OF PFM DIAGNOSTIC TOOLS 2016</w:t>
        </w:r>
      </w:hyperlink>
      <w:r w:rsidRPr="0076503E">
        <w:rPr>
          <w:rFonts w:ascii="Arial" w:hAnsi="Arial" w:cs="Arial"/>
          <w:sz w:val="20"/>
          <w:szCs w:val="20"/>
        </w:rPr>
        <w:t>.</w:t>
      </w:r>
    </w:p>
    <w:p w14:paraId="1542AF0B" w14:textId="6AA85E8D" w:rsidR="00EA1916" w:rsidRPr="0076503E" w:rsidRDefault="00EA1916" w:rsidP="00B96D99">
      <w:pPr>
        <w:tabs>
          <w:tab w:val="left" w:pos="2420"/>
        </w:tabs>
        <w:jc w:val="both"/>
        <w:rPr>
          <w:rFonts w:ascii="Arial" w:hAnsi="Arial" w:cs="Arial"/>
          <w:sz w:val="20"/>
          <w:szCs w:val="20"/>
        </w:rPr>
      </w:pPr>
    </w:p>
    <w:p w14:paraId="0D2B0DFD" w14:textId="6DF83BA8" w:rsidR="00EA1916" w:rsidRPr="0076503E" w:rsidRDefault="00EA1916" w:rsidP="00B96D99">
      <w:pPr>
        <w:tabs>
          <w:tab w:val="left" w:pos="2420"/>
        </w:tabs>
        <w:jc w:val="both"/>
        <w:rPr>
          <w:rFonts w:ascii="Arial" w:hAnsi="Arial" w:cs="Arial"/>
          <w:sz w:val="20"/>
          <w:szCs w:val="20"/>
        </w:rPr>
      </w:pPr>
      <w:r w:rsidRPr="0076503E">
        <w:rPr>
          <w:rFonts w:ascii="Arial" w:hAnsi="Arial" w:cs="Arial"/>
          <w:sz w:val="20"/>
          <w:szCs w:val="20"/>
        </w:rPr>
        <w:t xml:space="preserve">Public Expenditure and Financial Accountability Secretariat. (2018). </w:t>
      </w:r>
      <w:hyperlink r:id="rId1579" w:history="1">
        <w:r w:rsidRPr="0076503E">
          <w:rPr>
            <w:rStyle w:val="Hyperlink"/>
            <w:rFonts w:ascii="Arial" w:hAnsi="Arial" w:cs="Arial"/>
            <w:sz w:val="20"/>
            <w:szCs w:val="20"/>
          </w:rPr>
          <w:t>A Guide to PFM Diagnostic Tools</w:t>
        </w:r>
      </w:hyperlink>
      <w:r w:rsidR="00EB366C" w:rsidRPr="0076503E">
        <w:rPr>
          <w:rFonts w:ascii="Arial" w:hAnsi="Arial" w:cs="Arial"/>
          <w:sz w:val="20"/>
          <w:szCs w:val="20"/>
        </w:rPr>
        <w:t>.</w:t>
      </w:r>
    </w:p>
    <w:p w14:paraId="7E75A3DE" w14:textId="77777777" w:rsidR="00EA1916" w:rsidRPr="0076503E" w:rsidRDefault="00EA1916" w:rsidP="00B96D99">
      <w:pPr>
        <w:tabs>
          <w:tab w:val="left" w:pos="2420"/>
        </w:tabs>
        <w:jc w:val="both"/>
        <w:rPr>
          <w:rFonts w:ascii="Arial" w:hAnsi="Arial" w:cs="Arial"/>
          <w:sz w:val="20"/>
          <w:szCs w:val="20"/>
        </w:rPr>
      </w:pPr>
    </w:p>
    <w:p w14:paraId="4CCE2B52" w14:textId="352F26C1" w:rsidR="001A00F8" w:rsidRPr="0076503E" w:rsidRDefault="001A00F8" w:rsidP="00B96D99">
      <w:pPr>
        <w:tabs>
          <w:tab w:val="left" w:pos="2420"/>
        </w:tabs>
        <w:jc w:val="both"/>
        <w:rPr>
          <w:rFonts w:ascii="Arial" w:hAnsi="Arial" w:cs="Arial"/>
          <w:sz w:val="20"/>
          <w:szCs w:val="20"/>
        </w:rPr>
      </w:pPr>
      <w:r w:rsidRPr="0076503E">
        <w:rPr>
          <w:rFonts w:ascii="Arial" w:hAnsi="Arial" w:cs="Arial"/>
          <w:sz w:val="20"/>
          <w:szCs w:val="20"/>
        </w:rPr>
        <w:t>Public Expenditure and Financial Accountability</w:t>
      </w:r>
      <w:r w:rsidR="00EA1916" w:rsidRPr="0076503E">
        <w:rPr>
          <w:rFonts w:ascii="Arial" w:hAnsi="Arial" w:cs="Arial"/>
          <w:sz w:val="20"/>
          <w:szCs w:val="20"/>
        </w:rPr>
        <w:t xml:space="preserve"> Secretariat</w:t>
      </w:r>
      <w:r w:rsidRPr="0076503E">
        <w:rPr>
          <w:rFonts w:ascii="Arial" w:hAnsi="Arial" w:cs="Arial"/>
          <w:sz w:val="20"/>
          <w:szCs w:val="20"/>
        </w:rPr>
        <w:t xml:space="preserve">. (2020). </w:t>
      </w:r>
      <w:hyperlink r:id="rId1580" w:history="1">
        <w:r w:rsidRPr="0076503E">
          <w:rPr>
            <w:rStyle w:val="Hyperlink"/>
            <w:rFonts w:ascii="Arial" w:hAnsi="Arial" w:cs="Arial"/>
            <w:sz w:val="20"/>
            <w:szCs w:val="20"/>
          </w:rPr>
          <w:t>Using PEFA to Support Public Financial Management Improvement: PEFA Handbook Volume IV</w:t>
        </w:r>
      </w:hyperlink>
      <w:r w:rsidRPr="0076503E">
        <w:rPr>
          <w:rFonts w:ascii="Arial" w:hAnsi="Arial" w:cs="Arial"/>
          <w:sz w:val="20"/>
          <w:szCs w:val="20"/>
        </w:rPr>
        <w:t>.</w:t>
      </w:r>
    </w:p>
    <w:p w14:paraId="11C175B1" w14:textId="77777777" w:rsidR="007D70D4" w:rsidRPr="0076503E" w:rsidRDefault="007D70D4" w:rsidP="00B96D99">
      <w:pPr>
        <w:tabs>
          <w:tab w:val="left" w:pos="2420"/>
        </w:tabs>
        <w:jc w:val="both"/>
        <w:rPr>
          <w:rFonts w:ascii="Arial" w:hAnsi="Arial" w:cs="Arial"/>
          <w:sz w:val="20"/>
          <w:szCs w:val="20"/>
        </w:rPr>
      </w:pPr>
    </w:p>
    <w:p w14:paraId="0FE7D40D" w14:textId="69EEB66A" w:rsidR="00340613"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rPr>
        <w:t>Reinikka</w:t>
      </w:r>
      <w:proofErr w:type="spellEnd"/>
      <w:r w:rsidRPr="0076503E">
        <w:rPr>
          <w:rFonts w:ascii="Arial" w:hAnsi="Arial" w:cs="Arial"/>
          <w:sz w:val="20"/>
          <w:szCs w:val="20"/>
        </w:rPr>
        <w:t xml:space="preserve">, R., and </w:t>
      </w:r>
      <w:proofErr w:type="spellStart"/>
      <w:r w:rsidRPr="0076503E">
        <w:rPr>
          <w:rFonts w:ascii="Arial" w:hAnsi="Arial" w:cs="Arial"/>
          <w:sz w:val="20"/>
          <w:szCs w:val="20"/>
        </w:rPr>
        <w:t>Svensson</w:t>
      </w:r>
      <w:proofErr w:type="spellEnd"/>
      <w:r w:rsidRPr="0076503E">
        <w:rPr>
          <w:rFonts w:ascii="Arial" w:hAnsi="Arial" w:cs="Arial"/>
          <w:sz w:val="20"/>
          <w:szCs w:val="20"/>
        </w:rPr>
        <w:t>, J. (2011). "</w:t>
      </w:r>
      <w:hyperlink r:id="rId1581" w:history="1">
        <w:r w:rsidRPr="0076503E">
          <w:rPr>
            <w:rStyle w:val="Hyperlink"/>
            <w:rFonts w:ascii="Arial" w:hAnsi="Arial" w:cs="Arial"/>
            <w:sz w:val="20"/>
            <w:szCs w:val="20"/>
          </w:rPr>
          <w:t>The Power of Information in Public Services: Evidence from Education in Uganda</w:t>
        </w:r>
      </w:hyperlink>
      <w:r w:rsidRPr="0076503E">
        <w:rPr>
          <w:rFonts w:ascii="Arial" w:hAnsi="Arial" w:cs="Arial"/>
          <w:sz w:val="20"/>
          <w:szCs w:val="20"/>
        </w:rPr>
        <w:t>"</w:t>
      </w:r>
      <w:r w:rsidR="00C43CF0">
        <w:rPr>
          <w:rFonts w:ascii="Arial" w:hAnsi="Arial" w:cs="Arial"/>
          <w:sz w:val="20"/>
          <w:szCs w:val="20"/>
        </w:rPr>
        <w:t>.</w:t>
      </w:r>
      <w:r w:rsidRPr="0076503E">
        <w:rPr>
          <w:rFonts w:ascii="Arial" w:hAnsi="Arial" w:cs="Arial"/>
          <w:sz w:val="20"/>
          <w:szCs w:val="20"/>
        </w:rPr>
        <w:t xml:space="preserve"> Journal of Public Economics 95(7-8): 956-966.</w:t>
      </w:r>
    </w:p>
    <w:p w14:paraId="05D8FD0B" w14:textId="148C1BA5" w:rsidR="00825895" w:rsidRDefault="00825895" w:rsidP="00B96D99">
      <w:pPr>
        <w:tabs>
          <w:tab w:val="left" w:pos="2420"/>
        </w:tabs>
        <w:jc w:val="both"/>
        <w:rPr>
          <w:rFonts w:ascii="Arial" w:hAnsi="Arial" w:cs="Arial"/>
          <w:sz w:val="20"/>
          <w:szCs w:val="20"/>
        </w:rPr>
      </w:pPr>
    </w:p>
    <w:p w14:paraId="629912AE" w14:textId="5000F81E" w:rsidR="00825895" w:rsidRPr="0076503E" w:rsidRDefault="00825895" w:rsidP="00825895">
      <w:pPr>
        <w:shd w:val="clear" w:color="auto" w:fill="FFFFFF" w:themeFill="background1"/>
        <w:tabs>
          <w:tab w:val="left" w:pos="2420"/>
        </w:tabs>
        <w:jc w:val="both"/>
        <w:rPr>
          <w:rFonts w:ascii="Arial" w:hAnsi="Arial" w:cs="Arial"/>
          <w:sz w:val="20"/>
          <w:szCs w:val="20"/>
        </w:rPr>
      </w:pPr>
      <w:r w:rsidRPr="00825895">
        <w:rPr>
          <w:rFonts w:ascii="Arial" w:hAnsi="Arial" w:cs="Arial"/>
          <w:sz w:val="20"/>
          <w:szCs w:val="20"/>
        </w:rPr>
        <w:t>Rivero del Paso, L.</w:t>
      </w:r>
      <w:r>
        <w:rPr>
          <w:rFonts w:ascii="Arial" w:hAnsi="Arial" w:cs="Arial"/>
          <w:sz w:val="20"/>
          <w:szCs w:val="20"/>
        </w:rPr>
        <w:t xml:space="preserve"> </w:t>
      </w:r>
      <w:r w:rsidRPr="0076503E">
        <w:rPr>
          <w:rFonts w:ascii="Arial" w:hAnsi="Arial" w:cs="Arial"/>
          <w:sz w:val="20"/>
          <w:szCs w:val="20"/>
        </w:rPr>
        <w:t xml:space="preserve">(2020). </w:t>
      </w:r>
      <w:r>
        <w:rPr>
          <w:rFonts w:ascii="Arial" w:hAnsi="Arial" w:cs="Arial"/>
          <w:sz w:val="20"/>
          <w:szCs w:val="20"/>
        </w:rPr>
        <w:t>“</w:t>
      </w:r>
      <w:hyperlink r:id="rId1582" w:history="1">
        <w:r w:rsidRPr="00321D8D">
          <w:rPr>
            <w:rStyle w:val="Hyperlink"/>
            <w:rFonts w:ascii="Arial" w:hAnsi="Arial" w:cs="Arial"/>
            <w:sz w:val="20"/>
            <w:szCs w:val="20"/>
            <w:lang w:val="en-ZA"/>
          </w:rPr>
          <w:t>Fiscal Data for Emergency Response: Guide for COVID-19 Version 1.1</w:t>
        </w:r>
      </w:hyperlink>
      <w:r w:rsidRPr="00321D8D">
        <w:rPr>
          <w:rStyle w:val="Hyperlink"/>
          <w:rFonts w:ascii="Arial" w:hAnsi="Arial" w:cs="Arial"/>
          <w:color w:val="auto"/>
          <w:sz w:val="20"/>
          <w:szCs w:val="20"/>
          <w:u w:val="none"/>
        </w:rPr>
        <w:t>”</w:t>
      </w:r>
      <w:r w:rsidRPr="00321D8D">
        <w:rPr>
          <w:rFonts w:ascii="Arial" w:hAnsi="Arial" w:cs="Arial"/>
          <w:sz w:val="20"/>
          <w:szCs w:val="20"/>
        </w:rPr>
        <w:t>.</w:t>
      </w:r>
      <w:r w:rsidRPr="00825895">
        <w:rPr>
          <w:rFonts w:ascii="Arial" w:hAnsi="Arial" w:cs="Arial"/>
          <w:sz w:val="20"/>
          <w:szCs w:val="20"/>
        </w:rPr>
        <w:t xml:space="preserve"> </w:t>
      </w:r>
      <w:r>
        <w:rPr>
          <w:rFonts w:ascii="Arial" w:hAnsi="Arial" w:cs="Arial"/>
          <w:sz w:val="20"/>
          <w:szCs w:val="20"/>
        </w:rPr>
        <w:t>GIFT</w:t>
      </w:r>
      <w:r w:rsidRPr="0076503E">
        <w:rPr>
          <w:rFonts w:ascii="Arial" w:hAnsi="Arial" w:cs="Arial"/>
          <w:sz w:val="20"/>
          <w:szCs w:val="20"/>
        </w:rPr>
        <w:t>.</w:t>
      </w:r>
    </w:p>
    <w:p w14:paraId="7CD20381" w14:textId="0630C5E6" w:rsidR="007064B9" w:rsidRPr="0076503E" w:rsidRDefault="007064B9" w:rsidP="00B96D99">
      <w:pPr>
        <w:tabs>
          <w:tab w:val="left" w:pos="2420"/>
        </w:tabs>
        <w:jc w:val="both"/>
        <w:rPr>
          <w:rFonts w:ascii="Arial" w:hAnsi="Arial" w:cs="Arial"/>
          <w:sz w:val="20"/>
          <w:szCs w:val="20"/>
        </w:rPr>
      </w:pPr>
    </w:p>
    <w:p w14:paraId="06A31BDA" w14:textId="77777777" w:rsidR="007064B9" w:rsidRPr="0076503E" w:rsidRDefault="007064B9" w:rsidP="00B96D99">
      <w:pPr>
        <w:tabs>
          <w:tab w:val="left" w:pos="2420"/>
        </w:tabs>
        <w:jc w:val="both"/>
        <w:rPr>
          <w:rFonts w:ascii="Arial" w:hAnsi="Arial" w:cs="Arial"/>
          <w:sz w:val="20"/>
          <w:szCs w:val="20"/>
        </w:rPr>
      </w:pPr>
      <w:r w:rsidRPr="0076503E">
        <w:rPr>
          <w:rFonts w:ascii="Arial" w:hAnsi="Arial" w:cs="Arial"/>
          <w:sz w:val="20"/>
          <w:szCs w:val="20"/>
        </w:rPr>
        <w:t>Rivero del Paso, L., and Guerrero, J.P. (2020). “</w:t>
      </w:r>
      <w:hyperlink r:id="rId1583" w:history="1">
        <w:r w:rsidRPr="0076503E">
          <w:rPr>
            <w:rStyle w:val="Hyperlink"/>
            <w:rFonts w:ascii="Arial" w:hAnsi="Arial" w:cs="Arial"/>
            <w:sz w:val="20"/>
            <w:szCs w:val="20"/>
            <w:lang w:val="en-ZA"/>
          </w:rPr>
          <w:t>Fiscal Data for Emergency Response: Guide for COVID-19</w:t>
        </w:r>
      </w:hyperlink>
      <w:r w:rsidRPr="0076503E">
        <w:rPr>
          <w:rFonts w:ascii="Arial" w:hAnsi="Arial" w:cs="Arial"/>
          <w:sz w:val="20"/>
          <w:szCs w:val="20"/>
          <w:lang w:val="en-US"/>
        </w:rPr>
        <w:t>”.</w:t>
      </w:r>
      <w:r w:rsidRPr="0076503E">
        <w:rPr>
          <w:rFonts w:ascii="Arial" w:hAnsi="Arial" w:cs="Arial"/>
          <w:sz w:val="20"/>
          <w:szCs w:val="20"/>
        </w:rPr>
        <w:t xml:space="preserve"> GIFT Blog.</w:t>
      </w:r>
    </w:p>
    <w:p w14:paraId="7FB830DC" w14:textId="650E17E5" w:rsidR="00F92B95" w:rsidRPr="0076503E" w:rsidRDefault="00F92B95" w:rsidP="00B96D99">
      <w:pPr>
        <w:tabs>
          <w:tab w:val="left" w:pos="2420"/>
        </w:tabs>
        <w:jc w:val="both"/>
        <w:rPr>
          <w:rFonts w:ascii="Arial" w:hAnsi="Arial" w:cs="Arial"/>
          <w:sz w:val="20"/>
          <w:szCs w:val="20"/>
        </w:rPr>
      </w:pPr>
    </w:p>
    <w:p w14:paraId="12B7BF51" w14:textId="1648EDA6" w:rsidR="00F92B95" w:rsidRPr="0076503E" w:rsidRDefault="00F92B95" w:rsidP="00B96D99">
      <w:pPr>
        <w:tabs>
          <w:tab w:val="left" w:pos="2420"/>
        </w:tabs>
        <w:jc w:val="both"/>
        <w:rPr>
          <w:rFonts w:ascii="Arial" w:hAnsi="Arial" w:cs="Arial"/>
          <w:sz w:val="20"/>
          <w:szCs w:val="20"/>
        </w:rPr>
      </w:pPr>
      <w:r w:rsidRPr="0076503E">
        <w:rPr>
          <w:rFonts w:ascii="Arial" w:hAnsi="Arial" w:cs="Arial"/>
          <w:sz w:val="20"/>
          <w:szCs w:val="20"/>
        </w:rPr>
        <w:t>Ross, J. (2018). “</w:t>
      </w:r>
      <w:hyperlink r:id="rId1584" w:history="1">
        <w:r w:rsidRPr="0076503E">
          <w:rPr>
            <w:rStyle w:val="Hyperlink"/>
            <w:rFonts w:ascii="Arial" w:hAnsi="Arial" w:cs="Arial"/>
            <w:sz w:val="20"/>
            <w:szCs w:val="20"/>
          </w:rPr>
          <w:t>Evaluating tax expenditures</w:t>
        </w:r>
        <w:r w:rsidR="006315BC">
          <w:rPr>
            <w:rStyle w:val="Hyperlink"/>
            <w:rFonts w:ascii="Arial" w:hAnsi="Arial" w:cs="Arial"/>
            <w:sz w:val="20"/>
            <w:szCs w:val="20"/>
          </w:rPr>
          <w:t>-</w:t>
        </w:r>
        <w:r w:rsidRPr="0076503E">
          <w:rPr>
            <w:rStyle w:val="Hyperlink"/>
            <w:rFonts w:ascii="Arial" w:hAnsi="Arial" w:cs="Arial"/>
            <w:sz w:val="20"/>
            <w:szCs w:val="20"/>
          </w:rPr>
          <w:t xml:space="preserve"> A framework for Civil Society Researchers</w:t>
        </w:r>
      </w:hyperlink>
      <w:r w:rsidRPr="0076503E">
        <w:rPr>
          <w:rFonts w:ascii="Arial" w:hAnsi="Arial" w:cs="Arial"/>
          <w:sz w:val="20"/>
          <w:szCs w:val="20"/>
        </w:rPr>
        <w:t>”</w:t>
      </w:r>
      <w:r w:rsidR="00A563A7">
        <w:rPr>
          <w:rFonts w:ascii="Arial" w:hAnsi="Arial" w:cs="Arial"/>
          <w:sz w:val="20"/>
          <w:szCs w:val="20"/>
        </w:rPr>
        <w:t>.</w:t>
      </w:r>
      <w:r w:rsidRPr="0076503E">
        <w:rPr>
          <w:rFonts w:ascii="Arial" w:hAnsi="Arial" w:cs="Arial"/>
          <w:sz w:val="20"/>
          <w:szCs w:val="20"/>
        </w:rPr>
        <w:t xml:space="preserve"> IBP.</w:t>
      </w:r>
    </w:p>
    <w:p w14:paraId="71190DFB" w14:textId="4D9DF7EE" w:rsidR="00056805" w:rsidRPr="0076503E" w:rsidRDefault="00056805" w:rsidP="00B96D99">
      <w:pPr>
        <w:tabs>
          <w:tab w:val="left" w:pos="2420"/>
        </w:tabs>
        <w:jc w:val="both"/>
        <w:rPr>
          <w:rFonts w:ascii="Arial" w:hAnsi="Arial" w:cs="Arial"/>
          <w:sz w:val="20"/>
          <w:szCs w:val="20"/>
        </w:rPr>
      </w:pPr>
    </w:p>
    <w:p w14:paraId="51361A57" w14:textId="0022A72C" w:rsidR="00056805" w:rsidRPr="0076503E" w:rsidRDefault="00056805" w:rsidP="00B96D99">
      <w:pPr>
        <w:tabs>
          <w:tab w:val="left" w:pos="2420"/>
        </w:tabs>
        <w:jc w:val="both"/>
        <w:rPr>
          <w:rFonts w:ascii="Arial" w:hAnsi="Arial" w:cs="Arial"/>
          <w:bCs/>
          <w:sz w:val="20"/>
          <w:szCs w:val="20"/>
        </w:rPr>
      </w:pPr>
      <w:proofErr w:type="spellStart"/>
      <w:r w:rsidRPr="0076503E">
        <w:rPr>
          <w:rFonts w:ascii="Arial" w:hAnsi="Arial" w:cs="Arial"/>
          <w:sz w:val="20"/>
          <w:szCs w:val="20"/>
          <w:lang w:val="en-US"/>
        </w:rPr>
        <w:t>Rudiger</w:t>
      </w:r>
      <w:proofErr w:type="spellEnd"/>
      <w:r w:rsidRPr="0076503E">
        <w:rPr>
          <w:rFonts w:ascii="Arial" w:hAnsi="Arial" w:cs="Arial"/>
          <w:sz w:val="20"/>
          <w:szCs w:val="20"/>
          <w:lang w:val="en-US"/>
        </w:rPr>
        <w:t>, A. (2018). “</w:t>
      </w:r>
      <w:hyperlink r:id="rId1585" w:history="1">
        <w:r w:rsidRPr="0076503E">
          <w:rPr>
            <w:rStyle w:val="Hyperlink"/>
            <w:rFonts w:ascii="Arial" w:hAnsi="Arial" w:cs="Arial"/>
            <w:bCs/>
            <w:sz w:val="20"/>
            <w:szCs w:val="20"/>
            <w:lang w:val="en-ZA"/>
          </w:rPr>
          <w:t xml:space="preserve">State of the Field Review: Fiscal Transparency and Accountability: </w:t>
        </w:r>
        <w:r w:rsidRPr="0076503E">
          <w:rPr>
            <w:rStyle w:val="Hyperlink"/>
            <w:rFonts w:ascii="Arial" w:hAnsi="Arial" w:cs="Arial"/>
            <w:bCs/>
            <w:sz w:val="20"/>
            <w:szCs w:val="20"/>
            <w:lang w:val="en-US"/>
          </w:rPr>
          <w:t>Research Note for the Fiscal Futures’ Scenario Planning Workshops</w:t>
        </w:r>
      </w:hyperlink>
      <w:r w:rsidRPr="0076503E">
        <w:rPr>
          <w:rFonts w:ascii="Arial" w:hAnsi="Arial" w:cs="Arial"/>
          <w:bCs/>
          <w:sz w:val="20"/>
          <w:szCs w:val="20"/>
          <w:lang w:val="en-ZA"/>
        </w:rPr>
        <w:t>”</w:t>
      </w:r>
      <w:r w:rsidRPr="0076503E">
        <w:rPr>
          <w:rFonts w:ascii="Arial" w:hAnsi="Arial" w:cs="Arial"/>
          <w:bCs/>
          <w:sz w:val="20"/>
          <w:szCs w:val="20"/>
          <w:lang w:val="en-US"/>
        </w:rPr>
        <w:t xml:space="preserve">. </w:t>
      </w:r>
      <w:r w:rsidRPr="0076503E">
        <w:rPr>
          <w:rFonts w:ascii="Arial" w:hAnsi="Arial" w:cs="Arial"/>
          <w:bCs/>
          <w:sz w:val="20"/>
          <w:szCs w:val="20"/>
        </w:rPr>
        <w:t>Carnegie Endowment of International Peace, the IBP and the Transparency and Accountability Initiative.</w:t>
      </w:r>
    </w:p>
    <w:p w14:paraId="4C73F616" w14:textId="10181271" w:rsidR="00E175B0" w:rsidRPr="0076503E" w:rsidRDefault="00E175B0" w:rsidP="00B96D99">
      <w:pPr>
        <w:tabs>
          <w:tab w:val="left" w:pos="2420"/>
        </w:tabs>
        <w:jc w:val="both"/>
        <w:rPr>
          <w:rFonts w:ascii="Arial" w:hAnsi="Arial" w:cs="Arial"/>
          <w:bCs/>
          <w:sz w:val="20"/>
          <w:szCs w:val="20"/>
        </w:rPr>
      </w:pPr>
    </w:p>
    <w:p w14:paraId="3AC07FCA" w14:textId="746F73CB" w:rsidR="00742566" w:rsidRPr="0076503E" w:rsidRDefault="00742566" w:rsidP="00742566">
      <w:pPr>
        <w:shd w:val="clear" w:color="auto" w:fill="FFFFFF" w:themeFill="background1"/>
        <w:tabs>
          <w:tab w:val="left" w:pos="2420"/>
        </w:tabs>
        <w:jc w:val="both"/>
        <w:rPr>
          <w:rFonts w:ascii="Arial" w:hAnsi="Arial" w:cs="Arial"/>
          <w:sz w:val="20"/>
          <w:szCs w:val="20"/>
        </w:rPr>
      </w:pPr>
      <w:r>
        <w:rPr>
          <w:rFonts w:ascii="Arial" w:hAnsi="Arial" w:cs="Arial"/>
          <w:sz w:val="20"/>
          <w:szCs w:val="20"/>
        </w:rPr>
        <w:t xml:space="preserve">Sanchez, T. and Guerrero, J.P. </w:t>
      </w:r>
      <w:r w:rsidRPr="0076503E">
        <w:rPr>
          <w:rFonts w:ascii="Arial" w:hAnsi="Arial" w:cs="Arial"/>
          <w:sz w:val="20"/>
          <w:szCs w:val="20"/>
        </w:rPr>
        <w:t xml:space="preserve">(2016). </w:t>
      </w:r>
      <w:r>
        <w:rPr>
          <w:rFonts w:ascii="Arial" w:hAnsi="Arial" w:cs="Arial"/>
          <w:sz w:val="20"/>
          <w:szCs w:val="20"/>
        </w:rPr>
        <w:t>“</w:t>
      </w:r>
      <w:hyperlink r:id="rId1586" w:history="1">
        <w:r w:rsidRPr="00834DEF">
          <w:rPr>
            <w:rStyle w:val="Hyperlink"/>
            <w:rFonts w:ascii="Arial" w:hAnsi="Arial" w:cs="Arial"/>
            <w:bCs/>
            <w:sz w:val="20"/>
            <w:szCs w:val="20"/>
          </w:rPr>
          <w:t>Guide on Principles and Mechanisms on Public Participation in Fiscal Policy</w:t>
        </w:r>
      </w:hyperlink>
      <w:r>
        <w:rPr>
          <w:rStyle w:val="CommentReference"/>
        </w:rPr>
        <w:t>”</w:t>
      </w:r>
      <w:r w:rsidRPr="0076503E">
        <w:rPr>
          <w:rFonts w:ascii="Arial" w:hAnsi="Arial" w:cs="Arial"/>
          <w:sz w:val="20"/>
          <w:szCs w:val="20"/>
        </w:rPr>
        <w:t>.</w:t>
      </w:r>
      <w:r w:rsidRPr="00742566">
        <w:rPr>
          <w:rFonts w:ascii="Arial" w:hAnsi="Arial" w:cs="Arial"/>
          <w:sz w:val="20"/>
          <w:szCs w:val="20"/>
        </w:rPr>
        <w:t xml:space="preserve"> </w:t>
      </w:r>
      <w:r>
        <w:rPr>
          <w:rFonts w:ascii="Arial" w:hAnsi="Arial" w:cs="Arial"/>
          <w:sz w:val="20"/>
          <w:szCs w:val="20"/>
        </w:rPr>
        <w:t>GIFT</w:t>
      </w:r>
      <w:r w:rsidRPr="0076503E">
        <w:rPr>
          <w:rFonts w:ascii="Arial" w:hAnsi="Arial" w:cs="Arial"/>
          <w:sz w:val="20"/>
          <w:szCs w:val="20"/>
        </w:rPr>
        <w:t xml:space="preserve"> and Open Government Partnership.</w:t>
      </w:r>
    </w:p>
    <w:p w14:paraId="094A2C6A" w14:textId="77777777" w:rsidR="00742566" w:rsidRDefault="00742566" w:rsidP="00B96D99">
      <w:pPr>
        <w:tabs>
          <w:tab w:val="left" w:pos="2420"/>
        </w:tabs>
        <w:jc w:val="both"/>
        <w:rPr>
          <w:rFonts w:ascii="Arial" w:hAnsi="Arial" w:cs="Arial"/>
          <w:bCs/>
          <w:sz w:val="20"/>
          <w:szCs w:val="20"/>
          <w:lang w:val="en-US"/>
        </w:rPr>
      </w:pPr>
    </w:p>
    <w:p w14:paraId="06883FF0" w14:textId="0C0079B8" w:rsidR="00E175B0" w:rsidRPr="0076503E" w:rsidRDefault="00E175B0" w:rsidP="00B96D99">
      <w:pPr>
        <w:tabs>
          <w:tab w:val="left" w:pos="2420"/>
        </w:tabs>
        <w:jc w:val="both"/>
        <w:rPr>
          <w:rFonts w:ascii="Arial" w:hAnsi="Arial" w:cs="Arial"/>
          <w:bCs/>
          <w:sz w:val="20"/>
          <w:szCs w:val="20"/>
        </w:rPr>
      </w:pPr>
      <w:proofErr w:type="spellStart"/>
      <w:r w:rsidRPr="0076503E">
        <w:rPr>
          <w:rFonts w:ascii="Arial" w:hAnsi="Arial" w:cs="Arial"/>
          <w:bCs/>
          <w:sz w:val="20"/>
          <w:szCs w:val="20"/>
          <w:lang w:val="en-US"/>
        </w:rPr>
        <w:t>Sarr</w:t>
      </w:r>
      <w:proofErr w:type="spellEnd"/>
      <w:r w:rsidRPr="0076503E">
        <w:rPr>
          <w:rFonts w:ascii="Arial" w:hAnsi="Arial" w:cs="Arial"/>
          <w:bCs/>
          <w:sz w:val="20"/>
          <w:szCs w:val="20"/>
          <w:lang w:val="en-US"/>
        </w:rPr>
        <w:t>, B. (2014). “</w:t>
      </w:r>
      <w:hyperlink r:id="rId1587" w:history="1">
        <w:r w:rsidRPr="0076503E">
          <w:rPr>
            <w:rStyle w:val="Hyperlink"/>
            <w:rFonts w:ascii="Arial" w:hAnsi="Arial" w:cs="Arial"/>
            <w:bCs/>
            <w:sz w:val="20"/>
            <w:szCs w:val="20"/>
            <w:lang w:val="en-US"/>
          </w:rPr>
          <w:t>Are New PFM Reforms in the WAEMU and the CEMAC Working? Lessons from the Open Budget Survey</w:t>
        </w:r>
      </w:hyperlink>
      <w:r w:rsidRPr="0076503E">
        <w:rPr>
          <w:rFonts w:ascii="Arial" w:hAnsi="Arial" w:cs="Arial"/>
          <w:bCs/>
          <w:sz w:val="20"/>
          <w:szCs w:val="20"/>
          <w:lang w:val="en-US"/>
        </w:rPr>
        <w:t>”. IBP.</w:t>
      </w:r>
    </w:p>
    <w:p w14:paraId="403D4C6A" w14:textId="77777777" w:rsidR="00056805" w:rsidRPr="0076503E" w:rsidRDefault="00056805" w:rsidP="00B96D99">
      <w:pPr>
        <w:tabs>
          <w:tab w:val="left" w:pos="2420"/>
        </w:tabs>
        <w:jc w:val="both"/>
        <w:rPr>
          <w:rFonts w:ascii="Arial" w:hAnsi="Arial" w:cs="Arial"/>
          <w:sz w:val="20"/>
          <w:szCs w:val="20"/>
        </w:rPr>
      </w:pPr>
    </w:p>
    <w:p w14:paraId="629BA164" w14:textId="360E637A" w:rsidR="00340613" w:rsidRPr="0076503E"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lang w:val="en-ZA"/>
        </w:rPr>
        <w:t>Sarr</w:t>
      </w:r>
      <w:proofErr w:type="spellEnd"/>
      <w:r w:rsidRPr="0076503E">
        <w:rPr>
          <w:rFonts w:ascii="Arial" w:hAnsi="Arial" w:cs="Arial"/>
          <w:sz w:val="20"/>
          <w:szCs w:val="20"/>
          <w:lang w:val="en-ZA"/>
        </w:rPr>
        <w:t>, B. (2015). “</w:t>
      </w:r>
      <w:hyperlink r:id="rId1588" w:history="1">
        <w:r w:rsidRPr="0076503E">
          <w:rPr>
            <w:rStyle w:val="Hyperlink"/>
            <w:rFonts w:ascii="Arial" w:hAnsi="Arial" w:cs="Arial"/>
            <w:sz w:val="20"/>
            <w:szCs w:val="20"/>
            <w:lang w:val="en"/>
          </w:rPr>
          <w:t>Credibility and Reliability of Government Budgets: Does Fiscal Transparency Matter</w:t>
        </w:r>
      </w:hyperlink>
      <w:r w:rsidRPr="0076503E">
        <w:rPr>
          <w:rStyle w:val="Hyperlink"/>
          <w:rFonts w:ascii="Arial" w:hAnsi="Arial" w:cs="Arial"/>
          <w:sz w:val="20"/>
          <w:szCs w:val="20"/>
          <w:lang w:val="en"/>
        </w:rPr>
        <w:t>?</w:t>
      </w:r>
      <w:r w:rsidRPr="0076503E">
        <w:rPr>
          <w:rFonts w:ascii="Arial" w:hAnsi="Arial" w:cs="Arial"/>
          <w:sz w:val="20"/>
          <w:szCs w:val="20"/>
        </w:rPr>
        <w:t xml:space="preserve">”. </w:t>
      </w:r>
      <w:r w:rsidR="00EB366C" w:rsidRPr="0076503E">
        <w:rPr>
          <w:rFonts w:ascii="Arial" w:hAnsi="Arial" w:cs="Arial"/>
          <w:sz w:val="20"/>
          <w:szCs w:val="20"/>
        </w:rPr>
        <w:t>IBP.</w:t>
      </w:r>
    </w:p>
    <w:p w14:paraId="44D290AA" w14:textId="35685725" w:rsidR="00056805" w:rsidRPr="0076503E" w:rsidRDefault="00056805" w:rsidP="00B96D99">
      <w:pPr>
        <w:tabs>
          <w:tab w:val="left" w:pos="2420"/>
        </w:tabs>
        <w:jc w:val="both"/>
        <w:rPr>
          <w:rFonts w:ascii="Arial" w:hAnsi="Arial" w:cs="Arial"/>
          <w:sz w:val="20"/>
          <w:szCs w:val="20"/>
        </w:rPr>
      </w:pPr>
    </w:p>
    <w:p w14:paraId="7EE3F14B" w14:textId="0396B11F" w:rsidR="00056805" w:rsidRPr="0076503E" w:rsidRDefault="00056805" w:rsidP="00B96D99">
      <w:pPr>
        <w:tabs>
          <w:tab w:val="left" w:pos="2420"/>
        </w:tabs>
        <w:jc w:val="both"/>
        <w:rPr>
          <w:rFonts w:ascii="Arial" w:hAnsi="Arial" w:cs="Arial"/>
          <w:sz w:val="20"/>
          <w:szCs w:val="20"/>
        </w:rPr>
      </w:pPr>
      <w:proofErr w:type="spellStart"/>
      <w:r w:rsidRPr="0076503E">
        <w:rPr>
          <w:rFonts w:ascii="Arial" w:hAnsi="Arial" w:cs="Arial"/>
          <w:sz w:val="20"/>
          <w:szCs w:val="20"/>
        </w:rPr>
        <w:t>Sarr</w:t>
      </w:r>
      <w:proofErr w:type="spellEnd"/>
      <w:r w:rsidRPr="0076503E">
        <w:rPr>
          <w:rFonts w:ascii="Arial" w:hAnsi="Arial" w:cs="Arial"/>
          <w:sz w:val="20"/>
          <w:szCs w:val="20"/>
        </w:rPr>
        <w:t>, B., and Friedman, J. (2016). “</w:t>
      </w:r>
      <w:hyperlink r:id="rId1589" w:history="1">
        <w:r w:rsidRPr="0076503E">
          <w:rPr>
            <w:rStyle w:val="Hyperlink"/>
            <w:rFonts w:ascii="Arial" w:hAnsi="Arial" w:cs="Arial"/>
            <w:sz w:val="20"/>
            <w:szCs w:val="20"/>
          </w:rPr>
          <w:t>The Road to 61: Achieving Sufficient Levels of Budget Transparency</w:t>
        </w:r>
      </w:hyperlink>
      <w:r w:rsidRPr="0076503E">
        <w:rPr>
          <w:rFonts w:ascii="Arial" w:hAnsi="Arial" w:cs="Arial"/>
          <w:sz w:val="20"/>
          <w:szCs w:val="20"/>
        </w:rPr>
        <w:t>”. IBP.</w:t>
      </w:r>
    </w:p>
    <w:p w14:paraId="71918381" w14:textId="4E31DDC0" w:rsidR="00756C3A" w:rsidRPr="0076503E" w:rsidRDefault="00756C3A" w:rsidP="00B96D99">
      <w:pPr>
        <w:tabs>
          <w:tab w:val="left" w:pos="2420"/>
        </w:tabs>
        <w:jc w:val="both"/>
        <w:rPr>
          <w:rFonts w:ascii="Arial" w:hAnsi="Arial" w:cs="Arial"/>
          <w:sz w:val="20"/>
          <w:szCs w:val="20"/>
        </w:rPr>
      </w:pPr>
    </w:p>
    <w:p w14:paraId="5F41EEE7" w14:textId="77777777" w:rsidR="00756C3A" w:rsidRPr="0076503E" w:rsidRDefault="00756C3A" w:rsidP="00B96D99">
      <w:pPr>
        <w:tabs>
          <w:tab w:val="left" w:pos="2420"/>
        </w:tabs>
        <w:jc w:val="both"/>
        <w:rPr>
          <w:rFonts w:ascii="Arial" w:hAnsi="Arial" w:cs="Arial"/>
          <w:sz w:val="20"/>
          <w:szCs w:val="20"/>
          <w:lang w:val="en-ZA"/>
        </w:rPr>
      </w:pPr>
      <w:r w:rsidRPr="0076503E">
        <w:rPr>
          <w:rFonts w:ascii="Arial" w:hAnsi="Arial" w:cs="Arial"/>
          <w:sz w:val="20"/>
          <w:szCs w:val="20"/>
          <w:lang w:val="en-ZA"/>
        </w:rPr>
        <w:lastRenderedPageBreak/>
        <w:t>Schick, A. (2013). “</w:t>
      </w:r>
      <w:hyperlink r:id="rId1590" w:history="1">
        <w:r w:rsidRPr="0076503E">
          <w:rPr>
            <w:rStyle w:val="Hyperlink"/>
            <w:rFonts w:ascii="Arial" w:hAnsi="Arial" w:cs="Arial"/>
            <w:sz w:val="20"/>
            <w:szCs w:val="20"/>
            <w:lang w:val="en-ZA"/>
          </w:rPr>
          <w:t>Reflections on Two Decades of Public Financial Management Reforms</w:t>
        </w:r>
      </w:hyperlink>
      <w:r w:rsidRPr="0076503E">
        <w:rPr>
          <w:rFonts w:ascii="Arial" w:hAnsi="Arial" w:cs="Arial"/>
          <w:sz w:val="20"/>
          <w:szCs w:val="20"/>
          <w:lang w:val="en-ZA"/>
        </w:rPr>
        <w:t>”. Chapter 1 in “</w:t>
      </w:r>
      <w:hyperlink r:id="rId1591" w:history="1">
        <w:r w:rsidRPr="0076503E">
          <w:rPr>
            <w:rStyle w:val="Hyperlink"/>
            <w:rFonts w:ascii="Arial" w:hAnsi="Arial" w:cs="Arial"/>
            <w:sz w:val="20"/>
            <w:szCs w:val="20"/>
            <w:lang w:val="en-ZA"/>
          </w:rPr>
          <w:t>Public Financial Management and Its Emerging Architecture</w:t>
        </w:r>
      </w:hyperlink>
      <w:r w:rsidRPr="0076503E">
        <w:rPr>
          <w:rFonts w:ascii="Arial" w:hAnsi="Arial" w:cs="Arial"/>
          <w:sz w:val="20"/>
          <w:szCs w:val="20"/>
          <w:lang w:val="en-ZA"/>
        </w:rPr>
        <w:t>”. IMF.</w:t>
      </w:r>
    </w:p>
    <w:p w14:paraId="66DC8579" w14:textId="77777777" w:rsidR="00340613" w:rsidRPr="0076503E" w:rsidRDefault="00340613" w:rsidP="00B96D99">
      <w:pPr>
        <w:tabs>
          <w:tab w:val="left" w:pos="2420"/>
        </w:tabs>
        <w:jc w:val="both"/>
        <w:rPr>
          <w:rFonts w:ascii="Arial" w:hAnsi="Arial" w:cs="Arial"/>
          <w:sz w:val="20"/>
          <w:szCs w:val="20"/>
        </w:rPr>
      </w:pPr>
    </w:p>
    <w:p w14:paraId="19247803" w14:textId="341292C9" w:rsidR="00340613" w:rsidRPr="0076503E" w:rsidRDefault="00340613" w:rsidP="00B96D99">
      <w:pPr>
        <w:tabs>
          <w:tab w:val="left" w:pos="2420"/>
        </w:tabs>
        <w:jc w:val="both"/>
        <w:rPr>
          <w:rFonts w:ascii="Arial" w:hAnsi="Arial" w:cs="Arial"/>
          <w:sz w:val="20"/>
          <w:szCs w:val="20"/>
        </w:rPr>
      </w:pPr>
      <w:r w:rsidRPr="0076503E">
        <w:rPr>
          <w:rFonts w:ascii="Arial" w:hAnsi="Arial" w:cs="Arial"/>
          <w:sz w:val="20"/>
          <w:szCs w:val="20"/>
        </w:rPr>
        <w:t xml:space="preserve">Sjoberg, F., Mellon, J., Peixoto, T., </w:t>
      </w:r>
      <w:proofErr w:type="spellStart"/>
      <w:r w:rsidRPr="0076503E">
        <w:rPr>
          <w:rFonts w:ascii="Arial" w:hAnsi="Arial" w:cs="Arial"/>
          <w:sz w:val="20"/>
          <w:szCs w:val="20"/>
        </w:rPr>
        <w:t>Hemker</w:t>
      </w:r>
      <w:proofErr w:type="spellEnd"/>
      <w:r w:rsidRPr="0076503E">
        <w:rPr>
          <w:rFonts w:ascii="Arial" w:hAnsi="Arial" w:cs="Arial"/>
          <w:sz w:val="20"/>
          <w:szCs w:val="20"/>
        </w:rPr>
        <w:t>, J., and Tsai, L. (2019). “</w:t>
      </w:r>
      <w:hyperlink r:id="rId1592" w:history="1">
        <w:r w:rsidRPr="0076503E">
          <w:rPr>
            <w:rStyle w:val="Hyperlink"/>
            <w:rFonts w:ascii="Arial" w:hAnsi="Arial" w:cs="Arial"/>
            <w:sz w:val="20"/>
            <w:szCs w:val="20"/>
          </w:rPr>
          <w:t>Voice and punishment: A global survey experiment on tax morale</w:t>
        </w:r>
      </w:hyperlink>
      <w:r w:rsidRPr="0076503E">
        <w:rPr>
          <w:rFonts w:ascii="Arial" w:hAnsi="Arial" w:cs="Arial"/>
          <w:sz w:val="20"/>
          <w:szCs w:val="20"/>
        </w:rPr>
        <w:t>”</w:t>
      </w:r>
      <w:r w:rsidR="00A45F6B">
        <w:rPr>
          <w:rFonts w:ascii="Arial" w:hAnsi="Arial" w:cs="Arial"/>
          <w:sz w:val="20"/>
          <w:szCs w:val="20"/>
        </w:rPr>
        <w:t>.</w:t>
      </w:r>
      <w:r w:rsidRPr="0076503E">
        <w:rPr>
          <w:rFonts w:ascii="Arial" w:hAnsi="Arial" w:cs="Arial"/>
          <w:sz w:val="20"/>
          <w:szCs w:val="20"/>
        </w:rPr>
        <w:t xml:space="preserve"> World Bank Policy Research Working Paper 8855.</w:t>
      </w:r>
    </w:p>
    <w:p w14:paraId="65ED14D7" w14:textId="77777777" w:rsidR="00F92B95" w:rsidRPr="0076503E" w:rsidRDefault="00F92B95" w:rsidP="00B96D99">
      <w:pPr>
        <w:tabs>
          <w:tab w:val="left" w:pos="2420"/>
        </w:tabs>
        <w:jc w:val="both"/>
        <w:rPr>
          <w:rFonts w:ascii="Arial" w:hAnsi="Arial" w:cs="Arial"/>
          <w:sz w:val="20"/>
          <w:szCs w:val="20"/>
        </w:rPr>
      </w:pPr>
    </w:p>
    <w:p w14:paraId="0DA3C98D" w14:textId="77777777" w:rsidR="00F92B95" w:rsidRPr="0076503E" w:rsidRDefault="00F92B95" w:rsidP="00B96D99">
      <w:pPr>
        <w:tabs>
          <w:tab w:val="left" w:pos="2420"/>
        </w:tabs>
        <w:jc w:val="both"/>
        <w:rPr>
          <w:rFonts w:ascii="Arial" w:hAnsi="Arial" w:cs="Arial"/>
          <w:sz w:val="20"/>
          <w:szCs w:val="20"/>
          <w:lang w:val="en-US"/>
        </w:rPr>
      </w:pPr>
      <w:r w:rsidRPr="0076503E">
        <w:rPr>
          <w:rFonts w:ascii="Arial" w:hAnsi="Arial" w:cs="Arial"/>
          <w:sz w:val="20"/>
          <w:szCs w:val="20"/>
          <w:lang w:val="en-US"/>
        </w:rPr>
        <w:t xml:space="preserve">South African Government. (1996). </w:t>
      </w:r>
      <w:hyperlink r:id="rId1593" w:history="1">
        <w:r w:rsidRPr="0076503E">
          <w:rPr>
            <w:rStyle w:val="Hyperlink"/>
            <w:rFonts w:ascii="Arial" w:hAnsi="Arial" w:cs="Arial"/>
            <w:sz w:val="20"/>
            <w:szCs w:val="20"/>
            <w:lang w:val="en-US"/>
          </w:rPr>
          <w:t>Constitution</w:t>
        </w:r>
      </w:hyperlink>
      <w:r w:rsidRPr="0076503E">
        <w:rPr>
          <w:rFonts w:ascii="Arial" w:hAnsi="Arial" w:cs="Arial"/>
          <w:sz w:val="20"/>
          <w:szCs w:val="20"/>
          <w:lang w:val="en-US"/>
        </w:rPr>
        <w:t>.</w:t>
      </w:r>
    </w:p>
    <w:p w14:paraId="5F77D966" w14:textId="77777777" w:rsidR="00F92B95" w:rsidRPr="0076503E" w:rsidRDefault="00F92B95" w:rsidP="00B96D99">
      <w:pPr>
        <w:tabs>
          <w:tab w:val="left" w:pos="2420"/>
        </w:tabs>
        <w:jc w:val="both"/>
        <w:rPr>
          <w:rFonts w:ascii="Arial" w:hAnsi="Arial" w:cs="Arial"/>
          <w:sz w:val="20"/>
          <w:szCs w:val="20"/>
          <w:lang w:val="en-US"/>
        </w:rPr>
      </w:pPr>
    </w:p>
    <w:p w14:paraId="13DBFA38" w14:textId="77777777" w:rsidR="00F92B95" w:rsidRPr="0076503E" w:rsidRDefault="00F92B95" w:rsidP="00B96D99">
      <w:pPr>
        <w:tabs>
          <w:tab w:val="left" w:pos="2420"/>
        </w:tabs>
        <w:jc w:val="both"/>
        <w:rPr>
          <w:rFonts w:ascii="Arial" w:hAnsi="Arial" w:cs="Arial"/>
          <w:sz w:val="20"/>
          <w:szCs w:val="20"/>
        </w:rPr>
      </w:pPr>
      <w:r w:rsidRPr="0076503E">
        <w:rPr>
          <w:rFonts w:ascii="Arial" w:hAnsi="Arial" w:cs="Arial"/>
          <w:sz w:val="20"/>
          <w:szCs w:val="20"/>
          <w:lang w:val="en-US"/>
        </w:rPr>
        <w:t xml:space="preserve">South African Government. (1999). </w:t>
      </w:r>
      <w:hyperlink r:id="rId1594" w:history="1">
        <w:r w:rsidRPr="0076503E">
          <w:rPr>
            <w:rStyle w:val="Hyperlink"/>
            <w:rFonts w:ascii="Arial" w:hAnsi="Arial" w:cs="Arial"/>
            <w:sz w:val="20"/>
            <w:szCs w:val="20"/>
            <w:lang w:val="en-US"/>
          </w:rPr>
          <w:t>Public Finance Management Act</w:t>
        </w:r>
      </w:hyperlink>
      <w:r w:rsidRPr="0076503E">
        <w:rPr>
          <w:rFonts w:ascii="Arial" w:hAnsi="Arial" w:cs="Arial"/>
          <w:sz w:val="20"/>
          <w:szCs w:val="20"/>
        </w:rPr>
        <w:t>.</w:t>
      </w:r>
    </w:p>
    <w:p w14:paraId="791AF9DA" w14:textId="77777777" w:rsidR="00F92B95" w:rsidRPr="0076503E" w:rsidRDefault="00F92B95" w:rsidP="00B96D99">
      <w:pPr>
        <w:tabs>
          <w:tab w:val="left" w:pos="2420"/>
        </w:tabs>
        <w:jc w:val="both"/>
        <w:rPr>
          <w:rFonts w:ascii="Arial" w:hAnsi="Arial" w:cs="Arial"/>
          <w:sz w:val="20"/>
          <w:szCs w:val="20"/>
        </w:rPr>
      </w:pPr>
    </w:p>
    <w:p w14:paraId="1AF0134A" w14:textId="77777777" w:rsidR="00F92B95" w:rsidRPr="0076503E" w:rsidRDefault="00F92B95" w:rsidP="00B96D99">
      <w:pPr>
        <w:tabs>
          <w:tab w:val="left" w:pos="2420"/>
        </w:tabs>
        <w:jc w:val="both"/>
        <w:rPr>
          <w:rFonts w:ascii="Arial" w:hAnsi="Arial" w:cs="Arial"/>
          <w:sz w:val="20"/>
          <w:szCs w:val="20"/>
        </w:rPr>
      </w:pPr>
      <w:r w:rsidRPr="0076503E">
        <w:rPr>
          <w:rFonts w:ascii="Arial" w:hAnsi="Arial" w:cs="Arial"/>
          <w:sz w:val="20"/>
          <w:szCs w:val="20"/>
        </w:rPr>
        <w:t xml:space="preserve">South African National Treasury. (2020). </w:t>
      </w:r>
      <w:hyperlink r:id="rId1595" w:history="1">
        <w:r w:rsidRPr="0076503E">
          <w:rPr>
            <w:rStyle w:val="Hyperlink"/>
            <w:rFonts w:ascii="Arial" w:hAnsi="Arial" w:cs="Arial"/>
            <w:sz w:val="20"/>
            <w:szCs w:val="20"/>
          </w:rPr>
          <w:t>2020 Budget: Vote 19: Social Development</w:t>
        </w:r>
      </w:hyperlink>
      <w:r w:rsidRPr="0076503E">
        <w:rPr>
          <w:rFonts w:ascii="Arial" w:hAnsi="Arial" w:cs="Arial"/>
          <w:sz w:val="20"/>
          <w:szCs w:val="20"/>
        </w:rPr>
        <w:t>.</w:t>
      </w:r>
    </w:p>
    <w:p w14:paraId="0720B15D" w14:textId="77777777" w:rsidR="00F92B95" w:rsidRPr="0076503E" w:rsidRDefault="00F92B95" w:rsidP="00B96D99">
      <w:pPr>
        <w:shd w:val="clear" w:color="auto" w:fill="FFFFFF" w:themeFill="background1"/>
        <w:jc w:val="both"/>
        <w:rPr>
          <w:rFonts w:ascii="Arial" w:hAnsi="Arial" w:cs="Arial"/>
          <w:sz w:val="20"/>
          <w:szCs w:val="20"/>
          <w:highlight w:val="yellow"/>
        </w:rPr>
      </w:pPr>
    </w:p>
    <w:p w14:paraId="0C40E819" w14:textId="77777777" w:rsidR="00F92B95" w:rsidRPr="0076503E" w:rsidRDefault="00F92B95" w:rsidP="00B96D99">
      <w:pPr>
        <w:tabs>
          <w:tab w:val="left" w:pos="2420"/>
        </w:tabs>
        <w:jc w:val="both"/>
        <w:rPr>
          <w:rFonts w:ascii="Arial" w:hAnsi="Arial" w:cs="Arial"/>
          <w:sz w:val="20"/>
          <w:szCs w:val="20"/>
        </w:rPr>
      </w:pPr>
      <w:r w:rsidRPr="0076503E">
        <w:rPr>
          <w:rFonts w:ascii="Arial" w:hAnsi="Arial" w:cs="Arial"/>
          <w:sz w:val="20"/>
          <w:szCs w:val="20"/>
        </w:rPr>
        <w:t>Spire, A (2018). “</w:t>
      </w:r>
      <w:hyperlink r:id="rId1596" w:history="1">
        <w:r w:rsidRPr="0076503E">
          <w:rPr>
            <w:rStyle w:val="Hyperlink"/>
            <w:rFonts w:ascii="Arial" w:hAnsi="Arial" w:cs="Arial"/>
            <w:sz w:val="20"/>
            <w:szCs w:val="20"/>
          </w:rPr>
          <w:t>The Anger of the Gilets Jaunes</w:t>
        </w:r>
      </w:hyperlink>
      <w:r w:rsidRPr="0076503E">
        <w:rPr>
          <w:rFonts w:ascii="Arial" w:hAnsi="Arial" w:cs="Arial"/>
          <w:sz w:val="20"/>
          <w:szCs w:val="20"/>
        </w:rPr>
        <w:t xml:space="preserve">’. The Nation. </w:t>
      </w:r>
    </w:p>
    <w:p w14:paraId="4656E719" w14:textId="77777777" w:rsidR="00340613" w:rsidRPr="0076503E" w:rsidRDefault="00340613" w:rsidP="00B96D99">
      <w:pPr>
        <w:tabs>
          <w:tab w:val="left" w:pos="2420"/>
        </w:tabs>
        <w:jc w:val="both"/>
        <w:rPr>
          <w:rStyle w:val="Hyperlink"/>
          <w:rFonts w:ascii="Arial" w:hAnsi="Arial" w:cs="Arial"/>
          <w:iCs/>
          <w:sz w:val="20"/>
          <w:szCs w:val="20"/>
          <w:lang w:val="en-US"/>
        </w:rPr>
      </w:pPr>
    </w:p>
    <w:p w14:paraId="258AD399" w14:textId="3E34B841" w:rsidR="00F45544" w:rsidRPr="0076503E" w:rsidRDefault="00F45544" w:rsidP="00B96D99">
      <w:pPr>
        <w:tabs>
          <w:tab w:val="left" w:pos="2420"/>
        </w:tabs>
        <w:jc w:val="both"/>
        <w:rPr>
          <w:rFonts w:ascii="Arial" w:hAnsi="Arial" w:cs="Arial"/>
          <w:sz w:val="20"/>
          <w:szCs w:val="20"/>
        </w:rPr>
      </w:pPr>
      <w:r w:rsidRPr="0076503E">
        <w:rPr>
          <w:rFonts w:ascii="Arial" w:hAnsi="Arial" w:cs="Arial"/>
          <w:sz w:val="20"/>
          <w:szCs w:val="20"/>
        </w:rPr>
        <w:t xml:space="preserve">Tim Berners-Lee (S.F.). </w:t>
      </w:r>
      <w:hyperlink r:id="rId1597" w:history="1">
        <w:r w:rsidRPr="0076503E">
          <w:rPr>
            <w:rStyle w:val="Hyperlink"/>
            <w:rFonts w:ascii="Arial" w:hAnsi="Arial" w:cs="Arial"/>
            <w:sz w:val="20"/>
            <w:szCs w:val="20"/>
          </w:rPr>
          <w:t>Five-Star Linked Open Data</w:t>
        </w:r>
      </w:hyperlink>
      <w:r w:rsidRPr="0076503E">
        <w:rPr>
          <w:rFonts w:ascii="Arial" w:hAnsi="Arial" w:cs="Arial"/>
          <w:sz w:val="20"/>
          <w:szCs w:val="20"/>
        </w:rPr>
        <w:t>.</w:t>
      </w:r>
    </w:p>
    <w:p w14:paraId="49696F4D" w14:textId="77777777" w:rsidR="00F45544" w:rsidRPr="0076503E" w:rsidRDefault="00F45544" w:rsidP="00B96D99">
      <w:pPr>
        <w:tabs>
          <w:tab w:val="left" w:pos="2420"/>
        </w:tabs>
        <w:jc w:val="both"/>
        <w:rPr>
          <w:rFonts w:ascii="Arial" w:hAnsi="Arial" w:cs="Arial"/>
          <w:sz w:val="20"/>
          <w:szCs w:val="20"/>
        </w:rPr>
      </w:pPr>
    </w:p>
    <w:p w14:paraId="5DACE507" w14:textId="60BC9259" w:rsidR="00340613" w:rsidRPr="0076503E"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rPr>
        <w:t>Touchton</w:t>
      </w:r>
      <w:proofErr w:type="spellEnd"/>
      <w:r w:rsidRPr="0076503E">
        <w:rPr>
          <w:rFonts w:ascii="Arial" w:hAnsi="Arial" w:cs="Arial"/>
          <w:sz w:val="20"/>
          <w:szCs w:val="20"/>
        </w:rPr>
        <w:t>, M., and Wampler, B. (2014)</w:t>
      </w:r>
      <w:r w:rsidR="00504A22">
        <w:rPr>
          <w:rFonts w:ascii="Arial" w:hAnsi="Arial" w:cs="Arial"/>
          <w:sz w:val="20"/>
          <w:szCs w:val="20"/>
        </w:rPr>
        <w:t>.</w:t>
      </w:r>
      <w:r w:rsidRPr="0076503E">
        <w:rPr>
          <w:rFonts w:ascii="Arial" w:hAnsi="Arial" w:cs="Arial"/>
          <w:sz w:val="20"/>
          <w:szCs w:val="20"/>
        </w:rPr>
        <w:t xml:space="preserve"> "</w:t>
      </w:r>
      <w:hyperlink r:id="rId1598" w:history="1">
        <w:r w:rsidRPr="0076503E">
          <w:rPr>
            <w:rStyle w:val="Hyperlink"/>
            <w:rFonts w:ascii="Arial" w:hAnsi="Arial" w:cs="Arial"/>
            <w:sz w:val="20"/>
            <w:szCs w:val="20"/>
            <w:lang w:val="en"/>
          </w:rPr>
          <w:t>Improving Social Well-Being Through New Democratic Institutions</w:t>
        </w:r>
      </w:hyperlink>
      <w:r w:rsidRPr="0076503E">
        <w:rPr>
          <w:rFonts w:ascii="Arial" w:hAnsi="Arial" w:cs="Arial"/>
          <w:sz w:val="20"/>
          <w:szCs w:val="20"/>
        </w:rPr>
        <w:t>"</w:t>
      </w:r>
      <w:r w:rsidR="00515F87">
        <w:rPr>
          <w:rFonts w:ascii="Arial" w:hAnsi="Arial" w:cs="Arial"/>
          <w:sz w:val="20"/>
          <w:szCs w:val="20"/>
        </w:rPr>
        <w:t>.</w:t>
      </w:r>
      <w:r w:rsidRPr="0076503E">
        <w:rPr>
          <w:rFonts w:ascii="Arial" w:hAnsi="Arial" w:cs="Arial"/>
          <w:sz w:val="20"/>
          <w:szCs w:val="20"/>
        </w:rPr>
        <w:t xml:space="preserve"> Comparative Political Studies 47(10): 1442-1469.</w:t>
      </w:r>
    </w:p>
    <w:p w14:paraId="4268B4FD" w14:textId="77777777" w:rsidR="00340613" w:rsidRPr="0076503E" w:rsidRDefault="00340613" w:rsidP="00B96D99">
      <w:pPr>
        <w:tabs>
          <w:tab w:val="left" w:pos="2420"/>
        </w:tabs>
        <w:jc w:val="both"/>
        <w:rPr>
          <w:rFonts w:ascii="Arial" w:hAnsi="Arial" w:cs="Arial"/>
          <w:sz w:val="20"/>
          <w:szCs w:val="20"/>
        </w:rPr>
      </w:pPr>
    </w:p>
    <w:p w14:paraId="7599BC31" w14:textId="122EBC71" w:rsidR="00340613" w:rsidRPr="0076503E" w:rsidRDefault="00340613" w:rsidP="00B96D99">
      <w:pPr>
        <w:tabs>
          <w:tab w:val="left" w:pos="2420"/>
        </w:tabs>
        <w:jc w:val="both"/>
        <w:rPr>
          <w:rFonts w:ascii="Arial" w:hAnsi="Arial" w:cs="Arial"/>
          <w:sz w:val="20"/>
          <w:szCs w:val="20"/>
          <w:lang w:val="en-ZA"/>
        </w:rPr>
      </w:pPr>
      <w:proofErr w:type="spellStart"/>
      <w:r w:rsidRPr="0076503E">
        <w:rPr>
          <w:rFonts w:ascii="Arial" w:hAnsi="Arial" w:cs="Arial"/>
          <w:iCs/>
          <w:sz w:val="20"/>
          <w:szCs w:val="20"/>
          <w:lang w:val="en-ZA"/>
        </w:rPr>
        <w:t>Touchton</w:t>
      </w:r>
      <w:proofErr w:type="spellEnd"/>
      <w:r w:rsidRPr="0076503E">
        <w:rPr>
          <w:rFonts w:ascii="Arial" w:hAnsi="Arial" w:cs="Arial"/>
          <w:iCs/>
          <w:sz w:val="20"/>
          <w:szCs w:val="20"/>
          <w:lang w:val="en-ZA"/>
        </w:rPr>
        <w:t>, M.,</w:t>
      </w:r>
      <w:r w:rsidRPr="0076503E">
        <w:rPr>
          <w:rFonts w:ascii="Arial" w:hAnsi="Arial" w:cs="Arial"/>
          <w:sz w:val="20"/>
          <w:szCs w:val="20"/>
          <w:lang w:val="en-ZA"/>
        </w:rPr>
        <w:t xml:space="preserve"> </w:t>
      </w:r>
      <w:r w:rsidRPr="0076503E">
        <w:rPr>
          <w:rFonts w:ascii="Arial" w:hAnsi="Arial" w:cs="Arial"/>
          <w:iCs/>
          <w:sz w:val="20"/>
          <w:szCs w:val="20"/>
          <w:lang w:val="en-ZA"/>
        </w:rPr>
        <w:t>Wampler, B., and Peixoto, T. (2019).</w:t>
      </w:r>
      <w:r w:rsidRPr="0076503E">
        <w:rPr>
          <w:rFonts w:ascii="Arial" w:hAnsi="Arial" w:cs="Arial"/>
          <w:sz w:val="20"/>
          <w:szCs w:val="20"/>
          <w:lang w:val="en-ZA"/>
        </w:rPr>
        <w:t xml:space="preserve"> “</w:t>
      </w:r>
      <w:hyperlink r:id="rId1599" w:history="1">
        <w:r w:rsidRPr="0076503E">
          <w:rPr>
            <w:rStyle w:val="Hyperlink"/>
            <w:rFonts w:ascii="Arial" w:hAnsi="Arial" w:cs="Arial"/>
            <w:sz w:val="20"/>
            <w:szCs w:val="20"/>
            <w:lang w:val="en"/>
          </w:rPr>
          <w:t>Participatory Institutions and Tax Compliance in Brazil</w:t>
        </w:r>
      </w:hyperlink>
      <w:r w:rsidRPr="0076503E">
        <w:rPr>
          <w:rFonts w:ascii="Arial" w:hAnsi="Arial" w:cs="Arial"/>
          <w:sz w:val="20"/>
          <w:szCs w:val="20"/>
          <w:lang w:val="en-ZA"/>
        </w:rPr>
        <w:t>”</w:t>
      </w:r>
      <w:r w:rsidR="00195192">
        <w:rPr>
          <w:rFonts w:ascii="Arial" w:hAnsi="Arial" w:cs="Arial"/>
          <w:sz w:val="20"/>
          <w:szCs w:val="20"/>
          <w:lang w:val="en-ZA"/>
        </w:rPr>
        <w:t>.</w:t>
      </w:r>
      <w:r w:rsidRPr="0076503E">
        <w:rPr>
          <w:rFonts w:ascii="Arial" w:hAnsi="Arial" w:cs="Arial"/>
          <w:sz w:val="20"/>
          <w:szCs w:val="20"/>
          <w:lang w:val="en-ZA"/>
        </w:rPr>
        <w:t xml:space="preserve"> World Bank Group Policy Research WP 8797.</w:t>
      </w:r>
    </w:p>
    <w:p w14:paraId="07CB3917" w14:textId="77777777" w:rsidR="00340613" w:rsidRPr="0076503E" w:rsidRDefault="00340613" w:rsidP="00B96D99">
      <w:pPr>
        <w:tabs>
          <w:tab w:val="left" w:pos="2420"/>
        </w:tabs>
        <w:jc w:val="both"/>
        <w:rPr>
          <w:rFonts w:ascii="Arial" w:hAnsi="Arial" w:cs="Arial"/>
          <w:sz w:val="20"/>
          <w:szCs w:val="20"/>
          <w:lang w:val="en-ZA"/>
        </w:rPr>
      </w:pPr>
    </w:p>
    <w:p w14:paraId="72B2D629" w14:textId="2F4C5A42" w:rsidR="00340613" w:rsidRPr="0076503E"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rPr>
        <w:t>Touchton</w:t>
      </w:r>
      <w:proofErr w:type="spellEnd"/>
      <w:r w:rsidRPr="0076503E">
        <w:rPr>
          <w:rFonts w:ascii="Arial" w:hAnsi="Arial" w:cs="Arial"/>
          <w:sz w:val="20"/>
          <w:szCs w:val="20"/>
        </w:rPr>
        <w:t>, M., and Wampler, B. (2020). “</w:t>
      </w:r>
      <w:hyperlink r:id="rId1600" w:history="1">
        <w:r w:rsidRPr="0076503E">
          <w:rPr>
            <w:rStyle w:val="Hyperlink"/>
            <w:rFonts w:ascii="Arial" w:hAnsi="Arial" w:cs="Arial"/>
            <w:sz w:val="20"/>
            <w:szCs w:val="20"/>
          </w:rPr>
          <w:t>Public engagement for public health: participatory budgeting, targeted social programmes, and infant mortality in Brazil</w:t>
        </w:r>
      </w:hyperlink>
      <w:r w:rsidRPr="0076503E">
        <w:rPr>
          <w:rFonts w:ascii="Arial" w:hAnsi="Arial" w:cs="Arial"/>
          <w:sz w:val="20"/>
          <w:szCs w:val="20"/>
        </w:rPr>
        <w:t>”</w:t>
      </w:r>
      <w:r w:rsidR="00195192">
        <w:rPr>
          <w:rFonts w:ascii="Arial" w:hAnsi="Arial" w:cs="Arial"/>
          <w:sz w:val="20"/>
          <w:szCs w:val="20"/>
        </w:rPr>
        <w:t>.</w:t>
      </w:r>
      <w:r w:rsidRPr="0076503E">
        <w:rPr>
          <w:rFonts w:ascii="Arial" w:hAnsi="Arial" w:cs="Arial"/>
          <w:sz w:val="20"/>
          <w:szCs w:val="20"/>
        </w:rPr>
        <w:t> Development in Practice 30, no. 5: 681–686.</w:t>
      </w:r>
    </w:p>
    <w:p w14:paraId="1DDA0463" w14:textId="77777777" w:rsidR="00340613" w:rsidRPr="0076503E" w:rsidRDefault="00340613" w:rsidP="00B96D99">
      <w:pPr>
        <w:tabs>
          <w:tab w:val="left" w:pos="2420"/>
        </w:tabs>
        <w:jc w:val="both"/>
        <w:rPr>
          <w:rFonts w:ascii="Arial" w:hAnsi="Arial" w:cs="Arial"/>
          <w:sz w:val="20"/>
          <w:szCs w:val="20"/>
        </w:rPr>
      </w:pPr>
    </w:p>
    <w:p w14:paraId="449832C8" w14:textId="3882B339" w:rsidR="00340613" w:rsidRPr="0076503E" w:rsidRDefault="00340613" w:rsidP="00B96D99">
      <w:pPr>
        <w:tabs>
          <w:tab w:val="left" w:pos="2420"/>
        </w:tabs>
        <w:jc w:val="both"/>
        <w:rPr>
          <w:rFonts w:ascii="Arial" w:hAnsi="Arial" w:cs="Arial"/>
          <w:sz w:val="20"/>
          <w:szCs w:val="20"/>
        </w:rPr>
      </w:pPr>
      <w:proofErr w:type="spellStart"/>
      <w:r w:rsidRPr="0076503E">
        <w:rPr>
          <w:rFonts w:ascii="Arial" w:hAnsi="Arial" w:cs="Arial"/>
          <w:sz w:val="20"/>
          <w:szCs w:val="20"/>
        </w:rPr>
        <w:t>Touchton</w:t>
      </w:r>
      <w:proofErr w:type="spellEnd"/>
      <w:r w:rsidRPr="0076503E">
        <w:rPr>
          <w:rFonts w:ascii="Arial" w:hAnsi="Arial" w:cs="Arial"/>
          <w:sz w:val="20"/>
          <w:szCs w:val="20"/>
        </w:rPr>
        <w:t>, M., Wampler, B., and Peixoto, T. (2021)</w:t>
      </w:r>
      <w:r w:rsidR="003300EE">
        <w:rPr>
          <w:rFonts w:ascii="Arial" w:hAnsi="Arial" w:cs="Arial"/>
          <w:sz w:val="20"/>
          <w:szCs w:val="20"/>
        </w:rPr>
        <w:t>.</w:t>
      </w:r>
      <w:r w:rsidRPr="0076503E">
        <w:rPr>
          <w:rFonts w:ascii="Arial" w:hAnsi="Arial" w:cs="Arial"/>
          <w:sz w:val="20"/>
          <w:szCs w:val="20"/>
        </w:rPr>
        <w:t xml:space="preserve"> “</w:t>
      </w:r>
      <w:hyperlink r:id="rId1601" w:history="1">
        <w:r w:rsidRPr="0076503E">
          <w:rPr>
            <w:rStyle w:val="Hyperlink"/>
            <w:rFonts w:ascii="Arial" w:hAnsi="Arial" w:cs="Arial"/>
            <w:sz w:val="20"/>
            <w:szCs w:val="20"/>
          </w:rPr>
          <w:t>Of democratic governance and revenue: Participatory institutions and tax generation in Brazil</w:t>
        </w:r>
      </w:hyperlink>
      <w:r w:rsidRPr="0076503E">
        <w:rPr>
          <w:rFonts w:ascii="Arial" w:hAnsi="Arial" w:cs="Arial"/>
          <w:sz w:val="20"/>
          <w:szCs w:val="20"/>
        </w:rPr>
        <w:t>”</w:t>
      </w:r>
      <w:r w:rsidR="00195192">
        <w:rPr>
          <w:rFonts w:ascii="Arial" w:hAnsi="Arial" w:cs="Arial"/>
          <w:sz w:val="20"/>
          <w:szCs w:val="20"/>
        </w:rPr>
        <w:t>.</w:t>
      </w:r>
      <w:r w:rsidRPr="0076503E">
        <w:rPr>
          <w:rFonts w:ascii="Arial" w:hAnsi="Arial" w:cs="Arial"/>
          <w:sz w:val="20"/>
          <w:szCs w:val="20"/>
        </w:rPr>
        <w:t xml:space="preserve"> Governance 34, no. 4: 1193–1212.  </w:t>
      </w:r>
    </w:p>
    <w:p w14:paraId="4279C4A2" w14:textId="1929D642" w:rsidR="00994D8E" w:rsidRPr="0076503E" w:rsidRDefault="00994D8E" w:rsidP="00B96D99">
      <w:pPr>
        <w:tabs>
          <w:tab w:val="left" w:pos="2420"/>
        </w:tabs>
        <w:jc w:val="both"/>
        <w:rPr>
          <w:rFonts w:ascii="Arial" w:hAnsi="Arial" w:cs="Arial"/>
          <w:sz w:val="20"/>
          <w:szCs w:val="20"/>
        </w:rPr>
      </w:pPr>
    </w:p>
    <w:p w14:paraId="20937F22" w14:textId="5EDC60F2" w:rsidR="005D0450" w:rsidRPr="0076503E" w:rsidRDefault="00994D8E" w:rsidP="00B96D99">
      <w:pPr>
        <w:tabs>
          <w:tab w:val="left" w:pos="2420"/>
        </w:tabs>
        <w:jc w:val="both"/>
        <w:rPr>
          <w:rFonts w:ascii="Arial" w:hAnsi="Arial" w:cs="Arial"/>
          <w:bCs/>
          <w:sz w:val="20"/>
          <w:szCs w:val="20"/>
          <w:lang w:val="en-US"/>
        </w:rPr>
      </w:pPr>
      <w:proofErr w:type="spellStart"/>
      <w:r w:rsidRPr="0076503E">
        <w:rPr>
          <w:rFonts w:ascii="Arial" w:hAnsi="Arial" w:cs="Arial"/>
          <w:bCs/>
          <w:sz w:val="20"/>
          <w:szCs w:val="20"/>
          <w:lang w:val="en-US"/>
        </w:rPr>
        <w:t>UKaid</w:t>
      </w:r>
      <w:proofErr w:type="spellEnd"/>
      <w:r w:rsidRPr="0076503E">
        <w:rPr>
          <w:rFonts w:ascii="Arial" w:hAnsi="Arial" w:cs="Arial"/>
          <w:bCs/>
          <w:sz w:val="20"/>
          <w:szCs w:val="20"/>
          <w:lang w:val="en-US"/>
        </w:rPr>
        <w:t xml:space="preserve">, World Bank Group and GIFT. (2022). </w:t>
      </w:r>
      <w:hyperlink r:id="rId1602" w:tgtFrame="_self" w:history="1">
        <w:r w:rsidRPr="0076503E">
          <w:rPr>
            <w:rStyle w:val="Hyperlink"/>
            <w:rFonts w:ascii="Arial" w:hAnsi="Arial" w:cs="Arial"/>
            <w:bCs/>
            <w:sz w:val="20"/>
            <w:szCs w:val="20"/>
            <w:lang w:val="en-US"/>
          </w:rPr>
          <w:t>Fiscal Transparency During the Covid-19 Emergency Response: Bosnia and Herzegovina, North Macedonia, Serbia</w:t>
        </w:r>
      </w:hyperlink>
      <w:r w:rsidRPr="0076503E">
        <w:rPr>
          <w:rFonts w:ascii="Arial" w:hAnsi="Arial" w:cs="Arial"/>
          <w:bCs/>
          <w:sz w:val="20"/>
          <w:szCs w:val="20"/>
          <w:lang w:val="en-US"/>
        </w:rPr>
        <w:t>.</w:t>
      </w:r>
    </w:p>
    <w:p w14:paraId="47800924" w14:textId="77777777" w:rsidR="00EB366C" w:rsidRPr="0076503E" w:rsidRDefault="00EB366C" w:rsidP="00B96D99">
      <w:pPr>
        <w:tabs>
          <w:tab w:val="left" w:pos="2420"/>
        </w:tabs>
        <w:jc w:val="both"/>
        <w:rPr>
          <w:rFonts w:ascii="Arial" w:hAnsi="Arial" w:cs="Arial"/>
          <w:sz w:val="20"/>
          <w:szCs w:val="20"/>
        </w:rPr>
      </w:pPr>
    </w:p>
    <w:p w14:paraId="7294F289" w14:textId="2E649EF7" w:rsidR="005D0450" w:rsidRPr="0076503E" w:rsidRDefault="005D0450" w:rsidP="00B96D99">
      <w:pPr>
        <w:tabs>
          <w:tab w:val="left" w:pos="2420"/>
        </w:tabs>
        <w:jc w:val="both"/>
        <w:rPr>
          <w:rFonts w:ascii="Arial" w:hAnsi="Arial" w:cs="Arial"/>
          <w:sz w:val="20"/>
          <w:szCs w:val="20"/>
        </w:rPr>
      </w:pPr>
      <w:proofErr w:type="spellStart"/>
      <w:r w:rsidRPr="0076503E">
        <w:rPr>
          <w:rFonts w:ascii="Arial" w:hAnsi="Arial" w:cs="Arial"/>
          <w:sz w:val="20"/>
          <w:szCs w:val="20"/>
        </w:rPr>
        <w:t>Uña</w:t>
      </w:r>
      <w:proofErr w:type="spellEnd"/>
      <w:r w:rsidRPr="0076503E">
        <w:rPr>
          <w:rFonts w:ascii="Arial" w:hAnsi="Arial" w:cs="Arial"/>
          <w:sz w:val="20"/>
          <w:szCs w:val="20"/>
        </w:rPr>
        <w:t xml:space="preserve">, G., Allen, R., and </w:t>
      </w:r>
      <w:proofErr w:type="spellStart"/>
      <w:r w:rsidRPr="0076503E">
        <w:rPr>
          <w:rFonts w:ascii="Arial" w:hAnsi="Arial" w:cs="Arial"/>
          <w:sz w:val="20"/>
          <w:szCs w:val="20"/>
        </w:rPr>
        <w:t>Botton</w:t>
      </w:r>
      <w:proofErr w:type="spellEnd"/>
      <w:r w:rsidRPr="0076503E">
        <w:rPr>
          <w:rFonts w:ascii="Arial" w:hAnsi="Arial" w:cs="Arial"/>
          <w:sz w:val="20"/>
          <w:szCs w:val="20"/>
        </w:rPr>
        <w:t>, N. (2019). “</w:t>
      </w:r>
      <w:hyperlink r:id="rId1603" w:history="1">
        <w:r w:rsidRPr="0076503E">
          <w:rPr>
            <w:rStyle w:val="Hyperlink"/>
            <w:rFonts w:ascii="Arial" w:hAnsi="Arial" w:cs="Arial"/>
            <w:sz w:val="20"/>
            <w:szCs w:val="20"/>
            <w:lang w:val="en-US"/>
          </w:rPr>
          <w:t>How to Design a Financial Management Information System: A Modular Approach</w:t>
        </w:r>
      </w:hyperlink>
      <w:r w:rsidRPr="0076503E">
        <w:rPr>
          <w:rFonts w:ascii="Arial" w:hAnsi="Arial" w:cs="Arial"/>
          <w:sz w:val="20"/>
          <w:szCs w:val="20"/>
          <w:lang w:val="en-ZA"/>
        </w:rPr>
        <w:t>”. IMF.</w:t>
      </w:r>
    </w:p>
    <w:p w14:paraId="292C0AE8" w14:textId="77777777" w:rsidR="00340613" w:rsidRPr="0076503E" w:rsidRDefault="00340613" w:rsidP="00B96D99">
      <w:pPr>
        <w:tabs>
          <w:tab w:val="left" w:pos="2420"/>
        </w:tabs>
        <w:jc w:val="both"/>
        <w:rPr>
          <w:rFonts w:ascii="Arial" w:hAnsi="Arial" w:cs="Arial"/>
          <w:sz w:val="20"/>
          <w:szCs w:val="20"/>
        </w:rPr>
      </w:pPr>
    </w:p>
    <w:p w14:paraId="545C75BC" w14:textId="004E5E46" w:rsidR="007C02C7" w:rsidRPr="0076503E" w:rsidRDefault="007C02C7" w:rsidP="00B96D99">
      <w:pPr>
        <w:tabs>
          <w:tab w:val="left" w:pos="2420"/>
        </w:tabs>
        <w:jc w:val="both"/>
        <w:rPr>
          <w:rFonts w:ascii="Arial" w:hAnsi="Arial" w:cs="Arial"/>
          <w:sz w:val="20"/>
          <w:szCs w:val="20"/>
          <w:lang w:val="en-US"/>
        </w:rPr>
      </w:pPr>
      <w:r w:rsidRPr="0076503E">
        <w:rPr>
          <w:rFonts w:ascii="Arial" w:hAnsi="Arial" w:cs="Arial"/>
          <w:sz w:val="20"/>
          <w:szCs w:val="20"/>
          <w:lang w:val="en-US"/>
        </w:rPr>
        <w:t>United Nations. (1992).</w:t>
      </w:r>
      <w:r w:rsidRPr="0076503E">
        <w:rPr>
          <w:rFonts w:ascii="Arial" w:hAnsi="Arial" w:cs="Arial"/>
          <w:sz w:val="20"/>
          <w:szCs w:val="20"/>
        </w:rPr>
        <w:t xml:space="preserve"> </w:t>
      </w:r>
      <w:hyperlink r:id="rId1604" w:history="1">
        <w:r w:rsidRPr="0076503E">
          <w:rPr>
            <w:rStyle w:val="Hyperlink"/>
            <w:rFonts w:ascii="Arial" w:hAnsi="Arial" w:cs="Arial"/>
            <w:sz w:val="20"/>
            <w:szCs w:val="20"/>
          </w:rPr>
          <w:t>Rio Declaration on Environment and Development</w:t>
        </w:r>
      </w:hyperlink>
      <w:r w:rsidRPr="0076503E">
        <w:rPr>
          <w:rFonts w:ascii="Arial" w:hAnsi="Arial" w:cs="Arial"/>
          <w:sz w:val="20"/>
          <w:szCs w:val="20"/>
          <w:lang w:val="en-US"/>
        </w:rPr>
        <w:t>.</w:t>
      </w:r>
    </w:p>
    <w:p w14:paraId="68769EB5" w14:textId="77777777" w:rsidR="007C02C7" w:rsidRPr="0076503E" w:rsidRDefault="007C02C7" w:rsidP="00B96D99">
      <w:pPr>
        <w:tabs>
          <w:tab w:val="left" w:pos="2420"/>
        </w:tabs>
        <w:jc w:val="both"/>
        <w:rPr>
          <w:rFonts w:ascii="Arial" w:hAnsi="Arial" w:cs="Arial"/>
          <w:sz w:val="20"/>
          <w:szCs w:val="20"/>
          <w:lang w:val="en-US"/>
        </w:rPr>
      </w:pPr>
    </w:p>
    <w:p w14:paraId="6C8BAF4F" w14:textId="2BF17B2A" w:rsidR="00340613" w:rsidRPr="0076503E" w:rsidRDefault="00340613" w:rsidP="00B96D99">
      <w:pPr>
        <w:tabs>
          <w:tab w:val="left" w:pos="2420"/>
        </w:tabs>
        <w:jc w:val="both"/>
        <w:rPr>
          <w:rFonts w:ascii="Arial" w:hAnsi="Arial" w:cs="Arial"/>
          <w:sz w:val="20"/>
          <w:szCs w:val="20"/>
          <w:lang w:val="en-US"/>
        </w:rPr>
      </w:pPr>
      <w:r w:rsidRPr="0076503E">
        <w:rPr>
          <w:rFonts w:ascii="Arial" w:hAnsi="Arial" w:cs="Arial"/>
          <w:sz w:val="20"/>
          <w:szCs w:val="20"/>
          <w:lang w:val="en-US"/>
        </w:rPr>
        <w:t xml:space="preserve">United Nations. (2008). </w:t>
      </w:r>
      <w:hyperlink r:id="rId1605" w:history="1">
        <w:r w:rsidRPr="0076503E">
          <w:rPr>
            <w:rStyle w:val="Hyperlink"/>
            <w:rFonts w:ascii="Arial" w:hAnsi="Arial" w:cs="Arial"/>
            <w:iCs/>
            <w:sz w:val="20"/>
            <w:szCs w:val="20"/>
          </w:rPr>
          <w:t>System of National Accounts</w:t>
        </w:r>
      </w:hyperlink>
      <w:r w:rsidRPr="0076503E">
        <w:rPr>
          <w:rFonts w:ascii="Arial" w:hAnsi="Arial" w:cs="Arial"/>
          <w:sz w:val="20"/>
          <w:szCs w:val="20"/>
          <w:lang w:val="en-US"/>
        </w:rPr>
        <w:t>.</w:t>
      </w:r>
    </w:p>
    <w:p w14:paraId="6A0EC688" w14:textId="46D6078A" w:rsidR="000A6697" w:rsidRPr="0076503E" w:rsidRDefault="000A6697" w:rsidP="00B96D99">
      <w:pPr>
        <w:tabs>
          <w:tab w:val="left" w:pos="2420"/>
        </w:tabs>
        <w:jc w:val="both"/>
        <w:rPr>
          <w:rFonts w:ascii="Arial" w:hAnsi="Arial" w:cs="Arial"/>
          <w:sz w:val="20"/>
          <w:szCs w:val="20"/>
          <w:lang w:val="en-US"/>
        </w:rPr>
      </w:pPr>
    </w:p>
    <w:p w14:paraId="4AECF0C0" w14:textId="17E489E4" w:rsidR="000A6697" w:rsidRPr="0076503E" w:rsidRDefault="000A6697" w:rsidP="00B96D99">
      <w:pPr>
        <w:tabs>
          <w:tab w:val="left" w:pos="2420"/>
        </w:tabs>
        <w:jc w:val="both"/>
        <w:rPr>
          <w:rStyle w:val="Hyperlink"/>
          <w:rFonts w:ascii="Arial" w:hAnsi="Arial" w:cs="Arial"/>
          <w:iCs/>
          <w:sz w:val="20"/>
          <w:szCs w:val="20"/>
        </w:rPr>
      </w:pPr>
      <w:r w:rsidRPr="0076503E">
        <w:rPr>
          <w:rFonts w:ascii="Arial" w:hAnsi="Arial" w:cs="Arial"/>
          <w:sz w:val="20"/>
          <w:szCs w:val="20"/>
          <w:lang w:val="en-US"/>
        </w:rPr>
        <w:t xml:space="preserve">United Nations. (2009). </w:t>
      </w:r>
      <w:hyperlink r:id="rId1606" w:history="1">
        <w:r w:rsidRPr="0076503E">
          <w:rPr>
            <w:rStyle w:val="Hyperlink"/>
            <w:rFonts w:ascii="Arial" w:hAnsi="Arial" w:cs="Arial"/>
            <w:iCs/>
            <w:sz w:val="20"/>
            <w:szCs w:val="20"/>
          </w:rPr>
          <w:t>Technical guide to the United Nations Convention Against Corruption</w:t>
        </w:r>
      </w:hyperlink>
      <w:r w:rsidRPr="0076503E">
        <w:rPr>
          <w:rStyle w:val="Hyperlink"/>
          <w:rFonts w:ascii="Arial" w:hAnsi="Arial" w:cs="Arial"/>
          <w:iCs/>
          <w:sz w:val="20"/>
          <w:szCs w:val="20"/>
        </w:rPr>
        <w:t>.</w:t>
      </w:r>
    </w:p>
    <w:p w14:paraId="3B133188" w14:textId="77777777" w:rsidR="000A6697" w:rsidRPr="0076503E" w:rsidRDefault="000A6697" w:rsidP="00B96D99">
      <w:pPr>
        <w:tabs>
          <w:tab w:val="left" w:pos="2420"/>
        </w:tabs>
        <w:jc w:val="both"/>
        <w:rPr>
          <w:rFonts w:ascii="Arial" w:hAnsi="Arial" w:cs="Arial"/>
          <w:sz w:val="20"/>
          <w:szCs w:val="20"/>
          <w:lang w:val="en-US"/>
        </w:rPr>
      </w:pPr>
    </w:p>
    <w:p w14:paraId="50BE9196" w14:textId="182413AA" w:rsidR="0011342D" w:rsidRPr="0076503E" w:rsidRDefault="0011342D" w:rsidP="00B96D99">
      <w:pPr>
        <w:tabs>
          <w:tab w:val="left" w:pos="2420"/>
        </w:tabs>
        <w:jc w:val="both"/>
        <w:rPr>
          <w:rFonts w:ascii="Arial" w:hAnsi="Arial" w:cs="Arial"/>
          <w:sz w:val="20"/>
          <w:szCs w:val="20"/>
          <w:lang w:val="en-US"/>
        </w:rPr>
      </w:pPr>
      <w:r w:rsidRPr="0076503E">
        <w:rPr>
          <w:rFonts w:ascii="Arial" w:hAnsi="Arial" w:cs="Arial"/>
          <w:sz w:val="20"/>
          <w:szCs w:val="20"/>
          <w:lang w:val="en-US"/>
        </w:rPr>
        <w:t xml:space="preserve">United Nations. (2014). </w:t>
      </w:r>
      <w:r w:rsidRPr="0076503E">
        <w:rPr>
          <w:rFonts w:ascii="Arial" w:hAnsi="Arial" w:cs="Arial"/>
          <w:sz w:val="20"/>
          <w:szCs w:val="20"/>
        </w:rPr>
        <w:t xml:space="preserve">General Assembly </w:t>
      </w:r>
      <w:hyperlink r:id="rId1607" w:history="1">
        <w:r w:rsidRPr="0076503E">
          <w:rPr>
            <w:rStyle w:val="Hyperlink"/>
            <w:rFonts w:ascii="Arial" w:hAnsi="Arial" w:cs="Arial"/>
            <w:sz w:val="20"/>
            <w:szCs w:val="20"/>
          </w:rPr>
          <w:t>Resolution A/69/228</w:t>
        </w:r>
      </w:hyperlink>
      <w:r w:rsidRPr="0076503E">
        <w:rPr>
          <w:rFonts w:ascii="Arial" w:hAnsi="Arial" w:cs="Arial"/>
          <w:sz w:val="20"/>
          <w:szCs w:val="20"/>
          <w:lang w:val="en-US"/>
        </w:rPr>
        <w:t>.</w:t>
      </w:r>
    </w:p>
    <w:p w14:paraId="0016E979" w14:textId="7D82845C" w:rsidR="00B22899" w:rsidRPr="0076503E" w:rsidRDefault="00B22899" w:rsidP="00B96D99">
      <w:pPr>
        <w:tabs>
          <w:tab w:val="left" w:pos="2420"/>
        </w:tabs>
        <w:jc w:val="both"/>
        <w:rPr>
          <w:rFonts w:ascii="Arial" w:hAnsi="Arial" w:cs="Arial"/>
          <w:sz w:val="20"/>
          <w:szCs w:val="20"/>
          <w:lang w:val="en-US"/>
        </w:rPr>
      </w:pPr>
    </w:p>
    <w:p w14:paraId="131CBE3A" w14:textId="2A467C2F" w:rsidR="00B22899" w:rsidRPr="0076503E" w:rsidRDefault="00B22899" w:rsidP="00B96D99">
      <w:pPr>
        <w:tabs>
          <w:tab w:val="left" w:pos="2420"/>
        </w:tabs>
        <w:jc w:val="both"/>
        <w:rPr>
          <w:rStyle w:val="Hyperlink"/>
          <w:rFonts w:ascii="Arial" w:hAnsi="Arial" w:cs="Arial"/>
          <w:iCs/>
          <w:sz w:val="20"/>
          <w:szCs w:val="20"/>
        </w:rPr>
      </w:pPr>
      <w:r w:rsidRPr="0076503E">
        <w:rPr>
          <w:rFonts w:ascii="Arial" w:hAnsi="Arial" w:cs="Arial"/>
          <w:sz w:val="20"/>
          <w:szCs w:val="20"/>
          <w:lang w:val="en-US"/>
        </w:rPr>
        <w:t xml:space="preserve">United Nations. (2016). </w:t>
      </w:r>
      <w:hyperlink r:id="rId1608" w:history="1">
        <w:r w:rsidRPr="0076503E">
          <w:rPr>
            <w:rStyle w:val="Hyperlink"/>
            <w:rFonts w:ascii="Arial" w:hAnsi="Arial" w:cs="Arial"/>
            <w:iCs/>
            <w:sz w:val="20"/>
            <w:szCs w:val="20"/>
          </w:rPr>
          <w:t>Paris Accord on Climate Change</w:t>
        </w:r>
      </w:hyperlink>
      <w:r w:rsidRPr="0076503E">
        <w:rPr>
          <w:rStyle w:val="Hyperlink"/>
          <w:rFonts w:ascii="Arial" w:hAnsi="Arial" w:cs="Arial"/>
          <w:iCs/>
          <w:sz w:val="20"/>
          <w:szCs w:val="20"/>
        </w:rPr>
        <w:t>.</w:t>
      </w:r>
    </w:p>
    <w:p w14:paraId="6D16D03E" w14:textId="0C9A5D75" w:rsidR="008E697F" w:rsidRPr="0076503E" w:rsidRDefault="008E697F" w:rsidP="00B96D99">
      <w:pPr>
        <w:tabs>
          <w:tab w:val="left" w:pos="2420"/>
        </w:tabs>
        <w:jc w:val="both"/>
        <w:rPr>
          <w:rStyle w:val="Hyperlink"/>
          <w:rFonts w:ascii="Arial" w:hAnsi="Arial" w:cs="Arial"/>
          <w:iCs/>
          <w:sz w:val="20"/>
          <w:szCs w:val="20"/>
        </w:rPr>
      </w:pPr>
    </w:p>
    <w:p w14:paraId="4780F60C" w14:textId="38DABC47" w:rsidR="00756C3A" w:rsidRPr="0076503E" w:rsidRDefault="00756C3A" w:rsidP="00B96D99">
      <w:pPr>
        <w:tabs>
          <w:tab w:val="left" w:pos="2420"/>
        </w:tabs>
        <w:jc w:val="both"/>
        <w:rPr>
          <w:rFonts w:ascii="Arial" w:hAnsi="Arial" w:cs="Arial"/>
          <w:sz w:val="20"/>
          <w:szCs w:val="20"/>
          <w:lang w:val="en-ZA"/>
        </w:rPr>
      </w:pPr>
      <w:r w:rsidRPr="0076503E">
        <w:rPr>
          <w:rFonts w:ascii="Arial" w:hAnsi="Arial" w:cs="Arial"/>
          <w:sz w:val="20"/>
          <w:szCs w:val="20"/>
          <w:lang w:val="en-ZA"/>
        </w:rPr>
        <w:t xml:space="preserve">United States Department of State. (2021). </w:t>
      </w:r>
      <w:hyperlink r:id="rId1609" w:history="1">
        <w:r w:rsidRPr="0076503E">
          <w:rPr>
            <w:rStyle w:val="Hyperlink"/>
            <w:rFonts w:ascii="Arial" w:hAnsi="Arial" w:cs="Arial"/>
            <w:sz w:val="20"/>
            <w:szCs w:val="20"/>
            <w:lang w:val="en-US"/>
          </w:rPr>
          <w:t>2021 Fiscal Transparency Report</w:t>
        </w:r>
      </w:hyperlink>
      <w:r w:rsidRPr="0076503E">
        <w:rPr>
          <w:rFonts w:ascii="Arial" w:hAnsi="Arial" w:cs="Arial"/>
          <w:sz w:val="20"/>
          <w:szCs w:val="20"/>
          <w:lang w:val="en-ZA"/>
        </w:rPr>
        <w:t>.</w:t>
      </w:r>
    </w:p>
    <w:p w14:paraId="085AAC43" w14:textId="77777777" w:rsidR="00756C3A" w:rsidRPr="0076503E" w:rsidRDefault="00756C3A" w:rsidP="00B96D99">
      <w:pPr>
        <w:tabs>
          <w:tab w:val="left" w:pos="2420"/>
        </w:tabs>
        <w:jc w:val="both"/>
        <w:rPr>
          <w:rFonts w:ascii="Arial" w:hAnsi="Arial" w:cs="Arial"/>
          <w:sz w:val="20"/>
          <w:szCs w:val="20"/>
          <w:lang w:val="en-ZA"/>
        </w:rPr>
      </w:pPr>
    </w:p>
    <w:p w14:paraId="18FFF8D8" w14:textId="452BEA13" w:rsidR="008E697F" w:rsidRPr="0076503E" w:rsidRDefault="008E697F" w:rsidP="00B96D99">
      <w:pPr>
        <w:tabs>
          <w:tab w:val="left" w:pos="2420"/>
        </w:tabs>
        <w:jc w:val="both"/>
        <w:rPr>
          <w:rStyle w:val="Hyperlink"/>
          <w:rFonts w:ascii="Arial" w:hAnsi="Arial" w:cs="Arial"/>
          <w:bCs/>
          <w:sz w:val="20"/>
          <w:szCs w:val="20"/>
          <w:lang w:val="en-ZA"/>
        </w:rPr>
      </w:pPr>
      <w:r w:rsidRPr="0076503E">
        <w:rPr>
          <w:rFonts w:ascii="Arial" w:hAnsi="Arial" w:cs="Arial"/>
          <w:sz w:val="20"/>
          <w:szCs w:val="20"/>
          <w:lang w:val="en-ZA"/>
        </w:rPr>
        <w:t xml:space="preserve">Van </w:t>
      </w:r>
      <w:proofErr w:type="spellStart"/>
      <w:r w:rsidRPr="0076503E">
        <w:rPr>
          <w:rFonts w:ascii="Arial" w:hAnsi="Arial" w:cs="Arial"/>
          <w:sz w:val="20"/>
          <w:szCs w:val="20"/>
          <w:lang w:val="en-ZA"/>
        </w:rPr>
        <w:t>Ransbeeck</w:t>
      </w:r>
      <w:proofErr w:type="spellEnd"/>
      <w:r w:rsidRPr="0076503E">
        <w:rPr>
          <w:rFonts w:ascii="Arial" w:hAnsi="Arial" w:cs="Arial"/>
          <w:sz w:val="20"/>
          <w:szCs w:val="20"/>
          <w:lang w:val="en-ZA"/>
        </w:rPr>
        <w:t>, W. (2019). “</w:t>
      </w:r>
      <w:hyperlink r:id="rId1610" w:history="1">
        <w:r w:rsidRPr="0076503E">
          <w:rPr>
            <w:rStyle w:val="Hyperlink"/>
            <w:rFonts w:ascii="Arial" w:hAnsi="Arial" w:cs="Arial"/>
            <w:bCs/>
            <w:sz w:val="20"/>
            <w:szCs w:val="20"/>
            <w:lang w:val="en-ZA"/>
          </w:rPr>
          <w:t>What’s the Difference Between “Civic Tech” and “</w:t>
        </w:r>
        <w:proofErr w:type="spellStart"/>
        <w:r w:rsidRPr="0076503E">
          <w:rPr>
            <w:rStyle w:val="Hyperlink"/>
            <w:rFonts w:ascii="Arial" w:hAnsi="Arial" w:cs="Arial"/>
            <w:bCs/>
            <w:sz w:val="20"/>
            <w:szCs w:val="20"/>
            <w:lang w:val="en-ZA"/>
          </w:rPr>
          <w:t>GovTech</w:t>
        </w:r>
        <w:proofErr w:type="spellEnd"/>
      </w:hyperlink>
      <w:r w:rsidRPr="0076503E">
        <w:rPr>
          <w:rFonts w:ascii="Arial" w:hAnsi="Arial" w:cs="Arial"/>
          <w:bCs/>
          <w:sz w:val="20"/>
          <w:szCs w:val="20"/>
          <w:lang w:val="en-ZA"/>
        </w:rPr>
        <w:t>?”</w:t>
      </w:r>
      <w:r w:rsidR="00F25B1A">
        <w:rPr>
          <w:rFonts w:ascii="Arial" w:hAnsi="Arial" w:cs="Arial"/>
          <w:bCs/>
          <w:sz w:val="20"/>
          <w:szCs w:val="20"/>
          <w:lang w:val="en-ZA"/>
        </w:rPr>
        <w:t>.</w:t>
      </w:r>
      <w:r w:rsidRPr="0076503E">
        <w:rPr>
          <w:rFonts w:ascii="Arial" w:hAnsi="Arial" w:cs="Arial"/>
          <w:bCs/>
          <w:sz w:val="20"/>
          <w:szCs w:val="20"/>
          <w:lang w:val="en-ZA"/>
        </w:rPr>
        <w:t xml:space="preserve"> </w:t>
      </w:r>
      <w:proofErr w:type="spellStart"/>
      <w:r w:rsidRPr="0076503E">
        <w:rPr>
          <w:rFonts w:ascii="Arial" w:hAnsi="Arial" w:cs="Arial"/>
          <w:bCs/>
          <w:sz w:val="20"/>
          <w:szCs w:val="20"/>
          <w:lang w:val="en-ZA"/>
        </w:rPr>
        <w:t>Citizenlab</w:t>
      </w:r>
      <w:proofErr w:type="spellEnd"/>
      <w:r w:rsidR="00365873" w:rsidRPr="0076503E">
        <w:rPr>
          <w:rFonts w:ascii="Arial" w:hAnsi="Arial" w:cs="Arial"/>
          <w:bCs/>
          <w:sz w:val="20"/>
          <w:szCs w:val="20"/>
          <w:lang w:val="en-ZA"/>
        </w:rPr>
        <w:t>.</w:t>
      </w:r>
    </w:p>
    <w:p w14:paraId="1C66392E" w14:textId="5BAC8017" w:rsidR="00E175B0" w:rsidRPr="0076503E" w:rsidRDefault="00E175B0" w:rsidP="00B96D99">
      <w:pPr>
        <w:tabs>
          <w:tab w:val="left" w:pos="2420"/>
        </w:tabs>
        <w:jc w:val="both"/>
        <w:rPr>
          <w:rStyle w:val="Hyperlink"/>
          <w:rFonts w:ascii="Arial" w:hAnsi="Arial" w:cs="Arial"/>
          <w:bCs/>
          <w:sz w:val="20"/>
          <w:szCs w:val="20"/>
          <w:lang w:val="en-ZA"/>
        </w:rPr>
      </w:pPr>
    </w:p>
    <w:p w14:paraId="43051F06" w14:textId="1B9D6FD7" w:rsidR="00E175B0" w:rsidRDefault="00E175B0" w:rsidP="00B96D99">
      <w:pPr>
        <w:suppressAutoHyphens/>
        <w:jc w:val="both"/>
        <w:rPr>
          <w:rFonts w:ascii="Arial" w:hAnsi="Arial" w:cs="Arial"/>
          <w:sz w:val="20"/>
          <w:szCs w:val="20"/>
          <w:lang w:val="en-US"/>
        </w:rPr>
      </w:pPr>
      <w:r w:rsidRPr="0076503E">
        <w:rPr>
          <w:rFonts w:ascii="Arial" w:hAnsi="Arial" w:cs="Arial"/>
          <w:sz w:val="20"/>
          <w:szCs w:val="20"/>
          <w:lang w:val="en-US"/>
        </w:rPr>
        <w:t>Van Zyl, A. (2013). “</w:t>
      </w:r>
      <w:hyperlink r:id="rId1611" w:history="1">
        <w:r w:rsidRPr="0076503E">
          <w:rPr>
            <w:rFonts w:ascii="Arial" w:hAnsi="Arial" w:cs="Arial"/>
            <w:color w:val="0563C1" w:themeColor="hyperlink"/>
            <w:sz w:val="20"/>
            <w:szCs w:val="20"/>
            <w:u w:val="single"/>
            <w:lang w:val="en-US"/>
          </w:rPr>
          <w:t>Getting a Seat at the Table: Civil Society Advocacy for Budget Transparency in “Untransparent” Countries</w:t>
        </w:r>
      </w:hyperlink>
      <w:r w:rsidRPr="0076503E">
        <w:rPr>
          <w:rFonts w:ascii="Arial" w:hAnsi="Arial" w:cs="Arial"/>
          <w:sz w:val="20"/>
          <w:szCs w:val="20"/>
          <w:lang w:val="en-US"/>
        </w:rPr>
        <w:t xml:space="preserve">”.  </w:t>
      </w:r>
      <w:r w:rsidRPr="0076503E">
        <w:rPr>
          <w:rFonts w:ascii="Arial" w:hAnsi="Arial" w:cs="Arial"/>
          <w:sz w:val="20"/>
          <w:szCs w:val="20"/>
        </w:rPr>
        <w:t>IBP.</w:t>
      </w:r>
      <w:r w:rsidRPr="0076503E">
        <w:rPr>
          <w:rFonts w:ascii="Arial" w:hAnsi="Arial" w:cs="Arial"/>
          <w:sz w:val="20"/>
          <w:szCs w:val="20"/>
          <w:lang w:val="en-US"/>
        </w:rPr>
        <w:t xml:space="preserve"> </w:t>
      </w:r>
    </w:p>
    <w:p w14:paraId="01D84E9F" w14:textId="4F594507" w:rsidR="001869AA" w:rsidRDefault="001869AA" w:rsidP="00B96D99">
      <w:pPr>
        <w:suppressAutoHyphens/>
        <w:jc w:val="both"/>
        <w:rPr>
          <w:rFonts w:ascii="Arial" w:hAnsi="Arial" w:cs="Arial"/>
          <w:sz w:val="20"/>
          <w:szCs w:val="20"/>
          <w:lang w:val="en-US"/>
        </w:rPr>
      </w:pPr>
    </w:p>
    <w:p w14:paraId="30CC7C43" w14:textId="34C7D257" w:rsidR="001869AA" w:rsidRPr="0076503E" w:rsidRDefault="001869AA" w:rsidP="001869AA">
      <w:pPr>
        <w:shd w:val="clear" w:color="auto" w:fill="FFFFFF" w:themeFill="background1"/>
        <w:jc w:val="both"/>
        <w:rPr>
          <w:rStyle w:val="Hyperlink"/>
          <w:rFonts w:ascii="Arial" w:hAnsi="Arial" w:cs="Arial"/>
          <w:color w:val="auto"/>
          <w:sz w:val="20"/>
          <w:szCs w:val="20"/>
          <w:u w:val="none"/>
          <w:lang w:val="en-ZA"/>
        </w:rPr>
      </w:pPr>
      <w:r>
        <w:rPr>
          <w:rFonts w:ascii="Arial" w:hAnsi="Arial" w:cs="Arial"/>
          <w:sz w:val="20"/>
          <w:szCs w:val="20"/>
        </w:rPr>
        <w:t xml:space="preserve">Wampler, B., and </w:t>
      </w:r>
      <w:proofErr w:type="spellStart"/>
      <w:r>
        <w:rPr>
          <w:rFonts w:ascii="Arial" w:hAnsi="Arial" w:cs="Arial"/>
          <w:sz w:val="20"/>
          <w:szCs w:val="20"/>
        </w:rPr>
        <w:t>Khagram</w:t>
      </w:r>
      <w:proofErr w:type="spellEnd"/>
      <w:r>
        <w:rPr>
          <w:rFonts w:ascii="Arial" w:hAnsi="Arial" w:cs="Arial"/>
          <w:sz w:val="20"/>
          <w:szCs w:val="20"/>
        </w:rPr>
        <w:t xml:space="preserve">, S. </w:t>
      </w:r>
      <w:r w:rsidRPr="0076503E">
        <w:rPr>
          <w:rFonts w:ascii="Arial" w:hAnsi="Arial" w:cs="Arial"/>
          <w:sz w:val="20"/>
          <w:szCs w:val="20"/>
        </w:rPr>
        <w:t>(2015).</w:t>
      </w:r>
      <w:r>
        <w:rPr>
          <w:rFonts w:ascii="Arial" w:hAnsi="Arial" w:cs="Arial"/>
          <w:sz w:val="20"/>
          <w:szCs w:val="20"/>
        </w:rPr>
        <w:t xml:space="preserve"> “</w:t>
      </w:r>
      <w:hyperlink r:id="rId1612" w:history="1">
        <w:r w:rsidRPr="0076503E">
          <w:rPr>
            <w:rStyle w:val="Hyperlink"/>
            <w:rFonts w:ascii="Arial" w:hAnsi="Arial" w:cs="Arial"/>
            <w:sz w:val="20"/>
            <w:szCs w:val="20"/>
          </w:rPr>
          <w:t>The time is now: Advancing public participation in government fiscal policy and budget-making</w:t>
        </w:r>
      </w:hyperlink>
      <w:r>
        <w:rPr>
          <w:rStyle w:val="Hyperlink"/>
          <w:rFonts w:ascii="Arial" w:hAnsi="Arial" w:cs="Arial"/>
          <w:sz w:val="20"/>
          <w:szCs w:val="20"/>
        </w:rPr>
        <w:t>”</w:t>
      </w:r>
      <w:r w:rsidRPr="001869AA">
        <w:rPr>
          <w:rFonts w:ascii="Arial" w:hAnsi="Arial" w:cs="Arial"/>
          <w:sz w:val="20"/>
          <w:szCs w:val="20"/>
        </w:rPr>
        <w:t xml:space="preserve">. </w:t>
      </w:r>
      <w:r>
        <w:rPr>
          <w:rFonts w:ascii="Arial" w:hAnsi="Arial" w:cs="Arial"/>
          <w:sz w:val="20"/>
          <w:szCs w:val="20"/>
        </w:rPr>
        <w:t>GIFT</w:t>
      </w:r>
      <w:r w:rsidRPr="0076503E">
        <w:rPr>
          <w:rFonts w:ascii="Arial" w:hAnsi="Arial" w:cs="Arial"/>
          <w:sz w:val="20"/>
          <w:szCs w:val="20"/>
        </w:rPr>
        <w:t>.</w:t>
      </w:r>
    </w:p>
    <w:p w14:paraId="2EB9F8F5" w14:textId="77777777" w:rsidR="001869AA" w:rsidRPr="0076503E" w:rsidRDefault="001869AA" w:rsidP="00B96D99">
      <w:pPr>
        <w:suppressAutoHyphens/>
        <w:jc w:val="both"/>
        <w:rPr>
          <w:rFonts w:ascii="Arial" w:hAnsi="Arial" w:cs="Arial"/>
          <w:sz w:val="20"/>
          <w:szCs w:val="20"/>
          <w:lang w:val="en-US"/>
        </w:rPr>
      </w:pPr>
    </w:p>
    <w:p w14:paraId="6C136ACB" w14:textId="5824F177" w:rsidR="000D6229" w:rsidRPr="0076503E" w:rsidRDefault="000D6229" w:rsidP="00B96D99">
      <w:pPr>
        <w:tabs>
          <w:tab w:val="left" w:pos="2420"/>
        </w:tabs>
        <w:jc w:val="both"/>
        <w:rPr>
          <w:rFonts w:ascii="Arial" w:hAnsi="Arial" w:cs="Arial"/>
          <w:sz w:val="20"/>
          <w:szCs w:val="20"/>
          <w:lang w:val="en-US"/>
        </w:rPr>
      </w:pPr>
      <w:r w:rsidRPr="0076503E">
        <w:rPr>
          <w:rFonts w:ascii="Arial" w:hAnsi="Arial" w:cs="Arial"/>
          <w:sz w:val="20"/>
          <w:szCs w:val="20"/>
          <w:lang w:val="en-US"/>
        </w:rPr>
        <w:t xml:space="preserve">World Bank and International Monetary Fund. (2014).  </w:t>
      </w:r>
      <w:hyperlink r:id="rId1613" w:history="1">
        <w:r w:rsidRPr="0076503E">
          <w:rPr>
            <w:rStyle w:val="Hyperlink"/>
            <w:rFonts w:ascii="Arial" w:hAnsi="Arial" w:cs="Arial"/>
            <w:sz w:val="20"/>
            <w:szCs w:val="20"/>
          </w:rPr>
          <w:t>Revised guidelines for public debt management</w:t>
        </w:r>
      </w:hyperlink>
      <w:r w:rsidRPr="0076503E">
        <w:rPr>
          <w:rFonts w:ascii="Arial" w:hAnsi="Arial" w:cs="Arial"/>
          <w:sz w:val="20"/>
          <w:szCs w:val="20"/>
        </w:rPr>
        <w:t>.</w:t>
      </w:r>
    </w:p>
    <w:p w14:paraId="0BAD2E09" w14:textId="5494156D" w:rsidR="00CF3D5A" w:rsidRPr="0076503E" w:rsidRDefault="00CF3D5A" w:rsidP="00B96D99">
      <w:pPr>
        <w:tabs>
          <w:tab w:val="left" w:pos="2420"/>
        </w:tabs>
        <w:jc w:val="both"/>
        <w:rPr>
          <w:rFonts w:ascii="Arial" w:hAnsi="Arial" w:cs="Arial"/>
          <w:sz w:val="20"/>
          <w:szCs w:val="20"/>
          <w:lang w:val="en-US"/>
        </w:rPr>
      </w:pPr>
    </w:p>
    <w:p w14:paraId="08D5992B" w14:textId="65D4F0C3" w:rsidR="007B3A66" w:rsidRPr="0076503E" w:rsidRDefault="007B3A66" w:rsidP="00B96D99">
      <w:pPr>
        <w:tabs>
          <w:tab w:val="left" w:pos="2420"/>
        </w:tabs>
        <w:jc w:val="both"/>
        <w:rPr>
          <w:rFonts w:ascii="Arial" w:hAnsi="Arial" w:cs="Arial"/>
          <w:sz w:val="20"/>
          <w:szCs w:val="20"/>
          <w:lang w:val="en-US"/>
        </w:rPr>
      </w:pPr>
      <w:r w:rsidRPr="0076503E">
        <w:rPr>
          <w:rFonts w:ascii="Arial" w:hAnsi="Arial" w:cs="Arial"/>
          <w:sz w:val="20"/>
          <w:szCs w:val="20"/>
          <w:lang w:val="en-US"/>
        </w:rPr>
        <w:t xml:space="preserve">World Bank Group. (2015). </w:t>
      </w:r>
      <w:hyperlink r:id="rId1614">
        <w:r w:rsidRPr="0076503E">
          <w:rPr>
            <w:rStyle w:val="Hyperlink"/>
            <w:rFonts w:ascii="Arial" w:hAnsi="Arial" w:cs="Arial"/>
            <w:sz w:val="20"/>
            <w:szCs w:val="20"/>
            <w:lang w:val="en-ZA"/>
          </w:rPr>
          <w:t>How to develop Citizen Audit Guide and a Citizen Audit Report for improving public outreach and communication with external stakeholders</w:t>
        </w:r>
      </w:hyperlink>
      <w:r w:rsidRPr="0076503E">
        <w:rPr>
          <w:rFonts w:ascii="Arial" w:hAnsi="Arial" w:cs="Arial"/>
          <w:sz w:val="20"/>
          <w:szCs w:val="20"/>
          <w:lang w:val="en-US"/>
        </w:rPr>
        <w:t>.</w:t>
      </w:r>
    </w:p>
    <w:p w14:paraId="352561DA" w14:textId="438EB888" w:rsidR="002C436D" w:rsidRPr="0076503E" w:rsidRDefault="002C436D" w:rsidP="00B96D99">
      <w:pPr>
        <w:tabs>
          <w:tab w:val="left" w:pos="2420"/>
        </w:tabs>
        <w:jc w:val="both"/>
        <w:rPr>
          <w:rFonts w:ascii="Arial" w:hAnsi="Arial" w:cs="Arial"/>
          <w:sz w:val="20"/>
          <w:szCs w:val="20"/>
          <w:lang w:val="en-US"/>
        </w:rPr>
      </w:pPr>
    </w:p>
    <w:p w14:paraId="3A56D60D" w14:textId="0DFBEDA3" w:rsidR="002C436D" w:rsidRPr="0076503E" w:rsidRDefault="002C436D" w:rsidP="00B96D99">
      <w:pPr>
        <w:tabs>
          <w:tab w:val="left" w:pos="2420"/>
        </w:tabs>
        <w:jc w:val="both"/>
        <w:rPr>
          <w:rFonts w:ascii="Arial" w:hAnsi="Arial" w:cs="Arial"/>
          <w:bCs/>
          <w:sz w:val="20"/>
          <w:szCs w:val="20"/>
          <w:lang w:val="en-ZA"/>
        </w:rPr>
      </w:pPr>
      <w:r w:rsidRPr="0076503E">
        <w:rPr>
          <w:rFonts w:ascii="Arial" w:hAnsi="Arial" w:cs="Arial"/>
          <w:bCs/>
          <w:sz w:val="20"/>
          <w:szCs w:val="20"/>
          <w:lang w:val="en-ZA"/>
        </w:rPr>
        <w:t xml:space="preserve">World Bank Financial Management Information Systems Community of Practice. (2015). </w:t>
      </w:r>
      <w:hyperlink r:id="rId1615" w:history="1">
        <w:r w:rsidRPr="0076503E">
          <w:rPr>
            <w:rStyle w:val="Hyperlink"/>
            <w:rFonts w:ascii="Arial" w:hAnsi="Arial" w:cs="Arial"/>
            <w:bCs/>
            <w:sz w:val="20"/>
            <w:szCs w:val="20"/>
            <w:lang w:val="en-ZA"/>
          </w:rPr>
          <w:t>Managing Change in PFM System Reforms: A Guide for Practitioners</w:t>
        </w:r>
      </w:hyperlink>
      <w:r w:rsidRPr="0076503E">
        <w:rPr>
          <w:rFonts w:ascii="Arial" w:hAnsi="Arial" w:cs="Arial"/>
          <w:bCs/>
          <w:sz w:val="20"/>
          <w:szCs w:val="20"/>
          <w:lang w:val="en-ZA"/>
        </w:rPr>
        <w:t xml:space="preserve">. </w:t>
      </w:r>
    </w:p>
    <w:p w14:paraId="14D831AD" w14:textId="213E57BD" w:rsidR="009701B0" w:rsidRPr="0076503E" w:rsidRDefault="009701B0" w:rsidP="00B96D99">
      <w:pPr>
        <w:tabs>
          <w:tab w:val="left" w:pos="2420"/>
        </w:tabs>
        <w:jc w:val="both"/>
        <w:rPr>
          <w:rFonts w:ascii="Arial" w:hAnsi="Arial" w:cs="Arial"/>
          <w:bCs/>
          <w:sz w:val="20"/>
          <w:szCs w:val="20"/>
          <w:lang w:val="en-ZA"/>
        </w:rPr>
      </w:pPr>
    </w:p>
    <w:p w14:paraId="6FB8BFB4" w14:textId="1779F8FD" w:rsidR="009701B0" w:rsidRPr="0076503E" w:rsidRDefault="009701B0" w:rsidP="00B96D99">
      <w:pPr>
        <w:tabs>
          <w:tab w:val="left" w:pos="2420"/>
        </w:tabs>
        <w:jc w:val="both"/>
        <w:rPr>
          <w:rStyle w:val="Hyperlink"/>
          <w:rFonts w:ascii="Arial" w:hAnsi="Arial" w:cs="Arial"/>
          <w:sz w:val="20"/>
          <w:szCs w:val="20"/>
        </w:rPr>
      </w:pPr>
      <w:r w:rsidRPr="0076503E">
        <w:rPr>
          <w:rFonts w:ascii="Arial" w:hAnsi="Arial" w:cs="Arial"/>
          <w:sz w:val="20"/>
          <w:szCs w:val="20"/>
          <w:lang w:val="en-US"/>
        </w:rPr>
        <w:t xml:space="preserve">World Bank Group. (2015). </w:t>
      </w:r>
      <w:hyperlink r:id="rId1616" w:history="1">
        <w:r w:rsidRPr="0076503E">
          <w:rPr>
            <w:rStyle w:val="Hyperlink"/>
            <w:rFonts w:ascii="Arial" w:hAnsi="Arial" w:cs="Arial"/>
            <w:sz w:val="20"/>
            <w:szCs w:val="20"/>
          </w:rPr>
          <w:t>Framework for Disclosure in Public-Private Partnerships</w:t>
        </w:r>
      </w:hyperlink>
      <w:r w:rsidR="004D2D57" w:rsidRPr="004D2D57">
        <w:rPr>
          <w:rStyle w:val="Hyperlink"/>
          <w:rFonts w:ascii="Arial" w:hAnsi="Arial" w:cs="Arial"/>
          <w:sz w:val="20"/>
          <w:szCs w:val="20"/>
          <w:u w:val="none"/>
        </w:rPr>
        <w:t>.</w:t>
      </w:r>
    </w:p>
    <w:p w14:paraId="459621FF" w14:textId="27426C16" w:rsidR="009701B0" w:rsidRPr="0076503E" w:rsidRDefault="009701B0" w:rsidP="00B96D99">
      <w:pPr>
        <w:tabs>
          <w:tab w:val="left" w:pos="2420"/>
        </w:tabs>
        <w:jc w:val="both"/>
        <w:rPr>
          <w:rStyle w:val="Hyperlink"/>
          <w:rFonts w:ascii="Arial" w:hAnsi="Arial" w:cs="Arial"/>
          <w:sz w:val="20"/>
          <w:szCs w:val="20"/>
        </w:rPr>
      </w:pPr>
    </w:p>
    <w:p w14:paraId="3A395B77" w14:textId="63778987" w:rsidR="009701B0" w:rsidRPr="0076503E" w:rsidRDefault="009701B0" w:rsidP="00B96D99">
      <w:pPr>
        <w:tabs>
          <w:tab w:val="left" w:pos="2420"/>
        </w:tabs>
        <w:jc w:val="both"/>
        <w:rPr>
          <w:rFonts w:ascii="Arial" w:hAnsi="Arial" w:cs="Arial"/>
          <w:sz w:val="20"/>
          <w:szCs w:val="20"/>
          <w:lang w:val="en-US"/>
        </w:rPr>
      </w:pPr>
      <w:r w:rsidRPr="0076503E">
        <w:rPr>
          <w:rFonts w:ascii="Arial" w:hAnsi="Arial" w:cs="Arial"/>
          <w:sz w:val="20"/>
          <w:szCs w:val="20"/>
          <w:lang w:val="en-US"/>
        </w:rPr>
        <w:t>World Bank Group. (2017).</w:t>
      </w:r>
      <w:r w:rsidRPr="0076503E">
        <w:rPr>
          <w:rFonts w:ascii="Arial" w:hAnsi="Arial" w:cs="Arial"/>
          <w:sz w:val="20"/>
          <w:szCs w:val="20"/>
        </w:rPr>
        <w:t xml:space="preserve"> </w:t>
      </w:r>
      <w:hyperlink r:id="rId1617" w:history="1">
        <w:r w:rsidRPr="0076503E">
          <w:rPr>
            <w:rStyle w:val="Hyperlink"/>
            <w:rFonts w:ascii="Arial" w:hAnsi="Arial" w:cs="Arial"/>
            <w:sz w:val="20"/>
            <w:szCs w:val="20"/>
            <w:lang w:val="en-ZA"/>
          </w:rPr>
          <w:t>World Development Report 2017: Governance and The Law</w:t>
        </w:r>
      </w:hyperlink>
      <w:r w:rsidRPr="0076503E">
        <w:rPr>
          <w:rFonts w:ascii="Arial" w:hAnsi="Arial" w:cs="Arial"/>
          <w:sz w:val="20"/>
          <w:szCs w:val="20"/>
          <w:lang w:val="en-US"/>
        </w:rPr>
        <w:t>.</w:t>
      </w:r>
    </w:p>
    <w:p w14:paraId="554A05C2" w14:textId="6AE5D074" w:rsidR="002C436D" w:rsidRPr="0076503E" w:rsidRDefault="002C436D" w:rsidP="00B96D99">
      <w:pPr>
        <w:tabs>
          <w:tab w:val="left" w:pos="2420"/>
        </w:tabs>
        <w:jc w:val="both"/>
        <w:rPr>
          <w:rFonts w:ascii="Arial" w:hAnsi="Arial" w:cs="Arial"/>
          <w:sz w:val="20"/>
          <w:szCs w:val="20"/>
          <w:lang w:val="en-US"/>
        </w:rPr>
      </w:pPr>
    </w:p>
    <w:p w14:paraId="5F2B839F" w14:textId="1636147F" w:rsidR="009701B0" w:rsidRPr="0076503E" w:rsidRDefault="009701B0" w:rsidP="00B96D99">
      <w:pPr>
        <w:tabs>
          <w:tab w:val="left" w:pos="2420"/>
        </w:tabs>
        <w:jc w:val="both"/>
        <w:rPr>
          <w:rFonts w:ascii="Arial" w:hAnsi="Arial" w:cs="Arial"/>
          <w:sz w:val="20"/>
          <w:szCs w:val="20"/>
          <w:lang w:val="en-ZA"/>
        </w:rPr>
      </w:pPr>
      <w:r w:rsidRPr="0076503E">
        <w:rPr>
          <w:rFonts w:ascii="Arial" w:hAnsi="Arial" w:cs="Arial"/>
          <w:sz w:val="20"/>
          <w:szCs w:val="20"/>
          <w:lang w:val="en-US"/>
        </w:rPr>
        <w:t xml:space="preserve">World Bank. </w:t>
      </w:r>
      <w:hyperlink r:id="rId1618" w:history="1">
        <w:r w:rsidRPr="0076503E">
          <w:rPr>
            <w:rStyle w:val="Hyperlink"/>
            <w:rFonts w:ascii="Arial" w:hAnsi="Arial" w:cs="Arial"/>
            <w:sz w:val="20"/>
            <w:szCs w:val="20"/>
            <w:lang w:val="en-ZA"/>
          </w:rPr>
          <w:t>Open Government Data Toolkit</w:t>
        </w:r>
      </w:hyperlink>
      <w:r w:rsidRPr="0076503E">
        <w:rPr>
          <w:rFonts w:ascii="Arial" w:hAnsi="Arial" w:cs="Arial"/>
          <w:sz w:val="20"/>
          <w:szCs w:val="20"/>
          <w:lang w:val="en-ZA"/>
        </w:rPr>
        <w:t xml:space="preserve">. </w:t>
      </w:r>
    </w:p>
    <w:p w14:paraId="33BCFEF0" w14:textId="77777777" w:rsidR="009701B0" w:rsidRPr="0076503E" w:rsidRDefault="009701B0" w:rsidP="00B96D99">
      <w:pPr>
        <w:tabs>
          <w:tab w:val="left" w:pos="2420"/>
        </w:tabs>
        <w:jc w:val="both"/>
        <w:rPr>
          <w:rFonts w:ascii="Arial" w:hAnsi="Arial" w:cs="Arial"/>
          <w:sz w:val="20"/>
          <w:szCs w:val="20"/>
          <w:lang w:val="en-US"/>
        </w:rPr>
      </w:pPr>
    </w:p>
    <w:p w14:paraId="7D2394F2" w14:textId="3C016BBA" w:rsidR="007C02C7" w:rsidRPr="0076503E" w:rsidRDefault="007C02C7" w:rsidP="00B96D99">
      <w:pPr>
        <w:tabs>
          <w:tab w:val="left" w:pos="2420"/>
        </w:tabs>
        <w:jc w:val="both"/>
        <w:rPr>
          <w:rStyle w:val="Hyperlink"/>
          <w:rFonts w:ascii="Arial" w:hAnsi="Arial" w:cs="Arial"/>
          <w:iCs/>
          <w:sz w:val="20"/>
          <w:szCs w:val="20"/>
        </w:rPr>
      </w:pPr>
      <w:r w:rsidRPr="0076503E">
        <w:rPr>
          <w:rFonts w:ascii="Arial" w:hAnsi="Arial" w:cs="Arial"/>
          <w:sz w:val="20"/>
          <w:szCs w:val="20"/>
          <w:lang w:val="en-US"/>
        </w:rPr>
        <w:t xml:space="preserve">World Customs Organization. (1993).  </w:t>
      </w:r>
      <w:hyperlink r:id="rId1619" w:history="1">
        <w:r w:rsidRPr="0076503E">
          <w:rPr>
            <w:rStyle w:val="Hyperlink"/>
            <w:rFonts w:ascii="Arial" w:hAnsi="Arial" w:cs="Arial"/>
            <w:iCs/>
            <w:sz w:val="20"/>
            <w:szCs w:val="20"/>
          </w:rPr>
          <w:t>Arusha Declaration</w:t>
        </w:r>
      </w:hyperlink>
      <w:r w:rsidR="009205C9" w:rsidRPr="0076503E">
        <w:rPr>
          <w:rStyle w:val="Hyperlink"/>
          <w:rFonts w:ascii="Arial" w:hAnsi="Arial" w:cs="Arial"/>
          <w:iCs/>
          <w:sz w:val="20"/>
          <w:szCs w:val="20"/>
        </w:rPr>
        <w:t>.</w:t>
      </w:r>
    </w:p>
    <w:p w14:paraId="1E6C5CE4" w14:textId="799199EE" w:rsidR="00340613" w:rsidRPr="0076503E" w:rsidRDefault="00340613" w:rsidP="00B96D99">
      <w:pPr>
        <w:tabs>
          <w:tab w:val="left" w:pos="2420"/>
        </w:tabs>
        <w:jc w:val="both"/>
        <w:rPr>
          <w:rFonts w:ascii="Arial" w:hAnsi="Arial" w:cs="Arial"/>
          <w:sz w:val="20"/>
          <w:szCs w:val="20"/>
          <w:lang w:val="en-US"/>
        </w:rPr>
      </w:pPr>
    </w:p>
    <w:p w14:paraId="3FDB9A7D" w14:textId="06C220B9" w:rsidR="00340613" w:rsidRPr="0076503E" w:rsidRDefault="00340613" w:rsidP="00B96D99">
      <w:pPr>
        <w:pStyle w:val="FootnoteText"/>
        <w:jc w:val="both"/>
        <w:rPr>
          <w:rFonts w:ascii="Arial" w:hAnsi="Arial" w:cs="Arial"/>
        </w:rPr>
      </w:pPr>
      <w:r w:rsidRPr="0076503E">
        <w:rPr>
          <w:rFonts w:ascii="Arial" w:hAnsi="Arial" w:cs="Arial"/>
        </w:rPr>
        <w:t>World Wide Web Foundation</w:t>
      </w:r>
      <w:r w:rsidR="007D70D4" w:rsidRPr="0076503E">
        <w:rPr>
          <w:rFonts w:ascii="Arial" w:hAnsi="Arial" w:cs="Arial"/>
        </w:rPr>
        <w:t>.</w:t>
      </w:r>
      <w:r w:rsidRPr="0076503E">
        <w:rPr>
          <w:rFonts w:ascii="Arial" w:hAnsi="Arial" w:cs="Arial"/>
        </w:rPr>
        <w:t xml:space="preserve"> (2018). </w:t>
      </w:r>
      <w:hyperlink r:id="rId1620" w:history="1">
        <w:r w:rsidR="009205C9" w:rsidRPr="0076503E">
          <w:rPr>
            <w:rStyle w:val="Hyperlink"/>
            <w:rFonts w:ascii="Arial" w:hAnsi="Arial" w:cs="Arial"/>
            <w:bCs/>
          </w:rPr>
          <w:t>Open Data Barometer: Leaders Edition: From Promise to Progress</w:t>
        </w:r>
      </w:hyperlink>
      <w:r w:rsidR="007D70D4" w:rsidRPr="0076503E">
        <w:rPr>
          <w:rFonts w:ascii="Arial" w:hAnsi="Arial" w:cs="Arial"/>
        </w:rPr>
        <w:t>.</w:t>
      </w:r>
    </w:p>
    <w:p w14:paraId="0C997F69" w14:textId="7F53E03A" w:rsidR="007E7E65" w:rsidRPr="0076503E" w:rsidRDefault="007E7E65" w:rsidP="00B96D99">
      <w:pPr>
        <w:pStyle w:val="FootnoteText"/>
        <w:jc w:val="both"/>
        <w:rPr>
          <w:rFonts w:ascii="Arial" w:hAnsi="Arial" w:cs="Arial"/>
        </w:rPr>
      </w:pPr>
    </w:p>
    <w:p w14:paraId="3E5446C0" w14:textId="77777777" w:rsidR="007E7E65" w:rsidRPr="0076503E" w:rsidRDefault="007E7E65" w:rsidP="00B96D99">
      <w:pPr>
        <w:pStyle w:val="FootnoteText"/>
        <w:jc w:val="both"/>
        <w:rPr>
          <w:rFonts w:ascii="Arial" w:hAnsi="Arial" w:cs="Arial"/>
        </w:rPr>
      </w:pPr>
      <w:r w:rsidRPr="0076503E">
        <w:rPr>
          <w:rFonts w:ascii="Arial" w:hAnsi="Arial" w:cs="Arial"/>
        </w:rPr>
        <w:t>Wright, A.M. (2014). “</w:t>
      </w:r>
      <w:hyperlink r:id="rId1621" w:history="1">
        <w:r w:rsidRPr="0076503E">
          <w:rPr>
            <w:rStyle w:val="Hyperlink"/>
            <w:rFonts w:ascii="Arial" w:hAnsi="Arial" w:cs="Arial"/>
          </w:rPr>
          <w:t>Constitutional Conflict and Congressional Oversight</w:t>
        </w:r>
      </w:hyperlink>
      <w:r w:rsidRPr="0076503E">
        <w:rPr>
          <w:rFonts w:ascii="Arial" w:hAnsi="Arial" w:cs="Arial"/>
        </w:rPr>
        <w:t>”. Marquette Law Review.</w:t>
      </w:r>
    </w:p>
    <w:p w14:paraId="4FCE1624" w14:textId="77777777" w:rsidR="007E7E65" w:rsidRPr="0076503E" w:rsidRDefault="007E7E65" w:rsidP="00B96D99">
      <w:pPr>
        <w:pStyle w:val="FootnoteText"/>
        <w:jc w:val="both"/>
        <w:rPr>
          <w:rFonts w:ascii="Arial" w:hAnsi="Arial" w:cs="Arial"/>
          <w:lang w:val="en-US"/>
        </w:rPr>
      </w:pPr>
    </w:p>
    <w:p w14:paraId="071B5128" w14:textId="531F2207" w:rsidR="00340613" w:rsidRDefault="00340613" w:rsidP="00B96D99">
      <w:pPr>
        <w:tabs>
          <w:tab w:val="left" w:pos="2420"/>
        </w:tabs>
        <w:jc w:val="both"/>
        <w:rPr>
          <w:rFonts w:ascii="Arial" w:hAnsi="Arial" w:cs="Arial"/>
          <w:sz w:val="20"/>
          <w:szCs w:val="20"/>
          <w:lang w:val="en-US"/>
        </w:rPr>
      </w:pPr>
    </w:p>
    <w:p w14:paraId="6C693763" w14:textId="1B7ED0CC" w:rsidR="004B3CF0" w:rsidRDefault="004B3CF0" w:rsidP="00B96D99">
      <w:pPr>
        <w:tabs>
          <w:tab w:val="left" w:pos="2420"/>
        </w:tabs>
        <w:jc w:val="both"/>
        <w:rPr>
          <w:rFonts w:ascii="Arial" w:hAnsi="Arial" w:cs="Arial"/>
          <w:sz w:val="20"/>
          <w:szCs w:val="20"/>
          <w:lang w:val="en-US"/>
        </w:rPr>
      </w:pPr>
    </w:p>
    <w:p w14:paraId="6B1CD116" w14:textId="4B8E34EC" w:rsidR="004B3CF0" w:rsidRDefault="004B3CF0" w:rsidP="00B96D99">
      <w:pPr>
        <w:tabs>
          <w:tab w:val="left" w:pos="2420"/>
        </w:tabs>
        <w:jc w:val="both"/>
        <w:rPr>
          <w:rFonts w:ascii="Arial" w:hAnsi="Arial" w:cs="Arial"/>
          <w:sz w:val="20"/>
          <w:szCs w:val="20"/>
          <w:lang w:val="en-US"/>
        </w:rPr>
      </w:pPr>
    </w:p>
    <w:p w14:paraId="29912C5C" w14:textId="415F8B1B" w:rsidR="004B3CF0" w:rsidRDefault="004B3CF0" w:rsidP="00B96D99">
      <w:pPr>
        <w:tabs>
          <w:tab w:val="left" w:pos="2420"/>
        </w:tabs>
        <w:jc w:val="both"/>
        <w:rPr>
          <w:rFonts w:ascii="Arial" w:hAnsi="Arial" w:cs="Arial"/>
          <w:sz w:val="20"/>
          <w:szCs w:val="20"/>
          <w:lang w:val="en-US"/>
        </w:rPr>
      </w:pPr>
    </w:p>
    <w:p w14:paraId="096861CE" w14:textId="047CCAE5" w:rsidR="004B3CF0" w:rsidRDefault="004B3CF0" w:rsidP="00B96D99">
      <w:pPr>
        <w:tabs>
          <w:tab w:val="left" w:pos="2420"/>
        </w:tabs>
        <w:jc w:val="both"/>
        <w:rPr>
          <w:rFonts w:ascii="Arial" w:hAnsi="Arial" w:cs="Arial"/>
          <w:sz w:val="20"/>
          <w:szCs w:val="20"/>
          <w:lang w:val="en-US"/>
        </w:rPr>
      </w:pPr>
    </w:p>
    <w:p w14:paraId="4280695D" w14:textId="5356FB23" w:rsidR="004B3CF0" w:rsidRDefault="004B3CF0" w:rsidP="00B96D99">
      <w:pPr>
        <w:tabs>
          <w:tab w:val="left" w:pos="2420"/>
        </w:tabs>
        <w:jc w:val="both"/>
        <w:rPr>
          <w:rFonts w:ascii="Arial" w:hAnsi="Arial" w:cs="Arial"/>
          <w:sz w:val="20"/>
          <w:szCs w:val="20"/>
          <w:lang w:val="en-US"/>
        </w:rPr>
      </w:pPr>
    </w:p>
    <w:p w14:paraId="4AED4C33" w14:textId="0C911C3E" w:rsidR="004B3CF0" w:rsidRDefault="004B3CF0" w:rsidP="00B96D99">
      <w:pPr>
        <w:tabs>
          <w:tab w:val="left" w:pos="2420"/>
        </w:tabs>
        <w:jc w:val="both"/>
        <w:rPr>
          <w:rFonts w:ascii="Arial" w:hAnsi="Arial" w:cs="Arial"/>
          <w:sz w:val="20"/>
          <w:szCs w:val="20"/>
          <w:lang w:val="en-US"/>
        </w:rPr>
      </w:pPr>
    </w:p>
    <w:p w14:paraId="35F53697" w14:textId="1B3BFDF3" w:rsidR="004B3CF0" w:rsidRDefault="004B3CF0" w:rsidP="00B96D99">
      <w:pPr>
        <w:tabs>
          <w:tab w:val="left" w:pos="2420"/>
        </w:tabs>
        <w:jc w:val="both"/>
        <w:rPr>
          <w:rFonts w:ascii="Arial" w:hAnsi="Arial" w:cs="Arial"/>
          <w:sz w:val="20"/>
          <w:szCs w:val="20"/>
          <w:lang w:val="en-US"/>
        </w:rPr>
      </w:pPr>
    </w:p>
    <w:p w14:paraId="678A0481" w14:textId="34DBAFAA" w:rsidR="004B3CF0" w:rsidRDefault="004B3CF0" w:rsidP="00B96D99">
      <w:pPr>
        <w:tabs>
          <w:tab w:val="left" w:pos="2420"/>
        </w:tabs>
        <w:jc w:val="both"/>
        <w:rPr>
          <w:rFonts w:ascii="Arial" w:hAnsi="Arial" w:cs="Arial"/>
          <w:sz w:val="20"/>
          <w:szCs w:val="20"/>
          <w:lang w:val="en-US"/>
        </w:rPr>
      </w:pPr>
    </w:p>
    <w:p w14:paraId="6AEEEEB0" w14:textId="6B47BF49" w:rsidR="004B3CF0" w:rsidRDefault="004B3CF0" w:rsidP="00B96D99">
      <w:pPr>
        <w:tabs>
          <w:tab w:val="left" w:pos="2420"/>
        </w:tabs>
        <w:jc w:val="both"/>
        <w:rPr>
          <w:rFonts w:ascii="Arial" w:hAnsi="Arial" w:cs="Arial"/>
          <w:sz w:val="20"/>
          <w:szCs w:val="20"/>
          <w:lang w:val="en-US"/>
        </w:rPr>
      </w:pPr>
    </w:p>
    <w:p w14:paraId="3A823C58" w14:textId="3151DA4E" w:rsidR="004B3CF0" w:rsidRDefault="004B3CF0" w:rsidP="00B96D99">
      <w:pPr>
        <w:tabs>
          <w:tab w:val="left" w:pos="2420"/>
        </w:tabs>
        <w:jc w:val="both"/>
        <w:rPr>
          <w:rFonts w:ascii="Arial" w:hAnsi="Arial" w:cs="Arial"/>
          <w:sz w:val="20"/>
          <w:szCs w:val="20"/>
          <w:lang w:val="en-US"/>
        </w:rPr>
      </w:pPr>
    </w:p>
    <w:p w14:paraId="2C30B01D" w14:textId="62E110D7" w:rsidR="004B3CF0" w:rsidRDefault="004B3CF0" w:rsidP="00B96D99">
      <w:pPr>
        <w:tabs>
          <w:tab w:val="left" w:pos="2420"/>
        </w:tabs>
        <w:jc w:val="both"/>
        <w:rPr>
          <w:rFonts w:ascii="Arial" w:hAnsi="Arial" w:cs="Arial"/>
          <w:sz w:val="20"/>
          <w:szCs w:val="20"/>
          <w:lang w:val="en-US"/>
        </w:rPr>
      </w:pPr>
    </w:p>
    <w:p w14:paraId="6F4FECCE" w14:textId="683C9FD5" w:rsidR="004B3CF0" w:rsidRDefault="004B3CF0" w:rsidP="00B96D99">
      <w:pPr>
        <w:tabs>
          <w:tab w:val="left" w:pos="2420"/>
        </w:tabs>
        <w:jc w:val="both"/>
        <w:rPr>
          <w:rFonts w:ascii="Arial" w:hAnsi="Arial" w:cs="Arial"/>
          <w:sz w:val="20"/>
          <w:szCs w:val="20"/>
          <w:lang w:val="en-US"/>
        </w:rPr>
      </w:pPr>
    </w:p>
    <w:p w14:paraId="78CC9819" w14:textId="5BF40299" w:rsidR="004B3CF0" w:rsidRDefault="004B3CF0" w:rsidP="00B96D99">
      <w:pPr>
        <w:tabs>
          <w:tab w:val="left" w:pos="2420"/>
        </w:tabs>
        <w:jc w:val="both"/>
        <w:rPr>
          <w:rFonts w:ascii="Arial" w:hAnsi="Arial" w:cs="Arial"/>
          <w:sz w:val="20"/>
          <w:szCs w:val="20"/>
          <w:lang w:val="en-US"/>
        </w:rPr>
      </w:pPr>
    </w:p>
    <w:p w14:paraId="3B1489D0" w14:textId="1DF7CF6D" w:rsidR="004B3CF0" w:rsidRDefault="004B3CF0" w:rsidP="00B96D99">
      <w:pPr>
        <w:tabs>
          <w:tab w:val="left" w:pos="2420"/>
        </w:tabs>
        <w:jc w:val="both"/>
        <w:rPr>
          <w:rFonts w:ascii="Arial" w:hAnsi="Arial" w:cs="Arial"/>
          <w:sz w:val="20"/>
          <w:szCs w:val="20"/>
          <w:lang w:val="en-US"/>
        </w:rPr>
      </w:pPr>
    </w:p>
    <w:p w14:paraId="46DD3A6D" w14:textId="3017396C" w:rsidR="004B3CF0" w:rsidRDefault="004B3CF0" w:rsidP="00B96D99">
      <w:pPr>
        <w:tabs>
          <w:tab w:val="left" w:pos="2420"/>
        </w:tabs>
        <w:jc w:val="both"/>
        <w:rPr>
          <w:rFonts w:ascii="Arial" w:hAnsi="Arial" w:cs="Arial"/>
          <w:sz w:val="20"/>
          <w:szCs w:val="20"/>
          <w:lang w:val="en-US"/>
        </w:rPr>
      </w:pPr>
    </w:p>
    <w:p w14:paraId="0602A533" w14:textId="2E885B83" w:rsidR="004B3CF0" w:rsidRDefault="004B3CF0" w:rsidP="00B96D99">
      <w:pPr>
        <w:tabs>
          <w:tab w:val="left" w:pos="2420"/>
        </w:tabs>
        <w:jc w:val="both"/>
        <w:rPr>
          <w:rFonts w:ascii="Arial" w:hAnsi="Arial" w:cs="Arial"/>
          <w:sz w:val="20"/>
          <w:szCs w:val="20"/>
          <w:lang w:val="en-US"/>
        </w:rPr>
      </w:pPr>
    </w:p>
    <w:p w14:paraId="402B7D18" w14:textId="5F6AC6A7" w:rsidR="004B3CF0" w:rsidRDefault="004B3CF0" w:rsidP="00B96D99">
      <w:pPr>
        <w:tabs>
          <w:tab w:val="left" w:pos="2420"/>
        </w:tabs>
        <w:jc w:val="both"/>
        <w:rPr>
          <w:rFonts w:ascii="Arial" w:hAnsi="Arial" w:cs="Arial"/>
          <w:sz w:val="20"/>
          <w:szCs w:val="20"/>
          <w:lang w:val="en-US"/>
        </w:rPr>
      </w:pPr>
    </w:p>
    <w:p w14:paraId="1E53D2B5" w14:textId="10C71BA9" w:rsidR="004B3CF0" w:rsidRDefault="004B3CF0" w:rsidP="00B96D99">
      <w:pPr>
        <w:tabs>
          <w:tab w:val="left" w:pos="2420"/>
        </w:tabs>
        <w:jc w:val="both"/>
        <w:rPr>
          <w:rFonts w:ascii="Arial" w:hAnsi="Arial" w:cs="Arial"/>
          <w:sz w:val="20"/>
          <w:szCs w:val="20"/>
          <w:lang w:val="en-US"/>
        </w:rPr>
      </w:pPr>
    </w:p>
    <w:p w14:paraId="417CD4D2" w14:textId="6CFD5F7E" w:rsidR="004B3CF0" w:rsidRDefault="004B3CF0" w:rsidP="00B96D99">
      <w:pPr>
        <w:tabs>
          <w:tab w:val="left" w:pos="2420"/>
        </w:tabs>
        <w:jc w:val="both"/>
        <w:rPr>
          <w:rFonts w:ascii="Arial" w:hAnsi="Arial" w:cs="Arial"/>
          <w:sz w:val="20"/>
          <w:szCs w:val="20"/>
          <w:lang w:val="en-US"/>
        </w:rPr>
      </w:pPr>
    </w:p>
    <w:p w14:paraId="4F45517E" w14:textId="31543E31" w:rsidR="004B3CF0" w:rsidRDefault="004B3CF0" w:rsidP="00B96D99">
      <w:pPr>
        <w:tabs>
          <w:tab w:val="left" w:pos="2420"/>
        </w:tabs>
        <w:jc w:val="both"/>
        <w:rPr>
          <w:rFonts w:ascii="Arial" w:hAnsi="Arial" w:cs="Arial"/>
          <w:sz w:val="20"/>
          <w:szCs w:val="20"/>
          <w:lang w:val="en-US"/>
        </w:rPr>
      </w:pPr>
    </w:p>
    <w:p w14:paraId="07E2BB77" w14:textId="203E79A8" w:rsidR="004B3CF0" w:rsidRDefault="004B3CF0" w:rsidP="00B96D99">
      <w:pPr>
        <w:tabs>
          <w:tab w:val="left" w:pos="2420"/>
        </w:tabs>
        <w:jc w:val="both"/>
        <w:rPr>
          <w:rFonts w:ascii="Arial" w:hAnsi="Arial" w:cs="Arial"/>
          <w:sz w:val="20"/>
          <w:szCs w:val="20"/>
          <w:lang w:val="en-US"/>
        </w:rPr>
      </w:pPr>
    </w:p>
    <w:p w14:paraId="17CDE911" w14:textId="5172EC25" w:rsidR="004B3CF0" w:rsidRDefault="004B3CF0" w:rsidP="00B96D99">
      <w:pPr>
        <w:tabs>
          <w:tab w:val="left" w:pos="2420"/>
        </w:tabs>
        <w:jc w:val="both"/>
        <w:rPr>
          <w:rFonts w:ascii="Arial" w:hAnsi="Arial" w:cs="Arial"/>
          <w:sz w:val="20"/>
          <w:szCs w:val="20"/>
          <w:lang w:val="en-US"/>
        </w:rPr>
      </w:pPr>
    </w:p>
    <w:p w14:paraId="40DA1F68" w14:textId="0AF3BC11" w:rsidR="004B3CF0" w:rsidRDefault="004B3CF0" w:rsidP="00B96D99">
      <w:pPr>
        <w:tabs>
          <w:tab w:val="left" w:pos="2420"/>
        </w:tabs>
        <w:jc w:val="both"/>
        <w:rPr>
          <w:rFonts w:ascii="Arial" w:hAnsi="Arial" w:cs="Arial"/>
          <w:sz w:val="20"/>
          <w:szCs w:val="20"/>
          <w:lang w:val="en-US"/>
        </w:rPr>
      </w:pPr>
    </w:p>
    <w:p w14:paraId="43827F23" w14:textId="00544CF1" w:rsidR="004B3CF0" w:rsidRDefault="004B3CF0" w:rsidP="00B96D99">
      <w:pPr>
        <w:tabs>
          <w:tab w:val="left" w:pos="2420"/>
        </w:tabs>
        <w:jc w:val="both"/>
        <w:rPr>
          <w:rFonts w:ascii="Arial" w:hAnsi="Arial" w:cs="Arial"/>
          <w:sz w:val="20"/>
          <w:szCs w:val="20"/>
          <w:lang w:val="en-US"/>
        </w:rPr>
      </w:pPr>
    </w:p>
    <w:p w14:paraId="3D186A41" w14:textId="6CB11C00" w:rsidR="004B3CF0" w:rsidRDefault="004B3CF0" w:rsidP="00B96D99">
      <w:pPr>
        <w:tabs>
          <w:tab w:val="left" w:pos="2420"/>
        </w:tabs>
        <w:jc w:val="both"/>
        <w:rPr>
          <w:rFonts w:ascii="Arial" w:hAnsi="Arial" w:cs="Arial"/>
          <w:sz w:val="20"/>
          <w:szCs w:val="20"/>
          <w:lang w:val="en-US"/>
        </w:rPr>
      </w:pPr>
    </w:p>
    <w:p w14:paraId="618C12CD" w14:textId="55BA2467" w:rsidR="004B3CF0" w:rsidRDefault="004B3CF0" w:rsidP="00B96D99">
      <w:pPr>
        <w:tabs>
          <w:tab w:val="left" w:pos="2420"/>
        </w:tabs>
        <w:jc w:val="both"/>
        <w:rPr>
          <w:rFonts w:ascii="Arial" w:hAnsi="Arial" w:cs="Arial"/>
          <w:sz w:val="20"/>
          <w:szCs w:val="20"/>
          <w:lang w:val="en-US"/>
        </w:rPr>
      </w:pPr>
    </w:p>
    <w:p w14:paraId="61136CC4" w14:textId="414083E1" w:rsidR="004B3CF0" w:rsidRDefault="004B3CF0" w:rsidP="00B96D99">
      <w:pPr>
        <w:tabs>
          <w:tab w:val="left" w:pos="2420"/>
        </w:tabs>
        <w:jc w:val="both"/>
        <w:rPr>
          <w:rFonts w:ascii="Arial" w:hAnsi="Arial" w:cs="Arial"/>
          <w:sz w:val="20"/>
          <w:szCs w:val="20"/>
          <w:lang w:val="en-US"/>
        </w:rPr>
      </w:pPr>
    </w:p>
    <w:p w14:paraId="63101F0F" w14:textId="7C8477DC" w:rsidR="004B3CF0" w:rsidRDefault="004B3CF0" w:rsidP="00B96D99">
      <w:pPr>
        <w:tabs>
          <w:tab w:val="left" w:pos="2420"/>
        </w:tabs>
        <w:jc w:val="both"/>
        <w:rPr>
          <w:rFonts w:ascii="Arial" w:hAnsi="Arial" w:cs="Arial"/>
          <w:sz w:val="20"/>
          <w:szCs w:val="20"/>
          <w:lang w:val="en-US"/>
        </w:rPr>
      </w:pPr>
    </w:p>
    <w:p w14:paraId="00F724F8" w14:textId="2451DCE4" w:rsidR="004B3CF0" w:rsidRDefault="004B3CF0" w:rsidP="00B96D99">
      <w:pPr>
        <w:tabs>
          <w:tab w:val="left" w:pos="2420"/>
        </w:tabs>
        <w:jc w:val="both"/>
        <w:rPr>
          <w:rFonts w:ascii="Arial" w:hAnsi="Arial" w:cs="Arial"/>
          <w:sz w:val="20"/>
          <w:szCs w:val="20"/>
          <w:lang w:val="en-US"/>
        </w:rPr>
      </w:pPr>
    </w:p>
    <w:p w14:paraId="7393E367" w14:textId="0B87E430" w:rsidR="004B3CF0" w:rsidRDefault="004B3CF0" w:rsidP="00B96D99">
      <w:pPr>
        <w:tabs>
          <w:tab w:val="left" w:pos="2420"/>
        </w:tabs>
        <w:jc w:val="both"/>
        <w:rPr>
          <w:rFonts w:ascii="Arial" w:hAnsi="Arial" w:cs="Arial"/>
          <w:sz w:val="20"/>
          <w:szCs w:val="20"/>
          <w:lang w:val="en-US"/>
        </w:rPr>
      </w:pPr>
    </w:p>
    <w:p w14:paraId="7749C7BF" w14:textId="6480E112" w:rsidR="004B3CF0" w:rsidRDefault="004B3CF0" w:rsidP="00B96D99">
      <w:pPr>
        <w:tabs>
          <w:tab w:val="left" w:pos="2420"/>
        </w:tabs>
        <w:jc w:val="both"/>
        <w:rPr>
          <w:rFonts w:ascii="Arial" w:hAnsi="Arial" w:cs="Arial"/>
          <w:sz w:val="20"/>
          <w:szCs w:val="20"/>
          <w:lang w:val="en-US"/>
        </w:rPr>
      </w:pPr>
    </w:p>
    <w:p w14:paraId="3F4764F4" w14:textId="30F8B052" w:rsidR="004B3CF0" w:rsidRDefault="004B3CF0" w:rsidP="00B96D99">
      <w:pPr>
        <w:tabs>
          <w:tab w:val="left" w:pos="2420"/>
        </w:tabs>
        <w:jc w:val="both"/>
        <w:rPr>
          <w:rFonts w:ascii="Arial" w:hAnsi="Arial" w:cs="Arial"/>
          <w:sz w:val="20"/>
          <w:szCs w:val="20"/>
          <w:lang w:val="en-US"/>
        </w:rPr>
      </w:pPr>
    </w:p>
    <w:p w14:paraId="4F90FECC" w14:textId="088BBD1E" w:rsidR="004B3CF0" w:rsidRDefault="004B3CF0" w:rsidP="00B96D99">
      <w:pPr>
        <w:tabs>
          <w:tab w:val="left" w:pos="2420"/>
        </w:tabs>
        <w:jc w:val="both"/>
        <w:rPr>
          <w:rFonts w:ascii="Arial" w:hAnsi="Arial" w:cs="Arial"/>
          <w:sz w:val="20"/>
          <w:szCs w:val="20"/>
          <w:lang w:val="en-US"/>
        </w:rPr>
      </w:pPr>
    </w:p>
    <w:p w14:paraId="73E2D5AD" w14:textId="602C4D60" w:rsidR="004B3CF0" w:rsidRDefault="004B3CF0" w:rsidP="00B96D99">
      <w:pPr>
        <w:tabs>
          <w:tab w:val="left" w:pos="2420"/>
        </w:tabs>
        <w:jc w:val="both"/>
        <w:rPr>
          <w:rFonts w:ascii="Arial" w:hAnsi="Arial" w:cs="Arial"/>
          <w:sz w:val="20"/>
          <w:szCs w:val="20"/>
          <w:lang w:val="en-US"/>
        </w:rPr>
      </w:pPr>
    </w:p>
    <w:p w14:paraId="1EA13BB6" w14:textId="2A7C74CF" w:rsidR="004B3CF0" w:rsidRDefault="004B3CF0" w:rsidP="00B96D99">
      <w:pPr>
        <w:tabs>
          <w:tab w:val="left" w:pos="2420"/>
        </w:tabs>
        <w:jc w:val="both"/>
        <w:rPr>
          <w:rFonts w:ascii="Arial" w:hAnsi="Arial" w:cs="Arial"/>
          <w:sz w:val="20"/>
          <w:szCs w:val="20"/>
          <w:lang w:val="en-US"/>
        </w:rPr>
      </w:pPr>
    </w:p>
    <w:p w14:paraId="0399EBD1" w14:textId="42F85065" w:rsidR="004B3CF0" w:rsidRDefault="004B3CF0" w:rsidP="00B96D99">
      <w:pPr>
        <w:tabs>
          <w:tab w:val="left" w:pos="2420"/>
        </w:tabs>
        <w:jc w:val="both"/>
        <w:rPr>
          <w:rFonts w:ascii="Arial" w:hAnsi="Arial" w:cs="Arial"/>
          <w:sz w:val="20"/>
          <w:szCs w:val="20"/>
          <w:lang w:val="en-US"/>
        </w:rPr>
      </w:pPr>
    </w:p>
    <w:p w14:paraId="4B31179F" w14:textId="3563FBF0" w:rsidR="004B3CF0" w:rsidRDefault="004B3CF0" w:rsidP="00B96D99">
      <w:pPr>
        <w:tabs>
          <w:tab w:val="left" w:pos="2420"/>
        </w:tabs>
        <w:jc w:val="both"/>
        <w:rPr>
          <w:rFonts w:ascii="Arial" w:hAnsi="Arial" w:cs="Arial"/>
          <w:sz w:val="20"/>
          <w:szCs w:val="20"/>
          <w:lang w:val="en-US"/>
        </w:rPr>
      </w:pPr>
    </w:p>
    <w:p w14:paraId="57C50379" w14:textId="3C231844" w:rsidR="004B3CF0" w:rsidRDefault="004B3CF0" w:rsidP="00B96D99">
      <w:pPr>
        <w:tabs>
          <w:tab w:val="left" w:pos="2420"/>
        </w:tabs>
        <w:jc w:val="both"/>
        <w:rPr>
          <w:rFonts w:ascii="Arial" w:hAnsi="Arial" w:cs="Arial"/>
          <w:sz w:val="20"/>
          <w:szCs w:val="20"/>
          <w:lang w:val="en-US"/>
        </w:rPr>
      </w:pPr>
    </w:p>
    <w:p w14:paraId="2966C458" w14:textId="7225311D" w:rsidR="004B3CF0" w:rsidRDefault="004B3CF0" w:rsidP="00B96D99">
      <w:pPr>
        <w:tabs>
          <w:tab w:val="left" w:pos="2420"/>
        </w:tabs>
        <w:jc w:val="both"/>
        <w:rPr>
          <w:rFonts w:ascii="Arial" w:hAnsi="Arial" w:cs="Arial"/>
          <w:sz w:val="20"/>
          <w:szCs w:val="20"/>
          <w:lang w:val="en-US"/>
        </w:rPr>
      </w:pPr>
    </w:p>
    <w:p w14:paraId="6872D862" w14:textId="18E4252F" w:rsidR="004B3CF0" w:rsidRDefault="004B3CF0" w:rsidP="00B96D99">
      <w:pPr>
        <w:tabs>
          <w:tab w:val="left" w:pos="2420"/>
        </w:tabs>
        <w:jc w:val="both"/>
        <w:rPr>
          <w:rFonts w:ascii="Arial" w:hAnsi="Arial" w:cs="Arial"/>
          <w:sz w:val="20"/>
          <w:szCs w:val="20"/>
          <w:lang w:val="en-US"/>
        </w:rPr>
      </w:pPr>
    </w:p>
    <w:p w14:paraId="0373400A" w14:textId="776C6971" w:rsidR="004B3CF0" w:rsidRDefault="004B3CF0" w:rsidP="00B96D99">
      <w:pPr>
        <w:tabs>
          <w:tab w:val="left" w:pos="2420"/>
        </w:tabs>
        <w:jc w:val="both"/>
        <w:rPr>
          <w:rFonts w:ascii="Arial" w:hAnsi="Arial" w:cs="Arial"/>
          <w:sz w:val="20"/>
          <w:szCs w:val="20"/>
          <w:lang w:val="en-US"/>
        </w:rPr>
      </w:pPr>
    </w:p>
    <w:p w14:paraId="1515FB88" w14:textId="075F3E0B" w:rsidR="004B3CF0" w:rsidRDefault="004B3CF0" w:rsidP="00B96D99">
      <w:pPr>
        <w:tabs>
          <w:tab w:val="left" w:pos="2420"/>
        </w:tabs>
        <w:jc w:val="both"/>
        <w:rPr>
          <w:rFonts w:ascii="Arial" w:hAnsi="Arial" w:cs="Arial"/>
          <w:sz w:val="20"/>
          <w:szCs w:val="20"/>
          <w:lang w:val="en-US"/>
        </w:rPr>
      </w:pPr>
    </w:p>
    <w:p w14:paraId="6BDBD0DC" w14:textId="6AE86FD8" w:rsidR="004B3CF0" w:rsidRDefault="004B3CF0" w:rsidP="00B96D99">
      <w:pPr>
        <w:tabs>
          <w:tab w:val="left" w:pos="2420"/>
        </w:tabs>
        <w:jc w:val="both"/>
        <w:rPr>
          <w:rFonts w:ascii="Arial" w:hAnsi="Arial" w:cs="Arial"/>
          <w:sz w:val="20"/>
          <w:szCs w:val="20"/>
          <w:lang w:val="en-US"/>
        </w:rPr>
      </w:pPr>
    </w:p>
    <w:p w14:paraId="7217AF45" w14:textId="11ABE95F" w:rsidR="004B3CF0" w:rsidRDefault="004B3CF0" w:rsidP="00B96D99">
      <w:pPr>
        <w:tabs>
          <w:tab w:val="left" w:pos="2420"/>
        </w:tabs>
        <w:jc w:val="both"/>
        <w:rPr>
          <w:rFonts w:ascii="Arial" w:hAnsi="Arial" w:cs="Arial"/>
          <w:sz w:val="20"/>
          <w:szCs w:val="20"/>
          <w:lang w:val="en-US"/>
        </w:rPr>
      </w:pPr>
    </w:p>
    <w:p w14:paraId="0B24AC5E" w14:textId="18F5573C" w:rsidR="004B3CF0" w:rsidRDefault="004B3CF0" w:rsidP="00B96D99">
      <w:pPr>
        <w:tabs>
          <w:tab w:val="left" w:pos="2420"/>
        </w:tabs>
        <w:jc w:val="both"/>
        <w:rPr>
          <w:rFonts w:ascii="Arial" w:hAnsi="Arial" w:cs="Arial"/>
          <w:sz w:val="20"/>
          <w:szCs w:val="20"/>
          <w:lang w:val="en-US"/>
        </w:rPr>
      </w:pPr>
    </w:p>
    <w:p w14:paraId="17205E68" w14:textId="4FD28BCE" w:rsidR="004B3CF0" w:rsidRDefault="004B3CF0" w:rsidP="00B96D99">
      <w:pPr>
        <w:tabs>
          <w:tab w:val="left" w:pos="2420"/>
        </w:tabs>
        <w:jc w:val="both"/>
        <w:rPr>
          <w:rFonts w:ascii="Arial" w:hAnsi="Arial" w:cs="Arial"/>
          <w:sz w:val="20"/>
          <w:szCs w:val="20"/>
          <w:lang w:val="en-US"/>
        </w:rPr>
      </w:pPr>
    </w:p>
    <w:p w14:paraId="5B4A3760" w14:textId="493B3A09" w:rsidR="004B3CF0" w:rsidRDefault="004B3CF0" w:rsidP="00B96D99">
      <w:pPr>
        <w:tabs>
          <w:tab w:val="left" w:pos="2420"/>
        </w:tabs>
        <w:jc w:val="both"/>
        <w:rPr>
          <w:rFonts w:ascii="Arial" w:hAnsi="Arial" w:cs="Arial"/>
          <w:sz w:val="20"/>
          <w:szCs w:val="20"/>
          <w:lang w:val="en-US"/>
        </w:rPr>
      </w:pPr>
    </w:p>
    <w:p w14:paraId="002E5526" w14:textId="0C85392C" w:rsidR="004B3CF0" w:rsidRDefault="004B3CF0" w:rsidP="00B96D99">
      <w:pPr>
        <w:tabs>
          <w:tab w:val="left" w:pos="2420"/>
        </w:tabs>
        <w:jc w:val="both"/>
        <w:rPr>
          <w:rFonts w:ascii="Arial" w:hAnsi="Arial" w:cs="Arial"/>
          <w:sz w:val="20"/>
          <w:szCs w:val="20"/>
          <w:lang w:val="en-US"/>
        </w:rPr>
      </w:pPr>
    </w:p>
    <w:p w14:paraId="6DEF0076" w14:textId="5AB66595" w:rsidR="004B3CF0" w:rsidRDefault="004B3CF0" w:rsidP="00B96D99">
      <w:pPr>
        <w:tabs>
          <w:tab w:val="left" w:pos="2420"/>
        </w:tabs>
        <w:jc w:val="both"/>
        <w:rPr>
          <w:rFonts w:ascii="Arial" w:hAnsi="Arial" w:cs="Arial"/>
          <w:sz w:val="20"/>
          <w:szCs w:val="20"/>
          <w:lang w:val="en-US"/>
        </w:rPr>
      </w:pPr>
    </w:p>
    <w:p w14:paraId="2263DD3F" w14:textId="1785334C" w:rsidR="004C044F" w:rsidRDefault="004C044F" w:rsidP="00B96D99">
      <w:pPr>
        <w:tabs>
          <w:tab w:val="left" w:pos="2420"/>
        </w:tabs>
        <w:jc w:val="both"/>
        <w:rPr>
          <w:rFonts w:ascii="Arial" w:hAnsi="Arial" w:cs="Arial"/>
          <w:sz w:val="20"/>
          <w:szCs w:val="20"/>
          <w:lang w:val="en-US"/>
        </w:rPr>
      </w:pPr>
    </w:p>
    <w:p w14:paraId="6C0DA174" w14:textId="3C1DBB1E" w:rsidR="004C044F" w:rsidRDefault="004C044F" w:rsidP="00B96D99">
      <w:pPr>
        <w:tabs>
          <w:tab w:val="left" w:pos="2420"/>
        </w:tabs>
        <w:jc w:val="both"/>
        <w:rPr>
          <w:rFonts w:ascii="Arial" w:hAnsi="Arial" w:cs="Arial"/>
          <w:sz w:val="20"/>
          <w:szCs w:val="20"/>
          <w:lang w:val="en-US"/>
        </w:rPr>
      </w:pPr>
    </w:p>
    <w:p w14:paraId="5BA04DCE" w14:textId="4864F03F" w:rsidR="004C044F" w:rsidRDefault="004C044F" w:rsidP="00B96D99">
      <w:pPr>
        <w:tabs>
          <w:tab w:val="left" w:pos="2420"/>
        </w:tabs>
        <w:jc w:val="both"/>
        <w:rPr>
          <w:rFonts w:ascii="Arial" w:hAnsi="Arial" w:cs="Arial"/>
          <w:sz w:val="20"/>
          <w:szCs w:val="20"/>
          <w:lang w:val="en-US"/>
        </w:rPr>
      </w:pPr>
    </w:p>
    <w:p w14:paraId="63618CA2" w14:textId="3CB1BA27" w:rsidR="004C044F" w:rsidRDefault="004C044F" w:rsidP="00B96D99">
      <w:pPr>
        <w:tabs>
          <w:tab w:val="left" w:pos="2420"/>
        </w:tabs>
        <w:jc w:val="both"/>
        <w:rPr>
          <w:rFonts w:ascii="Arial" w:hAnsi="Arial" w:cs="Arial"/>
          <w:sz w:val="20"/>
          <w:szCs w:val="20"/>
          <w:lang w:val="en-US"/>
        </w:rPr>
      </w:pPr>
    </w:p>
    <w:p w14:paraId="093F3639" w14:textId="092D91BE" w:rsidR="004C044F" w:rsidRDefault="004C044F" w:rsidP="00B96D99">
      <w:pPr>
        <w:tabs>
          <w:tab w:val="left" w:pos="2420"/>
        </w:tabs>
        <w:jc w:val="both"/>
        <w:rPr>
          <w:rFonts w:ascii="Arial" w:hAnsi="Arial" w:cs="Arial"/>
          <w:sz w:val="20"/>
          <w:szCs w:val="20"/>
          <w:lang w:val="en-US"/>
        </w:rPr>
      </w:pPr>
    </w:p>
    <w:p w14:paraId="343CDB00" w14:textId="075AC2A0" w:rsidR="004C044F" w:rsidRDefault="004C044F" w:rsidP="00B96D99">
      <w:pPr>
        <w:tabs>
          <w:tab w:val="left" w:pos="2420"/>
        </w:tabs>
        <w:jc w:val="both"/>
        <w:rPr>
          <w:rFonts w:ascii="Arial" w:hAnsi="Arial" w:cs="Arial"/>
          <w:sz w:val="20"/>
          <w:szCs w:val="20"/>
          <w:lang w:val="en-US"/>
        </w:rPr>
      </w:pPr>
    </w:p>
    <w:p w14:paraId="3FE93790" w14:textId="36C399CF" w:rsidR="004C044F" w:rsidRDefault="004C044F" w:rsidP="00B96D99">
      <w:pPr>
        <w:tabs>
          <w:tab w:val="left" w:pos="2420"/>
        </w:tabs>
        <w:jc w:val="both"/>
        <w:rPr>
          <w:rFonts w:ascii="Arial" w:hAnsi="Arial" w:cs="Arial"/>
          <w:sz w:val="20"/>
          <w:szCs w:val="20"/>
          <w:lang w:val="en-US"/>
        </w:rPr>
      </w:pPr>
    </w:p>
    <w:p w14:paraId="08F06CD9" w14:textId="06B53A52" w:rsidR="004C044F" w:rsidRDefault="004C044F" w:rsidP="00B96D99">
      <w:pPr>
        <w:tabs>
          <w:tab w:val="left" w:pos="2420"/>
        </w:tabs>
        <w:jc w:val="both"/>
        <w:rPr>
          <w:rFonts w:ascii="Arial" w:hAnsi="Arial" w:cs="Arial"/>
          <w:sz w:val="20"/>
          <w:szCs w:val="20"/>
          <w:lang w:val="en-US"/>
        </w:rPr>
      </w:pPr>
    </w:p>
    <w:p w14:paraId="718B1CE6" w14:textId="373A9C77" w:rsidR="004C044F" w:rsidRDefault="004C044F" w:rsidP="00B96D99">
      <w:pPr>
        <w:tabs>
          <w:tab w:val="left" w:pos="2420"/>
        </w:tabs>
        <w:jc w:val="both"/>
        <w:rPr>
          <w:rFonts w:ascii="Arial" w:hAnsi="Arial" w:cs="Arial"/>
          <w:sz w:val="20"/>
          <w:szCs w:val="20"/>
          <w:lang w:val="en-US"/>
        </w:rPr>
      </w:pPr>
    </w:p>
    <w:p w14:paraId="5E916017" w14:textId="7DB18E7C" w:rsidR="004C044F" w:rsidRDefault="004C044F" w:rsidP="00B96D99">
      <w:pPr>
        <w:tabs>
          <w:tab w:val="left" w:pos="2420"/>
        </w:tabs>
        <w:jc w:val="both"/>
        <w:rPr>
          <w:rFonts w:ascii="Arial" w:hAnsi="Arial" w:cs="Arial"/>
          <w:sz w:val="20"/>
          <w:szCs w:val="20"/>
          <w:lang w:val="en-US"/>
        </w:rPr>
      </w:pPr>
    </w:p>
    <w:p w14:paraId="1FB43751" w14:textId="4901FF00" w:rsidR="004C044F" w:rsidRDefault="004C044F" w:rsidP="00B96D99">
      <w:pPr>
        <w:tabs>
          <w:tab w:val="left" w:pos="2420"/>
        </w:tabs>
        <w:jc w:val="both"/>
        <w:rPr>
          <w:rFonts w:ascii="Arial" w:hAnsi="Arial" w:cs="Arial"/>
          <w:sz w:val="20"/>
          <w:szCs w:val="20"/>
          <w:lang w:val="en-US"/>
        </w:rPr>
      </w:pPr>
    </w:p>
    <w:p w14:paraId="6CA08022" w14:textId="496DF656" w:rsidR="004C044F" w:rsidRDefault="004C044F" w:rsidP="00B96D99">
      <w:pPr>
        <w:tabs>
          <w:tab w:val="left" w:pos="2420"/>
        </w:tabs>
        <w:jc w:val="both"/>
        <w:rPr>
          <w:rFonts w:ascii="Arial" w:hAnsi="Arial" w:cs="Arial"/>
          <w:sz w:val="20"/>
          <w:szCs w:val="20"/>
          <w:lang w:val="en-US"/>
        </w:rPr>
      </w:pPr>
    </w:p>
    <w:p w14:paraId="1A901730" w14:textId="5C3877E3" w:rsidR="004C044F" w:rsidRDefault="004C044F" w:rsidP="00B96D99">
      <w:pPr>
        <w:tabs>
          <w:tab w:val="left" w:pos="2420"/>
        </w:tabs>
        <w:jc w:val="both"/>
        <w:rPr>
          <w:rFonts w:ascii="Arial" w:hAnsi="Arial" w:cs="Arial"/>
          <w:sz w:val="20"/>
          <w:szCs w:val="20"/>
          <w:lang w:val="en-US"/>
        </w:rPr>
      </w:pPr>
    </w:p>
    <w:p w14:paraId="7D5C24B1" w14:textId="499846CD" w:rsidR="004C044F" w:rsidRDefault="004C044F" w:rsidP="00B96D99">
      <w:pPr>
        <w:tabs>
          <w:tab w:val="left" w:pos="2420"/>
        </w:tabs>
        <w:jc w:val="both"/>
        <w:rPr>
          <w:rFonts w:ascii="Arial" w:hAnsi="Arial" w:cs="Arial"/>
          <w:sz w:val="20"/>
          <w:szCs w:val="20"/>
          <w:lang w:val="en-US"/>
        </w:rPr>
      </w:pPr>
    </w:p>
    <w:p w14:paraId="71E0F61E" w14:textId="21A334CB" w:rsidR="004C044F" w:rsidRDefault="004C044F" w:rsidP="00B96D99">
      <w:pPr>
        <w:tabs>
          <w:tab w:val="left" w:pos="2420"/>
        </w:tabs>
        <w:jc w:val="both"/>
        <w:rPr>
          <w:rFonts w:ascii="Arial" w:hAnsi="Arial" w:cs="Arial"/>
          <w:sz w:val="20"/>
          <w:szCs w:val="20"/>
          <w:lang w:val="en-US"/>
        </w:rPr>
      </w:pPr>
    </w:p>
    <w:p w14:paraId="0D2D10A3" w14:textId="18FAD44A" w:rsidR="004C044F" w:rsidRDefault="004C044F" w:rsidP="00B96D99">
      <w:pPr>
        <w:tabs>
          <w:tab w:val="left" w:pos="2420"/>
        </w:tabs>
        <w:jc w:val="both"/>
        <w:rPr>
          <w:rFonts w:ascii="Arial" w:hAnsi="Arial" w:cs="Arial"/>
          <w:sz w:val="20"/>
          <w:szCs w:val="20"/>
          <w:lang w:val="en-US"/>
        </w:rPr>
      </w:pPr>
    </w:p>
    <w:p w14:paraId="69AEDAF2" w14:textId="4AF5AABF" w:rsidR="004C044F" w:rsidRDefault="004C044F" w:rsidP="00B96D99">
      <w:pPr>
        <w:tabs>
          <w:tab w:val="left" w:pos="2420"/>
        </w:tabs>
        <w:jc w:val="both"/>
        <w:rPr>
          <w:rFonts w:ascii="Arial" w:hAnsi="Arial" w:cs="Arial"/>
          <w:sz w:val="20"/>
          <w:szCs w:val="20"/>
          <w:lang w:val="en-US"/>
        </w:rPr>
      </w:pPr>
    </w:p>
    <w:p w14:paraId="71866F42" w14:textId="7EE727AE" w:rsidR="004C044F" w:rsidRDefault="004C044F" w:rsidP="00B96D99">
      <w:pPr>
        <w:tabs>
          <w:tab w:val="left" w:pos="2420"/>
        </w:tabs>
        <w:jc w:val="both"/>
        <w:rPr>
          <w:rFonts w:ascii="Arial" w:hAnsi="Arial" w:cs="Arial"/>
          <w:sz w:val="20"/>
          <w:szCs w:val="20"/>
          <w:lang w:val="en-US"/>
        </w:rPr>
      </w:pPr>
    </w:p>
    <w:p w14:paraId="04EA32E1" w14:textId="2ABEB1BE" w:rsidR="004C044F" w:rsidRDefault="004C044F" w:rsidP="00B96D99">
      <w:pPr>
        <w:tabs>
          <w:tab w:val="left" w:pos="2420"/>
        </w:tabs>
        <w:jc w:val="both"/>
        <w:rPr>
          <w:rFonts w:ascii="Arial" w:hAnsi="Arial" w:cs="Arial"/>
          <w:sz w:val="20"/>
          <w:szCs w:val="20"/>
          <w:lang w:val="en-US"/>
        </w:rPr>
      </w:pPr>
    </w:p>
    <w:p w14:paraId="70B59346" w14:textId="760550B7" w:rsidR="004C044F" w:rsidRDefault="004C044F" w:rsidP="00B96D99">
      <w:pPr>
        <w:tabs>
          <w:tab w:val="left" w:pos="2420"/>
        </w:tabs>
        <w:jc w:val="both"/>
        <w:rPr>
          <w:rFonts w:ascii="Arial" w:hAnsi="Arial" w:cs="Arial"/>
          <w:sz w:val="20"/>
          <w:szCs w:val="20"/>
          <w:lang w:val="en-US"/>
        </w:rPr>
      </w:pPr>
    </w:p>
    <w:p w14:paraId="44F66754" w14:textId="35472070" w:rsidR="004C044F" w:rsidRDefault="004C044F" w:rsidP="00B96D99">
      <w:pPr>
        <w:tabs>
          <w:tab w:val="left" w:pos="2420"/>
        </w:tabs>
        <w:jc w:val="both"/>
        <w:rPr>
          <w:rFonts w:ascii="Arial" w:hAnsi="Arial" w:cs="Arial"/>
          <w:sz w:val="20"/>
          <w:szCs w:val="20"/>
          <w:lang w:val="en-US"/>
        </w:rPr>
      </w:pPr>
    </w:p>
    <w:p w14:paraId="04B43FAF" w14:textId="28254DD7" w:rsidR="004C044F" w:rsidRDefault="004C044F" w:rsidP="00B96D99">
      <w:pPr>
        <w:tabs>
          <w:tab w:val="left" w:pos="2420"/>
        </w:tabs>
        <w:jc w:val="both"/>
        <w:rPr>
          <w:rFonts w:ascii="Arial" w:hAnsi="Arial" w:cs="Arial"/>
          <w:sz w:val="20"/>
          <w:szCs w:val="20"/>
          <w:lang w:val="en-US"/>
        </w:rPr>
      </w:pPr>
    </w:p>
    <w:p w14:paraId="3A27F272" w14:textId="48A49F95" w:rsidR="004C044F" w:rsidRDefault="004C044F" w:rsidP="00B96D99">
      <w:pPr>
        <w:tabs>
          <w:tab w:val="left" w:pos="2420"/>
        </w:tabs>
        <w:jc w:val="both"/>
        <w:rPr>
          <w:rFonts w:ascii="Arial" w:hAnsi="Arial" w:cs="Arial"/>
          <w:sz w:val="20"/>
          <w:szCs w:val="20"/>
          <w:lang w:val="en-US"/>
        </w:rPr>
      </w:pPr>
    </w:p>
    <w:p w14:paraId="6E8AE1C1" w14:textId="76FC2043" w:rsidR="004C044F" w:rsidRDefault="004C044F" w:rsidP="00B96D99">
      <w:pPr>
        <w:tabs>
          <w:tab w:val="left" w:pos="2420"/>
        </w:tabs>
        <w:jc w:val="both"/>
        <w:rPr>
          <w:rFonts w:ascii="Arial" w:hAnsi="Arial" w:cs="Arial"/>
          <w:sz w:val="20"/>
          <w:szCs w:val="20"/>
          <w:lang w:val="en-US"/>
        </w:rPr>
      </w:pPr>
    </w:p>
    <w:p w14:paraId="416E9E41" w14:textId="28C79E53" w:rsidR="004C044F" w:rsidRDefault="004C044F" w:rsidP="00B96D99">
      <w:pPr>
        <w:tabs>
          <w:tab w:val="left" w:pos="2420"/>
        </w:tabs>
        <w:jc w:val="both"/>
        <w:rPr>
          <w:rFonts w:ascii="Arial" w:hAnsi="Arial" w:cs="Arial"/>
          <w:sz w:val="20"/>
          <w:szCs w:val="20"/>
          <w:lang w:val="en-US"/>
        </w:rPr>
      </w:pPr>
    </w:p>
    <w:p w14:paraId="0D11916D" w14:textId="6EACCF9C" w:rsidR="004C044F" w:rsidRDefault="004C044F" w:rsidP="00B96D99">
      <w:pPr>
        <w:tabs>
          <w:tab w:val="left" w:pos="2420"/>
        </w:tabs>
        <w:jc w:val="both"/>
        <w:rPr>
          <w:rFonts w:ascii="Arial" w:hAnsi="Arial" w:cs="Arial"/>
          <w:sz w:val="20"/>
          <w:szCs w:val="20"/>
          <w:lang w:val="en-US"/>
        </w:rPr>
      </w:pPr>
    </w:p>
    <w:p w14:paraId="76A57407" w14:textId="6E511160" w:rsidR="004C044F" w:rsidRDefault="004C044F" w:rsidP="00B96D99">
      <w:pPr>
        <w:tabs>
          <w:tab w:val="left" w:pos="2420"/>
        </w:tabs>
        <w:jc w:val="both"/>
        <w:rPr>
          <w:rFonts w:ascii="Arial" w:hAnsi="Arial" w:cs="Arial"/>
          <w:sz w:val="20"/>
          <w:szCs w:val="20"/>
          <w:lang w:val="en-US"/>
        </w:rPr>
      </w:pPr>
    </w:p>
    <w:p w14:paraId="371479F9" w14:textId="77777777" w:rsidR="004C044F" w:rsidRDefault="004C044F" w:rsidP="00B96D99">
      <w:pPr>
        <w:tabs>
          <w:tab w:val="left" w:pos="2420"/>
        </w:tabs>
        <w:jc w:val="both"/>
        <w:rPr>
          <w:rFonts w:ascii="Arial" w:hAnsi="Arial" w:cs="Arial"/>
          <w:sz w:val="20"/>
          <w:szCs w:val="20"/>
          <w:lang w:val="en-US"/>
        </w:rPr>
      </w:pPr>
    </w:p>
    <w:p w14:paraId="4DFA12CD" w14:textId="599065D0" w:rsidR="004C044F" w:rsidRDefault="004C044F" w:rsidP="00B96D99">
      <w:pPr>
        <w:tabs>
          <w:tab w:val="left" w:pos="2420"/>
        </w:tabs>
        <w:jc w:val="both"/>
        <w:rPr>
          <w:rFonts w:ascii="Arial" w:hAnsi="Arial" w:cs="Arial"/>
          <w:sz w:val="20"/>
          <w:szCs w:val="20"/>
          <w:lang w:val="en-US"/>
        </w:rPr>
      </w:pPr>
    </w:p>
    <w:p w14:paraId="240346DB" w14:textId="439C8304" w:rsidR="004C044F" w:rsidRDefault="004C044F" w:rsidP="004C044F">
      <w:pPr>
        <w:spacing w:line="276" w:lineRule="auto"/>
        <w:jc w:val="center"/>
      </w:pPr>
      <w:r w:rsidRPr="003625BA">
        <w:rPr>
          <w:rFonts w:ascii="Arial" w:hAnsi="Arial" w:cs="Arial"/>
          <w:i/>
          <w:iCs/>
          <w:color w:val="19998C"/>
          <w:sz w:val="26"/>
          <w:szCs w:val="26"/>
          <w:lang w:val="en-US"/>
        </w:rPr>
        <w:t>“This page intentionally left blank”</w:t>
      </w:r>
    </w:p>
    <w:p w14:paraId="5491D6F5" w14:textId="01011B05" w:rsidR="004C044F" w:rsidRDefault="004C044F" w:rsidP="00B96D99">
      <w:pPr>
        <w:tabs>
          <w:tab w:val="left" w:pos="2420"/>
        </w:tabs>
        <w:jc w:val="both"/>
        <w:rPr>
          <w:rFonts w:ascii="Arial" w:hAnsi="Arial" w:cs="Arial"/>
          <w:sz w:val="20"/>
          <w:szCs w:val="20"/>
          <w:lang w:val="en-US"/>
        </w:rPr>
      </w:pPr>
    </w:p>
    <w:p w14:paraId="22764464" w14:textId="78A56947" w:rsidR="004C044F" w:rsidRDefault="004C044F" w:rsidP="00B96D99">
      <w:pPr>
        <w:tabs>
          <w:tab w:val="left" w:pos="2420"/>
        </w:tabs>
        <w:jc w:val="both"/>
        <w:rPr>
          <w:rFonts w:ascii="Arial" w:hAnsi="Arial" w:cs="Arial"/>
          <w:sz w:val="20"/>
          <w:szCs w:val="20"/>
          <w:lang w:val="en-US"/>
        </w:rPr>
      </w:pPr>
    </w:p>
    <w:p w14:paraId="7CC4C8C4" w14:textId="40E75DD3" w:rsidR="004C044F" w:rsidRDefault="004C044F" w:rsidP="00B96D99">
      <w:pPr>
        <w:tabs>
          <w:tab w:val="left" w:pos="2420"/>
        </w:tabs>
        <w:jc w:val="both"/>
        <w:rPr>
          <w:rFonts w:ascii="Arial" w:hAnsi="Arial" w:cs="Arial"/>
          <w:sz w:val="20"/>
          <w:szCs w:val="20"/>
          <w:lang w:val="en-US"/>
        </w:rPr>
      </w:pPr>
    </w:p>
    <w:p w14:paraId="07074BAF" w14:textId="1AE6418D" w:rsidR="004C044F" w:rsidRDefault="004C044F" w:rsidP="00B96D99">
      <w:pPr>
        <w:tabs>
          <w:tab w:val="left" w:pos="2420"/>
        </w:tabs>
        <w:jc w:val="both"/>
        <w:rPr>
          <w:rFonts w:ascii="Arial" w:hAnsi="Arial" w:cs="Arial"/>
          <w:sz w:val="20"/>
          <w:szCs w:val="20"/>
          <w:lang w:val="en-US"/>
        </w:rPr>
      </w:pPr>
    </w:p>
    <w:p w14:paraId="0E6D6CD5" w14:textId="2D21C5CE" w:rsidR="004C044F" w:rsidRDefault="004C044F" w:rsidP="00B96D99">
      <w:pPr>
        <w:tabs>
          <w:tab w:val="left" w:pos="2420"/>
        </w:tabs>
        <w:jc w:val="both"/>
        <w:rPr>
          <w:rFonts w:ascii="Arial" w:hAnsi="Arial" w:cs="Arial"/>
          <w:sz w:val="20"/>
          <w:szCs w:val="20"/>
          <w:lang w:val="en-US"/>
        </w:rPr>
      </w:pPr>
    </w:p>
    <w:p w14:paraId="03AE3034" w14:textId="648D8BF2" w:rsidR="004C044F" w:rsidRDefault="004C044F" w:rsidP="00B96D99">
      <w:pPr>
        <w:tabs>
          <w:tab w:val="left" w:pos="2420"/>
        </w:tabs>
        <w:jc w:val="both"/>
        <w:rPr>
          <w:rFonts w:ascii="Arial" w:hAnsi="Arial" w:cs="Arial"/>
          <w:sz w:val="20"/>
          <w:szCs w:val="20"/>
          <w:lang w:val="en-US"/>
        </w:rPr>
      </w:pPr>
    </w:p>
    <w:p w14:paraId="253EB0E9" w14:textId="23A8101F" w:rsidR="004C044F" w:rsidRDefault="004C044F" w:rsidP="00B96D99">
      <w:pPr>
        <w:tabs>
          <w:tab w:val="left" w:pos="2420"/>
        </w:tabs>
        <w:jc w:val="both"/>
        <w:rPr>
          <w:rFonts w:ascii="Arial" w:hAnsi="Arial" w:cs="Arial"/>
          <w:sz w:val="20"/>
          <w:szCs w:val="20"/>
          <w:lang w:val="en-US"/>
        </w:rPr>
      </w:pPr>
    </w:p>
    <w:p w14:paraId="017F2944" w14:textId="24817575" w:rsidR="004C044F" w:rsidRDefault="004C044F" w:rsidP="00B96D99">
      <w:pPr>
        <w:tabs>
          <w:tab w:val="left" w:pos="2420"/>
        </w:tabs>
        <w:jc w:val="both"/>
        <w:rPr>
          <w:rFonts w:ascii="Arial" w:hAnsi="Arial" w:cs="Arial"/>
          <w:sz w:val="20"/>
          <w:szCs w:val="20"/>
          <w:lang w:val="en-US"/>
        </w:rPr>
      </w:pPr>
    </w:p>
    <w:p w14:paraId="1583C453" w14:textId="2A9A1BD4" w:rsidR="004C044F" w:rsidRDefault="004C044F" w:rsidP="00B96D99">
      <w:pPr>
        <w:tabs>
          <w:tab w:val="left" w:pos="2420"/>
        </w:tabs>
        <w:jc w:val="both"/>
        <w:rPr>
          <w:rFonts w:ascii="Arial" w:hAnsi="Arial" w:cs="Arial"/>
          <w:sz w:val="20"/>
          <w:szCs w:val="20"/>
          <w:lang w:val="en-US"/>
        </w:rPr>
      </w:pPr>
    </w:p>
    <w:p w14:paraId="752A6370" w14:textId="14ECF3B7" w:rsidR="004C044F" w:rsidRDefault="004C044F" w:rsidP="00B96D99">
      <w:pPr>
        <w:tabs>
          <w:tab w:val="left" w:pos="2420"/>
        </w:tabs>
        <w:jc w:val="both"/>
        <w:rPr>
          <w:rFonts w:ascii="Arial" w:hAnsi="Arial" w:cs="Arial"/>
          <w:sz w:val="20"/>
          <w:szCs w:val="20"/>
          <w:lang w:val="en-US"/>
        </w:rPr>
      </w:pPr>
    </w:p>
    <w:p w14:paraId="614E60CF" w14:textId="3969D058" w:rsidR="004C044F" w:rsidRDefault="004C044F" w:rsidP="00B96D99">
      <w:pPr>
        <w:tabs>
          <w:tab w:val="left" w:pos="2420"/>
        </w:tabs>
        <w:jc w:val="both"/>
        <w:rPr>
          <w:rFonts w:ascii="Arial" w:hAnsi="Arial" w:cs="Arial"/>
          <w:sz w:val="20"/>
          <w:szCs w:val="20"/>
          <w:lang w:val="en-US"/>
        </w:rPr>
      </w:pPr>
    </w:p>
    <w:p w14:paraId="2B6A9085" w14:textId="102E8759" w:rsidR="004C044F" w:rsidRDefault="004C044F" w:rsidP="00B96D99">
      <w:pPr>
        <w:tabs>
          <w:tab w:val="left" w:pos="2420"/>
        </w:tabs>
        <w:jc w:val="both"/>
        <w:rPr>
          <w:rFonts w:ascii="Arial" w:hAnsi="Arial" w:cs="Arial"/>
          <w:sz w:val="20"/>
          <w:szCs w:val="20"/>
          <w:lang w:val="en-US"/>
        </w:rPr>
      </w:pPr>
    </w:p>
    <w:p w14:paraId="640B27FD" w14:textId="65D2937D" w:rsidR="004C044F" w:rsidRDefault="004C044F" w:rsidP="00B96D99">
      <w:pPr>
        <w:tabs>
          <w:tab w:val="left" w:pos="2420"/>
        </w:tabs>
        <w:jc w:val="both"/>
        <w:rPr>
          <w:rFonts w:ascii="Arial" w:hAnsi="Arial" w:cs="Arial"/>
          <w:sz w:val="20"/>
          <w:szCs w:val="20"/>
          <w:lang w:val="en-US"/>
        </w:rPr>
      </w:pPr>
    </w:p>
    <w:p w14:paraId="5A7106BD" w14:textId="126F8105" w:rsidR="004C044F" w:rsidRDefault="004C044F" w:rsidP="00B96D99">
      <w:pPr>
        <w:tabs>
          <w:tab w:val="left" w:pos="2420"/>
        </w:tabs>
        <w:jc w:val="both"/>
        <w:rPr>
          <w:rFonts w:ascii="Arial" w:hAnsi="Arial" w:cs="Arial"/>
          <w:sz w:val="20"/>
          <w:szCs w:val="20"/>
          <w:lang w:val="en-US"/>
        </w:rPr>
      </w:pPr>
    </w:p>
    <w:p w14:paraId="5AB56A11" w14:textId="1EEE32AB" w:rsidR="004C044F" w:rsidRDefault="004C044F" w:rsidP="00B96D99">
      <w:pPr>
        <w:tabs>
          <w:tab w:val="left" w:pos="2420"/>
        </w:tabs>
        <w:jc w:val="both"/>
        <w:rPr>
          <w:rFonts w:ascii="Arial" w:hAnsi="Arial" w:cs="Arial"/>
          <w:sz w:val="20"/>
          <w:szCs w:val="20"/>
          <w:lang w:val="en-US"/>
        </w:rPr>
      </w:pPr>
    </w:p>
    <w:p w14:paraId="331A8D42" w14:textId="5A4F2303" w:rsidR="004C044F" w:rsidRDefault="004C044F" w:rsidP="00B96D99">
      <w:pPr>
        <w:tabs>
          <w:tab w:val="left" w:pos="2420"/>
        </w:tabs>
        <w:jc w:val="both"/>
        <w:rPr>
          <w:rFonts w:ascii="Arial" w:hAnsi="Arial" w:cs="Arial"/>
          <w:sz w:val="20"/>
          <w:szCs w:val="20"/>
          <w:lang w:val="en-US"/>
        </w:rPr>
      </w:pPr>
    </w:p>
    <w:p w14:paraId="28FF0C06" w14:textId="26577D04" w:rsidR="004C044F" w:rsidRDefault="004C044F" w:rsidP="00B96D99">
      <w:pPr>
        <w:tabs>
          <w:tab w:val="left" w:pos="2420"/>
        </w:tabs>
        <w:jc w:val="both"/>
        <w:rPr>
          <w:rFonts w:ascii="Arial" w:hAnsi="Arial" w:cs="Arial"/>
          <w:sz w:val="20"/>
          <w:szCs w:val="20"/>
          <w:lang w:val="en-US"/>
        </w:rPr>
      </w:pPr>
    </w:p>
    <w:p w14:paraId="0563CD4F" w14:textId="434DD0AB" w:rsidR="004C044F" w:rsidRDefault="004C044F" w:rsidP="00B96D99">
      <w:pPr>
        <w:tabs>
          <w:tab w:val="left" w:pos="2420"/>
        </w:tabs>
        <w:jc w:val="both"/>
        <w:rPr>
          <w:rFonts w:ascii="Arial" w:hAnsi="Arial" w:cs="Arial"/>
          <w:sz w:val="20"/>
          <w:szCs w:val="20"/>
          <w:lang w:val="en-US"/>
        </w:rPr>
      </w:pPr>
    </w:p>
    <w:p w14:paraId="1B4B071E" w14:textId="16FB3AB8" w:rsidR="004C044F" w:rsidRDefault="004C044F" w:rsidP="00B96D99">
      <w:pPr>
        <w:tabs>
          <w:tab w:val="left" w:pos="2420"/>
        </w:tabs>
        <w:jc w:val="both"/>
        <w:rPr>
          <w:rFonts w:ascii="Arial" w:hAnsi="Arial" w:cs="Arial"/>
          <w:sz w:val="20"/>
          <w:szCs w:val="20"/>
          <w:lang w:val="en-US"/>
        </w:rPr>
      </w:pPr>
    </w:p>
    <w:p w14:paraId="3F085878" w14:textId="40959DAD" w:rsidR="004C044F" w:rsidRDefault="004C044F" w:rsidP="00B96D99">
      <w:pPr>
        <w:tabs>
          <w:tab w:val="left" w:pos="2420"/>
        </w:tabs>
        <w:jc w:val="both"/>
        <w:rPr>
          <w:rFonts w:ascii="Arial" w:hAnsi="Arial" w:cs="Arial"/>
          <w:sz w:val="20"/>
          <w:szCs w:val="20"/>
          <w:lang w:val="en-US"/>
        </w:rPr>
      </w:pPr>
    </w:p>
    <w:p w14:paraId="46CED1EF" w14:textId="63867CBB" w:rsidR="004C044F" w:rsidRDefault="004C044F" w:rsidP="00B96D99">
      <w:pPr>
        <w:tabs>
          <w:tab w:val="left" w:pos="2420"/>
        </w:tabs>
        <w:jc w:val="both"/>
        <w:rPr>
          <w:rFonts w:ascii="Arial" w:hAnsi="Arial" w:cs="Arial"/>
          <w:sz w:val="20"/>
          <w:szCs w:val="20"/>
          <w:lang w:val="en-US"/>
        </w:rPr>
      </w:pPr>
    </w:p>
    <w:p w14:paraId="396C094C" w14:textId="04AEE39E" w:rsidR="004C044F" w:rsidRDefault="004C044F" w:rsidP="00B96D99">
      <w:pPr>
        <w:tabs>
          <w:tab w:val="left" w:pos="2420"/>
        </w:tabs>
        <w:jc w:val="both"/>
        <w:rPr>
          <w:rFonts w:ascii="Arial" w:hAnsi="Arial" w:cs="Arial"/>
          <w:sz w:val="20"/>
          <w:szCs w:val="20"/>
          <w:lang w:val="en-US"/>
        </w:rPr>
      </w:pPr>
    </w:p>
    <w:p w14:paraId="445EDEB1" w14:textId="4B3F6DD2" w:rsidR="004C044F" w:rsidRDefault="004C044F" w:rsidP="00B96D99">
      <w:pPr>
        <w:tabs>
          <w:tab w:val="left" w:pos="2420"/>
        </w:tabs>
        <w:jc w:val="both"/>
        <w:rPr>
          <w:rFonts w:ascii="Arial" w:hAnsi="Arial" w:cs="Arial"/>
          <w:sz w:val="20"/>
          <w:szCs w:val="20"/>
          <w:lang w:val="en-US"/>
        </w:rPr>
      </w:pPr>
    </w:p>
    <w:p w14:paraId="5B64DC84" w14:textId="79488AC0" w:rsidR="004C044F" w:rsidRDefault="004C044F" w:rsidP="00B96D99">
      <w:pPr>
        <w:tabs>
          <w:tab w:val="left" w:pos="2420"/>
        </w:tabs>
        <w:jc w:val="both"/>
        <w:rPr>
          <w:rFonts w:ascii="Arial" w:hAnsi="Arial" w:cs="Arial"/>
          <w:sz w:val="20"/>
          <w:szCs w:val="20"/>
          <w:lang w:val="en-US"/>
        </w:rPr>
      </w:pPr>
    </w:p>
    <w:p w14:paraId="6EFFCF99" w14:textId="66CC177E" w:rsidR="009C6720" w:rsidRDefault="009C6720" w:rsidP="00B96D99">
      <w:pPr>
        <w:tabs>
          <w:tab w:val="left" w:pos="2420"/>
        </w:tabs>
        <w:jc w:val="both"/>
        <w:rPr>
          <w:rFonts w:ascii="Arial" w:hAnsi="Arial" w:cs="Arial"/>
          <w:sz w:val="20"/>
          <w:szCs w:val="20"/>
          <w:lang w:val="en-US"/>
        </w:rPr>
      </w:pPr>
    </w:p>
    <w:p w14:paraId="3EAE20CE" w14:textId="392D451F" w:rsidR="009C6720" w:rsidRDefault="009C6720" w:rsidP="00B96D99">
      <w:pPr>
        <w:tabs>
          <w:tab w:val="left" w:pos="2420"/>
        </w:tabs>
        <w:jc w:val="both"/>
        <w:rPr>
          <w:rFonts w:ascii="Arial" w:hAnsi="Arial" w:cs="Arial"/>
          <w:sz w:val="20"/>
          <w:szCs w:val="20"/>
          <w:lang w:val="en-US"/>
        </w:rPr>
      </w:pPr>
    </w:p>
    <w:p w14:paraId="18C17847" w14:textId="512FF03E" w:rsidR="009C6720" w:rsidRDefault="009C6720" w:rsidP="00B96D99">
      <w:pPr>
        <w:tabs>
          <w:tab w:val="left" w:pos="2420"/>
        </w:tabs>
        <w:jc w:val="both"/>
        <w:rPr>
          <w:rFonts w:ascii="Arial" w:hAnsi="Arial" w:cs="Arial"/>
          <w:sz w:val="20"/>
          <w:szCs w:val="20"/>
          <w:lang w:val="en-US"/>
        </w:rPr>
      </w:pPr>
    </w:p>
    <w:p w14:paraId="0D8D699E" w14:textId="77777777" w:rsidR="009C6720" w:rsidRDefault="009C6720" w:rsidP="00B96D99">
      <w:pPr>
        <w:tabs>
          <w:tab w:val="left" w:pos="2420"/>
        </w:tabs>
        <w:jc w:val="both"/>
        <w:rPr>
          <w:rFonts w:ascii="Arial" w:hAnsi="Arial" w:cs="Arial"/>
          <w:sz w:val="20"/>
          <w:szCs w:val="20"/>
          <w:lang w:val="en-US"/>
        </w:rPr>
      </w:pPr>
    </w:p>
    <w:p w14:paraId="56BCC69A" w14:textId="446AE038" w:rsidR="004C044F" w:rsidRDefault="004C044F" w:rsidP="00B96D99">
      <w:pPr>
        <w:tabs>
          <w:tab w:val="left" w:pos="2420"/>
        </w:tabs>
        <w:jc w:val="both"/>
        <w:rPr>
          <w:rFonts w:ascii="Arial" w:hAnsi="Arial" w:cs="Arial"/>
          <w:sz w:val="20"/>
          <w:szCs w:val="20"/>
          <w:lang w:val="en-US"/>
        </w:rPr>
      </w:pPr>
    </w:p>
    <w:p w14:paraId="5328ADB1" w14:textId="316B85AC" w:rsidR="004C044F" w:rsidRDefault="004C044F" w:rsidP="00B96D99">
      <w:pPr>
        <w:tabs>
          <w:tab w:val="left" w:pos="2420"/>
        </w:tabs>
        <w:jc w:val="both"/>
        <w:rPr>
          <w:rFonts w:ascii="Arial" w:hAnsi="Arial" w:cs="Arial"/>
          <w:sz w:val="20"/>
          <w:szCs w:val="20"/>
          <w:lang w:val="en-US"/>
        </w:rPr>
      </w:pPr>
    </w:p>
    <w:p w14:paraId="04F3EF14" w14:textId="1C3858AB" w:rsidR="004C044F" w:rsidRDefault="004C044F" w:rsidP="00B96D99">
      <w:pPr>
        <w:tabs>
          <w:tab w:val="left" w:pos="2420"/>
        </w:tabs>
        <w:jc w:val="both"/>
        <w:rPr>
          <w:rFonts w:ascii="Arial" w:hAnsi="Arial" w:cs="Arial"/>
          <w:sz w:val="20"/>
          <w:szCs w:val="20"/>
          <w:lang w:val="en-US"/>
        </w:rPr>
      </w:pPr>
    </w:p>
    <w:p w14:paraId="38AE6C44" w14:textId="7AB7BCBE" w:rsidR="004C044F" w:rsidRDefault="004C044F" w:rsidP="00B96D99">
      <w:pPr>
        <w:tabs>
          <w:tab w:val="left" w:pos="2420"/>
        </w:tabs>
        <w:jc w:val="both"/>
        <w:rPr>
          <w:rFonts w:ascii="Arial" w:hAnsi="Arial" w:cs="Arial"/>
          <w:sz w:val="20"/>
          <w:szCs w:val="20"/>
          <w:lang w:val="en-US"/>
        </w:rPr>
      </w:pPr>
    </w:p>
    <w:p w14:paraId="75D0D016" w14:textId="2F157AAD" w:rsidR="004C044F" w:rsidRDefault="004C044F" w:rsidP="00B96D99">
      <w:pPr>
        <w:tabs>
          <w:tab w:val="left" w:pos="2420"/>
        </w:tabs>
        <w:jc w:val="both"/>
        <w:rPr>
          <w:rFonts w:ascii="Arial" w:hAnsi="Arial" w:cs="Arial"/>
          <w:sz w:val="20"/>
          <w:szCs w:val="20"/>
          <w:lang w:val="en-US"/>
        </w:rPr>
      </w:pPr>
    </w:p>
    <w:p w14:paraId="66100B92" w14:textId="5A4F91DF" w:rsidR="004C044F" w:rsidRDefault="004C044F" w:rsidP="00B96D99">
      <w:pPr>
        <w:tabs>
          <w:tab w:val="left" w:pos="2420"/>
        </w:tabs>
        <w:jc w:val="both"/>
        <w:rPr>
          <w:rFonts w:ascii="Arial" w:hAnsi="Arial" w:cs="Arial"/>
          <w:sz w:val="20"/>
          <w:szCs w:val="20"/>
          <w:lang w:val="en-US"/>
        </w:rPr>
      </w:pPr>
    </w:p>
    <w:p w14:paraId="399BF3BA" w14:textId="6F119FB4" w:rsidR="004C044F" w:rsidRDefault="004C044F" w:rsidP="00B96D99">
      <w:pPr>
        <w:tabs>
          <w:tab w:val="left" w:pos="2420"/>
        </w:tabs>
        <w:jc w:val="both"/>
        <w:rPr>
          <w:rFonts w:ascii="Arial" w:hAnsi="Arial" w:cs="Arial"/>
          <w:sz w:val="20"/>
          <w:szCs w:val="20"/>
          <w:lang w:val="en-US"/>
        </w:rPr>
      </w:pPr>
    </w:p>
    <w:p w14:paraId="6C42B76A" w14:textId="2F9298D0" w:rsidR="004B3CF0" w:rsidRDefault="004B3CF0" w:rsidP="00B96D99">
      <w:pPr>
        <w:tabs>
          <w:tab w:val="left" w:pos="2420"/>
        </w:tabs>
        <w:jc w:val="both"/>
        <w:rPr>
          <w:rFonts w:ascii="Arial" w:hAnsi="Arial" w:cs="Arial"/>
          <w:sz w:val="20"/>
          <w:szCs w:val="20"/>
          <w:lang w:val="en-US"/>
        </w:rPr>
      </w:pPr>
      <w:r>
        <w:rPr>
          <w:rFonts w:ascii="Arial" w:hAnsi="Arial" w:cs="Arial"/>
          <w:b/>
          <w:bCs/>
          <w:noProof/>
          <w:color w:val="69557F"/>
          <w:sz w:val="44"/>
          <w:szCs w:val="44"/>
          <w:lang w:val="en-US"/>
        </w:rPr>
        <w:lastRenderedPageBreak/>
        <w:drawing>
          <wp:anchor distT="0" distB="0" distL="114300" distR="114300" simplePos="0" relativeHeight="255605758" behindDoc="1" locked="0" layoutInCell="1" allowOverlap="1" wp14:anchorId="24073F0E" wp14:editId="0EA1CB5F">
            <wp:simplePos x="0" y="0"/>
            <wp:positionH relativeFrom="column">
              <wp:posOffset>-448945</wp:posOffset>
            </wp:positionH>
            <wp:positionV relativeFrom="paragraph">
              <wp:posOffset>-804241</wp:posOffset>
            </wp:positionV>
            <wp:extent cx="7629372" cy="10783614"/>
            <wp:effectExtent l="0" t="0" r="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0122_icon-01.png"/>
                    <pic:cNvPicPr/>
                  </pic:nvPicPr>
                  <pic:blipFill>
                    <a:blip r:embed="rId1622" cstate="email">
                      <a:extLst>
                        <a:ext uri="{28A0092B-C50C-407E-A947-70E740481C1C}">
                          <a14:useLocalDpi xmlns:a14="http://schemas.microsoft.com/office/drawing/2010/main"/>
                        </a:ext>
                      </a:extLst>
                    </a:blip>
                    <a:stretch>
                      <a:fillRect/>
                    </a:stretch>
                  </pic:blipFill>
                  <pic:spPr>
                    <a:xfrm>
                      <a:off x="0" y="0"/>
                      <a:ext cx="7629372" cy="10783614"/>
                    </a:xfrm>
                    <a:prstGeom prst="rect">
                      <a:avLst/>
                    </a:prstGeom>
                  </pic:spPr>
                </pic:pic>
              </a:graphicData>
            </a:graphic>
            <wp14:sizeRelH relativeFrom="page">
              <wp14:pctWidth>0</wp14:pctWidth>
            </wp14:sizeRelH>
            <wp14:sizeRelV relativeFrom="page">
              <wp14:pctHeight>0</wp14:pctHeight>
            </wp14:sizeRelV>
          </wp:anchor>
        </w:drawing>
      </w:r>
    </w:p>
    <w:p w14:paraId="072512A9" w14:textId="3449937E" w:rsidR="004B3CF0" w:rsidRDefault="004B3CF0" w:rsidP="00B96D99">
      <w:pPr>
        <w:tabs>
          <w:tab w:val="left" w:pos="2420"/>
        </w:tabs>
        <w:jc w:val="both"/>
        <w:rPr>
          <w:rFonts w:ascii="Arial" w:hAnsi="Arial" w:cs="Arial"/>
          <w:sz w:val="20"/>
          <w:szCs w:val="20"/>
          <w:lang w:val="en-US"/>
        </w:rPr>
      </w:pPr>
    </w:p>
    <w:p w14:paraId="05AC2829" w14:textId="6097833D" w:rsidR="004B3CF0" w:rsidRPr="00E10207" w:rsidRDefault="004B3CF0" w:rsidP="00B96D99">
      <w:pPr>
        <w:tabs>
          <w:tab w:val="left" w:pos="2420"/>
        </w:tabs>
        <w:jc w:val="both"/>
        <w:rPr>
          <w:rFonts w:ascii="Arial" w:hAnsi="Arial" w:cs="Arial"/>
          <w:sz w:val="20"/>
          <w:szCs w:val="20"/>
          <w:vertAlign w:val="subscript"/>
          <w:lang w:val="en-US"/>
        </w:rPr>
      </w:pPr>
    </w:p>
    <w:sectPr w:rsidR="004B3CF0" w:rsidRPr="00E10207" w:rsidSect="00693F58">
      <w:pgSz w:w="11906" w:h="16838" w:code="9"/>
      <w:pgMar w:top="914"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E11AB8" w14:textId="77777777" w:rsidR="00AC4DF7" w:rsidRDefault="00AC4DF7" w:rsidP="00B80073">
      <w:r>
        <w:separator/>
      </w:r>
    </w:p>
  </w:endnote>
  <w:endnote w:type="continuationSeparator" w:id="0">
    <w:p w14:paraId="7E5F1A27" w14:textId="77777777" w:rsidR="00AC4DF7" w:rsidRDefault="00AC4DF7" w:rsidP="00B800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panose1 w:val="00000000000000000000"/>
    <w:charset w:val="00"/>
    <w:family w:val="auto"/>
    <w:pitch w:val="variable"/>
    <w:sig w:usb0="A000002F" w:usb1="40000048" w:usb2="00000000" w:usb3="00000000" w:csb0="00000111" w:csb1="00000000"/>
  </w:font>
  <w:font w:name="Consolas">
    <w:panose1 w:val="020B0609020204030204"/>
    <w:charset w:val="00"/>
    <w:family w:val="modern"/>
    <w:pitch w:val="fixed"/>
    <w:sig w:usb0="E00006FF" w:usb1="0000FCFF" w:usb2="00000001" w:usb3="00000000" w:csb0="0000019F" w:csb1="00000000"/>
  </w:font>
  <w:font w:name="RobotoRegular">
    <w:altName w:val="Arial"/>
    <w:charset w:val="00"/>
    <w:family w:val="auto"/>
    <w:pitch w:val="variable"/>
    <w:sig w:usb0="E00002FF" w:usb1="5000205B" w:usb2="00000020" w:usb3="00000000" w:csb0="0000019F" w:csb1="00000000"/>
  </w:font>
  <w:font w:name="Roboto">
    <w:panose1 w:val="02000000000000000000"/>
    <w:charset w:val="00"/>
    <w:family w:val="auto"/>
    <w:pitch w:val="variable"/>
    <w:sig w:usb0="E00002FF" w:usb1="5000205B" w:usb2="0000002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pleSystemUIFont">
    <w:altName w:val="Calibri"/>
    <w:panose1 w:val="00000000000000000000"/>
    <w:charset w:val="00"/>
    <w:family w:val="auto"/>
    <w:notTrueType/>
    <w:pitch w:val="default"/>
    <w:sig w:usb0="00000003" w:usb1="00000000" w:usb2="00000000" w:usb3="00000000" w:csb0="00000001" w:csb1="00000000"/>
  </w:font>
  <w:font w:name="Calibri body">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47547724"/>
      <w:docPartObj>
        <w:docPartGallery w:val="Page Numbers (Bottom of Page)"/>
        <w:docPartUnique/>
      </w:docPartObj>
    </w:sdtPr>
    <w:sdtEndPr>
      <w:rPr>
        <w:rStyle w:val="PageNumber"/>
      </w:rPr>
    </w:sdtEndPr>
    <w:sdtContent>
      <w:p w14:paraId="0EE46337" w14:textId="37D1CEB9" w:rsidR="00D15FD8" w:rsidRDefault="00D15FD8" w:rsidP="00BD650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E53C61F" w14:textId="77777777" w:rsidR="00D15FD8" w:rsidRDefault="00D15FD8" w:rsidP="00BD650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72416230"/>
      <w:docPartObj>
        <w:docPartGallery w:val="Page Numbers (Bottom of Page)"/>
        <w:docPartUnique/>
      </w:docPartObj>
    </w:sdtPr>
    <w:sdtEndPr>
      <w:rPr>
        <w:rStyle w:val="PageNumber"/>
      </w:rPr>
    </w:sdtEndPr>
    <w:sdtContent>
      <w:p w14:paraId="546A9E08" w14:textId="563E643E" w:rsidR="00D15FD8" w:rsidRDefault="00D15FD8" w:rsidP="002D14C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249</w:t>
        </w:r>
        <w:r>
          <w:rPr>
            <w:rStyle w:val="PageNumber"/>
          </w:rPr>
          <w:fldChar w:fldCharType="end"/>
        </w:r>
      </w:p>
    </w:sdtContent>
  </w:sdt>
  <w:p w14:paraId="0802A738" w14:textId="78CAC478" w:rsidR="00D15FD8" w:rsidRPr="004C2077" w:rsidRDefault="00D15FD8" w:rsidP="00BD6508">
    <w:pPr>
      <w:pStyle w:val="Footer"/>
      <w:ind w:right="360"/>
      <w:jc w:val="center"/>
      <w:rPr>
        <w:rFonts w:ascii="Arial" w:hAnsi="Arial" w:cs="Arial"/>
        <w:color w:val="3B3838" w:themeColor="background2" w:themeShade="40"/>
        <w:sz w:val="20"/>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E432E6" w14:textId="557A5734" w:rsidR="00D15FD8" w:rsidRDefault="00D15FD8" w:rsidP="00536F2B">
    <w:pPr>
      <w:pStyle w:val="Footer"/>
      <w:framePr w:wrap="none" w:vAnchor="text" w:hAnchor="margin" w:xAlign="right" w:y="1"/>
      <w:rPr>
        <w:rStyle w:val="PageNumber"/>
      </w:rPr>
    </w:pPr>
  </w:p>
  <w:p w14:paraId="0712915D" w14:textId="77777777" w:rsidR="00D15FD8" w:rsidRDefault="00D15FD8" w:rsidP="00E7313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5F2536" w14:textId="77777777" w:rsidR="00AC4DF7" w:rsidRDefault="00AC4DF7" w:rsidP="00B80073">
      <w:r>
        <w:separator/>
      </w:r>
    </w:p>
  </w:footnote>
  <w:footnote w:type="continuationSeparator" w:id="0">
    <w:p w14:paraId="3D0342FA" w14:textId="77777777" w:rsidR="00AC4DF7" w:rsidRDefault="00AC4DF7" w:rsidP="00B80073">
      <w:r>
        <w:continuationSeparator/>
      </w:r>
    </w:p>
  </w:footnote>
  <w:footnote w:id="1">
    <w:p w14:paraId="65D1DB15" w14:textId="18A850C0" w:rsidR="00D15FD8" w:rsidRPr="00336006" w:rsidRDefault="00D15FD8" w:rsidP="003D1CFC">
      <w:pPr>
        <w:pStyle w:val="FootnoteText"/>
        <w:jc w:val="both"/>
        <w:rPr>
          <w:rFonts w:ascii="Arial" w:hAnsi="Arial" w:cs="Arial"/>
          <w:sz w:val="16"/>
          <w:szCs w:val="16"/>
        </w:rPr>
      </w:pPr>
      <w:r w:rsidRPr="00336006">
        <w:rPr>
          <w:rStyle w:val="FootnoteReference"/>
          <w:rFonts w:ascii="Arial" w:hAnsi="Arial" w:cs="Arial"/>
        </w:rPr>
        <w:footnoteRef/>
      </w:r>
      <w:r w:rsidRPr="00336006">
        <w:rPr>
          <w:rFonts w:ascii="Arial" w:hAnsi="Arial" w:cs="Arial"/>
        </w:rPr>
        <w:t xml:space="preserve"> </w:t>
      </w:r>
      <w:r w:rsidRPr="00336006">
        <w:rPr>
          <w:rFonts w:ascii="Arial" w:hAnsi="Arial" w:cs="Arial"/>
          <w:sz w:val="16"/>
          <w:szCs w:val="16"/>
        </w:rPr>
        <w:t>Fiscal policy is the use of the level and composition of the general government and public sector spending and revenue—and the related accumulation of government assets and liabilities—to achieve such goals as the stabilization of the economy, the reallocation of resources, and the redistribution of income (</w:t>
      </w:r>
      <w:r w:rsidRPr="00336006">
        <w:rPr>
          <w:rFonts w:ascii="Arial" w:hAnsi="Arial" w:cs="Arial"/>
          <w:iCs/>
          <w:sz w:val="16"/>
          <w:szCs w:val="16"/>
        </w:rPr>
        <w:t xml:space="preserve">IMF </w:t>
      </w:r>
      <w:hyperlink r:id="rId1" w:history="1">
        <w:r w:rsidRPr="00336006">
          <w:rPr>
            <w:rStyle w:val="Hyperlink"/>
            <w:rFonts w:ascii="Arial" w:hAnsi="Arial" w:cs="Arial"/>
            <w:iCs/>
            <w:sz w:val="16"/>
            <w:szCs w:val="16"/>
          </w:rPr>
          <w:t>Government Finance Statistics (GFS) Manual</w:t>
        </w:r>
      </w:hyperlink>
      <w:r w:rsidRPr="00336006">
        <w:rPr>
          <w:rStyle w:val="Hyperlink"/>
          <w:rFonts w:ascii="Arial" w:hAnsi="Arial" w:cs="Arial"/>
          <w:iCs/>
          <w:sz w:val="16"/>
          <w:szCs w:val="16"/>
        </w:rPr>
        <w:t>,</w:t>
      </w:r>
      <w:r w:rsidRPr="00336006">
        <w:rPr>
          <w:rFonts w:ascii="Arial" w:hAnsi="Arial" w:cs="Arial"/>
          <w:sz w:val="16"/>
          <w:szCs w:val="16"/>
        </w:rPr>
        <w:t xml:space="preserve"> 2014). Fiscal policy thus refers to government taxation, borrowing, spending, and the investment and management of public resources.</w:t>
      </w:r>
    </w:p>
  </w:footnote>
  <w:footnote w:id="2">
    <w:p w14:paraId="7DF56E4C" w14:textId="5B10966C" w:rsidR="00D15FD8" w:rsidRPr="00336006" w:rsidRDefault="00D15FD8" w:rsidP="003D1CFC">
      <w:pPr>
        <w:pStyle w:val="FootnoteText"/>
        <w:jc w:val="both"/>
        <w:rPr>
          <w:rFonts w:ascii="Arial" w:hAnsi="Arial" w:cs="Arial"/>
          <w:sz w:val="16"/>
          <w:szCs w:val="16"/>
        </w:rPr>
      </w:pPr>
      <w:r w:rsidRPr="00336006">
        <w:rPr>
          <w:rStyle w:val="FootnoteReference"/>
          <w:rFonts w:ascii="Arial" w:hAnsi="Arial" w:cs="Arial"/>
        </w:rPr>
        <w:footnoteRef/>
      </w:r>
      <w:r w:rsidRPr="00336006">
        <w:rPr>
          <w:rFonts w:ascii="Arial" w:hAnsi="Arial" w:cs="Arial"/>
        </w:rPr>
        <w:t xml:space="preserve"> </w:t>
      </w:r>
      <w:r w:rsidRPr="00336006">
        <w:rPr>
          <w:rFonts w:ascii="Arial" w:hAnsi="Arial" w:cs="Arial"/>
          <w:iCs/>
          <w:sz w:val="16"/>
          <w:szCs w:val="16"/>
        </w:rPr>
        <w:t xml:space="preserve">The United Nations’ </w:t>
      </w:r>
      <w:hyperlink r:id="rId2" w:history="1">
        <w:r w:rsidRPr="00336006">
          <w:rPr>
            <w:rStyle w:val="Hyperlink"/>
            <w:rFonts w:ascii="Arial" w:hAnsi="Arial" w:cs="Arial"/>
            <w:iCs/>
            <w:sz w:val="16"/>
            <w:szCs w:val="16"/>
          </w:rPr>
          <w:t>System of National Accounts</w:t>
        </w:r>
      </w:hyperlink>
      <w:r w:rsidRPr="00336006">
        <w:rPr>
          <w:rFonts w:ascii="Arial" w:hAnsi="Arial" w:cs="Arial"/>
          <w:iCs/>
          <w:sz w:val="16"/>
          <w:szCs w:val="16"/>
        </w:rPr>
        <w:t xml:space="preserve"> (2008) explains the distinction between the government sector, the rest of the public sector, and other sectors of the economy. The IMF’s </w:t>
      </w:r>
      <w:hyperlink r:id="rId3" w:history="1">
        <w:r w:rsidRPr="00336006">
          <w:rPr>
            <w:rStyle w:val="Hyperlink"/>
            <w:rFonts w:ascii="Arial" w:hAnsi="Arial" w:cs="Arial"/>
            <w:iCs/>
            <w:sz w:val="16"/>
            <w:szCs w:val="16"/>
          </w:rPr>
          <w:t>GFS Manual</w:t>
        </w:r>
      </w:hyperlink>
      <w:r w:rsidRPr="00336006">
        <w:rPr>
          <w:rFonts w:ascii="Arial" w:hAnsi="Arial" w:cs="Arial"/>
          <w:iCs/>
          <w:sz w:val="16"/>
          <w:szCs w:val="16"/>
        </w:rPr>
        <w:t xml:space="preserve"> (2014) explores these distinctions further, together with the treatment of the different levels of government and social security funds.</w:t>
      </w:r>
    </w:p>
  </w:footnote>
  <w:footnote w:id="3">
    <w:p w14:paraId="551DC02E" w14:textId="286292A4"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De </w:t>
      </w:r>
      <w:proofErr w:type="spellStart"/>
      <w:r w:rsidRPr="00336006">
        <w:rPr>
          <w:rFonts w:ascii="Arial" w:hAnsi="Arial" w:cs="Arial"/>
          <w:sz w:val="15"/>
          <w:szCs w:val="15"/>
        </w:rPr>
        <w:t>Renzio</w:t>
      </w:r>
      <w:proofErr w:type="spellEnd"/>
      <w:r w:rsidRPr="00336006">
        <w:rPr>
          <w:rFonts w:ascii="Arial" w:hAnsi="Arial" w:cs="Arial"/>
          <w:sz w:val="15"/>
          <w:szCs w:val="15"/>
        </w:rPr>
        <w:t xml:space="preserve">, P., Haus, P., and </w:t>
      </w:r>
      <w:proofErr w:type="spellStart"/>
      <w:r w:rsidRPr="00336006">
        <w:rPr>
          <w:rFonts w:ascii="Arial" w:hAnsi="Arial" w:cs="Arial"/>
          <w:sz w:val="15"/>
          <w:szCs w:val="15"/>
        </w:rPr>
        <w:t>Wehner</w:t>
      </w:r>
      <w:proofErr w:type="spellEnd"/>
      <w:r w:rsidRPr="00336006">
        <w:rPr>
          <w:rFonts w:ascii="Arial" w:hAnsi="Arial" w:cs="Arial"/>
          <w:sz w:val="15"/>
          <w:szCs w:val="15"/>
        </w:rPr>
        <w:t>, J. (2022). “</w:t>
      </w:r>
      <w:hyperlink r:id="rId4" w:history="1">
        <w:r w:rsidRPr="00336006">
          <w:rPr>
            <w:rStyle w:val="Hyperlink"/>
            <w:rFonts w:ascii="Arial" w:hAnsi="Arial" w:cs="Arial"/>
            <w:sz w:val="15"/>
            <w:szCs w:val="15"/>
          </w:rPr>
          <w:t>(When) Do Open Budgets Transform Lives? Progress and Next Steps in Fiscal Openness Research</w:t>
        </w:r>
      </w:hyperlink>
      <w:r w:rsidRPr="00336006">
        <w:rPr>
          <w:rFonts w:ascii="Arial" w:hAnsi="Arial" w:cs="Arial"/>
          <w:sz w:val="15"/>
          <w:szCs w:val="15"/>
        </w:rPr>
        <w:t>,” GIFT, IBP and Open Government Partnership.</w:t>
      </w:r>
    </w:p>
  </w:footnote>
  <w:footnote w:id="4">
    <w:p w14:paraId="0C90CF91" w14:textId="685DD5F0" w:rsidR="00D15FD8" w:rsidRPr="00336006" w:rsidRDefault="00D15FD8" w:rsidP="00F11A17">
      <w:pPr>
        <w:pStyle w:val="FootnoteText"/>
        <w:jc w:val="both"/>
        <w:rPr>
          <w:rFonts w:ascii="Arial" w:hAnsi="Arial" w:cs="Arial"/>
          <w:sz w:val="15"/>
          <w:szCs w:val="15"/>
          <w:lang w:val="en-US"/>
        </w:rPr>
      </w:pPr>
      <w:r w:rsidRPr="00336006">
        <w:rPr>
          <w:rStyle w:val="FootnoteReference"/>
          <w:rFonts w:ascii="Arial" w:hAnsi="Arial" w:cs="Arial"/>
          <w:sz w:val="15"/>
          <w:szCs w:val="15"/>
        </w:rPr>
        <w:footnoteRef/>
      </w:r>
      <w:r w:rsidRPr="00336006">
        <w:rPr>
          <w:rFonts w:ascii="Arial" w:hAnsi="Arial" w:cs="Arial"/>
          <w:sz w:val="15"/>
          <w:szCs w:val="15"/>
        </w:rPr>
        <w:t xml:space="preserve"> De </w:t>
      </w:r>
      <w:proofErr w:type="spellStart"/>
      <w:r w:rsidRPr="00336006">
        <w:rPr>
          <w:rFonts w:ascii="Arial" w:hAnsi="Arial" w:cs="Arial"/>
          <w:sz w:val="15"/>
          <w:szCs w:val="15"/>
        </w:rPr>
        <w:t>Renzio</w:t>
      </w:r>
      <w:proofErr w:type="spellEnd"/>
      <w:r w:rsidRPr="00336006">
        <w:rPr>
          <w:rFonts w:ascii="Arial" w:hAnsi="Arial" w:cs="Arial"/>
          <w:sz w:val="15"/>
          <w:szCs w:val="15"/>
        </w:rPr>
        <w:t xml:space="preserve">, P., and </w:t>
      </w:r>
      <w:proofErr w:type="spellStart"/>
      <w:r w:rsidRPr="00336006">
        <w:rPr>
          <w:rFonts w:ascii="Arial" w:hAnsi="Arial" w:cs="Arial"/>
          <w:sz w:val="15"/>
          <w:szCs w:val="15"/>
        </w:rPr>
        <w:t>Wehner</w:t>
      </w:r>
      <w:proofErr w:type="spellEnd"/>
      <w:r w:rsidRPr="00336006">
        <w:rPr>
          <w:rFonts w:ascii="Arial" w:hAnsi="Arial" w:cs="Arial"/>
          <w:sz w:val="15"/>
          <w:szCs w:val="15"/>
        </w:rPr>
        <w:t xml:space="preserve">, J. (2015). </w:t>
      </w:r>
      <w:r w:rsidRPr="00336006">
        <w:rPr>
          <w:rFonts w:ascii="Arial" w:hAnsi="Arial" w:cs="Arial"/>
          <w:sz w:val="15"/>
          <w:szCs w:val="15"/>
          <w:lang w:val="en"/>
        </w:rPr>
        <w:t>“</w:t>
      </w:r>
      <w:hyperlink r:id="rId5" w:history="1">
        <w:r w:rsidRPr="00336006">
          <w:rPr>
            <w:rStyle w:val="Hyperlink"/>
            <w:rFonts w:ascii="Arial" w:hAnsi="Arial" w:cs="Arial"/>
            <w:sz w:val="15"/>
            <w:szCs w:val="15"/>
            <w:lang w:val="en"/>
          </w:rPr>
          <w:t>The Impacts of Fiscal Openness: A Review of the Evidence</w:t>
        </w:r>
      </w:hyperlink>
      <w:r w:rsidRPr="00336006">
        <w:rPr>
          <w:rFonts w:ascii="Arial" w:hAnsi="Arial" w:cs="Arial"/>
          <w:sz w:val="15"/>
          <w:szCs w:val="15"/>
        </w:rPr>
        <w:t>,</w:t>
      </w:r>
      <w:r w:rsidRPr="00336006">
        <w:rPr>
          <w:rFonts w:ascii="Arial" w:hAnsi="Arial" w:cs="Arial"/>
          <w:sz w:val="15"/>
          <w:szCs w:val="15"/>
          <w:lang w:val="en"/>
        </w:rPr>
        <w:t xml:space="preserve">” </w:t>
      </w:r>
      <w:r w:rsidRPr="00336006">
        <w:rPr>
          <w:rFonts w:ascii="Arial" w:hAnsi="Arial" w:cs="Arial"/>
          <w:sz w:val="15"/>
          <w:szCs w:val="15"/>
        </w:rPr>
        <w:t>Incentives research.</w:t>
      </w:r>
    </w:p>
  </w:footnote>
  <w:footnote w:id="5">
    <w:p w14:paraId="71629A58" w14:textId="15715B43"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iCs/>
          <w:sz w:val="15"/>
          <w:szCs w:val="15"/>
          <w:lang w:val="en-ZA"/>
        </w:rPr>
        <w:t>Touchton</w:t>
      </w:r>
      <w:proofErr w:type="spellEnd"/>
      <w:r w:rsidRPr="00336006">
        <w:rPr>
          <w:rFonts w:ascii="Arial" w:hAnsi="Arial" w:cs="Arial"/>
          <w:iCs/>
          <w:sz w:val="15"/>
          <w:szCs w:val="15"/>
          <w:lang w:val="en-ZA"/>
        </w:rPr>
        <w:t>, M.,</w:t>
      </w:r>
      <w:r w:rsidRPr="00336006">
        <w:rPr>
          <w:rFonts w:ascii="Arial" w:hAnsi="Arial" w:cs="Arial"/>
          <w:sz w:val="15"/>
          <w:szCs w:val="15"/>
          <w:lang w:val="en-ZA"/>
        </w:rPr>
        <w:t xml:space="preserve"> </w:t>
      </w:r>
      <w:r w:rsidRPr="00336006">
        <w:rPr>
          <w:rFonts w:ascii="Arial" w:hAnsi="Arial" w:cs="Arial"/>
          <w:iCs/>
          <w:sz w:val="15"/>
          <w:szCs w:val="15"/>
          <w:lang w:val="en-ZA"/>
        </w:rPr>
        <w:t>Wampler, B., and Peixoto, T. (2019).</w:t>
      </w:r>
      <w:r w:rsidRPr="00336006">
        <w:rPr>
          <w:rFonts w:ascii="Arial" w:hAnsi="Arial" w:cs="Arial"/>
          <w:sz w:val="15"/>
          <w:szCs w:val="15"/>
          <w:lang w:val="en-ZA"/>
        </w:rPr>
        <w:t xml:space="preserve"> “</w:t>
      </w:r>
      <w:hyperlink r:id="rId6" w:history="1">
        <w:r w:rsidRPr="00336006">
          <w:rPr>
            <w:rStyle w:val="Hyperlink"/>
            <w:rFonts w:ascii="Arial" w:hAnsi="Arial" w:cs="Arial"/>
            <w:sz w:val="15"/>
            <w:szCs w:val="15"/>
            <w:lang w:val="en"/>
          </w:rPr>
          <w:t>Participatory Institutions and Tax Compliance in Brazil</w:t>
        </w:r>
      </w:hyperlink>
      <w:r w:rsidRPr="00336006">
        <w:rPr>
          <w:rFonts w:ascii="Arial" w:hAnsi="Arial" w:cs="Arial"/>
          <w:sz w:val="15"/>
          <w:szCs w:val="15"/>
          <w:lang w:val="en-ZA"/>
        </w:rPr>
        <w:t>,” World Bank Group Policy Research WP 8797.</w:t>
      </w:r>
    </w:p>
  </w:footnote>
  <w:footnote w:id="6">
    <w:p w14:paraId="6A4467FE" w14:textId="1550309F" w:rsidR="00D15FD8" w:rsidRPr="00336006" w:rsidRDefault="00D15FD8" w:rsidP="00F11A17">
      <w:pPr>
        <w:pStyle w:val="FootnoteText"/>
        <w:jc w:val="both"/>
        <w:rPr>
          <w:rFonts w:ascii="Arial" w:hAnsi="Arial" w:cs="Arial"/>
          <w:sz w:val="15"/>
          <w:szCs w:val="15"/>
          <w:lang w:val="en-US"/>
        </w:rPr>
      </w:pPr>
      <w:r w:rsidRPr="00336006">
        <w:rPr>
          <w:rStyle w:val="FootnoteReference"/>
          <w:rFonts w:ascii="Arial" w:hAnsi="Arial" w:cs="Arial"/>
          <w:sz w:val="15"/>
          <w:szCs w:val="15"/>
        </w:rPr>
        <w:footnoteRef/>
      </w:r>
      <w:r w:rsidRPr="00336006">
        <w:rPr>
          <w:rFonts w:ascii="Arial" w:hAnsi="Arial" w:cs="Arial"/>
          <w:sz w:val="15"/>
          <w:szCs w:val="15"/>
        </w:rPr>
        <w:t xml:space="preserve"> Sjoberg, F., Mellon, J., Peixoto, T., </w:t>
      </w:r>
      <w:proofErr w:type="spellStart"/>
      <w:r w:rsidRPr="00336006">
        <w:rPr>
          <w:rFonts w:ascii="Arial" w:hAnsi="Arial" w:cs="Arial"/>
          <w:sz w:val="15"/>
          <w:szCs w:val="15"/>
        </w:rPr>
        <w:t>Hemker</w:t>
      </w:r>
      <w:proofErr w:type="spellEnd"/>
      <w:r w:rsidRPr="00336006">
        <w:rPr>
          <w:rFonts w:ascii="Arial" w:hAnsi="Arial" w:cs="Arial"/>
          <w:sz w:val="15"/>
          <w:szCs w:val="15"/>
        </w:rPr>
        <w:t>, J., and Tsai, L. (2019). “</w:t>
      </w:r>
      <w:hyperlink r:id="rId7" w:history="1">
        <w:r w:rsidRPr="00336006">
          <w:rPr>
            <w:rStyle w:val="Hyperlink"/>
            <w:rFonts w:ascii="Arial" w:hAnsi="Arial" w:cs="Arial"/>
            <w:sz w:val="15"/>
            <w:szCs w:val="15"/>
          </w:rPr>
          <w:t>Voice and punishment: A global survey experiment on tax morale</w:t>
        </w:r>
      </w:hyperlink>
      <w:r w:rsidRPr="00336006">
        <w:rPr>
          <w:rFonts w:ascii="Arial" w:hAnsi="Arial" w:cs="Arial"/>
          <w:sz w:val="15"/>
          <w:szCs w:val="15"/>
        </w:rPr>
        <w:t xml:space="preserve">,” World Bank Policy Research Working Paper 8855. </w:t>
      </w:r>
    </w:p>
  </w:footnote>
  <w:footnote w:id="7">
    <w:p w14:paraId="0E2DAC74" w14:textId="429283A1" w:rsidR="00D15FD8" w:rsidRPr="00336006" w:rsidRDefault="00D15FD8" w:rsidP="00F11A17">
      <w:pPr>
        <w:pStyle w:val="FootnoteText"/>
        <w:jc w:val="both"/>
        <w:rPr>
          <w:rFonts w:ascii="Arial" w:hAnsi="Arial" w:cs="Arial"/>
          <w:sz w:val="15"/>
          <w:szCs w:val="15"/>
          <w:lang w:val="en-US"/>
        </w:rPr>
      </w:pPr>
      <w:r w:rsidRPr="00336006">
        <w:rPr>
          <w:rStyle w:val="FootnoteReference"/>
          <w:rFonts w:ascii="Arial" w:hAnsi="Arial" w:cs="Arial"/>
          <w:sz w:val="15"/>
          <w:szCs w:val="15"/>
        </w:rPr>
        <w:footnoteRef/>
      </w:r>
      <w:proofErr w:type="spellStart"/>
      <w:r w:rsidRPr="00336006">
        <w:rPr>
          <w:rFonts w:ascii="Arial" w:hAnsi="Arial" w:cs="Arial"/>
          <w:sz w:val="15"/>
          <w:szCs w:val="15"/>
        </w:rPr>
        <w:t>Touchton</w:t>
      </w:r>
      <w:proofErr w:type="spellEnd"/>
      <w:r w:rsidRPr="00336006">
        <w:rPr>
          <w:rFonts w:ascii="Arial" w:hAnsi="Arial" w:cs="Arial"/>
          <w:sz w:val="15"/>
          <w:szCs w:val="15"/>
        </w:rPr>
        <w:t>, M., Wampler, B., and Peixoto, T. (2021)  “</w:t>
      </w:r>
      <w:hyperlink r:id="rId8" w:history="1">
        <w:r w:rsidRPr="00336006">
          <w:rPr>
            <w:rStyle w:val="Hyperlink"/>
            <w:rFonts w:ascii="Arial" w:hAnsi="Arial" w:cs="Arial"/>
            <w:sz w:val="15"/>
            <w:szCs w:val="15"/>
          </w:rPr>
          <w:t>Of democratic governance and revenue: Participatory institutions and tax generation in Brazil</w:t>
        </w:r>
      </w:hyperlink>
      <w:r w:rsidRPr="00336006">
        <w:rPr>
          <w:rFonts w:ascii="Arial" w:hAnsi="Arial" w:cs="Arial"/>
          <w:sz w:val="15"/>
          <w:szCs w:val="15"/>
        </w:rPr>
        <w:t xml:space="preserve">.” Governance 34, no. 4: 1193–1212.  </w:t>
      </w:r>
    </w:p>
  </w:footnote>
  <w:footnote w:id="8">
    <w:p w14:paraId="6EC828E9" w14:textId="50B182EE" w:rsidR="00D15FD8" w:rsidRPr="00336006" w:rsidRDefault="00D15FD8" w:rsidP="00F11A17">
      <w:pPr>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rPr>
        <w:t>Glennerster</w:t>
      </w:r>
      <w:proofErr w:type="spellEnd"/>
      <w:r w:rsidRPr="00336006">
        <w:rPr>
          <w:rFonts w:ascii="Arial" w:hAnsi="Arial" w:cs="Arial"/>
          <w:sz w:val="15"/>
          <w:szCs w:val="15"/>
        </w:rPr>
        <w:t>, R., and Shin, Y. (2008). "</w:t>
      </w:r>
      <w:hyperlink r:id="rId9" w:history="1">
        <w:r w:rsidRPr="00336006">
          <w:rPr>
            <w:rStyle w:val="Hyperlink"/>
            <w:rFonts w:ascii="Arial" w:hAnsi="Arial" w:cs="Arial"/>
            <w:sz w:val="15"/>
            <w:szCs w:val="15"/>
            <w:lang w:val="en"/>
          </w:rPr>
          <w:t>Does Transparency Pay</w:t>
        </w:r>
      </w:hyperlink>
      <w:r w:rsidRPr="00336006">
        <w:rPr>
          <w:rStyle w:val="Hyperlink"/>
          <w:rFonts w:ascii="Arial" w:hAnsi="Arial" w:cs="Arial"/>
          <w:sz w:val="15"/>
          <w:szCs w:val="15"/>
          <w:lang w:val="en"/>
        </w:rPr>
        <w:t>?</w:t>
      </w:r>
      <w:r w:rsidRPr="00336006">
        <w:rPr>
          <w:rFonts w:ascii="Arial" w:hAnsi="Arial" w:cs="Arial"/>
          <w:sz w:val="15"/>
          <w:szCs w:val="15"/>
        </w:rPr>
        <w:t xml:space="preserve">" IMF Staff Papers 55(1): 183-209. </w:t>
      </w:r>
    </w:p>
  </w:footnote>
  <w:footnote w:id="9">
    <w:p w14:paraId="0FD67818" w14:textId="39769894"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rPr>
        <w:t>Kemoe</w:t>
      </w:r>
      <w:proofErr w:type="spellEnd"/>
      <w:r w:rsidRPr="00336006">
        <w:rPr>
          <w:rFonts w:ascii="Arial" w:hAnsi="Arial" w:cs="Arial"/>
          <w:sz w:val="15"/>
          <w:szCs w:val="15"/>
        </w:rPr>
        <w:t xml:space="preserve">, L., and Zhan, Z. (2018). </w:t>
      </w:r>
      <w:hyperlink r:id="rId10" w:history="1">
        <w:r w:rsidRPr="00336006">
          <w:rPr>
            <w:rStyle w:val="Hyperlink"/>
            <w:rFonts w:ascii="Arial" w:hAnsi="Arial" w:cs="Arial"/>
            <w:sz w:val="15"/>
            <w:szCs w:val="15"/>
            <w:lang w:val="en"/>
          </w:rPr>
          <w:t>Fiscal Transparency, Borrowing Costs, and Foreign Holdings of Sovereign Debt</w:t>
        </w:r>
      </w:hyperlink>
      <w:r w:rsidRPr="00336006">
        <w:rPr>
          <w:rFonts w:ascii="Arial" w:hAnsi="Arial" w:cs="Arial"/>
          <w:sz w:val="15"/>
          <w:szCs w:val="15"/>
        </w:rPr>
        <w:t>,” IMF WP/18/189.</w:t>
      </w:r>
    </w:p>
  </w:footnote>
  <w:footnote w:id="10">
    <w:p w14:paraId="65CC0732" w14:textId="3AFE2EC9"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rPr>
        <w:t>Reinikka</w:t>
      </w:r>
      <w:proofErr w:type="spellEnd"/>
      <w:r w:rsidRPr="00336006">
        <w:rPr>
          <w:rFonts w:ascii="Arial" w:hAnsi="Arial" w:cs="Arial"/>
          <w:sz w:val="15"/>
          <w:szCs w:val="15"/>
        </w:rPr>
        <w:t xml:space="preserve">, R., and </w:t>
      </w:r>
      <w:proofErr w:type="spellStart"/>
      <w:r w:rsidRPr="00336006">
        <w:rPr>
          <w:rFonts w:ascii="Arial" w:hAnsi="Arial" w:cs="Arial"/>
          <w:sz w:val="15"/>
          <w:szCs w:val="15"/>
        </w:rPr>
        <w:t>Svensson</w:t>
      </w:r>
      <w:proofErr w:type="spellEnd"/>
      <w:r w:rsidRPr="00336006">
        <w:rPr>
          <w:rFonts w:ascii="Arial" w:hAnsi="Arial" w:cs="Arial"/>
          <w:sz w:val="15"/>
          <w:szCs w:val="15"/>
        </w:rPr>
        <w:t>, J. (2011). "</w:t>
      </w:r>
      <w:hyperlink r:id="rId11" w:history="1">
        <w:r w:rsidRPr="00336006">
          <w:rPr>
            <w:rStyle w:val="Hyperlink"/>
            <w:rFonts w:ascii="Arial" w:hAnsi="Arial" w:cs="Arial"/>
            <w:sz w:val="15"/>
            <w:szCs w:val="15"/>
          </w:rPr>
          <w:t>The Power of Information in Public Services: Evidence from Education in Uganda</w:t>
        </w:r>
      </w:hyperlink>
      <w:r w:rsidRPr="00336006">
        <w:rPr>
          <w:rFonts w:ascii="Arial" w:hAnsi="Arial" w:cs="Arial"/>
          <w:sz w:val="15"/>
          <w:szCs w:val="15"/>
        </w:rPr>
        <w:t>," Journal of Public Economics 95(7-8): 956-966.</w:t>
      </w:r>
    </w:p>
  </w:footnote>
  <w:footnote w:id="11">
    <w:p w14:paraId="08805FD1" w14:textId="595E3B55" w:rsidR="00D15FD8" w:rsidRPr="00336006" w:rsidRDefault="00D15FD8" w:rsidP="00F11A17">
      <w:pPr>
        <w:pStyle w:val="FootnoteText"/>
        <w:jc w:val="both"/>
        <w:rPr>
          <w:rFonts w:ascii="Arial" w:hAnsi="Arial" w:cs="Arial"/>
          <w:sz w:val="15"/>
          <w:szCs w:val="15"/>
          <w:lang w:val="en-US"/>
        </w:rPr>
      </w:pPr>
      <w:r w:rsidRPr="00336006">
        <w:rPr>
          <w:rStyle w:val="FootnoteReference"/>
          <w:rFonts w:ascii="Arial" w:hAnsi="Arial" w:cs="Arial"/>
          <w:sz w:val="15"/>
          <w:szCs w:val="15"/>
        </w:rPr>
        <w:footnoteRef/>
      </w:r>
      <w:r w:rsidRPr="00336006">
        <w:rPr>
          <w:rFonts w:ascii="Arial" w:hAnsi="Arial" w:cs="Arial"/>
          <w:sz w:val="15"/>
          <w:szCs w:val="15"/>
          <w:lang w:val="en-US"/>
        </w:rPr>
        <w:t xml:space="preserve"> </w:t>
      </w:r>
      <w:proofErr w:type="spellStart"/>
      <w:r w:rsidRPr="00336006">
        <w:rPr>
          <w:rFonts w:ascii="Arial" w:hAnsi="Arial" w:cs="Arial"/>
          <w:sz w:val="15"/>
          <w:szCs w:val="15"/>
          <w:lang w:val="en-US"/>
        </w:rPr>
        <w:t>Bauhr</w:t>
      </w:r>
      <w:proofErr w:type="spellEnd"/>
      <w:r w:rsidRPr="00336006">
        <w:rPr>
          <w:rFonts w:ascii="Arial" w:hAnsi="Arial" w:cs="Arial"/>
          <w:sz w:val="15"/>
          <w:szCs w:val="15"/>
          <w:lang w:val="en-US"/>
        </w:rPr>
        <w:t xml:space="preserve">, M., </w:t>
      </w:r>
      <w:proofErr w:type="spellStart"/>
      <w:r w:rsidRPr="00336006">
        <w:rPr>
          <w:rFonts w:ascii="Arial" w:hAnsi="Arial" w:cs="Arial"/>
          <w:sz w:val="15"/>
          <w:szCs w:val="15"/>
          <w:lang w:val="en-US"/>
        </w:rPr>
        <w:t>Czibik</w:t>
      </w:r>
      <w:proofErr w:type="spellEnd"/>
      <w:r w:rsidRPr="00336006">
        <w:rPr>
          <w:rFonts w:ascii="Arial" w:hAnsi="Arial" w:cs="Arial"/>
          <w:sz w:val="15"/>
          <w:szCs w:val="15"/>
          <w:lang w:val="en-US"/>
        </w:rPr>
        <w:t>, Á., de Fine Licht, J., and Fazekas, M. (2020). “</w:t>
      </w:r>
      <w:hyperlink r:id="rId12" w:history="1">
        <w:r w:rsidRPr="00336006">
          <w:rPr>
            <w:rStyle w:val="Hyperlink"/>
            <w:rFonts w:ascii="Arial" w:hAnsi="Arial" w:cs="Arial"/>
            <w:sz w:val="15"/>
            <w:szCs w:val="15"/>
            <w:lang w:val="en-US"/>
          </w:rPr>
          <w:t>Lights on the shadows of public procurement: Transparency as an antidote to corruption</w:t>
        </w:r>
      </w:hyperlink>
      <w:r w:rsidRPr="00336006">
        <w:rPr>
          <w:rFonts w:ascii="Arial" w:hAnsi="Arial" w:cs="Arial"/>
          <w:sz w:val="15"/>
          <w:szCs w:val="15"/>
          <w:lang w:val="en-US"/>
        </w:rPr>
        <w:t xml:space="preserve">.” Governance 33, no. 3: 495–523. </w:t>
      </w:r>
    </w:p>
    <w:p w14:paraId="4F9CB821" w14:textId="6C080100" w:rsidR="00D15FD8" w:rsidRPr="00336006" w:rsidRDefault="00D15FD8" w:rsidP="00B72EC4">
      <w:pPr>
        <w:pStyle w:val="FootnoteText"/>
        <w:jc w:val="both"/>
        <w:rPr>
          <w:rFonts w:ascii="Arial" w:hAnsi="Arial" w:cs="Arial"/>
          <w:sz w:val="15"/>
          <w:szCs w:val="15"/>
          <w:lang w:val="en-ZA"/>
        </w:rPr>
      </w:pPr>
      <w:r w:rsidRPr="00336006">
        <w:rPr>
          <w:rStyle w:val="FootnoteReference"/>
          <w:rFonts w:ascii="Arial" w:hAnsi="Arial" w:cs="Arial"/>
          <w:sz w:val="15"/>
          <w:szCs w:val="15"/>
        </w:rPr>
        <w:t>12</w:t>
      </w:r>
      <w:r w:rsidRPr="00336006">
        <w:rPr>
          <w:rFonts w:ascii="Arial" w:hAnsi="Arial" w:cs="Arial"/>
          <w:sz w:val="15"/>
          <w:szCs w:val="15"/>
        </w:rPr>
        <w:t xml:space="preserve"> </w:t>
      </w:r>
      <w:proofErr w:type="spellStart"/>
      <w:r w:rsidRPr="00336006">
        <w:rPr>
          <w:rFonts w:ascii="Arial" w:hAnsi="Arial" w:cs="Arial"/>
          <w:sz w:val="15"/>
          <w:szCs w:val="15"/>
        </w:rPr>
        <w:t>Olken</w:t>
      </w:r>
      <w:proofErr w:type="spellEnd"/>
      <w:r w:rsidRPr="00336006">
        <w:rPr>
          <w:rFonts w:ascii="Arial" w:hAnsi="Arial" w:cs="Arial"/>
          <w:sz w:val="15"/>
          <w:szCs w:val="15"/>
        </w:rPr>
        <w:t>, B. (2007) “</w:t>
      </w:r>
      <w:hyperlink r:id="rId13" w:history="1">
        <w:r w:rsidRPr="00336006">
          <w:rPr>
            <w:rStyle w:val="Hyperlink"/>
            <w:rFonts w:ascii="Arial" w:hAnsi="Arial" w:cs="Arial"/>
            <w:sz w:val="15"/>
            <w:szCs w:val="15"/>
          </w:rPr>
          <w:t>Monitoring Corruption: Evidence from a Field Experiment in Indonesia</w:t>
        </w:r>
      </w:hyperlink>
      <w:r w:rsidRPr="00336006">
        <w:rPr>
          <w:rFonts w:ascii="Arial" w:hAnsi="Arial" w:cs="Arial"/>
          <w:sz w:val="15"/>
          <w:szCs w:val="15"/>
        </w:rPr>
        <w:t>,” Journal of Political Economy, 115(2): 200-249.</w:t>
      </w:r>
    </w:p>
    <w:p w14:paraId="0F1713BC" w14:textId="31B15E79" w:rsidR="00D15FD8" w:rsidRPr="00336006" w:rsidRDefault="00D15FD8" w:rsidP="00B72EC4">
      <w:pPr>
        <w:pStyle w:val="FootnoteText"/>
        <w:jc w:val="both"/>
        <w:rPr>
          <w:rFonts w:ascii="Arial" w:hAnsi="Arial" w:cs="Arial"/>
          <w:sz w:val="16"/>
          <w:szCs w:val="16"/>
          <w:lang w:val="en-US"/>
        </w:rPr>
      </w:pPr>
      <w:r w:rsidRPr="00336006">
        <w:rPr>
          <w:rStyle w:val="FootnoteReference"/>
          <w:rFonts w:ascii="Arial" w:hAnsi="Arial" w:cs="Arial"/>
          <w:sz w:val="15"/>
          <w:szCs w:val="15"/>
        </w:rPr>
        <w:t>1</w:t>
      </w:r>
      <w:r w:rsidRPr="00336006">
        <w:rPr>
          <w:rFonts w:ascii="Arial" w:hAnsi="Arial" w:cs="Arial"/>
          <w:sz w:val="15"/>
          <w:szCs w:val="15"/>
          <w:vertAlign w:val="superscript"/>
        </w:rPr>
        <w:t>3</w:t>
      </w:r>
      <w:r w:rsidRPr="00336006">
        <w:rPr>
          <w:rFonts w:ascii="Arial" w:hAnsi="Arial" w:cs="Arial"/>
          <w:sz w:val="15"/>
          <w:szCs w:val="15"/>
        </w:rPr>
        <w:t xml:space="preserve"> Gonzalez, R., Harvey, M., and </w:t>
      </w:r>
      <w:proofErr w:type="spellStart"/>
      <w:r w:rsidRPr="00336006">
        <w:rPr>
          <w:rFonts w:ascii="Arial" w:hAnsi="Arial" w:cs="Arial"/>
          <w:sz w:val="15"/>
          <w:szCs w:val="15"/>
        </w:rPr>
        <w:t>Tzachrista</w:t>
      </w:r>
      <w:proofErr w:type="spellEnd"/>
      <w:r w:rsidRPr="00336006">
        <w:rPr>
          <w:rFonts w:ascii="Arial" w:hAnsi="Arial" w:cs="Arial"/>
          <w:sz w:val="15"/>
          <w:szCs w:val="15"/>
        </w:rPr>
        <w:t>, F. (2020). “</w:t>
      </w:r>
      <w:hyperlink r:id="rId14" w:history="1">
        <w:r w:rsidRPr="00336006">
          <w:rPr>
            <w:rStyle w:val="Hyperlink"/>
            <w:rFonts w:ascii="Arial" w:hAnsi="Arial" w:cs="Arial"/>
            <w:sz w:val="15"/>
            <w:szCs w:val="15"/>
          </w:rPr>
          <w:t>Monitoring Corruption: Can Top-down Monitoring Crowd-Out Grassroots Participation?</w:t>
        </w:r>
      </w:hyperlink>
      <w:r w:rsidRPr="00336006">
        <w:rPr>
          <w:rFonts w:ascii="Arial" w:hAnsi="Arial" w:cs="Arial"/>
          <w:sz w:val="15"/>
          <w:szCs w:val="15"/>
        </w:rPr>
        <w:t>” SSRN, 2020.</w:t>
      </w:r>
    </w:p>
  </w:footnote>
  <w:footnote w:id="12">
    <w:p w14:paraId="591659EC" w14:textId="65601808"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rPr>
        <w:t>Olken</w:t>
      </w:r>
      <w:proofErr w:type="spellEnd"/>
      <w:r w:rsidRPr="00336006">
        <w:rPr>
          <w:rFonts w:ascii="Arial" w:hAnsi="Arial" w:cs="Arial"/>
          <w:sz w:val="15"/>
          <w:szCs w:val="15"/>
        </w:rPr>
        <w:t>, B. (2007) “</w:t>
      </w:r>
      <w:hyperlink r:id="rId15" w:history="1">
        <w:r w:rsidRPr="00336006">
          <w:rPr>
            <w:rStyle w:val="Hyperlink"/>
            <w:rFonts w:ascii="Arial" w:hAnsi="Arial" w:cs="Arial"/>
            <w:sz w:val="15"/>
            <w:szCs w:val="15"/>
          </w:rPr>
          <w:t>Monitoring Corruption: Evidence from a Field Experiment in Indonesia</w:t>
        </w:r>
      </w:hyperlink>
      <w:r w:rsidRPr="00336006">
        <w:rPr>
          <w:rFonts w:ascii="Arial" w:hAnsi="Arial" w:cs="Arial"/>
          <w:sz w:val="15"/>
          <w:szCs w:val="15"/>
        </w:rPr>
        <w:t>,” Journal of Political Economy, 115(2): 200-249.</w:t>
      </w:r>
    </w:p>
  </w:footnote>
  <w:footnote w:id="13">
    <w:p w14:paraId="14B1E5E1" w14:textId="03954ACE"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Gonzalez, R., Harvey, M., and </w:t>
      </w:r>
      <w:proofErr w:type="spellStart"/>
      <w:r w:rsidRPr="00336006">
        <w:rPr>
          <w:rFonts w:ascii="Arial" w:hAnsi="Arial" w:cs="Arial"/>
          <w:sz w:val="15"/>
          <w:szCs w:val="15"/>
        </w:rPr>
        <w:t>Tzachrista</w:t>
      </w:r>
      <w:proofErr w:type="spellEnd"/>
      <w:r w:rsidRPr="00336006">
        <w:rPr>
          <w:rFonts w:ascii="Arial" w:hAnsi="Arial" w:cs="Arial"/>
          <w:sz w:val="15"/>
          <w:szCs w:val="15"/>
        </w:rPr>
        <w:t>, F. (2020). “</w:t>
      </w:r>
      <w:hyperlink r:id="rId16" w:history="1">
        <w:r w:rsidRPr="00336006">
          <w:rPr>
            <w:rStyle w:val="Hyperlink"/>
            <w:rFonts w:ascii="Arial" w:hAnsi="Arial" w:cs="Arial"/>
            <w:sz w:val="15"/>
            <w:szCs w:val="15"/>
          </w:rPr>
          <w:t>Monitoring Corruption: Can Top-down Monitoring Crowd-Out Grassroots Participation?</w:t>
        </w:r>
      </w:hyperlink>
      <w:r w:rsidRPr="00336006">
        <w:rPr>
          <w:rFonts w:ascii="Arial" w:hAnsi="Arial" w:cs="Arial"/>
          <w:sz w:val="15"/>
          <w:szCs w:val="15"/>
        </w:rPr>
        <w:t>” SSRN, 2020.</w:t>
      </w:r>
    </w:p>
  </w:footnote>
  <w:footnote w:id="14">
    <w:p w14:paraId="07CCAA9B" w14:textId="15F789AC" w:rsidR="00D15FD8" w:rsidRPr="00336006" w:rsidRDefault="00D15FD8" w:rsidP="00F11A17">
      <w:pPr>
        <w:pStyle w:val="FootnoteText"/>
        <w:jc w:val="both"/>
        <w:rPr>
          <w:rFonts w:ascii="Arial" w:hAnsi="Arial" w:cs="Arial"/>
          <w:sz w:val="15"/>
          <w:szCs w:val="15"/>
          <w:lang w:val="en-US"/>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rPr>
        <w:t>Ferraz</w:t>
      </w:r>
      <w:proofErr w:type="spellEnd"/>
      <w:r w:rsidRPr="00336006">
        <w:rPr>
          <w:rFonts w:ascii="Arial" w:hAnsi="Arial" w:cs="Arial"/>
          <w:sz w:val="15"/>
          <w:szCs w:val="15"/>
        </w:rPr>
        <w:t xml:space="preserve">, C. and </w:t>
      </w:r>
      <w:proofErr w:type="spellStart"/>
      <w:r w:rsidRPr="00336006">
        <w:rPr>
          <w:rFonts w:ascii="Arial" w:hAnsi="Arial" w:cs="Arial"/>
          <w:sz w:val="15"/>
          <w:szCs w:val="15"/>
        </w:rPr>
        <w:t>Finan</w:t>
      </w:r>
      <w:proofErr w:type="spellEnd"/>
      <w:r w:rsidRPr="00336006">
        <w:rPr>
          <w:rFonts w:ascii="Arial" w:hAnsi="Arial" w:cs="Arial"/>
          <w:sz w:val="15"/>
          <w:szCs w:val="15"/>
        </w:rPr>
        <w:t>, F. (2008). "</w:t>
      </w:r>
      <w:hyperlink r:id="rId17" w:history="1">
        <w:r w:rsidRPr="00336006">
          <w:rPr>
            <w:rStyle w:val="Hyperlink"/>
            <w:rFonts w:ascii="Arial" w:hAnsi="Arial" w:cs="Arial"/>
            <w:sz w:val="15"/>
            <w:szCs w:val="15"/>
            <w:lang w:val="en"/>
          </w:rPr>
          <w:t>Exposing Corrupt Politicians: The Effects of Brazil's Publicly Released Audits on Electoral Outcomes</w:t>
        </w:r>
      </w:hyperlink>
      <w:r w:rsidRPr="00336006">
        <w:rPr>
          <w:rFonts w:ascii="Arial" w:hAnsi="Arial" w:cs="Arial"/>
          <w:sz w:val="15"/>
          <w:szCs w:val="15"/>
        </w:rPr>
        <w:t xml:space="preserve">," Quarterly Journal of Economics 123(2): 703-745. </w:t>
      </w:r>
    </w:p>
  </w:footnote>
  <w:footnote w:id="15">
    <w:p w14:paraId="4EE124CF" w14:textId="7881A2F0" w:rsidR="00D15FD8" w:rsidRPr="00336006" w:rsidRDefault="00D15FD8" w:rsidP="00F11A17">
      <w:pPr>
        <w:pStyle w:val="FootnoteText"/>
        <w:jc w:val="both"/>
        <w:rPr>
          <w:rFonts w:ascii="Arial" w:hAnsi="Arial" w:cs="Arial"/>
          <w:sz w:val="15"/>
          <w:szCs w:val="15"/>
          <w:lang w:val="en-US"/>
        </w:rPr>
      </w:pPr>
      <w:r w:rsidRPr="00336006">
        <w:rPr>
          <w:rStyle w:val="FootnoteReference"/>
          <w:rFonts w:ascii="Arial" w:hAnsi="Arial" w:cs="Arial"/>
          <w:sz w:val="15"/>
          <w:szCs w:val="15"/>
        </w:rPr>
        <w:footnoteRef/>
      </w:r>
      <w:r w:rsidRPr="00336006">
        <w:rPr>
          <w:rFonts w:ascii="Arial" w:hAnsi="Arial" w:cs="Arial"/>
          <w:sz w:val="15"/>
          <w:szCs w:val="15"/>
        </w:rPr>
        <w:t xml:space="preserve"> Avis, E., </w:t>
      </w:r>
      <w:proofErr w:type="spellStart"/>
      <w:r w:rsidRPr="00336006">
        <w:rPr>
          <w:rFonts w:ascii="Arial" w:hAnsi="Arial" w:cs="Arial"/>
          <w:sz w:val="15"/>
          <w:szCs w:val="15"/>
        </w:rPr>
        <w:t>Ferraz</w:t>
      </w:r>
      <w:proofErr w:type="spellEnd"/>
      <w:r w:rsidRPr="00336006">
        <w:rPr>
          <w:rFonts w:ascii="Arial" w:hAnsi="Arial" w:cs="Arial"/>
          <w:sz w:val="15"/>
          <w:szCs w:val="15"/>
        </w:rPr>
        <w:t xml:space="preserve">, C., and </w:t>
      </w:r>
      <w:proofErr w:type="spellStart"/>
      <w:r w:rsidRPr="00336006">
        <w:rPr>
          <w:rFonts w:ascii="Arial" w:hAnsi="Arial" w:cs="Arial"/>
          <w:sz w:val="15"/>
          <w:szCs w:val="15"/>
        </w:rPr>
        <w:t>Finan</w:t>
      </w:r>
      <w:proofErr w:type="spellEnd"/>
      <w:r w:rsidRPr="00336006">
        <w:rPr>
          <w:rFonts w:ascii="Arial" w:hAnsi="Arial" w:cs="Arial"/>
          <w:sz w:val="15"/>
          <w:szCs w:val="15"/>
        </w:rPr>
        <w:t>, F. (2018). “</w:t>
      </w:r>
      <w:hyperlink r:id="rId18" w:history="1">
        <w:r w:rsidRPr="00336006">
          <w:rPr>
            <w:rStyle w:val="Hyperlink"/>
            <w:rFonts w:ascii="Arial" w:hAnsi="Arial" w:cs="Arial"/>
            <w:sz w:val="15"/>
            <w:szCs w:val="15"/>
          </w:rPr>
          <w:t>Do government audits reduce corruption? Estimating the impacts of exposing corrupt politicians.</w:t>
        </w:r>
      </w:hyperlink>
      <w:r w:rsidRPr="00336006">
        <w:rPr>
          <w:rFonts w:ascii="Arial" w:hAnsi="Arial" w:cs="Arial"/>
          <w:sz w:val="15"/>
          <w:szCs w:val="15"/>
        </w:rPr>
        <w:t>” Journal of Political Economy 126, no. 5: 1912–1964.</w:t>
      </w:r>
    </w:p>
  </w:footnote>
  <w:footnote w:id="16">
    <w:p w14:paraId="498494E4" w14:textId="2CEEE122"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lang w:val="en-ZA"/>
        </w:rPr>
        <w:t>Sarr</w:t>
      </w:r>
      <w:proofErr w:type="spellEnd"/>
      <w:r w:rsidRPr="00336006">
        <w:rPr>
          <w:rFonts w:ascii="Arial" w:hAnsi="Arial" w:cs="Arial"/>
          <w:sz w:val="15"/>
          <w:szCs w:val="15"/>
          <w:lang w:val="en-ZA"/>
        </w:rPr>
        <w:t>, B. (2015). “</w:t>
      </w:r>
      <w:hyperlink r:id="rId19" w:history="1">
        <w:r w:rsidRPr="00336006">
          <w:rPr>
            <w:rStyle w:val="Hyperlink"/>
            <w:rFonts w:ascii="Arial" w:hAnsi="Arial" w:cs="Arial"/>
            <w:sz w:val="15"/>
            <w:szCs w:val="15"/>
            <w:lang w:val="en"/>
          </w:rPr>
          <w:t>Credibility and Reliability of Government Budgets: Does Fiscal Transparency Matter</w:t>
        </w:r>
      </w:hyperlink>
      <w:r w:rsidRPr="00336006">
        <w:rPr>
          <w:rStyle w:val="Hyperlink"/>
          <w:rFonts w:ascii="Arial" w:hAnsi="Arial" w:cs="Arial"/>
          <w:sz w:val="15"/>
          <w:szCs w:val="15"/>
          <w:lang w:val="en"/>
        </w:rPr>
        <w:t>?</w:t>
      </w:r>
      <w:r w:rsidRPr="00336006">
        <w:rPr>
          <w:rFonts w:ascii="Arial" w:hAnsi="Arial" w:cs="Arial"/>
          <w:sz w:val="15"/>
          <w:szCs w:val="15"/>
        </w:rPr>
        <w:t>”. International Budget Partnership WP 5.</w:t>
      </w:r>
    </w:p>
  </w:footnote>
  <w:footnote w:id="17">
    <w:p w14:paraId="7E50C6B7" w14:textId="226B76C6"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rPr>
        <w:t>Touchton</w:t>
      </w:r>
      <w:proofErr w:type="spellEnd"/>
      <w:r w:rsidRPr="00336006">
        <w:rPr>
          <w:rFonts w:ascii="Arial" w:hAnsi="Arial" w:cs="Arial"/>
          <w:sz w:val="15"/>
          <w:szCs w:val="15"/>
        </w:rPr>
        <w:t>, M., and Wampler, B. (2014) "</w:t>
      </w:r>
      <w:hyperlink r:id="rId20" w:history="1">
        <w:r w:rsidRPr="00336006">
          <w:rPr>
            <w:rStyle w:val="Hyperlink"/>
            <w:rFonts w:ascii="Arial" w:hAnsi="Arial" w:cs="Arial"/>
            <w:sz w:val="15"/>
            <w:szCs w:val="15"/>
            <w:lang w:val="en"/>
          </w:rPr>
          <w:t>Improving Social Well-Being Through New Democratic Institutions</w:t>
        </w:r>
      </w:hyperlink>
      <w:r w:rsidRPr="00336006">
        <w:rPr>
          <w:rFonts w:ascii="Arial" w:hAnsi="Arial" w:cs="Arial"/>
          <w:sz w:val="15"/>
          <w:szCs w:val="15"/>
        </w:rPr>
        <w:t>," Comparative Political Studies 47(10): 1442-1469.</w:t>
      </w:r>
    </w:p>
  </w:footnote>
  <w:footnote w:id="18">
    <w:p w14:paraId="4564A21C" w14:textId="003DCCCB" w:rsidR="00D15FD8" w:rsidRPr="00336006" w:rsidRDefault="00D15FD8" w:rsidP="00F11A17">
      <w:pPr>
        <w:pStyle w:val="FootnoteText"/>
        <w:jc w:val="both"/>
        <w:rPr>
          <w:rFonts w:ascii="Arial" w:hAnsi="Arial" w:cs="Arial"/>
          <w:sz w:val="15"/>
          <w:szCs w:val="15"/>
          <w:lang w:val="en-ZA"/>
        </w:rPr>
      </w:pPr>
      <w:r w:rsidRPr="00336006">
        <w:rPr>
          <w:rStyle w:val="FootnoteReference"/>
          <w:rFonts w:ascii="Arial" w:hAnsi="Arial" w:cs="Arial"/>
          <w:sz w:val="15"/>
          <w:szCs w:val="15"/>
        </w:rPr>
        <w:footnoteRef/>
      </w:r>
      <w:r w:rsidRPr="00336006">
        <w:rPr>
          <w:rFonts w:ascii="Arial" w:hAnsi="Arial" w:cs="Arial"/>
          <w:sz w:val="15"/>
          <w:szCs w:val="15"/>
        </w:rPr>
        <w:t xml:space="preserve"> Gonçalves, S. (2014). "</w:t>
      </w:r>
      <w:hyperlink r:id="rId21" w:history="1">
        <w:r w:rsidRPr="00336006">
          <w:rPr>
            <w:rStyle w:val="Hyperlink"/>
            <w:rFonts w:ascii="Arial" w:hAnsi="Arial" w:cs="Arial"/>
            <w:sz w:val="15"/>
            <w:szCs w:val="15"/>
            <w:lang w:val="en"/>
          </w:rPr>
          <w:t>The Effects of Participatory Budgeting on Municipal Expenditures and Infant Mortality in Brazil</w:t>
        </w:r>
      </w:hyperlink>
      <w:r w:rsidRPr="00336006">
        <w:rPr>
          <w:rFonts w:ascii="Arial" w:hAnsi="Arial" w:cs="Arial"/>
          <w:sz w:val="15"/>
          <w:szCs w:val="15"/>
        </w:rPr>
        <w:t>," World Development 53: 94-110.</w:t>
      </w:r>
    </w:p>
  </w:footnote>
  <w:footnote w:id="19">
    <w:p w14:paraId="32D17ADC" w14:textId="6EF47557" w:rsidR="00D15FD8" w:rsidRPr="00336006" w:rsidRDefault="00D15FD8" w:rsidP="00F11A17">
      <w:pPr>
        <w:pStyle w:val="FootnoteText"/>
        <w:jc w:val="both"/>
        <w:rPr>
          <w:rFonts w:ascii="Arial" w:hAnsi="Arial" w:cs="Arial"/>
          <w:sz w:val="15"/>
          <w:szCs w:val="15"/>
        </w:rPr>
      </w:pPr>
      <w:r w:rsidRPr="00336006">
        <w:rPr>
          <w:rStyle w:val="FootnoteReference"/>
          <w:rFonts w:ascii="Arial" w:hAnsi="Arial" w:cs="Arial"/>
          <w:sz w:val="15"/>
          <w:szCs w:val="15"/>
        </w:rPr>
        <w:footnoteRef/>
      </w:r>
      <w:r w:rsidRPr="00336006">
        <w:rPr>
          <w:rFonts w:ascii="Arial" w:hAnsi="Arial" w:cs="Arial"/>
          <w:sz w:val="15"/>
          <w:szCs w:val="15"/>
        </w:rPr>
        <w:t xml:space="preserve"> </w:t>
      </w:r>
      <w:proofErr w:type="spellStart"/>
      <w:r w:rsidRPr="00336006">
        <w:rPr>
          <w:rFonts w:ascii="Arial" w:hAnsi="Arial" w:cs="Arial"/>
          <w:sz w:val="15"/>
          <w:szCs w:val="15"/>
        </w:rPr>
        <w:t>Touchton</w:t>
      </w:r>
      <w:proofErr w:type="spellEnd"/>
      <w:r w:rsidRPr="00336006">
        <w:rPr>
          <w:rFonts w:ascii="Arial" w:hAnsi="Arial" w:cs="Arial"/>
          <w:sz w:val="15"/>
          <w:szCs w:val="15"/>
        </w:rPr>
        <w:t>, M., and Wampler, B. (2020). “</w:t>
      </w:r>
      <w:hyperlink r:id="rId22" w:history="1">
        <w:r w:rsidRPr="00336006">
          <w:rPr>
            <w:rStyle w:val="Hyperlink"/>
            <w:rFonts w:ascii="Arial" w:hAnsi="Arial" w:cs="Arial"/>
            <w:sz w:val="15"/>
            <w:szCs w:val="15"/>
          </w:rPr>
          <w:t>Public engagement for public health: participatory budgeting, targeted social programmes, and infant mortality in Brazil</w:t>
        </w:r>
      </w:hyperlink>
      <w:r w:rsidRPr="00336006">
        <w:rPr>
          <w:rFonts w:ascii="Arial" w:hAnsi="Arial" w:cs="Arial"/>
          <w:sz w:val="15"/>
          <w:szCs w:val="15"/>
        </w:rPr>
        <w:t xml:space="preserve">.” Development in Practice 30, no. 5: 681–686. </w:t>
      </w:r>
    </w:p>
  </w:footnote>
  <w:footnote w:id="20">
    <w:p w14:paraId="5F04988A" w14:textId="3264DE9E" w:rsidR="00D15FD8" w:rsidRPr="003625BA" w:rsidRDefault="00D15FD8" w:rsidP="00F11A17">
      <w:pPr>
        <w:pStyle w:val="FootnoteText"/>
        <w:jc w:val="both"/>
        <w:rPr>
          <w:rFonts w:ascii="Arial" w:hAnsi="Arial" w:cs="Arial"/>
          <w:lang w:val="en-US"/>
        </w:rPr>
      </w:pPr>
      <w:r w:rsidRPr="00336006">
        <w:rPr>
          <w:rStyle w:val="FootnoteReference"/>
          <w:rFonts w:ascii="Arial" w:hAnsi="Arial" w:cs="Arial"/>
          <w:sz w:val="15"/>
          <w:szCs w:val="15"/>
        </w:rPr>
        <w:footnoteRef/>
      </w:r>
      <w:r w:rsidRPr="00336006">
        <w:rPr>
          <w:rFonts w:ascii="Arial" w:hAnsi="Arial" w:cs="Arial"/>
          <w:sz w:val="15"/>
          <w:szCs w:val="15"/>
        </w:rPr>
        <w:t xml:space="preserve"> World Wide Web Foundation (2018). “</w:t>
      </w:r>
      <w:hyperlink r:id="rId23" w:history="1">
        <w:r w:rsidRPr="00336006">
          <w:rPr>
            <w:rStyle w:val="Hyperlink"/>
            <w:rFonts w:ascii="Arial" w:hAnsi="Arial" w:cs="Arial"/>
            <w:sz w:val="15"/>
            <w:szCs w:val="15"/>
            <w:lang w:val="en"/>
          </w:rPr>
          <w:t>Open Data Barometer - Leaders Edition</w:t>
        </w:r>
      </w:hyperlink>
      <w:r w:rsidRPr="00336006">
        <w:rPr>
          <w:rFonts w:ascii="Arial" w:hAnsi="Arial" w:cs="Arial"/>
          <w:sz w:val="15"/>
          <w:szCs w:val="15"/>
        </w:rPr>
        <w:t>,” World Wide Web Foundation.</w:t>
      </w:r>
    </w:p>
  </w:footnote>
  <w:footnote w:id="21">
    <w:p w14:paraId="241C49D4" w14:textId="4FE13D91" w:rsidR="00D15FD8" w:rsidRPr="00336006" w:rsidRDefault="00D15FD8" w:rsidP="00EB0AA3">
      <w:pPr>
        <w:pStyle w:val="FootnoteText"/>
        <w:jc w:val="both"/>
        <w:rPr>
          <w:rFonts w:ascii="Arial" w:hAnsi="Arial" w:cs="Arial"/>
          <w:sz w:val="16"/>
          <w:szCs w:val="16"/>
        </w:rPr>
      </w:pPr>
      <w:r w:rsidRPr="00336006">
        <w:rPr>
          <w:rFonts w:ascii="Arial" w:hAnsi="Arial" w:cs="Arial"/>
          <w:sz w:val="16"/>
          <w:szCs w:val="16"/>
          <w:vertAlign w:val="superscript"/>
        </w:rPr>
        <w:t>20</w:t>
      </w:r>
      <w:r w:rsidRPr="00336006">
        <w:rPr>
          <w:rFonts w:ascii="Arial" w:hAnsi="Arial" w:cs="Arial"/>
          <w:sz w:val="16"/>
          <w:szCs w:val="16"/>
        </w:rPr>
        <w:t>T</w:t>
      </w:r>
      <w:r w:rsidRPr="00336006">
        <w:rPr>
          <w:rFonts w:ascii="Arial" w:hAnsi="Arial" w:cs="Arial"/>
          <w:sz w:val="16"/>
          <w:szCs w:val="16"/>
          <w:lang w:val="en-ZA"/>
        </w:rPr>
        <w:t>he judicial branch of government falls outside the scope of this Guide. The information and references provided here are not meant to be exhaustive and as such further research would need to be undertaken by those wanting to gain comprehensive knowledge on this topic.</w:t>
      </w:r>
    </w:p>
    <w:p w14:paraId="5089A41A" w14:textId="66BA1086" w:rsidR="00D15FD8" w:rsidRPr="00336006" w:rsidRDefault="00D15FD8" w:rsidP="00EB0AA3">
      <w:pPr>
        <w:pStyle w:val="FootnoteText"/>
        <w:jc w:val="both"/>
        <w:rPr>
          <w:rFonts w:ascii="Arial" w:hAnsi="Arial" w:cs="Arial"/>
          <w:bCs/>
          <w:sz w:val="16"/>
          <w:szCs w:val="16"/>
        </w:rPr>
      </w:pPr>
      <w:r w:rsidRPr="00336006">
        <w:rPr>
          <w:rStyle w:val="FootnoteReference"/>
          <w:rFonts w:ascii="Arial" w:hAnsi="Arial" w:cs="Arial"/>
          <w:sz w:val="16"/>
          <w:szCs w:val="16"/>
        </w:rPr>
        <w:footnoteRef/>
      </w:r>
      <w:r w:rsidRPr="00336006">
        <w:rPr>
          <w:rFonts w:ascii="Arial" w:hAnsi="Arial" w:cs="Arial"/>
          <w:sz w:val="16"/>
          <w:szCs w:val="16"/>
        </w:rPr>
        <w:t xml:space="preserve"> </w:t>
      </w:r>
      <w:r w:rsidRPr="00336006">
        <w:rPr>
          <w:rFonts w:ascii="Arial" w:hAnsi="Arial" w:cs="Arial"/>
          <w:sz w:val="16"/>
          <w:szCs w:val="16"/>
          <w:lang w:val="en-ZA"/>
        </w:rPr>
        <w:t>For further reading and examples: see</w:t>
      </w:r>
      <w:r w:rsidRPr="00336006">
        <w:rPr>
          <w:rFonts w:ascii="Arial" w:hAnsi="Arial" w:cs="Arial"/>
          <w:sz w:val="16"/>
          <w:szCs w:val="16"/>
        </w:rPr>
        <w:t xml:space="preserve"> </w:t>
      </w:r>
      <w:proofErr w:type="spellStart"/>
      <w:r w:rsidRPr="00336006">
        <w:rPr>
          <w:rFonts w:ascii="Arial" w:hAnsi="Arial" w:cs="Arial"/>
          <w:sz w:val="16"/>
          <w:szCs w:val="16"/>
        </w:rPr>
        <w:t>Lakin</w:t>
      </w:r>
      <w:proofErr w:type="spellEnd"/>
      <w:r w:rsidRPr="00336006">
        <w:rPr>
          <w:rFonts w:ascii="Arial" w:hAnsi="Arial" w:cs="Arial"/>
          <w:sz w:val="16"/>
          <w:szCs w:val="16"/>
        </w:rPr>
        <w:t>, J. (2020). “</w:t>
      </w:r>
      <w:hyperlink r:id="rId24" w:history="1">
        <w:r w:rsidRPr="00336006">
          <w:rPr>
            <w:rStyle w:val="Hyperlink"/>
            <w:rFonts w:ascii="Arial" w:hAnsi="Arial" w:cs="Arial"/>
            <w:bCs/>
            <w:sz w:val="16"/>
            <w:szCs w:val="16"/>
            <w:lang w:val="en-ZA"/>
          </w:rPr>
          <w:t>Friend of the Court? The role of judiciaries in tax reform</w:t>
        </w:r>
      </w:hyperlink>
      <w:r w:rsidRPr="00336006">
        <w:rPr>
          <w:rFonts w:ascii="Arial" w:hAnsi="Arial" w:cs="Arial"/>
          <w:bCs/>
          <w:sz w:val="16"/>
          <w:szCs w:val="16"/>
          <w:lang w:val="en-ZA"/>
        </w:rPr>
        <w:t>”.</w:t>
      </w:r>
      <w:r w:rsidRPr="00336006">
        <w:rPr>
          <w:rFonts w:ascii="Arial" w:hAnsi="Arial" w:cs="Arial"/>
          <w:sz w:val="16"/>
          <w:szCs w:val="16"/>
        </w:rPr>
        <w:t xml:space="preserve"> </w:t>
      </w:r>
      <w:r w:rsidRPr="00336006">
        <w:rPr>
          <w:rFonts w:ascii="Arial" w:hAnsi="Arial" w:cs="Arial"/>
          <w:bCs/>
          <w:sz w:val="16"/>
          <w:szCs w:val="16"/>
        </w:rPr>
        <w:t>IBP.</w:t>
      </w:r>
    </w:p>
  </w:footnote>
  <w:footnote w:id="22">
    <w:p w14:paraId="46E1549C" w14:textId="77777777" w:rsidR="00D15FD8" w:rsidRPr="00336006" w:rsidRDefault="00D15FD8" w:rsidP="00EB0AA3">
      <w:pPr>
        <w:pStyle w:val="FootnoteText"/>
        <w:jc w:val="both"/>
        <w:rPr>
          <w:rFonts w:ascii="Arial" w:hAnsi="Arial" w:cs="Arial"/>
          <w:sz w:val="16"/>
          <w:szCs w:val="16"/>
        </w:rPr>
      </w:pPr>
      <w:r w:rsidRPr="00336006">
        <w:rPr>
          <w:rStyle w:val="FootnoteReference"/>
          <w:rFonts w:ascii="Arial" w:hAnsi="Arial" w:cs="Arial"/>
          <w:sz w:val="16"/>
          <w:szCs w:val="16"/>
        </w:rPr>
        <w:footnoteRef/>
      </w:r>
      <w:r w:rsidRPr="00336006">
        <w:rPr>
          <w:rFonts w:ascii="Arial" w:hAnsi="Arial" w:cs="Arial"/>
          <w:sz w:val="16"/>
          <w:szCs w:val="16"/>
        </w:rPr>
        <w:t xml:space="preserve"> For further reading and examples see:</w:t>
      </w:r>
    </w:p>
    <w:p w14:paraId="4D77BFDC" w14:textId="77777777" w:rsidR="00D15FD8" w:rsidRPr="00336006" w:rsidRDefault="00D15FD8" w:rsidP="00EB0AA3">
      <w:pPr>
        <w:pStyle w:val="FootnoteText"/>
        <w:jc w:val="both"/>
        <w:rPr>
          <w:rFonts w:ascii="Arial" w:hAnsi="Arial" w:cs="Arial"/>
          <w:sz w:val="16"/>
          <w:szCs w:val="16"/>
        </w:rPr>
      </w:pPr>
      <w:r w:rsidRPr="00336006">
        <w:rPr>
          <w:rFonts w:ascii="Arial" w:hAnsi="Arial" w:cs="Arial"/>
          <w:sz w:val="16"/>
          <w:szCs w:val="16"/>
        </w:rPr>
        <w:t>Wright, A.M. (2014). “</w:t>
      </w:r>
      <w:hyperlink r:id="rId25" w:history="1">
        <w:r w:rsidRPr="00336006">
          <w:rPr>
            <w:rStyle w:val="Hyperlink"/>
            <w:rFonts w:ascii="Arial" w:hAnsi="Arial" w:cs="Arial"/>
            <w:sz w:val="16"/>
            <w:szCs w:val="16"/>
          </w:rPr>
          <w:t>Constitutional Conflict and Congressional Oversight</w:t>
        </w:r>
      </w:hyperlink>
      <w:r w:rsidRPr="00336006">
        <w:rPr>
          <w:rFonts w:ascii="Arial" w:hAnsi="Arial" w:cs="Arial"/>
          <w:sz w:val="16"/>
          <w:szCs w:val="16"/>
        </w:rPr>
        <w:t>”. Marquette Law Review.</w:t>
      </w:r>
    </w:p>
    <w:p w14:paraId="060836F0" w14:textId="77777777" w:rsidR="00D15FD8" w:rsidRPr="00336006" w:rsidRDefault="00D15FD8" w:rsidP="00EB0AA3">
      <w:pPr>
        <w:pStyle w:val="FootnoteText"/>
        <w:jc w:val="both"/>
        <w:rPr>
          <w:rFonts w:ascii="Arial" w:hAnsi="Arial" w:cs="Arial"/>
          <w:sz w:val="16"/>
          <w:szCs w:val="16"/>
          <w:lang w:val="en-ZA"/>
        </w:rPr>
      </w:pPr>
      <w:r w:rsidRPr="00336006">
        <w:rPr>
          <w:rFonts w:ascii="Arial" w:hAnsi="Arial" w:cs="Arial"/>
          <w:sz w:val="16"/>
          <w:szCs w:val="16"/>
        </w:rPr>
        <w:t>Grewal, A.S. (2020). “</w:t>
      </w:r>
      <w:hyperlink r:id="rId26" w:history="1">
        <w:r w:rsidRPr="00336006">
          <w:rPr>
            <w:rStyle w:val="Hyperlink"/>
            <w:rFonts w:ascii="Arial" w:hAnsi="Arial" w:cs="Arial"/>
            <w:sz w:val="16"/>
            <w:szCs w:val="16"/>
          </w:rPr>
          <w:t>Congressional Subpoenas in Court</w:t>
        </w:r>
      </w:hyperlink>
      <w:r w:rsidRPr="00336006">
        <w:rPr>
          <w:rFonts w:ascii="Arial" w:hAnsi="Arial" w:cs="Arial"/>
          <w:sz w:val="16"/>
          <w:szCs w:val="16"/>
        </w:rPr>
        <w:t>”. North Carolina Law Review.</w:t>
      </w:r>
    </w:p>
  </w:footnote>
  <w:footnote w:id="23">
    <w:p w14:paraId="04304AC4" w14:textId="77777777" w:rsidR="00D15FD8" w:rsidRPr="00336006" w:rsidRDefault="00D15FD8" w:rsidP="00EB0AA3">
      <w:pPr>
        <w:pStyle w:val="FootnoteText"/>
        <w:rPr>
          <w:rFonts w:ascii="Arial" w:hAnsi="Arial" w:cs="Arial"/>
          <w:sz w:val="16"/>
          <w:szCs w:val="16"/>
          <w:lang w:val="en-ZA"/>
        </w:rPr>
      </w:pPr>
      <w:r w:rsidRPr="00336006">
        <w:rPr>
          <w:rStyle w:val="FootnoteReference"/>
          <w:rFonts w:ascii="Arial" w:hAnsi="Arial" w:cs="Arial"/>
          <w:sz w:val="16"/>
          <w:szCs w:val="16"/>
        </w:rPr>
        <w:footnoteRef/>
      </w:r>
      <w:r w:rsidRPr="00336006">
        <w:rPr>
          <w:rFonts w:ascii="Arial" w:hAnsi="Arial" w:cs="Arial"/>
          <w:sz w:val="16"/>
          <w:szCs w:val="16"/>
          <w:lang w:val="en-ZA"/>
        </w:rPr>
        <w:t xml:space="preserve"> </w:t>
      </w:r>
      <w:r w:rsidRPr="00336006">
        <w:rPr>
          <w:rFonts w:ascii="Arial" w:hAnsi="Arial" w:cs="Arial"/>
          <w:bCs/>
          <w:sz w:val="16"/>
          <w:szCs w:val="16"/>
          <w:lang w:val="en-ZA"/>
        </w:rPr>
        <w:t>For further reading and examples see</w:t>
      </w:r>
      <w:r w:rsidRPr="00336006">
        <w:rPr>
          <w:rFonts w:ascii="Arial" w:hAnsi="Arial" w:cs="Arial"/>
          <w:bCs/>
          <w:sz w:val="16"/>
          <w:szCs w:val="16"/>
        </w:rPr>
        <w:t xml:space="preserve"> </w:t>
      </w:r>
      <w:proofErr w:type="spellStart"/>
      <w:r w:rsidRPr="00336006">
        <w:rPr>
          <w:rFonts w:ascii="Arial" w:hAnsi="Arial" w:cs="Arial"/>
          <w:bCs/>
          <w:sz w:val="16"/>
          <w:szCs w:val="16"/>
        </w:rPr>
        <w:t>Lakin</w:t>
      </w:r>
      <w:proofErr w:type="spellEnd"/>
      <w:r w:rsidRPr="00336006">
        <w:rPr>
          <w:rFonts w:ascii="Arial" w:hAnsi="Arial" w:cs="Arial"/>
          <w:bCs/>
          <w:sz w:val="16"/>
          <w:szCs w:val="16"/>
        </w:rPr>
        <w:t xml:space="preserve">, J. (2020). </w:t>
      </w:r>
      <w:hyperlink r:id="rId27" w:history="1">
        <w:r w:rsidRPr="00336006">
          <w:rPr>
            <w:rStyle w:val="Hyperlink"/>
            <w:rFonts w:ascii="Arial" w:hAnsi="Arial" w:cs="Arial"/>
            <w:sz w:val="16"/>
            <w:szCs w:val="16"/>
          </w:rPr>
          <w:t xml:space="preserve"> “</w:t>
        </w:r>
        <w:r w:rsidRPr="00336006">
          <w:rPr>
            <w:rStyle w:val="Hyperlink"/>
            <w:rFonts w:ascii="Arial" w:hAnsi="Arial" w:cs="Arial"/>
            <w:bCs/>
            <w:sz w:val="16"/>
            <w:szCs w:val="16"/>
            <w:lang w:val="en-ZA"/>
          </w:rPr>
          <w:t>Justifying Government Budget Decisions: Toward Standards for Public Reasons</w:t>
        </w:r>
      </w:hyperlink>
      <w:r w:rsidRPr="00336006">
        <w:rPr>
          <w:rFonts w:ascii="Arial" w:hAnsi="Arial" w:cs="Arial"/>
          <w:sz w:val="16"/>
          <w:szCs w:val="16"/>
        </w:rPr>
        <w:t>.” IBP.</w:t>
      </w:r>
    </w:p>
  </w:footnote>
  <w:footnote w:id="24">
    <w:p w14:paraId="4BB0EFCF" w14:textId="77777777" w:rsidR="00D15FD8" w:rsidRPr="00336006" w:rsidRDefault="00D15FD8" w:rsidP="00EB0AA3">
      <w:pPr>
        <w:pStyle w:val="FootnoteText"/>
        <w:jc w:val="both"/>
        <w:rPr>
          <w:rFonts w:ascii="Arial" w:hAnsi="Arial" w:cs="Arial"/>
          <w:sz w:val="16"/>
          <w:szCs w:val="16"/>
          <w:lang w:val="en-ZA"/>
        </w:rPr>
      </w:pPr>
      <w:r w:rsidRPr="00336006">
        <w:rPr>
          <w:rStyle w:val="FootnoteReference"/>
          <w:rFonts w:ascii="Arial" w:hAnsi="Arial" w:cs="Arial"/>
          <w:sz w:val="16"/>
          <w:szCs w:val="16"/>
        </w:rPr>
        <w:footnoteRef/>
      </w:r>
      <w:r w:rsidRPr="00336006">
        <w:rPr>
          <w:rFonts w:ascii="Arial" w:hAnsi="Arial" w:cs="Arial"/>
          <w:sz w:val="16"/>
          <w:szCs w:val="16"/>
        </w:rPr>
        <w:t xml:space="preserve"> </w:t>
      </w:r>
      <w:r w:rsidRPr="00336006">
        <w:rPr>
          <w:rFonts w:ascii="Arial" w:hAnsi="Arial" w:cs="Arial"/>
          <w:sz w:val="16"/>
          <w:szCs w:val="16"/>
          <w:lang w:val="en-ZA"/>
        </w:rPr>
        <w:t>For further reading and examples see:</w:t>
      </w:r>
    </w:p>
    <w:p w14:paraId="5DECB14A" w14:textId="77777777" w:rsidR="00D15FD8" w:rsidRPr="00336006" w:rsidRDefault="00D15FD8" w:rsidP="00EB0AA3">
      <w:pPr>
        <w:pStyle w:val="FootnoteText"/>
        <w:jc w:val="both"/>
        <w:rPr>
          <w:rFonts w:ascii="Arial" w:hAnsi="Arial" w:cs="Arial"/>
          <w:sz w:val="16"/>
          <w:szCs w:val="16"/>
        </w:rPr>
      </w:pPr>
      <w:r w:rsidRPr="00336006">
        <w:rPr>
          <w:rFonts w:ascii="Arial" w:hAnsi="Arial" w:cs="Arial"/>
          <w:sz w:val="16"/>
          <w:szCs w:val="16"/>
        </w:rPr>
        <w:t>Spire, A (2018). “</w:t>
      </w:r>
      <w:hyperlink r:id="rId28" w:history="1">
        <w:r w:rsidRPr="00336006">
          <w:rPr>
            <w:rStyle w:val="Hyperlink"/>
            <w:rFonts w:ascii="Arial" w:hAnsi="Arial" w:cs="Arial"/>
            <w:sz w:val="16"/>
            <w:szCs w:val="16"/>
          </w:rPr>
          <w:t>The Anger of the Gilets Jaunes</w:t>
        </w:r>
      </w:hyperlink>
      <w:r w:rsidRPr="00336006">
        <w:rPr>
          <w:rFonts w:ascii="Arial" w:hAnsi="Arial" w:cs="Arial"/>
          <w:sz w:val="16"/>
          <w:szCs w:val="16"/>
        </w:rPr>
        <w:t xml:space="preserve">’. The Nation. </w:t>
      </w:r>
    </w:p>
    <w:p w14:paraId="5C5A3C99" w14:textId="77777777" w:rsidR="00D15FD8" w:rsidRPr="00336006" w:rsidRDefault="00D15FD8" w:rsidP="00EB0AA3">
      <w:pPr>
        <w:pStyle w:val="FootnoteText"/>
        <w:jc w:val="both"/>
        <w:rPr>
          <w:rFonts w:ascii="Arial" w:hAnsi="Arial" w:cs="Arial"/>
          <w:sz w:val="16"/>
          <w:szCs w:val="16"/>
          <w:lang w:val="en-ZA"/>
        </w:rPr>
      </w:pPr>
      <w:proofErr w:type="spellStart"/>
      <w:r w:rsidRPr="00336006">
        <w:rPr>
          <w:rFonts w:ascii="Arial" w:hAnsi="Arial" w:cs="Arial"/>
          <w:sz w:val="16"/>
          <w:szCs w:val="16"/>
        </w:rPr>
        <w:t>Cokluk</w:t>
      </w:r>
      <w:proofErr w:type="spellEnd"/>
      <w:r w:rsidRPr="00336006">
        <w:rPr>
          <w:rFonts w:ascii="Arial" w:hAnsi="Arial" w:cs="Arial"/>
          <w:sz w:val="16"/>
          <w:szCs w:val="16"/>
        </w:rPr>
        <w:t xml:space="preserve"> </w:t>
      </w:r>
      <w:proofErr w:type="spellStart"/>
      <w:r w:rsidRPr="00336006">
        <w:rPr>
          <w:rFonts w:ascii="Arial" w:hAnsi="Arial" w:cs="Arial"/>
          <w:sz w:val="16"/>
          <w:szCs w:val="16"/>
        </w:rPr>
        <w:t>Comert</w:t>
      </w:r>
      <w:proofErr w:type="spellEnd"/>
      <w:r w:rsidRPr="00336006">
        <w:rPr>
          <w:rFonts w:ascii="Arial" w:hAnsi="Arial" w:cs="Arial"/>
          <w:sz w:val="16"/>
          <w:szCs w:val="16"/>
        </w:rPr>
        <w:t>, N. (2019).”</w:t>
      </w:r>
      <w:hyperlink r:id="rId29" w:history="1">
        <w:r w:rsidRPr="00336006">
          <w:rPr>
            <w:rStyle w:val="Hyperlink"/>
            <w:rFonts w:ascii="Arial" w:hAnsi="Arial" w:cs="Arial"/>
            <w:sz w:val="16"/>
            <w:szCs w:val="16"/>
          </w:rPr>
          <w:t>Postmodern Status of New Social Movements: A Research on Yellow Vests</w:t>
        </w:r>
      </w:hyperlink>
      <w:r w:rsidRPr="00336006">
        <w:rPr>
          <w:rFonts w:ascii="Arial" w:hAnsi="Arial" w:cs="Arial"/>
          <w:sz w:val="16"/>
          <w:szCs w:val="16"/>
        </w:rPr>
        <w:t>.” Istanbul University Journal of Communication Sciences.</w:t>
      </w:r>
    </w:p>
  </w:footnote>
  <w:footnote w:id="25">
    <w:p w14:paraId="0CD395D2" w14:textId="77777777" w:rsidR="00D15FD8" w:rsidRPr="00336006" w:rsidRDefault="00D15FD8" w:rsidP="00EB0AA3">
      <w:pPr>
        <w:pStyle w:val="FootnoteText"/>
        <w:jc w:val="both"/>
        <w:rPr>
          <w:rFonts w:ascii="Arial" w:hAnsi="Arial" w:cs="Arial"/>
          <w:bCs/>
          <w:sz w:val="16"/>
          <w:szCs w:val="16"/>
          <w:lang w:val="en-ZA"/>
        </w:rPr>
      </w:pPr>
      <w:r w:rsidRPr="00336006">
        <w:rPr>
          <w:rStyle w:val="FootnoteReference"/>
          <w:rFonts w:ascii="Arial" w:hAnsi="Arial" w:cs="Arial"/>
          <w:sz w:val="16"/>
          <w:szCs w:val="16"/>
        </w:rPr>
        <w:footnoteRef/>
      </w:r>
      <w:r w:rsidRPr="00336006">
        <w:rPr>
          <w:rFonts w:ascii="Arial" w:hAnsi="Arial" w:cs="Arial"/>
          <w:sz w:val="16"/>
          <w:szCs w:val="16"/>
        </w:rPr>
        <w:t xml:space="preserve"> </w:t>
      </w:r>
      <w:r w:rsidRPr="00336006">
        <w:rPr>
          <w:rFonts w:ascii="Arial" w:hAnsi="Arial" w:cs="Arial"/>
          <w:sz w:val="16"/>
          <w:szCs w:val="16"/>
          <w:lang w:val="en-ZA"/>
        </w:rPr>
        <w:t>For further reading see Mordecai, M. (2019). “</w:t>
      </w:r>
      <w:hyperlink r:id="rId30" w:history="1">
        <w:r w:rsidRPr="00336006">
          <w:rPr>
            <w:rStyle w:val="Hyperlink"/>
            <w:rFonts w:ascii="Arial" w:hAnsi="Arial" w:cs="Arial"/>
            <w:bCs/>
            <w:sz w:val="16"/>
            <w:szCs w:val="16"/>
            <w:lang w:val="en-ZA"/>
          </w:rPr>
          <w:t>Protests in Lebanon highlight ubiquity of WhatsApp, dissatisfaction with government</w:t>
        </w:r>
      </w:hyperlink>
      <w:r w:rsidRPr="00336006">
        <w:rPr>
          <w:rFonts w:ascii="Arial" w:hAnsi="Arial" w:cs="Arial"/>
          <w:bCs/>
          <w:sz w:val="16"/>
          <w:szCs w:val="16"/>
          <w:lang w:val="en-ZA"/>
        </w:rPr>
        <w:t xml:space="preserve">.” Pew Research </w:t>
      </w:r>
      <w:proofErr w:type="spellStart"/>
      <w:r w:rsidRPr="00336006">
        <w:rPr>
          <w:rFonts w:ascii="Arial" w:hAnsi="Arial" w:cs="Arial"/>
          <w:bCs/>
          <w:sz w:val="16"/>
          <w:szCs w:val="16"/>
          <w:lang w:val="en-ZA"/>
        </w:rPr>
        <w:t>Center</w:t>
      </w:r>
      <w:proofErr w:type="spellEnd"/>
      <w:r w:rsidRPr="00336006">
        <w:rPr>
          <w:rFonts w:ascii="Arial" w:hAnsi="Arial" w:cs="Arial"/>
          <w:bCs/>
          <w:sz w:val="16"/>
          <w:szCs w:val="16"/>
          <w:lang w:val="en-ZA"/>
        </w:rPr>
        <w:t>.</w:t>
      </w:r>
    </w:p>
    <w:p w14:paraId="2C2763C5" w14:textId="77777777" w:rsidR="00D15FD8" w:rsidRPr="00336006" w:rsidRDefault="00D15FD8" w:rsidP="00EB0AA3">
      <w:pPr>
        <w:pStyle w:val="FootnoteText"/>
        <w:rPr>
          <w:rFonts w:ascii="Arial" w:hAnsi="Arial" w:cs="Arial"/>
          <w:lang w:val="en-ZA"/>
        </w:rPr>
      </w:pPr>
    </w:p>
  </w:footnote>
  <w:footnote w:id="26">
    <w:p w14:paraId="158F9C32" w14:textId="77777777" w:rsidR="00D15FD8" w:rsidRPr="003625BA" w:rsidRDefault="00D15FD8" w:rsidP="00007A28">
      <w:pPr>
        <w:pStyle w:val="FootnoteText"/>
        <w:rPr>
          <w:rFonts w:ascii="Arial" w:hAnsi="Arial" w:cs="Arial"/>
          <w:sz w:val="16"/>
          <w:szCs w:val="16"/>
        </w:rPr>
      </w:pPr>
      <w:r w:rsidRPr="003625BA">
        <w:rPr>
          <w:rStyle w:val="FootnoteReference"/>
          <w:rFonts w:ascii="Arial" w:hAnsi="Arial" w:cs="Arial"/>
        </w:rPr>
        <w:footnoteRef/>
      </w:r>
      <w:r w:rsidRPr="003625BA">
        <w:rPr>
          <w:rFonts w:ascii="Arial" w:hAnsi="Arial" w:cs="Arial"/>
        </w:rPr>
        <w:t xml:space="preserve"> </w:t>
      </w:r>
      <w:r w:rsidRPr="003625BA">
        <w:rPr>
          <w:rFonts w:ascii="Arial" w:hAnsi="Arial" w:cs="Arial"/>
          <w:sz w:val="16"/>
          <w:szCs w:val="16"/>
        </w:rPr>
        <w:t xml:space="preserve">Additional reference materials include:  </w:t>
      </w:r>
    </w:p>
    <w:p w14:paraId="4167E1C3" w14:textId="77777777" w:rsidR="00D15FD8" w:rsidRPr="003625BA" w:rsidRDefault="00D15FD8">
      <w:pPr>
        <w:pStyle w:val="FootnoteText"/>
        <w:numPr>
          <w:ilvl w:val="0"/>
          <w:numId w:val="42"/>
        </w:numPr>
        <w:ind w:left="360" w:hanging="270"/>
        <w:jc w:val="both"/>
        <w:rPr>
          <w:rFonts w:ascii="Arial" w:hAnsi="Arial" w:cs="Arial"/>
          <w:sz w:val="16"/>
          <w:szCs w:val="16"/>
          <w:lang w:val="en-US"/>
        </w:rPr>
      </w:pPr>
      <w:r w:rsidRPr="003625BA">
        <w:rPr>
          <w:rFonts w:ascii="Arial" w:hAnsi="Arial" w:cs="Arial"/>
          <w:sz w:val="16"/>
          <w:szCs w:val="16"/>
          <w:lang w:val="en-US"/>
        </w:rPr>
        <w:t xml:space="preserve">The OECD’s </w:t>
      </w:r>
      <w:hyperlink r:id="rId31" w:history="1">
        <w:r w:rsidRPr="003625BA">
          <w:rPr>
            <w:rStyle w:val="Hyperlink"/>
            <w:rFonts w:ascii="Arial" w:hAnsi="Arial" w:cs="Arial"/>
            <w:sz w:val="16"/>
            <w:szCs w:val="16"/>
            <w:lang w:val="en-US"/>
          </w:rPr>
          <w:t>Budget Transparency Toolkit</w:t>
        </w:r>
      </w:hyperlink>
      <w:r w:rsidRPr="003625BA">
        <w:rPr>
          <w:rFonts w:ascii="Arial" w:hAnsi="Arial" w:cs="Arial"/>
          <w:sz w:val="16"/>
          <w:szCs w:val="16"/>
          <w:lang w:val="en-US"/>
        </w:rPr>
        <w:t xml:space="preserve"> (2017) devotes a section to parliament.</w:t>
      </w:r>
    </w:p>
    <w:p w14:paraId="494CC723" w14:textId="77777777" w:rsidR="00D15FD8" w:rsidRPr="003625BA" w:rsidRDefault="00AC4DF7">
      <w:pPr>
        <w:pStyle w:val="FootnoteText"/>
        <w:numPr>
          <w:ilvl w:val="0"/>
          <w:numId w:val="42"/>
        </w:numPr>
        <w:ind w:left="360" w:hanging="270"/>
        <w:jc w:val="both"/>
        <w:rPr>
          <w:rFonts w:ascii="Arial" w:hAnsi="Arial" w:cs="Arial"/>
          <w:bCs/>
          <w:sz w:val="16"/>
          <w:szCs w:val="16"/>
        </w:rPr>
      </w:pPr>
      <w:hyperlink r:id="rId32" w:history="1">
        <w:r w:rsidR="00D15FD8" w:rsidRPr="003625BA">
          <w:rPr>
            <w:rStyle w:val="Hyperlink"/>
            <w:rFonts w:ascii="Arial" w:hAnsi="Arial" w:cs="Arial"/>
            <w:bCs/>
            <w:sz w:val="16"/>
            <w:szCs w:val="16"/>
          </w:rPr>
          <w:t>Inter-Parliamentary Union</w:t>
        </w:r>
      </w:hyperlink>
      <w:r w:rsidR="00D15FD8" w:rsidRPr="003625BA">
        <w:rPr>
          <w:rFonts w:ascii="Arial" w:hAnsi="Arial" w:cs="Arial"/>
          <w:sz w:val="16"/>
          <w:szCs w:val="16"/>
        </w:rPr>
        <w:t xml:space="preserve">’s </w:t>
      </w:r>
      <w:hyperlink r:id="rId33" w:history="1">
        <w:r w:rsidR="00D15FD8" w:rsidRPr="003625BA">
          <w:rPr>
            <w:rStyle w:val="Hyperlink"/>
            <w:rFonts w:ascii="Arial" w:hAnsi="Arial" w:cs="Arial"/>
            <w:bCs/>
            <w:sz w:val="16"/>
            <w:szCs w:val="16"/>
          </w:rPr>
          <w:t>Parliament and Democracy in The Twenty-First Century: A Guide to Good Practice</w:t>
        </w:r>
      </w:hyperlink>
      <w:r w:rsidR="00D15FD8" w:rsidRPr="003625BA">
        <w:rPr>
          <w:rFonts w:ascii="Arial" w:hAnsi="Arial" w:cs="Arial"/>
          <w:bCs/>
          <w:sz w:val="16"/>
          <w:szCs w:val="16"/>
        </w:rPr>
        <w:t xml:space="preserve"> (2006).</w:t>
      </w:r>
    </w:p>
    <w:p w14:paraId="218066A1" w14:textId="7D125733" w:rsidR="00D15FD8" w:rsidRPr="003625BA" w:rsidRDefault="00D15FD8">
      <w:pPr>
        <w:pStyle w:val="FootnoteText"/>
        <w:numPr>
          <w:ilvl w:val="0"/>
          <w:numId w:val="42"/>
        </w:numPr>
        <w:ind w:left="360" w:hanging="270"/>
        <w:jc w:val="both"/>
        <w:rPr>
          <w:rFonts w:ascii="Arial" w:hAnsi="Arial" w:cs="Arial"/>
          <w:sz w:val="16"/>
          <w:szCs w:val="16"/>
          <w:lang w:val="en-ZA"/>
        </w:rPr>
      </w:pPr>
      <w:r w:rsidRPr="003625BA">
        <w:rPr>
          <w:rFonts w:ascii="Arial" w:hAnsi="Arial" w:cs="Arial"/>
          <w:bCs/>
          <w:sz w:val="16"/>
          <w:szCs w:val="16"/>
        </w:rPr>
        <w:t xml:space="preserve">Commonwealth Parliamentary Association’s </w:t>
      </w:r>
      <w:hyperlink r:id="rId34" w:history="1">
        <w:r w:rsidRPr="003625BA">
          <w:rPr>
            <w:rStyle w:val="Hyperlink"/>
            <w:rFonts w:ascii="Arial" w:hAnsi="Arial" w:cs="Arial"/>
            <w:bCs/>
            <w:iCs/>
            <w:sz w:val="16"/>
            <w:szCs w:val="16"/>
          </w:rPr>
          <w:t>Recommended Benchmarks for Democratic Legislatures</w:t>
        </w:r>
      </w:hyperlink>
      <w:r w:rsidRPr="003625BA">
        <w:rPr>
          <w:rFonts w:ascii="Arial" w:hAnsi="Arial" w:cs="Arial"/>
          <w:bCs/>
          <w:sz w:val="16"/>
          <w:szCs w:val="16"/>
        </w:rPr>
        <w:t xml:space="preserve"> (2018).</w:t>
      </w:r>
    </w:p>
    <w:p w14:paraId="58358150" w14:textId="77777777" w:rsidR="00D15FD8" w:rsidRPr="003625BA" w:rsidRDefault="00AC4DF7" w:rsidP="00287F94">
      <w:pPr>
        <w:pStyle w:val="FootnoteText"/>
        <w:numPr>
          <w:ilvl w:val="0"/>
          <w:numId w:val="42"/>
        </w:numPr>
        <w:ind w:left="360" w:hanging="270"/>
        <w:jc w:val="both"/>
        <w:rPr>
          <w:rFonts w:ascii="Arial" w:hAnsi="Arial" w:cs="Arial"/>
          <w:sz w:val="16"/>
          <w:szCs w:val="16"/>
          <w:lang w:val="en-US"/>
        </w:rPr>
      </w:pPr>
      <w:hyperlink r:id="rId35" w:history="1">
        <w:r w:rsidR="00D15FD8" w:rsidRPr="003625BA">
          <w:rPr>
            <w:rStyle w:val="Hyperlink"/>
            <w:rFonts w:ascii="Arial" w:hAnsi="Arial" w:cs="Arial"/>
            <w:bCs/>
            <w:sz w:val="16"/>
            <w:szCs w:val="16"/>
            <w:lang w:val="en-US"/>
          </w:rPr>
          <w:t>Strengthening Accountability through Fiscal Openness: A Toolkit for Parliamentarians in the Americas and the Caribbean</w:t>
        </w:r>
      </w:hyperlink>
      <w:r w:rsidR="00D15FD8" w:rsidRPr="003625BA">
        <w:rPr>
          <w:rFonts w:ascii="Arial" w:hAnsi="Arial" w:cs="Arial"/>
          <w:bCs/>
          <w:sz w:val="16"/>
          <w:szCs w:val="16"/>
          <w:lang w:val="en-US"/>
        </w:rPr>
        <w:t xml:space="preserve"> (2020)</w:t>
      </w:r>
      <w:r w:rsidR="00D15FD8" w:rsidRPr="003625BA">
        <w:rPr>
          <w:rFonts w:ascii="Arial" w:hAnsi="Arial" w:cs="Arial"/>
          <w:sz w:val="16"/>
          <w:szCs w:val="16"/>
          <w:lang w:val="en-ZA"/>
        </w:rPr>
        <w:t>.</w:t>
      </w:r>
    </w:p>
    <w:p w14:paraId="55EDEAF4" w14:textId="2292B736" w:rsidR="00D15FD8" w:rsidRPr="003625BA" w:rsidRDefault="00D15FD8" w:rsidP="0043679A">
      <w:pPr>
        <w:pStyle w:val="FootnoteText"/>
        <w:jc w:val="both"/>
        <w:rPr>
          <w:rFonts w:ascii="Arial" w:hAnsi="Arial" w:cs="Arial"/>
          <w:sz w:val="16"/>
          <w:szCs w:val="16"/>
          <w:lang w:val="en-US"/>
        </w:rPr>
      </w:pPr>
    </w:p>
  </w:footnote>
  <w:footnote w:id="27">
    <w:p w14:paraId="3275DD5A" w14:textId="77777777" w:rsidR="00D15FD8" w:rsidRPr="00336006" w:rsidRDefault="00D15FD8" w:rsidP="00B16C69">
      <w:pPr>
        <w:pStyle w:val="FootnoteText"/>
        <w:jc w:val="both"/>
        <w:rPr>
          <w:rFonts w:ascii="Arial" w:hAnsi="Arial" w:cs="Arial"/>
          <w:sz w:val="16"/>
          <w:szCs w:val="16"/>
          <w:lang w:val="en-ZA"/>
        </w:rPr>
      </w:pPr>
      <w:r w:rsidRPr="00336006">
        <w:rPr>
          <w:rStyle w:val="FootnoteReference"/>
          <w:rFonts w:ascii="Arial" w:hAnsi="Arial" w:cs="Arial"/>
        </w:rPr>
        <w:footnoteRef/>
      </w:r>
      <w:r w:rsidRPr="00336006">
        <w:rPr>
          <w:rFonts w:ascii="Arial" w:hAnsi="Arial" w:cs="Arial"/>
        </w:rPr>
        <w:t xml:space="preserve"> </w:t>
      </w:r>
      <w:hyperlink r:id="rId36" w:history="1">
        <w:r w:rsidRPr="00336006">
          <w:rPr>
            <w:rStyle w:val="Hyperlink"/>
            <w:rFonts w:ascii="Arial" w:hAnsi="Arial" w:cs="Arial"/>
            <w:bCs/>
            <w:sz w:val="16"/>
            <w:szCs w:val="16"/>
            <w:lang w:val="en-US"/>
          </w:rPr>
          <w:t>Strengthening Accountability through Fiscal Openness: A Toolkit for Parliamentarians in the Americas and the Caribbean</w:t>
        </w:r>
      </w:hyperlink>
      <w:r w:rsidRPr="00336006">
        <w:rPr>
          <w:rFonts w:ascii="Arial" w:hAnsi="Arial" w:cs="Arial"/>
          <w:bCs/>
          <w:sz w:val="16"/>
          <w:szCs w:val="16"/>
          <w:lang w:val="en-US"/>
        </w:rPr>
        <w:t xml:space="preserve"> (2020) c</w:t>
      </w:r>
      <w:r w:rsidRPr="00336006">
        <w:rPr>
          <w:rFonts w:ascii="Arial" w:hAnsi="Arial" w:cs="Arial"/>
          <w:sz w:val="16"/>
          <w:szCs w:val="16"/>
          <w:lang w:val="en-US"/>
        </w:rPr>
        <w:t>ontains</w:t>
      </w:r>
      <w:r w:rsidRPr="00336006">
        <w:rPr>
          <w:rFonts w:ascii="Arial" w:hAnsi="Arial" w:cs="Arial"/>
          <w:sz w:val="16"/>
          <w:szCs w:val="16"/>
          <w:lang w:val="en-ZA"/>
        </w:rPr>
        <w:t xml:space="preserve"> an in-depth look at good practices parliaments can employ to improve openness in each stage of the fiscal policy cycle. For each stage, the toolkit provides:</w:t>
      </w:r>
    </w:p>
    <w:p w14:paraId="6EB9817D" w14:textId="77777777" w:rsidR="00D15FD8" w:rsidRPr="00336006" w:rsidRDefault="00D15FD8">
      <w:pPr>
        <w:pStyle w:val="FootnoteText"/>
        <w:numPr>
          <w:ilvl w:val="1"/>
          <w:numId w:val="1"/>
        </w:numPr>
        <w:ind w:left="630" w:hanging="270"/>
        <w:jc w:val="both"/>
        <w:rPr>
          <w:rFonts w:ascii="Arial" w:hAnsi="Arial" w:cs="Arial"/>
          <w:sz w:val="16"/>
          <w:szCs w:val="16"/>
          <w:lang w:val="en-US"/>
        </w:rPr>
      </w:pPr>
      <w:r w:rsidRPr="00336006">
        <w:rPr>
          <w:rFonts w:ascii="Arial" w:hAnsi="Arial" w:cs="Arial"/>
          <w:sz w:val="16"/>
          <w:szCs w:val="16"/>
          <w:lang w:val="en-US"/>
        </w:rPr>
        <w:t xml:space="preserve">An overview of parliament’s role; </w:t>
      </w:r>
    </w:p>
    <w:p w14:paraId="5DA9874D" w14:textId="77777777" w:rsidR="00D15FD8" w:rsidRPr="00336006" w:rsidRDefault="00D15FD8">
      <w:pPr>
        <w:pStyle w:val="FootnoteText"/>
        <w:numPr>
          <w:ilvl w:val="1"/>
          <w:numId w:val="1"/>
        </w:numPr>
        <w:ind w:left="630" w:hanging="270"/>
        <w:jc w:val="both"/>
        <w:rPr>
          <w:rFonts w:ascii="Arial" w:hAnsi="Arial" w:cs="Arial"/>
          <w:sz w:val="16"/>
          <w:szCs w:val="16"/>
          <w:lang w:val="en-US"/>
        </w:rPr>
      </w:pPr>
      <w:r w:rsidRPr="00336006">
        <w:rPr>
          <w:rFonts w:ascii="Arial" w:hAnsi="Arial" w:cs="Arial"/>
          <w:sz w:val="16"/>
          <w:szCs w:val="16"/>
          <w:lang w:val="en-US"/>
        </w:rPr>
        <w:t xml:space="preserve">Executive reporting requirements; </w:t>
      </w:r>
    </w:p>
    <w:p w14:paraId="4BB88E95" w14:textId="77777777" w:rsidR="00D15FD8" w:rsidRPr="00336006" w:rsidRDefault="00D15FD8">
      <w:pPr>
        <w:pStyle w:val="FootnoteText"/>
        <w:numPr>
          <w:ilvl w:val="1"/>
          <w:numId w:val="1"/>
        </w:numPr>
        <w:ind w:left="630" w:hanging="270"/>
        <w:jc w:val="both"/>
        <w:rPr>
          <w:rFonts w:ascii="Arial" w:hAnsi="Arial" w:cs="Arial"/>
          <w:sz w:val="16"/>
          <w:szCs w:val="16"/>
          <w:lang w:val="en-US"/>
        </w:rPr>
      </w:pPr>
      <w:r w:rsidRPr="00336006">
        <w:rPr>
          <w:rFonts w:ascii="Arial" w:hAnsi="Arial" w:cs="Arial"/>
          <w:sz w:val="16"/>
          <w:szCs w:val="16"/>
          <w:lang w:val="en-US"/>
        </w:rPr>
        <w:t xml:space="preserve">Guiding questions for parliamentarians in the fulfilment of their functions; </w:t>
      </w:r>
    </w:p>
    <w:p w14:paraId="0242BC67" w14:textId="77777777" w:rsidR="00D15FD8" w:rsidRPr="00336006" w:rsidRDefault="00D15FD8">
      <w:pPr>
        <w:pStyle w:val="FootnoteText"/>
        <w:numPr>
          <w:ilvl w:val="1"/>
          <w:numId w:val="1"/>
        </w:numPr>
        <w:ind w:left="630" w:hanging="270"/>
        <w:jc w:val="both"/>
        <w:rPr>
          <w:rFonts w:ascii="Arial" w:hAnsi="Arial" w:cs="Arial"/>
          <w:sz w:val="16"/>
          <w:szCs w:val="16"/>
          <w:lang w:val="en-US"/>
        </w:rPr>
      </w:pPr>
      <w:r w:rsidRPr="00336006">
        <w:rPr>
          <w:rFonts w:ascii="Arial" w:hAnsi="Arial" w:cs="Arial"/>
          <w:sz w:val="16"/>
          <w:szCs w:val="16"/>
          <w:lang w:val="en-US"/>
        </w:rPr>
        <w:t xml:space="preserve">Opportunities for public participation led by parliament or parliamentarians, and </w:t>
      </w:r>
    </w:p>
    <w:p w14:paraId="55427FD4" w14:textId="77777777" w:rsidR="00D15FD8" w:rsidRPr="00336006" w:rsidRDefault="00D15FD8">
      <w:pPr>
        <w:pStyle w:val="FootnoteText"/>
        <w:numPr>
          <w:ilvl w:val="1"/>
          <w:numId w:val="1"/>
        </w:numPr>
        <w:ind w:left="630" w:hanging="270"/>
        <w:jc w:val="both"/>
        <w:rPr>
          <w:rFonts w:ascii="Arial" w:hAnsi="Arial" w:cs="Arial"/>
          <w:sz w:val="16"/>
          <w:szCs w:val="16"/>
          <w:lang w:val="en-US"/>
        </w:rPr>
      </w:pPr>
      <w:r w:rsidRPr="00336006">
        <w:rPr>
          <w:rFonts w:ascii="Arial" w:hAnsi="Arial" w:cs="Arial"/>
          <w:sz w:val="16"/>
          <w:szCs w:val="16"/>
          <w:lang w:val="en-US"/>
        </w:rPr>
        <w:t>Relevant good practices from parliaments around the world.</w:t>
      </w:r>
    </w:p>
    <w:p w14:paraId="732EBBA3" w14:textId="77777777" w:rsidR="00D15FD8" w:rsidRPr="003625BA" w:rsidRDefault="00D15FD8" w:rsidP="00B16C69">
      <w:pPr>
        <w:pStyle w:val="FootnoteText"/>
        <w:jc w:val="both"/>
        <w:rPr>
          <w:rFonts w:ascii="Arial" w:hAnsi="Arial" w:cs="Arial"/>
          <w:lang w:val="en-US"/>
        </w:rPr>
      </w:pPr>
    </w:p>
    <w:p w14:paraId="62E141F7" w14:textId="77777777" w:rsidR="00D15FD8" w:rsidRPr="003625BA" w:rsidRDefault="00D15FD8" w:rsidP="00B16C69">
      <w:pPr>
        <w:pStyle w:val="FootnoteText"/>
        <w:rPr>
          <w:rFonts w:ascii="Arial" w:hAnsi="Arial" w:cs="Arial"/>
          <w:lang w:val="en-US"/>
        </w:rPr>
      </w:pPr>
    </w:p>
  </w:footnote>
  <w:footnote w:id="28">
    <w:p w14:paraId="2137C539" w14:textId="45CB8FC7" w:rsidR="00D15FD8" w:rsidRPr="00EB00CC" w:rsidRDefault="00D15FD8" w:rsidP="00E07157">
      <w:pPr>
        <w:pStyle w:val="FootnoteText"/>
        <w:jc w:val="both"/>
        <w:rPr>
          <w:rFonts w:ascii="Arial" w:hAnsi="Arial" w:cs="Arial"/>
          <w:sz w:val="16"/>
          <w:szCs w:val="16"/>
          <w:lang w:val="en-US"/>
        </w:rPr>
      </w:pPr>
      <w:r w:rsidRPr="00EB00CC">
        <w:rPr>
          <w:rStyle w:val="FootnoteReference"/>
          <w:rFonts w:ascii="Arial" w:hAnsi="Arial" w:cs="Arial"/>
          <w:sz w:val="16"/>
          <w:szCs w:val="16"/>
        </w:rPr>
        <w:t>30</w:t>
      </w:r>
      <w:r w:rsidRPr="00EB00CC">
        <w:rPr>
          <w:rFonts w:ascii="Arial" w:hAnsi="Arial" w:cs="Arial"/>
          <w:sz w:val="16"/>
          <w:szCs w:val="16"/>
        </w:rPr>
        <w:t xml:space="preserve"> </w:t>
      </w:r>
      <w:r w:rsidRPr="00EB00CC">
        <w:rPr>
          <w:rFonts w:ascii="Arial" w:hAnsi="Arial" w:cs="Arial"/>
          <w:sz w:val="16"/>
          <w:szCs w:val="16"/>
          <w:lang w:val="en-ZA"/>
        </w:rPr>
        <w:t>Some guidance may be found in this World Bank material on “</w:t>
      </w:r>
      <w:hyperlink r:id="rId37">
        <w:r w:rsidRPr="00EB00CC">
          <w:rPr>
            <w:rStyle w:val="Hyperlink"/>
            <w:rFonts w:ascii="Arial" w:hAnsi="Arial" w:cs="Arial"/>
            <w:sz w:val="16"/>
            <w:szCs w:val="16"/>
            <w:lang w:val="en-ZA"/>
          </w:rPr>
          <w:t>How to develop Citizen Audit Guide and a Citizen Audit Report for improving public outreach and communication with external stakeholders</w:t>
        </w:r>
      </w:hyperlink>
      <w:r w:rsidRPr="00EB00CC">
        <w:rPr>
          <w:rFonts w:ascii="Arial" w:hAnsi="Arial" w:cs="Arial"/>
          <w:sz w:val="16"/>
          <w:szCs w:val="16"/>
          <w:lang w:val="en-ZA"/>
        </w:rPr>
        <w:t>”. An</w:t>
      </w:r>
      <w:r w:rsidRPr="00EB00CC">
        <w:rPr>
          <w:rFonts w:ascii="Arial" w:hAnsi="Arial" w:cs="Arial"/>
          <w:sz w:val="16"/>
          <w:szCs w:val="16"/>
          <w:lang w:val="en-US"/>
        </w:rPr>
        <w:t xml:space="preserve"> example is also provided by the United Kingdom’s National Audit Office that produces explanatory information targeted at assisting members of parliament in undertaking their oversight roles, including by producing departmental overviews and short guides. These can be accessed on this </w:t>
      </w:r>
      <w:hyperlink r:id="rId38">
        <w:r w:rsidRPr="00EB00CC">
          <w:rPr>
            <w:rStyle w:val="Hyperlink"/>
            <w:rFonts w:ascii="Arial" w:hAnsi="Arial" w:cs="Arial"/>
            <w:sz w:val="16"/>
            <w:szCs w:val="16"/>
            <w:lang w:val="en-US"/>
          </w:rPr>
          <w:t>link</w:t>
        </w:r>
      </w:hyperlink>
      <w:r w:rsidRPr="00EB00CC">
        <w:rPr>
          <w:rFonts w:ascii="Arial" w:hAnsi="Arial" w:cs="Arial"/>
          <w:sz w:val="16"/>
          <w:szCs w:val="16"/>
          <w:lang w:val="en-US"/>
        </w:rPr>
        <w:t>.</w:t>
      </w:r>
    </w:p>
    <w:p w14:paraId="7395CD9B" w14:textId="77777777" w:rsidR="00D15FD8" w:rsidRPr="003625BA" w:rsidRDefault="00D15FD8" w:rsidP="00E07157">
      <w:pPr>
        <w:pStyle w:val="FootnoteText"/>
        <w:jc w:val="both"/>
        <w:rPr>
          <w:rFonts w:ascii="Arial" w:hAnsi="Arial" w:cs="Arial"/>
          <w:sz w:val="16"/>
          <w:szCs w:val="16"/>
          <w:lang w:val="en-US"/>
        </w:rPr>
      </w:pPr>
    </w:p>
  </w:footnote>
  <w:footnote w:id="29">
    <w:p w14:paraId="4F8DD001" w14:textId="77777777" w:rsidR="00D15FD8" w:rsidRPr="00EB00CC" w:rsidRDefault="00D15FD8" w:rsidP="00470ECC">
      <w:pPr>
        <w:pStyle w:val="FootnoteText"/>
        <w:jc w:val="both"/>
        <w:rPr>
          <w:rFonts w:ascii="Arial" w:hAnsi="Arial" w:cs="Arial"/>
          <w:sz w:val="16"/>
          <w:szCs w:val="16"/>
        </w:rPr>
      </w:pPr>
      <w:r w:rsidRPr="00EB00CC">
        <w:rPr>
          <w:rStyle w:val="FootnoteReference"/>
          <w:rFonts w:ascii="Arial" w:hAnsi="Arial" w:cs="Arial"/>
          <w:sz w:val="16"/>
          <w:szCs w:val="16"/>
        </w:rPr>
        <w:footnoteRef/>
      </w:r>
      <w:r w:rsidRPr="00EB00CC">
        <w:rPr>
          <w:rFonts w:ascii="Arial" w:hAnsi="Arial" w:cs="Arial"/>
          <w:sz w:val="16"/>
          <w:szCs w:val="16"/>
        </w:rPr>
        <w:t xml:space="preserve"> De </w:t>
      </w:r>
      <w:proofErr w:type="spellStart"/>
      <w:r w:rsidRPr="00EB00CC">
        <w:rPr>
          <w:rFonts w:ascii="Arial" w:hAnsi="Arial" w:cs="Arial"/>
          <w:sz w:val="16"/>
          <w:szCs w:val="16"/>
        </w:rPr>
        <w:t>Renzio</w:t>
      </w:r>
      <w:proofErr w:type="spellEnd"/>
      <w:r w:rsidRPr="00EB00CC">
        <w:rPr>
          <w:rFonts w:ascii="Arial" w:hAnsi="Arial" w:cs="Arial"/>
          <w:sz w:val="16"/>
          <w:szCs w:val="16"/>
        </w:rPr>
        <w:t xml:space="preserve">, P., and </w:t>
      </w:r>
      <w:proofErr w:type="spellStart"/>
      <w:r w:rsidRPr="00EB00CC">
        <w:rPr>
          <w:rFonts w:ascii="Arial" w:hAnsi="Arial" w:cs="Arial"/>
          <w:sz w:val="16"/>
          <w:szCs w:val="16"/>
        </w:rPr>
        <w:t>Wehner</w:t>
      </w:r>
      <w:proofErr w:type="spellEnd"/>
      <w:r w:rsidRPr="00EB00CC">
        <w:rPr>
          <w:rFonts w:ascii="Arial" w:hAnsi="Arial" w:cs="Arial"/>
          <w:sz w:val="16"/>
          <w:szCs w:val="16"/>
        </w:rPr>
        <w:t>, J. (2015). “</w:t>
      </w:r>
      <w:hyperlink r:id="rId39" w:history="1">
        <w:r w:rsidRPr="00EB00CC">
          <w:rPr>
            <w:rStyle w:val="Hyperlink"/>
            <w:rFonts w:ascii="Arial" w:hAnsi="Arial" w:cs="Arial"/>
            <w:sz w:val="16"/>
            <w:szCs w:val="16"/>
          </w:rPr>
          <w:t>The Impacts of Fiscal Openness: A Review of the Evidence</w:t>
        </w:r>
      </w:hyperlink>
      <w:r w:rsidRPr="00EB00CC">
        <w:rPr>
          <w:rFonts w:ascii="Arial" w:hAnsi="Arial" w:cs="Arial"/>
          <w:sz w:val="16"/>
          <w:szCs w:val="16"/>
        </w:rPr>
        <w:t xml:space="preserve">” Incentives research. </w:t>
      </w:r>
    </w:p>
    <w:p w14:paraId="0E7184BE" w14:textId="77777777" w:rsidR="00D15FD8" w:rsidRPr="00336006" w:rsidRDefault="00D15FD8" w:rsidP="00470ECC">
      <w:pPr>
        <w:pStyle w:val="FootnoteText"/>
        <w:jc w:val="both"/>
        <w:rPr>
          <w:rFonts w:ascii="Arial" w:hAnsi="Arial" w:cs="Arial"/>
          <w:lang w:val="en-ZA"/>
        </w:rPr>
      </w:pPr>
      <w:r w:rsidRPr="00EB00CC">
        <w:rPr>
          <w:rFonts w:ascii="Arial" w:hAnsi="Arial" w:cs="Arial"/>
          <w:sz w:val="16"/>
          <w:szCs w:val="16"/>
        </w:rPr>
        <w:t xml:space="preserve">De </w:t>
      </w:r>
      <w:proofErr w:type="spellStart"/>
      <w:r w:rsidRPr="00EB00CC">
        <w:rPr>
          <w:rFonts w:ascii="Arial" w:hAnsi="Arial" w:cs="Arial"/>
          <w:sz w:val="16"/>
          <w:szCs w:val="16"/>
        </w:rPr>
        <w:t>Renzio</w:t>
      </w:r>
      <w:proofErr w:type="spellEnd"/>
      <w:r w:rsidRPr="00EB00CC">
        <w:rPr>
          <w:rFonts w:ascii="Arial" w:hAnsi="Arial" w:cs="Arial"/>
          <w:sz w:val="16"/>
          <w:szCs w:val="16"/>
        </w:rPr>
        <w:t xml:space="preserve">, P., Haus, P., and </w:t>
      </w:r>
      <w:proofErr w:type="spellStart"/>
      <w:r w:rsidRPr="00EB00CC">
        <w:rPr>
          <w:rFonts w:ascii="Arial" w:hAnsi="Arial" w:cs="Arial"/>
          <w:sz w:val="16"/>
          <w:szCs w:val="16"/>
        </w:rPr>
        <w:t>Wehner</w:t>
      </w:r>
      <w:proofErr w:type="spellEnd"/>
      <w:r w:rsidRPr="00EB00CC">
        <w:rPr>
          <w:rFonts w:ascii="Arial" w:hAnsi="Arial" w:cs="Arial"/>
          <w:sz w:val="16"/>
          <w:szCs w:val="16"/>
        </w:rPr>
        <w:t>, J. (2022). “</w:t>
      </w:r>
      <w:hyperlink r:id="rId40" w:history="1">
        <w:r w:rsidRPr="00EB00CC">
          <w:rPr>
            <w:rStyle w:val="Hyperlink"/>
            <w:rFonts w:ascii="Arial" w:hAnsi="Arial" w:cs="Arial"/>
            <w:sz w:val="16"/>
            <w:szCs w:val="16"/>
          </w:rPr>
          <w:t>(When) Do Open Budgets Transform Lives? Progress and Next Steps in Fiscal Openness Research</w:t>
        </w:r>
      </w:hyperlink>
      <w:r w:rsidRPr="00EB00CC">
        <w:rPr>
          <w:rFonts w:ascii="Arial" w:hAnsi="Arial" w:cs="Arial"/>
          <w:sz w:val="16"/>
          <w:szCs w:val="16"/>
        </w:rPr>
        <w:t>,” GIFT, IBP and Open Government Partnership.</w:t>
      </w:r>
    </w:p>
  </w:footnote>
  <w:footnote w:id="30">
    <w:p w14:paraId="1FCC5A15" w14:textId="77777777" w:rsidR="00D15FD8" w:rsidRPr="00EB00CC" w:rsidRDefault="00D15FD8" w:rsidP="00BA59CB">
      <w:pPr>
        <w:pStyle w:val="FootnoteText"/>
        <w:jc w:val="both"/>
        <w:rPr>
          <w:rFonts w:ascii="Arial" w:hAnsi="Arial" w:cs="Arial"/>
          <w:sz w:val="16"/>
          <w:szCs w:val="16"/>
        </w:rPr>
      </w:pPr>
      <w:r w:rsidRPr="00EB00CC">
        <w:rPr>
          <w:rStyle w:val="FootnoteReference"/>
          <w:rFonts w:ascii="Arial" w:hAnsi="Arial" w:cs="Arial"/>
          <w:sz w:val="16"/>
          <w:szCs w:val="16"/>
        </w:rPr>
        <w:footnoteRef/>
      </w:r>
      <w:r w:rsidRPr="00EB00CC">
        <w:rPr>
          <w:rFonts w:ascii="Arial" w:hAnsi="Arial" w:cs="Arial"/>
          <w:sz w:val="16"/>
          <w:szCs w:val="16"/>
        </w:rPr>
        <w:t xml:space="preserve"> </w:t>
      </w:r>
      <w:proofErr w:type="spellStart"/>
      <w:r w:rsidRPr="00EB00CC">
        <w:rPr>
          <w:rFonts w:ascii="Arial" w:hAnsi="Arial" w:cs="Arial"/>
          <w:sz w:val="16"/>
          <w:szCs w:val="16"/>
        </w:rPr>
        <w:t>Kumagai</w:t>
      </w:r>
      <w:proofErr w:type="spellEnd"/>
      <w:r w:rsidRPr="00EB00CC">
        <w:rPr>
          <w:rFonts w:ascii="Arial" w:hAnsi="Arial" w:cs="Arial"/>
          <w:sz w:val="16"/>
          <w:szCs w:val="16"/>
        </w:rPr>
        <w:t xml:space="preserve">, S., Bandyopadhyay, S. and </w:t>
      </w:r>
      <w:proofErr w:type="spellStart"/>
      <w:r w:rsidRPr="00EB00CC">
        <w:rPr>
          <w:rFonts w:ascii="Arial" w:hAnsi="Arial" w:cs="Arial"/>
          <w:sz w:val="16"/>
          <w:szCs w:val="16"/>
        </w:rPr>
        <w:t>Grandvoinnet</w:t>
      </w:r>
      <w:proofErr w:type="spellEnd"/>
      <w:r w:rsidRPr="00EB00CC">
        <w:rPr>
          <w:rFonts w:ascii="Arial" w:hAnsi="Arial" w:cs="Arial"/>
          <w:sz w:val="16"/>
          <w:szCs w:val="16"/>
        </w:rPr>
        <w:t>, H. (2019). “</w:t>
      </w:r>
      <w:hyperlink r:id="rId41" w:history="1">
        <w:r w:rsidRPr="00EB00CC">
          <w:rPr>
            <w:rStyle w:val="Hyperlink"/>
            <w:rFonts w:ascii="Arial" w:hAnsi="Arial" w:cs="Arial"/>
            <w:sz w:val="16"/>
            <w:szCs w:val="16"/>
          </w:rPr>
          <w:t>Mainstreaming Citizen Engagement in Public Financial Management for Better Results</w:t>
        </w:r>
      </w:hyperlink>
      <w:r w:rsidRPr="00EB00CC">
        <w:rPr>
          <w:rFonts w:ascii="Arial" w:hAnsi="Arial" w:cs="Arial"/>
          <w:sz w:val="16"/>
          <w:szCs w:val="16"/>
        </w:rPr>
        <w:t>” World Bank Group Open Knowledge Repository.</w:t>
      </w:r>
    </w:p>
    <w:p w14:paraId="7DA8894E" w14:textId="77777777" w:rsidR="00D15FD8" w:rsidRPr="003625BA" w:rsidRDefault="00D15FD8" w:rsidP="00BA59CB">
      <w:pPr>
        <w:pStyle w:val="FootnoteText"/>
        <w:rPr>
          <w:rFonts w:ascii="Arial" w:hAnsi="Arial" w:cs="Arial"/>
          <w:lang w:val="en-ZA"/>
        </w:rPr>
      </w:pPr>
    </w:p>
  </w:footnote>
  <w:footnote w:id="31">
    <w:p w14:paraId="1B5F6D38" w14:textId="2F683953" w:rsidR="00D15FD8" w:rsidRPr="00EB00CC" w:rsidRDefault="00D15FD8" w:rsidP="003625BA">
      <w:pPr>
        <w:pStyle w:val="FootnoteText"/>
        <w:jc w:val="both"/>
        <w:rPr>
          <w:rFonts w:ascii="Arial" w:hAnsi="Arial" w:cs="Arial"/>
          <w:sz w:val="16"/>
          <w:szCs w:val="16"/>
          <w:lang w:val="en-US"/>
        </w:rPr>
      </w:pPr>
      <w:r w:rsidRPr="00EB00CC">
        <w:rPr>
          <w:rStyle w:val="FootnoteReference"/>
          <w:rFonts w:ascii="Arial" w:hAnsi="Arial" w:cs="Arial"/>
          <w:sz w:val="16"/>
          <w:szCs w:val="16"/>
        </w:rPr>
        <w:footnoteRef/>
      </w:r>
      <w:r w:rsidRPr="00EB00CC">
        <w:rPr>
          <w:rFonts w:ascii="Arial" w:hAnsi="Arial" w:cs="Arial"/>
          <w:sz w:val="16"/>
          <w:szCs w:val="16"/>
        </w:rPr>
        <w:t xml:space="preserve"> Farzana Afridi, F., </w:t>
      </w:r>
      <w:r>
        <w:rPr>
          <w:rFonts w:ascii="Arial" w:hAnsi="Arial" w:cs="Arial"/>
          <w:sz w:val="16"/>
          <w:szCs w:val="16"/>
        </w:rPr>
        <w:t xml:space="preserve">and </w:t>
      </w:r>
      <w:r w:rsidRPr="00EB00CC">
        <w:rPr>
          <w:rFonts w:ascii="Arial" w:hAnsi="Arial" w:cs="Arial"/>
          <w:sz w:val="16"/>
          <w:szCs w:val="16"/>
        </w:rPr>
        <w:t>Iversen, V. (2014).  “</w:t>
      </w:r>
      <w:hyperlink r:id="rId42" w:history="1">
        <w:r w:rsidRPr="00EB00CC">
          <w:rPr>
            <w:rStyle w:val="Hyperlink"/>
            <w:rFonts w:ascii="Arial" w:hAnsi="Arial" w:cs="Arial"/>
            <w:sz w:val="16"/>
            <w:szCs w:val="16"/>
          </w:rPr>
          <w:t>Social audits and MGNREGA delivery: Lessons from Andhra Pradesh</w:t>
        </w:r>
      </w:hyperlink>
      <w:r w:rsidRPr="00EB00CC">
        <w:rPr>
          <w:rFonts w:ascii="Arial" w:hAnsi="Arial" w:cs="Arial"/>
          <w:sz w:val="16"/>
          <w:szCs w:val="16"/>
        </w:rPr>
        <w:t xml:space="preserve">” </w:t>
      </w:r>
      <w:proofErr w:type="spellStart"/>
      <w:r w:rsidRPr="00EB00CC">
        <w:rPr>
          <w:rFonts w:ascii="Arial" w:hAnsi="Arial" w:cs="Arial"/>
          <w:sz w:val="16"/>
          <w:szCs w:val="16"/>
        </w:rPr>
        <w:t>Forschungsinstitut</w:t>
      </w:r>
      <w:proofErr w:type="spellEnd"/>
      <w:r w:rsidRPr="00EB00CC">
        <w:rPr>
          <w:rFonts w:ascii="Arial" w:hAnsi="Arial" w:cs="Arial"/>
          <w:sz w:val="16"/>
          <w:szCs w:val="16"/>
        </w:rPr>
        <w:t xml:space="preserve"> </w:t>
      </w:r>
      <w:proofErr w:type="spellStart"/>
      <w:r w:rsidRPr="00EB00CC">
        <w:rPr>
          <w:rFonts w:ascii="Arial" w:hAnsi="Arial" w:cs="Arial"/>
          <w:sz w:val="16"/>
          <w:szCs w:val="16"/>
        </w:rPr>
        <w:t>zur</w:t>
      </w:r>
      <w:proofErr w:type="spellEnd"/>
      <w:r w:rsidRPr="00EB00CC">
        <w:rPr>
          <w:rFonts w:ascii="Arial" w:hAnsi="Arial" w:cs="Arial"/>
          <w:sz w:val="16"/>
          <w:szCs w:val="16"/>
        </w:rPr>
        <w:t xml:space="preserve"> Zukunft der Arbeit Institute for the Study of </w:t>
      </w:r>
      <w:proofErr w:type="spellStart"/>
      <w:r w:rsidRPr="00EB00CC">
        <w:rPr>
          <w:rFonts w:ascii="Arial" w:hAnsi="Arial" w:cs="Arial"/>
          <w:sz w:val="16"/>
          <w:szCs w:val="16"/>
        </w:rPr>
        <w:t>Labor</w:t>
      </w:r>
      <w:proofErr w:type="spellEnd"/>
      <w:r w:rsidRPr="00EB00CC">
        <w:rPr>
          <w:rFonts w:ascii="Arial" w:hAnsi="Arial" w:cs="Arial"/>
          <w:sz w:val="16"/>
          <w:szCs w:val="16"/>
        </w:rPr>
        <w:t>.</w:t>
      </w:r>
    </w:p>
  </w:footnote>
  <w:footnote w:id="32">
    <w:p w14:paraId="70806023" w14:textId="77777777" w:rsidR="00D15FD8" w:rsidRPr="00EB00CC" w:rsidRDefault="00D15FD8" w:rsidP="00572E2E">
      <w:pPr>
        <w:pStyle w:val="FootnoteText"/>
        <w:rPr>
          <w:rFonts w:ascii="Arial" w:hAnsi="Arial" w:cs="Arial"/>
          <w:sz w:val="16"/>
          <w:szCs w:val="16"/>
          <w:lang w:val="en-US"/>
        </w:rPr>
      </w:pPr>
      <w:r w:rsidRPr="00EB00CC">
        <w:rPr>
          <w:rStyle w:val="FootnoteReference"/>
          <w:rFonts w:ascii="Arial" w:hAnsi="Arial" w:cs="Arial"/>
          <w:sz w:val="16"/>
          <w:szCs w:val="16"/>
        </w:rPr>
        <w:footnoteRef/>
      </w:r>
      <w:r w:rsidRPr="00EB00CC">
        <w:rPr>
          <w:rFonts w:ascii="Arial" w:hAnsi="Arial" w:cs="Arial"/>
          <w:sz w:val="16"/>
          <w:szCs w:val="16"/>
        </w:rPr>
        <w:t xml:space="preserve"> </w:t>
      </w:r>
      <w:r w:rsidRPr="00EB00CC">
        <w:rPr>
          <w:rFonts w:ascii="Arial" w:hAnsi="Arial" w:cs="Arial"/>
          <w:sz w:val="16"/>
          <w:szCs w:val="16"/>
          <w:lang w:val="en-US"/>
        </w:rPr>
        <w:t xml:space="preserve">Based on the IAP2 Spectrum of Participation, </w:t>
      </w:r>
      <w:hyperlink r:id="rId43" w:history="1">
        <w:r w:rsidRPr="00EB00CC">
          <w:rPr>
            <w:rStyle w:val="Hyperlink"/>
            <w:rFonts w:ascii="Arial" w:hAnsi="Arial" w:cs="Arial"/>
            <w:sz w:val="16"/>
            <w:szCs w:val="16"/>
            <w:lang w:val="en-US"/>
          </w:rPr>
          <w:t>International Association for Public Participation</w:t>
        </w:r>
      </w:hyperlink>
      <w:r w:rsidRPr="00EB00CC">
        <w:rPr>
          <w:rFonts w:ascii="Arial" w:hAnsi="Arial" w:cs="Arial"/>
          <w:sz w:val="16"/>
          <w:szCs w:val="16"/>
          <w:lang w:val="en-US"/>
        </w:rPr>
        <w:t>.</w:t>
      </w:r>
    </w:p>
  </w:footnote>
  <w:footnote w:id="33">
    <w:p w14:paraId="30E3E235" w14:textId="77777777" w:rsidR="00D15FD8" w:rsidRPr="00EB00CC" w:rsidRDefault="00D15FD8" w:rsidP="00056736">
      <w:pPr>
        <w:pStyle w:val="FootnoteText"/>
        <w:jc w:val="both"/>
        <w:rPr>
          <w:rFonts w:ascii="Arial" w:hAnsi="Arial" w:cs="Arial"/>
          <w:sz w:val="16"/>
          <w:szCs w:val="16"/>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As an </w:t>
      </w:r>
      <w:proofErr w:type="gramStart"/>
      <w:r w:rsidRPr="00EB00CC">
        <w:rPr>
          <w:rFonts w:ascii="Arial" w:hAnsi="Arial" w:cs="Arial"/>
          <w:sz w:val="16"/>
          <w:szCs w:val="16"/>
        </w:rPr>
        <w:t>example</w:t>
      </w:r>
      <w:proofErr w:type="gramEnd"/>
      <w:r w:rsidRPr="00EB00CC">
        <w:rPr>
          <w:rFonts w:ascii="Arial" w:hAnsi="Arial" w:cs="Arial"/>
          <w:sz w:val="16"/>
          <w:szCs w:val="16"/>
        </w:rPr>
        <w:t xml:space="preserve"> see</w:t>
      </w:r>
      <w:r w:rsidRPr="00EB00CC">
        <w:rPr>
          <w:rFonts w:ascii="Arial" w:hAnsi="Arial" w:cs="Arial"/>
          <w:bCs/>
          <w:sz w:val="16"/>
          <w:szCs w:val="16"/>
        </w:rPr>
        <w:t xml:space="preserve"> </w:t>
      </w:r>
      <w:proofErr w:type="spellStart"/>
      <w:r w:rsidRPr="00EB00CC">
        <w:rPr>
          <w:rFonts w:ascii="Arial" w:hAnsi="Arial" w:cs="Arial"/>
          <w:bCs/>
          <w:sz w:val="16"/>
          <w:szCs w:val="16"/>
        </w:rPr>
        <w:t>Lakin</w:t>
      </w:r>
      <w:proofErr w:type="spellEnd"/>
      <w:r w:rsidRPr="00EB00CC">
        <w:rPr>
          <w:rFonts w:ascii="Arial" w:hAnsi="Arial" w:cs="Arial"/>
          <w:bCs/>
          <w:sz w:val="16"/>
          <w:szCs w:val="16"/>
        </w:rPr>
        <w:t>, J. (2019). “</w:t>
      </w:r>
      <w:hyperlink r:id="rId44" w:history="1">
        <w:r w:rsidRPr="00EB00CC">
          <w:rPr>
            <w:rStyle w:val="Hyperlink"/>
            <w:rFonts w:ascii="Arial" w:hAnsi="Arial" w:cs="Arial"/>
            <w:bCs/>
            <w:sz w:val="16"/>
            <w:szCs w:val="16"/>
            <w:lang w:val="en-ZA"/>
          </w:rPr>
          <w:t xml:space="preserve">Save </w:t>
        </w:r>
        <w:proofErr w:type="spellStart"/>
        <w:r w:rsidRPr="00EB00CC">
          <w:rPr>
            <w:rStyle w:val="Hyperlink"/>
            <w:rFonts w:ascii="Arial" w:hAnsi="Arial" w:cs="Arial"/>
            <w:bCs/>
            <w:sz w:val="16"/>
            <w:szCs w:val="16"/>
            <w:lang w:val="en-ZA"/>
          </w:rPr>
          <w:t>Lamu</w:t>
        </w:r>
        <w:proofErr w:type="spellEnd"/>
        <w:r w:rsidRPr="00EB00CC">
          <w:rPr>
            <w:rStyle w:val="Hyperlink"/>
            <w:rFonts w:ascii="Arial" w:hAnsi="Arial" w:cs="Arial"/>
            <w:bCs/>
            <w:sz w:val="16"/>
            <w:szCs w:val="16"/>
            <w:lang w:val="en-ZA"/>
          </w:rPr>
          <w:t>! Drawing lessons on public participation from other sectors</w:t>
        </w:r>
      </w:hyperlink>
      <w:r w:rsidRPr="00EB00CC">
        <w:rPr>
          <w:rFonts w:ascii="Arial" w:hAnsi="Arial" w:cs="Arial"/>
          <w:sz w:val="16"/>
          <w:szCs w:val="16"/>
        </w:rPr>
        <w:t>.” IBP.</w:t>
      </w:r>
    </w:p>
  </w:footnote>
  <w:footnote w:id="34">
    <w:p w14:paraId="6113D98C" w14:textId="77777777" w:rsidR="00D15FD8" w:rsidRPr="003625BA" w:rsidRDefault="00D15FD8" w:rsidP="00BE1A63">
      <w:pPr>
        <w:pStyle w:val="FootnoteText"/>
        <w:jc w:val="both"/>
        <w:rPr>
          <w:rFonts w:ascii="Arial" w:hAnsi="Arial" w:cs="Arial"/>
          <w:sz w:val="16"/>
          <w:szCs w:val="16"/>
        </w:rPr>
      </w:pPr>
      <w:r w:rsidRPr="00EB00CC">
        <w:rPr>
          <w:rStyle w:val="FootnoteReference"/>
          <w:rFonts w:ascii="Arial" w:hAnsi="Arial" w:cs="Arial"/>
          <w:sz w:val="16"/>
          <w:szCs w:val="16"/>
        </w:rPr>
        <w:footnoteRef/>
      </w:r>
      <w:r w:rsidRPr="00EB00CC">
        <w:rPr>
          <w:rFonts w:ascii="Arial" w:hAnsi="Arial" w:cs="Arial"/>
          <w:sz w:val="16"/>
          <w:szCs w:val="16"/>
          <w:vertAlign w:val="superscript"/>
        </w:rPr>
        <w:t xml:space="preserve"> </w:t>
      </w:r>
      <w:r w:rsidRPr="00EB00CC">
        <w:rPr>
          <w:rStyle w:val="FootnoteReference"/>
          <w:rFonts w:ascii="Arial" w:hAnsi="Arial" w:cs="Arial"/>
          <w:sz w:val="16"/>
          <w:szCs w:val="16"/>
          <w:vertAlign w:val="baseline"/>
        </w:rPr>
        <w:t>For further reading see Petrie, M. (2017).</w:t>
      </w:r>
      <w:r w:rsidRPr="00EB00CC">
        <w:rPr>
          <w:rStyle w:val="FootnoteReference"/>
          <w:rFonts w:ascii="Arial" w:hAnsi="Arial" w:cs="Arial"/>
          <w:sz w:val="16"/>
          <w:szCs w:val="16"/>
        </w:rPr>
        <w:t xml:space="preserve"> “</w:t>
      </w:r>
      <w:hyperlink r:id="rId45" w:history="1">
        <w:r w:rsidRPr="00EB00CC">
          <w:rPr>
            <w:rStyle w:val="Hyperlink"/>
            <w:rFonts w:ascii="Arial" w:hAnsi="Arial" w:cs="Arial"/>
            <w:sz w:val="16"/>
            <w:szCs w:val="16"/>
          </w:rPr>
          <w:t>What is public participation in fiscal policy and why is it important</w:t>
        </w:r>
      </w:hyperlink>
      <w:r w:rsidRPr="00EB00CC">
        <w:rPr>
          <w:rFonts w:ascii="Arial" w:hAnsi="Arial" w:cs="Arial"/>
          <w:sz w:val="16"/>
          <w:szCs w:val="16"/>
        </w:rPr>
        <w:t>”. GIFT Blog.</w:t>
      </w:r>
    </w:p>
  </w:footnote>
  <w:footnote w:id="35">
    <w:p w14:paraId="282D2A64" w14:textId="77777777" w:rsidR="00D15FD8" w:rsidRPr="00EB00CC" w:rsidRDefault="00D15FD8" w:rsidP="002D14C0">
      <w:pPr>
        <w:pStyle w:val="FootnoteText"/>
        <w:jc w:val="both"/>
        <w:rPr>
          <w:rFonts w:ascii="Arial" w:hAnsi="Arial" w:cs="Arial"/>
          <w:sz w:val="16"/>
          <w:szCs w:val="16"/>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For further reading and examples see: D</w:t>
      </w:r>
      <w:r w:rsidRPr="00EB00CC">
        <w:rPr>
          <w:rFonts w:ascii="Arial" w:hAnsi="Arial" w:cs="Arial"/>
          <w:bCs/>
          <w:sz w:val="16"/>
          <w:szCs w:val="16"/>
        </w:rPr>
        <w:t xml:space="preserve">e </w:t>
      </w:r>
      <w:proofErr w:type="spellStart"/>
      <w:r w:rsidRPr="00EB00CC">
        <w:rPr>
          <w:rFonts w:ascii="Arial" w:hAnsi="Arial" w:cs="Arial"/>
          <w:bCs/>
          <w:sz w:val="16"/>
          <w:szCs w:val="16"/>
        </w:rPr>
        <w:t>Renzio</w:t>
      </w:r>
      <w:proofErr w:type="spellEnd"/>
      <w:r w:rsidRPr="00EB00CC">
        <w:rPr>
          <w:rFonts w:ascii="Arial" w:hAnsi="Arial" w:cs="Arial"/>
          <w:bCs/>
          <w:sz w:val="16"/>
          <w:szCs w:val="16"/>
        </w:rPr>
        <w:t xml:space="preserve">, P., and </w:t>
      </w:r>
      <w:proofErr w:type="spellStart"/>
      <w:r w:rsidRPr="00EB00CC">
        <w:rPr>
          <w:rFonts w:ascii="Arial" w:hAnsi="Arial" w:cs="Arial"/>
          <w:bCs/>
          <w:sz w:val="16"/>
          <w:szCs w:val="16"/>
        </w:rPr>
        <w:t>Kroth.V</w:t>
      </w:r>
      <w:proofErr w:type="spellEnd"/>
      <w:r w:rsidRPr="00EB00CC">
        <w:rPr>
          <w:rFonts w:ascii="Arial" w:hAnsi="Arial" w:cs="Arial"/>
          <w:bCs/>
          <w:sz w:val="16"/>
          <w:szCs w:val="16"/>
        </w:rPr>
        <w:t>. (2011). “</w:t>
      </w:r>
      <w:hyperlink r:id="rId46" w:history="1">
        <w:r w:rsidRPr="00EB00CC">
          <w:rPr>
            <w:rStyle w:val="Hyperlink"/>
            <w:rFonts w:ascii="Arial" w:hAnsi="Arial" w:cs="Arial"/>
            <w:sz w:val="16"/>
            <w:szCs w:val="16"/>
          </w:rPr>
          <w:t>Transparency and Participation in Public Financial Management: What Do Budget Laws Say</w:t>
        </w:r>
      </w:hyperlink>
      <w:r w:rsidRPr="00EB00CC">
        <w:rPr>
          <w:rFonts w:ascii="Arial" w:hAnsi="Arial" w:cs="Arial"/>
          <w:sz w:val="16"/>
          <w:szCs w:val="16"/>
        </w:rPr>
        <w:t>?</w:t>
      </w:r>
      <w:r w:rsidRPr="00EB00CC">
        <w:rPr>
          <w:rFonts w:ascii="Arial" w:hAnsi="Arial" w:cs="Arial"/>
          <w:bCs/>
          <w:sz w:val="16"/>
          <w:szCs w:val="16"/>
          <w:lang w:val="en-ZA"/>
        </w:rPr>
        <w:t>”. IBP.</w:t>
      </w:r>
    </w:p>
    <w:p w14:paraId="67C014DE" w14:textId="77777777" w:rsidR="00D15FD8" w:rsidRPr="003625BA" w:rsidRDefault="00D15FD8" w:rsidP="002D14C0">
      <w:pPr>
        <w:pStyle w:val="FootnoteText"/>
        <w:jc w:val="both"/>
        <w:rPr>
          <w:rFonts w:ascii="Arial" w:hAnsi="Arial" w:cs="Arial"/>
          <w:lang w:val="en-ZA"/>
        </w:rPr>
      </w:pPr>
    </w:p>
  </w:footnote>
  <w:footnote w:id="36">
    <w:p w14:paraId="712453C7" w14:textId="1D59B2B2" w:rsidR="00D15FD8" w:rsidRPr="003625BA" w:rsidRDefault="00D15FD8" w:rsidP="00421674">
      <w:pPr>
        <w:pStyle w:val="FootnoteText"/>
        <w:rPr>
          <w:rFonts w:ascii="Arial" w:hAnsi="Arial" w:cs="Arial"/>
          <w:sz w:val="16"/>
          <w:szCs w:val="16"/>
          <w:lang w:val="en-US"/>
        </w:rPr>
      </w:pPr>
      <w:r w:rsidRPr="003625BA">
        <w:rPr>
          <w:rStyle w:val="FootnoteReference"/>
          <w:rFonts w:ascii="Arial" w:hAnsi="Arial" w:cs="Arial"/>
          <w:sz w:val="16"/>
          <w:szCs w:val="16"/>
        </w:rPr>
        <w:footnoteRef/>
      </w:r>
      <w:r w:rsidRPr="003625BA">
        <w:rPr>
          <w:rFonts w:ascii="Arial" w:hAnsi="Arial" w:cs="Arial"/>
          <w:sz w:val="16"/>
          <w:szCs w:val="16"/>
        </w:rPr>
        <w:t xml:space="preserve"> For further reading see Irwin, T. and D. Moretti (2020), "</w:t>
      </w:r>
      <w:hyperlink r:id="rId47" w:history="1">
        <w:r w:rsidRPr="00F41583">
          <w:rPr>
            <w:rStyle w:val="Hyperlink"/>
            <w:rFonts w:ascii="Arial" w:hAnsi="Arial" w:cs="Arial"/>
            <w:sz w:val="16"/>
            <w:szCs w:val="16"/>
          </w:rPr>
          <w:t>Can subnational accounting give an early warning of fiscal risks?</w:t>
        </w:r>
      </w:hyperlink>
      <w:r w:rsidRPr="003625BA">
        <w:rPr>
          <w:rFonts w:ascii="Arial" w:hAnsi="Arial" w:cs="Arial"/>
          <w:sz w:val="16"/>
          <w:szCs w:val="16"/>
        </w:rPr>
        <w:t>". OECD Journal on Budgeting, vol. 20/2.</w:t>
      </w:r>
    </w:p>
  </w:footnote>
  <w:footnote w:id="37">
    <w:p w14:paraId="19AEFF6B" w14:textId="3EBF1296" w:rsidR="00D15FD8" w:rsidRPr="003625BA" w:rsidRDefault="00D15FD8" w:rsidP="00421674">
      <w:pPr>
        <w:pStyle w:val="FootnoteText"/>
        <w:rPr>
          <w:lang w:val="en-US"/>
        </w:rPr>
      </w:pPr>
      <w:r w:rsidRPr="003625BA">
        <w:rPr>
          <w:rStyle w:val="FootnoteReference"/>
          <w:rFonts w:ascii="Arial" w:hAnsi="Arial" w:cs="Arial"/>
          <w:sz w:val="16"/>
          <w:szCs w:val="16"/>
        </w:rPr>
        <w:footnoteRef/>
      </w:r>
      <w:r w:rsidRPr="003625BA">
        <w:rPr>
          <w:rFonts w:ascii="Arial" w:hAnsi="Arial" w:cs="Arial"/>
          <w:sz w:val="16"/>
          <w:szCs w:val="16"/>
        </w:rPr>
        <w:t xml:space="preserve"> For example see </w:t>
      </w:r>
      <w:hyperlink r:id="rId48" w:history="1">
        <w:r w:rsidRPr="00F41583">
          <w:rPr>
            <w:rStyle w:val="Hyperlink"/>
            <w:rFonts w:ascii="Arial" w:hAnsi="Arial" w:cs="Arial"/>
            <w:sz w:val="16"/>
            <w:szCs w:val="16"/>
          </w:rPr>
          <w:t>2020 Budget: Vote 19: Social Development</w:t>
        </w:r>
      </w:hyperlink>
      <w:r w:rsidRPr="003625BA">
        <w:rPr>
          <w:rFonts w:ascii="Arial" w:hAnsi="Arial" w:cs="Arial"/>
          <w:sz w:val="16"/>
          <w:szCs w:val="16"/>
        </w:rPr>
        <w:t xml:space="preserve"> Pg.19-20. National Treasury: Republic of South Africa.</w:t>
      </w:r>
    </w:p>
  </w:footnote>
  <w:footnote w:id="38">
    <w:p w14:paraId="4274AD43" w14:textId="77777777" w:rsidR="00D15FD8" w:rsidRPr="00EB00CC" w:rsidRDefault="00D15FD8" w:rsidP="0096076C">
      <w:pPr>
        <w:pStyle w:val="FootnoteText"/>
        <w:rPr>
          <w:rFonts w:ascii="Arial" w:hAnsi="Arial" w:cs="Arial"/>
          <w:sz w:val="16"/>
          <w:szCs w:val="16"/>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w:t>
      </w:r>
      <w:r w:rsidRPr="00EB00CC">
        <w:rPr>
          <w:rFonts w:ascii="Arial" w:hAnsi="Arial" w:cs="Arial"/>
          <w:sz w:val="16"/>
          <w:szCs w:val="16"/>
          <w:lang w:val="en-ZA"/>
        </w:rPr>
        <w:t>For further reading, tools and examples see:</w:t>
      </w:r>
    </w:p>
    <w:p w14:paraId="1127AC79" w14:textId="77777777" w:rsidR="00D15FD8" w:rsidRPr="00EB00CC" w:rsidRDefault="00D15FD8" w:rsidP="0096076C">
      <w:pPr>
        <w:pStyle w:val="FootnoteText"/>
        <w:rPr>
          <w:rFonts w:ascii="Arial" w:hAnsi="Arial" w:cs="Arial"/>
          <w:sz w:val="16"/>
          <w:szCs w:val="16"/>
          <w:lang w:val="en-ZA"/>
        </w:rPr>
      </w:pPr>
      <w:r w:rsidRPr="00EB00CC">
        <w:rPr>
          <w:rFonts w:ascii="Arial" w:hAnsi="Arial" w:cs="Arial"/>
          <w:sz w:val="16"/>
          <w:szCs w:val="16"/>
        </w:rPr>
        <w:t xml:space="preserve">Baum, A., </w:t>
      </w:r>
      <w:proofErr w:type="spellStart"/>
      <w:r w:rsidRPr="00EB00CC">
        <w:rPr>
          <w:rFonts w:ascii="Arial" w:hAnsi="Arial" w:cs="Arial"/>
          <w:sz w:val="16"/>
          <w:szCs w:val="16"/>
        </w:rPr>
        <w:t>Medas</w:t>
      </w:r>
      <w:proofErr w:type="spellEnd"/>
      <w:r w:rsidRPr="00EB00CC">
        <w:rPr>
          <w:rFonts w:ascii="Arial" w:hAnsi="Arial" w:cs="Arial"/>
          <w:sz w:val="16"/>
          <w:szCs w:val="16"/>
        </w:rPr>
        <w:t>, P., Soler, A., and Sy, M. (2020). “</w:t>
      </w:r>
      <w:hyperlink r:id="rId49" w:history="1">
        <w:r w:rsidRPr="00EB00CC">
          <w:rPr>
            <w:rStyle w:val="Hyperlink"/>
            <w:rFonts w:ascii="Arial" w:hAnsi="Arial" w:cs="Arial"/>
            <w:sz w:val="16"/>
            <w:szCs w:val="16"/>
          </w:rPr>
          <w:t>Managing Fiscal Risks from State-Owned Enterprises</w:t>
        </w:r>
      </w:hyperlink>
      <w:r w:rsidRPr="00EB00CC">
        <w:rPr>
          <w:rFonts w:ascii="Arial" w:hAnsi="Arial" w:cs="Arial"/>
          <w:sz w:val="16"/>
          <w:szCs w:val="16"/>
        </w:rPr>
        <w:t>”. IMF working paper.</w:t>
      </w:r>
    </w:p>
    <w:p w14:paraId="3A105C39" w14:textId="77777777" w:rsidR="00D15FD8" w:rsidRPr="00EB00CC" w:rsidRDefault="00D15FD8" w:rsidP="0096076C">
      <w:pPr>
        <w:pStyle w:val="FootnoteText"/>
        <w:rPr>
          <w:rFonts w:ascii="Arial" w:hAnsi="Arial" w:cs="Arial"/>
          <w:bCs/>
          <w:sz w:val="16"/>
          <w:szCs w:val="16"/>
        </w:rPr>
      </w:pPr>
      <w:r w:rsidRPr="00EB00CC">
        <w:rPr>
          <w:rFonts w:ascii="Arial" w:hAnsi="Arial" w:cs="Arial"/>
          <w:sz w:val="16"/>
          <w:szCs w:val="16"/>
        </w:rPr>
        <w:t>Fiscal Affairs Department: How to Notes (2016). “</w:t>
      </w:r>
      <w:hyperlink r:id="rId50" w:history="1">
        <w:r w:rsidRPr="00EB00CC">
          <w:rPr>
            <w:rStyle w:val="Hyperlink"/>
            <w:rFonts w:ascii="Arial" w:hAnsi="Arial" w:cs="Arial"/>
            <w:sz w:val="16"/>
            <w:szCs w:val="16"/>
          </w:rPr>
          <w:t>How to Improve the Financial Oversight of Public Corporations</w:t>
        </w:r>
      </w:hyperlink>
      <w:r w:rsidRPr="00EB00CC">
        <w:rPr>
          <w:rFonts w:ascii="Arial" w:hAnsi="Arial" w:cs="Arial"/>
          <w:bCs/>
          <w:sz w:val="16"/>
          <w:szCs w:val="16"/>
          <w:lang w:val="en-ZA"/>
        </w:rPr>
        <w:t>”.</w:t>
      </w:r>
      <w:r w:rsidRPr="00EB00CC">
        <w:rPr>
          <w:rFonts w:ascii="Arial" w:hAnsi="Arial" w:cs="Arial"/>
          <w:sz w:val="16"/>
          <w:szCs w:val="16"/>
        </w:rPr>
        <w:t xml:space="preserve"> </w:t>
      </w:r>
      <w:r w:rsidRPr="00EB00CC">
        <w:rPr>
          <w:rFonts w:ascii="Arial" w:hAnsi="Arial" w:cs="Arial"/>
          <w:bCs/>
          <w:sz w:val="16"/>
          <w:szCs w:val="16"/>
        </w:rPr>
        <w:t>IMF.</w:t>
      </w:r>
    </w:p>
    <w:p w14:paraId="20AECE60" w14:textId="77777777" w:rsidR="00D15FD8" w:rsidRPr="003625BA" w:rsidRDefault="00D15FD8" w:rsidP="0096076C">
      <w:pPr>
        <w:pStyle w:val="FootnoteText"/>
        <w:rPr>
          <w:rFonts w:ascii="Arial" w:hAnsi="Arial" w:cs="Arial"/>
          <w:sz w:val="16"/>
          <w:szCs w:val="16"/>
          <w:lang w:val="en-US"/>
        </w:rPr>
      </w:pPr>
      <w:r w:rsidRPr="00EB00CC">
        <w:rPr>
          <w:rFonts w:ascii="Arial" w:hAnsi="Arial" w:cs="Arial"/>
          <w:bCs/>
          <w:sz w:val="16"/>
          <w:szCs w:val="16"/>
          <w:lang w:val="en-ZA"/>
        </w:rPr>
        <w:t>CABRI (2016). “</w:t>
      </w:r>
      <w:hyperlink r:id="rId51" w:history="1">
        <w:r w:rsidRPr="00EB00CC">
          <w:rPr>
            <w:rStyle w:val="Hyperlink"/>
            <w:rFonts w:ascii="Arial" w:hAnsi="Arial" w:cs="Arial"/>
            <w:bCs/>
            <w:sz w:val="16"/>
            <w:szCs w:val="16"/>
            <w:lang w:val="en-ZA"/>
          </w:rPr>
          <w:t>Management of explicit contingent liabilities: Credit guarantees for state-owned entities’ deb</w:t>
        </w:r>
      </w:hyperlink>
      <w:r w:rsidRPr="00EB00CC">
        <w:rPr>
          <w:rStyle w:val="Hyperlink"/>
          <w:rFonts w:ascii="Arial" w:hAnsi="Arial" w:cs="Arial"/>
          <w:sz w:val="16"/>
          <w:szCs w:val="16"/>
        </w:rPr>
        <w:t>t</w:t>
      </w:r>
      <w:r w:rsidRPr="00EB00CC">
        <w:rPr>
          <w:rFonts w:ascii="Arial" w:hAnsi="Arial" w:cs="Arial"/>
          <w:bCs/>
          <w:sz w:val="16"/>
          <w:szCs w:val="16"/>
          <w:lang w:val="en-ZA"/>
        </w:rPr>
        <w:t>”. CABRI position paper.</w:t>
      </w:r>
    </w:p>
  </w:footnote>
  <w:footnote w:id="39">
    <w:p w14:paraId="132BCC1F" w14:textId="77777777" w:rsidR="00D15FD8" w:rsidRPr="00EB00CC" w:rsidRDefault="00D15FD8" w:rsidP="00653DDD">
      <w:pPr>
        <w:pStyle w:val="FootnoteText"/>
        <w:jc w:val="both"/>
        <w:rPr>
          <w:rFonts w:ascii="Arial" w:hAnsi="Arial" w:cs="Arial"/>
          <w:sz w:val="16"/>
          <w:szCs w:val="16"/>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w:t>
      </w:r>
      <w:r w:rsidRPr="00EB00CC">
        <w:rPr>
          <w:rFonts w:ascii="Arial" w:hAnsi="Arial" w:cs="Arial"/>
          <w:sz w:val="16"/>
          <w:szCs w:val="16"/>
          <w:lang w:val="en-ZA"/>
        </w:rPr>
        <w:t>For further reading see also IBP’s “</w:t>
      </w:r>
      <w:hyperlink r:id="rId52" w:history="1">
        <w:r w:rsidRPr="00EB00CC">
          <w:rPr>
            <w:rStyle w:val="Hyperlink"/>
            <w:rFonts w:ascii="Arial" w:hAnsi="Arial" w:cs="Arial"/>
            <w:bCs/>
            <w:sz w:val="16"/>
            <w:szCs w:val="16"/>
          </w:rPr>
          <w:t>Guide to Transparency in Government Budget Reports: How Civil Society Can Use Budget Reports for Research and Advocacy</w:t>
        </w:r>
      </w:hyperlink>
      <w:r w:rsidRPr="00EB00CC">
        <w:rPr>
          <w:rFonts w:ascii="Arial" w:hAnsi="Arial" w:cs="Arial"/>
          <w:bCs/>
          <w:sz w:val="16"/>
          <w:szCs w:val="16"/>
        </w:rPr>
        <w:t xml:space="preserve">”. </w:t>
      </w:r>
    </w:p>
  </w:footnote>
  <w:footnote w:id="40">
    <w:p w14:paraId="123EC7F8" w14:textId="77777777" w:rsidR="00D15FD8" w:rsidRPr="00EB00CC" w:rsidRDefault="00D15FD8" w:rsidP="00EA1D58">
      <w:pPr>
        <w:pStyle w:val="FootnoteText"/>
        <w:rPr>
          <w:rFonts w:ascii="Arial" w:hAnsi="Arial" w:cs="Arial"/>
          <w:sz w:val="16"/>
          <w:szCs w:val="16"/>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The World Bank and IMF’s Revised guidelines for public debt management (2014) can be found on this </w:t>
      </w:r>
      <w:hyperlink r:id="rId53" w:history="1">
        <w:r w:rsidRPr="00EB00CC">
          <w:rPr>
            <w:rStyle w:val="Hyperlink"/>
            <w:rFonts w:ascii="Arial" w:hAnsi="Arial" w:cs="Arial"/>
            <w:sz w:val="16"/>
            <w:szCs w:val="16"/>
          </w:rPr>
          <w:t>link</w:t>
        </w:r>
      </w:hyperlink>
    </w:p>
  </w:footnote>
  <w:footnote w:id="41">
    <w:p w14:paraId="0D8A3217" w14:textId="41AE8D09" w:rsidR="00D15FD8" w:rsidRPr="00A6449F" w:rsidRDefault="00D15FD8" w:rsidP="00EA1D58">
      <w:pPr>
        <w:pStyle w:val="FootnoteText"/>
        <w:jc w:val="both"/>
        <w:rPr>
          <w:rFonts w:ascii="Arial" w:hAnsi="Arial" w:cs="Arial"/>
          <w:sz w:val="16"/>
          <w:szCs w:val="16"/>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For further readings and examples see: </w:t>
      </w:r>
      <w:r w:rsidRPr="00EB00CC">
        <w:rPr>
          <w:rFonts w:ascii="Arial" w:hAnsi="Arial" w:cs="Arial"/>
          <w:bCs/>
          <w:sz w:val="16"/>
          <w:szCs w:val="16"/>
        </w:rPr>
        <w:t>Petrie, M</w:t>
      </w:r>
      <w:r>
        <w:rPr>
          <w:rFonts w:ascii="Arial" w:hAnsi="Arial" w:cs="Arial"/>
          <w:bCs/>
          <w:sz w:val="16"/>
          <w:szCs w:val="16"/>
        </w:rPr>
        <w:t>.</w:t>
      </w:r>
      <w:r w:rsidRPr="00EB00CC">
        <w:rPr>
          <w:rFonts w:ascii="Arial" w:hAnsi="Arial" w:cs="Arial"/>
          <w:bCs/>
          <w:sz w:val="16"/>
          <w:szCs w:val="16"/>
        </w:rPr>
        <w:t xml:space="preserve">, </w:t>
      </w:r>
      <w:r>
        <w:rPr>
          <w:rFonts w:ascii="Arial" w:hAnsi="Arial" w:cs="Arial"/>
          <w:bCs/>
          <w:sz w:val="16"/>
          <w:szCs w:val="16"/>
        </w:rPr>
        <w:t>D</w:t>
      </w:r>
      <w:r w:rsidRPr="00EB00CC">
        <w:rPr>
          <w:rFonts w:ascii="Arial" w:hAnsi="Arial" w:cs="Arial"/>
          <w:bCs/>
          <w:sz w:val="16"/>
          <w:szCs w:val="16"/>
        </w:rPr>
        <w:t xml:space="preserve">e </w:t>
      </w:r>
      <w:proofErr w:type="spellStart"/>
      <w:r w:rsidRPr="00EB00CC">
        <w:rPr>
          <w:rFonts w:ascii="Arial" w:hAnsi="Arial" w:cs="Arial"/>
          <w:bCs/>
          <w:sz w:val="16"/>
          <w:szCs w:val="16"/>
        </w:rPr>
        <w:t>Renzio</w:t>
      </w:r>
      <w:proofErr w:type="spellEnd"/>
      <w:r>
        <w:rPr>
          <w:rFonts w:ascii="Arial" w:hAnsi="Arial" w:cs="Arial"/>
          <w:bCs/>
          <w:sz w:val="16"/>
          <w:szCs w:val="16"/>
        </w:rPr>
        <w:t>,</w:t>
      </w:r>
      <w:r w:rsidRPr="00EB00CC">
        <w:rPr>
          <w:rFonts w:ascii="Arial" w:hAnsi="Arial" w:cs="Arial"/>
          <w:bCs/>
          <w:sz w:val="16"/>
          <w:szCs w:val="16"/>
        </w:rPr>
        <w:t xml:space="preserve"> P., and Moon</w:t>
      </w:r>
      <w:r>
        <w:rPr>
          <w:rFonts w:ascii="Arial" w:hAnsi="Arial" w:cs="Arial"/>
          <w:bCs/>
          <w:sz w:val="16"/>
          <w:szCs w:val="16"/>
        </w:rPr>
        <w:t>,</w:t>
      </w:r>
      <w:r w:rsidRPr="00EB00CC">
        <w:rPr>
          <w:rFonts w:ascii="Arial" w:hAnsi="Arial" w:cs="Arial"/>
          <w:bCs/>
          <w:sz w:val="16"/>
          <w:szCs w:val="16"/>
        </w:rPr>
        <w:t xml:space="preserve"> S. (2014). “</w:t>
      </w:r>
      <w:hyperlink r:id="rId54" w:history="1">
        <w:r w:rsidRPr="00EB00CC">
          <w:rPr>
            <w:rStyle w:val="Hyperlink"/>
            <w:rFonts w:ascii="Arial" w:hAnsi="Arial" w:cs="Arial"/>
            <w:bCs/>
            <w:sz w:val="16"/>
            <w:szCs w:val="16"/>
            <w:lang w:val="en-ZA"/>
          </w:rPr>
          <w:t>The Hidden Corners of Public Finance: A Synthesis of Country Case Studies that Look Beyond the Core Budget</w:t>
        </w:r>
      </w:hyperlink>
      <w:r w:rsidRPr="00EB00CC">
        <w:rPr>
          <w:rFonts w:ascii="Arial" w:hAnsi="Arial" w:cs="Arial"/>
          <w:bCs/>
          <w:sz w:val="16"/>
          <w:szCs w:val="16"/>
          <w:lang w:val="en-ZA"/>
        </w:rPr>
        <w:t>”. I</w:t>
      </w:r>
      <w:r>
        <w:rPr>
          <w:rFonts w:ascii="Arial" w:hAnsi="Arial" w:cs="Arial"/>
          <w:bCs/>
          <w:sz w:val="16"/>
          <w:szCs w:val="16"/>
          <w:lang w:val="en-ZA"/>
        </w:rPr>
        <w:t>BP</w:t>
      </w:r>
      <w:r w:rsidRPr="00EB00CC">
        <w:rPr>
          <w:rFonts w:ascii="Arial" w:hAnsi="Arial" w:cs="Arial"/>
          <w:bCs/>
          <w:sz w:val="16"/>
          <w:szCs w:val="16"/>
          <w:lang w:val="en-ZA"/>
        </w:rPr>
        <w:t>.</w:t>
      </w:r>
    </w:p>
  </w:footnote>
  <w:footnote w:id="42">
    <w:p w14:paraId="09B04A4A" w14:textId="77777777" w:rsidR="00D15FD8" w:rsidRPr="00EB00CC" w:rsidRDefault="00D15FD8" w:rsidP="00EA1D58">
      <w:pPr>
        <w:pStyle w:val="FootnoteText"/>
        <w:jc w:val="both"/>
        <w:rPr>
          <w:rFonts w:ascii="Arial" w:hAnsi="Arial" w:cs="Arial"/>
          <w:sz w:val="16"/>
          <w:szCs w:val="16"/>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The </w:t>
      </w:r>
      <w:hyperlink r:id="rId55" w:history="1">
        <w:r w:rsidRPr="00EB00CC">
          <w:rPr>
            <w:rStyle w:val="Hyperlink"/>
            <w:rFonts w:ascii="Arial" w:hAnsi="Arial" w:cs="Arial"/>
            <w:sz w:val="16"/>
            <w:szCs w:val="16"/>
          </w:rPr>
          <w:t>Paris Accord on Climate Change</w:t>
        </w:r>
      </w:hyperlink>
      <w:r w:rsidRPr="00EB00CC">
        <w:rPr>
          <w:rFonts w:ascii="Arial" w:hAnsi="Arial" w:cs="Arial"/>
          <w:sz w:val="16"/>
          <w:szCs w:val="16"/>
        </w:rPr>
        <w:t xml:space="preserve"> extended reporting requirements for governments on the provision of climate finance under the UN Framework Convention on Climate Change.</w:t>
      </w:r>
    </w:p>
  </w:footnote>
  <w:footnote w:id="43">
    <w:p w14:paraId="5DF25329" w14:textId="54C5747F" w:rsidR="00D15FD8" w:rsidRPr="00AC6847" w:rsidRDefault="00D15FD8" w:rsidP="00C80E06">
      <w:pPr>
        <w:pStyle w:val="FootnoteText"/>
        <w:jc w:val="both"/>
        <w:rPr>
          <w:lang w:val="en-ZA"/>
        </w:rPr>
      </w:pPr>
      <w:r w:rsidRPr="00EB00CC">
        <w:rPr>
          <w:rStyle w:val="FootnoteReference"/>
          <w:rFonts w:ascii="Arial" w:hAnsi="Arial" w:cs="Arial"/>
          <w:sz w:val="16"/>
          <w:szCs w:val="16"/>
        </w:rPr>
        <w:footnoteRef/>
      </w:r>
      <w:r w:rsidRPr="00EB00CC">
        <w:rPr>
          <w:rFonts w:ascii="Arial" w:hAnsi="Arial" w:cs="Arial"/>
          <w:sz w:val="16"/>
          <w:szCs w:val="16"/>
        </w:rPr>
        <w:t xml:space="preserve"> For further reading on budget execution reports see IBP (2018).” </w:t>
      </w:r>
      <w:hyperlink r:id="rId56" w:history="1">
        <w:r w:rsidRPr="00EB00CC">
          <w:rPr>
            <w:rStyle w:val="Hyperlink"/>
            <w:rFonts w:ascii="Arial" w:hAnsi="Arial" w:cs="Arial"/>
            <w:sz w:val="16"/>
            <w:szCs w:val="16"/>
          </w:rPr>
          <w:t>Budget Credibility: What Can We Learn from Budget Execution Reports?</w:t>
        </w:r>
      </w:hyperlink>
      <w:r w:rsidRPr="00EB00CC">
        <w:rPr>
          <w:rFonts w:ascii="Arial" w:hAnsi="Arial" w:cs="Arial"/>
          <w:sz w:val="16"/>
          <w:szCs w:val="16"/>
        </w:rPr>
        <w:t xml:space="preserve"> ” </w:t>
      </w:r>
      <w:r>
        <w:rPr>
          <w:rFonts w:ascii="Arial" w:hAnsi="Arial" w:cs="Arial"/>
          <w:sz w:val="16"/>
          <w:szCs w:val="16"/>
        </w:rPr>
        <w:t>IBP</w:t>
      </w:r>
      <w:r w:rsidRPr="00EB00CC">
        <w:rPr>
          <w:rFonts w:ascii="Arial" w:hAnsi="Arial" w:cs="Arial"/>
          <w:sz w:val="16"/>
          <w:szCs w:val="16"/>
        </w:rPr>
        <w:t>.</w:t>
      </w:r>
    </w:p>
  </w:footnote>
  <w:footnote w:id="44">
    <w:p w14:paraId="18976C4A" w14:textId="762FC99E" w:rsidR="00D15FD8" w:rsidRPr="0067211B" w:rsidRDefault="00D15FD8" w:rsidP="0067211B">
      <w:pPr>
        <w:pStyle w:val="FootnoteText"/>
        <w:rPr>
          <w:lang w:val="en-US"/>
        </w:rPr>
      </w:pPr>
      <w:r>
        <w:rPr>
          <w:rStyle w:val="FootnoteReference"/>
        </w:rPr>
        <w:footnoteRef/>
      </w:r>
      <w:r w:rsidRPr="00336006">
        <w:rPr>
          <w:rFonts w:ascii="Arial" w:hAnsi="Arial" w:cs="Arial"/>
          <w:sz w:val="16"/>
          <w:szCs w:val="16"/>
          <w:lang w:val="en-ZA"/>
        </w:rPr>
        <w:t xml:space="preserve">. Numerous </w:t>
      </w:r>
      <w:r>
        <w:rPr>
          <w:rFonts w:ascii="Arial" w:hAnsi="Arial" w:cs="Arial"/>
          <w:sz w:val="16"/>
          <w:szCs w:val="16"/>
          <w:lang w:val="en-ZA"/>
        </w:rPr>
        <w:t xml:space="preserve">other </w:t>
      </w:r>
      <w:r w:rsidRPr="00336006">
        <w:rPr>
          <w:rFonts w:ascii="Arial" w:hAnsi="Arial" w:cs="Arial"/>
          <w:sz w:val="16"/>
          <w:szCs w:val="16"/>
          <w:lang w:val="en-ZA"/>
        </w:rPr>
        <w:t xml:space="preserve">countries </w:t>
      </w:r>
      <w:r>
        <w:rPr>
          <w:rFonts w:ascii="Arial" w:hAnsi="Arial" w:cs="Arial"/>
          <w:sz w:val="16"/>
          <w:szCs w:val="16"/>
          <w:lang w:val="en-ZA"/>
        </w:rPr>
        <w:t xml:space="preserve">also </w:t>
      </w:r>
      <w:r w:rsidRPr="00336006">
        <w:rPr>
          <w:rFonts w:ascii="Arial" w:hAnsi="Arial" w:cs="Arial"/>
          <w:sz w:val="16"/>
          <w:szCs w:val="16"/>
          <w:lang w:val="en-ZA"/>
        </w:rPr>
        <w:t>tabled supplementary budgets in response to COVID-19, including Sierra Leone, Japan, Sudan, South Korea, and The Gambia.</w:t>
      </w:r>
    </w:p>
  </w:footnote>
  <w:footnote w:id="45">
    <w:p w14:paraId="6908B3DF" w14:textId="77777777" w:rsidR="00D15FD8" w:rsidRPr="00EB00CC" w:rsidRDefault="00D15FD8" w:rsidP="005D1A24">
      <w:pPr>
        <w:pStyle w:val="FootnoteText"/>
        <w:jc w:val="both"/>
        <w:rPr>
          <w:rFonts w:ascii="Arial" w:hAnsi="Arial" w:cs="Arial"/>
          <w:sz w:val="16"/>
          <w:szCs w:val="16"/>
        </w:rPr>
      </w:pPr>
      <w:r w:rsidRPr="00EB00CC">
        <w:rPr>
          <w:rStyle w:val="FootnoteReference"/>
          <w:rFonts w:ascii="Arial" w:hAnsi="Arial" w:cs="Arial"/>
          <w:sz w:val="16"/>
          <w:szCs w:val="16"/>
        </w:rPr>
        <w:footnoteRef/>
      </w:r>
      <w:r w:rsidRPr="00EB00CC">
        <w:rPr>
          <w:rFonts w:ascii="Arial" w:hAnsi="Arial" w:cs="Arial"/>
          <w:sz w:val="16"/>
          <w:szCs w:val="16"/>
        </w:rPr>
        <w:t xml:space="preserve"> For examples of budget practices and procedures across countries see the OECD’s </w:t>
      </w:r>
      <w:hyperlink r:id="rId57" w:history="1">
        <w:r w:rsidRPr="00EB00CC">
          <w:rPr>
            <w:rStyle w:val="Hyperlink"/>
            <w:rFonts w:ascii="Arial" w:hAnsi="Arial" w:cs="Arial"/>
            <w:sz w:val="16"/>
            <w:szCs w:val="16"/>
            <w:lang w:val="en-ZA"/>
          </w:rPr>
          <w:t>International Database of Budget Practices and Procedures</w:t>
        </w:r>
      </w:hyperlink>
      <w:r w:rsidRPr="00EB00CC">
        <w:rPr>
          <w:rFonts w:ascii="Arial" w:hAnsi="Arial" w:cs="Arial"/>
          <w:sz w:val="16"/>
          <w:szCs w:val="16"/>
          <w:lang w:val="en-ZA"/>
        </w:rPr>
        <w:t xml:space="preserve"> that contains information covering the entire fiscal policy cycle across OECD countries, and</w:t>
      </w:r>
      <w:r w:rsidRPr="00EB00CC">
        <w:rPr>
          <w:rFonts w:ascii="Arial" w:hAnsi="Arial" w:cs="Arial"/>
          <w:sz w:val="16"/>
          <w:szCs w:val="16"/>
        </w:rPr>
        <w:t xml:space="preserve"> country </w:t>
      </w:r>
      <w:hyperlink r:id="rId58" w:history="1">
        <w:r w:rsidRPr="00EB00CC">
          <w:rPr>
            <w:rStyle w:val="Hyperlink"/>
            <w:rFonts w:ascii="Arial" w:hAnsi="Arial" w:cs="Arial"/>
            <w:sz w:val="16"/>
            <w:szCs w:val="16"/>
          </w:rPr>
          <w:t>reviews</w:t>
        </w:r>
      </w:hyperlink>
      <w:r w:rsidRPr="00EB00CC">
        <w:rPr>
          <w:rFonts w:ascii="Arial" w:hAnsi="Arial" w:cs="Arial"/>
          <w:sz w:val="16"/>
          <w:szCs w:val="16"/>
        </w:rPr>
        <w:t xml:space="preserve"> of budgeting systems that evaluate experiences in the light of international best practices and provide specific policy recommendations.  </w:t>
      </w:r>
    </w:p>
    <w:p w14:paraId="0DE96D92" w14:textId="77777777" w:rsidR="00D15FD8" w:rsidRPr="00EB00CC" w:rsidRDefault="00D15FD8" w:rsidP="005D1A24">
      <w:pPr>
        <w:pStyle w:val="FootnoteText"/>
        <w:jc w:val="both"/>
        <w:rPr>
          <w:rFonts w:ascii="Arial" w:hAnsi="Arial" w:cs="Arial"/>
          <w:sz w:val="16"/>
          <w:szCs w:val="16"/>
          <w:lang w:val="en-ZA"/>
        </w:rPr>
      </w:pPr>
      <w:r w:rsidRPr="00EB00CC">
        <w:rPr>
          <w:rFonts w:ascii="Arial" w:hAnsi="Arial" w:cs="Arial"/>
          <w:sz w:val="16"/>
          <w:szCs w:val="16"/>
          <w:lang w:val="en-ZA"/>
        </w:rPr>
        <w:t>For further reading see</w:t>
      </w:r>
      <w:r w:rsidRPr="00EB00CC">
        <w:rPr>
          <w:rFonts w:ascii="Arial" w:hAnsi="Arial" w:cs="Arial"/>
          <w:sz w:val="16"/>
          <w:szCs w:val="16"/>
        </w:rPr>
        <w:t xml:space="preserve"> also </w:t>
      </w:r>
      <w:proofErr w:type="spellStart"/>
      <w:r w:rsidRPr="00EB00CC">
        <w:rPr>
          <w:rFonts w:ascii="Arial" w:hAnsi="Arial" w:cs="Arial"/>
          <w:sz w:val="16"/>
          <w:szCs w:val="16"/>
        </w:rPr>
        <w:t>Lakin</w:t>
      </w:r>
      <w:proofErr w:type="spellEnd"/>
      <w:r w:rsidRPr="00EB00CC">
        <w:rPr>
          <w:rFonts w:ascii="Arial" w:hAnsi="Arial" w:cs="Arial"/>
          <w:sz w:val="16"/>
          <w:szCs w:val="16"/>
        </w:rPr>
        <w:t>, J. (2018).”</w:t>
      </w:r>
      <w:hyperlink r:id="rId59" w:history="1">
        <w:r w:rsidRPr="00EB00CC">
          <w:rPr>
            <w:rStyle w:val="Hyperlink"/>
            <w:rFonts w:ascii="Arial" w:hAnsi="Arial" w:cs="Arial"/>
            <w:sz w:val="16"/>
            <w:szCs w:val="16"/>
          </w:rPr>
          <w:t xml:space="preserve"> Assessing the Quality of Reasons in Government Budget Documents</w:t>
        </w:r>
      </w:hyperlink>
      <w:r w:rsidRPr="00EB00CC">
        <w:rPr>
          <w:rFonts w:ascii="Arial" w:hAnsi="Arial" w:cs="Arial"/>
          <w:sz w:val="16"/>
          <w:szCs w:val="16"/>
        </w:rPr>
        <w:t>.” IBP.</w:t>
      </w:r>
    </w:p>
    <w:p w14:paraId="4F1D41AB" w14:textId="77777777" w:rsidR="00D15FD8" w:rsidRPr="003625BA" w:rsidRDefault="00D15FD8" w:rsidP="005D1A24">
      <w:pPr>
        <w:pStyle w:val="FootnoteText"/>
        <w:rPr>
          <w:rFonts w:ascii="Arial" w:hAnsi="Arial" w:cs="Arial"/>
          <w:sz w:val="16"/>
          <w:szCs w:val="16"/>
          <w:lang w:val="en-US"/>
        </w:rPr>
      </w:pPr>
    </w:p>
  </w:footnote>
  <w:footnote w:id="46">
    <w:p w14:paraId="14191E21" w14:textId="77777777" w:rsidR="00D15FD8" w:rsidRPr="00336006" w:rsidRDefault="00D15FD8" w:rsidP="00277109">
      <w:pPr>
        <w:pStyle w:val="FootnoteText"/>
        <w:rPr>
          <w:rFonts w:ascii="Arial" w:hAnsi="Arial" w:cs="Arial"/>
          <w:sz w:val="16"/>
          <w:szCs w:val="16"/>
          <w:lang w:val="en-US"/>
        </w:rPr>
      </w:pPr>
      <w:r w:rsidRPr="00336006">
        <w:rPr>
          <w:rStyle w:val="FootnoteReference"/>
          <w:rFonts w:ascii="Arial" w:hAnsi="Arial" w:cs="Arial"/>
          <w:sz w:val="16"/>
          <w:szCs w:val="16"/>
        </w:rPr>
        <w:footnoteRef/>
      </w:r>
      <w:r w:rsidRPr="00336006">
        <w:rPr>
          <w:rFonts w:ascii="Arial" w:hAnsi="Arial" w:cs="Arial"/>
          <w:sz w:val="16"/>
          <w:szCs w:val="16"/>
        </w:rPr>
        <w:t xml:space="preserve"> Open data </w:t>
      </w:r>
      <w:r w:rsidRPr="00336006">
        <w:rPr>
          <w:rFonts w:ascii="Arial" w:hAnsi="Arial" w:cs="Arial"/>
          <w:sz w:val="16"/>
          <w:szCs w:val="16"/>
          <w:lang w:val="en-US"/>
        </w:rPr>
        <w:t xml:space="preserve">is discussed in detail in Module 4 of this Guide, providing reference material and examples. </w:t>
      </w:r>
    </w:p>
  </w:footnote>
  <w:footnote w:id="47">
    <w:p w14:paraId="15053085" w14:textId="7CF304D5" w:rsidR="00D15FD8" w:rsidRPr="003C6ABE" w:rsidRDefault="00D15FD8" w:rsidP="00252491">
      <w:pPr>
        <w:pStyle w:val="FootnoteText"/>
        <w:rPr>
          <w:rFonts w:ascii="Arial" w:hAnsi="Arial" w:cs="Arial"/>
          <w:sz w:val="16"/>
          <w:szCs w:val="16"/>
          <w:lang w:val="en-US"/>
        </w:rPr>
      </w:pPr>
      <w:r w:rsidRPr="003C6ABE">
        <w:rPr>
          <w:rStyle w:val="FootnoteReference"/>
          <w:rFonts w:ascii="Arial" w:hAnsi="Arial" w:cs="Arial"/>
          <w:sz w:val="16"/>
          <w:szCs w:val="16"/>
        </w:rPr>
        <w:footnoteRef/>
      </w:r>
      <w:r w:rsidRPr="003C6ABE">
        <w:rPr>
          <w:rFonts w:ascii="Arial" w:hAnsi="Arial" w:cs="Arial"/>
          <w:sz w:val="16"/>
          <w:szCs w:val="16"/>
        </w:rPr>
        <w:t xml:space="preserve"> Baker, A., and Murphy, R. (2021). “</w:t>
      </w:r>
      <w:hyperlink r:id="rId60" w:history="1">
        <w:r w:rsidRPr="003C6ABE">
          <w:rPr>
            <w:rStyle w:val="Hyperlink"/>
            <w:rFonts w:ascii="Arial" w:hAnsi="Arial" w:cs="Arial"/>
            <w:iCs/>
            <w:sz w:val="16"/>
            <w:szCs w:val="16"/>
          </w:rPr>
          <w:t>Making Tax Work: A Framework for Enhancing Tax Transparency</w:t>
        </w:r>
        <w:r w:rsidRPr="003C6ABE">
          <w:rPr>
            <w:rStyle w:val="Hyperlink"/>
            <w:rFonts w:ascii="Arial" w:hAnsi="Arial" w:cs="Arial"/>
            <w:sz w:val="16"/>
            <w:szCs w:val="16"/>
          </w:rPr>
          <w:t>.</w:t>
        </w:r>
      </w:hyperlink>
      <w:r w:rsidRPr="003C6ABE">
        <w:rPr>
          <w:rFonts w:ascii="Arial" w:hAnsi="Arial" w:cs="Arial"/>
          <w:sz w:val="16"/>
          <w:szCs w:val="16"/>
        </w:rPr>
        <w:t>” GIFT.</w:t>
      </w:r>
    </w:p>
    <w:p w14:paraId="032310D2" w14:textId="77777777" w:rsidR="00D15FD8" w:rsidRPr="003625BA" w:rsidRDefault="00D15FD8" w:rsidP="00252491">
      <w:pPr>
        <w:pStyle w:val="FootnoteText"/>
        <w:rPr>
          <w:rFonts w:ascii="Arial" w:hAnsi="Arial" w:cs="Arial"/>
          <w:lang w:val="en-US"/>
        </w:rPr>
      </w:pPr>
    </w:p>
  </w:footnote>
  <w:footnote w:id="48">
    <w:p w14:paraId="4CDAA43F" w14:textId="77777777" w:rsidR="00D15FD8" w:rsidRPr="00336006" w:rsidRDefault="00D15FD8" w:rsidP="004E3B22">
      <w:pPr>
        <w:pStyle w:val="FootnoteText"/>
        <w:jc w:val="both"/>
        <w:rPr>
          <w:rFonts w:ascii="Arial" w:hAnsi="Arial" w:cs="Arial"/>
          <w:sz w:val="16"/>
          <w:szCs w:val="16"/>
          <w:lang w:val="en-ZA"/>
        </w:rPr>
      </w:pPr>
      <w:r w:rsidRPr="00336006">
        <w:rPr>
          <w:rStyle w:val="FootnoteReference"/>
          <w:rFonts w:ascii="Arial" w:hAnsi="Arial" w:cs="Arial"/>
        </w:rPr>
        <w:footnoteRef/>
      </w:r>
      <w:r w:rsidRPr="00336006">
        <w:rPr>
          <w:rFonts w:ascii="Arial" w:hAnsi="Arial" w:cs="Arial"/>
        </w:rPr>
        <w:t xml:space="preserve"> </w:t>
      </w:r>
      <w:r w:rsidRPr="00336006">
        <w:rPr>
          <w:rFonts w:ascii="Arial" w:hAnsi="Arial" w:cs="Arial"/>
          <w:sz w:val="16"/>
          <w:szCs w:val="16"/>
          <w:lang w:val="en-ZA"/>
        </w:rPr>
        <w:t xml:space="preserve">For further readings see: </w:t>
      </w:r>
    </w:p>
    <w:p w14:paraId="7ADBD07C" w14:textId="77777777" w:rsidR="00D15FD8" w:rsidRPr="00336006" w:rsidRDefault="00D15FD8" w:rsidP="004E3B22">
      <w:pPr>
        <w:pStyle w:val="FootnoteText"/>
        <w:rPr>
          <w:rFonts w:ascii="Arial" w:hAnsi="Arial" w:cs="Arial"/>
          <w:sz w:val="16"/>
          <w:szCs w:val="16"/>
        </w:rPr>
      </w:pPr>
      <w:r w:rsidRPr="00336006">
        <w:rPr>
          <w:rFonts w:ascii="Arial" w:hAnsi="Arial" w:cs="Arial"/>
          <w:sz w:val="16"/>
          <w:szCs w:val="16"/>
          <w:lang w:val="en-ZA"/>
        </w:rPr>
        <w:t xml:space="preserve">De </w:t>
      </w:r>
      <w:proofErr w:type="spellStart"/>
      <w:r w:rsidRPr="00336006">
        <w:rPr>
          <w:rFonts w:ascii="Arial" w:hAnsi="Arial" w:cs="Arial"/>
          <w:sz w:val="16"/>
          <w:szCs w:val="16"/>
          <w:lang w:val="en-ZA"/>
        </w:rPr>
        <w:t>Renzio</w:t>
      </w:r>
      <w:proofErr w:type="spellEnd"/>
      <w:r w:rsidRPr="00336006">
        <w:rPr>
          <w:rFonts w:ascii="Arial" w:hAnsi="Arial" w:cs="Arial"/>
          <w:sz w:val="16"/>
          <w:szCs w:val="16"/>
        </w:rPr>
        <w:t>, P. (2019). ”</w:t>
      </w:r>
      <w:hyperlink r:id="rId61" w:history="1">
        <w:r w:rsidRPr="00336006">
          <w:rPr>
            <w:rStyle w:val="Hyperlink"/>
            <w:rFonts w:ascii="Arial" w:hAnsi="Arial" w:cs="Arial"/>
            <w:sz w:val="16"/>
            <w:szCs w:val="16"/>
          </w:rPr>
          <w:t>Counted But Not Accountable: Tax Expenditure Transparency in Latin America</w:t>
        </w:r>
      </w:hyperlink>
      <w:r w:rsidRPr="00336006">
        <w:rPr>
          <w:rFonts w:ascii="Arial" w:hAnsi="Arial" w:cs="Arial"/>
          <w:sz w:val="16"/>
          <w:szCs w:val="16"/>
        </w:rPr>
        <w:t>.” IBP.</w:t>
      </w:r>
    </w:p>
    <w:p w14:paraId="5DDA2FD0" w14:textId="77777777" w:rsidR="00D15FD8" w:rsidRPr="00336006" w:rsidRDefault="00D15FD8" w:rsidP="004E3B22">
      <w:pPr>
        <w:pStyle w:val="FootnoteText"/>
        <w:rPr>
          <w:rFonts w:ascii="Arial" w:hAnsi="Arial" w:cs="Arial"/>
          <w:sz w:val="16"/>
          <w:szCs w:val="16"/>
        </w:rPr>
      </w:pPr>
      <w:r w:rsidRPr="00336006">
        <w:rPr>
          <w:rFonts w:ascii="Arial" w:hAnsi="Arial" w:cs="Arial"/>
          <w:sz w:val="16"/>
          <w:szCs w:val="16"/>
        </w:rPr>
        <w:t>Ross, J. (2018). “</w:t>
      </w:r>
      <w:hyperlink r:id="rId62" w:history="1">
        <w:r w:rsidRPr="00336006">
          <w:rPr>
            <w:rStyle w:val="Hyperlink"/>
            <w:rFonts w:ascii="Arial" w:hAnsi="Arial" w:cs="Arial"/>
            <w:sz w:val="16"/>
            <w:szCs w:val="16"/>
          </w:rPr>
          <w:t>Evaluating tax expenditures A framework for Civil Society Researchers</w:t>
        </w:r>
      </w:hyperlink>
      <w:r w:rsidRPr="00336006">
        <w:rPr>
          <w:rFonts w:ascii="Arial" w:hAnsi="Arial" w:cs="Arial"/>
          <w:sz w:val="16"/>
          <w:szCs w:val="16"/>
        </w:rPr>
        <w:t>.” IBP.</w:t>
      </w:r>
    </w:p>
    <w:p w14:paraId="166927B1" w14:textId="77777777" w:rsidR="00D15FD8" w:rsidRPr="003625BA" w:rsidRDefault="00D15FD8" w:rsidP="004E3B22">
      <w:pPr>
        <w:pStyle w:val="FootnoteText"/>
        <w:rPr>
          <w:rFonts w:ascii="Arial" w:hAnsi="Arial" w:cs="Arial"/>
          <w:lang w:val="en-ZA"/>
        </w:rPr>
      </w:pPr>
    </w:p>
  </w:footnote>
  <w:footnote w:id="49">
    <w:p w14:paraId="37EFE9ED" w14:textId="77777777" w:rsidR="00D15FD8" w:rsidRPr="003C6ABE" w:rsidRDefault="00D15FD8" w:rsidP="002E37FC">
      <w:pPr>
        <w:pStyle w:val="FootnoteText"/>
        <w:rPr>
          <w:rFonts w:ascii="Arial" w:hAnsi="Arial" w:cs="Arial"/>
          <w:sz w:val="16"/>
          <w:szCs w:val="16"/>
          <w:lang w:val="en-US"/>
        </w:rPr>
      </w:pPr>
      <w:r w:rsidRPr="003C6ABE">
        <w:rPr>
          <w:rStyle w:val="FootnoteReference"/>
          <w:rFonts w:ascii="Arial" w:hAnsi="Arial" w:cs="Arial"/>
          <w:sz w:val="16"/>
          <w:szCs w:val="16"/>
        </w:rPr>
        <w:footnoteRef/>
      </w:r>
      <w:r w:rsidRPr="003C6ABE">
        <w:rPr>
          <w:rFonts w:ascii="Arial" w:hAnsi="Arial" w:cs="Arial"/>
          <w:sz w:val="16"/>
          <w:szCs w:val="16"/>
        </w:rPr>
        <w:t xml:space="preserve"> Baker, A., and Murphy, R. (2021). “</w:t>
      </w:r>
      <w:hyperlink r:id="rId63" w:history="1">
        <w:r w:rsidRPr="003C6ABE">
          <w:rPr>
            <w:rStyle w:val="Hyperlink"/>
            <w:rFonts w:ascii="Arial" w:hAnsi="Arial" w:cs="Arial"/>
            <w:iCs/>
            <w:sz w:val="16"/>
            <w:szCs w:val="16"/>
          </w:rPr>
          <w:t>Making Tax Work: A Framework for Enhancing Tax Transparency</w:t>
        </w:r>
      </w:hyperlink>
      <w:r w:rsidRPr="003C6ABE">
        <w:rPr>
          <w:rFonts w:ascii="Arial" w:hAnsi="Arial" w:cs="Arial"/>
          <w:sz w:val="16"/>
          <w:szCs w:val="16"/>
        </w:rPr>
        <w:t>.” GIFT.</w:t>
      </w:r>
    </w:p>
  </w:footnote>
  <w:footnote w:id="50">
    <w:p w14:paraId="09EE0CE8" w14:textId="7796DDCA" w:rsidR="00D15FD8" w:rsidRPr="00336006" w:rsidRDefault="00D15FD8" w:rsidP="00736B16">
      <w:pPr>
        <w:pStyle w:val="FootnoteText"/>
        <w:jc w:val="both"/>
        <w:rPr>
          <w:rFonts w:ascii="Arial" w:hAnsi="Arial" w:cs="Arial"/>
          <w:sz w:val="16"/>
          <w:szCs w:val="16"/>
          <w:lang w:val="en-US"/>
        </w:rPr>
      </w:pPr>
      <w:r w:rsidRPr="003C6ABE">
        <w:rPr>
          <w:rStyle w:val="FootnoteReference"/>
          <w:rFonts w:ascii="Arial" w:hAnsi="Arial" w:cs="Arial"/>
          <w:sz w:val="16"/>
          <w:szCs w:val="16"/>
        </w:rPr>
        <w:footnoteRef/>
      </w:r>
      <w:r w:rsidRPr="003C6ABE">
        <w:rPr>
          <w:rFonts w:ascii="Arial" w:hAnsi="Arial" w:cs="Arial"/>
          <w:sz w:val="16"/>
          <w:szCs w:val="16"/>
        </w:rPr>
        <w:t xml:space="preserve"> De </w:t>
      </w:r>
      <w:proofErr w:type="spellStart"/>
      <w:r w:rsidRPr="003C6ABE">
        <w:rPr>
          <w:rFonts w:ascii="Arial" w:hAnsi="Arial" w:cs="Arial"/>
          <w:sz w:val="16"/>
          <w:szCs w:val="16"/>
        </w:rPr>
        <w:t>Renzio</w:t>
      </w:r>
      <w:proofErr w:type="spellEnd"/>
      <w:r w:rsidRPr="003C6ABE">
        <w:rPr>
          <w:rFonts w:ascii="Arial" w:hAnsi="Arial" w:cs="Arial"/>
          <w:sz w:val="16"/>
          <w:szCs w:val="16"/>
        </w:rPr>
        <w:t>, P., and Guerrero, J.P. (2021). “</w:t>
      </w:r>
      <w:hyperlink r:id="rId64" w:history="1">
        <w:r w:rsidRPr="003C6ABE">
          <w:rPr>
            <w:rStyle w:val="Hyperlink"/>
            <w:rFonts w:ascii="Arial" w:hAnsi="Arial" w:cs="Arial"/>
            <w:iCs/>
            <w:sz w:val="16"/>
            <w:szCs w:val="16"/>
          </w:rPr>
          <w:t>Promoting more open and accountable tax systems: The Role of International principles and standards</w:t>
        </w:r>
      </w:hyperlink>
      <w:r w:rsidRPr="003C6ABE">
        <w:rPr>
          <w:rFonts w:ascii="Arial" w:hAnsi="Arial" w:cs="Arial"/>
          <w:iCs/>
          <w:sz w:val="16"/>
          <w:szCs w:val="16"/>
        </w:rPr>
        <w:t>”. IBP and GIFT</w:t>
      </w:r>
      <w:r w:rsidRPr="003C6ABE">
        <w:rPr>
          <w:rFonts w:ascii="Arial" w:hAnsi="Arial" w:cs="Arial"/>
          <w:sz w:val="16"/>
          <w:szCs w:val="16"/>
        </w:rPr>
        <w:t>.</w:t>
      </w:r>
      <w:r w:rsidRPr="00336006">
        <w:rPr>
          <w:rFonts w:ascii="Arial" w:hAnsi="Arial" w:cs="Arial"/>
          <w:sz w:val="16"/>
          <w:szCs w:val="16"/>
        </w:rPr>
        <w:t xml:space="preserve"> </w:t>
      </w:r>
    </w:p>
  </w:footnote>
  <w:footnote w:id="51">
    <w:p w14:paraId="0C71D1AA" w14:textId="77777777" w:rsidR="00D15FD8" w:rsidRPr="003C6ABE" w:rsidRDefault="00D15FD8" w:rsidP="002E37FC">
      <w:pPr>
        <w:pStyle w:val="FootnoteText"/>
        <w:rPr>
          <w:rFonts w:ascii="Arial" w:hAnsi="Arial" w:cs="Arial"/>
          <w:sz w:val="16"/>
          <w:szCs w:val="16"/>
        </w:rPr>
      </w:pPr>
      <w:r w:rsidRPr="003C6ABE">
        <w:rPr>
          <w:rStyle w:val="FootnoteReference"/>
          <w:rFonts w:ascii="Arial" w:hAnsi="Arial" w:cs="Arial"/>
          <w:sz w:val="16"/>
          <w:szCs w:val="16"/>
        </w:rPr>
        <w:footnoteRef/>
      </w:r>
      <w:r w:rsidRPr="003C6ABE">
        <w:rPr>
          <w:rFonts w:ascii="Arial" w:hAnsi="Arial" w:cs="Arial"/>
          <w:sz w:val="16"/>
          <w:szCs w:val="16"/>
        </w:rPr>
        <w:t xml:space="preserve"> Guerrero, J.P. (2020). “</w:t>
      </w:r>
      <w:hyperlink r:id="rId65" w:history="1">
        <w:r w:rsidRPr="003C6ABE">
          <w:rPr>
            <w:rStyle w:val="Hyperlink"/>
            <w:rFonts w:ascii="Arial" w:hAnsi="Arial" w:cs="Arial"/>
            <w:iCs/>
            <w:sz w:val="16"/>
            <w:szCs w:val="16"/>
          </w:rPr>
          <w:t>Tax Transparency and Informed Public Dialogue in Tax Policy: A civil society perspective on taxes</w:t>
        </w:r>
      </w:hyperlink>
      <w:r w:rsidRPr="003C6ABE">
        <w:rPr>
          <w:rStyle w:val="Hyperlink"/>
          <w:rFonts w:ascii="Arial" w:hAnsi="Arial" w:cs="Arial"/>
          <w:iCs/>
          <w:sz w:val="16"/>
          <w:szCs w:val="16"/>
        </w:rPr>
        <w:t>: Scoping Study</w:t>
      </w:r>
      <w:r w:rsidRPr="003C6ABE">
        <w:rPr>
          <w:rFonts w:ascii="Arial" w:hAnsi="Arial" w:cs="Arial"/>
          <w:iCs/>
          <w:sz w:val="16"/>
          <w:szCs w:val="16"/>
        </w:rPr>
        <w:t>”. GIFT.</w:t>
      </w:r>
    </w:p>
  </w:footnote>
  <w:footnote w:id="52">
    <w:p w14:paraId="05850EC6" w14:textId="42466D48" w:rsidR="00D15FD8" w:rsidRPr="003C6ABE" w:rsidRDefault="00D15FD8" w:rsidP="002E37FC">
      <w:pPr>
        <w:pStyle w:val="FootnoteText"/>
        <w:rPr>
          <w:rFonts w:ascii="Arial" w:hAnsi="Arial" w:cs="Arial"/>
          <w:sz w:val="16"/>
          <w:szCs w:val="16"/>
        </w:rPr>
      </w:pPr>
      <w:r w:rsidRPr="003C6ABE">
        <w:rPr>
          <w:rStyle w:val="FootnoteReference"/>
          <w:rFonts w:ascii="Arial" w:hAnsi="Arial" w:cs="Arial"/>
          <w:sz w:val="16"/>
          <w:szCs w:val="16"/>
        </w:rPr>
        <w:footnoteRef/>
      </w:r>
      <w:r w:rsidRPr="003C6ABE">
        <w:rPr>
          <w:rFonts w:ascii="Arial" w:hAnsi="Arial" w:cs="Arial"/>
          <w:sz w:val="16"/>
          <w:szCs w:val="16"/>
        </w:rPr>
        <w:t xml:space="preserve"> For further reading see Baker, A., Murphy, R., Ferreira, R., Guerrero, J.P. (2022).</w:t>
      </w:r>
      <w:r w:rsidRPr="003C6ABE">
        <w:rPr>
          <w:rFonts w:ascii="Arial" w:hAnsi="Arial" w:cs="Arial"/>
          <w:sz w:val="16"/>
          <w:szCs w:val="16"/>
          <w:vertAlign w:val="superscript"/>
        </w:rPr>
        <w:t xml:space="preserve"> “</w:t>
      </w:r>
      <w:hyperlink r:id="rId66" w:history="1">
        <w:r w:rsidRPr="003C6ABE">
          <w:rPr>
            <w:rStyle w:val="Hyperlink"/>
            <w:rFonts w:ascii="Arial" w:hAnsi="Arial" w:cs="Arial"/>
            <w:sz w:val="16"/>
            <w:szCs w:val="16"/>
          </w:rPr>
          <w:t>Developing and Using Global Tax Transparency Principles</w:t>
        </w:r>
      </w:hyperlink>
      <w:r w:rsidRPr="003C6ABE">
        <w:rPr>
          <w:rFonts w:ascii="Arial" w:hAnsi="Arial" w:cs="Arial"/>
          <w:sz w:val="16"/>
          <w:szCs w:val="16"/>
        </w:rPr>
        <w:t>”. GIFT/IMF Blog.</w:t>
      </w:r>
    </w:p>
    <w:p w14:paraId="5C947541" w14:textId="77777777" w:rsidR="00D15FD8" w:rsidRPr="003625BA" w:rsidRDefault="00D15FD8" w:rsidP="002E37FC">
      <w:pPr>
        <w:pStyle w:val="FootnoteText"/>
        <w:rPr>
          <w:rFonts w:ascii="Arial" w:hAnsi="Arial" w:cs="Arial"/>
          <w:lang w:val="en-US"/>
        </w:rPr>
      </w:pPr>
    </w:p>
  </w:footnote>
  <w:footnote w:id="53">
    <w:p w14:paraId="54A63215" w14:textId="77777777" w:rsidR="00D15FD8" w:rsidRPr="003C6ABE" w:rsidRDefault="00D15FD8" w:rsidP="00210326">
      <w:pPr>
        <w:pStyle w:val="FootnoteText"/>
        <w:jc w:val="both"/>
        <w:rPr>
          <w:rFonts w:ascii="Arial" w:hAnsi="Arial" w:cs="Arial"/>
          <w:sz w:val="16"/>
          <w:szCs w:val="16"/>
          <w:lang w:val="en-ZA"/>
        </w:rPr>
      </w:pPr>
      <w:r w:rsidRPr="003C6ABE">
        <w:rPr>
          <w:rStyle w:val="FootnoteReference"/>
          <w:rFonts w:ascii="Arial" w:hAnsi="Arial" w:cs="Arial"/>
          <w:sz w:val="16"/>
          <w:szCs w:val="16"/>
        </w:rPr>
        <w:footnoteRef/>
      </w:r>
      <w:r w:rsidRPr="003C6ABE">
        <w:rPr>
          <w:rFonts w:ascii="Arial" w:hAnsi="Arial" w:cs="Arial"/>
          <w:sz w:val="16"/>
          <w:szCs w:val="16"/>
        </w:rPr>
        <w:t xml:space="preserve"> </w:t>
      </w:r>
      <w:r w:rsidRPr="003C6ABE">
        <w:rPr>
          <w:rFonts w:ascii="Arial" w:hAnsi="Arial" w:cs="Arial"/>
          <w:sz w:val="16"/>
          <w:szCs w:val="16"/>
          <w:lang w:val="en-ZA"/>
        </w:rPr>
        <w:t>For further reading see: CABRI (2014). “</w:t>
      </w:r>
      <w:hyperlink r:id="rId67" w:history="1">
        <w:r w:rsidRPr="003C6ABE">
          <w:rPr>
            <w:rStyle w:val="Hyperlink"/>
            <w:rFonts w:ascii="Arial" w:hAnsi="Arial" w:cs="Arial"/>
            <w:sz w:val="16"/>
            <w:szCs w:val="16"/>
            <w:lang w:val="en-ZA"/>
          </w:rPr>
          <w:t>Towards a greater use of country systems in Africa: Recent trends and approaches: Synthesis report</w:t>
        </w:r>
      </w:hyperlink>
      <w:r w:rsidRPr="003C6ABE">
        <w:rPr>
          <w:rFonts w:ascii="Arial" w:hAnsi="Arial" w:cs="Arial"/>
          <w:sz w:val="16"/>
          <w:szCs w:val="16"/>
          <w:lang w:val="en-ZA"/>
        </w:rPr>
        <w:t>”. CABRI.</w:t>
      </w:r>
    </w:p>
  </w:footnote>
  <w:footnote w:id="54">
    <w:p w14:paraId="64ADC436" w14:textId="77777777" w:rsidR="00D15FD8" w:rsidRPr="003C6ABE" w:rsidRDefault="00D15FD8" w:rsidP="008F42CD">
      <w:pPr>
        <w:pStyle w:val="FootnoteText"/>
        <w:jc w:val="both"/>
        <w:rPr>
          <w:rFonts w:ascii="Arial" w:hAnsi="Arial" w:cs="Arial"/>
          <w:sz w:val="16"/>
          <w:szCs w:val="16"/>
          <w:lang w:val="en-ZA"/>
        </w:rPr>
      </w:pPr>
      <w:r w:rsidRPr="003C6ABE">
        <w:rPr>
          <w:rStyle w:val="FootnoteReference"/>
          <w:rFonts w:ascii="Arial" w:hAnsi="Arial" w:cs="Arial"/>
          <w:sz w:val="16"/>
          <w:szCs w:val="16"/>
        </w:rPr>
        <w:footnoteRef/>
      </w:r>
      <w:r w:rsidRPr="003C6ABE">
        <w:rPr>
          <w:rFonts w:ascii="Arial" w:hAnsi="Arial" w:cs="Arial"/>
          <w:sz w:val="16"/>
          <w:szCs w:val="16"/>
        </w:rPr>
        <w:t xml:space="preserve"> </w:t>
      </w:r>
      <w:r w:rsidRPr="003C6ABE">
        <w:rPr>
          <w:rFonts w:ascii="Arial" w:hAnsi="Arial" w:cs="Arial"/>
          <w:sz w:val="16"/>
          <w:szCs w:val="16"/>
          <w:lang w:val="en-ZA"/>
        </w:rPr>
        <w:t xml:space="preserve">For an </w:t>
      </w:r>
      <w:proofErr w:type="gramStart"/>
      <w:r w:rsidRPr="003C6ABE">
        <w:rPr>
          <w:rFonts w:ascii="Arial" w:hAnsi="Arial" w:cs="Arial"/>
          <w:sz w:val="16"/>
          <w:szCs w:val="16"/>
          <w:lang w:val="en-ZA"/>
        </w:rPr>
        <w:t>examples of analyses</w:t>
      </w:r>
      <w:proofErr w:type="gramEnd"/>
      <w:r w:rsidRPr="003C6ABE">
        <w:rPr>
          <w:rFonts w:ascii="Arial" w:hAnsi="Arial" w:cs="Arial"/>
          <w:sz w:val="16"/>
          <w:szCs w:val="16"/>
          <w:lang w:val="en-ZA"/>
        </w:rPr>
        <w:t xml:space="preserve"> undertaken and for an evaluation of the PEFA program see: </w:t>
      </w:r>
    </w:p>
    <w:p w14:paraId="794D42D3" w14:textId="77777777" w:rsidR="00D15FD8" w:rsidRPr="003C6ABE" w:rsidRDefault="00D15FD8" w:rsidP="008F42CD">
      <w:pPr>
        <w:pStyle w:val="FootnoteText"/>
        <w:jc w:val="both"/>
        <w:rPr>
          <w:rFonts w:ascii="Arial" w:hAnsi="Arial" w:cs="Arial"/>
          <w:sz w:val="16"/>
          <w:szCs w:val="16"/>
          <w:lang w:val="en-ZA"/>
        </w:rPr>
      </w:pPr>
      <w:r w:rsidRPr="003C6ABE">
        <w:rPr>
          <w:rFonts w:ascii="Arial" w:hAnsi="Arial" w:cs="Arial"/>
          <w:sz w:val="16"/>
          <w:szCs w:val="16"/>
          <w:lang w:val="en-ZA"/>
        </w:rPr>
        <w:t>IBP (2018). “</w:t>
      </w:r>
      <w:hyperlink r:id="rId68" w:history="1">
        <w:r w:rsidRPr="003C6ABE">
          <w:rPr>
            <w:rStyle w:val="Hyperlink"/>
            <w:rFonts w:ascii="Arial" w:hAnsi="Arial" w:cs="Arial"/>
            <w:sz w:val="16"/>
            <w:szCs w:val="16"/>
          </w:rPr>
          <w:t>Budget Credibility: What Can We Learn from PEFA Reports</w:t>
        </w:r>
      </w:hyperlink>
      <w:r w:rsidRPr="003C6ABE">
        <w:rPr>
          <w:rFonts w:ascii="Arial" w:hAnsi="Arial" w:cs="Arial"/>
          <w:sz w:val="16"/>
          <w:szCs w:val="16"/>
        </w:rPr>
        <w:t xml:space="preserve">?” IBP; and see resources under </w:t>
      </w:r>
      <w:hyperlink r:id="rId69" w:history="1">
        <w:r w:rsidRPr="003C6ABE">
          <w:rPr>
            <w:rStyle w:val="Hyperlink"/>
            <w:rFonts w:ascii="Arial" w:hAnsi="Arial" w:cs="Arial"/>
            <w:sz w:val="16"/>
            <w:szCs w:val="16"/>
          </w:rPr>
          <w:t>Explore how researchers use PEFA data</w:t>
        </w:r>
      </w:hyperlink>
      <w:r w:rsidRPr="003C6ABE">
        <w:rPr>
          <w:rFonts w:ascii="Arial" w:hAnsi="Arial" w:cs="Arial"/>
          <w:sz w:val="16"/>
          <w:szCs w:val="16"/>
        </w:rPr>
        <w:t>.</w:t>
      </w:r>
      <w:r w:rsidRPr="003C6ABE">
        <w:rPr>
          <w:rFonts w:ascii="Arial" w:hAnsi="Arial" w:cs="Arial"/>
          <w:sz w:val="16"/>
          <w:szCs w:val="16"/>
          <w:lang w:val="en-ZA"/>
        </w:rPr>
        <w:t xml:space="preserve"> </w:t>
      </w:r>
    </w:p>
    <w:p w14:paraId="2409987B" w14:textId="77777777" w:rsidR="00D15FD8" w:rsidRPr="003C6ABE" w:rsidRDefault="00D15FD8" w:rsidP="008F42CD">
      <w:pPr>
        <w:pStyle w:val="FootnoteText"/>
        <w:jc w:val="both"/>
        <w:rPr>
          <w:rFonts w:ascii="Arial" w:hAnsi="Arial" w:cs="Arial"/>
          <w:sz w:val="16"/>
          <w:szCs w:val="16"/>
          <w:lang w:val="en-ZA"/>
        </w:rPr>
      </w:pPr>
      <w:r w:rsidRPr="003C6ABE">
        <w:rPr>
          <w:rFonts w:ascii="Arial" w:hAnsi="Arial" w:cs="Arial"/>
          <w:sz w:val="16"/>
          <w:szCs w:val="16"/>
          <w:lang w:val="en-ZA"/>
        </w:rPr>
        <w:t>Swedish Development Advisers (2016). “</w:t>
      </w:r>
      <w:hyperlink r:id="rId70" w:history="1">
        <w:r w:rsidRPr="003C6ABE">
          <w:rPr>
            <w:rStyle w:val="Hyperlink"/>
            <w:rFonts w:ascii="Arial" w:hAnsi="Arial" w:cs="Arial"/>
            <w:sz w:val="16"/>
            <w:szCs w:val="16"/>
            <w:lang w:val="en-ZA"/>
          </w:rPr>
          <w:t>An evaluation of the PEFA program, 2016 Final Report</w:t>
        </w:r>
      </w:hyperlink>
      <w:r w:rsidRPr="003C6ABE">
        <w:rPr>
          <w:rFonts w:ascii="Arial" w:hAnsi="Arial" w:cs="Arial"/>
          <w:sz w:val="16"/>
          <w:szCs w:val="16"/>
          <w:lang w:val="en-ZA"/>
        </w:rPr>
        <w:t>.” PEFA Secretariat.</w:t>
      </w:r>
    </w:p>
    <w:p w14:paraId="1F2B7C07" w14:textId="77777777" w:rsidR="00D15FD8" w:rsidRPr="003C6ABE" w:rsidRDefault="00D15FD8" w:rsidP="008F42CD">
      <w:pPr>
        <w:pStyle w:val="FootnoteText"/>
        <w:jc w:val="both"/>
        <w:rPr>
          <w:rFonts w:ascii="Arial" w:hAnsi="Arial" w:cs="Arial"/>
          <w:sz w:val="16"/>
          <w:szCs w:val="16"/>
        </w:rPr>
      </w:pPr>
      <w:proofErr w:type="spellStart"/>
      <w:r w:rsidRPr="003C6ABE">
        <w:rPr>
          <w:rFonts w:ascii="Arial" w:hAnsi="Arial" w:cs="Arial"/>
          <w:sz w:val="16"/>
          <w:szCs w:val="16"/>
        </w:rPr>
        <w:t>Fölscher</w:t>
      </w:r>
      <w:proofErr w:type="spellEnd"/>
      <w:r w:rsidRPr="003C6ABE">
        <w:rPr>
          <w:rFonts w:ascii="Arial" w:hAnsi="Arial" w:cs="Arial"/>
          <w:sz w:val="16"/>
          <w:szCs w:val="16"/>
        </w:rPr>
        <w:t>, A., and Gay, E. (2012). “</w:t>
      </w:r>
      <w:hyperlink r:id="rId71" w:history="1">
        <w:r w:rsidRPr="003C6ABE">
          <w:rPr>
            <w:rStyle w:val="Hyperlink"/>
            <w:rFonts w:ascii="Arial" w:hAnsi="Arial" w:cs="Arial"/>
            <w:sz w:val="16"/>
            <w:szCs w:val="16"/>
          </w:rPr>
          <w:t>Fiscal Transparency and Participation in Africa: A Status Report</w:t>
        </w:r>
      </w:hyperlink>
      <w:r w:rsidRPr="003C6ABE">
        <w:rPr>
          <w:rFonts w:ascii="Arial" w:hAnsi="Arial" w:cs="Arial"/>
          <w:i/>
          <w:sz w:val="16"/>
          <w:szCs w:val="16"/>
        </w:rPr>
        <w:t xml:space="preserve">.” </w:t>
      </w:r>
      <w:r w:rsidRPr="003C6ABE">
        <w:rPr>
          <w:rFonts w:ascii="Arial" w:hAnsi="Arial" w:cs="Arial"/>
          <w:sz w:val="16"/>
          <w:szCs w:val="16"/>
        </w:rPr>
        <w:t>CABRI</w:t>
      </w:r>
    </w:p>
    <w:p w14:paraId="6241EE1C" w14:textId="77777777" w:rsidR="00D15FD8" w:rsidRPr="003625BA" w:rsidRDefault="00D15FD8" w:rsidP="008F42CD">
      <w:pPr>
        <w:pStyle w:val="FootnoteText"/>
        <w:jc w:val="both"/>
        <w:rPr>
          <w:rFonts w:ascii="Arial" w:hAnsi="Arial" w:cs="Arial"/>
          <w:i/>
        </w:rPr>
      </w:pPr>
    </w:p>
    <w:p w14:paraId="165892A6" w14:textId="77777777" w:rsidR="00D15FD8" w:rsidRPr="003625BA" w:rsidRDefault="00D15FD8" w:rsidP="008F42CD">
      <w:pPr>
        <w:pStyle w:val="FootnoteText"/>
        <w:rPr>
          <w:rFonts w:ascii="Arial" w:hAnsi="Arial" w:cs="Arial"/>
          <w:lang w:val="en-ZA"/>
        </w:rPr>
      </w:pPr>
    </w:p>
  </w:footnote>
  <w:footnote w:id="55">
    <w:p w14:paraId="4118BF4B" w14:textId="77777777" w:rsidR="00D15FD8" w:rsidRPr="00336006" w:rsidRDefault="00D15FD8" w:rsidP="00C576E0">
      <w:pPr>
        <w:pStyle w:val="FootnoteText"/>
        <w:jc w:val="both"/>
        <w:rPr>
          <w:rFonts w:ascii="Arial" w:hAnsi="Arial" w:cs="Arial"/>
          <w:sz w:val="16"/>
          <w:szCs w:val="16"/>
          <w:lang w:val="en-ZA"/>
        </w:rPr>
      </w:pPr>
      <w:r w:rsidRPr="00336006">
        <w:rPr>
          <w:rStyle w:val="FootnoteReference"/>
          <w:rFonts w:ascii="Arial" w:hAnsi="Arial" w:cs="Arial"/>
          <w:sz w:val="16"/>
          <w:szCs w:val="16"/>
        </w:rPr>
        <w:footnoteRef/>
      </w:r>
      <w:r w:rsidRPr="00336006">
        <w:rPr>
          <w:rFonts w:ascii="Arial" w:hAnsi="Arial" w:cs="Arial"/>
          <w:sz w:val="16"/>
          <w:szCs w:val="16"/>
        </w:rPr>
        <w:t xml:space="preserve"> Gupta, S., Keen, M., Shah A., and </w:t>
      </w:r>
      <w:proofErr w:type="spellStart"/>
      <w:r w:rsidRPr="00336006">
        <w:rPr>
          <w:rFonts w:ascii="Arial" w:hAnsi="Arial" w:cs="Arial"/>
          <w:sz w:val="16"/>
          <w:szCs w:val="16"/>
        </w:rPr>
        <w:t>Verdier</w:t>
      </w:r>
      <w:proofErr w:type="spellEnd"/>
      <w:r w:rsidRPr="00336006">
        <w:rPr>
          <w:rFonts w:ascii="Arial" w:hAnsi="Arial" w:cs="Arial"/>
          <w:sz w:val="16"/>
          <w:szCs w:val="16"/>
        </w:rPr>
        <w:t>, G. (2017). “</w:t>
      </w:r>
      <w:hyperlink r:id="rId72" w:history="1">
        <w:r w:rsidRPr="00336006">
          <w:rPr>
            <w:rStyle w:val="Hyperlink"/>
            <w:rFonts w:ascii="Arial" w:hAnsi="Arial" w:cs="Arial"/>
            <w:sz w:val="16"/>
            <w:szCs w:val="16"/>
          </w:rPr>
          <w:t>Digital Revolutions in Public Finance</w:t>
        </w:r>
      </w:hyperlink>
      <w:r w:rsidRPr="00336006">
        <w:rPr>
          <w:rFonts w:ascii="Arial" w:hAnsi="Arial" w:cs="Arial"/>
          <w:sz w:val="16"/>
          <w:szCs w:val="16"/>
        </w:rPr>
        <w:t xml:space="preserve">”. In particular, see Chapter 12: </w:t>
      </w:r>
      <w:r w:rsidRPr="00336006">
        <w:rPr>
          <w:rFonts w:ascii="Arial" w:hAnsi="Arial" w:cs="Arial"/>
          <w:sz w:val="16"/>
          <w:szCs w:val="16"/>
          <w:lang w:val="en-US"/>
        </w:rPr>
        <w:t xml:space="preserve">Integration of Government Digitalization and Public Financial Management—Initial Evidence by </w:t>
      </w:r>
      <w:proofErr w:type="spellStart"/>
      <w:r w:rsidRPr="00336006">
        <w:rPr>
          <w:rFonts w:ascii="Arial" w:hAnsi="Arial" w:cs="Arial"/>
          <w:sz w:val="16"/>
          <w:szCs w:val="16"/>
          <w:lang w:val="en-US"/>
        </w:rPr>
        <w:t>Cangiano</w:t>
      </w:r>
      <w:proofErr w:type="spellEnd"/>
      <w:r w:rsidRPr="00336006">
        <w:rPr>
          <w:rFonts w:ascii="Arial" w:hAnsi="Arial" w:cs="Arial"/>
          <w:sz w:val="16"/>
          <w:szCs w:val="16"/>
          <w:lang w:val="en-US"/>
        </w:rPr>
        <w:t xml:space="preserve"> M., Gelb, A., and Goodwin-Groen, R. </w:t>
      </w:r>
      <w:r w:rsidRPr="00336006">
        <w:rPr>
          <w:rFonts w:ascii="Arial" w:hAnsi="Arial" w:cs="Arial"/>
          <w:sz w:val="16"/>
          <w:szCs w:val="16"/>
          <w:lang w:val="en-ZA"/>
        </w:rPr>
        <w:t>IMF.</w:t>
      </w:r>
    </w:p>
  </w:footnote>
  <w:footnote w:id="56">
    <w:p w14:paraId="6D6F81E0" w14:textId="77777777" w:rsidR="00D15FD8" w:rsidRPr="00336006" w:rsidRDefault="00D15FD8" w:rsidP="00C576E0">
      <w:pPr>
        <w:pStyle w:val="FootnoteText"/>
        <w:jc w:val="both"/>
        <w:rPr>
          <w:rFonts w:ascii="Arial" w:hAnsi="Arial" w:cs="Arial"/>
          <w:sz w:val="16"/>
          <w:szCs w:val="16"/>
          <w:lang w:val="en-ZA"/>
        </w:rPr>
      </w:pPr>
      <w:r w:rsidRPr="00336006">
        <w:rPr>
          <w:rStyle w:val="FootnoteReference"/>
          <w:rFonts w:ascii="Arial" w:hAnsi="Arial" w:cs="Arial"/>
          <w:sz w:val="16"/>
          <w:szCs w:val="16"/>
        </w:rPr>
        <w:footnoteRef/>
      </w:r>
      <w:r w:rsidRPr="00336006">
        <w:rPr>
          <w:rFonts w:ascii="Arial" w:hAnsi="Arial" w:cs="Arial"/>
          <w:sz w:val="16"/>
          <w:szCs w:val="16"/>
        </w:rPr>
        <w:t xml:space="preserve"> For further reading see </w:t>
      </w:r>
      <w:r w:rsidRPr="00336006">
        <w:rPr>
          <w:rFonts w:ascii="Arial" w:hAnsi="Arial" w:cs="Arial"/>
          <w:sz w:val="16"/>
          <w:szCs w:val="16"/>
          <w:lang w:val="en-ZA"/>
        </w:rPr>
        <w:t xml:space="preserve">De </w:t>
      </w:r>
      <w:proofErr w:type="spellStart"/>
      <w:r w:rsidRPr="00336006">
        <w:rPr>
          <w:rFonts w:ascii="Arial" w:hAnsi="Arial" w:cs="Arial"/>
          <w:sz w:val="16"/>
          <w:szCs w:val="16"/>
          <w:lang w:val="en-ZA"/>
        </w:rPr>
        <w:t>Renzio</w:t>
      </w:r>
      <w:proofErr w:type="spellEnd"/>
      <w:r w:rsidRPr="00336006">
        <w:rPr>
          <w:rFonts w:ascii="Arial" w:hAnsi="Arial" w:cs="Arial"/>
          <w:sz w:val="16"/>
          <w:szCs w:val="16"/>
          <w:lang w:val="en-ZA"/>
        </w:rPr>
        <w:t xml:space="preserve">, P., and </w:t>
      </w:r>
      <w:proofErr w:type="spellStart"/>
      <w:r w:rsidRPr="00336006">
        <w:rPr>
          <w:rFonts w:ascii="Arial" w:hAnsi="Arial" w:cs="Arial"/>
          <w:sz w:val="16"/>
          <w:szCs w:val="16"/>
          <w:lang w:val="en-ZA"/>
        </w:rPr>
        <w:t>Mastruzzi</w:t>
      </w:r>
      <w:proofErr w:type="spellEnd"/>
      <w:r w:rsidRPr="00336006">
        <w:rPr>
          <w:rFonts w:ascii="Arial" w:hAnsi="Arial" w:cs="Arial"/>
          <w:sz w:val="16"/>
          <w:szCs w:val="16"/>
          <w:lang w:val="en-ZA"/>
        </w:rPr>
        <w:t>, M. (2016). “</w:t>
      </w:r>
      <w:hyperlink r:id="rId73" w:history="1">
        <w:r w:rsidRPr="00336006">
          <w:rPr>
            <w:rStyle w:val="Hyperlink"/>
            <w:rFonts w:ascii="Arial" w:hAnsi="Arial" w:cs="Arial"/>
            <w:sz w:val="16"/>
            <w:szCs w:val="16"/>
            <w:lang w:val="en-ZA"/>
          </w:rPr>
          <w:t>How Does Civil Society Use Budget Information? Mapping Fiscal Transparency Gaps and Needs in Developing Countries</w:t>
        </w:r>
      </w:hyperlink>
      <w:r w:rsidRPr="00336006">
        <w:rPr>
          <w:rFonts w:ascii="Arial" w:hAnsi="Arial" w:cs="Arial"/>
          <w:sz w:val="16"/>
          <w:szCs w:val="16"/>
          <w:lang w:val="en-ZA"/>
        </w:rPr>
        <w:t>”. IBP/GIFT.</w:t>
      </w:r>
    </w:p>
  </w:footnote>
  <w:footnote w:id="57">
    <w:p w14:paraId="59287424" w14:textId="77777777" w:rsidR="00D15FD8" w:rsidRPr="00691BB1" w:rsidRDefault="00D15FD8" w:rsidP="0062696F">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For further reading and examples see </w:t>
      </w:r>
      <w:proofErr w:type="spellStart"/>
      <w:r w:rsidRPr="00691BB1">
        <w:rPr>
          <w:rFonts w:ascii="Arial" w:hAnsi="Arial" w:cs="Arial"/>
          <w:sz w:val="16"/>
          <w:szCs w:val="16"/>
          <w:lang w:val="en-ZA"/>
        </w:rPr>
        <w:t>Pimenta</w:t>
      </w:r>
      <w:proofErr w:type="spellEnd"/>
      <w:r w:rsidRPr="00691BB1">
        <w:rPr>
          <w:rFonts w:ascii="Arial" w:hAnsi="Arial" w:cs="Arial"/>
          <w:sz w:val="16"/>
          <w:szCs w:val="16"/>
          <w:lang w:val="en-ZA"/>
        </w:rPr>
        <w:t>, C., and Pessoa, M. (2015). “</w:t>
      </w:r>
      <w:hyperlink r:id="rId74" w:history="1">
        <w:r w:rsidRPr="00691BB1">
          <w:rPr>
            <w:rStyle w:val="Hyperlink"/>
            <w:rFonts w:ascii="Arial" w:hAnsi="Arial" w:cs="Arial"/>
            <w:sz w:val="16"/>
            <w:szCs w:val="16"/>
            <w:lang w:val="en-ZA"/>
          </w:rPr>
          <w:t>Public Financial Management in Latin America: The Key to Efficiency and Transparency</w:t>
        </w:r>
      </w:hyperlink>
      <w:r w:rsidRPr="00691BB1">
        <w:rPr>
          <w:rFonts w:ascii="Arial" w:hAnsi="Arial" w:cs="Arial"/>
          <w:sz w:val="16"/>
          <w:szCs w:val="16"/>
          <w:lang w:val="en-ZA"/>
        </w:rPr>
        <w:t>”, particularly from page 288.  Inter-American Development Bank.</w:t>
      </w:r>
    </w:p>
  </w:footnote>
  <w:footnote w:id="58">
    <w:p w14:paraId="799A0ACC" w14:textId="77777777" w:rsidR="00D15FD8" w:rsidRPr="002F0962" w:rsidRDefault="00D15FD8" w:rsidP="00506E2A">
      <w:pPr>
        <w:pStyle w:val="FootnoteText"/>
        <w:jc w:val="both"/>
        <w:rPr>
          <w:rFonts w:ascii="Arial" w:hAnsi="Arial" w:cs="Arial"/>
          <w:sz w:val="16"/>
          <w:szCs w:val="16"/>
          <w:lang w:val="en-ZA"/>
        </w:rPr>
      </w:pPr>
      <w:r w:rsidRPr="002F0962">
        <w:rPr>
          <w:rStyle w:val="FootnoteReference"/>
          <w:rFonts w:ascii="Arial" w:hAnsi="Arial" w:cs="Arial"/>
          <w:sz w:val="16"/>
          <w:szCs w:val="16"/>
        </w:rPr>
        <w:footnoteRef/>
      </w:r>
      <w:r w:rsidRPr="002F0962">
        <w:rPr>
          <w:rFonts w:ascii="Arial" w:hAnsi="Arial" w:cs="Arial"/>
          <w:sz w:val="16"/>
          <w:szCs w:val="16"/>
        </w:rPr>
        <w:t xml:space="preserve"> For further reading see </w:t>
      </w:r>
      <w:proofErr w:type="spellStart"/>
      <w:r w:rsidRPr="002F0962">
        <w:rPr>
          <w:rFonts w:ascii="Arial" w:hAnsi="Arial" w:cs="Arial"/>
          <w:sz w:val="16"/>
          <w:szCs w:val="16"/>
        </w:rPr>
        <w:t>Uña</w:t>
      </w:r>
      <w:proofErr w:type="spellEnd"/>
      <w:r w:rsidRPr="002F0962">
        <w:rPr>
          <w:rFonts w:ascii="Arial" w:hAnsi="Arial" w:cs="Arial"/>
          <w:sz w:val="16"/>
          <w:szCs w:val="16"/>
        </w:rPr>
        <w:t xml:space="preserve">, G., Allen, R., and </w:t>
      </w:r>
      <w:proofErr w:type="spellStart"/>
      <w:r w:rsidRPr="002F0962">
        <w:rPr>
          <w:rFonts w:ascii="Arial" w:hAnsi="Arial" w:cs="Arial"/>
          <w:sz w:val="16"/>
          <w:szCs w:val="16"/>
        </w:rPr>
        <w:t>Botton</w:t>
      </w:r>
      <w:proofErr w:type="spellEnd"/>
      <w:r w:rsidRPr="002F0962">
        <w:rPr>
          <w:rFonts w:ascii="Arial" w:hAnsi="Arial" w:cs="Arial"/>
          <w:sz w:val="16"/>
          <w:szCs w:val="16"/>
        </w:rPr>
        <w:t>, N. (2019). “</w:t>
      </w:r>
      <w:hyperlink r:id="rId75" w:history="1">
        <w:r w:rsidRPr="002F0962">
          <w:rPr>
            <w:rStyle w:val="Hyperlink"/>
            <w:rFonts w:ascii="Arial" w:hAnsi="Arial" w:cs="Arial"/>
            <w:sz w:val="16"/>
            <w:szCs w:val="16"/>
            <w:lang w:val="en-US"/>
          </w:rPr>
          <w:t>How to Design a Financial Management Information System: A Modular Approach</w:t>
        </w:r>
      </w:hyperlink>
      <w:r w:rsidRPr="002F0962">
        <w:rPr>
          <w:rFonts w:ascii="Arial" w:hAnsi="Arial" w:cs="Arial"/>
          <w:sz w:val="16"/>
          <w:szCs w:val="16"/>
          <w:lang w:val="en-ZA"/>
        </w:rPr>
        <w:t>”. IMF.</w:t>
      </w:r>
    </w:p>
  </w:footnote>
  <w:footnote w:id="59">
    <w:p w14:paraId="4AE58713" w14:textId="77777777" w:rsidR="00D15FD8" w:rsidRPr="003625BA" w:rsidRDefault="00D15FD8" w:rsidP="00E20EAC">
      <w:pPr>
        <w:pStyle w:val="FootnoteText"/>
        <w:jc w:val="both"/>
        <w:rPr>
          <w:rFonts w:ascii="Arial" w:hAnsi="Arial" w:cs="Arial"/>
          <w:sz w:val="16"/>
          <w:szCs w:val="16"/>
          <w:lang w:val="en-ZA"/>
        </w:rPr>
      </w:pPr>
      <w:r w:rsidRPr="002F0962">
        <w:rPr>
          <w:rStyle w:val="FootnoteReference"/>
          <w:rFonts w:ascii="Arial" w:hAnsi="Arial" w:cs="Arial"/>
          <w:sz w:val="16"/>
          <w:szCs w:val="16"/>
        </w:rPr>
        <w:footnoteRef/>
      </w:r>
      <w:r w:rsidRPr="002F0962">
        <w:rPr>
          <w:rFonts w:ascii="Arial" w:hAnsi="Arial" w:cs="Arial"/>
          <w:sz w:val="16"/>
          <w:szCs w:val="16"/>
        </w:rPr>
        <w:t xml:space="preserve"> For a manual on the Chart of Accounts see </w:t>
      </w:r>
      <w:r w:rsidRPr="002F0962">
        <w:rPr>
          <w:rFonts w:ascii="Arial" w:hAnsi="Arial" w:cs="Arial"/>
          <w:sz w:val="16"/>
          <w:szCs w:val="16"/>
          <w:lang w:val="en-ZA"/>
        </w:rPr>
        <w:t xml:space="preserve">Cooper, J., and </w:t>
      </w:r>
      <w:proofErr w:type="spellStart"/>
      <w:r w:rsidRPr="002F0962">
        <w:rPr>
          <w:rFonts w:ascii="Arial" w:hAnsi="Arial" w:cs="Arial"/>
          <w:sz w:val="16"/>
          <w:szCs w:val="16"/>
        </w:rPr>
        <w:t>Pattanayak</w:t>
      </w:r>
      <w:proofErr w:type="spellEnd"/>
      <w:r w:rsidRPr="002F0962">
        <w:rPr>
          <w:rFonts w:ascii="Arial" w:hAnsi="Arial" w:cs="Arial"/>
          <w:sz w:val="16"/>
          <w:szCs w:val="16"/>
        </w:rPr>
        <w:t xml:space="preserve">, </w:t>
      </w:r>
      <w:r w:rsidRPr="002F0962">
        <w:rPr>
          <w:rFonts w:ascii="Arial" w:hAnsi="Arial" w:cs="Arial"/>
          <w:sz w:val="16"/>
          <w:szCs w:val="16"/>
          <w:lang w:val="en-ZA"/>
        </w:rPr>
        <w:t>S.</w:t>
      </w:r>
      <w:r w:rsidRPr="002F0962">
        <w:rPr>
          <w:rFonts w:ascii="Arial" w:hAnsi="Arial" w:cs="Arial"/>
          <w:sz w:val="16"/>
          <w:szCs w:val="16"/>
        </w:rPr>
        <w:t xml:space="preserve"> (2011). “</w:t>
      </w:r>
      <w:hyperlink r:id="rId76" w:history="1">
        <w:r w:rsidRPr="002F0962">
          <w:rPr>
            <w:rStyle w:val="Hyperlink"/>
            <w:rFonts w:ascii="Arial" w:hAnsi="Arial" w:cs="Arial"/>
            <w:sz w:val="16"/>
            <w:szCs w:val="16"/>
          </w:rPr>
          <w:t>Chart of Accounts: A Critical Element of the Public Financial Management Framework</w:t>
        </w:r>
      </w:hyperlink>
      <w:r w:rsidRPr="002F0962">
        <w:rPr>
          <w:rFonts w:ascii="Arial" w:hAnsi="Arial" w:cs="Arial"/>
          <w:sz w:val="16"/>
          <w:szCs w:val="16"/>
        </w:rPr>
        <w:t xml:space="preserve">”. </w:t>
      </w:r>
      <w:r w:rsidRPr="002F0962">
        <w:rPr>
          <w:rFonts w:ascii="Arial" w:hAnsi="Arial" w:cs="Arial"/>
          <w:sz w:val="16"/>
          <w:szCs w:val="16"/>
          <w:lang w:val="en-ZA"/>
        </w:rPr>
        <w:t>IMF. “Box 3. Budgetary Accounting vs. General Financial Accounting – Case of France” on page 8 contains information on the French model used.</w:t>
      </w:r>
    </w:p>
  </w:footnote>
  <w:footnote w:id="60">
    <w:p w14:paraId="571E9764" w14:textId="77777777" w:rsidR="00D15FD8" w:rsidRPr="002F0962" w:rsidRDefault="00D15FD8" w:rsidP="0012666E">
      <w:pPr>
        <w:pStyle w:val="FootnoteText"/>
        <w:jc w:val="both"/>
        <w:rPr>
          <w:rFonts w:ascii="Arial" w:hAnsi="Arial" w:cs="Arial"/>
          <w:sz w:val="16"/>
          <w:szCs w:val="16"/>
          <w:lang w:val="en-ZA"/>
        </w:rPr>
      </w:pPr>
      <w:r w:rsidRPr="002F0962">
        <w:rPr>
          <w:rStyle w:val="FootnoteReference"/>
          <w:rFonts w:ascii="Arial" w:hAnsi="Arial" w:cs="Arial"/>
          <w:sz w:val="16"/>
          <w:szCs w:val="16"/>
        </w:rPr>
        <w:footnoteRef/>
      </w:r>
      <w:r w:rsidRPr="002F0962">
        <w:rPr>
          <w:rFonts w:ascii="Arial" w:hAnsi="Arial" w:cs="Arial"/>
          <w:sz w:val="16"/>
          <w:szCs w:val="16"/>
        </w:rPr>
        <w:t xml:space="preserve"> </w:t>
      </w:r>
      <w:proofErr w:type="spellStart"/>
      <w:r w:rsidRPr="002F0962">
        <w:rPr>
          <w:rFonts w:ascii="Arial" w:hAnsi="Arial" w:cs="Arial"/>
          <w:bCs/>
          <w:sz w:val="16"/>
          <w:szCs w:val="16"/>
          <w:lang w:val="en-ZA"/>
        </w:rPr>
        <w:t>Dener</w:t>
      </w:r>
      <w:proofErr w:type="spellEnd"/>
      <w:r w:rsidRPr="002F0962">
        <w:rPr>
          <w:rFonts w:ascii="Arial" w:hAnsi="Arial" w:cs="Arial"/>
          <w:bCs/>
          <w:sz w:val="16"/>
          <w:szCs w:val="16"/>
          <w:lang w:val="en-ZA"/>
        </w:rPr>
        <w:t>, C., and Min, S.Y. (2013). “</w:t>
      </w:r>
      <w:hyperlink r:id="rId77" w:history="1">
        <w:r w:rsidRPr="002F0962">
          <w:rPr>
            <w:rStyle w:val="Hyperlink"/>
            <w:rFonts w:ascii="Arial" w:hAnsi="Arial" w:cs="Arial"/>
            <w:bCs/>
            <w:sz w:val="16"/>
            <w:szCs w:val="16"/>
            <w:lang w:val="en-ZA"/>
          </w:rPr>
          <w:t>Financial Management Information Systems and Open Budget Data: Do Governments Report on Where the Money Goes</w:t>
        </w:r>
      </w:hyperlink>
      <w:r w:rsidRPr="002F0962">
        <w:rPr>
          <w:rFonts w:ascii="Arial" w:hAnsi="Arial" w:cs="Arial"/>
          <w:bCs/>
          <w:sz w:val="16"/>
          <w:szCs w:val="16"/>
          <w:lang w:val="en-ZA"/>
        </w:rPr>
        <w:t xml:space="preserve">?” World Bank. For challenges of FMIS see also </w:t>
      </w:r>
      <w:proofErr w:type="spellStart"/>
      <w:r w:rsidRPr="002F0962">
        <w:rPr>
          <w:rFonts w:ascii="Arial" w:hAnsi="Arial" w:cs="Arial"/>
          <w:bCs/>
          <w:sz w:val="16"/>
          <w:szCs w:val="16"/>
        </w:rPr>
        <w:t>Uña</w:t>
      </w:r>
      <w:proofErr w:type="spellEnd"/>
      <w:r w:rsidRPr="002F0962">
        <w:rPr>
          <w:rFonts w:ascii="Arial" w:hAnsi="Arial" w:cs="Arial"/>
          <w:bCs/>
          <w:sz w:val="16"/>
          <w:szCs w:val="16"/>
        </w:rPr>
        <w:t xml:space="preserve">, G., Allen R., and </w:t>
      </w:r>
      <w:proofErr w:type="spellStart"/>
      <w:r w:rsidRPr="002F0962">
        <w:rPr>
          <w:rFonts w:ascii="Arial" w:hAnsi="Arial" w:cs="Arial"/>
          <w:bCs/>
          <w:sz w:val="16"/>
          <w:szCs w:val="16"/>
        </w:rPr>
        <w:t>Botton</w:t>
      </w:r>
      <w:proofErr w:type="spellEnd"/>
      <w:r w:rsidRPr="002F0962">
        <w:rPr>
          <w:rFonts w:ascii="Arial" w:hAnsi="Arial" w:cs="Arial"/>
          <w:bCs/>
          <w:sz w:val="16"/>
          <w:szCs w:val="16"/>
        </w:rPr>
        <w:t>, N. (2019). “</w:t>
      </w:r>
      <w:hyperlink r:id="rId78" w:history="1">
        <w:r w:rsidRPr="002F0962">
          <w:rPr>
            <w:rStyle w:val="Hyperlink"/>
            <w:rFonts w:ascii="Arial" w:hAnsi="Arial" w:cs="Arial"/>
            <w:bCs/>
            <w:sz w:val="16"/>
            <w:szCs w:val="16"/>
            <w:lang w:val="en-US"/>
          </w:rPr>
          <w:t>How to Design a Financial Management Information System: A Modular Approach</w:t>
        </w:r>
      </w:hyperlink>
      <w:r w:rsidRPr="002F0962">
        <w:rPr>
          <w:rFonts w:ascii="Arial" w:hAnsi="Arial" w:cs="Arial"/>
          <w:bCs/>
          <w:sz w:val="16"/>
          <w:szCs w:val="16"/>
          <w:lang w:val="en-ZA"/>
        </w:rPr>
        <w:t>”. IMF.</w:t>
      </w:r>
    </w:p>
  </w:footnote>
  <w:footnote w:id="61">
    <w:p w14:paraId="4BA2C22D" w14:textId="77777777" w:rsidR="00D15FD8" w:rsidRPr="003625BA" w:rsidRDefault="00D15FD8" w:rsidP="0012666E">
      <w:pPr>
        <w:pStyle w:val="FootnoteText"/>
        <w:jc w:val="both"/>
        <w:rPr>
          <w:rFonts w:ascii="Arial" w:hAnsi="Arial" w:cs="Arial"/>
          <w:sz w:val="16"/>
          <w:szCs w:val="16"/>
          <w:lang w:val="en-ZA"/>
        </w:rPr>
      </w:pPr>
      <w:r w:rsidRPr="002F0962">
        <w:rPr>
          <w:rStyle w:val="FootnoteReference"/>
          <w:rFonts w:ascii="Arial" w:hAnsi="Arial" w:cs="Arial"/>
          <w:sz w:val="16"/>
          <w:szCs w:val="16"/>
        </w:rPr>
        <w:footnoteRef/>
      </w:r>
      <w:r w:rsidRPr="002F0962">
        <w:rPr>
          <w:rFonts w:ascii="Arial" w:hAnsi="Arial" w:cs="Arial"/>
          <w:sz w:val="16"/>
          <w:szCs w:val="16"/>
        </w:rPr>
        <w:t xml:space="preserve"> </w:t>
      </w:r>
      <w:r w:rsidRPr="002F0962">
        <w:rPr>
          <w:rFonts w:ascii="Arial" w:hAnsi="Arial" w:cs="Arial"/>
          <w:sz w:val="16"/>
          <w:szCs w:val="16"/>
          <w:lang w:val="en-ZA"/>
        </w:rPr>
        <w:t xml:space="preserve">For more information and tools visit the World Bank’s </w:t>
      </w:r>
      <w:hyperlink r:id="rId79" w:history="1">
        <w:r w:rsidRPr="002F0962">
          <w:rPr>
            <w:rStyle w:val="Hyperlink"/>
            <w:rFonts w:ascii="Arial" w:hAnsi="Arial" w:cs="Arial"/>
            <w:sz w:val="16"/>
            <w:szCs w:val="16"/>
            <w:lang w:val="en-ZA"/>
          </w:rPr>
          <w:t>FMIS webpage</w:t>
        </w:r>
      </w:hyperlink>
      <w:r w:rsidRPr="002F0962">
        <w:rPr>
          <w:rFonts w:ascii="Arial" w:hAnsi="Arial" w:cs="Arial"/>
          <w:sz w:val="16"/>
          <w:szCs w:val="16"/>
          <w:lang w:val="en-ZA"/>
        </w:rPr>
        <w:t>.</w:t>
      </w:r>
    </w:p>
  </w:footnote>
  <w:footnote w:id="62">
    <w:p w14:paraId="5A119925" w14:textId="77777777" w:rsidR="00D15FD8" w:rsidRPr="002F0962" w:rsidRDefault="00D15FD8" w:rsidP="00632DF3">
      <w:pPr>
        <w:pStyle w:val="FootnoteText"/>
        <w:rPr>
          <w:rFonts w:ascii="Arial" w:hAnsi="Arial" w:cs="Arial"/>
          <w:sz w:val="16"/>
          <w:szCs w:val="16"/>
        </w:rPr>
      </w:pPr>
      <w:r w:rsidRPr="002F0962">
        <w:rPr>
          <w:rStyle w:val="FootnoteReference"/>
          <w:rFonts w:ascii="Arial" w:hAnsi="Arial" w:cs="Arial"/>
          <w:sz w:val="16"/>
          <w:szCs w:val="16"/>
        </w:rPr>
        <w:footnoteRef/>
      </w:r>
      <w:r w:rsidRPr="002F0962">
        <w:rPr>
          <w:rFonts w:ascii="Arial" w:hAnsi="Arial" w:cs="Arial"/>
          <w:sz w:val="16"/>
          <w:szCs w:val="16"/>
        </w:rPr>
        <w:t xml:space="preserve"> For further reading, examples and case studies see: </w:t>
      </w:r>
    </w:p>
    <w:p w14:paraId="702D11A8" w14:textId="77777777" w:rsidR="00D15FD8" w:rsidRPr="003625BA" w:rsidRDefault="00D15FD8" w:rsidP="006D0D9D">
      <w:pPr>
        <w:pStyle w:val="FootnoteText"/>
        <w:jc w:val="both"/>
        <w:rPr>
          <w:rFonts w:ascii="Arial" w:hAnsi="Arial" w:cs="Arial"/>
          <w:sz w:val="16"/>
          <w:szCs w:val="16"/>
          <w:lang w:val="en-ZA"/>
        </w:rPr>
      </w:pPr>
      <w:proofErr w:type="spellStart"/>
      <w:r w:rsidRPr="002F0962">
        <w:rPr>
          <w:rFonts w:ascii="Arial" w:hAnsi="Arial" w:cs="Arial"/>
          <w:sz w:val="16"/>
          <w:szCs w:val="16"/>
          <w:lang w:val="en-US"/>
        </w:rPr>
        <w:t>Dener</w:t>
      </w:r>
      <w:proofErr w:type="spellEnd"/>
      <w:r w:rsidRPr="002F0962">
        <w:rPr>
          <w:rFonts w:ascii="Arial" w:hAnsi="Arial" w:cs="Arial"/>
          <w:sz w:val="16"/>
          <w:szCs w:val="16"/>
          <w:lang w:val="en-US"/>
        </w:rPr>
        <w:t xml:space="preserve">, C., Watkins, J.A., and </w:t>
      </w:r>
      <w:proofErr w:type="spellStart"/>
      <w:r w:rsidRPr="002F0962">
        <w:rPr>
          <w:rFonts w:ascii="Arial" w:hAnsi="Arial" w:cs="Arial"/>
          <w:sz w:val="16"/>
          <w:szCs w:val="16"/>
          <w:lang w:val="en-US"/>
        </w:rPr>
        <w:t>Dorotinsky</w:t>
      </w:r>
      <w:proofErr w:type="spellEnd"/>
      <w:r w:rsidRPr="002F0962">
        <w:rPr>
          <w:rFonts w:ascii="Arial" w:hAnsi="Arial" w:cs="Arial"/>
          <w:sz w:val="16"/>
          <w:szCs w:val="16"/>
          <w:lang w:val="en-US"/>
        </w:rPr>
        <w:t xml:space="preserve">, W.L. </w:t>
      </w:r>
      <w:r w:rsidRPr="002F0962">
        <w:rPr>
          <w:rFonts w:ascii="Arial" w:hAnsi="Arial" w:cs="Arial"/>
          <w:bCs/>
          <w:sz w:val="16"/>
          <w:szCs w:val="16"/>
        </w:rPr>
        <w:t>(2011). “</w:t>
      </w:r>
      <w:hyperlink r:id="rId80" w:history="1">
        <w:r w:rsidRPr="002F0962">
          <w:rPr>
            <w:rStyle w:val="Hyperlink"/>
            <w:rFonts w:ascii="Arial" w:hAnsi="Arial" w:cs="Arial"/>
            <w:sz w:val="16"/>
            <w:szCs w:val="16"/>
            <w:lang w:val="en-US"/>
          </w:rPr>
          <w:t>Financial Management Information Systems: 25 Years of World Bank Experience of What Works and What Doesn’t</w:t>
        </w:r>
      </w:hyperlink>
      <w:r w:rsidRPr="002F0962">
        <w:rPr>
          <w:rFonts w:ascii="Arial" w:hAnsi="Arial" w:cs="Arial"/>
          <w:sz w:val="16"/>
          <w:szCs w:val="16"/>
          <w:lang w:val="en-US"/>
        </w:rPr>
        <w:t>.</w:t>
      </w:r>
      <w:r w:rsidRPr="002F0962">
        <w:rPr>
          <w:rFonts w:ascii="Arial" w:hAnsi="Arial" w:cs="Arial"/>
          <w:bCs/>
          <w:sz w:val="16"/>
          <w:szCs w:val="16"/>
          <w:lang w:val="en-ZA"/>
        </w:rPr>
        <w:t>” World Bank.</w:t>
      </w:r>
    </w:p>
  </w:footnote>
  <w:footnote w:id="63">
    <w:p w14:paraId="0C0B457B" w14:textId="77777777" w:rsidR="00D15FD8" w:rsidRPr="002F0962" w:rsidRDefault="00D15FD8" w:rsidP="00632DF3">
      <w:pPr>
        <w:pStyle w:val="FootnoteText"/>
        <w:jc w:val="both"/>
        <w:rPr>
          <w:rFonts w:ascii="Arial" w:hAnsi="Arial" w:cs="Arial"/>
          <w:sz w:val="16"/>
          <w:szCs w:val="16"/>
          <w:lang w:val="en-ZA"/>
        </w:rPr>
      </w:pPr>
      <w:r w:rsidRPr="002F0962">
        <w:rPr>
          <w:rStyle w:val="FootnoteReference"/>
          <w:rFonts w:ascii="Arial" w:hAnsi="Arial" w:cs="Arial"/>
          <w:sz w:val="16"/>
          <w:szCs w:val="16"/>
        </w:rPr>
        <w:footnoteRef/>
      </w:r>
      <w:r w:rsidRPr="002F0962">
        <w:rPr>
          <w:rFonts w:ascii="Arial" w:hAnsi="Arial" w:cs="Arial"/>
          <w:sz w:val="16"/>
          <w:szCs w:val="16"/>
        </w:rPr>
        <w:t xml:space="preserve"> For further reading</w:t>
      </w:r>
      <w:r w:rsidRPr="002F0962">
        <w:rPr>
          <w:rFonts w:ascii="Arial" w:hAnsi="Arial" w:cs="Arial"/>
          <w:sz w:val="16"/>
          <w:szCs w:val="16"/>
          <w:lang w:val="en-ZA"/>
        </w:rPr>
        <w:t xml:space="preserve"> see:</w:t>
      </w:r>
    </w:p>
    <w:p w14:paraId="27754572" w14:textId="77777777" w:rsidR="00D15FD8" w:rsidRPr="002F0962" w:rsidRDefault="00D15FD8" w:rsidP="00632DF3">
      <w:pPr>
        <w:pStyle w:val="FootnoteText"/>
        <w:jc w:val="both"/>
        <w:rPr>
          <w:rFonts w:ascii="Arial" w:hAnsi="Arial" w:cs="Arial"/>
          <w:bCs/>
          <w:sz w:val="16"/>
          <w:szCs w:val="16"/>
          <w:lang w:val="en-ZA"/>
        </w:rPr>
      </w:pPr>
      <w:r w:rsidRPr="002F0962">
        <w:rPr>
          <w:rFonts w:ascii="Arial" w:hAnsi="Arial" w:cs="Arial"/>
          <w:sz w:val="16"/>
          <w:szCs w:val="16"/>
          <w:lang w:val="en-ZA"/>
        </w:rPr>
        <w:t xml:space="preserve">Hashim, A. and </w:t>
      </w:r>
      <w:proofErr w:type="spellStart"/>
      <w:r w:rsidRPr="002F0962">
        <w:rPr>
          <w:rFonts w:ascii="Arial" w:hAnsi="Arial" w:cs="Arial"/>
          <w:sz w:val="16"/>
          <w:szCs w:val="16"/>
          <w:lang w:val="en-ZA"/>
        </w:rPr>
        <w:t>Piatti</w:t>
      </w:r>
      <w:proofErr w:type="spellEnd"/>
      <w:r w:rsidRPr="002F0962">
        <w:rPr>
          <w:rFonts w:ascii="Arial" w:hAnsi="Arial" w:cs="Arial"/>
          <w:sz w:val="16"/>
          <w:szCs w:val="16"/>
          <w:lang w:val="en-ZA"/>
        </w:rPr>
        <w:t>, M. (2016). “</w:t>
      </w:r>
      <w:hyperlink r:id="rId81" w:history="1">
        <w:r w:rsidRPr="002F0962">
          <w:rPr>
            <w:rStyle w:val="Hyperlink"/>
            <w:rFonts w:ascii="Arial" w:hAnsi="Arial" w:cs="Arial"/>
            <w:bCs/>
            <w:sz w:val="16"/>
            <w:szCs w:val="16"/>
            <w:lang w:val="en-ZA"/>
          </w:rPr>
          <w:t>A Diagnostic Framework to Assess the Capacity of a Government's Financial Management Information System as a Budget Management Tool</w:t>
        </w:r>
      </w:hyperlink>
      <w:r w:rsidRPr="002F0962">
        <w:rPr>
          <w:rFonts w:ascii="Arial" w:hAnsi="Arial" w:cs="Arial"/>
          <w:bCs/>
          <w:sz w:val="16"/>
          <w:szCs w:val="16"/>
          <w:lang w:val="en-ZA"/>
        </w:rPr>
        <w:t>”.  World Bank.</w:t>
      </w:r>
    </w:p>
    <w:p w14:paraId="58F5DE02" w14:textId="77777777" w:rsidR="00D15FD8" w:rsidRPr="002F0962" w:rsidRDefault="00D15FD8" w:rsidP="00632DF3">
      <w:pPr>
        <w:pStyle w:val="FootnoteText"/>
        <w:jc w:val="both"/>
        <w:rPr>
          <w:rFonts w:ascii="Arial" w:hAnsi="Arial" w:cs="Arial"/>
          <w:sz w:val="16"/>
          <w:szCs w:val="16"/>
          <w:lang w:val="en-ZA"/>
        </w:rPr>
      </w:pPr>
      <w:proofErr w:type="spellStart"/>
      <w:r w:rsidRPr="002F0962">
        <w:rPr>
          <w:rFonts w:ascii="Arial" w:hAnsi="Arial" w:cs="Arial"/>
          <w:sz w:val="16"/>
          <w:szCs w:val="16"/>
        </w:rPr>
        <w:t>Piatti</w:t>
      </w:r>
      <w:proofErr w:type="spellEnd"/>
      <w:r w:rsidRPr="002F0962">
        <w:rPr>
          <w:rFonts w:ascii="Arial" w:hAnsi="Arial" w:cs="Arial"/>
          <w:sz w:val="16"/>
          <w:szCs w:val="16"/>
        </w:rPr>
        <w:t>, M., Hashim, A., and Wescott, C.G. (2017). “</w:t>
      </w:r>
      <w:hyperlink r:id="rId82" w:history="1">
        <w:r w:rsidRPr="002F0962">
          <w:rPr>
            <w:rStyle w:val="Hyperlink"/>
            <w:rFonts w:ascii="Arial" w:hAnsi="Arial" w:cs="Arial"/>
            <w:sz w:val="16"/>
            <w:szCs w:val="16"/>
          </w:rPr>
          <w:t>Using Financial Management Information Systems (FMIS) for Fiscal Control: Applying a Risk-Based Approach for Early Results in the Reform Process</w:t>
        </w:r>
      </w:hyperlink>
      <w:r w:rsidRPr="002F0962">
        <w:rPr>
          <w:rFonts w:ascii="Arial" w:hAnsi="Arial" w:cs="Arial"/>
          <w:sz w:val="16"/>
          <w:szCs w:val="16"/>
        </w:rPr>
        <w:t>”. SSRN.</w:t>
      </w:r>
    </w:p>
  </w:footnote>
  <w:footnote w:id="64">
    <w:p w14:paraId="6B52EA62" w14:textId="77777777" w:rsidR="00D15FD8" w:rsidRPr="00691BB1" w:rsidRDefault="00D15FD8" w:rsidP="00632DF3">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See also GIFT’s Webinar titled “</w:t>
      </w:r>
      <w:hyperlink r:id="rId83" w:history="1">
        <w:r w:rsidRPr="00691BB1">
          <w:rPr>
            <w:rStyle w:val="Hyperlink"/>
            <w:rFonts w:ascii="Arial" w:hAnsi="Arial" w:cs="Arial"/>
            <w:sz w:val="16"/>
            <w:szCs w:val="16"/>
            <w:lang w:val="en-ZA"/>
          </w:rPr>
          <w:t>Good internal systems for good fiscal transparency</w:t>
        </w:r>
      </w:hyperlink>
      <w:r w:rsidRPr="00691BB1">
        <w:rPr>
          <w:rFonts w:ascii="Arial" w:hAnsi="Arial" w:cs="Arial"/>
          <w:sz w:val="16"/>
          <w:szCs w:val="16"/>
          <w:lang w:val="en-ZA"/>
        </w:rPr>
        <w:t>.” (2019).</w:t>
      </w:r>
    </w:p>
  </w:footnote>
  <w:footnote w:id="65">
    <w:p w14:paraId="66F6B4E0" w14:textId="77777777" w:rsidR="00D15FD8" w:rsidRPr="00691BB1" w:rsidRDefault="00D15FD8" w:rsidP="00632DF3">
      <w:pPr>
        <w:pStyle w:val="FootnoteText"/>
        <w:jc w:val="both"/>
        <w:rPr>
          <w:rFonts w:ascii="Arial" w:hAnsi="Arial" w:cs="Arial"/>
          <w:bCs/>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For further reading</w:t>
      </w:r>
      <w:r w:rsidRPr="00691BB1">
        <w:rPr>
          <w:rFonts w:ascii="Arial" w:hAnsi="Arial" w:cs="Arial"/>
          <w:bCs/>
          <w:sz w:val="16"/>
          <w:szCs w:val="16"/>
          <w:lang w:val="en-ZA"/>
        </w:rPr>
        <w:t xml:space="preserve"> see: Financial Management Information Systems Community of Practice (2015). “</w:t>
      </w:r>
      <w:hyperlink r:id="rId84" w:history="1">
        <w:r w:rsidRPr="00691BB1">
          <w:rPr>
            <w:rStyle w:val="Hyperlink"/>
            <w:rFonts w:ascii="Arial" w:hAnsi="Arial" w:cs="Arial"/>
            <w:bCs/>
            <w:sz w:val="16"/>
            <w:szCs w:val="16"/>
            <w:lang w:val="en-ZA"/>
          </w:rPr>
          <w:t>Managing Change in PFM System Reforms: A Guide for Practitioners</w:t>
        </w:r>
      </w:hyperlink>
      <w:r w:rsidRPr="00691BB1">
        <w:rPr>
          <w:rFonts w:ascii="Arial" w:hAnsi="Arial" w:cs="Arial"/>
          <w:bCs/>
          <w:sz w:val="16"/>
          <w:szCs w:val="16"/>
          <w:lang w:val="en-ZA"/>
        </w:rPr>
        <w:t xml:space="preserve">.” World Bank. </w:t>
      </w:r>
    </w:p>
    <w:p w14:paraId="2185D835" w14:textId="77777777" w:rsidR="00D15FD8" w:rsidRPr="00691BB1" w:rsidRDefault="00D15FD8" w:rsidP="00632DF3">
      <w:pPr>
        <w:pStyle w:val="FootnoteText"/>
        <w:jc w:val="both"/>
        <w:rPr>
          <w:rFonts w:ascii="Arial" w:hAnsi="Arial" w:cs="Arial"/>
          <w:sz w:val="16"/>
          <w:szCs w:val="16"/>
          <w:lang w:val="en-ZA"/>
        </w:rPr>
      </w:pPr>
      <w:r w:rsidRPr="00691BB1">
        <w:rPr>
          <w:rFonts w:ascii="Arial" w:hAnsi="Arial" w:cs="Arial"/>
          <w:sz w:val="16"/>
          <w:szCs w:val="16"/>
          <w:lang w:val="en-ZA"/>
        </w:rPr>
        <w:t>Hashim, A.,</w:t>
      </w:r>
      <w:r w:rsidRPr="00691BB1">
        <w:rPr>
          <w:rFonts w:ascii="Arial" w:hAnsi="Arial" w:cs="Arial"/>
          <w:sz w:val="16"/>
          <w:szCs w:val="16"/>
        </w:rPr>
        <w:t xml:space="preserve"> </w:t>
      </w:r>
      <w:r w:rsidRPr="00691BB1">
        <w:rPr>
          <w:rFonts w:ascii="Arial" w:hAnsi="Arial" w:cs="Arial"/>
          <w:sz w:val="16"/>
          <w:szCs w:val="16"/>
          <w:lang w:val="en-ZA"/>
        </w:rPr>
        <w:t xml:space="preserve">and </w:t>
      </w:r>
      <w:proofErr w:type="spellStart"/>
      <w:r w:rsidRPr="00691BB1">
        <w:rPr>
          <w:rFonts w:ascii="Arial" w:hAnsi="Arial" w:cs="Arial"/>
          <w:sz w:val="16"/>
          <w:szCs w:val="16"/>
          <w:lang w:val="en-ZA"/>
        </w:rPr>
        <w:t>Piatti-Fünfkirchen</w:t>
      </w:r>
      <w:proofErr w:type="spellEnd"/>
      <w:r w:rsidRPr="00691BB1">
        <w:rPr>
          <w:rFonts w:ascii="Arial" w:hAnsi="Arial" w:cs="Arial"/>
          <w:sz w:val="16"/>
          <w:szCs w:val="16"/>
          <w:lang w:val="en-ZA"/>
        </w:rPr>
        <w:t>, M. (2018). “</w:t>
      </w:r>
      <w:hyperlink r:id="rId85" w:history="1">
        <w:r w:rsidRPr="00691BB1">
          <w:rPr>
            <w:rStyle w:val="Hyperlink"/>
            <w:rFonts w:ascii="Arial" w:hAnsi="Arial" w:cs="Arial"/>
            <w:sz w:val="16"/>
            <w:szCs w:val="16"/>
            <w:lang w:val="en-ZA"/>
          </w:rPr>
          <w:t>Lessons from Reforming Financial Management Information Systems: A Review of the Evidence</w:t>
        </w:r>
      </w:hyperlink>
      <w:r w:rsidRPr="00691BB1">
        <w:rPr>
          <w:rFonts w:ascii="Arial" w:hAnsi="Arial" w:cs="Arial"/>
          <w:sz w:val="16"/>
          <w:szCs w:val="16"/>
          <w:lang w:val="en-ZA"/>
        </w:rPr>
        <w:t>.” World Bank Policy Research Working Paper 8312, World Bank.</w:t>
      </w:r>
    </w:p>
    <w:p w14:paraId="26C43323" w14:textId="77777777" w:rsidR="00D15FD8" w:rsidRPr="003625BA" w:rsidRDefault="00D15FD8" w:rsidP="00632DF3">
      <w:pPr>
        <w:pStyle w:val="FootnoteText"/>
        <w:rPr>
          <w:rFonts w:ascii="Arial" w:hAnsi="Arial" w:cs="Arial"/>
          <w:sz w:val="16"/>
          <w:szCs w:val="16"/>
          <w:lang w:val="en-ZA"/>
        </w:rPr>
      </w:pPr>
    </w:p>
  </w:footnote>
  <w:footnote w:id="66">
    <w:p w14:paraId="50D8FE48" w14:textId="77777777" w:rsidR="00D15FD8" w:rsidRPr="00691BB1" w:rsidRDefault="00D15FD8" w:rsidP="00EF29A3">
      <w:pPr>
        <w:pStyle w:val="FootnoteText"/>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Tim Berners-Lee (S.F.) </w:t>
      </w:r>
      <w:hyperlink r:id="rId86" w:history="1">
        <w:r w:rsidRPr="00691BB1">
          <w:rPr>
            <w:rStyle w:val="Hyperlink"/>
            <w:rFonts w:ascii="Arial" w:hAnsi="Arial" w:cs="Arial"/>
            <w:sz w:val="16"/>
            <w:szCs w:val="16"/>
          </w:rPr>
          <w:t>Five-Star Linked Open Data</w:t>
        </w:r>
      </w:hyperlink>
      <w:r w:rsidRPr="00691BB1">
        <w:rPr>
          <w:rFonts w:ascii="Arial" w:hAnsi="Arial" w:cs="Arial"/>
          <w:sz w:val="16"/>
          <w:szCs w:val="16"/>
        </w:rPr>
        <w:t xml:space="preserve">. </w:t>
      </w:r>
    </w:p>
  </w:footnote>
  <w:footnote w:id="67">
    <w:p w14:paraId="2F9FE580" w14:textId="77777777" w:rsidR="00D15FD8" w:rsidRPr="003625BA" w:rsidRDefault="00D15FD8" w:rsidP="00EF29A3">
      <w:pPr>
        <w:pStyle w:val="FootnoteText"/>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For practical examples on each level see GIFT’s </w:t>
      </w:r>
      <w:hyperlink r:id="rId87" w:history="1">
        <w:r w:rsidRPr="00691BB1">
          <w:rPr>
            <w:rStyle w:val="Hyperlink"/>
            <w:rFonts w:ascii="Arial" w:hAnsi="Arial" w:cs="Arial"/>
            <w:sz w:val="16"/>
            <w:szCs w:val="16"/>
          </w:rPr>
          <w:t>Open Data Tutorial</w:t>
        </w:r>
      </w:hyperlink>
      <w:r w:rsidRPr="00691BB1">
        <w:rPr>
          <w:rFonts w:ascii="Arial" w:hAnsi="Arial" w:cs="Arial"/>
          <w:sz w:val="16"/>
          <w:szCs w:val="16"/>
          <w:lang w:val="en-ZA"/>
        </w:rPr>
        <w:t>.</w:t>
      </w:r>
    </w:p>
  </w:footnote>
  <w:footnote w:id="68">
    <w:p w14:paraId="4B5D996E" w14:textId="77777777" w:rsidR="00D15FD8" w:rsidRPr="00691BB1" w:rsidRDefault="00D15FD8" w:rsidP="004C0F58">
      <w:pPr>
        <w:pStyle w:val="FootnoteText"/>
        <w:jc w:val="both"/>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US"/>
        </w:rPr>
        <w:t xml:space="preserve">This resource identiﬁer has a standard format: schema://machine/directory/ </w:t>
      </w:r>
      <w:proofErr w:type="spellStart"/>
      <w:r w:rsidRPr="00691BB1">
        <w:rPr>
          <w:rFonts w:ascii="Arial" w:hAnsi="Arial" w:cs="Arial"/>
          <w:sz w:val="16"/>
          <w:szCs w:val="16"/>
          <w:lang w:val="en-US"/>
        </w:rPr>
        <w:t>ﬁle#fragment</w:t>
      </w:r>
      <w:proofErr w:type="spellEnd"/>
      <w:r w:rsidRPr="00691BB1">
        <w:rPr>
          <w:rFonts w:ascii="Arial" w:hAnsi="Arial" w:cs="Arial"/>
          <w:sz w:val="16"/>
          <w:szCs w:val="16"/>
          <w:lang w:val="en-US"/>
        </w:rPr>
        <w:t>. The URI should not be confused with the URL, since the URIs identify and the URLs provide network locations. Since locations also serve to identify, it can be said that all the URLs are also URIs, while there are URIs that are not URLs.</w:t>
      </w:r>
    </w:p>
  </w:footnote>
  <w:footnote w:id="69">
    <w:p w14:paraId="6D6F611E" w14:textId="77777777" w:rsidR="00D15FD8" w:rsidRPr="003625BA" w:rsidRDefault="00D15FD8" w:rsidP="0057772A">
      <w:pPr>
        <w:pStyle w:val="FootnoteText"/>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lang w:val="en-ZA"/>
        </w:rPr>
        <w:t xml:space="preserve"> This </w:t>
      </w:r>
      <w:hyperlink r:id="rId88" w:history="1">
        <w:r w:rsidRPr="00691BB1">
          <w:rPr>
            <w:rStyle w:val="Hyperlink"/>
            <w:rFonts w:ascii="Arial" w:hAnsi="Arial" w:cs="Arial"/>
            <w:sz w:val="16"/>
            <w:szCs w:val="16"/>
            <w:lang w:val="en-ZA"/>
          </w:rPr>
          <w:t>link</w:t>
        </w:r>
      </w:hyperlink>
      <w:r w:rsidRPr="00691BB1">
        <w:rPr>
          <w:rFonts w:ascii="Arial" w:hAnsi="Arial" w:cs="Arial"/>
          <w:sz w:val="16"/>
          <w:szCs w:val="16"/>
          <w:lang w:val="en-ZA"/>
        </w:rPr>
        <w:t xml:space="preserve"> within the portal provides some studies of the impact of open data.</w:t>
      </w:r>
    </w:p>
  </w:footnote>
  <w:footnote w:id="70">
    <w:p w14:paraId="5E01CBEB" w14:textId="77777777" w:rsidR="00D15FD8" w:rsidRPr="00691BB1" w:rsidRDefault="00D15FD8" w:rsidP="00282EFC">
      <w:pPr>
        <w:pStyle w:val="FootnoteText"/>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For further reading see:</w:t>
      </w:r>
      <w:r w:rsidRPr="00691BB1">
        <w:rPr>
          <w:rFonts w:ascii="Arial" w:hAnsi="Arial" w:cs="Arial"/>
          <w:sz w:val="16"/>
          <w:szCs w:val="16"/>
          <w:vertAlign w:val="superscript"/>
        </w:rPr>
        <w:t xml:space="preserve"> “</w:t>
      </w:r>
      <w:hyperlink r:id="rId89" w:anchor=":~:text=The%20new%20report%20builds%20on,data%20when%20it%20is%20open." w:history="1">
        <w:r w:rsidRPr="00691BB1">
          <w:rPr>
            <w:rStyle w:val="Hyperlink"/>
            <w:rFonts w:ascii="Arial" w:hAnsi="Arial" w:cs="Arial"/>
            <w:bCs/>
            <w:sz w:val="16"/>
            <w:szCs w:val="16"/>
            <w:lang w:val="en-US"/>
          </w:rPr>
          <w:t>Research: The economic value of open versus paid data</w:t>
        </w:r>
      </w:hyperlink>
      <w:r w:rsidRPr="00691BB1">
        <w:rPr>
          <w:rFonts w:ascii="Arial" w:hAnsi="Arial" w:cs="Arial"/>
          <w:bCs/>
          <w:sz w:val="16"/>
          <w:szCs w:val="16"/>
          <w:lang w:val="en-US"/>
        </w:rPr>
        <w:t>”</w:t>
      </w:r>
      <w:r w:rsidRPr="00691BB1">
        <w:rPr>
          <w:rFonts w:ascii="Arial" w:hAnsi="Arial" w:cs="Arial"/>
          <w:sz w:val="16"/>
          <w:szCs w:val="16"/>
        </w:rPr>
        <w:t xml:space="preserve">. </w:t>
      </w:r>
      <w:r w:rsidRPr="00691BB1">
        <w:rPr>
          <w:rFonts w:ascii="Arial" w:hAnsi="Arial" w:cs="Arial"/>
          <w:sz w:val="16"/>
          <w:szCs w:val="16"/>
          <w:lang w:val="en-ZA"/>
        </w:rPr>
        <w:t>Open Data Institute Blog</w:t>
      </w:r>
      <w:r w:rsidRPr="00691BB1">
        <w:rPr>
          <w:rFonts w:ascii="Arial" w:hAnsi="Arial" w:cs="Arial"/>
          <w:sz w:val="16"/>
          <w:szCs w:val="16"/>
        </w:rPr>
        <w:t xml:space="preserve"> (2016).</w:t>
      </w:r>
    </w:p>
  </w:footnote>
  <w:footnote w:id="71">
    <w:p w14:paraId="2B9F254D" w14:textId="77777777" w:rsidR="00D15FD8" w:rsidRPr="00691BB1" w:rsidRDefault="00D15FD8" w:rsidP="00282EFC">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For links to research on the benefits of open data and additional reading see the second section of the World Bank’s Open Budget Data Toolkit on this </w:t>
      </w:r>
      <w:hyperlink r:id="rId90" w:history="1">
        <w:r w:rsidRPr="00691BB1">
          <w:rPr>
            <w:rStyle w:val="Hyperlink"/>
            <w:rFonts w:ascii="Arial" w:hAnsi="Arial" w:cs="Arial"/>
            <w:sz w:val="16"/>
            <w:szCs w:val="16"/>
            <w:lang w:val="en-ZA"/>
          </w:rPr>
          <w:t>link</w:t>
        </w:r>
      </w:hyperlink>
      <w:r w:rsidRPr="00691BB1">
        <w:rPr>
          <w:rFonts w:ascii="Arial" w:hAnsi="Arial" w:cs="Arial"/>
          <w:sz w:val="16"/>
          <w:szCs w:val="16"/>
          <w:lang w:val="en-ZA"/>
        </w:rPr>
        <w:t xml:space="preserve">. </w:t>
      </w:r>
    </w:p>
  </w:footnote>
  <w:footnote w:id="72">
    <w:p w14:paraId="1151847A" w14:textId="77777777" w:rsidR="00D15FD8" w:rsidRPr="00691BB1" w:rsidRDefault="00D15FD8" w:rsidP="00B71C41">
      <w:pPr>
        <w:pStyle w:val="FootnoteText"/>
        <w:rPr>
          <w:rFonts w:ascii="Arial" w:hAnsi="Arial" w:cs="Arial"/>
          <w:b/>
          <w:bCs/>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See also </w:t>
      </w:r>
      <w:r w:rsidRPr="00691BB1">
        <w:rPr>
          <w:rFonts w:ascii="Arial" w:hAnsi="Arial" w:cs="Arial"/>
          <w:bCs/>
          <w:sz w:val="16"/>
          <w:szCs w:val="16"/>
          <w:lang w:val="en-ZA"/>
        </w:rPr>
        <w:t xml:space="preserve">OECD Recommendation on Digital Government Strategies on this </w:t>
      </w:r>
      <w:hyperlink r:id="rId91" w:history="1">
        <w:r w:rsidRPr="00691BB1">
          <w:rPr>
            <w:rStyle w:val="Hyperlink"/>
            <w:rFonts w:ascii="Arial" w:hAnsi="Arial" w:cs="Arial"/>
            <w:bCs/>
            <w:sz w:val="16"/>
            <w:szCs w:val="16"/>
            <w:lang w:val="en-ZA"/>
          </w:rPr>
          <w:t>link</w:t>
        </w:r>
      </w:hyperlink>
      <w:r w:rsidRPr="00691BB1">
        <w:rPr>
          <w:rFonts w:ascii="Arial" w:hAnsi="Arial" w:cs="Arial"/>
          <w:bCs/>
          <w:sz w:val="16"/>
          <w:szCs w:val="16"/>
          <w:lang w:val="en-ZA"/>
        </w:rPr>
        <w:t>.</w:t>
      </w:r>
    </w:p>
    <w:p w14:paraId="7F5405D2" w14:textId="77777777" w:rsidR="00D15FD8" w:rsidRPr="003625BA" w:rsidRDefault="00D15FD8" w:rsidP="00B71C41">
      <w:pPr>
        <w:pStyle w:val="FootnoteText"/>
        <w:rPr>
          <w:rFonts w:ascii="Arial" w:hAnsi="Arial" w:cs="Arial"/>
          <w:lang w:val="en-ZA"/>
        </w:rPr>
      </w:pPr>
    </w:p>
  </w:footnote>
  <w:footnote w:id="73">
    <w:p w14:paraId="2CD87438" w14:textId="7DF81FFB" w:rsidR="00D15FD8" w:rsidRPr="003625BA" w:rsidRDefault="00D15FD8" w:rsidP="007C3F48">
      <w:pPr>
        <w:pStyle w:val="FootnoteText"/>
        <w:jc w:val="both"/>
        <w:rPr>
          <w:rFonts w:ascii="Arial" w:hAnsi="Arial" w:cs="Arial"/>
          <w:sz w:val="16"/>
          <w:szCs w:val="16"/>
          <w:lang w:val="en-ZA"/>
        </w:rPr>
      </w:pPr>
      <w:r w:rsidRPr="003625BA">
        <w:rPr>
          <w:rStyle w:val="FootnoteReference"/>
          <w:rFonts w:ascii="Arial" w:hAnsi="Arial" w:cs="Arial"/>
          <w:sz w:val="16"/>
          <w:szCs w:val="16"/>
        </w:rPr>
        <w:footnoteRef/>
      </w:r>
      <w:r w:rsidRPr="003625BA">
        <w:rPr>
          <w:rFonts w:ascii="Arial" w:hAnsi="Arial" w:cs="Arial"/>
          <w:sz w:val="16"/>
          <w:szCs w:val="16"/>
        </w:rPr>
        <w:t xml:space="preserve"> For examples of the publication of data through websites see </w:t>
      </w:r>
      <w:proofErr w:type="spellStart"/>
      <w:r w:rsidRPr="003625BA">
        <w:rPr>
          <w:rFonts w:ascii="Arial" w:hAnsi="Arial" w:cs="Arial"/>
          <w:bCs/>
          <w:sz w:val="16"/>
          <w:szCs w:val="16"/>
          <w:lang w:val="en-ZA"/>
        </w:rPr>
        <w:t>Dener</w:t>
      </w:r>
      <w:proofErr w:type="spellEnd"/>
      <w:r w:rsidRPr="003625BA">
        <w:rPr>
          <w:rFonts w:ascii="Arial" w:hAnsi="Arial" w:cs="Arial"/>
          <w:bCs/>
          <w:sz w:val="16"/>
          <w:szCs w:val="16"/>
          <w:lang w:val="en-ZA"/>
        </w:rPr>
        <w:t>, C., and Min, S.Y. (2013). “</w:t>
      </w:r>
      <w:hyperlink r:id="rId92" w:history="1">
        <w:r w:rsidRPr="003625BA">
          <w:rPr>
            <w:rStyle w:val="Hyperlink"/>
            <w:rFonts w:ascii="Arial" w:hAnsi="Arial" w:cs="Arial"/>
            <w:bCs/>
            <w:sz w:val="16"/>
            <w:szCs w:val="16"/>
            <w:lang w:val="en-ZA"/>
          </w:rPr>
          <w:t>Financial Management Information Systems and Open Budget Data: Do Governments Report on Where the Money Goes</w:t>
        </w:r>
      </w:hyperlink>
      <w:r w:rsidRPr="003625BA">
        <w:rPr>
          <w:rFonts w:ascii="Arial" w:hAnsi="Arial" w:cs="Arial"/>
          <w:bCs/>
          <w:sz w:val="16"/>
          <w:szCs w:val="16"/>
          <w:lang w:val="en-ZA"/>
        </w:rPr>
        <w:t>?: Chapter 4 from page 63”. World Bank.</w:t>
      </w:r>
    </w:p>
    <w:p w14:paraId="06EF4D48" w14:textId="77777777" w:rsidR="00D15FD8" w:rsidRPr="003625BA" w:rsidRDefault="00D15FD8" w:rsidP="007C3F48">
      <w:pPr>
        <w:pStyle w:val="FootnoteText"/>
        <w:rPr>
          <w:rFonts w:ascii="Arial" w:hAnsi="Arial" w:cs="Arial"/>
          <w:lang w:val="en-ZA"/>
        </w:rPr>
      </w:pPr>
    </w:p>
  </w:footnote>
  <w:footnote w:id="74">
    <w:p w14:paraId="65BA1F24" w14:textId="77777777" w:rsidR="00D15FD8" w:rsidRPr="003625BA" w:rsidRDefault="00D15FD8" w:rsidP="007367AF">
      <w:pPr>
        <w:pStyle w:val="FootnoteText"/>
        <w:jc w:val="both"/>
        <w:rPr>
          <w:rFonts w:ascii="Arial" w:hAnsi="Arial" w:cs="Arial"/>
          <w:sz w:val="16"/>
          <w:szCs w:val="16"/>
          <w:lang w:val="en-ZA"/>
        </w:rPr>
      </w:pPr>
      <w:r w:rsidRPr="003625BA">
        <w:rPr>
          <w:rStyle w:val="FootnoteReference"/>
          <w:rFonts w:ascii="Arial" w:hAnsi="Arial" w:cs="Arial"/>
          <w:sz w:val="16"/>
          <w:szCs w:val="16"/>
        </w:rPr>
        <w:footnoteRef/>
      </w:r>
      <w:r w:rsidRPr="003625BA">
        <w:rPr>
          <w:rFonts w:ascii="Arial" w:hAnsi="Arial" w:cs="Arial"/>
          <w:sz w:val="16"/>
          <w:szCs w:val="16"/>
        </w:rPr>
        <w:t xml:space="preserve"> </w:t>
      </w:r>
      <w:r w:rsidRPr="003625BA">
        <w:rPr>
          <w:rFonts w:ascii="Arial" w:hAnsi="Arial" w:cs="Arial"/>
          <w:sz w:val="16"/>
          <w:szCs w:val="16"/>
          <w:lang w:val="en-ZA"/>
        </w:rPr>
        <w:t xml:space="preserve">For further reading see Van </w:t>
      </w:r>
      <w:proofErr w:type="spellStart"/>
      <w:r w:rsidRPr="003625BA">
        <w:rPr>
          <w:rFonts w:ascii="Arial" w:hAnsi="Arial" w:cs="Arial"/>
          <w:sz w:val="16"/>
          <w:szCs w:val="16"/>
          <w:lang w:val="en-ZA"/>
        </w:rPr>
        <w:t>Ransbeeck</w:t>
      </w:r>
      <w:proofErr w:type="spellEnd"/>
      <w:r w:rsidRPr="003625BA">
        <w:rPr>
          <w:rFonts w:ascii="Arial" w:hAnsi="Arial" w:cs="Arial"/>
          <w:sz w:val="16"/>
          <w:szCs w:val="16"/>
          <w:lang w:val="en-ZA"/>
        </w:rPr>
        <w:t>, W. (2019). “</w:t>
      </w:r>
      <w:hyperlink r:id="rId93" w:history="1">
        <w:r w:rsidRPr="003625BA">
          <w:rPr>
            <w:rStyle w:val="Hyperlink"/>
            <w:rFonts w:ascii="Arial" w:hAnsi="Arial" w:cs="Arial"/>
            <w:bCs/>
            <w:sz w:val="16"/>
            <w:szCs w:val="16"/>
            <w:lang w:val="en-ZA"/>
          </w:rPr>
          <w:t>What’s the Difference Between “Civic Tech” and “</w:t>
        </w:r>
        <w:proofErr w:type="spellStart"/>
        <w:r w:rsidRPr="003625BA">
          <w:rPr>
            <w:rStyle w:val="Hyperlink"/>
            <w:rFonts w:ascii="Arial" w:hAnsi="Arial" w:cs="Arial"/>
            <w:bCs/>
            <w:sz w:val="16"/>
            <w:szCs w:val="16"/>
            <w:lang w:val="en-ZA"/>
          </w:rPr>
          <w:t>GovTech</w:t>
        </w:r>
        <w:proofErr w:type="spellEnd"/>
      </w:hyperlink>
      <w:r w:rsidRPr="003625BA">
        <w:rPr>
          <w:rFonts w:ascii="Arial" w:hAnsi="Arial" w:cs="Arial"/>
          <w:bCs/>
          <w:sz w:val="16"/>
          <w:szCs w:val="16"/>
          <w:lang w:val="en-ZA"/>
        </w:rPr>
        <w:t xml:space="preserve">?” </w:t>
      </w:r>
      <w:proofErr w:type="spellStart"/>
      <w:r w:rsidRPr="003625BA">
        <w:rPr>
          <w:rFonts w:ascii="Arial" w:hAnsi="Arial" w:cs="Arial"/>
          <w:bCs/>
          <w:sz w:val="16"/>
          <w:szCs w:val="16"/>
          <w:lang w:val="en-ZA"/>
        </w:rPr>
        <w:t>Citizenlab</w:t>
      </w:r>
      <w:proofErr w:type="spellEnd"/>
      <w:r w:rsidRPr="003625BA">
        <w:rPr>
          <w:rFonts w:ascii="Arial" w:hAnsi="Arial" w:cs="Arial"/>
          <w:bCs/>
          <w:sz w:val="16"/>
          <w:szCs w:val="16"/>
          <w:lang w:val="en-ZA"/>
        </w:rPr>
        <w:t xml:space="preserve">; and </w:t>
      </w:r>
      <w:proofErr w:type="spellStart"/>
      <w:r w:rsidRPr="003625BA">
        <w:rPr>
          <w:rFonts w:ascii="Arial" w:hAnsi="Arial" w:cs="Arial"/>
          <w:bCs/>
          <w:sz w:val="16"/>
          <w:szCs w:val="16"/>
          <w:lang w:val="en-ZA"/>
        </w:rPr>
        <w:t>eID</w:t>
      </w:r>
      <w:proofErr w:type="spellEnd"/>
      <w:r w:rsidRPr="003625BA">
        <w:rPr>
          <w:rFonts w:ascii="Arial" w:hAnsi="Arial" w:cs="Arial"/>
          <w:bCs/>
          <w:sz w:val="16"/>
          <w:szCs w:val="16"/>
          <w:lang w:val="en-ZA"/>
        </w:rPr>
        <w:t xml:space="preserve"> blog (2020): “</w:t>
      </w:r>
      <w:hyperlink r:id="rId94" w:history="1">
        <w:r w:rsidRPr="003625BA">
          <w:rPr>
            <w:rStyle w:val="Hyperlink"/>
            <w:rFonts w:ascii="Arial" w:hAnsi="Arial" w:cs="Arial"/>
            <w:bCs/>
            <w:sz w:val="16"/>
            <w:szCs w:val="16"/>
            <w:lang w:val="en-ZA"/>
          </w:rPr>
          <w:t xml:space="preserve">What is </w:t>
        </w:r>
        <w:proofErr w:type="spellStart"/>
        <w:r w:rsidRPr="003625BA">
          <w:rPr>
            <w:rStyle w:val="Hyperlink"/>
            <w:rFonts w:ascii="Arial" w:hAnsi="Arial" w:cs="Arial"/>
            <w:bCs/>
            <w:sz w:val="16"/>
            <w:szCs w:val="16"/>
            <w:lang w:val="en-ZA"/>
          </w:rPr>
          <w:t>GovTech</w:t>
        </w:r>
        <w:proofErr w:type="spellEnd"/>
        <w:r w:rsidRPr="003625BA">
          <w:rPr>
            <w:rStyle w:val="Hyperlink"/>
            <w:rFonts w:ascii="Arial" w:hAnsi="Arial" w:cs="Arial"/>
            <w:bCs/>
            <w:sz w:val="16"/>
            <w:szCs w:val="16"/>
            <w:lang w:val="en-ZA"/>
          </w:rPr>
          <w:t xml:space="preserve"> and why it is in the spotlight</w:t>
        </w:r>
      </w:hyperlink>
      <w:r w:rsidRPr="003625BA">
        <w:rPr>
          <w:rFonts w:ascii="Arial" w:hAnsi="Arial" w:cs="Arial"/>
          <w:bCs/>
          <w:sz w:val="16"/>
          <w:szCs w:val="16"/>
          <w:lang w:val="en-ZA"/>
        </w:rPr>
        <w:t xml:space="preserve">”. </w:t>
      </w:r>
    </w:p>
  </w:footnote>
  <w:footnote w:id="75">
    <w:p w14:paraId="73AF41E2" w14:textId="0BF4555C" w:rsidR="00D15FD8" w:rsidRPr="00725D35" w:rsidRDefault="00D15FD8">
      <w:pPr>
        <w:pStyle w:val="FootnoteText"/>
        <w:rPr>
          <w:rFonts w:ascii="Arial" w:hAnsi="Arial" w:cs="Arial"/>
          <w:sz w:val="16"/>
          <w:szCs w:val="16"/>
          <w:lang w:val="en-US"/>
        </w:rPr>
      </w:pPr>
      <w:r w:rsidRPr="00725D35">
        <w:rPr>
          <w:rStyle w:val="FootnoteReference"/>
          <w:rFonts w:ascii="Arial" w:hAnsi="Arial" w:cs="Arial"/>
          <w:sz w:val="16"/>
          <w:szCs w:val="16"/>
        </w:rPr>
        <w:footnoteRef/>
      </w:r>
      <w:r w:rsidRPr="00725D35">
        <w:rPr>
          <w:rFonts w:ascii="Arial" w:hAnsi="Arial" w:cs="Arial"/>
          <w:sz w:val="16"/>
          <w:szCs w:val="16"/>
        </w:rPr>
        <w:t xml:space="preserve"> </w:t>
      </w:r>
      <w:r w:rsidRPr="00725D35">
        <w:rPr>
          <w:rFonts w:ascii="Arial" w:hAnsi="Arial" w:cs="Arial"/>
          <w:sz w:val="16"/>
          <w:szCs w:val="16"/>
          <w:lang w:val="en-ZA"/>
        </w:rPr>
        <w:t>See also GIFT blog (2019). “</w:t>
      </w:r>
      <w:hyperlink r:id="rId95" w:history="1">
        <w:r w:rsidRPr="00725D35">
          <w:rPr>
            <w:rFonts w:ascii="Arial" w:hAnsi="Arial" w:cs="Arial"/>
            <w:color w:val="0563C1" w:themeColor="hyperlink"/>
            <w:sz w:val="16"/>
            <w:szCs w:val="16"/>
            <w:u w:val="single"/>
            <w:lang w:val="en-ZA"/>
          </w:rPr>
          <w:t>An investigation based on budgetary data evidences significant reductions in food policies for children in Argentina</w:t>
        </w:r>
      </w:hyperlink>
      <w:r w:rsidRPr="00725D35">
        <w:rPr>
          <w:rFonts w:ascii="Arial" w:hAnsi="Arial" w:cs="Arial"/>
          <w:sz w:val="16"/>
          <w:szCs w:val="16"/>
          <w:lang w:val="en-ZA"/>
        </w:rPr>
        <w:t>”.</w:t>
      </w:r>
      <w:r w:rsidRPr="00725D35">
        <w:rPr>
          <w:rFonts w:ascii="Arial" w:hAnsi="Arial" w:cs="Arial"/>
          <w:sz w:val="16"/>
          <w:szCs w:val="16"/>
        </w:rPr>
        <w:t xml:space="preserve"> For further examples see ILDA: </w:t>
      </w:r>
      <w:hyperlink r:id="rId96" w:history="1">
        <w:r w:rsidRPr="00725D35">
          <w:rPr>
            <w:rFonts w:ascii="Arial" w:hAnsi="Arial" w:cs="Arial"/>
            <w:bCs/>
            <w:color w:val="0563C1" w:themeColor="hyperlink"/>
            <w:sz w:val="16"/>
            <w:szCs w:val="16"/>
            <w:u w:val="single"/>
            <w:lang w:val="en-ZA"/>
          </w:rPr>
          <w:t>Budget and Open Data</w:t>
        </w:r>
      </w:hyperlink>
      <w:r w:rsidRPr="00725D35">
        <w:rPr>
          <w:rFonts w:ascii="Arial" w:hAnsi="Arial" w:cs="Arial"/>
          <w:b/>
          <w:bCs/>
          <w:sz w:val="16"/>
          <w:szCs w:val="16"/>
          <w:lang w:val="en-ZA"/>
        </w:rPr>
        <w:t xml:space="preserve"> </w:t>
      </w:r>
      <w:r w:rsidRPr="00725D35">
        <w:rPr>
          <w:rFonts w:ascii="Arial" w:hAnsi="Arial" w:cs="Arial"/>
          <w:bCs/>
          <w:sz w:val="16"/>
          <w:szCs w:val="16"/>
          <w:lang w:val="en-ZA"/>
        </w:rPr>
        <w:t xml:space="preserve">and </w:t>
      </w:r>
      <w:hyperlink r:id="rId97" w:history="1">
        <w:r w:rsidRPr="00725D35">
          <w:rPr>
            <w:rFonts w:ascii="Arial" w:hAnsi="Arial" w:cs="Arial"/>
            <w:bCs/>
            <w:color w:val="0563C1" w:themeColor="hyperlink"/>
            <w:sz w:val="16"/>
            <w:szCs w:val="16"/>
            <w:u w:val="single"/>
          </w:rPr>
          <w:t xml:space="preserve">Centro de </w:t>
        </w:r>
        <w:proofErr w:type="spellStart"/>
        <w:r w:rsidRPr="00725D35">
          <w:rPr>
            <w:rFonts w:ascii="Arial" w:hAnsi="Arial" w:cs="Arial"/>
            <w:bCs/>
            <w:color w:val="0563C1" w:themeColor="hyperlink"/>
            <w:sz w:val="16"/>
            <w:szCs w:val="16"/>
            <w:u w:val="single"/>
          </w:rPr>
          <w:t>Investigación</w:t>
        </w:r>
        <w:proofErr w:type="spellEnd"/>
        <w:r w:rsidRPr="00725D35">
          <w:rPr>
            <w:rFonts w:ascii="Arial" w:hAnsi="Arial" w:cs="Arial"/>
            <w:bCs/>
            <w:color w:val="0563C1" w:themeColor="hyperlink"/>
            <w:sz w:val="16"/>
            <w:szCs w:val="16"/>
            <w:u w:val="single"/>
          </w:rPr>
          <w:t xml:space="preserve"> </w:t>
        </w:r>
        <w:proofErr w:type="spellStart"/>
        <w:r w:rsidRPr="00725D35">
          <w:rPr>
            <w:rFonts w:ascii="Arial" w:hAnsi="Arial" w:cs="Arial"/>
            <w:bCs/>
            <w:color w:val="0563C1" w:themeColor="hyperlink"/>
            <w:sz w:val="16"/>
            <w:szCs w:val="16"/>
            <w:u w:val="single"/>
          </w:rPr>
          <w:t>Económica</w:t>
        </w:r>
        <w:proofErr w:type="spellEnd"/>
        <w:r w:rsidRPr="00725D35">
          <w:rPr>
            <w:rFonts w:ascii="Arial" w:hAnsi="Arial" w:cs="Arial"/>
            <w:bCs/>
            <w:color w:val="0563C1" w:themeColor="hyperlink"/>
            <w:sz w:val="16"/>
            <w:szCs w:val="16"/>
            <w:u w:val="single"/>
          </w:rPr>
          <w:t xml:space="preserve"> y </w:t>
        </w:r>
        <w:proofErr w:type="spellStart"/>
        <w:r w:rsidRPr="00725D35">
          <w:rPr>
            <w:rFonts w:ascii="Arial" w:hAnsi="Arial" w:cs="Arial"/>
            <w:bCs/>
            <w:color w:val="0563C1" w:themeColor="hyperlink"/>
            <w:sz w:val="16"/>
            <w:szCs w:val="16"/>
            <w:u w:val="single"/>
          </w:rPr>
          <w:t>Presupuestaria’s</w:t>
        </w:r>
        <w:proofErr w:type="spellEnd"/>
      </w:hyperlink>
      <w:r w:rsidRPr="00725D35">
        <w:rPr>
          <w:rFonts w:ascii="Arial" w:hAnsi="Arial" w:cs="Arial"/>
          <w:bCs/>
          <w:sz w:val="16"/>
          <w:szCs w:val="16"/>
        </w:rPr>
        <w:t xml:space="preserve"> website.</w:t>
      </w:r>
    </w:p>
  </w:footnote>
  <w:footnote w:id="76">
    <w:p w14:paraId="28786E69" w14:textId="3D841104" w:rsidR="00D15FD8" w:rsidRPr="00691BB1" w:rsidRDefault="00D15FD8" w:rsidP="00F126FC">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McArthur, K., </w:t>
      </w:r>
      <w:proofErr w:type="spellStart"/>
      <w:r w:rsidRPr="00691BB1">
        <w:rPr>
          <w:rFonts w:ascii="Arial" w:hAnsi="Arial" w:cs="Arial"/>
          <w:sz w:val="16"/>
          <w:szCs w:val="16"/>
          <w:lang w:val="en-ZA"/>
        </w:rPr>
        <w:t>Lainchbury</w:t>
      </w:r>
      <w:proofErr w:type="spellEnd"/>
      <w:r w:rsidRPr="00691BB1">
        <w:rPr>
          <w:rFonts w:ascii="Arial" w:hAnsi="Arial" w:cs="Arial"/>
          <w:sz w:val="16"/>
          <w:szCs w:val="16"/>
          <w:lang w:val="en-ZA"/>
        </w:rPr>
        <w:t>, H., and Horn, D. (2012). “</w:t>
      </w:r>
      <w:hyperlink r:id="rId98" w:history="1">
        <w:r w:rsidRPr="00691BB1">
          <w:rPr>
            <w:rStyle w:val="Hyperlink"/>
            <w:rFonts w:ascii="Arial" w:hAnsi="Arial" w:cs="Arial"/>
            <w:bCs/>
            <w:sz w:val="16"/>
            <w:szCs w:val="16"/>
            <w:lang w:val="en-ZA"/>
          </w:rPr>
          <w:t>Open Data Hackathon: How to Guide</w:t>
        </w:r>
      </w:hyperlink>
      <w:r w:rsidRPr="00691BB1">
        <w:rPr>
          <w:rFonts w:ascii="Arial" w:hAnsi="Arial" w:cs="Arial"/>
          <w:bCs/>
          <w:sz w:val="16"/>
          <w:szCs w:val="16"/>
          <w:lang w:val="en-ZA"/>
        </w:rPr>
        <w:t xml:space="preserve">”. </w:t>
      </w:r>
      <w:r w:rsidRPr="00691BB1">
        <w:rPr>
          <w:rFonts w:ascii="Arial" w:hAnsi="Arial" w:cs="Arial"/>
          <w:sz w:val="16"/>
          <w:szCs w:val="16"/>
          <w:lang w:val="en-ZA"/>
        </w:rPr>
        <w:t xml:space="preserve"> Creative Commons Attribution 3.0 </w:t>
      </w:r>
      <w:proofErr w:type="spellStart"/>
      <w:r w:rsidRPr="00691BB1">
        <w:rPr>
          <w:rFonts w:ascii="Arial" w:hAnsi="Arial" w:cs="Arial"/>
          <w:sz w:val="16"/>
          <w:szCs w:val="16"/>
          <w:lang w:val="en-ZA"/>
        </w:rPr>
        <w:t>Unported</w:t>
      </w:r>
      <w:proofErr w:type="spellEnd"/>
      <w:r w:rsidRPr="00691BB1">
        <w:rPr>
          <w:rFonts w:ascii="Arial" w:hAnsi="Arial" w:cs="Arial"/>
          <w:sz w:val="16"/>
          <w:szCs w:val="16"/>
          <w:lang w:val="en-ZA"/>
        </w:rPr>
        <w:t xml:space="preserve"> License.</w:t>
      </w:r>
    </w:p>
  </w:footnote>
  <w:footnote w:id="77">
    <w:p w14:paraId="3375C36B" w14:textId="77777777" w:rsidR="00D15FD8" w:rsidRPr="00336006" w:rsidRDefault="00D15FD8" w:rsidP="00E12B22">
      <w:pPr>
        <w:pStyle w:val="FootnoteText"/>
        <w:jc w:val="both"/>
        <w:rPr>
          <w:rFonts w:ascii="Arial" w:hAnsi="Arial" w:cs="Arial"/>
          <w:lang w:val="en-ZA"/>
        </w:rPr>
      </w:pPr>
      <w:r w:rsidRPr="00336006">
        <w:rPr>
          <w:rStyle w:val="FootnoteReference"/>
          <w:rFonts w:ascii="Arial" w:hAnsi="Arial" w:cs="Arial"/>
          <w:sz w:val="16"/>
          <w:szCs w:val="16"/>
        </w:rPr>
        <w:footnoteRef/>
      </w:r>
      <w:r w:rsidRPr="00336006">
        <w:rPr>
          <w:rFonts w:ascii="Arial" w:hAnsi="Arial" w:cs="Arial"/>
          <w:sz w:val="16"/>
          <w:szCs w:val="16"/>
        </w:rPr>
        <w:t xml:space="preserve"> </w:t>
      </w:r>
      <w:r w:rsidRPr="00336006">
        <w:rPr>
          <w:rFonts w:ascii="Arial" w:hAnsi="Arial" w:cs="Arial"/>
          <w:sz w:val="16"/>
          <w:szCs w:val="16"/>
          <w:lang w:val="en-ZA"/>
        </w:rPr>
        <w:t>For further reading see:</w:t>
      </w:r>
      <w:r w:rsidRPr="00336006">
        <w:rPr>
          <w:rFonts w:ascii="Arial" w:hAnsi="Arial" w:cs="Arial"/>
          <w:sz w:val="16"/>
          <w:szCs w:val="16"/>
        </w:rPr>
        <w:t xml:space="preserve"> </w:t>
      </w:r>
      <w:proofErr w:type="spellStart"/>
      <w:r w:rsidRPr="00336006">
        <w:rPr>
          <w:rFonts w:ascii="Arial" w:hAnsi="Arial" w:cs="Arial"/>
          <w:sz w:val="16"/>
          <w:szCs w:val="16"/>
        </w:rPr>
        <w:t>Craveiro</w:t>
      </w:r>
      <w:proofErr w:type="spellEnd"/>
      <w:r w:rsidRPr="00336006">
        <w:rPr>
          <w:rFonts w:ascii="Arial" w:hAnsi="Arial" w:cs="Arial"/>
          <w:sz w:val="16"/>
          <w:szCs w:val="16"/>
        </w:rPr>
        <w:t>, G., Tavares, M., and Porto, J. (2013). “</w:t>
      </w:r>
      <w:hyperlink r:id="rId99" w:history="1">
        <w:r w:rsidRPr="00336006">
          <w:rPr>
            <w:rStyle w:val="Hyperlink"/>
            <w:rFonts w:ascii="Arial" w:hAnsi="Arial" w:cs="Arial"/>
            <w:sz w:val="16"/>
            <w:szCs w:val="16"/>
          </w:rPr>
          <w:t>Assessing Open Government Budgetary Data in Brazil”</w:t>
        </w:r>
        <w:r w:rsidRPr="00336006">
          <w:rPr>
            <w:rFonts w:ascii="Arial" w:hAnsi="Arial" w:cs="Arial"/>
            <w:sz w:val="16"/>
            <w:szCs w:val="16"/>
          </w:rPr>
          <w:t xml:space="preserve">. </w:t>
        </w:r>
      </w:hyperlink>
      <w:r w:rsidRPr="00336006">
        <w:rPr>
          <w:rFonts w:ascii="Arial" w:hAnsi="Arial" w:cs="Arial"/>
          <w:sz w:val="16"/>
          <w:szCs w:val="16"/>
        </w:rPr>
        <w:t>Seventh International Conference on Digital Society; and Davis, B., and Baxandall, P. (2014). “</w:t>
      </w:r>
      <w:hyperlink r:id="rId100" w:history="1">
        <w:r w:rsidRPr="00336006">
          <w:rPr>
            <w:rStyle w:val="Hyperlink"/>
            <w:rFonts w:ascii="Arial" w:hAnsi="Arial" w:cs="Arial"/>
            <w:sz w:val="16"/>
            <w:szCs w:val="16"/>
          </w:rPr>
          <w:t>Following the Money 2014: How the 50 States Rate in Providing Online Access to Government Spending Data</w:t>
        </w:r>
      </w:hyperlink>
      <w:r w:rsidRPr="00336006">
        <w:rPr>
          <w:rFonts w:ascii="Arial" w:hAnsi="Arial" w:cs="Arial"/>
          <w:sz w:val="16"/>
          <w:szCs w:val="16"/>
        </w:rPr>
        <w:t xml:space="preserve">.” U.S. PIRG Education Fund. </w:t>
      </w:r>
    </w:p>
  </w:footnote>
  <w:footnote w:id="78">
    <w:p w14:paraId="47D6B31E" w14:textId="77777777" w:rsidR="00D15FD8" w:rsidRPr="00336006" w:rsidRDefault="00D15FD8" w:rsidP="00E12B22">
      <w:pPr>
        <w:pStyle w:val="FootnoteText"/>
        <w:rPr>
          <w:rFonts w:ascii="Arial" w:hAnsi="Arial" w:cs="Arial"/>
          <w:sz w:val="16"/>
          <w:szCs w:val="16"/>
          <w:lang w:val="en-US"/>
        </w:rPr>
      </w:pPr>
      <w:r w:rsidRPr="00336006">
        <w:rPr>
          <w:rStyle w:val="FootnoteReference"/>
          <w:rFonts w:ascii="Arial" w:hAnsi="Arial" w:cs="Arial"/>
          <w:sz w:val="16"/>
          <w:szCs w:val="16"/>
        </w:rPr>
        <w:footnoteRef/>
      </w:r>
      <w:r w:rsidRPr="00336006">
        <w:rPr>
          <w:rFonts w:ascii="Arial" w:hAnsi="Arial" w:cs="Arial"/>
          <w:sz w:val="16"/>
          <w:szCs w:val="16"/>
        </w:rPr>
        <w:t xml:space="preserve"> </w:t>
      </w:r>
      <w:proofErr w:type="spellStart"/>
      <w:r w:rsidRPr="00336006">
        <w:rPr>
          <w:rFonts w:ascii="Arial" w:hAnsi="Arial" w:cs="Arial"/>
          <w:sz w:val="16"/>
          <w:szCs w:val="16"/>
        </w:rPr>
        <w:t>Folscher</w:t>
      </w:r>
      <w:proofErr w:type="spellEnd"/>
      <w:r w:rsidRPr="00336006">
        <w:rPr>
          <w:rFonts w:ascii="Arial" w:hAnsi="Arial" w:cs="Arial"/>
          <w:sz w:val="16"/>
          <w:szCs w:val="16"/>
        </w:rPr>
        <w:t xml:space="preserve">, A., and De </w:t>
      </w:r>
      <w:proofErr w:type="spellStart"/>
      <w:r w:rsidRPr="00336006">
        <w:rPr>
          <w:rFonts w:ascii="Arial" w:hAnsi="Arial" w:cs="Arial"/>
          <w:sz w:val="16"/>
          <w:szCs w:val="16"/>
        </w:rPr>
        <w:t>Renzio</w:t>
      </w:r>
      <w:proofErr w:type="spellEnd"/>
      <w:r w:rsidRPr="00336006">
        <w:rPr>
          <w:rFonts w:ascii="Arial" w:hAnsi="Arial" w:cs="Arial"/>
          <w:sz w:val="16"/>
          <w:szCs w:val="16"/>
        </w:rPr>
        <w:t>, P. (2017). “</w:t>
      </w:r>
      <w:hyperlink r:id="rId101" w:history="1">
        <w:r w:rsidRPr="00336006">
          <w:rPr>
            <w:rStyle w:val="Hyperlink"/>
            <w:rFonts w:ascii="Arial" w:hAnsi="Arial" w:cs="Arial"/>
            <w:sz w:val="16"/>
            <w:szCs w:val="16"/>
          </w:rPr>
          <w:t>The Road to Budget Transparency: Learning from Country Experience</w:t>
        </w:r>
      </w:hyperlink>
      <w:r w:rsidRPr="00336006">
        <w:rPr>
          <w:rFonts w:ascii="Arial" w:hAnsi="Arial" w:cs="Arial"/>
          <w:sz w:val="16"/>
          <w:szCs w:val="16"/>
        </w:rPr>
        <w:t>”. IBP.</w:t>
      </w:r>
    </w:p>
  </w:footnote>
  <w:footnote w:id="79">
    <w:p w14:paraId="281687F5" w14:textId="77777777" w:rsidR="00D15FD8" w:rsidRPr="003625BA" w:rsidRDefault="00D15FD8" w:rsidP="00890E21">
      <w:pPr>
        <w:pStyle w:val="FootnoteText"/>
        <w:jc w:val="both"/>
        <w:rPr>
          <w:rFonts w:ascii="Arial" w:hAnsi="Arial" w:cs="Arial"/>
          <w:lang w:val="en-US"/>
        </w:rPr>
      </w:pPr>
      <w:r w:rsidRPr="00336006">
        <w:rPr>
          <w:rStyle w:val="FootnoteReference"/>
          <w:rFonts w:ascii="Arial" w:hAnsi="Arial" w:cs="Arial"/>
        </w:rPr>
        <w:footnoteRef/>
      </w:r>
      <w:r w:rsidRPr="00336006">
        <w:rPr>
          <w:rFonts w:ascii="Arial" w:hAnsi="Arial" w:cs="Arial"/>
        </w:rPr>
        <w:t xml:space="preserve"> </w:t>
      </w:r>
      <w:r w:rsidRPr="00336006">
        <w:rPr>
          <w:rFonts w:ascii="Arial" w:hAnsi="Arial" w:cs="Arial"/>
          <w:sz w:val="16"/>
          <w:szCs w:val="16"/>
          <w:lang w:val="en-ZA"/>
        </w:rPr>
        <w:t>Leon, J.R., De la Mora, D., and Ruiz, L. (2016). “</w:t>
      </w:r>
      <w:hyperlink r:id="rId102" w:history="1">
        <w:r w:rsidRPr="00336006">
          <w:rPr>
            <w:rStyle w:val="Hyperlink"/>
            <w:rFonts w:ascii="Arial" w:hAnsi="Arial" w:cs="Arial"/>
            <w:bCs/>
            <w:sz w:val="16"/>
            <w:szCs w:val="16"/>
            <w:lang w:val="en-ZA"/>
          </w:rPr>
          <w:t>Digital Budgets: How are Governments Disclosing Fiscal Information Online</w:t>
        </w:r>
        <w:r w:rsidRPr="00336006">
          <w:rPr>
            <w:rFonts w:ascii="Arial" w:hAnsi="Arial" w:cs="Arial"/>
            <w:sz w:val="16"/>
            <w:szCs w:val="16"/>
            <w:lang w:val="en-ZA"/>
          </w:rPr>
          <w:t>?</w:t>
        </w:r>
      </w:hyperlink>
      <w:r w:rsidRPr="00336006">
        <w:rPr>
          <w:rFonts w:ascii="Arial" w:hAnsi="Arial" w:cs="Arial"/>
          <w:sz w:val="16"/>
          <w:szCs w:val="16"/>
          <w:lang w:val="en-ZA"/>
        </w:rPr>
        <w:t>”. IBP.</w:t>
      </w:r>
    </w:p>
  </w:footnote>
  <w:footnote w:id="80">
    <w:p w14:paraId="391E259C" w14:textId="77777777" w:rsidR="00D15FD8" w:rsidRPr="00336006" w:rsidRDefault="00D15FD8" w:rsidP="004C172D">
      <w:pPr>
        <w:pStyle w:val="FootnoteText"/>
        <w:rPr>
          <w:rFonts w:ascii="Arial" w:hAnsi="Arial" w:cs="Arial"/>
          <w:sz w:val="16"/>
          <w:szCs w:val="16"/>
          <w:lang w:val="en-US"/>
        </w:rPr>
      </w:pPr>
      <w:r w:rsidRPr="00336006">
        <w:rPr>
          <w:rStyle w:val="FootnoteReference"/>
          <w:rFonts w:ascii="Arial" w:hAnsi="Arial" w:cs="Arial"/>
        </w:rPr>
        <w:footnoteRef/>
      </w:r>
      <w:r w:rsidRPr="00336006">
        <w:rPr>
          <w:rFonts w:ascii="Arial" w:hAnsi="Arial" w:cs="Arial"/>
        </w:rPr>
        <w:t xml:space="preserve"> </w:t>
      </w:r>
      <w:r w:rsidRPr="00336006">
        <w:rPr>
          <w:rFonts w:ascii="Arial" w:hAnsi="Arial" w:cs="Arial"/>
          <w:sz w:val="16"/>
          <w:szCs w:val="16"/>
          <w:lang w:val="en-ZA"/>
        </w:rPr>
        <w:t>See also Global Data Barometer/GIFT blog (2022). “</w:t>
      </w:r>
      <w:hyperlink r:id="rId103" w:history="1">
        <w:r w:rsidRPr="00336006">
          <w:rPr>
            <w:rStyle w:val="Hyperlink"/>
            <w:rFonts w:ascii="Arial" w:hAnsi="Arial" w:cs="Arial"/>
            <w:sz w:val="16"/>
            <w:szCs w:val="16"/>
          </w:rPr>
          <w:t>Advocating for accurate, timely, and trustworthy fiscal information</w:t>
        </w:r>
      </w:hyperlink>
      <w:r w:rsidRPr="00336006">
        <w:rPr>
          <w:rFonts w:ascii="Arial" w:hAnsi="Arial" w:cs="Arial"/>
          <w:sz w:val="16"/>
          <w:szCs w:val="16"/>
          <w:lang w:val="en-ZA"/>
        </w:rPr>
        <w:t>”.</w:t>
      </w:r>
    </w:p>
  </w:footnote>
  <w:footnote w:id="81">
    <w:p w14:paraId="5EC84F94" w14:textId="77777777" w:rsidR="00D15FD8" w:rsidRPr="00691BB1" w:rsidRDefault="00D15FD8" w:rsidP="00222036">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For further reading see: </w:t>
      </w:r>
      <w:r w:rsidRPr="00691BB1">
        <w:rPr>
          <w:rFonts w:ascii="Arial" w:hAnsi="Arial" w:cs="Arial"/>
          <w:sz w:val="16"/>
          <w:szCs w:val="16"/>
          <w:lang w:val="en-ZA"/>
        </w:rPr>
        <w:t>Schick, A. (2013). “</w:t>
      </w:r>
      <w:hyperlink r:id="rId104" w:history="1">
        <w:r w:rsidRPr="00691BB1">
          <w:rPr>
            <w:rStyle w:val="Hyperlink"/>
            <w:rFonts w:ascii="Arial" w:hAnsi="Arial" w:cs="Arial"/>
            <w:sz w:val="16"/>
            <w:szCs w:val="16"/>
            <w:lang w:val="en-ZA"/>
          </w:rPr>
          <w:t>Reflections on Two Decades of Public Financial Management Reforms</w:t>
        </w:r>
      </w:hyperlink>
      <w:r w:rsidRPr="00691BB1">
        <w:rPr>
          <w:rFonts w:ascii="Arial" w:hAnsi="Arial" w:cs="Arial"/>
          <w:sz w:val="16"/>
          <w:szCs w:val="16"/>
          <w:lang w:val="en-ZA"/>
        </w:rPr>
        <w:t>”. Chapter 1 in “</w:t>
      </w:r>
      <w:hyperlink r:id="rId105" w:history="1">
        <w:r w:rsidRPr="00691BB1">
          <w:rPr>
            <w:rStyle w:val="Hyperlink"/>
            <w:rFonts w:ascii="Arial" w:hAnsi="Arial" w:cs="Arial"/>
            <w:sz w:val="16"/>
            <w:szCs w:val="16"/>
            <w:lang w:val="en-ZA"/>
          </w:rPr>
          <w:t>Public Financial Management and Its Emerging Architecture</w:t>
        </w:r>
      </w:hyperlink>
      <w:r w:rsidRPr="00691BB1">
        <w:rPr>
          <w:rFonts w:ascii="Arial" w:hAnsi="Arial" w:cs="Arial"/>
          <w:sz w:val="16"/>
          <w:szCs w:val="16"/>
          <w:lang w:val="en-ZA"/>
        </w:rPr>
        <w:t>”. IMF.</w:t>
      </w:r>
    </w:p>
  </w:footnote>
  <w:footnote w:id="82">
    <w:p w14:paraId="45A1B835" w14:textId="77777777" w:rsidR="00D15FD8" w:rsidRPr="003625BA" w:rsidRDefault="00D15FD8" w:rsidP="00222036">
      <w:pPr>
        <w:pStyle w:val="FootnoteText"/>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w:t>
      </w:r>
      <w:hyperlink r:id="rId106" w:history="1">
        <w:r w:rsidRPr="00691BB1">
          <w:rPr>
            <w:rStyle w:val="Hyperlink"/>
            <w:rFonts w:ascii="Arial" w:hAnsi="Arial" w:cs="Arial"/>
            <w:sz w:val="16"/>
            <w:szCs w:val="16"/>
          </w:rPr>
          <w:t>Using PEFA to Support Public Financial Management Improvement: PEFA Handbook Volume IV</w:t>
        </w:r>
      </w:hyperlink>
      <w:r w:rsidRPr="00691BB1">
        <w:rPr>
          <w:rFonts w:ascii="Arial" w:hAnsi="Arial" w:cs="Arial"/>
          <w:sz w:val="16"/>
          <w:szCs w:val="16"/>
        </w:rPr>
        <w:t>”. PEFA Secretariat (2020).</w:t>
      </w:r>
    </w:p>
  </w:footnote>
  <w:footnote w:id="83">
    <w:p w14:paraId="735634FF" w14:textId="77777777" w:rsidR="00D15FD8" w:rsidRPr="00691BB1" w:rsidRDefault="00D15FD8" w:rsidP="00222036">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proofErr w:type="spellStart"/>
      <w:r w:rsidRPr="00691BB1">
        <w:rPr>
          <w:rFonts w:ascii="Arial" w:hAnsi="Arial" w:cs="Arial"/>
          <w:sz w:val="16"/>
          <w:szCs w:val="16"/>
        </w:rPr>
        <w:t>Folscher</w:t>
      </w:r>
      <w:proofErr w:type="spellEnd"/>
      <w:r w:rsidRPr="00691BB1">
        <w:rPr>
          <w:rFonts w:ascii="Arial" w:hAnsi="Arial" w:cs="Arial"/>
          <w:sz w:val="16"/>
          <w:szCs w:val="16"/>
        </w:rPr>
        <w:t xml:space="preserve">, A., and De </w:t>
      </w:r>
      <w:proofErr w:type="spellStart"/>
      <w:r w:rsidRPr="00691BB1">
        <w:rPr>
          <w:rFonts w:ascii="Arial" w:hAnsi="Arial" w:cs="Arial"/>
          <w:sz w:val="16"/>
          <w:szCs w:val="16"/>
        </w:rPr>
        <w:t>Renzio</w:t>
      </w:r>
      <w:proofErr w:type="spellEnd"/>
      <w:r w:rsidRPr="00691BB1">
        <w:rPr>
          <w:rFonts w:ascii="Arial" w:hAnsi="Arial" w:cs="Arial"/>
          <w:sz w:val="16"/>
          <w:szCs w:val="16"/>
        </w:rPr>
        <w:t>, P. (2017). “</w:t>
      </w:r>
      <w:hyperlink r:id="rId107" w:history="1">
        <w:r w:rsidRPr="00691BB1">
          <w:rPr>
            <w:rStyle w:val="Hyperlink"/>
            <w:rFonts w:ascii="Arial" w:hAnsi="Arial" w:cs="Arial"/>
            <w:sz w:val="16"/>
            <w:szCs w:val="16"/>
          </w:rPr>
          <w:t>The Road to Budget Transparency: Learning from Country Experience</w:t>
        </w:r>
      </w:hyperlink>
      <w:r w:rsidRPr="00691BB1">
        <w:rPr>
          <w:rFonts w:ascii="Arial" w:hAnsi="Arial" w:cs="Arial"/>
          <w:sz w:val="16"/>
          <w:szCs w:val="16"/>
        </w:rPr>
        <w:t xml:space="preserve">”. IBP. </w:t>
      </w:r>
    </w:p>
  </w:footnote>
  <w:footnote w:id="84">
    <w:p w14:paraId="4D3C0A48" w14:textId="77777777" w:rsidR="00D15FD8" w:rsidRPr="00691BB1" w:rsidRDefault="00D15FD8" w:rsidP="00222036">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hyperlink r:id="rId108" w:history="1">
        <w:r w:rsidRPr="00691BB1">
          <w:rPr>
            <w:rStyle w:val="Hyperlink"/>
            <w:rFonts w:ascii="Arial" w:hAnsi="Arial" w:cs="Arial"/>
            <w:sz w:val="16"/>
            <w:szCs w:val="16"/>
          </w:rPr>
          <w:t>Financing Development for Children in Africa: The state of budget transparency and accountability in the continent</w:t>
        </w:r>
      </w:hyperlink>
      <w:r w:rsidRPr="00691BB1">
        <w:rPr>
          <w:rFonts w:ascii="Arial" w:hAnsi="Arial" w:cs="Arial"/>
          <w:sz w:val="16"/>
          <w:szCs w:val="16"/>
          <w:lang w:val="en-US"/>
        </w:rPr>
        <w:t>”.</w:t>
      </w:r>
      <w:r w:rsidRPr="00691BB1">
        <w:rPr>
          <w:rFonts w:ascii="Arial" w:hAnsi="Arial" w:cs="Arial"/>
          <w:sz w:val="16"/>
          <w:szCs w:val="16"/>
        </w:rPr>
        <w:t xml:space="preserve"> IBP and UNICEF (2017).</w:t>
      </w:r>
    </w:p>
  </w:footnote>
  <w:footnote w:id="85">
    <w:p w14:paraId="00950850" w14:textId="77777777" w:rsidR="00D15FD8" w:rsidRPr="00691BB1" w:rsidRDefault="00D15FD8" w:rsidP="000E65DC">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proofErr w:type="spellStart"/>
      <w:r w:rsidRPr="00691BB1">
        <w:rPr>
          <w:rFonts w:ascii="Arial" w:hAnsi="Arial" w:cs="Arial"/>
          <w:sz w:val="16"/>
          <w:szCs w:val="16"/>
          <w:lang w:val="en-US"/>
        </w:rPr>
        <w:t>Khagram</w:t>
      </w:r>
      <w:proofErr w:type="spellEnd"/>
      <w:r w:rsidRPr="00691BB1">
        <w:rPr>
          <w:rFonts w:ascii="Arial" w:hAnsi="Arial" w:cs="Arial"/>
          <w:sz w:val="16"/>
          <w:szCs w:val="16"/>
          <w:lang w:val="en-US"/>
        </w:rPr>
        <w:t xml:space="preserve">, S., De </w:t>
      </w:r>
      <w:proofErr w:type="spellStart"/>
      <w:r w:rsidRPr="00691BB1">
        <w:rPr>
          <w:rFonts w:ascii="Arial" w:hAnsi="Arial" w:cs="Arial"/>
          <w:sz w:val="16"/>
          <w:szCs w:val="16"/>
          <w:lang w:val="en-US"/>
        </w:rPr>
        <w:t>Renzio</w:t>
      </w:r>
      <w:proofErr w:type="spellEnd"/>
      <w:r w:rsidRPr="00691BB1">
        <w:rPr>
          <w:rFonts w:ascii="Arial" w:hAnsi="Arial" w:cs="Arial"/>
          <w:sz w:val="16"/>
          <w:szCs w:val="16"/>
          <w:lang w:val="en-US"/>
        </w:rPr>
        <w:t>, P., and Fung, A. (2013). “</w:t>
      </w:r>
      <w:hyperlink r:id="rId109" w:history="1">
        <w:r w:rsidRPr="00691BB1">
          <w:rPr>
            <w:rStyle w:val="Hyperlink"/>
            <w:rFonts w:ascii="Arial" w:hAnsi="Arial" w:cs="Arial"/>
            <w:sz w:val="16"/>
            <w:szCs w:val="16"/>
            <w:lang w:val="en-US"/>
          </w:rPr>
          <w:t>Overview and Synthesis: The Political Economy of Fiscal Transparency, Participation, and Accountability Around the World</w:t>
        </w:r>
      </w:hyperlink>
      <w:r w:rsidRPr="00691BB1">
        <w:rPr>
          <w:rFonts w:ascii="Arial" w:hAnsi="Arial" w:cs="Arial"/>
          <w:sz w:val="16"/>
          <w:szCs w:val="16"/>
          <w:lang w:val="en-US"/>
        </w:rPr>
        <w:t>”. Chapter 1 in Open Budgets: The Political Economy of Transparency, Participation, and Accountability. Brookings Institution Press.</w:t>
      </w:r>
    </w:p>
  </w:footnote>
  <w:footnote w:id="86">
    <w:p w14:paraId="706C9071" w14:textId="77777777" w:rsidR="00D15FD8" w:rsidRPr="00691BB1" w:rsidRDefault="00D15FD8" w:rsidP="000E65DC">
      <w:pPr>
        <w:pStyle w:val="FootnoteText"/>
        <w:jc w:val="both"/>
        <w:rPr>
          <w:rFonts w:ascii="Arial" w:hAnsi="Arial" w:cs="Arial"/>
          <w:sz w:val="16"/>
          <w:szCs w:val="16"/>
        </w:rPr>
      </w:pPr>
      <w:r w:rsidRPr="00691BB1">
        <w:rPr>
          <w:rStyle w:val="FootnoteReference"/>
          <w:rFonts w:ascii="Arial" w:hAnsi="Arial" w:cs="Arial"/>
          <w:sz w:val="16"/>
          <w:szCs w:val="16"/>
        </w:rPr>
        <w:footnoteRef/>
      </w:r>
      <w:r w:rsidRPr="00691BB1">
        <w:rPr>
          <w:rFonts w:ascii="Arial" w:hAnsi="Arial" w:cs="Arial"/>
          <w:sz w:val="16"/>
          <w:szCs w:val="16"/>
        </w:rPr>
        <w:t xml:space="preserve"> </w:t>
      </w:r>
      <w:proofErr w:type="spellStart"/>
      <w:r w:rsidRPr="00691BB1">
        <w:rPr>
          <w:rFonts w:ascii="Arial" w:hAnsi="Arial" w:cs="Arial"/>
          <w:sz w:val="16"/>
          <w:szCs w:val="16"/>
        </w:rPr>
        <w:t>Folscher</w:t>
      </w:r>
      <w:proofErr w:type="spellEnd"/>
      <w:r w:rsidRPr="00691BB1">
        <w:rPr>
          <w:rFonts w:ascii="Arial" w:hAnsi="Arial" w:cs="Arial"/>
          <w:sz w:val="16"/>
          <w:szCs w:val="16"/>
        </w:rPr>
        <w:t xml:space="preserve">, A., and De </w:t>
      </w:r>
      <w:proofErr w:type="spellStart"/>
      <w:r w:rsidRPr="00691BB1">
        <w:rPr>
          <w:rFonts w:ascii="Arial" w:hAnsi="Arial" w:cs="Arial"/>
          <w:sz w:val="16"/>
          <w:szCs w:val="16"/>
        </w:rPr>
        <w:t>Renzio</w:t>
      </w:r>
      <w:proofErr w:type="spellEnd"/>
      <w:r w:rsidRPr="00691BB1">
        <w:rPr>
          <w:rFonts w:ascii="Arial" w:hAnsi="Arial" w:cs="Arial"/>
          <w:sz w:val="16"/>
          <w:szCs w:val="16"/>
        </w:rPr>
        <w:t>, P. (2017). “</w:t>
      </w:r>
      <w:hyperlink r:id="rId110" w:history="1">
        <w:r w:rsidRPr="00691BB1">
          <w:rPr>
            <w:rStyle w:val="Hyperlink"/>
            <w:rFonts w:ascii="Arial" w:hAnsi="Arial" w:cs="Arial"/>
            <w:sz w:val="16"/>
            <w:szCs w:val="16"/>
          </w:rPr>
          <w:t>The Road to Budget Transparency: Learning from Country Experience</w:t>
        </w:r>
      </w:hyperlink>
      <w:r w:rsidRPr="00691BB1">
        <w:rPr>
          <w:rFonts w:ascii="Arial" w:hAnsi="Arial" w:cs="Arial"/>
          <w:sz w:val="16"/>
          <w:szCs w:val="16"/>
        </w:rPr>
        <w:t xml:space="preserve">”. IBP. </w:t>
      </w:r>
    </w:p>
    <w:p w14:paraId="0FEE45C7" w14:textId="77777777" w:rsidR="00D15FD8" w:rsidRPr="00691BB1" w:rsidRDefault="00D15FD8" w:rsidP="000E65DC">
      <w:pPr>
        <w:pStyle w:val="FootnoteText"/>
        <w:jc w:val="both"/>
        <w:rPr>
          <w:rFonts w:ascii="Arial" w:hAnsi="Arial" w:cs="Arial"/>
          <w:sz w:val="16"/>
          <w:szCs w:val="16"/>
        </w:rPr>
      </w:pPr>
      <w:r w:rsidRPr="00691BB1">
        <w:rPr>
          <w:rFonts w:ascii="Arial" w:hAnsi="Arial" w:cs="Arial"/>
          <w:sz w:val="16"/>
          <w:szCs w:val="16"/>
        </w:rPr>
        <w:t>For further reading see also Michener, G. (2015). “</w:t>
      </w:r>
      <w:hyperlink r:id="rId111" w:history="1">
        <w:r w:rsidRPr="00691BB1">
          <w:rPr>
            <w:rStyle w:val="Hyperlink"/>
            <w:rFonts w:ascii="Arial" w:hAnsi="Arial" w:cs="Arial"/>
            <w:sz w:val="16"/>
            <w:szCs w:val="16"/>
          </w:rPr>
          <w:t>Why Policymakers Commit to Transparency: Legitimacy, Insurance, Monitoring and the Importance of the News Media as Mediator</w:t>
        </w:r>
      </w:hyperlink>
      <w:r w:rsidRPr="00691BB1">
        <w:rPr>
          <w:rFonts w:ascii="Arial" w:hAnsi="Arial" w:cs="Arial"/>
          <w:sz w:val="16"/>
          <w:szCs w:val="16"/>
        </w:rPr>
        <w:t>”. GIFT and IBP.</w:t>
      </w:r>
    </w:p>
    <w:p w14:paraId="42F79293" w14:textId="77777777" w:rsidR="00D15FD8" w:rsidRPr="003625BA" w:rsidRDefault="00D15FD8" w:rsidP="000E65DC">
      <w:pPr>
        <w:pStyle w:val="FootnoteText"/>
        <w:rPr>
          <w:rFonts w:ascii="Arial" w:hAnsi="Arial" w:cs="Arial"/>
          <w:lang w:val="en-ZA"/>
        </w:rPr>
      </w:pPr>
    </w:p>
  </w:footnote>
  <w:footnote w:id="87">
    <w:p w14:paraId="298BDFCF" w14:textId="77777777" w:rsidR="00D15FD8" w:rsidRPr="00691BB1" w:rsidRDefault="00D15FD8" w:rsidP="00562D59">
      <w:pPr>
        <w:pStyle w:val="FootnoteText"/>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For further reading see: </w:t>
      </w:r>
      <w:proofErr w:type="spellStart"/>
      <w:r w:rsidRPr="00691BB1">
        <w:rPr>
          <w:rFonts w:ascii="Arial" w:hAnsi="Arial" w:cs="Arial"/>
          <w:sz w:val="16"/>
          <w:szCs w:val="16"/>
          <w:lang w:val="en-US"/>
        </w:rPr>
        <w:t>Khemani</w:t>
      </w:r>
      <w:proofErr w:type="spellEnd"/>
      <w:r w:rsidRPr="00691BB1">
        <w:rPr>
          <w:rFonts w:ascii="Arial" w:hAnsi="Arial" w:cs="Arial"/>
          <w:sz w:val="16"/>
          <w:szCs w:val="16"/>
          <w:lang w:val="en-US"/>
        </w:rPr>
        <w:t>, S. (2019).  “</w:t>
      </w:r>
      <w:hyperlink r:id="rId112" w:history="1">
        <w:r w:rsidRPr="00691BB1">
          <w:rPr>
            <w:rStyle w:val="Hyperlink"/>
            <w:rFonts w:ascii="Arial" w:hAnsi="Arial" w:cs="Arial"/>
            <w:sz w:val="16"/>
            <w:szCs w:val="16"/>
            <w:lang w:val="en-US"/>
          </w:rPr>
          <w:t>What is State Capacity</w:t>
        </w:r>
      </w:hyperlink>
      <w:r w:rsidRPr="00691BB1">
        <w:rPr>
          <w:rFonts w:ascii="Arial" w:hAnsi="Arial" w:cs="Arial"/>
          <w:sz w:val="16"/>
          <w:szCs w:val="16"/>
          <w:lang w:val="en-US"/>
        </w:rPr>
        <w:t>?”. World Bank Group.</w:t>
      </w:r>
    </w:p>
  </w:footnote>
  <w:footnote w:id="88">
    <w:p w14:paraId="7615CE67" w14:textId="77777777" w:rsidR="00D15FD8" w:rsidRPr="003625BA" w:rsidRDefault="00D15FD8" w:rsidP="00562D59">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For an</w:t>
      </w:r>
      <w:r w:rsidRPr="00691BB1">
        <w:rPr>
          <w:rFonts w:ascii="Arial" w:hAnsi="Arial" w:cs="Arial"/>
          <w:sz w:val="16"/>
          <w:szCs w:val="16"/>
          <w:lang w:val="en-US"/>
        </w:rPr>
        <w:t xml:space="preserve"> analyzes of the role that ordinary citizens play in driving processes of societal transformation and institutional change</w:t>
      </w:r>
      <w:r w:rsidRPr="00691BB1">
        <w:rPr>
          <w:rFonts w:ascii="Arial" w:hAnsi="Arial" w:cs="Arial"/>
          <w:sz w:val="16"/>
          <w:szCs w:val="16"/>
        </w:rPr>
        <w:t xml:space="preserve"> see </w:t>
      </w:r>
      <w:r w:rsidRPr="00691BB1">
        <w:rPr>
          <w:rFonts w:ascii="Arial" w:hAnsi="Arial" w:cs="Arial"/>
          <w:sz w:val="16"/>
          <w:szCs w:val="16"/>
          <w:lang w:val="en-ZA"/>
        </w:rPr>
        <w:t>Chapter 8: Citizens as agents of change” in “</w:t>
      </w:r>
      <w:hyperlink r:id="rId113" w:history="1">
        <w:r w:rsidRPr="00691BB1">
          <w:rPr>
            <w:rStyle w:val="Hyperlink"/>
            <w:rFonts w:ascii="Arial" w:hAnsi="Arial" w:cs="Arial"/>
            <w:sz w:val="16"/>
            <w:szCs w:val="16"/>
            <w:lang w:val="en-ZA"/>
          </w:rPr>
          <w:t>World Development Report 2017: Governance and The Law</w:t>
        </w:r>
      </w:hyperlink>
      <w:r w:rsidRPr="00691BB1">
        <w:rPr>
          <w:rFonts w:ascii="Arial" w:hAnsi="Arial" w:cs="Arial"/>
          <w:sz w:val="16"/>
          <w:szCs w:val="16"/>
          <w:lang w:val="en-ZA"/>
        </w:rPr>
        <w:t>”.  World Bank Group.</w:t>
      </w:r>
    </w:p>
  </w:footnote>
  <w:footnote w:id="89">
    <w:p w14:paraId="3D9C4D30" w14:textId="77777777" w:rsidR="00D15FD8" w:rsidRPr="00691BB1" w:rsidRDefault="00D15FD8" w:rsidP="00562D59">
      <w:pPr>
        <w:pStyle w:val="FootnoteText"/>
        <w:jc w:val="both"/>
        <w:rPr>
          <w:rFonts w:ascii="Arial" w:hAnsi="Arial" w:cs="Arial"/>
          <w:sz w:val="16"/>
          <w:szCs w:val="16"/>
        </w:rPr>
      </w:pPr>
      <w:r w:rsidRPr="00691BB1">
        <w:rPr>
          <w:rStyle w:val="FootnoteReference"/>
          <w:rFonts w:ascii="Arial" w:hAnsi="Arial" w:cs="Arial"/>
          <w:sz w:val="16"/>
          <w:szCs w:val="16"/>
        </w:rPr>
        <w:footnoteRef/>
      </w:r>
      <w:r w:rsidRPr="00691BB1">
        <w:rPr>
          <w:rFonts w:ascii="Arial" w:hAnsi="Arial" w:cs="Arial"/>
          <w:sz w:val="16"/>
          <w:szCs w:val="16"/>
        </w:rPr>
        <w:t xml:space="preserve"> For further reading see:</w:t>
      </w:r>
    </w:p>
    <w:p w14:paraId="304A095F" w14:textId="77777777" w:rsidR="00D15FD8" w:rsidRPr="00691BB1" w:rsidRDefault="00D15FD8" w:rsidP="00562D59">
      <w:pPr>
        <w:pStyle w:val="FootnoteText"/>
        <w:jc w:val="both"/>
        <w:rPr>
          <w:rFonts w:ascii="Arial" w:hAnsi="Arial" w:cs="Arial"/>
          <w:sz w:val="16"/>
          <w:szCs w:val="16"/>
          <w:lang w:val="en-US"/>
        </w:rPr>
      </w:pPr>
      <w:proofErr w:type="spellStart"/>
      <w:r w:rsidRPr="00691BB1">
        <w:rPr>
          <w:rFonts w:ascii="Arial" w:hAnsi="Arial" w:cs="Arial"/>
          <w:sz w:val="16"/>
          <w:szCs w:val="16"/>
          <w:lang w:val="en-US"/>
        </w:rPr>
        <w:t>Khemani</w:t>
      </w:r>
      <w:proofErr w:type="spellEnd"/>
      <w:r w:rsidRPr="00691BB1">
        <w:rPr>
          <w:rFonts w:ascii="Arial" w:hAnsi="Arial" w:cs="Arial"/>
          <w:sz w:val="16"/>
          <w:szCs w:val="16"/>
          <w:lang w:val="en-US"/>
        </w:rPr>
        <w:t>, S. (2020). “</w:t>
      </w:r>
      <w:hyperlink r:id="rId114" w:history="1">
        <w:r w:rsidRPr="00691BB1">
          <w:rPr>
            <w:rStyle w:val="Hyperlink"/>
            <w:rFonts w:ascii="Arial" w:hAnsi="Arial" w:cs="Arial"/>
            <w:sz w:val="16"/>
            <w:szCs w:val="16"/>
            <w:lang w:val="en-US"/>
          </w:rPr>
          <w:t>An Opportunity to Build Legitimacy and Trust in Public Institutions in the Time of COVID-19</w:t>
        </w:r>
      </w:hyperlink>
      <w:r w:rsidRPr="00691BB1">
        <w:rPr>
          <w:rFonts w:ascii="Arial" w:hAnsi="Arial" w:cs="Arial"/>
          <w:sz w:val="16"/>
          <w:szCs w:val="16"/>
          <w:lang w:val="en-US"/>
        </w:rPr>
        <w:t>”.  World Bank Group.</w:t>
      </w:r>
    </w:p>
    <w:p w14:paraId="235660AC" w14:textId="5D47B1AB" w:rsidR="00D15FD8" w:rsidRPr="00691BB1" w:rsidRDefault="00D15FD8" w:rsidP="00562D59">
      <w:pPr>
        <w:pStyle w:val="FootnoteText"/>
        <w:jc w:val="both"/>
        <w:rPr>
          <w:rStyle w:val="Hyperlink"/>
          <w:rFonts w:ascii="Arial" w:hAnsi="Arial" w:cs="Arial"/>
          <w:sz w:val="16"/>
          <w:szCs w:val="16"/>
          <w:lang w:val="en-US"/>
        </w:rPr>
      </w:pPr>
      <w:r w:rsidRPr="00691BB1">
        <w:rPr>
          <w:rFonts w:ascii="Arial" w:hAnsi="Arial" w:cs="Arial"/>
          <w:sz w:val="16"/>
          <w:szCs w:val="16"/>
          <w:lang w:val="en-US"/>
        </w:rPr>
        <w:t>Guerrero, J. P. (2020). “</w:t>
      </w:r>
      <w:hyperlink r:id="rId115" w:history="1">
        <w:r w:rsidRPr="00691BB1">
          <w:rPr>
            <w:rStyle w:val="Hyperlink"/>
            <w:rFonts w:ascii="Arial" w:hAnsi="Arial" w:cs="Arial"/>
            <w:sz w:val="16"/>
            <w:szCs w:val="16"/>
            <w:lang w:val="en-US"/>
          </w:rPr>
          <w:t>COVID-19, Fiscal Transparency and Public Participation</w:t>
        </w:r>
      </w:hyperlink>
      <w:r w:rsidRPr="00691BB1">
        <w:rPr>
          <w:rFonts w:ascii="Arial" w:hAnsi="Arial" w:cs="Arial"/>
          <w:sz w:val="16"/>
          <w:szCs w:val="16"/>
        </w:rPr>
        <w:t>”. GIFT/IMF Blog.</w:t>
      </w:r>
    </w:p>
  </w:footnote>
  <w:footnote w:id="90">
    <w:p w14:paraId="43C7742F" w14:textId="77777777" w:rsidR="00D15FD8" w:rsidRPr="00691BB1" w:rsidRDefault="00D15FD8" w:rsidP="00562D59">
      <w:pPr>
        <w:pStyle w:val="FootnoteText"/>
        <w:rPr>
          <w:rFonts w:ascii="Arial" w:hAnsi="Arial" w:cs="Arial"/>
          <w:sz w:val="16"/>
          <w:szCs w:val="16"/>
        </w:rPr>
      </w:pPr>
      <w:r w:rsidRPr="00691BB1">
        <w:rPr>
          <w:rStyle w:val="FootnoteReference"/>
          <w:rFonts w:ascii="Arial" w:hAnsi="Arial" w:cs="Arial"/>
          <w:sz w:val="16"/>
          <w:szCs w:val="16"/>
        </w:rPr>
        <w:footnoteRef/>
      </w:r>
      <w:r w:rsidRPr="00691BB1">
        <w:rPr>
          <w:rFonts w:ascii="Arial" w:hAnsi="Arial" w:cs="Arial"/>
          <w:sz w:val="16"/>
          <w:szCs w:val="16"/>
        </w:rPr>
        <w:t xml:space="preserve"> “</w:t>
      </w:r>
      <w:hyperlink r:id="rId116" w:history="1">
        <w:r w:rsidRPr="00691BB1">
          <w:rPr>
            <w:rStyle w:val="Hyperlink"/>
            <w:rFonts w:ascii="Arial" w:hAnsi="Arial" w:cs="Arial"/>
            <w:sz w:val="16"/>
            <w:szCs w:val="16"/>
          </w:rPr>
          <w:t>Fiscal Data for Emergency Response: Guide for COVID-19 Version 1.1</w:t>
        </w:r>
      </w:hyperlink>
      <w:r w:rsidRPr="00691BB1">
        <w:rPr>
          <w:rFonts w:ascii="Arial" w:hAnsi="Arial" w:cs="Arial"/>
          <w:sz w:val="16"/>
          <w:szCs w:val="16"/>
        </w:rPr>
        <w:t>”. GIFT (2020).</w:t>
      </w:r>
    </w:p>
    <w:p w14:paraId="55C116C6" w14:textId="77777777" w:rsidR="00D15FD8" w:rsidRPr="00691BB1" w:rsidRDefault="00D15FD8" w:rsidP="00562D59">
      <w:pPr>
        <w:pStyle w:val="FootnoteText"/>
        <w:rPr>
          <w:rFonts w:ascii="Arial" w:hAnsi="Arial" w:cs="Arial"/>
          <w:sz w:val="16"/>
          <w:szCs w:val="16"/>
        </w:rPr>
      </w:pPr>
      <w:r w:rsidRPr="00691BB1">
        <w:rPr>
          <w:rFonts w:ascii="Arial" w:hAnsi="Arial" w:cs="Arial"/>
          <w:sz w:val="16"/>
          <w:szCs w:val="16"/>
        </w:rPr>
        <w:t>For further reading see:</w:t>
      </w:r>
    </w:p>
    <w:p w14:paraId="6B9392C1" w14:textId="77777777" w:rsidR="00D15FD8" w:rsidRPr="00691BB1" w:rsidRDefault="00D15FD8" w:rsidP="00562D59">
      <w:pPr>
        <w:pStyle w:val="FootnoteText"/>
        <w:rPr>
          <w:rFonts w:ascii="Arial" w:hAnsi="Arial" w:cs="Arial"/>
          <w:sz w:val="16"/>
          <w:szCs w:val="16"/>
        </w:rPr>
      </w:pPr>
      <w:r w:rsidRPr="00691BB1">
        <w:rPr>
          <w:rFonts w:ascii="Arial" w:hAnsi="Arial" w:cs="Arial"/>
          <w:sz w:val="16"/>
          <w:szCs w:val="16"/>
        </w:rPr>
        <w:t>Rivero del Paso, L., and Guerrero, J.P. (2020). “</w:t>
      </w:r>
      <w:hyperlink r:id="rId117" w:history="1">
        <w:r w:rsidRPr="00691BB1">
          <w:rPr>
            <w:rStyle w:val="Hyperlink"/>
            <w:rFonts w:ascii="Arial" w:hAnsi="Arial" w:cs="Arial"/>
            <w:sz w:val="16"/>
            <w:szCs w:val="16"/>
            <w:lang w:val="en-ZA"/>
          </w:rPr>
          <w:t>Fiscal Data for Emergency Response: Guide for COVID-19</w:t>
        </w:r>
      </w:hyperlink>
      <w:r w:rsidRPr="00691BB1">
        <w:rPr>
          <w:rFonts w:ascii="Arial" w:hAnsi="Arial" w:cs="Arial"/>
          <w:sz w:val="16"/>
          <w:szCs w:val="16"/>
          <w:lang w:val="en-US"/>
        </w:rPr>
        <w:t>”.</w:t>
      </w:r>
      <w:r w:rsidRPr="00691BB1">
        <w:rPr>
          <w:rFonts w:ascii="Arial" w:hAnsi="Arial" w:cs="Arial"/>
          <w:sz w:val="16"/>
          <w:szCs w:val="16"/>
        </w:rPr>
        <w:t xml:space="preserve"> GIFT Blog.</w:t>
      </w:r>
    </w:p>
    <w:p w14:paraId="04ED2DD6" w14:textId="29FD8501" w:rsidR="00D15FD8" w:rsidRPr="00691BB1" w:rsidRDefault="00D15FD8" w:rsidP="00562D59">
      <w:pPr>
        <w:pStyle w:val="FootnoteText"/>
        <w:rPr>
          <w:rFonts w:ascii="Arial" w:hAnsi="Arial" w:cs="Arial"/>
          <w:bCs/>
          <w:sz w:val="16"/>
          <w:szCs w:val="16"/>
          <w:lang w:val="en-US"/>
        </w:rPr>
      </w:pPr>
      <w:r w:rsidRPr="00691BB1">
        <w:rPr>
          <w:rFonts w:ascii="Arial" w:hAnsi="Arial" w:cs="Arial"/>
          <w:sz w:val="16"/>
          <w:szCs w:val="16"/>
        </w:rPr>
        <w:t>Fabian, M., and Ferreira, R. (2022).  “</w:t>
      </w:r>
      <w:hyperlink r:id="rId118" w:history="1">
        <w:r w:rsidRPr="00691BB1">
          <w:rPr>
            <w:rStyle w:val="Hyperlink"/>
            <w:rFonts w:ascii="Arial" w:hAnsi="Arial" w:cs="Arial"/>
            <w:bCs/>
            <w:sz w:val="16"/>
            <w:szCs w:val="16"/>
            <w:lang w:val="en-US"/>
          </w:rPr>
          <w:t>Civil Society’s Key Role in Promoting Transparent COVID-19 Fiscal Responses</w:t>
        </w:r>
      </w:hyperlink>
      <w:r w:rsidRPr="00691BB1">
        <w:rPr>
          <w:rFonts w:ascii="Arial" w:hAnsi="Arial" w:cs="Arial"/>
          <w:bCs/>
          <w:sz w:val="16"/>
          <w:szCs w:val="16"/>
          <w:lang w:val="en-US"/>
        </w:rPr>
        <w:t>”</w:t>
      </w:r>
      <w:r w:rsidRPr="00691BB1">
        <w:rPr>
          <w:rFonts w:ascii="Arial" w:hAnsi="Arial" w:cs="Arial"/>
          <w:b/>
          <w:bCs/>
          <w:sz w:val="16"/>
          <w:szCs w:val="16"/>
          <w:lang w:val="en-US"/>
        </w:rPr>
        <w:t xml:space="preserve">. </w:t>
      </w:r>
      <w:r w:rsidRPr="00691BB1">
        <w:rPr>
          <w:rFonts w:ascii="Arial" w:hAnsi="Arial" w:cs="Arial"/>
          <w:bCs/>
          <w:sz w:val="16"/>
          <w:szCs w:val="16"/>
          <w:lang w:val="en-US"/>
        </w:rPr>
        <w:t>GIFT/IMF Blog.</w:t>
      </w:r>
    </w:p>
    <w:p w14:paraId="1A041EBF" w14:textId="7B75DB7B" w:rsidR="00D15FD8" w:rsidRPr="00691BB1" w:rsidRDefault="00D15FD8" w:rsidP="00562D59">
      <w:pPr>
        <w:pStyle w:val="FootnoteText"/>
        <w:rPr>
          <w:rFonts w:ascii="Arial" w:hAnsi="Arial" w:cs="Arial"/>
          <w:bCs/>
          <w:sz w:val="16"/>
          <w:szCs w:val="16"/>
          <w:lang w:val="en-US"/>
        </w:rPr>
      </w:pPr>
      <w:r w:rsidRPr="00691BB1">
        <w:rPr>
          <w:rFonts w:ascii="Arial" w:hAnsi="Arial" w:cs="Arial"/>
          <w:bCs/>
          <w:sz w:val="16"/>
          <w:szCs w:val="16"/>
        </w:rPr>
        <w:t>Martinez, A., and Guerrero, J. P. (2022). “</w:t>
      </w:r>
      <w:hyperlink r:id="rId119" w:history="1">
        <w:r w:rsidRPr="00691BB1">
          <w:rPr>
            <w:rStyle w:val="Hyperlink"/>
            <w:rFonts w:ascii="Arial" w:hAnsi="Arial" w:cs="Arial"/>
            <w:bCs/>
            <w:sz w:val="16"/>
            <w:szCs w:val="16"/>
            <w:lang w:val="en-US"/>
          </w:rPr>
          <w:t>Disclosing Fiscal Information during COVID-19 - Country Experiences</w:t>
        </w:r>
      </w:hyperlink>
      <w:r w:rsidRPr="00691BB1">
        <w:rPr>
          <w:rFonts w:ascii="Arial" w:hAnsi="Arial" w:cs="Arial"/>
          <w:bCs/>
          <w:sz w:val="16"/>
          <w:szCs w:val="16"/>
          <w:lang w:val="en-US"/>
        </w:rPr>
        <w:t>”. GIFT/IMF Blog.</w:t>
      </w:r>
    </w:p>
    <w:p w14:paraId="2B1C3B1D" w14:textId="77777777" w:rsidR="00D15FD8" w:rsidRPr="00691BB1" w:rsidRDefault="00D15FD8" w:rsidP="00562D59">
      <w:pPr>
        <w:pStyle w:val="FootnoteText"/>
        <w:rPr>
          <w:rFonts w:ascii="Arial" w:hAnsi="Arial" w:cs="Arial"/>
          <w:sz w:val="16"/>
          <w:szCs w:val="16"/>
          <w:lang w:val="en-US"/>
        </w:rPr>
      </w:pPr>
      <w:r w:rsidRPr="00691BB1">
        <w:rPr>
          <w:rFonts w:ascii="Arial" w:hAnsi="Arial" w:cs="Arial"/>
          <w:bCs/>
          <w:sz w:val="16"/>
          <w:szCs w:val="16"/>
          <w:lang w:val="en-US"/>
        </w:rPr>
        <w:t>“</w:t>
      </w:r>
      <w:hyperlink r:id="rId120" w:tgtFrame="_self" w:history="1">
        <w:r w:rsidRPr="00691BB1">
          <w:rPr>
            <w:rStyle w:val="Hyperlink"/>
            <w:rFonts w:ascii="Arial" w:hAnsi="Arial" w:cs="Arial"/>
            <w:bCs/>
            <w:sz w:val="16"/>
            <w:szCs w:val="16"/>
            <w:lang w:val="en-US"/>
          </w:rPr>
          <w:t>Fiscal Transparency During the Covid-19 Emergency Response: Bosnia and Herzegovina, North Macedonia, Serbia</w:t>
        </w:r>
      </w:hyperlink>
      <w:r w:rsidRPr="00691BB1">
        <w:rPr>
          <w:rFonts w:ascii="Arial" w:hAnsi="Arial" w:cs="Arial"/>
          <w:bCs/>
          <w:sz w:val="16"/>
          <w:szCs w:val="16"/>
          <w:lang w:val="en-US"/>
        </w:rPr>
        <w:t xml:space="preserve">”. (2022) </w:t>
      </w:r>
      <w:proofErr w:type="spellStart"/>
      <w:r w:rsidRPr="00691BB1">
        <w:rPr>
          <w:rFonts w:ascii="Arial" w:hAnsi="Arial" w:cs="Arial"/>
          <w:bCs/>
          <w:sz w:val="16"/>
          <w:szCs w:val="16"/>
          <w:lang w:val="en-US"/>
        </w:rPr>
        <w:t>UKaid</w:t>
      </w:r>
      <w:proofErr w:type="spellEnd"/>
      <w:r w:rsidRPr="00691BB1">
        <w:rPr>
          <w:rFonts w:ascii="Arial" w:hAnsi="Arial" w:cs="Arial"/>
          <w:bCs/>
          <w:sz w:val="16"/>
          <w:szCs w:val="16"/>
          <w:lang w:val="en-US"/>
        </w:rPr>
        <w:t>, World Bank Group and GIFT.</w:t>
      </w:r>
    </w:p>
  </w:footnote>
  <w:footnote w:id="91">
    <w:p w14:paraId="75148413" w14:textId="77777777" w:rsidR="00D15FD8" w:rsidRPr="00336006" w:rsidRDefault="00D15FD8" w:rsidP="00562D59">
      <w:pPr>
        <w:pStyle w:val="FootnoteText"/>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w:t>
      </w:r>
      <w:hyperlink r:id="rId121" w:history="1">
        <w:r w:rsidRPr="00691BB1">
          <w:rPr>
            <w:rStyle w:val="Hyperlink"/>
            <w:rFonts w:ascii="Arial" w:hAnsi="Arial" w:cs="Arial"/>
            <w:sz w:val="16"/>
            <w:szCs w:val="16"/>
            <w:lang w:val="en-ZA"/>
          </w:rPr>
          <w:t>Managing COVID Funds: The Accountability Gap</w:t>
        </w:r>
      </w:hyperlink>
      <w:r w:rsidRPr="00691BB1">
        <w:rPr>
          <w:rFonts w:ascii="Arial" w:hAnsi="Arial" w:cs="Arial"/>
          <w:sz w:val="16"/>
          <w:szCs w:val="16"/>
        </w:rPr>
        <w:t>.” IBP (2021).</w:t>
      </w:r>
    </w:p>
  </w:footnote>
  <w:footnote w:id="92">
    <w:p w14:paraId="30D3CAB0" w14:textId="77777777" w:rsidR="00D15FD8" w:rsidRPr="00691BB1" w:rsidRDefault="00D15FD8" w:rsidP="008130BF">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For further reading see </w:t>
      </w:r>
      <w:hyperlink r:id="rId122" w:history="1">
        <w:r w:rsidRPr="00691BB1">
          <w:rPr>
            <w:rStyle w:val="Hyperlink"/>
            <w:rFonts w:ascii="Arial" w:hAnsi="Arial" w:cs="Arial"/>
            <w:sz w:val="16"/>
            <w:szCs w:val="16"/>
            <w:lang w:val="en-ZA"/>
          </w:rPr>
          <w:t>Open Budget Survey (OBS) 2017</w:t>
        </w:r>
      </w:hyperlink>
      <w:r w:rsidRPr="00691BB1">
        <w:rPr>
          <w:rFonts w:ascii="Arial" w:hAnsi="Arial" w:cs="Arial"/>
          <w:sz w:val="16"/>
          <w:szCs w:val="16"/>
          <w:lang w:val="en-ZA"/>
        </w:rPr>
        <w:t xml:space="preserve"> report.</w:t>
      </w:r>
    </w:p>
  </w:footnote>
  <w:footnote w:id="93">
    <w:p w14:paraId="28C88E68" w14:textId="77777777" w:rsidR="00D15FD8" w:rsidRPr="00336006" w:rsidRDefault="00D15FD8" w:rsidP="00E83AF5">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These countries experiences are profiled in the </w:t>
      </w:r>
      <w:hyperlink r:id="rId123" w:history="1">
        <w:r w:rsidRPr="00691BB1">
          <w:rPr>
            <w:rStyle w:val="Hyperlink"/>
            <w:rFonts w:ascii="Arial" w:hAnsi="Arial" w:cs="Arial"/>
            <w:sz w:val="16"/>
            <w:szCs w:val="16"/>
            <w:lang w:val="en-US"/>
          </w:rPr>
          <w:t>Open Budget Survey (OBS) 2019</w:t>
        </w:r>
      </w:hyperlink>
      <w:r w:rsidRPr="00691BB1">
        <w:rPr>
          <w:rFonts w:ascii="Arial" w:hAnsi="Arial" w:cs="Arial"/>
          <w:sz w:val="16"/>
          <w:szCs w:val="16"/>
          <w:lang w:val="en-ZA"/>
        </w:rPr>
        <w:t xml:space="preserve"> report from pages 42 to 44.</w:t>
      </w:r>
    </w:p>
  </w:footnote>
  <w:footnote w:id="94">
    <w:p w14:paraId="310BECAC" w14:textId="77777777" w:rsidR="00D15FD8" w:rsidRPr="00691BB1" w:rsidRDefault="00D15FD8" w:rsidP="00E83AF5">
      <w:pPr>
        <w:pStyle w:val="FootnoteText"/>
        <w:jc w:val="both"/>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An IMF interview with Trevor A. Manuel can be accessed on this </w:t>
      </w:r>
      <w:hyperlink r:id="rId124" w:tgtFrame="[object Object]" w:history="1">
        <w:r w:rsidRPr="00691BB1">
          <w:rPr>
            <w:rStyle w:val="Hyperlink"/>
            <w:rFonts w:ascii="Arial" w:hAnsi="Arial" w:cs="Arial"/>
            <w:sz w:val="16"/>
            <w:szCs w:val="16"/>
          </w:rPr>
          <w:t>link</w:t>
        </w:r>
      </w:hyperlink>
      <w:r w:rsidRPr="00691BB1">
        <w:rPr>
          <w:rFonts w:ascii="Arial" w:hAnsi="Arial" w:cs="Arial"/>
          <w:sz w:val="16"/>
          <w:szCs w:val="16"/>
        </w:rPr>
        <w:t>. This video is the property of the IMF and produced by the IMF Fiscal Affairs Department as part of the Public Financial Management online course (</w:t>
      </w:r>
      <w:proofErr w:type="spellStart"/>
      <w:r w:rsidRPr="00691BB1">
        <w:rPr>
          <w:rFonts w:ascii="Arial" w:hAnsi="Arial" w:cs="Arial"/>
          <w:sz w:val="16"/>
          <w:szCs w:val="16"/>
        </w:rPr>
        <w:t>PFMx</w:t>
      </w:r>
      <w:proofErr w:type="spellEnd"/>
      <w:r w:rsidRPr="00691BB1">
        <w:rPr>
          <w:rFonts w:ascii="Arial" w:hAnsi="Arial" w:cs="Arial"/>
          <w:sz w:val="16"/>
          <w:szCs w:val="16"/>
        </w:rPr>
        <w:t>).</w:t>
      </w:r>
    </w:p>
  </w:footnote>
  <w:footnote w:id="95">
    <w:p w14:paraId="31834180" w14:textId="77777777" w:rsidR="00D15FD8" w:rsidRPr="00691BB1" w:rsidRDefault="00D15FD8" w:rsidP="00E83AF5">
      <w:pPr>
        <w:pStyle w:val="FootnoteText"/>
        <w:rPr>
          <w:rFonts w:ascii="Arial" w:hAnsi="Arial" w:cs="Arial"/>
          <w:sz w:val="16"/>
          <w:szCs w:val="16"/>
        </w:rPr>
      </w:pPr>
      <w:r w:rsidRPr="00691BB1">
        <w:rPr>
          <w:rStyle w:val="FootnoteReference"/>
          <w:rFonts w:ascii="Arial" w:hAnsi="Arial" w:cs="Arial"/>
          <w:sz w:val="16"/>
          <w:szCs w:val="16"/>
        </w:rPr>
        <w:footnoteRef/>
      </w:r>
      <w:r w:rsidRPr="00691BB1">
        <w:rPr>
          <w:rFonts w:ascii="Arial" w:hAnsi="Arial" w:cs="Arial"/>
          <w:sz w:val="16"/>
          <w:szCs w:val="16"/>
        </w:rPr>
        <w:t xml:space="preserve"> </w:t>
      </w:r>
      <w:proofErr w:type="spellStart"/>
      <w:r w:rsidRPr="00691BB1">
        <w:rPr>
          <w:rFonts w:ascii="Arial" w:hAnsi="Arial" w:cs="Arial"/>
          <w:sz w:val="16"/>
          <w:szCs w:val="16"/>
        </w:rPr>
        <w:t>Folscher</w:t>
      </w:r>
      <w:proofErr w:type="spellEnd"/>
      <w:r w:rsidRPr="00691BB1">
        <w:rPr>
          <w:rFonts w:ascii="Arial" w:hAnsi="Arial" w:cs="Arial"/>
          <w:sz w:val="16"/>
          <w:szCs w:val="16"/>
        </w:rPr>
        <w:t xml:space="preserve">, A., and De </w:t>
      </w:r>
      <w:proofErr w:type="spellStart"/>
      <w:r w:rsidRPr="00691BB1">
        <w:rPr>
          <w:rFonts w:ascii="Arial" w:hAnsi="Arial" w:cs="Arial"/>
          <w:sz w:val="16"/>
          <w:szCs w:val="16"/>
        </w:rPr>
        <w:t>Renzio</w:t>
      </w:r>
      <w:proofErr w:type="spellEnd"/>
      <w:r w:rsidRPr="00691BB1">
        <w:rPr>
          <w:rFonts w:ascii="Arial" w:hAnsi="Arial" w:cs="Arial"/>
          <w:sz w:val="16"/>
          <w:szCs w:val="16"/>
        </w:rPr>
        <w:t>, P. (2017). “</w:t>
      </w:r>
      <w:hyperlink r:id="rId125" w:history="1">
        <w:r w:rsidRPr="00691BB1">
          <w:rPr>
            <w:rStyle w:val="Hyperlink"/>
            <w:rFonts w:ascii="Arial" w:hAnsi="Arial" w:cs="Arial"/>
            <w:sz w:val="16"/>
            <w:szCs w:val="16"/>
          </w:rPr>
          <w:t>The Road to Budget Transparency: Learning from Country Experience</w:t>
        </w:r>
      </w:hyperlink>
      <w:r w:rsidRPr="00691BB1">
        <w:rPr>
          <w:rFonts w:ascii="Arial" w:hAnsi="Arial" w:cs="Arial"/>
          <w:sz w:val="16"/>
          <w:szCs w:val="16"/>
        </w:rPr>
        <w:t>”. IBP.</w:t>
      </w:r>
    </w:p>
    <w:p w14:paraId="13749C20" w14:textId="77777777" w:rsidR="00D15FD8" w:rsidRPr="00691BB1" w:rsidRDefault="00D15FD8" w:rsidP="00E83AF5">
      <w:pPr>
        <w:pStyle w:val="FootnoteText"/>
        <w:rPr>
          <w:rFonts w:ascii="Arial" w:hAnsi="Arial" w:cs="Arial"/>
          <w:sz w:val="16"/>
          <w:szCs w:val="16"/>
          <w:lang w:val="en-ZA"/>
        </w:rPr>
      </w:pPr>
      <w:r w:rsidRPr="00691BB1">
        <w:rPr>
          <w:rFonts w:ascii="Arial" w:hAnsi="Arial" w:cs="Arial"/>
          <w:sz w:val="16"/>
          <w:szCs w:val="16"/>
        </w:rPr>
        <w:t xml:space="preserve">See also: </w:t>
      </w:r>
      <w:proofErr w:type="spellStart"/>
      <w:r w:rsidRPr="00691BB1">
        <w:rPr>
          <w:rFonts w:ascii="Arial" w:hAnsi="Arial" w:cs="Arial"/>
          <w:sz w:val="16"/>
          <w:szCs w:val="16"/>
          <w:lang w:val="en-US"/>
        </w:rPr>
        <w:t>Khemani</w:t>
      </w:r>
      <w:proofErr w:type="spellEnd"/>
      <w:r w:rsidRPr="00691BB1">
        <w:rPr>
          <w:rFonts w:ascii="Arial" w:hAnsi="Arial" w:cs="Arial"/>
          <w:sz w:val="16"/>
          <w:szCs w:val="16"/>
          <w:lang w:val="en-US"/>
        </w:rPr>
        <w:t>, S. (2019).  “</w:t>
      </w:r>
      <w:hyperlink r:id="rId126" w:history="1">
        <w:r w:rsidRPr="00691BB1">
          <w:rPr>
            <w:rStyle w:val="Hyperlink"/>
            <w:rFonts w:ascii="Arial" w:hAnsi="Arial" w:cs="Arial"/>
            <w:sz w:val="16"/>
            <w:szCs w:val="16"/>
            <w:lang w:val="en-US"/>
          </w:rPr>
          <w:t>What is State Capacity</w:t>
        </w:r>
      </w:hyperlink>
      <w:r w:rsidRPr="00691BB1">
        <w:rPr>
          <w:rFonts w:ascii="Arial" w:hAnsi="Arial" w:cs="Arial"/>
          <w:sz w:val="16"/>
          <w:szCs w:val="16"/>
          <w:lang w:val="en-US"/>
        </w:rPr>
        <w:t>?” World Bank Group.</w:t>
      </w:r>
    </w:p>
  </w:footnote>
  <w:footnote w:id="96">
    <w:p w14:paraId="7B963C2E" w14:textId="77777777" w:rsidR="00D15FD8" w:rsidRPr="00336006" w:rsidRDefault="00D15FD8" w:rsidP="00E83AF5">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See IBP</w:t>
      </w:r>
      <w:r w:rsidRPr="00691BB1">
        <w:rPr>
          <w:rFonts w:ascii="Arial" w:hAnsi="Arial" w:cs="Arial"/>
          <w:sz w:val="16"/>
          <w:szCs w:val="16"/>
          <w:lang w:val="en-ZA"/>
        </w:rPr>
        <w:t xml:space="preserve"> interviews with some fiscal transparency champions on this </w:t>
      </w:r>
      <w:hyperlink r:id="rId127" w:history="1">
        <w:r w:rsidRPr="00691BB1">
          <w:rPr>
            <w:rStyle w:val="Hyperlink"/>
            <w:rFonts w:ascii="Arial" w:hAnsi="Arial" w:cs="Arial"/>
            <w:sz w:val="16"/>
            <w:szCs w:val="16"/>
            <w:lang w:val="en-ZA"/>
          </w:rPr>
          <w:t>link</w:t>
        </w:r>
      </w:hyperlink>
      <w:r w:rsidRPr="00691BB1">
        <w:rPr>
          <w:rStyle w:val="Hyperlink"/>
          <w:rFonts w:ascii="Arial" w:hAnsi="Arial" w:cs="Arial"/>
          <w:sz w:val="16"/>
          <w:szCs w:val="16"/>
          <w:lang w:val="en-ZA"/>
        </w:rPr>
        <w:t>;</w:t>
      </w:r>
      <w:r w:rsidRPr="00691BB1">
        <w:rPr>
          <w:rStyle w:val="Hyperlink"/>
          <w:rFonts w:ascii="Arial" w:hAnsi="Arial" w:cs="Arial"/>
          <w:color w:val="auto"/>
          <w:sz w:val="16"/>
          <w:szCs w:val="16"/>
          <w:u w:val="none"/>
          <w:lang w:val="en-ZA"/>
        </w:rPr>
        <w:t xml:space="preserve"> and</w:t>
      </w:r>
      <w:r w:rsidRPr="00691BB1">
        <w:rPr>
          <w:rFonts w:ascii="Arial" w:hAnsi="Arial" w:cs="Arial"/>
          <w:sz w:val="16"/>
          <w:szCs w:val="16"/>
          <w:lang w:val="en-ZA"/>
        </w:rPr>
        <w:t xml:space="preserve"> D</w:t>
      </w:r>
      <w:r w:rsidRPr="00691BB1">
        <w:rPr>
          <w:rFonts w:ascii="Arial" w:hAnsi="Arial" w:cs="Arial"/>
          <w:sz w:val="16"/>
          <w:szCs w:val="16"/>
          <w:lang w:val="en-US"/>
        </w:rPr>
        <w:t xml:space="preserve">e </w:t>
      </w:r>
      <w:proofErr w:type="spellStart"/>
      <w:r w:rsidRPr="00691BB1">
        <w:rPr>
          <w:rFonts w:ascii="Arial" w:hAnsi="Arial" w:cs="Arial"/>
          <w:sz w:val="16"/>
          <w:szCs w:val="16"/>
          <w:lang w:val="en-US"/>
        </w:rPr>
        <w:t>Renzio</w:t>
      </w:r>
      <w:proofErr w:type="spellEnd"/>
      <w:r w:rsidRPr="00691BB1">
        <w:rPr>
          <w:rFonts w:ascii="Arial" w:hAnsi="Arial" w:cs="Arial"/>
          <w:sz w:val="16"/>
          <w:szCs w:val="16"/>
          <w:lang w:val="en-US"/>
        </w:rPr>
        <w:t>, P. (2017). “</w:t>
      </w:r>
      <w:hyperlink r:id="rId128" w:history="1">
        <w:r w:rsidRPr="00691BB1">
          <w:rPr>
            <w:rStyle w:val="Hyperlink"/>
            <w:rFonts w:ascii="Arial" w:hAnsi="Arial" w:cs="Arial"/>
            <w:sz w:val="16"/>
            <w:szCs w:val="16"/>
            <w:lang w:val="en-ZA"/>
          </w:rPr>
          <w:t>Why OPEN Government? Looking at incentives for fiscal openness through the eyes of experts and reform champions</w:t>
        </w:r>
      </w:hyperlink>
      <w:r w:rsidRPr="00691BB1">
        <w:rPr>
          <w:rFonts w:ascii="Arial" w:hAnsi="Arial" w:cs="Arial"/>
          <w:sz w:val="16"/>
          <w:szCs w:val="16"/>
          <w:lang w:val="en-ZA"/>
        </w:rPr>
        <w:t>”. GIFT and IBP.</w:t>
      </w:r>
    </w:p>
  </w:footnote>
  <w:footnote w:id="97">
    <w:p w14:paraId="7F4E9D62" w14:textId="77777777" w:rsidR="00D15FD8" w:rsidRPr="00691BB1" w:rsidRDefault="00D15FD8" w:rsidP="00E21637">
      <w:pPr>
        <w:pStyle w:val="FootnoteText"/>
        <w:jc w:val="both"/>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lang w:val="en-ZA"/>
        </w:rPr>
        <w:t xml:space="preserve"> For further reading see </w:t>
      </w:r>
      <w:proofErr w:type="spellStart"/>
      <w:r w:rsidRPr="00691BB1">
        <w:rPr>
          <w:rFonts w:ascii="Arial" w:hAnsi="Arial" w:cs="Arial"/>
          <w:sz w:val="16"/>
          <w:szCs w:val="16"/>
        </w:rPr>
        <w:t>Sarr</w:t>
      </w:r>
      <w:proofErr w:type="spellEnd"/>
      <w:r w:rsidRPr="00691BB1">
        <w:rPr>
          <w:rFonts w:ascii="Arial" w:hAnsi="Arial" w:cs="Arial"/>
          <w:sz w:val="16"/>
          <w:szCs w:val="16"/>
        </w:rPr>
        <w:t>, B., and Friedman, J. (2016). “</w:t>
      </w:r>
      <w:hyperlink r:id="rId129" w:history="1">
        <w:r w:rsidRPr="00691BB1">
          <w:rPr>
            <w:rStyle w:val="Hyperlink"/>
            <w:rFonts w:ascii="Arial" w:hAnsi="Arial" w:cs="Arial"/>
            <w:sz w:val="16"/>
            <w:szCs w:val="16"/>
          </w:rPr>
          <w:t>The Road to 61: Achieving Sufficient Levels of Budget Transparency</w:t>
        </w:r>
      </w:hyperlink>
      <w:r w:rsidRPr="00691BB1">
        <w:rPr>
          <w:rFonts w:ascii="Arial" w:hAnsi="Arial" w:cs="Arial"/>
          <w:sz w:val="16"/>
          <w:szCs w:val="16"/>
        </w:rPr>
        <w:t>”. IBP.</w:t>
      </w:r>
    </w:p>
  </w:footnote>
  <w:footnote w:id="98">
    <w:p w14:paraId="50F2C861" w14:textId="77777777" w:rsidR="00D15FD8" w:rsidRPr="00691BB1" w:rsidRDefault="00D15FD8" w:rsidP="00E21637">
      <w:pPr>
        <w:pStyle w:val="FootnoteText"/>
        <w:rPr>
          <w:rFonts w:ascii="Arial" w:hAnsi="Arial" w:cs="Arial"/>
          <w:sz w:val="16"/>
          <w:szCs w:val="16"/>
        </w:rPr>
      </w:pPr>
      <w:r w:rsidRPr="00691BB1">
        <w:rPr>
          <w:rStyle w:val="FootnoteReference"/>
          <w:rFonts w:ascii="Arial" w:hAnsi="Arial" w:cs="Arial"/>
          <w:sz w:val="16"/>
          <w:szCs w:val="16"/>
        </w:rPr>
        <w:footnoteRef/>
      </w:r>
      <w:r w:rsidRPr="00691BB1">
        <w:rPr>
          <w:rFonts w:ascii="Arial" w:hAnsi="Arial" w:cs="Arial"/>
          <w:sz w:val="16"/>
          <w:szCs w:val="16"/>
        </w:rPr>
        <w:t xml:space="preserve"> </w:t>
      </w:r>
      <w:proofErr w:type="spellStart"/>
      <w:r w:rsidRPr="00691BB1">
        <w:rPr>
          <w:rFonts w:ascii="Arial" w:hAnsi="Arial" w:cs="Arial"/>
          <w:sz w:val="16"/>
          <w:szCs w:val="16"/>
        </w:rPr>
        <w:t>Folscher</w:t>
      </w:r>
      <w:proofErr w:type="spellEnd"/>
      <w:r w:rsidRPr="00691BB1">
        <w:rPr>
          <w:rFonts w:ascii="Arial" w:hAnsi="Arial" w:cs="Arial"/>
          <w:sz w:val="16"/>
          <w:szCs w:val="16"/>
        </w:rPr>
        <w:t xml:space="preserve">, A., and De </w:t>
      </w:r>
      <w:proofErr w:type="spellStart"/>
      <w:r w:rsidRPr="00691BB1">
        <w:rPr>
          <w:rFonts w:ascii="Arial" w:hAnsi="Arial" w:cs="Arial"/>
          <w:sz w:val="16"/>
          <w:szCs w:val="16"/>
        </w:rPr>
        <w:t>Renzio</w:t>
      </w:r>
      <w:proofErr w:type="spellEnd"/>
      <w:r w:rsidRPr="00691BB1">
        <w:rPr>
          <w:rFonts w:ascii="Arial" w:hAnsi="Arial" w:cs="Arial"/>
          <w:sz w:val="16"/>
          <w:szCs w:val="16"/>
        </w:rPr>
        <w:t>, P (2017). “</w:t>
      </w:r>
      <w:hyperlink r:id="rId130" w:history="1">
        <w:r w:rsidRPr="00691BB1">
          <w:rPr>
            <w:rStyle w:val="Hyperlink"/>
            <w:rFonts w:ascii="Arial" w:hAnsi="Arial" w:cs="Arial"/>
            <w:sz w:val="16"/>
            <w:szCs w:val="16"/>
          </w:rPr>
          <w:t>The Road to Budget Transparency: Learning from Country Experience</w:t>
        </w:r>
      </w:hyperlink>
      <w:r w:rsidRPr="00691BB1">
        <w:rPr>
          <w:rFonts w:ascii="Arial" w:hAnsi="Arial" w:cs="Arial"/>
          <w:sz w:val="16"/>
          <w:szCs w:val="16"/>
        </w:rPr>
        <w:t xml:space="preserve">”. IBP. </w:t>
      </w:r>
    </w:p>
    <w:p w14:paraId="0CFE011E" w14:textId="77777777" w:rsidR="00D15FD8" w:rsidRPr="00691BB1" w:rsidRDefault="00D15FD8" w:rsidP="00E21637">
      <w:pPr>
        <w:pStyle w:val="FootnoteText"/>
        <w:rPr>
          <w:rFonts w:ascii="Arial" w:hAnsi="Arial" w:cs="Arial"/>
          <w:sz w:val="16"/>
          <w:szCs w:val="16"/>
        </w:rPr>
      </w:pPr>
      <w:r w:rsidRPr="00691BB1">
        <w:rPr>
          <w:rFonts w:ascii="Arial" w:hAnsi="Arial" w:cs="Arial"/>
          <w:sz w:val="16"/>
          <w:szCs w:val="16"/>
        </w:rPr>
        <w:t>See also:</w:t>
      </w:r>
    </w:p>
    <w:p w14:paraId="077D8124" w14:textId="77777777" w:rsidR="00D15FD8" w:rsidRPr="00691BB1" w:rsidRDefault="00D15FD8" w:rsidP="00E21637">
      <w:pPr>
        <w:pStyle w:val="FootnoteText"/>
        <w:rPr>
          <w:rFonts w:ascii="Arial" w:hAnsi="Arial" w:cs="Arial"/>
          <w:sz w:val="16"/>
          <w:szCs w:val="16"/>
          <w:lang w:val="en-ZA"/>
        </w:rPr>
      </w:pPr>
      <w:r w:rsidRPr="00691BB1">
        <w:rPr>
          <w:rFonts w:ascii="Arial" w:hAnsi="Arial" w:cs="Arial"/>
          <w:sz w:val="16"/>
          <w:szCs w:val="16"/>
          <w:lang w:val="en-US"/>
        </w:rPr>
        <w:t xml:space="preserve">De </w:t>
      </w:r>
      <w:proofErr w:type="spellStart"/>
      <w:r w:rsidRPr="00691BB1">
        <w:rPr>
          <w:rFonts w:ascii="Arial" w:hAnsi="Arial" w:cs="Arial"/>
          <w:sz w:val="16"/>
          <w:szCs w:val="16"/>
          <w:lang w:val="en-US"/>
        </w:rPr>
        <w:t>Renzio</w:t>
      </w:r>
      <w:proofErr w:type="spellEnd"/>
      <w:r w:rsidRPr="00691BB1">
        <w:rPr>
          <w:rFonts w:ascii="Arial" w:hAnsi="Arial" w:cs="Arial"/>
          <w:sz w:val="16"/>
          <w:szCs w:val="16"/>
          <w:lang w:val="en-US"/>
        </w:rPr>
        <w:t>, P., Hiller D., and Hasan, S. (2017) “</w:t>
      </w:r>
      <w:hyperlink r:id="rId131" w:history="1">
        <w:r w:rsidRPr="00691BB1">
          <w:rPr>
            <w:rStyle w:val="Hyperlink"/>
            <w:rFonts w:ascii="Arial" w:hAnsi="Arial" w:cs="Arial"/>
            <w:sz w:val="16"/>
            <w:szCs w:val="16"/>
            <w:lang w:val="en-US"/>
          </w:rPr>
          <w:t>Taking Stock of the Volatility of Budget Transparency</w:t>
        </w:r>
      </w:hyperlink>
      <w:r w:rsidRPr="00691BB1">
        <w:rPr>
          <w:rFonts w:ascii="Arial" w:hAnsi="Arial" w:cs="Arial"/>
          <w:sz w:val="16"/>
          <w:szCs w:val="16"/>
          <w:lang w:val="en-US"/>
        </w:rPr>
        <w:t>”. IBP.</w:t>
      </w:r>
    </w:p>
  </w:footnote>
  <w:footnote w:id="99">
    <w:p w14:paraId="74D0001E" w14:textId="77777777" w:rsidR="00D15FD8" w:rsidRPr="003625BA" w:rsidRDefault="00D15FD8" w:rsidP="00E21637">
      <w:pPr>
        <w:pStyle w:val="FootnoteText"/>
        <w:rPr>
          <w:rFonts w:ascii="Arial" w:hAnsi="Arial" w:cs="Arial"/>
          <w:sz w:val="16"/>
          <w:szCs w:val="16"/>
          <w:lang w:val="en-ZA"/>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For further reading see “Spotlight 3: How do effective and equitable legal institutions emerge?” in “</w:t>
      </w:r>
      <w:hyperlink r:id="rId132" w:history="1">
        <w:r w:rsidRPr="00691BB1">
          <w:rPr>
            <w:rStyle w:val="Hyperlink"/>
            <w:rFonts w:ascii="Arial" w:hAnsi="Arial" w:cs="Arial"/>
            <w:sz w:val="16"/>
            <w:szCs w:val="16"/>
            <w:lang w:val="en-ZA"/>
          </w:rPr>
          <w:t>World Development Report 2017: Governance and the Law</w:t>
        </w:r>
      </w:hyperlink>
      <w:r w:rsidRPr="00691BB1">
        <w:rPr>
          <w:rFonts w:ascii="Arial" w:hAnsi="Arial" w:cs="Arial"/>
          <w:sz w:val="16"/>
          <w:szCs w:val="16"/>
          <w:lang w:val="en-ZA"/>
        </w:rPr>
        <w:t>”.  World Bank Group.</w:t>
      </w:r>
    </w:p>
  </w:footnote>
  <w:footnote w:id="100">
    <w:p w14:paraId="458708CA" w14:textId="77777777" w:rsidR="00D15FD8" w:rsidRPr="00691BB1" w:rsidRDefault="00D15FD8" w:rsidP="00E21637">
      <w:pPr>
        <w:pStyle w:val="FootnoteText"/>
        <w:rPr>
          <w:rFonts w:ascii="Arial" w:hAnsi="Arial" w:cs="Arial"/>
          <w:sz w:val="16"/>
          <w:szCs w:val="16"/>
        </w:rPr>
      </w:pPr>
      <w:r w:rsidRPr="00691BB1">
        <w:rPr>
          <w:rStyle w:val="FootnoteReference"/>
          <w:rFonts w:ascii="Arial" w:hAnsi="Arial" w:cs="Arial"/>
          <w:sz w:val="16"/>
          <w:szCs w:val="16"/>
        </w:rPr>
        <w:footnoteRef/>
      </w:r>
      <w:r w:rsidRPr="00691BB1">
        <w:rPr>
          <w:rFonts w:ascii="Arial" w:hAnsi="Arial" w:cs="Arial"/>
          <w:sz w:val="16"/>
          <w:szCs w:val="16"/>
        </w:rPr>
        <w:t xml:space="preserve"> For further reading see:  </w:t>
      </w:r>
    </w:p>
    <w:p w14:paraId="68691562" w14:textId="77777777" w:rsidR="00D15FD8" w:rsidRPr="00691BB1" w:rsidRDefault="00D15FD8" w:rsidP="00E21637">
      <w:pPr>
        <w:pStyle w:val="FootnoteText"/>
        <w:jc w:val="both"/>
        <w:rPr>
          <w:rFonts w:ascii="Arial" w:hAnsi="Arial" w:cs="Arial"/>
          <w:sz w:val="16"/>
          <w:szCs w:val="16"/>
          <w:lang w:val="en-US"/>
        </w:rPr>
      </w:pPr>
      <w:r w:rsidRPr="00691BB1">
        <w:rPr>
          <w:rFonts w:ascii="Arial" w:hAnsi="Arial" w:cs="Arial"/>
          <w:sz w:val="16"/>
          <w:szCs w:val="16"/>
          <w:lang w:val="en-US"/>
        </w:rPr>
        <w:t>Heald, D. (2015). “</w:t>
      </w:r>
      <w:hyperlink r:id="rId133" w:history="1">
        <w:r w:rsidRPr="00691BB1">
          <w:rPr>
            <w:rStyle w:val="Hyperlink"/>
            <w:rFonts w:ascii="Arial" w:hAnsi="Arial" w:cs="Arial"/>
            <w:sz w:val="16"/>
            <w:szCs w:val="16"/>
            <w:lang w:val="en-US"/>
          </w:rPr>
          <w:t>Surmounting Obstacles to Fiscal Transparency</w:t>
        </w:r>
      </w:hyperlink>
      <w:r w:rsidRPr="00691BB1">
        <w:rPr>
          <w:rFonts w:ascii="Arial" w:hAnsi="Arial" w:cs="Arial"/>
          <w:sz w:val="16"/>
          <w:szCs w:val="16"/>
          <w:lang w:val="en-US"/>
        </w:rPr>
        <w:t>.” Incentives research.</w:t>
      </w:r>
    </w:p>
    <w:p w14:paraId="22662EF0" w14:textId="77777777" w:rsidR="00D15FD8" w:rsidRPr="00691BB1" w:rsidRDefault="00D15FD8" w:rsidP="00E21637">
      <w:pPr>
        <w:pStyle w:val="FootnoteText"/>
        <w:jc w:val="both"/>
        <w:rPr>
          <w:rFonts w:ascii="Arial" w:hAnsi="Arial" w:cs="Arial"/>
          <w:bCs/>
          <w:sz w:val="16"/>
          <w:szCs w:val="16"/>
        </w:rPr>
      </w:pPr>
      <w:proofErr w:type="spellStart"/>
      <w:r w:rsidRPr="00691BB1">
        <w:rPr>
          <w:rFonts w:ascii="Arial" w:hAnsi="Arial" w:cs="Arial"/>
          <w:sz w:val="16"/>
          <w:szCs w:val="16"/>
          <w:lang w:val="en-US"/>
        </w:rPr>
        <w:t>Rudiger</w:t>
      </w:r>
      <w:proofErr w:type="spellEnd"/>
      <w:r w:rsidRPr="00691BB1">
        <w:rPr>
          <w:rFonts w:ascii="Arial" w:hAnsi="Arial" w:cs="Arial"/>
          <w:sz w:val="16"/>
          <w:szCs w:val="16"/>
          <w:lang w:val="en-US"/>
        </w:rPr>
        <w:t>, A. (2018). “</w:t>
      </w:r>
      <w:hyperlink r:id="rId134" w:history="1">
        <w:r w:rsidRPr="00691BB1">
          <w:rPr>
            <w:rStyle w:val="Hyperlink"/>
            <w:rFonts w:ascii="Arial" w:hAnsi="Arial" w:cs="Arial"/>
            <w:bCs/>
            <w:sz w:val="16"/>
            <w:szCs w:val="16"/>
            <w:lang w:val="en-ZA"/>
          </w:rPr>
          <w:t xml:space="preserve">State of the Field Review: Fiscal Transparency and Accountability: </w:t>
        </w:r>
        <w:r w:rsidRPr="00691BB1">
          <w:rPr>
            <w:rStyle w:val="Hyperlink"/>
            <w:rFonts w:ascii="Arial" w:hAnsi="Arial" w:cs="Arial"/>
            <w:bCs/>
            <w:sz w:val="16"/>
            <w:szCs w:val="16"/>
            <w:lang w:val="en-US"/>
          </w:rPr>
          <w:t>Research Note for the Fiscal Futures’ Scenario Planning Workshops</w:t>
        </w:r>
      </w:hyperlink>
      <w:r w:rsidRPr="00691BB1">
        <w:rPr>
          <w:rFonts w:ascii="Arial" w:hAnsi="Arial" w:cs="Arial"/>
          <w:bCs/>
          <w:sz w:val="16"/>
          <w:szCs w:val="16"/>
          <w:lang w:val="en-ZA"/>
        </w:rPr>
        <w:t>”</w:t>
      </w:r>
      <w:r w:rsidRPr="00691BB1">
        <w:rPr>
          <w:rFonts w:ascii="Arial" w:hAnsi="Arial" w:cs="Arial"/>
          <w:bCs/>
          <w:sz w:val="16"/>
          <w:szCs w:val="16"/>
          <w:lang w:val="en-US"/>
        </w:rPr>
        <w:t xml:space="preserve">. </w:t>
      </w:r>
      <w:r w:rsidRPr="00691BB1">
        <w:rPr>
          <w:rFonts w:ascii="Arial" w:hAnsi="Arial" w:cs="Arial"/>
          <w:bCs/>
          <w:sz w:val="16"/>
          <w:szCs w:val="16"/>
        </w:rPr>
        <w:t>Carnegie Endowment of International Peace, the IBP and the Transparency and Accountability Initiative.</w:t>
      </w:r>
    </w:p>
    <w:p w14:paraId="45237AF7" w14:textId="77777777" w:rsidR="00D15FD8" w:rsidRPr="003625BA" w:rsidRDefault="00D15FD8" w:rsidP="00E21637">
      <w:pPr>
        <w:pStyle w:val="FootnoteText"/>
        <w:jc w:val="both"/>
        <w:rPr>
          <w:rFonts w:ascii="Arial" w:hAnsi="Arial" w:cs="Arial"/>
          <w:sz w:val="16"/>
          <w:szCs w:val="16"/>
          <w:lang w:val="en-ZA"/>
        </w:rPr>
      </w:pPr>
      <w:proofErr w:type="spellStart"/>
      <w:r w:rsidRPr="00691BB1">
        <w:rPr>
          <w:rFonts w:ascii="Arial" w:hAnsi="Arial" w:cs="Arial"/>
          <w:bCs/>
          <w:sz w:val="16"/>
          <w:szCs w:val="16"/>
          <w:lang w:val="en-US"/>
        </w:rPr>
        <w:t>Kosack</w:t>
      </w:r>
      <w:proofErr w:type="spellEnd"/>
      <w:r w:rsidRPr="00691BB1">
        <w:rPr>
          <w:rFonts w:ascii="Arial" w:hAnsi="Arial" w:cs="Arial"/>
          <w:bCs/>
          <w:sz w:val="16"/>
          <w:szCs w:val="16"/>
          <w:lang w:val="en-US"/>
        </w:rPr>
        <w:t xml:space="preserve">, S. (2015). </w:t>
      </w:r>
      <w:hyperlink r:id="rId135" w:history="1">
        <w:r w:rsidRPr="00691BB1">
          <w:rPr>
            <w:rStyle w:val="Hyperlink"/>
            <w:rFonts w:ascii="Arial" w:hAnsi="Arial" w:cs="Arial"/>
            <w:bCs/>
            <w:sz w:val="16"/>
            <w:szCs w:val="16"/>
            <w:lang w:val="en-US"/>
          </w:rPr>
          <w:t>On Incentivizing Useful Budget Transparency</w:t>
        </w:r>
      </w:hyperlink>
      <w:r w:rsidRPr="00691BB1">
        <w:rPr>
          <w:rFonts w:ascii="Arial" w:hAnsi="Arial" w:cs="Arial"/>
          <w:bCs/>
          <w:sz w:val="16"/>
          <w:szCs w:val="16"/>
          <w:lang w:val="en-US"/>
        </w:rPr>
        <w:t>. GIFT and IBP.</w:t>
      </w:r>
    </w:p>
  </w:footnote>
  <w:footnote w:id="101">
    <w:p w14:paraId="2B730945" w14:textId="77777777" w:rsidR="00D15FD8" w:rsidRPr="00691BB1" w:rsidRDefault="00D15FD8" w:rsidP="00FB7EBD">
      <w:pPr>
        <w:pStyle w:val="FootnoteText"/>
        <w:jc w:val="both"/>
        <w:rPr>
          <w:rFonts w:ascii="Arial" w:hAnsi="Arial" w:cs="Arial"/>
          <w:sz w:val="16"/>
          <w:szCs w:val="16"/>
        </w:rPr>
      </w:pPr>
      <w:r w:rsidRPr="00691BB1">
        <w:rPr>
          <w:rStyle w:val="FootnoteReference"/>
          <w:rFonts w:ascii="Arial" w:hAnsi="Arial" w:cs="Arial"/>
          <w:sz w:val="16"/>
          <w:szCs w:val="16"/>
        </w:rPr>
        <w:footnoteRef/>
      </w:r>
      <w:r w:rsidRPr="00691BB1">
        <w:rPr>
          <w:rFonts w:ascii="Arial" w:hAnsi="Arial" w:cs="Arial"/>
          <w:sz w:val="16"/>
          <w:szCs w:val="16"/>
        </w:rPr>
        <w:t xml:space="preserve"> For further reading see:</w:t>
      </w:r>
    </w:p>
    <w:p w14:paraId="77376352" w14:textId="77777777" w:rsidR="00D15FD8" w:rsidRPr="00691BB1" w:rsidRDefault="00D15FD8" w:rsidP="00FB7EBD">
      <w:pPr>
        <w:pStyle w:val="FootnoteText"/>
        <w:jc w:val="both"/>
        <w:rPr>
          <w:rFonts w:ascii="Arial" w:hAnsi="Arial" w:cs="Arial"/>
          <w:sz w:val="16"/>
          <w:szCs w:val="16"/>
        </w:rPr>
      </w:pPr>
      <w:proofErr w:type="spellStart"/>
      <w:r w:rsidRPr="00691BB1">
        <w:rPr>
          <w:rFonts w:ascii="Arial" w:hAnsi="Arial" w:cs="Arial"/>
          <w:sz w:val="16"/>
          <w:szCs w:val="16"/>
        </w:rPr>
        <w:t>Folscher</w:t>
      </w:r>
      <w:proofErr w:type="spellEnd"/>
      <w:r w:rsidRPr="00691BB1">
        <w:rPr>
          <w:rFonts w:ascii="Arial" w:hAnsi="Arial" w:cs="Arial"/>
          <w:sz w:val="16"/>
          <w:szCs w:val="16"/>
        </w:rPr>
        <w:t xml:space="preserve">, A., and De </w:t>
      </w:r>
      <w:proofErr w:type="spellStart"/>
      <w:r w:rsidRPr="00691BB1">
        <w:rPr>
          <w:rFonts w:ascii="Arial" w:hAnsi="Arial" w:cs="Arial"/>
          <w:sz w:val="16"/>
          <w:szCs w:val="16"/>
        </w:rPr>
        <w:t>Renzio</w:t>
      </w:r>
      <w:proofErr w:type="spellEnd"/>
      <w:r w:rsidRPr="00691BB1">
        <w:rPr>
          <w:rFonts w:ascii="Arial" w:hAnsi="Arial" w:cs="Arial"/>
          <w:sz w:val="16"/>
          <w:szCs w:val="16"/>
        </w:rPr>
        <w:t>, P (2017). “</w:t>
      </w:r>
      <w:hyperlink r:id="rId136" w:history="1">
        <w:r w:rsidRPr="00691BB1">
          <w:rPr>
            <w:rStyle w:val="Hyperlink"/>
            <w:rFonts w:ascii="Arial" w:hAnsi="Arial" w:cs="Arial"/>
            <w:sz w:val="16"/>
            <w:szCs w:val="16"/>
          </w:rPr>
          <w:t>The Road to Budget Transparency: Learning from Country Experience</w:t>
        </w:r>
      </w:hyperlink>
      <w:r w:rsidRPr="00691BB1">
        <w:rPr>
          <w:rFonts w:ascii="Arial" w:hAnsi="Arial" w:cs="Arial"/>
          <w:sz w:val="16"/>
          <w:szCs w:val="16"/>
        </w:rPr>
        <w:t>”. IBP</w:t>
      </w:r>
    </w:p>
    <w:p w14:paraId="22EA3707" w14:textId="77777777" w:rsidR="00D15FD8" w:rsidRPr="00691BB1" w:rsidRDefault="00D15FD8" w:rsidP="00FB7EBD">
      <w:pPr>
        <w:pStyle w:val="FootnoteText"/>
        <w:jc w:val="both"/>
        <w:rPr>
          <w:rFonts w:ascii="Arial" w:hAnsi="Arial" w:cs="Arial"/>
          <w:sz w:val="16"/>
          <w:szCs w:val="16"/>
          <w:lang w:val="en-US"/>
        </w:rPr>
      </w:pPr>
      <w:r w:rsidRPr="00691BB1">
        <w:rPr>
          <w:rFonts w:ascii="Arial" w:hAnsi="Arial" w:cs="Arial"/>
          <w:sz w:val="16"/>
          <w:szCs w:val="16"/>
          <w:lang w:val="en-US"/>
        </w:rPr>
        <w:t>Larsen, J. (2016). “</w:t>
      </w:r>
      <w:hyperlink r:id="rId137" w:history="1">
        <w:r w:rsidRPr="00691BB1">
          <w:rPr>
            <w:rStyle w:val="Hyperlink"/>
            <w:rFonts w:ascii="Arial" w:hAnsi="Arial" w:cs="Arial"/>
            <w:sz w:val="16"/>
            <w:szCs w:val="16"/>
            <w:lang w:val="en-US"/>
          </w:rPr>
          <w:t>You Cannot Go it Alone: Learning from Cooperative Relationships in Civil Society Budget Campaigns</w:t>
        </w:r>
      </w:hyperlink>
      <w:r w:rsidRPr="00691BB1">
        <w:rPr>
          <w:rFonts w:ascii="Arial" w:hAnsi="Arial" w:cs="Arial"/>
          <w:sz w:val="16"/>
          <w:szCs w:val="16"/>
          <w:lang w:val="en-US"/>
        </w:rPr>
        <w:t xml:space="preserve">”. IBP.  </w:t>
      </w:r>
    </w:p>
    <w:p w14:paraId="0E4DD34D" w14:textId="77777777" w:rsidR="00D15FD8" w:rsidRPr="00691BB1" w:rsidRDefault="00D15FD8" w:rsidP="00FB7EBD">
      <w:pPr>
        <w:pStyle w:val="FootnoteText"/>
        <w:jc w:val="both"/>
        <w:rPr>
          <w:rFonts w:ascii="Arial" w:hAnsi="Arial" w:cs="Arial"/>
          <w:sz w:val="16"/>
          <w:szCs w:val="16"/>
          <w:lang w:val="en-ZA"/>
        </w:rPr>
      </w:pPr>
      <w:r w:rsidRPr="00691BB1">
        <w:rPr>
          <w:rFonts w:ascii="Arial" w:hAnsi="Arial" w:cs="Arial"/>
          <w:sz w:val="16"/>
          <w:szCs w:val="16"/>
          <w:lang w:val="en-US"/>
        </w:rPr>
        <w:t xml:space="preserve">De </w:t>
      </w:r>
      <w:proofErr w:type="spellStart"/>
      <w:r w:rsidRPr="00691BB1">
        <w:rPr>
          <w:rFonts w:ascii="Arial" w:hAnsi="Arial" w:cs="Arial"/>
          <w:sz w:val="16"/>
          <w:szCs w:val="16"/>
          <w:lang w:val="en-US"/>
        </w:rPr>
        <w:t>Renzio</w:t>
      </w:r>
      <w:proofErr w:type="spellEnd"/>
      <w:r w:rsidRPr="00691BB1">
        <w:rPr>
          <w:rFonts w:ascii="Arial" w:hAnsi="Arial" w:cs="Arial"/>
          <w:sz w:val="16"/>
          <w:szCs w:val="16"/>
          <w:lang w:val="en-US"/>
        </w:rPr>
        <w:t>, P. (2016). “</w:t>
      </w:r>
      <w:hyperlink r:id="rId138" w:history="1">
        <w:r w:rsidRPr="00691BB1">
          <w:rPr>
            <w:rStyle w:val="Hyperlink"/>
            <w:rFonts w:ascii="Arial" w:hAnsi="Arial" w:cs="Arial"/>
            <w:sz w:val="16"/>
            <w:szCs w:val="16"/>
          </w:rPr>
          <w:t>Creating Incentives for Budget Accountability and Good Financial Governance Through an Ecosystem Approach: What Can External Actors Do</w:t>
        </w:r>
      </w:hyperlink>
      <w:r w:rsidRPr="00691BB1">
        <w:rPr>
          <w:rFonts w:ascii="Arial" w:hAnsi="Arial" w:cs="Arial"/>
          <w:sz w:val="16"/>
          <w:szCs w:val="16"/>
        </w:rPr>
        <w:t xml:space="preserve">?”. IBP and </w:t>
      </w:r>
      <w:r w:rsidRPr="00691BB1">
        <w:rPr>
          <w:rFonts w:ascii="Arial" w:hAnsi="Arial" w:cs="Arial"/>
          <w:sz w:val="16"/>
          <w:szCs w:val="16"/>
          <w:lang w:val="en-US"/>
        </w:rPr>
        <w:t xml:space="preserve">Deutsche Gesellschaft </w:t>
      </w:r>
      <w:proofErr w:type="spellStart"/>
      <w:r w:rsidRPr="00691BB1">
        <w:rPr>
          <w:rFonts w:ascii="Arial" w:hAnsi="Arial" w:cs="Arial"/>
          <w:sz w:val="16"/>
          <w:szCs w:val="16"/>
          <w:lang w:val="en-US"/>
        </w:rPr>
        <w:t>für</w:t>
      </w:r>
      <w:proofErr w:type="spellEnd"/>
      <w:r w:rsidRPr="00691BB1">
        <w:rPr>
          <w:rFonts w:ascii="Arial" w:hAnsi="Arial" w:cs="Arial"/>
          <w:sz w:val="16"/>
          <w:szCs w:val="16"/>
          <w:lang w:val="en-US"/>
        </w:rPr>
        <w:t xml:space="preserve"> </w:t>
      </w:r>
      <w:proofErr w:type="spellStart"/>
      <w:r w:rsidRPr="00691BB1">
        <w:rPr>
          <w:rFonts w:ascii="Arial" w:hAnsi="Arial" w:cs="Arial"/>
          <w:sz w:val="16"/>
          <w:szCs w:val="16"/>
          <w:lang w:val="en-US"/>
        </w:rPr>
        <w:t>Internationale</w:t>
      </w:r>
      <w:proofErr w:type="spellEnd"/>
      <w:r w:rsidRPr="00691BB1">
        <w:rPr>
          <w:rFonts w:ascii="Arial" w:hAnsi="Arial" w:cs="Arial"/>
          <w:sz w:val="16"/>
          <w:szCs w:val="16"/>
          <w:lang w:val="en-US"/>
        </w:rPr>
        <w:t xml:space="preserve"> </w:t>
      </w:r>
      <w:proofErr w:type="spellStart"/>
      <w:r w:rsidRPr="00691BB1">
        <w:rPr>
          <w:rFonts w:ascii="Arial" w:hAnsi="Arial" w:cs="Arial"/>
          <w:sz w:val="16"/>
          <w:szCs w:val="16"/>
          <w:lang w:val="en-US"/>
        </w:rPr>
        <w:t>Zusammenarbeit</w:t>
      </w:r>
      <w:proofErr w:type="spellEnd"/>
      <w:r w:rsidRPr="00691BB1">
        <w:rPr>
          <w:rFonts w:ascii="Arial" w:hAnsi="Arial" w:cs="Arial"/>
          <w:sz w:val="16"/>
          <w:szCs w:val="16"/>
          <w:lang w:val="en-US"/>
        </w:rPr>
        <w:t xml:space="preserve"> GmbH</w:t>
      </w:r>
      <w:r w:rsidRPr="00691BB1">
        <w:rPr>
          <w:rFonts w:ascii="Arial" w:hAnsi="Arial" w:cs="Arial"/>
          <w:sz w:val="16"/>
          <w:szCs w:val="16"/>
        </w:rPr>
        <w:t xml:space="preserve"> (GIZ).</w:t>
      </w:r>
    </w:p>
    <w:p w14:paraId="5AAFD696" w14:textId="77777777" w:rsidR="00D15FD8" w:rsidRPr="00691BB1" w:rsidRDefault="00D15FD8" w:rsidP="00FB7EBD">
      <w:pPr>
        <w:pStyle w:val="FootnoteText"/>
        <w:jc w:val="both"/>
        <w:rPr>
          <w:rFonts w:ascii="Arial" w:hAnsi="Arial" w:cs="Arial"/>
          <w:sz w:val="16"/>
          <w:szCs w:val="16"/>
          <w:lang w:val="en-US"/>
        </w:rPr>
      </w:pPr>
      <w:r w:rsidRPr="00691BB1">
        <w:rPr>
          <w:rFonts w:ascii="Arial" w:hAnsi="Arial" w:cs="Arial"/>
          <w:sz w:val="16"/>
          <w:szCs w:val="16"/>
          <w:lang w:val="en-US"/>
        </w:rPr>
        <w:t>Van Zyl, A. (2013). “</w:t>
      </w:r>
      <w:hyperlink r:id="rId139" w:history="1">
        <w:r w:rsidRPr="00691BB1">
          <w:rPr>
            <w:rStyle w:val="Hyperlink"/>
            <w:rFonts w:ascii="Arial" w:hAnsi="Arial" w:cs="Arial"/>
            <w:sz w:val="16"/>
            <w:szCs w:val="16"/>
            <w:lang w:val="en-US"/>
          </w:rPr>
          <w:t>Getting a Seat at the Table: Civil Society Advocacy for Budget Transparency in “Untransparent” Countries</w:t>
        </w:r>
      </w:hyperlink>
      <w:r w:rsidRPr="00691BB1">
        <w:rPr>
          <w:rFonts w:ascii="Arial" w:hAnsi="Arial" w:cs="Arial"/>
          <w:sz w:val="16"/>
          <w:szCs w:val="16"/>
          <w:lang w:val="en-US"/>
        </w:rPr>
        <w:t xml:space="preserve">”.  </w:t>
      </w:r>
      <w:r w:rsidRPr="00691BB1">
        <w:rPr>
          <w:rFonts w:ascii="Arial" w:hAnsi="Arial" w:cs="Arial"/>
          <w:sz w:val="16"/>
          <w:szCs w:val="16"/>
        </w:rPr>
        <w:t>IBP.</w:t>
      </w:r>
      <w:r w:rsidRPr="00691BB1">
        <w:rPr>
          <w:rFonts w:ascii="Arial" w:hAnsi="Arial" w:cs="Arial"/>
          <w:sz w:val="16"/>
          <w:szCs w:val="16"/>
          <w:lang w:val="en-US"/>
        </w:rPr>
        <w:t xml:space="preserve"> </w:t>
      </w:r>
    </w:p>
    <w:p w14:paraId="26C81960" w14:textId="77777777" w:rsidR="00D15FD8" w:rsidRPr="003625BA" w:rsidRDefault="00D15FD8" w:rsidP="00FB7EBD">
      <w:pPr>
        <w:pStyle w:val="FootnoteText"/>
        <w:jc w:val="both"/>
        <w:rPr>
          <w:rFonts w:ascii="Arial" w:hAnsi="Arial" w:cs="Arial"/>
          <w:lang w:val="en-ZA"/>
        </w:rPr>
      </w:pPr>
    </w:p>
  </w:footnote>
  <w:footnote w:id="102">
    <w:p w14:paraId="29E686ED" w14:textId="2EA2F984" w:rsidR="00D15FD8" w:rsidRPr="0099547A" w:rsidRDefault="00D15FD8" w:rsidP="0099547A">
      <w:pPr>
        <w:pStyle w:val="CommentText"/>
        <w:rPr>
          <w:rFonts w:ascii="Arial" w:hAnsi="Arial" w:cs="Arial"/>
          <w:sz w:val="16"/>
          <w:szCs w:val="16"/>
        </w:rPr>
      </w:pPr>
      <w:r w:rsidRPr="0099547A">
        <w:rPr>
          <w:rStyle w:val="FootnoteReference"/>
          <w:rFonts w:ascii="Arial" w:hAnsi="Arial" w:cs="Arial"/>
          <w:sz w:val="16"/>
          <w:szCs w:val="16"/>
        </w:rPr>
        <w:footnoteRef/>
      </w:r>
      <w:r w:rsidRPr="0099547A">
        <w:rPr>
          <w:rFonts w:ascii="Arial" w:hAnsi="Arial" w:cs="Arial"/>
          <w:sz w:val="16"/>
          <w:szCs w:val="16"/>
        </w:rPr>
        <w:t xml:space="preserve"> </w:t>
      </w:r>
      <w:r w:rsidRPr="0099547A">
        <w:rPr>
          <w:rFonts w:ascii="Arial" w:hAnsi="Arial" w:cs="Arial"/>
          <w:sz w:val="16"/>
          <w:szCs w:val="16"/>
          <w:lang w:val="en-ZA"/>
        </w:rPr>
        <w:t>For further reading see:</w:t>
      </w:r>
    </w:p>
    <w:p w14:paraId="0BD2EA39" w14:textId="77777777" w:rsidR="00D15FD8" w:rsidRPr="0099547A" w:rsidRDefault="00D15FD8" w:rsidP="0099547A">
      <w:pPr>
        <w:pStyle w:val="CommentText"/>
        <w:rPr>
          <w:rFonts w:ascii="Arial" w:hAnsi="Arial" w:cs="Arial"/>
          <w:sz w:val="16"/>
          <w:szCs w:val="16"/>
        </w:rPr>
      </w:pPr>
      <w:r w:rsidRPr="0099547A">
        <w:rPr>
          <w:rFonts w:ascii="Arial" w:hAnsi="Arial" w:cs="Arial"/>
          <w:sz w:val="16"/>
          <w:szCs w:val="16"/>
        </w:rPr>
        <w:t>“</w:t>
      </w:r>
      <w:hyperlink r:id="rId140" w:history="1">
        <w:r w:rsidRPr="0099547A">
          <w:rPr>
            <w:rStyle w:val="Hyperlink"/>
            <w:rFonts w:ascii="Arial" w:hAnsi="Arial" w:cs="Arial"/>
            <w:sz w:val="16"/>
            <w:szCs w:val="16"/>
          </w:rPr>
          <w:t>Financing Development for Children in Africa: The state of budget transparency and accountability in the continent</w:t>
        </w:r>
      </w:hyperlink>
      <w:r w:rsidRPr="0099547A">
        <w:rPr>
          <w:rFonts w:ascii="Arial" w:hAnsi="Arial" w:cs="Arial"/>
          <w:sz w:val="16"/>
          <w:szCs w:val="16"/>
          <w:lang w:val="en-US"/>
        </w:rPr>
        <w:t>”.</w:t>
      </w:r>
      <w:r w:rsidRPr="0099547A">
        <w:rPr>
          <w:rFonts w:ascii="Arial" w:hAnsi="Arial" w:cs="Arial"/>
          <w:sz w:val="16"/>
          <w:szCs w:val="16"/>
        </w:rPr>
        <w:t xml:space="preserve"> IBP and UNICEF (2017).</w:t>
      </w:r>
    </w:p>
    <w:p w14:paraId="2A6EE594" w14:textId="3570420F" w:rsidR="00D15FD8" w:rsidRPr="0099547A" w:rsidRDefault="00D15FD8" w:rsidP="0099547A">
      <w:pPr>
        <w:pStyle w:val="FootnoteText"/>
        <w:rPr>
          <w:lang w:val="en-US"/>
        </w:rPr>
      </w:pPr>
      <w:proofErr w:type="spellStart"/>
      <w:r w:rsidRPr="0099547A">
        <w:rPr>
          <w:rFonts w:ascii="Arial" w:hAnsi="Arial" w:cs="Arial"/>
          <w:sz w:val="16"/>
          <w:szCs w:val="16"/>
          <w:lang w:val="en-US"/>
        </w:rPr>
        <w:t>Sarr</w:t>
      </w:r>
      <w:proofErr w:type="spellEnd"/>
      <w:r w:rsidRPr="0099547A">
        <w:rPr>
          <w:rFonts w:ascii="Arial" w:hAnsi="Arial" w:cs="Arial"/>
          <w:sz w:val="16"/>
          <w:szCs w:val="16"/>
          <w:lang w:val="en-US"/>
        </w:rPr>
        <w:t>, B. (2014). “</w:t>
      </w:r>
      <w:hyperlink r:id="rId141" w:history="1">
        <w:r w:rsidRPr="0099547A">
          <w:rPr>
            <w:rFonts w:ascii="Arial" w:hAnsi="Arial" w:cs="Arial"/>
            <w:color w:val="0563C1" w:themeColor="hyperlink"/>
            <w:sz w:val="16"/>
            <w:szCs w:val="16"/>
            <w:u w:val="single"/>
            <w:lang w:val="en-US"/>
          </w:rPr>
          <w:t>Are New PFM Reforms in the WAEMU and the CEMAC Working? Lessons from the Open Budget Survey</w:t>
        </w:r>
      </w:hyperlink>
      <w:r w:rsidRPr="0099547A">
        <w:rPr>
          <w:rFonts w:ascii="Arial" w:hAnsi="Arial" w:cs="Arial"/>
          <w:sz w:val="16"/>
          <w:szCs w:val="16"/>
          <w:lang w:val="en-US"/>
        </w:rPr>
        <w:t>”. IBP.</w:t>
      </w:r>
    </w:p>
  </w:footnote>
  <w:footnote w:id="103">
    <w:p w14:paraId="5C61ACEA" w14:textId="77777777" w:rsidR="00D15FD8" w:rsidRPr="00E45475" w:rsidRDefault="00D15FD8" w:rsidP="006E0E14">
      <w:pPr>
        <w:pStyle w:val="FootnoteText"/>
        <w:rPr>
          <w:rFonts w:ascii="Arial" w:hAnsi="Arial" w:cs="Arial"/>
          <w:sz w:val="16"/>
          <w:szCs w:val="16"/>
          <w:lang w:val="en-ZA"/>
        </w:rPr>
      </w:pPr>
      <w:r w:rsidRPr="00E45475">
        <w:rPr>
          <w:rStyle w:val="FootnoteReference"/>
          <w:rFonts w:ascii="Arial" w:hAnsi="Arial" w:cs="Arial"/>
          <w:sz w:val="16"/>
          <w:szCs w:val="16"/>
        </w:rPr>
        <w:footnoteRef/>
      </w:r>
      <w:r w:rsidRPr="00E45475">
        <w:rPr>
          <w:rFonts w:ascii="Arial" w:hAnsi="Arial" w:cs="Arial"/>
          <w:sz w:val="16"/>
          <w:szCs w:val="16"/>
        </w:rPr>
        <w:t xml:space="preserve"> </w:t>
      </w:r>
      <w:r w:rsidRPr="00E45475">
        <w:rPr>
          <w:rFonts w:ascii="Arial" w:hAnsi="Arial" w:cs="Arial"/>
          <w:sz w:val="16"/>
          <w:szCs w:val="16"/>
          <w:lang w:val="en-ZA"/>
        </w:rPr>
        <w:t xml:space="preserve">For further reading see: </w:t>
      </w:r>
    </w:p>
    <w:p w14:paraId="2A3375AF" w14:textId="10177B05" w:rsidR="00D15FD8" w:rsidRPr="00E45475" w:rsidRDefault="00D15FD8" w:rsidP="006E0E14">
      <w:pPr>
        <w:pStyle w:val="FootnoteText"/>
        <w:jc w:val="both"/>
        <w:rPr>
          <w:rFonts w:ascii="Arial" w:hAnsi="Arial" w:cs="Arial"/>
          <w:sz w:val="16"/>
          <w:szCs w:val="16"/>
        </w:rPr>
      </w:pPr>
      <w:r w:rsidRPr="00E45475">
        <w:rPr>
          <w:rFonts w:ascii="Arial" w:hAnsi="Arial" w:cs="Arial"/>
          <w:sz w:val="16"/>
          <w:szCs w:val="16"/>
          <w:lang w:val="en-ZA"/>
        </w:rPr>
        <w:t>Andrews, M. (2010). “</w:t>
      </w:r>
      <w:hyperlink r:id="rId142" w:history="1">
        <w:r w:rsidRPr="00E45475">
          <w:rPr>
            <w:rStyle w:val="Hyperlink"/>
            <w:rFonts w:ascii="Arial" w:hAnsi="Arial" w:cs="Arial"/>
            <w:sz w:val="16"/>
            <w:szCs w:val="16"/>
            <w:lang w:val="en-ZA"/>
          </w:rPr>
          <w:t>How Far Have Public Financial Management Reforms Come in Africa?”</w:t>
        </w:r>
      </w:hyperlink>
      <w:r w:rsidRPr="00E45475">
        <w:rPr>
          <w:rFonts w:ascii="Arial" w:hAnsi="Arial" w:cs="Arial"/>
          <w:sz w:val="16"/>
          <w:szCs w:val="16"/>
          <w:lang w:val="en-ZA"/>
        </w:rPr>
        <w:t xml:space="preserve"> </w:t>
      </w:r>
      <w:r w:rsidRPr="00E45475">
        <w:rPr>
          <w:rFonts w:ascii="Arial" w:hAnsi="Arial" w:cs="Arial"/>
          <w:sz w:val="16"/>
          <w:szCs w:val="16"/>
        </w:rPr>
        <w:t>John F. Kennedy School of Government, Harvard University.</w:t>
      </w:r>
    </w:p>
    <w:p w14:paraId="13368AE7" w14:textId="77777777" w:rsidR="00D15FD8" w:rsidRPr="00E45475" w:rsidRDefault="00D15FD8" w:rsidP="006E0E14">
      <w:pPr>
        <w:pStyle w:val="FootnoteText"/>
        <w:jc w:val="both"/>
        <w:rPr>
          <w:rFonts w:ascii="Arial" w:hAnsi="Arial" w:cs="Arial"/>
          <w:sz w:val="16"/>
          <w:szCs w:val="16"/>
          <w:lang w:val="en-ZA"/>
        </w:rPr>
      </w:pPr>
      <w:r w:rsidRPr="00E45475">
        <w:rPr>
          <w:rFonts w:ascii="Arial" w:hAnsi="Arial" w:cs="Arial"/>
          <w:sz w:val="16"/>
          <w:szCs w:val="16"/>
          <w:lang w:val="en-ZA"/>
        </w:rPr>
        <w:t>Pritchett, L., Woolcock, M., and Andrews, A. (2010). “</w:t>
      </w:r>
      <w:hyperlink r:id="rId143" w:history="1">
        <w:r w:rsidRPr="00E45475">
          <w:rPr>
            <w:rStyle w:val="Hyperlink"/>
            <w:rFonts w:ascii="Arial" w:hAnsi="Arial" w:cs="Arial"/>
            <w:sz w:val="16"/>
            <w:szCs w:val="16"/>
            <w:lang w:val="en-ZA"/>
          </w:rPr>
          <w:t>Capability traps? The mechanisms of persistent implementation failure</w:t>
        </w:r>
      </w:hyperlink>
      <w:r w:rsidRPr="00E45475">
        <w:rPr>
          <w:rFonts w:ascii="Arial" w:hAnsi="Arial" w:cs="Arial"/>
          <w:sz w:val="16"/>
          <w:szCs w:val="16"/>
          <w:lang w:val="en-ZA"/>
        </w:rPr>
        <w:t xml:space="preserve">”. </w:t>
      </w:r>
      <w:proofErr w:type="spellStart"/>
      <w:r w:rsidRPr="00E45475">
        <w:rPr>
          <w:rFonts w:ascii="Arial" w:hAnsi="Arial" w:cs="Arial"/>
          <w:sz w:val="16"/>
          <w:szCs w:val="16"/>
          <w:lang w:val="en-ZA"/>
        </w:rPr>
        <w:t>Center</w:t>
      </w:r>
      <w:proofErr w:type="spellEnd"/>
      <w:r w:rsidRPr="00E45475">
        <w:rPr>
          <w:rFonts w:ascii="Arial" w:hAnsi="Arial" w:cs="Arial"/>
          <w:sz w:val="16"/>
          <w:szCs w:val="16"/>
          <w:lang w:val="en-ZA"/>
        </w:rPr>
        <w:t xml:space="preserve"> for Global Development.</w:t>
      </w:r>
    </w:p>
    <w:p w14:paraId="2E7B689B" w14:textId="77777777" w:rsidR="00D15FD8" w:rsidRPr="00E45475" w:rsidRDefault="00D15FD8" w:rsidP="006E0E14">
      <w:pPr>
        <w:pStyle w:val="FootnoteText"/>
        <w:jc w:val="both"/>
        <w:rPr>
          <w:rFonts w:ascii="Arial" w:hAnsi="Arial" w:cs="Arial"/>
          <w:sz w:val="16"/>
          <w:szCs w:val="16"/>
          <w:lang w:val="en-ZA"/>
        </w:rPr>
      </w:pPr>
      <w:r w:rsidRPr="00E45475">
        <w:rPr>
          <w:rFonts w:ascii="Arial" w:hAnsi="Arial" w:cs="Arial"/>
          <w:sz w:val="16"/>
          <w:szCs w:val="16"/>
          <w:lang w:val="en-ZA"/>
        </w:rPr>
        <w:t xml:space="preserve">Fritz, V., Verhoeven M., and </w:t>
      </w:r>
      <w:proofErr w:type="spellStart"/>
      <w:r w:rsidRPr="00E45475">
        <w:rPr>
          <w:rFonts w:ascii="Arial" w:hAnsi="Arial" w:cs="Arial"/>
          <w:sz w:val="16"/>
          <w:szCs w:val="16"/>
          <w:lang w:val="en-ZA"/>
        </w:rPr>
        <w:t>Avenia</w:t>
      </w:r>
      <w:proofErr w:type="spellEnd"/>
      <w:r w:rsidRPr="00E45475">
        <w:rPr>
          <w:rFonts w:ascii="Arial" w:hAnsi="Arial" w:cs="Arial"/>
          <w:sz w:val="16"/>
          <w:szCs w:val="16"/>
          <w:lang w:val="en-ZA"/>
        </w:rPr>
        <w:t>, A. (2017). “</w:t>
      </w:r>
      <w:hyperlink r:id="rId144" w:history="1">
        <w:r w:rsidRPr="00E45475">
          <w:rPr>
            <w:rStyle w:val="Hyperlink"/>
            <w:rFonts w:ascii="Arial" w:hAnsi="Arial" w:cs="Arial"/>
            <w:sz w:val="16"/>
            <w:szCs w:val="16"/>
            <w:lang w:val="en-ZA"/>
          </w:rPr>
          <w:t>Political Economy of Public Financial Management: Experiences and Implications for Dialogue and Operational Engagement</w:t>
        </w:r>
      </w:hyperlink>
      <w:r w:rsidRPr="00E45475">
        <w:rPr>
          <w:rFonts w:ascii="Arial" w:hAnsi="Arial" w:cs="Arial"/>
          <w:sz w:val="16"/>
          <w:szCs w:val="16"/>
          <w:lang w:val="en-ZA"/>
        </w:rPr>
        <w:t>.” World Bank Group.</w:t>
      </w:r>
    </w:p>
    <w:p w14:paraId="4F68CDFC" w14:textId="77777777" w:rsidR="00D15FD8" w:rsidRPr="00336006" w:rsidRDefault="00D15FD8" w:rsidP="006E0E14">
      <w:pPr>
        <w:pStyle w:val="FootnoteText"/>
        <w:jc w:val="both"/>
        <w:rPr>
          <w:rFonts w:ascii="Arial" w:hAnsi="Arial" w:cs="Arial"/>
          <w:sz w:val="16"/>
          <w:szCs w:val="16"/>
          <w:lang w:val="en-ZA"/>
        </w:rPr>
      </w:pPr>
      <w:r w:rsidRPr="00E45475">
        <w:rPr>
          <w:rFonts w:ascii="Arial" w:hAnsi="Arial" w:cs="Arial"/>
          <w:sz w:val="16"/>
          <w:szCs w:val="16"/>
          <w:lang w:val="en-ZA"/>
        </w:rPr>
        <w:t xml:space="preserve">De </w:t>
      </w:r>
      <w:proofErr w:type="spellStart"/>
      <w:r w:rsidRPr="00E45475">
        <w:rPr>
          <w:rFonts w:ascii="Arial" w:hAnsi="Arial" w:cs="Arial"/>
          <w:sz w:val="16"/>
          <w:szCs w:val="16"/>
          <w:lang w:val="en-ZA"/>
        </w:rPr>
        <w:t>Renzio</w:t>
      </w:r>
      <w:proofErr w:type="spellEnd"/>
      <w:r w:rsidRPr="00E45475">
        <w:rPr>
          <w:rFonts w:ascii="Arial" w:hAnsi="Arial" w:cs="Arial"/>
          <w:sz w:val="16"/>
          <w:szCs w:val="16"/>
          <w:lang w:val="en-ZA"/>
        </w:rPr>
        <w:t xml:space="preserve">, P., and </w:t>
      </w:r>
      <w:proofErr w:type="spellStart"/>
      <w:r w:rsidRPr="00E45475">
        <w:rPr>
          <w:rFonts w:ascii="Arial" w:hAnsi="Arial" w:cs="Arial"/>
          <w:sz w:val="16"/>
          <w:szCs w:val="16"/>
          <w:lang w:val="en-US"/>
        </w:rPr>
        <w:t>Angemi</w:t>
      </w:r>
      <w:proofErr w:type="spellEnd"/>
      <w:r w:rsidRPr="00E45475">
        <w:rPr>
          <w:rFonts w:ascii="Arial" w:hAnsi="Arial" w:cs="Arial"/>
          <w:sz w:val="16"/>
          <w:szCs w:val="16"/>
        </w:rPr>
        <w:t xml:space="preserve"> </w:t>
      </w:r>
      <w:r w:rsidRPr="00E45475">
        <w:rPr>
          <w:rFonts w:ascii="Arial" w:hAnsi="Arial" w:cs="Arial"/>
          <w:sz w:val="16"/>
          <w:szCs w:val="16"/>
          <w:lang w:val="en-ZA"/>
        </w:rPr>
        <w:t>D.</w:t>
      </w:r>
      <w:r w:rsidRPr="00E45475">
        <w:rPr>
          <w:rFonts w:ascii="Arial" w:hAnsi="Arial" w:cs="Arial"/>
          <w:sz w:val="16"/>
          <w:szCs w:val="16"/>
        </w:rPr>
        <w:t xml:space="preserve"> (2011). “</w:t>
      </w:r>
      <w:hyperlink r:id="rId145" w:history="1">
        <w:r w:rsidRPr="00E45475">
          <w:rPr>
            <w:rStyle w:val="Hyperlink"/>
            <w:rFonts w:ascii="Arial" w:hAnsi="Arial" w:cs="Arial"/>
            <w:sz w:val="16"/>
            <w:szCs w:val="16"/>
            <w:lang w:val="en-US"/>
          </w:rPr>
          <w:t xml:space="preserve">COMRADES OR CULPRITS? Donor Engagement and Budget </w:t>
        </w:r>
        <w:proofErr w:type="gramStart"/>
        <w:r w:rsidRPr="00E45475">
          <w:rPr>
            <w:rStyle w:val="Hyperlink"/>
            <w:rFonts w:ascii="Arial" w:hAnsi="Arial" w:cs="Arial"/>
            <w:sz w:val="16"/>
            <w:szCs w:val="16"/>
            <w:lang w:val="en-US"/>
          </w:rPr>
          <w:t>Transparency  in</w:t>
        </w:r>
        <w:proofErr w:type="gramEnd"/>
        <w:r w:rsidRPr="00E45475">
          <w:rPr>
            <w:rStyle w:val="Hyperlink"/>
            <w:rFonts w:ascii="Arial" w:hAnsi="Arial" w:cs="Arial"/>
            <w:sz w:val="16"/>
            <w:szCs w:val="16"/>
            <w:lang w:val="en-US"/>
          </w:rPr>
          <w:t xml:space="preserve"> Aid Dependent Countries</w:t>
        </w:r>
      </w:hyperlink>
      <w:r w:rsidRPr="00E45475">
        <w:rPr>
          <w:rFonts w:ascii="Arial" w:hAnsi="Arial" w:cs="Arial"/>
          <w:sz w:val="16"/>
          <w:szCs w:val="16"/>
          <w:lang w:val="en-ZA"/>
        </w:rPr>
        <w:t xml:space="preserve">”. </w:t>
      </w:r>
      <w:r w:rsidRPr="00E45475">
        <w:rPr>
          <w:rFonts w:ascii="Arial" w:hAnsi="Arial" w:cs="Arial"/>
          <w:sz w:val="16"/>
          <w:szCs w:val="16"/>
          <w:lang w:val="en-US"/>
        </w:rPr>
        <w:t xml:space="preserve"> IBP.</w:t>
      </w:r>
    </w:p>
  </w:footnote>
  <w:footnote w:id="104">
    <w:p w14:paraId="02B327EC" w14:textId="77777777" w:rsidR="00D15FD8" w:rsidRPr="00691BB1" w:rsidRDefault="00D15FD8" w:rsidP="006E0E14">
      <w:pPr>
        <w:pStyle w:val="FootnoteText"/>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w:t>
      </w:r>
      <w:hyperlink r:id="rId146" w:history="1">
        <w:r w:rsidRPr="00691BB1">
          <w:rPr>
            <w:rStyle w:val="Hyperlink"/>
            <w:rFonts w:ascii="Arial" w:hAnsi="Arial" w:cs="Arial"/>
            <w:sz w:val="16"/>
            <w:szCs w:val="16"/>
          </w:rPr>
          <w:t>STOCKTAKE OF PFM DIAGNOSTIC TOOLS 2016</w:t>
        </w:r>
      </w:hyperlink>
      <w:r w:rsidRPr="00691BB1">
        <w:rPr>
          <w:rFonts w:ascii="Arial" w:hAnsi="Arial" w:cs="Arial"/>
          <w:sz w:val="16"/>
          <w:szCs w:val="16"/>
        </w:rPr>
        <w:t>”. PEFA Secretariat (2018).</w:t>
      </w:r>
      <w:r w:rsidRPr="00691BB1">
        <w:rPr>
          <w:rFonts w:ascii="Arial" w:hAnsi="Arial" w:cs="Arial"/>
          <w:sz w:val="16"/>
          <w:szCs w:val="16"/>
          <w:lang w:val="en-US"/>
        </w:rPr>
        <w:t xml:space="preserve"> </w:t>
      </w:r>
    </w:p>
  </w:footnote>
  <w:footnote w:id="105">
    <w:p w14:paraId="2E0F4760" w14:textId="77777777" w:rsidR="00D15FD8" w:rsidRPr="00691BB1" w:rsidRDefault="00D15FD8" w:rsidP="006E0E14">
      <w:pPr>
        <w:pStyle w:val="FootnoteText"/>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w:t>
      </w:r>
      <w:hyperlink r:id="rId147" w:history="1">
        <w:r w:rsidRPr="00691BB1">
          <w:rPr>
            <w:rStyle w:val="Hyperlink"/>
            <w:rFonts w:ascii="Arial" w:hAnsi="Arial" w:cs="Arial"/>
            <w:sz w:val="16"/>
            <w:szCs w:val="16"/>
          </w:rPr>
          <w:t>A Guide to PFM Diagnostic Tools</w:t>
        </w:r>
      </w:hyperlink>
      <w:r w:rsidRPr="00691BB1">
        <w:rPr>
          <w:rFonts w:ascii="Arial" w:hAnsi="Arial" w:cs="Arial"/>
          <w:sz w:val="16"/>
          <w:szCs w:val="16"/>
        </w:rPr>
        <w:t>”. PEFA Secretariat (2018).</w:t>
      </w:r>
    </w:p>
  </w:footnote>
  <w:footnote w:id="106">
    <w:p w14:paraId="1B320206" w14:textId="77777777" w:rsidR="00D15FD8" w:rsidRPr="003625BA" w:rsidRDefault="00D15FD8" w:rsidP="006E0E14">
      <w:pPr>
        <w:pStyle w:val="FootnoteText"/>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w:t>
      </w:r>
      <w:hyperlink r:id="rId148" w:history="1">
        <w:r w:rsidRPr="00691BB1">
          <w:rPr>
            <w:rStyle w:val="Hyperlink"/>
            <w:rFonts w:ascii="Arial" w:hAnsi="Arial" w:cs="Arial"/>
            <w:sz w:val="16"/>
            <w:szCs w:val="16"/>
          </w:rPr>
          <w:t>Using PEFA to Support Public Financial Management Improvement: PEFA Handbook Volume IV</w:t>
        </w:r>
      </w:hyperlink>
      <w:r w:rsidRPr="00691BB1">
        <w:rPr>
          <w:rFonts w:ascii="Arial" w:hAnsi="Arial" w:cs="Arial"/>
          <w:sz w:val="16"/>
          <w:szCs w:val="16"/>
        </w:rPr>
        <w:t>”. PEFA Secretariat (2020).</w:t>
      </w:r>
    </w:p>
  </w:footnote>
  <w:footnote w:id="107">
    <w:p w14:paraId="2DCF6106" w14:textId="77777777" w:rsidR="00D15FD8" w:rsidRPr="00691BB1" w:rsidRDefault="00D15FD8" w:rsidP="00E4479B">
      <w:pPr>
        <w:pStyle w:val="FootnoteText"/>
        <w:jc w:val="both"/>
        <w:rPr>
          <w:rFonts w:ascii="Arial" w:hAnsi="Arial" w:cs="Arial"/>
          <w:sz w:val="16"/>
          <w:szCs w:val="16"/>
          <w:lang w:val="en-US"/>
        </w:rPr>
      </w:pPr>
      <w:r w:rsidRPr="00691BB1">
        <w:rPr>
          <w:rStyle w:val="FootnoteReference"/>
          <w:rFonts w:ascii="Arial" w:hAnsi="Arial" w:cs="Arial"/>
          <w:sz w:val="16"/>
          <w:szCs w:val="16"/>
        </w:rPr>
        <w:footnoteRef/>
      </w:r>
      <w:r w:rsidRPr="00691BB1">
        <w:rPr>
          <w:rFonts w:ascii="Arial" w:hAnsi="Arial" w:cs="Arial"/>
          <w:sz w:val="16"/>
          <w:szCs w:val="16"/>
        </w:rPr>
        <w:t xml:space="preserve"> </w:t>
      </w:r>
      <w:r w:rsidRPr="00691BB1">
        <w:rPr>
          <w:rFonts w:ascii="Arial" w:hAnsi="Arial" w:cs="Arial"/>
          <w:sz w:val="16"/>
          <w:szCs w:val="16"/>
          <w:lang w:val="en-ZA"/>
        </w:rPr>
        <w:t xml:space="preserve">For further reading see </w:t>
      </w:r>
      <w:hyperlink r:id="rId149" w:history="1">
        <w:r w:rsidRPr="00691BB1">
          <w:rPr>
            <w:rStyle w:val="Hyperlink"/>
            <w:rFonts w:ascii="Arial" w:hAnsi="Arial" w:cs="Arial"/>
            <w:sz w:val="16"/>
            <w:szCs w:val="16"/>
            <w:lang w:val="en-ZA"/>
          </w:rPr>
          <w:t>Open Budget Survey (OBS) 2021</w:t>
        </w:r>
      </w:hyperlink>
      <w:r w:rsidRPr="00691BB1">
        <w:rPr>
          <w:rFonts w:ascii="Arial" w:hAnsi="Arial" w:cs="Arial"/>
          <w:sz w:val="16"/>
          <w:szCs w:val="16"/>
          <w:lang w:val="en-ZA"/>
        </w:rPr>
        <w:t xml:space="preserve"> global report, in particular page 54.</w:t>
      </w:r>
    </w:p>
  </w:footnote>
  <w:footnote w:id="108">
    <w:p w14:paraId="69774398" w14:textId="11070F8F" w:rsidR="00D15FD8" w:rsidRPr="004B6C24" w:rsidRDefault="00D15FD8" w:rsidP="004B6C24">
      <w:pPr>
        <w:pStyle w:val="FootnoteText"/>
        <w:jc w:val="both"/>
        <w:rPr>
          <w:rFonts w:ascii="Arial" w:hAnsi="Arial" w:cs="Arial"/>
          <w:sz w:val="16"/>
          <w:szCs w:val="16"/>
          <w:lang w:val="en-US"/>
        </w:rPr>
      </w:pPr>
      <w:r w:rsidRPr="004B6C24">
        <w:rPr>
          <w:rStyle w:val="FootnoteReference"/>
          <w:rFonts w:ascii="Calibri body" w:hAnsi="Calibri body" w:cs="Arial"/>
        </w:rPr>
        <w:footnoteRef/>
      </w:r>
      <w:r w:rsidRPr="004B6C24">
        <w:rPr>
          <w:rFonts w:ascii="Calibri body" w:hAnsi="Calibri body" w:cs="Arial"/>
        </w:rPr>
        <w:t xml:space="preserve"> </w:t>
      </w:r>
      <w:r w:rsidRPr="004B6C24">
        <w:rPr>
          <w:rFonts w:ascii="Arial" w:hAnsi="Arial" w:cs="Arial"/>
          <w:sz w:val="16"/>
          <w:szCs w:val="16"/>
          <w:lang w:val="en-ZA"/>
        </w:rPr>
        <w:t xml:space="preserve">For further reading see </w:t>
      </w:r>
      <w:hyperlink r:id="rId150" w:history="1">
        <w:r w:rsidRPr="004B6C24">
          <w:rPr>
            <w:rStyle w:val="Hyperlink"/>
            <w:rFonts w:ascii="Arial" w:hAnsi="Arial" w:cs="Arial"/>
            <w:sz w:val="16"/>
            <w:szCs w:val="16"/>
            <w:lang w:val="en-ZA"/>
          </w:rPr>
          <w:t>Open Budget Survey (OBS) 2021</w:t>
        </w:r>
      </w:hyperlink>
      <w:r w:rsidRPr="004B6C24">
        <w:rPr>
          <w:rFonts w:ascii="Arial" w:hAnsi="Arial" w:cs="Arial"/>
          <w:sz w:val="16"/>
          <w:szCs w:val="16"/>
          <w:lang w:val="en-ZA"/>
        </w:rPr>
        <w:t xml:space="preserve"> global report, in particular page 54.</w:t>
      </w:r>
    </w:p>
  </w:footnote>
  <w:footnote w:id="109">
    <w:p w14:paraId="6EB3B177" w14:textId="5B9ACFE2" w:rsidR="00D15FD8" w:rsidRPr="004B6C24" w:rsidRDefault="00D15FD8" w:rsidP="004B6C24">
      <w:pPr>
        <w:pStyle w:val="FootnoteText"/>
        <w:jc w:val="both"/>
        <w:rPr>
          <w:lang w:val="en-US"/>
        </w:rPr>
      </w:pPr>
      <w:r>
        <w:rPr>
          <w:rStyle w:val="FootnoteReference"/>
        </w:rPr>
        <w:footnoteRef/>
      </w:r>
      <w:r>
        <w:t xml:space="preserve"> </w:t>
      </w:r>
      <w:r w:rsidRPr="00691BB1">
        <w:rPr>
          <w:rFonts w:ascii="Arial" w:hAnsi="Arial" w:cs="Arial"/>
          <w:sz w:val="16"/>
          <w:szCs w:val="16"/>
          <w:lang w:val="en-ZA"/>
        </w:rPr>
        <w:t xml:space="preserve">For further reading see </w:t>
      </w:r>
      <w:hyperlink r:id="rId151" w:history="1">
        <w:r w:rsidRPr="00691BB1">
          <w:rPr>
            <w:rStyle w:val="Hyperlink"/>
            <w:rFonts w:ascii="Arial" w:hAnsi="Arial" w:cs="Arial"/>
            <w:sz w:val="16"/>
            <w:szCs w:val="16"/>
            <w:lang w:val="en-ZA"/>
          </w:rPr>
          <w:t>Open Budget Survey (OBS) 2019</w:t>
        </w:r>
      </w:hyperlink>
      <w:r w:rsidRPr="00691BB1">
        <w:rPr>
          <w:rFonts w:ascii="Arial" w:hAnsi="Arial" w:cs="Arial"/>
          <w:sz w:val="16"/>
          <w:szCs w:val="16"/>
          <w:lang w:val="en-ZA"/>
        </w:rPr>
        <w:t xml:space="preserve"> global report, in particular page 42.</w:t>
      </w:r>
    </w:p>
  </w:footnote>
  <w:footnote w:id="110">
    <w:p w14:paraId="4FD3D862" w14:textId="7A4813E9" w:rsidR="00D15FD8" w:rsidRPr="004B6C24" w:rsidRDefault="00D15FD8" w:rsidP="004B6C24">
      <w:pPr>
        <w:pStyle w:val="FootnoteText"/>
        <w:jc w:val="both"/>
        <w:rPr>
          <w:lang w:val="en-US"/>
        </w:rPr>
      </w:pPr>
      <w:r>
        <w:rPr>
          <w:rStyle w:val="FootnoteReference"/>
        </w:rPr>
        <w:footnoteRef/>
      </w:r>
      <w:r>
        <w:t xml:space="preserve"> </w:t>
      </w:r>
      <w:r w:rsidRPr="00691BB1">
        <w:rPr>
          <w:rFonts w:ascii="Arial" w:hAnsi="Arial" w:cs="Arial"/>
          <w:sz w:val="16"/>
          <w:szCs w:val="16"/>
          <w:lang w:val="en-ZA"/>
        </w:rPr>
        <w:t xml:space="preserve">For further reading see </w:t>
      </w:r>
      <w:hyperlink r:id="rId152" w:history="1">
        <w:r w:rsidRPr="00691BB1">
          <w:rPr>
            <w:rStyle w:val="Hyperlink"/>
            <w:rFonts w:ascii="Arial" w:hAnsi="Arial" w:cs="Arial"/>
            <w:sz w:val="16"/>
            <w:szCs w:val="16"/>
            <w:lang w:val="en-ZA"/>
          </w:rPr>
          <w:t>Open Budget Survey (OBS) 2021</w:t>
        </w:r>
      </w:hyperlink>
      <w:r w:rsidRPr="00691BB1">
        <w:rPr>
          <w:rFonts w:ascii="Arial" w:hAnsi="Arial" w:cs="Arial"/>
          <w:sz w:val="16"/>
          <w:szCs w:val="16"/>
          <w:lang w:val="en-ZA"/>
        </w:rPr>
        <w:t xml:space="preserve"> global report, in particular page 51. </w:t>
      </w:r>
      <w:r w:rsidRPr="00691BB1">
        <w:rPr>
          <w:rFonts w:ascii="Arial" w:hAnsi="Arial" w:cs="Arial"/>
          <w:sz w:val="16"/>
          <w:szCs w:val="16"/>
          <w:lang w:val="en-US"/>
        </w:rPr>
        <w:t xml:space="preserve">In #InsightsAtGIFT interviews recorded in 2022, the Director General of the Budget of the Ministry of Economy and Finance of Benin, provides further details on how the country advanced fiscal transparency in this </w:t>
      </w:r>
      <w:hyperlink r:id="rId153" w:history="1">
        <w:r w:rsidRPr="00691BB1">
          <w:rPr>
            <w:rStyle w:val="Hyperlink"/>
            <w:rFonts w:ascii="Arial" w:hAnsi="Arial" w:cs="Arial"/>
            <w:sz w:val="16"/>
            <w:szCs w:val="16"/>
            <w:lang w:val="en-US"/>
          </w:rPr>
          <w:t>video</w:t>
        </w:r>
      </w:hyperlink>
      <w:r w:rsidRPr="00691BB1">
        <w:rPr>
          <w:rFonts w:ascii="Arial" w:hAnsi="Arial" w:cs="Arial"/>
          <w:sz w:val="16"/>
          <w:szCs w:val="16"/>
          <w:lang w:val="en-US"/>
        </w:rPr>
        <w:t xml:space="preserve">; as well as on how the government plans to empower civil society to better engage in the national budget process in this </w:t>
      </w:r>
      <w:hyperlink r:id="rId154" w:history="1">
        <w:r w:rsidRPr="00691BB1">
          <w:rPr>
            <w:rStyle w:val="Hyperlink"/>
            <w:rFonts w:ascii="Arial" w:hAnsi="Arial" w:cs="Arial"/>
            <w:sz w:val="16"/>
            <w:szCs w:val="16"/>
            <w:lang w:val="en-US"/>
          </w:rPr>
          <w:t>video</w:t>
        </w:r>
      </w:hyperlink>
      <w:r>
        <w:rPr>
          <w:rStyle w:val="Hyperlink"/>
          <w:rFonts w:ascii="Arial" w:hAnsi="Arial" w:cs="Arial"/>
          <w:sz w:val="16"/>
          <w:szCs w:val="16"/>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3E95B" w14:textId="2712D231" w:rsidR="00D15FD8" w:rsidRDefault="00AC4DF7" w:rsidP="007F0B86">
    <w:pPr>
      <w:spacing w:line="264" w:lineRule="auto"/>
      <w:rPr>
        <w:i/>
        <w:color w:val="ED7D31" w:themeColor="accent2"/>
        <w:sz w:val="20"/>
        <w:szCs w:val="20"/>
      </w:rPr>
    </w:pPr>
    <w:sdt>
      <w:sdtPr>
        <w:rPr>
          <w:i/>
          <w:color w:val="ED7D31" w:themeColor="accent2"/>
          <w:sz w:val="20"/>
          <w:szCs w:val="20"/>
        </w:rPr>
        <w:alias w:val="Title"/>
        <w:id w:val="15524250"/>
        <w:placeholder>
          <w:docPart w:val="D1BC8943A8784C8DA32ABB7B02A15B7C"/>
        </w:placeholder>
        <w:dataBinding w:prefixMappings="xmlns:ns0='http://schemas.openxmlformats.org/package/2006/metadata/core-properties' xmlns:ns1='http://purl.org/dc/elements/1.1/'" w:xpath="/ns0:coreProperties[1]/ns1:title[1]" w:storeItemID="{6C3C8BC8-F283-45AE-878A-BAB7291924A1}"/>
        <w:text/>
      </w:sdtPr>
      <w:sdtEndPr/>
      <w:sdtContent>
        <w:r w:rsidR="00D15FD8">
          <w:rPr>
            <w:i/>
            <w:color w:val="ED7D31" w:themeColor="accent2"/>
            <w:sz w:val="20"/>
            <w:szCs w:val="20"/>
          </w:rPr>
          <w:t>GUIDE on Advancing Fiscal Transparency for Development</w:t>
        </w:r>
      </w:sdtContent>
    </w:sdt>
  </w:p>
  <w:p w14:paraId="707D0DCE" w14:textId="77777777" w:rsidR="00D15FD8" w:rsidRDefault="00D15FD8" w:rsidP="007F0B86">
    <w:pPr>
      <w:spacing w:line="26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40817"/>
    <w:multiLevelType w:val="hybridMultilevel"/>
    <w:tmpl w:val="7AE2A79E"/>
    <w:lvl w:ilvl="0" w:tplc="BD4EDC06">
      <w:numFmt w:val="bullet"/>
      <w:lvlText w:val="-"/>
      <w:lvlJc w:val="left"/>
      <w:pPr>
        <w:ind w:left="1406" w:hanging="360"/>
      </w:pPr>
      <w:rPr>
        <w:rFonts w:ascii="Calibri" w:eastAsiaTheme="minorHAnsi" w:hAnsi="Calibri" w:cs="Calibri" w:hint="default"/>
      </w:rPr>
    </w:lvl>
    <w:lvl w:ilvl="1" w:tplc="04090003" w:tentative="1">
      <w:start w:val="1"/>
      <w:numFmt w:val="bullet"/>
      <w:lvlText w:val="o"/>
      <w:lvlJc w:val="left"/>
      <w:pPr>
        <w:ind w:left="2126" w:hanging="360"/>
      </w:pPr>
      <w:rPr>
        <w:rFonts w:ascii="Courier New" w:hAnsi="Courier New" w:cs="Courier New" w:hint="default"/>
      </w:rPr>
    </w:lvl>
    <w:lvl w:ilvl="2" w:tplc="04090005" w:tentative="1">
      <w:start w:val="1"/>
      <w:numFmt w:val="bullet"/>
      <w:lvlText w:val=""/>
      <w:lvlJc w:val="left"/>
      <w:pPr>
        <w:ind w:left="2846" w:hanging="360"/>
      </w:pPr>
      <w:rPr>
        <w:rFonts w:ascii="Wingdings" w:hAnsi="Wingdings" w:hint="default"/>
      </w:rPr>
    </w:lvl>
    <w:lvl w:ilvl="3" w:tplc="04090001" w:tentative="1">
      <w:start w:val="1"/>
      <w:numFmt w:val="bullet"/>
      <w:lvlText w:val=""/>
      <w:lvlJc w:val="left"/>
      <w:pPr>
        <w:ind w:left="3566" w:hanging="360"/>
      </w:pPr>
      <w:rPr>
        <w:rFonts w:ascii="Symbol" w:hAnsi="Symbol" w:hint="default"/>
      </w:rPr>
    </w:lvl>
    <w:lvl w:ilvl="4" w:tplc="04090003" w:tentative="1">
      <w:start w:val="1"/>
      <w:numFmt w:val="bullet"/>
      <w:lvlText w:val="o"/>
      <w:lvlJc w:val="left"/>
      <w:pPr>
        <w:ind w:left="4286" w:hanging="360"/>
      </w:pPr>
      <w:rPr>
        <w:rFonts w:ascii="Courier New" w:hAnsi="Courier New" w:cs="Courier New" w:hint="default"/>
      </w:rPr>
    </w:lvl>
    <w:lvl w:ilvl="5" w:tplc="04090005" w:tentative="1">
      <w:start w:val="1"/>
      <w:numFmt w:val="bullet"/>
      <w:lvlText w:val=""/>
      <w:lvlJc w:val="left"/>
      <w:pPr>
        <w:ind w:left="5006" w:hanging="360"/>
      </w:pPr>
      <w:rPr>
        <w:rFonts w:ascii="Wingdings" w:hAnsi="Wingdings" w:hint="default"/>
      </w:rPr>
    </w:lvl>
    <w:lvl w:ilvl="6" w:tplc="04090001" w:tentative="1">
      <w:start w:val="1"/>
      <w:numFmt w:val="bullet"/>
      <w:lvlText w:val=""/>
      <w:lvlJc w:val="left"/>
      <w:pPr>
        <w:ind w:left="5726" w:hanging="360"/>
      </w:pPr>
      <w:rPr>
        <w:rFonts w:ascii="Symbol" w:hAnsi="Symbol" w:hint="default"/>
      </w:rPr>
    </w:lvl>
    <w:lvl w:ilvl="7" w:tplc="04090003" w:tentative="1">
      <w:start w:val="1"/>
      <w:numFmt w:val="bullet"/>
      <w:lvlText w:val="o"/>
      <w:lvlJc w:val="left"/>
      <w:pPr>
        <w:ind w:left="6446" w:hanging="360"/>
      </w:pPr>
      <w:rPr>
        <w:rFonts w:ascii="Courier New" w:hAnsi="Courier New" w:cs="Courier New" w:hint="default"/>
      </w:rPr>
    </w:lvl>
    <w:lvl w:ilvl="8" w:tplc="04090005" w:tentative="1">
      <w:start w:val="1"/>
      <w:numFmt w:val="bullet"/>
      <w:lvlText w:val=""/>
      <w:lvlJc w:val="left"/>
      <w:pPr>
        <w:ind w:left="7166" w:hanging="360"/>
      </w:pPr>
      <w:rPr>
        <w:rFonts w:ascii="Wingdings" w:hAnsi="Wingdings" w:hint="default"/>
      </w:rPr>
    </w:lvl>
  </w:abstractNum>
  <w:abstractNum w:abstractNumId="1" w15:restartNumberingAfterBreak="0">
    <w:nsid w:val="006E282D"/>
    <w:multiLevelType w:val="hybridMultilevel"/>
    <w:tmpl w:val="DEFC18E2"/>
    <w:lvl w:ilvl="0" w:tplc="04090001">
      <w:start w:val="1"/>
      <w:numFmt w:val="bullet"/>
      <w:lvlText w:val=""/>
      <w:lvlJc w:val="left"/>
      <w:pPr>
        <w:ind w:left="769" w:hanging="360"/>
      </w:pPr>
      <w:rPr>
        <w:rFonts w:ascii="Symbol" w:hAnsi="Symbol" w:hint="default"/>
      </w:rPr>
    </w:lvl>
    <w:lvl w:ilvl="1" w:tplc="04090003" w:tentative="1">
      <w:start w:val="1"/>
      <w:numFmt w:val="bullet"/>
      <w:lvlText w:val="o"/>
      <w:lvlJc w:val="left"/>
      <w:pPr>
        <w:ind w:left="1489" w:hanging="360"/>
      </w:pPr>
      <w:rPr>
        <w:rFonts w:ascii="Courier New" w:hAnsi="Courier New" w:cs="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cs="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cs="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2" w15:restartNumberingAfterBreak="0">
    <w:nsid w:val="00817E9C"/>
    <w:multiLevelType w:val="hybridMultilevel"/>
    <w:tmpl w:val="0BD40B6A"/>
    <w:lvl w:ilvl="0" w:tplc="D62833AC">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0E2016C"/>
    <w:multiLevelType w:val="hybridMultilevel"/>
    <w:tmpl w:val="DD245BC8"/>
    <w:lvl w:ilvl="0" w:tplc="65DC17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EC1C19"/>
    <w:multiLevelType w:val="multilevel"/>
    <w:tmpl w:val="1C09001F"/>
    <w:lvl w:ilvl="0">
      <w:start w:val="1"/>
      <w:numFmt w:val="decimal"/>
      <w:lvlText w:val="%1."/>
      <w:lvlJc w:val="left"/>
      <w:pPr>
        <w:ind w:left="360" w:hanging="360"/>
      </w:pPr>
    </w:lvl>
    <w:lvl w:ilvl="1">
      <w:start w:val="1"/>
      <w:numFmt w:val="decimal"/>
      <w:lvlText w:val="%1.%2."/>
      <w:lvlJc w:val="left"/>
      <w:pPr>
        <w:ind w:left="412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1B94620"/>
    <w:multiLevelType w:val="hybridMultilevel"/>
    <w:tmpl w:val="E3745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441360"/>
    <w:multiLevelType w:val="hybridMultilevel"/>
    <w:tmpl w:val="FB58E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2941DA6"/>
    <w:multiLevelType w:val="hybridMultilevel"/>
    <w:tmpl w:val="FDCE60B2"/>
    <w:lvl w:ilvl="0" w:tplc="EC202C96">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3FC07FD"/>
    <w:multiLevelType w:val="hybridMultilevel"/>
    <w:tmpl w:val="C83C5156"/>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 w15:restartNumberingAfterBreak="0">
    <w:nsid w:val="04125ABA"/>
    <w:multiLevelType w:val="multilevel"/>
    <w:tmpl w:val="0BF2BD3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0473560B"/>
    <w:multiLevelType w:val="hybridMultilevel"/>
    <w:tmpl w:val="67EE7D62"/>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072959DD"/>
    <w:multiLevelType w:val="hybridMultilevel"/>
    <w:tmpl w:val="84E849D2"/>
    <w:lvl w:ilvl="0" w:tplc="04090001">
      <w:start w:val="1"/>
      <w:numFmt w:val="bullet"/>
      <w:lvlText w:val=""/>
      <w:lvlJc w:val="left"/>
      <w:pPr>
        <w:ind w:left="2570" w:hanging="360"/>
      </w:pPr>
      <w:rPr>
        <w:rFonts w:ascii="Symbol" w:hAnsi="Symbol" w:hint="default"/>
      </w:rPr>
    </w:lvl>
    <w:lvl w:ilvl="1" w:tplc="04090003">
      <w:start w:val="1"/>
      <w:numFmt w:val="bullet"/>
      <w:lvlText w:val="o"/>
      <w:lvlJc w:val="left"/>
      <w:pPr>
        <w:ind w:left="3290" w:hanging="360"/>
      </w:pPr>
      <w:rPr>
        <w:rFonts w:ascii="Courier New" w:hAnsi="Courier New" w:cs="Courier New" w:hint="default"/>
      </w:rPr>
    </w:lvl>
    <w:lvl w:ilvl="2" w:tplc="04090005">
      <w:start w:val="1"/>
      <w:numFmt w:val="bullet"/>
      <w:lvlText w:val=""/>
      <w:lvlJc w:val="left"/>
      <w:pPr>
        <w:ind w:left="4010" w:hanging="360"/>
      </w:pPr>
      <w:rPr>
        <w:rFonts w:ascii="Wingdings" w:hAnsi="Wingdings" w:hint="default"/>
      </w:rPr>
    </w:lvl>
    <w:lvl w:ilvl="3" w:tplc="04090001" w:tentative="1">
      <w:start w:val="1"/>
      <w:numFmt w:val="bullet"/>
      <w:lvlText w:val=""/>
      <w:lvlJc w:val="left"/>
      <w:pPr>
        <w:ind w:left="4730" w:hanging="360"/>
      </w:pPr>
      <w:rPr>
        <w:rFonts w:ascii="Symbol" w:hAnsi="Symbol" w:hint="default"/>
      </w:rPr>
    </w:lvl>
    <w:lvl w:ilvl="4" w:tplc="04090003" w:tentative="1">
      <w:start w:val="1"/>
      <w:numFmt w:val="bullet"/>
      <w:lvlText w:val="o"/>
      <w:lvlJc w:val="left"/>
      <w:pPr>
        <w:ind w:left="5450" w:hanging="360"/>
      </w:pPr>
      <w:rPr>
        <w:rFonts w:ascii="Courier New" w:hAnsi="Courier New" w:cs="Courier New" w:hint="default"/>
      </w:rPr>
    </w:lvl>
    <w:lvl w:ilvl="5" w:tplc="04090005" w:tentative="1">
      <w:start w:val="1"/>
      <w:numFmt w:val="bullet"/>
      <w:lvlText w:val=""/>
      <w:lvlJc w:val="left"/>
      <w:pPr>
        <w:ind w:left="6170" w:hanging="360"/>
      </w:pPr>
      <w:rPr>
        <w:rFonts w:ascii="Wingdings" w:hAnsi="Wingdings" w:hint="default"/>
      </w:rPr>
    </w:lvl>
    <w:lvl w:ilvl="6" w:tplc="04090001" w:tentative="1">
      <w:start w:val="1"/>
      <w:numFmt w:val="bullet"/>
      <w:lvlText w:val=""/>
      <w:lvlJc w:val="left"/>
      <w:pPr>
        <w:ind w:left="6890" w:hanging="360"/>
      </w:pPr>
      <w:rPr>
        <w:rFonts w:ascii="Symbol" w:hAnsi="Symbol" w:hint="default"/>
      </w:rPr>
    </w:lvl>
    <w:lvl w:ilvl="7" w:tplc="04090003" w:tentative="1">
      <w:start w:val="1"/>
      <w:numFmt w:val="bullet"/>
      <w:lvlText w:val="o"/>
      <w:lvlJc w:val="left"/>
      <w:pPr>
        <w:ind w:left="7610" w:hanging="360"/>
      </w:pPr>
      <w:rPr>
        <w:rFonts w:ascii="Courier New" w:hAnsi="Courier New" w:cs="Courier New" w:hint="default"/>
      </w:rPr>
    </w:lvl>
    <w:lvl w:ilvl="8" w:tplc="04090005" w:tentative="1">
      <w:start w:val="1"/>
      <w:numFmt w:val="bullet"/>
      <w:lvlText w:val=""/>
      <w:lvlJc w:val="left"/>
      <w:pPr>
        <w:ind w:left="8330" w:hanging="360"/>
      </w:pPr>
      <w:rPr>
        <w:rFonts w:ascii="Wingdings" w:hAnsi="Wingdings" w:hint="default"/>
      </w:rPr>
    </w:lvl>
  </w:abstractNum>
  <w:abstractNum w:abstractNumId="12" w15:restartNumberingAfterBreak="0">
    <w:nsid w:val="09AB0333"/>
    <w:multiLevelType w:val="hybridMultilevel"/>
    <w:tmpl w:val="70E6B7D4"/>
    <w:lvl w:ilvl="0" w:tplc="790ADD9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E94DA9"/>
    <w:multiLevelType w:val="hybridMultilevel"/>
    <w:tmpl w:val="32E0153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15:restartNumberingAfterBreak="0">
    <w:nsid w:val="0B8E717F"/>
    <w:multiLevelType w:val="hybridMultilevel"/>
    <w:tmpl w:val="621AF0E4"/>
    <w:lvl w:ilvl="0" w:tplc="FE8871F6">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C2A5254"/>
    <w:multiLevelType w:val="hybridMultilevel"/>
    <w:tmpl w:val="2E58342A"/>
    <w:lvl w:ilvl="0" w:tplc="65DC17A0">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C333E0D"/>
    <w:multiLevelType w:val="hybridMultilevel"/>
    <w:tmpl w:val="759C8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5405ED"/>
    <w:multiLevelType w:val="hybridMultilevel"/>
    <w:tmpl w:val="EA30D8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DC604D9"/>
    <w:multiLevelType w:val="hybridMultilevel"/>
    <w:tmpl w:val="3676B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DB2DCD"/>
    <w:multiLevelType w:val="hybridMultilevel"/>
    <w:tmpl w:val="C032F1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DEF352C"/>
    <w:multiLevelType w:val="hybridMultilevel"/>
    <w:tmpl w:val="1D7EC222"/>
    <w:lvl w:ilvl="0" w:tplc="04090001">
      <w:start w:val="1"/>
      <w:numFmt w:val="bullet"/>
      <w:lvlText w:val=""/>
      <w:lvlJc w:val="left"/>
      <w:pPr>
        <w:ind w:left="1031" w:hanging="360"/>
      </w:pPr>
      <w:rPr>
        <w:rFonts w:ascii="Symbol" w:hAnsi="Symbol" w:hint="default"/>
      </w:rPr>
    </w:lvl>
    <w:lvl w:ilvl="1" w:tplc="04090003" w:tentative="1">
      <w:start w:val="1"/>
      <w:numFmt w:val="bullet"/>
      <w:lvlText w:val="o"/>
      <w:lvlJc w:val="left"/>
      <w:pPr>
        <w:ind w:left="1751" w:hanging="360"/>
      </w:pPr>
      <w:rPr>
        <w:rFonts w:ascii="Courier New" w:hAnsi="Courier New" w:cs="Courier New" w:hint="default"/>
      </w:rPr>
    </w:lvl>
    <w:lvl w:ilvl="2" w:tplc="04090005" w:tentative="1">
      <w:start w:val="1"/>
      <w:numFmt w:val="bullet"/>
      <w:lvlText w:val=""/>
      <w:lvlJc w:val="left"/>
      <w:pPr>
        <w:ind w:left="2471" w:hanging="360"/>
      </w:pPr>
      <w:rPr>
        <w:rFonts w:ascii="Wingdings" w:hAnsi="Wingdings" w:hint="default"/>
      </w:rPr>
    </w:lvl>
    <w:lvl w:ilvl="3" w:tplc="04090001" w:tentative="1">
      <w:start w:val="1"/>
      <w:numFmt w:val="bullet"/>
      <w:lvlText w:val=""/>
      <w:lvlJc w:val="left"/>
      <w:pPr>
        <w:ind w:left="3191" w:hanging="360"/>
      </w:pPr>
      <w:rPr>
        <w:rFonts w:ascii="Symbol" w:hAnsi="Symbol" w:hint="default"/>
      </w:rPr>
    </w:lvl>
    <w:lvl w:ilvl="4" w:tplc="04090003" w:tentative="1">
      <w:start w:val="1"/>
      <w:numFmt w:val="bullet"/>
      <w:lvlText w:val="o"/>
      <w:lvlJc w:val="left"/>
      <w:pPr>
        <w:ind w:left="3911" w:hanging="360"/>
      </w:pPr>
      <w:rPr>
        <w:rFonts w:ascii="Courier New" w:hAnsi="Courier New" w:cs="Courier New" w:hint="default"/>
      </w:rPr>
    </w:lvl>
    <w:lvl w:ilvl="5" w:tplc="04090005" w:tentative="1">
      <w:start w:val="1"/>
      <w:numFmt w:val="bullet"/>
      <w:lvlText w:val=""/>
      <w:lvlJc w:val="left"/>
      <w:pPr>
        <w:ind w:left="4631" w:hanging="360"/>
      </w:pPr>
      <w:rPr>
        <w:rFonts w:ascii="Wingdings" w:hAnsi="Wingdings" w:hint="default"/>
      </w:rPr>
    </w:lvl>
    <w:lvl w:ilvl="6" w:tplc="04090001" w:tentative="1">
      <w:start w:val="1"/>
      <w:numFmt w:val="bullet"/>
      <w:lvlText w:val=""/>
      <w:lvlJc w:val="left"/>
      <w:pPr>
        <w:ind w:left="5351" w:hanging="360"/>
      </w:pPr>
      <w:rPr>
        <w:rFonts w:ascii="Symbol" w:hAnsi="Symbol" w:hint="default"/>
      </w:rPr>
    </w:lvl>
    <w:lvl w:ilvl="7" w:tplc="04090003" w:tentative="1">
      <w:start w:val="1"/>
      <w:numFmt w:val="bullet"/>
      <w:lvlText w:val="o"/>
      <w:lvlJc w:val="left"/>
      <w:pPr>
        <w:ind w:left="6071" w:hanging="360"/>
      </w:pPr>
      <w:rPr>
        <w:rFonts w:ascii="Courier New" w:hAnsi="Courier New" w:cs="Courier New" w:hint="default"/>
      </w:rPr>
    </w:lvl>
    <w:lvl w:ilvl="8" w:tplc="04090005" w:tentative="1">
      <w:start w:val="1"/>
      <w:numFmt w:val="bullet"/>
      <w:lvlText w:val=""/>
      <w:lvlJc w:val="left"/>
      <w:pPr>
        <w:ind w:left="6791" w:hanging="360"/>
      </w:pPr>
      <w:rPr>
        <w:rFonts w:ascii="Wingdings" w:hAnsi="Wingdings" w:hint="default"/>
      </w:rPr>
    </w:lvl>
  </w:abstractNum>
  <w:abstractNum w:abstractNumId="21" w15:restartNumberingAfterBreak="0">
    <w:nsid w:val="0E1902FB"/>
    <w:multiLevelType w:val="multilevel"/>
    <w:tmpl w:val="222C786E"/>
    <w:lvl w:ilvl="0">
      <w:start w:val="2"/>
      <w:numFmt w:val="bullet"/>
      <w:lvlText w:val="-"/>
      <w:lvlJc w:val="left"/>
      <w:pPr>
        <w:ind w:left="720" w:hanging="360"/>
      </w:pPr>
      <w:rPr>
        <w:rFonts w:ascii="Calibri" w:eastAsia="Calibri" w:hAnsi="Calibri" w:cs="Calibri" w:hint="default"/>
      </w:rPr>
    </w:lvl>
    <w:lvl w:ilvl="1">
      <w:start w:val="1"/>
      <w:numFmt w:val="decimal"/>
      <w:isLgl/>
      <w:lvlText w:val="%1.%2"/>
      <w:lvlJc w:val="left"/>
      <w:pPr>
        <w:ind w:left="720" w:hanging="720"/>
      </w:pPr>
      <w:rPr>
        <w:rFonts w:hint="default"/>
        <w:color w:val="16988A"/>
      </w:rPr>
    </w:lvl>
    <w:lvl w:ilvl="2">
      <w:start w:val="1"/>
      <w:numFmt w:val="decimal"/>
      <w:isLgl/>
      <w:lvlText w:val="%1.%2.%3"/>
      <w:lvlJc w:val="left"/>
      <w:pPr>
        <w:ind w:left="1440" w:hanging="1080"/>
      </w:pPr>
      <w:rPr>
        <w:rFonts w:hint="default"/>
        <w:color w:val="16988A"/>
      </w:rPr>
    </w:lvl>
    <w:lvl w:ilvl="3">
      <w:start w:val="1"/>
      <w:numFmt w:val="decimal"/>
      <w:isLgl/>
      <w:lvlText w:val="%1.%2.%3.%4"/>
      <w:lvlJc w:val="left"/>
      <w:pPr>
        <w:ind w:left="1800" w:hanging="1440"/>
      </w:pPr>
      <w:rPr>
        <w:rFonts w:hint="default"/>
        <w:color w:val="16988A"/>
      </w:rPr>
    </w:lvl>
    <w:lvl w:ilvl="4">
      <w:start w:val="1"/>
      <w:numFmt w:val="decimal"/>
      <w:isLgl/>
      <w:lvlText w:val="%1.%2.%3.%4.%5"/>
      <w:lvlJc w:val="left"/>
      <w:pPr>
        <w:ind w:left="1800" w:hanging="1440"/>
      </w:pPr>
      <w:rPr>
        <w:rFonts w:hint="default"/>
        <w:color w:val="16988A"/>
      </w:rPr>
    </w:lvl>
    <w:lvl w:ilvl="5">
      <w:start w:val="1"/>
      <w:numFmt w:val="decimal"/>
      <w:isLgl/>
      <w:lvlText w:val="%1.%2.%3.%4.%5.%6"/>
      <w:lvlJc w:val="left"/>
      <w:pPr>
        <w:ind w:left="2160" w:hanging="1800"/>
      </w:pPr>
      <w:rPr>
        <w:rFonts w:hint="default"/>
        <w:color w:val="16988A"/>
      </w:rPr>
    </w:lvl>
    <w:lvl w:ilvl="6">
      <w:start w:val="1"/>
      <w:numFmt w:val="decimal"/>
      <w:isLgl/>
      <w:lvlText w:val="%1.%2.%3.%4.%5.%6.%7"/>
      <w:lvlJc w:val="left"/>
      <w:pPr>
        <w:ind w:left="2520" w:hanging="2160"/>
      </w:pPr>
      <w:rPr>
        <w:rFonts w:hint="default"/>
        <w:color w:val="16988A"/>
      </w:rPr>
    </w:lvl>
    <w:lvl w:ilvl="7">
      <w:start w:val="1"/>
      <w:numFmt w:val="decimal"/>
      <w:isLgl/>
      <w:lvlText w:val="%1.%2.%3.%4.%5.%6.%7.%8"/>
      <w:lvlJc w:val="left"/>
      <w:pPr>
        <w:ind w:left="2880" w:hanging="2520"/>
      </w:pPr>
      <w:rPr>
        <w:rFonts w:hint="default"/>
        <w:color w:val="16988A"/>
      </w:rPr>
    </w:lvl>
    <w:lvl w:ilvl="8">
      <w:start w:val="1"/>
      <w:numFmt w:val="decimal"/>
      <w:isLgl/>
      <w:lvlText w:val="%1.%2.%3.%4.%5.%6.%7.%8.%9"/>
      <w:lvlJc w:val="left"/>
      <w:pPr>
        <w:ind w:left="3240" w:hanging="2880"/>
      </w:pPr>
      <w:rPr>
        <w:rFonts w:hint="default"/>
        <w:color w:val="16988A"/>
      </w:rPr>
    </w:lvl>
  </w:abstractNum>
  <w:abstractNum w:abstractNumId="22" w15:restartNumberingAfterBreak="0">
    <w:nsid w:val="0E231002"/>
    <w:multiLevelType w:val="hybridMultilevel"/>
    <w:tmpl w:val="B1B056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0EC4252F"/>
    <w:multiLevelType w:val="hybridMultilevel"/>
    <w:tmpl w:val="5478D216"/>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0FE32B34"/>
    <w:multiLevelType w:val="hybridMultilevel"/>
    <w:tmpl w:val="290E8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09C6C9E"/>
    <w:multiLevelType w:val="hybridMultilevel"/>
    <w:tmpl w:val="442CE1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0C2199D"/>
    <w:multiLevelType w:val="multilevel"/>
    <w:tmpl w:val="2A185BDA"/>
    <w:lvl w:ilvl="0">
      <w:start w:val="1"/>
      <w:numFmt w:val="decimal"/>
      <w:lvlText w:val="%1."/>
      <w:lvlJc w:val="left"/>
      <w:pPr>
        <w:ind w:left="900" w:hanging="360"/>
      </w:pPr>
      <w:rPr>
        <w:i w:val="0"/>
      </w:rPr>
    </w:lvl>
    <w:lvl w:ilvl="1">
      <w:start w:val="1"/>
      <w:numFmt w:val="decimal"/>
      <w:isLgl/>
      <w:lvlText w:val="%1.%2"/>
      <w:lvlJc w:val="left"/>
      <w:pPr>
        <w:ind w:left="540" w:hanging="360"/>
      </w:pPr>
      <w:rPr>
        <w:rFonts w:ascii="Arial" w:hAnsi="Arial" w:cs="Arial" w:hint="default"/>
        <w:b/>
        <w:bCs/>
        <w:color w:val="69557F"/>
        <w:sz w:val="36"/>
        <w:szCs w:val="36"/>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7" w15:restartNumberingAfterBreak="0">
    <w:nsid w:val="11144E30"/>
    <w:multiLevelType w:val="hybridMultilevel"/>
    <w:tmpl w:val="F3D033EA"/>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28" w15:restartNumberingAfterBreak="0">
    <w:nsid w:val="137F3348"/>
    <w:multiLevelType w:val="hybridMultilevel"/>
    <w:tmpl w:val="3DB6E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4110013"/>
    <w:multiLevelType w:val="multilevel"/>
    <w:tmpl w:val="25904BD2"/>
    <w:lvl w:ilvl="0">
      <w:start w:val="2"/>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0" w15:restartNumberingAfterBreak="0">
    <w:nsid w:val="14192A3A"/>
    <w:multiLevelType w:val="hybridMultilevel"/>
    <w:tmpl w:val="1ACEA582"/>
    <w:lvl w:ilvl="0" w:tplc="0234EBCE">
      <w:start w:val="1"/>
      <w:numFmt w:val="bullet"/>
      <w:lvlText w:val=""/>
      <w:lvlJc w:val="left"/>
      <w:pPr>
        <w:ind w:left="644" w:hanging="360"/>
      </w:pPr>
      <w:rPr>
        <w:rFonts w:ascii="Symbol" w:hAnsi="Symbol" w:hint="default"/>
        <w:color w:val="6753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474557D"/>
    <w:multiLevelType w:val="multilevel"/>
    <w:tmpl w:val="E6D65876"/>
    <w:lvl w:ilvl="0">
      <w:start w:val="3"/>
      <w:numFmt w:val="decimal"/>
      <w:lvlText w:val="%1."/>
      <w:lvlJc w:val="left"/>
      <w:pPr>
        <w:ind w:left="54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2340" w:hanging="2160"/>
      </w:pPr>
      <w:rPr>
        <w:rFonts w:hint="default"/>
      </w:rPr>
    </w:lvl>
  </w:abstractNum>
  <w:abstractNum w:abstractNumId="32" w15:restartNumberingAfterBreak="0">
    <w:nsid w:val="15A74F2E"/>
    <w:multiLevelType w:val="hybridMultilevel"/>
    <w:tmpl w:val="99BE7EAA"/>
    <w:lvl w:ilvl="0" w:tplc="65DC17A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15D07C88"/>
    <w:multiLevelType w:val="hybridMultilevel"/>
    <w:tmpl w:val="8BA02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6184E17"/>
    <w:multiLevelType w:val="hybridMultilevel"/>
    <w:tmpl w:val="EC8AF752"/>
    <w:lvl w:ilvl="0" w:tplc="8E4EA7EC">
      <w:start w:val="1"/>
      <w:numFmt w:val="upperRoman"/>
      <w:lvlText w:val="%1."/>
      <w:lvlJc w:val="left"/>
      <w:pPr>
        <w:ind w:left="720" w:hanging="360"/>
      </w:pPr>
      <w:rPr>
        <w:rFonts w:ascii="Calibri" w:eastAsia="Calibri" w:hAnsi="Calibri" w:cs="Calibri"/>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5" w15:restartNumberingAfterBreak="0">
    <w:nsid w:val="167832AC"/>
    <w:multiLevelType w:val="hybridMultilevel"/>
    <w:tmpl w:val="442CE1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69E5D75"/>
    <w:multiLevelType w:val="hybridMultilevel"/>
    <w:tmpl w:val="ECBC95AE"/>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922E07"/>
    <w:multiLevelType w:val="hybridMultilevel"/>
    <w:tmpl w:val="31D8A568"/>
    <w:lvl w:ilvl="0" w:tplc="1C09000F">
      <w:start w:val="1"/>
      <w:numFmt w:val="decimal"/>
      <w:lvlText w:val="%1."/>
      <w:lvlJc w:val="left"/>
      <w:pPr>
        <w:ind w:left="360" w:hanging="360"/>
      </w:pPr>
      <w:rPr>
        <w:rFonts w:hint="default"/>
      </w:rPr>
    </w:lvl>
    <w:lvl w:ilvl="1" w:tplc="1C090001">
      <w:start w:val="1"/>
      <w:numFmt w:val="bullet"/>
      <w:lvlText w:val=""/>
      <w:lvlJc w:val="left"/>
      <w:pPr>
        <w:ind w:left="1080" w:hanging="360"/>
      </w:pPr>
      <w:rPr>
        <w:rFonts w:ascii="Symbol" w:hAnsi="Symbol" w:hint="default"/>
      </w:r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8" w15:restartNumberingAfterBreak="0">
    <w:nsid w:val="19B55C67"/>
    <w:multiLevelType w:val="hybridMultilevel"/>
    <w:tmpl w:val="38C8B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A0A2D6C"/>
    <w:multiLevelType w:val="multilevel"/>
    <w:tmpl w:val="518271F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1A4C0F96"/>
    <w:multiLevelType w:val="hybridMultilevel"/>
    <w:tmpl w:val="433836E2"/>
    <w:lvl w:ilvl="0" w:tplc="04090003">
      <w:start w:val="1"/>
      <w:numFmt w:val="bullet"/>
      <w:lvlText w:val="o"/>
      <w:lvlJc w:val="left"/>
      <w:pPr>
        <w:ind w:left="1326" w:hanging="360"/>
      </w:pPr>
      <w:rPr>
        <w:rFonts w:ascii="Courier New" w:hAnsi="Courier New" w:cs="Courier New" w:hint="default"/>
      </w:rPr>
    </w:lvl>
    <w:lvl w:ilvl="1" w:tplc="04090003" w:tentative="1">
      <w:start w:val="1"/>
      <w:numFmt w:val="bullet"/>
      <w:lvlText w:val="o"/>
      <w:lvlJc w:val="left"/>
      <w:pPr>
        <w:ind w:left="2046" w:hanging="360"/>
      </w:pPr>
      <w:rPr>
        <w:rFonts w:ascii="Courier New" w:hAnsi="Courier New" w:cs="Courier New" w:hint="default"/>
      </w:rPr>
    </w:lvl>
    <w:lvl w:ilvl="2" w:tplc="04090005" w:tentative="1">
      <w:start w:val="1"/>
      <w:numFmt w:val="bullet"/>
      <w:lvlText w:val=""/>
      <w:lvlJc w:val="left"/>
      <w:pPr>
        <w:ind w:left="2766" w:hanging="360"/>
      </w:pPr>
      <w:rPr>
        <w:rFonts w:ascii="Wingdings" w:hAnsi="Wingdings" w:hint="default"/>
      </w:rPr>
    </w:lvl>
    <w:lvl w:ilvl="3" w:tplc="04090001" w:tentative="1">
      <w:start w:val="1"/>
      <w:numFmt w:val="bullet"/>
      <w:lvlText w:val=""/>
      <w:lvlJc w:val="left"/>
      <w:pPr>
        <w:ind w:left="3486" w:hanging="360"/>
      </w:pPr>
      <w:rPr>
        <w:rFonts w:ascii="Symbol" w:hAnsi="Symbol" w:hint="default"/>
      </w:rPr>
    </w:lvl>
    <w:lvl w:ilvl="4" w:tplc="04090003" w:tentative="1">
      <w:start w:val="1"/>
      <w:numFmt w:val="bullet"/>
      <w:lvlText w:val="o"/>
      <w:lvlJc w:val="left"/>
      <w:pPr>
        <w:ind w:left="4206" w:hanging="360"/>
      </w:pPr>
      <w:rPr>
        <w:rFonts w:ascii="Courier New" w:hAnsi="Courier New" w:cs="Courier New" w:hint="default"/>
      </w:rPr>
    </w:lvl>
    <w:lvl w:ilvl="5" w:tplc="04090005" w:tentative="1">
      <w:start w:val="1"/>
      <w:numFmt w:val="bullet"/>
      <w:lvlText w:val=""/>
      <w:lvlJc w:val="left"/>
      <w:pPr>
        <w:ind w:left="4926" w:hanging="360"/>
      </w:pPr>
      <w:rPr>
        <w:rFonts w:ascii="Wingdings" w:hAnsi="Wingdings" w:hint="default"/>
      </w:rPr>
    </w:lvl>
    <w:lvl w:ilvl="6" w:tplc="04090001" w:tentative="1">
      <w:start w:val="1"/>
      <w:numFmt w:val="bullet"/>
      <w:lvlText w:val=""/>
      <w:lvlJc w:val="left"/>
      <w:pPr>
        <w:ind w:left="5646" w:hanging="360"/>
      </w:pPr>
      <w:rPr>
        <w:rFonts w:ascii="Symbol" w:hAnsi="Symbol" w:hint="default"/>
      </w:rPr>
    </w:lvl>
    <w:lvl w:ilvl="7" w:tplc="04090003" w:tentative="1">
      <w:start w:val="1"/>
      <w:numFmt w:val="bullet"/>
      <w:lvlText w:val="o"/>
      <w:lvlJc w:val="left"/>
      <w:pPr>
        <w:ind w:left="6366" w:hanging="360"/>
      </w:pPr>
      <w:rPr>
        <w:rFonts w:ascii="Courier New" w:hAnsi="Courier New" w:cs="Courier New" w:hint="default"/>
      </w:rPr>
    </w:lvl>
    <w:lvl w:ilvl="8" w:tplc="04090005" w:tentative="1">
      <w:start w:val="1"/>
      <w:numFmt w:val="bullet"/>
      <w:lvlText w:val=""/>
      <w:lvlJc w:val="left"/>
      <w:pPr>
        <w:ind w:left="7086" w:hanging="360"/>
      </w:pPr>
      <w:rPr>
        <w:rFonts w:ascii="Wingdings" w:hAnsi="Wingdings" w:hint="default"/>
      </w:rPr>
    </w:lvl>
  </w:abstractNum>
  <w:abstractNum w:abstractNumId="41" w15:restartNumberingAfterBreak="0">
    <w:nsid w:val="1C1630CE"/>
    <w:multiLevelType w:val="hybridMultilevel"/>
    <w:tmpl w:val="FF8C2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D0A2E2C"/>
    <w:multiLevelType w:val="hybridMultilevel"/>
    <w:tmpl w:val="092C2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D14339B"/>
    <w:multiLevelType w:val="hybridMultilevel"/>
    <w:tmpl w:val="E7CE6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D1D0630"/>
    <w:multiLevelType w:val="hybridMultilevel"/>
    <w:tmpl w:val="44445A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DE63867"/>
    <w:multiLevelType w:val="hybridMultilevel"/>
    <w:tmpl w:val="1FB491D4"/>
    <w:lvl w:ilvl="0" w:tplc="D62833AC">
      <w:start w:val="1"/>
      <w:numFmt w:val="bullet"/>
      <w:lvlText w:val=""/>
      <w:lvlJc w:val="left"/>
      <w:pPr>
        <w:ind w:left="1080" w:hanging="360"/>
      </w:pPr>
      <w:rPr>
        <w:rFonts w:ascii="Symbol" w:hAnsi="Symbol"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1DF20786"/>
    <w:multiLevelType w:val="hybridMultilevel"/>
    <w:tmpl w:val="922AFB82"/>
    <w:lvl w:ilvl="0" w:tplc="0409000F">
      <w:start w:val="1"/>
      <w:numFmt w:val="decimal"/>
      <w:lvlText w:val="%1."/>
      <w:lvlJc w:val="left"/>
      <w:pPr>
        <w:ind w:left="540" w:hanging="360"/>
      </w:pPr>
      <w:rPr>
        <w:rFonts w:hint="default"/>
      </w:rPr>
    </w:lvl>
    <w:lvl w:ilvl="1" w:tplc="1C090003">
      <w:start w:val="1"/>
      <w:numFmt w:val="bullet"/>
      <w:lvlText w:val="o"/>
      <w:lvlJc w:val="left"/>
      <w:pPr>
        <w:ind w:left="360" w:hanging="360"/>
      </w:pPr>
      <w:rPr>
        <w:rFonts w:ascii="Courier New" w:hAnsi="Courier New" w:cs="Courier New" w:hint="default"/>
      </w:rPr>
    </w:lvl>
    <w:lvl w:ilvl="2" w:tplc="1C090005">
      <w:start w:val="1"/>
      <w:numFmt w:val="bullet"/>
      <w:lvlText w:val=""/>
      <w:lvlJc w:val="left"/>
      <w:pPr>
        <w:ind w:left="1080" w:hanging="360"/>
      </w:pPr>
      <w:rPr>
        <w:rFonts w:ascii="Wingdings" w:hAnsi="Wingdings" w:hint="default"/>
      </w:rPr>
    </w:lvl>
    <w:lvl w:ilvl="3" w:tplc="1C090001">
      <w:start w:val="1"/>
      <w:numFmt w:val="bullet"/>
      <w:lvlText w:val=""/>
      <w:lvlJc w:val="left"/>
      <w:pPr>
        <w:ind w:left="1800" w:hanging="360"/>
      </w:pPr>
      <w:rPr>
        <w:rFonts w:ascii="Symbol" w:hAnsi="Symbol" w:hint="default"/>
      </w:rPr>
    </w:lvl>
    <w:lvl w:ilvl="4" w:tplc="1C090003" w:tentative="1">
      <w:start w:val="1"/>
      <w:numFmt w:val="bullet"/>
      <w:lvlText w:val="o"/>
      <w:lvlJc w:val="left"/>
      <w:pPr>
        <w:ind w:left="2520" w:hanging="360"/>
      </w:pPr>
      <w:rPr>
        <w:rFonts w:ascii="Courier New" w:hAnsi="Courier New" w:cs="Courier New" w:hint="default"/>
      </w:rPr>
    </w:lvl>
    <w:lvl w:ilvl="5" w:tplc="1C090005" w:tentative="1">
      <w:start w:val="1"/>
      <w:numFmt w:val="bullet"/>
      <w:lvlText w:val=""/>
      <w:lvlJc w:val="left"/>
      <w:pPr>
        <w:ind w:left="3240" w:hanging="360"/>
      </w:pPr>
      <w:rPr>
        <w:rFonts w:ascii="Wingdings" w:hAnsi="Wingdings" w:hint="default"/>
      </w:rPr>
    </w:lvl>
    <w:lvl w:ilvl="6" w:tplc="1C090001" w:tentative="1">
      <w:start w:val="1"/>
      <w:numFmt w:val="bullet"/>
      <w:lvlText w:val=""/>
      <w:lvlJc w:val="left"/>
      <w:pPr>
        <w:ind w:left="3960" w:hanging="360"/>
      </w:pPr>
      <w:rPr>
        <w:rFonts w:ascii="Symbol" w:hAnsi="Symbol" w:hint="default"/>
      </w:rPr>
    </w:lvl>
    <w:lvl w:ilvl="7" w:tplc="1C090003" w:tentative="1">
      <w:start w:val="1"/>
      <w:numFmt w:val="bullet"/>
      <w:lvlText w:val="o"/>
      <w:lvlJc w:val="left"/>
      <w:pPr>
        <w:ind w:left="4680" w:hanging="360"/>
      </w:pPr>
      <w:rPr>
        <w:rFonts w:ascii="Courier New" w:hAnsi="Courier New" w:cs="Courier New" w:hint="default"/>
      </w:rPr>
    </w:lvl>
    <w:lvl w:ilvl="8" w:tplc="1C090005" w:tentative="1">
      <w:start w:val="1"/>
      <w:numFmt w:val="bullet"/>
      <w:lvlText w:val=""/>
      <w:lvlJc w:val="left"/>
      <w:pPr>
        <w:ind w:left="5400" w:hanging="360"/>
      </w:pPr>
      <w:rPr>
        <w:rFonts w:ascii="Wingdings" w:hAnsi="Wingdings" w:hint="default"/>
      </w:rPr>
    </w:lvl>
  </w:abstractNum>
  <w:abstractNum w:abstractNumId="47" w15:restartNumberingAfterBreak="0">
    <w:nsid w:val="1E136554"/>
    <w:multiLevelType w:val="multilevel"/>
    <w:tmpl w:val="136C8620"/>
    <w:lvl w:ilvl="0">
      <w:start w:val="3"/>
      <w:numFmt w:val="decimal"/>
      <w:lvlText w:val="%1"/>
      <w:lvlJc w:val="left"/>
      <w:pPr>
        <w:ind w:left="560" w:hanging="560"/>
      </w:pPr>
      <w:rPr>
        <w:rFonts w:hint="default"/>
      </w:rPr>
    </w:lvl>
    <w:lvl w:ilvl="1">
      <w:start w:val="6"/>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1EC778E3"/>
    <w:multiLevelType w:val="hybridMultilevel"/>
    <w:tmpl w:val="BE00791E"/>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EE0405B"/>
    <w:multiLevelType w:val="hybridMultilevel"/>
    <w:tmpl w:val="C3A0726E"/>
    <w:lvl w:ilvl="0" w:tplc="478C4ABC">
      <w:start w:val="1"/>
      <w:numFmt w:val="bullet"/>
      <w:lvlText w:val=""/>
      <w:lvlJc w:val="left"/>
      <w:pPr>
        <w:ind w:left="502" w:hanging="360"/>
      </w:pPr>
      <w:rPr>
        <w:rFonts w:ascii="Symbol" w:hAnsi="Symbol" w:hint="default"/>
        <w:color w:val="000000" w:themeColor="text1"/>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50" w15:restartNumberingAfterBreak="0">
    <w:nsid w:val="1FBD54B6"/>
    <w:multiLevelType w:val="hybridMultilevel"/>
    <w:tmpl w:val="123CF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FD572A7"/>
    <w:multiLevelType w:val="hybridMultilevel"/>
    <w:tmpl w:val="481E012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20546AFF"/>
    <w:multiLevelType w:val="hybridMultilevel"/>
    <w:tmpl w:val="18BE93DA"/>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15:restartNumberingAfterBreak="0">
    <w:nsid w:val="205F0857"/>
    <w:multiLevelType w:val="hybridMultilevel"/>
    <w:tmpl w:val="3D729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1C54DBD"/>
    <w:multiLevelType w:val="multilevel"/>
    <w:tmpl w:val="AEC8AB6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5" w15:restartNumberingAfterBreak="0">
    <w:nsid w:val="21F97C1E"/>
    <w:multiLevelType w:val="multilevel"/>
    <w:tmpl w:val="518271F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23861173"/>
    <w:multiLevelType w:val="hybridMultilevel"/>
    <w:tmpl w:val="3A124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4563441"/>
    <w:multiLevelType w:val="hybridMultilevel"/>
    <w:tmpl w:val="D8B8B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4964D18"/>
    <w:multiLevelType w:val="hybridMultilevel"/>
    <w:tmpl w:val="B5C269DA"/>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4ED642E"/>
    <w:multiLevelType w:val="hybridMultilevel"/>
    <w:tmpl w:val="FAC4B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63D1F7E"/>
    <w:multiLevelType w:val="multilevel"/>
    <w:tmpl w:val="4A88DC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z w:val="36"/>
        <w:szCs w:val="36"/>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268D29FB"/>
    <w:multiLevelType w:val="hybridMultilevel"/>
    <w:tmpl w:val="DE7A97FE"/>
    <w:lvl w:ilvl="0" w:tplc="6FF0D282">
      <w:start w:val="1"/>
      <w:numFmt w:val="bullet"/>
      <w:lvlText w:val=""/>
      <w:lvlJc w:val="left"/>
      <w:pPr>
        <w:ind w:left="1440" w:hanging="360"/>
      </w:pPr>
      <w:rPr>
        <w:rFonts w:ascii="Symbol" w:hAnsi="Symbol" w:hint="default"/>
        <w:color w:val="auto"/>
      </w:rPr>
    </w:lvl>
    <w:lvl w:ilvl="1" w:tplc="1C090003">
      <w:start w:val="1"/>
      <w:numFmt w:val="bullet"/>
      <w:lvlText w:val="o"/>
      <w:lvlJc w:val="left"/>
      <w:pPr>
        <w:ind w:left="2160" w:hanging="360"/>
      </w:pPr>
      <w:rPr>
        <w:rFonts w:ascii="Courier New" w:hAnsi="Courier New" w:cs="Courier New" w:hint="default"/>
      </w:rPr>
    </w:lvl>
    <w:lvl w:ilvl="2" w:tplc="1C090005">
      <w:start w:val="1"/>
      <w:numFmt w:val="bullet"/>
      <w:lvlText w:val=""/>
      <w:lvlJc w:val="left"/>
      <w:pPr>
        <w:ind w:left="2880" w:hanging="360"/>
      </w:pPr>
      <w:rPr>
        <w:rFonts w:ascii="Wingdings" w:hAnsi="Wingdings" w:hint="default"/>
      </w:rPr>
    </w:lvl>
    <w:lvl w:ilvl="3" w:tplc="1C09000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62" w15:restartNumberingAfterBreak="0">
    <w:nsid w:val="26CD3C6A"/>
    <w:multiLevelType w:val="hybridMultilevel"/>
    <w:tmpl w:val="C1905A5E"/>
    <w:lvl w:ilvl="0" w:tplc="FFFFFFFF">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7EF2362"/>
    <w:multiLevelType w:val="multilevel"/>
    <w:tmpl w:val="202A572E"/>
    <w:lvl w:ilvl="0">
      <w:start w:val="3"/>
      <w:numFmt w:val="decimal"/>
      <w:lvlText w:val="%1"/>
      <w:lvlJc w:val="left"/>
      <w:pPr>
        <w:ind w:left="500" w:hanging="500"/>
      </w:pPr>
      <w:rPr>
        <w:rFonts w:eastAsiaTheme="majorEastAsia" w:hint="default"/>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1080" w:hanging="1080"/>
      </w:pPr>
      <w:rPr>
        <w:rFonts w:eastAsiaTheme="majorEastAsia" w:hint="default"/>
      </w:rPr>
    </w:lvl>
    <w:lvl w:ilvl="3">
      <w:start w:val="1"/>
      <w:numFmt w:val="decimal"/>
      <w:lvlText w:val="%1.%2.%3.%4"/>
      <w:lvlJc w:val="left"/>
      <w:pPr>
        <w:ind w:left="1440" w:hanging="1440"/>
      </w:pPr>
      <w:rPr>
        <w:rFonts w:eastAsiaTheme="majorEastAsia" w:hint="default"/>
      </w:rPr>
    </w:lvl>
    <w:lvl w:ilvl="4">
      <w:start w:val="1"/>
      <w:numFmt w:val="decimal"/>
      <w:lvlText w:val="%1.%2.%3.%4.%5"/>
      <w:lvlJc w:val="left"/>
      <w:pPr>
        <w:ind w:left="1440" w:hanging="1440"/>
      </w:pPr>
      <w:rPr>
        <w:rFonts w:eastAsiaTheme="majorEastAsia" w:hint="default"/>
      </w:rPr>
    </w:lvl>
    <w:lvl w:ilvl="5">
      <w:start w:val="1"/>
      <w:numFmt w:val="decimal"/>
      <w:lvlText w:val="%1.%2.%3.%4.%5.%6"/>
      <w:lvlJc w:val="left"/>
      <w:pPr>
        <w:ind w:left="1800" w:hanging="1800"/>
      </w:pPr>
      <w:rPr>
        <w:rFonts w:eastAsiaTheme="majorEastAsia" w:hint="default"/>
      </w:rPr>
    </w:lvl>
    <w:lvl w:ilvl="6">
      <w:start w:val="1"/>
      <w:numFmt w:val="decimal"/>
      <w:lvlText w:val="%1.%2.%3.%4.%5.%6.%7"/>
      <w:lvlJc w:val="left"/>
      <w:pPr>
        <w:ind w:left="2160" w:hanging="2160"/>
      </w:pPr>
      <w:rPr>
        <w:rFonts w:eastAsiaTheme="majorEastAsia" w:hint="default"/>
      </w:rPr>
    </w:lvl>
    <w:lvl w:ilvl="7">
      <w:start w:val="1"/>
      <w:numFmt w:val="decimal"/>
      <w:lvlText w:val="%1.%2.%3.%4.%5.%6.%7.%8"/>
      <w:lvlJc w:val="left"/>
      <w:pPr>
        <w:ind w:left="2520" w:hanging="2520"/>
      </w:pPr>
      <w:rPr>
        <w:rFonts w:eastAsiaTheme="majorEastAsia" w:hint="default"/>
      </w:rPr>
    </w:lvl>
    <w:lvl w:ilvl="8">
      <w:start w:val="1"/>
      <w:numFmt w:val="decimal"/>
      <w:lvlText w:val="%1.%2.%3.%4.%5.%6.%7.%8.%9"/>
      <w:lvlJc w:val="left"/>
      <w:pPr>
        <w:ind w:left="2880" w:hanging="2880"/>
      </w:pPr>
      <w:rPr>
        <w:rFonts w:eastAsiaTheme="majorEastAsia" w:hint="default"/>
      </w:rPr>
    </w:lvl>
  </w:abstractNum>
  <w:abstractNum w:abstractNumId="64" w15:restartNumberingAfterBreak="0">
    <w:nsid w:val="287C463F"/>
    <w:multiLevelType w:val="hybridMultilevel"/>
    <w:tmpl w:val="35AC7D1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288D6929"/>
    <w:multiLevelType w:val="hybridMultilevel"/>
    <w:tmpl w:val="37A04D68"/>
    <w:lvl w:ilvl="0" w:tplc="D62833AC">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298A54ED"/>
    <w:multiLevelType w:val="hybridMultilevel"/>
    <w:tmpl w:val="97DC71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9A60508"/>
    <w:multiLevelType w:val="hybridMultilevel"/>
    <w:tmpl w:val="A7808C20"/>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29DB01FA"/>
    <w:multiLevelType w:val="multilevel"/>
    <w:tmpl w:val="A71A3146"/>
    <w:lvl w:ilvl="0">
      <w:start w:val="3"/>
      <w:numFmt w:val="decimal"/>
      <w:lvlText w:val="%1"/>
      <w:lvlJc w:val="left"/>
      <w:pPr>
        <w:ind w:left="560" w:hanging="560"/>
      </w:pPr>
      <w:rPr>
        <w:rFonts w:hint="default"/>
      </w:rPr>
    </w:lvl>
    <w:lvl w:ilvl="1">
      <w:start w:val="6"/>
      <w:numFmt w:val="decimal"/>
      <w:lvlText w:val="%1.%2"/>
      <w:lvlJc w:val="left"/>
      <w:pPr>
        <w:ind w:left="560" w:hanging="560"/>
      </w:pPr>
      <w:rPr>
        <w:rFonts w:hint="default"/>
      </w:rPr>
    </w:lvl>
    <w:lvl w:ilvl="2">
      <w:start w:val="1"/>
      <w:numFmt w:val="decimal"/>
      <w:lvlText w:val="%1.%2.%3"/>
      <w:lvlJc w:val="left"/>
      <w:pPr>
        <w:ind w:left="1530" w:hanging="720"/>
      </w:pPr>
      <w:rPr>
        <w:rFonts w:hint="default"/>
        <w:sz w:val="32"/>
        <w:szCs w:val="32"/>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15:restartNumberingAfterBreak="0">
    <w:nsid w:val="29DC1468"/>
    <w:multiLevelType w:val="multilevel"/>
    <w:tmpl w:val="FCC81D8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29E741D1"/>
    <w:multiLevelType w:val="multilevel"/>
    <w:tmpl w:val="F6AA5B5A"/>
    <w:lvl w:ilvl="0">
      <w:start w:val="1"/>
      <w:numFmt w:val="decimal"/>
      <w:lvlText w:val="%1."/>
      <w:lvlJc w:val="left"/>
      <w:pPr>
        <w:tabs>
          <w:tab w:val="num" w:pos="720"/>
        </w:tabs>
        <w:ind w:left="720" w:hanging="360"/>
      </w:pPr>
      <w:rPr>
        <w:rFonts w:hint="default"/>
        <w:sz w:val="16"/>
        <w:szCs w:val="16"/>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A8F74BB"/>
    <w:multiLevelType w:val="hybridMultilevel"/>
    <w:tmpl w:val="0FA21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CBD1CE8"/>
    <w:multiLevelType w:val="hybridMultilevel"/>
    <w:tmpl w:val="5A6C56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D280E8E"/>
    <w:multiLevelType w:val="hybridMultilevel"/>
    <w:tmpl w:val="95EC107E"/>
    <w:lvl w:ilvl="0" w:tplc="931C3340">
      <w:start w:val="2"/>
      <w:numFmt w:val="bullet"/>
      <w:lvlText w:val="-"/>
      <w:lvlJc w:val="left"/>
      <w:pPr>
        <w:ind w:left="767" w:hanging="360"/>
      </w:pPr>
      <w:rPr>
        <w:rFonts w:ascii="Calibri" w:eastAsia="Calibri" w:hAnsi="Calibri" w:cs="Calibri" w:hint="default"/>
      </w:rPr>
    </w:lvl>
    <w:lvl w:ilvl="1" w:tplc="1C090003" w:tentative="1">
      <w:start w:val="1"/>
      <w:numFmt w:val="bullet"/>
      <w:lvlText w:val="o"/>
      <w:lvlJc w:val="left"/>
      <w:pPr>
        <w:ind w:left="1487" w:hanging="360"/>
      </w:pPr>
      <w:rPr>
        <w:rFonts w:ascii="Courier New" w:hAnsi="Courier New" w:cs="Courier New" w:hint="default"/>
      </w:rPr>
    </w:lvl>
    <w:lvl w:ilvl="2" w:tplc="1C090005" w:tentative="1">
      <w:start w:val="1"/>
      <w:numFmt w:val="bullet"/>
      <w:lvlText w:val=""/>
      <w:lvlJc w:val="left"/>
      <w:pPr>
        <w:ind w:left="2207" w:hanging="360"/>
      </w:pPr>
      <w:rPr>
        <w:rFonts w:ascii="Wingdings" w:hAnsi="Wingdings" w:hint="default"/>
      </w:rPr>
    </w:lvl>
    <w:lvl w:ilvl="3" w:tplc="1C090001" w:tentative="1">
      <w:start w:val="1"/>
      <w:numFmt w:val="bullet"/>
      <w:lvlText w:val=""/>
      <w:lvlJc w:val="left"/>
      <w:pPr>
        <w:ind w:left="2927" w:hanging="360"/>
      </w:pPr>
      <w:rPr>
        <w:rFonts w:ascii="Symbol" w:hAnsi="Symbol" w:hint="default"/>
      </w:rPr>
    </w:lvl>
    <w:lvl w:ilvl="4" w:tplc="1C090003" w:tentative="1">
      <w:start w:val="1"/>
      <w:numFmt w:val="bullet"/>
      <w:lvlText w:val="o"/>
      <w:lvlJc w:val="left"/>
      <w:pPr>
        <w:ind w:left="3647" w:hanging="360"/>
      </w:pPr>
      <w:rPr>
        <w:rFonts w:ascii="Courier New" w:hAnsi="Courier New" w:cs="Courier New" w:hint="default"/>
      </w:rPr>
    </w:lvl>
    <w:lvl w:ilvl="5" w:tplc="1C090005" w:tentative="1">
      <w:start w:val="1"/>
      <w:numFmt w:val="bullet"/>
      <w:lvlText w:val=""/>
      <w:lvlJc w:val="left"/>
      <w:pPr>
        <w:ind w:left="4367" w:hanging="360"/>
      </w:pPr>
      <w:rPr>
        <w:rFonts w:ascii="Wingdings" w:hAnsi="Wingdings" w:hint="default"/>
      </w:rPr>
    </w:lvl>
    <w:lvl w:ilvl="6" w:tplc="1C090001" w:tentative="1">
      <w:start w:val="1"/>
      <w:numFmt w:val="bullet"/>
      <w:lvlText w:val=""/>
      <w:lvlJc w:val="left"/>
      <w:pPr>
        <w:ind w:left="5087" w:hanging="360"/>
      </w:pPr>
      <w:rPr>
        <w:rFonts w:ascii="Symbol" w:hAnsi="Symbol" w:hint="default"/>
      </w:rPr>
    </w:lvl>
    <w:lvl w:ilvl="7" w:tplc="1C090003" w:tentative="1">
      <w:start w:val="1"/>
      <w:numFmt w:val="bullet"/>
      <w:lvlText w:val="o"/>
      <w:lvlJc w:val="left"/>
      <w:pPr>
        <w:ind w:left="5807" w:hanging="360"/>
      </w:pPr>
      <w:rPr>
        <w:rFonts w:ascii="Courier New" w:hAnsi="Courier New" w:cs="Courier New" w:hint="default"/>
      </w:rPr>
    </w:lvl>
    <w:lvl w:ilvl="8" w:tplc="1C090005" w:tentative="1">
      <w:start w:val="1"/>
      <w:numFmt w:val="bullet"/>
      <w:lvlText w:val=""/>
      <w:lvlJc w:val="left"/>
      <w:pPr>
        <w:ind w:left="6527" w:hanging="360"/>
      </w:pPr>
      <w:rPr>
        <w:rFonts w:ascii="Wingdings" w:hAnsi="Wingdings" w:hint="default"/>
      </w:rPr>
    </w:lvl>
  </w:abstractNum>
  <w:abstractNum w:abstractNumId="74" w15:restartNumberingAfterBreak="0">
    <w:nsid w:val="2D5C60BB"/>
    <w:multiLevelType w:val="hybridMultilevel"/>
    <w:tmpl w:val="5E847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D6E11B2"/>
    <w:multiLevelType w:val="hybridMultilevel"/>
    <w:tmpl w:val="276CE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E1F1195"/>
    <w:multiLevelType w:val="hybridMultilevel"/>
    <w:tmpl w:val="77682EDE"/>
    <w:lvl w:ilvl="0" w:tplc="D62833AC">
      <w:start w:val="1"/>
      <w:numFmt w:val="bullet"/>
      <w:lvlText w:val=""/>
      <w:lvlJc w:val="left"/>
      <w:pPr>
        <w:ind w:left="1080" w:hanging="360"/>
      </w:pPr>
      <w:rPr>
        <w:rFonts w:ascii="Symbol" w:hAnsi="Symbol"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2E390B68"/>
    <w:multiLevelType w:val="hybridMultilevel"/>
    <w:tmpl w:val="6E68E592"/>
    <w:lvl w:ilvl="0" w:tplc="D62833AC">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F35331E"/>
    <w:multiLevelType w:val="hybridMultilevel"/>
    <w:tmpl w:val="363E7A62"/>
    <w:lvl w:ilvl="0" w:tplc="D62833AC">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2F353417"/>
    <w:multiLevelType w:val="multilevel"/>
    <w:tmpl w:val="0362190C"/>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sz w:val="36"/>
        <w:szCs w:val="3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0" w15:restartNumberingAfterBreak="0">
    <w:nsid w:val="2F4703CB"/>
    <w:multiLevelType w:val="multilevel"/>
    <w:tmpl w:val="BF0CA674"/>
    <w:lvl w:ilvl="0">
      <w:start w:val="2"/>
      <w:numFmt w:val="decimal"/>
      <w:lvlText w:val="%1"/>
      <w:lvlJc w:val="left"/>
      <w:pPr>
        <w:ind w:left="360" w:hanging="360"/>
      </w:pPr>
      <w:rPr>
        <w:rFonts w:asciiTheme="majorHAnsi" w:hAnsiTheme="majorHAnsi" w:cstheme="majorBidi" w:hint="default"/>
        <w:sz w:val="26"/>
      </w:rPr>
    </w:lvl>
    <w:lvl w:ilvl="1">
      <w:start w:val="1"/>
      <w:numFmt w:val="decimal"/>
      <w:lvlText w:val="%1.%2"/>
      <w:lvlJc w:val="left"/>
      <w:pPr>
        <w:ind w:left="360" w:hanging="360"/>
      </w:pPr>
      <w:rPr>
        <w:rFonts w:ascii="Arial" w:hAnsi="Arial" w:cs="Arial" w:hint="default"/>
        <w:b/>
        <w:bCs/>
        <w:color w:val="F8A132"/>
        <w:sz w:val="32"/>
        <w:szCs w:val="32"/>
      </w:rPr>
    </w:lvl>
    <w:lvl w:ilvl="2">
      <w:start w:val="1"/>
      <w:numFmt w:val="decimal"/>
      <w:lvlText w:val="%1.%2.%3"/>
      <w:lvlJc w:val="left"/>
      <w:pPr>
        <w:ind w:left="2160" w:hanging="720"/>
      </w:pPr>
      <w:rPr>
        <w:rFonts w:asciiTheme="majorHAnsi" w:hAnsiTheme="majorHAnsi" w:cstheme="majorBidi" w:hint="default"/>
        <w:sz w:val="26"/>
      </w:rPr>
    </w:lvl>
    <w:lvl w:ilvl="3">
      <w:start w:val="1"/>
      <w:numFmt w:val="decimal"/>
      <w:lvlText w:val="%1.%2.%3.%4"/>
      <w:lvlJc w:val="left"/>
      <w:pPr>
        <w:ind w:left="3240" w:hanging="1080"/>
      </w:pPr>
      <w:rPr>
        <w:rFonts w:asciiTheme="majorHAnsi" w:hAnsiTheme="majorHAnsi" w:cstheme="majorBidi" w:hint="default"/>
        <w:sz w:val="26"/>
      </w:rPr>
    </w:lvl>
    <w:lvl w:ilvl="4">
      <w:start w:val="1"/>
      <w:numFmt w:val="decimal"/>
      <w:lvlText w:val="%1.%2.%3.%4.%5"/>
      <w:lvlJc w:val="left"/>
      <w:pPr>
        <w:ind w:left="3960" w:hanging="1080"/>
      </w:pPr>
      <w:rPr>
        <w:rFonts w:asciiTheme="majorHAnsi" w:hAnsiTheme="majorHAnsi" w:cstheme="majorBidi" w:hint="default"/>
        <w:sz w:val="26"/>
      </w:rPr>
    </w:lvl>
    <w:lvl w:ilvl="5">
      <w:start w:val="1"/>
      <w:numFmt w:val="decimal"/>
      <w:lvlText w:val="%1.%2.%3.%4.%5.%6"/>
      <w:lvlJc w:val="left"/>
      <w:pPr>
        <w:ind w:left="5040" w:hanging="1440"/>
      </w:pPr>
      <w:rPr>
        <w:rFonts w:asciiTheme="majorHAnsi" w:hAnsiTheme="majorHAnsi" w:cstheme="majorBidi" w:hint="default"/>
        <w:sz w:val="26"/>
      </w:rPr>
    </w:lvl>
    <w:lvl w:ilvl="6">
      <w:start w:val="1"/>
      <w:numFmt w:val="decimal"/>
      <w:lvlText w:val="%1.%2.%3.%4.%5.%6.%7"/>
      <w:lvlJc w:val="left"/>
      <w:pPr>
        <w:ind w:left="5760" w:hanging="1440"/>
      </w:pPr>
      <w:rPr>
        <w:rFonts w:asciiTheme="majorHAnsi" w:hAnsiTheme="majorHAnsi" w:cstheme="majorBidi" w:hint="default"/>
        <w:sz w:val="26"/>
      </w:rPr>
    </w:lvl>
    <w:lvl w:ilvl="7">
      <w:start w:val="1"/>
      <w:numFmt w:val="decimal"/>
      <w:lvlText w:val="%1.%2.%3.%4.%5.%6.%7.%8"/>
      <w:lvlJc w:val="left"/>
      <w:pPr>
        <w:ind w:left="6840" w:hanging="1800"/>
      </w:pPr>
      <w:rPr>
        <w:rFonts w:asciiTheme="majorHAnsi" w:hAnsiTheme="majorHAnsi" w:cstheme="majorBidi" w:hint="default"/>
        <w:sz w:val="26"/>
      </w:rPr>
    </w:lvl>
    <w:lvl w:ilvl="8">
      <w:start w:val="1"/>
      <w:numFmt w:val="decimal"/>
      <w:lvlText w:val="%1.%2.%3.%4.%5.%6.%7.%8.%9"/>
      <w:lvlJc w:val="left"/>
      <w:pPr>
        <w:ind w:left="7560" w:hanging="1800"/>
      </w:pPr>
      <w:rPr>
        <w:rFonts w:asciiTheme="majorHAnsi" w:hAnsiTheme="majorHAnsi" w:cstheme="majorBidi" w:hint="default"/>
        <w:sz w:val="26"/>
      </w:rPr>
    </w:lvl>
  </w:abstractNum>
  <w:abstractNum w:abstractNumId="81" w15:restartNumberingAfterBreak="0">
    <w:nsid w:val="2F8706EC"/>
    <w:multiLevelType w:val="hybridMultilevel"/>
    <w:tmpl w:val="E0DAA100"/>
    <w:lvl w:ilvl="0" w:tplc="9FCA6FF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0A72841"/>
    <w:multiLevelType w:val="multilevel"/>
    <w:tmpl w:val="FEDAB434"/>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30A85D0B"/>
    <w:multiLevelType w:val="multilevel"/>
    <w:tmpl w:val="E6D65876"/>
    <w:lvl w:ilvl="0">
      <w:start w:val="3"/>
      <w:numFmt w:val="decimal"/>
      <w:lvlText w:val="%1."/>
      <w:lvlJc w:val="left"/>
      <w:pPr>
        <w:ind w:left="54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2340" w:hanging="2160"/>
      </w:pPr>
      <w:rPr>
        <w:rFonts w:hint="default"/>
      </w:rPr>
    </w:lvl>
  </w:abstractNum>
  <w:abstractNum w:abstractNumId="84" w15:restartNumberingAfterBreak="0">
    <w:nsid w:val="30CE17F4"/>
    <w:multiLevelType w:val="hybridMultilevel"/>
    <w:tmpl w:val="1D9C4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12A5D3C"/>
    <w:multiLevelType w:val="hybridMultilevel"/>
    <w:tmpl w:val="39864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16822C4"/>
    <w:multiLevelType w:val="hybridMultilevel"/>
    <w:tmpl w:val="F72CF6FA"/>
    <w:lvl w:ilvl="0" w:tplc="1C090003">
      <w:start w:val="1"/>
      <w:numFmt w:val="bullet"/>
      <w:lvlText w:val="o"/>
      <w:lvlJc w:val="left"/>
      <w:pPr>
        <w:ind w:left="720" w:hanging="360"/>
      </w:pPr>
      <w:rPr>
        <w:rFonts w:ascii="Courier New" w:hAnsi="Courier New" w:cs="Courier New"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7" w15:restartNumberingAfterBreak="0">
    <w:nsid w:val="328E36E8"/>
    <w:multiLevelType w:val="hybridMultilevel"/>
    <w:tmpl w:val="9F726E9C"/>
    <w:lvl w:ilvl="0" w:tplc="C3CACFBE">
      <w:start w:val="1"/>
      <w:numFmt w:val="decimal"/>
      <w:lvlText w:val="%1."/>
      <w:lvlJc w:val="left"/>
      <w:pPr>
        <w:ind w:left="720" w:hanging="360"/>
      </w:pPr>
      <w:rPr>
        <w:i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8" w15:restartNumberingAfterBreak="0">
    <w:nsid w:val="329D6C35"/>
    <w:multiLevelType w:val="hybridMultilevel"/>
    <w:tmpl w:val="0706B7BC"/>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2A52FD7"/>
    <w:multiLevelType w:val="multilevel"/>
    <w:tmpl w:val="EC6C901C"/>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32B0352B"/>
    <w:multiLevelType w:val="hybridMultilevel"/>
    <w:tmpl w:val="FF726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2FF30D2"/>
    <w:multiLevelType w:val="multilevel"/>
    <w:tmpl w:val="295292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39817D5"/>
    <w:multiLevelType w:val="hybridMultilevel"/>
    <w:tmpl w:val="D1A4F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4C81205"/>
    <w:multiLevelType w:val="hybridMultilevel"/>
    <w:tmpl w:val="EC480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5E24A94"/>
    <w:multiLevelType w:val="hybridMultilevel"/>
    <w:tmpl w:val="9912B04E"/>
    <w:lvl w:ilvl="0" w:tplc="D62833AC">
      <w:start w:val="1"/>
      <w:numFmt w:val="bullet"/>
      <w:lvlText w:val=""/>
      <w:lvlJc w:val="left"/>
      <w:pPr>
        <w:ind w:left="887" w:hanging="360"/>
      </w:pPr>
      <w:rPr>
        <w:rFonts w:ascii="Symbol" w:hAnsi="Symbol" w:hint="default"/>
        <w:color w:val="000000" w:themeColor="text1"/>
      </w:rPr>
    </w:lvl>
    <w:lvl w:ilvl="1" w:tplc="04090003" w:tentative="1">
      <w:start w:val="1"/>
      <w:numFmt w:val="bullet"/>
      <w:lvlText w:val="o"/>
      <w:lvlJc w:val="left"/>
      <w:pPr>
        <w:ind w:left="1607" w:hanging="360"/>
      </w:pPr>
      <w:rPr>
        <w:rFonts w:ascii="Courier New" w:hAnsi="Courier New" w:cs="Courier New" w:hint="default"/>
      </w:rPr>
    </w:lvl>
    <w:lvl w:ilvl="2" w:tplc="04090005" w:tentative="1">
      <w:start w:val="1"/>
      <w:numFmt w:val="bullet"/>
      <w:lvlText w:val=""/>
      <w:lvlJc w:val="left"/>
      <w:pPr>
        <w:ind w:left="2327" w:hanging="360"/>
      </w:pPr>
      <w:rPr>
        <w:rFonts w:ascii="Wingdings" w:hAnsi="Wingdings" w:hint="default"/>
      </w:rPr>
    </w:lvl>
    <w:lvl w:ilvl="3" w:tplc="04090001" w:tentative="1">
      <w:start w:val="1"/>
      <w:numFmt w:val="bullet"/>
      <w:lvlText w:val=""/>
      <w:lvlJc w:val="left"/>
      <w:pPr>
        <w:ind w:left="3047" w:hanging="360"/>
      </w:pPr>
      <w:rPr>
        <w:rFonts w:ascii="Symbol" w:hAnsi="Symbol" w:hint="default"/>
      </w:rPr>
    </w:lvl>
    <w:lvl w:ilvl="4" w:tplc="04090003" w:tentative="1">
      <w:start w:val="1"/>
      <w:numFmt w:val="bullet"/>
      <w:lvlText w:val="o"/>
      <w:lvlJc w:val="left"/>
      <w:pPr>
        <w:ind w:left="3767" w:hanging="360"/>
      </w:pPr>
      <w:rPr>
        <w:rFonts w:ascii="Courier New" w:hAnsi="Courier New" w:cs="Courier New" w:hint="default"/>
      </w:rPr>
    </w:lvl>
    <w:lvl w:ilvl="5" w:tplc="04090005" w:tentative="1">
      <w:start w:val="1"/>
      <w:numFmt w:val="bullet"/>
      <w:lvlText w:val=""/>
      <w:lvlJc w:val="left"/>
      <w:pPr>
        <w:ind w:left="4487" w:hanging="360"/>
      </w:pPr>
      <w:rPr>
        <w:rFonts w:ascii="Wingdings" w:hAnsi="Wingdings" w:hint="default"/>
      </w:rPr>
    </w:lvl>
    <w:lvl w:ilvl="6" w:tplc="04090001" w:tentative="1">
      <w:start w:val="1"/>
      <w:numFmt w:val="bullet"/>
      <w:lvlText w:val=""/>
      <w:lvlJc w:val="left"/>
      <w:pPr>
        <w:ind w:left="5207" w:hanging="360"/>
      </w:pPr>
      <w:rPr>
        <w:rFonts w:ascii="Symbol" w:hAnsi="Symbol" w:hint="default"/>
      </w:rPr>
    </w:lvl>
    <w:lvl w:ilvl="7" w:tplc="04090003" w:tentative="1">
      <w:start w:val="1"/>
      <w:numFmt w:val="bullet"/>
      <w:lvlText w:val="o"/>
      <w:lvlJc w:val="left"/>
      <w:pPr>
        <w:ind w:left="5927" w:hanging="360"/>
      </w:pPr>
      <w:rPr>
        <w:rFonts w:ascii="Courier New" w:hAnsi="Courier New" w:cs="Courier New" w:hint="default"/>
      </w:rPr>
    </w:lvl>
    <w:lvl w:ilvl="8" w:tplc="04090005" w:tentative="1">
      <w:start w:val="1"/>
      <w:numFmt w:val="bullet"/>
      <w:lvlText w:val=""/>
      <w:lvlJc w:val="left"/>
      <w:pPr>
        <w:ind w:left="6647" w:hanging="360"/>
      </w:pPr>
      <w:rPr>
        <w:rFonts w:ascii="Wingdings" w:hAnsi="Wingdings" w:hint="default"/>
      </w:rPr>
    </w:lvl>
  </w:abstractNum>
  <w:abstractNum w:abstractNumId="95" w15:restartNumberingAfterBreak="0">
    <w:nsid w:val="36A87D5E"/>
    <w:multiLevelType w:val="hybridMultilevel"/>
    <w:tmpl w:val="AB86C1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76C59CD"/>
    <w:multiLevelType w:val="hybridMultilevel"/>
    <w:tmpl w:val="8C74B5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80015CF"/>
    <w:multiLevelType w:val="hybridMultilevel"/>
    <w:tmpl w:val="AD10DE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387D4FAC"/>
    <w:multiLevelType w:val="hybridMultilevel"/>
    <w:tmpl w:val="5CA828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9484796"/>
    <w:multiLevelType w:val="hybridMultilevel"/>
    <w:tmpl w:val="204ED988"/>
    <w:lvl w:ilvl="0" w:tplc="D62833AC">
      <w:start w:val="1"/>
      <w:numFmt w:val="bullet"/>
      <w:lvlText w:val=""/>
      <w:lvlJc w:val="left"/>
      <w:pPr>
        <w:ind w:left="888" w:hanging="360"/>
      </w:pPr>
      <w:rPr>
        <w:rFonts w:ascii="Symbol" w:hAnsi="Symbol" w:hint="default"/>
        <w:color w:val="000000" w:themeColor="text1"/>
      </w:rPr>
    </w:lvl>
    <w:lvl w:ilvl="1" w:tplc="04090003" w:tentative="1">
      <w:start w:val="1"/>
      <w:numFmt w:val="bullet"/>
      <w:lvlText w:val="o"/>
      <w:lvlJc w:val="left"/>
      <w:pPr>
        <w:ind w:left="1608" w:hanging="360"/>
      </w:pPr>
      <w:rPr>
        <w:rFonts w:ascii="Courier New" w:hAnsi="Courier New" w:cs="Courier New" w:hint="default"/>
      </w:rPr>
    </w:lvl>
    <w:lvl w:ilvl="2" w:tplc="04090005" w:tentative="1">
      <w:start w:val="1"/>
      <w:numFmt w:val="bullet"/>
      <w:lvlText w:val=""/>
      <w:lvlJc w:val="left"/>
      <w:pPr>
        <w:ind w:left="2328" w:hanging="360"/>
      </w:pPr>
      <w:rPr>
        <w:rFonts w:ascii="Wingdings" w:hAnsi="Wingdings" w:hint="default"/>
      </w:rPr>
    </w:lvl>
    <w:lvl w:ilvl="3" w:tplc="04090001" w:tentative="1">
      <w:start w:val="1"/>
      <w:numFmt w:val="bullet"/>
      <w:lvlText w:val=""/>
      <w:lvlJc w:val="left"/>
      <w:pPr>
        <w:ind w:left="3048" w:hanging="360"/>
      </w:pPr>
      <w:rPr>
        <w:rFonts w:ascii="Symbol" w:hAnsi="Symbol" w:hint="default"/>
      </w:rPr>
    </w:lvl>
    <w:lvl w:ilvl="4" w:tplc="04090003" w:tentative="1">
      <w:start w:val="1"/>
      <w:numFmt w:val="bullet"/>
      <w:lvlText w:val="o"/>
      <w:lvlJc w:val="left"/>
      <w:pPr>
        <w:ind w:left="3768" w:hanging="360"/>
      </w:pPr>
      <w:rPr>
        <w:rFonts w:ascii="Courier New" w:hAnsi="Courier New" w:cs="Courier New" w:hint="default"/>
      </w:rPr>
    </w:lvl>
    <w:lvl w:ilvl="5" w:tplc="04090005" w:tentative="1">
      <w:start w:val="1"/>
      <w:numFmt w:val="bullet"/>
      <w:lvlText w:val=""/>
      <w:lvlJc w:val="left"/>
      <w:pPr>
        <w:ind w:left="4488" w:hanging="360"/>
      </w:pPr>
      <w:rPr>
        <w:rFonts w:ascii="Wingdings" w:hAnsi="Wingdings" w:hint="default"/>
      </w:rPr>
    </w:lvl>
    <w:lvl w:ilvl="6" w:tplc="04090001" w:tentative="1">
      <w:start w:val="1"/>
      <w:numFmt w:val="bullet"/>
      <w:lvlText w:val=""/>
      <w:lvlJc w:val="left"/>
      <w:pPr>
        <w:ind w:left="5208" w:hanging="360"/>
      </w:pPr>
      <w:rPr>
        <w:rFonts w:ascii="Symbol" w:hAnsi="Symbol" w:hint="default"/>
      </w:rPr>
    </w:lvl>
    <w:lvl w:ilvl="7" w:tplc="04090003" w:tentative="1">
      <w:start w:val="1"/>
      <w:numFmt w:val="bullet"/>
      <w:lvlText w:val="o"/>
      <w:lvlJc w:val="left"/>
      <w:pPr>
        <w:ind w:left="5928" w:hanging="360"/>
      </w:pPr>
      <w:rPr>
        <w:rFonts w:ascii="Courier New" w:hAnsi="Courier New" w:cs="Courier New" w:hint="default"/>
      </w:rPr>
    </w:lvl>
    <w:lvl w:ilvl="8" w:tplc="04090005" w:tentative="1">
      <w:start w:val="1"/>
      <w:numFmt w:val="bullet"/>
      <w:lvlText w:val=""/>
      <w:lvlJc w:val="left"/>
      <w:pPr>
        <w:ind w:left="6648" w:hanging="360"/>
      </w:pPr>
      <w:rPr>
        <w:rFonts w:ascii="Wingdings" w:hAnsi="Wingdings" w:hint="default"/>
      </w:rPr>
    </w:lvl>
  </w:abstractNum>
  <w:abstractNum w:abstractNumId="100" w15:restartNumberingAfterBreak="0">
    <w:nsid w:val="3A9A5900"/>
    <w:multiLevelType w:val="hybridMultilevel"/>
    <w:tmpl w:val="7DB4D46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1" w15:restartNumberingAfterBreak="0">
    <w:nsid w:val="3DA827AC"/>
    <w:multiLevelType w:val="hybridMultilevel"/>
    <w:tmpl w:val="3B4EA69C"/>
    <w:lvl w:ilvl="0" w:tplc="C0F8771C">
      <w:start w:val="1"/>
      <w:numFmt w:val="decimal"/>
      <w:lvlText w:val="%1."/>
      <w:lvlJc w:val="left"/>
      <w:pPr>
        <w:ind w:left="720" w:hanging="360"/>
      </w:pPr>
      <w:rPr>
        <w:b/>
        <w:bCs/>
        <w:sz w:val="72"/>
        <w:szCs w:val="7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F1C4327"/>
    <w:multiLevelType w:val="hybridMultilevel"/>
    <w:tmpl w:val="37A07C8E"/>
    <w:lvl w:ilvl="0" w:tplc="C0F8771C">
      <w:start w:val="1"/>
      <w:numFmt w:val="decimal"/>
      <w:lvlText w:val="%1."/>
      <w:lvlJc w:val="left"/>
      <w:pPr>
        <w:ind w:left="720" w:hanging="360"/>
      </w:pPr>
      <w:rPr>
        <w:b/>
        <w:bCs/>
        <w:sz w:val="72"/>
        <w:szCs w:val="7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F2B1ABF"/>
    <w:multiLevelType w:val="hybridMultilevel"/>
    <w:tmpl w:val="32E0153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4" w15:restartNumberingAfterBreak="0">
    <w:nsid w:val="3F667200"/>
    <w:multiLevelType w:val="hybridMultilevel"/>
    <w:tmpl w:val="5F301CAE"/>
    <w:lvl w:ilvl="0" w:tplc="FFFFFFFF">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52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3FD16EEB"/>
    <w:multiLevelType w:val="hybridMultilevel"/>
    <w:tmpl w:val="E5AEF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00533A2"/>
    <w:multiLevelType w:val="hybridMultilevel"/>
    <w:tmpl w:val="B73E6DA6"/>
    <w:lvl w:ilvl="0" w:tplc="3AB810D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03853C7"/>
    <w:multiLevelType w:val="hybridMultilevel"/>
    <w:tmpl w:val="5E9AABFE"/>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8" w15:restartNumberingAfterBreak="0">
    <w:nsid w:val="40566A05"/>
    <w:multiLevelType w:val="hybridMultilevel"/>
    <w:tmpl w:val="1E588A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406D694A"/>
    <w:multiLevelType w:val="hybridMultilevel"/>
    <w:tmpl w:val="D798707C"/>
    <w:lvl w:ilvl="0" w:tplc="BF8AB060">
      <w:start w:val="3"/>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1D71209"/>
    <w:multiLevelType w:val="hybridMultilevel"/>
    <w:tmpl w:val="53CAC68A"/>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15:restartNumberingAfterBreak="0">
    <w:nsid w:val="41FA4A3B"/>
    <w:multiLevelType w:val="hybridMultilevel"/>
    <w:tmpl w:val="DC2E63FC"/>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2" w15:restartNumberingAfterBreak="0">
    <w:nsid w:val="44AE7823"/>
    <w:multiLevelType w:val="hybridMultilevel"/>
    <w:tmpl w:val="6E482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6C706C5"/>
    <w:multiLevelType w:val="hybridMultilevel"/>
    <w:tmpl w:val="BC30E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6E57A71"/>
    <w:multiLevelType w:val="hybridMultilevel"/>
    <w:tmpl w:val="0BC29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85A5AF0"/>
    <w:multiLevelType w:val="hybridMultilevel"/>
    <w:tmpl w:val="CF2C8B30"/>
    <w:lvl w:ilvl="0" w:tplc="931C3340">
      <w:start w:val="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89F50FE"/>
    <w:multiLevelType w:val="multilevel"/>
    <w:tmpl w:val="1E1438C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7" w15:restartNumberingAfterBreak="0">
    <w:nsid w:val="49CF492E"/>
    <w:multiLevelType w:val="hybridMultilevel"/>
    <w:tmpl w:val="6270E8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15:restartNumberingAfterBreak="0">
    <w:nsid w:val="4A3C3505"/>
    <w:multiLevelType w:val="hybridMultilevel"/>
    <w:tmpl w:val="88EA0684"/>
    <w:lvl w:ilvl="0" w:tplc="04090001">
      <w:start w:val="1"/>
      <w:numFmt w:val="bullet"/>
      <w:lvlText w:val=""/>
      <w:lvlJc w:val="left"/>
      <w:pPr>
        <w:ind w:left="530" w:hanging="360"/>
      </w:pPr>
      <w:rPr>
        <w:rFonts w:ascii="Symbol" w:hAnsi="Symbol" w:hint="default"/>
      </w:rPr>
    </w:lvl>
    <w:lvl w:ilvl="1" w:tplc="04090003" w:tentative="1">
      <w:start w:val="1"/>
      <w:numFmt w:val="bullet"/>
      <w:lvlText w:val="o"/>
      <w:lvlJc w:val="left"/>
      <w:pPr>
        <w:ind w:left="1250" w:hanging="360"/>
      </w:pPr>
      <w:rPr>
        <w:rFonts w:ascii="Courier New" w:hAnsi="Courier New" w:cs="Courier New" w:hint="default"/>
      </w:rPr>
    </w:lvl>
    <w:lvl w:ilvl="2" w:tplc="04090005" w:tentative="1">
      <w:start w:val="1"/>
      <w:numFmt w:val="bullet"/>
      <w:lvlText w:val=""/>
      <w:lvlJc w:val="left"/>
      <w:pPr>
        <w:ind w:left="1970" w:hanging="360"/>
      </w:pPr>
      <w:rPr>
        <w:rFonts w:ascii="Wingdings" w:hAnsi="Wingdings" w:hint="default"/>
      </w:rPr>
    </w:lvl>
    <w:lvl w:ilvl="3" w:tplc="04090001" w:tentative="1">
      <w:start w:val="1"/>
      <w:numFmt w:val="bullet"/>
      <w:lvlText w:val=""/>
      <w:lvlJc w:val="left"/>
      <w:pPr>
        <w:ind w:left="2690" w:hanging="360"/>
      </w:pPr>
      <w:rPr>
        <w:rFonts w:ascii="Symbol" w:hAnsi="Symbol" w:hint="default"/>
      </w:rPr>
    </w:lvl>
    <w:lvl w:ilvl="4" w:tplc="04090003" w:tentative="1">
      <w:start w:val="1"/>
      <w:numFmt w:val="bullet"/>
      <w:lvlText w:val="o"/>
      <w:lvlJc w:val="left"/>
      <w:pPr>
        <w:ind w:left="3410" w:hanging="360"/>
      </w:pPr>
      <w:rPr>
        <w:rFonts w:ascii="Courier New" w:hAnsi="Courier New" w:cs="Courier New" w:hint="default"/>
      </w:rPr>
    </w:lvl>
    <w:lvl w:ilvl="5" w:tplc="04090005" w:tentative="1">
      <w:start w:val="1"/>
      <w:numFmt w:val="bullet"/>
      <w:lvlText w:val=""/>
      <w:lvlJc w:val="left"/>
      <w:pPr>
        <w:ind w:left="4130" w:hanging="360"/>
      </w:pPr>
      <w:rPr>
        <w:rFonts w:ascii="Wingdings" w:hAnsi="Wingdings" w:hint="default"/>
      </w:rPr>
    </w:lvl>
    <w:lvl w:ilvl="6" w:tplc="04090001" w:tentative="1">
      <w:start w:val="1"/>
      <w:numFmt w:val="bullet"/>
      <w:lvlText w:val=""/>
      <w:lvlJc w:val="left"/>
      <w:pPr>
        <w:ind w:left="4850" w:hanging="360"/>
      </w:pPr>
      <w:rPr>
        <w:rFonts w:ascii="Symbol" w:hAnsi="Symbol" w:hint="default"/>
      </w:rPr>
    </w:lvl>
    <w:lvl w:ilvl="7" w:tplc="04090003" w:tentative="1">
      <w:start w:val="1"/>
      <w:numFmt w:val="bullet"/>
      <w:lvlText w:val="o"/>
      <w:lvlJc w:val="left"/>
      <w:pPr>
        <w:ind w:left="5570" w:hanging="360"/>
      </w:pPr>
      <w:rPr>
        <w:rFonts w:ascii="Courier New" w:hAnsi="Courier New" w:cs="Courier New" w:hint="default"/>
      </w:rPr>
    </w:lvl>
    <w:lvl w:ilvl="8" w:tplc="04090005" w:tentative="1">
      <w:start w:val="1"/>
      <w:numFmt w:val="bullet"/>
      <w:lvlText w:val=""/>
      <w:lvlJc w:val="left"/>
      <w:pPr>
        <w:ind w:left="6290" w:hanging="360"/>
      </w:pPr>
      <w:rPr>
        <w:rFonts w:ascii="Wingdings" w:hAnsi="Wingdings" w:hint="default"/>
      </w:rPr>
    </w:lvl>
  </w:abstractNum>
  <w:abstractNum w:abstractNumId="119" w15:restartNumberingAfterBreak="0">
    <w:nsid w:val="4CC55BA4"/>
    <w:multiLevelType w:val="hybridMultilevel"/>
    <w:tmpl w:val="D07225AC"/>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20" w15:restartNumberingAfterBreak="0">
    <w:nsid w:val="4D26005E"/>
    <w:multiLevelType w:val="multilevel"/>
    <w:tmpl w:val="891C6B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E4916AC"/>
    <w:multiLevelType w:val="hybridMultilevel"/>
    <w:tmpl w:val="FFE8F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E4C7162"/>
    <w:multiLevelType w:val="hybridMultilevel"/>
    <w:tmpl w:val="93D246AC"/>
    <w:lvl w:ilvl="0" w:tplc="C374D1D6">
      <w:start w:val="2"/>
      <w:numFmt w:val="bullet"/>
      <w:lvlText w:val="-"/>
      <w:lvlJc w:val="left"/>
      <w:pPr>
        <w:ind w:left="720" w:hanging="360"/>
      </w:pPr>
      <w:rPr>
        <w:rFonts w:ascii="Calibri" w:eastAsia="Calibri" w:hAnsi="Calibri" w:cs="Calibri" w:hint="default"/>
        <w:color w:val="F26C21"/>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3" w15:restartNumberingAfterBreak="0">
    <w:nsid w:val="4E8454AA"/>
    <w:multiLevelType w:val="hybridMultilevel"/>
    <w:tmpl w:val="442CE1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4F280761"/>
    <w:multiLevelType w:val="hybridMultilevel"/>
    <w:tmpl w:val="A93E4F3C"/>
    <w:lvl w:ilvl="0" w:tplc="D62833AC">
      <w:start w:val="1"/>
      <w:numFmt w:val="bullet"/>
      <w:lvlText w:val=""/>
      <w:lvlJc w:val="left"/>
      <w:pPr>
        <w:ind w:left="888" w:hanging="360"/>
      </w:pPr>
      <w:rPr>
        <w:rFonts w:ascii="Symbol" w:hAnsi="Symbol" w:hint="default"/>
        <w:color w:val="000000" w:themeColor="text1"/>
      </w:rPr>
    </w:lvl>
    <w:lvl w:ilvl="1" w:tplc="04090003" w:tentative="1">
      <w:start w:val="1"/>
      <w:numFmt w:val="bullet"/>
      <w:lvlText w:val="o"/>
      <w:lvlJc w:val="left"/>
      <w:pPr>
        <w:ind w:left="1608" w:hanging="360"/>
      </w:pPr>
      <w:rPr>
        <w:rFonts w:ascii="Courier New" w:hAnsi="Courier New" w:cs="Courier New" w:hint="default"/>
      </w:rPr>
    </w:lvl>
    <w:lvl w:ilvl="2" w:tplc="04090005" w:tentative="1">
      <w:start w:val="1"/>
      <w:numFmt w:val="bullet"/>
      <w:lvlText w:val=""/>
      <w:lvlJc w:val="left"/>
      <w:pPr>
        <w:ind w:left="2328" w:hanging="360"/>
      </w:pPr>
      <w:rPr>
        <w:rFonts w:ascii="Wingdings" w:hAnsi="Wingdings" w:hint="default"/>
      </w:rPr>
    </w:lvl>
    <w:lvl w:ilvl="3" w:tplc="04090001" w:tentative="1">
      <w:start w:val="1"/>
      <w:numFmt w:val="bullet"/>
      <w:lvlText w:val=""/>
      <w:lvlJc w:val="left"/>
      <w:pPr>
        <w:ind w:left="3048" w:hanging="360"/>
      </w:pPr>
      <w:rPr>
        <w:rFonts w:ascii="Symbol" w:hAnsi="Symbol" w:hint="default"/>
      </w:rPr>
    </w:lvl>
    <w:lvl w:ilvl="4" w:tplc="04090003" w:tentative="1">
      <w:start w:val="1"/>
      <w:numFmt w:val="bullet"/>
      <w:lvlText w:val="o"/>
      <w:lvlJc w:val="left"/>
      <w:pPr>
        <w:ind w:left="3768" w:hanging="360"/>
      </w:pPr>
      <w:rPr>
        <w:rFonts w:ascii="Courier New" w:hAnsi="Courier New" w:cs="Courier New" w:hint="default"/>
      </w:rPr>
    </w:lvl>
    <w:lvl w:ilvl="5" w:tplc="04090005" w:tentative="1">
      <w:start w:val="1"/>
      <w:numFmt w:val="bullet"/>
      <w:lvlText w:val=""/>
      <w:lvlJc w:val="left"/>
      <w:pPr>
        <w:ind w:left="4488" w:hanging="360"/>
      </w:pPr>
      <w:rPr>
        <w:rFonts w:ascii="Wingdings" w:hAnsi="Wingdings" w:hint="default"/>
      </w:rPr>
    </w:lvl>
    <w:lvl w:ilvl="6" w:tplc="04090001" w:tentative="1">
      <w:start w:val="1"/>
      <w:numFmt w:val="bullet"/>
      <w:lvlText w:val=""/>
      <w:lvlJc w:val="left"/>
      <w:pPr>
        <w:ind w:left="5208" w:hanging="360"/>
      </w:pPr>
      <w:rPr>
        <w:rFonts w:ascii="Symbol" w:hAnsi="Symbol" w:hint="default"/>
      </w:rPr>
    </w:lvl>
    <w:lvl w:ilvl="7" w:tplc="04090003" w:tentative="1">
      <w:start w:val="1"/>
      <w:numFmt w:val="bullet"/>
      <w:lvlText w:val="o"/>
      <w:lvlJc w:val="left"/>
      <w:pPr>
        <w:ind w:left="5928" w:hanging="360"/>
      </w:pPr>
      <w:rPr>
        <w:rFonts w:ascii="Courier New" w:hAnsi="Courier New" w:cs="Courier New" w:hint="default"/>
      </w:rPr>
    </w:lvl>
    <w:lvl w:ilvl="8" w:tplc="04090005" w:tentative="1">
      <w:start w:val="1"/>
      <w:numFmt w:val="bullet"/>
      <w:lvlText w:val=""/>
      <w:lvlJc w:val="left"/>
      <w:pPr>
        <w:ind w:left="6648" w:hanging="360"/>
      </w:pPr>
      <w:rPr>
        <w:rFonts w:ascii="Wingdings" w:hAnsi="Wingdings" w:hint="default"/>
      </w:rPr>
    </w:lvl>
  </w:abstractNum>
  <w:abstractNum w:abstractNumId="125" w15:restartNumberingAfterBreak="0">
    <w:nsid w:val="4F750225"/>
    <w:multiLevelType w:val="multilevel"/>
    <w:tmpl w:val="0450E7B6"/>
    <w:lvl w:ilvl="0">
      <w:start w:val="3"/>
      <w:numFmt w:val="decimal"/>
      <w:lvlText w:val="%1"/>
      <w:lvlJc w:val="left"/>
      <w:pPr>
        <w:ind w:left="500" w:hanging="500"/>
      </w:pPr>
      <w:rPr>
        <w:rFonts w:eastAsiaTheme="majorEastAsia" w:hint="default"/>
        <w:color w:val="ED7D31" w:themeColor="accent2"/>
      </w:rPr>
    </w:lvl>
    <w:lvl w:ilvl="1">
      <w:start w:val="1"/>
      <w:numFmt w:val="decimal"/>
      <w:lvlText w:val="%1.%2"/>
      <w:lvlJc w:val="left"/>
      <w:pPr>
        <w:ind w:left="720" w:hanging="720"/>
      </w:pPr>
      <w:rPr>
        <w:rFonts w:eastAsiaTheme="majorEastAsia" w:hint="default"/>
        <w:color w:val="ED7D31" w:themeColor="accent2"/>
      </w:rPr>
    </w:lvl>
    <w:lvl w:ilvl="2">
      <w:start w:val="1"/>
      <w:numFmt w:val="decimal"/>
      <w:lvlText w:val="%1.%2.%3"/>
      <w:lvlJc w:val="left"/>
      <w:pPr>
        <w:ind w:left="1080" w:hanging="1080"/>
      </w:pPr>
      <w:rPr>
        <w:rFonts w:eastAsiaTheme="majorEastAsia" w:hint="default"/>
        <w:color w:val="ED7D31" w:themeColor="accent2"/>
      </w:rPr>
    </w:lvl>
    <w:lvl w:ilvl="3">
      <w:start w:val="1"/>
      <w:numFmt w:val="decimal"/>
      <w:lvlText w:val="%1.%2.%3.%4"/>
      <w:lvlJc w:val="left"/>
      <w:pPr>
        <w:ind w:left="1440" w:hanging="1440"/>
      </w:pPr>
      <w:rPr>
        <w:rFonts w:eastAsiaTheme="majorEastAsia" w:hint="default"/>
        <w:color w:val="ED7D31" w:themeColor="accent2"/>
      </w:rPr>
    </w:lvl>
    <w:lvl w:ilvl="4">
      <w:start w:val="1"/>
      <w:numFmt w:val="decimal"/>
      <w:lvlText w:val="%1.%2.%3.%4.%5"/>
      <w:lvlJc w:val="left"/>
      <w:pPr>
        <w:ind w:left="1440" w:hanging="1440"/>
      </w:pPr>
      <w:rPr>
        <w:rFonts w:eastAsiaTheme="majorEastAsia" w:hint="default"/>
        <w:color w:val="ED7D31" w:themeColor="accent2"/>
      </w:rPr>
    </w:lvl>
    <w:lvl w:ilvl="5">
      <w:start w:val="1"/>
      <w:numFmt w:val="decimal"/>
      <w:lvlText w:val="%1.%2.%3.%4.%5.%6"/>
      <w:lvlJc w:val="left"/>
      <w:pPr>
        <w:ind w:left="1800" w:hanging="1800"/>
      </w:pPr>
      <w:rPr>
        <w:rFonts w:eastAsiaTheme="majorEastAsia" w:hint="default"/>
        <w:color w:val="ED7D31" w:themeColor="accent2"/>
      </w:rPr>
    </w:lvl>
    <w:lvl w:ilvl="6">
      <w:start w:val="1"/>
      <w:numFmt w:val="decimal"/>
      <w:lvlText w:val="%1.%2.%3.%4.%5.%6.%7"/>
      <w:lvlJc w:val="left"/>
      <w:pPr>
        <w:ind w:left="2160" w:hanging="2160"/>
      </w:pPr>
      <w:rPr>
        <w:rFonts w:eastAsiaTheme="majorEastAsia" w:hint="default"/>
        <w:color w:val="ED7D31" w:themeColor="accent2"/>
      </w:rPr>
    </w:lvl>
    <w:lvl w:ilvl="7">
      <w:start w:val="1"/>
      <w:numFmt w:val="decimal"/>
      <w:lvlText w:val="%1.%2.%3.%4.%5.%6.%7.%8"/>
      <w:lvlJc w:val="left"/>
      <w:pPr>
        <w:ind w:left="2520" w:hanging="2520"/>
      </w:pPr>
      <w:rPr>
        <w:rFonts w:eastAsiaTheme="majorEastAsia" w:hint="default"/>
        <w:color w:val="ED7D31" w:themeColor="accent2"/>
      </w:rPr>
    </w:lvl>
    <w:lvl w:ilvl="8">
      <w:start w:val="1"/>
      <w:numFmt w:val="decimal"/>
      <w:lvlText w:val="%1.%2.%3.%4.%5.%6.%7.%8.%9"/>
      <w:lvlJc w:val="left"/>
      <w:pPr>
        <w:ind w:left="2880" w:hanging="2880"/>
      </w:pPr>
      <w:rPr>
        <w:rFonts w:eastAsiaTheme="majorEastAsia" w:hint="default"/>
        <w:color w:val="ED7D31" w:themeColor="accent2"/>
      </w:rPr>
    </w:lvl>
  </w:abstractNum>
  <w:abstractNum w:abstractNumId="126" w15:restartNumberingAfterBreak="0">
    <w:nsid w:val="50645407"/>
    <w:multiLevelType w:val="hybridMultilevel"/>
    <w:tmpl w:val="06543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20F4311"/>
    <w:multiLevelType w:val="hybridMultilevel"/>
    <w:tmpl w:val="55261BB2"/>
    <w:lvl w:ilvl="0" w:tplc="931C3340">
      <w:start w:val="2"/>
      <w:numFmt w:val="bullet"/>
      <w:lvlText w:val="-"/>
      <w:lvlJc w:val="left"/>
      <w:pPr>
        <w:ind w:left="1028" w:hanging="360"/>
      </w:pPr>
      <w:rPr>
        <w:rFonts w:ascii="Calibri" w:eastAsia="Calibri" w:hAnsi="Calibri" w:cs="Calibri" w:hint="default"/>
      </w:rPr>
    </w:lvl>
    <w:lvl w:ilvl="1" w:tplc="1C090003">
      <w:start w:val="1"/>
      <w:numFmt w:val="bullet"/>
      <w:lvlText w:val="o"/>
      <w:lvlJc w:val="left"/>
      <w:pPr>
        <w:ind w:left="1748" w:hanging="360"/>
      </w:pPr>
      <w:rPr>
        <w:rFonts w:ascii="Courier New" w:hAnsi="Courier New" w:cs="Courier New" w:hint="default"/>
      </w:rPr>
    </w:lvl>
    <w:lvl w:ilvl="2" w:tplc="1C090005" w:tentative="1">
      <w:start w:val="1"/>
      <w:numFmt w:val="bullet"/>
      <w:lvlText w:val=""/>
      <w:lvlJc w:val="left"/>
      <w:pPr>
        <w:ind w:left="2468" w:hanging="360"/>
      </w:pPr>
      <w:rPr>
        <w:rFonts w:ascii="Wingdings" w:hAnsi="Wingdings" w:hint="default"/>
      </w:rPr>
    </w:lvl>
    <w:lvl w:ilvl="3" w:tplc="1C090001" w:tentative="1">
      <w:start w:val="1"/>
      <w:numFmt w:val="bullet"/>
      <w:lvlText w:val=""/>
      <w:lvlJc w:val="left"/>
      <w:pPr>
        <w:ind w:left="3188" w:hanging="360"/>
      </w:pPr>
      <w:rPr>
        <w:rFonts w:ascii="Symbol" w:hAnsi="Symbol" w:hint="default"/>
      </w:rPr>
    </w:lvl>
    <w:lvl w:ilvl="4" w:tplc="1C090003" w:tentative="1">
      <w:start w:val="1"/>
      <w:numFmt w:val="bullet"/>
      <w:lvlText w:val="o"/>
      <w:lvlJc w:val="left"/>
      <w:pPr>
        <w:ind w:left="3908" w:hanging="360"/>
      </w:pPr>
      <w:rPr>
        <w:rFonts w:ascii="Courier New" w:hAnsi="Courier New" w:cs="Courier New" w:hint="default"/>
      </w:rPr>
    </w:lvl>
    <w:lvl w:ilvl="5" w:tplc="1C090005" w:tentative="1">
      <w:start w:val="1"/>
      <w:numFmt w:val="bullet"/>
      <w:lvlText w:val=""/>
      <w:lvlJc w:val="left"/>
      <w:pPr>
        <w:ind w:left="4628" w:hanging="360"/>
      </w:pPr>
      <w:rPr>
        <w:rFonts w:ascii="Wingdings" w:hAnsi="Wingdings" w:hint="default"/>
      </w:rPr>
    </w:lvl>
    <w:lvl w:ilvl="6" w:tplc="1C090001" w:tentative="1">
      <w:start w:val="1"/>
      <w:numFmt w:val="bullet"/>
      <w:lvlText w:val=""/>
      <w:lvlJc w:val="left"/>
      <w:pPr>
        <w:ind w:left="5348" w:hanging="360"/>
      </w:pPr>
      <w:rPr>
        <w:rFonts w:ascii="Symbol" w:hAnsi="Symbol" w:hint="default"/>
      </w:rPr>
    </w:lvl>
    <w:lvl w:ilvl="7" w:tplc="1C090003" w:tentative="1">
      <w:start w:val="1"/>
      <w:numFmt w:val="bullet"/>
      <w:lvlText w:val="o"/>
      <w:lvlJc w:val="left"/>
      <w:pPr>
        <w:ind w:left="6068" w:hanging="360"/>
      </w:pPr>
      <w:rPr>
        <w:rFonts w:ascii="Courier New" w:hAnsi="Courier New" w:cs="Courier New" w:hint="default"/>
      </w:rPr>
    </w:lvl>
    <w:lvl w:ilvl="8" w:tplc="1C090005" w:tentative="1">
      <w:start w:val="1"/>
      <w:numFmt w:val="bullet"/>
      <w:lvlText w:val=""/>
      <w:lvlJc w:val="left"/>
      <w:pPr>
        <w:ind w:left="6788" w:hanging="360"/>
      </w:pPr>
      <w:rPr>
        <w:rFonts w:ascii="Wingdings" w:hAnsi="Wingdings" w:hint="default"/>
      </w:rPr>
    </w:lvl>
  </w:abstractNum>
  <w:abstractNum w:abstractNumId="128" w15:restartNumberingAfterBreak="0">
    <w:nsid w:val="52606602"/>
    <w:multiLevelType w:val="hybridMultilevel"/>
    <w:tmpl w:val="5C489C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9" w15:restartNumberingAfterBreak="0">
    <w:nsid w:val="529B42C4"/>
    <w:multiLevelType w:val="hybridMultilevel"/>
    <w:tmpl w:val="18BE9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2B076D9"/>
    <w:multiLevelType w:val="hybridMultilevel"/>
    <w:tmpl w:val="7D828120"/>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1" w15:restartNumberingAfterBreak="0">
    <w:nsid w:val="53B74835"/>
    <w:multiLevelType w:val="hybridMultilevel"/>
    <w:tmpl w:val="97A4E4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53F40955"/>
    <w:multiLevelType w:val="hybridMultilevel"/>
    <w:tmpl w:val="7D9A1BE0"/>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33" w15:restartNumberingAfterBreak="0">
    <w:nsid w:val="551D0968"/>
    <w:multiLevelType w:val="hybridMultilevel"/>
    <w:tmpl w:val="11345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67A602D"/>
    <w:multiLevelType w:val="hybridMultilevel"/>
    <w:tmpl w:val="D5ACBA7A"/>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5" w15:restartNumberingAfterBreak="0">
    <w:nsid w:val="57715FE8"/>
    <w:multiLevelType w:val="hybridMultilevel"/>
    <w:tmpl w:val="15C8FE4E"/>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6" w15:restartNumberingAfterBreak="0">
    <w:nsid w:val="58660E94"/>
    <w:multiLevelType w:val="hybridMultilevel"/>
    <w:tmpl w:val="095EB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8A57920"/>
    <w:multiLevelType w:val="hybridMultilevel"/>
    <w:tmpl w:val="1BE8E408"/>
    <w:lvl w:ilvl="0" w:tplc="0409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1326" w:hanging="360"/>
      </w:pPr>
      <w:rPr>
        <w:rFonts w:ascii="Courier New" w:hAnsi="Courier New" w:cs="Courier New" w:hint="default"/>
      </w:rPr>
    </w:lvl>
    <w:lvl w:ilvl="2" w:tplc="FFFFFFFF" w:tentative="1">
      <w:start w:val="1"/>
      <w:numFmt w:val="bullet"/>
      <w:lvlText w:val=""/>
      <w:lvlJc w:val="left"/>
      <w:pPr>
        <w:ind w:left="2046" w:hanging="360"/>
      </w:pPr>
      <w:rPr>
        <w:rFonts w:ascii="Wingdings" w:hAnsi="Wingdings" w:hint="default"/>
      </w:rPr>
    </w:lvl>
    <w:lvl w:ilvl="3" w:tplc="FFFFFFFF" w:tentative="1">
      <w:start w:val="1"/>
      <w:numFmt w:val="bullet"/>
      <w:lvlText w:val=""/>
      <w:lvlJc w:val="left"/>
      <w:pPr>
        <w:ind w:left="2766" w:hanging="360"/>
      </w:pPr>
      <w:rPr>
        <w:rFonts w:ascii="Symbol" w:hAnsi="Symbol" w:hint="default"/>
      </w:rPr>
    </w:lvl>
    <w:lvl w:ilvl="4" w:tplc="FFFFFFFF" w:tentative="1">
      <w:start w:val="1"/>
      <w:numFmt w:val="bullet"/>
      <w:lvlText w:val="o"/>
      <w:lvlJc w:val="left"/>
      <w:pPr>
        <w:ind w:left="3486" w:hanging="360"/>
      </w:pPr>
      <w:rPr>
        <w:rFonts w:ascii="Courier New" w:hAnsi="Courier New" w:cs="Courier New" w:hint="default"/>
      </w:rPr>
    </w:lvl>
    <w:lvl w:ilvl="5" w:tplc="FFFFFFFF" w:tentative="1">
      <w:start w:val="1"/>
      <w:numFmt w:val="bullet"/>
      <w:lvlText w:val=""/>
      <w:lvlJc w:val="left"/>
      <w:pPr>
        <w:ind w:left="4206" w:hanging="360"/>
      </w:pPr>
      <w:rPr>
        <w:rFonts w:ascii="Wingdings" w:hAnsi="Wingdings" w:hint="default"/>
      </w:rPr>
    </w:lvl>
    <w:lvl w:ilvl="6" w:tplc="FFFFFFFF" w:tentative="1">
      <w:start w:val="1"/>
      <w:numFmt w:val="bullet"/>
      <w:lvlText w:val=""/>
      <w:lvlJc w:val="left"/>
      <w:pPr>
        <w:ind w:left="4926" w:hanging="360"/>
      </w:pPr>
      <w:rPr>
        <w:rFonts w:ascii="Symbol" w:hAnsi="Symbol" w:hint="default"/>
      </w:rPr>
    </w:lvl>
    <w:lvl w:ilvl="7" w:tplc="FFFFFFFF" w:tentative="1">
      <w:start w:val="1"/>
      <w:numFmt w:val="bullet"/>
      <w:lvlText w:val="o"/>
      <w:lvlJc w:val="left"/>
      <w:pPr>
        <w:ind w:left="5646" w:hanging="360"/>
      </w:pPr>
      <w:rPr>
        <w:rFonts w:ascii="Courier New" w:hAnsi="Courier New" w:cs="Courier New" w:hint="default"/>
      </w:rPr>
    </w:lvl>
    <w:lvl w:ilvl="8" w:tplc="FFFFFFFF" w:tentative="1">
      <w:start w:val="1"/>
      <w:numFmt w:val="bullet"/>
      <w:lvlText w:val=""/>
      <w:lvlJc w:val="left"/>
      <w:pPr>
        <w:ind w:left="6366" w:hanging="360"/>
      </w:pPr>
      <w:rPr>
        <w:rFonts w:ascii="Wingdings" w:hAnsi="Wingdings" w:hint="default"/>
      </w:rPr>
    </w:lvl>
  </w:abstractNum>
  <w:abstractNum w:abstractNumId="138" w15:restartNumberingAfterBreak="0">
    <w:nsid w:val="59456718"/>
    <w:multiLevelType w:val="hybridMultilevel"/>
    <w:tmpl w:val="AE7E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9F14E58"/>
    <w:multiLevelType w:val="hybridMultilevel"/>
    <w:tmpl w:val="8CAAF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ABA636B"/>
    <w:multiLevelType w:val="hybridMultilevel"/>
    <w:tmpl w:val="AC245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CE056CB"/>
    <w:multiLevelType w:val="hybridMultilevel"/>
    <w:tmpl w:val="D5E2CDD6"/>
    <w:lvl w:ilvl="0" w:tplc="FFFFFFFF">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DDC7E37"/>
    <w:multiLevelType w:val="multilevel"/>
    <w:tmpl w:val="B8F6438E"/>
    <w:lvl w:ilvl="0">
      <w:start w:val="3"/>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3" w15:restartNumberingAfterBreak="0">
    <w:nsid w:val="5F051151"/>
    <w:multiLevelType w:val="hybridMultilevel"/>
    <w:tmpl w:val="EF123E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5F0D38D4"/>
    <w:multiLevelType w:val="hybridMultilevel"/>
    <w:tmpl w:val="CDACD798"/>
    <w:lvl w:ilvl="0" w:tplc="6FF0D282">
      <w:start w:val="1"/>
      <w:numFmt w:val="bullet"/>
      <w:lvlText w:val=""/>
      <w:lvlJc w:val="left"/>
      <w:pPr>
        <w:ind w:left="2149" w:hanging="360"/>
      </w:pPr>
      <w:rPr>
        <w:rFonts w:ascii="Symbol" w:hAnsi="Symbol" w:hint="default"/>
        <w:color w:val="auto"/>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5" w15:restartNumberingAfterBreak="0">
    <w:nsid w:val="5FAA429F"/>
    <w:multiLevelType w:val="multilevel"/>
    <w:tmpl w:val="210C32AC"/>
    <w:lvl w:ilvl="0">
      <w:start w:val="3"/>
      <w:numFmt w:val="decimal"/>
      <w:lvlText w:val="%1"/>
      <w:lvlJc w:val="left"/>
      <w:pPr>
        <w:ind w:left="500" w:hanging="5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46" w15:restartNumberingAfterBreak="0">
    <w:nsid w:val="5FB447F9"/>
    <w:multiLevelType w:val="hybridMultilevel"/>
    <w:tmpl w:val="AD6A3686"/>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03926D4"/>
    <w:multiLevelType w:val="multilevel"/>
    <w:tmpl w:val="D464A3A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8" w15:restartNumberingAfterBreak="0">
    <w:nsid w:val="606E288D"/>
    <w:multiLevelType w:val="multilevel"/>
    <w:tmpl w:val="3C32CE22"/>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color w:val="16988A"/>
      </w:rPr>
    </w:lvl>
    <w:lvl w:ilvl="2">
      <w:start w:val="1"/>
      <w:numFmt w:val="decimal"/>
      <w:isLgl/>
      <w:lvlText w:val="%1.%2.%3"/>
      <w:lvlJc w:val="left"/>
      <w:pPr>
        <w:ind w:left="1440" w:hanging="1080"/>
      </w:pPr>
      <w:rPr>
        <w:rFonts w:hint="default"/>
        <w:color w:val="16988A"/>
      </w:rPr>
    </w:lvl>
    <w:lvl w:ilvl="3">
      <w:start w:val="1"/>
      <w:numFmt w:val="decimal"/>
      <w:isLgl/>
      <w:lvlText w:val="%1.%2.%3.%4"/>
      <w:lvlJc w:val="left"/>
      <w:pPr>
        <w:ind w:left="1800" w:hanging="1440"/>
      </w:pPr>
      <w:rPr>
        <w:rFonts w:hint="default"/>
        <w:color w:val="16988A"/>
      </w:rPr>
    </w:lvl>
    <w:lvl w:ilvl="4">
      <w:start w:val="1"/>
      <w:numFmt w:val="decimal"/>
      <w:isLgl/>
      <w:lvlText w:val="%1.%2.%3.%4.%5"/>
      <w:lvlJc w:val="left"/>
      <w:pPr>
        <w:ind w:left="1800" w:hanging="1440"/>
      </w:pPr>
      <w:rPr>
        <w:rFonts w:hint="default"/>
        <w:color w:val="16988A"/>
      </w:rPr>
    </w:lvl>
    <w:lvl w:ilvl="5">
      <w:start w:val="1"/>
      <w:numFmt w:val="decimal"/>
      <w:isLgl/>
      <w:lvlText w:val="%1.%2.%3.%4.%5.%6"/>
      <w:lvlJc w:val="left"/>
      <w:pPr>
        <w:ind w:left="2160" w:hanging="1800"/>
      </w:pPr>
      <w:rPr>
        <w:rFonts w:hint="default"/>
        <w:color w:val="16988A"/>
      </w:rPr>
    </w:lvl>
    <w:lvl w:ilvl="6">
      <w:start w:val="1"/>
      <w:numFmt w:val="decimal"/>
      <w:isLgl/>
      <w:lvlText w:val="%1.%2.%3.%4.%5.%6.%7"/>
      <w:lvlJc w:val="left"/>
      <w:pPr>
        <w:ind w:left="2520" w:hanging="2160"/>
      </w:pPr>
      <w:rPr>
        <w:rFonts w:hint="default"/>
        <w:color w:val="16988A"/>
      </w:rPr>
    </w:lvl>
    <w:lvl w:ilvl="7">
      <w:start w:val="1"/>
      <w:numFmt w:val="decimal"/>
      <w:isLgl/>
      <w:lvlText w:val="%1.%2.%3.%4.%5.%6.%7.%8"/>
      <w:lvlJc w:val="left"/>
      <w:pPr>
        <w:ind w:left="2880" w:hanging="2520"/>
      </w:pPr>
      <w:rPr>
        <w:rFonts w:hint="default"/>
        <w:color w:val="16988A"/>
      </w:rPr>
    </w:lvl>
    <w:lvl w:ilvl="8">
      <w:start w:val="1"/>
      <w:numFmt w:val="decimal"/>
      <w:isLgl/>
      <w:lvlText w:val="%1.%2.%3.%4.%5.%6.%7.%8.%9"/>
      <w:lvlJc w:val="left"/>
      <w:pPr>
        <w:ind w:left="3240" w:hanging="2880"/>
      </w:pPr>
      <w:rPr>
        <w:rFonts w:hint="default"/>
        <w:color w:val="16988A"/>
      </w:rPr>
    </w:lvl>
  </w:abstractNum>
  <w:abstractNum w:abstractNumId="149" w15:restartNumberingAfterBreak="0">
    <w:nsid w:val="60F43CF8"/>
    <w:multiLevelType w:val="hybridMultilevel"/>
    <w:tmpl w:val="F62C9EA4"/>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0" w15:restartNumberingAfterBreak="0">
    <w:nsid w:val="61262BC5"/>
    <w:multiLevelType w:val="hybridMultilevel"/>
    <w:tmpl w:val="BBF06B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12A5D68"/>
    <w:multiLevelType w:val="hybridMultilevel"/>
    <w:tmpl w:val="58AAD6D6"/>
    <w:lvl w:ilvl="0" w:tplc="1C090001">
      <w:start w:val="1"/>
      <w:numFmt w:val="bullet"/>
      <w:lvlText w:val=""/>
      <w:lvlJc w:val="left"/>
      <w:pPr>
        <w:ind w:left="560" w:hanging="360"/>
      </w:pPr>
      <w:rPr>
        <w:rFonts w:ascii="Symbol" w:hAnsi="Symbol" w:hint="default"/>
      </w:rPr>
    </w:lvl>
    <w:lvl w:ilvl="1" w:tplc="1C090003" w:tentative="1">
      <w:start w:val="1"/>
      <w:numFmt w:val="bullet"/>
      <w:lvlText w:val="o"/>
      <w:lvlJc w:val="left"/>
      <w:pPr>
        <w:ind w:left="1280" w:hanging="360"/>
      </w:pPr>
      <w:rPr>
        <w:rFonts w:ascii="Courier New" w:hAnsi="Courier New" w:cs="Courier New" w:hint="default"/>
      </w:rPr>
    </w:lvl>
    <w:lvl w:ilvl="2" w:tplc="1C090005" w:tentative="1">
      <w:start w:val="1"/>
      <w:numFmt w:val="bullet"/>
      <w:lvlText w:val=""/>
      <w:lvlJc w:val="left"/>
      <w:pPr>
        <w:ind w:left="2000" w:hanging="360"/>
      </w:pPr>
      <w:rPr>
        <w:rFonts w:ascii="Wingdings" w:hAnsi="Wingdings" w:hint="default"/>
      </w:rPr>
    </w:lvl>
    <w:lvl w:ilvl="3" w:tplc="1C090001" w:tentative="1">
      <w:start w:val="1"/>
      <w:numFmt w:val="bullet"/>
      <w:lvlText w:val=""/>
      <w:lvlJc w:val="left"/>
      <w:pPr>
        <w:ind w:left="2720" w:hanging="360"/>
      </w:pPr>
      <w:rPr>
        <w:rFonts w:ascii="Symbol" w:hAnsi="Symbol" w:hint="default"/>
      </w:rPr>
    </w:lvl>
    <w:lvl w:ilvl="4" w:tplc="1C090003" w:tentative="1">
      <w:start w:val="1"/>
      <w:numFmt w:val="bullet"/>
      <w:lvlText w:val="o"/>
      <w:lvlJc w:val="left"/>
      <w:pPr>
        <w:ind w:left="3440" w:hanging="360"/>
      </w:pPr>
      <w:rPr>
        <w:rFonts w:ascii="Courier New" w:hAnsi="Courier New" w:cs="Courier New" w:hint="default"/>
      </w:rPr>
    </w:lvl>
    <w:lvl w:ilvl="5" w:tplc="1C090005" w:tentative="1">
      <w:start w:val="1"/>
      <w:numFmt w:val="bullet"/>
      <w:lvlText w:val=""/>
      <w:lvlJc w:val="left"/>
      <w:pPr>
        <w:ind w:left="4160" w:hanging="360"/>
      </w:pPr>
      <w:rPr>
        <w:rFonts w:ascii="Wingdings" w:hAnsi="Wingdings" w:hint="default"/>
      </w:rPr>
    </w:lvl>
    <w:lvl w:ilvl="6" w:tplc="1C090001" w:tentative="1">
      <w:start w:val="1"/>
      <w:numFmt w:val="bullet"/>
      <w:lvlText w:val=""/>
      <w:lvlJc w:val="left"/>
      <w:pPr>
        <w:ind w:left="4880" w:hanging="360"/>
      </w:pPr>
      <w:rPr>
        <w:rFonts w:ascii="Symbol" w:hAnsi="Symbol" w:hint="default"/>
      </w:rPr>
    </w:lvl>
    <w:lvl w:ilvl="7" w:tplc="1C090003" w:tentative="1">
      <w:start w:val="1"/>
      <w:numFmt w:val="bullet"/>
      <w:lvlText w:val="o"/>
      <w:lvlJc w:val="left"/>
      <w:pPr>
        <w:ind w:left="5600" w:hanging="360"/>
      </w:pPr>
      <w:rPr>
        <w:rFonts w:ascii="Courier New" w:hAnsi="Courier New" w:cs="Courier New" w:hint="default"/>
      </w:rPr>
    </w:lvl>
    <w:lvl w:ilvl="8" w:tplc="1C090005" w:tentative="1">
      <w:start w:val="1"/>
      <w:numFmt w:val="bullet"/>
      <w:lvlText w:val=""/>
      <w:lvlJc w:val="left"/>
      <w:pPr>
        <w:ind w:left="6320" w:hanging="360"/>
      </w:pPr>
      <w:rPr>
        <w:rFonts w:ascii="Wingdings" w:hAnsi="Wingdings" w:hint="default"/>
      </w:rPr>
    </w:lvl>
  </w:abstractNum>
  <w:abstractNum w:abstractNumId="152" w15:restartNumberingAfterBreak="0">
    <w:nsid w:val="61431E20"/>
    <w:multiLevelType w:val="hybridMultilevel"/>
    <w:tmpl w:val="BA0011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36443C8"/>
    <w:multiLevelType w:val="hybridMultilevel"/>
    <w:tmpl w:val="30C09062"/>
    <w:lvl w:ilvl="0" w:tplc="04090005">
      <w:start w:val="1"/>
      <w:numFmt w:val="bullet"/>
      <w:lvlText w:val=""/>
      <w:lvlJc w:val="left"/>
      <w:pPr>
        <w:ind w:left="720" w:hanging="360"/>
      </w:pPr>
      <w:rPr>
        <w:rFonts w:ascii="Wingdings" w:hAnsi="Wingdings"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4" w15:restartNumberingAfterBreak="0">
    <w:nsid w:val="63933F5D"/>
    <w:multiLevelType w:val="multilevel"/>
    <w:tmpl w:val="D464A3A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5" w15:restartNumberingAfterBreak="0">
    <w:nsid w:val="643E7D44"/>
    <w:multiLevelType w:val="hybridMultilevel"/>
    <w:tmpl w:val="E2D6DD6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15:restartNumberingAfterBreak="0">
    <w:nsid w:val="64560ABE"/>
    <w:multiLevelType w:val="hybridMultilevel"/>
    <w:tmpl w:val="74FE9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4B07BB3"/>
    <w:multiLevelType w:val="hybridMultilevel"/>
    <w:tmpl w:val="B92A2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5E71AE6"/>
    <w:multiLevelType w:val="multilevel"/>
    <w:tmpl w:val="3EE8C25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9" w15:restartNumberingAfterBreak="0">
    <w:nsid w:val="676F5940"/>
    <w:multiLevelType w:val="multilevel"/>
    <w:tmpl w:val="295292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8F145AD"/>
    <w:multiLevelType w:val="hybridMultilevel"/>
    <w:tmpl w:val="61F45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900718D"/>
    <w:multiLevelType w:val="hybridMultilevel"/>
    <w:tmpl w:val="113A238C"/>
    <w:lvl w:ilvl="0" w:tplc="04090001">
      <w:start w:val="1"/>
      <w:numFmt w:val="bullet"/>
      <w:lvlText w:val=""/>
      <w:lvlJc w:val="left"/>
      <w:pPr>
        <w:ind w:left="531" w:hanging="360"/>
      </w:pPr>
      <w:rPr>
        <w:rFonts w:ascii="Symbol" w:hAnsi="Symbol" w:hint="default"/>
      </w:rPr>
    </w:lvl>
    <w:lvl w:ilvl="1" w:tplc="04090003" w:tentative="1">
      <w:start w:val="1"/>
      <w:numFmt w:val="bullet"/>
      <w:lvlText w:val="o"/>
      <w:lvlJc w:val="left"/>
      <w:pPr>
        <w:ind w:left="1251" w:hanging="360"/>
      </w:pPr>
      <w:rPr>
        <w:rFonts w:ascii="Courier New" w:hAnsi="Courier New" w:cs="Courier New" w:hint="default"/>
      </w:rPr>
    </w:lvl>
    <w:lvl w:ilvl="2" w:tplc="04090005" w:tentative="1">
      <w:start w:val="1"/>
      <w:numFmt w:val="bullet"/>
      <w:lvlText w:val=""/>
      <w:lvlJc w:val="left"/>
      <w:pPr>
        <w:ind w:left="1971" w:hanging="360"/>
      </w:pPr>
      <w:rPr>
        <w:rFonts w:ascii="Wingdings" w:hAnsi="Wingdings" w:hint="default"/>
      </w:rPr>
    </w:lvl>
    <w:lvl w:ilvl="3" w:tplc="04090001" w:tentative="1">
      <w:start w:val="1"/>
      <w:numFmt w:val="bullet"/>
      <w:lvlText w:val=""/>
      <w:lvlJc w:val="left"/>
      <w:pPr>
        <w:ind w:left="2691" w:hanging="360"/>
      </w:pPr>
      <w:rPr>
        <w:rFonts w:ascii="Symbol" w:hAnsi="Symbol" w:hint="default"/>
      </w:rPr>
    </w:lvl>
    <w:lvl w:ilvl="4" w:tplc="04090003" w:tentative="1">
      <w:start w:val="1"/>
      <w:numFmt w:val="bullet"/>
      <w:lvlText w:val="o"/>
      <w:lvlJc w:val="left"/>
      <w:pPr>
        <w:ind w:left="3411" w:hanging="360"/>
      </w:pPr>
      <w:rPr>
        <w:rFonts w:ascii="Courier New" w:hAnsi="Courier New" w:cs="Courier New" w:hint="default"/>
      </w:rPr>
    </w:lvl>
    <w:lvl w:ilvl="5" w:tplc="04090005" w:tentative="1">
      <w:start w:val="1"/>
      <w:numFmt w:val="bullet"/>
      <w:lvlText w:val=""/>
      <w:lvlJc w:val="left"/>
      <w:pPr>
        <w:ind w:left="4131" w:hanging="360"/>
      </w:pPr>
      <w:rPr>
        <w:rFonts w:ascii="Wingdings" w:hAnsi="Wingdings" w:hint="default"/>
      </w:rPr>
    </w:lvl>
    <w:lvl w:ilvl="6" w:tplc="04090001" w:tentative="1">
      <w:start w:val="1"/>
      <w:numFmt w:val="bullet"/>
      <w:lvlText w:val=""/>
      <w:lvlJc w:val="left"/>
      <w:pPr>
        <w:ind w:left="4851" w:hanging="360"/>
      </w:pPr>
      <w:rPr>
        <w:rFonts w:ascii="Symbol" w:hAnsi="Symbol" w:hint="default"/>
      </w:rPr>
    </w:lvl>
    <w:lvl w:ilvl="7" w:tplc="04090003" w:tentative="1">
      <w:start w:val="1"/>
      <w:numFmt w:val="bullet"/>
      <w:lvlText w:val="o"/>
      <w:lvlJc w:val="left"/>
      <w:pPr>
        <w:ind w:left="5571" w:hanging="360"/>
      </w:pPr>
      <w:rPr>
        <w:rFonts w:ascii="Courier New" w:hAnsi="Courier New" w:cs="Courier New" w:hint="default"/>
      </w:rPr>
    </w:lvl>
    <w:lvl w:ilvl="8" w:tplc="04090005" w:tentative="1">
      <w:start w:val="1"/>
      <w:numFmt w:val="bullet"/>
      <w:lvlText w:val=""/>
      <w:lvlJc w:val="left"/>
      <w:pPr>
        <w:ind w:left="6291" w:hanging="360"/>
      </w:pPr>
      <w:rPr>
        <w:rFonts w:ascii="Wingdings" w:hAnsi="Wingdings" w:hint="default"/>
      </w:rPr>
    </w:lvl>
  </w:abstractNum>
  <w:abstractNum w:abstractNumId="162" w15:restartNumberingAfterBreak="0">
    <w:nsid w:val="69AB2221"/>
    <w:multiLevelType w:val="hybridMultilevel"/>
    <w:tmpl w:val="274AB55C"/>
    <w:lvl w:ilvl="0" w:tplc="D62833AC">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3" w15:restartNumberingAfterBreak="0">
    <w:nsid w:val="69F060C4"/>
    <w:multiLevelType w:val="hybridMultilevel"/>
    <w:tmpl w:val="06984506"/>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A0E7732"/>
    <w:multiLevelType w:val="hybridMultilevel"/>
    <w:tmpl w:val="32E0153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5" w15:restartNumberingAfterBreak="0">
    <w:nsid w:val="6A383207"/>
    <w:multiLevelType w:val="multilevel"/>
    <w:tmpl w:val="20B2D1CA"/>
    <w:lvl w:ilvl="0">
      <w:start w:val="4"/>
      <w:numFmt w:val="decimal"/>
      <w:lvlText w:val="%1"/>
      <w:lvlJc w:val="left"/>
      <w:pPr>
        <w:ind w:left="500" w:hanging="500"/>
      </w:pPr>
      <w:rPr>
        <w:rFonts w:hint="default"/>
      </w:rPr>
    </w:lvl>
    <w:lvl w:ilvl="1">
      <w:start w:val="1"/>
      <w:numFmt w:val="decimal"/>
      <w:lvlText w:val="%1.%2"/>
      <w:lvlJc w:val="left"/>
      <w:pPr>
        <w:ind w:left="720" w:hanging="720"/>
      </w:pPr>
      <w:rPr>
        <w:rFonts w:hint="default"/>
        <w:b/>
        <w:bCs/>
        <w:color w:val="69557F"/>
        <w:sz w:val="36"/>
        <w:szCs w:val="36"/>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66" w15:restartNumberingAfterBreak="0">
    <w:nsid w:val="6A7F4AFB"/>
    <w:multiLevelType w:val="multilevel"/>
    <w:tmpl w:val="A922F55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7" w15:restartNumberingAfterBreak="0">
    <w:nsid w:val="6ABC79E9"/>
    <w:multiLevelType w:val="hybridMultilevel"/>
    <w:tmpl w:val="5192E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C055093"/>
    <w:multiLevelType w:val="hybridMultilevel"/>
    <w:tmpl w:val="C228F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CB76E91"/>
    <w:multiLevelType w:val="hybridMultilevel"/>
    <w:tmpl w:val="1270B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6DAC393C"/>
    <w:multiLevelType w:val="multilevel"/>
    <w:tmpl w:val="75BE9DAC"/>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bCs/>
        <w:color w:val="69557F"/>
        <w:sz w:val="36"/>
        <w:szCs w:val="36"/>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1" w15:restartNumberingAfterBreak="0">
    <w:nsid w:val="6DF9345D"/>
    <w:multiLevelType w:val="hybridMultilevel"/>
    <w:tmpl w:val="0158F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EAA4619"/>
    <w:multiLevelType w:val="multilevel"/>
    <w:tmpl w:val="5B706374"/>
    <w:lvl w:ilvl="0">
      <w:start w:val="2"/>
      <w:numFmt w:val="decimal"/>
      <w:lvlText w:val="%1"/>
      <w:lvlJc w:val="left"/>
      <w:pPr>
        <w:ind w:left="360" w:hanging="360"/>
      </w:pPr>
      <w:rPr>
        <w:rFonts w:asciiTheme="majorHAnsi" w:hAnsiTheme="majorHAnsi" w:cstheme="majorBidi" w:hint="default"/>
        <w:sz w:val="26"/>
      </w:rPr>
    </w:lvl>
    <w:lvl w:ilvl="1">
      <w:start w:val="1"/>
      <w:numFmt w:val="decimal"/>
      <w:lvlText w:val="%1.%2"/>
      <w:lvlJc w:val="left"/>
      <w:pPr>
        <w:ind w:left="360" w:hanging="360"/>
      </w:pPr>
      <w:rPr>
        <w:rFonts w:ascii="Arial" w:hAnsi="Arial" w:cs="Arial" w:hint="default"/>
        <w:b/>
        <w:bCs/>
        <w:color w:val="F8A132"/>
        <w:sz w:val="36"/>
        <w:szCs w:val="36"/>
      </w:rPr>
    </w:lvl>
    <w:lvl w:ilvl="2">
      <w:start w:val="1"/>
      <w:numFmt w:val="decimal"/>
      <w:lvlText w:val="%1.%2.%3"/>
      <w:lvlJc w:val="left"/>
      <w:pPr>
        <w:ind w:left="2160" w:hanging="720"/>
      </w:pPr>
      <w:rPr>
        <w:rFonts w:asciiTheme="majorHAnsi" w:hAnsiTheme="majorHAnsi" w:cstheme="majorBidi" w:hint="default"/>
        <w:sz w:val="26"/>
      </w:rPr>
    </w:lvl>
    <w:lvl w:ilvl="3">
      <w:start w:val="1"/>
      <w:numFmt w:val="decimal"/>
      <w:lvlText w:val="%1.%2.%3.%4"/>
      <w:lvlJc w:val="left"/>
      <w:pPr>
        <w:ind w:left="3240" w:hanging="1080"/>
      </w:pPr>
      <w:rPr>
        <w:rFonts w:asciiTheme="majorHAnsi" w:hAnsiTheme="majorHAnsi" w:cstheme="majorBidi" w:hint="default"/>
        <w:sz w:val="26"/>
      </w:rPr>
    </w:lvl>
    <w:lvl w:ilvl="4">
      <w:start w:val="1"/>
      <w:numFmt w:val="decimal"/>
      <w:lvlText w:val="%1.%2.%3.%4.%5"/>
      <w:lvlJc w:val="left"/>
      <w:pPr>
        <w:ind w:left="3960" w:hanging="1080"/>
      </w:pPr>
      <w:rPr>
        <w:rFonts w:asciiTheme="majorHAnsi" w:hAnsiTheme="majorHAnsi" w:cstheme="majorBidi" w:hint="default"/>
        <w:sz w:val="26"/>
      </w:rPr>
    </w:lvl>
    <w:lvl w:ilvl="5">
      <w:start w:val="1"/>
      <w:numFmt w:val="decimal"/>
      <w:lvlText w:val="%1.%2.%3.%4.%5.%6"/>
      <w:lvlJc w:val="left"/>
      <w:pPr>
        <w:ind w:left="5040" w:hanging="1440"/>
      </w:pPr>
      <w:rPr>
        <w:rFonts w:asciiTheme="majorHAnsi" w:hAnsiTheme="majorHAnsi" w:cstheme="majorBidi" w:hint="default"/>
        <w:sz w:val="26"/>
      </w:rPr>
    </w:lvl>
    <w:lvl w:ilvl="6">
      <w:start w:val="1"/>
      <w:numFmt w:val="decimal"/>
      <w:lvlText w:val="%1.%2.%3.%4.%5.%6.%7"/>
      <w:lvlJc w:val="left"/>
      <w:pPr>
        <w:ind w:left="5760" w:hanging="1440"/>
      </w:pPr>
      <w:rPr>
        <w:rFonts w:asciiTheme="majorHAnsi" w:hAnsiTheme="majorHAnsi" w:cstheme="majorBidi" w:hint="default"/>
        <w:sz w:val="26"/>
      </w:rPr>
    </w:lvl>
    <w:lvl w:ilvl="7">
      <w:start w:val="1"/>
      <w:numFmt w:val="decimal"/>
      <w:lvlText w:val="%1.%2.%3.%4.%5.%6.%7.%8"/>
      <w:lvlJc w:val="left"/>
      <w:pPr>
        <w:ind w:left="6840" w:hanging="1800"/>
      </w:pPr>
      <w:rPr>
        <w:rFonts w:asciiTheme="majorHAnsi" w:hAnsiTheme="majorHAnsi" w:cstheme="majorBidi" w:hint="default"/>
        <w:sz w:val="26"/>
      </w:rPr>
    </w:lvl>
    <w:lvl w:ilvl="8">
      <w:start w:val="1"/>
      <w:numFmt w:val="decimal"/>
      <w:lvlText w:val="%1.%2.%3.%4.%5.%6.%7.%8.%9"/>
      <w:lvlJc w:val="left"/>
      <w:pPr>
        <w:ind w:left="7560" w:hanging="1800"/>
      </w:pPr>
      <w:rPr>
        <w:rFonts w:asciiTheme="majorHAnsi" w:hAnsiTheme="majorHAnsi" w:cstheme="majorBidi" w:hint="default"/>
        <w:sz w:val="26"/>
      </w:rPr>
    </w:lvl>
  </w:abstractNum>
  <w:abstractNum w:abstractNumId="173" w15:restartNumberingAfterBreak="0">
    <w:nsid w:val="6EE06929"/>
    <w:multiLevelType w:val="hybridMultilevel"/>
    <w:tmpl w:val="363606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F111E86"/>
    <w:multiLevelType w:val="hybridMultilevel"/>
    <w:tmpl w:val="D15E86DC"/>
    <w:lvl w:ilvl="0" w:tplc="D62833AC">
      <w:start w:val="1"/>
      <w:numFmt w:val="bullet"/>
      <w:lvlText w:val=""/>
      <w:lvlJc w:val="left"/>
      <w:pPr>
        <w:ind w:left="1080" w:hanging="360"/>
      </w:pPr>
      <w:rPr>
        <w:rFonts w:ascii="Symbol" w:hAnsi="Symbol"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7051319A"/>
    <w:multiLevelType w:val="hybridMultilevel"/>
    <w:tmpl w:val="9562425C"/>
    <w:lvl w:ilvl="0" w:tplc="9CD664EE">
      <w:start w:val="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0874D3C"/>
    <w:multiLevelType w:val="hybridMultilevel"/>
    <w:tmpl w:val="87600740"/>
    <w:lvl w:ilvl="0" w:tplc="931C3340">
      <w:start w:val="2"/>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7" w15:restartNumberingAfterBreak="0">
    <w:nsid w:val="70A11B52"/>
    <w:multiLevelType w:val="hybridMultilevel"/>
    <w:tmpl w:val="9732DF5E"/>
    <w:lvl w:ilvl="0" w:tplc="D62833AC">
      <w:start w:val="1"/>
      <w:numFmt w:val="bullet"/>
      <w:lvlText w:val=""/>
      <w:lvlJc w:val="left"/>
      <w:pPr>
        <w:ind w:left="99" w:hanging="360"/>
      </w:pPr>
      <w:rPr>
        <w:rFonts w:ascii="Symbol" w:hAnsi="Symbol" w:hint="default"/>
        <w:color w:val="000000" w:themeColor="text1"/>
      </w:rPr>
    </w:lvl>
    <w:lvl w:ilvl="1" w:tplc="04090003" w:tentative="1">
      <w:start w:val="1"/>
      <w:numFmt w:val="bullet"/>
      <w:lvlText w:val="o"/>
      <w:lvlJc w:val="left"/>
      <w:pPr>
        <w:ind w:left="819" w:hanging="360"/>
      </w:pPr>
      <w:rPr>
        <w:rFonts w:ascii="Courier New" w:hAnsi="Courier New" w:cs="Courier New" w:hint="default"/>
      </w:rPr>
    </w:lvl>
    <w:lvl w:ilvl="2" w:tplc="04090005" w:tentative="1">
      <w:start w:val="1"/>
      <w:numFmt w:val="bullet"/>
      <w:lvlText w:val=""/>
      <w:lvlJc w:val="left"/>
      <w:pPr>
        <w:ind w:left="1539" w:hanging="360"/>
      </w:pPr>
      <w:rPr>
        <w:rFonts w:ascii="Wingdings" w:hAnsi="Wingdings" w:hint="default"/>
      </w:rPr>
    </w:lvl>
    <w:lvl w:ilvl="3" w:tplc="04090001" w:tentative="1">
      <w:start w:val="1"/>
      <w:numFmt w:val="bullet"/>
      <w:lvlText w:val=""/>
      <w:lvlJc w:val="left"/>
      <w:pPr>
        <w:ind w:left="2259" w:hanging="360"/>
      </w:pPr>
      <w:rPr>
        <w:rFonts w:ascii="Symbol" w:hAnsi="Symbol" w:hint="default"/>
      </w:rPr>
    </w:lvl>
    <w:lvl w:ilvl="4" w:tplc="04090003" w:tentative="1">
      <w:start w:val="1"/>
      <w:numFmt w:val="bullet"/>
      <w:lvlText w:val="o"/>
      <w:lvlJc w:val="left"/>
      <w:pPr>
        <w:ind w:left="2979" w:hanging="360"/>
      </w:pPr>
      <w:rPr>
        <w:rFonts w:ascii="Courier New" w:hAnsi="Courier New" w:cs="Courier New" w:hint="default"/>
      </w:rPr>
    </w:lvl>
    <w:lvl w:ilvl="5" w:tplc="04090005" w:tentative="1">
      <w:start w:val="1"/>
      <w:numFmt w:val="bullet"/>
      <w:lvlText w:val=""/>
      <w:lvlJc w:val="left"/>
      <w:pPr>
        <w:ind w:left="3699" w:hanging="360"/>
      </w:pPr>
      <w:rPr>
        <w:rFonts w:ascii="Wingdings" w:hAnsi="Wingdings" w:hint="default"/>
      </w:rPr>
    </w:lvl>
    <w:lvl w:ilvl="6" w:tplc="04090001" w:tentative="1">
      <w:start w:val="1"/>
      <w:numFmt w:val="bullet"/>
      <w:lvlText w:val=""/>
      <w:lvlJc w:val="left"/>
      <w:pPr>
        <w:ind w:left="4419" w:hanging="360"/>
      </w:pPr>
      <w:rPr>
        <w:rFonts w:ascii="Symbol" w:hAnsi="Symbol" w:hint="default"/>
      </w:rPr>
    </w:lvl>
    <w:lvl w:ilvl="7" w:tplc="04090003" w:tentative="1">
      <w:start w:val="1"/>
      <w:numFmt w:val="bullet"/>
      <w:lvlText w:val="o"/>
      <w:lvlJc w:val="left"/>
      <w:pPr>
        <w:ind w:left="5139" w:hanging="360"/>
      </w:pPr>
      <w:rPr>
        <w:rFonts w:ascii="Courier New" w:hAnsi="Courier New" w:cs="Courier New" w:hint="default"/>
      </w:rPr>
    </w:lvl>
    <w:lvl w:ilvl="8" w:tplc="04090005" w:tentative="1">
      <w:start w:val="1"/>
      <w:numFmt w:val="bullet"/>
      <w:lvlText w:val=""/>
      <w:lvlJc w:val="left"/>
      <w:pPr>
        <w:ind w:left="5859" w:hanging="360"/>
      </w:pPr>
      <w:rPr>
        <w:rFonts w:ascii="Wingdings" w:hAnsi="Wingdings" w:hint="default"/>
      </w:rPr>
    </w:lvl>
  </w:abstractNum>
  <w:abstractNum w:abstractNumId="178" w15:restartNumberingAfterBreak="0">
    <w:nsid w:val="70A77596"/>
    <w:multiLevelType w:val="multilevel"/>
    <w:tmpl w:val="8376EBC6"/>
    <w:lvl w:ilvl="0">
      <w:start w:val="1"/>
      <w:numFmt w:val="bullet"/>
      <w:lvlText w:val=""/>
      <w:lvlJc w:val="left"/>
      <w:pPr>
        <w:ind w:left="72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9" w15:restartNumberingAfterBreak="0">
    <w:nsid w:val="71965929"/>
    <w:multiLevelType w:val="hybridMultilevel"/>
    <w:tmpl w:val="61D6D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2946CE6"/>
    <w:multiLevelType w:val="hybridMultilevel"/>
    <w:tmpl w:val="34FE86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2CF4120"/>
    <w:multiLevelType w:val="hybridMultilevel"/>
    <w:tmpl w:val="4A7852AE"/>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33A531F"/>
    <w:multiLevelType w:val="multilevel"/>
    <w:tmpl w:val="81EE0C7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3" w15:restartNumberingAfterBreak="0">
    <w:nsid w:val="738F17CE"/>
    <w:multiLevelType w:val="hybridMultilevel"/>
    <w:tmpl w:val="D4240B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74B46934"/>
    <w:multiLevelType w:val="hybridMultilevel"/>
    <w:tmpl w:val="8E7A8B62"/>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62C55B1"/>
    <w:multiLevelType w:val="hybridMultilevel"/>
    <w:tmpl w:val="63CC2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64B7621"/>
    <w:multiLevelType w:val="hybridMultilevel"/>
    <w:tmpl w:val="60481A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7" w15:restartNumberingAfterBreak="0">
    <w:nsid w:val="76D645C1"/>
    <w:multiLevelType w:val="hybridMultilevel"/>
    <w:tmpl w:val="71DA2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770B2A44"/>
    <w:multiLevelType w:val="hybridMultilevel"/>
    <w:tmpl w:val="7F7295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77536D06"/>
    <w:multiLevelType w:val="hybridMultilevel"/>
    <w:tmpl w:val="F2A06AFE"/>
    <w:lvl w:ilvl="0" w:tplc="A3B031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7567FE4"/>
    <w:multiLevelType w:val="hybridMultilevel"/>
    <w:tmpl w:val="3864E1F4"/>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7665AB6"/>
    <w:multiLevelType w:val="hybridMultilevel"/>
    <w:tmpl w:val="939A0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78F72CE"/>
    <w:multiLevelType w:val="hybridMultilevel"/>
    <w:tmpl w:val="122CA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84656E5"/>
    <w:multiLevelType w:val="multilevel"/>
    <w:tmpl w:val="8376EBC6"/>
    <w:lvl w:ilvl="0">
      <w:start w:val="1"/>
      <w:numFmt w:val="bullet"/>
      <w:lvlText w:val=""/>
      <w:lvlJc w:val="left"/>
      <w:pPr>
        <w:ind w:left="72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4" w15:restartNumberingAfterBreak="0">
    <w:nsid w:val="79933D36"/>
    <w:multiLevelType w:val="hybridMultilevel"/>
    <w:tmpl w:val="E35CC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79F46B8A"/>
    <w:multiLevelType w:val="hybridMultilevel"/>
    <w:tmpl w:val="922AFB82"/>
    <w:lvl w:ilvl="0" w:tplc="0409000F">
      <w:start w:val="1"/>
      <w:numFmt w:val="decimal"/>
      <w:lvlText w:val="%1."/>
      <w:lvlJc w:val="left"/>
      <w:pPr>
        <w:ind w:left="1620" w:hanging="360"/>
      </w:pPr>
      <w:rPr>
        <w:rFonts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6" w15:restartNumberingAfterBreak="0">
    <w:nsid w:val="7A0E2D6C"/>
    <w:multiLevelType w:val="hybridMultilevel"/>
    <w:tmpl w:val="803605D8"/>
    <w:lvl w:ilvl="0" w:tplc="D62833A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A3D4646"/>
    <w:multiLevelType w:val="hybridMultilevel"/>
    <w:tmpl w:val="4162B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A6E31C3"/>
    <w:multiLevelType w:val="hybridMultilevel"/>
    <w:tmpl w:val="82A0B474"/>
    <w:lvl w:ilvl="0" w:tplc="931C3340">
      <w:start w:val="2"/>
      <w:numFmt w:val="bullet"/>
      <w:lvlText w:val="-"/>
      <w:lvlJc w:val="left"/>
      <w:pPr>
        <w:ind w:left="720" w:hanging="360"/>
      </w:pPr>
      <w:rPr>
        <w:rFonts w:ascii="Calibri" w:eastAsia="Calibri" w:hAnsi="Calibri" w:cs="Calibri" w:hint="default"/>
        <w:color w:val="F26C21"/>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9" w15:restartNumberingAfterBreak="0">
    <w:nsid w:val="7AAD101F"/>
    <w:multiLevelType w:val="multilevel"/>
    <w:tmpl w:val="47862E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0" w15:restartNumberingAfterBreak="0">
    <w:nsid w:val="7AB718E9"/>
    <w:multiLevelType w:val="hybridMultilevel"/>
    <w:tmpl w:val="B8D8E5EC"/>
    <w:lvl w:ilvl="0" w:tplc="04090001">
      <w:start w:val="1"/>
      <w:numFmt w:val="bullet"/>
      <w:lvlText w:val=""/>
      <w:lvlJc w:val="left"/>
      <w:pPr>
        <w:ind w:left="1800" w:hanging="360"/>
      </w:pPr>
      <w:rPr>
        <w:rFonts w:ascii="Symbol" w:hAnsi="Symbol" w:hint="default"/>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1" w15:restartNumberingAfterBreak="0">
    <w:nsid w:val="7AF1330D"/>
    <w:multiLevelType w:val="hybridMultilevel"/>
    <w:tmpl w:val="4DDA397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7AF85083"/>
    <w:multiLevelType w:val="hybridMultilevel"/>
    <w:tmpl w:val="0C764ECA"/>
    <w:lvl w:ilvl="0" w:tplc="6FF0D282">
      <w:start w:val="1"/>
      <w:numFmt w:val="bullet"/>
      <w:lvlText w:val=""/>
      <w:lvlJc w:val="left"/>
      <w:pPr>
        <w:ind w:left="216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3" w15:restartNumberingAfterBreak="0">
    <w:nsid w:val="7DAD34FC"/>
    <w:multiLevelType w:val="multilevel"/>
    <w:tmpl w:val="EF541C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4" w15:restartNumberingAfterBreak="0">
    <w:nsid w:val="7DFE4361"/>
    <w:multiLevelType w:val="hybridMultilevel"/>
    <w:tmpl w:val="0E1C9A42"/>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7E00279C"/>
    <w:multiLevelType w:val="hybridMultilevel"/>
    <w:tmpl w:val="8CFC07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15:restartNumberingAfterBreak="0">
    <w:nsid w:val="7E0E30A6"/>
    <w:multiLevelType w:val="hybridMultilevel"/>
    <w:tmpl w:val="0142A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7E4F639A"/>
    <w:multiLevelType w:val="hybridMultilevel"/>
    <w:tmpl w:val="D402E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F233B51"/>
    <w:multiLevelType w:val="hybridMultilevel"/>
    <w:tmpl w:val="84ECEF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7F6804D8"/>
    <w:multiLevelType w:val="hybridMultilevel"/>
    <w:tmpl w:val="99EEE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F8C0263"/>
    <w:multiLevelType w:val="multilevel"/>
    <w:tmpl w:val="81EE0C7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00"/>
  </w:num>
  <w:num w:numId="2">
    <w:abstractNumId w:val="120"/>
  </w:num>
  <w:num w:numId="3">
    <w:abstractNumId w:val="148"/>
  </w:num>
  <w:num w:numId="4">
    <w:abstractNumId w:val="83"/>
  </w:num>
  <w:num w:numId="5">
    <w:abstractNumId w:val="22"/>
  </w:num>
  <w:num w:numId="6">
    <w:abstractNumId w:val="38"/>
  </w:num>
  <w:num w:numId="7">
    <w:abstractNumId w:val="29"/>
  </w:num>
  <w:num w:numId="8">
    <w:abstractNumId w:val="180"/>
  </w:num>
  <w:num w:numId="9">
    <w:abstractNumId w:val="188"/>
  </w:num>
  <w:num w:numId="10">
    <w:abstractNumId w:val="9"/>
  </w:num>
  <w:num w:numId="11">
    <w:abstractNumId w:val="69"/>
  </w:num>
  <w:num w:numId="12">
    <w:abstractNumId w:val="205"/>
  </w:num>
  <w:num w:numId="13">
    <w:abstractNumId w:val="97"/>
  </w:num>
  <w:num w:numId="14">
    <w:abstractNumId w:val="145"/>
  </w:num>
  <w:num w:numId="15">
    <w:abstractNumId w:val="166"/>
  </w:num>
  <w:num w:numId="16">
    <w:abstractNumId w:val="42"/>
  </w:num>
  <w:num w:numId="17">
    <w:abstractNumId w:val="199"/>
  </w:num>
  <w:num w:numId="18">
    <w:abstractNumId w:val="34"/>
  </w:num>
  <w:num w:numId="19">
    <w:abstractNumId w:val="13"/>
  </w:num>
  <w:num w:numId="20">
    <w:abstractNumId w:val="23"/>
  </w:num>
  <w:num w:numId="21">
    <w:abstractNumId w:val="12"/>
  </w:num>
  <w:num w:numId="22">
    <w:abstractNumId w:val="122"/>
  </w:num>
  <w:num w:numId="23">
    <w:abstractNumId w:val="164"/>
  </w:num>
  <w:num w:numId="24">
    <w:abstractNumId w:val="103"/>
  </w:num>
  <w:num w:numId="25">
    <w:abstractNumId w:val="52"/>
  </w:num>
  <w:num w:numId="26">
    <w:abstractNumId w:val="130"/>
  </w:num>
  <w:num w:numId="27">
    <w:abstractNumId w:val="10"/>
  </w:num>
  <w:num w:numId="28">
    <w:abstractNumId w:val="111"/>
  </w:num>
  <w:num w:numId="29">
    <w:abstractNumId w:val="127"/>
  </w:num>
  <w:num w:numId="30">
    <w:abstractNumId w:val="176"/>
  </w:num>
  <w:num w:numId="31">
    <w:abstractNumId w:val="134"/>
  </w:num>
  <w:num w:numId="32">
    <w:abstractNumId w:val="149"/>
  </w:num>
  <w:num w:numId="33">
    <w:abstractNumId w:val="107"/>
  </w:num>
  <w:num w:numId="34">
    <w:abstractNumId w:val="39"/>
  </w:num>
  <w:num w:numId="35">
    <w:abstractNumId w:val="73"/>
  </w:num>
  <w:num w:numId="36">
    <w:abstractNumId w:val="81"/>
  </w:num>
  <w:num w:numId="37">
    <w:abstractNumId w:val="110"/>
  </w:num>
  <w:num w:numId="38">
    <w:abstractNumId w:val="55"/>
  </w:num>
  <w:num w:numId="39">
    <w:abstractNumId w:val="98"/>
  </w:num>
  <w:num w:numId="40">
    <w:abstractNumId w:val="170"/>
  </w:num>
  <w:num w:numId="41">
    <w:abstractNumId w:val="26"/>
  </w:num>
  <w:num w:numId="42">
    <w:abstractNumId w:val="209"/>
  </w:num>
  <w:num w:numId="43">
    <w:abstractNumId w:val="61"/>
  </w:num>
  <w:num w:numId="44">
    <w:abstractNumId w:val="24"/>
  </w:num>
  <w:num w:numId="45">
    <w:abstractNumId w:val="87"/>
  </w:num>
  <w:num w:numId="46">
    <w:abstractNumId w:val="109"/>
  </w:num>
  <w:num w:numId="47">
    <w:abstractNumId w:val="165"/>
  </w:num>
  <w:num w:numId="48">
    <w:abstractNumId w:val="16"/>
  </w:num>
  <w:num w:numId="49">
    <w:abstractNumId w:val="108"/>
  </w:num>
  <w:num w:numId="50">
    <w:abstractNumId w:val="132"/>
  </w:num>
  <w:num w:numId="51">
    <w:abstractNumId w:val="74"/>
  </w:num>
  <w:num w:numId="52">
    <w:abstractNumId w:val="133"/>
  </w:num>
  <w:num w:numId="53">
    <w:abstractNumId w:val="207"/>
  </w:num>
  <w:num w:numId="54">
    <w:abstractNumId w:val="113"/>
  </w:num>
  <w:num w:numId="55">
    <w:abstractNumId w:val="167"/>
  </w:num>
  <w:num w:numId="56">
    <w:abstractNumId w:val="114"/>
  </w:num>
  <w:num w:numId="57">
    <w:abstractNumId w:val="85"/>
  </w:num>
  <w:num w:numId="58">
    <w:abstractNumId w:val="136"/>
  </w:num>
  <w:num w:numId="59">
    <w:abstractNumId w:val="84"/>
  </w:num>
  <w:num w:numId="60">
    <w:abstractNumId w:val="92"/>
  </w:num>
  <w:num w:numId="61">
    <w:abstractNumId w:val="138"/>
  </w:num>
  <w:num w:numId="62">
    <w:abstractNumId w:val="202"/>
  </w:num>
  <w:num w:numId="63">
    <w:abstractNumId w:val="144"/>
  </w:num>
  <w:num w:numId="64">
    <w:abstractNumId w:val="4"/>
  </w:num>
  <w:num w:numId="65">
    <w:abstractNumId w:val="6"/>
  </w:num>
  <w:num w:numId="66">
    <w:abstractNumId w:val="102"/>
  </w:num>
  <w:num w:numId="67">
    <w:abstractNumId w:val="200"/>
  </w:num>
  <w:num w:numId="68">
    <w:abstractNumId w:val="101"/>
  </w:num>
  <w:num w:numId="69">
    <w:abstractNumId w:val="172"/>
  </w:num>
  <w:num w:numId="70">
    <w:abstractNumId w:val="80"/>
  </w:num>
  <w:num w:numId="71">
    <w:abstractNumId w:val="8"/>
  </w:num>
  <w:num w:numId="72">
    <w:abstractNumId w:val="75"/>
  </w:num>
  <w:num w:numId="73">
    <w:abstractNumId w:val="51"/>
  </w:num>
  <w:num w:numId="74">
    <w:abstractNumId w:val="63"/>
  </w:num>
  <w:num w:numId="75">
    <w:abstractNumId w:val="43"/>
  </w:num>
  <w:num w:numId="76">
    <w:abstractNumId w:val="204"/>
  </w:num>
  <w:num w:numId="77">
    <w:abstractNumId w:val="152"/>
  </w:num>
  <w:num w:numId="78">
    <w:abstractNumId w:val="125"/>
  </w:num>
  <w:num w:numId="79">
    <w:abstractNumId w:val="17"/>
  </w:num>
  <w:num w:numId="80">
    <w:abstractNumId w:val="56"/>
  </w:num>
  <w:num w:numId="81">
    <w:abstractNumId w:val="49"/>
  </w:num>
  <w:num w:numId="82">
    <w:abstractNumId w:val="27"/>
  </w:num>
  <w:num w:numId="83">
    <w:abstractNumId w:val="30"/>
  </w:num>
  <w:num w:numId="84">
    <w:abstractNumId w:val="119"/>
  </w:num>
  <w:num w:numId="85">
    <w:abstractNumId w:val="129"/>
  </w:num>
  <w:num w:numId="86">
    <w:abstractNumId w:val="105"/>
  </w:num>
  <w:num w:numId="87">
    <w:abstractNumId w:val="157"/>
  </w:num>
  <w:num w:numId="88">
    <w:abstractNumId w:val="71"/>
  </w:num>
  <w:num w:numId="89">
    <w:abstractNumId w:val="139"/>
  </w:num>
  <w:num w:numId="90">
    <w:abstractNumId w:val="192"/>
  </w:num>
  <w:num w:numId="91">
    <w:abstractNumId w:val="90"/>
  </w:num>
  <w:num w:numId="92">
    <w:abstractNumId w:val="183"/>
  </w:num>
  <w:num w:numId="93">
    <w:abstractNumId w:val="175"/>
  </w:num>
  <w:num w:numId="94">
    <w:abstractNumId w:val="79"/>
  </w:num>
  <w:num w:numId="95">
    <w:abstractNumId w:val="70"/>
  </w:num>
  <w:num w:numId="96">
    <w:abstractNumId w:val="143"/>
  </w:num>
  <w:num w:numId="97">
    <w:abstractNumId w:val="187"/>
  </w:num>
  <w:num w:numId="98">
    <w:abstractNumId w:val="194"/>
  </w:num>
  <w:num w:numId="99">
    <w:abstractNumId w:val="3"/>
  </w:num>
  <w:num w:numId="100">
    <w:abstractNumId w:val="32"/>
  </w:num>
  <w:num w:numId="101">
    <w:abstractNumId w:val="15"/>
  </w:num>
  <w:num w:numId="102">
    <w:abstractNumId w:val="116"/>
  </w:num>
  <w:num w:numId="103">
    <w:abstractNumId w:val="93"/>
  </w:num>
  <w:num w:numId="104">
    <w:abstractNumId w:val="210"/>
  </w:num>
  <w:num w:numId="105">
    <w:abstractNumId w:val="182"/>
  </w:num>
  <w:num w:numId="106">
    <w:abstractNumId w:val="158"/>
  </w:num>
  <w:num w:numId="107">
    <w:abstractNumId w:val="7"/>
  </w:num>
  <w:num w:numId="108">
    <w:abstractNumId w:val="1"/>
  </w:num>
  <w:num w:numId="109">
    <w:abstractNumId w:val="169"/>
  </w:num>
  <w:num w:numId="110">
    <w:abstractNumId w:val="31"/>
  </w:num>
  <w:num w:numId="111">
    <w:abstractNumId w:val="89"/>
  </w:num>
  <w:num w:numId="112">
    <w:abstractNumId w:val="91"/>
  </w:num>
  <w:num w:numId="113">
    <w:abstractNumId w:val="159"/>
  </w:num>
  <w:num w:numId="114">
    <w:abstractNumId w:val="50"/>
  </w:num>
  <w:num w:numId="115">
    <w:abstractNumId w:val="60"/>
  </w:num>
  <w:num w:numId="116">
    <w:abstractNumId w:val="35"/>
  </w:num>
  <w:num w:numId="117">
    <w:abstractNumId w:val="185"/>
  </w:num>
  <w:num w:numId="118">
    <w:abstractNumId w:val="121"/>
  </w:num>
  <w:num w:numId="119">
    <w:abstractNumId w:val="179"/>
  </w:num>
  <w:num w:numId="120">
    <w:abstractNumId w:val="112"/>
  </w:num>
  <w:num w:numId="121">
    <w:abstractNumId w:val="53"/>
  </w:num>
  <w:num w:numId="122">
    <w:abstractNumId w:val="11"/>
  </w:num>
  <w:num w:numId="123">
    <w:abstractNumId w:val="147"/>
  </w:num>
  <w:num w:numId="124">
    <w:abstractNumId w:val="154"/>
  </w:num>
  <w:num w:numId="125">
    <w:abstractNumId w:val="178"/>
  </w:num>
  <w:num w:numId="126">
    <w:abstractNumId w:val="193"/>
  </w:num>
  <w:num w:numId="127">
    <w:abstractNumId w:val="142"/>
  </w:num>
  <w:num w:numId="128">
    <w:abstractNumId w:val="25"/>
  </w:num>
  <w:num w:numId="129">
    <w:abstractNumId w:val="14"/>
  </w:num>
  <w:num w:numId="130">
    <w:abstractNumId w:val="21"/>
  </w:num>
  <w:num w:numId="131">
    <w:abstractNumId w:val="198"/>
  </w:num>
  <w:num w:numId="132">
    <w:abstractNumId w:val="115"/>
  </w:num>
  <w:num w:numId="133">
    <w:abstractNumId w:val="189"/>
  </w:num>
  <w:num w:numId="134">
    <w:abstractNumId w:val="131"/>
  </w:num>
  <w:num w:numId="135">
    <w:abstractNumId w:val="173"/>
  </w:num>
  <w:num w:numId="136">
    <w:abstractNumId w:val="135"/>
  </w:num>
  <w:num w:numId="137">
    <w:abstractNumId w:val="141"/>
  </w:num>
  <w:num w:numId="138">
    <w:abstractNumId w:val="47"/>
  </w:num>
  <w:num w:numId="139">
    <w:abstractNumId w:val="68"/>
  </w:num>
  <w:num w:numId="140">
    <w:abstractNumId w:val="86"/>
  </w:num>
  <w:num w:numId="141">
    <w:abstractNumId w:val="140"/>
  </w:num>
  <w:num w:numId="142">
    <w:abstractNumId w:val="64"/>
  </w:num>
  <w:num w:numId="143">
    <w:abstractNumId w:val="155"/>
  </w:num>
  <w:num w:numId="144">
    <w:abstractNumId w:val="5"/>
  </w:num>
  <w:num w:numId="145">
    <w:abstractNumId w:val="197"/>
  </w:num>
  <w:num w:numId="146">
    <w:abstractNumId w:val="156"/>
  </w:num>
  <w:num w:numId="147">
    <w:abstractNumId w:val="28"/>
  </w:num>
  <w:num w:numId="148">
    <w:abstractNumId w:val="128"/>
  </w:num>
  <w:num w:numId="149">
    <w:abstractNumId w:val="59"/>
  </w:num>
  <w:num w:numId="150">
    <w:abstractNumId w:val="37"/>
  </w:num>
  <w:num w:numId="151">
    <w:abstractNumId w:val="168"/>
  </w:num>
  <w:num w:numId="152">
    <w:abstractNumId w:val="18"/>
  </w:num>
  <w:num w:numId="153">
    <w:abstractNumId w:val="123"/>
  </w:num>
  <w:num w:numId="154">
    <w:abstractNumId w:val="95"/>
  </w:num>
  <w:num w:numId="155">
    <w:abstractNumId w:val="82"/>
  </w:num>
  <w:num w:numId="156">
    <w:abstractNumId w:val="203"/>
  </w:num>
  <w:num w:numId="157">
    <w:abstractNumId w:val="195"/>
  </w:num>
  <w:num w:numId="158">
    <w:abstractNumId w:val="46"/>
  </w:num>
  <w:num w:numId="159">
    <w:abstractNumId w:val="0"/>
  </w:num>
  <w:num w:numId="160">
    <w:abstractNumId w:val="171"/>
  </w:num>
  <w:num w:numId="161">
    <w:abstractNumId w:val="67"/>
  </w:num>
  <w:num w:numId="162">
    <w:abstractNumId w:val="40"/>
  </w:num>
  <w:num w:numId="163">
    <w:abstractNumId w:val="137"/>
  </w:num>
  <w:num w:numId="164">
    <w:abstractNumId w:val="208"/>
  </w:num>
  <w:num w:numId="165">
    <w:abstractNumId w:val="62"/>
  </w:num>
  <w:num w:numId="166">
    <w:abstractNumId w:val="104"/>
  </w:num>
  <w:num w:numId="167">
    <w:abstractNumId w:val="41"/>
  </w:num>
  <w:num w:numId="168">
    <w:abstractNumId w:val="160"/>
  </w:num>
  <w:num w:numId="169">
    <w:abstractNumId w:val="57"/>
  </w:num>
  <w:num w:numId="170">
    <w:abstractNumId w:val="19"/>
  </w:num>
  <w:num w:numId="171">
    <w:abstractNumId w:val="66"/>
  </w:num>
  <w:num w:numId="172">
    <w:abstractNumId w:val="118"/>
  </w:num>
  <w:num w:numId="173">
    <w:abstractNumId w:val="151"/>
  </w:num>
  <w:num w:numId="174">
    <w:abstractNumId w:val="206"/>
  </w:num>
  <w:num w:numId="175">
    <w:abstractNumId w:val="126"/>
  </w:num>
  <w:num w:numId="176">
    <w:abstractNumId w:val="161"/>
  </w:num>
  <w:num w:numId="177">
    <w:abstractNumId w:val="191"/>
  </w:num>
  <w:num w:numId="178">
    <w:abstractNumId w:val="36"/>
  </w:num>
  <w:num w:numId="179">
    <w:abstractNumId w:val="78"/>
  </w:num>
  <w:num w:numId="180">
    <w:abstractNumId w:val="58"/>
  </w:num>
  <w:num w:numId="181">
    <w:abstractNumId w:val="77"/>
  </w:num>
  <w:num w:numId="182">
    <w:abstractNumId w:val="76"/>
  </w:num>
  <w:num w:numId="183">
    <w:abstractNumId w:val="163"/>
  </w:num>
  <w:num w:numId="184">
    <w:abstractNumId w:val="94"/>
  </w:num>
  <w:num w:numId="185">
    <w:abstractNumId w:val="184"/>
  </w:num>
  <w:num w:numId="186">
    <w:abstractNumId w:val="48"/>
  </w:num>
  <w:num w:numId="187">
    <w:abstractNumId w:val="99"/>
  </w:num>
  <w:num w:numId="188">
    <w:abstractNumId w:val="124"/>
  </w:num>
  <w:num w:numId="189">
    <w:abstractNumId w:val="190"/>
  </w:num>
  <w:num w:numId="190">
    <w:abstractNumId w:val="153"/>
  </w:num>
  <w:num w:numId="191">
    <w:abstractNumId w:val="45"/>
  </w:num>
  <w:num w:numId="192">
    <w:abstractNumId w:val="177"/>
  </w:num>
  <w:num w:numId="193">
    <w:abstractNumId w:val="196"/>
  </w:num>
  <w:num w:numId="194">
    <w:abstractNumId w:val="162"/>
  </w:num>
  <w:num w:numId="195">
    <w:abstractNumId w:val="88"/>
  </w:num>
  <w:num w:numId="196">
    <w:abstractNumId w:val="174"/>
  </w:num>
  <w:num w:numId="197">
    <w:abstractNumId w:val="2"/>
  </w:num>
  <w:num w:numId="198">
    <w:abstractNumId w:val="181"/>
  </w:num>
  <w:num w:numId="199">
    <w:abstractNumId w:val="117"/>
  </w:num>
  <w:num w:numId="200">
    <w:abstractNumId w:val="186"/>
  </w:num>
  <w:num w:numId="201">
    <w:abstractNumId w:val="201"/>
  </w:num>
  <w:num w:numId="202">
    <w:abstractNumId w:val="72"/>
  </w:num>
  <w:num w:numId="203">
    <w:abstractNumId w:val="44"/>
  </w:num>
  <w:num w:numId="204">
    <w:abstractNumId w:val="150"/>
  </w:num>
  <w:num w:numId="205">
    <w:abstractNumId w:val="96"/>
  </w:num>
  <w:num w:numId="206">
    <w:abstractNumId w:val="65"/>
  </w:num>
  <w:num w:numId="207">
    <w:abstractNumId w:val="146"/>
  </w:num>
  <w:num w:numId="208">
    <w:abstractNumId w:val="54"/>
  </w:num>
  <w:num w:numId="209">
    <w:abstractNumId w:val="20"/>
  </w:num>
  <w:num w:numId="210">
    <w:abstractNumId w:val="33"/>
  </w:num>
  <w:num w:numId="211">
    <w:abstractNumId w:val="106"/>
  </w:num>
  <w:numIdMacAtCleanup w:val="2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4F8"/>
    <w:rsid w:val="000000FC"/>
    <w:rsid w:val="00000B9C"/>
    <w:rsid w:val="0000140B"/>
    <w:rsid w:val="00001450"/>
    <w:rsid w:val="0000264D"/>
    <w:rsid w:val="00002685"/>
    <w:rsid w:val="00007332"/>
    <w:rsid w:val="000073E3"/>
    <w:rsid w:val="00007746"/>
    <w:rsid w:val="00007A28"/>
    <w:rsid w:val="00010618"/>
    <w:rsid w:val="00010730"/>
    <w:rsid w:val="00010B56"/>
    <w:rsid w:val="00010F88"/>
    <w:rsid w:val="000127A4"/>
    <w:rsid w:val="00013152"/>
    <w:rsid w:val="00014565"/>
    <w:rsid w:val="000148B1"/>
    <w:rsid w:val="0001505E"/>
    <w:rsid w:val="00015897"/>
    <w:rsid w:val="0001643C"/>
    <w:rsid w:val="00016B46"/>
    <w:rsid w:val="00017651"/>
    <w:rsid w:val="00020188"/>
    <w:rsid w:val="00020618"/>
    <w:rsid w:val="00021076"/>
    <w:rsid w:val="0002222E"/>
    <w:rsid w:val="00024911"/>
    <w:rsid w:val="00025F81"/>
    <w:rsid w:val="00026196"/>
    <w:rsid w:val="0002642C"/>
    <w:rsid w:val="00026F9E"/>
    <w:rsid w:val="00027EAD"/>
    <w:rsid w:val="00030253"/>
    <w:rsid w:val="00030561"/>
    <w:rsid w:val="00030E67"/>
    <w:rsid w:val="000310C7"/>
    <w:rsid w:val="000317E9"/>
    <w:rsid w:val="00032B4F"/>
    <w:rsid w:val="000333FB"/>
    <w:rsid w:val="00033605"/>
    <w:rsid w:val="0003373F"/>
    <w:rsid w:val="00033CF8"/>
    <w:rsid w:val="0003416D"/>
    <w:rsid w:val="00034CE9"/>
    <w:rsid w:val="00034EFF"/>
    <w:rsid w:val="0003721F"/>
    <w:rsid w:val="000372F5"/>
    <w:rsid w:val="000375BE"/>
    <w:rsid w:val="00037A64"/>
    <w:rsid w:val="00037D47"/>
    <w:rsid w:val="00037E63"/>
    <w:rsid w:val="00040064"/>
    <w:rsid w:val="00040480"/>
    <w:rsid w:val="000413C7"/>
    <w:rsid w:val="000420EC"/>
    <w:rsid w:val="000421D0"/>
    <w:rsid w:val="000422C4"/>
    <w:rsid w:val="00042A50"/>
    <w:rsid w:val="0004307B"/>
    <w:rsid w:val="0004360D"/>
    <w:rsid w:val="0004413A"/>
    <w:rsid w:val="00044CEF"/>
    <w:rsid w:val="00045042"/>
    <w:rsid w:val="00045374"/>
    <w:rsid w:val="0004583E"/>
    <w:rsid w:val="00045C80"/>
    <w:rsid w:val="00046B9B"/>
    <w:rsid w:val="0004703E"/>
    <w:rsid w:val="000479F4"/>
    <w:rsid w:val="00047F5B"/>
    <w:rsid w:val="000504AC"/>
    <w:rsid w:val="00051B34"/>
    <w:rsid w:val="00051FCC"/>
    <w:rsid w:val="00052159"/>
    <w:rsid w:val="000523FC"/>
    <w:rsid w:val="0005399F"/>
    <w:rsid w:val="00054B7F"/>
    <w:rsid w:val="00054E6E"/>
    <w:rsid w:val="00054F37"/>
    <w:rsid w:val="00055DB1"/>
    <w:rsid w:val="0005658B"/>
    <w:rsid w:val="00056736"/>
    <w:rsid w:val="00056805"/>
    <w:rsid w:val="000568D4"/>
    <w:rsid w:val="00057172"/>
    <w:rsid w:val="0005728F"/>
    <w:rsid w:val="00057BE0"/>
    <w:rsid w:val="00057FE0"/>
    <w:rsid w:val="00060218"/>
    <w:rsid w:val="000607B5"/>
    <w:rsid w:val="00060F26"/>
    <w:rsid w:val="000640E9"/>
    <w:rsid w:val="00064688"/>
    <w:rsid w:val="00064E6B"/>
    <w:rsid w:val="000651F9"/>
    <w:rsid w:val="0006592F"/>
    <w:rsid w:val="000660E5"/>
    <w:rsid w:val="00066E82"/>
    <w:rsid w:val="00067125"/>
    <w:rsid w:val="00070EFB"/>
    <w:rsid w:val="0007117B"/>
    <w:rsid w:val="0007161A"/>
    <w:rsid w:val="000727B6"/>
    <w:rsid w:val="00072BA5"/>
    <w:rsid w:val="000732DC"/>
    <w:rsid w:val="0007445E"/>
    <w:rsid w:val="00074A7D"/>
    <w:rsid w:val="00075B1F"/>
    <w:rsid w:val="00075B5B"/>
    <w:rsid w:val="000777C2"/>
    <w:rsid w:val="00077971"/>
    <w:rsid w:val="000779E8"/>
    <w:rsid w:val="00080852"/>
    <w:rsid w:val="00081940"/>
    <w:rsid w:val="00083734"/>
    <w:rsid w:val="00084006"/>
    <w:rsid w:val="0008405F"/>
    <w:rsid w:val="000846AF"/>
    <w:rsid w:val="00086690"/>
    <w:rsid w:val="0008738B"/>
    <w:rsid w:val="0009041E"/>
    <w:rsid w:val="00091A97"/>
    <w:rsid w:val="0009207C"/>
    <w:rsid w:val="00093277"/>
    <w:rsid w:val="000934EF"/>
    <w:rsid w:val="0009413C"/>
    <w:rsid w:val="0009420F"/>
    <w:rsid w:val="00094671"/>
    <w:rsid w:val="00094BA2"/>
    <w:rsid w:val="00095171"/>
    <w:rsid w:val="0009614E"/>
    <w:rsid w:val="00096198"/>
    <w:rsid w:val="00097CDE"/>
    <w:rsid w:val="00097E9A"/>
    <w:rsid w:val="000A0EE8"/>
    <w:rsid w:val="000A115B"/>
    <w:rsid w:val="000A199D"/>
    <w:rsid w:val="000A1AE0"/>
    <w:rsid w:val="000A2776"/>
    <w:rsid w:val="000A38F1"/>
    <w:rsid w:val="000A3A1D"/>
    <w:rsid w:val="000A4213"/>
    <w:rsid w:val="000A4274"/>
    <w:rsid w:val="000A4E28"/>
    <w:rsid w:val="000A5034"/>
    <w:rsid w:val="000A5461"/>
    <w:rsid w:val="000A5B3C"/>
    <w:rsid w:val="000A5BCC"/>
    <w:rsid w:val="000A6697"/>
    <w:rsid w:val="000A7199"/>
    <w:rsid w:val="000A73FE"/>
    <w:rsid w:val="000A7FE6"/>
    <w:rsid w:val="000B1480"/>
    <w:rsid w:val="000B1B5C"/>
    <w:rsid w:val="000B2CA1"/>
    <w:rsid w:val="000B300E"/>
    <w:rsid w:val="000B33C7"/>
    <w:rsid w:val="000B3B02"/>
    <w:rsid w:val="000B415D"/>
    <w:rsid w:val="000B48AA"/>
    <w:rsid w:val="000B4ED0"/>
    <w:rsid w:val="000B5158"/>
    <w:rsid w:val="000B516E"/>
    <w:rsid w:val="000B51EB"/>
    <w:rsid w:val="000B529A"/>
    <w:rsid w:val="000B54EF"/>
    <w:rsid w:val="000B6162"/>
    <w:rsid w:val="000B66A7"/>
    <w:rsid w:val="000B6B3F"/>
    <w:rsid w:val="000C0103"/>
    <w:rsid w:val="000C0409"/>
    <w:rsid w:val="000C2853"/>
    <w:rsid w:val="000C3D59"/>
    <w:rsid w:val="000C52CD"/>
    <w:rsid w:val="000C5469"/>
    <w:rsid w:val="000C5B34"/>
    <w:rsid w:val="000C5E8A"/>
    <w:rsid w:val="000C69F4"/>
    <w:rsid w:val="000C7B35"/>
    <w:rsid w:val="000D0169"/>
    <w:rsid w:val="000D01C1"/>
    <w:rsid w:val="000D061E"/>
    <w:rsid w:val="000D06EB"/>
    <w:rsid w:val="000D0750"/>
    <w:rsid w:val="000D0C6F"/>
    <w:rsid w:val="000D0D6F"/>
    <w:rsid w:val="000D0FDE"/>
    <w:rsid w:val="000D1946"/>
    <w:rsid w:val="000D1A52"/>
    <w:rsid w:val="000D211D"/>
    <w:rsid w:val="000D29C8"/>
    <w:rsid w:val="000D31F6"/>
    <w:rsid w:val="000D31F9"/>
    <w:rsid w:val="000D4430"/>
    <w:rsid w:val="000D5128"/>
    <w:rsid w:val="000D5215"/>
    <w:rsid w:val="000D5903"/>
    <w:rsid w:val="000D6229"/>
    <w:rsid w:val="000D66D0"/>
    <w:rsid w:val="000D68A1"/>
    <w:rsid w:val="000D6F2C"/>
    <w:rsid w:val="000D7A7C"/>
    <w:rsid w:val="000D7ED1"/>
    <w:rsid w:val="000E00DA"/>
    <w:rsid w:val="000E1670"/>
    <w:rsid w:val="000E1AAC"/>
    <w:rsid w:val="000E21D1"/>
    <w:rsid w:val="000E2756"/>
    <w:rsid w:val="000E35AF"/>
    <w:rsid w:val="000E373F"/>
    <w:rsid w:val="000E3DE8"/>
    <w:rsid w:val="000E449B"/>
    <w:rsid w:val="000E4CA6"/>
    <w:rsid w:val="000E56BA"/>
    <w:rsid w:val="000E5CBA"/>
    <w:rsid w:val="000E5CE2"/>
    <w:rsid w:val="000E65DC"/>
    <w:rsid w:val="000E6EBD"/>
    <w:rsid w:val="000E702F"/>
    <w:rsid w:val="000E725F"/>
    <w:rsid w:val="000E748D"/>
    <w:rsid w:val="000E74F6"/>
    <w:rsid w:val="000E77BE"/>
    <w:rsid w:val="000E7A87"/>
    <w:rsid w:val="000E7D79"/>
    <w:rsid w:val="000E7F4B"/>
    <w:rsid w:val="000F0941"/>
    <w:rsid w:val="000F1159"/>
    <w:rsid w:val="000F1262"/>
    <w:rsid w:val="000F1D7A"/>
    <w:rsid w:val="000F287D"/>
    <w:rsid w:val="000F2A0F"/>
    <w:rsid w:val="000F3C2C"/>
    <w:rsid w:val="000F4408"/>
    <w:rsid w:val="000F4AF8"/>
    <w:rsid w:val="000F4F83"/>
    <w:rsid w:val="000F5147"/>
    <w:rsid w:val="000F5B7E"/>
    <w:rsid w:val="000F5B87"/>
    <w:rsid w:val="000F5FFC"/>
    <w:rsid w:val="000F6A06"/>
    <w:rsid w:val="000F6A52"/>
    <w:rsid w:val="000F71C5"/>
    <w:rsid w:val="000F78C8"/>
    <w:rsid w:val="000F7B66"/>
    <w:rsid w:val="000F7F90"/>
    <w:rsid w:val="001011BC"/>
    <w:rsid w:val="0010257F"/>
    <w:rsid w:val="00102D41"/>
    <w:rsid w:val="00102D60"/>
    <w:rsid w:val="001031DB"/>
    <w:rsid w:val="00103A27"/>
    <w:rsid w:val="00103EB6"/>
    <w:rsid w:val="00104BAC"/>
    <w:rsid w:val="00105437"/>
    <w:rsid w:val="00105633"/>
    <w:rsid w:val="00106E7D"/>
    <w:rsid w:val="00106F6E"/>
    <w:rsid w:val="00107D49"/>
    <w:rsid w:val="001101EB"/>
    <w:rsid w:val="00110805"/>
    <w:rsid w:val="0011088C"/>
    <w:rsid w:val="00110950"/>
    <w:rsid w:val="00110EC7"/>
    <w:rsid w:val="001114BC"/>
    <w:rsid w:val="00111867"/>
    <w:rsid w:val="0011200A"/>
    <w:rsid w:val="00112667"/>
    <w:rsid w:val="00112996"/>
    <w:rsid w:val="001130C2"/>
    <w:rsid w:val="00113300"/>
    <w:rsid w:val="0011342D"/>
    <w:rsid w:val="00114E97"/>
    <w:rsid w:val="00114FAA"/>
    <w:rsid w:val="00115179"/>
    <w:rsid w:val="0011520E"/>
    <w:rsid w:val="00115A90"/>
    <w:rsid w:val="00116519"/>
    <w:rsid w:val="0011683F"/>
    <w:rsid w:val="00116AC5"/>
    <w:rsid w:val="00117551"/>
    <w:rsid w:val="0011769A"/>
    <w:rsid w:val="00117A3E"/>
    <w:rsid w:val="00117CBA"/>
    <w:rsid w:val="00120E9C"/>
    <w:rsid w:val="00120F1B"/>
    <w:rsid w:val="00121AD8"/>
    <w:rsid w:val="00121B54"/>
    <w:rsid w:val="00121DF4"/>
    <w:rsid w:val="00122CC1"/>
    <w:rsid w:val="00123D03"/>
    <w:rsid w:val="001245E2"/>
    <w:rsid w:val="0012477A"/>
    <w:rsid w:val="00124942"/>
    <w:rsid w:val="00125114"/>
    <w:rsid w:val="00125A63"/>
    <w:rsid w:val="00125A65"/>
    <w:rsid w:val="0012624F"/>
    <w:rsid w:val="0012666E"/>
    <w:rsid w:val="001270D9"/>
    <w:rsid w:val="001307A0"/>
    <w:rsid w:val="00130CB6"/>
    <w:rsid w:val="001311FB"/>
    <w:rsid w:val="00131729"/>
    <w:rsid w:val="001350D0"/>
    <w:rsid w:val="00136048"/>
    <w:rsid w:val="00136358"/>
    <w:rsid w:val="0013677C"/>
    <w:rsid w:val="00136F6F"/>
    <w:rsid w:val="00137CE4"/>
    <w:rsid w:val="00137EC0"/>
    <w:rsid w:val="00140643"/>
    <w:rsid w:val="00141177"/>
    <w:rsid w:val="0014126D"/>
    <w:rsid w:val="00142EBF"/>
    <w:rsid w:val="00142FA5"/>
    <w:rsid w:val="00143592"/>
    <w:rsid w:val="0014384C"/>
    <w:rsid w:val="00143CDD"/>
    <w:rsid w:val="001454D0"/>
    <w:rsid w:val="00145563"/>
    <w:rsid w:val="00145810"/>
    <w:rsid w:val="00146210"/>
    <w:rsid w:val="0014654B"/>
    <w:rsid w:val="00147B3A"/>
    <w:rsid w:val="0015034D"/>
    <w:rsid w:val="00150E04"/>
    <w:rsid w:val="00151467"/>
    <w:rsid w:val="00151673"/>
    <w:rsid w:val="00152381"/>
    <w:rsid w:val="00153A9F"/>
    <w:rsid w:val="00153B51"/>
    <w:rsid w:val="001543A5"/>
    <w:rsid w:val="00154767"/>
    <w:rsid w:val="00154BCD"/>
    <w:rsid w:val="001554EE"/>
    <w:rsid w:val="0015588A"/>
    <w:rsid w:val="00156B24"/>
    <w:rsid w:val="00157200"/>
    <w:rsid w:val="00160A62"/>
    <w:rsid w:val="00160D65"/>
    <w:rsid w:val="00160DE3"/>
    <w:rsid w:val="001629A1"/>
    <w:rsid w:val="00162F20"/>
    <w:rsid w:val="00166734"/>
    <w:rsid w:val="00166938"/>
    <w:rsid w:val="0016797B"/>
    <w:rsid w:val="00167F65"/>
    <w:rsid w:val="00170034"/>
    <w:rsid w:val="0017024D"/>
    <w:rsid w:val="00170415"/>
    <w:rsid w:val="00170605"/>
    <w:rsid w:val="00171788"/>
    <w:rsid w:val="0017193E"/>
    <w:rsid w:val="00172979"/>
    <w:rsid w:val="00173112"/>
    <w:rsid w:val="001738E8"/>
    <w:rsid w:val="00174611"/>
    <w:rsid w:val="00174B65"/>
    <w:rsid w:val="00175264"/>
    <w:rsid w:val="00177C77"/>
    <w:rsid w:val="00180127"/>
    <w:rsid w:val="0018055B"/>
    <w:rsid w:val="001806D8"/>
    <w:rsid w:val="001818EE"/>
    <w:rsid w:val="00182704"/>
    <w:rsid w:val="0018325C"/>
    <w:rsid w:val="00183443"/>
    <w:rsid w:val="001834F5"/>
    <w:rsid w:val="001849F8"/>
    <w:rsid w:val="001850E8"/>
    <w:rsid w:val="001855E3"/>
    <w:rsid w:val="0018682D"/>
    <w:rsid w:val="001869AA"/>
    <w:rsid w:val="00186B85"/>
    <w:rsid w:val="00187CEE"/>
    <w:rsid w:val="001909E1"/>
    <w:rsid w:val="00191387"/>
    <w:rsid w:val="00191645"/>
    <w:rsid w:val="00191BF8"/>
    <w:rsid w:val="0019298B"/>
    <w:rsid w:val="00192F16"/>
    <w:rsid w:val="001931D1"/>
    <w:rsid w:val="0019456C"/>
    <w:rsid w:val="00194730"/>
    <w:rsid w:val="0019499A"/>
    <w:rsid w:val="00194A03"/>
    <w:rsid w:val="00195192"/>
    <w:rsid w:val="00196ACC"/>
    <w:rsid w:val="00197021"/>
    <w:rsid w:val="00197363"/>
    <w:rsid w:val="0019792F"/>
    <w:rsid w:val="001A00F8"/>
    <w:rsid w:val="001A0179"/>
    <w:rsid w:val="001A03D6"/>
    <w:rsid w:val="001A0621"/>
    <w:rsid w:val="001A0A20"/>
    <w:rsid w:val="001A10FB"/>
    <w:rsid w:val="001A11AE"/>
    <w:rsid w:val="001A169E"/>
    <w:rsid w:val="001A2ABA"/>
    <w:rsid w:val="001A386F"/>
    <w:rsid w:val="001A3A3C"/>
    <w:rsid w:val="001A3F19"/>
    <w:rsid w:val="001A45EF"/>
    <w:rsid w:val="001A540B"/>
    <w:rsid w:val="001A5562"/>
    <w:rsid w:val="001A5DCA"/>
    <w:rsid w:val="001A7720"/>
    <w:rsid w:val="001B052F"/>
    <w:rsid w:val="001B0755"/>
    <w:rsid w:val="001B08EF"/>
    <w:rsid w:val="001B0B3C"/>
    <w:rsid w:val="001B1E93"/>
    <w:rsid w:val="001B1F36"/>
    <w:rsid w:val="001B1FAF"/>
    <w:rsid w:val="001B2551"/>
    <w:rsid w:val="001B2760"/>
    <w:rsid w:val="001B2B75"/>
    <w:rsid w:val="001B2BC8"/>
    <w:rsid w:val="001B369F"/>
    <w:rsid w:val="001B3937"/>
    <w:rsid w:val="001B3C76"/>
    <w:rsid w:val="001B4698"/>
    <w:rsid w:val="001B4D89"/>
    <w:rsid w:val="001B54EC"/>
    <w:rsid w:val="001B561A"/>
    <w:rsid w:val="001B598C"/>
    <w:rsid w:val="001B5B2D"/>
    <w:rsid w:val="001B6274"/>
    <w:rsid w:val="001B6A8F"/>
    <w:rsid w:val="001C09CB"/>
    <w:rsid w:val="001C1C28"/>
    <w:rsid w:val="001C1C78"/>
    <w:rsid w:val="001C2584"/>
    <w:rsid w:val="001C384E"/>
    <w:rsid w:val="001C48BB"/>
    <w:rsid w:val="001C4C41"/>
    <w:rsid w:val="001C5738"/>
    <w:rsid w:val="001C6049"/>
    <w:rsid w:val="001C6E05"/>
    <w:rsid w:val="001C710A"/>
    <w:rsid w:val="001C7423"/>
    <w:rsid w:val="001D0EAB"/>
    <w:rsid w:val="001D0EE4"/>
    <w:rsid w:val="001D270E"/>
    <w:rsid w:val="001D4407"/>
    <w:rsid w:val="001D462F"/>
    <w:rsid w:val="001D4788"/>
    <w:rsid w:val="001D54F0"/>
    <w:rsid w:val="001D6287"/>
    <w:rsid w:val="001D6B06"/>
    <w:rsid w:val="001D7224"/>
    <w:rsid w:val="001D72D6"/>
    <w:rsid w:val="001E09E4"/>
    <w:rsid w:val="001E0FFF"/>
    <w:rsid w:val="001E15C0"/>
    <w:rsid w:val="001E28E6"/>
    <w:rsid w:val="001E2E53"/>
    <w:rsid w:val="001E2F99"/>
    <w:rsid w:val="001E3046"/>
    <w:rsid w:val="001E389E"/>
    <w:rsid w:val="001E39F4"/>
    <w:rsid w:val="001E476C"/>
    <w:rsid w:val="001E552A"/>
    <w:rsid w:val="001E5588"/>
    <w:rsid w:val="001E6A5E"/>
    <w:rsid w:val="001E6FE5"/>
    <w:rsid w:val="001E72A8"/>
    <w:rsid w:val="001F1B77"/>
    <w:rsid w:val="001F1F64"/>
    <w:rsid w:val="001F1FE3"/>
    <w:rsid w:val="001F24C6"/>
    <w:rsid w:val="001F2992"/>
    <w:rsid w:val="001F3E0A"/>
    <w:rsid w:val="001F4998"/>
    <w:rsid w:val="001F4E3C"/>
    <w:rsid w:val="001F54DF"/>
    <w:rsid w:val="001F6AB1"/>
    <w:rsid w:val="001F6C3F"/>
    <w:rsid w:val="001F701C"/>
    <w:rsid w:val="001F7299"/>
    <w:rsid w:val="001F7D1E"/>
    <w:rsid w:val="00200595"/>
    <w:rsid w:val="0020176D"/>
    <w:rsid w:val="00201D36"/>
    <w:rsid w:val="00201E14"/>
    <w:rsid w:val="00201E35"/>
    <w:rsid w:val="00203A56"/>
    <w:rsid w:val="00203AD3"/>
    <w:rsid w:val="00203DE2"/>
    <w:rsid w:val="00203FAB"/>
    <w:rsid w:val="002043BA"/>
    <w:rsid w:val="00204A39"/>
    <w:rsid w:val="00205228"/>
    <w:rsid w:val="0020557B"/>
    <w:rsid w:val="00205DEE"/>
    <w:rsid w:val="00205E83"/>
    <w:rsid w:val="002062FC"/>
    <w:rsid w:val="00207FEB"/>
    <w:rsid w:val="00210326"/>
    <w:rsid w:val="00210706"/>
    <w:rsid w:val="00210CB2"/>
    <w:rsid w:val="002112B2"/>
    <w:rsid w:val="0021163A"/>
    <w:rsid w:val="00211962"/>
    <w:rsid w:val="00211D60"/>
    <w:rsid w:val="00212901"/>
    <w:rsid w:val="002135A5"/>
    <w:rsid w:val="00213D5A"/>
    <w:rsid w:val="00213D6A"/>
    <w:rsid w:val="00214283"/>
    <w:rsid w:val="00214D6C"/>
    <w:rsid w:val="00214E39"/>
    <w:rsid w:val="002158AD"/>
    <w:rsid w:val="00215A90"/>
    <w:rsid w:val="0021611C"/>
    <w:rsid w:val="002163CA"/>
    <w:rsid w:val="00216E29"/>
    <w:rsid w:val="00216F4A"/>
    <w:rsid w:val="002172A3"/>
    <w:rsid w:val="002206C2"/>
    <w:rsid w:val="0022187E"/>
    <w:rsid w:val="00222036"/>
    <w:rsid w:val="00222CC4"/>
    <w:rsid w:val="00223776"/>
    <w:rsid w:val="00223BC3"/>
    <w:rsid w:val="002241FA"/>
    <w:rsid w:val="00224555"/>
    <w:rsid w:val="00224CCD"/>
    <w:rsid w:val="0022669D"/>
    <w:rsid w:val="00226EA5"/>
    <w:rsid w:val="0022700C"/>
    <w:rsid w:val="00227171"/>
    <w:rsid w:val="002279EF"/>
    <w:rsid w:val="00227EA1"/>
    <w:rsid w:val="00230574"/>
    <w:rsid w:val="002308F9"/>
    <w:rsid w:val="00230DBD"/>
    <w:rsid w:val="00231831"/>
    <w:rsid w:val="00231BFF"/>
    <w:rsid w:val="00232220"/>
    <w:rsid w:val="0023278A"/>
    <w:rsid w:val="00232DE0"/>
    <w:rsid w:val="002331B1"/>
    <w:rsid w:val="00233A81"/>
    <w:rsid w:val="00233D8F"/>
    <w:rsid w:val="0023459A"/>
    <w:rsid w:val="00234F20"/>
    <w:rsid w:val="00235103"/>
    <w:rsid w:val="002351BF"/>
    <w:rsid w:val="002354E4"/>
    <w:rsid w:val="00235B4E"/>
    <w:rsid w:val="00236406"/>
    <w:rsid w:val="00236D35"/>
    <w:rsid w:val="0023712D"/>
    <w:rsid w:val="00237466"/>
    <w:rsid w:val="002375AA"/>
    <w:rsid w:val="002378DE"/>
    <w:rsid w:val="00237DD6"/>
    <w:rsid w:val="00237ECC"/>
    <w:rsid w:val="00237FE9"/>
    <w:rsid w:val="00240F06"/>
    <w:rsid w:val="00241BF5"/>
    <w:rsid w:val="00241BF8"/>
    <w:rsid w:val="0024238A"/>
    <w:rsid w:val="0024281D"/>
    <w:rsid w:val="00242A99"/>
    <w:rsid w:val="00242C6B"/>
    <w:rsid w:val="002431BD"/>
    <w:rsid w:val="00243742"/>
    <w:rsid w:val="00243966"/>
    <w:rsid w:val="0024485B"/>
    <w:rsid w:val="00244AB8"/>
    <w:rsid w:val="00244B61"/>
    <w:rsid w:val="00245D95"/>
    <w:rsid w:val="00245F16"/>
    <w:rsid w:val="00247682"/>
    <w:rsid w:val="002502CA"/>
    <w:rsid w:val="0025036E"/>
    <w:rsid w:val="0025111A"/>
    <w:rsid w:val="002517A5"/>
    <w:rsid w:val="00252491"/>
    <w:rsid w:val="0025313C"/>
    <w:rsid w:val="0025329B"/>
    <w:rsid w:val="00255530"/>
    <w:rsid w:val="002555EE"/>
    <w:rsid w:val="00255A59"/>
    <w:rsid w:val="00255BAA"/>
    <w:rsid w:val="00256941"/>
    <w:rsid w:val="00256ED3"/>
    <w:rsid w:val="00256ED6"/>
    <w:rsid w:val="00256F30"/>
    <w:rsid w:val="00257FBA"/>
    <w:rsid w:val="002603EA"/>
    <w:rsid w:val="002611A4"/>
    <w:rsid w:val="00261D09"/>
    <w:rsid w:val="00261FB0"/>
    <w:rsid w:val="002624AA"/>
    <w:rsid w:val="00263915"/>
    <w:rsid w:val="0026408C"/>
    <w:rsid w:val="00264244"/>
    <w:rsid w:val="002644C6"/>
    <w:rsid w:val="0026457E"/>
    <w:rsid w:val="00264960"/>
    <w:rsid w:val="00266C33"/>
    <w:rsid w:val="00267242"/>
    <w:rsid w:val="00270B0A"/>
    <w:rsid w:val="00270F5C"/>
    <w:rsid w:val="002713CC"/>
    <w:rsid w:val="00271A41"/>
    <w:rsid w:val="0027395D"/>
    <w:rsid w:val="00273E20"/>
    <w:rsid w:val="002743A4"/>
    <w:rsid w:val="0027502C"/>
    <w:rsid w:val="002754D0"/>
    <w:rsid w:val="00275588"/>
    <w:rsid w:val="00275D36"/>
    <w:rsid w:val="0027636F"/>
    <w:rsid w:val="002766F4"/>
    <w:rsid w:val="00277109"/>
    <w:rsid w:val="00277CD1"/>
    <w:rsid w:val="0028051C"/>
    <w:rsid w:val="002812E5"/>
    <w:rsid w:val="00281405"/>
    <w:rsid w:val="0028175C"/>
    <w:rsid w:val="00281BF5"/>
    <w:rsid w:val="0028207E"/>
    <w:rsid w:val="002820B1"/>
    <w:rsid w:val="00282EFC"/>
    <w:rsid w:val="00282F1A"/>
    <w:rsid w:val="00283702"/>
    <w:rsid w:val="00284819"/>
    <w:rsid w:val="00284A08"/>
    <w:rsid w:val="00285486"/>
    <w:rsid w:val="002860EC"/>
    <w:rsid w:val="00286275"/>
    <w:rsid w:val="00286393"/>
    <w:rsid w:val="0028652D"/>
    <w:rsid w:val="00286952"/>
    <w:rsid w:val="00287F94"/>
    <w:rsid w:val="0029020F"/>
    <w:rsid w:val="00291296"/>
    <w:rsid w:val="00291CA7"/>
    <w:rsid w:val="002922A2"/>
    <w:rsid w:val="00292800"/>
    <w:rsid w:val="00292903"/>
    <w:rsid w:val="00292DDD"/>
    <w:rsid w:val="0029349C"/>
    <w:rsid w:val="0029391C"/>
    <w:rsid w:val="0029425D"/>
    <w:rsid w:val="00294305"/>
    <w:rsid w:val="00294DC7"/>
    <w:rsid w:val="002961AB"/>
    <w:rsid w:val="002A00BF"/>
    <w:rsid w:val="002A0354"/>
    <w:rsid w:val="002A05F9"/>
    <w:rsid w:val="002A185F"/>
    <w:rsid w:val="002A1C0C"/>
    <w:rsid w:val="002A29B1"/>
    <w:rsid w:val="002A4233"/>
    <w:rsid w:val="002A441F"/>
    <w:rsid w:val="002A4C06"/>
    <w:rsid w:val="002A55FC"/>
    <w:rsid w:val="002A58C0"/>
    <w:rsid w:val="002A6986"/>
    <w:rsid w:val="002A6F16"/>
    <w:rsid w:val="002B0AA8"/>
    <w:rsid w:val="002B1210"/>
    <w:rsid w:val="002B3623"/>
    <w:rsid w:val="002B419F"/>
    <w:rsid w:val="002B605B"/>
    <w:rsid w:val="002C155E"/>
    <w:rsid w:val="002C4077"/>
    <w:rsid w:val="002C40BE"/>
    <w:rsid w:val="002C436D"/>
    <w:rsid w:val="002C4938"/>
    <w:rsid w:val="002C5B5E"/>
    <w:rsid w:val="002C5FA6"/>
    <w:rsid w:val="002C68ED"/>
    <w:rsid w:val="002C7059"/>
    <w:rsid w:val="002C79BF"/>
    <w:rsid w:val="002D002C"/>
    <w:rsid w:val="002D02C8"/>
    <w:rsid w:val="002D0588"/>
    <w:rsid w:val="002D0622"/>
    <w:rsid w:val="002D0F1E"/>
    <w:rsid w:val="002D14C0"/>
    <w:rsid w:val="002D2105"/>
    <w:rsid w:val="002D21F5"/>
    <w:rsid w:val="002D2DA7"/>
    <w:rsid w:val="002D41AB"/>
    <w:rsid w:val="002D4415"/>
    <w:rsid w:val="002D4DE2"/>
    <w:rsid w:val="002D5F1E"/>
    <w:rsid w:val="002D60DA"/>
    <w:rsid w:val="002D6263"/>
    <w:rsid w:val="002D6883"/>
    <w:rsid w:val="002D696F"/>
    <w:rsid w:val="002E00C9"/>
    <w:rsid w:val="002E0E6F"/>
    <w:rsid w:val="002E0F10"/>
    <w:rsid w:val="002E2283"/>
    <w:rsid w:val="002E22C0"/>
    <w:rsid w:val="002E3417"/>
    <w:rsid w:val="002E3651"/>
    <w:rsid w:val="002E37FC"/>
    <w:rsid w:val="002E3C38"/>
    <w:rsid w:val="002E4185"/>
    <w:rsid w:val="002E476F"/>
    <w:rsid w:val="002E485C"/>
    <w:rsid w:val="002E515A"/>
    <w:rsid w:val="002E5506"/>
    <w:rsid w:val="002E552D"/>
    <w:rsid w:val="002E68D8"/>
    <w:rsid w:val="002F0962"/>
    <w:rsid w:val="002F0FA0"/>
    <w:rsid w:val="002F1D63"/>
    <w:rsid w:val="002F2315"/>
    <w:rsid w:val="002F2EE5"/>
    <w:rsid w:val="002F3572"/>
    <w:rsid w:val="002F429C"/>
    <w:rsid w:val="002F4B80"/>
    <w:rsid w:val="002F6910"/>
    <w:rsid w:val="002F6BBA"/>
    <w:rsid w:val="002F6D8F"/>
    <w:rsid w:val="002F7173"/>
    <w:rsid w:val="002F7246"/>
    <w:rsid w:val="002F7813"/>
    <w:rsid w:val="002F7AF5"/>
    <w:rsid w:val="002F7EC9"/>
    <w:rsid w:val="00300302"/>
    <w:rsid w:val="00300A94"/>
    <w:rsid w:val="00300C66"/>
    <w:rsid w:val="0030166D"/>
    <w:rsid w:val="00301F9C"/>
    <w:rsid w:val="003027CC"/>
    <w:rsid w:val="003039FA"/>
    <w:rsid w:val="00303BD9"/>
    <w:rsid w:val="00303E5B"/>
    <w:rsid w:val="00304F0D"/>
    <w:rsid w:val="00306C50"/>
    <w:rsid w:val="00306D31"/>
    <w:rsid w:val="0030707B"/>
    <w:rsid w:val="003072FF"/>
    <w:rsid w:val="00307420"/>
    <w:rsid w:val="00307DD5"/>
    <w:rsid w:val="00310467"/>
    <w:rsid w:val="00310929"/>
    <w:rsid w:val="003109E8"/>
    <w:rsid w:val="00310B85"/>
    <w:rsid w:val="00310C0C"/>
    <w:rsid w:val="0031171E"/>
    <w:rsid w:val="00311CB0"/>
    <w:rsid w:val="003132A4"/>
    <w:rsid w:val="00313EAC"/>
    <w:rsid w:val="0031497A"/>
    <w:rsid w:val="00314B3D"/>
    <w:rsid w:val="0031510D"/>
    <w:rsid w:val="003160F3"/>
    <w:rsid w:val="003164D3"/>
    <w:rsid w:val="00317A1B"/>
    <w:rsid w:val="00317B31"/>
    <w:rsid w:val="00317B75"/>
    <w:rsid w:val="00317D1D"/>
    <w:rsid w:val="00317D35"/>
    <w:rsid w:val="0032110B"/>
    <w:rsid w:val="003217CD"/>
    <w:rsid w:val="00321D8D"/>
    <w:rsid w:val="003222EF"/>
    <w:rsid w:val="00322D94"/>
    <w:rsid w:val="003231D8"/>
    <w:rsid w:val="0032359D"/>
    <w:rsid w:val="00324403"/>
    <w:rsid w:val="003256AD"/>
    <w:rsid w:val="00326502"/>
    <w:rsid w:val="003300EE"/>
    <w:rsid w:val="00330733"/>
    <w:rsid w:val="0033088B"/>
    <w:rsid w:val="00330914"/>
    <w:rsid w:val="00330FEC"/>
    <w:rsid w:val="00331616"/>
    <w:rsid w:val="00331B48"/>
    <w:rsid w:val="003322D8"/>
    <w:rsid w:val="003329E0"/>
    <w:rsid w:val="00332E7A"/>
    <w:rsid w:val="00332EFD"/>
    <w:rsid w:val="00332FE6"/>
    <w:rsid w:val="003330C0"/>
    <w:rsid w:val="003330D3"/>
    <w:rsid w:val="00334B7C"/>
    <w:rsid w:val="00334D47"/>
    <w:rsid w:val="00336006"/>
    <w:rsid w:val="003365D3"/>
    <w:rsid w:val="00336839"/>
    <w:rsid w:val="00336D51"/>
    <w:rsid w:val="00336F7F"/>
    <w:rsid w:val="00337118"/>
    <w:rsid w:val="00337B91"/>
    <w:rsid w:val="00337C73"/>
    <w:rsid w:val="00340613"/>
    <w:rsid w:val="00340E29"/>
    <w:rsid w:val="00340FC4"/>
    <w:rsid w:val="003413B3"/>
    <w:rsid w:val="00341772"/>
    <w:rsid w:val="00342226"/>
    <w:rsid w:val="00342286"/>
    <w:rsid w:val="00342755"/>
    <w:rsid w:val="0034325D"/>
    <w:rsid w:val="0034405E"/>
    <w:rsid w:val="00344206"/>
    <w:rsid w:val="00344861"/>
    <w:rsid w:val="00344B9B"/>
    <w:rsid w:val="00344BE5"/>
    <w:rsid w:val="00345572"/>
    <w:rsid w:val="003458A2"/>
    <w:rsid w:val="0034591F"/>
    <w:rsid w:val="00345E5B"/>
    <w:rsid w:val="003466DD"/>
    <w:rsid w:val="00346F69"/>
    <w:rsid w:val="003470D5"/>
    <w:rsid w:val="003470FA"/>
    <w:rsid w:val="00347583"/>
    <w:rsid w:val="00347691"/>
    <w:rsid w:val="00350390"/>
    <w:rsid w:val="00350435"/>
    <w:rsid w:val="0035124A"/>
    <w:rsid w:val="003516CC"/>
    <w:rsid w:val="0035179C"/>
    <w:rsid w:val="0035265A"/>
    <w:rsid w:val="00352EA7"/>
    <w:rsid w:val="003531D5"/>
    <w:rsid w:val="00353296"/>
    <w:rsid w:val="00353936"/>
    <w:rsid w:val="00353BAD"/>
    <w:rsid w:val="003543B2"/>
    <w:rsid w:val="003543F3"/>
    <w:rsid w:val="00354491"/>
    <w:rsid w:val="00354D4C"/>
    <w:rsid w:val="003554E6"/>
    <w:rsid w:val="00355A2E"/>
    <w:rsid w:val="00355AF9"/>
    <w:rsid w:val="00355B8B"/>
    <w:rsid w:val="00356A28"/>
    <w:rsid w:val="00357D55"/>
    <w:rsid w:val="003604F5"/>
    <w:rsid w:val="003605E6"/>
    <w:rsid w:val="00360A3A"/>
    <w:rsid w:val="00360D45"/>
    <w:rsid w:val="003625BA"/>
    <w:rsid w:val="00363DC1"/>
    <w:rsid w:val="00363F77"/>
    <w:rsid w:val="00364C99"/>
    <w:rsid w:val="00365873"/>
    <w:rsid w:val="00365F9E"/>
    <w:rsid w:val="00367264"/>
    <w:rsid w:val="0037077C"/>
    <w:rsid w:val="00372252"/>
    <w:rsid w:val="0037293A"/>
    <w:rsid w:val="003737A1"/>
    <w:rsid w:val="003737F3"/>
    <w:rsid w:val="00373B8E"/>
    <w:rsid w:val="00375F74"/>
    <w:rsid w:val="00376186"/>
    <w:rsid w:val="003766A7"/>
    <w:rsid w:val="003767C0"/>
    <w:rsid w:val="0037737C"/>
    <w:rsid w:val="00377498"/>
    <w:rsid w:val="00380CE9"/>
    <w:rsid w:val="00381097"/>
    <w:rsid w:val="0038125F"/>
    <w:rsid w:val="0038129F"/>
    <w:rsid w:val="00381404"/>
    <w:rsid w:val="00381994"/>
    <w:rsid w:val="00381F1B"/>
    <w:rsid w:val="00381FD0"/>
    <w:rsid w:val="003821CC"/>
    <w:rsid w:val="00382386"/>
    <w:rsid w:val="00382597"/>
    <w:rsid w:val="0038315B"/>
    <w:rsid w:val="003838FB"/>
    <w:rsid w:val="00383CA1"/>
    <w:rsid w:val="00383F8D"/>
    <w:rsid w:val="0038435F"/>
    <w:rsid w:val="00384585"/>
    <w:rsid w:val="003855E6"/>
    <w:rsid w:val="003856C3"/>
    <w:rsid w:val="00386EAC"/>
    <w:rsid w:val="0039064C"/>
    <w:rsid w:val="0039114B"/>
    <w:rsid w:val="00391356"/>
    <w:rsid w:val="00391EEA"/>
    <w:rsid w:val="0039242B"/>
    <w:rsid w:val="0039257C"/>
    <w:rsid w:val="003927A4"/>
    <w:rsid w:val="00392973"/>
    <w:rsid w:val="0039338E"/>
    <w:rsid w:val="00393858"/>
    <w:rsid w:val="003944EE"/>
    <w:rsid w:val="003946B4"/>
    <w:rsid w:val="00394B9B"/>
    <w:rsid w:val="003956E9"/>
    <w:rsid w:val="0039585D"/>
    <w:rsid w:val="00395D81"/>
    <w:rsid w:val="00395E05"/>
    <w:rsid w:val="00397DF1"/>
    <w:rsid w:val="003A0296"/>
    <w:rsid w:val="003A0B1E"/>
    <w:rsid w:val="003A0FC6"/>
    <w:rsid w:val="003A1232"/>
    <w:rsid w:val="003A1809"/>
    <w:rsid w:val="003A1BD2"/>
    <w:rsid w:val="003A22E7"/>
    <w:rsid w:val="003A2626"/>
    <w:rsid w:val="003A41E2"/>
    <w:rsid w:val="003A428F"/>
    <w:rsid w:val="003A46CC"/>
    <w:rsid w:val="003A4A7E"/>
    <w:rsid w:val="003A4FC7"/>
    <w:rsid w:val="003A4FEB"/>
    <w:rsid w:val="003A568B"/>
    <w:rsid w:val="003A57C0"/>
    <w:rsid w:val="003A5A6A"/>
    <w:rsid w:val="003A68D1"/>
    <w:rsid w:val="003A742D"/>
    <w:rsid w:val="003A7D11"/>
    <w:rsid w:val="003B02E3"/>
    <w:rsid w:val="003B08D4"/>
    <w:rsid w:val="003B116F"/>
    <w:rsid w:val="003B1609"/>
    <w:rsid w:val="003B165E"/>
    <w:rsid w:val="003B18F7"/>
    <w:rsid w:val="003B2004"/>
    <w:rsid w:val="003B2442"/>
    <w:rsid w:val="003B256D"/>
    <w:rsid w:val="003B28FF"/>
    <w:rsid w:val="003B2C94"/>
    <w:rsid w:val="003B369E"/>
    <w:rsid w:val="003B3A29"/>
    <w:rsid w:val="003B3BDC"/>
    <w:rsid w:val="003B3D00"/>
    <w:rsid w:val="003B45DD"/>
    <w:rsid w:val="003B517F"/>
    <w:rsid w:val="003B54BE"/>
    <w:rsid w:val="003B5A79"/>
    <w:rsid w:val="003B6E29"/>
    <w:rsid w:val="003B6F9A"/>
    <w:rsid w:val="003B6FD1"/>
    <w:rsid w:val="003B71CD"/>
    <w:rsid w:val="003C2CCD"/>
    <w:rsid w:val="003C2FB0"/>
    <w:rsid w:val="003C3522"/>
    <w:rsid w:val="003C3C7F"/>
    <w:rsid w:val="003C4707"/>
    <w:rsid w:val="003C4BD7"/>
    <w:rsid w:val="003C4C6F"/>
    <w:rsid w:val="003C512F"/>
    <w:rsid w:val="003C585B"/>
    <w:rsid w:val="003C6ABE"/>
    <w:rsid w:val="003C6BF6"/>
    <w:rsid w:val="003D01DF"/>
    <w:rsid w:val="003D0AB5"/>
    <w:rsid w:val="003D10E4"/>
    <w:rsid w:val="003D1BA0"/>
    <w:rsid w:val="003D1CFC"/>
    <w:rsid w:val="003D266C"/>
    <w:rsid w:val="003D26A9"/>
    <w:rsid w:val="003D2B31"/>
    <w:rsid w:val="003D36F4"/>
    <w:rsid w:val="003D3826"/>
    <w:rsid w:val="003D3DEA"/>
    <w:rsid w:val="003D4C7F"/>
    <w:rsid w:val="003D4DF6"/>
    <w:rsid w:val="003D6379"/>
    <w:rsid w:val="003D66CA"/>
    <w:rsid w:val="003D6865"/>
    <w:rsid w:val="003D6E49"/>
    <w:rsid w:val="003D7A35"/>
    <w:rsid w:val="003D7CCB"/>
    <w:rsid w:val="003E0F79"/>
    <w:rsid w:val="003E1680"/>
    <w:rsid w:val="003E1D67"/>
    <w:rsid w:val="003E2613"/>
    <w:rsid w:val="003E373F"/>
    <w:rsid w:val="003E5180"/>
    <w:rsid w:val="003E5236"/>
    <w:rsid w:val="003E589A"/>
    <w:rsid w:val="003E59D9"/>
    <w:rsid w:val="003E5F4B"/>
    <w:rsid w:val="003E7BBA"/>
    <w:rsid w:val="003E7F69"/>
    <w:rsid w:val="003E7FD8"/>
    <w:rsid w:val="003F21CB"/>
    <w:rsid w:val="003F23CD"/>
    <w:rsid w:val="003F3300"/>
    <w:rsid w:val="003F3C72"/>
    <w:rsid w:val="003F3F0D"/>
    <w:rsid w:val="003F4708"/>
    <w:rsid w:val="003F4FD8"/>
    <w:rsid w:val="003F509D"/>
    <w:rsid w:val="003F5B32"/>
    <w:rsid w:val="003F5DCC"/>
    <w:rsid w:val="003F5DE8"/>
    <w:rsid w:val="003F62C3"/>
    <w:rsid w:val="003F7C88"/>
    <w:rsid w:val="004007F2"/>
    <w:rsid w:val="004011DA"/>
    <w:rsid w:val="0040208F"/>
    <w:rsid w:val="0040233A"/>
    <w:rsid w:val="00402A46"/>
    <w:rsid w:val="00402C0F"/>
    <w:rsid w:val="00402EB2"/>
    <w:rsid w:val="004030DA"/>
    <w:rsid w:val="0040343A"/>
    <w:rsid w:val="00403C5D"/>
    <w:rsid w:val="00403F10"/>
    <w:rsid w:val="0040401D"/>
    <w:rsid w:val="0040427B"/>
    <w:rsid w:val="00404AEF"/>
    <w:rsid w:val="00404E30"/>
    <w:rsid w:val="0040544C"/>
    <w:rsid w:val="00406365"/>
    <w:rsid w:val="00406B3D"/>
    <w:rsid w:val="00406C8A"/>
    <w:rsid w:val="00407AD5"/>
    <w:rsid w:val="004109D2"/>
    <w:rsid w:val="00411567"/>
    <w:rsid w:val="00411AE1"/>
    <w:rsid w:val="0041229C"/>
    <w:rsid w:val="00413040"/>
    <w:rsid w:val="004145C8"/>
    <w:rsid w:val="00415CD2"/>
    <w:rsid w:val="004167FD"/>
    <w:rsid w:val="0041705F"/>
    <w:rsid w:val="00417787"/>
    <w:rsid w:val="00417A27"/>
    <w:rsid w:val="00417F5E"/>
    <w:rsid w:val="0042008F"/>
    <w:rsid w:val="00420928"/>
    <w:rsid w:val="00421674"/>
    <w:rsid w:val="00421E18"/>
    <w:rsid w:val="00422168"/>
    <w:rsid w:val="004227DB"/>
    <w:rsid w:val="0042443F"/>
    <w:rsid w:val="00424622"/>
    <w:rsid w:val="00424CFC"/>
    <w:rsid w:val="0042501E"/>
    <w:rsid w:val="00425108"/>
    <w:rsid w:val="00425282"/>
    <w:rsid w:val="00426537"/>
    <w:rsid w:val="00426E5E"/>
    <w:rsid w:val="00430903"/>
    <w:rsid w:val="004309BA"/>
    <w:rsid w:val="004309F1"/>
    <w:rsid w:val="00431B4C"/>
    <w:rsid w:val="00431D2F"/>
    <w:rsid w:val="004327ED"/>
    <w:rsid w:val="00432F5D"/>
    <w:rsid w:val="00433418"/>
    <w:rsid w:val="00434174"/>
    <w:rsid w:val="0043476B"/>
    <w:rsid w:val="00434D39"/>
    <w:rsid w:val="00434E53"/>
    <w:rsid w:val="0043569F"/>
    <w:rsid w:val="004357C7"/>
    <w:rsid w:val="00435DC2"/>
    <w:rsid w:val="0043643E"/>
    <w:rsid w:val="0043679A"/>
    <w:rsid w:val="004374F3"/>
    <w:rsid w:val="00437B1C"/>
    <w:rsid w:val="00437DCC"/>
    <w:rsid w:val="00437EDE"/>
    <w:rsid w:val="00440407"/>
    <w:rsid w:val="00440DFA"/>
    <w:rsid w:val="00442640"/>
    <w:rsid w:val="0044304D"/>
    <w:rsid w:val="004430F9"/>
    <w:rsid w:val="00443455"/>
    <w:rsid w:val="00443664"/>
    <w:rsid w:val="004437B4"/>
    <w:rsid w:val="004453F0"/>
    <w:rsid w:val="00446E20"/>
    <w:rsid w:val="00446E7A"/>
    <w:rsid w:val="0044777E"/>
    <w:rsid w:val="00447863"/>
    <w:rsid w:val="00447A39"/>
    <w:rsid w:val="004505E9"/>
    <w:rsid w:val="0045127D"/>
    <w:rsid w:val="004513C9"/>
    <w:rsid w:val="00452A78"/>
    <w:rsid w:val="004541FE"/>
    <w:rsid w:val="0045427C"/>
    <w:rsid w:val="00454542"/>
    <w:rsid w:val="004547D9"/>
    <w:rsid w:val="004547FA"/>
    <w:rsid w:val="004548DE"/>
    <w:rsid w:val="00454B00"/>
    <w:rsid w:val="00455239"/>
    <w:rsid w:val="00456838"/>
    <w:rsid w:val="004570F4"/>
    <w:rsid w:val="00457380"/>
    <w:rsid w:val="00457B01"/>
    <w:rsid w:val="00460D14"/>
    <w:rsid w:val="00460F58"/>
    <w:rsid w:val="0046236C"/>
    <w:rsid w:val="00462428"/>
    <w:rsid w:val="004633F6"/>
    <w:rsid w:val="00463968"/>
    <w:rsid w:val="00463D99"/>
    <w:rsid w:val="00464455"/>
    <w:rsid w:val="00464CD8"/>
    <w:rsid w:val="00464FE1"/>
    <w:rsid w:val="004650FD"/>
    <w:rsid w:val="00465CD0"/>
    <w:rsid w:val="0046652C"/>
    <w:rsid w:val="00466E28"/>
    <w:rsid w:val="00467224"/>
    <w:rsid w:val="0046774B"/>
    <w:rsid w:val="00470244"/>
    <w:rsid w:val="00470886"/>
    <w:rsid w:val="00470ECC"/>
    <w:rsid w:val="00472B46"/>
    <w:rsid w:val="0047357C"/>
    <w:rsid w:val="00473849"/>
    <w:rsid w:val="004750D1"/>
    <w:rsid w:val="004756AB"/>
    <w:rsid w:val="00477527"/>
    <w:rsid w:val="00477F2C"/>
    <w:rsid w:val="004801D7"/>
    <w:rsid w:val="00480205"/>
    <w:rsid w:val="004803F4"/>
    <w:rsid w:val="00480C7E"/>
    <w:rsid w:val="0048157F"/>
    <w:rsid w:val="0048311D"/>
    <w:rsid w:val="004837BF"/>
    <w:rsid w:val="004839C9"/>
    <w:rsid w:val="00484BF5"/>
    <w:rsid w:val="00484DB4"/>
    <w:rsid w:val="00485431"/>
    <w:rsid w:val="00485728"/>
    <w:rsid w:val="00486EFD"/>
    <w:rsid w:val="0048747D"/>
    <w:rsid w:val="00487B7F"/>
    <w:rsid w:val="00490852"/>
    <w:rsid w:val="00490AA5"/>
    <w:rsid w:val="00490C49"/>
    <w:rsid w:val="00491753"/>
    <w:rsid w:val="00492288"/>
    <w:rsid w:val="00492355"/>
    <w:rsid w:val="00492445"/>
    <w:rsid w:val="00492E04"/>
    <w:rsid w:val="004935F5"/>
    <w:rsid w:val="0049373E"/>
    <w:rsid w:val="0049386D"/>
    <w:rsid w:val="00493DD1"/>
    <w:rsid w:val="004941F3"/>
    <w:rsid w:val="00494CA9"/>
    <w:rsid w:val="00495EE4"/>
    <w:rsid w:val="004966CF"/>
    <w:rsid w:val="004978C2"/>
    <w:rsid w:val="00497D82"/>
    <w:rsid w:val="00497F71"/>
    <w:rsid w:val="004A1465"/>
    <w:rsid w:val="004A147E"/>
    <w:rsid w:val="004A1906"/>
    <w:rsid w:val="004A1AE8"/>
    <w:rsid w:val="004A1DFB"/>
    <w:rsid w:val="004A1E88"/>
    <w:rsid w:val="004A1FA0"/>
    <w:rsid w:val="004A2FAF"/>
    <w:rsid w:val="004A316F"/>
    <w:rsid w:val="004A46FF"/>
    <w:rsid w:val="004A5199"/>
    <w:rsid w:val="004A5226"/>
    <w:rsid w:val="004A554D"/>
    <w:rsid w:val="004A625D"/>
    <w:rsid w:val="004A62C8"/>
    <w:rsid w:val="004B0BCF"/>
    <w:rsid w:val="004B13F3"/>
    <w:rsid w:val="004B167A"/>
    <w:rsid w:val="004B1809"/>
    <w:rsid w:val="004B21BF"/>
    <w:rsid w:val="004B235C"/>
    <w:rsid w:val="004B247D"/>
    <w:rsid w:val="004B3152"/>
    <w:rsid w:val="004B379F"/>
    <w:rsid w:val="004B386E"/>
    <w:rsid w:val="004B3CF0"/>
    <w:rsid w:val="004B4020"/>
    <w:rsid w:val="004B48AA"/>
    <w:rsid w:val="004B4CE4"/>
    <w:rsid w:val="004B5418"/>
    <w:rsid w:val="004B542D"/>
    <w:rsid w:val="004B62A5"/>
    <w:rsid w:val="004B6C24"/>
    <w:rsid w:val="004B6D28"/>
    <w:rsid w:val="004B782C"/>
    <w:rsid w:val="004C0273"/>
    <w:rsid w:val="004C044F"/>
    <w:rsid w:val="004C0D44"/>
    <w:rsid w:val="004C0F58"/>
    <w:rsid w:val="004C166A"/>
    <w:rsid w:val="004C172D"/>
    <w:rsid w:val="004C1BD7"/>
    <w:rsid w:val="004C1E29"/>
    <w:rsid w:val="004C2077"/>
    <w:rsid w:val="004C3EED"/>
    <w:rsid w:val="004C4786"/>
    <w:rsid w:val="004C5289"/>
    <w:rsid w:val="004C5657"/>
    <w:rsid w:val="004C5B60"/>
    <w:rsid w:val="004C621D"/>
    <w:rsid w:val="004C7038"/>
    <w:rsid w:val="004C71B7"/>
    <w:rsid w:val="004C79A7"/>
    <w:rsid w:val="004D0047"/>
    <w:rsid w:val="004D038F"/>
    <w:rsid w:val="004D0862"/>
    <w:rsid w:val="004D19F7"/>
    <w:rsid w:val="004D2D57"/>
    <w:rsid w:val="004D2D6B"/>
    <w:rsid w:val="004D3466"/>
    <w:rsid w:val="004D347D"/>
    <w:rsid w:val="004D41D8"/>
    <w:rsid w:val="004D4731"/>
    <w:rsid w:val="004D5D12"/>
    <w:rsid w:val="004D6E73"/>
    <w:rsid w:val="004D719B"/>
    <w:rsid w:val="004D7234"/>
    <w:rsid w:val="004D730B"/>
    <w:rsid w:val="004D763F"/>
    <w:rsid w:val="004D77B2"/>
    <w:rsid w:val="004D7CD9"/>
    <w:rsid w:val="004D7D3E"/>
    <w:rsid w:val="004D7D52"/>
    <w:rsid w:val="004E0155"/>
    <w:rsid w:val="004E1E5C"/>
    <w:rsid w:val="004E3036"/>
    <w:rsid w:val="004E3973"/>
    <w:rsid w:val="004E3AF4"/>
    <w:rsid w:val="004E3B22"/>
    <w:rsid w:val="004E41F0"/>
    <w:rsid w:val="004E4BA0"/>
    <w:rsid w:val="004E4D3E"/>
    <w:rsid w:val="004E50CA"/>
    <w:rsid w:val="004E57AD"/>
    <w:rsid w:val="004E5E53"/>
    <w:rsid w:val="004F04FD"/>
    <w:rsid w:val="004F1084"/>
    <w:rsid w:val="004F125A"/>
    <w:rsid w:val="004F1F2A"/>
    <w:rsid w:val="004F3A87"/>
    <w:rsid w:val="004F43A4"/>
    <w:rsid w:val="004F538B"/>
    <w:rsid w:val="004F53FD"/>
    <w:rsid w:val="004F62DC"/>
    <w:rsid w:val="004F7C8C"/>
    <w:rsid w:val="00501555"/>
    <w:rsid w:val="00502506"/>
    <w:rsid w:val="005026CC"/>
    <w:rsid w:val="00503340"/>
    <w:rsid w:val="00503F21"/>
    <w:rsid w:val="00504165"/>
    <w:rsid w:val="00504323"/>
    <w:rsid w:val="005045E5"/>
    <w:rsid w:val="00504A22"/>
    <w:rsid w:val="00504BC6"/>
    <w:rsid w:val="00505111"/>
    <w:rsid w:val="00505B84"/>
    <w:rsid w:val="00505E2B"/>
    <w:rsid w:val="00506E2A"/>
    <w:rsid w:val="00507E0F"/>
    <w:rsid w:val="0051008A"/>
    <w:rsid w:val="00510A9B"/>
    <w:rsid w:val="0051115F"/>
    <w:rsid w:val="00511536"/>
    <w:rsid w:val="00511D01"/>
    <w:rsid w:val="00512C65"/>
    <w:rsid w:val="005137FD"/>
    <w:rsid w:val="0051431E"/>
    <w:rsid w:val="00514465"/>
    <w:rsid w:val="00514936"/>
    <w:rsid w:val="00515D06"/>
    <w:rsid w:val="00515F87"/>
    <w:rsid w:val="005160DB"/>
    <w:rsid w:val="0051663B"/>
    <w:rsid w:val="00516830"/>
    <w:rsid w:val="00517439"/>
    <w:rsid w:val="005201E1"/>
    <w:rsid w:val="005203A1"/>
    <w:rsid w:val="005203FC"/>
    <w:rsid w:val="005223BC"/>
    <w:rsid w:val="00522CAE"/>
    <w:rsid w:val="00523BB2"/>
    <w:rsid w:val="00524A31"/>
    <w:rsid w:val="00525182"/>
    <w:rsid w:val="00525887"/>
    <w:rsid w:val="00527178"/>
    <w:rsid w:val="00527C66"/>
    <w:rsid w:val="00530396"/>
    <w:rsid w:val="00530902"/>
    <w:rsid w:val="00530E8E"/>
    <w:rsid w:val="0053154C"/>
    <w:rsid w:val="0053168F"/>
    <w:rsid w:val="00533160"/>
    <w:rsid w:val="0053337F"/>
    <w:rsid w:val="005340FD"/>
    <w:rsid w:val="00534CB6"/>
    <w:rsid w:val="00535859"/>
    <w:rsid w:val="00536023"/>
    <w:rsid w:val="00536D15"/>
    <w:rsid w:val="00536F2B"/>
    <w:rsid w:val="00537CA7"/>
    <w:rsid w:val="005405B5"/>
    <w:rsid w:val="0054073B"/>
    <w:rsid w:val="00540C0B"/>
    <w:rsid w:val="00541C3B"/>
    <w:rsid w:val="00542A15"/>
    <w:rsid w:val="00542FAC"/>
    <w:rsid w:val="00543586"/>
    <w:rsid w:val="0054590D"/>
    <w:rsid w:val="00545AD5"/>
    <w:rsid w:val="005469A3"/>
    <w:rsid w:val="00546A2A"/>
    <w:rsid w:val="00546B4D"/>
    <w:rsid w:val="005473BD"/>
    <w:rsid w:val="00547419"/>
    <w:rsid w:val="005501B1"/>
    <w:rsid w:val="00551758"/>
    <w:rsid w:val="00552376"/>
    <w:rsid w:val="0055279B"/>
    <w:rsid w:val="00552922"/>
    <w:rsid w:val="0055330C"/>
    <w:rsid w:val="005538C4"/>
    <w:rsid w:val="00553A8E"/>
    <w:rsid w:val="00554FBF"/>
    <w:rsid w:val="0055501F"/>
    <w:rsid w:val="00555F31"/>
    <w:rsid w:val="00556995"/>
    <w:rsid w:val="005573E9"/>
    <w:rsid w:val="00557728"/>
    <w:rsid w:val="00557FBD"/>
    <w:rsid w:val="005606B5"/>
    <w:rsid w:val="00560775"/>
    <w:rsid w:val="00561982"/>
    <w:rsid w:val="00561D1F"/>
    <w:rsid w:val="00562821"/>
    <w:rsid w:val="00562D59"/>
    <w:rsid w:val="00563673"/>
    <w:rsid w:val="00563E66"/>
    <w:rsid w:val="00564217"/>
    <w:rsid w:val="00564FBB"/>
    <w:rsid w:val="00564FF8"/>
    <w:rsid w:val="005653CF"/>
    <w:rsid w:val="00565776"/>
    <w:rsid w:val="00565ED4"/>
    <w:rsid w:val="005666E3"/>
    <w:rsid w:val="005668DD"/>
    <w:rsid w:val="00566AF7"/>
    <w:rsid w:val="00567A8E"/>
    <w:rsid w:val="00567E6C"/>
    <w:rsid w:val="00570165"/>
    <w:rsid w:val="005705A4"/>
    <w:rsid w:val="00570759"/>
    <w:rsid w:val="00570C03"/>
    <w:rsid w:val="00571164"/>
    <w:rsid w:val="00571C56"/>
    <w:rsid w:val="00572112"/>
    <w:rsid w:val="0057253C"/>
    <w:rsid w:val="005728FA"/>
    <w:rsid w:val="00572A05"/>
    <w:rsid w:val="00572E2E"/>
    <w:rsid w:val="00575349"/>
    <w:rsid w:val="005754E4"/>
    <w:rsid w:val="0057574B"/>
    <w:rsid w:val="005757CC"/>
    <w:rsid w:val="005757CF"/>
    <w:rsid w:val="00576482"/>
    <w:rsid w:val="0057683E"/>
    <w:rsid w:val="00576E0E"/>
    <w:rsid w:val="00576EC9"/>
    <w:rsid w:val="00576FEC"/>
    <w:rsid w:val="0057772A"/>
    <w:rsid w:val="00577BCD"/>
    <w:rsid w:val="00577C82"/>
    <w:rsid w:val="005807DC"/>
    <w:rsid w:val="00580AD0"/>
    <w:rsid w:val="0058139E"/>
    <w:rsid w:val="0058140C"/>
    <w:rsid w:val="005814ED"/>
    <w:rsid w:val="0058157E"/>
    <w:rsid w:val="0058195E"/>
    <w:rsid w:val="00581DED"/>
    <w:rsid w:val="005825C7"/>
    <w:rsid w:val="005838A6"/>
    <w:rsid w:val="00583BCF"/>
    <w:rsid w:val="00583C4B"/>
    <w:rsid w:val="00583D5E"/>
    <w:rsid w:val="005851DD"/>
    <w:rsid w:val="0058549C"/>
    <w:rsid w:val="00586527"/>
    <w:rsid w:val="00590086"/>
    <w:rsid w:val="00590646"/>
    <w:rsid w:val="00590A3B"/>
    <w:rsid w:val="00590A97"/>
    <w:rsid w:val="00590E80"/>
    <w:rsid w:val="00592855"/>
    <w:rsid w:val="005929E5"/>
    <w:rsid w:val="00593811"/>
    <w:rsid w:val="00594AB5"/>
    <w:rsid w:val="0059545F"/>
    <w:rsid w:val="00595902"/>
    <w:rsid w:val="00595DAC"/>
    <w:rsid w:val="005968A5"/>
    <w:rsid w:val="00596F93"/>
    <w:rsid w:val="005972FA"/>
    <w:rsid w:val="0059768F"/>
    <w:rsid w:val="005976B4"/>
    <w:rsid w:val="005A0544"/>
    <w:rsid w:val="005A08F0"/>
    <w:rsid w:val="005A14B8"/>
    <w:rsid w:val="005A1E02"/>
    <w:rsid w:val="005A34A6"/>
    <w:rsid w:val="005A3A7C"/>
    <w:rsid w:val="005A3CAC"/>
    <w:rsid w:val="005A46B5"/>
    <w:rsid w:val="005A4CEA"/>
    <w:rsid w:val="005A4DA0"/>
    <w:rsid w:val="005A56C6"/>
    <w:rsid w:val="005A5821"/>
    <w:rsid w:val="005A5D73"/>
    <w:rsid w:val="005A67A8"/>
    <w:rsid w:val="005A6C3D"/>
    <w:rsid w:val="005A6DF9"/>
    <w:rsid w:val="005B0412"/>
    <w:rsid w:val="005B096F"/>
    <w:rsid w:val="005B0C9D"/>
    <w:rsid w:val="005B2FEE"/>
    <w:rsid w:val="005B3000"/>
    <w:rsid w:val="005B3852"/>
    <w:rsid w:val="005B3FCA"/>
    <w:rsid w:val="005B4797"/>
    <w:rsid w:val="005B4BF0"/>
    <w:rsid w:val="005B55CE"/>
    <w:rsid w:val="005B74B9"/>
    <w:rsid w:val="005C02F5"/>
    <w:rsid w:val="005C0D08"/>
    <w:rsid w:val="005C12B8"/>
    <w:rsid w:val="005C22D4"/>
    <w:rsid w:val="005C253B"/>
    <w:rsid w:val="005C2731"/>
    <w:rsid w:val="005C2C0B"/>
    <w:rsid w:val="005C2CDE"/>
    <w:rsid w:val="005C3166"/>
    <w:rsid w:val="005C31F3"/>
    <w:rsid w:val="005C374C"/>
    <w:rsid w:val="005C3D4B"/>
    <w:rsid w:val="005C3DB1"/>
    <w:rsid w:val="005C4034"/>
    <w:rsid w:val="005C4BC4"/>
    <w:rsid w:val="005C58D4"/>
    <w:rsid w:val="005C6DB3"/>
    <w:rsid w:val="005C7861"/>
    <w:rsid w:val="005D0450"/>
    <w:rsid w:val="005D096F"/>
    <w:rsid w:val="005D15AA"/>
    <w:rsid w:val="005D1A24"/>
    <w:rsid w:val="005D3751"/>
    <w:rsid w:val="005D3DF7"/>
    <w:rsid w:val="005D458F"/>
    <w:rsid w:val="005D724F"/>
    <w:rsid w:val="005D7A78"/>
    <w:rsid w:val="005D7A88"/>
    <w:rsid w:val="005D7ED1"/>
    <w:rsid w:val="005E0861"/>
    <w:rsid w:val="005E1956"/>
    <w:rsid w:val="005E1A0F"/>
    <w:rsid w:val="005E2771"/>
    <w:rsid w:val="005E460C"/>
    <w:rsid w:val="005E57C7"/>
    <w:rsid w:val="005E595F"/>
    <w:rsid w:val="005E5AAB"/>
    <w:rsid w:val="005E5E53"/>
    <w:rsid w:val="005E6E21"/>
    <w:rsid w:val="005E7637"/>
    <w:rsid w:val="005E7A46"/>
    <w:rsid w:val="005F018B"/>
    <w:rsid w:val="005F09F6"/>
    <w:rsid w:val="005F10AD"/>
    <w:rsid w:val="005F1702"/>
    <w:rsid w:val="005F1E1E"/>
    <w:rsid w:val="005F1EFD"/>
    <w:rsid w:val="005F3AE1"/>
    <w:rsid w:val="005F422E"/>
    <w:rsid w:val="005F4725"/>
    <w:rsid w:val="005F560A"/>
    <w:rsid w:val="005F5A62"/>
    <w:rsid w:val="005F660B"/>
    <w:rsid w:val="005F6F05"/>
    <w:rsid w:val="005F75A9"/>
    <w:rsid w:val="005F775C"/>
    <w:rsid w:val="005F79AB"/>
    <w:rsid w:val="005F7CD1"/>
    <w:rsid w:val="006002E3"/>
    <w:rsid w:val="00600D5F"/>
    <w:rsid w:val="00601849"/>
    <w:rsid w:val="00601E1A"/>
    <w:rsid w:val="006021D1"/>
    <w:rsid w:val="0060225C"/>
    <w:rsid w:val="00603017"/>
    <w:rsid w:val="006031F2"/>
    <w:rsid w:val="00603462"/>
    <w:rsid w:val="0060387C"/>
    <w:rsid w:val="006065A7"/>
    <w:rsid w:val="00606D06"/>
    <w:rsid w:val="0060782D"/>
    <w:rsid w:val="0061040A"/>
    <w:rsid w:val="00611B5D"/>
    <w:rsid w:val="006138BE"/>
    <w:rsid w:val="00614B83"/>
    <w:rsid w:val="006156C2"/>
    <w:rsid w:val="0061593D"/>
    <w:rsid w:val="006159F0"/>
    <w:rsid w:val="00615DA4"/>
    <w:rsid w:val="006162E2"/>
    <w:rsid w:val="006165F8"/>
    <w:rsid w:val="00616D20"/>
    <w:rsid w:val="00616F01"/>
    <w:rsid w:val="006213EB"/>
    <w:rsid w:val="00622D24"/>
    <w:rsid w:val="0062335D"/>
    <w:rsid w:val="006233E3"/>
    <w:rsid w:val="00623A3B"/>
    <w:rsid w:val="00623CD8"/>
    <w:rsid w:val="0062419D"/>
    <w:rsid w:val="006246FE"/>
    <w:rsid w:val="00625032"/>
    <w:rsid w:val="006257E1"/>
    <w:rsid w:val="0062639C"/>
    <w:rsid w:val="00626723"/>
    <w:rsid w:val="0062696F"/>
    <w:rsid w:val="00626CA2"/>
    <w:rsid w:val="00626DB4"/>
    <w:rsid w:val="00630230"/>
    <w:rsid w:val="0063094B"/>
    <w:rsid w:val="00630EB5"/>
    <w:rsid w:val="006315BC"/>
    <w:rsid w:val="00631ACE"/>
    <w:rsid w:val="006323D0"/>
    <w:rsid w:val="00632B60"/>
    <w:rsid w:val="00632DF3"/>
    <w:rsid w:val="00634417"/>
    <w:rsid w:val="00634623"/>
    <w:rsid w:val="006348C8"/>
    <w:rsid w:val="00634F41"/>
    <w:rsid w:val="006352BC"/>
    <w:rsid w:val="006354C4"/>
    <w:rsid w:val="006355D5"/>
    <w:rsid w:val="00636B1E"/>
    <w:rsid w:val="00636BDB"/>
    <w:rsid w:val="00636DAA"/>
    <w:rsid w:val="00640576"/>
    <w:rsid w:val="00640CCE"/>
    <w:rsid w:val="00641828"/>
    <w:rsid w:val="00641F1F"/>
    <w:rsid w:val="00641F5B"/>
    <w:rsid w:val="00643681"/>
    <w:rsid w:val="00643738"/>
    <w:rsid w:val="00645646"/>
    <w:rsid w:val="006462D0"/>
    <w:rsid w:val="00650006"/>
    <w:rsid w:val="0065226A"/>
    <w:rsid w:val="00652AD1"/>
    <w:rsid w:val="00652B90"/>
    <w:rsid w:val="00653929"/>
    <w:rsid w:val="00653DDD"/>
    <w:rsid w:val="00653E63"/>
    <w:rsid w:val="0065447E"/>
    <w:rsid w:val="00654686"/>
    <w:rsid w:val="00655472"/>
    <w:rsid w:val="0065711A"/>
    <w:rsid w:val="00657B8B"/>
    <w:rsid w:val="0066064A"/>
    <w:rsid w:val="006607EA"/>
    <w:rsid w:val="00660E24"/>
    <w:rsid w:val="006612DE"/>
    <w:rsid w:val="006615ED"/>
    <w:rsid w:val="0066228D"/>
    <w:rsid w:val="00662BD2"/>
    <w:rsid w:val="0066312D"/>
    <w:rsid w:val="00663BCF"/>
    <w:rsid w:val="00663DD4"/>
    <w:rsid w:val="0066406C"/>
    <w:rsid w:val="00664679"/>
    <w:rsid w:val="0066520C"/>
    <w:rsid w:val="0066524A"/>
    <w:rsid w:val="00665336"/>
    <w:rsid w:val="0066729A"/>
    <w:rsid w:val="00670257"/>
    <w:rsid w:val="00670711"/>
    <w:rsid w:val="00670775"/>
    <w:rsid w:val="006710A7"/>
    <w:rsid w:val="006717D6"/>
    <w:rsid w:val="0067211B"/>
    <w:rsid w:val="00672FC8"/>
    <w:rsid w:val="00673EB6"/>
    <w:rsid w:val="00674B6B"/>
    <w:rsid w:val="00675469"/>
    <w:rsid w:val="006758B3"/>
    <w:rsid w:val="00675989"/>
    <w:rsid w:val="00675E45"/>
    <w:rsid w:val="00677F91"/>
    <w:rsid w:val="00680349"/>
    <w:rsid w:val="0068086A"/>
    <w:rsid w:val="006814A5"/>
    <w:rsid w:val="00681E50"/>
    <w:rsid w:val="00682A0B"/>
    <w:rsid w:val="00682E5B"/>
    <w:rsid w:val="00683160"/>
    <w:rsid w:val="00683FE8"/>
    <w:rsid w:val="006841D0"/>
    <w:rsid w:val="00684451"/>
    <w:rsid w:val="00685EFA"/>
    <w:rsid w:val="00687057"/>
    <w:rsid w:val="0069055B"/>
    <w:rsid w:val="0069070A"/>
    <w:rsid w:val="00691664"/>
    <w:rsid w:val="00691BB1"/>
    <w:rsid w:val="006935C4"/>
    <w:rsid w:val="00693F58"/>
    <w:rsid w:val="00695B4C"/>
    <w:rsid w:val="006967FD"/>
    <w:rsid w:val="00696ADF"/>
    <w:rsid w:val="00697512"/>
    <w:rsid w:val="00697D47"/>
    <w:rsid w:val="00697ED2"/>
    <w:rsid w:val="00697FB5"/>
    <w:rsid w:val="006A06AA"/>
    <w:rsid w:val="006A08F2"/>
    <w:rsid w:val="006A1A47"/>
    <w:rsid w:val="006A1BEE"/>
    <w:rsid w:val="006A2E09"/>
    <w:rsid w:val="006A326C"/>
    <w:rsid w:val="006A3EB6"/>
    <w:rsid w:val="006A4AB3"/>
    <w:rsid w:val="006A4F62"/>
    <w:rsid w:val="006A54DE"/>
    <w:rsid w:val="006A5ABF"/>
    <w:rsid w:val="006A63A7"/>
    <w:rsid w:val="006A68FB"/>
    <w:rsid w:val="006A6FC5"/>
    <w:rsid w:val="006A7095"/>
    <w:rsid w:val="006A7415"/>
    <w:rsid w:val="006A748F"/>
    <w:rsid w:val="006A7FA7"/>
    <w:rsid w:val="006B04A5"/>
    <w:rsid w:val="006B05E4"/>
    <w:rsid w:val="006B28B7"/>
    <w:rsid w:val="006B34AD"/>
    <w:rsid w:val="006B371E"/>
    <w:rsid w:val="006B3A3A"/>
    <w:rsid w:val="006B3A6A"/>
    <w:rsid w:val="006B3CD5"/>
    <w:rsid w:val="006B4D93"/>
    <w:rsid w:val="006B5EB5"/>
    <w:rsid w:val="006B671B"/>
    <w:rsid w:val="006B7DF3"/>
    <w:rsid w:val="006C11D4"/>
    <w:rsid w:val="006C1E3E"/>
    <w:rsid w:val="006C27C9"/>
    <w:rsid w:val="006C280F"/>
    <w:rsid w:val="006C28BC"/>
    <w:rsid w:val="006C2D87"/>
    <w:rsid w:val="006C4A1D"/>
    <w:rsid w:val="006C4D8C"/>
    <w:rsid w:val="006C580C"/>
    <w:rsid w:val="006C5ECB"/>
    <w:rsid w:val="006C6C29"/>
    <w:rsid w:val="006C7EDC"/>
    <w:rsid w:val="006D0810"/>
    <w:rsid w:val="006D0D9D"/>
    <w:rsid w:val="006D1696"/>
    <w:rsid w:val="006D1DDE"/>
    <w:rsid w:val="006D1E64"/>
    <w:rsid w:val="006D1F4F"/>
    <w:rsid w:val="006D245D"/>
    <w:rsid w:val="006D2C70"/>
    <w:rsid w:val="006D3560"/>
    <w:rsid w:val="006D36A1"/>
    <w:rsid w:val="006D65E8"/>
    <w:rsid w:val="006D7074"/>
    <w:rsid w:val="006E0950"/>
    <w:rsid w:val="006E0E14"/>
    <w:rsid w:val="006E1A19"/>
    <w:rsid w:val="006E2297"/>
    <w:rsid w:val="006E2355"/>
    <w:rsid w:val="006E243A"/>
    <w:rsid w:val="006E31F7"/>
    <w:rsid w:val="006E38A9"/>
    <w:rsid w:val="006E39C2"/>
    <w:rsid w:val="006E3B14"/>
    <w:rsid w:val="006E3B72"/>
    <w:rsid w:val="006E4516"/>
    <w:rsid w:val="006E6611"/>
    <w:rsid w:val="006E6AD0"/>
    <w:rsid w:val="006F1273"/>
    <w:rsid w:val="006F23EF"/>
    <w:rsid w:val="006F2671"/>
    <w:rsid w:val="006F2AAA"/>
    <w:rsid w:val="006F2F6C"/>
    <w:rsid w:val="006F3827"/>
    <w:rsid w:val="006F3C99"/>
    <w:rsid w:val="006F418B"/>
    <w:rsid w:val="006F4FEA"/>
    <w:rsid w:val="006F5B36"/>
    <w:rsid w:val="006F5EDA"/>
    <w:rsid w:val="006F728C"/>
    <w:rsid w:val="006F74BC"/>
    <w:rsid w:val="006F7643"/>
    <w:rsid w:val="006F7D55"/>
    <w:rsid w:val="006F7E69"/>
    <w:rsid w:val="007001A8"/>
    <w:rsid w:val="00700357"/>
    <w:rsid w:val="007006D0"/>
    <w:rsid w:val="00701189"/>
    <w:rsid w:val="007013AC"/>
    <w:rsid w:val="00701E40"/>
    <w:rsid w:val="007020C8"/>
    <w:rsid w:val="00702311"/>
    <w:rsid w:val="0070325A"/>
    <w:rsid w:val="0070562C"/>
    <w:rsid w:val="00705EAE"/>
    <w:rsid w:val="007064B9"/>
    <w:rsid w:val="007068FC"/>
    <w:rsid w:val="00706EA1"/>
    <w:rsid w:val="0070745B"/>
    <w:rsid w:val="00707D58"/>
    <w:rsid w:val="00707E37"/>
    <w:rsid w:val="00711A7C"/>
    <w:rsid w:val="00711E34"/>
    <w:rsid w:val="007125DA"/>
    <w:rsid w:val="00712973"/>
    <w:rsid w:val="00713A14"/>
    <w:rsid w:val="00713A3C"/>
    <w:rsid w:val="007149FB"/>
    <w:rsid w:val="00715163"/>
    <w:rsid w:val="00715B39"/>
    <w:rsid w:val="007165D4"/>
    <w:rsid w:val="0071715E"/>
    <w:rsid w:val="0072006A"/>
    <w:rsid w:val="007201A9"/>
    <w:rsid w:val="00720A03"/>
    <w:rsid w:val="0072133E"/>
    <w:rsid w:val="0072142F"/>
    <w:rsid w:val="0072164C"/>
    <w:rsid w:val="00721D56"/>
    <w:rsid w:val="00722E5A"/>
    <w:rsid w:val="007234F7"/>
    <w:rsid w:val="007236BA"/>
    <w:rsid w:val="00723A5E"/>
    <w:rsid w:val="00724B8A"/>
    <w:rsid w:val="00724FF8"/>
    <w:rsid w:val="00725D35"/>
    <w:rsid w:val="00726523"/>
    <w:rsid w:val="00726F55"/>
    <w:rsid w:val="007272A1"/>
    <w:rsid w:val="00727A15"/>
    <w:rsid w:val="00730F2D"/>
    <w:rsid w:val="00731341"/>
    <w:rsid w:val="00731805"/>
    <w:rsid w:val="00732252"/>
    <w:rsid w:val="00732756"/>
    <w:rsid w:val="00733ABD"/>
    <w:rsid w:val="00733E7A"/>
    <w:rsid w:val="007341AA"/>
    <w:rsid w:val="007343D0"/>
    <w:rsid w:val="00734D16"/>
    <w:rsid w:val="00735151"/>
    <w:rsid w:val="007358B3"/>
    <w:rsid w:val="00735C5C"/>
    <w:rsid w:val="007360A3"/>
    <w:rsid w:val="007367AF"/>
    <w:rsid w:val="00736B16"/>
    <w:rsid w:val="00737B92"/>
    <w:rsid w:val="00740608"/>
    <w:rsid w:val="00742566"/>
    <w:rsid w:val="007426B7"/>
    <w:rsid w:val="00742F14"/>
    <w:rsid w:val="00743630"/>
    <w:rsid w:val="00744301"/>
    <w:rsid w:val="00744EAC"/>
    <w:rsid w:val="007451BA"/>
    <w:rsid w:val="00745A77"/>
    <w:rsid w:val="00746F38"/>
    <w:rsid w:val="00747056"/>
    <w:rsid w:val="00751995"/>
    <w:rsid w:val="00751DE1"/>
    <w:rsid w:val="00752903"/>
    <w:rsid w:val="00752C97"/>
    <w:rsid w:val="0075358F"/>
    <w:rsid w:val="007539C1"/>
    <w:rsid w:val="00754020"/>
    <w:rsid w:val="00754864"/>
    <w:rsid w:val="0075486F"/>
    <w:rsid w:val="00754970"/>
    <w:rsid w:val="00755699"/>
    <w:rsid w:val="00755962"/>
    <w:rsid w:val="00755C27"/>
    <w:rsid w:val="007565DA"/>
    <w:rsid w:val="007565F2"/>
    <w:rsid w:val="007567DB"/>
    <w:rsid w:val="00756C3A"/>
    <w:rsid w:val="00756F3E"/>
    <w:rsid w:val="0075712E"/>
    <w:rsid w:val="0076079E"/>
    <w:rsid w:val="00760EFC"/>
    <w:rsid w:val="00761A58"/>
    <w:rsid w:val="007620E6"/>
    <w:rsid w:val="007629CC"/>
    <w:rsid w:val="00762BE4"/>
    <w:rsid w:val="007634B0"/>
    <w:rsid w:val="00763A1F"/>
    <w:rsid w:val="0076503E"/>
    <w:rsid w:val="00765C4B"/>
    <w:rsid w:val="0076635D"/>
    <w:rsid w:val="007675CF"/>
    <w:rsid w:val="00767E38"/>
    <w:rsid w:val="00767F47"/>
    <w:rsid w:val="00767F6A"/>
    <w:rsid w:val="00770043"/>
    <w:rsid w:val="00770B0B"/>
    <w:rsid w:val="00771827"/>
    <w:rsid w:val="00771B7E"/>
    <w:rsid w:val="007726E3"/>
    <w:rsid w:val="00773125"/>
    <w:rsid w:val="00773779"/>
    <w:rsid w:val="00774A63"/>
    <w:rsid w:val="00775A48"/>
    <w:rsid w:val="00775B5E"/>
    <w:rsid w:val="00775C33"/>
    <w:rsid w:val="00775FCB"/>
    <w:rsid w:val="0077624F"/>
    <w:rsid w:val="00776287"/>
    <w:rsid w:val="00776C7D"/>
    <w:rsid w:val="007772F1"/>
    <w:rsid w:val="007773FC"/>
    <w:rsid w:val="00777966"/>
    <w:rsid w:val="00777FD7"/>
    <w:rsid w:val="00780CE7"/>
    <w:rsid w:val="00780F33"/>
    <w:rsid w:val="00782071"/>
    <w:rsid w:val="00782494"/>
    <w:rsid w:val="00782D0E"/>
    <w:rsid w:val="00783364"/>
    <w:rsid w:val="0078463C"/>
    <w:rsid w:val="00784C94"/>
    <w:rsid w:val="00785477"/>
    <w:rsid w:val="0078595C"/>
    <w:rsid w:val="00785EC2"/>
    <w:rsid w:val="0078658D"/>
    <w:rsid w:val="00786A4C"/>
    <w:rsid w:val="0078700C"/>
    <w:rsid w:val="007877C3"/>
    <w:rsid w:val="00787FF7"/>
    <w:rsid w:val="0079106B"/>
    <w:rsid w:val="007910CC"/>
    <w:rsid w:val="00791680"/>
    <w:rsid w:val="00791940"/>
    <w:rsid w:val="00791B51"/>
    <w:rsid w:val="00791D79"/>
    <w:rsid w:val="00791EDE"/>
    <w:rsid w:val="00792184"/>
    <w:rsid w:val="00792422"/>
    <w:rsid w:val="00792543"/>
    <w:rsid w:val="00794020"/>
    <w:rsid w:val="00794193"/>
    <w:rsid w:val="007943DC"/>
    <w:rsid w:val="00794A60"/>
    <w:rsid w:val="007951E0"/>
    <w:rsid w:val="00795276"/>
    <w:rsid w:val="0079679C"/>
    <w:rsid w:val="007A025B"/>
    <w:rsid w:val="007A0BDA"/>
    <w:rsid w:val="007A1144"/>
    <w:rsid w:val="007A3A98"/>
    <w:rsid w:val="007A3E27"/>
    <w:rsid w:val="007A43B8"/>
    <w:rsid w:val="007A4C10"/>
    <w:rsid w:val="007A57DE"/>
    <w:rsid w:val="007A68B9"/>
    <w:rsid w:val="007B06B2"/>
    <w:rsid w:val="007B0920"/>
    <w:rsid w:val="007B0E2F"/>
    <w:rsid w:val="007B0E62"/>
    <w:rsid w:val="007B10D4"/>
    <w:rsid w:val="007B168B"/>
    <w:rsid w:val="007B1CD3"/>
    <w:rsid w:val="007B1DC6"/>
    <w:rsid w:val="007B28F7"/>
    <w:rsid w:val="007B34AE"/>
    <w:rsid w:val="007B366F"/>
    <w:rsid w:val="007B3A66"/>
    <w:rsid w:val="007B3CC1"/>
    <w:rsid w:val="007B41D9"/>
    <w:rsid w:val="007B43F1"/>
    <w:rsid w:val="007B57C1"/>
    <w:rsid w:val="007B6440"/>
    <w:rsid w:val="007B7B48"/>
    <w:rsid w:val="007C02C7"/>
    <w:rsid w:val="007C0347"/>
    <w:rsid w:val="007C052C"/>
    <w:rsid w:val="007C1D6C"/>
    <w:rsid w:val="007C2253"/>
    <w:rsid w:val="007C283F"/>
    <w:rsid w:val="007C366E"/>
    <w:rsid w:val="007C3A18"/>
    <w:rsid w:val="007C3F48"/>
    <w:rsid w:val="007C4B24"/>
    <w:rsid w:val="007C4E8A"/>
    <w:rsid w:val="007C531A"/>
    <w:rsid w:val="007C6413"/>
    <w:rsid w:val="007C7920"/>
    <w:rsid w:val="007D0BB5"/>
    <w:rsid w:val="007D1129"/>
    <w:rsid w:val="007D1133"/>
    <w:rsid w:val="007D1D42"/>
    <w:rsid w:val="007D25E7"/>
    <w:rsid w:val="007D36A7"/>
    <w:rsid w:val="007D376B"/>
    <w:rsid w:val="007D471A"/>
    <w:rsid w:val="007D4B3B"/>
    <w:rsid w:val="007D4F03"/>
    <w:rsid w:val="007D51F6"/>
    <w:rsid w:val="007D630C"/>
    <w:rsid w:val="007D70D4"/>
    <w:rsid w:val="007D7B0A"/>
    <w:rsid w:val="007E0BB4"/>
    <w:rsid w:val="007E0ED4"/>
    <w:rsid w:val="007E202E"/>
    <w:rsid w:val="007E2090"/>
    <w:rsid w:val="007E22C4"/>
    <w:rsid w:val="007E42F5"/>
    <w:rsid w:val="007E4585"/>
    <w:rsid w:val="007E6DCE"/>
    <w:rsid w:val="007E7227"/>
    <w:rsid w:val="007E7859"/>
    <w:rsid w:val="007E79B9"/>
    <w:rsid w:val="007E7E65"/>
    <w:rsid w:val="007F0752"/>
    <w:rsid w:val="007F0B86"/>
    <w:rsid w:val="007F1D94"/>
    <w:rsid w:val="007F26A4"/>
    <w:rsid w:val="007F38A3"/>
    <w:rsid w:val="007F3DB0"/>
    <w:rsid w:val="007F3E8E"/>
    <w:rsid w:val="007F4BB0"/>
    <w:rsid w:val="007F505B"/>
    <w:rsid w:val="007F64CC"/>
    <w:rsid w:val="007F6A9E"/>
    <w:rsid w:val="007F7039"/>
    <w:rsid w:val="007F7B1A"/>
    <w:rsid w:val="007F7D0C"/>
    <w:rsid w:val="007F7FF2"/>
    <w:rsid w:val="0080013A"/>
    <w:rsid w:val="00800CA8"/>
    <w:rsid w:val="00800E56"/>
    <w:rsid w:val="008019DB"/>
    <w:rsid w:val="00802459"/>
    <w:rsid w:val="00802BAB"/>
    <w:rsid w:val="008032D3"/>
    <w:rsid w:val="00803581"/>
    <w:rsid w:val="00803D59"/>
    <w:rsid w:val="008041C7"/>
    <w:rsid w:val="00805A6C"/>
    <w:rsid w:val="00805BCD"/>
    <w:rsid w:val="00805EB9"/>
    <w:rsid w:val="00806B25"/>
    <w:rsid w:val="00806B2E"/>
    <w:rsid w:val="00806CE5"/>
    <w:rsid w:val="00806E6D"/>
    <w:rsid w:val="00807A0D"/>
    <w:rsid w:val="00810218"/>
    <w:rsid w:val="0081027F"/>
    <w:rsid w:val="00811045"/>
    <w:rsid w:val="00811681"/>
    <w:rsid w:val="00812350"/>
    <w:rsid w:val="008130BF"/>
    <w:rsid w:val="00813928"/>
    <w:rsid w:val="008146B4"/>
    <w:rsid w:val="00816282"/>
    <w:rsid w:val="00816AF1"/>
    <w:rsid w:val="00816DB8"/>
    <w:rsid w:val="00816E35"/>
    <w:rsid w:val="008170AA"/>
    <w:rsid w:val="008203DD"/>
    <w:rsid w:val="00820F6F"/>
    <w:rsid w:val="00821B52"/>
    <w:rsid w:val="0082336B"/>
    <w:rsid w:val="00823A93"/>
    <w:rsid w:val="00824A81"/>
    <w:rsid w:val="00824E80"/>
    <w:rsid w:val="00824E8E"/>
    <w:rsid w:val="00824F11"/>
    <w:rsid w:val="00824FC2"/>
    <w:rsid w:val="0082501D"/>
    <w:rsid w:val="0082509D"/>
    <w:rsid w:val="00825251"/>
    <w:rsid w:val="00825649"/>
    <w:rsid w:val="00825895"/>
    <w:rsid w:val="008258A9"/>
    <w:rsid w:val="00825A28"/>
    <w:rsid w:val="00825F60"/>
    <w:rsid w:val="00826E1B"/>
    <w:rsid w:val="00826E45"/>
    <w:rsid w:val="00826F0E"/>
    <w:rsid w:val="00830023"/>
    <w:rsid w:val="00830D5F"/>
    <w:rsid w:val="00831031"/>
    <w:rsid w:val="008316D9"/>
    <w:rsid w:val="00831A49"/>
    <w:rsid w:val="008323A7"/>
    <w:rsid w:val="00832468"/>
    <w:rsid w:val="00832C78"/>
    <w:rsid w:val="00832DEC"/>
    <w:rsid w:val="0083308D"/>
    <w:rsid w:val="008330D9"/>
    <w:rsid w:val="00833461"/>
    <w:rsid w:val="00833605"/>
    <w:rsid w:val="00834261"/>
    <w:rsid w:val="00834B25"/>
    <w:rsid w:val="00834DEF"/>
    <w:rsid w:val="00835DE6"/>
    <w:rsid w:val="00836296"/>
    <w:rsid w:val="00836661"/>
    <w:rsid w:val="00837248"/>
    <w:rsid w:val="00837287"/>
    <w:rsid w:val="00837392"/>
    <w:rsid w:val="008376D3"/>
    <w:rsid w:val="00841F18"/>
    <w:rsid w:val="00843384"/>
    <w:rsid w:val="00845222"/>
    <w:rsid w:val="00845BBB"/>
    <w:rsid w:val="008461E9"/>
    <w:rsid w:val="00846F76"/>
    <w:rsid w:val="008476FC"/>
    <w:rsid w:val="00847A09"/>
    <w:rsid w:val="00851354"/>
    <w:rsid w:val="00851617"/>
    <w:rsid w:val="00851D63"/>
    <w:rsid w:val="0085244D"/>
    <w:rsid w:val="00852914"/>
    <w:rsid w:val="0085342C"/>
    <w:rsid w:val="008556ED"/>
    <w:rsid w:val="00855C2C"/>
    <w:rsid w:val="00855FCF"/>
    <w:rsid w:val="00856287"/>
    <w:rsid w:val="008573D9"/>
    <w:rsid w:val="008579D9"/>
    <w:rsid w:val="00857FE0"/>
    <w:rsid w:val="00860159"/>
    <w:rsid w:val="008605CD"/>
    <w:rsid w:val="00860AD5"/>
    <w:rsid w:val="00860B36"/>
    <w:rsid w:val="008610A1"/>
    <w:rsid w:val="0086111F"/>
    <w:rsid w:val="008616A4"/>
    <w:rsid w:val="00861D5F"/>
    <w:rsid w:val="008632A9"/>
    <w:rsid w:val="00863314"/>
    <w:rsid w:val="008633FC"/>
    <w:rsid w:val="00863AFB"/>
    <w:rsid w:val="008653D6"/>
    <w:rsid w:val="008656FD"/>
    <w:rsid w:val="00866605"/>
    <w:rsid w:val="00866D71"/>
    <w:rsid w:val="008701B1"/>
    <w:rsid w:val="0087038B"/>
    <w:rsid w:val="0087082A"/>
    <w:rsid w:val="008708BF"/>
    <w:rsid w:val="00870AFD"/>
    <w:rsid w:val="008714CA"/>
    <w:rsid w:val="00871728"/>
    <w:rsid w:val="00871F8B"/>
    <w:rsid w:val="00871FDC"/>
    <w:rsid w:val="0087228A"/>
    <w:rsid w:val="0087283F"/>
    <w:rsid w:val="00872DB5"/>
    <w:rsid w:val="00874C47"/>
    <w:rsid w:val="00875F7E"/>
    <w:rsid w:val="008765AB"/>
    <w:rsid w:val="0087708A"/>
    <w:rsid w:val="0087732D"/>
    <w:rsid w:val="00877536"/>
    <w:rsid w:val="00877D1F"/>
    <w:rsid w:val="00880908"/>
    <w:rsid w:val="008812CB"/>
    <w:rsid w:val="00881CA6"/>
    <w:rsid w:val="00881F1E"/>
    <w:rsid w:val="00882429"/>
    <w:rsid w:val="00882D38"/>
    <w:rsid w:val="0088372C"/>
    <w:rsid w:val="00883791"/>
    <w:rsid w:val="0088415C"/>
    <w:rsid w:val="008849CF"/>
    <w:rsid w:val="00885790"/>
    <w:rsid w:val="00886B5E"/>
    <w:rsid w:val="008879FD"/>
    <w:rsid w:val="00887C7D"/>
    <w:rsid w:val="00890125"/>
    <w:rsid w:val="00890993"/>
    <w:rsid w:val="00890E21"/>
    <w:rsid w:val="00890E32"/>
    <w:rsid w:val="0089131E"/>
    <w:rsid w:val="0089204A"/>
    <w:rsid w:val="00892177"/>
    <w:rsid w:val="008922CD"/>
    <w:rsid w:val="008926B6"/>
    <w:rsid w:val="00892977"/>
    <w:rsid w:val="0089389B"/>
    <w:rsid w:val="00893B8F"/>
    <w:rsid w:val="008941D7"/>
    <w:rsid w:val="00894A76"/>
    <w:rsid w:val="00895160"/>
    <w:rsid w:val="00895271"/>
    <w:rsid w:val="00895C56"/>
    <w:rsid w:val="00896D0C"/>
    <w:rsid w:val="00896E25"/>
    <w:rsid w:val="00896E99"/>
    <w:rsid w:val="00897A62"/>
    <w:rsid w:val="00897DCD"/>
    <w:rsid w:val="008A0A2E"/>
    <w:rsid w:val="008A10D2"/>
    <w:rsid w:val="008A1E31"/>
    <w:rsid w:val="008A288F"/>
    <w:rsid w:val="008A2A2E"/>
    <w:rsid w:val="008A37F2"/>
    <w:rsid w:val="008A4C87"/>
    <w:rsid w:val="008A5CCA"/>
    <w:rsid w:val="008A6507"/>
    <w:rsid w:val="008A6848"/>
    <w:rsid w:val="008A747E"/>
    <w:rsid w:val="008A74E2"/>
    <w:rsid w:val="008A75A9"/>
    <w:rsid w:val="008A770B"/>
    <w:rsid w:val="008B00D7"/>
    <w:rsid w:val="008B0C96"/>
    <w:rsid w:val="008B0EDC"/>
    <w:rsid w:val="008B17E9"/>
    <w:rsid w:val="008B1DFB"/>
    <w:rsid w:val="008B22B8"/>
    <w:rsid w:val="008B4593"/>
    <w:rsid w:val="008B4C86"/>
    <w:rsid w:val="008B70FF"/>
    <w:rsid w:val="008B77F0"/>
    <w:rsid w:val="008B78AE"/>
    <w:rsid w:val="008B7C72"/>
    <w:rsid w:val="008C0219"/>
    <w:rsid w:val="008C234E"/>
    <w:rsid w:val="008C2815"/>
    <w:rsid w:val="008C2D78"/>
    <w:rsid w:val="008C2D88"/>
    <w:rsid w:val="008C3931"/>
    <w:rsid w:val="008C442A"/>
    <w:rsid w:val="008C4996"/>
    <w:rsid w:val="008C4B8E"/>
    <w:rsid w:val="008C4D35"/>
    <w:rsid w:val="008C5CC5"/>
    <w:rsid w:val="008C62C7"/>
    <w:rsid w:val="008C691D"/>
    <w:rsid w:val="008C6C25"/>
    <w:rsid w:val="008C6E44"/>
    <w:rsid w:val="008D0110"/>
    <w:rsid w:val="008D0FED"/>
    <w:rsid w:val="008D111A"/>
    <w:rsid w:val="008D1576"/>
    <w:rsid w:val="008D1AFA"/>
    <w:rsid w:val="008D1C77"/>
    <w:rsid w:val="008D1CAC"/>
    <w:rsid w:val="008D28D5"/>
    <w:rsid w:val="008D3032"/>
    <w:rsid w:val="008D3D46"/>
    <w:rsid w:val="008D548A"/>
    <w:rsid w:val="008D5DCB"/>
    <w:rsid w:val="008D6732"/>
    <w:rsid w:val="008D6F12"/>
    <w:rsid w:val="008D73D2"/>
    <w:rsid w:val="008D77E5"/>
    <w:rsid w:val="008E054F"/>
    <w:rsid w:val="008E0674"/>
    <w:rsid w:val="008E0F4C"/>
    <w:rsid w:val="008E178C"/>
    <w:rsid w:val="008E2BF4"/>
    <w:rsid w:val="008E3225"/>
    <w:rsid w:val="008E506E"/>
    <w:rsid w:val="008E5612"/>
    <w:rsid w:val="008E5E03"/>
    <w:rsid w:val="008E622B"/>
    <w:rsid w:val="008E6374"/>
    <w:rsid w:val="008E65AC"/>
    <w:rsid w:val="008E697F"/>
    <w:rsid w:val="008E7155"/>
    <w:rsid w:val="008E71EB"/>
    <w:rsid w:val="008F024A"/>
    <w:rsid w:val="008F038E"/>
    <w:rsid w:val="008F122F"/>
    <w:rsid w:val="008F1CC7"/>
    <w:rsid w:val="008F1E52"/>
    <w:rsid w:val="008F21FA"/>
    <w:rsid w:val="008F31A6"/>
    <w:rsid w:val="008F33D9"/>
    <w:rsid w:val="008F3A18"/>
    <w:rsid w:val="008F42CD"/>
    <w:rsid w:val="008F5FFD"/>
    <w:rsid w:val="008F6B8F"/>
    <w:rsid w:val="008F7800"/>
    <w:rsid w:val="0090003F"/>
    <w:rsid w:val="00900594"/>
    <w:rsid w:val="00900FAC"/>
    <w:rsid w:val="00901385"/>
    <w:rsid w:val="00901E27"/>
    <w:rsid w:val="00902020"/>
    <w:rsid w:val="00902662"/>
    <w:rsid w:val="0090299D"/>
    <w:rsid w:val="009030BA"/>
    <w:rsid w:val="00903835"/>
    <w:rsid w:val="00904083"/>
    <w:rsid w:val="0090446A"/>
    <w:rsid w:val="00906C64"/>
    <w:rsid w:val="009077F3"/>
    <w:rsid w:val="00910435"/>
    <w:rsid w:val="009118DF"/>
    <w:rsid w:val="00911B9C"/>
    <w:rsid w:val="00911C46"/>
    <w:rsid w:val="00913756"/>
    <w:rsid w:val="00914D5D"/>
    <w:rsid w:val="009155E2"/>
    <w:rsid w:val="00915627"/>
    <w:rsid w:val="00915DA2"/>
    <w:rsid w:val="00915DD8"/>
    <w:rsid w:val="009175F9"/>
    <w:rsid w:val="009205C9"/>
    <w:rsid w:val="00920BD9"/>
    <w:rsid w:val="00921F8C"/>
    <w:rsid w:val="009226A7"/>
    <w:rsid w:val="00922CBB"/>
    <w:rsid w:val="009240B4"/>
    <w:rsid w:val="009248F7"/>
    <w:rsid w:val="009253E9"/>
    <w:rsid w:val="0092562F"/>
    <w:rsid w:val="00925AD8"/>
    <w:rsid w:val="009266A7"/>
    <w:rsid w:val="0092792D"/>
    <w:rsid w:val="00927B46"/>
    <w:rsid w:val="00927B96"/>
    <w:rsid w:val="00927D5E"/>
    <w:rsid w:val="00927DAB"/>
    <w:rsid w:val="0093060A"/>
    <w:rsid w:val="0093098E"/>
    <w:rsid w:val="0093174C"/>
    <w:rsid w:val="00932400"/>
    <w:rsid w:val="00932C40"/>
    <w:rsid w:val="009342D9"/>
    <w:rsid w:val="00934452"/>
    <w:rsid w:val="00934AE5"/>
    <w:rsid w:val="0093541A"/>
    <w:rsid w:val="00935748"/>
    <w:rsid w:val="00935C39"/>
    <w:rsid w:val="00936282"/>
    <w:rsid w:val="009408D0"/>
    <w:rsid w:val="00941417"/>
    <w:rsid w:val="00941426"/>
    <w:rsid w:val="00941E32"/>
    <w:rsid w:val="0094269E"/>
    <w:rsid w:val="009429B5"/>
    <w:rsid w:val="00943F4D"/>
    <w:rsid w:val="00944312"/>
    <w:rsid w:val="0094465F"/>
    <w:rsid w:val="009446C8"/>
    <w:rsid w:val="009446DE"/>
    <w:rsid w:val="00944796"/>
    <w:rsid w:val="00944A78"/>
    <w:rsid w:val="00945627"/>
    <w:rsid w:val="009458FC"/>
    <w:rsid w:val="009459B6"/>
    <w:rsid w:val="009469D1"/>
    <w:rsid w:val="00947CE7"/>
    <w:rsid w:val="00950034"/>
    <w:rsid w:val="009500ED"/>
    <w:rsid w:val="00950378"/>
    <w:rsid w:val="00951138"/>
    <w:rsid w:val="00951CA8"/>
    <w:rsid w:val="009535CC"/>
    <w:rsid w:val="009539FA"/>
    <w:rsid w:val="00953F9D"/>
    <w:rsid w:val="00954230"/>
    <w:rsid w:val="00954577"/>
    <w:rsid w:val="00954DF5"/>
    <w:rsid w:val="00955204"/>
    <w:rsid w:val="00957C30"/>
    <w:rsid w:val="0096076C"/>
    <w:rsid w:val="0096122F"/>
    <w:rsid w:val="0096209B"/>
    <w:rsid w:val="00962E99"/>
    <w:rsid w:val="0096386B"/>
    <w:rsid w:val="00964091"/>
    <w:rsid w:val="0096652E"/>
    <w:rsid w:val="00966BC9"/>
    <w:rsid w:val="0096781C"/>
    <w:rsid w:val="00967F4D"/>
    <w:rsid w:val="00967F9D"/>
    <w:rsid w:val="00970018"/>
    <w:rsid w:val="009701B0"/>
    <w:rsid w:val="009708E4"/>
    <w:rsid w:val="00970937"/>
    <w:rsid w:val="00970957"/>
    <w:rsid w:val="00970A58"/>
    <w:rsid w:val="00970B2D"/>
    <w:rsid w:val="009712A8"/>
    <w:rsid w:val="0097172E"/>
    <w:rsid w:val="00971989"/>
    <w:rsid w:val="009719BF"/>
    <w:rsid w:val="009723F0"/>
    <w:rsid w:val="00972E13"/>
    <w:rsid w:val="00972F42"/>
    <w:rsid w:val="009743B1"/>
    <w:rsid w:val="009775BA"/>
    <w:rsid w:val="009776A6"/>
    <w:rsid w:val="00977783"/>
    <w:rsid w:val="00980038"/>
    <w:rsid w:val="0098058B"/>
    <w:rsid w:val="00980844"/>
    <w:rsid w:val="00980949"/>
    <w:rsid w:val="00981009"/>
    <w:rsid w:val="0098111D"/>
    <w:rsid w:val="0098121B"/>
    <w:rsid w:val="00981821"/>
    <w:rsid w:val="00981B68"/>
    <w:rsid w:val="009820E7"/>
    <w:rsid w:val="00982386"/>
    <w:rsid w:val="009827D1"/>
    <w:rsid w:val="00982A50"/>
    <w:rsid w:val="0098335E"/>
    <w:rsid w:val="00984059"/>
    <w:rsid w:val="00985228"/>
    <w:rsid w:val="0098605E"/>
    <w:rsid w:val="00986E4D"/>
    <w:rsid w:val="00987350"/>
    <w:rsid w:val="009875F6"/>
    <w:rsid w:val="00987621"/>
    <w:rsid w:val="00987646"/>
    <w:rsid w:val="00987A7F"/>
    <w:rsid w:val="00987C77"/>
    <w:rsid w:val="00990966"/>
    <w:rsid w:val="00990ECA"/>
    <w:rsid w:val="0099124D"/>
    <w:rsid w:val="009916B4"/>
    <w:rsid w:val="009918CC"/>
    <w:rsid w:val="00991FD1"/>
    <w:rsid w:val="00992055"/>
    <w:rsid w:val="009920C6"/>
    <w:rsid w:val="00992127"/>
    <w:rsid w:val="0099230B"/>
    <w:rsid w:val="009929E4"/>
    <w:rsid w:val="0099428F"/>
    <w:rsid w:val="00994D8E"/>
    <w:rsid w:val="00995291"/>
    <w:rsid w:val="0099547A"/>
    <w:rsid w:val="00995554"/>
    <w:rsid w:val="00995BBF"/>
    <w:rsid w:val="00995D33"/>
    <w:rsid w:val="00996D8A"/>
    <w:rsid w:val="00997491"/>
    <w:rsid w:val="009A00AB"/>
    <w:rsid w:val="009A0AD6"/>
    <w:rsid w:val="009A14D9"/>
    <w:rsid w:val="009A2074"/>
    <w:rsid w:val="009A22C2"/>
    <w:rsid w:val="009A2837"/>
    <w:rsid w:val="009A2F38"/>
    <w:rsid w:val="009A3995"/>
    <w:rsid w:val="009A4367"/>
    <w:rsid w:val="009B09E3"/>
    <w:rsid w:val="009B180A"/>
    <w:rsid w:val="009B18FE"/>
    <w:rsid w:val="009B2391"/>
    <w:rsid w:val="009B3948"/>
    <w:rsid w:val="009B3A9D"/>
    <w:rsid w:val="009B417B"/>
    <w:rsid w:val="009B44E2"/>
    <w:rsid w:val="009B454D"/>
    <w:rsid w:val="009B4592"/>
    <w:rsid w:val="009B4AF6"/>
    <w:rsid w:val="009B4EB5"/>
    <w:rsid w:val="009B609E"/>
    <w:rsid w:val="009B665F"/>
    <w:rsid w:val="009B7386"/>
    <w:rsid w:val="009B794F"/>
    <w:rsid w:val="009B7CF5"/>
    <w:rsid w:val="009B7F23"/>
    <w:rsid w:val="009C0446"/>
    <w:rsid w:val="009C051F"/>
    <w:rsid w:val="009C083C"/>
    <w:rsid w:val="009C15B7"/>
    <w:rsid w:val="009C17A3"/>
    <w:rsid w:val="009C182B"/>
    <w:rsid w:val="009C1BBD"/>
    <w:rsid w:val="009C1F57"/>
    <w:rsid w:val="009C1FA4"/>
    <w:rsid w:val="009C2413"/>
    <w:rsid w:val="009C2A36"/>
    <w:rsid w:val="009C3052"/>
    <w:rsid w:val="009C3220"/>
    <w:rsid w:val="009C3240"/>
    <w:rsid w:val="009C35B5"/>
    <w:rsid w:val="009C36A7"/>
    <w:rsid w:val="009C3F73"/>
    <w:rsid w:val="009C4049"/>
    <w:rsid w:val="009C50EF"/>
    <w:rsid w:val="009C544E"/>
    <w:rsid w:val="009C5AD7"/>
    <w:rsid w:val="009C5AE5"/>
    <w:rsid w:val="009C5EB0"/>
    <w:rsid w:val="009C62BC"/>
    <w:rsid w:val="009C6720"/>
    <w:rsid w:val="009C6894"/>
    <w:rsid w:val="009C755B"/>
    <w:rsid w:val="009D0276"/>
    <w:rsid w:val="009D1809"/>
    <w:rsid w:val="009D2370"/>
    <w:rsid w:val="009D2BFA"/>
    <w:rsid w:val="009D38BA"/>
    <w:rsid w:val="009D3C90"/>
    <w:rsid w:val="009D43F1"/>
    <w:rsid w:val="009D47A1"/>
    <w:rsid w:val="009D597A"/>
    <w:rsid w:val="009D5E09"/>
    <w:rsid w:val="009D6000"/>
    <w:rsid w:val="009D694C"/>
    <w:rsid w:val="009D6B49"/>
    <w:rsid w:val="009D6D30"/>
    <w:rsid w:val="009D7473"/>
    <w:rsid w:val="009D75A5"/>
    <w:rsid w:val="009D7A0C"/>
    <w:rsid w:val="009D7D9D"/>
    <w:rsid w:val="009E0715"/>
    <w:rsid w:val="009E134D"/>
    <w:rsid w:val="009E337A"/>
    <w:rsid w:val="009E40BC"/>
    <w:rsid w:val="009E5B2D"/>
    <w:rsid w:val="009E6736"/>
    <w:rsid w:val="009F01D0"/>
    <w:rsid w:val="009F0680"/>
    <w:rsid w:val="009F1090"/>
    <w:rsid w:val="009F1438"/>
    <w:rsid w:val="009F1917"/>
    <w:rsid w:val="009F27E9"/>
    <w:rsid w:val="009F37FB"/>
    <w:rsid w:val="009F3D41"/>
    <w:rsid w:val="009F58BD"/>
    <w:rsid w:val="009F630D"/>
    <w:rsid w:val="009F6737"/>
    <w:rsid w:val="009F6878"/>
    <w:rsid w:val="009F68C2"/>
    <w:rsid w:val="009F6D6F"/>
    <w:rsid w:val="00A0076F"/>
    <w:rsid w:val="00A00894"/>
    <w:rsid w:val="00A01865"/>
    <w:rsid w:val="00A026B4"/>
    <w:rsid w:val="00A02CC9"/>
    <w:rsid w:val="00A02E06"/>
    <w:rsid w:val="00A02F1E"/>
    <w:rsid w:val="00A0411C"/>
    <w:rsid w:val="00A0458E"/>
    <w:rsid w:val="00A04660"/>
    <w:rsid w:val="00A048B7"/>
    <w:rsid w:val="00A04952"/>
    <w:rsid w:val="00A04EAB"/>
    <w:rsid w:val="00A051ED"/>
    <w:rsid w:val="00A05318"/>
    <w:rsid w:val="00A05605"/>
    <w:rsid w:val="00A06058"/>
    <w:rsid w:val="00A10591"/>
    <w:rsid w:val="00A10CA3"/>
    <w:rsid w:val="00A14A39"/>
    <w:rsid w:val="00A16121"/>
    <w:rsid w:val="00A16588"/>
    <w:rsid w:val="00A16980"/>
    <w:rsid w:val="00A17610"/>
    <w:rsid w:val="00A17702"/>
    <w:rsid w:val="00A177C6"/>
    <w:rsid w:val="00A17CC5"/>
    <w:rsid w:val="00A20762"/>
    <w:rsid w:val="00A20933"/>
    <w:rsid w:val="00A21D65"/>
    <w:rsid w:val="00A22108"/>
    <w:rsid w:val="00A2244D"/>
    <w:rsid w:val="00A23153"/>
    <w:rsid w:val="00A2328F"/>
    <w:rsid w:val="00A23654"/>
    <w:rsid w:val="00A24160"/>
    <w:rsid w:val="00A243CD"/>
    <w:rsid w:val="00A245D4"/>
    <w:rsid w:val="00A24A7C"/>
    <w:rsid w:val="00A24C09"/>
    <w:rsid w:val="00A252A4"/>
    <w:rsid w:val="00A260CC"/>
    <w:rsid w:val="00A2613B"/>
    <w:rsid w:val="00A262B1"/>
    <w:rsid w:val="00A26350"/>
    <w:rsid w:val="00A26FE8"/>
    <w:rsid w:val="00A27583"/>
    <w:rsid w:val="00A30B23"/>
    <w:rsid w:val="00A33B49"/>
    <w:rsid w:val="00A34A73"/>
    <w:rsid w:val="00A3540D"/>
    <w:rsid w:val="00A355CF"/>
    <w:rsid w:val="00A35E3A"/>
    <w:rsid w:val="00A36095"/>
    <w:rsid w:val="00A36B41"/>
    <w:rsid w:val="00A37555"/>
    <w:rsid w:val="00A37A8A"/>
    <w:rsid w:val="00A37C65"/>
    <w:rsid w:val="00A4014D"/>
    <w:rsid w:val="00A404F8"/>
    <w:rsid w:val="00A4052D"/>
    <w:rsid w:val="00A41316"/>
    <w:rsid w:val="00A41A09"/>
    <w:rsid w:val="00A41F05"/>
    <w:rsid w:val="00A422F1"/>
    <w:rsid w:val="00A43064"/>
    <w:rsid w:val="00A43258"/>
    <w:rsid w:val="00A44009"/>
    <w:rsid w:val="00A4401C"/>
    <w:rsid w:val="00A45F6B"/>
    <w:rsid w:val="00A461E6"/>
    <w:rsid w:val="00A461EF"/>
    <w:rsid w:val="00A478D0"/>
    <w:rsid w:val="00A47F45"/>
    <w:rsid w:val="00A50C5A"/>
    <w:rsid w:val="00A51AFD"/>
    <w:rsid w:val="00A51C13"/>
    <w:rsid w:val="00A52D69"/>
    <w:rsid w:val="00A538EE"/>
    <w:rsid w:val="00A543B4"/>
    <w:rsid w:val="00A544E2"/>
    <w:rsid w:val="00A55470"/>
    <w:rsid w:val="00A561E7"/>
    <w:rsid w:val="00A563A7"/>
    <w:rsid w:val="00A564A5"/>
    <w:rsid w:val="00A611A0"/>
    <w:rsid w:val="00A61F29"/>
    <w:rsid w:val="00A622CD"/>
    <w:rsid w:val="00A62C46"/>
    <w:rsid w:val="00A63631"/>
    <w:rsid w:val="00A63B02"/>
    <w:rsid w:val="00A64F62"/>
    <w:rsid w:val="00A64FE7"/>
    <w:rsid w:val="00A6547E"/>
    <w:rsid w:val="00A655E7"/>
    <w:rsid w:val="00A65CEC"/>
    <w:rsid w:val="00A6738D"/>
    <w:rsid w:val="00A67438"/>
    <w:rsid w:val="00A67CAE"/>
    <w:rsid w:val="00A70D48"/>
    <w:rsid w:val="00A710B3"/>
    <w:rsid w:val="00A717B8"/>
    <w:rsid w:val="00A71D59"/>
    <w:rsid w:val="00A72AF7"/>
    <w:rsid w:val="00A73895"/>
    <w:rsid w:val="00A73BBD"/>
    <w:rsid w:val="00A73C96"/>
    <w:rsid w:val="00A73E15"/>
    <w:rsid w:val="00A745A9"/>
    <w:rsid w:val="00A748DC"/>
    <w:rsid w:val="00A748E3"/>
    <w:rsid w:val="00A750ED"/>
    <w:rsid w:val="00A75275"/>
    <w:rsid w:val="00A75291"/>
    <w:rsid w:val="00A75300"/>
    <w:rsid w:val="00A754A1"/>
    <w:rsid w:val="00A7558E"/>
    <w:rsid w:val="00A75980"/>
    <w:rsid w:val="00A75C8A"/>
    <w:rsid w:val="00A75DAA"/>
    <w:rsid w:val="00A763C5"/>
    <w:rsid w:val="00A76E66"/>
    <w:rsid w:val="00A772EE"/>
    <w:rsid w:val="00A77526"/>
    <w:rsid w:val="00A7793E"/>
    <w:rsid w:val="00A80030"/>
    <w:rsid w:val="00A8069D"/>
    <w:rsid w:val="00A80B14"/>
    <w:rsid w:val="00A81C0B"/>
    <w:rsid w:val="00A81C95"/>
    <w:rsid w:val="00A81DBC"/>
    <w:rsid w:val="00A8211B"/>
    <w:rsid w:val="00A826AB"/>
    <w:rsid w:val="00A83170"/>
    <w:rsid w:val="00A83328"/>
    <w:rsid w:val="00A833E6"/>
    <w:rsid w:val="00A837CD"/>
    <w:rsid w:val="00A84E06"/>
    <w:rsid w:val="00A85280"/>
    <w:rsid w:val="00A87D15"/>
    <w:rsid w:val="00A90A5D"/>
    <w:rsid w:val="00A90BEF"/>
    <w:rsid w:val="00A913F7"/>
    <w:rsid w:val="00A915EA"/>
    <w:rsid w:val="00A94392"/>
    <w:rsid w:val="00A94A80"/>
    <w:rsid w:val="00A94ABB"/>
    <w:rsid w:val="00A95537"/>
    <w:rsid w:val="00A9593A"/>
    <w:rsid w:val="00A9606B"/>
    <w:rsid w:val="00A96624"/>
    <w:rsid w:val="00A96DA5"/>
    <w:rsid w:val="00A971F7"/>
    <w:rsid w:val="00A973F2"/>
    <w:rsid w:val="00A97446"/>
    <w:rsid w:val="00A9765E"/>
    <w:rsid w:val="00AA03E7"/>
    <w:rsid w:val="00AA2E21"/>
    <w:rsid w:val="00AA3258"/>
    <w:rsid w:val="00AA49E0"/>
    <w:rsid w:val="00AA504B"/>
    <w:rsid w:val="00AA5A23"/>
    <w:rsid w:val="00AA5AAE"/>
    <w:rsid w:val="00AA6694"/>
    <w:rsid w:val="00AA706D"/>
    <w:rsid w:val="00AA7367"/>
    <w:rsid w:val="00AB11BF"/>
    <w:rsid w:val="00AB2077"/>
    <w:rsid w:val="00AB2B54"/>
    <w:rsid w:val="00AB3247"/>
    <w:rsid w:val="00AB3FA0"/>
    <w:rsid w:val="00AB4158"/>
    <w:rsid w:val="00AB474A"/>
    <w:rsid w:val="00AB5046"/>
    <w:rsid w:val="00AB60BE"/>
    <w:rsid w:val="00AB6DF5"/>
    <w:rsid w:val="00AB7853"/>
    <w:rsid w:val="00AC0585"/>
    <w:rsid w:val="00AC2659"/>
    <w:rsid w:val="00AC26B3"/>
    <w:rsid w:val="00AC27CC"/>
    <w:rsid w:val="00AC3CEE"/>
    <w:rsid w:val="00AC3DE5"/>
    <w:rsid w:val="00AC4581"/>
    <w:rsid w:val="00AC49A1"/>
    <w:rsid w:val="00AC4A4F"/>
    <w:rsid w:val="00AC4DF7"/>
    <w:rsid w:val="00AC4E63"/>
    <w:rsid w:val="00AC5968"/>
    <w:rsid w:val="00AC6636"/>
    <w:rsid w:val="00AC674E"/>
    <w:rsid w:val="00AC6971"/>
    <w:rsid w:val="00AC6ACC"/>
    <w:rsid w:val="00AC6BDF"/>
    <w:rsid w:val="00AC733B"/>
    <w:rsid w:val="00AC7E90"/>
    <w:rsid w:val="00AD01C1"/>
    <w:rsid w:val="00AD0639"/>
    <w:rsid w:val="00AD06AD"/>
    <w:rsid w:val="00AD1D4C"/>
    <w:rsid w:val="00AD2D3D"/>
    <w:rsid w:val="00AD3233"/>
    <w:rsid w:val="00AD3807"/>
    <w:rsid w:val="00AD4B86"/>
    <w:rsid w:val="00AD4F07"/>
    <w:rsid w:val="00AD5BE2"/>
    <w:rsid w:val="00AD615B"/>
    <w:rsid w:val="00AD62D7"/>
    <w:rsid w:val="00AD63A0"/>
    <w:rsid w:val="00AD6FED"/>
    <w:rsid w:val="00AD76C1"/>
    <w:rsid w:val="00AD77AC"/>
    <w:rsid w:val="00AE0373"/>
    <w:rsid w:val="00AE0E65"/>
    <w:rsid w:val="00AE13DB"/>
    <w:rsid w:val="00AE17CF"/>
    <w:rsid w:val="00AE254F"/>
    <w:rsid w:val="00AE2568"/>
    <w:rsid w:val="00AE2962"/>
    <w:rsid w:val="00AE2AB1"/>
    <w:rsid w:val="00AE3A0E"/>
    <w:rsid w:val="00AE40B8"/>
    <w:rsid w:val="00AE4410"/>
    <w:rsid w:val="00AE45DA"/>
    <w:rsid w:val="00AE4650"/>
    <w:rsid w:val="00AE4B10"/>
    <w:rsid w:val="00AE4BB8"/>
    <w:rsid w:val="00AE4FC1"/>
    <w:rsid w:val="00AE5CB6"/>
    <w:rsid w:val="00AE5EBD"/>
    <w:rsid w:val="00AE61C6"/>
    <w:rsid w:val="00AE638D"/>
    <w:rsid w:val="00AE767F"/>
    <w:rsid w:val="00AE79E7"/>
    <w:rsid w:val="00AF0151"/>
    <w:rsid w:val="00AF09BF"/>
    <w:rsid w:val="00AF1463"/>
    <w:rsid w:val="00AF14C8"/>
    <w:rsid w:val="00AF162A"/>
    <w:rsid w:val="00AF36BA"/>
    <w:rsid w:val="00AF4B75"/>
    <w:rsid w:val="00AF50F1"/>
    <w:rsid w:val="00AF5144"/>
    <w:rsid w:val="00AF5C0E"/>
    <w:rsid w:val="00AF694C"/>
    <w:rsid w:val="00AF70F2"/>
    <w:rsid w:val="00AF7730"/>
    <w:rsid w:val="00B005B8"/>
    <w:rsid w:val="00B00F85"/>
    <w:rsid w:val="00B02B82"/>
    <w:rsid w:val="00B032F5"/>
    <w:rsid w:val="00B039CD"/>
    <w:rsid w:val="00B04AFF"/>
    <w:rsid w:val="00B05B18"/>
    <w:rsid w:val="00B06BB3"/>
    <w:rsid w:val="00B118CB"/>
    <w:rsid w:val="00B118CD"/>
    <w:rsid w:val="00B12F85"/>
    <w:rsid w:val="00B13C08"/>
    <w:rsid w:val="00B14B97"/>
    <w:rsid w:val="00B15156"/>
    <w:rsid w:val="00B15835"/>
    <w:rsid w:val="00B1599A"/>
    <w:rsid w:val="00B16811"/>
    <w:rsid w:val="00B16C69"/>
    <w:rsid w:val="00B17029"/>
    <w:rsid w:val="00B17563"/>
    <w:rsid w:val="00B17995"/>
    <w:rsid w:val="00B17C45"/>
    <w:rsid w:val="00B215C1"/>
    <w:rsid w:val="00B22529"/>
    <w:rsid w:val="00B22899"/>
    <w:rsid w:val="00B22BAD"/>
    <w:rsid w:val="00B22FCF"/>
    <w:rsid w:val="00B2355B"/>
    <w:rsid w:val="00B235DC"/>
    <w:rsid w:val="00B24C3F"/>
    <w:rsid w:val="00B25016"/>
    <w:rsid w:val="00B25075"/>
    <w:rsid w:val="00B25560"/>
    <w:rsid w:val="00B25A42"/>
    <w:rsid w:val="00B26D6F"/>
    <w:rsid w:val="00B30050"/>
    <w:rsid w:val="00B3053D"/>
    <w:rsid w:val="00B30B8D"/>
    <w:rsid w:val="00B30CCD"/>
    <w:rsid w:val="00B30D2F"/>
    <w:rsid w:val="00B31A98"/>
    <w:rsid w:val="00B321EB"/>
    <w:rsid w:val="00B32746"/>
    <w:rsid w:val="00B33AE5"/>
    <w:rsid w:val="00B34063"/>
    <w:rsid w:val="00B34AFE"/>
    <w:rsid w:val="00B34DBC"/>
    <w:rsid w:val="00B351B8"/>
    <w:rsid w:val="00B35591"/>
    <w:rsid w:val="00B36704"/>
    <w:rsid w:val="00B3738E"/>
    <w:rsid w:val="00B3750A"/>
    <w:rsid w:val="00B37E3F"/>
    <w:rsid w:val="00B37F14"/>
    <w:rsid w:val="00B4006C"/>
    <w:rsid w:val="00B40B2F"/>
    <w:rsid w:val="00B40DF5"/>
    <w:rsid w:val="00B40DFA"/>
    <w:rsid w:val="00B40E4A"/>
    <w:rsid w:val="00B4173B"/>
    <w:rsid w:val="00B41828"/>
    <w:rsid w:val="00B41EE5"/>
    <w:rsid w:val="00B42401"/>
    <w:rsid w:val="00B424A3"/>
    <w:rsid w:val="00B42F60"/>
    <w:rsid w:val="00B43603"/>
    <w:rsid w:val="00B444B1"/>
    <w:rsid w:val="00B44605"/>
    <w:rsid w:val="00B4542F"/>
    <w:rsid w:val="00B4605E"/>
    <w:rsid w:val="00B46860"/>
    <w:rsid w:val="00B47C88"/>
    <w:rsid w:val="00B50CBC"/>
    <w:rsid w:val="00B50F4A"/>
    <w:rsid w:val="00B513FB"/>
    <w:rsid w:val="00B51687"/>
    <w:rsid w:val="00B51D7A"/>
    <w:rsid w:val="00B52C3C"/>
    <w:rsid w:val="00B52D76"/>
    <w:rsid w:val="00B5357B"/>
    <w:rsid w:val="00B53946"/>
    <w:rsid w:val="00B53B56"/>
    <w:rsid w:val="00B53BF4"/>
    <w:rsid w:val="00B54041"/>
    <w:rsid w:val="00B549F1"/>
    <w:rsid w:val="00B54BFD"/>
    <w:rsid w:val="00B5577D"/>
    <w:rsid w:val="00B56C3D"/>
    <w:rsid w:val="00B56F24"/>
    <w:rsid w:val="00B5708B"/>
    <w:rsid w:val="00B579A7"/>
    <w:rsid w:val="00B57EEB"/>
    <w:rsid w:val="00B602E2"/>
    <w:rsid w:val="00B6103C"/>
    <w:rsid w:val="00B6109B"/>
    <w:rsid w:val="00B6168D"/>
    <w:rsid w:val="00B61B54"/>
    <w:rsid w:val="00B62187"/>
    <w:rsid w:val="00B624BB"/>
    <w:rsid w:val="00B62E18"/>
    <w:rsid w:val="00B63140"/>
    <w:rsid w:val="00B631AA"/>
    <w:rsid w:val="00B63D43"/>
    <w:rsid w:val="00B644B2"/>
    <w:rsid w:val="00B65406"/>
    <w:rsid w:val="00B6560A"/>
    <w:rsid w:val="00B656BF"/>
    <w:rsid w:val="00B65D87"/>
    <w:rsid w:val="00B6789D"/>
    <w:rsid w:val="00B6795E"/>
    <w:rsid w:val="00B67B76"/>
    <w:rsid w:val="00B67D4E"/>
    <w:rsid w:val="00B70258"/>
    <w:rsid w:val="00B70438"/>
    <w:rsid w:val="00B706F6"/>
    <w:rsid w:val="00B70D21"/>
    <w:rsid w:val="00B70FBF"/>
    <w:rsid w:val="00B71161"/>
    <w:rsid w:val="00B71333"/>
    <w:rsid w:val="00B717E8"/>
    <w:rsid w:val="00B717E9"/>
    <w:rsid w:val="00B71C41"/>
    <w:rsid w:val="00B71FB7"/>
    <w:rsid w:val="00B72EC4"/>
    <w:rsid w:val="00B7308F"/>
    <w:rsid w:val="00B73A69"/>
    <w:rsid w:val="00B741FD"/>
    <w:rsid w:val="00B74D3D"/>
    <w:rsid w:val="00B7568C"/>
    <w:rsid w:val="00B75E7F"/>
    <w:rsid w:val="00B76C8C"/>
    <w:rsid w:val="00B7723B"/>
    <w:rsid w:val="00B80073"/>
    <w:rsid w:val="00B80334"/>
    <w:rsid w:val="00B80971"/>
    <w:rsid w:val="00B80EE2"/>
    <w:rsid w:val="00B81385"/>
    <w:rsid w:val="00B81433"/>
    <w:rsid w:val="00B82CB6"/>
    <w:rsid w:val="00B845E3"/>
    <w:rsid w:val="00B847C9"/>
    <w:rsid w:val="00B84F0E"/>
    <w:rsid w:val="00B85150"/>
    <w:rsid w:val="00B876EA"/>
    <w:rsid w:val="00B8771B"/>
    <w:rsid w:val="00B87908"/>
    <w:rsid w:val="00B87D87"/>
    <w:rsid w:val="00B87FCC"/>
    <w:rsid w:val="00B91712"/>
    <w:rsid w:val="00B92520"/>
    <w:rsid w:val="00B92CE6"/>
    <w:rsid w:val="00B93184"/>
    <w:rsid w:val="00B939D2"/>
    <w:rsid w:val="00B941A2"/>
    <w:rsid w:val="00B94244"/>
    <w:rsid w:val="00B94BFA"/>
    <w:rsid w:val="00B94DD4"/>
    <w:rsid w:val="00B955BE"/>
    <w:rsid w:val="00B95AEA"/>
    <w:rsid w:val="00B95FC3"/>
    <w:rsid w:val="00B96681"/>
    <w:rsid w:val="00B967CD"/>
    <w:rsid w:val="00B96D99"/>
    <w:rsid w:val="00B96E33"/>
    <w:rsid w:val="00BA2462"/>
    <w:rsid w:val="00BA26C3"/>
    <w:rsid w:val="00BA3208"/>
    <w:rsid w:val="00BA46AA"/>
    <w:rsid w:val="00BA4893"/>
    <w:rsid w:val="00BA5157"/>
    <w:rsid w:val="00BA59CB"/>
    <w:rsid w:val="00BA6FEA"/>
    <w:rsid w:val="00BA74A8"/>
    <w:rsid w:val="00BA75F4"/>
    <w:rsid w:val="00BB063D"/>
    <w:rsid w:val="00BB0B89"/>
    <w:rsid w:val="00BB0E2E"/>
    <w:rsid w:val="00BB1CD0"/>
    <w:rsid w:val="00BB2059"/>
    <w:rsid w:val="00BB205A"/>
    <w:rsid w:val="00BB2113"/>
    <w:rsid w:val="00BB24E3"/>
    <w:rsid w:val="00BB2AF4"/>
    <w:rsid w:val="00BB36A4"/>
    <w:rsid w:val="00BB3C42"/>
    <w:rsid w:val="00BB4AC4"/>
    <w:rsid w:val="00BB5B8D"/>
    <w:rsid w:val="00BB6015"/>
    <w:rsid w:val="00BB6484"/>
    <w:rsid w:val="00BC0A31"/>
    <w:rsid w:val="00BC1577"/>
    <w:rsid w:val="00BC3198"/>
    <w:rsid w:val="00BC454E"/>
    <w:rsid w:val="00BC4DD5"/>
    <w:rsid w:val="00BC4F89"/>
    <w:rsid w:val="00BC50F9"/>
    <w:rsid w:val="00BC7356"/>
    <w:rsid w:val="00BD057F"/>
    <w:rsid w:val="00BD09D5"/>
    <w:rsid w:val="00BD1B89"/>
    <w:rsid w:val="00BD2870"/>
    <w:rsid w:val="00BD2F16"/>
    <w:rsid w:val="00BD3DD8"/>
    <w:rsid w:val="00BD50C5"/>
    <w:rsid w:val="00BD51E2"/>
    <w:rsid w:val="00BD572B"/>
    <w:rsid w:val="00BD5DD7"/>
    <w:rsid w:val="00BD6508"/>
    <w:rsid w:val="00BD6A85"/>
    <w:rsid w:val="00BD6E80"/>
    <w:rsid w:val="00BD7307"/>
    <w:rsid w:val="00BD750D"/>
    <w:rsid w:val="00BD7DCC"/>
    <w:rsid w:val="00BE0591"/>
    <w:rsid w:val="00BE0853"/>
    <w:rsid w:val="00BE0E44"/>
    <w:rsid w:val="00BE0F0C"/>
    <w:rsid w:val="00BE1743"/>
    <w:rsid w:val="00BE1769"/>
    <w:rsid w:val="00BE1A63"/>
    <w:rsid w:val="00BE2A25"/>
    <w:rsid w:val="00BE301A"/>
    <w:rsid w:val="00BE3161"/>
    <w:rsid w:val="00BE3233"/>
    <w:rsid w:val="00BE33F6"/>
    <w:rsid w:val="00BE475D"/>
    <w:rsid w:val="00BF2336"/>
    <w:rsid w:val="00BF2D0B"/>
    <w:rsid w:val="00BF3EC0"/>
    <w:rsid w:val="00BF416F"/>
    <w:rsid w:val="00BF41FC"/>
    <w:rsid w:val="00BF4FF2"/>
    <w:rsid w:val="00BF509C"/>
    <w:rsid w:val="00BF51D2"/>
    <w:rsid w:val="00BF5298"/>
    <w:rsid w:val="00BF5658"/>
    <w:rsid w:val="00BF7134"/>
    <w:rsid w:val="00BF76C3"/>
    <w:rsid w:val="00BF7EBC"/>
    <w:rsid w:val="00C003DA"/>
    <w:rsid w:val="00C00CE0"/>
    <w:rsid w:val="00C01F27"/>
    <w:rsid w:val="00C02802"/>
    <w:rsid w:val="00C02B09"/>
    <w:rsid w:val="00C04193"/>
    <w:rsid w:val="00C04DDD"/>
    <w:rsid w:val="00C05103"/>
    <w:rsid w:val="00C06021"/>
    <w:rsid w:val="00C07138"/>
    <w:rsid w:val="00C07D5A"/>
    <w:rsid w:val="00C101EC"/>
    <w:rsid w:val="00C10A1A"/>
    <w:rsid w:val="00C11138"/>
    <w:rsid w:val="00C11B99"/>
    <w:rsid w:val="00C1339B"/>
    <w:rsid w:val="00C136F3"/>
    <w:rsid w:val="00C143B8"/>
    <w:rsid w:val="00C15304"/>
    <w:rsid w:val="00C15910"/>
    <w:rsid w:val="00C167AF"/>
    <w:rsid w:val="00C1731E"/>
    <w:rsid w:val="00C175B1"/>
    <w:rsid w:val="00C20993"/>
    <w:rsid w:val="00C20BA1"/>
    <w:rsid w:val="00C20BDA"/>
    <w:rsid w:val="00C2107D"/>
    <w:rsid w:val="00C213AB"/>
    <w:rsid w:val="00C2183D"/>
    <w:rsid w:val="00C22D7E"/>
    <w:rsid w:val="00C2433C"/>
    <w:rsid w:val="00C264DC"/>
    <w:rsid w:val="00C265DC"/>
    <w:rsid w:val="00C2799E"/>
    <w:rsid w:val="00C27E42"/>
    <w:rsid w:val="00C30DB6"/>
    <w:rsid w:val="00C3238A"/>
    <w:rsid w:val="00C32856"/>
    <w:rsid w:val="00C33B42"/>
    <w:rsid w:val="00C33F68"/>
    <w:rsid w:val="00C34643"/>
    <w:rsid w:val="00C34760"/>
    <w:rsid w:val="00C35FB6"/>
    <w:rsid w:val="00C367B9"/>
    <w:rsid w:val="00C373A6"/>
    <w:rsid w:val="00C400C4"/>
    <w:rsid w:val="00C41396"/>
    <w:rsid w:val="00C416D4"/>
    <w:rsid w:val="00C4183E"/>
    <w:rsid w:val="00C418EF"/>
    <w:rsid w:val="00C428A9"/>
    <w:rsid w:val="00C428F2"/>
    <w:rsid w:val="00C42EB4"/>
    <w:rsid w:val="00C4371B"/>
    <w:rsid w:val="00C43CF0"/>
    <w:rsid w:val="00C43D83"/>
    <w:rsid w:val="00C43DAC"/>
    <w:rsid w:val="00C4427A"/>
    <w:rsid w:val="00C44590"/>
    <w:rsid w:val="00C459A4"/>
    <w:rsid w:val="00C45C38"/>
    <w:rsid w:val="00C463B9"/>
    <w:rsid w:val="00C46C9B"/>
    <w:rsid w:val="00C46F57"/>
    <w:rsid w:val="00C46F87"/>
    <w:rsid w:val="00C474CB"/>
    <w:rsid w:val="00C47567"/>
    <w:rsid w:val="00C478F8"/>
    <w:rsid w:val="00C5032E"/>
    <w:rsid w:val="00C5067C"/>
    <w:rsid w:val="00C5079D"/>
    <w:rsid w:val="00C50A0E"/>
    <w:rsid w:val="00C51ED2"/>
    <w:rsid w:val="00C52331"/>
    <w:rsid w:val="00C523B8"/>
    <w:rsid w:val="00C53046"/>
    <w:rsid w:val="00C532B3"/>
    <w:rsid w:val="00C5477D"/>
    <w:rsid w:val="00C54862"/>
    <w:rsid w:val="00C54E91"/>
    <w:rsid w:val="00C54EF9"/>
    <w:rsid w:val="00C5583C"/>
    <w:rsid w:val="00C55C23"/>
    <w:rsid w:val="00C56AA0"/>
    <w:rsid w:val="00C56BE0"/>
    <w:rsid w:val="00C56E40"/>
    <w:rsid w:val="00C570E9"/>
    <w:rsid w:val="00C576B3"/>
    <w:rsid w:val="00C576E0"/>
    <w:rsid w:val="00C579A7"/>
    <w:rsid w:val="00C57DED"/>
    <w:rsid w:val="00C6004E"/>
    <w:rsid w:val="00C605B4"/>
    <w:rsid w:val="00C60CA7"/>
    <w:rsid w:val="00C61182"/>
    <w:rsid w:val="00C62BB0"/>
    <w:rsid w:val="00C63592"/>
    <w:rsid w:val="00C63628"/>
    <w:rsid w:val="00C63A0D"/>
    <w:rsid w:val="00C63F24"/>
    <w:rsid w:val="00C6410F"/>
    <w:rsid w:val="00C64B58"/>
    <w:rsid w:val="00C65542"/>
    <w:rsid w:val="00C659A9"/>
    <w:rsid w:val="00C6643A"/>
    <w:rsid w:val="00C6670E"/>
    <w:rsid w:val="00C6688F"/>
    <w:rsid w:val="00C670D0"/>
    <w:rsid w:val="00C6756D"/>
    <w:rsid w:val="00C67592"/>
    <w:rsid w:val="00C678E4"/>
    <w:rsid w:val="00C70786"/>
    <w:rsid w:val="00C707C3"/>
    <w:rsid w:val="00C71002"/>
    <w:rsid w:val="00C72086"/>
    <w:rsid w:val="00C72125"/>
    <w:rsid w:val="00C72385"/>
    <w:rsid w:val="00C73EE1"/>
    <w:rsid w:val="00C7441B"/>
    <w:rsid w:val="00C75BCA"/>
    <w:rsid w:val="00C75D3A"/>
    <w:rsid w:val="00C75D8D"/>
    <w:rsid w:val="00C76C65"/>
    <w:rsid w:val="00C76FF5"/>
    <w:rsid w:val="00C77504"/>
    <w:rsid w:val="00C77555"/>
    <w:rsid w:val="00C77BF8"/>
    <w:rsid w:val="00C803BE"/>
    <w:rsid w:val="00C80634"/>
    <w:rsid w:val="00C80987"/>
    <w:rsid w:val="00C80B27"/>
    <w:rsid w:val="00C80E06"/>
    <w:rsid w:val="00C81EAF"/>
    <w:rsid w:val="00C82003"/>
    <w:rsid w:val="00C822F8"/>
    <w:rsid w:val="00C82CDB"/>
    <w:rsid w:val="00C8464D"/>
    <w:rsid w:val="00C867EE"/>
    <w:rsid w:val="00C869D6"/>
    <w:rsid w:val="00C86A35"/>
    <w:rsid w:val="00C86CA6"/>
    <w:rsid w:val="00C90105"/>
    <w:rsid w:val="00C904A1"/>
    <w:rsid w:val="00C90E1F"/>
    <w:rsid w:val="00C91E37"/>
    <w:rsid w:val="00C92B42"/>
    <w:rsid w:val="00C92BE8"/>
    <w:rsid w:val="00C9375B"/>
    <w:rsid w:val="00C945B2"/>
    <w:rsid w:val="00C94A32"/>
    <w:rsid w:val="00C94DA3"/>
    <w:rsid w:val="00C95159"/>
    <w:rsid w:val="00C95546"/>
    <w:rsid w:val="00C95A33"/>
    <w:rsid w:val="00C9754F"/>
    <w:rsid w:val="00CA00F2"/>
    <w:rsid w:val="00CA1106"/>
    <w:rsid w:val="00CA193D"/>
    <w:rsid w:val="00CA1C2E"/>
    <w:rsid w:val="00CA3013"/>
    <w:rsid w:val="00CA342F"/>
    <w:rsid w:val="00CA3515"/>
    <w:rsid w:val="00CA3778"/>
    <w:rsid w:val="00CA3B08"/>
    <w:rsid w:val="00CA5155"/>
    <w:rsid w:val="00CA5BFC"/>
    <w:rsid w:val="00CA5D8F"/>
    <w:rsid w:val="00CA7574"/>
    <w:rsid w:val="00CA7854"/>
    <w:rsid w:val="00CB0016"/>
    <w:rsid w:val="00CB0CDD"/>
    <w:rsid w:val="00CB1A9A"/>
    <w:rsid w:val="00CB2495"/>
    <w:rsid w:val="00CB24B6"/>
    <w:rsid w:val="00CB2AA3"/>
    <w:rsid w:val="00CB33F5"/>
    <w:rsid w:val="00CB3677"/>
    <w:rsid w:val="00CB42F3"/>
    <w:rsid w:val="00CB47BD"/>
    <w:rsid w:val="00CB4860"/>
    <w:rsid w:val="00CB59A8"/>
    <w:rsid w:val="00CB69AB"/>
    <w:rsid w:val="00CB7C66"/>
    <w:rsid w:val="00CB7FA2"/>
    <w:rsid w:val="00CB7FD7"/>
    <w:rsid w:val="00CC0377"/>
    <w:rsid w:val="00CC045F"/>
    <w:rsid w:val="00CC0E44"/>
    <w:rsid w:val="00CC122D"/>
    <w:rsid w:val="00CC1C3B"/>
    <w:rsid w:val="00CC1FB7"/>
    <w:rsid w:val="00CC248E"/>
    <w:rsid w:val="00CC336D"/>
    <w:rsid w:val="00CC3B68"/>
    <w:rsid w:val="00CC3CEC"/>
    <w:rsid w:val="00CC3EBD"/>
    <w:rsid w:val="00CC40E0"/>
    <w:rsid w:val="00CC45BA"/>
    <w:rsid w:val="00CC4BE8"/>
    <w:rsid w:val="00CC4DB2"/>
    <w:rsid w:val="00CC4F97"/>
    <w:rsid w:val="00CC56F7"/>
    <w:rsid w:val="00CC5871"/>
    <w:rsid w:val="00CC72C4"/>
    <w:rsid w:val="00CC7541"/>
    <w:rsid w:val="00CD0308"/>
    <w:rsid w:val="00CD0696"/>
    <w:rsid w:val="00CD1B37"/>
    <w:rsid w:val="00CD1FC8"/>
    <w:rsid w:val="00CD26C6"/>
    <w:rsid w:val="00CD2726"/>
    <w:rsid w:val="00CD2ECB"/>
    <w:rsid w:val="00CD3893"/>
    <w:rsid w:val="00CD4497"/>
    <w:rsid w:val="00CD509D"/>
    <w:rsid w:val="00CD6E9A"/>
    <w:rsid w:val="00CD7915"/>
    <w:rsid w:val="00CD797F"/>
    <w:rsid w:val="00CE095D"/>
    <w:rsid w:val="00CE0CB3"/>
    <w:rsid w:val="00CE154C"/>
    <w:rsid w:val="00CE1DAD"/>
    <w:rsid w:val="00CE23C9"/>
    <w:rsid w:val="00CE29DB"/>
    <w:rsid w:val="00CE4510"/>
    <w:rsid w:val="00CE5121"/>
    <w:rsid w:val="00CE5188"/>
    <w:rsid w:val="00CE51FD"/>
    <w:rsid w:val="00CE58CE"/>
    <w:rsid w:val="00CE58FA"/>
    <w:rsid w:val="00CE6705"/>
    <w:rsid w:val="00CE6CAB"/>
    <w:rsid w:val="00CE72E9"/>
    <w:rsid w:val="00CF0088"/>
    <w:rsid w:val="00CF0C51"/>
    <w:rsid w:val="00CF0D30"/>
    <w:rsid w:val="00CF127F"/>
    <w:rsid w:val="00CF16ED"/>
    <w:rsid w:val="00CF1843"/>
    <w:rsid w:val="00CF241F"/>
    <w:rsid w:val="00CF2831"/>
    <w:rsid w:val="00CF3158"/>
    <w:rsid w:val="00CF3CF8"/>
    <w:rsid w:val="00CF3D5A"/>
    <w:rsid w:val="00CF3E11"/>
    <w:rsid w:val="00CF3ED0"/>
    <w:rsid w:val="00CF470D"/>
    <w:rsid w:val="00CF4F83"/>
    <w:rsid w:val="00CF67B1"/>
    <w:rsid w:val="00CF6C76"/>
    <w:rsid w:val="00CF70AA"/>
    <w:rsid w:val="00CF70DD"/>
    <w:rsid w:val="00CF759E"/>
    <w:rsid w:val="00CF7B6F"/>
    <w:rsid w:val="00D0019A"/>
    <w:rsid w:val="00D00AB2"/>
    <w:rsid w:val="00D00C6E"/>
    <w:rsid w:val="00D013B8"/>
    <w:rsid w:val="00D02235"/>
    <w:rsid w:val="00D0248B"/>
    <w:rsid w:val="00D02A02"/>
    <w:rsid w:val="00D03216"/>
    <w:rsid w:val="00D03676"/>
    <w:rsid w:val="00D04BD9"/>
    <w:rsid w:val="00D04EE8"/>
    <w:rsid w:val="00D05692"/>
    <w:rsid w:val="00D05A7D"/>
    <w:rsid w:val="00D061B1"/>
    <w:rsid w:val="00D0620F"/>
    <w:rsid w:val="00D06A91"/>
    <w:rsid w:val="00D07E8C"/>
    <w:rsid w:val="00D1008F"/>
    <w:rsid w:val="00D10D36"/>
    <w:rsid w:val="00D1140E"/>
    <w:rsid w:val="00D120CC"/>
    <w:rsid w:val="00D12959"/>
    <w:rsid w:val="00D1351A"/>
    <w:rsid w:val="00D14306"/>
    <w:rsid w:val="00D14C2D"/>
    <w:rsid w:val="00D155F6"/>
    <w:rsid w:val="00D15D83"/>
    <w:rsid w:val="00D15FA1"/>
    <w:rsid w:val="00D15FD8"/>
    <w:rsid w:val="00D16821"/>
    <w:rsid w:val="00D16A8B"/>
    <w:rsid w:val="00D16D4C"/>
    <w:rsid w:val="00D16E2B"/>
    <w:rsid w:val="00D17009"/>
    <w:rsid w:val="00D1719A"/>
    <w:rsid w:val="00D17917"/>
    <w:rsid w:val="00D2067D"/>
    <w:rsid w:val="00D2089F"/>
    <w:rsid w:val="00D21348"/>
    <w:rsid w:val="00D22381"/>
    <w:rsid w:val="00D22406"/>
    <w:rsid w:val="00D238A0"/>
    <w:rsid w:val="00D24706"/>
    <w:rsid w:val="00D247E8"/>
    <w:rsid w:val="00D25208"/>
    <w:rsid w:val="00D25CE6"/>
    <w:rsid w:val="00D26884"/>
    <w:rsid w:val="00D26C1C"/>
    <w:rsid w:val="00D26F3B"/>
    <w:rsid w:val="00D270F1"/>
    <w:rsid w:val="00D30EA5"/>
    <w:rsid w:val="00D312F6"/>
    <w:rsid w:val="00D31448"/>
    <w:rsid w:val="00D31931"/>
    <w:rsid w:val="00D320C7"/>
    <w:rsid w:val="00D32704"/>
    <w:rsid w:val="00D32756"/>
    <w:rsid w:val="00D32AAB"/>
    <w:rsid w:val="00D33568"/>
    <w:rsid w:val="00D3413A"/>
    <w:rsid w:val="00D3459C"/>
    <w:rsid w:val="00D35CAF"/>
    <w:rsid w:val="00D35E20"/>
    <w:rsid w:val="00D3615E"/>
    <w:rsid w:val="00D36265"/>
    <w:rsid w:val="00D37601"/>
    <w:rsid w:val="00D4002C"/>
    <w:rsid w:val="00D4035A"/>
    <w:rsid w:val="00D41394"/>
    <w:rsid w:val="00D41CB6"/>
    <w:rsid w:val="00D42939"/>
    <w:rsid w:val="00D439BC"/>
    <w:rsid w:val="00D440A1"/>
    <w:rsid w:val="00D44105"/>
    <w:rsid w:val="00D443A7"/>
    <w:rsid w:val="00D44B83"/>
    <w:rsid w:val="00D45339"/>
    <w:rsid w:val="00D453E9"/>
    <w:rsid w:val="00D4646E"/>
    <w:rsid w:val="00D466D2"/>
    <w:rsid w:val="00D467CE"/>
    <w:rsid w:val="00D46B66"/>
    <w:rsid w:val="00D46E35"/>
    <w:rsid w:val="00D50297"/>
    <w:rsid w:val="00D5090A"/>
    <w:rsid w:val="00D50A16"/>
    <w:rsid w:val="00D50E2E"/>
    <w:rsid w:val="00D5112D"/>
    <w:rsid w:val="00D511D7"/>
    <w:rsid w:val="00D51A98"/>
    <w:rsid w:val="00D52851"/>
    <w:rsid w:val="00D52E96"/>
    <w:rsid w:val="00D53265"/>
    <w:rsid w:val="00D53699"/>
    <w:rsid w:val="00D537A2"/>
    <w:rsid w:val="00D53999"/>
    <w:rsid w:val="00D54492"/>
    <w:rsid w:val="00D5572D"/>
    <w:rsid w:val="00D5650D"/>
    <w:rsid w:val="00D57471"/>
    <w:rsid w:val="00D57975"/>
    <w:rsid w:val="00D579DE"/>
    <w:rsid w:val="00D6084E"/>
    <w:rsid w:val="00D60A89"/>
    <w:rsid w:val="00D60AB6"/>
    <w:rsid w:val="00D610B9"/>
    <w:rsid w:val="00D6193F"/>
    <w:rsid w:val="00D63423"/>
    <w:rsid w:val="00D63BE0"/>
    <w:rsid w:val="00D63C61"/>
    <w:rsid w:val="00D63E88"/>
    <w:rsid w:val="00D64094"/>
    <w:rsid w:val="00D64499"/>
    <w:rsid w:val="00D66595"/>
    <w:rsid w:val="00D66925"/>
    <w:rsid w:val="00D66BE0"/>
    <w:rsid w:val="00D66CDC"/>
    <w:rsid w:val="00D66DE2"/>
    <w:rsid w:val="00D67256"/>
    <w:rsid w:val="00D708ED"/>
    <w:rsid w:val="00D70BB3"/>
    <w:rsid w:val="00D720F7"/>
    <w:rsid w:val="00D7279F"/>
    <w:rsid w:val="00D72FF1"/>
    <w:rsid w:val="00D73D31"/>
    <w:rsid w:val="00D75303"/>
    <w:rsid w:val="00D7594D"/>
    <w:rsid w:val="00D75CA6"/>
    <w:rsid w:val="00D75CD2"/>
    <w:rsid w:val="00D75EBB"/>
    <w:rsid w:val="00D763DA"/>
    <w:rsid w:val="00D768D5"/>
    <w:rsid w:val="00D76D8E"/>
    <w:rsid w:val="00D77138"/>
    <w:rsid w:val="00D77402"/>
    <w:rsid w:val="00D80549"/>
    <w:rsid w:val="00D8063F"/>
    <w:rsid w:val="00D80FD4"/>
    <w:rsid w:val="00D8131F"/>
    <w:rsid w:val="00D81914"/>
    <w:rsid w:val="00D835E6"/>
    <w:rsid w:val="00D83D8E"/>
    <w:rsid w:val="00D845F8"/>
    <w:rsid w:val="00D85090"/>
    <w:rsid w:val="00D85EB2"/>
    <w:rsid w:val="00D864F4"/>
    <w:rsid w:val="00D8670E"/>
    <w:rsid w:val="00D871C5"/>
    <w:rsid w:val="00D875DA"/>
    <w:rsid w:val="00D907A3"/>
    <w:rsid w:val="00D91A00"/>
    <w:rsid w:val="00D92B48"/>
    <w:rsid w:val="00D937A0"/>
    <w:rsid w:val="00D93CE7"/>
    <w:rsid w:val="00D94671"/>
    <w:rsid w:val="00D947B1"/>
    <w:rsid w:val="00D94C21"/>
    <w:rsid w:val="00D94D0E"/>
    <w:rsid w:val="00D954F3"/>
    <w:rsid w:val="00D96068"/>
    <w:rsid w:val="00D962B4"/>
    <w:rsid w:val="00D9684A"/>
    <w:rsid w:val="00D974E7"/>
    <w:rsid w:val="00D97544"/>
    <w:rsid w:val="00D975A5"/>
    <w:rsid w:val="00D97671"/>
    <w:rsid w:val="00D976F4"/>
    <w:rsid w:val="00D977AF"/>
    <w:rsid w:val="00D97BAA"/>
    <w:rsid w:val="00DA0586"/>
    <w:rsid w:val="00DA10F9"/>
    <w:rsid w:val="00DA18E0"/>
    <w:rsid w:val="00DA2791"/>
    <w:rsid w:val="00DA29E7"/>
    <w:rsid w:val="00DA2A8E"/>
    <w:rsid w:val="00DA3276"/>
    <w:rsid w:val="00DA3370"/>
    <w:rsid w:val="00DA3CB3"/>
    <w:rsid w:val="00DA4AF6"/>
    <w:rsid w:val="00DA4F96"/>
    <w:rsid w:val="00DA51B3"/>
    <w:rsid w:val="00DA5C4D"/>
    <w:rsid w:val="00DA5F02"/>
    <w:rsid w:val="00DA65A6"/>
    <w:rsid w:val="00DA6746"/>
    <w:rsid w:val="00DA6BCD"/>
    <w:rsid w:val="00DA7205"/>
    <w:rsid w:val="00DA7A09"/>
    <w:rsid w:val="00DB013A"/>
    <w:rsid w:val="00DB0CEE"/>
    <w:rsid w:val="00DB0EC5"/>
    <w:rsid w:val="00DB114A"/>
    <w:rsid w:val="00DB11C0"/>
    <w:rsid w:val="00DB1586"/>
    <w:rsid w:val="00DB1E5B"/>
    <w:rsid w:val="00DB27C8"/>
    <w:rsid w:val="00DB33C9"/>
    <w:rsid w:val="00DB3A87"/>
    <w:rsid w:val="00DB414B"/>
    <w:rsid w:val="00DB4261"/>
    <w:rsid w:val="00DB4667"/>
    <w:rsid w:val="00DB46BA"/>
    <w:rsid w:val="00DB51CF"/>
    <w:rsid w:val="00DB57A8"/>
    <w:rsid w:val="00DB5AC9"/>
    <w:rsid w:val="00DB5B13"/>
    <w:rsid w:val="00DB5B49"/>
    <w:rsid w:val="00DB7C03"/>
    <w:rsid w:val="00DC2BB7"/>
    <w:rsid w:val="00DC3314"/>
    <w:rsid w:val="00DC4766"/>
    <w:rsid w:val="00DC4847"/>
    <w:rsid w:val="00DC5C26"/>
    <w:rsid w:val="00DC5D9E"/>
    <w:rsid w:val="00DC640A"/>
    <w:rsid w:val="00DC65C4"/>
    <w:rsid w:val="00DC6663"/>
    <w:rsid w:val="00DC6974"/>
    <w:rsid w:val="00DC6FBC"/>
    <w:rsid w:val="00DC703E"/>
    <w:rsid w:val="00DC70DF"/>
    <w:rsid w:val="00DC768F"/>
    <w:rsid w:val="00DC7D56"/>
    <w:rsid w:val="00DD1A5B"/>
    <w:rsid w:val="00DD2AE8"/>
    <w:rsid w:val="00DD2EC0"/>
    <w:rsid w:val="00DD3489"/>
    <w:rsid w:val="00DD37C1"/>
    <w:rsid w:val="00DD3B68"/>
    <w:rsid w:val="00DD3E1B"/>
    <w:rsid w:val="00DD5B4F"/>
    <w:rsid w:val="00DD5DDD"/>
    <w:rsid w:val="00DD6830"/>
    <w:rsid w:val="00DD770B"/>
    <w:rsid w:val="00DD7BBF"/>
    <w:rsid w:val="00DD7F3C"/>
    <w:rsid w:val="00DE06B9"/>
    <w:rsid w:val="00DE09C3"/>
    <w:rsid w:val="00DE0EF1"/>
    <w:rsid w:val="00DE10C0"/>
    <w:rsid w:val="00DE1E5B"/>
    <w:rsid w:val="00DE220F"/>
    <w:rsid w:val="00DE2606"/>
    <w:rsid w:val="00DE4C49"/>
    <w:rsid w:val="00DE55B3"/>
    <w:rsid w:val="00DE59F6"/>
    <w:rsid w:val="00DE5FA4"/>
    <w:rsid w:val="00DE621D"/>
    <w:rsid w:val="00DE6AE2"/>
    <w:rsid w:val="00DE7B99"/>
    <w:rsid w:val="00DF097B"/>
    <w:rsid w:val="00DF0CA5"/>
    <w:rsid w:val="00DF0CC2"/>
    <w:rsid w:val="00DF0EB3"/>
    <w:rsid w:val="00DF10E4"/>
    <w:rsid w:val="00DF12E9"/>
    <w:rsid w:val="00DF1C59"/>
    <w:rsid w:val="00DF2EA7"/>
    <w:rsid w:val="00DF315D"/>
    <w:rsid w:val="00DF4098"/>
    <w:rsid w:val="00DF4780"/>
    <w:rsid w:val="00DF4934"/>
    <w:rsid w:val="00DF50FD"/>
    <w:rsid w:val="00DF6DE8"/>
    <w:rsid w:val="00DF7121"/>
    <w:rsid w:val="00DF78B8"/>
    <w:rsid w:val="00E002A9"/>
    <w:rsid w:val="00E0054B"/>
    <w:rsid w:val="00E008C3"/>
    <w:rsid w:val="00E00B16"/>
    <w:rsid w:val="00E01146"/>
    <w:rsid w:val="00E01407"/>
    <w:rsid w:val="00E02C36"/>
    <w:rsid w:val="00E02CE1"/>
    <w:rsid w:val="00E0375F"/>
    <w:rsid w:val="00E03A66"/>
    <w:rsid w:val="00E04786"/>
    <w:rsid w:val="00E04B48"/>
    <w:rsid w:val="00E05B0A"/>
    <w:rsid w:val="00E05C41"/>
    <w:rsid w:val="00E064BD"/>
    <w:rsid w:val="00E070F4"/>
    <w:rsid w:val="00E07157"/>
    <w:rsid w:val="00E079EC"/>
    <w:rsid w:val="00E100A5"/>
    <w:rsid w:val="00E10207"/>
    <w:rsid w:val="00E103CA"/>
    <w:rsid w:val="00E1047E"/>
    <w:rsid w:val="00E10797"/>
    <w:rsid w:val="00E1090A"/>
    <w:rsid w:val="00E10B6C"/>
    <w:rsid w:val="00E10F47"/>
    <w:rsid w:val="00E10F8A"/>
    <w:rsid w:val="00E10FDD"/>
    <w:rsid w:val="00E11085"/>
    <w:rsid w:val="00E113BA"/>
    <w:rsid w:val="00E11426"/>
    <w:rsid w:val="00E1142C"/>
    <w:rsid w:val="00E11919"/>
    <w:rsid w:val="00E11A19"/>
    <w:rsid w:val="00E12B22"/>
    <w:rsid w:val="00E13035"/>
    <w:rsid w:val="00E13820"/>
    <w:rsid w:val="00E15F9F"/>
    <w:rsid w:val="00E167C8"/>
    <w:rsid w:val="00E175B0"/>
    <w:rsid w:val="00E178C4"/>
    <w:rsid w:val="00E17B63"/>
    <w:rsid w:val="00E20853"/>
    <w:rsid w:val="00E20EAC"/>
    <w:rsid w:val="00E21283"/>
    <w:rsid w:val="00E2144A"/>
    <w:rsid w:val="00E21637"/>
    <w:rsid w:val="00E21B66"/>
    <w:rsid w:val="00E21DE8"/>
    <w:rsid w:val="00E22B4F"/>
    <w:rsid w:val="00E23B16"/>
    <w:rsid w:val="00E244AD"/>
    <w:rsid w:val="00E255CA"/>
    <w:rsid w:val="00E25674"/>
    <w:rsid w:val="00E25748"/>
    <w:rsid w:val="00E25ECA"/>
    <w:rsid w:val="00E26202"/>
    <w:rsid w:val="00E26B41"/>
    <w:rsid w:val="00E30BFE"/>
    <w:rsid w:val="00E30F8C"/>
    <w:rsid w:val="00E31A5F"/>
    <w:rsid w:val="00E32282"/>
    <w:rsid w:val="00E33CB2"/>
    <w:rsid w:val="00E3484D"/>
    <w:rsid w:val="00E34E0A"/>
    <w:rsid w:val="00E35BD4"/>
    <w:rsid w:val="00E35CE5"/>
    <w:rsid w:val="00E36913"/>
    <w:rsid w:val="00E36929"/>
    <w:rsid w:val="00E36B47"/>
    <w:rsid w:val="00E372EC"/>
    <w:rsid w:val="00E374A7"/>
    <w:rsid w:val="00E37C13"/>
    <w:rsid w:val="00E37DC0"/>
    <w:rsid w:val="00E409B3"/>
    <w:rsid w:val="00E40A31"/>
    <w:rsid w:val="00E40A82"/>
    <w:rsid w:val="00E40EF0"/>
    <w:rsid w:val="00E40FD3"/>
    <w:rsid w:val="00E41E99"/>
    <w:rsid w:val="00E42228"/>
    <w:rsid w:val="00E44020"/>
    <w:rsid w:val="00E4479B"/>
    <w:rsid w:val="00E45093"/>
    <w:rsid w:val="00E45475"/>
    <w:rsid w:val="00E45AE9"/>
    <w:rsid w:val="00E461AA"/>
    <w:rsid w:val="00E47693"/>
    <w:rsid w:val="00E50638"/>
    <w:rsid w:val="00E52138"/>
    <w:rsid w:val="00E52971"/>
    <w:rsid w:val="00E5447A"/>
    <w:rsid w:val="00E5467F"/>
    <w:rsid w:val="00E551F9"/>
    <w:rsid w:val="00E55638"/>
    <w:rsid w:val="00E575CA"/>
    <w:rsid w:val="00E579D6"/>
    <w:rsid w:val="00E601D2"/>
    <w:rsid w:val="00E60DCB"/>
    <w:rsid w:val="00E61191"/>
    <w:rsid w:val="00E61D0A"/>
    <w:rsid w:val="00E62D26"/>
    <w:rsid w:val="00E630BC"/>
    <w:rsid w:val="00E633BE"/>
    <w:rsid w:val="00E643E4"/>
    <w:rsid w:val="00E6458E"/>
    <w:rsid w:val="00E656C9"/>
    <w:rsid w:val="00E65B86"/>
    <w:rsid w:val="00E65E41"/>
    <w:rsid w:val="00E6761B"/>
    <w:rsid w:val="00E70253"/>
    <w:rsid w:val="00E70379"/>
    <w:rsid w:val="00E70841"/>
    <w:rsid w:val="00E70887"/>
    <w:rsid w:val="00E729AD"/>
    <w:rsid w:val="00E72F62"/>
    <w:rsid w:val="00E7313E"/>
    <w:rsid w:val="00E73363"/>
    <w:rsid w:val="00E7344A"/>
    <w:rsid w:val="00E7360C"/>
    <w:rsid w:val="00E73695"/>
    <w:rsid w:val="00E736DD"/>
    <w:rsid w:val="00E74316"/>
    <w:rsid w:val="00E74341"/>
    <w:rsid w:val="00E74E63"/>
    <w:rsid w:val="00E75BCD"/>
    <w:rsid w:val="00E76065"/>
    <w:rsid w:val="00E7752E"/>
    <w:rsid w:val="00E77BA3"/>
    <w:rsid w:val="00E8029F"/>
    <w:rsid w:val="00E8064C"/>
    <w:rsid w:val="00E8105E"/>
    <w:rsid w:val="00E81540"/>
    <w:rsid w:val="00E81F6D"/>
    <w:rsid w:val="00E82C3B"/>
    <w:rsid w:val="00E82E72"/>
    <w:rsid w:val="00E83AF5"/>
    <w:rsid w:val="00E85CBF"/>
    <w:rsid w:val="00E864F7"/>
    <w:rsid w:val="00E8664A"/>
    <w:rsid w:val="00E866AE"/>
    <w:rsid w:val="00E875C9"/>
    <w:rsid w:val="00E876DE"/>
    <w:rsid w:val="00E87BD2"/>
    <w:rsid w:val="00E902E8"/>
    <w:rsid w:val="00E90371"/>
    <w:rsid w:val="00E90D50"/>
    <w:rsid w:val="00E913C5"/>
    <w:rsid w:val="00E91EC4"/>
    <w:rsid w:val="00E920E9"/>
    <w:rsid w:val="00E92159"/>
    <w:rsid w:val="00E9286F"/>
    <w:rsid w:val="00E93CE5"/>
    <w:rsid w:val="00E94948"/>
    <w:rsid w:val="00E95442"/>
    <w:rsid w:val="00EA0450"/>
    <w:rsid w:val="00EA05B2"/>
    <w:rsid w:val="00EA1916"/>
    <w:rsid w:val="00EA1C9F"/>
    <w:rsid w:val="00EA1D58"/>
    <w:rsid w:val="00EA1F77"/>
    <w:rsid w:val="00EA204C"/>
    <w:rsid w:val="00EA2C19"/>
    <w:rsid w:val="00EA2EAA"/>
    <w:rsid w:val="00EA30D7"/>
    <w:rsid w:val="00EA3BA3"/>
    <w:rsid w:val="00EA47D3"/>
    <w:rsid w:val="00EA4AB3"/>
    <w:rsid w:val="00EA5EFD"/>
    <w:rsid w:val="00EA6344"/>
    <w:rsid w:val="00EA66BC"/>
    <w:rsid w:val="00EA6DC1"/>
    <w:rsid w:val="00EA709A"/>
    <w:rsid w:val="00EA70B4"/>
    <w:rsid w:val="00EA72F5"/>
    <w:rsid w:val="00EB00CC"/>
    <w:rsid w:val="00EB0AA3"/>
    <w:rsid w:val="00EB0C66"/>
    <w:rsid w:val="00EB0E33"/>
    <w:rsid w:val="00EB250E"/>
    <w:rsid w:val="00EB25BE"/>
    <w:rsid w:val="00EB2A7C"/>
    <w:rsid w:val="00EB366C"/>
    <w:rsid w:val="00EB3817"/>
    <w:rsid w:val="00EB49DC"/>
    <w:rsid w:val="00EB5123"/>
    <w:rsid w:val="00EB5297"/>
    <w:rsid w:val="00EB5391"/>
    <w:rsid w:val="00EB56D5"/>
    <w:rsid w:val="00EB596E"/>
    <w:rsid w:val="00EB7DC4"/>
    <w:rsid w:val="00EC08CE"/>
    <w:rsid w:val="00EC137D"/>
    <w:rsid w:val="00EC143D"/>
    <w:rsid w:val="00EC1652"/>
    <w:rsid w:val="00EC169E"/>
    <w:rsid w:val="00EC1A25"/>
    <w:rsid w:val="00EC1B22"/>
    <w:rsid w:val="00EC1D50"/>
    <w:rsid w:val="00EC21B5"/>
    <w:rsid w:val="00EC310F"/>
    <w:rsid w:val="00EC34D3"/>
    <w:rsid w:val="00EC39A1"/>
    <w:rsid w:val="00EC3E85"/>
    <w:rsid w:val="00EC4366"/>
    <w:rsid w:val="00EC43AD"/>
    <w:rsid w:val="00EC4F26"/>
    <w:rsid w:val="00EC60C8"/>
    <w:rsid w:val="00EC6719"/>
    <w:rsid w:val="00EC73E6"/>
    <w:rsid w:val="00EC76C1"/>
    <w:rsid w:val="00EC7942"/>
    <w:rsid w:val="00EC7FAA"/>
    <w:rsid w:val="00ED0127"/>
    <w:rsid w:val="00ED0BEF"/>
    <w:rsid w:val="00ED0CC8"/>
    <w:rsid w:val="00ED0F9C"/>
    <w:rsid w:val="00ED114B"/>
    <w:rsid w:val="00ED2217"/>
    <w:rsid w:val="00ED23AF"/>
    <w:rsid w:val="00ED34F0"/>
    <w:rsid w:val="00ED3FC4"/>
    <w:rsid w:val="00ED4139"/>
    <w:rsid w:val="00ED46D0"/>
    <w:rsid w:val="00ED478E"/>
    <w:rsid w:val="00ED4E6F"/>
    <w:rsid w:val="00ED546D"/>
    <w:rsid w:val="00ED5594"/>
    <w:rsid w:val="00ED58DA"/>
    <w:rsid w:val="00ED5D9F"/>
    <w:rsid w:val="00ED5FE7"/>
    <w:rsid w:val="00ED63F9"/>
    <w:rsid w:val="00ED64A3"/>
    <w:rsid w:val="00ED6A1B"/>
    <w:rsid w:val="00ED71AF"/>
    <w:rsid w:val="00ED75FA"/>
    <w:rsid w:val="00ED790C"/>
    <w:rsid w:val="00EE0986"/>
    <w:rsid w:val="00EE0AF3"/>
    <w:rsid w:val="00EE20C4"/>
    <w:rsid w:val="00EE245C"/>
    <w:rsid w:val="00EE2716"/>
    <w:rsid w:val="00EE27C0"/>
    <w:rsid w:val="00EE2AC7"/>
    <w:rsid w:val="00EE33F1"/>
    <w:rsid w:val="00EE3E10"/>
    <w:rsid w:val="00EE5390"/>
    <w:rsid w:val="00EE5B3C"/>
    <w:rsid w:val="00EE6AFB"/>
    <w:rsid w:val="00EE742A"/>
    <w:rsid w:val="00EF29A3"/>
    <w:rsid w:val="00EF3405"/>
    <w:rsid w:val="00EF3A75"/>
    <w:rsid w:val="00EF3B23"/>
    <w:rsid w:val="00EF4223"/>
    <w:rsid w:val="00EF499F"/>
    <w:rsid w:val="00EF4A27"/>
    <w:rsid w:val="00EF5A8E"/>
    <w:rsid w:val="00EF5B8C"/>
    <w:rsid w:val="00EF641C"/>
    <w:rsid w:val="00EF69A1"/>
    <w:rsid w:val="00EF6A13"/>
    <w:rsid w:val="00EF7128"/>
    <w:rsid w:val="00F02ACA"/>
    <w:rsid w:val="00F03AD0"/>
    <w:rsid w:val="00F0590A"/>
    <w:rsid w:val="00F06463"/>
    <w:rsid w:val="00F1140F"/>
    <w:rsid w:val="00F11791"/>
    <w:rsid w:val="00F11A17"/>
    <w:rsid w:val="00F121D0"/>
    <w:rsid w:val="00F121EF"/>
    <w:rsid w:val="00F1262B"/>
    <w:rsid w:val="00F126FC"/>
    <w:rsid w:val="00F13171"/>
    <w:rsid w:val="00F13D8D"/>
    <w:rsid w:val="00F13F8C"/>
    <w:rsid w:val="00F14837"/>
    <w:rsid w:val="00F1499A"/>
    <w:rsid w:val="00F156DD"/>
    <w:rsid w:val="00F1597C"/>
    <w:rsid w:val="00F15F3E"/>
    <w:rsid w:val="00F162D3"/>
    <w:rsid w:val="00F20076"/>
    <w:rsid w:val="00F20BF2"/>
    <w:rsid w:val="00F2115D"/>
    <w:rsid w:val="00F21477"/>
    <w:rsid w:val="00F21A93"/>
    <w:rsid w:val="00F22EC9"/>
    <w:rsid w:val="00F230CC"/>
    <w:rsid w:val="00F23362"/>
    <w:rsid w:val="00F236F3"/>
    <w:rsid w:val="00F24509"/>
    <w:rsid w:val="00F24CC8"/>
    <w:rsid w:val="00F24CF2"/>
    <w:rsid w:val="00F24F1D"/>
    <w:rsid w:val="00F250B7"/>
    <w:rsid w:val="00F25359"/>
    <w:rsid w:val="00F25840"/>
    <w:rsid w:val="00F25B1A"/>
    <w:rsid w:val="00F26166"/>
    <w:rsid w:val="00F261C0"/>
    <w:rsid w:val="00F2708D"/>
    <w:rsid w:val="00F3033C"/>
    <w:rsid w:val="00F314AE"/>
    <w:rsid w:val="00F3197D"/>
    <w:rsid w:val="00F32352"/>
    <w:rsid w:val="00F32453"/>
    <w:rsid w:val="00F325BF"/>
    <w:rsid w:val="00F32B60"/>
    <w:rsid w:val="00F32BB7"/>
    <w:rsid w:val="00F33117"/>
    <w:rsid w:val="00F33A2A"/>
    <w:rsid w:val="00F33FDE"/>
    <w:rsid w:val="00F35482"/>
    <w:rsid w:val="00F35972"/>
    <w:rsid w:val="00F364A6"/>
    <w:rsid w:val="00F36B7F"/>
    <w:rsid w:val="00F372C7"/>
    <w:rsid w:val="00F3734B"/>
    <w:rsid w:val="00F37545"/>
    <w:rsid w:val="00F40029"/>
    <w:rsid w:val="00F40B9E"/>
    <w:rsid w:val="00F40BC2"/>
    <w:rsid w:val="00F41583"/>
    <w:rsid w:val="00F418E2"/>
    <w:rsid w:val="00F421E7"/>
    <w:rsid w:val="00F4274E"/>
    <w:rsid w:val="00F42C9C"/>
    <w:rsid w:val="00F42DE3"/>
    <w:rsid w:val="00F42E2F"/>
    <w:rsid w:val="00F44397"/>
    <w:rsid w:val="00F44BEC"/>
    <w:rsid w:val="00F44C5A"/>
    <w:rsid w:val="00F44D24"/>
    <w:rsid w:val="00F45438"/>
    <w:rsid w:val="00F45544"/>
    <w:rsid w:val="00F46422"/>
    <w:rsid w:val="00F46F96"/>
    <w:rsid w:val="00F50733"/>
    <w:rsid w:val="00F509C5"/>
    <w:rsid w:val="00F51C91"/>
    <w:rsid w:val="00F51E2A"/>
    <w:rsid w:val="00F51FD7"/>
    <w:rsid w:val="00F52A2F"/>
    <w:rsid w:val="00F52F31"/>
    <w:rsid w:val="00F541A6"/>
    <w:rsid w:val="00F5421B"/>
    <w:rsid w:val="00F552C2"/>
    <w:rsid w:val="00F60100"/>
    <w:rsid w:val="00F60921"/>
    <w:rsid w:val="00F6185F"/>
    <w:rsid w:val="00F61D37"/>
    <w:rsid w:val="00F63BE6"/>
    <w:rsid w:val="00F63DCE"/>
    <w:rsid w:val="00F64A90"/>
    <w:rsid w:val="00F64CBA"/>
    <w:rsid w:val="00F66B05"/>
    <w:rsid w:val="00F708AE"/>
    <w:rsid w:val="00F708D7"/>
    <w:rsid w:val="00F70FB6"/>
    <w:rsid w:val="00F72449"/>
    <w:rsid w:val="00F72A13"/>
    <w:rsid w:val="00F72CF1"/>
    <w:rsid w:val="00F731CC"/>
    <w:rsid w:val="00F74237"/>
    <w:rsid w:val="00F74AEA"/>
    <w:rsid w:val="00F74D2D"/>
    <w:rsid w:val="00F7561A"/>
    <w:rsid w:val="00F75FD7"/>
    <w:rsid w:val="00F7625D"/>
    <w:rsid w:val="00F7720E"/>
    <w:rsid w:val="00F77CCD"/>
    <w:rsid w:val="00F811BC"/>
    <w:rsid w:val="00F81BB6"/>
    <w:rsid w:val="00F81D0B"/>
    <w:rsid w:val="00F82480"/>
    <w:rsid w:val="00F82DF7"/>
    <w:rsid w:val="00F83090"/>
    <w:rsid w:val="00F842FC"/>
    <w:rsid w:val="00F84637"/>
    <w:rsid w:val="00F85845"/>
    <w:rsid w:val="00F85DEB"/>
    <w:rsid w:val="00F87596"/>
    <w:rsid w:val="00F87B70"/>
    <w:rsid w:val="00F90592"/>
    <w:rsid w:val="00F90BD9"/>
    <w:rsid w:val="00F91016"/>
    <w:rsid w:val="00F9155C"/>
    <w:rsid w:val="00F91E05"/>
    <w:rsid w:val="00F926E9"/>
    <w:rsid w:val="00F92B95"/>
    <w:rsid w:val="00F94983"/>
    <w:rsid w:val="00F94DED"/>
    <w:rsid w:val="00F95455"/>
    <w:rsid w:val="00F95B51"/>
    <w:rsid w:val="00F95E23"/>
    <w:rsid w:val="00F968AA"/>
    <w:rsid w:val="00F971FF"/>
    <w:rsid w:val="00F975D4"/>
    <w:rsid w:val="00F97CAF"/>
    <w:rsid w:val="00FA1D22"/>
    <w:rsid w:val="00FA24EE"/>
    <w:rsid w:val="00FA2620"/>
    <w:rsid w:val="00FA3391"/>
    <w:rsid w:val="00FA3788"/>
    <w:rsid w:val="00FA3E37"/>
    <w:rsid w:val="00FA52BF"/>
    <w:rsid w:val="00FA52FF"/>
    <w:rsid w:val="00FA5364"/>
    <w:rsid w:val="00FA5FB8"/>
    <w:rsid w:val="00FA6293"/>
    <w:rsid w:val="00FA6802"/>
    <w:rsid w:val="00FA690E"/>
    <w:rsid w:val="00FA6E9C"/>
    <w:rsid w:val="00FA70B2"/>
    <w:rsid w:val="00FA7429"/>
    <w:rsid w:val="00FA77D6"/>
    <w:rsid w:val="00FA7BE0"/>
    <w:rsid w:val="00FA7F60"/>
    <w:rsid w:val="00FB0B2A"/>
    <w:rsid w:val="00FB0BA4"/>
    <w:rsid w:val="00FB14B1"/>
    <w:rsid w:val="00FB14C3"/>
    <w:rsid w:val="00FB290E"/>
    <w:rsid w:val="00FB2A09"/>
    <w:rsid w:val="00FB30E0"/>
    <w:rsid w:val="00FB355E"/>
    <w:rsid w:val="00FB3DF5"/>
    <w:rsid w:val="00FB3F3E"/>
    <w:rsid w:val="00FB4417"/>
    <w:rsid w:val="00FB59E1"/>
    <w:rsid w:val="00FB5BC2"/>
    <w:rsid w:val="00FB5D6B"/>
    <w:rsid w:val="00FB696B"/>
    <w:rsid w:val="00FB6BE6"/>
    <w:rsid w:val="00FB7443"/>
    <w:rsid w:val="00FB76E1"/>
    <w:rsid w:val="00FB77D4"/>
    <w:rsid w:val="00FB78A0"/>
    <w:rsid w:val="00FB7A4E"/>
    <w:rsid w:val="00FB7C3A"/>
    <w:rsid w:val="00FB7EBD"/>
    <w:rsid w:val="00FB7EC9"/>
    <w:rsid w:val="00FC15FA"/>
    <w:rsid w:val="00FC2664"/>
    <w:rsid w:val="00FC35F5"/>
    <w:rsid w:val="00FC3F77"/>
    <w:rsid w:val="00FC435E"/>
    <w:rsid w:val="00FC43C9"/>
    <w:rsid w:val="00FC50D3"/>
    <w:rsid w:val="00FC53EC"/>
    <w:rsid w:val="00FC6370"/>
    <w:rsid w:val="00FC7478"/>
    <w:rsid w:val="00FC780C"/>
    <w:rsid w:val="00FC7EDD"/>
    <w:rsid w:val="00FD01AA"/>
    <w:rsid w:val="00FD03C4"/>
    <w:rsid w:val="00FD058C"/>
    <w:rsid w:val="00FD0708"/>
    <w:rsid w:val="00FD12D8"/>
    <w:rsid w:val="00FD1708"/>
    <w:rsid w:val="00FD1D5E"/>
    <w:rsid w:val="00FD1EBF"/>
    <w:rsid w:val="00FD1FE2"/>
    <w:rsid w:val="00FD2214"/>
    <w:rsid w:val="00FD23BB"/>
    <w:rsid w:val="00FD2D77"/>
    <w:rsid w:val="00FD2E31"/>
    <w:rsid w:val="00FD33B7"/>
    <w:rsid w:val="00FD36C8"/>
    <w:rsid w:val="00FD3CEB"/>
    <w:rsid w:val="00FD49F4"/>
    <w:rsid w:val="00FD4EB4"/>
    <w:rsid w:val="00FD510B"/>
    <w:rsid w:val="00FD53C9"/>
    <w:rsid w:val="00FD6452"/>
    <w:rsid w:val="00FD6499"/>
    <w:rsid w:val="00FD760C"/>
    <w:rsid w:val="00FE0EDD"/>
    <w:rsid w:val="00FE129F"/>
    <w:rsid w:val="00FE1E9B"/>
    <w:rsid w:val="00FE1F23"/>
    <w:rsid w:val="00FE24D6"/>
    <w:rsid w:val="00FE2A7B"/>
    <w:rsid w:val="00FE31D9"/>
    <w:rsid w:val="00FE32AF"/>
    <w:rsid w:val="00FE388F"/>
    <w:rsid w:val="00FE38FD"/>
    <w:rsid w:val="00FE40F4"/>
    <w:rsid w:val="00FE565E"/>
    <w:rsid w:val="00FE5FC7"/>
    <w:rsid w:val="00FE6561"/>
    <w:rsid w:val="00FE721B"/>
    <w:rsid w:val="00FE73FC"/>
    <w:rsid w:val="00FF0260"/>
    <w:rsid w:val="00FF04B9"/>
    <w:rsid w:val="00FF2988"/>
    <w:rsid w:val="00FF3237"/>
    <w:rsid w:val="00FF397A"/>
    <w:rsid w:val="00FF4039"/>
    <w:rsid w:val="00FF4159"/>
    <w:rsid w:val="00FF45F6"/>
    <w:rsid w:val="00FF4A00"/>
    <w:rsid w:val="00FF52A5"/>
    <w:rsid w:val="00FF727F"/>
    <w:rsid w:val="00FF7638"/>
    <w:rsid w:val="00FF7743"/>
    <w:rsid w:val="00FF7D4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0B5855"/>
  <w14:defaultImageDpi w14:val="96"/>
  <w15:chartTrackingRefBased/>
  <w15:docId w15:val="{6D7207E9-D229-410D-9869-5E0166A5D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44F"/>
    <w:pPr>
      <w:spacing w:after="0" w:line="240" w:lineRule="auto"/>
    </w:pPr>
    <w:rPr>
      <w:rFonts w:ascii="Calibri" w:hAnsi="Calibri" w:cs="Times New Roman"/>
    </w:rPr>
  </w:style>
  <w:style w:type="paragraph" w:styleId="Heading1">
    <w:name w:val="heading 1"/>
    <w:basedOn w:val="Normal"/>
    <w:next w:val="Normal"/>
    <w:link w:val="Heading1Char"/>
    <w:uiPriority w:val="9"/>
    <w:qFormat/>
    <w:rsid w:val="000E702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C50E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E702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702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9C50E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0E702F"/>
    <w:rPr>
      <w:rFonts w:asciiTheme="majorHAnsi" w:eastAsiaTheme="majorEastAsia" w:hAnsiTheme="majorHAnsi" w:cstheme="majorBidi"/>
      <w:color w:val="1F4D78" w:themeColor="accent1" w:themeShade="7F"/>
      <w:sz w:val="24"/>
      <w:szCs w:val="24"/>
    </w:rPr>
  </w:style>
  <w:style w:type="paragraph" w:styleId="ListParagraph">
    <w:name w:val="List Paragraph"/>
    <w:aliases w:val="List Paragraph1,Recommendation,List Paragraph11,L,CV text,Table text,List Paragraph2,F5 List Paragraph,Dot pt,List Paragraph111,Medium Grid 1 - Accent 21,Numbered Paragraph,Main numbered paragraph,Numbered List Paragraph,Bullets"/>
    <w:basedOn w:val="Normal"/>
    <w:link w:val="ListParagraphChar"/>
    <w:uiPriority w:val="34"/>
    <w:qFormat/>
    <w:rsid w:val="00A404F8"/>
    <w:pPr>
      <w:ind w:left="720"/>
    </w:pPr>
  </w:style>
  <w:style w:type="character" w:customStyle="1" w:styleId="ListParagraphChar">
    <w:name w:val="List Paragraph Char"/>
    <w:aliases w:val="List Paragraph1 Char,Recommendation Char,List Paragraph11 Char,L Char,CV text Char,Table text Char,List Paragraph2 Char,F5 List Paragraph Char,Dot pt Char,List Paragraph111 Char,Medium Grid 1 - Accent 21 Char,Numbered Paragraph Char"/>
    <w:basedOn w:val="DefaultParagraphFont"/>
    <w:link w:val="ListParagraph"/>
    <w:uiPriority w:val="34"/>
    <w:qFormat/>
    <w:locked/>
    <w:rsid w:val="00AC4581"/>
    <w:rPr>
      <w:rFonts w:ascii="Calibri" w:hAnsi="Calibri" w:cs="Times New Roman"/>
    </w:rPr>
  </w:style>
  <w:style w:type="paragraph" w:styleId="BalloonText">
    <w:name w:val="Balloon Text"/>
    <w:basedOn w:val="Normal"/>
    <w:link w:val="BalloonTextChar"/>
    <w:uiPriority w:val="99"/>
    <w:semiHidden/>
    <w:unhideWhenUsed/>
    <w:rsid w:val="00D0019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019A"/>
    <w:rPr>
      <w:rFonts w:ascii="Segoe UI" w:hAnsi="Segoe UI" w:cs="Segoe UI"/>
      <w:sz w:val="18"/>
      <w:szCs w:val="18"/>
    </w:rPr>
  </w:style>
  <w:style w:type="paragraph" w:styleId="Header">
    <w:name w:val="header"/>
    <w:basedOn w:val="Normal"/>
    <w:link w:val="HeaderChar"/>
    <w:uiPriority w:val="99"/>
    <w:unhideWhenUsed/>
    <w:rsid w:val="00B80073"/>
    <w:pPr>
      <w:tabs>
        <w:tab w:val="center" w:pos="4680"/>
        <w:tab w:val="right" w:pos="9360"/>
      </w:tabs>
    </w:pPr>
  </w:style>
  <w:style w:type="character" w:customStyle="1" w:styleId="HeaderChar">
    <w:name w:val="Header Char"/>
    <w:basedOn w:val="DefaultParagraphFont"/>
    <w:link w:val="Header"/>
    <w:uiPriority w:val="99"/>
    <w:rsid w:val="00B80073"/>
    <w:rPr>
      <w:rFonts w:ascii="Calibri" w:hAnsi="Calibri" w:cs="Times New Roman"/>
    </w:rPr>
  </w:style>
  <w:style w:type="paragraph" w:styleId="Footer">
    <w:name w:val="footer"/>
    <w:basedOn w:val="Normal"/>
    <w:link w:val="FooterChar"/>
    <w:uiPriority w:val="99"/>
    <w:unhideWhenUsed/>
    <w:rsid w:val="00B80073"/>
    <w:pPr>
      <w:tabs>
        <w:tab w:val="center" w:pos="4680"/>
        <w:tab w:val="right" w:pos="9360"/>
      </w:tabs>
    </w:pPr>
  </w:style>
  <w:style w:type="character" w:customStyle="1" w:styleId="FooterChar">
    <w:name w:val="Footer Char"/>
    <w:basedOn w:val="DefaultParagraphFont"/>
    <w:link w:val="Footer"/>
    <w:uiPriority w:val="99"/>
    <w:rsid w:val="00B80073"/>
    <w:rPr>
      <w:rFonts w:ascii="Calibri" w:hAnsi="Calibri" w:cs="Times New Roman"/>
    </w:rPr>
  </w:style>
  <w:style w:type="paragraph" w:styleId="Title">
    <w:name w:val="Title"/>
    <w:basedOn w:val="Normal"/>
    <w:next w:val="Normal"/>
    <w:link w:val="TitleChar"/>
    <w:uiPriority w:val="10"/>
    <w:qFormat/>
    <w:rsid w:val="00B80073"/>
    <w:pPr>
      <w:widowControl w:val="0"/>
      <w:suppressAutoHyphens/>
      <w:ind w:left="720"/>
      <w:jc w:val="both"/>
    </w:pPr>
    <w:rPr>
      <w:rFonts w:asciiTheme="minorHAnsi" w:hAnsiTheme="minorHAnsi" w:cstheme="majorHAnsi"/>
      <w:b/>
      <w:color w:val="FF6B00"/>
      <w:sz w:val="32"/>
      <w:lang w:val="es-MX"/>
    </w:rPr>
  </w:style>
  <w:style w:type="character" w:customStyle="1" w:styleId="TitleChar">
    <w:name w:val="Title Char"/>
    <w:basedOn w:val="DefaultParagraphFont"/>
    <w:link w:val="Title"/>
    <w:uiPriority w:val="10"/>
    <w:rsid w:val="00B80073"/>
    <w:rPr>
      <w:rFonts w:cstheme="majorHAnsi"/>
      <w:b/>
      <w:color w:val="FF6B00"/>
      <w:sz w:val="32"/>
      <w:lang w:val="es-MX"/>
    </w:rPr>
  </w:style>
  <w:style w:type="character" w:styleId="PageNumber">
    <w:name w:val="page number"/>
    <w:basedOn w:val="DefaultParagraphFont"/>
    <w:uiPriority w:val="99"/>
    <w:semiHidden/>
    <w:unhideWhenUsed/>
    <w:rsid w:val="00C70786"/>
  </w:style>
  <w:style w:type="paragraph" w:styleId="NoSpacing">
    <w:name w:val="No Spacing"/>
    <w:uiPriority w:val="1"/>
    <w:qFormat/>
    <w:rsid w:val="006A7FA7"/>
    <w:pPr>
      <w:spacing w:after="0" w:line="240" w:lineRule="auto"/>
    </w:pPr>
    <w:rPr>
      <w:rFonts w:eastAsiaTheme="minorEastAsia"/>
      <w:sz w:val="24"/>
      <w:szCs w:val="24"/>
      <w:lang w:val="en-US"/>
    </w:rPr>
  </w:style>
  <w:style w:type="character" w:styleId="Hyperlink">
    <w:name w:val="Hyperlink"/>
    <w:basedOn w:val="DefaultParagraphFont"/>
    <w:uiPriority w:val="99"/>
    <w:unhideWhenUsed/>
    <w:qFormat/>
    <w:rsid w:val="00AC4581"/>
    <w:rPr>
      <w:color w:val="0563C1" w:themeColor="hyperlink"/>
      <w:u w:val="single"/>
    </w:rPr>
  </w:style>
  <w:style w:type="character" w:customStyle="1" w:styleId="FootnoteTextChar">
    <w:name w:val="Footnote Text Char"/>
    <w:aliases w:val="Style 6 Char"/>
    <w:basedOn w:val="DefaultParagraphFont"/>
    <w:link w:val="FootnoteText"/>
    <w:locked/>
    <w:rsid w:val="00AC4581"/>
    <w:rPr>
      <w:rFonts w:ascii="Cambria" w:hAnsi="Cambria" w:cs="Cambria"/>
      <w:sz w:val="20"/>
      <w:szCs w:val="20"/>
    </w:rPr>
  </w:style>
  <w:style w:type="paragraph" w:styleId="FootnoteText">
    <w:name w:val="footnote text"/>
    <w:aliases w:val="Style 6"/>
    <w:basedOn w:val="Normal"/>
    <w:link w:val="FootnoteTextChar"/>
    <w:unhideWhenUsed/>
    <w:rsid w:val="00AC4581"/>
    <w:pPr>
      <w:suppressAutoHyphens/>
    </w:pPr>
    <w:rPr>
      <w:rFonts w:ascii="Cambria" w:hAnsi="Cambria" w:cs="Cambria"/>
      <w:sz w:val="20"/>
      <w:szCs w:val="20"/>
    </w:rPr>
  </w:style>
  <w:style w:type="character" w:customStyle="1" w:styleId="FootnoteTextChar1">
    <w:name w:val="Footnote Text Char1"/>
    <w:basedOn w:val="DefaultParagraphFont"/>
    <w:uiPriority w:val="99"/>
    <w:semiHidden/>
    <w:rsid w:val="00AC4581"/>
    <w:rPr>
      <w:rFonts w:ascii="Calibri" w:hAnsi="Calibri" w:cs="Times New Roman"/>
      <w:sz w:val="20"/>
      <w:szCs w:val="20"/>
    </w:rPr>
  </w:style>
  <w:style w:type="paragraph" w:styleId="Signature">
    <w:name w:val="Signature"/>
    <w:basedOn w:val="Normal"/>
    <w:link w:val="SignatureChar"/>
    <w:semiHidden/>
    <w:unhideWhenUsed/>
    <w:rsid w:val="00AC4581"/>
    <w:pPr>
      <w:suppressAutoHyphens/>
      <w:ind w:left="4320"/>
    </w:pPr>
    <w:rPr>
      <w:rFonts w:ascii="Times New Roman" w:eastAsia="Times New Roman" w:hAnsi="Times New Roman"/>
      <w:szCs w:val="20"/>
      <w:lang w:val="en-US"/>
    </w:rPr>
  </w:style>
  <w:style w:type="character" w:customStyle="1" w:styleId="SignatureChar">
    <w:name w:val="Signature Char"/>
    <w:basedOn w:val="DefaultParagraphFont"/>
    <w:link w:val="Signature"/>
    <w:semiHidden/>
    <w:rsid w:val="00AC4581"/>
    <w:rPr>
      <w:rFonts w:ascii="Times New Roman" w:eastAsia="Times New Roman" w:hAnsi="Times New Roman" w:cs="Times New Roman"/>
      <w:szCs w:val="20"/>
      <w:lang w:val="en-US"/>
    </w:rPr>
  </w:style>
  <w:style w:type="character" w:customStyle="1" w:styleId="SubtitleGIFTChar">
    <w:name w:val="Subtitle_GIFT Char"/>
    <w:basedOn w:val="DefaultParagraphFont"/>
    <w:link w:val="SubtitleGIFT"/>
    <w:locked/>
    <w:rsid w:val="00AC4581"/>
    <w:rPr>
      <w:rFonts w:ascii="Calibri Light" w:hAnsi="Calibri Light" w:cstheme="majorHAnsi"/>
      <w:b/>
      <w:color w:val="FF6B00"/>
      <w:sz w:val="32"/>
    </w:rPr>
  </w:style>
  <w:style w:type="paragraph" w:customStyle="1" w:styleId="SubtitleGIFT">
    <w:name w:val="Subtitle_GIFT"/>
    <w:basedOn w:val="Normal"/>
    <w:link w:val="SubtitleGIFTChar"/>
    <w:qFormat/>
    <w:rsid w:val="00AC4581"/>
    <w:rPr>
      <w:rFonts w:ascii="Calibri Light" w:hAnsi="Calibri Light" w:cstheme="majorHAnsi"/>
      <w:b/>
      <w:color w:val="FF6B00"/>
      <w:sz w:val="32"/>
    </w:rPr>
  </w:style>
  <w:style w:type="character" w:customStyle="1" w:styleId="Subtitle2GIFTChar">
    <w:name w:val="Subtitle 2_GIFT Char"/>
    <w:basedOn w:val="SubtitleGIFTChar"/>
    <w:link w:val="Subtitle2GIFT"/>
    <w:locked/>
    <w:rsid w:val="00AC4581"/>
    <w:rPr>
      <w:rFonts w:ascii="Calibri Light" w:hAnsi="Calibri Light" w:cstheme="majorHAnsi"/>
      <w:b/>
      <w:color w:val="FF6B00"/>
      <w:sz w:val="28"/>
      <w:szCs w:val="28"/>
    </w:rPr>
  </w:style>
  <w:style w:type="paragraph" w:customStyle="1" w:styleId="Subtitle2GIFT">
    <w:name w:val="Subtitle 2_GIFT"/>
    <w:basedOn w:val="SubtitleGIFT"/>
    <w:link w:val="Subtitle2GIFTChar"/>
    <w:qFormat/>
    <w:rsid w:val="00AC4581"/>
    <w:rPr>
      <w:sz w:val="28"/>
      <w:szCs w:val="28"/>
    </w:rPr>
  </w:style>
  <w:style w:type="paragraph" w:customStyle="1" w:styleId="BodyON">
    <w:name w:val="Body ON"/>
    <w:basedOn w:val="Normal"/>
    <w:qFormat/>
    <w:rsid w:val="00AC4581"/>
    <w:rPr>
      <w:rFonts w:ascii="Helvetica Neue" w:eastAsia="Cambria" w:hAnsi="Helvetica Neue"/>
      <w:color w:val="5F6062"/>
      <w:sz w:val="18"/>
      <w:szCs w:val="18"/>
      <w:lang w:val="en-GB" w:eastAsia="en-GB"/>
    </w:rPr>
  </w:style>
  <w:style w:type="character" w:styleId="FootnoteReference">
    <w:name w:val="footnote reference"/>
    <w:aliases w:val="Style 5"/>
    <w:basedOn w:val="DefaultParagraphFont"/>
    <w:uiPriority w:val="99"/>
    <w:unhideWhenUsed/>
    <w:qFormat/>
    <w:rsid w:val="00AC4581"/>
    <w:rPr>
      <w:vertAlign w:val="superscript"/>
    </w:rPr>
  </w:style>
  <w:style w:type="table" w:styleId="TableGrid">
    <w:name w:val="Table Grid"/>
    <w:basedOn w:val="TableNormal"/>
    <w:uiPriority w:val="39"/>
    <w:rsid w:val="00AC4581"/>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AC4581"/>
    <w:pPr>
      <w:spacing w:after="0" w:line="240" w:lineRule="auto"/>
    </w:pPr>
    <w:rPr>
      <w:rFonts w:ascii="Cambria" w:eastAsia="Cambria" w:hAnsi="Cambria" w:cs="Times New Roman"/>
      <w:sz w:val="24"/>
      <w:szCs w:val="24"/>
      <w:lang w:val="en-US"/>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UnresolvedMention1">
    <w:name w:val="Unresolved Mention1"/>
    <w:basedOn w:val="DefaultParagraphFont"/>
    <w:uiPriority w:val="99"/>
    <w:semiHidden/>
    <w:unhideWhenUsed/>
    <w:rsid w:val="005B2FEE"/>
    <w:rPr>
      <w:color w:val="605E5C"/>
      <w:shd w:val="clear" w:color="auto" w:fill="E1DFDD"/>
    </w:rPr>
  </w:style>
  <w:style w:type="character" w:styleId="Strong">
    <w:name w:val="Strong"/>
    <w:basedOn w:val="DefaultParagraphFont"/>
    <w:uiPriority w:val="22"/>
    <w:qFormat/>
    <w:rsid w:val="00BB2113"/>
    <w:rPr>
      <w:b/>
      <w:bCs/>
    </w:rPr>
  </w:style>
  <w:style w:type="character" w:styleId="FollowedHyperlink">
    <w:name w:val="FollowedHyperlink"/>
    <w:basedOn w:val="DefaultParagraphFont"/>
    <w:uiPriority w:val="99"/>
    <w:semiHidden/>
    <w:unhideWhenUsed/>
    <w:rsid w:val="00142FA5"/>
    <w:rPr>
      <w:color w:val="954F72" w:themeColor="followedHyperlink"/>
      <w:u w:val="single"/>
    </w:rPr>
  </w:style>
  <w:style w:type="character" w:styleId="CommentReference">
    <w:name w:val="annotation reference"/>
    <w:basedOn w:val="DefaultParagraphFont"/>
    <w:uiPriority w:val="99"/>
    <w:semiHidden/>
    <w:unhideWhenUsed/>
    <w:rsid w:val="00925AD8"/>
    <w:rPr>
      <w:sz w:val="16"/>
      <w:szCs w:val="16"/>
    </w:rPr>
  </w:style>
  <w:style w:type="paragraph" w:styleId="CommentText">
    <w:name w:val="annotation text"/>
    <w:basedOn w:val="Normal"/>
    <w:link w:val="CommentTextChar"/>
    <w:uiPriority w:val="99"/>
    <w:unhideWhenUsed/>
    <w:rsid w:val="00925AD8"/>
    <w:rPr>
      <w:sz w:val="20"/>
      <w:szCs w:val="20"/>
    </w:rPr>
  </w:style>
  <w:style w:type="character" w:customStyle="1" w:styleId="CommentTextChar">
    <w:name w:val="Comment Text Char"/>
    <w:basedOn w:val="DefaultParagraphFont"/>
    <w:link w:val="CommentText"/>
    <w:uiPriority w:val="99"/>
    <w:rsid w:val="00925AD8"/>
    <w:rPr>
      <w:rFonts w:ascii="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925AD8"/>
    <w:rPr>
      <w:b/>
      <w:bCs/>
    </w:rPr>
  </w:style>
  <w:style w:type="character" w:customStyle="1" w:styleId="CommentSubjectChar">
    <w:name w:val="Comment Subject Char"/>
    <w:basedOn w:val="CommentTextChar"/>
    <w:link w:val="CommentSubject"/>
    <w:uiPriority w:val="99"/>
    <w:semiHidden/>
    <w:rsid w:val="00925AD8"/>
    <w:rPr>
      <w:rFonts w:ascii="Calibri" w:hAnsi="Calibri" w:cs="Times New Roman"/>
      <w:b/>
      <w:bCs/>
      <w:sz w:val="20"/>
      <w:szCs w:val="20"/>
    </w:rPr>
  </w:style>
  <w:style w:type="paragraph" w:styleId="Revision">
    <w:name w:val="Revision"/>
    <w:hidden/>
    <w:uiPriority w:val="99"/>
    <w:semiHidden/>
    <w:rsid w:val="00925AD8"/>
    <w:pPr>
      <w:spacing w:after="0" w:line="240" w:lineRule="auto"/>
    </w:pPr>
    <w:rPr>
      <w:rFonts w:ascii="Calibri" w:hAnsi="Calibri" w:cs="Times New Roman"/>
    </w:rPr>
  </w:style>
  <w:style w:type="character" w:customStyle="1" w:styleId="UnresolvedMention2">
    <w:name w:val="Unresolved Mention2"/>
    <w:basedOn w:val="DefaultParagraphFont"/>
    <w:uiPriority w:val="99"/>
    <w:semiHidden/>
    <w:unhideWhenUsed/>
    <w:rsid w:val="00BA4893"/>
    <w:rPr>
      <w:color w:val="605E5C"/>
      <w:shd w:val="clear" w:color="auto" w:fill="E1DFDD"/>
    </w:rPr>
  </w:style>
  <w:style w:type="paragraph" w:styleId="TOCHeading">
    <w:name w:val="TOC Heading"/>
    <w:basedOn w:val="Heading1"/>
    <w:next w:val="Normal"/>
    <w:uiPriority w:val="39"/>
    <w:unhideWhenUsed/>
    <w:qFormat/>
    <w:rsid w:val="000E702F"/>
    <w:pPr>
      <w:spacing w:line="259" w:lineRule="auto"/>
      <w:outlineLvl w:val="9"/>
    </w:pPr>
    <w:rPr>
      <w:lang w:val="en-US"/>
    </w:rPr>
  </w:style>
  <w:style w:type="paragraph" w:styleId="TOC1">
    <w:name w:val="toc 1"/>
    <w:basedOn w:val="Normal"/>
    <w:next w:val="Normal"/>
    <w:autoRedefine/>
    <w:uiPriority w:val="39"/>
    <w:unhideWhenUsed/>
    <w:rsid w:val="00F24CC8"/>
    <w:pPr>
      <w:tabs>
        <w:tab w:val="right" w:leader="dot" w:pos="10456"/>
      </w:tabs>
      <w:spacing w:before="120"/>
    </w:pPr>
    <w:rPr>
      <w:rFonts w:ascii="Arial" w:hAnsi="Arial" w:cs="Arial"/>
      <w:b/>
      <w:bCs/>
      <w:noProof/>
      <w:color w:val="ED5625"/>
      <w:sz w:val="20"/>
      <w:szCs w:val="20"/>
      <w:lang w:val="en-US"/>
    </w:rPr>
  </w:style>
  <w:style w:type="paragraph" w:styleId="TOC2">
    <w:name w:val="toc 2"/>
    <w:basedOn w:val="Normal"/>
    <w:next w:val="Normal"/>
    <w:autoRedefine/>
    <w:uiPriority w:val="39"/>
    <w:unhideWhenUsed/>
    <w:rsid w:val="002812E5"/>
    <w:pPr>
      <w:tabs>
        <w:tab w:val="left" w:pos="880"/>
        <w:tab w:val="right" w:leader="dot" w:pos="10456"/>
      </w:tabs>
      <w:spacing w:before="120"/>
      <w:ind w:left="940"/>
    </w:pPr>
    <w:rPr>
      <w:rFonts w:asciiTheme="minorHAnsi" w:hAnsiTheme="minorHAnsi" w:cstheme="minorHAnsi"/>
      <w:b/>
      <w:bCs/>
    </w:rPr>
  </w:style>
  <w:style w:type="paragraph" w:styleId="TOC3">
    <w:name w:val="toc 3"/>
    <w:basedOn w:val="Normal"/>
    <w:next w:val="Normal"/>
    <w:autoRedefine/>
    <w:uiPriority w:val="39"/>
    <w:unhideWhenUsed/>
    <w:rsid w:val="00F24CC8"/>
    <w:pPr>
      <w:tabs>
        <w:tab w:val="right" w:leader="dot" w:pos="10456"/>
      </w:tabs>
    </w:pPr>
    <w:rPr>
      <w:rFonts w:ascii="Arial" w:hAnsi="Arial" w:cs="Arial"/>
      <w:noProof/>
      <w:color w:val="69557F"/>
      <w:sz w:val="20"/>
      <w:szCs w:val="20"/>
      <w:lang w:val="en-US"/>
    </w:rPr>
  </w:style>
  <w:style w:type="table" w:customStyle="1" w:styleId="GridTable4-Accent61">
    <w:name w:val="Grid Table 4 - Accent 61"/>
    <w:basedOn w:val="TableNormal"/>
    <w:uiPriority w:val="49"/>
    <w:rsid w:val="0063094B"/>
    <w:pPr>
      <w:spacing w:after="0" w:line="240" w:lineRule="auto"/>
    </w:pPr>
    <w:rPr>
      <w:rFonts w:ascii="Calibri" w:eastAsia="Calibri" w:hAnsi="Calibri" w:cs="Times New Roman"/>
      <w:sz w:val="20"/>
      <w:szCs w:val="20"/>
      <w:lang w:val="en-US"/>
    </w:rPr>
    <w:tblPr>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styleId="NormalWeb">
    <w:name w:val="Normal (Web)"/>
    <w:basedOn w:val="Normal"/>
    <w:uiPriority w:val="99"/>
    <w:unhideWhenUsed/>
    <w:rsid w:val="00F36B7F"/>
    <w:rPr>
      <w:rFonts w:ascii="Times New Roman" w:hAnsi="Times New Roman"/>
      <w:sz w:val="24"/>
      <w:szCs w:val="24"/>
    </w:rPr>
  </w:style>
  <w:style w:type="paragraph" w:styleId="PlainText">
    <w:name w:val="Plain Text"/>
    <w:basedOn w:val="Normal"/>
    <w:link w:val="PlainTextChar"/>
    <w:uiPriority w:val="99"/>
    <w:semiHidden/>
    <w:unhideWhenUsed/>
    <w:rsid w:val="00200595"/>
    <w:rPr>
      <w:rFonts w:ascii="Consolas" w:hAnsi="Consolas"/>
      <w:sz w:val="21"/>
      <w:szCs w:val="21"/>
    </w:rPr>
  </w:style>
  <w:style w:type="character" w:customStyle="1" w:styleId="PlainTextChar">
    <w:name w:val="Plain Text Char"/>
    <w:basedOn w:val="DefaultParagraphFont"/>
    <w:link w:val="PlainText"/>
    <w:uiPriority w:val="99"/>
    <w:semiHidden/>
    <w:rsid w:val="00200595"/>
    <w:rPr>
      <w:rFonts w:ascii="Consolas" w:hAnsi="Consolas" w:cs="Times New Roman"/>
      <w:sz w:val="21"/>
      <w:szCs w:val="21"/>
    </w:rPr>
  </w:style>
  <w:style w:type="paragraph" w:styleId="TOC4">
    <w:name w:val="toc 4"/>
    <w:basedOn w:val="Normal"/>
    <w:next w:val="Normal"/>
    <w:autoRedefine/>
    <w:uiPriority w:val="39"/>
    <w:unhideWhenUsed/>
    <w:rsid w:val="006A7095"/>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6A7095"/>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6A7095"/>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6A7095"/>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6A7095"/>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6A7095"/>
    <w:pPr>
      <w:ind w:left="1760"/>
    </w:pPr>
    <w:rPr>
      <w:rFonts w:asciiTheme="minorHAnsi" w:hAnsiTheme="minorHAnsi" w:cstheme="minorHAnsi"/>
      <w:sz w:val="20"/>
      <w:szCs w:val="20"/>
    </w:rPr>
  </w:style>
  <w:style w:type="character" w:customStyle="1" w:styleId="UnresolvedMention3">
    <w:name w:val="Unresolved Mention3"/>
    <w:basedOn w:val="DefaultParagraphFont"/>
    <w:uiPriority w:val="99"/>
    <w:semiHidden/>
    <w:unhideWhenUsed/>
    <w:rsid w:val="0072142F"/>
    <w:rPr>
      <w:color w:val="605E5C"/>
      <w:shd w:val="clear" w:color="auto" w:fill="E1DFDD"/>
    </w:rPr>
  </w:style>
  <w:style w:type="table" w:customStyle="1" w:styleId="TableGrid1">
    <w:name w:val="Table Grid1"/>
    <w:basedOn w:val="TableNormal"/>
    <w:next w:val="TableGrid"/>
    <w:uiPriority w:val="39"/>
    <w:rsid w:val="00FF52A5"/>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next w:val="GridTable5Dark-Accent2"/>
    <w:uiPriority w:val="50"/>
    <w:rsid w:val="00572E2E"/>
    <w:pPr>
      <w:spacing w:after="0" w:line="240" w:lineRule="auto"/>
    </w:pPr>
    <w:rPr>
      <w:rFonts w:eastAsia="Calibri"/>
      <w:lang w:val="es-MX"/>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styleId="GridTable5Dark-Accent2">
    <w:name w:val="Grid Table 5 Dark Accent 2"/>
    <w:basedOn w:val="TableNormal"/>
    <w:uiPriority w:val="50"/>
    <w:rsid w:val="00572E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customStyle="1" w:styleId="UnresolvedMention4">
    <w:name w:val="Unresolved Mention4"/>
    <w:basedOn w:val="DefaultParagraphFont"/>
    <w:uiPriority w:val="99"/>
    <w:semiHidden/>
    <w:unhideWhenUsed/>
    <w:rsid w:val="00514936"/>
    <w:rPr>
      <w:color w:val="605E5C"/>
      <w:shd w:val="clear" w:color="auto" w:fill="E1DFDD"/>
    </w:rPr>
  </w:style>
  <w:style w:type="paragraph" w:customStyle="1" w:styleId="TableParagraph">
    <w:name w:val="Table Paragraph"/>
    <w:basedOn w:val="Normal"/>
    <w:uiPriority w:val="1"/>
    <w:qFormat/>
    <w:rsid w:val="008B4593"/>
    <w:pPr>
      <w:widowControl w:val="0"/>
      <w:autoSpaceDE w:val="0"/>
      <w:autoSpaceDN w:val="0"/>
    </w:pPr>
    <w:rPr>
      <w:rFonts w:ascii="RobotoRegular" w:eastAsia="RobotoRegular" w:hAnsi="RobotoRegular" w:cs="RobotoRegular"/>
      <w:lang w:val="en-US"/>
    </w:rPr>
  </w:style>
  <w:style w:type="character" w:customStyle="1" w:styleId="UnresolvedMention5">
    <w:name w:val="Unresolved Mention5"/>
    <w:basedOn w:val="DefaultParagraphFont"/>
    <w:uiPriority w:val="99"/>
    <w:semiHidden/>
    <w:unhideWhenUsed/>
    <w:rsid w:val="00777FD7"/>
    <w:rPr>
      <w:color w:val="605E5C"/>
      <w:shd w:val="clear" w:color="auto" w:fill="E1DFDD"/>
    </w:rPr>
  </w:style>
  <w:style w:type="character" w:customStyle="1" w:styleId="UnresolvedMention6">
    <w:name w:val="Unresolved Mention6"/>
    <w:basedOn w:val="DefaultParagraphFont"/>
    <w:uiPriority w:val="99"/>
    <w:semiHidden/>
    <w:unhideWhenUsed/>
    <w:rsid w:val="00E70887"/>
    <w:rPr>
      <w:color w:val="605E5C"/>
      <w:shd w:val="clear" w:color="auto" w:fill="E1DFDD"/>
    </w:rPr>
  </w:style>
  <w:style w:type="character" w:customStyle="1" w:styleId="UnresolvedMention7">
    <w:name w:val="Unresolved Mention7"/>
    <w:basedOn w:val="DefaultParagraphFont"/>
    <w:uiPriority w:val="99"/>
    <w:semiHidden/>
    <w:unhideWhenUsed/>
    <w:rsid w:val="00872DB5"/>
    <w:rPr>
      <w:color w:val="605E5C"/>
      <w:shd w:val="clear" w:color="auto" w:fill="E1DFDD"/>
    </w:rPr>
  </w:style>
  <w:style w:type="character" w:customStyle="1" w:styleId="UnresolvedMention8">
    <w:name w:val="Unresolved Mention8"/>
    <w:basedOn w:val="DefaultParagraphFont"/>
    <w:uiPriority w:val="99"/>
    <w:semiHidden/>
    <w:unhideWhenUsed/>
    <w:rsid w:val="001E09E4"/>
    <w:rPr>
      <w:color w:val="605E5C"/>
      <w:shd w:val="clear" w:color="auto" w:fill="E1DFDD"/>
    </w:rPr>
  </w:style>
  <w:style w:type="character" w:customStyle="1" w:styleId="UnresolvedMention9">
    <w:name w:val="Unresolved Mention9"/>
    <w:basedOn w:val="DefaultParagraphFont"/>
    <w:uiPriority w:val="99"/>
    <w:semiHidden/>
    <w:unhideWhenUsed/>
    <w:rsid w:val="00B53BF4"/>
    <w:rPr>
      <w:color w:val="605E5C"/>
      <w:shd w:val="clear" w:color="auto" w:fill="E1DFDD"/>
    </w:rPr>
  </w:style>
  <w:style w:type="character" w:customStyle="1" w:styleId="UnresolvedMention10">
    <w:name w:val="Unresolved Mention10"/>
    <w:basedOn w:val="DefaultParagraphFont"/>
    <w:uiPriority w:val="99"/>
    <w:semiHidden/>
    <w:unhideWhenUsed/>
    <w:rsid w:val="00121AD8"/>
    <w:rPr>
      <w:color w:val="605E5C"/>
      <w:shd w:val="clear" w:color="auto" w:fill="E1DFDD"/>
    </w:rPr>
  </w:style>
  <w:style w:type="character" w:styleId="UnresolvedMention">
    <w:name w:val="Unresolved Mention"/>
    <w:basedOn w:val="DefaultParagraphFont"/>
    <w:uiPriority w:val="99"/>
    <w:semiHidden/>
    <w:unhideWhenUsed/>
    <w:rsid w:val="00834D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392798">
      <w:bodyDiv w:val="1"/>
      <w:marLeft w:val="0"/>
      <w:marRight w:val="0"/>
      <w:marTop w:val="0"/>
      <w:marBottom w:val="0"/>
      <w:divBdr>
        <w:top w:val="none" w:sz="0" w:space="0" w:color="auto"/>
        <w:left w:val="none" w:sz="0" w:space="0" w:color="auto"/>
        <w:bottom w:val="none" w:sz="0" w:space="0" w:color="auto"/>
        <w:right w:val="none" w:sz="0" w:space="0" w:color="auto"/>
      </w:divBdr>
    </w:div>
    <w:div w:id="265425012">
      <w:bodyDiv w:val="1"/>
      <w:marLeft w:val="0"/>
      <w:marRight w:val="0"/>
      <w:marTop w:val="0"/>
      <w:marBottom w:val="0"/>
      <w:divBdr>
        <w:top w:val="none" w:sz="0" w:space="0" w:color="auto"/>
        <w:left w:val="none" w:sz="0" w:space="0" w:color="auto"/>
        <w:bottom w:val="none" w:sz="0" w:space="0" w:color="auto"/>
        <w:right w:val="none" w:sz="0" w:space="0" w:color="auto"/>
      </w:divBdr>
    </w:div>
    <w:div w:id="271281999">
      <w:bodyDiv w:val="1"/>
      <w:marLeft w:val="0"/>
      <w:marRight w:val="0"/>
      <w:marTop w:val="0"/>
      <w:marBottom w:val="0"/>
      <w:divBdr>
        <w:top w:val="none" w:sz="0" w:space="0" w:color="auto"/>
        <w:left w:val="none" w:sz="0" w:space="0" w:color="auto"/>
        <w:bottom w:val="none" w:sz="0" w:space="0" w:color="auto"/>
        <w:right w:val="none" w:sz="0" w:space="0" w:color="auto"/>
      </w:divBdr>
    </w:div>
    <w:div w:id="297301692">
      <w:bodyDiv w:val="1"/>
      <w:marLeft w:val="0"/>
      <w:marRight w:val="0"/>
      <w:marTop w:val="0"/>
      <w:marBottom w:val="0"/>
      <w:divBdr>
        <w:top w:val="none" w:sz="0" w:space="0" w:color="auto"/>
        <w:left w:val="none" w:sz="0" w:space="0" w:color="auto"/>
        <w:bottom w:val="none" w:sz="0" w:space="0" w:color="auto"/>
        <w:right w:val="none" w:sz="0" w:space="0" w:color="auto"/>
      </w:divBdr>
    </w:div>
    <w:div w:id="304161411">
      <w:bodyDiv w:val="1"/>
      <w:marLeft w:val="0"/>
      <w:marRight w:val="0"/>
      <w:marTop w:val="0"/>
      <w:marBottom w:val="0"/>
      <w:divBdr>
        <w:top w:val="none" w:sz="0" w:space="0" w:color="auto"/>
        <w:left w:val="none" w:sz="0" w:space="0" w:color="auto"/>
        <w:bottom w:val="none" w:sz="0" w:space="0" w:color="auto"/>
        <w:right w:val="none" w:sz="0" w:space="0" w:color="auto"/>
      </w:divBdr>
    </w:div>
    <w:div w:id="379789565">
      <w:bodyDiv w:val="1"/>
      <w:marLeft w:val="0"/>
      <w:marRight w:val="0"/>
      <w:marTop w:val="0"/>
      <w:marBottom w:val="0"/>
      <w:divBdr>
        <w:top w:val="none" w:sz="0" w:space="0" w:color="auto"/>
        <w:left w:val="none" w:sz="0" w:space="0" w:color="auto"/>
        <w:bottom w:val="none" w:sz="0" w:space="0" w:color="auto"/>
        <w:right w:val="none" w:sz="0" w:space="0" w:color="auto"/>
      </w:divBdr>
    </w:div>
    <w:div w:id="401104825">
      <w:bodyDiv w:val="1"/>
      <w:marLeft w:val="0"/>
      <w:marRight w:val="0"/>
      <w:marTop w:val="0"/>
      <w:marBottom w:val="0"/>
      <w:divBdr>
        <w:top w:val="none" w:sz="0" w:space="0" w:color="auto"/>
        <w:left w:val="none" w:sz="0" w:space="0" w:color="auto"/>
        <w:bottom w:val="none" w:sz="0" w:space="0" w:color="auto"/>
        <w:right w:val="none" w:sz="0" w:space="0" w:color="auto"/>
      </w:divBdr>
    </w:div>
    <w:div w:id="743140511">
      <w:bodyDiv w:val="1"/>
      <w:marLeft w:val="0"/>
      <w:marRight w:val="0"/>
      <w:marTop w:val="0"/>
      <w:marBottom w:val="0"/>
      <w:divBdr>
        <w:top w:val="none" w:sz="0" w:space="0" w:color="auto"/>
        <w:left w:val="none" w:sz="0" w:space="0" w:color="auto"/>
        <w:bottom w:val="none" w:sz="0" w:space="0" w:color="auto"/>
        <w:right w:val="none" w:sz="0" w:space="0" w:color="auto"/>
      </w:divBdr>
    </w:div>
    <w:div w:id="786200442">
      <w:bodyDiv w:val="1"/>
      <w:marLeft w:val="0"/>
      <w:marRight w:val="0"/>
      <w:marTop w:val="0"/>
      <w:marBottom w:val="0"/>
      <w:divBdr>
        <w:top w:val="none" w:sz="0" w:space="0" w:color="auto"/>
        <w:left w:val="none" w:sz="0" w:space="0" w:color="auto"/>
        <w:bottom w:val="none" w:sz="0" w:space="0" w:color="auto"/>
        <w:right w:val="none" w:sz="0" w:space="0" w:color="auto"/>
      </w:divBdr>
    </w:div>
    <w:div w:id="800073823">
      <w:bodyDiv w:val="1"/>
      <w:marLeft w:val="0"/>
      <w:marRight w:val="0"/>
      <w:marTop w:val="0"/>
      <w:marBottom w:val="0"/>
      <w:divBdr>
        <w:top w:val="none" w:sz="0" w:space="0" w:color="auto"/>
        <w:left w:val="none" w:sz="0" w:space="0" w:color="auto"/>
        <w:bottom w:val="none" w:sz="0" w:space="0" w:color="auto"/>
        <w:right w:val="none" w:sz="0" w:space="0" w:color="auto"/>
      </w:divBdr>
      <w:divsChild>
        <w:div w:id="12665006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1079971">
              <w:marLeft w:val="0"/>
              <w:marRight w:val="0"/>
              <w:marTop w:val="0"/>
              <w:marBottom w:val="0"/>
              <w:divBdr>
                <w:top w:val="none" w:sz="0" w:space="0" w:color="auto"/>
                <w:left w:val="none" w:sz="0" w:space="0" w:color="auto"/>
                <w:bottom w:val="none" w:sz="0" w:space="0" w:color="auto"/>
                <w:right w:val="none" w:sz="0" w:space="0" w:color="auto"/>
              </w:divBdr>
              <w:divsChild>
                <w:div w:id="1980569074">
                  <w:marLeft w:val="0"/>
                  <w:marRight w:val="0"/>
                  <w:marTop w:val="0"/>
                  <w:marBottom w:val="0"/>
                  <w:divBdr>
                    <w:top w:val="none" w:sz="0" w:space="0" w:color="auto"/>
                    <w:left w:val="none" w:sz="0" w:space="0" w:color="auto"/>
                    <w:bottom w:val="none" w:sz="0" w:space="0" w:color="auto"/>
                    <w:right w:val="none" w:sz="0" w:space="0" w:color="auto"/>
                  </w:divBdr>
                  <w:divsChild>
                    <w:div w:id="124630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979984">
      <w:bodyDiv w:val="1"/>
      <w:marLeft w:val="0"/>
      <w:marRight w:val="0"/>
      <w:marTop w:val="0"/>
      <w:marBottom w:val="0"/>
      <w:divBdr>
        <w:top w:val="none" w:sz="0" w:space="0" w:color="auto"/>
        <w:left w:val="none" w:sz="0" w:space="0" w:color="auto"/>
        <w:bottom w:val="none" w:sz="0" w:space="0" w:color="auto"/>
        <w:right w:val="none" w:sz="0" w:space="0" w:color="auto"/>
      </w:divBdr>
    </w:div>
    <w:div w:id="921373359">
      <w:bodyDiv w:val="1"/>
      <w:marLeft w:val="0"/>
      <w:marRight w:val="0"/>
      <w:marTop w:val="0"/>
      <w:marBottom w:val="0"/>
      <w:divBdr>
        <w:top w:val="none" w:sz="0" w:space="0" w:color="auto"/>
        <w:left w:val="none" w:sz="0" w:space="0" w:color="auto"/>
        <w:bottom w:val="none" w:sz="0" w:space="0" w:color="auto"/>
        <w:right w:val="none" w:sz="0" w:space="0" w:color="auto"/>
      </w:divBdr>
    </w:div>
    <w:div w:id="1049956761">
      <w:bodyDiv w:val="1"/>
      <w:marLeft w:val="0"/>
      <w:marRight w:val="0"/>
      <w:marTop w:val="0"/>
      <w:marBottom w:val="0"/>
      <w:divBdr>
        <w:top w:val="none" w:sz="0" w:space="0" w:color="auto"/>
        <w:left w:val="none" w:sz="0" w:space="0" w:color="auto"/>
        <w:bottom w:val="none" w:sz="0" w:space="0" w:color="auto"/>
        <w:right w:val="none" w:sz="0" w:space="0" w:color="auto"/>
      </w:divBdr>
      <w:divsChild>
        <w:div w:id="605577297">
          <w:marLeft w:val="0"/>
          <w:marRight w:val="0"/>
          <w:marTop w:val="0"/>
          <w:marBottom w:val="0"/>
          <w:divBdr>
            <w:top w:val="none" w:sz="0" w:space="0" w:color="auto"/>
            <w:left w:val="none" w:sz="0" w:space="0" w:color="auto"/>
            <w:bottom w:val="none" w:sz="0" w:space="0" w:color="auto"/>
            <w:right w:val="none" w:sz="0" w:space="0" w:color="auto"/>
          </w:divBdr>
          <w:divsChild>
            <w:div w:id="18818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86206">
      <w:bodyDiv w:val="1"/>
      <w:marLeft w:val="0"/>
      <w:marRight w:val="0"/>
      <w:marTop w:val="0"/>
      <w:marBottom w:val="0"/>
      <w:divBdr>
        <w:top w:val="none" w:sz="0" w:space="0" w:color="auto"/>
        <w:left w:val="none" w:sz="0" w:space="0" w:color="auto"/>
        <w:bottom w:val="none" w:sz="0" w:space="0" w:color="auto"/>
        <w:right w:val="none" w:sz="0" w:space="0" w:color="auto"/>
      </w:divBdr>
    </w:div>
    <w:div w:id="1138575080">
      <w:bodyDiv w:val="1"/>
      <w:marLeft w:val="0"/>
      <w:marRight w:val="0"/>
      <w:marTop w:val="0"/>
      <w:marBottom w:val="0"/>
      <w:divBdr>
        <w:top w:val="none" w:sz="0" w:space="0" w:color="auto"/>
        <w:left w:val="none" w:sz="0" w:space="0" w:color="auto"/>
        <w:bottom w:val="none" w:sz="0" w:space="0" w:color="auto"/>
        <w:right w:val="none" w:sz="0" w:space="0" w:color="auto"/>
      </w:divBdr>
    </w:div>
    <w:div w:id="1341392801">
      <w:bodyDiv w:val="1"/>
      <w:marLeft w:val="0"/>
      <w:marRight w:val="0"/>
      <w:marTop w:val="0"/>
      <w:marBottom w:val="0"/>
      <w:divBdr>
        <w:top w:val="none" w:sz="0" w:space="0" w:color="auto"/>
        <w:left w:val="none" w:sz="0" w:space="0" w:color="auto"/>
        <w:bottom w:val="none" w:sz="0" w:space="0" w:color="auto"/>
        <w:right w:val="none" w:sz="0" w:space="0" w:color="auto"/>
      </w:divBdr>
    </w:div>
    <w:div w:id="1375421758">
      <w:bodyDiv w:val="1"/>
      <w:marLeft w:val="0"/>
      <w:marRight w:val="0"/>
      <w:marTop w:val="0"/>
      <w:marBottom w:val="0"/>
      <w:divBdr>
        <w:top w:val="none" w:sz="0" w:space="0" w:color="auto"/>
        <w:left w:val="none" w:sz="0" w:space="0" w:color="auto"/>
        <w:bottom w:val="none" w:sz="0" w:space="0" w:color="auto"/>
        <w:right w:val="none" w:sz="0" w:space="0" w:color="auto"/>
      </w:divBdr>
    </w:div>
    <w:div w:id="1511021119">
      <w:bodyDiv w:val="1"/>
      <w:marLeft w:val="0"/>
      <w:marRight w:val="0"/>
      <w:marTop w:val="0"/>
      <w:marBottom w:val="0"/>
      <w:divBdr>
        <w:top w:val="none" w:sz="0" w:space="0" w:color="auto"/>
        <w:left w:val="none" w:sz="0" w:space="0" w:color="auto"/>
        <w:bottom w:val="none" w:sz="0" w:space="0" w:color="auto"/>
        <w:right w:val="none" w:sz="0" w:space="0" w:color="auto"/>
      </w:divBdr>
    </w:div>
    <w:div w:id="1707556068">
      <w:bodyDiv w:val="1"/>
      <w:marLeft w:val="0"/>
      <w:marRight w:val="0"/>
      <w:marTop w:val="0"/>
      <w:marBottom w:val="0"/>
      <w:divBdr>
        <w:top w:val="none" w:sz="0" w:space="0" w:color="auto"/>
        <w:left w:val="none" w:sz="0" w:space="0" w:color="auto"/>
        <w:bottom w:val="none" w:sz="0" w:space="0" w:color="auto"/>
        <w:right w:val="none" w:sz="0" w:space="0" w:color="auto"/>
      </w:divBdr>
    </w:div>
    <w:div w:id="1843815435">
      <w:bodyDiv w:val="1"/>
      <w:marLeft w:val="0"/>
      <w:marRight w:val="0"/>
      <w:marTop w:val="0"/>
      <w:marBottom w:val="0"/>
      <w:divBdr>
        <w:top w:val="none" w:sz="0" w:space="0" w:color="auto"/>
        <w:left w:val="none" w:sz="0" w:space="0" w:color="auto"/>
        <w:bottom w:val="none" w:sz="0" w:space="0" w:color="auto"/>
        <w:right w:val="none" w:sz="0" w:space="0" w:color="auto"/>
      </w:divBdr>
    </w:div>
    <w:div w:id="1993832232">
      <w:bodyDiv w:val="1"/>
      <w:marLeft w:val="0"/>
      <w:marRight w:val="0"/>
      <w:marTop w:val="0"/>
      <w:marBottom w:val="0"/>
      <w:divBdr>
        <w:top w:val="none" w:sz="0" w:space="0" w:color="auto"/>
        <w:left w:val="none" w:sz="0" w:space="0" w:color="auto"/>
        <w:bottom w:val="none" w:sz="0" w:space="0" w:color="auto"/>
        <w:right w:val="none" w:sz="0" w:space="0" w:color="auto"/>
      </w:divBdr>
    </w:div>
    <w:div w:id="2074303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elibrary.imf.org/doc/IMF069/11874-9781616351564/11874-9781616351564/Other_formats/Source_PDF/11874-9781463969813.pdf" TargetMode="External"/><Relationship Id="rId21" Type="http://schemas.openxmlformats.org/officeDocument/2006/relationships/image" Target="media/image10.png"/><Relationship Id="rId170" Type="http://schemas.openxmlformats.org/officeDocument/2006/relationships/hyperlink" Target="http://www.oecd.org/corruption-integrity/reports/oecd-budget-transparency-toolkit-9789264282070-en.html" TargetMode="External"/><Relationship Id="rId268" Type="http://schemas.openxmlformats.org/officeDocument/2006/relationships/hyperlink" Target="https://www.openingparliament.org/declaration/" TargetMode="External"/><Relationship Id="rId475" Type="http://schemas.openxmlformats.org/officeDocument/2006/relationships/image" Target="media/image112.png"/><Relationship Id="rId682" Type="http://schemas.openxmlformats.org/officeDocument/2006/relationships/image" Target="media/image206.png"/><Relationship Id="rId128" Type="http://schemas.openxmlformats.org/officeDocument/2006/relationships/hyperlink" Target="https://www.imf.org/external/np/fad/trans/Code2019.pdf" TargetMode="External"/><Relationship Id="rId335" Type="http://schemas.openxmlformats.org/officeDocument/2006/relationships/hyperlink" Target="https://www.imf.org/external/np/fad/trans/Code2019.pdf" TargetMode="External"/><Relationship Id="rId542" Type="http://schemas.openxmlformats.org/officeDocument/2006/relationships/hyperlink" Target="https://www.internationalbudget.org/publications/guidelines-for-capturing-social-audit-data/" TargetMode="External"/><Relationship Id="rId987" Type="http://schemas.openxmlformats.org/officeDocument/2006/relationships/image" Target="media/image345.png"/><Relationship Id="rId1172" Type="http://schemas.openxmlformats.org/officeDocument/2006/relationships/hyperlink" Target="https://www.oecd.org/gov/budgeting/seniorbudgetofficialnetworkssbo.htm" TargetMode="External"/><Relationship Id="rId402" Type="http://schemas.openxmlformats.org/officeDocument/2006/relationships/hyperlink" Target="https://www.civicus.org/documents/strategic-plan/civicus-strategic-plan-2017-2022_en.pdf" TargetMode="External"/><Relationship Id="rId847" Type="http://schemas.openxmlformats.org/officeDocument/2006/relationships/image" Target="media/image286.png"/><Relationship Id="rId1032" Type="http://schemas.openxmlformats.org/officeDocument/2006/relationships/hyperlink" Target="https://www.internationalbudget.org/" TargetMode="External"/><Relationship Id="rId1477" Type="http://schemas.openxmlformats.org/officeDocument/2006/relationships/hyperlink" Target="http://www.ipu.org/splz-e/busan11/principles.pdf" TargetMode="External"/><Relationship Id="rId707" Type="http://schemas.openxmlformats.org/officeDocument/2006/relationships/image" Target="media/image212.png"/><Relationship Id="rId914" Type="http://schemas.openxmlformats.org/officeDocument/2006/relationships/image" Target="media/image319.png"/><Relationship Id="rId1337" Type="http://schemas.openxmlformats.org/officeDocument/2006/relationships/hyperlink" Target="https://youtu.be/8wM16KFCP9Q" TargetMode="External"/><Relationship Id="rId1544" Type="http://schemas.openxmlformats.org/officeDocument/2006/relationships/hyperlink" Target="https://internationalbudget.org/friend-of-the-court-the-role-of-judiciaries-in-tax-reform/" TargetMode="External"/><Relationship Id="rId43" Type="http://schemas.openxmlformats.org/officeDocument/2006/relationships/image" Target="media/image29.png"/><Relationship Id="rId1404" Type="http://schemas.openxmlformats.org/officeDocument/2006/relationships/hyperlink" Target="https://youtu.be/8wM16KFCP9Q" TargetMode="External"/><Relationship Id="rId1611" Type="http://schemas.openxmlformats.org/officeDocument/2006/relationships/hyperlink" Target="https://www.internationalbudget.org/publications/getting-a-seat-at-the-table-civil-society-advocacy-for-budget-transparency-in-untransparent-countries/" TargetMode="External"/><Relationship Id="rId192" Type="http://schemas.openxmlformats.org/officeDocument/2006/relationships/hyperlink" Target="https://www.pefa.org/sites/pefa/files/resources/downloads/PEFA%202016_latest%20version_with%20links%20%282%29.pdf" TargetMode="External"/><Relationship Id="rId497" Type="http://schemas.openxmlformats.org/officeDocument/2006/relationships/image" Target="media/image123.png"/><Relationship Id="rId357" Type="http://schemas.openxmlformats.org/officeDocument/2006/relationships/hyperlink" Target="https://www.opengovpartnership.org/open-government-declaration" TargetMode="External"/><Relationship Id="rId1194" Type="http://schemas.openxmlformats.org/officeDocument/2006/relationships/hyperlink" Target="https://www.oecd.org/gov/budgeting/seniorbudgetofficialnetworkssbo.htm" TargetMode="External"/><Relationship Id="rId217" Type="http://schemas.openxmlformats.org/officeDocument/2006/relationships/hyperlink" Target="https://www.imf.org/external/np/fad/trans/manual.htm" TargetMode="External"/><Relationship Id="rId564" Type="http://schemas.openxmlformats.org/officeDocument/2006/relationships/hyperlink" Target="https://youtu.be/RVqDmyWnfrc" TargetMode="External"/><Relationship Id="rId771" Type="http://schemas.openxmlformats.org/officeDocument/2006/relationships/image" Target="media/image246.png"/><Relationship Id="rId869" Type="http://schemas.openxmlformats.org/officeDocument/2006/relationships/hyperlink" Target="http://www.g20.utoronto.ca/2015/G20-Anti-Corruption-Open-Data-Principles.pdf" TargetMode="External"/><Relationship Id="rId1499" Type="http://schemas.openxmlformats.org/officeDocument/2006/relationships/hyperlink" Target="http://www.seffaflik.org/wp-content/uploads/2015/02/G20-PRINCIPLES-FOR-PROMOTING-INTEGRITY-IN-PUBLIC-PROCUREMENT.pdf" TargetMode="External"/><Relationship Id="rId424" Type="http://schemas.openxmlformats.org/officeDocument/2006/relationships/hyperlink" Target="https://www.openingparliament.org/declaration/" TargetMode="External"/><Relationship Id="rId631" Type="http://schemas.openxmlformats.org/officeDocument/2006/relationships/hyperlink" Target="http://www.oecd.org/corruption-integrity/reports/oecd-budget-transparency-toolkit-9789264282070-en.html" TargetMode="External"/><Relationship Id="rId729" Type="http://schemas.openxmlformats.org/officeDocument/2006/relationships/hyperlink" Target="https://www.fiscaltransparency.net/making-tax-work/" TargetMode="External"/><Relationship Id="rId1054" Type="http://schemas.openxmlformats.org/officeDocument/2006/relationships/hyperlink" Target="https://www.internationalbudget.org/" TargetMode="External"/><Relationship Id="rId1261" Type="http://schemas.openxmlformats.org/officeDocument/2006/relationships/hyperlink" Target="https://www.oecd.org/gov/budgeting/seniorbudgetofficialnetworkssbo.htm" TargetMode="External"/><Relationship Id="rId1359" Type="http://schemas.openxmlformats.org/officeDocument/2006/relationships/hyperlink" Target="https://youtu.be/8wM16KFCP9Q" TargetMode="External"/><Relationship Id="rId936" Type="http://schemas.openxmlformats.org/officeDocument/2006/relationships/hyperlink" Target="https://olc.worldbank.org/content/open-data-data-producers-self-paced" TargetMode="External"/><Relationship Id="rId1121" Type="http://schemas.openxmlformats.org/officeDocument/2006/relationships/hyperlink" Target="https://www.internationalbudget.org/" TargetMode="External"/><Relationship Id="rId1219" Type="http://schemas.openxmlformats.org/officeDocument/2006/relationships/hyperlink" Target="https://www.oecd.org/gov/budgeting/seniorbudgetofficialnetworkssbo.htm" TargetMode="External"/><Relationship Id="rId1566" Type="http://schemas.openxmlformats.org/officeDocument/2006/relationships/hyperlink" Target="http://www.oecd.org/corruption-integrity/reports/oecd-budget-transparency-toolkit-9789264282070-en.html" TargetMode="External"/><Relationship Id="rId65" Type="http://schemas.openxmlformats.org/officeDocument/2006/relationships/hyperlink" Target="https://www.intosai.org/" TargetMode="External"/><Relationship Id="rId1426" Type="http://schemas.openxmlformats.org/officeDocument/2006/relationships/hyperlink" Target="https://youtu.be/8wM16KFCP9Q" TargetMode="External"/><Relationship Id="rId228" Type="http://schemas.openxmlformats.org/officeDocument/2006/relationships/hyperlink" Target="http://www.g20.utoronto.ca/2015/G20-Anti-Corruption-Open-Data-Principles.pdf" TargetMode="External"/><Relationship Id="rId435" Type="http://schemas.openxmlformats.org/officeDocument/2006/relationships/hyperlink" Target="http://dx.doi.org/10.1787/budget-11-5kg3pdgcpn42" TargetMode="External"/><Relationship Id="rId642" Type="http://schemas.openxmlformats.org/officeDocument/2006/relationships/image" Target="media/image194.png"/><Relationship Id="rId1065" Type="http://schemas.openxmlformats.org/officeDocument/2006/relationships/hyperlink" Target="https://www.internationalbudget.org/" TargetMode="External"/><Relationship Id="rId1272" Type="http://schemas.openxmlformats.org/officeDocument/2006/relationships/hyperlink" Target="https://www.oecd.org/gov/budgeting/seniorbudgetofficialnetworkssbo.htm" TargetMode="External"/><Relationship Id="rId281" Type="http://schemas.openxmlformats.org/officeDocument/2006/relationships/hyperlink" Target="https://www.imf.org/external/np/fad/publicinvestment/pdf/PFRAMmanual.pdf" TargetMode="External"/><Relationship Id="rId502" Type="http://schemas.openxmlformats.org/officeDocument/2006/relationships/image" Target="media/image125.png"/><Relationship Id="rId947" Type="http://schemas.openxmlformats.org/officeDocument/2006/relationships/hyperlink" Target="http://opendatatoolkit.worldbank.org/en/technical-assistance.html" TargetMode="External"/><Relationship Id="rId1132" Type="http://schemas.openxmlformats.org/officeDocument/2006/relationships/hyperlink" Target="https://www.internationalbudget.org/" TargetMode="External"/><Relationship Id="rId1577" Type="http://schemas.openxmlformats.org/officeDocument/2006/relationships/hyperlink" Target="https://www.pefa.org/sites/pefa/files/resources/downloads/PEFA%202016_latest%20version_with%20links%20%282%29.pdf" TargetMode="External"/><Relationship Id="rId76" Type="http://schemas.openxmlformats.org/officeDocument/2006/relationships/hyperlink" Target="http://www.oecd.org/corruption-integrity/reports/oecd-budget-transparency-toolkit-9789264282070-en.html" TargetMode="External"/><Relationship Id="rId141" Type="http://schemas.openxmlformats.org/officeDocument/2006/relationships/image" Target="media/image57.png"/><Relationship Id="rId379" Type="http://schemas.openxmlformats.org/officeDocument/2006/relationships/hyperlink" Target="https://www.ifac.org/knowledge-gateway/contributing-global-economy/publications/international-framework-good-governance-public-sector" TargetMode="External"/><Relationship Id="rId586" Type="http://schemas.openxmlformats.org/officeDocument/2006/relationships/image" Target="media/image170.png"/><Relationship Id="rId793" Type="http://schemas.openxmlformats.org/officeDocument/2006/relationships/image" Target="media/image258.png"/><Relationship Id="rId807" Type="http://schemas.openxmlformats.org/officeDocument/2006/relationships/image" Target="media/image264.png"/><Relationship Id="rId1437" Type="http://schemas.openxmlformats.org/officeDocument/2006/relationships/hyperlink" Target="https://youtu.be/8wM16KFCP9Q" TargetMode="External"/><Relationship Id="rId7" Type="http://schemas.openxmlformats.org/officeDocument/2006/relationships/endnotes" Target="endnotes.xml"/><Relationship Id="rId239" Type="http://schemas.openxmlformats.org/officeDocument/2006/relationships/hyperlink" Target="https://www.pefa.org/sites/pefa/files/resources/downloads/PEFA%202016_latest%20version_with%20links%20%282%29.pdf" TargetMode="External"/><Relationship Id="rId446" Type="http://schemas.openxmlformats.org/officeDocument/2006/relationships/hyperlink" Target="http://www.cpahq.org/" TargetMode="External"/><Relationship Id="rId653" Type="http://schemas.openxmlformats.org/officeDocument/2006/relationships/hyperlink" Target="https://www.internationalbudget.org/publications/obi-training-materials-for-governments/" TargetMode="External"/><Relationship Id="rId1076" Type="http://schemas.openxmlformats.org/officeDocument/2006/relationships/hyperlink" Target="https://www.internationalbudget.org/" TargetMode="External"/><Relationship Id="rId1283" Type="http://schemas.openxmlformats.org/officeDocument/2006/relationships/hyperlink" Target="https://www.oecd.org/gov/budgeting/seniorbudgetofficialnetworkssbo.htm" TargetMode="External"/><Relationship Id="rId1490" Type="http://schemas.openxmlformats.org/officeDocument/2006/relationships/hyperlink" Target="https://www.ipea.gov.br/participacao/images/pdfs/participacao/2014%20oramento%20participativo%20e%20mortalidade%20infantil.pdf" TargetMode="External"/><Relationship Id="rId1504" Type="http://schemas.openxmlformats.org/officeDocument/2006/relationships/hyperlink" Target="https://www.iap2.org/mpage/Home" TargetMode="External"/><Relationship Id="rId292" Type="http://schemas.openxmlformats.org/officeDocument/2006/relationships/hyperlink" Target="https://www.imf.org/external/pubs/ft/gfs/manual/compil.pdf" TargetMode="External"/><Relationship Id="rId306" Type="http://schemas.openxmlformats.org/officeDocument/2006/relationships/hyperlink" Target="http://www.oecd.org/corruption-integrity/reports/oecd-budget-transparency-toolkit-9789264282070-en.html" TargetMode="External"/><Relationship Id="rId860" Type="http://schemas.openxmlformats.org/officeDocument/2006/relationships/image" Target="media/image296.png"/><Relationship Id="rId958" Type="http://schemas.openxmlformats.org/officeDocument/2006/relationships/hyperlink" Target="https://fiscaltransparency.net/tutorial-on-fiscal-transparency-portals-2/" TargetMode="External"/><Relationship Id="rId1143" Type="http://schemas.openxmlformats.org/officeDocument/2006/relationships/hyperlink" Target="https://www.internationalbudget.org/" TargetMode="External"/><Relationship Id="rId1588" Type="http://schemas.openxmlformats.org/officeDocument/2006/relationships/hyperlink" Target="https://www.internationalbudget.org/publications/credibility-and-reliability-of-government-budgets-does-fiscal-transparency-matter/" TargetMode="External"/><Relationship Id="rId87" Type="http://schemas.openxmlformats.org/officeDocument/2006/relationships/hyperlink" Target="https://fiscaltransparency.net/gift-principles/" TargetMode="External"/><Relationship Id="rId513" Type="http://schemas.openxmlformats.org/officeDocument/2006/relationships/hyperlink" Target="https://www.imf.org/external/np/fad/trans/Code2019.pdf" TargetMode="External"/><Relationship Id="rId597" Type="http://schemas.openxmlformats.org/officeDocument/2006/relationships/image" Target="media/image174.png"/><Relationship Id="rId720" Type="http://schemas.openxmlformats.org/officeDocument/2006/relationships/hyperlink" Target="https://www.openownership.org/what-we-do/" TargetMode="External"/><Relationship Id="rId818" Type="http://schemas.openxmlformats.org/officeDocument/2006/relationships/image" Target="media/image269.jpeg"/><Relationship Id="rId1350" Type="http://schemas.openxmlformats.org/officeDocument/2006/relationships/hyperlink" Target="https://youtu.be/8wM16KFCP9Q" TargetMode="External"/><Relationship Id="rId1448" Type="http://schemas.openxmlformats.org/officeDocument/2006/relationships/hyperlink" Target="https://onlinelibrary.wiley.com/doi/10.1111/gove.12432" TargetMode="External"/><Relationship Id="rId152" Type="http://schemas.openxmlformats.org/officeDocument/2006/relationships/hyperlink" Target="https://www.imf.org/external/pubs/ft/gfs/manual/compil.pdf" TargetMode="External"/><Relationship Id="rId457" Type="http://schemas.openxmlformats.org/officeDocument/2006/relationships/hyperlink" Target="https://www.imf.org/external/np/fad/trans/Code2019.pdf" TargetMode="External"/><Relationship Id="rId1003" Type="http://schemas.openxmlformats.org/officeDocument/2006/relationships/image" Target="media/image354.png"/><Relationship Id="rId1087" Type="http://schemas.openxmlformats.org/officeDocument/2006/relationships/hyperlink" Target="https://www.internationalbudget.org/" TargetMode="External"/><Relationship Id="rId1210" Type="http://schemas.openxmlformats.org/officeDocument/2006/relationships/hyperlink" Target="https://www.oecd.org/gov/budgeting/seniorbudgetofficialnetworkssbo.htm" TargetMode="External"/><Relationship Id="rId1294" Type="http://schemas.openxmlformats.org/officeDocument/2006/relationships/hyperlink" Target="http://www.fiscaltransparency.net/" TargetMode="External"/><Relationship Id="rId1308" Type="http://schemas.openxmlformats.org/officeDocument/2006/relationships/image" Target="media/image390.png"/><Relationship Id="rId664" Type="http://schemas.openxmlformats.org/officeDocument/2006/relationships/hyperlink" Target="http://www.oecd.org/gov/budgeting/48170438.pdf" TargetMode="External"/><Relationship Id="rId871" Type="http://schemas.openxmlformats.org/officeDocument/2006/relationships/image" Target="media/image305.png"/><Relationship Id="rId969" Type="http://schemas.openxmlformats.org/officeDocument/2006/relationships/hyperlink" Target="https://www.internationalbudget.org/publications/road-to-budget-transparency-six-country-synthesis/" TargetMode="External"/><Relationship Id="rId1515" Type="http://schemas.openxmlformats.org/officeDocument/2006/relationships/hyperlink" Target="https://www.internationalbudget.org/sites/default/files/2020-04/2019_Report_EN.pdf" TargetMode="External"/><Relationship Id="rId1599" Type="http://schemas.openxmlformats.org/officeDocument/2006/relationships/hyperlink" Target="https://documents1.worldbank.org/curated/en/855201553787807050/text/Of-Governance-and-Revenue-Participatory-Institutions-and-Tax-Compliance-in-Brazil.txt" TargetMode="External"/><Relationship Id="rId14" Type="http://schemas.openxmlformats.org/officeDocument/2006/relationships/image" Target="media/image3.png"/><Relationship Id="rId317" Type="http://schemas.openxmlformats.org/officeDocument/2006/relationships/hyperlink" Target="file:///C:\Users\1804\Downloads\Recommended%20Benchmarks%20for%20Democratic%20Legislatures%20updated%202018%20FINAL%20online%20version%20single.pdf" TargetMode="External"/><Relationship Id="rId524" Type="http://schemas.openxmlformats.org/officeDocument/2006/relationships/image" Target="media/image136.png"/><Relationship Id="rId731" Type="http://schemas.openxmlformats.org/officeDocument/2006/relationships/hyperlink" Target="https://fiscaltransparency.net/promoting-more-open-and-accountable-tax-systems/" TargetMode="External"/><Relationship Id="rId1154" Type="http://schemas.openxmlformats.org/officeDocument/2006/relationships/hyperlink" Target="https://www.internationalbudget.org/" TargetMode="External"/><Relationship Id="rId1361" Type="http://schemas.openxmlformats.org/officeDocument/2006/relationships/hyperlink" Target="https://youtu.be/8wM16KFCP9Q" TargetMode="External"/><Relationship Id="rId1459" Type="http://schemas.openxmlformats.org/officeDocument/2006/relationships/hyperlink" Target="https://www.researchgate.net/publication/236033125_Assessing_Open_Government_Budgetary_Data_in_Brazil" TargetMode="External"/><Relationship Id="rId98" Type="http://schemas.openxmlformats.org/officeDocument/2006/relationships/image" Target="media/image50.png"/><Relationship Id="rId163" Type="http://schemas.openxmlformats.org/officeDocument/2006/relationships/hyperlink" Target="http://www.g20.utoronto.ca/2015/G20-Anti-Corruption-Open-Data-Principles.pdf" TargetMode="External"/><Relationship Id="rId370" Type="http://schemas.openxmlformats.org/officeDocument/2006/relationships/hyperlink" Target="https://eiti.org/files/documents/eiti_standard_2019_en_a4_web.pdf" TargetMode="External"/><Relationship Id="rId829" Type="http://schemas.openxmlformats.org/officeDocument/2006/relationships/hyperlink" Target="https://youtu.be/eubN-v-oNT4" TargetMode="External"/><Relationship Id="rId1014" Type="http://schemas.openxmlformats.org/officeDocument/2006/relationships/image" Target="media/image362.png"/><Relationship Id="rId1221" Type="http://schemas.openxmlformats.org/officeDocument/2006/relationships/hyperlink" Target="https://www.oecd.org/gov/budgeting/seniorbudgetofficialnetworkssbo.htm" TargetMode="External"/><Relationship Id="rId230" Type="http://schemas.openxmlformats.org/officeDocument/2006/relationships/hyperlink" Target="http://www.wcoomd.org/~/media/wco/public/global/pdf/about-us/legal-instruments/declarations/revised_arusha_declaration_en.pdf?la=en" TargetMode="External"/><Relationship Id="rId468" Type="http://schemas.openxmlformats.org/officeDocument/2006/relationships/hyperlink" Target="https://www.issai.org/pronouncements/intosai-p-10-mexico-declaration-on-sai-independence/" TargetMode="External"/><Relationship Id="rId675" Type="http://schemas.openxmlformats.org/officeDocument/2006/relationships/hyperlink" Target="https://www.internationalbudget.org/publications/obi-training-materials-for-governments/" TargetMode="External"/><Relationship Id="rId882" Type="http://schemas.openxmlformats.org/officeDocument/2006/relationships/hyperlink" Target="https://www.europeandataportal.eu/en/training/what-open-data" TargetMode="External"/><Relationship Id="rId1098" Type="http://schemas.openxmlformats.org/officeDocument/2006/relationships/hyperlink" Target="https://www.internationalbudget.org/" TargetMode="External"/><Relationship Id="rId1319" Type="http://schemas.openxmlformats.org/officeDocument/2006/relationships/hyperlink" Target="https://youtu.be/8wM16KFCP9Q" TargetMode="External"/><Relationship Id="rId1526" Type="http://schemas.openxmlformats.org/officeDocument/2006/relationships/hyperlink" Target="https://www.elibrary.imf.org/view/book/9781484331859/9781484331859.xml?cid=va-com-compd-fth" TargetMode="External"/><Relationship Id="rId25" Type="http://schemas.openxmlformats.org/officeDocument/2006/relationships/image" Target="media/image14.png"/><Relationship Id="rId328" Type="http://schemas.openxmlformats.org/officeDocument/2006/relationships/hyperlink" Target="https://www.pefa.org/sites/pefa/files/resources/downloads/PEFA%202016_latest%20version_with%20links%20%282%29.pdf" TargetMode="External"/><Relationship Id="rId535" Type="http://schemas.openxmlformats.org/officeDocument/2006/relationships/image" Target="media/image146.png"/><Relationship Id="rId742" Type="http://schemas.openxmlformats.org/officeDocument/2006/relationships/hyperlink" Target="https://www.cabri-sbo.org/en/publications/revenue-management-in-the-extractives-sector-in-africa" TargetMode="External"/><Relationship Id="rId1165" Type="http://schemas.openxmlformats.org/officeDocument/2006/relationships/hyperlink" Target="https://www.oecd.org/gov/budgeting/seniorbudgetofficialnetworkssbo.htm" TargetMode="External"/><Relationship Id="rId1372" Type="http://schemas.openxmlformats.org/officeDocument/2006/relationships/hyperlink" Target="https://youtu.be/8wM16KFCP9Q" TargetMode="External"/><Relationship Id="rId174" Type="http://schemas.openxmlformats.org/officeDocument/2006/relationships/hyperlink" Target="https://opendatacharter.net/" TargetMode="External"/><Relationship Id="rId381" Type="http://schemas.openxmlformats.org/officeDocument/2006/relationships/hyperlink" Target="https://www.parlamericas.org/uploads/documents/Fiscal_Openness_ENG.pdf" TargetMode="External"/><Relationship Id="rId602" Type="http://schemas.openxmlformats.org/officeDocument/2006/relationships/hyperlink" Target="https://www.imf.org/external/np/fad/trans/manual.htm" TargetMode="External"/><Relationship Id="rId1025" Type="http://schemas.openxmlformats.org/officeDocument/2006/relationships/image" Target="media/image372.png"/><Relationship Id="rId1232" Type="http://schemas.openxmlformats.org/officeDocument/2006/relationships/hyperlink" Target="https://www.oecd.org/gov/budgeting/seniorbudgetofficialnetworkssbo.htm" TargetMode="External"/><Relationship Id="rId241" Type="http://schemas.openxmlformats.org/officeDocument/2006/relationships/hyperlink" Target="https://www.tadat.org/home" TargetMode="External"/><Relationship Id="rId479" Type="http://schemas.openxmlformats.org/officeDocument/2006/relationships/hyperlink" Target="https://ghalii.org/gh/judgment/supreme-court/2017/24" TargetMode="External"/><Relationship Id="rId686" Type="http://schemas.openxmlformats.org/officeDocument/2006/relationships/hyperlink" Target="https://unstats.un.org/unsd/nationalaccount/sna2008.asp" TargetMode="External"/><Relationship Id="rId893" Type="http://schemas.openxmlformats.org/officeDocument/2006/relationships/hyperlink" Target="http://www.hani.co.kr/arti/politics/assembly/816995.html" TargetMode="External"/><Relationship Id="rId907" Type="http://schemas.openxmlformats.org/officeDocument/2006/relationships/hyperlink" Target="https://www.fedscoop.com/open-data-economic-growth-priority-trump-administration/" TargetMode="External"/><Relationship Id="rId1537" Type="http://schemas.openxmlformats.org/officeDocument/2006/relationships/hyperlink" Target="https://openknowledge.worldbank.org/handle/10986/31266" TargetMode="External"/><Relationship Id="rId36" Type="http://schemas.openxmlformats.org/officeDocument/2006/relationships/image" Target="media/image22.png"/><Relationship Id="rId339" Type="http://schemas.openxmlformats.org/officeDocument/2006/relationships/hyperlink" Target="https://undocs.org/en/A/RES/69/228" TargetMode="External"/><Relationship Id="rId546" Type="http://schemas.openxmlformats.org/officeDocument/2006/relationships/image" Target="media/image150.png"/><Relationship Id="rId753" Type="http://schemas.openxmlformats.org/officeDocument/2006/relationships/hyperlink" Target="https://www.cabri-sbo.org/en/publications/cabri-position-on-aid-transparency" TargetMode="External"/><Relationship Id="rId1176" Type="http://schemas.openxmlformats.org/officeDocument/2006/relationships/hyperlink" Target="https://www.oecd.org/gov/budgeting/seniorbudgetofficialnetworkssbo.htm" TargetMode="External"/><Relationship Id="rId1383" Type="http://schemas.openxmlformats.org/officeDocument/2006/relationships/hyperlink" Target="https://youtu.be/8wM16KFCP9Q" TargetMode="External"/><Relationship Id="rId1604" Type="http://schemas.openxmlformats.org/officeDocument/2006/relationships/hyperlink" Target="https://www.un.org/en/development/desa/population/migration/generalassembly/docs/globalcompact/A_CONF.151_26_Vol.I_Declaration.pdf" TargetMode="External"/><Relationship Id="rId101" Type="http://schemas.openxmlformats.org/officeDocument/2006/relationships/image" Target="media/image52.jpeg"/><Relationship Id="rId185" Type="http://schemas.openxmlformats.org/officeDocument/2006/relationships/hyperlink" Target="https://ec.europa.eu/eurostat/documents/3859598/5925693/KS-02-13-269-EN.PDF/44cd9d01-bc64-40e5-bd40-d17df0c69334" TargetMode="External"/><Relationship Id="rId406" Type="http://schemas.openxmlformats.org/officeDocument/2006/relationships/image" Target="media/image81.png"/><Relationship Id="rId960" Type="http://schemas.openxmlformats.org/officeDocument/2006/relationships/image" Target="media/image331.png"/><Relationship Id="rId1036" Type="http://schemas.openxmlformats.org/officeDocument/2006/relationships/hyperlink" Target="https://www.internationalbudget.org/" TargetMode="External"/><Relationship Id="rId1243" Type="http://schemas.openxmlformats.org/officeDocument/2006/relationships/hyperlink" Target="https://www.oecd.org/gov/budgeting/seniorbudgetofficialnetworkssbo.htm" TargetMode="External"/><Relationship Id="rId1590" Type="http://schemas.openxmlformats.org/officeDocument/2006/relationships/hyperlink" Target="https://www.elibrary.imf.org/view/IMF071/20033-9781475531091/20033-9781475531091/ch01.xml" TargetMode="External"/><Relationship Id="rId392" Type="http://schemas.openxmlformats.org/officeDocument/2006/relationships/hyperlink" Target="https://theglobal.school/how-civil-society-action-led-to-fairer-taxation-in-mexico/" TargetMode="External"/><Relationship Id="rId613" Type="http://schemas.openxmlformats.org/officeDocument/2006/relationships/image" Target="media/image182.jpeg"/><Relationship Id="rId697" Type="http://schemas.openxmlformats.org/officeDocument/2006/relationships/hyperlink" Target="https://dsbb.imf.org/" TargetMode="External"/><Relationship Id="rId820" Type="http://schemas.openxmlformats.org/officeDocument/2006/relationships/image" Target="media/image271.png"/><Relationship Id="rId918" Type="http://schemas.openxmlformats.org/officeDocument/2006/relationships/image" Target="media/image322.png"/><Relationship Id="rId1450" Type="http://schemas.openxmlformats.org/officeDocument/2006/relationships/hyperlink" Target="https://dergipark.org.tr/tr/download/article-file/745302" TargetMode="External"/><Relationship Id="rId1548" Type="http://schemas.openxmlformats.org/officeDocument/2006/relationships/hyperlink" Target="https://fiscaltransparency.net/disclosing-fiscal-information-during-covid-19-country-experiences/" TargetMode="External"/><Relationship Id="rId252" Type="http://schemas.openxmlformats.org/officeDocument/2006/relationships/hyperlink" Target="http://www.oecd.org/corruption-integrity/reports/oecd-budget-transparency-toolkit-9789264282070-en.html" TargetMode="External"/><Relationship Id="rId1103" Type="http://schemas.openxmlformats.org/officeDocument/2006/relationships/hyperlink" Target="https://www.internationalbudget.org/" TargetMode="External"/><Relationship Id="rId1187" Type="http://schemas.openxmlformats.org/officeDocument/2006/relationships/hyperlink" Target="https://www.oecd.org/gov/budgeting/seniorbudgetofficialnetworkssbo.htm" TargetMode="External"/><Relationship Id="rId1310" Type="http://schemas.openxmlformats.org/officeDocument/2006/relationships/hyperlink" Target="https://youtu.be/8wM16KFCP9Q" TargetMode="External"/><Relationship Id="rId1408" Type="http://schemas.openxmlformats.org/officeDocument/2006/relationships/hyperlink" Target="https://youtu.be/8wM16KFCP9Q" TargetMode="External"/><Relationship Id="rId47" Type="http://schemas.openxmlformats.org/officeDocument/2006/relationships/image" Target="media/image33.png"/><Relationship Id="rId112" Type="http://schemas.openxmlformats.org/officeDocument/2006/relationships/hyperlink" Target="https://www.imf.org/external/np/fad/trans/manual.htm" TargetMode="External"/><Relationship Id="rId557" Type="http://schemas.openxmlformats.org/officeDocument/2006/relationships/hyperlink" Target="https://youtu.be/wNlOQ88zzvs" TargetMode="External"/><Relationship Id="rId764" Type="http://schemas.openxmlformats.org/officeDocument/2006/relationships/hyperlink" Target="https://www.pefa.org/sites/pefa/files/resources/downloads/PEFA%202016_latest%20version_with%20links%20%282%29.pdf" TargetMode="External"/><Relationship Id="rId971" Type="http://schemas.openxmlformats.org/officeDocument/2006/relationships/hyperlink" Target="https://www.internationalbudget.org/wp-content/uploads/ibp-paper-digital-budgets-how-governments-disclose-fiscal-info-online-2016.pdf" TargetMode="External"/><Relationship Id="rId1394" Type="http://schemas.openxmlformats.org/officeDocument/2006/relationships/hyperlink" Target="https://youtu.be/8wM16KFCP9Q" TargetMode="External"/><Relationship Id="rId1615" Type="http://schemas.openxmlformats.org/officeDocument/2006/relationships/hyperlink" Target="https://documents.worldbank.org/en/publication/documents-reports/documentdetail/993981509959603664/managing-change-in-pfm-system-reforms-a-guide-for-practitioners" TargetMode="External"/><Relationship Id="rId196" Type="http://schemas.openxmlformats.org/officeDocument/2006/relationships/hyperlink" Target="https://www.imf.org/external/np/fad/trans/manual.htm" TargetMode="External"/><Relationship Id="rId417" Type="http://schemas.openxmlformats.org/officeDocument/2006/relationships/hyperlink" Target="http://www.oecd.org/corruption-integrity/reports/oecd-budget-transparency-toolkit-9789264282070-en.html" TargetMode="External"/><Relationship Id="rId624" Type="http://schemas.openxmlformats.org/officeDocument/2006/relationships/hyperlink" Target="https://www.ifac.org/knowledge-gateway/contributing-global-economy/publications/international-framework-good-governance-public-sector" TargetMode="External"/><Relationship Id="rId831" Type="http://schemas.openxmlformats.org/officeDocument/2006/relationships/hyperlink" Target="https://www.pefa.org/gender" TargetMode="External"/><Relationship Id="rId1047" Type="http://schemas.openxmlformats.org/officeDocument/2006/relationships/hyperlink" Target="https://www.internationalbudget.org/" TargetMode="External"/><Relationship Id="rId1254" Type="http://schemas.openxmlformats.org/officeDocument/2006/relationships/hyperlink" Target="https://www.oecd.org/gov/budgeting/seniorbudgetofficialnetworkssbo.htm" TargetMode="External"/><Relationship Id="rId1461" Type="http://schemas.openxmlformats.org/officeDocument/2006/relationships/hyperlink" Target="https://openknowledge.worldbank.org/handle/10986/2297" TargetMode="External"/><Relationship Id="rId263" Type="http://schemas.openxmlformats.org/officeDocument/2006/relationships/hyperlink" Target="http://www.seffaflik.org/wp-content/uploads/2015/02/G20-PRINCIPLES-FOR-PROMOTING-INTEGRITY-IN-PUBLIC-PROCUREMENT.pdf" TargetMode="External"/><Relationship Id="rId470" Type="http://schemas.openxmlformats.org/officeDocument/2006/relationships/hyperlink" Target="http://www.oecd.org/corruption-integrity/reports/oecd-budget-transparency-toolkit-9789264282070-en.html" TargetMode="External"/><Relationship Id="rId929" Type="http://schemas.openxmlformats.org/officeDocument/2006/relationships/hyperlink" Target="http://opendatatoolkit.worldbank.org/en/index.html" TargetMode="External"/><Relationship Id="rId1114" Type="http://schemas.openxmlformats.org/officeDocument/2006/relationships/hyperlink" Target="https://www.internationalbudget.org/" TargetMode="External"/><Relationship Id="rId1321" Type="http://schemas.openxmlformats.org/officeDocument/2006/relationships/hyperlink" Target="https://youtu.be/8wM16KFCP9Q" TargetMode="External"/><Relationship Id="rId1559" Type="http://schemas.openxmlformats.org/officeDocument/2006/relationships/hyperlink" Target="https://theodi.org/article/research-the-economic-value-of-open-versus-paid-data/" TargetMode="External"/><Relationship Id="rId58" Type="http://schemas.openxmlformats.org/officeDocument/2006/relationships/hyperlink" Target="https://www.youtube.com/watch?v=OnP2JuYlhWQ" TargetMode="External"/><Relationship Id="rId123" Type="http://schemas.openxmlformats.org/officeDocument/2006/relationships/hyperlink" Target="https://www.internationalbudget.org/open-budget-survey" TargetMode="External"/><Relationship Id="rId330" Type="http://schemas.openxmlformats.org/officeDocument/2006/relationships/hyperlink" Target="https://www.tadat.org/home" TargetMode="External"/><Relationship Id="rId568" Type="http://schemas.openxmlformats.org/officeDocument/2006/relationships/image" Target="media/image157.png"/><Relationship Id="rId775" Type="http://schemas.openxmlformats.org/officeDocument/2006/relationships/image" Target="media/image249.png"/><Relationship Id="rId982" Type="http://schemas.openxmlformats.org/officeDocument/2006/relationships/hyperlink" Target="https://youtu.be/RgHvpv37Vwo" TargetMode="External"/><Relationship Id="rId1198" Type="http://schemas.openxmlformats.org/officeDocument/2006/relationships/hyperlink" Target="https://www.oecd.org/gov/budgeting/seniorbudgetofficialnetworkssbo.htm" TargetMode="External"/><Relationship Id="rId1419" Type="http://schemas.openxmlformats.org/officeDocument/2006/relationships/hyperlink" Target="https://youtu.be/8wM16KFCP9Q" TargetMode="External"/><Relationship Id="rId428" Type="http://schemas.openxmlformats.org/officeDocument/2006/relationships/image" Target="media/image95.png"/><Relationship Id="rId635" Type="http://schemas.openxmlformats.org/officeDocument/2006/relationships/image" Target="media/image187.png"/><Relationship Id="rId842" Type="http://schemas.openxmlformats.org/officeDocument/2006/relationships/image" Target="media/image281.png"/><Relationship Id="rId1058" Type="http://schemas.openxmlformats.org/officeDocument/2006/relationships/hyperlink" Target="https://www.internationalbudget.org/" TargetMode="External"/><Relationship Id="rId1265" Type="http://schemas.openxmlformats.org/officeDocument/2006/relationships/hyperlink" Target="https://www.oecd.org/gov/budgeting/seniorbudgetofficialnetworkssbo.htm" TargetMode="External"/><Relationship Id="rId1472" Type="http://schemas.openxmlformats.org/officeDocument/2006/relationships/hyperlink" Target="https://fiscaltransparency.net/fiscal-openness-research-2022/" TargetMode="External"/><Relationship Id="rId274" Type="http://schemas.openxmlformats.org/officeDocument/2006/relationships/hyperlink" Target="https://www.internationalbudget.org/open-budget-survey" TargetMode="External"/><Relationship Id="rId481" Type="http://schemas.openxmlformats.org/officeDocument/2006/relationships/image" Target="media/image116.png"/><Relationship Id="rId702" Type="http://schemas.openxmlformats.org/officeDocument/2006/relationships/hyperlink" Target="http://www.oecd.org/corruption-integrity/reports/oecd-budget-transparency-toolkit-9789264282070-en.html" TargetMode="External"/><Relationship Id="rId1125" Type="http://schemas.openxmlformats.org/officeDocument/2006/relationships/hyperlink" Target="https://www.internationalbudget.org/" TargetMode="External"/><Relationship Id="rId1332" Type="http://schemas.openxmlformats.org/officeDocument/2006/relationships/hyperlink" Target="https://youtu.be/8wM16KFCP9Q" TargetMode="External"/><Relationship Id="rId69" Type="http://schemas.openxmlformats.org/officeDocument/2006/relationships/image" Target="media/image38.png"/><Relationship Id="rId134" Type="http://schemas.openxmlformats.org/officeDocument/2006/relationships/hyperlink" Target="https://www.pefa.org/resources/catalog?field_resource_type_target_id=3976" TargetMode="External"/><Relationship Id="rId579" Type="http://schemas.openxmlformats.org/officeDocument/2006/relationships/hyperlink" Target="http://www.oecd.org/corruption-integrity/reports/oecd-budget-transparency-toolkit-9789264282070-en.html" TargetMode="External"/><Relationship Id="rId786" Type="http://schemas.openxmlformats.org/officeDocument/2006/relationships/hyperlink" Target="https://www.state.gov/fiscal-transparency-report/" TargetMode="External"/><Relationship Id="rId993" Type="http://schemas.openxmlformats.org/officeDocument/2006/relationships/image" Target="media/image347.png"/><Relationship Id="rId341" Type="http://schemas.openxmlformats.org/officeDocument/2006/relationships/hyperlink" Target="https://www.pefa.org/sites/pefa/files/resources/downloads/PEFA%202016_latest%20version_with%20links%20%282%29.pdf" TargetMode="External"/><Relationship Id="rId439" Type="http://schemas.openxmlformats.org/officeDocument/2006/relationships/image" Target="media/image101.png"/><Relationship Id="rId646" Type="http://schemas.openxmlformats.org/officeDocument/2006/relationships/image" Target="media/image198.png"/><Relationship Id="rId1069" Type="http://schemas.openxmlformats.org/officeDocument/2006/relationships/hyperlink" Target="https://www.internationalbudget.org/" TargetMode="External"/><Relationship Id="rId1276" Type="http://schemas.openxmlformats.org/officeDocument/2006/relationships/hyperlink" Target="https://www.oecd.org/gov/budgeting/seniorbudgetofficialnetworkssbo.htm" TargetMode="External"/><Relationship Id="rId1483" Type="http://schemas.openxmlformats.org/officeDocument/2006/relationships/hyperlink" Target="https://openknowledge.worldbank.org/handle/10986/28887" TargetMode="External"/><Relationship Id="rId201" Type="http://schemas.openxmlformats.org/officeDocument/2006/relationships/hyperlink" Target="https://www.oecd.org/gov/budgeting/Recommendation-of-the-Council-on-Budgetary-Governance.pdf" TargetMode="External"/><Relationship Id="rId285" Type="http://schemas.openxmlformats.org/officeDocument/2006/relationships/image" Target="media/image61.png"/><Relationship Id="rId506" Type="http://schemas.openxmlformats.org/officeDocument/2006/relationships/hyperlink" Target="http://www.oecd.org/gov/budgeting/Recommendation-of-the-Council-on-Budgetary-Governance.pdf" TargetMode="External"/><Relationship Id="rId853" Type="http://schemas.openxmlformats.org/officeDocument/2006/relationships/hyperlink" Target="https://www.google.com/maps/d/u/0/viewer?mid=1_hxWg-B6IFZikZNFku42vhkUTPs&amp;ll=14.406830240311292%2C44.55000000000001&amp;z=2" TargetMode="External"/><Relationship Id="rId1136" Type="http://schemas.openxmlformats.org/officeDocument/2006/relationships/hyperlink" Target="https://www.internationalbudget.org/" TargetMode="External"/><Relationship Id="rId492" Type="http://schemas.openxmlformats.org/officeDocument/2006/relationships/hyperlink" Target="http://www.fiscaltransparency.net/foaproject/" TargetMode="External"/><Relationship Id="rId713" Type="http://schemas.openxmlformats.org/officeDocument/2006/relationships/hyperlink" Target="http://www.wcoomd.org/~/media/wco/public/global/pdf/about-us/legal-instruments/declarations/revised_arusha_declaration_en.pdf?la=en" TargetMode="External"/><Relationship Id="rId797" Type="http://schemas.openxmlformats.org/officeDocument/2006/relationships/hyperlink" Target="https://youtu.be/zVPlssUeUhk" TargetMode="External"/><Relationship Id="rId920" Type="http://schemas.openxmlformats.org/officeDocument/2006/relationships/image" Target="media/image323.png"/><Relationship Id="rId1343" Type="http://schemas.openxmlformats.org/officeDocument/2006/relationships/hyperlink" Target="https://youtu.be/8wM16KFCP9Q" TargetMode="External"/><Relationship Id="rId1550" Type="http://schemas.openxmlformats.org/officeDocument/2006/relationships/hyperlink" Target="https://docs.google.com/document/d/1fBuisDTIiBAz9u2tr7sgv6GdDLOV_aHbafjqHXSkNB0/edit" TargetMode="External"/><Relationship Id="rId145" Type="http://schemas.openxmlformats.org/officeDocument/2006/relationships/hyperlink" Target="https://www.imf.org/external/pubs/ft/gfs/manual/compil.pdf" TargetMode="External"/><Relationship Id="rId352" Type="http://schemas.openxmlformats.org/officeDocument/2006/relationships/image" Target="media/image64.png"/><Relationship Id="rId1203" Type="http://schemas.openxmlformats.org/officeDocument/2006/relationships/hyperlink" Target="https://www.oecd.org/gov/budgeting/seniorbudgetofficialnetworkssbo.htm" TargetMode="External"/><Relationship Id="rId1287" Type="http://schemas.openxmlformats.org/officeDocument/2006/relationships/hyperlink" Target="https://www.oecd.org/gov/budgeting/seniorbudgetofficialnetworkssbo.htm" TargetMode="External"/><Relationship Id="rId1410" Type="http://schemas.openxmlformats.org/officeDocument/2006/relationships/hyperlink" Target="https://youtu.be/8wM16KFCP9Q" TargetMode="External"/><Relationship Id="rId1508" Type="http://schemas.openxmlformats.org/officeDocument/2006/relationships/hyperlink" Target="https://www.internationalbudget.org/wp-content/uploads/Looking-Beyond-the-Budget.pdf" TargetMode="External"/><Relationship Id="rId212" Type="http://schemas.openxmlformats.org/officeDocument/2006/relationships/hyperlink" Target="https://www.un.org/en/development/desa/population/migration/generalassembly/docs/globalcompact/A_CONF.151_26_Vol.I_Declaration.pdf" TargetMode="External"/><Relationship Id="rId657" Type="http://schemas.openxmlformats.org/officeDocument/2006/relationships/hyperlink" Target="https://www.dbm.gov.ph/index.php/dbcc-matters/dbcc-publication/fiscal-risk-statement" TargetMode="External"/><Relationship Id="rId864" Type="http://schemas.openxmlformats.org/officeDocument/2006/relationships/image" Target="media/image300.png"/><Relationship Id="rId1494" Type="http://schemas.openxmlformats.org/officeDocument/2006/relationships/hyperlink" Target="https://www.fiscaltransparency.net/cso-perspective-on-taxes-scoping-study/" TargetMode="External"/><Relationship Id="rId296" Type="http://schemas.openxmlformats.org/officeDocument/2006/relationships/hyperlink" Target="https://www.oecd.org/corporate/guidelines-corporate-governance-SOEs.htm" TargetMode="External"/><Relationship Id="rId517" Type="http://schemas.openxmlformats.org/officeDocument/2006/relationships/image" Target="media/image130.png"/><Relationship Id="rId724" Type="http://schemas.openxmlformats.org/officeDocument/2006/relationships/hyperlink" Target="https://register.openownership.org/" TargetMode="External"/><Relationship Id="rId931" Type="http://schemas.openxmlformats.org/officeDocument/2006/relationships/hyperlink" Target="http://opendatatoolkit.worldbank.org/en/essentials.html" TargetMode="External"/><Relationship Id="rId1147" Type="http://schemas.openxmlformats.org/officeDocument/2006/relationships/hyperlink" Target="https://www.internationalbudget.org/" TargetMode="External"/><Relationship Id="rId1354" Type="http://schemas.openxmlformats.org/officeDocument/2006/relationships/hyperlink" Target="https://youtu.be/8wM16KFCP9Q" TargetMode="External"/><Relationship Id="rId1561" Type="http://schemas.openxmlformats.org/officeDocument/2006/relationships/hyperlink" Target="https://www.oecd.org/governance/budgeting/Best%20Practices%20Budget%20Transparency%20-%20complete%20with%20cover%20page.pdf" TargetMode="External"/><Relationship Id="rId60" Type="http://schemas.openxmlformats.org/officeDocument/2006/relationships/hyperlink" Target="https://fiscaltransparency.net/" TargetMode="External"/><Relationship Id="rId156" Type="http://schemas.openxmlformats.org/officeDocument/2006/relationships/hyperlink" Target="https://dsbb.imf.org/" TargetMode="External"/><Relationship Id="rId363" Type="http://schemas.openxmlformats.org/officeDocument/2006/relationships/hyperlink" Target="http://www.oecd.org/gov/budgeting/Recommendation-of-the-Council-on-Budgetary-Governance.pdf" TargetMode="External"/><Relationship Id="rId570" Type="http://schemas.openxmlformats.org/officeDocument/2006/relationships/image" Target="media/image159.png"/><Relationship Id="rId1007" Type="http://schemas.openxmlformats.org/officeDocument/2006/relationships/image" Target="media/image357.png"/><Relationship Id="rId1214" Type="http://schemas.openxmlformats.org/officeDocument/2006/relationships/hyperlink" Target="https://www.oecd.org/gov/budgeting/seniorbudgetofficialnetworkssbo.htm" TargetMode="External"/><Relationship Id="rId1421" Type="http://schemas.openxmlformats.org/officeDocument/2006/relationships/hyperlink" Target="https://youtu.be/8wM16KFCP9Q" TargetMode="External"/><Relationship Id="rId223" Type="http://schemas.openxmlformats.org/officeDocument/2006/relationships/hyperlink" Target="https://www.imf.org/external/np/pp/2007/eng/101907g.pdf" TargetMode="External"/><Relationship Id="rId430" Type="http://schemas.openxmlformats.org/officeDocument/2006/relationships/image" Target="media/image97.png"/><Relationship Id="rId668" Type="http://schemas.openxmlformats.org/officeDocument/2006/relationships/image" Target="media/image204.png"/><Relationship Id="rId875" Type="http://schemas.openxmlformats.org/officeDocument/2006/relationships/image" Target="media/image309.png"/><Relationship Id="rId1060" Type="http://schemas.openxmlformats.org/officeDocument/2006/relationships/hyperlink" Target="https://www.internationalbudget.org/" TargetMode="External"/><Relationship Id="rId1298" Type="http://schemas.openxmlformats.org/officeDocument/2006/relationships/hyperlink" Target="https://www.pefa.org/sites/pefa/files/resources/downloads/Stocktake-PFM-Tools-04-17-2018_clean.pdf" TargetMode="External"/><Relationship Id="rId1519" Type="http://schemas.openxmlformats.org/officeDocument/2006/relationships/hyperlink" Target="https://www.imf.org/external/np/pp/2007/eng/101907g.pdf" TargetMode="External"/><Relationship Id="rId18" Type="http://schemas.openxmlformats.org/officeDocument/2006/relationships/image" Target="media/image7.png"/><Relationship Id="rId528" Type="http://schemas.openxmlformats.org/officeDocument/2006/relationships/image" Target="media/image140.png"/><Relationship Id="rId735" Type="http://schemas.openxmlformats.org/officeDocument/2006/relationships/image" Target="media/image226.png"/><Relationship Id="rId942" Type="http://schemas.openxmlformats.org/officeDocument/2006/relationships/hyperlink" Target="http://opendatatoolkit.worldbank.org/en/supply.html" TargetMode="External"/><Relationship Id="rId1158" Type="http://schemas.openxmlformats.org/officeDocument/2006/relationships/hyperlink" Target="https://www.internationalbudget.org/" TargetMode="External"/><Relationship Id="rId1365" Type="http://schemas.openxmlformats.org/officeDocument/2006/relationships/hyperlink" Target="https://youtu.be/8wM16KFCP9Q" TargetMode="External"/><Relationship Id="rId1572" Type="http://schemas.openxmlformats.org/officeDocument/2006/relationships/hyperlink" Target="https://fiscaltransparency.net/what-is-public-participation-in-fiscal-policy-and-why-is-it-important/" TargetMode="External"/><Relationship Id="rId167" Type="http://schemas.openxmlformats.org/officeDocument/2006/relationships/hyperlink" Target="https://dsbb.imf.org/" TargetMode="External"/><Relationship Id="rId374" Type="http://schemas.openxmlformats.org/officeDocument/2006/relationships/hyperlink" Target="https://www.parlamericas.org/uploads/documents/Fiscal_Openness_ENG.pdf" TargetMode="External"/><Relationship Id="rId581" Type="http://schemas.openxmlformats.org/officeDocument/2006/relationships/hyperlink" Target="https://www.imf.org/external/np/fad/trans/Code2019.pdf" TargetMode="External"/><Relationship Id="rId1018" Type="http://schemas.openxmlformats.org/officeDocument/2006/relationships/image" Target="media/image366.png"/><Relationship Id="rId1225" Type="http://schemas.openxmlformats.org/officeDocument/2006/relationships/hyperlink" Target="https://www.oecd.org/gov/budgeting/seniorbudgetofficialnetworkssbo.htm" TargetMode="External"/><Relationship Id="rId1432" Type="http://schemas.openxmlformats.org/officeDocument/2006/relationships/hyperlink" Target="https://youtu.be/8wM16KFCP9Q" TargetMode="External"/><Relationship Id="rId71" Type="http://schemas.openxmlformats.org/officeDocument/2006/relationships/hyperlink" Target="https://fiscaltransparency.net/principles-and-guidance/" TargetMode="External"/><Relationship Id="rId234" Type="http://schemas.openxmlformats.org/officeDocument/2006/relationships/hyperlink" Target="https://www.unodc.org/unodc/en/treaties/CAC/technical-guide.html" TargetMode="External"/><Relationship Id="rId679" Type="http://schemas.openxmlformats.org/officeDocument/2006/relationships/hyperlink" Target="https://www.cag.gov.in/en/state-accounts-report" TargetMode="External"/><Relationship Id="rId802" Type="http://schemas.openxmlformats.org/officeDocument/2006/relationships/hyperlink" Target="https://youtu.be/rnKFx1qOSM8" TargetMode="External"/><Relationship Id="rId886" Type="http://schemas.openxmlformats.org/officeDocument/2006/relationships/hyperlink" Target="https://opendatabarometer.org/doc/leadersEdition/ODB-leadersEdition-Report.pdf" TargetMode="External"/><Relationship Id="rId2" Type="http://schemas.openxmlformats.org/officeDocument/2006/relationships/numbering" Target="numbering.xml"/><Relationship Id="rId29" Type="http://schemas.openxmlformats.org/officeDocument/2006/relationships/hyperlink" Target="https://fiscaltransparency.net/gift-principles/" TargetMode="External"/><Relationship Id="rId441" Type="http://schemas.openxmlformats.org/officeDocument/2006/relationships/hyperlink" Target="http://www.ipu.org/dem-e/guide.htm" TargetMode="External"/><Relationship Id="rId539" Type="http://schemas.openxmlformats.org/officeDocument/2006/relationships/image" Target="media/image148.png"/><Relationship Id="rId746" Type="http://schemas.openxmlformats.org/officeDocument/2006/relationships/hyperlink" Target="https://www.imf.org/external/np/fad/trans/guide.htm" TargetMode="External"/><Relationship Id="rId1071" Type="http://schemas.openxmlformats.org/officeDocument/2006/relationships/hyperlink" Target="https://www.internationalbudget.org/" TargetMode="External"/><Relationship Id="rId1169" Type="http://schemas.openxmlformats.org/officeDocument/2006/relationships/hyperlink" Target="https://www.oecd.org/gov/budgeting/seniorbudgetofficialnetworkssbo.htm" TargetMode="External"/><Relationship Id="rId1376" Type="http://schemas.openxmlformats.org/officeDocument/2006/relationships/hyperlink" Target="https://youtu.be/8wM16KFCP9Q" TargetMode="External"/><Relationship Id="rId1583" Type="http://schemas.openxmlformats.org/officeDocument/2006/relationships/hyperlink" Target="https://fiscaltransparency.net/fiscal-data-for-emergency-response-guide-for-covid-19/" TargetMode="External"/><Relationship Id="rId178" Type="http://schemas.openxmlformats.org/officeDocument/2006/relationships/hyperlink" Target="https://eiti.org/document/eiti-standard-2019" TargetMode="External"/><Relationship Id="rId301" Type="http://schemas.openxmlformats.org/officeDocument/2006/relationships/hyperlink" Target="https://www.internationalbudget.org/open-budget-survey" TargetMode="External"/><Relationship Id="rId953" Type="http://schemas.openxmlformats.org/officeDocument/2006/relationships/image" Target="media/image327.png"/><Relationship Id="rId1029" Type="http://schemas.openxmlformats.org/officeDocument/2006/relationships/image" Target="media/image376.png"/><Relationship Id="rId1236" Type="http://schemas.openxmlformats.org/officeDocument/2006/relationships/hyperlink" Target="https://www.oecd.org/gov/budgeting/seniorbudgetofficialnetworkssbo.htm" TargetMode="External"/><Relationship Id="rId82" Type="http://schemas.openxmlformats.org/officeDocument/2006/relationships/hyperlink" Target="https://www.imf.org/en/Topics/fiscal-policies/fiscal-transparency" TargetMode="External"/><Relationship Id="rId385" Type="http://schemas.openxmlformats.org/officeDocument/2006/relationships/image" Target="media/image65.png"/><Relationship Id="rId592" Type="http://schemas.openxmlformats.org/officeDocument/2006/relationships/hyperlink" Target="https://unstats.un.org/unsd/nationalaccount/sna2008.asp" TargetMode="External"/><Relationship Id="rId606" Type="http://schemas.openxmlformats.org/officeDocument/2006/relationships/hyperlink" Target="https://www.oecd.org/corporate/guidelines-corporate-governance-SOEs.htm" TargetMode="External"/><Relationship Id="rId813" Type="http://schemas.openxmlformats.org/officeDocument/2006/relationships/image" Target="media/image267.png"/><Relationship Id="rId1443" Type="http://schemas.openxmlformats.org/officeDocument/2006/relationships/hyperlink" Target="https://youtu.be/GurblhGf-70" TargetMode="External"/><Relationship Id="rId245" Type="http://schemas.openxmlformats.org/officeDocument/2006/relationships/hyperlink" Target="https://www.imf.org/external/np/fad/trans/Code2019.pdf" TargetMode="External"/><Relationship Id="rId452" Type="http://schemas.openxmlformats.org/officeDocument/2006/relationships/image" Target="media/image105.png"/><Relationship Id="rId897" Type="http://schemas.openxmlformats.org/officeDocument/2006/relationships/hyperlink" Target="http://data.epmap.org/" TargetMode="External"/><Relationship Id="rId1082" Type="http://schemas.openxmlformats.org/officeDocument/2006/relationships/hyperlink" Target="https://www.internationalbudget.org/" TargetMode="External"/><Relationship Id="rId1303" Type="http://schemas.openxmlformats.org/officeDocument/2006/relationships/image" Target="media/image385.png"/><Relationship Id="rId1510" Type="http://schemas.openxmlformats.org/officeDocument/2006/relationships/hyperlink" Target="https://www.unicef.org/esa/reports/financing-development-children-africa" TargetMode="External"/><Relationship Id="rId105" Type="http://schemas.openxmlformats.org/officeDocument/2006/relationships/image" Target="media/image55.png"/><Relationship Id="rId312" Type="http://schemas.openxmlformats.org/officeDocument/2006/relationships/hyperlink" Target="https://www.imf.org/external/np/fad/trans/manual.htm" TargetMode="External"/><Relationship Id="rId757" Type="http://schemas.openxmlformats.org/officeDocument/2006/relationships/image" Target="media/image238.png"/><Relationship Id="rId964" Type="http://schemas.openxmlformats.org/officeDocument/2006/relationships/image" Target="media/image334.png"/><Relationship Id="rId1387" Type="http://schemas.openxmlformats.org/officeDocument/2006/relationships/hyperlink" Target="https://youtu.be/8wM16KFCP9Q" TargetMode="External"/><Relationship Id="rId1594" Type="http://schemas.openxmlformats.org/officeDocument/2006/relationships/hyperlink" Target="http://www.treasury.gov.za/legislation/PFMA/act.pdf" TargetMode="External"/><Relationship Id="rId1608" Type="http://schemas.openxmlformats.org/officeDocument/2006/relationships/hyperlink" Target="https://unfccc.int/process-and-meetings/the-paris-agreement/what-is-the-paris-agreement" TargetMode="External"/><Relationship Id="rId93" Type="http://schemas.openxmlformats.org/officeDocument/2006/relationships/image" Target="media/image45.png"/><Relationship Id="rId189" Type="http://schemas.openxmlformats.org/officeDocument/2006/relationships/hyperlink" Target="https://www.opengovpartnership.org/" TargetMode="External"/><Relationship Id="rId396" Type="http://schemas.openxmlformats.org/officeDocument/2006/relationships/hyperlink" Target="https://internationalbudget.org/open-budget-survey/" TargetMode="External"/><Relationship Id="rId617" Type="http://schemas.openxmlformats.org/officeDocument/2006/relationships/hyperlink" Target="http://www.seffaflik.org/wp-content/uploads/2015/02/G20-PRINCIPLES-FOR-PROMOTING-INTEGRITY-IN-PUBLIC-PROCUREMENT.pdf" TargetMode="External"/><Relationship Id="rId824" Type="http://schemas.openxmlformats.org/officeDocument/2006/relationships/hyperlink" Target="https://www.imf.org/en/Publications/CR/Issues/2017/05/03/Brazil-Fiscal-Transparency-Evaluation-44874" TargetMode="External"/><Relationship Id="rId1247" Type="http://schemas.openxmlformats.org/officeDocument/2006/relationships/hyperlink" Target="https://www.oecd.org/gov/budgeting/seniorbudgetofficialnetworkssbo.htm" TargetMode="External"/><Relationship Id="rId1454" Type="http://schemas.openxmlformats.org/officeDocument/2006/relationships/hyperlink" Target="https://www.cabri-sbo.org/en/publications/management-of-explicit-contingent-liabilities" TargetMode="External"/><Relationship Id="rId256" Type="http://schemas.openxmlformats.org/officeDocument/2006/relationships/hyperlink" Target="https://www.imf.org/external/Pubs/FT/GFS/Manual/2014/gfsfinal.pdf" TargetMode="External"/><Relationship Id="rId463" Type="http://schemas.openxmlformats.org/officeDocument/2006/relationships/hyperlink" Target="http://www.intosai.org/" TargetMode="External"/><Relationship Id="rId670" Type="http://schemas.openxmlformats.org/officeDocument/2006/relationships/hyperlink" Target="https://www.oecd.org/governance/budgeting/Best%20Practices%20Budget%20Transparency%20-%20complete%20with%20cover%20page.pdf" TargetMode="External"/><Relationship Id="rId1093" Type="http://schemas.openxmlformats.org/officeDocument/2006/relationships/hyperlink" Target="https://www.internationalbudget.org/" TargetMode="External"/><Relationship Id="rId1107" Type="http://schemas.openxmlformats.org/officeDocument/2006/relationships/hyperlink" Target="https://www.internationalbudget.org/" TargetMode="External"/><Relationship Id="rId1314" Type="http://schemas.openxmlformats.org/officeDocument/2006/relationships/hyperlink" Target="https://youtu.be/8wM16KFCP9Q" TargetMode="External"/><Relationship Id="rId1521" Type="http://schemas.openxmlformats.org/officeDocument/2006/relationships/hyperlink" Target="https://www.imf.org/external/pubs/ft/gfs/manual/compil.pdf" TargetMode="External"/><Relationship Id="rId116" Type="http://schemas.openxmlformats.org/officeDocument/2006/relationships/hyperlink" Target="http://www.oecd.org/corruption-integrity/reports/oecd-budget-transparency-toolkit-9789264282070-en.html" TargetMode="External"/><Relationship Id="rId323" Type="http://schemas.openxmlformats.org/officeDocument/2006/relationships/hyperlink" Target="https://www.internationalbudget.org/open-budget-survey" TargetMode="External"/><Relationship Id="rId530" Type="http://schemas.openxmlformats.org/officeDocument/2006/relationships/image" Target="media/image142.png"/><Relationship Id="rId768" Type="http://schemas.openxmlformats.org/officeDocument/2006/relationships/hyperlink" Target="https://www.oecd.org/gov/budgeting/principles-budgetary-governance.htm" TargetMode="External"/><Relationship Id="rId975" Type="http://schemas.openxmlformats.org/officeDocument/2006/relationships/hyperlink" Target="https://opendatacharter.net/" TargetMode="External"/><Relationship Id="rId1160" Type="http://schemas.openxmlformats.org/officeDocument/2006/relationships/hyperlink" Target="https://www.oecd.org/gov/budgeting/seniorbudgetofficialnetworkssbo.htm" TargetMode="External"/><Relationship Id="rId1398" Type="http://schemas.openxmlformats.org/officeDocument/2006/relationships/hyperlink" Target="https://youtu.be/8wM16KFCP9Q" TargetMode="External"/><Relationship Id="rId1619" Type="http://schemas.openxmlformats.org/officeDocument/2006/relationships/hyperlink" Target="http://www.wcoomd.org/~/media/wco/public/global/pdf/about-us/legal-instruments/declarations/revised_arusha_declaration_en.pdf?la=en" TargetMode="External"/><Relationship Id="rId20" Type="http://schemas.openxmlformats.org/officeDocument/2006/relationships/image" Target="media/image9.png"/><Relationship Id="rId628" Type="http://schemas.openxmlformats.org/officeDocument/2006/relationships/hyperlink" Target="https://www.oecd.org/officialdocuments/publicdisplaydocumentpdf/?cote=GOV/PGC/ETH(2014)2/REV1&amp;docLanguage=En" TargetMode="External"/><Relationship Id="rId835" Type="http://schemas.openxmlformats.org/officeDocument/2006/relationships/image" Target="media/image274.png"/><Relationship Id="rId1258" Type="http://schemas.openxmlformats.org/officeDocument/2006/relationships/hyperlink" Target="https://www.oecd.org/gov/budgeting/seniorbudgetofficialnetworkssbo.htm" TargetMode="External"/><Relationship Id="rId1465" Type="http://schemas.openxmlformats.org/officeDocument/2006/relationships/hyperlink" Target="https://fiscaltransparency.net/?s=The+Impacts+of+Fiscal+Openness%3A+A+Review+of+the+Evidence" TargetMode="External"/><Relationship Id="rId267" Type="http://schemas.openxmlformats.org/officeDocument/2006/relationships/hyperlink" Target="http://www.constructiontransparency.org/home" TargetMode="External"/><Relationship Id="rId474" Type="http://schemas.openxmlformats.org/officeDocument/2006/relationships/image" Target="media/image111.png"/><Relationship Id="rId1020" Type="http://schemas.openxmlformats.org/officeDocument/2006/relationships/image" Target="media/image368.png"/><Relationship Id="rId1118" Type="http://schemas.openxmlformats.org/officeDocument/2006/relationships/hyperlink" Target="https://www.internationalbudget.org/" TargetMode="External"/><Relationship Id="rId1325" Type="http://schemas.openxmlformats.org/officeDocument/2006/relationships/hyperlink" Target="https://youtu.be/8wM16KFCP9Q" TargetMode="External"/><Relationship Id="rId1532" Type="http://schemas.openxmlformats.org/officeDocument/2006/relationships/hyperlink" Target="https://www.ipsasb.org/publications/2022-handbook-international-public-sector-accounting-pronouncements-0" TargetMode="External"/><Relationship Id="rId127" Type="http://schemas.openxmlformats.org/officeDocument/2006/relationships/hyperlink" Target="https://www.oecd.org/gov/budgeting/Recommendation-of-the-Council-on-Budgetary-Governance.pdf" TargetMode="External"/><Relationship Id="rId681" Type="http://schemas.openxmlformats.org/officeDocument/2006/relationships/hyperlink" Target="https://treasury.gov.au/sites/default/files/2019-03/IGR_2007_final_report.pdf" TargetMode="External"/><Relationship Id="rId779" Type="http://schemas.openxmlformats.org/officeDocument/2006/relationships/image" Target="media/image251.png"/><Relationship Id="rId902" Type="http://schemas.openxmlformats.org/officeDocument/2006/relationships/hyperlink" Target="https://openup.org.za/" TargetMode="External"/><Relationship Id="rId986" Type="http://schemas.openxmlformats.org/officeDocument/2006/relationships/hyperlink" Target="https://vulekamali.gov.za/" TargetMode="External"/><Relationship Id="rId31" Type="http://schemas.openxmlformats.org/officeDocument/2006/relationships/image" Target="media/image17.png"/><Relationship Id="rId334" Type="http://schemas.openxmlformats.org/officeDocument/2006/relationships/hyperlink" Target="https://www.issai.org/" TargetMode="External"/><Relationship Id="rId541" Type="http://schemas.openxmlformats.org/officeDocument/2006/relationships/image" Target="media/image149.png"/><Relationship Id="rId639" Type="http://schemas.openxmlformats.org/officeDocument/2006/relationships/image" Target="media/image191.png"/><Relationship Id="rId1171" Type="http://schemas.openxmlformats.org/officeDocument/2006/relationships/hyperlink" Target="https://www.oecd.org/gov/budgeting/seniorbudgetofficialnetworkssbo.htm" TargetMode="External"/><Relationship Id="rId1269" Type="http://schemas.openxmlformats.org/officeDocument/2006/relationships/hyperlink" Target="https://www.oecd.org/gov/budgeting/seniorbudgetofficialnetworkssbo.htm" TargetMode="External"/><Relationship Id="rId1476" Type="http://schemas.openxmlformats.org/officeDocument/2006/relationships/hyperlink" Target="https://ec.europa.eu/eurostat/documents/3859598/5925693/KS-02-13-269-EN.PDF/44cd9d01-bc64-40e5-bd40-d17df0c69334" TargetMode="External"/><Relationship Id="rId180" Type="http://schemas.openxmlformats.org/officeDocument/2006/relationships/hyperlink" Target="https://www.opengovpartnership.org/" TargetMode="External"/><Relationship Id="rId278" Type="http://schemas.openxmlformats.org/officeDocument/2006/relationships/hyperlink" Target="https://eiti.org/document/eiti-standard-2019" TargetMode="External"/><Relationship Id="rId401" Type="http://schemas.openxmlformats.org/officeDocument/2006/relationships/hyperlink" Target="https://www.civicus.org/documents/strategic-plan/civicus-strategic-plan-2017-2022_en.pdf" TargetMode="External"/><Relationship Id="rId846" Type="http://schemas.openxmlformats.org/officeDocument/2006/relationships/image" Target="media/image285.png"/><Relationship Id="rId1031" Type="http://schemas.openxmlformats.org/officeDocument/2006/relationships/hyperlink" Target="https://www.internationalbudget.org/" TargetMode="External"/><Relationship Id="rId1129" Type="http://schemas.openxmlformats.org/officeDocument/2006/relationships/hyperlink" Target="https://www.internationalbudget.org/" TargetMode="External"/><Relationship Id="rId485" Type="http://schemas.openxmlformats.org/officeDocument/2006/relationships/image" Target="media/image118.png"/><Relationship Id="rId692" Type="http://schemas.openxmlformats.org/officeDocument/2006/relationships/hyperlink" Target="https://www.issai.org/" TargetMode="External"/><Relationship Id="rId706" Type="http://schemas.openxmlformats.org/officeDocument/2006/relationships/image" Target="media/image211.png"/><Relationship Id="rId913" Type="http://schemas.openxmlformats.org/officeDocument/2006/relationships/hyperlink" Target="http://opendatatoolkit.worldbank.org/en/starting.html" TargetMode="External"/><Relationship Id="rId1336" Type="http://schemas.openxmlformats.org/officeDocument/2006/relationships/hyperlink" Target="https://youtu.be/8wM16KFCP9Q" TargetMode="External"/><Relationship Id="rId1543" Type="http://schemas.openxmlformats.org/officeDocument/2006/relationships/hyperlink" Target="https://internationalbudget.org/lessons-on-public-participation-from-other-sectors/" TargetMode="External"/><Relationship Id="rId42" Type="http://schemas.openxmlformats.org/officeDocument/2006/relationships/image" Target="media/image28.png"/><Relationship Id="rId138" Type="http://schemas.openxmlformats.org/officeDocument/2006/relationships/hyperlink" Target="https://www.pefa.org/sites/pefa/files/resources/downloads/PEFA%202016_latest%20version_with%20links%20%282%29.pdf" TargetMode="External"/><Relationship Id="rId345" Type="http://schemas.openxmlformats.org/officeDocument/2006/relationships/hyperlink" Target="https://www.imf.org/external/np/fad/trans/manual.htm" TargetMode="External"/><Relationship Id="rId552" Type="http://schemas.openxmlformats.org/officeDocument/2006/relationships/hyperlink" Target="https://youtu.be/6OVDig3MjvQ" TargetMode="External"/><Relationship Id="rId997" Type="http://schemas.openxmlformats.org/officeDocument/2006/relationships/image" Target="media/image349.png"/><Relationship Id="rId1182" Type="http://schemas.openxmlformats.org/officeDocument/2006/relationships/hyperlink" Target="https://www.oecd.org/gov/budgeting/seniorbudgetofficialnetworkssbo.htm" TargetMode="External"/><Relationship Id="rId1403" Type="http://schemas.openxmlformats.org/officeDocument/2006/relationships/hyperlink" Target="https://youtu.be/8wM16KFCP9Q" TargetMode="External"/><Relationship Id="rId1610" Type="http://schemas.openxmlformats.org/officeDocument/2006/relationships/hyperlink" Target="https://www.citizenlab.co/blog/civic-tech/whats-difference-civic-tech-govtech/" TargetMode="External"/><Relationship Id="rId191" Type="http://schemas.openxmlformats.org/officeDocument/2006/relationships/hyperlink" Target="http://www.aidtransparency.net/" TargetMode="External"/><Relationship Id="rId205" Type="http://schemas.openxmlformats.org/officeDocument/2006/relationships/hyperlink" Target="https://www.un.org/en/development/desa/population/migration/generalassembly/docs/globalcompact/A_CONF.151_26_Vol.I_Declaration.pdf" TargetMode="External"/><Relationship Id="rId412" Type="http://schemas.openxmlformats.org/officeDocument/2006/relationships/hyperlink" Target="https://www.imf.org/external/np/fad/trans/Code2019.pdf" TargetMode="External"/><Relationship Id="rId857" Type="http://schemas.openxmlformats.org/officeDocument/2006/relationships/hyperlink" Target="https://www.imf.org/en/Publications/Fiscal-Affairs-Department-How-To-Notes/Issues/2019/05/15/How-to-Design-a-Financial-Management-Information-System-A-Modular-Approach-46818" TargetMode="External"/><Relationship Id="rId1042" Type="http://schemas.openxmlformats.org/officeDocument/2006/relationships/hyperlink" Target="https://www.internationalbudget.org/" TargetMode="External"/><Relationship Id="rId1487" Type="http://schemas.openxmlformats.org/officeDocument/2006/relationships/hyperlink" Target="https://www.fiscaltransparency.net/open-data-tutorial-opening-and-promoting-use-of-budget-data/" TargetMode="External"/><Relationship Id="rId289" Type="http://schemas.openxmlformats.org/officeDocument/2006/relationships/hyperlink" Target="https://www.imf.org/external/np/fad/trans/manual.htm" TargetMode="External"/><Relationship Id="rId496" Type="http://schemas.openxmlformats.org/officeDocument/2006/relationships/hyperlink" Target="https://www.iza.org/publications/dp/8095/social-audits-and-mgnrega-delivery-lessons-from-andhra-pradesh" TargetMode="External"/><Relationship Id="rId717" Type="http://schemas.openxmlformats.org/officeDocument/2006/relationships/image" Target="media/image220.png"/><Relationship Id="rId924" Type="http://schemas.openxmlformats.org/officeDocument/2006/relationships/hyperlink" Target="http://www.open-contracting.org/global_principles" TargetMode="External"/><Relationship Id="rId1347" Type="http://schemas.openxmlformats.org/officeDocument/2006/relationships/hyperlink" Target="https://youtu.be/8wM16KFCP9Q" TargetMode="External"/><Relationship Id="rId1554" Type="http://schemas.openxmlformats.org/officeDocument/2006/relationships/hyperlink" Target="https://resourcegovernance.org/approach/natural-resource-charter" TargetMode="External"/><Relationship Id="rId53" Type="http://schemas.openxmlformats.org/officeDocument/2006/relationships/hyperlink" Target="https://youtu.be/2Tw_B8X1PZo" TargetMode="External"/><Relationship Id="rId149" Type="http://schemas.openxmlformats.org/officeDocument/2006/relationships/hyperlink" Target="https://www.imf.org/external/Pubs/FT/GFS/Manual/2014/gfsfinal.pdf" TargetMode="External"/><Relationship Id="rId356" Type="http://schemas.openxmlformats.org/officeDocument/2006/relationships/hyperlink" Target="http://www.fiscaltransparency.net/pp_principles/" TargetMode="External"/><Relationship Id="rId563" Type="http://schemas.openxmlformats.org/officeDocument/2006/relationships/image" Target="media/image155.png"/><Relationship Id="rId770" Type="http://schemas.openxmlformats.org/officeDocument/2006/relationships/hyperlink" Target="http://www.oecd.org/gov/budgeting/" TargetMode="External"/><Relationship Id="rId1193" Type="http://schemas.openxmlformats.org/officeDocument/2006/relationships/hyperlink" Target="https://www.oecd.org/gov/budgeting/seniorbudgetofficialnetworkssbo.htm" TargetMode="External"/><Relationship Id="rId1207" Type="http://schemas.openxmlformats.org/officeDocument/2006/relationships/hyperlink" Target="https://www.oecd.org/gov/budgeting/seniorbudgetofficialnetworkssbo.htm" TargetMode="External"/><Relationship Id="rId1414" Type="http://schemas.openxmlformats.org/officeDocument/2006/relationships/hyperlink" Target="https://youtu.be/8wM16KFCP9Q" TargetMode="External"/><Relationship Id="rId1621" Type="http://schemas.openxmlformats.org/officeDocument/2006/relationships/hyperlink" Target="https://scholarship.law.marquette.edu/cgi/viewcontent.cgi?referer=https://scholar.google.com/&amp;httpsredir=1&amp;article=5238&amp;context=mulr" TargetMode="External"/><Relationship Id="rId216" Type="http://schemas.openxmlformats.org/officeDocument/2006/relationships/hyperlink" Target="https://www.imf.org/external/np/fad/trans/Code2019.pdf" TargetMode="External"/><Relationship Id="rId423" Type="http://schemas.openxmlformats.org/officeDocument/2006/relationships/image" Target="media/image92.png"/><Relationship Id="rId868" Type="http://schemas.openxmlformats.org/officeDocument/2006/relationships/image" Target="media/image304.png"/><Relationship Id="rId1053" Type="http://schemas.openxmlformats.org/officeDocument/2006/relationships/hyperlink" Target="https://www.internationalbudget.org/" TargetMode="External"/><Relationship Id="rId1260" Type="http://schemas.openxmlformats.org/officeDocument/2006/relationships/hyperlink" Target="https://www.oecd.org/gov/budgeting/seniorbudgetofficialnetworkssbo.htm" TargetMode="External"/><Relationship Id="rId1498" Type="http://schemas.openxmlformats.org/officeDocument/2006/relationships/hyperlink" Target="http://www.g20.utoronto.ca/2015/G20-Anti-Corruption-Open-Data-Principles.pdf" TargetMode="External"/><Relationship Id="rId630" Type="http://schemas.openxmlformats.org/officeDocument/2006/relationships/image" Target="media/image185.png"/><Relationship Id="rId728" Type="http://schemas.openxmlformats.org/officeDocument/2006/relationships/image" Target="media/image223.png"/><Relationship Id="rId935" Type="http://schemas.openxmlformats.org/officeDocument/2006/relationships/hyperlink" Target="http://opendatahandbook.org/guide/en/introduction/" TargetMode="External"/><Relationship Id="rId1358" Type="http://schemas.openxmlformats.org/officeDocument/2006/relationships/hyperlink" Target="https://youtu.be/8wM16KFCP9Q" TargetMode="External"/><Relationship Id="rId1565" Type="http://schemas.openxmlformats.org/officeDocument/2006/relationships/hyperlink" Target="https://www.oecd.org/corporate/guidelines-corporate-governance-SOEs.htm" TargetMode="External"/><Relationship Id="rId64" Type="http://schemas.openxmlformats.org/officeDocument/2006/relationships/hyperlink" Target="https://www.ipsasb.org/" TargetMode="External"/><Relationship Id="rId367" Type="http://schemas.openxmlformats.org/officeDocument/2006/relationships/hyperlink" Target="https://www.imf.org/external/np/fad/trans/Code2019.pdf" TargetMode="External"/><Relationship Id="rId574" Type="http://schemas.openxmlformats.org/officeDocument/2006/relationships/image" Target="media/image163.png"/><Relationship Id="rId1120" Type="http://schemas.openxmlformats.org/officeDocument/2006/relationships/hyperlink" Target="https://www.internationalbudget.org/" TargetMode="External"/><Relationship Id="rId1218" Type="http://schemas.openxmlformats.org/officeDocument/2006/relationships/hyperlink" Target="https://www.oecd.org/gov/budgeting/seniorbudgetofficialnetworkssbo.htm" TargetMode="External"/><Relationship Id="rId1425" Type="http://schemas.openxmlformats.org/officeDocument/2006/relationships/hyperlink" Target="https://youtu.be/8wM16KFCP9Q" TargetMode="External"/><Relationship Id="rId227" Type="http://schemas.openxmlformats.org/officeDocument/2006/relationships/hyperlink" Target="https://www.oecd.org/g20/topics/anti-corruption/G20_Anti-Corruption_Action_Plan.pdf" TargetMode="External"/><Relationship Id="rId781" Type="http://schemas.openxmlformats.org/officeDocument/2006/relationships/hyperlink" Target="https://www.state.gov/monetary-affairs/" TargetMode="External"/><Relationship Id="rId879" Type="http://schemas.openxmlformats.org/officeDocument/2006/relationships/image" Target="media/image313.png"/><Relationship Id="rId434" Type="http://schemas.openxmlformats.org/officeDocument/2006/relationships/image" Target="media/image100.png"/><Relationship Id="rId641" Type="http://schemas.openxmlformats.org/officeDocument/2006/relationships/image" Target="media/image193.png"/><Relationship Id="rId739" Type="http://schemas.openxmlformats.org/officeDocument/2006/relationships/image" Target="media/image230.png"/><Relationship Id="rId1064" Type="http://schemas.openxmlformats.org/officeDocument/2006/relationships/hyperlink" Target="https://www.internationalbudget.org/" TargetMode="External"/><Relationship Id="rId1271" Type="http://schemas.openxmlformats.org/officeDocument/2006/relationships/hyperlink" Target="https://www.oecd.org/gov/budgeting/seniorbudgetofficialnetworkssbo.htm" TargetMode="External"/><Relationship Id="rId1369" Type="http://schemas.openxmlformats.org/officeDocument/2006/relationships/hyperlink" Target="https://youtu.be/8wM16KFCP9Q" TargetMode="External"/><Relationship Id="rId1576" Type="http://schemas.openxmlformats.org/officeDocument/2006/relationships/hyperlink" Target="https://www.cgdev.org/publication/capability-traps-mechanisms-persistent-implementation-failure-working-paper-234" TargetMode="External"/><Relationship Id="rId280" Type="http://schemas.openxmlformats.org/officeDocument/2006/relationships/hyperlink" Target="http://pubdocs.worldbank.org/en/773541448296707678/Disclosure-in-PPPs-Framework.pdf" TargetMode="External"/><Relationship Id="rId501" Type="http://schemas.openxmlformats.org/officeDocument/2006/relationships/hyperlink" Target="https://fiscaltransparency.net/gift-principles/" TargetMode="External"/><Relationship Id="rId946" Type="http://schemas.openxmlformats.org/officeDocument/2006/relationships/hyperlink" Target="http://opendatatoolkit.worldbank.org/en/technology.html" TargetMode="External"/><Relationship Id="rId1131" Type="http://schemas.openxmlformats.org/officeDocument/2006/relationships/hyperlink" Target="https://www.internationalbudget.org/" TargetMode="External"/><Relationship Id="rId1229" Type="http://schemas.openxmlformats.org/officeDocument/2006/relationships/hyperlink" Target="https://www.oecd.org/gov/budgeting/seniorbudgetofficialnetworkssbo.htm" TargetMode="External"/><Relationship Id="rId75" Type="http://schemas.openxmlformats.org/officeDocument/2006/relationships/hyperlink" Target="http://www.oecd.org/corruption-integrity/reports/oecd-budget-transparency-toolkit-9789264282070-en.html" TargetMode="External"/><Relationship Id="rId140" Type="http://schemas.openxmlformats.org/officeDocument/2006/relationships/hyperlink" Target="https://www.internationalbudget.org/open-budget-survey" TargetMode="External"/><Relationship Id="rId378" Type="http://schemas.openxmlformats.org/officeDocument/2006/relationships/hyperlink" Target="https://www.open-contracting.org/implement/" TargetMode="External"/><Relationship Id="rId585" Type="http://schemas.openxmlformats.org/officeDocument/2006/relationships/image" Target="media/image169.png"/><Relationship Id="rId792" Type="http://schemas.openxmlformats.org/officeDocument/2006/relationships/image" Target="media/image257.png"/><Relationship Id="rId806" Type="http://schemas.openxmlformats.org/officeDocument/2006/relationships/hyperlink" Target="https://youtu.be/cRm8btJXf8Y" TargetMode="External"/><Relationship Id="rId1436" Type="http://schemas.openxmlformats.org/officeDocument/2006/relationships/hyperlink" Target="https://youtu.be/8wM16KFCP9Q" TargetMode="External"/><Relationship Id="rId6" Type="http://schemas.openxmlformats.org/officeDocument/2006/relationships/footnotes" Target="footnotes.xml"/><Relationship Id="rId238" Type="http://schemas.openxmlformats.org/officeDocument/2006/relationships/hyperlink" Target="http://www.wcoomd.org/~/media/wco/public/global/pdf/about-us/legal-instruments/declarations/revised_arusha_declaration_en.pdf?la=en" TargetMode="External"/><Relationship Id="rId445" Type="http://schemas.openxmlformats.org/officeDocument/2006/relationships/hyperlink" Target="https://www.pgaction.org/" TargetMode="External"/><Relationship Id="rId652" Type="http://schemas.openxmlformats.org/officeDocument/2006/relationships/hyperlink" Target="https://www.treasury.go.ke/" TargetMode="External"/><Relationship Id="rId1075" Type="http://schemas.openxmlformats.org/officeDocument/2006/relationships/hyperlink" Target="https://www.internationalbudget.org/" TargetMode="External"/><Relationship Id="rId1282" Type="http://schemas.openxmlformats.org/officeDocument/2006/relationships/hyperlink" Target="https://www.oecd.org/gov/budgeting/seniorbudgetofficialnetworkssbo.htm" TargetMode="External"/><Relationship Id="rId1503" Type="http://schemas.openxmlformats.org/officeDocument/2006/relationships/hyperlink" Target="https://www.internationalbudget.org/wp-content/uploads/surmounting-obstacles-to-fiscal-transparency-gift-ibp-2015.pdf" TargetMode="External"/><Relationship Id="rId291" Type="http://schemas.openxmlformats.org/officeDocument/2006/relationships/hyperlink" Target="https://www.imf.org/external/Pubs/FT/GFS/Manual/2014/gfsfinal.pdf" TargetMode="External"/><Relationship Id="rId305" Type="http://schemas.openxmlformats.org/officeDocument/2006/relationships/hyperlink" Target="http://www.oecd.org/gov/budgeting/Recommendation-of-the-Council-on-Budgetary-Governance.pdf" TargetMode="External"/><Relationship Id="rId512" Type="http://schemas.openxmlformats.org/officeDocument/2006/relationships/hyperlink" Target="https://eiti.org/collections/eiti-standard" TargetMode="External"/><Relationship Id="rId957" Type="http://schemas.openxmlformats.org/officeDocument/2006/relationships/hyperlink" Target="http://opendatatoolkit.worldbank.org/en/index.html" TargetMode="External"/><Relationship Id="rId1142" Type="http://schemas.openxmlformats.org/officeDocument/2006/relationships/hyperlink" Target="https://www.internationalbudget.org/" TargetMode="External"/><Relationship Id="rId1587" Type="http://schemas.openxmlformats.org/officeDocument/2006/relationships/hyperlink" Target="https://www.internationalbudget.org/publications/are-new-pfm-reforms-in-the-waemu-and-the-cemac-working-lessons-from-the-open-budget-survey/" TargetMode="External"/><Relationship Id="rId86" Type="http://schemas.openxmlformats.org/officeDocument/2006/relationships/hyperlink" Target="http://www.fiscaltransparency.net/" TargetMode="External"/><Relationship Id="rId151" Type="http://schemas.openxmlformats.org/officeDocument/2006/relationships/hyperlink" Target="https://unstats.un.org/unsd/iiss/classification-of-the-functions-of-government-cofog.ashx" TargetMode="External"/><Relationship Id="rId389" Type="http://schemas.openxmlformats.org/officeDocument/2006/relationships/image" Target="media/image69.png"/><Relationship Id="rId596" Type="http://schemas.openxmlformats.org/officeDocument/2006/relationships/image" Target="media/image173.png"/><Relationship Id="rId817" Type="http://schemas.openxmlformats.org/officeDocument/2006/relationships/hyperlink" Target="https://youtu.be/ct5AlwT1ntk" TargetMode="External"/><Relationship Id="rId1002" Type="http://schemas.openxmlformats.org/officeDocument/2006/relationships/image" Target="media/image353.png"/><Relationship Id="rId1447" Type="http://schemas.openxmlformats.org/officeDocument/2006/relationships/hyperlink" Target="https://blog-pfm.imf.org/en/pfmblog/2022/10/developing-and-using-global-tax-transparency-principles" TargetMode="External"/><Relationship Id="rId249" Type="http://schemas.openxmlformats.org/officeDocument/2006/relationships/hyperlink" Target="https://www.oecd.org/gov/public-procurement/recommendation/" TargetMode="External"/><Relationship Id="rId456" Type="http://schemas.openxmlformats.org/officeDocument/2006/relationships/hyperlink" Target="https://undocs.org/en/A/RES/69/228" TargetMode="External"/><Relationship Id="rId663" Type="http://schemas.openxmlformats.org/officeDocument/2006/relationships/hyperlink" Target="https://www.internationalbudget.org/publications/the-power-of-making-it-simple-a-government-guide-to-developing-citizens-budgets/" TargetMode="External"/><Relationship Id="rId870" Type="http://schemas.openxmlformats.org/officeDocument/2006/relationships/hyperlink" Target="https://opendatacharter.net/principles/" TargetMode="External"/><Relationship Id="rId1086" Type="http://schemas.openxmlformats.org/officeDocument/2006/relationships/hyperlink" Target="https://www.internationalbudget.org/" TargetMode="External"/><Relationship Id="rId1293" Type="http://schemas.openxmlformats.org/officeDocument/2006/relationships/hyperlink" Target="http://www.fiscaltransparency.net/" TargetMode="External"/><Relationship Id="rId1307" Type="http://schemas.openxmlformats.org/officeDocument/2006/relationships/image" Target="media/image389.png"/><Relationship Id="rId1514" Type="http://schemas.openxmlformats.org/officeDocument/2006/relationships/hyperlink" Target="https://internationalbudget.org/issues-lab/budget-credibility/" TargetMode="External"/><Relationship Id="rId13" Type="http://schemas.openxmlformats.org/officeDocument/2006/relationships/image" Target="media/image2.png"/><Relationship Id="rId109" Type="http://schemas.openxmlformats.org/officeDocument/2006/relationships/hyperlink" Target="https://www.oecd.org/governance/budgeting/Best%20Practices%20Budget%20Transparency%20-%20complete%20with%20cover%20page.pdf" TargetMode="External"/><Relationship Id="rId316" Type="http://schemas.openxmlformats.org/officeDocument/2006/relationships/hyperlink" Target="https://www.oecd.org/gov/budgeting/OECD-Recommendation-on-Principles-for-Independent-Fiscal-Institutions.pdf" TargetMode="External"/><Relationship Id="rId523" Type="http://schemas.openxmlformats.org/officeDocument/2006/relationships/image" Target="media/image135.png"/><Relationship Id="rId968" Type="http://schemas.openxmlformats.org/officeDocument/2006/relationships/image" Target="media/image338.png"/><Relationship Id="rId1153" Type="http://schemas.openxmlformats.org/officeDocument/2006/relationships/hyperlink" Target="https://www.internationalbudget.org/" TargetMode="External"/><Relationship Id="rId1598" Type="http://schemas.openxmlformats.org/officeDocument/2006/relationships/hyperlink" Target="https://journals.sagepub.com/doi/abs/10.1177/0010414013512601" TargetMode="External"/><Relationship Id="rId97" Type="http://schemas.openxmlformats.org/officeDocument/2006/relationships/image" Target="media/image49.png"/><Relationship Id="rId730" Type="http://schemas.openxmlformats.org/officeDocument/2006/relationships/image" Target="media/image224.jpeg"/><Relationship Id="rId828" Type="http://schemas.openxmlformats.org/officeDocument/2006/relationships/hyperlink" Target="https://youtu.be/eubN-v-oNT4" TargetMode="External"/><Relationship Id="rId1013" Type="http://schemas.openxmlformats.org/officeDocument/2006/relationships/image" Target="media/image361.png"/><Relationship Id="rId1360" Type="http://schemas.openxmlformats.org/officeDocument/2006/relationships/hyperlink" Target="https://youtu.be/8wM16KFCP9Q" TargetMode="External"/><Relationship Id="rId1458" Type="http://schemas.openxmlformats.org/officeDocument/2006/relationships/hyperlink" Target="https://www.imf.org/en/Publications/TNM/Issues/2016/12/31/Chart-of-Accounts-A-Critical-Element-of-the-Public-Financial-Management-Framework-25189" TargetMode="External"/><Relationship Id="rId162" Type="http://schemas.openxmlformats.org/officeDocument/2006/relationships/hyperlink" Target="http://www.ipsasb.org/publications/2020-handbook-international-public-sector-accounting-pronouncements" TargetMode="External"/><Relationship Id="rId467" Type="http://schemas.openxmlformats.org/officeDocument/2006/relationships/hyperlink" Target="https://www.imf.org/external/np/fad/trans/Code2019.pdf" TargetMode="External"/><Relationship Id="rId1097" Type="http://schemas.openxmlformats.org/officeDocument/2006/relationships/hyperlink" Target="https://www.internationalbudget.org/" TargetMode="External"/><Relationship Id="rId1220" Type="http://schemas.openxmlformats.org/officeDocument/2006/relationships/hyperlink" Target="https://www.oecd.org/gov/budgeting/seniorbudgetofficialnetworkssbo.htm" TargetMode="External"/><Relationship Id="rId1318" Type="http://schemas.openxmlformats.org/officeDocument/2006/relationships/hyperlink" Target="https://youtu.be/8wM16KFCP9Q" TargetMode="External"/><Relationship Id="rId1525" Type="http://schemas.openxmlformats.org/officeDocument/2006/relationships/hyperlink" Target="https://www.imf.org/external/pubs/ft/howtonotes/2016/howtonote1605.pdf" TargetMode="External"/><Relationship Id="rId674" Type="http://schemas.openxmlformats.org/officeDocument/2006/relationships/hyperlink" Target="http://www.mofep.gov.gh/publications/budget-statements" TargetMode="External"/><Relationship Id="rId881" Type="http://schemas.openxmlformats.org/officeDocument/2006/relationships/image" Target="media/image315.png"/><Relationship Id="rId979" Type="http://schemas.openxmlformats.org/officeDocument/2006/relationships/image" Target="media/image343.png"/><Relationship Id="rId24" Type="http://schemas.openxmlformats.org/officeDocument/2006/relationships/image" Target="media/image13.png"/><Relationship Id="rId327" Type="http://schemas.openxmlformats.org/officeDocument/2006/relationships/hyperlink" Target="https://www.parlamericas.org/uploads/documents/Fiscal_Openness_ENG.pdf" TargetMode="External"/><Relationship Id="rId534" Type="http://schemas.openxmlformats.org/officeDocument/2006/relationships/hyperlink" Target="https://fiscaltransparency.net/the-time-is-now-advancing-public-participation-in-government-fiscal-policy-and-budget-making/" TargetMode="External"/><Relationship Id="rId741" Type="http://schemas.openxmlformats.org/officeDocument/2006/relationships/image" Target="media/image232.jpeg"/><Relationship Id="rId839" Type="http://schemas.openxmlformats.org/officeDocument/2006/relationships/image" Target="media/image278.png"/><Relationship Id="rId1164" Type="http://schemas.openxmlformats.org/officeDocument/2006/relationships/hyperlink" Target="https://www.oecd.org/gov/budgeting/seniorbudgetofficialnetworkssbo.htm" TargetMode="External"/><Relationship Id="rId1371" Type="http://schemas.openxmlformats.org/officeDocument/2006/relationships/hyperlink" Target="https://youtu.be/8wM16KFCP9Q" TargetMode="External"/><Relationship Id="rId1469" Type="http://schemas.openxmlformats.org/officeDocument/2006/relationships/hyperlink" Target="https://www.internationalbudget.org/publications/the-volatility-of-budget-transparency/" TargetMode="External"/><Relationship Id="rId173" Type="http://schemas.openxmlformats.org/officeDocument/2006/relationships/hyperlink" Target="http://www.g20.utoronto.ca/2015/G20-Anti-Corruption-Open-Data-Principles.pdf" TargetMode="External"/><Relationship Id="rId380" Type="http://schemas.openxmlformats.org/officeDocument/2006/relationships/hyperlink" Target="http://www.ipu.org/dem-e/guide.htm" TargetMode="External"/><Relationship Id="rId601" Type="http://schemas.openxmlformats.org/officeDocument/2006/relationships/hyperlink" Target="https://www.gov.za/documents/constitution-republic-south-africa-1996" TargetMode="External"/><Relationship Id="rId1024" Type="http://schemas.openxmlformats.org/officeDocument/2006/relationships/image" Target="media/image371.png"/><Relationship Id="rId1231" Type="http://schemas.openxmlformats.org/officeDocument/2006/relationships/hyperlink" Target="https://www.oecd.org/gov/budgeting/seniorbudgetofficialnetworkssbo.htm" TargetMode="External"/><Relationship Id="rId240" Type="http://schemas.openxmlformats.org/officeDocument/2006/relationships/hyperlink" Target="https://www.internationalbudget.org/open-budget-survey" TargetMode="External"/><Relationship Id="rId478" Type="http://schemas.openxmlformats.org/officeDocument/2006/relationships/hyperlink" Target="https://www.internationalbudget.org/international-advocacy/strengthening-audit-accountability/" TargetMode="External"/><Relationship Id="rId685" Type="http://schemas.openxmlformats.org/officeDocument/2006/relationships/hyperlink" Target="https://www.imf.org/external/Pubs/FT/GFS/Manual/2014/gfsfinal.pdf" TargetMode="External"/><Relationship Id="rId892" Type="http://schemas.openxmlformats.org/officeDocument/2006/relationships/hyperlink" Target="https://buergerbautstadt.de/" TargetMode="External"/><Relationship Id="rId906" Type="http://schemas.openxmlformats.org/officeDocument/2006/relationships/hyperlink" Target="https://www.niwa.co.nz/our-science/freshwater/our-services/water-quality-monitoring-and-advice/national-river-water-quality-network-nrwqn/applications-of-the-nrwqn" TargetMode="External"/><Relationship Id="rId1329" Type="http://schemas.openxmlformats.org/officeDocument/2006/relationships/hyperlink" Target="https://youtu.be/8wM16KFCP9Q" TargetMode="External"/><Relationship Id="rId1536" Type="http://schemas.openxmlformats.org/officeDocument/2006/relationships/hyperlink" Target="https://www.brookings.edu/wp-content/uploads/2016/07/openbudgets_chapter.pdf" TargetMode="External"/><Relationship Id="rId35" Type="http://schemas.openxmlformats.org/officeDocument/2006/relationships/image" Target="media/image21.png"/><Relationship Id="rId100" Type="http://schemas.openxmlformats.org/officeDocument/2006/relationships/image" Target="media/image51.png"/><Relationship Id="rId338" Type="http://schemas.openxmlformats.org/officeDocument/2006/relationships/hyperlink" Target="https://www.ifac.org/knowledge-gateway/contributing-global-economy/publications/international-framework-good-governance-public-sector" TargetMode="External"/><Relationship Id="rId545" Type="http://schemas.openxmlformats.org/officeDocument/2006/relationships/hyperlink" Target="https://www2.internationalbudget.org/" TargetMode="External"/><Relationship Id="rId752" Type="http://schemas.openxmlformats.org/officeDocument/2006/relationships/image" Target="media/image235.jpeg"/><Relationship Id="rId1175" Type="http://schemas.openxmlformats.org/officeDocument/2006/relationships/hyperlink" Target="https://www.oecd.org/gov/budgeting/seniorbudgetofficialnetworkssbo.htm" TargetMode="External"/><Relationship Id="rId1382" Type="http://schemas.openxmlformats.org/officeDocument/2006/relationships/hyperlink" Target="https://youtu.be/8wM16KFCP9Q" TargetMode="External"/><Relationship Id="rId1603" Type="http://schemas.openxmlformats.org/officeDocument/2006/relationships/hyperlink" Target="https://www.imf.org/en/Publications/Fiscal-Affairs-Department-How-To-Notes/Issues/2019/05/15/How-to-Design-a-Financial-Management-Information-System-A-Modular-Approach-46818" TargetMode="External"/><Relationship Id="rId184" Type="http://schemas.openxmlformats.org/officeDocument/2006/relationships/hyperlink" Target="https://www.internationalbudget.org/open-budget-survey" TargetMode="External"/><Relationship Id="rId391" Type="http://schemas.openxmlformats.org/officeDocument/2006/relationships/image" Target="media/image71.png"/><Relationship Id="rId405" Type="http://schemas.openxmlformats.org/officeDocument/2006/relationships/image" Target="media/image80.png"/><Relationship Id="rId612" Type="http://schemas.openxmlformats.org/officeDocument/2006/relationships/hyperlink" Target="https://www.imf.org/external/np/fad/trans/Code2019.pdf" TargetMode="External"/><Relationship Id="rId1035" Type="http://schemas.openxmlformats.org/officeDocument/2006/relationships/hyperlink" Target="https://www.internationalbudget.org/" TargetMode="External"/><Relationship Id="rId1242" Type="http://schemas.openxmlformats.org/officeDocument/2006/relationships/hyperlink" Target="https://www.oecd.org/gov/budgeting/seniorbudgetofficialnetworkssbo.htm" TargetMode="External"/><Relationship Id="rId251" Type="http://schemas.openxmlformats.org/officeDocument/2006/relationships/hyperlink" Target="http://www.seffaflik.org/wp-content/uploads/2015/02/G20-PRINCIPLES-FOR-PROMOTING-INTEGRITY-IN-PUBLIC-PROCUREMENT.pdf" TargetMode="External"/><Relationship Id="rId489" Type="http://schemas.openxmlformats.org/officeDocument/2006/relationships/image" Target="media/image122.png"/><Relationship Id="rId696" Type="http://schemas.openxmlformats.org/officeDocument/2006/relationships/hyperlink" Target="https://dsbb.imf.org/" TargetMode="External"/><Relationship Id="rId917" Type="http://schemas.openxmlformats.org/officeDocument/2006/relationships/hyperlink" Target="https://www.iso.org/home.html" TargetMode="External"/><Relationship Id="rId1102" Type="http://schemas.openxmlformats.org/officeDocument/2006/relationships/hyperlink" Target="https://www.internationalbudget.org/" TargetMode="External"/><Relationship Id="rId1547" Type="http://schemas.openxmlformats.org/officeDocument/2006/relationships/hyperlink" Target="https://www.internationalbudget.org/wp-content/uploads/ibp-paper-digital-budgets-how-governments-disclose-fiscal-info-online-2016.pdf" TargetMode="External"/><Relationship Id="rId46" Type="http://schemas.openxmlformats.org/officeDocument/2006/relationships/image" Target="media/image32.png"/><Relationship Id="rId349" Type="http://schemas.openxmlformats.org/officeDocument/2006/relationships/hyperlink" Target="https://www.opengovpartnership.org/" TargetMode="External"/><Relationship Id="rId556" Type="http://schemas.openxmlformats.org/officeDocument/2006/relationships/hyperlink" Target="https://youtu.be/wNlOQ88zzvs" TargetMode="External"/><Relationship Id="rId763" Type="http://schemas.openxmlformats.org/officeDocument/2006/relationships/hyperlink" Target="https://www.pefa.org/" TargetMode="External"/><Relationship Id="rId1186" Type="http://schemas.openxmlformats.org/officeDocument/2006/relationships/hyperlink" Target="https://www.oecd.org/gov/budgeting/seniorbudgetofficialnetworkssbo.htm" TargetMode="External"/><Relationship Id="rId1393" Type="http://schemas.openxmlformats.org/officeDocument/2006/relationships/hyperlink" Target="https://youtu.be/8wM16KFCP9Q" TargetMode="External"/><Relationship Id="rId1407" Type="http://schemas.openxmlformats.org/officeDocument/2006/relationships/hyperlink" Target="https://youtu.be/8wM16KFCP9Q" TargetMode="External"/><Relationship Id="rId1614" Type="http://schemas.openxmlformats.org/officeDocument/2006/relationships/hyperlink" Target="https://www.e-participatoryaudit.org/module-02/speaking-the-language-of-citizens-how-to-develop-a-citizen-audit-report.php" TargetMode="External"/><Relationship Id="rId111" Type="http://schemas.openxmlformats.org/officeDocument/2006/relationships/hyperlink" Target="https://www.imf.org/external/np/fad/trans/Code2019.pdf" TargetMode="External"/><Relationship Id="rId195" Type="http://schemas.openxmlformats.org/officeDocument/2006/relationships/hyperlink" Target="https://www.imf.org/external/np/fad/trans/Code2019.pdf" TargetMode="External"/><Relationship Id="rId209" Type="http://schemas.openxmlformats.org/officeDocument/2006/relationships/hyperlink" Target="http://www.oecd.org/corruption-integrity/reports/oecd-budget-transparency-toolkit-9789264282070-en.html" TargetMode="External"/><Relationship Id="rId416" Type="http://schemas.openxmlformats.org/officeDocument/2006/relationships/image" Target="media/image87.png"/><Relationship Id="rId970" Type="http://schemas.openxmlformats.org/officeDocument/2006/relationships/image" Target="media/image339.png"/><Relationship Id="rId1046" Type="http://schemas.openxmlformats.org/officeDocument/2006/relationships/hyperlink" Target="https://www.internationalbudget.org/" TargetMode="External"/><Relationship Id="rId1253" Type="http://schemas.openxmlformats.org/officeDocument/2006/relationships/hyperlink" Target="https://www.oecd.org/gov/budgeting/seniorbudgetofficialnetworkssbo.htm" TargetMode="External"/><Relationship Id="rId623" Type="http://schemas.openxmlformats.org/officeDocument/2006/relationships/image" Target="media/image183.png"/><Relationship Id="rId830" Type="http://schemas.openxmlformats.org/officeDocument/2006/relationships/hyperlink" Target="https://www.pefa.org/global-report-2020/en/" TargetMode="External"/><Relationship Id="rId928" Type="http://schemas.openxmlformats.org/officeDocument/2006/relationships/hyperlink" Target="https://infrastructuretransparency.org/cost-tools-and-standards/" TargetMode="External"/><Relationship Id="rId1460" Type="http://schemas.openxmlformats.org/officeDocument/2006/relationships/hyperlink" Target="https://uspirg.org/reports/usp/following-money-2014" TargetMode="External"/><Relationship Id="rId1558" Type="http://schemas.openxmlformats.org/officeDocument/2006/relationships/hyperlink" Target="https://opendatacharter.net/principles/" TargetMode="External"/><Relationship Id="rId57" Type="http://schemas.openxmlformats.org/officeDocument/2006/relationships/hyperlink" Target="https://www.youtube.com/watch?v=OnP2JuYlhWQ" TargetMode="External"/><Relationship Id="rId262" Type="http://schemas.openxmlformats.org/officeDocument/2006/relationships/hyperlink" Target="http://www.oecd.org/governance/procurement/toolbox/" TargetMode="External"/><Relationship Id="rId567" Type="http://schemas.openxmlformats.org/officeDocument/2006/relationships/image" Target="media/image156.png"/><Relationship Id="rId1113" Type="http://schemas.openxmlformats.org/officeDocument/2006/relationships/hyperlink" Target="https://www.internationalbudget.org/" TargetMode="External"/><Relationship Id="rId1197" Type="http://schemas.openxmlformats.org/officeDocument/2006/relationships/hyperlink" Target="https://www.oecd.org/gov/budgeting/seniorbudgetofficialnetworkssbo.htm" TargetMode="External"/><Relationship Id="rId1320" Type="http://schemas.openxmlformats.org/officeDocument/2006/relationships/hyperlink" Target="https://youtu.be/8wM16KFCP9Q" TargetMode="External"/><Relationship Id="rId1418" Type="http://schemas.openxmlformats.org/officeDocument/2006/relationships/hyperlink" Target="https://youtu.be/8wM16KFCP9Q" TargetMode="External"/><Relationship Id="rId122" Type="http://schemas.openxmlformats.org/officeDocument/2006/relationships/hyperlink" Target="https://www.pefa.org/sites/pefa/files/resources/downloads/PEFA%202016_latest%20version_with%20links%20%282%29.pdf" TargetMode="External"/><Relationship Id="rId774" Type="http://schemas.openxmlformats.org/officeDocument/2006/relationships/image" Target="media/image248.png"/><Relationship Id="rId981" Type="http://schemas.openxmlformats.org/officeDocument/2006/relationships/hyperlink" Target="https://youtu.be/BkzkiM8SqQ8" TargetMode="External"/><Relationship Id="rId1057" Type="http://schemas.openxmlformats.org/officeDocument/2006/relationships/hyperlink" Target="https://www.internationalbudget.org/" TargetMode="External"/><Relationship Id="rId1625" Type="http://schemas.openxmlformats.org/officeDocument/2006/relationships/theme" Target="theme/theme1.xml"/><Relationship Id="rId427" Type="http://schemas.openxmlformats.org/officeDocument/2006/relationships/image" Target="media/image94.png"/><Relationship Id="rId634" Type="http://schemas.openxmlformats.org/officeDocument/2006/relationships/image" Target="media/image186.png"/><Relationship Id="rId841" Type="http://schemas.openxmlformats.org/officeDocument/2006/relationships/image" Target="media/image280.png"/><Relationship Id="rId1264" Type="http://schemas.openxmlformats.org/officeDocument/2006/relationships/hyperlink" Target="https://www.oecd.org/gov/budgeting/seniorbudgetofficialnetworkssbo.htm" TargetMode="External"/><Relationship Id="rId1471" Type="http://schemas.openxmlformats.org/officeDocument/2006/relationships/hyperlink" Target="https://fiscaltransparency.net/promoting-more-open-and-accountable-tax-systems/" TargetMode="External"/><Relationship Id="rId1569" Type="http://schemas.openxmlformats.org/officeDocument/2006/relationships/hyperlink" Target="https://www.parlamericas.org/uploads/documents/Fiscal_Openness_ENG.pdf" TargetMode="External"/><Relationship Id="rId273" Type="http://schemas.openxmlformats.org/officeDocument/2006/relationships/hyperlink" Target="https://www.pefa.org/sites/pefa/files/resources/downloads/PEFA%202016_latest%20version_with%20links%20%282%29.pdf" TargetMode="External"/><Relationship Id="rId480" Type="http://schemas.openxmlformats.org/officeDocument/2006/relationships/image" Target="media/image115.png"/><Relationship Id="rId701" Type="http://schemas.openxmlformats.org/officeDocument/2006/relationships/image" Target="media/image209.png"/><Relationship Id="rId939" Type="http://schemas.openxmlformats.org/officeDocument/2006/relationships/hyperlink" Target="http://opendatatoolkit.worldbank.org/en/odra.html" TargetMode="External"/><Relationship Id="rId1124" Type="http://schemas.openxmlformats.org/officeDocument/2006/relationships/hyperlink" Target="https://www.internationalbudget.org/" TargetMode="External"/><Relationship Id="rId1331" Type="http://schemas.openxmlformats.org/officeDocument/2006/relationships/hyperlink" Target="https://youtu.be/8wM16KFCP9Q" TargetMode="External"/><Relationship Id="rId68" Type="http://schemas.openxmlformats.org/officeDocument/2006/relationships/image" Target="media/image37.png"/><Relationship Id="rId133" Type="http://schemas.openxmlformats.org/officeDocument/2006/relationships/hyperlink" Target="https://www.pefa.org/sites/pefa/files/resources/downloads/PEFA%202016_latest%20version_with%20links%20%282%29.pdf" TargetMode="External"/><Relationship Id="rId340" Type="http://schemas.openxmlformats.org/officeDocument/2006/relationships/hyperlink" Target="https://www.opengovpartnership.org/" TargetMode="External"/><Relationship Id="rId578" Type="http://schemas.openxmlformats.org/officeDocument/2006/relationships/hyperlink" Target="https://www.oecd.org/governance/budgeting/Best%20Practices%20Budget%20Transparency%20-%20complete%20with%20cover%20page.pdf" TargetMode="External"/><Relationship Id="rId785" Type="http://schemas.openxmlformats.org/officeDocument/2006/relationships/image" Target="media/image253.png"/><Relationship Id="rId992" Type="http://schemas.openxmlformats.org/officeDocument/2006/relationships/image" Target="media/image346.png"/><Relationship Id="rId1429" Type="http://schemas.openxmlformats.org/officeDocument/2006/relationships/hyperlink" Target="https://youtu.be/8wM16KFCP9Q" TargetMode="External"/><Relationship Id="rId200" Type="http://schemas.openxmlformats.org/officeDocument/2006/relationships/hyperlink" Target="https://www.imf.org/external/np/pp/2007/eng/101907g.pdf" TargetMode="External"/><Relationship Id="rId438" Type="http://schemas.openxmlformats.org/officeDocument/2006/relationships/hyperlink" Target="https://internationalbudget.org/issues-lab/budget-credibility/" TargetMode="External"/><Relationship Id="rId645" Type="http://schemas.openxmlformats.org/officeDocument/2006/relationships/image" Target="media/image197.png"/><Relationship Id="rId852" Type="http://schemas.openxmlformats.org/officeDocument/2006/relationships/image" Target="media/image290.jpeg"/><Relationship Id="rId1068" Type="http://schemas.openxmlformats.org/officeDocument/2006/relationships/hyperlink" Target="https://www.internationalbudget.org/" TargetMode="External"/><Relationship Id="rId1275" Type="http://schemas.openxmlformats.org/officeDocument/2006/relationships/hyperlink" Target="https://www.oecd.org/gov/budgeting/seniorbudgetofficialnetworkssbo.htm" TargetMode="External"/><Relationship Id="rId1482" Type="http://schemas.openxmlformats.org/officeDocument/2006/relationships/hyperlink" Target="https://www.internationalbudget.org/publications/road-to-budget-transparency-six-country-synthesis/" TargetMode="External"/><Relationship Id="rId284" Type="http://schemas.openxmlformats.org/officeDocument/2006/relationships/hyperlink" Target="https://www.tadat.org/home" TargetMode="External"/><Relationship Id="rId491" Type="http://schemas.openxmlformats.org/officeDocument/2006/relationships/hyperlink" Target="https://www.youtube.com/watch?v=GYs32AfiUI0" TargetMode="External"/><Relationship Id="rId505" Type="http://schemas.openxmlformats.org/officeDocument/2006/relationships/image" Target="media/image126.png"/><Relationship Id="rId712" Type="http://schemas.openxmlformats.org/officeDocument/2006/relationships/hyperlink" Target="https://www.imf.org/external/np/fad/trans/manual.htm" TargetMode="External"/><Relationship Id="rId1135" Type="http://schemas.openxmlformats.org/officeDocument/2006/relationships/hyperlink" Target="https://www.internationalbudget.org/" TargetMode="External"/><Relationship Id="rId1342" Type="http://schemas.openxmlformats.org/officeDocument/2006/relationships/hyperlink" Target="https://youtu.be/8wM16KFCP9Q" TargetMode="External"/><Relationship Id="rId79" Type="http://schemas.openxmlformats.org/officeDocument/2006/relationships/hyperlink" Target="https://www.issai.org/" TargetMode="External"/><Relationship Id="rId144" Type="http://schemas.openxmlformats.org/officeDocument/2006/relationships/hyperlink" Target="https://unstats.un.org/unsd/iiss/classification-of-the-functions-of-government-cofog.ashx" TargetMode="External"/><Relationship Id="rId589" Type="http://schemas.openxmlformats.org/officeDocument/2006/relationships/hyperlink" Target="https://constitucion1917.gob.mx/" TargetMode="External"/><Relationship Id="rId796" Type="http://schemas.openxmlformats.org/officeDocument/2006/relationships/hyperlink" Target="https://youtu.be/zVPlssUeUhk" TargetMode="External"/><Relationship Id="rId1202" Type="http://schemas.openxmlformats.org/officeDocument/2006/relationships/hyperlink" Target="https://www.oecd.org/gov/budgeting/seniorbudgetofficialnetworkssbo.htm" TargetMode="External"/><Relationship Id="rId351" Type="http://schemas.openxmlformats.org/officeDocument/2006/relationships/hyperlink" Target="https://www.internationalbudget.org/open-budget-survey" TargetMode="External"/><Relationship Id="rId449" Type="http://schemas.openxmlformats.org/officeDocument/2006/relationships/image" Target="media/image102.png"/><Relationship Id="rId656" Type="http://schemas.openxmlformats.org/officeDocument/2006/relationships/image" Target="media/image203.png"/><Relationship Id="rId863" Type="http://schemas.openxmlformats.org/officeDocument/2006/relationships/image" Target="media/image299.png"/><Relationship Id="rId1079" Type="http://schemas.openxmlformats.org/officeDocument/2006/relationships/hyperlink" Target="https://www.internationalbudget.org/" TargetMode="External"/><Relationship Id="rId1286" Type="http://schemas.openxmlformats.org/officeDocument/2006/relationships/hyperlink" Target="https://www.oecd.org/gov/budgeting/seniorbudgetofficialnetworkssbo.htm" TargetMode="External"/><Relationship Id="rId1493" Type="http://schemas.openxmlformats.org/officeDocument/2006/relationships/hyperlink" Target="https://scholarship.law.unc.edu/cgi/viewcontent.cgi?article=6793&amp;context=nclr" TargetMode="External"/><Relationship Id="rId1507" Type="http://schemas.openxmlformats.org/officeDocument/2006/relationships/hyperlink" Target="https://www.internationalbudget.org/wp-content/uploads/Guide-to-Transparency-in-Government-Budget-Reports-Why-are-Budget-Reports-Important-and-What-Should-They-Include-English.pdf" TargetMode="External"/><Relationship Id="rId211" Type="http://schemas.openxmlformats.org/officeDocument/2006/relationships/hyperlink" Target="https://www.open-contracting.org/what-is-open-contracting/global-principles/" TargetMode="External"/><Relationship Id="rId295" Type="http://schemas.openxmlformats.org/officeDocument/2006/relationships/hyperlink" Target="https://www.imf.org/external/np/pp/2007/eng/101907g.pdf" TargetMode="External"/><Relationship Id="rId309" Type="http://schemas.openxmlformats.org/officeDocument/2006/relationships/hyperlink" Target="file:///C:\Users\1804\Downloads\Recommended%20Benchmarks%20for%20Democratic%20Legislatures%20updated%202018%20FINAL%20online%20version%20single.pdf" TargetMode="External"/><Relationship Id="rId516" Type="http://schemas.openxmlformats.org/officeDocument/2006/relationships/image" Target="media/image129.png"/><Relationship Id="rId1146" Type="http://schemas.openxmlformats.org/officeDocument/2006/relationships/hyperlink" Target="https://www.internationalbudget.org/" TargetMode="External"/><Relationship Id="rId723" Type="http://schemas.openxmlformats.org/officeDocument/2006/relationships/hyperlink" Target="https://www.openownership.org/what-we-do/the-beneficial-ownership-leadership-group/" TargetMode="External"/><Relationship Id="rId930" Type="http://schemas.openxmlformats.org/officeDocument/2006/relationships/hyperlink" Target="http://opendatatoolkit.worldbank.org/en/essentials.html" TargetMode="External"/><Relationship Id="rId1006" Type="http://schemas.openxmlformats.org/officeDocument/2006/relationships/hyperlink" Target="https://www.brookings.edu/wp-content/uploads/2016/07/openbudgets_chapter.pdf" TargetMode="External"/><Relationship Id="rId1353" Type="http://schemas.openxmlformats.org/officeDocument/2006/relationships/hyperlink" Target="https://youtu.be/8wM16KFCP9Q" TargetMode="External"/><Relationship Id="rId1560" Type="http://schemas.openxmlformats.org/officeDocument/2006/relationships/hyperlink" Target="https://www.opengovpartnership.org/open-government-declaration" TargetMode="External"/><Relationship Id="rId155" Type="http://schemas.openxmlformats.org/officeDocument/2006/relationships/hyperlink" Target="https://www.imf.org/external/np/pp/2007/eng/101907g.pdf" TargetMode="External"/><Relationship Id="rId362" Type="http://schemas.openxmlformats.org/officeDocument/2006/relationships/hyperlink" Target="https://www.imf.org/external/np/fad/trans/Code2019.pdf" TargetMode="External"/><Relationship Id="rId1213" Type="http://schemas.openxmlformats.org/officeDocument/2006/relationships/hyperlink" Target="https://www.oecd.org/gov/budgeting/seniorbudgetofficialnetworkssbo.htm" TargetMode="External"/><Relationship Id="rId1297" Type="http://schemas.openxmlformats.org/officeDocument/2006/relationships/image" Target="media/image383.png"/><Relationship Id="rId1420" Type="http://schemas.openxmlformats.org/officeDocument/2006/relationships/hyperlink" Target="https://youtu.be/8wM16KFCP9Q" TargetMode="External"/><Relationship Id="rId1518" Type="http://schemas.openxmlformats.org/officeDocument/2006/relationships/hyperlink" Target="https://www.ifac.org/knowledge-gateway/contributing-global-economy/publications/international-framework-good-governance-public-sector" TargetMode="External"/><Relationship Id="rId222" Type="http://schemas.openxmlformats.org/officeDocument/2006/relationships/hyperlink" Target="https://www.imf.org/external/np/fad/trans/manual.htm" TargetMode="External"/><Relationship Id="rId667" Type="http://schemas.openxmlformats.org/officeDocument/2006/relationships/hyperlink" Target="https://www.gov.uk/government/publications/budget-2020-documents/budget-2020" TargetMode="External"/><Relationship Id="rId874" Type="http://schemas.openxmlformats.org/officeDocument/2006/relationships/image" Target="media/image308.png"/><Relationship Id="rId17" Type="http://schemas.openxmlformats.org/officeDocument/2006/relationships/image" Target="media/image6.png"/><Relationship Id="rId527" Type="http://schemas.openxmlformats.org/officeDocument/2006/relationships/image" Target="media/image139.png"/><Relationship Id="rId734" Type="http://schemas.openxmlformats.org/officeDocument/2006/relationships/hyperlink" Target="https://fiscaltransparency.net/tax-transparency-principles/" TargetMode="External"/><Relationship Id="rId941" Type="http://schemas.openxmlformats.org/officeDocument/2006/relationships/hyperlink" Target="http://opendatatoolkit.worldbank.org/en/supply.html" TargetMode="External"/><Relationship Id="rId1157" Type="http://schemas.openxmlformats.org/officeDocument/2006/relationships/hyperlink" Target="https://www.internationalbudget.org/" TargetMode="External"/><Relationship Id="rId1364" Type="http://schemas.openxmlformats.org/officeDocument/2006/relationships/hyperlink" Target="https://youtu.be/8wM16KFCP9Q" TargetMode="External"/><Relationship Id="rId1571" Type="http://schemas.openxmlformats.org/officeDocument/2006/relationships/hyperlink" Target="https://www.internationalbudget.org/publications/hidden-corners/" TargetMode="External"/><Relationship Id="rId70" Type="http://schemas.openxmlformats.org/officeDocument/2006/relationships/hyperlink" Target="https://fiscaltransparency.net/principles-and-guidance/" TargetMode="External"/><Relationship Id="rId166" Type="http://schemas.openxmlformats.org/officeDocument/2006/relationships/hyperlink" Target="https://dsbb.imf.org/" TargetMode="External"/><Relationship Id="rId373" Type="http://schemas.openxmlformats.org/officeDocument/2006/relationships/hyperlink" Target="http://www.ipu.org/dem-e/guide.htm" TargetMode="External"/><Relationship Id="rId580" Type="http://schemas.openxmlformats.org/officeDocument/2006/relationships/hyperlink" Target="https://www.imf.org/external/np/fad/trans/manual.htm" TargetMode="External"/><Relationship Id="rId801" Type="http://schemas.openxmlformats.org/officeDocument/2006/relationships/hyperlink" Target="https://youtu.be/rnKFx1qOSM8" TargetMode="External"/><Relationship Id="rId1017" Type="http://schemas.openxmlformats.org/officeDocument/2006/relationships/image" Target="media/image365.png"/><Relationship Id="rId1224" Type="http://schemas.openxmlformats.org/officeDocument/2006/relationships/hyperlink" Target="https://www.oecd.org/gov/budgeting/seniorbudgetofficialnetworkssbo.htm" TargetMode="External"/><Relationship Id="rId1431" Type="http://schemas.openxmlformats.org/officeDocument/2006/relationships/hyperlink" Target="https://youtu.be/8wM16KFCP9Q" TargetMode="External"/><Relationship Id="rId1" Type="http://schemas.openxmlformats.org/officeDocument/2006/relationships/customXml" Target="../customXml/item1.xml"/><Relationship Id="rId233" Type="http://schemas.openxmlformats.org/officeDocument/2006/relationships/hyperlink" Target="https://www.tadat.org/home" TargetMode="External"/><Relationship Id="rId440" Type="http://schemas.openxmlformats.org/officeDocument/2006/relationships/hyperlink" Target="https://www.ipu.org/" TargetMode="External"/><Relationship Id="rId678" Type="http://schemas.openxmlformats.org/officeDocument/2006/relationships/hyperlink" Target="https://www.internationalbudget.org/publications/obi-training-materials-for-governments/" TargetMode="External"/><Relationship Id="rId885" Type="http://schemas.openxmlformats.org/officeDocument/2006/relationships/image" Target="media/image318.png"/><Relationship Id="rId1070" Type="http://schemas.openxmlformats.org/officeDocument/2006/relationships/hyperlink" Target="https://www.internationalbudget.org/" TargetMode="External"/><Relationship Id="rId1529" Type="http://schemas.openxmlformats.org/officeDocument/2006/relationships/hyperlink" Target="https://www.imf.org/en/Publications/FM/Issues/2022/04/12/fiscal-monitor-april-2022%20/" TargetMode="External"/><Relationship Id="rId28" Type="http://schemas.openxmlformats.org/officeDocument/2006/relationships/image" Target="media/image15.png"/><Relationship Id="rId300" Type="http://schemas.openxmlformats.org/officeDocument/2006/relationships/hyperlink" Target="https://www.pefa.org/sites/pefa/files/resources/downloads/PEFA%202016_latest%20version_with%20links%20%282%29.pdf" TargetMode="External"/><Relationship Id="rId538" Type="http://schemas.openxmlformats.org/officeDocument/2006/relationships/hyperlink" Target="https://fiscaltransparency.net/principles-and-guidance/" TargetMode="External"/><Relationship Id="rId745" Type="http://schemas.openxmlformats.org/officeDocument/2006/relationships/hyperlink" Target="https://www.imf.org/external/np/fad/trans/Code2019.pdf" TargetMode="External"/><Relationship Id="rId952" Type="http://schemas.openxmlformats.org/officeDocument/2006/relationships/image" Target="media/image326.png"/><Relationship Id="rId1168" Type="http://schemas.openxmlformats.org/officeDocument/2006/relationships/hyperlink" Target="https://www.oecd.org/gov/budgeting/seniorbudgetofficialnetworkssbo.htm" TargetMode="External"/><Relationship Id="rId1375" Type="http://schemas.openxmlformats.org/officeDocument/2006/relationships/hyperlink" Target="https://youtu.be/8wM16KFCP9Q" TargetMode="External"/><Relationship Id="rId1582" Type="http://schemas.openxmlformats.org/officeDocument/2006/relationships/hyperlink" Target="https://fiscaltransparency.net/fiscal-openness-in-emergency-response-covid-19/" TargetMode="External"/><Relationship Id="rId81" Type="http://schemas.openxmlformats.org/officeDocument/2006/relationships/hyperlink" Target="https://www.internationalbudget.org/open-budget-survey" TargetMode="External"/><Relationship Id="rId177" Type="http://schemas.openxmlformats.org/officeDocument/2006/relationships/hyperlink" Target="https://www.issai.org/" TargetMode="External"/><Relationship Id="rId384" Type="http://schemas.openxmlformats.org/officeDocument/2006/relationships/hyperlink" Target="https://www.tadat.org/home" TargetMode="External"/><Relationship Id="rId591" Type="http://schemas.openxmlformats.org/officeDocument/2006/relationships/image" Target="media/image172.png"/><Relationship Id="rId605" Type="http://schemas.openxmlformats.org/officeDocument/2006/relationships/hyperlink" Target="https://www.imf.org/external/np/fad/trans/Code2019.pdf" TargetMode="External"/><Relationship Id="rId812" Type="http://schemas.openxmlformats.org/officeDocument/2006/relationships/image" Target="media/image266.jpeg"/><Relationship Id="rId1028" Type="http://schemas.openxmlformats.org/officeDocument/2006/relationships/image" Target="media/image375.png"/><Relationship Id="rId1235" Type="http://schemas.openxmlformats.org/officeDocument/2006/relationships/hyperlink" Target="https://www.oecd.org/gov/budgeting/seniorbudgetofficialnetworkssbo.htm" TargetMode="External"/><Relationship Id="rId1442" Type="http://schemas.openxmlformats.org/officeDocument/2006/relationships/hyperlink" Target="https://youtu.be/GurblhGf-70" TargetMode="External"/><Relationship Id="rId244" Type="http://schemas.openxmlformats.org/officeDocument/2006/relationships/hyperlink" Target="https://www.imf.org/external/Pubs/FT/GFS/Manual/2014/gfsfinal.pdf" TargetMode="External"/><Relationship Id="rId689" Type="http://schemas.openxmlformats.org/officeDocument/2006/relationships/hyperlink" Target="https://dsbb.imf.org/" TargetMode="External"/><Relationship Id="rId896" Type="http://schemas.openxmlformats.org/officeDocument/2006/relationships/hyperlink" Target="https://openup.org.za/" TargetMode="External"/><Relationship Id="rId1081" Type="http://schemas.openxmlformats.org/officeDocument/2006/relationships/hyperlink" Target="https://www.internationalbudget.org/" TargetMode="External"/><Relationship Id="rId1302" Type="http://schemas.openxmlformats.org/officeDocument/2006/relationships/image" Target="media/image384.png"/><Relationship Id="rId39" Type="http://schemas.openxmlformats.org/officeDocument/2006/relationships/image" Target="media/image25.png"/><Relationship Id="rId451" Type="http://schemas.openxmlformats.org/officeDocument/2006/relationships/image" Target="media/image104.png"/><Relationship Id="rId549" Type="http://schemas.openxmlformats.org/officeDocument/2006/relationships/hyperlink" Target="https://youtu.be/FZ5Jr2VQtfU" TargetMode="External"/><Relationship Id="rId756" Type="http://schemas.openxmlformats.org/officeDocument/2006/relationships/hyperlink" Target="https://www.internationalbudget.org/open-budget-survey" TargetMode="External"/><Relationship Id="rId1179" Type="http://schemas.openxmlformats.org/officeDocument/2006/relationships/hyperlink" Target="https://www.oecd.org/gov/budgeting/seniorbudgetofficialnetworkssbo.htm" TargetMode="External"/><Relationship Id="rId1386" Type="http://schemas.openxmlformats.org/officeDocument/2006/relationships/hyperlink" Target="https://youtu.be/8wM16KFCP9Q" TargetMode="External"/><Relationship Id="rId1593" Type="http://schemas.openxmlformats.org/officeDocument/2006/relationships/hyperlink" Target="https://www.gov.za/documents/constitution/constitution-republic-south-africa-1996-1" TargetMode="External"/><Relationship Id="rId1607" Type="http://schemas.openxmlformats.org/officeDocument/2006/relationships/hyperlink" Target="https://undocs.org/en/A/RES/69/228" TargetMode="External"/><Relationship Id="rId104" Type="http://schemas.openxmlformats.org/officeDocument/2006/relationships/image" Target="media/image54.png"/><Relationship Id="rId188" Type="http://schemas.openxmlformats.org/officeDocument/2006/relationships/hyperlink" Target="https://www.cabri-sbo.org/en/publications/declaration-on-good-public-financial-governance" TargetMode="External"/><Relationship Id="rId311" Type="http://schemas.openxmlformats.org/officeDocument/2006/relationships/hyperlink" Target="https://www.imf.org/external/np/fad/trans/Code2019.pdf" TargetMode="External"/><Relationship Id="rId395" Type="http://schemas.openxmlformats.org/officeDocument/2006/relationships/image" Target="media/image73.png"/><Relationship Id="rId409" Type="http://schemas.openxmlformats.org/officeDocument/2006/relationships/image" Target="media/image83.png"/><Relationship Id="rId963" Type="http://schemas.openxmlformats.org/officeDocument/2006/relationships/hyperlink" Target="https://fiscaltransparency.net/goverment-cso-coalitions/" TargetMode="External"/><Relationship Id="rId1039" Type="http://schemas.openxmlformats.org/officeDocument/2006/relationships/hyperlink" Target="https://www.internationalbudget.org/" TargetMode="External"/><Relationship Id="rId1246" Type="http://schemas.openxmlformats.org/officeDocument/2006/relationships/hyperlink" Target="https://www.oecd.org/gov/budgeting/seniorbudgetofficialnetworkssbo.htm" TargetMode="External"/><Relationship Id="rId92" Type="http://schemas.openxmlformats.org/officeDocument/2006/relationships/image" Target="media/image44.png"/><Relationship Id="rId616" Type="http://schemas.openxmlformats.org/officeDocument/2006/relationships/hyperlink" Target="http://www.oecd.org/governance/procurement/toolbox/" TargetMode="External"/><Relationship Id="rId823" Type="http://schemas.openxmlformats.org/officeDocument/2006/relationships/hyperlink" Target="https://youtu.be/FozrMUxp_kU" TargetMode="External"/><Relationship Id="rId1453" Type="http://schemas.openxmlformats.org/officeDocument/2006/relationships/hyperlink" Target="https://www.cabri-sbo.org/en/publications/towards-a-greater-use-of-country-systems-in-africa-recent-trends-and-approaches-synthesis-report" TargetMode="External"/><Relationship Id="rId255" Type="http://schemas.openxmlformats.org/officeDocument/2006/relationships/hyperlink" Target="https://unstats.un.org/unsd/nationalaccount/sna2008.asp" TargetMode="External"/><Relationship Id="rId462" Type="http://schemas.openxmlformats.org/officeDocument/2006/relationships/hyperlink" Target="http://www.intosai.org/" TargetMode="External"/><Relationship Id="rId1092" Type="http://schemas.openxmlformats.org/officeDocument/2006/relationships/hyperlink" Target="https://www.internationalbudget.org/" TargetMode="External"/><Relationship Id="rId1106" Type="http://schemas.openxmlformats.org/officeDocument/2006/relationships/hyperlink" Target="https://www.internationalbudget.org/" TargetMode="External"/><Relationship Id="rId1313" Type="http://schemas.openxmlformats.org/officeDocument/2006/relationships/hyperlink" Target="https://youtu.be/8wM16KFCP9Q" TargetMode="External"/><Relationship Id="rId1397" Type="http://schemas.openxmlformats.org/officeDocument/2006/relationships/hyperlink" Target="https://youtu.be/8wM16KFCP9Q" TargetMode="External"/><Relationship Id="rId1520" Type="http://schemas.openxmlformats.org/officeDocument/2006/relationships/hyperlink" Target="https://www.imf.org/external/np/fad/trans/manual.htm" TargetMode="External"/><Relationship Id="rId115" Type="http://schemas.openxmlformats.org/officeDocument/2006/relationships/hyperlink" Target="https://www.oecd.org/gov/budgeting/Recommendation-of-the-Council-on-Budgetary-Governance.pdf" TargetMode="External"/><Relationship Id="rId322" Type="http://schemas.openxmlformats.org/officeDocument/2006/relationships/hyperlink" Target="https://www.pefa.org/sites/pefa/files/resources/downloads/PEFA%202016_latest%20version_with%20links%20%282%29.pdf" TargetMode="External"/><Relationship Id="rId767" Type="http://schemas.openxmlformats.org/officeDocument/2006/relationships/image" Target="media/image244.png"/><Relationship Id="rId974" Type="http://schemas.openxmlformats.org/officeDocument/2006/relationships/hyperlink" Target="https://opendatabarometer.org/doc/leadersEdition/ODB-leadersEdition-Report.pdf" TargetMode="External"/><Relationship Id="rId1618" Type="http://schemas.openxmlformats.org/officeDocument/2006/relationships/hyperlink" Target="http://opendatatoolkit.worldbank.org/en/starting.html" TargetMode="External"/><Relationship Id="rId199" Type="http://schemas.openxmlformats.org/officeDocument/2006/relationships/hyperlink" Target="https://www.imf.org/external/np/fad/trans/manual.htm" TargetMode="External"/><Relationship Id="rId627" Type="http://schemas.openxmlformats.org/officeDocument/2006/relationships/hyperlink" Target="http://www.g20.utoronto.ca/2015/G20-Anti-Corruption-Open-Data-Principles.pdf" TargetMode="External"/><Relationship Id="rId834" Type="http://schemas.openxmlformats.org/officeDocument/2006/relationships/image" Target="media/image273.png"/><Relationship Id="rId1257" Type="http://schemas.openxmlformats.org/officeDocument/2006/relationships/hyperlink" Target="https://www.oecd.org/gov/budgeting/seniorbudgetofficialnetworkssbo.htm" TargetMode="External"/><Relationship Id="rId1464" Type="http://schemas.openxmlformats.org/officeDocument/2006/relationships/hyperlink" Target="https://www.internationalbudget.org/publications/comrades-or-culprits-donor-engagement-and-budget-transparency/" TargetMode="External"/><Relationship Id="rId266" Type="http://schemas.openxmlformats.org/officeDocument/2006/relationships/hyperlink" Target="https://www.open-contracting.org/wp-content/uploads/2016/02/OCP2013_OpenContracting-Guide.pdf" TargetMode="External"/><Relationship Id="rId473" Type="http://schemas.openxmlformats.org/officeDocument/2006/relationships/image" Target="media/image110.png"/><Relationship Id="rId680" Type="http://schemas.openxmlformats.org/officeDocument/2006/relationships/hyperlink" Target="https://www.internationalbudget.org/publications/obi-training-materials-for-governments/" TargetMode="External"/><Relationship Id="rId901" Type="http://schemas.openxmlformats.org/officeDocument/2006/relationships/hyperlink" Target="http://unicefstories.org/2015/11/18/the-case-of-prospera-digital-digital-tools-and-data-driven-strategies-to-transform-the-largest-social-program-in-mexico-part-2/" TargetMode="External"/><Relationship Id="rId1117" Type="http://schemas.openxmlformats.org/officeDocument/2006/relationships/hyperlink" Target="https://www.internationalbudget.org/" TargetMode="External"/><Relationship Id="rId1324" Type="http://schemas.openxmlformats.org/officeDocument/2006/relationships/hyperlink" Target="https://youtu.be/8wM16KFCP9Q" TargetMode="External"/><Relationship Id="rId1531" Type="http://schemas.openxmlformats.org/officeDocument/2006/relationships/hyperlink" Target="https://www.issai.org/" TargetMode="External"/><Relationship Id="rId30" Type="http://schemas.openxmlformats.org/officeDocument/2006/relationships/image" Target="media/image16.png"/><Relationship Id="rId126" Type="http://schemas.openxmlformats.org/officeDocument/2006/relationships/hyperlink" Target="https://www.imf.org/external/np/fad/trans/manual.htm" TargetMode="External"/><Relationship Id="rId333" Type="http://schemas.openxmlformats.org/officeDocument/2006/relationships/hyperlink" Target="http://www.intosai.org/" TargetMode="External"/><Relationship Id="rId540" Type="http://schemas.openxmlformats.org/officeDocument/2006/relationships/hyperlink" Target="https://openknowledge.worldbank.org/handle/10986/34093" TargetMode="External"/><Relationship Id="rId778" Type="http://schemas.openxmlformats.org/officeDocument/2006/relationships/hyperlink" Target="http://www.imf.org/external/np/fad/trans/index.htm" TargetMode="External"/><Relationship Id="rId985" Type="http://schemas.openxmlformats.org/officeDocument/2006/relationships/image" Target="media/image344.jpeg"/><Relationship Id="rId1170" Type="http://schemas.openxmlformats.org/officeDocument/2006/relationships/hyperlink" Target="https://www.oecd.org/gov/budgeting/seniorbudgetofficialnetworkssbo.htm" TargetMode="External"/><Relationship Id="rId638" Type="http://schemas.openxmlformats.org/officeDocument/2006/relationships/image" Target="media/image190.png"/><Relationship Id="rId845" Type="http://schemas.openxmlformats.org/officeDocument/2006/relationships/image" Target="media/image284.png"/><Relationship Id="rId1030" Type="http://schemas.openxmlformats.org/officeDocument/2006/relationships/image" Target="media/image377.png"/><Relationship Id="rId1268" Type="http://schemas.openxmlformats.org/officeDocument/2006/relationships/hyperlink" Target="https://www.oecd.org/gov/budgeting/seniorbudgetofficialnetworkssbo.htm" TargetMode="External"/><Relationship Id="rId1475" Type="http://schemas.openxmlformats.org/officeDocument/2006/relationships/hyperlink" Target="https://www.europeandataportal.eu/en/training/what-open-data" TargetMode="External"/><Relationship Id="rId277" Type="http://schemas.openxmlformats.org/officeDocument/2006/relationships/hyperlink" Target="https://www.openingparliament.org/declaration/" TargetMode="External"/><Relationship Id="rId400" Type="http://schemas.openxmlformats.org/officeDocument/2006/relationships/image" Target="media/image77.png"/><Relationship Id="rId484" Type="http://schemas.openxmlformats.org/officeDocument/2006/relationships/hyperlink" Target="https://internationalbudget.org/covid-monitoring/" TargetMode="External"/><Relationship Id="rId705" Type="http://schemas.openxmlformats.org/officeDocument/2006/relationships/image" Target="media/image210.png"/><Relationship Id="rId1128" Type="http://schemas.openxmlformats.org/officeDocument/2006/relationships/hyperlink" Target="https://www.internationalbudget.org/" TargetMode="External"/><Relationship Id="rId1335" Type="http://schemas.openxmlformats.org/officeDocument/2006/relationships/hyperlink" Target="https://youtu.be/8wM16KFCP9Q" TargetMode="External"/><Relationship Id="rId1542" Type="http://schemas.openxmlformats.org/officeDocument/2006/relationships/hyperlink" Target="https://www.internationalbudget.org/wp-content/uploads/assessing-the-quality-of-reasons-in-government-budget-documents-ibp-2018.pdf" TargetMode="External"/><Relationship Id="rId137" Type="http://schemas.openxmlformats.org/officeDocument/2006/relationships/hyperlink" Target="http://www.oecd.org/corruption-integrity/reports/oecd-budget-transparency-toolkit-9789264282070-en.html" TargetMode="External"/><Relationship Id="rId344" Type="http://schemas.openxmlformats.org/officeDocument/2006/relationships/hyperlink" Target="https://www.imf.org/external/np/fad/trans/Code2019.pdf" TargetMode="External"/><Relationship Id="rId691" Type="http://schemas.openxmlformats.org/officeDocument/2006/relationships/hyperlink" Target="https://www.ipsasb.org/publications/2022-handbook-international-public-sector-accounting-pronouncements-0" TargetMode="External"/><Relationship Id="rId789" Type="http://schemas.openxmlformats.org/officeDocument/2006/relationships/hyperlink" Target="https://www.tadat.org/home" TargetMode="External"/><Relationship Id="rId912" Type="http://schemas.openxmlformats.org/officeDocument/2006/relationships/hyperlink" Target="https://tfl.gov.uk/info-for/media/press-releases/2017/october/tfl-s-free-open-data-boosts-london-s-economy" TargetMode="External"/><Relationship Id="rId996" Type="http://schemas.openxmlformats.org/officeDocument/2006/relationships/hyperlink" Target="https://internationalbudget.org/wp-content/uploads/Open-budget-survey-2021-1.pdf" TargetMode="External"/><Relationship Id="rId41" Type="http://schemas.openxmlformats.org/officeDocument/2006/relationships/image" Target="media/image27.png"/><Relationship Id="rId551" Type="http://schemas.openxmlformats.org/officeDocument/2006/relationships/image" Target="media/image152.jpeg"/><Relationship Id="rId649" Type="http://schemas.openxmlformats.org/officeDocument/2006/relationships/image" Target="media/image201.png"/><Relationship Id="rId856" Type="http://schemas.openxmlformats.org/officeDocument/2006/relationships/image" Target="media/image293.png"/><Relationship Id="rId1181" Type="http://schemas.openxmlformats.org/officeDocument/2006/relationships/hyperlink" Target="https://www.oecd.org/gov/budgeting/seniorbudgetofficialnetworkssbo.htm" TargetMode="External"/><Relationship Id="rId1279" Type="http://schemas.openxmlformats.org/officeDocument/2006/relationships/hyperlink" Target="https://www.oecd.org/gov/budgeting/seniorbudgetofficialnetworkssbo.htm" TargetMode="External"/><Relationship Id="rId1402" Type="http://schemas.openxmlformats.org/officeDocument/2006/relationships/hyperlink" Target="https://youtu.be/8wM16KFCP9Q" TargetMode="External"/><Relationship Id="rId1486" Type="http://schemas.openxmlformats.org/officeDocument/2006/relationships/hyperlink" Target="https://fiscaltransparency.net/public-participation-principles-and-guide/" TargetMode="External"/><Relationship Id="rId190" Type="http://schemas.openxmlformats.org/officeDocument/2006/relationships/hyperlink" Target="https://unfccc.int/process-and-meetings/the-paris-agreement/what-is-the-paris-agreement" TargetMode="External"/><Relationship Id="rId204" Type="http://schemas.openxmlformats.org/officeDocument/2006/relationships/hyperlink" Target="https://www.open-contracting.org/what-is-open-contracting/global-principles/" TargetMode="External"/><Relationship Id="rId288" Type="http://schemas.openxmlformats.org/officeDocument/2006/relationships/hyperlink" Target="https://www.imf.org/external/np/fad/trans/Code2019.pdf" TargetMode="External"/><Relationship Id="rId411" Type="http://schemas.openxmlformats.org/officeDocument/2006/relationships/image" Target="media/image85.png"/><Relationship Id="rId509" Type="http://schemas.openxmlformats.org/officeDocument/2006/relationships/hyperlink" Target="https://www.ifac.org/knowledge-gateway/contributing-global-economy/publications/international-framework-good-governance-public-sector" TargetMode="External"/><Relationship Id="rId1041" Type="http://schemas.openxmlformats.org/officeDocument/2006/relationships/hyperlink" Target="https://www.internationalbudget.org/" TargetMode="External"/><Relationship Id="rId1139" Type="http://schemas.openxmlformats.org/officeDocument/2006/relationships/hyperlink" Target="https://www.internationalbudget.org/" TargetMode="External"/><Relationship Id="rId1346" Type="http://schemas.openxmlformats.org/officeDocument/2006/relationships/hyperlink" Target="https://youtu.be/8wM16KFCP9Q" TargetMode="External"/><Relationship Id="rId495" Type="http://schemas.openxmlformats.org/officeDocument/2006/relationships/hyperlink" Target="https://fiscaltransparency.net/public-participation-in-the-audit-process-tracing-the-effects-of-social-audits-inandhra-pradesh-india/" TargetMode="External"/><Relationship Id="rId716" Type="http://schemas.openxmlformats.org/officeDocument/2006/relationships/image" Target="media/image219.png"/><Relationship Id="rId923" Type="http://schemas.openxmlformats.org/officeDocument/2006/relationships/hyperlink" Target="http://www.open-contracting.org/" TargetMode="External"/><Relationship Id="rId1553" Type="http://schemas.openxmlformats.org/officeDocument/2006/relationships/hyperlink" Target="https://www.pewresearch.org/fact-tank/2019/11/19/protests-in-lebanon-highlight-ubiquity-of-whatsapp-dissatisfaction-with-government/" TargetMode="External"/><Relationship Id="rId52" Type="http://schemas.openxmlformats.org/officeDocument/2006/relationships/hyperlink" Target="https://youtu.be/2Tw_B8X1PZo" TargetMode="External"/><Relationship Id="rId148" Type="http://schemas.openxmlformats.org/officeDocument/2006/relationships/hyperlink" Target="https://www.imf.org/external/np/pp/2007/eng/101907g.pdf" TargetMode="External"/><Relationship Id="rId355" Type="http://schemas.openxmlformats.org/officeDocument/2006/relationships/hyperlink" Target="https://www.internationalbudget.org/open-budget-survey" TargetMode="External"/><Relationship Id="rId562" Type="http://schemas.openxmlformats.org/officeDocument/2006/relationships/hyperlink" Target="https://youtu.be/Uiddf2xgVZc" TargetMode="External"/><Relationship Id="rId1192" Type="http://schemas.openxmlformats.org/officeDocument/2006/relationships/hyperlink" Target="https://www.oecd.org/gov/budgeting/seniorbudgetofficialnetworkssbo.htm" TargetMode="External"/><Relationship Id="rId1206" Type="http://schemas.openxmlformats.org/officeDocument/2006/relationships/hyperlink" Target="https://www.oecd.org/gov/budgeting/seniorbudgetofficialnetworkssbo.htm" TargetMode="External"/><Relationship Id="rId1413" Type="http://schemas.openxmlformats.org/officeDocument/2006/relationships/hyperlink" Target="https://youtu.be/8wM16KFCP9Q" TargetMode="External"/><Relationship Id="rId1620" Type="http://schemas.openxmlformats.org/officeDocument/2006/relationships/hyperlink" Target="https://opendatabarometer.org/doc/leadersEdition/ODB-leadersEdition-Report.pdf" TargetMode="External"/><Relationship Id="rId215" Type="http://schemas.openxmlformats.org/officeDocument/2006/relationships/image" Target="media/image59.png"/><Relationship Id="rId422" Type="http://schemas.openxmlformats.org/officeDocument/2006/relationships/hyperlink" Target="https://www.imf.org/external/np/fad/trans/Code2019.pdf" TargetMode="External"/><Relationship Id="rId867" Type="http://schemas.openxmlformats.org/officeDocument/2006/relationships/image" Target="media/image303.png"/><Relationship Id="rId1052" Type="http://schemas.openxmlformats.org/officeDocument/2006/relationships/hyperlink" Target="https://www.internationalbudget.org/" TargetMode="External"/><Relationship Id="rId1497" Type="http://schemas.openxmlformats.org/officeDocument/2006/relationships/hyperlink" Target="http://www.g20.utoronto.ca/2015/G20-Anti-Corruption-Open-Data-Principles.pdf" TargetMode="External"/><Relationship Id="rId299" Type="http://schemas.openxmlformats.org/officeDocument/2006/relationships/hyperlink" Target="https://www.oecd.org/corporate/guidelines-corporate-governance-SOEs.htm" TargetMode="External"/><Relationship Id="rId727" Type="http://schemas.openxmlformats.org/officeDocument/2006/relationships/hyperlink" Target="https://www.internationalbudget.org/issues-lab/tax-equity-initiative/" TargetMode="External"/><Relationship Id="rId934" Type="http://schemas.openxmlformats.org/officeDocument/2006/relationships/hyperlink" Target="http://opendatahandbook.org/guide/en/introduction/" TargetMode="External"/><Relationship Id="rId1357" Type="http://schemas.openxmlformats.org/officeDocument/2006/relationships/hyperlink" Target="https://youtu.be/8wM16KFCP9Q" TargetMode="External"/><Relationship Id="rId1564" Type="http://schemas.openxmlformats.org/officeDocument/2006/relationships/hyperlink" Target="https://www.oecd.org/officialdocuments/publicdisplaydocumentpdf/?cote=GOV/PGC/ETH(2014)2/REV1&amp;docLanguage=En" TargetMode="External"/><Relationship Id="rId63" Type="http://schemas.openxmlformats.org/officeDocument/2006/relationships/hyperlink" Target="https://www.pefa.org/" TargetMode="External"/><Relationship Id="rId159" Type="http://schemas.openxmlformats.org/officeDocument/2006/relationships/hyperlink" Target="https://www.oecd.org/governance/budgeting/Best%20Practices%20Budget%20Transparency%20-%20complete%20with%20cover%20page.pdf" TargetMode="External"/><Relationship Id="rId366" Type="http://schemas.openxmlformats.org/officeDocument/2006/relationships/hyperlink" Target="http://guide.fiscaltransparency.net/about-this-guide/" TargetMode="External"/><Relationship Id="rId573" Type="http://schemas.openxmlformats.org/officeDocument/2006/relationships/image" Target="media/image162.png"/><Relationship Id="rId780" Type="http://schemas.openxmlformats.org/officeDocument/2006/relationships/image" Target="media/image252.png"/><Relationship Id="rId1217" Type="http://schemas.openxmlformats.org/officeDocument/2006/relationships/hyperlink" Target="https://www.oecd.org/gov/budgeting/seniorbudgetofficialnetworkssbo.htm" TargetMode="External"/><Relationship Id="rId1424" Type="http://schemas.openxmlformats.org/officeDocument/2006/relationships/hyperlink" Target="https://youtu.be/8wM16KFCP9Q" TargetMode="External"/><Relationship Id="rId226" Type="http://schemas.openxmlformats.org/officeDocument/2006/relationships/hyperlink" Target="https://www.unodc.org/unodc/en/treaties/CAC/technical-guide.html" TargetMode="External"/><Relationship Id="rId433" Type="http://schemas.openxmlformats.org/officeDocument/2006/relationships/image" Target="media/image99.png"/><Relationship Id="rId878" Type="http://schemas.openxmlformats.org/officeDocument/2006/relationships/image" Target="media/image312.png"/><Relationship Id="rId1063" Type="http://schemas.openxmlformats.org/officeDocument/2006/relationships/hyperlink" Target="https://www.internationalbudget.org/" TargetMode="External"/><Relationship Id="rId1270" Type="http://schemas.openxmlformats.org/officeDocument/2006/relationships/hyperlink" Target="https://www.oecd.org/gov/budgeting/seniorbudgetofficialnetworkssbo.htm" TargetMode="External"/><Relationship Id="rId640" Type="http://schemas.openxmlformats.org/officeDocument/2006/relationships/image" Target="media/image192.png"/><Relationship Id="rId738" Type="http://schemas.openxmlformats.org/officeDocument/2006/relationships/image" Target="media/image229.png"/><Relationship Id="rId945" Type="http://schemas.openxmlformats.org/officeDocument/2006/relationships/hyperlink" Target="http://opendatatoolkit.worldbank.org/en/technology.html" TargetMode="External"/><Relationship Id="rId1368" Type="http://schemas.openxmlformats.org/officeDocument/2006/relationships/hyperlink" Target="https://youtu.be/8wM16KFCP9Q" TargetMode="External"/><Relationship Id="rId1575" Type="http://schemas.openxmlformats.org/officeDocument/2006/relationships/hyperlink" Target="https://publications.iadb.org/publications/english/document/Public-Financial-Management-in-Latin-America-The-Key-to-Efficiency-and-Transparency.pdf" TargetMode="External"/><Relationship Id="rId74" Type="http://schemas.openxmlformats.org/officeDocument/2006/relationships/hyperlink" Target="https://www.imf.org/external/np/fad/trans/Code2019.pdf" TargetMode="External"/><Relationship Id="rId377" Type="http://schemas.openxmlformats.org/officeDocument/2006/relationships/hyperlink" Target="https://www.tadat.org/home" TargetMode="External"/><Relationship Id="rId500" Type="http://schemas.openxmlformats.org/officeDocument/2006/relationships/hyperlink" Target="https://www.opengovpartnership.org/open-government-declaration" TargetMode="External"/><Relationship Id="rId584" Type="http://schemas.openxmlformats.org/officeDocument/2006/relationships/image" Target="media/image168.png"/><Relationship Id="rId805" Type="http://schemas.openxmlformats.org/officeDocument/2006/relationships/image" Target="media/image263.png"/><Relationship Id="rId1130" Type="http://schemas.openxmlformats.org/officeDocument/2006/relationships/hyperlink" Target="https://www.internationalbudget.org/" TargetMode="External"/><Relationship Id="rId1228" Type="http://schemas.openxmlformats.org/officeDocument/2006/relationships/hyperlink" Target="https://www.oecd.org/gov/budgeting/seniorbudgetofficialnetworkssbo.htm" TargetMode="External"/><Relationship Id="rId1435" Type="http://schemas.openxmlformats.org/officeDocument/2006/relationships/hyperlink" Target="https://youtu.be/8wM16KFCP9Q" TargetMode="External"/><Relationship Id="rId5" Type="http://schemas.openxmlformats.org/officeDocument/2006/relationships/webSettings" Target="webSettings.xml"/><Relationship Id="rId237" Type="http://schemas.openxmlformats.org/officeDocument/2006/relationships/hyperlink" Target="https://www.oecd.org/officialdocuments/publicdisplaydocumentpdf/?cote=GOV/PGC/ETH(2014)2/REV1&amp;docLanguage=En" TargetMode="External"/><Relationship Id="rId791" Type="http://schemas.openxmlformats.org/officeDocument/2006/relationships/hyperlink" Target="file:///C:\Users\juanpa\Library\Containers\com.apple.mail\Data\Library\Mail%20Downloads\0E520977-A44A-4DE4-A68B-0CB5D182C8FA\Public%20Investment%20Management%20Assessment" TargetMode="External"/><Relationship Id="rId889" Type="http://schemas.openxmlformats.org/officeDocument/2006/relationships/hyperlink" Target="https://agd.data.gouv.fr/2015/05/17/analyser-les-consommations-energetiques-des-batiments-publics/" TargetMode="External"/><Relationship Id="rId1074" Type="http://schemas.openxmlformats.org/officeDocument/2006/relationships/hyperlink" Target="https://www.internationalbudget.org/" TargetMode="External"/><Relationship Id="rId444" Type="http://schemas.openxmlformats.org/officeDocument/2006/relationships/hyperlink" Target="https://www.parlnet.org/" TargetMode="External"/><Relationship Id="rId651" Type="http://schemas.openxmlformats.org/officeDocument/2006/relationships/hyperlink" Target="https://www.internationalbudget.org/publications/obi-training-materials-for-governments/" TargetMode="External"/><Relationship Id="rId749" Type="http://schemas.openxmlformats.org/officeDocument/2006/relationships/image" Target="media/image234.png"/><Relationship Id="rId1281" Type="http://schemas.openxmlformats.org/officeDocument/2006/relationships/hyperlink" Target="https://www.oecd.org/gov/budgeting/seniorbudgetofficialnetworkssbo.htm" TargetMode="External"/><Relationship Id="rId1379" Type="http://schemas.openxmlformats.org/officeDocument/2006/relationships/hyperlink" Target="https://youtu.be/8wM16KFCP9Q" TargetMode="External"/><Relationship Id="rId1502" Type="http://schemas.openxmlformats.org/officeDocument/2006/relationships/hyperlink" Target="https://openknowledge.worldbank.org/bitstream/handle/10986/29222/WPS8312.pdf?sequence=5&amp;isAllowed=y" TargetMode="External"/><Relationship Id="rId1586" Type="http://schemas.openxmlformats.org/officeDocument/2006/relationships/hyperlink" Target="https://fiscaltransparency.net/public-participation-principles-and-guide/" TargetMode="External"/><Relationship Id="rId290" Type="http://schemas.openxmlformats.org/officeDocument/2006/relationships/hyperlink" Target="https://www.imf.org/external/np/pp/2007/eng/101907g.pdf" TargetMode="External"/><Relationship Id="rId304" Type="http://schemas.openxmlformats.org/officeDocument/2006/relationships/hyperlink" Target="https://www.imf.org/external/np/fad/trans/manual.htm" TargetMode="External"/><Relationship Id="rId388" Type="http://schemas.openxmlformats.org/officeDocument/2006/relationships/image" Target="media/image68.png"/><Relationship Id="rId511" Type="http://schemas.openxmlformats.org/officeDocument/2006/relationships/hyperlink" Target="https://www.open-contracting.org/implement/" TargetMode="External"/><Relationship Id="rId609" Type="http://schemas.openxmlformats.org/officeDocument/2006/relationships/image" Target="media/image180.jpeg"/><Relationship Id="rId956" Type="http://schemas.openxmlformats.org/officeDocument/2006/relationships/hyperlink" Target="https://www.fiscaltransparency.net/fiscal-transparency-portals-lessons-from-latin-america/" TargetMode="External"/><Relationship Id="rId1141" Type="http://schemas.openxmlformats.org/officeDocument/2006/relationships/hyperlink" Target="https://www.internationalbudget.org/" TargetMode="External"/><Relationship Id="rId1239" Type="http://schemas.openxmlformats.org/officeDocument/2006/relationships/hyperlink" Target="https://www.oecd.org/gov/budgeting/seniorbudgetofficialnetworkssbo.htm" TargetMode="External"/><Relationship Id="rId85" Type="http://schemas.openxmlformats.org/officeDocument/2006/relationships/image" Target="media/image40.png"/><Relationship Id="rId150" Type="http://schemas.openxmlformats.org/officeDocument/2006/relationships/hyperlink" Target="https://unstats.un.org/unsd/nationalaccount/sna2008.asp" TargetMode="External"/><Relationship Id="rId595" Type="http://schemas.openxmlformats.org/officeDocument/2006/relationships/hyperlink" Target="https://data.imf.org/?sk=a0867067-d23c-4ebc-ad23-d3b015045405" TargetMode="External"/><Relationship Id="rId816" Type="http://schemas.openxmlformats.org/officeDocument/2006/relationships/hyperlink" Target="https://youtu.be/ct5AlwT1ntk" TargetMode="External"/><Relationship Id="rId1001" Type="http://schemas.openxmlformats.org/officeDocument/2006/relationships/image" Target="media/image352.png"/><Relationship Id="rId1446" Type="http://schemas.openxmlformats.org/officeDocument/2006/relationships/hyperlink" Target="https://www.fiscaltransparency.net/making-tax-work/" TargetMode="External"/><Relationship Id="rId248" Type="http://schemas.openxmlformats.org/officeDocument/2006/relationships/hyperlink" Target="http://www.ipsasb.org/publications/2020-handbook-international-public-sector-accounting-pronouncements" TargetMode="External"/><Relationship Id="rId455" Type="http://schemas.openxmlformats.org/officeDocument/2006/relationships/image" Target="media/image108.png"/><Relationship Id="rId662" Type="http://schemas.openxmlformats.org/officeDocument/2006/relationships/hyperlink" Target="https://www.internationalbudget.org/wp-content/uploads/open-budget-survey-2017-guidelines-on-public-availability-of-budget-documents.pdf" TargetMode="External"/><Relationship Id="rId1085" Type="http://schemas.openxmlformats.org/officeDocument/2006/relationships/hyperlink" Target="https://www.internationalbudget.org/" TargetMode="External"/><Relationship Id="rId1292" Type="http://schemas.openxmlformats.org/officeDocument/2006/relationships/hyperlink" Target="https://www.devex.com/organizations/central-african-economic-and-monetary-community-cemac-52313" TargetMode="External"/><Relationship Id="rId1306" Type="http://schemas.openxmlformats.org/officeDocument/2006/relationships/image" Target="media/image388.png"/><Relationship Id="rId1513" Type="http://schemas.openxmlformats.org/officeDocument/2006/relationships/hyperlink" Target="https://www.internationalbudget.org/publications/guidelines-for-social-audit-questionnaires/" TargetMode="External"/><Relationship Id="rId12" Type="http://schemas.openxmlformats.org/officeDocument/2006/relationships/footer" Target="footer3.xml"/><Relationship Id="rId108" Type="http://schemas.openxmlformats.org/officeDocument/2006/relationships/hyperlink" Target="https://www.elibrary.imf.org/view/IMF069/24788-9781484331859/24788-9781484331859/24788-9781484331859.xml?code=fth" TargetMode="External"/><Relationship Id="rId315" Type="http://schemas.openxmlformats.org/officeDocument/2006/relationships/hyperlink" Target="https://www.oecd.org/governance/budgeting/Best%20Practices%20Budget%20Transparency%20-%20complete%20with%20cover%20page.pdf" TargetMode="External"/><Relationship Id="rId522" Type="http://schemas.openxmlformats.org/officeDocument/2006/relationships/image" Target="media/image134.png"/><Relationship Id="rId967" Type="http://schemas.openxmlformats.org/officeDocument/2006/relationships/image" Target="media/image337.png"/><Relationship Id="rId1152" Type="http://schemas.openxmlformats.org/officeDocument/2006/relationships/hyperlink" Target="https://www.internationalbudget.org/" TargetMode="External"/><Relationship Id="rId1597" Type="http://schemas.openxmlformats.org/officeDocument/2006/relationships/hyperlink" Target="https://5stardata.info/en/" TargetMode="External"/><Relationship Id="rId96" Type="http://schemas.openxmlformats.org/officeDocument/2006/relationships/image" Target="media/image48.png"/><Relationship Id="rId161" Type="http://schemas.openxmlformats.org/officeDocument/2006/relationships/hyperlink" Target="http://www.ifac.org/public-sector" TargetMode="External"/><Relationship Id="rId399" Type="http://schemas.openxmlformats.org/officeDocument/2006/relationships/image" Target="media/image76.png"/><Relationship Id="rId827" Type="http://schemas.openxmlformats.org/officeDocument/2006/relationships/hyperlink" Target="https://youtu.be/eubN-v-oNT4" TargetMode="External"/><Relationship Id="rId1012" Type="http://schemas.openxmlformats.org/officeDocument/2006/relationships/image" Target="media/image360.png"/><Relationship Id="rId1457" Type="http://schemas.openxmlformats.org/officeDocument/2006/relationships/hyperlink" Target="https://www.cpahq.org/media/l0jjk2nh/recommended-benchmarks-for-democratic-legislatures-updated-2018-final-online-version-single.pdf" TargetMode="External"/><Relationship Id="rId259" Type="http://schemas.openxmlformats.org/officeDocument/2006/relationships/hyperlink" Target="http://www.ifac.org/public-sector" TargetMode="External"/><Relationship Id="rId466" Type="http://schemas.openxmlformats.org/officeDocument/2006/relationships/hyperlink" Target="https://www.imf.org/external/np/fad/trans/Code2019.pdf" TargetMode="External"/><Relationship Id="rId673" Type="http://schemas.openxmlformats.org/officeDocument/2006/relationships/hyperlink" Target="https://www.internationalbudget.org/publications/obi-training-materials-for-governments/" TargetMode="External"/><Relationship Id="rId880" Type="http://schemas.openxmlformats.org/officeDocument/2006/relationships/image" Target="media/image314.png"/><Relationship Id="rId1096" Type="http://schemas.openxmlformats.org/officeDocument/2006/relationships/hyperlink" Target="https://www.internationalbudget.org/" TargetMode="External"/><Relationship Id="rId1317" Type="http://schemas.openxmlformats.org/officeDocument/2006/relationships/hyperlink" Target="https://youtu.be/8wM16KFCP9Q" TargetMode="External"/><Relationship Id="rId1524" Type="http://schemas.openxmlformats.org/officeDocument/2006/relationships/hyperlink" Target="https://www.imf.org/external/np/fad/publicinvestment/pdf/PFRAMmanual.pdf" TargetMode="External"/><Relationship Id="rId23" Type="http://schemas.openxmlformats.org/officeDocument/2006/relationships/image" Target="media/image12.png"/><Relationship Id="rId119" Type="http://schemas.openxmlformats.org/officeDocument/2006/relationships/hyperlink" Target="https://www.internationalbudget.org/open-budget-survey" TargetMode="External"/><Relationship Id="rId326" Type="http://schemas.openxmlformats.org/officeDocument/2006/relationships/hyperlink" Target="https://www.openingparliament.org/declaration/" TargetMode="External"/><Relationship Id="rId533" Type="http://schemas.openxmlformats.org/officeDocument/2006/relationships/image" Target="media/image145.png"/><Relationship Id="rId978" Type="http://schemas.openxmlformats.org/officeDocument/2006/relationships/image" Target="media/image342.png"/><Relationship Id="rId1163" Type="http://schemas.openxmlformats.org/officeDocument/2006/relationships/hyperlink" Target="https://www.oecd.org/gov/budgeting/seniorbudgetofficialnetworkssbo.htm" TargetMode="External"/><Relationship Id="rId1370" Type="http://schemas.openxmlformats.org/officeDocument/2006/relationships/hyperlink" Target="https://youtu.be/8wM16KFCP9Q" TargetMode="External"/><Relationship Id="rId740" Type="http://schemas.openxmlformats.org/officeDocument/2006/relationships/image" Target="media/image231.png"/><Relationship Id="rId838" Type="http://schemas.openxmlformats.org/officeDocument/2006/relationships/image" Target="media/image277.png"/><Relationship Id="rId1023" Type="http://schemas.openxmlformats.org/officeDocument/2006/relationships/image" Target="media/image370.png"/><Relationship Id="rId1468" Type="http://schemas.openxmlformats.org/officeDocument/2006/relationships/hyperlink" Target="https://www.fiscaltransparency.net/wp-content/uploads/2021/06/20171219160.pdf" TargetMode="External"/><Relationship Id="rId172" Type="http://schemas.openxmlformats.org/officeDocument/2006/relationships/hyperlink" Target="http://www.ipsasb.org/publications/2020-handbook-international-public-sector-accounting-pronouncements" TargetMode="External"/><Relationship Id="rId477" Type="http://schemas.openxmlformats.org/officeDocument/2006/relationships/image" Target="media/image114.png"/><Relationship Id="rId600" Type="http://schemas.openxmlformats.org/officeDocument/2006/relationships/image" Target="media/image177.png"/><Relationship Id="rId684" Type="http://schemas.openxmlformats.org/officeDocument/2006/relationships/image" Target="media/image208.png"/><Relationship Id="rId1230" Type="http://schemas.openxmlformats.org/officeDocument/2006/relationships/hyperlink" Target="https://www.oecd.org/gov/budgeting/seniorbudgetofficialnetworkssbo.htm" TargetMode="External"/><Relationship Id="rId1328" Type="http://schemas.openxmlformats.org/officeDocument/2006/relationships/hyperlink" Target="https://youtu.be/8wM16KFCP9Q" TargetMode="External"/><Relationship Id="rId1535" Type="http://schemas.openxmlformats.org/officeDocument/2006/relationships/hyperlink" Target="https://www.imf.org/en/Publications/WP/Issues/2018/08/24/Fiscal-Transparency-Borrowing-Costs-and-Foreign-Holdings-of-Sovereign-Debt-46180" TargetMode="External"/><Relationship Id="rId337" Type="http://schemas.openxmlformats.org/officeDocument/2006/relationships/hyperlink" Target="http://www.oecd.org/corruption-integrity/reports/oecd-budget-transparency-toolkit-9789264282070-en.html" TargetMode="External"/><Relationship Id="rId891" Type="http://schemas.openxmlformats.org/officeDocument/2006/relationships/hyperlink" Target="http://www.hani.co.kr/arti/politics/assembly/816995.html" TargetMode="External"/><Relationship Id="rId905" Type="http://schemas.openxmlformats.org/officeDocument/2006/relationships/hyperlink" Target="http://noah.up.edu.ph/" TargetMode="External"/><Relationship Id="rId989" Type="http://schemas.openxmlformats.org/officeDocument/2006/relationships/hyperlink" Target="https://youtu.be/knPqlZl03Bo" TargetMode="External"/><Relationship Id="rId34" Type="http://schemas.openxmlformats.org/officeDocument/2006/relationships/image" Target="media/image20.png"/><Relationship Id="rId544" Type="http://schemas.openxmlformats.org/officeDocument/2006/relationships/hyperlink" Target="http://www.fiscaltransparency.net/foaproject/" TargetMode="External"/><Relationship Id="rId751" Type="http://schemas.openxmlformats.org/officeDocument/2006/relationships/hyperlink" Target="https://iatistandard.org/en/iati-standard/" TargetMode="External"/><Relationship Id="rId849" Type="http://schemas.openxmlformats.org/officeDocument/2006/relationships/image" Target="media/image288.png"/><Relationship Id="rId1174" Type="http://schemas.openxmlformats.org/officeDocument/2006/relationships/hyperlink" Target="https://www.oecd.org/gov/budgeting/seniorbudgetofficialnetworkssbo.htm" TargetMode="External"/><Relationship Id="rId1381" Type="http://schemas.openxmlformats.org/officeDocument/2006/relationships/hyperlink" Target="https://youtu.be/8wM16KFCP9Q" TargetMode="External"/><Relationship Id="rId1479" Type="http://schemas.openxmlformats.org/officeDocument/2006/relationships/hyperlink" Target="https://fiscaltransparency.net/cso-key-role-in-transparent-covid-fiscal-responses/" TargetMode="External"/><Relationship Id="rId1602" Type="http://schemas.openxmlformats.org/officeDocument/2006/relationships/hyperlink" Target="https://fiscaltransparency.net/fiscal-transparency-covid-19-bosnia-and-herzegovina-serbia-north-macedonia/" TargetMode="External"/><Relationship Id="rId183" Type="http://schemas.openxmlformats.org/officeDocument/2006/relationships/hyperlink" Target="https://www.pefa.org/sites/pefa/files/resources/downloads/PEFA%202016_latest%20version_with%20links%20%282%29.pdf" TargetMode="External"/><Relationship Id="rId390" Type="http://schemas.openxmlformats.org/officeDocument/2006/relationships/image" Target="media/image70.png"/><Relationship Id="rId404" Type="http://schemas.openxmlformats.org/officeDocument/2006/relationships/image" Target="media/image79.png"/><Relationship Id="rId611" Type="http://schemas.openxmlformats.org/officeDocument/2006/relationships/image" Target="media/image181.png"/><Relationship Id="rId1034" Type="http://schemas.openxmlformats.org/officeDocument/2006/relationships/hyperlink" Target="https://www.internationalbudget.org/" TargetMode="External"/><Relationship Id="rId1241" Type="http://schemas.openxmlformats.org/officeDocument/2006/relationships/hyperlink" Target="https://www.oecd.org/gov/budgeting/seniorbudgetofficialnetworkssbo.htm" TargetMode="External"/><Relationship Id="rId1339" Type="http://schemas.openxmlformats.org/officeDocument/2006/relationships/hyperlink" Target="https://youtu.be/8wM16KFCP9Q" TargetMode="External"/><Relationship Id="rId250" Type="http://schemas.openxmlformats.org/officeDocument/2006/relationships/hyperlink" Target="http://www.oecd.org/governance/procurement/toolbox/" TargetMode="External"/><Relationship Id="rId488" Type="http://schemas.openxmlformats.org/officeDocument/2006/relationships/image" Target="media/image121.png"/><Relationship Id="rId695" Type="http://schemas.openxmlformats.org/officeDocument/2006/relationships/hyperlink" Target="https://unstats.un.org/unsd/iiss/classification-of-the-functions-of-government-cofog.ashx" TargetMode="External"/><Relationship Id="rId709" Type="http://schemas.openxmlformats.org/officeDocument/2006/relationships/image" Target="media/image214.png"/><Relationship Id="rId916" Type="http://schemas.openxmlformats.org/officeDocument/2006/relationships/image" Target="media/image321.gif"/><Relationship Id="rId1101" Type="http://schemas.openxmlformats.org/officeDocument/2006/relationships/hyperlink" Target="https://www.internationalbudget.org/" TargetMode="External"/><Relationship Id="rId1546" Type="http://schemas.openxmlformats.org/officeDocument/2006/relationships/hyperlink" Target="https://www.internationalbudget.org/publications/learning-from-cooperative-relationships-civil-society-budget-campaigns/" TargetMode="External"/><Relationship Id="rId45" Type="http://schemas.openxmlformats.org/officeDocument/2006/relationships/image" Target="media/image31.png"/><Relationship Id="rId110" Type="http://schemas.openxmlformats.org/officeDocument/2006/relationships/hyperlink" Target="https://www.oecd.org/gov/budgeting/Recommendation-of-the-Council-on-Budgetary-Governance.pdf" TargetMode="External"/><Relationship Id="rId348" Type="http://schemas.openxmlformats.org/officeDocument/2006/relationships/hyperlink" Target="https://undocs.org/en/A/RES/69/228" TargetMode="External"/><Relationship Id="rId555" Type="http://schemas.openxmlformats.org/officeDocument/2006/relationships/image" Target="media/image153.jpeg"/><Relationship Id="rId762" Type="http://schemas.openxmlformats.org/officeDocument/2006/relationships/image" Target="media/image242.png"/><Relationship Id="rId1185" Type="http://schemas.openxmlformats.org/officeDocument/2006/relationships/hyperlink" Target="https://www.oecd.org/gov/budgeting/seniorbudgetofficialnetworkssbo.htm" TargetMode="External"/><Relationship Id="rId1392" Type="http://schemas.openxmlformats.org/officeDocument/2006/relationships/hyperlink" Target="https://youtu.be/8wM16KFCP9Q" TargetMode="External"/><Relationship Id="rId1406" Type="http://schemas.openxmlformats.org/officeDocument/2006/relationships/hyperlink" Target="https://youtu.be/8wM16KFCP9Q" TargetMode="External"/><Relationship Id="rId1613" Type="http://schemas.openxmlformats.org/officeDocument/2006/relationships/hyperlink" Target="http://documents1.worldbank.org/curated/en/539361468170971115/pdf/866520REV0SecM0C0disclosed040160140.pdf" TargetMode="External"/><Relationship Id="rId194" Type="http://schemas.openxmlformats.org/officeDocument/2006/relationships/image" Target="media/image58.png"/><Relationship Id="rId208" Type="http://schemas.openxmlformats.org/officeDocument/2006/relationships/hyperlink" Target="https://www.oecd.org/gov/budgeting/Recommendation-of-the-Council-on-Budgetary-Governance.pdf" TargetMode="External"/><Relationship Id="rId415" Type="http://schemas.openxmlformats.org/officeDocument/2006/relationships/image" Target="media/image86.png"/><Relationship Id="rId622" Type="http://schemas.openxmlformats.org/officeDocument/2006/relationships/hyperlink" Target="https://www.imf.org/external/np/fad/publicinvestment/pdf/PFRAMmanual.pdf" TargetMode="External"/><Relationship Id="rId1045" Type="http://schemas.openxmlformats.org/officeDocument/2006/relationships/hyperlink" Target="https://www.internationalbudget.org/" TargetMode="External"/><Relationship Id="rId1252" Type="http://schemas.openxmlformats.org/officeDocument/2006/relationships/hyperlink" Target="https://www.oecd.org/gov/budgeting/seniorbudgetofficialnetworkssbo.htm" TargetMode="External"/><Relationship Id="rId261" Type="http://schemas.openxmlformats.org/officeDocument/2006/relationships/hyperlink" Target="https://www.oecd.org/gov/public-procurement/recommendation/" TargetMode="External"/><Relationship Id="rId499" Type="http://schemas.openxmlformats.org/officeDocument/2006/relationships/hyperlink" Target="https://www.opengovpartnership.org/" TargetMode="External"/><Relationship Id="rId927" Type="http://schemas.openxmlformats.org/officeDocument/2006/relationships/hyperlink" Target="https://iatistandard.org/en/" TargetMode="External"/><Relationship Id="rId1112" Type="http://schemas.openxmlformats.org/officeDocument/2006/relationships/hyperlink" Target="https://www.internationalbudget.org/" TargetMode="External"/><Relationship Id="rId1557" Type="http://schemas.openxmlformats.org/officeDocument/2006/relationships/hyperlink" Target="https://www.open-contracting.org/wp-content/uploads/2016/02/OCP2013_OpenContracting-Guide.pdf" TargetMode="External"/><Relationship Id="rId56" Type="http://schemas.openxmlformats.org/officeDocument/2006/relationships/hyperlink" Target="https://www.youtube.com/watch?v=OnP2JuYlhWQ" TargetMode="External"/><Relationship Id="rId359" Type="http://schemas.openxmlformats.org/officeDocument/2006/relationships/hyperlink" Target="https://www.internationalbudget.org/open-budget-survey" TargetMode="External"/><Relationship Id="rId566" Type="http://schemas.openxmlformats.org/officeDocument/2006/relationships/hyperlink" Target="https://youtu.be/RVqDmyWnfrc" TargetMode="External"/><Relationship Id="rId773" Type="http://schemas.openxmlformats.org/officeDocument/2006/relationships/image" Target="media/image247.png"/><Relationship Id="rId1196" Type="http://schemas.openxmlformats.org/officeDocument/2006/relationships/hyperlink" Target="https://www.oecd.org/gov/budgeting/seniorbudgetofficialnetworkssbo.htm" TargetMode="External"/><Relationship Id="rId1417" Type="http://schemas.openxmlformats.org/officeDocument/2006/relationships/hyperlink" Target="https://youtu.be/8wM16KFCP9Q" TargetMode="External"/><Relationship Id="rId1624" Type="http://schemas.openxmlformats.org/officeDocument/2006/relationships/glossaryDocument" Target="glossary/document.xml"/><Relationship Id="rId121" Type="http://schemas.openxmlformats.org/officeDocument/2006/relationships/hyperlink" Target="file:///C:\Users\1804\Downloads\Inter-Parliamentary%20Union&#8217;s%20Parliament%20And%20Democracy%20In%20The%20Twenty-First%20Century:%20A%20Guide%20to%20Good%20Practice" TargetMode="External"/><Relationship Id="rId219" Type="http://schemas.openxmlformats.org/officeDocument/2006/relationships/hyperlink" Target="https://www.ifac.org/knowledge-gateway/contributing-global-economy/publications/international-framework-good-governance-public-sector" TargetMode="External"/><Relationship Id="rId426" Type="http://schemas.openxmlformats.org/officeDocument/2006/relationships/image" Target="media/image93.png"/><Relationship Id="rId633" Type="http://schemas.openxmlformats.org/officeDocument/2006/relationships/hyperlink" Target="https://www.internationalbudget.org/wp-content/uploads/Looking-Beyond-the-Budget.pdf" TargetMode="External"/><Relationship Id="rId980" Type="http://schemas.openxmlformats.org/officeDocument/2006/relationships/hyperlink" Target="https://youtu.be/BkzkiM8SqQ8" TargetMode="External"/><Relationship Id="rId1056" Type="http://schemas.openxmlformats.org/officeDocument/2006/relationships/hyperlink" Target="https://www.internationalbudget.org/" TargetMode="External"/><Relationship Id="rId1263" Type="http://schemas.openxmlformats.org/officeDocument/2006/relationships/hyperlink" Target="https://www.oecd.org/gov/budgeting/seniorbudgetofficialnetworkssbo.htm" TargetMode="External"/><Relationship Id="rId840" Type="http://schemas.openxmlformats.org/officeDocument/2006/relationships/image" Target="media/image279.png"/><Relationship Id="rId938" Type="http://schemas.openxmlformats.org/officeDocument/2006/relationships/hyperlink" Target="https://olc.worldbank.org/content/open-data-policymakers-self-paced" TargetMode="External"/><Relationship Id="rId1470" Type="http://schemas.openxmlformats.org/officeDocument/2006/relationships/hyperlink" Target="https://www.internationalbudget.org/publications/tax-expenditure-transparency-in-latin-america/" TargetMode="External"/><Relationship Id="rId1568" Type="http://schemas.openxmlformats.org/officeDocument/2006/relationships/hyperlink" Target="https://www.jstor.org/stable/10.1086/517935?refreqid=excelsior%3A8fa8325a81b9fd1e2d5d183ff48a5548" TargetMode="External"/><Relationship Id="rId67" Type="http://schemas.openxmlformats.org/officeDocument/2006/relationships/hyperlink" Target="https://internationalbudget.org/" TargetMode="External"/><Relationship Id="rId272" Type="http://schemas.openxmlformats.org/officeDocument/2006/relationships/hyperlink" Target="https://www.imf.org/external/np/fad/publicinvestment/pdf/PFRAMmanual.pdf" TargetMode="External"/><Relationship Id="rId577" Type="http://schemas.openxmlformats.org/officeDocument/2006/relationships/hyperlink" Target="https://www.imf.org/external/np/fad/trans/Code2019.pdf" TargetMode="External"/><Relationship Id="rId700" Type="http://schemas.openxmlformats.org/officeDocument/2006/relationships/hyperlink" Target="https://www.issai.org/" TargetMode="External"/><Relationship Id="rId1123" Type="http://schemas.openxmlformats.org/officeDocument/2006/relationships/hyperlink" Target="https://www.internationalbudget.org/" TargetMode="External"/><Relationship Id="rId1330" Type="http://schemas.openxmlformats.org/officeDocument/2006/relationships/hyperlink" Target="https://youtu.be/8wM16KFCP9Q" TargetMode="External"/><Relationship Id="rId1428" Type="http://schemas.openxmlformats.org/officeDocument/2006/relationships/hyperlink" Target="https://youtu.be/8wM16KFCP9Q" TargetMode="External"/><Relationship Id="rId132" Type="http://schemas.openxmlformats.org/officeDocument/2006/relationships/hyperlink" Target="http://www.oecd.org/corruption-integrity/reports/oecd-budget-transparency-toolkit-9789264282070-en.html" TargetMode="External"/><Relationship Id="rId784" Type="http://schemas.openxmlformats.org/officeDocument/2006/relationships/hyperlink" Target="https://www.usaid.gov/" TargetMode="External"/><Relationship Id="rId991" Type="http://schemas.openxmlformats.org/officeDocument/2006/relationships/hyperlink" Target="https://youtu.be/knPqlZl03Bo" TargetMode="External"/><Relationship Id="rId1067" Type="http://schemas.openxmlformats.org/officeDocument/2006/relationships/hyperlink" Target="https://www.internationalbudget.org/" TargetMode="External"/><Relationship Id="rId437" Type="http://schemas.openxmlformats.org/officeDocument/2006/relationships/hyperlink" Target="https://blogs.imf.org/2021/10/07/when-it-comes-to-public-finances-credibility-is-key/" TargetMode="External"/><Relationship Id="rId644" Type="http://schemas.openxmlformats.org/officeDocument/2006/relationships/image" Target="media/image196.png"/><Relationship Id="rId851" Type="http://schemas.openxmlformats.org/officeDocument/2006/relationships/hyperlink" Target="https://openknowledge.worldbank.org/handle/10986/15897" TargetMode="External"/><Relationship Id="rId1274" Type="http://schemas.openxmlformats.org/officeDocument/2006/relationships/hyperlink" Target="https://www.oecd.org/gov/budgeting/seniorbudgetofficialnetworkssbo.htm" TargetMode="External"/><Relationship Id="rId1481" Type="http://schemas.openxmlformats.org/officeDocument/2006/relationships/hyperlink" Target="https://eml.berkeley.edu/~ffinan/Finan_Audit.pdf" TargetMode="External"/><Relationship Id="rId1579" Type="http://schemas.openxmlformats.org/officeDocument/2006/relationships/hyperlink" Target="https://www.pefa.org/resources/guide-pfm-diagnostic-tools" TargetMode="External"/><Relationship Id="rId283" Type="http://schemas.openxmlformats.org/officeDocument/2006/relationships/hyperlink" Target="https://www.internationalbudget.org/open-budget-survey" TargetMode="External"/><Relationship Id="rId490" Type="http://schemas.openxmlformats.org/officeDocument/2006/relationships/hyperlink" Target="https://fiscaltransparency.net/mexico-citizen-participation-in-school-infrastructure-and-equipment-projects/" TargetMode="External"/><Relationship Id="rId504" Type="http://schemas.openxmlformats.org/officeDocument/2006/relationships/hyperlink" Target="https://fiscaltransparency.net/public-participation-principles-and-guide/" TargetMode="External"/><Relationship Id="rId711" Type="http://schemas.openxmlformats.org/officeDocument/2006/relationships/image" Target="media/image216.png"/><Relationship Id="rId949" Type="http://schemas.openxmlformats.org/officeDocument/2006/relationships/hyperlink" Target="https://www.fiscaltransparency.net/open-data-tutorial-opening-and-promoting-use-of-budget-data/" TargetMode="External"/><Relationship Id="rId1134" Type="http://schemas.openxmlformats.org/officeDocument/2006/relationships/hyperlink" Target="https://www.internationalbudget.org/" TargetMode="External"/><Relationship Id="rId1341" Type="http://schemas.openxmlformats.org/officeDocument/2006/relationships/hyperlink" Target="https://youtu.be/8wM16KFCP9Q" TargetMode="External"/><Relationship Id="rId78" Type="http://schemas.openxmlformats.org/officeDocument/2006/relationships/hyperlink" Target="https://www.ipsasb.org/publications/2022-handbook-international-public-sector-accounting-pronouncements-0" TargetMode="External"/><Relationship Id="rId143" Type="http://schemas.openxmlformats.org/officeDocument/2006/relationships/hyperlink" Target="https://unstats.un.org/unsd/nationalaccount/sna2008.asp" TargetMode="External"/><Relationship Id="rId350" Type="http://schemas.openxmlformats.org/officeDocument/2006/relationships/hyperlink" Target="https://www.pefa.org/sites/pefa/files/resources/downloads/PEFA%202016_latest%20version_with%20links%20%282%29.pdf" TargetMode="External"/><Relationship Id="rId588" Type="http://schemas.openxmlformats.org/officeDocument/2006/relationships/hyperlink" Target="https://www.gov.za/documents/constitution/constitution-republic-south-africa-1996-1" TargetMode="External"/><Relationship Id="rId795" Type="http://schemas.openxmlformats.org/officeDocument/2006/relationships/image" Target="media/image259.png"/><Relationship Id="rId809" Type="http://schemas.openxmlformats.org/officeDocument/2006/relationships/hyperlink" Target="https://youtu.be/gJoB2OaejFg" TargetMode="External"/><Relationship Id="rId1201" Type="http://schemas.openxmlformats.org/officeDocument/2006/relationships/hyperlink" Target="https://www.oecd.org/gov/budgeting/seniorbudgetofficialnetworkssbo.htm" TargetMode="External"/><Relationship Id="rId1439" Type="http://schemas.openxmlformats.org/officeDocument/2006/relationships/image" Target="media/image392.jpeg"/><Relationship Id="rId9" Type="http://schemas.openxmlformats.org/officeDocument/2006/relationships/header" Target="header1.xml"/><Relationship Id="rId210" Type="http://schemas.openxmlformats.org/officeDocument/2006/relationships/hyperlink" Target="https://www.ifac.org/knowledge-gateway/contributing-global-economy/publications/international-framework-good-governance-public-sector" TargetMode="External"/><Relationship Id="rId448" Type="http://schemas.openxmlformats.org/officeDocument/2006/relationships/hyperlink" Target="http://www.ipu.org/splz-e/busan11/principles.pdf" TargetMode="External"/><Relationship Id="rId655" Type="http://schemas.openxmlformats.org/officeDocument/2006/relationships/hyperlink" Target="http://www.oecd.org/gov/budgeting/oecdjournalonbudgeting.htm" TargetMode="External"/><Relationship Id="rId862" Type="http://schemas.openxmlformats.org/officeDocument/2006/relationships/image" Target="media/image298.png"/><Relationship Id="rId1078" Type="http://schemas.openxmlformats.org/officeDocument/2006/relationships/hyperlink" Target="https://www.internationalbudget.org/" TargetMode="External"/><Relationship Id="rId1285" Type="http://schemas.openxmlformats.org/officeDocument/2006/relationships/hyperlink" Target="https://www.oecd.org/gov/budgeting/seniorbudgetofficialnetworkssbo.htm" TargetMode="External"/><Relationship Id="rId1492" Type="http://schemas.openxmlformats.org/officeDocument/2006/relationships/hyperlink" Target="https://fiscaltransparency.net/tutorial-on-fiscal-transparency-portals-2/" TargetMode="External"/><Relationship Id="rId1506" Type="http://schemas.openxmlformats.org/officeDocument/2006/relationships/hyperlink" Target="https://www.internationalbudget.org/wp-content/uploads/Guide-to-Transparency-in-Government-Budget-Reports-How-Civil-Society-Can-Use-Budget-Reports-for-Research-and-Advocacy-English.pdf" TargetMode="External"/><Relationship Id="rId294" Type="http://schemas.openxmlformats.org/officeDocument/2006/relationships/hyperlink" Target="https://www.imf.org/external/np/fad/trans/manual.htm" TargetMode="External"/><Relationship Id="rId308" Type="http://schemas.openxmlformats.org/officeDocument/2006/relationships/hyperlink" Target="https://www.oecd.org/gov/budgeting/OECD-Recommendation-on-Principles-for-Independent-Fiscal-Institutions.pdf" TargetMode="External"/><Relationship Id="rId515" Type="http://schemas.openxmlformats.org/officeDocument/2006/relationships/image" Target="media/image128.png"/><Relationship Id="rId722" Type="http://schemas.openxmlformats.org/officeDocument/2006/relationships/hyperlink" Target="http://standard.openownership.org/en/0.2.0/" TargetMode="External"/><Relationship Id="rId1145" Type="http://schemas.openxmlformats.org/officeDocument/2006/relationships/hyperlink" Target="https://www.internationalbudget.org/" TargetMode="External"/><Relationship Id="rId1352" Type="http://schemas.openxmlformats.org/officeDocument/2006/relationships/hyperlink" Target="https://youtu.be/8wM16KFCP9Q" TargetMode="External"/><Relationship Id="rId89" Type="http://schemas.openxmlformats.org/officeDocument/2006/relationships/image" Target="media/image41.png"/><Relationship Id="rId154" Type="http://schemas.openxmlformats.org/officeDocument/2006/relationships/hyperlink" Target="https://www.imf.org/external/np/fad/trans/manual.htm" TargetMode="External"/><Relationship Id="rId361" Type="http://schemas.openxmlformats.org/officeDocument/2006/relationships/hyperlink" Target="http://guide.fiscaltransparency.net/about-this-guide/" TargetMode="External"/><Relationship Id="rId599" Type="http://schemas.openxmlformats.org/officeDocument/2006/relationships/image" Target="media/image176.png"/><Relationship Id="rId1005" Type="http://schemas.openxmlformats.org/officeDocument/2006/relationships/image" Target="media/image356.png"/><Relationship Id="rId1212" Type="http://schemas.openxmlformats.org/officeDocument/2006/relationships/hyperlink" Target="https://www.oecd.org/gov/budgeting/seniorbudgetofficialnetworkssbo.htm" TargetMode="External"/><Relationship Id="rId459" Type="http://schemas.openxmlformats.org/officeDocument/2006/relationships/hyperlink" Target="https://fiscaltransparency.net/gift-principles/" TargetMode="External"/><Relationship Id="rId666" Type="http://schemas.openxmlformats.org/officeDocument/2006/relationships/hyperlink" Target="https://www.internationalbudget.org/wp-content/uploads/open-budget-survey-2017-guidelines-on-public-availability-of-budget-documents.pdf" TargetMode="External"/><Relationship Id="rId873" Type="http://schemas.openxmlformats.org/officeDocument/2006/relationships/image" Target="media/image307.png"/><Relationship Id="rId1089" Type="http://schemas.openxmlformats.org/officeDocument/2006/relationships/hyperlink" Target="https://www.internationalbudget.org/" TargetMode="External"/><Relationship Id="rId1296" Type="http://schemas.openxmlformats.org/officeDocument/2006/relationships/image" Target="media/image382.png"/><Relationship Id="rId1517" Type="http://schemas.openxmlformats.org/officeDocument/2006/relationships/hyperlink" Target="https://internationalbudget.org/wp-content/uploads/Open-budget-survey-2021-1.pdf" TargetMode="External"/><Relationship Id="rId16" Type="http://schemas.openxmlformats.org/officeDocument/2006/relationships/image" Target="media/image5.png"/><Relationship Id="rId221" Type="http://schemas.openxmlformats.org/officeDocument/2006/relationships/hyperlink" Target="https://www.imf.org/external/np/fad/trans/Code2019.pdf" TargetMode="External"/><Relationship Id="rId319" Type="http://schemas.openxmlformats.org/officeDocument/2006/relationships/hyperlink" Target="http://www.ipu.org/splz-e/busan11/principles.pdf" TargetMode="External"/><Relationship Id="rId526" Type="http://schemas.openxmlformats.org/officeDocument/2006/relationships/image" Target="media/image138.png"/><Relationship Id="rId1156" Type="http://schemas.openxmlformats.org/officeDocument/2006/relationships/hyperlink" Target="https://www.internationalbudget.org/" TargetMode="External"/><Relationship Id="rId1363" Type="http://schemas.openxmlformats.org/officeDocument/2006/relationships/hyperlink" Target="https://youtu.be/8wM16KFCP9Q" TargetMode="External"/><Relationship Id="rId733" Type="http://schemas.openxmlformats.org/officeDocument/2006/relationships/hyperlink" Target="https://www.fiscaltransparency.net/cso-perspective-on-taxes-scoping-study/" TargetMode="External"/><Relationship Id="rId940" Type="http://schemas.openxmlformats.org/officeDocument/2006/relationships/hyperlink" Target="http://opendatatoolkit.worldbank.org/en/odra.html" TargetMode="External"/><Relationship Id="rId1016" Type="http://schemas.openxmlformats.org/officeDocument/2006/relationships/image" Target="media/image364.png"/><Relationship Id="rId1570" Type="http://schemas.openxmlformats.org/officeDocument/2006/relationships/hyperlink" Target="http://www.oecd.org/gov/budgeting/48170438.pdf" TargetMode="External"/><Relationship Id="rId165" Type="http://schemas.openxmlformats.org/officeDocument/2006/relationships/hyperlink" Target="https://www.elibrary.imf.org/doc/IMF069/11874-9781616351564/11874-9781616351564/Other_formats/Source_PDF/11874-9781463969813.pdf" TargetMode="External"/><Relationship Id="rId372" Type="http://schemas.openxmlformats.org/officeDocument/2006/relationships/hyperlink" Target="https://www.ifac.org/knowledge-gateway/contributing-global-economy/publications/international-framework-good-governance-public-sector" TargetMode="External"/><Relationship Id="rId677" Type="http://schemas.openxmlformats.org/officeDocument/2006/relationships/hyperlink" Target="https://www.treasury.govt.nz/publications/financial-statements-government" TargetMode="External"/><Relationship Id="rId800" Type="http://schemas.openxmlformats.org/officeDocument/2006/relationships/image" Target="media/image261.jpeg"/><Relationship Id="rId1223" Type="http://schemas.openxmlformats.org/officeDocument/2006/relationships/hyperlink" Target="https://www.oecd.org/gov/budgeting/seniorbudgetofficialnetworkssbo.htm" TargetMode="External"/><Relationship Id="rId1430" Type="http://schemas.openxmlformats.org/officeDocument/2006/relationships/hyperlink" Target="https://youtu.be/8wM16KFCP9Q" TargetMode="External"/><Relationship Id="rId1528" Type="http://schemas.openxmlformats.org/officeDocument/2006/relationships/hyperlink" Target="https://www.imf.org/external/np/fad/trans/Code2019.pdf" TargetMode="External"/><Relationship Id="rId232" Type="http://schemas.openxmlformats.org/officeDocument/2006/relationships/hyperlink" Target="https://www.internationalbudget.org/open-budget-survey" TargetMode="External"/><Relationship Id="rId884" Type="http://schemas.openxmlformats.org/officeDocument/2006/relationships/image" Target="media/image317.png"/><Relationship Id="rId27" Type="http://schemas.openxmlformats.org/officeDocument/2006/relationships/hyperlink" Target="https://www.elibrary.imf.org/view/book/9781484331859/9781484331859.xml?cid=va-com-compd-fth" TargetMode="External"/><Relationship Id="rId537" Type="http://schemas.openxmlformats.org/officeDocument/2006/relationships/image" Target="media/image147.png"/><Relationship Id="rId744" Type="http://schemas.openxmlformats.org/officeDocument/2006/relationships/hyperlink" Target="https://www.imf.org/en/Publications/Policy-Papers/Issues/2019/01/29/pp122818fiscal-transparency-initiative-integration-of-natural-resource-management-issues" TargetMode="External"/><Relationship Id="rId951" Type="http://schemas.openxmlformats.org/officeDocument/2006/relationships/image" Target="media/image325.png"/><Relationship Id="rId1167" Type="http://schemas.openxmlformats.org/officeDocument/2006/relationships/hyperlink" Target="https://www.oecd.org/gov/budgeting/seniorbudgetofficialnetworkssbo.htm" TargetMode="External"/><Relationship Id="rId1374" Type="http://schemas.openxmlformats.org/officeDocument/2006/relationships/hyperlink" Target="https://youtu.be/8wM16KFCP9Q" TargetMode="External"/><Relationship Id="rId1581" Type="http://schemas.openxmlformats.org/officeDocument/2006/relationships/hyperlink" Target="https://www.jakobsvensson.com/uploads/9/9/1/0/99107788/1-s2.0-s0047272711000223-main.pdf" TargetMode="External"/><Relationship Id="rId80" Type="http://schemas.openxmlformats.org/officeDocument/2006/relationships/hyperlink" Target="https://www.issai.org/" TargetMode="External"/><Relationship Id="rId176" Type="http://schemas.openxmlformats.org/officeDocument/2006/relationships/hyperlink" Target="https://ec.europa.eu/eurostat/documents/3859598/5925693/KS-02-13-269-EN.PDF/44cd9d01-bc64-40e5-bd40-d17df0c69334" TargetMode="External"/><Relationship Id="rId383" Type="http://schemas.openxmlformats.org/officeDocument/2006/relationships/hyperlink" Target="https://www.internationalbudget.org/open-budget-survey" TargetMode="External"/><Relationship Id="rId590" Type="http://schemas.openxmlformats.org/officeDocument/2006/relationships/image" Target="media/image171.png"/><Relationship Id="rId604" Type="http://schemas.openxmlformats.org/officeDocument/2006/relationships/image" Target="media/image178.png"/><Relationship Id="rId811" Type="http://schemas.openxmlformats.org/officeDocument/2006/relationships/image" Target="media/image265.jpeg"/><Relationship Id="rId1027" Type="http://schemas.openxmlformats.org/officeDocument/2006/relationships/image" Target="media/image374.png"/><Relationship Id="rId1234" Type="http://schemas.openxmlformats.org/officeDocument/2006/relationships/hyperlink" Target="https://www.oecd.org/gov/budgeting/seniorbudgetofficialnetworkssbo.htm" TargetMode="External"/><Relationship Id="rId1441" Type="http://schemas.openxmlformats.org/officeDocument/2006/relationships/image" Target="media/image394.jpeg"/><Relationship Id="rId243" Type="http://schemas.openxmlformats.org/officeDocument/2006/relationships/hyperlink" Target="https://unstats.un.org/unsd/nationalaccount/sna2008.asp" TargetMode="External"/><Relationship Id="rId450" Type="http://schemas.openxmlformats.org/officeDocument/2006/relationships/image" Target="media/image103.png"/><Relationship Id="rId688" Type="http://schemas.openxmlformats.org/officeDocument/2006/relationships/hyperlink" Target="https://dsbb.imf.org/" TargetMode="External"/><Relationship Id="rId895" Type="http://schemas.openxmlformats.org/officeDocument/2006/relationships/hyperlink" Target="http://unicefstories.org/2015/11/18/the-case-of-prospera-digital-digital-tools-and-data-driven-strategies-to-transform-the-largest-social-program-in-mexico-part-2/" TargetMode="External"/><Relationship Id="rId909" Type="http://schemas.openxmlformats.org/officeDocument/2006/relationships/hyperlink" Target="https://tfl.gov.uk/info-for/media/press-releases/2017/october/tfl-s-free-open-data-boosts-london-s-economy" TargetMode="External"/><Relationship Id="rId1080" Type="http://schemas.openxmlformats.org/officeDocument/2006/relationships/hyperlink" Target="https://www.internationalbudget.org/" TargetMode="External"/><Relationship Id="rId1301" Type="http://schemas.openxmlformats.org/officeDocument/2006/relationships/hyperlink" Target="https://www.pefa.org/sites/pefa/files/resources/downloads/WBG_PEFA_Volume_4_Handbook_Final_Feb20_ENG%20-%20WEB%20only%20version.pdf" TargetMode="External"/><Relationship Id="rId1539" Type="http://schemas.openxmlformats.org/officeDocument/2006/relationships/hyperlink" Target="http://dx.doi.org/10.1787/budget-11-5kg3pdgcpn42" TargetMode="External"/><Relationship Id="rId38" Type="http://schemas.openxmlformats.org/officeDocument/2006/relationships/image" Target="media/image24.png"/><Relationship Id="rId103" Type="http://schemas.openxmlformats.org/officeDocument/2006/relationships/image" Target="media/image53.png"/><Relationship Id="rId310" Type="http://schemas.openxmlformats.org/officeDocument/2006/relationships/hyperlink" Target="http://www.ipu.org/dem-e/guide.htm" TargetMode="External"/><Relationship Id="rId548" Type="http://schemas.openxmlformats.org/officeDocument/2006/relationships/hyperlink" Target="https://youtu.be/FZ5Jr2VQtfU" TargetMode="External"/><Relationship Id="rId755" Type="http://schemas.openxmlformats.org/officeDocument/2006/relationships/image" Target="media/image237.png"/><Relationship Id="rId962" Type="http://schemas.openxmlformats.org/officeDocument/2006/relationships/image" Target="media/image333.png"/><Relationship Id="rId1178" Type="http://schemas.openxmlformats.org/officeDocument/2006/relationships/hyperlink" Target="https://www.oecd.org/gov/budgeting/seniorbudgetofficialnetworkssbo.htm" TargetMode="External"/><Relationship Id="rId1385" Type="http://schemas.openxmlformats.org/officeDocument/2006/relationships/hyperlink" Target="https://youtu.be/8wM16KFCP9Q" TargetMode="External"/><Relationship Id="rId1592" Type="http://schemas.openxmlformats.org/officeDocument/2006/relationships/hyperlink" Target="https://openknowledge.worldbank.org/handle/10986/31713" TargetMode="External"/><Relationship Id="rId1606" Type="http://schemas.openxmlformats.org/officeDocument/2006/relationships/hyperlink" Target="https://www.unodc.org/unodc/en/treaties/CAC/technical-guide.html" TargetMode="External"/><Relationship Id="rId91" Type="http://schemas.openxmlformats.org/officeDocument/2006/relationships/image" Target="media/image43.png"/><Relationship Id="rId187" Type="http://schemas.openxmlformats.org/officeDocument/2006/relationships/hyperlink" Target="https://eiti.org/document/eiti-standard-2019" TargetMode="External"/><Relationship Id="rId394" Type="http://schemas.openxmlformats.org/officeDocument/2006/relationships/image" Target="media/image72.png"/><Relationship Id="rId408" Type="http://schemas.openxmlformats.org/officeDocument/2006/relationships/image" Target="media/image82.png"/><Relationship Id="rId615" Type="http://schemas.openxmlformats.org/officeDocument/2006/relationships/hyperlink" Target="https://www.oecd.org/gov/public-procurement/recommendation/" TargetMode="External"/><Relationship Id="rId822" Type="http://schemas.openxmlformats.org/officeDocument/2006/relationships/hyperlink" Target="https://youtu.be/FozrMUxp_kU" TargetMode="External"/><Relationship Id="rId1038" Type="http://schemas.openxmlformats.org/officeDocument/2006/relationships/hyperlink" Target="https://www.internationalbudget.org/" TargetMode="External"/><Relationship Id="rId1245" Type="http://schemas.openxmlformats.org/officeDocument/2006/relationships/hyperlink" Target="https://www.oecd.org/gov/budgeting/seniorbudgetofficialnetworkssbo.htm" TargetMode="External"/><Relationship Id="rId1452" Type="http://schemas.openxmlformats.org/officeDocument/2006/relationships/hyperlink" Target="https://www.cabri-sbo.org/en/publications/cabri-position-on-aid-transparency" TargetMode="External"/><Relationship Id="rId254" Type="http://schemas.openxmlformats.org/officeDocument/2006/relationships/hyperlink" Target="https://www.open-contracting.org/wp-content/uploads/2016/02/OCP2013_OpenContracting-Guide.pdf" TargetMode="External"/><Relationship Id="rId699" Type="http://schemas.openxmlformats.org/officeDocument/2006/relationships/hyperlink" Target="https://www.ipsasb.org/publications/2022-handbook-international-public-sector-accounting-pronouncements-0" TargetMode="External"/><Relationship Id="rId1091" Type="http://schemas.openxmlformats.org/officeDocument/2006/relationships/hyperlink" Target="https://www.internationalbudget.org/" TargetMode="External"/><Relationship Id="rId1105" Type="http://schemas.openxmlformats.org/officeDocument/2006/relationships/hyperlink" Target="https://www.internationalbudget.org/" TargetMode="External"/><Relationship Id="rId1312" Type="http://schemas.openxmlformats.org/officeDocument/2006/relationships/hyperlink" Target="https://youtu.be/8wM16KFCP9Q" TargetMode="External"/><Relationship Id="rId49" Type="http://schemas.openxmlformats.org/officeDocument/2006/relationships/hyperlink" Target="https://www.youtube.com/watch?v=fAiXelB8fdI" TargetMode="External"/><Relationship Id="rId114" Type="http://schemas.openxmlformats.org/officeDocument/2006/relationships/hyperlink" Target="https://www.oecd.org/governance/budgeting/Best%20Practices%20Budget%20Transparency%20-%20complete%20with%20cover%20page.pdf" TargetMode="External"/><Relationship Id="rId461" Type="http://schemas.openxmlformats.org/officeDocument/2006/relationships/image" Target="media/image109.png"/><Relationship Id="rId559" Type="http://schemas.openxmlformats.org/officeDocument/2006/relationships/image" Target="media/image154.jpeg"/><Relationship Id="rId766" Type="http://schemas.openxmlformats.org/officeDocument/2006/relationships/hyperlink" Target="http://www.pefa.org/" TargetMode="External"/><Relationship Id="rId1189" Type="http://schemas.openxmlformats.org/officeDocument/2006/relationships/hyperlink" Target="https://www.oecd.org/gov/budgeting/seniorbudgetofficialnetworkssbo.htm" TargetMode="External"/><Relationship Id="rId1396" Type="http://schemas.openxmlformats.org/officeDocument/2006/relationships/hyperlink" Target="https://youtu.be/8wM16KFCP9Q" TargetMode="External"/><Relationship Id="rId1617" Type="http://schemas.openxmlformats.org/officeDocument/2006/relationships/hyperlink" Target="https://www.worldbank.org/en/publication/wdr2017" TargetMode="External"/><Relationship Id="rId198" Type="http://schemas.openxmlformats.org/officeDocument/2006/relationships/hyperlink" Target="https://www.imf.org/external/np/fad/trans/Code2019.pdf" TargetMode="External"/><Relationship Id="rId321" Type="http://schemas.openxmlformats.org/officeDocument/2006/relationships/hyperlink" Target="https://www.parlamericas.org/uploads/documents/Fiscal_Openness_ENG.pdf" TargetMode="External"/><Relationship Id="rId419" Type="http://schemas.openxmlformats.org/officeDocument/2006/relationships/image" Target="media/image89.png"/><Relationship Id="rId626" Type="http://schemas.openxmlformats.org/officeDocument/2006/relationships/hyperlink" Target="https://www.oecd.org/g20/topics/anti-corruption/G20_Anti-Corruption_Action_Plan.pdf" TargetMode="External"/><Relationship Id="rId973" Type="http://schemas.openxmlformats.org/officeDocument/2006/relationships/image" Target="media/image341.png"/><Relationship Id="rId1049" Type="http://schemas.openxmlformats.org/officeDocument/2006/relationships/hyperlink" Target="https://www.internationalbudget.org/" TargetMode="External"/><Relationship Id="rId1256" Type="http://schemas.openxmlformats.org/officeDocument/2006/relationships/hyperlink" Target="https://www.oecd.org/gov/budgeting/seniorbudgetofficialnetworkssbo.htm" TargetMode="External"/><Relationship Id="rId833" Type="http://schemas.openxmlformats.org/officeDocument/2006/relationships/hyperlink" Target="https://www.pefa.org/resources/guidance-subnational-government-pefa-assessments" TargetMode="External"/><Relationship Id="rId1116" Type="http://schemas.openxmlformats.org/officeDocument/2006/relationships/hyperlink" Target="https://www.internationalbudget.org/" TargetMode="External"/><Relationship Id="rId1463" Type="http://schemas.openxmlformats.org/officeDocument/2006/relationships/hyperlink" Target="https://www.internationalbudget.org/publications/ibp-research-note-no-1-transparency-and-participation-in-public-financial-management-what-do-budget-laws-say-2/" TargetMode="External"/><Relationship Id="rId265" Type="http://schemas.openxmlformats.org/officeDocument/2006/relationships/hyperlink" Target="https://standard.open-contracting.org/latest/en/" TargetMode="External"/><Relationship Id="rId472" Type="http://schemas.openxmlformats.org/officeDocument/2006/relationships/hyperlink" Target="https://www.issai.org/" TargetMode="External"/><Relationship Id="rId900" Type="http://schemas.openxmlformats.org/officeDocument/2006/relationships/hyperlink" Target="https://www.niwa.co.nz/our-science/freshwater/our-services/water-quality-monitoring-and-advice/national-river-water-quality-network-nrwqn/applications-of-the-nrwqn" TargetMode="External"/><Relationship Id="rId1323" Type="http://schemas.openxmlformats.org/officeDocument/2006/relationships/hyperlink" Target="https://youtu.be/8wM16KFCP9Q" TargetMode="External"/><Relationship Id="rId1530" Type="http://schemas.openxmlformats.org/officeDocument/2006/relationships/hyperlink" Target="https://www.issai.org/" TargetMode="External"/><Relationship Id="rId125" Type="http://schemas.openxmlformats.org/officeDocument/2006/relationships/hyperlink" Target="https://www.imf.org/external/np/fad/trans/Code2019.pdf" TargetMode="External"/><Relationship Id="rId332" Type="http://schemas.openxmlformats.org/officeDocument/2006/relationships/hyperlink" Target="http://www.intosai.org/" TargetMode="External"/><Relationship Id="rId777" Type="http://schemas.openxmlformats.org/officeDocument/2006/relationships/hyperlink" Target="https://www.imf.org/external/NP/rosc/rosc.aspx" TargetMode="External"/><Relationship Id="rId984" Type="http://schemas.openxmlformats.org/officeDocument/2006/relationships/hyperlink" Target="https://youtu.be/RgHvpv37Vwo" TargetMode="External"/><Relationship Id="rId637" Type="http://schemas.openxmlformats.org/officeDocument/2006/relationships/image" Target="media/image189.png"/><Relationship Id="rId844" Type="http://schemas.openxmlformats.org/officeDocument/2006/relationships/image" Target="media/image283.png"/><Relationship Id="rId1267" Type="http://schemas.openxmlformats.org/officeDocument/2006/relationships/hyperlink" Target="https://www.oecd.org/gov/budgeting/seniorbudgetofficialnetworkssbo.htm" TargetMode="External"/><Relationship Id="rId1474" Type="http://schemas.openxmlformats.org/officeDocument/2006/relationships/hyperlink" Target="https://blogs.imf.org/2021/10/07/when-it-comes-to-public-finances-credibility-is-key/" TargetMode="External"/><Relationship Id="rId276" Type="http://schemas.openxmlformats.org/officeDocument/2006/relationships/hyperlink" Target="http://www.constructiontransparency.org/home" TargetMode="External"/><Relationship Id="rId483" Type="http://schemas.openxmlformats.org/officeDocument/2006/relationships/hyperlink" Target="https://fiscaltransparency.net/gift-principles/" TargetMode="External"/><Relationship Id="rId690" Type="http://schemas.openxmlformats.org/officeDocument/2006/relationships/hyperlink" Target="https://www.elibrary.imf.org/doc/IMF069/11874-9781616351564/11874-9781616351564/Other_formats/Source_PDF/11874-9781463969813.pdf" TargetMode="External"/><Relationship Id="rId704" Type="http://schemas.openxmlformats.org/officeDocument/2006/relationships/hyperlink" Target="http://www.oecd.org/corruption-integrity/reports/oecd-budget-transparency-toolkit-9789264282070-en.html" TargetMode="External"/><Relationship Id="rId911" Type="http://schemas.openxmlformats.org/officeDocument/2006/relationships/hyperlink" Target="https://theodi.org/article/open-data-means-business/" TargetMode="External"/><Relationship Id="rId1127" Type="http://schemas.openxmlformats.org/officeDocument/2006/relationships/hyperlink" Target="https://www.internationalbudget.org/" TargetMode="External"/><Relationship Id="rId1334" Type="http://schemas.openxmlformats.org/officeDocument/2006/relationships/hyperlink" Target="https://youtu.be/8wM16KFCP9Q" TargetMode="External"/><Relationship Id="rId1541" Type="http://schemas.openxmlformats.org/officeDocument/2006/relationships/hyperlink" Target="https://openknowledge.worldbank.org/handle/10986/34093" TargetMode="External"/><Relationship Id="rId40" Type="http://schemas.openxmlformats.org/officeDocument/2006/relationships/image" Target="media/image26.png"/><Relationship Id="rId136" Type="http://schemas.openxmlformats.org/officeDocument/2006/relationships/hyperlink" Target="https://www.oecd.org/governance/budgeting/Best%20Practices%20Budget%20Transparency%20-%20complete%20with%20cover%20page.pdf" TargetMode="External"/><Relationship Id="rId343" Type="http://schemas.openxmlformats.org/officeDocument/2006/relationships/hyperlink" Target="https://www.issai.org/" TargetMode="External"/><Relationship Id="rId550" Type="http://schemas.openxmlformats.org/officeDocument/2006/relationships/hyperlink" Target="https://youtu.be/FZ5Jr2VQtfU" TargetMode="External"/><Relationship Id="rId788" Type="http://schemas.openxmlformats.org/officeDocument/2006/relationships/image" Target="media/image255.png"/><Relationship Id="rId995" Type="http://schemas.openxmlformats.org/officeDocument/2006/relationships/hyperlink" Target="https://www.state.gov/reports/2021-fiscal-transparency-report/" TargetMode="External"/><Relationship Id="rId1180" Type="http://schemas.openxmlformats.org/officeDocument/2006/relationships/hyperlink" Target="https://www.oecd.org/gov/budgeting/seniorbudgetofficialnetworkssbo.htm" TargetMode="External"/><Relationship Id="rId1401" Type="http://schemas.openxmlformats.org/officeDocument/2006/relationships/hyperlink" Target="https://youtu.be/8wM16KFCP9Q" TargetMode="External"/><Relationship Id="rId203" Type="http://schemas.openxmlformats.org/officeDocument/2006/relationships/hyperlink" Target="https://www.ifac.org/knowledge-gateway/contributing-global-economy/publications/international-framework-good-governance-public-sector" TargetMode="External"/><Relationship Id="rId648" Type="http://schemas.openxmlformats.org/officeDocument/2006/relationships/image" Target="media/image200.png"/><Relationship Id="rId855" Type="http://schemas.openxmlformats.org/officeDocument/2006/relationships/image" Target="media/image292.png"/><Relationship Id="rId1040" Type="http://schemas.openxmlformats.org/officeDocument/2006/relationships/hyperlink" Target="https://www.internationalbudget.org/" TargetMode="External"/><Relationship Id="rId1278" Type="http://schemas.openxmlformats.org/officeDocument/2006/relationships/hyperlink" Target="https://www.oecd.org/gov/budgeting/seniorbudgetofficialnetworkssbo.htm" TargetMode="External"/><Relationship Id="rId1485" Type="http://schemas.openxmlformats.org/officeDocument/2006/relationships/hyperlink" Target="https://fiscaltransparency.net/principles-and-guidance/" TargetMode="External"/><Relationship Id="rId287" Type="http://schemas.openxmlformats.org/officeDocument/2006/relationships/hyperlink" Target="https://www.imf.org/external/pubs/ft/gfs/manual/compil.pdf" TargetMode="External"/><Relationship Id="rId410" Type="http://schemas.openxmlformats.org/officeDocument/2006/relationships/image" Target="media/image84.png"/><Relationship Id="rId494" Type="http://schemas.openxmlformats.org/officeDocument/2006/relationships/hyperlink" Target="https://play.google.com/store/apps/details?id=org.devlive.app&amp;hl=ln&amp;gl=US" TargetMode="External"/><Relationship Id="rId508" Type="http://schemas.openxmlformats.org/officeDocument/2006/relationships/hyperlink" Target="https://www.imf.org/external/np/fad/trans/Code2019.pdf" TargetMode="External"/><Relationship Id="rId715" Type="http://schemas.openxmlformats.org/officeDocument/2006/relationships/image" Target="media/image218.png"/><Relationship Id="rId922" Type="http://schemas.openxmlformats.org/officeDocument/2006/relationships/hyperlink" Target="mailto:info@fiscaltransparency.net" TargetMode="External"/><Relationship Id="rId1138" Type="http://schemas.openxmlformats.org/officeDocument/2006/relationships/hyperlink" Target="https://www.internationalbudget.org/" TargetMode="External"/><Relationship Id="rId1345" Type="http://schemas.openxmlformats.org/officeDocument/2006/relationships/hyperlink" Target="https://youtu.be/8wM16KFCP9Q" TargetMode="External"/><Relationship Id="rId1552" Type="http://schemas.openxmlformats.org/officeDocument/2006/relationships/hyperlink" Target="https://www.internationalbudget.org/publications/why-policymakers-commit-to-transparency/" TargetMode="External"/><Relationship Id="rId147" Type="http://schemas.openxmlformats.org/officeDocument/2006/relationships/hyperlink" Target="https://www.imf.org/external/np/fad/trans/manual.htm" TargetMode="External"/><Relationship Id="rId354" Type="http://schemas.openxmlformats.org/officeDocument/2006/relationships/hyperlink" Target="http://www.un.org/ga/search/view_doc.asp?symbol=A/RES/67/218&amp;Lang=E" TargetMode="External"/><Relationship Id="rId799" Type="http://schemas.openxmlformats.org/officeDocument/2006/relationships/image" Target="media/image260.png"/><Relationship Id="rId1191" Type="http://schemas.openxmlformats.org/officeDocument/2006/relationships/hyperlink" Target="https://www.oecd.org/gov/budgeting/seniorbudgetofficialnetworkssbo.htm" TargetMode="External"/><Relationship Id="rId1205" Type="http://schemas.openxmlformats.org/officeDocument/2006/relationships/hyperlink" Target="https://www.oecd.org/gov/budgeting/seniorbudgetofficialnetworkssbo.htm" TargetMode="External"/><Relationship Id="rId51" Type="http://schemas.openxmlformats.org/officeDocument/2006/relationships/image" Target="media/image34.png"/><Relationship Id="rId561" Type="http://schemas.openxmlformats.org/officeDocument/2006/relationships/hyperlink" Target="https://youtu.be/Uiddf2xgVZc" TargetMode="External"/><Relationship Id="rId659" Type="http://schemas.openxmlformats.org/officeDocument/2006/relationships/hyperlink" Target="http://www.treasury.gov.za/" TargetMode="External"/><Relationship Id="rId866" Type="http://schemas.openxmlformats.org/officeDocument/2006/relationships/image" Target="media/image302.png"/><Relationship Id="rId1289" Type="http://schemas.openxmlformats.org/officeDocument/2006/relationships/image" Target="media/image380.jpeg"/><Relationship Id="rId1412" Type="http://schemas.openxmlformats.org/officeDocument/2006/relationships/hyperlink" Target="https://youtu.be/8wM16KFCP9Q" TargetMode="External"/><Relationship Id="rId1496" Type="http://schemas.openxmlformats.org/officeDocument/2006/relationships/hyperlink" Target="https://www.imf.org/en/Publications/Books/Issues/2018/04/02/Digital-Revolutions-in-Public-Finance-44925" TargetMode="External"/><Relationship Id="rId214" Type="http://schemas.openxmlformats.org/officeDocument/2006/relationships/hyperlink" Target="https://www.internationalbudget.org/open-budget-survey" TargetMode="External"/><Relationship Id="rId298" Type="http://schemas.openxmlformats.org/officeDocument/2006/relationships/hyperlink" Target="https://www.internationalbudget.org/open-budget-survey" TargetMode="External"/><Relationship Id="rId421" Type="http://schemas.openxmlformats.org/officeDocument/2006/relationships/image" Target="media/image91.png"/><Relationship Id="rId519" Type="http://schemas.openxmlformats.org/officeDocument/2006/relationships/image" Target="media/image132.png"/><Relationship Id="rId1051" Type="http://schemas.openxmlformats.org/officeDocument/2006/relationships/hyperlink" Target="https://www.internationalbudget.org/" TargetMode="External"/><Relationship Id="rId1149" Type="http://schemas.openxmlformats.org/officeDocument/2006/relationships/hyperlink" Target="https://www.internationalbudget.org/" TargetMode="External"/><Relationship Id="rId1356" Type="http://schemas.openxmlformats.org/officeDocument/2006/relationships/hyperlink" Target="https://youtu.be/8wM16KFCP9Q" TargetMode="External"/><Relationship Id="rId158" Type="http://schemas.openxmlformats.org/officeDocument/2006/relationships/hyperlink" Target="https://www.oecd.org/gov/budgeting/Recommendation-of-the-Council-on-Budgetary-Governance.pdf" TargetMode="External"/><Relationship Id="rId726" Type="http://schemas.openxmlformats.org/officeDocument/2006/relationships/hyperlink" Target="https://www.worldbank.org/en/programs/the-global-tax-program" TargetMode="External"/><Relationship Id="rId933" Type="http://schemas.openxmlformats.org/officeDocument/2006/relationships/hyperlink" Target="http://opendatatoolkit.worldbank.org/en/starting.html" TargetMode="External"/><Relationship Id="rId1009" Type="http://schemas.openxmlformats.org/officeDocument/2006/relationships/image" Target="media/image359.png"/><Relationship Id="rId1563" Type="http://schemas.openxmlformats.org/officeDocument/2006/relationships/hyperlink" Target="https://www.oecd.org/gov/budgeting/Recommendation-of-the-Council-on-Budgetary-Governance.pdf" TargetMode="External"/><Relationship Id="rId62" Type="http://schemas.openxmlformats.org/officeDocument/2006/relationships/hyperlink" Target="http://www.oecd.org/" TargetMode="External"/><Relationship Id="rId365" Type="http://schemas.openxmlformats.org/officeDocument/2006/relationships/hyperlink" Target="https://eiti.org/files/documents/eiti_standard_2019_en_a4_web.pdf" TargetMode="External"/><Relationship Id="rId572" Type="http://schemas.openxmlformats.org/officeDocument/2006/relationships/image" Target="media/image161.png"/><Relationship Id="rId1216" Type="http://schemas.openxmlformats.org/officeDocument/2006/relationships/hyperlink" Target="https://www.oecd.org/gov/budgeting/seniorbudgetofficialnetworkssbo.htm" TargetMode="External"/><Relationship Id="rId1423" Type="http://schemas.openxmlformats.org/officeDocument/2006/relationships/hyperlink" Target="https://youtu.be/8wM16KFCP9Q" TargetMode="External"/><Relationship Id="rId225" Type="http://schemas.openxmlformats.org/officeDocument/2006/relationships/hyperlink" Target="https://eiti.org/document/eiti-standard-2019" TargetMode="External"/><Relationship Id="rId432" Type="http://schemas.openxmlformats.org/officeDocument/2006/relationships/hyperlink" Target="https://www.oecd.org/gov/budgeting/recommendation-on-principles-for-independent-fiscal-institutions.htm" TargetMode="External"/><Relationship Id="rId877" Type="http://schemas.openxmlformats.org/officeDocument/2006/relationships/image" Target="media/image311.png"/><Relationship Id="rId1062" Type="http://schemas.openxmlformats.org/officeDocument/2006/relationships/hyperlink" Target="https://www.internationalbudget.org/" TargetMode="External"/><Relationship Id="rId737" Type="http://schemas.openxmlformats.org/officeDocument/2006/relationships/image" Target="media/image228.png"/><Relationship Id="rId944" Type="http://schemas.openxmlformats.org/officeDocument/2006/relationships/hyperlink" Target="http://opendatatoolkit.worldbank.org/en/demand.html" TargetMode="External"/><Relationship Id="rId1367" Type="http://schemas.openxmlformats.org/officeDocument/2006/relationships/hyperlink" Target="https://youtu.be/8wM16KFCP9Q" TargetMode="External"/><Relationship Id="rId1574" Type="http://schemas.openxmlformats.org/officeDocument/2006/relationships/hyperlink" Target="https://papers.ssrn.com/sol3/papers.cfm?abstract_id=3090673" TargetMode="External"/><Relationship Id="rId73" Type="http://schemas.openxmlformats.org/officeDocument/2006/relationships/hyperlink" Target="https://www.imf.org/external/np/fad/trans/Code2019.pdf" TargetMode="External"/><Relationship Id="rId169" Type="http://schemas.openxmlformats.org/officeDocument/2006/relationships/hyperlink" Target="https://www.oecd.org/governance/budgeting/Best%20Practices%20Budget%20Transparency%20-%20complete%20with%20cover%20page.pdf" TargetMode="External"/><Relationship Id="rId376" Type="http://schemas.openxmlformats.org/officeDocument/2006/relationships/hyperlink" Target="https://www.internationalbudget.org/open-budget-survey" TargetMode="External"/><Relationship Id="rId583" Type="http://schemas.openxmlformats.org/officeDocument/2006/relationships/image" Target="media/image167.png"/><Relationship Id="rId790" Type="http://schemas.openxmlformats.org/officeDocument/2006/relationships/image" Target="media/image256.png"/><Relationship Id="rId804" Type="http://schemas.openxmlformats.org/officeDocument/2006/relationships/image" Target="media/image262.png"/><Relationship Id="rId1227" Type="http://schemas.openxmlformats.org/officeDocument/2006/relationships/hyperlink" Target="https://www.oecd.org/gov/budgeting/seniorbudgetofficialnetworkssbo.htm" TargetMode="External"/><Relationship Id="rId1434" Type="http://schemas.openxmlformats.org/officeDocument/2006/relationships/hyperlink" Target="https://youtu.be/8wM16KFCP9Q" TargetMode="External"/><Relationship Id="rId4" Type="http://schemas.openxmlformats.org/officeDocument/2006/relationships/settings" Target="settings.xml"/><Relationship Id="rId236" Type="http://schemas.openxmlformats.org/officeDocument/2006/relationships/hyperlink" Target="http://www.g20.utoronto.ca/2015/G20-Anti-Corruption-Open-Data-Principles.pdf" TargetMode="External"/><Relationship Id="rId443" Type="http://schemas.openxmlformats.org/officeDocument/2006/relationships/hyperlink" Target="http://gopacnetwork.org/" TargetMode="External"/><Relationship Id="rId650" Type="http://schemas.openxmlformats.org/officeDocument/2006/relationships/hyperlink" Target="https://www.treasury.go.ke/" TargetMode="External"/><Relationship Id="rId888" Type="http://schemas.openxmlformats.org/officeDocument/2006/relationships/hyperlink" Target="https://www.pmc.gov.au/sites/default/files/publications/Implementation-Public-Sector-Data-Management-Report_0.pdf" TargetMode="External"/><Relationship Id="rId1073" Type="http://schemas.openxmlformats.org/officeDocument/2006/relationships/hyperlink" Target="https://www.internationalbudget.org/" TargetMode="External"/><Relationship Id="rId1280" Type="http://schemas.openxmlformats.org/officeDocument/2006/relationships/hyperlink" Target="https://www.oecd.org/gov/budgeting/seniorbudgetofficialnetworkssbo.htm" TargetMode="External"/><Relationship Id="rId1501" Type="http://schemas.openxmlformats.org/officeDocument/2006/relationships/hyperlink" Target="https://econpapers.repec.org/bookchap/wbkwbpubs/25267.htm" TargetMode="External"/><Relationship Id="rId303" Type="http://schemas.openxmlformats.org/officeDocument/2006/relationships/hyperlink" Target="https://www.imf.org/external/np/fad/trans/Code2019.pdf" TargetMode="External"/><Relationship Id="rId748" Type="http://schemas.openxmlformats.org/officeDocument/2006/relationships/image" Target="media/image233.png"/><Relationship Id="rId955" Type="http://schemas.openxmlformats.org/officeDocument/2006/relationships/image" Target="media/image329.png"/><Relationship Id="rId1140" Type="http://schemas.openxmlformats.org/officeDocument/2006/relationships/hyperlink" Target="https://www.internationalbudget.org/" TargetMode="External"/><Relationship Id="rId1378" Type="http://schemas.openxmlformats.org/officeDocument/2006/relationships/hyperlink" Target="https://youtu.be/8wM16KFCP9Q" TargetMode="External"/><Relationship Id="rId1585" Type="http://schemas.openxmlformats.org/officeDocument/2006/relationships/hyperlink" Target="https://www.internationalbudget.org/wp-content/uploads/state-of-the-field-review-fiscal-transparency-and-accountability-2018.pdf" TargetMode="External"/><Relationship Id="rId84" Type="http://schemas.openxmlformats.org/officeDocument/2006/relationships/hyperlink" Target="https://www.state.gov/fiscal-transparency-report/" TargetMode="External"/><Relationship Id="rId387" Type="http://schemas.openxmlformats.org/officeDocument/2006/relationships/image" Target="media/image67.png"/><Relationship Id="rId510" Type="http://schemas.openxmlformats.org/officeDocument/2006/relationships/image" Target="media/image127.png"/><Relationship Id="rId594" Type="http://schemas.openxmlformats.org/officeDocument/2006/relationships/hyperlink" Target="https://www.imf.org/external/pubs/ft/gfs/manual/compil.pdf" TargetMode="External"/><Relationship Id="rId608" Type="http://schemas.openxmlformats.org/officeDocument/2006/relationships/image" Target="media/image179.png"/><Relationship Id="rId815" Type="http://schemas.openxmlformats.org/officeDocument/2006/relationships/hyperlink" Target="https://youtu.be/ct5AlwT1ntk" TargetMode="External"/><Relationship Id="rId1238" Type="http://schemas.openxmlformats.org/officeDocument/2006/relationships/hyperlink" Target="https://www.oecd.org/gov/budgeting/seniorbudgetofficialnetworkssbo.htm" TargetMode="External"/><Relationship Id="rId1445" Type="http://schemas.openxmlformats.org/officeDocument/2006/relationships/hyperlink" Target="https://www.journals.uchicago.edu/doi/10.1086/699209" TargetMode="External"/><Relationship Id="rId247" Type="http://schemas.openxmlformats.org/officeDocument/2006/relationships/hyperlink" Target="http://www.ifac.org/public-sector" TargetMode="External"/><Relationship Id="rId899" Type="http://schemas.openxmlformats.org/officeDocument/2006/relationships/hyperlink" Target="http://noah.up.edu.ph/" TargetMode="External"/><Relationship Id="rId1000" Type="http://schemas.openxmlformats.org/officeDocument/2006/relationships/hyperlink" Target="https://www.pefa.org/sites/pefa/files/2020002190ENGeng002_Web%20PDF-Updated%20images%20Apr21_0.pdf" TargetMode="External"/><Relationship Id="rId1084" Type="http://schemas.openxmlformats.org/officeDocument/2006/relationships/hyperlink" Target="https://www.internationalbudget.org/" TargetMode="External"/><Relationship Id="rId1305" Type="http://schemas.openxmlformats.org/officeDocument/2006/relationships/image" Target="media/image387.png"/><Relationship Id="rId107" Type="http://schemas.openxmlformats.org/officeDocument/2006/relationships/hyperlink" Target="https://www.imf.org/external/np/fad/trans/manual.htm" TargetMode="External"/><Relationship Id="rId454" Type="http://schemas.openxmlformats.org/officeDocument/2006/relationships/image" Target="media/image107.png"/><Relationship Id="rId661" Type="http://schemas.openxmlformats.org/officeDocument/2006/relationships/hyperlink" Target="https://budget.gc.ca/2019/docs/plan/toc-tdm-en.html" TargetMode="External"/><Relationship Id="rId759" Type="http://schemas.openxmlformats.org/officeDocument/2006/relationships/image" Target="media/image240.png"/><Relationship Id="rId966" Type="http://schemas.openxmlformats.org/officeDocument/2006/relationships/image" Target="media/image336.png"/><Relationship Id="rId1291" Type="http://schemas.openxmlformats.org/officeDocument/2006/relationships/hyperlink" Target="http://www.uemoa.int/fr" TargetMode="External"/><Relationship Id="rId1389" Type="http://schemas.openxmlformats.org/officeDocument/2006/relationships/hyperlink" Target="https://youtu.be/8wM16KFCP9Q" TargetMode="External"/><Relationship Id="rId1512" Type="http://schemas.openxmlformats.org/officeDocument/2006/relationships/hyperlink" Target="https://www.internationalbudget.org/publications/guidelines-for-capturing-social-audit-data/" TargetMode="External"/><Relationship Id="rId1596" Type="http://schemas.openxmlformats.org/officeDocument/2006/relationships/hyperlink" Target="https://www.thenation.com/article/archive/gilets-juanes-yellow-vest-taxes/" TargetMode="External"/><Relationship Id="rId11" Type="http://schemas.openxmlformats.org/officeDocument/2006/relationships/footer" Target="footer2.xml"/><Relationship Id="rId314" Type="http://schemas.openxmlformats.org/officeDocument/2006/relationships/hyperlink" Target="http://www.oecd.org/corruption-integrity/reports/oecd-budget-transparency-toolkit-9789264282070-en.html" TargetMode="External"/><Relationship Id="rId398" Type="http://schemas.openxmlformats.org/officeDocument/2006/relationships/image" Target="media/image75.png"/><Relationship Id="rId521" Type="http://schemas.openxmlformats.org/officeDocument/2006/relationships/image" Target="media/image133.png"/><Relationship Id="rId619" Type="http://schemas.openxmlformats.org/officeDocument/2006/relationships/hyperlink" Target="https://www.open-contracting.org/wp-content/uploads/2016/02/OCP2013_OpenContracting-Guide.pdf" TargetMode="External"/><Relationship Id="rId1151" Type="http://schemas.openxmlformats.org/officeDocument/2006/relationships/hyperlink" Target="https://www.internationalbudget.org/" TargetMode="External"/><Relationship Id="rId1249" Type="http://schemas.openxmlformats.org/officeDocument/2006/relationships/hyperlink" Target="https://www.oecd.org/gov/budgeting/seniorbudgetofficialnetworkssbo.htm" TargetMode="External"/><Relationship Id="rId95" Type="http://schemas.openxmlformats.org/officeDocument/2006/relationships/image" Target="media/image47.png"/><Relationship Id="rId160" Type="http://schemas.openxmlformats.org/officeDocument/2006/relationships/hyperlink" Target="http://www.oecd.org/corruption-integrity/reports/oecd-budget-transparency-toolkit-9789264282070-en.html" TargetMode="External"/><Relationship Id="rId826" Type="http://schemas.openxmlformats.org/officeDocument/2006/relationships/image" Target="media/image272.png"/><Relationship Id="rId1011" Type="http://schemas.openxmlformats.org/officeDocument/2006/relationships/hyperlink" Target="https://internationalbudget.org/covid/wp-content/uploads/2021/05/Report_English-2.pdf" TargetMode="External"/><Relationship Id="rId1109" Type="http://schemas.openxmlformats.org/officeDocument/2006/relationships/hyperlink" Target="https://www.internationalbudget.org/" TargetMode="External"/><Relationship Id="rId1456" Type="http://schemas.openxmlformats.org/officeDocument/2006/relationships/hyperlink" Target="https://www.cabri-sbo.org/uploads/files/Documents/CABRI-Citizen-Budget-ENG-REV-WEB.pdf" TargetMode="External"/><Relationship Id="rId258" Type="http://schemas.openxmlformats.org/officeDocument/2006/relationships/hyperlink" Target="https://www.imf.org/external/np/fad/trans/manual.htm" TargetMode="External"/><Relationship Id="rId465" Type="http://schemas.openxmlformats.org/officeDocument/2006/relationships/hyperlink" Target="https://www.ifac.org/knowledge-gateway/contributing-global-economy/publications/international-framework-good-governance-public-sector" TargetMode="External"/><Relationship Id="rId672" Type="http://schemas.openxmlformats.org/officeDocument/2006/relationships/hyperlink" Target="http://www.mof.gov.eg/Arabic/esdarate/Pages/Report8-2020.aspx" TargetMode="External"/><Relationship Id="rId1095" Type="http://schemas.openxmlformats.org/officeDocument/2006/relationships/hyperlink" Target="https://www.internationalbudget.org/" TargetMode="External"/><Relationship Id="rId1316" Type="http://schemas.openxmlformats.org/officeDocument/2006/relationships/hyperlink" Target="https://youtu.be/8wM16KFCP9Q" TargetMode="External"/><Relationship Id="rId1523" Type="http://schemas.openxmlformats.org/officeDocument/2006/relationships/hyperlink" Target="https://www.imf.org/external/pubs/ft/gfs/manual/pdf/all.pdf" TargetMode="External"/><Relationship Id="rId22" Type="http://schemas.openxmlformats.org/officeDocument/2006/relationships/image" Target="media/image11.png"/><Relationship Id="rId118" Type="http://schemas.openxmlformats.org/officeDocument/2006/relationships/hyperlink" Target="https://www.pefa.org/sites/pefa/files/resources/downloads/PEFA%202016_latest%20version_with%20links%20%282%29.pdf" TargetMode="External"/><Relationship Id="rId325" Type="http://schemas.openxmlformats.org/officeDocument/2006/relationships/hyperlink" Target="http://www.ipu.org/splz-e/busan11/principles.pdf" TargetMode="External"/><Relationship Id="rId532" Type="http://schemas.openxmlformats.org/officeDocument/2006/relationships/image" Target="media/image144.png"/><Relationship Id="rId977" Type="http://schemas.openxmlformats.org/officeDocument/2006/relationships/hyperlink" Target="https://globaldatabarometer.org/results/" TargetMode="External"/><Relationship Id="rId1162" Type="http://schemas.openxmlformats.org/officeDocument/2006/relationships/hyperlink" Target="https://www.oecd.org/gov/budgeting/seniorbudgetofficialnetworkssbo.htm" TargetMode="External"/><Relationship Id="rId171" Type="http://schemas.openxmlformats.org/officeDocument/2006/relationships/hyperlink" Target="http://www.ifac.org/public-sector" TargetMode="External"/><Relationship Id="rId837" Type="http://schemas.openxmlformats.org/officeDocument/2006/relationships/image" Target="media/image276.png"/><Relationship Id="rId1022" Type="http://schemas.openxmlformats.org/officeDocument/2006/relationships/hyperlink" Target="https://www.internationalbudget.org/publications/road-to-budget-transparency-six-country-synthesis/" TargetMode="External"/><Relationship Id="rId1467" Type="http://schemas.openxmlformats.org/officeDocument/2006/relationships/hyperlink" Target="https://www.internationalbudget.org/wp-content/uploads/incentives-for-accountability-through-ecosystem-approach-may-2016.pdf" TargetMode="External"/><Relationship Id="rId269" Type="http://schemas.openxmlformats.org/officeDocument/2006/relationships/hyperlink" Target="https://eiti.org/document/eiti-standard-2019" TargetMode="External"/><Relationship Id="rId476" Type="http://schemas.openxmlformats.org/officeDocument/2006/relationships/image" Target="media/image113.png"/><Relationship Id="rId683" Type="http://schemas.openxmlformats.org/officeDocument/2006/relationships/image" Target="media/image207.png"/><Relationship Id="rId890" Type="http://schemas.openxmlformats.org/officeDocument/2006/relationships/hyperlink" Target="https://www.pmc.gov.au/sites/default/files/publications/Implementation-Public-Sector-Data-Management-Report_0.pdf" TargetMode="External"/><Relationship Id="rId904" Type="http://schemas.openxmlformats.org/officeDocument/2006/relationships/hyperlink" Target="https://www.tandfonline.com/doi/abs/10.1080/07055900.2017.1342163" TargetMode="External"/><Relationship Id="rId1327" Type="http://schemas.openxmlformats.org/officeDocument/2006/relationships/hyperlink" Target="https://youtu.be/8wM16KFCP9Q" TargetMode="External"/><Relationship Id="rId1534" Type="http://schemas.openxmlformats.org/officeDocument/2006/relationships/hyperlink" Target="https://doi.org/10.1787/be73a937-en" TargetMode="External"/><Relationship Id="rId33" Type="http://schemas.openxmlformats.org/officeDocument/2006/relationships/image" Target="media/image19.png"/><Relationship Id="rId129" Type="http://schemas.openxmlformats.org/officeDocument/2006/relationships/hyperlink" Target="https://www.imf.org/external/np/fad/trans/manual.htm" TargetMode="External"/><Relationship Id="rId336" Type="http://schemas.openxmlformats.org/officeDocument/2006/relationships/hyperlink" Target="https://www.imf.org/external/np/fad/trans/manual.htm" TargetMode="External"/><Relationship Id="rId543" Type="http://schemas.openxmlformats.org/officeDocument/2006/relationships/hyperlink" Target="https://www.internationalbudget.org/publications/guidelines-for-social-audit-questionnaires/" TargetMode="External"/><Relationship Id="rId988" Type="http://schemas.openxmlformats.org/officeDocument/2006/relationships/hyperlink" Target="https://internationalbudget.org/covid/" TargetMode="External"/><Relationship Id="rId1173" Type="http://schemas.openxmlformats.org/officeDocument/2006/relationships/hyperlink" Target="https://www.oecd.org/gov/budgeting/seniorbudgetofficialnetworkssbo.htm" TargetMode="External"/><Relationship Id="rId1380" Type="http://schemas.openxmlformats.org/officeDocument/2006/relationships/hyperlink" Target="https://youtu.be/8wM16KFCP9Q" TargetMode="External"/><Relationship Id="rId1601" Type="http://schemas.openxmlformats.org/officeDocument/2006/relationships/hyperlink" Target="https://onlinelibrary.wiley.com/doi/10.1111/gove.12552" TargetMode="External"/><Relationship Id="rId182" Type="http://schemas.openxmlformats.org/officeDocument/2006/relationships/hyperlink" Target="http://www.aidtransparency.net/" TargetMode="External"/><Relationship Id="rId403" Type="http://schemas.openxmlformats.org/officeDocument/2006/relationships/image" Target="media/image78.png"/><Relationship Id="rId750" Type="http://schemas.openxmlformats.org/officeDocument/2006/relationships/hyperlink" Target="https://www.oecd.org/dac/effectiveness/parisdeclarationandaccraagendaforaction.htm" TargetMode="External"/><Relationship Id="rId848" Type="http://schemas.openxmlformats.org/officeDocument/2006/relationships/image" Target="media/image287.png"/><Relationship Id="rId1033" Type="http://schemas.openxmlformats.org/officeDocument/2006/relationships/hyperlink" Target="https://www.internationalbudget.org/" TargetMode="External"/><Relationship Id="rId1478" Type="http://schemas.openxmlformats.org/officeDocument/2006/relationships/hyperlink" Target="https://eiti.org/document/eiti-standard-2019" TargetMode="External"/><Relationship Id="rId487" Type="http://schemas.openxmlformats.org/officeDocument/2006/relationships/image" Target="media/image120.png"/><Relationship Id="rId610" Type="http://schemas.openxmlformats.org/officeDocument/2006/relationships/hyperlink" Target="https://www.imf.org/external/np/fad/trans/manual.htm" TargetMode="External"/><Relationship Id="rId694" Type="http://schemas.openxmlformats.org/officeDocument/2006/relationships/hyperlink" Target="https://unstats.un.org/unsd/nationalaccount/sna2008.asp" TargetMode="External"/><Relationship Id="rId708" Type="http://schemas.openxmlformats.org/officeDocument/2006/relationships/image" Target="media/image213.png"/><Relationship Id="rId915" Type="http://schemas.openxmlformats.org/officeDocument/2006/relationships/image" Target="media/image320.png"/><Relationship Id="rId1240" Type="http://schemas.openxmlformats.org/officeDocument/2006/relationships/hyperlink" Target="https://www.oecd.org/gov/budgeting/seniorbudgetofficialnetworkssbo.htm" TargetMode="External"/><Relationship Id="rId1338" Type="http://schemas.openxmlformats.org/officeDocument/2006/relationships/hyperlink" Target="https://youtu.be/8wM16KFCP9Q" TargetMode="External"/><Relationship Id="rId1545" Type="http://schemas.openxmlformats.org/officeDocument/2006/relationships/hyperlink" Target="https://internationalbudget.org/justifying-government-budget-decisions-toward-standards-for-public-reasons-ibp-2020/" TargetMode="External"/><Relationship Id="rId347" Type="http://schemas.openxmlformats.org/officeDocument/2006/relationships/hyperlink" Target="https://www.ifac.org/knowledge-gateway/contributing-global-economy/publications/international-framework-good-governance-public-sector" TargetMode="External"/><Relationship Id="rId999" Type="http://schemas.openxmlformats.org/officeDocument/2006/relationships/image" Target="media/image351.png"/><Relationship Id="rId1100" Type="http://schemas.openxmlformats.org/officeDocument/2006/relationships/hyperlink" Target="https://www.internationalbudget.org/" TargetMode="External"/><Relationship Id="rId1184" Type="http://schemas.openxmlformats.org/officeDocument/2006/relationships/hyperlink" Target="https://www.oecd.org/gov/budgeting/seniorbudgetofficialnetworkssbo.htm" TargetMode="External"/><Relationship Id="rId1405" Type="http://schemas.openxmlformats.org/officeDocument/2006/relationships/hyperlink" Target="https://youtu.be/8wM16KFCP9Q" TargetMode="External"/><Relationship Id="rId44" Type="http://schemas.openxmlformats.org/officeDocument/2006/relationships/image" Target="media/image30.png"/><Relationship Id="rId554" Type="http://schemas.openxmlformats.org/officeDocument/2006/relationships/hyperlink" Target="https://youtu.be/6OVDig3MjvQ" TargetMode="External"/><Relationship Id="rId761" Type="http://schemas.openxmlformats.org/officeDocument/2006/relationships/image" Target="media/image241.png"/><Relationship Id="rId859" Type="http://schemas.openxmlformats.org/officeDocument/2006/relationships/image" Target="media/image295.png"/><Relationship Id="rId1391" Type="http://schemas.openxmlformats.org/officeDocument/2006/relationships/hyperlink" Target="https://youtu.be/8wM16KFCP9Q" TargetMode="External"/><Relationship Id="rId1489" Type="http://schemas.openxmlformats.org/officeDocument/2006/relationships/hyperlink" Target="https://fiscaltransparency.net/tax-transparency-principles/" TargetMode="External"/><Relationship Id="rId1612" Type="http://schemas.openxmlformats.org/officeDocument/2006/relationships/hyperlink" Target="https://fiscaltransparency.net/the-time-is-now-advancing-public-participation-in-government-fiscal-policy-and-budget-making/" TargetMode="External"/><Relationship Id="rId193" Type="http://schemas.openxmlformats.org/officeDocument/2006/relationships/hyperlink" Target="https://www.internationalbudget.org/open-budget-survey" TargetMode="External"/><Relationship Id="rId207" Type="http://schemas.openxmlformats.org/officeDocument/2006/relationships/hyperlink" Target="https://www.internationalbudget.org/open-budget-survey" TargetMode="External"/><Relationship Id="rId414" Type="http://schemas.openxmlformats.org/officeDocument/2006/relationships/hyperlink" Target="http://www.oecd.org/gov/budgeting/Recommendation-of-the-Council-on-Budgetary-Governance.pdf" TargetMode="External"/><Relationship Id="rId498" Type="http://schemas.openxmlformats.org/officeDocument/2006/relationships/image" Target="media/image124.png"/><Relationship Id="rId621" Type="http://schemas.openxmlformats.org/officeDocument/2006/relationships/hyperlink" Target="http://pubdocs.worldbank.org/en/773541448296707678/Disclosure-in-PPPs-Framework.pdf" TargetMode="External"/><Relationship Id="rId1044" Type="http://schemas.openxmlformats.org/officeDocument/2006/relationships/hyperlink" Target="https://www.internationalbudget.org/" TargetMode="External"/><Relationship Id="rId1251" Type="http://schemas.openxmlformats.org/officeDocument/2006/relationships/hyperlink" Target="https://www.oecd.org/gov/budgeting/seniorbudgetofficialnetworkssbo.htm" TargetMode="External"/><Relationship Id="rId1349" Type="http://schemas.openxmlformats.org/officeDocument/2006/relationships/hyperlink" Target="https://youtu.be/8wM16KFCP9Q" TargetMode="External"/><Relationship Id="rId260" Type="http://schemas.openxmlformats.org/officeDocument/2006/relationships/hyperlink" Target="http://www.ipsasb.org/publications/2020-handbook-international-public-sector-accounting-pronouncements" TargetMode="External"/><Relationship Id="rId719" Type="http://schemas.openxmlformats.org/officeDocument/2006/relationships/image" Target="media/image221.jpeg"/><Relationship Id="rId926" Type="http://schemas.openxmlformats.org/officeDocument/2006/relationships/hyperlink" Target="http://standard.open-contracting.org/announcing-the-ocds-help-desk" TargetMode="External"/><Relationship Id="rId1111" Type="http://schemas.openxmlformats.org/officeDocument/2006/relationships/hyperlink" Target="https://www.internationalbudget.org/" TargetMode="External"/><Relationship Id="rId1556" Type="http://schemas.openxmlformats.org/officeDocument/2006/relationships/hyperlink" Target="https://standard.open-contracting.org/latest/en/" TargetMode="External"/><Relationship Id="rId55" Type="http://schemas.openxmlformats.org/officeDocument/2006/relationships/image" Target="media/image35.jpeg"/><Relationship Id="rId120" Type="http://schemas.openxmlformats.org/officeDocument/2006/relationships/hyperlink" Target="http://www.oecd.org/corruption-integrity/reports/oecd-budget-transparency-toolkit-9789264282070-en.html" TargetMode="External"/><Relationship Id="rId358" Type="http://schemas.openxmlformats.org/officeDocument/2006/relationships/hyperlink" Target="http://www.un.org/ga/search/view_doc.asp?symbol=A/RES/67/218&amp;Lang=E" TargetMode="External"/><Relationship Id="rId565" Type="http://schemas.openxmlformats.org/officeDocument/2006/relationships/hyperlink" Target="https://youtu.be/RVqDmyWnfrc" TargetMode="External"/><Relationship Id="rId772" Type="http://schemas.openxmlformats.org/officeDocument/2006/relationships/hyperlink" Target="https://www.imf.org/external/np/fad/trans/Code2019.pdf" TargetMode="External"/><Relationship Id="rId1195" Type="http://schemas.openxmlformats.org/officeDocument/2006/relationships/hyperlink" Target="https://www.oecd.org/gov/budgeting/seniorbudgetofficialnetworkssbo.htm" TargetMode="External"/><Relationship Id="rId1209" Type="http://schemas.openxmlformats.org/officeDocument/2006/relationships/hyperlink" Target="https://www.oecd.org/gov/budgeting/seniorbudgetofficialnetworkssbo.htm" TargetMode="External"/><Relationship Id="rId1416" Type="http://schemas.openxmlformats.org/officeDocument/2006/relationships/hyperlink" Target="https://youtu.be/8wM16KFCP9Q" TargetMode="External"/><Relationship Id="rId1623" Type="http://schemas.openxmlformats.org/officeDocument/2006/relationships/fontTable" Target="fontTable.xml"/><Relationship Id="rId218" Type="http://schemas.openxmlformats.org/officeDocument/2006/relationships/hyperlink" Target="https://www.imf.org/external/np/pp/2007/eng/101907g.pdf" TargetMode="External"/><Relationship Id="rId425" Type="http://schemas.openxmlformats.org/officeDocument/2006/relationships/hyperlink" Target="https://www.parlamericas.org/uploads/documents/Fiscal_Openness_ENG.pdf" TargetMode="External"/><Relationship Id="rId632" Type="http://schemas.openxmlformats.org/officeDocument/2006/relationships/hyperlink" Target="https://www.internationalbudget.org/wp-content/uploads/Guide-to-Transparency-in-Government-Budget-Reports-Why-are-Budget-Reports-Important-and-What-Should-They-Include-English.pdf" TargetMode="External"/><Relationship Id="rId1055" Type="http://schemas.openxmlformats.org/officeDocument/2006/relationships/hyperlink" Target="https://www.internationalbudget.org/" TargetMode="External"/><Relationship Id="rId1262" Type="http://schemas.openxmlformats.org/officeDocument/2006/relationships/hyperlink" Target="https://www.oecd.org/gov/budgeting/seniorbudgetofficialnetworkssbo.htm" TargetMode="External"/><Relationship Id="rId271" Type="http://schemas.openxmlformats.org/officeDocument/2006/relationships/hyperlink" Target="http://pubdocs.worldbank.org/en/773541448296707678/Disclosure-in-PPPs-Framework.pdf" TargetMode="External"/><Relationship Id="rId937" Type="http://schemas.openxmlformats.org/officeDocument/2006/relationships/hyperlink" Target="https://olc.worldbank.org/content/open-data-data-users-self-paced" TargetMode="External"/><Relationship Id="rId1122" Type="http://schemas.openxmlformats.org/officeDocument/2006/relationships/hyperlink" Target="https://www.internationalbudget.org/" TargetMode="External"/><Relationship Id="rId1567" Type="http://schemas.openxmlformats.org/officeDocument/2006/relationships/hyperlink" Target="http://www.oecd.org/gov/budgeting/oecdjournalonbudgeting.htm" TargetMode="External"/><Relationship Id="rId66" Type="http://schemas.openxmlformats.org/officeDocument/2006/relationships/hyperlink" Target="https://www.transparency.org/" TargetMode="External"/><Relationship Id="rId131" Type="http://schemas.openxmlformats.org/officeDocument/2006/relationships/hyperlink" Target="https://www.oecd.org/governance/budgeting/Best%20Practices%20Budget%20Transparency%20-%20complete%20with%20cover%20page.pdf" TargetMode="External"/><Relationship Id="rId369" Type="http://schemas.openxmlformats.org/officeDocument/2006/relationships/hyperlink" Target="http://www.oecd.org/corruption-integrity/reports/oecd-budget-transparency-toolkit-9789264282070-en.html" TargetMode="External"/><Relationship Id="rId576" Type="http://schemas.openxmlformats.org/officeDocument/2006/relationships/image" Target="media/image165.png"/><Relationship Id="rId783" Type="http://schemas.openxmlformats.org/officeDocument/2006/relationships/hyperlink" Target="https://www.state.gov/offices-bureau-of-energy-resources/" TargetMode="External"/><Relationship Id="rId990" Type="http://schemas.openxmlformats.org/officeDocument/2006/relationships/hyperlink" Target="https://youtu.be/knPqlZl03Bo" TargetMode="External"/><Relationship Id="rId1427" Type="http://schemas.openxmlformats.org/officeDocument/2006/relationships/hyperlink" Target="https://youtu.be/8wM16KFCP9Q" TargetMode="External"/><Relationship Id="rId229" Type="http://schemas.openxmlformats.org/officeDocument/2006/relationships/hyperlink" Target="https://www.oecd.org/officialdocuments/publicdisplaydocumentpdf/?cote=GOV/PGC/ETH(2014)2/REV1&amp;docLanguage=En" TargetMode="External"/><Relationship Id="rId436" Type="http://schemas.openxmlformats.org/officeDocument/2006/relationships/hyperlink" Target="https://www.imf.org/en/Publications/FM/Issues/2022/04/12/fiscal-monitor-april-2022%20/" TargetMode="External"/><Relationship Id="rId643" Type="http://schemas.openxmlformats.org/officeDocument/2006/relationships/image" Target="media/image195.png"/><Relationship Id="rId1066" Type="http://schemas.openxmlformats.org/officeDocument/2006/relationships/hyperlink" Target="https://www.internationalbudget.org/" TargetMode="External"/><Relationship Id="rId1273" Type="http://schemas.openxmlformats.org/officeDocument/2006/relationships/hyperlink" Target="https://www.oecd.org/gov/budgeting/seniorbudgetofficialnetworkssbo.htm" TargetMode="External"/><Relationship Id="rId1480" Type="http://schemas.openxmlformats.org/officeDocument/2006/relationships/hyperlink" Target="https://www.iza.org/publications/dp/8095/social-audits-and-mgnrega-delivery-lessons-from-andhra-pradesh" TargetMode="External"/><Relationship Id="rId850" Type="http://schemas.openxmlformats.org/officeDocument/2006/relationships/image" Target="media/image289.png"/><Relationship Id="rId948" Type="http://schemas.openxmlformats.org/officeDocument/2006/relationships/hyperlink" Target="http://opendatatoolkit.worldbank.org/en/technical-assistance.html" TargetMode="External"/><Relationship Id="rId1133" Type="http://schemas.openxmlformats.org/officeDocument/2006/relationships/hyperlink" Target="https://www.internationalbudget.org/" TargetMode="External"/><Relationship Id="rId1578" Type="http://schemas.openxmlformats.org/officeDocument/2006/relationships/hyperlink" Target="https://www.pefa.org/sites/pefa/files/resources/downloads/Stocktake-PFM-Tools-04-17-2018_clean.pdf" TargetMode="External"/><Relationship Id="rId77" Type="http://schemas.openxmlformats.org/officeDocument/2006/relationships/hyperlink" Target="https://www.ipsasb.org/publications/2022-handbook-international-public-sector-accounting-pronouncements-0" TargetMode="External"/><Relationship Id="rId282" Type="http://schemas.openxmlformats.org/officeDocument/2006/relationships/hyperlink" Target="https://www.pefa.org/sites/pefa/files/resources/downloads/PEFA%202016_latest%20version_with%20links%20%282%29.pdf" TargetMode="External"/><Relationship Id="rId503" Type="http://schemas.openxmlformats.org/officeDocument/2006/relationships/hyperlink" Target="https://www.internationalbudget.org/open-budget-survey" TargetMode="External"/><Relationship Id="rId587" Type="http://schemas.openxmlformats.org/officeDocument/2006/relationships/hyperlink" Target="http://www.treasury.gov.za/legislation/PFMA/act.pdf" TargetMode="External"/><Relationship Id="rId710" Type="http://schemas.openxmlformats.org/officeDocument/2006/relationships/image" Target="media/image215.png"/><Relationship Id="rId808" Type="http://schemas.openxmlformats.org/officeDocument/2006/relationships/hyperlink" Target="https://youtu.be/gJoB2OaejFg" TargetMode="External"/><Relationship Id="rId1340" Type="http://schemas.openxmlformats.org/officeDocument/2006/relationships/hyperlink" Target="https://youtu.be/8wM16KFCP9Q" TargetMode="External"/><Relationship Id="rId1438" Type="http://schemas.openxmlformats.org/officeDocument/2006/relationships/hyperlink" Target="https://youtu.be/8wM16KFCP9Q" TargetMode="External"/><Relationship Id="rId8" Type="http://schemas.openxmlformats.org/officeDocument/2006/relationships/image" Target="media/image1.png"/><Relationship Id="rId142" Type="http://schemas.openxmlformats.org/officeDocument/2006/relationships/hyperlink" Target="https://www.imf.org/external/Pubs/FT/GFS/Manual/2014/gfsfinal.pdf" TargetMode="External"/><Relationship Id="rId447" Type="http://schemas.openxmlformats.org/officeDocument/2006/relationships/hyperlink" Target="https://www.cpahq.org/media/l0jjk2nh/recommended-benchmarks-for-democratic-legislatures-updated-2018-final-online-version-single.pdf" TargetMode="External"/><Relationship Id="rId794" Type="http://schemas.openxmlformats.org/officeDocument/2006/relationships/hyperlink" Target="https://globaldatabarometer.org/module/public-finance/" TargetMode="External"/><Relationship Id="rId1077" Type="http://schemas.openxmlformats.org/officeDocument/2006/relationships/hyperlink" Target="https://www.internationalbudget.org/" TargetMode="External"/><Relationship Id="rId1200" Type="http://schemas.openxmlformats.org/officeDocument/2006/relationships/hyperlink" Target="https://www.oecd.org/gov/budgeting/seniorbudgetofficialnetworkssbo.htm" TargetMode="External"/><Relationship Id="rId654" Type="http://schemas.openxmlformats.org/officeDocument/2006/relationships/image" Target="media/image202.png"/><Relationship Id="rId861" Type="http://schemas.openxmlformats.org/officeDocument/2006/relationships/image" Target="media/image297.png"/><Relationship Id="rId959" Type="http://schemas.openxmlformats.org/officeDocument/2006/relationships/image" Target="media/image330.png"/><Relationship Id="rId1284" Type="http://schemas.openxmlformats.org/officeDocument/2006/relationships/hyperlink" Target="https://www.oecd.org/gov/budgeting/seniorbudgetofficialnetworkssbo.htm" TargetMode="External"/><Relationship Id="rId1491" Type="http://schemas.openxmlformats.org/officeDocument/2006/relationships/hyperlink" Target="https://papers.ssrn.com/sol3/papers.cfm?abstract_id=3633248" TargetMode="External"/><Relationship Id="rId1505" Type="http://schemas.openxmlformats.org/officeDocument/2006/relationships/hyperlink" Target="https://www.internationalbudget.org/publications/the-power-of-making-it-simple-a-government-guide-to-developing-citizens-budgets/" TargetMode="External"/><Relationship Id="rId1589" Type="http://schemas.openxmlformats.org/officeDocument/2006/relationships/hyperlink" Target="https://www.internationalbudget.org/publications/achieving-sufficient-levels-budget-transparency/" TargetMode="External"/><Relationship Id="rId293" Type="http://schemas.openxmlformats.org/officeDocument/2006/relationships/hyperlink" Target="https://www.imf.org/external/np/fad/trans/Code2019.pdf" TargetMode="External"/><Relationship Id="rId307" Type="http://schemas.openxmlformats.org/officeDocument/2006/relationships/hyperlink" Target="https://www.oecd.org/governance/budgeting/Best%20Practices%20Budget%20Transparency%20-%20complete%20with%20cover%20page.pdf" TargetMode="External"/><Relationship Id="rId514" Type="http://schemas.openxmlformats.org/officeDocument/2006/relationships/hyperlink" Target="https://www.imf.org/external/pubs/ft/grrt/eng/060705.pdf" TargetMode="External"/><Relationship Id="rId721" Type="http://schemas.openxmlformats.org/officeDocument/2006/relationships/hyperlink" Target="https://www.openownership.org/guide/" TargetMode="External"/><Relationship Id="rId1144" Type="http://schemas.openxmlformats.org/officeDocument/2006/relationships/hyperlink" Target="https://www.internationalbudget.org/" TargetMode="External"/><Relationship Id="rId1351" Type="http://schemas.openxmlformats.org/officeDocument/2006/relationships/hyperlink" Target="https://youtu.be/8wM16KFCP9Q" TargetMode="External"/><Relationship Id="rId1449" Type="http://schemas.openxmlformats.org/officeDocument/2006/relationships/hyperlink" Target="https://www.imf.org/en/Publications/WP/Issues/2020/09/25/Managing-Fiscal-Risks-from-State-Owned-Enterprises-49773" TargetMode="External"/><Relationship Id="rId88" Type="http://schemas.openxmlformats.org/officeDocument/2006/relationships/hyperlink" Target="https://fiscaltransparency.net/gift-principles/" TargetMode="External"/><Relationship Id="rId153" Type="http://schemas.openxmlformats.org/officeDocument/2006/relationships/hyperlink" Target="https://www.imf.org/external/np/fad/trans/Code2019.pdf" TargetMode="External"/><Relationship Id="rId360" Type="http://schemas.openxmlformats.org/officeDocument/2006/relationships/hyperlink" Target="http://www.fiscaltransparency.net/pp_principles/" TargetMode="External"/><Relationship Id="rId598" Type="http://schemas.openxmlformats.org/officeDocument/2006/relationships/image" Target="media/image175.png"/><Relationship Id="rId819" Type="http://schemas.openxmlformats.org/officeDocument/2006/relationships/image" Target="media/image270.png"/><Relationship Id="rId1004" Type="http://schemas.openxmlformats.org/officeDocument/2006/relationships/image" Target="media/image355.png"/><Relationship Id="rId1211" Type="http://schemas.openxmlformats.org/officeDocument/2006/relationships/hyperlink" Target="https://www.oecd.org/gov/budgeting/seniorbudgetofficialnetworkssbo.htm" TargetMode="External"/><Relationship Id="rId220" Type="http://schemas.openxmlformats.org/officeDocument/2006/relationships/hyperlink" Target="https://eiti.org/document/eiti-standard-2019" TargetMode="External"/><Relationship Id="rId458" Type="http://schemas.openxmlformats.org/officeDocument/2006/relationships/hyperlink" Target="http://www.oecd.org/corruption-integrity/reports/oecd-budget-transparency-toolkit-9789264282070-en.html" TargetMode="External"/><Relationship Id="rId665" Type="http://schemas.openxmlformats.org/officeDocument/2006/relationships/hyperlink" Target="https://www.cabri-sbo.org/uploads/files/Documents/CABRI-Citizen-Budget-ENG-REV-WEB.pdf" TargetMode="External"/><Relationship Id="rId872" Type="http://schemas.openxmlformats.org/officeDocument/2006/relationships/image" Target="media/image306.png"/><Relationship Id="rId1088" Type="http://schemas.openxmlformats.org/officeDocument/2006/relationships/hyperlink" Target="https://www.internationalbudget.org/" TargetMode="External"/><Relationship Id="rId1295" Type="http://schemas.openxmlformats.org/officeDocument/2006/relationships/image" Target="media/image381.png"/><Relationship Id="rId1309" Type="http://schemas.openxmlformats.org/officeDocument/2006/relationships/image" Target="media/image391.jpeg"/><Relationship Id="rId1516" Type="http://schemas.openxmlformats.org/officeDocument/2006/relationships/hyperlink" Target="https://internationalbudget.org/covid/wp-content/uploads/2021/05/Report_English-2.pdf" TargetMode="External"/><Relationship Id="rId15" Type="http://schemas.openxmlformats.org/officeDocument/2006/relationships/image" Target="media/image4.png"/><Relationship Id="rId318" Type="http://schemas.openxmlformats.org/officeDocument/2006/relationships/hyperlink" Target="http://www.ipu.org/dem-e/guide.htm" TargetMode="External"/><Relationship Id="rId525" Type="http://schemas.openxmlformats.org/officeDocument/2006/relationships/image" Target="media/image137.png"/><Relationship Id="rId732" Type="http://schemas.openxmlformats.org/officeDocument/2006/relationships/image" Target="media/image225.png"/><Relationship Id="rId1155" Type="http://schemas.openxmlformats.org/officeDocument/2006/relationships/hyperlink" Target="https://www.internationalbudget.org/" TargetMode="External"/><Relationship Id="rId1362" Type="http://schemas.openxmlformats.org/officeDocument/2006/relationships/hyperlink" Target="https://youtu.be/8wM16KFCP9Q" TargetMode="External"/><Relationship Id="rId99" Type="http://schemas.openxmlformats.org/officeDocument/2006/relationships/hyperlink" Target="https://fiscaltransparency.net/gift-principles/" TargetMode="External"/><Relationship Id="rId164" Type="http://schemas.openxmlformats.org/officeDocument/2006/relationships/hyperlink" Target="https://opendatacharter.net/" TargetMode="External"/><Relationship Id="rId371" Type="http://schemas.openxmlformats.org/officeDocument/2006/relationships/hyperlink" Target="https://www.open-contracting.org/implement/" TargetMode="External"/><Relationship Id="rId1015" Type="http://schemas.openxmlformats.org/officeDocument/2006/relationships/image" Target="media/image363.png"/><Relationship Id="rId1222" Type="http://schemas.openxmlformats.org/officeDocument/2006/relationships/hyperlink" Target="https://www.oecd.org/gov/budgeting/seniorbudgetofficialnetworkssbo.htm" TargetMode="External"/><Relationship Id="rId469" Type="http://schemas.openxmlformats.org/officeDocument/2006/relationships/hyperlink" Target="https://www.issai.org/pronouncements/intosai-p-10-mexico-declaration-on-sai-independence/" TargetMode="External"/><Relationship Id="rId676" Type="http://schemas.openxmlformats.org/officeDocument/2006/relationships/hyperlink" Target="http://www.treasury.gov.za/" TargetMode="External"/><Relationship Id="rId883" Type="http://schemas.openxmlformats.org/officeDocument/2006/relationships/image" Target="media/image316.png"/><Relationship Id="rId1099" Type="http://schemas.openxmlformats.org/officeDocument/2006/relationships/hyperlink" Target="https://www.internationalbudget.org/" TargetMode="External"/><Relationship Id="rId1527" Type="http://schemas.openxmlformats.org/officeDocument/2006/relationships/hyperlink" Target="https://www.imf.org/en/Publications/Policy-Papers/Issues/2019/01/29/pp122818fiscal-transparency-initiative-integration-of-natural-resource-management-issues" TargetMode="External"/><Relationship Id="rId26" Type="http://schemas.openxmlformats.org/officeDocument/2006/relationships/hyperlink" Target="https://fiscaltransparency.net/gift-principles/" TargetMode="External"/><Relationship Id="rId231" Type="http://schemas.openxmlformats.org/officeDocument/2006/relationships/hyperlink" Target="https://www.pefa.org/sites/pefa/files/resources/downloads/PEFA%202016_latest%20version_with%20links%20%282%29.pdf" TargetMode="External"/><Relationship Id="rId329" Type="http://schemas.openxmlformats.org/officeDocument/2006/relationships/hyperlink" Target="https://www.internationalbudget.org/open-budget-survey" TargetMode="External"/><Relationship Id="rId536" Type="http://schemas.openxmlformats.org/officeDocument/2006/relationships/hyperlink" Target="https://fiscaltransparency.net/public-participation-principles-and-guide/" TargetMode="External"/><Relationship Id="rId1166" Type="http://schemas.openxmlformats.org/officeDocument/2006/relationships/hyperlink" Target="https://www.oecd.org/gov/budgeting/seniorbudgetofficialnetworkssbo.htm" TargetMode="External"/><Relationship Id="rId1373" Type="http://schemas.openxmlformats.org/officeDocument/2006/relationships/hyperlink" Target="https://youtu.be/8wM16KFCP9Q" TargetMode="External"/><Relationship Id="rId175" Type="http://schemas.openxmlformats.org/officeDocument/2006/relationships/hyperlink" Target="https://www.elibrary.imf.org/doc/IMF069/11874-9781616351564/11874-9781616351564/Other_formats/Source_PDF/11874-9781463969813.pdf" TargetMode="External"/><Relationship Id="rId743" Type="http://schemas.openxmlformats.org/officeDocument/2006/relationships/hyperlink" Target="https://eiti.org/document/eiti-standard-2019" TargetMode="External"/><Relationship Id="rId950" Type="http://schemas.openxmlformats.org/officeDocument/2006/relationships/hyperlink" Target="https://fiscaltransparency.net/open-data-tutorial-opening-and-promoting-use-of-budget-data/" TargetMode="External"/><Relationship Id="rId1026" Type="http://schemas.openxmlformats.org/officeDocument/2006/relationships/image" Target="media/image373.png"/><Relationship Id="rId1580" Type="http://schemas.openxmlformats.org/officeDocument/2006/relationships/hyperlink" Target="https://www.pefa.org/sites/pefa/files/2020002190ENGeng002_Web%20PDF-Updated%20images%20Apr21_0.pdf" TargetMode="External"/><Relationship Id="rId382" Type="http://schemas.openxmlformats.org/officeDocument/2006/relationships/hyperlink" Target="https://www.pefa.org/sites/pefa/files/resources/downloads/PEFA%202016_latest%20version_with%20links%20%282%29.pdf" TargetMode="External"/><Relationship Id="rId603" Type="http://schemas.openxmlformats.org/officeDocument/2006/relationships/hyperlink" Target="https://www.imf.org/external/np/fad/trans/Code2019.pdf" TargetMode="External"/><Relationship Id="rId687" Type="http://schemas.openxmlformats.org/officeDocument/2006/relationships/hyperlink" Target="https://unstats.un.org/unsd/iiss/classification-of-the-functions-of-government-cofog.ashx" TargetMode="External"/><Relationship Id="rId810" Type="http://schemas.openxmlformats.org/officeDocument/2006/relationships/hyperlink" Target="https://youtu.be/gJoB2OaejFg" TargetMode="External"/><Relationship Id="rId908" Type="http://schemas.openxmlformats.org/officeDocument/2006/relationships/hyperlink" Target="https://theodi.org/article/open-data-means-business/" TargetMode="External"/><Relationship Id="rId1233" Type="http://schemas.openxmlformats.org/officeDocument/2006/relationships/hyperlink" Target="https://www.oecd.org/gov/budgeting/seniorbudgetofficialnetworkssbo.htm" TargetMode="External"/><Relationship Id="rId1440" Type="http://schemas.openxmlformats.org/officeDocument/2006/relationships/image" Target="media/image393.jpeg"/><Relationship Id="rId1538" Type="http://schemas.openxmlformats.org/officeDocument/2006/relationships/hyperlink" Target="https://openknowledge.worldbank.org/handle/10986/33715" TargetMode="External"/><Relationship Id="rId242" Type="http://schemas.openxmlformats.org/officeDocument/2006/relationships/image" Target="media/image60.png"/><Relationship Id="rId894" Type="http://schemas.openxmlformats.org/officeDocument/2006/relationships/hyperlink" Target="https://buergerbautstadt.de/" TargetMode="External"/><Relationship Id="rId1177" Type="http://schemas.openxmlformats.org/officeDocument/2006/relationships/hyperlink" Target="https://www.oecd.org/gov/budgeting/seniorbudgetofficialnetworkssbo.htm" TargetMode="External"/><Relationship Id="rId1300" Type="http://schemas.openxmlformats.org/officeDocument/2006/relationships/hyperlink" Target="https://www.pefa.org/resources/guide-pfm-diagnostic-tools" TargetMode="External"/><Relationship Id="rId37" Type="http://schemas.openxmlformats.org/officeDocument/2006/relationships/image" Target="media/image23.png"/><Relationship Id="rId102" Type="http://schemas.openxmlformats.org/officeDocument/2006/relationships/hyperlink" Target="http://www.oecd.org/corruption-integrity/reports/oecd-budget-transparency-toolkit-9789264282070-en.html" TargetMode="External"/><Relationship Id="rId547" Type="http://schemas.openxmlformats.org/officeDocument/2006/relationships/image" Target="media/image151.jpeg"/><Relationship Id="rId754" Type="http://schemas.openxmlformats.org/officeDocument/2006/relationships/image" Target="media/image236.png"/><Relationship Id="rId961" Type="http://schemas.openxmlformats.org/officeDocument/2006/relationships/image" Target="media/image332.png"/><Relationship Id="rId1384" Type="http://schemas.openxmlformats.org/officeDocument/2006/relationships/hyperlink" Target="https://youtu.be/8wM16KFCP9Q" TargetMode="External"/><Relationship Id="rId1591" Type="http://schemas.openxmlformats.org/officeDocument/2006/relationships/hyperlink" Target="https://www.elibrary.imf.org/view/IMF071/20033-9781475531091/20033-9781475531091/20033-9781475531091.xml?redirect=true" TargetMode="External"/><Relationship Id="rId1605" Type="http://schemas.openxmlformats.org/officeDocument/2006/relationships/hyperlink" Target="https://unstats.un.org/unsd/nationalaccount/sna2008.asp" TargetMode="External"/><Relationship Id="rId90" Type="http://schemas.openxmlformats.org/officeDocument/2006/relationships/image" Target="media/image42.png"/><Relationship Id="rId186" Type="http://schemas.openxmlformats.org/officeDocument/2006/relationships/hyperlink" Target="https://www.issai.org/" TargetMode="External"/><Relationship Id="rId393" Type="http://schemas.openxmlformats.org/officeDocument/2006/relationships/hyperlink" Target="https://taxjusticeafrica.net/kenya-mauritius-double-tax-avoidance-agreement/" TargetMode="External"/><Relationship Id="rId407" Type="http://schemas.openxmlformats.org/officeDocument/2006/relationships/hyperlink" Target="https://iatistandard.org/en/" TargetMode="External"/><Relationship Id="rId614" Type="http://schemas.openxmlformats.org/officeDocument/2006/relationships/hyperlink" Target="http://www.oecd.org/corruption-integrity/reports/oecd-budget-transparency-toolkit-9789264282070-en.html" TargetMode="External"/><Relationship Id="rId821" Type="http://schemas.openxmlformats.org/officeDocument/2006/relationships/hyperlink" Target="https://youtu.be/FozrMUxp_kU" TargetMode="External"/><Relationship Id="rId1037" Type="http://schemas.openxmlformats.org/officeDocument/2006/relationships/hyperlink" Target="https://www.internationalbudget.org/" TargetMode="External"/><Relationship Id="rId1244" Type="http://schemas.openxmlformats.org/officeDocument/2006/relationships/hyperlink" Target="https://www.oecd.org/gov/budgeting/seniorbudgetofficialnetworkssbo.htm" TargetMode="External"/><Relationship Id="rId1451" Type="http://schemas.openxmlformats.org/officeDocument/2006/relationships/hyperlink" Target="https://www.cabri-sbo.org/en/publications/declaration-on-good-public-financial-governance" TargetMode="External"/><Relationship Id="rId253" Type="http://schemas.openxmlformats.org/officeDocument/2006/relationships/hyperlink" Target="https://standard.open-contracting.org/latest/en/" TargetMode="External"/><Relationship Id="rId460" Type="http://schemas.openxmlformats.org/officeDocument/2006/relationships/hyperlink" Target="https://www.ifac.org/knowledge-gateway/contributing-global-economy/publications/international-framework-good-governance-public-sector" TargetMode="External"/><Relationship Id="rId698" Type="http://schemas.openxmlformats.org/officeDocument/2006/relationships/hyperlink" Target="https://www.elibrary.imf.org/doc/IMF069/11874-9781616351564/11874-9781616351564/Other_formats/Source_PDF/11874-9781463969813.pdf" TargetMode="External"/><Relationship Id="rId919" Type="http://schemas.openxmlformats.org/officeDocument/2006/relationships/hyperlink" Target="https://ec.europa.eu/eurostat/web/income-and-living-conditions/quality" TargetMode="External"/><Relationship Id="rId1090" Type="http://schemas.openxmlformats.org/officeDocument/2006/relationships/hyperlink" Target="https://www.internationalbudget.org/" TargetMode="External"/><Relationship Id="rId1104" Type="http://schemas.openxmlformats.org/officeDocument/2006/relationships/hyperlink" Target="https://www.internationalbudget.org/" TargetMode="External"/><Relationship Id="rId1311" Type="http://schemas.openxmlformats.org/officeDocument/2006/relationships/hyperlink" Target="https://youtu.be/8wM16KFCP9Q" TargetMode="External"/><Relationship Id="rId1549" Type="http://schemas.openxmlformats.org/officeDocument/2006/relationships/hyperlink" Target="https://globaldatabarometer.org/2022/06/advocating-for-accurate-timely-and-trustworthy-fiscal-information/" TargetMode="External"/><Relationship Id="rId48" Type="http://schemas.openxmlformats.org/officeDocument/2006/relationships/hyperlink" Target="https://www.youtube.com/watch?v=fAiXelB8fdI" TargetMode="External"/><Relationship Id="rId113" Type="http://schemas.openxmlformats.org/officeDocument/2006/relationships/hyperlink" Target="https://www.elibrary.imf.org/view/IMF069/24788-9781484331859/24788-9781484331859/24788-9781484331859.xml?code=fth" TargetMode="External"/><Relationship Id="rId320" Type="http://schemas.openxmlformats.org/officeDocument/2006/relationships/hyperlink" Target="https://www.openingparliament.org/declaration/" TargetMode="External"/><Relationship Id="rId558" Type="http://schemas.openxmlformats.org/officeDocument/2006/relationships/hyperlink" Target="https://youtu.be/wNlOQ88zzvs" TargetMode="External"/><Relationship Id="rId765" Type="http://schemas.openxmlformats.org/officeDocument/2006/relationships/image" Target="media/image243.png"/><Relationship Id="rId972" Type="http://schemas.openxmlformats.org/officeDocument/2006/relationships/image" Target="media/image340.png"/><Relationship Id="rId1188" Type="http://schemas.openxmlformats.org/officeDocument/2006/relationships/hyperlink" Target="https://www.oecd.org/gov/budgeting/seniorbudgetofficialnetworkssbo.htm" TargetMode="External"/><Relationship Id="rId1395" Type="http://schemas.openxmlformats.org/officeDocument/2006/relationships/hyperlink" Target="https://youtu.be/8wM16KFCP9Q" TargetMode="External"/><Relationship Id="rId1409" Type="http://schemas.openxmlformats.org/officeDocument/2006/relationships/hyperlink" Target="https://youtu.be/8wM16KFCP9Q" TargetMode="External"/><Relationship Id="rId1616" Type="http://schemas.openxmlformats.org/officeDocument/2006/relationships/hyperlink" Target="http://pubdocs.worldbank.org/en/773541448296707678/Disclosure-in-PPPs-Framework.pdf" TargetMode="External"/><Relationship Id="rId197" Type="http://schemas.openxmlformats.org/officeDocument/2006/relationships/hyperlink" Target="https://www.imf.org/external/np/pp/2007/eng/101907g.pdf" TargetMode="External"/><Relationship Id="rId418" Type="http://schemas.openxmlformats.org/officeDocument/2006/relationships/image" Target="media/image88.png"/><Relationship Id="rId625" Type="http://schemas.openxmlformats.org/officeDocument/2006/relationships/hyperlink" Target="https://www.unodc.org/unodc/en/treaties/CAC/technical-guide.html" TargetMode="External"/><Relationship Id="rId832" Type="http://schemas.openxmlformats.org/officeDocument/2006/relationships/hyperlink" Target="https://www.pefa.org/resources/climate-responsive-public-financial-management-framework-pefa-climate-piloting-phase" TargetMode="External"/><Relationship Id="rId1048" Type="http://schemas.openxmlformats.org/officeDocument/2006/relationships/hyperlink" Target="https://www.internationalbudget.org/" TargetMode="External"/><Relationship Id="rId1255" Type="http://schemas.openxmlformats.org/officeDocument/2006/relationships/hyperlink" Target="https://www.oecd.org/gov/budgeting/seniorbudgetofficialnetworkssbo.htm" TargetMode="External"/><Relationship Id="rId1462" Type="http://schemas.openxmlformats.org/officeDocument/2006/relationships/hyperlink" Target="https://elibrary.worldbank.org/doi/abs/10.1596/978-1-4648-0083-2" TargetMode="External"/><Relationship Id="rId264" Type="http://schemas.openxmlformats.org/officeDocument/2006/relationships/hyperlink" Target="http://www.oecd.org/corruption-integrity/reports/oecd-budget-transparency-toolkit-9789264282070-en.html" TargetMode="External"/><Relationship Id="rId471" Type="http://schemas.openxmlformats.org/officeDocument/2006/relationships/hyperlink" Target="http://www.oecd.org/corruption-integrity/reports/oecd-budget-transparency-toolkit-9789264282070-en.html" TargetMode="External"/><Relationship Id="rId1115" Type="http://schemas.openxmlformats.org/officeDocument/2006/relationships/hyperlink" Target="https://www.internationalbudget.org/" TargetMode="External"/><Relationship Id="rId1322" Type="http://schemas.openxmlformats.org/officeDocument/2006/relationships/hyperlink" Target="https://youtu.be/8wM16KFCP9Q" TargetMode="External"/><Relationship Id="rId59" Type="http://schemas.openxmlformats.org/officeDocument/2006/relationships/image" Target="media/image36.png"/><Relationship Id="rId124" Type="http://schemas.openxmlformats.org/officeDocument/2006/relationships/image" Target="media/image56.png"/><Relationship Id="rId569" Type="http://schemas.openxmlformats.org/officeDocument/2006/relationships/image" Target="media/image158.png"/><Relationship Id="rId776" Type="http://schemas.openxmlformats.org/officeDocument/2006/relationships/image" Target="media/image250.png"/><Relationship Id="rId983" Type="http://schemas.openxmlformats.org/officeDocument/2006/relationships/hyperlink" Target="https://youtu.be/RgHvpv37Vwo" TargetMode="External"/><Relationship Id="rId1199" Type="http://schemas.openxmlformats.org/officeDocument/2006/relationships/hyperlink" Target="https://www.oecd.org/gov/budgeting/seniorbudgetofficialnetworkssbo.htm" TargetMode="External"/><Relationship Id="rId331" Type="http://schemas.openxmlformats.org/officeDocument/2006/relationships/image" Target="media/image63.png"/><Relationship Id="rId429" Type="http://schemas.openxmlformats.org/officeDocument/2006/relationships/image" Target="media/image96.png"/><Relationship Id="rId636" Type="http://schemas.openxmlformats.org/officeDocument/2006/relationships/image" Target="media/image188.png"/><Relationship Id="rId1059" Type="http://schemas.openxmlformats.org/officeDocument/2006/relationships/hyperlink" Target="https://www.internationalbudget.org/" TargetMode="External"/><Relationship Id="rId1266" Type="http://schemas.openxmlformats.org/officeDocument/2006/relationships/hyperlink" Target="https://www.oecd.org/gov/budgeting/seniorbudgetofficialnetworkssbo.htm" TargetMode="External"/><Relationship Id="rId1473" Type="http://schemas.openxmlformats.org/officeDocument/2006/relationships/hyperlink" Target="https://www.electronicid.eu/en/blog/post/what-is-govtech/en" TargetMode="External"/><Relationship Id="rId843" Type="http://schemas.openxmlformats.org/officeDocument/2006/relationships/image" Target="media/image282.png"/><Relationship Id="rId1126" Type="http://schemas.openxmlformats.org/officeDocument/2006/relationships/hyperlink" Target="https://www.internationalbudget.org/" TargetMode="External"/><Relationship Id="rId275" Type="http://schemas.openxmlformats.org/officeDocument/2006/relationships/hyperlink" Target="https://www.tadat.org/home" TargetMode="External"/><Relationship Id="rId482" Type="http://schemas.openxmlformats.org/officeDocument/2006/relationships/image" Target="media/image117.png"/><Relationship Id="rId703" Type="http://schemas.openxmlformats.org/officeDocument/2006/relationships/hyperlink" Target="http://www.oecd.org/corruption-integrity/reports/oecd-budget-transparency-toolkit-9789264282070-en.html" TargetMode="External"/><Relationship Id="rId910" Type="http://schemas.openxmlformats.org/officeDocument/2006/relationships/hyperlink" Target="https://www.fedscoop.com/open-data-economic-growth-priority-trump-administration/" TargetMode="External"/><Relationship Id="rId1333" Type="http://schemas.openxmlformats.org/officeDocument/2006/relationships/hyperlink" Target="https://youtu.be/8wM16KFCP9Q" TargetMode="External"/><Relationship Id="rId1540" Type="http://schemas.openxmlformats.org/officeDocument/2006/relationships/hyperlink" Target="https://www.internationalbudget.org/publications/incentivizing-useful-budget-transparency/" TargetMode="External"/><Relationship Id="rId135" Type="http://schemas.openxmlformats.org/officeDocument/2006/relationships/hyperlink" Target="https://www.internationalbudget.org/open-budget-survey" TargetMode="External"/><Relationship Id="rId342" Type="http://schemas.openxmlformats.org/officeDocument/2006/relationships/hyperlink" Target="https://www.internationalbudget.org/open-budget-survey" TargetMode="External"/><Relationship Id="rId787" Type="http://schemas.openxmlformats.org/officeDocument/2006/relationships/image" Target="media/image254.png"/><Relationship Id="rId994" Type="http://schemas.openxmlformats.org/officeDocument/2006/relationships/image" Target="media/image348.png"/><Relationship Id="rId1400" Type="http://schemas.openxmlformats.org/officeDocument/2006/relationships/hyperlink" Target="https://youtu.be/8wM16KFCP9Q" TargetMode="External"/><Relationship Id="rId202" Type="http://schemas.openxmlformats.org/officeDocument/2006/relationships/hyperlink" Target="http://www.oecd.org/corruption-integrity/reports/oecd-budget-transparency-toolkit-9789264282070-en.html" TargetMode="External"/><Relationship Id="rId647" Type="http://schemas.openxmlformats.org/officeDocument/2006/relationships/image" Target="media/image199.png"/><Relationship Id="rId854" Type="http://schemas.openxmlformats.org/officeDocument/2006/relationships/image" Target="media/image291.png"/><Relationship Id="rId1277" Type="http://schemas.openxmlformats.org/officeDocument/2006/relationships/hyperlink" Target="https://www.oecd.org/gov/budgeting/seniorbudgetofficialnetworkssbo.htm" TargetMode="External"/><Relationship Id="rId1484" Type="http://schemas.openxmlformats.org/officeDocument/2006/relationships/hyperlink" Target="https://www.elibrary.imf.org/view/journals/024/2008/003/article-A006-en.xml" TargetMode="External"/><Relationship Id="rId286" Type="http://schemas.openxmlformats.org/officeDocument/2006/relationships/hyperlink" Target="https://www.imf.org/external/Pubs/FT/GFS/Manual/2014/gfsfinal.pdf" TargetMode="External"/><Relationship Id="rId493" Type="http://schemas.openxmlformats.org/officeDocument/2006/relationships/hyperlink" Target="https://internationalbudget.org/sites/default/files/2022-05/georgia-202205202144.pdf" TargetMode="External"/><Relationship Id="rId507" Type="http://schemas.openxmlformats.org/officeDocument/2006/relationships/hyperlink" Target="http://www.oecd.org/corruption-integrity/reports/oecd-budget-transparency-toolkit-9789264282070-en.html" TargetMode="External"/><Relationship Id="rId714" Type="http://schemas.openxmlformats.org/officeDocument/2006/relationships/image" Target="media/image217.png"/><Relationship Id="rId921" Type="http://schemas.openxmlformats.org/officeDocument/2006/relationships/image" Target="media/image324.png"/><Relationship Id="rId1137" Type="http://schemas.openxmlformats.org/officeDocument/2006/relationships/hyperlink" Target="https://www.internationalbudget.org/" TargetMode="External"/><Relationship Id="rId1344" Type="http://schemas.openxmlformats.org/officeDocument/2006/relationships/hyperlink" Target="https://youtu.be/8wM16KFCP9Q" TargetMode="External"/><Relationship Id="rId1551" Type="http://schemas.openxmlformats.org/officeDocument/2006/relationships/hyperlink" Target="https://constitucion1917.gob.mx/" TargetMode="External"/><Relationship Id="rId50" Type="http://schemas.openxmlformats.org/officeDocument/2006/relationships/hyperlink" Target="https://www.youtube.com/watch?v=fAiXelB8fdI" TargetMode="External"/><Relationship Id="rId146" Type="http://schemas.openxmlformats.org/officeDocument/2006/relationships/hyperlink" Target="https://www.imf.org/external/np/fad/trans/Code2019.pdf" TargetMode="External"/><Relationship Id="rId353" Type="http://schemas.openxmlformats.org/officeDocument/2006/relationships/hyperlink" Target="https://www.opengovpartnership.org/open-government-declaration" TargetMode="External"/><Relationship Id="rId560" Type="http://schemas.openxmlformats.org/officeDocument/2006/relationships/hyperlink" Target="https://youtu.be/Uiddf2xgVZc" TargetMode="External"/><Relationship Id="rId798" Type="http://schemas.openxmlformats.org/officeDocument/2006/relationships/hyperlink" Target="https://youtu.be/zVPlssUeUhk" TargetMode="External"/><Relationship Id="rId1190" Type="http://schemas.openxmlformats.org/officeDocument/2006/relationships/hyperlink" Target="https://www.oecd.org/gov/budgeting/seniorbudgetofficialnetworkssbo.htm" TargetMode="External"/><Relationship Id="rId1204" Type="http://schemas.openxmlformats.org/officeDocument/2006/relationships/hyperlink" Target="https://www.oecd.org/gov/budgeting/seniorbudgetofficialnetworkssbo.htm" TargetMode="External"/><Relationship Id="rId1411" Type="http://schemas.openxmlformats.org/officeDocument/2006/relationships/hyperlink" Target="https://youtu.be/8wM16KFCP9Q" TargetMode="External"/><Relationship Id="rId213" Type="http://schemas.openxmlformats.org/officeDocument/2006/relationships/hyperlink" Target="https://www.pefa.org/sites/pefa/files/resources/downloads/PEFA%202016_latest%20version_with%20links%20%282%29.pdf" TargetMode="External"/><Relationship Id="rId420" Type="http://schemas.openxmlformats.org/officeDocument/2006/relationships/image" Target="media/image90.png"/><Relationship Id="rId658" Type="http://schemas.openxmlformats.org/officeDocument/2006/relationships/hyperlink" Target="https://www.un.org/sustainabledevelopment/sustainable-development-goals/" TargetMode="External"/><Relationship Id="rId865" Type="http://schemas.openxmlformats.org/officeDocument/2006/relationships/image" Target="media/image301.png"/><Relationship Id="rId1050" Type="http://schemas.openxmlformats.org/officeDocument/2006/relationships/hyperlink" Target="https://www.internationalbudget.org/" TargetMode="External"/><Relationship Id="rId1288" Type="http://schemas.openxmlformats.org/officeDocument/2006/relationships/image" Target="media/image379.png"/><Relationship Id="rId1495" Type="http://schemas.openxmlformats.org/officeDocument/2006/relationships/hyperlink" Target="https://blog-pfm.imf.org/pfmblog/2020/07/-covid-19-fiscal-transparency-and-public-participation-.html" TargetMode="External"/><Relationship Id="rId1509" Type="http://schemas.openxmlformats.org/officeDocument/2006/relationships/hyperlink" Target="https://www.internationalbudget.org/wp-content/uploads/open-budget-survey-2017-guidelines-on-public-availability-of-budget-documents.pdf" TargetMode="External"/><Relationship Id="rId297" Type="http://schemas.openxmlformats.org/officeDocument/2006/relationships/hyperlink" Target="https://www.pefa.org/sites/pefa/files/resources/downloads/PEFA%202016_latest%20version_with%20links%20%282%29.pdf" TargetMode="External"/><Relationship Id="rId518" Type="http://schemas.openxmlformats.org/officeDocument/2006/relationships/image" Target="media/image131.png"/><Relationship Id="rId725" Type="http://schemas.openxmlformats.org/officeDocument/2006/relationships/image" Target="media/image222.png"/><Relationship Id="rId932" Type="http://schemas.openxmlformats.org/officeDocument/2006/relationships/hyperlink" Target="http://opendatatoolkit.worldbank.org/en/starting.html" TargetMode="External"/><Relationship Id="rId1148" Type="http://schemas.openxmlformats.org/officeDocument/2006/relationships/hyperlink" Target="https://www.internationalbudget.org/" TargetMode="External"/><Relationship Id="rId1355" Type="http://schemas.openxmlformats.org/officeDocument/2006/relationships/hyperlink" Target="https://youtu.be/8wM16KFCP9Q" TargetMode="External"/><Relationship Id="rId1562" Type="http://schemas.openxmlformats.org/officeDocument/2006/relationships/hyperlink" Target="https://www.oecd.org/gov/budgeting/OECD-Recommendation-on-Principles-for-Independent-Fiscal-Institutions.pdf" TargetMode="External"/><Relationship Id="rId157" Type="http://schemas.openxmlformats.org/officeDocument/2006/relationships/hyperlink" Target="https://dsbb.imf.org/" TargetMode="External"/><Relationship Id="rId364" Type="http://schemas.openxmlformats.org/officeDocument/2006/relationships/hyperlink" Target="http://www.oecd.org/corruption-integrity/reports/oecd-budget-transparency-toolkit-9789264282070-en.html" TargetMode="External"/><Relationship Id="rId1008" Type="http://schemas.openxmlformats.org/officeDocument/2006/relationships/image" Target="media/image358.png"/><Relationship Id="rId1215" Type="http://schemas.openxmlformats.org/officeDocument/2006/relationships/hyperlink" Target="https://www.oecd.org/gov/budgeting/seniorbudgetofficialnetworkssbo.htm" TargetMode="External"/><Relationship Id="rId1422" Type="http://schemas.openxmlformats.org/officeDocument/2006/relationships/hyperlink" Target="https://youtu.be/8wM16KFCP9Q" TargetMode="External"/><Relationship Id="rId61" Type="http://schemas.openxmlformats.org/officeDocument/2006/relationships/hyperlink" Target="https://www.imf.org/en/Home" TargetMode="External"/><Relationship Id="rId571" Type="http://schemas.openxmlformats.org/officeDocument/2006/relationships/image" Target="media/image160.png"/><Relationship Id="rId669" Type="http://schemas.openxmlformats.org/officeDocument/2006/relationships/image" Target="media/image205.png"/><Relationship Id="rId876" Type="http://schemas.openxmlformats.org/officeDocument/2006/relationships/image" Target="media/image310.png"/><Relationship Id="rId1299" Type="http://schemas.openxmlformats.org/officeDocument/2006/relationships/hyperlink" Target="https://bsc.cid.harvard.edu/PDIAtoolkit" TargetMode="External"/><Relationship Id="rId19" Type="http://schemas.openxmlformats.org/officeDocument/2006/relationships/image" Target="media/image8.png"/><Relationship Id="rId224" Type="http://schemas.openxmlformats.org/officeDocument/2006/relationships/hyperlink" Target="https://www.ifac.org/knowledge-gateway/contributing-global-economy/publications/international-framework-good-governance-public-sector" TargetMode="External"/><Relationship Id="rId431" Type="http://schemas.openxmlformats.org/officeDocument/2006/relationships/image" Target="media/image98.png"/><Relationship Id="rId529" Type="http://schemas.openxmlformats.org/officeDocument/2006/relationships/image" Target="media/image141.png"/><Relationship Id="rId736" Type="http://schemas.openxmlformats.org/officeDocument/2006/relationships/image" Target="media/image227.png"/><Relationship Id="rId1061" Type="http://schemas.openxmlformats.org/officeDocument/2006/relationships/hyperlink" Target="https://www.internationalbudget.org/" TargetMode="External"/><Relationship Id="rId1159" Type="http://schemas.openxmlformats.org/officeDocument/2006/relationships/image" Target="media/image378.png"/><Relationship Id="rId1366" Type="http://schemas.openxmlformats.org/officeDocument/2006/relationships/hyperlink" Target="https://youtu.be/8wM16KFCP9Q" TargetMode="External"/><Relationship Id="rId168" Type="http://schemas.openxmlformats.org/officeDocument/2006/relationships/hyperlink" Target="https://www.oecd.org/gov/budgeting/Recommendation-of-the-Council-on-Budgetary-Governance.pdf" TargetMode="External"/><Relationship Id="rId943" Type="http://schemas.openxmlformats.org/officeDocument/2006/relationships/hyperlink" Target="http://opendatatoolkit.worldbank.org/en/demand.html" TargetMode="External"/><Relationship Id="rId1019" Type="http://schemas.openxmlformats.org/officeDocument/2006/relationships/image" Target="media/image367.png"/><Relationship Id="rId1573" Type="http://schemas.openxmlformats.org/officeDocument/2006/relationships/hyperlink" Target="https://fiscaltransparency.net/gift-principles/" TargetMode="External"/><Relationship Id="rId72" Type="http://schemas.openxmlformats.org/officeDocument/2006/relationships/image" Target="media/image39.png"/><Relationship Id="rId375" Type="http://schemas.openxmlformats.org/officeDocument/2006/relationships/hyperlink" Target="https://www.pefa.org/sites/pefa/files/resources/downloads/PEFA%202016_latest%20version_with%20links%20%282%29.pdf" TargetMode="External"/><Relationship Id="rId582" Type="http://schemas.openxmlformats.org/officeDocument/2006/relationships/image" Target="media/image166.png"/><Relationship Id="rId803" Type="http://schemas.openxmlformats.org/officeDocument/2006/relationships/hyperlink" Target="https://youtu.be/rnKFx1qOSM8" TargetMode="External"/><Relationship Id="rId1226" Type="http://schemas.openxmlformats.org/officeDocument/2006/relationships/hyperlink" Target="https://www.oecd.org/gov/budgeting/seniorbudgetofficialnetworkssbo.htm" TargetMode="External"/><Relationship Id="rId1433" Type="http://schemas.openxmlformats.org/officeDocument/2006/relationships/hyperlink" Target="https://youtu.be/8wM16KFCP9Q" TargetMode="External"/><Relationship Id="rId3" Type="http://schemas.openxmlformats.org/officeDocument/2006/relationships/styles" Target="styles.xml"/><Relationship Id="rId235" Type="http://schemas.openxmlformats.org/officeDocument/2006/relationships/hyperlink" Target="https://www.oecd.org/g20/topics/anti-corruption/G20_Anti-Corruption_Action_Plan.pdf" TargetMode="External"/><Relationship Id="rId442" Type="http://schemas.openxmlformats.org/officeDocument/2006/relationships/hyperlink" Target="http://www.oecd.org/gov/budgeting/parliamentary-budget-officials/" TargetMode="External"/><Relationship Id="rId887" Type="http://schemas.openxmlformats.org/officeDocument/2006/relationships/hyperlink" Target="https://agd.data.gouv.fr/2015/05/17/analyser-les-consommations-energetiques-des-batiments-publics/" TargetMode="External"/><Relationship Id="rId1072" Type="http://schemas.openxmlformats.org/officeDocument/2006/relationships/hyperlink" Target="https://www.internationalbudget.org/" TargetMode="External"/><Relationship Id="rId1500" Type="http://schemas.openxmlformats.org/officeDocument/2006/relationships/hyperlink" Target="https://www.oecd.org/g20/topics/anti-corruption/G20_Anti-Corruption_Action_Plan.pdf" TargetMode="External"/><Relationship Id="rId302" Type="http://schemas.openxmlformats.org/officeDocument/2006/relationships/image" Target="media/image62.png"/><Relationship Id="rId747" Type="http://schemas.openxmlformats.org/officeDocument/2006/relationships/hyperlink" Target="https://resourcegovernance.org/approach/natural-resource-charter" TargetMode="External"/><Relationship Id="rId954" Type="http://schemas.openxmlformats.org/officeDocument/2006/relationships/image" Target="media/image328.png"/><Relationship Id="rId1377" Type="http://schemas.openxmlformats.org/officeDocument/2006/relationships/hyperlink" Target="https://youtu.be/8wM16KFCP9Q" TargetMode="External"/><Relationship Id="rId1584" Type="http://schemas.openxmlformats.org/officeDocument/2006/relationships/hyperlink" Target="https://www.internationalbudget.org/wp-content/uploads/evaluating-tax-expenditures-framework-for-civil-society-english-2018.pdf" TargetMode="External"/><Relationship Id="rId83" Type="http://schemas.openxmlformats.org/officeDocument/2006/relationships/hyperlink" Target="https://www.pefa.org/sites/pefa/files/resources/downloads/PEFA%202016_latest%20version_with%20links%20%282%29.pdf" TargetMode="External"/><Relationship Id="rId179" Type="http://schemas.openxmlformats.org/officeDocument/2006/relationships/hyperlink" Target="https://www.cabri-sbo.org/en/publications/declaration-on-good-public-financial-governance" TargetMode="External"/><Relationship Id="rId386" Type="http://schemas.openxmlformats.org/officeDocument/2006/relationships/image" Target="media/image66.png"/><Relationship Id="rId593" Type="http://schemas.openxmlformats.org/officeDocument/2006/relationships/hyperlink" Target="https://www.imf.org/external/Pubs/FT/GFS/Manual/2014/gfsfinal.pdf" TargetMode="External"/><Relationship Id="rId607" Type="http://schemas.openxmlformats.org/officeDocument/2006/relationships/hyperlink" Target="http://www.ipsasb.org/publications/2020-handbook-international-public-sector-accounting-pronouncements" TargetMode="External"/><Relationship Id="rId814" Type="http://schemas.openxmlformats.org/officeDocument/2006/relationships/image" Target="media/image268.png"/><Relationship Id="rId1237" Type="http://schemas.openxmlformats.org/officeDocument/2006/relationships/hyperlink" Target="https://www.oecd.org/gov/budgeting/seniorbudgetofficialnetworkssbo.htm" TargetMode="External"/><Relationship Id="rId1444" Type="http://schemas.openxmlformats.org/officeDocument/2006/relationships/hyperlink" Target="https://dash.harvard.edu/bitstream/handle/1/4448885/Andrews_HowFar.pdf" TargetMode="External"/><Relationship Id="rId246" Type="http://schemas.openxmlformats.org/officeDocument/2006/relationships/hyperlink" Target="https://www.imf.org/external/np/fad/trans/manual.htm" TargetMode="External"/><Relationship Id="rId453" Type="http://schemas.openxmlformats.org/officeDocument/2006/relationships/image" Target="media/image106.png"/><Relationship Id="rId660" Type="http://schemas.openxmlformats.org/officeDocument/2006/relationships/hyperlink" Target="https://www.internationalbudget.org/publications/obi-training-materials-for-governments/" TargetMode="External"/><Relationship Id="rId898" Type="http://schemas.openxmlformats.org/officeDocument/2006/relationships/hyperlink" Target="https://www.tandfonline.com/doi/abs/10.1080/07055900.2017.1342163" TargetMode="External"/><Relationship Id="rId1083" Type="http://schemas.openxmlformats.org/officeDocument/2006/relationships/hyperlink" Target="https://www.internationalbudget.org/" TargetMode="External"/><Relationship Id="rId1290" Type="http://schemas.openxmlformats.org/officeDocument/2006/relationships/hyperlink" Target="https://www.cabri-sbo.org/" TargetMode="External"/><Relationship Id="rId1304" Type="http://schemas.openxmlformats.org/officeDocument/2006/relationships/image" Target="media/image386.png"/><Relationship Id="rId1511" Type="http://schemas.openxmlformats.org/officeDocument/2006/relationships/hyperlink" Target="https://www.internationalbudget.org/sites/default/files/2020-04/2017_Report_EN.pdf" TargetMode="External"/><Relationship Id="rId106" Type="http://schemas.openxmlformats.org/officeDocument/2006/relationships/hyperlink" Target="https://www.imf.org/external/np/fad/trans/Code2019.pdf" TargetMode="External"/><Relationship Id="rId313" Type="http://schemas.openxmlformats.org/officeDocument/2006/relationships/hyperlink" Target="http://www.oecd.org/gov/budgeting/Recommendation-of-the-Council-on-Budgetary-Governance.pdf" TargetMode="External"/><Relationship Id="rId758" Type="http://schemas.openxmlformats.org/officeDocument/2006/relationships/image" Target="media/image239.png"/><Relationship Id="rId965" Type="http://schemas.openxmlformats.org/officeDocument/2006/relationships/image" Target="media/image335.png"/><Relationship Id="rId1150" Type="http://schemas.openxmlformats.org/officeDocument/2006/relationships/hyperlink" Target="https://www.internationalbudget.org/" TargetMode="External"/><Relationship Id="rId1388" Type="http://schemas.openxmlformats.org/officeDocument/2006/relationships/hyperlink" Target="https://youtu.be/8wM16KFCP9Q" TargetMode="External"/><Relationship Id="rId1595" Type="http://schemas.openxmlformats.org/officeDocument/2006/relationships/hyperlink" Target="http://www.treasury.gov.za/documents/national%20budget/2020/enebooklets/Vote%2019%20Social%20Development.pdf" TargetMode="External"/><Relationship Id="rId1609" Type="http://schemas.openxmlformats.org/officeDocument/2006/relationships/hyperlink" Target="https://www.state.gov/reports/2021-fiscal-transparency-report/" TargetMode="External"/><Relationship Id="rId10" Type="http://schemas.openxmlformats.org/officeDocument/2006/relationships/footer" Target="footer1.xml"/><Relationship Id="rId94" Type="http://schemas.openxmlformats.org/officeDocument/2006/relationships/image" Target="media/image46.png"/><Relationship Id="rId397" Type="http://schemas.openxmlformats.org/officeDocument/2006/relationships/image" Target="media/image74.png"/><Relationship Id="rId520" Type="http://schemas.openxmlformats.org/officeDocument/2006/relationships/hyperlink" Target="https://www.iap2.org/mpage/Home" TargetMode="External"/><Relationship Id="rId618" Type="http://schemas.openxmlformats.org/officeDocument/2006/relationships/hyperlink" Target="https://standard.open-contracting.org/latest/en/" TargetMode="External"/><Relationship Id="rId825" Type="http://schemas.openxmlformats.org/officeDocument/2006/relationships/hyperlink" Target="https://www.imf.org/en/Publications/CR/Issues/2019/01/30/Senegal-Fiscal-Transparency-Evaluation-46569" TargetMode="External"/><Relationship Id="rId1248" Type="http://schemas.openxmlformats.org/officeDocument/2006/relationships/hyperlink" Target="https://www.oecd.org/gov/budgeting/seniorbudgetofficialnetworkssbo.htm" TargetMode="External"/><Relationship Id="rId1455" Type="http://schemas.openxmlformats.org/officeDocument/2006/relationships/hyperlink" Target="https://www.cabri-sbo.org/en/publications/revenue-management-in-the-extractives-sector-in-africa" TargetMode="External"/><Relationship Id="rId257" Type="http://schemas.openxmlformats.org/officeDocument/2006/relationships/hyperlink" Target="https://www.imf.org/external/np/fad/trans/Code2019.pdf" TargetMode="External"/><Relationship Id="rId464" Type="http://schemas.openxmlformats.org/officeDocument/2006/relationships/hyperlink" Target="https://www.ifac.org/knowledge-gateway/contributing-global-economy/publications/international-framework-good-governance-public-sector" TargetMode="External"/><Relationship Id="rId1010" Type="http://schemas.openxmlformats.org/officeDocument/2006/relationships/hyperlink" Target="https://fiscaltransparency.net/fiscal-openness-in-emergency-response-covid-19/" TargetMode="External"/><Relationship Id="rId1094" Type="http://schemas.openxmlformats.org/officeDocument/2006/relationships/hyperlink" Target="https://www.internationalbudget.org/" TargetMode="External"/><Relationship Id="rId1108" Type="http://schemas.openxmlformats.org/officeDocument/2006/relationships/hyperlink" Target="https://www.internationalbudget.org/" TargetMode="External"/><Relationship Id="rId1315" Type="http://schemas.openxmlformats.org/officeDocument/2006/relationships/hyperlink" Target="https://youtu.be/8wM16KFCP9Q" TargetMode="External"/><Relationship Id="rId117" Type="http://schemas.openxmlformats.org/officeDocument/2006/relationships/hyperlink" Target="file:///C:\Users\1804\Downloads\Inter-Parliamentary%20Union&#8217;s%20Parliament%20And%20Democracy%20In%20The%20Twenty-First%20Century:%20A%20Guide%20to%20Good%20Practice" TargetMode="External"/><Relationship Id="rId671" Type="http://schemas.openxmlformats.org/officeDocument/2006/relationships/hyperlink" Target="https://www.internationalbudget.org/wp-content/uploads/open-budget-survey-2017-guidelines-on-public-availability-of-budget-documents.pdf" TargetMode="External"/><Relationship Id="rId769" Type="http://schemas.openxmlformats.org/officeDocument/2006/relationships/image" Target="media/image245.png"/><Relationship Id="rId976" Type="http://schemas.openxmlformats.org/officeDocument/2006/relationships/hyperlink" Target="http://www.g20.utoronto.ca/2015/G20-Anti-Corruption-Open-Data-Principles.pdf" TargetMode="External"/><Relationship Id="rId1399" Type="http://schemas.openxmlformats.org/officeDocument/2006/relationships/hyperlink" Target="https://youtu.be/8wM16KFCP9Q" TargetMode="External"/><Relationship Id="rId324" Type="http://schemas.openxmlformats.org/officeDocument/2006/relationships/hyperlink" Target="https://www.tadat.org/home" TargetMode="External"/><Relationship Id="rId531" Type="http://schemas.openxmlformats.org/officeDocument/2006/relationships/image" Target="media/image143.png"/><Relationship Id="rId629" Type="http://schemas.openxmlformats.org/officeDocument/2006/relationships/image" Target="media/image184.png"/><Relationship Id="rId1161" Type="http://schemas.openxmlformats.org/officeDocument/2006/relationships/hyperlink" Target="https://www.oecd.org/gov/budgeting/seniorbudgetofficialnetworkssbo.htm" TargetMode="External"/><Relationship Id="rId1259" Type="http://schemas.openxmlformats.org/officeDocument/2006/relationships/hyperlink" Target="https://www.oecd.org/gov/budgeting/seniorbudgetofficialnetworkssbo.htm" TargetMode="External"/><Relationship Id="rId1466" Type="http://schemas.openxmlformats.org/officeDocument/2006/relationships/hyperlink" Target="https://www.internationalbudget.org/publications/how-civil-society-uses-budget-information/" TargetMode="External"/><Relationship Id="rId836" Type="http://schemas.openxmlformats.org/officeDocument/2006/relationships/image" Target="media/image275.png"/><Relationship Id="rId1021" Type="http://schemas.openxmlformats.org/officeDocument/2006/relationships/image" Target="media/image369.png"/><Relationship Id="rId1119" Type="http://schemas.openxmlformats.org/officeDocument/2006/relationships/hyperlink" Target="https://www.internationalbudget.org/" TargetMode="External"/><Relationship Id="rId903" Type="http://schemas.openxmlformats.org/officeDocument/2006/relationships/hyperlink" Target="http://data.epmap.org/" TargetMode="External"/><Relationship Id="rId1326" Type="http://schemas.openxmlformats.org/officeDocument/2006/relationships/hyperlink" Target="https://youtu.be/8wM16KFCP9Q" TargetMode="External"/><Relationship Id="rId1533" Type="http://schemas.openxmlformats.org/officeDocument/2006/relationships/hyperlink" Target="https://www.ipu.org/resources/publications/handbooks/2016-07/parliament-and-democracy-in-twenty-first-century-guide-good-practice" TargetMode="External"/><Relationship Id="rId32" Type="http://schemas.openxmlformats.org/officeDocument/2006/relationships/image" Target="media/image18.png"/><Relationship Id="rId1600" Type="http://schemas.openxmlformats.org/officeDocument/2006/relationships/hyperlink" Target="https://www.tandfonline.com/doi/full/10.1080/09614524.2020.1742662" TargetMode="External"/><Relationship Id="rId181" Type="http://schemas.openxmlformats.org/officeDocument/2006/relationships/hyperlink" Target="https://unfccc.int/process-and-meetings/the-paris-agreement/what-is-the-paris-agreement" TargetMode="External"/><Relationship Id="rId279" Type="http://schemas.openxmlformats.org/officeDocument/2006/relationships/hyperlink" Target="https://resourcegovernance.org/approach/natural-resource-charter" TargetMode="External"/><Relationship Id="rId486" Type="http://schemas.openxmlformats.org/officeDocument/2006/relationships/image" Target="media/image119.png"/><Relationship Id="rId693" Type="http://schemas.openxmlformats.org/officeDocument/2006/relationships/hyperlink" Target="https://www.imf.org/external/Pubs/FT/GFS/Manual/2014/gfsfinal.pdf" TargetMode="External"/><Relationship Id="rId139" Type="http://schemas.openxmlformats.org/officeDocument/2006/relationships/hyperlink" Target="https://www.pefa.org/resources/catalog?field_resource_type_target_id=3976" TargetMode="External"/><Relationship Id="rId346" Type="http://schemas.openxmlformats.org/officeDocument/2006/relationships/hyperlink" Target="http://www.oecd.org/corruption-integrity/reports/oecd-budget-transparency-toolkit-9789264282070-en.html" TargetMode="External"/><Relationship Id="rId553" Type="http://schemas.openxmlformats.org/officeDocument/2006/relationships/hyperlink" Target="https://youtu.be/6OVDig3MjvQ" TargetMode="External"/><Relationship Id="rId760" Type="http://schemas.openxmlformats.org/officeDocument/2006/relationships/hyperlink" Target="https://internationalbudget.org/open-budget-survey/open-budget-survey-2021" TargetMode="External"/><Relationship Id="rId998" Type="http://schemas.openxmlformats.org/officeDocument/2006/relationships/image" Target="media/image350.png"/><Relationship Id="rId1183" Type="http://schemas.openxmlformats.org/officeDocument/2006/relationships/hyperlink" Target="https://www.oecd.org/gov/budgeting/seniorbudgetofficialnetworkssbo.htm" TargetMode="External"/><Relationship Id="rId1390" Type="http://schemas.openxmlformats.org/officeDocument/2006/relationships/hyperlink" Target="https://youtu.be/8wM16KFCP9Q" TargetMode="External"/><Relationship Id="rId206" Type="http://schemas.openxmlformats.org/officeDocument/2006/relationships/hyperlink" Target="https://www.pefa.org/sites/pefa/files/resources/downloads/PEFA%202016_latest%20version_with%20links%20%282%29.pdf" TargetMode="External"/><Relationship Id="rId413" Type="http://schemas.openxmlformats.org/officeDocument/2006/relationships/hyperlink" Target="http://www.oecd.org/gov/budgeting/Recommendation-of-the-Council-on-Budgetary-Governance.pdf" TargetMode="External"/><Relationship Id="rId858" Type="http://schemas.openxmlformats.org/officeDocument/2006/relationships/image" Target="media/image294.png"/><Relationship Id="rId1043" Type="http://schemas.openxmlformats.org/officeDocument/2006/relationships/hyperlink" Target="https://www.internationalbudget.org/" TargetMode="External"/><Relationship Id="rId1488" Type="http://schemas.openxmlformats.org/officeDocument/2006/relationships/hyperlink" Target="https://www.youtube.com/watch?v=GJmIxK5qpoU&amp;feature=emb_title" TargetMode="External"/><Relationship Id="rId620" Type="http://schemas.openxmlformats.org/officeDocument/2006/relationships/hyperlink" Target="http://www.constructiontransparency.org/home" TargetMode="External"/><Relationship Id="rId718" Type="http://schemas.openxmlformats.org/officeDocument/2006/relationships/hyperlink" Target="https://www.oecd.org/tax/transparency/" TargetMode="External"/><Relationship Id="rId925" Type="http://schemas.openxmlformats.org/officeDocument/2006/relationships/hyperlink" Target="http://standard.open-contracting.org/" TargetMode="External"/><Relationship Id="rId1250" Type="http://schemas.openxmlformats.org/officeDocument/2006/relationships/hyperlink" Target="https://www.oecd.org/gov/budgeting/seniorbudgetofficialnetworkssbo.htm" TargetMode="External"/><Relationship Id="rId1348" Type="http://schemas.openxmlformats.org/officeDocument/2006/relationships/hyperlink" Target="https://youtu.be/8wM16KFCP9Q" TargetMode="External"/><Relationship Id="rId1555" Type="http://schemas.openxmlformats.org/officeDocument/2006/relationships/hyperlink" Target="https://www.open-contracting.org/what-is-open-contracting/global-principles/" TargetMode="External"/><Relationship Id="rId1110" Type="http://schemas.openxmlformats.org/officeDocument/2006/relationships/hyperlink" Target="https://www.internationalbudget.org/" TargetMode="External"/><Relationship Id="rId1208" Type="http://schemas.openxmlformats.org/officeDocument/2006/relationships/hyperlink" Target="https://www.oecd.org/gov/budgeting/seniorbudgetofficialnetworkssbo.htm" TargetMode="External"/><Relationship Id="rId1415" Type="http://schemas.openxmlformats.org/officeDocument/2006/relationships/hyperlink" Target="https://youtu.be/8wM16KFCP9Q" TargetMode="External"/><Relationship Id="rId54" Type="http://schemas.openxmlformats.org/officeDocument/2006/relationships/hyperlink" Target="https://youtu.be/2Tw_B8X1PZo" TargetMode="External"/><Relationship Id="rId1622" Type="http://schemas.openxmlformats.org/officeDocument/2006/relationships/image" Target="media/image395.png"/><Relationship Id="rId270" Type="http://schemas.openxmlformats.org/officeDocument/2006/relationships/hyperlink" Target="https://resourcegovernance.org/approach/natural-resource-charter" TargetMode="External"/><Relationship Id="rId130" Type="http://schemas.openxmlformats.org/officeDocument/2006/relationships/hyperlink" Target="https://www.oecd.org/gov/budgeting/Recommendation-of-the-Council-on-Budgetary-Governance.pdf" TargetMode="External"/><Relationship Id="rId368" Type="http://schemas.openxmlformats.org/officeDocument/2006/relationships/hyperlink" Target="http://www.oecd.org/gov/budgeting/Recommendation-of-the-Council-on-Budgetary-Governance.pdf" TargetMode="External"/><Relationship Id="rId575" Type="http://schemas.openxmlformats.org/officeDocument/2006/relationships/image" Target="media/image164.png"/><Relationship Id="rId782" Type="http://schemas.openxmlformats.org/officeDocument/2006/relationships/hyperlink" Target="https://www.state.gov/bureaus-offices/under-secretary-for-economic-growth-energy-and-the-environment/bureau-of-economic-and-business-affairs/"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scholarship.law.unc.edu/cgi/viewcontent.cgi?article=6793&amp;context=nclr" TargetMode="External"/><Relationship Id="rId117" Type="http://schemas.openxmlformats.org/officeDocument/2006/relationships/hyperlink" Target="https://fiscaltransparency.net/fiscal-data-for-emergency-response-guide-for-covid-19/" TargetMode="External"/><Relationship Id="rId21" Type="http://schemas.openxmlformats.org/officeDocument/2006/relationships/hyperlink" Target="https://www.ipea.gov.br/participacao/images/pdfs/participacao/2014%20oramento%20participativo%20e%20mortalidade%20infantil.pdf" TargetMode="External"/><Relationship Id="rId42" Type="http://schemas.openxmlformats.org/officeDocument/2006/relationships/hyperlink" Target="https://www.iza.org/publications/dp/8095/social-audits-and-mgnrega-delivery-lessons-from-andhra-pradesh" TargetMode="External"/><Relationship Id="rId47" Type="http://schemas.openxmlformats.org/officeDocument/2006/relationships/hyperlink" Target="https://doi.org/10.1787/be73a937-en" TargetMode="External"/><Relationship Id="rId63" Type="http://schemas.openxmlformats.org/officeDocument/2006/relationships/hyperlink" Target="https://www.fiscaltransparency.net/making-tax-work/" TargetMode="External"/><Relationship Id="rId68" Type="http://schemas.openxmlformats.org/officeDocument/2006/relationships/hyperlink" Target="https://www.internationalbudget.org/wp-content/uploads/budget-credibility-what-can-we-learn-from-pefa-reports-ibp-2018.pdf" TargetMode="External"/><Relationship Id="rId84" Type="http://schemas.openxmlformats.org/officeDocument/2006/relationships/hyperlink" Target="https://documents.worldbank.org/en/publication/documents-reports/documentdetail/993981509959603664/managing-change-in-pfm-system-reforms-a-guide-for-practitioners" TargetMode="External"/><Relationship Id="rId89" Type="http://schemas.openxmlformats.org/officeDocument/2006/relationships/hyperlink" Target="https://theodi.org/article/research-the-economic-value-of-open-versus-paid-data/" TargetMode="External"/><Relationship Id="rId112" Type="http://schemas.openxmlformats.org/officeDocument/2006/relationships/hyperlink" Target="https://openknowledge.worldbank.org/handle/10986/31266" TargetMode="External"/><Relationship Id="rId133" Type="http://schemas.openxmlformats.org/officeDocument/2006/relationships/hyperlink" Target="https://www.internationalbudget.org/wp-content/uploads/surmounting-obstacles-to-fiscal-transparency-gift-ibp-2015.pdf" TargetMode="External"/><Relationship Id="rId138" Type="http://schemas.openxmlformats.org/officeDocument/2006/relationships/hyperlink" Target="https://www.internationalbudget.org/wp-content/uploads/incentives-for-accountability-through-ecosystem-approach-may-2016.pdf" TargetMode="External"/><Relationship Id="rId154" Type="http://schemas.openxmlformats.org/officeDocument/2006/relationships/hyperlink" Target="https://www.youtube.com/watch?v=ecYodtMlsro" TargetMode="External"/><Relationship Id="rId16" Type="http://schemas.openxmlformats.org/officeDocument/2006/relationships/hyperlink" Target="https://papers.ssrn.com/sol3/papers.cfm?abstract_id=3633248" TargetMode="External"/><Relationship Id="rId107" Type="http://schemas.openxmlformats.org/officeDocument/2006/relationships/hyperlink" Target="https://www.internationalbudget.org/publications/road-to-budget-transparency-six-country-synthesis/" TargetMode="External"/><Relationship Id="rId11" Type="http://schemas.openxmlformats.org/officeDocument/2006/relationships/hyperlink" Target="https://www.jakobsvensson.com/uploads/9/9/1/0/99107788/1-s2.0-s0047272711000223-main.pdf" TargetMode="External"/><Relationship Id="rId32" Type="http://schemas.openxmlformats.org/officeDocument/2006/relationships/hyperlink" Target="https://www.ipu.org/" TargetMode="External"/><Relationship Id="rId37" Type="http://schemas.openxmlformats.org/officeDocument/2006/relationships/hyperlink" Target="https://www.e-participatoryaudit.org/module-02/speaking-the-language-of-citizens-how-to-develop-a-citizen-audit-report.php" TargetMode="External"/><Relationship Id="rId53" Type="http://schemas.openxmlformats.org/officeDocument/2006/relationships/hyperlink" Target="http://documents1.worldbank.org/curated/en/539361468170971115/pdf/866520REV0SecM0C0disclosed040160140.pdf" TargetMode="External"/><Relationship Id="rId58" Type="http://schemas.openxmlformats.org/officeDocument/2006/relationships/hyperlink" Target="http://www.oecd.org/gov/budgeting/seniorbudgetofficialcountryreviewsofbudgetingsystems.htm" TargetMode="External"/><Relationship Id="rId74" Type="http://schemas.openxmlformats.org/officeDocument/2006/relationships/hyperlink" Target="https://publications.iadb.org/publications/english/document/Public-Financial-Management-in-Latin-America-The-Key-to-Efficiency-and-Transparency.pdf" TargetMode="External"/><Relationship Id="rId79" Type="http://schemas.openxmlformats.org/officeDocument/2006/relationships/hyperlink" Target="https://www.worldbank.org/en/topic/governance/brief/financial-management-information-systems-fmis" TargetMode="External"/><Relationship Id="rId102" Type="http://schemas.openxmlformats.org/officeDocument/2006/relationships/hyperlink" Target="https://www.internationalbudget.org/wp-content/uploads/ibp-paper-digital-budgets-how-governments-disclose-fiscal-info-online-2016.pdf" TargetMode="External"/><Relationship Id="rId123" Type="http://schemas.openxmlformats.org/officeDocument/2006/relationships/hyperlink" Target="https://www.internationalbudget.org/sites/default/files/2020-04/2019_Report_EN.pdf" TargetMode="External"/><Relationship Id="rId128" Type="http://schemas.openxmlformats.org/officeDocument/2006/relationships/hyperlink" Target="https://www.fiscaltransparency.net/wp-content/uploads/2021/06/20171219160.pdf" TargetMode="External"/><Relationship Id="rId144" Type="http://schemas.openxmlformats.org/officeDocument/2006/relationships/hyperlink" Target="https://openknowledge.worldbank.org/handle/10986/28887" TargetMode="External"/><Relationship Id="rId149" Type="http://schemas.openxmlformats.org/officeDocument/2006/relationships/hyperlink" Target="https://www2.internationalbudget.org/open-budget-survey-2021/" TargetMode="External"/><Relationship Id="rId5" Type="http://schemas.openxmlformats.org/officeDocument/2006/relationships/hyperlink" Target="https://fiscaltransparency.net/?s=The+Impacts+of+Fiscal+Openness%3A+A+Review+of+the+Evidence" TargetMode="External"/><Relationship Id="rId90" Type="http://schemas.openxmlformats.org/officeDocument/2006/relationships/hyperlink" Target="http://opendatatoolkit.worldbank.org/en/starting.html" TargetMode="External"/><Relationship Id="rId95" Type="http://schemas.openxmlformats.org/officeDocument/2006/relationships/hyperlink" Target="https://fiscaltransparency.net/an-investigation-based-on-budgetary-data-evidences-significant-reductions-in-food-policies-for-children-in-argentina/" TargetMode="External"/><Relationship Id="rId22" Type="http://schemas.openxmlformats.org/officeDocument/2006/relationships/hyperlink" Target="https://www.tandfonline.com/doi/full/10.1080/09614524.2020.1742662" TargetMode="External"/><Relationship Id="rId27" Type="http://schemas.openxmlformats.org/officeDocument/2006/relationships/hyperlink" Target="https://www.internationalbudget.org/2020/01/justifying-government-budget-decisions-toward-standards-for-public-reasons-ibp-2020/" TargetMode="External"/><Relationship Id="rId43" Type="http://schemas.openxmlformats.org/officeDocument/2006/relationships/hyperlink" Target="https://www.iap2.org/mpage/Home" TargetMode="External"/><Relationship Id="rId48" Type="http://schemas.openxmlformats.org/officeDocument/2006/relationships/hyperlink" Target="http://www.treasury.gov.za/documents/national%20budget/2020/enebooklets/Vote%2019%20Social%20Development.pdf" TargetMode="External"/><Relationship Id="rId64" Type="http://schemas.openxmlformats.org/officeDocument/2006/relationships/hyperlink" Target="https://fiscaltransparency.net/promoting-more-open-and-accountable-tax-systems/" TargetMode="External"/><Relationship Id="rId69" Type="http://schemas.openxmlformats.org/officeDocument/2006/relationships/hyperlink" Target="https://www.pefa.org/resources" TargetMode="External"/><Relationship Id="rId113" Type="http://schemas.openxmlformats.org/officeDocument/2006/relationships/hyperlink" Target="https://www.worldbank.org/en/publication/wdr2017" TargetMode="External"/><Relationship Id="rId118" Type="http://schemas.openxmlformats.org/officeDocument/2006/relationships/hyperlink" Target="https://fiscaltransparency.net/cso-key-role-in-transparent-covid-fiscal-responses/" TargetMode="External"/><Relationship Id="rId134" Type="http://schemas.openxmlformats.org/officeDocument/2006/relationships/hyperlink" Target="https://www.internationalbudget.org/wp-content/uploads/state-of-the-field-review-fiscal-transparency-and-accountability-2018.pdf" TargetMode="External"/><Relationship Id="rId139" Type="http://schemas.openxmlformats.org/officeDocument/2006/relationships/hyperlink" Target="https://www.internationalbudget.org/publications/getting-a-seat-at-the-table-civil-society-advocacy-for-budget-transparency-in-untransparent-countries/" TargetMode="External"/><Relationship Id="rId80" Type="http://schemas.openxmlformats.org/officeDocument/2006/relationships/hyperlink" Target="https://openknowledge.worldbank.org/handle/10986/2297" TargetMode="External"/><Relationship Id="rId85" Type="http://schemas.openxmlformats.org/officeDocument/2006/relationships/hyperlink" Target="https://openknowledge.worldbank.org/bitstream/handle/10986/29222/WPS8312.pdf?sequence=5&amp;isAllowed=y" TargetMode="External"/><Relationship Id="rId150" Type="http://schemas.openxmlformats.org/officeDocument/2006/relationships/hyperlink" Target="https://www2.internationalbudget.org/open-budget-survey-2021/" TargetMode="External"/><Relationship Id="rId12" Type="http://schemas.openxmlformats.org/officeDocument/2006/relationships/hyperlink" Target="https://onlinelibrary.wiley.com/doi/10.1111/gove.12432" TargetMode="External"/><Relationship Id="rId17" Type="http://schemas.openxmlformats.org/officeDocument/2006/relationships/hyperlink" Target="https://eml.berkeley.edu/~ffinan/Finan_Audit.pdf" TargetMode="External"/><Relationship Id="rId25" Type="http://schemas.openxmlformats.org/officeDocument/2006/relationships/hyperlink" Target="https://scholarship.law.marquette.edu/cgi/viewcontent.cgi?referer=https://scholar.google.com/&amp;httpsredir=1&amp;article=5238&amp;context=mulr" TargetMode="External"/><Relationship Id="rId33" Type="http://schemas.openxmlformats.org/officeDocument/2006/relationships/hyperlink" Target="http://www.ipu.org/dem-e/guide.htm" TargetMode="External"/><Relationship Id="rId38" Type="http://schemas.openxmlformats.org/officeDocument/2006/relationships/hyperlink" Target="https://www.nao.org.uk/support-for-parliament/" TargetMode="External"/><Relationship Id="rId46" Type="http://schemas.openxmlformats.org/officeDocument/2006/relationships/hyperlink" Target="https://www.internationalbudget.org/publications/ibp-research-note-no-1-transparency-and-participation-in-public-financial-management-what-do-budget-laws-say-2/" TargetMode="External"/><Relationship Id="rId59" Type="http://schemas.openxmlformats.org/officeDocument/2006/relationships/hyperlink" Target="https://www.internationalbudget.org/wp-content/uploads/assessing-the-quality-of-reasons-in-government-budget-documents-ibp-2018.pdf" TargetMode="External"/><Relationship Id="rId67" Type="http://schemas.openxmlformats.org/officeDocument/2006/relationships/hyperlink" Target="https://www.cabri-sbo.org/en/publications/towards-a-greater-use-of-country-systems-in-africa-recent-trends-and-approaches-synthesis-report" TargetMode="External"/><Relationship Id="rId103" Type="http://schemas.openxmlformats.org/officeDocument/2006/relationships/hyperlink" Target="https://globaldatabarometer.org/2022/06/advocating-for-accurate-timely-and-trustworthy-fiscal-information/" TargetMode="External"/><Relationship Id="rId108" Type="http://schemas.openxmlformats.org/officeDocument/2006/relationships/hyperlink" Target="https://www.unicef.org/esa/reports/financing-development-children-africa" TargetMode="External"/><Relationship Id="rId116" Type="http://schemas.openxmlformats.org/officeDocument/2006/relationships/hyperlink" Target="https://fiscaltransparency.net/fiscal-openness-in-emergency-response-covid-19/" TargetMode="External"/><Relationship Id="rId124" Type="http://schemas.openxmlformats.org/officeDocument/2006/relationships/hyperlink" Target="https://youtu.be/HdBM6ZklFIE" TargetMode="External"/><Relationship Id="rId129" Type="http://schemas.openxmlformats.org/officeDocument/2006/relationships/hyperlink" Target="https://www.internationalbudget.org/publications/achieving-sufficient-levels-budget-transparency/" TargetMode="External"/><Relationship Id="rId137" Type="http://schemas.openxmlformats.org/officeDocument/2006/relationships/hyperlink" Target="https://www.internationalbudget.org/publications/learning-from-cooperative-relationships-civil-society-budget-campaigns/" TargetMode="External"/><Relationship Id="rId20" Type="http://schemas.openxmlformats.org/officeDocument/2006/relationships/hyperlink" Target="https://journals.sagepub.com/doi/abs/10.1177/0010414013512601" TargetMode="External"/><Relationship Id="rId41" Type="http://schemas.openxmlformats.org/officeDocument/2006/relationships/hyperlink" Target="https://openknowledge.worldbank.org/handle/10986/34093" TargetMode="External"/><Relationship Id="rId54" Type="http://schemas.openxmlformats.org/officeDocument/2006/relationships/hyperlink" Target="https://www.internationalbudget.org/publications/hidden-corners/" TargetMode="External"/><Relationship Id="rId62" Type="http://schemas.openxmlformats.org/officeDocument/2006/relationships/hyperlink" Target="https://www.internationalbudget.org/wp-content/uploads/evaluating-tax-expenditures-framework-for-civil-society-english-2018.pdf" TargetMode="External"/><Relationship Id="rId70" Type="http://schemas.openxmlformats.org/officeDocument/2006/relationships/hyperlink" Target="https://www.pefa.org/resources/evaluation-pefa-program-2016" TargetMode="External"/><Relationship Id="rId75" Type="http://schemas.openxmlformats.org/officeDocument/2006/relationships/hyperlink" Target="https://www.imf.org/en/Publications/Fiscal-Affairs-Department-How-To-Notes/Issues/2019/05/15/How-to-Design-a-Financial-Management-Information-System-A-Modular-Approach-46818" TargetMode="External"/><Relationship Id="rId83" Type="http://schemas.openxmlformats.org/officeDocument/2006/relationships/hyperlink" Target="https://www.youtube.com/watch?v=GJmIxK5qpoU&amp;feature=emb_title" TargetMode="External"/><Relationship Id="rId88" Type="http://schemas.openxmlformats.org/officeDocument/2006/relationships/hyperlink" Target="https://www.europeandataportal.eu/en/highlights/benefits-and-value-open-data" TargetMode="External"/><Relationship Id="rId91" Type="http://schemas.openxmlformats.org/officeDocument/2006/relationships/hyperlink" Target="http://www.oecd.org/gov/digital-government/recommendation-on-digital-government-strategies.htm" TargetMode="External"/><Relationship Id="rId96" Type="http://schemas.openxmlformats.org/officeDocument/2006/relationships/hyperlink" Target="https://idatosabiertos.org/en/publicaciones/presupuesto-local-y-datos-abiertos/" TargetMode="External"/><Relationship Id="rId111" Type="http://schemas.openxmlformats.org/officeDocument/2006/relationships/hyperlink" Target="https://www.internationalbudget.org/publications/why-policymakers-commit-to-transparency/" TargetMode="External"/><Relationship Id="rId132" Type="http://schemas.openxmlformats.org/officeDocument/2006/relationships/hyperlink" Target="https://www.worldbank.org/en/publication/wdr2017" TargetMode="External"/><Relationship Id="rId140" Type="http://schemas.openxmlformats.org/officeDocument/2006/relationships/hyperlink" Target="https://www.unicef.org/esa/reports/financing-development-children-africa" TargetMode="External"/><Relationship Id="rId145" Type="http://schemas.openxmlformats.org/officeDocument/2006/relationships/hyperlink" Target="https://www.internationalbudget.org/publications/comrades-or-culprits-donor-engagement-and-budget-transparency/" TargetMode="External"/><Relationship Id="rId153" Type="http://schemas.openxmlformats.org/officeDocument/2006/relationships/hyperlink" Target="https://www.youtube.com/watch?v=yfAItXPsPUA" TargetMode="External"/><Relationship Id="rId1" Type="http://schemas.openxmlformats.org/officeDocument/2006/relationships/hyperlink" Target="https://www.imf.org/external/Pubs/FT/GFS/Manual/2014/gfsfinal.pdf" TargetMode="External"/><Relationship Id="rId6" Type="http://schemas.openxmlformats.org/officeDocument/2006/relationships/hyperlink" Target="https://documents1.worldbank.org/curated/en/855201553787807050/text/Of-Governance-and-Revenue-Participatory-Institutions-and-Tax-Compliance-in-Brazil.txt" TargetMode="External"/><Relationship Id="rId15" Type="http://schemas.openxmlformats.org/officeDocument/2006/relationships/hyperlink" Target="https://www.jstor.org/stable/10.1086/517935?refreqid=excelsior%3A8fa8325a81b9fd1e2d5d183ff48a5548" TargetMode="External"/><Relationship Id="rId23" Type="http://schemas.openxmlformats.org/officeDocument/2006/relationships/hyperlink" Target="https://opendatabarometer.org/doc/leadersEdition/ODB-leadersEdition-Report.pdf" TargetMode="External"/><Relationship Id="rId28" Type="http://schemas.openxmlformats.org/officeDocument/2006/relationships/hyperlink" Target="https://www.thenation.com/article/archive/gilets-juanes-yellow-vest-taxes/" TargetMode="External"/><Relationship Id="rId36" Type="http://schemas.openxmlformats.org/officeDocument/2006/relationships/hyperlink" Target="https://www.parlamericas.org/uploads/documents/Fiscal_Openness_ENG.pdf" TargetMode="External"/><Relationship Id="rId49" Type="http://schemas.openxmlformats.org/officeDocument/2006/relationships/hyperlink" Target="https://www.imf.org/en/Publications/WP/Issues/2020/09/25/Managing-Fiscal-Risks-from-State-Owned-Enterprises-49773" TargetMode="External"/><Relationship Id="rId57" Type="http://schemas.openxmlformats.org/officeDocument/2006/relationships/hyperlink" Target="https://qdd.oecd.org/subject.aspx?Subject=BPP_2018" TargetMode="External"/><Relationship Id="rId106" Type="http://schemas.openxmlformats.org/officeDocument/2006/relationships/hyperlink" Target="https://www.pefa.org/sites/pefa/files/2020002190ENGeng002_Web%20PDF-Updated%20images%20Apr21_0.pdf" TargetMode="External"/><Relationship Id="rId114" Type="http://schemas.openxmlformats.org/officeDocument/2006/relationships/hyperlink" Target="https://openknowledge.worldbank.org/handle/10986/33715" TargetMode="External"/><Relationship Id="rId119" Type="http://schemas.openxmlformats.org/officeDocument/2006/relationships/hyperlink" Target="https://fiscaltransparency.net/disclosing-fiscal-information-during-covid-19-country-experiences/" TargetMode="External"/><Relationship Id="rId127" Type="http://schemas.openxmlformats.org/officeDocument/2006/relationships/hyperlink" Target="https://www.internationalbudget.org/tag/fiscal-transparency-reforms/" TargetMode="External"/><Relationship Id="rId10" Type="http://schemas.openxmlformats.org/officeDocument/2006/relationships/hyperlink" Target="https://www.imf.org/en/Publications/WP/Issues/2018/08/24/Fiscal-Transparency-Borrowing-Costs-and-Foreign-Holdings-of-Sovereign-Debt-46180" TargetMode="External"/><Relationship Id="rId31" Type="http://schemas.openxmlformats.org/officeDocument/2006/relationships/hyperlink" Target="http://www.oecd.org/corruption-integrity/reports/oecd-budget-transparency-toolkit-9789264282070-en.html" TargetMode="External"/><Relationship Id="rId44" Type="http://schemas.openxmlformats.org/officeDocument/2006/relationships/hyperlink" Target="https://www.internationalbudget.org/2019/07/lessons-on-public-participation-from-other-sectors/" TargetMode="External"/><Relationship Id="rId52" Type="http://schemas.openxmlformats.org/officeDocument/2006/relationships/hyperlink" Target="https://www.internationalbudget.org/wp-content/uploads/Guide-to-Transparency-in-Government-Budget-Reports-How-Civil-Society-Can-Use-Budget-Reports-for-Research-and-Advocacy-English.pdf" TargetMode="External"/><Relationship Id="rId60" Type="http://schemas.openxmlformats.org/officeDocument/2006/relationships/hyperlink" Target="https://www.fiscaltransparency.net/making-tax-work/" TargetMode="External"/><Relationship Id="rId65" Type="http://schemas.openxmlformats.org/officeDocument/2006/relationships/hyperlink" Target="https://www.fiscaltransparency.net/cso-perspective-on-taxes-scoping-study/" TargetMode="External"/><Relationship Id="rId73" Type="http://schemas.openxmlformats.org/officeDocument/2006/relationships/hyperlink" Target="https://www.internationalbudget.org/publications/how-civil-society-uses-budget-information/" TargetMode="External"/><Relationship Id="rId78" Type="http://schemas.openxmlformats.org/officeDocument/2006/relationships/hyperlink" Target="https://www.imf.org/en/Publications/Fiscal-Affairs-Department-How-To-Notes/Issues/2019/05/15/How-to-Design-a-Financial-Management-Information-System-A-Modular-Approach-46818" TargetMode="External"/><Relationship Id="rId81" Type="http://schemas.openxmlformats.org/officeDocument/2006/relationships/hyperlink" Target="https://econpapers.repec.org/bookchap/wbkwbpubs/25267.htm" TargetMode="External"/><Relationship Id="rId86" Type="http://schemas.openxmlformats.org/officeDocument/2006/relationships/hyperlink" Target="https://5stardata.info/en/" TargetMode="External"/><Relationship Id="rId94" Type="http://schemas.openxmlformats.org/officeDocument/2006/relationships/hyperlink" Target="https://www.electronicid.eu/en/blog/post/what-is-govtech/en" TargetMode="External"/><Relationship Id="rId99" Type="http://schemas.openxmlformats.org/officeDocument/2006/relationships/hyperlink" Target="https://www.researchgate.net/publication/236033125_Assessing_Open_Government_Budgetary_Data_in_Brazil" TargetMode="External"/><Relationship Id="rId101" Type="http://schemas.openxmlformats.org/officeDocument/2006/relationships/hyperlink" Target="https://www.internationalbudget.org/publications/road-to-budget-transparency-six-country-synthesis/" TargetMode="External"/><Relationship Id="rId122" Type="http://schemas.openxmlformats.org/officeDocument/2006/relationships/hyperlink" Target="https://www.internationalbudget.org/sites/default/files/2020-04/2017_Report_EN.pdf" TargetMode="External"/><Relationship Id="rId130" Type="http://schemas.openxmlformats.org/officeDocument/2006/relationships/hyperlink" Target="https://www.internationalbudget.org/publications/road-to-budget-transparency-six-country-synthesis/" TargetMode="External"/><Relationship Id="rId135" Type="http://schemas.openxmlformats.org/officeDocument/2006/relationships/hyperlink" Target="https://www.internationalbudget.org/publications/incentivizing-useful-budget-transparency/" TargetMode="External"/><Relationship Id="rId143" Type="http://schemas.openxmlformats.org/officeDocument/2006/relationships/hyperlink" Target="https://www.cgdev.org/publication/capability-traps-mechanisms-persistent-implementation-failure-working-paper-234" TargetMode="External"/><Relationship Id="rId148" Type="http://schemas.openxmlformats.org/officeDocument/2006/relationships/hyperlink" Target="https://www.pefa.org/sites/pefa/files/2020002190ENGeng002_Web%20PDF-Updated%20images%20Apr21_0.pdf" TargetMode="External"/><Relationship Id="rId151" Type="http://schemas.openxmlformats.org/officeDocument/2006/relationships/hyperlink" Target="https://www.internationalbudget.org/sites/default/files/2020-04/2019_Report_EN.pdf" TargetMode="External"/><Relationship Id="rId4" Type="http://schemas.openxmlformats.org/officeDocument/2006/relationships/hyperlink" Target="https://fiscaltransparency.net/fiscal-openness-research-2022/" TargetMode="External"/><Relationship Id="rId9" Type="http://schemas.openxmlformats.org/officeDocument/2006/relationships/hyperlink" Target="https://www.elibrary.imf.org/view/journals/024/2008/003/article-A006-en.xml" TargetMode="External"/><Relationship Id="rId13" Type="http://schemas.openxmlformats.org/officeDocument/2006/relationships/hyperlink" Target="https://www.jstor.org/stable/10.1086/517935?refreqid=excelsior%3A8fa8325a81b9fd1e2d5d183ff48a5548" TargetMode="External"/><Relationship Id="rId18" Type="http://schemas.openxmlformats.org/officeDocument/2006/relationships/hyperlink" Target="https://www.journals.uchicago.edu/doi/10.1086/699209" TargetMode="External"/><Relationship Id="rId39" Type="http://schemas.openxmlformats.org/officeDocument/2006/relationships/hyperlink" Target="https://fiscaltransparency.net/?s=The+Impacts+of+Fiscal+Openness%3A+A+Review+of+the+Evidence" TargetMode="External"/><Relationship Id="rId109" Type="http://schemas.openxmlformats.org/officeDocument/2006/relationships/hyperlink" Target="https://www.brookings.edu/wp-content/uploads/2016/07/openbudgets_chapter.pdf" TargetMode="External"/><Relationship Id="rId34" Type="http://schemas.openxmlformats.org/officeDocument/2006/relationships/hyperlink" Target="https://www.cpahq.org/media/l0jjk2nh/recommended-benchmarks-for-democratic-legislatures-updated-2018-final-online-version-single.pdf" TargetMode="External"/><Relationship Id="rId50" Type="http://schemas.openxmlformats.org/officeDocument/2006/relationships/hyperlink" Target="https://www.imf.org/external/pubs/ft/howtonotes/2016/howtonote1605.pdf" TargetMode="External"/><Relationship Id="rId55" Type="http://schemas.openxmlformats.org/officeDocument/2006/relationships/hyperlink" Target="https://unfccc.int/process-and-meetings/the-paris-agreement/what-is-the-paris-agreement" TargetMode="External"/><Relationship Id="rId76" Type="http://schemas.openxmlformats.org/officeDocument/2006/relationships/hyperlink" Target="https://www.imf.org/en/Publications/TNM/Issues/2016/12/31/Chart-of-Accounts-A-Critical-Element-of-the-Public-Financial-Management-Framework-25189" TargetMode="External"/><Relationship Id="rId97" Type="http://schemas.openxmlformats.org/officeDocument/2006/relationships/hyperlink" Target="https://ciep.mx/" TargetMode="External"/><Relationship Id="rId104" Type="http://schemas.openxmlformats.org/officeDocument/2006/relationships/hyperlink" Target="https://www.elibrary.imf.org/view/IMF071/20033-9781475531091/20033-9781475531091/ch01.xml" TargetMode="External"/><Relationship Id="rId120" Type="http://schemas.openxmlformats.org/officeDocument/2006/relationships/hyperlink" Target="https://fiscaltransparency.net/fiscal-transparency-covid-19-bosnia-and-herzegovina-serbia-north-macedonia/" TargetMode="External"/><Relationship Id="rId125" Type="http://schemas.openxmlformats.org/officeDocument/2006/relationships/hyperlink" Target="https://www.internationalbudget.org/publications/road-to-budget-transparency-six-country-synthesis/" TargetMode="External"/><Relationship Id="rId141" Type="http://schemas.openxmlformats.org/officeDocument/2006/relationships/hyperlink" Target="https://www.internationalbudget.org/publications/are-new-pfm-reforms-in-the-waemu-and-the-cemac-working-lessons-from-the-open-budget-survey/" TargetMode="External"/><Relationship Id="rId146" Type="http://schemas.openxmlformats.org/officeDocument/2006/relationships/hyperlink" Target="https://www.pefa.org/sites/pefa/files/resources/downloads/Stocktake-PFM-Tools-04-17-2018_clean.pdf" TargetMode="External"/><Relationship Id="rId7" Type="http://schemas.openxmlformats.org/officeDocument/2006/relationships/hyperlink" Target="https://openknowledge.worldbank.org/handle/10986/31713" TargetMode="External"/><Relationship Id="rId71" Type="http://schemas.openxmlformats.org/officeDocument/2006/relationships/hyperlink" Target="https://www.cabri-sbo.org/en/publications/fiscal-transparency-and-participation-in-africa-a-status-report" TargetMode="External"/><Relationship Id="rId92" Type="http://schemas.openxmlformats.org/officeDocument/2006/relationships/hyperlink" Target="https://elibrary.worldbank.org/doi/abs/10.1596/978-1-4648-0083-2" TargetMode="External"/><Relationship Id="rId2" Type="http://schemas.openxmlformats.org/officeDocument/2006/relationships/hyperlink" Target="https://unstats.un.org/unsd/nationalaccount/sna2008.asp" TargetMode="External"/><Relationship Id="rId29" Type="http://schemas.openxmlformats.org/officeDocument/2006/relationships/hyperlink" Target="https://dergipark.org.tr/tr/download/article-file/745302" TargetMode="External"/><Relationship Id="rId24" Type="http://schemas.openxmlformats.org/officeDocument/2006/relationships/hyperlink" Target="https://www.internationalbudget.org/2020/09/friend-of-the-court-the-role-of-judiciaries-in-tax-reform/" TargetMode="External"/><Relationship Id="rId40" Type="http://schemas.openxmlformats.org/officeDocument/2006/relationships/hyperlink" Target="https://fiscaltransparency.net/fiscal-openness-research-2022/" TargetMode="External"/><Relationship Id="rId45" Type="http://schemas.openxmlformats.org/officeDocument/2006/relationships/hyperlink" Target="https://fiscaltransparency.net/what-is-public-participation-in-fiscal-policy-and-why-is-it-important/" TargetMode="External"/><Relationship Id="rId66" Type="http://schemas.openxmlformats.org/officeDocument/2006/relationships/hyperlink" Target="https://blog-pfm.imf.org/en/pfmblog/2022/10/developing-and-using-global-tax-transparency-principles" TargetMode="External"/><Relationship Id="rId87" Type="http://schemas.openxmlformats.org/officeDocument/2006/relationships/hyperlink" Target="https://www.fiscaltransparency.net/open-data-tutorial-opening-and-promoting-use-of-budget-data/" TargetMode="External"/><Relationship Id="rId110" Type="http://schemas.openxmlformats.org/officeDocument/2006/relationships/hyperlink" Target="https://www.internationalbudget.org/publications/road-to-budget-transparency-six-country-synthesis/" TargetMode="External"/><Relationship Id="rId115" Type="http://schemas.openxmlformats.org/officeDocument/2006/relationships/hyperlink" Target="https://blog-pfm.imf.org/pfmblog/2020/07/-covid-19-fiscal-transparency-and-public-participation-.html" TargetMode="External"/><Relationship Id="rId131" Type="http://schemas.openxmlformats.org/officeDocument/2006/relationships/hyperlink" Target="https://www.internationalbudget.org/publications/the-volatility-of-budget-transparency/" TargetMode="External"/><Relationship Id="rId136" Type="http://schemas.openxmlformats.org/officeDocument/2006/relationships/hyperlink" Target="https://www.internationalbudget.org/publications/road-to-budget-transparency-six-country-synthesis/" TargetMode="External"/><Relationship Id="rId61" Type="http://schemas.openxmlformats.org/officeDocument/2006/relationships/hyperlink" Target="https://www.internationalbudget.org/publications/tax-expenditure-transparency-in-latin-america/" TargetMode="External"/><Relationship Id="rId82" Type="http://schemas.openxmlformats.org/officeDocument/2006/relationships/hyperlink" Target="https://papers.ssrn.com/sol3/papers.cfm?abstract_id=3090673" TargetMode="External"/><Relationship Id="rId152" Type="http://schemas.openxmlformats.org/officeDocument/2006/relationships/hyperlink" Target="https://www2.internationalbudget.org/open-budget-survey-2021/" TargetMode="External"/><Relationship Id="rId19" Type="http://schemas.openxmlformats.org/officeDocument/2006/relationships/hyperlink" Target="https://www.internationalbudget.org/publications/credibility-and-reliability-of-government-budgets-does-fiscal-transparency-matter/" TargetMode="External"/><Relationship Id="rId14" Type="http://schemas.openxmlformats.org/officeDocument/2006/relationships/hyperlink" Target="https://papers.ssrn.com/sol3/papers.cfm?abstract_id=3633248" TargetMode="External"/><Relationship Id="rId30" Type="http://schemas.openxmlformats.org/officeDocument/2006/relationships/hyperlink" Target="https://www.pewresearch.org/fact-tank/2019/11/19/protests-in-lebanon-highlight-ubiquity-of-whatsapp-dissatisfaction-with-government/" TargetMode="External"/><Relationship Id="rId35" Type="http://schemas.openxmlformats.org/officeDocument/2006/relationships/hyperlink" Target="https://www.parlamericas.org/uploads/documents/Fiscal_Openness_ENG.pdf" TargetMode="External"/><Relationship Id="rId56" Type="http://schemas.openxmlformats.org/officeDocument/2006/relationships/hyperlink" Target="https://www.internationalbudget.org/wp-content/uploads/budget-credibility-what-can-we-learn-from-budget-execution-reports-ibp-2018.pdf" TargetMode="External"/><Relationship Id="rId77" Type="http://schemas.openxmlformats.org/officeDocument/2006/relationships/hyperlink" Target="https://elibrary.worldbank.org/doi/abs/10.1596/978-1-4648-0083-2" TargetMode="External"/><Relationship Id="rId100" Type="http://schemas.openxmlformats.org/officeDocument/2006/relationships/hyperlink" Target="https://uspirg.org/reports/usp/following-money-2014" TargetMode="External"/><Relationship Id="rId105" Type="http://schemas.openxmlformats.org/officeDocument/2006/relationships/hyperlink" Target="https://www.elibrary.imf.org/view/IMF071/20033-9781475531091/20033-9781475531091/20033-9781475531091.xml?redirect=true" TargetMode="External"/><Relationship Id="rId126" Type="http://schemas.openxmlformats.org/officeDocument/2006/relationships/hyperlink" Target="https://openknowledge.worldbank.org/handle/10986/31266" TargetMode="External"/><Relationship Id="rId147" Type="http://schemas.openxmlformats.org/officeDocument/2006/relationships/hyperlink" Target="https://www.pefa.org/resources/guide-pfm-diagnostic-tools" TargetMode="External"/><Relationship Id="rId8" Type="http://schemas.openxmlformats.org/officeDocument/2006/relationships/hyperlink" Target="https://onlinelibrary.wiley.com/doi/10.1111/gove.12552" TargetMode="External"/><Relationship Id="rId51" Type="http://schemas.openxmlformats.org/officeDocument/2006/relationships/hyperlink" Target="https://www.cabri-sbo.org/en/publications/management-of-explicit-contingent-liabilities" TargetMode="External"/><Relationship Id="rId72" Type="http://schemas.openxmlformats.org/officeDocument/2006/relationships/hyperlink" Target="https://www.imf.org/en/Publications/Books/Issues/2018/04/02/Digital-Revolutions-in-Public-Finance-44925" TargetMode="External"/><Relationship Id="rId93" Type="http://schemas.openxmlformats.org/officeDocument/2006/relationships/hyperlink" Target="https://www.citizenlab.co/blog/civic-tech/whats-difference-civic-tech-govtech/" TargetMode="External"/><Relationship Id="rId98" Type="http://schemas.openxmlformats.org/officeDocument/2006/relationships/hyperlink" Target="https://docs.google.com/document/d/1fBuisDTIiBAz9u2tr7sgv6GdDLOV_aHbafjqHXSkNB0/edit" TargetMode="External"/><Relationship Id="rId121" Type="http://schemas.openxmlformats.org/officeDocument/2006/relationships/hyperlink" Target="https://internationalbudget.org/covid/wp-content/uploads/2021/05/Report_English-2.pdf" TargetMode="External"/><Relationship Id="rId142" Type="http://schemas.openxmlformats.org/officeDocument/2006/relationships/hyperlink" Target="https://dash.harvard.edu/bitstream/handle/1/4448885/Andrews_HowFar.pdf" TargetMode="External"/><Relationship Id="rId3" Type="http://schemas.openxmlformats.org/officeDocument/2006/relationships/hyperlink" Target="https://www.imf.org/external/Pubs/FT/GFS/Manual/2014/gfsfinal.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1BC8943A8784C8DA32ABB7B02A15B7C"/>
        <w:category>
          <w:name w:val="General"/>
          <w:gallery w:val="placeholder"/>
        </w:category>
        <w:types>
          <w:type w:val="bbPlcHdr"/>
        </w:types>
        <w:behaviors>
          <w:behavior w:val="content"/>
        </w:behaviors>
        <w:guid w:val="{A64714F6-B488-4B1F-826E-30DDEDCE3831}"/>
      </w:docPartPr>
      <w:docPartBody>
        <w:p w:rsidR="00EA06FF" w:rsidRDefault="00EA06FF" w:rsidP="00EA06FF">
          <w:pPr>
            <w:pStyle w:val="D1BC8943A8784C8DA32ABB7B02A15B7C"/>
          </w:pPr>
          <w:r>
            <w:rPr>
              <w:color w:val="4472C4" w:themeColor="accent1"/>
              <w:sz w:val="20"/>
              <w:szCs w:val="20"/>
            </w:rPr>
            <w:t>[Document title]</w:t>
          </w:r>
        </w:p>
      </w:docPartBody>
    </w:docPart>
    <w:docPart>
      <w:docPartPr>
        <w:name w:val="6A245D200525D341A3530F1428ECAB5E"/>
        <w:category>
          <w:name w:val="General"/>
          <w:gallery w:val="placeholder"/>
        </w:category>
        <w:types>
          <w:type w:val="bbPlcHdr"/>
        </w:types>
        <w:behaviors>
          <w:behavior w:val="content"/>
        </w:behaviors>
        <w:guid w:val="{B6675401-5FCC-DD41-BEB3-3BF791F904EF}"/>
      </w:docPartPr>
      <w:docPartBody>
        <w:p w:rsidR="00DB4D4A" w:rsidRDefault="00CE73AD" w:rsidP="00CE73AD">
          <w:pPr>
            <w:pStyle w:val="6A245D200525D341A3530F1428ECAB5E"/>
          </w:pPr>
          <w:r>
            <w:rPr>
              <w:color w:val="4472C4" w:themeColor="accent1"/>
              <w:sz w:val="20"/>
              <w:szCs w:val="2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panose1 w:val="00000000000000000000"/>
    <w:charset w:val="00"/>
    <w:family w:val="auto"/>
    <w:pitch w:val="variable"/>
    <w:sig w:usb0="A000002F" w:usb1="40000048" w:usb2="00000000" w:usb3="00000000" w:csb0="00000111" w:csb1="00000000"/>
  </w:font>
  <w:font w:name="Consolas">
    <w:panose1 w:val="020B0609020204030204"/>
    <w:charset w:val="00"/>
    <w:family w:val="modern"/>
    <w:pitch w:val="fixed"/>
    <w:sig w:usb0="E00006FF" w:usb1="0000FCFF" w:usb2="00000001" w:usb3="00000000" w:csb0="0000019F" w:csb1="00000000"/>
  </w:font>
  <w:font w:name="RobotoRegular">
    <w:altName w:val="Arial"/>
    <w:charset w:val="00"/>
    <w:family w:val="auto"/>
    <w:pitch w:val="variable"/>
    <w:sig w:usb0="E00002FF" w:usb1="5000205B" w:usb2="00000020" w:usb3="00000000" w:csb0="0000019F" w:csb1="00000000"/>
  </w:font>
  <w:font w:name="Roboto">
    <w:panose1 w:val="02000000000000000000"/>
    <w:charset w:val="00"/>
    <w:family w:val="auto"/>
    <w:pitch w:val="variable"/>
    <w:sig w:usb0="E00002FF" w:usb1="5000205B" w:usb2="0000002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pleSystemUIFont">
    <w:altName w:val="Calibri"/>
    <w:panose1 w:val="00000000000000000000"/>
    <w:charset w:val="00"/>
    <w:family w:val="auto"/>
    <w:notTrueType/>
    <w:pitch w:val="default"/>
    <w:sig w:usb0="00000003" w:usb1="00000000" w:usb2="00000000" w:usb3="00000000" w:csb0="00000001" w:csb1="00000000"/>
  </w:font>
  <w:font w:name="Calibri body">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6FF"/>
    <w:rsid w:val="00006D0E"/>
    <w:rsid w:val="00011E1E"/>
    <w:rsid w:val="0003040A"/>
    <w:rsid w:val="00030AC7"/>
    <w:rsid w:val="00031E1D"/>
    <w:rsid w:val="000475D7"/>
    <w:rsid w:val="000648AE"/>
    <w:rsid w:val="000A30E5"/>
    <w:rsid w:val="000B38E5"/>
    <w:rsid w:val="000F13DB"/>
    <w:rsid w:val="001042D3"/>
    <w:rsid w:val="00151E3B"/>
    <w:rsid w:val="0015473C"/>
    <w:rsid w:val="00154BCB"/>
    <w:rsid w:val="0015762F"/>
    <w:rsid w:val="001609B9"/>
    <w:rsid w:val="001630E8"/>
    <w:rsid w:val="001A6EA7"/>
    <w:rsid w:val="001E4B59"/>
    <w:rsid w:val="001F2F0D"/>
    <w:rsid w:val="00274C5B"/>
    <w:rsid w:val="00293192"/>
    <w:rsid w:val="00297522"/>
    <w:rsid w:val="002B0510"/>
    <w:rsid w:val="003058DE"/>
    <w:rsid w:val="00311677"/>
    <w:rsid w:val="00335808"/>
    <w:rsid w:val="00356F75"/>
    <w:rsid w:val="00386A6C"/>
    <w:rsid w:val="003B002A"/>
    <w:rsid w:val="003B7D32"/>
    <w:rsid w:val="003C011A"/>
    <w:rsid w:val="003C0F1C"/>
    <w:rsid w:val="003C4498"/>
    <w:rsid w:val="003E2A4B"/>
    <w:rsid w:val="003F09EC"/>
    <w:rsid w:val="004046DA"/>
    <w:rsid w:val="00414337"/>
    <w:rsid w:val="004213B7"/>
    <w:rsid w:val="00424ABA"/>
    <w:rsid w:val="00440A77"/>
    <w:rsid w:val="004438FF"/>
    <w:rsid w:val="004452D5"/>
    <w:rsid w:val="00482AEF"/>
    <w:rsid w:val="00484D0E"/>
    <w:rsid w:val="00487D5F"/>
    <w:rsid w:val="00491BA8"/>
    <w:rsid w:val="004A6262"/>
    <w:rsid w:val="004B7836"/>
    <w:rsid w:val="004C1580"/>
    <w:rsid w:val="005169B9"/>
    <w:rsid w:val="005244FB"/>
    <w:rsid w:val="00540C2C"/>
    <w:rsid w:val="0056449E"/>
    <w:rsid w:val="005A527C"/>
    <w:rsid w:val="005C5558"/>
    <w:rsid w:val="005E372A"/>
    <w:rsid w:val="0060422E"/>
    <w:rsid w:val="00611B51"/>
    <w:rsid w:val="006215CF"/>
    <w:rsid w:val="00625ACA"/>
    <w:rsid w:val="00626366"/>
    <w:rsid w:val="00632812"/>
    <w:rsid w:val="006374BE"/>
    <w:rsid w:val="0064769A"/>
    <w:rsid w:val="00677F91"/>
    <w:rsid w:val="00684B1D"/>
    <w:rsid w:val="006A1B5C"/>
    <w:rsid w:val="006B2B45"/>
    <w:rsid w:val="006C45B5"/>
    <w:rsid w:val="006D0BCD"/>
    <w:rsid w:val="006E4C8A"/>
    <w:rsid w:val="006E67B0"/>
    <w:rsid w:val="006F2205"/>
    <w:rsid w:val="006F57B4"/>
    <w:rsid w:val="007060F5"/>
    <w:rsid w:val="00713E09"/>
    <w:rsid w:val="00723FB8"/>
    <w:rsid w:val="00742D86"/>
    <w:rsid w:val="00767A09"/>
    <w:rsid w:val="007A1795"/>
    <w:rsid w:val="007D080C"/>
    <w:rsid w:val="007D710A"/>
    <w:rsid w:val="007F253D"/>
    <w:rsid w:val="00820BE1"/>
    <w:rsid w:val="0083096C"/>
    <w:rsid w:val="00836A4A"/>
    <w:rsid w:val="00860D73"/>
    <w:rsid w:val="0086611A"/>
    <w:rsid w:val="008A2560"/>
    <w:rsid w:val="008A3C47"/>
    <w:rsid w:val="008C0CCF"/>
    <w:rsid w:val="008E5754"/>
    <w:rsid w:val="008F5FC8"/>
    <w:rsid w:val="00907048"/>
    <w:rsid w:val="0092274B"/>
    <w:rsid w:val="0094205A"/>
    <w:rsid w:val="009541F7"/>
    <w:rsid w:val="00957A6F"/>
    <w:rsid w:val="009617F1"/>
    <w:rsid w:val="009950CC"/>
    <w:rsid w:val="00996E94"/>
    <w:rsid w:val="0099781D"/>
    <w:rsid w:val="009D76EB"/>
    <w:rsid w:val="009F0BF8"/>
    <w:rsid w:val="009F4E94"/>
    <w:rsid w:val="00A241F8"/>
    <w:rsid w:val="00A36FFE"/>
    <w:rsid w:val="00A453B2"/>
    <w:rsid w:val="00A573C9"/>
    <w:rsid w:val="00A71CF2"/>
    <w:rsid w:val="00AE1DF1"/>
    <w:rsid w:val="00AE48F4"/>
    <w:rsid w:val="00B00EEB"/>
    <w:rsid w:val="00B01E0A"/>
    <w:rsid w:val="00B14BC8"/>
    <w:rsid w:val="00B95C6F"/>
    <w:rsid w:val="00BE1A50"/>
    <w:rsid w:val="00BE1E75"/>
    <w:rsid w:val="00C2721C"/>
    <w:rsid w:val="00C41B05"/>
    <w:rsid w:val="00C644D4"/>
    <w:rsid w:val="00C64CA2"/>
    <w:rsid w:val="00CA3E9D"/>
    <w:rsid w:val="00CB1295"/>
    <w:rsid w:val="00CB1E78"/>
    <w:rsid w:val="00CB413D"/>
    <w:rsid w:val="00CC571E"/>
    <w:rsid w:val="00CC7ACC"/>
    <w:rsid w:val="00CE1B05"/>
    <w:rsid w:val="00CE73AD"/>
    <w:rsid w:val="00CF2F0A"/>
    <w:rsid w:val="00D02223"/>
    <w:rsid w:val="00D24903"/>
    <w:rsid w:val="00D24BC1"/>
    <w:rsid w:val="00D27F8A"/>
    <w:rsid w:val="00D45CC5"/>
    <w:rsid w:val="00D84B14"/>
    <w:rsid w:val="00D90132"/>
    <w:rsid w:val="00D978EA"/>
    <w:rsid w:val="00DB4D4A"/>
    <w:rsid w:val="00DB70FA"/>
    <w:rsid w:val="00DC0C71"/>
    <w:rsid w:val="00DF283D"/>
    <w:rsid w:val="00DF3C1D"/>
    <w:rsid w:val="00E158E4"/>
    <w:rsid w:val="00E2686E"/>
    <w:rsid w:val="00E4135B"/>
    <w:rsid w:val="00E4279F"/>
    <w:rsid w:val="00E566A0"/>
    <w:rsid w:val="00E73F7F"/>
    <w:rsid w:val="00EA06FF"/>
    <w:rsid w:val="00EB5BEE"/>
    <w:rsid w:val="00ED3ED9"/>
    <w:rsid w:val="00EF38B2"/>
    <w:rsid w:val="00EF3B61"/>
    <w:rsid w:val="00F11379"/>
    <w:rsid w:val="00F2615C"/>
    <w:rsid w:val="00F46140"/>
    <w:rsid w:val="00F50713"/>
    <w:rsid w:val="00F73410"/>
    <w:rsid w:val="00F87915"/>
    <w:rsid w:val="00FB790C"/>
    <w:rsid w:val="00FD15CA"/>
    <w:rsid w:val="00FE00C8"/>
    <w:rsid w:val="00FE558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ZA" w:eastAsia="en-Z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BC8943A8784C8DA32ABB7B02A15B7C">
    <w:name w:val="D1BC8943A8784C8DA32ABB7B02A15B7C"/>
    <w:rsid w:val="00EA06FF"/>
  </w:style>
  <w:style w:type="paragraph" w:customStyle="1" w:styleId="6A245D200525D341A3530F1428ECAB5E">
    <w:name w:val="6A245D200525D341A3530F1428ECAB5E"/>
    <w:rsid w:val="00CE73AD"/>
    <w:pPr>
      <w:spacing w:after="0" w:line="240" w:lineRule="auto"/>
    </w:pPr>
    <w:rPr>
      <w:sz w:val="24"/>
      <w:szCs w:val="24"/>
      <w:lang w:val="en-PH"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F5F32D-A026-421C-9C26-5C417D046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Pages>
  <Words>76199</Words>
  <Characters>434339</Characters>
  <Application>Microsoft Office Word</Application>
  <DocSecurity>0</DocSecurity>
  <Lines>3619</Lines>
  <Paragraphs>1019</Paragraphs>
  <ScaleCrop>false</ScaleCrop>
  <HeadingPairs>
    <vt:vector size="2" baseType="variant">
      <vt:variant>
        <vt:lpstr>Title</vt:lpstr>
      </vt:variant>
      <vt:variant>
        <vt:i4>1</vt:i4>
      </vt:variant>
    </vt:vector>
  </HeadingPairs>
  <TitlesOfParts>
    <vt:vector size="1" baseType="lpstr">
      <vt:lpstr>GUIDE on Advancing Fiscal Transparency for Development</vt:lpstr>
    </vt:vector>
  </TitlesOfParts>
  <Company/>
  <LinksUpToDate>false</LinksUpToDate>
  <CharactersWithSpaces>509519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on Advancing Fiscal Transparency for Development</dc:title>
  <dc:subject/>
  <dc:creator>murray petrie</dc:creator>
  <cp:keywords/>
  <dc:description/>
  <cp:lastModifiedBy>Marianne Fabian</cp:lastModifiedBy>
  <cp:revision>10</cp:revision>
  <cp:lastPrinted>2023-02-28T17:33:00Z</cp:lastPrinted>
  <dcterms:created xsi:type="dcterms:W3CDTF">2023-02-09T14:24:00Z</dcterms:created>
  <dcterms:modified xsi:type="dcterms:W3CDTF">2023-02-28T17:35:00Z</dcterms:modified>
</cp:coreProperties>
</file>